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C3FF44" w14:textId="77777777" w:rsidR="00C016BB" w:rsidRPr="001E1441" w:rsidRDefault="00C016BB" w:rsidP="00C016BB">
      <w:pPr>
        <w:jc w:val="right"/>
        <w:rPr>
          <w:rFonts w:ascii="Arial" w:hAnsi="Arial" w:cs="Arial"/>
          <w:b/>
          <w:sz w:val="16"/>
          <w:szCs w:val="16"/>
          <w:lang w:eastAsia="es-ES"/>
        </w:rPr>
      </w:pPr>
      <w:bookmarkStart w:id="0" w:name="_Hlk28946138"/>
      <w:bookmarkStart w:id="1" w:name="_Hlk29548183"/>
      <w:r w:rsidRPr="001E1441">
        <w:rPr>
          <w:rFonts w:ascii="Arial" w:hAnsi="Arial" w:cs="Arial"/>
          <w:b/>
          <w:sz w:val="16"/>
          <w:szCs w:val="16"/>
          <w:lang w:eastAsia="es-ES"/>
        </w:rPr>
        <w:t>CCE-DES-FM-17</w:t>
      </w:r>
    </w:p>
    <w:p w14:paraId="7F59093A" w14:textId="77777777" w:rsidR="00C016BB" w:rsidRPr="00C016BB" w:rsidRDefault="00C016BB" w:rsidP="006727B4">
      <w:pPr>
        <w:jc w:val="both"/>
        <w:rPr>
          <w:rFonts w:ascii="Arial" w:hAnsi="Arial" w:cs="Arial"/>
          <w:b/>
          <w:color w:val="000000" w:themeColor="text1"/>
          <w:sz w:val="16"/>
          <w:szCs w:val="16"/>
          <w:lang w:val="es-ES"/>
        </w:rPr>
      </w:pPr>
    </w:p>
    <w:p w14:paraId="0B2CFB34" w14:textId="493B347A" w:rsidR="004375C3" w:rsidRPr="009A69B5" w:rsidRDefault="00707A5D" w:rsidP="006727B4">
      <w:pPr>
        <w:jc w:val="both"/>
        <w:rPr>
          <w:rFonts w:ascii="Arial" w:hAnsi="Arial" w:cs="Arial"/>
          <w:b/>
          <w:color w:val="000000" w:themeColor="text1"/>
          <w:sz w:val="22"/>
          <w:szCs w:val="22"/>
          <w:lang w:val="es-ES"/>
        </w:rPr>
      </w:pPr>
      <w:r w:rsidRPr="009A69B5">
        <w:rPr>
          <w:rFonts w:ascii="Arial" w:hAnsi="Arial" w:cs="Arial"/>
          <w:b/>
          <w:color w:val="000000" w:themeColor="text1"/>
          <w:sz w:val="22"/>
          <w:szCs w:val="22"/>
          <w:lang w:val="es-ES"/>
        </w:rPr>
        <w:t>PARTICIPACIÓN CIUDADANA</w:t>
      </w:r>
      <w:r w:rsidR="001E0719">
        <w:rPr>
          <w:rFonts w:ascii="Arial" w:hAnsi="Arial" w:cs="Arial"/>
          <w:b/>
          <w:color w:val="000000" w:themeColor="text1"/>
          <w:sz w:val="22"/>
          <w:szCs w:val="22"/>
          <w:lang w:val="es-ES"/>
        </w:rPr>
        <w:t xml:space="preserve"> </w:t>
      </w:r>
      <w:r w:rsidRPr="009A69B5">
        <w:rPr>
          <w:rFonts w:ascii="Arial" w:hAnsi="Arial" w:cs="Arial"/>
          <w:b/>
          <w:color w:val="000000" w:themeColor="text1"/>
          <w:sz w:val="22"/>
          <w:szCs w:val="22"/>
          <w:lang w:val="es-ES"/>
        </w:rPr>
        <w:t xml:space="preserve">– Fundamento constitucional </w:t>
      </w:r>
    </w:p>
    <w:p w14:paraId="3766F91A" w14:textId="77777777" w:rsidR="004375C3" w:rsidRPr="009A69B5" w:rsidRDefault="004375C3" w:rsidP="006727B4">
      <w:pPr>
        <w:jc w:val="both"/>
        <w:rPr>
          <w:rFonts w:ascii="Arial" w:hAnsi="Arial" w:cs="Arial"/>
          <w:b/>
          <w:color w:val="000000" w:themeColor="text1"/>
          <w:sz w:val="22"/>
          <w:szCs w:val="22"/>
          <w:lang w:val="es-ES"/>
        </w:rPr>
      </w:pPr>
    </w:p>
    <w:p w14:paraId="7239AC66" w14:textId="3746169F" w:rsidR="00167537" w:rsidRPr="009A69B5" w:rsidRDefault="004375C3" w:rsidP="00C016BB">
      <w:pPr>
        <w:tabs>
          <w:tab w:val="left" w:pos="426"/>
        </w:tabs>
        <w:spacing w:after="120"/>
        <w:jc w:val="both"/>
        <w:rPr>
          <w:rFonts w:ascii="Arial" w:eastAsia="Calibri" w:hAnsi="Arial" w:cs="Arial"/>
          <w:bCs/>
          <w:color w:val="000000" w:themeColor="text1"/>
          <w:sz w:val="20"/>
          <w:szCs w:val="20"/>
          <w:lang w:val="es-ES"/>
        </w:rPr>
      </w:pPr>
      <w:r w:rsidRPr="009A69B5">
        <w:rPr>
          <w:rFonts w:ascii="Arial" w:eastAsia="Calibri" w:hAnsi="Arial" w:cs="Arial"/>
          <w:bCs/>
          <w:color w:val="000000" w:themeColor="text1"/>
          <w:sz w:val="20"/>
          <w:szCs w:val="20"/>
          <w:lang w:val="es-ES"/>
        </w:rPr>
        <w:t xml:space="preserve">De conformidad con el artículo 2 constitucional, son fines esenciales del Estado: «servir a la comunidad, promover la prosperidad general y garantizar la efectividad de los principios, derechos y deberes consagrados en la Constitución; </w:t>
      </w:r>
      <w:r w:rsidRPr="009A69B5">
        <w:rPr>
          <w:rFonts w:ascii="Arial" w:eastAsia="Calibri" w:hAnsi="Arial" w:cs="Arial"/>
          <w:color w:val="000000" w:themeColor="text1"/>
          <w:sz w:val="20"/>
          <w:szCs w:val="20"/>
          <w:lang w:val="es-ES"/>
        </w:rPr>
        <w:t>facilitar la participación de todos en las decisiones que los afectan y en la vida económica, política, administrativa y cultural de la Nación</w:t>
      </w:r>
      <w:r w:rsidRPr="009A69B5">
        <w:rPr>
          <w:rFonts w:ascii="Arial" w:eastAsia="Calibri" w:hAnsi="Arial" w:cs="Arial"/>
          <w:bCs/>
          <w:color w:val="000000" w:themeColor="text1"/>
          <w:sz w:val="20"/>
          <w:szCs w:val="20"/>
          <w:lang w:val="es-ES"/>
        </w:rPr>
        <w:t xml:space="preserve">; defender la independencia nacional, mantener la integridad territorial y asegurar la convivencia pacífica y la vigencia de un orden justo». </w:t>
      </w:r>
    </w:p>
    <w:p w14:paraId="3430AAD6" w14:textId="3123EA7D" w:rsidR="00313972" w:rsidRPr="009A69B5" w:rsidRDefault="004375C3" w:rsidP="00C016BB">
      <w:pPr>
        <w:tabs>
          <w:tab w:val="left" w:pos="426"/>
        </w:tabs>
        <w:jc w:val="both"/>
        <w:rPr>
          <w:rFonts w:ascii="Arial" w:eastAsia="Calibri" w:hAnsi="Arial" w:cs="Arial"/>
          <w:bCs/>
          <w:color w:val="000000" w:themeColor="text1"/>
          <w:sz w:val="20"/>
          <w:szCs w:val="20"/>
          <w:lang w:val="es-ES"/>
        </w:rPr>
      </w:pPr>
      <w:r w:rsidRPr="009A69B5">
        <w:rPr>
          <w:rFonts w:ascii="Arial" w:eastAsia="Calibri" w:hAnsi="Arial" w:cs="Arial"/>
          <w:bCs/>
          <w:color w:val="000000" w:themeColor="text1"/>
          <w:sz w:val="20"/>
          <w:szCs w:val="20"/>
          <w:lang w:val="es-ES"/>
        </w:rPr>
        <w:t>Para la Constitución Política de 1991 facilitar la participación de todos en sus decisiones es un deber del Estado. Con base en ello es posible afirmar que la participación ciudadana es un elemento fundante del pacto social sobre el que</w:t>
      </w:r>
      <w:r w:rsidR="00313972" w:rsidRPr="009A69B5">
        <w:rPr>
          <w:rFonts w:ascii="Arial" w:eastAsia="Calibri" w:hAnsi="Arial" w:cs="Arial"/>
          <w:bCs/>
          <w:color w:val="000000" w:themeColor="text1"/>
          <w:sz w:val="20"/>
          <w:szCs w:val="20"/>
          <w:lang w:val="es-ES"/>
        </w:rPr>
        <w:t xml:space="preserve"> se erige el Estado colombiano.</w:t>
      </w:r>
    </w:p>
    <w:p w14:paraId="49E79035" w14:textId="77777777" w:rsidR="00167537" w:rsidRPr="009A69B5" w:rsidRDefault="00167537" w:rsidP="00C016BB">
      <w:pPr>
        <w:tabs>
          <w:tab w:val="left" w:pos="426"/>
        </w:tabs>
        <w:jc w:val="both"/>
        <w:rPr>
          <w:rFonts w:ascii="Arial" w:eastAsia="Calibri" w:hAnsi="Arial" w:cs="Arial"/>
          <w:bCs/>
          <w:color w:val="000000" w:themeColor="text1"/>
          <w:sz w:val="20"/>
          <w:szCs w:val="20"/>
          <w:lang w:val="es-ES"/>
        </w:rPr>
      </w:pPr>
    </w:p>
    <w:p w14:paraId="0BAE40A2" w14:textId="38BDA874" w:rsidR="00313972" w:rsidRPr="009A69B5" w:rsidRDefault="00313972" w:rsidP="00C016BB">
      <w:pPr>
        <w:tabs>
          <w:tab w:val="left" w:pos="426"/>
        </w:tabs>
        <w:jc w:val="both"/>
        <w:rPr>
          <w:rFonts w:ascii="Arial" w:eastAsia="Calibri" w:hAnsi="Arial" w:cs="Arial"/>
          <w:bCs/>
          <w:color w:val="000000" w:themeColor="text1"/>
          <w:sz w:val="21"/>
          <w:szCs w:val="21"/>
          <w:lang w:val="es-ES"/>
        </w:rPr>
      </w:pPr>
      <w:r w:rsidRPr="009A69B5">
        <w:rPr>
          <w:rFonts w:ascii="Arial" w:eastAsia="Calibri" w:hAnsi="Arial" w:cs="Arial"/>
          <w:b/>
          <w:bCs/>
          <w:color w:val="000000" w:themeColor="text1"/>
          <w:sz w:val="22"/>
          <w:szCs w:val="22"/>
          <w:lang w:val="es-ES"/>
        </w:rPr>
        <w:t xml:space="preserve">CONTRATACIÓN PÚBLICA – Función administrativa – Constitución Política </w:t>
      </w:r>
    </w:p>
    <w:p w14:paraId="792EBB9A" w14:textId="77777777" w:rsidR="004D7726" w:rsidRDefault="004D7726" w:rsidP="006727B4">
      <w:pPr>
        <w:tabs>
          <w:tab w:val="left" w:pos="426"/>
        </w:tabs>
        <w:jc w:val="both"/>
        <w:rPr>
          <w:rFonts w:ascii="Arial" w:eastAsia="Calibri" w:hAnsi="Arial" w:cs="Arial"/>
          <w:bCs/>
          <w:color w:val="000000" w:themeColor="text1"/>
          <w:sz w:val="20"/>
          <w:szCs w:val="20"/>
          <w:lang w:val="es-ES"/>
        </w:rPr>
      </w:pPr>
    </w:p>
    <w:p w14:paraId="6C610338" w14:textId="00C1E2B8" w:rsidR="00361F7A" w:rsidRDefault="00313972" w:rsidP="00361F7A">
      <w:pPr>
        <w:tabs>
          <w:tab w:val="left" w:pos="426"/>
        </w:tabs>
        <w:spacing w:after="120"/>
        <w:jc w:val="both"/>
        <w:rPr>
          <w:rFonts w:ascii="Arial" w:eastAsia="Calibri" w:hAnsi="Arial" w:cs="Arial"/>
          <w:bCs/>
          <w:color w:val="000000" w:themeColor="text1"/>
          <w:sz w:val="20"/>
          <w:szCs w:val="20"/>
          <w:lang w:val="es-ES"/>
        </w:rPr>
      </w:pPr>
      <w:r w:rsidRPr="009A69B5">
        <w:rPr>
          <w:rFonts w:ascii="Arial" w:eastAsia="Calibri" w:hAnsi="Arial" w:cs="Arial"/>
          <w:bCs/>
          <w:color w:val="000000" w:themeColor="text1"/>
          <w:sz w:val="20"/>
          <w:szCs w:val="20"/>
          <w:lang w:val="es-ES"/>
        </w:rPr>
        <w:t>[…] el artículo 209 constitucional prescribe que la función administrativa está al servicio de los intereses generales y se desarrolla con arreglo a los principios de igualdad, moralidad, eficacia, economía, celeridad, imparcialidad y publicidad. Si se leen de manera conjunta los artículos 2 y 209 es posible afirmar que la participación de la ciudadanía debe también concretarse en el ejercicio de la función administrativa, pues en las actuaciones administrativas se toman decisiones que afectan la vida económica, política, administrativa y cultural de la Nación.</w:t>
      </w:r>
    </w:p>
    <w:p w14:paraId="4D8312C2" w14:textId="161B4064" w:rsidR="00167537" w:rsidRPr="009A69B5" w:rsidRDefault="00361F7A" w:rsidP="00361F7A">
      <w:pPr>
        <w:tabs>
          <w:tab w:val="left" w:pos="426"/>
        </w:tabs>
        <w:spacing w:after="120"/>
        <w:jc w:val="both"/>
        <w:rPr>
          <w:rFonts w:ascii="Arial" w:eastAsia="Calibri" w:hAnsi="Arial" w:cs="Arial"/>
          <w:bCs/>
          <w:color w:val="000000" w:themeColor="text1"/>
          <w:sz w:val="20"/>
          <w:szCs w:val="20"/>
          <w:lang w:val="es-ES"/>
        </w:rPr>
      </w:pPr>
      <w:r>
        <w:rPr>
          <w:rFonts w:ascii="Arial" w:eastAsia="Calibri" w:hAnsi="Arial" w:cs="Arial"/>
          <w:bCs/>
          <w:color w:val="000000" w:themeColor="text1"/>
          <w:sz w:val="20"/>
          <w:szCs w:val="20"/>
          <w:lang w:val="es-ES"/>
        </w:rPr>
        <w:t>[…]</w:t>
      </w:r>
    </w:p>
    <w:p w14:paraId="7D659FF8" w14:textId="74557856" w:rsidR="00DA2783" w:rsidRPr="009A69B5" w:rsidRDefault="00313972" w:rsidP="00361F7A">
      <w:pPr>
        <w:tabs>
          <w:tab w:val="left" w:pos="426"/>
        </w:tabs>
        <w:jc w:val="both"/>
        <w:rPr>
          <w:rFonts w:ascii="Arial" w:eastAsia="Calibri" w:hAnsi="Arial" w:cs="Arial"/>
          <w:bCs/>
          <w:color w:val="000000" w:themeColor="text1"/>
          <w:sz w:val="20"/>
          <w:szCs w:val="20"/>
          <w:lang w:val="es-ES"/>
        </w:rPr>
      </w:pPr>
      <w:r w:rsidRPr="009A69B5">
        <w:rPr>
          <w:rFonts w:ascii="Arial" w:eastAsia="Calibri" w:hAnsi="Arial" w:cs="Arial"/>
          <w:bCs/>
          <w:color w:val="000000" w:themeColor="text1"/>
          <w:sz w:val="20"/>
          <w:szCs w:val="20"/>
          <w:lang w:val="es-ES"/>
        </w:rPr>
        <w:t>En virtud de que la Contratación es una de las múltiples manifestaciones del ejercicio de la función administrativa,</w:t>
      </w:r>
      <w:r w:rsidR="00063B73" w:rsidRPr="009A69B5">
        <w:rPr>
          <w:rFonts w:ascii="Arial" w:eastAsia="Calibri" w:hAnsi="Arial" w:cs="Arial"/>
          <w:bCs/>
          <w:color w:val="000000" w:themeColor="text1"/>
          <w:sz w:val="20"/>
          <w:szCs w:val="20"/>
          <w:lang w:val="es-ES"/>
        </w:rPr>
        <w:t xml:space="preserve"> </w:t>
      </w:r>
      <w:r w:rsidRPr="009A69B5">
        <w:rPr>
          <w:rFonts w:ascii="Arial" w:eastAsia="Calibri" w:hAnsi="Arial" w:cs="Arial"/>
          <w:bCs/>
          <w:color w:val="000000" w:themeColor="text1"/>
          <w:sz w:val="20"/>
          <w:szCs w:val="20"/>
          <w:lang w:val="es-ES"/>
        </w:rPr>
        <w:t>se impone necesariamente el Deber del Estado de facilitar la participación ciudadana en dicha actuación administrativa en cuya sede se toman importantes decisiones administrativas que tienen impacto directo en los habitantes del territorio y, entre otras, en la satisfacción de sus propias necesidades.</w:t>
      </w:r>
    </w:p>
    <w:p w14:paraId="40A68939" w14:textId="77777777" w:rsidR="00DA2783" w:rsidRPr="009A69B5" w:rsidRDefault="00DA2783" w:rsidP="00361F7A">
      <w:pPr>
        <w:jc w:val="both"/>
        <w:rPr>
          <w:rFonts w:ascii="Arial" w:hAnsi="Arial" w:cs="Arial"/>
          <w:bCs/>
          <w:color w:val="000000" w:themeColor="text1"/>
          <w:sz w:val="20"/>
          <w:szCs w:val="20"/>
          <w:lang w:val="es-ES"/>
        </w:rPr>
      </w:pPr>
    </w:p>
    <w:p w14:paraId="2126B13E" w14:textId="5DAA64BF" w:rsidR="00707A5D" w:rsidRPr="009A69B5" w:rsidRDefault="0069401B" w:rsidP="00361F7A">
      <w:pPr>
        <w:jc w:val="both"/>
        <w:rPr>
          <w:rFonts w:ascii="Arial" w:hAnsi="Arial" w:cs="Arial"/>
          <w:b/>
          <w:bCs/>
          <w:color w:val="000000" w:themeColor="text1"/>
          <w:sz w:val="22"/>
          <w:szCs w:val="22"/>
          <w:lang w:val="es-ES"/>
        </w:rPr>
      </w:pPr>
      <w:r>
        <w:rPr>
          <w:rFonts w:ascii="Arial" w:hAnsi="Arial" w:cs="Arial"/>
          <w:b/>
          <w:bCs/>
          <w:color w:val="000000" w:themeColor="text1"/>
          <w:sz w:val="22"/>
          <w:szCs w:val="22"/>
          <w:lang w:val="es-ES"/>
        </w:rPr>
        <w:t>PARTICIPACIÓN CIUDADANA</w:t>
      </w:r>
      <w:r w:rsidR="00707A5D" w:rsidRPr="009A69B5">
        <w:rPr>
          <w:rFonts w:ascii="Arial" w:hAnsi="Arial" w:cs="Arial"/>
          <w:b/>
          <w:bCs/>
          <w:color w:val="000000" w:themeColor="text1"/>
          <w:sz w:val="22"/>
          <w:szCs w:val="22"/>
          <w:lang w:val="es-ES"/>
        </w:rPr>
        <w:t xml:space="preserve"> –</w:t>
      </w:r>
      <w:r>
        <w:rPr>
          <w:rFonts w:ascii="Arial" w:hAnsi="Arial" w:cs="Arial"/>
          <w:b/>
          <w:bCs/>
          <w:color w:val="000000" w:themeColor="text1"/>
          <w:sz w:val="22"/>
          <w:szCs w:val="22"/>
          <w:lang w:val="es-ES"/>
        </w:rPr>
        <w:t xml:space="preserve"> Contratación pública </w:t>
      </w:r>
      <w:bookmarkStart w:id="2" w:name="_GoBack"/>
      <w:bookmarkEnd w:id="2"/>
      <w:r w:rsidRPr="009A69B5">
        <w:rPr>
          <w:rFonts w:ascii="Arial" w:hAnsi="Arial" w:cs="Arial"/>
          <w:b/>
          <w:bCs/>
          <w:color w:val="000000" w:themeColor="text1"/>
          <w:sz w:val="22"/>
          <w:szCs w:val="22"/>
          <w:lang w:val="es-ES"/>
        </w:rPr>
        <w:t>–</w:t>
      </w:r>
      <w:r w:rsidR="00707A5D" w:rsidRPr="009A69B5">
        <w:rPr>
          <w:rFonts w:ascii="Arial" w:hAnsi="Arial" w:cs="Arial"/>
          <w:b/>
          <w:bCs/>
          <w:color w:val="000000" w:themeColor="text1"/>
          <w:sz w:val="22"/>
          <w:szCs w:val="22"/>
          <w:lang w:val="es-ES"/>
        </w:rPr>
        <w:t xml:space="preserve"> Reconocimiento legal </w:t>
      </w:r>
    </w:p>
    <w:p w14:paraId="0AB48E9E" w14:textId="77777777" w:rsidR="00DA2783" w:rsidRPr="009A69B5" w:rsidRDefault="00DA2783" w:rsidP="006727B4">
      <w:pPr>
        <w:jc w:val="both"/>
        <w:rPr>
          <w:rFonts w:ascii="Arial" w:hAnsi="Arial" w:cs="Arial"/>
          <w:b/>
          <w:bCs/>
          <w:color w:val="000000" w:themeColor="text1"/>
          <w:sz w:val="22"/>
          <w:szCs w:val="22"/>
          <w:lang w:val="es-ES"/>
        </w:rPr>
      </w:pPr>
    </w:p>
    <w:p w14:paraId="435E282A" w14:textId="60C185E4" w:rsidR="00167537" w:rsidRPr="009A69B5" w:rsidRDefault="00313972" w:rsidP="00361F7A">
      <w:pPr>
        <w:tabs>
          <w:tab w:val="left" w:pos="426"/>
        </w:tabs>
        <w:spacing w:after="120"/>
        <w:jc w:val="both"/>
        <w:rPr>
          <w:rFonts w:ascii="Arial" w:eastAsia="Calibri" w:hAnsi="Arial" w:cs="Arial"/>
          <w:bCs/>
          <w:color w:val="000000" w:themeColor="text1"/>
          <w:sz w:val="20"/>
          <w:szCs w:val="20"/>
          <w:lang w:val="es-ES"/>
        </w:rPr>
      </w:pPr>
      <w:r w:rsidRPr="009A69B5">
        <w:rPr>
          <w:rFonts w:ascii="Arial" w:eastAsia="Calibri" w:hAnsi="Arial" w:cs="Arial"/>
          <w:bCs/>
          <w:color w:val="000000" w:themeColor="text1"/>
          <w:sz w:val="20"/>
          <w:szCs w:val="20"/>
          <w:lang w:val="es-ES"/>
        </w:rPr>
        <w:t>La legislación nacional ha desarrollado los deberes impuestos por el constituyente en materia de participación y control ciudadano. El artículo 66 de la Ley 80 de 1993 fija las reglas para la participación comunitaria</w:t>
      </w:r>
      <w:r w:rsidR="00167537" w:rsidRPr="009A69B5">
        <w:rPr>
          <w:rFonts w:ascii="Arial" w:eastAsia="Calibri" w:hAnsi="Arial" w:cs="Arial"/>
          <w:bCs/>
          <w:color w:val="000000" w:themeColor="text1"/>
          <w:sz w:val="20"/>
          <w:szCs w:val="20"/>
          <w:lang w:val="es-ES"/>
        </w:rPr>
        <w:t>.</w:t>
      </w:r>
    </w:p>
    <w:p w14:paraId="3B018B05" w14:textId="6978174B" w:rsidR="00313972" w:rsidRPr="009A69B5" w:rsidRDefault="00313972" w:rsidP="00361F7A">
      <w:pPr>
        <w:tabs>
          <w:tab w:val="left" w:pos="426"/>
        </w:tabs>
        <w:spacing w:after="120"/>
        <w:jc w:val="both"/>
        <w:rPr>
          <w:rFonts w:ascii="Arial" w:eastAsia="Calibri" w:hAnsi="Arial" w:cs="Arial"/>
          <w:bCs/>
          <w:color w:val="000000" w:themeColor="text1"/>
          <w:sz w:val="20"/>
          <w:szCs w:val="20"/>
          <w:lang w:val="es-ES"/>
        </w:rPr>
      </w:pPr>
      <w:r w:rsidRPr="009A69B5">
        <w:rPr>
          <w:rFonts w:ascii="Arial" w:eastAsia="Calibri" w:hAnsi="Arial" w:cs="Arial"/>
          <w:bCs/>
          <w:color w:val="000000" w:themeColor="text1"/>
          <w:sz w:val="20"/>
          <w:szCs w:val="20"/>
          <w:lang w:val="es-ES"/>
        </w:rPr>
        <w:t xml:space="preserve">Además de dicha norma, existen otras disposiciones legales en el ordenamiento que desarrollan el control social por parte de los ciudadanos. La Ley 850 de 2003, </w:t>
      </w:r>
      <w:r w:rsidR="00D26B72">
        <w:rPr>
          <w:rFonts w:ascii="Arial" w:eastAsia="Calibri" w:hAnsi="Arial" w:cs="Arial"/>
          <w:bCs/>
          <w:color w:val="000000" w:themeColor="text1"/>
          <w:sz w:val="20"/>
          <w:szCs w:val="20"/>
          <w:lang w:val="es-ES"/>
        </w:rPr>
        <w:t>«</w:t>
      </w:r>
      <w:r w:rsidRPr="009A69B5">
        <w:rPr>
          <w:rFonts w:ascii="Arial" w:eastAsia="Calibri" w:hAnsi="Arial" w:cs="Arial"/>
          <w:bCs/>
          <w:color w:val="000000" w:themeColor="text1"/>
          <w:sz w:val="20"/>
          <w:szCs w:val="20"/>
          <w:lang w:val="es-ES"/>
        </w:rPr>
        <w:t>Por medio de la cual se reglamentan las veedurías ciudadanas</w:t>
      </w:r>
      <w:r w:rsidR="00D26B72">
        <w:rPr>
          <w:rFonts w:ascii="Arial" w:eastAsia="Calibri" w:hAnsi="Arial" w:cs="Arial"/>
          <w:bCs/>
          <w:color w:val="000000" w:themeColor="text1"/>
          <w:sz w:val="20"/>
          <w:szCs w:val="20"/>
          <w:lang w:val="es-ES"/>
        </w:rPr>
        <w:t>»</w:t>
      </w:r>
      <w:r w:rsidRPr="009A69B5">
        <w:rPr>
          <w:rFonts w:ascii="Arial" w:eastAsia="Calibri" w:hAnsi="Arial" w:cs="Arial"/>
          <w:bCs/>
          <w:color w:val="000000" w:themeColor="text1"/>
          <w:sz w:val="20"/>
          <w:szCs w:val="20"/>
          <w:lang w:val="es-ES"/>
        </w:rPr>
        <w:t xml:space="preserve">, fijó las reglas del ejercicio de este mecanismo democrático de representación que le permite a los ciudadanos o a las diferentes organizaciones comunitarias, ejercer vigilancia sobre la gestión pública, respecto a las autoridades, administrativas, políticas, judiciales, electorales, legislativas y órganos de control, así como de las entidades públicas o privadas, organizaciones no gubernamentales de carácter nacional o internacional que operen en el país, encargadas de la ejecución de un programa, proyecto, contrato o de la prestación de un servicio público. Es decir, se trata de una vigilancia que se ejerce en donde quiera que haya empleo de recursos públicos. </w:t>
      </w:r>
    </w:p>
    <w:p w14:paraId="614237B1" w14:textId="4BD005A2" w:rsidR="006B03C3" w:rsidRPr="009A69B5" w:rsidRDefault="006B03C3" w:rsidP="006727B4">
      <w:pPr>
        <w:jc w:val="both"/>
        <w:rPr>
          <w:rFonts w:ascii="Arial" w:hAnsi="Arial" w:cs="Arial"/>
          <w:b/>
          <w:bCs/>
          <w:color w:val="000000" w:themeColor="text1"/>
          <w:sz w:val="22"/>
          <w:szCs w:val="22"/>
          <w:lang w:val="es-ES"/>
        </w:rPr>
      </w:pPr>
      <w:r w:rsidRPr="009A69B5">
        <w:rPr>
          <w:rFonts w:ascii="Arial" w:hAnsi="Arial" w:cs="Arial"/>
          <w:b/>
          <w:bCs/>
          <w:color w:val="000000" w:themeColor="text1"/>
          <w:sz w:val="22"/>
          <w:szCs w:val="22"/>
          <w:lang w:val="es-ES"/>
        </w:rPr>
        <w:lastRenderedPageBreak/>
        <w:t xml:space="preserve">CONTROL SOCIAL – Concepto </w:t>
      </w:r>
    </w:p>
    <w:p w14:paraId="40459DF5" w14:textId="77777777" w:rsidR="006727B4" w:rsidRDefault="006727B4" w:rsidP="006727B4">
      <w:pPr>
        <w:tabs>
          <w:tab w:val="left" w:pos="426"/>
        </w:tabs>
        <w:jc w:val="both"/>
        <w:rPr>
          <w:rFonts w:ascii="Arial" w:hAnsi="Arial" w:cs="Arial"/>
          <w:b/>
          <w:bCs/>
          <w:color w:val="000000" w:themeColor="text1"/>
          <w:sz w:val="22"/>
          <w:szCs w:val="22"/>
          <w:lang w:val="es-ES"/>
        </w:rPr>
      </w:pPr>
    </w:p>
    <w:p w14:paraId="14657D36" w14:textId="5677780E" w:rsidR="00313972" w:rsidRPr="009A69B5" w:rsidRDefault="00313972" w:rsidP="006727B4">
      <w:pPr>
        <w:tabs>
          <w:tab w:val="left" w:pos="426"/>
        </w:tabs>
        <w:jc w:val="both"/>
        <w:rPr>
          <w:rFonts w:ascii="Arial" w:eastAsia="Calibri" w:hAnsi="Arial" w:cs="Arial"/>
          <w:bCs/>
          <w:color w:val="000000" w:themeColor="text1"/>
          <w:sz w:val="20"/>
          <w:szCs w:val="20"/>
          <w:lang w:val="es-ES"/>
        </w:rPr>
      </w:pPr>
      <w:r w:rsidRPr="009A69B5">
        <w:rPr>
          <w:rFonts w:ascii="Arial" w:eastAsia="Calibri" w:hAnsi="Arial" w:cs="Arial"/>
          <w:bCs/>
          <w:color w:val="000000" w:themeColor="text1"/>
          <w:sz w:val="20"/>
          <w:szCs w:val="20"/>
          <w:lang w:val="es-ES"/>
        </w:rPr>
        <w:t xml:space="preserve">El control social no es solo un derecho, sino también un deber ciudadano que autoriza y exige de estos participar de manera individual o colectiva en la vigilancia de la gestión pública y sus resultados. El ordenamiento jurídico tiene una definición legal de control social; ello implica que este concepto, de conformidad con las reglas del Código Civil, debe ser interpretado en el sentido determinado por el legislador.  </w:t>
      </w:r>
    </w:p>
    <w:p w14:paraId="39607A78" w14:textId="77777777" w:rsidR="00063B73" w:rsidRPr="009A69B5" w:rsidRDefault="00063B73" w:rsidP="006727B4">
      <w:pPr>
        <w:jc w:val="both"/>
        <w:rPr>
          <w:rFonts w:ascii="Arial" w:hAnsi="Arial" w:cs="Arial"/>
          <w:bCs/>
          <w:color w:val="000000" w:themeColor="text1"/>
          <w:sz w:val="20"/>
          <w:szCs w:val="20"/>
          <w:lang w:val="es-ES"/>
        </w:rPr>
      </w:pPr>
    </w:p>
    <w:p w14:paraId="29217EF3" w14:textId="1E9F87CE" w:rsidR="00DA2783" w:rsidRPr="009A69B5" w:rsidRDefault="00313972" w:rsidP="006727B4">
      <w:pPr>
        <w:jc w:val="both"/>
        <w:rPr>
          <w:rFonts w:ascii="Arial" w:hAnsi="Arial" w:cs="Arial"/>
          <w:b/>
          <w:bCs/>
          <w:color w:val="000000" w:themeColor="text1"/>
          <w:sz w:val="22"/>
          <w:szCs w:val="22"/>
          <w:lang w:val="es-ES"/>
        </w:rPr>
      </w:pPr>
      <w:r w:rsidRPr="009A69B5">
        <w:rPr>
          <w:rFonts w:ascii="Arial" w:hAnsi="Arial" w:cs="Arial"/>
          <w:b/>
          <w:bCs/>
          <w:color w:val="000000" w:themeColor="text1"/>
          <w:sz w:val="22"/>
          <w:szCs w:val="22"/>
          <w:lang w:val="es-ES"/>
        </w:rPr>
        <w:t xml:space="preserve">CONTROL SOCIAL – Ámbito de aplicación </w:t>
      </w:r>
    </w:p>
    <w:p w14:paraId="276E8881" w14:textId="77777777" w:rsidR="006727B4" w:rsidRDefault="006727B4" w:rsidP="006727B4">
      <w:pPr>
        <w:tabs>
          <w:tab w:val="left" w:pos="426"/>
        </w:tabs>
        <w:jc w:val="both"/>
        <w:rPr>
          <w:rFonts w:ascii="Arial" w:hAnsi="Arial" w:cs="Arial"/>
          <w:bCs/>
          <w:color w:val="000000" w:themeColor="text1"/>
          <w:sz w:val="20"/>
          <w:szCs w:val="20"/>
          <w:lang w:val="es-ES"/>
        </w:rPr>
      </w:pPr>
    </w:p>
    <w:p w14:paraId="71B63E03" w14:textId="630E30BB" w:rsidR="00167537" w:rsidRPr="009A69B5" w:rsidRDefault="00313972" w:rsidP="00423B56">
      <w:pPr>
        <w:tabs>
          <w:tab w:val="left" w:pos="426"/>
        </w:tabs>
        <w:spacing w:after="120"/>
        <w:jc w:val="both"/>
        <w:rPr>
          <w:rFonts w:ascii="Arial" w:eastAsia="Calibri" w:hAnsi="Arial" w:cs="Arial"/>
          <w:bCs/>
          <w:color w:val="000000" w:themeColor="text1"/>
          <w:sz w:val="20"/>
          <w:szCs w:val="20"/>
          <w:lang w:val="es-ES"/>
        </w:rPr>
      </w:pPr>
      <w:r w:rsidRPr="009A69B5">
        <w:rPr>
          <w:rFonts w:ascii="Arial" w:eastAsia="Calibri" w:hAnsi="Arial" w:cs="Arial"/>
          <w:bCs/>
          <w:color w:val="000000" w:themeColor="text1"/>
          <w:sz w:val="20"/>
          <w:szCs w:val="20"/>
          <w:lang w:val="es-ES"/>
        </w:rPr>
        <w:t>En relación con el ámbito de aplicación, el artículo 62 de la Ley 1757 de 2015 señala que: «el control social tiene por objeto el seguimiento y evaluación de las políticas públicas y a la gestión desarrollada por las autoridades públicas y por los particulares que ejerzan funciones públicas».</w:t>
      </w:r>
    </w:p>
    <w:p w14:paraId="33B2D9F8" w14:textId="7775EECD" w:rsidR="00313972" w:rsidRPr="009A69B5" w:rsidRDefault="00313972" w:rsidP="00423B56">
      <w:pPr>
        <w:tabs>
          <w:tab w:val="left" w:pos="426"/>
        </w:tabs>
        <w:jc w:val="both"/>
        <w:rPr>
          <w:rFonts w:ascii="Arial" w:eastAsia="Calibri" w:hAnsi="Arial" w:cs="Arial"/>
          <w:bCs/>
          <w:color w:val="000000" w:themeColor="text1"/>
          <w:sz w:val="20"/>
          <w:szCs w:val="20"/>
          <w:lang w:val="es-ES"/>
        </w:rPr>
      </w:pPr>
      <w:r w:rsidRPr="009A69B5">
        <w:rPr>
          <w:rFonts w:ascii="Arial" w:eastAsia="Calibri" w:hAnsi="Arial" w:cs="Arial"/>
          <w:bCs/>
          <w:color w:val="000000" w:themeColor="text1"/>
          <w:sz w:val="20"/>
          <w:szCs w:val="20"/>
          <w:lang w:val="es-ES"/>
        </w:rPr>
        <w:t xml:space="preserve">De manera más concreta para la Contratación Estatal, el artículo 66 de la Ley 1757 de 2015 prescribe que «todo contrato que celebren las instituciones del Estado estará sujeto a la vigilancia por parte de las personas, entidades y organizaciones que quieran hacerlo, de conformidad con la normatividad vigente en la materia». </w:t>
      </w:r>
    </w:p>
    <w:p w14:paraId="690339B4" w14:textId="77777777" w:rsidR="00DA2783" w:rsidRPr="009A69B5" w:rsidRDefault="00DA2783" w:rsidP="00423B56">
      <w:pPr>
        <w:jc w:val="both"/>
        <w:rPr>
          <w:rFonts w:ascii="Arial" w:hAnsi="Arial" w:cs="Arial"/>
          <w:bCs/>
          <w:color w:val="000000" w:themeColor="text1"/>
          <w:sz w:val="20"/>
          <w:szCs w:val="20"/>
          <w:lang w:val="es-ES"/>
        </w:rPr>
      </w:pPr>
    </w:p>
    <w:p w14:paraId="00BD332B" w14:textId="3347CAE9" w:rsidR="00313972" w:rsidRPr="009A69B5" w:rsidRDefault="00313972" w:rsidP="00423B56">
      <w:pPr>
        <w:jc w:val="both"/>
        <w:rPr>
          <w:rFonts w:ascii="Arial" w:hAnsi="Arial" w:cs="Arial"/>
          <w:b/>
          <w:bCs/>
          <w:color w:val="000000" w:themeColor="text1"/>
          <w:sz w:val="22"/>
          <w:szCs w:val="22"/>
          <w:lang w:val="es-ES"/>
        </w:rPr>
      </w:pPr>
      <w:r w:rsidRPr="009A69B5">
        <w:rPr>
          <w:rFonts w:ascii="Arial" w:hAnsi="Arial" w:cs="Arial"/>
          <w:b/>
          <w:bCs/>
          <w:color w:val="000000" w:themeColor="text1"/>
          <w:sz w:val="22"/>
          <w:szCs w:val="22"/>
          <w:lang w:val="es-ES"/>
        </w:rPr>
        <w:t xml:space="preserve">CONTROL SOCIAL – Sujetos activos </w:t>
      </w:r>
    </w:p>
    <w:p w14:paraId="0853FFCA" w14:textId="77777777" w:rsidR="006727B4" w:rsidRDefault="006727B4" w:rsidP="006727B4">
      <w:pPr>
        <w:jc w:val="both"/>
        <w:rPr>
          <w:rFonts w:ascii="Arial" w:hAnsi="Arial" w:cs="Arial"/>
          <w:bCs/>
          <w:color w:val="000000" w:themeColor="text1"/>
          <w:sz w:val="20"/>
          <w:szCs w:val="20"/>
          <w:lang w:val="es-ES"/>
        </w:rPr>
      </w:pPr>
    </w:p>
    <w:p w14:paraId="53C74C6A" w14:textId="25519473" w:rsidR="00313972" w:rsidRPr="009A69B5" w:rsidRDefault="00313972" w:rsidP="006727B4">
      <w:pPr>
        <w:jc w:val="both"/>
        <w:rPr>
          <w:rFonts w:ascii="Arial" w:hAnsi="Arial" w:cs="Arial"/>
          <w:bCs/>
          <w:color w:val="000000" w:themeColor="text1"/>
          <w:sz w:val="20"/>
          <w:szCs w:val="20"/>
          <w:lang w:val="es-ES"/>
        </w:rPr>
      </w:pPr>
      <w:r w:rsidRPr="009A69B5">
        <w:rPr>
          <w:rFonts w:ascii="Arial" w:hAnsi="Arial" w:cs="Arial"/>
          <w:bCs/>
          <w:color w:val="000000" w:themeColor="text1"/>
          <w:sz w:val="20"/>
          <w:szCs w:val="20"/>
          <w:lang w:val="es-ES"/>
        </w:rPr>
        <w:t xml:space="preserve">Las normas sobre la materia establecen que los sujetos habilitados para el ejercicio del control social –los sujetos activos– son, según el artículo 60 de la Ley 1757 de 2015, los ciudadanos de manera individual, o por intermedio de organizaciones constituidas para tal fin, y a través de redes sociales o instituciones. Sobre ello debe resaltarse que el control social no es una prerrogativa o derecho exclusivo de determinada entidad o de ciertos ciudadanos, sino que se trata de un derecho que puede ser ejercido por cualquier persona y se puede desarrollar, conforme al artículo 63 de esa Ley, a través de veeduría ciudadanas, juntas de vigilancia, comités de </w:t>
      </w:r>
      <w:r w:rsidR="003549D8">
        <w:rPr>
          <w:rFonts w:ascii="Arial" w:hAnsi="Arial" w:cs="Arial"/>
          <w:bCs/>
          <w:color w:val="000000" w:themeColor="text1"/>
          <w:sz w:val="20"/>
          <w:szCs w:val="20"/>
          <w:lang w:val="es-ES"/>
        </w:rPr>
        <w:t>d</w:t>
      </w:r>
      <w:r w:rsidRPr="009A69B5">
        <w:rPr>
          <w:rFonts w:ascii="Arial" w:hAnsi="Arial" w:cs="Arial"/>
          <w:bCs/>
          <w:color w:val="000000" w:themeColor="text1"/>
          <w:sz w:val="20"/>
          <w:szCs w:val="20"/>
          <w:lang w:val="es-ES"/>
        </w:rPr>
        <w:t xml:space="preserve">esarrollo y </w:t>
      </w:r>
      <w:r w:rsidR="003549D8">
        <w:rPr>
          <w:rFonts w:ascii="Arial" w:hAnsi="Arial" w:cs="Arial"/>
          <w:bCs/>
          <w:color w:val="000000" w:themeColor="text1"/>
          <w:sz w:val="20"/>
          <w:szCs w:val="20"/>
          <w:lang w:val="es-ES"/>
        </w:rPr>
        <w:t>c</w:t>
      </w:r>
      <w:r w:rsidRPr="009A69B5">
        <w:rPr>
          <w:rFonts w:ascii="Arial" w:hAnsi="Arial" w:cs="Arial"/>
          <w:bCs/>
          <w:color w:val="000000" w:themeColor="text1"/>
          <w:sz w:val="20"/>
          <w:szCs w:val="20"/>
          <w:lang w:val="es-ES"/>
        </w:rPr>
        <w:t xml:space="preserve">ontrol </w:t>
      </w:r>
      <w:r w:rsidR="003549D8">
        <w:rPr>
          <w:rFonts w:ascii="Arial" w:hAnsi="Arial" w:cs="Arial"/>
          <w:bCs/>
          <w:color w:val="000000" w:themeColor="text1"/>
          <w:sz w:val="20"/>
          <w:szCs w:val="20"/>
          <w:lang w:val="es-ES"/>
        </w:rPr>
        <w:t>s</w:t>
      </w:r>
      <w:r w:rsidRPr="009A69B5">
        <w:rPr>
          <w:rFonts w:ascii="Arial" w:hAnsi="Arial" w:cs="Arial"/>
          <w:bCs/>
          <w:color w:val="000000" w:themeColor="text1"/>
          <w:sz w:val="20"/>
          <w:szCs w:val="20"/>
          <w:lang w:val="es-ES"/>
        </w:rPr>
        <w:t xml:space="preserve">ocial de los </w:t>
      </w:r>
      <w:r w:rsidR="003549D8">
        <w:rPr>
          <w:rFonts w:ascii="Arial" w:hAnsi="Arial" w:cs="Arial"/>
          <w:bCs/>
          <w:color w:val="000000" w:themeColor="text1"/>
          <w:sz w:val="20"/>
          <w:szCs w:val="20"/>
          <w:lang w:val="es-ES"/>
        </w:rPr>
        <w:t>s</w:t>
      </w:r>
      <w:r w:rsidRPr="009A69B5">
        <w:rPr>
          <w:rFonts w:ascii="Arial" w:hAnsi="Arial" w:cs="Arial"/>
          <w:bCs/>
          <w:color w:val="000000" w:themeColor="text1"/>
          <w:sz w:val="20"/>
          <w:szCs w:val="20"/>
          <w:lang w:val="es-ES"/>
        </w:rPr>
        <w:t xml:space="preserve">ervicios </w:t>
      </w:r>
      <w:r w:rsidR="003549D8">
        <w:rPr>
          <w:rFonts w:ascii="Arial" w:hAnsi="Arial" w:cs="Arial"/>
          <w:bCs/>
          <w:color w:val="000000" w:themeColor="text1"/>
          <w:sz w:val="20"/>
          <w:szCs w:val="20"/>
          <w:lang w:val="es-ES"/>
        </w:rPr>
        <w:t>p</w:t>
      </w:r>
      <w:r w:rsidRPr="009A69B5">
        <w:rPr>
          <w:rFonts w:ascii="Arial" w:hAnsi="Arial" w:cs="Arial"/>
          <w:bCs/>
          <w:color w:val="000000" w:themeColor="text1"/>
          <w:sz w:val="20"/>
          <w:szCs w:val="20"/>
          <w:lang w:val="es-ES"/>
        </w:rPr>
        <w:t xml:space="preserve">úblicos, </w:t>
      </w:r>
      <w:r w:rsidR="003549D8">
        <w:rPr>
          <w:rFonts w:ascii="Arial" w:hAnsi="Arial" w:cs="Arial"/>
          <w:bCs/>
          <w:color w:val="000000" w:themeColor="text1"/>
          <w:sz w:val="20"/>
          <w:szCs w:val="20"/>
          <w:lang w:val="es-ES"/>
        </w:rPr>
        <w:t>a</w:t>
      </w:r>
      <w:r w:rsidRPr="009A69B5">
        <w:rPr>
          <w:rFonts w:ascii="Arial" w:hAnsi="Arial" w:cs="Arial"/>
          <w:bCs/>
          <w:color w:val="000000" w:themeColor="text1"/>
          <w:sz w:val="20"/>
          <w:szCs w:val="20"/>
          <w:lang w:val="es-ES"/>
        </w:rPr>
        <w:t>uditorías ciudadanas, y otras instancias de participación ciudadana establecidas en el ordenamiento, así como a través del ejercicio de los derechos constitucionales dirigidos a hacer control a la gestión pública y sus resultados.</w:t>
      </w:r>
    </w:p>
    <w:p w14:paraId="2ABBD6E8" w14:textId="77777777" w:rsidR="00313972" w:rsidRPr="009A69B5" w:rsidRDefault="00313972" w:rsidP="006727B4">
      <w:pPr>
        <w:jc w:val="both"/>
        <w:rPr>
          <w:rFonts w:ascii="Arial" w:hAnsi="Arial" w:cs="Arial"/>
          <w:bCs/>
          <w:color w:val="000000" w:themeColor="text1"/>
          <w:sz w:val="20"/>
          <w:szCs w:val="20"/>
          <w:lang w:val="es-ES"/>
        </w:rPr>
      </w:pPr>
    </w:p>
    <w:p w14:paraId="4C0D38FA" w14:textId="755F0B0E" w:rsidR="006B03C3" w:rsidRPr="009A69B5" w:rsidRDefault="00313972" w:rsidP="006727B4">
      <w:pPr>
        <w:jc w:val="both"/>
        <w:rPr>
          <w:rFonts w:ascii="Arial" w:hAnsi="Arial" w:cs="Arial"/>
          <w:b/>
          <w:bCs/>
          <w:color w:val="000000" w:themeColor="text1"/>
          <w:sz w:val="22"/>
          <w:szCs w:val="22"/>
          <w:lang w:val="es-ES"/>
        </w:rPr>
      </w:pPr>
      <w:r w:rsidRPr="009A69B5">
        <w:rPr>
          <w:rFonts w:ascii="Arial" w:hAnsi="Arial" w:cs="Arial"/>
          <w:b/>
          <w:bCs/>
          <w:color w:val="000000" w:themeColor="text1"/>
          <w:sz w:val="22"/>
          <w:szCs w:val="22"/>
          <w:lang w:val="es-ES"/>
        </w:rPr>
        <w:t xml:space="preserve">CONTROL SOCIAL – Sujetos pasivos </w:t>
      </w:r>
      <w:r w:rsidR="006B03C3" w:rsidRPr="009A69B5">
        <w:rPr>
          <w:rFonts w:ascii="Arial" w:hAnsi="Arial" w:cs="Arial"/>
          <w:b/>
          <w:bCs/>
          <w:color w:val="000000" w:themeColor="text1"/>
          <w:sz w:val="22"/>
          <w:szCs w:val="22"/>
          <w:lang w:val="es-ES"/>
        </w:rPr>
        <w:t xml:space="preserve"> </w:t>
      </w:r>
    </w:p>
    <w:p w14:paraId="3B076975" w14:textId="77777777" w:rsidR="00DA2783" w:rsidRPr="009A69B5" w:rsidRDefault="00DA2783" w:rsidP="006727B4">
      <w:pPr>
        <w:jc w:val="both"/>
        <w:rPr>
          <w:rFonts w:ascii="Arial" w:hAnsi="Arial" w:cs="Arial"/>
          <w:b/>
          <w:bCs/>
          <w:color w:val="000000" w:themeColor="text1"/>
          <w:sz w:val="22"/>
          <w:szCs w:val="22"/>
          <w:lang w:val="es-ES"/>
        </w:rPr>
      </w:pPr>
    </w:p>
    <w:p w14:paraId="61709A62" w14:textId="20EB9388" w:rsidR="00063B73" w:rsidRPr="009A69B5" w:rsidRDefault="00063B73" w:rsidP="00423B56">
      <w:pPr>
        <w:spacing w:after="120"/>
        <w:jc w:val="both"/>
        <w:rPr>
          <w:rFonts w:ascii="Arial" w:hAnsi="Arial" w:cs="Arial"/>
          <w:bCs/>
          <w:color w:val="000000" w:themeColor="text1"/>
          <w:sz w:val="20"/>
          <w:szCs w:val="20"/>
          <w:lang w:val="es-ES"/>
        </w:rPr>
      </w:pPr>
      <w:r w:rsidRPr="009A69B5">
        <w:rPr>
          <w:rFonts w:ascii="Arial" w:hAnsi="Arial" w:cs="Arial"/>
          <w:bCs/>
          <w:color w:val="000000" w:themeColor="text1"/>
          <w:sz w:val="20"/>
          <w:szCs w:val="20"/>
          <w:lang w:val="es-ES"/>
        </w:rPr>
        <w:t>La Ley 1757 de 2015 establece para el control social un ámbito de aplicación amplio que comprende todos los contratos estatales celebrados al amparo del Estatuto General de Contratación de la Administración Pública, así como otros contratos celebrados por entidades del Estado y sometidos a regímenes jurídicos distintos a dicho Estatuto. En otras palabras, el control social puede recaer sobre contratos estatales propiamente dichos, o contratos estatales especiales, sometidos a regímenes jurídicos diferentes al Estatuto General de Contratación de la Administración Pública (EGCAP). A dicha conclusión se llega de la simple lectura del artículo 66 que se refiere a todo contrato celebrado por instituciones del Estado, sin distinguir para esos efectos el régimen jurídico del contrato o la entidad que lo celebra.</w:t>
      </w:r>
    </w:p>
    <w:p w14:paraId="073BE1ED" w14:textId="77777777" w:rsidR="00063B73" w:rsidRPr="009A69B5" w:rsidRDefault="00063B73" w:rsidP="00423B56">
      <w:pPr>
        <w:jc w:val="both"/>
        <w:rPr>
          <w:rFonts w:ascii="Arial" w:hAnsi="Arial" w:cs="Arial"/>
          <w:bCs/>
          <w:color w:val="000000" w:themeColor="text1"/>
          <w:sz w:val="20"/>
          <w:szCs w:val="20"/>
          <w:lang w:val="es-ES"/>
        </w:rPr>
      </w:pPr>
      <w:r w:rsidRPr="009A69B5">
        <w:rPr>
          <w:rFonts w:ascii="Arial" w:hAnsi="Arial" w:cs="Arial"/>
          <w:bCs/>
          <w:color w:val="000000" w:themeColor="text1"/>
          <w:sz w:val="20"/>
          <w:szCs w:val="20"/>
          <w:lang w:val="es-ES"/>
        </w:rPr>
        <w:t xml:space="preserve">Para reforzar el argumento anterior, puede también recurrirse al análisis de los sujetos pasivos del control social, pues estos no se restringen a las entidades que aplican el EGCAP. El mismo artículo 66 de la Ley 1757 de 2015 prescribe que «las entidades del Estado y las entidades privadas que </w:t>
      </w:r>
      <w:r w:rsidRPr="009A69B5">
        <w:rPr>
          <w:rFonts w:ascii="Arial" w:hAnsi="Arial" w:cs="Arial"/>
          <w:bCs/>
          <w:color w:val="000000" w:themeColor="text1"/>
          <w:sz w:val="20"/>
          <w:szCs w:val="20"/>
          <w:lang w:val="es-ES"/>
        </w:rPr>
        <w:lastRenderedPageBreak/>
        <w:t>presten servicios públicos domiciliarios o realicen proyectos con recursos públicos deberán garantizar el ejercicio del derecho al control social». Se puede afirmar, entonces, que los sujetos pasivos del derecho al control social son las entidades del Estado, las entidades privada que prestan servicios públicos domiciliarios, y las empresas que realizan proyectos con recursos públicos.</w:t>
      </w:r>
    </w:p>
    <w:p w14:paraId="7DE07761" w14:textId="77777777" w:rsidR="00313972" w:rsidRPr="009A69B5" w:rsidRDefault="00313972" w:rsidP="00423B56">
      <w:pPr>
        <w:jc w:val="both"/>
        <w:rPr>
          <w:rFonts w:ascii="Arial" w:hAnsi="Arial" w:cs="Arial"/>
          <w:bCs/>
          <w:color w:val="000000" w:themeColor="text1"/>
          <w:sz w:val="20"/>
          <w:szCs w:val="20"/>
          <w:lang w:val="es-ES"/>
        </w:rPr>
      </w:pPr>
    </w:p>
    <w:p w14:paraId="20E9226D" w14:textId="2664831B" w:rsidR="00DA2783" w:rsidRPr="009A69B5" w:rsidRDefault="006B03C3" w:rsidP="00423B56">
      <w:pPr>
        <w:jc w:val="both"/>
        <w:rPr>
          <w:rFonts w:ascii="Arial" w:hAnsi="Arial" w:cs="Arial"/>
          <w:b/>
          <w:bCs/>
          <w:color w:val="000000" w:themeColor="text1"/>
          <w:sz w:val="22"/>
          <w:szCs w:val="22"/>
          <w:lang w:val="es-ES"/>
        </w:rPr>
      </w:pPr>
      <w:r w:rsidRPr="009A69B5">
        <w:rPr>
          <w:rFonts w:ascii="Arial" w:hAnsi="Arial" w:cs="Arial"/>
          <w:b/>
          <w:bCs/>
          <w:color w:val="000000" w:themeColor="text1"/>
          <w:sz w:val="22"/>
          <w:szCs w:val="22"/>
          <w:lang w:val="es-ES"/>
        </w:rPr>
        <w:t>CONTROL SOC</w:t>
      </w:r>
      <w:r w:rsidR="00313972" w:rsidRPr="009A69B5">
        <w:rPr>
          <w:rFonts w:ascii="Arial" w:hAnsi="Arial" w:cs="Arial"/>
          <w:b/>
          <w:bCs/>
          <w:color w:val="000000" w:themeColor="text1"/>
          <w:sz w:val="22"/>
          <w:szCs w:val="22"/>
          <w:lang w:val="es-ES"/>
        </w:rPr>
        <w:t xml:space="preserve">IAL – Contratación pública – Oportunidades </w:t>
      </w:r>
    </w:p>
    <w:p w14:paraId="04A46F20" w14:textId="77777777" w:rsidR="006727B4" w:rsidRDefault="006727B4" w:rsidP="006727B4">
      <w:pPr>
        <w:jc w:val="both"/>
        <w:rPr>
          <w:rFonts w:ascii="Arial" w:hAnsi="Arial" w:cs="Arial"/>
          <w:bCs/>
          <w:color w:val="000000" w:themeColor="text1"/>
          <w:sz w:val="20"/>
          <w:szCs w:val="20"/>
          <w:lang w:val="es-ES"/>
        </w:rPr>
      </w:pPr>
    </w:p>
    <w:p w14:paraId="35880B3C" w14:textId="7906602C" w:rsidR="006B03C3" w:rsidRPr="009A69B5" w:rsidRDefault="006B03C3" w:rsidP="006727B4">
      <w:pPr>
        <w:jc w:val="both"/>
        <w:rPr>
          <w:rFonts w:ascii="Arial" w:hAnsi="Arial" w:cs="Arial"/>
          <w:bCs/>
          <w:color w:val="000000" w:themeColor="text1"/>
          <w:sz w:val="20"/>
          <w:szCs w:val="20"/>
          <w:lang w:val="es-ES"/>
        </w:rPr>
      </w:pPr>
      <w:r w:rsidRPr="009A69B5">
        <w:rPr>
          <w:rFonts w:ascii="Arial" w:hAnsi="Arial" w:cs="Arial"/>
          <w:bCs/>
          <w:color w:val="000000" w:themeColor="text1"/>
          <w:sz w:val="20"/>
          <w:szCs w:val="20"/>
          <w:lang w:val="es-ES"/>
        </w:rPr>
        <w:t>El control social a la contratación pública puede realizarse (i) durante la etapa de planeación; (ii) durante la etapa de selección; (iii) durante la etapa de contratación; (iv) durante la etapa de ejecución; y (v) después de la finalización del proceso de compra y contratación.</w:t>
      </w:r>
    </w:p>
    <w:p w14:paraId="1854B0AE" w14:textId="040ABC76" w:rsidR="00FA446A" w:rsidRPr="00423B56" w:rsidRDefault="00FA446A" w:rsidP="006727B4">
      <w:pPr>
        <w:jc w:val="both"/>
        <w:rPr>
          <w:rFonts w:ascii="Arial" w:hAnsi="Arial" w:cs="Arial"/>
          <w:color w:val="000000" w:themeColor="text1"/>
          <w:sz w:val="20"/>
          <w:szCs w:val="20"/>
          <w:lang w:val="es-ES"/>
        </w:rPr>
      </w:pPr>
    </w:p>
    <w:p w14:paraId="2AECA5A7" w14:textId="77777777" w:rsidR="00FA446A" w:rsidRPr="00423B56" w:rsidRDefault="00FA446A" w:rsidP="00FA446A">
      <w:pPr>
        <w:spacing w:line="276" w:lineRule="auto"/>
        <w:jc w:val="both"/>
        <w:rPr>
          <w:rFonts w:ascii="Arial" w:hAnsi="Arial" w:cs="Arial"/>
          <w:color w:val="000000" w:themeColor="text1"/>
          <w:sz w:val="20"/>
          <w:szCs w:val="20"/>
          <w:lang w:val="es-ES"/>
        </w:rPr>
      </w:pPr>
    </w:p>
    <w:p w14:paraId="34FEFC9D" w14:textId="63A415AE" w:rsidR="005E44A2" w:rsidRPr="009A69B5" w:rsidRDefault="00A37FB6" w:rsidP="00FA446A">
      <w:pPr>
        <w:spacing w:line="276" w:lineRule="auto"/>
        <w:jc w:val="both"/>
        <w:rPr>
          <w:rFonts w:ascii="Arial" w:hAnsi="Arial" w:cs="Arial"/>
          <w:b/>
          <w:color w:val="000000" w:themeColor="text1"/>
          <w:sz w:val="22"/>
          <w:szCs w:val="22"/>
          <w:lang w:val="es-ES"/>
        </w:rPr>
      </w:pPr>
      <w:r w:rsidRPr="009A69B5">
        <w:rPr>
          <w:rFonts w:ascii="Arial" w:hAnsi="Arial" w:cs="Arial"/>
          <w:color w:val="000000" w:themeColor="text1"/>
          <w:sz w:val="22"/>
          <w:szCs w:val="22"/>
          <w:lang w:val="es-ES"/>
        </w:rPr>
        <w:t xml:space="preserve">Bogotá D.C., </w:t>
      </w:r>
      <w:r w:rsidR="00F55D63">
        <w:rPr>
          <w:rFonts w:ascii="Arial" w:hAnsi="Arial" w:cs="Arial"/>
          <w:b/>
          <w:color w:val="000000" w:themeColor="text1"/>
          <w:sz w:val="22"/>
          <w:szCs w:val="22"/>
          <w:lang w:val="es-ES"/>
        </w:rPr>
        <w:t>24/07/2020 Hora 15:53:30s</w:t>
      </w:r>
    </w:p>
    <w:p w14:paraId="1A206CA7" w14:textId="77777777" w:rsidR="00FA446A" w:rsidRPr="009A69B5" w:rsidRDefault="00FA446A" w:rsidP="00FA446A">
      <w:pPr>
        <w:spacing w:line="276" w:lineRule="auto"/>
        <w:jc w:val="both"/>
        <w:rPr>
          <w:rFonts w:ascii="Arial" w:eastAsia="Calibri" w:hAnsi="Arial" w:cs="Arial"/>
          <w:color w:val="000000" w:themeColor="text1"/>
          <w:sz w:val="22"/>
          <w:szCs w:val="22"/>
          <w:lang w:val="es-ES"/>
        </w:rPr>
      </w:pPr>
    </w:p>
    <w:p w14:paraId="7E80B7C1" w14:textId="1B4B844C" w:rsidR="00A37FB6" w:rsidRPr="009A69B5" w:rsidRDefault="00A37FB6" w:rsidP="00F55D63">
      <w:pPr>
        <w:spacing w:line="276" w:lineRule="auto"/>
        <w:jc w:val="right"/>
        <w:rPr>
          <w:rFonts w:ascii="Arial" w:hAnsi="Arial" w:cs="Arial"/>
          <w:b/>
          <w:color w:val="000000" w:themeColor="text1"/>
          <w:sz w:val="22"/>
          <w:szCs w:val="22"/>
          <w:lang w:val="es-ES"/>
        </w:rPr>
      </w:pPr>
      <w:r w:rsidRPr="009A69B5">
        <w:rPr>
          <w:rFonts w:ascii="Arial" w:hAnsi="Arial" w:cs="Arial"/>
          <w:b/>
          <w:color w:val="000000" w:themeColor="text1"/>
          <w:sz w:val="22"/>
          <w:szCs w:val="22"/>
          <w:lang w:val="es-ES"/>
        </w:rPr>
        <w:t xml:space="preserve">N° Radicado: </w:t>
      </w:r>
      <w:r w:rsidR="00F55D63">
        <w:rPr>
          <w:rFonts w:ascii="Arial" w:hAnsi="Arial" w:cs="Arial"/>
          <w:b/>
          <w:color w:val="000000" w:themeColor="text1"/>
          <w:sz w:val="22"/>
          <w:szCs w:val="22"/>
          <w:lang w:val="es-ES"/>
        </w:rPr>
        <w:t>2202013000006599</w:t>
      </w:r>
    </w:p>
    <w:p w14:paraId="1BD275BE" w14:textId="77777777" w:rsidR="00FA446A" w:rsidRPr="009A69B5" w:rsidRDefault="00FA446A" w:rsidP="00FA446A">
      <w:pPr>
        <w:spacing w:line="276" w:lineRule="auto"/>
        <w:ind w:left="7797" w:hanging="2133"/>
        <w:jc w:val="both"/>
        <w:rPr>
          <w:rFonts w:ascii="Arial" w:eastAsia="Calibri" w:hAnsi="Arial" w:cs="Arial"/>
          <w:color w:val="000000" w:themeColor="text1"/>
          <w:sz w:val="22"/>
          <w:szCs w:val="22"/>
          <w:lang w:val="es-ES"/>
        </w:rPr>
      </w:pPr>
    </w:p>
    <w:p w14:paraId="2B166DFC" w14:textId="2A0D479F" w:rsidR="00A37FB6" w:rsidRPr="009A69B5" w:rsidRDefault="00A37FB6" w:rsidP="00FA446A">
      <w:pPr>
        <w:spacing w:line="276" w:lineRule="auto"/>
        <w:jc w:val="both"/>
        <w:rPr>
          <w:rFonts w:ascii="Arial" w:eastAsia="Calibri" w:hAnsi="Arial" w:cs="Arial"/>
          <w:color w:val="000000" w:themeColor="text1"/>
          <w:sz w:val="22"/>
          <w:szCs w:val="22"/>
          <w:lang w:val="es-ES"/>
        </w:rPr>
      </w:pPr>
      <w:r w:rsidRPr="009A69B5">
        <w:rPr>
          <w:rFonts w:ascii="Arial" w:eastAsia="Calibri" w:hAnsi="Arial" w:cs="Arial"/>
          <w:color w:val="000000" w:themeColor="text1"/>
          <w:sz w:val="22"/>
          <w:szCs w:val="22"/>
          <w:lang w:val="es-ES"/>
        </w:rPr>
        <w:t>Señor</w:t>
      </w:r>
    </w:p>
    <w:p w14:paraId="17946A88" w14:textId="62515A0E" w:rsidR="008E1BE3" w:rsidRPr="009A69B5" w:rsidRDefault="008E1BE3" w:rsidP="00FA446A">
      <w:pPr>
        <w:spacing w:line="276" w:lineRule="auto"/>
        <w:jc w:val="both"/>
        <w:rPr>
          <w:rFonts w:ascii="Arial" w:eastAsia="Calibri" w:hAnsi="Arial" w:cs="Arial"/>
          <w:b/>
          <w:color w:val="000000" w:themeColor="text1"/>
          <w:sz w:val="22"/>
          <w:szCs w:val="22"/>
          <w:lang w:val="es-ES"/>
        </w:rPr>
      </w:pPr>
      <w:r w:rsidRPr="009A69B5">
        <w:rPr>
          <w:rFonts w:ascii="Arial" w:eastAsia="Calibri" w:hAnsi="Arial" w:cs="Arial"/>
          <w:b/>
          <w:color w:val="000000" w:themeColor="text1"/>
          <w:sz w:val="22"/>
          <w:szCs w:val="22"/>
          <w:lang w:val="es-ES"/>
        </w:rPr>
        <w:t xml:space="preserve">Ricardo Andrés Moreno Cardozo </w:t>
      </w:r>
    </w:p>
    <w:p w14:paraId="359C48BE" w14:textId="7848AFFD" w:rsidR="00A37FB6" w:rsidRPr="009A69B5" w:rsidRDefault="00A37FB6" w:rsidP="00FA446A">
      <w:pPr>
        <w:spacing w:line="276" w:lineRule="auto"/>
        <w:jc w:val="both"/>
        <w:rPr>
          <w:rFonts w:ascii="Arial" w:eastAsia="Calibri" w:hAnsi="Arial" w:cs="Arial"/>
          <w:color w:val="000000" w:themeColor="text1"/>
          <w:sz w:val="22"/>
          <w:szCs w:val="22"/>
          <w:lang w:val="es-ES"/>
        </w:rPr>
      </w:pPr>
      <w:r w:rsidRPr="009A69B5">
        <w:rPr>
          <w:rFonts w:ascii="Arial" w:eastAsia="Calibri" w:hAnsi="Arial" w:cs="Arial"/>
          <w:color w:val="000000" w:themeColor="text1"/>
          <w:sz w:val="22"/>
          <w:szCs w:val="22"/>
          <w:lang w:val="es-ES"/>
        </w:rPr>
        <w:t>Ciudad</w:t>
      </w:r>
    </w:p>
    <w:p w14:paraId="479F6A3A" w14:textId="1F3306D2" w:rsidR="00A37FB6" w:rsidRPr="009A69B5" w:rsidRDefault="00A37FB6" w:rsidP="00AA4A09">
      <w:pPr>
        <w:spacing w:before="120" w:after="120" w:line="276" w:lineRule="auto"/>
        <w:ind w:left="2832" w:firstLine="708"/>
        <w:jc w:val="both"/>
        <w:rPr>
          <w:rFonts w:ascii="Arial" w:eastAsia="Calibri" w:hAnsi="Arial" w:cs="Arial"/>
          <w:b/>
          <w:color w:val="000000" w:themeColor="text1"/>
          <w:sz w:val="22"/>
          <w:szCs w:val="22"/>
          <w:lang w:val="es-ES"/>
        </w:rPr>
      </w:pPr>
      <w:r w:rsidRPr="009A69B5">
        <w:rPr>
          <w:rFonts w:ascii="Arial" w:eastAsia="Calibri" w:hAnsi="Arial" w:cs="Arial"/>
          <w:b/>
          <w:color w:val="000000" w:themeColor="text1"/>
          <w:sz w:val="22"/>
          <w:szCs w:val="22"/>
          <w:lang w:val="es-ES"/>
        </w:rPr>
        <w:t xml:space="preserve">Concepto C ─ </w:t>
      </w:r>
      <w:r w:rsidR="0056439A" w:rsidRPr="009A69B5">
        <w:rPr>
          <w:rFonts w:ascii="Arial" w:eastAsia="Calibri" w:hAnsi="Arial" w:cs="Arial"/>
          <w:b/>
          <w:color w:val="000000" w:themeColor="text1"/>
          <w:sz w:val="22"/>
          <w:szCs w:val="22"/>
          <w:lang w:val="es-ES"/>
        </w:rPr>
        <w:t>445</w:t>
      </w:r>
      <w:r w:rsidRPr="009A69B5">
        <w:rPr>
          <w:rFonts w:ascii="Arial" w:eastAsia="Calibri" w:hAnsi="Arial" w:cs="Arial"/>
          <w:b/>
          <w:color w:val="000000" w:themeColor="text1"/>
          <w:sz w:val="22"/>
          <w:szCs w:val="22"/>
          <w:lang w:val="es-ES"/>
        </w:rPr>
        <w:t xml:space="preserve"> de 2020</w:t>
      </w:r>
    </w:p>
    <w:p w14:paraId="49BB1EAB" w14:textId="77777777" w:rsidR="00A37FB6" w:rsidRPr="009A69B5" w:rsidRDefault="00A37FB6" w:rsidP="00AA4A09">
      <w:pPr>
        <w:spacing w:before="120" w:after="120" w:line="276" w:lineRule="auto"/>
        <w:jc w:val="both"/>
        <w:rPr>
          <w:rFonts w:ascii="Arial" w:eastAsia="Calibri" w:hAnsi="Arial" w:cs="Arial"/>
          <w:color w:val="000000" w:themeColor="text1"/>
          <w:sz w:val="22"/>
          <w:szCs w:val="22"/>
          <w:lang w:val="es-ES"/>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DD47A2" w:rsidRPr="009A69B5" w14:paraId="20C2FA60" w14:textId="77777777" w:rsidTr="00C97AAA">
        <w:tc>
          <w:tcPr>
            <w:tcW w:w="2689" w:type="dxa"/>
            <w:hideMark/>
          </w:tcPr>
          <w:p w14:paraId="2A9459AB" w14:textId="77777777" w:rsidR="00A37FB6" w:rsidRPr="009A69B5" w:rsidRDefault="00A37FB6" w:rsidP="00FA446A">
            <w:pPr>
              <w:spacing w:before="120" w:after="120"/>
              <w:jc w:val="both"/>
              <w:rPr>
                <w:rFonts w:ascii="Arial" w:eastAsia="Calibri" w:hAnsi="Arial" w:cs="Arial"/>
                <w:color w:val="000000" w:themeColor="text1"/>
                <w:sz w:val="22"/>
                <w:szCs w:val="22"/>
                <w:lang w:val="es-ES"/>
              </w:rPr>
            </w:pPr>
            <w:r w:rsidRPr="009A69B5">
              <w:rPr>
                <w:rFonts w:ascii="Arial" w:eastAsia="Calibri" w:hAnsi="Arial" w:cs="Arial"/>
                <w:b/>
                <w:color w:val="000000" w:themeColor="text1"/>
                <w:sz w:val="22"/>
                <w:szCs w:val="22"/>
                <w:lang w:val="es-ES"/>
              </w:rPr>
              <w:t>Temas:</w:t>
            </w:r>
            <w:r w:rsidRPr="009A69B5">
              <w:rPr>
                <w:rFonts w:ascii="Arial" w:eastAsia="Calibri" w:hAnsi="Arial" w:cs="Arial"/>
                <w:color w:val="000000" w:themeColor="text1"/>
                <w:sz w:val="22"/>
                <w:szCs w:val="22"/>
                <w:lang w:val="es-ES"/>
              </w:rPr>
              <w:t xml:space="preserve">           </w:t>
            </w:r>
          </w:p>
          <w:p w14:paraId="1840BCE8" w14:textId="77777777" w:rsidR="00A37FB6" w:rsidRPr="009A69B5" w:rsidRDefault="00A37FB6" w:rsidP="00FA446A">
            <w:pPr>
              <w:spacing w:before="120" w:after="120"/>
              <w:jc w:val="both"/>
              <w:rPr>
                <w:rFonts w:ascii="Arial" w:eastAsia="Calibri" w:hAnsi="Arial" w:cs="Arial"/>
                <w:color w:val="000000" w:themeColor="text1"/>
                <w:sz w:val="22"/>
                <w:szCs w:val="22"/>
                <w:lang w:val="es-ES"/>
              </w:rPr>
            </w:pPr>
            <w:r w:rsidRPr="009A69B5">
              <w:rPr>
                <w:rFonts w:ascii="Arial" w:eastAsia="Calibri" w:hAnsi="Arial" w:cs="Arial"/>
                <w:color w:val="000000" w:themeColor="text1"/>
                <w:sz w:val="22"/>
                <w:szCs w:val="22"/>
                <w:lang w:val="es-ES"/>
              </w:rPr>
              <w:t xml:space="preserve">                           </w:t>
            </w:r>
          </w:p>
        </w:tc>
        <w:tc>
          <w:tcPr>
            <w:tcW w:w="6237" w:type="dxa"/>
            <w:hideMark/>
          </w:tcPr>
          <w:p w14:paraId="04CFDFB7" w14:textId="71B6E1BA" w:rsidR="00E43624" w:rsidRPr="009A69B5" w:rsidRDefault="00AA4A09" w:rsidP="00FA446A">
            <w:pPr>
              <w:spacing w:before="120" w:after="120"/>
              <w:jc w:val="both"/>
              <w:rPr>
                <w:rFonts w:ascii="Arial" w:eastAsia="Calibri" w:hAnsi="Arial" w:cs="Arial"/>
                <w:color w:val="000000" w:themeColor="text1"/>
                <w:sz w:val="22"/>
                <w:szCs w:val="22"/>
                <w:lang w:val="es-ES"/>
              </w:rPr>
            </w:pPr>
            <w:r w:rsidRPr="009A69B5">
              <w:rPr>
                <w:rFonts w:ascii="Arial" w:eastAsia="Calibri" w:hAnsi="Arial" w:cs="Arial"/>
                <w:color w:val="000000" w:themeColor="text1"/>
                <w:sz w:val="22"/>
                <w:szCs w:val="22"/>
                <w:lang w:val="es-ES"/>
              </w:rPr>
              <w:t xml:space="preserve">CONTROL SOCIAL A LA CONTRATACIÓN PÚBLICA – Fundamento constitucional y legal/ CONTROL SOCIAL – </w:t>
            </w:r>
            <w:r w:rsidR="00063B73" w:rsidRPr="009A69B5">
              <w:rPr>
                <w:rFonts w:ascii="Arial" w:eastAsia="Calibri" w:hAnsi="Arial" w:cs="Arial"/>
                <w:color w:val="000000" w:themeColor="text1"/>
                <w:sz w:val="22"/>
                <w:szCs w:val="22"/>
                <w:lang w:val="es-ES"/>
              </w:rPr>
              <w:t>Concepto – Ámbito de aplicación/ CONTROL SOCIAL – Sujetos activos y pasivos</w:t>
            </w:r>
          </w:p>
          <w:p w14:paraId="069BC436" w14:textId="00EAE18F" w:rsidR="00FC4E54" w:rsidRPr="009A69B5" w:rsidRDefault="00FC4E54" w:rsidP="00FA446A">
            <w:pPr>
              <w:spacing w:before="120" w:after="120"/>
              <w:jc w:val="both"/>
              <w:rPr>
                <w:rFonts w:ascii="Arial" w:eastAsia="Calibri" w:hAnsi="Arial" w:cs="Arial"/>
                <w:color w:val="000000" w:themeColor="text1"/>
                <w:sz w:val="22"/>
                <w:szCs w:val="22"/>
                <w:lang w:val="es-ES"/>
              </w:rPr>
            </w:pPr>
          </w:p>
        </w:tc>
      </w:tr>
      <w:tr w:rsidR="00A37FB6" w:rsidRPr="009A69B5" w14:paraId="62473A71" w14:textId="77777777" w:rsidTr="00C97AAA">
        <w:tc>
          <w:tcPr>
            <w:tcW w:w="2689" w:type="dxa"/>
          </w:tcPr>
          <w:p w14:paraId="730BF589" w14:textId="77777777" w:rsidR="00A37FB6" w:rsidRPr="009A69B5" w:rsidRDefault="00A37FB6" w:rsidP="00FA446A">
            <w:pPr>
              <w:spacing w:before="120" w:after="120"/>
              <w:jc w:val="both"/>
              <w:rPr>
                <w:rFonts w:ascii="Arial" w:eastAsia="Calibri" w:hAnsi="Arial" w:cs="Arial"/>
                <w:b/>
                <w:color w:val="000000" w:themeColor="text1"/>
                <w:sz w:val="22"/>
                <w:szCs w:val="22"/>
                <w:lang w:val="es-ES"/>
              </w:rPr>
            </w:pPr>
            <w:r w:rsidRPr="009A69B5">
              <w:rPr>
                <w:rFonts w:ascii="Arial" w:eastAsia="Calibri" w:hAnsi="Arial" w:cs="Arial"/>
                <w:b/>
                <w:color w:val="000000" w:themeColor="text1"/>
                <w:sz w:val="22"/>
                <w:szCs w:val="22"/>
                <w:lang w:val="es-ES"/>
              </w:rPr>
              <w:t>Radicación:</w:t>
            </w:r>
            <w:r w:rsidRPr="009A69B5">
              <w:rPr>
                <w:rFonts w:ascii="Arial" w:eastAsia="Calibri" w:hAnsi="Arial" w:cs="Arial"/>
                <w:color w:val="000000" w:themeColor="text1"/>
                <w:sz w:val="22"/>
                <w:szCs w:val="22"/>
                <w:lang w:val="es-ES"/>
              </w:rPr>
              <w:t xml:space="preserve">                              </w:t>
            </w:r>
          </w:p>
        </w:tc>
        <w:tc>
          <w:tcPr>
            <w:tcW w:w="6237" w:type="dxa"/>
          </w:tcPr>
          <w:p w14:paraId="2CD77F9B" w14:textId="24242CA2" w:rsidR="00A37FB6" w:rsidRPr="009A69B5" w:rsidRDefault="00A37FB6" w:rsidP="00FA446A">
            <w:pPr>
              <w:spacing w:before="120" w:after="120"/>
              <w:jc w:val="both"/>
              <w:rPr>
                <w:rFonts w:ascii="Arial" w:eastAsia="Calibri" w:hAnsi="Arial" w:cs="Arial"/>
                <w:color w:val="000000" w:themeColor="text1"/>
                <w:sz w:val="22"/>
                <w:szCs w:val="22"/>
                <w:lang w:val="es-ES"/>
              </w:rPr>
            </w:pPr>
            <w:r w:rsidRPr="009A69B5">
              <w:rPr>
                <w:rFonts w:ascii="Arial" w:eastAsia="Calibri" w:hAnsi="Arial" w:cs="Arial"/>
                <w:color w:val="000000" w:themeColor="text1"/>
                <w:sz w:val="22"/>
                <w:szCs w:val="22"/>
                <w:lang w:val="es-ES"/>
              </w:rPr>
              <w:t xml:space="preserve">Respuesta a consulta # </w:t>
            </w:r>
            <w:r w:rsidR="008E1BE3" w:rsidRPr="009A69B5">
              <w:rPr>
                <w:rFonts w:ascii="Arial" w:eastAsia="Calibri" w:hAnsi="Arial" w:cs="Arial"/>
                <w:color w:val="000000" w:themeColor="text1"/>
                <w:sz w:val="22"/>
                <w:szCs w:val="22"/>
                <w:lang w:val="es-ES"/>
              </w:rPr>
              <w:t>4202012000005175</w:t>
            </w:r>
          </w:p>
        </w:tc>
      </w:tr>
    </w:tbl>
    <w:p w14:paraId="6AEA1AE6" w14:textId="77777777" w:rsidR="00A37FB6" w:rsidRPr="009A69B5" w:rsidRDefault="00A37FB6" w:rsidP="00AA4A09">
      <w:pPr>
        <w:spacing w:before="120" w:after="120" w:line="276" w:lineRule="auto"/>
        <w:jc w:val="both"/>
        <w:rPr>
          <w:rFonts w:ascii="Arial" w:eastAsia="Calibri" w:hAnsi="Arial" w:cs="Arial"/>
          <w:color w:val="000000" w:themeColor="text1"/>
          <w:sz w:val="22"/>
          <w:szCs w:val="22"/>
          <w:lang w:val="es-ES"/>
        </w:rPr>
      </w:pPr>
    </w:p>
    <w:p w14:paraId="3216C844" w14:textId="574AA6ED" w:rsidR="00A37FB6" w:rsidRPr="009A69B5" w:rsidRDefault="00A37FB6" w:rsidP="00AA4A09">
      <w:pPr>
        <w:spacing w:before="120" w:after="120" w:line="276" w:lineRule="auto"/>
        <w:jc w:val="both"/>
        <w:rPr>
          <w:rFonts w:ascii="Arial" w:eastAsia="Calibri" w:hAnsi="Arial" w:cs="Arial"/>
          <w:color w:val="000000" w:themeColor="text1"/>
          <w:sz w:val="22"/>
          <w:szCs w:val="22"/>
          <w:lang w:val="es-ES"/>
        </w:rPr>
      </w:pPr>
      <w:r w:rsidRPr="009A69B5">
        <w:rPr>
          <w:rFonts w:ascii="Arial" w:eastAsia="Calibri" w:hAnsi="Arial" w:cs="Arial"/>
          <w:color w:val="000000" w:themeColor="text1"/>
          <w:sz w:val="22"/>
          <w:szCs w:val="22"/>
          <w:lang w:val="es-ES"/>
        </w:rPr>
        <w:t>Estimado señor</w:t>
      </w:r>
      <w:r w:rsidR="008E1BE3" w:rsidRPr="009A69B5">
        <w:rPr>
          <w:rFonts w:ascii="Arial" w:eastAsia="Calibri" w:hAnsi="Arial" w:cs="Arial"/>
          <w:color w:val="000000" w:themeColor="text1"/>
          <w:sz w:val="22"/>
          <w:szCs w:val="22"/>
          <w:lang w:val="es-ES"/>
        </w:rPr>
        <w:t xml:space="preserve"> Moreno</w:t>
      </w:r>
      <w:r w:rsidRPr="009A69B5">
        <w:rPr>
          <w:rFonts w:ascii="Arial" w:eastAsia="Calibri" w:hAnsi="Arial" w:cs="Arial"/>
          <w:color w:val="000000" w:themeColor="text1"/>
          <w:sz w:val="22"/>
          <w:szCs w:val="22"/>
          <w:lang w:val="es-ES"/>
        </w:rPr>
        <w:t>,</w:t>
      </w:r>
    </w:p>
    <w:p w14:paraId="2F0DA2F5" w14:textId="77777777" w:rsidR="00A37FB6" w:rsidRPr="009A69B5" w:rsidRDefault="00A37FB6" w:rsidP="00FA446A">
      <w:pPr>
        <w:spacing w:line="276" w:lineRule="auto"/>
        <w:jc w:val="both"/>
        <w:rPr>
          <w:rFonts w:ascii="Arial" w:eastAsia="Calibri" w:hAnsi="Arial" w:cs="Arial"/>
          <w:color w:val="000000" w:themeColor="text1"/>
          <w:sz w:val="22"/>
          <w:szCs w:val="22"/>
          <w:lang w:val="es-ES"/>
        </w:rPr>
      </w:pPr>
    </w:p>
    <w:p w14:paraId="39316B12" w14:textId="31A97864" w:rsidR="00A37FB6" w:rsidRPr="009A69B5" w:rsidRDefault="00A37FB6" w:rsidP="00FA446A">
      <w:pPr>
        <w:spacing w:line="276" w:lineRule="auto"/>
        <w:ind w:right="49"/>
        <w:jc w:val="both"/>
        <w:rPr>
          <w:rFonts w:ascii="Arial" w:eastAsia="Calibri" w:hAnsi="Arial" w:cs="Arial"/>
          <w:color w:val="000000" w:themeColor="text1"/>
          <w:sz w:val="22"/>
          <w:szCs w:val="22"/>
          <w:lang w:val="es-ES"/>
        </w:rPr>
      </w:pPr>
      <w:r w:rsidRPr="009A69B5">
        <w:rPr>
          <w:rFonts w:ascii="Arial" w:eastAsia="Calibri" w:hAnsi="Arial" w:cs="Arial"/>
          <w:color w:val="000000" w:themeColor="text1"/>
          <w:sz w:val="22"/>
          <w:szCs w:val="22"/>
          <w:lang w:val="es-ES"/>
        </w:rPr>
        <w:t>La Agencia Nacional de Contratación Pública ―Colombia Compra Efic</w:t>
      </w:r>
      <w:r w:rsidR="008E1BE3" w:rsidRPr="009A69B5">
        <w:rPr>
          <w:rFonts w:ascii="Arial" w:eastAsia="Calibri" w:hAnsi="Arial" w:cs="Arial"/>
          <w:color w:val="000000" w:themeColor="text1"/>
          <w:sz w:val="22"/>
          <w:szCs w:val="22"/>
          <w:lang w:val="es-ES"/>
        </w:rPr>
        <w:t>iente― responde su consulta del 1</w:t>
      </w:r>
      <w:r w:rsidR="00FA446A" w:rsidRPr="009A69B5">
        <w:rPr>
          <w:rFonts w:ascii="Arial" w:eastAsia="Calibri" w:hAnsi="Arial" w:cs="Arial"/>
          <w:color w:val="000000" w:themeColor="text1"/>
          <w:sz w:val="22"/>
          <w:szCs w:val="22"/>
          <w:lang w:val="es-ES"/>
        </w:rPr>
        <w:t>8</w:t>
      </w:r>
      <w:r w:rsidR="008E1BE3" w:rsidRPr="009A69B5">
        <w:rPr>
          <w:rFonts w:ascii="Arial" w:eastAsia="Calibri" w:hAnsi="Arial" w:cs="Arial"/>
          <w:color w:val="000000" w:themeColor="text1"/>
          <w:sz w:val="22"/>
          <w:szCs w:val="22"/>
          <w:lang w:val="es-ES"/>
        </w:rPr>
        <w:t xml:space="preserve"> de junio</w:t>
      </w:r>
      <w:r w:rsidRPr="009A69B5">
        <w:rPr>
          <w:rFonts w:ascii="Arial" w:eastAsia="Calibri" w:hAnsi="Arial" w:cs="Arial"/>
          <w:color w:val="000000" w:themeColor="text1"/>
          <w:sz w:val="22"/>
          <w:szCs w:val="22"/>
          <w:lang w:val="es-ES"/>
        </w:rPr>
        <w:t xml:space="preserve"> de 20</w:t>
      </w:r>
      <w:r w:rsidR="00E43624" w:rsidRPr="009A69B5">
        <w:rPr>
          <w:rFonts w:ascii="Arial" w:eastAsia="Calibri" w:hAnsi="Arial" w:cs="Arial"/>
          <w:color w:val="000000" w:themeColor="text1"/>
          <w:sz w:val="22"/>
          <w:szCs w:val="22"/>
          <w:lang w:val="es-ES"/>
        </w:rPr>
        <w:t>20</w:t>
      </w:r>
      <w:r w:rsidRPr="009A69B5">
        <w:rPr>
          <w:rFonts w:ascii="Arial" w:eastAsia="Calibri" w:hAnsi="Arial" w:cs="Arial"/>
          <w:color w:val="000000" w:themeColor="text1"/>
          <w:sz w:val="22"/>
          <w:szCs w:val="22"/>
          <w:lang w:val="es-ES"/>
        </w:rPr>
        <w:t xml:space="preserve">, en ejercicio de la competencia otorgada por el numeral 8 del artículo 11 y el numeral 5 del artículo 3 del Decreto Ley 4170 de 2011. </w:t>
      </w:r>
    </w:p>
    <w:p w14:paraId="37E551C1" w14:textId="77777777" w:rsidR="00A37FB6" w:rsidRPr="009A69B5" w:rsidRDefault="00A37FB6" w:rsidP="00FA446A">
      <w:pPr>
        <w:jc w:val="both"/>
        <w:rPr>
          <w:rFonts w:ascii="Arial" w:eastAsia="Calibri" w:hAnsi="Arial" w:cs="Arial"/>
          <w:color w:val="000000" w:themeColor="text1"/>
          <w:sz w:val="22"/>
          <w:szCs w:val="22"/>
          <w:lang w:val="es-ES"/>
        </w:rPr>
      </w:pPr>
    </w:p>
    <w:p w14:paraId="3C694F9C" w14:textId="190D99F4" w:rsidR="00D44904" w:rsidRPr="009A69B5" w:rsidRDefault="00A37FB6" w:rsidP="00FA446A">
      <w:pPr>
        <w:pStyle w:val="Prrafodelista"/>
        <w:numPr>
          <w:ilvl w:val="0"/>
          <w:numId w:val="6"/>
        </w:numPr>
        <w:tabs>
          <w:tab w:val="left" w:pos="284"/>
        </w:tabs>
        <w:spacing w:before="0" w:after="0" w:line="240" w:lineRule="auto"/>
        <w:ind w:left="0" w:firstLine="0"/>
        <w:rPr>
          <w:rFonts w:ascii="Arial" w:eastAsia="Calibri" w:hAnsi="Arial" w:cs="Arial"/>
          <w:b/>
          <w:color w:val="000000" w:themeColor="text1"/>
          <w:sz w:val="22"/>
          <w:lang w:val="es-ES"/>
        </w:rPr>
      </w:pPr>
      <w:r w:rsidRPr="009A69B5">
        <w:rPr>
          <w:rFonts w:ascii="Arial" w:eastAsia="Calibri" w:hAnsi="Arial" w:cs="Arial"/>
          <w:b/>
          <w:color w:val="000000" w:themeColor="text1"/>
          <w:sz w:val="22"/>
          <w:lang w:val="es-ES"/>
        </w:rPr>
        <w:t xml:space="preserve">Problemas planteados </w:t>
      </w:r>
    </w:p>
    <w:p w14:paraId="2A0FD5CB" w14:textId="77777777" w:rsidR="00AA4A09" w:rsidRPr="009A69B5" w:rsidRDefault="00AA4A09" w:rsidP="00FA446A">
      <w:pPr>
        <w:pStyle w:val="Prrafodelista"/>
        <w:tabs>
          <w:tab w:val="left" w:pos="284"/>
        </w:tabs>
        <w:spacing w:before="0" w:after="0"/>
        <w:ind w:left="0"/>
        <w:rPr>
          <w:rFonts w:ascii="Arial" w:eastAsia="Calibri" w:hAnsi="Arial" w:cs="Arial"/>
          <w:b/>
          <w:color w:val="000000" w:themeColor="text1"/>
          <w:sz w:val="22"/>
          <w:lang w:val="es-ES"/>
        </w:rPr>
      </w:pPr>
    </w:p>
    <w:p w14:paraId="7D02A582" w14:textId="74DDF334" w:rsidR="00425FD7" w:rsidRPr="009A69B5" w:rsidRDefault="00A37FB6" w:rsidP="00FA446A">
      <w:pPr>
        <w:tabs>
          <w:tab w:val="left" w:pos="426"/>
        </w:tabs>
        <w:spacing w:line="276" w:lineRule="auto"/>
        <w:jc w:val="both"/>
        <w:rPr>
          <w:rFonts w:ascii="Arial" w:eastAsia="Calibri" w:hAnsi="Arial" w:cs="Arial"/>
          <w:color w:val="000000" w:themeColor="text1"/>
          <w:sz w:val="22"/>
          <w:szCs w:val="22"/>
          <w:lang w:val="es-ES"/>
        </w:rPr>
      </w:pPr>
      <w:bookmarkStart w:id="3" w:name="_Hlk39160062"/>
      <w:r w:rsidRPr="009A69B5">
        <w:rPr>
          <w:rFonts w:ascii="Arial" w:eastAsia="Calibri" w:hAnsi="Arial" w:cs="Arial"/>
          <w:color w:val="000000" w:themeColor="text1"/>
          <w:sz w:val="22"/>
          <w:szCs w:val="22"/>
          <w:lang w:val="es-ES"/>
        </w:rPr>
        <w:lastRenderedPageBreak/>
        <w:t xml:space="preserve">Usted </w:t>
      </w:r>
      <w:r w:rsidR="00425FD7" w:rsidRPr="009A69B5">
        <w:rPr>
          <w:rFonts w:ascii="Arial" w:eastAsia="Calibri" w:hAnsi="Arial" w:cs="Arial"/>
          <w:color w:val="000000" w:themeColor="text1"/>
          <w:sz w:val="22"/>
          <w:szCs w:val="22"/>
          <w:lang w:val="es-ES"/>
        </w:rPr>
        <w:t>formula</w:t>
      </w:r>
      <w:r w:rsidRPr="009A69B5">
        <w:rPr>
          <w:rFonts w:ascii="Arial" w:eastAsia="Calibri" w:hAnsi="Arial" w:cs="Arial"/>
          <w:color w:val="000000" w:themeColor="text1"/>
          <w:sz w:val="22"/>
          <w:szCs w:val="22"/>
          <w:lang w:val="es-ES"/>
        </w:rPr>
        <w:t xml:space="preserve"> las siguientes preguntas: </w:t>
      </w:r>
      <w:bookmarkEnd w:id="3"/>
      <w:r w:rsidR="001E0719" w:rsidRPr="001E0719">
        <w:rPr>
          <w:rFonts w:ascii="Arial" w:eastAsia="Calibri" w:hAnsi="Arial" w:cs="Arial"/>
          <w:color w:val="000000" w:themeColor="text1"/>
          <w:sz w:val="22"/>
          <w:szCs w:val="22"/>
          <w:lang w:val="es-ES"/>
        </w:rPr>
        <w:t>«</w:t>
      </w:r>
      <w:r w:rsidR="008E1BE3" w:rsidRPr="001E0719">
        <w:rPr>
          <w:rFonts w:ascii="Arial" w:eastAsia="Calibri" w:hAnsi="Arial" w:cs="Arial"/>
          <w:color w:val="000000" w:themeColor="text1"/>
          <w:sz w:val="22"/>
          <w:szCs w:val="22"/>
          <w:lang w:val="es-ES"/>
        </w:rPr>
        <w:t>(i) ¿Qué se entiende por Control Social a los procesos de contratación estatal? (ii) ¿Los únicos facultados para realizar control social a los procesos de contratación social son las veedurías ciudadanas organizadas de acuerdo con la Ley 850 de 2003 (en especial sus artículos 2, 3, 21 y 22), o también es una prerrogativa de los ciudadanos comunes? (iii) En caso tal que se señale que los ciudadanos comunes pueden realizar control social a los procesos de contratación estatal: ¿Con qué tipo de herramientas cuenta la ciudadanía para realizar dicho control? (iv) ¿Dentro de las herramientas de control social, los ciudadanos pueden presentar observaciones a los informes de evaluación dentro de un proceso de contratación estatal? (v) ¿De acuerdo con el inciso 3 del artículo 66 de la Ley 80 de 1993, y cuando los pliegos de condiciones así lo establecen, la ciudadanía puede participar al interior de un proceso de contratación estatal en cualquier etapa del proceso para hacer control social? (vi) ¿Qué herramientas tiene la ciudadanía para ejercer este control cuando las entidades señalan que la única correspondencia válida para evaluar todas las cuestiones referentes al proceso es a través del SECOP II, y la plataforma no está habilitada para que, al interior del proceso en cuestión, personas distintas a los proponentes puedan presentar observaciones o plantear situaciones particulares en desarrollo del mismo? (vii) ¿Podría la ciudadanía remitir correos electrónicos al correo contemplado por las entidades estatales para los casos de indisponibilidad (artículo 2.2.1.2.1.2.6. del Decreto 1082 de 2015) con el fin de ejercer la prerrogativa de control social cuando el SECOP II no se encuentre habilitado para ello? (viii) ¿Qué tipo de acciones se pueden tomar frente a las entidades en caso que la plataforma SECOP II no permita a la ciudadanía participar en los respectivos procesos tal como se plantean en los escenarios 6 y 7 del presente escrito?</w:t>
      </w:r>
      <w:r w:rsidR="001E0719" w:rsidRPr="001E0719">
        <w:rPr>
          <w:rFonts w:ascii="Arial" w:eastAsia="Calibri" w:hAnsi="Arial" w:cs="Arial"/>
          <w:color w:val="000000" w:themeColor="text1"/>
          <w:sz w:val="22"/>
          <w:szCs w:val="22"/>
          <w:lang w:val="es-ES"/>
        </w:rPr>
        <w:t>»</w:t>
      </w:r>
    </w:p>
    <w:p w14:paraId="6A982790" w14:textId="77777777" w:rsidR="00A37FB6" w:rsidRPr="009A69B5" w:rsidRDefault="00A37FB6" w:rsidP="00FA446A">
      <w:pPr>
        <w:tabs>
          <w:tab w:val="left" w:pos="426"/>
        </w:tabs>
        <w:jc w:val="both"/>
        <w:rPr>
          <w:rFonts w:ascii="Arial" w:eastAsia="Calibri" w:hAnsi="Arial" w:cs="Arial"/>
          <w:color w:val="000000" w:themeColor="text1"/>
          <w:sz w:val="22"/>
          <w:szCs w:val="22"/>
          <w:lang w:val="es-ES"/>
        </w:rPr>
      </w:pPr>
    </w:p>
    <w:p w14:paraId="04581001" w14:textId="0E1C6B36" w:rsidR="00425FD7" w:rsidRPr="009A69B5" w:rsidRDefault="00A37FB6" w:rsidP="00FA446A">
      <w:pPr>
        <w:pStyle w:val="Prrafodelista"/>
        <w:numPr>
          <w:ilvl w:val="0"/>
          <w:numId w:val="6"/>
        </w:numPr>
        <w:tabs>
          <w:tab w:val="left" w:pos="426"/>
        </w:tabs>
        <w:spacing w:before="0" w:after="0" w:line="240" w:lineRule="auto"/>
        <w:ind w:left="284" w:hanging="284"/>
        <w:rPr>
          <w:rFonts w:ascii="Arial" w:eastAsia="Calibri" w:hAnsi="Arial" w:cs="Arial"/>
          <w:b/>
          <w:color w:val="000000" w:themeColor="text1"/>
          <w:sz w:val="22"/>
          <w:lang w:val="es-ES"/>
        </w:rPr>
      </w:pPr>
      <w:r w:rsidRPr="009A69B5">
        <w:rPr>
          <w:rFonts w:ascii="Arial" w:eastAsia="Calibri" w:hAnsi="Arial" w:cs="Arial"/>
          <w:b/>
          <w:color w:val="000000" w:themeColor="text1"/>
          <w:sz w:val="22"/>
          <w:lang w:val="es-ES"/>
        </w:rPr>
        <w:t>Consideraciones</w:t>
      </w:r>
    </w:p>
    <w:p w14:paraId="544493F7" w14:textId="77777777" w:rsidR="00130F04" w:rsidRPr="009A69B5" w:rsidRDefault="00130F04" w:rsidP="00FA446A">
      <w:pPr>
        <w:pStyle w:val="Prrafodelista"/>
        <w:tabs>
          <w:tab w:val="left" w:pos="426"/>
        </w:tabs>
        <w:spacing w:before="0" w:after="0" w:line="240" w:lineRule="auto"/>
        <w:ind w:left="284"/>
        <w:rPr>
          <w:rFonts w:ascii="Arial" w:eastAsia="Calibri" w:hAnsi="Arial" w:cs="Arial"/>
          <w:b/>
          <w:color w:val="000000" w:themeColor="text1"/>
          <w:sz w:val="22"/>
          <w:lang w:val="es-ES"/>
        </w:rPr>
      </w:pPr>
    </w:p>
    <w:bookmarkEnd w:id="0"/>
    <w:bookmarkEnd w:id="1"/>
    <w:p w14:paraId="608FAAD3" w14:textId="01C80236" w:rsidR="00D44904" w:rsidRPr="009A69B5" w:rsidRDefault="008E1BE3" w:rsidP="00FA446A">
      <w:pPr>
        <w:tabs>
          <w:tab w:val="left" w:pos="426"/>
        </w:tabs>
        <w:spacing w:line="276" w:lineRule="auto"/>
        <w:jc w:val="both"/>
        <w:rPr>
          <w:rFonts w:ascii="Arial" w:eastAsia="Calibri" w:hAnsi="Arial" w:cs="Arial"/>
          <w:color w:val="000000" w:themeColor="text1"/>
          <w:sz w:val="22"/>
          <w:szCs w:val="22"/>
          <w:lang w:val="es-ES"/>
        </w:rPr>
      </w:pPr>
      <w:r w:rsidRPr="009A69B5">
        <w:rPr>
          <w:rFonts w:ascii="Arial" w:eastAsia="Calibri" w:hAnsi="Arial" w:cs="Arial"/>
          <w:color w:val="000000" w:themeColor="text1"/>
          <w:sz w:val="22"/>
          <w:szCs w:val="22"/>
          <w:lang w:val="es-ES"/>
        </w:rPr>
        <w:t xml:space="preserve">Para dar respuesta a los interrogantes </w:t>
      </w:r>
      <w:r w:rsidR="00425FD7" w:rsidRPr="009A69B5">
        <w:rPr>
          <w:rFonts w:ascii="Arial" w:eastAsia="Calibri" w:hAnsi="Arial" w:cs="Arial"/>
          <w:color w:val="000000" w:themeColor="text1"/>
          <w:sz w:val="22"/>
          <w:szCs w:val="22"/>
          <w:lang w:val="es-ES"/>
        </w:rPr>
        <w:t>planteados</w:t>
      </w:r>
      <w:r w:rsidRPr="009A69B5">
        <w:rPr>
          <w:rFonts w:ascii="Arial" w:eastAsia="Calibri" w:hAnsi="Arial" w:cs="Arial"/>
          <w:color w:val="000000" w:themeColor="text1"/>
          <w:sz w:val="22"/>
          <w:szCs w:val="22"/>
          <w:lang w:val="es-ES"/>
        </w:rPr>
        <w:t xml:space="preserve"> resulta necesario analizar</w:t>
      </w:r>
      <w:r w:rsidR="003A5EF0">
        <w:rPr>
          <w:rFonts w:ascii="Arial" w:eastAsia="Calibri" w:hAnsi="Arial" w:cs="Arial"/>
          <w:color w:val="000000" w:themeColor="text1"/>
          <w:sz w:val="22"/>
          <w:szCs w:val="22"/>
          <w:lang w:val="es-ES"/>
        </w:rPr>
        <w:t>:</w:t>
      </w:r>
      <w:r w:rsidR="009A69B5" w:rsidRPr="009A69B5">
        <w:rPr>
          <w:rFonts w:ascii="Arial" w:eastAsia="Calibri" w:hAnsi="Arial" w:cs="Arial"/>
          <w:color w:val="000000" w:themeColor="text1"/>
          <w:sz w:val="22"/>
          <w:szCs w:val="22"/>
          <w:lang w:val="es-ES"/>
        </w:rPr>
        <w:t xml:space="preserve"> (i) los fundamentos constitucionales y legales del control social, (ii)</w:t>
      </w:r>
      <w:r w:rsidRPr="009A69B5">
        <w:rPr>
          <w:rFonts w:ascii="Arial" w:eastAsia="Calibri" w:hAnsi="Arial" w:cs="Arial"/>
          <w:color w:val="000000" w:themeColor="text1"/>
          <w:sz w:val="22"/>
          <w:szCs w:val="22"/>
          <w:lang w:val="es-ES"/>
        </w:rPr>
        <w:t xml:space="preserve"> el concepto de control social </w:t>
      </w:r>
      <w:r w:rsidR="0019148E" w:rsidRPr="009A69B5">
        <w:rPr>
          <w:rFonts w:ascii="Arial" w:eastAsia="Calibri" w:hAnsi="Arial" w:cs="Arial"/>
          <w:color w:val="000000" w:themeColor="text1"/>
          <w:sz w:val="22"/>
          <w:szCs w:val="22"/>
          <w:lang w:val="es-ES"/>
        </w:rPr>
        <w:t xml:space="preserve">a la contratación pública, </w:t>
      </w:r>
      <w:r w:rsidR="009A69B5" w:rsidRPr="009A69B5">
        <w:rPr>
          <w:rFonts w:ascii="Arial" w:eastAsia="Calibri" w:hAnsi="Arial" w:cs="Arial"/>
          <w:color w:val="000000" w:themeColor="text1"/>
          <w:sz w:val="22"/>
          <w:szCs w:val="22"/>
          <w:lang w:val="es-ES"/>
        </w:rPr>
        <w:t xml:space="preserve">(iii) </w:t>
      </w:r>
      <w:r w:rsidR="0019148E" w:rsidRPr="009A69B5">
        <w:rPr>
          <w:rFonts w:ascii="Arial" w:eastAsia="Calibri" w:hAnsi="Arial" w:cs="Arial"/>
          <w:color w:val="000000" w:themeColor="text1"/>
          <w:sz w:val="22"/>
          <w:szCs w:val="22"/>
          <w:lang w:val="es-ES"/>
        </w:rPr>
        <w:t>quienes están legitimados para ejercer dicho control,</w:t>
      </w:r>
      <w:r w:rsidR="009A69B5" w:rsidRPr="009A69B5">
        <w:rPr>
          <w:rFonts w:ascii="Arial" w:eastAsia="Calibri" w:hAnsi="Arial" w:cs="Arial"/>
          <w:color w:val="000000" w:themeColor="text1"/>
          <w:sz w:val="22"/>
          <w:szCs w:val="22"/>
          <w:lang w:val="es-ES"/>
        </w:rPr>
        <w:t xml:space="preserve"> y (iv)</w:t>
      </w:r>
      <w:r w:rsidR="0019148E" w:rsidRPr="009A69B5">
        <w:rPr>
          <w:rFonts w:ascii="Arial" w:eastAsia="Calibri" w:hAnsi="Arial" w:cs="Arial"/>
          <w:color w:val="000000" w:themeColor="text1"/>
          <w:sz w:val="22"/>
          <w:szCs w:val="22"/>
          <w:lang w:val="es-ES"/>
        </w:rPr>
        <w:t xml:space="preserve"> cuáles son las herramientas con las que se cuenta para hacerlo efectivo, </w:t>
      </w:r>
      <w:r w:rsidR="00A91699">
        <w:rPr>
          <w:rFonts w:ascii="Arial" w:eastAsia="Calibri" w:hAnsi="Arial" w:cs="Arial"/>
          <w:color w:val="000000" w:themeColor="text1"/>
          <w:sz w:val="22"/>
          <w:szCs w:val="22"/>
          <w:lang w:val="es-ES"/>
        </w:rPr>
        <w:t>analizando</w:t>
      </w:r>
      <w:r w:rsidR="009A69B5" w:rsidRPr="009A69B5">
        <w:rPr>
          <w:rFonts w:ascii="Arial" w:eastAsia="Calibri" w:hAnsi="Arial" w:cs="Arial"/>
          <w:color w:val="000000" w:themeColor="text1"/>
          <w:sz w:val="22"/>
          <w:szCs w:val="22"/>
          <w:lang w:val="es-ES"/>
        </w:rPr>
        <w:t xml:space="preserve"> </w:t>
      </w:r>
      <w:r w:rsidR="0019148E" w:rsidRPr="009A69B5">
        <w:rPr>
          <w:rFonts w:ascii="Arial" w:eastAsia="Calibri" w:hAnsi="Arial" w:cs="Arial"/>
          <w:color w:val="000000" w:themeColor="text1"/>
          <w:sz w:val="22"/>
          <w:szCs w:val="22"/>
          <w:lang w:val="es-ES"/>
        </w:rPr>
        <w:t>si es posible que un ciudadano</w:t>
      </w:r>
      <w:r w:rsidR="009A69B5" w:rsidRPr="009A69B5">
        <w:rPr>
          <w:rFonts w:ascii="Arial" w:eastAsia="Calibri" w:hAnsi="Arial" w:cs="Arial"/>
          <w:color w:val="000000" w:themeColor="text1"/>
          <w:sz w:val="22"/>
          <w:szCs w:val="22"/>
          <w:lang w:val="es-ES"/>
        </w:rPr>
        <w:t xml:space="preserve"> </w:t>
      </w:r>
      <w:r w:rsidR="0019148E" w:rsidRPr="009A69B5">
        <w:rPr>
          <w:rFonts w:ascii="Arial" w:eastAsia="Calibri" w:hAnsi="Arial" w:cs="Arial"/>
          <w:color w:val="000000" w:themeColor="text1"/>
          <w:sz w:val="22"/>
          <w:szCs w:val="22"/>
          <w:lang w:val="es-ES"/>
        </w:rPr>
        <w:t xml:space="preserve">presente observaciones a los informes de evaluación en el marco de un proceso de contratación y si puede intervenir en cualquier momento dentro del proceso para realizar el control social. </w:t>
      </w:r>
    </w:p>
    <w:p w14:paraId="0E755F03" w14:textId="77777777" w:rsidR="00AA4A09" w:rsidRPr="009A69B5" w:rsidRDefault="00AA4A09" w:rsidP="00FA446A">
      <w:pPr>
        <w:tabs>
          <w:tab w:val="left" w:pos="426"/>
        </w:tabs>
        <w:spacing w:line="276" w:lineRule="auto"/>
        <w:jc w:val="both"/>
        <w:rPr>
          <w:rFonts w:ascii="Arial" w:eastAsia="Calibri" w:hAnsi="Arial" w:cs="Arial"/>
          <w:color w:val="000000" w:themeColor="text1"/>
          <w:sz w:val="22"/>
          <w:szCs w:val="22"/>
          <w:lang w:val="es-ES"/>
        </w:rPr>
      </w:pPr>
    </w:p>
    <w:p w14:paraId="1019D748" w14:textId="77777777" w:rsidR="00FE67F6" w:rsidRPr="009A69B5" w:rsidRDefault="001D30D8" w:rsidP="00FA446A">
      <w:pPr>
        <w:tabs>
          <w:tab w:val="left" w:pos="426"/>
        </w:tabs>
        <w:spacing w:line="276" w:lineRule="auto"/>
        <w:jc w:val="both"/>
        <w:rPr>
          <w:rFonts w:ascii="Arial" w:eastAsia="Calibri" w:hAnsi="Arial" w:cs="Arial"/>
          <w:b/>
          <w:bCs/>
          <w:color w:val="000000" w:themeColor="text1"/>
          <w:sz w:val="22"/>
          <w:szCs w:val="22"/>
          <w:lang w:val="es-ES"/>
        </w:rPr>
      </w:pPr>
      <w:r w:rsidRPr="009A69B5">
        <w:rPr>
          <w:rFonts w:ascii="Arial" w:eastAsia="Calibri" w:hAnsi="Arial" w:cs="Arial"/>
          <w:b/>
          <w:bCs/>
          <w:color w:val="000000" w:themeColor="text1"/>
          <w:sz w:val="22"/>
          <w:szCs w:val="22"/>
          <w:lang w:val="es-ES"/>
        </w:rPr>
        <w:t xml:space="preserve">2.1. </w:t>
      </w:r>
      <w:r w:rsidR="00425FD7" w:rsidRPr="009A69B5">
        <w:rPr>
          <w:rFonts w:ascii="Arial" w:eastAsia="Calibri" w:hAnsi="Arial" w:cs="Arial"/>
          <w:b/>
          <w:bCs/>
          <w:color w:val="000000" w:themeColor="text1"/>
          <w:sz w:val="22"/>
          <w:szCs w:val="22"/>
          <w:lang w:val="es-ES"/>
        </w:rPr>
        <w:t xml:space="preserve"> </w:t>
      </w:r>
      <w:r w:rsidR="007B33CA" w:rsidRPr="009A69B5">
        <w:rPr>
          <w:rFonts w:ascii="Arial" w:eastAsia="Calibri" w:hAnsi="Arial" w:cs="Arial"/>
          <w:b/>
          <w:bCs/>
          <w:color w:val="000000" w:themeColor="text1"/>
          <w:sz w:val="22"/>
          <w:szCs w:val="22"/>
          <w:lang w:val="es-ES"/>
        </w:rPr>
        <w:t>Fundamento constitucional</w:t>
      </w:r>
      <w:r w:rsidR="006C075F" w:rsidRPr="009A69B5">
        <w:rPr>
          <w:rFonts w:ascii="Arial" w:eastAsia="Calibri" w:hAnsi="Arial" w:cs="Arial"/>
          <w:b/>
          <w:bCs/>
          <w:color w:val="000000" w:themeColor="text1"/>
          <w:sz w:val="22"/>
          <w:szCs w:val="22"/>
          <w:lang w:val="es-ES"/>
        </w:rPr>
        <w:t xml:space="preserve"> y legal</w:t>
      </w:r>
      <w:r w:rsidR="007B33CA" w:rsidRPr="009A69B5">
        <w:rPr>
          <w:rFonts w:ascii="Arial" w:eastAsia="Calibri" w:hAnsi="Arial" w:cs="Arial"/>
          <w:b/>
          <w:bCs/>
          <w:color w:val="000000" w:themeColor="text1"/>
          <w:sz w:val="22"/>
          <w:szCs w:val="22"/>
          <w:lang w:val="es-ES"/>
        </w:rPr>
        <w:t xml:space="preserve"> de la participación ciudadana en la contratación estatal </w:t>
      </w:r>
    </w:p>
    <w:p w14:paraId="636B5FDA" w14:textId="3A597E5A" w:rsidR="00DA0561" w:rsidRPr="009A69B5" w:rsidRDefault="006C075F" w:rsidP="00DA0561">
      <w:pPr>
        <w:tabs>
          <w:tab w:val="left" w:pos="426"/>
        </w:tabs>
        <w:spacing w:line="276" w:lineRule="auto"/>
        <w:jc w:val="both"/>
        <w:rPr>
          <w:rFonts w:ascii="Arial" w:eastAsia="Calibri" w:hAnsi="Arial" w:cs="Arial"/>
          <w:bCs/>
          <w:color w:val="000000" w:themeColor="text1"/>
          <w:sz w:val="22"/>
          <w:szCs w:val="22"/>
          <w:lang w:val="es-ES"/>
        </w:rPr>
      </w:pPr>
      <w:r w:rsidRPr="009A69B5">
        <w:rPr>
          <w:rFonts w:ascii="Arial" w:eastAsia="Calibri" w:hAnsi="Arial" w:cs="Arial"/>
          <w:bCs/>
          <w:color w:val="000000" w:themeColor="text1"/>
          <w:sz w:val="22"/>
          <w:szCs w:val="22"/>
          <w:lang w:val="es-ES"/>
        </w:rPr>
        <w:tab/>
      </w:r>
      <w:r w:rsidRPr="009A69B5">
        <w:rPr>
          <w:rFonts w:ascii="Arial" w:eastAsia="Calibri" w:hAnsi="Arial" w:cs="Arial"/>
          <w:bCs/>
          <w:color w:val="000000" w:themeColor="text1"/>
          <w:sz w:val="22"/>
          <w:szCs w:val="22"/>
          <w:lang w:val="es-ES"/>
        </w:rPr>
        <w:tab/>
      </w:r>
    </w:p>
    <w:p w14:paraId="3E6200BB" w14:textId="22F7620A" w:rsidR="00DA0561" w:rsidRPr="009A69B5" w:rsidRDefault="004C6959" w:rsidP="006727B4">
      <w:pPr>
        <w:tabs>
          <w:tab w:val="left" w:pos="426"/>
        </w:tabs>
        <w:spacing w:after="120" w:line="276" w:lineRule="auto"/>
        <w:ind w:firstLine="709"/>
        <w:jc w:val="both"/>
        <w:rPr>
          <w:rFonts w:ascii="Arial" w:eastAsia="Calibri" w:hAnsi="Arial" w:cs="Arial"/>
          <w:bCs/>
          <w:color w:val="000000" w:themeColor="text1"/>
          <w:sz w:val="22"/>
          <w:szCs w:val="22"/>
          <w:lang w:val="es-ES"/>
        </w:rPr>
      </w:pPr>
      <w:r w:rsidRPr="009A69B5">
        <w:rPr>
          <w:rFonts w:ascii="Arial" w:eastAsia="Calibri" w:hAnsi="Arial" w:cs="Arial"/>
          <w:bCs/>
          <w:color w:val="000000" w:themeColor="text1"/>
          <w:sz w:val="22"/>
          <w:szCs w:val="22"/>
          <w:lang w:val="es-ES"/>
        </w:rPr>
        <w:lastRenderedPageBreak/>
        <w:t>De conformidad con el art</w:t>
      </w:r>
      <w:r w:rsidR="00336AF5" w:rsidRPr="009A69B5">
        <w:rPr>
          <w:rFonts w:ascii="Arial" w:eastAsia="Calibri" w:hAnsi="Arial" w:cs="Arial"/>
          <w:bCs/>
          <w:color w:val="000000" w:themeColor="text1"/>
          <w:sz w:val="22"/>
          <w:szCs w:val="22"/>
          <w:lang w:val="es-ES"/>
        </w:rPr>
        <w:t>ículo 2 constitucional</w:t>
      </w:r>
      <w:r w:rsidRPr="009A69B5">
        <w:rPr>
          <w:rFonts w:ascii="Arial" w:eastAsia="Calibri" w:hAnsi="Arial" w:cs="Arial"/>
          <w:bCs/>
          <w:color w:val="000000" w:themeColor="text1"/>
          <w:sz w:val="22"/>
          <w:szCs w:val="22"/>
          <w:lang w:val="es-ES"/>
        </w:rPr>
        <w:t xml:space="preserve">, son fines esenciales del Estado: </w:t>
      </w:r>
      <w:r w:rsidR="00FA446A" w:rsidRPr="009A69B5">
        <w:rPr>
          <w:rFonts w:ascii="Arial" w:eastAsia="Calibri" w:hAnsi="Arial" w:cs="Arial"/>
          <w:bCs/>
          <w:color w:val="000000" w:themeColor="text1"/>
          <w:sz w:val="22"/>
          <w:szCs w:val="22"/>
          <w:lang w:val="es-ES"/>
        </w:rPr>
        <w:t>«</w:t>
      </w:r>
      <w:r w:rsidRPr="009A69B5">
        <w:rPr>
          <w:rFonts w:ascii="Arial" w:eastAsia="Calibri" w:hAnsi="Arial" w:cs="Arial"/>
          <w:bCs/>
          <w:color w:val="000000" w:themeColor="text1"/>
          <w:sz w:val="22"/>
          <w:szCs w:val="22"/>
          <w:lang w:val="es-ES"/>
        </w:rPr>
        <w:t>servir a la comunidad, promover la prosperidad general y garantizar la efectividad de los principios, derechos y deberes consagrados en la Constitución</w:t>
      </w:r>
      <w:r w:rsidRPr="001E0719">
        <w:rPr>
          <w:rFonts w:ascii="Arial" w:eastAsia="Calibri" w:hAnsi="Arial" w:cs="Arial"/>
          <w:bCs/>
          <w:i/>
          <w:iCs/>
          <w:color w:val="000000" w:themeColor="text1"/>
          <w:sz w:val="22"/>
          <w:szCs w:val="22"/>
          <w:lang w:val="es-ES"/>
        </w:rPr>
        <w:t>; facilitar la participación de todos en las decisiones que los afectan y en la vida económica, política, administrativa y cultural de la Nación;</w:t>
      </w:r>
      <w:r w:rsidRPr="009A69B5">
        <w:rPr>
          <w:rFonts w:ascii="Arial" w:eastAsia="Calibri" w:hAnsi="Arial" w:cs="Arial"/>
          <w:bCs/>
          <w:color w:val="000000" w:themeColor="text1"/>
          <w:sz w:val="22"/>
          <w:szCs w:val="22"/>
          <w:lang w:val="es-ES"/>
        </w:rPr>
        <w:t xml:space="preserve"> defender la independencia nacional, mantener la integridad territorial y asegurar la convivencia pacífica y la vigencia de un orden justo</w:t>
      </w:r>
      <w:r w:rsidR="00FA446A" w:rsidRPr="009A69B5">
        <w:rPr>
          <w:rFonts w:ascii="Arial" w:eastAsia="Calibri" w:hAnsi="Arial" w:cs="Arial"/>
          <w:bCs/>
          <w:color w:val="000000" w:themeColor="text1"/>
          <w:sz w:val="22"/>
          <w:szCs w:val="22"/>
          <w:lang w:val="es-ES"/>
        </w:rPr>
        <w:t>»</w:t>
      </w:r>
      <w:r w:rsidRPr="009A69B5">
        <w:rPr>
          <w:rFonts w:ascii="Arial" w:eastAsia="Calibri" w:hAnsi="Arial" w:cs="Arial"/>
          <w:bCs/>
          <w:color w:val="000000" w:themeColor="text1"/>
          <w:sz w:val="22"/>
          <w:szCs w:val="22"/>
          <w:lang w:val="es-ES"/>
        </w:rPr>
        <w:t xml:space="preserve">. </w:t>
      </w:r>
      <w:r w:rsidR="001E0719">
        <w:rPr>
          <w:rFonts w:ascii="Arial" w:eastAsia="Calibri" w:hAnsi="Arial" w:cs="Arial"/>
          <w:bCs/>
          <w:color w:val="000000" w:themeColor="text1"/>
          <w:sz w:val="22"/>
          <w:szCs w:val="22"/>
          <w:lang w:val="es-ES"/>
        </w:rPr>
        <w:t>(cursivas fuera de texto)</w:t>
      </w:r>
    </w:p>
    <w:p w14:paraId="311D0EBA" w14:textId="1C209E14" w:rsidR="00DA0561" w:rsidRPr="009A69B5" w:rsidRDefault="00DA0561" w:rsidP="006727B4">
      <w:pPr>
        <w:tabs>
          <w:tab w:val="left" w:pos="426"/>
        </w:tabs>
        <w:spacing w:after="120" w:line="276" w:lineRule="auto"/>
        <w:ind w:firstLine="709"/>
        <w:jc w:val="both"/>
        <w:rPr>
          <w:rFonts w:ascii="Arial" w:eastAsia="Calibri" w:hAnsi="Arial" w:cs="Arial"/>
          <w:bCs/>
          <w:color w:val="000000" w:themeColor="text1"/>
          <w:sz w:val="22"/>
          <w:szCs w:val="22"/>
          <w:lang w:val="es-ES"/>
        </w:rPr>
      </w:pPr>
      <w:r w:rsidRPr="009A69B5">
        <w:rPr>
          <w:rFonts w:ascii="Arial" w:eastAsia="Calibri" w:hAnsi="Arial" w:cs="Arial"/>
          <w:bCs/>
          <w:color w:val="000000" w:themeColor="text1"/>
          <w:sz w:val="22"/>
          <w:szCs w:val="22"/>
          <w:lang w:val="es-ES"/>
        </w:rPr>
        <w:t>Para la Constitución Política de 1991</w:t>
      </w:r>
      <w:r w:rsidR="009A69B5" w:rsidRPr="009A69B5">
        <w:rPr>
          <w:rFonts w:ascii="Arial" w:eastAsia="Calibri" w:hAnsi="Arial" w:cs="Arial"/>
          <w:bCs/>
          <w:color w:val="000000" w:themeColor="text1"/>
          <w:sz w:val="22"/>
          <w:szCs w:val="22"/>
          <w:lang w:val="es-ES"/>
        </w:rPr>
        <w:t>,</w:t>
      </w:r>
      <w:r w:rsidRPr="009A69B5">
        <w:rPr>
          <w:rFonts w:ascii="Arial" w:eastAsia="Calibri" w:hAnsi="Arial" w:cs="Arial"/>
          <w:bCs/>
          <w:color w:val="000000" w:themeColor="text1"/>
          <w:sz w:val="22"/>
          <w:szCs w:val="22"/>
          <w:lang w:val="es-ES"/>
        </w:rPr>
        <w:t xml:space="preserve"> facilitar la participación de todos en sus decisiones es un deber del Estado. Con base en ello es posible afirmar que la participación ciudadana es un elemento fundante del pacto social sobre el que se erige el Estado colombiano. </w:t>
      </w:r>
    </w:p>
    <w:p w14:paraId="1DC59810" w14:textId="0778D7D4" w:rsidR="00DA0561" w:rsidRPr="009A69B5" w:rsidRDefault="00DA0561" w:rsidP="006727B4">
      <w:pPr>
        <w:tabs>
          <w:tab w:val="left" w:pos="426"/>
        </w:tabs>
        <w:spacing w:after="120" w:line="276" w:lineRule="auto"/>
        <w:ind w:firstLine="709"/>
        <w:jc w:val="both"/>
        <w:rPr>
          <w:rFonts w:ascii="Arial" w:eastAsia="Calibri" w:hAnsi="Arial" w:cs="Arial"/>
          <w:bCs/>
          <w:color w:val="000000" w:themeColor="text1"/>
          <w:sz w:val="22"/>
          <w:szCs w:val="22"/>
          <w:lang w:val="es-ES"/>
        </w:rPr>
      </w:pPr>
      <w:r w:rsidRPr="009A69B5">
        <w:rPr>
          <w:rFonts w:ascii="Arial" w:eastAsia="Calibri" w:hAnsi="Arial" w:cs="Arial"/>
          <w:bCs/>
          <w:color w:val="000000" w:themeColor="text1"/>
          <w:sz w:val="22"/>
          <w:szCs w:val="22"/>
          <w:lang w:val="es-ES"/>
        </w:rPr>
        <w:t>De otra parte, e</w:t>
      </w:r>
      <w:r w:rsidR="002F2012" w:rsidRPr="009A69B5">
        <w:rPr>
          <w:rFonts w:ascii="Arial" w:eastAsia="Calibri" w:hAnsi="Arial" w:cs="Arial"/>
          <w:bCs/>
          <w:color w:val="000000" w:themeColor="text1"/>
          <w:sz w:val="22"/>
          <w:szCs w:val="22"/>
          <w:lang w:val="es-ES"/>
        </w:rPr>
        <w:t xml:space="preserve">l artículo 209 </w:t>
      </w:r>
      <w:r w:rsidRPr="009A69B5">
        <w:rPr>
          <w:rFonts w:ascii="Arial" w:eastAsia="Calibri" w:hAnsi="Arial" w:cs="Arial"/>
          <w:bCs/>
          <w:color w:val="000000" w:themeColor="text1"/>
          <w:sz w:val="22"/>
          <w:szCs w:val="22"/>
          <w:lang w:val="es-ES"/>
        </w:rPr>
        <w:t xml:space="preserve">constitucional prescribe que la función administrativa está al servicio </w:t>
      </w:r>
      <w:r w:rsidR="00C75A34" w:rsidRPr="009A69B5">
        <w:rPr>
          <w:rFonts w:ascii="Arial" w:eastAsia="Calibri" w:hAnsi="Arial" w:cs="Arial"/>
          <w:bCs/>
          <w:color w:val="000000" w:themeColor="text1"/>
          <w:sz w:val="22"/>
          <w:szCs w:val="22"/>
          <w:lang w:val="es-ES"/>
        </w:rPr>
        <w:t xml:space="preserve">de los intereses generales y se desarrolla con arreglo a los principios de igualdad, moralidad, eficacia, economía, celeridad, imparcialidad y publicidad. </w:t>
      </w:r>
      <w:r w:rsidRPr="009A69B5">
        <w:rPr>
          <w:rFonts w:ascii="Arial" w:eastAsia="Calibri" w:hAnsi="Arial" w:cs="Arial"/>
          <w:bCs/>
          <w:color w:val="000000" w:themeColor="text1"/>
          <w:sz w:val="22"/>
          <w:szCs w:val="22"/>
          <w:lang w:val="es-ES"/>
        </w:rPr>
        <w:t>Si se leen de manera conjunta los artículo</w:t>
      </w:r>
      <w:r w:rsidR="009A69B5">
        <w:rPr>
          <w:rFonts w:ascii="Arial" w:eastAsia="Calibri" w:hAnsi="Arial" w:cs="Arial"/>
          <w:bCs/>
          <w:color w:val="000000" w:themeColor="text1"/>
          <w:sz w:val="22"/>
          <w:szCs w:val="22"/>
          <w:lang w:val="es-ES"/>
        </w:rPr>
        <w:t>s</w:t>
      </w:r>
      <w:r w:rsidRPr="009A69B5">
        <w:rPr>
          <w:rFonts w:ascii="Arial" w:eastAsia="Calibri" w:hAnsi="Arial" w:cs="Arial"/>
          <w:bCs/>
          <w:color w:val="000000" w:themeColor="text1"/>
          <w:sz w:val="22"/>
          <w:szCs w:val="22"/>
          <w:lang w:val="es-ES"/>
        </w:rPr>
        <w:t xml:space="preserve"> 2 y 209</w:t>
      </w:r>
      <w:r w:rsidR="009A69B5">
        <w:rPr>
          <w:rFonts w:ascii="Arial" w:eastAsia="Calibri" w:hAnsi="Arial" w:cs="Arial"/>
          <w:bCs/>
          <w:color w:val="000000" w:themeColor="text1"/>
          <w:sz w:val="22"/>
          <w:szCs w:val="22"/>
          <w:lang w:val="es-ES"/>
        </w:rPr>
        <w:t xml:space="preserve"> superiores,</w:t>
      </w:r>
      <w:r w:rsidRPr="009A69B5">
        <w:rPr>
          <w:rFonts w:ascii="Arial" w:eastAsia="Calibri" w:hAnsi="Arial" w:cs="Arial"/>
          <w:bCs/>
          <w:color w:val="000000" w:themeColor="text1"/>
          <w:sz w:val="22"/>
          <w:szCs w:val="22"/>
          <w:lang w:val="es-ES"/>
        </w:rPr>
        <w:t xml:space="preserve"> es posible afirmar que la participación de la ciudadanía debe también concretarse en el ejercicio de la función administrativa</w:t>
      </w:r>
      <w:r w:rsidR="00F245F2" w:rsidRPr="009A69B5">
        <w:rPr>
          <w:rFonts w:ascii="Arial" w:eastAsia="Calibri" w:hAnsi="Arial" w:cs="Arial"/>
          <w:bCs/>
          <w:color w:val="000000" w:themeColor="text1"/>
          <w:sz w:val="22"/>
          <w:szCs w:val="22"/>
          <w:lang w:val="es-ES"/>
        </w:rPr>
        <w:t>.</w:t>
      </w:r>
      <w:r w:rsidR="009A69B5">
        <w:rPr>
          <w:rFonts w:ascii="Arial" w:eastAsia="Calibri" w:hAnsi="Arial" w:cs="Arial"/>
          <w:bCs/>
          <w:color w:val="000000" w:themeColor="text1"/>
          <w:sz w:val="22"/>
          <w:szCs w:val="22"/>
          <w:lang w:val="es-ES"/>
        </w:rPr>
        <w:t xml:space="preserve"> </w:t>
      </w:r>
      <w:r w:rsidR="00F245F2" w:rsidRPr="009A69B5">
        <w:rPr>
          <w:rFonts w:ascii="Arial" w:eastAsia="Calibri" w:hAnsi="Arial" w:cs="Arial"/>
          <w:bCs/>
          <w:color w:val="000000" w:themeColor="text1"/>
          <w:sz w:val="22"/>
          <w:szCs w:val="22"/>
          <w:lang w:val="es-ES"/>
        </w:rPr>
        <w:t xml:space="preserve">En virtud de que la Contratación es una de las </w:t>
      </w:r>
      <w:r w:rsidR="009A69B5" w:rsidRPr="009A69B5">
        <w:rPr>
          <w:rFonts w:ascii="Arial" w:eastAsia="Calibri" w:hAnsi="Arial" w:cs="Arial"/>
          <w:bCs/>
          <w:color w:val="000000" w:themeColor="text1"/>
          <w:sz w:val="22"/>
          <w:szCs w:val="22"/>
          <w:lang w:val="es-ES"/>
        </w:rPr>
        <w:t>múltiples</w:t>
      </w:r>
      <w:r w:rsidR="00F245F2" w:rsidRPr="009A69B5">
        <w:rPr>
          <w:rFonts w:ascii="Arial" w:eastAsia="Calibri" w:hAnsi="Arial" w:cs="Arial"/>
          <w:bCs/>
          <w:color w:val="000000" w:themeColor="text1"/>
          <w:sz w:val="22"/>
          <w:szCs w:val="22"/>
          <w:lang w:val="es-ES"/>
        </w:rPr>
        <w:t xml:space="preserve"> manifestaciones del ejercicio de la función administrativa,</w:t>
      </w:r>
      <w:r w:rsidR="00F245F2" w:rsidRPr="009A69B5">
        <w:rPr>
          <w:rStyle w:val="Refdenotaalpie"/>
          <w:rFonts w:ascii="Arial" w:eastAsia="Calibri" w:hAnsi="Arial" w:cs="Arial"/>
          <w:bCs/>
          <w:color w:val="000000" w:themeColor="text1"/>
          <w:sz w:val="22"/>
          <w:szCs w:val="22"/>
          <w:lang w:val="es-ES"/>
        </w:rPr>
        <w:footnoteReference w:id="1"/>
      </w:r>
      <w:r w:rsidR="00F245F2" w:rsidRPr="009A69B5">
        <w:rPr>
          <w:rFonts w:ascii="Arial" w:eastAsia="Calibri" w:hAnsi="Arial" w:cs="Arial"/>
          <w:bCs/>
          <w:color w:val="000000" w:themeColor="text1"/>
          <w:sz w:val="22"/>
          <w:szCs w:val="22"/>
          <w:lang w:val="es-ES"/>
        </w:rPr>
        <w:t xml:space="preserve"> se impone necesariamente el </w:t>
      </w:r>
      <w:r w:rsidR="008B5456">
        <w:rPr>
          <w:rFonts w:ascii="Arial" w:eastAsia="Calibri" w:hAnsi="Arial" w:cs="Arial"/>
          <w:bCs/>
          <w:color w:val="000000" w:themeColor="text1"/>
          <w:sz w:val="22"/>
          <w:szCs w:val="22"/>
          <w:lang w:val="es-ES"/>
        </w:rPr>
        <w:t>d</w:t>
      </w:r>
      <w:r w:rsidR="00F245F2" w:rsidRPr="009A69B5">
        <w:rPr>
          <w:rFonts w:ascii="Arial" w:eastAsia="Calibri" w:hAnsi="Arial" w:cs="Arial"/>
          <w:bCs/>
          <w:color w:val="000000" w:themeColor="text1"/>
          <w:sz w:val="22"/>
          <w:szCs w:val="22"/>
          <w:lang w:val="es-ES"/>
        </w:rPr>
        <w:t xml:space="preserve">eber del Estado de facilitar la participación ciudadana </w:t>
      </w:r>
      <w:r w:rsidR="003C6807" w:rsidRPr="009A69B5">
        <w:rPr>
          <w:rFonts w:ascii="Arial" w:eastAsia="Calibri" w:hAnsi="Arial" w:cs="Arial"/>
          <w:bCs/>
          <w:color w:val="000000" w:themeColor="text1"/>
          <w:sz w:val="22"/>
          <w:szCs w:val="22"/>
          <w:lang w:val="es-ES"/>
        </w:rPr>
        <w:t xml:space="preserve">en dicha actuación. </w:t>
      </w:r>
    </w:p>
    <w:p w14:paraId="2E0AC8D1" w14:textId="13FAA715" w:rsidR="001E6DDC" w:rsidRPr="009A69B5" w:rsidRDefault="009A69B5" w:rsidP="006727B4">
      <w:pPr>
        <w:tabs>
          <w:tab w:val="left" w:pos="426"/>
        </w:tabs>
        <w:spacing w:line="276" w:lineRule="auto"/>
        <w:ind w:firstLine="709"/>
        <w:jc w:val="both"/>
        <w:rPr>
          <w:rFonts w:ascii="Arial" w:eastAsia="Calibri" w:hAnsi="Arial" w:cs="Arial"/>
          <w:bCs/>
          <w:color w:val="000000" w:themeColor="text1"/>
          <w:sz w:val="22"/>
          <w:szCs w:val="22"/>
          <w:lang w:val="es-ES"/>
        </w:rPr>
      </w:pPr>
      <w:r>
        <w:rPr>
          <w:rFonts w:ascii="Arial" w:eastAsia="Calibri" w:hAnsi="Arial" w:cs="Arial"/>
          <w:bCs/>
          <w:color w:val="000000" w:themeColor="text1"/>
          <w:sz w:val="22"/>
          <w:szCs w:val="22"/>
          <w:lang w:val="es-ES"/>
        </w:rPr>
        <w:t>En ese contexto, el</w:t>
      </w:r>
      <w:r w:rsidR="001E6DDC" w:rsidRPr="009A69B5">
        <w:rPr>
          <w:rFonts w:ascii="Arial" w:eastAsia="Calibri" w:hAnsi="Arial" w:cs="Arial"/>
          <w:bCs/>
          <w:color w:val="000000" w:themeColor="text1"/>
          <w:sz w:val="22"/>
          <w:szCs w:val="22"/>
          <w:lang w:val="es-ES"/>
        </w:rPr>
        <w:t xml:space="preserve"> artículo 66 de la Ley 80 de 1993 fija las reglas para la participación comunitaria, por la importancia que tiene esta norma en la materia se transcribe literalmente:</w:t>
      </w:r>
    </w:p>
    <w:p w14:paraId="22ECFBB8" w14:textId="77777777" w:rsidR="001E6DDC" w:rsidRPr="009A69B5" w:rsidRDefault="001E6DDC" w:rsidP="001E6DDC">
      <w:pPr>
        <w:tabs>
          <w:tab w:val="left" w:pos="426"/>
        </w:tabs>
        <w:spacing w:line="276" w:lineRule="auto"/>
        <w:ind w:left="709" w:right="760"/>
        <w:jc w:val="both"/>
        <w:rPr>
          <w:rFonts w:ascii="Arial" w:eastAsia="Calibri" w:hAnsi="Arial" w:cs="Arial"/>
          <w:bCs/>
          <w:color w:val="000000" w:themeColor="text1"/>
          <w:sz w:val="21"/>
          <w:szCs w:val="21"/>
          <w:lang w:val="es-ES"/>
        </w:rPr>
      </w:pPr>
    </w:p>
    <w:p w14:paraId="5AF94BEB" w14:textId="55A7D6EC" w:rsidR="001E6DDC" w:rsidRPr="009A69B5" w:rsidRDefault="001E6DDC" w:rsidP="001E6DDC">
      <w:pPr>
        <w:tabs>
          <w:tab w:val="left" w:pos="426"/>
        </w:tabs>
        <w:ind w:left="709" w:right="760"/>
        <w:jc w:val="both"/>
        <w:rPr>
          <w:rFonts w:ascii="Arial" w:eastAsia="Calibri" w:hAnsi="Arial" w:cs="Arial"/>
          <w:bCs/>
          <w:color w:val="000000" w:themeColor="text1"/>
          <w:sz w:val="21"/>
          <w:szCs w:val="21"/>
          <w:lang w:val="es-ES"/>
        </w:rPr>
      </w:pPr>
      <w:r w:rsidRPr="009A69B5">
        <w:rPr>
          <w:rFonts w:ascii="Arial" w:eastAsia="Calibri" w:hAnsi="Arial" w:cs="Arial"/>
          <w:bCs/>
          <w:color w:val="000000" w:themeColor="text1"/>
          <w:sz w:val="21"/>
          <w:szCs w:val="21"/>
          <w:lang w:val="es-ES"/>
        </w:rPr>
        <w:t>ARTÍCULO 66. DE LA PARTICIPACIÓN COMUNITARIA. Todo contrato que celebren las entidades estatales, estará sujeto a la vigilancia y control ciudadano.</w:t>
      </w:r>
    </w:p>
    <w:p w14:paraId="458408B4" w14:textId="77777777" w:rsidR="001E6DDC" w:rsidRPr="009A69B5" w:rsidRDefault="001E6DDC" w:rsidP="001E6DDC">
      <w:pPr>
        <w:tabs>
          <w:tab w:val="left" w:pos="426"/>
        </w:tabs>
        <w:ind w:left="709" w:right="760"/>
        <w:jc w:val="both"/>
        <w:rPr>
          <w:rFonts w:ascii="Arial" w:eastAsia="Calibri" w:hAnsi="Arial" w:cs="Arial"/>
          <w:bCs/>
          <w:color w:val="000000" w:themeColor="text1"/>
          <w:sz w:val="21"/>
          <w:szCs w:val="21"/>
          <w:lang w:val="es-ES"/>
        </w:rPr>
      </w:pPr>
    </w:p>
    <w:p w14:paraId="28E268CA" w14:textId="77777777" w:rsidR="001E6DDC" w:rsidRPr="009A69B5" w:rsidRDefault="001E6DDC" w:rsidP="001E6DDC">
      <w:pPr>
        <w:tabs>
          <w:tab w:val="left" w:pos="426"/>
        </w:tabs>
        <w:ind w:left="709" w:right="760"/>
        <w:jc w:val="both"/>
        <w:rPr>
          <w:rFonts w:ascii="Arial" w:eastAsia="Calibri" w:hAnsi="Arial" w:cs="Arial"/>
          <w:bCs/>
          <w:color w:val="000000" w:themeColor="text1"/>
          <w:sz w:val="21"/>
          <w:szCs w:val="21"/>
          <w:lang w:val="es-ES"/>
        </w:rPr>
      </w:pPr>
      <w:r w:rsidRPr="009A69B5">
        <w:rPr>
          <w:rFonts w:ascii="Arial" w:eastAsia="Calibri" w:hAnsi="Arial" w:cs="Arial"/>
          <w:bCs/>
          <w:color w:val="000000" w:themeColor="text1"/>
          <w:sz w:val="21"/>
          <w:szCs w:val="21"/>
          <w:lang w:val="es-ES"/>
        </w:rPr>
        <w:t>Las asociaciones cívicas, comunitarias, de profesionales, benéficas o de utilidad común, podrán denunciar ante las autoridades competentes las actuaciones, hechos u omisiones de los servidores públicos o de los particulares, que constituyan delitos, contravenciones o faltas en materia de contratación estatal.</w:t>
      </w:r>
    </w:p>
    <w:p w14:paraId="10DACEE0" w14:textId="77777777" w:rsidR="001E6DDC" w:rsidRPr="009A69B5" w:rsidRDefault="001E6DDC" w:rsidP="001E6DDC">
      <w:pPr>
        <w:tabs>
          <w:tab w:val="left" w:pos="426"/>
        </w:tabs>
        <w:ind w:left="709" w:right="760"/>
        <w:jc w:val="both"/>
        <w:rPr>
          <w:rFonts w:ascii="Arial" w:eastAsia="Calibri" w:hAnsi="Arial" w:cs="Arial"/>
          <w:bCs/>
          <w:color w:val="000000" w:themeColor="text1"/>
          <w:sz w:val="21"/>
          <w:szCs w:val="21"/>
          <w:lang w:val="es-ES"/>
        </w:rPr>
      </w:pPr>
    </w:p>
    <w:p w14:paraId="353F1169" w14:textId="77777777" w:rsidR="001E6DDC" w:rsidRPr="009A69B5" w:rsidRDefault="001E6DDC" w:rsidP="001E6DDC">
      <w:pPr>
        <w:tabs>
          <w:tab w:val="left" w:pos="426"/>
        </w:tabs>
        <w:ind w:left="709" w:right="760"/>
        <w:jc w:val="both"/>
        <w:rPr>
          <w:rFonts w:ascii="Arial" w:eastAsia="Calibri" w:hAnsi="Arial" w:cs="Arial"/>
          <w:bCs/>
          <w:color w:val="000000" w:themeColor="text1"/>
          <w:sz w:val="21"/>
          <w:szCs w:val="21"/>
          <w:lang w:val="es-ES"/>
        </w:rPr>
      </w:pPr>
      <w:r w:rsidRPr="009A69B5">
        <w:rPr>
          <w:rFonts w:ascii="Arial" w:eastAsia="Calibri" w:hAnsi="Arial" w:cs="Arial"/>
          <w:bCs/>
          <w:color w:val="000000" w:themeColor="text1"/>
          <w:sz w:val="21"/>
          <w:szCs w:val="21"/>
          <w:lang w:val="es-ES"/>
        </w:rPr>
        <w:t xml:space="preserve">Las autoridades brindarán especial apoyo y colaboración a las personas y asociaciones que emprendan campañas de control y vigilancia de la gestión </w:t>
      </w:r>
      <w:r w:rsidRPr="009A69B5">
        <w:rPr>
          <w:rFonts w:ascii="Arial" w:eastAsia="Calibri" w:hAnsi="Arial" w:cs="Arial"/>
          <w:bCs/>
          <w:color w:val="000000" w:themeColor="text1"/>
          <w:sz w:val="21"/>
          <w:szCs w:val="21"/>
          <w:lang w:val="es-ES"/>
        </w:rPr>
        <w:lastRenderedPageBreak/>
        <w:t>pública contractual y oportunamente suministrarán la documentación e información que requieran para el cumplimiento de tales tareas.</w:t>
      </w:r>
    </w:p>
    <w:p w14:paraId="4F8BBF29" w14:textId="77777777" w:rsidR="001E6DDC" w:rsidRPr="009A69B5" w:rsidRDefault="001E6DDC" w:rsidP="001E6DDC">
      <w:pPr>
        <w:tabs>
          <w:tab w:val="left" w:pos="426"/>
        </w:tabs>
        <w:ind w:left="709" w:right="760"/>
        <w:jc w:val="both"/>
        <w:rPr>
          <w:rFonts w:ascii="Arial" w:eastAsia="Calibri" w:hAnsi="Arial" w:cs="Arial"/>
          <w:bCs/>
          <w:color w:val="000000" w:themeColor="text1"/>
          <w:sz w:val="21"/>
          <w:szCs w:val="21"/>
          <w:lang w:val="es-ES"/>
        </w:rPr>
      </w:pPr>
    </w:p>
    <w:p w14:paraId="3F3175D1" w14:textId="77777777" w:rsidR="001E6DDC" w:rsidRPr="009A69B5" w:rsidRDefault="001E6DDC" w:rsidP="001E6DDC">
      <w:pPr>
        <w:tabs>
          <w:tab w:val="left" w:pos="426"/>
        </w:tabs>
        <w:ind w:left="709" w:right="760"/>
        <w:jc w:val="both"/>
        <w:rPr>
          <w:rFonts w:ascii="Arial" w:eastAsia="Calibri" w:hAnsi="Arial" w:cs="Arial"/>
          <w:bCs/>
          <w:color w:val="000000" w:themeColor="text1"/>
          <w:sz w:val="21"/>
          <w:szCs w:val="21"/>
          <w:lang w:val="es-ES"/>
        </w:rPr>
      </w:pPr>
      <w:r w:rsidRPr="009A69B5">
        <w:rPr>
          <w:rFonts w:ascii="Arial" w:eastAsia="Calibri" w:hAnsi="Arial" w:cs="Arial"/>
          <w:bCs/>
          <w:color w:val="000000" w:themeColor="text1"/>
          <w:sz w:val="21"/>
          <w:szCs w:val="21"/>
          <w:lang w:val="es-ES"/>
        </w:rPr>
        <w:t>El Gobierno Nacional y los de las entidades territoriales establecerán sistemas y mecanismos de estímulo de la vigilancia y control comunitario en la actividad contractual orientados a recompensar dichas labores.</w:t>
      </w:r>
    </w:p>
    <w:p w14:paraId="6781984F" w14:textId="77777777" w:rsidR="001E6DDC" w:rsidRPr="009A69B5" w:rsidRDefault="001E6DDC" w:rsidP="001E6DDC">
      <w:pPr>
        <w:tabs>
          <w:tab w:val="left" w:pos="426"/>
        </w:tabs>
        <w:ind w:left="709" w:right="760"/>
        <w:jc w:val="both"/>
        <w:rPr>
          <w:rFonts w:ascii="Arial" w:eastAsia="Calibri" w:hAnsi="Arial" w:cs="Arial"/>
          <w:bCs/>
          <w:color w:val="000000" w:themeColor="text1"/>
          <w:sz w:val="21"/>
          <w:szCs w:val="21"/>
          <w:lang w:val="es-ES"/>
        </w:rPr>
      </w:pPr>
    </w:p>
    <w:p w14:paraId="1A7A4473" w14:textId="7856FA9C" w:rsidR="001E6DDC" w:rsidRPr="009A69B5" w:rsidRDefault="001E6DDC" w:rsidP="001E6DDC">
      <w:pPr>
        <w:tabs>
          <w:tab w:val="left" w:pos="426"/>
        </w:tabs>
        <w:ind w:left="709" w:right="760"/>
        <w:jc w:val="both"/>
        <w:rPr>
          <w:rFonts w:ascii="Arial" w:eastAsia="Calibri" w:hAnsi="Arial" w:cs="Arial"/>
          <w:bCs/>
          <w:color w:val="000000" w:themeColor="text1"/>
          <w:sz w:val="21"/>
          <w:szCs w:val="21"/>
          <w:lang w:val="es-ES"/>
        </w:rPr>
      </w:pPr>
      <w:r w:rsidRPr="009A69B5">
        <w:rPr>
          <w:rFonts w:ascii="Arial" w:eastAsia="Calibri" w:hAnsi="Arial" w:cs="Arial"/>
          <w:bCs/>
          <w:color w:val="000000" w:themeColor="text1"/>
          <w:sz w:val="21"/>
          <w:szCs w:val="21"/>
          <w:lang w:val="es-ES"/>
        </w:rPr>
        <w:t>Las entidades estatales podrán contratar con las asociaciones de profesionales y gremiales y con las universidades y centros especializados de investigación, el estudio y análisis de las gestiones contractuales realizadas.</w:t>
      </w:r>
    </w:p>
    <w:p w14:paraId="3BD93413" w14:textId="77777777" w:rsidR="001E6DDC" w:rsidRPr="009A69B5" w:rsidRDefault="001E6DDC" w:rsidP="001E6DDC">
      <w:pPr>
        <w:tabs>
          <w:tab w:val="left" w:pos="426"/>
        </w:tabs>
        <w:ind w:firstLine="709"/>
        <w:jc w:val="both"/>
        <w:rPr>
          <w:rFonts w:ascii="Arial" w:eastAsia="Calibri" w:hAnsi="Arial" w:cs="Arial"/>
          <w:bCs/>
          <w:color w:val="000000" w:themeColor="text1"/>
          <w:sz w:val="22"/>
          <w:szCs w:val="22"/>
          <w:lang w:val="es-ES"/>
        </w:rPr>
      </w:pPr>
    </w:p>
    <w:p w14:paraId="16E9DF6C" w14:textId="3A822627" w:rsidR="003D4F75" w:rsidRPr="009A69B5" w:rsidRDefault="001E6DDC" w:rsidP="001E6DDC">
      <w:pPr>
        <w:tabs>
          <w:tab w:val="left" w:pos="426"/>
        </w:tabs>
        <w:spacing w:after="120" w:line="276" w:lineRule="auto"/>
        <w:ind w:firstLine="709"/>
        <w:jc w:val="both"/>
        <w:rPr>
          <w:rFonts w:ascii="Arial" w:eastAsia="Calibri" w:hAnsi="Arial" w:cs="Arial"/>
          <w:bCs/>
          <w:color w:val="000000" w:themeColor="text1"/>
          <w:sz w:val="22"/>
          <w:szCs w:val="22"/>
          <w:lang w:val="es-ES"/>
        </w:rPr>
      </w:pPr>
      <w:r w:rsidRPr="009A69B5">
        <w:rPr>
          <w:rFonts w:ascii="Arial" w:eastAsia="Calibri" w:hAnsi="Arial" w:cs="Arial"/>
          <w:bCs/>
          <w:color w:val="000000" w:themeColor="text1"/>
          <w:sz w:val="22"/>
          <w:szCs w:val="22"/>
          <w:lang w:val="es-ES"/>
        </w:rPr>
        <w:t xml:space="preserve">La norma establece el ámbito de acción de la participación comunitaria cuando dispone que todo contrato que celebren las entidades estatales está sujeto a la vigilancia y control ciudadanos. </w:t>
      </w:r>
      <w:r w:rsidR="003D4F75" w:rsidRPr="009A69B5">
        <w:rPr>
          <w:rFonts w:ascii="Arial" w:eastAsia="Calibri" w:hAnsi="Arial" w:cs="Arial"/>
          <w:bCs/>
          <w:color w:val="000000" w:themeColor="text1"/>
          <w:sz w:val="22"/>
          <w:szCs w:val="22"/>
          <w:lang w:val="es-ES"/>
        </w:rPr>
        <w:t xml:space="preserve">El artículo transcrito también contiene algunas reglas adicionales, tales como la posibilidad de denunciar irregularidades en materia de contratación estatal, el especial apoyo y colaboración que deben brindar las autoridades a las personas y asociaciones que emprendan campañas de control, la obligación de establecer sistemas y mecanismos de estímulo para la vigilancia y control comunitario, y la facultad de las entidades estatales para contratar ciertos sujetos para el estudio y análisis de las gestiones contractuales realizadas. </w:t>
      </w:r>
    </w:p>
    <w:p w14:paraId="2E671D46" w14:textId="10546A3A" w:rsidR="00873C12" w:rsidRPr="009A69B5" w:rsidRDefault="00873C12" w:rsidP="003D4F75">
      <w:pPr>
        <w:tabs>
          <w:tab w:val="left" w:pos="426"/>
        </w:tabs>
        <w:spacing w:after="120" w:line="276" w:lineRule="auto"/>
        <w:ind w:firstLine="709"/>
        <w:jc w:val="both"/>
        <w:rPr>
          <w:rFonts w:ascii="Arial" w:eastAsia="Calibri" w:hAnsi="Arial" w:cs="Arial"/>
          <w:bCs/>
          <w:color w:val="000000" w:themeColor="text1"/>
          <w:sz w:val="22"/>
          <w:szCs w:val="22"/>
          <w:lang w:val="es-ES"/>
        </w:rPr>
      </w:pPr>
      <w:r w:rsidRPr="009A69B5">
        <w:rPr>
          <w:rFonts w:ascii="Arial" w:eastAsia="Calibri" w:hAnsi="Arial" w:cs="Arial"/>
          <w:bCs/>
          <w:color w:val="000000" w:themeColor="text1"/>
          <w:sz w:val="22"/>
          <w:szCs w:val="22"/>
          <w:lang w:val="es-ES"/>
        </w:rPr>
        <w:t>Además de dicha</w:t>
      </w:r>
      <w:r w:rsidR="00C75A34" w:rsidRPr="009A69B5">
        <w:rPr>
          <w:rFonts w:ascii="Arial" w:eastAsia="Calibri" w:hAnsi="Arial" w:cs="Arial"/>
          <w:bCs/>
          <w:color w:val="000000" w:themeColor="text1"/>
          <w:sz w:val="22"/>
          <w:szCs w:val="22"/>
          <w:lang w:val="es-ES"/>
        </w:rPr>
        <w:t xml:space="preserve"> </w:t>
      </w:r>
      <w:r w:rsidR="003D4F75" w:rsidRPr="009A69B5">
        <w:rPr>
          <w:rFonts w:ascii="Arial" w:eastAsia="Calibri" w:hAnsi="Arial" w:cs="Arial"/>
          <w:bCs/>
          <w:color w:val="000000" w:themeColor="text1"/>
          <w:sz w:val="22"/>
          <w:szCs w:val="22"/>
          <w:lang w:val="es-ES"/>
        </w:rPr>
        <w:t>norma</w:t>
      </w:r>
      <w:r w:rsidR="00C75A34" w:rsidRPr="009A69B5">
        <w:rPr>
          <w:rFonts w:ascii="Arial" w:eastAsia="Calibri" w:hAnsi="Arial" w:cs="Arial"/>
          <w:bCs/>
          <w:color w:val="000000" w:themeColor="text1"/>
          <w:sz w:val="22"/>
          <w:szCs w:val="22"/>
          <w:lang w:val="es-ES"/>
        </w:rPr>
        <w:t xml:space="preserve">, </w:t>
      </w:r>
      <w:r w:rsidRPr="009A69B5">
        <w:rPr>
          <w:rFonts w:ascii="Arial" w:eastAsia="Calibri" w:hAnsi="Arial" w:cs="Arial"/>
          <w:bCs/>
          <w:color w:val="000000" w:themeColor="text1"/>
          <w:sz w:val="22"/>
          <w:szCs w:val="22"/>
          <w:lang w:val="es-ES"/>
        </w:rPr>
        <w:t xml:space="preserve">existen </w:t>
      </w:r>
      <w:r w:rsidR="003D4F75" w:rsidRPr="009A69B5">
        <w:rPr>
          <w:rFonts w:ascii="Arial" w:eastAsia="Calibri" w:hAnsi="Arial" w:cs="Arial"/>
          <w:bCs/>
          <w:color w:val="000000" w:themeColor="text1"/>
          <w:sz w:val="22"/>
          <w:szCs w:val="22"/>
          <w:lang w:val="es-ES"/>
        </w:rPr>
        <w:t xml:space="preserve">otras </w:t>
      </w:r>
      <w:r w:rsidR="00C75A34" w:rsidRPr="009A69B5">
        <w:rPr>
          <w:rFonts w:ascii="Arial" w:eastAsia="Calibri" w:hAnsi="Arial" w:cs="Arial"/>
          <w:bCs/>
          <w:color w:val="000000" w:themeColor="text1"/>
          <w:sz w:val="22"/>
          <w:szCs w:val="22"/>
          <w:lang w:val="es-ES"/>
        </w:rPr>
        <w:t>disposiciones legales</w:t>
      </w:r>
      <w:r w:rsidR="003D4F75" w:rsidRPr="009A69B5">
        <w:rPr>
          <w:rFonts w:ascii="Arial" w:eastAsia="Calibri" w:hAnsi="Arial" w:cs="Arial"/>
          <w:bCs/>
          <w:color w:val="000000" w:themeColor="text1"/>
          <w:sz w:val="22"/>
          <w:szCs w:val="22"/>
          <w:lang w:val="es-ES"/>
        </w:rPr>
        <w:t xml:space="preserve"> en el ordenamiento</w:t>
      </w:r>
      <w:r w:rsidR="00C75A34" w:rsidRPr="009A69B5">
        <w:rPr>
          <w:rFonts w:ascii="Arial" w:eastAsia="Calibri" w:hAnsi="Arial" w:cs="Arial"/>
          <w:bCs/>
          <w:color w:val="000000" w:themeColor="text1"/>
          <w:sz w:val="22"/>
          <w:szCs w:val="22"/>
          <w:lang w:val="es-ES"/>
        </w:rPr>
        <w:t xml:space="preserve"> que </w:t>
      </w:r>
      <w:r w:rsidR="003D4F75" w:rsidRPr="009A69B5">
        <w:rPr>
          <w:rFonts w:ascii="Arial" w:eastAsia="Calibri" w:hAnsi="Arial" w:cs="Arial"/>
          <w:bCs/>
          <w:color w:val="000000" w:themeColor="text1"/>
          <w:sz w:val="22"/>
          <w:szCs w:val="22"/>
          <w:lang w:val="es-ES"/>
        </w:rPr>
        <w:t>desarrollan</w:t>
      </w:r>
      <w:r w:rsidRPr="009A69B5">
        <w:rPr>
          <w:rFonts w:ascii="Arial" w:eastAsia="Calibri" w:hAnsi="Arial" w:cs="Arial"/>
          <w:bCs/>
          <w:color w:val="000000" w:themeColor="text1"/>
          <w:sz w:val="22"/>
          <w:szCs w:val="22"/>
          <w:lang w:val="es-ES"/>
        </w:rPr>
        <w:t xml:space="preserve"> </w:t>
      </w:r>
      <w:r w:rsidR="00C75A34" w:rsidRPr="009A69B5">
        <w:rPr>
          <w:rFonts w:ascii="Arial" w:eastAsia="Calibri" w:hAnsi="Arial" w:cs="Arial"/>
          <w:bCs/>
          <w:color w:val="000000" w:themeColor="text1"/>
          <w:sz w:val="22"/>
          <w:szCs w:val="22"/>
          <w:lang w:val="es-ES"/>
        </w:rPr>
        <w:t>el control social</w:t>
      </w:r>
      <w:r w:rsidRPr="009A69B5">
        <w:rPr>
          <w:rFonts w:ascii="Arial" w:eastAsia="Calibri" w:hAnsi="Arial" w:cs="Arial"/>
          <w:bCs/>
          <w:color w:val="000000" w:themeColor="text1"/>
          <w:sz w:val="22"/>
          <w:szCs w:val="22"/>
          <w:lang w:val="es-ES"/>
        </w:rPr>
        <w:t xml:space="preserve"> por parte de los ciudadanos. </w:t>
      </w:r>
      <w:r w:rsidR="003D4F75" w:rsidRPr="009A69B5">
        <w:rPr>
          <w:rFonts w:ascii="Arial" w:eastAsia="Calibri" w:hAnsi="Arial" w:cs="Arial"/>
          <w:bCs/>
          <w:color w:val="000000" w:themeColor="text1"/>
          <w:sz w:val="22"/>
          <w:szCs w:val="22"/>
          <w:lang w:val="es-ES"/>
        </w:rPr>
        <w:t>L</w:t>
      </w:r>
      <w:r w:rsidR="00C75A34" w:rsidRPr="009A69B5">
        <w:rPr>
          <w:rFonts w:ascii="Arial" w:eastAsia="Calibri" w:hAnsi="Arial" w:cs="Arial"/>
          <w:bCs/>
          <w:color w:val="000000" w:themeColor="text1"/>
          <w:sz w:val="22"/>
          <w:szCs w:val="22"/>
          <w:lang w:val="es-ES"/>
        </w:rPr>
        <w:t xml:space="preserve">a Ley 850 de 2003, </w:t>
      </w:r>
      <w:r w:rsidR="00A531D7">
        <w:rPr>
          <w:rFonts w:ascii="Arial" w:eastAsia="Calibri" w:hAnsi="Arial" w:cs="Arial"/>
          <w:bCs/>
          <w:color w:val="000000" w:themeColor="text1"/>
          <w:sz w:val="22"/>
          <w:szCs w:val="22"/>
          <w:lang w:val="es-ES"/>
        </w:rPr>
        <w:t>«</w:t>
      </w:r>
      <w:r w:rsidR="00C75A34" w:rsidRPr="009A69B5">
        <w:rPr>
          <w:rFonts w:ascii="Arial" w:eastAsia="Calibri" w:hAnsi="Arial" w:cs="Arial"/>
          <w:bCs/>
          <w:color w:val="000000" w:themeColor="text1"/>
          <w:sz w:val="22"/>
          <w:szCs w:val="22"/>
          <w:lang w:val="es-ES"/>
        </w:rPr>
        <w:t>Por medio de la cual se reglamentan las veedurías ciudadanas</w:t>
      </w:r>
      <w:r w:rsidR="00A531D7">
        <w:rPr>
          <w:rFonts w:ascii="Arial" w:eastAsia="Calibri" w:hAnsi="Arial" w:cs="Arial"/>
          <w:bCs/>
          <w:color w:val="000000" w:themeColor="text1"/>
          <w:sz w:val="22"/>
          <w:szCs w:val="22"/>
          <w:lang w:val="es-ES"/>
        </w:rPr>
        <w:t>»</w:t>
      </w:r>
      <w:r w:rsidR="00C75A34" w:rsidRPr="009A69B5">
        <w:rPr>
          <w:rFonts w:ascii="Arial" w:eastAsia="Calibri" w:hAnsi="Arial" w:cs="Arial"/>
          <w:bCs/>
          <w:color w:val="000000" w:themeColor="text1"/>
          <w:sz w:val="22"/>
          <w:szCs w:val="22"/>
          <w:lang w:val="es-ES"/>
        </w:rPr>
        <w:t xml:space="preserve">, fijó las reglas del ejercicio de este mecanismo democrático de </w:t>
      </w:r>
      <w:r w:rsidR="003D4F75" w:rsidRPr="009A69B5">
        <w:rPr>
          <w:rFonts w:ascii="Arial" w:eastAsia="Calibri" w:hAnsi="Arial" w:cs="Arial"/>
          <w:bCs/>
          <w:color w:val="000000" w:themeColor="text1"/>
          <w:sz w:val="22"/>
          <w:szCs w:val="22"/>
          <w:lang w:val="es-ES"/>
        </w:rPr>
        <w:t>representación</w:t>
      </w:r>
      <w:r w:rsidR="00C75A34" w:rsidRPr="009A69B5">
        <w:rPr>
          <w:rFonts w:ascii="Arial" w:eastAsia="Calibri" w:hAnsi="Arial" w:cs="Arial"/>
          <w:bCs/>
          <w:color w:val="000000" w:themeColor="text1"/>
          <w:sz w:val="22"/>
          <w:szCs w:val="22"/>
          <w:lang w:val="es-ES"/>
        </w:rPr>
        <w:t xml:space="preserve"> que le permite a los ciudadanos o a las diferentes organizaciones comunitarias, ejercer vigilancia sobre la gestión pública, respecto a las autoridades, administrativas, políticas, judiciales, electorales, legislativas y órganos de control, así como de las entidades públicas o privadas, organizaciones no gubernamentales de carácter nacional o internacional que operen en el país, encargadas de la ejecución de un programa, proyecto, contrato o de la prestación de un servicio público</w:t>
      </w:r>
      <w:r w:rsidR="00CC20A0" w:rsidRPr="009A69B5">
        <w:rPr>
          <w:rStyle w:val="Refdenotaalpie"/>
          <w:rFonts w:ascii="Arial" w:eastAsia="Calibri" w:hAnsi="Arial" w:cs="Arial"/>
          <w:bCs/>
          <w:color w:val="000000" w:themeColor="text1"/>
          <w:sz w:val="22"/>
          <w:szCs w:val="22"/>
          <w:lang w:val="es-ES"/>
        </w:rPr>
        <w:footnoteReference w:id="2"/>
      </w:r>
      <w:r w:rsidR="00C75A34" w:rsidRPr="009A69B5">
        <w:rPr>
          <w:rFonts w:ascii="Arial" w:eastAsia="Calibri" w:hAnsi="Arial" w:cs="Arial"/>
          <w:bCs/>
          <w:color w:val="000000" w:themeColor="text1"/>
          <w:sz w:val="22"/>
          <w:szCs w:val="22"/>
          <w:lang w:val="es-ES"/>
        </w:rPr>
        <w:t xml:space="preserve">. </w:t>
      </w:r>
      <w:r w:rsidRPr="009A69B5">
        <w:rPr>
          <w:rFonts w:ascii="Arial" w:eastAsia="Calibri" w:hAnsi="Arial" w:cs="Arial"/>
          <w:bCs/>
          <w:color w:val="000000" w:themeColor="text1"/>
          <w:sz w:val="22"/>
          <w:szCs w:val="22"/>
          <w:lang w:val="es-ES"/>
        </w:rPr>
        <w:t xml:space="preserve">Es decir, se trata de </w:t>
      </w:r>
      <w:r w:rsidR="00C75A34" w:rsidRPr="009A69B5">
        <w:rPr>
          <w:rFonts w:ascii="Arial" w:eastAsia="Calibri" w:hAnsi="Arial" w:cs="Arial"/>
          <w:bCs/>
          <w:color w:val="000000" w:themeColor="text1"/>
          <w:sz w:val="22"/>
          <w:szCs w:val="22"/>
          <w:lang w:val="es-ES"/>
        </w:rPr>
        <w:t xml:space="preserve">una vigilancia que se ejerce en donde </w:t>
      </w:r>
      <w:r w:rsidR="003D4F75" w:rsidRPr="009A69B5">
        <w:rPr>
          <w:rFonts w:ascii="Arial" w:eastAsia="Calibri" w:hAnsi="Arial" w:cs="Arial"/>
          <w:bCs/>
          <w:color w:val="000000" w:themeColor="text1"/>
          <w:sz w:val="22"/>
          <w:szCs w:val="22"/>
          <w:lang w:val="es-ES"/>
        </w:rPr>
        <w:t xml:space="preserve">quiera que </w:t>
      </w:r>
      <w:r w:rsidR="00C75A34" w:rsidRPr="009A69B5">
        <w:rPr>
          <w:rFonts w:ascii="Arial" w:eastAsia="Calibri" w:hAnsi="Arial" w:cs="Arial"/>
          <w:bCs/>
          <w:color w:val="000000" w:themeColor="text1"/>
          <w:sz w:val="22"/>
          <w:szCs w:val="22"/>
          <w:lang w:val="es-ES"/>
        </w:rPr>
        <w:t xml:space="preserve">haya empleo de recursos públicos. </w:t>
      </w:r>
    </w:p>
    <w:p w14:paraId="047AD327" w14:textId="20A22BAA" w:rsidR="00873C12" w:rsidRPr="009A69B5" w:rsidRDefault="00873C12" w:rsidP="00FA446A">
      <w:pPr>
        <w:tabs>
          <w:tab w:val="left" w:pos="426"/>
        </w:tabs>
        <w:spacing w:after="120" w:line="276" w:lineRule="auto"/>
        <w:jc w:val="both"/>
        <w:rPr>
          <w:rFonts w:ascii="Arial" w:eastAsia="Calibri" w:hAnsi="Arial" w:cs="Arial"/>
          <w:bCs/>
          <w:color w:val="000000" w:themeColor="text1"/>
          <w:sz w:val="22"/>
          <w:szCs w:val="22"/>
          <w:lang w:val="es-ES"/>
        </w:rPr>
      </w:pPr>
      <w:r w:rsidRPr="009A69B5">
        <w:rPr>
          <w:rFonts w:ascii="Arial" w:eastAsia="Calibri" w:hAnsi="Arial" w:cs="Arial"/>
          <w:bCs/>
          <w:color w:val="000000" w:themeColor="text1"/>
          <w:sz w:val="22"/>
          <w:szCs w:val="22"/>
          <w:lang w:val="es-ES"/>
        </w:rPr>
        <w:lastRenderedPageBreak/>
        <w:tab/>
      </w:r>
      <w:r w:rsidRPr="009A69B5">
        <w:rPr>
          <w:rFonts w:ascii="Arial" w:eastAsia="Calibri" w:hAnsi="Arial" w:cs="Arial"/>
          <w:bCs/>
          <w:color w:val="000000" w:themeColor="text1"/>
          <w:sz w:val="22"/>
          <w:szCs w:val="22"/>
          <w:lang w:val="es-ES"/>
        </w:rPr>
        <w:tab/>
      </w:r>
      <w:r w:rsidR="00C75A34" w:rsidRPr="009A69B5">
        <w:rPr>
          <w:rFonts w:ascii="Arial" w:eastAsia="Calibri" w:hAnsi="Arial" w:cs="Arial"/>
          <w:bCs/>
          <w:color w:val="000000" w:themeColor="text1"/>
          <w:sz w:val="22"/>
          <w:szCs w:val="22"/>
          <w:lang w:val="es-ES"/>
        </w:rPr>
        <w:t xml:space="preserve">La </w:t>
      </w:r>
      <w:r w:rsidR="003D4F75" w:rsidRPr="009A69B5">
        <w:rPr>
          <w:rFonts w:ascii="Arial" w:eastAsia="Calibri" w:hAnsi="Arial" w:cs="Arial"/>
          <w:bCs/>
          <w:color w:val="000000" w:themeColor="text1"/>
          <w:sz w:val="22"/>
          <w:szCs w:val="22"/>
          <w:lang w:val="es-ES"/>
        </w:rPr>
        <w:t>normativa</w:t>
      </w:r>
      <w:r w:rsidR="00CC20A0" w:rsidRPr="009A69B5">
        <w:rPr>
          <w:rFonts w:ascii="Arial" w:eastAsia="Calibri" w:hAnsi="Arial" w:cs="Arial"/>
          <w:bCs/>
          <w:color w:val="000000" w:themeColor="text1"/>
          <w:sz w:val="22"/>
          <w:szCs w:val="22"/>
          <w:lang w:val="es-ES"/>
        </w:rPr>
        <w:t xml:space="preserve"> </w:t>
      </w:r>
      <w:r w:rsidRPr="009A69B5">
        <w:rPr>
          <w:rFonts w:ascii="Arial" w:eastAsia="Calibri" w:hAnsi="Arial" w:cs="Arial"/>
          <w:bCs/>
          <w:color w:val="000000" w:themeColor="text1"/>
          <w:sz w:val="22"/>
          <w:szCs w:val="22"/>
          <w:lang w:val="es-ES"/>
        </w:rPr>
        <w:t>vigente</w:t>
      </w:r>
      <w:r w:rsidR="00DE1D7C" w:rsidRPr="009A69B5">
        <w:rPr>
          <w:rFonts w:ascii="Arial" w:eastAsia="Calibri" w:hAnsi="Arial" w:cs="Arial"/>
          <w:bCs/>
          <w:color w:val="000000" w:themeColor="text1"/>
          <w:sz w:val="22"/>
          <w:szCs w:val="22"/>
          <w:lang w:val="es-ES"/>
        </w:rPr>
        <w:t xml:space="preserve"> expresamente señala que la vigilancia sobre la correcta </w:t>
      </w:r>
      <w:r w:rsidR="009A69B5" w:rsidRPr="009A69B5">
        <w:rPr>
          <w:rFonts w:ascii="Arial" w:eastAsia="Calibri" w:hAnsi="Arial" w:cs="Arial"/>
          <w:bCs/>
          <w:color w:val="000000" w:themeColor="text1"/>
          <w:sz w:val="22"/>
          <w:szCs w:val="22"/>
          <w:lang w:val="es-ES"/>
        </w:rPr>
        <w:t>destinación</w:t>
      </w:r>
      <w:r w:rsidR="00DE1D7C" w:rsidRPr="009A69B5">
        <w:rPr>
          <w:rFonts w:ascii="Arial" w:eastAsia="Calibri" w:hAnsi="Arial" w:cs="Arial"/>
          <w:bCs/>
          <w:color w:val="000000" w:themeColor="text1"/>
          <w:sz w:val="22"/>
          <w:szCs w:val="22"/>
          <w:lang w:val="es-ES"/>
        </w:rPr>
        <w:t xml:space="preserve"> y utilización de los recursos públicos es uno de los pilares de las funciones de las veedurías, y en ese contexto reconoce que la contratación pública es una de las materias de especial relevancia. </w:t>
      </w:r>
      <w:r w:rsidRPr="009A69B5">
        <w:rPr>
          <w:rFonts w:ascii="Arial" w:eastAsia="Calibri" w:hAnsi="Arial" w:cs="Arial"/>
          <w:bCs/>
          <w:color w:val="000000" w:themeColor="text1"/>
          <w:sz w:val="22"/>
          <w:szCs w:val="22"/>
          <w:lang w:val="es-ES"/>
        </w:rPr>
        <w:t xml:space="preserve"> </w:t>
      </w:r>
    </w:p>
    <w:p w14:paraId="75019B99" w14:textId="59D25453" w:rsidR="00FA446A" w:rsidRDefault="00873C12" w:rsidP="00FA446A">
      <w:pPr>
        <w:tabs>
          <w:tab w:val="left" w:pos="426"/>
        </w:tabs>
        <w:spacing w:line="276" w:lineRule="auto"/>
        <w:jc w:val="both"/>
        <w:rPr>
          <w:rFonts w:ascii="Arial" w:eastAsia="Calibri" w:hAnsi="Arial" w:cs="Arial"/>
          <w:bCs/>
          <w:color w:val="000000" w:themeColor="text1"/>
          <w:sz w:val="22"/>
          <w:szCs w:val="22"/>
          <w:lang w:val="es-ES"/>
        </w:rPr>
      </w:pPr>
      <w:r w:rsidRPr="009A69B5">
        <w:rPr>
          <w:rFonts w:ascii="Arial" w:eastAsia="Calibri" w:hAnsi="Arial" w:cs="Arial"/>
          <w:bCs/>
          <w:color w:val="000000" w:themeColor="text1"/>
          <w:sz w:val="22"/>
          <w:szCs w:val="22"/>
          <w:lang w:val="es-ES"/>
        </w:rPr>
        <w:tab/>
      </w:r>
      <w:r w:rsidRPr="009A69B5">
        <w:rPr>
          <w:rFonts w:ascii="Arial" w:eastAsia="Calibri" w:hAnsi="Arial" w:cs="Arial"/>
          <w:bCs/>
          <w:color w:val="000000" w:themeColor="text1"/>
          <w:sz w:val="22"/>
          <w:szCs w:val="22"/>
          <w:lang w:val="es-ES"/>
        </w:rPr>
        <w:tab/>
        <w:t>Finalmente,</w:t>
      </w:r>
      <w:r w:rsidR="00DE1D7C" w:rsidRPr="009A69B5">
        <w:rPr>
          <w:rFonts w:ascii="Arial" w:eastAsia="Calibri" w:hAnsi="Arial" w:cs="Arial"/>
          <w:bCs/>
          <w:color w:val="000000" w:themeColor="text1"/>
          <w:sz w:val="22"/>
          <w:szCs w:val="22"/>
          <w:lang w:val="es-ES"/>
        </w:rPr>
        <w:t xml:space="preserve"> </w:t>
      </w:r>
      <w:r w:rsidR="0056439A" w:rsidRPr="009A69B5">
        <w:rPr>
          <w:rFonts w:ascii="Arial" w:eastAsia="Calibri" w:hAnsi="Arial" w:cs="Arial"/>
          <w:bCs/>
          <w:color w:val="000000" w:themeColor="text1"/>
          <w:sz w:val="22"/>
          <w:szCs w:val="22"/>
          <w:lang w:val="es-ES"/>
        </w:rPr>
        <w:t xml:space="preserve">el marco normativo sobre la materia lo completa </w:t>
      </w:r>
      <w:r w:rsidR="00C75A34" w:rsidRPr="009A69B5">
        <w:rPr>
          <w:rFonts w:ascii="Arial" w:eastAsia="Calibri" w:hAnsi="Arial" w:cs="Arial"/>
          <w:bCs/>
          <w:color w:val="000000" w:themeColor="text1"/>
          <w:sz w:val="22"/>
          <w:szCs w:val="22"/>
          <w:lang w:val="es-ES"/>
        </w:rPr>
        <w:t xml:space="preserve">la Ley Estatutaria 1757 de 2015, </w:t>
      </w:r>
      <w:r w:rsidR="003D21F6">
        <w:rPr>
          <w:rFonts w:ascii="Arial" w:eastAsia="Calibri" w:hAnsi="Arial" w:cs="Arial"/>
          <w:bCs/>
          <w:color w:val="000000" w:themeColor="text1"/>
          <w:sz w:val="22"/>
          <w:szCs w:val="22"/>
          <w:lang w:val="es-ES"/>
        </w:rPr>
        <w:t>«</w:t>
      </w:r>
      <w:r w:rsidR="00C75A34" w:rsidRPr="009A69B5">
        <w:rPr>
          <w:rFonts w:ascii="Arial" w:eastAsia="Calibri" w:hAnsi="Arial" w:cs="Arial"/>
          <w:bCs/>
          <w:color w:val="000000" w:themeColor="text1"/>
          <w:sz w:val="22"/>
          <w:szCs w:val="22"/>
          <w:lang w:val="es-ES"/>
        </w:rPr>
        <w:t>Por la cual se dictan disposiciones en materia de promoción y protección del derecho a la</w:t>
      </w:r>
      <w:r w:rsidRPr="009A69B5">
        <w:rPr>
          <w:rFonts w:ascii="Arial" w:eastAsia="Calibri" w:hAnsi="Arial" w:cs="Arial"/>
          <w:bCs/>
          <w:color w:val="000000" w:themeColor="text1"/>
          <w:sz w:val="22"/>
          <w:szCs w:val="22"/>
          <w:lang w:val="es-ES"/>
        </w:rPr>
        <w:t xml:space="preserve"> participación democrática</w:t>
      </w:r>
      <w:r w:rsidR="003D21F6">
        <w:rPr>
          <w:rFonts w:ascii="Arial" w:eastAsia="Calibri" w:hAnsi="Arial" w:cs="Arial"/>
          <w:bCs/>
          <w:color w:val="000000" w:themeColor="text1"/>
          <w:sz w:val="22"/>
          <w:szCs w:val="22"/>
          <w:lang w:val="es-ES"/>
        </w:rPr>
        <w:t>»</w:t>
      </w:r>
      <w:r w:rsidR="00DE1D7C" w:rsidRPr="009A69B5">
        <w:rPr>
          <w:rFonts w:ascii="Arial" w:eastAsia="Calibri" w:hAnsi="Arial" w:cs="Arial"/>
          <w:bCs/>
          <w:color w:val="000000" w:themeColor="text1"/>
          <w:sz w:val="22"/>
          <w:szCs w:val="22"/>
          <w:lang w:val="es-ES"/>
        </w:rPr>
        <w:t xml:space="preserve">. El </w:t>
      </w:r>
      <w:r w:rsidRPr="009A69B5">
        <w:rPr>
          <w:rFonts w:ascii="Arial" w:eastAsia="Calibri" w:hAnsi="Arial" w:cs="Arial"/>
          <w:bCs/>
          <w:color w:val="000000" w:themeColor="text1"/>
          <w:sz w:val="22"/>
          <w:szCs w:val="22"/>
          <w:lang w:val="es-ES"/>
        </w:rPr>
        <w:t>título V</w:t>
      </w:r>
      <w:r w:rsidR="00DE1D7C" w:rsidRPr="009A69B5">
        <w:rPr>
          <w:rFonts w:ascii="Arial" w:eastAsia="Calibri" w:hAnsi="Arial" w:cs="Arial"/>
          <w:bCs/>
          <w:color w:val="000000" w:themeColor="text1"/>
          <w:sz w:val="22"/>
          <w:szCs w:val="22"/>
          <w:lang w:val="es-ES"/>
        </w:rPr>
        <w:t xml:space="preserve"> de dicha ley está</w:t>
      </w:r>
      <w:r w:rsidR="00C75A34" w:rsidRPr="009A69B5">
        <w:rPr>
          <w:rFonts w:ascii="Arial" w:eastAsia="Calibri" w:hAnsi="Arial" w:cs="Arial"/>
          <w:bCs/>
          <w:color w:val="000000" w:themeColor="text1"/>
          <w:sz w:val="22"/>
          <w:szCs w:val="22"/>
          <w:lang w:val="es-ES"/>
        </w:rPr>
        <w:t xml:space="preserve"> dedicado exclusivamente al control social de lo público, </w:t>
      </w:r>
      <w:r w:rsidRPr="009A69B5">
        <w:rPr>
          <w:rFonts w:ascii="Arial" w:eastAsia="Calibri" w:hAnsi="Arial" w:cs="Arial"/>
          <w:bCs/>
          <w:color w:val="000000" w:themeColor="text1"/>
          <w:sz w:val="22"/>
          <w:szCs w:val="22"/>
          <w:lang w:val="es-ES"/>
        </w:rPr>
        <w:t xml:space="preserve">hace algunos </w:t>
      </w:r>
      <w:r w:rsidR="00C75A34" w:rsidRPr="009A69B5">
        <w:rPr>
          <w:rFonts w:ascii="Arial" w:eastAsia="Calibri" w:hAnsi="Arial" w:cs="Arial"/>
          <w:bCs/>
          <w:color w:val="000000" w:themeColor="text1"/>
          <w:sz w:val="22"/>
          <w:szCs w:val="22"/>
          <w:lang w:val="es-ES"/>
        </w:rPr>
        <w:t xml:space="preserve">ajustes a </w:t>
      </w:r>
      <w:r w:rsidRPr="009A69B5">
        <w:rPr>
          <w:rFonts w:ascii="Arial" w:eastAsia="Calibri" w:hAnsi="Arial" w:cs="Arial"/>
          <w:bCs/>
          <w:color w:val="000000" w:themeColor="text1"/>
          <w:sz w:val="22"/>
          <w:szCs w:val="22"/>
          <w:lang w:val="es-ES"/>
        </w:rPr>
        <w:t>cierta</w:t>
      </w:r>
      <w:r w:rsidR="00C75A34" w:rsidRPr="009A69B5">
        <w:rPr>
          <w:rFonts w:ascii="Arial" w:eastAsia="Calibri" w:hAnsi="Arial" w:cs="Arial"/>
          <w:bCs/>
          <w:color w:val="000000" w:themeColor="text1"/>
          <w:sz w:val="22"/>
          <w:szCs w:val="22"/>
          <w:lang w:val="es-ES"/>
        </w:rPr>
        <w:t>s</w:t>
      </w:r>
      <w:r w:rsidRPr="009A69B5">
        <w:rPr>
          <w:rFonts w:ascii="Arial" w:eastAsia="Calibri" w:hAnsi="Arial" w:cs="Arial"/>
          <w:bCs/>
          <w:color w:val="000000" w:themeColor="text1"/>
          <w:sz w:val="22"/>
          <w:szCs w:val="22"/>
          <w:lang w:val="es-ES"/>
        </w:rPr>
        <w:t xml:space="preserve"> disposiciones</w:t>
      </w:r>
      <w:r w:rsidR="00C75A34" w:rsidRPr="009A69B5">
        <w:rPr>
          <w:rFonts w:ascii="Arial" w:eastAsia="Calibri" w:hAnsi="Arial" w:cs="Arial"/>
          <w:bCs/>
          <w:color w:val="000000" w:themeColor="text1"/>
          <w:sz w:val="22"/>
          <w:szCs w:val="22"/>
          <w:lang w:val="es-ES"/>
        </w:rPr>
        <w:t xml:space="preserve"> de la Ley 850</w:t>
      </w:r>
      <w:r w:rsidRPr="009A69B5">
        <w:rPr>
          <w:rFonts w:ascii="Arial" w:eastAsia="Calibri" w:hAnsi="Arial" w:cs="Arial"/>
          <w:bCs/>
          <w:color w:val="000000" w:themeColor="text1"/>
          <w:sz w:val="22"/>
          <w:szCs w:val="22"/>
          <w:lang w:val="es-ES"/>
        </w:rPr>
        <w:t xml:space="preserve"> de 2003 y establece un </w:t>
      </w:r>
      <w:r w:rsidR="00C75A34" w:rsidRPr="009A69B5">
        <w:rPr>
          <w:rFonts w:ascii="Arial" w:eastAsia="Calibri" w:hAnsi="Arial" w:cs="Arial"/>
          <w:bCs/>
          <w:color w:val="000000" w:themeColor="text1"/>
          <w:sz w:val="22"/>
          <w:szCs w:val="22"/>
          <w:lang w:val="es-ES"/>
        </w:rPr>
        <w:t xml:space="preserve">espectro más amplio de control y vigilancia, </w:t>
      </w:r>
      <w:r w:rsidR="0056439A" w:rsidRPr="009A69B5">
        <w:rPr>
          <w:rFonts w:ascii="Arial" w:eastAsia="Calibri" w:hAnsi="Arial" w:cs="Arial"/>
          <w:bCs/>
          <w:color w:val="000000" w:themeColor="text1"/>
          <w:sz w:val="22"/>
          <w:szCs w:val="22"/>
          <w:lang w:val="es-ES"/>
        </w:rPr>
        <w:t xml:space="preserve">con lo cual se aclara que las veedurías son solamente uno de los </w:t>
      </w:r>
      <w:r w:rsidR="009A69B5" w:rsidRPr="009A69B5">
        <w:rPr>
          <w:rFonts w:ascii="Arial" w:eastAsia="Calibri" w:hAnsi="Arial" w:cs="Arial"/>
          <w:bCs/>
          <w:color w:val="000000" w:themeColor="text1"/>
          <w:sz w:val="22"/>
          <w:szCs w:val="22"/>
          <w:lang w:val="es-ES"/>
        </w:rPr>
        <w:t>múltiples</w:t>
      </w:r>
      <w:r w:rsidR="0056439A" w:rsidRPr="009A69B5">
        <w:rPr>
          <w:rFonts w:ascii="Arial" w:eastAsia="Calibri" w:hAnsi="Arial" w:cs="Arial"/>
          <w:bCs/>
          <w:color w:val="000000" w:themeColor="text1"/>
          <w:sz w:val="22"/>
          <w:szCs w:val="22"/>
          <w:lang w:val="es-ES"/>
        </w:rPr>
        <w:t xml:space="preserve"> actores habilitados por el ordenamiento jurídico para hacer control social. </w:t>
      </w:r>
    </w:p>
    <w:p w14:paraId="1F8AA5D6" w14:textId="77777777" w:rsidR="009A69B5" w:rsidRPr="009A69B5" w:rsidRDefault="009A69B5" w:rsidP="00FA446A">
      <w:pPr>
        <w:tabs>
          <w:tab w:val="left" w:pos="426"/>
        </w:tabs>
        <w:spacing w:line="276" w:lineRule="auto"/>
        <w:jc w:val="both"/>
        <w:rPr>
          <w:rFonts w:ascii="Arial" w:eastAsia="Calibri" w:hAnsi="Arial" w:cs="Arial"/>
          <w:bCs/>
          <w:color w:val="000000" w:themeColor="text1"/>
          <w:sz w:val="22"/>
          <w:szCs w:val="22"/>
          <w:lang w:val="es-ES"/>
        </w:rPr>
      </w:pPr>
    </w:p>
    <w:p w14:paraId="02FC2364" w14:textId="1875BFEA" w:rsidR="007B33CA" w:rsidRPr="009A69B5" w:rsidRDefault="00CC20A0" w:rsidP="00FA446A">
      <w:pPr>
        <w:tabs>
          <w:tab w:val="left" w:pos="426"/>
        </w:tabs>
        <w:jc w:val="both"/>
        <w:rPr>
          <w:rFonts w:ascii="Arial" w:eastAsia="Calibri" w:hAnsi="Arial" w:cs="Arial"/>
          <w:b/>
          <w:bCs/>
          <w:color w:val="000000" w:themeColor="text1"/>
          <w:sz w:val="22"/>
          <w:szCs w:val="22"/>
          <w:lang w:val="es-ES"/>
        </w:rPr>
      </w:pPr>
      <w:r w:rsidRPr="009A69B5">
        <w:rPr>
          <w:rFonts w:ascii="Arial" w:eastAsia="Calibri" w:hAnsi="Arial" w:cs="Arial"/>
          <w:b/>
          <w:bCs/>
          <w:color w:val="000000" w:themeColor="text1"/>
          <w:sz w:val="22"/>
          <w:szCs w:val="22"/>
          <w:lang w:val="es-ES"/>
        </w:rPr>
        <w:t xml:space="preserve">2.2. </w:t>
      </w:r>
      <w:r w:rsidR="007B33CA" w:rsidRPr="009A69B5">
        <w:rPr>
          <w:rFonts w:ascii="Arial" w:eastAsia="Calibri" w:hAnsi="Arial" w:cs="Arial"/>
          <w:b/>
          <w:bCs/>
          <w:color w:val="000000" w:themeColor="text1"/>
          <w:sz w:val="22"/>
          <w:szCs w:val="22"/>
          <w:lang w:val="es-ES"/>
        </w:rPr>
        <w:t>El control social a la contratación p</w:t>
      </w:r>
      <w:r w:rsidR="00336AF5" w:rsidRPr="009A69B5">
        <w:rPr>
          <w:rFonts w:ascii="Arial" w:eastAsia="Calibri" w:hAnsi="Arial" w:cs="Arial"/>
          <w:b/>
          <w:bCs/>
          <w:color w:val="000000" w:themeColor="text1"/>
          <w:sz w:val="22"/>
          <w:szCs w:val="22"/>
          <w:lang w:val="es-ES"/>
        </w:rPr>
        <w:t>ública</w:t>
      </w:r>
    </w:p>
    <w:p w14:paraId="5B74064E" w14:textId="77777777" w:rsidR="009A69B5" w:rsidRDefault="009A69B5" w:rsidP="009A69B5">
      <w:pPr>
        <w:tabs>
          <w:tab w:val="left" w:pos="426"/>
        </w:tabs>
        <w:spacing w:after="120" w:line="276" w:lineRule="auto"/>
        <w:jc w:val="both"/>
        <w:rPr>
          <w:rFonts w:ascii="Arial" w:eastAsia="Calibri" w:hAnsi="Arial" w:cs="Arial"/>
          <w:bCs/>
          <w:color w:val="000000" w:themeColor="text1"/>
          <w:sz w:val="22"/>
          <w:szCs w:val="22"/>
          <w:lang w:val="es-ES"/>
        </w:rPr>
      </w:pPr>
    </w:p>
    <w:p w14:paraId="53E98876" w14:textId="74F9C78B" w:rsidR="00900DCC" w:rsidRPr="009A69B5" w:rsidRDefault="0056439A" w:rsidP="009A69B5">
      <w:pPr>
        <w:tabs>
          <w:tab w:val="left" w:pos="426"/>
        </w:tabs>
        <w:spacing w:after="120" w:line="276" w:lineRule="auto"/>
        <w:jc w:val="both"/>
        <w:rPr>
          <w:rFonts w:ascii="Arial" w:eastAsia="Calibri" w:hAnsi="Arial" w:cs="Arial"/>
          <w:bCs/>
          <w:color w:val="000000" w:themeColor="text1"/>
          <w:sz w:val="22"/>
          <w:szCs w:val="22"/>
          <w:lang w:val="es-ES"/>
        </w:rPr>
      </w:pPr>
      <w:r w:rsidRPr="009A69B5">
        <w:rPr>
          <w:rFonts w:ascii="Arial" w:eastAsia="Calibri" w:hAnsi="Arial" w:cs="Arial"/>
          <w:bCs/>
          <w:color w:val="000000" w:themeColor="text1"/>
          <w:sz w:val="22"/>
          <w:szCs w:val="22"/>
          <w:lang w:val="es-ES"/>
        </w:rPr>
        <w:t xml:space="preserve">Sobre la base de la exposición general del marco normativo del control social, es posible profundizar en </w:t>
      </w:r>
      <w:r w:rsidR="006A0369" w:rsidRPr="009A69B5">
        <w:rPr>
          <w:rFonts w:ascii="Arial" w:eastAsia="Calibri" w:hAnsi="Arial" w:cs="Arial"/>
          <w:bCs/>
          <w:color w:val="000000" w:themeColor="text1"/>
          <w:sz w:val="22"/>
          <w:szCs w:val="22"/>
          <w:lang w:val="es-ES"/>
        </w:rPr>
        <w:t>el</w:t>
      </w:r>
      <w:r w:rsidRPr="009A69B5">
        <w:rPr>
          <w:rFonts w:ascii="Arial" w:eastAsia="Calibri" w:hAnsi="Arial" w:cs="Arial"/>
          <w:bCs/>
          <w:color w:val="000000" w:themeColor="text1"/>
          <w:sz w:val="22"/>
          <w:szCs w:val="22"/>
          <w:lang w:val="es-ES"/>
        </w:rPr>
        <w:t xml:space="preserve"> asunto para observar su alcance e importancia en los procesos contractuales de la </w:t>
      </w:r>
      <w:r w:rsidR="002F06AC">
        <w:rPr>
          <w:rFonts w:ascii="Arial" w:eastAsia="Calibri" w:hAnsi="Arial" w:cs="Arial"/>
          <w:bCs/>
          <w:color w:val="000000" w:themeColor="text1"/>
          <w:sz w:val="22"/>
          <w:szCs w:val="22"/>
          <w:lang w:val="es-ES"/>
        </w:rPr>
        <w:t>A</w:t>
      </w:r>
      <w:r w:rsidRPr="009A69B5">
        <w:rPr>
          <w:rFonts w:ascii="Arial" w:eastAsia="Calibri" w:hAnsi="Arial" w:cs="Arial"/>
          <w:bCs/>
          <w:color w:val="000000" w:themeColor="text1"/>
          <w:sz w:val="22"/>
          <w:szCs w:val="22"/>
          <w:lang w:val="es-ES"/>
        </w:rPr>
        <w:t xml:space="preserve">dministración. </w:t>
      </w:r>
      <w:r w:rsidR="00900DCC" w:rsidRPr="009A69B5">
        <w:rPr>
          <w:rFonts w:ascii="Arial" w:eastAsia="Calibri" w:hAnsi="Arial" w:cs="Arial"/>
          <w:bCs/>
          <w:color w:val="000000" w:themeColor="text1"/>
          <w:sz w:val="22"/>
          <w:szCs w:val="22"/>
          <w:lang w:val="es-ES"/>
        </w:rPr>
        <w:t xml:space="preserve">El artículo 60 de la Ley 1757 de 2015 define el control social de la siguiente manera: </w:t>
      </w:r>
    </w:p>
    <w:p w14:paraId="59527624" w14:textId="77777777" w:rsidR="001D5E0E" w:rsidRPr="009A69B5" w:rsidRDefault="001D5E0E" w:rsidP="00FA446A">
      <w:pPr>
        <w:tabs>
          <w:tab w:val="left" w:pos="426"/>
        </w:tabs>
        <w:ind w:right="760"/>
        <w:jc w:val="both"/>
        <w:rPr>
          <w:rFonts w:ascii="Arial" w:eastAsia="Calibri" w:hAnsi="Arial" w:cs="Arial"/>
          <w:bCs/>
          <w:color w:val="000000" w:themeColor="text1"/>
          <w:sz w:val="22"/>
          <w:szCs w:val="22"/>
          <w:lang w:val="es-ES"/>
        </w:rPr>
      </w:pPr>
    </w:p>
    <w:p w14:paraId="597A0F1B" w14:textId="607C7B19" w:rsidR="001D5E0E" w:rsidRPr="009A69B5" w:rsidRDefault="00900DCC" w:rsidP="00FA446A">
      <w:pPr>
        <w:tabs>
          <w:tab w:val="left" w:pos="426"/>
        </w:tabs>
        <w:ind w:left="708" w:right="760"/>
        <w:jc w:val="both"/>
        <w:rPr>
          <w:rFonts w:ascii="Arial" w:eastAsia="Calibri" w:hAnsi="Arial" w:cs="Arial"/>
          <w:bCs/>
          <w:color w:val="000000" w:themeColor="text1"/>
          <w:sz w:val="21"/>
          <w:szCs w:val="21"/>
          <w:lang w:val="es-ES"/>
        </w:rPr>
      </w:pPr>
      <w:r w:rsidRPr="009A69B5">
        <w:rPr>
          <w:rFonts w:ascii="Arial" w:eastAsia="Calibri" w:hAnsi="Arial" w:cs="Arial"/>
          <w:bCs/>
          <w:color w:val="000000" w:themeColor="text1"/>
          <w:sz w:val="21"/>
          <w:szCs w:val="21"/>
          <w:lang w:val="es-ES"/>
        </w:rPr>
        <w:t>ARTÍCULO 60. CONTROL SOCIAL A LO PÚBLICO. El control social es e</w:t>
      </w:r>
      <w:r w:rsidR="001D5E0E" w:rsidRPr="009A69B5">
        <w:rPr>
          <w:rFonts w:ascii="Arial" w:eastAsia="Calibri" w:hAnsi="Arial" w:cs="Arial"/>
          <w:bCs/>
          <w:color w:val="000000" w:themeColor="text1"/>
          <w:sz w:val="21"/>
          <w:szCs w:val="21"/>
          <w:lang w:val="es-ES"/>
        </w:rPr>
        <w:t>l derecho y el deber de los ciudadanos a participar de manera individual o a través de sus organizaciones, redes sociales e instituciones, en la vigilancia de la gestión pública y sus resultados.</w:t>
      </w:r>
    </w:p>
    <w:p w14:paraId="117DF00E" w14:textId="77777777" w:rsidR="00FA446A" w:rsidRPr="009A69B5" w:rsidRDefault="00FA446A" w:rsidP="00FA446A">
      <w:pPr>
        <w:tabs>
          <w:tab w:val="left" w:pos="426"/>
        </w:tabs>
        <w:ind w:left="708" w:right="760"/>
        <w:jc w:val="both"/>
        <w:rPr>
          <w:rFonts w:ascii="Arial" w:eastAsia="Calibri" w:hAnsi="Arial" w:cs="Arial"/>
          <w:bCs/>
          <w:color w:val="000000" w:themeColor="text1"/>
          <w:sz w:val="21"/>
          <w:szCs w:val="21"/>
          <w:lang w:val="es-ES"/>
        </w:rPr>
      </w:pPr>
    </w:p>
    <w:p w14:paraId="01CAE2FF" w14:textId="276F0B19" w:rsidR="001D5E0E" w:rsidRPr="009A69B5" w:rsidRDefault="001D5E0E" w:rsidP="00FA446A">
      <w:pPr>
        <w:tabs>
          <w:tab w:val="left" w:pos="426"/>
        </w:tabs>
        <w:ind w:left="708" w:right="760"/>
        <w:jc w:val="both"/>
        <w:rPr>
          <w:rFonts w:ascii="Arial" w:eastAsia="Calibri" w:hAnsi="Arial" w:cs="Arial"/>
          <w:bCs/>
          <w:color w:val="000000" w:themeColor="text1"/>
          <w:sz w:val="21"/>
          <w:szCs w:val="21"/>
          <w:lang w:val="es-ES"/>
        </w:rPr>
      </w:pPr>
      <w:r w:rsidRPr="009A69B5">
        <w:rPr>
          <w:rFonts w:ascii="Arial" w:eastAsia="Calibri" w:hAnsi="Arial" w:cs="Arial"/>
          <w:bCs/>
          <w:color w:val="000000" w:themeColor="text1"/>
          <w:sz w:val="21"/>
          <w:szCs w:val="21"/>
          <w:lang w:val="es-ES"/>
        </w:rPr>
        <w:t>Quienes ejerzan control social podrán realizar alianzas con Organizaciones No Gubernamentales, fundaciones, universidades, gremios empresariales, medios de comunicación y entidades afines para fortalecer su ejercicio, darle continuidad y obtener apoyo financiero, operativo y logístico.</w:t>
      </w:r>
    </w:p>
    <w:p w14:paraId="6A0998E5" w14:textId="77777777" w:rsidR="00FA446A" w:rsidRPr="009A69B5" w:rsidRDefault="00FA446A" w:rsidP="00FA446A">
      <w:pPr>
        <w:tabs>
          <w:tab w:val="left" w:pos="426"/>
        </w:tabs>
        <w:ind w:left="708" w:right="760"/>
        <w:jc w:val="both"/>
        <w:rPr>
          <w:rFonts w:ascii="Arial" w:eastAsia="Calibri" w:hAnsi="Arial" w:cs="Arial"/>
          <w:bCs/>
          <w:color w:val="000000" w:themeColor="text1"/>
          <w:sz w:val="21"/>
          <w:szCs w:val="21"/>
          <w:lang w:val="es-ES"/>
        </w:rPr>
      </w:pPr>
    </w:p>
    <w:p w14:paraId="5B8591CB" w14:textId="0D3B68BA" w:rsidR="001D5E0E" w:rsidRPr="009A69B5" w:rsidRDefault="001D5E0E" w:rsidP="00FA446A">
      <w:pPr>
        <w:tabs>
          <w:tab w:val="left" w:pos="426"/>
        </w:tabs>
        <w:ind w:left="708" w:right="760"/>
        <w:jc w:val="both"/>
        <w:rPr>
          <w:rFonts w:ascii="Arial" w:eastAsia="Calibri" w:hAnsi="Arial" w:cs="Arial"/>
          <w:bCs/>
          <w:color w:val="000000" w:themeColor="text1"/>
          <w:sz w:val="21"/>
          <w:szCs w:val="21"/>
          <w:lang w:val="es-ES"/>
        </w:rPr>
      </w:pPr>
      <w:r w:rsidRPr="009A69B5">
        <w:rPr>
          <w:rFonts w:ascii="Arial" w:eastAsia="Calibri" w:hAnsi="Arial" w:cs="Arial"/>
          <w:bCs/>
          <w:color w:val="000000" w:themeColor="text1"/>
          <w:sz w:val="21"/>
          <w:szCs w:val="21"/>
          <w:lang w:val="es-ES"/>
        </w:rPr>
        <w:t xml:space="preserve">De igual manera, podrán coordinar su labor con otras instancias de participación a fin de intercambiar experiencias y sistemas de información, definir estrategias </w:t>
      </w:r>
      <w:r w:rsidRPr="009A69B5">
        <w:rPr>
          <w:rFonts w:ascii="Arial" w:eastAsia="Calibri" w:hAnsi="Arial" w:cs="Arial"/>
          <w:bCs/>
          <w:color w:val="000000" w:themeColor="text1"/>
          <w:sz w:val="21"/>
          <w:szCs w:val="21"/>
          <w:lang w:val="es-ES"/>
        </w:rPr>
        <w:lastRenderedPageBreak/>
        <w:t>conjuntas de actuación y constituir grupos de apoyo especializado en aspectos jurídicos, administrativos, y financieros.</w:t>
      </w:r>
    </w:p>
    <w:p w14:paraId="3B2D71C0" w14:textId="77777777" w:rsidR="00FA446A" w:rsidRPr="009A69B5" w:rsidRDefault="00FA446A" w:rsidP="00FA446A">
      <w:pPr>
        <w:tabs>
          <w:tab w:val="left" w:pos="426"/>
        </w:tabs>
        <w:ind w:left="708" w:right="760"/>
        <w:jc w:val="both"/>
        <w:rPr>
          <w:rFonts w:ascii="Arial" w:eastAsia="Calibri" w:hAnsi="Arial" w:cs="Arial"/>
          <w:bCs/>
          <w:color w:val="000000" w:themeColor="text1"/>
          <w:sz w:val="21"/>
          <w:szCs w:val="21"/>
          <w:lang w:val="es-ES"/>
        </w:rPr>
      </w:pPr>
    </w:p>
    <w:p w14:paraId="51077525" w14:textId="1941A3A0" w:rsidR="001D5E0E" w:rsidRPr="009A69B5" w:rsidRDefault="001D5E0E" w:rsidP="00FA446A">
      <w:pPr>
        <w:tabs>
          <w:tab w:val="left" w:pos="426"/>
        </w:tabs>
        <w:ind w:left="708" w:right="760"/>
        <w:jc w:val="both"/>
        <w:rPr>
          <w:rFonts w:ascii="Arial" w:eastAsia="Calibri" w:hAnsi="Arial" w:cs="Arial"/>
          <w:bCs/>
          <w:color w:val="000000" w:themeColor="text1"/>
          <w:sz w:val="22"/>
          <w:szCs w:val="22"/>
          <w:lang w:val="es-ES"/>
        </w:rPr>
      </w:pPr>
      <w:r w:rsidRPr="009A69B5">
        <w:rPr>
          <w:rFonts w:ascii="Arial" w:eastAsia="Calibri" w:hAnsi="Arial" w:cs="Arial"/>
          <w:bCs/>
          <w:color w:val="000000" w:themeColor="text1"/>
          <w:sz w:val="21"/>
          <w:szCs w:val="21"/>
          <w:lang w:val="es-ES"/>
        </w:rPr>
        <w:t>PARÁGRAFO. Los estudiantes de secundaria de último grado, universitarios, carreras técnicas o tecnológicas, para optar por el respectivo título, podrán, opcionalmente desarrollar sus prácticas, pasantías o trabajo social, con las organizaciones de la sociedad civil que realicen control social. De igual forma, podrán adelantar sus prácticas con las organizaciones de control social quienes aspiren a ser auxiliares de la justicia.</w:t>
      </w:r>
    </w:p>
    <w:p w14:paraId="378EC2F3" w14:textId="6A66D93D" w:rsidR="001D5E0E" w:rsidRPr="009A69B5" w:rsidRDefault="001D5E0E" w:rsidP="00FA446A">
      <w:pPr>
        <w:tabs>
          <w:tab w:val="left" w:pos="426"/>
        </w:tabs>
        <w:ind w:right="760"/>
        <w:jc w:val="both"/>
        <w:rPr>
          <w:rFonts w:ascii="Arial" w:eastAsia="Calibri" w:hAnsi="Arial" w:cs="Arial"/>
          <w:bCs/>
          <w:color w:val="000000" w:themeColor="text1"/>
          <w:sz w:val="22"/>
          <w:szCs w:val="22"/>
          <w:lang w:val="es-ES"/>
        </w:rPr>
      </w:pPr>
    </w:p>
    <w:p w14:paraId="243C3A50" w14:textId="2D692612" w:rsidR="00015055" w:rsidRPr="009A69B5" w:rsidRDefault="00900DCC" w:rsidP="00E02A5C">
      <w:pPr>
        <w:tabs>
          <w:tab w:val="left" w:pos="426"/>
        </w:tabs>
        <w:spacing w:after="120" w:line="276" w:lineRule="auto"/>
        <w:ind w:firstLine="709"/>
        <w:jc w:val="both"/>
        <w:rPr>
          <w:rFonts w:ascii="Arial" w:eastAsia="Calibri" w:hAnsi="Arial" w:cs="Arial"/>
          <w:bCs/>
          <w:color w:val="000000" w:themeColor="text1"/>
          <w:sz w:val="22"/>
          <w:szCs w:val="22"/>
          <w:lang w:val="es-ES"/>
        </w:rPr>
      </w:pPr>
      <w:r w:rsidRPr="009A69B5">
        <w:rPr>
          <w:rFonts w:ascii="Arial" w:eastAsia="Calibri" w:hAnsi="Arial" w:cs="Arial"/>
          <w:bCs/>
          <w:color w:val="000000" w:themeColor="text1"/>
          <w:sz w:val="22"/>
          <w:szCs w:val="22"/>
          <w:lang w:val="es-ES"/>
        </w:rPr>
        <w:t xml:space="preserve">De conformidad con la disposición transcrita, el control social no es solo un derecho, sino también un deber ciudadano </w:t>
      </w:r>
      <w:r w:rsidR="006A0369" w:rsidRPr="009A69B5">
        <w:rPr>
          <w:rFonts w:ascii="Arial" w:eastAsia="Calibri" w:hAnsi="Arial" w:cs="Arial"/>
          <w:bCs/>
          <w:color w:val="000000" w:themeColor="text1"/>
          <w:sz w:val="22"/>
          <w:szCs w:val="22"/>
          <w:lang w:val="es-ES"/>
        </w:rPr>
        <w:t xml:space="preserve">que autoriza y exige de estos participar de manera individual o colectiva en la vigilancia de la gestión pública y sus resultados. </w:t>
      </w:r>
      <w:r w:rsidR="00015055" w:rsidRPr="009A69B5">
        <w:rPr>
          <w:rFonts w:ascii="Arial" w:eastAsia="Calibri" w:hAnsi="Arial" w:cs="Arial"/>
          <w:bCs/>
          <w:color w:val="000000" w:themeColor="text1"/>
          <w:sz w:val="22"/>
          <w:szCs w:val="22"/>
          <w:lang w:val="es-ES"/>
        </w:rPr>
        <w:t>El ordenamiento jurídico tiene un</w:t>
      </w:r>
      <w:r w:rsidR="00414906" w:rsidRPr="009A69B5">
        <w:rPr>
          <w:rFonts w:ascii="Arial" w:eastAsia="Calibri" w:hAnsi="Arial" w:cs="Arial"/>
          <w:bCs/>
          <w:color w:val="000000" w:themeColor="text1"/>
          <w:sz w:val="22"/>
          <w:szCs w:val="22"/>
          <w:lang w:val="es-ES"/>
        </w:rPr>
        <w:t>a</w:t>
      </w:r>
      <w:r w:rsidR="00015055" w:rsidRPr="009A69B5">
        <w:rPr>
          <w:rFonts w:ascii="Arial" w:eastAsia="Calibri" w:hAnsi="Arial" w:cs="Arial"/>
          <w:bCs/>
          <w:color w:val="000000" w:themeColor="text1"/>
          <w:sz w:val="22"/>
          <w:szCs w:val="22"/>
          <w:lang w:val="es-ES"/>
        </w:rPr>
        <w:t xml:space="preserve"> definición legal de control social</w:t>
      </w:r>
      <w:r w:rsidR="00414906" w:rsidRPr="009A69B5">
        <w:rPr>
          <w:rFonts w:ascii="Arial" w:eastAsia="Calibri" w:hAnsi="Arial" w:cs="Arial"/>
          <w:bCs/>
          <w:color w:val="000000" w:themeColor="text1"/>
          <w:sz w:val="22"/>
          <w:szCs w:val="22"/>
          <w:lang w:val="es-ES"/>
        </w:rPr>
        <w:t>;</w:t>
      </w:r>
      <w:r w:rsidR="00015055" w:rsidRPr="009A69B5">
        <w:rPr>
          <w:rFonts w:ascii="Arial" w:eastAsia="Calibri" w:hAnsi="Arial" w:cs="Arial"/>
          <w:bCs/>
          <w:color w:val="000000" w:themeColor="text1"/>
          <w:sz w:val="22"/>
          <w:szCs w:val="22"/>
          <w:lang w:val="es-ES"/>
        </w:rPr>
        <w:t xml:space="preserve"> </w:t>
      </w:r>
      <w:r w:rsidR="00E02A5C" w:rsidRPr="009A69B5">
        <w:rPr>
          <w:rFonts w:ascii="Arial" w:eastAsia="Calibri" w:hAnsi="Arial" w:cs="Arial"/>
          <w:bCs/>
          <w:color w:val="000000" w:themeColor="text1"/>
          <w:sz w:val="22"/>
          <w:szCs w:val="22"/>
          <w:lang w:val="es-ES"/>
        </w:rPr>
        <w:t>ello</w:t>
      </w:r>
      <w:r w:rsidR="00015055" w:rsidRPr="009A69B5">
        <w:rPr>
          <w:rFonts w:ascii="Arial" w:eastAsia="Calibri" w:hAnsi="Arial" w:cs="Arial"/>
          <w:bCs/>
          <w:color w:val="000000" w:themeColor="text1"/>
          <w:sz w:val="22"/>
          <w:szCs w:val="22"/>
          <w:lang w:val="es-ES"/>
        </w:rPr>
        <w:t xml:space="preserve"> implica que </w:t>
      </w:r>
      <w:r w:rsidR="00465A61" w:rsidRPr="009A69B5">
        <w:rPr>
          <w:rFonts w:ascii="Arial" w:eastAsia="Calibri" w:hAnsi="Arial" w:cs="Arial"/>
          <w:bCs/>
          <w:color w:val="000000" w:themeColor="text1"/>
          <w:sz w:val="22"/>
          <w:szCs w:val="22"/>
          <w:lang w:val="es-ES"/>
        </w:rPr>
        <w:t>este concepto</w:t>
      </w:r>
      <w:r w:rsidR="00015055" w:rsidRPr="009A69B5">
        <w:rPr>
          <w:rFonts w:ascii="Arial" w:eastAsia="Calibri" w:hAnsi="Arial" w:cs="Arial"/>
          <w:bCs/>
          <w:color w:val="000000" w:themeColor="text1"/>
          <w:sz w:val="22"/>
          <w:szCs w:val="22"/>
          <w:lang w:val="es-ES"/>
        </w:rPr>
        <w:t>, de conformidad con las reglas del Código Civil</w:t>
      </w:r>
      <w:r w:rsidR="00015055" w:rsidRPr="009A69B5">
        <w:rPr>
          <w:rStyle w:val="Refdenotaalpie"/>
          <w:rFonts w:ascii="Arial" w:eastAsia="Calibri" w:hAnsi="Arial" w:cs="Arial"/>
          <w:bCs/>
          <w:color w:val="000000" w:themeColor="text1"/>
          <w:sz w:val="22"/>
          <w:szCs w:val="22"/>
          <w:lang w:val="es-ES"/>
        </w:rPr>
        <w:footnoteReference w:id="3"/>
      </w:r>
      <w:r w:rsidR="00A47CAF">
        <w:rPr>
          <w:rFonts w:ascii="Arial" w:eastAsia="Calibri" w:hAnsi="Arial" w:cs="Arial"/>
          <w:bCs/>
          <w:color w:val="000000" w:themeColor="text1"/>
          <w:sz w:val="22"/>
          <w:szCs w:val="22"/>
          <w:lang w:val="es-ES"/>
        </w:rPr>
        <w:t>,</w:t>
      </w:r>
      <w:r w:rsidR="00015055" w:rsidRPr="009A69B5">
        <w:rPr>
          <w:rFonts w:ascii="Arial" w:eastAsia="Calibri" w:hAnsi="Arial" w:cs="Arial"/>
          <w:bCs/>
          <w:color w:val="000000" w:themeColor="text1"/>
          <w:sz w:val="22"/>
          <w:szCs w:val="22"/>
          <w:lang w:val="es-ES"/>
        </w:rPr>
        <w:t xml:space="preserve"> </w:t>
      </w:r>
      <w:r w:rsidR="00E02A5C" w:rsidRPr="009A69B5">
        <w:rPr>
          <w:rFonts w:ascii="Arial" w:eastAsia="Calibri" w:hAnsi="Arial" w:cs="Arial"/>
          <w:bCs/>
          <w:color w:val="000000" w:themeColor="text1"/>
          <w:sz w:val="22"/>
          <w:szCs w:val="22"/>
          <w:lang w:val="es-ES"/>
        </w:rPr>
        <w:t>debe</w:t>
      </w:r>
      <w:r w:rsidR="00465A61" w:rsidRPr="009A69B5">
        <w:rPr>
          <w:rFonts w:ascii="Arial" w:eastAsia="Calibri" w:hAnsi="Arial" w:cs="Arial"/>
          <w:bCs/>
          <w:color w:val="000000" w:themeColor="text1"/>
          <w:sz w:val="22"/>
          <w:szCs w:val="22"/>
          <w:lang w:val="es-ES"/>
        </w:rPr>
        <w:t xml:space="preserve"> </w:t>
      </w:r>
      <w:r w:rsidR="00E02A5C" w:rsidRPr="009A69B5">
        <w:rPr>
          <w:rFonts w:ascii="Arial" w:eastAsia="Calibri" w:hAnsi="Arial" w:cs="Arial"/>
          <w:bCs/>
          <w:color w:val="000000" w:themeColor="text1"/>
          <w:sz w:val="22"/>
          <w:szCs w:val="22"/>
          <w:lang w:val="es-ES"/>
        </w:rPr>
        <w:t>ser interpretad</w:t>
      </w:r>
      <w:r w:rsidR="00465A61" w:rsidRPr="009A69B5">
        <w:rPr>
          <w:rFonts w:ascii="Arial" w:eastAsia="Calibri" w:hAnsi="Arial" w:cs="Arial"/>
          <w:bCs/>
          <w:color w:val="000000" w:themeColor="text1"/>
          <w:sz w:val="22"/>
          <w:szCs w:val="22"/>
          <w:lang w:val="es-ES"/>
        </w:rPr>
        <w:t>o</w:t>
      </w:r>
      <w:r w:rsidR="00E02A5C" w:rsidRPr="009A69B5">
        <w:rPr>
          <w:rFonts w:ascii="Arial" w:eastAsia="Calibri" w:hAnsi="Arial" w:cs="Arial"/>
          <w:bCs/>
          <w:color w:val="000000" w:themeColor="text1"/>
          <w:sz w:val="22"/>
          <w:szCs w:val="22"/>
          <w:lang w:val="es-ES"/>
        </w:rPr>
        <w:t xml:space="preserve"> en el sentido </w:t>
      </w:r>
      <w:r w:rsidR="00465A61" w:rsidRPr="009A69B5">
        <w:rPr>
          <w:rFonts w:ascii="Arial" w:eastAsia="Calibri" w:hAnsi="Arial" w:cs="Arial"/>
          <w:bCs/>
          <w:color w:val="000000" w:themeColor="text1"/>
          <w:sz w:val="22"/>
          <w:szCs w:val="22"/>
          <w:lang w:val="es-ES"/>
        </w:rPr>
        <w:t>determinado</w:t>
      </w:r>
      <w:r w:rsidR="00E02A5C" w:rsidRPr="009A69B5">
        <w:rPr>
          <w:rFonts w:ascii="Arial" w:eastAsia="Calibri" w:hAnsi="Arial" w:cs="Arial"/>
          <w:bCs/>
          <w:color w:val="000000" w:themeColor="text1"/>
          <w:sz w:val="22"/>
          <w:szCs w:val="22"/>
          <w:lang w:val="es-ES"/>
        </w:rPr>
        <w:t xml:space="preserve"> por el legislador. </w:t>
      </w:r>
      <w:r w:rsidR="00015055" w:rsidRPr="009A69B5">
        <w:rPr>
          <w:rFonts w:ascii="Arial" w:eastAsia="Calibri" w:hAnsi="Arial" w:cs="Arial"/>
          <w:bCs/>
          <w:color w:val="000000" w:themeColor="text1"/>
          <w:sz w:val="22"/>
          <w:szCs w:val="22"/>
          <w:lang w:val="es-ES"/>
        </w:rPr>
        <w:t xml:space="preserve"> </w:t>
      </w:r>
    </w:p>
    <w:p w14:paraId="55403171" w14:textId="0B75C031" w:rsidR="00465A61" w:rsidRPr="009A69B5" w:rsidRDefault="001B05A3" w:rsidP="00EF32AF">
      <w:pPr>
        <w:tabs>
          <w:tab w:val="left" w:pos="426"/>
        </w:tabs>
        <w:spacing w:after="120" w:line="276" w:lineRule="auto"/>
        <w:ind w:firstLine="709"/>
        <w:jc w:val="both"/>
        <w:rPr>
          <w:rFonts w:ascii="Arial" w:eastAsia="Calibri" w:hAnsi="Arial" w:cs="Arial"/>
          <w:bCs/>
          <w:color w:val="000000" w:themeColor="text1"/>
          <w:sz w:val="22"/>
          <w:szCs w:val="22"/>
          <w:lang w:val="es-ES"/>
        </w:rPr>
      </w:pPr>
      <w:r w:rsidRPr="009A69B5">
        <w:rPr>
          <w:rFonts w:ascii="Arial" w:eastAsia="Calibri" w:hAnsi="Arial" w:cs="Arial"/>
          <w:bCs/>
          <w:color w:val="000000" w:themeColor="text1"/>
          <w:sz w:val="22"/>
          <w:szCs w:val="22"/>
          <w:lang w:val="es-ES"/>
        </w:rPr>
        <w:t>E</w:t>
      </w:r>
      <w:r w:rsidR="00465A61" w:rsidRPr="009A69B5">
        <w:rPr>
          <w:rFonts w:ascii="Arial" w:eastAsia="Calibri" w:hAnsi="Arial" w:cs="Arial"/>
          <w:bCs/>
          <w:color w:val="000000" w:themeColor="text1"/>
          <w:sz w:val="22"/>
          <w:szCs w:val="22"/>
          <w:lang w:val="es-ES"/>
        </w:rPr>
        <w:t xml:space="preserve">l control social tiene, por expresa disposición legal, </w:t>
      </w:r>
      <w:r w:rsidR="00414906" w:rsidRPr="009A69B5">
        <w:rPr>
          <w:rFonts w:ascii="Arial" w:eastAsia="Calibri" w:hAnsi="Arial" w:cs="Arial"/>
          <w:bCs/>
          <w:color w:val="000000" w:themeColor="text1"/>
          <w:sz w:val="22"/>
          <w:szCs w:val="22"/>
          <w:lang w:val="es-ES"/>
        </w:rPr>
        <w:t xml:space="preserve">la </w:t>
      </w:r>
      <w:r w:rsidR="00465A61" w:rsidRPr="009A69B5">
        <w:rPr>
          <w:rFonts w:ascii="Arial" w:eastAsia="Calibri" w:hAnsi="Arial" w:cs="Arial"/>
          <w:bCs/>
          <w:color w:val="000000" w:themeColor="text1"/>
          <w:sz w:val="22"/>
          <w:szCs w:val="22"/>
          <w:lang w:val="es-ES"/>
        </w:rPr>
        <w:t>naturaleza de derecho – deber</w:t>
      </w:r>
      <w:r w:rsidRPr="009A69B5">
        <w:rPr>
          <w:rFonts w:ascii="Arial" w:eastAsia="Calibri" w:hAnsi="Arial" w:cs="Arial"/>
          <w:bCs/>
          <w:color w:val="000000" w:themeColor="text1"/>
          <w:sz w:val="22"/>
          <w:szCs w:val="22"/>
          <w:lang w:val="es-ES"/>
        </w:rPr>
        <w:t>, por lo tanto, resulta</w:t>
      </w:r>
      <w:r w:rsidR="00465A61" w:rsidRPr="009A69B5">
        <w:rPr>
          <w:rFonts w:ascii="Arial" w:eastAsia="Calibri" w:hAnsi="Arial" w:cs="Arial"/>
          <w:bCs/>
          <w:color w:val="000000" w:themeColor="text1"/>
          <w:sz w:val="22"/>
          <w:szCs w:val="22"/>
          <w:lang w:val="es-ES"/>
        </w:rPr>
        <w:t xml:space="preserve"> posible hacer la exposición de su contenido desagregando los elementos del derecho; esto es, a través de la </w:t>
      </w:r>
      <w:r w:rsidR="00414906" w:rsidRPr="009A69B5">
        <w:rPr>
          <w:rFonts w:ascii="Arial" w:eastAsia="Calibri" w:hAnsi="Arial" w:cs="Arial"/>
          <w:bCs/>
          <w:color w:val="000000" w:themeColor="text1"/>
          <w:sz w:val="22"/>
          <w:szCs w:val="22"/>
          <w:lang w:val="es-ES"/>
        </w:rPr>
        <w:t>identificación</w:t>
      </w:r>
      <w:r w:rsidR="00465A61" w:rsidRPr="009A69B5">
        <w:rPr>
          <w:rFonts w:ascii="Arial" w:eastAsia="Calibri" w:hAnsi="Arial" w:cs="Arial"/>
          <w:bCs/>
          <w:color w:val="000000" w:themeColor="text1"/>
          <w:sz w:val="22"/>
          <w:szCs w:val="22"/>
          <w:lang w:val="es-ES"/>
        </w:rPr>
        <w:t xml:space="preserve"> de su </w:t>
      </w:r>
      <w:r w:rsidR="009A69B5" w:rsidRPr="009A69B5">
        <w:rPr>
          <w:rFonts w:ascii="Arial" w:eastAsia="Calibri" w:hAnsi="Arial" w:cs="Arial"/>
          <w:bCs/>
          <w:color w:val="000000" w:themeColor="text1"/>
          <w:sz w:val="22"/>
          <w:szCs w:val="22"/>
          <w:lang w:val="es-ES"/>
        </w:rPr>
        <w:t>ámbito</w:t>
      </w:r>
      <w:r w:rsidRPr="009A69B5">
        <w:rPr>
          <w:rFonts w:ascii="Arial" w:eastAsia="Calibri" w:hAnsi="Arial" w:cs="Arial"/>
          <w:bCs/>
          <w:color w:val="000000" w:themeColor="text1"/>
          <w:sz w:val="22"/>
          <w:szCs w:val="22"/>
          <w:lang w:val="es-ES"/>
        </w:rPr>
        <w:t xml:space="preserve"> de aplicación, su </w:t>
      </w:r>
      <w:r w:rsidR="00465A61" w:rsidRPr="009A69B5">
        <w:rPr>
          <w:rFonts w:ascii="Arial" w:eastAsia="Calibri" w:hAnsi="Arial" w:cs="Arial"/>
          <w:bCs/>
          <w:color w:val="000000" w:themeColor="text1"/>
          <w:sz w:val="22"/>
          <w:szCs w:val="22"/>
          <w:lang w:val="es-ES"/>
        </w:rPr>
        <w:t>objeto y los sujetos activos y pasivos, a lo cual se agregará una presentación sucinta de sus objetivos</w:t>
      </w:r>
      <w:r w:rsidR="00414906" w:rsidRPr="009A69B5">
        <w:rPr>
          <w:rFonts w:ascii="Arial" w:eastAsia="Calibri" w:hAnsi="Arial" w:cs="Arial"/>
          <w:bCs/>
          <w:color w:val="000000" w:themeColor="text1"/>
          <w:sz w:val="22"/>
          <w:szCs w:val="22"/>
          <w:lang w:val="es-ES"/>
        </w:rPr>
        <w:t xml:space="preserve">. </w:t>
      </w:r>
    </w:p>
    <w:p w14:paraId="0E9D470F" w14:textId="56E27014" w:rsidR="00957472" w:rsidRPr="009A69B5" w:rsidRDefault="001B05A3" w:rsidP="001B05A3">
      <w:pPr>
        <w:tabs>
          <w:tab w:val="left" w:pos="426"/>
        </w:tabs>
        <w:spacing w:after="120" w:line="276" w:lineRule="auto"/>
        <w:ind w:firstLine="709"/>
        <w:jc w:val="both"/>
        <w:rPr>
          <w:rFonts w:ascii="Arial" w:eastAsia="Calibri" w:hAnsi="Arial" w:cs="Arial"/>
          <w:bCs/>
          <w:color w:val="000000" w:themeColor="text1"/>
          <w:sz w:val="22"/>
          <w:szCs w:val="22"/>
          <w:lang w:val="es-ES"/>
        </w:rPr>
      </w:pPr>
      <w:r w:rsidRPr="009A69B5">
        <w:rPr>
          <w:rFonts w:ascii="Arial" w:eastAsia="Calibri" w:hAnsi="Arial" w:cs="Arial"/>
          <w:bCs/>
          <w:color w:val="000000" w:themeColor="text1"/>
          <w:sz w:val="22"/>
          <w:szCs w:val="22"/>
          <w:lang w:val="es-ES"/>
        </w:rPr>
        <w:t xml:space="preserve">En relación con el ámbito de aplicación, </w:t>
      </w:r>
      <w:r w:rsidR="00E02A5C" w:rsidRPr="009A69B5">
        <w:rPr>
          <w:rFonts w:ascii="Arial" w:eastAsia="Calibri" w:hAnsi="Arial" w:cs="Arial"/>
          <w:bCs/>
          <w:color w:val="000000" w:themeColor="text1"/>
          <w:sz w:val="22"/>
          <w:szCs w:val="22"/>
          <w:lang w:val="es-ES"/>
        </w:rPr>
        <w:t>el artículo 6</w:t>
      </w:r>
      <w:r w:rsidR="00957472" w:rsidRPr="009A69B5">
        <w:rPr>
          <w:rFonts w:ascii="Arial" w:eastAsia="Calibri" w:hAnsi="Arial" w:cs="Arial"/>
          <w:bCs/>
          <w:color w:val="000000" w:themeColor="text1"/>
          <w:sz w:val="22"/>
          <w:szCs w:val="22"/>
          <w:lang w:val="es-ES"/>
        </w:rPr>
        <w:t>2</w:t>
      </w:r>
      <w:r w:rsidR="00E02A5C" w:rsidRPr="009A69B5">
        <w:rPr>
          <w:rFonts w:ascii="Arial" w:eastAsia="Calibri" w:hAnsi="Arial" w:cs="Arial"/>
          <w:bCs/>
          <w:color w:val="000000" w:themeColor="text1"/>
          <w:sz w:val="22"/>
          <w:szCs w:val="22"/>
          <w:lang w:val="es-ES"/>
        </w:rPr>
        <w:t xml:space="preserve"> de la Ley 1757 de 2015 señala que</w:t>
      </w:r>
      <w:r w:rsidR="004329D3" w:rsidRPr="009A69B5">
        <w:rPr>
          <w:rFonts w:ascii="Arial" w:eastAsia="Calibri" w:hAnsi="Arial" w:cs="Arial"/>
          <w:bCs/>
          <w:color w:val="000000" w:themeColor="text1"/>
          <w:sz w:val="22"/>
          <w:szCs w:val="22"/>
          <w:lang w:val="es-ES"/>
        </w:rPr>
        <w:t>:</w:t>
      </w:r>
      <w:r w:rsidR="00EF32AF" w:rsidRPr="009A69B5">
        <w:rPr>
          <w:rFonts w:ascii="Arial" w:eastAsia="Calibri" w:hAnsi="Arial" w:cs="Arial"/>
          <w:bCs/>
          <w:color w:val="000000" w:themeColor="text1"/>
          <w:sz w:val="22"/>
          <w:szCs w:val="22"/>
          <w:lang w:val="es-ES"/>
        </w:rPr>
        <w:t xml:space="preserve"> </w:t>
      </w:r>
      <w:r w:rsidR="00957472" w:rsidRPr="009A69B5">
        <w:rPr>
          <w:rFonts w:ascii="Arial" w:eastAsia="Calibri" w:hAnsi="Arial" w:cs="Arial"/>
          <w:bCs/>
          <w:color w:val="000000" w:themeColor="text1"/>
          <w:sz w:val="22"/>
          <w:szCs w:val="22"/>
          <w:lang w:val="es-ES"/>
        </w:rPr>
        <w:t>«el control social tiene por objeto el seguimiento y evaluación de las políticas públicas y a la gestión desarrollada por las autoridades públicas y por los particulares que ejerzan funciones públicas».</w:t>
      </w:r>
    </w:p>
    <w:p w14:paraId="00EE9F5E" w14:textId="5CB3C01F" w:rsidR="00957472" w:rsidRPr="009A69B5" w:rsidRDefault="00957472" w:rsidP="00957472">
      <w:pPr>
        <w:tabs>
          <w:tab w:val="left" w:pos="426"/>
        </w:tabs>
        <w:spacing w:after="120" w:line="276" w:lineRule="auto"/>
        <w:ind w:firstLine="709"/>
        <w:jc w:val="both"/>
        <w:rPr>
          <w:rFonts w:ascii="Arial" w:eastAsia="Calibri" w:hAnsi="Arial" w:cs="Arial"/>
          <w:bCs/>
          <w:color w:val="000000" w:themeColor="text1"/>
          <w:sz w:val="22"/>
          <w:szCs w:val="22"/>
          <w:lang w:val="es-ES"/>
        </w:rPr>
      </w:pPr>
      <w:r w:rsidRPr="009A69B5">
        <w:rPr>
          <w:rFonts w:ascii="Arial" w:eastAsia="Calibri" w:hAnsi="Arial" w:cs="Arial"/>
          <w:bCs/>
          <w:color w:val="000000" w:themeColor="text1"/>
          <w:sz w:val="22"/>
          <w:szCs w:val="22"/>
          <w:lang w:val="es-ES"/>
        </w:rPr>
        <w:t xml:space="preserve">De manera más concreta para la </w:t>
      </w:r>
      <w:r w:rsidR="0078519E">
        <w:rPr>
          <w:rFonts w:ascii="Arial" w:eastAsia="Calibri" w:hAnsi="Arial" w:cs="Arial"/>
          <w:bCs/>
          <w:color w:val="000000" w:themeColor="text1"/>
          <w:sz w:val="22"/>
          <w:szCs w:val="22"/>
          <w:lang w:val="es-ES"/>
        </w:rPr>
        <w:t>c</w:t>
      </w:r>
      <w:r w:rsidRPr="009A69B5">
        <w:rPr>
          <w:rFonts w:ascii="Arial" w:eastAsia="Calibri" w:hAnsi="Arial" w:cs="Arial"/>
          <w:bCs/>
          <w:color w:val="000000" w:themeColor="text1"/>
          <w:sz w:val="22"/>
          <w:szCs w:val="22"/>
          <w:lang w:val="es-ES"/>
        </w:rPr>
        <w:t xml:space="preserve">ontratación </w:t>
      </w:r>
      <w:r w:rsidR="0078519E">
        <w:rPr>
          <w:rFonts w:ascii="Arial" w:eastAsia="Calibri" w:hAnsi="Arial" w:cs="Arial"/>
          <w:bCs/>
          <w:color w:val="000000" w:themeColor="text1"/>
          <w:sz w:val="22"/>
          <w:szCs w:val="22"/>
          <w:lang w:val="es-ES"/>
        </w:rPr>
        <w:t>e</w:t>
      </w:r>
      <w:r w:rsidRPr="009A69B5">
        <w:rPr>
          <w:rFonts w:ascii="Arial" w:eastAsia="Calibri" w:hAnsi="Arial" w:cs="Arial"/>
          <w:bCs/>
          <w:color w:val="000000" w:themeColor="text1"/>
          <w:sz w:val="22"/>
          <w:szCs w:val="22"/>
          <w:lang w:val="es-ES"/>
        </w:rPr>
        <w:t xml:space="preserve">statal, el artículo 66 de la Ley 1757 de 2015 prescribe que </w:t>
      </w:r>
      <w:r w:rsidR="006A0369" w:rsidRPr="009A69B5">
        <w:rPr>
          <w:rFonts w:ascii="Arial" w:eastAsia="Calibri" w:hAnsi="Arial" w:cs="Arial"/>
          <w:bCs/>
          <w:color w:val="000000" w:themeColor="text1"/>
          <w:sz w:val="22"/>
          <w:szCs w:val="22"/>
          <w:lang w:val="es-ES"/>
        </w:rPr>
        <w:t>«todo contrato que celebren las instituciones del Estado estará sujeto a la vigilancia por parte de las personas, entidades y organizaciones que quieran hacerlo, de conformidad con la normatividad vigente en la materia</w:t>
      </w:r>
      <w:r w:rsidR="00EF32AF" w:rsidRPr="009A69B5">
        <w:rPr>
          <w:rFonts w:ascii="Arial" w:eastAsia="Calibri" w:hAnsi="Arial" w:cs="Arial"/>
          <w:bCs/>
          <w:color w:val="000000" w:themeColor="text1"/>
          <w:sz w:val="22"/>
          <w:szCs w:val="22"/>
          <w:lang w:val="es-ES"/>
        </w:rPr>
        <w:t>»</w:t>
      </w:r>
      <w:r w:rsidR="004329D3" w:rsidRPr="009A69B5">
        <w:rPr>
          <w:rFonts w:ascii="Arial" w:eastAsia="Calibri" w:hAnsi="Arial" w:cs="Arial"/>
          <w:bCs/>
          <w:color w:val="000000" w:themeColor="text1"/>
          <w:sz w:val="22"/>
          <w:szCs w:val="22"/>
          <w:lang w:val="es-ES"/>
        </w:rPr>
        <w:t>.</w:t>
      </w:r>
      <w:r w:rsidR="004329D3" w:rsidRPr="009A69B5">
        <w:rPr>
          <w:rFonts w:ascii="Arial" w:eastAsia="Calibri" w:hAnsi="Arial" w:cs="Arial"/>
          <w:bCs/>
          <w:color w:val="000000" w:themeColor="text1"/>
          <w:sz w:val="21"/>
          <w:szCs w:val="21"/>
          <w:lang w:val="es-ES"/>
        </w:rPr>
        <w:t xml:space="preserve"> </w:t>
      </w:r>
    </w:p>
    <w:p w14:paraId="46802F15" w14:textId="4A2FB733" w:rsidR="00147844" w:rsidRPr="009A69B5" w:rsidRDefault="00E02A5C" w:rsidP="00E02A5C">
      <w:pPr>
        <w:tabs>
          <w:tab w:val="left" w:pos="426"/>
        </w:tabs>
        <w:spacing w:after="120" w:line="276" w:lineRule="auto"/>
        <w:ind w:firstLine="709"/>
        <w:jc w:val="both"/>
        <w:rPr>
          <w:rFonts w:ascii="Arial" w:eastAsia="Calibri" w:hAnsi="Arial" w:cs="Arial"/>
          <w:bCs/>
          <w:color w:val="000000" w:themeColor="text1"/>
          <w:sz w:val="22"/>
          <w:szCs w:val="22"/>
          <w:lang w:val="es-ES"/>
        </w:rPr>
      </w:pPr>
      <w:r w:rsidRPr="009A69B5">
        <w:rPr>
          <w:rFonts w:ascii="Arial" w:eastAsia="Calibri" w:hAnsi="Arial" w:cs="Arial"/>
          <w:bCs/>
          <w:color w:val="000000" w:themeColor="text1"/>
          <w:sz w:val="22"/>
          <w:szCs w:val="22"/>
          <w:lang w:val="es-ES"/>
        </w:rPr>
        <w:t>La Ley 1757 de 2015 establece para el control social un ámbito de aplicación</w:t>
      </w:r>
      <w:r w:rsidR="00EC6100" w:rsidRPr="009A69B5">
        <w:rPr>
          <w:rFonts w:ascii="Arial" w:eastAsia="Calibri" w:hAnsi="Arial" w:cs="Arial"/>
          <w:bCs/>
          <w:color w:val="000000" w:themeColor="text1"/>
          <w:sz w:val="22"/>
          <w:szCs w:val="22"/>
          <w:lang w:val="es-ES"/>
        </w:rPr>
        <w:t xml:space="preserve"> amplio que comprende todos los contratos estatales celebrados al amparo del Estatuto General de Contratación de la Administración Pública, </w:t>
      </w:r>
      <w:r w:rsidR="004329D3" w:rsidRPr="009A69B5">
        <w:rPr>
          <w:rFonts w:ascii="Arial" w:eastAsia="Calibri" w:hAnsi="Arial" w:cs="Arial"/>
          <w:bCs/>
          <w:color w:val="000000" w:themeColor="text1"/>
          <w:sz w:val="22"/>
          <w:szCs w:val="22"/>
          <w:lang w:val="es-ES"/>
        </w:rPr>
        <w:t>así como</w:t>
      </w:r>
      <w:r w:rsidR="00EC6100" w:rsidRPr="009A69B5">
        <w:rPr>
          <w:rFonts w:ascii="Arial" w:eastAsia="Calibri" w:hAnsi="Arial" w:cs="Arial"/>
          <w:bCs/>
          <w:color w:val="000000" w:themeColor="text1"/>
          <w:sz w:val="22"/>
          <w:szCs w:val="22"/>
          <w:lang w:val="es-ES"/>
        </w:rPr>
        <w:t xml:space="preserve"> otros contratos celebrados por entidades del Estado y sometidos a regímenes jurídicos distintos a dicho Estatuto. En otras </w:t>
      </w:r>
      <w:r w:rsidR="00EC6100" w:rsidRPr="009A69B5">
        <w:rPr>
          <w:rFonts w:ascii="Arial" w:eastAsia="Calibri" w:hAnsi="Arial" w:cs="Arial"/>
          <w:bCs/>
          <w:color w:val="000000" w:themeColor="text1"/>
          <w:sz w:val="22"/>
          <w:szCs w:val="22"/>
          <w:lang w:val="es-ES"/>
        </w:rPr>
        <w:lastRenderedPageBreak/>
        <w:t>palabras, el control social puede recaer sobre contratos estatales propiamente dichos, o contratos estatales especiales</w:t>
      </w:r>
      <w:r w:rsidR="00147844" w:rsidRPr="009A69B5">
        <w:rPr>
          <w:rFonts w:ascii="Arial" w:eastAsia="Calibri" w:hAnsi="Arial" w:cs="Arial"/>
          <w:bCs/>
          <w:color w:val="000000" w:themeColor="text1"/>
          <w:sz w:val="22"/>
          <w:szCs w:val="22"/>
          <w:lang w:val="es-ES"/>
        </w:rPr>
        <w:t>,</w:t>
      </w:r>
      <w:r w:rsidR="00EC6100" w:rsidRPr="009A69B5">
        <w:rPr>
          <w:rFonts w:ascii="Arial" w:eastAsia="Calibri" w:hAnsi="Arial" w:cs="Arial"/>
          <w:bCs/>
          <w:color w:val="000000" w:themeColor="text1"/>
          <w:sz w:val="22"/>
          <w:szCs w:val="22"/>
          <w:lang w:val="es-ES"/>
        </w:rPr>
        <w:t xml:space="preserve"> sometidos a regímenes jurídicos </w:t>
      </w:r>
      <w:r w:rsidR="00147844" w:rsidRPr="009A69B5">
        <w:rPr>
          <w:rFonts w:ascii="Arial" w:eastAsia="Calibri" w:hAnsi="Arial" w:cs="Arial"/>
          <w:bCs/>
          <w:color w:val="000000" w:themeColor="text1"/>
          <w:sz w:val="22"/>
          <w:szCs w:val="22"/>
          <w:lang w:val="es-ES"/>
        </w:rPr>
        <w:t>diferentes al Estatuto General de Contratación de la Administración Pública (EGCAP)</w:t>
      </w:r>
      <w:r w:rsidR="00EC6100" w:rsidRPr="009A69B5">
        <w:rPr>
          <w:rStyle w:val="Refdenotaalpie"/>
          <w:rFonts w:ascii="Arial" w:hAnsi="Arial" w:cs="Arial"/>
          <w:bCs/>
          <w:sz w:val="22"/>
          <w:lang w:val="es-ES"/>
        </w:rPr>
        <w:footnoteReference w:id="4"/>
      </w:r>
      <w:r w:rsidR="00EC6100" w:rsidRPr="009A69B5">
        <w:rPr>
          <w:rFonts w:ascii="Arial" w:eastAsia="Calibri" w:hAnsi="Arial" w:cs="Arial"/>
          <w:bCs/>
          <w:color w:val="000000" w:themeColor="text1"/>
          <w:sz w:val="22"/>
          <w:szCs w:val="22"/>
          <w:lang w:val="es-ES"/>
        </w:rPr>
        <w:t xml:space="preserve">. A dicha conclusión se llega </w:t>
      </w:r>
      <w:r w:rsidR="001E45B5">
        <w:rPr>
          <w:rFonts w:ascii="Arial" w:eastAsia="Calibri" w:hAnsi="Arial" w:cs="Arial"/>
          <w:bCs/>
          <w:color w:val="000000" w:themeColor="text1"/>
          <w:sz w:val="22"/>
          <w:szCs w:val="22"/>
          <w:lang w:val="es-ES"/>
        </w:rPr>
        <w:t>por</w:t>
      </w:r>
      <w:r w:rsidR="001E45B5" w:rsidRPr="009A69B5">
        <w:rPr>
          <w:rFonts w:ascii="Arial" w:eastAsia="Calibri" w:hAnsi="Arial" w:cs="Arial"/>
          <w:bCs/>
          <w:color w:val="000000" w:themeColor="text1"/>
          <w:sz w:val="22"/>
          <w:szCs w:val="22"/>
          <w:lang w:val="es-ES"/>
        </w:rPr>
        <w:t xml:space="preserve"> </w:t>
      </w:r>
      <w:r w:rsidR="00EC6100" w:rsidRPr="009A69B5">
        <w:rPr>
          <w:rFonts w:ascii="Arial" w:eastAsia="Calibri" w:hAnsi="Arial" w:cs="Arial"/>
          <w:bCs/>
          <w:color w:val="000000" w:themeColor="text1"/>
          <w:sz w:val="22"/>
          <w:szCs w:val="22"/>
          <w:lang w:val="es-ES"/>
        </w:rPr>
        <w:t xml:space="preserve">la simple lectura del artículo 66 que se refiere a todo contrato celebrado por instituciones del Estado, sin distinguir para </w:t>
      </w:r>
      <w:r w:rsidR="00147844" w:rsidRPr="009A69B5">
        <w:rPr>
          <w:rFonts w:ascii="Arial" w:eastAsia="Calibri" w:hAnsi="Arial" w:cs="Arial"/>
          <w:bCs/>
          <w:color w:val="000000" w:themeColor="text1"/>
          <w:sz w:val="22"/>
          <w:szCs w:val="22"/>
          <w:lang w:val="es-ES"/>
        </w:rPr>
        <w:t>esos</w:t>
      </w:r>
      <w:r w:rsidR="00EC6100" w:rsidRPr="009A69B5">
        <w:rPr>
          <w:rFonts w:ascii="Arial" w:eastAsia="Calibri" w:hAnsi="Arial" w:cs="Arial"/>
          <w:bCs/>
          <w:color w:val="000000" w:themeColor="text1"/>
          <w:sz w:val="22"/>
          <w:szCs w:val="22"/>
          <w:lang w:val="es-ES"/>
        </w:rPr>
        <w:t xml:space="preserve"> efectos el régimen jurídico del contrato o la entidad que lo celebra</w:t>
      </w:r>
      <w:r w:rsidR="00147844" w:rsidRPr="009A69B5">
        <w:rPr>
          <w:rFonts w:ascii="Arial" w:eastAsia="Calibri" w:hAnsi="Arial" w:cs="Arial"/>
          <w:bCs/>
          <w:color w:val="000000" w:themeColor="text1"/>
          <w:sz w:val="22"/>
          <w:szCs w:val="22"/>
          <w:lang w:val="es-ES"/>
        </w:rPr>
        <w:t>.</w:t>
      </w:r>
    </w:p>
    <w:p w14:paraId="1CB8DEC6" w14:textId="7B8A3987" w:rsidR="00465A61" w:rsidRPr="009A69B5" w:rsidRDefault="00147844" w:rsidP="00147844">
      <w:pPr>
        <w:tabs>
          <w:tab w:val="left" w:pos="426"/>
        </w:tabs>
        <w:spacing w:after="120" w:line="276" w:lineRule="auto"/>
        <w:ind w:firstLine="709"/>
        <w:jc w:val="both"/>
        <w:rPr>
          <w:rFonts w:ascii="Arial" w:eastAsia="Calibri" w:hAnsi="Arial" w:cs="Arial"/>
          <w:bCs/>
          <w:color w:val="000000" w:themeColor="text1"/>
          <w:sz w:val="22"/>
          <w:szCs w:val="22"/>
          <w:lang w:val="es-ES"/>
        </w:rPr>
      </w:pPr>
      <w:r w:rsidRPr="009A69B5">
        <w:rPr>
          <w:rFonts w:ascii="Arial" w:eastAsia="Calibri" w:hAnsi="Arial" w:cs="Arial"/>
          <w:bCs/>
          <w:color w:val="000000" w:themeColor="text1"/>
          <w:sz w:val="22"/>
          <w:szCs w:val="22"/>
          <w:lang w:val="es-ES"/>
        </w:rPr>
        <w:t xml:space="preserve">Para reforzar el argumento anterior, puede también recurrirse al análisis de los sujetos pasivos del control social, pues estos no se restringen a las entidades que aplican el EGCAP. El mismo artículo 66 de la Ley 1757 de 2015 prescribe </w:t>
      </w:r>
      <w:r w:rsidR="004329D3" w:rsidRPr="009A69B5">
        <w:rPr>
          <w:rFonts w:ascii="Arial" w:eastAsia="Calibri" w:hAnsi="Arial" w:cs="Arial"/>
          <w:bCs/>
          <w:color w:val="000000" w:themeColor="text1"/>
          <w:sz w:val="22"/>
          <w:szCs w:val="22"/>
          <w:lang w:val="es-ES"/>
        </w:rPr>
        <w:t>que «las entidades del Estado y las entidades privadas que presten servicios públicos domiciliarios o realicen proyectos con recursos públicos deberán garantizar el ejercicio del derecho al control social»</w:t>
      </w:r>
      <w:r w:rsidR="00EC6100" w:rsidRPr="009A69B5">
        <w:rPr>
          <w:rFonts w:ascii="Arial" w:eastAsia="Calibri" w:hAnsi="Arial" w:cs="Arial"/>
          <w:bCs/>
          <w:color w:val="000000" w:themeColor="text1"/>
          <w:sz w:val="22"/>
          <w:szCs w:val="22"/>
          <w:lang w:val="es-ES"/>
        </w:rPr>
        <w:t xml:space="preserve">. </w:t>
      </w:r>
      <w:r w:rsidR="00465A61" w:rsidRPr="009A69B5">
        <w:rPr>
          <w:rFonts w:ascii="Arial" w:eastAsia="Calibri" w:hAnsi="Arial" w:cs="Arial"/>
          <w:bCs/>
          <w:color w:val="000000" w:themeColor="text1"/>
          <w:sz w:val="22"/>
          <w:szCs w:val="22"/>
          <w:lang w:val="es-ES"/>
        </w:rPr>
        <w:t>Se puede afirmar</w:t>
      </w:r>
      <w:r w:rsidRPr="009A69B5">
        <w:rPr>
          <w:rFonts w:ascii="Arial" w:eastAsia="Calibri" w:hAnsi="Arial" w:cs="Arial"/>
          <w:bCs/>
          <w:color w:val="000000" w:themeColor="text1"/>
          <w:sz w:val="22"/>
          <w:szCs w:val="22"/>
          <w:lang w:val="es-ES"/>
        </w:rPr>
        <w:t>, entonces,</w:t>
      </w:r>
      <w:r w:rsidR="00465A61" w:rsidRPr="009A69B5">
        <w:rPr>
          <w:rFonts w:ascii="Arial" w:eastAsia="Calibri" w:hAnsi="Arial" w:cs="Arial"/>
          <w:bCs/>
          <w:color w:val="000000" w:themeColor="text1"/>
          <w:sz w:val="22"/>
          <w:szCs w:val="22"/>
          <w:lang w:val="es-ES"/>
        </w:rPr>
        <w:t xml:space="preserve"> que los sujetos pasivos del derecho al control social son las entidades del Estado, las entidades privada</w:t>
      </w:r>
      <w:r w:rsidR="00FC346A">
        <w:rPr>
          <w:rFonts w:ascii="Arial" w:eastAsia="Calibri" w:hAnsi="Arial" w:cs="Arial"/>
          <w:bCs/>
          <w:color w:val="000000" w:themeColor="text1"/>
          <w:sz w:val="22"/>
          <w:szCs w:val="22"/>
          <w:lang w:val="es-ES"/>
        </w:rPr>
        <w:t>s</w:t>
      </w:r>
      <w:r w:rsidR="00465A61" w:rsidRPr="009A69B5">
        <w:rPr>
          <w:rFonts w:ascii="Arial" w:eastAsia="Calibri" w:hAnsi="Arial" w:cs="Arial"/>
          <w:bCs/>
          <w:color w:val="000000" w:themeColor="text1"/>
          <w:sz w:val="22"/>
          <w:szCs w:val="22"/>
          <w:lang w:val="es-ES"/>
        </w:rPr>
        <w:t xml:space="preserve"> que prestan servicios públicos domiciliarios, y las empresas que </w:t>
      </w:r>
      <w:r w:rsidRPr="009A69B5">
        <w:rPr>
          <w:rFonts w:ascii="Arial" w:eastAsia="Calibri" w:hAnsi="Arial" w:cs="Arial"/>
          <w:bCs/>
          <w:color w:val="000000" w:themeColor="text1"/>
          <w:sz w:val="22"/>
          <w:szCs w:val="22"/>
          <w:lang w:val="es-ES"/>
        </w:rPr>
        <w:t>realizan</w:t>
      </w:r>
      <w:r w:rsidR="00465A61" w:rsidRPr="009A69B5">
        <w:rPr>
          <w:rFonts w:ascii="Arial" w:eastAsia="Calibri" w:hAnsi="Arial" w:cs="Arial"/>
          <w:bCs/>
          <w:color w:val="000000" w:themeColor="text1"/>
          <w:sz w:val="22"/>
          <w:szCs w:val="22"/>
          <w:lang w:val="es-ES"/>
        </w:rPr>
        <w:t xml:space="preserve"> proyectos con recursos públicos.</w:t>
      </w:r>
    </w:p>
    <w:p w14:paraId="1B826166" w14:textId="7F760B9C" w:rsidR="001B05A3" w:rsidRPr="009A69B5" w:rsidRDefault="00147844" w:rsidP="001B05A3">
      <w:pPr>
        <w:tabs>
          <w:tab w:val="left" w:pos="426"/>
        </w:tabs>
        <w:spacing w:after="120" w:line="276" w:lineRule="auto"/>
        <w:ind w:firstLine="709"/>
        <w:jc w:val="both"/>
        <w:rPr>
          <w:rFonts w:ascii="Arial" w:eastAsia="Calibri" w:hAnsi="Arial" w:cs="Arial"/>
          <w:bCs/>
          <w:color w:val="000000" w:themeColor="text1"/>
          <w:sz w:val="22"/>
          <w:szCs w:val="22"/>
          <w:lang w:val="es-ES"/>
        </w:rPr>
      </w:pPr>
      <w:r w:rsidRPr="009A69B5">
        <w:rPr>
          <w:rFonts w:ascii="Arial" w:eastAsia="Calibri" w:hAnsi="Arial" w:cs="Arial"/>
          <w:bCs/>
          <w:color w:val="000000" w:themeColor="text1"/>
          <w:sz w:val="22"/>
          <w:szCs w:val="22"/>
          <w:lang w:val="es-ES"/>
        </w:rPr>
        <w:t xml:space="preserve">Las </w:t>
      </w:r>
      <w:r w:rsidR="00EC6100" w:rsidRPr="009A69B5">
        <w:rPr>
          <w:rFonts w:ascii="Arial" w:eastAsia="Calibri" w:hAnsi="Arial" w:cs="Arial"/>
          <w:bCs/>
          <w:color w:val="000000" w:themeColor="text1"/>
          <w:sz w:val="22"/>
          <w:szCs w:val="22"/>
          <w:lang w:val="es-ES"/>
        </w:rPr>
        <w:t xml:space="preserve">normas sobre la materia establecen </w:t>
      </w:r>
      <w:r w:rsidRPr="009A69B5">
        <w:rPr>
          <w:rFonts w:ascii="Arial" w:eastAsia="Calibri" w:hAnsi="Arial" w:cs="Arial"/>
          <w:bCs/>
          <w:color w:val="000000" w:themeColor="text1"/>
          <w:sz w:val="22"/>
          <w:szCs w:val="22"/>
          <w:lang w:val="es-ES"/>
        </w:rPr>
        <w:t xml:space="preserve">que los </w:t>
      </w:r>
      <w:r w:rsidR="00EC6100" w:rsidRPr="009A69B5">
        <w:rPr>
          <w:rFonts w:ascii="Arial" w:eastAsia="Calibri" w:hAnsi="Arial" w:cs="Arial"/>
          <w:bCs/>
          <w:color w:val="000000" w:themeColor="text1"/>
          <w:sz w:val="22"/>
          <w:szCs w:val="22"/>
          <w:lang w:val="es-ES"/>
        </w:rPr>
        <w:t xml:space="preserve">sujetos habilitados para el ejercicio del control social </w:t>
      </w:r>
      <w:r w:rsidRPr="009A69B5">
        <w:rPr>
          <w:rFonts w:ascii="Arial" w:eastAsia="Calibri" w:hAnsi="Arial" w:cs="Arial"/>
          <w:bCs/>
          <w:color w:val="000000" w:themeColor="text1"/>
          <w:sz w:val="22"/>
          <w:szCs w:val="22"/>
          <w:lang w:val="es-ES"/>
        </w:rPr>
        <w:t xml:space="preserve">– los sujetos activos – </w:t>
      </w:r>
      <w:r w:rsidR="00EC6100" w:rsidRPr="009A69B5">
        <w:rPr>
          <w:rFonts w:ascii="Arial" w:eastAsia="Calibri" w:hAnsi="Arial" w:cs="Arial"/>
          <w:bCs/>
          <w:color w:val="000000" w:themeColor="text1"/>
          <w:sz w:val="22"/>
          <w:szCs w:val="22"/>
          <w:lang w:val="es-ES"/>
        </w:rPr>
        <w:t xml:space="preserve">son, según el artículo 60 </w:t>
      </w:r>
      <w:r w:rsidR="00EF32AF" w:rsidRPr="009A69B5">
        <w:rPr>
          <w:rFonts w:ascii="Arial" w:eastAsia="Calibri" w:hAnsi="Arial" w:cs="Arial"/>
          <w:bCs/>
          <w:color w:val="000000" w:themeColor="text1"/>
          <w:sz w:val="22"/>
          <w:szCs w:val="22"/>
          <w:lang w:val="es-ES"/>
        </w:rPr>
        <w:t>de la Ley 1757 de 2015</w:t>
      </w:r>
      <w:r w:rsidR="00EC6100" w:rsidRPr="009A69B5">
        <w:rPr>
          <w:rFonts w:ascii="Arial" w:eastAsia="Calibri" w:hAnsi="Arial" w:cs="Arial"/>
          <w:bCs/>
          <w:color w:val="000000" w:themeColor="text1"/>
          <w:sz w:val="22"/>
          <w:szCs w:val="22"/>
          <w:lang w:val="es-ES"/>
        </w:rPr>
        <w:t xml:space="preserve">, </w:t>
      </w:r>
      <w:r w:rsidR="006A0369" w:rsidRPr="009A69B5">
        <w:rPr>
          <w:rFonts w:ascii="Arial" w:eastAsia="Calibri" w:hAnsi="Arial" w:cs="Arial"/>
          <w:bCs/>
          <w:color w:val="000000" w:themeColor="text1"/>
          <w:sz w:val="22"/>
          <w:szCs w:val="22"/>
          <w:lang w:val="es-ES"/>
        </w:rPr>
        <w:t>los ciudadanos de manera individual, o por intermedio de organizaciones</w:t>
      </w:r>
      <w:r w:rsidR="00015055" w:rsidRPr="009A69B5">
        <w:rPr>
          <w:rFonts w:ascii="Arial" w:eastAsia="Calibri" w:hAnsi="Arial" w:cs="Arial"/>
          <w:bCs/>
          <w:color w:val="000000" w:themeColor="text1"/>
          <w:sz w:val="22"/>
          <w:szCs w:val="22"/>
          <w:lang w:val="es-ES"/>
        </w:rPr>
        <w:t xml:space="preserve"> constituidas para tal fin, </w:t>
      </w:r>
      <w:r w:rsidR="00EC6100" w:rsidRPr="009A69B5">
        <w:rPr>
          <w:rFonts w:ascii="Arial" w:eastAsia="Calibri" w:hAnsi="Arial" w:cs="Arial"/>
          <w:bCs/>
          <w:color w:val="000000" w:themeColor="text1"/>
          <w:sz w:val="22"/>
          <w:szCs w:val="22"/>
          <w:lang w:val="es-ES"/>
        </w:rPr>
        <w:t xml:space="preserve">y a través de </w:t>
      </w:r>
      <w:r w:rsidR="00015055" w:rsidRPr="009A69B5">
        <w:rPr>
          <w:rFonts w:ascii="Arial" w:eastAsia="Calibri" w:hAnsi="Arial" w:cs="Arial"/>
          <w:bCs/>
          <w:color w:val="000000" w:themeColor="text1"/>
          <w:sz w:val="22"/>
          <w:szCs w:val="22"/>
          <w:lang w:val="es-ES"/>
        </w:rPr>
        <w:t xml:space="preserve">redes sociales </w:t>
      </w:r>
      <w:r w:rsidR="00EC6100" w:rsidRPr="009A69B5">
        <w:rPr>
          <w:rFonts w:ascii="Arial" w:eastAsia="Calibri" w:hAnsi="Arial" w:cs="Arial"/>
          <w:bCs/>
          <w:color w:val="000000" w:themeColor="text1"/>
          <w:sz w:val="22"/>
          <w:szCs w:val="22"/>
          <w:lang w:val="es-ES"/>
        </w:rPr>
        <w:t>o</w:t>
      </w:r>
      <w:r w:rsidR="00015055" w:rsidRPr="009A69B5">
        <w:rPr>
          <w:rFonts w:ascii="Arial" w:eastAsia="Calibri" w:hAnsi="Arial" w:cs="Arial"/>
          <w:bCs/>
          <w:color w:val="000000" w:themeColor="text1"/>
          <w:sz w:val="22"/>
          <w:szCs w:val="22"/>
          <w:lang w:val="es-ES"/>
        </w:rPr>
        <w:t xml:space="preserve"> instituciones. </w:t>
      </w:r>
      <w:r w:rsidR="00957472" w:rsidRPr="009A69B5">
        <w:rPr>
          <w:rFonts w:ascii="Arial" w:eastAsia="Calibri" w:hAnsi="Arial" w:cs="Arial"/>
          <w:bCs/>
          <w:color w:val="000000" w:themeColor="text1"/>
          <w:sz w:val="22"/>
          <w:szCs w:val="22"/>
          <w:lang w:val="es-ES"/>
        </w:rPr>
        <w:t>Sobre ello debe resaltarse que el control social no es una prerrogativa o derecho exclusivo de determinada entidad o de ciertos ciudadanos, sino que se trata de un derecho que puede ser ejercido por cualquier persona y se puede desarrollar, conforme al artículo 63 de esa Ley</w:t>
      </w:r>
      <w:r w:rsidR="001B05A3" w:rsidRPr="009A69B5">
        <w:rPr>
          <w:rStyle w:val="Refdenotaalpie"/>
          <w:rFonts w:ascii="Arial" w:eastAsia="Calibri" w:hAnsi="Arial" w:cs="Arial"/>
          <w:bCs/>
          <w:color w:val="000000" w:themeColor="text1"/>
          <w:sz w:val="22"/>
          <w:szCs w:val="22"/>
          <w:lang w:val="es-ES"/>
        </w:rPr>
        <w:footnoteReference w:id="5"/>
      </w:r>
      <w:r w:rsidR="00957472" w:rsidRPr="009A69B5">
        <w:rPr>
          <w:rFonts w:ascii="Arial" w:eastAsia="Calibri" w:hAnsi="Arial" w:cs="Arial"/>
          <w:bCs/>
          <w:color w:val="000000" w:themeColor="text1"/>
          <w:sz w:val="22"/>
          <w:szCs w:val="22"/>
          <w:lang w:val="es-ES"/>
        </w:rPr>
        <w:t xml:space="preserve">, </w:t>
      </w:r>
      <w:r w:rsidR="001B05A3" w:rsidRPr="009A69B5">
        <w:rPr>
          <w:rFonts w:ascii="Arial" w:eastAsia="Calibri" w:hAnsi="Arial" w:cs="Arial"/>
          <w:bCs/>
          <w:color w:val="000000" w:themeColor="text1"/>
          <w:sz w:val="22"/>
          <w:szCs w:val="22"/>
          <w:lang w:val="es-ES"/>
        </w:rPr>
        <w:t xml:space="preserve">a través de veeduría ciudadanas, juntas de vigilancia, comités de </w:t>
      </w:r>
      <w:r w:rsidR="00A22095">
        <w:rPr>
          <w:rFonts w:ascii="Arial" w:eastAsia="Calibri" w:hAnsi="Arial" w:cs="Arial"/>
          <w:bCs/>
          <w:color w:val="000000" w:themeColor="text1"/>
          <w:sz w:val="22"/>
          <w:szCs w:val="22"/>
          <w:lang w:val="es-ES"/>
        </w:rPr>
        <w:t>d</w:t>
      </w:r>
      <w:r w:rsidR="001B05A3" w:rsidRPr="009A69B5">
        <w:rPr>
          <w:rFonts w:ascii="Arial" w:eastAsia="Calibri" w:hAnsi="Arial" w:cs="Arial"/>
          <w:bCs/>
          <w:color w:val="000000" w:themeColor="text1"/>
          <w:sz w:val="22"/>
          <w:szCs w:val="22"/>
          <w:lang w:val="es-ES"/>
        </w:rPr>
        <w:t xml:space="preserve">esarrollo y </w:t>
      </w:r>
      <w:r w:rsidR="00A22095">
        <w:rPr>
          <w:rFonts w:ascii="Arial" w:eastAsia="Calibri" w:hAnsi="Arial" w:cs="Arial"/>
          <w:bCs/>
          <w:color w:val="000000" w:themeColor="text1"/>
          <w:sz w:val="22"/>
          <w:szCs w:val="22"/>
          <w:lang w:val="es-ES"/>
        </w:rPr>
        <w:t>c</w:t>
      </w:r>
      <w:r w:rsidR="001B05A3" w:rsidRPr="009A69B5">
        <w:rPr>
          <w:rFonts w:ascii="Arial" w:eastAsia="Calibri" w:hAnsi="Arial" w:cs="Arial"/>
          <w:bCs/>
          <w:color w:val="000000" w:themeColor="text1"/>
          <w:sz w:val="22"/>
          <w:szCs w:val="22"/>
          <w:lang w:val="es-ES"/>
        </w:rPr>
        <w:t xml:space="preserve">ontrol </w:t>
      </w:r>
      <w:r w:rsidR="00A22095">
        <w:rPr>
          <w:rFonts w:ascii="Arial" w:eastAsia="Calibri" w:hAnsi="Arial" w:cs="Arial"/>
          <w:bCs/>
          <w:color w:val="000000" w:themeColor="text1"/>
          <w:sz w:val="22"/>
          <w:szCs w:val="22"/>
          <w:lang w:val="es-ES"/>
        </w:rPr>
        <w:t>s</w:t>
      </w:r>
      <w:r w:rsidR="001B05A3" w:rsidRPr="009A69B5">
        <w:rPr>
          <w:rFonts w:ascii="Arial" w:eastAsia="Calibri" w:hAnsi="Arial" w:cs="Arial"/>
          <w:bCs/>
          <w:color w:val="000000" w:themeColor="text1"/>
          <w:sz w:val="22"/>
          <w:szCs w:val="22"/>
          <w:lang w:val="es-ES"/>
        </w:rPr>
        <w:t xml:space="preserve">ocial de los </w:t>
      </w:r>
      <w:r w:rsidR="00A22095">
        <w:rPr>
          <w:rFonts w:ascii="Arial" w:eastAsia="Calibri" w:hAnsi="Arial" w:cs="Arial"/>
          <w:bCs/>
          <w:color w:val="000000" w:themeColor="text1"/>
          <w:sz w:val="22"/>
          <w:szCs w:val="22"/>
          <w:lang w:val="es-ES"/>
        </w:rPr>
        <w:t>s</w:t>
      </w:r>
      <w:r w:rsidR="001B05A3" w:rsidRPr="009A69B5">
        <w:rPr>
          <w:rFonts w:ascii="Arial" w:eastAsia="Calibri" w:hAnsi="Arial" w:cs="Arial"/>
          <w:bCs/>
          <w:color w:val="000000" w:themeColor="text1"/>
          <w:sz w:val="22"/>
          <w:szCs w:val="22"/>
          <w:lang w:val="es-ES"/>
        </w:rPr>
        <w:t xml:space="preserve">ervicios </w:t>
      </w:r>
      <w:r w:rsidR="00A22095">
        <w:rPr>
          <w:rFonts w:ascii="Arial" w:eastAsia="Calibri" w:hAnsi="Arial" w:cs="Arial"/>
          <w:bCs/>
          <w:color w:val="000000" w:themeColor="text1"/>
          <w:sz w:val="22"/>
          <w:szCs w:val="22"/>
          <w:lang w:val="es-ES"/>
        </w:rPr>
        <w:t>p</w:t>
      </w:r>
      <w:r w:rsidR="001B05A3" w:rsidRPr="009A69B5">
        <w:rPr>
          <w:rFonts w:ascii="Arial" w:eastAsia="Calibri" w:hAnsi="Arial" w:cs="Arial"/>
          <w:bCs/>
          <w:color w:val="000000" w:themeColor="text1"/>
          <w:sz w:val="22"/>
          <w:szCs w:val="22"/>
          <w:lang w:val="es-ES"/>
        </w:rPr>
        <w:t xml:space="preserve">úblicos, </w:t>
      </w:r>
      <w:r w:rsidR="00A22095">
        <w:rPr>
          <w:rFonts w:ascii="Arial" w:eastAsia="Calibri" w:hAnsi="Arial" w:cs="Arial"/>
          <w:bCs/>
          <w:color w:val="000000" w:themeColor="text1"/>
          <w:sz w:val="22"/>
          <w:szCs w:val="22"/>
          <w:lang w:val="es-ES"/>
        </w:rPr>
        <w:t>a</w:t>
      </w:r>
      <w:r w:rsidR="001B05A3" w:rsidRPr="009A69B5">
        <w:rPr>
          <w:rFonts w:ascii="Arial" w:eastAsia="Calibri" w:hAnsi="Arial" w:cs="Arial"/>
          <w:bCs/>
          <w:color w:val="000000" w:themeColor="text1"/>
          <w:sz w:val="22"/>
          <w:szCs w:val="22"/>
          <w:lang w:val="es-ES"/>
        </w:rPr>
        <w:t xml:space="preserve">uditorías ciudadanas, y otras instancias de participación ciudadana establecidas </w:t>
      </w:r>
      <w:r w:rsidR="001B05A3" w:rsidRPr="009A69B5">
        <w:rPr>
          <w:rFonts w:ascii="Arial" w:eastAsia="Calibri" w:hAnsi="Arial" w:cs="Arial"/>
          <w:bCs/>
          <w:color w:val="000000" w:themeColor="text1"/>
          <w:sz w:val="22"/>
          <w:szCs w:val="22"/>
          <w:lang w:val="es-ES"/>
        </w:rPr>
        <w:lastRenderedPageBreak/>
        <w:t>en el ordenamiento, así como a través del ejercicio de los derechos constitucionales dirigidos a hacer control a la gestión pública y sus resultados.</w:t>
      </w:r>
    </w:p>
    <w:p w14:paraId="28D63F83" w14:textId="6EA85B27" w:rsidR="00957472" w:rsidRPr="009A69B5" w:rsidRDefault="001B05A3" w:rsidP="00E070CF">
      <w:pPr>
        <w:tabs>
          <w:tab w:val="left" w:pos="426"/>
        </w:tabs>
        <w:spacing w:after="120" w:line="276" w:lineRule="auto"/>
        <w:ind w:firstLine="709"/>
        <w:jc w:val="both"/>
        <w:rPr>
          <w:rFonts w:ascii="Arial" w:eastAsia="Calibri" w:hAnsi="Arial" w:cs="Arial"/>
          <w:bCs/>
          <w:color w:val="000000" w:themeColor="text1"/>
          <w:sz w:val="22"/>
          <w:szCs w:val="22"/>
          <w:lang w:val="es-ES"/>
        </w:rPr>
      </w:pPr>
      <w:r w:rsidRPr="009A69B5">
        <w:rPr>
          <w:rFonts w:ascii="Arial" w:eastAsia="Calibri" w:hAnsi="Arial" w:cs="Arial"/>
          <w:bCs/>
          <w:color w:val="000000" w:themeColor="text1"/>
          <w:sz w:val="22"/>
          <w:szCs w:val="22"/>
          <w:lang w:val="es-ES"/>
        </w:rPr>
        <w:t>Estos sujetos activos, según se acaba de señalar, pueden ejercer el derecho de control social por medio del ejercicio de sus derechos constitucionales, es por ello que en relación con el objeto del derecho al control social, el artículo 62 de la Ley 1757 de 2015 lista varias opciones que permiten su concreción</w:t>
      </w:r>
      <w:r w:rsidRPr="009A69B5">
        <w:rPr>
          <w:rStyle w:val="Refdenotaalpie"/>
          <w:rFonts w:ascii="Arial" w:eastAsia="Calibri" w:hAnsi="Arial" w:cs="Arial"/>
          <w:bCs/>
          <w:color w:val="000000" w:themeColor="text1"/>
          <w:sz w:val="22"/>
          <w:szCs w:val="22"/>
          <w:lang w:val="es-ES"/>
        </w:rPr>
        <w:footnoteReference w:id="6"/>
      </w:r>
      <w:r w:rsidR="006771EE">
        <w:rPr>
          <w:rFonts w:ascii="Arial" w:eastAsia="Calibri" w:hAnsi="Arial" w:cs="Arial"/>
          <w:bCs/>
          <w:color w:val="000000" w:themeColor="text1"/>
          <w:sz w:val="22"/>
          <w:szCs w:val="22"/>
          <w:lang w:val="es-ES"/>
        </w:rPr>
        <w:t>.</w:t>
      </w:r>
      <w:r w:rsidRPr="009A69B5">
        <w:rPr>
          <w:rFonts w:ascii="Arial" w:eastAsia="Calibri" w:hAnsi="Arial" w:cs="Arial"/>
          <w:bCs/>
          <w:color w:val="000000" w:themeColor="text1"/>
          <w:sz w:val="22"/>
          <w:szCs w:val="22"/>
          <w:lang w:val="es-ES"/>
        </w:rPr>
        <w:t xml:space="preserve"> En ese artículo se señala que quienes ejerzan control social podrán solicitar la información pública que requieran para su labor, de conformidad con el CPACA; presentar observaciones de la labor desarrollada; presentar peticiones, quejas o reclamos antes las autoridades competentes; presentar acciones populares, de cumplimiento, de tutela, participar en las audiencias públicas que se convoquen</w:t>
      </w:r>
      <w:r w:rsidR="00E070CF" w:rsidRPr="009A69B5">
        <w:rPr>
          <w:rFonts w:ascii="Arial" w:eastAsia="Calibri" w:hAnsi="Arial" w:cs="Arial"/>
          <w:bCs/>
          <w:color w:val="000000" w:themeColor="text1"/>
          <w:sz w:val="22"/>
          <w:szCs w:val="22"/>
          <w:lang w:val="es-ES"/>
        </w:rPr>
        <w:t xml:space="preserve">, y en general hacer uso de las acciones legales que se requieran para el desarrollo del control social. Son estos, en el entender de esta Subdirección, los elementos que conforman el objeto del derecho al control social. </w:t>
      </w:r>
    </w:p>
    <w:p w14:paraId="78184734" w14:textId="522A80C2" w:rsidR="004329D3" w:rsidRPr="009A69B5" w:rsidRDefault="00FC346A" w:rsidP="004329D3">
      <w:pPr>
        <w:tabs>
          <w:tab w:val="left" w:pos="426"/>
        </w:tabs>
        <w:spacing w:line="276" w:lineRule="auto"/>
        <w:ind w:firstLine="709"/>
        <w:jc w:val="both"/>
        <w:rPr>
          <w:rFonts w:ascii="Arial" w:eastAsia="Calibri" w:hAnsi="Arial" w:cs="Arial"/>
          <w:bCs/>
          <w:color w:val="000000" w:themeColor="text1"/>
          <w:sz w:val="22"/>
          <w:szCs w:val="22"/>
          <w:lang w:val="es-ES"/>
        </w:rPr>
      </w:pPr>
      <w:r>
        <w:rPr>
          <w:rFonts w:ascii="Arial" w:eastAsia="Calibri" w:hAnsi="Arial" w:cs="Arial"/>
          <w:bCs/>
          <w:color w:val="000000" w:themeColor="text1"/>
          <w:sz w:val="22"/>
          <w:szCs w:val="22"/>
          <w:lang w:val="es-ES"/>
        </w:rPr>
        <w:t>Para</w:t>
      </w:r>
      <w:r w:rsidR="00EF32AF" w:rsidRPr="009A69B5">
        <w:rPr>
          <w:rFonts w:ascii="Arial" w:eastAsia="Calibri" w:hAnsi="Arial" w:cs="Arial"/>
          <w:bCs/>
          <w:color w:val="000000" w:themeColor="text1"/>
          <w:sz w:val="22"/>
          <w:szCs w:val="22"/>
          <w:lang w:val="es-ES"/>
        </w:rPr>
        <w:t xml:space="preserve"> poder </w:t>
      </w:r>
      <w:r>
        <w:rPr>
          <w:rFonts w:ascii="Arial" w:eastAsia="Calibri" w:hAnsi="Arial" w:cs="Arial"/>
          <w:bCs/>
          <w:color w:val="000000" w:themeColor="text1"/>
          <w:sz w:val="22"/>
          <w:szCs w:val="22"/>
          <w:lang w:val="es-ES"/>
        </w:rPr>
        <w:t>comprender</w:t>
      </w:r>
      <w:r w:rsidR="00EF32AF" w:rsidRPr="009A69B5">
        <w:rPr>
          <w:rFonts w:ascii="Arial" w:eastAsia="Calibri" w:hAnsi="Arial" w:cs="Arial"/>
          <w:bCs/>
          <w:color w:val="000000" w:themeColor="text1"/>
          <w:sz w:val="22"/>
          <w:szCs w:val="22"/>
          <w:lang w:val="es-ES"/>
        </w:rPr>
        <w:t xml:space="preserve"> a cabalidad la configuración jurídica del fenómeno analizado resulta indispensable observar sus objetivos, que deberán ser perseguidos por los sujetos activos arriba mencionados, pero también </w:t>
      </w:r>
      <w:r w:rsidR="00147844" w:rsidRPr="009A69B5">
        <w:rPr>
          <w:rFonts w:ascii="Arial" w:eastAsia="Calibri" w:hAnsi="Arial" w:cs="Arial"/>
          <w:bCs/>
          <w:color w:val="000000" w:themeColor="text1"/>
          <w:sz w:val="22"/>
          <w:szCs w:val="22"/>
          <w:lang w:val="es-ES"/>
        </w:rPr>
        <w:t xml:space="preserve">garantizados </w:t>
      </w:r>
      <w:r w:rsidR="00EF32AF" w:rsidRPr="009A69B5">
        <w:rPr>
          <w:rFonts w:ascii="Arial" w:eastAsia="Calibri" w:hAnsi="Arial" w:cs="Arial"/>
          <w:bCs/>
          <w:color w:val="000000" w:themeColor="text1"/>
          <w:sz w:val="22"/>
          <w:szCs w:val="22"/>
          <w:lang w:val="es-ES"/>
        </w:rPr>
        <w:t>por el Estado, y todas sus instituciones</w:t>
      </w:r>
      <w:r w:rsidR="00147844" w:rsidRPr="009A69B5">
        <w:rPr>
          <w:rFonts w:ascii="Arial" w:eastAsia="Calibri" w:hAnsi="Arial" w:cs="Arial"/>
          <w:bCs/>
          <w:color w:val="000000" w:themeColor="text1"/>
          <w:sz w:val="22"/>
          <w:szCs w:val="22"/>
          <w:lang w:val="es-ES"/>
        </w:rPr>
        <w:t xml:space="preserve"> como sujetos pasivos</w:t>
      </w:r>
      <w:r w:rsidR="00EF32AF" w:rsidRPr="009A69B5">
        <w:rPr>
          <w:rFonts w:ascii="Arial" w:eastAsia="Calibri" w:hAnsi="Arial" w:cs="Arial"/>
          <w:bCs/>
          <w:color w:val="000000" w:themeColor="text1"/>
          <w:sz w:val="22"/>
          <w:szCs w:val="22"/>
          <w:lang w:val="es-ES"/>
        </w:rPr>
        <w:t>, quienes deben contribuir a su consecución pues así lo impone, entre otros, el artículo 2 constitucional. E</w:t>
      </w:r>
      <w:r w:rsidR="004329D3" w:rsidRPr="009A69B5">
        <w:rPr>
          <w:rFonts w:ascii="Arial" w:eastAsia="Calibri" w:hAnsi="Arial" w:cs="Arial"/>
          <w:bCs/>
          <w:color w:val="000000" w:themeColor="text1"/>
          <w:sz w:val="22"/>
          <w:szCs w:val="22"/>
          <w:lang w:val="es-ES"/>
        </w:rPr>
        <w:t xml:space="preserve">l artículo 64 de la Ley 1757 de 2015 </w:t>
      </w:r>
      <w:r w:rsidR="00EF32AF" w:rsidRPr="009A69B5">
        <w:rPr>
          <w:rFonts w:ascii="Arial" w:eastAsia="Calibri" w:hAnsi="Arial" w:cs="Arial"/>
          <w:bCs/>
          <w:color w:val="000000" w:themeColor="text1"/>
          <w:sz w:val="22"/>
          <w:szCs w:val="22"/>
          <w:lang w:val="es-ES"/>
        </w:rPr>
        <w:t>establece</w:t>
      </w:r>
      <w:r w:rsidR="004329D3" w:rsidRPr="009A69B5">
        <w:rPr>
          <w:rFonts w:ascii="Arial" w:eastAsia="Calibri" w:hAnsi="Arial" w:cs="Arial"/>
          <w:bCs/>
          <w:color w:val="000000" w:themeColor="text1"/>
          <w:sz w:val="22"/>
          <w:szCs w:val="22"/>
          <w:lang w:val="es-ES"/>
        </w:rPr>
        <w:t xml:space="preserve">:  </w:t>
      </w:r>
    </w:p>
    <w:p w14:paraId="6AC6ABD9" w14:textId="77777777" w:rsidR="004329D3" w:rsidRPr="009A69B5" w:rsidRDefault="004329D3" w:rsidP="00FA446A">
      <w:pPr>
        <w:tabs>
          <w:tab w:val="left" w:pos="426"/>
        </w:tabs>
        <w:ind w:left="708" w:right="760"/>
        <w:jc w:val="both"/>
        <w:rPr>
          <w:rFonts w:ascii="Arial" w:eastAsia="Calibri" w:hAnsi="Arial" w:cs="Arial"/>
          <w:bCs/>
          <w:color w:val="000000" w:themeColor="text1"/>
          <w:sz w:val="21"/>
          <w:szCs w:val="21"/>
          <w:lang w:val="es-ES"/>
        </w:rPr>
      </w:pPr>
    </w:p>
    <w:p w14:paraId="173B9650" w14:textId="22DF4780" w:rsidR="00FA446A" w:rsidRPr="009A69B5" w:rsidRDefault="004329D3" w:rsidP="00FA446A">
      <w:pPr>
        <w:tabs>
          <w:tab w:val="left" w:pos="426"/>
        </w:tabs>
        <w:ind w:left="708" w:right="760"/>
        <w:jc w:val="both"/>
        <w:rPr>
          <w:rFonts w:ascii="Arial" w:eastAsia="Calibri" w:hAnsi="Arial" w:cs="Arial"/>
          <w:bCs/>
          <w:color w:val="000000" w:themeColor="text1"/>
          <w:sz w:val="21"/>
          <w:szCs w:val="21"/>
          <w:lang w:val="es-ES"/>
        </w:rPr>
      </w:pPr>
      <w:r w:rsidRPr="009A69B5">
        <w:rPr>
          <w:rFonts w:ascii="Arial" w:eastAsia="Calibri" w:hAnsi="Arial" w:cs="Arial"/>
          <w:bCs/>
          <w:color w:val="000000" w:themeColor="text1"/>
          <w:sz w:val="21"/>
          <w:szCs w:val="21"/>
          <w:lang w:val="es-ES"/>
        </w:rPr>
        <w:t>ARTÍCULO 64. OBJETIVOS DEL CONTROL SOCIAL. Son objetivos del control social de la gestión pública y sus resultados:</w:t>
      </w:r>
    </w:p>
    <w:p w14:paraId="671B7187" w14:textId="77777777" w:rsidR="004329D3" w:rsidRPr="009A69B5" w:rsidRDefault="004329D3" w:rsidP="00FA446A">
      <w:pPr>
        <w:tabs>
          <w:tab w:val="left" w:pos="426"/>
        </w:tabs>
        <w:ind w:left="708" w:right="760"/>
        <w:jc w:val="both"/>
        <w:rPr>
          <w:rFonts w:ascii="Arial" w:eastAsia="Calibri" w:hAnsi="Arial" w:cs="Arial"/>
          <w:bCs/>
          <w:color w:val="000000" w:themeColor="text1"/>
          <w:sz w:val="21"/>
          <w:szCs w:val="21"/>
          <w:lang w:val="es-ES"/>
        </w:rPr>
      </w:pPr>
    </w:p>
    <w:p w14:paraId="0563A0E2" w14:textId="1BA4AADD" w:rsidR="002F2012" w:rsidRPr="009A69B5" w:rsidRDefault="002F2012" w:rsidP="00FA446A">
      <w:pPr>
        <w:tabs>
          <w:tab w:val="left" w:pos="426"/>
        </w:tabs>
        <w:ind w:left="708" w:right="760"/>
        <w:jc w:val="both"/>
        <w:rPr>
          <w:rFonts w:ascii="Arial" w:eastAsia="Calibri" w:hAnsi="Arial" w:cs="Arial"/>
          <w:bCs/>
          <w:color w:val="000000" w:themeColor="text1"/>
          <w:sz w:val="21"/>
          <w:szCs w:val="21"/>
          <w:lang w:val="es-ES"/>
        </w:rPr>
      </w:pPr>
      <w:r w:rsidRPr="009A69B5">
        <w:rPr>
          <w:rFonts w:ascii="Arial" w:eastAsia="Calibri" w:hAnsi="Arial" w:cs="Arial"/>
          <w:bCs/>
          <w:color w:val="000000" w:themeColor="text1"/>
          <w:sz w:val="21"/>
          <w:szCs w:val="21"/>
          <w:lang w:val="es-ES"/>
        </w:rPr>
        <w:t>a). Fortalecer la cultura de lo público en el ciudadano;</w:t>
      </w:r>
    </w:p>
    <w:p w14:paraId="0EC976F9" w14:textId="0D1E458C" w:rsidR="002F2012" w:rsidRPr="009A69B5" w:rsidRDefault="002F2012" w:rsidP="00FA446A">
      <w:pPr>
        <w:tabs>
          <w:tab w:val="left" w:pos="426"/>
        </w:tabs>
        <w:ind w:left="708" w:right="760"/>
        <w:jc w:val="both"/>
        <w:rPr>
          <w:rFonts w:ascii="Arial" w:eastAsia="Calibri" w:hAnsi="Arial" w:cs="Arial"/>
          <w:bCs/>
          <w:color w:val="000000" w:themeColor="text1"/>
          <w:sz w:val="21"/>
          <w:szCs w:val="21"/>
          <w:lang w:val="es-ES"/>
        </w:rPr>
      </w:pPr>
      <w:r w:rsidRPr="009A69B5">
        <w:rPr>
          <w:rFonts w:ascii="Arial" w:eastAsia="Calibri" w:hAnsi="Arial" w:cs="Arial"/>
          <w:bCs/>
          <w:color w:val="000000" w:themeColor="text1"/>
          <w:sz w:val="21"/>
          <w:szCs w:val="21"/>
          <w:lang w:val="es-ES"/>
        </w:rPr>
        <w:t>b). Contribuir a mejorar la gestión pública desde el punto de vista de su eficiencia, su eficacia y su transparencia;</w:t>
      </w:r>
    </w:p>
    <w:p w14:paraId="4BFF5526" w14:textId="6464CBEB" w:rsidR="002F2012" w:rsidRPr="009A69B5" w:rsidRDefault="002F2012" w:rsidP="00FA446A">
      <w:pPr>
        <w:tabs>
          <w:tab w:val="left" w:pos="426"/>
        </w:tabs>
        <w:ind w:left="708" w:right="760"/>
        <w:jc w:val="both"/>
        <w:rPr>
          <w:rFonts w:ascii="Arial" w:eastAsia="Calibri" w:hAnsi="Arial" w:cs="Arial"/>
          <w:bCs/>
          <w:color w:val="000000" w:themeColor="text1"/>
          <w:sz w:val="21"/>
          <w:szCs w:val="21"/>
          <w:lang w:val="es-ES"/>
        </w:rPr>
      </w:pPr>
      <w:r w:rsidRPr="009A69B5">
        <w:rPr>
          <w:rFonts w:ascii="Arial" w:eastAsia="Calibri" w:hAnsi="Arial" w:cs="Arial"/>
          <w:bCs/>
          <w:color w:val="000000" w:themeColor="text1"/>
          <w:sz w:val="21"/>
          <w:szCs w:val="21"/>
          <w:lang w:val="es-ES"/>
        </w:rPr>
        <w:t>c). Prevenir los riesgos y los hechos de corrupción en la gestión pública, en particular los relacionados con el manejo de los recursos públicos;</w:t>
      </w:r>
    </w:p>
    <w:p w14:paraId="4C036D7D" w14:textId="548385D4" w:rsidR="002F2012" w:rsidRPr="009A69B5" w:rsidRDefault="002F2012" w:rsidP="00FA446A">
      <w:pPr>
        <w:tabs>
          <w:tab w:val="left" w:pos="426"/>
        </w:tabs>
        <w:ind w:left="708" w:right="760"/>
        <w:jc w:val="both"/>
        <w:rPr>
          <w:rFonts w:ascii="Arial" w:eastAsia="Calibri" w:hAnsi="Arial" w:cs="Arial"/>
          <w:bCs/>
          <w:color w:val="000000" w:themeColor="text1"/>
          <w:sz w:val="21"/>
          <w:szCs w:val="21"/>
          <w:lang w:val="es-ES"/>
        </w:rPr>
      </w:pPr>
      <w:r w:rsidRPr="009A69B5">
        <w:rPr>
          <w:rFonts w:ascii="Arial" w:eastAsia="Calibri" w:hAnsi="Arial" w:cs="Arial"/>
          <w:bCs/>
          <w:color w:val="000000" w:themeColor="text1"/>
          <w:sz w:val="21"/>
          <w:szCs w:val="21"/>
          <w:lang w:val="es-ES"/>
        </w:rPr>
        <w:lastRenderedPageBreak/>
        <w:t>d). Fortalecer la participación ciudadana para que esta contribuya a que las autoridades hagan un manejo transparente y eficiente de los asuntos públicos;</w:t>
      </w:r>
    </w:p>
    <w:p w14:paraId="30808BC8" w14:textId="7955EBA3" w:rsidR="002F2012" w:rsidRPr="009A69B5" w:rsidRDefault="002F2012" w:rsidP="00FA446A">
      <w:pPr>
        <w:tabs>
          <w:tab w:val="left" w:pos="426"/>
        </w:tabs>
        <w:ind w:left="708" w:right="760"/>
        <w:jc w:val="both"/>
        <w:rPr>
          <w:rFonts w:ascii="Arial" w:eastAsia="Calibri" w:hAnsi="Arial" w:cs="Arial"/>
          <w:bCs/>
          <w:color w:val="000000" w:themeColor="text1"/>
          <w:sz w:val="21"/>
          <w:szCs w:val="21"/>
          <w:lang w:val="es-ES"/>
        </w:rPr>
      </w:pPr>
      <w:r w:rsidRPr="009A69B5">
        <w:rPr>
          <w:rFonts w:ascii="Arial" w:eastAsia="Calibri" w:hAnsi="Arial" w:cs="Arial"/>
          <w:bCs/>
          <w:color w:val="000000" w:themeColor="text1"/>
          <w:sz w:val="21"/>
          <w:szCs w:val="21"/>
          <w:lang w:val="es-ES"/>
        </w:rPr>
        <w:t>e). Apoyar y complementar la labor de los organismos de control en la realización de sus funciones legales y constitucionales;</w:t>
      </w:r>
    </w:p>
    <w:p w14:paraId="05EA80DD" w14:textId="68A292CD" w:rsidR="002F2012" w:rsidRPr="009A69B5" w:rsidRDefault="002F2012" w:rsidP="00FA446A">
      <w:pPr>
        <w:tabs>
          <w:tab w:val="left" w:pos="426"/>
        </w:tabs>
        <w:ind w:left="708" w:right="760"/>
        <w:jc w:val="both"/>
        <w:rPr>
          <w:rFonts w:ascii="Arial" w:eastAsia="Calibri" w:hAnsi="Arial" w:cs="Arial"/>
          <w:bCs/>
          <w:color w:val="000000" w:themeColor="text1"/>
          <w:sz w:val="21"/>
          <w:szCs w:val="21"/>
          <w:lang w:val="es-ES"/>
        </w:rPr>
      </w:pPr>
      <w:r w:rsidRPr="009A69B5">
        <w:rPr>
          <w:rFonts w:ascii="Arial" w:eastAsia="Calibri" w:hAnsi="Arial" w:cs="Arial"/>
          <w:bCs/>
          <w:color w:val="000000" w:themeColor="text1"/>
          <w:sz w:val="21"/>
          <w:szCs w:val="21"/>
          <w:lang w:val="es-ES"/>
        </w:rPr>
        <w:t>f). Propender por el cumplimiento de los principios constitucionales que rigen la función pública;</w:t>
      </w:r>
    </w:p>
    <w:p w14:paraId="0DB87469" w14:textId="2BB9591B" w:rsidR="002F2012" w:rsidRPr="009A69B5" w:rsidRDefault="002F2012" w:rsidP="00FA446A">
      <w:pPr>
        <w:tabs>
          <w:tab w:val="left" w:pos="426"/>
        </w:tabs>
        <w:ind w:left="708" w:right="760"/>
        <w:jc w:val="both"/>
        <w:rPr>
          <w:rFonts w:ascii="Arial" w:eastAsia="Calibri" w:hAnsi="Arial" w:cs="Arial"/>
          <w:bCs/>
          <w:color w:val="000000" w:themeColor="text1"/>
          <w:sz w:val="21"/>
          <w:szCs w:val="21"/>
          <w:lang w:val="es-ES"/>
        </w:rPr>
      </w:pPr>
      <w:r w:rsidRPr="009A69B5">
        <w:rPr>
          <w:rFonts w:ascii="Arial" w:eastAsia="Calibri" w:hAnsi="Arial" w:cs="Arial"/>
          <w:bCs/>
          <w:color w:val="000000" w:themeColor="text1"/>
          <w:sz w:val="21"/>
          <w:szCs w:val="21"/>
          <w:lang w:val="es-ES"/>
        </w:rPr>
        <w:t>g). Promover el liderazgo y la participación con miras a democratizar la gestión pública;</w:t>
      </w:r>
    </w:p>
    <w:p w14:paraId="2EC5B147" w14:textId="021AA363" w:rsidR="002F2012" w:rsidRPr="009A69B5" w:rsidRDefault="002F2012" w:rsidP="00FA446A">
      <w:pPr>
        <w:tabs>
          <w:tab w:val="left" w:pos="426"/>
        </w:tabs>
        <w:ind w:left="708" w:right="760"/>
        <w:jc w:val="both"/>
        <w:rPr>
          <w:rFonts w:ascii="Arial" w:eastAsia="Calibri" w:hAnsi="Arial" w:cs="Arial"/>
          <w:bCs/>
          <w:color w:val="000000" w:themeColor="text1"/>
          <w:sz w:val="21"/>
          <w:szCs w:val="21"/>
          <w:lang w:val="es-ES"/>
        </w:rPr>
      </w:pPr>
      <w:r w:rsidRPr="009A69B5">
        <w:rPr>
          <w:rFonts w:ascii="Arial" w:eastAsia="Calibri" w:hAnsi="Arial" w:cs="Arial"/>
          <w:bCs/>
          <w:color w:val="000000" w:themeColor="text1"/>
          <w:sz w:val="21"/>
          <w:szCs w:val="21"/>
          <w:lang w:val="es-ES"/>
        </w:rPr>
        <w:t>h). Poner en evidencia las fallas en la gestión pública por parte de agentes estatales y no estatales, y formular propuestas para mejorarla;</w:t>
      </w:r>
    </w:p>
    <w:p w14:paraId="62550DD4" w14:textId="4027034C" w:rsidR="002F2012" w:rsidRPr="009A69B5" w:rsidRDefault="002F2012" w:rsidP="00FA446A">
      <w:pPr>
        <w:tabs>
          <w:tab w:val="left" w:pos="426"/>
        </w:tabs>
        <w:ind w:left="708" w:right="760"/>
        <w:jc w:val="both"/>
        <w:rPr>
          <w:rFonts w:ascii="Arial" w:eastAsia="Calibri" w:hAnsi="Arial" w:cs="Arial"/>
          <w:bCs/>
          <w:color w:val="000000" w:themeColor="text1"/>
          <w:sz w:val="21"/>
          <w:szCs w:val="21"/>
          <w:lang w:val="es-ES"/>
        </w:rPr>
      </w:pPr>
      <w:r w:rsidRPr="009A69B5">
        <w:rPr>
          <w:rFonts w:ascii="Arial" w:eastAsia="Calibri" w:hAnsi="Arial" w:cs="Arial"/>
          <w:bCs/>
          <w:color w:val="000000" w:themeColor="text1"/>
          <w:sz w:val="21"/>
          <w:szCs w:val="21"/>
          <w:lang w:val="es-ES"/>
        </w:rPr>
        <w:t>i). Contribuir a la garantía y al restablecimiento de los derechos soc</w:t>
      </w:r>
      <w:r w:rsidR="006B03C3" w:rsidRPr="009A69B5">
        <w:rPr>
          <w:rFonts w:ascii="Arial" w:eastAsia="Calibri" w:hAnsi="Arial" w:cs="Arial"/>
          <w:bCs/>
          <w:color w:val="000000" w:themeColor="text1"/>
          <w:sz w:val="21"/>
          <w:szCs w:val="21"/>
          <w:lang w:val="es-ES"/>
        </w:rPr>
        <w:t>iales, económicos y culturales.</w:t>
      </w:r>
    </w:p>
    <w:p w14:paraId="33B65EF0" w14:textId="77777777" w:rsidR="00FA446A" w:rsidRPr="009A69B5" w:rsidRDefault="00FA446A" w:rsidP="00FA446A">
      <w:pPr>
        <w:tabs>
          <w:tab w:val="left" w:pos="426"/>
        </w:tabs>
        <w:ind w:left="708" w:right="760"/>
        <w:jc w:val="both"/>
        <w:rPr>
          <w:rFonts w:ascii="Arial" w:eastAsia="Calibri" w:hAnsi="Arial" w:cs="Arial"/>
          <w:bCs/>
          <w:color w:val="000000" w:themeColor="text1"/>
          <w:sz w:val="21"/>
          <w:szCs w:val="21"/>
          <w:lang w:val="es-ES"/>
        </w:rPr>
      </w:pPr>
    </w:p>
    <w:p w14:paraId="2E1C694E" w14:textId="4BBDCE32" w:rsidR="00EF32AF" w:rsidRPr="009A69B5" w:rsidRDefault="00314370" w:rsidP="00E519CA">
      <w:pPr>
        <w:tabs>
          <w:tab w:val="left" w:pos="426"/>
        </w:tabs>
        <w:spacing w:after="120" w:line="276" w:lineRule="auto"/>
        <w:ind w:firstLine="709"/>
        <w:jc w:val="both"/>
        <w:rPr>
          <w:rFonts w:ascii="Arial" w:eastAsia="Calibri" w:hAnsi="Arial" w:cs="Arial"/>
          <w:bCs/>
          <w:color w:val="000000" w:themeColor="text1"/>
          <w:sz w:val="22"/>
          <w:szCs w:val="22"/>
          <w:lang w:val="es-ES"/>
        </w:rPr>
      </w:pPr>
      <w:r>
        <w:rPr>
          <w:rFonts w:ascii="Arial" w:eastAsia="Calibri" w:hAnsi="Arial" w:cs="Arial"/>
          <w:bCs/>
          <w:color w:val="000000" w:themeColor="text1"/>
          <w:sz w:val="22"/>
          <w:szCs w:val="22"/>
          <w:lang w:val="es-ES"/>
        </w:rPr>
        <w:t>La finalidad</w:t>
      </w:r>
      <w:r w:rsidR="00EF32AF" w:rsidRPr="009A69B5">
        <w:rPr>
          <w:rFonts w:ascii="Arial" w:eastAsia="Calibri" w:hAnsi="Arial" w:cs="Arial"/>
          <w:bCs/>
          <w:color w:val="000000" w:themeColor="text1"/>
          <w:sz w:val="22"/>
          <w:szCs w:val="22"/>
          <w:lang w:val="es-ES"/>
        </w:rPr>
        <w:t xml:space="preserve"> de este concepto </w:t>
      </w:r>
      <w:r>
        <w:rPr>
          <w:rFonts w:ascii="Arial" w:eastAsia="Calibri" w:hAnsi="Arial" w:cs="Arial"/>
          <w:bCs/>
          <w:color w:val="000000" w:themeColor="text1"/>
          <w:sz w:val="22"/>
          <w:szCs w:val="22"/>
          <w:lang w:val="es-ES"/>
        </w:rPr>
        <w:t xml:space="preserve">no es </w:t>
      </w:r>
      <w:r w:rsidR="00EF32AF" w:rsidRPr="009A69B5">
        <w:rPr>
          <w:rFonts w:ascii="Arial" w:eastAsia="Calibri" w:hAnsi="Arial" w:cs="Arial"/>
          <w:bCs/>
          <w:color w:val="000000" w:themeColor="text1"/>
          <w:sz w:val="22"/>
          <w:szCs w:val="22"/>
          <w:lang w:val="es-ES"/>
        </w:rPr>
        <w:t xml:space="preserve">analizar a profundidad cada uno de estos objetivos. Sin embargo, se considera relevante llamar la atención sobre algunos de ellos por la importancia que revisten para el sistema de compra pública colombiano. El literal c) señala como uno de los objetivos del control social que se prevengan riesgos y hechos de corrupción en la gestión pública, en particular los relacionados con el manejo de los recursos públicos, </w:t>
      </w:r>
      <w:r w:rsidR="00147844" w:rsidRPr="009A69B5">
        <w:rPr>
          <w:rFonts w:ascii="Arial" w:eastAsia="Calibri" w:hAnsi="Arial" w:cs="Arial"/>
          <w:bCs/>
          <w:color w:val="000000" w:themeColor="text1"/>
          <w:sz w:val="22"/>
          <w:szCs w:val="22"/>
          <w:lang w:val="es-ES"/>
        </w:rPr>
        <w:t>lo cual impone la aplicación de dicho objetivo para el control social de la contratación estatal</w:t>
      </w:r>
      <w:r w:rsidR="00EF32AF" w:rsidRPr="009A69B5">
        <w:rPr>
          <w:rFonts w:ascii="Arial" w:eastAsia="Calibri" w:hAnsi="Arial" w:cs="Arial"/>
          <w:bCs/>
          <w:color w:val="000000" w:themeColor="text1"/>
          <w:sz w:val="22"/>
          <w:szCs w:val="22"/>
          <w:lang w:val="es-ES"/>
        </w:rPr>
        <w:t xml:space="preserve">. </w:t>
      </w:r>
      <w:r w:rsidR="00147844" w:rsidRPr="009A69B5">
        <w:rPr>
          <w:rFonts w:ascii="Arial" w:eastAsia="Calibri" w:hAnsi="Arial" w:cs="Arial"/>
          <w:bCs/>
          <w:color w:val="000000" w:themeColor="text1"/>
          <w:sz w:val="22"/>
          <w:szCs w:val="22"/>
          <w:lang w:val="es-ES"/>
        </w:rPr>
        <w:t xml:space="preserve">El literal e) exige de los sujetos activos del control social que apoyen y complementen la labor de los organismos de control en materia de contratación estatal. </w:t>
      </w:r>
      <w:r w:rsidR="00EF32AF" w:rsidRPr="009A69B5">
        <w:rPr>
          <w:rFonts w:ascii="Arial" w:eastAsia="Calibri" w:hAnsi="Arial" w:cs="Arial"/>
          <w:bCs/>
          <w:color w:val="000000" w:themeColor="text1"/>
          <w:sz w:val="22"/>
          <w:szCs w:val="22"/>
          <w:lang w:val="es-ES"/>
        </w:rPr>
        <w:t>Finalmente, el literal h) establece como objetivo de este derecho poner en evidencia las fallas en la gestión pública por parte de los agentes estatales y no estatales, y formular propuestas para mejorarlas.</w:t>
      </w:r>
    </w:p>
    <w:p w14:paraId="444F1641" w14:textId="651389A8" w:rsidR="00432A64" w:rsidRPr="009A69B5" w:rsidRDefault="00465A61" w:rsidP="00E070CF">
      <w:pPr>
        <w:tabs>
          <w:tab w:val="left" w:pos="426"/>
        </w:tabs>
        <w:spacing w:after="120" w:line="276" w:lineRule="auto"/>
        <w:ind w:firstLine="709"/>
        <w:jc w:val="both"/>
        <w:rPr>
          <w:rFonts w:ascii="Arial" w:eastAsia="Calibri" w:hAnsi="Arial" w:cs="Arial"/>
          <w:bCs/>
          <w:color w:val="000000" w:themeColor="text1"/>
          <w:sz w:val="22"/>
          <w:szCs w:val="22"/>
          <w:lang w:val="es-ES"/>
        </w:rPr>
      </w:pPr>
      <w:r w:rsidRPr="009A69B5">
        <w:rPr>
          <w:rFonts w:ascii="Arial" w:eastAsia="Calibri" w:hAnsi="Arial" w:cs="Arial"/>
          <w:bCs/>
          <w:color w:val="000000" w:themeColor="text1"/>
          <w:sz w:val="22"/>
          <w:szCs w:val="22"/>
          <w:lang w:val="es-ES"/>
        </w:rPr>
        <w:t xml:space="preserve">Con base en lo dicho en </w:t>
      </w:r>
      <w:r w:rsidR="00147844" w:rsidRPr="009A69B5">
        <w:rPr>
          <w:rFonts w:ascii="Arial" w:eastAsia="Calibri" w:hAnsi="Arial" w:cs="Arial"/>
          <w:bCs/>
          <w:color w:val="000000" w:themeColor="text1"/>
          <w:sz w:val="22"/>
          <w:szCs w:val="22"/>
          <w:lang w:val="es-ES"/>
        </w:rPr>
        <w:t>el presente</w:t>
      </w:r>
      <w:r w:rsidRPr="009A69B5">
        <w:rPr>
          <w:rFonts w:ascii="Arial" w:eastAsia="Calibri" w:hAnsi="Arial" w:cs="Arial"/>
          <w:bCs/>
          <w:color w:val="000000" w:themeColor="text1"/>
          <w:sz w:val="22"/>
          <w:szCs w:val="22"/>
          <w:lang w:val="es-ES"/>
        </w:rPr>
        <w:t xml:space="preserve"> aparte</w:t>
      </w:r>
      <w:r w:rsidR="00147844" w:rsidRPr="009A69B5">
        <w:rPr>
          <w:rFonts w:ascii="Arial" w:eastAsia="Calibri" w:hAnsi="Arial" w:cs="Arial"/>
          <w:bCs/>
          <w:color w:val="000000" w:themeColor="text1"/>
          <w:sz w:val="22"/>
          <w:szCs w:val="22"/>
          <w:lang w:val="es-ES"/>
        </w:rPr>
        <w:t xml:space="preserve">, </w:t>
      </w:r>
      <w:r w:rsidRPr="009A69B5">
        <w:rPr>
          <w:rFonts w:ascii="Arial" w:eastAsia="Calibri" w:hAnsi="Arial" w:cs="Arial"/>
          <w:bCs/>
          <w:color w:val="000000" w:themeColor="text1"/>
          <w:sz w:val="22"/>
          <w:szCs w:val="22"/>
          <w:lang w:val="es-ES"/>
        </w:rPr>
        <w:t>puede concluirse que todo contrato que celebren las instituciones del Estado está sujeto a control social</w:t>
      </w:r>
      <w:r w:rsidR="00147844" w:rsidRPr="009A69B5">
        <w:rPr>
          <w:rFonts w:ascii="Arial" w:eastAsia="Calibri" w:hAnsi="Arial" w:cs="Arial"/>
          <w:bCs/>
          <w:color w:val="000000" w:themeColor="text1"/>
          <w:sz w:val="22"/>
          <w:szCs w:val="22"/>
          <w:lang w:val="es-ES"/>
        </w:rPr>
        <w:t>.</w:t>
      </w:r>
      <w:r w:rsidRPr="009A69B5">
        <w:rPr>
          <w:rFonts w:ascii="Arial" w:eastAsia="Calibri" w:hAnsi="Arial" w:cs="Arial"/>
          <w:bCs/>
          <w:color w:val="000000" w:themeColor="text1"/>
          <w:sz w:val="22"/>
          <w:szCs w:val="22"/>
          <w:lang w:val="es-ES"/>
        </w:rPr>
        <w:t xml:space="preserve"> </w:t>
      </w:r>
      <w:r w:rsidR="00E519CA" w:rsidRPr="009A69B5">
        <w:rPr>
          <w:rFonts w:ascii="Arial" w:eastAsia="Calibri" w:hAnsi="Arial" w:cs="Arial"/>
          <w:bCs/>
          <w:color w:val="000000" w:themeColor="text1"/>
          <w:sz w:val="22"/>
          <w:szCs w:val="22"/>
          <w:lang w:val="es-ES"/>
        </w:rPr>
        <w:t>A</w:t>
      </w:r>
      <w:r w:rsidR="0058468F" w:rsidRPr="009A69B5">
        <w:rPr>
          <w:rFonts w:ascii="Arial" w:eastAsia="Calibri" w:hAnsi="Arial" w:cs="Arial"/>
          <w:bCs/>
          <w:color w:val="000000" w:themeColor="text1"/>
          <w:sz w:val="22"/>
          <w:szCs w:val="22"/>
          <w:lang w:val="es-ES"/>
        </w:rPr>
        <w:t>d</w:t>
      </w:r>
      <w:r w:rsidRPr="009A69B5">
        <w:rPr>
          <w:rFonts w:ascii="Arial" w:eastAsia="Calibri" w:hAnsi="Arial" w:cs="Arial"/>
          <w:bCs/>
          <w:color w:val="000000" w:themeColor="text1"/>
          <w:sz w:val="22"/>
          <w:szCs w:val="22"/>
          <w:lang w:val="es-ES"/>
        </w:rPr>
        <w:t>icionalmente, las entidades del Estado, las entidades privadas que presten servicios públicos domiciliarios o las empresas que realicen proyectos con recursos públicos deben garantizar el ejercicio del derecho al control social</w:t>
      </w:r>
      <w:r w:rsidR="00147844" w:rsidRPr="009A69B5">
        <w:rPr>
          <w:rFonts w:ascii="Arial" w:eastAsia="Calibri" w:hAnsi="Arial" w:cs="Arial"/>
          <w:bCs/>
          <w:color w:val="000000" w:themeColor="text1"/>
          <w:sz w:val="22"/>
          <w:szCs w:val="22"/>
          <w:lang w:val="es-ES"/>
        </w:rPr>
        <w:t>, es decir son sujetos pasivos de este derecho</w:t>
      </w:r>
      <w:r w:rsidRPr="009A69B5">
        <w:rPr>
          <w:rFonts w:ascii="Arial" w:eastAsia="Calibri" w:hAnsi="Arial" w:cs="Arial"/>
          <w:bCs/>
          <w:color w:val="000000" w:themeColor="text1"/>
          <w:sz w:val="22"/>
          <w:szCs w:val="22"/>
          <w:lang w:val="es-ES"/>
        </w:rPr>
        <w:t>.</w:t>
      </w:r>
      <w:r w:rsidR="00E519CA" w:rsidRPr="009A69B5">
        <w:rPr>
          <w:rFonts w:ascii="Arial" w:eastAsia="Calibri" w:hAnsi="Arial" w:cs="Arial"/>
          <w:bCs/>
          <w:color w:val="000000" w:themeColor="text1"/>
          <w:sz w:val="22"/>
          <w:szCs w:val="22"/>
          <w:lang w:val="es-ES"/>
        </w:rPr>
        <w:t xml:space="preserve"> L</w:t>
      </w:r>
      <w:r w:rsidR="00147844" w:rsidRPr="009A69B5">
        <w:rPr>
          <w:rFonts w:ascii="Arial" w:eastAsia="Calibri" w:hAnsi="Arial" w:cs="Arial"/>
          <w:bCs/>
          <w:color w:val="000000" w:themeColor="text1"/>
          <w:sz w:val="22"/>
          <w:szCs w:val="22"/>
          <w:lang w:val="es-ES"/>
        </w:rPr>
        <w:t>os sujetos activos son todos los ciudadanos individualmente considerados</w:t>
      </w:r>
      <w:r w:rsidR="00E519CA" w:rsidRPr="009A69B5">
        <w:rPr>
          <w:rFonts w:ascii="Arial" w:eastAsia="Calibri" w:hAnsi="Arial" w:cs="Arial"/>
          <w:bCs/>
          <w:color w:val="000000" w:themeColor="text1"/>
          <w:sz w:val="22"/>
          <w:szCs w:val="22"/>
          <w:lang w:val="es-ES"/>
        </w:rPr>
        <w:t>,</w:t>
      </w:r>
      <w:r w:rsidR="00147844" w:rsidRPr="009A69B5">
        <w:rPr>
          <w:rFonts w:ascii="Arial" w:eastAsia="Calibri" w:hAnsi="Arial" w:cs="Arial"/>
          <w:bCs/>
          <w:color w:val="000000" w:themeColor="text1"/>
          <w:sz w:val="22"/>
          <w:szCs w:val="22"/>
          <w:lang w:val="es-ES"/>
        </w:rPr>
        <w:t xml:space="preserve"> o a través de organizaciones constituidas para tal fin, como sería el caso, por </w:t>
      </w:r>
      <w:r w:rsidR="00FC346A" w:rsidRPr="009A69B5">
        <w:rPr>
          <w:rFonts w:ascii="Arial" w:eastAsia="Calibri" w:hAnsi="Arial" w:cs="Arial"/>
          <w:bCs/>
          <w:color w:val="000000" w:themeColor="text1"/>
          <w:sz w:val="22"/>
          <w:szCs w:val="22"/>
          <w:lang w:val="es-ES"/>
        </w:rPr>
        <w:t>ejemplo,</w:t>
      </w:r>
      <w:r w:rsidR="00147844" w:rsidRPr="009A69B5">
        <w:rPr>
          <w:rFonts w:ascii="Arial" w:eastAsia="Calibri" w:hAnsi="Arial" w:cs="Arial"/>
          <w:bCs/>
          <w:color w:val="000000" w:themeColor="text1"/>
          <w:sz w:val="22"/>
          <w:szCs w:val="22"/>
          <w:lang w:val="es-ES"/>
        </w:rPr>
        <w:t xml:space="preserve"> de las veeduría</w:t>
      </w:r>
      <w:r w:rsidR="00E519CA" w:rsidRPr="009A69B5">
        <w:rPr>
          <w:rFonts w:ascii="Arial" w:eastAsia="Calibri" w:hAnsi="Arial" w:cs="Arial"/>
          <w:bCs/>
          <w:color w:val="000000" w:themeColor="text1"/>
          <w:sz w:val="22"/>
          <w:szCs w:val="22"/>
          <w:lang w:val="es-ES"/>
        </w:rPr>
        <w:t>s</w:t>
      </w:r>
      <w:r w:rsidR="00147844" w:rsidRPr="009A69B5">
        <w:rPr>
          <w:rFonts w:ascii="Arial" w:eastAsia="Calibri" w:hAnsi="Arial" w:cs="Arial"/>
          <w:bCs/>
          <w:color w:val="000000" w:themeColor="text1"/>
          <w:sz w:val="22"/>
          <w:szCs w:val="22"/>
          <w:lang w:val="es-ES"/>
        </w:rPr>
        <w:t xml:space="preserve"> ciudadanas. </w:t>
      </w:r>
      <w:r w:rsidR="00E070CF" w:rsidRPr="009A69B5">
        <w:rPr>
          <w:rFonts w:ascii="Arial" w:eastAsia="Calibri" w:hAnsi="Arial" w:cs="Arial"/>
          <w:bCs/>
          <w:color w:val="000000" w:themeColor="text1"/>
          <w:sz w:val="22"/>
          <w:szCs w:val="22"/>
          <w:lang w:val="es-ES"/>
        </w:rPr>
        <w:t xml:space="preserve">Estos sujetos activos pueden ejercer otros derechos que permiten el adecuado ejercicio del control social, dentro de los cuales se cuentan el ejercicio del derecho de petición, la presentación de acciones de tutela, populares, entre otros. </w:t>
      </w:r>
      <w:r w:rsidR="00E519CA" w:rsidRPr="009A69B5">
        <w:rPr>
          <w:rFonts w:ascii="Arial" w:eastAsia="Calibri" w:hAnsi="Arial" w:cs="Arial"/>
          <w:bCs/>
          <w:color w:val="000000" w:themeColor="text1"/>
          <w:sz w:val="22"/>
          <w:szCs w:val="22"/>
          <w:lang w:val="es-ES"/>
        </w:rPr>
        <w:t xml:space="preserve">Finalmente, es preciso advertir que el artículo 64 de la Ley 1557 de 2015 estableció unos objetivos precisos para este derecho – deber, y con ello, también para su </w:t>
      </w:r>
      <w:r w:rsidR="00FC346A" w:rsidRPr="009A69B5">
        <w:rPr>
          <w:rFonts w:ascii="Arial" w:eastAsia="Calibri" w:hAnsi="Arial" w:cs="Arial"/>
          <w:bCs/>
          <w:color w:val="000000" w:themeColor="text1"/>
          <w:sz w:val="22"/>
          <w:szCs w:val="22"/>
          <w:lang w:val="es-ES"/>
        </w:rPr>
        <w:t>ejercicio</w:t>
      </w:r>
      <w:r w:rsidR="00E519CA" w:rsidRPr="009A69B5">
        <w:rPr>
          <w:rFonts w:ascii="Arial" w:eastAsia="Calibri" w:hAnsi="Arial" w:cs="Arial"/>
          <w:bCs/>
          <w:color w:val="000000" w:themeColor="text1"/>
          <w:sz w:val="22"/>
          <w:szCs w:val="22"/>
          <w:lang w:val="es-ES"/>
        </w:rPr>
        <w:t xml:space="preserve"> y concreción. </w:t>
      </w:r>
    </w:p>
    <w:p w14:paraId="60076F05" w14:textId="1FD353DA" w:rsidR="00C610C1" w:rsidRPr="009A69B5" w:rsidRDefault="00AE1E03" w:rsidP="00E070CF">
      <w:pPr>
        <w:tabs>
          <w:tab w:val="left" w:pos="426"/>
        </w:tabs>
        <w:spacing w:line="276" w:lineRule="auto"/>
        <w:ind w:firstLine="709"/>
        <w:jc w:val="both"/>
        <w:rPr>
          <w:rFonts w:ascii="Arial" w:eastAsia="Calibri" w:hAnsi="Arial" w:cs="Arial"/>
          <w:bCs/>
          <w:color w:val="000000" w:themeColor="text1"/>
          <w:sz w:val="22"/>
          <w:szCs w:val="22"/>
          <w:lang w:val="es-ES"/>
        </w:rPr>
      </w:pPr>
      <w:r w:rsidRPr="009A69B5">
        <w:rPr>
          <w:rFonts w:ascii="Arial" w:eastAsia="Calibri" w:hAnsi="Arial" w:cs="Arial"/>
          <w:bCs/>
          <w:color w:val="000000" w:themeColor="text1"/>
          <w:sz w:val="22"/>
          <w:szCs w:val="22"/>
          <w:lang w:val="es-ES"/>
        </w:rPr>
        <w:t xml:space="preserve">Finalmente, </w:t>
      </w:r>
      <w:r w:rsidR="00E070CF" w:rsidRPr="009A69B5">
        <w:rPr>
          <w:rFonts w:ascii="Arial" w:eastAsia="Calibri" w:hAnsi="Arial" w:cs="Arial"/>
          <w:bCs/>
          <w:color w:val="000000" w:themeColor="text1"/>
          <w:sz w:val="22"/>
          <w:szCs w:val="22"/>
          <w:lang w:val="es-ES"/>
        </w:rPr>
        <w:t>debe ponerse</w:t>
      </w:r>
      <w:r w:rsidRPr="009A69B5">
        <w:rPr>
          <w:rFonts w:ascii="Arial" w:eastAsia="Calibri" w:hAnsi="Arial" w:cs="Arial"/>
          <w:bCs/>
          <w:color w:val="000000" w:themeColor="text1"/>
          <w:sz w:val="22"/>
          <w:szCs w:val="22"/>
          <w:lang w:val="es-ES"/>
        </w:rPr>
        <w:t xml:space="preserve"> de presente que el sistema de compras </w:t>
      </w:r>
      <w:r w:rsidR="00186330" w:rsidRPr="009A69B5">
        <w:rPr>
          <w:rFonts w:ascii="Arial" w:eastAsia="Calibri" w:hAnsi="Arial" w:cs="Arial"/>
          <w:bCs/>
          <w:color w:val="000000" w:themeColor="text1"/>
          <w:sz w:val="22"/>
          <w:szCs w:val="22"/>
          <w:lang w:val="es-ES"/>
        </w:rPr>
        <w:t xml:space="preserve">y contratación </w:t>
      </w:r>
      <w:r w:rsidRPr="009A69B5">
        <w:rPr>
          <w:rFonts w:ascii="Arial" w:eastAsia="Calibri" w:hAnsi="Arial" w:cs="Arial"/>
          <w:bCs/>
          <w:color w:val="000000" w:themeColor="text1"/>
          <w:sz w:val="22"/>
          <w:szCs w:val="22"/>
          <w:lang w:val="es-ES"/>
        </w:rPr>
        <w:t>pública</w:t>
      </w:r>
      <w:r w:rsidR="00186330" w:rsidRPr="009A69B5">
        <w:rPr>
          <w:rFonts w:ascii="Arial" w:eastAsia="Calibri" w:hAnsi="Arial" w:cs="Arial"/>
          <w:bCs/>
          <w:color w:val="000000" w:themeColor="text1"/>
          <w:sz w:val="22"/>
          <w:szCs w:val="22"/>
          <w:lang w:val="es-ES"/>
        </w:rPr>
        <w:t xml:space="preserve"> cuenta entre sus partícipes, por expreso mandato del artículo 2.2.1.1.1.2.1. del </w:t>
      </w:r>
      <w:r w:rsidR="00FC346A" w:rsidRPr="009A69B5">
        <w:rPr>
          <w:rFonts w:ascii="Arial" w:eastAsia="Calibri" w:hAnsi="Arial" w:cs="Arial"/>
          <w:bCs/>
          <w:color w:val="000000" w:themeColor="text1"/>
          <w:sz w:val="22"/>
          <w:szCs w:val="22"/>
          <w:lang w:val="es-ES"/>
        </w:rPr>
        <w:lastRenderedPageBreak/>
        <w:t>Decreto</w:t>
      </w:r>
      <w:r w:rsidR="00186330" w:rsidRPr="009A69B5">
        <w:rPr>
          <w:rFonts w:ascii="Arial" w:eastAsia="Calibri" w:hAnsi="Arial" w:cs="Arial"/>
          <w:bCs/>
          <w:color w:val="000000" w:themeColor="text1"/>
          <w:sz w:val="22"/>
          <w:szCs w:val="22"/>
          <w:lang w:val="es-ES"/>
        </w:rPr>
        <w:t xml:space="preserve"> 1082 de 2015</w:t>
      </w:r>
      <w:r w:rsidR="00186330" w:rsidRPr="009A69B5">
        <w:rPr>
          <w:rStyle w:val="Refdenotaalpie"/>
          <w:rFonts w:ascii="Arial" w:eastAsia="Calibri" w:hAnsi="Arial" w:cs="Arial"/>
          <w:bCs/>
          <w:color w:val="000000" w:themeColor="text1"/>
          <w:sz w:val="22"/>
          <w:szCs w:val="22"/>
          <w:lang w:val="es-ES"/>
        </w:rPr>
        <w:footnoteReference w:id="7"/>
      </w:r>
      <w:r w:rsidR="00186330" w:rsidRPr="009A69B5">
        <w:rPr>
          <w:rFonts w:ascii="Arial" w:eastAsia="Calibri" w:hAnsi="Arial" w:cs="Arial"/>
          <w:bCs/>
          <w:color w:val="000000" w:themeColor="text1"/>
          <w:sz w:val="22"/>
          <w:szCs w:val="22"/>
          <w:lang w:val="es-ES"/>
        </w:rPr>
        <w:t>, a las organizaciones de la sociedad civil y los ciudadanos cuando ejercen la participación ciudadana en los términos de la Constitución Política y de la ley</w:t>
      </w:r>
      <w:r w:rsidR="00E070CF" w:rsidRPr="009A69B5">
        <w:rPr>
          <w:rFonts w:ascii="Arial" w:eastAsia="Calibri" w:hAnsi="Arial" w:cs="Arial"/>
          <w:bCs/>
          <w:color w:val="000000" w:themeColor="text1"/>
          <w:sz w:val="22"/>
          <w:szCs w:val="22"/>
          <w:lang w:val="es-ES"/>
        </w:rPr>
        <w:t>.</w:t>
      </w:r>
    </w:p>
    <w:p w14:paraId="6BBDAD27" w14:textId="77777777" w:rsidR="00E070CF" w:rsidRPr="009A69B5" w:rsidRDefault="00E070CF" w:rsidP="00E070CF">
      <w:pPr>
        <w:tabs>
          <w:tab w:val="left" w:pos="426"/>
        </w:tabs>
        <w:spacing w:line="276" w:lineRule="auto"/>
        <w:ind w:firstLine="709"/>
        <w:jc w:val="both"/>
        <w:rPr>
          <w:rFonts w:ascii="Arial" w:eastAsia="Calibri" w:hAnsi="Arial" w:cs="Arial"/>
          <w:bCs/>
          <w:color w:val="000000" w:themeColor="text1"/>
          <w:sz w:val="22"/>
          <w:szCs w:val="22"/>
          <w:lang w:val="es-ES"/>
        </w:rPr>
      </w:pPr>
    </w:p>
    <w:p w14:paraId="14D8D185" w14:textId="6EB251D0" w:rsidR="00100C4A" w:rsidRPr="009A69B5" w:rsidRDefault="00100C4A" w:rsidP="00FA446A">
      <w:pPr>
        <w:tabs>
          <w:tab w:val="left" w:pos="426"/>
        </w:tabs>
        <w:jc w:val="both"/>
        <w:rPr>
          <w:rFonts w:ascii="Arial" w:eastAsia="Calibri" w:hAnsi="Arial" w:cs="Arial"/>
          <w:b/>
          <w:bCs/>
          <w:color w:val="000000" w:themeColor="text1"/>
          <w:sz w:val="22"/>
          <w:szCs w:val="22"/>
          <w:lang w:val="es-ES"/>
        </w:rPr>
      </w:pPr>
      <w:r w:rsidRPr="009A69B5">
        <w:rPr>
          <w:rFonts w:ascii="Arial" w:eastAsia="Calibri" w:hAnsi="Arial" w:cs="Arial"/>
          <w:b/>
          <w:bCs/>
          <w:color w:val="000000" w:themeColor="text1"/>
          <w:sz w:val="22"/>
          <w:szCs w:val="22"/>
          <w:lang w:val="es-ES"/>
        </w:rPr>
        <w:t>2.</w:t>
      </w:r>
      <w:r w:rsidR="00E070CF" w:rsidRPr="009A69B5">
        <w:rPr>
          <w:rFonts w:ascii="Arial" w:eastAsia="Calibri" w:hAnsi="Arial" w:cs="Arial"/>
          <w:b/>
          <w:bCs/>
          <w:color w:val="000000" w:themeColor="text1"/>
          <w:sz w:val="22"/>
          <w:szCs w:val="22"/>
          <w:lang w:val="es-ES"/>
        </w:rPr>
        <w:t>3</w:t>
      </w:r>
      <w:r w:rsidRPr="009A69B5">
        <w:rPr>
          <w:rFonts w:ascii="Arial" w:eastAsia="Calibri" w:hAnsi="Arial" w:cs="Arial"/>
          <w:b/>
          <w:bCs/>
          <w:color w:val="000000" w:themeColor="text1"/>
          <w:sz w:val="22"/>
          <w:szCs w:val="22"/>
          <w:lang w:val="es-ES"/>
        </w:rPr>
        <w:t>. Oportunidades para hacer control social a la contratación pública</w:t>
      </w:r>
    </w:p>
    <w:p w14:paraId="7105A29A" w14:textId="0319D4CD" w:rsidR="00AB2F61" w:rsidRPr="009A69B5" w:rsidRDefault="00AB2F61" w:rsidP="00FA446A">
      <w:pPr>
        <w:tabs>
          <w:tab w:val="left" w:pos="426"/>
        </w:tabs>
        <w:jc w:val="both"/>
        <w:rPr>
          <w:rFonts w:ascii="Arial" w:eastAsia="Calibri" w:hAnsi="Arial" w:cs="Arial"/>
          <w:bCs/>
          <w:color w:val="000000" w:themeColor="text1"/>
          <w:sz w:val="22"/>
          <w:szCs w:val="22"/>
          <w:lang w:val="es-ES"/>
        </w:rPr>
      </w:pPr>
    </w:p>
    <w:p w14:paraId="0E6BA303" w14:textId="3CB971E7" w:rsidR="004C5422" w:rsidRPr="009A69B5" w:rsidRDefault="00E070CF" w:rsidP="00FC2EAA">
      <w:pPr>
        <w:tabs>
          <w:tab w:val="left" w:pos="426"/>
        </w:tabs>
        <w:spacing w:after="120" w:line="276" w:lineRule="auto"/>
        <w:jc w:val="both"/>
        <w:rPr>
          <w:rFonts w:ascii="Arial" w:eastAsia="Calibri" w:hAnsi="Arial" w:cs="Arial"/>
          <w:bCs/>
          <w:color w:val="000000" w:themeColor="text1"/>
          <w:sz w:val="22"/>
          <w:szCs w:val="22"/>
          <w:lang w:val="es-ES"/>
        </w:rPr>
      </w:pPr>
      <w:r w:rsidRPr="009A69B5">
        <w:rPr>
          <w:rFonts w:ascii="Arial" w:eastAsia="Calibri" w:hAnsi="Arial" w:cs="Arial"/>
          <w:bCs/>
          <w:color w:val="000000" w:themeColor="text1"/>
          <w:sz w:val="22"/>
          <w:szCs w:val="22"/>
          <w:lang w:val="es-ES"/>
        </w:rPr>
        <w:t xml:space="preserve">Las normas sobre el control social no establecen un </w:t>
      </w:r>
      <w:r w:rsidR="00FC346A" w:rsidRPr="009A69B5">
        <w:rPr>
          <w:rFonts w:ascii="Arial" w:eastAsia="Calibri" w:hAnsi="Arial" w:cs="Arial"/>
          <w:bCs/>
          <w:color w:val="000000" w:themeColor="text1"/>
          <w:sz w:val="22"/>
          <w:szCs w:val="22"/>
          <w:lang w:val="es-ES"/>
        </w:rPr>
        <w:t>ámbito</w:t>
      </w:r>
      <w:r w:rsidRPr="009A69B5">
        <w:rPr>
          <w:rFonts w:ascii="Arial" w:eastAsia="Calibri" w:hAnsi="Arial" w:cs="Arial"/>
          <w:bCs/>
          <w:color w:val="000000" w:themeColor="text1"/>
          <w:sz w:val="22"/>
          <w:szCs w:val="22"/>
          <w:lang w:val="es-ES"/>
        </w:rPr>
        <w:t xml:space="preserve"> temporal de aplicación para el ejercicio del control social sobre la actividad contractual del Estado. De ello se desprende, necesariamente, que el control social puede ejercerse de manera amplia sobre todas y cada una de las etapas de</w:t>
      </w:r>
      <w:r w:rsidR="004C5422" w:rsidRPr="009A69B5">
        <w:rPr>
          <w:rFonts w:ascii="Arial" w:eastAsia="Calibri" w:hAnsi="Arial" w:cs="Arial"/>
          <w:bCs/>
          <w:color w:val="000000" w:themeColor="text1"/>
          <w:sz w:val="22"/>
          <w:szCs w:val="22"/>
          <w:lang w:val="es-ES"/>
        </w:rPr>
        <w:t xml:space="preserve">l Proceso de Contratación, definido por el artículo 2.2.1.1.1.3.1. del Decreto 1082 de 2015 como «el Conjunto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ocurra más tarde». </w:t>
      </w:r>
    </w:p>
    <w:p w14:paraId="110570B3" w14:textId="0AF590B8" w:rsidR="00AB2F61" w:rsidRPr="009A69B5" w:rsidRDefault="004C5422" w:rsidP="00FC2EAA">
      <w:pPr>
        <w:tabs>
          <w:tab w:val="left" w:pos="426"/>
        </w:tabs>
        <w:spacing w:after="120" w:line="276" w:lineRule="auto"/>
        <w:ind w:firstLine="709"/>
        <w:jc w:val="both"/>
        <w:rPr>
          <w:rFonts w:ascii="Arial" w:eastAsia="Calibri" w:hAnsi="Arial" w:cs="Arial"/>
          <w:bCs/>
          <w:color w:val="000000" w:themeColor="text1"/>
          <w:sz w:val="22"/>
          <w:szCs w:val="22"/>
          <w:lang w:val="es-ES"/>
        </w:rPr>
      </w:pPr>
      <w:r w:rsidRPr="009A69B5">
        <w:rPr>
          <w:rFonts w:ascii="Arial" w:eastAsia="Calibri" w:hAnsi="Arial" w:cs="Arial"/>
          <w:bCs/>
          <w:color w:val="000000" w:themeColor="text1"/>
          <w:sz w:val="22"/>
          <w:szCs w:val="22"/>
          <w:lang w:val="es-ES"/>
        </w:rPr>
        <w:t xml:space="preserve">Con base en estas consideraciones la Contraloría General de la República ha dicho que </w:t>
      </w:r>
      <w:r w:rsidRPr="009A69B5">
        <w:rPr>
          <w:rFonts w:ascii="Verdana" w:eastAsia="Calibri" w:hAnsi="Verdana" w:cs="Arial"/>
          <w:bCs/>
          <w:color w:val="000000" w:themeColor="text1"/>
          <w:sz w:val="22"/>
          <w:szCs w:val="22"/>
          <w:lang w:val="es-ES"/>
        </w:rPr>
        <w:t>«</w:t>
      </w:r>
      <w:r w:rsidR="00AB2F61" w:rsidRPr="009A69B5">
        <w:rPr>
          <w:rFonts w:ascii="Arial" w:eastAsia="Calibri" w:hAnsi="Arial" w:cs="Arial"/>
          <w:bCs/>
          <w:color w:val="000000" w:themeColor="text1"/>
          <w:sz w:val="22"/>
          <w:szCs w:val="22"/>
          <w:lang w:val="es-ES"/>
        </w:rPr>
        <w:t>El control social a l</w:t>
      </w:r>
      <w:r w:rsidR="00E201E6" w:rsidRPr="009A69B5">
        <w:rPr>
          <w:rFonts w:ascii="Arial" w:eastAsia="Calibri" w:hAnsi="Arial" w:cs="Arial"/>
          <w:bCs/>
          <w:color w:val="000000" w:themeColor="text1"/>
          <w:sz w:val="22"/>
          <w:szCs w:val="22"/>
          <w:lang w:val="es-ES"/>
        </w:rPr>
        <w:t xml:space="preserve">a contratación pública puede </w:t>
      </w:r>
      <w:r w:rsidR="00BC51F8" w:rsidRPr="009A69B5">
        <w:rPr>
          <w:rFonts w:ascii="Arial" w:eastAsia="Calibri" w:hAnsi="Arial" w:cs="Arial"/>
          <w:bCs/>
          <w:color w:val="000000" w:themeColor="text1"/>
          <w:sz w:val="22"/>
          <w:szCs w:val="22"/>
          <w:lang w:val="es-ES"/>
        </w:rPr>
        <w:t xml:space="preserve">ser </w:t>
      </w:r>
      <w:r w:rsidR="00AB2F61" w:rsidRPr="009A69B5">
        <w:rPr>
          <w:rFonts w:ascii="Arial" w:eastAsia="Calibri" w:hAnsi="Arial" w:cs="Arial"/>
          <w:bCs/>
          <w:color w:val="000000" w:themeColor="text1"/>
          <w:sz w:val="22"/>
          <w:szCs w:val="22"/>
          <w:lang w:val="es-ES"/>
        </w:rPr>
        <w:t>(i) durante la etapa de planeación; (ii) durante la etapa de selección; (iii) durante la etapa de contratación; (iv) durante la etapa de ejecución; y (v) después de la finalización del proceso de compra y contratación</w:t>
      </w:r>
      <w:r w:rsidRPr="009A69B5">
        <w:rPr>
          <w:rFonts w:ascii="Verdana" w:eastAsia="Calibri" w:hAnsi="Verdana" w:cs="Arial"/>
          <w:bCs/>
          <w:color w:val="000000" w:themeColor="text1"/>
          <w:sz w:val="22"/>
          <w:szCs w:val="22"/>
          <w:lang w:val="es-ES"/>
        </w:rPr>
        <w:t>»</w:t>
      </w:r>
      <w:r w:rsidRPr="009A69B5">
        <w:rPr>
          <w:rStyle w:val="Refdenotaalpie"/>
          <w:rFonts w:ascii="Verdana" w:eastAsia="Calibri" w:hAnsi="Verdana" w:cs="Arial"/>
          <w:bCs/>
          <w:color w:val="000000" w:themeColor="text1"/>
          <w:sz w:val="22"/>
          <w:szCs w:val="22"/>
          <w:lang w:val="es-ES"/>
        </w:rPr>
        <w:footnoteReference w:id="8"/>
      </w:r>
      <w:r w:rsidR="00AB2F61" w:rsidRPr="009A69B5">
        <w:rPr>
          <w:rFonts w:ascii="Arial" w:eastAsia="Calibri" w:hAnsi="Arial" w:cs="Arial"/>
          <w:bCs/>
          <w:color w:val="000000" w:themeColor="text1"/>
          <w:sz w:val="22"/>
          <w:szCs w:val="22"/>
          <w:lang w:val="es-ES"/>
        </w:rPr>
        <w:t>.</w:t>
      </w:r>
    </w:p>
    <w:p w14:paraId="0AAF3CAF" w14:textId="2BC264F2" w:rsidR="004C5422" w:rsidRPr="009A69B5" w:rsidRDefault="004C5422" w:rsidP="00FC2EAA">
      <w:pPr>
        <w:tabs>
          <w:tab w:val="left" w:pos="426"/>
        </w:tabs>
        <w:spacing w:after="120" w:line="276" w:lineRule="auto"/>
        <w:ind w:firstLine="709"/>
        <w:jc w:val="both"/>
        <w:rPr>
          <w:rFonts w:ascii="Arial" w:eastAsia="Calibri" w:hAnsi="Arial" w:cs="Arial"/>
          <w:bCs/>
          <w:color w:val="000000" w:themeColor="text1"/>
          <w:sz w:val="22"/>
          <w:szCs w:val="22"/>
          <w:lang w:val="es-ES"/>
        </w:rPr>
      </w:pPr>
      <w:r w:rsidRPr="009A69B5">
        <w:rPr>
          <w:rFonts w:ascii="Arial" w:eastAsia="Calibri" w:hAnsi="Arial" w:cs="Arial"/>
          <w:bCs/>
          <w:color w:val="000000" w:themeColor="text1"/>
          <w:sz w:val="22"/>
          <w:szCs w:val="22"/>
          <w:lang w:val="es-ES"/>
        </w:rPr>
        <w:t xml:space="preserve">Temporalmente, entonces, el primer momento para ejercer el control social a la compra pública y la contratación estatal es durante la etapa de planeación de la entidad. Así, por ejemplo, los sujetos activos del control social podrían empezar a ejercerlo desde la etapa de elaboración del Plan Anual de </w:t>
      </w:r>
      <w:r w:rsidR="00FC346A" w:rsidRPr="009A69B5">
        <w:rPr>
          <w:rFonts w:ascii="Arial" w:eastAsia="Calibri" w:hAnsi="Arial" w:cs="Arial"/>
          <w:bCs/>
          <w:color w:val="000000" w:themeColor="text1"/>
          <w:sz w:val="22"/>
          <w:szCs w:val="22"/>
          <w:lang w:val="es-ES"/>
        </w:rPr>
        <w:t>Adquisiciones</w:t>
      </w:r>
      <w:r w:rsidRPr="009A69B5">
        <w:rPr>
          <w:rFonts w:ascii="Arial" w:eastAsia="Calibri" w:hAnsi="Arial" w:cs="Arial"/>
          <w:bCs/>
          <w:color w:val="000000" w:themeColor="text1"/>
          <w:sz w:val="22"/>
          <w:szCs w:val="22"/>
          <w:lang w:val="es-ES"/>
        </w:rPr>
        <w:t xml:space="preserve"> de que trata el artículo 74 de la Ley 1474 de 2011. Se puede verificar que el plan publicado se haya realizado de manera </w:t>
      </w:r>
      <w:r w:rsidRPr="009A69B5">
        <w:rPr>
          <w:rFonts w:ascii="Arial" w:eastAsia="Calibri" w:hAnsi="Arial" w:cs="Arial"/>
          <w:bCs/>
          <w:color w:val="000000" w:themeColor="text1"/>
          <w:sz w:val="22"/>
          <w:szCs w:val="22"/>
          <w:lang w:val="es-ES"/>
        </w:rPr>
        <w:lastRenderedPageBreak/>
        <w:t xml:space="preserve">transparente y que su contenido, en relación con las contrataciones que se pretenden realizar, se ajuste a las necesidades reales de la entidad y la población. </w:t>
      </w:r>
    </w:p>
    <w:p w14:paraId="662B9B61" w14:textId="3F23290C" w:rsidR="00446522" w:rsidRPr="009A69B5" w:rsidRDefault="004C5422" w:rsidP="00FC2EAA">
      <w:pPr>
        <w:tabs>
          <w:tab w:val="left" w:pos="426"/>
        </w:tabs>
        <w:spacing w:after="120" w:line="276" w:lineRule="auto"/>
        <w:ind w:firstLine="709"/>
        <w:jc w:val="both"/>
        <w:rPr>
          <w:rFonts w:ascii="Arial" w:eastAsia="Calibri" w:hAnsi="Arial" w:cs="Arial"/>
          <w:bCs/>
          <w:color w:val="000000" w:themeColor="text1"/>
          <w:sz w:val="22"/>
          <w:szCs w:val="22"/>
          <w:lang w:val="es-ES"/>
        </w:rPr>
      </w:pPr>
      <w:r w:rsidRPr="009A69B5">
        <w:rPr>
          <w:rFonts w:ascii="Arial" w:eastAsia="Calibri" w:hAnsi="Arial" w:cs="Arial"/>
          <w:bCs/>
          <w:color w:val="000000" w:themeColor="text1"/>
          <w:sz w:val="22"/>
          <w:szCs w:val="22"/>
          <w:lang w:val="es-ES"/>
        </w:rPr>
        <w:t>De igual manera, podría analizarse si los planes y programas diseñados por la entidad, de manera más general, se encaminan a mejorar</w:t>
      </w:r>
      <w:r w:rsidR="00E201E6" w:rsidRPr="009A69B5">
        <w:rPr>
          <w:rFonts w:ascii="Arial" w:eastAsia="Calibri" w:hAnsi="Arial" w:cs="Arial"/>
          <w:bCs/>
          <w:color w:val="000000" w:themeColor="text1"/>
          <w:sz w:val="22"/>
          <w:szCs w:val="22"/>
          <w:lang w:val="es-ES"/>
        </w:rPr>
        <w:t xml:space="preserve"> las condiciones de vida de las personas, y </w:t>
      </w:r>
      <w:r w:rsidRPr="009A69B5">
        <w:rPr>
          <w:rFonts w:ascii="Arial" w:eastAsia="Calibri" w:hAnsi="Arial" w:cs="Arial"/>
          <w:bCs/>
          <w:color w:val="000000" w:themeColor="text1"/>
          <w:sz w:val="22"/>
          <w:szCs w:val="22"/>
          <w:lang w:val="es-ES"/>
        </w:rPr>
        <w:t xml:space="preserve">contienen metas realizables que propendan por el bien común, el cumplimiento de los fines del Estado, y </w:t>
      </w:r>
      <w:r w:rsidR="00E201E6" w:rsidRPr="009A69B5">
        <w:rPr>
          <w:rFonts w:ascii="Arial" w:eastAsia="Calibri" w:hAnsi="Arial" w:cs="Arial"/>
          <w:bCs/>
          <w:color w:val="000000" w:themeColor="text1"/>
          <w:sz w:val="22"/>
          <w:szCs w:val="22"/>
          <w:lang w:val="es-ES"/>
        </w:rPr>
        <w:t>el bienestar de la comunidad.</w:t>
      </w:r>
      <w:r w:rsidRPr="009A69B5">
        <w:rPr>
          <w:rFonts w:ascii="Arial" w:eastAsia="Calibri" w:hAnsi="Arial" w:cs="Arial"/>
          <w:bCs/>
          <w:color w:val="000000" w:themeColor="text1"/>
          <w:sz w:val="22"/>
          <w:szCs w:val="22"/>
          <w:lang w:val="es-ES"/>
        </w:rPr>
        <w:t xml:space="preserve"> </w:t>
      </w:r>
      <w:r w:rsidR="00E201E6" w:rsidRPr="009A69B5">
        <w:rPr>
          <w:rFonts w:ascii="Arial" w:eastAsia="Calibri" w:hAnsi="Arial" w:cs="Arial"/>
          <w:bCs/>
          <w:color w:val="000000" w:themeColor="text1"/>
          <w:sz w:val="22"/>
          <w:szCs w:val="22"/>
          <w:lang w:val="es-ES"/>
        </w:rPr>
        <w:t xml:space="preserve">Los </w:t>
      </w:r>
      <w:r w:rsidRPr="009A69B5">
        <w:rPr>
          <w:rFonts w:ascii="Arial" w:eastAsia="Calibri" w:hAnsi="Arial" w:cs="Arial"/>
          <w:bCs/>
          <w:color w:val="000000" w:themeColor="text1"/>
          <w:sz w:val="22"/>
          <w:szCs w:val="22"/>
          <w:lang w:val="es-ES"/>
        </w:rPr>
        <w:t xml:space="preserve">procedimientos que llevan a la expedición de los </w:t>
      </w:r>
      <w:r w:rsidR="00E201E6" w:rsidRPr="009A69B5">
        <w:rPr>
          <w:rFonts w:ascii="Arial" w:eastAsia="Calibri" w:hAnsi="Arial" w:cs="Arial"/>
          <w:bCs/>
          <w:color w:val="000000" w:themeColor="text1"/>
          <w:sz w:val="22"/>
          <w:szCs w:val="22"/>
          <w:lang w:val="es-ES"/>
        </w:rPr>
        <w:t>planes de desarrollo</w:t>
      </w:r>
      <w:r w:rsidRPr="009A69B5">
        <w:rPr>
          <w:rFonts w:ascii="Arial" w:eastAsia="Calibri" w:hAnsi="Arial" w:cs="Arial"/>
          <w:bCs/>
          <w:color w:val="000000" w:themeColor="text1"/>
          <w:sz w:val="22"/>
          <w:szCs w:val="22"/>
          <w:lang w:val="es-ES"/>
        </w:rPr>
        <w:t>,</w:t>
      </w:r>
      <w:r w:rsidR="00E201E6" w:rsidRPr="009A69B5">
        <w:rPr>
          <w:rFonts w:ascii="Arial" w:eastAsia="Calibri" w:hAnsi="Arial" w:cs="Arial"/>
          <w:bCs/>
          <w:color w:val="000000" w:themeColor="text1"/>
          <w:sz w:val="22"/>
          <w:szCs w:val="22"/>
          <w:lang w:val="es-ES"/>
        </w:rPr>
        <w:t xml:space="preserve"> nacional y regionales, tienen </w:t>
      </w:r>
      <w:r w:rsidRPr="009A69B5">
        <w:rPr>
          <w:rFonts w:ascii="Arial" w:eastAsia="Calibri" w:hAnsi="Arial" w:cs="Arial"/>
          <w:bCs/>
          <w:color w:val="000000" w:themeColor="text1"/>
          <w:sz w:val="22"/>
          <w:szCs w:val="22"/>
          <w:lang w:val="es-ES"/>
        </w:rPr>
        <w:t xml:space="preserve">etapas </w:t>
      </w:r>
      <w:r w:rsidR="00E201E6" w:rsidRPr="009A69B5">
        <w:rPr>
          <w:rFonts w:ascii="Arial" w:eastAsia="Calibri" w:hAnsi="Arial" w:cs="Arial"/>
          <w:bCs/>
          <w:color w:val="000000" w:themeColor="text1"/>
          <w:sz w:val="22"/>
          <w:szCs w:val="22"/>
          <w:lang w:val="es-ES"/>
        </w:rPr>
        <w:t>en l</w:t>
      </w:r>
      <w:r w:rsidRPr="009A69B5">
        <w:rPr>
          <w:rFonts w:ascii="Arial" w:eastAsia="Calibri" w:hAnsi="Arial" w:cs="Arial"/>
          <w:bCs/>
          <w:color w:val="000000" w:themeColor="text1"/>
          <w:sz w:val="22"/>
          <w:szCs w:val="22"/>
          <w:lang w:val="es-ES"/>
        </w:rPr>
        <w:t>a</w:t>
      </w:r>
      <w:r w:rsidR="00E201E6" w:rsidRPr="009A69B5">
        <w:rPr>
          <w:rFonts w:ascii="Arial" w:eastAsia="Calibri" w:hAnsi="Arial" w:cs="Arial"/>
          <w:bCs/>
          <w:color w:val="000000" w:themeColor="text1"/>
          <w:sz w:val="22"/>
          <w:szCs w:val="22"/>
          <w:lang w:val="es-ES"/>
        </w:rPr>
        <w:t xml:space="preserve">s cuales </w:t>
      </w:r>
      <w:r w:rsidRPr="009A69B5">
        <w:rPr>
          <w:rFonts w:ascii="Arial" w:eastAsia="Calibri" w:hAnsi="Arial" w:cs="Arial"/>
          <w:bCs/>
          <w:color w:val="000000" w:themeColor="text1"/>
          <w:sz w:val="22"/>
          <w:szCs w:val="22"/>
          <w:lang w:val="es-ES"/>
        </w:rPr>
        <w:t>hay</w:t>
      </w:r>
      <w:r w:rsidR="00E201E6" w:rsidRPr="009A69B5">
        <w:rPr>
          <w:rFonts w:ascii="Arial" w:eastAsia="Calibri" w:hAnsi="Arial" w:cs="Arial"/>
          <w:bCs/>
          <w:color w:val="000000" w:themeColor="text1"/>
          <w:sz w:val="22"/>
          <w:szCs w:val="22"/>
          <w:lang w:val="es-ES"/>
        </w:rPr>
        <w:t xml:space="preserve"> discusión y participación colectiva</w:t>
      </w:r>
      <w:r w:rsidRPr="009A69B5">
        <w:rPr>
          <w:rFonts w:ascii="Arial" w:eastAsia="Calibri" w:hAnsi="Arial" w:cs="Arial"/>
          <w:bCs/>
          <w:color w:val="000000" w:themeColor="text1"/>
          <w:sz w:val="22"/>
          <w:szCs w:val="22"/>
          <w:lang w:val="es-ES"/>
        </w:rPr>
        <w:t>. Es en estos momentos en los cuales</w:t>
      </w:r>
      <w:r w:rsidR="00E201E6" w:rsidRPr="009A69B5">
        <w:rPr>
          <w:rFonts w:ascii="Arial" w:eastAsia="Calibri" w:hAnsi="Arial" w:cs="Arial"/>
          <w:bCs/>
          <w:color w:val="000000" w:themeColor="text1"/>
          <w:sz w:val="22"/>
          <w:szCs w:val="22"/>
          <w:lang w:val="es-ES"/>
        </w:rPr>
        <w:t xml:space="preserve"> </w:t>
      </w:r>
      <w:r w:rsidRPr="009A69B5">
        <w:rPr>
          <w:rFonts w:ascii="Arial" w:eastAsia="Calibri" w:hAnsi="Arial" w:cs="Arial"/>
          <w:bCs/>
          <w:color w:val="000000" w:themeColor="text1"/>
          <w:sz w:val="22"/>
          <w:szCs w:val="22"/>
          <w:lang w:val="es-ES"/>
        </w:rPr>
        <w:t>e</w:t>
      </w:r>
      <w:r w:rsidR="00E201E6" w:rsidRPr="009A69B5">
        <w:rPr>
          <w:rFonts w:ascii="Arial" w:eastAsia="Calibri" w:hAnsi="Arial" w:cs="Arial"/>
          <w:bCs/>
          <w:color w:val="000000" w:themeColor="text1"/>
          <w:sz w:val="22"/>
          <w:szCs w:val="22"/>
          <w:lang w:val="es-ES"/>
        </w:rPr>
        <w:t>l control</w:t>
      </w:r>
      <w:r w:rsidRPr="009A69B5">
        <w:rPr>
          <w:rFonts w:ascii="Arial" w:eastAsia="Calibri" w:hAnsi="Arial" w:cs="Arial"/>
          <w:bCs/>
          <w:color w:val="000000" w:themeColor="text1"/>
          <w:sz w:val="22"/>
          <w:szCs w:val="22"/>
          <w:lang w:val="es-ES"/>
        </w:rPr>
        <w:t xml:space="preserve"> social sobre la compra pública, futura, puede ser ejercido durante la etapa de planeación</w:t>
      </w:r>
      <w:r w:rsidR="00E201E6" w:rsidRPr="009A69B5">
        <w:rPr>
          <w:rFonts w:ascii="Arial" w:eastAsia="Calibri" w:hAnsi="Arial" w:cs="Arial"/>
          <w:bCs/>
          <w:color w:val="000000" w:themeColor="text1"/>
          <w:sz w:val="22"/>
          <w:szCs w:val="22"/>
          <w:lang w:val="es-ES"/>
        </w:rPr>
        <w:t xml:space="preserve">. </w:t>
      </w:r>
      <w:r w:rsidR="00446522" w:rsidRPr="009A69B5">
        <w:rPr>
          <w:rFonts w:ascii="Arial" w:eastAsia="Calibri" w:hAnsi="Arial" w:cs="Arial"/>
          <w:bCs/>
          <w:color w:val="000000" w:themeColor="text1"/>
          <w:sz w:val="22"/>
          <w:szCs w:val="22"/>
          <w:lang w:val="es-ES"/>
        </w:rPr>
        <w:t>No puede perderse de vista que los planes de desarroll</w:t>
      </w:r>
      <w:r w:rsidR="00FC346A">
        <w:rPr>
          <w:rFonts w:ascii="Arial" w:eastAsia="Calibri" w:hAnsi="Arial" w:cs="Arial"/>
          <w:bCs/>
          <w:color w:val="000000" w:themeColor="text1"/>
          <w:sz w:val="22"/>
          <w:szCs w:val="22"/>
          <w:lang w:val="es-ES"/>
        </w:rPr>
        <w:t>o</w:t>
      </w:r>
      <w:r w:rsidR="00446522" w:rsidRPr="009A69B5">
        <w:rPr>
          <w:rFonts w:ascii="Arial" w:eastAsia="Calibri" w:hAnsi="Arial" w:cs="Arial"/>
          <w:bCs/>
          <w:color w:val="000000" w:themeColor="text1"/>
          <w:sz w:val="22"/>
          <w:szCs w:val="22"/>
          <w:lang w:val="es-ES"/>
        </w:rPr>
        <w:t xml:space="preserve"> definen los planes y proyectos que serán ejecutados durante los respectivos períodos de gobierno, por lo tanto, con ellos se fijan también las posibles necesidades que deberán ser satisfechas a través de la adquisición de bienes, obras y servicios. Por ello, se reitera, </w:t>
      </w:r>
      <w:r w:rsidR="00E201E6" w:rsidRPr="009A69B5">
        <w:rPr>
          <w:rFonts w:ascii="Arial" w:eastAsia="Calibri" w:hAnsi="Arial" w:cs="Arial"/>
          <w:bCs/>
          <w:color w:val="000000" w:themeColor="text1"/>
          <w:sz w:val="22"/>
          <w:szCs w:val="22"/>
          <w:lang w:val="es-ES"/>
        </w:rPr>
        <w:t xml:space="preserve">vigilar la </w:t>
      </w:r>
      <w:r w:rsidR="00446522" w:rsidRPr="009A69B5">
        <w:rPr>
          <w:rFonts w:ascii="Arial" w:eastAsia="Calibri" w:hAnsi="Arial" w:cs="Arial"/>
          <w:bCs/>
          <w:color w:val="000000" w:themeColor="text1"/>
          <w:sz w:val="22"/>
          <w:szCs w:val="22"/>
          <w:lang w:val="es-ES"/>
        </w:rPr>
        <w:t>elaboración</w:t>
      </w:r>
      <w:r w:rsidR="00E201E6" w:rsidRPr="009A69B5">
        <w:rPr>
          <w:rFonts w:ascii="Arial" w:eastAsia="Calibri" w:hAnsi="Arial" w:cs="Arial"/>
          <w:bCs/>
          <w:color w:val="000000" w:themeColor="text1"/>
          <w:sz w:val="22"/>
          <w:szCs w:val="22"/>
          <w:lang w:val="es-ES"/>
        </w:rPr>
        <w:t xml:space="preserve"> de los planes de desarrollo</w:t>
      </w:r>
      <w:r w:rsidR="00446522" w:rsidRPr="009A69B5">
        <w:rPr>
          <w:rFonts w:ascii="Arial" w:eastAsia="Calibri" w:hAnsi="Arial" w:cs="Arial"/>
          <w:bCs/>
          <w:color w:val="000000" w:themeColor="text1"/>
          <w:sz w:val="22"/>
          <w:szCs w:val="22"/>
          <w:lang w:val="es-ES"/>
        </w:rPr>
        <w:t xml:space="preserve"> es también vigilar la contratación, como lo es de manera más directa y obvia la revisión del Plan Anual de Adquisiciones. </w:t>
      </w:r>
    </w:p>
    <w:p w14:paraId="64D5FFDE" w14:textId="28FA32CB" w:rsidR="00654711" w:rsidRPr="009A69B5" w:rsidRDefault="00446522" w:rsidP="00FC2EAA">
      <w:pPr>
        <w:tabs>
          <w:tab w:val="left" w:pos="426"/>
        </w:tabs>
        <w:spacing w:after="120" w:line="276" w:lineRule="auto"/>
        <w:ind w:firstLine="709"/>
        <w:jc w:val="both"/>
        <w:rPr>
          <w:rFonts w:ascii="Arial" w:eastAsia="Calibri" w:hAnsi="Arial" w:cs="Arial"/>
          <w:bCs/>
          <w:color w:val="000000" w:themeColor="text1"/>
          <w:sz w:val="22"/>
          <w:szCs w:val="22"/>
          <w:lang w:val="es-ES"/>
        </w:rPr>
      </w:pPr>
      <w:r w:rsidRPr="009A69B5">
        <w:rPr>
          <w:rFonts w:ascii="Arial" w:eastAsia="Calibri" w:hAnsi="Arial" w:cs="Arial"/>
          <w:bCs/>
          <w:color w:val="000000" w:themeColor="text1"/>
          <w:sz w:val="22"/>
          <w:szCs w:val="22"/>
          <w:lang w:val="es-ES"/>
        </w:rPr>
        <w:t>Pasada la etapa de planeación, se inicia la etapa de selección de los contratistas</w:t>
      </w:r>
      <w:r w:rsidR="00B27D52">
        <w:rPr>
          <w:rFonts w:ascii="Arial" w:eastAsia="Calibri" w:hAnsi="Arial" w:cs="Arial"/>
          <w:bCs/>
          <w:color w:val="000000" w:themeColor="text1"/>
          <w:sz w:val="22"/>
          <w:szCs w:val="22"/>
          <w:lang w:val="es-ES"/>
        </w:rPr>
        <w:t>.</w:t>
      </w:r>
      <w:r w:rsidRPr="009A69B5">
        <w:rPr>
          <w:rFonts w:ascii="Arial" w:eastAsia="Calibri" w:hAnsi="Arial" w:cs="Arial"/>
          <w:bCs/>
          <w:color w:val="000000" w:themeColor="text1"/>
          <w:sz w:val="22"/>
          <w:szCs w:val="22"/>
          <w:lang w:val="es-ES"/>
        </w:rPr>
        <w:t xml:space="preserve"> </w:t>
      </w:r>
      <w:r w:rsidR="00B27D52">
        <w:rPr>
          <w:rFonts w:ascii="Arial" w:eastAsia="Calibri" w:hAnsi="Arial" w:cs="Arial"/>
          <w:bCs/>
          <w:color w:val="000000" w:themeColor="text1"/>
          <w:sz w:val="22"/>
          <w:szCs w:val="22"/>
          <w:lang w:val="es-ES"/>
        </w:rPr>
        <w:t>E</w:t>
      </w:r>
      <w:r w:rsidR="00654711" w:rsidRPr="009A69B5">
        <w:rPr>
          <w:rFonts w:ascii="Arial" w:eastAsia="Calibri" w:hAnsi="Arial" w:cs="Arial"/>
          <w:bCs/>
          <w:color w:val="000000" w:themeColor="text1"/>
          <w:sz w:val="22"/>
          <w:szCs w:val="22"/>
          <w:lang w:val="es-ES"/>
        </w:rPr>
        <w:t>stos procedimientos, en tanto procedimientos administrativos</w:t>
      </w:r>
      <w:r w:rsidR="00462D4E" w:rsidRPr="009A69B5">
        <w:rPr>
          <w:rStyle w:val="Refdenotaalpie"/>
          <w:rFonts w:ascii="Arial" w:hAnsi="Arial" w:cs="Arial"/>
          <w:color w:val="000000"/>
          <w:sz w:val="21"/>
          <w:szCs w:val="21"/>
          <w:lang w:val="es-ES" w:eastAsia="es-CO"/>
        </w:rPr>
        <w:footnoteReference w:id="9"/>
      </w:r>
      <w:r w:rsidR="00654711" w:rsidRPr="009A69B5">
        <w:rPr>
          <w:rFonts w:ascii="Arial" w:eastAsia="Calibri" w:hAnsi="Arial" w:cs="Arial"/>
          <w:bCs/>
          <w:color w:val="000000" w:themeColor="text1"/>
          <w:sz w:val="22"/>
          <w:szCs w:val="22"/>
          <w:lang w:val="es-ES"/>
        </w:rPr>
        <w:t>, son públicos, así como son públicos todos los documentos que se profieren con ocasión de ellos, salvo las excepciones legales</w:t>
      </w:r>
      <w:r w:rsidR="00654711" w:rsidRPr="009A69B5">
        <w:rPr>
          <w:rStyle w:val="Refdenotaalpie"/>
          <w:rFonts w:ascii="Arial" w:eastAsia="Calibri" w:hAnsi="Arial" w:cs="Arial"/>
          <w:bCs/>
          <w:color w:val="000000" w:themeColor="text1"/>
          <w:sz w:val="22"/>
          <w:szCs w:val="22"/>
          <w:lang w:val="es-ES"/>
        </w:rPr>
        <w:footnoteReference w:id="10"/>
      </w:r>
      <w:r w:rsidR="001E0719">
        <w:rPr>
          <w:rFonts w:ascii="Arial" w:eastAsia="Calibri" w:hAnsi="Arial" w:cs="Arial"/>
          <w:bCs/>
          <w:color w:val="000000" w:themeColor="text1"/>
          <w:sz w:val="22"/>
          <w:szCs w:val="22"/>
          <w:lang w:val="es-ES"/>
        </w:rPr>
        <w:t>.</w:t>
      </w:r>
      <w:r w:rsidR="00654711" w:rsidRPr="009A69B5">
        <w:rPr>
          <w:rFonts w:ascii="Arial" w:eastAsia="Calibri" w:hAnsi="Arial" w:cs="Arial"/>
          <w:bCs/>
          <w:color w:val="000000" w:themeColor="text1"/>
          <w:sz w:val="22"/>
          <w:szCs w:val="22"/>
          <w:lang w:val="es-ES"/>
        </w:rPr>
        <w:t xml:space="preserve"> Esta publicidad de los procedimientos de selección conlleva, desde una perspectiva legal y constitucional, que cualquier ciudadano tiene la posibilidad de participar  en el procedimiento y la gestión, presentar observaciones, asistir a las audiencias públicas, y solicitar a la entidad información y acceso a los documentos del proceso de contratación</w:t>
      </w:r>
      <w:r w:rsidR="00654711" w:rsidRPr="009A69B5">
        <w:rPr>
          <w:rStyle w:val="Refdenotaalpie"/>
          <w:rFonts w:ascii="Arial" w:eastAsia="Calibri" w:hAnsi="Arial" w:cs="Arial"/>
          <w:bCs/>
          <w:color w:val="000000" w:themeColor="text1"/>
          <w:sz w:val="22"/>
          <w:szCs w:val="22"/>
          <w:lang w:val="es-ES"/>
        </w:rPr>
        <w:footnoteReference w:id="11"/>
      </w:r>
      <w:r w:rsidR="001E0719">
        <w:rPr>
          <w:rFonts w:ascii="Arial" w:eastAsia="Calibri" w:hAnsi="Arial" w:cs="Arial"/>
          <w:bCs/>
          <w:color w:val="000000" w:themeColor="text1"/>
          <w:sz w:val="22"/>
          <w:szCs w:val="22"/>
          <w:lang w:val="es-ES"/>
        </w:rPr>
        <w:t>.</w:t>
      </w:r>
      <w:r w:rsidR="00654711" w:rsidRPr="009A69B5">
        <w:rPr>
          <w:rFonts w:ascii="Arial" w:eastAsia="Calibri" w:hAnsi="Arial" w:cs="Arial"/>
          <w:bCs/>
          <w:color w:val="000000" w:themeColor="text1"/>
          <w:sz w:val="22"/>
          <w:szCs w:val="22"/>
          <w:lang w:val="es-ES"/>
        </w:rPr>
        <w:t xml:space="preserve"> </w:t>
      </w:r>
    </w:p>
    <w:p w14:paraId="0E9370FE" w14:textId="066020CE" w:rsidR="00654711" w:rsidRPr="009A69B5" w:rsidRDefault="00654711" w:rsidP="00FC2EAA">
      <w:pPr>
        <w:tabs>
          <w:tab w:val="left" w:pos="426"/>
        </w:tabs>
        <w:spacing w:after="120" w:line="276" w:lineRule="auto"/>
        <w:ind w:firstLine="709"/>
        <w:jc w:val="both"/>
        <w:rPr>
          <w:rFonts w:ascii="Arial" w:eastAsia="Calibri" w:hAnsi="Arial" w:cs="Arial"/>
          <w:bCs/>
          <w:color w:val="000000" w:themeColor="text1"/>
          <w:sz w:val="22"/>
          <w:szCs w:val="22"/>
          <w:lang w:val="es-ES"/>
        </w:rPr>
      </w:pPr>
      <w:r w:rsidRPr="009A69B5">
        <w:rPr>
          <w:rFonts w:ascii="Arial" w:eastAsia="Calibri" w:hAnsi="Arial" w:cs="Arial"/>
          <w:bCs/>
          <w:color w:val="000000" w:themeColor="text1"/>
          <w:sz w:val="22"/>
          <w:szCs w:val="22"/>
          <w:lang w:val="es-ES"/>
        </w:rPr>
        <w:t xml:space="preserve">Adicionalmente, se debe poner de presente que el legislador ha decidido otorgar un mayor grado de transparencia a los procedimientos de selección de contratistas, si se comparan con otros aspectos de la gestión pública. En este ámbito no existe transparencia solamente pasiva, en donde los ciudadanos pueden requerir información y documentación, </w:t>
      </w:r>
      <w:r w:rsidRPr="009A69B5">
        <w:rPr>
          <w:rFonts w:ascii="Arial" w:eastAsia="Calibri" w:hAnsi="Arial" w:cs="Arial"/>
          <w:bCs/>
          <w:color w:val="000000" w:themeColor="text1"/>
          <w:sz w:val="22"/>
          <w:szCs w:val="22"/>
          <w:lang w:val="es-ES"/>
        </w:rPr>
        <w:lastRenderedPageBreak/>
        <w:t>sino también transparencia en sentido activo, esto es, que la entidad se encuentra obligada a publicar toda la documentación de los procesos de selección en el SECOP y en la página web de la entidad contratante</w:t>
      </w:r>
      <w:r w:rsidR="00923F0D">
        <w:rPr>
          <w:rFonts w:ascii="Arial" w:eastAsia="Calibri" w:hAnsi="Arial" w:cs="Arial"/>
          <w:bCs/>
          <w:color w:val="000000" w:themeColor="text1"/>
          <w:sz w:val="22"/>
          <w:szCs w:val="22"/>
          <w:lang w:val="es-ES"/>
        </w:rPr>
        <w:t>,</w:t>
      </w:r>
      <w:r w:rsidRPr="009A69B5">
        <w:rPr>
          <w:rFonts w:ascii="Arial" w:eastAsia="Calibri" w:hAnsi="Arial" w:cs="Arial"/>
          <w:bCs/>
          <w:color w:val="000000" w:themeColor="text1"/>
          <w:sz w:val="22"/>
          <w:szCs w:val="22"/>
          <w:lang w:val="es-ES"/>
        </w:rPr>
        <w:t xml:space="preserve"> sin que ningún ciudadano así lo solicite.</w:t>
      </w:r>
    </w:p>
    <w:p w14:paraId="0C644150" w14:textId="11F3CA90" w:rsidR="00654711" w:rsidRPr="009A69B5" w:rsidRDefault="00654711" w:rsidP="00FC2EAA">
      <w:pPr>
        <w:tabs>
          <w:tab w:val="left" w:pos="426"/>
        </w:tabs>
        <w:spacing w:after="120" w:line="276" w:lineRule="auto"/>
        <w:ind w:firstLine="709"/>
        <w:jc w:val="both"/>
        <w:rPr>
          <w:rFonts w:ascii="Arial" w:eastAsia="Calibri" w:hAnsi="Arial" w:cs="Arial"/>
          <w:bCs/>
          <w:color w:val="000000" w:themeColor="text1"/>
          <w:sz w:val="22"/>
          <w:szCs w:val="22"/>
          <w:lang w:val="es-ES"/>
        </w:rPr>
      </w:pPr>
      <w:r w:rsidRPr="009A69B5">
        <w:rPr>
          <w:rFonts w:ascii="Arial" w:eastAsia="Calibri" w:hAnsi="Arial" w:cs="Arial"/>
          <w:bCs/>
          <w:color w:val="000000" w:themeColor="text1"/>
          <w:sz w:val="22"/>
          <w:szCs w:val="22"/>
          <w:lang w:val="es-ES"/>
        </w:rPr>
        <w:t xml:space="preserve">Lo anterior, claro está, no se opone a la faceta que se ha denominado pasiva de la transparencia, pues </w:t>
      </w:r>
      <w:r w:rsidR="00462D4E" w:rsidRPr="009A69B5">
        <w:rPr>
          <w:rFonts w:ascii="Arial" w:eastAsia="Calibri" w:hAnsi="Arial" w:cs="Arial"/>
          <w:bCs/>
          <w:color w:val="000000" w:themeColor="text1"/>
          <w:sz w:val="22"/>
          <w:szCs w:val="22"/>
          <w:lang w:val="es-ES"/>
        </w:rPr>
        <w:t>cualquier persona sigue habilitada para presentar peticiones respetuosas ante las autoridades que adelantan procedimientos de selección de conformidad con las normas del Código de Procedimiento Administrativo y de lo Contencioso Administrativo</w:t>
      </w:r>
      <w:r w:rsidR="00462D4E" w:rsidRPr="009A69B5">
        <w:rPr>
          <w:rStyle w:val="Refdenotaalpie"/>
          <w:rFonts w:ascii="Arial" w:eastAsia="Calibri" w:hAnsi="Arial" w:cs="Arial"/>
          <w:bCs/>
          <w:color w:val="000000" w:themeColor="text1"/>
          <w:sz w:val="22"/>
          <w:szCs w:val="22"/>
          <w:lang w:val="es-ES"/>
        </w:rPr>
        <w:footnoteReference w:id="12"/>
      </w:r>
      <w:r w:rsidR="00FC346A">
        <w:rPr>
          <w:rFonts w:ascii="Arial" w:eastAsia="Calibri" w:hAnsi="Arial" w:cs="Arial"/>
          <w:bCs/>
          <w:color w:val="000000" w:themeColor="text1"/>
          <w:sz w:val="22"/>
          <w:szCs w:val="22"/>
          <w:lang w:val="es-ES"/>
        </w:rPr>
        <w:t>.</w:t>
      </w:r>
      <w:r w:rsidR="00462D4E" w:rsidRPr="009A69B5">
        <w:rPr>
          <w:rFonts w:ascii="Arial" w:eastAsia="Calibri" w:hAnsi="Arial" w:cs="Arial"/>
          <w:bCs/>
          <w:color w:val="000000" w:themeColor="text1"/>
          <w:sz w:val="22"/>
          <w:szCs w:val="22"/>
          <w:lang w:val="es-ES"/>
        </w:rPr>
        <w:t xml:space="preserve"> </w:t>
      </w:r>
    </w:p>
    <w:p w14:paraId="42AF8F38" w14:textId="16216E6D" w:rsidR="00462D4E" w:rsidRPr="009A69B5" w:rsidRDefault="00462D4E" w:rsidP="00FC2EAA">
      <w:pPr>
        <w:tabs>
          <w:tab w:val="left" w:pos="426"/>
        </w:tabs>
        <w:spacing w:after="120" w:line="276" w:lineRule="auto"/>
        <w:ind w:firstLine="709"/>
        <w:jc w:val="both"/>
        <w:rPr>
          <w:rFonts w:ascii="Arial" w:eastAsia="Calibri" w:hAnsi="Arial" w:cs="Arial"/>
          <w:bCs/>
          <w:color w:val="000000" w:themeColor="text1"/>
          <w:sz w:val="22"/>
          <w:szCs w:val="22"/>
          <w:lang w:val="es-ES"/>
        </w:rPr>
      </w:pPr>
      <w:r w:rsidRPr="009A69B5">
        <w:rPr>
          <w:rFonts w:ascii="Arial" w:eastAsia="Calibri" w:hAnsi="Arial" w:cs="Arial"/>
          <w:bCs/>
          <w:color w:val="000000" w:themeColor="text1"/>
          <w:sz w:val="22"/>
          <w:szCs w:val="22"/>
          <w:lang w:val="es-ES"/>
        </w:rPr>
        <w:t>Es importante recordar que los procedimiento</w:t>
      </w:r>
      <w:r w:rsidR="00FC346A">
        <w:rPr>
          <w:rFonts w:ascii="Arial" w:eastAsia="Calibri" w:hAnsi="Arial" w:cs="Arial"/>
          <w:bCs/>
          <w:color w:val="000000" w:themeColor="text1"/>
          <w:sz w:val="22"/>
          <w:szCs w:val="22"/>
          <w:lang w:val="es-ES"/>
        </w:rPr>
        <w:t>s</w:t>
      </w:r>
      <w:r w:rsidRPr="009A69B5">
        <w:rPr>
          <w:rFonts w:ascii="Arial" w:eastAsia="Calibri" w:hAnsi="Arial" w:cs="Arial"/>
          <w:bCs/>
          <w:color w:val="000000" w:themeColor="text1"/>
          <w:sz w:val="22"/>
          <w:szCs w:val="22"/>
          <w:lang w:val="es-ES"/>
        </w:rPr>
        <w:t xml:space="preserve"> de selección de contratistas son procedimientos administrativos y de conformidad con el artículo 77 de la Ley 80 de 1993, las normas sobre procedimiento general del código son aplicables a las actuaciones contractuales </w:t>
      </w:r>
      <w:r w:rsidRPr="009A69B5">
        <w:rPr>
          <w:rFonts w:ascii="Verdana" w:hAnsi="Verdana" w:cs="Arial"/>
          <w:color w:val="000000"/>
          <w:sz w:val="22"/>
          <w:szCs w:val="22"/>
          <w:lang w:val="es-ES" w:eastAsia="es-CO"/>
        </w:rPr>
        <w:t>«</w:t>
      </w:r>
      <w:r w:rsidRPr="009A69B5">
        <w:rPr>
          <w:rFonts w:ascii="Arial" w:hAnsi="Arial" w:cs="Arial"/>
          <w:color w:val="000000"/>
          <w:sz w:val="22"/>
          <w:szCs w:val="22"/>
          <w:lang w:val="es-ES" w:eastAsia="es-CO"/>
        </w:rPr>
        <w:t xml:space="preserve">[E]n cuanto sean compatibles con la finalidad y los principios de esta ley </w:t>
      </w:r>
      <w:r w:rsidR="00872D78">
        <w:rPr>
          <w:rFonts w:ascii="Arial" w:hAnsi="Arial" w:cs="Arial"/>
          <w:color w:val="000000"/>
          <w:sz w:val="22"/>
          <w:szCs w:val="22"/>
          <w:lang w:val="es-ES" w:eastAsia="es-CO"/>
        </w:rPr>
        <w:t>[</w:t>
      </w:r>
      <w:r w:rsidRPr="009A69B5">
        <w:rPr>
          <w:rFonts w:ascii="Arial" w:hAnsi="Arial" w:cs="Arial"/>
          <w:color w:val="000000"/>
          <w:sz w:val="22"/>
          <w:szCs w:val="22"/>
          <w:lang w:val="es-ES" w:eastAsia="es-CO"/>
        </w:rPr>
        <w:t>…</w:t>
      </w:r>
      <w:r w:rsidR="00872D78">
        <w:rPr>
          <w:rFonts w:ascii="Arial" w:hAnsi="Arial" w:cs="Arial"/>
          <w:color w:val="000000"/>
          <w:sz w:val="22"/>
          <w:szCs w:val="22"/>
          <w:lang w:val="es-ES" w:eastAsia="es-CO"/>
        </w:rPr>
        <w:t>]</w:t>
      </w:r>
      <w:r w:rsidRPr="009A69B5">
        <w:rPr>
          <w:rFonts w:ascii="Verdana" w:hAnsi="Verdana" w:cs="Arial"/>
          <w:color w:val="000000"/>
          <w:sz w:val="22"/>
          <w:szCs w:val="22"/>
          <w:lang w:val="es-ES" w:eastAsia="es-CO"/>
        </w:rPr>
        <w:t>»</w:t>
      </w:r>
      <w:r w:rsidRPr="009A69B5">
        <w:rPr>
          <w:rFonts w:ascii="Arial" w:hAnsi="Arial" w:cs="Arial"/>
          <w:color w:val="000000"/>
          <w:sz w:val="22"/>
          <w:szCs w:val="22"/>
          <w:lang w:val="es-ES" w:eastAsia="es-CO"/>
        </w:rPr>
        <w:t xml:space="preserve">. </w:t>
      </w:r>
    </w:p>
    <w:p w14:paraId="72FC831F" w14:textId="360D10BF" w:rsidR="00462D4E" w:rsidRPr="009A69B5" w:rsidRDefault="00462D4E" w:rsidP="00FC2EAA">
      <w:pPr>
        <w:tabs>
          <w:tab w:val="left" w:pos="426"/>
        </w:tabs>
        <w:spacing w:after="120" w:line="276" w:lineRule="auto"/>
        <w:ind w:firstLine="709"/>
        <w:jc w:val="both"/>
        <w:rPr>
          <w:rFonts w:ascii="Arial" w:eastAsia="Calibri" w:hAnsi="Arial" w:cs="Arial"/>
          <w:bCs/>
          <w:color w:val="000000" w:themeColor="text1"/>
          <w:sz w:val="22"/>
          <w:szCs w:val="22"/>
          <w:lang w:val="es-ES"/>
        </w:rPr>
      </w:pPr>
      <w:r w:rsidRPr="009A69B5">
        <w:rPr>
          <w:rFonts w:ascii="Arial" w:eastAsia="Calibri" w:hAnsi="Arial" w:cs="Arial"/>
          <w:bCs/>
          <w:color w:val="000000" w:themeColor="text1"/>
          <w:sz w:val="22"/>
          <w:szCs w:val="22"/>
          <w:lang w:val="es-ES"/>
        </w:rPr>
        <w:t xml:space="preserve">Luego, si se hace una interpretación </w:t>
      </w:r>
      <w:r w:rsidR="00FC346A">
        <w:rPr>
          <w:rFonts w:ascii="Arial" w:eastAsia="Calibri" w:hAnsi="Arial" w:cs="Arial"/>
          <w:bCs/>
          <w:color w:val="000000" w:themeColor="text1"/>
          <w:sz w:val="22"/>
          <w:szCs w:val="22"/>
          <w:lang w:val="es-ES"/>
        </w:rPr>
        <w:t>sistemática</w:t>
      </w:r>
      <w:r w:rsidRPr="009A69B5">
        <w:rPr>
          <w:rFonts w:ascii="Arial" w:eastAsia="Calibri" w:hAnsi="Arial" w:cs="Arial"/>
          <w:bCs/>
          <w:color w:val="000000" w:themeColor="text1"/>
          <w:sz w:val="22"/>
          <w:szCs w:val="22"/>
          <w:lang w:val="es-ES"/>
        </w:rPr>
        <w:t xml:space="preserve"> del ordenamiento, es entonces posible concluir que cualquier persona puede presentar observaciones dentro de un procedimiento de selección sin necesidad de</w:t>
      </w:r>
      <w:r w:rsidR="00077166" w:rsidRPr="009A69B5">
        <w:rPr>
          <w:rFonts w:ascii="Arial" w:eastAsia="Calibri" w:hAnsi="Arial" w:cs="Arial"/>
          <w:bCs/>
          <w:color w:val="000000" w:themeColor="text1"/>
          <w:sz w:val="22"/>
          <w:szCs w:val="22"/>
          <w:lang w:val="es-ES"/>
        </w:rPr>
        <w:t xml:space="preserve"> ser proponente y la entidad es</w:t>
      </w:r>
      <w:r w:rsidRPr="009A69B5">
        <w:rPr>
          <w:rFonts w:ascii="Arial" w:eastAsia="Calibri" w:hAnsi="Arial" w:cs="Arial"/>
          <w:bCs/>
          <w:color w:val="000000" w:themeColor="text1"/>
          <w:sz w:val="22"/>
          <w:szCs w:val="22"/>
          <w:lang w:val="es-ES"/>
        </w:rPr>
        <w:t xml:space="preserve">tá en la obligación de responder en virtud de las normas generales sobre derecho de petición y procedimiento administrativo. </w:t>
      </w:r>
    </w:p>
    <w:p w14:paraId="0C25A1C8" w14:textId="7544D430" w:rsidR="00462D4E" w:rsidRPr="009A69B5" w:rsidRDefault="00462D4E" w:rsidP="00FC2EAA">
      <w:pPr>
        <w:tabs>
          <w:tab w:val="left" w:pos="426"/>
        </w:tabs>
        <w:spacing w:after="120" w:line="276" w:lineRule="auto"/>
        <w:ind w:firstLine="709"/>
        <w:jc w:val="both"/>
        <w:rPr>
          <w:rFonts w:ascii="Arial" w:hAnsi="Arial" w:cs="Arial"/>
          <w:color w:val="000000"/>
          <w:sz w:val="22"/>
          <w:szCs w:val="22"/>
          <w:lang w:val="es-ES" w:eastAsia="es-CO"/>
        </w:rPr>
      </w:pPr>
      <w:r w:rsidRPr="009A69B5">
        <w:rPr>
          <w:rFonts w:ascii="Arial" w:hAnsi="Arial" w:cs="Arial"/>
          <w:color w:val="000000"/>
          <w:sz w:val="22"/>
          <w:szCs w:val="22"/>
          <w:lang w:val="es-ES" w:eastAsia="es-CO"/>
        </w:rPr>
        <w:t xml:space="preserve">Sin embargo, las normas generales del CPACA deben integrarse en los procedimientos de selección de contratistas sin desconocer </w:t>
      </w:r>
      <w:r w:rsidR="00F70946">
        <w:rPr>
          <w:rFonts w:ascii="Arial" w:hAnsi="Arial" w:cs="Arial"/>
          <w:color w:val="000000"/>
          <w:sz w:val="22"/>
          <w:szCs w:val="22"/>
          <w:lang w:val="es-ES" w:eastAsia="es-CO"/>
        </w:rPr>
        <w:t>sus</w:t>
      </w:r>
      <w:r w:rsidRPr="009A69B5">
        <w:rPr>
          <w:rFonts w:ascii="Arial" w:hAnsi="Arial" w:cs="Arial"/>
          <w:color w:val="000000"/>
          <w:sz w:val="22"/>
          <w:szCs w:val="22"/>
          <w:lang w:val="es-ES" w:eastAsia="es-CO"/>
        </w:rPr>
        <w:t xml:space="preserve"> etapas propias o desestructurar</w:t>
      </w:r>
      <w:r w:rsidR="008F68A9" w:rsidRPr="009A69B5">
        <w:rPr>
          <w:rFonts w:ascii="Arial" w:hAnsi="Arial" w:cs="Arial"/>
          <w:color w:val="000000"/>
          <w:sz w:val="22"/>
          <w:szCs w:val="22"/>
          <w:lang w:val="es-ES" w:eastAsia="es-CO"/>
        </w:rPr>
        <w:t>lo</w:t>
      </w:r>
      <w:r w:rsidR="00FC346A">
        <w:rPr>
          <w:rFonts w:ascii="Arial" w:hAnsi="Arial" w:cs="Arial"/>
          <w:color w:val="000000"/>
          <w:sz w:val="22"/>
          <w:szCs w:val="22"/>
          <w:lang w:val="es-ES" w:eastAsia="es-CO"/>
        </w:rPr>
        <w:t>s</w:t>
      </w:r>
      <w:r w:rsidRPr="009A69B5">
        <w:rPr>
          <w:rFonts w:ascii="Arial" w:hAnsi="Arial" w:cs="Arial"/>
          <w:color w:val="000000"/>
          <w:sz w:val="22"/>
          <w:szCs w:val="22"/>
          <w:lang w:val="es-ES" w:eastAsia="es-CO"/>
        </w:rPr>
        <w:t xml:space="preserve"> por completo, por ejemplo, </w:t>
      </w:r>
      <w:r w:rsidR="008F68A9" w:rsidRPr="009A69B5">
        <w:rPr>
          <w:rFonts w:ascii="Arial" w:hAnsi="Arial" w:cs="Arial"/>
          <w:color w:val="000000"/>
          <w:sz w:val="22"/>
          <w:szCs w:val="22"/>
          <w:lang w:val="es-ES" w:eastAsia="es-CO"/>
        </w:rPr>
        <w:t xml:space="preserve">como consecuencia de la necesidad de respetar </w:t>
      </w:r>
      <w:r w:rsidRPr="009A69B5">
        <w:rPr>
          <w:rFonts w:ascii="Arial" w:hAnsi="Arial" w:cs="Arial"/>
          <w:color w:val="000000"/>
          <w:sz w:val="22"/>
          <w:szCs w:val="22"/>
          <w:lang w:val="es-ES" w:eastAsia="es-CO"/>
        </w:rPr>
        <w:t xml:space="preserve">los términos del Código. </w:t>
      </w:r>
      <w:r w:rsidR="008F68A9" w:rsidRPr="009A69B5">
        <w:rPr>
          <w:rFonts w:ascii="Arial" w:hAnsi="Arial" w:cs="Arial"/>
          <w:color w:val="000000"/>
          <w:sz w:val="22"/>
          <w:szCs w:val="22"/>
          <w:lang w:val="es-ES" w:eastAsia="es-CO"/>
        </w:rPr>
        <w:t xml:space="preserve">En otras palabras, si un ciudadano ejerce su derecho de petición, </w:t>
      </w:r>
      <w:r w:rsidR="006727B4">
        <w:rPr>
          <w:rFonts w:ascii="Arial" w:hAnsi="Arial" w:cs="Arial"/>
          <w:color w:val="000000"/>
          <w:sz w:val="22"/>
          <w:szCs w:val="22"/>
          <w:lang w:val="es-ES" w:eastAsia="es-CO"/>
        </w:rPr>
        <w:t>este ejercicio</w:t>
      </w:r>
      <w:r w:rsidR="008F68A9" w:rsidRPr="009A69B5">
        <w:rPr>
          <w:rFonts w:ascii="Arial" w:hAnsi="Arial" w:cs="Arial"/>
          <w:color w:val="000000"/>
          <w:sz w:val="22"/>
          <w:szCs w:val="22"/>
          <w:lang w:val="es-ES" w:eastAsia="es-CO"/>
        </w:rPr>
        <w:t xml:space="preserve"> no puede convertirse en un impedimento para continuar a la etapa </w:t>
      </w:r>
      <w:r w:rsidR="008F68A9" w:rsidRPr="009A69B5">
        <w:rPr>
          <w:rFonts w:ascii="Arial" w:hAnsi="Arial" w:cs="Arial"/>
          <w:color w:val="000000"/>
          <w:sz w:val="22"/>
          <w:szCs w:val="22"/>
          <w:lang w:val="es-ES" w:eastAsia="es-CO"/>
        </w:rPr>
        <w:lastRenderedPageBreak/>
        <w:t>subsiguiente del trámite</w:t>
      </w:r>
      <w:r w:rsidR="00F70946">
        <w:rPr>
          <w:rFonts w:ascii="Arial" w:hAnsi="Arial" w:cs="Arial"/>
          <w:color w:val="000000"/>
          <w:sz w:val="22"/>
          <w:szCs w:val="22"/>
          <w:lang w:val="es-ES" w:eastAsia="es-CO"/>
        </w:rPr>
        <w:t xml:space="preserve"> del proceso de selección</w:t>
      </w:r>
      <w:r w:rsidR="008F68A9" w:rsidRPr="009A69B5">
        <w:rPr>
          <w:rFonts w:ascii="Arial" w:hAnsi="Arial" w:cs="Arial"/>
          <w:color w:val="000000"/>
          <w:sz w:val="22"/>
          <w:szCs w:val="22"/>
          <w:lang w:val="es-ES" w:eastAsia="es-CO"/>
        </w:rPr>
        <w:t xml:space="preserve">. No obstante, se advierte, si se trata de una petición en la cual se </w:t>
      </w:r>
      <w:r w:rsidR="00F70946">
        <w:rPr>
          <w:rFonts w:ascii="Arial" w:hAnsi="Arial" w:cs="Arial"/>
          <w:color w:val="000000"/>
          <w:sz w:val="22"/>
          <w:szCs w:val="22"/>
          <w:lang w:val="es-ES" w:eastAsia="es-CO"/>
        </w:rPr>
        <w:t>indican</w:t>
      </w:r>
      <w:r w:rsidR="008F68A9" w:rsidRPr="009A69B5">
        <w:rPr>
          <w:rFonts w:ascii="Arial" w:hAnsi="Arial" w:cs="Arial"/>
          <w:color w:val="000000"/>
          <w:sz w:val="22"/>
          <w:szCs w:val="22"/>
          <w:lang w:val="es-ES" w:eastAsia="es-CO"/>
        </w:rPr>
        <w:t xml:space="preserve"> irregularidades en el trámite, la autoridad deberá ser cuidadosa y</w:t>
      </w:r>
      <w:r w:rsidR="008332FB">
        <w:rPr>
          <w:rFonts w:ascii="Arial" w:hAnsi="Arial" w:cs="Arial"/>
          <w:color w:val="000000"/>
          <w:sz w:val="22"/>
          <w:szCs w:val="22"/>
          <w:lang w:val="es-ES" w:eastAsia="es-CO"/>
        </w:rPr>
        <w:t>,</w:t>
      </w:r>
      <w:r w:rsidR="008F68A9" w:rsidRPr="009A69B5">
        <w:rPr>
          <w:rFonts w:ascii="Arial" w:hAnsi="Arial" w:cs="Arial"/>
          <w:color w:val="000000"/>
          <w:sz w:val="22"/>
          <w:szCs w:val="22"/>
          <w:lang w:val="es-ES" w:eastAsia="es-CO"/>
        </w:rPr>
        <w:t xml:space="preserve"> sin desestructurar el procedimiento</w:t>
      </w:r>
      <w:r w:rsidR="008332FB">
        <w:rPr>
          <w:rFonts w:ascii="Arial" w:hAnsi="Arial" w:cs="Arial"/>
          <w:color w:val="000000"/>
          <w:sz w:val="22"/>
          <w:szCs w:val="22"/>
          <w:lang w:val="es-ES" w:eastAsia="es-CO"/>
        </w:rPr>
        <w:t>,</w:t>
      </w:r>
      <w:r w:rsidR="008F68A9" w:rsidRPr="009A69B5">
        <w:rPr>
          <w:rFonts w:ascii="Arial" w:hAnsi="Arial" w:cs="Arial"/>
          <w:color w:val="000000"/>
          <w:sz w:val="22"/>
          <w:szCs w:val="22"/>
          <w:lang w:val="es-ES" w:eastAsia="es-CO"/>
        </w:rPr>
        <w:t xml:space="preserve"> podrá buscar dar resolución a las inquietudes ciudadanas. </w:t>
      </w:r>
    </w:p>
    <w:p w14:paraId="6985C0F1" w14:textId="6838A19A" w:rsidR="00C92657" w:rsidRPr="009A69B5" w:rsidRDefault="008332FB" w:rsidP="00FC2EAA">
      <w:pPr>
        <w:tabs>
          <w:tab w:val="left" w:pos="426"/>
        </w:tabs>
        <w:spacing w:after="120" w:line="276" w:lineRule="auto"/>
        <w:ind w:firstLine="709"/>
        <w:jc w:val="both"/>
        <w:rPr>
          <w:rFonts w:ascii="Arial" w:eastAsia="Calibri" w:hAnsi="Arial" w:cs="Arial"/>
          <w:bCs/>
          <w:color w:val="000000" w:themeColor="text1"/>
          <w:sz w:val="22"/>
          <w:szCs w:val="22"/>
          <w:lang w:val="es-ES"/>
        </w:rPr>
      </w:pPr>
      <w:r>
        <w:rPr>
          <w:rFonts w:ascii="Arial" w:hAnsi="Arial" w:cs="Arial"/>
          <w:color w:val="000000"/>
          <w:sz w:val="22"/>
          <w:szCs w:val="22"/>
          <w:lang w:val="es-ES" w:eastAsia="es-CO"/>
        </w:rPr>
        <w:t>C</w:t>
      </w:r>
      <w:r w:rsidR="008F68A9" w:rsidRPr="009A69B5">
        <w:rPr>
          <w:rFonts w:ascii="Arial" w:hAnsi="Arial" w:cs="Arial"/>
          <w:color w:val="000000"/>
          <w:sz w:val="22"/>
          <w:szCs w:val="22"/>
          <w:lang w:val="es-ES" w:eastAsia="es-CO"/>
        </w:rPr>
        <w:t xml:space="preserve">omo se señaló en un aparte diferente de este concepto, una de las maneras para concretar el control social, en tanto derecho, es a través de la presentación de denuncias ante las autoridades competentes. Por lo mismo, durante el procedimiento de selección de contratistas los ciudadanos podrán ejercer este derecho para solicitar </w:t>
      </w:r>
      <w:r w:rsidR="008F68A9" w:rsidRPr="009A69B5">
        <w:rPr>
          <w:rFonts w:ascii="Arial" w:eastAsia="Calibri" w:hAnsi="Arial" w:cs="Arial"/>
          <w:bCs/>
          <w:color w:val="000000" w:themeColor="text1"/>
          <w:sz w:val="22"/>
          <w:szCs w:val="22"/>
          <w:lang w:val="es-ES"/>
        </w:rPr>
        <w:t xml:space="preserve">la </w:t>
      </w:r>
      <w:r w:rsidR="00E32A9C" w:rsidRPr="009A69B5">
        <w:rPr>
          <w:rFonts w:ascii="Arial" w:eastAsia="Calibri" w:hAnsi="Arial" w:cs="Arial"/>
          <w:bCs/>
          <w:color w:val="000000" w:themeColor="text1"/>
          <w:sz w:val="22"/>
          <w:szCs w:val="22"/>
          <w:lang w:val="es-ES"/>
        </w:rPr>
        <w:t>vigilancia o acompañamiento de los órganos de control, tales como las personerías, la Procuraduría General de la Nación, la Contraloría General de la República o las contralorías departamentales o municipales; o</w:t>
      </w:r>
      <w:r w:rsidR="008F68A9" w:rsidRPr="009A69B5">
        <w:rPr>
          <w:rFonts w:ascii="Arial" w:eastAsia="Calibri" w:hAnsi="Arial" w:cs="Arial"/>
          <w:bCs/>
          <w:color w:val="000000" w:themeColor="text1"/>
          <w:sz w:val="22"/>
          <w:szCs w:val="22"/>
          <w:lang w:val="es-ES"/>
        </w:rPr>
        <w:t xml:space="preserve"> presentar denuncias</w:t>
      </w:r>
      <w:r w:rsidR="00E32A9C" w:rsidRPr="009A69B5">
        <w:rPr>
          <w:rFonts w:ascii="Arial" w:eastAsia="Calibri" w:hAnsi="Arial" w:cs="Arial"/>
          <w:bCs/>
          <w:color w:val="000000" w:themeColor="text1"/>
          <w:sz w:val="22"/>
          <w:szCs w:val="22"/>
          <w:lang w:val="es-ES"/>
        </w:rPr>
        <w:t xml:space="preserve"> ante la Fiscalía General de la República para la investigación de delitos. </w:t>
      </w:r>
    </w:p>
    <w:p w14:paraId="167FA5D8" w14:textId="18F31436" w:rsidR="008F68A9" w:rsidRPr="009A69B5" w:rsidRDefault="00F70946" w:rsidP="00FC2EAA">
      <w:pPr>
        <w:tabs>
          <w:tab w:val="left" w:pos="426"/>
        </w:tabs>
        <w:spacing w:after="120" w:line="276" w:lineRule="auto"/>
        <w:ind w:firstLine="709"/>
        <w:jc w:val="both"/>
        <w:rPr>
          <w:rFonts w:ascii="Arial" w:eastAsia="Calibri" w:hAnsi="Arial" w:cs="Arial"/>
          <w:bCs/>
          <w:color w:val="000000" w:themeColor="text1"/>
          <w:sz w:val="22"/>
          <w:szCs w:val="22"/>
          <w:lang w:val="es-ES"/>
        </w:rPr>
      </w:pPr>
      <w:r>
        <w:rPr>
          <w:rFonts w:ascii="Arial" w:eastAsia="Calibri" w:hAnsi="Arial" w:cs="Arial"/>
          <w:bCs/>
          <w:color w:val="000000" w:themeColor="text1"/>
          <w:sz w:val="22"/>
          <w:szCs w:val="22"/>
          <w:lang w:val="es-ES"/>
        </w:rPr>
        <w:t>E</w:t>
      </w:r>
      <w:r w:rsidR="008F68A9" w:rsidRPr="009A69B5">
        <w:rPr>
          <w:rFonts w:ascii="Arial" w:eastAsia="Calibri" w:hAnsi="Arial" w:cs="Arial"/>
          <w:bCs/>
          <w:color w:val="000000" w:themeColor="text1"/>
          <w:sz w:val="22"/>
          <w:szCs w:val="22"/>
          <w:lang w:val="es-ES"/>
        </w:rPr>
        <w:t>n ejercicio de sus derechos constitucionales, los ciudadanos pueden ejercer control social sobre el trámite incluso vigilando y realizando peticiones sobre</w:t>
      </w:r>
      <w:r w:rsidR="00E874C5" w:rsidRPr="009A69B5">
        <w:rPr>
          <w:rFonts w:ascii="Arial" w:eastAsia="Calibri" w:hAnsi="Arial" w:cs="Arial"/>
          <w:bCs/>
          <w:color w:val="000000" w:themeColor="text1"/>
          <w:sz w:val="22"/>
          <w:szCs w:val="22"/>
          <w:lang w:val="es-ES"/>
        </w:rPr>
        <w:t xml:space="preserve"> documentos tales como</w:t>
      </w:r>
      <w:r w:rsidR="008F68A9" w:rsidRPr="009A69B5">
        <w:rPr>
          <w:rFonts w:ascii="Arial" w:eastAsia="Calibri" w:hAnsi="Arial" w:cs="Arial"/>
          <w:bCs/>
          <w:color w:val="000000" w:themeColor="text1"/>
          <w:sz w:val="22"/>
          <w:szCs w:val="22"/>
          <w:lang w:val="es-ES"/>
        </w:rPr>
        <w:t xml:space="preserve"> el informe de evaluación, las propuestas presentadas, la motivación de los actos administrativos de adjudicación, y pueden también acudir a las audiencias públicas, o interponer acciones judiciales ante los jueces competentes. </w:t>
      </w:r>
    </w:p>
    <w:p w14:paraId="1D18E9A8" w14:textId="35EE57F2" w:rsidR="008F68A9" w:rsidRPr="009A69B5" w:rsidRDefault="008F68A9" w:rsidP="00FC2EAA">
      <w:pPr>
        <w:tabs>
          <w:tab w:val="left" w:pos="426"/>
        </w:tabs>
        <w:spacing w:after="120" w:line="276" w:lineRule="auto"/>
        <w:ind w:firstLine="709"/>
        <w:jc w:val="both"/>
        <w:rPr>
          <w:rFonts w:ascii="Arial" w:eastAsia="Calibri" w:hAnsi="Arial" w:cs="Arial"/>
          <w:bCs/>
          <w:color w:val="000000" w:themeColor="text1"/>
          <w:sz w:val="22"/>
          <w:szCs w:val="22"/>
          <w:lang w:val="es-ES"/>
        </w:rPr>
      </w:pPr>
      <w:r w:rsidRPr="009A69B5">
        <w:rPr>
          <w:rFonts w:ascii="Arial" w:eastAsia="Calibri" w:hAnsi="Arial" w:cs="Arial"/>
          <w:bCs/>
          <w:color w:val="000000" w:themeColor="text1"/>
          <w:sz w:val="22"/>
          <w:szCs w:val="22"/>
          <w:lang w:val="es-ES"/>
        </w:rPr>
        <w:t xml:space="preserve">No obstante, se reitera, en especial </w:t>
      </w:r>
      <w:r w:rsidR="00E874C5" w:rsidRPr="009A69B5">
        <w:rPr>
          <w:rFonts w:ascii="Arial" w:eastAsia="Calibri" w:hAnsi="Arial" w:cs="Arial"/>
          <w:bCs/>
          <w:color w:val="000000" w:themeColor="text1"/>
          <w:sz w:val="22"/>
          <w:szCs w:val="22"/>
          <w:lang w:val="es-ES"/>
        </w:rPr>
        <w:t>sobre</w:t>
      </w:r>
      <w:r w:rsidRPr="009A69B5">
        <w:rPr>
          <w:rFonts w:ascii="Arial" w:eastAsia="Calibri" w:hAnsi="Arial" w:cs="Arial"/>
          <w:bCs/>
          <w:color w:val="000000" w:themeColor="text1"/>
          <w:sz w:val="22"/>
          <w:szCs w:val="22"/>
          <w:lang w:val="es-ES"/>
        </w:rPr>
        <w:t xml:space="preserve"> el derecho de petición, </w:t>
      </w:r>
      <w:r w:rsidR="00E874C5" w:rsidRPr="009A69B5">
        <w:rPr>
          <w:rFonts w:ascii="Arial" w:eastAsia="Calibri" w:hAnsi="Arial" w:cs="Arial"/>
          <w:bCs/>
          <w:color w:val="000000" w:themeColor="text1"/>
          <w:sz w:val="22"/>
          <w:szCs w:val="22"/>
          <w:lang w:val="es-ES"/>
        </w:rPr>
        <w:t>que su ejercicio</w:t>
      </w:r>
      <w:r w:rsidRPr="009A69B5">
        <w:rPr>
          <w:rFonts w:ascii="Arial" w:eastAsia="Calibri" w:hAnsi="Arial" w:cs="Arial"/>
          <w:bCs/>
          <w:color w:val="000000" w:themeColor="text1"/>
          <w:sz w:val="22"/>
          <w:szCs w:val="22"/>
          <w:lang w:val="es-ES"/>
        </w:rPr>
        <w:t xml:space="preserve"> no puede llevar a</w:t>
      </w:r>
      <w:r w:rsidR="00F70946">
        <w:rPr>
          <w:rFonts w:ascii="Arial" w:eastAsia="Calibri" w:hAnsi="Arial" w:cs="Arial"/>
          <w:bCs/>
          <w:color w:val="000000" w:themeColor="text1"/>
          <w:sz w:val="22"/>
          <w:szCs w:val="22"/>
          <w:lang w:val="es-ES"/>
        </w:rPr>
        <w:t xml:space="preserve"> desestructurar </w:t>
      </w:r>
      <w:r w:rsidRPr="009A69B5">
        <w:rPr>
          <w:rFonts w:ascii="Arial" w:eastAsia="Calibri" w:hAnsi="Arial" w:cs="Arial"/>
          <w:bCs/>
          <w:color w:val="000000" w:themeColor="text1"/>
          <w:sz w:val="22"/>
          <w:szCs w:val="22"/>
          <w:lang w:val="es-ES"/>
        </w:rPr>
        <w:t>el proceso de selección, pues ello daría al traste con sus objetivos</w:t>
      </w:r>
      <w:r w:rsidR="00E874C5" w:rsidRPr="009A69B5">
        <w:rPr>
          <w:rFonts w:ascii="Arial" w:eastAsia="Calibri" w:hAnsi="Arial" w:cs="Arial"/>
          <w:bCs/>
          <w:color w:val="000000" w:themeColor="text1"/>
          <w:sz w:val="22"/>
          <w:szCs w:val="22"/>
          <w:lang w:val="es-ES"/>
        </w:rPr>
        <w:t xml:space="preserve"> y las finalidades de la contratación estatal</w:t>
      </w:r>
      <w:r w:rsidRPr="009A69B5">
        <w:rPr>
          <w:rFonts w:ascii="Arial" w:eastAsia="Calibri" w:hAnsi="Arial" w:cs="Arial"/>
          <w:bCs/>
          <w:color w:val="000000" w:themeColor="text1"/>
          <w:sz w:val="22"/>
          <w:szCs w:val="22"/>
          <w:lang w:val="es-ES"/>
        </w:rPr>
        <w:t xml:space="preserve">. En </w:t>
      </w:r>
      <w:r w:rsidR="00E874C5" w:rsidRPr="009A69B5">
        <w:rPr>
          <w:rFonts w:ascii="Arial" w:eastAsia="Calibri" w:hAnsi="Arial" w:cs="Arial"/>
          <w:bCs/>
          <w:color w:val="000000" w:themeColor="text1"/>
          <w:sz w:val="22"/>
          <w:szCs w:val="22"/>
          <w:lang w:val="es-ES"/>
        </w:rPr>
        <w:t>ese</w:t>
      </w:r>
      <w:r w:rsidRPr="009A69B5">
        <w:rPr>
          <w:rFonts w:ascii="Arial" w:eastAsia="Calibri" w:hAnsi="Arial" w:cs="Arial"/>
          <w:bCs/>
          <w:color w:val="000000" w:themeColor="text1"/>
          <w:sz w:val="22"/>
          <w:szCs w:val="22"/>
          <w:lang w:val="es-ES"/>
        </w:rPr>
        <w:t xml:space="preserve"> sentido, </w:t>
      </w:r>
      <w:r w:rsidR="00E874C5" w:rsidRPr="009A69B5">
        <w:rPr>
          <w:rFonts w:ascii="Arial" w:eastAsia="Calibri" w:hAnsi="Arial" w:cs="Arial"/>
          <w:bCs/>
          <w:color w:val="000000" w:themeColor="text1"/>
          <w:sz w:val="22"/>
          <w:szCs w:val="22"/>
          <w:lang w:val="es-ES"/>
        </w:rPr>
        <w:t xml:space="preserve">se recuerda que </w:t>
      </w:r>
      <w:r w:rsidRPr="009A69B5">
        <w:rPr>
          <w:rFonts w:ascii="Arial" w:eastAsia="Calibri" w:hAnsi="Arial" w:cs="Arial"/>
          <w:bCs/>
          <w:color w:val="000000" w:themeColor="text1"/>
          <w:sz w:val="22"/>
          <w:szCs w:val="22"/>
          <w:lang w:val="es-ES"/>
        </w:rPr>
        <w:t>los ciudadanos pueden ejercer control social</w:t>
      </w:r>
      <w:r w:rsidR="00E874C5" w:rsidRPr="009A69B5">
        <w:rPr>
          <w:rFonts w:ascii="Arial" w:eastAsia="Calibri" w:hAnsi="Arial" w:cs="Arial"/>
          <w:bCs/>
          <w:color w:val="000000" w:themeColor="text1"/>
          <w:sz w:val="22"/>
          <w:szCs w:val="22"/>
          <w:lang w:val="es-ES"/>
        </w:rPr>
        <w:t xml:space="preserve"> sobre el procedimiento de selección, pero no son parte del mismo. Podría decirse que los ciudadanos ejercen sus derechos sobre, pero no dentro d</w:t>
      </w:r>
      <w:r w:rsidRPr="009A69B5">
        <w:rPr>
          <w:rFonts w:ascii="Arial" w:eastAsia="Calibri" w:hAnsi="Arial" w:cs="Arial"/>
          <w:bCs/>
          <w:color w:val="000000" w:themeColor="text1"/>
          <w:sz w:val="22"/>
          <w:szCs w:val="22"/>
          <w:lang w:val="es-ES"/>
        </w:rPr>
        <w:t>el procedimiento</w:t>
      </w:r>
      <w:r w:rsidR="00E874C5" w:rsidRPr="009A69B5">
        <w:rPr>
          <w:rFonts w:ascii="Arial" w:eastAsia="Calibri" w:hAnsi="Arial" w:cs="Arial"/>
          <w:bCs/>
          <w:color w:val="000000" w:themeColor="text1"/>
          <w:sz w:val="22"/>
          <w:szCs w:val="22"/>
          <w:lang w:val="es-ES"/>
        </w:rPr>
        <w:t xml:space="preserve"> de selección</w:t>
      </w:r>
      <w:r w:rsidRPr="009A69B5">
        <w:rPr>
          <w:rFonts w:ascii="Arial" w:eastAsia="Calibri" w:hAnsi="Arial" w:cs="Arial"/>
          <w:bCs/>
          <w:color w:val="000000" w:themeColor="text1"/>
          <w:sz w:val="22"/>
          <w:szCs w:val="22"/>
          <w:lang w:val="es-ES"/>
        </w:rPr>
        <w:t xml:space="preserve">. </w:t>
      </w:r>
    </w:p>
    <w:p w14:paraId="5307E348" w14:textId="7AF2F2E0" w:rsidR="00E32A9C" w:rsidRPr="009A69B5" w:rsidRDefault="00E32A9C" w:rsidP="00FC2EAA">
      <w:pPr>
        <w:tabs>
          <w:tab w:val="left" w:pos="426"/>
        </w:tabs>
        <w:spacing w:after="120" w:line="276" w:lineRule="auto"/>
        <w:jc w:val="both"/>
        <w:rPr>
          <w:rFonts w:ascii="Arial" w:eastAsia="Calibri" w:hAnsi="Arial" w:cs="Arial"/>
          <w:bCs/>
          <w:color w:val="000000" w:themeColor="text1"/>
          <w:sz w:val="22"/>
          <w:szCs w:val="22"/>
          <w:lang w:val="es-ES"/>
        </w:rPr>
      </w:pPr>
      <w:r w:rsidRPr="009A69B5">
        <w:rPr>
          <w:rFonts w:ascii="Arial" w:eastAsia="Calibri" w:hAnsi="Arial" w:cs="Arial"/>
          <w:bCs/>
          <w:color w:val="000000" w:themeColor="text1"/>
          <w:sz w:val="22"/>
          <w:szCs w:val="22"/>
          <w:lang w:val="es-ES"/>
        </w:rPr>
        <w:tab/>
      </w:r>
      <w:r w:rsidRPr="009A69B5">
        <w:rPr>
          <w:rFonts w:ascii="Arial" w:eastAsia="Calibri" w:hAnsi="Arial" w:cs="Arial"/>
          <w:bCs/>
          <w:color w:val="000000" w:themeColor="text1"/>
          <w:sz w:val="22"/>
          <w:szCs w:val="22"/>
          <w:lang w:val="es-ES"/>
        </w:rPr>
        <w:tab/>
      </w:r>
      <w:r w:rsidR="00E874C5" w:rsidRPr="009A69B5">
        <w:rPr>
          <w:rFonts w:ascii="Arial" w:eastAsia="Calibri" w:hAnsi="Arial" w:cs="Arial"/>
          <w:bCs/>
          <w:color w:val="000000" w:themeColor="text1"/>
          <w:sz w:val="22"/>
          <w:szCs w:val="22"/>
          <w:lang w:val="es-ES"/>
        </w:rPr>
        <w:t xml:space="preserve">Durante el perfeccionamiento del </w:t>
      </w:r>
      <w:r w:rsidR="002C191F">
        <w:rPr>
          <w:rFonts w:ascii="Arial" w:eastAsia="Calibri" w:hAnsi="Arial" w:cs="Arial"/>
          <w:bCs/>
          <w:color w:val="000000" w:themeColor="text1"/>
          <w:sz w:val="22"/>
          <w:szCs w:val="22"/>
          <w:lang w:val="es-ES"/>
        </w:rPr>
        <w:t>c</w:t>
      </w:r>
      <w:r w:rsidR="00E874C5" w:rsidRPr="009A69B5">
        <w:rPr>
          <w:rFonts w:ascii="Arial" w:eastAsia="Calibri" w:hAnsi="Arial" w:cs="Arial"/>
          <w:bCs/>
          <w:color w:val="000000" w:themeColor="text1"/>
          <w:sz w:val="22"/>
          <w:szCs w:val="22"/>
          <w:lang w:val="es-ES"/>
        </w:rPr>
        <w:t>ontrato y su suscripción el control social puede ser ejercido a través de la vigilancia sobre la</w:t>
      </w:r>
      <w:r w:rsidRPr="009A69B5">
        <w:rPr>
          <w:rFonts w:ascii="Arial" w:eastAsia="Calibri" w:hAnsi="Arial" w:cs="Arial"/>
          <w:bCs/>
          <w:color w:val="000000" w:themeColor="text1"/>
          <w:sz w:val="22"/>
          <w:szCs w:val="22"/>
          <w:lang w:val="es-ES"/>
        </w:rPr>
        <w:t xml:space="preserve"> información </w:t>
      </w:r>
      <w:r w:rsidR="00E874C5" w:rsidRPr="009A69B5">
        <w:rPr>
          <w:rFonts w:ascii="Arial" w:eastAsia="Calibri" w:hAnsi="Arial" w:cs="Arial"/>
          <w:bCs/>
          <w:color w:val="000000" w:themeColor="text1"/>
          <w:sz w:val="22"/>
          <w:szCs w:val="22"/>
          <w:lang w:val="es-ES"/>
        </w:rPr>
        <w:t>relacionada con</w:t>
      </w:r>
      <w:r w:rsidRPr="009A69B5">
        <w:rPr>
          <w:rFonts w:ascii="Arial" w:eastAsia="Calibri" w:hAnsi="Arial" w:cs="Arial"/>
          <w:bCs/>
          <w:color w:val="000000" w:themeColor="text1"/>
          <w:sz w:val="22"/>
          <w:szCs w:val="22"/>
          <w:lang w:val="es-ES"/>
        </w:rPr>
        <w:t xml:space="preserve"> la constitución y aprobación de las garantías, el cumplimiento de los requisitos para la ejecución, la designación del supervisor o la contratación del interventor. </w:t>
      </w:r>
      <w:r w:rsidR="00E874C5" w:rsidRPr="009A69B5">
        <w:rPr>
          <w:rFonts w:ascii="Arial" w:eastAsia="Calibri" w:hAnsi="Arial" w:cs="Arial"/>
          <w:bCs/>
          <w:color w:val="000000" w:themeColor="text1"/>
          <w:sz w:val="22"/>
          <w:szCs w:val="22"/>
          <w:lang w:val="es-ES"/>
        </w:rPr>
        <w:t>En este punto podrán presentarse denuncias por violaciones al régimen</w:t>
      </w:r>
      <w:r w:rsidRPr="009A69B5">
        <w:rPr>
          <w:rFonts w:ascii="Arial" w:eastAsia="Calibri" w:hAnsi="Arial" w:cs="Arial"/>
          <w:bCs/>
          <w:color w:val="000000" w:themeColor="text1"/>
          <w:sz w:val="22"/>
          <w:szCs w:val="22"/>
          <w:lang w:val="es-ES"/>
        </w:rPr>
        <w:t xml:space="preserve"> de inhabilidades </w:t>
      </w:r>
      <w:r w:rsidR="00E874C5" w:rsidRPr="009A69B5">
        <w:rPr>
          <w:rFonts w:ascii="Arial" w:eastAsia="Calibri" w:hAnsi="Arial" w:cs="Arial"/>
          <w:bCs/>
          <w:color w:val="000000" w:themeColor="text1"/>
          <w:sz w:val="22"/>
          <w:szCs w:val="22"/>
          <w:lang w:val="es-ES"/>
        </w:rPr>
        <w:t>e</w:t>
      </w:r>
      <w:r w:rsidRPr="009A69B5">
        <w:rPr>
          <w:rFonts w:ascii="Arial" w:eastAsia="Calibri" w:hAnsi="Arial" w:cs="Arial"/>
          <w:bCs/>
          <w:color w:val="000000" w:themeColor="text1"/>
          <w:sz w:val="22"/>
          <w:szCs w:val="22"/>
          <w:lang w:val="es-ES"/>
        </w:rPr>
        <w:t xml:space="preserve"> incompatibilidades, por el indebido ejercicio de la función pública en beneficio particular, por la celebración de contratos sin el lleno de los requisitos legales, y por la desviación de recursos públicos</w:t>
      </w:r>
      <w:r w:rsidR="003A765C" w:rsidRPr="009A69B5">
        <w:rPr>
          <w:rStyle w:val="Refdenotaalpie"/>
          <w:rFonts w:ascii="Arial" w:eastAsia="Calibri" w:hAnsi="Arial" w:cs="Arial"/>
          <w:bCs/>
          <w:color w:val="000000" w:themeColor="text1"/>
          <w:sz w:val="22"/>
          <w:szCs w:val="22"/>
          <w:lang w:val="es-ES"/>
        </w:rPr>
        <w:footnoteReference w:id="13"/>
      </w:r>
      <w:r w:rsidRPr="009A69B5">
        <w:rPr>
          <w:rFonts w:ascii="Arial" w:eastAsia="Calibri" w:hAnsi="Arial" w:cs="Arial"/>
          <w:bCs/>
          <w:color w:val="000000" w:themeColor="text1"/>
          <w:sz w:val="22"/>
          <w:szCs w:val="22"/>
          <w:lang w:val="es-ES"/>
        </w:rPr>
        <w:t xml:space="preserve">. </w:t>
      </w:r>
    </w:p>
    <w:p w14:paraId="73048F9C" w14:textId="555C74D5" w:rsidR="00FC2EAA" w:rsidRPr="009A69B5" w:rsidRDefault="00E32A9C" w:rsidP="00FC2EAA">
      <w:pPr>
        <w:tabs>
          <w:tab w:val="left" w:pos="426"/>
        </w:tabs>
        <w:spacing w:after="120" w:line="276" w:lineRule="auto"/>
        <w:jc w:val="both"/>
        <w:rPr>
          <w:rFonts w:ascii="Arial" w:eastAsia="Calibri" w:hAnsi="Arial" w:cs="Arial"/>
          <w:bCs/>
          <w:color w:val="000000" w:themeColor="text1"/>
          <w:sz w:val="22"/>
          <w:szCs w:val="22"/>
          <w:lang w:val="es-ES"/>
        </w:rPr>
      </w:pPr>
      <w:r w:rsidRPr="009A69B5">
        <w:rPr>
          <w:rFonts w:ascii="Arial" w:eastAsia="Calibri" w:hAnsi="Arial" w:cs="Arial"/>
          <w:bCs/>
          <w:color w:val="000000" w:themeColor="text1"/>
          <w:sz w:val="22"/>
          <w:szCs w:val="22"/>
          <w:lang w:val="es-ES"/>
        </w:rPr>
        <w:tab/>
      </w:r>
      <w:r w:rsidRPr="009A69B5">
        <w:rPr>
          <w:rFonts w:ascii="Arial" w:eastAsia="Calibri" w:hAnsi="Arial" w:cs="Arial"/>
          <w:bCs/>
          <w:color w:val="000000" w:themeColor="text1"/>
          <w:sz w:val="22"/>
          <w:szCs w:val="22"/>
          <w:lang w:val="es-ES"/>
        </w:rPr>
        <w:tab/>
      </w:r>
      <w:r w:rsidR="00FC2EAA" w:rsidRPr="009A69B5">
        <w:rPr>
          <w:rFonts w:ascii="Arial" w:eastAsia="Calibri" w:hAnsi="Arial" w:cs="Arial"/>
          <w:bCs/>
          <w:color w:val="000000" w:themeColor="text1"/>
          <w:sz w:val="22"/>
          <w:szCs w:val="22"/>
          <w:lang w:val="es-ES"/>
        </w:rPr>
        <w:t xml:space="preserve">En la etapa de </w:t>
      </w:r>
      <w:r w:rsidRPr="009A69B5">
        <w:rPr>
          <w:rFonts w:ascii="Arial" w:eastAsia="Calibri" w:hAnsi="Arial" w:cs="Arial"/>
          <w:bCs/>
          <w:color w:val="000000" w:themeColor="text1"/>
          <w:sz w:val="22"/>
          <w:szCs w:val="22"/>
          <w:lang w:val="es-ES"/>
        </w:rPr>
        <w:t xml:space="preserve">ejecución del contrato, los ciudadanos en ejercicio del control </w:t>
      </w:r>
      <w:r w:rsidR="00FC2EAA" w:rsidRPr="009A69B5">
        <w:rPr>
          <w:rFonts w:ascii="Arial" w:eastAsia="Calibri" w:hAnsi="Arial" w:cs="Arial"/>
          <w:bCs/>
          <w:color w:val="000000" w:themeColor="text1"/>
          <w:sz w:val="22"/>
          <w:szCs w:val="22"/>
          <w:lang w:val="es-ES"/>
        </w:rPr>
        <w:t>pueden</w:t>
      </w:r>
      <w:r w:rsidRPr="009A69B5">
        <w:rPr>
          <w:rFonts w:ascii="Arial" w:eastAsia="Calibri" w:hAnsi="Arial" w:cs="Arial"/>
          <w:bCs/>
          <w:color w:val="000000" w:themeColor="text1"/>
          <w:sz w:val="22"/>
          <w:szCs w:val="22"/>
          <w:lang w:val="es-ES"/>
        </w:rPr>
        <w:t xml:space="preserve"> solicitar información </w:t>
      </w:r>
      <w:r w:rsidR="00FC2EAA" w:rsidRPr="009A69B5">
        <w:rPr>
          <w:rFonts w:ascii="Arial" w:eastAsia="Calibri" w:hAnsi="Arial" w:cs="Arial"/>
          <w:bCs/>
          <w:color w:val="000000" w:themeColor="text1"/>
          <w:sz w:val="22"/>
          <w:szCs w:val="22"/>
          <w:lang w:val="es-ES"/>
        </w:rPr>
        <w:t>relacionada con</w:t>
      </w:r>
      <w:r w:rsidRPr="009A69B5">
        <w:rPr>
          <w:rFonts w:ascii="Arial" w:eastAsia="Calibri" w:hAnsi="Arial" w:cs="Arial"/>
          <w:bCs/>
          <w:color w:val="000000" w:themeColor="text1"/>
          <w:sz w:val="22"/>
          <w:szCs w:val="22"/>
          <w:lang w:val="es-ES"/>
        </w:rPr>
        <w:t xml:space="preserve"> el avance de la ejecución de los contratos y el </w:t>
      </w:r>
      <w:r w:rsidRPr="009A69B5">
        <w:rPr>
          <w:rFonts w:ascii="Arial" w:eastAsia="Calibri" w:hAnsi="Arial" w:cs="Arial"/>
          <w:bCs/>
          <w:color w:val="000000" w:themeColor="text1"/>
          <w:sz w:val="22"/>
          <w:szCs w:val="22"/>
          <w:lang w:val="es-ES"/>
        </w:rPr>
        <w:lastRenderedPageBreak/>
        <w:t xml:space="preserve">resultado de los mismos. </w:t>
      </w:r>
      <w:r w:rsidR="00FC2EAA" w:rsidRPr="009A69B5">
        <w:rPr>
          <w:rFonts w:ascii="Arial" w:eastAsia="Calibri" w:hAnsi="Arial" w:cs="Arial"/>
          <w:bCs/>
          <w:color w:val="000000" w:themeColor="text1"/>
          <w:sz w:val="22"/>
          <w:szCs w:val="22"/>
          <w:lang w:val="es-ES"/>
        </w:rPr>
        <w:t xml:space="preserve">Por </w:t>
      </w:r>
      <w:r w:rsidR="003A765C">
        <w:rPr>
          <w:rFonts w:ascii="Arial" w:eastAsia="Calibri" w:hAnsi="Arial" w:cs="Arial"/>
          <w:bCs/>
          <w:color w:val="000000" w:themeColor="text1"/>
          <w:sz w:val="22"/>
          <w:szCs w:val="22"/>
          <w:lang w:val="es-ES"/>
        </w:rPr>
        <w:t>ello</w:t>
      </w:r>
      <w:r w:rsidR="00FC2EAA" w:rsidRPr="009A69B5">
        <w:rPr>
          <w:rFonts w:ascii="Arial" w:eastAsia="Calibri" w:hAnsi="Arial" w:cs="Arial"/>
          <w:bCs/>
          <w:color w:val="000000" w:themeColor="text1"/>
          <w:sz w:val="22"/>
          <w:szCs w:val="22"/>
          <w:lang w:val="es-ES"/>
        </w:rPr>
        <w:t xml:space="preserve">, durante esta etapa, complementando el ejercicio de la labor de los organismos de control, los ciudadanos pueden verificar de manera </w:t>
      </w:r>
      <w:r w:rsidR="00F70946" w:rsidRPr="009A69B5">
        <w:rPr>
          <w:rFonts w:ascii="Arial" w:eastAsia="Calibri" w:hAnsi="Arial" w:cs="Arial"/>
          <w:bCs/>
          <w:color w:val="000000" w:themeColor="text1"/>
          <w:sz w:val="22"/>
          <w:szCs w:val="22"/>
          <w:lang w:val="es-ES"/>
        </w:rPr>
        <w:t>permanente</w:t>
      </w:r>
      <w:r w:rsidR="00FC2EAA" w:rsidRPr="009A69B5">
        <w:rPr>
          <w:rFonts w:ascii="Arial" w:eastAsia="Calibri" w:hAnsi="Arial" w:cs="Arial"/>
          <w:bCs/>
          <w:color w:val="000000" w:themeColor="text1"/>
          <w:sz w:val="22"/>
          <w:szCs w:val="22"/>
          <w:lang w:val="es-ES"/>
        </w:rPr>
        <w:t xml:space="preserve"> que el objeto contractual se esté desarrollando de conformidad con lo pactado entre la entidad y el contratista, esto es, dentro de los plazos, condiciones técnicas, financieras, sociales, etc. </w:t>
      </w:r>
      <w:r w:rsidRPr="009A69B5">
        <w:rPr>
          <w:rFonts w:ascii="Arial" w:eastAsia="Calibri" w:hAnsi="Arial" w:cs="Arial"/>
          <w:bCs/>
          <w:color w:val="000000" w:themeColor="text1"/>
          <w:sz w:val="22"/>
          <w:szCs w:val="22"/>
          <w:lang w:val="es-ES"/>
        </w:rPr>
        <w:t xml:space="preserve">También pueden </w:t>
      </w:r>
      <w:r w:rsidR="00FC2EAA" w:rsidRPr="009A69B5">
        <w:rPr>
          <w:rFonts w:ascii="Arial" w:eastAsia="Calibri" w:hAnsi="Arial" w:cs="Arial"/>
          <w:bCs/>
          <w:color w:val="000000" w:themeColor="text1"/>
          <w:sz w:val="22"/>
          <w:szCs w:val="22"/>
          <w:lang w:val="es-ES"/>
        </w:rPr>
        <w:t>presentar</w:t>
      </w:r>
      <w:r w:rsidRPr="009A69B5">
        <w:rPr>
          <w:rFonts w:ascii="Arial" w:eastAsia="Calibri" w:hAnsi="Arial" w:cs="Arial"/>
          <w:bCs/>
          <w:color w:val="000000" w:themeColor="text1"/>
          <w:sz w:val="22"/>
          <w:szCs w:val="22"/>
          <w:lang w:val="es-ES"/>
        </w:rPr>
        <w:t xml:space="preserve"> peticiones al supervisor o interventor del contrato</w:t>
      </w:r>
      <w:r w:rsidR="00FC2EAA" w:rsidRPr="009A69B5">
        <w:rPr>
          <w:rFonts w:ascii="Arial" w:eastAsia="Calibri" w:hAnsi="Arial" w:cs="Arial"/>
          <w:bCs/>
          <w:color w:val="000000" w:themeColor="text1"/>
          <w:sz w:val="22"/>
          <w:szCs w:val="22"/>
          <w:lang w:val="es-ES"/>
        </w:rPr>
        <w:t>,</w:t>
      </w:r>
      <w:r w:rsidRPr="009A69B5">
        <w:rPr>
          <w:rFonts w:ascii="Arial" w:eastAsia="Calibri" w:hAnsi="Arial" w:cs="Arial"/>
          <w:bCs/>
          <w:color w:val="000000" w:themeColor="text1"/>
          <w:sz w:val="22"/>
          <w:szCs w:val="22"/>
          <w:lang w:val="es-ES"/>
        </w:rPr>
        <w:t xml:space="preserve"> e informar a la entidad cuando encuentre</w:t>
      </w:r>
      <w:r w:rsidR="00FC2EAA" w:rsidRPr="009A69B5">
        <w:rPr>
          <w:rFonts w:ascii="Arial" w:eastAsia="Calibri" w:hAnsi="Arial" w:cs="Arial"/>
          <w:bCs/>
          <w:color w:val="000000" w:themeColor="text1"/>
          <w:sz w:val="22"/>
          <w:szCs w:val="22"/>
          <w:lang w:val="es-ES"/>
        </w:rPr>
        <w:t>n</w:t>
      </w:r>
      <w:r w:rsidRPr="009A69B5">
        <w:rPr>
          <w:rFonts w:ascii="Arial" w:eastAsia="Calibri" w:hAnsi="Arial" w:cs="Arial"/>
          <w:bCs/>
          <w:color w:val="000000" w:themeColor="text1"/>
          <w:sz w:val="22"/>
          <w:szCs w:val="22"/>
          <w:lang w:val="es-ES"/>
        </w:rPr>
        <w:t xml:space="preserve"> que no se está</w:t>
      </w:r>
      <w:r w:rsidR="00FC2EAA" w:rsidRPr="009A69B5">
        <w:rPr>
          <w:rFonts w:ascii="Arial" w:eastAsia="Calibri" w:hAnsi="Arial" w:cs="Arial"/>
          <w:bCs/>
          <w:color w:val="000000" w:themeColor="text1"/>
          <w:sz w:val="22"/>
          <w:szCs w:val="22"/>
          <w:lang w:val="es-ES"/>
        </w:rPr>
        <w:t>n</w:t>
      </w:r>
      <w:r w:rsidRPr="009A69B5">
        <w:rPr>
          <w:rFonts w:ascii="Arial" w:eastAsia="Calibri" w:hAnsi="Arial" w:cs="Arial"/>
          <w:bCs/>
          <w:color w:val="000000" w:themeColor="text1"/>
          <w:sz w:val="22"/>
          <w:szCs w:val="22"/>
          <w:lang w:val="es-ES"/>
        </w:rPr>
        <w:t xml:space="preserve"> ejecutando </w:t>
      </w:r>
      <w:r w:rsidR="00FC2EAA" w:rsidRPr="009A69B5">
        <w:rPr>
          <w:rFonts w:ascii="Arial" w:eastAsia="Calibri" w:hAnsi="Arial" w:cs="Arial"/>
          <w:bCs/>
          <w:color w:val="000000" w:themeColor="text1"/>
          <w:sz w:val="22"/>
          <w:szCs w:val="22"/>
          <w:lang w:val="es-ES"/>
        </w:rPr>
        <w:t xml:space="preserve">los contratos o no se está haciendo ello en las condiciones pactadas con el contratista. </w:t>
      </w:r>
    </w:p>
    <w:p w14:paraId="60734515" w14:textId="737B3761" w:rsidR="004B1EE9" w:rsidRPr="009A69B5" w:rsidRDefault="00E32A9C" w:rsidP="004B1EE9">
      <w:pPr>
        <w:tabs>
          <w:tab w:val="left" w:pos="426"/>
        </w:tabs>
        <w:spacing w:after="120" w:line="276" w:lineRule="auto"/>
        <w:ind w:firstLine="709"/>
        <w:jc w:val="both"/>
        <w:rPr>
          <w:rFonts w:ascii="Arial" w:eastAsia="Calibri" w:hAnsi="Arial" w:cs="Arial"/>
          <w:bCs/>
          <w:color w:val="000000" w:themeColor="text1"/>
          <w:sz w:val="22"/>
          <w:szCs w:val="22"/>
          <w:lang w:val="es-ES"/>
        </w:rPr>
      </w:pPr>
      <w:r w:rsidRPr="009A69B5">
        <w:rPr>
          <w:rFonts w:ascii="Arial" w:eastAsia="Calibri" w:hAnsi="Arial" w:cs="Arial"/>
          <w:bCs/>
          <w:color w:val="000000" w:themeColor="text1"/>
          <w:sz w:val="22"/>
          <w:szCs w:val="22"/>
          <w:lang w:val="es-ES"/>
        </w:rPr>
        <w:t xml:space="preserve">Por último, es perfectamente posible que una vez finalizada la ejecución del contrato se quiera ejercer el </w:t>
      </w:r>
      <w:r w:rsidR="004B1EE9" w:rsidRPr="009A69B5">
        <w:rPr>
          <w:rFonts w:ascii="Arial" w:eastAsia="Calibri" w:hAnsi="Arial" w:cs="Arial"/>
          <w:bCs/>
          <w:color w:val="000000" w:themeColor="text1"/>
          <w:sz w:val="22"/>
          <w:szCs w:val="22"/>
          <w:lang w:val="es-ES"/>
        </w:rPr>
        <w:t xml:space="preserve">derecho al </w:t>
      </w:r>
      <w:r w:rsidRPr="009A69B5">
        <w:rPr>
          <w:rFonts w:ascii="Arial" w:eastAsia="Calibri" w:hAnsi="Arial" w:cs="Arial"/>
          <w:bCs/>
          <w:color w:val="000000" w:themeColor="text1"/>
          <w:sz w:val="22"/>
          <w:szCs w:val="22"/>
          <w:lang w:val="es-ES"/>
        </w:rPr>
        <w:t xml:space="preserve">control social. En este caso, el control </w:t>
      </w:r>
      <w:r w:rsidR="004B1EE9" w:rsidRPr="009A69B5">
        <w:rPr>
          <w:rFonts w:ascii="Arial" w:eastAsia="Calibri" w:hAnsi="Arial" w:cs="Arial"/>
          <w:bCs/>
          <w:color w:val="000000" w:themeColor="text1"/>
          <w:sz w:val="22"/>
          <w:szCs w:val="22"/>
          <w:lang w:val="es-ES"/>
        </w:rPr>
        <w:t xml:space="preserve">podrá recaer sobre la verificación del debido cumplimiento del objeto y las condiciones contractuales, o la calidad de los bienes, servicios u obras recibidos. Ello puede, por ejemplo, incluir la inspección física de la obra, la obtención de copias de los informes de supervisión o interventoría, de los productos entregados por el contratista, asuntos relacionados con la ejecución financiera, o el cumplimiento de obligaciones relacionadas con obligaciones con impacto en la etapa postcontractual, como la garantía de estabilidad de la obra. </w:t>
      </w:r>
    </w:p>
    <w:p w14:paraId="5F8035AA" w14:textId="755B7DC9" w:rsidR="00AA08E7" w:rsidRDefault="004B1EE9" w:rsidP="00F70946">
      <w:pPr>
        <w:tabs>
          <w:tab w:val="left" w:pos="426"/>
        </w:tabs>
        <w:spacing w:line="276" w:lineRule="auto"/>
        <w:ind w:firstLine="709"/>
        <w:jc w:val="both"/>
        <w:rPr>
          <w:rFonts w:ascii="Arial" w:eastAsia="Calibri" w:hAnsi="Arial" w:cs="Arial"/>
          <w:bCs/>
          <w:color w:val="000000" w:themeColor="text1"/>
          <w:sz w:val="22"/>
          <w:szCs w:val="22"/>
          <w:lang w:val="es-ES"/>
        </w:rPr>
      </w:pPr>
      <w:r w:rsidRPr="009A69B5">
        <w:rPr>
          <w:rFonts w:ascii="Arial" w:eastAsia="Calibri" w:hAnsi="Arial" w:cs="Arial"/>
          <w:bCs/>
          <w:color w:val="000000" w:themeColor="text1"/>
          <w:sz w:val="22"/>
          <w:szCs w:val="22"/>
          <w:lang w:val="es-ES"/>
        </w:rPr>
        <w:t>Finalmente, las entidades están en la obligación legal de rendir cuentas de manera anual</w:t>
      </w:r>
      <w:r w:rsidRPr="009A69B5">
        <w:rPr>
          <w:rStyle w:val="Refdenotaalpie"/>
          <w:rFonts w:ascii="Arial" w:eastAsia="Calibri" w:hAnsi="Arial" w:cs="Arial"/>
          <w:bCs/>
          <w:color w:val="000000" w:themeColor="text1"/>
          <w:sz w:val="22"/>
          <w:szCs w:val="22"/>
          <w:lang w:val="es-ES"/>
        </w:rPr>
        <w:footnoteReference w:id="14"/>
      </w:r>
      <w:r w:rsidR="0003137B" w:rsidRPr="009A69B5">
        <w:rPr>
          <w:rFonts w:ascii="Arial" w:eastAsia="Calibri" w:hAnsi="Arial" w:cs="Arial"/>
          <w:bCs/>
          <w:color w:val="000000" w:themeColor="text1"/>
          <w:sz w:val="22"/>
          <w:szCs w:val="22"/>
          <w:lang w:val="es-ES"/>
        </w:rPr>
        <w:t>.</w:t>
      </w:r>
      <w:r w:rsidR="003141F5">
        <w:rPr>
          <w:rFonts w:ascii="Arial" w:eastAsia="Calibri" w:hAnsi="Arial" w:cs="Arial"/>
          <w:bCs/>
          <w:color w:val="000000" w:themeColor="text1"/>
          <w:sz w:val="22"/>
          <w:szCs w:val="22"/>
          <w:lang w:val="es-ES"/>
        </w:rPr>
        <w:t xml:space="preserve"> </w:t>
      </w:r>
      <w:r w:rsidRPr="009A69B5">
        <w:rPr>
          <w:rFonts w:ascii="Arial" w:eastAsia="Calibri" w:hAnsi="Arial" w:cs="Arial"/>
          <w:bCs/>
          <w:color w:val="000000" w:themeColor="text1"/>
          <w:sz w:val="22"/>
          <w:szCs w:val="22"/>
          <w:lang w:val="es-ES"/>
        </w:rPr>
        <w:t xml:space="preserve">Este se constituye en un momento más </w:t>
      </w:r>
      <w:r w:rsidR="00FC3F8B" w:rsidRPr="009A69B5">
        <w:rPr>
          <w:rFonts w:ascii="Arial" w:eastAsia="Calibri" w:hAnsi="Arial" w:cs="Arial"/>
          <w:bCs/>
          <w:color w:val="000000" w:themeColor="text1"/>
          <w:sz w:val="22"/>
          <w:szCs w:val="22"/>
          <w:lang w:val="es-ES"/>
        </w:rPr>
        <w:t xml:space="preserve">para hacer control a la gestión pública y de resultados en materia de contratación estatal. Allí se puede verificar de manera general el cumplimiento o ejecución de los programas y proyectos establecidos como metas por la propia entidad y también de los contratos instrumentados para cumplir dichos objetivos. </w:t>
      </w:r>
    </w:p>
    <w:p w14:paraId="64367957" w14:textId="77777777" w:rsidR="00F70946" w:rsidRPr="009A69B5" w:rsidRDefault="00F70946" w:rsidP="00F70946">
      <w:pPr>
        <w:tabs>
          <w:tab w:val="left" w:pos="426"/>
        </w:tabs>
        <w:spacing w:line="276" w:lineRule="auto"/>
        <w:ind w:firstLine="709"/>
        <w:jc w:val="both"/>
        <w:rPr>
          <w:rFonts w:ascii="Arial" w:eastAsia="Calibri" w:hAnsi="Arial" w:cs="Arial"/>
          <w:bCs/>
          <w:color w:val="000000" w:themeColor="text1"/>
          <w:sz w:val="22"/>
          <w:szCs w:val="22"/>
          <w:lang w:val="es-ES"/>
        </w:rPr>
      </w:pPr>
    </w:p>
    <w:p w14:paraId="1DE0767E" w14:textId="1A921A05" w:rsidR="00F11955" w:rsidRPr="009A69B5" w:rsidRDefault="00A37FB6" w:rsidP="00F70946">
      <w:pPr>
        <w:pStyle w:val="Prrafodelista"/>
        <w:numPr>
          <w:ilvl w:val="0"/>
          <w:numId w:val="6"/>
        </w:numPr>
        <w:tabs>
          <w:tab w:val="left" w:pos="284"/>
        </w:tabs>
        <w:spacing w:before="0" w:after="0"/>
        <w:ind w:left="0" w:hanging="142"/>
        <w:rPr>
          <w:rFonts w:ascii="Arial" w:eastAsia="Calibri" w:hAnsi="Arial" w:cs="Arial"/>
          <w:color w:val="000000" w:themeColor="text1"/>
          <w:sz w:val="22"/>
          <w:lang w:val="es-ES"/>
        </w:rPr>
      </w:pPr>
      <w:r w:rsidRPr="009A69B5">
        <w:rPr>
          <w:rFonts w:ascii="Arial" w:eastAsia="Calibri" w:hAnsi="Arial" w:cs="Arial"/>
          <w:b/>
          <w:color w:val="000000" w:themeColor="text1"/>
          <w:sz w:val="22"/>
          <w:lang w:val="es-ES"/>
        </w:rPr>
        <w:t>Respuestas</w:t>
      </w:r>
    </w:p>
    <w:p w14:paraId="5967896D" w14:textId="77777777" w:rsidR="00AA4A09" w:rsidRPr="009A69B5" w:rsidRDefault="00AA4A09" w:rsidP="00AA4A09">
      <w:pPr>
        <w:pStyle w:val="Prrafodelista"/>
        <w:tabs>
          <w:tab w:val="left" w:pos="284"/>
        </w:tabs>
        <w:ind w:left="0"/>
        <w:rPr>
          <w:rFonts w:ascii="Arial" w:eastAsia="Calibri" w:hAnsi="Arial" w:cs="Arial"/>
          <w:color w:val="000000" w:themeColor="text1"/>
          <w:sz w:val="22"/>
          <w:lang w:val="es-ES"/>
        </w:rPr>
      </w:pPr>
    </w:p>
    <w:p w14:paraId="75274F30" w14:textId="51CE5798" w:rsidR="002538AC" w:rsidRPr="009A69B5" w:rsidRDefault="00A8669E" w:rsidP="00064C30">
      <w:pPr>
        <w:pStyle w:val="Prrafodelista"/>
        <w:tabs>
          <w:tab w:val="left" w:pos="284"/>
        </w:tabs>
        <w:spacing w:before="0" w:after="0" w:line="240" w:lineRule="auto"/>
        <w:ind w:left="0" w:right="758"/>
        <w:rPr>
          <w:rFonts w:ascii="Arial" w:eastAsia="Calibri" w:hAnsi="Arial" w:cs="Arial"/>
          <w:color w:val="000000" w:themeColor="text1"/>
          <w:sz w:val="21"/>
          <w:szCs w:val="21"/>
          <w:lang w:val="es-ES"/>
        </w:rPr>
      </w:pPr>
      <w:r w:rsidRPr="009A69B5">
        <w:rPr>
          <w:rFonts w:ascii="Arial" w:eastAsia="Calibri" w:hAnsi="Arial" w:cs="Arial"/>
          <w:color w:val="000000" w:themeColor="text1"/>
          <w:sz w:val="22"/>
          <w:lang w:val="es-ES"/>
        </w:rPr>
        <w:tab/>
      </w:r>
      <w:r w:rsidRPr="009A69B5">
        <w:rPr>
          <w:rFonts w:ascii="Arial" w:eastAsia="Calibri" w:hAnsi="Arial" w:cs="Arial"/>
          <w:color w:val="000000" w:themeColor="text1"/>
          <w:sz w:val="22"/>
          <w:lang w:val="es-ES"/>
        </w:rPr>
        <w:tab/>
      </w:r>
      <w:r w:rsidR="002538AC" w:rsidRPr="009A69B5">
        <w:rPr>
          <w:rFonts w:ascii="Arial" w:eastAsia="Calibri" w:hAnsi="Arial" w:cs="Arial"/>
          <w:color w:val="000000" w:themeColor="text1"/>
          <w:sz w:val="21"/>
          <w:szCs w:val="21"/>
          <w:lang w:val="es-ES"/>
        </w:rPr>
        <w:t xml:space="preserve">(i) ¿Qué se entiende por </w:t>
      </w:r>
      <w:r w:rsidR="003141F5">
        <w:rPr>
          <w:rFonts w:ascii="Arial" w:eastAsia="Calibri" w:hAnsi="Arial" w:cs="Arial"/>
          <w:color w:val="000000" w:themeColor="text1"/>
          <w:sz w:val="21"/>
          <w:szCs w:val="21"/>
          <w:lang w:val="es-ES"/>
        </w:rPr>
        <w:t>c</w:t>
      </w:r>
      <w:r w:rsidR="002538AC" w:rsidRPr="009A69B5">
        <w:rPr>
          <w:rFonts w:ascii="Arial" w:eastAsia="Calibri" w:hAnsi="Arial" w:cs="Arial"/>
          <w:color w:val="000000" w:themeColor="text1"/>
          <w:sz w:val="21"/>
          <w:szCs w:val="21"/>
          <w:lang w:val="es-ES"/>
        </w:rPr>
        <w:t xml:space="preserve">ontrol </w:t>
      </w:r>
      <w:r w:rsidR="003141F5">
        <w:rPr>
          <w:rFonts w:ascii="Arial" w:eastAsia="Calibri" w:hAnsi="Arial" w:cs="Arial"/>
          <w:color w:val="000000" w:themeColor="text1"/>
          <w:sz w:val="21"/>
          <w:szCs w:val="21"/>
          <w:lang w:val="es-ES"/>
        </w:rPr>
        <w:t>s</w:t>
      </w:r>
      <w:r w:rsidR="002538AC" w:rsidRPr="009A69B5">
        <w:rPr>
          <w:rFonts w:ascii="Arial" w:eastAsia="Calibri" w:hAnsi="Arial" w:cs="Arial"/>
          <w:color w:val="000000" w:themeColor="text1"/>
          <w:sz w:val="21"/>
          <w:szCs w:val="21"/>
          <w:lang w:val="es-ES"/>
        </w:rPr>
        <w:t xml:space="preserve">ocial a los procesos de contratación estatal? </w:t>
      </w:r>
    </w:p>
    <w:p w14:paraId="174A0505" w14:textId="77777777" w:rsidR="00FC3F8B" w:rsidRPr="009A69B5" w:rsidRDefault="00FC3F8B" w:rsidP="00F70946">
      <w:pPr>
        <w:pStyle w:val="Prrafodelista"/>
        <w:tabs>
          <w:tab w:val="left" w:pos="284"/>
        </w:tabs>
        <w:spacing w:before="0" w:after="0"/>
        <w:ind w:left="0"/>
        <w:rPr>
          <w:rFonts w:ascii="Arial" w:eastAsia="Calibri" w:hAnsi="Arial" w:cs="Arial"/>
          <w:color w:val="000000" w:themeColor="text1"/>
          <w:sz w:val="21"/>
          <w:szCs w:val="21"/>
          <w:lang w:val="es-ES"/>
        </w:rPr>
      </w:pPr>
    </w:p>
    <w:p w14:paraId="2B1CA83F" w14:textId="787AFA37" w:rsidR="00F70946" w:rsidRPr="00064C30" w:rsidRDefault="00B00464" w:rsidP="00064C30">
      <w:pPr>
        <w:tabs>
          <w:tab w:val="left" w:pos="426"/>
        </w:tabs>
        <w:spacing w:line="276" w:lineRule="auto"/>
        <w:jc w:val="both"/>
        <w:rPr>
          <w:rFonts w:ascii="Arial" w:eastAsia="Calibri" w:hAnsi="Arial" w:cs="Arial"/>
          <w:bCs/>
          <w:color w:val="000000" w:themeColor="text1"/>
          <w:sz w:val="22"/>
          <w:szCs w:val="22"/>
          <w:lang w:val="es-ES"/>
        </w:rPr>
      </w:pPr>
      <w:r w:rsidRPr="009A69B5">
        <w:rPr>
          <w:rFonts w:ascii="Arial" w:eastAsia="Calibri" w:hAnsi="Arial" w:cs="Arial"/>
          <w:bCs/>
          <w:color w:val="000000" w:themeColor="text1"/>
          <w:sz w:val="22"/>
          <w:lang w:val="es-ES"/>
        </w:rPr>
        <w:t>E</w:t>
      </w:r>
      <w:r w:rsidRPr="009A69B5">
        <w:rPr>
          <w:rFonts w:ascii="Arial" w:eastAsia="Calibri" w:hAnsi="Arial" w:cs="Arial"/>
          <w:bCs/>
          <w:color w:val="000000" w:themeColor="text1"/>
          <w:sz w:val="22"/>
          <w:szCs w:val="22"/>
          <w:lang w:val="es-ES"/>
        </w:rPr>
        <w:t xml:space="preserve">l control social no es solo un derecho, sino también un deber ciudadano que autoriza y exige de estos participar de manera individual o colectiva en la vigilancia de la gestión pública y sus resultados. El ordenamiento jurídico tiene una definición legal de control social; ello implica que este concepto, de conformidad con las reglas del Código Civil, debe ser interpretado en el sentido determinado por el legislador.  </w:t>
      </w:r>
    </w:p>
    <w:p w14:paraId="7ECCD319" w14:textId="77777777" w:rsidR="00064C30" w:rsidRDefault="00064C30" w:rsidP="00064C30">
      <w:pPr>
        <w:pStyle w:val="Prrafodelista"/>
        <w:tabs>
          <w:tab w:val="left" w:pos="284"/>
        </w:tabs>
        <w:spacing w:before="0" w:after="0" w:line="240" w:lineRule="auto"/>
        <w:ind w:left="709" w:right="760"/>
        <w:rPr>
          <w:rFonts w:ascii="Arial" w:eastAsia="Calibri" w:hAnsi="Arial" w:cs="Arial"/>
          <w:color w:val="000000" w:themeColor="text1"/>
          <w:sz w:val="21"/>
          <w:szCs w:val="21"/>
          <w:lang w:val="es-ES"/>
        </w:rPr>
      </w:pPr>
    </w:p>
    <w:p w14:paraId="7E6362E6" w14:textId="20DDFA02" w:rsidR="005E26BD" w:rsidRPr="009A69B5" w:rsidRDefault="002538AC" w:rsidP="00064C30">
      <w:pPr>
        <w:pStyle w:val="Prrafodelista"/>
        <w:tabs>
          <w:tab w:val="left" w:pos="284"/>
        </w:tabs>
        <w:spacing w:before="0" w:after="0" w:line="240" w:lineRule="auto"/>
        <w:ind w:left="709" w:right="760"/>
        <w:rPr>
          <w:rFonts w:ascii="Arial" w:eastAsia="Calibri" w:hAnsi="Arial" w:cs="Arial"/>
          <w:color w:val="000000" w:themeColor="text1"/>
          <w:sz w:val="21"/>
          <w:szCs w:val="21"/>
          <w:lang w:val="es-ES"/>
        </w:rPr>
      </w:pPr>
      <w:r w:rsidRPr="009A69B5">
        <w:rPr>
          <w:rFonts w:ascii="Arial" w:eastAsia="Calibri" w:hAnsi="Arial" w:cs="Arial"/>
          <w:color w:val="000000" w:themeColor="text1"/>
          <w:sz w:val="21"/>
          <w:szCs w:val="21"/>
          <w:lang w:val="es-ES"/>
        </w:rPr>
        <w:t xml:space="preserve">(ii) ¿Los únicos facultados para realizar control social a los procesos de contratación social son las veedurías ciudadanas organizadas de acuerdo con la Ley 850 de 2003 (en especial sus artículos 2, 3, 21 y 22), o también es una prerrogativa de los ciudadanos comunes? </w:t>
      </w:r>
    </w:p>
    <w:p w14:paraId="53643EAB" w14:textId="77777777" w:rsidR="0023336E" w:rsidRPr="00064C30" w:rsidRDefault="0023336E" w:rsidP="00064C30">
      <w:pPr>
        <w:tabs>
          <w:tab w:val="left" w:pos="284"/>
        </w:tabs>
        <w:rPr>
          <w:rFonts w:ascii="Arial" w:eastAsia="Calibri" w:hAnsi="Arial" w:cs="Arial"/>
          <w:color w:val="000000" w:themeColor="text1"/>
          <w:sz w:val="21"/>
          <w:szCs w:val="21"/>
          <w:lang w:val="es-ES"/>
        </w:rPr>
      </w:pPr>
    </w:p>
    <w:p w14:paraId="5AC12F67" w14:textId="233232A3" w:rsidR="002538AC" w:rsidRPr="00F70946" w:rsidRDefault="0019030A" w:rsidP="00F70946">
      <w:pPr>
        <w:tabs>
          <w:tab w:val="left" w:pos="426"/>
        </w:tabs>
        <w:spacing w:after="120" w:line="276" w:lineRule="auto"/>
        <w:jc w:val="both"/>
        <w:rPr>
          <w:rFonts w:ascii="Arial" w:eastAsia="Calibri" w:hAnsi="Arial" w:cs="Arial"/>
          <w:bCs/>
          <w:color w:val="000000" w:themeColor="text1"/>
          <w:sz w:val="22"/>
          <w:szCs w:val="22"/>
          <w:lang w:val="es-ES"/>
        </w:rPr>
      </w:pPr>
      <w:r w:rsidRPr="009A69B5">
        <w:rPr>
          <w:rFonts w:ascii="Arial" w:eastAsia="Calibri" w:hAnsi="Arial" w:cs="Arial"/>
          <w:bCs/>
          <w:color w:val="000000" w:themeColor="text1"/>
          <w:sz w:val="22"/>
          <w:szCs w:val="22"/>
          <w:lang w:val="es-ES"/>
        </w:rPr>
        <w:t xml:space="preserve">Las normas sobre la materia establecen que los sujetos habilitados para el ejercicio del control social –los sujetos activos– son, según el artículo 60 de la Ley 1757 de 2015, los ciudadanos de manera individual, o por intermedio de organizaciones constituidas para tal fin, y a través de redes sociales o instituciones. Sobre ello debe resaltarse que el control social no es una prerrogativa o derecho exclusivo de determinada entidad o de ciertos ciudadanos, sino que se trata de un derecho que puede ser ejercido por cualquier persona y se puede desarrollar, conforme al artículo 63 de esa Ley, a través de veeduría ciudadanas, juntas de vigilancia, comités de </w:t>
      </w:r>
      <w:r w:rsidR="00BA4678">
        <w:rPr>
          <w:rFonts w:ascii="Arial" w:eastAsia="Calibri" w:hAnsi="Arial" w:cs="Arial"/>
          <w:bCs/>
          <w:color w:val="000000" w:themeColor="text1"/>
          <w:sz w:val="22"/>
          <w:szCs w:val="22"/>
          <w:lang w:val="es-ES"/>
        </w:rPr>
        <w:t>d</w:t>
      </w:r>
      <w:r w:rsidRPr="009A69B5">
        <w:rPr>
          <w:rFonts w:ascii="Arial" w:eastAsia="Calibri" w:hAnsi="Arial" w:cs="Arial"/>
          <w:bCs/>
          <w:color w:val="000000" w:themeColor="text1"/>
          <w:sz w:val="22"/>
          <w:szCs w:val="22"/>
          <w:lang w:val="es-ES"/>
        </w:rPr>
        <w:t xml:space="preserve">esarrollo y </w:t>
      </w:r>
      <w:r w:rsidR="00BA4678">
        <w:rPr>
          <w:rFonts w:ascii="Arial" w:eastAsia="Calibri" w:hAnsi="Arial" w:cs="Arial"/>
          <w:bCs/>
          <w:color w:val="000000" w:themeColor="text1"/>
          <w:sz w:val="22"/>
          <w:szCs w:val="22"/>
          <w:lang w:val="es-ES"/>
        </w:rPr>
        <w:t>c</w:t>
      </w:r>
      <w:r w:rsidRPr="009A69B5">
        <w:rPr>
          <w:rFonts w:ascii="Arial" w:eastAsia="Calibri" w:hAnsi="Arial" w:cs="Arial"/>
          <w:bCs/>
          <w:color w:val="000000" w:themeColor="text1"/>
          <w:sz w:val="22"/>
          <w:szCs w:val="22"/>
          <w:lang w:val="es-ES"/>
        </w:rPr>
        <w:t xml:space="preserve">ontrol Social de los </w:t>
      </w:r>
      <w:r w:rsidR="00BA4678">
        <w:rPr>
          <w:rFonts w:ascii="Arial" w:eastAsia="Calibri" w:hAnsi="Arial" w:cs="Arial"/>
          <w:bCs/>
          <w:color w:val="000000" w:themeColor="text1"/>
          <w:sz w:val="22"/>
          <w:szCs w:val="22"/>
          <w:lang w:val="es-ES"/>
        </w:rPr>
        <w:t>s</w:t>
      </w:r>
      <w:r w:rsidRPr="009A69B5">
        <w:rPr>
          <w:rFonts w:ascii="Arial" w:eastAsia="Calibri" w:hAnsi="Arial" w:cs="Arial"/>
          <w:bCs/>
          <w:color w:val="000000" w:themeColor="text1"/>
          <w:sz w:val="22"/>
          <w:szCs w:val="22"/>
          <w:lang w:val="es-ES"/>
        </w:rPr>
        <w:t xml:space="preserve">ervicios </w:t>
      </w:r>
      <w:r w:rsidR="00BA4678">
        <w:rPr>
          <w:rFonts w:ascii="Arial" w:eastAsia="Calibri" w:hAnsi="Arial" w:cs="Arial"/>
          <w:bCs/>
          <w:color w:val="000000" w:themeColor="text1"/>
          <w:sz w:val="22"/>
          <w:szCs w:val="22"/>
          <w:lang w:val="es-ES"/>
        </w:rPr>
        <w:t>p</w:t>
      </w:r>
      <w:r w:rsidRPr="009A69B5">
        <w:rPr>
          <w:rFonts w:ascii="Arial" w:eastAsia="Calibri" w:hAnsi="Arial" w:cs="Arial"/>
          <w:bCs/>
          <w:color w:val="000000" w:themeColor="text1"/>
          <w:sz w:val="22"/>
          <w:szCs w:val="22"/>
          <w:lang w:val="es-ES"/>
        </w:rPr>
        <w:t xml:space="preserve">úblicos, </w:t>
      </w:r>
      <w:r w:rsidR="00BA4678">
        <w:rPr>
          <w:rFonts w:ascii="Arial" w:eastAsia="Calibri" w:hAnsi="Arial" w:cs="Arial"/>
          <w:bCs/>
          <w:color w:val="000000" w:themeColor="text1"/>
          <w:sz w:val="22"/>
          <w:szCs w:val="22"/>
          <w:lang w:val="es-ES"/>
        </w:rPr>
        <w:t>a</w:t>
      </w:r>
      <w:r w:rsidRPr="009A69B5">
        <w:rPr>
          <w:rFonts w:ascii="Arial" w:eastAsia="Calibri" w:hAnsi="Arial" w:cs="Arial"/>
          <w:bCs/>
          <w:color w:val="000000" w:themeColor="text1"/>
          <w:sz w:val="22"/>
          <w:szCs w:val="22"/>
          <w:lang w:val="es-ES"/>
        </w:rPr>
        <w:t>uditorías ciudadanas, y otras instancias de participación ciudadana establecidas en el ordenamiento, así como a través del ejercicio de los derechos constitucionales dirigidos a hacer control a la gestión pública y sus resultados.</w:t>
      </w:r>
    </w:p>
    <w:p w14:paraId="5FEC571E" w14:textId="77777777" w:rsidR="00F70946" w:rsidRPr="001E0719" w:rsidRDefault="00F70946" w:rsidP="001E0719">
      <w:pPr>
        <w:tabs>
          <w:tab w:val="left" w:pos="284"/>
        </w:tabs>
        <w:ind w:right="758"/>
        <w:rPr>
          <w:rFonts w:ascii="Arial" w:eastAsia="Calibri" w:hAnsi="Arial" w:cs="Arial"/>
          <w:color w:val="000000" w:themeColor="text1"/>
          <w:sz w:val="21"/>
          <w:szCs w:val="21"/>
          <w:lang w:val="es-ES"/>
        </w:rPr>
      </w:pPr>
    </w:p>
    <w:p w14:paraId="6F9A0C3B" w14:textId="35D24D4D" w:rsidR="00A8669E" w:rsidRPr="009A69B5" w:rsidRDefault="002538AC" w:rsidP="00064C30">
      <w:pPr>
        <w:pStyle w:val="Prrafodelista"/>
        <w:tabs>
          <w:tab w:val="left" w:pos="284"/>
        </w:tabs>
        <w:spacing w:before="0" w:after="0" w:line="240" w:lineRule="auto"/>
        <w:ind w:left="709" w:right="760"/>
        <w:rPr>
          <w:rFonts w:ascii="Arial" w:eastAsia="Calibri" w:hAnsi="Arial" w:cs="Arial"/>
          <w:color w:val="000000" w:themeColor="text1"/>
          <w:sz w:val="21"/>
          <w:szCs w:val="21"/>
          <w:lang w:val="es-ES"/>
        </w:rPr>
      </w:pPr>
      <w:r w:rsidRPr="009A69B5">
        <w:rPr>
          <w:rFonts w:ascii="Arial" w:eastAsia="Calibri" w:hAnsi="Arial" w:cs="Arial"/>
          <w:color w:val="000000" w:themeColor="text1"/>
          <w:sz w:val="21"/>
          <w:szCs w:val="21"/>
          <w:lang w:val="es-ES"/>
        </w:rPr>
        <w:t xml:space="preserve">(iii) En caso tal que se señale que los ciudadanos comunes pueden realizar control social a los procesos de contratación estatal: ¿Con qué tipo de herramientas cuenta la ciudadanía para realizar dicho control? </w:t>
      </w:r>
    </w:p>
    <w:p w14:paraId="47A30CDB" w14:textId="77777777" w:rsidR="00AA4A09" w:rsidRPr="009A69B5" w:rsidRDefault="00AA4A09" w:rsidP="00AA4A09">
      <w:pPr>
        <w:pStyle w:val="Prrafodelista"/>
        <w:tabs>
          <w:tab w:val="left" w:pos="284"/>
        </w:tabs>
        <w:ind w:left="0"/>
        <w:rPr>
          <w:rFonts w:ascii="Arial" w:eastAsia="Calibri" w:hAnsi="Arial" w:cs="Arial"/>
          <w:color w:val="000000" w:themeColor="text1"/>
          <w:sz w:val="21"/>
          <w:szCs w:val="21"/>
          <w:lang w:val="es-ES"/>
        </w:rPr>
      </w:pPr>
    </w:p>
    <w:p w14:paraId="45CC56AF" w14:textId="39378C7F" w:rsidR="001A6772" w:rsidRPr="00F70946" w:rsidRDefault="0019030A" w:rsidP="00AA4A09">
      <w:pPr>
        <w:pStyle w:val="Prrafodelista"/>
        <w:tabs>
          <w:tab w:val="left" w:pos="284"/>
        </w:tabs>
        <w:ind w:left="0"/>
        <w:rPr>
          <w:rFonts w:ascii="Arial" w:eastAsia="Calibri" w:hAnsi="Arial" w:cs="Arial"/>
          <w:bCs/>
          <w:color w:val="000000" w:themeColor="text1"/>
          <w:sz w:val="22"/>
          <w:lang w:val="es-ES"/>
        </w:rPr>
      </w:pPr>
      <w:r w:rsidRPr="009A69B5">
        <w:rPr>
          <w:rFonts w:ascii="Arial" w:eastAsia="Calibri" w:hAnsi="Arial" w:cs="Arial"/>
          <w:color w:val="000000" w:themeColor="text1"/>
          <w:sz w:val="21"/>
          <w:szCs w:val="21"/>
          <w:lang w:val="es-ES"/>
        </w:rPr>
        <w:t>E</w:t>
      </w:r>
      <w:r w:rsidRPr="009A69B5">
        <w:rPr>
          <w:rFonts w:ascii="Arial" w:eastAsia="Calibri" w:hAnsi="Arial" w:cs="Arial"/>
          <w:bCs/>
          <w:color w:val="000000" w:themeColor="text1"/>
          <w:sz w:val="22"/>
          <w:lang w:val="es-ES"/>
        </w:rPr>
        <w:t>n relación con el objeto del derecho al control social, el artículo 62 de la Ley 1757 de 2015 lista varias opciones que permiten su concreción. En ese artículo se señala que quienes ejerzan control social podrán solicitar la información pública que requieran para su labor, de conformidad con el CPACA; presentar observaciones de la labor desarrollada; presentar peticiones, quejas o reclamos antes las autoridades competentes; presentar acciones populares, de cumplimiento, de tutela, participar en las audiencias públicas que se convoquen, y en general hacer uso de las acciones legales que se requieran para el desarrollo del control social. Son estos, en el entender de esta Subdirección, los elementos que conforman el objeto del derecho al control social.</w:t>
      </w:r>
      <w:r w:rsidR="0050017F" w:rsidRPr="009A69B5">
        <w:rPr>
          <w:rFonts w:ascii="Arial" w:eastAsia="Calibri" w:hAnsi="Arial" w:cs="Arial"/>
          <w:color w:val="000000" w:themeColor="text1"/>
          <w:sz w:val="21"/>
          <w:szCs w:val="21"/>
          <w:lang w:val="es-ES"/>
        </w:rPr>
        <w:tab/>
      </w:r>
    </w:p>
    <w:p w14:paraId="17F1750A" w14:textId="4C580205" w:rsidR="00A8669E" w:rsidRPr="009A69B5" w:rsidRDefault="0050017F" w:rsidP="00AA4A09">
      <w:pPr>
        <w:pStyle w:val="Prrafodelista"/>
        <w:tabs>
          <w:tab w:val="left" w:pos="284"/>
        </w:tabs>
        <w:ind w:left="0"/>
        <w:rPr>
          <w:rFonts w:ascii="Arial" w:eastAsia="Calibri" w:hAnsi="Arial" w:cs="Arial"/>
          <w:color w:val="000000" w:themeColor="text1"/>
          <w:sz w:val="21"/>
          <w:szCs w:val="21"/>
          <w:lang w:val="es-ES"/>
        </w:rPr>
      </w:pPr>
      <w:r w:rsidRPr="009A69B5">
        <w:rPr>
          <w:rFonts w:ascii="Arial" w:eastAsia="Calibri" w:hAnsi="Arial" w:cs="Arial"/>
          <w:color w:val="000000" w:themeColor="text1"/>
          <w:sz w:val="21"/>
          <w:szCs w:val="21"/>
          <w:lang w:val="es-ES"/>
        </w:rPr>
        <w:tab/>
      </w:r>
    </w:p>
    <w:p w14:paraId="175B6006" w14:textId="13E3D478" w:rsidR="0023336E" w:rsidRDefault="002538AC" w:rsidP="00064C30">
      <w:pPr>
        <w:pStyle w:val="Prrafodelista"/>
        <w:tabs>
          <w:tab w:val="left" w:pos="284"/>
        </w:tabs>
        <w:spacing w:before="0" w:after="0" w:line="240" w:lineRule="auto"/>
        <w:ind w:left="709" w:right="760"/>
        <w:rPr>
          <w:rFonts w:ascii="Arial" w:eastAsia="Calibri" w:hAnsi="Arial" w:cs="Arial"/>
          <w:color w:val="000000" w:themeColor="text1"/>
          <w:sz w:val="21"/>
          <w:szCs w:val="21"/>
          <w:lang w:val="es-ES"/>
        </w:rPr>
      </w:pPr>
      <w:r w:rsidRPr="009A69B5">
        <w:rPr>
          <w:rFonts w:ascii="Arial" w:eastAsia="Calibri" w:hAnsi="Arial" w:cs="Arial"/>
          <w:color w:val="000000" w:themeColor="text1"/>
          <w:sz w:val="21"/>
          <w:szCs w:val="21"/>
          <w:lang w:val="es-ES"/>
        </w:rPr>
        <w:lastRenderedPageBreak/>
        <w:t xml:space="preserve">(iv) ¿Dentro de las herramientas de control social, los ciudadanos pueden presentar observaciones a los informes de evaluación dentro de un proceso de contratación estatal? </w:t>
      </w:r>
    </w:p>
    <w:p w14:paraId="265AC4AE" w14:textId="77777777" w:rsidR="00F70946" w:rsidRPr="00F70946" w:rsidRDefault="00F70946" w:rsidP="00F70946">
      <w:pPr>
        <w:pStyle w:val="Prrafodelista"/>
        <w:tabs>
          <w:tab w:val="left" w:pos="284"/>
        </w:tabs>
        <w:spacing w:before="0" w:after="0"/>
        <w:ind w:left="709" w:right="760"/>
        <w:rPr>
          <w:rFonts w:ascii="Arial" w:eastAsia="Calibri" w:hAnsi="Arial" w:cs="Arial"/>
          <w:color w:val="000000" w:themeColor="text1"/>
          <w:sz w:val="21"/>
          <w:szCs w:val="21"/>
          <w:lang w:val="es-ES"/>
        </w:rPr>
      </w:pPr>
    </w:p>
    <w:p w14:paraId="034FB56C" w14:textId="5E4BA73B" w:rsidR="00077166" w:rsidRPr="009A69B5" w:rsidRDefault="00077166" w:rsidP="00F70946">
      <w:pPr>
        <w:tabs>
          <w:tab w:val="left" w:pos="426"/>
        </w:tabs>
        <w:spacing w:after="120" w:line="276" w:lineRule="auto"/>
        <w:jc w:val="both"/>
        <w:rPr>
          <w:rFonts w:ascii="Arial" w:hAnsi="Arial" w:cs="Arial"/>
          <w:color w:val="000000"/>
          <w:sz w:val="22"/>
          <w:szCs w:val="22"/>
          <w:lang w:val="es-ES" w:eastAsia="es-CO"/>
        </w:rPr>
      </w:pPr>
      <w:r w:rsidRPr="009A69B5">
        <w:rPr>
          <w:rFonts w:ascii="Arial" w:hAnsi="Arial" w:cs="Arial"/>
          <w:color w:val="000000"/>
          <w:sz w:val="22"/>
          <w:szCs w:val="22"/>
          <w:lang w:val="es-ES" w:eastAsia="es-CO"/>
        </w:rPr>
        <w:t xml:space="preserve">Si se hace una interpretación integral del ordenamiento, es posible concluir que cualquier persona puede presentar observaciones dentro de un procedimiento de selección sin necesidad de ser proponente y la entidad está en la obligación de responder en virtud de las normas generales sobre derecho de petición y procedimiento administrativo. </w:t>
      </w:r>
    </w:p>
    <w:p w14:paraId="0DBD1D0B" w14:textId="4823B154" w:rsidR="00F70946" w:rsidRDefault="00F70946" w:rsidP="00F70946">
      <w:pPr>
        <w:tabs>
          <w:tab w:val="left" w:pos="426"/>
        </w:tabs>
        <w:spacing w:after="120" w:line="276" w:lineRule="auto"/>
        <w:ind w:firstLine="709"/>
        <w:jc w:val="both"/>
        <w:rPr>
          <w:rFonts w:ascii="Arial" w:hAnsi="Arial" w:cs="Arial"/>
          <w:color w:val="000000"/>
          <w:sz w:val="22"/>
          <w:szCs w:val="22"/>
          <w:lang w:val="es-ES" w:eastAsia="es-CO"/>
        </w:rPr>
      </w:pPr>
      <w:r w:rsidRPr="009A69B5">
        <w:rPr>
          <w:rFonts w:ascii="Arial" w:hAnsi="Arial" w:cs="Arial"/>
          <w:color w:val="000000"/>
          <w:sz w:val="22"/>
          <w:szCs w:val="22"/>
          <w:lang w:val="es-ES" w:eastAsia="es-CO"/>
        </w:rPr>
        <w:t xml:space="preserve">Sin embargo, las normas generales del CPACA deben integrarse en los procedimientos de selección de contratistas sin desconocer </w:t>
      </w:r>
      <w:r>
        <w:rPr>
          <w:rFonts w:ascii="Arial" w:hAnsi="Arial" w:cs="Arial"/>
          <w:color w:val="000000"/>
          <w:sz w:val="22"/>
          <w:szCs w:val="22"/>
          <w:lang w:val="es-ES" w:eastAsia="es-CO"/>
        </w:rPr>
        <w:t>sus</w:t>
      </w:r>
      <w:r w:rsidRPr="009A69B5">
        <w:rPr>
          <w:rFonts w:ascii="Arial" w:hAnsi="Arial" w:cs="Arial"/>
          <w:color w:val="000000"/>
          <w:sz w:val="22"/>
          <w:szCs w:val="22"/>
          <w:lang w:val="es-ES" w:eastAsia="es-CO"/>
        </w:rPr>
        <w:t xml:space="preserve"> etapas propias o desestructurarlo</w:t>
      </w:r>
      <w:r>
        <w:rPr>
          <w:rFonts w:ascii="Arial" w:hAnsi="Arial" w:cs="Arial"/>
          <w:color w:val="000000"/>
          <w:sz w:val="22"/>
          <w:szCs w:val="22"/>
          <w:lang w:val="es-ES" w:eastAsia="es-CO"/>
        </w:rPr>
        <w:t>s</w:t>
      </w:r>
      <w:r w:rsidRPr="009A69B5">
        <w:rPr>
          <w:rFonts w:ascii="Arial" w:hAnsi="Arial" w:cs="Arial"/>
          <w:color w:val="000000"/>
          <w:sz w:val="22"/>
          <w:szCs w:val="22"/>
          <w:lang w:val="es-ES" w:eastAsia="es-CO"/>
        </w:rPr>
        <w:t xml:space="preserve"> por completo, por ejemplo, como consecuencia de la necesidad de respetar los términos del Código. En otras palabras, si un ciudadano ejerce su derecho de petición, el ejercicio de este derecho no puede convertirse en un impedimento para continuar a la etapa subsiguiente del trámite</w:t>
      </w:r>
      <w:r>
        <w:rPr>
          <w:rFonts w:ascii="Arial" w:hAnsi="Arial" w:cs="Arial"/>
          <w:color w:val="000000"/>
          <w:sz w:val="22"/>
          <w:szCs w:val="22"/>
          <w:lang w:val="es-ES" w:eastAsia="es-CO"/>
        </w:rPr>
        <w:t xml:space="preserve"> del proceso de selección</w:t>
      </w:r>
      <w:r w:rsidRPr="009A69B5">
        <w:rPr>
          <w:rFonts w:ascii="Arial" w:hAnsi="Arial" w:cs="Arial"/>
          <w:color w:val="000000"/>
          <w:sz w:val="22"/>
          <w:szCs w:val="22"/>
          <w:lang w:val="es-ES" w:eastAsia="es-CO"/>
        </w:rPr>
        <w:t xml:space="preserve">. No obstante, se advierte, si se trata de una petición en la cual se </w:t>
      </w:r>
      <w:r>
        <w:rPr>
          <w:rFonts w:ascii="Arial" w:hAnsi="Arial" w:cs="Arial"/>
          <w:color w:val="000000"/>
          <w:sz w:val="22"/>
          <w:szCs w:val="22"/>
          <w:lang w:val="es-ES" w:eastAsia="es-CO"/>
        </w:rPr>
        <w:t>indican</w:t>
      </w:r>
      <w:r w:rsidRPr="009A69B5">
        <w:rPr>
          <w:rFonts w:ascii="Arial" w:hAnsi="Arial" w:cs="Arial"/>
          <w:color w:val="000000"/>
          <w:sz w:val="22"/>
          <w:szCs w:val="22"/>
          <w:lang w:val="es-ES" w:eastAsia="es-CO"/>
        </w:rPr>
        <w:t xml:space="preserve"> irregularidades en el trámite, la autoridad deberá ser cuidadosa y sin desestructurar el procedimiento podrá buscar dar resolución a las inquietudes ciudadanas. </w:t>
      </w:r>
    </w:p>
    <w:p w14:paraId="483DBB95" w14:textId="13B0ACEB" w:rsidR="0023336E" w:rsidRPr="00F70946" w:rsidRDefault="00F70946" w:rsidP="00F70946">
      <w:pPr>
        <w:tabs>
          <w:tab w:val="left" w:pos="426"/>
        </w:tabs>
        <w:spacing w:line="276" w:lineRule="auto"/>
        <w:ind w:firstLine="709"/>
        <w:jc w:val="both"/>
        <w:rPr>
          <w:rFonts w:ascii="Arial" w:eastAsia="Calibri" w:hAnsi="Arial" w:cs="Arial"/>
          <w:bCs/>
          <w:color w:val="000000" w:themeColor="text1"/>
          <w:sz w:val="22"/>
          <w:szCs w:val="22"/>
          <w:lang w:val="es-ES"/>
        </w:rPr>
      </w:pPr>
      <w:r w:rsidRPr="009A69B5">
        <w:rPr>
          <w:rFonts w:ascii="Arial" w:eastAsia="Calibri" w:hAnsi="Arial" w:cs="Arial"/>
          <w:bCs/>
          <w:color w:val="000000" w:themeColor="text1"/>
          <w:sz w:val="22"/>
          <w:szCs w:val="22"/>
          <w:lang w:val="es-ES"/>
        </w:rPr>
        <w:t xml:space="preserve">En ese sentido, se recuerda que los ciudadanos pueden ejercer control social sobre el procedimiento de selección, pero no son parte del mismo. Podría decirse que los ciudadanos ejercen sus derechos sobre, pero no dentro del procedimiento de selección. </w:t>
      </w:r>
    </w:p>
    <w:p w14:paraId="076B2784" w14:textId="77777777" w:rsidR="00F70946" w:rsidRDefault="00F70946" w:rsidP="00AA4A09">
      <w:pPr>
        <w:pStyle w:val="Prrafodelista"/>
        <w:tabs>
          <w:tab w:val="left" w:pos="284"/>
        </w:tabs>
        <w:ind w:left="708" w:right="758"/>
        <w:rPr>
          <w:rFonts w:ascii="Arial" w:eastAsia="Calibri" w:hAnsi="Arial" w:cs="Arial"/>
          <w:color w:val="000000" w:themeColor="text1"/>
          <w:sz w:val="21"/>
          <w:szCs w:val="21"/>
          <w:lang w:val="es-ES"/>
        </w:rPr>
      </w:pPr>
    </w:p>
    <w:p w14:paraId="61B28CDA" w14:textId="6B005935" w:rsidR="00A8669E" w:rsidRPr="009A69B5" w:rsidRDefault="002538AC" w:rsidP="00064C30">
      <w:pPr>
        <w:pStyle w:val="Prrafodelista"/>
        <w:tabs>
          <w:tab w:val="left" w:pos="284"/>
        </w:tabs>
        <w:spacing w:before="0" w:after="0" w:line="240" w:lineRule="auto"/>
        <w:ind w:left="709" w:right="760"/>
        <w:rPr>
          <w:rFonts w:ascii="Arial" w:eastAsia="Calibri" w:hAnsi="Arial" w:cs="Arial"/>
          <w:color w:val="000000" w:themeColor="text1"/>
          <w:sz w:val="21"/>
          <w:szCs w:val="21"/>
          <w:lang w:val="es-ES"/>
        </w:rPr>
      </w:pPr>
      <w:r w:rsidRPr="009A69B5">
        <w:rPr>
          <w:rFonts w:ascii="Arial" w:eastAsia="Calibri" w:hAnsi="Arial" w:cs="Arial"/>
          <w:color w:val="000000" w:themeColor="text1"/>
          <w:sz w:val="21"/>
          <w:szCs w:val="21"/>
          <w:lang w:val="es-ES"/>
        </w:rPr>
        <w:t xml:space="preserve">(v) ¿De acuerdo con el inciso 3 del artículo 66 de la Ley 80 de 1993, y cuando los pliegos de condiciones así lo establecen, la ciudadanía puede participar al interior de un proceso de contratación estatal en cualquier etapa del proceso para hacer control social? </w:t>
      </w:r>
    </w:p>
    <w:p w14:paraId="76E6AAC3" w14:textId="77777777" w:rsidR="0023336E" w:rsidRPr="009A69B5" w:rsidRDefault="0023336E" w:rsidP="00AA4A09">
      <w:pPr>
        <w:pStyle w:val="Prrafodelista"/>
        <w:tabs>
          <w:tab w:val="left" w:pos="284"/>
        </w:tabs>
        <w:ind w:left="708" w:right="758"/>
        <w:rPr>
          <w:rFonts w:ascii="Arial" w:eastAsia="Calibri" w:hAnsi="Arial" w:cs="Arial"/>
          <w:color w:val="000000" w:themeColor="text1"/>
          <w:sz w:val="21"/>
          <w:szCs w:val="21"/>
          <w:lang w:val="es-ES"/>
        </w:rPr>
      </w:pPr>
    </w:p>
    <w:p w14:paraId="494D514B" w14:textId="57CD6297" w:rsidR="005E26BD" w:rsidRPr="009A69B5" w:rsidRDefault="005E26BD" w:rsidP="005E26BD">
      <w:pPr>
        <w:tabs>
          <w:tab w:val="left" w:pos="426"/>
        </w:tabs>
        <w:spacing w:after="120" w:line="276" w:lineRule="auto"/>
        <w:jc w:val="both"/>
        <w:rPr>
          <w:rFonts w:ascii="Arial" w:eastAsia="Calibri" w:hAnsi="Arial" w:cs="Arial"/>
          <w:bCs/>
          <w:color w:val="000000" w:themeColor="text1"/>
          <w:sz w:val="22"/>
          <w:szCs w:val="22"/>
          <w:lang w:val="es-ES"/>
        </w:rPr>
      </w:pPr>
      <w:r w:rsidRPr="009A69B5">
        <w:rPr>
          <w:rFonts w:ascii="Arial" w:eastAsia="Calibri" w:hAnsi="Arial" w:cs="Arial"/>
          <w:bCs/>
          <w:color w:val="000000" w:themeColor="text1"/>
          <w:sz w:val="22"/>
          <w:szCs w:val="22"/>
          <w:lang w:val="es-ES"/>
        </w:rPr>
        <w:t xml:space="preserve">Las normas sobre el control social no establecen un ámbito temporal de aplicación para el ejercicio del control social sobre la actividad contractual del Estado. De ello se desprende, necesariamente, que el control social puede ejercerse de manera amplia sobre todas y cada una de las etapas del Proceso de Contratación, definido por el artículo 2.2.1.1.1.3.1. del Decreto 1082 de 2015 como «el Conjunto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ocurra más tarde». </w:t>
      </w:r>
    </w:p>
    <w:p w14:paraId="7AAFE2E4" w14:textId="0F3DB6BF" w:rsidR="00AA4A09" w:rsidRPr="00064C30" w:rsidRDefault="005E26BD" w:rsidP="00064C30">
      <w:pPr>
        <w:tabs>
          <w:tab w:val="left" w:pos="426"/>
        </w:tabs>
        <w:spacing w:before="120" w:after="120" w:line="276" w:lineRule="auto"/>
        <w:ind w:firstLine="709"/>
        <w:jc w:val="both"/>
        <w:rPr>
          <w:rFonts w:ascii="Arial" w:eastAsia="Calibri" w:hAnsi="Arial" w:cs="Arial"/>
          <w:bCs/>
          <w:color w:val="000000" w:themeColor="text1"/>
          <w:sz w:val="22"/>
          <w:szCs w:val="22"/>
          <w:lang w:val="es-ES"/>
        </w:rPr>
      </w:pPr>
      <w:r w:rsidRPr="009A69B5">
        <w:rPr>
          <w:rFonts w:ascii="Arial" w:eastAsia="Calibri" w:hAnsi="Arial" w:cs="Arial"/>
          <w:bCs/>
          <w:color w:val="000000" w:themeColor="text1"/>
          <w:sz w:val="22"/>
          <w:szCs w:val="22"/>
          <w:lang w:val="es-ES"/>
        </w:rPr>
        <w:lastRenderedPageBreak/>
        <w:t xml:space="preserve">Con base en estas consideraciones la Contraloría General de la República ha dicho que </w:t>
      </w:r>
      <w:r w:rsidRPr="009A69B5">
        <w:rPr>
          <w:rFonts w:ascii="Verdana" w:eastAsia="Calibri" w:hAnsi="Verdana" w:cs="Arial"/>
          <w:bCs/>
          <w:color w:val="000000" w:themeColor="text1"/>
          <w:sz w:val="22"/>
          <w:szCs w:val="22"/>
          <w:lang w:val="es-ES"/>
        </w:rPr>
        <w:t>«</w:t>
      </w:r>
      <w:r w:rsidRPr="009A69B5">
        <w:rPr>
          <w:rFonts w:ascii="Arial" w:eastAsia="Calibri" w:hAnsi="Arial" w:cs="Arial"/>
          <w:bCs/>
          <w:color w:val="000000" w:themeColor="text1"/>
          <w:sz w:val="22"/>
          <w:szCs w:val="22"/>
          <w:lang w:val="es-ES"/>
        </w:rPr>
        <w:t>El control social a la contratación pública puede ser (i) durante la etapa de planeación; (ii) durante la etapa de selección; (iii) durante la etapa de contratación; (iv) durante la etapa de ejecución; y (v) después de la finalización del proceso de compra y contratación</w:t>
      </w:r>
      <w:r w:rsidRPr="009A69B5">
        <w:rPr>
          <w:rFonts w:ascii="Verdana" w:eastAsia="Calibri" w:hAnsi="Verdana" w:cs="Arial"/>
          <w:bCs/>
          <w:color w:val="000000" w:themeColor="text1"/>
          <w:sz w:val="22"/>
          <w:szCs w:val="22"/>
          <w:lang w:val="es-ES"/>
        </w:rPr>
        <w:t>».</w:t>
      </w:r>
      <w:r w:rsidR="001A6772" w:rsidRPr="009A69B5">
        <w:rPr>
          <w:rFonts w:ascii="Arial" w:eastAsia="Calibri" w:hAnsi="Arial" w:cs="Arial"/>
          <w:bCs/>
          <w:color w:val="000000" w:themeColor="text1"/>
          <w:sz w:val="22"/>
          <w:szCs w:val="22"/>
          <w:lang w:val="es-ES"/>
        </w:rPr>
        <w:t xml:space="preserve"> </w:t>
      </w:r>
      <w:r w:rsidR="00064C30">
        <w:rPr>
          <w:rFonts w:ascii="Arial" w:eastAsia="Calibri" w:hAnsi="Arial" w:cs="Arial"/>
          <w:bCs/>
          <w:color w:val="000000" w:themeColor="text1"/>
          <w:sz w:val="22"/>
          <w:szCs w:val="22"/>
          <w:lang w:val="es-ES"/>
        </w:rPr>
        <w:t xml:space="preserve">La manera en la que se puede ejercer el Control social en cada una de estas etapas fue explicada en el cuerpo principal de este concepto. </w:t>
      </w:r>
    </w:p>
    <w:p w14:paraId="22BA9336" w14:textId="77777777" w:rsidR="00064C30" w:rsidRDefault="00064C30" w:rsidP="00064C30">
      <w:pPr>
        <w:pStyle w:val="Prrafodelista"/>
        <w:tabs>
          <w:tab w:val="left" w:pos="284"/>
        </w:tabs>
        <w:spacing w:before="0" w:after="0" w:line="240" w:lineRule="auto"/>
        <w:ind w:left="709" w:right="760"/>
        <w:rPr>
          <w:rFonts w:ascii="Arial" w:eastAsia="Calibri" w:hAnsi="Arial" w:cs="Arial"/>
          <w:color w:val="000000" w:themeColor="text1"/>
          <w:sz w:val="21"/>
          <w:szCs w:val="21"/>
          <w:lang w:val="es-ES"/>
        </w:rPr>
      </w:pPr>
    </w:p>
    <w:p w14:paraId="3A63D30B" w14:textId="3E6779DB" w:rsidR="0037744C" w:rsidRDefault="002538AC" w:rsidP="00064C30">
      <w:pPr>
        <w:pStyle w:val="Prrafodelista"/>
        <w:tabs>
          <w:tab w:val="left" w:pos="284"/>
        </w:tabs>
        <w:spacing w:before="0" w:after="0" w:line="240" w:lineRule="auto"/>
        <w:ind w:left="709" w:right="760"/>
        <w:rPr>
          <w:rFonts w:ascii="Arial" w:eastAsia="Calibri" w:hAnsi="Arial" w:cs="Arial"/>
          <w:color w:val="000000" w:themeColor="text1"/>
          <w:sz w:val="21"/>
          <w:szCs w:val="21"/>
          <w:lang w:val="es-ES"/>
        </w:rPr>
      </w:pPr>
      <w:r w:rsidRPr="009A69B5">
        <w:rPr>
          <w:rFonts w:ascii="Arial" w:eastAsia="Calibri" w:hAnsi="Arial" w:cs="Arial"/>
          <w:color w:val="000000" w:themeColor="text1"/>
          <w:sz w:val="21"/>
          <w:szCs w:val="21"/>
          <w:lang w:val="es-ES"/>
        </w:rPr>
        <w:t xml:space="preserve">(vi) ¿Qué herramientas tiene la ciudadanía para ejercer este control cuando las entidades señalan que la única correspondencia válida para evaluar todas las cuestiones referentes al proceso es a través del SECOP II, y la plataforma no está habilitada para que, al interior del proceso en cuestión, personas distintas a los proponentes puedan presentar observaciones o plantear situaciones particulares en desarrollo del mismo? </w:t>
      </w:r>
    </w:p>
    <w:p w14:paraId="4462EB4A" w14:textId="77777777" w:rsidR="00064C30" w:rsidRPr="009A69B5" w:rsidRDefault="00064C30" w:rsidP="00064C30">
      <w:pPr>
        <w:pStyle w:val="Prrafodelista"/>
        <w:tabs>
          <w:tab w:val="left" w:pos="284"/>
        </w:tabs>
        <w:spacing w:before="0" w:after="0" w:line="240" w:lineRule="auto"/>
        <w:ind w:left="709" w:right="760"/>
        <w:rPr>
          <w:rFonts w:ascii="Arial" w:eastAsia="Calibri" w:hAnsi="Arial" w:cs="Arial"/>
          <w:color w:val="000000" w:themeColor="text1"/>
          <w:sz w:val="21"/>
          <w:szCs w:val="21"/>
          <w:lang w:val="es-ES"/>
        </w:rPr>
      </w:pPr>
    </w:p>
    <w:p w14:paraId="0810E622" w14:textId="7D4C30B7" w:rsidR="005E26BD" w:rsidRPr="009A69B5" w:rsidRDefault="005E26BD" w:rsidP="005E26BD">
      <w:pPr>
        <w:tabs>
          <w:tab w:val="left" w:pos="426"/>
        </w:tabs>
        <w:spacing w:after="120" w:line="276" w:lineRule="auto"/>
        <w:jc w:val="both"/>
        <w:rPr>
          <w:rFonts w:ascii="Arial" w:eastAsia="Calibri" w:hAnsi="Arial" w:cs="Arial"/>
          <w:bCs/>
          <w:color w:val="000000" w:themeColor="text1"/>
          <w:sz w:val="22"/>
          <w:szCs w:val="22"/>
          <w:lang w:val="es-ES"/>
        </w:rPr>
      </w:pPr>
      <w:r w:rsidRPr="009A69B5">
        <w:rPr>
          <w:rFonts w:ascii="Arial" w:eastAsia="Calibri" w:hAnsi="Arial" w:cs="Arial"/>
          <w:bCs/>
          <w:color w:val="000000" w:themeColor="text1"/>
          <w:sz w:val="22"/>
          <w:szCs w:val="22"/>
          <w:lang w:val="es-ES"/>
        </w:rPr>
        <w:t xml:space="preserve">Pasada la etapa de planeación, se inicia la etapa de selección de los contratistas, estos procedimientos, en tanto procedimientos administrativos, son públicos, así como son públicos todos los documentos que se profieren con ocasión de ellos, salvo las excepciones legales. Esta publicidad de los procedimientos de selección conlleva, desde una perspectiva legal y constitucional, que cualquier ciudadano tiene la posibilidad de </w:t>
      </w:r>
      <w:r w:rsidR="00063AA7" w:rsidRPr="009A69B5">
        <w:rPr>
          <w:rFonts w:ascii="Arial" w:eastAsia="Calibri" w:hAnsi="Arial" w:cs="Arial"/>
          <w:bCs/>
          <w:color w:val="000000" w:themeColor="text1"/>
          <w:sz w:val="22"/>
          <w:szCs w:val="22"/>
          <w:lang w:val="es-ES"/>
        </w:rPr>
        <w:t>participar en</w:t>
      </w:r>
      <w:r w:rsidRPr="009A69B5">
        <w:rPr>
          <w:rFonts w:ascii="Arial" w:eastAsia="Calibri" w:hAnsi="Arial" w:cs="Arial"/>
          <w:bCs/>
          <w:color w:val="000000" w:themeColor="text1"/>
          <w:sz w:val="22"/>
          <w:szCs w:val="22"/>
          <w:lang w:val="es-ES"/>
        </w:rPr>
        <w:t xml:space="preserve"> el procedimiento y la gestión, presentar observaciones, asistir a las audiencias públicas, y solicitar a la entidad información y acceso a los documentos del proceso de contratación. </w:t>
      </w:r>
    </w:p>
    <w:p w14:paraId="0B594B12" w14:textId="77777777" w:rsidR="005E26BD" w:rsidRPr="009A69B5" w:rsidRDefault="005E26BD" w:rsidP="005E26BD">
      <w:pPr>
        <w:tabs>
          <w:tab w:val="left" w:pos="426"/>
        </w:tabs>
        <w:spacing w:after="120" w:line="276" w:lineRule="auto"/>
        <w:ind w:firstLine="709"/>
        <w:jc w:val="both"/>
        <w:rPr>
          <w:rFonts w:ascii="Arial" w:eastAsia="Calibri" w:hAnsi="Arial" w:cs="Arial"/>
          <w:bCs/>
          <w:color w:val="000000" w:themeColor="text1"/>
          <w:sz w:val="22"/>
          <w:szCs w:val="22"/>
          <w:lang w:val="es-ES"/>
        </w:rPr>
      </w:pPr>
      <w:r w:rsidRPr="009A69B5">
        <w:rPr>
          <w:rFonts w:ascii="Arial" w:eastAsia="Calibri" w:hAnsi="Arial" w:cs="Arial"/>
          <w:bCs/>
          <w:color w:val="000000" w:themeColor="text1"/>
          <w:sz w:val="22"/>
          <w:szCs w:val="22"/>
          <w:lang w:val="es-ES"/>
        </w:rPr>
        <w:t>Adicionalmente, se debe poner de presente que el legislador ha decidido otorgar un mayor grado de transparencia a los procedimientos de selección de contratistas, si se comparan con otros aspectos de la gestión pública. En este ámbito no existe transparencia solamente pasiva, en donde los ciudadanos pueden requerir información y documentación, sino también transparencia en sentido activo, esto es, que la entidad se encuentra obligada a publicar toda la documentación de los procesos de selección en el SECOP y en la página web de la entidad contratante sin que ningún ciudadano así lo solicite.</w:t>
      </w:r>
    </w:p>
    <w:p w14:paraId="7BA1A529" w14:textId="6EF5D1F7" w:rsidR="005E26BD" w:rsidRDefault="005E26BD" w:rsidP="005E26BD">
      <w:pPr>
        <w:tabs>
          <w:tab w:val="left" w:pos="426"/>
        </w:tabs>
        <w:spacing w:after="120" w:line="276" w:lineRule="auto"/>
        <w:ind w:firstLine="709"/>
        <w:jc w:val="both"/>
        <w:rPr>
          <w:rFonts w:ascii="Arial" w:eastAsia="Calibri" w:hAnsi="Arial" w:cs="Arial"/>
          <w:bCs/>
          <w:color w:val="000000" w:themeColor="text1"/>
          <w:sz w:val="22"/>
          <w:szCs w:val="22"/>
          <w:lang w:val="es-ES"/>
        </w:rPr>
      </w:pPr>
      <w:r w:rsidRPr="009A69B5">
        <w:rPr>
          <w:rFonts w:ascii="Arial" w:eastAsia="Calibri" w:hAnsi="Arial" w:cs="Arial"/>
          <w:bCs/>
          <w:color w:val="000000" w:themeColor="text1"/>
          <w:sz w:val="22"/>
          <w:szCs w:val="22"/>
          <w:lang w:val="es-ES"/>
        </w:rPr>
        <w:t>Lo anterior, claro está, no se opone a la faceta que se ha denominado pasiva de la transparencia, pues cualquier persona sigue habilitada para presentar peticiones respetuosas ante las autoridades que adelantan procedimientos de selección de conformidad con las normas del Código de Procedimiento Administrativo y de lo Contencioso Administrativo</w:t>
      </w:r>
      <w:r w:rsidRPr="009A69B5">
        <w:rPr>
          <w:rStyle w:val="Refdenotaalpie"/>
          <w:rFonts w:ascii="Arial" w:eastAsia="Calibri" w:hAnsi="Arial" w:cs="Arial"/>
          <w:bCs/>
          <w:color w:val="000000" w:themeColor="text1"/>
          <w:sz w:val="22"/>
          <w:szCs w:val="22"/>
          <w:lang w:val="es-ES"/>
        </w:rPr>
        <w:footnoteReference w:id="15"/>
      </w:r>
      <w:r w:rsidR="00063AA7">
        <w:rPr>
          <w:rFonts w:ascii="Arial" w:eastAsia="Calibri" w:hAnsi="Arial" w:cs="Arial"/>
          <w:bCs/>
          <w:color w:val="000000" w:themeColor="text1"/>
          <w:sz w:val="22"/>
          <w:szCs w:val="22"/>
          <w:lang w:val="es-ES"/>
        </w:rPr>
        <w:t>.</w:t>
      </w:r>
      <w:r w:rsidRPr="009A69B5">
        <w:rPr>
          <w:rFonts w:ascii="Arial" w:eastAsia="Calibri" w:hAnsi="Arial" w:cs="Arial"/>
          <w:bCs/>
          <w:color w:val="000000" w:themeColor="text1"/>
          <w:sz w:val="22"/>
          <w:szCs w:val="22"/>
          <w:lang w:val="es-ES"/>
        </w:rPr>
        <w:t xml:space="preserve"> </w:t>
      </w:r>
    </w:p>
    <w:p w14:paraId="247A260D" w14:textId="12F11F69" w:rsidR="00A8669E" w:rsidRDefault="00064C30" w:rsidP="00064C30">
      <w:pPr>
        <w:tabs>
          <w:tab w:val="left" w:pos="426"/>
        </w:tabs>
        <w:spacing w:line="276" w:lineRule="auto"/>
        <w:ind w:firstLine="709"/>
        <w:jc w:val="both"/>
        <w:rPr>
          <w:rFonts w:ascii="Arial" w:hAnsi="Arial" w:cs="Arial"/>
          <w:color w:val="000000"/>
          <w:sz w:val="22"/>
          <w:szCs w:val="22"/>
          <w:lang w:val="es-ES" w:eastAsia="es-CO"/>
        </w:rPr>
      </w:pPr>
      <w:r>
        <w:rPr>
          <w:rFonts w:ascii="Arial" w:eastAsia="Calibri" w:hAnsi="Arial" w:cs="Arial"/>
          <w:bCs/>
          <w:color w:val="000000" w:themeColor="text1"/>
          <w:sz w:val="22"/>
          <w:szCs w:val="22"/>
          <w:lang w:val="es-ES"/>
        </w:rPr>
        <w:lastRenderedPageBreak/>
        <w:t>Ahora bien, sobre el caso particular de la plataforma del SECOP debe recordarse que los ciudadanos no son parte del procedimiento de selección. Por lo mismo, carecen de las mismas facultades otorgadas a las partes del procedimiento. El control social se ejerce sobre, pero no dentro de los procedimientos, y por ello no puede desestructurarse el proceso de contratación completamente so pretexto de respetar el derecho al control social. Sobre el punto e</w:t>
      </w:r>
      <w:r w:rsidRPr="009A69B5">
        <w:rPr>
          <w:rFonts w:ascii="Arial" w:eastAsia="Calibri" w:hAnsi="Arial" w:cs="Arial"/>
          <w:bCs/>
          <w:color w:val="000000" w:themeColor="text1"/>
          <w:sz w:val="22"/>
          <w:szCs w:val="22"/>
          <w:lang w:val="es-ES"/>
        </w:rPr>
        <w:t>s importante recordar que los procedimiento</w:t>
      </w:r>
      <w:r>
        <w:rPr>
          <w:rFonts w:ascii="Arial" w:eastAsia="Calibri" w:hAnsi="Arial" w:cs="Arial"/>
          <w:bCs/>
          <w:color w:val="000000" w:themeColor="text1"/>
          <w:sz w:val="22"/>
          <w:szCs w:val="22"/>
          <w:lang w:val="es-ES"/>
        </w:rPr>
        <w:t>s</w:t>
      </w:r>
      <w:r w:rsidRPr="009A69B5">
        <w:rPr>
          <w:rFonts w:ascii="Arial" w:eastAsia="Calibri" w:hAnsi="Arial" w:cs="Arial"/>
          <w:bCs/>
          <w:color w:val="000000" w:themeColor="text1"/>
          <w:sz w:val="22"/>
          <w:szCs w:val="22"/>
          <w:lang w:val="es-ES"/>
        </w:rPr>
        <w:t xml:space="preserve"> de selección de contratistas son procedimientos administrativos y de conformidad con el artículo 77 de la Ley 80 de 1993, las normas sobre procedimiento general del código son aplicables a las actuaciones contractuales </w:t>
      </w:r>
      <w:r w:rsidRPr="009A69B5">
        <w:rPr>
          <w:rFonts w:ascii="Verdana" w:hAnsi="Verdana" w:cs="Arial"/>
          <w:color w:val="000000"/>
          <w:sz w:val="22"/>
          <w:szCs w:val="22"/>
          <w:lang w:val="es-ES" w:eastAsia="es-CO"/>
        </w:rPr>
        <w:t>«</w:t>
      </w:r>
      <w:r w:rsidRPr="009A69B5">
        <w:rPr>
          <w:rFonts w:ascii="Arial" w:hAnsi="Arial" w:cs="Arial"/>
          <w:color w:val="000000"/>
          <w:sz w:val="22"/>
          <w:szCs w:val="22"/>
          <w:lang w:val="es-ES" w:eastAsia="es-CO"/>
        </w:rPr>
        <w:t>[E]n cuanto sean compatibles con la finalidad y los principios de esta ley (…)</w:t>
      </w:r>
      <w:r w:rsidRPr="009A69B5">
        <w:rPr>
          <w:rFonts w:ascii="Verdana" w:hAnsi="Verdana" w:cs="Arial"/>
          <w:color w:val="000000"/>
          <w:sz w:val="22"/>
          <w:szCs w:val="22"/>
          <w:lang w:val="es-ES" w:eastAsia="es-CO"/>
        </w:rPr>
        <w:t>»</w:t>
      </w:r>
      <w:r w:rsidRPr="009A69B5">
        <w:rPr>
          <w:rFonts w:ascii="Arial" w:hAnsi="Arial" w:cs="Arial"/>
          <w:color w:val="000000"/>
          <w:sz w:val="22"/>
          <w:szCs w:val="22"/>
          <w:lang w:val="es-ES" w:eastAsia="es-CO"/>
        </w:rPr>
        <w:t xml:space="preserve">. </w:t>
      </w:r>
    </w:p>
    <w:p w14:paraId="6C3C8C97" w14:textId="77777777" w:rsidR="00064C30" w:rsidRPr="00064C30" w:rsidRDefault="00064C30" w:rsidP="00064C30">
      <w:pPr>
        <w:tabs>
          <w:tab w:val="left" w:pos="426"/>
        </w:tabs>
        <w:spacing w:line="276" w:lineRule="auto"/>
        <w:ind w:firstLine="709"/>
        <w:jc w:val="both"/>
        <w:rPr>
          <w:rFonts w:ascii="Arial" w:eastAsia="Calibri" w:hAnsi="Arial" w:cs="Arial"/>
          <w:bCs/>
          <w:color w:val="000000" w:themeColor="text1"/>
          <w:sz w:val="22"/>
          <w:szCs w:val="22"/>
          <w:lang w:val="es-ES"/>
        </w:rPr>
      </w:pPr>
    </w:p>
    <w:p w14:paraId="313DA6C2" w14:textId="260845A2" w:rsidR="00A8669E" w:rsidRPr="009A69B5" w:rsidRDefault="002538AC" w:rsidP="00064C30">
      <w:pPr>
        <w:pStyle w:val="Prrafodelista"/>
        <w:tabs>
          <w:tab w:val="left" w:pos="284"/>
        </w:tabs>
        <w:spacing w:before="0" w:after="0" w:line="240" w:lineRule="auto"/>
        <w:ind w:left="709" w:right="760"/>
        <w:rPr>
          <w:rFonts w:ascii="Arial" w:eastAsia="Calibri" w:hAnsi="Arial" w:cs="Arial"/>
          <w:color w:val="000000" w:themeColor="text1"/>
          <w:sz w:val="21"/>
          <w:szCs w:val="21"/>
          <w:lang w:val="es-ES"/>
        </w:rPr>
      </w:pPr>
      <w:r w:rsidRPr="009A69B5">
        <w:rPr>
          <w:rFonts w:ascii="Arial" w:eastAsia="Calibri" w:hAnsi="Arial" w:cs="Arial"/>
          <w:color w:val="000000" w:themeColor="text1"/>
          <w:sz w:val="21"/>
          <w:szCs w:val="21"/>
          <w:lang w:val="es-ES"/>
        </w:rPr>
        <w:t xml:space="preserve">(vii) ¿Podría la ciudadanía remitir correos electrónicos al correo contemplado por las entidades estatales para los casos de indisponibilidad (artículo 2.2.1.2.1.2.6. del Decreto 1082 de 2015) con el fin de ejercer la prerrogativa de control social cuando el SECOP II no se encuentre habilitado para ello? </w:t>
      </w:r>
    </w:p>
    <w:p w14:paraId="266427F4" w14:textId="77777777" w:rsidR="0023336E" w:rsidRPr="009A69B5" w:rsidRDefault="0023336E" w:rsidP="00AA4A09">
      <w:pPr>
        <w:pStyle w:val="Prrafodelista"/>
        <w:tabs>
          <w:tab w:val="left" w:pos="284"/>
        </w:tabs>
        <w:ind w:left="708" w:right="758"/>
        <w:rPr>
          <w:rFonts w:ascii="Arial" w:eastAsia="Calibri" w:hAnsi="Arial" w:cs="Arial"/>
          <w:color w:val="000000" w:themeColor="text1"/>
          <w:sz w:val="21"/>
          <w:szCs w:val="21"/>
          <w:lang w:val="es-ES"/>
        </w:rPr>
      </w:pPr>
    </w:p>
    <w:p w14:paraId="317072BB" w14:textId="5314A851" w:rsidR="00A8669E" w:rsidRPr="006727B4" w:rsidRDefault="00064C30" w:rsidP="00AA4A09">
      <w:pPr>
        <w:pStyle w:val="Prrafodelista"/>
        <w:tabs>
          <w:tab w:val="left" w:pos="284"/>
        </w:tabs>
        <w:ind w:left="0"/>
        <w:rPr>
          <w:rFonts w:ascii="Arial" w:eastAsia="Calibri" w:hAnsi="Arial" w:cs="Arial"/>
          <w:bCs/>
          <w:color w:val="000000" w:themeColor="text1"/>
          <w:sz w:val="22"/>
          <w:lang w:val="es-ES"/>
        </w:rPr>
      </w:pPr>
      <w:r>
        <w:rPr>
          <w:rFonts w:ascii="Arial" w:eastAsia="Calibri" w:hAnsi="Arial" w:cs="Arial"/>
          <w:bCs/>
          <w:color w:val="000000" w:themeColor="text1"/>
          <w:sz w:val="22"/>
          <w:lang w:val="es-ES"/>
        </w:rPr>
        <w:t>Como se ha indicado en reiteradas ocasiones, la existencia de un proceso de selección no implica que dejen de existir los derechos derivados del control social, y por lo mismo los ciudadanos siguen autorizados para ejercer sus derechos</w:t>
      </w:r>
      <w:r w:rsidR="006727B4">
        <w:rPr>
          <w:rFonts w:ascii="Arial" w:eastAsia="Calibri" w:hAnsi="Arial" w:cs="Arial"/>
          <w:bCs/>
          <w:color w:val="000000" w:themeColor="text1"/>
          <w:sz w:val="22"/>
          <w:lang w:val="es-ES"/>
        </w:rPr>
        <w:t xml:space="preserve"> de conformidad con el ordenamiento</w:t>
      </w:r>
      <w:r>
        <w:rPr>
          <w:rFonts w:ascii="Arial" w:eastAsia="Calibri" w:hAnsi="Arial" w:cs="Arial"/>
          <w:bCs/>
          <w:color w:val="000000" w:themeColor="text1"/>
          <w:sz w:val="22"/>
          <w:lang w:val="es-ES"/>
        </w:rPr>
        <w:t xml:space="preserve">, como el de </w:t>
      </w:r>
      <w:r w:rsidR="006727B4">
        <w:rPr>
          <w:rFonts w:ascii="Arial" w:eastAsia="Calibri" w:hAnsi="Arial" w:cs="Arial"/>
          <w:bCs/>
          <w:color w:val="000000" w:themeColor="text1"/>
          <w:sz w:val="22"/>
          <w:lang w:val="es-ES"/>
        </w:rPr>
        <w:t>presentar peticiones por medios electrónicos</w:t>
      </w:r>
      <w:r>
        <w:rPr>
          <w:rFonts w:ascii="Arial" w:eastAsia="Calibri" w:hAnsi="Arial" w:cs="Arial"/>
          <w:bCs/>
          <w:color w:val="000000" w:themeColor="text1"/>
          <w:sz w:val="22"/>
          <w:lang w:val="es-ES"/>
        </w:rPr>
        <w:t xml:space="preserve">, sobre el procedimiento de selección, de igual manera, la autoridad sigue en la obligación de resolver las peticiones. Se recuerda que ello no puede ser razón para desestructurar el procedimiento de selección o impedir que el procedimiento avance. Por ello, </w:t>
      </w:r>
      <w:r w:rsidRPr="009A69B5">
        <w:rPr>
          <w:rFonts w:ascii="Arial" w:hAnsi="Arial" w:cs="Arial"/>
          <w:color w:val="000000"/>
          <w:sz w:val="22"/>
          <w:lang w:val="es-ES" w:eastAsia="es-CO"/>
        </w:rPr>
        <w:t xml:space="preserve">si un ciudadano ejerce su derecho de petición, </w:t>
      </w:r>
      <w:r w:rsidR="006727B4">
        <w:rPr>
          <w:rFonts w:ascii="Arial" w:hAnsi="Arial" w:cs="Arial"/>
          <w:color w:val="000000"/>
          <w:sz w:val="22"/>
          <w:lang w:val="es-ES" w:eastAsia="es-CO"/>
        </w:rPr>
        <w:t>este</w:t>
      </w:r>
      <w:r w:rsidRPr="009A69B5">
        <w:rPr>
          <w:rFonts w:ascii="Arial" w:hAnsi="Arial" w:cs="Arial"/>
          <w:color w:val="000000"/>
          <w:sz w:val="22"/>
          <w:lang w:val="es-ES" w:eastAsia="es-CO"/>
        </w:rPr>
        <w:t xml:space="preserve"> ejercicio no puede convertirse en un impedimento para continuar a la etapa subsiguiente del trámite. No obstante, se advierte, si se trata de una petición en la cual se </w:t>
      </w:r>
      <w:r>
        <w:rPr>
          <w:rFonts w:ascii="Arial" w:hAnsi="Arial" w:cs="Arial"/>
          <w:color w:val="000000"/>
          <w:sz w:val="22"/>
          <w:lang w:val="es-ES" w:eastAsia="es-CO"/>
        </w:rPr>
        <w:t>indican</w:t>
      </w:r>
      <w:r w:rsidRPr="009A69B5">
        <w:rPr>
          <w:rFonts w:ascii="Arial" w:hAnsi="Arial" w:cs="Arial"/>
          <w:color w:val="000000"/>
          <w:sz w:val="22"/>
          <w:lang w:val="es-ES" w:eastAsia="es-CO"/>
        </w:rPr>
        <w:t xml:space="preserve"> irregularidades en el trámite, la autoridad deberá ser cuidadosa y sin desestructurar el procedimiento podrá buscar dar resolución a las inquietudes ciudadanas. </w:t>
      </w:r>
    </w:p>
    <w:p w14:paraId="7DBEFEF0" w14:textId="77777777" w:rsidR="006727B4" w:rsidRDefault="006727B4" w:rsidP="006727B4">
      <w:pPr>
        <w:pStyle w:val="Prrafodelista"/>
        <w:tabs>
          <w:tab w:val="left" w:pos="284"/>
        </w:tabs>
        <w:spacing w:line="240" w:lineRule="auto"/>
        <w:ind w:left="708" w:right="758"/>
        <w:rPr>
          <w:rFonts w:ascii="Arial" w:eastAsia="Calibri" w:hAnsi="Arial" w:cs="Arial"/>
          <w:color w:val="000000" w:themeColor="text1"/>
          <w:sz w:val="21"/>
          <w:szCs w:val="21"/>
          <w:lang w:val="es-ES"/>
        </w:rPr>
      </w:pPr>
    </w:p>
    <w:p w14:paraId="71FCF626" w14:textId="5A8A111A" w:rsidR="00B000D8" w:rsidRPr="009A69B5" w:rsidRDefault="002538AC" w:rsidP="006727B4">
      <w:pPr>
        <w:pStyle w:val="Prrafodelista"/>
        <w:tabs>
          <w:tab w:val="left" w:pos="284"/>
        </w:tabs>
        <w:spacing w:line="240" w:lineRule="auto"/>
        <w:ind w:left="708" w:right="758"/>
        <w:rPr>
          <w:rFonts w:ascii="Arial" w:eastAsia="Calibri" w:hAnsi="Arial" w:cs="Arial"/>
          <w:color w:val="000000" w:themeColor="text1"/>
          <w:sz w:val="21"/>
          <w:szCs w:val="21"/>
          <w:lang w:val="es-ES"/>
        </w:rPr>
      </w:pPr>
      <w:r w:rsidRPr="009A69B5">
        <w:rPr>
          <w:rFonts w:ascii="Arial" w:eastAsia="Calibri" w:hAnsi="Arial" w:cs="Arial"/>
          <w:color w:val="000000" w:themeColor="text1"/>
          <w:sz w:val="21"/>
          <w:szCs w:val="21"/>
          <w:lang w:val="es-ES"/>
        </w:rPr>
        <w:lastRenderedPageBreak/>
        <w:t>(viii) ¿Qué tipo de acciones se pueden tomar frente a las entidades en caso que la plataforma SECOP II no permita a la ciudadanía participar en los respectivos procesos tal como se plantean en los escenarios 6 y 7 del presente escrito?</w:t>
      </w:r>
    </w:p>
    <w:p w14:paraId="1114992E" w14:textId="77777777" w:rsidR="0023336E" w:rsidRPr="009A69B5" w:rsidRDefault="0023336E" w:rsidP="00AA4A09">
      <w:pPr>
        <w:pStyle w:val="Prrafodelista"/>
        <w:tabs>
          <w:tab w:val="left" w:pos="284"/>
        </w:tabs>
        <w:ind w:left="708" w:right="758"/>
        <w:rPr>
          <w:rFonts w:ascii="Arial" w:eastAsia="Calibri" w:hAnsi="Arial" w:cs="Arial"/>
          <w:color w:val="000000" w:themeColor="text1"/>
          <w:sz w:val="21"/>
          <w:szCs w:val="21"/>
          <w:lang w:val="es-ES"/>
        </w:rPr>
      </w:pPr>
    </w:p>
    <w:p w14:paraId="7F21F609" w14:textId="32FBDA5B" w:rsidR="006727B4" w:rsidRDefault="006727B4" w:rsidP="0023336E">
      <w:pPr>
        <w:pStyle w:val="Prrafodelista"/>
        <w:tabs>
          <w:tab w:val="left" w:pos="284"/>
        </w:tabs>
        <w:spacing w:before="0"/>
        <w:ind w:left="0"/>
        <w:rPr>
          <w:rFonts w:ascii="Arial" w:eastAsia="Calibri" w:hAnsi="Arial" w:cs="Arial"/>
          <w:color w:val="000000" w:themeColor="text1"/>
          <w:sz w:val="22"/>
          <w:lang w:val="es-ES"/>
        </w:rPr>
      </w:pPr>
      <w:r>
        <w:rPr>
          <w:rFonts w:ascii="Arial" w:eastAsia="Calibri" w:hAnsi="Arial" w:cs="Arial"/>
          <w:color w:val="000000" w:themeColor="text1"/>
          <w:sz w:val="22"/>
          <w:lang w:val="es-ES"/>
        </w:rPr>
        <w:t xml:space="preserve">Se reitera que los ciudadanos no son partes en estricto sentido, dentro de los procesos de selección. Por lo mismo, sus derechos se ejercen sobre el trámite, pero no dentro de él. Como consecuencia de ello, se remite a las respuestas 6 y 7 anteriores sobre el ejercicio y resolución de peticiones relacionadas con procedimientos de selección. </w:t>
      </w:r>
    </w:p>
    <w:p w14:paraId="45C2FF9E" w14:textId="77777777" w:rsidR="00D8247A" w:rsidRDefault="00D8247A" w:rsidP="001E0719">
      <w:pPr>
        <w:pStyle w:val="Prrafodelista"/>
        <w:tabs>
          <w:tab w:val="left" w:pos="284"/>
        </w:tabs>
        <w:spacing w:before="0" w:after="0"/>
        <w:ind w:left="0" w:firstLine="709"/>
        <w:rPr>
          <w:rFonts w:ascii="Arial" w:eastAsia="Calibri" w:hAnsi="Arial" w:cs="Arial"/>
          <w:color w:val="000000" w:themeColor="text1"/>
          <w:sz w:val="22"/>
          <w:lang w:val="es-ES"/>
        </w:rPr>
      </w:pPr>
    </w:p>
    <w:p w14:paraId="51323C3C" w14:textId="252E7757" w:rsidR="006727B4" w:rsidRPr="009A69B5" w:rsidRDefault="006727B4" w:rsidP="001E0719">
      <w:pPr>
        <w:pStyle w:val="Prrafodelista"/>
        <w:tabs>
          <w:tab w:val="left" w:pos="284"/>
        </w:tabs>
        <w:ind w:left="0" w:firstLine="709"/>
        <w:rPr>
          <w:rFonts w:ascii="Arial" w:eastAsia="Calibri" w:hAnsi="Arial" w:cs="Arial"/>
          <w:bCs/>
          <w:color w:val="000000" w:themeColor="text1"/>
          <w:sz w:val="22"/>
          <w:lang w:val="es-ES"/>
        </w:rPr>
      </w:pPr>
      <w:r>
        <w:rPr>
          <w:rFonts w:ascii="Arial" w:eastAsia="Calibri" w:hAnsi="Arial" w:cs="Arial"/>
          <w:color w:val="000000" w:themeColor="text1"/>
          <w:sz w:val="22"/>
          <w:lang w:val="es-ES"/>
        </w:rPr>
        <w:t>De igual manera, los ciudadanos podrían</w:t>
      </w:r>
      <w:r w:rsidR="0037744C" w:rsidRPr="009A69B5">
        <w:rPr>
          <w:rFonts w:ascii="Arial" w:eastAsia="Calibri" w:hAnsi="Arial" w:cs="Arial"/>
          <w:color w:val="000000" w:themeColor="text1"/>
          <w:sz w:val="22"/>
          <w:lang w:val="es-ES"/>
        </w:rPr>
        <w:t xml:space="preserve"> acudir a otros mecanismos para poder hacer efectivo</w:t>
      </w:r>
      <w:r>
        <w:rPr>
          <w:rFonts w:ascii="Arial" w:eastAsia="Calibri" w:hAnsi="Arial" w:cs="Arial"/>
          <w:color w:val="000000" w:themeColor="text1"/>
          <w:sz w:val="22"/>
          <w:lang w:val="es-ES"/>
        </w:rPr>
        <w:t xml:space="preserve">s </w:t>
      </w:r>
      <w:r w:rsidR="0037744C" w:rsidRPr="009A69B5">
        <w:rPr>
          <w:rFonts w:ascii="Arial" w:eastAsia="Calibri" w:hAnsi="Arial" w:cs="Arial"/>
          <w:color w:val="000000" w:themeColor="text1"/>
          <w:sz w:val="22"/>
          <w:lang w:val="es-ES"/>
        </w:rPr>
        <w:t>derecho</w:t>
      </w:r>
      <w:r>
        <w:rPr>
          <w:rFonts w:ascii="Arial" w:eastAsia="Calibri" w:hAnsi="Arial" w:cs="Arial"/>
          <w:color w:val="000000" w:themeColor="text1"/>
          <w:sz w:val="22"/>
          <w:lang w:val="es-ES"/>
        </w:rPr>
        <w:t>s</w:t>
      </w:r>
      <w:r w:rsidR="0037744C" w:rsidRPr="009A69B5">
        <w:rPr>
          <w:rFonts w:ascii="Arial" w:eastAsia="Calibri" w:hAnsi="Arial" w:cs="Arial"/>
          <w:color w:val="000000" w:themeColor="text1"/>
          <w:sz w:val="22"/>
          <w:lang w:val="es-ES"/>
        </w:rPr>
        <w:t xml:space="preserve"> </w:t>
      </w:r>
      <w:r>
        <w:rPr>
          <w:rFonts w:ascii="Arial" w:eastAsia="Calibri" w:hAnsi="Arial" w:cs="Arial"/>
          <w:color w:val="000000" w:themeColor="text1"/>
          <w:sz w:val="22"/>
          <w:lang w:val="es-ES"/>
        </w:rPr>
        <w:t>tales como</w:t>
      </w:r>
      <w:r w:rsidR="00AA4A09" w:rsidRPr="009A69B5">
        <w:rPr>
          <w:rFonts w:ascii="Arial" w:eastAsia="Calibri" w:hAnsi="Arial" w:cs="Arial"/>
          <w:color w:val="000000" w:themeColor="text1"/>
          <w:sz w:val="22"/>
          <w:lang w:val="es-ES"/>
        </w:rPr>
        <w:t>: s</w:t>
      </w:r>
      <w:r w:rsidR="0037744C" w:rsidRPr="009A69B5">
        <w:rPr>
          <w:rFonts w:ascii="Arial" w:eastAsia="Calibri" w:hAnsi="Arial" w:cs="Arial"/>
          <w:bCs/>
          <w:color w:val="000000" w:themeColor="text1"/>
          <w:sz w:val="22"/>
          <w:lang w:val="es-ES"/>
        </w:rPr>
        <w:t>olicitar la información pública que se requiera para el desarrollo de su labor, en los términos del Código de Procedimiento Administrativo y de lo Contencioso Administrativo;</w:t>
      </w:r>
      <w:r w:rsidR="00AA4A09" w:rsidRPr="009A69B5">
        <w:rPr>
          <w:rFonts w:ascii="Arial" w:eastAsia="Calibri" w:hAnsi="Arial" w:cs="Arial"/>
          <w:bCs/>
          <w:color w:val="000000" w:themeColor="text1"/>
          <w:sz w:val="22"/>
          <w:lang w:val="es-ES"/>
        </w:rPr>
        <w:t xml:space="preserve"> p</w:t>
      </w:r>
      <w:r w:rsidR="0037744C" w:rsidRPr="009A69B5">
        <w:rPr>
          <w:rFonts w:ascii="Arial" w:eastAsia="Calibri" w:hAnsi="Arial" w:cs="Arial"/>
          <w:bCs/>
          <w:color w:val="000000" w:themeColor="text1"/>
          <w:sz w:val="22"/>
          <w:lang w:val="es-ES"/>
        </w:rPr>
        <w:t>resentar observaciones de la labor desarrollada al ente encargado de la política pública;</w:t>
      </w:r>
      <w:r w:rsidR="00AA4A09" w:rsidRPr="009A69B5">
        <w:rPr>
          <w:rFonts w:ascii="Arial" w:eastAsia="Calibri" w:hAnsi="Arial" w:cs="Arial"/>
          <w:bCs/>
          <w:color w:val="000000" w:themeColor="text1"/>
          <w:sz w:val="22"/>
          <w:lang w:val="es-ES"/>
        </w:rPr>
        <w:t xml:space="preserve"> p</w:t>
      </w:r>
      <w:r w:rsidR="0037744C" w:rsidRPr="009A69B5">
        <w:rPr>
          <w:rFonts w:ascii="Arial" w:eastAsia="Calibri" w:hAnsi="Arial" w:cs="Arial"/>
          <w:bCs/>
          <w:color w:val="000000" w:themeColor="text1"/>
          <w:sz w:val="22"/>
          <w:lang w:val="es-ES"/>
        </w:rPr>
        <w:t>resentar peticiones, denuncias, quejas y reclamos a</w:t>
      </w:r>
      <w:r w:rsidR="00AA4A09" w:rsidRPr="009A69B5">
        <w:rPr>
          <w:rFonts w:ascii="Arial" w:eastAsia="Calibri" w:hAnsi="Arial" w:cs="Arial"/>
          <w:bCs/>
          <w:color w:val="000000" w:themeColor="text1"/>
          <w:sz w:val="22"/>
          <w:lang w:val="es-ES"/>
        </w:rPr>
        <w:t>nte las autoridades competentes; p</w:t>
      </w:r>
      <w:r w:rsidR="0037744C" w:rsidRPr="009A69B5">
        <w:rPr>
          <w:rFonts w:ascii="Arial" w:eastAsia="Calibri" w:hAnsi="Arial" w:cs="Arial"/>
          <w:bCs/>
          <w:color w:val="000000" w:themeColor="text1"/>
          <w:sz w:val="22"/>
          <w:lang w:val="es-ES"/>
        </w:rPr>
        <w:t>resentar acciones populares en los términos de la Ley 472 de 1998;</w:t>
      </w:r>
      <w:r w:rsidR="00AA4A09" w:rsidRPr="009A69B5">
        <w:rPr>
          <w:rFonts w:ascii="Arial" w:eastAsia="Calibri" w:hAnsi="Arial" w:cs="Arial"/>
          <w:bCs/>
          <w:color w:val="000000" w:themeColor="text1"/>
          <w:sz w:val="22"/>
          <w:lang w:val="es-ES"/>
        </w:rPr>
        <w:t xml:space="preserve"> p</w:t>
      </w:r>
      <w:r w:rsidR="0037744C" w:rsidRPr="009A69B5">
        <w:rPr>
          <w:rFonts w:ascii="Arial" w:eastAsia="Calibri" w:hAnsi="Arial" w:cs="Arial"/>
          <w:bCs/>
          <w:color w:val="000000" w:themeColor="text1"/>
          <w:sz w:val="22"/>
          <w:lang w:val="es-ES"/>
        </w:rPr>
        <w:t>resentar acciones de cumplimiento en los términos de la Ley 393 de 1997;</w:t>
      </w:r>
      <w:r w:rsidR="00AA4A09" w:rsidRPr="009A69B5">
        <w:rPr>
          <w:rFonts w:ascii="Arial" w:eastAsia="Calibri" w:hAnsi="Arial" w:cs="Arial"/>
          <w:bCs/>
          <w:color w:val="000000" w:themeColor="text1"/>
          <w:sz w:val="22"/>
          <w:lang w:val="es-ES"/>
        </w:rPr>
        <w:t xml:space="preserve"> p</w:t>
      </w:r>
      <w:r w:rsidR="0037744C" w:rsidRPr="009A69B5">
        <w:rPr>
          <w:rFonts w:ascii="Arial" w:eastAsia="Calibri" w:hAnsi="Arial" w:cs="Arial"/>
          <w:bCs/>
          <w:color w:val="000000" w:themeColor="text1"/>
          <w:sz w:val="22"/>
          <w:lang w:val="es-ES"/>
        </w:rPr>
        <w:t xml:space="preserve">resentar </w:t>
      </w:r>
      <w:r w:rsidR="003C6028">
        <w:rPr>
          <w:rFonts w:ascii="Arial" w:eastAsia="Calibri" w:hAnsi="Arial" w:cs="Arial"/>
          <w:bCs/>
          <w:color w:val="000000" w:themeColor="text1"/>
          <w:sz w:val="22"/>
          <w:lang w:val="es-ES"/>
        </w:rPr>
        <w:t>a</w:t>
      </w:r>
      <w:r w:rsidR="0037744C" w:rsidRPr="009A69B5">
        <w:rPr>
          <w:rFonts w:ascii="Arial" w:eastAsia="Calibri" w:hAnsi="Arial" w:cs="Arial"/>
          <w:bCs/>
          <w:color w:val="000000" w:themeColor="text1"/>
          <w:sz w:val="22"/>
          <w:lang w:val="es-ES"/>
        </w:rPr>
        <w:t xml:space="preserve">cciones de </w:t>
      </w:r>
      <w:r w:rsidR="003C6028">
        <w:rPr>
          <w:rFonts w:ascii="Arial" w:eastAsia="Calibri" w:hAnsi="Arial" w:cs="Arial"/>
          <w:bCs/>
          <w:color w:val="000000" w:themeColor="text1"/>
          <w:sz w:val="22"/>
          <w:lang w:val="es-ES"/>
        </w:rPr>
        <w:t>t</w:t>
      </w:r>
      <w:r w:rsidR="0037744C" w:rsidRPr="009A69B5">
        <w:rPr>
          <w:rFonts w:ascii="Arial" w:eastAsia="Calibri" w:hAnsi="Arial" w:cs="Arial"/>
          <w:bCs/>
          <w:color w:val="000000" w:themeColor="text1"/>
          <w:sz w:val="22"/>
          <w:lang w:val="es-ES"/>
        </w:rPr>
        <w:t>utela en los términos del Decreto número 2591 de 1991;</w:t>
      </w:r>
      <w:r w:rsidR="00AA4A09" w:rsidRPr="009A69B5">
        <w:rPr>
          <w:rFonts w:ascii="Arial" w:eastAsia="Calibri" w:hAnsi="Arial" w:cs="Arial"/>
          <w:bCs/>
          <w:color w:val="000000" w:themeColor="text1"/>
          <w:sz w:val="22"/>
          <w:lang w:val="es-ES"/>
        </w:rPr>
        <w:t xml:space="preserve"> p</w:t>
      </w:r>
      <w:r w:rsidR="0037744C" w:rsidRPr="009A69B5">
        <w:rPr>
          <w:rFonts w:ascii="Arial" w:eastAsia="Calibri" w:hAnsi="Arial" w:cs="Arial"/>
          <w:bCs/>
          <w:color w:val="000000" w:themeColor="text1"/>
          <w:sz w:val="22"/>
          <w:lang w:val="es-ES"/>
        </w:rPr>
        <w:t>articipar en Audiencias Públicas ante los entes que las convoq</w:t>
      </w:r>
      <w:r w:rsidR="00AA4A09" w:rsidRPr="009A69B5">
        <w:rPr>
          <w:rFonts w:ascii="Arial" w:eastAsia="Calibri" w:hAnsi="Arial" w:cs="Arial"/>
          <w:bCs/>
          <w:color w:val="000000" w:themeColor="text1"/>
          <w:sz w:val="22"/>
          <w:lang w:val="es-ES"/>
        </w:rPr>
        <w:t>uen o h</w:t>
      </w:r>
      <w:r w:rsidR="0037744C" w:rsidRPr="009A69B5">
        <w:rPr>
          <w:rFonts w:ascii="Arial" w:eastAsia="Calibri" w:hAnsi="Arial" w:cs="Arial"/>
          <w:bCs/>
          <w:color w:val="000000" w:themeColor="text1"/>
          <w:sz w:val="22"/>
          <w:lang w:val="es-ES"/>
        </w:rPr>
        <w:t>acer uso de los recursos y acciones legales que se requieran para el desarrollo del control social.</w:t>
      </w:r>
    </w:p>
    <w:p w14:paraId="6CFA1CD8" w14:textId="77777777" w:rsidR="001F4B84" w:rsidRPr="009A69B5" w:rsidRDefault="001F4B84" w:rsidP="0023336E">
      <w:pPr>
        <w:spacing w:before="120" w:after="120" w:line="276" w:lineRule="auto"/>
        <w:ind w:right="49"/>
        <w:jc w:val="both"/>
        <w:rPr>
          <w:rFonts w:ascii="Arial" w:eastAsia="Calibri" w:hAnsi="Arial" w:cs="Arial"/>
          <w:color w:val="000000" w:themeColor="text1"/>
          <w:sz w:val="22"/>
          <w:szCs w:val="22"/>
          <w:lang w:val="es-ES"/>
        </w:rPr>
      </w:pPr>
      <w:r w:rsidRPr="009A69B5">
        <w:rPr>
          <w:rFonts w:ascii="Arial" w:eastAsia="Calibri" w:hAnsi="Arial" w:cs="Arial"/>
          <w:color w:val="000000" w:themeColor="text1"/>
          <w:sz w:val="22"/>
          <w:szCs w:val="22"/>
          <w:lang w:val="es-ES"/>
        </w:rPr>
        <w:t xml:space="preserve">Este concepto tiene el alcance previsto en el artículo 28 del Código de Procedimiento Administrativo y de lo Contencioso Administrativo. </w:t>
      </w:r>
    </w:p>
    <w:p w14:paraId="601A0F75" w14:textId="77777777" w:rsidR="0023336E" w:rsidRPr="009A69B5" w:rsidRDefault="00A37FB6" w:rsidP="0023336E">
      <w:pPr>
        <w:spacing w:before="120" w:after="120" w:line="276" w:lineRule="auto"/>
        <w:ind w:right="49"/>
        <w:jc w:val="both"/>
        <w:rPr>
          <w:rFonts w:ascii="Arial" w:eastAsia="Calibri" w:hAnsi="Arial" w:cs="Arial"/>
          <w:color w:val="000000" w:themeColor="text1"/>
          <w:sz w:val="22"/>
          <w:szCs w:val="22"/>
          <w:lang w:val="es-ES"/>
        </w:rPr>
      </w:pPr>
      <w:r w:rsidRPr="009A69B5">
        <w:rPr>
          <w:rFonts w:ascii="Arial" w:hAnsi="Arial" w:cs="Arial"/>
          <w:noProof/>
          <w:color w:val="000000" w:themeColor="text1"/>
          <w:sz w:val="22"/>
          <w:szCs w:val="22"/>
          <w:lang w:val="en-US"/>
        </w:rPr>
        <mc:AlternateContent>
          <mc:Choice Requires="wps">
            <w:drawing>
              <wp:anchor distT="0" distB="0" distL="114300" distR="114300" simplePos="0" relativeHeight="251658240" behindDoc="0" locked="0" layoutInCell="1" allowOverlap="1" wp14:anchorId="2171F34F" wp14:editId="2B8FE3D5">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7E8ED926" id="Conector recto 1"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strokecolor="#dbdbdb">
                <w10:wrap anchorx="page"/>
              </v:line>
            </w:pict>
          </mc:Fallback>
        </mc:AlternateContent>
      </w:r>
    </w:p>
    <w:p w14:paraId="757D8361" w14:textId="2DC0FF97" w:rsidR="00BC2704" w:rsidRPr="009A69B5" w:rsidRDefault="00A37FB6" w:rsidP="0023336E">
      <w:pPr>
        <w:spacing w:before="120" w:after="120" w:line="276" w:lineRule="auto"/>
        <w:ind w:right="49"/>
        <w:jc w:val="both"/>
        <w:rPr>
          <w:rFonts w:ascii="Arial" w:eastAsia="Calibri" w:hAnsi="Arial" w:cs="Arial"/>
          <w:color w:val="000000" w:themeColor="text1"/>
          <w:sz w:val="22"/>
          <w:szCs w:val="22"/>
          <w:lang w:val="es-ES"/>
        </w:rPr>
      </w:pPr>
      <w:r w:rsidRPr="009A69B5">
        <w:rPr>
          <w:rFonts w:ascii="Arial" w:hAnsi="Arial" w:cs="Arial"/>
          <w:color w:val="000000" w:themeColor="text1"/>
          <w:sz w:val="22"/>
          <w:szCs w:val="22"/>
          <w:lang w:val="es-ES" w:eastAsia="es-CO"/>
        </w:rPr>
        <w:t>Atentamente,</w:t>
      </w:r>
    </w:p>
    <w:p w14:paraId="00797BD4" w14:textId="00251EE5" w:rsidR="00CC0FC1" w:rsidRPr="009A69B5" w:rsidRDefault="00F55D63" w:rsidP="0023336E">
      <w:pPr>
        <w:jc w:val="center"/>
        <w:rPr>
          <w:rFonts w:ascii="Arial" w:eastAsia="Calibri" w:hAnsi="Arial" w:cs="Arial"/>
          <w:color w:val="000000" w:themeColor="text1"/>
          <w:sz w:val="22"/>
          <w:lang w:val="es-ES"/>
        </w:rPr>
      </w:pPr>
      <w:r>
        <w:rPr>
          <w:noProof/>
          <w:lang w:val="en-US"/>
        </w:rPr>
        <w:drawing>
          <wp:inline distT="0" distB="0" distL="0" distR="0" wp14:anchorId="2B1ED7DD" wp14:editId="594BF441">
            <wp:extent cx="2773045" cy="988695"/>
            <wp:effectExtent l="0" t="0" r="0" b="0"/>
            <wp:docPr id="4" name="Imagen 4"/>
            <wp:cNvGraphicFramePr/>
            <a:graphic xmlns:a="http://schemas.openxmlformats.org/drawingml/2006/main">
              <a:graphicData uri="http://schemas.openxmlformats.org/drawingml/2006/picture">
                <pic:pic xmlns:pic="http://schemas.openxmlformats.org/drawingml/2006/picture">
                  <pic:nvPicPr>
                    <pic:cNvPr id="20" name="Imagen 20"/>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73045" cy="988695"/>
                    </a:xfrm>
                    <a:prstGeom prst="rect">
                      <a:avLst/>
                    </a:prstGeom>
                    <a:noFill/>
                  </pic:spPr>
                </pic:pic>
              </a:graphicData>
            </a:graphic>
          </wp:inline>
        </w:drawing>
      </w:r>
    </w:p>
    <w:p w14:paraId="1A7C9555" w14:textId="77777777" w:rsidR="0023336E" w:rsidRPr="009A69B5" w:rsidRDefault="0023336E" w:rsidP="00AA4A09">
      <w:pPr>
        <w:jc w:val="both"/>
        <w:rPr>
          <w:rFonts w:ascii="Arial" w:eastAsia="Calibri" w:hAnsi="Arial" w:cs="Arial"/>
          <w:color w:val="000000" w:themeColor="text1"/>
          <w:sz w:val="22"/>
          <w:lang w:val="es-ES"/>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7"/>
        <w:gridCol w:w="4413"/>
      </w:tblGrid>
      <w:tr w:rsidR="002C3AAD" w:rsidRPr="009A69B5" w14:paraId="5AA27DB8" w14:textId="77777777" w:rsidTr="002C3AAD">
        <w:trPr>
          <w:trHeight w:val="315"/>
        </w:trPr>
        <w:tc>
          <w:tcPr>
            <w:tcW w:w="887" w:type="dxa"/>
            <w:vAlign w:val="center"/>
            <w:hideMark/>
          </w:tcPr>
          <w:p w14:paraId="1A99583B" w14:textId="77777777" w:rsidR="002C3AAD" w:rsidRPr="009A69B5" w:rsidRDefault="002C3AAD" w:rsidP="0023336E">
            <w:pPr>
              <w:jc w:val="both"/>
              <w:rPr>
                <w:rFonts w:ascii="Arial" w:hAnsi="Arial" w:cs="Arial"/>
                <w:color w:val="000000" w:themeColor="text1"/>
                <w:sz w:val="16"/>
                <w:szCs w:val="16"/>
                <w:lang w:val="es-ES" w:eastAsia="es-ES"/>
              </w:rPr>
            </w:pPr>
            <w:r w:rsidRPr="009A69B5">
              <w:rPr>
                <w:rFonts w:ascii="Arial" w:hAnsi="Arial" w:cs="Arial"/>
                <w:color w:val="000000" w:themeColor="text1"/>
                <w:sz w:val="16"/>
                <w:szCs w:val="16"/>
                <w:lang w:val="es-ES" w:eastAsia="es-ES"/>
              </w:rPr>
              <w:t>Elaboró:</w:t>
            </w:r>
          </w:p>
        </w:tc>
        <w:tc>
          <w:tcPr>
            <w:tcW w:w="4413" w:type="dxa"/>
            <w:tcBorders>
              <w:top w:val="nil"/>
              <w:left w:val="nil"/>
              <w:bottom w:val="dotted" w:sz="4" w:space="0" w:color="7F7F7F" w:themeColor="text1" w:themeTint="80"/>
              <w:right w:val="nil"/>
            </w:tcBorders>
            <w:vAlign w:val="center"/>
            <w:hideMark/>
          </w:tcPr>
          <w:p w14:paraId="07DA83AA" w14:textId="3486015E" w:rsidR="002C3AAD" w:rsidRPr="009A69B5" w:rsidRDefault="002C3AAD" w:rsidP="0023336E">
            <w:pPr>
              <w:jc w:val="both"/>
              <w:rPr>
                <w:rFonts w:ascii="Arial" w:hAnsi="Arial" w:cs="Arial"/>
                <w:color w:val="000000" w:themeColor="text1"/>
                <w:sz w:val="16"/>
                <w:szCs w:val="16"/>
                <w:lang w:val="es-ES" w:eastAsia="es-ES"/>
              </w:rPr>
            </w:pPr>
            <w:r w:rsidRPr="009A69B5">
              <w:rPr>
                <w:rFonts w:ascii="Arial" w:hAnsi="Arial" w:cs="Arial"/>
                <w:color w:val="000000" w:themeColor="text1"/>
                <w:sz w:val="16"/>
                <w:szCs w:val="16"/>
                <w:lang w:val="es-ES" w:eastAsia="es-ES"/>
              </w:rPr>
              <w:t>Sebastián Barreto Cifuentes</w:t>
            </w:r>
          </w:p>
          <w:p w14:paraId="64F9B505" w14:textId="097ACFAF" w:rsidR="002C3AAD" w:rsidRPr="009A69B5" w:rsidRDefault="002C3AAD" w:rsidP="0023336E">
            <w:pPr>
              <w:jc w:val="both"/>
              <w:rPr>
                <w:rFonts w:ascii="Arial" w:hAnsi="Arial" w:cs="Arial"/>
                <w:color w:val="000000" w:themeColor="text1"/>
                <w:sz w:val="16"/>
                <w:szCs w:val="16"/>
                <w:lang w:val="es-ES" w:eastAsia="es-ES"/>
              </w:rPr>
            </w:pPr>
            <w:r w:rsidRPr="009A69B5">
              <w:rPr>
                <w:rFonts w:ascii="Arial" w:hAnsi="Arial" w:cs="Arial"/>
                <w:color w:val="000000" w:themeColor="text1"/>
                <w:sz w:val="16"/>
                <w:szCs w:val="16"/>
                <w:lang w:val="es-ES" w:eastAsia="es-ES"/>
              </w:rPr>
              <w:t>Contratista de la Dirección y Subdirección de Gestión Contractual</w:t>
            </w:r>
          </w:p>
        </w:tc>
      </w:tr>
      <w:tr w:rsidR="002C3AAD" w:rsidRPr="009A69B5" w14:paraId="7863A28A" w14:textId="77777777" w:rsidTr="002C3AAD">
        <w:trPr>
          <w:trHeight w:val="330"/>
        </w:trPr>
        <w:tc>
          <w:tcPr>
            <w:tcW w:w="887" w:type="dxa"/>
            <w:vAlign w:val="center"/>
            <w:hideMark/>
          </w:tcPr>
          <w:p w14:paraId="26BDF42E" w14:textId="77777777" w:rsidR="002C3AAD" w:rsidRPr="009A69B5" w:rsidRDefault="002C3AAD" w:rsidP="0023336E">
            <w:pPr>
              <w:jc w:val="both"/>
              <w:rPr>
                <w:rFonts w:ascii="Arial" w:hAnsi="Arial" w:cs="Arial"/>
                <w:color w:val="000000" w:themeColor="text1"/>
                <w:sz w:val="16"/>
                <w:szCs w:val="16"/>
                <w:lang w:val="es-ES" w:eastAsia="es-ES"/>
              </w:rPr>
            </w:pPr>
            <w:r w:rsidRPr="009A69B5">
              <w:rPr>
                <w:rFonts w:ascii="Arial" w:hAnsi="Arial" w:cs="Arial"/>
                <w:color w:val="000000" w:themeColor="text1"/>
                <w:sz w:val="16"/>
                <w:szCs w:val="16"/>
                <w:lang w:val="es-ES"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04D579C" w14:textId="02A51A67" w:rsidR="002C3AAD" w:rsidRPr="009A69B5" w:rsidRDefault="00B84BBC" w:rsidP="0023336E">
            <w:pPr>
              <w:jc w:val="both"/>
              <w:rPr>
                <w:rFonts w:ascii="Arial" w:hAnsi="Arial" w:cs="Arial"/>
                <w:color w:val="000000" w:themeColor="text1"/>
                <w:sz w:val="16"/>
                <w:szCs w:val="16"/>
                <w:lang w:val="es-ES" w:eastAsia="es-ES"/>
              </w:rPr>
            </w:pPr>
            <w:r>
              <w:rPr>
                <w:rFonts w:ascii="Arial" w:hAnsi="Arial" w:cs="Arial"/>
                <w:color w:val="000000" w:themeColor="text1"/>
                <w:sz w:val="16"/>
                <w:szCs w:val="16"/>
                <w:lang w:val="es-ES" w:eastAsia="es-ES"/>
              </w:rPr>
              <w:t>Cristian Andrés Díaz Díez</w:t>
            </w:r>
          </w:p>
          <w:p w14:paraId="1226DFC7" w14:textId="12F29413" w:rsidR="002C3AAD" w:rsidRPr="009A69B5" w:rsidRDefault="00B84BBC" w:rsidP="0023336E">
            <w:pPr>
              <w:jc w:val="both"/>
              <w:rPr>
                <w:rFonts w:ascii="Arial" w:hAnsi="Arial" w:cs="Arial"/>
                <w:color w:val="000000" w:themeColor="text1"/>
                <w:sz w:val="16"/>
                <w:szCs w:val="16"/>
                <w:lang w:val="es-ES" w:eastAsia="es-ES"/>
              </w:rPr>
            </w:pPr>
            <w:r>
              <w:rPr>
                <w:rFonts w:ascii="Arial" w:hAnsi="Arial" w:cs="Arial"/>
                <w:color w:val="000000" w:themeColor="text1"/>
                <w:sz w:val="16"/>
                <w:szCs w:val="16"/>
                <w:lang w:val="es-ES" w:eastAsia="es-ES"/>
              </w:rPr>
              <w:t xml:space="preserve">Contratista, </w:t>
            </w:r>
            <w:r w:rsidR="002C3AAD" w:rsidRPr="009A69B5">
              <w:rPr>
                <w:rFonts w:ascii="Arial" w:hAnsi="Arial" w:cs="Arial"/>
                <w:color w:val="000000" w:themeColor="text1"/>
                <w:sz w:val="16"/>
                <w:szCs w:val="16"/>
                <w:lang w:val="es-ES" w:eastAsia="es-ES"/>
              </w:rPr>
              <w:t>Subdirec</w:t>
            </w:r>
            <w:r w:rsidR="003C2087">
              <w:rPr>
                <w:rFonts w:ascii="Arial" w:hAnsi="Arial" w:cs="Arial"/>
                <w:color w:val="000000" w:themeColor="text1"/>
                <w:sz w:val="16"/>
                <w:szCs w:val="16"/>
                <w:lang w:val="es-ES" w:eastAsia="es-ES"/>
              </w:rPr>
              <w:t>ción</w:t>
            </w:r>
            <w:r w:rsidR="002C3AAD" w:rsidRPr="009A69B5">
              <w:rPr>
                <w:rFonts w:ascii="Arial" w:hAnsi="Arial" w:cs="Arial"/>
                <w:color w:val="000000" w:themeColor="text1"/>
                <w:sz w:val="16"/>
                <w:szCs w:val="16"/>
                <w:lang w:val="es-ES" w:eastAsia="es-ES"/>
              </w:rPr>
              <w:t xml:space="preserve"> de Gestión Contractual</w:t>
            </w:r>
          </w:p>
        </w:tc>
      </w:tr>
      <w:tr w:rsidR="002C3AAD" w:rsidRPr="009A69B5" w14:paraId="2D6C753F" w14:textId="77777777" w:rsidTr="002C3AAD">
        <w:trPr>
          <w:trHeight w:val="300"/>
        </w:trPr>
        <w:tc>
          <w:tcPr>
            <w:tcW w:w="887" w:type="dxa"/>
            <w:vAlign w:val="center"/>
            <w:hideMark/>
          </w:tcPr>
          <w:p w14:paraId="215F92C1" w14:textId="77777777" w:rsidR="002C3AAD" w:rsidRPr="009A69B5" w:rsidRDefault="002C3AAD" w:rsidP="0023336E">
            <w:pPr>
              <w:jc w:val="both"/>
              <w:rPr>
                <w:rFonts w:ascii="Arial" w:hAnsi="Arial" w:cs="Arial"/>
                <w:color w:val="000000" w:themeColor="text1"/>
                <w:sz w:val="16"/>
                <w:szCs w:val="16"/>
                <w:lang w:val="es-ES" w:eastAsia="es-ES"/>
              </w:rPr>
            </w:pPr>
            <w:r w:rsidRPr="009A69B5">
              <w:rPr>
                <w:rFonts w:ascii="Arial" w:hAnsi="Arial" w:cs="Arial"/>
                <w:color w:val="000000" w:themeColor="text1"/>
                <w:sz w:val="16"/>
                <w:szCs w:val="16"/>
                <w:lang w:val="es-ES"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A8DAB16" w14:textId="77777777" w:rsidR="002C3AAD" w:rsidRPr="009A69B5" w:rsidRDefault="002C3AAD" w:rsidP="0023336E">
            <w:pPr>
              <w:jc w:val="both"/>
              <w:rPr>
                <w:rFonts w:ascii="Arial" w:hAnsi="Arial" w:cs="Arial"/>
                <w:color w:val="000000" w:themeColor="text1"/>
                <w:sz w:val="16"/>
                <w:szCs w:val="16"/>
                <w:lang w:val="es-ES" w:eastAsia="es-ES"/>
              </w:rPr>
            </w:pPr>
            <w:r w:rsidRPr="009A69B5">
              <w:rPr>
                <w:rFonts w:ascii="Arial" w:hAnsi="Arial" w:cs="Arial"/>
                <w:color w:val="000000" w:themeColor="text1"/>
                <w:sz w:val="16"/>
                <w:szCs w:val="16"/>
                <w:lang w:val="es-ES" w:eastAsia="es-ES"/>
              </w:rPr>
              <w:t>Fabián Gonzalo Marín Cortés</w:t>
            </w:r>
          </w:p>
          <w:p w14:paraId="57E954F1" w14:textId="77777777" w:rsidR="002C3AAD" w:rsidRPr="009A69B5" w:rsidRDefault="002C3AAD" w:rsidP="0023336E">
            <w:pPr>
              <w:jc w:val="both"/>
              <w:rPr>
                <w:rFonts w:ascii="Arial" w:hAnsi="Arial" w:cs="Arial"/>
                <w:color w:val="000000" w:themeColor="text1"/>
                <w:sz w:val="16"/>
                <w:szCs w:val="16"/>
                <w:lang w:val="es-ES" w:eastAsia="es-ES"/>
              </w:rPr>
            </w:pPr>
            <w:r w:rsidRPr="009A69B5">
              <w:rPr>
                <w:rFonts w:ascii="Arial" w:hAnsi="Arial" w:cs="Arial"/>
                <w:color w:val="000000" w:themeColor="text1"/>
                <w:sz w:val="16"/>
                <w:szCs w:val="16"/>
                <w:lang w:val="es-ES" w:eastAsia="es-ES"/>
              </w:rPr>
              <w:t>Subdirector de Gestión Contractual</w:t>
            </w:r>
          </w:p>
        </w:tc>
      </w:tr>
    </w:tbl>
    <w:p w14:paraId="34DAC79B" w14:textId="77777777" w:rsidR="002C3AAD" w:rsidRPr="009A69B5" w:rsidRDefault="002C3AAD" w:rsidP="00AA4A09">
      <w:pPr>
        <w:spacing w:before="120" w:after="120" w:line="276" w:lineRule="auto"/>
        <w:jc w:val="both"/>
        <w:rPr>
          <w:rFonts w:ascii="Arial" w:hAnsi="Arial" w:cs="Arial"/>
          <w:color w:val="000000" w:themeColor="text1"/>
          <w:sz w:val="22"/>
          <w:szCs w:val="22"/>
          <w:lang w:val="es-ES" w:eastAsia="es-ES"/>
        </w:rPr>
      </w:pPr>
    </w:p>
    <w:p w14:paraId="35B56F46" w14:textId="77777777" w:rsidR="00746E08" w:rsidRPr="009A69B5" w:rsidRDefault="00746E08" w:rsidP="00AA4A09">
      <w:pPr>
        <w:spacing w:before="120" w:after="120" w:line="276" w:lineRule="auto"/>
        <w:jc w:val="both"/>
        <w:rPr>
          <w:rFonts w:ascii="Arial" w:hAnsi="Arial" w:cs="Arial"/>
          <w:color w:val="000000" w:themeColor="text1"/>
          <w:sz w:val="22"/>
          <w:szCs w:val="22"/>
          <w:lang w:val="es-ES" w:eastAsia="es-ES"/>
        </w:rPr>
      </w:pPr>
    </w:p>
    <w:sectPr w:rsidR="00746E08" w:rsidRPr="009A69B5" w:rsidSect="00F11955">
      <w:headerReference w:type="default" r:id="rId13"/>
      <w:footerReference w:type="default" r:id="rId14"/>
      <w:pgSz w:w="12240" w:h="15840"/>
      <w:pgMar w:top="1985"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899E11" w14:textId="77777777" w:rsidR="00BF2DE8" w:rsidRDefault="00BF2DE8">
      <w:r>
        <w:separator/>
      </w:r>
    </w:p>
  </w:endnote>
  <w:endnote w:type="continuationSeparator" w:id="0">
    <w:p w14:paraId="6F1D28EF" w14:textId="77777777" w:rsidR="00BF2DE8" w:rsidRDefault="00BF2D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F02A34" w14:textId="77777777" w:rsidR="001B05A3" w:rsidRDefault="001B05A3" w:rsidP="00322937">
    <w:pPr>
      <w:pStyle w:val="Sinespaciado"/>
      <w:jc w:val="right"/>
      <w:rPr>
        <w:rFonts w:ascii="Arial" w:hAnsi="Arial" w:cs="Arial"/>
        <w:sz w:val="18"/>
        <w:szCs w:val="18"/>
      </w:rPr>
    </w:pPr>
  </w:p>
  <w:p w14:paraId="7A3785F3" w14:textId="0D8DAB45" w:rsidR="001B05A3" w:rsidRPr="008217B7" w:rsidRDefault="001B05A3"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69401B">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69401B">
      <w:rPr>
        <w:rFonts w:ascii="Arial" w:hAnsi="Arial" w:cs="Arial"/>
        <w:b/>
        <w:bCs/>
        <w:noProof/>
        <w:color w:val="7F7F7F" w:themeColor="text1" w:themeTint="80"/>
        <w:sz w:val="16"/>
        <w:szCs w:val="16"/>
      </w:rPr>
      <w:t>21</w:t>
    </w:r>
    <w:r w:rsidRPr="00084B97">
      <w:rPr>
        <w:rFonts w:ascii="Arial" w:hAnsi="Arial" w:cs="Arial"/>
        <w:b/>
        <w:bCs/>
        <w:color w:val="7F7F7F" w:themeColor="text1" w:themeTint="80"/>
        <w:sz w:val="16"/>
        <w:szCs w:val="16"/>
      </w:rPr>
      <w:fldChar w:fldCharType="end"/>
    </w:r>
  </w:p>
  <w:p w14:paraId="48FC6A04" w14:textId="5FD1A7C9" w:rsidR="001B05A3" w:rsidRDefault="001B05A3" w:rsidP="00322937">
    <w:pPr>
      <w:pStyle w:val="Piedepgina"/>
      <w:jc w:val="center"/>
      <w:rPr>
        <w:lang w:val="es-ES"/>
      </w:rPr>
    </w:pPr>
    <w:r>
      <w:rPr>
        <w:noProof/>
        <w:lang w:val="en-US"/>
      </w:rPr>
      <w:drawing>
        <wp:inline distT="0" distB="0" distL="0" distR="0" wp14:anchorId="608B196D" wp14:editId="0DC5B948">
          <wp:extent cx="3700130" cy="519139"/>
          <wp:effectExtent l="0" t="0" r="0" b="0"/>
          <wp:docPr id="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1B05A3" w:rsidRDefault="001B05A3" w:rsidP="007B0854">
    <w:pPr>
      <w:pStyle w:val="Piedepgina"/>
      <w:jc w:val="center"/>
      <w:rPr>
        <w:lang w:val="es-ES"/>
      </w:rPr>
    </w:pPr>
  </w:p>
  <w:p w14:paraId="6C0EFC49" w14:textId="77777777" w:rsidR="001B05A3" w:rsidRPr="007B0854" w:rsidRDefault="001B05A3"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541E66" w14:textId="77777777" w:rsidR="00BF2DE8" w:rsidRDefault="00BF2DE8">
      <w:r>
        <w:separator/>
      </w:r>
    </w:p>
  </w:footnote>
  <w:footnote w:type="continuationSeparator" w:id="0">
    <w:p w14:paraId="0CAE40D4" w14:textId="77777777" w:rsidR="00BF2DE8" w:rsidRDefault="00BF2DE8">
      <w:r>
        <w:continuationSeparator/>
      </w:r>
    </w:p>
  </w:footnote>
  <w:footnote w:id="1">
    <w:p w14:paraId="7BD0A364" w14:textId="1792DBD2" w:rsidR="001B05A3" w:rsidRPr="00EE590B" w:rsidRDefault="001B05A3" w:rsidP="00FC2EAA">
      <w:pPr>
        <w:pStyle w:val="Textonotapie"/>
        <w:spacing w:before="0" w:after="0" w:line="240" w:lineRule="auto"/>
        <w:ind w:firstLine="708"/>
        <w:rPr>
          <w:rFonts w:ascii="Arial" w:hAnsi="Arial" w:cs="Arial"/>
          <w:sz w:val="19"/>
          <w:szCs w:val="19"/>
        </w:rPr>
      </w:pPr>
      <w:r w:rsidRPr="00EE590B">
        <w:rPr>
          <w:rStyle w:val="Refdenotaalpie"/>
          <w:rFonts w:ascii="Arial" w:hAnsi="Arial" w:cs="Arial"/>
          <w:sz w:val="19"/>
          <w:szCs w:val="19"/>
        </w:rPr>
        <w:footnoteRef/>
      </w:r>
      <w:r w:rsidRPr="00EE590B">
        <w:rPr>
          <w:rFonts w:ascii="Arial" w:hAnsi="Arial" w:cs="Arial"/>
          <w:sz w:val="19"/>
          <w:szCs w:val="19"/>
        </w:rPr>
        <w:t xml:space="preserve"> SANTOFIMIO GAMBOA. Jaime Orlando. Compendio de Derecho Administrativo. Universidad Externado de Colombia, 2017, parráfo 1461. MONTAÑA PLATA. Alberto. Fundamentos de Derecho Administrativo. Universidad Externado de Colombia, 2010, </w:t>
      </w:r>
      <w:r w:rsidR="00626A46" w:rsidRPr="00EE590B">
        <w:rPr>
          <w:rFonts w:ascii="Arial" w:hAnsi="Arial" w:cs="Arial"/>
          <w:sz w:val="19"/>
          <w:szCs w:val="19"/>
        </w:rPr>
        <w:t xml:space="preserve">p. </w:t>
      </w:r>
      <w:r w:rsidRPr="00EE590B">
        <w:rPr>
          <w:rFonts w:ascii="Arial" w:hAnsi="Arial" w:cs="Arial"/>
          <w:sz w:val="19"/>
          <w:szCs w:val="19"/>
        </w:rPr>
        <w:t>181.</w:t>
      </w:r>
    </w:p>
    <w:p w14:paraId="60246933" w14:textId="77777777" w:rsidR="001B05A3" w:rsidRPr="00EE590B" w:rsidRDefault="001B05A3" w:rsidP="00FC2EAA">
      <w:pPr>
        <w:pStyle w:val="Textonotapie"/>
        <w:spacing w:before="0" w:after="0" w:line="240" w:lineRule="auto"/>
        <w:ind w:firstLine="708"/>
        <w:rPr>
          <w:rFonts w:ascii="Arial" w:hAnsi="Arial" w:cs="Arial"/>
          <w:sz w:val="19"/>
          <w:szCs w:val="19"/>
        </w:rPr>
      </w:pPr>
    </w:p>
  </w:footnote>
  <w:footnote w:id="2">
    <w:p w14:paraId="5AD75CB3" w14:textId="3BA8EC34" w:rsidR="001B05A3" w:rsidRPr="00EE590B" w:rsidRDefault="001B05A3" w:rsidP="00FC2EAA">
      <w:pPr>
        <w:pStyle w:val="Textonotapie"/>
        <w:spacing w:before="0" w:after="0" w:line="240" w:lineRule="auto"/>
        <w:ind w:firstLine="708"/>
        <w:rPr>
          <w:rFonts w:ascii="Arial" w:hAnsi="Arial" w:cs="Arial"/>
          <w:sz w:val="19"/>
          <w:szCs w:val="19"/>
          <w:lang w:val="es-CO"/>
        </w:rPr>
      </w:pPr>
      <w:r w:rsidRPr="003C6028">
        <w:rPr>
          <w:rStyle w:val="Refdenotaalpie"/>
          <w:rFonts w:ascii="Arial" w:hAnsi="Arial" w:cs="Arial"/>
          <w:sz w:val="19"/>
          <w:szCs w:val="19"/>
        </w:rPr>
        <w:footnoteRef/>
      </w:r>
      <w:r w:rsidRPr="003C6028">
        <w:rPr>
          <w:rFonts w:ascii="Arial" w:hAnsi="Arial" w:cs="Arial"/>
          <w:sz w:val="19"/>
          <w:szCs w:val="19"/>
        </w:rPr>
        <w:t xml:space="preserve"> </w:t>
      </w:r>
      <w:r w:rsidRPr="00EE590B">
        <w:rPr>
          <w:rFonts w:ascii="Arial" w:hAnsi="Arial" w:cs="Arial"/>
          <w:sz w:val="19"/>
          <w:szCs w:val="19"/>
          <w:lang w:val="es-CO"/>
        </w:rPr>
        <w:t xml:space="preserve">El artículo 4 de la Ley 850 de 2003 dispone: </w:t>
      </w:r>
    </w:p>
    <w:p w14:paraId="0E1E52D4" w14:textId="1C6439F1" w:rsidR="001B05A3" w:rsidRPr="00EE590B" w:rsidRDefault="001B05A3" w:rsidP="00FC2EAA">
      <w:pPr>
        <w:pStyle w:val="Textonotapie"/>
        <w:spacing w:before="0" w:after="0" w:line="240" w:lineRule="auto"/>
        <w:ind w:firstLine="708"/>
        <w:rPr>
          <w:rFonts w:ascii="Arial" w:hAnsi="Arial" w:cs="Arial"/>
          <w:sz w:val="19"/>
          <w:szCs w:val="19"/>
          <w:lang w:val="es-CO"/>
        </w:rPr>
      </w:pPr>
      <w:r w:rsidRPr="00EE590B">
        <w:rPr>
          <w:rFonts w:ascii="Arial" w:hAnsi="Arial" w:cs="Arial"/>
          <w:sz w:val="19"/>
          <w:szCs w:val="19"/>
          <w:lang w:val="es-CO"/>
        </w:rPr>
        <w:t>«La vigilancia de la gestión pública por parte de la Veeduría Ciudadana se podrá ejercer sobre la gestión administrativa, con sujeción al servicio de los intereses generales y la observancia de los principios de igualdad, moralidad, eficacia, economía, celeridad, imparcialidad, y publicidad.</w:t>
      </w:r>
    </w:p>
    <w:p w14:paraId="3C5C37A1" w14:textId="72A38570" w:rsidR="001B05A3" w:rsidRPr="00EE590B" w:rsidRDefault="001B05A3" w:rsidP="00FC2EAA">
      <w:pPr>
        <w:pStyle w:val="Textonotapie"/>
        <w:spacing w:before="0" w:after="0" w:line="240" w:lineRule="auto"/>
        <w:ind w:firstLine="708"/>
        <w:rPr>
          <w:rFonts w:ascii="Arial" w:hAnsi="Arial" w:cs="Arial"/>
          <w:sz w:val="19"/>
          <w:szCs w:val="19"/>
          <w:lang w:val="es-CO"/>
        </w:rPr>
      </w:pPr>
      <w:r w:rsidRPr="00EE590B">
        <w:rPr>
          <w:rFonts w:ascii="Arial" w:hAnsi="Arial" w:cs="Arial"/>
          <w:sz w:val="19"/>
          <w:szCs w:val="19"/>
          <w:lang w:val="es-CO"/>
        </w:rPr>
        <w:t>»Será materia de especial importancia en la vigilancia ejercida por la Veeduría Ciudadana la correcta aplicación de los recursos públicos, la forma como estos se asignen conforme a las disposiciones legales y a los planes, programas, y proyectos debidamente aprobados, el cumplimiento del cometido, los fines y la cobertura efectiva a los beneficiarios que deben ser atendidos de conformidad con los preceptos antes mencionados, la calidad, oportunidad y efectividad de las intervenciones públicas, la contratación pública y la diligencia de las diversas autoridades en garantizar los objetivos del Estado en las distintas áreas de gestión que se les ha encomendado.</w:t>
      </w:r>
    </w:p>
    <w:p w14:paraId="38CEE033" w14:textId="64F62742" w:rsidR="001B05A3" w:rsidRPr="00EE590B" w:rsidRDefault="001B05A3" w:rsidP="00FC2EAA">
      <w:pPr>
        <w:pStyle w:val="Textonotapie"/>
        <w:spacing w:before="0" w:after="0" w:line="240" w:lineRule="auto"/>
        <w:ind w:firstLine="708"/>
        <w:rPr>
          <w:rFonts w:ascii="Arial" w:hAnsi="Arial" w:cs="Arial"/>
          <w:sz w:val="19"/>
          <w:szCs w:val="19"/>
          <w:lang w:val="es-CO"/>
        </w:rPr>
      </w:pPr>
      <w:r w:rsidRPr="00EE590B">
        <w:rPr>
          <w:rFonts w:ascii="Arial" w:hAnsi="Arial" w:cs="Arial"/>
          <w:sz w:val="19"/>
          <w:szCs w:val="19"/>
          <w:lang w:val="es-CO"/>
        </w:rPr>
        <w:t>»Las veedurías ejercen vigilancia preventiva y posterior del proceso de gestión haciendo recomendaciones escritas y oportunas ante las entidades que ejecutan el programa, proyecto o contrato y ante los organismos de control del Estado para mejorar la eficiencia institucional y la actuación de los funcionarios públicos».</w:t>
      </w:r>
    </w:p>
    <w:p w14:paraId="56212AB4" w14:textId="77777777" w:rsidR="001B05A3" w:rsidRPr="00EE590B" w:rsidRDefault="001B05A3" w:rsidP="00FC2EAA">
      <w:pPr>
        <w:pStyle w:val="Textonotapie"/>
        <w:spacing w:before="0" w:after="0" w:line="240" w:lineRule="auto"/>
        <w:ind w:firstLine="708"/>
        <w:rPr>
          <w:rFonts w:ascii="Arial" w:hAnsi="Arial" w:cs="Arial"/>
          <w:sz w:val="19"/>
          <w:szCs w:val="19"/>
          <w:lang w:val="es-CO"/>
        </w:rPr>
      </w:pPr>
    </w:p>
  </w:footnote>
  <w:footnote w:id="3">
    <w:p w14:paraId="3C56175A" w14:textId="30A392A2" w:rsidR="001B05A3" w:rsidRPr="00EE590B" w:rsidRDefault="001B05A3" w:rsidP="00FC2EAA">
      <w:pPr>
        <w:pStyle w:val="Textonotapie"/>
        <w:spacing w:before="0" w:after="0" w:line="240" w:lineRule="auto"/>
        <w:ind w:firstLine="708"/>
        <w:rPr>
          <w:rFonts w:ascii="Arial" w:hAnsi="Arial" w:cs="Arial"/>
          <w:sz w:val="19"/>
          <w:szCs w:val="19"/>
        </w:rPr>
      </w:pPr>
      <w:r w:rsidRPr="00EE590B">
        <w:rPr>
          <w:rStyle w:val="Refdenotaalpie"/>
          <w:rFonts w:ascii="Arial" w:hAnsi="Arial" w:cs="Arial"/>
          <w:sz w:val="19"/>
          <w:szCs w:val="19"/>
        </w:rPr>
        <w:footnoteRef/>
      </w:r>
      <w:r w:rsidRPr="00EE590B">
        <w:rPr>
          <w:rFonts w:ascii="Arial" w:hAnsi="Arial" w:cs="Arial"/>
          <w:sz w:val="19"/>
          <w:szCs w:val="19"/>
        </w:rPr>
        <w:t xml:space="preserve"> El artículo 28 de ese Código prescribe: «ARTICULO 28. Las palabras de la ley se entenderán en su sentido natural y obvio, según el uso general de las mismas palabras; pero cuando el legislador las haya definido  expresamente para ciertas materias, se les dará en éstas su significado legal».</w:t>
      </w:r>
    </w:p>
    <w:p w14:paraId="0431DCC4" w14:textId="77777777" w:rsidR="00D51B89" w:rsidRPr="00EE590B" w:rsidRDefault="00D51B89" w:rsidP="00FC2EAA">
      <w:pPr>
        <w:pStyle w:val="Textonotapie"/>
        <w:spacing w:before="0" w:after="0" w:line="240" w:lineRule="auto"/>
        <w:ind w:firstLine="708"/>
        <w:rPr>
          <w:rFonts w:ascii="Arial" w:hAnsi="Arial" w:cs="Arial"/>
          <w:sz w:val="19"/>
          <w:szCs w:val="19"/>
        </w:rPr>
      </w:pPr>
    </w:p>
  </w:footnote>
  <w:footnote w:id="4">
    <w:p w14:paraId="0FD67FCF" w14:textId="00CDE157" w:rsidR="00D51B89" w:rsidRPr="00EE590B" w:rsidRDefault="001B05A3" w:rsidP="00FC346A">
      <w:pPr>
        <w:pStyle w:val="Textonotapie"/>
        <w:spacing w:before="0" w:after="0" w:line="240" w:lineRule="auto"/>
        <w:ind w:firstLine="709"/>
        <w:rPr>
          <w:rFonts w:ascii="Arial" w:hAnsi="Arial" w:cs="Arial"/>
          <w:color w:val="000000" w:themeColor="text1"/>
          <w:sz w:val="19"/>
          <w:szCs w:val="19"/>
        </w:rPr>
      </w:pPr>
      <w:r w:rsidRPr="00EE590B">
        <w:rPr>
          <w:rStyle w:val="Refdenotaalpie"/>
          <w:rFonts w:ascii="Arial" w:hAnsi="Arial" w:cs="Arial"/>
          <w:color w:val="000000" w:themeColor="text1"/>
          <w:sz w:val="19"/>
          <w:szCs w:val="19"/>
        </w:rPr>
        <w:footnoteRef/>
      </w:r>
      <w:r w:rsidRPr="00EE590B">
        <w:rPr>
          <w:rFonts w:ascii="Arial" w:hAnsi="Arial" w:cs="Arial"/>
          <w:color w:val="000000" w:themeColor="text1"/>
          <w:sz w:val="19"/>
          <w:szCs w:val="19"/>
        </w:rPr>
        <w:t xml:space="preserve"> CONSEJO DE ESTADO. Sección Tercera. Auto del 20 de agosto de 1998. Exp. 14.202.  EXPÓSITO VÉLEZ, Juan Carlos. Definición de los «Contratos Estatales». Contratos Estatales propiamente dichos y Contratos Estatales Especiales. Regulación del Contrato suscrito con entidades estatales. Jurisidcción Competente. En: Andrés Fernando Ospina Garzón. Los Grandes Fallos de la Jurisprudencia Administrativa Colombiana. Universidad Externado de Colombia, 2013. </w:t>
      </w:r>
    </w:p>
    <w:p w14:paraId="4484A844" w14:textId="77777777" w:rsidR="001B05A3" w:rsidRPr="00EE590B" w:rsidRDefault="001B05A3" w:rsidP="00FC2EAA">
      <w:pPr>
        <w:pStyle w:val="Textonotapie"/>
        <w:spacing w:before="0" w:after="0" w:line="240" w:lineRule="auto"/>
        <w:ind w:firstLine="709"/>
        <w:rPr>
          <w:rFonts w:ascii="Arial" w:hAnsi="Arial" w:cs="Arial"/>
          <w:color w:val="000000" w:themeColor="text1"/>
          <w:sz w:val="19"/>
          <w:szCs w:val="19"/>
        </w:rPr>
      </w:pPr>
    </w:p>
  </w:footnote>
  <w:footnote w:id="5">
    <w:p w14:paraId="31D5D7D9" w14:textId="44A748F7" w:rsidR="001B05A3" w:rsidRPr="00EE590B" w:rsidRDefault="001B05A3" w:rsidP="00FC2EAA">
      <w:pPr>
        <w:pStyle w:val="Textonotapie"/>
        <w:spacing w:before="0" w:after="0" w:line="240" w:lineRule="auto"/>
        <w:ind w:firstLine="708"/>
        <w:rPr>
          <w:rFonts w:ascii="Arial" w:hAnsi="Arial" w:cs="Arial"/>
          <w:sz w:val="19"/>
          <w:szCs w:val="19"/>
          <w:lang w:val="es-ES"/>
        </w:rPr>
      </w:pPr>
      <w:r w:rsidRPr="00EE590B">
        <w:rPr>
          <w:rStyle w:val="Refdenotaalpie"/>
          <w:rFonts w:ascii="Arial" w:hAnsi="Arial" w:cs="Arial"/>
          <w:sz w:val="19"/>
          <w:szCs w:val="19"/>
        </w:rPr>
        <w:footnoteRef/>
      </w:r>
      <w:r w:rsidRPr="00EE590B">
        <w:rPr>
          <w:rFonts w:ascii="Arial" w:hAnsi="Arial" w:cs="Arial"/>
          <w:sz w:val="19"/>
          <w:szCs w:val="19"/>
        </w:rPr>
        <w:t xml:space="preserve"> </w:t>
      </w:r>
      <w:r w:rsidRPr="001E45B5">
        <w:rPr>
          <w:rFonts w:ascii="Arial" w:hAnsi="Arial" w:cs="Arial"/>
          <w:sz w:val="19"/>
          <w:szCs w:val="19"/>
          <w:lang w:val="es-ES"/>
        </w:rPr>
        <w:t>El artículo 63 de la Ley 1757 de 2015 preceptúa: «ARTÍCULO 63. MODALIDADES DE CONTROL SOCIAL. Se puede desarrollar el control social a través de veedurías ciudadanas, las Juntas de vigilancia, los Comités de Desarrollo y Con</w:t>
      </w:r>
      <w:r w:rsidRPr="00EE590B">
        <w:rPr>
          <w:rFonts w:ascii="Arial" w:hAnsi="Arial" w:cs="Arial"/>
          <w:sz w:val="19"/>
          <w:szCs w:val="19"/>
          <w:lang w:val="es-ES"/>
        </w:rPr>
        <w:t>trol Social de los Servicios Públicos Domiciliarios, las auditorías ciudadanas y las instancias de participación ciudadana, en los términos de las leyes que las regulan, y a través del ejercicio de los derechos constitucionales dirigidos a hacer control a la gestión pública y sus resultados. En materia de servicios públicos domiciliarios, el control social se sujetará a las normas especiales contenidas en la Ley 142 de 1994».</w:t>
      </w:r>
    </w:p>
    <w:p w14:paraId="60A708CA" w14:textId="77777777" w:rsidR="00D51B89" w:rsidRPr="00EE590B" w:rsidRDefault="00D51B89" w:rsidP="00FC2EAA">
      <w:pPr>
        <w:pStyle w:val="Textonotapie"/>
        <w:spacing w:before="0" w:after="0" w:line="240" w:lineRule="auto"/>
        <w:ind w:firstLine="708"/>
        <w:rPr>
          <w:rFonts w:ascii="Arial" w:hAnsi="Arial" w:cs="Arial"/>
          <w:sz w:val="19"/>
          <w:szCs w:val="19"/>
          <w:lang w:val="es-ES"/>
        </w:rPr>
      </w:pPr>
    </w:p>
  </w:footnote>
  <w:footnote w:id="6">
    <w:p w14:paraId="36D1F1C5" w14:textId="18623EF5" w:rsidR="001B05A3" w:rsidRPr="00EE590B" w:rsidRDefault="001B05A3" w:rsidP="00FC2EAA">
      <w:pPr>
        <w:pStyle w:val="Textonotapie"/>
        <w:spacing w:before="0" w:after="0" w:line="240" w:lineRule="auto"/>
        <w:ind w:firstLine="708"/>
        <w:rPr>
          <w:rFonts w:ascii="Arial" w:hAnsi="Arial" w:cs="Arial"/>
          <w:sz w:val="19"/>
          <w:szCs w:val="19"/>
        </w:rPr>
      </w:pPr>
      <w:r w:rsidRPr="00EE590B">
        <w:rPr>
          <w:rStyle w:val="Refdenotaalpie"/>
          <w:rFonts w:ascii="Arial" w:hAnsi="Arial" w:cs="Arial"/>
          <w:sz w:val="19"/>
          <w:szCs w:val="19"/>
        </w:rPr>
        <w:footnoteRef/>
      </w:r>
      <w:r w:rsidRPr="00EE590B">
        <w:rPr>
          <w:rFonts w:ascii="Arial" w:hAnsi="Arial" w:cs="Arial"/>
          <w:sz w:val="19"/>
          <w:szCs w:val="19"/>
        </w:rPr>
        <w:t xml:space="preserve"> El artículo 62 de la Ley 1757 de 2015 establece: «ARTÍCULO 62. ALCANCE DEL CONTROL SOCIAL. Quien desarrolle control social podrá:</w:t>
      </w:r>
    </w:p>
    <w:p w14:paraId="1B4A2FDF" w14:textId="1E358D4A" w:rsidR="001B05A3" w:rsidRPr="00EE590B" w:rsidRDefault="001B05A3" w:rsidP="00FC2EAA">
      <w:pPr>
        <w:pStyle w:val="Textonotapie"/>
        <w:spacing w:before="0" w:after="0" w:line="240" w:lineRule="auto"/>
        <w:ind w:firstLine="708"/>
        <w:rPr>
          <w:rFonts w:ascii="Arial" w:hAnsi="Arial" w:cs="Arial"/>
          <w:sz w:val="19"/>
          <w:szCs w:val="19"/>
        </w:rPr>
      </w:pPr>
      <w:r w:rsidRPr="00EE590B">
        <w:rPr>
          <w:rFonts w:ascii="Arial" w:hAnsi="Arial" w:cs="Arial"/>
          <w:sz w:val="19"/>
          <w:szCs w:val="19"/>
        </w:rPr>
        <w:t>»a) Solicitar la información pública que se requiera para el desarrollo de su labor, en los términos del Código de Procedimiento Administrativo y de lo Contencioso Administrativo;</w:t>
      </w:r>
    </w:p>
    <w:p w14:paraId="1801062B" w14:textId="077A0A2E" w:rsidR="001B05A3" w:rsidRPr="00EE590B" w:rsidRDefault="001B05A3" w:rsidP="00FC2EAA">
      <w:pPr>
        <w:pStyle w:val="Textonotapie"/>
        <w:spacing w:before="0" w:after="0" w:line="240" w:lineRule="auto"/>
        <w:ind w:firstLine="708"/>
        <w:rPr>
          <w:rFonts w:ascii="Arial" w:hAnsi="Arial" w:cs="Arial"/>
          <w:sz w:val="19"/>
          <w:szCs w:val="19"/>
        </w:rPr>
      </w:pPr>
      <w:r w:rsidRPr="00EE590B">
        <w:rPr>
          <w:rFonts w:ascii="Arial" w:hAnsi="Arial" w:cs="Arial"/>
          <w:sz w:val="19"/>
          <w:szCs w:val="19"/>
        </w:rPr>
        <w:t>»b) Presentar observaciones de la labor desarrollada al ente encargado de la política pública;</w:t>
      </w:r>
    </w:p>
    <w:p w14:paraId="5F4E1A44" w14:textId="6FE54653" w:rsidR="001B05A3" w:rsidRPr="00EE590B" w:rsidRDefault="001B05A3" w:rsidP="00FC2EAA">
      <w:pPr>
        <w:pStyle w:val="Textonotapie"/>
        <w:spacing w:before="0" w:after="0" w:line="240" w:lineRule="auto"/>
        <w:ind w:firstLine="708"/>
        <w:rPr>
          <w:rFonts w:ascii="Arial" w:hAnsi="Arial" w:cs="Arial"/>
          <w:sz w:val="19"/>
          <w:szCs w:val="19"/>
        </w:rPr>
      </w:pPr>
      <w:r w:rsidRPr="00EE590B">
        <w:rPr>
          <w:rFonts w:ascii="Arial" w:hAnsi="Arial" w:cs="Arial"/>
          <w:sz w:val="19"/>
          <w:szCs w:val="19"/>
        </w:rPr>
        <w:t>»c) Presentar peticiones, denuncias, quejas y reclamos ante las autoridades competentes.</w:t>
      </w:r>
    </w:p>
    <w:p w14:paraId="44609110" w14:textId="49C7C029" w:rsidR="001B05A3" w:rsidRPr="00EE590B" w:rsidRDefault="001B05A3" w:rsidP="00FC2EAA">
      <w:pPr>
        <w:pStyle w:val="Textonotapie"/>
        <w:spacing w:before="0" w:after="0" w:line="240" w:lineRule="auto"/>
        <w:ind w:firstLine="708"/>
        <w:rPr>
          <w:rFonts w:ascii="Arial" w:hAnsi="Arial" w:cs="Arial"/>
          <w:sz w:val="19"/>
          <w:szCs w:val="19"/>
        </w:rPr>
      </w:pPr>
      <w:r w:rsidRPr="00EE590B">
        <w:rPr>
          <w:rFonts w:ascii="Arial" w:hAnsi="Arial" w:cs="Arial"/>
          <w:sz w:val="19"/>
          <w:szCs w:val="19"/>
        </w:rPr>
        <w:t>»d) Presentar acciones populares en los términos de la Ley 472 de 1998;</w:t>
      </w:r>
    </w:p>
    <w:p w14:paraId="59F77639" w14:textId="0F23AEDA" w:rsidR="001B05A3" w:rsidRPr="00EE590B" w:rsidRDefault="001B05A3" w:rsidP="00FC2EAA">
      <w:pPr>
        <w:pStyle w:val="Textonotapie"/>
        <w:spacing w:before="0" w:after="0" w:line="240" w:lineRule="auto"/>
        <w:ind w:firstLine="708"/>
        <w:rPr>
          <w:rFonts w:ascii="Arial" w:hAnsi="Arial" w:cs="Arial"/>
          <w:sz w:val="19"/>
          <w:szCs w:val="19"/>
        </w:rPr>
      </w:pPr>
      <w:r w:rsidRPr="00EE590B">
        <w:rPr>
          <w:rFonts w:ascii="Arial" w:hAnsi="Arial" w:cs="Arial"/>
          <w:sz w:val="19"/>
          <w:szCs w:val="19"/>
        </w:rPr>
        <w:t>»e) Presentar acciones de cumplimiento en los términos de la Ley 393 de 1997;</w:t>
      </w:r>
    </w:p>
    <w:p w14:paraId="7EEC3DBC" w14:textId="66F79F62" w:rsidR="001B05A3" w:rsidRPr="00EE590B" w:rsidRDefault="001B05A3" w:rsidP="00FC2EAA">
      <w:pPr>
        <w:pStyle w:val="Textonotapie"/>
        <w:spacing w:before="0" w:after="0" w:line="240" w:lineRule="auto"/>
        <w:ind w:firstLine="708"/>
        <w:rPr>
          <w:rFonts w:ascii="Arial" w:hAnsi="Arial" w:cs="Arial"/>
          <w:sz w:val="19"/>
          <w:szCs w:val="19"/>
        </w:rPr>
      </w:pPr>
      <w:r w:rsidRPr="00EE590B">
        <w:rPr>
          <w:rFonts w:ascii="Arial" w:hAnsi="Arial" w:cs="Arial"/>
          <w:sz w:val="19"/>
          <w:szCs w:val="19"/>
        </w:rPr>
        <w:t>»f) Presentar Acciones de Tutela en los términos del Decreto número 2591 de 1991;</w:t>
      </w:r>
    </w:p>
    <w:p w14:paraId="27503633" w14:textId="368E4FF5" w:rsidR="001B05A3" w:rsidRPr="00EE590B" w:rsidRDefault="001B05A3" w:rsidP="00FC2EAA">
      <w:pPr>
        <w:pStyle w:val="Textonotapie"/>
        <w:spacing w:before="0" w:after="0" w:line="240" w:lineRule="auto"/>
        <w:ind w:firstLine="708"/>
        <w:rPr>
          <w:rFonts w:ascii="Arial" w:hAnsi="Arial" w:cs="Arial"/>
          <w:sz w:val="19"/>
          <w:szCs w:val="19"/>
        </w:rPr>
      </w:pPr>
      <w:r w:rsidRPr="00EE590B">
        <w:rPr>
          <w:rFonts w:ascii="Arial" w:hAnsi="Arial" w:cs="Arial"/>
          <w:sz w:val="19"/>
          <w:szCs w:val="19"/>
        </w:rPr>
        <w:t>»g) Participar en Audiencias Públicas ante los entes que las convoquen;</w:t>
      </w:r>
    </w:p>
    <w:p w14:paraId="7382B2DD" w14:textId="2BC647DD" w:rsidR="001B05A3" w:rsidRPr="00EE590B" w:rsidRDefault="001B05A3" w:rsidP="00FC2EAA">
      <w:pPr>
        <w:pStyle w:val="Textonotapie"/>
        <w:spacing w:before="0" w:after="0" w:line="240" w:lineRule="auto"/>
        <w:ind w:firstLine="708"/>
        <w:rPr>
          <w:rFonts w:ascii="Arial" w:hAnsi="Arial" w:cs="Arial"/>
          <w:sz w:val="19"/>
          <w:szCs w:val="19"/>
        </w:rPr>
      </w:pPr>
      <w:r w:rsidRPr="00EE590B">
        <w:rPr>
          <w:rFonts w:ascii="Arial" w:hAnsi="Arial" w:cs="Arial"/>
          <w:sz w:val="19"/>
          <w:szCs w:val="19"/>
        </w:rPr>
        <w:t>»h) Hacer uso de los recursos y acciones legales que se requieran para el desarrollo del control social».</w:t>
      </w:r>
    </w:p>
  </w:footnote>
  <w:footnote w:id="7">
    <w:p w14:paraId="0BD19617" w14:textId="2CBBE7BC" w:rsidR="001B05A3" w:rsidRPr="00EE590B" w:rsidRDefault="001B05A3" w:rsidP="00FC2EAA">
      <w:pPr>
        <w:pStyle w:val="Textonotapie"/>
        <w:spacing w:before="0" w:after="0" w:line="240" w:lineRule="auto"/>
        <w:ind w:firstLine="708"/>
        <w:rPr>
          <w:rFonts w:ascii="Arial" w:hAnsi="Arial" w:cs="Arial"/>
          <w:sz w:val="19"/>
          <w:szCs w:val="19"/>
          <w:lang w:val="es-CO"/>
        </w:rPr>
      </w:pPr>
      <w:r w:rsidRPr="00EE590B">
        <w:rPr>
          <w:rStyle w:val="Refdenotaalpie"/>
          <w:rFonts w:ascii="Arial" w:hAnsi="Arial" w:cs="Arial"/>
          <w:sz w:val="19"/>
          <w:szCs w:val="19"/>
        </w:rPr>
        <w:footnoteRef/>
      </w:r>
      <w:r w:rsidRPr="00EE590B">
        <w:rPr>
          <w:rFonts w:ascii="Arial" w:hAnsi="Arial" w:cs="Arial"/>
          <w:sz w:val="19"/>
          <w:szCs w:val="19"/>
        </w:rPr>
        <w:t xml:space="preserve"> El artículo 2.2.1.1.1.2.1. del Decreto 1082 de 2015 dispone: «</w:t>
      </w:r>
      <w:r w:rsidRPr="001E0719">
        <w:rPr>
          <w:rFonts w:ascii="Arial" w:hAnsi="Arial" w:cs="Arial"/>
          <w:color w:val="333333"/>
          <w:sz w:val="19"/>
          <w:szCs w:val="19"/>
        </w:rPr>
        <w:t xml:space="preserve"> </w:t>
      </w:r>
      <w:r w:rsidRPr="001E0719">
        <w:rPr>
          <w:rFonts w:ascii="Arial" w:hAnsi="Arial" w:cs="Arial"/>
          <w:sz w:val="19"/>
          <w:szCs w:val="19"/>
          <w:lang w:val="es-CO"/>
        </w:rPr>
        <w:t>Artículo 2.2.1.1.1.2.1. </w:t>
      </w:r>
      <w:r w:rsidRPr="001E0719">
        <w:rPr>
          <w:rFonts w:ascii="Arial" w:hAnsi="Arial" w:cs="Arial"/>
          <w:i/>
          <w:iCs/>
          <w:sz w:val="19"/>
          <w:szCs w:val="19"/>
          <w:lang w:val="es-CO"/>
        </w:rPr>
        <w:t>Partícipes de la Contratación Pública.</w:t>
      </w:r>
      <w:r w:rsidRPr="00EE590B">
        <w:rPr>
          <w:rFonts w:ascii="Arial" w:hAnsi="Arial" w:cs="Arial"/>
          <w:i/>
          <w:iCs/>
          <w:sz w:val="19"/>
          <w:szCs w:val="19"/>
          <w:lang w:val="es-CO"/>
        </w:rPr>
        <w:t> </w:t>
      </w:r>
      <w:r w:rsidRPr="00EE590B">
        <w:rPr>
          <w:rFonts w:ascii="Arial" w:hAnsi="Arial" w:cs="Arial"/>
          <w:sz w:val="19"/>
          <w:szCs w:val="19"/>
          <w:lang w:val="es-CO"/>
        </w:rPr>
        <w:t>Los partícipes del sistema de compras y contratación pública para efectos del Decreto-Ley</w:t>
      </w:r>
      <w:r w:rsidR="00313972" w:rsidRPr="00EE590B">
        <w:rPr>
          <w:rFonts w:ascii="Arial" w:hAnsi="Arial" w:cs="Arial"/>
          <w:sz w:val="19"/>
          <w:szCs w:val="19"/>
          <w:lang w:val="es-CO"/>
        </w:rPr>
        <w:t xml:space="preserve"> </w:t>
      </w:r>
      <w:r w:rsidRPr="00EE590B">
        <w:rPr>
          <w:rFonts w:ascii="Arial" w:hAnsi="Arial" w:cs="Arial"/>
          <w:sz w:val="19"/>
          <w:szCs w:val="19"/>
          <w:lang w:val="es-CO"/>
        </w:rPr>
        <w:t> de 2011​, son:</w:t>
      </w:r>
    </w:p>
    <w:p w14:paraId="0164EAAD" w14:textId="77777777" w:rsidR="001B05A3" w:rsidRPr="00EE590B" w:rsidRDefault="001B05A3" w:rsidP="00FC2EAA">
      <w:pPr>
        <w:pStyle w:val="Textonotapie"/>
        <w:spacing w:before="0" w:after="0" w:line="240" w:lineRule="auto"/>
        <w:ind w:firstLine="708"/>
        <w:rPr>
          <w:rFonts w:ascii="Arial" w:hAnsi="Arial" w:cs="Arial"/>
          <w:sz w:val="19"/>
          <w:szCs w:val="19"/>
          <w:lang w:val="es-CO"/>
        </w:rPr>
      </w:pPr>
      <w:r w:rsidRPr="00EE590B">
        <w:rPr>
          <w:rFonts w:ascii="Arial" w:hAnsi="Arial" w:cs="Arial"/>
          <w:sz w:val="19"/>
          <w:szCs w:val="19"/>
          <w:lang w:val="es-CO"/>
        </w:rPr>
        <w:t xml:space="preserve">»1.    Las Entidades Estatales que adelantan Procesos de Contratación. </w:t>
      </w:r>
    </w:p>
    <w:p w14:paraId="45EE505B" w14:textId="178B9C8F" w:rsidR="001B05A3" w:rsidRPr="00EE590B" w:rsidRDefault="001B05A3" w:rsidP="00FC2EAA">
      <w:pPr>
        <w:pStyle w:val="Textonotapie"/>
        <w:spacing w:before="0" w:after="0" w:line="240" w:lineRule="auto"/>
        <w:ind w:firstLine="708"/>
        <w:rPr>
          <w:rFonts w:ascii="Arial" w:hAnsi="Arial" w:cs="Arial"/>
          <w:sz w:val="19"/>
          <w:szCs w:val="19"/>
          <w:lang w:val="es-CO"/>
        </w:rPr>
      </w:pPr>
      <w:r w:rsidRPr="00EE590B">
        <w:rPr>
          <w:rFonts w:ascii="Arial" w:hAnsi="Arial" w:cs="Arial"/>
          <w:sz w:val="19"/>
          <w:szCs w:val="19"/>
          <w:lang w:val="es-CO"/>
        </w:rPr>
        <w:t>»En los términos de la ley, las Entidades Estatales pueden asociarse para la adquisición conjunta de bienes, obras y servicios.</w:t>
      </w:r>
    </w:p>
    <w:p w14:paraId="628D99F0" w14:textId="6201C5C8" w:rsidR="001B05A3" w:rsidRPr="00EE590B" w:rsidRDefault="001B05A3" w:rsidP="00FC2EAA">
      <w:pPr>
        <w:pStyle w:val="Textonotapie"/>
        <w:spacing w:before="0" w:after="0" w:line="240" w:lineRule="auto"/>
        <w:ind w:firstLine="708"/>
        <w:rPr>
          <w:rFonts w:ascii="Arial" w:hAnsi="Arial" w:cs="Arial"/>
          <w:sz w:val="19"/>
          <w:szCs w:val="19"/>
          <w:lang w:val="es-CO"/>
        </w:rPr>
      </w:pPr>
      <w:r w:rsidRPr="00EE590B">
        <w:rPr>
          <w:rFonts w:ascii="Arial" w:hAnsi="Arial" w:cs="Arial"/>
          <w:sz w:val="19"/>
          <w:szCs w:val="19"/>
          <w:lang w:val="es-CO"/>
        </w:rPr>
        <w:t>»2.    Colombia Compra Eficiente.</w:t>
      </w:r>
    </w:p>
    <w:p w14:paraId="6D5765B9" w14:textId="790D78F6" w:rsidR="001B05A3" w:rsidRPr="00EE590B" w:rsidRDefault="001B05A3" w:rsidP="00FC2EAA">
      <w:pPr>
        <w:pStyle w:val="Textonotapie"/>
        <w:spacing w:before="0" w:after="0" w:line="240" w:lineRule="auto"/>
        <w:ind w:firstLine="708"/>
        <w:rPr>
          <w:rFonts w:ascii="Arial" w:hAnsi="Arial" w:cs="Arial"/>
          <w:sz w:val="19"/>
          <w:szCs w:val="19"/>
          <w:lang w:val="es-CO"/>
        </w:rPr>
      </w:pPr>
      <w:r w:rsidRPr="00EE590B">
        <w:rPr>
          <w:rFonts w:ascii="Arial" w:hAnsi="Arial" w:cs="Arial"/>
          <w:sz w:val="19"/>
          <w:szCs w:val="19"/>
          <w:lang w:val="es-CO"/>
        </w:rPr>
        <w:t>»3.    Los oferentes en los Procesos de Contratación.</w:t>
      </w:r>
    </w:p>
    <w:p w14:paraId="4CE66CBB" w14:textId="14E65BB9" w:rsidR="001B05A3" w:rsidRPr="00EE590B" w:rsidRDefault="001B05A3" w:rsidP="00FC2EAA">
      <w:pPr>
        <w:pStyle w:val="Textonotapie"/>
        <w:spacing w:before="0" w:after="0" w:line="240" w:lineRule="auto"/>
        <w:ind w:firstLine="708"/>
        <w:rPr>
          <w:rFonts w:ascii="Arial" w:hAnsi="Arial" w:cs="Arial"/>
          <w:sz w:val="19"/>
          <w:szCs w:val="19"/>
          <w:lang w:val="es-CO"/>
        </w:rPr>
      </w:pPr>
      <w:r w:rsidRPr="00EE590B">
        <w:rPr>
          <w:rFonts w:ascii="Arial" w:hAnsi="Arial" w:cs="Arial"/>
          <w:sz w:val="19"/>
          <w:szCs w:val="19"/>
          <w:lang w:val="es-CO"/>
        </w:rPr>
        <w:t>»4.    Los contratistas.</w:t>
      </w:r>
    </w:p>
    <w:p w14:paraId="3EE62BF5" w14:textId="6459807A" w:rsidR="001B05A3" w:rsidRPr="00EE590B" w:rsidRDefault="001B05A3" w:rsidP="00FC2EAA">
      <w:pPr>
        <w:pStyle w:val="Textonotapie"/>
        <w:spacing w:before="0" w:after="0" w:line="240" w:lineRule="auto"/>
        <w:ind w:firstLine="708"/>
        <w:rPr>
          <w:rFonts w:ascii="Arial" w:hAnsi="Arial" w:cs="Arial"/>
          <w:sz w:val="19"/>
          <w:szCs w:val="19"/>
          <w:lang w:val="es-CO"/>
        </w:rPr>
      </w:pPr>
      <w:r w:rsidRPr="00EE590B">
        <w:rPr>
          <w:rFonts w:ascii="Arial" w:hAnsi="Arial" w:cs="Arial"/>
          <w:sz w:val="19"/>
          <w:szCs w:val="19"/>
          <w:lang w:val="es-CO"/>
        </w:rPr>
        <w:t>»5.    Los supervisores.</w:t>
      </w:r>
    </w:p>
    <w:p w14:paraId="1F3130AB" w14:textId="58A2B1F8" w:rsidR="001B05A3" w:rsidRPr="00EE590B" w:rsidRDefault="001B05A3" w:rsidP="00FC2EAA">
      <w:pPr>
        <w:pStyle w:val="Textonotapie"/>
        <w:spacing w:before="0" w:after="0" w:line="240" w:lineRule="auto"/>
        <w:ind w:firstLine="708"/>
        <w:rPr>
          <w:rFonts w:ascii="Arial" w:hAnsi="Arial" w:cs="Arial"/>
          <w:sz w:val="19"/>
          <w:szCs w:val="19"/>
          <w:lang w:val="es-CO"/>
        </w:rPr>
      </w:pPr>
      <w:r w:rsidRPr="00EE590B">
        <w:rPr>
          <w:rFonts w:ascii="Arial" w:hAnsi="Arial" w:cs="Arial"/>
          <w:sz w:val="19"/>
          <w:szCs w:val="19"/>
          <w:lang w:val="es-CO"/>
        </w:rPr>
        <w:t>»6.    Los interventores.</w:t>
      </w:r>
    </w:p>
    <w:p w14:paraId="6093F3F8" w14:textId="0CB6969D" w:rsidR="001B05A3" w:rsidRPr="00EE590B" w:rsidRDefault="001B05A3" w:rsidP="00FC2EAA">
      <w:pPr>
        <w:pStyle w:val="Textonotapie"/>
        <w:spacing w:before="0" w:after="0" w:line="240" w:lineRule="auto"/>
        <w:ind w:firstLine="708"/>
        <w:rPr>
          <w:rFonts w:ascii="Arial" w:hAnsi="Arial" w:cs="Arial"/>
          <w:sz w:val="19"/>
          <w:szCs w:val="19"/>
        </w:rPr>
      </w:pPr>
      <w:r w:rsidRPr="00EE590B">
        <w:rPr>
          <w:rFonts w:ascii="Arial" w:hAnsi="Arial" w:cs="Arial"/>
          <w:sz w:val="19"/>
          <w:szCs w:val="19"/>
          <w:lang w:val="es-CO"/>
        </w:rPr>
        <w:t>»7.    Las organizaciones de la sociedad civil y los ciudadanos cuando ejercen la participación ciudadana en los términos de la Constitución Política y de la ley</w:t>
      </w:r>
      <w:r w:rsidRPr="00EE590B">
        <w:rPr>
          <w:rFonts w:ascii="Arial" w:hAnsi="Arial" w:cs="Arial"/>
          <w:sz w:val="19"/>
          <w:szCs w:val="19"/>
        </w:rPr>
        <w:t>»</w:t>
      </w:r>
    </w:p>
    <w:p w14:paraId="53BCBD4E" w14:textId="77777777" w:rsidR="00654711" w:rsidRPr="00EE590B" w:rsidRDefault="00654711" w:rsidP="00FC2EAA">
      <w:pPr>
        <w:pStyle w:val="Textonotapie"/>
        <w:spacing w:before="0" w:after="0" w:line="240" w:lineRule="auto"/>
        <w:ind w:firstLine="708"/>
        <w:rPr>
          <w:rFonts w:ascii="Arial" w:hAnsi="Arial" w:cs="Arial"/>
          <w:sz w:val="19"/>
          <w:szCs w:val="19"/>
          <w:lang w:val="es-CO"/>
        </w:rPr>
      </w:pPr>
    </w:p>
  </w:footnote>
  <w:footnote w:id="8">
    <w:p w14:paraId="13022DE8" w14:textId="7F558451" w:rsidR="004C5422" w:rsidRPr="00EE590B" w:rsidRDefault="004C5422" w:rsidP="00FC2EAA">
      <w:pPr>
        <w:pStyle w:val="Textonotapie"/>
        <w:spacing w:before="0" w:after="0" w:line="240" w:lineRule="auto"/>
        <w:ind w:firstLine="708"/>
        <w:rPr>
          <w:rFonts w:ascii="Arial" w:hAnsi="Arial" w:cs="Arial"/>
          <w:sz w:val="19"/>
          <w:szCs w:val="19"/>
          <w:lang w:val="es-CO"/>
        </w:rPr>
      </w:pPr>
      <w:r w:rsidRPr="00EE590B">
        <w:rPr>
          <w:rStyle w:val="Refdenotaalpie"/>
          <w:rFonts w:ascii="Arial" w:hAnsi="Arial" w:cs="Arial"/>
          <w:sz w:val="19"/>
          <w:szCs w:val="19"/>
        </w:rPr>
        <w:footnoteRef/>
      </w:r>
      <w:r w:rsidR="00B00464" w:rsidRPr="00EE590B">
        <w:rPr>
          <w:rFonts w:ascii="Arial" w:hAnsi="Arial" w:cs="Arial"/>
          <w:sz w:val="19"/>
          <w:szCs w:val="19"/>
          <w:lang w:val="es-CO"/>
        </w:rPr>
        <w:t xml:space="preserve"> GUZMÁN SANTOS, José Camilo</w:t>
      </w:r>
      <w:r w:rsidR="00BC51F8" w:rsidRPr="00EE590B">
        <w:rPr>
          <w:rFonts w:ascii="Arial" w:hAnsi="Arial" w:cs="Arial"/>
          <w:sz w:val="19"/>
          <w:szCs w:val="19"/>
        </w:rPr>
        <w:t xml:space="preserve">. </w:t>
      </w:r>
      <w:r w:rsidR="00B00464" w:rsidRPr="00B27D52">
        <w:rPr>
          <w:rFonts w:ascii="Arial" w:hAnsi="Arial" w:cs="Arial"/>
          <w:sz w:val="19"/>
          <w:szCs w:val="19"/>
          <w:lang w:val="es-CO"/>
        </w:rPr>
        <w:t>Control social a la compra y la contratación pública. Fase de focalizació</w:t>
      </w:r>
      <w:r w:rsidR="00B00464" w:rsidRPr="00EE590B">
        <w:rPr>
          <w:rFonts w:ascii="Arial" w:hAnsi="Arial" w:cs="Arial"/>
          <w:sz w:val="19"/>
          <w:szCs w:val="19"/>
          <w:lang w:val="es-CO"/>
        </w:rPr>
        <w:t xml:space="preserve">n. Módulo III. Contraloría General de la República, 2018, 45. </w:t>
      </w:r>
    </w:p>
    <w:p w14:paraId="0EC20786" w14:textId="77777777" w:rsidR="00D51B89" w:rsidRPr="00EE590B" w:rsidRDefault="00D51B89" w:rsidP="00FC2EAA">
      <w:pPr>
        <w:pStyle w:val="Textonotapie"/>
        <w:spacing w:before="0" w:after="0" w:line="240" w:lineRule="auto"/>
        <w:ind w:firstLine="708"/>
        <w:rPr>
          <w:rFonts w:ascii="Arial" w:hAnsi="Arial" w:cs="Arial"/>
          <w:sz w:val="19"/>
          <w:szCs w:val="19"/>
        </w:rPr>
      </w:pPr>
    </w:p>
  </w:footnote>
  <w:footnote w:id="9">
    <w:p w14:paraId="00350901" w14:textId="210D0FE2" w:rsidR="00462D4E" w:rsidRPr="00EE590B" w:rsidRDefault="00462D4E" w:rsidP="00FC2EAA">
      <w:pPr>
        <w:pStyle w:val="Textonotapie"/>
        <w:spacing w:before="0" w:after="0" w:line="240" w:lineRule="auto"/>
        <w:ind w:firstLine="708"/>
        <w:rPr>
          <w:rFonts w:ascii="Arial" w:hAnsi="Arial" w:cs="Arial"/>
          <w:sz w:val="19"/>
          <w:szCs w:val="19"/>
          <w:lang w:val="es-ES"/>
        </w:rPr>
      </w:pPr>
      <w:r w:rsidRPr="00EE590B">
        <w:rPr>
          <w:rStyle w:val="Refdenotaalpie"/>
          <w:rFonts w:ascii="Arial" w:hAnsi="Arial" w:cs="Arial"/>
          <w:sz w:val="19"/>
          <w:szCs w:val="19"/>
        </w:rPr>
        <w:footnoteRef/>
      </w:r>
      <w:r w:rsidRPr="00EE590B">
        <w:rPr>
          <w:rFonts w:ascii="Arial" w:hAnsi="Arial" w:cs="Arial"/>
          <w:sz w:val="19"/>
          <w:szCs w:val="19"/>
        </w:rPr>
        <w:t xml:space="preserve"> </w:t>
      </w:r>
      <w:r w:rsidRPr="00EE590B">
        <w:rPr>
          <w:rFonts w:ascii="Arial" w:hAnsi="Arial" w:cs="Arial"/>
          <w:sz w:val="19"/>
          <w:szCs w:val="19"/>
          <w:lang w:val="es-ES"/>
        </w:rPr>
        <w:t>CONSEJO DE ESTADO. Sección Tercera. Sentencia de 1 de agosto de 1991. Exp. 6802. C.P. Juan de Dios Montes Hern</w:t>
      </w:r>
      <w:r w:rsidR="00417D4D">
        <w:rPr>
          <w:rFonts w:ascii="Arial" w:hAnsi="Arial" w:cs="Arial"/>
          <w:sz w:val="19"/>
          <w:szCs w:val="19"/>
          <w:lang w:val="es-ES"/>
        </w:rPr>
        <w:t>á</w:t>
      </w:r>
      <w:r w:rsidRPr="00EE590B">
        <w:rPr>
          <w:rFonts w:ascii="Arial" w:hAnsi="Arial" w:cs="Arial"/>
          <w:sz w:val="19"/>
          <w:szCs w:val="19"/>
          <w:lang w:val="es-ES"/>
        </w:rPr>
        <w:t>nd</w:t>
      </w:r>
      <w:r w:rsidR="00417D4D">
        <w:rPr>
          <w:rFonts w:ascii="Arial" w:hAnsi="Arial" w:cs="Arial"/>
          <w:sz w:val="19"/>
          <w:szCs w:val="19"/>
          <w:lang w:val="es-ES"/>
        </w:rPr>
        <w:t>e</w:t>
      </w:r>
      <w:r w:rsidRPr="00EE590B">
        <w:rPr>
          <w:rFonts w:ascii="Arial" w:hAnsi="Arial" w:cs="Arial"/>
          <w:sz w:val="19"/>
          <w:szCs w:val="19"/>
          <w:lang w:val="es-ES"/>
        </w:rPr>
        <w:t>z</w:t>
      </w:r>
      <w:r w:rsidRPr="00417D4D">
        <w:rPr>
          <w:rFonts w:ascii="Arial" w:hAnsi="Arial" w:cs="Arial"/>
          <w:sz w:val="19"/>
          <w:szCs w:val="19"/>
          <w:lang w:val="es-ES"/>
        </w:rPr>
        <w:t xml:space="preserve">. Ver también: CONSEJO DE ESTADO. Sala de lo Cotencioso Administrativo. Sección Tercera. Sentencia de 29 de agosto de 2007. Exp. 15.324. C.P. Mauricio Fajardo Gómez. CORTE CONSTITUCIONAL. </w:t>
      </w:r>
    </w:p>
    <w:p w14:paraId="3FADB0F9" w14:textId="77777777" w:rsidR="00FC2EAA" w:rsidRPr="00EE590B" w:rsidRDefault="00FC2EAA" w:rsidP="00FC2EAA">
      <w:pPr>
        <w:pStyle w:val="Textonotapie"/>
        <w:spacing w:before="0" w:after="0" w:line="240" w:lineRule="auto"/>
        <w:ind w:firstLine="708"/>
        <w:rPr>
          <w:rFonts w:ascii="Arial" w:hAnsi="Arial" w:cs="Arial"/>
          <w:sz w:val="19"/>
          <w:szCs w:val="19"/>
          <w:lang w:val="es-ES"/>
        </w:rPr>
      </w:pPr>
    </w:p>
  </w:footnote>
  <w:footnote w:id="10">
    <w:p w14:paraId="5DD8D72E" w14:textId="77777777" w:rsidR="00654711" w:rsidRPr="00EE590B" w:rsidRDefault="00654711" w:rsidP="00FC2EAA">
      <w:pPr>
        <w:pStyle w:val="Textonotapie"/>
        <w:spacing w:before="0" w:after="0" w:line="240" w:lineRule="auto"/>
        <w:ind w:firstLine="708"/>
        <w:rPr>
          <w:rFonts w:ascii="Arial" w:hAnsi="Arial" w:cs="Arial"/>
          <w:sz w:val="19"/>
          <w:szCs w:val="19"/>
          <w:lang w:val="es-CO"/>
        </w:rPr>
      </w:pPr>
      <w:r w:rsidRPr="00EE590B">
        <w:rPr>
          <w:rStyle w:val="Refdenotaalpie"/>
          <w:rFonts w:ascii="Arial" w:hAnsi="Arial" w:cs="Arial"/>
          <w:sz w:val="19"/>
          <w:szCs w:val="19"/>
        </w:rPr>
        <w:footnoteRef/>
      </w:r>
      <w:r w:rsidRPr="00EE590B">
        <w:rPr>
          <w:rFonts w:ascii="Arial" w:hAnsi="Arial" w:cs="Arial"/>
          <w:sz w:val="19"/>
          <w:szCs w:val="19"/>
        </w:rPr>
        <w:t xml:space="preserve"> </w:t>
      </w:r>
      <w:r w:rsidRPr="00EE590B">
        <w:rPr>
          <w:rFonts w:ascii="Arial" w:hAnsi="Arial" w:cs="Arial"/>
          <w:sz w:val="19"/>
          <w:szCs w:val="19"/>
          <w:lang w:val="es-CO"/>
        </w:rPr>
        <w:t>El artículo 74 de la Constitución Política de 1991 dispone: «ARTICULO 74. Todas las personas tienen derecho a acceder a los documentos públicos salvo los casos que establezca la ley.</w:t>
      </w:r>
    </w:p>
    <w:p w14:paraId="62C3DBF2" w14:textId="056B083E" w:rsidR="00654711" w:rsidRPr="00EE590B" w:rsidRDefault="00654711" w:rsidP="00FC2EAA">
      <w:pPr>
        <w:pStyle w:val="Textonotapie"/>
        <w:spacing w:before="0" w:after="0" w:line="240" w:lineRule="auto"/>
        <w:ind w:firstLine="708"/>
        <w:rPr>
          <w:rFonts w:ascii="Arial" w:hAnsi="Arial" w:cs="Arial"/>
          <w:sz w:val="19"/>
          <w:szCs w:val="19"/>
          <w:lang w:val="es-CO"/>
        </w:rPr>
      </w:pPr>
      <w:r w:rsidRPr="00EE590B">
        <w:rPr>
          <w:rFonts w:ascii="Arial" w:hAnsi="Arial" w:cs="Arial"/>
          <w:sz w:val="19"/>
          <w:szCs w:val="19"/>
          <w:lang w:val="es-CO"/>
        </w:rPr>
        <w:t>»El secreto profesional es inviolable».</w:t>
      </w:r>
    </w:p>
    <w:p w14:paraId="7627E672" w14:textId="77777777" w:rsidR="00FC2EAA" w:rsidRPr="00EE590B" w:rsidRDefault="00FC2EAA" w:rsidP="00FC2EAA">
      <w:pPr>
        <w:pStyle w:val="Textonotapie"/>
        <w:spacing w:before="0" w:after="0" w:line="240" w:lineRule="auto"/>
        <w:ind w:firstLine="708"/>
        <w:rPr>
          <w:rFonts w:ascii="Arial" w:hAnsi="Arial" w:cs="Arial"/>
          <w:sz w:val="19"/>
          <w:szCs w:val="19"/>
          <w:lang w:val="es-ES"/>
        </w:rPr>
      </w:pPr>
    </w:p>
  </w:footnote>
  <w:footnote w:id="11">
    <w:p w14:paraId="5BC6EA0A" w14:textId="716C0410" w:rsidR="00654711" w:rsidRPr="00EE590B" w:rsidRDefault="00654711" w:rsidP="00B00464">
      <w:pPr>
        <w:pStyle w:val="Textonotapie"/>
        <w:spacing w:before="0" w:after="0" w:line="240" w:lineRule="auto"/>
        <w:ind w:firstLine="708"/>
        <w:rPr>
          <w:rFonts w:ascii="Arial" w:hAnsi="Arial" w:cs="Arial"/>
          <w:sz w:val="19"/>
          <w:szCs w:val="19"/>
          <w:lang w:val="es-CO"/>
        </w:rPr>
      </w:pPr>
      <w:r w:rsidRPr="00EE590B">
        <w:rPr>
          <w:rStyle w:val="Refdenotaalpie"/>
          <w:rFonts w:ascii="Arial" w:hAnsi="Arial" w:cs="Arial"/>
          <w:sz w:val="19"/>
          <w:szCs w:val="19"/>
        </w:rPr>
        <w:footnoteRef/>
      </w:r>
      <w:r w:rsidRPr="00EE590B">
        <w:rPr>
          <w:rFonts w:ascii="Arial" w:hAnsi="Arial" w:cs="Arial"/>
          <w:sz w:val="19"/>
          <w:szCs w:val="19"/>
        </w:rPr>
        <w:t xml:space="preserve"> </w:t>
      </w:r>
      <w:r w:rsidR="00B00464" w:rsidRPr="00EE590B">
        <w:rPr>
          <w:rFonts w:ascii="Arial" w:hAnsi="Arial" w:cs="Arial"/>
          <w:sz w:val="19"/>
          <w:szCs w:val="19"/>
          <w:lang w:val="es-CO"/>
        </w:rPr>
        <w:t>GUZMÁN SANTOS, José Camilo</w:t>
      </w:r>
      <w:r w:rsidR="00B00464" w:rsidRPr="00EE590B">
        <w:rPr>
          <w:rFonts w:ascii="Arial" w:hAnsi="Arial" w:cs="Arial"/>
          <w:sz w:val="19"/>
          <w:szCs w:val="19"/>
        </w:rPr>
        <w:t xml:space="preserve">. </w:t>
      </w:r>
      <w:r w:rsidR="00B00464" w:rsidRPr="00B27D52">
        <w:rPr>
          <w:rFonts w:ascii="Arial" w:hAnsi="Arial" w:cs="Arial"/>
          <w:sz w:val="19"/>
          <w:szCs w:val="19"/>
          <w:lang w:val="es-CO"/>
        </w:rPr>
        <w:t>Control social a la compra y la contratación pública… op, cít., 46</w:t>
      </w:r>
      <w:r w:rsidR="00B00464" w:rsidRPr="00EE590B">
        <w:rPr>
          <w:rFonts w:ascii="Arial" w:hAnsi="Arial" w:cs="Arial"/>
          <w:sz w:val="19"/>
          <w:szCs w:val="19"/>
          <w:lang w:val="es-CO"/>
        </w:rPr>
        <w:t>.</w:t>
      </w:r>
    </w:p>
    <w:p w14:paraId="19A65176" w14:textId="77777777" w:rsidR="00B00464" w:rsidRPr="00EE590B" w:rsidRDefault="00B00464" w:rsidP="00B00464">
      <w:pPr>
        <w:pStyle w:val="Textonotapie"/>
        <w:spacing w:before="0" w:after="0" w:line="240" w:lineRule="auto"/>
        <w:ind w:firstLine="708"/>
        <w:rPr>
          <w:rFonts w:ascii="Arial" w:hAnsi="Arial" w:cs="Arial"/>
          <w:sz w:val="19"/>
          <w:szCs w:val="19"/>
          <w:lang w:val="es-ES"/>
        </w:rPr>
      </w:pPr>
    </w:p>
  </w:footnote>
  <w:footnote w:id="12">
    <w:p w14:paraId="3712AA48" w14:textId="77777777" w:rsidR="00462D4E" w:rsidRPr="00417D4D" w:rsidRDefault="00462D4E" w:rsidP="00FC2EAA">
      <w:pPr>
        <w:pStyle w:val="Textonotapie"/>
        <w:spacing w:before="0" w:after="0" w:line="240" w:lineRule="auto"/>
        <w:ind w:firstLine="708"/>
        <w:rPr>
          <w:rFonts w:ascii="Arial" w:hAnsi="Arial" w:cs="Arial"/>
          <w:sz w:val="19"/>
          <w:szCs w:val="19"/>
          <w:lang w:val="es-CO"/>
        </w:rPr>
      </w:pPr>
      <w:r w:rsidRPr="00EE590B">
        <w:rPr>
          <w:rStyle w:val="Refdenotaalpie"/>
          <w:rFonts w:ascii="Arial" w:hAnsi="Arial" w:cs="Arial"/>
          <w:sz w:val="19"/>
          <w:szCs w:val="19"/>
        </w:rPr>
        <w:footnoteRef/>
      </w:r>
      <w:r w:rsidRPr="00EE590B">
        <w:rPr>
          <w:rFonts w:ascii="Arial" w:hAnsi="Arial" w:cs="Arial"/>
          <w:sz w:val="19"/>
          <w:szCs w:val="19"/>
        </w:rPr>
        <w:t xml:space="preserve"> </w:t>
      </w:r>
      <w:r w:rsidRPr="00EE590B">
        <w:rPr>
          <w:rFonts w:ascii="Arial" w:hAnsi="Arial" w:cs="Arial"/>
          <w:sz w:val="19"/>
          <w:szCs w:val="19"/>
          <w:lang w:val="es-CO"/>
        </w:rPr>
        <w:t xml:space="preserve">La ley 1437 de 2011, en el artículo 13 previene: </w:t>
      </w:r>
    </w:p>
    <w:p w14:paraId="621B6399" w14:textId="03CC189B" w:rsidR="00462D4E" w:rsidRPr="00EE590B" w:rsidRDefault="00462D4E" w:rsidP="00FC2EAA">
      <w:pPr>
        <w:pStyle w:val="Textonotapie"/>
        <w:spacing w:before="0" w:after="0" w:line="240" w:lineRule="auto"/>
        <w:ind w:firstLine="708"/>
        <w:rPr>
          <w:rFonts w:ascii="Arial" w:hAnsi="Arial" w:cs="Arial"/>
          <w:sz w:val="19"/>
          <w:szCs w:val="19"/>
          <w:lang w:val="es-CO"/>
        </w:rPr>
      </w:pPr>
      <w:r w:rsidRPr="00EE590B">
        <w:rPr>
          <w:rFonts w:ascii="Arial" w:hAnsi="Arial" w:cs="Arial"/>
          <w:sz w:val="19"/>
          <w:szCs w:val="19"/>
          <w:lang w:val="es-CO"/>
        </w:rPr>
        <w:t>«Toda persona tiene derecho a presentar peticiones respetuosas a las autoridades, en los términos señalados en este código, por motivos de interés general o particular, y a obtener pronta resolución completa y de fondo sobre la misma.</w:t>
      </w:r>
    </w:p>
    <w:p w14:paraId="4FC8BD72" w14:textId="4661BAB1" w:rsidR="00462D4E" w:rsidRPr="00EE590B" w:rsidRDefault="00462D4E" w:rsidP="00FC2EAA">
      <w:pPr>
        <w:pStyle w:val="Textonotapie"/>
        <w:spacing w:before="0" w:after="0" w:line="240" w:lineRule="auto"/>
        <w:ind w:firstLine="708"/>
        <w:rPr>
          <w:rFonts w:ascii="Arial" w:hAnsi="Arial" w:cs="Arial"/>
          <w:sz w:val="19"/>
          <w:szCs w:val="19"/>
          <w:lang w:val="es-CO"/>
        </w:rPr>
      </w:pPr>
      <w:r w:rsidRPr="00EE590B">
        <w:rPr>
          <w:rFonts w:ascii="Arial" w:hAnsi="Arial" w:cs="Arial"/>
          <w:sz w:val="19"/>
          <w:szCs w:val="19"/>
          <w:lang w:val="es-CO"/>
        </w:rPr>
        <w:t>»Toda actuación que inicie cualquier persona ante las autoridades implica el ejercicio del derecho de petición consagrado en el artículo </w:t>
      </w:r>
      <w:hyperlink r:id="rId1" w:anchor="23" w:history="1">
        <w:r w:rsidRPr="00EE590B">
          <w:rPr>
            <w:rStyle w:val="Hipervnculo"/>
            <w:rFonts w:ascii="Arial" w:hAnsi="Arial" w:cs="Arial"/>
            <w:sz w:val="19"/>
            <w:szCs w:val="19"/>
            <w:lang w:val="es-CO"/>
          </w:rPr>
          <w:t>23</w:t>
        </w:r>
      </w:hyperlink>
      <w:r w:rsidRPr="00EE590B">
        <w:rPr>
          <w:rFonts w:ascii="Arial" w:hAnsi="Arial" w:cs="Arial"/>
          <w:sz w:val="19"/>
          <w:szCs w:val="19"/>
          <w:lang w:val="es-CO"/>
        </w:rPr>
        <w:t> de la Constitución Política, sin que sea necesario invocarlo. Mediante él, entre otras actuaciones, se podrá solicitar: el reconocimiento de un derecho, la intervención de una entidad o funcionario, la resolución de una situación jurídica, la prestación de un servicio, requerir información, consultar, examinar y requerir copias de documentos, formular consultas, quejas, denuncias y reclamos e interponer recursos.</w:t>
      </w:r>
    </w:p>
    <w:p w14:paraId="6318A896" w14:textId="11D3C227" w:rsidR="00462D4E" w:rsidRPr="00EE590B" w:rsidRDefault="00462D4E" w:rsidP="00FC2EAA">
      <w:pPr>
        <w:pStyle w:val="Textonotapie"/>
        <w:spacing w:before="0" w:after="0" w:line="240" w:lineRule="auto"/>
        <w:ind w:firstLine="708"/>
        <w:rPr>
          <w:rFonts w:ascii="Arial" w:hAnsi="Arial" w:cs="Arial"/>
          <w:sz w:val="19"/>
          <w:szCs w:val="19"/>
          <w:lang w:val="es-CO"/>
        </w:rPr>
      </w:pPr>
      <w:r w:rsidRPr="00EE590B">
        <w:rPr>
          <w:rFonts w:ascii="Arial" w:hAnsi="Arial" w:cs="Arial"/>
          <w:sz w:val="19"/>
          <w:szCs w:val="19"/>
          <w:lang w:val="es-CO"/>
        </w:rPr>
        <w:t xml:space="preserve">»El ejercicio del derecho de petición es gratuito y puede realizarse sin necesidad de representación a través de abogado, o de persona mayor cuando se trate de menores en relación a las entidades dedicadas a su protección o formación». </w:t>
      </w:r>
    </w:p>
    <w:p w14:paraId="44086B18" w14:textId="77777777" w:rsidR="00462D4E" w:rsidRPr="00EE590B" w:rsidRDefault="00462D4E" w:rsidP="00FC2EAA">
      <w:pPr>
        <w:pStyle w:val="Textonotapie"/>
        <w:spacing w:before="0" w:after="0" w:line="240" w:lineRule="auto"/>
        <w:ind w:firstLine="708"/>
        <w:rPr>
          <w:rFonts w:ascii="Arial" w:hAnsi="Arial" w:cs="Arial"/>
          <w:sz w:val="19"/>
          <w:szCs w:val="19"/>
          <w:lang w:val="es-CO"/>
        </w:rPr>
      </w:pPr>
    </w:p>
    <w:p w14:paraId="12014114" w14:textId="77777777" w:rsidR="00462D4E" w:rsidRPr="00EE590B" w:rsidRDefault="00462D4E" w:rsidP="00FC2EAA">
      <w:pPr>
        <w:pStyle w:val="Textonotapie"/>
        <w:spacing w:before="0" w:after="0" w:line="240" w:lineRule="auto"/>
        <w:rPr>
          <w:rFonts w:ascii="Arial" w:hAnsi="Arial" w:cs="Arial"/>
          <w:sz w:val="19"/>
          <w:szCs w:val="19"/>
          <w:lang w:val="es-CO"/>
        </w:rPr>
      </w:pPr>
    </w:p>
  </w:footnote>
  <w:footnote w:id="13">
    <w:p w14:paraId="0F2E8A32" w14:textId="77777777" w:rsidR="003A765C" w:rsidRPr="008E0834" w:rsidRDefault="003A765C" w:rsidP="003A765C">
      <w:pPr>
        <w:pStyle w:val="Textonotapie"/>
        <w:spacing w:before="0" w:after="0" w:line="240" w:lineRule="auto"/>
        <w:ind w:firstLine="708"/>
        <w:rPr>
          <w:rFonts w:ascii="Arial" w:hAnsi="Arial" w:cs="Arial"/>
          <w:sz w:val="19"/>
          <w:szCs w:val="19"/>
          <w:lang w:val="es-CO"/>
        </w:rPr>
      </w:pPr>
      <w:r w:rsidRPr="00EE590B">
        <w:rPr>
          <w:rStyle w:val="Refdenotaalpie"/>
          <w:rFonts w:ascii="Arial" w:hAnsi="Arial" w:cs="Arial"/>
          <w:sz w:val="19"/>
          <w:szCs w:val="19"/>
        </w:rPr>
        <w:footnoteRef/>
      </w:r>
      <w:r w:rsidRPr="00EE590B">
        <w:rPr>
          <w:rFonts w:ascii="Arial" w:hAnsi="Arial" w:cs="Arial"/>
          <w:sz w:val="19"/>
          <w:szCs w:val="19"/>
        </w:rPr>
        <w:t xml:space="preserve"> </w:t>
      </w:r>
      <w:r w:rsidRPr="00EE590B">
        <w:rPr>
          <w:rFonts w:ascii="Arial" w:hAnsi="Arial" w:cs="Arial"/>
          <w:sz w:val="19"/>
          <w:szCs w:val="19"/>
          <w:lang w:val="es-CO"/>
        </w:rPr>
        <w:t xml:space="preserve">GUZMÁN </w:t>
      </w:r>
      <w:r w:rsidRPr="00417D4D">
        <w:rPr>
          <w:rFonts w:ascii="Arial" w:hAnsi="Arial" w:cs="Arial"/>
          <w:sz w:val="19"/>
          <w:szCs w:val="19"/>
          <w:lang w:val="es-CO"/>
        </w:rPr>
        <w:t>SANTOS, José Camilo</w:t>
      </w:r>
      <w:r w:rsidRPr="00417D4D">
        <w:rPr>
          <w:rFonts w:ascii="Arial" w:hAnsi="Arial" w:cs="Arial"/>
          <w:sz w:val="19"/>
          <w:szCs w:val="19"/>
        </w:rPr>
        <w:t xml:space="preserve">. </w:t>
      </w:r>
      <w:r w:rsidRPr="00872D78">
        <w:rPr>
          <w:rFonts w:ascii="Arial" w:hAnsi="Arial" w:cs="Arial"/>
          <w:sz w:val="19"/>
          <w:szCs w:val="19"/>
          <w:lang w:val="es-CO"/>
        </w:rPr>
        <w:t>Control social a la compra y la contratación pública… op, cít., 47.</w:t>
      </w:r>
    </w:p>
    <w:p w14:paraId="07784C3A" w14:textId="77777777" w:rsidR="003A765C" w:rsidRPr="008E0834" w:rsidRDefault="003A765C" w:rsidP="003A765C">
      <w:pPr>
        <w:pStyle w:val="Textonotapie"/>
        <w:spacing w:before="0" w:after="0" w:line="240" w:lineRule="auto"/>
        <w:ind w:firstLine="708"/>
        <w:rPr>
          <w:rFonts w:ascii="Arial" w:hAnsi="Arial" w:cs="Arial"/>
          <w:sz w:val="19"/>
          <w:szCs w:val="19"/>
          <w:lang w:val="es-CO"/>
        </w:rPr>
      </w:pPr>
    </w:p>
  </w:footnote>
  <w:footnote w:id="14">
    <w:p w14:paraId="4A6CD21A" w14:textId="411E4C14" w:rsidR="004B1EE9" w:rsidRPr="00EE590B" w:rsidRDefault="004B1EE9" w:rsidP="004B1EE9">
      <w:pPr>
        <w:pStyle w:val="Textonotapie"/>
        <w:spacing w:before="0" w:after="0" w:line="240" w:lineRule="auto"/>
        <w:ind w:firstLine="709"/>
        <w:rPr>
          <w:rFonts w:ascii="Arial" w:hAnsi="Arial" w:cs="Arial"/>
          <w:sz w:val="19"/>
          <w:szCs w:val="19"/>
        </w:rPr>
      </w:pPr>
      <w:r w:rsidRPr="00EE590B">
        <w:rPr>
          <w:rStyle w:val="Refdenotaalpie"/>
          <w:rFonts w:ascii="Arial" w:hAnsi="Arial" w:cs="Arial"/>
          <w:sz w:val="19"/>
          <w:szCs w:val="19"/>
        </w:rPr>
        <w:footnoteRef/>
      </w:r>
      <w:r w:rsidRPr="00EE590B">
        <w:rPr>
          <w:rFonts w:ascii="Arial" w:hAnsi="Arial" w:cs="Arial"/>
          <w:sz w:val="19"/>
          <w:szCs w:val="19"/>
        </w:rPr>
        <w:t xml:space="preserve"> El artículo 48 de la Ley 1757 de 2015 establece: «ARTÍCULO 48. DEFINICIÓN RENDICIÓN DE CUENTAS. Por rendición de cuentas se entiende el proceso conformado por un co</w:t>
      </w:r>
      <w:r w:rsidRPr="003A765C">
        <w:rPr>
          <w:rFonts w:ascii="Arial" w:hAnsi="Arial" w:cs="Arial"/>
          <w:sz w:val="19"/>
          <w:szCs w:val="19"/>
        </w:rPr>
        <w:t>njunto de normas, procedimientos, metodologías, estructuras, prácticas y resultados mediante los cuales, las entidades de la administración pública del nivel nacional y territorial y los servidores públicos informan, explican y dan a conocer los resultados</w:t>
      </w:r>
      <w:r w:rsidRPr="0003137B">
        <w:rPr>
          <w:rFonts w:ascii="Arial" w:hAnsi="Arial" w:cs="Arial"/>
          <w:sz w:val="19"/>
          <w:szCs w:val="19"/>
        </w:rPr>
        <w:t xml:space="preserve"> de su gestión a los ciudadanos, la sociedad civil, otras entidades públicas y a los organismos de control, a partir de la promoción del diálogo.</w:t>
      </w:r>
    </w:p>
    <w:p w14:paraId="63E7A5D3" w14:textId="7ED148C0" w:rsidR="004B1EE9" w:rsidRPr="00EE590B" w:rsidRDefault="004B1EE9" w:rsidP="004B1EE9">
      <w:pPr>
        <w:pStyle w:val="Textonotapie"/>
        <w:spacing w:before="0" w:after="0" w:line="240" w:lineRule="auto"/>
        <w:ind w:firstLine="709"/>
        <w:rPr>
          <w:rFonts w:ascii="Arial" w:hAnsi="Arial" w:cs="Arial"/>
          <w:sz w:val="19"/>
          <w:szCs w:val="19"/>
        </w:rPr>
      </w:pPr>
      <w:r w:rsidRPr="00EE590B">
        <w:rPr>
          <w:rFonts w:ascii="Arial" w:hAnsi="Arial" w:cs="Arial"/>
          <w:sz w:val="19"/>
          <w:szCs w:val="19"/>
        </w:rPr>
        <w:t>»La rendición de cuentas es una expresión de control social que comprende acciones de petición de información y explicaciones, así como la evaluación de la gestión. Este proceso tiene como finalidad la búsqueda de la transparencia de la gestión de la administración pública y a partir de allí lograr la adopción de los principios de Buen Gobierno, eficiencia, eficacia, transparencia y rendición de cuentas, en la cotidianidad del servidor público.</w:t>
      </w:r>
    </w:p>
    <w:p w14:paraId="69B179B4" w14:textId="0FD47013" w:rsidR="004B1EE9" w:rsidRPr="00EE590B" w:rsidRDefault="004B1EE9" w:rsidP="004B1EE9">
      <w:pPr>
        <w:pStyle w:val="Textonotapie"/>
        <w:spacing w:before="0" w:after="0" w:line="240" w:lineRule="auto"/>
        <w:ind w:firstLine="709"/>
        <w:rPr>
          <w:rFonts w:ascii="Arial" w:hAnsi="Arial" w:cs="Arial"/>
          <w:sz w:val="19"/>
          <w:szCs w:val="19"/>
        </w:rPr>
      </w:pPr>
      <w:r w:rsidRPr="00EE590B">
        <w:rPr>
          <w:rFonts w:ascii="Arial" w:hAnsi="Arial" w:cs="Arial"/>
          <w:sz w:val="19"/>
          <w:szCs w:val="19"/>
        </w:rPr>
        <w:t>»PARÁGRAFO. En todo caso, la Unidad Coordinadora de Atención al Ciudadano del Congreso de la República dispondrá de la información de la gestión de los congresistas de su asistencia a las sesiones de comisiones y plenarias, del sentido de sus votaciones y de sus iniciativas legislativas y de control político presentadas».</w:t>
      </w:r>
    </w:p>
  </w:footnote>
  <w:footnote w:id="15">
    <w:p w14:paraId="5E8C1CDB" w14:textId="77777777" w:rsidR="005E26BD" w:rsidRPr="003A765C" w:rsidRDefault="005E26BD" w:rsidP="005E26BD">
      <w:pPr>
        <w:pStyle w:val="Textonotapie"/>
        <w:spacing w:before="0" w:after="0" w:line="240" w:lineRule="auto"/>
        <w:ind w:firstLine="708"/>
        <w:rPr>
          <w:rFonts w:ascii="Arial" w:hAnsi="Arial" w:cs="Arial"/>
          <w:sz w:val="19"/>
          <w:szCs w:val="19"/>
          <w:lang w:val="es-CO"/>
        </w:rPr>
      </w:pPr>
      <w:r w:rsidRPr="00417D4D">
        <w:rPr>
          <w:rStyle w:val="Refdenotaalpie"/>
          <w:rFonts w:ascii="Arial" w:hAnsi="Arial" w:cs="Arial"/>
          <w:sz w:val="19"/>
          <w:szCs w:val="19"/>
        </w:rPr>
        <w:footnoteRef/>
      </w:r>
      <w:r w:rsidRPr="00417D4D">
        <w:rPr>
          <w:rFonts w:ascii="Arial" w:hAnsi="Arial" w:cs="Arial"/>
          <w:sz w:val="19"/>
          <w:szCs w:val="19"/>
        </w:rPr>
        <w:t xml:space="preserve"> </w:t>
      </w:r>
      <w:r w:rsidRPr="00417D4D">
        <w:rPr>
          <w:rFonts w:ascii="Arial" w:hAnsi="Arial" w:cs="Arial"/>
          <w:sz w:val="19"/>
          <w:szCs w:val="19"/>
          <w:lang w:val="es-CO"/>
        </w:rPr>
        <w:t xml:space="preserve">La ley 1437 de 2011, en el artículo 13 previene: </w:t>
      </w:r>
    </w:p>
    <w:p w14:paraId="403BE6E8" w14:textId="77777777" w:rsidR="005E26BD" w:rsidRPr="00EE590B" w:rsidRDefault="005E26BD" w:rsidP="005E26BD">
      <w:pPr>
        <w:pStyle w:val="Textonotapie"/>
        <w:spacing w:before="0" w:after="0" w:line="240" w:lineRule="auto"/>
        <w:ind w:firstLine="708"/>
        <w:rPr>
          <w:rFonts w:ascii="Arial" w:hAnsi="Arial" w:cs="Arial"/>
          <w:sz w:val="19"/>
          <w:szCs w:val="19"/>
          <w:lang w:val="es-CO"/>
        </w:rPr>
      </w:pPr>
      <w:r w:rsidRPr="0003137B">
        <w:rPr>
          <w:rFonts w:ascii="Arial" w:hAnsi="Arial" w:cs="Arial"/>
          <w:sz w:val="19"/>
          <w:szCs w:val="19"/>
          <w:lang w:val="es-CO"/>
        </w:rPr>
        <w:t>«Toda persona tiene derecho a presentar peticiones respetuosas a las autoridades, en los términos señalados en este código, por motivos de interés general o particular, y a obtener pronta resolución completa y de fondo sobre la misma.</w:t>
      </w:r>
    </w:p>
    <w:p w14:paraId="55163AF5" w14:textId="77777777" w:rsidR="005E26BD" w:rsidRPr="0003137B" w:rsidRDefault="005E26BD" w:rsidP="005E26BD">
      <w:pPr>
        <w:pStyle w:val="Textonotapie"/>
        <w:spacing w:before="0" w:after="0" w:line="240" w:lineRule="auto"/>
        <w:ind w:firstLine="708"/>
        <w:rPr>
          <w:rFonts w:ascii="Arial" w:hAnsi="Arial" w:cs="Arial"/>
          <w:sz w:val="19"/>
          <w:szCs w:val="19"/>
          <w:lang w:val="es-CO"/>
        </w:rPr>
      </w:pPr>
      <w:r w:rsidRPr="00EE590B">
        <w:rPr>
          <w:rFonts w:ascii="Arial" w:hAnsi="Arial" w:cs="Arial"/>
          <w:sz w:val="19"/>
          <w:szCs w:val="19"/>
          <w:lang w:val="es-CO"/>
        </w:rPr>
        <w:t>»Toda actuación que inicie cualquier persona ante las autoridades implica el ejercicio del derecho de petición consagrado en el artículo </w:t>
      </w:r>
      <w:hyperlink r:id="rId2" w:anchor="23" w:history="1">
        <w:r w:rsidRPr="00417D4D">
          <w:rPr>
            <w:rStyle w:val="Hipervnculo"/>
            <w:rFonts w:ascii="Arial" w:hAnsi="Arial" w:cs="Arial"/>
            <w:sz w:val="19"/>
            <w:szCs w:val="19"/>
            <w:lang w:val="es-CO"/>
          </w:rPr>
          <w:t>23</w:t>
        </w:r>
      </w:hyperlink>
      <w:r w:rsidRPr="00417D4D">
        <w:rPr>
          <w:rFonts w:ascii="Arial" w:hAnsi="Arial" w:cs="Arial"/>
          <w:sz w:val="19"/>
          <w:szCs w:val="19"/>
          <w:lang w:val="es-CO"/>
        </w:rPr>
        <w:t xml:space="preserve"> de la Constitución Política, sin que sea necesario invocarlo. Mediante </w:t>
      </w:r>
      <w:r w:rsidRPr="003A765C">
        <w:rPr>
          <w:rFonts w:ascii="Arial" w:hAnsi="Arial" w:cs="Arial"/>
          <w:sz w:val="19"/>
          <w:szCs w:val="19"/>
          <w:lang w:val="es-CO"/>
        </w:rPr>
        <w:t>él, entre otras actuaciones, se podrá solicitar: el reconocimiento de un derecho, la intervención de una entidad o funcionario, la resolución de una situación jurídica, la prestación de un servicio, requerir información, consultar, examinar y requerir copi</w:t>
      </w:r>
      <w:r w:rsidRPr="0003137B">
        <w:rPr>
          <w:rFonts w:ascii="Arial" w:hAnsi="Arial" w:cs="Arial"/>
          <w:sz w:val="19"/>
          <w:szCs w:val="19"/>
          <w:lang w:val="es-CO"/>
        </w:rPr>
        <w:t>as de documentos, formular consultas, quejas, denuncias y reclamos e interponer recursos.</w:t>
      </w:r>
    </w:p>
    <w:p w14:paraId="50E09954" w14:textId="77777777" w:rsidR="005E26BD" w:rsidRPr="00EE590B" w:rsidRDefault="005E26BD" w:rsidP="005E26BD">
      <w:pPr>
        <w:pStyle w:val="Textonotapie"/>
        <w:spacing w:before="0" w:after="0" w:line="240" w:lineRule="auto"/>
        <w:ind w:firstLine="708"/>
        <w:rPr>
          <w:rFonts w:ascii="Arial" w:hAnsi="Arial" w:cs="Arial"/>
          <w:sz w:val="19"/>
          <w:szCs w:val="19"/>
          <w:lang w:val="es-CO"/>
        </w:rPr>
      </w:pPr>
      <w:r w:rsidRPr="00EE590B">
        <w:rPr>
          <w:rFonts w:ascii="Arial" w:hAnsi="Arial" w:cs="Arial"/>
          <w:sz w:val="19"/>
          <w:szCs w:val="19"/>
          <w:lang w:val="es-CO"/>
        </w:rPr>
        <w:t xml:space="preserve">»El ejercicio del derecho de petición es gratuito y puede realizarse sin necesidad de representación a través de abogado, o de persona mayor cuando se trate de menores en relación a las entidades dedicadas a su protección o formación». </w:t>
      </w:r>
    </w:p>
    <w:p w14:paraId="5366FA90" w14:textId="77777777" w:rsidR="005E26BD" w:rsidRPr="00EE590B" w:rsidRDefault="005E26BD" w:rsidP="005E26BD">
      <w:pPr>
        <w:pStyle w:val="Textonotapie"/>
        <w:spacing w:before="0" w:after="0" w:line="240" w:lineRule="auto"/>
        <w:ind w:firstLine="708"/>
        <w:rPr>
          <w:rFonts w:ascii="Arial" w:hAnsi="Arial" w:cs="Arial"/>
          <w:sz w:val="19"/>
          <w:szCs w:val="19"/>
          <w:lang w:val="es-CO"/>
        </w:rPr>
      </w:pPr>
    </w:p>
    <w:p w14:paraId="30A7585B" w14:textId="77777777" w:rsidR="005E26BD" w:rsidRPr="00EE590B" w:rsidRDefault="005E26BD" w:rsidP="005E26BD">
      <w:pPr>
        <w:pStyle w:val="Textonotapie"/>
        <w:spacing w:before="0" w:after="0" w:line="240" w:lineRule="auto"/>
        <w:rPr>
          <w:rFonts w:ascii="Arial" w:hAnsi="Arial" w:cs="Arial"/>
          <w:sz w:val="19"/>
          <w:szCs w:val="19"/>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20770B" w14:textId="1A2BB94C" w:rsidR="001B05A3" w:rsidRDefault="001B05A3">
    <w:pPr>
      <w:pStyle w:val="Encabezado"/>
    </w:pPr>
    <w:r>
      <w:rPr>
        <w:noProof/>
        <w:lang w:val="en-US"/>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5"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4"/>
  </w:num>
  <w:num w:numId="5">
    <w:abstractNumId w:val="6"/>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5A"/>
    <w:rsid w:val="00015055"/>
    <w:rsid w:val="00017253"/>
    <w:rsid w:val="000210DF"/>
    <w:rsid w:val="0003137B"/>
    <w:rsid w:val="00053F0F"/>
    <w:rsid w:val="00063AA7"/>
    <w:rsid w:val="00063B73"/>
    <w:rsid w:val="000641A8"/>
    <w:rsid w:val="0006474E"/>
    <w:rsid w:val="00064C30"/>
    <w:rsid w:val="00077166"/>
    <w:rsid w:val="00084B97"/>
    <w:rsid w:val="000873B5"/>
    <w:rsid w:val="000942EB"/>
    <w:rsid w:val="000A5B77"/>
    <w:rsid w:val="000A7358"/>
    <w:rsid w:val="000B103F"/>
    <w:rsid w:val="000F14E8"/>
    <w:rsid w:val="00100C4A"/>
    <w:rsid w:val="00103915"/>
    <w:rsid w:val="001155B8"/>
    <w:rsid w:val="0011766B"/>
    <w:rsid w:val="00120D67"/>
    <w:rsid w:val="00122B23"/>
    <w:rsid w:val="00122B9A"/>
    <w:rsid w:val="00130F04"/>
    <w:rsid w:val="00137FFA"/>
    <w:rsid w:val="00141B41"/>
    <w:rsid w:val="00147844"/>
    <w:rsid w:val="00167537"/>
    <w:rsid w:val="00180188"/>
    <w:rsid w:val="00186330"/>
    <w:rsid w:val="0019030A"/>
    <w:rsid w:val="0019085D"/>
    <w:rsid w:val="00190961"/>
    <w:rsid w:val="0019148E"/>
    <w:rsid w:val="001A0A19"/>
    <w:rsid w:val="001A0E7A"/>
    <w:rsid w:val="001A6772"/>
    <w:rsid w:val="001B0444"/>
    <w:rsid w:val="001B05A3"/>
    <w:rsid w:val="001C4F6B"/>
    <w:rsid w:val="001C79DC"/>
    <w:rsid w:val="001D30D8"/>
    <w:rsid w:val="001D5E0E"/>
    <w:rsid w:val="001E0719"/>
    <w:rsid w:val="001E45B5"/>
    <w:rsid w:val="001E6DDC"/>
    <w:rsid w:val="001E770A"/>
    <w:rsid w:val="001F4B84"/>
    <w:rsid w:val="001F4EF2"/>
    <w:rsid w:val="0020632A"/>
    <w:rsid w:val="002110EB"/>
    <w:rsid w:val="00211338"/>
    <w:rsid w:val="0023336E"/>
    <w:rsid w:val="00234B84"/>
    <w:rsid w:val="00251309"/>
    <w:rsid w:val="002538AC"/>
    <w:rsid w:val="002914E1"/>
    <w:rsid w:val="002C191F"/>
    <w:rsid w:val="002C3AAD"/>
    <w:rsid w:val="002C4C0C"/>
    <w:rsid w:val="002C6058"/>
    <w:rsid w:val="002E3A30"/>
    <w:rsid w:val="002F06AC"/>
    <w:rsid w:val="002F2012"/>
    <w:rsid w:val="003033BA"/>
    <w:rsid w:val="0030589C"/>
    <w:rsid w:val="00313972"/>
    <w:rsid w:val="003141F5"/>
    <w:rsid w:val="00314370"/>
    <w:rsid w:val="00322937"/>
    <w:rsid w:val="00336AF5"/>
    <w:rsid w:val="0034177C"/>
    <w:rsid w:val="0034680A"/>
    <w:rsid w:val="00350DA7"/>
    <w:rsid w:val="00353DD5"/>
    <w:rsid w:val="003549D8"/>
    <w:rsid w:val="003550F5"/>
    <w:rsid w:val="0036097F"/>
    <w:rsid w:val="00361F7A"/>
    <w:rsid w:val="0037744C"/>
    <w:rsid w:val="00386456"/>
    <w:rsid w:val="003901B3"/>
    <w:rsid w:val="00397B00"/>
    <w:rsid w:val="003A0878"/>
    <w:rsid w:val="003A581E"/>
    <w:rsid w:val="003A5EF0"/>
    <w:rsid w:val="003A765C"/>
    <w:rsid w:val="003C2087"/>
    <w:rsid w:val="003C6028"/>
    <w:rsid w:val="003C6807"/>
    <w:rsid w:val="003D21F6"/>
    <w:rsid w:val="003D3D9D"/>
    <w:rsid w:val="003D4F75"/>
    <w:rsid w:val="00406E40"/>
    <w:rsid w:val="00413C8D"/>
    <w:rsid w:val="00414906"/>
    <w:rsid w:val="00417D4D"/>
    <w:rsid w:val="00423B56"/>
    <w:rsid w:val="00423F9F"/>
    <w:rsid w:val="00425FD7"/>
    <w:rsid w:val="004329D3"/>
    <w:rsid w:val="00432A64"/>
    <w:rsid w:val="00432D77"/>
    <w:rsid w:val="00434140"/>
    <w:rsid w:val="004375C3"/>
    <w:rsid w:val="004422D6"/>
    <w:rsid w:val="0044490E"/>
    <w:rsid w:val="00446522"/>
    <w:rsid w:val="00462D4E"/>
    <w:rsid w:val="00465502"/>
    <w:rsid w:val="00465A61"/>
    <w:rsid w:val="00476AD6"/>
    <w:rsid w:val="00480D03"/>
    <w:rsid w:val="0049241A"/>
    <w:rsid w:val="004A0F49"/>
    <w:rsid w:val="004A34D2"/>
    <w:rsid w:val="004B1EE9"/>
    <w:rsid w:val="004B62F0"/>
    <w:rsid w:val="004C5422"/>
    <w:rsid w:val="004C6959"/>
    <w:rsid w:val="004D7726"/>
    <w:rsid w:val="004E1B07"/>
    <w:rsid w:val="004F1B35"/>
    <w:rsid w:val="0050017F"/>
    <w:rsid w:val="00501CB5"/>
    <w:rsid w:val="0051074C"/>
    <w:rsid w:val="00513AF2"/>
    <w:rsid w:val="005216C1"/>
    <w:rsid w:val="00524215"/>
    <w:rsid w:val="0053442C"/>
    <w:rsid w:val="00541B30"/>
    <w:rsid w:val="0054413A"/>
    <w:rsid w:val="005564CA"/>
    <w:rsid w:val="0056182B"/>
    <w:rsid w:val="005622EB"/>
    <w:rsid w:val="0056439A"/>
    <w:rsid w:val="005756AA"/>
    <w:rsid w:val="005833F6"/>
    <w:rsid w:val="0058468F"/>
    <w:rsid w:val="00593691"/>
    <w:rsid w:val="00596896"/>
    <w:rsid w:val="005B5BE2"/>
    <w:rsid w:val="005B703B"/>
    <w:rsid w:val="005D1158"/>
    <w:rsid w:val="005D4AEF"/>
    <w:rsid w:val="005D516F"/>
    <w:rsid w:val="005D51FA"/>
    <w:rsid w:val="005D791B"/>
    <w:rsid w:val="005E26BD"/>
    <w:rsid w:val="005E44A2"/>
    <w:rsid w:val="00614817"/>
    <w:rsid w:val="00626A46"/>
    <w:rsid w:val="00630D7C"/>
    <w:rsid w:val="00633DBF"/>
    <w:rsid w:val="00654711"/>
    <w:rsid w:val="00655371"/>
    <w:rsid w:val="0067157B"/>
    <w:rsid w:val="00672272"/>
    <w:rsid w:val="006727B4"/>
    <w:rsid w:val="006771EE"/>
    <w:rsid w:val="0069401B"/>
    <w:rsid w:val="00697665"/>
    <w:rsid w:val="006A0369"/>
    <w:rsid w:val="006A0EB7"/>
    <w:rsid w:val="006A7CB5"/>
    <w:rsid w:val="006A7FD0"/>
    <w:rsid w:val="006B03C3"/>
    <w:rsid w:val="006B5575"/>
    <w:rsid w:val="006C075F"/>
    <w:rsid w:val="006C6EE9"/>
    <w:rsid w:val="006D7687"/>
    <w:rsid w:val="006E0572"/>
    <w:rsid w:val="006E170C"/>
    <w:rsid w:val="006E1E98"/>
    <w:rsid w:val="006F08AD"/>
    <w:rsid w:val="006F09F9"/>
    <w:rsid w:val="00705631"/>
    <w:rsid w:val="00707A5D"/>
    <w:rsid w:val="00715EAA"/>
    <w:rsid w:val="00733BCA"/>
    <w:rsid w:val="0073441F"/>
    <w:rsid w:val="00742DD2"/>
    <w:rsid w:val="00746E08"/>
    <w:rsid w:val="00747C16"/>
    <w:rsid w:val="00747C96"/>
    <w:rsid w:val="0075094E"/>
    <w:rsid w:val="007522E8"/>
    <w:rsid w:val="0075647A"/>
    <w:rsid w:val="007634AD"/>
    <w:rsid w:val="00775563"/>
    <w:rsid w:val="00777F8D"/>
    <w:rsid w:val="0078122E"/>
    <w:rsid w:val="0078519E"/>
    <w:rsid w:val="00785519"/>
    <w:rsid w:val="00792E66"/>
    <w:rsid w:val="00795647"/>
    <w:rsid w:val="007B0854"/>
    <w:rsid w:val="007B33CA"/>
    <w:rsid w:val="007C2357"/>
    <w:rsid w:val="007D6C71"/>
    <w:rsid w:val="007E1312"/>
    <w:rsid w:val="007F2B18"/>
    <w:rsid w:val="007F6B46"/>
    <w:rsid w:val="007F72CB"/>
    <w:rsid w:val="00800C47"/>
    <w:rsid w:val="0080740A"/>
    <w:rsid w:val="0082065D"/>
    <w:rsid w:val="008217B7"/>
    <w:rsid w:val="00830303"/>
    <w:rsid w:val="0083119B"/>
    <w:rsid w:val="008332FB"/>
    <w:rsid w:val="00836EAB"/>
    <w:rsid w:val="0084010D"/>
    <w:rsid w:val="008420C6"/>
    <w:rsid w:val="0085092D"/>
    <w:rsid w:val="00850F79"/>
    <w:rsid w:val="00854DB7"/>
    <w:rsid w:val="00861F54"/>
    <w:rsid w:val="00862BF3"/>
    <w:rsid w:val="008632AF"/>
    <w:rsid w:val="00872D78"/>
    <w:rsid w:val="00873C12"/>
    <w:rsid w:val="008749A9"/>
    <w:rsid w:val="00881812"/>
    <w:rsid w:val="00883385"/>
    <w:rsid w:val="0088434E"/>
    <w:rsid w:val="00885FD7"/>
    <w:rsid w:val="0089774F"/>
    <w:rsid w:val="008A4CAC"/>
    <w:rsid w:val="008B3AED"/>
    <w:rsid w:val="008B5456"/>
    <w:rsid w:val="008C5DB2"/>
    <w:rsid w:val="008D1FCB"/>
    <w:rsid w:val="008D6A9F"/>
    <w:rsid w:val="008D7CE6"/>
    <w:rsid w:val="008E1BE3"/>
    <w:rsid w:val="008E1C15"/>
    <w:rsid w:val="008E69A5"/>
    <w:rsid w:val="008F538E"/>
    <w:rsid w:val="008F68A9"/>
    <w:rsid w:val="008F7D87"/>
    <w:rsid w:val="00900DCC"/>
    <w:rsid w:val="009037EE"/>
    <w:rsid w:val="009047C5"/>
    <w:rsid w:val="00906A56"/>
    <w:rsid w:val="009173EE"/>
    <w:rsid w:val="00923F0D"/>
    <w:rsid w:val="0095385A"/>
    <w:rsid w:val="00957472"/>
    <w:rsid w:val="00970437"/>
    <w:rsid w:val="00984AB9"/>
    <w:rsid w:val="00994DF5"/>
    <w:rsid w:val="009A69B5"/>
    <w:rsid w:val="009B4DD5"/>
    <w:rsid w:val="009B512E"/>
    <w:rsid w:val="009B5190"/>
    <w:rsid w:val="009D3CF6"/>
    <w:rsid w:val="009E64D5"/>
    <w:rsid w:val="009F59C2"/>
    <w:rsid w:val="00A13886"/>
    <w:rsid w:val="00A22095"/>
    <w:rsid w:val="00A24560"/>
    <w:rsid w:val="00A34538"/>
    <w:rsid w:val="00A37FB6"/>
    <w:rsid w:val="00A413F1"/>
    <w:rsid w:val="00A47CAF"/>
    <w:rsid w:val="00A531D7"/>
    <w:rsid w:val="00A531D9"/>
    <w:rsid w:val="00A757E2"/>
    <w:rsid w:val="00A8669E"/>
    <w:rsid w:val="00A91699"/>
    <w:rsid w:val="00AA08E7"/>
    <w:rsid w:val="00AA442B"/>
    <w:rsid w:val="00AA4A09"/>
    <w:rsid w:val="00AA669D"/>
    <w:rsid w:val="00AB2F61"/>
    <w:rsid w:val="00AB5C7F"/>
    <w:rsid w:val="00AC514C"/>
    <w:rsid w:val="00AD0F81"/>
    <w:rsid w:val="00AD1A73"/>
    <w:rsid w:val="00AD55EC"/>
    <w:rsid w:val="00AE1E03"/>
    <w:rsid w:val="00B000D8"/>
    <w:rsid w:val="00B00464"/>
    <w:rsid w:val="00B05322"/>
    <w:rsid w:val="00B118B6"/>
    <w:rsid w:val="00B13EC0"/>
    <w:rsid w:val="00B22E22"/>
    <w:rsid w:val="00B27D52"/>
    <w:rsid w:val="00B30673"/>
    <w:rsid w:val="00B31B96"/>
    <w:rsid w:val="00B44E8E"/>
    <w:rsid w:val="00B525CB"/>
    <w:rsid w:val="00B628E4"/>
    <w:rsid w:val="00B63872"/>
    <w:rsid w:val="00B63CB2"/>
    <w:rsid w:val="00B64EDB"/>
    <w:rsid w:val="00B70E7D"/>
    <w:rsid w:val="00B713CA"/>
    <w:rsid w:val="00B7315F"/>
    <w:rsid w:val="00B84BBC"/>
    <w:rsid w:val="00B91AF0"/>
    <w:rsid w:val="00B91B8E"/>
    <w:rsid w:val="00BA157C"/>
    <w:rsid w:val="00BA4678"/>
    <w:rsid w:val="00BA5822"/>
    <w:rsid w:val="00BC2704"/>
    <w:rsid w:val="00BC51F8"/>
    <w:rsid w:val="00BD78FE"/>
    <w:rsid w:val="00BF2DE8"/>
    <w:rsid w:val="00BF5E9C"/>
    <w:rsid w:val="00C016BB"/>
    <w:rsid w:val="00C0469E"/>
    <w:rsid w:val="00C27711"/>
    <w:rsid w:val="00C4437C"/>
    <w:rsid w:val="00C610C1"/>
    <w:rsid w:val="00C6723F"/>
    <w:rsid w:val="00C75A34"/>
    <w:rsid w:val="00C8458D"/>
    <w:rsid w:val="00C92657"/>
    <w:rsid w:val="00C97AAA"/>
    <w:rsid w:val="00CC00CD"/>
    <w:rsid w:val="00CC0FC1"/>
    <w:rsid w:val="00CC20A0"/>
    <w:rsid w:val="00CE693A"/>
    <w:rsid w:val="00D01760"/>
    <w:rsid w:val="00D16E39"/>
    <w:rsid w:val="00D220D3"/>
    <w:rsid w:val="00D223B6"/>
    <w:rsid w:val="00D26B72"/>
    <w:rsid w:val="00D35FC1"/>
    <w:rsid w:val="00D44904"/>
    <w:rsid w:val="00D51B89"/>
    <w:rsid w:val="00D60327"/>
    <w:rsid w:val="00D65E4A"/>
    <w:rsid w:val="00D7080C"/>
    <w:rsid w:val="00D72E9D"/>
    <w:rsid w:val="00D8247A"/>
    <w:rsid w:val="00D82CE5"/>
    <w:rsid w:val="00D92770"/>
    <w:rsid w:val="00DA0561"/>
    <w:rsid w:val="00DA2783"/>
    <w:rsid w:val="00DA5AB1"/>
    <w:rsid w:val="00DC3544"/>
    <w:rsid w:val="00DC62E5"/>
    <w:rsid w:val="00DD47A2"/>
    <w:rsid w:val="00DD735D"/>
    <w:rsid w:val="00DE1D7C"/>
    <w:rsid w:val="00DE28EB"/>
    <w:rsid w:val="00DE3119"/>
    <w:rsid w:val="00DF236B"/>
    <w:rsid w:val="00DF7086"/>
    <w:rsid w:val="00E02A5C"/>
    <w:rsid w:val="00E070CF"/>
    <w:rsid w:val="00E107CC"/>
    <w:rsid w:val="00E13AB8"/>
    <w:rsid w:val="00E201E6"/>
    <w:rsid w:val="00E25CB3"/>
    <w:rsid w:val="00E32A9C"/>
    <w:rsid w:val="00E33B62"/>
    <w:rsid w:val="00E36139"/>
    <w:rsid w:val="00E4143A"/>
    <w:rsid w:val="00E43624"/>
    <w:rsid w:val="00E519CA"/>
    <w:rsid w:val="00E575F2"/>
    <w:rsid w:val="00E61F52"/>
    <w:rsid w:val="00E80252"/>
    <w:rsid w:val="00E874C5"/>
    <w:rsid w:val="00EA0931"/>
    <w:rsid w:val="00EB65AB"/>
    <w:rsid w:val="00EC6100"/>
    <w:rsid w:val="00EC73BB"/>
    <w:rsid w:val="00ED05A8"/>
    <w:rsid w:val="00ED5B26"/>
    <w:rsid w:val="00ED68FC"/>
    <w:rsid w:val="00EE3A69"/>
    <w:rsid w:val="00EE590B"/>
    <w:rsid w:val="00EE59B5"/>
    <w:rsid w:val="00EE6F06"/>
    <w:rsid w:val="00EF32AF"/>
    <w:rsid w:val="00F04156"/>
    <w:rsid w:val="00F11955"/>
    <w:rsid w:val="00F172E0"/>
    <w:rsid w:val="00F20FE7"/>
    <w:rsid w:val="00F245F2"/>
    <w:rsid w:val="00F42B49"/>
    <w:rsid w:val="00F42DF4"/>
    <w:rsid w:val="00F55D63"/>
    <w:rsid w:val="00F70946"/>
    <w:rsid w:val="00F84899"/>
    <w:rsid w:val="00F859F0"/>
    <w:rsid w:val="00F90DB0"/>
    <w:rsid w:val="00FA0BE5"/>
    <w:rsid w:val="00FA446A"/>
    <w:rsid w:val="00FB11D8"/>
    <w:rsid w:val="00FC2EAA"/>
    <w:rsid w:val="00FC346A"/>
    <w:rsid w:val="00FC3F8B"/>
    <w:rsid w:val="00FC4E54"/>
    <w:rsid w:val="00FD46B4"/>
    <w:rsid w:val="00FE141E"/>
    <w:rsid w:val="00FE42ED"/>
    <w:rsid w:val="00FE67F6"/>
    <w:rsid w:val="00FE7664"/>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before="120" w:after="120" w:line="276"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0369"/>
    <w:pPr>
      <w:spacing w:before="0" w:after="0" w:line="240" w:lineRule="auto"/>
      <w:jc w:val="left"/>
    </w:pPr>
    <w:rPr>
      <w:rFonts w:ascii="Times New Roman" w:eastAsia="Times New Roman" w:hAnsi="Times New Roman" w:cs="Times New Roman"/>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spacing w:before="120" w:after="120" w:line="276" w:lineRule="auto"/>
      <w:jc w:val="both"/>
    </w:pPr>
    <w:rPr>
      <w:rFonts w:asciiTheme="minorHAnsi" w:eastAsiaTheme="minorHAnsi" w:hAnsiTheme="minorHAnsi" w:cstheme="minorBidi"/>
      <w:szCs w:val="22"/>
      <w:lang w:val="es-MX"/>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pPr>
      <w:spacing w:before="120" w:after="120" w:line="276" w:lineRule="auto"/>
      <w:jc w:val="both"/>
    </w:pPr>
    <w:rPr>
      <w:rFonts w:ascii="Tahoma" w:eastAsiaTheme="minorHAnsi" w:hAnsi="Tahoma" w:cs="Tahoma"/>
      <w:sz w:val="16"/>
      <w:szCs w:val="16"/>
      <w:lang w:val="es-MX"/>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spacing w:before="120" w:after="120" w:line="276" w:lineRule="auto"/>
      <w:jc w:val="both"/>
    </w:pPr>
    <w:rPr>
      <w:rFonts w:asciiTheme="minorHAnsi" w:eastAsiaTheme="minorHAnsi" w:hAnsiTheme="minorHAnsi" w:cstheme="minorBidi"/>
      <w:szCs w:val="22"/>
      <w:lang w:val="es-MX"/>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spacing w:before="120" w:after="120" w:line="276" w:lineRule="auto"/>
      <w:ind w:left="720"/>
      <w:contextualSpacing/>
      <w:jc w:val="both"/>
    </w:pPr>
    <w:rPr>
      <w:rFonts w:asciiTheme="minorHAnsi" w:eastAsiaTheme="minorHAnsi" w:hAnsiTheme="minorHAnsi" w:cstheme="minorBidi"/>
      <w:szCs w:val="22"/>
      <w:lang w:val="es-MX"/>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pPr>
      <w:spacing w:before="120" w:after="120" w:line="276" w:lineRule="auto"/>
      <w:jc w:val="both"/>
    </w:pPr>
    <w:rPr>
      <w:rFonts w:asciiTheme="minorHAnsi" w:eastAsiaTheme="minorHAnsi" w:hAnsiTheme="minorHAnsi" w:cstheme="minorBidi"/>
      <w:sz w:val="20"/>
      <w:szCs w:val="20"/>
      <w:lang w:val="es-MX"/>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line="276" w:lineRule="auto"/>
      <w:jc w:val="both"/>
    </w:pPr>
    <w:rPr>
      <w:lang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pPr>
      <w:spacing w:before="120" w:after="120" w:line="276" w:lineRule="auto"/>
      <w:jc w:val="both"/>
    </w:pPr>
    <w:rPr>
      <w:rFonts w:asciiTheme="minorHAnsi" w:eastAsiaTheme="minorHAnsi" w:hAnsiTheme="minorHAnsi" w:cstheme="minorBidi"/>
      <w:sz w:val="20"/>
      <w:szCs w:val="20"/>
      <w:lang w:val="es-MX"/>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jc w:val="both"/>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j">
    <w:name w:val="b_aj"/>
    <w:basedOn w:val="Fuentedeprrafopredeter"/>
    <w:rsid w:val="00984AB9"/>
  </w:style>
  <w:style w:type="character" w:styleId="Textoennegrita">
    <w:name w:val="Strong"/>
    <w:basedOn w:val="Fuentedeprrafopredeter"/>
    <w:uiPriority w:val="22"/>
    <w:qFormat/>
    <w:rsid w:val="00792E66"/>
    <w:rPr>
      <w:b/>
      <w:bCs/>
    </w:rPr>
  </w:style>
  <w:style w:type="character" w:styleId="nfasis">
    <w:name w:val="Emphasis"/>
    <w:basedOn w:val="Fuentedeprrafopredeter"/>
    <w:uiPriority w:val="20"/>
    <w:qFormat/>
    <w:rsid w:val="00792E66"/>
    <w:rPr>
      <w:i/>
      <w:iCs/>
    </w:rPr>
  </w:style>
  <w:style w:type="paragraph" w:customStyle="1" w:styleId="Appelnotedebasde">
    <w:name w:val="Appel note de bas de..."/>
    <w:basedOn w:val="Normal"/>
    <w:link w:val="Refdenotaalpie"/>
    <w:uiPriority w:val="99"/>
    <w:rsid w:val="00EC6100"/>
    <w:pPr>
      <w:spacing w:after="160" w:line="240" w:lineRule="exact"/>
    </w:pPr>
    <w:rPr>
      <w:rFonts w:asciiTheme="minorHAnsi" w:eastAsiaTheme="minorHAnsi" w:hAnsiTheme="minorHAnsi" w:cstheme="minorBidi"/>
      <w:sz w:val="22"/>
      <w:szCs w:val="22"/>
      <w:vertAlign w:val="superscript"/>
    </w:rPr>
  </w:style>
  <w:style w:type="character" w:customStyle="1" w:styleId="UnresolvedMention1">
    <w:name w:val="Unresolved Mention1"/>
    <w:basedOn w:val="Fuentedeprrafopredeter"/>
    <w:uiPriority w:val="99"/>
    <w:semiHidden/>
    <w:unhideWhenUsed/>
    <w:rsid w:val="001863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26953">
      <w:bodyDiv w:val="1"/>
      <w:marLeft w:val="0"/>
      <w:marRight w:val="0"/>
      <w:marTop w:val="0"/>
      <w:marBottom w:val="0"/>
      <w:divBdr>
        <w:top w:val="none" w:sz="0" w:space="0" w:color="auto"/>
        <w:left w:val="none" w:sz="0" w:space="0" w:color="auto"/>
        <w:bottom w:val="none" w:sz="0" w:space="0" w:color="auto"/>
        <w:right w:val="none" w:sz="0" w:space="0" w:color="auto"/>
      </w:divBdr>
    </w:div>
    <w:div w:id="26178287">
      <w:bodyDiv w:val="1"/>
      <w:marLeft w:val="0"/>
      <w:marRight w:val="0"/>
      <w:marTop w:val="0"/>
      <w:marBottom w:val="0"/>
      <w:divBdr>
        <w:top w:val="none" w:sz="0" w:space="0" w:color="auto"/>
        <w:left w:val="none" w:sz="0" w:space="0" w:color="auto"/>
        <w:bottom w:val="none" w:sz="0" w:space="0" w:color="auto"/>
        <w:right w:val="none" w:sz="0" w:space="0" w:color="auto"/>
      </w:divBdr>
    </w:div>
    <w:div w:id="26376757">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85808315">
      <w:bodyDiv w:val="1"/>
      <w:marLeft w:val="0"/>
      <w:marRight w:val="0"/>
      <w:marTop w:val="0"/>
      <w:marBottom w:val="0"/>
      <w:divBdr>
        <w:top w:val="none" w:sz="0" w:space="0" w:color="auto"/>
        <w:left w:val="none" w:sz="0" w:space="0" w:color="auto"/>
        <w:bottom w:val="none" w:sz="0" w:space="0" w:color="auto"/>
        <w:right w:val="none" w:sz="0" w:space="0" w:color="auto"/>
      </w:divBdr>
    </w:div>
    <w:div w:id="113209249">
      <w:bodyDiv w:val="1"/>
      <w:marLeft w:val="0"/>
      <w:marRight w:val="0"/>
      <w:marTop w:val="0"/>
      <w:marBottom w:val="0"/>
      <w:divBdr>
        <w:top w:val="none" w:sz="0" w:space="0" w:color="auto"/>
        <w:left w:val="none" w:sz="0" w:space="0" w:color="auto"/>
        <w:bottom w:val="none" w:sz="0" w:space="0" w:color="auto"/>
        <w:right w:val="none" w:sz="0" w:space="0" w:color="auto"/>
      </w:divBdr>
    </w:div>
    <w:div w:id="140970293">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70994770">
      <w:bodyDiv w:val="1"/>
      <w:marLeft w:val="0"/>
      <w:marRight w:val="0"/>
      <w:marTop w:val="0"/>
      <w:marBottom w:val="0"/>
      <w:divBdr>
        <w:top w:val="none" w:sz="0" w:space="0" w:color="auto"/>
        <w:left w:val="none" w:sz="0" w:space="0" w:color="auto"/>
        <w:bottom w:val="none" w:sz="0" w:space="0" w:color="auto"/>
        <w:right w:val="none" w:sz="0" w:space="0" w:color="auto"/>
      </w:divBdr>
    </w:div>
    <w:div w:id="179929087">
      <w:bodyDiv w:val="1"/>
      <w:marLeft w:val="0"/>
      <w:marRight w:val="0"/>
      <w:marTop w:val="0"/>
      <w:marBottom w:val="0"/>
      <w:divBdr>
        <w:top w:val="none" w:sz="0" w:space="0" w:color="auto"/>
        <w:left w:val="none" w:sz="0" w:space="0" w:color="auto"/>
        <w:bottom w:val="none" w:sz="0" w:space="0" w:color="auto"/>
        <w:right w:val="none" w:sz="0" w:space="0" w:color="auto"/>
      </w:divBdr>
      <w:divsChild>
        <w:div w:id="404572909">
          <w:marLeft w:val="0"/>
          <w:marRight w:val="0"/>
          <w:marTop w:val="0"/>
          <w:marBottom w:val="0"/>
          <w:divBdr>
            <w:top w:val="none" w:sz="0" w:space="0" w:color="auto"/>
            <w:left w:val="none" w:sz="0" w:space="0" w:color="auto"/>
            <w:bottom w:val="none" w:sz="0" w:space="0" w:color="auto"/>
            <w:right w:val="none" w:sz="0" w:space="0" w:color="auto"/>
          </w:divBdr>
        </w:div>
        <w:div w:id="2088721344">
          <w:marLeft w:val="0"/>
          <w:marRight w:val="0"/>
          <w:marTop w:val="0"/>
          <w:marBottom w:val="0"/>
          <w:divBdr>
            <w:top w:val="none" w:sz="0" w:space="0" w:color="auto"/>
            <w:left w:val="none" w:sz="0" w:space="0" w:color="auto"/>
            <w:bottom w:val="none" w:sz="0" w:space="0" w:color="auto"/>
            <w:right w:val="none" w:sz="0" w:space="0" w:color="auto"/>
          </w:divBdr>
        </w:div>
        <w:div w:id="1807044410">
          <w:marLeft w:val="0"/>
          <w:marRight w:val="0"/>
          <w:marTop w:val="0"/>
          <w:marBottom w:val="0"/>
          <w:divBdr>
            <w:top w:val="none" w:sz="0" w:space="0" w:color="auto"/>
            <w:left w:val="none" w:sz="0" w:space="0" w:color="auto"/>
            <w:bottom w:val="none" w:sz="0" w:space="0" w:color="auto"/>
            <w:right w:val="none" w:sz="0" w:space="0" w:color="auto"/>
          </w:divBdr>
        </w:div>
      </w:divsChild>
    </w:div>
    <w:div w:id="188033074">
      <w:bodyDiv w:val="1"/>
      <w:marLeft w:val="0"/>
      <w:marRight w:val="0"/>
      <w:marTop w:val="0"/>
      <w:marBottom w:val="0"/>
      <w:divBdr>
        <w:top w:val="none" w:sz="0" w:space="0" w:color="auto"/>
        <w:left w:val="none" w:sz="0" w:space="0" w:color="auto"/>
        <w:bottom w:val="none" w:sz="0" w:space="0" w:color="auto"/>
        <w:right w:val="none" w:sz="0" w:space="0" w:color="auto"/>
      </w:divBdr>
    </w:div>
    <w:div w:id="194586840">
      <w:bodyDiv w:val="1"/>
      <w:marLeft w:val="0"/>
      <w:marRight w:val="0"/>
      <w:marTop w:val="0"/>
      <w:marBottom w:val="0"/>
      <w:divBdr>
        <w:top w:val="none" w:sz="0" w:space="0" w:color="auto"/>
        <w:left w:val="none" w:sz="0" w:space="0" w:color="auto"/>
        <w:bottom w:val="none" w:sz="0" w:space="0" w:color="auto"/>
        <w:right w:val="none" w:sz="0" w:space="0" w:color="auto"/>
      </w:divBdr>
    </w:div>
    <w:div w:id="21620338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7952074">
      <w:bodyDiv w:val="1"/>
      <w:marLeft w:val="0"/>
      <w:marRight w:val="0"/>
      <w:marTop w:val="0"/>
      <w:marBottom w:val="0"/>
      <w:divBdr>
        <w:top w:val="none" w:sz="0" w:space="0" w:color="auto"/>
        <w:left w:val="none" w:sz="0" w:space="0" w:color="auto"/>
        <w:bottom w:val="none" w:sz="0" w:space="0" w:color="auto"/>
        <w:right w:val="none" w:sz="0" w:space="0" w:color="auto"/>
      </w:divBdr>
    </w:div>
    <w:div w:id="362751634">
      <w:bodyDiv w:val="1"/>
      <w:marLeft w:val="0"/>
      <w:marRight w:val="0"/>
      <w:marTop w:val="0"/>
      <w:marBottom w:val="0"/>
      <w:divBdr>
        <w:top w:val="none" w:sz="0" w:space="0" w:color="auto"/>
        <w:left w:val="none" w:sz="0" w:space="0" w:color="auto"/>
        <w:bottom w:val="none" w:sz="0" w:space="0" w:color="auto"/>
        <w:right w:val="none" w:sz="0" w:space="0" w:color="auto"/>
      </w:divBdr>
    </w:div>
    <w:div w:id="363791593">
      <w:bodyDiv w:val="1"/>
      <w:marLeft w:val="0"/>
      <w:marRight w:val="0"/>
      <w:marTop w:val="0"/>
      <w:marBottom w:val="0"/>
      <w:divBdr>
        <w:top w:val="none" w:sz="0" w:space="0" w:color="auto"/>
        <w:left w:val="none" w:sz="0" w:space="0" w:color="auto"/>
        <w:bottom w:val="none" w:sz="0" w:space="0" w:color="auto"/>
        <w:right w:val="none" w:sz="0" w:space="0" w:color="auto"/>
      </w:divBdr>
    </w:div>
    <w:div w:id="372929033">
      <w:bodyDiv w:val="1"/>
      <w:marLeft w:val="0"/>
      <w:marRight w:val="0"/>
      <w:marTop w:val="0"/>
      <w:marBottom w:val="0"/>
      <w:divBdr>
        <w:top w:val="none" w:sz="0" w:space="0" w:color="auto"/>
        <w:left w:val="none" w:sz="0" w:space="0" w:color="auto"/>
        <w:bottom w:val="none" w:sz="0" w:space="0" w:color="auto"/>
        <w:right w:val="none" w:sz="0" w:space="0" w:color="auto"/>
      </w:divBdr>
    </w:div>
    <w:div w:id="398752170">
      <w:bodyDiv w:val="1"/>
      <w:marLeft w:val="0"/>
      <w:marRight w:val="0"/>
      <w:marTop w:val="0"/>
      <w:marBottom w:val="0"/>
      <w:divBdr>
        <w:top w:val="none" w:sz="0" w:space="0" w:color="auto"/>
        <w:left w:val="none" w:sz="0" w:space="0" w:color="auto"/>
        <w:bottom w:val="none" w:sz="0" w:space="0" w:color="auto"/>
        <w:right w:val="none" w:sz="0" w:space="0" w:color="auto"/>
      </w:divBdr>
    </w:div>
    <w:div w:id="450825479">
      <w:bodyDiv w:val="1"/>
      <w:marLeft w:val="0"/>
      <w:marRight w:val="0"/>
      <w:marTop w:val="0"/>
      <w:marBottom w:val="0"/>
      <w:divBdr>
        <w:top w:val="none" w:sz="0" w:space="0" w:color="auto"/>
        <w:left w:val="none" w:sz="0" w:space="0" w:color="auto"/>
        <w:bottom w:val="none" w:sz="0" w:space="0" w:color="auto"/>
        <w:right w:val="none" w:sz="0" w:space="0" w:color="auto"/>
      </w:divBdr>
    </w:div>
    <w:div w:id="452677409">
      <w:bodyDiv w:val="1"/>
      <w:marLeft w:val="0"/>
      <w:marRight w:val="0"/>
      <w:marTop w:val="0"/>
      <w:marBottom w:val="0"/>
      <w:divBdr>
        <w:top w:val="none" w:sz="0" w:space="0" w:color="auto"/>
        <w:left w:val="none" w:sz="0" w:space="0" w:color="auto"/>
        <w:bottom w:val="none" w:sz="0" w:space="0" w:color="auto"/>
        <w:right w:val="none" w:sz="0" w:space="0" w:color="auto"/>
      </w:divBdr>
    </w:div>
    <w:div w:id="513688083">
      <w:bodyDiv w:val="1"/>
      <w:marLeft w:val="0"/>
      <w:marRight w:val="0"/>
      <w:marTop w:val="0"/>
      <w:marBottom w:val="0"/>
      <w:divBdr>
        <w:top w:val="none" w:sz="0" w:space="0" w:color="auto"/>
        <w:left w:val="none" w:sz="0" w:space="0" w:color="auto"/>
        <w:bottom w:val="none" w:sz="0" w:space="0" w:color="auto"/>
        <w:right w:val="none" w:sz="0" w:space="0" w:color="auto"/>
      </w:divBdr>
    </w:div>
    <w:div w:id="531654358">
      <w:bodyDiv w:val="1"/>
      <w:marLeft w:val="0"/>
      <w:marRight w:val="0"/>
      <w:marTop w:val="0"/>
      <w:marBottom w:val="0"/>
      <w:divBdr>
        <w:top w:val="none" w:sz="0" w:space="0" w:color="auto"/>
        <w:left w:val="none" w:sz="0" w:space="0" w:color="auto"/>
        <w:bottom w:val="none" w:sz="0" w:space="0" w:color="auto"/>
        <w:right w:val="none" w:sz="0" w:space="0" w:color="auto"/>
      </w:divBdr>
      <w:divsChild>
        <w:div w:id="1821338746">
          <w:marLeft w:val="0"/>
          <w:marRight w:val="0"/>
          <w:marTop w:val="0"/>
          <w:marBottom w:val="0"/>
          <w:divBdr>
            <w:top w:val="none" w:sz="0" w:space="0" w:color="auto"/>
            <w:left w:val="none" w:sz="0" w:space="0" w:color="auto"/>
            <w:bottom w:val="none" w:sz="0" w:space="0" w:color="auto"/>
            <w:right w:val="none" w:sz="0" w:space="0" w:color="auto"/>
          </w:divBdr>
          <w:divsChild>
            <w:div w:id="1848402016">
              <w:marLeft w:val="0"/>
              <w:marRight w:val="0"/>
              <w:marTop w:val="0"/>
              <w:marBottom w:val="0"/>
              <w:divBdr>
                <w:top w:val="none" w:sz="0" w:space="0" w:color="auto"/>
                <w:left w:val="none" w:sz="0" w:space="0" w:color="auto"/>
                <w:bottom w:val="none" w:sz="0" w:space="0" w:color="auto"/>
                <w:right w:val="none" w:sz="0" w:space="0" w:color="auto"/>
              </w:divBdr>
              <w:divsChild>
                <w:div w:id="1751272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2352670">
      <w:bodyDiv w:val="1"/>
      <w:marLeft w:val="0"/>
      <w:marRight w:val="0"/>
      <w:marTop w:val="0"/>
      <w:marBottom w:val="0"/>
      <w:divBdr>
        <w:top w:val="none" w:sz="0" w:space="0" w:color="auto"/>
        <w:left w:val="none" w:sz="0" w:space="0" w:color="auto"/>
        <w:bottom w:val="none" w:sz="0" w:space="0" w:color="auto"/>
        <w:right w:val="none" w:sz="0" w:space="0" w:color="auto"/>
      </w:divBdr>
    </w:div>
    <w:div w:id="636760311">
      <w:bodyDiv w:val="1"/>
      <w:marLeft w:val="0"/>
      <w:marRight w:val="0"/>
      <w:marTop w:val="0"/>
      <w:marBottom w:val="0"/>
      <w:divBdr>
        <w:top w:val="none" w:sz="0" w:space="0" w:color="auto"/>
        <w:left w:val="none" w:sz="0" w:space="0" w:color="auto"/>
        <w:bottom w:val="none" w:sz="0" w:space="0" w:color="auto"/>
        <w:right w:val="none" w:sz="0" w:space="0" w:color="auto"/>
      </w:divBdr>
    </w:div>
    <w:div w:id="660500369">
      <w:bodyDiv w:val="1"/>
      <w:marLeft w:val="0"/>
      <w:marRight w:val="0"/>
      <w:marTop w:val="0"/>
      <w:marBottom w:val="0"/>
      <w:divBdr>
        <w:top w:val="none" w:sz="0" w:space="0" w:color="auto"/>
        <w:left w:val="none" w:sz="0" w:space="0" w:color="auto"/>
        <w:bottom w:val="none" w:sz="0" w:space="0" w:color="auto"/>
        <w:right w:val="none" w:sz="0" w:space="0" w:color="auto"/>
      </w:divBdr>
    </w:div>
    <w:div w:id="674454366">
      <w:bodyDiv w:val="1"/>
      <w:marLeft w:val="0"/>
      <w:marRight w:val="0"/>
      <w:marTop w:val="0"/>
      <w:marBottom w:val="0"/>
      <w:divBdr>
        <w:top w:val="none" w:sz="0" w:space="0" w:color="auto"/>
        <w:left w:val="none" w:sz="0" w:space="0" w:color="auto"/>
        <w:bottom w:val="none" w:sz="0" w:space="0" w:color="auto"/>
        <w:right w:val="none" w:sz="0" w:space="0" w:color="auto"/>
      </w:divBdr>
    </w:div>
    <w:div w:id="695346960">
      <w:bodyDiv w:val="1"/>
      <w:marLeft w:val="0"/>
      <w:marRight w:val="0"/>
      <w:marTop w:val="0"/>
      <w:marBottom w:val="0"/>
      <w:divBdr>
        <w:top w:val="none" w:sz="0" w:space="0" w:color="auto"/>
        <w:left w:val="none" w:sz="0" w:space="0" w:color="auto"/>
        <w:bottom w:val="none" w:sz="0" w:space="0" w:color="auto"/>
        <w:right w:val="none" w:sz="0" w:space="0" w:color="auto"/>
      </w:divBdr>
      <w:divsChild>
        <w:div w:id="1337732821">
          <w:marLeft w:val="0"/>
          <w:marRight w:val="0"/>
          <w:marTop w:val="0"/>
          <w:marBottom w:val="0"/>
          <w:divBdr>
            <w:top w:val="none" w:sz="0" w:space="0" w:color="auto"/>
            <w:left w:val="none" w:sz="0" w:space="0" w:color="auto"/>
            <w:bottom w:val="none" w:sz="0" w:space="0" w:color="auto"/>
            <w:right w:val="none" w:sz="0" w:space="0" w:color="auto"/>
          </w:divBdr>
          <w:divsChild>
            <w:div w:id="1048838927">
              <w:marLeft w:val="0"/>
              <w:marRight w:val="0"/>
              <w:marTop w:val="0"/>
              <w:marBottom w:val="0"/>
              <w:divBdr>
                <w:top w:val="none" w:sz="0" w:space="0" w:color="auto"/>
                <w:left w:val="none" w:sz="0" w:space="0" w:color="auto"/>
                <w:bottom w:val="none" w:sz="0" w:space="0" w:color="auto"/>
                <w:right w:val="none" w:sz="0" w:space="0" w:color="auto"/>
              </w:divBdr>
              <w:divsChild>
                <w:div w:id="1287002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8253688">
      <w:bodyDiv w:val="1"/>
      <w:marLeft w:val="0"/>
      <w:marRight w:val="0"/>
      <w:marTop w:val="0"/>
      <w:marBottom w:val="0"/>
      <w:divBdr>
        <w:top w:val="none" w:sz="0" w:space="0" w:color="auto"/>
        <w:left w:val="none" w:sz="0" w:space="0" w:color="auto"/>
        <w:bottom w:val="none" w:sz="0" w:space="0" w:color="auto"/>
        <w:right w:val="none" w:sz="0" w:space="0" w:color="auto"/>
      </w:divBdr>
    </w:div>
    <w:div w:id="820007151">
      <w:bodyDiv w:val="1"/>
      <w:marLeft w:val="0"/>
      <w:marRight w:val="0"/>
      <w:marTop w:val="0"/>
      <w:marBottom w:val="0"/>
      <w:divBdr>
        <w:top w:val="none" w:sz="0" w:space="0" w:color="auto"/>
        <w:left w:val="none" w:sz="0" w:space="0" w:color="auto"/>
        <w:bottom w:val="none" w:sz="0" w:space="0" w:color="auto"/>
        <w:right w:val="none" w:sz="0" w:space="0" w:color="auto"/>
      </w:divBdr>
    </w:div>
    <w:div w:id="841625398">
      <w:bodyDiv w:val="1"/>
      <w:marLeft w:val="0"/>
      <w:marRight w:val="0"/>
      <w:marTop w:val="0"/>
      <w:marBottom w:val="0"/>
      <w:divBdr>
        <w:top w:val="none" w:sz="0" w:space="0" w:color="auto"/>
        <w:left w:val="none" w:sz="0" w:space="0" w:color="auto"/>
        <w:bottom w:val="none" w:sz="0" w:space="0" w:color="auto"/>
        <w:right w:val="none" w:sz="0" w:space="0" w:color="auto"/>
      </w:divBdr>
    </w:div>
    <w:div w:id="907572853">
      <w:bodyDiv w:val="1"/>
      <w:marLeft w:val="0"/>
      <w:marRight w:val="0"/>
      <w:marTop w:val="0"/>
      <w:marBottom w:val="0"/>
      <w:divBdr>
        <w:top w:val="none" w:sz="0" w:space="0" w:color="auto"/>
        <w:left w:val="none" w:sz="0" w:space="0" w:color="auto"/>
        <w:bottom w:val="none" w:sz="0" w:space="0" w:color="auto"/>
        <w:right w:val="none" w:sz="0" w:space="0" w:color="auto"/>
      </w:divBdr>
    </w:div>
    <w:div w:id="932467858">
      <w:bodyDiv w:val="1"/>
      <w:marLeft w:val="0"/>
      <w:marRight w:val="0"/>
      <w:marTop w:val="0"/>
      <w:marBottom w:val="0"/>
      <w:divBdr>
        <w:top w:val="none" w:sz="0" w:space="0" w:color="auto"/>
        <w:left w:val="none" w:sz="0" w:space="0" w:color="auto"/>
        <w:bottom w:val="none" w:sz="0" w:space="0" w:color="auto"/>
        <w:right w:val="none" w:sz="0" w:space="0" w:color="auto"/>
      </w:divBdr>
    </w:div>
    <w:div w:id="933126585">
      <w:bodyDiv w:val="1"/>
      <w:marLeft w:val="0"/>
      <w:marRight w:val="0"/>
      <w:marTop w:val="0"/>
      <w:marBottom w:val="0"/>
      <w:divBdr>
        <w:top w:val="none" w:sz="0" w:space="0" w:color="auto"/>
        <w:left w:val="none" w:sz="0" w:space="0" w:color="auto"/>
        <w:bottom w:val="none" w:sz="0" w:space="0" w:color="auto"/>
        <w:right w:val="none" w:sz="0" w:space="0" w:color="auto"/>
      </w:divBdr>
    </w:div>
    <w:div w:id="935551981">
      <w:bodyDiv w:val="1"/>
      <w:marLeft w:val="0"/>
      <w:marRight w:val="0"/>
      <w:marTop w:val="0"/>
      <w:marBottom w:val="0"/>
      <w:divBdr>
        <w:top w:val="none" w:sz="0" w:space="0" w:color="auto"/>
        <w:left w:val="none" w:sz="0" w:space="0" w:color="auto"/>
        <w:bottom w:val="none" w:sz="0" w:space="0" w:color="auto"/>
        <w:right w:val="none" w:sz="0" w:space="0" w:color="auto"/>
      </w:divBdr>
    </w:div>
    <w:div w:id="937715469">
      <w:bodyDiv w:val="1"/>
      <w:marLeft w:val="0"/>
      <w:marRight w:val="0"/>
      <w:marTop w:val="0"/>
      <w:marBottom w:val="0"/>
      <w:divBdr>
        <w:top w:val="none" w:sz="0" w:space="0" w:color="auto"/>
        <w:left w:val="none" w:sz="0" w:space="0" w:color="auto"/>
        <w:bottom w:val="none" w:sz="0" w:space="0" w:color="auto"/>
        <w:right w:val="none" w:sz="0" w:space="0" w:color="auto"/>
      </w:divBdr>
    </w:div>
    <w:div w:id="941376504">
      <w:bodyDiv w:val="1"/>
      <w:marLeft w:val="0"/>
      <w:marRight w:val="0"/>
      <w:marTop w:val="0"/>
      <w:marBottom w:val="0"/>
      <w:divBdr>
        <w:top w:val="none" w:sz="0" w:space="0" w:color="auto"/>
        <w:left w:val="none" w:sz="0" w:space="0" w:color="auto"/>
        <w:bottom w:val="none" w:sz="0" w:space="0" w:color="auto"/>
        <w:right w:val="none" w:sz="0" w:space="0" w:color="auto"/>
      </w:divBdr>
    </w:div>
    <w:div w:id="946692453">
      <w:bodyDiv w:val="1"/>
      <w:marLeft w:val="0"/>
      <w:marRight w:val="0"/>
      <w:marTop w:val="0"/>
      <w:marBottom w:val="0"/>
      <w:divBdr>
        <w:top w:val="none" w:sz="0" w:space="0" w:color="auto"/>
        <w:left w:val="none" w:sz="0" w:space="0" w:color="auto"/>
        <w:bottom w:val="none" w:sz="0" w:space="0" w:color="auto"/>
        <w:right w:val="none" w:sz="0" w:space="0" w:color="auto"/>
      </w:divBdr>
    </w:div>
    <w:div w:id="1026054996">
      <w:bodyDiv w:val="1"/>
      <w:marLeft w:val="0"/>
      <w:marRight w:val="0"/>
      <w:marTop w:val="0"/>
      <w:marBottom w:val="0"/>
      <w:divBdr>
        <w:top w:val="none" w:sz="0" w:space="0" w:color="auto"/>
        <w:left w:val="none" w:sz="0" w:space="0" w:color="auto"/>
        <w:bottom w:val="none" w:sz="0" w:space="0" w:color="auto"/>
        <w:right w:val="none" w:sz="0" w:space="0" w:color="auto"/>
      </w:divBdr>
    </w:div>
    <w:div w:id="1052118527">
      <w:bodyDiv w:val="1"/>
      <w:marLeft w:val="0"/>
      <w:marRight w:val="0"/>
      <w:marTop w:val="0"/>
      <w:marBottom w:val="0"/>
      <w:divBdr>
        <w:top w:val="none" w:sz="0" w:space="0" w:color="auto"/>
        <w:left w:val="none" w:sz="0" w:space="0" w:color="auto"/>
        <w:bottom w:val="none" w:sz="0" w:space="0" w:color="auto"/>
        <w:right w:val="none" w:sz="0" w:space="0" w:color="auto"/>
      </w:divBdr>
    </w:div>
    <w:div w:id="1060254862">
      <w:bodyDiv w:val="1"/>
      <w:marLeft w:val="0"/>
      <w:marRight w:val="0"/>
      <w:marTop w:val="0"/>
      <w:marBottom w:val="0"/>
      <w:divBdr>
        <w:top w:val="none" w:sz="0" w:space="0" w:color="auto"/>
        <w:left w:val="none" w:sz="0" w:space="0" w:color="auto"/>
        <w:bottom w:val="none" w:sz="0" w:space="0" w:color="auto"/>
        <w:right w:val="none" w:sz="0" w:space="0" w:color="auto"/>
      </w:divBdr>
    </w:div>
    <w:div w:id="1099907042">
      <w:bodyDiv w:val="1"/>
      <w:marLeft w:val="0"/>
      <w:marRight w:val="0"/>
      <w:marTop w:val="0"/>
      <w:marBottom w:val="0"/>
      <w:divBdr>
        <w:top w:val="none" w:sz="0" w:space="0" w:color="auto"/>
        <w:left w:val="none" w:sz="0" w:space="0" w:color="auto"/>
        <w:bottom w:val="none" w:sz="0" w:space="0" w:color="auto"/>
        <w:right w:val="none" w:sz="0" w:space="0" w:color="auto"/>
      </w:divBdr>
      <w:divsChild>
        <w:div w:id="2032756475">
          <w:marLeft w:val="0"/>
          <w:marRight w:val="0"/>
          <w:marTop w:val="0"/>
          <w:marBottom w:val="0"/>
          <w:divBdr>
            <w:top w:val="none" w:sz="0" w:space="0" w:color="auto"/>
            <w:left w:val="none" w:sz="0" w:space="0" w:color="auto"/>
            <w:bottom w:val="none" w:sz="0" w:space="0" w:color="auto"/>
            <w:right w:val="none" w:sz="0" w:space="0" w:color="auto"/>
          </w:divBdr>
          <w:divsChild>
            <w:div w:id="242109588">
              <w:marLeft w:val="0"/>
              <w:marRight w:val="0"/>
              <w:marTop w:val="0"/>
              <w:marBottom w:val="0"/>
              <w:divBdr>
                <w:top w:val="none" w:sz="0" w:space="0" w:color="auto"/>
                <w:left w:val="none" w:sz="0" w:space="0" w:color="auto"/>
                <w:bottom w:val="none" w:sz="0" w:space="0" w:color="auto"/>
                <w:right w:val="none" w:sz="0" w:space="0" w:color="auto"/>
              </w:divBdr>
              <w:divsChild>
                <w:div w:id="551623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9082876">
      <w:bodyDiv w:val="1"/>
      <w:marLeft w:val="0"/>
      <w:marRight w:val="0"/>
      <w:marTop w:val="0"/>
      <w:marBottom w:val="0"/>
      <w:divBdr>
        <w:top w:val="none" w:sz="0" w:space="0" w:color="auto"/>
        <w:left w:val="none" w:sz="0" w:space="0" w:color="auto"/>
        <w:bottom w:val="none" w:sz="0" w:space="0" w:color="auto"/>
        <w:right w:val="none" w:sz="0" w:space="0" w:color="auto"/>
      </w:divBdr>
    </w:div>
    <w:div w:id="1136071207">
      <w:bodyDiv w:val="1"/>
      <w:marLeft w:val="0"/>
      <w:marRight w:val="0"/>
      <w:marTop w:val="0"/>
      <w:marBottom w:val="0"/>
      <w:divBdr>
        <w:top w:val="none" w:sz="0" w:space="0" w:color="auto"/>
        <w:left w:val="none" w:sz="0" w:space="0" w:color="auto"/>
        <w:bottom w:val="none" w:sz="0" w:space="0" w:color="auto"/>
        <w:right w:val="none" w:sz="0" w:space="0" w:color="auto"/>
      </w:divBdr>
    </w:div>
    <w:div w:id="1153106961">
      <w:bodyDiv w:val="1"/>
      <w:marLeft w:val="0"/>
      <w:marRight w:val="0"/>
      <w:marTop w:val="0"/>
      <w:marBottom w:val="0"/>
      <w:divBdr>
        <w:top w:val="none" w:sz="0" w:space="0" w:color="auto"/>
        <w:left w:val="none" w:sz="0" w:space="0" w:color="auto"/>
        <w:bottom w:val="none" w:sz="0" w:space="0" w:color="auto"/>
        <w:right w:val="none" w:sz="0" w:space="0" w:color="auto"/>
      </w:divBdr>
    </w:div>
    <w:div w:id="1171330045">
      <w:bodyDiv w:val="1"/>
      <w:marLeft w:val="0"/>
      <w:marRight w:val="0"/>
      <w:marTop w:val="0"/>
      <w:marBottom w:val="0"/>
      <w:divBdr>
        <w:top w:val="none" w:sz="0" w:space="0" w:color="auto"/>
        <w:left w:val="none" w:sz="0" w:space="0" w:color="auto"/>
        <w:bottom w:val="none" w:sz="0" w:space="0" w:color="auto"/>
        <w:right w:val="none" w:sz="0" w:space="0" w:color="auto"/>
      </w:divBdr>
    </w:div>
    <w:div w:id="1176964586">
      <w:bodyDiv w:val="1"/>
      <w:marLeft w:val="0"/>
      <w:marRight w:val="0"/>
      <w:marTop w:val="0"/>
      <w:marBottom w:val="0"/>
      <w:divBdr>
        <w:top w:val="none" w:sz="0" w:space="0" w:color="auto"/>
        <w:left w:val="none" w:sz="0" w:space="0" w:color="auto"/>
        <w:bottom w:val="none" w:sz="0" w:space="0" w:color="auto"/>
        <w:right w:val="none" w:sz="0" w:space="0" w:color="auto"/>
      </w:divBdr>
    </w:div>
    <w:div w:id="1203178329">
      <w:bodyDiv w:val="1"/>
      <w:marLeft w:val="0"/>
      <w:marRight w:val="0"/>
      <w:marTop w:val="0"/>
      <w:marBottom w:val="0"/>
      <w:divBdr>
        <w:top w:val="none" w:sz="0" w:space="0" w:color="auto"/>
        <w:left w:val="none" w:sz="0" w:space="0" w:color="auto"/>
        <w:bottom w:val="none" w:sz="0" w:space="0" w:color="auto"/>
        <w:right w:val="none" w:sz="0" w:space="0" w:color="auto"/>
      </w:divBdr>
    </w:div>
    <w:div w:id="1267542854">
      <w:bodyDiv w:val="1"/>
      <w:marLeft w:val="0"/>
      <w:marRight w:val="0"/>
      <w:marTop w:val="0"/>
      <w:marBottom w:val="0"/>
      <w:divBdr>
        <w:top w:val="none" w:sz="0" w:space="0" w:color="auto"/>
        <w:left w:val="none" w:sz="0" w:space="0" w:color="auto"/>
        <w:bottom w:val="none" w:sz="0" w:space="0" w:color="auto"/>
        <w:right w:val="none" w:sz="0" w:space="0" w:color="auto"/>
      </w:divBdr>
    </w:div>
    <w:div w:id="1283149163">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6958942">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358236228">
      <w:bodyDiv w:val="1"/>
      <w:marLeft w:val="0"/>
      <w:marRight w:val="0"/>
      <w:marTop w:val="0"/>
      <w:marBottom w:val="0"/>
      <w:divBdr>
        <w:top w:val="none" w:sz="0" w:space="0" w:color="auto"/>
        <w:left w:val="none" w:sz="0" w:space="0" w:color="auto"/>
        <w:bottom w:val="none" w:sz="0" w:space="0" w:color="auto"/>
        <w:right w:val="none" w:sz="0" w:space="0" w:color="auto"/>
      </w:divBdr>
    </w:div>
    <w:div w:id="1386833543">
      <w:bodyDiv w:val="1"/>
      <w:marLeft w:val="0"/>
      <w:marRight w:val="0"/>
      <w:marTop w:val="0"/>
      <w:marBottom w:val="0"/>
      <w:divBdr>
        <w:top w:val="none" w:sz="0" w:space="0" w:color="auto"/>
        <w:left w:val="none" w:sz="0" w:space="0" w:color="auto"/>
        <w:bottom w:val="none" w:sz="0" w:space="0" w:color="auto"/>
        <w:right w:val="none" w:sz="0" w:space="0" w:color="auto"/>
      </w:divBdr>
    </w:div>
    <w:div w:id="1438020937">
      <w:bodyDiv w:val="1"/>
      <w:marLeft w:val="0"/>
      <w:marRight w:val="0"/>
      <w:marTop w:val="0"/>
      <w:marBottom w:val="0"/>
      <w:divBdr>
        <w:top w:val="none" w:sz="0" w:space="0" w:color="auto"/>
        <w:left w:val="none" w:sz="0" w:space="0" w:color="auto"/>
        <w:bottom w:val="none" w:sz="0" w:space="0" w:color="auto"/>
        <w:right w:val="none" w:sz="0" w:space="0" w:color="auto"/>
      </w:divBdr>
    </w:div>
    <w:div w:id="1438791090">
      <w:bodyDiv w:val="1"/>
      <w:marLeft w:val="0"/>
      <w:marRight w:val="0"/>
      <w:marTop w:val="0"/>
      <w:marBottom w:val="0"/>
      <w:divBdr>
        <w:top w:val="none" w:sz="0" w:space="0" w:color="auto"/>
        <w:left w:val="none" w:sz="0" w:space="0" w:color="auto"/>
        <w:bottom w:val="none" w:sz="0" w:space="0" w:color="auto"/>
        <w:right w:val="none" w:sz="0" w:space="0" w:color="auto"/>
      </w:divBdr>
    </w:div>
    <w:div w:id="1460761140">
      <w:bodyDiv w:val="1"/>
      <w:marLeft w:val="0"/>
      <w:marRight w:val="0"/>
      <w:marTop w:val="0"/>
      <w:marBottom w:val="0"/>
      <w:divBdr>
        <w:top w:val="none" w:sz="0" w:space="0" w:color="auto"/>
        <w:left w:val="none" w:sz="0" w:space="0" w:color="auto"/>
        <w:bottom w:val="none" w:sz="0" w:space="0" w:color="auto"/>
        <w:right w:val="none" w:sz="0" w:space="0" w:color="auto"/>
      </w:divBdr>
    </w:div>
    <w:div w:id="1462306305">
      <w:bodyDiv w:val="1"/>
      <w:marLeft w:val="0"/>
      <w:marRight w:val="0"/>
      <w:marTop w:val="0"/>
      <w:marBottom w:val="0"/>
      <w:divBdr>
        <w:top w:val="none" w:sz="0" w:space="0" w:color="auto"/>
        <w:left w:val="none" w:sz="0" w:space="0" w:color="auto"/>
        <w:bottom w:val="none" w:sz="0" w:space="0" w:color="auto"/>
        <w:right w:val="none" w:sz="0" w:space="0" w:color="auto"/>
      </w:divBdr>
      <w:divsChild>
        <w:div w:id="1399479815">
          <w:marLeft w:val="0"/>
          <w:marRight w:val="0"/>
          <w:marTop w:val="0"/>
          <w:marBottom w:val="0"/>
          <w:divBdr>
            <w:top w:val="none" w:sz="0" w:space="0" w:color="auto"/>
            <w:left w:val="none" w:sz="0" w:space="0" w:color="auto"/>
            <w:bottom w:val="none" w:sz="0" w:space="0" w:color="auto"/>
            <w:right w:val="none" w:sz="0" w:space="0" w:color="auto"/>
          </w:divBdr>
          <w:divsChild>
            <w:div w:id="83886619">
              <w:marLeft w:val="0"/>
              <w:marRight w:val="0"/>
              <w:marTop w:val="0"/>
              <w:marBottom w:val="0"/>
              <w:divBdr>
                <w:top w:val="none" w:sz="0" w:space="0" w:color="auto"/>
                <w:left w:val="none" w:sz="0" w:space="0" w:color="auto"/>
                <w:bottom w:val="none" w:sz="0" w:space="0" w:color="auto"/>
                <w:right w:val="none" w:sz="0" w:space="0" w:color="auto"/>
              </w:divBdr>
              <w:divsChild>
                <w:div w:id="662709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058527">
          <w:marLeft w:val="0"/>
          <w:marRight w:val="0"/>
          <w:marTop w:val="0"/>
          <w:marBottom w:val="0"/>
          <w:divBdr>
            <w:top w:val="none" w:sz="0" w:space="0" w:color="auto"/>
            <w:left w:val="none" w:sz="0" w:space="0" w:color="auto"/>
            <w:bottom w:val="none" w:sz="0" w:space="0" w:color="auto"/>
            <w:right w:val="none" w:sz="0" w:space="0" w:color="auto"/>
          </w:divBdr>
          <w:divsChild>
            <w:div w:id="1159004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176895">
      <w:bodyDiv w:val="1"/>
      <w:marLeft w:val="0"/>
      <w:marRight w:val="0"/>
      <w:marTop w:val="0"/>
      <w:marBottom w:val="0"/>
      <w:divBdr>
        <w:top w:val="none" w:sz="0" w:space="0" w:color="auto"/>
        <w:left w:val="none" w:sz="0" w:space="0" w:color="auto"/>
        <w:bottom w:val="none" w:sz="0" w:space="0" w:color="auto"/>
        <w:right w:val="none" w:sz="0" w:space="0" w:color="auto"/>
      </w:divBdr>
      <w:divsChild>
        <w:div w:id="318314957">
          <w:marLeft w:val="0"/>
          <w:marRight w:val="0"/>
          <w:marTop w:val="0"/>
          <w:marBottom w:val="0"/>
          <w:divBdr>
            <w:top w:val="none" w:sz="0" w:space="0" w:color="auto"/>
            <w:left w:val="none" w:sz="0" w:space="0" w:color="auto"/>
            <w:bottom w:val="none" w:sz="0" w:space="0" w:color="auto"/>
            <w:right w:val="none" w:sz="0" w:space="0" w:color="auto"/>
          </w:divBdr>
          <w:divsChild>
            <w:div w:id="2081978473">
              <w:marLeft w:val="0"/>
              <w:marRight w:val="0"/>
              <w:marTop w:val="0"/>
              <w:marBottom w:val="0"/>
              <w:divBdr>
                <w:top w:val="none" w:sz="0" w:space="0" w:color="auto"/>
                <w:left w:val="none" w:sz="0" w:space="0" w:color="auto"/>
                <w:bottom w:val="none" w:sz="0" w:space="0" w:color="auto"/>
                <w:right w:val="none" w:sz="0" w:space="0" w:color="auto"/>
              </w:divBdr>
              <w:divsChild>
                <w:div w:id="902061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0022868">
      <w:bodyDiv w:val="1"/>
      <w:marLeft w:val="0"/>
      <w:marRight w:val="0"/>
      <w:marTop w:val="0"/>
      <w:marBottom w:val="0"/>
      <w:divBdr>
        <w:top w:val="none" w:sz="0" w:space="0" w:color="auto"/>
        <w:left w:val="none" w:sz="0" w:space="0" w:color="auto"/>
        <w:bottom w:val="none" w:sz="0" w:space="0" w:color="auto"/>
        <w:right w:val="none" w:sz="0" w:space="0" w:color="auto"/>
      </w:divBdr>
    </w:div>
    <w:div w:id="1518958416">
      <w:bodyDiv w:val="1"/>
      <w:marLeft w:val="0"/>
      <w:marRight w:val="0"/>
      <w:marTop w:val="0"/>
      <w:marBottom w:val="0"/>
      <w:divBdr>
        <w:top w:val="none" w:sz="0" w:space="0" w:color="auto"/>
        <w:left w:val="none" w:sz="0" w:space="0" w:color="auto"/>
        <w:bottom w:val="none" w:sz="0" w:space="0" w:color="auto"/>
        <w:right w:val="none" w:sz="0" w:space="0" w:color="auto"/>
      </w:divBdr>
    </w:div>
    <w:div w:id="1519924469">
      <w:bodyDiv w:val="1"/>
      <w:marLeft w:val="0"/>
      <w:marRight w:val="0"/>
      <w:marTop w:val="0"/>
      <w:marBottom w:val="0"/>
      <w:divBdr>
        <w:top w:val="none" w:sz="0" w:space="0" w:color="auto"/>
        <w:left w:val="none" w:sz="0" w:space="0" w:color="auto"/>
        <w:bottom w:val="none" w:sz="0" w:space="0" w:color="auto"/>
        <w:right w:val="none" w:sz="0" w:space="0" w:color="auto"/>
      </w:divBdr>
    </w:div>
    <w:div w:id="1522891932">
      <w:bodyDiv w:val="1"/>
      <w:marLeft w:val="0"/>
      <w:marRight w:val="0"/>
      <w:marTop w:val="0"/>
      <w:marBottom w:val="0"/>
      <w:divBdr>
        <w:top w:val="none" w:sz="0" w:space="0" w:color="auto"/>
        <w:left w:val="none" w:sz="0" w:space="0" w:color="auto"/>
        <w:bottom w:val="none" w:sz="0" w:space="0" w:color="auto"/>
        <w:right w:val="none" w:sz="0" w:space="0" w:color="auto"/>
      </w:divBdr>
    </w:div>
    <w:div w:id="1554468577">
      <w:bodyDiv w:val="1"/>
      <w:marLeft w:val="0"/>
      <w:marRight w:val="0"/>
      <w:marTop w:val="0"/>
      <w:marBottom w:val="0"/>
      <w:divBdr>
        <w:top w:val="none" w:sz="0" w:space="0" w:color="auto"/>
        <w:left w:val="none" w:sz="0" w:space="0" w:color="auto"/>
        <w:bottom w:val="none" w:sz="0" w:space="0" w:color="auto"/>
        <w:right w:val="none" w:sz="0" w:space="0" w:color="auto"/>
      </w:divBdr>
    </w:div>
    <w:div w:id="1594165652">
      <w:bodyDiv w:val="1"/>
      <w:marLeft w:val="0"/>
      <w:marRight w:val="0"/>
      <w:marTop w:val="0"/>
      <w:marBottom w:val="0"/>
      <w:divBdr>
        <w:top w:val="none" w:sz="0" w:space="0" w:color="auto"/>
        <w:left w:val="none" w:sz="0" w:space="0" w:color="auto"/>
        <w:bottom w:val="none" w:sz="0" w:space="0" w:color="auto"/>
        <w:right w:val="none" w:sz="0" w:space="0" w:color="auto"/>
      </w:divBdr>
    </w:div>
    <w:div w:id="1605265912">
      <w:bodyDiv w:val="1"/>
      <w:marLeft w:val="0"/>
      <w:marRight w:val="0"/>
      <w:marTop w:val="0"/>
      <w:marBottom w:val="0"/>
      <w:divBdr>
        <w:top w:val="none" w:sz="0" w:space="0" w:color="auto"/>
        <w:left w:val="none" w:sz="0" w:space="0" w:color="auto"/>
        <w:bottom w:val="none" w:sz="0" w:space="0" w:color="auto"/>
        <w:right w:val="none" w:sz="0" w:space="0" w:color="auto"/>
      </w:divBdr>
    </w:div>
    <w:div w:id="1606688310">
      <w:bodyDiv w:val="1"/>
      <w:marLeft w:val="0"/>
      <w:marRight w:val="0"/>
      <w:marTop w:val="0"/>
      <w:marBottom w:val="0"/>
      <w:divBdr>
        <w:top w:val="none" w:sz="0" w:space="0" w:color="auto"/>
        <w:left w:val="none" w:sz="0" w:space="0" w:color="auto"/>
        <w:bottom w:val="none" w:sz="0" w:space="0" w:color="auto"/>
        <w:right w:val="none" w:sz="0" w:space="0" w:color="auto"/>
      </w:divBdr>
    </w:div>
    <w:div w:id="1648781975">
      <w:bodyDiv w:val="1"/>
      <w:marLeft w:val="0"/>
      <w:marRight w:val="0"/>
      <w:marTop w:val="0"/>
      <w:marBottom w:val="0"/>
      <w:divBdr>
        <w:top w:val="none" w:sz="0" w:space="0" w:color="auto"/>
        <w:left w:val="none" w:sz="0" w:space="0" w:color="auto"/>
        <w:bottom w:val="none" w:sz="0" w:space="0" w:color="auto"/>
        <w:right w:val="none" w:sz="0" w:space="0" w:color="auto"/>
      </w:divBdr>
    </w:div>
    <w:div w:id="1682732533">
      <w:bodyDiv w:val="1"/>
      <w:marLeft w:val="0"/>
      <w:marRight w:val="0"/>
      <w:marTop w:val="0"/>
      <w:marBottom w:val="0"/>
      <w:divBdr>
        <w:top w:val="none" w:sz="0" w:space="0" w:color="auto"/>
        <w:left w:val="none" w:sz="0" w:space="0" w:color="auto"/>
        <w:bottom w:val="none" w:sz="0" w:space="0" w:color="auto"/>
        <w:right w:val="none" w:sz="0" w:space="0" w:color="auto"/>
      </w:divBdr>
    </w:div>
    <w:div w:id="1701280684">
      <w:bodyDiv w:val="1"/>
      <w:marLeft w:val="0"/>
      <w:marRight w:val="0"/>
      <w:marTop w:val="0"/>
      <w:marBottom w:val="0"/>
      <w:divBdr>
        <w:top w:val="none" w:sz="0" w:space="0" w:color="auto"/>
        <w:left w:val="none" w:sz="0" w:space="0" w:color="auto"/>
        <w:bottom w:val="none" w:sz="0" w:space="0" w:color="auto"/>
        <w:right w:val="none" w:sz="0" w:space="0" w:color="auto"/>
      </w:divBdr>
    </w:div>
    <w:div w:id="1707675593">
      <w:bodyDiv w:val="1"/>
      <w:marLeft w:val="0"/>
      <w:marRight w:val="0"/>
      <w:marTop w:val="0"/>
      <w:marBottom w:val="0"/>
      <w:divBdr>
        <w:top w:val="none" w:sz="0" w:space="0" w:color="auto"/>
        <w:left w:val="none" w:sz="0" w:space="0" w:color="auto"/>
        <w:bottom w:val="none" w:sz="0" w:space="0" w:color="auto"/>
        <w:right w:val="none" w:sz="0" w:space="0" w:color="auto"/>
      </w:divBdr>
    </w:div>
    <w:div w:id="1712028664">
      <w:bodyDiv w:val="1"/>
      <w:marLeft w:val="0"/>
      <w:marRight w:val="0"/>
      <w:marTop w:val="0"/>
      <w:marBottom w:val="0"/>
      <w:divBdr>
        <w:top w:val="none" w:sz="0" w:space="0" w:color="auto"/>
        <w:left w:val="none" w:sz="0" w:space="0" w:color="auto"/>
        <w:bottom w:val="none" w:sz="0" w:space="0" w:color="auto"/>
        <w:right w:val="none" w:sz="0" w:space="0" w:color="auto"/>
      </w:divBdr>
    </w:div>
    <w:div w:id="1724064044">
      <w:bodyDiv w:val="1"/>
      <w:marLeft w:val="0"/>
      <w:marRight w:val="0"/>
      <w:marTop w:val="0"/>
      <w:marBottom w:val="0"/>
      <w:divBdr>
        <w:top w:val="none" w:sz="0" w:space="0" w:color="auto"/>
        <w:left w:val="none" w:sz="0" w:space="0" w:color="auto"/>
        <w:bottom w:val="none" w:sz="0" w:space="0" w:color="auto"/>
        <w:right w:val="none" w:sz="0" w:space="0" w:color="auto"/>
      </w:divBdr>
    </w:div>
    <w:div w:id="1744134616">
      <w:bodyDiv w:val="1"/>
      <w:marLeft w:val="0"/>
      <w:marRight w:val="0"/>
      <w:marTop w:val="0"/>
      <w:marBottom w:val="0"/>
      <w:divBdr>
        <w:top w:val="none" w:sz="0" w:space="0" w:color="auto"/>
        <w:left w:val="none" w:sz="0" w:space="0" w:color="auto"/>
        <w:bottom w:val="none" w:sz="0" w:space="0" w:color="auto"/>
        <w:right w:val="none" w:sz="0" w:space="0" w:color="auto"/>
      </w:divBdr>
    </w:div>
    <w:div w:id="1744721494">
      <w:bodyDiv w:val="1"/>
      <w:marLeft w:val="0"/>
      <w:marRight w:val="0"/>
      <w:marTop w:val="0"/>
      <w:marBottom w:val="0"/>
      <w:divBdr>
        <w:top w:val="none" w:sz="0" w:space="0" w:color="auto"/>
        <w:left w:val="none" w:sz="0" w:space="0" w:color="auto"/>
        <w:bottom w:val="none" w:sz="0" w:space="0" w:color="auto"/>
        <w:right w:val="none" w:sz="0" w:space="0" w:color="auto"/>
      </w:divBdr>
    </w:div>
    <w:div w:id="1752657765">
      <w:bodyDiv w:val="1"/>
      <w:marLeft w:val="0"/>
      <w:marRight w:val="0"/>
      <w:marTop w:val="0"/>
      <w:marBottom w:val="0"/>
      <w:divBdr>
        <w:top w:val="none" w:sz="0" w:space="0" w:color="auto"/>
        <w:left w:val="none" w:sz="0" w:space="0" w:color="auto"/>
        <w:bottom w:val="none" w:sz="0" w:space="0" w:color="auto"/>
        <w:right w:val="none" w:sz="0" w:space="0" w:color="auto"/>
      </w:divBdr>
    </w:div>
    <w:div w:id="1869488785">
      <w:bodyDiv w:val="1"/>
      <w:marLeft w:val="0"/>
      <w:marRight w:val="0"/>
      <w:marTop w:val="0"/>
      <w:marBottom w:val="0"/>
      <w:divBdr>
        <w:top w:val="none" w:sz="0" w:space="0" w:color="auto"/>
        <w:left w:val="none" w:sz="0" w:space="0" w:color="auto"/>
        <w:bottom w:val="none" w:sz="0" w:space="0" w:color="auto"/>
        <w:right w:val="none" w:sz="0" w:space="0" w:color="auto"/>
      </w:divBdr>
    </w:div>
    <w:div w:id="1889685721">
      <w:bodyDiv w:val="1"/>
      <w:marLeft w:val="0"/>
      <w:marRight w:val="0"/>
      <w:marTop w:val="0"/>
      <w:marBottom w:val="0"/>
      <w:divBdr>
        <w:top w:val="none" w:sz="0" w:space="0" w:color="auto"/>
        <w:left w:val="none" w:sz="0" w:space="0" w:color="auto"/>
        <w:bottom w:val="none" w:sz="0" w:space="0" w:color="auto"/>
        <w:right w:val="none" w:sz="0" w:space="0" w:color="auto"/>
      </w:divBdr>
    </w:div>
    <w:div w:id="2002268372">
      <w:bodyDiv w:val="1"/>
      <w:marLeft w:val="0"/>
      <w:marRight w:val="0"/>
      <w:marTop w:val="0"/>
      <w:marBottom w:val="0"/>
      <w:divBdr>
        <w:top w:val="none" w:sz="0" w:space="0" w:color="auto"/>
        <w:left w:val="none" w:sz="0" w:space="0" w:color="auto"/>
        <w:bottom w:val="none" w:sz="0" w:space="0" w:color="auto"/>
        <w:right w:val="none" w:sz="0" w:space="0" w:color="auto"/>
      </w:divBdr>
    </w:div>
    <w:div w:id="2036731220">
      <w:bodyDiv w:val="1"/>
      <w:marLeft w:val="0"/>
      <w:marRight w:val="0"/>
      <w:marTop w:val="0"/>
      <w:marBottom w:val="0"/>
      <w:divBdr>
        <w:top w:val="none" w:sz="0" w:space="0" w:color="auto"/>
        <w:left w:val="none" w:sz="0" w:space="0" w:color="auto"/>
        <w:bottom w:val="none" w:sz="0" w:space="0" w:color="auto"/>
        <w:right w:val="none" w:sz="0" w:space="0" w:color="auto"/>
      </w:divBdr>
    </w:div>
    <w:div w:id="2051371008">
      <w:bodyDiv w:val="1"/>
      <w:marLeft w:val="0"/>
      <w:marRight w:val="0"/>
      <w:marTop w:val="0"/>
      <w:marBottom w:val="0"/>
      <w:divBdr>
        <w:top w:val="none" w:sz="0" w:space="0" w:color="auto"/>
        <w:left w:val="none" w:sz="0" w:space="0" w:color="auto"/>
        <w:bottom w:val="none" w:sz="0" w:space="0" w:color="auto"/>
        <w:right w:val="none" w:sz="0" w:space="0" w:color="auto"/>
      </w:divBdr>
    </w:div>
    <w:div w:id="2094011783">
      <w:bodyDiv w:val="1"/>
      <w:marLeft w:val="0"/>
      <w:marRight w:val="0"/>
      <w:marTop w:val="0"/>
      <w:marBottom w:val="0"/>
      <w:divBdr>
        <w:top w:val="none" w:sz="0" w:space="0" w:color="auto"/>
        <w:left w:val="none" w:sz="0" w:space="0" w:color="auto"/>
        <w:bottom w:val="none" w:sz="0" w:space="0" w:color="auto"/>
        <w:right w:val="none" w:sz="0" w:space="0" w:color="auto"/>
      </w:divBdr>
    </w:div>
    <w:div w:id="2097166973">
      <w:bodyDiv w:val="1"/>
      <w:marLeft w:val="0"/>
      <w:marRight w:val="0"/>
      <w:marTop w:val="0"/>
      <w:marBottom w:val="0"/>
      <w:divBdr>
        <w:top w:val="none" w:sz="0" w:space="0" w:color="auto"/>
        <w:left w:val="none" w:sz="0" w:space="0" w:color="auto"/>
        <w:bottom w:val="none" w:sz="0" w:space="0" w:color="auto"/>
        <w:right w:val="none" w:sz="0" w:space="0" w:color="auto"/>
      </w:divBdr>
      <w:divsChild>
        <w:div w:id="1772432827">
          <w:marLeft w:val="0"/>
          <w:marRight w:val="0"/>
          <w:marTop w:val="0"/>
          <w:marBottom w:val="0"/>
          <w:divBdr>
            <w:top w:val="none" w:sz="0" w:space="0" w:color="auto"/>
            <w:left w:val="none" w:sz="0" w:space="0" w:color="auto"/>
            <w:bottom w:val="none" w:sz="0" w:space="0" w:color="auto"/>
            <w:right w:val="none" w:sz="0" w:space="0" w:color="auto"/>
          </w:divBdr>
          <w:divsChild>
            <w:div w:id="835607488">
              <w:marLeft w:val="0"/>
              <w:marRight w:val="0"/>
              <w:marTop w:val="0"/>
              <w:marBottom w:val="0"/>
              <w:divBdr>
                <w:top w:val="none" w:sz="0" w:space="0" w:color="auto"/>
                <w:left w:val="none" w:sz="0" w:space="0" w:color="auto"/>
                <w:bottom w:val="none" w:sz="0" w:space="0" w:color="auto"/>
                <w:right w:val="none" w:sz="0" w:space="0" w:color="auto"/>
              </w:divBdr>
              <w:divsChild>
                <w:div w:id="916328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1855061">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40684518">
      <w:bodyDiv w:val="1"/>
      <w:marLeft w:val="0"/>
      <w:marRight w:val="0"/>
      <w:marTop w:val="0"/>
      <w:marBottom w:val="0"/>
      <w:divBdr>
        <w:top w:val="none" w:sz="0" w:space="0" w:color="auto"/>
        <w:left w:val="none" w:sz="0" w:space="0" w:color="auto"/>
        <w:bottom w:val="none" w:sz="0" w:space="0" w:color="auto"/>
        <w:right w:val="none" w:sz="0" w:space="0" w:color="auto"/>
      </w:divBdr>
    </w:div>
    <w:div w:id="2143690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2" Type="http://schemas.openxmlformats.org/officeDocument/2006/relationships/hyperlink" Target="http://www.secretariasenado.gov.co/senado/basedoc/constitucion_politica_1991.html" TargetMode="External"/><Relationship Id="rId1" Type="http://schemas.openxmlformats.org/officeDocument/2006/relationships/hyperlink" Target="http://www.secretariasenado.gov.co/senado/basedoc/constitucion_politica_1991.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29DF233E-9077-4799-B053-F62D5F6C2D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4D356B0-8095-4BA5-BBC9-1A05081E4613}">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24C63867-5D67-46F3-A76B-4DB9824F0A67}">
  <ds:schemaRefs>
    <ds:schemaRef ds:uri="http://schemas.microsoft.com/sharepoint/events"/>
  </ds:schemaRefs>
</ds:datastoreItem>
</file>

<file path=customXml/itemProps5.xml><?xml version="1.0" encoding="utf-8"?>
<ds:datastoreItem xmlns:ds="http://schemas.openxmlformats.org/officeDocument/2006/customXml" ds:itemID="{AAF024CB-2C29-42D4-872C-72811668AB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21</Pages>
  <Words>7144</Words>
  <Characters>40724</Characters>
  <Application>Microsoft Office Word</Application>
  <DocSecurity>0</DocSecurity>
  <Lines>339</Lines>
  <Paragraphs>95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RESPUESTA DIRECCIÓN CONTRACTUAL</vt:lpstr>
      <vt:lpstr>RESPUESTA DIRECCIÓN CONTRACTUAL</vt:lpstr>
    </vt:vector>
  </TitlesOfParts>
  <Company/>
  <LinksUpToDate>false</LinksUpToDate>
  <CharactersWithSpaces>47773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cp:lastPrinted>2020-01-30T15:05:00Z</cp:lastPrinted>
  <dcterms:created xsi:type="dcterms:W3CDTF">2020-08-12T17:42:00Z</dcterms:created>
  <dcterms:modified xsi:type="dcterms:W3CDTF">2020-08-12T17:42:00Z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