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73E6AB" w14:textId="688C0AEA" w:rsidR="006A3466" w:rsidRDefault="009859A1" w:rsidP="006A3466">
      <w:pPr>
        <w:spacing w:after="0" w:line="240" w:lineRule="auto"/>
        <w:jc w:val="both"/>
        <w:rPr>
          <w:rFonts w:ascii="Verdana" w:eastAsia="Calibri" w:hAnsi="Verdana" w:cs="Arial"/>
          <w:b/>
          <w:sz w:val="20"/>
          <w:szCs w:val="20"/>
          <w:lang w:eastAsia="es-ES"/>
        </w:rPr>
      </w:pPr>
      <w:bookmarkStart w:id="0" w:name="_Hlk143780582"/>
      <w:r w:rsidRPr="009859A1">
        <w:rPr>
          <w:rFonts w:ascii="Verdana" w:eastAsia="Calibri" w:hAnsi="Verdana" w:cs="Arial"/>
          <w:b/>
          <w:bCs/>
          <w:sz w:val="20"/>
          <w:szCs w:val="20"/>
          <w:lang w:eastAsia="es-ES"/>
        </w:rPr>
        <w:t>CONTRATO DE PRESTACIÓN DE SERVICIOS-liquidación</w:t>
      </w:r>
    </w:p>
    <w:p w14:paraId="5F8BAC51" w14:textId="0C53D1CF" w:rsidR="009859A1" w:rsidRPr="009859A1" w:rsidRDefault="009859A1" w:rsidP="006A3466">
      <w:pPr>
        <w:spacing w:after="0" w:line="240" w:lineRule="auto"/>
        <w:jc w:val="both"/>
        <w:rPr>
          <w:rFonts w:ascii="Verdana" w:eastAsia="Calibri" w:hAnsi="Verdana" w:cs="Arial"/>
          <w:b/>
          <w:bCs/>
          <w:sz w:val="20"/>
          <w:szCs w:val="20"/>
          <w:lang w:eastAsia="es-ES"/>
        </w:rPr>
      </w:pPr>
    </w:p>
    <w:p w14:paraId="1E003882" w14:textId="024D6D5B" w:rsidR="009859A1" w:rsidRPr="009859A1" w:rsidRDefault="009859A1" w:rsidP="006A3466">
      <w:pPr>
        <w:spacing w:after="0" w:line="240" w:lineRule="auto"/>
        <w:jc w:val="both"/>
        <w:rPr>
          <w:rFonts w:ascii="Verdana" w:eastAsia="Calibri" w:hAnsi="Verdana" w:cs="Arial"/>
          <w:sz w:val="20"/>
          <w:lang w:val="es-ES" w:eastAsia="es-ES"/>
        </w:rPr>
      </w:pPr>
      <w:r w:rsidRPr="009859A1">
        <w:rPr>
          <w:rFonts w:ascii="Verdana" w:eastAsia="Calibri" w:hAnsi="Verdana" w:cs="Arial"/>
          <w:sz w:val="20"/>
          <w:lang w:val="es-ES" w:eastAsia="es-ES"/>
        </w:rPr>
        <w:t>(…) De lo anterior, resulta pertinente precisar las características del contrato de prestación de servicios profesionales, teniendo en cuenta lo establecido en el Estatuto General de Contratación de la Administración Pública-EGCAP- y en la jurisprudencia emitida por parte del Consejo de Estado, de manera particular en Sentencia de Unificación Jurisprudencial del 9 de septiembre de 2021</w:t>
      </w:r>
      <w:r w:rsidRPr="009859A1">
        <w:rPr>
          <w:rFonts w:ascii="Verdana" w:eastAsia="Calibri" w:hAnsi="Verdana"/>
          <w:sz w:val="20"/>
          <w:lang w:val="es-ES" w:eastAsia="es-ES"/>
        </w:rPr>
        <w:footnoteReference w:id="2"/>
      </w:r>
      <w:r w:rsidRPr="009859A1">
        <w:rPr>
          <w:rFonts w:ascii="Verdana" w:eastAsia="Calibri" w:hAnsi="Verdana" w:cs="Arial"/>
          <w:sz w:val="20"/>
          <w:lang w:val="es-ES" w:eastAsia="es-ES"/>
        </w:rPr>
        <w:t>, del cual se puede extraer las siguientes consideraciones. (…)</w:t>
      </w:r>
    </w:p>
    <w:p w14:paraId="6F68E14C" w14:textId="25980504" w:rsidR="009859A1" w:rsidRPr="009859A1" w:rsidRDefault="009859A1" w:rsidP="006A3466">
      <w:pPr>
        <w:spacing w:after="0" w:line="240" w:lineRule="auto"/>
        <w:jc w:val="both"/>
        <w:rPr>
          <w:rFonts w:ascii="Verdana" w:eastAsia="Calibri" w:hAnsi="Verdana" w:cs="Arial"/>
          <w:sz w:val="20"/>
          <w:lang w:val="es-ES" w:eastAsia="es-ES"/>
        </w:rPr>
      </w:pPr>
    </w:p>
    <w:p w14:paraId="7F73CECC" w14:textId="3818060F" w:rsidR="009859A1" w:rsidRPr="009859A1" w:rsidRDefault="009859A1" w:rsidP="009859A1">
      <w:pPr>
        <w:jc w:val="both"/>
        <w:rPr>
          <w:rFonts w:ascii="Verdana" w:eastAsia="Calibri" w:hAnsi="Verdana" w:cs="Arial"/>
          <w:sz w:val="20"/>
          <w:lang w:val="es-ES" w:eastAsia="es-ES"/>
        </w:rPr>
      </w:pPr>
      <w:r w:rsidRPr="009859A1">
        <w:rPr>
          <w:rFonts w:ascii="Verdana" w:eastAsia="Calibri" w:hAnsi="Verdana" w:cs="Arial"/>
          <w:sz w:val="20"/>
          <w:lang w:val="es-ES" w:eastAsia="es-ES"/>
        </w:rPr>
        <w:t xml:space="preserve">(…) En algunos casos no es obligatoria la liquidación, pues así lo estableció el artículo 217 del Decreto 019 de 2012, que modificó el artículo 60 de la Ley 80 de 1993, refiriéndose a los contratos de prestación de servicios profesionales y de apoyo a la gestión. (…) </w:t>
      </w:r>
    </w:p>
    <w:p w14:paraId="4F158CAB" w14:textId="08C26B8B" w:rsidR="009859A1" w:rsidRPr="009859A1" w:rsidRDefault="009859A1" w:rsidP="006A3466">
      <w:pPr>
        <w:spacing w:after="0" w:line="240" w:lineRule="auto"/>
        <w:jc w:val="both"/>
        <w:rPr>
          <w:rFonts w:ascii="Verdana" w:eastAsia="Calibri" w:hAnsi="Verdana" w:cs="Arial"/>
          <w:sz w:val="20"/>
          <w:lang w:val="es-ES" w:eastAsia="es-ES"/>
        </w:rPr>
      </w:pPr>
    </w:p>
    <w:p w14:paraId="25A46ACC" w14:textId="04B11C5B" w:rsidR="009859A1" w:rsidRPr="009859A1" w:rsidRDefault="009859A1" w:rsidP="006A3466">
      <w:pPr>
        <w:spacing w:after="0" w:line="240" w:lineRule="auto"/>
        <w:jc w:val="both"/>
        <w:rPr>
          <w:rFonts w:ascii="Verdana" w:eastAsia="Calibri" w:hAnsi="Verdana" w:cs="Arial"/>
          <w:b/>
          <w:bCs/>
          <w:sz w:val="20"/>
          <w:szCs w:val="20"/>
          <w:lang w:eastAsia="es-ES"/>
        </w:rPr>
      </w:pPr>
      <w:r w:rsidRPr="009859A1">
        <w:rPr>
          <w:rFonts w:ascii="Verdana" w:eastAsia="Calibri" w:hAnsi="Verdana" w:cs="Arial"/>
          <w:b/>
          <w:bCs/>
          <w:sz w:val="20"/>
          <w:szCs w:val="20"/>
          <w:lang w:eastAsia="es-ES"/>
        </w:rPr>
        <w:t>LIQUIDACIÓN DEL CONTRATO – Noción – Clases</w:t>
      </w:r>
    </w:p>
    <w:p w14:paraId="6CBD53CD" w14:textId="77777777" w:rsidR="009859A1" w:rsidRPr="009859A1" w:rsidRDefault="009859A1" w:rsidP="006A3466">
      <w:pPr>
        <w:spacing w:after="0" w:line="240" w:lineRule="auto"/>
        <w:jc w:val="both"/>
        <w:rPr>
          <w:rFonts w:ascii="Verdana" w:eastAsia="Calibri" w:hAnsi="Verdana" w:cs="Arial"/>
          <w:sz w:val="20"/>
          <w:lang w:val="es-ES" w:eastAsia="es-ES"/>
        </w:rPr>
      </w:pPr>
    </w:p>
    <w:p w14:paraId="1B9A0F26" w14:textId="0AC3858E" w:rsidR="006A3466" w:rsidRPr="009859A1" w:rsidRDefault="009859A1" w:rsidP="009859A1">
      <w:pPr>
        <w:spacing w:line="240" w:lineRule="auto"/>
        <w:jc w:val="both"/>
        <w:rPr>
          <w:rFonts w:ascii="Verdana" w:eastAsia="Calibri" w:hAnsi="Verdana" w:cs="Arial"/>
          <w:sz w:val="20"/>
          <w:lang w:val="es-ES" w:eastAsia="es-ES"/>
        </w:rPr>
      </w:pPr>
      <w:r>
        <w:rPr>
          <w:rFonts w:ascii="Verdana" w:eastAsia="Calibri" w:hAnsi="Verdana" w:cs="Arial"/>
          <w:sz w:val="20"/>
          <w:lang w:val="es-ES" w:eastAsia="es-ES"/>
        </w:rPr>
        <w:t>(</w:t>
      </w:r>
      <w:r w:rsidR="006A3466" w:rsidRPr="009859A1">
        <w:rPr>
          <w:rFonts w:ascii="Verdana" w:eastAsia="Calibri" w:hAnsi="Verdana" w:cs="Arial"/>
          <w:sz w:val="20"/>
          <w:lang w:val="es-ES" w:eastAsia="es-ES"/>
        </w:rPr>
        <w:t>…</w:t>
      </w:r>
      <w:r>
        <w:rPr>
          <w:rFonts w:ascii="Verdana" w:eastAsia="Calibri" w:hAnsi="Verdana" w:cs="Arial"/>
          <w:sz w:val="20"/>
          <w:lang w:val="es-ES" w:eastAsia="es-ES"/>
        </w:rPr>
        <w:t>)</w:t>
      </w:r>
      <w:r w:rsidR="006A3466" w:rsidRPr="009859A1">
        <w:rPr>
          <w:rFonts w:ascii="Verdana" w:eastAsia="Calibri" w:hAnsi="Verdana" w:cs="Arial"/>
          <w:sz w:val="20"/>
          <w:lang w:val="es-ES" w:eastAsia="es-ES"/>
        </w:rPr>
        <w:t xml:space="preserve"> </w:t>
      </w:r>
      <w:r w:rsidRPr="009859A1">
        <w:rPr>
          <w:rFonts w:ascii="Verdana" w:eastAsia="Calibri" w:hAnsi="Verdana" w:cs="Arial"/>
          <w:sz w:val="20"/>
          <w:lang w:val="es-ES" w:eastAsia="es-ES"/>
        </w:rPr>
        <w:t xml:space="preserve">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w:t>
      </w:r>
      <w:r>
        <w:rPr>
          <w:rFonts w:ascii="Verdana" w:eastAsia="Calibri" w:hAnsi="Verdana" w:cs="Arial"/>
          <w:sz w:val="20"/>
          <w:lang w:val="es-ES" w:eastAsia="es-ES"/>
        </w:rPr>
        <w:t>(</w:t>
      </w:r>
      <w:r w:rsidR="006A3466" w:rsidRPr="009859A1">
        <w:rPr>
          <w:rFonts w:ascii="Verdana" w:eastAsia="Calibri" w:hAnsi="Verdana" w:cs="Arial"/>
          <w:sz w:val="20"/>
          <w:lang w:val="es-ES" w:eastAsia="es-ES"/>
        </w:rPr>
        <w:t>…</w:t>
      </w:r>
      <w:r>
        <w:rPr>
          <w:rFonts w:ascii="Verdana" w:eastAsia="Calibri" w:hAnsi="Verdana" w:cs="Arial"/>
          <w:sz w:val="20"/>
          <w:lang w:val="es-ES" w:eastAsia="es-ES"/>
        </w:rPr>
        <w:t>)</w:t>
      </w:r>
    </w:p>
    <w:p w14:paraId="6AE55333" w14:textId="77777777" w:rsidR="00982321" w:rsidRPr="006D2030" w:rsidRDefault="00982321">
      <w:pPr>
        <w:rPr>
          <w:rFonts w:ascii="Verdana" w:hAnsi="Verdana"/>
        </w:rPr>
      </w:pPr>
      <w:r w:rsidRPr="006D2030">
        <w:rPr>
          <w:rFonts w:ascii="Verdana" w:hAnsi="Verdana"/>
        </w:rPr>
        <w:br w:type="page"/>
      </w:r>
    </w:p>
    <w:p w14:paraId="2AF05365" w14:textId="25E56F41" w:rsidR="00F1607A" w:rsidRPr="006D2030" w:rsidRDefault="00F1607A" w:rsidP="00F1607A">
      <w:pPr>
        <w:rPr>
          <w:rFonts w:ascii="Verdana" w:hAnsi="Verdana"/>
        </w:rPr>
      </w:pPr>
      <w:r w:rsidRPr="006D2030">
        <w:rPr>
          <w:rFonts w:ascii="Verdana" w:hAnsi="Verdana"/>
        </w:rPr>
        <w:lastRenderedPageBreak/>
        <w:t xml:space="preserve">Bogotá D.C., </w:t>
      </w:r>
      <w:r w:rsidR="000857A4">
        <w:rPr>
          <w:rFonts w:ascii="Verdana" w:hAnsi="Verdana"/>
        </w:rPr>
        <w:t>18 de septiembre de 2024</w:t>
      </w:r>
      <w:r w:rsidRPr="006D2030">
        <w:rPr>
          <w:rFonts w:ascii="Verdana" w:hAnsi="Verdana"/>
        </w:rPr>
        <w:tab/>
      </w:r>
    </w:p>
    <w:p w14:paraId="60BC0D0D" w14:textId="47CA7F77" w:rsidR="00F1607A" w:rsidRPr="006D2030" w:rsidRDefault="000857A4" w:rsidP="000857A4">
      <w:pPr>
        <w:spacing w:after="0"/>
        <w:jc w:val="right"/>
        <w:rPr>
          <w:rFonts w:ascii="Verdana" w:hAnsi="Verdana"/>
        </w:rPr>
      </w:pPr>
      <w:r w:rsidRPr="000857A4">
        <w:rPr>
          <w:rFonts w:ascii="Verdana" w:hAnsi="Verdana"/>
          <w:noProof/>
        </w:rPr>
        <w:drawing>
          <wp:inline distT="0" distB="0" distL="0" distR="0" wp14:anchorId="3E88DD62" wp14:editId="26EC1CDD">
            <wp:extent cx="3183586" cy="879354"/>
            <wp:effectExtent l="0" t="0" r="0" b="0"/>
            <wp:docPr id="10540946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094624" name=""/>
                    <pic:cNvPicPr/>
                  </pic:nvPicPr>
                  <pic:blipFill>
                    <a:blip r:embed="rId11"/>
                    <a:stretch>
                      <a:fillRect/>
                    </a:stretch>
                  </pic:blipFill>
                  <pic:spPr>
                    <a:xfrm>
                      <a:off x="0" y="0"/>
                      <a:ext cx="3187100" cy="880325"/>
                    </a:xfrm>
                    <a:prstGeom prst="rect">
                      <a:avLst/>
                    </a:prstGeom>
                  </pic:spPr>
                </pic:pic>
              </a:graphicData>
            </a:graphic>
          </wp:inline>
        </w:drawing>
      </w:r>
    </w:p>
    <w:p w14:paraId="294D90E1" w14:textId="77777777" w:rsidR="00F1607A" w:rsidRPr="006D2030" w:rsidRDefault="00F1607A" w:rsidP="00F1607A">
      <w:pPr>
        <w:spacing w:after="0"/>
        <w:rPr>
          <w:rFonts w:ascii="Verdana" w:hAnsi="Verdana"/>
          <w:lang w:val="es-MX"/>
        </w:rPr>
      </w:pPr>
      <w:r w:rsidRPr="006D2030">
        <w:rPr>
          <w:rFonts w:ascii="Verdana" w:hAnsi="Verdana"/>
          <w:lang w:val="es-MX"/>
        </w:rPr>
        <w:t>Señora</w:t>
      </w:r>
    </w:p>
    <w:p w14:paraId="1834437D" w14:textId="342AABB8" w:rsidR="00F1607A" w:rsidRPr="006D2030" w:rsidRDefault="00F1607A" w:rsidP="00F1607A">
      <w:pPr>
        <w:spacing w:after="0"/>
        <w:rPr>
          <w:rFonts w:ascii="Verdana" w:hAnsi="Verdana"/>
          <w:b/>
          <w:bCs/>
        </w:rPr>
      </w:pPr>
      <w:r w:rsidRPr="006D2030">
        <w:rPr>
          <w:rFonts w:ascii="Verdana" w:hAnsi="Verdana"/>
          <w:b/>
          <w:bCs/>
        </w:rPr>
        <w:t xml:space="preserve">DORA LILIA </w:t>
      </w:r>
      <w:r w:rsidR="006D2030" w:rsidRPr="006D2030">
        <w:rPr>
          <w:rFonts w:ascii="Verdana" w:hAnsi="Verdana"/>
          <w:b/>
          <w:bCs/>
        </w:rPr>
        <w:t>GARCÍA</w:t>
      </w:r>
      <w:r w:rsidRPr="006D2030">
        <w:rPr>
          <w:rFonts w:ascii="Verdana" w:hAnsi="Verdana"/>
          <w:b/>
          <w:bCs/>
        </w:rPr>
        <w:t xml:space="preserve"> FAJARDO</w:t>
      </w:r>
    </w:p>
    <w:p w14:paraId="0146306E" w14:textId="2DD98F22" w:rsidR="00F1607A" w:rsidRPr="006D2030" w:rsidRDefault="008E1324" w:rsidP="00F1607A">
      <w:pPr>
        <w:spacing w:after="0"/>
        <w:rPr>
          <w:rFonts w:ascii="Verdana" w:hAnsi="Verdana"/>
          <w:u w:val="single"/>
        </w:rPr>
      </w:pPr>
      <w:r w:rsidRPr="006D2030">
        <w:rPr>
          <w:rFonts w:ascii="Verdana" w:hAnsi="Verdana"/>
          <w:u w:val="single"/>
        </w:rPr>
        <w:t>doritagarciaf</w:t>
      </w:r>
      <w:r w:rsidR="00F1607A" w:rsidRPr="006D2030">
        <w:rPr>
          <w:rFonts w:ascii="Verdana" w:hAnsi="Verdana"/>
          <w:u w:val="single"/>
        </w:rPr>
        <w:t>@</w:t>
      </w:r>
      <w:r w:rsidRPr="006D2030">
        <w:rPr>
          <w:rFonts w:ascii="Verdana" w:hAnsi="Verdana"/>
          <w:u w:val="single"/>
        </w:rPr>
        <w:t>gmail.com</w:t>
      </w:r>
      <w:r w:rsidR="00F1607A" w:rsidRPr="006D2030">
        <w:rPr>
          <w:rFonts w:ascii="Verdana" w:hAnsi="Verdana"/>
          <w:u w:val="single"/>
        </w:rPr>
        <w:t xml:space="preserve"> </w:t>
      </w:r>
    </w:p>
    <w:p w14:paraId="7CBCA607" w14:textId="77777777" w:rsidR="00F1607A" w:rsidRPr="006D2030" w:rsidRDefault="00F1607A" w:rsidP="00F1607A">
      <w:pPr>
        <w:spacing w:after="0"/>
        <w:rPr>
          <w:rFonts w:ascii="Verdana" w:hAnsi="Verdana"/>
          <w:lang w:val="es-MX"/>
        </w:rPr>
      </w:pPr>
      <w:r w:rsidRPr="006D2030">
        <w:rPr>
          <w:rFonts w:ascii="Verdana" w:hAnsi="Verdana"/>
          <w:lang w:val="es-MX"/>
        </w:rPr>
        <w:t xml:space="preserve">Popayán, Cauca </w:t>
      </w:r>
    </w:p>
    <w:p w14:paraId="6C3A51FA" w14:textId="77777777" w:rsidR="00F1607A" w:rsidRPr="006D2030" w:rsidRDefault="00F1607A" w:rsidP="00F1607A">
      <w:pPr>
        <w:spacing w:after="0"/>
        <w:rPr>
          <w:rFonts w:ascii="Verdana" w:hAnsi="Verdana"/>
        </w:rPr>
      </w:pPr>
    </w:p>
    <w:p w14:paraId="1467DDBB" w14:textId="64FCD1CB" w:rsidR="00F1607A" w:rsidRPr="006D2030" w:rsidRDefault="00F1607A" w:rsidP="00F1607A">
      <w:pPr>
        <w:spacing w:after="0" w:line="240" w:lineRule="auto"/>
        <w:ind w:left="1418" w:firstLine="709"/>
        <w:jc w:val="both"/>
        <w:rPr>
          <w:rFonts w:ascii="Verdana" w:eastAsia="Calibri" w:hAnsi="Verdana" w:cs="Arial"/>
          <w:b/>
          <w:bCs/>
          <w:lang w:val="es-ES" w:eastAsia="es-ES"/>
        </w:rPr>
      </w:pPr>
      <w:r w:rsidRPr="006D2030">
        <w:rPr>
          <w:rFonts w:ascii="Verdana" w:hAnsi="Verdana"/>
        </w:rPr>
        <w:tab/>
        <w:t xml:space="preserve">      </w:t>
      </w:r>
      <w:r w:rsidRPr="006D2030">
        <w:rPr>
          <w:rFonts w:ascii="Verdana" w:eastAsia="Calibri" w:hAnsi="Verdana" w:cs="Arial"/>
          <w:b/>
          <w:bCs/>
          <w:lang w:val="es-ES" w:eastAsia="es-ES"/>
        </w:rPr>
        <w:t>Concepto C–</w:t>
      </w:r>
      <w:r w:rsidR="008E1324" w:rsidRPr="006D2030">
        <w:rPr>
          <w:rFonts w:ascii="Verdana" w:eastAsia="Calibri" w:hAnsi="Verdana" w:cs="Arial"/>
          <w:b/>
          <w:bCs/>
          <w:lang w:val="es-ES" w:eastAsia="es-ES"/>
        </w:rPr>
        <w:t>446</w:t>
      </w:r>
      <w:r w:rsidRPr="006D2030">
        <w:rPr>
          <w:rFonts w:ascii="Verdana" w:eastAsia="Calibri" w:hAnsi="Verdana" w:cs="Arial"/>
          <w:b/>
          <w:bCs/>
          <w:lang w:val="es-ES" w:eastAsia="es-ES"/>
        </w:rPr>
        <w:t xml:space="preserve"> de 2024</w:t>
      </w:r>
    </w:p>
    <w:p w14:paraId="6FB216CA" w14:textId="77777777" w:rsidR="00F1607A" w:rsidRPr="006D2030" w:rsidRDefault="00F1607A" w:rsidP="00F1607A">
      <w:pPr>
        <w:tabs>
          <w:tab w:val="left" w:pos="3417"/>
        </w:tabs>
        <w:spacing w:after="0"/>
        <w:rPr>
          <w:rFonts w:ascii="Verdana" w:hAnsi="Verdana"/>
        </w:rPr>
      </w:pPr>
      <w:r w:rsidRPr="006D2030">
        <w:rPr>
          <w:rFonts w:ascii="Verdana" w:hAnsi="Verdana"/>
        </w:rPr>
        <w:tab/>
      </w:r>
    </w:p>
    <w:p w14:paraId="1E2124A4" w14:textId="77777777" w:rsidR="00F1607A" w:rsidRPr="006D2030" w:rsidRDefault="00F1607A" w:rsidP="00F1607A">
      <w:pPr>
        <w:spacing w:after="0"/>
        <w:rPr>
          <w:rFonts w:ascii="Verdana" w:hAnsi="Verdana"/>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2"/>
        <w:gridCol w:w="11901"/>
      </w:tblGrid>
      <w:tr w:rsidR="00F1607A" w:rsidRPr="006D2030" w14:paraId="7DA06521" w14:textId="77777777" w:rsidTr="00371F67">
        <w:trPr>
          <w:trHeight w:val="884"/>
        </w:trPr>
        <w:tc>
          <w:tcPr>
            <w:tcW w:w="3262" w:type="dxa"/>
            <w:hideMark/>
          </w:tcPr>
          <w:p w14:paraId="788778B9" w14:textId="77777777" w:rsidR="00F1607A" w:rsidRPr="006D2030" w:rsidRDefault="00F1607A" w:rsidP="00371F67">
            <w:pPr>
              <w:jc w:val="both"/>
              <w:rPr>
                <w:rFonts w:ascii="Verdana" w:eastAsia="Calibri" w:hAnsi="Verdana" w:cs="Arial"/>
                <w:szCs w:val="24"/>
                <w:lang w:val="es-ES_tradnl" w:eastAsia="es-ES_tradnl"/>
              </w:rPr>
            </w:pPr>
            <w:r w:rsidRPr="006D2030">
              <w:rPr>
                <w:rFonts w:ascii="Verdana" w:eastAsia="Calibri" w:hAnsi="Verdana" w:cs="Arial"/>
                <w:szCs w:val="24"/>
                <w:lang w:val="es-ES_tradnl" w:eastAsia="es-ES_tradnl"/>
              </w:rPr>
              <w:t xml:space="preserve">Temas: </w:t>
            </w:r>
          </w:p>
          <w:p w14:paraId="002F468D" w14:textId="77777777" w:rsidR="00F1607A" w:rsidRPr="006D2030" w:rsidRDefault="00F1607A" w:rsidP="00371F67">
            <w:pPr>
              <w:ind w:right="-3403"/>
              <w:rPr>
                <w:rFonts w:ascii="Verdana" w:eastAsia="Calibri" w:hAnsi="Verdana" w:cs="Arial"/>
                <w:szCs w:val="24"/>
                <w:lang w:val="es-ES_tradnl" w:eastAsia="es-ES_tradnl"/>
              </w:rPr>
            </w:pPr>
          </w:p>
          <w:p w14:paraId="30B22DB8" w14:textId="77777777" w:rsidR="00F1607A" w:rsidRPr="006D2030" w:rsidRDefault="00F1607A" w:rsidP="00371F67">
            <w:pPr>
              <w:jc w:val="both"/>
              <w:rPr>
                <w:rFonts w:ascii="Verdana" w:eastAsia="Calibri" w:hAnsi="Verdana" w:cs="Arial"/>
                <w:szCs w:val="24"/>
                <w:lang w:val="es-ES_tradnl" w:eastAsia="es-ES_tradnl"/>
              </w:rPr>
            </w:pPr>
            <w:r w:rsidRPr="006D2030">
              <w:rPr>
                <w:rFonts w:ascii="Verdana" w:eastAsia="Calibri" w:hAnsi="Verdana" w:cs="Arial"/>
                <w:szCs w:val="24"/>
                <w:lang w:val="es-ES_tradnl" w:eastAsia="es-ES_tradnl"/>
              </w:rPr>
              <w:t xml:space="preserve">  </w:t>
            </w:r>
          </w:p>
          <w:p w14:paraId="3E90C2EA" w14:textId="77777777" w:rsidR="00F1607A" w:rsidRPr="006D2030" w:rsidRDefault="00F1607A" w:rsidP="00371F67">
            <w:pPr>
              <w:jc w:val="both"/>
              <w:rPr>
                <w:rFonts w:ascii="Verdana" w:eastAsia="Calibri" w:hAnsi="Verdana" w:cs="Arial"/>
                <w:szCs w:val="24"/>
                <w:lang w:val="es-ES_tradnl" w:eastAsia="es-ES_tradnl"/>
              </w:rPr>
            </w:pPr>
          </w:p>
          <w:p w14:paraId="27C1E2F6" w14:textId="77777777" w:rsidR="0072581E" w:rsidRPr="006D2030" w:rsidRDefault="0072581E" w:rsidP="00371F67">
            <w:pPr>
              <w:jc w:val="both"/>
              <w:rPr>
                <w:rFonts w:ascii="Verdana" w:eastAsia="Calibri" w:hAnsi="Verdana" w:cs="Arial"/>
                <w:szCs w:val="24"/>
                <w:lang w:val="es-ES_tradnl" w:eastAsia="es-ES_tradnl"/>
              </w:rPr>
            </w:pPr>
          </w:p>
          <w:p w14:paraId="52924F6B" w14:textId="77777777" w:rsidR="00F1607A" w:rsidRPr="006D2030" w:rsidRDefault="00F1607A" w:rsidP="00371F67">
            <w:pPr>
              <w:jc w:val="both"/>
              <w:rPr>
                <w:rFonts w:ascii="Verdana" w:eastAsia="Calibri" w:hAnsi="Verdana" w:cs="Arial"/>
                <w:szCs w:val="24"/>
                <w:lang w:val="es-ES_tradnl" w:eastAsia="es-ES_tradnl"/>
              </w:rPr>
            </w:pPr>
            <w:r w:rsidRPr="006D2030">
              <w:rPr>
                <w:rFonts w:ascii="Verdana" w:eastAsia="Calibri" w:hAnsi="Verdana" w:cs="Arial"/>
                <w:szCs w:val="24"/>
                <w:lang w:val="es-ES_tradnl" w:eastAsia="es-ES_tradnl"/>
              </w:rPr>
              <w:t>Radicación</w:t>
            </w:r>
          </w:p>
          <w:p w14:paraId="51FD8F7E" w14:textId="77777777" w:rsidR="00F1607A" w:rsidRPr="006D2030" w:rsidRDefault="00F1607A" w:rsidP="00371F67">
            <w:pPr>
              <w:jc w:val="both"/>
              <w:rPr>
                <w:rFonts w:ascii="Verdana" w:eastAsia="Calibri" w:hAnsi="Verdana" w:cs="Arial"/>
                <w:szCs w:val="24"/>
                <w:lang w:val="es-ES_tradnl" w:eastAsia="es-ES_tradnl"/>
              </w:rPr>
            </w:pPr>
            <w:r w:rsidRPr="006D2030">
              <w:rPr>
                <w:rFonts w:ascii="Verdana" w:eastAsia="Calibri" w:hAnsi="Verdana" w:cs="Arial"/>
                <w:szCs w:val="24"/>
                <w:lang w:val="es-ES_tradnl" w:eastAsia="es-ES_tradnl"/>
              </w:rPr>
              <w:t xml:space="preserve">                </w:t>
            </w:r>
          </w:p>
        </w:tc>
        <w:tc>
          <w:tcPr>
            <w:tcW w:w="11901" w:type="dxa"/>
          </w:tcPr>
          <w:p w14:paraId="6D6C21D8" w14:textId="17C7E1BE" w:rsidR="00F1607A" w:rsidRPr="006D2030" w:rsidRDefault="00DD4229" w:rsidP="00371F67">
            <w:pPr>
              <w:tabs>
                <w:tab w:val="left" w:pos="5461"/>
              </w:tabs>
              <w:spacing w:line="276" w:lineRule="auto"/>
              <w:ind w:right="6374"/>
              <w:jc w:val="both"/>
              <w:rPr>
                <w:rFonts w:ascii="Verdana" w:hAnsi="Verdana"/>
              </w:rPr>
            </w:pPr>
            <w:r w:rsidRPr="006D2030">
              <w:rPr>
                <w:rFonts w:ascii="Verdana" w:hAnsi="Verdana"/>
              </w:rPr>
              <w:t>CONTRATO DE PRESTACIÓN DE SERVICIOS</w:t>
            </w:r>
            <w:r>
              <w:rPr>
                <w:rFonts w:ascii="Verdana" w:hAnsi="Verdana"/>
              </w:rPr>
              <w:t>-</w:t>
            </w:r>
            <w:r w:rsidR="009859A1">
              <w:rPr>
                <w:rFonts w:ascii="Verdana" w:hAnsi="Verdana"/>
              </w:rPr>
              <w:t>liquidación</w:t>
            </w:r>
            <w:r w:rsidRPr="006D2030">
              <w:rPr>
                <w:rFonts w:ascii="Verdana" w:hAnsi="Verdana"/>
              </w:rPr>
              <w:t xml:space="preserve"> </w:t>
            </w:r>
            <w:r>
              <w:rPr>
                <w:rFonts w:ascii="Verdana" w:hAnsi="Verdana"/>
              </w:rPr>
              <w:t>/</w:t>
            </w:r>
            <w:r w:rsidR="0072581E" w:rsidRPr="006D2030">
              <w:rPr>
                <w:rFonts w:ascii="Verdana" w:hAnsi="Verdana"/>
              </w:rPr>
              <w:t>LIQUIDACIÓN DEL CONTRATO – Noción – Clases</w:t>
            </w:r>
          </w:p>
          <w:p w14:paraId="06D46BD7" w14:textId="77777777" w:rsidR="0072581E" w:rsidRPr="006D2030" w:rsidRDefault="0072581E" w:rsidP="00371F67">
            <w:pPr>
              <w:tabs>
                <w:tab w:val="left" w:pos="5461"/>
              </w:tabs>
              <w:spacing w:line="276" w:lineRule="auto"/>
              <w:ind w:right="6374"/>
              <w:jc w:val="both"/>
              <w:rPr>
                <w:rFonts w:ascii="Verdana" w:hAnsi="Verdana"/>
              </w:rPr>
            </w:pPr>
          </w:p>
          <w:p w14:paraId="685B5753" w14:textId="014F32D5" w:rsidR="00F1607A" w:rsidRPr="006D2030" w:rsidRDefault="00F1607A" w:rsidP="00371F67">
            <w:pPr>
              <w:tabs>
                <w:tab w:val="left" w:pos="5461"/>
              </w:tabs>
              <w:spacing w:line="276" w:lineRule="auto"/>
              <w:ind w:right="6374"/>
              <w:jc w:val="both"/>
              <w:rPr>
                <w:rFonts w:ascii="Verdana" w:hAnsi="Verdana" w:cs="Arial"/>
              </w:rPr>
            </w:pPr>
            <w:r w:rsidRPr="006D2030">
              <w:rPr>
                <w:rFonts w:ascii="Verdana" w:hAnsi="Verdana" w:cs="Arial"/>
              </w:rPr>
              <w:t xml:space="preserve">Respuesta a consulta con radicado No. </w:t>
            </w:r>
            <w:r w:rsidR="00473A9D" w:rsidRPr="006D2030">
              <w:rPr>
                <w:rFonts w:ascii="Verdana" w:hAnsi="Verdana" w:cs="Arial"/>
              </w:rPr>
              <w:t>P20240805008050</w:t>
            </w:r>
          </w:p>
          <w:p w14:paraId="1331EEBC" w14:textId="77777777" w:rsidR="00F1607A" w:rsidRPr="006D2030" w:rsidRDefault="00F1607A" w:rsidP="00371F67">
            <w:pPr>
              <w:tabs>
                <w:tab w:val="left" w:pos="5461"/>
              </w:tabs>
              <w:spacing w:line="276" w:lineRule="auto"/>
              <w:ind w:right="6374"/>
              <w:jc w:val="both"/>
              <w:rPr>
                <w:rFonts w:ascii="Verdana" w:hAnsi="Verdana"/>
              </w:rPr>
            </w:pPr>
          </w:p>
        </w:tc>
      </w:tr>
    </w:tbl>
    <w:p w14:paraId="0D54A418" w14:textId="53C7CDEE" w:rsidR="00F1607A" w:rsidRPr="006D2030" w:rsidRDefault="00F1607A" w:rsidP="00F1607A">
      <w:pPr>
        <w:spacing w:after="0"/>
        <w:rPr>
          <w:rFonts w:ascii="Verdana" w:hAnsi="Verdana"/>
        </w:rPr>
      </w:pPr>
      <w:r w:rsidRPr="006D2030">
        <w:rPr>
          <w:rFonts w:ascii="Verdana" w:eastAsia="Calibri" w:hAnsi="Verdana" w:cs="Arial"/>
          <w:lang w:val="es-ES" w:eastAsia="es-ES"/>
        </w:rPr>
        <w:t xml:space="preserve">Estimada señora </w:t>
      </w:r>
      <w:r w:rsidR="0072581E" w:rsidRPr="006D2030">
        <w:rPr>
          <w:rFonts w:ascii="Verdana" w:eastAsia="Calibri" w:hAnsi="Verdana" w:cs="Arial"/>
          <w:lang w:val="es-ES" w:eastAsia="es-ES"/>
        </w:rPr>
        <w:t>García</w:t>
      </w:r>
      <w:r w:rsidRPr="006D2030">
        <w:rPr>
          <w:rFonts w:ascii="Verdana" w:eastAsia="Calibri" w:hAnsi="Verdana" w:cs="Arial"/>
          <w:lang w:val="es-ES" w:eastAsia="es-ES"/>
        </w:rPr>
        <w:t xml:space="preserve">: </w:t>
      </w:r>
    </w:p>
    <w:bookmarkEnd w:id="0"/>
    <w:p w14:paraId="0327DF00" w14:textId="77777777" w:rsidR="00F1607A" w:rsidRPr="006D2030" w:rsidRDefault="00F1607A" w:rsidP="00F1607A">
      <w:pPr>
        <w:spacing w:after="120" w:line="276" w:lineRule="auto"/>
        <w:jc w:val="both"/>
        <w:rPr>
          <w:rFonts w:ascii="Verdana" w:eastAsia="Calibri" w:hAnsi="Verdana" w:cs="Arial"/>
          <w:lang w:val="es-ES" w:eastAsia="es-ES"/>
        </w:rPr>
      </w:pPr>
    </w:p>
    <w:p w14:paraId="2BA2B1E8" w14:textId="6C899C66" w:rsidR="00F1607A" w:rsidRPr="006D2030" w:rsidRDefault="00F1607A" w:rsidP="00F1607A">
      <w:pPr>
        <w:spacing w:after="120" w:line="276" w:lineRule="auto"/>
        <w:jc w:val="both"/>
        <w:rPr>
          <w:rFonts w:ascii="Verdana" w:eastAsia="Calibri" w:hAnsi="Verdana" w:cs="Arial"/>
          <w:lang w:val="es-ES" w:eastAsia="es-ES"/>
        </w:rPr>
      </w:pPr>
      <w:r w:rsidRPr="006D2030">
        <w:rPr>
          <w:rFonts w:ascii="Verdana" w:eastAsia="Calibri" w:hAnsi="Verdana" w:cs="Arial"/>
          <w:lang w:val="es-ES" w:eastAsia="es-ES"/>
        </w:rPr>
        <w:t>En ejercicio de la competencia otorgada por los artículos 3, numeral 5º, y 11, numeral 8º, del Decreto Ley 4170 de 2011,</w:t>
      </w:r>
      <w:r w:rsidRPr="006D2030">
        <w:rPr>
          <w:rFonts w:ascii="Verdana" w:eastAsia="Arial MT" w:hAnsi="Verdana" w:cs="Arial MT"/>
          <w:lang w:val="es-ES" w:eastAsia="es-ES"/>
        </w:rPr>
        <w:t xml:space="preserve"> </w:t>
      </w:r>
      <w:r w:rsidRPr="006D2030">
        <w:rPr>
          <w:rFonts w:ascii="Verdana" w:eastAsia="Calibri" w:hAnsi="Verdana" w:cs="Arial"/>
          <w:lang w:val="es-ES" w:eastAsia="es-ES"/>
        </w:rPr>
        <w:t>la Agencia Nacional de Contratación Pública – Colombia Compra Eficiente– responde su solicitud de</w:t>
      </w:r>
      <w:r w:rsidR="001348D8" w:rsidRPr="006D2030">
        <w:rPr>
          <w:rFonts w:ascii="Verdana" w:eastAsia="Calibri" w:hAnsi="Verdana" w:cs="Arial"/>
          <w:lang w:val="es-ES" w:eastAsia="es-ES"/>
        </w:rPr>
        <w:t>l</w:t>
      </w:r>
      <w:r w:rsidRPr="006D2030">
        <w:rPr>
          <w:rFonts w:ascii="Verdana" w:eastAsia="Calibri" w:hAnsi="Verdana" w:cs="Arial"/>
          <w:lang w:val="es-ES" w:eastAsia="es-ES"/>
        </w:rPr>
        <w:t xml:space="preserve"> </w:t>
      </w:r>
      <w:r w:rsidR="001348D8" w:rsidRPr="006D2030">
        <w:rPr>
          <w:rFonts w:ascii="Verdana" w:eastAsia="Calibri" w:hAnsi="Verdana" w:cs="Arial"/>
          <w:lang w:val="es-ES" w:eastAsia="es-ES"/>
        </w:rPr>
        <w:t>05</w:t>
      </w:r>
      <w:r w:rsidRPr="006D2030">
        <w:rPr>
          <w:rFonts w:ascii="Verdana" w:eastAsia="Calibri" w:hAnsi="Verdana" w:cs="Arial"/>
          <w:lang w:val="es-ES" w:eastAsia="es-ES"/>
        </w:rPr>
        <w:t xml:space="preserve"> de </w:t>
      </w:r>
      <w:r w:rsidR="001348D8" w:rsidRPr="006D2030">
        <w:rPr>
          <w:rFonts w:ascii="Verdana" w:eastAsia="Calibri" w:hAnsi="Verdana" w:cs="Arial"/>
          <w:lang w:val="es-ES" w:eastAsia="es-ES"/>
        </w:rPr>
        <w:t>agosto</w:t>
      </w:r>
      <w:r w:rsidRPr="006D2030">
        <w:rPr>
          <w:rFonts w:ascii="Verdana" w:eastAsia="Calibri" w:hAnsi="Verdana" w:cs="Arial"/>
          <w:lang w:val="es-ES" w:eastAsia="es-ES"/>
        </w:rPr>
        <w:t xml:space="preserve"> de 2024. En la cual manifiesta lo siguiente:</w:t>
      </w:r>
    </w:p>
    <w:p w14:paraId="621773DC" w14:textId="45848CC9" w:rsidR="00F1607A" w:rsidRPr="006D2030" w:rsidRDefault="00F1607A" w:rsidP="00F566EC">
      <w:pPr>
        <w:spacing w:after="0" w:line="240" w:lineRule="auto"/>
        <w:ind w:left="709" w:right="709"/>
        <w:jc w:val="both"/>
        <w:rPr>
          <w:rFonts w:ascii="Verdana" w:eastAsia="Calibri" w:hAnsi="Verdana" w:cs="Arial"/>
          <w:sz w:val="20"/>
          <w:szCs w:val="20"/>
          <w:lang w:val="es-ES" w:eastAsia="es-ES"/>
        </w:rPr>
      </w:pPr>
      <w:r w:rsidRPr="006D2030">
        <w:rPr>
          <w:rFonts w:ascii="Verdana" w:eastAsia="Calibri" w:hAnsi="Verdana" w:cs="Arial"/>
          <w:sz w:val="20"/>
          <w:szCs w:val="20"/>
          <w:lang w:val="es-ES" w:eastAsia="es-ES"/>
        </w:rPr>
        <w:t>“</w:t>
      </w:r>
      <w:r w:rsidR="00F566EC" w:rsidRPr="006D2030">
        <w:rPr>
          <w:rFonts w:ascii="Verdana" w:eastAsia="Calibri" w:hAnsi="Verdana" w:cs="Arial"/>
          <w:sz w:val="20"/>
          <w:szCs w:val="20"/>
          <w:lang w:eastAsia="es-ES"/>
        </w:rPr>
        <w:t>1. ¿Cuándo se genera el deber de liquidar un contrato de prestación de servicios profesionales y de apoyo a la gestión? 2. Para que un contrato de prestación de servicios profesionales y de apoyo a la gestión se genere la obligación de liquidar ¿qué requisitos deben quedar consignados en la minuta? 3. ¿Se puede pactar la liquidación de un contrato de prestación de servicios profesionales y de apoyo a la gestión únicamente a través de mutuo acuerdo? 4. ¿Qué tipo de cláusula se debe incluir en un contrato de prestación de servicios profesionales y de apoyo a la gestión para incluir la obligación de liquidar, que requisitos deben quedar consignados en la minuta? 5. Para que en un contrato de prestación de servicios profesionales y de apoyo a la gestión se genere la obligación de liquidar ¿se requiere una obligación contractual específica? ¿Qué tipo de cláusula se debe incluir en la minuta?</w:t>
      </w:r>
      <w:r w:rsidRPr="006D2030">
        <w:rPr>
          <w:rFonts w:ascii="Verdana" w:eastAsia="Calibri" w:hAnsi="Verdana" w:cs="Arial"/>
          <w:sz w:val="20"/>
          <w:szCs w:val="20"/>
          <w:lang w:val="es-ES" w:eastAsia="es-ES"/>
        </w:rPr>
        <w:t>”</w:t>
      </w:r>
      <w:r w:rsidR="004D3BB5">
        <w:rPr>
          <w:rFonts w:ascii="Verdana" w:eastAsia="Calibri" w:hAnsi="Verdana" w:cs="Arial"/>
          <w:sz w:val="20"/>
          <w:szCs w:val="20"/>
          <w:lang w:val="es-ES" w:eastAsia="es-ES"/>
        </w:rPr>
        <w:t xml:space="preserve"> </w:t>
      </w:r>
      <w:r w:rsidR="007C0443">
        <w:rPr>
          <w:rFonts w:ascii="Verdana" w:eastAsia="Calibri" w:hAnsi="Verdana" w:cs="Arial"/>
          <w:sz w:val="20"/>
          <w:szCs w:val="20"/>
          <w:lang w:val="es-ES" w:eastAsia="es-ES"/>
        </w:rPr>
        <w:t>[</w:t>
      </w:r>
      <w:r w:rsidRPr="006D2030">
        <w:rPr>
          <w:rFonts w:ascii="Verdana" w:eastAsia="Calibri" w:hAnsi="Verdana" w:cs="Arial"/>
          <w:sz w:val="20"/>
          <w:szCs w:val="20"/>
          <w:lang w:val="es-ES" w:eastAsia="es-ES"/>
        </w:rPr>
        <w:t>sic]</w:t>
      </w:r>
    </w:p>
    <w:p w14:paraId="38C4B383" w14:textId="77777777" w:rsidR="00F1607A" w:rsidRPr="006D2030" w:rsidRDefault="00F1607A" w:rsidP="00F1607A">
      <w:pPr>
        <w:spacing w:after="0" w:line="240" w:lineRule="auto"/>
        <w:ind w:left="709" w:right="709"/>
        <w:jc w:val="both"/>
        <w:rPr>
          <w:rFonts w:ascii="Verdana" w:eastAsia="Calibri" w:hAnsi="Verdana" w:cs="Arial"/>
          <w:sz w:val="20"/>
          <w:szCs w:val="20"/>
          <w:lang w:val="es-ES" w:eastAsia="es-ES"/>
        </w:rPr>
      </w:pPr>
    </w:p>
    <w:p w14:paraId="6D277457" w14:textId="77777777" w:rsidR="00F1607A" w:rsidRPr="006D2030" w:rsidRDefault="00F1607A" w:rsidP="00F1607A">
      <w:pPr>
        <w:spacing w:after="120" w:line="276" w:lineRule="auto"/>
        <w:jc w:val="both"/>
        <w:rPr>
          <w:rFonts w:ascii="Verdana" w:eastAsia="Calibri" w:hAnsi="Verdana" w:cs="Arial"/>
          <w:lang w:val="es-ES" w:eastAsia="es-ES"/>
        </w:rPr>
      </w:pPr>
      <w:r w:rsidRPr="006D2030">
        <w:rPr>
          <w:rFonts w:ascii="Verdana" w:eastAsia="Calibri" w:hAnsi="Verdana" w:cs="Arial"/>
          <w:lang w:val="es-ES_tradnl" w:eastAsia="es-ES_tradnl"/>
        </w:rPr>
        <w:lastRenderedPageBreak/>
        <w:tab/>
      </w:r>
      <w:r w:rsidRPr="006D2030">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1DA71FF3" w14:textId="77777777" w:rsidR="00F1607A" w:rsidRPr="006D2030" w:rsidRDefault="00F1607A" w:rsidP="00F1607A">
      <w:pPr>
        <w:spacing w:after="0" w:line="276" w:lineRule="auto"/>
        <w:jc w:val="both"/>
        <w:rPr>
          <w:rFonts w:ascii="Verdana" w:eastAsia="Calibri" w:hAnsi="Verdana" w:cs="Arial"/>
          <w:lang w:val="es-ES" w:eastAsia="es-ES"/>
        </w:rPr>
      </w:pPr>
      <w:r w:rsidRPr="006D2030">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F8167F3" w14:textId="77777777" w:rsidR="00F1607A" w:rsidRPr="006D2030" w:rsidRDefault="00F1607A" w:rsidP="00F1607A">
      <w:pPr>
        <w:spacing w:after="0" w:line="276" w:lineRule="auto"/>
        <w:jc w:val="both"/>
        <w:rPr>
          <w:rFonts w:ascii="Verdana" w:eastAsia="Calibri" w:hAnsi="Verdana" w:cs="Arial"/>
          <w:lang w:val="es-ES" w:eastAsia="es-ES"/>
        </w:rPr>
      </w:pPr>
    </w:p>
    <w:p w14:paraId="127D915F" w14:textId="77777777" w:rsidR="00F1607A" w:rsidRPr="006D2030" w:rsidRDefault="00F1607A" w:rsidP="00F1607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D2030">
        <w:rPr>
          <w:rFonts w:ascii="Verdana" w:eastAsia="Century Gothic" w:hAnsi="Verdana" w:cs="Century Gothic"/>
          <w:b/>
          <w:bCs/>
        </w:rPr>
        <w:t>Problema planteado:</w:t>
      </w:r>
    </w:p>
    <w:p w14:paraId="763EB6E9" w14:textId="77777777" w:rsidR="00F1607A" w:rsidRPr="006D2030" w:rsidRDefault="00F1607A" w:rsidP="00F1607A">
      <w:pPr>
        <w:spacing w:after="0" w:line="240" w:lineRule="auto"/>
        <w:jc w:val="both"/>
        <w:rPr>
          <w:rFonts w:ascii="Verdana" w:eastAsia="Century Gothic" w:hAnsi="Verdana" w:cs="Century Gothic"/>
        </w:rPr>
      </w:pPr>
    </w:p>
    <w:p w14:paraId="0998C5AC" w14:textId="7EF08B8A" w:rsidR="003E6487" w:rsidRPr="006D2030" w:rsidRDefault="00F1607A" w:rsidP="003E6487">
      <w:pPr>
        <w:spacing w:after="0" w:line="276" w:lineRule="auto"/>
        <w:jc w:val="both"/>
        <w:rPr>
          <w:rFonts w:ascii="Verdana" w:hAnsi="Verdana" w:cs="Arial"/>
        </w:rPr>
      </w:pPr>
      <w:r w:rsidRPr="006D2030">
        <w:rPr>
          <w:rFonts w:ascii="Verdana" w:eastAsia="Century Gothic" w:hAnsi="Verdana" w:cs="Century Gothic"/>
        </w:rPr>
        <w:t xml:space="preserve">De acuerdo con el contenido de su solicitud, esta Agencia resolverá los siguientes problemas jurídicos: </w:t>
      </w:r>
      <w:r w:rsidR="003E6487" w:rsidRPr="006D2030">
        <w:rPr>
          <w:rFonts w:ascii="Verdana" w:eastAsia="Century Gothic" w:hAnsi="Verdana" w:cs="Century Gothic"/>
        </w:rPr>
        <w:t xml:space="preserve">¿Se puede establecer una </w:t>
      </w:r>
      <w:proofErr w:type="spellStart"/>
      <w:r w:rsidR="003E6487" w:rsidRPr="006D2030">
        <w:rPr>
          <w:rFonts w:ascii="Verdana" w:eastAsia="Century Gothic" w:hAnsi="Verdana" w:cs="Century Gothic"/>
        </w:rPr>
        <w:t>clausula</w:t>
      </w:r>
      <w:proofErr w:type="spellEnd"/>
      <w:r w:rsidR="003E6487" w:rsidRPr="006D2030">
        <w:rPr>
          <w:rFonts w:ascii="Verdana" w:eastAsia="Century Gothic" w:hAnsi="Verdana" w:cs="Century Gothic"/>
        </w:rPr>
        <w:t xml:space="preserve"> de liquidación en un contrato de prestación de servicios? ¿Es obligatoria la liquidación en un contrato de prestación de servicios?</w:t>
      </w:r>
    </w:p>
    <w:p w14:paraId="03D2B6B1" w14:textId="77777777" w:rsidR="00F1607A" w:rsidRPr="006D2030" w:rsidRDefault="00F1607A" w:rsidP="00F1607A">
      <w:pPr>
        <w:spacing w:after="0" w:line="240" w:lineRule="auto"/>
        <w:ind w:right="709"/>
        <w:jc w:val="both"/>
        <w:rPr>
          <w:rFonts w:ascii="Verdana" w:eastAsia="Calibri" w:hAnsi="Verdana" w:cs="Arial"/>
          <w:sz w:val="20"/>
          <w:szCs w:val="20"/>
          <w:lang w:eastAsia="es-ES"/>
        </w:rPr>
      </w:pPr>
    </w:p>
    <w:p w14:paraId="45B75AB3" w14:textId="77777777" w:rsidR="00F1607A" w:rsidRPr="006D2030" w:rsidRDefault="00F1607A" w:rsidP="00F1607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D2030">
        <w:rPr>
          <w:rFonts w:ascii="Verdana" w:eastAsia="Century Gothic" w:hAnsi="Verdana" w:cs="Century Gothic"/>
          <w:b/>
          <w:bCs/>
        </w:rPr>
        <w:t>Respuesta:</w:t>
      </w:r>
    </w:p>
    <w:p w14:paraId="261F59EC" w14:textId="77777777" w:rsidR="00F1607A" w:rsidRPr="006D2030" w:rsidRDefault="00F1607A" w:rsidP="00F1607A">
      <w:pPr>
        <w:pStyle w:val="Prrafodelista"/>
        <w:tabs>
          <w:tab w:val="left" w:pos="142"/>
          <w:tab w:val="left" w:pos="284"/>
        </w:tabs>
        <w:spacing w:after="0" w:line="276" w:lineRule="auto"/>
        <w:ind w:left="0"/>
        <w:jc w:val="both"/>
        <w:rPr>
          <w:rFonts w:ascii="Verdana" w:eastAsia="Calibri" w:hAnsi="Verdana" w:cs="Arial"/>
          <w:color w:val="000000" w:themeColor="text1"/>
        </w:rPr>
      </w:pPr>
    </w:p>
    <w:p w14:paraId="3B099C5F" w14:textId="77777777" w:rsidR="005E14FC" w:rsidRPr="006D2030" w:rsidRDefault="005E14FC" w:rsidP="005E14FC">
      <w:pPr>
        <w:spacing w:after="120" w:line="276" w:lineRule="auto"/>
        <w:jc w:val="both"/>
        <w:rPr>
          <w:rFonts w:ascii="Verdana" w:eastAsia="Calibri" w:hAnsi="Verdana" w:cs="Arial"/>
          <w:lang w:val="es-ES"/>
        </w:rPr>
      </w:pPr>
      <w:r w:rsidRPr="006D2030">
        <w:rPr>
          <w:rFonts w:ascii="Verdana" w:eastAsia="Calibri" w:hAnsi="Verdana" w:cs="Arial"/>
          <w:lang w:val="es-ES"/>
        </w:rPr>
        <w:t xml:space="preserve">Para dar respuesta a su pregunta debemos mencionar que se deben liquidar todos los contratos de tracto sucesivo, entendiendo por estos los de ejecución y cumplimiento prolongados en el tiempo, así como los demás que lo requieran –que son generalmente aquellos de ejecución instantánea en los que la misma se ha extendido temporalmente. </w:t>
      </w:r>
    </w:p>
    <w:p w14:paraId="7AC0BB61" w14:textId="77777777" w:rsidR="005E14FC" w:rsidRPr="006D2030" w:rsidRDefault="005E14FC" w:rsidP="00D85A8E">
      <w:pPr>
        <w:spacing w:after="120" w:line="276" w:lineRule="auto"/>
        <w:ind w:firstLine="708"/>
        <w:jc w:val="both"/>
        <w:rPr>
          <w:rFonts w:ascii="Verdana" w:eastAsia="Calibri" w:hAnsi="Verdana" w:cs="Arial"/>
          <w:lang w:val="es-ES"/>
        </w:rPr>
      </w:pPr>
      <w:r w:rsidRPr="006D2030">
        <w:rPr>
          <w:rFonts w:ascii="Verdana" w:eastAsia="Calibri" w:hAnsi="Verdana" w:cs="Arial"/>
          <w:lang w:val="es-ES"/>
        </w:rPr>
        <w:t>Los contratos de las entidades estatales deben definir la oportunidad y forma de recibir el objeto contratado y, en cada caso, si un contrato requiere o no de liquidación, con arreglo a criterios tales como la naturaleza, objeto y plazo del contrato, así como la probabilidad de que puedan surgir diferencias durante la ejecución del contrato.</w:t>
      </w:r>
    </w:p>
    <w:p w14:paraId="4EE17465" w14:textId="2752EE40" w:rsidR="005E14FC" w:rsidRPr="006D2030" w:rsidRDefault="00CC2122" w:rsidP="00D85A8E">
      <w:pPr>
        <w:spacing w:line="276" w:lineRule="auto"/>
        <w:ind w:firstLine="708"/>
        <w:jc w:val="both"/>
        <w:rPr>
          <w:rFonts w:ascii="Verdana" w:eastAsia="Calibri" w:hAnsi="Verdana" w:cs="Arial"/>
          <w:lang w:val="es-ES"/>
        </w:rPr>
      </w:pPr>
      <w:r>
        <w:rPr>
          <w:rFonts w:ascii="Verdana" w:eastAsia="Calibri" w:hAnsi="Verdana" w:cs="Arial"/>
          <w:lang w:val="es-ES"/>
        </w:rPr>
        <w:lastRenderedPageBreak/>
        <w:t xml:space="preserve">De lo anterior, </w:t>
      </w:r>
      <w:r w:rsidR="005E14FC" w:rsidRPr="006D2030">
        <w:rPr>
          <w:rFonts w:ascii="Verdana" w:eastAsia="Calibri" w:hAnsi="Verdana" w:cs="Arial"/>
          <w:lang w:val="es-ES"/>
        </w:rPr>
        <w:t xml:space="preserve">el artículo 60 de la Ley 80 de 1993, señala que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w:t>
      </w:r>
    </w:p>
    <w:p w14:paraId="093F1460" w14:textId="29F8C56A" w:rsidR="005E14FC" w:rsidRPr="006D2030" w:rsidRDefault="005E14FC" w:rsidP="006F1E5A">
      <w:pPr>
        <w:spacing w:line="276" w:lineRule="auto"/>
        <w:ind w:firstLine="708"/>
        <w:jc w:val="both"/>
        <w:rPr>
          <w:rFonts w:ascii="Verdana" w:eastAsia="Calibri" w:hAnsi="Verdana" w:cs="Arial"/>
          <w:lang w:val="es-ES"/>
        </w:rPr>
      </w:pPr>
      <w:r w:rsidRPr="006D2030">
        <w:rPr>
          <w:rFonts w:ascii="Verdana" w:eastAsia="Calibri" w:hAnsi="Verdana" w:cs="Arial"/>
          <w:lang w:val="es-ES"/>
        </w:rPr>
        <w:t>Por otra parte, en ejercicio de la autonomía de la voluntad y de conformidad con los criterios de la naturaleza, objeto y plazo del contrato, la entidad puede definir en el pliego de condiciones o en el contrato</w:t>
      </w:r>
      <w:r w:rsidR="006F1E5A">
        <w:rPr>
          <w:rFonts w:ascii="Verdana" w:eastAsia="Calibri" w:hAnsi="Verdana" w:cs="Arial"/>
          <w:lang w:val="es-ES"/>
        </w:rPr>
        <w:t>,</w:t>
      </w:r>
      <w:r w:rsidRPr="006D2030">
        <w:rPr>
          <w:rFonts w:ascii="Verdana" w:eastAsia="Calibri" w:hAnsi="Verdana" w:cs="Arial"/>
          <w:lang w:val="es-ES"/>
        </w:rPr>
        <w:t xml:space="preserve"> el plazo para efectuar la liquidación de mutuo acuerdo</w:t>
      </w:r>
      <w:r w:rsidR="006F1E5A">
        <w:rPr>
          <w:rFonts w:ascii="Verdana" w:eastAsia="Calibri" w:hAnsi="Verdana" w:cs="Arial"/>
          <w:lang w:val="es-ES"/>
        </w:rPr>
        <w:t>, es decir, en primera medida el legislador dejo al arbitrio de las partes, la definición o determinación del plazo para la liquidación de bilateral; e</w:t>
      </w:r>
      <w:r w:rsidRPr="006D2030">
        <w:rPr>
          <w:rFonts w:ascii="Verdana" w:eastAsia="Calibri" w:hAnsi="Verdana" w:cs="Arial"/>
          <w:lang w:val="es-ES"/>
        </w:rPr>
        <w:t xml:space="preserve">n ausencia de pacto contractual, el artículo 11 de la Ley 1150 de 2007 prevé un término supletivo de 4 meses contados desde: i) el vencimiento del plazo previsto para la ejecución del contrato; </w:t>
      </w:r>
      <w:proofErr w:type="spellStart"/>
      <w:r w:rsidRPr="006D2030">
        <w:rPr>
          <w:rFonts w:ascii="Verdana" w:eastAsia="Calibri" w:hAnsi="Verdana" w:cs="Arial"/>
          <w:lang w:val="es-ES"/>
        </w:rPr>
        <w:t>ii</w:t>
      </w:r>
      <w:proofErr w:type="spellEnd"/>
      <w:r w:rsidRPr="006D2030">
        <w:rPr>
          <w:rFonts w:ascii="Verdana" w:eastAsia="Calibri" w:hAnsi="Verdana" w:cs="Arial"/>
          <w:lang w:val="es-ES"/>
        </w:rPr>
        <w:t xml:space="preserve">) la expedición del acto administrativo que ordene la terminación del contrato; o, </w:t>
      </w:r>
      <w:proofErr w:type="spellStart"/>
      <w:r w:rsidRPr="006D2030">
        <w:rPr>
          <w:rFonts w:ascii="Verdana" w:eastAsia="Calibri" w:hAnsi="Verdana" w:cs="Arial"/>
          <w:lang w:val="es-ES"/>
        </w:rPr>
        <w:t>iii</w:t>
      </w:r>
      <w:proofErr w:type="spellEnd"/>
      <w:r w:rsidRPr="006D2030">
        <w:rPr>
          <w:rFonts w:ascii="Verdana" w:eastAsia="Calibri" w:hAnsi="Verdana" w:cs="Arial"/>
          <w:lang w:val="es-ES"/>
        </w:rPr>
        <w:t xml:space="preserve">) la fecha del acuerdo que disponga la terminación del contrato. </w:t>
      </w:r>
    </w:p>
    <w:p w14:paraId="2CDF24CF" w14:textId="77777777" w:rsidR="00C65B09" w:rsidRDefault="005E14FC" w:rsidP="006F1E5A">
      <w:pPr>
        <w:spacing w:before="120" w:after="120" w:line="276" w:lineRule="auto"/>
        <w:ind w:firstLine="708"/>
        <w:jc w:val="both"/>
        <w:rPr>
          <w:rFonts w:ascii="Verdana" w:eastAsia="Calibri" w:hAnsi="Verdana" w:cs="Arial"/>
          <w:lang w:val="es-ES"/>
        </w:rPr>
      </w:pPr>
      <w:r w:rsidRPr="006D2030">
        <w:rPr>
          <w:rFonts w:ascii="Verdana" w:eastAsia="Calibri" w:hAnsi="Verdana" w:cs="Arial"/>
          <w:lang w:val="es-ES"/>
        </w:rPr>
        <w:t>En un principio, la liquidación no es obligatoria en los contratos de prestación de servicios profesionales y de apoyo a la gestión, pues de acuerdo con la naturaleza de este contrato no reviste una complejidad que implique hacer un ajuste final de cuentas, reconociendo saldos a favor para alguna de las partes</w:t>
      </w:r>
      <w:r w:rsidR="00CE6564">
        <w:rPr>
          <w:rFonts w:ascii="Verdana" w:eastAsia="Calibri" w:hAnsi="Verdana" w:cs="Arial"/>
          <w:lang w:val="es-ES"/>
        </w:rPr>
        <w:t>; s</w:t>
      </w:r>
      <w:r w:rsidRPr="006D2030">
        <w:rPr>
          <w:rFonts w:ascii="Verdana" w:eastAsia="Calibri" w:hAnsi="Verdana" w:cs="Arial"/>
          <w:lang w:val="es-ES"/>
        </w:rPr>
        <w:t xml:space="preserve">in embargo, existen casos donde estos contratos </w:t>
      </w:r>
      <w:r w:rsidR="00CE6564">
        <w:rPr>
          <w:rFonts w:ascii="Verdana" w:eastAsia="Calibri" w:hAnsi="Verdana" w:cs="Arial"/>
          <w:lang w:val="es-ES"/>
        </w:rPr>
        <w:t>pueden revestir de</w:t>
      </w:r>
      <w:r w:rsidRPr="006D2030">
        <w:rPr>
          <w:rFonts w:ascii="Verdana" w:eastAsia="Calibri" w:hAnsi="Verdana" w:cs="Arial"/>
          <w:lang w:val="es-ES"/>
        </w:rPr>
        <w:t xml:space="preserve"> una importancia y relevancia</w:t>
      </w:r>
      <w:r w:rsidR="00CE6564">
        <w:rPr>
          <w:rFonts w:ascii="Verdana" w:eastAsia="Calibri" w:hAnsi="Verdana" w:cs="Arial"/>
          <w:lang w:val="es-ES"/>
        </w:rPr>
        <w:t>,</w:t>
      </w:r>
      <w:r w:rsidRPr="006D2030">
        <w:rPr>
          <w:rFonts w:ascii="Verdana" w:eastAsia="Calibri" w:hAnsi="Verdana" w:cs="Arial"/>
          <w:lang w:val="es-ES"/>
        </w:rPr>
        <w:t xml:space="preserve"> que establezcan obligaciones que hagan difícil hacer un ajuste de cuentas con la simple cuenta de cobro, o que conlleve a discrepancia </w:t>
      </w:r>
      <w:r w:rsidR="00214E58">
        <w:rPr>
          <w:rFonts w:ascii="Verdana" w:eastAsia="Calibri" w:hAnsi="Verdana" w:cs="Arial"/>
          <w:lang w:val="es-ES"/>
        </w:rPr>
        <w:t>o</w:t>
      </w:r>
      <w:r w:rsidRPr="006D2030">
        <w:rPr>
          <w:rFonts w:ascii="Verdana" w:eastAsia="Calibri" w:hAnsi="Verdana" w:cs="Arial"/>
          <w:lang w:val="es-ES"/>
        </w:rPr>
        <w:t xml:space="preserve"> controversias, razón por la que la ley no prohíbe, por un lado, que se pacte la liquidación como cláusula accidental y, por otro, que las partes consideren necesaria la liquidación al finalizar el contrato</w:t>
      </w:r>
      <w:r w:rsidR="00C65B09">
        <w:rPr>
          <w:rFonts w:ascii="Verdana" w:eastAsia="Calibri" w:hAnsi="Verdana" w:cs="Arial"/>
          <w:lang w:val="es-ES"/>
        </w:rPr>
        <w:t>.</w:t>
      </w:r>
    </w:p>
    <w:p w14:paraId="53FD5CBF" w14:textId="573874FF" w:rsidR="005E14FC" w:rsidRPr="006D2030" w:rsidRDefault="00C65B09" w:rsidP="00C65B09">
      <w:pPr>
        <w:spacing w:before="120" w:after="120" w:line="276" w:lineRule="auto"/>
        <w:jc w:val="both"/>
        <w:rPr>
          <w:rFonts w:ascii="Verdana" w:eastAsia="Calibri" w:hAnsi="Verdana" w:cs="Arial"/>
          <w:lang w:val="es-ES"/>
        </w:rPr>
      </w:pPr>
      <w:r>
        <w:rPr>
          <w:rFonts w:ascii="Verdana" w:eastAsia="Calibri" w:hAnsi="Verdana" w:cs="Arial"/>
          <w:lang w:val="es-ES"/>
        </w:rPr>
        <w:t>R</w:t>
      </w:r>
      <w:r w:rsidR="00675586">
        <w:rPr>
          <w:rFonts w:ascii="Verdana" w:eastAsia="Calibri" w:hAnsi="Verdana" w:cs="Arial"/>
          <w:lang w:val="es-ES"/>
        </w:rPr>
        <w:t xml:space="preserve">azón por la cual, las partes pueden establecer </w:t>
      </w:r>
      <w:r>
        <w:rPr>
          <w:rFonts w:ascii="Verdana" w:eastAsia="Calibri" w:hAnsi="Verdana" w:cs="Arial"/>
          <w:lang w:val="es-ES"/>
        </w:rPr>
        <w:t xml:space="preserve">una </w:t>
      </w:r>
      <w:proofErr w:type="spellStart"/>
      <w:r>
        <w:rPr>
          <w:rFonts w:ascii="Verdana" w:eastAsia="Calibri" w:hAnsi="Verdana" w:cs="Arial"/>
          <w:lang w:val="es-ES"/>
        </w:rPr>
        <w:t>clausula</w:t>
      </w:r>
      <w:proofErr w:type="spellEnd"/>
      <w:r>
        <w:rPr>
          <w:rFonts w:ascii="Verdana" w:eastAsia="Calibri" w:hAnsi="Verdana" w:cs="Arial"/>
          <w:lang w:val="es-ES"/>
        </w:rPr>
        <w:t xml:space="preserve"> en donde se determinen modos y tiempos para realizar la respectiva liquidación en el contrato de prestación de servicios.</w:t>
      </w:r>
    </w:p>
    <w:p w14:paraId="750B7F62" w14:textId="23F2AFD8" w:rsidR="00F1607A" w:rsidRPr="006D2030" w:rsidRDefault="00F1607A" w:rsidP="005E14FC">
      <w:pPr>
        <w:pStyle w:val="Prrafodelista"/>
        <w:tabs>
          <w:tab w:val="left" w:pos="142"/>
          <w:tab w:val="left" w:pos="284"/>
        </w:tabs>
        <w:spacing w:after="0" w:line="276" w:lineRule="auto"/>
        <w:ind w:left="0"/>
        <w:jc w:val="both"/>
        <w:rPr>
          <w:rFonts w:ascii="Verdana" w:eastAsia="Calibri" w:hAnsi="Verdana" w:cs="Arial"/>
          <w:color w:val="000000" w:themeColor="text1"/>
        </w:rPr>
      </w:pPr>
      <w:r w:rsidRPr="006D2030">
        <w:rPr>
          <w:rFonts w:ascii="Verdana" w:hAnsi="Verdana" w:cs="Arial"/>
          <w:bCs/>
          <w:lang w:val="es-MX"/>
        </w:rPr>
        <w:t xml:space="preserve">  </w:t>
      </w:r>
      <w:r w:rsidRPr="006D2030">
        <w:rPr>
          <w:rFonts w:ascii="Verdana" w:eastAsia="Century Gothic" w:hAnsi="Verdana" w:cs="Century Gothic"/>
        </w:rPr>
        <w:tab/>
      </w:r>
    </w:p>
    <w:p w14:paraId="5522BFB2" w14:textId="77777777" w:rsidR="00F1607A" w:rsidRPr="006D2030" w:rsidRDefault="00F1607A" w:rsidP="00F1607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D2030">
        <w:rPr>
          <w:rFonts w:ascii="Verdana" w:eastAsia="Century Gothic" w:hAnsi="Verdana" w:cs="Century Gothic"/>
          <w:b/>
          <w:bCs/>
        </w:rPr>
        <w:t>Razones de la respuesta:</w:t>
      </w:r>
    </w:p>
    <w:p w14:paraId="327AE2B9" w14:textId="77777777" w:rsidR="006D2030" w:rsidRPr="006D2030" w:rsidRDefault="006D2030" w:rsidP="00F1607A">
      <w:pPr>
        <w:spacing w:after="0" w:line="276" w:lineRule="auto"/>
        <w:jc w:val="both"/>
        <w:rPr>
          <w:rFonts w:ascii="Verdana" w:eastAsia="Calibri" w:hAnsi="Verdana" w:cs="Arial"/>
          <w:lang w:val="es-ES"/>
        </w:rPr>
      </w:pPr>
    </w:p>
    <w:p w14:paraId="3120FB7D" w14:textId="0197AAAA" w:rsidR="00F1607A" w:rsidRPr="006D2030" w:rsidRDefault="00F1607A" w:rsidP="00F1607A">
      <w:pPr>
        <w:spacing w:after="0" w:line="276" w:lineRule="auto"/>
        <w:jc w:val="both"/>
        <w:rPr>
          <w:rFonts w:ascii="Verdana" w:eastAsia="Calibri" w:hAnsi="Verdana" w:cs="Arial"/>
          <w:lang w:val="es-ES"/>
        </w:rPr>
      </w:pPr>
      <w:r w:rsidRPr="006D2030">
        <w:rPr>
          <w:rFonts w:ascii="Verdana" w:eastAsia="Calibri" w:hAnsi="Verdana" w:cs="Arial"/>
          <w:lang w:val="es-ES"/>
        </w:rPr>
        <w:t>Lo anterior se sustenta en las siguientes consideraciones, teniendo en cuenta el esquema temático propuesto para el planteamiento de los problemas jurídicos, de la siguiente manera:</w:t>
      </w:r>
    </w:p>
    <w:p w14:paraId="5A22B028" w14:textId="77777777" w:rsidR="006D2030" w:rsidRPr="006D2030" w:rsidRDefault="006D2030" w:rsidP="00F1607A">
      <w:pPr>
        <w:spacing w:after="0" w:line="276" w:lineRule="auto"/>
        <w:jc w:val="both"/>
        <w:rPr>
          <w:rFonts w:ascii="Verdana" w:eastAsia="Calibri" w:hAnsi="Verdana" w:cs="Arial"/>
          <w:lang w:val="es-ES"/>
        </w:rPr>
      </w:pPr>
    </w:p>
    <w:p w14:paraId="24F8BDCA" w14:textId="77777777" w:rsidR="006D2030" w:rsidRPr="006D2030" w:rsidRDefault="006D2030" w:rsidP="006D2030">
      <w:pPr>
        <w:spacing w:after="120" w:line="276" w:lineRule="auto"/>
        <w:ind w:firstLine="708"/>
        <w:jc w:val="both"/>
        <w:rPr>
          <w:rFonts w:ascii="Verdana" w:eastAsia="Calibri" w:hAnsi="Verdana" w:cs="Arial"/>
          <w:lang w:val="es-ES"/>
        </w:rPr>
      </w:pPr>
      <w:r w:rsidRPr="006D2030">
        <w:rPr>
          <w:rFonts w:ascii="Verdana" w:eastAsia="Calibri" w:hAnsi="Verdana" w:cs="Arial"/>
          <w:lang w:val="es-ES"/>
        </w:rPr>
        <w:t>Lo anterior se sustenta en las siguientes consideraciones:</w:t>
      </w:r>
    </w:p>
    <w:p w14:paraId="17369800" w14:textId="73B004F7" w:rsidR="002E3B7E" w:rsidRPr="000574AF" w:rsidRDefault="005A6BD1" w:rsidP="002E3B7E">
      <w:pPr>
        <w:pStyle w:val="Prrafodelista"/>
        <w:numPr>
          <w:ilvl w:val="0"/>
          <w:numId w:val="19"/>
        </w:numPr>
        <w:spacing w:after="120" w:line="276" w:lineRule="auto"/>
        <w:ind w:left="851"/>
        <w:jc w:val="both"/>
        <w:rPr>
          <w:rFonts w:ascii="Verdana" w:hAnsi="Verdana" w:cs="Arial"/>
          <w:color w:val="000000" w:themeColor="text1"/>
        </w:rPr>
      </w:pPr>
      <w:r>
        <w:rPr>
          <w:rFonts w:ascii="Verdana" w:hAnsi="Verdana" w:cs="Arial"/>
          <w:color w:val="000000" w:themeColor="text1"/>
        </w:rPr>
        <w:lastRenderedPageBreak/>
        <w:t>Respecto</w:t>
      </w:r>
      <w:r w:rsidR="002E3B7E">
        <w:rPr>
          <w:rFonts w:ascii="Verdana" w:hAnsi="Verdana" w:cs="Arial"/>
          <w:color w:val="000000" w:themeColor="text1"/>
        </w:rPr>
        <w:t xml:space="preserve"> al</w:t>
      </w:r>
      <w:r w:rsidR="002E3B7E" w:rsidRPr="000574AF">
        <w:rPr>
          <w:rFonts w:ascii="Verdana" w:hAnsi="Verdana" w:cs="Arial"/>
          <w:color w:val="000000" w:themeColor="text1"/>
        </w:rPr>
        <w:t xml:space="preserve"> contrato de prestación de servicios</w:t>
      </w:r>
      <w:r w:rsidR="002E3B7E">
        <w:rPr>
          <w:rFonts w:ascii="Verdana" w:hAnsi="Verdana" w:cs="Arial"/>
          <w:color w:val="000000" w:themeColor="text1"/>
        </w:rPr>
        <w:t xml:space="preserve">, </w:t>
      </w:r>
      <w:r>
        <w:rPr>
          <w:rFonts w:ascii="Verdana" w:hAnsi="Verdana" w:cs="Arial"/>
          <w:color w:val="000000" w:themeColor="text1"/>
        </w:rPr>
        <w:t xml:space="preserve">se debe precisar </w:t>
      </w:r>
      <w:r w:rsidR="002E3B7E">
        <w:rPr>
          <w:rFonts w:ascii="Verdana" w:hAnsi="Verdana" w:cs="Arial"/>
          <w:color w:val="000000" w:themeColor="text1"/>
        </w:rPr>
        <w:t xml:space="preserve">que este </w:t>
      </w:r>
      <w:r w:rsidR="002E3B7E" w:rsidRPr="000574AF">
        <w:rPr>
          <w:rFonts w:ascii="Verdana" w:hAnsi="Verdana" w:cs="Arial"/>
          <w:color w:val="000000" w:themeColor="text1"/>
        </w:rPr>
        <w:t>es un contrato estatal nominado y típico que se encuentra definido en el numeral 3 del artículo 3</w:t>
      </w:r>
      <w:r w:rsidR="002E3B7E">
        <w:rPr>
          <w:rFonts w:ascii="Verdana" w:hAnsi="Verdana" w:cs="Arial"/>
          <w:color w:val="000000" w:themeColor="text1"/>
        </w:rPr>
        <w:t>2</w:t>
      </w:r>
      <w:r w:rsidR="002E3B7E" w:rsidRPr="000574AF">
        <w:rPr>
          <w:rFonts w:ascii="Verdana" w:hAnsi="Verdana" w:cs="Arial"/>
          <w:color w:val="000000" w:themeColor="text1"/>
        </w:rPr>
        <w:t xml:space="preserve"> de la Ley 80 de 1993, como aquel que: </w:t>
      </w:r>
    </w:p>
    <w:p w14:paraId="2471E3AF" w14:textId="77777777" w:rsidR="002E3B7E" w:rsidRDefault="002E3B7E" w:rsidP="002E3B7E">
      <w:pPr>
        <w:tabs>
          <w:tab w:val="left" w:pos="709"/>
        </w:tabs>
        <w:spacing w:line="276" w:lineRule="auto"/>
        <w:ind w:left="851" w:right="616"/>
        <w:jc w:val="both"/>
        <w:rPr>
          <w:rFonts w:ascii="Verdana" w:hAnsi="Verdana" w:cs="Arial"/>
          <w:color w:val="000000" w:themeColor="text1"/>
        </w:rPr>
      </w:pPr>
      <w:r w:rsidRPr="00235068">
        <w:rPr>
          <w:rFonts w:ascii="Verdana" w:hAnsi="Verdana" w:cs="Arial"/>
          <w:color w:val="000000" w:themeColor="text1"/>
          <w:sz w:val="20"/>
          <w:szCs w:val="20"/>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Fonts w:ascii="Verdana" w:hAnsi="Verdana" w:cs="Arial"/>
          <w:color w:val="000000" w:themeColor="text1"/>
        </w:rPr>
        <w:t>”</w:t>
      </w:r>
      <w:r w:rsidRPr="0037493E">
        <w:rPr>
          <w:rFonts w:ascii="Verdana" w:hAnsi="Verdana" w:cs="Arial"/>
          <w:color w:val="000000" w:themeColor="text1"/>
        </w:rPr>
        <w:t>.</w:t>
      </w:r>
    </w:p>
    <w:p w14:paraId="40388671" w14:textId="5579780A" w:rsidR="002E3B7E" w:rsidRDefault="002E3B7E" w:rsidP="002E3B7E">
      <w:pPr>
        <w:pStyle w:val="Prrafodelista"/>
        <w:numPr>
          <w:ilvl w:val="0"/>
          <w:numId w:val="19"/>
        </w:numPr>
        <w:spacing w:after="120" w:line="276" w:lineRule="auto"/>
        <w:ind w:left="851"/>
        <w:jc w:val="both"/>
        <w:rPr>
          <w:rFonts w:ascii="Verdana" w:eastAsia="Calibri" w:hAnsi="Verdana" w:cs="Arial"/>
          <w:color w:val="000000" w:themeColor="text1"/>
        </w:rPr>
      </w:pPr>
      <w:r>
        <w:rPr>
          <w:rFonts w:ascii="Verdana" w:eastAsia="Calibri" w:hAnsi="Verdana" w:cs="Arial"/>
          <w:color w:val="000000" w:themeColor="text1"/>
        </w:rPr>
        <w:t>En ese sentido</w:t>
      </w:r>
      <w:r w:rsidRPr="00263E44">
        <w:rPr>
          <w:rFonts w:ascii="Verdana" w:eastAsia="Calibri" w:hAnsi="Verdana" w:cs="Arial"/>
          <w:color w:val="000000" w:themeColor="text1"/>
        </w:rPr>
        <w:t>, el legislador dispuso que para la celebración de este contrato se debe efectuar a través de la modalidad de contratación directa</w:t>
      </w:r>
      <w:r w:rsidR="00DD4229">
        <w:rPr>
          <w:rFonts w:ascii="Verdana" w:eastAsia="Calibri" w:hAnsi="Verdana" w:cs="Arial"/>
          <w:color w:val="000000" w:themeColor="text1"/>
        </w:rPr>
        <w:t>,</w:t>
      </w:r>
      <w:r w:rsidRPr="00263E44">
        <w:rPr>
          <w:rFonts w:ascii="Verdana" w:eastAsia="Calibri" w:hAnsi="Verdana" w:cs="Arial"/>
          <w:color w:val="000000" w:themeColor="text1"/>
        </w:rPr>
        <w:t xml:space="preserve"> </w:t>
      </w:r>
      <w:r w:rsidR="00DD4229">
        <w:rPr>
          <w:rFonts w:ascii="Verdana" w:eastAsia="Calibri" w:hAnsi="Verdana" w:cs="Arial"/>
          <w:color w:val="000000" w:themeColor="text1"/>
        </w:rPr>
        <w:t>a</w:t>
      </w:r>
      <w:r w:rsidRPr="00263E44">
        <w:rPr>
          <w:rFonts w:ascii="Verdana" w:eastAsia="Calibri" w:hAnsi="Verdana" w:cs="Arial"/>
          <w:color w:val="000000" w:themeColor="text1"/>
        </w:rPr>
        <w:t>sí lo dispone el artículo 2, numeral 4º, literal h, de la Ley 1150 de 2007:</w:t>
      </w:r>
    </w:p>
    <w:p w14:paraId="2FFEE93B" w14:textId="77777777" w:rsidR="00DD4229" w:rsidRPr="00263E44" w:rsidRDefault="00DD4229" w:rsidP="00DD4229">
      <w:pPr>
        <w:pStyle w:val="Prrafodelista"/>
        <w:spacing w:after="120" w:line="276" w:lineRule="auto"/>
        <w:ind w:left="851"/>
        <w:jc w:val="both"/>
        <w:rPr>
          <w:rFonts w:ascii="Verdana" w:eastAsia="Calibri" w:hAnsi="Verdana" w:cs="Arial"/>
          <w:color w:val="000000" w:themeColor="text1"/>
        </w:rPr>
      </w:pPr>
    </w:p>
    <w:p w14:paraId="538A7D08" w14:textId="77777777" w:rsidR="002E3B7E" w:rsidRPr="00A433F1" w:rsidRDefault="002E3B7E" w:rsidP="002E3B7E">
      <w:pPr>
        <w:pStyle w:val="Prrafodelista"/>
        <w:spacing w:after="120" w:line="276" w:lineRule="auto"/>
        <w:ind w:left="851"/>
        <w:jc w:val="both"/>
        <w:rPr>
          <w:rFonts w:ascii="Verdana" w:eastAsia="Calibri" w:hAnsi="Verdana" w:cs="Arial"/>
          <w:color w:val="000000" w:themeColor="text1"/>
          <w:sz w:val="20"/>
          <w:szCs w:val="21"/>
        </w:rPr>
      </w:pPr>
      <w:r>
        <w:rPr>
          <w:rFonts w:ascii="Verdana" w:eastAsia="Calibri" w:hAnsi="Verdana" w:cs="Arial"/>
          <w:color w:val="000000" w:themeColor="text1"/>
          <w:sz w:val="21"/>
          <w:szCs w:val="21"/>
        </w:rPr>
        <w:t>“</w:t>
      </w:r>
      <w:r w:rsidRPr="00A433F1">
        <w:rPr>
          <w:rFonts w:ascii="Verdana" w:eastAsia="Calibri" w:hAnsi="Verdana" w:cs="Arial"/>
          <w:color w:val="000000" w:themeColor="text1"/>
          <w:sz w:val="20"/>
          <w:szCs w:val="21"/>
        </w:rPr>
        <w:t>La escogencia del contratista se efectuará con arreglo a las modalidades de selección de licitación pública, selección abreviada, concurso de méritos y contratación directa, con base en las siguientes reglas:</w:t>
      </w:r>
    </w:p>
    <w:p w14:paraId="02EB8FE6" w14:textId="77777777" w:rsidR="002E3B7E" w:rsidRPr="00A433F1" w:rsidRDefault="002E3B7E" w:rsidP="002E3B7E">
      <w:pPr>
        <w:pStyle w:val="Prrafodelista"/>
        <w:spacing w:after="120" w:line="276" w:lineRule="auto"/>
        <w:ind w:left="851"/>
        <w:jc w:val="both"/>
        <w:rPr>
          <w:rFonts w:ascii="Verdana" w:eastAsia="Calibri" w:hAnsi="Verdana" w:cs="Arial"/>
          <w:color w:val="000000" w:themeColor="text1"/>
          <w:sz w:val="20"/>
          <w:szCs w:val="21"/>
        </w:rPr>
      </w:pPr>
      <w:r>
        <w:rPr>
          <w:rFonts w:ascii="Verdana" w:eastAsia="Calibri" w:hAnsi="Verdana" w:cs="Arial"/>
          <w:color w:val="000000" w:themeColor="text1"/>
          <w:sz w:val="20"/>
          <w:szCs w:val="21"/>
        </w:rPr>
        <w:t>(</w:t>
      </w:r>
      <w:r w:rsidRPr="00A433F1">
        <w:rPr>
          <w:rFonts w:ascii="Verdana" w:eastAsia="Calibri" w:hAnsi="Verdana" w:cs="Arial"/>
          <w:color w:val="000000" w:themeColor="text1"/>
          <w:sz w:val="20"/>
          <w:szCs w:val="21"/>
        </w:rPr>
        <w:t>…</w:t>
      </w:r>
      <w:r>
        <w:rPr>
          <w:rFonts w:ascii="Verdana" w:eastAsia="Calibri" w:hAnsi="Verdana" w:cs="Arial"/>
          <w:color w:val="000000" w:themeColor="text1"/>
          <w:sz w:val="20"/>
          <w:szCs w:val="21"/>
        </w:rPr>
        <w:t>)</w:t>
      </w:r>
    </w:p>
    <w:p w14:paraId="21FC24ED" w14:textId="77777777" w:rsidR="002E3B7E" w:rsidRPr="00A433F1" w:rsidRDefault="002E3B7E" w:rsidP="002E3B7E">
      <w:pPr>
        <w:pStyle w:val="Prrafodelista"/>
        <w:spacing w:after="120" w:line="276" w:lineRule="auto"/>
        <w:ind w:left="851"/>
        <w:jc w:val="both"/>
        <w:rPr>
          <w:rFonts w:ascii="Verdana" w:eastAsia="Calibri" w:hAnsi="Verdana" w:cs="Arial"/>
          <w:color w:val="000000" w:themeColor="text1"/>
          <w:sz w:val="20"/>
          <w:szCs w:val="21"/>
        </w:rPr>
      </w:pPr>
      <w:r w:rsidRPr="00A433F1">
        <w:rPr>
          <w:rFonts w:ascii="Verdana" w:eastAsia="Calibri" w:hAnsi="Verdana" w:cs="Arial"/>
          <w:color w:val="000000" w:themeColor="text1"/>
          <w:sz w:val="20"/>
          <w:szCs w:val="21"/>
        </w:rPr>
        <w:t>4. Contratación directa. La modalidad de selección de contratación directa solamente procederá en los siguientes casos:</w:t>
      </w:r>
    </w:p>
    <w:p w14:paraId="61215EAE" w14:textId="77777777" w:rsidR="002E3B7E" w:rsidRPr="00A433F1" w:rsidRDefault="002E3B7E" w:rsidP="002E3B7E">
      <w:pPr>
        <w:pStyle w:val="Prrafodelista"/>
        <w:spacing w:after="120" w:line="276" w:lineRule="auto"/>
        <w:ind w:left="851"/>
        <w:jc w:val="both"/>
        <w:rPr>
          <w:rFonts w:ascii="Verdana" w:eastAsia="Calibri" w:hAnsi="Verdana" w:cs="Arial"/>
          <w:color w:val="000000" w:themeColor="text1"/>
          <w:sz w:val="20"/>
          <w:szCs w:val="21"/>
        </w:rPr>
      </w:pPr>
      <w:r>
        <w:rPr>
          <w:rFonts w:ascii="Verdana" w:eastAsia="Calibri" w:hAnsi="Verdana" w:cs="Arial"/>
          <w:color w:val="000000" w:themeColor="text1"/>
          <w:sz w:val="20"/>
          <w:szCs w:val="21"/>
        </w:rPr>
        <w:t>(</w:t>
      </w:r>
      <w:r w:rsidRPr="00A433F1">
        <w:rPr>
          <w:rFonts w:ascii="Verdana" w:eastAsia="Calibri" w:hAnsi="Verdana" w:cs="Arial"/>
          <w:color w:val="000000" w:themeColor="text1"/>
          <w:sz w:val="20"/>
          <w:szCs w:val="21"/>
        </w:rPr>
        <w:t>…</w:t>
      </w:r>
      <w:r>
        <w:rPr>
          <w:rFonts w:ascii="Verdana" w:eastAsia="Calibri" w:hAnsi="Verdana" w:cs="Arial"/>
          <w:color w:val="000000" w:themeColor="text1"/>
          <w:sz w:val="20"/>
          <w:szCs w:val="21"/>
        </w:rPr>
        <w:t>)</w:t>
      </w:r>
    </w:p>
    <w:p w14:paraId="583A2E19" w14:textId="77777777" w:rsidR="002E3B7E" w:rsidRDefault="002E3B7E" w:rsidP="002E3B7E">
      <w:pPr>
        <w:pStyle w:val="Prrafodelista"/>
        <w:spacing w:after="120" w:line="276" w:lineRule="auto"/>
        <w:ind w:left="851"/>
        <w:jc w:val="both"/>
        <w:rPr>
          <w:rFonts w:ascii="Verdana" w:eastAsia="Calibri" w:hAnsi="Verdana" w:cs="Arial"/>
          <w:color w:val="000000" w:themeColor="text1"/>
          <w:sz w:val="20"/>
          <w:szCs w:val="21"/>
        </w:rPr>
      </w:pPr>
    </w:p>
    <w:p w14:paraId="4B075CB5" w14:textId="77777777" w:rsidR="002E3B7E" w:rsidRPr="0037493E" w:rsidRDefault="002E3B7E" w:rsidP="002E3B7E">
      <w:pPr>
        <w:pStyle w:val="Prrafodelista"/>
        <w:spacing w:after="120" w:line="276" w:lineRule="auto"/>
        <w:ind w:left="851"/>
        <w:jc w:val="both"/>
        <w:rPr>
          <w:rFonts w:ascii="Verdana" w:eastAsia="Calibri" w:hAnsi="Verdana" w:cs="Arial"/>
          <w:color w:val="000000" w:themeColor="text1"/>
          <w:sz w:val="21"/>
          <w:szCs w:val="21"/>
        </w:rPr>
      </w:pPr>
      <w:r w:rsidRPr="00A433F1">
        <w:rPr>
          <w:rFonts w:ascii="Verdana" w:eastAsia="Calibri" w:hAnsi="Verdana" w:cs="Arial"/>
          <w:color w:val="000000" w:themeColor="text1"/>
          <w:sz w:val="20"/>
          <w:szCs w:val="21"/>
        </w:rPr>
        <w:t>h) Para la prestación de servicios profesionales y de apoyo a la gestión, o para la ejecución de trabajos artísticos que sólo puedan encomendarse a determinadas personas naturales</w:t>
      </w:r>
      <w:r>
        <w:rPr>
          <w:rFonts w:ascii="Verdana" w:eastAsia="Calibri" w:hAnsi="Verdana" w:cs="Arial"/>
          <w:color w:val="000000" w:themeColor="text1"/>
          <w:sz w:val="21"/>
          <w:szCs w:val="21"/>
        </w:rPr>
        <w:t>”</w:t>
      </w:r>
      <w:r w:rsidRPr="0037493E">
        <w:rPr>
          <w:rFonts w:ascii="Verdana" w:eastAsia="Calibri" w:hAnsi="Verdana" w:cs="Arial"/>
          <w:color w:val="000000" w:themeColor="text1"/>
          <w:sz w:val="21"/>
          <w:szCs w:val="21"/>
        </w:rPr>
        <w:t>.</w:t>
      </w:r>
    </w:p>
    <w:p w14:paraId="4FC3AE99" w14:textId="77777777" w:rsidR="00DE4B97" w:rsidRPr="007D5027" w:rsidRDefault="00DE4B97" w:rsidP="00DE4B97">
      <w:pPr>
        <w:ind w:firstLine="360"/>
        <w:jc w:val="both"/>
        <w:rPr>
          <w:rFonts w:ascii="Verdana" w:eastAsia="Calibri" w:hAnsi="Verdana" w:cs="Arial"/>
          <w:color w:val="000000" w:themeColor="text1"/>
        </w:rPr>
      </w:pPr>
      <w:r w:rsidRPr="007D5027">
        <w:rPr>
          <w:rFonts w:ascii="Verdana" w:hAnsi="Verdana"/>
        </w:rPr>
        <w:t>De</w:t>
      </w:r>
      <w:r w:rsidRPr="007D5027">
        <w:rPr>
          <w:rFonts w:ascii="Verdana" w:eastAsia="Calibri" w:hAnsi="Verdana" w:cs="Arial"/>
          <w:color w:val="000000" w:themeColor="text1"/>
        </w:rPr>
        <w:t xml:space="preserve"> lo anterior, resulta pertinente precisar las características del contrato de prestación de servicios profesionales, teniendo en cuenta lo establecido en el Estatuto General de Contratación de la Administración Pública-EGCAP- y en la jurisprudencia emitida por parte del Consejo de Estado, de manera particular en </w:t>
      </w:r>
      <w:r w:rsidRPr="007D5027">
        <w:rPr>
          <w:rFonts w:ascii="Verdana" w:hAnsi="Verdana" w:cs="Arial"/>
          <w:noProof/>
          <w:lang w:val="es-ES_tradnl"/>
        </w:rPr>
        <w:t>Sentencia de Unificación Jurisprudencial del 9 de septiembre de 2021</w:t>
      </w:r>
      <w:r w:rsidRPr="00956579">
        <w:rPr>
          <w:rStyle w:val="Refdenotaalpie"/>
          <w:rFonts w:ascii="Verdana" w:hAnsi="Verdana" w:cs="Arial"/>
          <w:noProof/>
          <w:lang w:val="es-ES_tradnl"/>
        </w:rPr>
        <w:footnoteReference w:id="3"/>
      </w:r>
      <w:r w:rsidRPr="007D5027">
        <w:rPr>
          <w:rFonts w:ascii="Verdana" w:hAnsi="Verdana" w:cs="Arial"/>
          <w:noProof/>
          <w:lang w:val="es-ES_tradnl"/>
        </w:rPr>
        <w:t>,</w:t>
      </w:r>
      <w:r w:rsidRPr="007D5027">
        <w:rPr>
          <w:rFonts w:ascii="Verdana" w:eastAsia="Calibri" w:hAnsi="Verdana" w:cs="Arial"/>
          <w:color w:val="000000" w:themeColor="text1"/>
        </w:rPr>
        <w:t xml:space="preserve"> del cual se puede extraer las siguientes consideraciones:  </w:t>
      </w:r>
    </w:p>
    <w:p w14:paraId="210E08D0" w14:textId="77777777" w:rsidR="00DE4B97" w:rsidRPr="00956579" w:rsidRDefault="00DE4B97" w:rsidP="00DE4B97">
      <w:pPr>
        <w:pStyle w:val="Prrafodelista"/>
        <w:numPr>
          <w:ilvl w:val="0"/>
          <w:numId w:val="20"/>
        </w:numPr>
        <w:jc w:val="both"/>
        <w:rPr>
          <w:rFonts w:ascii="Verdana" w:eastAsia="Calibri" w:hAnsi="Verdana" w:cs="Arial"/>
          <w:color w:val="000000" w:themeColor="text1"/>
        </w:rPr>
      </w:pPr>
      <w:r w:rsidRPr="00956579">
        <w:rPr>
          <w:rFonts w:ascii="Verdana" w:eastAsia="Calibri" w:hAnsi="Verdana" w:cs="Arial"/>
          <w:color w:val="000000" w:themeColor="text1"/>
        </w:rPr>
        <w:t xml:space="preserve">Su celebración debe realizarse a través de la modalidad de contratación directa, independientemente de la cuantía y del tipo de servicio, siempre que este no ingrese dentro del objeto del contrato de consultoría u cualquier otra tipología determinada en el artículo 32 de la Ley 80 de 1993 </w:t>
      </w:r>
      <w:r w:rsidRPr="00956579">
        <w:rPr>
          <w:rFonts w:ascii="Verdana" w:eastAsia="Calibri" w:hAnsi="Verdana" w:cs="Arial"/>
          <w:color w:val="000000" w:themeColor="text1"/>
        </w:rPr>
        <w:lastRenderedPageBreak/>
        <w:t>o cualquier otra tipología en virtud de la remisión a la normativa civil o comercial del artículo 13 de la misma ley.</w:t>
      </w:r>
    </w:p>
    <w:p w14:paraId="3274D640" w14:textId="77777777" w:rsidR="00DE4B97" w:rsidRPr="00956579" w:rsidRDefault="00DE4B97" w:rsidP="00DE4B97">
      <w:pPr>
        <w:pStyle w:val="Prrafodelista"/>
        <w:spacing w:after="120" w:line="276" w:lineRule="auto"/>
        <w:ind w:left="851"/>
        <w:jc w:val="both"/>
        <w:rPr>
          <w:rFonts w:ascii="Verdana" w:eastAsia="Calibri" w:hAnsi="Verdana" w:cs="Arial"/>
          <w:color w:val="000000" w:themeColor="text1"/>
        </w:rPr>
      </w:pPr>
    </w:p>
    <w:p w14:paraId="474C220D" w14:textId="77777777" w:rsidR="00DE4B97" w:rsidRPr="00956579" w:rsidRDefault="00DE4B97" w:rsidP="00DE4B97">
      <w:pPr>
        <w:pStyle w:val="Prrafodelista"/>
        <w:numPr>
          <w:ilvl w:val="0"/>
          <w:numId w:val="20"/>
        </w:numPr>
        <w:jc w:val="both"/>
        <w:rPr>
          <w:rFonts w:ascii="Verdana" w:eastAsia="Calibri" w:hAnsi="Verdana" w:cs="Arial"/>
          <w:color w:val="000000" w:themeColor="text1"/>
        </w:rPr>
      </w:pPr>
      <w:r w:rsidRPr="00956579">
        <w:rPr>
          <w:rFonts w:ascii="Verdana" w:hAnsi="Verdana"/>
        </w:rPr>
        <w:t>Se</w:t>
      </w:r>
      <w:r w:rsidRPr="00956579">
        <w:rPr>
          <w:rFonts w:ascii="Verdana" w:eastAsia="Calibri" w:hAnsi="Verdana" w:cs="Arial"/>
          <w:color w:val="000000" w:themeColor="text1"/>
          <w:lang w:val="es-CO"/>
        </w:rPr>
        <w:t xml:space="preserve"> pueden celebrar para realizar “actividades relacionadas con la administración o funcionamiento de la entidad”, es decir, que hagan parte de su giro ordinario o quehacer cotidiano.</w:t>
      </w:r>
      <w:r w:rsidRPr="00956579">
        <w:rPr>
          <w:rStyle w:val="Refdenotaalpie"/>
          <w:rFonts w:ascii="Verdana" w:eastAsia="Calibri" w:hAnsi="Verdana" w:cs="Arial"/>
          <w:color w:val="000000" w:themeColor="text1"/>
        </w:rPr>
        <w:footnoteReference w:id="4"/>
      </w:r>
    </w:p>
    <w:p w14:paraId="4EC32D88" w14:textId="77777777" w:rsidR="00DE4B97" w:rsidRPr="00956579" w:rsidRDefault="00DE4B97" w:rsidP="00DE4B97">
      <w:pPr>
        <w:pStyle w:val="Prrafodelista"/>
        <w:rPr>
          <w:rFonts w:ascii="Verdana" w:eastAsia="Calibri" w:hAnsi="Verdana" w:cs="Arial"/>
          <w:color w:val="000000" w:themeColor="text1"/>
        </w:rPr>
      </w:pPr>
    </w:p>
    <w:p w14:paraId="30B687F5" w14:textId="77777777" w:rsidR="00DE4B97" w:rsidRPr="00787133" w:rsidRDefault="00DE4B97" w:rsidP="00DE4B97">
      <w:pPr>
        <w:pStyle w:val="Prrafodelista"/>
        <w:numPr>
          <w:ilvl w:val="0"/>
          <w:numId w:val="20"/>
        </w:numPr>
        <w:jc w:val="both"/>
        <w:rPr>
          <w:rFonts w:ascii="Verdana" w:eastAsia="Calibri" w:hAnsi="Verdana" w:cs="Arial"/>
          <w:color w:val="000000" w:themeColor="text1"/>
        </w:rPr>
      </w:pPr>
      <w:r w:rsidRPr="00956579">
        <w:rPr>
          <w:rFonts w:ascii="Verdana" w:hAnsi="Verdana"/>
        </w:rPr>
        <w:t>Respecto</w:t>
      </w:r>
      <w:r w:rsidRPr="00956579">
        <w:rPr>
          <w:rFonts w:ascii="Verdana" w:hAnsi="Verdana" w:cs="Arial"/>
          <w:noProof/>
          <w:lang w:val="es-ES_tradnl"/>
        </w:rPr>
        <w:t xml:space="preserve">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w:t>
      </w:r>
      <w:r w:rsidRPr="00787133">
        <w:rPr>
          <w:rFonts w:ascii="Verdana" w:hAnsi="Verdana" w:cs="Arial"/>
          <w:noProof/>
          <w:lang w:val="es-ES_tradnl"/>
        </w:rPr>
        <w:t>”</w:t>
      </w:r>
      <w:r w:rsidRPr="00787133">
        <w:rPr>
          <w:rStyle w:val="Refdenotaalpie"/>
          <w:rFonts w:ascii="Verdana" w:hAnsi="Verdana" w:cs="Arial"/>
          <w:noProof/>
          <w:lang w:val="es-ES_tradnl"/>
        </w:rPr>
        <w:footnoteReference w:id="5"/>
      </w:r>
      <w:r w:rsidRPr="00787133">
        <w:rPr>
          <w:rFonts w:ascii="Verdana" w:hAnsi="Verdana" w:cs="Arial"/>
          <w:noProof/>
          <w:lang w:val="es-ES_tradnl"/>
        </w:rPr>
        <w:t>.</w:t>
      </w:r>
    </w:p>
    <w:p w14:paraId="658A9BC4" w14:textId="77777777" w:rsidR="00DE4B97" w:rsidRPr="00787133" w:rsidRDefault="00DE4B97" w:rsidP="00DE4B97">
      <w:pPr>
        <w:pStyle w:val="Prrafodelista"/>
        <w:rPr>
          <w:rFonts w:ascii="Verdana" w:eastAsia="Calibri" w:hAnsi="Verdana" w:cs="Arial"/>
          <w:color w:val="000000" w:themeColor="text1"/>
        </w:rPr>
      </w:pPr>
    </w:p>
    <w:p w14:paraId="11869F46" w14:textId="77777777" w:rsidR="00DE4B97" w:rsidRPr="00787133" w:rsidRDefault="00DE4B97" w:rsidP="00DE4B97">
      <w:pPr>
        <w:pStyle w:val="Prrafodelista"/>
        <w:numPr>
          <w:ilvl w:val="0"/>
          <w:numId w:val="20"/>
        </w:numPr>
        <w:jc w:val="both"/>
        <w:rPr>
          <w:rFonts w:ascii="Verdana" w:eastAsia="Calibri" w:hAnsi="Verdana" w:cs="Arial"/>
          <w:color w:val="000000" w:themeColor="text1"/>
        </w:rPr>
      </w:pPr>
      <w:r w:rsidRPr="00787133">
        <w:rPr>
          <w:rFonts w:ascii="Verdana" w:hAnsi="Verdana" w:cs="Arial"/>
          <w:noProof/>
          <w:lang w:val="es-ES_tradnl"/>
        </w:rPr>
        <w:t>Si bien se celebran para obtener la prestación personal de un servicio, se diferencian del contrato de trabajo en que quien celebra el contrato de prestación de servicios debe mantener autonomía e independencia en la ejecución de la labor, lo que implica que no debe existir subordinación ni dependencia, que es uno de los elementos constitutivos del vínculo laboral</w:t>
      </w:r>
      <w:r w:rsidRPr="00787133">
        <w:rPr>
          <w:rStyle w:val="Refdenotaalpie"/>
          <w:rFonts w:ascii="Verdana" w:hAnsi="Verdana" w:cs="Arial"/>
          <w:noProof/>
          <w:lang w:val="es-ES_tradnl"/>
        </w:rPr>
        <w:footnoteReference w:id="6"/>
      </w:r>
    </w:p>
    <w:p w14:paraId="7498F793" w14:textId="77777777" w:rsidR="00DE4B97" w:rsidRPr="00787133" w:rsidRDefault="00DE4B97" w:rsidP="00DE4B97">
      <w:pPr>
        <w:pStyle w:val="Prrafodelista"/>
        <w:rPr>
          <w:rFonts w:ascii="Verdana" w:eastAsia="Calibri" w:hAnsi="Verdana" w:cs="Arial"/>
          <w:color w:val="000000" w:themeColor="text1"/>
        </w:rPr>
      </w:pPr>
    </w:p>
    <w:p w14:paraId="2B5EB69E" w14:textId="77777777" w:rsidR="00DE4B97" w:rsidRDefault="00DE4B97" w:rsidP="00DE4B97">
      <w:pPr>
        <w:pStyle w:val="Prrafodelista"/>
        <w:numPr>
          <w:ilvl w:val="0"/>
          <w:numId w:val="20"/>
        </w:numPr>
        <w:spacing w:line="240" w:lineRule="auto"/>
        <w:jc w:val="both"/>
        <w:rPr>
          <w:rFonts w:ascii="Verdana" w:eastAsia="Calibri" w:hAnsi="Verdana" w:cs="Arial"/>
          <w:color w:val="000000" w:themeColor="text1"/>
        </w:rPr>
      </w:pPr>
      <w:r w:rsidRPr="00787133">
        <w:rPr>
          <w:rFonts w:ascii="Verdana" w:eastAsia="Calibri" w:hAnsi="Verdana" w:cs="Arial"/>
          <w:color w:val="000000" w:themeColor="text1"/>
        </w:rPr>
        <w:t>Para su celebración de manera genérica no requiere la expedición del acto administrativo de justificación de la contratación directa.</w:t>
      </w:r>
      <w:r w:rsidRPr="00787133">
        <w:rPr>
          <w:rStyle w:val="Refdenotaalpie"/>
          <w:rFonts w:ascii="Verdana" w:eastAsia="Calibri" w:hAnsi="Verdana" w:cs="Arial"/>
          <w:color w:val="000000" w:themeColor="text1"/>
        </w:rPr>
        <w:footnoteReference w:id="7"/>
      </w:r>
    </w:p>
    <w:p w14:paraId="6B909ABF" w14:textId="77777777" w:rsidR="00DE4B97" w:rsidRPr="00787133" w:rsidRDefault="00DE4B97" w:rsidP="00DE4B97">
      <w:pPr>
        <w:pStyle w:val="Prrafodelista"/>
        <w:rPr>
          <w:rFonts w:ascii="Verdana" w:eastAsia="Calibri" w:hAnsi="Verdana" w:cs="Arial"/>
          <w:color w:val="000000" w:themeColor="text1"/>
        </w:rPr>
      </w:pPr>
    </w:p>
    <w:p w14:paraId="258D78F1" w14:textId="77777777" w:rsidR="00DE4B97" w:rsidRPr="00787133" w:rsidRDefault="00DE4B97" w:rsidP="00DE4B97">
      <w:pPr>
        <w:pStyle w:val="Prrafodelista"/>
        <w:numPr>
          <w:ilvl w:val="0"/>
          <w:numId w:val="20"/>
        </w:numPr>
        <w:spacing w:line="240" w:lineRule="auto"/>
        <w:jc w:val="both"/>
        <w:rPr>
          <w:rFonts w:ascii="Verdana" w:eastAsia="Calibri" w:hAnsi="Verdana" w:cs="Arial"/>
          <w:color w:val="000000" w:themeColor="text1"/>
        </w:rPr>
      </w:pPr>
      <w:r w:rsidRPr="00787133">
        <w:rPr>
          <w:rFonts w:ascii="Verdana" w:eastAsia="Calibri" w:hAnsi="Verdana" w:cs="Arial"/>
          <w:color w:val="000000" w:themeColor="text1"/>
        </w:rPr>
        <w:t xml:space="preserve">Deben ser temporales, </w:t>
      </w:r>
      <w:r w:rsidRPr="00787133">
        <w:rPr>
          <w:rFonts w:ascii="Verdana" w:eastAsia="Calibri" w:hAnsi="Verdana" w:cs="Arial"/>
          <w:color w:val="000000" w:themeColor="text1"/>
          <w:lang w:val="es-CO"/>
        </w:rPr>
        <w:t>en atención al término estrictamente indispensable en el cual se espera que el contratista cumpla a cabalidad el objeto del contrato y las obligaciones que de él se derivan.</w:t>
      </w:r>
      <w:r w:rsidRPr="00787133">
        <w:rPr>
          <w:rStyle w:val="Refdenotaalpie"/>
          <w:rFonts w:ascii="Verdana" w:eastAsia="Calibri" w:hAnsi="Verdana" w:cs="Arial"/>
          <w:color w:val="000000" w:themeColor="text1"/>
          <w:lang w:val="es-CO"/>
        </w:rPr>
        <w:footnoteReference w:id="8"/>
      </w:r>
    </w:p>
    <w:p w14:paraId="3F656A3A" w14:textId="77777777" w:rsidR="00DE4B97" w:rsidRPr="00787133" w:rsidRDefault="00DE4B97" w:rsidP="00DE4B97">
      <w:pPr>
        <w:pStyle w:val="Prrafodelista"/>
        <w:rPr>
          <w:rFonts w:ascii="Verdana" w:eastAsia="Calibri" w:hAnsi="Verdana" w:cs="Arial"/>
          <w:color w:val="000000" w:themeColor="text1"/>
        </w:rPr>
      </w:pPr>
    </w:p>
    <w:p w14:paraId="30A90126" w14:textId="77777777" w:rsidR="00DE4B97" w:rsidRPr="00787133" w:rsidRDefault="00DE4B97" w:rsidP="00DE4B97">
      <w:pPr>
        <w:pStyle w:val="Prrafodelista"/>
        <w:numPr>
          <w:ilvl w:val="0"/>
          <w:numId w:val="20"/>
        </w:numPr>
        <w:jc w:val="both"/>
        <w:rPr>
          <w:rFonts w:ascii="Verdana" w:eastAsia="Calibri" w:hAnsi="Verdana" w:cs="Arial"/>
          <w:color w:val="000000" w:themeColor="text1"/>
        </w:rPr>
      </w:pPr>
      <w:r w:rsidRPr="00787133">
        <w:rPr>
          <w:rFonts w:ascii="Verdana" w:eastAsia="Calibri" w:hAnsi="Verdana" w:cs="Arial"/>
          <w:color w:val="000000" w:themeColor="text1"/>
        </w:rPr>
        <w:lastRenderedPageBreak/>
        <w:t>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w:t>
      </w:r>
      <w:r w:rsidRPr="00787133">
        <w:rPr>
          <w:rStyle w:val="Refdenotaalpie"/>
          <w:rFonts w:ascii="Verdana" w:eastAsia="Calibri" w:hAnsi="Verdana" w:cs="Arial"/>
          <w:color w:val="000000" w:themeColor="text1"/>
        </w:rPr>
        <w:footnoteReference w:id="9"/>
      </w:r>
    </w:p>
    <w:p w14:paraId="5E9DCC9E" w14:textId="77777777" w:rsidR="00DE4B97" w:rsidRPr="00787133" w:rsidRDefault="00DE4B97" w:rsidP="00DE4B97">
      <w:pPr>
        <w:pStyle w:val="Prrafodelista"/>
        <w:rPr>
          <w:rFonts w:ascii="Verdana" w:eastAsia="Calibri" w:hAnsi="Verdana" w:cs="Arial"/>
          <w:color w:val="000000" w:themeColor="text1"/>
        </w:rPr>
      </w:pPr>
    </w:p>
    <w:p w14:paraId="66BFC3FB" w14:textId="77777777" w:rsidR="00DE4B97" w:rsidRPr="00787133" w:rsidRDefault="00DE4B97" w:rsidP="00DE4B97">
      <w:pPr>
        <w:pStyle w:val="Prrafodelista"/>
        <w:numPr>
          <w:ilvl w:val="0"/>
          <w:numId w:val="20"/>
        </w:numPr>
        <w:jc w:val="both"/>
        <w:rPr>
          <w:rFonts w:ascii="Verdana" w:eastAsia="Calibri" w:hAnsi="Verdana" w:cs="Arial"/>
          <w:color w:val="000000" w:themeColor="text1"/>
        </w:rPr>
      </w:pPr>
      <w:r w:rsidRPr="00787133">
        <w:rPr>
          <w:rFonts w:ascii="Verdana" w:eastAsia="Calibri" w:hAnsi="Verdana" w:cs="Arial"/>
          <w:color w:val="000000" w:themeColor="text1"/>
        </w:rPr>
        <w:t>En algunos casos no es obligatoria la liquidación, pues así lo estableció el artículo 217 del Decreto 019 de 2012, que modificó el artículo 60 de la Ley 80 de 1993, refiriéndose a los contratos de prestación de servicios profesionales y de apoyo a la gestión.</w:t>
      </w:r>
    </w:p>
    <w:p w14:paraId="65CE5451" w14:textId="77777777" w:rsidR="00DE4B97" w:rsidRPr="00787133" w:rsidRDefault="00DE4B97" w:rsidP="00DE4B97">
      <w:pPr>
        <w:pStyle w:val="Prrafodelista"/>
        <w:rPr>
          <w:rFonts w:ascii="Verdana" w:eastAsia="Calibri" w:hAnsi="Verdana" w:cs="Arial"/>
          <w:color w:val="000000" w:themeColor="text1"/>
        </w:rPr>
      </w:pPr>
    </w:p>
    <w:p w14:paraId="378582FD" w14:textId="77777777" w:rsidR="00DE4B97" w:rsidRDefault="00DE4B97" w:rsidP="00DE4B97">
      <w:pPr>
        <w:pStyle w:val="Prrafodelista"/>
        <w:numPr>
          <w:ilvl w:val="0"/>
          <w:numId w:val="20"/>
        </w:numPr>
        <w:jc w:val="both"/>
        <w:rPr>
          <w:rFonts w:ascii="Verdana" w:eastAsia="Calibri" w:hAnsi="Verdana" w:cs="Arial"/>
          <w:color w:val="000000" w:themeColor="text1"/>
        </w:rPr>
      </w:pPr>
      <w:r w:rsidRPr="00787133">
        <w:rPr>
          <w:rFonts w:ascii="Verdana" w:eastAsia="Calibri" w:hAnsi="Verdana" w:cs="Arial"/>
          <w:color w:val="000000" w:themeColor="text1"/>
        </w:rPr>
        <w:t>Para su celebración no se requiere inscripción en el Registro Único de Proponentes (RUP), según lo prevé el artículo 6 de la Ley 1150 de 2007</w:t>
      </w:r>
      <w:r>
        <w:rPr>
          <w:rFonts w:ascii="Verdana" w:eastAsia="Calibri" w:hAnsi="Verdana" w:cs="Arial"/>
          <w:color w:val="000000" w:themeColor="text1"/>
        </w:rPr>
        <w:t>.</w:t>
      </w:r>
    </w:p>
    <w:p w14:paraId="17FEFC67" w14:textId="77777777" w:rsidR="00DE4B97" w:rsidRPr="008E2116" w:rsidRDefault="00DE4B97" w:rsidP="00DE4B97">
      <w:pPr>
        <w:pStyle w:val="Prrafodelista"/>
        <w:rPr>
          <w:rFonts w:ascii="Verdana" w:eastAsia="Calibri" w:hAnsi="Verdana" w:cs="Arial"/>
          <w:color w:val="000000" w:themeColor="text1"/>
        </w:rPr>
      </w:pPr>
    </w:p>
    <w:p w14:paraId="2C25C2C0" w14:textId="77777777" w:rsidR="00DE4B97" w:rsidRPr="00787133" w:rsidRDefault="00DE4B97" w:rsidP="00DE4B97">
      <w:pPr>
        <w:pStyle w:val="Prrafodelista"/>
        <w:numPr>
          <w:ilvl w:val="0"/>
          <w:numId w:val="20"/>
        </w:numPr>
        <w:jc w:val="both"/>
        <w:rPr>
          <w:rFonts w:ascii="Verdana" w:eastAsia="Calibri" w:hAnsi="Verdana" w:cs="Arial"/>
          <w:color w:val="000000" w:themeColor="text1"/>
        </w:rPr>
      </w:pPr>
      <w:r w:rsidRPr="00787133">
        <w:rPr>
          <w:rFonts w:ascii="Verdana" w:eastAsia="Calibri" w:hAnsi="Verdana" w:cs="Arial"/>
          <w:color w:val="000000" w:themeColor="text1"/>
        </w:rPr>
        <w:t>En ellos no son necesarias las garantías, lo anterior de conformidad al artículo 2.2.1.2.1.4.1 del Decreto 1082 de 2015.</w:t>
      </w:r>
    </w:p>
    <w:p w14:paraId="3FAD1698" w14:textId="77777777" w:rsidR="00DE4B97" w:rsidRPr="00787133" w:rsidRDefault="00DE4B97" w:rsidP="00DE4B97">
      <w:pPr>
        <w:pStyle w:val="Prrafodelista"/>
        <w:spacing w:after="120" w:line="276" w:lineRule="auto"/>
        <w:ind w:left="851"/>
        <w:jc w:val="both"/>
        <w:rPr>
          <w:rFonts w:ascii="Verdana" w:eastAsia="Times New Roman" w:hAnsi="Verdana" w:cs="Arial"/>
          <w:lang w:eastAsia="es-ES_tradnl"/>
        </w:rPr>
      </w:pPr>
    </w:p>
    <w:p w14:paraId="6E488CB3" w14:textId="77777777" w:rsidR="00DE4B97" w:rsidRPr="00787133" w:rsidRDefault="00DE4B97" w:rsidP="00DE4B97">
      <w:pPr>
        <w:pStyle w:val="Prrafodelista"/>
        <w:numPr>
          <w:ilvl w:val="0"/>
          <w:numId w:val="20"/>
        </w:numPr>
        <w:jc w:val="both"/>
        <w:rPr>
          <w:rFonts w:ascii="Verdana" w:eastAsia="Times New Roman" w:hAnsi="Verdana" w:cs="Arial"/>
          <w:lang w:eastAsia="es-ES_tradnl"/>
        </w:rPr>
      </w:pPr>
      <w:r w:rsidRPr="00787133">
        <w:rPr>
          <w:rFonts w:ascii="Verdana" w:hAnsi="Verdana" w:cs="Arial"/>
          <w:noProof/>
          <w:lang w:val="es-ES_tradnl"/>
        </w:rPr>
        <w:t>Como los demás contratos estatales, se trata de un contrato solemne que debe constar por escrito y debe ser publicado en el SECOP.</w:t>
      </w:r>
    </w:p>
    <w:p w14:paraId="6485DC0D" w14:textId="6F8BB56F" w:rsidR="002E3B7E" w:rsidRDefault="002E3B7E" w:rsidP="005A6BD1">
      <w:pPr>
        <w:pStyle w:val="Prrafodelista"/>
        <w:spacing w:after="120" w:line="276" w:lineRule="auto"/>
        <w:ind w:left="851"/>
        <w:jc w:val="both"/>
        <w:rPr>
          <w:rFonts w:ascii="Verdana" w:eastAsia="Calibri" w:hAnsi="Verdana" w:cs="Arial"/>
          <w:color w:val="000000" w:themeColor="text1"/>
        </w:rPr>
      </w:pPr>
    </w:p>
    <w:p w14:paraId="171EAC35" w14:textId="4A76750A" w:rsidR="00DE4B97" w:rsidRPr="005777EE" w:rsidRDefault="00DE4B97" w:rsidP="006D2030">
      <w:pPr>
        <w:pStyle w:val="Prrafodelista"/>
        <w:numPr>
          <w:ilvl w:val="0"/>
          <w:numId w:val="18"/>
        </w:numPr>
        <w:spacing w:line="276" w:lineRule="auto"/>
        <w:jc w:val="both"/>
        <w:rPr>
          <w:rFonts w:ascii="Verdana" w:eastAsia="Calibri" w:hAnsi="Verdana" w:cs="Arial"/>
        </w:rPr>
      </w:pPr>
      <w:r>
        <w:rPr>
          <w:rFonts w:ascii="Verdana" w:eastAsia="Calibri" w:hAnsi="Verdana"/>
        </w:rPr>
        <w:t xml:space="preserve">Ahora bien, </w:t>
      </w:r>
      <w:r w:rsidR="005777EE">
        <w:rPr>
          <w:rFonts w:ascii="Verdana" w:eastAsia="Calibri" w:hAnsi="Verdana"/>
        </w:rPr>
        <w:t xml:space="preserve">como una de las características del contrato de prestación de servicios, se encuentra la no obligatoriedad de liquidación, es preciso hacer referencia a esta figura contractual, a fin de revisar las características establecidas en el EGCAP. </w:t>
      </w:r>
    </w:p>
    <w:p w14:paraId="24A2D160" w14:textId="77777777" w:rsidR="006D2030" w:rsidRPr="005777EE" w:rsidRDefault="006D2030" w:rsidP="005777EE">
      <w:pPr>
        <w:pStyle w:val="Prrafodelista"/>
        <w:spacing w:line="276" w:lineRule="auto"/>
        <w:jc w:val="both"/>
        <w:rPr>
          <w:rFonts w:ascii="Verdana" w:eastAsia="Calibri" w:hAnsi="Verdana" w:cs="Arial"/>
        </w:rPr>
      </w:pPr>
    </w:p>
    <w:p w14:paraId="0C74584C" w14:textId="05C2FE4F" w:rsidR="006D2030" w:rsidRPr="006D2030" w:rsidRDefault="006D2030" w:rsidP="006D2030">
      <w:pPr>
        <w:pStyle w:val="Prrafodelista"/>
        <w:numPr>
          <w:ilvl w:val="0"/>
          <w:numId w:val="18"/>
        </w:numPr>
        <w:spacing w:line="276" w:lineRule="auto"/>
        <w:jc w:val="both"/>
        <w:rPr>
          <w:rFonts w:ascii="Verdana" w:eastAsia="Calibri" w:hAnsi="Verdana" w:cs="Arial"/>
        </w:rPr>
      </w:pPr>
      <w:r w:rsidRPr="006D2030">
        <w:rPr>
          <w:rFonts w:ascii="Verdana" w:eastAsia="Calibri" w:hAnsi="Verdana"/>
        </w:rPr>
        <w:t>Sobre el particular</w:t>
      </w:r>
      <w:r w:rsidRPr="006D2030">
        <w:rPr>
          <w:rFonts w:ascii="Verdana" w:eastAsia="Calibri" w:hAnsi="Verdana" w:cs="Arial"/>
        </w:rPr>
        <w:t xml:space="preserve"> cabe mencionar que la liquidación es el momento en el cual, una vez concluido el contrato estatal, las partes cruzan cuentas respecto de sus obligaciones, por tanto, su objetivo es determinar si pueden declararse a paz y salvo mutuo o si, por el contrario, existen obligaciones por cumplir, para acordar la forma en que deben ser cumplidas</w:t>
      </w:r>
      <w:r w:rsidRPr="00F12B9E">
        <w:rPr>
          <w:rStyle w:val="Refdenotaalpie"/>
          <w:rFonts w:ascii="Verdana" w:eastAsia="Calibri" w:hAnsi="Verdana" w:cs="Arial"/>
        </w:rPr>
        <w:footnoteReference w:id="10"/>
      </w:r>
      <w:r w:rsidRPr="00F12B9E">
        <w:rPr>
          <w:rFonts w:ascii="Verdana" w:eastAsia="Calibri" w:hAnsi="Verdana" w:cs="Arial"/>
          <w:sz w:val="12"/>
          <w:szCs w:val="12"/>
        </w:rPr>
        <w:t>.</w:t>
      </w:r>
      <w:r w:rsidRPr="006D2030">
        <w:rPr>
          <w:rFonts w:ascii="Verdana" w:eastAsia="Calibri" w:hAnsi="Verdana" w:cs="Arial"/>
        </w:rPr>
        <w:t xml:space="preserve"> En armonía con lo anterior, la doctrina ha definido la liquidación de la siguiente manera: </w:t>
      </w:r>
    </w:p>
    <w:p w14:paraId="620A2568" w14:textId="47E17BB1" w:rsidR="006D2030" w:rsidRPr="006D2030" w:rsidRDefault="006D2030" w:rsidP="00214E0E">
      <w:pPr>
        <w:spacing w:line="240" w:lineRule="auto"/>
        <w:ind w:left="709" w:right="758"/>
        <w:jc w:val="both"/>
        <w:rPr>
          <w:rFonts w:ascii="Verdana" w:eastAsia="Calibri" w:hAnsi="Verdana" w:cs="Arial"/>
          <w:lang w:val="es-ES"/>
        </w:rPr>
      </w:pPr>
      <w:r w:rsidRPr="00214E0E">
        <w:rPr>
          <w:rFonts w:ascii="Verdana" w:eastAsia="Calibri" w:hAnsi="Verdana" w:cs="Arial"/>
          <w:sz w:val="20"/>
          <w:szCs w:val="20"/>
          <w:lang w:val="es-ES"/>
        </w:rPr>
        <w:lastRenderedPageBreak/>
        <w:t>“</w:t>
      </w:r>
      <w:r w:rsidR="00214E0E" w:rsidRPr="00214E0E">
        <w:rPr>
          <w:rFonts w:ascii="Verdana" w:eastAsia="Calibri" w:hAnsi="Verdana" w:cs="Arial"/>
          <w:sz w:val="20"/>
          <w:szCs w:val="20"/>
          <w:lang w:val="es-ES"/>
        </w:rPr>
        <w:t>(</w:t>
      </w:r>
      <w:r w:rsidRPr="00214E0E">
        <w:rPr>
          <w:rFonts w:ascii="Verdana" w:eastAsia="Calibri" w:hAnsi="Verdana" w:cs="Arial"/>
          <w:sz w:val="20"/>
          <w:szCs w:val="20"/>
          <w:lang w:val="es-ES"/>
        </w:rPr>
        <w:t>…</w:t>
      </w:r>
      <w:r w:rsidR="00214E0E" w:rsidRPr="00214E0E">
        <w:rPr>
          <w:rFonts w:ascii="Verdana" w:eastAsia="Calibri" w:hAnsi="Verdana" w:cs="Arial"/>
          <w:sz w:val="20"/>
          <w:szCs w:val="20"/>
          <w:lang w:val="es-ES"/>
        </w:rPr>
        <w:t>)</w:t>
      </w:r>
      <w:r w:rsidRPr="00214E0E">
        <w:rPr>
          <w:rFonts w:ascii="Verdana" w:eastAsia="Calibri" w:hAnsi="Verdana" w:cs="Arial"/>
          <w:sz w:val="20"/>
          <w:szCs w:val="20"/>
          <w:lang w:val="es-ES"/>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w:t>
      </w:r>
      <w:proofErr w:type="spellStart"/>
      <w:r w:rsidRPr="00214E0E">
        <w:rPr>
          <w:rFonts w:ascii="Verdana" w:eastAsia="Calibri" w:hAnsi="Verdana" w:cs="Arial"/>
          <w:sz w:val="20"/>
          <w:szCs w:val="20"/>
          <w:lang w:val="es-ES"/>
        </w:rPr>
        <w:t>ii</w:t>
      </w:r>
      <w:proofErr w:type="spellEnd"/>
      <w:r w:rsidRPr="00214E0E">
        <w:rPr>
          <w:rFonts w:ascii="Verdana" w:eastAsia="Calibri" w:hAnsi="Verdana" w:cs="Arial"/>
          <w:sz w:val="20"/>
          <w:szCs w:val="20"/>
          <w:lang w:val="es-ES"/>
        </w:rPr>
        <w:t>) definir la situación jurídica de las partes, estableciendo si pueden constituirse o no a paz y salvo; lo que exige, en la práctica, que los negociantes dialoguen e intenten ponerse de acuerdo (aspecto subjetivo)</w:t>
      </w:r>
      <w:r w:rsidRPr="00F12B9E">
        <w:rPr>
          <w:rStyle w:val="Refdenotaalpie"/>
        </w:rPr>
        <w:footnoteReference w:id="11"/>
      </w:r>
      <w:r w:rsidRPr="006D2030">
        <w:rPr>
          <w:rFonts w:ascii="Verdana" w:eastAsia="Calibri" w:hAnsi="Verdana" w:cs="Arial"/>
          <w:lang w:val="es-ES"/>
        </w:rPr>
        <w:t xml:space="preserve">.” </w:t>
      </w:r>
      <w:r w:rsidRPr="006D2030">
        <w:rPr>
          <w:rFonts w:ascii="Verdana" w:eastAsia="Calibri" w:hAnsi="Verdana" w:cs="Arial"/>
          <w:lang w:val="es-ES"/>
        </w:rPr>
        <w:tab/>
      </w:r>
    </w:p>
    <w:p w14:paraId="41434E07" w14:textId="47C4260F" w:rsidR="006D2030" w:rsidRDefault="006D2030" w:rsidP="008F32BA">
      <w:pPr>
        <w:pStyle w:val="Prrafodelista"/>
        <w:numPr>
          <w:ilvl w:val="0"/>
          <w:numId w:val="18"/>
        </w:numPr>
        <w:spacing w:line="276" w:lineRule="auto"/>
        <w:jc w:val="both"/>
        <w:rPr>
          <w:rFonts w:ascii="Verdana" w:eastAsia="Calibri" w:hAnsi="Verdana" w:cs="Arial"/>
        </w:rPr>
      </w:pPr>
      <w:r w:rsidRPr="00214E0E">
        <w:rPr>
          <w:rFonts w:ascii="Verdana" w:eastAsia="Calibri" w:hAnsi="Verdana" w:cs="Arial"/>
        </w:rPr>
        <w:t>En línea con lo anterior, según la jurisprudencia, la liquidación es el ajuste de cuentas donde las partes hacen un balance económico, técnico y jurídico del cumplimiento de las obligaciones que tienen a su cargo</w:t>
      </w:r>
      <w:r w:rsidR="00214E0E" w:rsidRPr="00214E0E">
        <w:rPr>
          <w:rFonts w:ascii="Verdana" w:eastAsia="Calibri" w:hAnsi="Verdana" w:cs="Arial"/>
        </w:rPr>
        <w:t>;</w:t>
      </w:r>
      <w:r w:rsidRPr="00214E0E">
        <w:rPr>
          <w:rFonts w:ascii="Verdana" w:eastAsia="Calibri" w:hAnsi="Verdana" w:cs="Arial"/>
        </w:rPr>
        <w:t xml:space="preserve"> </w:t>
      </w:r>
      <w:r w:rsidR="00214E0E" w:rsidRPr="00214E0E">
        <w:rPr>
          <w:rFonts w:ascii="Verdana" w:eastAsia="Calibri" w:hAnsi="Verdana" w:cs="Arial"/>
        </w:rPr>
        <w:t>a</w:t>
      </w:r>
      <w:r w:rsidRPr="00214E0E">
        <w:rPr>
          <w:rFonts w:ascii="Verdana" w:eastAsia="Calibri" w:hAnsi="Verdana" w:cs="Arial"/>
        </w:rPr>
        <w:t>sí lo manifestó el Consejo de Estado en la sentencia del 20 de octubre de 2014, en la que consideró, por un lado, que liquidar supone un ajuste en relación con las cuentas y el estado de cumplimiento del contrato estatal y, por el otro, que la liquidación debe incluir el análisis de las condiciones de calidad y oportunidad en la entrega de los bienes, obras o servicios, así como el balance económico y el acompañamiento financiero del negocio</w:t>
      </w:r>
      <w:r w:rsidRPr="00DA492F">
        <w:rPr>
          <w:rStyle w:val="Refdenotaalpie"/>
          <w:rFonts w:asciiTheme="minorHAnsi" w:hAnsiTheme="minorHAnsi"/>
          <w:lang w:val="es-CO"/>
        </w:rPr>
        <w:footnoteReference w:id="12"/>
      </w:r>
      <w:r w:rsidRPr="00DA492F">
        <w:rPr>
          <w:rFonts w:ascii="Verdana" w:eastAsia="Calibri" w:hAnsi="Verdana" w:cs="Arial"/>
        </w:rPr>
        <w:t>.</w:t>
      </w:r>
    </w:p>
    <w:p w14:paraId="2FA79B93" w14:textId="77777777" w:rsidR="00214E0E" w:rsidRPr="00214E0E" w:rsidRDefault="00214E0E" w:rsidP="00214E0E">
      <w:pPr>
        <w:pStyle w:val="Prrafodelista"/>
        <w:spacing w:line="276" w:lineRule="auto"/>
        <w:jc w:val="both"/>
        <w:rPr>
          <w:rFonts w:ascii="Verdana" w:eastAsia="Calibri" w:hAnsi="Verdana" w:cs="Arial"/>
        </w:rPr>
      </w:pPr>
    </w:p>
    <w:p w14:paraId="4E152AEC" w14:textId="77777777" w:rsidR="006D2030" w:rsidRPr="006D2030" w:rsidRDefault="006D2030" w:rsidP="006D2030">
      <w:pPr>
        <w:pStyle w:val="Prrafodelista"/>
        <w:numPr>
          <w:ilvl w:val="0"/>
          <w:numId w:val="18"/>
        </w:numPr>
        <w:spacing w:before="120" w:line="276" w:lineRule="auto"/>
        <w:jc w:val="both"/>
        <w:rPr>
          <w:rFonts w:ascii="Verdana" w:eastAsia="Calibri" w:hAnsi="Verdana" w:cs="Arial"/>
        </w:rPr>
      </w:pPr>
      <w:r w:rsidRPr="006D2030">
        <w:rPr>
          <w:rFonts w:ascii="Verdana" w:eastAsia="Calibri" w:hAnsi="Verdana" w:cs="Arial"/>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 </w:t>
      </w:r>
    </w:p>
    <w:p w14:paraId="1D1C8B69" w14:textId="77777777" w:rsidR="006D2030" w:rsidRPr="006D2030" w:rsidRDefault="006D2030" w:rsidP="006D2030">
      <w:pPr>
        <w:pStyle w:val="Prrafodelista"/>
        <w:rPr>
          <w:rFonts w:ascii="Verdana" w:eastAsia="Calibri" w:hAnsi="Verdana" w:cs="Arial"/>
        </w:rPr>
      </w:pPr>
    </w:p>
    <w:p w14:paraId="6B1CEF4B" w14:textId="52E18522" w:rsidR="006D2030" w:rsidRPr="006D2030" w:rsidRDefault="006D2030" w:rsidP="006D2030">
      <w:pPr>
        <w:pStyle w:val="Prrafodelista"/>
        <w:spacing w:before="120" w:line="276" w:lineRule="auto"/>
        <w:jc w:val="both"/>
        <w:rPr>
          <w:rFonts w:ascii="Verdana" w:eastAsia="Calibri" w:hAnsi="Verdana" w:cs="Arial"/>
        </w:rPr>
      </w:pPr>
      <w:r w:rsidRPr="006D2030">
        <w:rPr>
          <w:rFonts w:ascii="Verdana" w:eastAsia="Calibri" w:hAnsi="Verdana" w:cs="Arial"/>
        </w:rPr>
        <w:t>“</w:t>
      </w:r>
      <w:r w:rsidRPr="004656F6">
        <w:rPr>
          <w:rFonts w:ascii="Verdana" w:eastAsia="Calibri" w:hAnsi="Verdana" w:cs="Arial"/>
          <w:sz w:val="20"/>
        </w:rPr>
        <w:t xml:space="preserve">La ley 80 de 1993 </w:t>
      </w:r>
      <w:r w:rsidR="00214E0E" w:rsidRPr="004656F6">
        <w:rPr>
          <w:rFonts w:ascii="Verdana" w:eastAsia="Calibri" w:hAnsi="Verdana" w:cs="Arial"/>
          <w:sz w:val="20"/>
        </w:rPr>
        <w:t>(</w:t>
      </w:r>
      <w:r w:rsidRPr="004656F6">
        <w:rPr>
          <w:rFonts w:ascii="Verdana" w:eastAsia="Calibri" w:hAnsi="Verdana" w:cs="Arial"/>
          <w:sz w:val="20"/>
        </w:rPr>
        <w:t>…</w:t>
      </w:r>
      <w:r w:rsidR="00214E0E" w:rsidRPr="004656F6">
        <w:rPr>
          <w:rFonts w:ascii="Verdana" w:eastAsia="Calibri" w:hAnsi="Verdana" w:cs="Arial"/>
          <w:sz w:val="20"/>
        </w:rPr>
        <w:t>)</w:t>
      </w:r>
      <w:r w:rsidRPr="004656F6">
        <w:rPr>
          <w:rFonts w:ascii="Verdana" w:eastAsia="Calibri" w:hAnsi="Verdana" w:cs="Arial"/>
          <w:sz w:val="20"/>
        </w:rPr>
        <w:t xml:space="preserve">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F12B9E">
        <w:rPr>
          <w:rStyle w:val="Refdenotaalpie"/>
          <w:rFonts w:asciiTheme="minorHAnsi" w:hAnsiTheme="minorHAnsi"/>
          <w:lang w:val="es-CO"/>
        </w:rPr>
        <w:footnoteReference w:id="13"/>
      </w:r>
      <w:r w:rsidRPr="00F12B9E">
        <w:rPr>
          <w:rStyle w:val="Refdenotaalpie"/>
          <w:rFonts w:asciiTheme="minorHAnsi" w:hAnsiTheme="minorHAnsi"/>
          <w:lang w:val="es-CO"/>
        </w:rPr>
        <w:t>.</w:t>
      </w:r>
      <w:r w:rsidRPr="006D2030">
        <w:rPr>
          <w:rFonts w:ascii="Verdana" w:eastAsia="Calibri" w:hAnsi="Verdana" w:cs="Arial"/>
        </w:rPr>
        <w:t>”</w:t>
      </w:r>
    </w:p>
    <w:p w14:paraId="5014FA45" w14:textId="77777777" w:rsidR="006D2030" w:rsidRPr="006D2030" w:rsidRDefault="006D2030" w:rsidP="006D2030">
      <w:pPr>
        <w:pStyle w:val="Prrafodelista"/>
        <w:spacing w:before="120" w:line="276" w:lineRule="auto"/>
        <w:jc w:val="both"/>
        <w:rPr>
          <w:rFonts w:ascii="Verdana" w:eastAsia="Calibri" w:hAnsi="Verdana" w:cs="Arial"/>
        </w:rPr>
      </w:pPr>
    </w:p>
    <w:p w14:paraId="6C4313B7" w14:textId="77777777" w:rsidR="006D2030" w:rsidRPr="006D2030" w:rsidRDefault="006D2030" w:rsidP="006D2030">
      <w:pPr>
        <w:pStyle w:val="Prrafodelista"/>
        <w:numPr>
          <w:ilvl w:val="0"/>
          <w:numId w:val="18"/>
        </w:numPr>
        <w:spacing w:line="276" w:lineRule="auto"/>
        <w:jc w:val="both"/>
        <w:rPr>
          <w:rFonts w:ascii="Verdana" w:eastAsia="Calibri" w:hAnsi="Verdana" w:cs="Arial"/>
        </w:rPr>
      </w:pPr>
      <w:r w:rsidRPr="006D2030">
        <w:rPr>
          <w:rFonts w:ascii="Verdana" w:eastAsia="Calibri" w:hAnsi="Verdana" w:cs="Arial"/>
        </w:rPr>
        <w:t xml:space="preserve">Así las cosas,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w:t>
      </w:r>
    </w:p>
    <w:p w14:paraId="64584C90" w14:textId="77777777" w:rsidR="006D2030" w:rsidRPr="006D2030" w:rsidRDefault="006D2030" w:rsidP="006D2030">
      <w:pPr>
        <w:pStyle w:val="Prrafodelista"/>
        <w:spacing w:line="276" w:lineRule="auto"/>
        <w:jc w:val="both"/>
        <w:rPr>
          <w:rFonts w:ascii="Verdana" w:eastAsia="Calibri" w:hAnsi="Verdana" w:cs="Arial"/>
        </w:rPr>
      </w:pPr>
    </w:p>
    <w:p w14:paraId="2A7E1E89" w14:textId="18BA834B" w:rsidR="006D2030" w:rsidRPr="006D2030" w:rsidRDefault="006D2030" w:rsidP="006D2030">
      <w:pPr>
        <w:pStyle w:val="Prrafodelista"/>
        <w:numPr>
          <w:ilvl w:val="0"/>
          <w:numId w:val="18"/>
        </w:numPr>
        <w:spacing w:line="276" w:lineRule="auto"/>
        <w:jc w:val="both"/>
        <w:rPr>
          <w:rFonts w:ascii="Verdana" w:eastAsia="Calibri" w:hAnsi="Verdana" w:cs="Arial"/>
        </w:rPr>
      </w:pPr>
      <w:r w:rsidRPr="006D2030">
        <w:rPr>
          <w:rFonts w:ascii="Verdana" w:eastAsia="Calibri" w:hAnsi="Verdana" w:cs="Arial"/>
        </w:rPr>
        <w:t xml:space="preserve">Adicionalmente, en los contratos las entidades estatales deben definir la oportunidad y forma de recibir el objeto contratado y, en cada caso, si un contrato requiere o no de liquidación, con arreglo a criterios tales como la naturaleza, </w:t>
      </w:r>
      <w:r w:rsidR="007C31F0">
        <w:rPr>
          <w:rFonts w:ascii="Verdana" w:eastAsia="Calibri" w:hAnsi="Verdana" w:cs="Arial"/>
        </w:rPr>
        <w:t xml:space="preserve">complejidad, </w:t>
      </w:r>
      <w:r w:rsidRPr="006D2030">
        <w:rPr>
          <w:rFonts w:ascii="Verdana" w:eastAsia="Calibri" w:hAnsi="Verdana" w:cs="Arial"/>
        </w:rPr>
        <w:t>objeto y plazo del contrato</w:t>
      </w:r>
      <w:r w:rsidRPr="00F12B9E">
        <w:rPr>
          <w:rStyle w:val="Refdenotaalpie"/>
          <w:rFonts w:asciiTheme="minorHAnsi" w:hAnsiTheme="minorHAnsi"/>
          <w:lang w:val="es-CO"/>
        </w:rPr>
        <w:footnoteReference w:id="14"/>
      </w:r>
      <w:r w:rsidRPr="00F12B9E">
        <w:rPr>
          <w:rStyle w:val="Refdenotaalpie"/>
          <w:rFonts w:asciiTheme="minorHAnsi" w:hAnsiTheme="minorHAnsi"/>
          <w:lang w:val="es-CO"/>
        </w:rPr>
        <w:t>,</w:t>
      </w:r>
      <w:r w:rsidRPr="006D2030">
        <w:rPr>
          <w:rFonts w:ascii="Verdana" w:eastAsia="Calibri" w:hAnsi="Verdana" w:cs="Arial"/>
        </w:rPr>
        <w:t xml:space="preserve"> así como la probabilidad de que puedan surgir diferencias durante la ejecución del contrato; sin perjuicio de que, como se indicó, todos los contratos estatales de tracto sucesivo o aquellos cuya ejecución se prolongue en el </w:t>
      </w:r>
      <w:r w:rsidRPr="006D2030">
        <w:rPr>
          <w:rFonts w:ascii="Verdana" w:eastAsia="Calibri" w:hAnsi="Verdana" w:cs="Arial"/>
        </w:rPr>
        <w:lastRenderedPageBreak/>
        <w:t>tiempo siempre deban liquidarse, convirtiéndose en estos contratos en una cláusula de la naturaleza, conforme a la clasificación prevista en el Código Civil.</w:t>
      </w:r>
    </w:p>
    <w:p w14:paraId="436628AA" w14:textId="77777777" w:rsidR="006D2030" w:rsidRPr="006D2030" w:rsidRDefault="006D2030" w:rsidP="006D2030">
      <w:pPr>
        <w:pStyle w:val="Prrafodelista"/>
        <w:rPr>
          <w:rFonts w:ascii="Verdana" w:eastAsia="Calibri" w:hAnsi="Verdana" w:cs="Arial"/>
        </w:rPr>
      </w:pPr>
    </w:p>
    <w:p w14:paraId="4132D2C1" w14:textId="66BBFE13" w:rsidR="006D2030" w:rsidRPr="006D2030" w:rsidRDefault="006D2030" w:rsidP="006D2030">
      <w:pPr>
        <w:pStyle w:val="Prrafodelista"/>
        <w:numPr>
          <w:ilvl w:val="0"/>
          <w:numId w:val="18"/>
        </w:numPr>
        <w:spacing w:line="276" w:lineRule="auto"/>
        <w:jc w:val="both"/>
        <w:rPr>
          <w:rFonts w:ascii="Verdana" w:eastAsia="Calibri" w:hAnsi="Verdana" w:cs="Arial"/>
        </w:rPr>
      </w:pPr>
      <w:r w:rsidRPr="006D2030">
        <w:rPr>
          <w:rFonts w:ascii="Verdana" w:eastAsia="Calibri" w:hAnsi="Verdana" w:cs="Arial"/>
        </w:rPr>
        <w:t>El artículo 11 de la Ley 1150 de 2007</w:t>
      </w:r>
      <w:r w:rsidRPr="00F12B9E">
        <w:rPr>
          <w:rStyle w:val="Refdenotaalpie"/>
          <w:rFonts w:asciiTheme="minorHAnsi" w:hAnsiTheme="minorHAnsi"/>
          <w:lang w:val="es-CO"/>
        </w:rPr>
        <w:footnoteReference w:id="15"/>
      </w:r>
      <w:r w:rsidR="007C31F0" w:rsidRPr="00F12B9E">
        <w:rPr>
          <w:rStyle w:val="Refdenotaalpie"/>
          <w:rFonts w:asciiTheme="minorHAnsi" w:hAnsiTheme="minorHAnsi"/>
          <w:lang w:val="es-CO"/>
        </w:rPr>
        <w:t>,</w:t>
      </w:r>
      <w:r w:rsidRPr="006D2030">
        <w:rPr>
          <w:rFonts w:ascii="Verdana" w:eastAsia="Calibri" w:hAnsi="Verdana" w:cs="Arial"/>
        </w:rPr>
        <w:t xml:space="preserve"> contiene las reglas de tipo procedimental</w:t>
      </w:r>
      <w:r w:rsidR="00F605B3">
        <w:rPr>
          <w:rFonts w:ascii="Verdana" w:eastAsia="Calibri" w:hAnsi="Verdana" w:cs="Arial"/>
        </w:rPr>
        <w:t>, modos y tiempos,</w:t>
      </w:r>
      <w:r w:rsidRPr="006D2030">
        <w:rPr>
          <w:rFonts w:ascii="Verdana" w:eastAsia="Calibri" w:hAnsi="Verdana" w:cs="Arial"/>
        </w:rPr>
        <w:t xml:space="preserve"> para liquidar los contratos estatales, las cuales se pasan a explicar. En primer lugar, en ejercicio de la autonomía de la voluntad y de conformidad con los criterios de la naturaleza, objeto y plazo del contrato, la entidad puede definir en el pliego de condiciones o en el contrato el plazo para efectuar la liquidación de mutuo acuerdo</w:t>
      </w:r>
      <w:r w:rsidR="00F605B3">
        <w:rPr>
          <w:rFonts w:ascii="Verdana" w:eastAsia="Calibri" w:hAnsi="Verdana" w:cs="Arial"/>
        </w:rPr>
        <w:t>, e</w:t>
      </w:r>
      <w:r w:rsidRPr="006D2030">
        <w:rPr>
          <w:rFonts w:ascii="Verdana" w:eastAsia="Calibri" w:hAnsi="Verdana" w:cs="Arial"/>
        </w:rPr>
        <w:t xml:space="preserve">n ausencia de pacto contractual, el artículo 11 de la Ley 1150 de 2007 prevé un término supletivo de 4 meses contados desde: i) el vencimiento del plazo previsto para la ejecución del contrato; </w:t>
      </w:r>
      <w:proofErr w:type="spellStart"/>
      <w:r w:rsidRPr="006D2030">
        <w:rPr>
          <w:rFonts w:ascii="Verdana" w:eastAsia="Calibri" w:hAnsi="Verdana" w:cs="Arial"/>
        </w:rPr>
        <w:t>ii</w:t>
      </w:r>
      <w:proofErr w:type="spellEnd"/>
      <w:r w:rsidRPr="00F12B9E">
        <w:rPr>
          <w:rFonts w:ascii="Verdana" w:eastAsia="Calibri" w:hAnsi="Verdana" w:cs="Arial"/>
        </w:rPr>
        <w:t xml:space="preserve">) la expedición del acto administrativo que ordene la terminación del contrato; o, </w:t>
      </w:r>
      <w:proofErr w:type="spellStart"/>
      <w:r w:rsidRPr="00F12B9E">
        <w:rPr>
          <w:rFonts w:ascii="Verdana" w:eastAsia="Calibri" w:hAnsi="Verdana" w:cs="Arial"/>
        </w:rPr>
        <w:t>iii</w:t>
      </w:r>
      <w:proofErr w:type="spellEnd"/>
      <w:r w:rsidRPr="00F12B9E">
        <w:rPr>
          <w:rFonts w:ascii="Verdana" w:eastAsia="Calibri" w:hAnsi="Verdana" w:cs="Arial"/>
        </w:rPr>
        <w:t>) la fecha del acuerdo que disponga la terminación del contrato.</w:t>
      </w:r>
    </w:p>
    <w:p w14:paraId="55CC1D83" w14:textId="77777777" w:rsidR="006D2030" w:rsidRPr="006D2030" w:rsidRDefault="006D2030" w:rsidP="006D2030">
      <w:pPr>
        <w:pStyle w:val="Prrafodelista"/>
        <w:rPr>
          <w:rFonts w:ascii="Verdana" w:eastAsia="Calibri" w:hAnsi="Verdana" w:cs="Arial"/>
        </w:rPr>
      </w:pPr>
    </w:p>
    <w:p w14:paraId="4E90C6C3" w14:textId="51597B74" w:rsidR="006D2030" w:rsidRPr="00665966" w:rsidRDefault="006D2030" w:rsidP="00CA6392">
      <w:pPr>
        <w:pStyle w:val="Prrafodelista"/>
        <w:numPr>
          <w:ilvl w:val="0"/>
          <w:numId w:val="18"/>
        </w:numPr>
        <w:spacing w:before="120" w:line="276" w:lineRule="auto"/>
        <w:jc w:val="both"/>
        <w:rPr>
          <w:rFonts w:ascii="Verdana" w:eastAsia="Calibri" w:hAnsi="Verdana" w:cs="Arial"/>
        </w:rPr>
      </w:pPr>
      <w:r w:rsidRPr="00665966">
        <w:rPr>
          <w:rFonts w:ascii="Verdana" w:eastAsia="Calibri" w:hAnsi="Verdana" w:cs="Arial"/>
        </w:rPr>
        <w:t xml:space="preserve">De otra parte, cuando el artículo 11 de la Ley 1150 de 2007 hace referencia al término “acuerden las partes” para los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w:t>
      </w:r>
      <w:r w:rsidRPr="00665966">
        <w:rPr>
          <w:rFonts w:ascii="Verdana" w:eastAsia="Calibri" w:hAnsi="Verdana" w:cs="Arial"/>
        </w:rPr>
        <w:lastRenderedPageBreak/>
        <w:t xml:space="preserve">acuerden fijar </w:t>
      </w:r>
      <w:r w:rsidR="00D66020">
        <w:rPr>
          <w:rFonts w:ascii="Verdana" w:eastAsia="Calibri" w:hAnsi="Verdana" w:cs="Arial"/>
        </w:rPr>
        <w:t xml:space="preserve">o determinar </w:t>
      </w:r>
      <w:r w:rsidRPr="00665966">
        <w:rPr>
          <w:rFonts w:ascii="Verdana" w:eastAsia="Calibri" w:hAnsi="Verdana" w:cs="Arial"/>
        </w:rPr>
        <w:t xml:space="preserve">el referido plazo; acuerdo que, en tanto significa una alteración de las reglas que orientan la relación contractual, entraña una modificación del contrato. </w:t>
      </w:r>
    </w:p>
    <w:p w14:paraId="232617D5" w14:textId="77777777" w:rsidR="006D2030" w:rsidRPr="006D2030" w:rsidRDefault="006D2030" w:rsidP="006D2030">
      <w:pPr>
        <w:pStyle w:val="Prrafodelista"/>
        <w:rPr>
          <w:rFonts w:ascii="Verdana" w:eastAsia="Calibri" w:hAnsi="Verdana" w:cs="Arial"/>
        </w:rPr>
      </w:pPr>
    </w:p>
    <w:p w14:paraId="7FFB5BB4" w14:textId="22B8A08D" w:rsidR="006D2030" w:rsidRPr="006D2030" w:rsidRDefault="006D2030" w:rsidP="006D2030">
      <w:pPr>
        <w:pStyle w:val="Prrafodelista"/>
        <w:numPr>
          <w:ilvl w:val="0"/>
          <w:numId w:val="18"/>
        </w:numPr>
        <w:spacing w:before="120" w:line="276" w:lineRule="auto"/>
        <w:jc w:val="both"/>
        <w:rPr>
          <w:rFonts w:ascii="Verdana" w:eastAsia="Calibri" w:hAnsi="Verdana" w:cs="Arial"/>
        </w:rPr>
      </w:pPr>
      <w:r w:rsidRPr="006D2030">
        <w:rPr>
          <w:rFonts w:ascii="Verdana" w:eastAsia="Calibri" w:hAnsi="Verdana" w:cs="Arial"/>
        </w:rPr>
        <w:t>Ahora bien, el término de 4 meses previsto en el artículo 11 de la Ley 1150 de 2007, dado su carácter supletivo, solo resulta aplicable ante la ausencia de regulación de este en el pliego de condiciones –documento equivalente– o acuerdo entre las partes en torno al plazo de liquidación bilateral</w:t>
      </w:r>
      <w:r w:rsidR="00070414">
        <w:rPr>
          <w:rFonts w:ascii="Verdana" w:eastAsia="Calibri" w:hAnsi="Verdana" w:cs="Arial"/>
        </w:rPr>
        <w:t>, es decir que aplicaría en caso tal, en que se hubiese omitido el plazo para la respectiva liquidación;</w:t>
      </w:r>
      <w:r w:rsidRPr="006D2030">
        <w:rPr>
          <w:rFonts w:ascii="Verdana" w:eastAsia="Calibri" w:hAnsi="Verdana" w:cs="Arial"/>
        </w:rPr>
        <w:t xml:space="preserve"> </w:t>
      </w:r>
      <w:r w:rsidR="00070414">
        <w:rPr>
          <w:rFonts w:ascii="Verdana" w:eastAsia="Calibri" w:hAnsi="Verdana" w:cs="Arial"/>
        </w:rPr>
        <w:t>p</w:t>
      </w:r>
      <w:r w:rsidRPr="006D2030">
        <w:rPr>
          <w:rFonts w:ascii="Verdana" w:eastAsia="Calibri" w:hAnsi="Verdana" w:cs="Arial"/>
        </w:rPr>
        <w:t>or lo tanto, las partes, en desarrollo de la autonomía de la voluntad que les asiste, están habilitadas para pactar un término diferente, el cual puede ser inferior o incluso superior al plazo supletiv</w:t>
      </w:r>
      <w:r w:rsidR="006D56ED">
        <w:rPr>
          <w:rFonts w:ascii="Verdana" w:eastAsia="Calibri" w:hAnsi="Verdana" w:cs="Arial"/>
        </w:rPr>
        <w:t>o</w:t>
      </w:r>
      <w:r w:rsidRPr="006D2030">
        <w:rPr>
          <w:rFonts w:ascii="Verdana" w:eastAsia="Calibri" w:hAnsi="Verdana" w:cs="Arial"/>
        </w:rPr>
        <w:t>. Sobre este punto, no debe perderse de vista que las actuaciones contractuales regidas por el Estatuto General de Contratación de la Administración Pública</w:t>
      </w:r>
      <w:r w:rsidR="006D56ED">
        <w:rPr>
          <w:rFonts w:ascii="Verdana" w:eastAsia="Calibri" w:hAnsi="Verdana" w:cs="Arial"/>
        </w:rPr>
        <w:t>-EGCAP-</w:t>
      </w:r>
      <w:r w:rsidRPr="006D2030">
        <w:rPr>
          <w:rFonts w:ascii="Verdana" w:eastAsia="Calibri" w:hAnsi="Verdana" w:cs="Arial"/>
        </w:rPr>
        <w:t>se encuentran sometidas a los principios de la función administrativa</w:t>
      </w:r>
      <w:r w:rsidRPr="00DA492F">
        <w:rPr>
          <w:rStyle w:val="Refdenotaalpie"/>
          <w:rFonts w:asciiTheme="minorHAnsi" w:hAnsiTheme="minorHAnsi"/>
          <w:lang w:val="es-CO"/>
        </w:rPr>
        <w:footnoteReference w:id="16"/>
      </w:r>
      <w:r w:rsidRPr="00DA492F">
        <w:rPr>
          <w:rFonts w:ascii="Verdana" w:eastAsia="Calibri" w:hAnsi="Verdana" w:cs="Arial"/>
        </w:rPr>
        <w:t>,</w:t>
      </w:r>
      <w:r w:rsidRPr="006D2030">
        <w:rPr>
          <w:rFonts w:ascii="Verdana" w:eastAsia="Calibri" w:hAnsi="Verdana" w:cs="Arial"/>
        </w:rPr>
        <w:t xml:space="preserve"> lo cual implica que las mismas se desarrollen en procura de la economía y la celeridad</w:t>
      </w:r>
      <w:r w:rsidRPr="00DA492F">
        <w:rPr>
          <w:rStyle w:val="Refdenotaalpie"/>
          <w:rFonts w:asciiTheme="minorHAnsi" w:hAnsiTheme="minorHAnsi"/>
          <w:lang w:val="es-CO"/>
        </w:rPr>
        <w:footnoteReference w:id="17"/>
      </w:r>
      <w:r w:rsidRPr="006D2030">
        <w:rPr>
          <w:rFonts w:ascii="Verdana" w:eastAsia="Calibri" w:hAnsi="Verdana" w:cs="Arial"/>
        </w:rPr>
        <w:t>. Esto significa que, en ejercicio de la facultad que les asiste para fijar el plazo para la liquidación bilateral, las partes deben actuar en garantía de estos principios, por lo que el término que se acuerde debe ser fijado de manera razonable</w:t>
      </w:r>
      <w:r w:rsidR="00E86735">
        <w:rPr>
          <w:rFonts w:ascii="Verdana" w:eastAsia="Calibri" w:hAnsi="Verdana" w:cs="Arial"/>
        </w:rPr>
        <w:t xml:space="preserve"> y proporcional.</w:t>
      </w:r>
    </w:p>
    <w:p w14:paraId="68F9FDA7" w14:textId="77777777" w:rsidR="006D2030" w:rsidRPr="006D2030" w:rsidRDefault="006D2030" w:rsidP="006D2030">
      <w:pPr>
        <w:pStyle w:val="Prrafodelista"/>
        <w:spacing w:before="120" w:line="276" w:lineRule="auto"/>
        <w:jc w:val="both"/>
        <w:rPr>
          <w:rFonts w:ascii="Verdana" w:eastAsia="Calibri" w:hAnsi="Verdana" w:cs="Arial"/>
        </w:rPr>
      </w:pPr>
    </w:p>
    <w:p w14:paraId="5984D3D9" w14:textId="69475157" w:rsidR="006D2030" w:rsidRPr="006D2030" w:rsidRDefault="006D2030" w:rsidP="006D2030">
      <w:pPr>
        <w:pStyle w:val="Prrafodelista"/>
        <w:numPr>
          <w:ilvl w:val="0"/>
          <w:numId w:val="18"/>
        </w:numPr>
        <w:spacing w:before="120" w:line="276" w:lineRule="auto"/>
        <w:jc w:val="both"/>
        <w:rPr>
          <w:rFonts w:ascii="Verdana" w:eastAsia="Calibri" w:hAnsi="Verdana" w:cs="Arial"/>
        </w:rPr>
      </w:pPr>
      <w:r w:rsidRPr="006D2030">
        <w:rPr>
          <w:rFonts w:ascii="Verdana" w:eastAsia="Calibri" w:hAnsi="Verdana" w:cs="Arial"/>
        </w:rPr>
        <w:t>Durante este término, el contratista puede solicitar que se adelante el trámite de liquidación</w:t>
      </w:r>
      <w:r w:rsidR="00E86735">
        <w:rPr>
          <w:rFonts w:ascii="Verdana" w:eastAsia="Calibri" w:hAnsi="Verdana" w:cs="Arial"/>
        </w:rPr>
        <w:t>, s</w:t>
      </w:r>
      <w:r w:rsidRPr="006D2030">
        <w:rPr>
          <w:rFonts w:ascii="Verdana" w:eastAsia="Calibri" w:hAnsi="Verdana" w:cs="Arial"/>
        </w:rPr>
        <w:t xml:space="preserve">in embargo, es responsabilidad de la Entidad Estatal convocarlo para adelantar la liquidación de común acuerdo o </w:t>
      </w:r>
      <w:r w:rsidRPr="006D2030">
        <w:rPr>
          <w:rFonts w:ascii="Verdana" w:eastAsia="Calibri" w:hAnsi="Verdana" w:cs="Arial"/>
        </w:rPr>
        <w:lastRenderedPageBreak/>
        <w:t>notificarlo para que se presente a realizarla</w:t>
      </w:r>
      <w:r w:rsidRPr="00DA492F">
        <w:rPr>
          <w:rStyle w:val="Refdenotaalpie"/>
          <w:rFonts w:asciiTheme="minorHAnsi" w:hAnsiTheme="minorHAnsi"/>
          <w:lang w:val="es-CO"/>
        </w:rPr>
        <w:footnoteReference w:id="18"/>
      </w:r>
      <w:r w:rsidRPr="00DA492F">
        <w:rPr>
          <w:rFonts w:ascii="Verdana" w:eastAsia="Calibri" w:hAnsi="Verdana" w:cs="Arial"/>
        </w:rPr>
        <w:t>,</w:t>
      </w:r>
      <w:r w:rsidRPr="006D2030">
        <w:rPr>
          <w:rFonts w:ascii="Verdana" w:eastAsia="Calibri" w:hAnsi="Verdana" w:cs="Arial"/>
        </w:rPr>
        <w:t xml:space="preserve"> de manera que el contrato pueda ser liquidado bilateralmente, bien sea en el plazo previsto en el pliego de condiciones, el acordado por las partes, o el supletivo de cuatro meses señalado en la ley, según corresponda. Esta liquidación bilateral puede ser total o parcial</w:t>
      </w:r>
      <w:r w:rsidRPr="00DA492F">
        <w:rPr>
          <w:rStyle w:val="Refdenotaalpie"/>
          <w:rFonts w:asciiTheme="minorHAnsi" w:hAnsiTheme="minorHAnsi"/>
          <w:lang w:val="es-CO"/>
        </w:rPr>
        <w:footnoteReference w:id="19"/>
      </w:r>
      <w:r w:rsidRPr="00DA492F">
        <w:rPr>
          <w:rFonts w:ascii="Verdana" w:eastAsia="Calibri" w:hAnsi="Verdana" w:cs="Arial"/>
        </w:rPr>
        <w:t>,</w:t>
      </w:r>
      <w:r w:rsidRPr="006D2030">
        <w:rPr>
          <w:rFonts w:ascii="Verdana" w:eastAsia="Calibri" w:hAnsi="Verdana" w:cs="Arial"/>
        </w:rPr>
        <w:t xml:space="preserve"> y el documento que la contiene presta mérito ejecutivo, siempre que se satisfagan los elementos para considerarlo como tal.</w:t>
      </w:r>
    </w:p>
    <w:p w14:paraId="4827F241" w14:textId="77777777" w:rsidR="004656F6" w:rsidRPr="004656F6" w:rsidRDefault="004656F6" w:rsidP="004656F6">
      <w:pPr>
        <w:pStyle w:val="Prrafodelista"/>
        <w:rPr>
          <w:rFonts w:ascii="Verdana" w:eastAsia="Calibri" w:hAnsi="Verdana" w:cs="Arial"/>
        </w:rPr>
      </w:pPr>
    </w:p>
    <w:p w14:paraId="487BF71F" w14:textId="479341FF" w:rsidR="006D2030" w:rsidRPr="006D2030" w:rsidRDefault="006D2030" w:rsidP="00E6360D">
      <w:pPr>
        <w:pStyle w:val="Prrafodelista"/>
        <w:numPr>
          <w:ilvl w:val="0"/>
          <w:numId w:val="18"/>
        </w:numPr>
        <w:spacing w:before="120" w:line="276" w:lineRule="auto"/>
        <w:jc w:val="both"/>
        <w:rPr>
          <w:rFonts w:ascii="Verdana" w:eastAsia="Calibri" w:hAnsi="Verdana" w:cs="Arial"/>
        </w:rPr>
      </w:pPr>
      <w:r w:rsidRPr="006D2030">
        <w:rPr>
          <w:rFonts w:ascii="Verdana" w:eastAsia="Calibri" w:hAnsi="Verdana" w:cs="Arial"/>
        </w:rPr>
        <w:t xml:space="preserve">Si no es posible efectuar la liquidación de manera bilateral, el ordenamiento jurídico prevé una facultad, de carácter subsidiario, para que la Entidad Estatal realice la liquidación unilateralmente </w:t>
      </w:r>
      <w:r w:rsidRPr="00DD4229">
        <w:rPr>
          <w:rFonts w:ascii="Verdana" w:eastAsia="Calibri" w:hAnsi="Verdana" w:cs="Arial"/>
        </w:rPr>
        <w:t>se debe tener en cuenta que la liquidación unilateral es subsidiaria o supletoria frente a la bilateral, dado que el contratista tiene derecho a acordar la liquidación, debidamente reconocido por el ordenamiento jurídico</w:t>
      </w:r>
      <w:r w:rsidR="00DD4229">
        <w:rPr>
          <w:rFonts w:ascii="Verdana" w:eastAsia="Calibri" w:hAnsi="Verdana" w:cs="Arial"/>
        </w:rPr>
        <w:t>, p</w:t>
      </w:r>
      <w:r w:rsidRPr="00DD4229">
        <w:rPr>
          <w:rFonts w:ascii="Verdana" w:eastAsia="Calibri" w:hAnsi="Verdana" w:cs="Arial"/>
        </w:rPr>
        <w:t>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6D2030">
        <w:rPr>
          <w:rFonts w:ascii="Verdana" w:eastAsia="Calibri" w:hAnsi="Verdana" w:cs="Arial"/>
        </w:rPr>
        <w:t>   </w:t>
      </w:r>
    </w:p>
    <w:p w14:paraId="376184FC" w14:textId="77777777" w:rsidR="004656F6" w:rsidRPr="006D2030" w:rsidRDefault="004656F6" w:rsidP="006D2030">
      <w:pPr>
        <w:pStyle w:val="Prrafodelista"/>
        <w:spacing w:before="120" w:line="276" w:lineRule="auto"/>
        <w:jc w:val="both"/>
        <w:rPr>
          <w:rFonts w:ascii="Verdana" w:eastAsia="Calibri" w:hAnsi="Verdana" w:cs="Arial"/>
        </w:rPr>
      </w:pPr>
    </w:p>
    <w:p w14:paraId="56C438E7" w14:textId="77777777" w:rsidR="006D2030" w:rsidRDefault="006D2030" w:rsidP="006D2030">
      <w:pPr>
        <w:pStyle w:val="Prrafodelista"/>
        <w:numPr>
          <w:ilvl w:val="0"/>
          <w:numId w:val="18"/>
        </w:numPr>
        <w:tabs>
          <w:tab w:val="left" w:pos="1650"/>
        </w:tabs>
        <w:spacing w:line="276" w:lineRule="auto"/>
        <w:jc w:val="both"/>
        <w:rPr>
          <w:rFonts w:ascii="Verdana" w:eastAsia="Calibri" w:hAnsi="Verdana" w:cs="Arial"/>
        </w:rPr>
      </w:pPr>
      <w:r w:rsidRPr="006D2030">
        <w:rPr>
          <w:rFonts w:ascii="Verdana" w:eastAsia="Calibri" w:hAnsi="Verdana" w:cs="Arial"/>
        </w:rPr>
        <w:t xml:space="preserve">Si no se logra la liquidación bilateral del contrato, la Entidad Estatal tiene la facultad de liquidarlo unilateralmente dentro del término de 2 meses contados a </w:t>
      </w:r>
      <w:r w:rsidRPr="004656F6">
        <w:rPr>
          <w:rFonts w:ascii="Verdana" w:eastAsia="Calibri" w:hAnsi="Verdana" w:cs="Arial"/>
        </w:rPr>
        <w:t>partir del vencimiento del plazo que acuerden las partes para liquidar bilateralmente o, ante el silencio de estas, del vencimiento de los 4 meses supletivos establecidos por la ley.</w:t>
      </w:r>
    </w:p>
    <w:p w14:paraId="7AB943EA" w14:textId="77777777" w:rsidR="002D0C12" w:rsidRPr="006D2030" w:rsidRDefault="002D0C12" w:rsidP="002D0C12">
      <w:pPr>
        <w:pStyle w:val="Prrafodelista"/>
        <w:tabs>
          <w:tab w:val="left" w:pos="1650"/>
        </w:tabs>
        <w:spacing w:line="276" w:lineRule="auto"/>
        <w:jc w:val="both"/>
        <w:rPr>
          <w:rFonts w:ascii="Verdana" w:eastAsia="Calibri" w:hAnsi="Verdana" w:cs="Arial"/>
        </w:rPr>
      </w:pPr>
    </w:p>
    <w:p w14:paraId="40C7CB30" w14:textId="03C7135B" w:rsidR="006D2030" w:rsidRPr="006D2030" w:rsidRDefault="006D2030" w:rsidP="006D2030">
      <w:pPr>
        <w:pStyle w:val="Prrafodelista"/>
        <w:numPr>
          <w:ilvl w:val="0"/>
          <w:numId w:val="18"/>
        </w:numPr>
        <w:tabs>
          <w:tab w:val="left" w:pos="1650"/>
        </w:tabs>
        <w:spacing w:line="276" w:lineRule="auto"/>
        <w:jc w:val="both"/>
        <w:rPr>
          <w:rFonts w:ascii="Verdana" w:eastAsia="Calibri" w:hAnsi="Verdana" w:cs="Arial"/>
        </w:rPr>
      </w:pPr>
      <w:r w:rsidRPr="006D2030">
        <w:rPr>
          <w:rFonts w:ascii="Verdana" w:eastAsia="Calibri" w:hAnsi="Verdana" w:cs="Arial"/>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w:t>
      </w:r>
      <w:r w:rsidRPr="006D2030">
        <w:rPr>
          <w:rFonts w:ascii="Verdana" w:eastAsia="Calibri" w:hAnsi="Verdana" w:cs="Arial"/>
        </w:rPr>
        <w:lastRenderedPageBreak/>
        <w:t>liquidación judicial del contrato. De esta manera, durante estos dos años la liquidación podrá hacerse de mutuo acuerdo, unilateralmente por la entidad, o podrá ser solicitada judicialmente por el interesado. En ese sentido, en decisión de unificación de la Sección Tercera del Consejo de Estado, del 1 de agosto de 201</w:t>
      </w:r>
      <w:r w:rsidRPr="004656F6">
        <w:rPr>
          <w:rFonts w:ascii="Verdana" w:eastAsia="Calibri" w:hAnsi="Verdana" w:cs="Arial"/>
        </w:rPr>
        <w:t>9</w:t>
      </w:r>
      <w:r w:rsidRPr="004656F6">
        <w:rPr>
          <w:rStyle w:val="Refdenotaalpie"/>
          <w:rFonts w:asciiTheme="minorHAnsi" w:hAnsiTheme="minorHAnsi"/>
          <w:lang w:val="es-CO"/>
        </w:rPr>
        <w:footnoteReference w:id="20"/>
      </w:r>
      <w:r w:rsidRPr="004656F6">
        <w:rPr>
          <w:rFonts w:ascii="Verdana" w:eastAsia="Calibri" w:hAnsi="Verdana" w:cs="Arial"/>
        </w:rPr>
        <w:t>,</w:t>
      </w:r>
      <w:r w:rsidRPr="006D2030">
        <w:rPr>
          <w:rFonts w:ascii="Verdana" w:eastAsia="Calibri" w:hAnsi="Verdana" w:cs="Arial"/>
        </w:rPr>
        <w:t xml:space="preserve"> expresó: </w:t>
      </w:r>
    </w:p>
    <w:p w14:paraId="4BCABF09" w14:textId="77777777" w:rsidR="006D2030" w:rsidRPr="006D2030" w:rsidRDefault="006D2030" w:rsidP="006D2030">
      <w:pPr>
        <w:pStyle w:val="Prrafodelista"/>
        <w:tabs>
          <w:tab w:val="left" w:pos="1650"/>
        </w:tabs>
        <w:spacing w:line="276" w:lineRule="auto"/>
        <w:jc w:val="both"/>
        <w:rPr>
          <w:rFonts w:ascii="Verdana" w:eastAsia="Calibri" w:hAnsi="Verdana" w:cs="Arial"/>
        </w:rPr>
      </w:pPr>
    </w:p>
    <w:p w14:paraId="3C0FAADD" w14:textId="77777777" w:rsidR="006D2030" w:rsidRPr="006D2030" w:rsidRDefault="006D2030" w:rsidP="006D2030">
      <w:pPr>
        <w:pStyle w:val="Prrafodelista"/>
        <w:tabs>
          <w:tab w:val="left" w:pos="1650"/>
        </w:tabs>
        <w:spacing w:line="276" w:lineRule="auto"/>
        <w:jc w:val="both"/>
        <w:rPr>
          <w:rFonts w:ascii="Verdana" w:eastAsia="Calibri" w:hAnsi="Verdana" w:cs="Arial"/>
        </w:rPr>
      </w:pPr>
      <w:r w:rsidRPr="006D2030">
        <w:rPr>
          <w:rFonts w:ascii="Verdana" w:eastAsia="Calibri" w:hAnsi="Verdana" w:cs="Arial"/>
        </w:rPr>
        <w:t>“</w:t>
      </w:r>
      <w:r w:rsidRPr="002D0C12">
        <w:rPr>
          <w:rFonts w:ascii="Verdana" w:eastAsia="Calibri" w:hAnsi="Verdana" w:cs="Arial"/>
          <w:sz w:val="20"/>
          <w:szCs w:val="20"/>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2D0C12">
        <w:rPr>
          <w:rFonts w:ascii="Verdana" w:eastAsia="Calibri" w:hAnsi="Verdana" w:cs="Arial"/>
          <w:sz w:val="20"/>
          <w:szCs w:val="20"/>
        </w:rPr>
        <w:t>liquidatorio</w:t>
      </w:r>
      <w:proofErr w:type="spellEnd"/>
      <w:r w:rsidRPr="002D0C12">
        <w:rPr>
          <w:rFonts w:ascii="Verdana" w:eastAsia="Calibri" w:hAnsi="Verdana" w:cs="Arial"/>
          <w:sz w:val="20"/>
          <w:szCs w:val="20"/>
        </w:rPr>
        <w:t> se logre dentro del lapso de dos años contados a partir del vencimiento del término legalmente conocido para la liquidación unilateral, pues ese es el lapso que el ordenamiento ha fijado para el ejercicio oportuno de la acción</w:t>
      </w:r>
      <w:r w:rsidRPr="006D2030">
        <w:rPr>
          <w:rFonts w:ascii="Verdana" w:eastAsia="Calibri" w:hAnsi="Verdana" w:cs="Arial"/>
        </w:rPr>
        <w:t>” </w:t>
      </w:r>
    </w:p>
    <w:p w14:paraId="2D4F5BC4" w14:textId="77777777" w:rsidR="006D2030" w:rsidRPr="006D2030" w:rsidRDefault="006D2030" w:rsidP="004656F6">
      <w:pPr>
        <w:pStyle w:val="Prrafodelista"/>
        <w:numPr>
          <w:ilvl w:val="0"/>
          <w:numId w:val="18"/>
        </w:numPr>
        <w:tabs>
          <w:tab w:val="left" w:pos="1650"/>
        </w:tabs>
        <w:spacing w:line="276" w:lineRule="auto"/>
        <w:jc w:val="both"/>
        <w:rPr>
          <w:rFonts w:ascii="Verdana" w:eastAsia="Calibri" w:hAnsi="Verdana" w:cs="Arial"/>
        </w:rPr>
      </w:pPr>
      <w:r w:rsidRPr="006D2030">
        <w:rPr>
          <w:rFonts w:ascii="Verdana" w:eastAsia="Calibri" w:hAnsi="Verdana" w:cs="Arial"/>
        </w:rPr>
        <w:t>En armonía con lo anterior, se podrá, entonces, interponer una demanda ante la jurisdicción de lo contencioso administrativo solicitando la liquidación judicial del contrato mediante el medio de control de controversias contractuales, en los términos del artículo 141 del Código de Procedimiento Administrativo y de lo Contencioso Administrativo –CPACA–. La demanda debe ser presentada dentro del término que establece el artículo 164 del CPACA, pues de lo contrario operará el fenómeno de la caducidad, por lo cual no sería posible realizar la liquidación del contrato por ningún medio.</w:t>
      </w:r>
    </w:p>
    <w:p w14:paraId="58803D67" w14:textId="77777777" w:rsidR="006D2030" w:rsidRPr="006D2030" w:rsidRDefault="006D2030" w:rsidP="006D2030">
      <w:pPr>
        <w:spacing w:before="120" w:line="276" w:lineRule="auto"/>
        <w:ind w:firstLine="709"/>
        <w:jc w:val="both"/>
        <w:rPr>
          <w:rFonts w:ascii="Verdana" w:eastAsia="Calibri" w:hAnsi="Verdana" w:cs="Arial"/>
          <w:lang w:val="es-ES"/>
        </w:rPr>
      </w:pPr>
      <w:r w:rsidRPr="006D2030">
        <w:rPr>
          <w:rFonts w:ascii="Verdana" w:eastAsia="Calibri" w:hAnsi="Verdana" w:cs="Arial"/>
          <w:lang w:val="es-ES"/>
        </w:rPr>
        <w:t>En este punto, vale la pena aclarar que en relación con el término de caducidad para demandar en aquellos contratos que requieran liquidación, la jurisprudencia unificada del Consejo de Estado ha determinado que, en virtud del artículo 164 de la Ley 1437 de 2011, la regla general es que los dos años comiencen a correr a partir de la fecha de expedición del acta de liquidación, bien sea unilateral o de mutuo acuerdo, y solo en caso de que no exista liquidación de ningún tipo, el término de dos años comienza a contar a partir de la suma de seis meses de que trata el artículo 11 de la Ley 1150 de 2011.</w:t>
      </w:r>
    </w:p>
    <w:p w14:paraId="4AC07208" w14:textId="77777777" w:rsidR="006D2030" w:rsidRPr="006D2030" w:rsidRDefault="006D2030" w:rsidP="006D2030">
      <w:pPr>
        <w:spacing w:before="120" w:line="276" w:lineRule="auto"/>
        <w:ind w:firstLine="709"/>
        <w:jc w:val="both"/>
        <w:rPr>
          <w:rFonts w:ascii="Verdana" w:eastAsia="Calibri" w:hAnsi="Verdana" w:cs="Arial"/>
          <w:lang w:val="es-ES"/>
        </w:rPr>
      </w:pPr>
      <w:r w:rsidRPr="006D2030">
        <w:rPr>
          <w:rFonts w:ascii="Verdana" w:eastAsia="Calibri" w:hAnsi="Verdana" w:cs="Arial"/>
          <w:lang w:val="es-ES"/>
        </w:rPr>
        <w:t xml:space="preserve">Así las cosas, es claro que el ordenamiento jurídico vigente permite la liquidación unilateral, bilateral e incluso judicial una vez vencido el plazo </w:t>
      </w:r>
      <w:r w:rsidRPr="006D2030">
        <w:rPr>
          <w:rFonts w:ascii="Verdana" w:eastAsia="Calibri" w:hAnsi="Verdana" w:cs="Arial"/>
          <w:lang w:val="es-ES"/>
        </w:rPr>
        <w:lastRenderedPageBreak/>
        <w:t>establecido por el artículo 11 de la Ley 1150 de 2007. En otras palabras, la liquidación final de los contratos estatales tiene un ámbito temporal que empieza con la terminación del contrato y comprende el periodo contractual pactado por las partes o supletivo legal –de 4 meses– para la liquidación bilateral, más el período legal para la liquidación unilateral –de 2 meses–, más el plazo de dos años para hacerlo de mutuo acuerdo o unilateralmente, sin perjuicio de que se solicite la liquidación judicial.</w:t>
      </w:r>
    </w:p>
    <w:p w14:paraId="53E38009" w14:textId="1BCA39A4" w:rsidR="006D2030" w:rsidRPr="006D2030" w:rsidRDefault="006D2030" w:rsidP="006D2030">
      <w:pPr>
        <w:spacing w:before="120" w:line="276" w:lineRule="auto"/>
        <w:ind w:firstLine="709"/>
        <w:jc w:val="both"/>
        <w:rPr>
          <w:rFonts w:ascii="Verdana" w:eastAsia="Calibri" w:hAnsi="Verdana" w:cs="Arial"/>
          <w:lang w:val="es-ES"/>
        </w:rPr>
      </w:pPr>
      <w:r w:rsidRPr="006D2030">
        <w:rPr>
          <w:rFonts w:ascii="Verdana" w:eastAsia="Calibri" w:hAnsi="Verdana" w:cs="Arial"/>
          <w:lang w:val="es-ES"/>
        </w:rPr>
        <w:t xml:space="preserve">En conclusión, de acuerdo con el artículo 11 de la Ley 1150 de 2007, existen tres tipos de liquidación: i) bilateral, </w:t>
      </w:r>
      <w:proofErr w:type="spellStart"/>
      <w:r w:rsidRPr="006D2030">
        <w:rPr>
          <w:rFonts w:ascii="Verdana" w:eastAsia="Calibri" w:hAnsi="Verdana" w:cs="Arial"/>
          <w:lang w:val="es-ES"/>
        </w:rPr>
        <w:t>ii</w:t>
      </w:r>
      <w:proofErr w:type="spellEnd"/>
      <w:r w:rsidRPr="006D2030">
        <w:rPr>
          <w:rFonts w:ascii="Verdana" w:eastAsia="Calibri" w:hAnsi="Verdana" w:cs="Arial"/>
          <w:lang w:val="es-ES"/>
        </w:rPr>
        <w:t xml:space="preserve">) unilateral y </w:t>
      </w:r>
      <w:proofErr w:type="spellStart"/>
      <w:r w:rsidRPr="006D2030">
        <w:rPr>
          <w:rFonts w:ascii="Verdana" w:eastAsia="Calibri" w:hAnsi="Verdana" w:cs="Arial"/>
          <w:lang w:val="es-ES"/>
        </w:rPr>
        <w:t>iii</w:t>
      </w:r>
      <w:proofErr w:type="spellEnd"/>
      <w:r w:rsidRPr="006D2030">
        <w:rPr>
          <w:rFonts w:ascii="Verdana" w:eastAsia="Calibri" w:hAnsi="Verdana" w:cs="Arial"/>
          <w:lang w:val="es-ES"/>
        </w:rPr>
        <w:t>) judicial. En términos generales, la primera, que puede ser total o parcial, debe hacerse en el término que lo estipulen las partes o, en su defecto, dentro del término supletivo de cuatro meses. La segunda se debe practicar dentro de los dos meses siguientes al vencimiento del término que acuerden las partes, o ante el silencio de estas, luego de los cuatro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2 años contados a partir de los dos meses establecidos en la ley para realizar la liquidación unilateral, de conformidad con la citada sentencia de unificación del Consejo de Estado.</w:t>
      </w:r>
    </w:p>
    <w:p w14:paraId="6847DFDA" w14:textId="69BA7B09" w:rsidR="00EB2433" w:rsidRDefault="00EB2433" w:rsidP="00EB2433">
      <w:pPr>
        <w:spacing w:before="120" w:after="120" w:line="276" w:lineRule="auto"/>
        <w:ind w:firstLine="708"/>
        <w:jc w:val="both"/>
        <w:rPr>
          <w:rFonts w:ascii="Verdana" w:eastAsia="Calibri" w:hAnsi="Verdana" w:cs="Arial"/>
          <w:lang w:val="es-ES"/>
        </w:rPr>
      </w:pPr>
      <w:r>
        <w:rPr>
          <w:rFonts w:ascii="Verdana" w:eastAsia="Calibri" w:hAnsi="Verdana" w:cs="Arial"/>
          <w:lang w:val="es-ES"/>
        </w:rPr>
        <w:t xml:space="preserve">Una vez revisadas las temáticas que justifican la respuesta, es preciso reiterar que en </w:t>
      </w:r>
      <w:r w:rsidRPr="006D2030">
        <w:rPr>
          <w:rFonts w:ascii="Verdana" w:eastAsia="Calibri" w:hAnsi="Verdana" w:cs="Arial"/>
          <w:lang w:val="es-ES"/>
        </w:rPr>
        <w:t>un principio, la liquidación no es obligatoria en los contratos de prestación de servicios profesionales y de apoyo a la gestión, pues de acuerdo con la naturaleza de este contrato no reviste una complejidad que implique hacer un ajuste final de cuentas, reconociendo saldos a favor para alguna de las partes</w:t>
      </w:r>
      <w:r>
        <w:rPr>
          <w:rFonts w:ascii="Verdana" w:eastAsia="Calibri" w:hAnsi="Verdana" w:cs="Arial"/>
          <w:lang w:val="es-ES"/>
        </w:rPr>
        <w:t>; s</w:t>
      </w:r>
      <w:r w:rsidRPr="006D2030">
        <w:rPr>
          <w:rFonts w:ascii="Verdana" w:eastAsia="Calibri" w:hAnsi="Verdana" w:cs="Arial"/>
          <w:lang w:val="es-ES"/>
        </w:rPr>
        <w:t xml:space="preserve">in embargo, existen casos donde estos contratos </w:t>
      </w:r>
      <w:r>
        <w:rPr>
          <w:rFonts w:ascii="Verdana" w:eastAsia="Calibri" w:hAnsi="Verdana" w:cs="Arial"/>
          <w:lang w:val="es-ES"/>
        </w:rPr>
        <w:t>pueden revestir de</w:t>
      </w:r>
      <w:r w:rsidRPr="006D2030">
        <w:rPr>
          <w:rFonts w:ascii="Verdana" w:eastAsia="Calibri" w:hAnsi="Verdana" w:cs="Arial"/>
          <w:lang w:val="es-ES"/>
        </w:rPr>
        <w:t xml:space="preserve"> una importancia y relevancia</w:t>
      </w:r>
      <w:r>
        <w:rPr>
          <w:rFonts w:ascii="Verdana" w:eastAsia="Calibri" w:hAnsi="Verdana" w:cs="Arial"/>
          <w:lang w:val="es-ES"/>
        </w:rPr>
        <w:t>,</w:t>
      </w:r>
      <w:r w:rsidRPr="006D2030">
        <w:rPr>
          <w:rFonts w:ascii="Verdana" w:eastAsia="Calibri" w:hAnsi="Verdana" w:cs="Arial"/>
          <w:lang w:val="es-ES"/>
        </w:rPr>
        <w:t xml:space="preserve"> que establezcan obligaciones que hagan difícil hacer un ajuste de cuentas con la simple cuenta de cobro, o que conlleve a discrepancia </w:t>
      </w:r>
      <w:r>
        <w:rPr>
          <w:rFonts w:ascii="Verdana" w:eastAsia="Calibri" w:hAnsi="Verdana" w:cs="Arial"/>
          <w:lang w:val="es-ES"/>
        </w:rPr>
        <w:t>o</w:t>
      </w:r>
      <w:r w:rsidRPr="006D2030">
        <w:rPr>
          <w:rFonts w:ascii="Verdana" w:eastAsia="Calibri" w:hAnsi="Verdana" w:cs="Arial"/>
          <w:lang w:val="es-ES"/>
        </w:rPr>
        <w:t xml:space="preserve"> controversias, razón por la que la ley no prohíbe, por un lado, que se pacte la liquidación como cláusula accidental y, por otro, que las partes consideren necesaria la liquidación al finalizar el contrato</w:t>
      </w:r>
      <w:r>
        <w:rPr>
          <w:rFonts w:ascii="Verdana" w:eastAsia="Calibri" w:hAnsi="Verdana" w:cs="Arial"/>
          <w:lang w:val="es-ES"/>
        </w:rPr>
        <w:t xml:space="preserve">. Razón por la cual, las partes pueden establecer una cláusula en donde se determinen modos y tiempos para realizar la respectiva liquidación en el contrato de prestación de servicios. </w:t>
      </w:r>
    </w:p>
    <w:p w14:paraId="320EFDC2" w14:textId="0429CE20" w:rsidR="006A691F" w:rsidRDefault="006A691F" w:rsidP="00EB2433">
      <w:pPr>
        <w:spacing w:before="120" w:after="120" w:line="276" w:lineRule="auto"/>
        <w:ind w:firstLine="708"/>
        <w:jc w:val="both"/>
        <w:rPr>
          <w:rFonts w:ascii="Verdana" w:eastAsia="Calibri" w:hAnsi="Verdana" w:cs="Arial"/>
          <w:lang w:val="es-ES"/>
        </w:rPr>
      </w:pPr>
    </w:p>
    <w:p w14:paraId="52D56283" w14:textId="5F3120F7" w:rsidR="006A691F" w:rsidRDefault="006A691F" w:rsidP="00EB2433">
      <w:pPr>
        <w:spacing w:before="120" w:after="120" w:line="276" w:lineRule="auto"/>
        <w:ind w:firstLine="708"/>
        <w:jc w:val="both"/>
        <w:rPr>
          <w:rFonts w:ascii="Verdana" w:eastAsia="Calibri" w:hAnsi="Verdana" w:cs="Arial"/>
          <w:lang w:val="es-ES"/>
        </w:rPr>
      </w:pPr>
    </w:p>
    <w:p w14:paraId="7ACA9AB7" w14:textId="499E4967" w:rsidR="006A691F" w:rsidRDefault="006A691F" w:rsidP="00EB2433">
      <w:pPr>
        <w:spacing w:before="120" w:after="120" w:line="276" w:lineRule="auto"/>
        <w:ind w:firstLine="708"/>
        <w:jc w:val="both"/>
        <w:rPr>
          <w:rFonts w:ascii="Verdana" w:eastAsia="Calibri" w:hAnsi="Verdana" w:cs="Arial"/>
          <w:lang w:val="es-ES"/>
        </w:rPr>
      </w:pPr>
    </w:p>
    <w:p w14:paraId="5872D60C" w14:textId="77777777" w:rsidR="006A691F" w:rsidRPr="006D2030" w:rsidRDefault="006A691F" w:rsidP="00EB2433">
      <w:pPr>
        <w:spacing w:before="120" w:after="120" w:line="276" w:lineRule="auto"/>
        <w:ind w:firstLine="708"/>
        <w:jc w:val="both"/>
        <w:rPr>
          <w:rFonts w:ascii="Verdana" w:eastAsia="Calibri" w:hAnsi="Verdana" w:cs="Arial"/>
          <w:lang w:val="es-ES"/>
        </w:rPr>
      </w:pPr>
    </w:p>
    <w:p w14:paraId="0E072E7D" w14:textId="5CDDDB42" w:rsidR="00F1607A" w:rsidRPr="006D2030" w:rsidRDefault="00F1607A" w:rsidP="770DC489">
      <w:pPr>
        <w:spacing w:before="120" w:after="120" w:line="276" w:lineRule="auto"/>
        <w:ind w:firstLine="708"/>
        <w:jc w:val="both"/>
        <w:rPr>
          <w:rFonts w:ascii="Verdana" w:eastAsia="Calibri" w:hAnsi="Verdana" w:cs="Arial"/>
          <w:lang w:val="es-ES"/>
        </w:rPr>
      </w:pPr>
    </w:p>
    <w:p w14:paraId="472DB8F2" w14:textId="77777777" w:rsidR="00F1607A" w:rsidRPr="006D2030" w:rsidRDefault="00F1607A" w:rsidP="00F1607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D2030">
        <w:rPr>
          <w:rFonts w:ascii="Verdana" w:eastAsia="Century Gothic" w:hAnsi="Verdana" w:cs="Century Gothic"/>
          <w:b/>
          <w:bCs/>
        </w:rPr>
        <w:t>Referencias normativas, jurisprudenciales y otras fuentes:</w:t>
      </w:r>
    </w:p>
    <w:p w14:paraId="306356E7" w14:textId="094AFDDF" w:rsidR="00F1607A" w:rsidRPr="006D2030" w:rsidRDefault="00560346" w:rsidP="00560346">
      <w:pPr>
        <w:pStyle w:val="Prrafodelista"/>
        <w:tabs>
          <w:tab w:val="left" w:pos="2020"/>
        </w:tabs>
        <w:spacing w:after="120" w:line="276" w:lineRule="auto"/>
        <w:ind w:left="851"/>
        <w:jc w:val="both"/>
        <w:rPr>
          <w:rFonts w:ascii="Verdana" w:hAnsi="Verdana" w:cs="Arial"/>
          <w:color w:val="000000" w:themeColor="text1"/>
          <w:lang w:val="es-ES_tradnl"/>
        </w:rPr>
      </w:pPr>
      <w:r>
        <w:rPr>
          <w:rFonts w:ascii="Verdana" w:hAnsi="Verdana" w:cs="Arial"/>
          <w:color w:val="000000" w:themeColor="text1"/>
          <w:lang w:val="es-ES_tradnl"/>
        </w:rPr>
        <w:tab/>
      </w:r>
    </w:p>
    <w:p w14:paraId="5B090D77" w14:textId="65A92E55" w:rsidR="0005482C" w:rsidRDefault="0005482C" w:rsidP="00F1607A">
      <w:pPr>
        <w:pStyle w:val="Prrafodelista"/>
        <w:numPr>
          <w:ilvl w:val="0"/>
          <w:numId w:val="17"/>
        </w:numPr>
        <w:spacing w:after="120" w:line="276" w:lineRule="auto"/>
        <w:ind w:left="851"/>
        <w:jc w:val="both"/>
        <w:rPr>
          <w:rFonts w:ascii="Verdana" w:hAnsi="Verdana" w:cs="Arial"/>
          <w:color w:val="000000" w:themeColor="text1"/>
          <w:lang w:val="es-ES_tradnl"/>
        </w:rPr>
      </w:pPr>
      <w:r>
        <w:rPr>
          <w:rFonts w:ascii="Verdana" w:hAnsi="Verdana" w:cs="Arial"/>
          <w:color w:val="000000" w:themeColor="text1"/>
          <w:lang w:val="es-ES_tradnl"/>
        </w:rPr>
        <w:t xml:space="preserve">Ley 80 de 1993, </w:t>
      </w:r>
      <w:r w:rsidR="00560346">
        <w:rPr>
          <w:rFonts w:ascii="Verdana" w:hAnsi="Verdana" w:cs="Arial"/>
          <w:color w:val="000000" w:themeColor="text1"/>
          <w:lang w:val="es-ES_tradnl"/>
        </w:rPr>
        <w:t>artículo 13, artículo 32 numeral 3, artículo 60. Disponible en:</w:t>
      </w:r>
      <w:r w:rsidR="00560346" w:rsidRPr="00560346">
        <w:t xml:space="preserve"> </w:t>
      </w:r>
      <w:hyperlink r:id="rId12" w:history="1">
        <w:r w:rsidR="00560346" w:rsidRPr="003773CD">
          <w:rPr>
            <w:rStyle w:val="Hipervnculo"/>
            <w:rFonts w:ascii="Verdana" w:hAnsi="Verdana" w:cs="Arial"/>
            <w:lang w:val="es-ES_tradnl"/>
          </w:rPr>
          <w:t>https://relatoria.colombiacompra.gov.co/normativa/ley-80-de-1993/</w:t>
        </w:r>
      </w:hyperlink>
    </w:p>
    <w:p w14:paraId="07D21864" w14:textId="77777777" w:rsidR="00560346" w:rsidRDefault="00560346" w:rsidP="00560346">
      <w:pPr>
        <w:pStyle w:val="Prrafodelista"/>
        <w:spacing w:after="120" w:line="276" w:lineRule="auto"/>
        <w:ind w:left="851"/>
        <w:jc w:val="both"/>
        <w:rPr>
          <w:rFonts w:ascii="Verdana" w:hAnsi="Verdana" w:cs="Arial"/>
          <w:color w:val="000000" w:themeColor="text1"/>
          <w:lang w:val="es-ES_tradnl"/>
        </w:rPr>
      </w:pPr>
    </w:p>
    <w:p w14:paraId="6E09A2F3" w14:textId="6E8ED218" w:rsidR="00F1607A" w:rsidRPr="006D2030" w:rsidRDefault="00F1607A" w:rsidP="00F1607A">
      <w:pPr>
        <w:pStyle w:val="Prrafodelista"/>
        <w:numPr>
          <w:ilvl w:val="0"/>
          <w:numId w:val="17"/>
        </w:numPr>
        <w:spacing w:after="120" w:line="276" w:lineRule="auto"/>
        <w:ind w:left="851"/>
        <w:jc w:val="both"/>
        <w:rPr>
          <w:rFonts w:ascii="Verdana" w:hAnsi="Verdana" w:cs="Arial"/>
          <w:color w:val="000000" w:themeColor="text1"/>
          <w:lang w:val="es-ES_tradnl"/>
        </w:rPr>
      </w:pPr>
      <w:r w:rsidRPr="006D2030">
        <w:rPr>
          <w:rFonts w:ascii="Verdana" w:hAnsi="Verdana" w:cs="Arial"/>
          <w:color w:val="000000" w:themeColor="text1"/>
          <w:lang w:val="es-ES_tradnl"/>
        </w:rPr>
        <w:t xml:space="preserve">Ley 1150 de 2007, artículo </w:t>
      </w:r>
      <w:r w:rsidR="00560346">
        <w:rPr>
          <w:rFonts w:ascii="Verdana" w:hAnsi="Verdana" w:cs="Arial"/>
          <w:color w:val="000000" w:themeColor="text1"/>
          <w:lang w:val="es-ES_tradnl"/>
        </w:rPr>
        <w:t xml:space="preserve">2 numeral 4 literal h, </w:t>
      </w:r>
      <w:r w:rsidRPr="006D2030">
        <w:rPr>
          <w:rFonts w:ascii="Verdana" w:hAnsi="Verdana" w:cs="Arial"/>
          <w:color w:val="000000" w:themeColor="text1"/>
          <w:lang w:val="es-ES_tradnl"/>
        </w:rPr>
        <w:t xml:space="preserve">artículo </w:t>
      </w:r>
      <w:r w:rsidR="00560346">
        <w:rPr>
          <w:rFonts w:ascii="Verdana" w:hAnsi="Verdana" w:cs="Arial"/>
          <w:color w:val="000000" w:themeColor="text1"/>
          <w:lang w:val="es-ES_tradnl"/>
        </w:rPr>
        <w:t>11</w:t>
      </w:r>
      <w:r w:rsidRPr="006D2030">
        <w:rPr>
          <w:rFonts w:ascii="Verdana" w:hAnsi="Verdana" w:cs="Arial"/>
          <w:color w:val="000000" w:themeColor="text1"/>
          <w:lang w:val="es-ES_tradnl"/>
        </w:rPr>
        <w:t xml:space="preserve">, artículo 13: Disponible en: </w:t>
      </w:r>
      <w:hyperlink r:id="rId13" w:history="1">
        <w:r w:rsidRPr="006D2030">
          <w:rPr>
            <w:rStyle w:val="Hipervnculo"/>
            <w:rFonts w:ascii="Verdana" w:hAnsi="Verdana" w:cs="Arial"/>
            <w:lang w:val="es-ES_tradnl"/>
          </w:rPr>
          <w:t>https://relatoria.colombiacompra.gov.co/normativa/ley-1150-de-2007/</w:t>
        </w:r>
      </w:hyperlink>
    </w:p>
    <w:p w14:paraId="02BD259D" w14:textId="77777777" w:rsidR="00F1607A" w:rsidRPr="006D2030" w:rsidRDefault="00F1607A" w:rsidP="00F1607A">
      <w:pPr>
        <w:pStyle w:val="Prrafodelista"/>
        <w:rPr>
          <w:rFonts w:ascii="Verdana" w:hAnsi="Verdana" w:cs="Arial"/>
          <w:color w:val="000000" w:themeColor="text1"/>
          <w:lang w:val="es-ES_tradnl"/>
        </w:rPr>
      </w:pPr>
    </w:p>
    <w:p w14:paraId="2FF05AD4" w14:textId="7C626C7E" w:rsidR="00560346" w:rsidRDefault="00560346" w:rsidP="00F1607A">
      <w:pPr>
        <w:pStyle w:val="Prrafodelista"/>
        <w:numPr>
          <w:ilvl w:val="0"/>
          <w:numId w:val="17"/>
        </w:numPr>
        <w:spacing w:after="120" w:line="276" w:lineRule="auto"/>
        <w:ind w:left="851"/>
        <w:jc w:val="both"/>
        <w:rPr>
          <w:rFonts w:ascii="Verdana" w:hAnsi="Verdana" w:cs="Arial"/>
          <w:color w:val="000000" w:themeColor="text1"/>
          <w:lang w:val="es-ES_tradnl"/>
        </w:rPr>
      </w:pPr>
      <w:r>
        <w:rPr>
          <w:rFonts w:ascii="Verdana" w:hAnsi="Verdana" w:cs="Arial"/>
          <w:color w:val="000000" w:themeColor="text1"/>
          <w:lang w:val="es-ES_tradnl"/>
        </w:rPr>
        <w:t xml:space="preserve">Decreto Ley 019 de 2012, artículo 217. Disponible en: </w:t>
      </w:r>
      <w:hyperlink r:id="rId14" w:history="1">
        <w:r w:rsidRPr="003773CD">
          <w:rPr>
            <w:rStyle w:val="Hipervnculo"/>
            <w:rFonts w:ascii="Verdana" w:hAnsi="Verdana" w:cs="Arial"/>
            <w:lang w:val="es-ES_tradnl"/>
          </w:rPr>
          <w:t>https://relatoria.colombiacompra.gov.co/normativa/decreto-ley-019-de-2012/</w:t>
        </w:r>
      </w:hyperlink>
    </w:p>
    <w:p w14:paraId="32D94D56" w14:textId="77777777" w:rsidR="00F1607A" w:rsidRPr="006D2030" w:rsidRDefault="00F1607A" w:rsidP="00F1607A">
      <w:pPr>
        <w:pStyle w:val="Prrafodelista"/>
        <w:rPr>
          <w:rFonts w:ascii="Verdana" w:hAnsi="Verdana" w:cs="Arial"/>
          <w:color w:val="000000" w:themeColor="text1"/>
          <w:lang w:val="es-ES_tradnl"/>
        </w:rPr>
      </w:pPr>
    </w:p>
    <w:p w14:paraId="6BF6D539" w14:textId="4D9A3502" w:rsidR="00F1607A" w:rsidRPr="006D2030" w:rsidRDefault="00F1607A" w:rsidP="00F1607A">
      <w:pPr>
        <w:pStyle w:val="Prrafodelista"/>
        <w:numPr>
          <w:ilvl w:val="0"/>
          <w:numId w:val="17"/>
        </w:numPr>
        <w:spacing w:after="120" w:line="276" w:lineRule="auto"/>
        <w:ind w:left="851"/>
        <w:jc w:val="both"/>
        <w:rPr>
          <w:rStyle w:val="Hipervnculo"/>
          <w:rFonts w:ascii="Verdana" w:hAnsi="Verdana" w:cs="Arial"/>
          <w:color w:val="000000" w:themeColor="text1"/>
          <w:u w:val="none"/>
          <w:lang w:val="es-ES_tradnl"/>
        </w:rPr>
      </w:pPr>
      <w:r w:rsidRPr="006D2030">
        <w:rPr>
          <w:rFonts w:ascii="Verdana" w:hAnsi="Verdana" w:cs="Arial"/>
          <w:color w:val="000000" w:themeColor="text1"/>
          <w:lang w:val="es-ES_tradnl"/>
        </w:rPr>
        <w:t xml:space="preserve">Decreto 1082 de 2015, artículo </w:t>
      </w:r>
      <w:r w:rsidRPr="006D2030">
        <w:rPr>
          <w:rFonts w:ascii="Verdana" w:hAnsi="Verdana" w:cs="Arial"/>
          <w:bCs/>
          <w:lang w:val="es-MX"/>
        </w:rPr>
        <w:t xml:space="preserve">2.1.1.2.1.7. Disponible en: </w:t>
      </w:r>
      <w:hyperlink r:id="rId15" w:history="1">
        <w:r w:rsidRPr="006D2030">
          <w:rPr>
            <w:rStyle w:val="Hipervnculo"/>
            <w:rFonts w:ascii="Verdana" w:hAnsi="Verdana" w:cs="Arial"/>
            <w:bCs/>
            <w:lang w:val="es-MX"/>
          </w:rPr>
          <w:t>https://relatoria.colombiacompra.gov.co/normativa/decreto-1082-de-2015/</w:t>
        </w:r>
      </w:hyperlink>
    </w:p>
    <w:p w14:paraId="775ED9C6" w14:textId="77777777" w:rsidR="00F1607A" w:rsidRPr="006D2030" w:rsidRDefault="00F1607A" w:rsidP="00F1607A">
      <w:pPr>
        <w:pStyle w:val="Prrafodelista"/>
        <w:rPr>
          <w:rFonts w:ascii="Verdana" w:hAnsi="Verdana" w:cs="Arial"/>
          <w:color w:val="000000" w:themeColor="text1"/>
          <w:lang w:val="es-ES_tradnl"/>
        </w:rPr>
      </w:pPr>
    </w:p>
    <w:p w14:paraId="37EA9690" w14:textId="22B1A6C0" w:rsidR="00560346" w:rsidRDefault="00527064" w:rsidP="435A084E">
      <w:pPr>
        <w:pStyle w:val="Prrafodelista"/>
        <w:numPr>
          <w:ilvl w:val="0"/>
          <w:numId w:val="17"/>
        </w:numPr>
        <w:spacing w:after="120" w:line="276" w:lineRule="auto"/>
        <w:ind w:left="851"/>
        <w:jc w:val="both"/>
        <w:rPr>
          <w:rFonts w:ascii="Verdana" w:hAnsi="Verdana" w:cs="Arial"/>
          <w:color w:val="000000" w:themeColor="text1"/>
        </w:rPr>
      </w:pPr>
      <w:r w:rsidRPr="435A084E">
        <w:rPr>
          <w:rFonts w:ascii="Verdana" w:hAnsi="Verdana" w:cs="Arial"/>
          <w:color w:val="000000" w:themeColor="text1"/>
        </w:rPr>
        <w:t>Consejo de Estado</w:t>
      </w:r>
      <w:r w:rsidR="00560346" w:rsidRPr="435A084E">
        <w:rPr>
          <w:rFonts w:ascii="Verdana" w:hAnsi="Verdana" w:cs="Arial"/>
          <w:color w:val="000000" w:themeColor="text1"/>
        </w:rPr>
        <w:t xml:space="preserve">. Sección Tercera. Subsección C. 20 de octubre de 2014, </w:t>
      </w:r>
      <w:r w:rsidR="00962E59" w:rsidRPr="435A084E">
        <w:rPr>
          <w:rFonts w:ascii="Verdana" w:hAnsi="Verdana" w:cs="Arial"/>
          <w:color w:val="000000" w:themeColor="text1"/>
        </w:rPr>
        <w:t>C</w:t>
      </w:r>
      <w:r w:rsidR="00560346" w:rsidRPr="435A084E">
        <w:rPr>
          <w:rFonts w:ascii="Verdana" w:hAnsi="Verdana" w:cs="Arial"/>
          <w:color w:val="000000" w:themeColor="text1"/>
        </w:rPr>
        <w:t xml:space="preserve">.P: Enrique Gil Botero. </w:t>
      </w:r>
      <w:proofErr w:type="spellStart"/>
      <w:r w:rsidR="00560346" w:rsidRPr="435A084E">
        <w:rPr>
          <w:rFonts w:ascii="Verdana" w:hAnsi="Verdana" w:cs="Arial"/>
          <w:color w:val="000000" w:themeColor="text1"/>
        </w:rPr>
        <w:t>Exp</w:t>
      </w:r>
      <w:proofErr w:type="spellEnd"/>
      <w:r w:rsidR="00560346" w:rsidRPr="435A084E">
        <w:rPr>
          <w:rFonts w:ascii="Verdana" w:hAnsi="Verdana" w:cs="Arial"/>
          <w:color w:val="000000" w:themeColor="text1"/>
        </w:rPr>
        <w:t>. 27.777. Disponible en:</w:t>
      </w:r>
      <w:r w:rsidRPr="435A084E">
        <w:rPr>
          <w:rFonts w:ascii="Verdana" w:hAnsi="Verdana" w:cs="Arial"/>
          <w:color w:val="000000" w:themeColor="text1"/>
        </w:rPr>
        <w:t xml:space="preserve"> </w:t>
      </w:r>
      <w:hyperlink r:id="rId16">
        <w:r w:rsidRPr="435A084E">
          <w:rPr>
            <w:rStyle w:val="Hipervnculo"/>
            <w:rFonts w:ascii="Verdana" w:hAnsi="Verdana" w:cs="Arial"/>
          </w:rPr>
          <w:t>http://servicios.consejodeestado.gov.co/WebRelatoria/FileReferenceServlet?corp=ce&amp;ext=html&amp;file=2073388</w:t>
        </w:r>
      </w:hyperlink>
    </w:p>
    <w:p w14:paraId="6065A816" w14:textId="77777777" w:rsidR="00527064" w:rsidRPr="00527064" w:rsidRDefault="00527064" w:rsidP="00527064">
      <w:pPr>
        <w:pStyle w:val="Prrafodelista"/>
        <w:rPr>
          <w:rFonts w:ascii="Verdana" w:hAnsi="Verdana" w:cs="Arial"/>
          <w:color w:val="000000" w:themeColor="text1"/>
          <w:lang w:val="es-ES_tradnl"/>
        </w:rPr>
      </w:pPr>
    </w:p>
    <w:p w14:paraId="74D09238" w14:textId="068DE4D6" w:rsidR="00F1607A" w:rsidRPr="006D2030" w:rsidRDefault="00560346" w:rsidP="006F60D0">
      <w:pPr>
        <w:pStyle w:val="Prrafodelista"/>
        <w:numPr>
          <w:ilvl w:val="0"/>
          <w:numId w:val="17"/>
        </w:numPr>
        <w:spacing w:after="120" w:line="276" w:lineRule="auto"/>
        <w:ind w:left="851"/>
        <w:jc w:val="both"/>
        <w:rPr>
          <w:rFonts w:ascii="Verdana" w:hAnsi="Verdana" w:cs="Arial"/>
          <w:color w:val="000000" w:themeColor="text1"/>
          <w:lang w:val="es-ES_tradnl"/>
        </w:rPr>
      </w:pPr>
      <w:r w:rsidRPr="00560346">
        <w:rPr>
          <w:rFonts w:ascii="Verdana" w:hAnsi="Verdana" w:cs="Arial"/>
          <w:noProof/>
          <w:lang w:val="es-ES_tradnl"/>
        </w:rPr>
        <w:t xml:space="preserve">Consejo de Estado. Sección Segunda. Sentencia del 9 de septiembre de 2021. Expediente No. 05001-23-33-000-2013-01143-01(1317-16). </w:t>
      </w:r>
      <w:r w:rsidR="00962E59">
        <w:rPr>
          <w:rFonts w:ascii="Verdana" w:hAnsi="Verdana" w:cs="Arial"/>
          <w:noProof/>
          <w:lang w:val="es-ES_tradnl"/>
        </w:rPr>
        <w:t>C.</w:t>
      </w:r>
      <w:r w:rsidRPr="00560346">
        <w:rPr>
          <w:rFonts w:ascii="Verdana" w:hAnsi="Verdana" w:cs="Arial"/>
          <w:noProof/>
          <w:lang w:val="es-ES_tradnl"/>
        </w:rPr>
        <w:t>P. D</w:t>
      </w:r>
      <w:r w:rsidR="00962E59">
        <w:rPr>
          <w:rFonts w:ascii="Verdana" w:hAnsi="Verdana" w:cs="Arial"/>
          <w:noProof/>
          <w:lang w:val="es-ES_tradnl"/>
        </w:rPr>
        <w:t xml:space="preserve">r. </w:t>
      </w:r>
      <w:r w:rsidR="00962E59" w:rsidRPr="00962E59">
        <w:rPr>
          <w:rFonts w:ascii="Verdana" w:hAnsi="Verdana" w:cs="Arial"/>
          <w:noProof/>
          <w:lang w:val="es-ES_tradnl"/>
        </w:rPr>
        <w:t>Rafael Francisco Suarez Vargas</w:t>
      </w:r>
      <w:r w:rsidRPr="00560346">
        <w:rPr>
          <w:rFonts w:ascii="Verdana" w:hAnsi="Verdana" w:cs="Arial"/>
          <w:noProof/>
          <w:lang w:val="es-ES_tradnl"/>
        </w:rPr>
        <w:t xml:space="preserve">. Disponible en: </w:t>
      </w:r>
      <w:hyperlink r:id="rId17" w:history="1">
        <w:r w:rsidR="00962E59" w:rsidRPr="003773CD">
          <w:rPr>
            <w:rStyle w:val="Hipervnculo"/>
            <w:rFonts w:ascii="Verdana" w:hAnsi="Verdana" w:cs="Arial"/>
            <w:noProof/>
            <w:lang w:val="es-ES_tradnl"/>
          </w:rPr>
          <w:t>http://servicios.consejodeestado.gov.co/WebRelatoria/FileReferenceServlet?corp=ce&amp;ext=html&amp;file=2157438</w:t>
        </w:r>
      </w:hyperlink>
    </w:p>
    <w:p w14:paraId="4233B9EF" w14:textId="77777777" w:rsidR="00962E59" w:rsidRPr="00962E59" w:rsidRDefault="00962E59" w:rsidP="00962E59">
      <w:pPr>
        <w:pStyle w:val="Prrafodelista"/>
        <w:rPr>
          <w:rFonts w:ascii="Verdana" w:hAnsi="Verdana" w:cs="Arial"/>
          <w:color w:val="000000" w:themeColor="text1"/>
          <w:lang w:val="es-ES_tradnl"/>
        </w:rPr>
      </w:pPr>
    </w:p>
    <w:p w14:paraId="2F26832C" w14:textId="230B662D" w:rsidR="00962E59" w:rsidRDefault="00560346" w:rsidP="00962E59">
      <w:pPr>
        <w:pStyle w:val="Prrafodelista"/>
        <w:numPr>
          <w:ilvl w:val="0"/>
          <w:numId w:val="17"/>
        </w:numPr>
        <w:spacing w:after="120" w:line="276" w:lineRule="auto"/>
        <w:ind w:left="851"/>
        <w:jc w:val="both"/>
        <w:rPr>
          <w:rFonts w:ascii="Verdana" w:hAnsi="Verdana" w:cs="Arial"/>
          <w:color w:val="000000" w:themeColor="text1"/>
          <w:lang w:val="es-ES_tradnl"/>
        </w:rPr>
      </w:pPr>
      <w:r w:rsidRPr="00560346">
        <w:rPr>
          <w:rFonts w:ascii="Verdana" w:hAnsi="Verdana" w:cs="Arial"/>
          <w:color w:val="000000" w:themeColor="text1"/>
          <w:lang w:val="es-ES_tradnl"/>
        </w:rPr>
        <w:t>Consejo de Estado, Sección Segunda, Sentencia de unificación por importancia jurídica del nueve (09) de septiembre de 2021. Radicado CE-SUJ2-025-21</w:t>
      </w:r>
      <w:r w:rsidR="00962E59">
        <w:rPr>
          <w:rFonts w:ascii="Verdana" w:hAnsi="Verdana" w:cs="Arial"/>
          <w:color w:val="000000" w:themeColor="text1"/>
          <w:lang w:val="es-ES_tradnl"/>
        </w:rPr>
        <w:t xml:space="preserve">. </w:t>
      </w:r>
      <w:r w:rsidRPr="00962E59">
        <w:rPr>
          <w:rFonts w:ascii="Verdana" w:hAnsi="Verdana" w:cs="Arial"/>
          <w:color w:val="000000" w:themeColor="text1"/>
          <w:lang w:val="es-ES_tradnl"/>
        </w:rPr>
        <w:t>Disponible en:</w:t>
      </w:r>
      <w:r w:rsidR="00962E59" w:rsidRPr="00962E59">
        <w:rPr>
          <w:rFonts w:ascii="Verdana" w:hAnsi="Verdana" w:cs="Arial"/>
          <w:color w:val="000000" w:themeColor="text1"/>
          <w:lang w:val="es-ES_tradnl"/>
        </w:rPr>
        <w:t xml:space="preserve"> </w:t>
      </w:r>
    </w:p>
    <w:p w14:paraId="1A0844FE" w14:textId="2AB051AA" w:rsidR="00560346" w:rsidRPr="00962E59" w:rsidRDefault="00962E59" w:rsidP="00962E59">
      <w:pPr>
        <w:spacing w:after="120" w:line="276" w:lineRule="auto"/>
        <w:ind w:left="708"/>
        <w:jc w:val="both"/>
        <w:rPr>
          <w:rFonts w:ascii="Verdana" w:hAnsi="Verdana" w:cs="Arial"/>
          <w:color w:val="000000" w:themeColor="text1"/>
          <w:lang w:val="es-ES_tradnl"/>
        </w:rPr>
      </w:pPr>
      <w:hyperlink r:id="rId18" w:history="1">
        <w:r w:rsidRPr="003773CD">
          <w:rPr>
            <w:rStyle w:val="Hipervnculo"/>
            <w:rFonts w:ascii="Verdana" w:hAnsi="Verdana" w:cs="Arial"/>
            <w:lang w:val="es-ES_tradnl"/>
          </w:rPr>
          <w:t>https://relatoria.colombiacompra.gov.co/providencias/05001-23-33-000-2013-01143-01_1317-16_ce-suj2-025-21/</w:t>
        </w:r>
      </w:hyperlink>
    </w:p>
    <w:p w14:paraId="59E915F6" w14:textId="77777777" w:rsidR="00560346" w:rsidRPr="00560346" w:rsidRDefault="00560346" w:rsidP="00560346">
      <w:pPr>
        <w:pStyle w:val="Prrafodelista"/>
        <w:rPr>
          <w:rFonts w:ascii="Verdana" w:hAnsi="Verdana" w:cs="Arial"/>
          <w:color w:val="000000" w:themeColor="text1"/>
          <w:lang w:val="es-ES_tradnl"/>
        </w:rPr>
      </w:pPr>
    </w:p>
    <w:p w14:paraId="14DF69C3" w14:textId="2F20D904" w:rsidR="00560346" w:rsidRDefault="00560346" w:rsidP="770DC489">
      <w:pPr>
        <w:pStyle w:val="Prrafodelista"/>
        <w:numPr>
          <w:ilvl w:val="0"/>
          <w:numId w:val="17"/>
        </w:numPr>
        <w:spacing w:after="120" w:line="276" w:lineRule="auto"/>
        <w:ind w:left="851"/>
        <w:jc w:val="both"/>
        <w:rPr>
          <w:rFonts w:ascii="Verdana" w:hAnsi="Verdana" w:cs="Arial"/>
          <w:color w:val="000000" w:themeColor="text1"/>
        </w:rPr>
      </w:pPr>
      <w:r w:rsidRPr="770DC489">
        <w:rPr>
          <w:rFonts w:ascii="Verdana" w:hAnsi="Verdana" w:cs="Arial"/>
          <w:color w:val="000000" w:themeColor="text1"/>
        </w:rPr>
        <w:t xml:space="preserve">CONSEJO DE ESTADO. Sección Tercera. Sala Plena. Auto del 1 de agosto de 2019. </w:t>
      </w:r>
      <w:proofErr w:type="spellStart"/>
      <w:r w:rsidRPr="770DC489">
        <w:rPr>
          <w:rFonts w:ascii="Verdana" w:hAnsi="Verdana" w:cs="Arial"/>
          <w:color w:val="000000" w:themeColor="text1"/>
        </w:rPr>
        <w:t>Exp</w:t>
      </w:r>
      <w:proofErr w:type="spellEnd"/>
      <w:r w:rsidRPr="770DC489">
        <w:rPr>
          <w:rFonts w:ascii="Verdana" w:hAnsi="Verdana" w:cs="Arial"/>
          <w:color w:val="000000" w:themeColor="text1"/>
        </w:rPr>
        <w:t xml:space="preserve">. 62009. C.P. Jaime Enrique Rodríguez Navas. </w:t>
      </w:r>
      <w:r w:rsidR="00962E59" w:rsidRPr="770DC489">
        <w:rPr>
          <w:rFonts w:ascii="Verdana" w:hAnsi="Verdana" w:cs="Arial"/>
          <w:color w:val="000000" w:themeColor="text1"/>
        </w:rPr>
        <w:t xml:space="preserve">Disponible en: </w:t>
      </w:r>
      <w:hyperlink r:id="rId19">
        <w:r w:rsidR="00962E59" w:rsidRPr="770DC489">
          <w:rPr>
            <w:rStyle w:val="Hipervnculo"/>
            <w:rFonts w:ascii="Verdana" w:hAnsi="Verdana" w:cs="Arial"/>
          </w:rPr>
          <w:t>https://www.consejodeestado.gov.co/documentos/boletines/222/05001-23-33-000-2018-00342-01.pdf</w:t>
        </w:r>
      </w:hyperlink>
    </w:p>
    <w:p w14:paraId="627FB14E" w14:textId="77777777" w:rsidR="00560346" w:rsidRPr="00560346" w:rsidRDefault="00560346" w:rsidP="00560346">
      <w:pPr>
        <w:pStyle w:val="Prrafodelista"/>
        <w:spacing w:after="120" w:line="276" w:lineRule="auto"/>
        <w:ind w:left="851"/>
        <w:jc w:val="both"/>
        <w:rPr>
          <w:rFonts w:ascii="Verdana" w:hAnsi="Verdana" w:cs="Arial"/>
          <w:color w:val="000000" w:themeColor="text1"/>
          <w:lang w:val="es-ES_tradnl"/>
        </w:rPr>
      </w:pPr>
    </w:p>
    <w:p w14:paraId="008657D9" w14:textId="77777777" w:rsidR="00F1607A" w:rsidRPr="006D2030" w:rsidRDefault="00F1607A" w:rsidP="00F1607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D2030">
        <w:rPr>
          <w:rFonts w:ascii="Verdana" w:eastAsia="Century Gothic" w:hAnsi="Verdana" w:cs="Century Gothic"/>
          <w:b/>
          <w:bCs/>
        </w:rPr>
        <w:t xml:space="preserve"> Doctrina de la Agencia Nacional de Contratación Pública:</w:t>
      </w:r>
    </w:p>
    <w:p w14:paraId="69D89931" w14:textId="77777777" w:rsidR="00F1607A" w:rsidRDefault="00F1607A" w:rsidP="00F1607A">
      <w:pPr>
        <w:widowControl w:val="0"/>
        <w:autoSpaceDE w:val="0"/>
        <w:autoSpaceDN w:val="0"/>
        <w:spacing w:after="0" w:line="276" w:lineRule="auto"/>
        <w:jc w:val="both"/>
        <w:rPr>
          <w:rStyle w:val="normaltextrun"/>
          <w:rFonts w:ascii="Verdana" w:hAnsi="Verdana" w:cs="Arial"/>
          <w:shd w:val="clear" w:color="auto" w:fill="FFFFFF"/>
        </w:rPr>
      </w:pPr>
    </w:p>
    <w:p w14:paraId="6168B98A" w14:textId="2D13C0CF" w:rsidR="00A326E6" w:rsidRPr="00274E0D" w:rsidRDefault="00F1607A" w:rsidP="00A326E6">
      <w:pPr>
        <w:widowControl w:val="0"/>
        <w:autoSpaceDE w:val="0"/>
        <w:autoSpaceDN w:val="0"/>
        <w:spacing w:after="0" w:line="276" w:lineRule="auto"/>
        <w:jc w:val="both"/>
        <w:rPr>
          <w:rFonts w:ascii="Verdana" w:hAnsi="Verdana" w:cs="Arial"/>
          <w:lang w:val="es-ES"/>
        </w:rPr>
      </w:pPr>
      <w:r w:rsidRPr="00274E0D">
        <w:rPr>
          <w:rStyle w:val="normaltextrun"/>
          <w:rFonts w:ascii="Verdana" w:hAnsi="Verdana" w:cs="Arial"/>
          <w:shd w:val="clear" w:color="auto" w:fill="FFFFFF"/>
        </w:rPr>
        <w:t xml:space="preserve">La Agencia Nacional de Contratación Pública – Colombia Compra Eficiente analizó </w:t>
      </w:r>
    </w:p>
    <w:p w14:paraId="1A0232EF" w14:textId="7A3D1D73" w:rsidR="00A326E6" w:rsidRDefault="00F1607A" w:rsidP="00A326E6">
      <w:pPr>
        <w:spacing w:after="0" w:line="276" w:lineRule="auto"/>
        <w:jc w:val="both"/>
        <w:rPr>
          <w:rFonts w:ascii="Verdana" w:hAnsi="Verdana"/>
        </w:rPr>
      </w:pPr>
      <w:r w:rsidRPr="00274E0D">
        <w:rPr>
          <w:rFonts w:ascii="Verdana" w:hAnsi="Verdana" w:cs="Arial"/>
          <w:lang w:val="es-ES"/>
        </w:rPr>
        <w:t xml:space="preserve">el </w:t>
      </w:r>
      <w:r w:rsidR="00A326E6" w:rsidRPr="00274E0D">
        <w:rPr>
          <w:rFonts w:ascii="Verdana" w:hAnsi="Verdana" w:cs="Arial"/>
          <w:lang w:val="es-ES"/>
        </w:rPr>
        <w:t>contrato</w:t>
      </w:r>
      <w:r w:rsidRPr="00274E0D">
        <w:rPr>
          <w:rFonts w:ascii="Verdana" w:hAnsi="Verdana" w:cs="Arial"/>
          <w:lang w:val="es-ES"/>
        </w:rPr>
        <w:t xml:space="preserve"> de </w:t>
      </w:r>
      <w:r w:rsidR="00A326E6" w:rsidRPr="00274E0D">
        <w:rPr>
          <w:rFonts w:ascii="Verdana" w:hAnsi="Verdana" w:cs="Arial"/>
          <w:lang w:val="es-ES"/>
        </w:rPr>
        <w:t xml:space="preserve">prestación de servicios profesionales </w:t>
      </w:r>
      <w:r w:rsidR="00A326E6">
        <w:rPr>
          <w:rFonts w:ascii="Verdana" w:hAnsi="Verdana" w:cs="Arial"/>
          <w:lang w:val="es-ES"/>
        </w:rPr>
        <w:t xml:space="preserve"> y </w:t>
      </w:r>
      <w:r w:rsidR="00A326E6" w:rsidRPr="00274E0D">
        <w:rPr>
          <w:rFonts w:ascii="Verdana" w:hAnsi="Verdana" w:cs="Arial"/>
          <w:lang w:val="es-ES"/>
        </w:rPr>
        <w:t>se ha pronunciado esta Subdirección</w:t>
      </w:r>
      <w:r w:rsidRPr="009C6440">
        <w:rPr>
          <w:rFonts w:ascii="Verdana" w:hAnsi="Verdana" w:cs="Arial"/>
          <w:lang w:val="es-ES"/>
        </w:rPr>
        <w:t xml:space="preserve"> en </w:t>
      </w:r>
      <w:r w:rsidR="00A326E6" w:rsidRPr="009C6440">
        <w:rPr>
          <w:rFonts w:ascii="Verdana" w:hAnsi="Verdana" w:cs="Arial"/>
          <w:lang w:val="es-ES"/>
        </w:rPr>
        <w:t xml:space="preserve">los conceptos </w:t>
      </w:r>
      <w:r w:rsidR="00A326E6" w:rsidRPr="009C6440">
        <w:rPr>
          <w:rFonts w:ascii="Verdana" w:hAnsi="Verdana"/>
        </w:rPr>
        <w:t xml:space="preserve">4201912000005478 del 25 de septiembre de 2019, 4201912000006692 del 12 de noviembre de 2019, </w:t>
      </w:r>
      <w:r w:rsidRPr="009C6440">
        <w:rPr>
          <w:rFonts w:ascii="Verdana" w:hAnsi="Verdana"/>
        </w:rPr>
        <w:t>C-</w:t>
      </w:r>
      <w:r w:rsidR="00A326E6" w:rsidRPr="009C6440">
        <w:rPr>
          <w:rFonts w:ascii="Verdana" w:hAnsi="Verdana"/>
        </w:rPr>
        <w:t>090</w:t>
      </w:r>
      <w:r w:rsidRPr="009C6440">
        <w:rPr>
          <w:rFonts w:ascii="Verdana" w:hAnsi="Verdana"/>
        </w:rPr>
        <w:t xml:space="preserve"> del </w:t>
      </w:r>
      <w:r w:rsidR="00A326E6" w:rsidRPr="009C6440">
        <w:rPr>
          <w:rFonts w:ascii="Verdana" w:hAnsi="Verdana"/>
        </w:rPr>
        <w:t>24</w:t>
      </w:r>
      <w:r w:rsidRPr="009C6440">
        <w:rPr>
          <w:rFonts w:ascii="Verdana" w:hAnsi="Verdana"/>
        </w:rPr>
        <w:t xml:space="preserve"> de </w:t>
      </w:r>
      <w:r w:rsidR="00A326E6" w:rsidRPr="009C6440">
        <w:rPr>
          <w:rFonts w:ascii="Verdana" w:hAnsi="Verdana"/>
        </w:rPr>
        <w:t>febrero</w:t>
      </w:r>
      <w:r w:rsidRPr="009C6440">
        <w:rPr>
          <w:rFonts w:ascii="Verdana" w:hAnsi="Verdana"/>
        </w:rPr>
        <w:t xml:space="preserve"> de </w:t>
      </w:r>
      <w:r w:rsidR="00A326E6" w:rsidRPr="009C6440">
        <w:rPr>
          <w:rFonts w:ascii="Verdana" w:hAnsi="Verdana"/>
        </w:rPr>
        <w:t>2020</w:t>
      </w:r>
      <w:r w:rsidRPr="009C6440">
        <w:rPr>
          <w:rFonts w:ascii="Verdana" w:hAnsi="Verdana"/>
        </w:rPr>
        <w:t>, C-</w:t>
      </w:r>
      <w:r w:rsidR="00A326E6" w:rsidRPr="009C6440">
        <w:rPr>
          <w:rFonts w:ascii="Verdana" w:hAnsi="Verdana"/>
        </w:rPr>
        <w:t>734</w:t>
      </w:r>
      <w:r w:rsidRPr="009C6440">
        <w:rPr>
          <w:rFonts w:ascii="Verdana" w:hAnsi="Verdana"/>
        </w:rPr>
        <w:t xml:space="preserve"> del </w:t>
      </w:r>
      <w:r w:rsidR="00A326E6" w:rsidRPr="009C6440">
        <w:rPr>
          <w:rFonts w:ascii="Verdana" w:hAnsi="Verdana"/>
        </w:rPr>
        <w:t>28</w:t>
      </w:r>
      <w:r w:rsidRPr="009C6440">
        <w:rPr>
          <w:rFonts w:ascii="Verdana" w:hAnsi="Verdana"/>
        </w:rPr>
        <w:t xml:space="preserve"> de </w:t>
      </w:r>
      <w:r w:rsidR="00A326E6" w:rsidRPr="009C6440">
        <w:rPr>
          <w:rFonts w:ascii="Verdana" w:hAnsi="Verdana"/>
        </w:rPr>
        <w:t>noviembre</w:t>
      </w:r>
      <w:r w:rsidRPr="009C6440">
        <w:rPr>
          <w:rFonts w:ascii="Verdana" w:hAnsi="Verdana"/>
        </w:rPr>
        <w:t xml:space="preserve"> de 2022, C-</w:t>
      </w:r>
      <w:r w:rsidR="00A326E6" w:rsidRPr="009C6440">
        <w:rPr>
          <w:rFonts w:ascii="Verdana" w:hAnsi="Verdana"/>
        </w:rPr>
        <w:t>783</w:t>
      </w:r>
      <w:r w:rsidRPr="009C6440">
        <w:rPr>
          <w:rFonts w:ascii="Verdana" w:hAnsi="Verdana"/>
        </w:rPr>
        <w:t xml:space="preserve"> del </w:t>
      </w:r>
      <w:r w:rsidR="00A326E6" w:rsidRPr="009C6440">
        <w:rPr>
          <w:rFonts w:ascii="Verdana" w:hAnsi="Verdana"/>
        </w:rPr>
        <w:t>05</w:t>
      </w:r>
      <w:r w:rsidRPr="009C6440">
        <w:rPr>
          <w:rFonts w:ascii="Verdana" w:hAnsi="Verdana"/>
        </w:rPr>
        <w:t xml:space="preserve"> de </w:t>
      </w:r>
      <w:r w:rsidR="00A326E6" w:rsidRPr="009C6440">
        <w:rPr>
          <w:rFonts w:ascii="Verdana" w:hAnsi="Verdana"/>
        </w:rPr>
        <w:t>diciembre</w:t>
      </w:r>
      <w:r w:rsidRPr="009C6440">
        <w:rPr>
          <w:rFonts w:ascii="Verdana" w:hAnsi="Verdana"/>
        </w:rPr>
        <w:t xml:space="preserve"> de 2022, C-</w:t>
      </w:r>
      <w:r w:rsidR="00A326E6" w:rsidRPr="009C6440">
        <w:rPr>
          <w:rFonts w:ascii="Verdana" w:hAnsi="Verdana"/>
        </w:rPr>
        <w:t>936</w:t>
      </w:r>
      <w:r w:rsidRPr="009C6440">
        <w:rPr>
          <w:rFonts w:ascii="Verdana" w:hAnsi="Verdana"/>
        </w:rPr>
        <w:t xml:space="preserve"> del </w:t>
      </w:r>
      <w:r w:rsidR="00A326E6" w:rsidRPr="009C6440">
        <w:rPr>
          <w:rFonts w:ascii="Verdana" w:hAnsi="Verdana"/>
        </w:rPr>
        <w:t>19</w:t>
      </w:r>
      <w:r w:rsidRPr="009C6440">
        <w:rPr>
          <w:rFonts w:ascii="Verdana" w:hAnsi="Verdana"/>
        </w:rPr>
        <w:t xml:space="preserve"> de </w:t>
      </w:r>
      <w:r w:rsidR="00A326E6" w:rsidRPr="009C6440">
        <w:rPr>
          <w:rFonts w:ascii="Verdana" w:hAnsi="Verdana"/>
        </w:rPr>
        <w:t>diciembre</w:t>
      </w:r>
      <w:r w:rsidRPr="009C6440">
        <w:rPr>
          <w:rFonts w:ascii="Verdana" w:hAnsi="Verdana"/>
        </w:rPr>
        <w:t xml:space="preserve"> de 2022, C-</w:t>
      </w:r>
      <w:r w:rsidR="00A326E6" w:rsidRPr="009C6440">
        <w:rPr>
          <w:rFonts w:ascii="Verdana" w:hAnsi="Verdana"/>
        </w:rPr>
        <w:t>826 del 22 de diciembre</w:t>
      </w:r>
      <w:r w:rsidRPr="009C6440">
        <w:rPr>
          <w:rFonts w:ascii="Verdana" w:hAnsi="Verdana"/>
        </w:rPr>
        <w:t xml:space="preserve"> de 2022, C-</w:t>
      </w:r>
      <w:r w:rsidR="00A326E6" w:rsidRPr="009C6440">
        <w:rPr>
          <w:rFonts w:ascii="Verdana" w:hAnsi="Verdana"/>
        </w:rPr>
        <w:t>780</w:t>
      </w:r>
      <w:r w:rsidRPr="009C6440">
        <w:rPr>
          <w:rFonts w:ascii="Verdana" w:hAnsi="Verdana"/>
        </w:rPr>
        <w:t xml:space="preserve"> del </w:t>
      </w:r>
      <w:r w:rsidR="00A326E6" w:rsidRPr="009C6440">
        <w:rPr>
          <w:rFonts w:ascii="Verdana" w:hAnsi="Verdana"/>
        </w:rPr>
        <w:t>22</w:t>
      </w:r>
      <w:r w:rsidRPr="009C6440">
        <w:rPr>
          <w:rFonts w:ascii="Verdana" w:hAnsi="Verdana"/>
        </w:rPr>
        <w:t xml:space="preserve"> de </w:t>
      </w:r>
      <w:r w:rsidR="00A326E6" w:rsidRPr="009C6440">
        <w:rPr>
          <w:rFonts w:ascii="Verdana" w:hAnsi="Verdana"/>
        </w:rPr>
        <w:t>diciembre</w:t>
      </w:r>
      <w:r w:rsidRPr="009C6440">
        <w:rPr>
          <w:rFonts w:ascii="Verdana" w:hAnsi="Verdana"/>
        </w:rPr>
        <w:t xml:space="preserve"> de 2022, C-</w:t>
      </w:r>
      <w:r w:rsidR="00A326E6" w:rsidRPr="009C6440">
        <w:rPr>
          <w:rFonts w:ascii="Verdana" w:hAnsi="Verdana"/>
        </w:rPr>
        <w:t>103 del 05 de mayo de 2023, C-286</w:t>
      </w:r>
      <w:r w:rsidRPr="009C6440">
        <w:rPr>
          <w:rFonts w:ascii="Verdana" w:hAnsi="Verdana"/>
        </w:rPr>
        <w:t xml:space="preserve"> del 26 de julio de 2023, C-</w:t>
      </w:r>
      <w:r w:rsidR="00A326E6" w:rsidRPr="009C6440">
        <w:rPr>
          <w:rFonts w:ascii="Verdana" w:hAnsi="Verdana"/>
        </w:rPr>
        <w:t>334 del 17 de agosto de 2023, C-443 del 31 de octubre de 2023, C-463 del 22 de noviembre de 2023, C-472 del 11 de diciembre de 2023, C-067 del 16 de mayo</w:t>
      </w:r>
      <w:r w:rsidRPr="009C6440">
        <w:rPr>
          <w:rFonts w:ascii="Verdana" w:hAnsi="Verdana"/>
        </w:rPr>
        <w:t xml:space="preserve"> de 2024</w:t>
      </w:r>
      <w:r>
        <w:rPr>
          <w:rFonts w:ascii="Verdana" w:hAnsi="Verdana"/>
        </w:rPr>
        <w:t xml:space="preserve"> y C-</w:t>
      </w:r>
      <w:r w:rsidR="00A541C3">
        <w:rPr>
          <w:rFonts w:ascii="Verdana" w:hAnsi="Verdana"/>
        </w:rPr>
        <w:t xml:space="preserve">243 del 13 de agosto de 2024. </w:t>
      </w:r>
    </w:p>
    <w:p w14:paraId="159FB6D2" w14:textId="2B355B73" w:rsidR="00A541C3" w:rsidRDefault="00A541C3" w:rsidP="00A326E6">
      <w:pPr>
        <w:spacing w:after="0" w:line="276" w:lineRule="auto"/>
        <w:jc w:val="both"/>
        <w:rPr>
          <w:rFonts w:ascii="Verdana" w:hAnsi="Verdana"/>
        </w:rPr>
      </w:pPr>
    </w:p>
    <w:p w14:paraId="301B5FED" w14:textId="3F6949AE" w:rsidR="00F1607A" w:rsidRPr="006D2030" w:rsidRDefault="007A6D61" w:rsidP="00F1607A">
      <w:pPr>
        <w:spacing w:after="0" w:line="276" w:lineRule="auto"/>
        <w:jc w:val="both"/>
        <w:rPr>
          <w:rFonts w:ascii="Verdana" w:eastAsia="Calibri" w:hAnsi="Verdana" w:cs="Arial"/>
          <w:color w:val="000000"/>
          <w:szCs w:val="24"/>
          <w:lang w:val="es-ES"/>
        </w:rPr>
      </w:pPr>
      <w:r w:rsidRPr="00623C09">
        <w:rPr>
          <w:rStyle w:val="normaltextrun"/>
          <w:rFonts w:ascii="Verdana" w:hAnsi="Verdana" w:cs="Arial"/>
          <w:shd w:val="clear" w:color="auto" w:fill="FFFFFF"/>
        </w:rPr>
        <w:t>Sobre la liquidación de los contratos estatales esta Subdirección se pronunció en los conceptos No. 4201912000004908</w:t>
      </w:r>
      <w:r w:rsidR="00F1607A" w:rsidRPr="00623C09">
        <w:rPr>
          <w:rStyle w:val="normaltextrun"/>
          <w:rFonts w:ascii="Verdana" w:hAnsi="Verdana" w:cs="Arial"/>
          <w:shd w:val="clear" w:color="auto" w:fill="FFFFFF"/>
        </w:rPr>
        <w:t xml:space="preserve"> del </w:t>
      </w:r>
      <w:r w:rsidRPr="00623C09">
        <w:rPr>
          <w:rStyle w:val="normaltextrun"/>
          <w:rFonts w:ascii="Verdana" w:hAnsi="Verdana" w:cs="Arial"/>
          <w:shd w:val="clear" w:color="auto" w:fill="FFFFFF"/>
        </w:rPr>
        <w:t>27 de septiembre de 2019, CU-028 de 25 de febrero de 2020, C-221 de 21 de abril de 2020, C-078 del 17 de marzo de 2021 y C-220 del 18 de mayo de 2021, C-739 del 29 de noviembre del 2022, C-015 del 24 de febrero del 2023, C-158 del 06 de junio del 2023, C-176 del 03 de mayo del 2023</w:t>
      </w:r>
      <w:r>
        <w:rPr>
          <w:rStyle w:val="normaltextrun"/>
          <w:rFonts w:ascii="Verdana" w:hAnsi="Verdana" w:cs="Arial"/>
          <w:shd w:val="clear" w:color="auto" w:fill="FFFFFF"/>
        </w:rPr>
        <w:t>,</w:t>
      </w:r>
      <w:r w:rsidRPr="00623C09">
        <w:rPr>
          <w:rStyle w:val="normaltextrun"/>
          <w:rFonts w:ascii="Verdana" w:hAnsi="Verdana" w:cs="Arial"/>
          <w:shd w:val="clear" w:color="auto" w:fill="FFFFFF"/>
        </w:rPr>
        <w:t xml:space="preserve"> C-427 del 27 de noviembre del 2023</w:t>
      </w:r>
      <w:r>
        <w:rPr>
          <w:rStyle w:val="normaltextrun"/>
          <w:rFonts w:ascii="Verdana" w:hAnsi="Verdana" w:cs="Arial"/>
          <w:shd w:val="clear" w:color="auto" w:fill="FFFFFF"/>
        </w:rPr>
        <w:t xml:space="preserve"> y C-346 del 29 de agosto de 2024.</w:t>
      </w:r>
      <w:r w:rsidR="00F1607A" w:rsidRPr="006D2030">
        <w:rPr>
          <w:rFonts w:ascii="Verdana" w:eastAsia="Calibri" w:hAnsi="Verdana" w:cs="Arial"/>
          <w:color w:val="000000"/>
          <w:szCs w:val="24"/>
          <w:lang w:val="es-ES"/>
        </w:rPr>
        <w:t xml:space="preserve"> </w:t>
      </w:r>
      <w:r w:rsidR="00F1607A" w:rsidRPr="006D2030">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00F1607A" w:rsidRPr="006D2030">
        <w:rPr>
          <w:rFonts w:ascii="Verdana" w:hAnsi="Verdana"/>
        </w:rPr>
        <w:t>, accede a través del siguiente enlace:</w:t>
      </w:r>
    </w:p>
    <w:p w14:paraId="253BE25D" w14:textId="77777777" w:rsidR="00F1607A" w:rsidRPr="006D2030" w:rsidRDefault="00F1607A" w:rsidP="00F1607A">
      <w:pPr>
        <w:widowControl w:val="0"/>
        <w:autoSpaceDE w:val="0"/>
        <w:autoSpaceDN w:val="0"/>
        <w:spacing w:after="0" w:line="276" w:lineRule="auto"/>
        <w:jc w:val="both"/>
        <w:rPr>
          <w:rStyle w:val="normaltextrun"/>
          <w:rFonts w:ascii="Verdana" w:hAnsi="Verdana"/>
        </w:rPr>
      </w:pPr>
      <w:hyperlink r:id="rId20" w:history="1">
        <w:r w:rsidRPr="006D2030">
          <w:rPr>
            <w:rStyle w:val="Hipervnculo"/>
            <w:rFonts w:ascii="Verdana" w:hAnsi="Verdana" w:cs="Arial"/>
            <w:shd w:val="clear" w:color="auto" w:fill="FFFFFF"/>
            <w:lang w:val="es-ES"/>
          </w:rPr>
          <w:t>https://relatoria.colombiacompra.gov.co/busqueda/conceptos</w:t>
        </w:r>
      </w:hyperlink>
      <w:r w:rsidRPr="006D2030">
        <w:rPr>
          <w:rStyle w:val="normaltextrun"/>
          <w:rFonts w:ascii="Verdana" w:hAnsi="Verdana" w:cs="Arial"/>
          <w:shd w:val="clear" w:color="auto" w:fill="FFFFFF"/>
        </w:rPr>
        <w:t xml:space="preserve">. </w:t>
      </w:r>
    </w:p>
    <w:p w14:paraId="0567C668" w14:textId="77777777" w:rsidR="00F1607A" w:rsidRPr="006D2030" w:rsidRDefault="00F1607A" w:rsidP="00F1607A">
      <w:pPr>
        <w:widowControl w:val="0"/>
        <w:autoSpaceDE w:val="0"/>
        <w:autoSpaceDN w:val="0"/>
        <w:spacing w:after="0" w:line="276" w:lineRule="auto"/>
        <w:jc w:val="both"/>
        <w:rPr>
          <w:rStyle w:val="normaltextrun"/>
          <w:rFonts w:ascii="Verdana" w:hAnsi="Verdana" w:cs="Arial"/>
          <w:shd w:val="clear" w:color="auto" w:fill="FFFFFF"/>
        </w:rPr>
      </w:pPr>
    </w:p>
    <w:p w14:paraId="7933353B" w14:textId="77777777" w:rsidR="00F1607A" w:rsidRPr="006D2030" w:rsidRDefault="00F1607A" w:rsidP="00F1607A">
      <w:pPr>
        <w:widowControl w:val="0"/>
        <w:autoSpaceDE w:val="0"/>
        <w:autoSpaceDN w:val="0"/>
        <w:spacing w:after="0" w:line="276" w:lineRule="auto"/>
        <w:jc w:val="both"/>
        <w:rPr>
          <w:rStyle w:val="normaltextrun"/>
          <w:rFonts w:ascii="Verdana" w:hAnsi="Verdana" w:cs="Arial"/>
          <w:shd w:val="clear" w:color="auto" w:fill="FFFFFF"/>
        </w:rPr>
      </w:pPr>
      <w:r w:rsidRPr="006D2030">
        <w:rPr>
          <w:rStyle w:val="normaltextrun"/>
          <w:rFonts w:ascii="Verdana" w:hAnsi="Verdana" w:cs="Arial"/>
          <w:shd w:val="clear" w:color="auto" w:fill="FFFFFF"/>
        </w:rPr>
        <w:t xml:space="preserve">También te </w:t>
      </w:r>
      <w:r w:rsidRPr="006D2030">
        <w:rPr>
          <w:rFonts w:ascii="Verdana" w:hAnsi="Verdana" w:cs="Arial"/>
          <w:shd w:val="clear" w:color="auto" w:fill="FFFFFF"/>
        </w:rPr>
        <w:t>invitamos a revisar la tercera edición del  Boletín de Relatoría de 2024 en el cual podrás consultar en detalle el marco normativo de documentos tipo: </w:t>
      </w:r>
      <w:hyperlink r:id="rId21" w:tgtFrame="_blank" w:tooltip="Dirección URL original: https://www.colombiacompra.gov.co/sites/cce_public/files/files_2020/boletin_de_realtoria_iii.pdf. Haga clic o pulse si confía en este vínculo." w:history="1">
        <w:r w:rsidRPr="006D2030">
          <w:rPr>
            <w:rStyle w:val="Hipervnculo"/>
            <w:rFonts w:ascii="Verdana" w:hAnsi="Verdana" w:cs="Arial"/>
            <w:shd w:val="clear" w:color="auto" w:fill="FFFFFF"/>
          </w:rPr>
          <w:t>https://www.colombiacompra.gov.co/sites/cce_public/files/files_2020/boletin_de_realtoria_iii.pdf</w:t>
        </w:r>
      </w:hyperlink>
      <w:r w:rsidRPr="006D2030">
        <w:rPr>
          <w:rFonts w:ascii="Verdana" w:hAnsi="Verdana" w:cs="Arial"/>
          <w:shd w:val="clear" w:color="auto" w:fill="FFFFFF"/>
        </w:rPr>
        <w:t> ".  </w:t>
      </w:r>
    </w:p>
    <w:p w14:paraId="45817AB8" w14:textId="77777777" w:rsidR="00F1607A" w:rsidRDefault="00F1607A" w:rsidP="00F1607A">
      <w:pPr>
        <w:spacing w:after="0" w:line="240" w:lineRule="auto"/>
        <w:jc w:val="both"/>
        <w:rPr>
          <w:rFonts w:ascii="Verdana" w:hAnsi="Verdana"/>
        </w:rPr>
      </w:pPr>
    </w:p>
    <w:p w14:paraId="31A77EB9" w14:textId="50C2353E" w:rsidR="00F1607A" w:rsidRPr="006D2030" w:rsidRDefault="00F1607A" w:rsidP="00F1607A">
      <w:pPr>
        <w:spacing w:after="0" w:line="240" w:lineRule="auto"/>
        <w:jc w:val="both"/>
        <w:rPr>
          <w:rFonts w:ascii="Verdana" w:hAnsi="Verdana"/>
        </w:rPr>
      </w:pPr>
      <w:r w:rsidRPr="006D2030">
        <w:rPr>
          <w:rFonts w:ascii="Verdana" w:hAnsi="Verdana"/>
        </w:rPr>
        <w:lastRenderedPageBreak/>
        <w:t xml:space="preserve">Por último, lo invitamos a seguirnos en las redes sociales en las cuales se difunde información institucional: </w:t>
      </w:r>
    </w:p>
    <w:p w14:paraId="01B54A4A" w14:textId="77777777" w:rsidR="00F1607A" w:rsidRPr="006D2030" w:rsidRDefault="00F1607A" w:rsidP="00F1607A">
      <w:pPr>
        <w:spacing w:after="0" w:line="240" w:lineRule="auto"/>
        <w:jc w:val="both"/>
        <w:rPr>
          <w:rFonts w:ascii="Verdana" w:hAnsi="Verdana"/>
        </w:rPr>
      </w:pPr>
    </w:p>
    <w:p w14:paraId="22EFAC83" w14:textId="77777777" w:rsidR="00F1607A" w:rsidRPr="006D2030" w:rsidRDefault="00F1607A" w:rsidP="00F1607A">
      <w:pPr>
        <w:spacing w:after="0" w:line="240" w:lineRule="auto"/>
        <w:jc w:val="both"/>
        <w:rPr>
          <w:rFonts w:ascii="Verdana" w:hAnsi="Verdana"/>
        </w:rPr>
      </w:pPr>
      <w:r w:rsidRPr="006D2030">
        <w:rPr>
          <w:rFonts w:ascii="Verdana" w:hAnsi="Verdana"/>
        </w:rPr>
        <w:t xml:space="preserve">Twitter: </w:t>
      </w:r>
      <w:r w:rsidRPr="006D2030">
        <w:rPr>
          <w:rFonts w:ascii="Verdana" w:hAnsi="Verdana"/>
          <w:u w:val="single"/>
        </w:rPr>
        <w:t>@colombiacompra</w:t>
      </w:r>
      <w:r w:rsidRPr="006D2030">
        <w:rPr>
          <w:rFonts w:ascii="Verdana" w:hAnsi="Verdana"/>
        </w:rPr>
        <w:t xml:space="preserve"> </w:t>
      </w:r>
    </w:p>
    <w:p w14:paraId="5FB9D6D6" w14:textId="77777777" w:rsidR="00F1607A" w:rsidRPr="006D2030" w:rsidRDefault="00F1607A" w:rsidP="00F1607A">
      <w:pPr>
        <w:spacing w:after="0" w:line="240" w:lineRule="auto"/>
        <w:jc w:val="both"/>
        <w:rPr>
          <w:rFonts w:ascii="Verdana" w:hAnsi="Verdana"/>
        </w:rPr>
      </w:pPr>
      <w:r w:rsidRPr="006D2030">
        <w:rPr>
          <w:rFonts w:ascii="Verdana" w:hAnsi="Verdana"/>
        </w:rPr>
        <w:t xml:space="preserve">Facebook: </w:t>
      </w:r>
      <w:proofErr w:type="spellStart"/>
      <w:r w:rsidRPr="006D2030">
        <w:rPr>
          <w:rFonts w:ascii="Verdana" w:hAnsi="Verdana"/>
          <w:u w:val="single"/>
        </w:rPr>
        <w:t>ColombiaCompraEficiente</w:t>
      </w:r>
      <w:proofErr w:type="spellEnd"/>
    </w:p>
    <w:p w14:paraId="7773B7E4" w14:textId="77777777" w:rsidR="00F1607A" w:rsidRPr="006D2030" w:rsidRDefault="00F1607A" w:rsidP="00F1607A">
      <w:pPr>
        <w:spacing w:after="0" w:line="240" w:lineRule="auto"/>
        <w:jc w:val="both"/>
        <w:rPr>
          <w:rFonts w:ascii="Verdana" w:hAnsi="Verdana"/>
        </w:rPr>
      </w:pPr>
      <w:r w:rsidRPr="006D2030">
        <w:rPr>
          <w:rFonts w:ascii="Verdana" w:hAnsi="Verdana"/>
        </w:rPr>
        <w:t xml:space="preserve">LinkedIn: </w:t>
      </w:r>
      <w:r w:rsidRPr="006D2030">
        <w:rPr>
          <w:rFonts w:ascii="Verdana" w:hAnsi="Verdana"/>
          <w:u w:val="single"/>
        </w:rPr>
        <w:t>Agencia Nacional de Contratación Pública - Colombia Compra Eficiente</w:t>
      </w:r>
      <w:r w:rsidRPr="006D2030">
        <w:rPr>
          <w:rFonts w:ascii="Verdana" w:hAnsi="Verdana"/>
        </w:rPr>
        <w:t xml:space="preserve"> Instagram: </w:t>
      </w:r>
      <w:r w:rsidRPr="006D2030">
        <w:rPr>
          <w:rFonts w:ascii="Verdana" w:hAnsi="Verdana"/>
          <w:u w:val="single"/>
        </w:rPr>
        <w:t>@colombiacompraeficiente_cce</w:t>
      </w:r>
    </w:p>
    <w:p w14:paraId="2D62921A" w14:textId="77777777" w:rsidR="00F1607A" w:rsidRPr="006D2030" w:rsidRDefault="00F1607A" w:rsidP="00F1607A">
      <w:pPr>
        <w:widowControl w:val="0"/>
        <w:autoSpaceDE w:val="0"/>
        <w:autoSpaceDN w:val="0"/>
        <w:spacing w:after="0" w:line="276" w:lineRule="auto"/>
        <w:jc w:val="both"/>
        <w:rPr>
          <w:rFonts w:ascii="Verdana" w:hAnsi="Verdana" w:cs="Arial"/>
        </w:rPr>
      </w:pPr>
    </w:p>
    <w:p w14:paraId="398BB50E" w14:textId="77777777" w:rsidR="00F1607A" w:rsidRPr="006D2030" w:rsidRDefault="00F1607A" w:rsidP="00F1607A">
      <w:pPr>
        <w:spacing w:before="120" w:after="0" w:line="276" w:lineRule="auto"/>
        <w:jc w:val="both"/>
        <w:textAlignment w:val="baseline"/>
        <w:rPr>
          <w:rFonts w:ascii="Verdana" w:eastAsia="Times New Roman" w:hAnsi="Verdana"/>
          <w:bCs/>
          <w:lang w:val="es-ES_tradnl" w:eastAsia="es-CO"/>
        </w:rPr>
      </w:pPr>
      <w:r w:rsidRPr="006D2030">
        <w:rPr>
          <w:rFonts w:ascii="Verdana" w:hAnsi="Verdana" w:cs="Arial"/>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FADAA1C" w14:textId="77777777" w:rsidR="00F1607A" w:rsidRPr="006D2030" w:rsidRDefault="00F1607A" w:rsidP="00F1607A">
      <w:pPr>
        <w:spacing w:after="0" w:line="240" w:lineRule="auto"/>
        <w:rPr>
          <w:rFonts w:ascii="Verdana" w:eastAsia="Calibri" w:hAnsi="Verdana"/>
        </w:rPr>
      </w:pPr>
    </w:p>
    <w:p w14:paraId="0463CDB7" w14:textId="77777777" w:rsidR="00F1607A" w:rsidRPr="006D2030" w:rsidRDefault="00F1607A" w:rsidP="00F1607A">
      <w:pPr>
        <w:spacing w:after="0" w:line="240" w:lineRule="auto"/>
        <w:rPr>
          <w:rFonts w:ascii="Verdana" w:eastAsia="Times New Roman" w:hAnsi="Verdana" w:cs="Arial"/>
          <w:color w:val="000000"/>
          <w:lang w:val="es-ES_tradnl" w:eastAsia="es-CO"/>
        </w:rPr>
      </w:pPr>
      <w:r w:rsidRPr="006D2030">
        <w:rPr>
          <w:rFonts w:ascii="Verdana" w:eastAsia="Times New Roman" w:hAnsi="Verdana" w:cs="Arial"/>
          <w:lang w:eastAsia="es-CO"/>
        </w:rPr>
        <w:t>Atentamente,</w:t>
      </w:r>
    </w:p>
    <w:p w14:paraId="03D79B48" w14:textId="76747E0D" w:rsidR="00F1607A" w:rsidRPr="006D2030" w:rsidRDefault="000857A4" w:rsidP="00F1607A">
      <w:pPr>
        <w:spacing w:after="0" w:line="276" w:lineRule="auto"/>
        <w:jc w:val="center"/>
        <w:rPr>
          <w:rFonts w:ascii="Verdana" w:eastAsia="Times New Roman" w:hAnsi="Verdana" w:cs="Arial"/>
          <w:sz w:val="18"/>
          <w:szCs w:val="18"/>
          <w:lang w:val="es-ES" w:eastAsia="es-CO"/>
        </w:rPr>
      </w:pPr>
      <w:r w:rsidRPr="002C3AD6">
        <w:rPr>
          <w:rFonts w:ascii="Century Gothic" w:hAnsi="Century Gothic"/>
          <w:noProof/>
        </w:rPr>
        <w:drawing>
          <wp:inline distT="0" distB="0" distL="0" distR="0" wp14:anchorId="6E14B2C7" wp14:editId="2B1B787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772426" cy="140037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F1607A" w:rsidRPr="006D2030" w14:paraId="607CE19E" w14:textId="77777777" w:rsidTr="00371F67">
        <w:trPr>
          <w:trHeight w:val="409"/>
        </w:trPr>
        <w:tc>
          <w:tcPr>
            <w:tcW w:w="817" w:type="dxa"/>
            <w:tcBorders>
              <w:top w:val="nil"/>
              <w:left w:val="nil"/>
              <w:bottom w:val="nil"/>
              <w:right w:val="nil"/>
            </w:tcBorders>
            <w:vAlign w:val="center"/>
            <w:hideMark/>
          </w:tcPr>
          <w:p w14:paraId="016CDCAC" w14:textId="77777777" w:rsidR="00F1607A" w:rsidRPr="006D2030" w:rsidRDefault="00F1607A" w:rsidP="00371F67">
            <w:pPr>
              <w:spacing w:after="0" w:line="240" w:lineRule="auto"/>
              <w:jc w:val="both"/>
              <w:rPr>
                <w:rFonts w:ascii="Verdana" w:hAnsi="Verdana" w:cs="Arial"/>
                <w:sz w:val="16"/>
                <w:szCs w:val="16"/>
              </w:rPr>
            </w:pPr>
            <w:r w:rsidRPr="006D2030">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485A58D9" w14:textId="77777777" w:rsidR="00F1607A" w:rsidRPr="006D2030" w:rsidRDefault="00F1607A" w:rsidP="00371F67">
            <w:pPr>
              <w:spacing w:after="0" w:line="240" w:lineRule="auto"/>
              <w:jc w:val="both"/>
              <w:rPr>
                <w:rFonts w:ascii="Verdana" w:hAnsi="Verdana" w:cs="Arial"/>
                <w:sz w:val="16"/>
                <w:szCs w:val="16"/>
              </w:rPr>
            </w:pPr>
            <w:r w:rsidRPr="006D2030">
              <w:rPr>
                <w:rFonts w:ascii="Verdana" w:hAnsi="Verdana" w:cs="Arial"/>
                <w:sz w:val="16"/>
                <w:szCs w:val="16"/>
              </w:rPr>
              <w:t>Gustavo Hinestroza Martínez</w:t>
            </w:r>
          </w:p>
          <w:p w14:paraId="4D0F56AC" w14:textId="77777777" w:rsidR="00F1607A" w:rsidRPr="006D2030" w:rsidRDefault="00F1607A" w:rsidP="00371F67">
            <w:pPr>
              <w:spacing w:after="0" w:line="240" w:lineRule="auto"/>
              <w:jc w:val="both"/>
              <w:rPr>
                <w:rFonts w:ascii="Verdana" w:hAnsi="Verdana" w:cs="Arial"/>
                <w:sz w:val="16"/>
                <w:szCs w:val="16"/>
              </w:rPr>
            </w:pPr>
            <w:r w:rsidRPr="006D2030">
              <w:rPr>
                <w:rFonts w:ascii="Verdana" w:hAnsi="Verdana" w:cs="Arial"/>
                <w:sz w:val="16"/>
                <w:szCs w:val="16"/>
              </w:rPr>
              <w:t>Contratista de la Subdirección de Gestión Contractual</w:t>
            </w:r>
          </w:p>
        </w:tc>
      </w:tr>
      <w:tr w:rsidR="00F1607A" w:rsidRPr="006D2030" w14:paraId="033E39B3" w14:textId="77777777" w:rsidTr="00371F67">
        <w:trPr>
          <w:trHeight w:val="409"/>
        </w:trPr>
        <w:tc>
          <w:tcPr>
            <w:tcW w:w="817" w:type="dxa"/>
            <w:tcBorders>
              <w:top w:val="nil"/>
              <w:left w:val="nil"/>
              <w:bottom w:val="nil"/>
              <w:right w:val="nil"/>
            </w:tcBorders>
            <w:vAlign w:val="center"/>
            <w:hideMark/>
          </w:tcPr>
          <w:p w14:paraId="31E86223" w14:textId="77777777" w:rsidR="00F1607A" w:rsidRPr="006D2030" w:rsidRDefault="00F1607A" w:rsidP="00371F67">
            <w:pPr>
              <w:spacing w:after="0"/>
              <w:jc w:val="both"/>
              <w:rPr>
                <w:rFonts w:ascii="Verdana" w:hAnsi="Verdana" w:cs="Arial"/>
                <w:sz w:val="16"/>
                <w:szCs w:val="16"/>
              </w:rPr>
            </w:pPr>
            <w:r w:rsidRPr="006D2030">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B09963B" w14:textId="0A56520A" w:rsidR="00F1607A" w:rsidRPr="00DD4229" w:rsidRDefault="00DD4229" w:rsidP="00371F67">
            <w:pPr>
              <w:spacing w:after="0" w:line="276" w:lineRule="auto"/>
              <w:textAlignment w:val="baseline"/>
              <w:rPr>
                <w:rFonts w:ascii="Verdana" w:hAnsi="Verdana" w:cs="Arial"/>
                <w:sz w:val="16"/>
                <w:szCs w:val="16"/>
              </w:rPr>
            </w:pPr>
            <w:r w:rsidRPr="00DD4229">
              <w:rPr>
                <w:rFonts w:ascii="Verdana" w:hAnsi="Verdana" w:cs="Arial"/>
                <w:sz w:val="16"/>
                <w:szCs w:val="16"/>
              </w:rPr>
              <w:t xml:space="preserve">Juan David Cárdenas Cabeza </w:t>
            </w:r>
          </w:p>
          <w:p w14:paraId="79D53424" w14:textId="1070E003" w:rsidR="00F1607A" w:rsidRPr="006D2030" w:rsidRDefault="00DD4229" w:rsidP="00371F67">
            <w:pPr>
              <w:spacing w:after="0" w:line="240" w:lineRule="auto"/>
              <w:jc w:val="both"/>
              <w:rPr>
                <w:rFonts w:ascii="Verdana" w:hAnsi="Verdana" w:cs="Arial"/>
                <w:sz w:val="16"/>
                <w:szCs w:val="16"/>
              </w:rPr>
            </w:pPr>
            <w:r w:rsidRPr="00DD4229">
              <w:rPr>
                <w:rFonts w:ascii="Verdana" w:hAnsi="Verdana" w:cs="Arial"/>
                <w:sz w:val="16"/>
                <w:szCs w:val="16"/>
              </w:rPr>
              <w:t>Contratista</w:t>
            </w:r>
            <w:r w:rsidR="00F1607A" w:rsidRPr="00DD4229">
              <w:rPr>
                <w:rFonts w:ascii="Verdana" w:hAnsi="Verdana" w:cs="Arial"/>
                <w:sz w:val="16"/>
                <w:szCs w:val="16"/>
              </w:rPr>
              <w:t xml:space="preserve"> de la Subdirección de Gestión Contractual</w:t>
            </w:r>
          </w:p>
        </w:tc>
      </w:tr>
      <w:tr w:rsidR="00F1607A" w:rsidRPr="006D2030" w14:paraId="06B98A38" w14:textId="77777777" w:rsidTr="00371F67">
        <w:trPr>
          <w:trHeight w:val="389"/>
        </w:trPr>
        <w:tc>
          <w:tcPr>
            <w:tcW w:w="817" w:type="dxa"/>
            <w:tcBorders>
              <w:top w:val="nil"/>
              <w:left w:val="nil"/>
              <w:bottom w:val="nil"/>
              <w:right w:val="nil"/>
            </w:tcBorders>
            <w:vAlign w:val="center"/>
            <w:hideMark/>
          </w:tcPr>
          <w:p w14:paraId="05383BCF" w14:textId="77777777" w:rsidR="00F1607A" w:rsidRPr="006D2030" w:rsidRDefault="00F1607A" w:rsidP="00371F67">
            <w:pPr>
              <w:spacing w:after="0" w:line="240" w:lineRule="auto"/>
              <w:jc w:val="both"/>
              <w:rPr>
                <w:rFonts w:ascii="Verdana" w:hAnsi="Verdana" w:cs="Arial"/>
                <w:sz w:val="16"/>
                <w:szCs w:val="16"/>
              </w:rPr>
            </w:pPr>
            <w:r w:rsidRPr="006D2030">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95B1505" w14:textId="77777777" w:rsidR="00F1607A" w:rsidRPr="006D2030" w:rsidRDefault="00F1607A" w:rsidP="00371F67">
            <w:pPr>
              <w:spacing w:after="0"/>
              <w:rPr>
                <w:rFonts w:ascii="Verdana" w:eastAsia="Calibri" w:hAnsi="Verdana" w:cs="Arial"/>
                <w:sz w:val="16"/>
                <w:szCs w:val="16"/>
                <w:lang w:val="pt-BR" w:eastAsia="es-ES"/>
              </w:rPr>
            </w:pPr>
            <w:r w:rsidRPr="006D2030">
              <w:rPr>
                <w:rFonts w:ascii="Verdana" w:eastAsia="Calibri" w:hAnsi="Verdana" w:cs="Arial"/>
                <w:sz w:val="16"/>
                <w:szCs w:val="16"/>
                <w:lang w:val="pt-BR" w:eastAsia="es-ES"/>
              </w:rPr>
              <w:t xml:space="preserve">Carolina Quintero </w:t>
            </w:r>
            <w:proofErr w:type="spellStart"/>
            <w:r w:rsidRPr="006D2030">
              <w:rPr>
                <w:rFonts w:ascii="Verdana" w:eastAsia="Calibri" w:hAnsi="Verdana" w:cs="Arial"/>
                <w:sz w:val="16"/>
                <w:szCs w:val="16"/>
                <w:lang w:val="pt-BR" w:eastAsia="es-ES"/>
              </w:rPr>
              <w:t>Gacharná</w:t>
            </w:r>
            <w:proofErr w:type="spellEnd"/>
          </w:p>
          <w:p w14:paraId="164240B8" w14:textId="77777777" w:rsidR="00F1607A" w:rsidRPr="006D2030" w:rsidRDefault="00F1607A" w:rsidP="00371F67">
            <w:pPr>
              <w:spacing w:after="0" w:line="240" w:lineRule="auto"/>
              <w:jc w:val="both"/>
              <w:rPr>
                <w:rFonts w:ascii="Verdana" w:hAnsi="Verdana" w:cs="Arial"/>
                <w:sz w:val="16"/>
                <w:szCs w:val="16"/>
              </w:rPr>
            </w:pPr>
            <w:r w:rsidRPr="006D2030">
              <w:rPr>
                <w:rFonts w:ascii="Verdana" w:hAnsi="Verdana" w:cs="Arial"/>
                <w:sz w:val="16"/>
                <w:szCs w:val="16"/>
              </w:rPr>
              <w:t>Subdirectora de Gestión Contractual ANCP – CCE</w:t>
            </w:r>
          </w:p>
        </w:tc>
      </w:tr>
    </w:tbl>
    <w:p w14:paraId="16F842BD" w14:textId="77777777" w:rsidR="00F1607A" w:rsidRPr="006D2030" w:rsidRDefault="00F1607A" w:rsidP="00F1607A">
      <w:pPr>
        <w:spacing w:line="276" w:lineRule="auto"/>
        <w:ind w:right="758"/>
        <w:jc w:val="both"/>
        <w:rPr>
          <w:rFonts w:ascii="Verdana" w:hAnsi="Verdana" w:cs="Arial"/>
          <w:bdr w:val="none" w:sz="0" w:space="0" w:color="auto" w:frame="1"/>
          <w:shd w:val="clear" w:color="auto" w:fill="FFFFFF"/>
          <w:lang w:val="es-ES_tradnl" w:eastAsia="es-ES_tradnl"/>
        </w:rPr>
      </w:pPr>
    </w:p>
    <w:p w14:paraId="0F293BF4" w14:textId="7BBFAB11" w:rsidR="00127233" w:rsidRPr="006D2030" w:rsidRDefault="00127233" w:rsidP="00BD6CE8">
      <w:pPr>
        <w:rPr>
          <w:rFonts w:ascii="Verdana" w:hAnsi="Verdana"/>
        </w:rPr>
      </w:pPr>
    </w:p>
    <w:sectPr w:rsidR="00127233" w:rsidRPr="006D2030"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65088C" w14:textId="77777777" w:rsidR="0044332E" w:rsidRDefault="0044332E" w:rsidP="004A1847">
      <w:pPr>
        <w:spacing w:after="0" w:line="240" w:lineRule="auto"/>
      </w:pPr>
      <w:r>
        <w:separator/>
      </w:r>
    </w:p>
  </w:endnote>
  <w:endnote w:type="continuationSeparator" w:id="0">
    <w:p w14:paraId="16C81B4A" w14:textId="77777777" w:rsidR="0044332E" w:rsidRDefault="0044332E" w:rsidP="004A1847">
      <w:pPr>
        <w:spacing w:after="0" w:line="240" w:lineRule="auto"/>
      </w:pPr>
      <w:r>
        <w:continuationSeparator/>
      </w:r>
    </w:p>
  </w:endnote>
  <w:endnote w:type="continuationNotice" w:id="1">
    <w:p w14:paraId="425C26D7" w14:textId="77777777" w:rsidR="0044332E" w:rsidRDefault="004433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0"/>
    <w:family w:val="auto"/>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DF13F1" w14:textId="77777777" w:rsidR="0044332E" w:rsidRDefault="0044332E" w:rsidP="004A1847">
      <w:pPr>
        <w:spacing w:after="0" w:line="240" w:lineRule="auto"/>
      </w:pPr>
      <w:r>
        <w:separator/>
      </w:r>
    </w:p>
  </w:footnote>
  <w:footnote w:type="continuationSeparator" w:id="0">
    <w:p w14:paraId="7D912A6D" w14:textId="77777777" w:rsidR="0044332E" w:rsidRDefault="0044332E" w:rsidP="004A1847">
      <w:pPr>
        <w:spacing w:after="0" w:line="240" w:lineRule="auto"/>
      </w:pPr>
      <w:r>
        <w:continuationSeparator/>
      </w:r>
    </w:p>
  </w:footnote>
  <w:footnote w:type="continuationNotice" w:id="1">
    <w:p w14:paraId="68A6E2A1" w14:textId="77777777" w:rsidR="0044332E" w:rsidRDefault="0044332E">
      <w:pPr>
        <w:spacing w:after="0" w:line="240" w:lineRule="auto"/>
      </w:pPr>
    </w:p>
  </w:footnote>
  <w:footnote w:id="2">
    <w:p w14:paraId="06A576E1" w14:textId="77777777" w:rsidR="009859A1" w:rsidRPr="006A691F" w:rsidRDefault="009859A1" w:rsidP="009859A1">
      <w:pPr>
        <w:pStyle w:val="Textonotapie"/>
        <w:ind w:firstLine="708"/>
        <w:rPr>
          <w:rFonts w:ascii="Verdana" w:hAnsi="Verdana"/>
          <w:sz w:val="16"/>
          <w:szCs w:val="16"/>
        </w:rPr>
      </w:pPr>
      <w:r w:rsidRPr="006A691F">
        <w:rPr>
          <w:rStyle w:val="Refdenotaalpie"/>
          <w:rFonts w:ascii="Verdana" w:hAnsi="Verdana"/>
          <w:sz w:val="16"/>
          <w:szCs w:val="16"/>
        </w:rPr>
        <w:footnoteRef/>
      </w:r>
      <w:r w:rsidRPr="006A691F">
        <w:rPr>
          <w:rFonts w:ascii="Verdana" w:hAnsi="Verdana" w:cs="Arial"/>
          <w:sz w:val="16"/>
          <w:szCs w:val="16"/>
        </w:rPr>
        <w:t>Consejo de Estado. Sección Segunda. Sentencia del 9 de septiembre de 2021. Expediente No. 05001-23-33-000-2013-01143-01(1317-16). M.P. Dr. Rafael Francisco Suarez Vargas.</w:t>
      </w:r>
    </w:p>
  </w:footnote>
  <w:footnote w:id="3">
    <w:p w14:paraId="5F332D29" w14:textId="6302B2B2" w:rsidR="00DE4B97" w:rsidRPr="006A691F" w:rsidRDefault="00DE4B97" w:rsidP="00DE4B97">
      <w:pPr>
        <w:pStyle w:val="Textonotapie"/>
        <w:ind w:firstLine="708"/>
        <w:rPr>
          <w:rFonts w:ascii="Verdana" w:hAnsi="Verdana"/>
          <w:sz w:val="16"/>
          <w:szCs w:val="16"/>
        </w:rPr>
      </w:pPr>
      <w:r w:rsidRPr="006A691F">
        <w:rPr>
          <w:rStyle w:val="Refdenotaalpie"/>
          <w:rFonts w:ascii="Verdana" w:hAnsi="Verdana"/>
          <w:sz w:val="16"/>
          <w:szCs w:val="16"/>
        </w:rPr>
        <w:footnoteRef/>
      </w:r>
      <w:r w:rsidRPr="006A691F">
        <w:rPr>
          <w:rFonts w:ascii="Verdana" w:hAnsi="Verdana" w:cs="Arial"/>
          <w:sz w:val="16"/>
          <w:szCs w:val="16"/>
        </w:rPr>
        <w:t xml:space="preserve">Consejo de Estado. Sección Segunda. Sentencia del 9 de septiembre de 2021. Expediente No. 05001-23-33-000-2013-01143-01(1317-16). M.P. Dr. </w:t>
      </w:r>
      <w:r w:rsidR="00527064" w:rsidRPr="006A691F">
        <w:rPr>
          <w:rFonts w:ascii="Verdana" w:hAnsi="Verdana" w:cs="Arial"/>
          <w:sz w:val="16"/>
          <w:szCs w:val="16"/>
        </w:rPr>
        <w:t>Rafael Francisco Suarez Vargas.</w:t>
      </w:r>
    </w:p>
  </w:footnote>
  <w:footnote w:id="4">
    <w:p w14:paraId="49585F60" w14:textId="77777777" w:rsidR="00DE4B97" w:rsidRPr="006A691F" w:rsidRDefault="00DE4B97" w:rsidP="00DE4B97">
      <w:pPr>
        <w:pStyle w:val="Textonotapie"/>
        <w:ind w:firstLine="709"/>
        <w:rPr>
          <w:rFonts w:ascii="Verdana" w:hAnsi="Verdana"/>
          <w:sz w:val="16"/>
          <w:szCs w:val="16"/>
          <w:lang w:val="es-CO"/>
        </w:rPr>
      </w:pPr>
      <w:r w:rsidRPr="006A691F">
        <w:rPr>
          <w:rStyle w:val="Refdenotaalpie"/>
          <w:rFonts w:ascii="Verdana" w:hAnsi="Verdana"/>
          <w:b/>
          <w:bCs/>
          <w:sz w:val="16"/>
          <w:szCs w:val="16"/>
        </w:rPr>
        <w:footnoteRef/>
      </w:r>
      <w:r w:rsidRPr="006A691F">
        <w:rPr>
          <w:rFonts w:ascii="Verdana" w:hAnsi="Verdana"/>
          <w:b/>
          <w:bCs/>
          <w:sz w:val="16"/>
          <w:szCs w:val="16"/>
        </w:rPr>
        <w:t xml:space="preserve"> </w:t>
      </w:r>
      <w:r w:rsidRPr="006A691F">
        <w:rPr>
          <w:rFonts w:ascii="Verdana" w:hAnsi="Verdana"/>
          <w:sz w:val="16"/>
          <w:szCs w:val="16"/>
          <w:lang w:val="es-CO"/>
        </w:rPr>
        <w:t>Concepto C – 072 de 2023 expedido por la ANCP-CCE</w:t>
      </w:r>
    </w:p>
    <w:p w14:paraId="5E4FCBC7" w14:textId="77777777" w:rsidR="00DE4B97" w:rsidRPr="006A691F" w:rsidRDefault="00DE4B97" w:rsidP="00DE4B97">
      <w:pPr>
        <w:pStyle w:val="Textonotapie"/>
        <w:ind w:firstLine="709"/>
        <w:rPr>
          <w:rFonts w:ascii="Verdana" w:hAnsi="Verdana"/>
          <w:b/>
          <w:bCs/>
          <w:sz w:val="16"/>
          <w:szCs w:val="16"/>
          <w:lang w:val="es-ES"/>
        </w:rPr>
      </w:pPr>
    </w:p>
  </w:footnote>
  <w:footnote w:id="5">
    <w:p w14:paraId="36496C55" w14:textId="77777777" w:rsidR="00DE4B97" w:rsidRPr="006A691F" w:rsidRDefault="00DE4B97" w:rsidP="00DE4B97">
      <w:pPr>
        <w:pStyle w:val="Textonotapie"/>
        <w:ind w:firstLine="708"/>
        <w:rPr>
          <w:rFonts w:ascii="Verdana" w:hAnsi="Verdana" w:cs="Arial"/>
          <w:sz w:val="16"/>
          <w:szCs w:val="16"/>
        </w:rPr>
      </w:pPr>
      <w:r w:rsidRPr="006A691F">
        <w:rPr>
          <w:rStyle w:val="Refdenotaalpie"/>
          <w:rFonts w:ascii="Verdana" w:hAnsi="Verdana"/>
          <w:sz w:val="16"/>
          <w:szCs w:val="16"/>
        </w:rPr>
        <w:footnoteRef/>
      </w:r>
      <w:r w:rsidRPr="006A691F">
        <w:rPr>
          <w:rFonts w:ascii="Verdana" w:hAnsi="Verdana"/>
          <w:sz w:val="16"/>
          <w:szCs w:val="16"/>
        </w:rPr>
        <w:t xml:space="preserve"> </w:t>
      </w:r>
      <w:r w:rsidRPr="006A691F">
        <w:rPr>
          <w:rFonts w:ascii="Verdana" w:hAnsi="Verdana" w:cs="Arial"/>
          <w:sz w:val="16"/>
          <w:szCs w:val="16"/>
        </w:rPr>
        <w:t>Consejo de Estado. Sección Segunda. Sentencia del 9 de septiembre de 2021. Expediente No. 05001-23-33-000-2013-01143-01(1317-16). M.P. Dra. Sandra Lisset Ibarra Vélez.</w:t>
      </w:r>
    </w:p>
    <w:p w14:paraId="39CDC6F4" w14:textId="77777777" w:rsidR="00DE4B97" w:rsidRPr="006A691F" w:rsidRDefault="00DE4B97" w:rsidP="00DE4B97">
      <w:pPr>
        <w:pStyle w:val="Textonotapie"/>
        <w:ind w:firstLine="708"/>
        <w:rPr>
          <w:rFonts w:ascii="Verdana" w:hAnsi="Verdana"/>
          <w:sz w:val="16"/>
          <w:szCs w:val="16"/>
        </w:rPr>
      </w:pPr>
    </w:p>
  </w:footnote>
  <w:footnote w:id="6">
    <w:p w14:paraId="265662D2" w14:textId="77777777" w:rsidR="00DE4B97" w:rsidRPr="006A691F" w:rsidRDefault="00DE4B97" w:rsidP="00DE4B97">
      <w:pPr>
        <w:pStyle w:val="Textonotapie"/>
        <w:ind w:firstLine="709"/>
        <w:jc w:val="both"/>
        <w:rPr>
          <w:rFonts w:ascii="Verdana" w:hAnsi="Verdana" w:cs="Arial"/>
          <w:sz w:val="16"/>
          <w:szCs w:val="16"/>
          <w:lang w:val="es-ES"/>
        </w:rPr>
      </w:pPr>
      <w:r w:rsidRPr="006A691F">
        <w:rPr>
          <w:rStyle w:val="Refdenotaalpie"/>
          <w:rFonts w:ascii="Verdana" w:hAnsi="Verdana" w:cs="Arial"/>
          <w:sz w:val="16"/>
          <w:szCs w:val="16"/>
        </w:rPr>
        <w:footnoteRef/>
      </w:r>
      <w:r w:rsidRPr="006A691F">
        <w:rPr>
          <w:rFonts w:ascii="Verdana" w:hAnsi="Verdana" w:cs="Arial"/>
          <w:sz w:val="16"/>
          <w:szCs w:val="16"/>
        </w:rPr>
        <w:t xml:space="preserve"> </w:t>
      </w:r>
      <w:r w:rsidRPr="006A691F">
        <w:rPr>
          <w:rFonts w:ascii="Verdana" w:hAnsi="Verdana"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5B19E682" w14:textId="77777777" w:rsidR="00DE4B97" w:rsidRPr="006A691F" w:rsidRDefault="00DE4B97" w:rsidP="00DE4B97">
      <w:pPr>
        <w:pStyle w:val="Textonotapie"/>
        <w:rPr>
          <w:rFonts w:ascii="Verdana" w:hAnsi="Verdana"/>
          <w:sz w:val="16"/>
          <w:szCs w:val="16"/>
          <w:lang w:val="es-CO"/>
        </w:rPr>
      </w:pPr>
    </w:p>
  </w:footnote>
  <w:footnote w:id="7">
    <w:p w14:paraId="0BACE95D" w14:textId="77777777" w:rsidR="00DE4B97" w:rsidRPr="006A691F" w:rsidRDefault="00DE4B97" w:rsidP="00DE4B97">
      <w:pPr>
        <w:pStyle w:val="Textonotapie"/>
        <w:ind w:firstLine="708"/>
        <w:jc w:val="both"/>
        <w:rPr>
          <w:rFonts w:ascii="Verdana" w:hAnsi="Verdana"/>
          <w:sz w:val="16"/>
          <w:szCs w:val="16"/>
          <w:lang w:val="es-CO"/>
        </w:rPr>
      </w:pPr>
      <w:r w:rsidRPr="006A691F">
        <w:rPr>
          <w:rStyle w:val="Refdenotaalpie"/>
          <w:rFonts w:ascii="Verdana" w:hAnsi="Verdana"/>
          <w:sz w:val="16"/>
          <w:szCs w:val="16"/>
        </w:rPr>
        <w:footnoteRef/>
      </w:r>
      <w:r w:rsidRPr="006A691F">
        <w:rPr>
          <w:rFonts w:ascii="Verdana" w:hAnsi="Verdana"/>
          <w:sz w:val="16"/>
          <w:szCs w:val="16"/>
        </w:rPr>
        <w:t xml:space="preserve"> Artículo 2.2.1.2.1.4.1 del Decreto 1082 de 2015, señala: (…) </w:t>
      </w:r>
      <w:r w:rsidRPr="006A691F">
        <w:rPr>
          <w:rFonts w:ascii="Verdana" w:hAnsi="Verdana"/>
          <w:sz w:val="16"/>
          <w:szCs w:val="16"/>
          <w:lang w:val="es-CO"/>
        </w:rPr>
        <w:t>Este acto administrativo no es necesario cuando el contrato a celebrar es de prestación de servicios profesionales y de apoyo a la gestión, y para los contratos de que tratan los literales (a) y (b) del artículo 2.2.1.2.1.4.3 del presente decreto. (…)</w:t>
      </w:r>
    </w:p>
    <w:p w14:paraId="038149FD" w14:textId="77777777" w:rsidR="00DE4B97" w:rsidRPr="006A691F" w:rsidRDefault="00DE4B97" w:rsidP="00DE4B97">
      <w:pPr>
        <w:pStyle w:val="Textonotapie"/>
        <w:ind w:firstLine="708"/>
        <w:jc w:val="both"/>
        <w:rPr>
          <w:rFonts w:ascii="Verdana" w:hAnsi="Verdana"/>
          <w:sz w:val="16"/>
          <w:szCs w:val="16"/>
        </w:rPr>
      </w:pPr>
    </w:p>
  </w:footnote>
  <w:footnote w:id="8">
    <w:p w14:paraId="1200210A" w14:textId="77777777" w:rsidR="00DE4B97" w:rsidRPr="006A691F" w:rsidRDefault="00DE4B97" w:rsidP="00DE4B97">
      <w:pPr>
        <w:pStyle w:val="Textonotapie"/>
        <w:ind w:firstLine="708"/>
        <w:rPr>
          <w:rFonts w:ascii="Verdana" w:hAnsi="Verdana"/>
          <w:sz w:val="16"/>
          <w:szCs w:val="16"/>
        </w:rPr>
      </w:pPr>
      <w:r w:rsidRPr="006A691F">
        <w:rPr>
          <w:rStyle w:val="Refdenotaalpie"/>
          <w:rFonts w:ascii="Verdana" w:hAnsi="Verdana"/>
          <w:sz w:val="16"/>
          <w:szCs w:val="16"/>
        </w:rPr>
        <w:footnoteRef/>
      </w:r>
      <w:r w:rsidRPr="006A691F">
        <w:rPr>
          <w:rFonts w:ascii="Verdana" w:hAnsi="Verdana"/>
          <w:sz w:val="16"/>
          <w:szCs w:val="16"/>
        </w:rPr>
        <w:t xml:space="preserve"> Consejo de Estado, Sección Segunda, Sentencia de unificación por importancia jurídica del nueve (09) de septiembre de 2021. Radicado CE-SUJ2-025-21.</w:t>
      </w:r>
    </w:p>
    <w:p w14:paraId="2A0043F7" w14:textId="77777777" w:rsidR="00DE4B97" w:rsidRPr="006A691F" w:rsidRDefault="00DE4B97" w:rsidP="00DE4B97">
      <w:pPr>
        <w:pStyle w:val="Textonotapie"/>
        <w:ind w:firstLine="708"/>
        <w:rPr>
          <w:rFonts w:ascii="Verdana" w:hAnsi="Verdana"/>
          <w:sz w:val="16"/>
          <w:szCs w:val="16"/>
        </w:rPr>
      </w:pPr>
    </w:p>
  </w:footnote>
  <w:footnote w:id="9">
    <w:p w14:paraId="673C3192" w14:textId="77777777" w:rsidR="00DE4B97" w:rsidRPr="006A691F" w:rsidRDefault="00DE4B97" w:rsidP="00DE4B97">
      <w:pPr>
        <w:pStyle w:val="Textonotapie"/>
        <w:ind w:firstLine="708"/>
        <w:jc w:val="both"/>
        <w:rPr>
          <w:rFonts w:ascii="Verdana" w:hAnsi="Verdana"/>
          <w:sz w:val="16"/>
          <w:szCs w:val="16"/>
        </w:rPr>
      </w:pPr>
      <w:r w:rsidRPr="006A691F">
        <w:rPr>
          <w:rStyle w:val="Refdenotaalpie"/>
          <w:rFonts w:ascii="Verdana" w:hAnsi="Verdana"/>
          <w:sz w:val="16"/>
          <w:szCs w:val="16"/>
        </w:rPr>
        <w:footnoteRef/>
      </w:r>
      <w:r w:rsidRPr="006A691F">
        <w:rPr>
          <w:rFonts w:ascii="Verdana" w:hAnsi="Verdana"/>
          <w:sz w:val="16"/>
          <w:szCs w:val="16"/>
        </w:rPr>
        <w:t xml:space="preserve">  Numeral 2 del artículo 14 de la Ley 80 de 1993, señala: (…) Este acto administrativo no es necesario cuando el contrato a celebrar es de prestación de servicios profesionales y de apoyo a la gestión, y para los contratos de que tratan los literales (a) y (b) del artículo 2.2.1.2.1.4.3 del presente decreto. (…)</w:t>
      </w:r>
      <w:r w:rsidRPr="006A691F">
        <w:rPr>
          <w:rFonts w:ascii="Verdana" w:hAnsi="Verdana"/>
          <w:sz w:val="16"/>
          <w:szCs w:val="16"/>
          <w:lang w:val="es-CO"/>
        </w:rPr>
        <w:t xml:space="preserve"> </w:t>
      </w:r>
    </w:p>
  </w:footnote>
  <w:footnote w:id="10">
    <w:p w14:paraId="605BCDA4" w14:textId="5482B244" w:rsidR="00F12B9E" w:rsidRPr="006A691F" w:rsidRDefault="006D2030" w:rsidP="00F12B9E">
      <w:pPr>
        <w:pStyle w:val="Textonotapie"/>
        <w:ind w:firstLine="708"/>
        <w:jc w:val="both"/>
        <w:rPr>
          <w:rFonts w:ascii="Verdana" w:hAnsi="Verdana" w:cs="Arial"/>
          <w:color w:val="000000"/>
          <w:sz w:val="16"/>
          <w:szCs w:val="16"/>
        </w:rPr>
      </w:pPr>
      <w:r w:rsidRPr="00EF30EB">
        <w:rPr>
          <w:rStyle w:val="Refdenotaalpie"/>
          <w:rFonts w:ascii="Verdana" w:hAnsi="Verdana" w:cs="Arial"/>
          <w:color w:val="000000"/>
          <w:sz w:val="16"/>
          <w:szCs w:val="16"/>
        </w:rPr>
        <w:footnoteRef/>
      </w:r>
      <w:r w:rsidR="00F12B9E" w:rsidRPr="006A691F">
        <w:rPr>
          <w:rFonts w:ascii="Verdana" w:hAnsi="Verdana"/>
        </w:rPr>
        <w:t xml:space="preserve"> “</w:t>
      </w:r>
      <w:r w:rsidR="00F12B9E" w:rsidRPr="006A691F">
        <w:rPr>
          <w:rFonts w:ascii="Verdana" w:hAnsi="Verdana" w:cs="Arial"/>
          <w:color w:val="000000"/>
          <w:sz w:val="16"/>
          <w:szCs w:val="16"/>
        </w:rPr>
        <w:t>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00F12B9E" w:rsidRPr="006A691F">
        <w:rPr>
          <w:rFonts w:ascii="Verdana" w:hAnsi="Verdana" w:cs="Arial"/>
          <w:color w:val="000000"/>
          <w:sz w:val="16"/>
          <w:szCs w:val="16"/>
          <w:shd w:val="clear" w:color="auto" w:fill="FFFFFF"/>
        </w:rPr>
        <w:t>”</w:t>
      </w:r>
      <w:r w:rsidR="00F12B9E" w:rsidRPr="006A691F">
        <w:rPr>
          <w:rFonts w:ascii="Verdana" w:hAnsi="Verdana" w:cs="Arial"/>
          <w:color w:val="000000"/>
          <w:sz w:val="16"/>
          <w:szCs w:val="16"/>
        </w:rPr>
        <w:t xml:space="preserve"> EXPOSITO, Juan Carlos. Forma y contenido del contrato estatal. Bogotá: Universidad Externado de Colombia, p. 89 y 90.</w:t>
      </w:r>
    </w:p>
    <w:p w14:paraId="39336E5A" w14:textId="38CBB62C" w:rsidR="006D2030" w:rsidRPr="006A691F" w:rsidRDefault="006D2030" w:rsidP="00F12B9E">
      <w:pPr>
        <w:pStyle w:val="Textonotapie"/>
        <w:ind w:firstLine="708"/>
        <w:rPr>
          <w:rFonts w:ascii="Verdana" w:hAnsi="Verdana"/>
          <w:lang w:val="es-ES"/>
        </w:rPr>
      </w:pPr>
    </w:p>
  </w:footnote>
  <w:footnote w:id="11">
    <w:p w14:paraId="1AC79E7A" w14:textId="77777777" w:rsidR="006D2030" w:rsidRPr="00EF30EB" w:rsidRDefault="006D2030" w:rsidP="006D2030">
      <w:pPr>
        <w:pStyle w:val="Textonotapie"/>
        <w:ind w:firstLine="708"/>
        <w:jc w:val="both"/>
        <w:rPr>
          <w:rFonts w:ascii="Verdana" w:hAnsi="Verdana" w:cs="Arial"/>
          <w:color w:val="000000"/>
          <w:sz w:val="16"/>
          <w:szCs w:val="16"/>
        </w:rPr>
      </w:pPr>
      <w:r w:rsidRPr="00EF30EB">
        <w:rPr>
          <w:rStyle w:val="Refdenotaalpie"/>
          <w:rFonts w:ascii="Verdana" w:hAnsi="Verdana" w:cs="Arial"/>
          <w:color w:val="000000"/>
          <w:sz w:val="16"/>
          <w:szCs w:val="16"/>
        </w:rPr>
        <w:footnoteRef/>
      </w:r>
      <w:r w:rsidRPr="00EF30EB">
        <w:rPr>
          <w:rFonts w:ascii="Verdana" w:hAnsi="Verdana" w:cs="Arial"/>
          <w:color w:val="000000"/>
          <w:sz w:val="16"/>
          <w:szCs w:val="16"/>
        </w:rPr>
        <w:t xml:space="preserve"> DÍAZ DÍEZ, Cristian Andrés. La liquidación. Serie: Las Cláusulas del Contrato Estatal. Medellín: Librería Jurídica Sánchez y Centro de Estudios de Derecho Administrativo –CEDA–, 2013, pp. 53-54.</w:t>
      </w:r>
    </w:p>
    <w:p w14:paraId="77176B62" w14:textId="77777777" w:rsidR="006D2030" w:rsidRPr="00EF30EB" w:rsidRDefault="006D2030" w:rsidP="006D2030">
      <w:pPr>
        <w:pStyle w:val="Textonotapie"/>
        <w:ind w:firstLine="708"/>
        <w:jc w:val="both"/>
        <w:rPr>
          <w:rFonts w:ascii="Verdana" w:hAnsi="Verdana" w:cs="Arial"/>
          <w:color w:val="000000"/>
          <w:sz w:val="16"/>
          <w:szCs w:val="16"/>
          <w:lang w:val="es-CO"/>
        </w:rPr>
      </w:pPr>
    </w:p>
  </w:footnote>
  <w:footnote w:id="12">
    <w:p w14:paraId="587F903A" w14:textId="77777777" w:rsidR="006D2030" w:rsidRPr="00EF30EB" w:rsidRDefault="006D2030" w:rsidP="006D2030">
      <w:pPr>
        <w:ind w:firstLine="708"/>
        <w:jc w:val="both"/>
        <w:rPr>
          <w:rFonts w:ascii="Verdana" w:hAnsi="Verdana" w:cs="Arial"/>
          <w:color w:val="000000"/>
          <w:sz w:val="16"/>
          <w:szCs w:val="16"/>
        </w:rPr>
      </w:pPr>
      <w:r w:rsidRPr="00EF30EB">
        <w:rPr>
          <w:rStyle w:val="Refdenotaalpie"/>
          <w:rFonts w:ascii="Verdana" w:hAnsi="Verdana" w:cs="Arial"/>
          <w:color w:val="000000"/>
          <w:sz w:val="16"/>
          <w:szCs w:val="16"/>
        </w:rPr>
        <w:footnoteRef/>
      </w:r>
      <w:r w:rsidRPr="00EF30EB">
        <w:rPr>
          <w:rFonts w:ascii="Verdana" w:hAnsi="Verdana" w:cs="Arial"/>
          <w:color w:val="000000"/>
          <w:sz w:val="16"/>
          <w:szCs w:val="16"/>
        </w:rPr>
        <w:t xml:space="preserve"> CONSEJO DE ESTADO. Sección Tercera. Subsección C. 20 de octubre de 2014, M.P: Enrique Gil Botero. </w:t>
      </w:r>
      <w:proofErr w:type="spellStart"/>
      <w:r w:rsidRPr="00EF30EB">
        <w:rPr>
          <w:rFonts w:ascii="Verdana" w:hAnsi="Verdana" w:cs="Arial"/>
          <w:color w:val="000000"/>
          <w:sz w:val="16"/>
          <w:szCs w:val="16"/>
        </w:rPr>
        <w:t>Exp</w:t>
      </w:r>
      <w:proofErr w:type="spellEnd"/>
      <w:r w:rsidRPr="00EF30EB">
        <w:rPr>
          <w:rFonts w:ascii="Verdana" w:hAnsi="Verdana" w:cs="Arial"/>
          <w:color w:val="000000"/>
          <w:sz w:val="16"/>
          <w:szCs w:val="16"/>
        </w:rPr>
        <w:t>.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13">
    <w:p w14:paraId="30CCE434" w14:textId="77777777" w:rsidR="006D2030" w:rsidRPr="00EF30EB" w:rsidRDefault="006D2030" w:rsidP="006D2030">
      <w:pPr>
        <w:pStyle w:val="Textonotapie"/>
        <w:ind w:firstLine="708"/>
        <w:jc w:val="both"/>
        <w:rPr>
          <w:rFonts w:ascii="Verdana" w:hAnsi="Verdana" w:cs="Arial"/>
          <w:color w:val="000000"/>
          <w:sz w:val="16"/>
          <w:szCs w:val="16"/>
        </w:rPr>
      </w:pPr>
      <w:r w:rsidRPr="00EF30EB">
        <w:rPr>
          <w:rStyle w:val="Refdenotaalpie"/>
          <w:rFonts w:ascii="Verdana" w:hAnsi="Verdana" w:cs="Arial"/>
          <w:color w:val="000000"/>
          <w:sz w:val="16"/>
          <w:szCs w:val="16"/>
        </w:rPr>
        <w:footnoteRef/>
      </w:r>
      <w:r w:rsidRPr="00EF30EB">
        <w:rPr>
          <w:rFonts w:ascii="Verdana" w:hAnsi="Verdana" w:cs="Arial"/>
          <w:color w:val="000000"/>
          <w:sz w:val="16"/>
          <w:szCs w:val="16"/>
        </w:rPr>
        <w:t xml:space="preserve"> EXPÓSITO VÉLEZ. Juan Carlos. Forma y contenido del contrato estatal, p. 90.</w:t>
      </w:r>
    </w:p>
    <w:p w14:paraId="3F5B5E48" w14:textId="77777777" w:rsidR="006D2030" w:rsidRPr="00EF30EB" w:rsidRDefault="006D2030" w:rsidP="006D2030">
      <w:pPr>
        <w:pStyle w:val="Textonotapie"/>
        <w:ind w:firstLine="708"/>
        <w:jc w:val="both"/>
        <w:rPr>
          <w:rFonts w:ascii="Verdana" w:hAnsi="Verdana" w:cs="Arial"/>
          <w:color w:val="000000"/>
          <w:sz w:val="16"/>
          <w:szCs w:val="16"/>
        </w:rPr>
      </w:pPr>
    </w:p>
  </w:footnote>
  <w:footnote w:id="14">
    <w:p w14:paraId="2F3CBD42" w14:textId="77777777" w:rsidR="006D2030" w:rsidRPr="00EF30EB" w:rsidRDefault="006D2030" w:rsidP="006D2030">
      <w:pPr>
        <w:pStyle w:val="Textonotapie"/>
        <w:ind w:firstLine="708"/>
        <w:jc w:val="both"/>
        <w:rPr>
          <w:rFonts w:ascii="Verdana" w:hAnsi="Verdana" w:cs="Arial"/>
          <w:color w:val="000000"/>
          <w:sz w:val="16"/>
          <w:szCs w:val="16"/>
        </w:rPr>
      </w:pPr>
      <w:r w:rsidRPr="00EF30EB">
        <w:rPr>
          <w:rStyle w:val="Refdenotaalpie"/>
          <w:rFonts w:ascii="Verdana" w:hAnsi="Verdana" w:cs="Arial"/>
          <w:color w:val="000000"/>
          <w:sz w:val="16"/>
          <w:szCs w:val="16"/>
        </w:rPr>
        <w:footnoteRef/>
      </w:r>
      <w:r w:rsidRPr="00EF30EB">
        <w:rPr>
          <w:rFonts w:ascii="Verdana" w:hAnsi="Verdana" w:cs="Arial"/>
          <w:color w:val="000000"/>
          <w:sz w:val="16"/>
          <w:szCs w:val="16"/>
        </w:rPr>
        <w:t xml:space="preserve"> CONSEJO DE ESTADO, Sala de Consulta y Servicio Civil. Radicado No. 1453. Concepto de 6 de agosto de 2003. MP. Augusto Trejos.</w:t>
      </w:r>
    </w:p>
    <w:p w14:paraId="4835634B" w14:textId="77777777" w:rsidR="006D2030" w:rsidRPr="00EF30EB" w:rsidRDefault="006D2030" w:rsidP="006D2030">
      <w:pPr>
        <w:pStyle w:val="Textonotapie"/>
        <w:ind w:firstLine="708"/>
        <w:jc w:val="both"/>
        <w:rPr>
          <w:rFonts w:ascii="Verdana" w:hAnsi="Verdana" w:cs="Arial"/>
          <w:color w:val="000000"/>
          <w:sz w:val="16"/>
          <w:szCs w:val="16"/>
        </w:rPr>
      </w:pPr>
    </w:p>
  </w:footnote>
  <w:footnote w:id="15">
    <w:p w14:paraId="432F17AD" w14:textId="77777777" w:rsidR="006D2030" w:rsidRPr="00EF30EB" w:rsidRDefault="006D2030" w:rsidP="006D2030">
      <w:pPr>
        <w:pStyle w:val="Textonotapie"/>
        <w:ind w:firstLine="708"/>
        <w:jc w:val="both"/>
        <w:rPr>
          <w:rFonts w:ascii="Verdana" w:hAnsi="Verdana" w:cs="Arial"/>
          <w:color w:val="000000"/>
          <w:sz w:val="16"/>
          <w:szCs w:val="16"/>
          <w:lang w:val="es-ES"/>
        </w:rPr>
      </w:pPr>
      <w:r w:rsidRPr="00EF30EB">
        <w:rPr>
          <w:rStyle w:val="Refdenotaalpie"/>
          <w:rFonts w:ascii="Verdana" w:hAnsi="Verdana" w:cs="Arial"/>
          <w:color w:val="000000"/>
          <w:sz w:val="16"/>
          <w:szCs w:val="16"/>
        </w:rPr>
        <w:footnoteRef/>
      </w:r>
      <w:r w:rsidRPr="00EF30EB">
        <w:rPr>
          <w:rFonts w:ascii="Verdana" w:hAnsi="Verdana" w:cs="Arial"/>
          <w:color w:val="000000"/>
          <w:sz w:val="16"/>
          <w:szCs w:val="16"/>
        </w:rPr>
        <w:t xml:space="preserve"> </w:t>
      </w:r>
      <w:r w:rsidRPr="00EF30EB">
        <w:rPr>
          <w:rFonts w:ascii="Verdana" w:hAnsi="Verdana" w:cs="Arial"/>
          <w:color w:val="000000"/>
          <w:sz w:val="16"/>
          <w:szCs w:val="16"/>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00AC231D" w14:textId="77777777" w:rsidR="006D2030" w:rsidRPr="00EF30EB" w:rsidRDefault="006D2030" w:rsidP="006D2030">
      <w:pPr>
        <w:pStyle w:val="Textonotapie"/>
        <w:ind w:firstLine="708"/>
        <w:jc w:val="both"/>
        <w:rPr>
          <w:rFonts w:ascii="Verdana" w:hAnsi="Verdana" w:cs="Arial"/>
          <w:color w:val="000000"/>
          <w:sz w:val="16"/>
          <w:szCs w:val="16"/>
          <w:lang w:val="es-ES"/>
        </w:rPr>
      </w:pPr>
      <w:r w:rsidRPr="00EF30EB">
        <w:rPr>
          <w:rFonts w:ascii="Verdana" w:hAnsi="Verdana" w:cs="Arial"/>
          <w:color w:val="000000"/>
          <w:sz w:val="16"/>
          <w:szCs w:val="16"/>
          <w:lang w:val="es-ES"/>
        </w:rPr>
        <w:t>» 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66CBCC26" w14:textId="77777777" w:rsidR="006D2030" w:rsidRPr="00EF30EB" w:rsidRDefault="006D2030" w:rsidP="006D2030">
      <w:pPr>
        <w:pStyle w:val="Textonotapie"/>
        <w:ind w:firstLine="708"/>
        <w:jc w:val="both"/>
        <w:rPr>
          <w:rFonts w:ascii="Verdana" w:hAnsi="Verdana" w:cs="Arial"/>
          <w:color w:val="000000"/>
          <w:sz w:val="16"/>
          <w:szCs w:val="16"/>
          <w:lang w:val="es-ES"/>
        </w:rPr>
      </w:pPr>
      <w:r w:rsidRPr="00EF30EB">
        <w:rPr>
          <w:rFonts w:ascii="Verdana" w:hAnsi="Verdana" w:cs="Arial"/>
          <w:color w:val="000000"/>
          <w:sz w:val="16"/>
          <w:szCs w:val="16"/>
          <w:lang w:val="es-ES"/>
        </w:rPr>
        <w:t>» 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3363CBFC" w14:textId="77777777" w:rsidR="006D2030" w:rsidRPr="00EF30EB" w:rsidRDefault="006D2030" w:rsidP="006D2030">
      <w:pPr>
        <w:pStyle w:val="Textonotapie"/>
        <w:ind w:firstLine="708"/>
        <w:jc w:val="both"/>
        <w:rPr>
          <w:rFonts w:ascii="Verdana" w:hAnsi="Verdana" w:cs="Arial"/>
          <w:color w:val="000000"/>
          <w:sz w:val="16"/>
          <w:szCs w:val="16"/>
          <w:lang w:val="es-ES"/>
        </w:rPr>
      </w:pPr>
      <w:r w:rsidRPr="00EF30EB">
        <w:rPr>
          <w:rFonts w:ascii="Verdana" w:hAnsi="Verdana" w:cs="Arial"/>
          <w:color w:val="000000"/>
          <w:sz w:val="16"/>
          <w:szCs w:val="16"/>
          <w:lang w:val="es-ES"/>
        </w:rPr>
        <w:t>» Los contratistas tendrán derecho a efectuar salvedades a la liquidación por mutuo acuerdo, y en este evento la liquidación unilateral solo procederá en relación con los aspectos que no hayan sido objeto de acuerdo».</w:t>
      </w:r>
    </w:p>
  </w:footnote>
  <w:footnote w:id="16">
    <w:p w14:paraId="42C0A570" w14:textId="77777777" w:rsidR="006D2030" w:rsidRPr="00EF30EB" w:rsidRDefault="006D2030" w:rsidP="006D2030">
      <w:pPr>
        <w:pStyle w:val="Textonotapie"/>
        <w:ind w:firstLine="709"/>
        <w:jc w:val="both"/>
        <w:rPr>
          <w:rFonts w:ascii="Verdana" w:hAnsi="Verdana" w:cs="Arial"/>
          <w:color w:val="000000"/>
          <w:sz w:val="16"/>
          <w:szCs w:val="16"/>
        </w:rPr>
      </w:pPr>
      <w:r w:rsidRPr="00EF30EB">
        <w:rPr>
          <w:rStyle w:val="Refdenotaalpie"/>
          <w:rFonts w:ascii="Verdana" w:hAnsi="Verdana" w:cs="Arial"/>
          <w:color w:val="000000"/>
          <w:sz w:val="16"/>
          <w:szCs w:val="16"/>
        </w:rPr>
        <w:footnoteRef/>
      </w:r>
      <w:r w:rsidRPr="00EF30EB">
        <w:rPr>
          <w:rFonts w:ascii="Verdana" w:hAnsi="Verdana" w:cs="Arial"/>
          <w:color w:val="000000"/>
          <w:sz w:val="16"/>
          <w:szCs w:val="16"/>
        </w:rPr>
        <w:t xml:space="preserve"> Ley 80 de 1993 «</w:t>
      </w:r>
      <w:r w:rsidRPr="00EF30EB">
        <w:rPr>
          <w:rStyle w:val="Textoennegrita"/>
          <w:rFonts w:ascii="Verdana" w:hAnsi="Verdana" w:cs="Arial"/>
          <w:color w:val="000000"/>
          <w:sz w:val="16"/>
          <w:szCs w:val="16"/>
        </w:rPr>
        <w:t>Artículo 77. De la normatividad aplicable en las actuaciones administrativas.</w:t>
      </w:r>
      <w:r w:rsidRPr="00EF30EB">
        <w:rPr>
          <w:rFonts w:ascii="Verdana" w:hAnsi="Verdana" w:cs="Arial"/>
          <w:color w:val="000000"/>
          <w:sz w:val="16"/>
          <w:szCs w:val="16"/>
        </w:rPr>
        <w:t xml:space="preserve"> En cuanto sean compatibles con la finalidad y los principios de esta ley, las normas que rigen los procedimientos y actuaciones en la función </w:t>
      </w:r>
      <w:proofErr w:type="gramStart"/>
      <w:r w:rsidRPr="00EF30EB">
        <w:rPr>
          <w:rFonts w:ascii="Verdana" w:hAnsi="Verdana" w:cs="Arial"/>
          <w:color w:val="000000"/>
          <w:sz w:val="16"/>
          <w:szCs w:val="16"/>
        </w:rPr>
        <w:t>administrativa,</w:t>
      </w:r>
      <w:proofErr w:type="gramEnd"/>
      <w:r w:rsidRPr="00EF30EB">
        <w:rPr>
          <w:rFonts w:ascii="Verdana" w:hAnsi="Verdana" w:cs="Arial"/>
          <w:color w:val="000000"/>
          <w:sz w:val="16"/>
          <w:szCs w:val="16"/>
        </w:rPr>
        <w:t xml:space="preserve"> serán aplicables en las actuaciones contractuales. A falta de estas, regirán las disposiciones del Código de Procedimiento Civil» […]». </w:t>
      </w:r>
    </w:p>
  </w:footnote>
  <w:footnote w:id="17">
    <w:p w14:paraId="7397848A" w14:textId="77777777" w:rsidR="006D2030" w:rsidRPr="00EF30EB" w:rsidRDefault="006D2030" w:rsidP="006D2030">
      <w:pPr>
        <w:pStyle w:val="NormalWeb"/>
        <w:spacing w:after="0"/>
        <w:ind w:firstLine="709"/>
        <w:jc w:val="both"/>
        <w:rPr>
          <w:rFonts w:ascii="Verdana" w:hAnsi="Verdana" w:cs="Arial"/>
          <w:color w:val="000000"/>
          <w:sz w:val="16"/>
          <w:szCs w:val="16"/>
        </w:rPr>
      </w:pPr>
      <w:r w:rsidRPr="00EF30EB">
        <w:rPr>
          <w:rStyle w:val="Refdenotaalpie"/>
          <w:rFonts w:ascii="Verdana" w:hAnsi="Verdana" w:cs="Arial"/>
          <w:color w:val="000000"/>
          <w:sz w:val="16"/>
          <w:szCs w:val="16"/>
        </w:rPr>
        <w:footnoteRef/>
      </w:r>
      <w:r w:rsidRPr="00EF30EB">
        <w:rPr>
          <w:rFonts w:ascii="Verdana" w:hAnsi="Verdana" w:cs="Arial"/>
          <w:color w:val="000000"/>
          <w:sz w:val="16"/>
          <w:szCs w:val="16"/>
        </w:rPr>
        <w:t xml:space="preserve"> Ley 80 de 1993 «</w:t>
      </w:r>
      <w:r w:rsidRPr="00EF30EB">
        <w:rPr>
          <w:rStyle w:val="Textoennegrita"/>
          <w:rFonts w:ascii="Verdana" w:hAnsi="Verdana" w:cs="Arial"/>
          <w:color w:val="000000"/>
          <w:sz w:val="16"/>
          <w:szCs w:val="16"/>
        </w:rPr>
        <w:t>Artículo 25. Del principio de economía.</w:t>
      </w:r>
      <w:r w:rsidRPr="00EF30EB">
        <w:rPr>
          <w:rFonts w:ascii="Verdana" w:hAnsi="Verdana" w:cs="Arial"/>
          <w:color w:val="000000"/>
          <w:sz w:val="16"/>
          <w:szCs w:val="16"/>
        </w:rPr>
        <w:t> En virtud de este principio: </w:t>
      </w:r>
    </w:p>
    <w:p w14:paraId="16C48D95" w14:textId="77777777" w:rsidR="006D2030" w:rsidRPr="00EF30EB" w:rsidRDefault="006D2030" w:rsidP="006D2030">
      <w:pPr>
        <w:pStyle w:val="NormalWeb"/>
        <w:spacing w:after="0"/>
        <w:ind w:firstLine="709"/>
        <w:jc w:val="both"/>
        <w:rPr>
          <w:rFonts w:ascii="Verdana" w:hAnsi="Verdana" w:cs="Arial"/>
          <w:color w:val="000000"/>
          <w:sz w:val="16"/>
          <w:szCs w:val="16"/>
        </w:rPr>
      </w:pPr>
      <w:r w:rsidRPr="00EF30EB">
        <w:rPr>
          <w:rFonts w:ascii="Verdana" w:hAnsi="Verdana" w:cs="Arial"/>
          <w:color w:val="000000"/>
          <w:sz w:val="16"/>
          <w:szCs w:val="16"/>
        </w:rPr>
        <w:t>[…]</w:t>
      </w:r>
    </w:p>
    <w:p w14:paraId="0D7852E4" w14:textId="77777777" w:rsidR="006D2030" w:rsidRPr="00EF30EB" w:rsidRDefault="006D2030" w:rsidP="006D2030">
      <w:pPr>
        <w:pStyle w:val="NormalWeb"/>
        <w:spacing w:after="0"/>
        <w:ind w:firstLine="709"/>
        <w:jc w:val="both"/>
        <w:rPr>
          <w:rFonts w:ascii="Verdana" w:hAnsi="Verdana" w:cs="Arial"/>
          <w:color w:val="000000"/>
          <w:sz w:val="16"/>
          <w:szCs w:val="16"/>
        </w:rPr>
      </w:pPr>
      <w:r w:rsidRPr="00EF30EB">
        <w:rPr>
          <w:rFonts w:ascii="Verdana" w:hAnsi="Verdana" w:cs="Arial"/>
          <w:color w:val="000000"/>
          <w:sz w:val="16"/>
          <w:szCs w:val="16"/>
        </w:rPr>
        <w:t>»4o. Los trámites se adelantarán con austeridad de tiempo, medios y gastos y se impedirán las dilaciones y los retardos en la ejecución del contrato. </w:t>
      </w:r>
    </w:p>
    <w:p w14:paraId="5C10AC6C" w14:textId="77777777" w:rsidR="006D2030" w:rsidRPr="00EF30EB" w:rsidRDefault="006D2030" w:rsidP="006D2030">
      <w:pPr>
        <w:pStyle w:val="NormalWeb"/>
        <w:spacing w:after="0"/>
        <w:jc w:val="both"/>
        <w:rPr>
          <w:rFonts w:ascii="Verdana" w:hAnsi="Verdana" w:cs="Arial"/>
          <w:color w:val="000000"/>
          <w:sz w:val="16"/>
          <w:szCs w:val="16"/>
        </w:rPr>
      </w:pPr>
      <w:r w:rsidRPr="00EF30EB">
        <w:rPr>
          <w:rFonts w:ascii="Verdana" w:hAnsi="Verdana" w:cs="Arial"/>
          <w:color w:val="000000"/>
          <w:sz w:val="16"/>
          <w:szCs w:val="16"/>
        </w:rPr>
        <w:t>  </w:t>
      </w:r>
      <w:r w:rsidRPr="00EF30EB">
        <w:rPr>
          <w:rFonts w:ascii="Verdana" w:hAnsi="Verdana" w:cs="Arial"/>
          <w:color w:val="000000"/>
          <w:sz w:val="16"/>
          <w:szCs w:val="16"/>
        </w:rPr>
        <w:tab/>
        <w:t>»5o. Se adoptarán procedimientos que garanticen la pronta solución de las diferencias y controversias que con motivo de la celebración y ejecución del contrato se presenten […]».</w:t>
      </w:r>
    </w:p>
  </w:footnote>
  <w:footnote w:id="18">
    <w:p w14:paraId="06B3A2E6" w14:textId="77777777" w:rsidR="006D2030" w:rsidRPr="00EF30EB" w:rsidRDefault="006D2030" w:rsidP="006D2030">
      <w:pPr>
        <w:pStyle w:val="Textonotapie"/>
        <w:ind w:firstLine="708"/>
        <w:jc w:val="both"/>
        <w:rPr>
          <w:rFonts w:ascii="Verdana" w:hAnsi="Verdana" w:cs="Arial"/>
          <w:color w:val="000000"/>
          <w:sz w:val="16"/>
          <w:szCs w:val="16"/>
        </w:rPr>
      </w:pPr>
      <w:r w:rsidRPr="00EF30EB">
        <w:rPr>
          <w:rStyle w:val="Refdenotaalpie"/>
          <w:rFonts w:ascii="Verdana" w:hAnsi="Verdana" w:cs="Arial"/>
          <w:color w:val="000000"/>
          <w:sz w:val="16"/>
          <w:szCs w:val="16"/>
        </w:rPr>
        <w:footnoteRef/>
      </w:r>
      <w:r w:rsidRPr="00EF30EB">
        <w:rPr>
          <w:rFonts w:ascii="Verdana" w:hAnsi="Verdana" w:cs="Arial"/>
          <w:color w:val="000000"/>
          <w:sz w:val="16"/>
          <w:szCs w:val="16"/>
        </w:rPr>
        <w:t xml:space="preserve"> COLOMBIA COMPRA EFICIENTE. Guía para la Liquidación de los Procesos de Contratación. página 5, disponible en: </w:t>
      </w:r>
      <w:hyperlink r:id="rId1" w:history="1">
        <w:r w:rsidRPr="00EF30EB">
          <w:rPr>
            <w:rStyle w:val="Hipervnculo1"/>
            <w:rFonts w:ascii="Verdana" w:hAnsi="Verdana" w:cs="Arial"/>
            <w:color w:val="000000"/>
            <w:sz w:val="16"/>
            <w:szCs w:val="16"/>
          </w:rPr>
          <w:t>https://www.colombiacompra.gov.co/sites/cce_public/files/cce_documents/cce_guia_liquidacion_procesos.pdf</w:t>
        </w:r>
      </w:hyperlink>
      <w:r w:rsidRPr="00EF30EB">
        <w:rPr>
          <w:rFonts w:ascii="Verdana" w:hAnsi="Verdana" w:cs="Arial"/>
          <w:color w:val="000000"/>
          <w:sz w:val="16"/>
          <w:szCs w:val="16"/>
        </w:rPr>
        <w:t xml:space="preserve"> </w:t>
      </w:r>
    </w:p>
  </w:footnote>
  <w:footnote w:id="19">
    <w:p w14:paraId="347D081B" w14:textId="77777777" w:rsidR="006D2030" w:rsidRPr="00EF30EB" w:rsidRDefault="006D2030" w:rsidP="006D2030">
      <w:pPr>
        <w:pStyle w:val="Textonotapie"/>
        <w:ind w:firstLine="708"/>
        <w:jc w:val="both"/>
        <w:rPr>
          <w:rFonts w:ascii="Verdana" w:hAnsi="Verdana" w:cs="Arial"/>
          <w:color w:val="000000"/>
          <w:sz w:val="16"/>
          <w:szCs w:val="16"/>
        </w:rPr>
      </w:pPr>
      <w:r w:rsidRPr="00EF30EB">
        <w:rPr>
          <w:rStyle w:val="Refdenotaalpie"/>
          <w:rFonts w:ascii="Verdana" w:hAnsi="Verdana" w:cs="Arial"/>
          <w:color w:val="000000"/>
          <w:sz w:val="16"/>
          <w:szCs w:val="16"/>
        </w:rPr>
        <w:footnoteRef/>
      </w:r>
      <w:r w:rsidRPr="00EF30EB">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20">
    <w:p w14:paraId="3BACB047" w14:textId="77777777" w:rsidR="006D2030" w:rsidRPr="00EF30EB" w:rsidRDefault="006D2030" w:rsidP="006D2030">
      <w:pPr>
        <w:pStyle w:val="Textonotapie"/>
        <w:ind w:firstLine="708"/>
        <w:jc w:val="both"/>
        <w:rPr>
          <w:rFonts w:ascii="Verdana" w:hAnsi="Verdana" w:cs="Arial"/>
          <w:color w:val="000000"/>
          <w:sz w:val="16"/>
          <w:szCs w:val="16"/>
          <w:lang w:val="es-ES"/>
        </w:rPr>
      </w:pPr>
      <w:r w:rsidRPr="00EF30EB">
        <w:rPr>
          <w:rStyle w:val="Refdenotaalpie"/>
          <w:rFonts w:ascii="Verdana" w:hAnsi="Verdana" w:cs="Arial"/>
          <w:color w:val="000000"/>
          <w:sz w:val="16"/>
          <w:szCs w:val="16"/>
        </w:rPr>
        <w:footnoteRef/>
      </w:r>
      <w:r w:rsidRPr="00EF30EB">
        <w:rPr>
          <w:rFonts w:ascii="Verdana" w:hAnsi="Verdana" w:cs="Arial"/>
          <w:color w:val="000000"/>
          <w:sz w:val="16"/>
          <w:szCs w:val="16"/>
        </w:rPr>
        <w:t xml:space="preserve"> </w:t>
      </w:r>
      <w:bookmarkStart w:id="1" w:name="_Hlk176850367"/>
      <w:r w:rsidRPr="00EF30EB">
        <w:rPr>
          <w:rFonts w:ascii="Verdana" w:hAnsi="Verdana" w:cs="Arial"/>
          <w:color w:val="000000"/>
          <w:sz w:val="16"/>
          <w:szCs w:val="16"/>
        </w:rPr>
        <w:t xml:space="preserve">CONSEJO DE ESTADO. Sección Tercera. </w:t>
      </w:r>
      <w:r w:rsidRPr="00EF30EB">
        <w:rPr>
          <w:rFonts w:ascii="Verdana" w:hAnsi="Verdana" w:cs="Arial"/>
          <w:color w:val="000000"/>
          <w:sz w:val="16"/>
          <w:szCs w:val="16"/>
          <w:lang w:val="es-CO"/>
        </w:rPr>
        <w:t xml:space="preserve">Sala Plena. Auto del 1 de agosto de 2019. </w:t>
      </w:r>
      <w:proofErr w:type="spellStart"/>
      <w:r w:rsidRPr="00EF30EB">
        <w:rPr>
          <w:rFonts w:ascii="Verdana" w:hAnsi="Verdana" w:cs="Arial"/>
          <w:color w:val="000000"/>
          <w:sz w:val="16"/>
          <w:szCs w:val="16"/>
        </w:rPr>
        <w:t>Exp</w:t>
      </w:r>
      <w:proofErr w:type="spellEnd"/>
      <w:r w:rsidRPr="00EF30EB">
        <w:rPr>
          <w:rFonts w:ascii="Verdana" w:hAnsi="Verdana" w:cs="Arial"/>
          <w:color w:val="000000"/>
          <w:sz w:val="16"/>
          <w:szCs w:val="16"/>
        </w:rPr>
        <w:t>. 62009. C.P. Jaime Enrique Rodríg</w:t>
      </w:r>
      <w:r w:rsidRPr="00EF30EB">
        <w:rPr>
          <w:rFonts w:ascii="Verdana" w:hAnsi="Verdana" w:cs="Arial"/>
          <w:color w:val="000000"/>
          <w:sz w:val="13"/>
          <w:szCs w:val="13"/>
        </w:rPr>
        <w:t>uez Navas.</w:t>
      </w:r>
      <w:r w:rsidRPr="00EF30EB">
        <w:rPr>
          <w:rFonts w:ascii="Verdana" w:hAnsi="Verdana" w:cs="Arial"/>
          <w:color w:val="000000"/>
          <w:sz w:val="16"/>
          <w:szCs w:val="16"/>
        </w:rPr>
        <w:t xml:space="preserve"> </w:t>
      </w:r>
      <w:r w:rsidRPr="00EF30EB">
        <w:rPr>
          <w:rFonts w:ascii="Verdana" w:hAnsi="Verdana" w:cs="Arial"/>
          <w:color w:val="000000"/>
          <w:sz w:val="16"/>
          <w:szCs w:val="16"/>
          <w:lang w:val="es-ES"/>
        </w:rPr>
        <w:t xml:space="preserve"> </w:t>
      </w:r>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7733BBA"/>
    <w:multiLevelType w:val="hybridMultilevel"/>
    <w:tmpl w:val="3706398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94460F"/>
    <w:multiLevelType w:val="hybridMultilevel"/>
    <w:tmpl w:val="A50EA0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8A74AE"/>
    <w:multiLevelType w:val="hybridMultilevel"/>
    <w:tmpl w:val="223E27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2FA629A"/>
    <w:multiLevelType w:val="hybridMultilevel"/>
    <w:tmpl w:val="6B26F8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148801414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11106391">
    <w:abstractNumId w:val="11"/>
  </w:num>
  <w:num w:numId="18" w16cid:durableId="1898974949">
    <w:abstractNumId w:val="12"/>
  </w:num>
  <w:num w:numId="19" w16cid:durableId="145360997">
    <w:abstractNumId w:val="5"/>
  </w:num>
  <w:num w:numId="20" w16cid:durableId="12426381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5482C"/>
    <w:rsid w:val="00061B2A"/>
    <w:rsid w:val="00070414"/>
    <w:rsid w:val="00076B3A"/>
    <w:rsid w:val="00082362"/>
    <w:rsid w:val="000857A4"/>
    <w:rsid w:val="000A683E"/>
    <w:rsid w:val="000B19B9"/>
    <w:rsid w:val="000D0334"/>
    <w:rsid w:val="000F6486"/>
    <w:rsid w:val="00125105"/>
    <w:rsid w:val="00127233"/>
    <w:rsid w:val="001348D8"/>
    <w:rsid w:val="0019069D"/>
    <w:rsid w:val="001D1C9F"/>
    <w:rsid w:val="001E4177"/>
    <w:rsid w:val="001F7DC6"/>
    <w:rsid w:val="00214E0E"/>
    <w:rsid w:val="00214E58"/>
    <w:rsid w:val="002421BB"/>
    <w:rsid w:val="0025796E"/>
    <w:rsid w:val="002707A2"/>
    <w:rsid w:val="00276A45"/>
    <w:rsid w:val="002951A0"/>
    <w:rsid w:val="002962BC"/>
    <w:rsid w:val="002A093D"/>
    <w:rsid w:val="002A0DD0"/>
    <w:rsid w:val="002A1552"/>
    <w:rsid w:val="002A49AC"/>
    <w:rsid w:val="002A64FD"/>
    <w:rsid w:val="002C7A84"/>
    <w:rsid w:val="002D0C12"/>
    <w:rsid w:val="002E3B7E"/>
    <w:rsid w:val="002E4FD9"/>
    <w:rsid w:val="00322A85"/>
    <w:rsid w:val="00324168"/>
    <w:rsid w:val="00331826"/>
    <w:rsid w:val="003448F4"/>
    <w:rsid w:val="00374F5E"/>
    <w:rsid w:val="0037527B"/>
    <w:rsid w:val="003771C7"/>
    <w:rsid w:val="00377E3E"/>
    <w:rsid w:val="003A26D1"/>
    <w:rsid w:val="003A779E"/>
    <w:rsid w:val="003D0F4D"/>
    <w:rsid w:val="003D5B0D"/>
    <w:rsid w:val="003E0499"/>
    <w:rsid w:val="003E6487"/>
    <w:rsid w:val="003F3941"/>
    <w:rsid w:val="00406575"/>
    <w:rsid w:val="0042722E"/>
    <w:rsid w:val="0044332E"/>
    <w:rsid w:val="0044528D"/>
    <w:rsid w:val="004656F6"/>
    <w:rsid w:val="00473A9D"/>
    <w:rsid w:val="004A1847"/>
    <w:rsid w:val="004A305D"/>
    <w:rsid w:val="004C6064"/>
    <w:rsid w:val="004D2003"/>
    <w:rsid w:val="004D3BB5"/>
    <w:rsid w:val="004F21C4"/>
    <w:rsid w:val="004F685F"/>
    <w:rsid w:val="00527064"/>
    <w:rsid w:val="005566E8"/>
    <w:rsid w:val="00560346"/>
    <w:rsid w:val="00574867"/>
    <w:rsid w:val="005777EE"/>
    <w:rsid w:val="00591460"/>
    <w:rsid w:val="00592628"/>
    <w:rsid w:val="005A6BD1"/>
    <w:rsid w:val="005C3777"/>
    <w:rsid w:val="005C5CDC"/>
    <w:rsid w:val="005D476C"/>
    <w:rsid w:val="005E14FC"/>
    <w:rsid w:val="00610812"/>
    <w:rsid w:val="0061205F"/>
    <w:rsid w:val="006219F8"/>
    <w:rsid w:val="00650FF7"/>
    <w:rsid w:val="00665966"/>
    <w:rsid w:val="00665D70"/>
    <w:rsid w:val="00671DAC"/>
    <w:rsid w:val="00675586"/>
    <w:rsid w:val="00687BDC"/>
    <w:rsid w:val="006900D9"/>
    <w:rsid w:val="006A3466"/>
    <w:rsid w:val="006A691F"/>
    <w:rsid w:val="006D12F8"/>
    <w:rsid w:val="006D2030"/>
    <w:rsid w:val="006D56ED"/>
    <w:rsid w:val="006F125F"/>
    <w:rsid w:val="006F1E5A"/>
    <w:rsid w:val="00706C16"/>
    <w:rsid w:val="0072581E"/>
    <w:rsid w:val="00756841"/>
    <w:rsid w:val="007649AB"/>
    <w:rsid w:val="00771D0C"/>
    <w:rsid w:val="007833AC"/>
    <w:rsid w:val="007A6D61"/>
    <w:rsid w:val="007B268C"/>
    <w:rsid w:val="007B5C18"/>
    <w:rsid w:val="007B7171"/>
    <w:rsid w:val="007C0443"/>
    <w:rsid w:val="007C0C0F"/>
    <w:rsid w:val="007C31F0"/>
    <w:rsid w:val="007C3DC2"/>
    <w:rsid w:val="007E5497"/>
    <w:rsid w:val="00806F5F"/>
    <w:rsid w:val="00820278"/>
    <w:rsid w:val="00823250"/>
    <w:rsid w:val="008515D7"/>
    <w:rsid w:val="008843B6"/>
    <w:rsid w:val="00891928"/>
    <w:rsid w:val="008A446D"/>
    <w:rsid w:val="008D180B"/>
    <w:rsid w:val="008E1324"/>
    <w:rsid w:val="008F0EA7"/>
    <w:rsid w:val="00923EEF"/>
    <w:rsid w:val="009419F9"/>
    <w:rsid w:val="0095685E"/>
    <w:rsid w:val="009611F7"/>
    <w:rsid w:val="00961B09"/>
    <w:rsid w:val="00962E59"/>
    <w:rsid w:val="00965334"/>
    <w:rsid w:val="0097093E"/>
    <w:rsid w:val="00982321"/>
    <w:rsid w:val="009859A1"/>
    <w:rsid w:val="009A0DFA"/>
    <w:rsid w:val="009B2D26"/>
    <w:rsid w:val="009C71FA"/>
    <w:rsid w:val="009C72E7"/>
    <w:rsid w:val="009D05B1"/>
    <w:rsid w:val="009D3058"/>
    <w:rsid w:val="009D4740"/>
    <w:rsid w:val="009F3A13"/>
    <w:rsid w:val="00A122D3"/>
    <w:rsid w:val="00A17F13"/>
    <w:rsid w:val="00A20739"/>
    <w:rsid w:val="00A326E6"/>
    <w:rsid w:val="00A33C78"/>
    <w:rsid w:val="00A541C3"/>
    <w:rsid w:val="00AB0ADB"/>
    <w:rsid w:val="00AD0A16"/>
    <w:rsid w:val="00B01B1A"/>
    <w:rsid w:val="00B119C8"/>
    <w:rsid w:val="00B72CD3"/>
    <w:rsid w:val="00B72FFF"/>
    <w:rsid w:val="00BC3D36"/>
    <w:rsid w:val="00BD6CE8"/>
    <w:rsid w:val="00BD7F72"/>
    <w:rsid w:val="00C04FB3"/>
    <w:rsid w:val="00C330EB"/>
    <w:rsid w:val="00C65B09"/>
    <w:rsid w:val="00C754BE"/>
    <w:rsid w:val="00C76B1C"/>
    <w:rsid w:val="00C8650C"/>
    <w:rsid w:val="00CB6357"/>
    <w:rsid w:val="00CC1B26"/>
    <w:rsid w:val="00CC2122"/>
    <w:rsid w:val="00CE6564"/>
    <w:rsid w:val="00D423A2"/>
    <w:rsid w:val="00D520D8"/>
    <w:rsid w:val="00D63AC2"/>
    <w:rsid w:val="00D66020"/>
    <w:rsid w:val="00D7383B"/>
    <w:rsid w:val="00D85A8E"/>
    <w:rsid w:val="00DA231B"/>
    <w:rsid w:val="00DA23A0"/>
    <w:rsid w:val="00DA492F"/>
    <w:rsid w:val="00DC39FC"/>
    <w:rsid w:val="00DD4229"/>
    <w:rsid w:val="00DE4B97"/>
    <w:rsid w:val="00DF5254"/>
    <w:rsid w:val="00E16408"/>
    <w:rsid w:val="00E17CE8"/>
    <w:rsid w:val="00E20894"/>
    <w:rsid w:val="00E245AB"/>
    <w:rsid w:val="00E2764C"/>
    <w:rsid w:val="00E27F2E"/>
    <w:rsid w:val="00E413EA"/>
    <w:rsid w:val="00E50AFE"/>
    <w:rsid w:val="00E5263A"/>
    <w:rsid w:val="00E75C92"/>
    <w:rsid w:val="00E771DC"/>
    <w:rsid w:val="00E86735"/>
    <w:rsid w:val="00E8772A"/>
    <w:rsid w:val="00E90F6B"/>
    <w:rsid w:val="00E928C4"/>
    <w:rsid w:val="00E92C27"/>
    <w:rsid w:val="00EA0E3D"/>
    <w:rsid w:val="00EB2433"/>
    <w:rsid w:val="00EC38A7"/>
    <w:rsid w:val="00EE1AA8"/>
    <w:rsid w:val="00EF30EB"/>
    <w:rsid w:val="00F12B9E"/>
    <w:rsid w:val="00F1607A"/>
    <w:rsid w:val="00F31EDC"/>
    <w:rsid w:val="00F462B3"/>
    <w:rsid w:val="00F5664F"/>
    <w:rsid w:val="00F566EC"/>
    <w:rsid w:val="00F605B3"/>
    <w:rsid w:val="00F666C4"/>
    <w:rsid w:val="00F71CF1"/>
    <w:rsid w:val="00F76AFC"/>
    <w:rsid w:val="00FA47C0"/>
    <w:rsid w:val="00FB5DD1"/>
    <w:rsid w:val="00FC2B5D"/>
    <w:rsid w:val="00FF1449"/>
    <w:rsid w:val="435A084E"/>
    <w:rsid w:val="5CEADB7B"/>
    <w:rsid w:val="770DC48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1607A"/>
    <w:rPr>
      <w:rFonts w:ascii="Geomanist Light" w:hAnsi="Geomanist Light"/>
      <w:lang w:val="es-ES"/>
    </w:rPr>
  </w:style>
  <w:style w:type="character" w:styleId="nfasis">
    <w:name w:val="Emphasis"/>
    <w:basedOn w:val="Fuentedeprrafopredeter"/>
    <w:uiPriority w:val="20"/>
    <w:qFormat/>
    <w:rsid w:val="00F1607A"/>
    <w:rPr>
      <w:i/>
      <w:iCs/>
    </w:rPr>
  </w:style>
  <w:style w:type="character" w:customStyle="1" w:styleId="baj">
    <w:name w:val="b_aj"/>
    <w:basedOn w:val="Fuentedeprrafopredeter"/>
    <w:rsid w:val="00F1607A"/>
    <w:rPr>
      <w:rFonts w:cs="Times New Roman"/>
    </w:rPr>
  </w:style>
  <w:style w:type="paragraph" w:customStyle="1" w:styleId="Appelnotedebasde">
    <w:name w:val="Appel note de bas de..."/>
    <w:basedOn w:val="Normal"/>
    <w:link w:val="Refdenotaalpie"/>
    <w:uiPriority w:val="99"/>
    <w:rsid w:val="006D2030"/>
    <w:pPr>
      <w:spacing w:line="240" w:lineRule="exact"/>
    </w:pPr>
    <w:rPr>
      <w:vertAlign w:val="superscript"/>
    </w:rPr>
  </w:style>
  <w:style w:type="character" w:customStyle="1" w:styleId="Hipervnculo1">
    <w:name w:val="Hipervínculo1"/>
    <w:basedOn w:val="Fuentedeprrafopredeter"/>
    <w:uiPriority w:val="99"/>
    <w:unhideWhenUsed/>
    <w:rsid w:val="006D2030"/>
    <w:rPr>
      <w:color w:val="F2F2F2"/>
      <w:u w:val="single"/>
    </w:rPr>
  </w:style>
  <w:style w:type="character" w:styleId="Textoennegrita">
    <w:name w:val="Strong"/>
    <w:basedOn w:val="Fuentedeprrafopredeter"/>
    <w:uiPriority w:val="22"/>
    <w:qFormat/>
    <w:rsid w:val="006D2030"/>
    <w:rPr>
      <w:b/>
      <w:bCs/>
    </w:rPr>
  </w:style>
  <w:style w:type="character" w:customStyle="1" w:styleId="NormalWebCar">
    <w:name w:val="Normal (Web) Car"/>
    <w:link w:val="NormalWeb"/>
    <w:uiPriority w:val="99"/>
    <w:rsid w:val="006D2030"/>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1150-de-2007/" TargetMode="External"/><Relationship Id="rId18" Type="http://schemas.openxmlformats.org/officeDocument/2006/relationships/hyperlink" Target="https://relatoria.colombiacompra.gov.co/providencias/05001-23-33-000-2013-01143-01_1317-16_ce-suj2-025-2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sites%2Fcce_public%2Ffiles%2Ffiles_2020%2Fboletin_de_realtoria_iii.pdf&amp;data=05%7C02%7Calejandro.sarmiento%40colombiacompra.gov.co%7C992f1c9609394a8da8fe08dcc1676546%7C7b09041e245149d08cb179d5e3d8c1be%7C0%7C0%7C638597897037980144%7CUnknown%7CTWFpbGZsb3d8eyJWIjoiMC4wLjAwMDAiLCJQIjoiV2luMzIiLCJBTiI6Ik1haWwiLCJXVCI6Mn0%3D%7C0%7C%7C%7C&amp;sdata=zmwE0pC9EMKgoLR223JSTOgy8SOuAWIn7%2BB%2BWxC8tVw%3D&amp;reserved=0" TargetMode="External"/><Relationship Id="rId7" Type="http://schemas.openxmlformats.org/officeDocument/2006/relationships/settings" Target="settings.xml"/><Relationship Id="rId12" Type="http://schemas.openxmlformats.org/officeDocument/2006/relationships/hyperlink" Target="https://relatoria.colombiacompra.gov.co/normativa/ley-80-de-1993/" TargetMode="External"/><Relationship Id="rId17" Type="http://schemas.openxmlformats.org/officeDocument/2006/relationships/hyperlink" Target="http://servicios.consejodeestado.gov.co/WebRelatoria/FileReferenceServlet?corp=ce&amp;ext=html&amp;file=2157438"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rvicios.consejodeestado.gov.co/WebRelatoria/FileReferenceServlet?corp=ce&amp;ext=html&amp;file=2073388" TargetMode="External"/><Relationship Id="rId20" Type="http://schemas.openxmlformats.org/officeDocument/2006/relationships/hyperlink" Target="https://relatoria.colombiacompra.gov.co/busqueda/concepto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latoria.colombiacompra.gov.co/normativa/decreto-1082-de-2015/"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onsejodeestado.gov.co/documentos/boletines/222/05001-23-33-000-2018-00342-0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decreto-ley-019-de-2012/" TargetMode="Externa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liquidacion_proces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www.w3.org/XML/1998/namespace"/>
    <ds:schemaRef ds:uri="http://schemas.microsoft.com/office/2006/documentManagement/types"/>
    <ds:schemaRef ds:uri="http://purl.org/dc/dcmitype/"/>
    <ds:schemaRef ds:uri="http://schemas.openxmlformats.org/package/2006/metadata/core-properties"/>
    <ds:schemaRef ds:uri="9d85dbaf-23eb-4e57-a637-93dcacc8b1a1"/>
    <ds:schemaRef ds:uri="http://schemas.microsoft.com/office/infopath/2007/PartnerControls"/>
    <ds:schemaRef ds:uri="http://purl.org/dc/elements/1.1/"/>
    <ds:schemaRef ds:uri="a6cb9e4b-f1d1-4245-83ec-6cad768d538a"/>
    <ds:schemaRef ds:uri="http://purl.org/dc/terms/"/>
    <ds:schemaRef ds:uri="http://schemas.microsoft.com/office/2006/metadata/properties"/>
  </ds:schemaRefs>
</ds:datastoreItem>
</file>

<file path=customXml/itemProps2.xml><?xml version="1.0" encoding="utf-8"?>
<ds:datastoreItem xmlns:ds="http://schemas.openxmlformats.org/officeDocument/2006/customXml" ds:itemID="{83894A08-1EBD-49BF-93C0-6F4C0448D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D56BAC-7CC6-4DF4-8C69-780BB712A886}">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5165</Words>
  <Characters>28408</Characters>
  <Application>Microsoft Office Word</Application>
  <DocSecurity>0</DocSecurity>
  <Lines>236</Lines>
  <Paragraphs>67</Paragraphs>
  <ScaleCrop>false</ScaleCrop>
  <Company/>
  <LinksUpToDate>false</LinksUpToDate>
  <CharactersWithSpaces>33506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2</cp:revision>
  <cp:lastPrinted>2023-01-10T21:18:00Z</cp:lastPrinted>
  <dcterms:created xsi:type="dcterms:W3CDTF">2024-10-01T13:29:00Z</dcterms:created>
  <dcterms:modified xsi:type="dcterms:W3CDTF">2024-10-01T13:29:00Z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