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4D6DA" w14:textId="77777777" w:rsidR="00C0100E" w:rsidRPr="003C30D6" w:rsidRDefault="00C0100E" w:rsidP="00C0100E">
      <w:pPr>
        <w:spacing w:after="0" w:line="240" w:lineRule="auto"/>
        <w:rPr>
          <w:rFonts w:ascii="Verdana" w:eastAsia="Calibri" w:hAnsi="Verdana" w:cs="Arial"/>
          <w:b/>
          <w:bCs/>
          <w:lang w:val="es-ES" w:eastAsia="es-ES"/>
        </w:rPr>
      </w:pPr>
      <w:r w:rsidRPr="003C30D6">
        <w:rPr>
          <w:rFonts w:ascii="Verdana" w:eastAsia="Calibri" w:hAnsi="Verdana" w:cs="Arial"/>
          <w:b/>
          <w:bCs/>
          <w:lang w:val="es-ES" w:eastAsia="es-ES"/>
        </w:rPr>
        <w:t>FUNCIONES CONTRACTUALES – Delegación – Fundamento normativo – Artículo 211 superior</w:t>
      </w:r>
    </w:p>
    <w:p w14:paraId="0BE34789" w14:textId="77777777" w:rsidR="00C0100E" w:rsidRPr="003C30D6" w:rsidRDefault="00C0100E" w:rsidP="00C0100E">
      <w:pPr>
        <w:spacing w:after="0" w:line="240" w:lineRule="auto"/>
        <w:rPr>
          <w:rFonts w:ascii="Verdana" w:eastAsia="Calibri" w:hAnsi="Verdana" w:cs="Arial"/>
          <w:lang w:val="es-ES" w:eastAsia="es-ES"/>
        </w:rPr>
      </w:pPr>
    </w:p>
    <w:p w14:paraId="293BFA2F" w14:textId="77777777" w:rsidR="00C0100E" w:rsidRPr="003C30D6" w:rsidRDefault="00C0100E" w:rsidP="00C0100E">
      <w:pPr>
        <w:spacing w:after="0" w:line="240" w:lineRule="auto"/>
        <w:jc w:val="both"/>
        <w:rPr>
          <w:rFonts w:ascii="Verdana" w:eastAsia="Calibri" w:hAnsi="Verdana" w:cs="Arial"/>
          <w:sz w:val="20"/>
          <w:szCs w:val="20"/>
          <w:lang w:val="es-ES_tradnl"/>
        </w:rPr>
      </w:pPr>
      <w:r w:rsidRPr="003C30D6">
        <w:rPr>
          <w:rFonts w:ascii="Verdana" w:eastAsia="Calibri" w:hAnsi="Verdana" w:cs="Arial"/>
          <w:sz w:val="20"/>
          <w:szCs w:val="20"/>
          <w:lang w:val="es-ES_tradnl"/>
        </w:rPr>
        <w:t>El artículo 11 de la Ley 80 de 1993, definió la competencia para dirigir procesos de selección y suscribir contratos, centralizándola en determinadas autoridades estatales. […]</w:t>
      </w:r>
    </w:p>
    <w:p w14:paraId="7CF9A560" w14:textId="77777777" w:rsidR="00C0100E" w:rsidRPr="003C30D6" w:rsidRDefault="00C0100E" w:rsidP="00C0100E">
      <w:pPr>
        <w:spacing w:after="0" w:line="240" w:lineRule="auto"/>
        <w:jc w:val="both"/>
        <w:rPr>
          <w:rFonts w:ascii="Verdana" w:eastAsia="Calibri" w:hAnsi="Verdana" w:cs="Arial"/>
          <w:sz w:val="20"/>
          <w:szCs w:val="20"/>
          <w:lang w:val="es-ES_tradnl"/>
        </w:rPr>
      </w:pPr>
      <w:r w:rsidRPr="003C30D6">
        <w:rPr>
          <w:rFonts w:ascii="Verdana" w:eastAsia="Calibri" w:hAnsi="Verdana" w:cs="Arial"/>
          <w:sz w:val="20"/>
          <w:szCs w:val="20"/>
          <w:lang w:val="es-ES_tradnl"/>
        </w:rPr>
        <w:t>[…]</w:t>
      </w:r>
    </w:p>
    <w:p w14:paraId="104A5EF2" w14:textId="77777777" w:rsidR="00C0100E" w:rsidRPr="003C30D6" w:rsidRDefault="00C0100E" w:rsidP="00C0100E">
      <w:pPr>
        <w:spacing w:after="0" w:line="240" w:lineRule="auto"/>
        <w:jc w:val="both"/>
        <w:rPr>
          <w:rFonts w:ascii="Verdana" w:eastAsia="Calibri" w:hAnsi="Verdana" w:cs="Arial"/>
          <w:sz w:val="20"/>
          <w:szCs w:val="20"/>
          <w:lang w:val="es-ES_tradnl"/>
        </w:rPr>
      </w:pPr>
      <w:r w:rsidRPr="003C30D6">
        <w:rPr>
          <w:rFonts w:ascii="Verdana" w:eastAsia="Calibri" w:hAnsi="Verdana" w:cs="Arial"/>
          <w:sz w:val="20"/>
          <w:szCs w:val="20"/>
          <w:lang w:val="es-ES_tradnl"/>
        </w:rPr>
        <w:t>[…] durante la ejecución de la actividad contractual, dichos órganos cumplen con una multiplicidad de funciones, por lo que el ordenamiento jurídico dispuso técnicas de organización administrativa que permiten el reparto de las tareas asignadas con miras a su cumplimiento eficaz y eficiente. Por esta razón, el artículo 209 de la Constitución Política dispone que la función administrativa se desarrolla mediante la descentralización, la delegación y la desconcentración de funciones.</w:t>
      </w:r>
    </w:p>
    <w:p w14:paraId="10292230" w14:textId="77777777" w:rsidR="00C0100E" w:rsidRPr="003C30D6" w:rsidRDefault="00C0100E" w:rsidP="00C0100E">
      <w:pPr>
        <w:spacing w:after="0" w:line="240" w:lineRule="auto"/>
        <w:jc w:val="both"/>
        <w:rPr>
          <w:rFonts w:ascii="Verdana" w:eastAsia="Calibri" w:hAnsi="Verdana" w:cs="Arial"/>
          <w:sz w:val="20"/>
          <w:szCs w:val="20"/>
          <w:lang w:val="es-ES_tradnl"/>
        </w:rPr>
      </w:pPr>
    </w:p>
    <w:p w14:paraId="15114EBA" w14:textId="77777777" w:rsidR="00C0100E" w:rsidRPr="003C30D6" w:rsidRDefault="00C0100E" w:rsidP="00C0100E">
      <w:pPr>
        <w:spacing w:after="0" w:line="240" w:lineRule="auto"/>
        <w:jc w:val="both"/>
        <w:rPr>
          <w:rFonts w:ascii="Verdana" w:eastAsia="Calibri" w:hAnsi="Verdana" w:cs="Arial"/>
          <w:sz w:val="20"/>
          <w:szCs w:val="20"/>
          <w:lang w:val="es-ES_tradnl"/>
        </w:rPr>
      </w:pPr>
      <w:r w:rsidRPr="003C30D6">
        <w:rPr>
          <w:rFonts w:ascii="Verdana" w:eastAsia="Calibri" w:hAnsi="Verdana" w:cs="Arial"/>
          <w:sz w:val="20"/>
          <w:szCs w:val="20"/>
          <w:lang w:val="es-ES_tradnl"/>
        </w:rPr>
        <w:t>[…]en desarrollo del artículo 211 superior, el artículo 12 de la Ley 80 de 1993 señaló una regla especial según la cual “Los jefes y los representantes legales de las entidades estatales podrán delegar total o parcialmente la competencia para celebrar contratos y desconcentrar la realización de licitaciones en los servidores públicos que desempeñen cargos del nivel directivo o ejecutivo o en sus equivalentes”. Así las cosas, atenuando el rigor de la centralización, esta técnica organizacional implica una actuación administrativa mediante la cual el titular de una función –delegante–, previa autorización expresa por parte del órgano que asignó originalmente la competencia, inviste voluntaria y formalmente de autoridad a quien ejerce un cargo subordinado –delegatario–, para que asuma una o varias de las atribuciones del primero.</w:t>
      </w:r>
    </w:p>
    <w:p w14:paraId="5405ED64" w14:textId="77777777" w:rsidR="00C0100E" w:rsidRPr="003C30D6" w:rsidRDefault="00C0100E" w:rsidP="00C0100E">
      <w:pPr>
        <w:spacing w:after="0" w:line="240" w:lineRule="auto"/>
        <w:rPr>
          <w:rFonts w:ascii="Verdana" w:eastAsia="Calibri" w:hAnsi="Verdana" w:cs="Arial"/>
          <w:lang w:val="es-ES" w:eastAsia="es-ES"/>
        </w:rPr>
      </w:pPr>
    </w:p>
    <w:p w14:paraId="0270FB89" w14:textId="77777777" w:rsidR="00C0100E" w:rsidRPr="003C30D6" w:rsidRDefault="00C0100E" w:rsidP="00C0100E">
      <w:pPr>
        <w:spacing w:after="0" w:line="240" w:lineRule="auto"/>
        <w:jc w:val="both"/>
        <w:rPr>
          <w:rFonts w:ascii="Verdana" w:eastAsia="Calibri" w:hAnsi="Verdana" w:cs="Arial"/>
          <w:b/>
          <w:bCs/>
          <w:lang w:val="es-ES" w:eastAsia="es-ES"/>
        </w:rPr>
      </w:pPr>
      <w:r w:rsidRPr="003C30D6">
        <w:rPr>
          <w:rFonts w:ascii="Verdana" w:eastAsia="Calibri" w:hAnsi="Verdana" w:cs="Arial"/>
          <w:b/>
          <w:bCs/>
          <w:lang w:val="es-ES" w:eastAsia="es-ES"/>
        </w:rPr>
        <w:t>UNIDADES ASESORAS – Comités de contratación – Facultad de Creación – Numeral 9 del artículo 25 – Ley 80 de 1993</w:t>
      </w:r>
    </w:p>
    <w:p w14:paraId="436E60F4" w14:textId="77777777" w:rsidR="00C0100E" w:rsidRPr="003C30D6" w:rsidRDefault="00C0100E" w:rsidP="00C0100E">
      <w:pPr>
        <w:spacing w:after="0" w:line="240" w:lineRule="auto"/>
        <w:rPr>
          <w:rFonts w:ascii="Verdana" w:eastAsia="Calibri" w:hAnsi="Verdana" w:cs="Arial"/>
          <w:lang w:val="es-ES" w:eastAsia="es-ES"/>
        </w:rPr>
      </w:pPr>
    </w:p>
    <w:p w14:paraId="7C8A5498" w14:textId="77777777" w:rsidR="00C0100E" w:rsidRPr="003C30D6" w:rsidRDefault="00C0100E" w:rsidP="00C0100E">
      <w:pPr>
        <w:spacing w:after="0" w:line="240" w:lineRule="auto"/>
        <w:jc w:val="both"/>
        <w:rPr>
          <w:rFonts w:ascii="Arial" w:eastAsia="Calibri" w:hAnsi="Arial" w:cs="Arial"/>
          <w:sz w:val="20"/>
          <w:szCs w:val="20"/>
          <w:lang w:val="es-ES"/>
        </w:rPr>
      </w:pPr>
      <w:r w:rsidRPr="003C30D6">
        <w:rPr>
          <w:rFonts w:ascii="Arial" w:eastAsia="Calibri" w:hAnsi="Arial" w:cs="Arial"/>
          <w:sz w:val="20"/>
          <w:szCs w:val="20"/>
          <w:lang w:val="es-ES"/>
        </w:rPr>
        <w:t>[…] el numeral 9, del artículo 25, de la Ley 80 de 1993, señaló que “En los procesos de contratación intervendrán el jefe y las unidades asesoras y ejecutoras de la entidad que se señalen en las correspondientes normas sobre su organización y funcionamiento” [Énfasis fuera de texto]. En este sentido, quien tiene la competencia y responsabilidad para tramitar, celebrar y liquidar un contrato, es el jefe o representante legal de la entidad, o quien este delegue. Bajo este precepto, dichos sujetos están facultados para crear unidades asesoras –como es el caso de los comités asesores de contratación– que, con el fin de promover el cumplimiento de los principios de transparencia y responsabilidad, asesoren y apoyen a la gestión contractual de la entidad.</w:t>
      </w:r>
    </w:p>
    <w:p w14:paraId="61DC47E6" w14:textId="77777777" w:rsidR="00C0100E" w:rsidRPr="003C30D6" w:rsidRDefault="00C0100E" w:rsidP="00C0100E">
      <w:pPr>
        <w:spacing w:after="0" w:line="240" w:lineRule="auto"/>
        <w:jc w:val="both"/>
        <w:rPr>
          <w:rFonts w:ascii="Arial" w:eastAsia="Calibri" w:hAnsi="Arial" w:cs="Arial"/>
          <w:sz w:val="20"/>
          <w:szCs w:val="20"/>
          <w:lang w:val="es-ES_tradnl"/>
        </w:rPr>
      </w:pPr>
    </w:p>
    <w:p w14:paraId="5ABF25FC" w14:textId="77777777" w:rsidR="00C0100E" w:rsidRPr="003C30D6" w:rsidRDefault="00C0100E" w:rsidP="00C0100E">
      <w:pPr>
        <w:spacing w:after="0" w:line="240" w:lineRule="auto"/>
        <w:jc w:val="both"/>
        <w:rPr>
          <w:rFonts w:ascii="Arial" w:eastAsia="Calibri" w:hAnsi="Arial" w:cs="Arial"/>
          <w:sz w:val="20"/>
          <w:szCs w:val="20"/>
          <w:lang w:val="es-ES_tradnl"/>
        </w:rPr>
      </w:pPr>
      <w:r w:rsidRPr="003C30D6">
        <w:rPr>
          <w:rFonts w:ascii="Arial" w:eastAsia="Calibri" w:hAnsi="Arial" w:cs="Arial"/>
          <w:sz w:val="20"/>
          <w:szCs w:val="20"/>
          <w:lang w:val="es-ES_tradnl"/>
        </w:rPr>
        <w:t>[…] serán los respectivos jefes o representantes legales de las entidades públicas quiénes definirán en el marco de las funciones y competencias que les han sido conferidas por el ordenamiento jurídico, la necesidad de constituir unidades asesoras de contratación, las funciones que estas desempeñarán, la forma en la que estarán integradas, las calidades en las que actuarán los respectivos integrantes y el alcance que tendrán los conceptos que emitan sobre los procesos contractuales que pretenda adelantar la entidad.</w:t>
      </w:r>
    </w:p>
    <w:p w14:paraId="72210FCF" w14:textId="77777777" w:rsidR="00C0100E" w:rsidRDefault="00C0100E" w:rsidP="00C0100E">
      <w:pPr>
        <w:spacing w:after="0" w:line="240" w:lineRule="auto"/>
        <w:rPr>
          <w:rFonts w:ascii="Verdana" w:eastAsia="Geomanist Light" w:hAnsi="Verdana" w:cs="Arial"/>
          <w:sz w:val="20"/>
          <w:szCs w:val="20"/>
          <w:lang w:val="es-MX"/>
        </w:rPr>
      </w:pPr>
    </w:p>
    <w:p w14:paraId="79685B2D" w14:textId="77777777" w:rsidR="00C0100E" w:rsidRDefault="00C0100E" w:rsidP="00C0100E">
      <w:pPr>
        <w:spacing w:after="0" w:line="240" w:lineRule="auto"/>
        <w:rPr>
          <w:rFonts w:ascii="Verdana" w:eastAsia="Geomanist Light" w:hAnsi="Verdana" w:cs="Arial"/>
          <w:sz w:val="20"/>
          <w:szCs w:val="20"/>
          <w:lang w:val="es-MX"/>
        </w:rPr>
      </w:pPr>
    </w:p>
    <w:p w14:paraId="337ECB9A" w14:textId="77777777" w:rsidR="00C0100E" w:rsidRDefault="00C0100E" w:rsidP="00C0100E">
      <w:pPr>
        <w:spacing w:after="0" w:line="240" w:lineRule="auto"/>
        <w:rPr>
          <w:rFonts w:ascii="Verdana" w:eastAsia="Geomanist Light" w:hAnsi="Verdana" w:cs="Arial"/>
          <w:sz w:val="20"/>
          <w:szCs w:val="20"/>
          <w:lang w:val="es-MX"/>
        </w:rPr>
      </w:pPr>
    </w:p>
    <w:p w14:paraId="2255AF56" w14:textId="77777777" w:rsidR="00C0100E" w:rsidRDefault="00C0100E" w:rsidP="00C0100E">
      <w:pPr>
        <w:spacing w:after="0" w:line="240" w:lineRule="auto"/>
        <w:rPr>
          <w:rFonts w:ascii="Verdana" w:eastAsia="Geomanist Light" w:hAnsi="Verdana" w:cs="Arial"/>
          <w:sz w:val="20"/>
          <w:szCs w:val="20"/>
          <w:lang w:val="es-MX"/>
        </w:rPr>
      </w:pPr>
    </w:p>
    <w:p w14:paraId="4C34284B" w14:textId="77777777" w:rsidR="00C0100E" w:rsidRPr="003C30D6" w:rsidRDefault="00C0100E" w:rsidP="00C0100E">
      <w:pPr>
        <w:spacing w:after="0" w:line="240" w:lineRule="auto"/>
        <w:rPr>
          <w:rFonts w:ascii="Verdana" w:eastAsia="Geomanist Light" w:hAnsi="Verdana" w:cs="Arial"/>
          <w:sz w:val="20"/>
          <w:szCs w:val="20"/>
          <w:lang w:val="es-MX"/>
        </w:rPr>
      </w:pPr>
    </w:p>
    <w:p w14:paraId="1034AE33" w14:textId="018CBFB3" w:rsidR="00C0100E" w:rsidRPr="00C0100E" w:rsidRDefault="00C0100E" w:rsidP="00C0100E">
      <w:pPr>
        <w:spacing w:after="0" w:line="240" w:lineRule="auto"/>
        <w:rPr>
          <w:rFonts w:ascii="Verdana" w:eastAsia="Geomanist Light" w:hAnsi="Verdana" w:cs="Arial"/>
          <w:lang w:val="es-MX"/>
        </w:rPr>
      </w:pPr>
      <w:r w:rsidRPr="00C0100E">
        <w:rPr>
          <w:rFonts w:ascii="Verdana" w:eastAsia="Geomanist Light" w:hAnsi="Verdana" w:cs="Arial"/>
          <w:lang w:val="es-MX"/>
        </w:rPr>
        <w:lastRenderedPageBreak/>
        <w:t>Bogotá D.C., </w:t>
      </w:r>
      <w:r w:rsidR="00825461">
        <w:rPr>
          <w:rFonts w:ascii="Verdana" w:eastAsia="Geomanist Light" w:hAnsi="Verdana" w:cs="Arial"/>
          <w:lang w:val="es-MX"/>
        </w:rPr>
        <w:t>16 de mayo de 2025</w:t>
      </w:r>
    </w:p>
    <w:p w14:paraId="1C27FFF2" w14:textId="77777777" w:rsidR="00C0100E" w:rsidRPr="00C0100E" w:rsidRDefault="00C0100E" w:rsidP="00C0100E">
      <w:pPr>
        <w:spacing w:after="0" w:line="240" w:lineRule="auto"/>
        <w:jc w:val="both"/>
        <w:rPr>
          <w:rFonts w:ascii="Verdana" w:eastAsia="Calibri" w:hAnsi="Verdana" w:cs="Arial"/>
          <w:lang w:val="es-ES"/>
        </w:rPr>
      </w:pPr>
    </w:p>
    <w:p w14:paraId="65CC741D" w14:textId="517E2F83" w:rsidR="00C0100E" w:rsidRPr="00C0100E" w:rsidRDefault="00C0100E" w:rsidP="00C0100E">
      <w:pPr>
        <w:spacing w:after="0" w:line="240" w:lineRule="auto"/>
        <w:jc w:val="both"/>
        <w:rPr>
          <w:rFonts w:ascii="Verdana" w:eastAsia="Calibri" w:hAnsi="Verdana" w:cs="Arial"/>
          <w:lang w:val="es-ES" w:eastAsia="es-ES"/>
        </w:rPr>
      </w:pPr>
      <w:r w:rsidRPr="00C0100E">
        <w:rPr>
          <w:rFonts w:ascii="Verdana" w:eastAsia="Calibri" w:hAnsi="Verdana" w:cs="Arial"/>
          <w:lang w:val="es-ES" w:eastAsia="es-ES"/>
        </w:rPr>
        <w:t>Señor</w:t>
      </w:r>
    </w:p>
    <w:p w14:paraId="6C6CA989" w14:textId="77777777" w:rsidR="00A22A6A" w:rsidRPr="006167D3" w:rsidRDefault="00A22A6A" w:rsidP="00A22A6A">
      <w:pPr>
        <w:spacing w:after="0" w:line="240" w:lineRule="auto"/>
        <w:rPr>
          <w:rFonts w:ascii="Verdana" w:eastAsia="Calibri" w:hAnsi="Verdana" w:cs="Arial"/>
          <w:b/>
          <w:bCs/>
          <w:lang w:val="es-ES" w:eastAsia="es-ES"/>
        </w:rPr>
      </w:pPr>
      <w:r w:rsidRPr="006167D3">
        <w:rPr>
          <w:rFonts w:ascii="Verdana" w:eastAsia="Calibri" w:hAnsi="Verdana" w:cs="Arial"/>
          <w:b/>
          <w:bCs/>
          <w:lang w:val="es-ES" w:eastAsia="es-ES"/>
        </w:rPr>
        <w:t>Alex Gómez Petro </w:t>
      </w:r>
    </w:p>
    <w:p w14:paraId="04C61792" w14:textId="554A3ED1" w:rsidR="006167D3" w:rsidRPr="00D8637D" w:rsidRDefault="006167D3" w:rsidP="006167D3">
      <w:pPr>
        <w:spacing w:after="0" w:line="240" w:lineRule="auto"/>
        <w:rPr>
          <w:rFonts w:ascii="Verdana" w:eastAsia="Calibri" w:hAnsi="Verdana" w:cs="Arial"/>
          <w:lang w:val="fr-FR" w:eastAsia="es-ES"/>
        </w:rPr>
      </w:pPr>
      <w:hyperlink r:id="rId10" w:history="1">
        <w:r w:rsidRPr="00D8637D">
          <w:rPr>
            <w:rStyle w:val="Hipervnculo"/>
            <w:rFonts w:ascii="Verdana" w:eastAsia="Calibri" w:hAnsi="Verdana" w:cs="Arial"/>
            <w:lang w:val="fr-FR" w:eastAsia="es-ES"/>
          </w:rPr>
          <w:t>alexgomezpetro81@yahoo.com</w:t>
        </w:r>
      </w:hyperlink>
    </w:p>
    <w:p w14:paraId="6F41BF32" w14:textId="65FC75E4" w:rsidR="00C0100E" w:rsidRPr="00D8637D" w:rsidRDefault="00D8637D" w:rsidP="00C0100E">
      <w:pPr>
        <w:spacing w:after="0" w:line="240" w:lineRule="auto"/>
        <w:rPr>
          <w:rFonts w:ascii="Verdana" w:eastAsia="Calibri" w:hAnsi="Verdana" w:cs="Arial"/>
          <w:b/>
          <w:bCs/>
          <w:lang w:val="fr-FR" w:eastAsia="es-ES_tradnl"/>
        </w:rPr>
      </w:pPr>
      <w:r w:rsidRPr="00D8637D">
        <w:rPr>
          <w:rFonts w:ascii="Verdana" w:eastAsia="Calibri" w:hAnsi="Verdana" w:cs="Arial"/>
          <w:lang w:val="fr-FR" w:eastAsia="es-ES"/>
        </w:rPr>
        <w:t xml:space="preserve">Bogotá D.C </w:t>
      </w:r>
    </w:p>
    <w:p w14:paraId="4850D8F9" w14:textId="38A45CDA" w:rsidR="00C0100E" w:rsidRPr="00D8637D" w:rsidRDefault="008C150D" w:rsidP="008C150D">
      <w:pPr>
        <w:spacing w:after="0" w:line="240" w:lineRule="auto"/>
        <w:jc w:val="right"/>
        <w:rPr>
          <w:rFonts w:ascii="Verdana" w:eastAsia="Calibri" w:hAnsi="Verdana" w:cs="Arial"/>
          <w:b/>
          <w:bCs/>
          <w:lang w:val="fr-FR" w:eastAsia="es-ES_tradnl"/>
        </w:rPr>
      </w:pPr>
      <w:r w:rsidRPr="008C150D">
        <w:rPr>
          <w:rFonts w:ascii="Verdana" w:eastAsia="Calibri" w:hAnsi="Verdana" w:cs="Arial"/>
          <w:b/>
          <w:bCs/>
          <w:lang w:val="fr-FR" w:eastAsia="es-ES_tradnl"/>
        </w:rPr>
        <w:drawing>
          <wp:inline distT="0" distB="0" distL="0" distR="0" wp14:anchorId="148AE187" wp14:editId="2EFAB2B7">
            <wp:extent cx="1920406" cy="685859"/>
            <wp:effectExtent l="0" t="0" r="3810" b="0"/>
            <wp:docPr id="193802788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027887" name=""/>
                    <pic:cNvPicPr/>
                  </pic:nvPicPr>
                  <pic:blipFill>
                    <a:blip r:embed="rId11"/>
                    <a:stretch>
                      <a:fillRect/>
                    </a:stretch>
                  </pic:blipFill>
                  <pic:spPr>
                    <a:xfrm>
                      <a:off x="0" y="0"/>
                      <a:ext cx="1920406" cy="685859"/>
                    </a:xfrm>
                    <a:prstGeom prst="rect">
                      <a:avLst/>
                    </a:prstGeom>
                  </pic:spPr>
                </pic:pic>
              </a:graphicData>
            </a:graphic>
          </wp:inline>
        </w:drawing>
      </w: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C0100E" w:rsidRPr="00C0100E" w14:paraId="1530659F" w14:textId="77777777" w:rsidTr="00C64DBA">
        <w:trPr>
          <w:trHeight w:val="884"/>
        </w:trPr>
        <w:tc>
          <w:tcPr>
            <w:tcW w:w="2689" w:type="dxa"/>
          </w:tcPr>
          <w:p w14:paraId="60A0B361" w14:textId="77777777" w:rsidR="00C0100E" w:rsidRPr="00D8637D" w:rsidRDefault="00C0100E" w:rsidP="00C0100E">
            <w:pPr>
              <w:jc w:val="both"/>
              <w:rPr>
                <w:rFonts w:ascii="Verdana" w:eastAsia="Calibri" w:hAnsi="Verdana" w:cs="Arial"/>
                <w:b/>
                <w:bCs/>
                <w:lang w:val="fr-FR" w:eastAsia="es-ES_tradnl"/>
              </w:rPr>
            </w:pPr>
          </w:p>
        </w:tc>
        <w:tc>
          <w:tcPr>
            <w:tcW w:w="6100" w:type="dxa"/>
          </w:tcPr>
          <w:p w14:paraId="100E71CC" w14:textId="54BBBFD7" w:rsidR="00C0100E" w:rsidRPr="00C0100E" w:rsidRDefault="00C0100E" w:rsidP="00C0100E">
            <w:pPr>
              <w:jc w:val="both"/>
              <w:rPr>
                <w:rFonts w:ascii="Verdana" w:eastAsia="Calibri" w:hAnsi="Verdana" w:cs="Arial"/>
                <w:b/>
                <w:bCs/>
                <w:lang w:val="es-ES" w:eastAsia="es-ES"/>
              </w:rPr>
            </w:pPr>
            <w:r w:rsidRPr="00C0100E">
              <w:rPr>
                <w:rFonts w:ascii="Verdana" w:eastAsia="Calibri" w:hAnsi="Verdana" w:cs="Arial"/>
                <w:b/>
                <w:bCs/>
                <w:lang w:val="es-ES" w:eastAsia="es-ES"/>
              </w:rPr>
              <w:t xml:space="preserve">Concepto C- </w:t>
            </w:r>
            <w:r w:rsidR="007C4EC1">
              <w:rPr>
                <w:rFonts w:ascii="Verdana" w:eastAsia="Calibri" w:hAnsi="Verdana" w:cs="Arial"/>
                <w:b/>
                <w:bCs/>
                <w:lang w:val="es-ES" w:eastAsia="es-ES"/>
              </w:rPr>
              <w:t>446</w:t>
            </w:r>
            <w:r w:rsidR="001A1BC9">
              <w:rPr>
                <w:rFonts w:ascii="Verdana" w:eastAsia="Calibri" w:hAnsi="Verdana" w:cs="Arial"/>
                <w:b/>
                <w:bCs/>
                <w:lang w:val="es-ES" w:eastAsia="es-ES"/>
              </w:rPr>
              <w:t xml:space="preserve"> </w:t>
            </w:r>
            <w:r w:rsidRPr="00C0100E">
              <w:rPr>
                <w:rFonts w:ascii="Verdana" w:eastAsia="Calibri" w:hAnsi="Verdana" w:cs="Arial"/>
                <w:b/>
                <w:bCs/>
                <w:lang w:val="es-ES" w:eastAsia="es-ES"/>
              </w:rPr>
              <w:t>de 202</w:t>
            </w:r>
            <w:r w:rsidR="00D8637D">
              <w:rPr>
                <w:rFonts w:ascii="Verdana" w:eastAsia="Calibri" w:hAnsi="Verdana" w:cs="Arial"/>
                <w:b/>
                <w:bCs/>
                <w:lang w:val="es-ES" w:eastAsia="es-ES"/>
              </w:rPr>
              <w:t>5</w:t>
            </w:r>
          </w:p>
        </w:tc>
      </w:tr>
      <w:tr w:rsidR="00C0100E" w:rsidRPr="00C0100E" w14:paraId="1F5AA4C2" w14:textId="77777777" w:rsidTr="00C64DBA">
        <w:trPr>
          <w:trHeight w:val="884"/>
        </w:trPr>
        <w:tc>
          <w:tcPr>
            <w:tcW w:w="2689" w:type="dxa"/>
          </w:tcPr>
          <w:p w14:paraId="7CB73550" w14:textId="77777777" w:rsidR="00C0100E" w:rsidRPr="00C0100E" w:rsidRDefault="00C0100E" w:rsidP="00C0100E">
            <w:pPr>
              <w:jc w:val="both"/>
              <w:rPr>
                <w:rFonts w:ascii="Verdana" w:eastAsia="Calibri" w:hAnsi="Verdana" w:cs="Arial"/>
                <w:lang w:val="es-ES_tradnl" w:eastAsia="es-ES_tradnl"/>
              </w:rPr>
            </w:pPr>
            <w:r w:rsidRPr="00C0100E">
              <w:rPr>
                <w:rFonts w:ascii="Verdana" w:eastAsia="Calibri" w:hAnsi="Verdana" w:cs="Arial"/>
                <w:b/>
                <w:lang w:val="es-ES_tradnl" w:eastAsia="es-ES_tradnl"/>
              </w:rPr>
              <w:t>Temas:</w:t>
            </w:r>
            <w:r w:rsidRPr="00C0100E">
              <w:rPr>
                <w:rFonts w:ascii="Verdana" w:eastAsia="Calibri" w:hAnsi="Verdana" w:cs="Arial"/>
                <w:lang w:val="es-ES_tradnl" w:eastAsia="es-ES_tradnl"/>
              </w:rPr>
              <w:t xml:space="preserve">                   </w:t>
            </w:r>
          </w:p>
        </w:tc>
        <w:tc>
          <w:tcPr>
            <w:tcW w:w="6100" w:type="dxa"/>
          </w:tcPr>
          <w:p w14:paraId="1B8532E1" w14:textId="77777777" w:rsidR="00C0100E" w:rsidRPr="00C0100E" w:rsidRDefault="00C0100E" w:rsidP="00C0100E">
            <w:pPr>
              <w:spacing w:line="276" w:lineRule="auto"/>
              <w:jc w:val="both"/>
              <w:rPr>
                <w:rFonts w:ascii="Verdana" w:eastAsia="Calibri" w:hAnsi="Verdana" w:cs="Arial"/>
                <w:lang w:val="es-ES" w:eastAsia="es-ES"/>
              </w:rPr>
            </w:pPr>
            <w:r w:rsidRPr="00C0100E">
              <w:rPr>
                <w:rFonts w:ascii="Verdana" w:eastAsia="Calibri" w:hAnsi="Verdana" w:cs="Arial"/>
                <w:lang w:val="es-ES" w:eastAsia="es-ES"/>
              </w:rPr>
              <w:t xml:space="preserve">FUNCIONES CONTRACTUALES – Delegación – Fundamento normativo – Artículo 211 superior / UNIDADES ASESORAS – Comités de contratación – Facultad de Creación – Numeral 9 del artículo 25 – Ley 80 de 1993 </w:t>
            </w:r>
          </w:p>
          <w:p w14:paraId="5FFD9C1B" w14:textId="77777777" w:rsidR="00C0100E" w:rsidRPr="00C0100E" w:rsidRDefault="00C0100E" w:rsidP="00C0100E">
            <w:pPr>
              <w:spacing w:line="276" w:lineRule="auto"/>
              <w:jc w:val="both"/>
              <w:rPr>
                <w:rFonts w:ascii="Verdana" w:eastAsia="Calibri" w:hAnsi="Verdana" w:cs="Arial"/>
                <w:lang w:val="es-ES" w:eastAsia="es-ES"/>
              </w:rPr>
            </w:pPr>
          </w:p>
        </w:tc>
      </w:tr>
      <w:tr w:rsidR="00C0100E" w:rsidRPr="00C0100E" w14:paraId="5191A78C" w14:textId="77777777" w:rsidTr="00C64DBA">
        <w:tc>
          <w:tcPr>
            <w:tcW w:w="2689" w:type="dxa"/>
          </w:tcPr>
          <w:p w14:paraId="736F5DFF" w14:textId="77777777" w:rsidR="00C0100E" w:rsidRPr="00C0100E" w:rsidRDefault="00C0100E" w:rsidP="00C0100E">
            <w:pPr>
              <w:jc w:val="both"/>
              <w:rPr>
                <w:rFonts w:ascii="Verdana" w:eastAsia="Calibri" w:hAnsi="Verdana" w:cs="Arial"/>
                <w:b/>
                <w:lang w:val="es-ES_tradnl" w:eastAsia="es-ES_tradnl"/>
              </w:rPr>
            </w:pPr>
            <w:r w:rsidRPr="00C0100E">
              <w:rPr>
                <w:rFonts w:ascii="Verdana" w:eastAsia="Calibri" w:hAnsi="Verdana" w:cs="Arial"/>
                <w:b/>
                <w:lang w:val="es-ES_tradnl" w:eastAsia="es-ES_tradnl"/>
              </w:rPr>
              <w:t>Radicación:</w:t>
            </w:r>
            <w:r w:rsidRPr="00C0100E">
              <w:rPr>
                <w:rFonts w:ascii="Verdana" w:eastAsia="Calibri" w:hAnsi="Verdana" w:cs="Arial"/>
                <w:lang w:val="es-ES_tradnl" w:eastAsia="es-ES_tradnl"/>
              </w:rPr>
              <w:t xml:space="preserve">               </w:t>
            </w:r>
          </w:p>
        </w:tc>
        <w:tc>
          <w:tcPr>
            <w:tcW w:w="6100" w:type="dxa"/>
          </w:tcPr>
          <w:p w14:paraId="1275F055" w14:textId="65B695FE" w:rsidR="00C0100E" w:rsidRPr="00C0100E" w:rsidRDefault="00C0100E" w:rsidP="00C0100E">
            <w:pPr>
              <w:jc w:val="both"/>
              <w:rPr>
                <w:rFonts w:ascii="Verdana" w:eastAsia="Calibri" w:hAnsi="Verdana" w:cs="Arial"/>
                <w:lang w:val="es-ES_tradnl" w:eastAsia="es-ES_tradnl"/>
              </w:rPr>
            </w:pPr>
            <w:r w:rsidRPr="00C0100E">
              <w:rPr>
                <w:rFonts w:ascii="Verdana" w:eastAsia="Calibri" w:hAnsi="Verdana" w:cs="Arial"/>
                <w:lang w:val="es-ES_tradnl" w:eastAsia="es-ES_tradnl"/>
              </w:rPr>
              <w:t>Respuesta a consulta con radicado No.</w:t>
            </w:r>
            <w:r w:rsidR="00214D5C">
              <w:rPr>
                <w:rFonts w:ascii="Verdana" w:eastAsia="Calibri" w:hAnsi="Verdana" w:cs="Arial"/>
                <w:lang w:val="es-ES_tradnl" w:eastAsia="es-ES_tradnl"/>
              </w:rPr>
              <w:t xml:space="preserve"> </w:t>
            </w:r>
            <w:r w:rsidR="00214D5C" w:rsidRPr="00214D5C">
              <w:rPr>
                <w:rFonts w:ascii="Verdana" w:eastAsia="Calibri" w:hAnsi="Verdana" w:cs="Arial"/>
                <w:lang w:val="es-ES_tradnl" w:eastAsia="es-ES_tradnl"/>
              </w:rPr>
              <w:t>P2025</w:t>
            </w:r>
            <w:r w:rsidR="007C4EC1">
              <w:rPr>
                <w:rFonts w:ascii="Verdana" w:eastAsia="Calibri" w:hAnsi="Verdana" w:cs="Arial"/>
                <w:lang w:val="es-ES_tradnl" w:eastAsia="es-ES_tradnl"/>
              </w:rPr>
              <w:t>0411003533</w:t>
            </w:r>
            <w:r w:rsidR="00214D5C">
              <w:rPr>
                <w:rFonts w:ascii="Verdana" w:eastAsia="Calibri" w:hAnsi="Verdana" w:cs="Arial"/>
                <w:lang w:val="es-ES_tradnl" w:eastAsia="es-ES_tradnl"/>
              </w:rPr>
              <w:t>.</w:t>
            </w:r>
            <w:r w:rsidRPr="00C0100E">
              <w:rPr>
                <w:rFonts w:ascii="Verdana" w:eastAsia="Calibri" w:hAnsi="Verdana" w:cs="Arial"/>
                <w:lang w:val="es-ES_tradnl" w:eastAsia="es-ES_tradnl"/>
              </w:rPr>
              <w:tab/>
            </w:r>
            <w:r w:rsidRPr="00C0100E">
              <w:rPr>
                <w:rFonts w:ascii="Verdana" w:eastAsia="Calibri" w:hAnsi="Verdana" w:cs="Arial"/>
                <w:lang w:val="es-ES_tradnl" w:eastAsia="es-ES_tradnl"/>
              </w:rPr>
              <w:tab/>
            </w:r>
            <w:r w:rsidRPr="00C0100E">
              <w:rPr>
                <w:rFonts w:ascii="Verdana" w:eastAsia="Calibri" w:hAnsi="Verdana" w:cs="Arial"/>
                <w:lang w:val="es-ES_tradnl" w:eastAsia="es-ES_tradnl"/>
              </w:rPr>
              <w:tab/>
            </w:r>
          </w:p>
        </w:tc>
      </w:tr>
    </w:tbl>
    <w:p w14:paraId="5BD58850" w14:textId="77777777" w:rsidR="00C0100E" w:rsidRPr="00C0100E" w:rsidRDefault="00C0100E" w:rsidP="00C0100E">
      <w:pPr>
        <w:spacing w:after="0" w:line="240" w:lineRule="auto"/>
        <w:jc w:val="both"/>
        <w:rPr>
          <w:rFonts w:ascii="Verdana" w:eastAsia="Calibri" w:hAnsi="Verdana" w:cs="Arial"/>
          <w:lang w:val="es-ES_tradnl" w:eastAsia="es-ES_tradnl"/>
        </w:rPr>
      </w:pPr>
    </w:p>
    <w:p w14:paraId="29DB58D4" w14:textId="77777777" w:rsidR="00C0100E" w:rsidRPr="00C0100E" w:rsidRDefault="00C0100E" w:rsidP="00C0100E">
      <w:pPr>
        <w:spacing w:after="0" w:line="240" w:lineRule="auto"/>
        <w:jc w:val="both"/>
        <w:rPr>
          <w:rFonts w:ascii="Verdana" w:eastAsia="Calibri" w:hAnsi="Verdana" w:cs="Arial"/>
          <w:lang w:val="es-ES_tradnl" w:eastAsia="es-ES_tradnl"/>
        </w:rPr>
      </w:pPr>
    </w:p>
    <w:p w14:paraId="5EEB88D7" w14:textId="4C9CC01D" w:rsidR="00C0100E" w:rsidRPr="00C0100E" w:rsidRDefault="00C0100E" w:rsidP="00C0100E">
      <w:pPr>
        <w:spacing w:after="0" w:line="276" w:lineRule="auto"/>
        <w:jc w:val="both"/>
        <w:rPr>
          <w:rFonts w:ascii="Verdana" w:eastAsia="Calibri" w:hAnsi="Verdana" w:cs="Arial"/>
          <w:lang w:val="es-ES" w:eastAsia="es-ES"/>
        </w:rPr>
      </w:pPr>
      <w:r w:rsidRPr="00C0100E">
        <w:rPr>
          <w:rFonts w:ascii="Verdana" w:eastAsia="Calibri" w:hAnsi="Verdana" w:cs="Arial"/>
          <w:lang w:val="es-ES" w:eastAsia="es-ES"/>
        </w:rPr>
        <w:t>Estim</w:t>
      </w:r>
      <w:r w:rsidR="00915E64">
        <w:rPr>
          <w:rFonts w:ascii="Verdana" w:eastAsia="Calibri" w:hAnsi="Verdana" w:cs="Arial"/>
          <w:lang w:val="es-ES" w:eastAsia="es-ES"/>
        </w:rPr>
        <w:t>ado</w:t>
      </w:r>
      <w:r w:rsidRPr="00C0100E">
        <w:rPr>
          <w:rFonts w:ascii="Verdana" w:eastAsia="Calibri" w:hAnsi="Verdana" w:cs="Arial"/>
          <w:lang w:val="es-ES" w:eastAsia="es-ES"/>
        </w:rPr>
        <w:t xml:space="preserve"> señor </w:t>
      </w:r>
      <w:r w:rsidR="005E19A9">
        <w:rPr>
          <w:rFonts w:ascii="Verdana" w:eastAsia="Calibri" w:hAnsi="Verdana" w:cs="Arial"/>
          <w:lang w:val="es-ES" w:eastAsia="es-ES"/>
        </w:rPr>
        <w:t>Gómez</w:t>
      </w:r>
      <w:r w:rsidRPr="00C0100E">
        <w:rPr>
          <w:rFonts w:ascii="Verdana" w:eastAsia="Calibri" w:hAnsi="Verdana" w:cs="Arial"/>
          <w:lang w:val="es-ES" w:eastAsia="es-ES"/>
        </w:rPr>
        <w:t xml:space="preserve">: </w:t>
      </w:r>
    </w:p>
    <w:p w14:paraId="0CED996B" w14:textId="77777777" w:rsidR="00C0100E" w:rsidRPr="00C0100E" w:rsidRDefault="00C0100E" w:rsidP="00C0100E">
      <w:pPr>
        <w:tabs>
          <w:tab w:val="left" w:pos="3768"/>
        </w:tabs>
        <w:spacing w:after="0" w:line="276" w:lineRule="auto"/>
        <w:jc w:val="both"/>
        <w:rPr>
          <w:rFonts w:ascii="Verdana" w:eastAsia="Calibri" w:hAnsi="Verdana" w:cs="Arial"/>
          <w:lang w:val="es-ES" w:eastAsia="es-ES"/>
        </w:rPr>
      </w:pPr>
      <w:r w:rsidRPr="00C0100E">
        <w:rPr>
          <w:rFonts w:ascii="Verdana" w:eastAsia="Calibri" w:hAnsi="Verdana" w:cs="Arial"/>
          <w:lang w:val="es-ES" w:eastAsia="es-ES"/>
        </w:rPr>
        <w:tab/>
      </w:r>
    </w:p>
    <w:p w14:paraId="12235446" w14:textId="048C5F45" w:rsidR="00C0100E" w:rsidRPr="00C0100E" w:rsidRDefault="00C0100E" w:rsidP="00C0100E">
      <w:pPr>
        <w:spacing w:after="0" w:line="276" w:lineRule="auto"/>
        <w:jc w:val="both"/>
        <w:rPr>
          <w:rFonts w:ascii="Verdana" w:eastAsia="Calibri" w:hAnsi="Verdana" w:cs="Arial"/>
          <w:lang w:val="es-ES" w:eastAsia="es-ES"/>
        </w:rPr>
      </w:pPr>
      <w:r w:rsidRPr="00C0100E">
        <w:rPr>
          <w:rFonts w:ascii="Verdana" w:eastAsia="Calibri" w:hAnsi="Verdana" w:cs="Arial"/>
          <w:lang w:val="es-ES" w:eastAsia="es-ES"/>
        </w:rPr>
        <w:t>En ejercicio de la competencia otorgada por los artículos 3, numeral 5º, y 11, numeral 8º, del Decreto Ley 4170 de 2011,</w:t>
      </w:r>
      <w:r w:rsidRPr="00C0100E">
        <w:rPr>
          <w:rFonts w:ascii="Verdana" w:eastAsia="Arial MT" w:hAnsi="Verdana" w:cs="Arial MT"/>
          <w:lang w:val="es-ES" w:eastAsia="es-ES"/>
        </w:rPr>
        <w:t xml:space="preserve"> </w:t>
      </w:r>
      <w:r w:rsidRPr="00C0100E">
        <w:rPr>
          <w:rFonts w:ascii="Verdana" w:eastAsia="Calibri" w:hAnsi="Verdana" w:cs="Arial"/>
        </w:rPr>
        <w:t xml:space="preserve">así como lo establecido en el artículo 4 de la Resolución 1707 de 2018 expedida por esta Entidad, </w:t>
      </w:r>
      <w:r w:rsidRPr="00C0100E">
        <w:rPr>
          <w:rFonts w:ascii="Verdana" w:eastAsia="Calibri" w:hAnsi="Verdana" w:cs="Arial"/>
          <w:lang w:val="es-ES" w:eastAsia="es-ES"/>
        </w:rPr>
        <w:t xml:space="preserve">la Agencia Nacional de Contratación Pública – Colombia Compra Eficiente– responde su solicitud de consulta de fecha del </w:t>
      </w:r>
      <w:r w:rsidR="00FF385B">
        <w:rPr>
          <w:rFonts w:ascii="Verdana" w:eastAsia="Calibri" w:hAnsi="Verdana" w:cs="Arial"/>
          <w:lang w:val="es-ES" w:eastAsia="es-ES"/>
        </w:rPr>
        <w:t>1</w:t>
      </w:r>
      <w:r w:rsidR="0059578C">
        <w:rPr>
          <w:rFonts w:ascii="Verdana" w:eastAsia="Calibri" w:hAnsi="Verdana" w:cs="Arial"/>
          <w:lang w:val="es-ES" w:eastAsia="es-ES"/>
        </w:rPr>
        <w:t>1</w:t>
      </w:r>
      <w:r w:rsidRPr="00C0100E">
        <w:rPr>
          <w:rFonts w:ascii="Verdana" w:eastAsia="Calibri" w:hAnsi="Verdana" w:cs="Arial"/>
          <w:lang w:val="es-ES" w:eastAsia="es-ES"/>
        </w:rPr>
        <w:t xml:space="preserve"> de</w:t>
      </w:r>
      <w:r w:rsidR="0059578C">
        <w:rPr>
          <w:rFonts w:ascii="Verdana" w:eastAsia="Calibri" w:hAnsi="Verdana" w:cs="Arial"/>
          <w:lang w:val="es-ES" w:eastAsia="es-ES"/>
        </w:rPr>
        <w:t xml:space="preserve"> abril</w:t>
      </w:r>
      <w:r w:rsidRPr="00C0100E">
        <w:rPr>
          <w:rFonts w:ascii="Verdana" w:eastAsia="Calibri" w:hAnsi="Verdana" w:cs="Arial"/>
          <w:lang w:val="es-ES" w:eastAsia="es-ES"/>
        </w:rPr>
        <w:t xml:space="preserve"> de 202</w:t>
      </w:r>
      <w:r w:rsidR="00FF385B">
        <w:rPr>
          <w:rFonts w:ascii="Verdana" w:eastAsia="Calibri" w:hAnsi="Verdana" w:cs="Arial"/>
          <w:lang w:val="es-ES" w:eastAsia="es-ES"/>
        </w:rPr>
        <w:t>5</w:t>
      </w:r>
      <w:r w:rsidRPr="00C0100E">
        <w:rPr>
          <w:rFonts w:ascii="Verdana" w:eastAsia="Calibri" w:hAnsi="Verdana" w:cs="Arial"/>
          <w:lang w:val="es-ES" w:eastAsia="es-ES"/>
        </w:rPr>
        <w:t xml:space="preserve">, en la que realiza las siguientes preguntas: </w:t>
      </w:r>
    </w:p>
    <w:p w14:paraId="7064AFF5" w14:textId="77777777" w:rsidR="00C0100E" w:rsidRPr="00C0100E" w:rsidRDefault="00C0100E" w:rsidP="00C0100E">
      <w:pPr>
        <w:tabs>
          <w:tab w:val="left" w:pos="142"/>
          <w:tab w:val="left" w:pos="284"/>
        </w:tabs>
        <w:spacing w:after="0" w:line="240" w:lineRule="auto"/>
        <w:contextualSpacing/>
        <w:jc w:val="both"/>
        <w:rPr>
          <w:rFonts w:ascii="Verdana" w:eastAsia="Century Gothic" w:hAnsi="Verdana" w:cs="Century Gothic"/>
          <w:b/>
          <w:bCs/>
          <w:sz w:val="20"/>
          <w:szCs w:val="20"/>
          <w:lang w:val="es-ES"/>
        </w:rPr>
      </w:pPr>
    </w:p>
    <w:p w14:paraId="190F2227" w14:textId="77777777" w:rsidR="00506B7C" w:rsidRPr="00506B7C" w:rsidRDefault="00C0100E" w:rsidP="00506B7C">
      <w:pPr>
        <w:tabs>
          <w:tab w:val="left" w:pos="709"/>
        </w:tabs>
        <w:spacing w:after="0" w:line="240" w:lineRule="auto"/>
        <w:ind w:left="709" w:right="709"/>
        <w:jc w:val="both"/>
        <w:rPr>
          <w:rFonts w:ascii="Verdana" w:eastAsia="Calibri" w:hAnsi="Verdana" w:cs="Arial"/>
          <w:sz w:val="20"/>
          <w:szCs w:val="20"/>
        </w:rPr>
      </w:pPr>
      <w:r w:rsidRPr="00C0100E">
        <w:rPr>
          <w:rFonts w:ascii="Verdana" w:eastAsia="Calibri" w:hAnsi="Verdana" w:cs="Arial"/>
          <w:sz w:val="20"/>
          <w:szCs w:val="20"/>
          <w:lang w:val="es-MX"/>
        </w:rPr>
        <w:t>“</w:t>
      </w:r>
      <w:r w:rsidR="00506B7C" w:rsidRPr="00506B7C">
        <w:rPr>
          <w:rFonts w:ascii="Verdana" w:eastAsia="Calibri" w:hAnsi="Verdana" w:cs="Arial"/>
          <w:sz w:val="20"/>
          <w:szCs w:val="20"/>
        </w:rPr>
        <w:t>Con la presente solicito un concepto sobre cuál dependencia al interior de las entidades de la rama ejecutiva del orden nacional debería encargarse de gestionar los contratos de prestación de servicios profesionales y de apoyo a la gestión, la Oficina de Talento Humano o quien haga sus veces o la Secretaría General o quien haga sus veces.</w:t>
      </w:r>
    </w:p>
    <w:p w14:paraId="749DE08C" w14:textId="77777777" w:rsidR="00506B7C" w:rsidRPr="00506B7C" w:rsidRDefault="00506B7C" w:rsidP="00506B7C">
      <w:pPr>
        <w:tabs>
          <w:tab w:val="left" w:pos="709"/>
        </w:tabs>
        <w:spacing w:after="0" w:line="240" w:lineRule="auto"/>
        <w:ind w:left="709" w:right="709"/>
        <w:jc w:val="both"/>
        <w:rPr>
          <w:rFonts w:ascii="Verdana" w:eastAsia="Calibri" w:hAnsi="Verdana" w:cs="Arial"/>
          <w:sz w:val="20"/>
          <w:szCs w:val="20"/>
        </w:rPr>
      </w:pPr>
    </w:p>
    <w:p w14:paraId="67BC4568" w14:textId="77777777" w:rsidR="00506B7C" w:rsidRPr="00506B7C" w:rsidRDefault="00506B7C" w:rsidP="00506B7C">
      <w:pPr>
        <w:tabs>
          <w:tab w:val="left" w:pos="709"/>
        </w:tabs>
        <w:spacing w:after="0" w:line="240" w:lineRule="auto"/>
        <w:ind w:left="709" w:right="709"/>
        <w:jc w:val="both"/>
        <w:rPr>
          <w:rFonts w:ascii="Verdana" w:eastAsia="Calibri" w:hAnsi="Verdana" w:cs="Arial"/>
          <w:sz w:val="20"/>
          <w:szCs w:val="20"/>
        </w:rPr>
      </w:pPr>
      <w:r w:rsidRPr="00506B7C">
        <w:rPr>
          <w:rFonts w:ascii="Verdana" w:eastAsia="Calibri" w:hAnsi="Verdana" w:cs="Arial"/>
          <w:sz w:val="20"/>
          <w:szCs w:val="20"/>
        </w:rPr>
        <w:t xml:space="preserve">Teniendo en cuenta que el talento humano es el corazón del Modelo Integrado de Planeación y Gestión - MIPG, y que según la Guía estratégica del talento humano expedida por el DAFP en años anteriores le corresponde a talento humano en la etapa de desarrollo velar por la </w:t>
      </w:r>
      <w:r w:rsidRPr="00506B7C">
        <w:rPr>
          <w:rFonts w:ascii="Verdana" w:eastAsia="Calibri" w:hAnsi="Verdana" w:cs="Arial"/>
          <w:sz w:val="20"/>
          <w:szCs w:val="20"/>
        </w:rPr>
        <w:lastRenderedPageBreak/>
        <w:t>proporción de contratos de prestación frente a los servidores de planta, se podría considerar que la gestión contractual de este tipo de vinculación de apoyo a la gestión debería ser desarrollada por las oficinas de talento humano, ya que los contratistas también son recurso humano en las entidades, pero históricamente, este tipo de contratos son gestionados por la dependencia de Secretaría General o quien haga sus veces, y en otras entidades lo hace la Oficina de Talento Humano o quien haga sus veces.</w:t>
      </w:r>
    </w:p>
    <w:p w14:paraId="3CBF8C03" w14:textId="77777777" w:rsidR="00506B7C" w:rsidRPr="00506B7C" w:rsidRDefault="00506B7C" w:rsidP="00506B7C">
      <w:pPr>
        <w:tabs>
          <w:tab w:val="left" w:pos="709"/>
        </w:tabs>
        <w:spacing w:after="0" w:line="240" w:lineRule="auto"/>
        <w:ind w:left="709" w:right="709"/>
        <w:jc w:val="both"/>
        <w:rPr>
          <w:rFonts w:ascii="Verdana" w:eastAsia="Calibri" w:hAnsi="Verdana" w:cs="Arial"/>
          <w:sz w:val="20"/>
          <w:szCs w:val="20"/>
        </w:rPr>
      </w:pPr>
    </w:p>
    <w:p w14:paraId="02DDD1C1" w14:textId="50F870A2" w:rsidR="00C0100E" w:rsidRPr="00E52C8C" w:rsidRDefault="00506B7C" w:rsidP="00E52C8C">
      <w:pPr>
        <w:tabs>
          <w:tab w:val="left" w:pos="709"/>
        </w:tabs>
        <w:spacing w:after="0" w:line="240" w:lineRule="auto"/>
        <w:ind w:left="709" w:right="709"/>
        <w:jc w:val="both"/>
        <w:rPr>
          <w:rFonts w:ascii="Verdana" w:eastAsia="Calibri" w:hAnsi="Verdana" w:cs="Arial"/>
          <w:sz w:val="20"/>
          <w:szCs w:val="20"/>
        </w:rPr>
      </w:pPr>
      <w:r w:rsidRPr="00506B7C">
        <w:rPr>
          <w:rFonts w:ascii="Verdana" w:eastAsia="Calibri" w:hAnsi="Verdana" w:cs="Arial"/>
          <w:sz w:val="20"/>
          <w:szCs w:val="20"/>
        </w:rPr>
        <w:t>Les agradezco brindarme todos los elementos necesarios en el concepto, con el fin de determinar cuál debería ser la dependencia idónea para gestionar este tipo de contratos en forma particular.</w:t>
      </w:r>
      <w:r w:rsidR="00E52C8C">
        <w:rPr>
          <w:rFonts w:ascii="Verdana" w:eastAsia="Calibri" w:hAnsi="Verdana" w:cs="Arial"/>
          <w:sz w:val="20"/>
          <w:szCs w:val="20"/>
        </w:rPr>
        <w:t>” [sic]</w:t>
      </w:r>
    </w:p>
    <w:p w14:paraId="12C49B6E" w14:textId="77777777" w:rsidR="00C0100E" w:rsidRPr="00C0100E" w:rsidRDefault="00C0100E" w:rsidP="00C0100E">
      <w:pPr>
        <w:tabs>
          <w:tab w:val="left" w:pos="142"/>
          <w:tab w:val="left" w:pos="284"/>
        </w:tabs>
        <w:spacing w:line="276" w:lineRule="auto"/>
        <w:contextualSpacing/>
        <w:jc w:val="both"/>
        <w:rPr>
          <w:rFonts w:ascii="Verdana" w:eastAsia="Century Gothic" w:hAnsi="Verdana" w:cs="Century Gothic"/>
          <w:b/>
          <w:bCs/>
          <w:lang w:val="es-ES"/>
        </w:rPr>
      </w:pPr>
    </w:p>
    <w:p w14:paraId="1B8B74ED" w14:textId="77777777" w:rsidR="00C0100E" w:rsidRPr="00C0100E" w:rsidRDefault="00C0100E" w:rsidP="00C0100E">
      <w:pPr>
        <w:spacing w:after="120" w:line="276" w:lineRule="auto"/>
        <w:ind w:firstLine="709"/>
        <w:jc w:val="both"/>
        <w:rPr>
          <w:rFonts w:ascii="Verdana" w:eastAsia="Calibri" w:hAnsi="Verdana" w:cs="Arial"/>
          <w:szCs w:val="24"/>
          <w:lang w:val="es-ES_tradnl" w:eastAsia="es-ES_tradnl"/>
        </w:rPr>
      </w:pPr>
      <w:r w:rsidRPr="00C0100E">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0100E">
        <w:rPr>
          <w:rFonts w:ascii="Verdana" w:eastAsia="Calibri" w:hAnsi="Verdana" w:cs="Arial"/>
          <w:szCs w:val="24"/>
          <w:lang w:val="es-ES_tradnl" w:eastAsia="es-ES_tradnl"/>
        </w:rPr>
        <w:tab/>
      </w:r>
    </w:p>
    <w:p w14:paraId="501167C9" w14:textId="77777777" w:rsidR="00C0100E" w:rsidRPr="00C0100E" w:rsidRDefault="00C0100E" w:rsidP="00C0100E">
      <w:pPr>
        <w:spacing w:after="0" w:line="276" w:lineRule="auto"/>
        <w:ind w:firstLine="709"/>
        <w:jc w:val="both"/>
        <w:rPr>
          <w:rFonts w:ascii="Verdana" w:eastAsia="Calibri" w:hAnsi="Verdana" w:cs="Arial"/>
          <w:lang w:val="es-ES" w:eastAsia="es-ES"/>
        </w:rPr>
      </w:pPr>
      <w:r w:rsidRPr="00C0100E">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46C772FE" w14:textId="77777777" w:rsidR="00C0100E" w:rsidRPr="00C0100E" w:rsidRDefault="00C0100E" w:rsidP="00C0100E">
      <w:pPr>
        <w:spacing w:after="0" w:line="276" w:lineRule="auto"/>
        <w:ind w:firstLine="709"/>
        <w:jc w:val="both"/>
        <w:rPr>
          <w:rFonts w:ascii="Verdana" w:eastAsia="Calibri" w:hAnsi="Verdana" w:cs="Arial"/>
          <w:lang w:val="es-ES" w:eastAsia="es-ES"/>
        </w:rPr>
      </w:pPr>
    </w:p>
    <w:p w14:paraId="6C936678" w14:textId="77777777" w:rsidR="00C0100E" w:rsidRPr="00C0100E" w:rsidRDefault="00C0100E" w:rsidP="00C0100E">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C0100E">
        <w:rPr>
          <w:rFonts w:ascii="Verdana" w:eastAsia="Arial" w:hAnsi="Verdana" w:cs="Arial"/>
          <w:b/>
          <w:bCs/>
          <w:lang w:val="es-ES"/>
        </w:rPr>
        <w:t>1. Problema planteado:</w:t>
      </w:r>
    </w:p>
    <w:p w14:paraId="6DCEEE85" w14:textId="77777777" w:rsidR="00C0100E" w:rsidRPr="00C0100E" w:rsidRDefault="00C0100E" w:rsidP="00C0100E">
      <w:pPr>
        <w:tabs>
          <w:tab w:val="left" w:pos="426"/>
        </w:tabs>
        <w:spacing w:after="0" w:line="276" w:lineRule="auto"/>
        <w:jc w:val="both"/>
        <w:rPr>
          <w:rFonts w:ascii="Verdana" w:eastAsia="Century Gothic" w:hAnsi="Verdana" w:cs="Century Gothic"/>
          <w:lang w:val="es-ES"/>
        </w:rPr>
      </w:pPr>
    </w:p>
    <w:p w14:paraId="36A157EF" w14:textId="1F007FBF" w:rsidR="00C0100E" w:rsidRPr="00C0100E" w:rsidRDefault="00C0100E" w:rsidP="00C0100E">
      <w:pPr>
        <w:spacing w:after="0" w:line="276" w:lineRule="auto"/>
        <w:jc w:val="both"/>
        <w:rPr>
          <w:rFonts w:ascii="Verdana" w:eastAsia="Century Gothic" w:hAnsi="Verdana" w:cs="Century Gothic"/>
        </w:rPr>
      </w:pPr>
      <w:r w:rsidRPr="00C0100E">
        <w:rPr>
          <w:rFonts w:ascii="Verdana" w:eastAsia="Century Gothic" w:hAnsi="Verdana" w:cs="Century Gothic"/>
        </w:rPr>
        <w:t xml:space="preserve">De acuerdo con el contenido de su solicitud, se evidencia que </w:t>
      </w:r>
      <w:bookmarkStart w:id="0" w:name="_Hlk171070029"/>
      <w:r w:rsidR="00D2413B">
        <w:rPr>
          <w:rFonts w:ascii="Verdana" w:eastAsia="Century Gothic" w:hAnsi="Verdana" w:cs="Century Gothic"/>
        </w:rPr>
        <w:t>el problema jurídico es</w:t>
      </w:r>
      <w:r w:rsidR="003520B4">
        <w:rPr>
          <w:rFonts w:ascii="Verdana" w:eastAsia="Century Gothic" w:hAnsi="Verdana" w:cs="Century Gothic"/>
        </w:rPr>
        <w:t xml:space="preserve"> </w:t>
      </w:r>
      <w:r w:rsidR="00D2413B">
        <w:rPr>
          <w:rFonts w:ascii="Verdana" w:eastAsia="Century Gothic" w:hAnsi="Verdana" w:cs="Century Gothic"/>
        </w:rPr>
        <w:t>¿Quién tiene la competencia en una entidad estatal para celebrar contratos de prestación de servicios?</w:t>
      </w:r>
    </w:p>
    <w:p w14:paraId="66B729CA" w14:textId="77777777" w:rsidR="00C0100E" w:rsidRPr="00D2413B" w:rsidRDefault="00C0100E" w:rsidP="00C0100E">
      <w:pPr>
        <w:spacing w:after="0" w:line="276" w:lineRule="auto"/>
        <w:jc w:val="both"/>
        <w:rPr>
          <w:rFonts w:ascii="Verdana" w:eastAsia="Calibri" w:hAnsi="Verdana" w:cs="Arial"/>
        </w:rPr>
      </w:pPr>
    </w:p>
    <w:bookmarkEnd w:id="0"/>
    <w:p w14:paraId="1BCB0C8B" w14:textId="77777777" w:rsidR="00C0100E" w:rsidRPr="00C0100E" w:rsidRDefault="00C0100E" w:rsidP="00C0100E">
      <w:pPr>
        <w:widowControl w:val="0"/>
        <w:autoSpaceDE w:val="0"/>
        <w:autoSpaceDN w:val="0"/>
        <w:spacing w:before="1" w:after="0" w:line="240" w:lineRule="auto"/>
        <w:jc w:val="both"/>
        <w:outlineLvl w:val="0"/>
        <w:rPr>
          <w:rFonts w:ascii="Verdana" w:eastAsia="Arial" w:hAnsi="Verdana" w:cs="Arial"/>
          <w:b/>
          <w:bCs/>
          <w:lang w:val="es-ES"/>
        </w:rPr>
      </w:pPr>
      <w:r w:rsidRPr="00C0100E">
        <w:rPr>
          <w:rFonts w:ascii="Verdana" w:eastAsia="Arial" w:hAnsi="Verdana" w:cs="Arial"/>
          <w:b/>
          <w:bCs/>
          <w:lang w:val="es-ES"/>
        </w:rPr>
        <w:t>2. Respuestas:</w:t>
      </w:r>
    </w:p>
    <w:p w14:paraId="57ACE206" w14:textId="77777777" w:rsidR="00C0100E" w:rsidRPr="00C0100E" w:rsidRDefault="00C0100E" w:rsidP="00C0100E">
      <w:pPr>
        <w:spacing w:after="0"/>
        <w:rPr>
          <w:rFonts w:ascii="Verdana" w:eastAsia="Calibri" w:hAnsi="Verdana" w:cs="Times New Roman"/>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0100E" w:rsidRPr="00C0100E" w14:paraId="11829F39" w14:textId="77777777" w:rsidTr="00C64DBA">
        <w:tc>
          <w:tcPr>
            <w:tcW w:w="8828" w:type="dxa"/>
            <w:shd w:val="clear" w:color="auto" w:fill="auto"/>
          </w:tcPr>
          <w:p w14:paraId="12849E62" w14:textId="04BCCD6D" w:rsidR="00D2413B" w:rsidRDefault="00C0100E" w:rsidP="00D2413B">
            <w:pPr>
              <w:spacing w:line="276" w:lineRule="auto"/>
              <w:jc w:val="both"/>
              <w:rPr>
                <w:rFonts w:ascii="Verdana" w:eastAsia="Calibri" w:hAnsi="Verdana" w:cs="Arial"/>
                <w:lang w:val="es-ES"/>
              </w:rPr>
            </w:pPr>
            <w:bookmarkStart w:id="1" w:name="_Hlk171067516"/>
            <w:r w:rsidRPr="00D2413B">
              <w:rPr>
                <w:rFonts w:ascii="Verdana" w:eastAsia="Calibri" w:hAnsi="Verdana" w:cs="Arial"/>
                <w:lang w:val="es-ES"/>
              </w:rPr>
              <w:lastRenderedPageBreak/>
              <w:t xml:space="preserve">De acuerdo con lo señalado en el artículo 11 de la Ley 80 de 1993, debe precisarse que quien tiene la competencia y la responsabilidad para tramitar, celebrar y liquidar un contrato, es el jefe o representante legal de la Entidad Estatal, o en su defecto, aquel a quien este delegue para tal fin. Bajo este precepto, dichos sujetos, en el marco del numeral 9 del artículo 25 ibidem, están facultados para crear unidades asesoras –como es el caso de los comités de adquisiciones–, con el fin de que promuevan el cumplimiento de los principios de transparencia y responsabilidad, así como el que asesoren y apoyen la gestión contractual de la Entidad Estatal. </w:t>
            </w:r>
          </w:p>
          <w:p w14:paraId="62530E4D" w14:textId="77777777" w:rsidR="00D2413B" w:rsidRPr="00D2413B" w:rsidRDefault="00D2413B" w:rsidP="00D2413B">
            <w:pPr>
              <w:spacing w:line="276" w:lineRule="auto"/>
              <w:jc w:val="both"/>
              <w:rPr>
                <w:rFonts w:ascii="Verdana" w:eastAsia="Calibri" w:hAnsi="Verdana" w:cs="Arial"/>
                <w:lang w:val="es-ES"/>
              </w:rPr>
            </w:pPr>
          </w:p>
          <w:p w14:paraId="53F92C3D" w14:textId="77777777" w:rsidR="00C0100E" w:rsidRDefault="00C0100E" w:rsidP="00D2413B">
            <w:pPr>
              <w:spacing w:line="276" w:lineRule="auto"/>
              <w:jc w:val="both"/>
              <w:rPr>
                <w:rFonts w:ascii="Verdana" w:eastAsia="Calibri" w:hAnsi="Verdana" w:cs="Arial"/>
                <w:lang w:val="es-ES"/>
              </w:rPr>
            </w:pPr>
            <w:r w:rsidRPr="00D2413B">
              <w:rPr>
                <w:rFonts w:ascii="Verdana" w:eastAsia="Calibri" w:hAnsi="Verdana" w:cs="Arial"/>
                <w:lang w:val="es-ES"/>
              </w:rPr>
              <w:t>Sin embargo, es importante aclarar, que serán los jefes o representantes legales de las Entidades Estatales, quienes tendrán la carga de definir, en el marco de sus funciones y competencias, las funciones que dichas unidades asesoras desempeñarán, la forma en la que estarán integradas, las calidades en las que actuarán sus respectivos integrantes y el alcance que tendrán los conceptos que emitan en materia contractual.</w:t>
            </w:r>
          </w:p>
          <w:p w14:paraId="6FC08DF1" w14:textId="77777777" w:rsidR="00320203" w:rsidRDefault="00320203" w:rsidP="00D2413B">
            <w:pPr>
              <w:spacing w:line="276" w:lineRule="auto"/>
              <w:jc w:val="both"/>
              <w:rPr>
                <w:rFonts w:ascii="Verdana" w:eastAsia="Calibri" w:hAnsi="Verdana" w:cs="Arial"/>
                <w:lang w:val="es-ES"/>
              </w:rPr>
            </w:pPr>
          </w:p>
          <w:p w14:paraId="1E67DC7E" w14:textId="1D590E34" w:rsidR="00320203" w:rsidRPr="00D2413B" w:rsidRDefault="00320203" w:rsidP="00320203">
            <w:pPr>
              <w:spacing w:line="276" w:lineRule="auto"/>
              <w:jc w:val="both"/>
              <w:rPr>
                <w:rFonts w:ascii="Verdana" w:eastAsia="Calibri" w:hAnsi="Verdana" w:cs="Arial"/>
                <w:lang w:val="es-ES"/>
              </w:rPr>
            </w:pPr>
            <w:r>
              <w:rPr>
                <w:rFonts w:ascii="Verdana" w:eastAsia="Calibri" w:hAnsi="Verdana" w:cs="Arial"/>
              </w:rPr>
              <w:t>Por último,</w:t>
            </w:r>
            <w:r w:rsidRPr="00320203">
              <w:rPr>
                <w:rFonts w:ascii="Verdana" w:eastAsia="Calibri" w:hAnsi="Verdana" w:cs="Arial"/>
              </w:rPr>
              <w:t xml:space="preserve"> se precisa que la Agencia Nacional de Contratación Pública –Colombia Compra Eficiente no es un agente que valide las actuaciones de las entidades estatales ni mucho menos le defina </w:t>
            </w:r>
            <w:r w:rsidR="001007F0">
              <w:rPr>
                <w:rFonts w:ascii="Verdana" w:eastAsia="Calibri" w:hAnsi="Verdana" w:cs="Arial"/>
              </w:rPr>
              <w:t xml:space="preserve">quien </w:t>
            </w:r>
            <w:r w:rsidR="00EB0397">
              <w:rPr>
                <w:rFonts w:ascii="Verdana" w:eastAsia="Calibri" w:hAnsi="Verdana" w:cs="Arial"/>
              </w:rPr>
              <w:t>es el responsable de la gestión contractual de las entidades</w:t>
            </w:r>
            <w:r w:rsidRPr="00320203">
              <w:rPr>
                <w:rFonts w:ascii="Verdana" w:eastAsia="Calibri" w:hAnsi="Verdana" w:cs="Arial"/>
              </w:rPr>
              <w:t>, puesto que su competencia como ente rector se limita a interpretar el alcance de las disposiciones generales en contratación y compra pública.</w:t>
            </w:r>
          </w:p>
        </w:tc>
      </w:tr>
      <w:bookmarkEnd w:id="1"/>
    </w:tbl>
    <w:p w14:paraId="5B231231" w14:textId="77777777" w:rsidR="00C0100E" w:rsidRPr="00C0100E" w:rsidRDefault="00C0100E" w:rsidP="00C0100E">
      <w:pPr>
        <w:tabs>
          <w:tab w:val="left" w:pos="142"/>
          <w:tab w:val="left" w:pos="967"/>
        </w:tabs>
        <w:spacing w:after="0" w:line="276" w:lineRule="auto"/>
        <w:jc w:val="both"/>
        <w:rPr>
          <w:rFonts w:ascii="Verdana" w:eastAsia="Century Gothic" w:hAnsi="Verdana" w:cs="Century Gothic"/>
          <w:b/>
          <w:bCs/>
          <w:lang w:val="es-ES"/>
        </w:rPr>
      </w:pPr>
    </w:p>
    <w:p w14:paraId="6B7DBC63" w14:textId="77777777" w:rsidR="00C0100E" w:rsidRPr="00C0100E" w:rsidRDefault="00C0100E" w:rsidP="00C0100E">
      <w:pPr>
        <w:widowControl w:val="0"/>
        <w:autoSpaceDE w:val="0"/>
        <w:autoSpaceDN w:val="0"/>
        <w:spacing w:before="1" w:after="0" w:line="240" w:lineRule="auto"/>
        <w:ind w:left="360" w:hanging="360"/>
        <w:outlineLvl w:val="0"/>
        <w:rPr>
          <w:rFonts w:ascii="Verdana" w:eastAsia="Arial" w:hAnsi="Verdana" w:cs="Arial"/>
          <w:b/>
          <w:bCs/>
          <w:lang w:val="es-ES"/>
        </w:rPr>
      </w:pPr>
      <w:r w:rsidRPr="00C0100E">
        <w:rPr>
          <w:rFonts w:ascii="Verdana" w:eastAsia="Arial" w:hAnsi="Verdana" w:cs="Arial"/>
          <w:b/>
          <w:bCs/>
          <w:lang w:val="es-ES"/>
        </w:rPr>
        <w:t>3. Razones de la respuesta</w:t>
      </w:r>
    </w:p>
    <w:p w14:paraId="51B112F5" w14:textId="77777777" w:rsidR="00C0100E" w:rsidRPr="00C0100E" w:rsidRDefault="00C0100E" w:rsidP="00C0100E">
      <w:pPr>
        <w:spacing w:after="0" w:line="276" w:lineRule="auto"/>
        <w:jc w:val="both"/>
        <w:rPr>
          <w:rFonts w:ascii="Verdana" w:eastAsia="Calibri" w:hAnsi="Verdana" w:cs="Arial"/>
          <w:lang w:val="es-ES"/>
        </w:rPr>
      </w:pPr>
    </w:p>
    <w:p w14:paraId="1131178D" w14:textId="77777777" w:rsidR="00C0100E" w:rsidRPr="00C0100E" w:rsidRDefault="00C0100E" w:rsidP="00C0100E">
      <w:pPr>
        <w:spacing w:after="0" w:line="276" w:lineRule="auto"/>
        <w:jc w:val="both"/>
        <w:rPr>
          <w:rFonts w:ascii="Verdana" w:eastAsia="Calibri" w:hAnsi="Verdana" w:cs="Arial"/>
          <w:lang w:val="es-ES"/>
        </w:rPr>
      </w:pPr>
      <w:r w:rsidRPr="00C0100E">
        <w:rPr>
          <w:rFonts w:ascii="Verdana" w:eastAsia="Calibri" w:hAnsi="Verdana" w:cs="Arial"/>
          <w:lang w:val="es-ES"/>
        </w:rPr>
        <w:t xml:space="preserve">La respuesta anterior se sustenta en las siguientes consideraciones: </w:t>
      </w:r>
    </w:p>
    <w:p w14:paraId="236127D5" w14:textId="77777777" w:rsidR="00C0100E" w:rsidRPr="00C0100E" w:rsidRDefault="00C0100E" w:rsidP="00C0100E">
      <w:pPr>
        <w:spacing w:after="0" w:line="276" w:lineRule="auto"/>
        <w:jc w:val="both"/>
        <w:rPr>
          <w:rFonts w:ascii="Verdana" w:eastAsia="Calibri" w:hAnsi="Verdana" w:cs="Arial"/>
          <w:lang w:val="es-ES"/>
        </w:rPr>
      </w:pPr>
    </w:p>
    <w:p w14:paraId="6141E547" w14:textId="77777777" w:rsidR="00C0100E" w:rsidRPr="00C0100E" w:rsidRDefault="00C0100E" w:rsidP="00C0100E">
      <w:pPr>
        <w:numPr>
          <w:ilvl w:val="0"/>
          <w:numId w:val="3"/>
        </w:numPr>
        <w:spacing w:before="120" w:after="0" w:line="276" w:lineRule="auto"/>
        <w:contextualSpacing/>
        <w:jc w:val="both"/>
        <w:rPr>
          <w:rFonts w:ascii="Verdana" w:eastAsia="Calibri" w:hAnsi="Verdana" w:cs="Arial"/>
          <w:lang w:val="es-ES_tradnl"/>
        </w:rPr>
      </w:pPr>
      <w:r w:rsidRPr="00C0100E">
        <w:rPr>
          <w:rFonts w:ascii="Verdana" w:eastAsia="Times New Roman" w:hAnsi="Verdana" w:cs="Arial"/>
          <w:szCs w:val="24"/>
          <w:lang w:val="es-ES_tradnl" w:eastAsia="es-ES_tradnl"/>
        </w:rPr>
        <w:t>En desarrollo del artículo 211 superior</w:t>
      </w:r>
      <w:r w:rsidRPr="00C0100E">
        <w:rPr>
          <w:rFonts w:ascii="Verdana" w:eastAsia="Calibri" w:hAnsi="Verdana" w:cs="Times New Roman"/>
          <w:vertAlign w:val="superscript"/>
          <w:lang w:val="es-ES_tradnl"/>
        </w:rPr>
        <w:footnoteReference w:id="1"/>
      </w:r>
      <w:r w:rsidRPr="00C0100E">
        <w:rPr>
          <w:rFonts w:ascii="Verdana" w:eastAsia="Calibri" w:hAnsi="Verdana" w:cs="Arial"/>
          <w:lang w:val="es-ES_tradnl"/>
        </w:rPr>
        <w:t xml:space="preserve">, el artículo 12 de la Ley 80 de 1993 señaló una regla especial según la cual “Los jefes y los representantes legales de las entidades estatales podrán delegar total o parcialmente la competencia para celebrar contratos y desconcentrar la realización de licitaciones en los servidores públicos que desempeñen cargos del nivel directivo o ejecutivo o en sus equivalentes”. Así las cosas, atenuando el rigor de la centralización, esta técnica organizacional implica una </w:t>
      </w:r>
      <w:r w:rsidRPr="00C0100E">
        <w:rPr>
          <w:rFonts w:ascii="Verdana" w:eastAsia="Calibri" w:hAnsi="Verdana" w:cs="Arial"/>
          <w:lang w:val="es-ES_tradnl"/>
        </w:rPr>
        <w:lastRenderedPageBreak/>
        <w:t>actuación administrativa mediante la cual el titular de una función –delegante–, previa autorización expresa por parte del órgano que asignó originalmente la competencia, inviste voluntaria y formalmente de autoridad a quien ejerce un cargo subordinado –delegatario–, para que asuma una o varias de las atribuciones del primero</w:t>
      </w:r>
      <w:r w:rsidRPr="00C0100E">
        <w:rPr>
          <w:rFonts w:ascii="Verdana" w:eastAsia="Calibri" w:hAnsi="Verdana" w:cs="Times New Roman"/>
          <w:vertAlign w:val="superscript"/>
          <w:lang w:val="es-ES_tradnl"/>
        </w:rPr>
        <w:footnoteReference w:id="2"/>
      </w:r>
      <w:r w:rsidRPr="00C0100E">
        <w:rPr>
          <w:rFonts w:ascii="Verdana" w:eastAsia="Calibri" w:hAnsi="Verdana" w:cs="Arial"/>
          <w:lang w:val="es-ES_tradnl"/>
        </w:rPr>
        <w:t>.</w:t>
      </w:r>
    </w:p>
    <w:p w14:paraId="3805B8E6" w14:textId="77777777" w:rsidR="00C0100E" w:rsidRPr="00C0100E" w:rsidRDefault="00C0100E" w:rsidP="00C0100E">
      <w:pPr>
        <w:spacing w:before="120" w:after="0" w:line="276" w:lineRule="auto"/>
        <w:ind w:left="720"/>
        <w:contextualSpacing/>
        <w:jc w:val="both"/>
        <w:rPr>
          <w:rFonts w:ascii="Verdana" w:eastAsia="Calibri" w:hAnsi="Verdana" w:cs="Arial"/>
          <w:color w:val="7030A0"/>
          <w:lang w:val="es-ES_tradnl"/>
        </w:rPr>
      </w:pPr>
    </w:p>
    <w:p w14:paraId="4E931CCE" w14:textId="77777777" w:rsidR="00C0100E" w:rsidRPr="00C0100E" w:rsidRDefault="00C0100E" w:rsidP="00C0100E">
      <w:pPr>
        <w:numPr>
          <w:ilvl w:val="0"/>
          <w:numId w:val="4"/>
        </w:numPr>
        <w:spacing w:after="0" w:line="276" w:lineRule="auto"/>
        <w:contextualSpacing/>
        <w:jc w:val="both"/>
        <w:rPr>
          <w:rFonts w:ascii="Verdana" w:eastAsia="Calibri" w:hAnsi="Verdana" w:cs="Arial"/>
          <w:lang w:val="es-ES"/>
        </w:rPr>
      </w:pPr>
      <w:r w:rsidRPr="00C0100E">
        <w:rPr>
          <w:rFonts w:ascii="Verdana" w:eastAsia="Calibri" w:hAnsi="Verdana" w:cs="Arial"/>
          <w:lang w:val="es-ES"/>
        </w:rPr>
        <w:t>Como se observa, la facultad se limitó a la celebración de contratos, motivo por el cual, el artículo 37 del Decreto Ley 2150 de 1995 amplió las materias delegables al disponer que “Los jefes y los representantes legales de las entidades estatales podrán delegar total o parcialmente la competencia para la realización de licitaciones o para la celebración de contratos, sin consideración a la naturaleza o cuantía de los mismos, en los servidores públicos que desempeñen cargos del nivel directo o ejecutivo o en sus equivalentes”.</w:t>
      </w:r>
    </w:p>
    <w:p w14:paraId="7CC4EF16" w14:textId="77777777" w:rsidR="00C0100E" w:rsidRPr="00C0100E" w:rsidRDefault="00C0100E" w:rsidP="00C0100E">
      <w:pPr>
        <w:spacing w:after="0" w:line="276" w:lineRule="auto"/>
        <w:ind w:left="720"/>
        <w:contextualSpacing/>
        <w:jc w:val="both"/>
        <w:rPr>
          <w:rFonts w:ascii="Verdana" w:eastAsia="Calibri" w:hAnsi="Verdana" w:cs="Arial"/>
          <w:lang w:val="es-ES"/>
        </w:rPr>
      </w:pPr>
    </w:p>
    <w:p w14:paraId="2A15208B" w14:textId="77777777" w:rsidR="00C0100E" w:rsidRPr="00C0100E" w:rsidRDefault="00C0100E" w:rsidP="00C0100E">
      <w:pPr>
        <w:numPr>
          <w:ilvl w:val="0"/>
          <w:numId w:val="4"/>
        </w:numPr>
        <w:spacing w:after="0" w:line="276" w:lineRule="auto"/>
        <w:contextualSpacing/>
        <w:jc w:val="both"/>
        <w:rPr>
          <w:rFonts w:ascii="Verdana" w:eastAsia="Calibri" w:hAnsi="Verdana" w:cs="Arial"/>
          <w:lang w:val="es-ES"/>
        </w:rPr>
      </w:pPr>
      <w:r w:rsidRPr="00C0100E">
        <w:rPr>
          <w:rFonts w:ascii="Verdana" w:eastAsia="Calibri" w:hAnsi="Verdana" w:cs="Arial"/>
          <w:lang w:val="es-ES"/>
        </w:rPr>
        <w:t>Posteriormente, el artículo 9 de la Ley 489 de 1998 permitió la delegación en funcionarios públicos del nivel directivo y asesor vinculados al órgano correspondiente. En todo caso, esta última ley exige un acto administrativo donde se determine la autoridad delegataria y las funciones específicas que transfiere el delegante, sin perjuicio de que a este último se le informe sobre el desarrollo de la delegación e imparta orientaciones generales para el ejercicio de las funciones delegadas –art.10–. Además, se supedita a que no se confiera para expedir reglamentos –salvo excepciones legales–, subdelegar o transferir funciones que por su naturaleza o por mandato constitucional o legal son indelegables –art. 11–. Finalmente, los actos del delegatario tienen los requisitos y recursos que los del delegante, reiterando el régimen de responsabilidad y recuperación de la competencia previsto en el artículo 211 constitucional –art. 12–.</w:t>
      </w:r>
    </w:p>
    <w:p w14:paraId="078E5096" w14:textId="77777777" w:rsidR="00C0100E" w:rsidRPr="00C0100E" w:rsidRDefault="00C0100E" w:rsidP="00C0100E">
      <w:pPr>
        <w:spacing w:after="0" w:line="276" w:lineRule="auto"/>
        <w:jc w:val="both"/>
        <w:rPr>
          <w:rFonts w:ascii="Verdana" w:eastAsia="Calibri" w:hAnsi="Verdana" w:cs="Arial"/>
          <w:lang w:val="es-ES"/>
        </w:rPr>
      </w:pPr>
    </w:p>
    <w:p w14:paraId="79B64708" w14:textId="77777777" w:rsidR="00C0100E" w:rsidRPr="00C0100E" w:rsidRDefault="00C0100E" w:rsidP="00C0100E">
      <w:pPr>
        <w:numPr>
          <w:ilvl w:val="0"/>
          <w:numId w:val="4"/>
        </w:numPr>
        <w:spacing w:after="0" w:line="276" w:lineRule="auto"/>
        <w:contextualSpacing/>
        <w:jc w:val="both"/>
        <w:rPr>
          <w:rFonts w:ascii="Verdana" w:eastAsia="Calibri" w:hAnsi="Verdana" w:cs="Arial"/>
          <w:lang w:val="es-ES"/>
        </w:rPr>
      </w:pPr>
      <w:r w:rsidRPr="00C0100E">
        <w:rPr>
          <w:rFonts w:ascii="Verdana" w:eastAsia="Calibri" w:hAnsi="Verdana" w:cs="Arial"/>
          <w:lang w:val="es-ES"/>
        </w:rPr>
        <w:t xml:space="preserve">Sin embargo, la delegación en materia contractual tuvo cambios importantes con la expedición de la Ley 1150 de 2007, adicionando un segundo inciso al artículo 12 de la Ley 80 de 1993. En esta medida, dispuso que: “En ningún caso, los jefes y representantes legales de las entidades estatales quedarán exonerados por virtud de la delegación de sus deberes de control y vigilancia de la actividad precontractual y contractual”. Dicha disposición cambió el régimen de responsabilidad del </w:t>
      </w:r>
      <w:r w:rsidRPr="00C0100E">
        <w:rPr>
          <w:rFonts w:ascii="Verdana" w:eastAsia="Calibri" w:hAnsi="Verdana" w:cs="Arial"/>
          <w:lang w:val="es-ES"/>
        </w:rPr>
        <w:lastRenderedPageBreak/>
        <w:t>delegante previsto en el precitado inciso segundo del artículo 211 superior. Por ello, la Corte Constitucional –retomando la línea jurisprudencial de la Sentencia C-372 de 2002– declaró que este inciso es condicionalmente exequible, en el entendido de que el delegante sólo responde por la ausencia de control y vigilancia siempre que medie dolo o culpa grave</w:t>
      </w:r>
      <w:r w:rsidRPr="00C0100E">
        <w:rPr>
          <w:rFonts w:ascii="Verdana" w:eastAsia="Calibri" w:hAnsi="Verdana" w:cs="Arial"/>
          <w:lang w:val="es-ES"/>
        </w:rPr>
        <w:footnoteReference w:id="3"/>
      </w:r>
      <w:r w:rsidRPr="00C0100E">
        <w:rPr>
          <w:rFonts w:ascii="Verdana" w:eastAsia="Calibri" w:hAnsi="Verdana" w:cs="Arial"/>
          <w:lang w:val="es-ES"/>
        </w:rPr>
        <w:t>. La aplicación de este régimen especial de responsabilidad supone que el órgano competente para adelantar procesos de selección y celebrar contratos, por medio de un acto administrativo, asigna determinadas funciones a los servidores autorizados previamente por la ley.</w:t>
      </w:r>
    </w:p>
    <w:p w14:paraId="60CFF51E" w14:textId="77777777" w:rsidR="00C0100E" w:rsidRPr="00C0100E" w:rsidRDefault="00C0100E" w:rsidP="00C0100E">
      <w:pPr>
        <w:spacing w:after="0" w:line="276" w:lineRule="auto"/>
        <w:jc w:val="both"/>
        <w:rPr>
          <w:rFonts w:ascii="Verdana" w:eastAsia="Calibri" w:hAnsi="Verdana" w:cs="Arial"/>
          <w:lang w:val="es-ES"/>
        </w:rPr>
      </w:pPr>
    </w:p>
    <w:p w14:paraId="24FB5971" w14:textId="77777777" w:rsidR="00C0100E" w:rsidRPr="00C0100E" w:rsidRDefault="00C0100E" w:rsidP="00C0100E">
      <w:pPr>
        <w:widowControl w:val="0"/>
        <w:numPr>
          <w:ilvl w:val="0"/>
          <w:numId w:val="1"/>
        </w:numPr>
        <w:autoSpaceDE w:val="0"/>
        <w:autoSpaceDN w:val="0"/>
        <w:spacing w:after="0" w:line="276" w:lineRule="auto"/>
        <w:contextualSpacing/>
        <w:jc w:val="both"/>
        <w:rPr>
          <w:rFonts w:ascii="Verdana" w:eastAsia="Calibri" w:hAnsi="Verdana" w:cs="Arial"/>
        </w:rPr>
      </w:pPr>
      <w:r w:rsidRPr="00C0100E">
        <w:rPr>
          <w:rFonts w:ascii="Verdana" w:eastAsia="Calibri" w:hAnsi="Verdana" w:cs="Times New Roman"/>
          <w:lang w:val="es-ES"/>
        </w:rPr>
        <w:t>En línea con lo anterior, el numeral 9, del artículo 25, de la Ley 80 de 1993, señaló que “En los procesos de contratación intervendrán el jefe y las unidades asesoras y ejecutoras de la entidad que se señalen en las correspondientes normas sobre su organización y funcionamiento” [Énfasis fuera de texto]. En este sentido, en principio, quien tiene la competencia y responsabilidad para tramitar, celebrar y liquidar un contrato, es el jefe o representante legal de la entidad, o quien este delegue. Bajo este precepto, dichos sujetos están facultados para crear unidades asesoras –como es el caso de los comités asesores de contratación– que, con el fin de promover el cumplimiento de los principios de transparencia y responsabilidad, asesoren y apoyen la gestión contractual de la entidad.</w:t>
      </w:r>
    </w:p>
    <w:p w14:paraId="59A2F9D9" w14:textId="77777777" w:rsidR="00C0100E" w:rsidRPr="00C0100E" w:rsidRDefault="00C0100E" w:rsidP="00C0100E">
      <w:pPr>
        <w:widowControl w:val="0"/>
        <w:autoSpaceDE w:val="0"/>
        <w:autoSpaceDN w:val="0"/>
        <w:spacing w:after="0" w:line="276" w:lineRule="auto"/>
        <w:ind w:left="720"/>
        <w:contextualSpacing/>
        <w:jc w:val="both"/>
        <w:rPr>
          <w:rFonts w:ascii="Verdana" w:eastAsia="Calibri" w:hAnsi="Verdana" w:cs="Arial"/>
        </w:rPr>
      </w:pPr>
    </w:p>
    <w:p w14:paraId="5C57E3B4" w14:textId="77777777" w:rsidR="00C0100E" w:rsidRPr="00C0100E" w:rsidRDefault="00C0100E" w:rsidP="00C0100E">
      <w:pPr>
        <w:numPr>
          <w:ilvl w:val="0"/>
          <w:numId w:val="1"/>
        </w:numPr>
        <w:spacing w:after="0" w:line="276" w:lineRule="auto"/>
        <w:contextualSpacing/>
        <w:jc w:val="both"/>
        <w:rPr>
          <w:rFonts w:ascii="Verdana" w:eastAsia="Calibri" w:hAnsi="Verdana" w:cs="Arial"/>
        </w:rPr>
      </w:pPr>
      <w:r w:rsidRPr="00C0100E">
        <w:rPr>
          <w:rFonts w:ascii="Verdana" w:eastAsia="Calibri" w:hAnsi="Verdana" w:cs="Arial"/>
        </w:rPr>
        <w:t>Con todo, es necesario precisar que son los jefes o representantes legales de las entidades públicas quiénes deben definir, en el marco de las funciones y competencias que les han sido conferidas por el ordenamiento jurídico, la necesidad de constituir unidades asesoras de contratación, las funciones que estas desempeñarán, la forma en la que estarán integradas, las calidades en las que actuarán los respectivos integrantes y el alcance que tendrán los conceptos que emitan sobre los procesos contractuales que pretenda adelantar la entidad. En ese sentido, el alcance de las funciones de estas unidades asesoras y/o comités necesariamente estará determinado por lo dispuesto en sus actos administrativos de creación o delegación de funciones.</w:t>
      </w:r>
    </w:p>
    <w:p w14:paraId="32C7637B" w14:textId="77777777" w:rsidR="00C0100E" w:rsidRPr="00C0100E" w:rsidRDefault="00C0100E" w:rsidP="00C0100E">
      <w:pPr>
        <w:widowControl w:val="0"/>
        <w:autoSpaceDE w:val="0"/>
        <w:autoSpaceDN w:val="0"/>
        <w:spacing w:after="0" w:line="276" w:lineRule="auto"/>
        <w:ind w:left="720"/>
        <w:contextualSpacing/>
        <w:jc w:val="both"/>
        <w:rPr>
          <w:rFonts w:ascii="Verdana" w:eastAsia="Calibri" w:hAnsi="Verdana" w:cs="Arial"/>
        </w:rPr>
      </w:pPr>
    </w:p>
    <w:p w14:paraId="26403F86" w14:textId="77777777" w:rsidR="00C0100E" w:rsidRPr="00C0100E" w:rsidRDefault="00C0100E" w:rsidP="00C0100E">
      <w:pPr>
        <w:numPr>
          <w:ilvl w:val="0"/>
          <w:numId w:val="1"/>
        </w:numPr>
        <w:spacing w:after="0" w:line="276" w:lineRule="auto"/>
        <w:contextualSpacing/>
        <w:jc w:val="both"/>
        <w:rPr>
          <w:rFonts w:ascii="Verdana" w:eastAsia="Calibri" w:hAnsi="Verdana" w:cs="Arial"/>
        </w:rPr>
      </w:pPr>
      <w:r w:rsidRPr="00C0100E">
        <w:rPr>
          <w:rFonts w:ascii="Verdana" w:eastAsia="Calibri" w:hAnsi="Verdana" w:cs="Times New Roman"/>
          <w:lang w:val="es-ES"/>
        </w:rPr>
        <w:lastRenderedPageBreak/>
        <w:t>Finalmente, debe destacarse que la Agencia Nacional de Contratación Pública –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p>
    <w:p w14:paraId="09D1C95B" w14:textId="77777777" w:rsidR="00C0100E" w:rsidRPr="00C0100E" w:rsidRDefault="00C0100E" w:rsidP="00C0100E">
      <w:pPr>
        <w:widowControl w:val="0"/>
        <w:autoSpaceDE w:val="0"/>
        <w:autoSpaceDN w:val="0"/>
        <w:spacing w:after="0" w:line="276" w:lineRule="auto"/>
        <w:contextualSpacing/>
        <w:jc w:val="both"/>
        <w:rPr>
          <w:rFonts w:ascii="Verdana" w:eastAsia="Calibri" w:hAnsi="Verdana" w:cs="Arial"/>
        </w:rPr>
      </w:pPr>
    </w:p>
    <w:p w14:paraId="50265B16" w14:textId="77777777" w:rsidR="00C0100E" w:rsidRPr="00C0100E" w:rsidRDefault="00C0100E" w:rsidP="00C0100E">
      <w:pPr>
        <w:widowControl w:val="0"/>
        <w:autoSpaceDE w:val="0"/>
        <w:autoSpaceDN w:val="0"/>
        <w:spacing w:before="1" w:after="0" w:line="240" w:lineRule="auto"/>
        <w:outlineLvl w:val="0"/>
        <w:rPr>
          <w:rFonts w:ascii="Arial" w:eastAsia="Arial" w:hAnsi="Arial" w:cs="Arial"/>
          <w:b/>
          <w:bCs/>
          <w:lang w:val="es-ES"/>
        </w:rPr>
      </w:pPr>
      <w:r w:rsidRPr="00C0100E">
        <w:rPr>
          <w:rFonts w:ascii="Arial" w:eastAsia="Arial" w:hAnsi="Arial" w:cs="Arial"/>
          <w:b/>
          <w:bCs/>
          <w:lang w:val="es-ES"/>
        </w:rPr>
        <w:t>4.</w:t>
      </w:r>
      <w:r w:rsidRPr="00C0100E">
        <w:rPr>
          <w:rFonts w:ascii="Verdana" w:eastAsia="Arial" w:hAnsi="Verdana" w:cs="Arial"/>
          <w:b/>
          <w:bCs/>
          <w:lang w:val="es-ES"/>
        </w:rPr>
        <w:t>Referencias normativas, jurisprudenciales y otras fuentes:</w:t>
      </w:r>
    </w:p>
    <w:p w14:paraId="6A812937" w14:textId="77777777" w:rsidR="00C0100E" w:rsidRPr="00C0100E" w:rsidRDefault="00C0100E" w:rsidP="00C0100E">
      <w:pPr>
        <w:widowControl w:val="0"/>
        <w:autoSpaceDE w:val="0"/>
        <w:autoSpaceDN w:val="0"/>
        <w:spacing w:after="0" w:line="276" w:lineRule="auto"/>
        <w:jc w:val="both"/>
        <w:rPr>
          <w:rFonts w:ascii="Verdana" w:eastAsia="Calibri"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0100E" w:rsidRPr="00C0100E" w14:paraId="677B1987" w14:textId="77777777" w:rsidTr="00C64DBA">
        <w:trPr>
          <w:trHeight w:val="870"/>
        </w:trPr>
        <w:tc>
          <w:tcPr>
            <w:tcW w:w="8647" w:type="dxa"/>
          </w:tcPr>
          <w:p w14:paraId="78171518" w14:textId="77777777" w:rsidR="00C0100E" w:rsidRPr="00C0100E" w:rsidRDefault="00C0100E" w:rsidP="00C0100E">
            <w:pPr>
              <w:widowControl w:val="0"/>
              <w:numPr>
                <w:ilvl w:val="0"/>
                <w:numId w:val="2"/>
              </w:numPr>
              <w:autoSpaceDE w:val="0"/>
              <w:autoSpaceDN w:val="0"/>
              <w:spacing w:after="120" w:line="276" w:lineRule="auto"/>
              <w:contextualSpacing/>
              <w:jc w:val="both"/>
              <w:rPr>
                <w:rFonts w:ascii="Verdana" w:eastAsia="Calibri" w:hAnsi="Verdana" w:cs="Arial"/>
              </w:rPr>
            </w:pPr>
            <w:r w:rsidRPr="00C0100E">
              <w:rPr>
                <w:rFonts w:ascii="Verdana" w:eastAsia="Calibri" w:hAnsi="Verdana" w:cs="Arial"/>
                <w:lang w:val="es-ES"/>
              </w:rPr>
              <w:t>Ley 80 de 1993. Artículo 11 y 12; Artículo 25, numeral 9</w:t>
            </w:r>
          </w:p>
          <w:p w14:paraId="28912C10" w14:textId="77777777" w:rsidR="00C0100E" w:rsidRPr="00C0100E" w:rsidRDefault="00C0100E" w:rsidP="00C0100E">
            <w:pPr>
              <w:widowControl w:val="0"/>
              <w:numPr>
                <w:ilvl w:val="0"/>
                <w:numId w:val="2"/>
              </w:numPr>
              <w:autoSpaceDE w:val="0"/>
              <w:autoSpaceDN w:val="0"/>
              <w:spacing w:after="120" w:line="276" w:lineRule="auto"/>
              <w:contextualSpacing/>
              <w:jc w:val="both"/>
              <w:rPr>
                <w:rFonts w:ascii="Verdana" w:eastAsia="Calibri" w:hAnsi="Verdana" w:cs="Arial"/>
              </w:rPr>
            </w:pPr>
            <w:r w:rsidRPr="00C0100E">
              <w:rPr>
                <w:rFonts w:ascii="Verdana" w:eastAsia="Calibri" w:hAnsi="Verdana" w:cs="Arial"/>
                <w:lang w:val="es-ES"/>
              </w:rPr>
              <w:t>Constitución Política. Artículo 209 y 211</w:t>
            </w:r>
          </w:p>
          <w:p w14:paraId="64541C7B" w14:textId="77777777" w:rsidR="00C0100E" w:rsidRPr="00C0100E" w:rsidRDefault="00C0100E" w:rsidP="00C0100E">
            <w:pPr>
              <w:widowControl w:val="0"/>
              <w:numPr>
                <w:ilvl w:val="0"/>
                <w:numId w:val="2"/>
              </w:numPr>
              <w:autoSpaceDE w:val="0"/>
              <w:autoSpaceDN w:val="0"/>
              <w:spacing w:after="120" w:line="276" w:lineRule="auto"/>
              <w:contextualSpacing/>
              <w:jc w:val="both"/>
              <w:rPr>
                <w:rFonts w:ascii="Verdana" w:eastAsia="Calibri" w:hAnsi="Verdana" w:cs="Arial"/>
              </w:rPr>
            </w:pPr>
            <w:r w:rsidRPr="00C0100E">
              <w:rPr>
                <w:rFonts w:ascii="Verdana" w:eastAsia="Calibri" w:hAnsi="Verdana" w:cs="Arial"/>
              </w:rPr>
              <w:t>Decreto Ley 2150 de 1995. Artículo 37</w:t>
            </w:r>
          </w:p>
          <w:p w14:paraId="09D57D25" w14:textId="77777777" w:rsidR="00C0100E" w:rsidRPr="00C0100E" w:rsidRDefault="00C0100E" w:rsidP="00C0100E">
            <w:pPr>
              <w:widowControl w:val="0"/>
              <w:numPr>
                <w:ilvl w:val="0"/>
                <w:numId w:val="2"/>
              </w:numPr>
              <w:autoSpaceDE w:val="0"/>
              <w:autoSpaceDN w:val="0"/>
              <w:spacing w:line="276" w:lineRule="auto"/>
              <w:contextualSpacing/>
              <w:jc w:val="both"/>
              <w:rPr>
                <w:rFonts w:ascii="Verdana" w:eastAsia="Calibri" w:hAnsi="Verdana" w:cs="Arial"/>
              </w:rPr>
            </w:pPr>
            <w:r w:rsidRPr="00C0100E">
              <w:rPr>
                <w:rFonts w:ascii="Verdana" w:eastAsia="Calibri" w:hAnsi="Verdana" w:cs="Arial"/>
                <w:lang w:val="es-ES"/>
              </w:rPr>
              <w:t>Ley 489 de 1998. Artículo 9</w:t>
            </w:r>
          </w:p>
          <w:p w14:paraId="5E2E9B7A" w14:textId="77777777" w:rsidR="00C0100E" w:rsidRPr="00C0100E" w:rsidRDefault="00C0100E" w:rsidP="00C0100E">
            <w:pPr>
              <w:widowControl w:val="0"/>
              <w:numPr>
                <w:ilvl w:val="0"/>
                <w:numId w:val="2"/>
              </w:numPr>
              <w:autoSpaceDE w:val="0"/>
              <w:autoSpaceDN w:val="0"/>
              <w:spacing w:line="276" w:lineRule="auto"/>
              <w:contextualSpacing/>
              <w:jc w:val="both"/>
              <w:rPr>
                <w:rFonts w:ascii="Verdana" w:eastAsia="Calibri" w:hAnsi="Verdana" w:cs="Arial"/>
              </w:rPr>
            </w:pPr>
            <w:r w:rsidRPr="00C0100E">
              <w:rPr>
                <w:rFonts w:ascii="Verdana" w:eastAsia="Calibri" w:hAnsi="Verdana" w:cs="Arial"/>
              </w:rPr>
              <w:t>Ley 1150 de 2007</w:t>
            </w:r>
          </w:p>
          <w:p w14:paraId="3D0F8983" w14:textId="77777777" w:rsidR="00C0100E" w:rsidRPr="00C0100E" w:rsidRDefault="00C0100E" w:rsidP="00C0100E">
            <w:pPr>
              <w:widowControl w:val="0"/>
              <w:numPr>
                <w:ilvl w:val="0"/>
                <w:numId w:val="2"/>
              </w:numPr>
              <w:autoSpaceDE w:val="0"/>
              <w:autoSpaceDN w:val="0"/>
              <w:spacing w:line="276" w:lineRule="auto"/>
              <w:contextualSpacing/>
              <w:jc w:val="both"/>
              <w:rPr>
                <w:rFonts w:ascii="Verdana" w:eastAsia="Calibri" w:hAnsi="Verdana" w:cs="Arial"/>
              </w:rPr>
            </w:pPr>
            <w:r w:rsidRPr="00A22A6A">
              <w:rPr>
                <w:rFonts w:ascii="Verdana" w:eastAsia="Calibri" w:hAnsi="Verdana" w:cs="Arial"/>
                <w:lang w:val="pt-BR"/>
              </w:rPr>
              <w:t xml:space="preserve">CORTE CONSTITUCIONAL. Sentencia C- 693 de 2008. </w:t>
            </w:r>
            <w:r w:rsidRPr="00C0100E">
              <w:rPr>
                <w:rFonts w:ascii="Verdana" w:eastAsia="Calibri" w:hAnsi="Verdana" w:cs="Arial"/>
              </w:rPr>
              <w:t>M.P. Marco Gerardo Monroy Cabra</w:t>
            </w:r>
          </w:p>
          <w:p w14:paraId="181B398A" w14:textId="77777777" w:rsidR="00C0100E" w:rsidRPr="00C0100E" w:rsidRDefault="00C0100E" w:rsidP="00C0100E">
            <w:pPr>
              <w:widowControl w:val="0"/>
              <w:numPr>
                <w:ilvl w:val="0"/>
                <w:numId w:val="2"/>
              </w:numPr>
              <w:autoSpaceDE w:val="0"/>
              <w:autoSpaceDN w:val="0"/>
              <w:spacing w:line="276" w:lineRule="auto"/>
              <w:contextualSpacing/>
              <w:jc w:val="both"/>
              <w:rPr>
                <w:rFonts w:ascii="Verdana" w:eastAsia="Calibri" w:hAnsi="Verdana" w:cs="Arial"/>
              </w:rPr>
            </w:pPr>
            <w:r w:rsidRPr="00A22A6A">
              <w:rPr>
                <w:rFonts w:ascii="Verdana" w:eastAsia="Calibri" w:hAnsi="Verdana" w:cs="Arial"/>
                <w:lang w:val="pt-BR"/>
              </w:rPr>
              <w:t xml:space="preserve">  CORTE CONSTITUCIONAL. Sentencia C-382 de 2000. </w:t>
            </w:r>
            <w:r w:rsidRPr="00C0100E">
              <w:rPr>
                <w:rFonts w:ascii="Verdana" w:eastAsia="Calibri" w:hAnsi="Verdana" w:cs="Arial"/>
              </w:rPr>
              <w:t>M.P. Antonio Barrera Carbonell.</w:t>
            </w:r>
          </w:p>
        </w:tc>
      </w:tr>
    </w:tbl>
    <w:p w14:paraId="788F4B4C" w14:textId="77777777" w:rsidR="00C0100E" w:rsidRPr="00C0100E" w:rsidRDefault="00C0100E" w:rsidP="00C0100E">
      <w:pPr>
        <w:widowControl w:val="0"/>
        <w:autoSpaceDE w:val="0"/>
        <w:autoSpaceDN w:val="0"/>
        <w:spacing w:after="0" w:line="276" w:lineRule="auto"/>
        <w:jc w:val="both"/>
        <w:rPr>
          <w:rFonts w:ascii="Verdana" w:eastAsia="Calibri" w:hAnsi="Verdana" w:cs="Arial"/>
        </w:rPr>
      </w:pPr>
    </w:p>
    <w:p w14:paraId="2C489B18" w14:textId="77777777" w:rsidR="00C0100E" w:rsidRPr="00C0100E" w:rsidRDefault="00C0100E" w:rsidP="00C0100E">
      <w:pPr>
        <w:widowControl w:val="0"/>
        <w:autoSpaceDE w:val="0"/>
        <w:autoSpaceDN w:val="0"/>
        <w:spacing w:before="1" w:after="0" w:line="240" w:lineRule="auto"/>
        <w:outlineLvl w:val="0"/>
        <w:rPr>
          <w:rFonts w:ascii="Verdana" w:eastAsia="Arial" w:hAnsi="Verdana" w:cs="Arial"/>
          <w:b/>
          <w:bCs/>
          <w:lang w:val="es-ES"/>
        </w:rPr>
      </w:pPr>
      <w:r w:rsidRPr="00C0100E">
        <w:rPr>
          <w:rFonts w:ascii="Verdana" w:eastAsia="Arial" w:hAnsi="Verdana" w:cs="Arial"/>
          <w:b/>
          <w:bCs/>
          <w:lang w:val="es-ES"/>
        </w:rPr>
        <w:t>5. Doctrina de la Agencia Nacional de Contratación Pública:</w:t>
      </w:r>
    </w:p>
    <w:p w14:paraId="7872C48D" w14:textId="77777777" w:rsidR="00C0100E" w:rsidRPr="00C0100E" w:rsidRDefault="00C0100E" w:rsidP="00C0100E">
      <w:pPr>
        <w:widowControl w:val="0"/>
        <w:autoSpaceDE w:val="0"/>
        <w:autoSpaceDN w:val="0"/>
        <w:spacing w:after="0" w:line="276" w:lineRule="auto"/>
        <w:jc w:val="both"/>
        <w:rPr>
          <w:rFonts w:ascii="Verdana" w:eastAsia="Calibri" w:hAnsi="Verdana" w:cs="Arial"/>
        </w:rPr>
      </w:pPr>
    </w:p>
    <w:p w14:paraId="65EB5772" w14:textId="77777777" w:rsidR="00C0100E" w:rsidRPr="00C0100E" w:rsidRDefault="00C0100E" w:rsidP="00C0100E">
      <w:pPr>
        <w:widowControl w:val="0"/>
        <w:autoSpaceDE w:val="0"/>
        <w:autoSpaceDN w:val="0"/>
        <w:spacing w:after="0" w:line="276" w:lineRule="auto"/>
        <w:jc w:val="both"/>
        <w:rPr>
          <w:rFonts w:ascii="Verdana" w:eastAsia="Calibri" w:hAnsi="Verdana" w:cs="Arial"/>
          <w:shd w:val="clear" w:color="auto" w:fill="FFFFFF"/>
          <w:lang w:val="es-ES"/>
        </w:rPr>
      </w:pPr>
      <w:r w:rsidRPr="00C0100E">
        <w:rPr>
          <w:rFonts w:ascii="Verdana" w:eastAsia="Calibri" w:hAnsi="Verdana" w:cs="Arial"/>
          <w:shd w:val="clear" w:color="auto" w:fill="FFFFFF"/>
          <w:lang w:val="es-ES"/>
        </w:rPr>
        <w:t xml:space="preserve">Sobre la delegación de funciones contractuales y las unidades asesoras de contratación, esta Subdirección se ha referido en los Conceptos con número de radicado: 4201912000006841 del 28 de octubre de 2019, 2201913000008176 del 31 de octubre de 2019, 2201913000009082 del 9 de diciembre de 2019, C-268 del 21 de abril de 2020, C-448 del 28 de julio de 2020, C-603 del 02 de noviembre de 2021, C-060 del 10 de marzo de 2022, C-063 del 17 de abril de 2023, entre otros. 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history="1">
        <w:r w:rsidRPr="00C0100E">
          <w:rPr>
            <w:rFonts w:ascii="Verdana" w:eastAsia="Calibri" w:hAnsi="Verdana" w:cs="Arial"/>
            <w:color w:val="0000FF"/>
            <w:u w:val="single"/>
            <w:shd w:val="clear" w:color="auto" w:fill="FFFFFF"/>
            <w:lang w:val="es-ES"/>
          </w:rPr>
          <w:t>https://relatoria.colombiacompra.gov.co/</w:t>
        </w:r>
      </w:hyperlink>
      <w:r w:rsidRPr="00C0100E">
        <w:rPr>
          <w:rFonts w:ascii="Verdana" w:eastAsia="Calibri" w:hAnsi="Verdana" w:cs="Arial"/>
          <w:shd w:val="clear" w:color="auto" w:fill="FFFFFF"/>
          <w:lang w:val="es-ES"/>
        </w:rPr>
        <w:t xml:space="preserve"> </w:t>
      </w:r>
    </w:p>
    <w:p w14:paraId="1086A4EE" w14:textId="77777777" w:rsidR="00C0100E" w:rsidRPr="00C0100E" w:rsidRDefault="00C0100E" w:rsidP="00C0100E">
      <w:pPr>
        <w:widowControl w:val="0"/>
        <w:autoSpaceDE w:val="0"/>
        <w:autoSpaceDN w:val="0"/>
        <w:spacing w:after="0" w:line="276" w:lineRule="auto"/>
        <w:jc w:val="both"/>
        <w:rPr>
          <w:rFonts w:ascii="Verdana" w:eastAsia="Calibri" w:hAnsi="Verdana" w:cs="Arial"/>
          <w:shd w:val="clear" w:color="auto" w:fill="FFFFFF"/>
          <w:lang w:val="es-ES"/>
        </w:rPr>
      </w:pPr>
    </w:p>
    <w:p w14:paraId="7816D420" w14:textId="01BA29B8" w:rsidR="00C0100E" w:rsidRPr="00C0100E" w:rsidRDefault="00260AEC" w:rsidP="00260AEC">
      <w:pPr>
        <w:widowControl w:val="0"/>
        <w:autoSpaceDE w:val="0"/>
        <w:autoSpaceDN w:val="0"/>
        <w:spacing w:after="0" w:line="276" w:lineRule="auto"/>
        <w:jc w:val="both"/>
        <w:rPr>
          <w:rFonts w:ascii="Verdana" w:eastAsia="Calibri" w:hAnsi="Verdana" w:cs="Arial"/>
          <w:shd w:val="clear" w:color="auto" w:fill="FFFFFF"/>
          <w:lang w:val="es-ES"/>
        </w:rPr>
      </w:pPr>
      <w:r w:rsidRPr="00260AEC">
        <w:rPr>
          <w:rFonts w:ascii="Verdana" w:eastAsia="Calibri" w:hAnsi="Verdana" w:cs="Arial"/>
          <w:shd w:val="clear" w:color="auto" w:fill="FFFFFF"/>
        </w:rPr>
        <w:t xml:space="preserve">Le informamos que ya se encuentran disponibles los borradores de las nuevas versiones de documentos tipo del sector infraestructura social (Subsectores: institucional, vivienda, salud, educación, cultura y deporte) en las modalidades de licitación pública, selección abreviada de menor cuantía y mínima cuantía </w:t>
      </w:r>
      <w:r w:rsidRPr="00260AEC">
        <w:rPr>
          <w:rFonts w:ascii="Verdana" w:eastAsia="Calibri" w:hAnsi="Verdana" w:cs="Arial"/>
          <w:shd w:val="clear" w:color="auto" w:fill="FFFFFF"/>
        </w:rPr>
        <w:lastRenderedPageBreak/>
        <w:t>para comentarios. Dichos documentos estarán publicados hasta el próximo 16 de mayo de 2025.  Puede consultar la información en el siguiente enlace:</w:t>
      </w:r>
      <w:r w:rsidRPr="00260AEC">
        <w:rPr>
          <w:rFonts w:ascii="Verdana" w:eastAsia="Calibri" w:hAnsi="Verdana" w:cs="Arial"/>
          <w:b/>
          <w:bCs/>
          <w:shd w:val="clear" w:color="auto" w:fill="FFFFFF"/>
        </w:rPr>
        <w:t> </w:t>
      </w:r>
      <w:hyperlink r:id="rId13" w:tgtFrame="_blank" w:tooltip="Dirección URL original: https://www.colombiacompra.gov.co/normativa-y-relatoria/documentos-tipo. Haga clic o pulse si confía en este vínculo." w:history="1">
        <w:r w:rsidRPr="00260AEC">
          <w:rPr>
            <w:rStyle w:val="Hipervnculo"/>
            <w:rFonts w:ascii="Verdana" w:eastAsia="Calibri" w:hAnsi="Verdana" w:cs="Arial"/>
            <w:b/>
            <w:bCs/>
            <w:shd w:val="clear" w:color="auto" w:fill="FFFFFF"/>
          </w:rPr>
          <w:t>Documentos Tipo – ANCP Colombia Compra Eficiente</w:t>
        </w:r>
      </w:hyperlink>
      <w:r w:rsidRPr="00260AEC">
        <w:rPr>
          <w:rFonts w:ascii="Verdana" w:eastAsia="Calibri" w:hAnsi="Verdana" w:cs="Arial"/>
          <w:u w:val="single"/>
          <w:shd w:val="clear" w:color="auto" w:fill="FFFFFF"/>
        </w:rPr>
        <w:t> </w:t>
      </w:r>
      <w:r>
        <w:rPr>
          <w:rFonts w:ascii="Verdana" w:eastAsia="Calibri" w:hAnsi="Verdana" w:cs="Arial"/>
          <w:shd w:val="clear" w:color="auto" w:fill="FFFFFF"/>
        </w:rPr>
        <w:t xml:space="preserve">. </w:t>
      </w:r>
    </w:p>
    <w:p w14:paraId="1ED4B9E0" w14:textId="77777777" w:rsidR="00C0100E" w:rsidRPr="00C0100E" w:rsidRDefault="00C0100E" w:rsidP="00C0100E">
      <w:pPr>
        <w:spacing w:after="0" w:line="240" w:lineRule="auto"/>
        <w:jc w:val="both"/>
        <w:rPr>
          <w:rFonts w:ascii="Verdana" w:eastAsia="Calibri" w:hAnsi="Verdana" w:cs="Times New Roman"/>
        </w:rPr>
      </w:pPr>
      <w:r w:rsidRPr="00C0100E">
        <w:rPr>
          <w:rFonts w:ascii="Verdana" w:eastAsia="Calibri" w:hAnsi="Verdana" w:cs="Times New Roman"/>
        </w:rPr>
        <w:t xml:space="preserve">Por último, lo invitamos a seguirnos en las redes sociales en las cuales se difunde información institucional: </w:t>
      </w:r>
    </w:p>
    <w:p w14:paraId="61EB8FBA" w14:textId="77777777" w:rsidR="00C0100E" w:rsidRPr="00C0100E" w:rsidRDefault="00C0100E" w:rsidP="00C0100E">
      <w:pPr>
        <w:spacing w:after="0" w:line="240" w:lineRule="auto"/>
        <w:jc w:val="both"/>
        <w:rPr>
          <w:rFonts w:ascii="Verdana" w:eastAsia="Calibri" w:hAnsi="Verdana" w:cs="Times New Roman"/>
        </w:rPr>
      </w:pPr>
    </w:p>
    <w:p w14:paraId="24F5CC1B" w14:textId="77777777" w:rsidR="00C0100E" w:rsidRPr="00C0100E" w:rsidRDefault="00C0100E" w:rsidP="00C0100E">
      <w:pPr>
        <w:spacing w:after="0" w:line="240" w:lineRule="auto"/>
        <w:jc w:val="both"/>
        <w:rPr>
          <w:rFonts w:ascii="Verdana" w:eastAsia="Calibri" w:hAnsi="Verdana" w:cs="Times New Roman"/>
        </w:rPr>
      </w:pPr>
      <w:r w:rsidRPr="00C0100E">
        <w:rPr>
          <w:rFonts w:ascii="Verdana" w:eastAsia="Calibri" w:hAnsi="Verdana" w:cs="Times New Roman"/>
        </w:rPr>
        <w:t xml:space="preserve">Twitter: </w:t>
      </w:r>
      <w:r w:rsidRPr="00C0100E">
        <w:rPr>
          <w:rFonts w:ascii="Verdana" w:eastAsia="Calibri" w:hAnsi="Verdana" w:cs="Times New Roman"/>
          <w:color w:val="4472C4"/>
          <w:u w:val="single"/>
        </w:rPr>
        <w:t>@colombiacompra</w:t>
      </w:r>
      <w:r w:rsidRPr="00C0100E">
        <w:rPr>
          <w:rFonts w:ascii="Verdana" w:eastAsia="Calibri" w:hAnsi="Verdana" w:cs="Times New Roman"/>
          <w:color w:val="4472C4"/>
        </w:rPr>
        <w:t xml:space="preserve"> </w:t>
      </w:r>
    </w:p>
    <w:p w14:paraId="04A3F31E" w14:textId="77777777" w:rsidR="00C0100E" w:rsidRPr="00C0100E" w:rsidRDefault="00C0100E" w:rsidP="00C0100E">
      <w:pPr>
        <w:spacing w:after="0" w:line="240" w:lineRule="auto"/>
        <w:jc w:val="both"/>
        <w:rPr>
          <w:rFonts w:ascii="Verdana" w:eastAsia="Calibri" w:hAnsi="Verdana" w:cs="Times New Roman"/>
        </w:rPr>
      </w:pPr>
      <w:r w:rsidRPr="00C0100E">
        <w:rPr>
          <w:rFonts w:ascii="Verdana" w:eastAsia="Calibri" w:hAnsi="Verdana" w:cs="Times New Roman"/>
        </w:rPr>
        <w:t xml:space="preserve">Facebook: </w:t>
      </w:r>
      <w:r w:rsidRPr="00C0100E">
        <w:rPr>
          <w:rFonts w:ascii="Verdana" w:eastAsia="Calibri" w:hAnsi="Verdana" w:cs="Times New Roman"/>
          <w:color w:val="4472C4"/>
          <w:u w:val="single"/>
        </w:rPr>
        <w:t>ColombiaCompraEficiente</w:t>
      </w:r>
    </w:p>
    <w:p w14:paraId="20B26811" w14:textId="77777777" w:rsidR="00C0100E" w:rsidRPr="00C0100E" w:rsidRDefault="00C0100E" w:rsidP="00C0100E">
      <w:pPr>
        <w:spacing w:after="0" w:line="240" w:lineRule="auto"/>
        <w:jc w:val="both"/>
        <w:rPr>
          <w:rFonts w:ascii="Verdana" w:eastAsia="Calibri" w:hAnsi="Verdana" w:cs="Times New Roman"/>
        </w:rPr>
      </w:pPr>
      <w:r w:rsidRPr="00C0100E">
        <w:rPr>
          <w:rFonts w:ascii="Verdana" w:eastAsia="Calibri" w:hAnsi="Verdana" w:cs="Times New Roman"/>
        </w:rPr>
        <w:t xml:space="preserve">LinkedIn: </w:t>
      </w:r>
      <w:r w:rsidRPr="00C0100E">
        <w:rPr>
          <w:rFonts w:ascii="Verdana" w:eastAsia="Calibri" w:hAnsi="Verdana" w:cs="Times New Roman"/>
          <w:color w:val="4472C4"/>
          <w:u w:val="single"/>
        </w:rPr>
        <w:t>Agencia Nacional de Contratación Pública - Colombia Compra Eficiente</w:t>
      </w:r>
      <w:r w:rsidRPr="00C0100E">
        <w:rPr>
          <w:rFonts w:ascii="Verdana" w:eastAsia="Calibri" w:hAnsi="Verdana" w:cs="Times New Roman"/>
          <w:color w:val="4472C4"/>
        </w:rPr>
        <w:t xml:space="preserve"> </w:t>
      </w:r>
      <w:r w:rsidRPr="00C0100E">
        <w:rPr>
          <w:rFonts w:ascii="Verdana" w:eastAsia="Calibri" w:hAnsi="Verdana" w:cs="Times New Roman"/>
        </w:rPr>
        <w:t xml:space="preserve">Instagram: </w:t>
      </w:r>
      <w:r w:rsidRPr="00C0100E">
        <w:rPr>
          <w:rFonts w:ascii="Verdana" w:eastAsia="Calibri" w:hAnsi="Verdana" w:cs="Times New Roman"/>
          <w:color w:val="4472C4"/>
          <w:u w:val="single"/>
        </w:rPr>
        <w:t>@colombiacompraeficiente_cce</w:t>
      </w:r>
    </w:p>
    <w:p w14:paraId="774F276B" w14:textId="77777777" w:rsidR="00C0100E" w:rsidRPr="00C0100E" w:rsidRDefault="00C0100E" w:rsidP="00C0100E">
      <w:pPr>
        <w:widowControl w:val="0"/>
        <w:autoSpaceDE w:val="0"/>
        <w:autoSpaceDN w:val="0"/>
        <w:spacing w:after="0" w:line="276" w:lineRule="auto"/>
        <w:jc w:val="both"/>
        <w:rPr>
          <w:rFonts w:ascii="Verdana" w:eastAsia="Calibri" w:hAnsi="Verdana" w:cs="Arial"/>
        </w:rPr>
      </w:pPr>
    </w:p>
    <w:p w14:paraId="32A82C82" w14:textId="77777777" w:rsidR="00C0100E" w:rsidRPr="00C0100E" w:rsidRDefault="00C0100E" w:rsidP="00C0100E">
      <w:pPr>
        <w:widowControl w:val="0"/>
        <w:autoSpaceDE w:val="0"/>
        <w:autoSpaceDN w:val="0"/>
        <w:spacing w:after="0" w:line="276" w:lineRule="auto"/>
        <w:jc w:val="both"/>
        <w:rPr>
          <w:rFonts w:ascii="Verdana" w:eastAsia="Calibri" w:hAnsi="Verdana" w:cs="Arial"/>
          <w:lang w:val="es-ES_tradnl"/>
        </w:rPr>
      </w:pPr>
      <w:r w:rsidRPr="00C0100E">
        <w:rPr>
          <w:rFonts w:ascii="Verdana" w:eastAsia="Calibri" w:hAnsi="Verdana" w:cs="Arial"/>
        </w:rPr>
        <w:t xml:space="preserve">Este concepto tiene el alcance previsto en el artículo 28 del Código de Procedimiento Administrativo y de lo Contencioso Administrativo </w:t>
      </w:r>
      <w:r w:rsidRPr="00C0100E">
        <w:rPr>
          <w:rFonts w:ascii="Verdana" w:eastAsia="Calibri" w:hAnsi="Verdana" w:cs="Arial"/>
          <w:lang w:val="es-ES_tradnl"/>
        </w:rPr>
        <w:t>y las expresiones aquí utilizadas con mayúscula inicial deben ser entendidas con el significado que les otorga el artículo 2.2.1.1.1.3.1. del Decreto 1082 de 2015.</w:t>
      </w:r>
    </w:p>
    <w:p w14:paraId="78C03BC8" w14:textId="77777777" w:rsidR="00C0100E" w:rsidRPr="00C0100E" w:rsidRDefault="00C0100E" w:rsidP="00C0100E">
      <w:pPr>
        <w:widowControl w:val="0"/>
        <w:autoSpaceDE w:val="0"/>
        <w:autoSpaceDN w:val="0"/>
        <w:spacing w:after="0" w:line="276" w:lineRule="auto"/>
        <w:jc w:val="both"/>
        <w:rPr>
          <w:rFonts w:ascii="Verdana" w:eastAsia="Calibri" w:hAnsi="Verdana" w:cs="Arial"/>
        </w:rPr>
      </w:pPr>
    </w:p>
    <w:p w14:paraId="01C26F95" w14:textId="77777777" w:rsidR="00C0100E" w:rsidRPr="00C0100E" w:rsidRDefault="00C0100E" w:rsidP="00C0100E">
      <w:pPr>
        <w:spacing w:after="0" w:line="240" w:lineRule="auto"/>
        <w:rPr>
          <w:rFonts w:ascii="Verdana" w:eastAsia="Calibri" w:hAnsi="Verdana" w:cs="Arial"/>
          <w:lang w:eastAsia="es-CO"/>
        </w:rPr>
      </w:pPr>
      <w:r w:rsidRPr="00C0100E">
        <w:rPr>
          <w:rFonts w:ascii="Verdana" w:eastAsia="Times New Roman" w:hAnsi="Verdana" w:cs="Arial"/>
          <w:lang w:eastAsia="es-CO"/>
        </w:rPr>
        <w:t>Atentamente,</w:t>
      </w:r>
      <w:r w:rsidRPr="00C0100E">
        <w:rPr>
          <w:rFonts w:ascii="Verdana" w:eastAsia="Calibri" w:hAnsi="Verdana" w:cs="Arial"/>
          <w:lang w:eastAsia="es-CO"/>
        </w:rPr>
        <w:t xml:space="preserve"> </w:t>
      </w:r>
    </w:p>
    <w:p w14:paraId="323A1182" w14:textId="7E893496" w:rsidR="00892E9E" w:rsidRPr="00EE0EBA" w:rsidRDefault="00AF79FF" w:rsidP="00892E9E">
      <w:pPr>
        <w:spacing w:line="276" w:lineRule="auto"/>
        <w:jc w:val="center"/>
        <w:rPr>
          <w:rFonts w:eastAsia="Calibri" w:cs="Arial"/>
          <w:lang w:val="es-ES_tradnl" w:eastAsia="es-CO"/>
        </w:rPr>
      </w:pPr>
      <w:r w:rsidRPr="00AF79FF">
        <w:rPr>
          <w:rFonts w:ascii="Verdana" w:eastAsia="Calibri" w:hAnsi="Verdana" w:cs="Arial"/>
          <w:lang w:eastAsia="es-CO"/>
        </w:rPr>
        <w:br/>
      </w:r>
      <w:r w:rsidR="008F470C" w:rsidRPr="002C3AD6">
        <w:rPr>
          <w:rFonts w:ascii="Century Gothic" w:hAnsi="Century Gothic"/>
          <w:noProof/>
        </w:rPr>
        <w:drawing>
          <wp:inline distT="0" distB="0" distL="0" distR="0" wp14:anchorId="70B36D14" wp14:editId="2E6C8B95">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92E9E" w:rsidRPr="00EE0EBA" w14:paraId="0B2BAF56" w14:textId="77777777" w:rsidTr="009E4EEE">
        <w:trPr>
          <w:trHeight w:val="315"/>
        </w:trPr>
        <w:tc>
          <w:tcPr>
            <w:tcW w:w="893" w:type="dxa"/>
            <w:vAlign w:val="center"/>
            <w:hideMark/>
          </w:tcPr>
          <w:p w14:paraId="78BE6511" w14:textId="77777777" w:rsidR="00892E9E" w:rsidRPr="00EE0EBA" w:rsidRDefault="00892E9E" w:rsidP="009E4EEE">
            <w:pPr>
              <w:rPr>
                <w:rFonts w:eastAsia="Calibri" w:cs="Arial"/>
                <w:sz w:val="16"/>
                <w:szCs w:val="16"/>
                <w:lang w:eastAsia="es-ES"/>
              </w:rPr>
            </w:pPr>
            <w:r w:rsidRPr="00EE0EBA">
              <w:rPr>
                <w:rFonts w:eastAsia="Calibri" w:cs="Arial"/>
                <w:sz w:val="16"/>
                <w:szCs w:val="16"/>
                <w:lang w:eastAsia="es-ES"/>
              </w:rPr>
              <w:t>Elaboró:</w:t>
            </w:r>
          </w:p>
        </w:tc>
        <w:tc>
          <w:tcPr>
            <w:tcW w:w="5628" w:type="dxa"/>
            <w:tcBorders>
              <w:top w:val="nil"/>
              <w:left w:val="nil"/>
              <w:bottom w:val="dotted" w:sz="4" w:space="0" w:color="7F7F7F"/>
              <w:right w:val="nil"/>
            </w:tcBorders>
            <w:vAlign w:val="center"/>
            <w:hideMark/>
          </w:tcPr>
          <w:p w14:paraId="3B3829E6" w14:textId="2B7F3C5C" w:rsidR="00892E9E" w:rsidRPr="00EE0EBA" w:rsidRDefault="0097234C" w:rsidP="009E4EEE">
            <w:pPr>
              <w:rPr>
                <w:rFonts w:eastAsia="Arial" w:cs="Arial"/>
                <w:sz w:val="16"/>
                <w:szCs w:val="16"/>
              </w:rPr>
            </w:pPr>
            <w:r>
              <w:rPr>
                <w:rFonts w:eastAsia="Arial" w:cs="Arial"/>
                <w:sz w:val="16"/>
                <w:szCs w:val="16"/>
              </w:rPr>
              <w:t xml:space="preserve">Diana </w:t>
            </w:r>
            <w:r w:rsidR="00892E9E" w:rsidRPr="00EE0EBA">
              <w:rPr>
                <w:rFonts w:eastAsia="Arial" w:cs="Arial"/>
                <w:sz w:val="16"/>
                <w:szCs w:val="16"/>
              </w:rPr>
              <w:t xml:space="preserve">Carolina Blanco Rodriguez </w:t>
            </w:r>
          </w:p>
          <w:p w14:paraId="74AC259B" w14:textId="77777777" w:rsidR="00892E9E" w:rsidRPr="00EE0EBA" w:rsidRDefault="00892E9E" w:rsidP="009E4EEE">
            <w:pPr>
              <w:rPr>
                <w:rFonts w:eastAsia="Arial" w:cs="Arial"/>
                <w:sz w:val="16"/>
                <w:szCs w:val="16"/>
              </w:rPr>
            </w:pPr>
            <w:r w:rsidRPr="00EE0EBA">
              <w:rPr>
                <w:rFonts w:eastAsia="Arial" w:cs="Arial"/>
                <w:sz w:val="16"/>
                <w:szCs w:val="16"/>
              </w:rPr>
              <w:t>Contratista de la Subdirección de Gestión Contractual</w:t>
            </w:r>
          </w:p>
        </w:tc>
      </w:tr>
      <w:tr w:rsidR="00892E9E" w:rsidRPr="00EE0EBA" w14:paraId="238091E0" w14:textId="77777777" w:rsidTr="009E4EEE">
        <w:trPr>
          <w:trHeight w:val="330"/>
        </w:trPr>
        <w:tc>
          <w:tcPr>
            <w:tcW w:w="893" w:type="dxa"/>
            <w:vAlign w:val="center"/>
            <w:hideMark/>
          </w:tcPr>
          <w:p w14:paraId="25F22BD1" w14:textId="77777777" w:rsidR="00892E9E" w:rsidRPr="00EE0EBA" w:rsidRDefault="00892E9E" w:rsidP="009E4EEE">
            <w:pPr>
              <w:rPr>
                <w:rFonts w:eastAsia="Calibri" w:cs="Arial"/>
                <w:sz w:val="16"/>
                <w:szCs w:val="16"/>
                <w:lang w:eastAsia="es-ES"/>
              </w:rPr>
            </w:pPr>
            <w:r w:rsidRPr="00EE0EBA">
              <w:rPr>
                <w:rFonts w:eastAsia="Calibri" w:cs="Arial"/>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5687C5E5" w14:textId="05737320" w:rsidR="00892E9E" w:rsidRPr="00EE0EBA" w:rsidRDefault="00892E9E" w:rsidP="009E4EEE">
            <w:pPr>
              <w:textAlignment w:val="baseline"/>
              <w:rPr>
                <w:rFonts w:eastAsia="Times New Roman" w:cs="Segoe UI"/>
                <w:sz w:val="16"/>
                <w:szCs w:val="16"/>
                <w:lang w:eastAsia="es-ES_tradnl"/>
              </w:rPr>
            </w:pPr>
            <w:r w:rsidRPr="00EE0EBA">
              <w:rPr>
                <w:rFonts w:eastAsia="Times New Roman" w:cs="Segoe UI"/>
                <w:sz w:val="16"/>
                <w:szCs w:val="16"/>
                <w:lang w:eastAsia="es-ES_tradnl"/>
              </w:rPr>
              <w:t xml:space="preserve">Juan </w:t>
            </w:r>
            <w:r>
              <w:rPr>
                <w:rFonts w:eastAsia="Times New Roman" w:cs="Segoe UI"/>
                <w:sz w:val="16"/>
                <w:szCs w:val="16"/>
                <w:lang w:eastAsia="es-ES_tradnl"/>
              </w:rPr>
              <w:t xml:space="preserve">Carlos González </w:t>
            </w:r>
            <w:r w:rsidR="0097234C">
              <w:rPr>
                <w:rFonts w:eastAsia="Times New Roman" w:cs="Segoe UI"/>
                <w:sz w:val="16"/>
                <w:szCs w:val="16"/>
                <w:lang w:eastAsia="es-ES_tradnl"/>
              </w:rPr>
              <w:t>Vásquez</w:t>
            </w:r>
          </w:p>
          <w:p w14:paraId="31BFBB48" w14:textId="77777777" w:rsidR="00892E9E" w:rsidRPr="00EE0EBA" w:rsidRDefault="00892E9E" w:rsidP="009E4EEE">
            <w:pPr>
              <w:textAlignment w:val="baseline"/>
              <w:rPr>
                <w:rFonts w:eastAsia="Times New Roman" w:cs="Segoe UI"/>
                <w:sz w:val="16"/>
                <w:szCs w:val="16"/>
                <w:lang w:eastAsia="es-ES_tradnl"/>
              </w:rPr>
            </w:pPr>
            <w:r w:rsidRPr="00EE0EBA">
              <w:rPr>
                <w:rFonts w:eastAsia="Times New Roman" w:cs="Arial"/>
                <w:sz w:val="16"/>
                <w:szCs w:val="16"/>
                <w:lang w:eastAsia="es-ES_tradnl"/>
              </w:rPr>
              <w:t>Contratista de la Subdirección de Gestión Contractual </w:t>
            </w:r>
          </w:p>
        </w:tc>
      </w:tr>
      <w:tr w:rsidR="00892E9E" w:rsidRPr="00EE0EBA" w14:paraId="3B644B59" w14:textId="77777777" w:rsidTr="009E4EEE">
        <w:trPr>
          <w:trHeight w:val="300"/>
        </w:trPr>
        <w:tc>
          <w:tcPr>
            <w:tcW w:w="893" w:type="dxa"/>
            <w:vAlign w:val="center"/>
          </w:tcPr>
          <w:p w14:paraId="1668F440" w14:textId="77777777" w:rsidR="00892E9E" w:rsidRPr="00EE0EBA" w:rsidRDefault="00892E9E" w:rsidP="009E4EEE">
            <w:pPr>
              <w:rPr>
                <w:rFonts w:eastAsia="Calibri" w:cs="Arial"/>
                <w:sz w:val="16"/>
                <w:szCs w:val="16"/>
                <w:lang w:eastAsia="es-ES"/>
              </w:rPr>
            </w:pPr>
            <w:r w:rsidRPr="00EE0EBA">
              <w:rPr>
                <w:rFonts w:eastAsia="Calibri" w:cs="Arial"/>
                <w:sz w:val="16"/>
                <w:szCs w:val="16"/>
                <w:lang w:eastAsia="es-ES"/>
              </w:rPr>
              <w:t>Aprobó:</w:t>
            </w:r>
          </w:p>
        </w:tc>
        <w:tc>
          <w:tcPr>
            <w:tcW w:w="5628" w:type="dxa"/>
            <w:tcBorders>
              <w:top w:val="dotted" w:sz="4" w:space="0" w:color="7F7F7F"/>
              <w:left w:val="nil"/>
              <w:bottom w:val="dotted" w:sz="4" w:space="0" w:color="7F7F7F"/>
              <w:right w:val="nil"/>
            </w:tcBorders>
            <w:vAlign w:val="center"/>
          </w:tcPr>
          <w:p w14:paraId="536F05BA" w14:textId="77777777" w:rsidR="00892E9E" w:rsidRPr="00EE0EBA" w:rsidRDefault="00892E9E" w:rsidP="009E4EEE">
            <w:pPr>
              <w:rPr>
                <w:rFonts w:eastAsia="Calibri" w:cs="Arial"/>
                <w:sz w:val="16"/>
                <w:szCs w:val="16"/>
                <w:lang w:val="pt-BR" w:eastAsia="es-ES"/>
              </w:rPr>
            </w:pPr>
            <w:r w:rsidRPr="00EE0EBA">
              <w:rPr>
                <w:rFonts w:eastAsia="Calibri" w:cs="Arial"/>
                <w:sz w:val="16"/>
                <w:szCs w:val="16"/>
                <w:lang w:val="pt-BR" w:eastAsia="es-ES"/>
              </w:rPr>
              <w:t>Carolina Quintero Gacharná</w:t>
            </w:r>
          </w:p>
          <w:p w14:paraId="653B9F8A" w14:textId="77777777" w:rsidR="00892E9E" w:rsidRPr="00EE0EBA" w:rsidRDefault="00892E9E" w:rsidP="009E4EEE">
            <w:pPr>
              <w:rPr>
                <w:rFonts w:eastAsia="Calibri" w:cs="Arial"/>
                <w:sz w:val="16"/>
                <w:szCs w:val="16"/>
                <w:lang w:val="pt-BR" w:eastAsia="es-ES"/>
              </w:rPr>
            </w:pPr>
            <w:r w:rsidRPr="00EE0EBA">
              <w:rPr>
                <w:rFonts w:eastAsia="Calibri" w:cs="Arial"/>
                <w:sz w:val="16"/>
                <w:szCs w:val="16"/>
                <w:lang w:eastAsia="es-ES"/>
              </w:rPr>
              <w:t>Subdirectora</w:t>
            </w:r>
            <w:r w:rsidRPr="00EE0EBA">
              <w:rPr>
                <w:rFonts w:eastAsia="Calibri" w:cs="Arial"/>
                <w:sz w:val="16"/>
                <w:szCs w:val="16"/>
                <w:lang w:val="pt-BR" w:eastAsia="es-ES"/>
              </w:rPr>
              <w:t xml:space="preserve"> de Gestión Contratual ANCP – CCE</w:t>
            </w:r>
          </w:p>
        </w:tc>
      </w:tr>
    </w:tbl>
    <w:p w14:paraId="01E466DC" w14:textId="11AB637C" w:rsidR="00C0100E" w:rsidRPr="00C0100E" w:rsidRDefault="00C0100E" w:rsidP="00892E9E">
      <w:pPr>
        <w:spacing w:line="276" w:lineRule="auto"/>
        <w:jc w:val="center"/>
        <w:rPr>
          <w:rFonts w:ascii="Verdana" w:eastAsia="Times New Roman" w:hAnsi="Verdana" w:cs="Arial"/>
          <w:sz w:val="24"/>
          <w:szCs w:val="24"/>
          <w:lang w:eastAsia="es-ES"/>
        </w:rPr>
      </w:pPr>
    </w:p>
    <w:p w14:paraId="324AAE29" w14:textId="77777777" w:rsidR="00C0100E" w:rsidRPr="00C0100E" w:rsidRDefault="00C0100E" w:rsidP="00C0100E">
      <w:pPr>
        <w:rPr>
          <w:rFonts w:ascii="Calibri" w:eastAsia="Calibri" w:hAnsi="Calibri" w:cs="Times New Roman"/>
        </w:rPr>
      </w:pPr>
    </w:p>
    <w:p w14:paraId="76082320" w14:textId="77777777" w:rsidR="00C0100E" w:rsidRPr="00C0100E" w:rsidRDefault="00C0100E" w:rsidP="00C0100E">
      <w:pPr>
        <w:rPr>
          <w:rFonts w:ascii="Calibri" w:eastAsia="Calibri" w:hAnsi="Calibri" w:cs="Times New Roman"/>
        </w:rPr>
      </w:pPr>
    </w:p>
    <w:p w14:paraId="328E8713" w14:textId="77777777" w:rsidR="00C0100E" w:rsidRPr="003C30D6" w:rsidRDefault="00C0100E" w:rsidP="00C0100E"/>
    <w:p w14:paraId="20E0A1AF" w14:textId="77777777" w:rsidR="00C0100E" w:rsidRPr="003C30D6" w:rsidRDefault="00C0100E" w:rsidP="00C0100E"/>
    <w:p w14:paraId="20337C48" w14:textId="77777777" w:rsidR="008E5C2E" w:rsidRDefault="008E5C2E"/>
    <w:sectPr w:rsidR="008E5C2E" w:rsidSect="00C0100E">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86A36" w14:textId="77777777" w:rsidR="003218B4" w:rsidRDefault="003218B4" w:rsidP="00C0100E">
      <w:pPr>
        <w:spacing w:after="0" w:line="240" w:lineRule="auto"/>
      </w:pPr>
      <w:r>
        <w:separator/>
      </w:r>
    </w:p>
  </w:endnote>
  <w:endnote w:type="continuationSeparator" w:id="0">
    <w:p w14:paraId="3C22A09A" w14:textId="77777777" w:rsidR="003218B4" w:rsidRDefault="003218B4" w:rsidP="00C010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6CE73" w14:textId="77777777" w:rsidR="00AF79FF" w:rsidRDefault="00AF79FF">
    <w:pPr>
      <w:pStyle w:val="Piedepgina"/>
    </w:pPr>
  </w:p>
  <w:p w14:paraId="0C6AFD4E" w14:textId="77777777" w:rsidR="00AF79FF" w:rsidRPr="00174B77" w:rsidRDefault="00AF79FF"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7F843F8C" w14:textId="77777777" w:rsidR="00AF79FF" w:rsidRDefault="00AF79FF"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F86D021" w14:textId="77777777" w:rsidR="00AF79FF" w:rsidRPr="00E41027" w:rsidRDefault="00AF79FF" w:rsidP="00D520D8">
    <w:pPr>
      <w:spacing w:after="0"/>
      <w:jc w:val="both"/>
      <w:rPr>
        <w:rFonts w:ascii="Verdana" w:hAnsi="Verdana"/>
        <w:sz w:val="18"/>
        <w:szCs w:val="18"/>
      </w:rPr>
    </w:pPr>
    <w:r w:rsidRPr="00E41027">
      <w:rPr>
        <w:rFonts w:ascii="Verdana" w:hAnsi="Verdana"/>
        <w:sz w:val="18"/>
        <w:szCs w:val="18"/>
      </w:rPr>
      <w:t>Mesa de servicio: (+57) 601 7456788</w:t>
    </w:r>
  </w:p>
  <w:p w14:paraId="41EB359D" w14:textId="77777777" w:rsidR="00AF79FF" w:rsidRDefault="00AF79FF"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57502" w14:textId="77777777" w:rsidR="003218B4" w:rsidRDefault="003218B4" w:rsidP="00C0100E">
      <w:pPr>
        <w:spacing w:after="0" w:line="240" w:lineRule="auto"/>
      </w:pPr>
      <w:r>
        <w:separator/>
      </w:r>
    </w:p>
  </w:footnote>
  <w:footnote w:type="continuationSeparator" w:id="0">
    <w:p w14:paraId="4B924501" w14:textId="77777777" w:rsidR="003218B4" w:rsidRDefault="003218B4" w:rsidP="00C0100E">
      <w:pPr>
        <w:spacing w:after="0" w:line="240" w:lineRule="auto"/>
      </w:pPr>
      <w:r>
        <w:continuationSeparator/>
      </w:r>
    </w:p>
  </w:footnote>
  <w:footnote w:id="1">
    <w:p w14:paraId="0BE63FCD" w14:textId="77777777" w:rsidR="00C0100E" w:rsidRPr="003306EC" w:rsidRDefault="00C0100E" w:rsidP="00C0100E">
      <w:pPr>
        <w:pStyle w:val="Textonotapie"/>
        <w:ind w:firstLine="709"/>
        <w:jc w:val="both"/>
        <w:rPr>
          <w:rFonts w:ascii="Verdana" w:hAnsi="Verdana" w:cs="Arial"/>
          <w:sz w:val="8"/>
          <w:szCs w:val="8"/>
        </w:rPr>
      </w:pPr>
    </w:p>
    <w:p w14:paraId="1B2A4E80" w14:textId="77777777" w:rsidR="00C0100E" w:rsidRPr="003306EC" w:rsidRDefault="00C0100E" w:rsidP="00C0100E">
      <w:pPr>
        <w:pStyle w:val="Textonotapie"/>
        <w:ind w:firstLine="709"/>
        <w:jc w:val="both"/>
        <w:rPr>
          <w:rFonts w:ascii="Verdana" w:eastAsia="Calibri" w:hAnsi="Verdana" w:cs="Arial"/>
          <w:sz w:val="8"/>
          <w:szCs w:val="8"/>
          <w:lang w:val="es-ES_tradnl"/>
        </w:rPr>
      </w:pPr>
      <w:r w:rsidRPr="003306EC">
        <w:rPr>
          <w:rStyle w:val="Refdenotaalpie"/>
          <w:rFonts w:ascii="Verdana" w:hAnsi="Verdana" w:cs="Arial"/>
          <w:sz w:val="8"/>
          <w:szCs w:val="8"/>
        </w:rPr>
        <w:footnoteRef/>
      </w:r>
      <w:r w:rsidRPr="003306EC">
        <w:rPr>
          <w:rFonts w:ascii="Verdana" w:hAnsi="Verdana" w:cs="Arial"/>
          <w:sz w:val="8"/>
          <w:szCs w:val="8"/>
        </w:rPr>
        <w:t xml:space="preserve"> </w:t>
      </w:r>
      <w:r w:rsidRPr="003306EC">
        <w:rPr>
          <w:rFonts w:ascii="Verdana" w:eastAsia="Calibri" w:hAnsi="Verdana" w:cs="Arial"/>
          <w:sz w:val="8"/>
          <w:szCs w:val="8"/>
          <w:lang w:val="es-ES_tradnl"/>
        </w:rPr>
        <w:t>La norma prescribe que “La ley señalará las funciones que el Presidente de la República podrá delegar en los ministros, directores de departamentos administrativos, representantes legales de entidades descentralizadas, superintendentes, gobernadores, alcaldes y agencias del Estado que la misma ley determine. Igualmente, fijará las condiciones para que las autoridades administrativas puedan delegar en sus subalternos o en otras autoridades.</w:t>
      </w:r>
    </w:p>
    <w:p w14:paraId="411252BA" w14:textId="77777777" w:rsidR="00C0100E" w:rsidRPr="003306EC" w:rsidRDefault="00C0100E" w:rsidP="00C0100E">
      <w:pPr>
        <w:pStyle w:val="Textonotapie"/>
        <w:ind w:firstLine="709"/>
        <w:jc w:val="both"/>
        <w:rPr>
          <w:rFonts w:ascii="Verdana" w:eastAsia="Calibri" w:hAnsi="Verdana" w:cs="Arial"/>
          <w:sz w:val="8"/>
          <w:szCs w:val="8"/>
          <w:lang w:val="es-ES_tradnl"/>
        </w:rPr>
      </w:pPr>
    </w:p>
    <w:p w14:paraId="76FC7552" w14:textId="77777777" w:rsidR="00C0100E" w:rsidRPr="003306EC" w:rsidRDefault="00C0100E" w:rsidP="00C0100E">
      <w:pPr>
        <w:pStyle w:val="Textonotapie"/>
        <w:ind w:firstLine="709"/>
        <w:jc w:val="both"/>
        <w:rPr>
          <w:rFonts w:ascii="Verdana" w:eastAsia="Calibri" w:hAnsi="Verdana" w:cs="Arial"/>
          <w:sz w:val="8"/>
          <w:szCs w:val="8"/>
          <w:lang w:val="es-ES_tradnl"/>
        </w:rPr>
      </w:pPr>
      <w:r w:rsidRPr="003306EC">
        <w:rPr>
          <w:rFonts w:ascii="Verdana" w:eastAsia="Calibri" w:hAnsi="Verdana" w:cs="Arial"/>
          <w:sz w:val="8"/>
          <w:szCs w:val="8"/>
          <w:lang w:val="es-ES_tradnl"/>
        </w:rPr>
        <w:t>La delegación exime de responsabilidad al delegante, la cual corresponderá exclusivamente al delegatario, cuyos actos o resoluciones podrá siempre reformar o revocar aquel, reasumiendo la responsabilidad consiguiente”.</w:t>
      </w:r>
    </w:p>
    <w:p w14:paraId="4E2DBD21" w14:textId="77777777" w:rsidR="00C0100E" w:rsidRPr="003306EC" w:rsidRDefault="00C0100E" w:rsidP="00C0100E">
      <w:pPr>
        <w:pStyle w:val="Textonotapie"/>
        <w:ind w:firstLine="709"/>
        <w:jc w:val="both"/>
        <w:rPr>
          <w:rFonts w:ascii="Verdana" w:eastAsia="Calibri" w:hAnsi="Verdana" w:cs="Arial"/>
          <w:sz w:val="8"/>
          <w:szCs w:val="8"/>
          <w:lang w:val="es-ES_tradnl"/>
        </w:rPr>
      </w:pPr>
    </w:p>
  </w:footnote>
  <w:footnote w:id="2">
    <w:p w14:paraId="4BBD7C05" w14:textId="77777777" w:rsidR="00C0100E" w:rsidRPr="003306EC" w:rsidRDefault="00C0100E" w:rsidP="00C0100E">
      <w:pPr>
        <w:pStyle w:val="Textonotapie"/>
        <w:ind w:firstLine="709"/>
        <w:jc w:val="both"/>
        <w:rPr>
          <w:rFonts w:ascii="Verdana" w:eastAsia="Calibri" w:hAnsi="Verdana" w:cs="Arial"/>
          <w:sz w:val="8"/>
          <w:szCs w:val="8"/>
          <w:lang w:val="es-ES_tradnl"/>
        </w:rPr>
      </w:pPr>
      <w:r w:rsidRPr="003306EC">
        <w:rPr>
          <w:rStyle w:val="Refdenotaalpie"/>
          <w:rFonts w:ascii="Verdana" w:hAnsi="Verdana" w:cs="Arial"/>
          <w:sz w:val="8"/>
          <w:szCs w:val="8"/>
        </w:rPr>
        <w:footnoteRef/>
      </w:r>
      <w:r w:rsidRPr="00A22A6A">
        <w:rPr>
          <w:rFonts w:ascii="Verdana" w:hAnsi="Verdana" w:cs="Arial"/>
          <w:sz w:val="8"/>
          <w:szCs w:val="8"/>
          <w:lang w:val="pt-BR"/>
        </w:rPr>
        <w:t xml:space="preserve"> </w:t>
      </w:r>
      <w:r w:rsidRPr="00A22A6A">
        <w:rPr>
          <w:rFonts w:ascii="Verdana" w:eastAsia="Calibri" w:hAnsi="Verdana" w:cs="Arial"/>
          <w:sz w:val="8"/>
          <w:szCs w:val="8"/>
          <w:lang w:val="pt-BR"/>
        </w:rPr>
        <w:t xml:space="preserve">Cfr. CORTE CONSTITUCIONAL. Sentencia C-372 de 2002. </w:t>
      </w:r>
      <w:r w:rsidRPr="003306EC">
        <w:rPr>
          <w:rFonts w:ascii="Verdana" w:eastAsia="Calibri" w:hAnsi="Verdana" w:cs="Arial"/>
          <w:sz w:val="8"/>
          <w:szCs w:val="8"/>
          <w:lang w:val="es-ES_tradnl"/>
        </w:rPr>
        <w:t xml:space="preserve">M.P. Jaime Córdoba Triviño. </w:t>
      </w:r>
    </w:p>
    <w:p w14:paraId="3F4BAE46" w14:textId="77777777" w:rsidR="00C0100E" w:rsidRPr="003306EC" w:rsidRDefault="00C0100E" w:rsidP="00C0100E">
      <w:pPr>
        <w:pStyle w:val="Textonotapie"/>
        <w:ind w:firstLine="709"/>
        <w:jc w:val="both"/>
        <w:rPr>
          <w:rFonts w:ascii="Verdana" w:eastAsia="Calibri" w:hAnsi="Verdana" w:cs="Arial"/>
          <w:sz w:val="8"/>
          <w:szCs w:val="8"/>
          <w:lang w:val="es-ES_tradnl"/>
        </w:rPr>
      </w:pPr>
    </w:p>
  </w:footnote>
  <w:footnote w:id="3">
    <w:p w14:paraId="556980D4" w14:textId="77777777" w:rsidR="00C0100E" w:rsidRPr="003306EC" w:rsidRDefault="00C0100E" w:rsidP="00C0100E">
      <w:pPr>
        <w:pStyle w:val="Textonotapie"/>
        <w:ind w:firstLine="709"/>
        <w:jc w:val="both"/>
        <w:rPr>
          <w:rFonts w:ascii="Verdana" w:hAnsi="Verdana" w:cs="Arial"/>
          <w:sz w:val="8"/>
          <w:szCs w:val="8"/>
        </w:rPr>
      </w:pPr>
    </w:p>
    <w:p w14:paraId="4B803735" w14:textId="77777777" w:rsidR="00C0100E" w:rsidRPr="003306EC" w:rsidRDefault="00C0100E" w:rsidP="00C0100E">
      <w:pPr>
        <w:pStyle w:val="Textonotapie"/>
        <w:ind w:firstLine="709"/>
        <w:jc w:val="both"/>
        <w:rPr>
          <w:rFonts w:ascii="Verdana" w:eastAsia="Calibri" w:hAnsi="Verdana" w:cs="Arial"/>
          <w:sz w:val="8"/>
          <w:szCs w:val="8"/>
          <w:lang w:val="es-ES_tradnl"/>
        </w:rPr>
      </w:pPr>
      <w:r w:rsidRPr="003306EC">
        <w:rPr>
          <w:rStyle w:val="Refdenotaalpie"/>
          <w:rFonts w:ascii="Verdana" w:hAnsi="Verdana" w:cs="Arial"/>
          <w:sz w:val="8"/>
          <w:szCs w:val="8"/>
        </w:rPr>
        <w:footnoteRef/>
      </w:r>
      <w:r w:rsidRPr="003306EC">
        <w:rPr>
          <w:rFonts w:ascii="Verdana" w:hAnsi="Verdana" w:cs="Arial"/>
          <w:sz w:val="8"/>
          <w:szCs w:val="8"/>
        </w:rPr>
        <w:t xml:space="preserve"> </w:t>
      </w:r>
      <w:r w:rsidRPr="003306EC">
        <w:rPr>
          <w:rFonts w:ascii="Verdana" w:eastAsia="Calibri" w:hAnsi="Verdana" w:cs="Arial"/>
          <w:sz w:val="8"/>
          <w:szCs w:val="8"/>
          <w:lang w:val="es-ES_tradnl"/>
        </w:rPr>
        <w:t>CORTE CONSTITUCIONAL. Sentencia C-</w:t>
      </w:r>
      <w:r w:rsidRPr="003306EC">
        <w:rPr>
          <w:rFonts w:ascii="Verdana" w:hAnsi="Verdana" w:cs="Arial"/>
          <w:sz w:val="8"/>
          <w:szCs w:val="8"/>
        </w:rPr>
        <w:t xml:space="preserve"> </w:t>
      </w:r>
      <w:r w:rsidRPr="003306EC">
        <w:rPr>
          <w:rFonts w:ascii="Verdana" w:eastAsia="Calibri" w:hAnsi="Verdana" w:cs="Arial"/>
          <w:sz w:val="8"/>
          <w:szCs w:val="8"/>
          <w:lang w:val="es-ES_tradnl"/>
        </w:rPr>
        <w:t>693 de 2008. M.P. Marco Gerardo Monroy Cabra</w:t>
      </w:r>
    </w:p>
    <w:p w14:paraId="10D2BF34" w14:textId="77777777" w:rsidR="00C0100E" w:rsidRPr="003306EC" w:rsidRDefault="00C0100E" w:rsidP="00C0100E">
      <w:pPr>
        <w:pStyle w:val="Textonotapie"/>
        <w:ind w:firstLine="709"/>
        <w:rPr>
          <w:rFonts w:ascii="Verdana" w:hAnsi="Verdana" w:cs="Arial"/>
          <w:sz w:val="8"/>
          <w:szCs w:val="8"/>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A8909" w14:textId="77777777" w:rsidR="00AF79FF" w:rsidRDefault="00AF79FF">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51503617" wp14:editId="0D37DF69">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33826476" wp14:editId="2C54C7E1">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D68254A" w14:textId="77777777" w:rsidR="00AF79FF" w:rsidRDefault="00AF79FF">
    <w:pPr>
      <w:pStyle w:val="Encabezado"/>
    </w:pPr>
  </w:p>
  <w:p w14:paraId="4F6B6E02" w14:textId="77777777" w:rsidR="00AF79FF" w:rsidRDefault="00AF79FF" w:rsidP="004A305D">
    <w:pPr>
      <w:spacing w:after="0"/>
      <w:rPr>
        <w:rFonts w:ascii="Verdana" w:hAnsi="Verdana"/>
        <w:b/>
        <w:bCs/>
      </w:rPr>
    </w:pPr>
  </w:p>
  <w:p w14:paraId="676832BE" w14:textId="77777777" w:rsidR="00AF79FF" w:rsidRPr="004A305D" w:rsidRDefault="00AF79FF" w:rsidP="00B01B1A">
    <w:pPr>
      <w:spacing w:after="0" w:line="120" w:lineRule="auto"/>
      <w:rPr>
        <w:rFonts w:ascii="Century Gothic" w:eastAsia="Geo" w:hAnsi="Century Gothic" w:cs="Geo"/>
        <w:sz w:val="16"/>
        <w:szCs w:val="16"/>
        <w:lang w:eastAsia="es-CO"/>
      </w:rPr>
    </w:pPr>
  </w:p>
  <w:p w14:paraId="236F9212" w14:textId="77777777" w:rsidR="00AF79FF" w:rsidRDefault="00AF79FF"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502A9"/>
    <w:multiLevelType w:val="hybridMultilevel"/>
    <w:tmpl w:val="21B2F864"/>
    <w:lvl w:ilvl="0" w:tplc="0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221405AE"/>
    <w:multiLevelType w:val="hybridMultilevel"/>
    <w:tmpl w:val="18864DD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18E5EF0"/>
    <w:multiLevelType w:val="hybridMultilevel"/>
    <w:tmpl w:val="9860273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435D11E9"/>
    <w:multiLevelType w:val="hybridMultilevel"/>
    <w:tmpl w:val="8324843E"/>
    <w:lvl w:ilvl="0" w:tplc="3F06451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35415336">
    <w:abstractNumId w:val="2"/>
  </w:num>
  <w:num w:numId="2" w16cid:durableId="1429958103">
    <w:abstractNumId w:val="3"/>
  </w:num>
  <w:num w:numId="3" w16cid:durableId="314721413">
    <w:abstractNumId w:val="1"/>
  </w:num>
  <w:num w:numId="4" w16cid:durableId="772281426">
    <w:abstractNumId w:val="0"/>
  </w:num>
  <w:num w:numId="5" w16cid:durableId="20452497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00E"/>
    <w:rsid w:val="001007F0"/>
    <w:rsid w:val="001A1BC9"/>
    <w:rsid w:val="00214D5C"/>
    <w:rsid w:val="0025456E"/>
    <w:rsid w:val="00260AEC"/>
    <w:rsid w:val="002A6DB3"/>
    <w:rsid w:val="00320203"/>
    <w:rsid w:val="003218B4"/>
    <w:rsid w:val="003520B4"/>
    <w:rsid w:val="00430076"/>
    <w:rsid w:val="004620BD"/>
    <w:rsid w:val="00506B7C"/>
    <w:rsid w:val="005727E1"/>
    <w:rsid w:val="005818E2"/>
    <w:rsid w:val="0059578C"/>
    <w:rsid w:val="005E19A9"/>
    <w:rsid w:val="006167D3"/>
    <w:rsid w:val="00745C98"/>
    <w:rsid w:val="00785E07"/>
    <w:rsid w:val="007C4EC1"/>
    <w:rsid w:val="00825461"/>
    <w:rsid w:val="008273FE"/>
    <w:rsid w:val="00892E9E"/>
    <w:rsid w:val="008C150D"/>
    <w:rsid w:val="008D7CFD"/>
    <w:rsid w:val="008E5C2E"/>
    <w:rsid w:val="008F470C"/>
    <w:rsid w:val="00915E64"/>
    <w:rsid w:val="00950D3B"/>
    <w:rsid w:val="0097234C"/>
    <w:rsid w:val="00A22A6A"/>
    <w:rsid w:val="00A5774B"/>
    <w:rsid w:val="00A92EC4"/>
    <w:rsid w:val="00AA5B68"/>
    <w:rsid w:val="00AB1F37"/>
    <w:rsid w:val="00AF79FF"/>
    <w:rsid w:val="00BA3560"/>
    <w:rsid w:val="00BC50D0"/>
    <w:rsid w:val="00BE1A4B"/>
    <w:rsid w:val="00C0100E"/>
    <w:rsid w:val="00CB7D2B"/>
    <w:rsid w:val="00CE55EF"/>
    <w:rsid w:val="00D2413B"/>
    <w:rsid w:val="00D8637D"/>
    <w:rsid w:val="00E52C8C"/>
    <w:rsid w:val="00EB0397"/>
    <w:rsid w:val="00F722FD"/>
    <w:rsid w:val="00FA59FE"/>
    <w:rsid w:val="00FF385B"/>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67D09"/>
  <w15:chartTrackingRefBased/>
  <w15:docId w15:val="{8990EC4A-F93A-429C-B180-2F0D24613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100E"/>
    <w:rPr>
      <w:kern w:val="0"/>
      <w14:ligatures w14:val="none"/>
    </w:rPr>
  </w:style>
  <w:style w:type="paragraph" w:styleId="Ttulo1">
    <w:name w:val="heading 1"/>
    <w:basedOn w:val="Normal"/>
    <w:next w:val="Normal"/>
    <w:link w:val="Ttulo1Car"/>
    <w:uiPriority w:val="9"/>
    <w:qFormat/>
    <w:rsid w:val="00C010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010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0100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0100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0100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0100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0100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0100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0100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0100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0100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0100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0100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0100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0100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0100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0100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0100E"/>
    <w:rPr>
      <w:rFonts w:eastAsiaTheme="majorEastAsia" w:cstheme="majorBidi"/>
      <w:color w:val="272727" w:themeColor="text1" w:themeTint="D8"/>
    </w:rPr>
  </w:style>
  <w:style w:type="paragraph" w:styleId="Ttulo">
    <w:name w:val="Title"/>
    <w:basedOn w:val="Normal"/>
    <w:next w:val="Normal"/>
    <w:link w:val="TtuloCar"/>
    <w:uiPriority w:val="10"/>
    <w:qFormat/>
    <w:rsid w:val="00C010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0100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0100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0100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0100E"/>
    <w:pPr>
      <w:spacing w:before="160"/>
      <w:jc w:val="center"/>
    </w:pPr>
    <w:rPr>
      <w:i/>
      <w:iCs/>
      <w:color w:val="404040" w:themeColor="text1" w:themeTint="BF"/>
    </w:rPr>
  </w:style>
  <w:style w:type="character" w:customStyle="1" w:styleId="CitaCar">
    <w:name w:val="Cita Car"/>
    <w:basedOn w:val="Fuentedeprrafopredeter"/>
    <w:link w:val="Cita"/>
    <w:uiPriority w:val="29"/>
    <w:rsid w:val="00C0100E"/>
    <w:rPr>
      <w:i/>
      <w:iCs/>
      <w:color w:val="404040" w:themeColor="text1" w:themeTint="BF"/>
    </w:rPr>
  </w:style>
  <w:style w:type="paragraph" w:styleId="Prrafodelista">
    <w:name w:val="List Paragraph"/>
    <w:basedOn w:val="Normal"/>
    <w:uiPriority w:val="34"/>
    <w:qFormat/>
    <w:rsid w:val="00C0100E"/>
    <w:pPr>
      <w:ind w:left="720"/>
      <w:contextualSpacing/>
    </w:pPr>
  </w:style>
  <w:style w:type="character" w:styleId="nfasisintenso">
    <w:name w:val="Intense Emphasis"/>
    <w:basedOn w:val="Fuentedeprrafopredeter"/>
    <w:uiPriority w:val="21"/>
    <w:qFormat/>
    <w:rsid w:val="00C0100E"/>
    <w:rPr>
      <w:i/>
      <w:iCs/>
      <w:color w:val="0F4761" w:themeColor="accent1" w:themeShade="BF"/>
    </w:rPr>
  </w:style>
  <w:style w:type="paragraph" w:styleId="Citadestacada">
    <w:name w:val="Intense Quote"/>
    <w:basedOn w:val="Normal"/>
    <w:next w:val="Normal"/>
    <w:link w:val="CitadestacadaCar"/>
    <w:uiPriority w:val="30"/>
    <w:qFormat/>
    <w:rsid w:val="00C010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0100E"/>
    <w:rPr>
      <w:i/>
      <w:iCs/>
      <w:color w:val="0F4761" w:themeColor="accent1" w:themeShade="BF"/>
    </w:rPr>
  </w:style>
  <w:style w:type="character" w:styleId="Referenciaintensa">
    <w:name w:val="Intense Reference"/>
    <w:basedOn w:val="Fuentedeprrafopredeter"/>
    <w:uiPriority w:val="32"/>
    <w:qFormat/>
    <w:rsid w:val="00C0100E"/>
    <w:rPr>
      <w:b/>
      <w:bCs/>
      <w:smallCaps/>
      <w:color w:val="0F4761" w:themeColor="accent1" w:themeShade="BF"/>
      <w:spacing w:val="5"/>
    </w:rPr>
  </w:style>
  <w:style w:type="paragraph" w:styleId="Encabezado">
    <w:name w:val="header"/>
    <w:basedOn w:val="Normal"/>
    <w:link w:val="EncabezadoCar"/>
    <w:uiPriority w:val="99"/>
    <w:unhideWhenUsed/>
    <w:rsid w:val="00C0100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0100E"/>
    <w:rPr>
      <w:kern w:val="0"/>
      <w14:ligatures w14:val="none"/>
    </w:rPr>
  </w:style>
  <w:style w:type="paragraph" w:styleId="Piedepgina">
    <w:name w:val="footer"/>
    <w:basedOn w:val="Normal"/>
    <w:link w:val="PiedepginaCar"/>
    <w:uiPriority w:val="99"/>
    <w:unhideWhenUsed/>
    <w:rsid w:val="00C0100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0100E"/>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C0100E"/>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C0100E"/>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C0100E"/>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C0100E"/>
    <w:rPr>
      <w:vertAlign w:val="superscript"/>
    </w:rPr>
  </w:style>
  <w:style w:type="table" w:styleId="Tablaconcuadrcula">
    <w:name w:val="Table Grid"/>
    <w:basedOn w:val="Tablanormal"/>
    <w:uiPriority w:val="39"/>
    <w:qFormat/>
    <w:rsid w:val="00C0100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C0100E"/>
    <w:pPr>
      <w:spacing w:line="240" w:lineRule="exact"/>
    </w:pPr>
    <w:rPr>
      <w:kern w:val="2"/>
      <w:vertAlign w:val="superscript"/>
      <w14:ligatures w14:val="standardContextual"/>
    </w:rPr>
  </w:style>
  <w:style w:type="table" w:customStyle="1" w:styleId="Tablaconcuadrcula11">
    <w:name w:val="Tabla con cuadrícula11"/>
    <w:basedOn w:val="Tablanormal"/>
    <w:next w:val="Tablaconcuadrcula"/>
    <w:uiPriority w:val="59"/>
    <w:qFormat/>
    <w:rsid w:val="00C0100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6167D3"/>
    <w:rPr>
      <w:color w:val="467886" w:themeColor="hyperlink"/>
      <w:u w:val="single"/>
    </w:rPr>
  </w:style>
  <w:style w:type="character" w:styleId="Mencinsinresolver">
    <w:name w:val="Unresolved Mention"/>
    <w:basedOn w:val="Fuentedeprrafopredeter"/>
    <w:uiPriority w:val="99"/>
    <w:semiHidden/>
    <w:unhideWhenUsed/>
    <w:rsid w:val="006167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847487">
      <w:bodyDiv w:val="1"/>
      <w:marLeft w:val="0"/>
      <w:marRight w:val="0"/>
      <w:marTop w:val="0"/>
      <w:marBottom w:val="0"/>
      <w:divBdr>
        <w:top w:val="none" w:sz="0" w:space="0" w:color="auto"/>
        <w:left w:val="none" w:sz="0" w:space="0" w:color="auto"/>
        <w:bottom w:val="none" w:sz="0" w:space="0" w:color="auto"/>
        <w:right w:val="none" w:sz="0" w:space="0" w:color="auto"/>
      </w:divBdr>
      <w:divsChild>
        <w:div w:id="1326934060">
          <w:marLeft w:val="0"/>
          <w:marRight w:val="0"/>
          <w:marTop w:val="0"/>
          <w:marBottom w:val="0"/>
          <w:divBdr>
            <w:top w:val="none" w:sz="0" w:space="0" w:color="auto"/>
            <w:left w:val="none" w:sz="0" w:space="0" w:color="auto"/>
            <w:bottom w:val="none" w:sz="0" w:space="0" w:color="auto"/>
            <w:right w:val="none" w:sz="0" w:space="0" w:color="auto"/>
          </w:divBdr>
        </w:div>
        <w:div w:id="232592442">
          <w:marLeft w:val="0"/>
          <w:marRight w:val="0"/>
          <w:marTop w:val="0"/>
          <w:marBottom w:val="0"/>
          <w:divBdr>
            <w:top w:val="none" w:sz="0" w:space="0" w:color="auto"/>
            <w:left w:val="none" w:sz="0" w:space="0" w:color="auto"/>
            <w:bottom w:val="none" w:sz="0" w:space="0" w:color="auto"/>
            <w:right w:val="none" w:sz="0" w:space="0" w:color="auto"/>
          </w:divBdr>
        </w:div>
        <w:div w:id="1880975693">
          <w:marLeft w:val="0"/>
          <w:marRight w:val="0"/>
          <w:marTop w:val="0"/>
          <w:marBottom w:val="0"/>
          <w:divBdr>
            <w:top w:val="none" w:sz="0" w:space="0" w:color="auto"/>
            <w:left w:val="none" w:sz="0" w:space="0" w:color="auto"/>
            <w:bottom w:val="none" w:sz="0" w:space="0" w:color="auto"/>
            <w:right w:val="none" w:sz="0" w:space="0" w:color="auto"/>
          </w:divBdr>
        </w:div>
        <w:div w:id="1503740742">
          <w:marLeft w:val="0"/>
          <w:marRight w:val="0"/>
          <w:marTop w:val="0"/>
          <w:marBottom w:val="0"/>
          <w:divBdr>
            <w:top w:val="none" w:sz="0" w:space="0" w:color="auto"/>
            <w:left w:val="none" w:sz="0" w:space="0" w:color="auto"/>
            <w:bottom w:val="none" w:sz="0" w:space="0" w:color="auto"/>
            <w:right w:val="none" w:sz="0" w:space="0" w:color="auto"/>
          </w:divBdr>
        </w:div>
        <w:div w:id="1695883470">
          <w:marLeft w:val="0"/>
          <w:marRight w:val="0"/>
          <w:marTop w:val="0"/>
          <w:marBottom w:val="0"/>
          <w:divBdr>
            <w:top w:val="none" w:sz="0" w:space="0" w:color="auto"/>
            <w:left w:val="none" w:sz="0" w:space="0" w:color="auto"/>
            <w:bottom w:val="none" w:sz="0" w:space="0" w:color="auto"/>
            <w:right w:val="none" w:sz="0" w:space="0" w:color="auto"/>
          </w:divBdr>
        </w:div>
      </w:divsChild>
    </w:div>
    <w:div w:id="731663011">
      <w:bodyDiv w:val="1"/>
      <w:marLeft w:val="0"/>
      <w:marRight w:val="0"/>
      <w:marTop w:val="0"/>
      <w:marBottom w:val="0"/>
      <w:divBdr>
        <w:top w:val="none" w:sz="0" w:space="0" w:color="auto"/>
        <w:left w:val="none" w:sz="0" w:space="0" w:color="auto"/>
        <w:bottom w:val="none" w:sz="0" w:space="0" w:color="auto"/>
        <w:right w:val="none" w:sz="0" w:space="0" w:color="auto"/>
      </w:divBdr>
      <w:divsChild>
        <w:div w:id="434248402">
          <w:marLeft w:val="0"/>
          <w:marRight w:val="0"/>
          <w:marTop w:val="0"/>
          <w:marBottom w:val="0"/>
          <w:divBdr>
            <w:top w:val="none" w:sz="0" w:space="0" w:color="auto"/>
            <w:left w:val="none" w:sz="0" w:space="0" w:color="auto"/>
            <w:bottom w:val="none" w:sz="0" w:space="0" w:color="auto"/>
            <w:right w:val="none" w:sz="0" w:space="0" w:color="auto"/>
          </w:divBdr>
        </w:div>
        <w:div w:id="1757707167">
          <w:marLeft w:val="0"/>
          <w:marRight w:val="0"/>
          <w:marTop w:val="0"/>
          <w:marBottom w:val="0"/>
          <w:divBdr>
            <w:top w:val="none" w:sz="0" w:space="0" w:color="auto"/>
            <w:left w:val="none" w:sz="0" w:space="0" w:color="auto"/>
            <w:bottom w:val="none" w:sz="0" w:space="0" w:color="auto"/>
            <w:right w:val="none" w:sz="0" w:space="0" w:color="auto"/>
          </w:divBdr>
        </w:div>
        <w:div w:id="701323614">
          <w:marLeft w:val="0"/>
          <w:marRight w:val="0"/>
          <w:marTop w:val="0"/>
          <w:marBottom w:val="0"/>
          <w:divBdr>
            <w:top w:val="none" w:sz="0" w:space="0" w:color="auto"/>
            <w:left w:val="none" w:sz="0" w:space="0" w:color="auto"/>
            <w:bottom w:val="none" w:sz="0" w:space="0" w:color="auto"/>
            <w:right w:val="none" w:sz="0" w:space="0" w:color="auto"/>
          </w:divBdr>
        </w:div>
        <w:div w:id="381095232">
          <w:marLeft w:val="0"/>
          <w:marRight w:val="0"/>
          <w:marTop w:val="0"/>
          <w:marBottom w:val="0"/>
          <w:divBdr>
            <w:top w:val="none" w:sz="0" w:space="0" w:color="auto"/>
            <w:left w:val="none" w:sz="0" w:space="0" w:color="auto"/>
            <w:bottom w:val="none" w:sz="0" w:space="0" w:color="auto"/>
            <w:right w:val="none" w:sz="0" w:space="0" w:color="auto"/>
          </w:divBdr>
        </w:div>
        <w:div w:id="17244491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normativa-y-relatoria%2Fdocumentos-tipo&amp;data=05%7C02%7Cmartha.romero%40colombiacompra.gov.co%7C603e1a9f513d4811571608dd8e333a73%7C7b09041e245149d08cb179d5e3d8c1be%7C0%7C0%7C638823072861893012%7CUnknown%7CTWFpbGZsb3d8eyJFbXB0eU1hcGkiOnRydWUsIlYiOiIwLjAuMDAwMCIsIlAiOiJXaW4zMiIsIkFOIjoiTWFpbCIsIldUIjoyfQ%3D%3D%7C0%7C%7C%7C&amp;sdata=ScEl%2FnKCWktzjW8VS59unVcQne%2F%2FqXqAtxR3ZDJA1Aw%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mailto:alexgomezpetro81@yahoo.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FD4CCE4-1E46-4FC3-A2BC-997DB8719C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5E5152-5A22-442F-B0A0-8D05D0DC1555}">
  <ds:schemaRefs>
    <ds:schemaRef ds:uri="http://schemas.microsoft.com/sharepoint/v3/contenttype/forms"/>
  </ds:schemaRefs>
</ds:datastoreItem>
</file>

<file path=customXml/itemProps3.xml><?xml version="1.0" encoding="utf-8"?>
<ds:datastoreItem xmlns:ds="http://schemas.openxmlformats.org/officeDocument/2006/customXml" ds:itemID="{A3D4B33A-1118-4FB0-B038-2C2F8A4DAC29}">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2641</Words>
  <Characters>14530</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Diana Carolina Blanco Rodriguez</cp:lastModifiedBy>
  <cp:revision>5</cp:revision>
  <dcterms:created xsi:type="dcterms:W3CDTF">2025-05-15T20:35:00Z</dcterms:created>
  <dcterms:modified xsi:type="dcterms:W3CDTF">2025-05-26T17:13:00Z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