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D55C8" w14:textId="77777777" w:rsidR="00D34196" w:rsidRDefault="00D34196" w:rsidP="00D34196">
      <w:pPr>
        <w:jc w:val="both"/>
        <w:rPr>
          <w:rFonts w:ascii="Arial" w:eastAsia="Calibri" w:hAnsi="Arial" w:cs="Arial"/>
          <w:b/>
          <w:sz w:val="22"/>
          <w:szCs w:val="22"/>
          <w:lang w:val="es-ES" w:eastAsia="en-US"/>
        </w:rPr>
      </w:pPr>
    </w:p>
    <w:p w14:paraId="7CA0B9A3" w14:textId="77777777" w:rsidR="00D34196" w:rsidRPr="00CF4B54" w:rsidRDefault="00D34196" w:rsidP="00D34196">
      <w:pPr>
        <w:jc w:val="both"/>
        <w:rPr>
          <w:rFonts w:ascii="Arial" w:eastAsia="Calibri" w:hAnsi="Arial" w:cs="Arial"/>
          <w:sz w:val="20"/>
          <w:szCs w:val="20"/>
          <w:lang w:val="es-ES" w:eastAsia="en-US"/>
        </w:rPr>
      </w:pPr>
      <w:r w:rsidRPr="00CF4B54">
        <w:rPr>
          <w:rFonts w:ascii="Arial" w:eastAsia="Calibri" w:hAnsi="Arial" w:cs="Arial"/>
          <w:b/>
          <w:sz w:val="20"/>
          <w:szCs w:val="20"/>
          <w:lang w:val="es-ES" w:eastAsia="en-US"/>
        </w:rPr>
        <w:t>EXPERIENCIA – Noción – Concepto</w:t>
      </w:r>
    </w:p>
    <w:p w14:paraId="3CFE9634" w14:textId="77777777" w:rsidR="00D34196" w:rsidRPr="00CF4B54" w:rsidRDefault="00D34196" w:rsidP="00D34196">
      <w:pPr>
        <w:jc w:val="both"/>
        <w:rPr>
          <w:rFonts w:ascii="Arial" w:eastAsia="Calibri" w:hAnsi="Arial" w:cs="Arial"/>
          <w:sz w:val="20"/>
          <w:szCs w:val="20"/>
          <w:lang w:val="es-ES" w:eastAsia="en-US"/>
        </w:rPr>
      </w:pPr>
    </w:p>
    <w:p w14:paraId="0DD529A0" w14:textId="77777777" w:rsidR="00D34196" w:rsidRPr="00CF4B54" w:rsidRDefault="00D34196" w:rsidP="00D34196">
      <w:pPr>
        <w:jc w:val="both"/>
        <w:rPr>
          <w:rFonts w:ascii="Arial" w:eastAsia="Calibri" w:hAnsi="Arial" w:cs="Arial"/>
          <w:sz w:val="20"/>
          <w:szCs w:val="20"/>
          <w:lang w:val="es-ES" w:eastAsia="en-US"/>
        </w:rPr>
      </w:pPr>
      <w:r w:rsidRPr="00CF4B54">
        <w:rPr>
          <w:rFonts w:ascii="Arial" w:eastAsia="Calibri" w:hAnsi="Arial" w:cs="Arial"/>
          <w:sz w:val="20"/>
          <w:szCs w:val="20"/>
          <w:lang w:val="es-ES" w:eastAsia="en-US"/>
        </w:rPr>
        <w:t>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 En ese sentido, la entidad, como responsable de la estructuración de su procedimiento de contratación, es autónoma para requerir la experiencia necesaria para el objeto del contrato, para lo cual, de acuerdo con el artículo 2.2.1.1.1.6.2. del Decreto 1082 de 2015, debe tener en cuenta el estudio del sector y sus componentes como la identificación de riesgos, el mercado y precio del bien, obra o servicio a contratar.</w:t>
      </w:r>
    </w:p>
    <w:p w14:paraId="45AAA5B5" w14:textId="77777777" w:rsidR="00D34196" w:rsidRPr="00CF4B54" w:rsidRDefault="00D34196" w:rsidP="00D34196">
      <w:pPr>
        <w:jc w:val="both"/>
        <w:rPr>
          <w:rFonts w:ascii="Arial" w:eastAsia="Calibri" w:hAnsi="Arial" w:cs="Arial"/>
          <w:sz w:val="20"/>
          <w:szCs w:val="20"/>
          <w:lang w:val="es-ES" w:eastAsia="en-US"/>
        </w:rPr>
      </w:pPr>
      <w:r w:rsidRPr="00CF4B54">
        <w:rPr>
          <w:rFonts w:ascii="Arial" w:eastAsia="Calibri" w:hAnsi="Arial" w:cs="Arial"/>
          <w:sz w:val="20"/>
          <w:szCs w:val="20"/>
          <w:lang w:val="es-ES" w:eastAsia="en-US"/>
        </w:rPr>
        <w:t>[…]</w:t>
      </w:r>
    </w:p>
    <w:p w14:paraId="3EA3EEA4" w14:textId="77777777" w:rsidR="00D34196" w:rsidRPr="00CF4B54" w:rsidRDefault="00D34196" w:rsidP="00D34196">
      <w:pPr>
        <w:jc w:val="both"/>
        <w:rPr>
          <w:rFonts w:ascii="Arial" w:eastAsia="Calibri" w:hAnsi="Arial" w:cs="Arial"/>
          <w:sz w:val="20"/>
          <w:szCs w:val="20"/>
          <w:lang w:val="es-ES" w:eastAsia="en-US"/>
        </w:rPr>
      </w:pPr>
      <w:r w:rsidRPr="00CF4B54">
        <w:rPr>
          <w:rFonts w:ascii="Arial" w:eastAsia="Calibri" w:hAnsi="Arial" w:cs="Arial"/>
          <w:sz w:val="20"/>
          <w:szCs w:val="20"/>
          <w:lang w:val="es-ES" w:eastAsia="en-US"/>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w:t>
      </w:r>
    </w:p>
    <w:p w14:paraId="3206D3E8" w14:textId="77777777" w:rsidR="00D34196" w:rsidRPr="00CF4B54" w:rsidRDefault="00D34196" w:rsidP="00D34196">
      <w:pPr>
        <w:jc w:val="both"/>
        <w:rPr>
          <w:rFonts w:ascii="Arial" w:eastAsia="Calibri" w:hAnsi="Arial" w:cs="Arial"/>
          <w:b/>
          <w:sz w:val="20"/>
          <w:szCs w:val="20"/>
          <w:lang w:val="es-ES" w:eastAsia="en-US"/>
        </w:rPr>
      </w:pPr>
    </w:p>
    <w:p w14:paraId="4AFC4C50" w14:textId="77777777" w:rsidR="00D34196" w:rsidRPr="00CF4B54" w:rsidRDefault="00D34196" w:rsidP="00D34196">
      <w:pPr>
        <w:jc w:val="both"/>
        <w:rPr>
          <w:rFonts w:ascii="Arial" w:eastAsia="Calibri" w:hAnsi="Arial" w:cs="Arial"/>
          <w:b/>
          <w:sz w:val="20"/>
          <w:szCs w:val="20"/>
          <w:lang w:val="es-ES" w:eastAsia="en-US"/>
        </w:rPr>
      </w:pPr>
      <w:r w:rsidRPr="00CF4B54">
        <w:rPr>
          <w:rFonts w:ascii="Arial" w:eastAsia="Calibri" w:hAnsi="Arial" w:cs="Arial"/>
          <w:b/>
          <w:sz w:val="20"/>
          <w:szCs w:val="20"/>
          <w:lang w:val="es-ES" w:eastAsia="en-US"/>
        </w:rPr>
        <w:t>SOCIEDADES NUEVAS ‒ Experiencia ‒ Inferior a tres años ‒ Requisitos habilitantes ‒ Desarrollo de la empresa</w:t>
      </w:r>
    </w:p>
    <w:p w14:paraId="4C087B85" w14:textId="77777777" w:rsidR="00D34196" w:rsidRPr="00CF4B54" w:rsidRDefault="00D34196" w:rsidP="00D34196">
      <w:pPr>
        <w:jc w:val="both"/>
        <w:rPr>
          <w:rFonts w:ascii="Arial" w:eastAsia="Calibri" w:hAnsi="Arial" w:cs="Arial"/>
          <w:sz w:val="20"/>
          <w:szCs w:val="20"/>
          <w:lang w:val="es-ES" w:eastAsia="en-US"/>
        </w:rPr>
      </w:pPr>
    </w:p>
    <w:p w14:paraId="7C776AB7" w14:textId="77777777" w:rsidR="00D34196" w:rsidRPr="00CF4B54" w:rsidRDefault="00D34196" w:rsidP="00D34196">
      <w:pPr>
        <w:spacing w:after="120"/>
        <w:jc w:val="both"/>
        <w:rPr>
          <w:rFonts w:ascii="Arial" w:eastAsia="Calibri" w:hAnsi="Arial" w:cs="Arial"/>
          <w:sz w:val="20"/>
          <w:szCs w:val="20"/>
          <w:lang w:val="es-ES" w:eastAsia="en-US"/>
        </w:rPr>
      </w:pPr>
      <w:r w:rsidRPr="00CF4B54">
        <w:rPr>
          <w:rFonts w:ascii="Arial" w:eastAsia="Calibri" w:hAnsi="Arial" w:cs="Arial"/>
          <w:sz w:val="20"/>
          <w:szCs w:val="20"/>
          <w:lang w:val="es-ES" w:eastAsia="en-US"/>
        </w:rPr>
        <w:t>[…] 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 […]</w:t>
      </w:r>
    </w:p>
    <w:p w14:paraId="0C45E0AD" w14:textId="77777777" w:rsidR="00D34196" w:rsidRPr="00CF4B54" w:rsidRDefault="00D34196" w:rsidP="00D34196">
      <w:pPr>
        <w:jc w:val="both"/>
        <w:rPr>
          <w:rFonts w:ascii="Arial" w:eastAsia="Calibri" w:hAnsi="Arial" w:cs="Arial"/>
          <w:sz w:val="20"/>
          <w:szCs w:val="20"/>
          <w:lang w:val="es-ES" w:eastAsia="en-US"/>
        </w:rPr>
      </w:pPr>
      <w:r w:rsidRPr="00CF4B54">
        <w:rPr>
          <w:rFonts w:ascii="Arial" w:eastAsia="Calibri" w:hAnsi="Arial" w:cs="Arial"/>
          <w:sz w:val="20"/>
          <w:szCs w:val="20"/>
          <w:lang w:val="es-ES" w:eastAsia="en-US"/>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que establezcan las entidades estatales en sus procesos de contratación, y de esta forma promover el desarrollo de la empresa y la pluralidad de oferentes en la contratación pública.</w:t>
      </w:r>
    </w:p>
    <w:p w14:paraId="6FC8F96D" w14:textId="77777777" w:rsidR="00D34196" w:rsidRPr="00CF4B54" w:rsidRDefault="00D34196" w:rsidP="00D34196">
      <w:pPr>
        <w:jc w:val="both"/>
        <w:rPr>
          <w:rFonts w:ascii="Arial" w:eastAsia="Calibri" w:hAnsi="Arial" w:cs="Arial"/>
          <w:b/>
          <w:sz w:val="20"/>
          <w:szCs w:val="20"/>
          <w:lang w:val="es-ES" w:eastAsia="en-US"/>
        </w:rPr>
      </w:pPr>
    </w:p>
    <w:p w14:paraId="0C15CDBA" w14:textId="77777777" w:rsidR="00D34196" w:rsidRPr="00CF4B54" w:rsidRDefault="00D34196" w:rsidP="00D34196">
      <w:pPr>
        <w:jc w:val="both"/>
        <w:rPr>
          <w:rFonts w:ascii="Arial" w:eastAsia="Calibri" w:hAnsi="Arial" w:cs="Arial"/>
          <w:b/>
          <w:bCs/>
          <w:sz w:val="20"/>
          <w:szCs w:val="20"/>
          <w:lang w:val="es-ES" w:eastAsia="en-US"/>
        </w:rPr>
      </w:pPr>
      <w:r w:rsidRPr="00CF4B54">
        <w:rPr>
          <w:rFonts w:ascii="Arial" w:eastAsia="Calibri" w:hAnsi="Arial" w:cs="Arial"/>
          <w:b/>
          <w:bCs/>
          <w:sz w:val="20"/>
          <w:szCs w:val="20"/>
          <w:lang w:val="es-ES" w:eastAsia="en-US"/>
        </w:rPr>
        <w:t>EXPERIENCIA ‒ Conservación ‒ Renovación RUP ‒ Cesación efectos RUP</w:t>
      </w:r>
    </w:p>
    <w:p w14:paraId="3B820740" w14:textId="77777777" w:rsidR="00D34196" w:rsidRPr="00CF4B54" w:rsidRDefault="00D34196" w:rsidP="00D34196">
      <w:pPr>
        <w:jc w:val="both"/>
        <w:rPr>
          <w:rFonts w:ascii="Arial" w:eastAsia="Calibri" w:hAnsi="Arial" w:cs="Arial"/>
          <w:sz w:val="20"/>
          <w:szCs w:val="20"/>
          <w:lang w:val="es-ES" w:eastAsia="en-US"/>
        </w:rPr>
      </w:pPr>
    </w:p>
    <w:p w14:paraId="065D0250" w14:textId="77777777" w:rsidR="00D34196" w:rsidRPr="00CF4B54" w:rsidRDefault="00D34196" w:rsidP="00D34196">
      <w:pPr>
        <w:jc w:val="both"/>
        <w:rPr>
          <w:rFonts w:ascii="Arial" w:eastAsia="Calibri" w:hAnsi="Arial" w:cs="Arial"/>
          <w:sz w:val="20"/>
          <w:szCs w:val="20"/>
          <w:lang w:val="es-ES" w:eastAsia="en-US"/>
        </w:rPr>
      </w:pPr>
      <w:r w:rsidRPr="00CF4B54">
        <w:rPr>
          <w:rFonts w:ascii="Arial" w:eastAsia="Calibri" w:hAnsi="Arial" w:cs="Arial"/>
          <w:sz w:val="20"/>
          <w:szCs w:val="20"/>
          <w:lang w:val="es-ES" w:eastAsia="en-US"/>
        </w:rPr>
        <w:t>[…] si la persona jurídica con menos de tres años de constituida registra la experiencia de sus socios en el RUP, y este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392E654B" w14:textId="77777777" w:rsidR="00D34196" w:rsidRPr="00CF4B54" w:rsidRDefault="00D34196" w:rsidP="00D34196">
      <w:pPr>
        <w:jc w:val="both"/>
        <w:rPr>
          <w:rFonts w:ascii="Arial" w:eastAsia="Calibri" w:hAnsi="Arial" w:cs="Arial"/>
          <w:sz w:val="20"/>
          <w:szCs w:val="20"/>
          <w:lang w:val="es-ES" w:eastAsia="en-US"/>
        </w:rPr>
      </w:pPr>
    </w:p>
    <w:p w14:paraId="105E60C8" w14:textId="2CED2D90" w:rsidR="00D34196" w:rsidRDefault="00D34196" w:rsidP="00D34196">
      <w:pPr>
        <w:rPr>
          <w:rFonts w:ascii="Arial" w:eastAsia="Calibri" w:hAnsi="Arial" w:cs="Arial"/>
          <w:b/>
          <w:bCs/>
          <w:sz w:val="20"/>
          <w:szCs w:val="20"/>
          <w:lang w:val="es-ES" w:eastAsia="en-US"/>
        </w:rPr>
      </w:pPr>
    </w:p>
    <w:p w14:paraId="21F9BF83" w14:textId="70059B4C" w:rsidR="00E66821" w:rsidRDefault="00E66821" w:rsidP="00D34196">
      <w:pPr>
        <w:rPr>
          <w:rFonts w:ascii="Arial" w:eastAsia="Calibri" w:hAnsi="Arial" w:cs="Arial"/>
          <w:b/>
          <w:bCs/>
          <w:sz w:val="20"/>
          <w:szCs w:val="20"/>
          <w:lang w:val="es-ES" w:eastAsia="en-US"/>
        </w:rPr>
      </w:pPr>
    </w:p>
    <w:p w14:paraId="2223A673" w14:textId="4CB55CB9" w:rsidR="00E66821" w:rsidRDefault="00E66821" w:rsidP="00D34196">
      <w:pPr>
        <w:rPr>
          <w:rFonts w:ascii="Arial" w:eastAsia="Calibri" w:hAnsi="Arial" w:cs="Arial"/>
          <w:b/>
          <w:bCs/>
          <w:sz w:val="20"/>
          <w:szCs w:val="20"/>
          <w:lang w:val="es-ES" w:eastAsia="en-US"/>
        </w:rPr>
      </w:pPr>
    </w:p>
    <w:p w14:paraId="62A8B24F" w14:textId="0F060336" w:rsidR="00E74919" w:rsidRPr="00E74919" w:rsidRDefault="00E74919" w:rsidP="00E74919">
      <w:pPr>
        <w:jc w:val="right"/>
        <w:rPr>
          <w:lang w:eastAsia="es-MX"/>
        </w:rPr>
      </w:pPr>
      <w:r w:rsidRPr="00E74919">
        <w:rPr>
          <w:lang w:eastAsia="es-MX"/>
        </w:rPr>
        <w:lastRenderedPageBreak/>
        <w:fldChar w:fldCharType="begin"/>
      </w:r>
      <w:r w:rsidRPr="00E74919">
        <w:rPr>
          <w:lang w:eastAsia="es-MX"/>
        </w:rPr>
        <w:instrText xml:space="preserve"> INCLUDEPICTURE "/var/folders/tb/0fmk9b510f57pz5rwhv8lnpw0000gp/T/com.microsoft.Word/WebArchiveCopyPasteTempFiles/page1image21416800" \* MERGEFORMATINET </w:instrText>
      </w:r>
      <w:r w:rsidRPr="00E74919">
        <w:rPr>
          <w:lang w:eastAsia="es-MX"/>
        </w:rPr>
        <w:fldChar w:fldCharType="separate"/>
      </w:r>
      <w:r w:rsidRPr="00E74919">
        <w:rPr>
          <w:noProof/>
          <w:lang w:eastAsia="es-MX"/>
        </w:rPr>
        <w:drawing>
          <wp:inline distT="0" distB="0" distL="0" distR="0" wp14:anchorId="356E470E" wp14:editId="3FD95105">
            <wp:extent cx="2401570" cy="605790"/>
            <wp:effectExtent l="0" t="0" r="0" b="3810"/>
            <wp:docPr id="3" name="Imagen 3" descr="page1image21416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141680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1570" cy="605790"/>
                    </a:xfrm>
                    <a:prstGeom prst="rect">
                      <a:avLst/>
                    </a:prstGeom>
                    <a:noFill/>
                    <a:ln>
                      <a:noFill/>
                    </a:ln>
                  </pic:spPr>
                </pic:pic>
              </a:graphicData>
            </a:graphic>
          </wp:inline>
        </w:drawing>
      </w:r>
      <w:r w:rsidRPr="00E74919">
        <w:rPr>
          <w:lang w:eastAsia="es-MX"/>
        </w:rPr>
        <w:fldChar w:fldCharType="end"/>
      </w:r>
    </w:p>
    <w:p w14:paraId="64B301F7" w14:textId="77777777" w:rsidR="00E66821" w:rsidRDefault="00E66821" w:rsidP="00D34196">
      <w:pPr>
        <w:rPr>
          <w:rFonts w:ascii="Arial" w:hAnsi="Arial" w:cs="Arial"/>
          <w:bCs/>
          <w:color w:val="000000" w:themeColor="text1"/>
          <w:sz w:val="22"/>
          <w:lang w:val="es-ES"/>
        </w:rPr>
      </w:pPr>
    </w:p>
    <w:p w14:paraId="712A944F" w14:textId="52C7C12A" w:rsidR="00D34196" w:rsidRDefault="00837002" w:rsidP="00D34196">
      <w:pPr>
        <w:rPr>
          <w:rFonts w:ascii="Arial" w:hAnsi="Arial" w:cs="Arial"/>
          <w:bCs/>
          <w:color w:val="000000" w:themeColor="text1"/>
          <w:sz w:val="22"/>
          <w:lang w:val="es-ES"/>
        </w:rPr>
      </w:pPr>
      <w:r>
        <w:rPr>
          <w:rFonts w:ascii="Arial" w:hAnsi="Arial" w:cs="Arial"/>
          <w:bCs/>
          <w:color w:val="000000" w:themeColor="text1"/>
          <w:sz w:val="22"/>
          <w:lang w:val="es-ES"/>
        </w:rPr>
        <w:t>Bogotá, D.C</w:t>
      </w:r>
      <w:r w:rsidR="00CF4B54">
        <w:rPr>
          <w:rFonts w:ascii="Arial" w:hAnsi="Arial" w:cs="Arial"/>
          <w:bCs/>
          <w:color w:val="000000" w:themeColor="text1"/>
          <w:sz w:val="22"/>
          <w:lang w:val="es-ES"/>
        </w:rPr>
        <w:t>.</w:t>
      </w:r>
      <w:r w:rsidR="001574F7">
        <w:rPr>
          <w:rFonts w:ascii="Arial" w:hAnsi="Arial" w:cs="Arial"/>
          <w:bCs/>
          <w:color w:val="000000" w:themeColor="text1"/>
          <w:sz w:val="22"/>
          <w:lang w:val="es-ES"/>
        </w:rPr>
        <w:t>, 19 de julio de 2022</w:t>
      </w:r>
    </w:p>
    <w:p w14:paraId="175DAC1D" w14:textId="7FA0A395" w:rsidR="00837002" w:rsidRDefault="00837002" w:rsidP="00D34196">
      <w:pPr>
        <w:rPr>
          <w:rFonts w:ascii="Arial" w:hAnsi="Arial" w:cs="Arial"/>
          <w:bCs/>
          <w:color w:val="000000" w:themeColor="text1"/>
          <w:sz w:val="22"/>
          <w:lang w:val="es-ES"/>
        </w:rPr>
      </w:pPr>
    </w:p>
    <w:p w14:paraId="50B07D2B" w14:textId="77777777" w:rsidR="00837002" w:rsidRDefault="00837002" w:rsidP="00D34196">
      <w:pPr>
        <w:rPr>
          <w:rFonts w:ascii="Arial" w:hAnsi="Arial" w:cs="Arial"/>
          <w:bCs/>
          <w:color w:val="000000" w:themeColor="text1"/>
          <w:sz w:val="22"/>
          <w:lang w:val="es-ES"/>
        </w:rPr>
      </w:pPr>
    </w:p>
    <w:p w14:paraId="098894D6" w14:textId="63924563" w:rsidR="00D34196" w:rsidRDefault="00D34196" w:rsidP="00D34196">
      <w:pPr>
        <w:rPr>
          <w:rFonts w:ascii="Arial" w:hAnsi="Arial" w:cs="Arial"/>
          <w:bCs/>
          <w:color w:val="000000" w:themeColor="text1"/>
          <w:sz w:val="22"/>
          <w:lang w:val="es-ES"/>
        </w:rPr>
      </w:pPr>
      <w:r>
        <w:rPr>
          <w:rFonts w:ascii="Arial" w:hAnsi="Arial" w:cs="Arial"/>
          <w:bCs/>
          <w:color w:val="000000" w:themeColor="text1"/>
          <w:sz w:val="22"/>
          <w:lang w:val="es-ES"/>
        </w:rPr>
        <w:t>Señor</w:t>
      </w:r>
    </w:p>
    <w:p w14:paraId="7D7CDCAC" w14:textId="72378205" w:rsidR="00161326" w:rsidRDefault="00161326" w:rsidP="00D34196">
      <w:pPr>
        <w:rPr>
          <w:rFonts w:ascii="Arial" w:hAnsi="Arial" w:cs="Arial"/>
          <w:b/>
          <w:color w:val="000000" w:themeColor="text1"/>
          <w:sz w:val="22"/>
          <w:lang w:val="es-ES"/>
        </w:rPr>
      </w:pPr>
      <w:r>
        <w:rPr>
          <w:rFonts w:ascii="Arial" w:hAnsi="Arial" w:cs="Arial"/>
          <w:b/>
          <w:color w:val="000000" w:themeColor="text1"/>
          <w:sz w:val="22"/>
          <w:lang w:val="es-ES"/>
        </w:rPr>
        <w:t xml:space="preserve">Raúl Camilo Quintero </w:t>
      </w:r>
      <w:r w:rsidR="00D84D7B">
        <w:rPr>
          <w:rFonts w:ascii="Arial" w:hAnsi="Arial" w:cs="Arial"/>
          <w:b/>
          <w:color w:val="000000" w:themeColor="text1"/>
          <w:sz w:val="22"/>
          <w:lang w:val="es-ES"/>
        </w:rPr>
        <w:t>Blanco</w:t>
      </w:r>
    </w:p>
    <w:p w14:paraId="5683EF3A" w14:textId="06BBB672" w:rsidR="00D84D7B" w:rsidRPr="00D84D7B" w:rsidRDefault="00D84D7B" w:rsidP="00D34196">
      <w:pPr>
        <w:rPr>
          <w:rFonts w:ascii="Arial" w:hAnsi="Arial" w:cs="Arial"/>
          <w:bCs/>
          <w:color w:val="000000" w:themeColor="text1"/>
          <w:sz w:val="22"/>
          <w:lang w:val="es-ES"/>
        </w:rPr>
      </w:pPr>
      <w:r w:rsidRPr="00D84D7B">
        <w:rPr>
          <w:rFonts w:ascii="Arial" w:hAnsi="Arial" w:cs="Arial"/>
          <w:bCs/>
          <w:color w:val="000000" w:themeColor="text1"/>
          <w:sz w:val="22"/>
          <w:lang w:val="es-ES"/>
        </w:rPr>
        <w:t xml:space="preserve">Tunja, Boyacá </w:t>
      </w:r>
    </w:p>
    <w:p w14:paraId="10A92D79" w14:textId="77777777" w:rsidR="00D34196" w:rsidRPr="00071199" w:rsidRDefault="00D34196" w:rsidP="00D34196">
      <w:pPr>
        <w:jc w:val="both"/>
        <w:rPr>
          <w:rFonts w:ascii="Arial" w:hAnsi="Arial" w:cs="Arial"/>
          <w:b/>
          <w:color w:val="000000" w:themeColor="text1"/>
          <w:sz w:val="22"/>
          <w:lang w:val="es-ES"/>
        </w:rPr>
      </w:pPr>
    </w:p>
    <w:p w14:paraId="454231CE" w14:textId="77777777" w:rsidR="00D34196" w:rsidRPr="00071199" w:rsidRDefault="00D34196" w:rsidP="00D34196">
      <w:pPr>
        <w:jc w:val="both"/>
        <w:rPr>
          <w:rFonts w:ascii="Arial" w:eastAsia="Calibri" w:hAnsi="Arial" w:cs="Arial"/>
          <w:color w:val="000000" w:themeColor="text1"/>
          <w:sz w:val="22"/>
          <w:lang w:val="es-ES"/>
        </w:rPr>
      </w:pPr>
    </w:p>
    <w:p w14:paraId="177D842E" w14:textId="77B8CEEF" w:rsidR="00D34196" w:rsidRPr="00071199" w:rsidRDefault="00D34196" w:rsidP="00D34196">
      <w:pPr>
        <w:rPr>
          <w:rFonts w:ascii="Arial" w:eastAsia="Calibri" w:hAnsi="Arial" w:cs="Arial"/>
          <w:b/>
          <w:bCs/>
          <w:color w:val="000000" w:themeColor="text1"/>
          <w:sz w:val="22"/>
          <w:lang w:val="es-ES"/>
        </w:rPr>
      </w:pPr>
      <w:r w:rsidRPr="00071199">
        <w:rPr>
          <w:rFonts w:ascii="Arial" w:eastAsia="Calibri" w:hAnsi="Arial" w:cs="Arial"/>
          <w:b/>
          <w:bCs/>
          <w:color w:val="000000" w:themeColor="text1"/>
          <w:sz w:val="22"/>
          <w:lang w:val="es-ES"/>
        </w:rPr>
        <w:t xml:space="preserve">                                            Concepto C ‒ </w:t>
      </w:r>
      <w:r w:rsidR="00837002">
        <w:rPr>
          <w:rFonts w:ascii="Arial" w:eastAsia="Calibri" w:hAnsi="Arial" w:cs="Arial"/>
          <w:b/>
          <w:bCs/>
          <w:color w:val="000000" w:themeColor="text1"/>
          <w:sz w:val="22"/>
          <w:lang w:val="es-ES"/>
        </w:rPr>
        <w:t>447</w:t>
      </w:r>
      <w:r>
        <w:rPr>
          <w:rFonts w:ascii="Arial" w:eastAsia="Calibri" w:hAnsi="Arial" w:cs="Arial"/>
          <w:b/>
          <w:bCs/>
          <w:color w:val="000000" w:themeColor="text1"/>
          <w:sz w:val="22"/>
          <w:lang w:val="es-ES"/>
        </w:rPr>
        <w:t xml:space="preserve"> </w:t>
      </w:r>
      <w:r w:rsidRPr="00071199">
        <w:rPr>
          <w:rFonts w:ascii="Arial" w:eastAsia="Calibri" w:hAnsi="Arial" w:cs="Arial"/>
          <w:b/>
          <w:bCs/>
          <w:color w:val="000000" w:themeColor="text1"/>
          <w:sz w:val="22"/>
          <w:lang w:val="es-ES"/>
        </w:rPr>
        <w:t>de 202</w:t>
      </w:r>
      <w:r w:rsidR="00837002">
        <w:rPr>
          <w:rFonts w:ascii="Arial" w:eastAsia="Calibri" w:hAnsi="Arial" w:cs="Arial"/>
          <w:b/>
          <w:bCs/>
          <w:color w:val="000000" w:themeColor="text1"/>
          <w:sz w:val="22"/>
          <w:lang w:val="es-ES"/>
        </w:rPr>
        <w:t>2</w:t>
      </w:r>
    </w:p>
    <w:p w14:paraId="4544921B" w14:textId="77777777" w:rsidR="00D34196" w:rsidRPr="00071199" w:rsidRDefault="00D34196" w:rsidP="00D34196">
      <w:pPr>
        <w:jc w:val="both"/>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34196" w:rsidRPr="00071199" w14:paraId="6B548809" w14:textId="77777777" w:rsidTr="004C501B">
        <w:tc>
          <w:tcPr>
            <w:tcW w:w="2689" w:type="dxa"/>
          </w:tcPr>
          <w:p w14:paraId="72A5F4E4" w14:textId="77777777" w:rsidR="00D34196" w:rsidRPr="00071199" w:rsidRDefault="00D34196" w:rsidP="004C501B">
            <w:pPr>
              <w:jc w:val="both"/>
              <w:rPr>
                <w:rFonts w:ascii="Arial" w:eastAsia="Calibri" w:hAnsi="Arial" w:cs="Arial"/>
                <w:color w:val="000000" w:themeColor="text1"/>
                <w:sz w:val="22"/>
                <w:lang w:val="es-ES"/>
              </w:rPr>
            </w:pPr>
            <w:r w:rsidRPr="00071199">
              <w:rPr>
                <w:rFonts w:ascii="Arial" w:eastAsia="Calibri" w:hAnsi="Arial" w:cs="Arial"/>
                <w:b/>
                <w:color w:val="000000" w:themeColor="text1"/>
                <w:sz w:val="22"/>
                <w:lang w:val="es-ES"/>
              </w:rPr>
              <w:t>Temas:</w:t>
            </w:r>
            <w:r w:rsidRPr="00071199">
              <w:rPr>
                <w:rFonts w:ascii="Arial" w:eastAsia="Calibri" w:hAnsi="Arial" w:cs="Arial"/>
                <w:color w:val="000000" w:themeColor="text1"/>
                <w:sz w:val="22"/>
                <w:lang w:val="es-ES"/>
              </w:rPr>
              <w:t xml:space="preserve">                                      </w:t>
            </w:r>
          </w:p>
        </w:tc>
        <w:tc>
          <w:tcPr>
            <w:tcW w:w="6237" w:type="dxa"/>
          </w:tcPr>
          <w:p w14:paraId="0E26388F" w14:textId="6E4F147C" w:rsidR="00D34196" w:rsidRPr="00123704" w:rsidRDefault="00D34196" w:rsidP="00E66821">
            <w:pPr>
              <w:jc w:val="both"/>
              <w:rPr>
                <w:rFonts w:ascii="Arial" w:eastAsia="Calibri" w:hAnsi="Arial" w:cs="Arial"/>
                <w:color w:val="000000" w:themeColor="text1"/>
                <w:sz w:val="22"/>
                <w:highlight w:val="yellow"/>
                <w:lang w:val="es-ES"/>
              </w:rPr>
            </w:pPr>
            <w:r w:rsidRPr="00255BA1">
              <w:rPr>
                <w:rFonts w:ascii="Arial" w:eastAsia="Arial" w:hAnsi="Arial" w:cs="Arial"/>
                <w:sz w:val="22"/>
                <w:szCs w:val="22"/>
                <w:lang w:val="es-ES" w:eastAsia="en-US"/>
              </w:rPr>
              <w:t xml:space="preserve">EXPERIENCIA – Noción – Concepto / SOCIEDADES NUEVAS ‒ Experiencia ‒ Inferior a tres años ‒ Requisitos habilitantes ‒ Desarrollo de la empresa / EXPERIENCIA ‒ Conservación ‒ Renovación RUP ‒ Cesación efectos RUP </w:t>
            </w:r>
          </w:p>
        </w:tc>
      </w:tr>
      <w:tr w:rsidR="00D34196" w:rsidRPr="00071199" w14:paraId="21ABBA24" w14:textId="77777777" w:rsidTr="004C501B">
        <w:tc>
          <w:tcPr>
            <w:tcW w:w="2689" w:type="dxa"/>
          </w:tcPr>
          <w:p w14:paraId="24F3A30E" w14:textId="77777777" w:rsidR="00D34196" w:rsidRPr="00071199" w:rsidRDefault="00D34196" w:rsidP="004C501B">
            <w:pPr>
              <w:spacing w:before="120"/>
              <w:jc w:val="both"/>
              <w:rPr>
                <w:rFonts w:ascii="Arial" w:eastAsia="Calibri" w:hAnsi="Arial" w:cs="Arial"/>
                <w:b/>
                <w:color w:val="000000" w:themeColor="text1"/>
                <w:sz w:val="22"/>
                <w:lang w:val="es-ES"/>
              </w:rPr>
            </w:pPr>
            <w:r w:rsidRPr="00071199">
              <w:rPr>
                <w:rFonts w:ascii="Arial" w:eastAsia="Calibri" w:hAnsi="Arial" w:cs="Arial"/>
                <w:b/>
                <w:color w:val="000000" w:themeColor="text1"/>
                <w:sz w:val="22"/>
                <w:lang w:val="es-ES"/>
              </w:rPr>
              <w:t>Radicación:</w:t>
            </w:r>
            <w:r w:rsidRPr="00071199">
              <w:rPr>
                <w:rFonts w:ascii="Arial" w:eastAsia="Calibri" w:hAnsi="Arial" w:cs="Arial"/>
                <w:color w:val="000000" w:themeColor="text1"/>
                <w:sz w:val="22"/>
                <w:lang w:val="es-ES"/>
              </w:rPr>
              <w:t xml:space="preserve">                              </w:t>
            </w:r>
          </w:p>
        </w:tc>
        <w:tc>
          <w:tcPr>
            <w:tcW w:w="6237" w:type="dxa"/>
          </w:tcPr>
          <w:p w14:paraId="31C30536" w14:textId="6E378911" w:rsidR="00D34196" w:rsidRPr="00071199" w:rsidRDefault="00D34196" w:rsidP="004C501B">
            <w:pPr>
              <w:spacing w:before="120"/>
              <w:jc w:val="both"/>
              <w:rPr>
                <w:rFonts w:ascii="Arial" w:eastAsia="Calibri" w:hAnsi="Arial" w:cs="Arial"/>
                <w:color w:val="000000" w:themeColor="text1"/>
                <w:sz w:val="22"/>
                <w:lang w:val="es-ES"/>
              </w:rPr>
            </w:pPr>
            <w:r w:rsidRPr="00071199">
              <w:rPr>
                <w:rFonts w:ascii="Arial" w:eastAsia="Arial" w:hAnsi="Arial" w:cs="Arial"/>
                <w:sz w:val="22"/>
                <w:szCs w:val="22"/>
                <w:lang w:val="es-ES" w:eastAsia="en-US"/>
              </w:rPr>
              <w:t xml:space="preserve">Respuesta a consulta </w:t>
            </w:r>
            <w:r w:rsidR="00161326" w:rsidRPr="00161326">
              <w:rPr>
                <w:rFonts w:ascii="Arial" w:eastAsia="Arial" w:hAnsi="Arial" w:cs="Arial"/>
                <w:sz w:val="22"/>
                <w:szCs w:val="22"/>
                <w:lang w:val="es-ES" w:eastAsia="en-US"/>
              </w:rPr>
              <w:t>P20220603005515</w:t>
            </w:r>
          </w:p>
        </w:tc>
      </w:tr>
    </w:tbl>
    <w:p w14:paraId="5410C288" w14:textId="77777777" w:rsidR="00D34196" w:rsidRPr="00071199" w:rsidRDefault="00D34196" w:rsidP="00D34196">
      <w:pPr>
        <w:jc w:val="both"/>
        <w:rPr>
          <w:rFonts w:ascii="Arial" w:eastAsia="Calibri" w:hAnsi="Arial" w:cs="Arial"/>
          <w:color w:val="000000" w:themeColor="text1"/>
          <w:sz w:val="22"/>
          <w:lang w:val="es-ES"/>
        </w:rPr>
      </w:pPr>
    </w:p>
    <w:p w14:paraId="2203B1E0" w14:textId="77777777" w:rsidR="00D34196" w:rsidRPr="00071199" w:rsidRDefault="00D34196" w:rsidP="00D34196">
      <w:pPr>
        <w:jc w:val="both"/>
        <w:rPr>
          <w:rFonts w:ascii="Arial" w:eastAsia="Calibri" w:hAnsi="Arial" w:cs="Arial"/>
          <w:color w:val="000000" w:themeColor="text1"/>
          <w:sz w:val="22"/>
          <w:lang w:val="es-ES"/>
        </w:rPr>
      </w:pPr>
    </w:p>
    <w:p w14:paraId="02CBA962" w14:textId="7E96974E" w:rsidR="00D34196" w:rsidRPr="00071199" w:rsidRDefault="00D34196" w:rsidP="00D34196">
      <w:pPr>
        <w:jc w:val="both"/>
        <w:rPr>
          <w:rFonts w:ascii="Arial" w:eastAsia="Calibri" w:hAnsi="Arial" w:cs="Arial"/>
          <w:color w:val="000000" w:themeColor="text1"/>
          <w:sz w:val="22"/>
          <w:lang w:val="es-ES"/>
        </w:rPr>
      </w:pPr>
      <w:r w:rsidRPr="00071199">
        <w:rPr>
          <w:rFonts w:ascii="Arial" w:eastAsia="Calibri" w:hAnsi="Arial" w:cs="Arial"/>
          <w:color w:val="000000" w:themeColor="text1"/>
          <w:sz w:val="22"/>
          <w:lang w:val="es-ES"/>
        </w:rPr>
        <w:t>Estimad</w:t>
      </w:r>
      <w:r w:rsidR="00D84D7B">
        <w:rPr>
          <w:rFonts w:ascii="Arial" w:eastAsia="Calibri" w:hAnsi="Arial" w:cs="Arial"/>
          <w:color w:val="000000" w:themeColor="text1"/>
          <w:sz w:val="22"/>
          <w:lang w:val="es-ES"/>
        </w:rPr>
        <w:t>o Señor Quintero:</w:t>
      </w:r>
    </w:p>
    <w:p w14:paraId="5A2DC142" w14:textId="77777777" w:rsidR="00D34196" w:rsidRPr="00071199" w:rsidRDefault="00D34196" w:rsidP="00D34196">
      <w:pPr>
        <w:jc w:val="both"/>
        <w:rPr>
          <w:rFonts w:ascii="Arial" w:eastAsia="Calibri" w:hAnsi="Arial" w:cs="Arial"/>
          <w:color w:val="000000" w:themeColor="text1"/>
          <w:sz w:val="22"/>
          <w:lang w:val="es-ES"/>
        </w:rPr>
      </w:pPr>
    </w:p>
    <w:p w14:paraId="285BE4B6" w14:textId="0AB59BA6" w:rsidR="00D34196" w:rsidRPr="00071199" w:rsidRDefault="00D34196" w:rsidP="00D34196">
      <w:pPr>
        <w:spacing w:line="276" w:lineRule="auto"/>
        <w:jc w:val="both"/>
        <w:rPr>
          <w:rFonts w:ascii="Arial" w:eastAsia="Calibri" w:hAnsi="Arial" w:cs="Arial"/>
          <w:color w:val="000000" w:themeColor="text1"/>
          <w:sz w:val="22"/>
          <w:lang w:val="es-ES"/>
        </w:rPr>
      </w:pPr>
      <w:r w:rsidRPr="00071199">
        <w:rPr>
          <w:rFonts w:ascii="Arial" w:eastAsia="Calibri" w:hAnsi="Arial" w:cs="Arial"/>
          <w:color w:val="000000" w:themeColor="text1"/>
          <w:sz w:val="22"/>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sidR="00D84D7B">
        <w:rPr>
          <w:rFonts w:ascii="Arial" w:eastAsia="Calibri" w:hAnsi="Arial" w:cs="Arial"/>
          <w:color w:val="000000" w:themeColor="text1"/>
          <w:sz w:val="22"/>
          <w:lang w:val="es-ES"/>
        </w:rPr>
        <w:t>3 de junio de 2022</w:t>
      </w:r>
      <w:r w:rsidRPr="00071199">
        <w:rPr>
          <w:rFonts w:ascii="Arial" w:eastAsia="Calibri" w:hAnsi="Arial" w:cs="Arial"/>
          <w:color w:val="000000" w:themeColor="text1"/>
          <w:sz w:val="22"/>
          <w:lang w:val="es-ES"/>
        </w:rPr>
        <w:t>.</w:t>
      </w:r>
    </w:p>
    <w:p w14:paraId="6861DB87" w14:textId="77777777" w:rsidR="00D34196" w:rsidRPr="00071199" w:rsidRDefault="00D34196" w:rsidP="00D34196">
      <w:pPr>
        <w:spacing w:line="276" w:lineRule="auto"/>
        <w:jc w:val="both"/>
        <w:rPr>
          <w:rFonts w:ascii="Arial" w:eastAsia="Calibri" w:hAnsi="Arial" w:cs="Arial"/>
          <w:b/>
          <w:color w:val="000000" w:themeColor="text1"/>
          <w:sz w:val="22"/>
          <w:lang w:val="es-ES"/>
        </w:rPr>
      </w:pPr>
    </w:p>
    <w:p w14:paraId="0D2FB9D7" w14:textId="77777777" w:rsidR="00D34196" w:rsidRPr="00071199" w:rsidRDefault="00D34196" w:rsidP="00D34196">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color w:val="000000" w:themeColor="text1"/>
          <w:sz w:val="22"/>
          <w:lang w:val="es-ES"/>
        </w:rPr>
      </w:pPr>
      <w:r w:rsidRPr="00071199">
        <w:rPr>
          <w:rFonts w:ascii="Arial" w:eastAsia="Calibri" w:hAnsi="Arial" w:cs="Arial"/>
          <w:b/>
          <w:color w:val="000000" w:themeColor="text1"/>
          <w:sz w:val="22"/>
          <w:lang w:val="es-ES"/>
        </w:rPr>
        <w:t xml:space="preserve">Problema planteado </w:t>
      </w:r>
    </w:p>
    <w:p w14:paraId="7AF920E1" w14:textId="77777777" w:rsidR="00D34196" w:rsidRPr="00071199" w:rsidRDefault="00D34196" w:rsidP="00D34196">
      <w:pPr>
        <w:tabs>
          <w:tab w:val="left" w:pos="426"/>
        </w:tabs>
        <w:spacing w:line="276" w:lineRule="auto"/>
        <w:jc w:val="both"/>
        <w:rPr>
          <w:rFonts w:ascii="Arial" w:eastAsia="Calibri" w:hAnsi="Arial" w:cs="Arial"/>
          <w:b/>
          <w:color w:val="000000" w:themeColor="text1"/>
          <w:sz w:val="22"/>
          <w:lang w:val="es-ES"/>
        </w:rPr>
      </w:pPr>
    </w:p>
    <w:p w14:paraId="426F4549" w14:textId="1F9D12E1" w:rsidR="00D34196" w:rsidRDefault="0027792D" w:rsidP="00D34196">
      <w:pPr>
        <w:spacing w:line="276" w:lineRule="auto"/>
        <w:jc w:val="both"/>
        <w:rPr>
          <w:rFonts w:ascii="Arial" w:hAnsi="Arial" w:cs="Arial"/>
          <w:color w:val="000000" w:themeColor="text1"/>
          <w:sz w:val="22"/>
          <w:lang w:val="es-ES"/>
        </w:rPr>
      </w:pPr>
      <w:r>
        <w:rPr>
          <w:rFonts w:ascii="Arial" w:hAnsi="Arial" w:cs="Arial"/>
          <w:color w:val="000000" w:themeColor="text1"/>
          <w:sz w:val="22"/>
          <w:lang w:val="es-ES"/>
        </w:rPr>
        <w:t>U</w:t>
      </w:r>
      <w:r w:rsidR="00D34196" w:rsidRPr="00123704">
        <w:rPr>
          <w:rFonts w:ascii="Arial" w:hAnsi="Arial" w:cs="Arial"/>
          <w:color w:val="000000" w:themeColor="text1"/>
          <w:sz w:val="22"/>
          <w:lang w:val="es-ES"/>
        </w:rPr>
        <w:t>sted realiza la siguiente pregunta:</w:t>
      </w:r>
    </w:p>
    <w:p w14:paraId="41C1CA93" w14:textId="77777777" w:rsidR="00D34196" w:rsidRDefault="00D34196" w:rsidP="0027792D">
      <w:pPr>
        <w:ind w:left="709" w:right="709"/>
        <w:jc w:val="both"/>
        <w:rPr>
          <w:rFonts w:ascii="Arial" w:hAnsi="Arial" w:cs="Arial"/>
          <w:color w:val="000000" w:themeColor="text1"/>
          <w:sz w:val="22"/>
          <w:lang w:val="es-ES"/>
        </w:rPr>
      </w:pPr>
    </w:p>
    <w:p w14:paraId="67E9FD75" w14:textId="77777777" w:rsidR="0027792D" w:rsidRPr="00695F50" w:rsidRDefault="0027792D" w:rsidP="0027792D">
      <w:pPr>
        <w:pStyle w:val="Sinespaciado"/>
        <w:ind w:left="709" w:right="709"/>
        <w:jc w:val="both"/>
        <w:rPr>
          <w:rFonts w:ascii="Arial" w:hAnsi="Arial" w:cs="Arial"/>
          <w:sz w:val="21"/>
          <w:szCs w:val="21"/>
        </w:rPr>
      </w:pPr>
      <w:r w:rsidRPr="004D3DFE">
        <w:rPr>
          <w:rFonts w:ascii="Arial" w:hAnsi="Arial" w:cs="Arial"/>
          <w:sz w:val="21"/>
          <w:szCs w:val="21"/>
        </w:rPr>
        <w:t>«</w:t>
      </w:r>
      <w:r w:rsidRPr="00695F50">
        <w:rPr>
          <w:rFonts w:ascii="Arial" w:hAnsi="Arial" w:cs="Arial"/>
          <w:sz w:val="21"/>
          <w:szCs w:val="21"/>
        </w:rPr>
        <w:t xml:space="preserve">De acuerdo con el numeral 2.5 del ordinal 2o del artículo 2.2.1.1.1.5.2 del Decreto 1082 de 2015: “(...) Si la constitución del interesado es menor a tres (3) años, puede acreditar la experiencia de sus accionistas, socios o constituyentes”. </w:t>
      </w:r>
    </w:p>
    <w:p w14:paraId="16AD5011" w14:textId="77777777" w:rsidR="0027792D" w:rsidRPr="00695F50" w:rsidRDefault="0027792D" w:rsidP="0027792D">
      <w:pPr>
        <w:pStyle w:val="Sinespaciado"/>
        <w:ind w:left="709" w:right="709"/>
        <w:jc w:val="both"/>
        <w:rPr>
          <w:rFonts w:ascii="Arial" w:hAnsi="Arial" w:cs="Arial"/>
          <w:sz w:val="21"/>
          <w:szCs w:val="21"/>
        </w:rPr>
      </w:pPr>
      <w:r w:rsidRPr="00695F50">
        <w:rPr>
          <w:rFonts w:ascii="Arial" w:hAnsi="Arial" w:cs="Arial"/>
          <w:sz w:val="21"/>
          <w:szCs w:val="21"/>
        </w:rPr>
        <w:t>¿No es claro si la experiencia de los socios de la empresa será́ valida después de los 3 años de constitución, es esta experiencia valida después de los 3 años?</w:t>
      </w:r>
      <w:r w:rsidRPr="004D3DFE">
        <w:rPr>
          <w:rFonts w:ascii="Arial" w:hAnsi="Arial" w:cs="Arial"/>
          <w:sz w:val="21"/>
          <w:szCs w:val="21"/>
        </w:rPr>
        <w:t>»</w:t>
      </w:r>
    </w:p>
    <w:p w14:paraId="2EA011A2" w14:textId="77777777" w:rsidR="00D34196" w:rsidRPr="00071199" w:rsidRDefault="00D34196" w:rsidP="00D34196">
      <w:pPr>
        <w:jc w:val="both"/>
        <w:rPr>
          <w:rFonts w:ascii="Arial" w:hAnsi="Arial" w:cs="Arial"/>
          <w:color w:val="000000" w:themeColor="text1"/>
          <w:sz w:val="21"/>
          <w:szCs w:val="21"/>
          <w:lang w:val="es-ES"/>
        </w:rPr>
      </w:pPr>
    </w:p>
    <w:p w14:paraId="4DD1412D" w14:textId="77777777" w:rsidR="00D34196" w:rsidRPr="00071199" w:rsidRDefault="00D34196" w:rsidP="00D34196">
      <w:pPr>
        <w:pStyle w:val="Prrafodelista"/>
        <w:numPr>
          <w:ilvl w:val="0"/>
          <w:numId w:val="1"/>
        </w:numPr>
        <w:tabs>
          <w:tab w:val="left" w:pos="0"/>
          <w:tab w:val="left" w:pos="284"/>
        </w:tabs>
        <w:ind w:left="0" w:firstLine="0"/>
        <w:jc w:val="both"/>
        <w:rPr>
          <w:rFonts w:ascii="Arial" w:eastAsia="Calibri" w:hAnsi="Arial" w:cs="Arial"/>
          <w:b/>
          <w:color w:val="000000" w:themeColor="text1"/>
          <w:sz w:val="22"/>
          <w:lang w:val="es-ES"/>
        </w:rPr>
      </w:pPr>
      <w:r w:rsidRPr="00071199">
        <w:rPr>
          <w:rFonts w:ascii="Arial" w:eastAsia="Calibri" w:hAnsi="Arial" w:cs="Arial"/>
          <w:b/>
          <w:color w:val="000000" w:themeColor="text1"/>
          <w:sz w:val="22"/>
          <w:lang w:val="es-ES"/>
        </w:rPr>
        <w:t>Consideraciones</w:t>
      </w:r>
    </w:p>
    <w:p w14:paraId="6FBE4691" w14:textId="77777777" w:rsidR="00D34196" w:rsidRPr="00071199" w:rsidRDefault="00D34196" w:rsidP="00D34196">
      <w:pPr>
        <w:spacing w:line="276" w:lineRule="auto"/>
        <w:jc w:val="both"/>
        <w:rPr>
          <w:rFonts w:ascii="Arial" w:eastAsia="Calibri" w:hAnsi="Arial" w:cs="Arial"/>
          <w:color w:val="000000" w:themeColor="text1"/>
          <w:sz w:val="22"/>
          <w:szCs w:val="22"/>
          <w:lang w:val="es-ES"/>
        </w:rPr>
      </w:pPr>
    </w:p>
    <w:p w14:paraId="71A6261A" w14:textId="77777777" w:rsidR="00D34196" w:rsidRPr="00071199" w:rsidRDefault="00D34196" w:rsidP="00D34196">
      <w:pPr>
        <w:spacing w:line="276" w:lineRule="auto"/>
        <w:jc w:val="both"/>
        <w:rPr>
          <w:rFonts w:ascii="Arial" w:eastAsia="Calibri" w:hAnsi="Arial" w:cs="Arial"/>
          <w:color w:val="000000" w:themeColor="text1"/>
          <w:sz w:val="22"/>
          <w:szCs w:val="22"/>
          <w:lang w:val="es-ES"/>
        </w:rPr>
      </w:pPr>
      <w:r w:rsidRPr="00071199">
        <w:rPr>
          <w:rFonts w:ascii="Arial" w:eastAsia="Calibri" w:hAnsi="Arial" w:cs="Arial"/>
          <w:color w:val="000000" w:themeColor="text1"/>
          <w:sz w:val="22"/>
          <w:szCs w:val="22"/>
          <w:lang w:val="es-ES"/>
        </w:rPr>
        <w:t xml:space="preserve">La Agencia Nacional de Contratación Pública ‒ Colombia Compra Eficiente, en los conceptos C-025 del 16 de marzo de 2020, C-051 del 2 de marzo de 2020, C-165 del 1 de abril de 2020, C-233 del 16 de abril de 2020, C-407 de 12 de junio de 2020, C-398 de 30 </w:t>
      </w:r>
      <w:r w:rsidRPr="00071199">
        <w:rPr>
          <w:rFonts w:ascii="Arial" w:eastAsia="Calibri" w:hAnsi="Arial" w:cs="Arial"/>
          <w:color w:val="000000" w:themeColor="text1"/>
          <w:sz w:val="22"/>
          <w:szCs w:val="22"/>
          <w:lang w:val="es-ES"/>
        </w:rPr>
        <w:lastRenderedPageBreak/>
        <w:t>de junio de 2020, C-470 del 14 de julio de 2020, C-511 del 18 de agosto de 2020, C-584 de 31 de agosto 2020, C-619 de 21 de septiembre 2020, C-710 del 9 de diciembre de 2020, C-717 del 10 de diciembre de 2020, C-729 del 11 de diciembre de 2020, C-103 del 24 de marzo del 2021</w:t>
      </w:r>
      <w:r>
        <w:rPr>
          <w:rFonts w:ascii="Arial" w:eastAsia="Calibri" w:hAnsi="Arial" w:cs="Arial"/>
          <w:color w:val="000000" w:themeColor="text1"/>
          <w:sz w:val="22"/>
          <w:szCs w:val="22"/>
          <w:lang w:val="es-ES"/>
        </w:rPr>
        <w:t xml:space="preserve">, </w:t>
      </w:r>
      <w:r w:rsidRPr="00071199">
        <w:rPr>
          <w:rFonts w:ascii="Arial" w:eastAsia="Calibri" w:hAnsi="Arial" w:cs="Arial"/>
          <w:color w:val="000000" w:themeColor="text1"/>
          <w:sz w:val="22"/>
          <w:szCs w:val="22"/>
          <w:lang w:val="es-ES"/>
        </w:rPr>
        <w:t>C-140 del 9 de abril del 2021,</w:t>
      </w:r>
      <w:r>
        <w:rPr>
          <w:rFonts w:ascii="Arial" w:eastAsia="Calibri" w:hAnsi="Arial" w:cs="Arial"/>
          <w:color w:val="000000" w:themeColor="text1"/>
          <w:sz w:val="22"/>
          <w:szCs w:val="22"/>
          <w:lang w:val="es-ES"/>
        </w:rPr>
        <w:t xml:space="preserve"> C-230 del 25 de mayo de 2021, C-316 del 29 de junio de 2021, C-318 del 29 de junio de 2021 y C-326 del 2 de julio de 2021,</w:t>
      </w:r>
      <w:r w:rsidRPr="00071199">
        <w:rPr>
          <w:rFonts w:ascii="Arial" w:eastAsia="Calibri" w:hAnsi="Arial" w:cs="Arial"/>
          <w:color w:val="000000" w:themeColor="text1"/>
          <w:sz w:val="22"/>
          <w:szCs w:val="22"/>
          <w:lang w:val="es-ES"/>
        </w:rPr>
        <w:t xml:space="preserve"> estudió la acreditación de la experiencia de los socios por una sociedad nueva con menos de 3 años de constitución</w:t>
      </w:r>
      <w:r w:rsidRPr="00071199">
        <w:rPr>
          <w:rFonts w:ascii="Arial" w:eastAsia="Calibri" w:hAnsi="Arial" w:cs="Arial"/>
          <w:color w:val="000000" w:themeColor="text1"/>
          <w:sz w:val="22"/>
          <w:szCs w:val="22"/>
          <w:vertAlign w:val="superscript"/>
          <w:lang w:val="es-ES"/>
        </w:rPr>
        <w:footnoteReference w:id="1"/>
      </w:r>
      <w:r w:rsidRPr="00071199">
        <w:rPr>
          <w:rFonts w:ascii="Arial" w:eastAsia="Calibri" w:hAnsi="Arial" w:cs="Arial"/>
          <w:color w:val="000000" w:themeColor="text1"/>
          <w:sz w:val="22"/>
          <w:szCs w:val="22"/>
          <w:lang w:val="es-ES"/>
        </w:rPr>
        <w:t xml:space="preserve">. Los argumentos y consideraciones </w:t>
      </w:r>
      <w:r>
        <w:rPr>
          <w:rFonts w:ascii="Arial" w:eastAsia="Calibri" w:hAnsi="Arial" w:cs="Arial"/>
          <w:color w:val="000000" w:themeColor="text1"/>
          <w:sz w:val="22"/>
          <w:szCs w:val="22"/>
          <w:lang w:val="es-ES"/>
        </w:rPr>
        <w:t xml:space="preserve">expuestos </w:t>
      </w:r>
      <w:r w:rsidRPr="00071199">
        <w:rPr>
          <w:rFonts w:ascii="Arial" w:eastAsia="Calibri" w:hAnsi="Arial" w:cs="Arial"/>
          <w:color w:val="000000" w:themeColor="text1"/>
          <w:sz w:val="22"/>
          <w:szCs w:val="22"/>
          <w:lang w:val="es-ES"/>
        </w:rPr>
        <w:t xml:space="preserve">en los conceptos mencionados se reiteran </w:t>
      </w:r>
      <w:r>
        <w:rPr>
          <w:rFonts w:ascii="Arial" w:eastAsia="Calibri" w:hAnsi="Arial" w:cs="Arial"/>
          <w:color w:val="000000" w:themeColor="text1"/>
          <w:sz w:val="22"/>
          <w:szCs w:val="22"/>
          <w:lang w:val="es-ES"/>
        </w:rPr>
        <w:t>y se complementan en lo pertinente.</w:t>
      </w:r>
    </w:p>
    <w:p w14:paraId="0E10B659" w14:textId="77777777" w:rsidR="00D34196" w:rsidRPr="00071199" w:rsidRDefault="00D34196" w:rsidP="00D34196">
      <w:pPr>
        <w:spacing w:line="276" w:lineRule="auto"/>
        <w:jc w:val="both"/>
        <w:rPr>
          <w:rFonts w:ascii="Arial" w:eastAsia="Calibri" w:hAnsi="Arial" w:cs="Arial"/>
          <w:color w:val="000000" w:themeColor="text1"/>
          <w:sz w:val="22"/>
          <w:szCs w:val="22"/>
          <w:lang w:val="es-ES"/>
        </w:rPr>
      </w:pPr>
    </w:p>
    <w:p w14:paraId="32303466" w14:textId="77777777" w:rsidR="00D34196" w:rsidRPr="00071199" w:rsidRDefault="00D34196" w:rsidP="00D34196">
      <w:pPr>
        <w:jc w:val="both"/>
        <w:rPr>
          <w:rFonts w:ascii="Arial" w:eastAsia="Calibri" w:hAnsi="Arial" w:cs="Arial"/>
          <w:b/>
          <w:sz w:val="22"/>
          <w:szCs w:val="22"/>
          <w:lang w:val="es-ES" w:eastAsia="en-US"/>
        </w:rPr>
      </w:pPr>
      <w:r w:rsidRPr="00071199">
        <w:rPr>
          <w:rFonts w:ascii="Arial" w:eastAsia="Calibri" w:hAnsi="Arial" w:cs="Arial"/>
          <w:b/>
          <w:sz w:val="22"/>
          <w:szCs w:val="22"/>
          <w:lang w:val="es-ES" w:eastAsia="en-US"/>
        </w:rPr>
        <w:t>2.1. Aproximación general al concepto de experiencia en la contratación pública</w:t>
      </w:r>
    </w:p>
    <w:p w14:paraId="7E56EC24" w14:textId="77777777" w:rsidR="00D34196" w:rsidRPr="00071199" w:rsidRDefault="00D34196" w:rsidP="00D34196">
      <w:pPr>
        <w:spacing w:line="276" w:lineRule="auto"/>
        <w:jc w:val="both"/>
        <w:rPr>
          <w:rFonts w:ascii="Arial" w:eastAsia="Calibri" w:hAnsi="Arial" w:cs="Arial"/>
          <w:b/>
          <w:sz w:val="22"/>
          <w:szCs w:val="22"/>
          <w:lang w:val="es-ES" w:eastAsia="en-US"/>
        </w:rPr>
      </w:pPr>
    </w:p>
    <w:p w14:paraId="67AE1F08" w14:textId="77777777" w:rsidR="00D34196" w:rsidRPr="00071199" w:rsidRDefault="00D34196" w:rsidP="00D34196">
      <w:pPr>
        <w:spacing w:line="276" w:lineRule="auto"/>
        <w:jc w:val="both"/>
        <w:rPr>
          <w:rFonts w:ascii="Arial" w:eastAsia="Calibri" w:hAnsi="Arial" w:cs="Arial"/>
          <w:sz w:val="22"/>
          <w:szCs w:val="22"/>
          <w:highlight w:val="yellow"/>
          <w:lang w:val="es-ES" w:eastAsia="en-US"/>
        </w:rPr>
      </w:pPr>
      <w:bookmarkStart w:id="0" w:name="_Hlk91599456"/>
      <w:r w:rsidRPr="00071199">
        <w:rPr>
          <w:rFonts w:ascii="Arial" w:eastAsia="Calibri" w:hAnsi="Arial" w:cs="Arial"/>
          <w:sz w:val="22"/>
          <w:szCs w:val="22"/>
          <w:lang w:val="es-ES" w:eastAsia="en-US"/>
        </w:rPr>
        <w:t>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w:t>
      </w:r>
      <w:r w:rsidRPr="00071199">
        <w:rPr>
          <w:rFonts w:ascii="Arial" w:eastAsia="Calibri" w:hAnsi="Arial" w:cs="Arial"/>
          <w:sz w:val="22"/>
          <w:szCs w:val="22"/>
          <w:vertAlign w:val="superscript"/>
          <w:lang w:val="es-ES" w:eastAsia="en-US"/>
        </w:rPr>
        <w:footnoteReference w:id="2"/>
      </w:r>
      <w:r w:rsidRPr="00071199">
        <w:rPr>
          <w:rFonts w:ascii="Arial" w:eastAsia="Calibri" w:hAnsi="Arial" w:cs="Arial"/>
          <w:sz w:val="22"/>
          <w:szCs w:val="22"/>
          <w:lang w:val="es-ES" w:eastAsia="en-US"/>
        </w:rPr>
        <w:t>. En ese sentido, la entidad, como responsable de la estructuración de su procedimiento de contratación, es autónoma para requerir la experiencia necesaria para el objeto de</w:t>
      </w:r>
      <w:r>
        <w:rPr>
          <w:rFonts w:ascii="Arial" w:eastAsia="Calibri" w:hAnsi="Arial" w:cs="Arial"/>
          <w:sz w:val="22"/>
          <w:szCs w:val="22"/>
          <w:lang w:val="es-ES" w:eastAsia="en-US"/>
        </w:rPr>
        <w:t>l</w:t>
      </w:r>
      <w:r w:rsidRPr="00071199">
        <w:rPr>
          <w:rFonts w:ascii="Arial" w:eastAsia="Calibri" w:hAnsi="Arial" w:cs="Arial"/>
          <w:sz w:val="22"/>
          <w:szCs w:val="22"/>
          <w:lang w:val="es-ES" w:eastAsia="en-US"/>
        </w:rPr>
        <w:t xml:space="preserve"> contrato, para lo cual, de acuerdo con el artículo 2.2.1.1.1.6.2. del Decreto 1082 de 2015, debe tener en cuenta el estudio del sector y sus componentes como la identificación de riesgos, el mercado y precio del bien, obra o servicio a contratar</w:t>
      </w:r>
      <w:r w:rsidRPr="00071199">
        <w:rPr>
          <w:rFonts w:ascii="Arial" w:eastAsia="Calibri" w:hAnsi="Arial" w:cs="Arial"/>
          <w:sz w:val="22"/>
          <w:szCs w:val="22"/>
          <w:vertAlign w:val="superscript"/>
          <w:lang w:val="es-ES" w:eastAsia="en-US"/>
        </w:rPr>
        <w:footnoteReference w:id="3"/>
      </w:r>
      <w:r w:rsidRPr="00071199">
        <w:rPr>
          <w:rFonts w:ascii="Arial" w:eastAsia="Calibri" w:hAnsi="Arial" w:cs="Arial"/>
          <w:sz w:val="22"/>
          <w:szCs w:val="22"/>
          <w:lang w:val="es-ES" w:eastAsia="en-US"/>
        </w:rPr>
        <w:t>.</w:t>
      </w:r>
    </w:p>
    <w:bookmarkEnd w:id="0"/>
    <w:p w14:paraId="1DE95CC9"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lastRenderedPageBreak/>
        <w:t>La experiencia que se deriva de los contratos que el proponente ha celebrado y ejecutado con diferentes contratantes, sin importar la naturaleza de estos, se verifica con el Registro Único de Proponentes –RUP–</w:t>
      </w:r>
      <w:r w:rsidRPr="00071199">
        <w:rPr>
          <w:rFonts w:ascii="Arial" w:eastAsia="Calibri" w:hAnsi="Arial" w:cs="Arial"/>
          <w:sz w:val="22"/>
          <w:szCs w:val="22"/>
          <w:vertAlign w:val="superscript"/>
          <w:lang w:val="es-ES" w:eastAsia="en-US"/>
        </w:rPr>
        <w:footnoteReference w:id="4"/>
      </w:r>
      <w:r w:rsidRPr="00071199">
        <w:rPr>
          <w:rFonts w:ascii="Arial" w:eastAsia="Calibri" w:hAnsi="Arial" w:cs="Arial"/>
          <w:sz w:val="22"/>
          <w:szCs w:val="22"/>
          <w:lang w:val="es-ES" w:eastAsia="en-US"/>
        </w:rPr>
        <w:t>, cuando este certificado sea exigible de acuerdo con la ley. En este registro constan los requisitos habilitantes que se evalúan exclusivamente con este documento, que es plena prueba, sin que la entidad o el proponente puedan</w:t>
      </w:r>
      <w:r>
        <w:rPr>
          <w:rFonts w:ascii="Arial" w:eastAsia="Calibri" w:hAnsi="Arial" w:cs="Arial"/>
          <w:sz w:val="22"/>
          <w:szCs w:val="22"/>
          <w:lang w:val="es-ES" w:eastAsia="en-US"/>
        </w:rPr>
        <w:t>, en principio,</w:t>
      </w:r>
      <w:r w:rsidRPr="00071199">
        <w:rPr>
          <w:rFonts w:ascii="Arial" w:eastAsia="Calibri" w:hAnsi="Arial" w:cs="Arial"/>
          <w:sz w:val="22"/>
          <w:szCs w:val="22"/>
          <w:lang w:val="es-ES" w:eastAsia="en-US"/>
        </w:rPr>
        <w:t xml:space="preserve"> solicitar o aportar otra documentación</w:t>
      </w:r>
      <w:r w:rsidRPr="00071199">
        <w:rPr>
          <w:rFonts w:ascii="Arial" w:eastAsia="Calibri" w:hAnsi="Arial" w:cs="Arial"/>
          <w:sz w:val="22"/>
          <w:szCs w:val="22"/>
          <w:vertAlign w:val="superscript"/>
          <w:lang w:val="es-ES" w:eastAsia="en-US"/>
        </w:rPr>
        <w:footnoteReference w:id="5"/>
      </w:r>
      <w:r w:rsidRPr="00071199">
        <w:rPr>
          <w:rFonts w:ascii="Arial" w:eastAsia="Calibri" w:hAnsi="Arial" w:cs="Arial"/>
          <w:sz w:val="22"/>
          <w:szCs w:val="22"/>
          <w:lang w:val="es-ES" w:eastAsia="en-US"/>
        </w:rPr>
        <w:t>.</w:t>
      </w:r>
    </w:p>
    <w:p w14:paraId="1C994D8F" w14:textId="77777777" w:rsidR="00D34196" w:rsidRPr="00071199" w:rsidRDefault="00D34196" w:rsidP="00D34196">
      <w:pPr>
        <w:spacing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Pr="00071199">
        <w:rPr>
          <w:rFonts w:ascii="Arial" w:eastAsia="Calibri" w:hAnsi="Arial" w:cs="Arial"/>
          <w:sz w:val="22"/>
          <w:szCs w:val="22"/>
          <w:vertAlign w:val="superscript"/>
          <w:lang w:val="es-ES" w:eastAsia="en-US"/>
        </w:rPr>
        <w:footnoteReference w:id="6"/>
      </w:r>
      <w:r w:rsidRPr="00071199">
        <w:rPr>
          <w:rFonts w:ascii="Arial" w:eastAsia="Calibri" w:hAnsi="Arial" w:cs="Arial"/>
          <w:sz w:val="22"/>
          <w:szCs w:val="22"/>
          <w:lang w:val="es-ES" w:eastAsia="en-US"/>
        </w:rPr>
        <w:t xml:space="preserve">. </w:t>
      </w:r>
      <w:r w:rsidRPr="00071199">
        <w:rPr>
          <w:rFonts w:ascii="Arial" w:eastAsia="Calibri" w:hAnsi="Arial" w:cs="Arial"/>
          <w:sz w:val="22"/>
          <w:szCs w:val="22"/>
          <w:lang w:val="es-ES" w:eastAsia="en-US"/>
        </w:rPr>
        <w:lastRenderedPageBreak/>
        <w:t xml:space="preserve">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404125D0" w14:textId="77777777" w:rsidR="00D34196" w:rsidRPr="00071199" w:rsidRDefault="00D34196" w:rsidP="00D34196">
      <w:pPr>
        <w:spacing w:line="276" w:lineRule="auto"/>
        <w:jc w:val="both"/>
        <w:rPr>
          <w:rFonts w:ascii="Arial" w:eastAsia="Calibri" w:hAnsi="Arial" w:cs="Arial"/>
          <w:sz w:val="22"/>
          <w:szCs w:val="22"/>
          <w:lang w:val="es-ES" w:eastAsia="en-US"/>
        </w:rPr>
      </w:pPr>
    </w:p>
    <w:p w14:paraId="1E54859D" w14:textId="77777777" w:rsidR="00D34196" w:rsidRPr="00071199" w:rsidRDefault="00D34196" w:rsidP="00D34196">
      <w:pPr>
        <w:spacing w:line="276" w:lineRule="auto"/>
        <w:jc w:val="both"/>
        <w:rPr>
          <w:rFonts w:ascii="Arial" w:eastAsia="Calibri" w:hAnsi="Arial" w:cs="Arial"/>
          <w:b/>
          <w:bCs/>
          <w:sz w:val="22"/>
          <w:szCs w:val="22"/>
          <w:lang w:val="es-ES" w:eastAsia="en-US"/>
        </w:rPr>
      </w:pPr>
      <w:r w:rsidRPr="00071199">
        <w:rPr>
          <w:rFonts w:ascii="Arial" w:eastAsia="Calibri" w:hAnsi="Arial" w:cs="Arial"/>
          <w:b/>
          <w:bCs/>
          <w:sz w:val="22"/>
          <w:szCs w:val="22"/>
          <w:lang w:val="es-ES" w:eastAsia="en-US"/>
        </w:rPr>
        <w:t>2.2. Consideraciones de la Agencia respecto de la experiencia</w:t>
      </w:r>
    </w:p>
    <w:p w14:paraId="2B96A4D7" w14:textId="77777777" w:rsidR="00D34196" w:rsidRPr="00071199" w:rsidRDefault="00D34196" w:rsidP="00D34196">
      <w:pPr>
        <w:spacing w:line="276" w:lineRule="auto"/>
        <w:jc w:val="both"/>
        <w:rPr>
          <w:rFonts w:ascii="Arial" w:eastAsia="Calibri" w:hAnsi="Arial" w:cs="Arial"/>
          <w:b/>
          <w:bCs/>
          <w:sz w:val="22"/>
          <w:szCs w:val="22"/>
          <w:lang w:val="es-ES" w:eastAsia="en-US"/>
        </w:rPr>
      </w:pPr>
    </w:p>
    <w:p w14:paraId="4D3E868D" w14:textId="77777777" w:rsidR="00D34196" w:rsidRPr="00071199" w:rsidRDefault="00D34196" w:rsidP="00D34196">
      <w:pPr>
        <w:spacing w:line="276" w:lineRule="auto"/>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La Agencia Nacional de Contratación Pública – Colombia Compra Eficiente puso a disposición de los interesados del Sistema de Compra Pública el </w:t>
      </w:r>
      <w:r>
        <w:rPr>
          <w:rFonts w:ascii="Arial" w:eastAsia="Calibri" w:hAnsi="Arial" w:cs="Arial"/>
          <w:sz w:val="22"/>
          <w:szCs w:val="22"/>
          <w:lang w:val="es-ES" w:eastAsia="en-US"/>
        </w:rPr>
        <w:t>«</w:t>
      </w:r>
      <w:r w:rsidRPr="00071199">
        <w:rPr>
          <w:rFonts w:ascii="Arial" w:eastAsia="Calibri" w:hAnsi="Arial" w:cs="Arial"/>
          <w:sz w:val="22"/>
          <w:szCs w:val="22"/>
          <w:lang w:val="es-ES" w:eastAsia="en-US"/>
        </w:rPr>
        <w:t xml:space="preserve">Manual para determinar y verificar requisitos habilitantes en los </w:t>
      </w:r>
      <w:r>
        <w:rPr>
          <w:rFonts w:ascii="Arial" w:eastAsia="Calibri" w:hAnsi="Arial" w:cs="Arial"/>
          <w:sz w:val="22"/>
          <w:szCs w:val="22"/>
          <w:lang w:val="es-ES" w:eastAsia="en-US"/>
        </w:rPr>
        <w:t>P</w:t>
      </w:r>
      <w:r w:rsidRPr="00071199">
        <w:rPr>
          <w:rFonts w:ascii="Arial" w:eastAsia="Calibri" w:hAnsi="Arial" w:cs="Arial"/>
          <w:sz w:val="22"/>
          <w:szCs w:val="22"/>
          <w:lang w:val="es-ES" w:eastAsia="en-US"/>
        </w:rPr>
        <w:t xml:space="preserve">rocesos de </w:t>
      </w:r>
      <w:r>
        <w:rPr>
          <w:rFonts w:ascii="Arial" w:eastAsia="Calibri" w:hAnsi="Arial" w:cs="Arial"/>
          <w:sz w:val="22"/>
          <w:szCs w:val="22"/>
          <w:lang w:val="es-ES" w:eastAsia="en-US"/>
        </w:rPr>
        <w:t>C</w:t>
      </w:r>
      <w:r w:rsidRPr="00071199">
        <w:rPr>
          <w:rFonts w:ascii="Arial" w:eastAsia="Calibri" w:hAnsi="Arial" w:cs="Arial"/>
          <w:sz w:val="22"/>
          <w:szCs w:val="22"/>
          <w:lang w:val="es-ES" w:eastAsia="en-US"/>
        </w:rPr>
        <w:t>ontratación</w:t>
      </w:r>
      <w:r>
        <w:rPr>
          <w:rFonts w:ascii="Arial" w:eastAsia="Calibri" w:hAnsi="Arial" w:cs="Arial"/>
          <w:sz w:val="22"/>
          <w:szCs w:val="22"/>
          <w:lang w:val="es-ES" w:eastAsia="en-US"/>
        </w:rPr>
        <w:t>»</w:t>
      </w:r>
      <w:r w:rsidRPr="00071199">
        <w:rPr>
          <w:rFonts w:ascii="Arial" w:eastAsia="Calibri" w:hAnsi="Arial" w:cs="Arial"/>
          <w:sz w:val="22"/>
          <w:szCs w:val="22"/>
          <w:lang w:val="es-ES" w:eastAsia="en-US"/>
        </w:rPr>
        <w:t>, donde se establecen las definiciones de cada requisito habilitante y se dan lineamientos sobre lo que las entidades pueden hacer para establecerlos. En relación con la experiencia, el Manual se centra en su carácter personal, lo cual significa que la experiencia se obtiene en razón a la participación, con anterioridad, en actividades que le permitieron conocer cómo ejecutar determinado objeto contractual que la entidad ahora pretende desarrollar</w:t>
      </w:r>
      <w:r w:rsidRPr="00071199">
        <w:rPr>
          <w:rFonts w:ascii="Arial" w:eastAsia="Calibri" w:hAnsi="Arial" w:cs="Arial"/>
          <w:sz w:val="22"/>
          <w:szCs w:val="22"/>
          <w:vertAlign w:val="superscript"/>
          <w:lang w:val="es-ES" w:eastAsia="en-US"/>
        </w:rPr>
        <w:footnoteReference w:id="7"/>
      </w:r>
      <w:r w:rsidRPr="00071199">
        <w:rPr>
          <w:rFonts w:ascii="Arial" w:eastAsia="Calibri" w:hAnsi="Arial" w:cs="Arial"/>
          <w:sz w:val="22"/>
          <w:szCs w:val="22"/>
          <w:lang w:val="es-ES" w:eastAsia="en-US"/>
        </w:rPr>
        <w:t>.</w:t>
      </w:r>
    </w:p>
    <w:p w14:paraId="72BC9CC5"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Lo anterior es determinante, porque no es posible adquirir la experiencia si en la práctica no se han ejecutado actividades similares previas; y precisamente de la experiencia se deriva el conocimiento del proponente, </w:t>
      </w:r>
      <w:r>
        <w:rPr>
          <w:rFonts w:ascii="Arial" w:eastAsia="Calibri" w:hAnsi="Arial" w:cs="Arial"/>
          <w:sz w:val="22"/>
          <w:szCs w:val="22"/>
          <w:lang w:val="es-ES" w:eastAsia="en-US"/>
        </w:rPr>
        <w:t xml:space="preserve">lo cual es importante para la contratación pública, </w:t>
      </w:r>
      <w:r w:rsidRPr="00071199">
        <w:rPr>
          <w:rFonts w:ascii="Arial" w:eastAsia="Calibri" w:hAnsi="Arial" w:cs="Arial"/>
          <w:sz w:val="22"/>
          <w:szCs w:val="22"/>
          <w:lang w:val="es-ES" w:eastAsia="en-US"/>
        </w:rPr>
        <w:lastRenderedPageBreak/>
        <w:t xml:space="preserve">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w:t>
      </w:r>
      <w:r>
        <w:rPr>
          <w:rFonts w:ascii="Arial" w:eastAsia="Calibri" w:hAnsi="Arial" w:cs="Arial"/>
          <w:sz w:val="22"/>
          <w:szCs w:val="22"/>
          <w:lang w:val="es-ES" w:eastAsia="en-US"/>
        </w:rPr>
        <w:t>de manera que se</w:t>
      </w:r>
      <w:r w:rsidRPr="00071199">
        <w:rPr>
          <w:rFonts w:ascii="Arial" w:eastAsia="Calibri" w:hAnsi="Arial" w:cs="Arial"/>
          <w:sz w:val="22"/>
          <w:szCs w:val="22"/>
          <w:lang w:val="es-ES" w:eastAsia="en-US"/>
        </w:rPr>
        <w:t xml:space="preserve"> ayud</w:t>
      </w:r>
      <w:r>
        <w:rPr>
          <w:rFonts w:ascii="Arial" w:eastAsia="Calibri" w:hAnsi="Arial" w:cs="Arial"/>
          <w:sz w:val="22"/>
          <w:szCs w:val="22"/>
          <w:lang w:val="es-ES" w:eastAsia="en-US"/>
        </w:rPr>
        <w:t>e</w:t>
      </w:r>
      <w:r w:rsidRPr="00071199">
        <w:rPr>
          <w:rFonts w:ascii="Arial" w:eastAsia="Calibri" w:hAnsi="Arial" w:cs="Arial"/>
          <w:sz w:val="22"/>
          <w:szCs w:val="22"/>
          <w:lang w:val="es-ES" w:eastAsia="en-US"/>
        </w:rPr>
        <w:t xml:space="preserve"> a que exista pluralidad de oferentes. </w:t>
      </w:r>
    </w:p>
    <w:p w14:paraId="48D731B2"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Finalmente, pueden extraerse cuatro (4) conclusiones relevantes para evaluar las figuras y reformas estatutarias de las sociedades comerciales, respecto de la experiencia: </w:t>
      </w:r>
    </w:p>
    <w:p w14:paraId="029A4486"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i) La experiencia es </w:t>
      </w:r>
      <w:r w:rsidRPr="00071199">
        <w:rPr>
          <w:rFonts w:ascii="Arial" w:eastAsia="Calibri" w:hAnsi="Arial" w:cs="Arial"/>
          <w:i/>
          <w:iCs/>
          <w:sz w:val="22"/>
          <w:szCs w:val="22"/>
          <w:lang w:val="es-ES" w:eastAsia="en-US"/>
        </w:rPr>
        <w:t>personal</w:t>
      </w:r>
      <w:r w:rsidRPr="00071199">
        <w:rPr>
          <w:rFonts w:ascii="Arial" w:eastAsia="Calibri" w:hAnsi="Arial" w:cs="Arial"/>
          <w:sz w:val="22"/>
          <w:szCs w:val="22"/>
          <w:lang w:val="es-ES" w:eastAsia="en-US"/>
        </w:rPr>
        <w:t>, esto es, se adquiere participando, directa o indirectamente, sin que sea posible no hacerlo y tener experiencia.</w:t>
      </w:r>
    </w:p>
    <w:p w14:paraId="73436766"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proofErr w:type="spellStart"/>
      <w:r w:rsidRPr="00071199">
        <w:rPr>
          <w:rFonts w:ascii="Arial" w:eastAsia="Calibri" w:hAnsi="Arial" w:cs="Arial"/>
          <w:sz w:val="22"/>
          <w:szCs w:val="22"/>
          <w:lang w:val="es-ES" w:eastAsia="en-US"/>
        </w:rPr>
        <w:t>ii</w:t>
      </w:r>
      <w:proofErr w:type="spellEnd"/>
      <w:r w:rsidRPr="00071199">
        <w:rPr>
          <w:rFonts w:ascii="Arial" w:eastAsia="Calibri" w:hAnsi="Arial" w:cs="Arial"/>
          <w:sz w:val="22"/>
          <w:szCs w:val="22"/>
          <w:lang w:val="es-ES" w:eastAsia="en-US"/>
        </w:rPr>
        <w:t xml:space="preserve">) La experiencia se puede </w:t>
      </w:r>
      <w:r w:rsidRPr="00071199">
        <w:rPr>
          <w:rFonts w:ascii="Arial" w:eastAsia="Calibri" w:hAnsi="Arial" w:cs="Arial"/>
          <w:i/>
          <w:iCs/>
          <w:sz w:val="22"/>
          <w:szCs w:val="22"/>
          <w:lang w:val="es-ES" w:eastAsia="en-US"/>
        </w:rPr>
        <w:t>compartir</w:t>
      </w:r>
      <w:r w:rsidRPr="00071199">
        <w:rPr>
          <w:rFonts w:ascii="Arial" w:eastAsia="Calibri" w:hAnsi="Arial" w:cs="Arial"/>
          <w:sz w:val="22"/>
          <w:szCs w:val="22"/>
          <w:lang w:val="es-ES" w:eastAsia="en-US"/>
        </w:rPr>
        <w:t>, sin que implique que la compartida a una persona se entienda suya, ya que dentro del procedimiento contractual se reflejará que esa persona tiene la experiencia de otra, como es el caso de las figuras asociativas   ̶ consorcios y uniones temporales ̶   que se verificará en el documento privado de constitución</w:t>
      </w:r>
      <w:r w:rsidRPr="00071199">
        <w:rPr>
          <w:rFonts w:ascii="Arial" w:eastAsia="Calibri" w:hAnsi="Arial" w:cs="Arial"/>
          <w:sz w:val="22"/>
          <w:szCs w:val="22"/>
          <w:vertAlign w:val="superscript"/>
          <w:lang w:val="es-ES" w:eastAsia="en-US"/>
        </w:rPr>
        <w:footnoteReference w:id="8"/>
      </w:r>
      <w:r w:rsidRPr="00071199">
        <w:rPr>
          <w:rFonts w:ascii="Arial" w:eastAsia="Calibri" w:hAnsi="Arial" w:cs="Arial"/>
          <w:sz w:val="22"/>
          <w:szCs w:val="22"/>
          <w:lang w:val="es-ES" w:eastAsia="en-US"/>
        </w:rPr>
        <w:t>.</w:t>
      </w:r>
    </w:p>
    <w:p w14:paraId="7BE2A006"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proofErr w:type="spellStart"/>
      <w:r w:rsidRPr="00071199">
        <w:rPr>
          <w:rFonts w:ascii="Arial" w:eastAsia="Calibri" w:hAnsi="Arial" w:cs="Arial"/>
          <w:sz w:val="22"/>
          <w:szCs w:val="22"/>
          <w:lang w:val="es-ES" w:eastAsia="en-US"/>
        </w:rPr>
        <w:t>iii</w:t>
      </w:r>
      <w:proofErr w:type="spellEnd"/>
      <w:r w:rsidRPr="00071199">
        <w:rPr>
          <w:rFonts w:ascii="Arial" w:eastAsia="Calibri" w:hAnsi="Arial" w:cs="Arial"/>
          <w:sz w:val="22"/>
          <w:szCs w:val="22"/>
          <w:lang w:val="es-ES" w:eastAsia="en-US"/>
        </w:rPr>
        <w:t xml:space="preserve">) La experiencia se puede </w:t>
      </w:r>
      <w:r w:rsidRPr="00071199">
        <w:rPr>
          <w:rFonts w:ascii="Arial" w:eastAsia="Calibri" w:hAnsi="Arial" w:cs="Arial"/>
          <w:i/>
          <w:iCs/>
          <w:sz w:val="22"/>
          <w:szCs w:val="22"/>
          <w:lang w:val="es-ES" w:eastAsia="en-US"/>
        </w:rPr>
        <w:t>transferir</w:t>
      </w:r>
      <w:r w:rsidRPr="00071199">
        <w:rPr>
          <w:rFonts w:ascii="Arial" w:eastAsia="Calibri" w:hAnsi="Arial" w:cs="Arial"/>
          <w:sz w:val="22"/>
          <w:szCs w:val="22"/>
          <w:lang w:val="es-ES" w:eastAsia="en-US"/>
        </w:rPr>
        <w:t>, y esto es diferente a compartir, lo que implica que la experiencia de una persona se traslada a otra, y esta última acredita la experiencia como propia, como sucede con la figura que se explicará con más detalle en el numeral 2.3 de este concepto.</w:t>
      </w:r>
    </w:p>
    <w:p w14:paraId="40221392" w14:textId="77777777" w:rsidR="00D34196" w:rsidRPr="00071199" w:rsidRDefault="00D34196" w:rsidP="00D34196">
      <w:pPr>
        <w:spacing w:line="276" w:lineRule="auto"/>
        <w:ind w:firstLine="708"/>
        <w:jc w:val="both"/>
        <w:rPr>
          <w:rFonts w:ascii="Arial" w:eastAsia="Calibri" w:hAnsi="Arial" w:cs="Arial"/>
          <w:sz w:val="22"/>
          <w:szCs w:val="22"/>
          <w:lang w:val="es-ES" w:eastAsia="en-US"/>
        </w:rPr>
      </w:pPr>
      <w:proofErr w:type="spellStart"/>
      <w:r w:rsidRPr="00071199">
        <w:rPr>
          <w:rFonts w:ascii="Arial" w:eastAsia="Calibri" w:hAnsi="Arial" w:cs="Arial"/>
          <w:sz w:val="22"/>
          <w:szCs w:val="22"/>
          <w:lang w:val="es-ES" w:eastAsia="en-US"/>
        </w:rPr>
        <w:t>iv</w:t>
      </w:r>
      <w:proofErr w:type="spellEnd"/>
      <w:r w:rsidRPr="00071199">
        <w:rPr>
          <w:rFonts w:ascii="Arial" w:eastAsia="Calibri" w:hAnsi="Arial" w:cs="Arial"/>
          <w:sz w:val="22"/>
          <w:szCs w:val="22"/>
          <w:lang w:val="es-ES" w:eastAsia="en-US"/>
        </w:rPr>
        <w:t xml:space="preserve">) Cuando la persona que adquirió la experiencia </w:t>
      </w:r>
      <w:r w:rsidRPr="00071199">
        <w:rPr>
          <w:rFonts w:ascii="Arial" w:eastAsia="Calibri" w:hAnsi="Arial" w:cs="Arial"/>
          <w:i/>
          <w:iCs/>
          <w:sz w:val="22"/>
          <w:szCs w:val="22"/>
          <w:lang w:val="es-ES" w:eastAsia="en-US"/>
        </w:rPr>
        <w:t>desaparece</w:t>
      </w:r>
      <w:r w:rsidRPr="00071199">
        <w:rPr>
          <w:rFonts w:ascii="Arial" w:eastAsia="Calibri" w:hAnsi="Arial" w:cs="Arial"/>
          <w:sz w:val="22"/>
          <w:szCs w:val="22"/>
          <w:lang w:val="es-ES" w:eastAsia="en-US"/>
        </w:rPr>
        <w:t xml:space="preserve"> o se liquida</w:t>
      </w:r>
      <w:r>
        <w:rPr>
          <w:rFonts w:ascii="Arial" w:eastAsia="Calibri" w:hAnsi="Arial" w:cs="Arial"/>
          <w:sz w:val="22"/>
          <w:szCs w:val="22"/>
          <w:lang w:val="es-ES" w:eastAsia="en-US"/>
        </w:rPr>
        <w:t>,</w:t>
      </w:r>
      <w:r w:rsidRPr="00071199">
        <w:rPr>
          <w:rFonts w:ascii="Arial" w:eastAsia="Calibri" w:hAnsi="Arial" w:cs="Arial"/>
          <w:sz w:val="22"/>
          <w:szCs w:val="22"/>
          <w:lang w:val="es-ES" w:eastAsia="en-US"/>
        </w:rPr>
        <w:t xml:space="preserve"> no es posible que comparta o transfiera su experiencia, porque al ser personal sigue la suerte de quien la adquirió.</w:t>
      </w:r>
    </w:p>
    <w:p w14:paraId="76559896" w14:textId="77777777" w:rsidR="00D34196" w:rsidRPr="00071199" w:rsidRDefault="00D34196" w:rsidP="00D34196">
      <w:pPr>
        <w:spacing w:before="120" w:after="120" w:line="276" w:lineRule="auto"/>
        <w:ind w:firstLine="709"/>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Ahora, el RUP fue creado por el artículo 6 de la Ley 1150 de 2007 y constituye el medio idóneo para verificar las condiciones de los proponentes en procesos de contratación pública. Este registro, conforme a lo señalado por la Corte Constitucional, es administrado por las Cámaras de Comercio y la actividad relacionada en el mismo está «</w:t>
      </w:r>
      <w:proofErr w:type="spellStart"/>
      <w:r w:rsidRPr="00071199">
        <w:rPr>
          <w:rFonts w:ascii="Arial" w:eastAsia="Calibri" w:hAnsi="Arial" w:cs="Arial"/>
          <w:sz w:val="22"/>
          <w:szCs w:val="22"/>
          <w:lang w:val="es-ES" w:eastAsia="en-US"/>
        </w:rPr>
        <w:t>sometid</w:t>
      </w:r>
      <w:proofErr w:type="spellEnd"/>
      <w:r w:rsidRPr="00071199">
        <w:rPr>
          <w:rFonts w:ascii="Arial" w:eastAsia="Calibri" w:hAnsi="Arial" w:cs="Arial"/>
          <w:sz w:val="22"/>
          <w:szCs w:val="22"/>
          <w:lang w:val="es-ES" w:eastAsia="en-US"/>
        </w:rPr>
        <w:t>[a] a los principios de la función administrativa y de contratación estatal»</w:t>
      </w:r>
      <w:r w:rsidRPr="00071199">
        <w:rPr>
          <w:rFonts w:ascii="Arial" w:eastAsia="Calibri" w:hAnsi="Arial" w:cs="Arial"/>
          <w:sz w:val="22"/>
          <w:szCs w:val="22"/>
          <w:vertAlign w:val="superscript"/>
          <w:lang w:val="es-ES" w:eastAsia="en-US"/>
        </w:rPr>
        <w:footnoteReference w:id="9"/>
      </w:r>
      <w:r w:rsidRPr="00071199">
        <w:rPr>
          <w:rFonts w:ascii="Arial" w:eastAsia="Calibri" w:hAnsi="Arial" w:cs="Arial"/>
          <w:sz w:val="22"/>
          <w:szCs w:val="22"/>
          <w:lang w:val="es-ES" w:eastAsia="en-US"/>
        </w:rPr>
        <w:t xml:space="preserve">. </w:t>
      </w:r>
    </w:p>
    <w:p w14:paraId="4CCB9672" w14:textId="77777777" w:rsidR="00D34196" w:rsidRPr="00071199" w:rsidRDefault="00D34196" w:rsidP="00D34196">
      <w:pPr>
        <w:spacing w:before="120" w:after="120" w:line="276" w:lineRule="auto"/>
        <w:ind w:firstLine="705"/>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El artículo 6 de la Ley 1150 de 2007 señala que el RUP «es plena prueba de las circunstancias que en ella se hagan constar y que hayan sido verificadas por las Cámaras de Comercio», es decir, estableció una regla probatoria en lo que se refiere a las </w:t>
      </w:r>
      <w:r w:rsidRPr="00071199">
        <w:rPr>
          <w:rFonts w:ascii="Arial" w:eastAsia="Calibri" w:hAnsi="Arial" w:cs="Arial"/>
          <w:sz w:val="22"/>
          <w:szCs w:val="22"/>
          <w:lang w:val="es-ES" w:eastAsia="en-US"/>
        </w:rPr>
        <w:lastRenderedPageBreak/>
        <w:t>condiciones de l</w:t>
      </w:r>
      <w:r>
        <w:rPr>
          <w:rFonts w:ascii="Arial" w:eastAsia="Calibri" w:hAnsi="Arial" w:cs="Arial"/>
          <w:sz w:val="22"/>
          <w:szCs w:val="22"/>
          <w:lang w:val="es-ES" w:eastAsia="en-US"/>
        </w:rPr>
        <w:t>o</w:t>
      </w:r>
      <w:r w:rsidRPr="00071199">
        <w:rPr>
          <w:rFonts w:ascii="Arial" w:eastAsia="Calibri" w:hAnsi="Arial" w:cs="Arial"/>
          <w:sz w:val="22"/>
          <w:szCs w:val="22"/>
          <w:lang w:val="es-ES" w:eastAsia="en-US"/>
        </w:rPr>
        <w:t>s proponentes contenidas en el registro, y asignó la competencia a las</w:t>
      </w:r>
      <w:r>
        <w:rPr>
          <w:rFonts w:ascii="Arial" w:eastAsia="Calibri" w:hAnsi="Arial" w:cs="Arial"/>
          <w:sz w:val="22"/>
          <w:szCs w:val="22"/>
          <w:lang w:val="es-ES" w:eastAsia="en-US"/>
        </w:rPr>
        <w:t xml:space="preserve"> cámaras de comercio</w:t>
      </w:r>
      <w:r w:rsidRPr="00071199">
        <w:rPr>
          <w:rFonts w:ascii="Arial" w:eastAsia="Calibri" w:hAnsi="Arial" w:cs="Arial"/>
          <w:sz w:val="22"/>
          <w:szCs w:val="22"/>
          <w:lang w:val="es-ES" w:eastAsia="en-US"/>
        </w:rPr>
        <w:t xml:space="preserve"> para verificarlas. </w:t>
      </w:r>
    </w:p>
    <w:p w14:paraId="3957793E" w14:textId="18732016" w:rsidR="00D34196" w:rsidRPr="00071199" w:rsidRDefault="00D34196" w:rsidP="00D34196">
      <w:pPr>
        <w:spacing w:before="120" w:after="120" w:line="276" w:lineRule="auto"/>
        <w:ind w:firstLine="705"/>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La norma impuso la obligación a todos los proponentes de inscribirse en el </w:t>
      </w:r>
      <w:r w:rsidR="00422AB4">
        <w:rPr>
          <w:rFonts w:ascii="Arial" w:eastAsia="Calibri" w:hAnsi="Arial" w:cs="Arial"/>
          <w:sz w:val="22"/>
          <w:szCs w:val="22"/>
          <w:lang w:val="es-ES" w:eastAsia="en-US"/>
        </w:rPr>
        <w:t>R</w:t>
      </w:r>
      <w:r w:rsidRPr="00071199">
        <w:rPr>
          <w:rFonts w:ascii="Arial" w:eastAsia="Calibri" w:hAnsi="Arial" w:cs="Arial"/>
          <w:sz w:val="22"/>
          <w:szCs w:val="22"/>
          <w:lang w:val="es-ES" w:eastAsia="en-US"/>
        </w:rPr>
        <w:t xml:space="preserve">egistro </w:t>
      </w:r>
      <w:r w:rsidR="00422AB4">
        <w:rPr>
          <w:rFonts w:ascii="Arial" w:eastAsia="Calibri" w:hAnsi="Arial" w:cs="Arial"/>
          <w:sz w:val="22"/>
          <w:szCs w:val="22"/>
          <w:lang w:val="es-ES" w:eastAsia="en-US"/>
        </w:rPr>
        <w:t>Ú</w:t>
      </w:r>
      <w:r w:rsidRPr="00071199">
        <w:rPr>
          <w:rFonts w:ascii="Arial" w:eastAsia="Calibri" w:hAnsi="Arial" w:cs="Arial"/>
          <w:sz w:val="22"/>
          <w:szCs w:val="22"/>
          <w:lang w:val="es-ES" w:eastAsia="en-US"/>
        </w:rPr>
        <w:t xml:space="preserve">nico de </w:t>
      </w:r>
      <w:r w:rsidR="00422AB4">
        <w:rPr>
          <w:rFonts w:ascii="Arial" w:eastAsia="Calibri" w:hAnsi="Arial" w:cs="Arial"/>
          <w:sz w:val="22"/>
          <w:szCs w:val="22"/>
          <w:lang w:val="es-ES" w:eastAsia="en-US"/>
        </w:rPr>
        <w:t>P</w:t>
      </w:r>
      <w:r w:rsidRPr="00071199">
        <w:rPr>
          <w:rFonts w:ascii="Arial" w:eastAsia="Calibri" w:hAnsi="Arial" w:cs="Arial"/>
          <w:sz w:val="22"/>
          <w:szCs w:val="22"/>
          <w:lang w:val="es-ES" w:eastAsia="en-US"/>
        </w:rPr>
        <w:t xml:space="preserve">roponentes, salvo en los casos de contratación directa, contratos para la prestación de servicios de salud, contratos de mínima cuantía, enajenación de bienes del Estado, y los contratos que tengan por objeto la adquisición de productos de origen o destinación agropecuaria que se ofrezcan en bolsas de productos legalmente constituidas. De igual forma, están exceptuados los actos y contratos que tengan por objeto directo las actividades comerciales e industriales propias de las empresas industriales y comerciales del Estado y las sociedades de economía mixta y los contratos de concesión de cualquier índole. </w:t>
      </w:r>
    </w:p>
    <w:p w14:paraId="6BD31397" w14:textId="6AABC3B7" w:rsidR="00D34196" w:rsidRPr="00071199" w:rsidRDefault="00D34196" w:rsidP="00D34196">
      <w:pPr>
        <w:spacing w:before="120" w:after="120" w:line="276" w:lineRule="auto"/>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ab/>
        <w:t>Asimismo, correlativo a este deber de los proponentes, la norma impuso a las cámaras de comercio la obligación de verificar los requisitos habilitantes de quienes se registren. El inciso 2 del numeral 6.1. le otorga carácter de plena prueba a la información contenida en el registro que haya sido verificada por las cámaras de comercio y, además, dispuso que la verificación de las condiciones de que trata el numeral 1 del artículo 5 de la Ley 1150 de 2007</w:t>
      </w:r>
      <w:r w:rsidR="00804585">
        <w:rPr>
          <w:rFonts w:ascii="Arial" w:eastAsia="Calibri" w:hAnsi="Arial" w:cs="Arial"/>
          <w:sz w:val="22"/>
          <w:szCs w:val="22"/>
          <w:lang w:val="es-ES" w:eastAsia="en-US"/>
        </w:rPr>
        <w:t>, en principio,</w:t>
      </w:r>
      <w:r w:rsidRPr="00071199">
        <w:rPr>
          <w:rFonts w:ascii="Arial" w:eastAsia="Calibri" w:hAnsi="Arial" w:cs="Arial"/>
          <w:sz w:val="22"/>
          <w:szCs w:val="22"/>
          <w:lang w:val="es-ES" w:eastAsia="en-US"/>
        </w:rPr>
        <w:t xml:space="preserve"> se demostrará «exclusivamente con el respectivo certificado del RUP en donde deberán constar dichas condiciones». </w:t>
      </w:r>
    </w:p>
    <w:p w14:paraId="1BA3806B"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En consecuencia, la norma </w:t>
      </w:r>
      <w:r>
        <w:rPr>
          <w:rFonts w:ascii="Arial" w:eastAsia="Calibri" w:hAnsi="Arial" w:cs="Arial"/>
          <w:sz w:val="22"/>
          <w:szCs w:val="22"/>
          <w:lang w:val="es-ES" w:eastAsia="en-US"/>
        </w:rPr>
        <w:t xml:space="preserve">establece </w:t>
      </w:r>
      <w:r w:rsidRPr="00071199">
        <w:rPr>
          <w:rFonts w:ascii="Arial" w:eastAsia="Calibri" w:hAnsi="Arial" w:cs="Arial"/>
          <w:sz w:val="22"/>
          <w:szCs w:val="22"/>
          <w:lang w:val="es-ES" w:eastAsia="en-US"/>
        </w:rPr>
        <w:t>que a las entidades les está prohibido exigir otros documentos para efectuar la inscripción en el registro, salvo lo dispuesto en el inciso 3 del numeral 6.1.</w:t>
      </w:r>
      <w:r>
        <w:rPr>
          <w:rFonts w:ascii="Arial" w:eastAsia="Calibri" w:hAnsi="Arial" w:cs="Arial"/>
          <w:sz w:val="22"/>
          <w:szCs w:val="22"/>
          <w:lang w:val="es-ES" w:eastAsia="en-US"/>
        </w:rPr>
        <w:t xml:space="preserve"> </w:t>
      </w:r>
      <w:r w:rsidRPr="00071199">
        <w:rPr>
          <w:rFonts w:ascii="Arial" w:eastAsia="Calibri" w:hAnsi="Arial" w:cs="Arial"/>
          <w:sz w:val="22"/>
          <w:szCs w:val="22"/>
          <w:lang w:val="es-ES" w:eastAsia="en-US"/>
        </w:rPr>
        <w:t xml:space="preserve">del artículo 6 de la Ley 1150 de 2007, en el que se prevé que la entidad 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verificar requisitos adicionales a los contenidos en el registro.  </w:t>
      </w:r>
    </w:p>
    <w:p w14:paraId="6A824663" w14:textId="13A2AE75" w:rsidR="00D34196" w:rsidRPr="00071199" w:rsidRDefault="00D34196" w:rsidP="00D34196">
      <w:pPr>
        <w:spacing w:line="276" w:lineRule="auto"/>
        <w:ind w:firstLine="709"/>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De lo anterior se concluye que la regla general es que la experiencia se acredite </w:t>
      </w:r>
      <w:r w:rsidR="00804585">
        <w:rPr>
          <w:rFonts w:ascii="Arial" w:eastAsia="Calibri" w:hAnsi="Arial" w:cs="Arial"/>
          <w:sz w:val="22"/>
          <w:szCs w:val="22"/>
          <w:lang w:val="es-ES" w:eastAsia="en-US"/>
        </w:rPr>
        <w:t xml:space="preserve">mediante </w:t>
      </w:r>
      <w:r w:rsidRPr="00071199">
        <w:rPr>
          <w:rFonts w:ascii="Arial" w:eastAsia="Calibri" w:hAnsi="Arial" w:cs="Arial"/>
          <w:sz w:val="22"/>
          <w:szCs w:val="22"/>
          <w:lang w:val="es-ES" w:eastAsia="en-US"/>
        </w:rPr>
        <w:t xml:space="preserve">el RUP y, en consecuencia, la evaluación de la experiencia, como requisito habilitante, no puede ser </w:t>
      </w:r>
      <w:r>
        <w:rPr>
          <w:rFonts w:ascii="Arial" w:eastAsia="Calibri" w:hAnsi="Arial" w:cs="Arial"/>
          <w:sz w:val="22"/>
          <w:szCs w:val="22"/>
          <w:lang w:val="es-ES" w:eastAsia="en-US"/>
        </w:rPr>
        <w:t>realizada</w:t>
      </w:r>
      <w:r w:rsidRPr="00071199">
        <w:rPr>
          <w:rFonts w:ascii="Arial" w:eastAsia="Calibri" w:hAnsi="Arial" w:cs="Arial"/>
          <w:sz w:val="22"/>
          <w:szCs w:val="22"/>
          <w:lang w:val="es-ES" w:eastAsia="en-US"/>
        </w:rPr>
        <w:t xml:space="preserve"> nuevamente por la entidad pública a partir de otros criterios distintos a los contenidos en el </w:t>
      </w:r>
      <w:r>
        <w:rPr>
          <w:rFonts w:ascii="Arial" w:eastAsia="Calibri" w:hAnsi="Arial" w:cs="Arial"/>
          <w:sz w:val="22"/>
          <w:szCs w:val="22"/>
          <w:lang w:val="es-ES" w:eastAsia="en-US"/>
        </w:rPr>
        <w:t>R</w:t>
      </w:r>
      <w:r w:rsidRPr="00071199">
        <w:rPr>
          <w:rFonts w:ascii="Arial" w:eastAsia="Calibri" w:hAnsi="Arial" w:cs="Arial"/>
          <w:sz w:val="22"/>
          <w:szCs w:val="22"/>
          <w:lang w:val="es-ES" w:eastAsia="en-US"/>
        </w:rPr>
        <w:t xml:space="preserve">egistro </w:t>
      </w:r>
      <w:r>
        <w:rPr>
          <w:rFonts w:ascii="Arial" w:eastAsia="Calibri" w:hAnsi="Arial" w:cs="Arial"/>
          <w:sz w:val="22"/>
          <w:szCs w:val="22"/>
          <w:lang w:val="es-ES" w:eastAsia="en-US"/>
        </w:rPr>
        <w:t>Ún</w:t>
      </w:r>
      <w:r w:rsidRPr="00071199">
        <w:rPr>
          <w:rFonts w:ascii="Arial" w:eastAsia="Calibri" w:hAnsi="Arial" w:cs="Arial"/>
          <w:sz w:val="22"/>
          <w:szCs w:val="22"/>
          <w:lang w:val="es-ES" w:eastAsia="en-US"/>
        </w:rPr>
        <w:t xml:space="preserve">ico de </w:t>
      </w:r>
      <w:r>
        <w:rPr>
          <w:rFonts w:ascii="Arial" w:eastAsia="Calibri" w:hAnsi="Arial" w:cs="Arial"/>
          <w:sz w:val="22"/>
          <w:szCs w:val="22"/>
          <w:lang w:val="es-ES" w:eastAsia="en-US"/>
        </w:rPr>
        <w:t>P</w:t>
      </w:r>
      <w:r w:rsidRPr="00071199">
        <w:rPr>
          <w:rFonts w:ascii="Arial" w:eastAsia="Calibri" w:hAnsi="Arial" w:cs="Arial"/>
          <w:sz w:val="22"/>
          <w:szCs w:val="22"/>
          <w:lang w:val="es-ES" w:eastAsia="en-US"/>
        </w:rPr>
        <w:t xml:space="preserve">roponentes. </w:t>
      </w:r>
    </w:p>
    <w:p w14:paraId="22D322AD" w14:textId="77777777" w:rsidR="00D34196" w:rsidRPr="00071199" w:rsidRDefault="00D34196" w:rsidP="00D34196">
      <w:pPr>
        <w:spacing w:line="276" w:lineRule="auto"/>
        <w:ind w:firstLine="709"/>
        <w:jc w:val="both"/>
        <w:rPr>
          <w:rFonts w:ascii="Arial" w:eastAsia="Calibri" w:hAnsi="Arial" w:cs="Arial"/>
          <w:sz w:val="22"/>
          <w:szCs w:val="22"/>
          <w:lang w:val="es-ES" w:eastAsia="en-US"/>
        </w:rPr>
      </w:pPr>
    </w:p>
    <w:p w14:paraId="18E6111B" w14:textId="77777777" w:rsidR="00D34196" w:rsidRPr="00071199" w:rsidRDefault="00D34196" w:rsidP="00D34196">
      <w:pPr>
        <w:spacing w:line="276" w:lineRule="auto"/>
        <w:jc w:val="both"/>
        <w:rPr>
          <w:rFonts w:ascii="Arial" w:eastAsia="Calibri" w:hAnsi="Arial" w:cs="Arial"/>
          <w:b/>
          <w:bCs/>
          <w:sz w:val="22"/>
          <w:szCs w:val="22"/>
          <w:lang w:val="es-ES" w:eastAsia="en-US"/>
        </w:rPr>
      </w:pPr>
      <w:r w:rsidRPr="00071199">
        <w:rPr>
          <w:rFonts w:ascii="Arial" w:eastAsia="Calibri" w:hAnsi="Arial" w:cs="Arial"/>
          <w:b/>
          <w:bCs/>
          <w:sz w:val="22"/>
          <w:szCs w:val="22"/>
          <w:lang w:val="es-ES" w:eastAsia="en-US"/>
        </w:rPr>
        <w:t>2.3. Acreditación de experiencia de socios por parte de sociedades con menos de tres años de constitución</w:t>
      </w:r>
    </w:p>
    <w:p w14:paraId="4D2AEC82" w14:textId="77777777" w:rsidR="00D34196" w:rsidRPr="00071199" w:rsidRDefault="00D34196" w:rsidP="00D34196">
      <w:pPr>
        <w:spacing w:line="276" w:lineRule="auto"/>
        <w:ind w:firstLine="708"/>
        <w:jc w:val="both"/>
        <w:rPr>
          <w:rFonts w:ascii="Arial" w:eastAsia="Calibri" w:hAnsi="Arial" w:cs="Arial"/>
          <w:sz w:val="22"/>
          <w:szCs w:val="22"/>
          <w:lang w:val="es-ES" w:eastAsia="en-US"/>
        </w:rPr>
      </w:pPr>
    </w:p>
    <w:p w14:paraId="02C01DCF" w14:textId="77777777" w:rsidR="00D34196" w:rsidRPr="00071199" w:rsidRDefault="00D34196" w:rsidP="00D34196">
      <w:pPr>
        <w:spacing w:line="276" w:lineRule="auto"/>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con excepción de la selección de </w:t>
      </w:r>
      <w:r w:rsidRPr="00071199">
        <w:rPr>
          <w:rFonts w:ascii="Arial" w:eastAsia="Calibri" w:hAnsi="Arial" w:cs="Arial"/>
          <w:sz w:val="22"/>
          <w:szCs w:val="22"/>
          <w:lang w:val="es-ES" w:eastAsia="en-US"/>
        </w:rPr>
        <w:lastRenderedPageBreak/>
        <w:t xml:space="preserve">consultores mediante un concurso de méritos, donde es posible otorgar puntaje al criterio de experiencia. </w:t>
      </w:r>
    </w:p>
    <w:p w14:paraId="1F4434DD"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Por su parte, el artículo 6 de la Ley 1150 de 2007 señala que todas las personas naturales o jurídicas, nacionales o extranjeras, domiciliadas o con sucursal en Colombia, que aspiren celebrar contratos con las entidades</w:t>
      </w:r>
      <w:r>
        <w:rPr>
          <w:rFonts w:ascii="Arial" w:eastAsia="Calibri" w:hAnsi="Arial" w:cs="Arial"/>
          <w:sz w:val="22"/>
          <w:szCs w:val="22"/>
          <w:lang w:val="es-ES" w:eastAsia="en-US"/>
        </w:rPr>
        <w:t xml:space="preserve"> estatales,</w:t>
      </w:r>
      <w:r w:rsidRPr="00071199">
        <w:rPr>
          <w:rFonts w:ascii="Arial" w:eastAsia="Calibri" w:hAnsi="Arial" w:cs="Arial"/>
          <w:sz w:val="22"/>
          <w:szCs w:val="22"/>
          <w:lang w:val="es-ES" w:eastAsia="en-US"/>
        </w:rPr>
        <w:t xml:space="preserve"> deberán estar inscritas en el Registro Único de Proponentes. En dicho registro constará la información relacionada con la experiencia, capacidad jurídica, financiera y de organización del proponente y su clasificación. En relación con el requisito habilitante de experiencia, en el «Manual para determinar y verificar requisitos habilitantes en los </w:t>
      </w:r>
      <w:r>
        <w:rPr>
          <w:rFonts w:ascii="Arial" w:eastAsia="Calibri" w:hAnsi="Arial" w:cs="Arial"/>
          <w:sz w:val="22"/>
          <w:szCs w:val="22"/>
          <w:lang w:val="es-ES" w:eastAsia="en-US"/>
        </w:rPr>
        <w:t>P</w:t>
      </w:r>
      <w:r w:rsidRPr="00071199">
        <w:rPr>
          <w:rFonts w:ascii="Arial" w:eastAsia="Calibri" w:hAnsi="Arial" w:cs="Arial"/>
          <w:sz w:val="22"/>
          <w:szCs w:val="22"/>
          <w:lang w:val="es-ES" w:eastAsia="en-US"/>
        </w:rPr>
        <w:t xml:space="preserve">rocesos de </w:t>
      </w:r>
      <w:r>
        <w:rPr>
          <w:rFonts w:ascii="Arial" w:eastAsia="Calibri" w:hAnsi="Arial" w:cs="Arial"/>
          <w:sz w:val="22"/>
          <w:szCs w:val="22"/>
          <w:lang w:val="es-ES" w:eastAsia="en-US"/>
        </w:rPr>
        <w:t>C</w:t>
      </w:r>
      <w:r w:rsidRPr="00071199">
        <w:rPr>
          <w:rFonts w:ascii="Arial" w:eastAsia="Calibri" w:hAnsi="Arial" w:cs="Arial"/>
          <w:sz w:val="22"/>
          <w:szCs w:val="22"/>
          <w:lang w:val="es-ES" w:eastAsia="en-US"/>
        </w:rPr>
        <w:t>ontratación» se define la experiencia como «el conocimiento del proponente derivado de su participación previa en actividades iguales o similares a las previstas en el objeto del contrato».</w:t>
      </w:r>
    </w:p>
    <w:p w14:paraId="16ACD1A4"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071199">
        <w:rPr>
          <w:rFonts w:ascii="Arial" w:eastAsia="Calibri" w:hAnsi="Arial" w:cs="Arial"/>
          <w:sz w:val="22"/>
          <w:szCs w:val="22"/>
          <w:vertAlign w:val="superscript"/>
          <w:lang w:val="es-ES" w:eastAsia="en-US"/>
        </w:rPr>
        <w:footnoteReference w:id="10"/>
      </w:r>
      <w:r w:rsidRPr="00071199">
        <w:rPr>
          <w:rFonts w:ascii="Arial" w:eastAsia="Calibri" w:hAnsi="Arial" w:cs="Arial"/>
          <w:sz w:val="22"/>
          <w:szCs w:val="22"/>
          <w:lang w:val="es-ES" w:eastAsia="en-US"/>
        </w:rPr>
        <w:t xml:space="preserve">.  </w:t>
      </w:r>
    </w:p>
    <w:p w14:paraId="7EF33267"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El numeral 2.5</w:t>
      </w:r>
      <w:r w:rsidRPr="00071199">
        <w:rPr>
          <w:rFonts w:ascii="Arial" w:eastAsia="Calibri" w:hAnsi="Arial" w:cs="Arial"/>
          <w:sz w:val="22"/>
          <w:szCs w:val="22"/>
          <w:vertAlign w:val="superscript"/>
          <w:lang w:val="es-ES" w:eastAsia="en-US"/>
        </w:rPr>
        <w:footnoteReference w:id="11"/>
      </w:r>
      <w:r w:rsidRPr="00071199">
        <w:rPr>
          <w:rFonts w:ascii="Arial" w:eastAsia="Calibri" w:hAnsi="Arial" w:cs="Arial"/>
          <w:sz w:val="22"/>
          <w:szCs w:val="22"/>
          <w:lang w:val="es-ES" w:eastAsia="en-US"/>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52E1919A" w14:textId="51DA0FC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lastRenderedPageBreak/>
        <w:t xml:space="preserve">El interesado debe indicar en cada certificado, o en cada copia de los contratos, los bienes, obras y servicios a los cuales corresponde la experiencia que pretende acreditar, identificándolos con el Clasificador de Bienes y Servicios, en el tercer nivel. </w:t>
      </w:r>
      <w:r>
        <w:rPr>
          <w:rFonts w:ascii="Arial" w:eastAsia="Calibri" w:hAnsi="Arial" w:cs="Arial"/>
          <w:sz w:val="22"/>
          <w:szCs w:val="22"/>
          <w:lang w:val="es-ES" w:eastAsia="en-US"/>
        </w:rPr>
        <w:t xml:space="preserve">Además, dicho numeral establece </w:t>
      </w:r>
      <w:r w:rsidR="00CF4B54">
        <w:rPr>
          <w:rFonts w:ascii="Arial" w:eastAsia="Calibri" w:hAnsi="Arial" w:cs="Arial"/>
          <w:sz w:val="22"/>
          <w:szCs w:val="22"/>
          <w:lang w:val="es-ES" w:eastAsia="en-US"/>
        </w:rPr>
        <w:t>que,</w:t>
      </w:r>
      <w:r w:rsidRPr="00071199">
        <w:rPr>
          <w:rFonts w:ascii="Arial" w:eastAsia="Calibri" w:hAnsi="Arial" w:cs="Arial"/>
          <w:sz w:val="22"/>
          <w:szCs w:val="22"/>
          <w:lang w:val="es-ES" w:eastAsia="en-US"/>
        </w:rPr>
        <w:t xml:space="preserve"> </w:t>
      </w:r>
      <w:r>
        <w:rPr>
          <w:rFonts w:ascii="Arial" w:eastAsia="Calibri" w:hAnsi="Arial" w:cs="Arial"/>
          <w:sz w:val="22"/>
          <w:szCs w:val="22"/>
          <w:lang w:val="es-ES" w:eastAsia="en-US"/>
        </w:rPr>
        <w:t>s</w:t>
      </w:r>
      <w:r w:rsidRPr="00071199">
        <w:rPr>
          <w:rFonts w:ascii="Arial" w:eastAsia="Calibri" w:hAnsi="Arial" w:cs="Arial"/>
          <w:sz w:val="22"/>
          <w:szCs w:val="22"/>
          <w:lang w:val="es-ES" w:eastAsia="en-US"/>
        </w:rPr>
        <w:t>i la constitución del interesado es menor a 3 años, puede acreditar la experiencia de sus accionistas, socios o constituyentes.</w:t>
      </w:r>
    </w:p>
    <w:p w14:paraId="329BA846"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bookmarkStart w:id="1" w:name="_Hlk67496603"/>
      <w:r>
        <w:rPr>
          <w:rFonts w:ascii="Arial" w:eastAsia="Calibri" w:hAnsi="Arial" w:cs="Arial"/>
          <w:sz w:val="22"/>
          <w:szCs w:val="22"/>
          <w:lang w:val="es-ES" w:eastAsia="en-US"/>
        </w:rPr>
        <w:t xml:space="preserve">De esta manera, </w:t>
      </w:r>
      <w:bookmarkStart w:id="2" w:name="_Hlk94016717"/>
      <w:r>
        <w:rPr>
          <w:rFonts w:ascii="Arial" w:eastAsia="Calibri" w:hAnsi="Arial" w:cs="Arial"/>
          <w:sz w:val="22"/>
          <w:szCs w:val="22"/>
          <w:lang w:val="es-ES" w:eastAsia="en-US"/>
        </w:rPr>
        <w:t>l</w:t>
      </w:r>
      <w:r w:rsidRPr="00071199">
        <w:rPr>
          <w:rFonts w:ascii="Arial" w:eastAsia="Calibri" w:hAnsi="Arial" w:cs="Arial"/>
          <w:sz w:val="22"/>
          <w:szCs w:val="22"/>
          <w:lang w:val="es-ES" w:eastAsia="en-US"/>
        </w:rPr>
        <w:t>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w:t>
      </w:r>
      <w:bookmarkEnd w:id="2"/>
      <w:r w:rsidRPr="00071199">
        <w:rPr>
          <w:rFonts w:ascii="Arial" w:eastAsia="Calibri" w:hAnsi="Arial" w:cs="Arial"/>
          <w:sz w:val="22"/>
          <w:szCs w:val="22"/>
          <w:lang w:val="es-ES" w:eastAsia="en-US"/>
        </w:rPr>
        <w:t>. A pesar de que la experiencia es inherente a la persona que la ha obtenido, razón por la cual es intransferible en virtud de su carácter personalísimo, por disposición legal o reglamentaria, en casos excepcionales</w:t>
      </w:r>
      <w:r>
        <w:rPr>
          <w:rFonts w:ascii="Arial" w:eastAsia="Calibri" w:hAnsi="Arial" w:cs="Arial"/>
          <w:sz w:val="22"/>
          <w:szCs w:val="22"/>
          <w:lang w:val="es-ES" w:eastAsia="en-US"/>
        </w:rPr>
        <w:t xml:space="preserve"> </w:t>
      </w:r>
      <w:r w:rsidRPr="00071199">
        <w:rPr>
          <w:rFonts w:ascii="Arial" w:eastAsia="Calibri" w:hAnsi="Arial" w:cs="Arial"/>
          <w:sz w:val="22"/>
          <w:szCs w:val="22"/>
          <w:lang w:val="es-ES" w:eastAsia="en-US"/>
        </w:rPr>
        <w:t xml:space="preserve">como el descrito por el artículo mencionado, se </w:t>
      </w:r>
      <w:r>
        <w:rPr>
          <w:rFonts w:ascii="Arial" w:eastAsia="Calibri" w:hAnsi="Arial" w:cs="Arial"/>
          <w:sz w:val="22"/>
          <w:szCs w:val="22"/>
          <w:lang w:val="es-ES" w:eastAsia="en-US"/>
        </w:rPr>
        <w:t>permite hacerlo</w:t>
      </w:r>
      <w:r w:rsidRPr="00071199">
        <w:rPr>
          <w:rFonts w:ascii="Arial" w:eastAsia="Calibri" w:hAnsi="Arial" w:cs="Arial"/>
          <w:sz w:val="22"/>
          <w:szCs w:val="22"/>
          <w:lang w:val="es-ES" w:eastAsia="en-US"/>
        </w:rPr>
        <w:t xml:space="preserve">. </w:t>
      </w:r>
    </w:p>
    <w:p w14:paraId="18934B6A"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que establezcan las entidades estatales en sus procesos de contratación, y de esta forma promover el desarrollo de la empresa y la pluralidad de oferentes en la contratación pública.</w:t>
      </w:r>
    </w:p>
    <w:bookmarkEnd w:id="1"/>
    <w:p w14:paraId="65C0EE02"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Este aspecto ofrece meridiana claridad en cuanto a su aplicación, pero el interrogante que ha generado la norma es el siguiente: ¿qué pasa después de que la sociedad a la que le ha sido permitido certificar la experiencia de sus socios, accionistas o constituyentes cumple 3 años de su constitución?</w:t>
      </w:r>
      <w:r>
        <w:rPr>
          <w:rFonts w:ascii="Arial" w:eastAsia="Calibri" w:hAnsi="Arial" w:cs="Arial"/>
          <w:sz w:val="22"/>
          <w:szCs w:val="22"/>
          <w:lang w:val="es-ES" w:eastAsia="en-US"/>
        </w:rPr>
        <w:t>,</w:t>
      </w:r>
      <w:r w:rsidRPr="00071199">
        <w:rPr>
          <w:rFonts w:ascii="Arial" w:eastAsia="Calibri" w:hAnsi="Arial" w:cs="Arial"/>
          <w:sz w:val="22"/>
          <w:szCs w:val="22"/>
          <w:lang w:val="es-ES" w:eastAsia="en-US"/>
        </w:rPr>
        <w:t xml:space="preserve"> ¿puede seguir siendo beneficiaria de la prerrogativa del numeral 2.5 del artículo 2.2.1.1.1.5.2 del Decreto 1082 de 2015? Estos interrogantes han sido planteados a la Subdirección de Gestión Contractual y se han desarrollado, en torno a dos posiciones, que se plantean a continuación: </w:t>
      </w:r>
    </w:p>
    <w:p w14:paraId="3577AE06"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En el concepto identificado con radicado No. 4201814000001418 del 3 de abril de 2018, donde frente a la misma pregunta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w:t>
      </w:r>
      <w:r>
        <w:rPr>
          <w:rFonts w:ascii="Arial" w:eastAsia="Calibri" w:hAnsi="Arial" w:cs="Arial"/>
          <w:sz w:val="22"/>
          <w:szCs w:val="22"/>
          <w:lang w:val="es-ES" w:eastAsia="en-US"/>
        </w:rPr>
        <w:t>, en su momento,</w:t>
      </w:r>
      <w:r w:rsidRPr="00071199">
        <w:rPr>
          <w:rFonts w:ascii="Arial" w:eastAsia="Calibri" w:hAnsi="Arial" w:cs="Arial"/>
          <w:sz w:val="22"/>
          <w:szCs w:val="22"/>
          <w:lang w:val="es-ES" w:eastAsia="en-US"/>
        </w:rPr>
        <w:t xml:space="preserve"> lo siguiente: </w:t>
      </w:r>
    </w:p>
    <w:p w14:paraId="4B5BFA37"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i) El Decreto 1082 de 2015 establece </w:t>
      </w:r>
      <w:proofErr w:type="gramStart"/>
      <w:r w:rsidRPr="00071199">
        <w:rPr>
          <w:rFonts w:ascii="Arial" w:eastAsia="Calibri" w:hAnsi="Arial" w:cs="Arial"/>
          <w:sz w:val="22"/>
          <w:szCs w:val="22"/>
          <w:lang w:val="es-ES" w:eastAsia="en-US"/>
        </w:rPr>
        <w:t>que</w:t>
      </w:r>
      <w:proofErr w:type="gramEnd"/>
      <w:r w:rsidRPr="00071199">
        <w:rPr>
          <w:rFonts w:ascii="Arial" w:eastAsia="Calibri" w:hAnsi="Arial" w:cs="Arial"/>
          <w:sz w:val="22"/>
          <w:szCs w:val="22"/>
          <w:lang w:val="es-ES" w:eastAsia="en-US"/>
        </w:rPr>
        <w:t xml:space="preserve"> para la inscripción en el RUP de una persona jurídica, si su constitución es menor a 3 años, puede acreditar la experiencia de sus accionistas, socios o constituyentes. </w:t>
      </w:r>
    </w:p>
    <w:p w14:paraId="229AE840"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proofErr w:type="spellStart"/>
      <w:r w:rsidRPr="00071199">
        <w:rPr>
          <w:rFonts w:ascii="Arial" w:eastAsia="Calibri" w:hAnsi="Arial" w:cs="Arial"/>
          <w:sz w:val="22"/>
          <w:szCs w:val="22"/>
          <w:lang w:val="es-ES" w:eastAsia="en-US"/>
        </w:rPr>
        <w:lastRenderedPageBreak/>
        <w:t>ii</w:t>
      </w:r>
      <w:proofErr w:type="spellEnd"/>
      <w:r w:rsidRPr="00071199">
        <w:rPr>
          <w:rFonts w:ascii="Arial" w:eastAsia="Calibri" w:hAnsi="Arial" w:cs="Arial"/>
          <w:sz w:val="22"/>
          <w:szCs w:val="22"/>
          <w:lang w:val="es-ES" w:eastAsia="en-US"/>
        </w:rPr>
        <w:t xml:space="preserve">)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2BCC91AE"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proofErr w:type="spellStart"/>
      <w:r w:rsidRPr="00071199">
        <w:rPr>
          <w:rFonts w:ascii="Arial" w:eastAsia="Calibri" w:hAnsi="Arial" w:cs="Arial"/>
          <w:sz w:val="22"/>
          <w:szCs w:val="22"/>
          <w:lang w:val="es-ES" w:eastAsia="en-US"/>
        </w:rPr>
        <w:t>i</w:t>
      </w:r>
      <w:r>
        <w:rPr>
          <w:rFonts w:ascii="Arial" w:eastAsia="Calibri" w:hAnsi="Arial" w:cs="Arial"/>
          <w:sz w:val="22"/>
          <w:szCs w:val="22"/>
          <w:lang w:val="es-ES" w:eastAsia="en-US"/>
        </w:rPr>
        <w:t>ii</w:t>
      </w:r>
      <w:proofErr w:type="spellEnd"/>
      <w:r w:rsidRPr="00071199">
        <w:rPr>
          <w:rFonts w:ascii="Arial" w:eastAsia="Calibri" w:hAnsi="Arial" w:cs="Arial"/>
          <w:sz w:val="22"/>
          <w:szCs w:val="22"/>
          <w:lang w:val="es-ES" w:eastAsia="en-US"/>
        </w:rPr>
        <w:t xml:space="preserve">) En consecuencia,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 </w:t>
      </w:r>
    </w:p>
    <w:p w14:paraId="61FD7D0D"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proofErr w:type="spellStart"/>
      <w:r>
        <w:rPr>
          <w:rFonts w:ascii="Arial" w:eastAsia="Calibri" w:hAnsi="Arial" w:cs="Arial"/>
          <w:sz w:val="22"/>
          <w:szCs w:val="22"/>
          <w:lang w:val="es-ES" w:eastAsia="en-US"/>
        </w:rPr>
        <w:t>i</w:t>
      </w:r>
      <w:r w:rsidRPr="00071199">
        <w:rPr>
          <w:rFonts w:ascii="Arial" w:eastAsia="Calibri" w:hAnsi="Arial" w:cs="Arial"/>
          <w:sz w:val="22"/>
          <w:szCs w:val="22"/>
          <w:lang w:val="es-ES" w:eastAsia="en-US"/>
        </w:rPr>
        <w:t>v</w:t>
      </w:r>
      <w:proofErr w:type="spellEnd"/>
      <w:r w:rsidRPr="00071199">
        <w:rPr>
          <w:rFonts w:ascii="Arial" w:eastAsia="Calibri" w:hAnsi="Arial" w:cs="Arial"/>
          <w:sz w:val="22"/>
          <w:szCs w:val="22"/>
          <w:lang w:val="es-ES" w:eastAsia="en-US"/>
        </w:rPr>
        <w:t xml:space="preserve">)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―únicamente para la capacidad jurídica y experiencia― y debe ser verificada junto con sus soportes por la Cámara de Comercio correspondiente. </w:t>
      </w:r>
    </w:p>
    <w:p w14:paraId="54B34871"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La posición anterior, en relación con la </w:t>
      </w:r>
      <w:r>
        <w:rPr>
          <w:rFonts w:ascii="Arial" w:eastAsia="Calibri" w:hAnsi="Arial" w:cs="Arial"/>
          <w:sz w:val="22"/>
          <w:szCs w:val="22"/>
          <w:lang w:val="es-ES" w:eastAsia="en-US"/>
        </w:rPr>
        <w:t>im</w:t>
      </w:r>
      <w:r w:rsidRPr="00071199">
        <w:rPr>
          <w:rFonts w:ascii="Arial" w:eastAsia="Calibri" w:hAnsi="Arial" w:cs="Arial"/>
          <w:sz w:val="22"/>
          <w:szCs w:val="22"/>
          <w:lang w:val="es-ES" w:eastAsia="en-US"/>
        </w:rPr>
        <w:t>posibilidad de que las sociedades nuevas puedan seguir acreditando la experiencia de sus socios, accionistas o constituyentes, incluso después de cumplidos 3 años de constitución de la persona jurídica, fue superada</w:t>
      </w:r>
      <w:r>
        <w:rPr>
          <w:rFonts w:ascii="Arial" w:eastAsia="Calibri" w:hAnsi="Arial" w:cs="Arial"/>
          <w:sz w:val="22"/>
          <w:szCs w:val="22"/>
          <w:lang w:val="es-ES" w:eastAsia="en-US"/>
        </w:rPr>
        <w:t xml:space="preserve">. </w:t>
      </w:r>
      <w:r w:rsidRPr="00071199">
        <w:rPr>
          <w:rFonts w:ascii="Arial" w:eastAsia="Calibri" w:hAnsi="Arial" w:cs="Arial"/>
          <w:sz w:val="22"/>
          <w:szCs w:val="22"/>
          <w:lang w:val="es-ES" w:eastAsia="en-US"/>
        </w:rPr>
        <w:t xml:space="preserve"> </w:t>
      </w:r>
      <w:r>
        <w:rPr>
          <w:rFonts w:ascii="Arial" w:eastAsia="Calibri" w:hAnsi="Arial" w:cs="Arial"/>
          <w:sz w:val="22"/>
          <w:szCs w:val="22"/>
          <w:lang w:val="es-ES" w:eastAsia="en-US"/>
        </w:rPr>
        <w:t>En tal sentido, esta</w:t>
      </w:r>
      <w:r w:rsidRPr="00071199">
        <w:rPr>
          <w:rFonts w:ascii="Arial" w:eastAsia="Calibri" w:hAnsi="Arial" w:cs="Arial"/>
          <w:sz w:val="22"/>
          <w:szCs w:val="22"/>
          <w:lang w:val="es-ES" w:eastAsia="en-US"/>
        </w:rPr>
        <w:t xml:space="preserve"> Subdirección </w:t>
      </w:r>
      <w:r>
        <w:rPr>
          <w:rFonts w:ascii="Arial" w:eastAsia="Calibri" w:hAnsi="Arial" w:cs="Arial"/>
          <w:sz w:val="22"/>
          <w:szCs w:val="22"/>
          <w:lang w:val="es-ES" w:eastAsia="en-US"/>
        </w:rPr>
        <w:t xml:space="preserve">ratificó </w:t>
      </w:r>
      <w:r w:rsidRPr="00071199">
        <w:rPr>
          <w:rFonts w:ascii="Arial" w:eastAsia="Calibri" w:hAnsi="Arial" w:cs="Arial"/>
          <w:sz w:val="22"/>
          <w:szCs w:val="22"/>
          <w:lang w:val="es-ES" w:eastAsia="en-US"/>
        </w:rPr>
        <w:t>la tesis que</w:t>
      </w:r>
      <w:r>
        <w:rPr>
          <w:rFonts w:ascii="Arial" w:eastAsia="Calibri" w:hAnsi="Arial" w:cs="Arial"/>
          <w:sz w:val="22"/>
          <w:szCs w:val="22"/>
          <w:lang w:val="es-ES" w:eastAsia="en-US"/>
        </w:rPr>
        <w:t xml:space="preserve"> incluso</w:t>
      </w:r>
      <w:r w:rsidRPr="00071199">
        <w:rPr>
          <w:rFonts w:ascii="Arial" w:eastAsia="Calibri" w:hAnsi="Arial" w:cs="Arial"/>
          <w:sz w:val="22"/>
          <w:szCs w:val="22"/>
          <w:lang w:val="es-ES" w:eastAsia="en-US"/>
        </w:rPr>
        <w:t xml:space="preserve"> ya había sido desarrollada </w:t>
      </w:r>
      <w:r>
        <w:rPr>
          <w:rFonts w:ascii="Arial" w:eastAsia="Calibri" w:hAnsi="Arial" w:cs="Arial"/>
          <w:sz w:val="22"/>
          <w:szCs w:val="22"/>
          <w:lang w:val="es-ES" w:eastAsia="en-US"/>
        </w:rPr>
        <w:t>en un concepto anterior</w:t>
      </w:r>
      <w:r w:rsidRPr="00071199">
        <w:rPr>
          <w:rFonts w:ascii="Arial" w:eastAsia="Calibri" w:hAnsi="Arial" w:cs="Arial"/>
          <w:sz w:val="22"/>
          <w:szCs w:val="22"/>
          <w:lang w:val="es-ES" w:eastAsia="en-US"/>
        </w:rPr>
        <w:t xml:space="preserve"> del 7 de febrero de 2018</w:t>
      </w:r>
      <w:r w:rsidRPr="00071199">
        <w:rPr>
          <w:rFonts w:ascii="Arial" w:eastAsia="Calibri" w:hAnsi="Arial" w:cs="Arial"/>
          <w:sz w:val="22"/>
          <w:szCs w:val="22"/>
          <w:vertAlign w:val="superscript"/>
          <w:lang w:val="es-ES" w:eastAsia="en-US"/>
        </w:rPr>
        <w:footnoteReference w:id="12"/>
      </w:r>
      <w:r w:rsidRPr="00071199">
        <w:rPr>
          <w:rFonts w:ascii="Arial" w:eastAsia="Calibri" w:hAnsi="Arial" w:cs="Arial"/>
          <w:sz w:val="22"/>
          <w:szCs w:val="22"/>
          <w:lang w:val="es-ES" w:eastAsia="en-US"/>
        </w:rPr>
        <w:t>, recogida y unificada en el concepto con radicado No. 4201913000006797 del 19 de noviembre de 2019</w:t>
      </w:r>
      <w:r>
        <w:rPr>
          <w:rFonts w:ascii="Arial" w:eastAsia="Calibri" w:hAnsi="Arial" w:cs="Arial"/>
          <w:sz w:val="22"/>
          <w:szCs w:val="22"/>
          <w:lang w:val="es-ES" w:eastAsia="en-US"/>
        </w:rPr>
        <w:t>. Allí se sostuvo, y se ha mantenido la tesis hasta la actualidad,</w:t>
      </w:r>
      <w:r w:rsidRPr="00071199">
        <w:rPr>
          <w:rFonts w:ascii="Arial" w:eastAsia="Calibri" w:hAnsi="Arial" w:cs="Arial"/>
          <w:sz w:val="22"/>
          <w:szCs w:val="22"/>
          <w:lang w:val="es-ES" w:eastAsia="en-US"/>
        </w:rPr>
        <w:t xml:space="preserve"> que las personas jurídicas que hubieran sido beneficiarias de la norma podían seguir acreditando la experiencia de sus socios o accionistas, inclusive después de transcurridos 3 años desde la constitución de la sociedad, siempre que se renovara constantemente el RUP.  </w:t>
      </w:r>
    </w:p>
    <w:p w14:paraId="7CEF0664"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Teniendo en cuenta lo anterior, aunque la persona jurídica tenga más de tres años de constituida y haya registrado inicialmente la experiencia de sus socios en el RUP –pues su constitución era inferior a tres años–, cuando este sea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78D52761"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Pr>
          <w:rFonts w:ascii="Arial" w:eastAsia="Calibri" w:hAnsi="Arial" w:cs="Arial"/>
          <w:sz w:val="22"/>
          <w:szCs w:val="22"/>
          <w:lang w:val="es-ES" w:eastAsia="en-US"/>
        </w:rPr>
        <w:lastRenderedPageBreak/>
        <w:t>En armonía con lo anterior, s</w:t>
      </w:r>
      <w:r w:rsidRPr="00071199">
        <w:rPr>
          <w:rFonts w:ascii="Arial" w:eastAsia="Calibri" w:hAnsi="Arial" w:cs="Arial"/>
          <w:sz w:val="22"/>
          <w:szCs w:val="22"/>
          <w:lang w:val="es-ES" w:eastAsia="en-US"/>
        </w:rPr>
        <w:t>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071199">
        <w:rPr>
          <w:rFonts w:ascii="Arial" w:eastAsia="Calibri" w:hAnsi="Arial" w:cs="Arial"/>
          <w:sz w:val="22"/>
          <w:szCs w:val="22"/>
          <w:vertAlign w:val="superscript"/>
          <w:lang w:val="es-ES" w:eastAsia="en-US"/>
        </w:rPr>
        <w:footnoteReference w:id="13"/>
      </w:r>
      <w:r w:rsidRPr="00071199">
        <w:rPr>
          <w:rFonts w:ascii="Arial" w:eastAsia="Calibri" w:hAnsi="Arial" w:cs="Arial"/>
          <w:sz w:val="22"/>
          <w:szCs w:val="22"/>
          <w:lang w:val="es-ES" w:eastAsia="en-US"/>
        </w:rPr>
        <w:t xml:space="preserve">. En la actualidad, las cámaras de comercio solo pueden eliminar la experiencia registrada en el RUP a solicitud del proponente. Por tanto, les corresponde a las personas jurídicas mantener su RUP actualizado y a las entidades estatales verificar este registro para efectos de evaluar la experiencia. </w:t>
      </w:r>
    </w:p>
    <w:p w14:paraId="2454BA96" w14:textId="77777777" w:rsidR="00D34196" w:rsidRPr="00071199" w:rsidRDefault="00D34196" w:rsidP="00D34196">
      <w:pPr>
        <w:spacing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En otras palabras, </w:t>
      </w:r>
      <w:bookmarkStart w:id="3" w:name="_Hlk91599715"/>
      <w:bookmarkStart w:id="4" w:name="_Hlk67498604"/>
      <w:r w:rsidRPr="00071199">
        <w:rPr>
          <w:rFonts w:ascii="Arial" w:eastAsia="Calibri" w:hAnsi="Arial" w:cs="Arial"/>
          <w:sz w:val="22"/>
          <w:szCs w:val="22"/>
          <w:lang w:val="es-ES" w:eastAsia="en-US"/>
        </w:rPr>
        <w:t xml:space="preserve">si la persona jurídica con menos de tres años de constituida registra la experiencia de sus socios en el RUP, y </w:t>
      </w:r>
      <w:r>
        <w:rPr>
          <w:rFonts w:ascii="Arial" w:eastAsia="Calibri" w:hAnsi="Arial" w:cs="Arial"/>
          <w:sz w:val="22"/>
          <w:szCs w:val="22"/>
          <w:lang w:val="es-ES" w:eastAsia="en-US"/>
        </w:rPr>
        <w:t>e</w:t>
      </w:r>
      <w:r w:rsidRPr="00071199">
        <w:rPr>
          <w:rFonts w:ascii="Arial" w:eastAsia="Calibri" w:hAnsi="Arial" w:cs="Arial"/>
          <w:sz w:val="22"/>
          <w:szCs w:val="22"/>
          <w:lang w:val="es-ES" w:eastAsia="en-US"/>
        </w:rPr>
        <w:t>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bookmarkEnd w:id="3"/>
      <w:r w:rsidRPr="00071199">
        <w:rPr>
          <w:rFonts w:ascii="Arial" w:eastAsia="Calibri" w:hAnsi="Arial" w:cs="Arial"/>
          <w:sz w:val="22"/>
          <w:szCs w:val="22"/>
          <w:lang w:val="es-ES" w:eastAsia="en-US"/>
        </w:rPr>
        <w:t xml:space="preserve">. </w:t>
      </w:r>
      <w:bookmarkEnd w:id="4"/>
      <w:r w:rsidRPr="00071199">
        <w:rPr>
          <w:rFonts w:ascii="Arial" w:eastAsia="Calibri" w:hAnsi="Arial" w:cs="Arial"/>
          <w:sz w:val="22"/>
          <w:szCs w:val="22"/>
          <w:lang w:val="es-ES" w:eastAsia="en-US"/>
        </w:rPr>
        <w:t xml:space="preserve">Lo anterior, tiene fundamento en la Circular Única de la Superintendencia de Industria y Comercio, cuyo numeral 4.2, sobre el procedimiento para llevar el registro único de proponentes, dispone lo siguiente:  </w:t>
      </w:r>
    </w:p>
    <w:p w14:paraId="6186DA31" w14:textId="77777777" w:rsidR="00D34196" w:rsidRPr="00071199" w:rsidRDefault="00D34196" w:rsidP="00D34196">
      <w:pPr>
        <w:ind w:firstLine="708"/>
        <w:jc w:val="both"/>
        <w:rPr>
          <w:rFonts w:ascii="Arial" w:eastAsia="Calibri" w:hAnsi="Arial" w:cs="Arial"/>
          <w:sz w:val="22"/>
          <w:szCs w:val="22"/>
          <w:lang w:val="es-ES" w:eastAsia="en-US"/>
        </w:rPr>
      </w:pPr>
    </w:p>
    <w:p w14:paraId="0D6D7181" w14:textId="77777777" w:rsidR="00D34196" w:rsidRPr="00071199" w:rsidRDefault="00D34196" w:rsidP="00D34196">
      <w:pPr>
        <w:ind w:left="709" w:right="709"/>
        <w:jc w:val="both"/>
        <w:rPr>
          <w:rFonts w:ascii="Arial" w:eastAsia="Calibri" w:hAnsi="Arial" w:cs="Arial"/>
          <w:sz w:val="21"/>
          <w:szCs w:val="21"/>
          <w:lang w:val="es-ES" w:eastAsia="en-US"/>
        </w:rPr>
      </w:pPr>
      <w:r w:rsidRPr="00071199">
        <w:rPr>
          <w:rFonts w:ascii="Arial" w:eastAsia="Calibri" w:hAnsi="Arial" w:cs="Arial"/>
          <w:sz w:val="21"/>
          <w:szCs w:val="21"/>
          <w:lang w:val="es-ES" w:eastAsia="en-US"/>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3AA82453" w14:textId="77777777" w:rsidR="00D34196" w:rsidRPr="00071199" w:rsidRDefault="00D34196" w:rsidP="00D34196">
      <w:pPr>
        <w:ind w:left="709" w:right="709"/>
        <w:jc w:val="both"/>
        <w:rPr>
          <w:rFonts w:ascii="Arial" w:eastAsia="Calibri" w:hAnsi="Arial" w:cs="Arial"/>
          <w:sz w:val="22"/>
          <w:szCs w:val="22"/>
          <w:lang w:val="es-ES" w:eastAsia="en-US"/>
        </w:rPr>
      </w:pPr>
    </w:p>
    <w:p w14:paraId="5F866269" w14:textId="77777777" w:rsidR="00D34196" w:rsidRPr="00071199" w:rsidRDefault="00D34196" w:rsidP="00D34196">
      <w:pPr>
        <w:spacing w:line="276" w:lineRule="auto"/>
        <w:ind w:firstLine="708"/>
        <w:jc w:val="both"/>
        <w:rPr>
          <w:rFonts w:ascii="Arial" w:eastAsia="Calibri" w:hAnsi="Arial" w:cs="Arial"/>
          <w:sz w:val="22"/>
          <w:szCs w:val="22"/>
          <w:lang w:val="es-ES" w:eastAsia="en-US"/>
        </w:rPr>
      </w:pPr>
      <w:r w:rsidRPr="00084D9D">
        <w:rPr>
          <w:rFonts w:ascii="Arial" w:eastAsia="Calibri" w:hAnsi="Arial" w:cs="Arial"/>
          <w:sz w:val="22"/>
          <w:szCs w:val="22"/>
          <w:lang w:val="es-ES" w:eastAsia="en-US"/>
        </w:rPr>
        <w:t>Así las cosas, con el fin de incentivar la participación continua y constante de los proponentes, las entidades estatales</w:t>
      </w:r>
      <w:r w:rsidRPr="00071199">
        <w:rPr>
          <w:rFonts w:ascii="Arial" w:eastAsia="Calibri" w:hAnsi="Arial" w:cs="Arial"/>
          <w:sz w:val="22"/>
          <w:szCs w:val="22"/>
          <w:lang w:val="es-ES" w:eastAsia="en-US"/>
        </w:rPr>
        <w:t>,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En este sentido, si bien la norma no dispone qué sucede con la experiencia aportada por los socios, accionistas o constituyentes después de los 3 años de constituida la persona jurídica, para esta Subdirección sigue siendo válida</w:t>
      </w:r>
      <w:r>
        <w:rPr>
          <w:rFonts w:ascii="Arial" w:eastAsia="Calibri" w:hAnsi="Arial" w:cs="Arial"/>
          <w:sz w:val="22"/>
          <w:szCs w:val="22"/>
          <w:lang w:val="es-ES" w:eastAsia="en-US"/>
        </w:rPr>
        <w:t xml:space="preserve"> dicha experiencia</w:t>
      </w:r>
      <w:r w:rsidRPr="00071199">
        <w:rPr>
          <w:rFonts w:ascii="Arial" w:eastAsia="Calibri" w:hAnsi="Arial" w:cs="Arial"/>
          <w:sz w:val="22"/>
          <w:szCs w:val="22"/>
          <w:lang w:val="es-ES" w:eastAsia="en-US"/>
        </w:rPr>
        <w:t xml:space="preserve">, por lo que </w:t>
      </w:r>
      <w:r w:rsidRPr="00071199">
        <w:rPr>
          <w:rFonts w:ascii="Arial" w:eastAsia="Calibri" w:hAnsi="Arial" w:cs="Arial"/>
          <w:sz w:val="22"/>
          <w:szCs w:val="22"/>
          <w:lang w:val="es-ES" w:eastAsia="en-US"/>
        </w:rPr>
        <w:lastRenderedPageBreak/>
        <w:t>la entidad la debe tener en cuenta</w:t>
      </w:r>
      <w:r>
        <w:rPr>
          <w:rFonts w:ascii="Arial" w:eastAsia="Calibri" w:hAnsi="Arial" w:cs="Arial"/>
          <w:sz w:val="22"/>
          <w:szCs w:val="22"/>
          <w:lang w:val="es-ES" w:eastAsia="en-US"/>
        </w:rPr>
        <w:t>, pues</w:t>
      </w:r>
      <w:r w:rsidRPr="00071199">
        <w:rPr>
          <w:rFonts w:ascii="Arial" w:eastAsia="Calibri" w:hAnsi="Arial" w:cs="Arial"/>
          <w:sz w:val="22"/>
          <w:szCs w:val="22"/>
          <w:lang w:val="es-ES" w:eastAsia="en-US"/>
        </w:rPr>
        <w:t xml:space="preserve"> </w:t>
      </w:r>
      <w:r>
        <w:rPr>
          <w:rFonts w:ascii="Arial" w:eastAsia="Calibri" w:hAnsi="Arial" w:cs="Arial"/>
          <w:sz w:val="22"/>
          <w:szCs w:val="22"/>
          <w:lang w:val="es-ES" w:eastAsia="en-US"/>
        </w:rPr>
        <w:t>d</w:t>
      </w:r>
      <w:r w:rsidRPr="00071199">
        <w:rPr>
          <w:rFonts w:ascii="Arial" w:eastAsia="Calibri" w:hAnsi="Arial" w:cs="Arial"/>
          <w:sz w:val="22"/>
          <w:szCs w:val="22"/>
          <w:lang w:val="es-ES" w:eastAsia="en-US"/>
        </w:rPr>
        <w:t xml:space="preserve">e esta forma se garantiza la pluralidad de oferentes en los procesos de contratación. </w:t>
      </w:r>
    </w:p>
    <w:p w14:paraId="417A4351" w14:textId="77777777" w:rsidR="00D34196" w:rsidRPr="00071199" w:rsidRDefault="00D34196" w:rsidP="00D34196">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En línea con lo anterior, el numeral 2.5. del artículo 2.2.1.1.1.5.2 del Decreto 1082 de 2015 consagra una prerrogativa para las sociedades nuevas, que busca fomentar su competencia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14:paraId="0A7546DB" w14:textId="77777777" w:rsidR="00D34196" w:rsidRPr="00071199" w:rsidRDefault="00D34196" w:rsidP="00D34196">
      <w:pPr>
        <w:spacing w:before="120" w:after="120" w:line="276" w:lineRule="auto"/>
        <w:ind w:firstLine="709"/>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Por tanto,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749B29BF" w14:textId="08BC8078" w:rsidR="00D34196" w:rsidRPr="00071199" w:rsidRDefault="00D34196" w:rsidP="00D34196">
      <w:pPr>
        <w:spacing w:after="120" w:line="276" w:lineRule="auto"/>
        <w:ind w:firstLine="709"/>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Sin perjuicio de lo anterior, </w:t>
      </w:r>
      <w:r w:rsidR="009B60BA">
        <w:rPr>
          <w:rFonts w:ascii="Arial" w:eastAsia="Calibri" w:hAnsi="Arial" w:cs="Arial"/>
          <w:sz w:val="22"/>
          <w:szCs w:val="22"/>
          <w:lang w:val="es-ES" w:eastAsia="en-US"/>
        </w:rPr>
        <w:t>esta Agencia también ha señalado que el Decreto 1082 de 2015</w:t>
      </w:r>
      <w:r w:rsidRPr="00071199">
        <w:rPr>
          <w:rFonts w:ascii="Arial" w:eastAsia="Calibri" w:hAnsi="Arial" w:cs="Arial"/>
          <w:sz w:val="22"/>
          <w:szCs w:val="22"/>
          <w:lang w:val="es-ES" w:eastAsia="en-US"/>
        </w:rPr>
        <w:t xml:space="preserve"> solo permite que una sociedad acredite la experiencia de quienes tienen la calidad de accionistas, socios o constituyentes durante los primeros tres años de su constitución. Por tanto, si se pierden estas calidades, como sucedería cuando un socio se retira por venta o cesión de su participación y pierde su calidad de socio, ya no sería posible que la sociedad acredite la experiencia aportada por dicha persona. </w:t>
      </w:r>
    </w:p>
    <w:p w14:paraId="7F9D7573" w14:textId="77777777" w:rsidR="00D34196" w:rsidRDefault="00D34196" w:rsidP="00D34196">
      <w:pPr>
        <w:tabs>
          <w:tab w:val="left" w:pos="0"/>
        </w:tabs>
        <w:spacing w:line="276" w:lineRule="auto"/>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ab/>
      </w:r>
      <w:r>
        <w:rPr>
          <w:rFonts w:ascii="Arial" w:eastAsia="Calibri" w:hAnsi="Arial" w:cs="Arial"/>
          <w:sz w:val="22"/>
          <w:szCs w:val="22"/>
          <w:lang w:val="es-ES" w:eastAsia="en-US"/>
        </w:rPr>
        <w:t>Además, e</w:t>
      </w:r>
      <w:r w:rsidRPr="00071199">
        <w:rPr>
          <w:rFonts w:ascii="Arial" w:eastAsia="Calibri" w:hAnsi="Arial" w:cs="Arial"/>
          <w:sz w:val="22"/>
          <w:szCs w:val="22"/>
          <w:lang w:val="es-ES" w:eastAsia="en-US"/>
        </w:rPr>
        <w:t xml:space="preserve">sta interpretación se impone </w:t>
      </w:r>
      <w:r>
        <w:rPr>
          <w:rFonts w:ascii="Arial" w:eastAsia="Calibri" w:hAnsi="Arial" w:cs="Arial"/>
          <w:sz w:val="22"/>
          <w:szCs w:val="22"/>
          <w:lang w:val="es-ES" w:eastAsia="en-US"/>
        </w:rPr>
        <w:t>con la finalidad</w:t>
      </w:r>
      <w:r w:rsidRPr="00071199">
        <w:rPr>
          <w:rFonts w:ascii="Arial" w:eastAsia="Calibri" w:hAnsi="Arial" w:cs="Arial"/>
          <w:sz w:val="22"/>
          <w:szCs w:val="22"/>
          <w:lang w:val="es-ES" w:eastAsia="en-US"/>
        </w:rPr>
        <w:t xml:space="preserve"> de evitar prácticas corruptas o que atenten contra la transparencia en la contratación estatal, por lo que la experiencia aportada por quien se retira no deberá ser tenida en cuenta por las entidades estatales, y no debería ser utilizada por el proponente en procesos de contratación, ya que es inherente a la persona que la ha obtenido. </w:t>
      </w:r>
      <w:r w:rsidRPr="005C2614">
        <w:rPr>
          <w:rFonts w:ascii="Arial" w:eastAsia="Calibri" w:hAnsi="Arial" w:cs="Arial"/>
          <w:sz w:val="22"/>
          <w:szCs w:val="22"/>
          <w:lang w:val="es-ES" w:eastAsia="en-US"/>
        </w:rPr>
        <w:t>En ese sentido, si el socio se retira de la sociedad</w:t>
      </w:r>
      <w:r>
        <w:rPr>
          <w:rFonts w:ascii="Arial" w:eastAsia="Calibri" w:hAnsi="Arial" w:cs="Arial"/>
          <w:sz w:val="22"/>
          <w:szCs w:val="22"/>
          <w:lang w:val="es-ES" w:eastAsia="en-US"/>
        </w:rPr>
        <w:t>, por ejemplo,</w:t>
      </w:r>
      <w:r w:rsidRPr="005C2614">
        <w:rPr>
          <w:rFonts w:ascii="Arial" w:eastAsia="Calibri" w:hAnsi="Arial" w:cs="Arial"/>
          <w:sz w:val="22"/>
          <w:szCs w:val="22"/>
          <w:lang w:val="es-ES" w:eastAsia="en-US"/>
        </w:rPr>
        <w:t xml:space="preserve"> por venta o cesión de su participación accionaria, no puede vender o ceder su experiencia para que el adquirente o cesionario de la participación accionaria la aporte a la sociedad. En consecuencia, el proponente debería actualizar la experiencia en el RUP, actuando de buena fe en </w:t>
      </w:r>
      <w:r>
        <w:rPr>
          <w:rFonts w:ascii="Arial" w:eastAsia="Calibri" w:hAnsi="Arial" w:cs="Arial"/>
          <w:sz w:val="22"/>
          <w:szCs w:val="22"/>
          <w:lang w:val="es-ES" w:eastAsia="en-US"/>
        </w:rPr>
        <w:t>los</w:t>
      </w:r>
      <w:r w:rsidRPr="005C2614">
        <w:rPr>
          <w:rFonts w:ascii="Arial" w:eastAsia="Calibri" w:hAnsi="Arial" w:cs="Arial"/>
          <w:sz w:val="22"/>
          <w:szCs w:val="22"/>
          <w:lang w:val="es-ES" w:eastAsia="en-US"/>
        </w:rPr>
        <w:t xml:space="preserve"> proceso</w:t>
      </w:r>
      <w:r>
        <w:rPr>
          <w:rFonts w:ascii="Arial" w:eastAsia="Calibri" w:hAnsi="Arial" w:cs="Arial"/>
          <w:sz w:val="22"/>
          <w:szCs w:val="22"/>
          <w:lang w:val="es-ES" w:eastAsia="en-US"/>
        </w:rPr>
        <w:t>s</w:t>
      </w:r>
      <w:r w:rsidRPr="005C2614">
        <w:rPr>
          <w:rFonts w:ascii="Arial" w:eastAsia="Calibri" w:hAnsi="Arial" w:cs="Arial"/>
          <w:sz w:val="22"/>
          <w:szCs w:val="22"/>
          <w:lang w:val="es-ES" w:eastAsia="en-US"/>
        </w:rPr>
        <w:t xml:space="preserve"> de contratación.</w:t>
      </w:r>
    </w:p>
    <w:p w14:paraId="56AFC0BA" w14:textId="77777777" w:rsidR="00D34196" w:rsidRDefault="00D34196" w:rsidP="00D34196">
      <w:pPr>
        <w:tabs>
          <w:tab w:val="left" w:pos="0"/>
        </w:tabs>
        <w:spacing w:line="276" w:lineRule="auto"/>
        <w:jc w:val="both"/>
        <w:rPr>
          <w:rFonts w:ascii="Arial" w:eastAsia="Calibri" w:hAnsi="Arial" w:cs="Arial"/>
          <w:sz w:val="22"/>
          <w:szCs w:val="22"/>
          <w:lang w:val="es-ES" w:eastAsia="en-US"/>
        </w:rPr>
      </w:pPr>
    </w:p>
    <w:p w14:paraId="2F817477" w14:textId="77777777" w:rsidR="00D34196" w:rsidRPr="00071199" w:rsidRDefault="00D34196" w:rsidP="00D34196">
      <w:pPr>
        <w:tabs>
          <w:tab w:val="left" w:pos="0"/>
        </w:tabs>
        <w:jc w:val="both"/>
        <w:rPr>
          <w:rFonts w:ascii="Arial" w:eastAsia="Calibri" w:hAnsi="Arial" w:cs="Arial"/>
          <w:b/>
          <w:color w:val="000000" w:themeColor="text1"/>
          <w:sz w:val="22"/>
          <w:lang w:val="es-ES"/>
        </w:rPr>
      </w:pPr>
      <w:r w:rsidRPr="00071199">
        <w:rPr>
          <w:rFonts w:ascii="Arial" w:eastAsia="Calibri" w:hAnsi="Arial" w:cs="Arial"/>
          <w:b/>
          <w:color w:val="000000" w:themeColor="text1"/>
          <w:sz w:val="22"/>
          <w:lang w:val="es-ES"/>
        </w:rPr>
        <w:t>3. Respuestas</w:t>
      </w:r>
    </w:p>
    <w:p w14:paraId="145DCB5B" w14:textId="77777777" w:rsidR="00D34196" w:rsidRPr="00071199" w:rsidRDefault="00D34196" w:rsidP="00D34196">
      <w:pPr>
        <w:tabs>
          <w:tab w:val="left" w:pos="0"/>
        </w:tabs>
        <w:jc w:val="both"/>
        <w:rPr>
          <w:rFonts w:ascii="Arial" w:eastAsia="Calibri" w:hAnsi="Arial" w:cs="Arial"/>
          <w:color w:val="000000" w:themeColor="text1"/>
          <w:sz w:val="22"/>
          <w:lang w:val="es-ES"/>
        </w:rPr>
      </w:pPr>
    </w:p>
    <w:p w14:paraId="7CB2CF2D" w14:textId="77777777" w:rsidR="00AE0692" w:rsidRPr="00695F50" w:rsidRDefault="00AE0692" w:rsidP="00AE0692">
      <w:pPr>
        <w:pStyle w:val="Sinespaciado"/>
        <w:ind w:left="709" w:right="709"/>
        <w:jc w:val="both"/>
        <w:rPr>
          <w:rFonts w:ascii="Arial" w:hAnsi="Arial" w:cs="Arial"/>
          <w:sz w:val="21"/>
          <w:szCs w:val="21"/>
        </w:rPr>
      </w:pPr>
      <w:r w:rsidRPr="004D3DFE">
        <w:rPr>
          <w:rFonts w:ascii="Arial" w:hAnsi="Arial" w:cs="Arial"/>
          <w:sz w:val="21"/>
          <w:szCs w:val="21"/>
        </w:rPr>
        <w:t>«</w:t>
      </w:r>
      <w:r w:rsidRPr="00695F50">
        <w:rPr>
          <w:rFonts w:ascii="Arial" w:hAnsi="Arial" w:cs="Arial"/>
          <w:sz w:val="21"/>
          <w:szCs w:val="21"/>
        </w:rPr>
        <w:t xml:space="preserve">De acuerdo con el numeral 2.5 del ordinal 2o del artículo 2.2.1.1.1.5.2 del Decreto 1082 de 2015: “(...) Si la constitución del interesado es menor a tres (3) años, puede acreditar la experiencia de sus accionistas, socios o constituyentes”. </w:t>
      </w:r>
    </w:p>
    <w:p w14:paraId="72C2F572" w14:textId="77777777" w:rsidR="00AE0692" w:rsidRPr="00695F50" w:rsidRDefault="00AE0692" w:rsidP="00AE0692">
      <w:pPr>
        <w:pStyle w:val="Sinespaciado"/>
        <w:ind w:left="709" w:right="709"/>
        <w:jc w:val="both"/>
        <w:rPr>
          <w:rFonts w:ascii="Arial" w:hAnsi="Arial" w:cs="Arial"/>
          <w:sz w:val="21"/>
          <w:szCs w:val="21"/>
        </w:rPr>
      </w:pPr>
      <w:r w:rsidRPr="00695F50">
        <w:rPr>
          <w:rFonts w:ascii="Arial" w:hAnsi="Arial" w:cs="Arial"/>
          <w:sz w:val="21"/>
          <w:szCs w:val="21"/>
        </w:rPr>
        <w:t>¿No es claro si la experiencia de los socios de la empresa será́ valida después de los 3 años de constitución, es esta experiencia valida después de los 3 años?</w:t>
      </w:r>
      <w:r w:rsidRPr="004D3DFE">
        <w:rPr>
          <w:rFonts w:ascii="Arial" w:hAnsi="Arial" w:cs="Arial"/>
          <w:sz w:val="21"/>
          <w:szCs w:val="21"/>
        </w:rPr>
        <w:t>»</w:t>
      </w:r>
    </w:p>
    <w:p w14:paraId="66149593" w14:textId="77777777" w:rsidR="00D34196" w:rsidRPr="00071199" w:rsidRDefault="00D34196" w:rsidP="00D34196">
      <w:pPr>
        <w:ind w:left="709" w:right="709"/>
        <w:jc w:val="both"/>
        <w:rPr>
          <w:rFonts w:ascii="Arial" w:hAnsi="Arial" w:cs="Arial"/>
          <w:color w:val="000000" w:themeColor="text1"/>
          <w:sz w:val="21"/>
          <w:szCs w:val="21"/>
          <w:lang w:val="es-ES"/>
        </w:rPr>
      </w:pPr>
    </w:p>
    <w:p w14:paraId="5D23C19E" w14:textId="42993271" w:rsidR="00AE0692" w:rsidRPr="009B2201" w:rsidRDefault="00AE0692" w:rsidP="00AE0692">
      <w:pPr>
        <w:spacing w:before="120" w:line="276" w:lineRule="auto"/>
        <w:jc w:val="both"/>
        <w:rPr>
          <w:rFonts w:ascii="Arial" w:eastAsia="Calibri" w:hAnsi="Arial" w:cs="Arial"/>
          <w:color w:val="000000" w:themeColor="text1"/>
          <w:sz w:val="22"/>
          <w:szCs w:val="22"/>
          <w:lang w:val="es-ES"/>
        </w:rPr>
      </w:pPr>
      <w:r w:rsidRPr="009B2201">
        <w:rPr>
          <w:rFonts w:ascii="Arial" w:eastAsia="Calibri" w:hAnsi="Arial" w:cs="Arial"/>
          <w:color w:val="000000" w:themeColor="text1"/>
          <w:sz w:val="22"/>
          <w:szCs w:val="22"/>
          <w:lang w:val="es-ES"/>
        </w:rPr>
        <w:t xml:space="preserve">De conformidad con las anteriores consideraciones, </w:t>
      </w:r>
      <w:r w:rsidR="00F753BD">
        <w:rPr>
          <w:rFonts w:ascii="Arial" w:eastAsia="Calibri" w:hAnsi="Arial" w:cs="Arial"/>
          <w:color w:val="000000" w:themeColor="text1"/>
          <w:sz w:val="22"/>
          <w:szCs w:val="22"/>
          <w:lang w:val="es-ES"/>
        </w:rPr>
        <w:t>esta Subdirección reitera la tesis consistente en</w:t>
      </w:r>
      <w:r w:rsidRPr="009B2201">
        <w:rPr>
          <w:rFonts w:ascii="Arial" w:eastAsia="Calibri" w:hAnsi="Arial" w:cs="Arial"/>
          <w:color w:val="000000" w:themeColor="text1"/>
          <w:sz w:val="22"/>
          <w:szCs w:val="22"/>
          <w:lang w:val="es-ES"/>
        </w:rPr>
        <w:t xml:space="preserve"> que el numeral 2.5 del artículo 2.2.1.1.1.5.2 del Decreto 1082 de 2015 indica de forma clara que una sociedad con menos de tres años de constituida puede aportar la experiencia de sus accionistas, socios o constituyentes. Esta facultad,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 </w:t>
      </w:r>
    </w:p>
    <w:p w14:paraId="3FC7BC24" w14:textId="57003BBF" w:rsidR="00AE0692" w:rsidRDefault="00AE0692" w:rsidP="00AE0692">
      <w:pPr>
        <w:spacing w:before="120" w:line="276" w:lineRule="auto"/>
        <w:ind w:firstLine="708"/>
        <w:jc w:val="both"/>
        <w:rPr>
          <w:rFonts w:ascii="Arial" w:eastAsia="Calibri" w:hAnsi="Arial" w:cs="Arial"/>
          <w:color w:val="000000" w:themeColor="text1"/>
          <w:sz w:val="22"/>
          <w:szCs w:val="22"/>
          <w:lang w:val="es-ES"/>
        </w:rPr>
      </w:pPr>
      <w:r w:rsidRPr="009B2201">
        <w:rPr>
          <w:rFonts w:ascii="Arial" w:eastAsia="Calibri" w:hAnsi="Arial" w:cs="Arial"/>
          <w:color w:val="000000" w:themeColor="text1"/>
          <w:sz w:val="22"/>
          <w:szCs w:val="22"/>
          <w:lang w:val="es-ES"/>
        </w:rPr>
        <w:t xml:space="preserve">En este sentido, esta Agencia considera, como se señaló en las consideraciones, </w:t>
      </w:r>
      <w:proofErr w:type="gramStart"/>
      <w:r w:rsidRPr="009B2201">
        <w:rPr>
          <w:rFonts w:ascii="Arial" w:eastAsia="Calibri" w:hAnsi="Arial" w:cs="Arial"/>
          <w:color w:val="000000" w:themeColor="text1"/>
          <w:sz w:val="22"/>
          <w:szCs w:val="22"/>
          <w:lang w:val="es-ES"/>
        </w:rPr>
        <w:t>que</w:t>
      </w:r>
      <w:proofErr w:type="gramEnd"/>
      <w:r w:rsidRPr="009B2201">
        <w:rPr>
          <w:rFonts w:ascii="Arial" w:eastAsia="Calibri" w:hAnsi="Arial" w:cs="Arial"/>
          <w:color w:val="000000" w:themeColor="text1"/>
          <w:sz w:val="22"/>
          <w:szCs w:val="22"/>
          <w:lang w:val="es-ES"/>
        </w:rPr>
        <w:t xml:space="preserve"> si la persona jurídica con menos de tres años de constituida registra la experiencia de sus socios en el RUP y éste es renovado constantemente de forma oportuna, una vez transcurridos estos tres años, el proponente podrá seguir acreditando la experiencia inscrita de los socios mientras no cesen los efectos del RUP. Por el contrario, si no se renueva oportunamente y la persona jurídica supera los tres años de constituida, la experiencia que registró de sus socios</w:t>
      </w:r>
      <w:r w:rsidR="00F753BD">
        <w:rPr>
          <w:rFonts w:ascii="Arial" w:eastAsia="Calibri" w:hAnsi="Arial" w:cs="Arial"/>
          <w:color w:val="000000" w:themeColor="text1"/>
          <w:sz w:val="22"/>
          <w:szCs w:val="22"/>
          <w:lang w:val="es-ES"/>
        </w:rPr>
        <w:t>, accionistas o constituyentes</w:t>
      </w:r>
      <w:r w:rsidRPr="009B2201">
        <w:rPr>
          <w:rFonts w:ascii="Arial" w:eastAsia="Calibri" w:hAnsi="Arial" w:cs="Arial"/>
          <w:color w:val="000000" w:themeColor="text1"/>
          <w:sz w:val="22"/>
          <w:szCs w:val="22"/>
          <w:lang w:val="es-ES"/>
        </w:rPr>
        <w:t xml:space="preserve"> no puede ser inscrita nuevamente, puesto que el RUP habría cesado en sus efectos y la cámara de comercio tendría que hacer nuevamente la verificación documental de la información presentada al momento de inscribirse en el registro.</w:t>
      </w:r>
    </w:p>
    <w:p w14:paraId="79B437F7" w14:textId="77777777" w:rsidR="00AE0692" w:rsidRPr="009B2201" w:rsidRDefault="00AE0692" w:rsidP="00AE0692">
      <w:pPr>
        <w:spacing w:before="120" w:line="276" w:lineRule="auto"/>
        <w:ind w:firstLine="708"/>
        <w:jc w:val="both"/>
        <w:rPr>
          <w:rFonts w:ascii="Arial" w:eastAsia="Calibri" w:hAnsi="Arial" w:cs="Arial"/>
          <w:color w:val="000000" w:themeColor="text1"/>
          <w:sz w:val="22"/>
          <w:szCs w:val="22"/>
          <w:lang w:val="es-ES"/>
        </w:rPr>
      </w:pPr>
    </w:p>
    <w:p w14:paraId="150221C7" w14:textId="77777777" w:rsidR="00D34196" w:rsidRPr="00071199" w:rsidRDefault="00D34196" w:rsidP="00D34196">
      <w:pPr>
        <w:spacing w:line="276" w:lineRule="auto"/>
        <w:jc w:val="both"/>
        <w:rPr>
          <w:rFonts w:ascii="Arial" w:hAnsi="Arial" w:cs="Arial"/>
          <w:color w:val="000000" w:themeColor="text1"/>
          <w:sz w:val="22"/>
          <w:lang w:val="es-ES"/>
        </w:rPr>
      </w:pPr>
      <w:r w:rsidRPr="00071199">
        <w:rPr>
          <w:rFonts w:ascii="Arial" w:hAnsi="Arial" w:cs="Arial"/>
          <w:color w:val="000000" w:themeColor="text1"/>
          <w:sz w:val="22"/>
          <w:lang w:val="es-ES"/>
        </w:rPr>
        <w:t>Este concepto tiene el alcance previsto en el artículo 28 del Código de Procedimiento Administrativo y de lo Contencioso Administrativo.</w:t>
      </w:r>
    </w:p>
    <w:p w14:paraId="0DD698F3" w14:textId="77777777" w:rsidR="00D34196" w:rsidRPr="00071199" w:rsidRDefault="00D34196" w:rsidP="00D34196">
      <w:pPr>
        <w:pStyle w:val="NormalWeb"/>
        <w:spacing w:before="0" w:beforeAutospacing="0" w:after="0" w:afterAutospacing="0" w:line="276" w:lineRule="auto"/>
        <w:jc w:val="both"/>
        <w:rPr>
          <w:rFonts w:ascii="Arial" w:hAnsi="Arial" w:cs="Arial"/>
          <w:color w:val="000000" w:themeColor="text1"/>
          <w:sz w:val="22"/>
          <w:szCs w:val="22"/>
          <w:lang w:val="es-ES"/>
        </w:rPr>
      </w:pPr>
    </w:p>
    <w:p w14:paraId="7CB66AF4" w14:textId="77777777" w:rsidR="00D34196" w:rsidRPr="00071199" w:rsidRDefault="00D34196" w:rsidP="00D34196">
      <w:pPr>
        <w:pStyle w:val="NormalWeb"/>
        <w:spacing w:before="0" w:beforeAutospacing="0" w:after="0" w:afterAutospacing="0" w:line="276" w:lineRule="auto"/>
        <w:jc w:val="both"/>
        <w:rPr>
          <w:rFonts w:ascii="Arial" w:hAnsi="Arial" w:cs="Arial"/>
          <w:color w:val="000000" w:themeColor="text1"/>
          <w:sz w:val="22"/>
          <w:szCs w:val="22"/>
          <w:lang w:val="es-ES"/>
        </w:rPr>
      </w:pPr>
      <w:r w:rsidRPr="00071199">
        <w:rPr>
          <w:rFonts w:ascii="Arial" w:hAnsi="Arial" w:cs="Arial"/>
          <w:color w:val="000000" w:themeColor="text1"/>
          <w:sz w:val="22"/>
          <w:szCs w:val="22"/>
          <w:lang w:val="es-ES"/>
        </w:rPr>
        <w:t>Atentamente,</w:t>
      </w:r>
    </w:p>
    <w:p w14:paraId="7D321A2F" w14:textId="11D4084D" w:rsidR="00D34196" w:rsidRPr="00071199" w:rsidRDefault="00D34196" w:rsidP="00D34196">
      <w:pPr>
        <w:pStyle w:val="NormalWeb"/>
        <w:spacing w:before="0" w:beforeAutospacing="0" w:after="0" w:afterAutospacing="0" w:line="276" w:lineRule="auto"/>
        <w:jc w:val="center"/>
        <w:rPr>
          <w:rFonts w:ascii="Arial" w:hAnsi="Arial" w:cs="Arial"/>
          <w:color w:val="000000" w:themeColor="text1"/>
          <w:sz w:val="22"/>
          <w:szCs w:val="22"/>
          <w:lang w:val="es-ES"/>
        </w:rPr>
      </w:pPr>
    </w:p>
    <w:p w14:paraId="7C925729" w14:textId="4A3005B8" w:rsidR="00AE0692" w:rsidRPr="004212E5" w:rsidRDefault="00E74919" w:rsidP="00AE0692">
      <w:pPr>
        <w:jc w:val="center"/>
        <w:rPr>
          <w:rFonts w:ascii="Arial" w:hAnsi="Arial" w:cs="Arial"/>
          <w:color w:val="000000"/>
          <w:lang w:val="es-ES_tradnl" w:eastAsia="es-CO"/>
        </w:rPr>
      </w:pPr>
      <w:r>
        <w:rPr>
          <w:noProof/>
        </w:rPr>
        <w:drawing>
          <wp:inline distT="0" distB="0" distL="0" distR="0" wp14:anchorId="2F5840E8" wp14:editId="67BECEAF">
            <wp:extent cx="2534004" cy="981212"/>
            <wp:effectExtent l="0" t="0" r="0" b="9525"/>
            <wp:docPr id="4" name="Imagen 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1"/>
                    <a:stretch>
                      <a:fillRect/>
                    </a:stretch>
                  </pic:blipFill>
                  <pic:spPr>
                    <a:xfrm>
                      <a:off x="0" y="0"/>
                      <a:ext cx="2534004" cy="981212"/>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E0692" w:rsidRPr="00530937" w14:paraId="3D9E0B1B" w14:textId="77777777" w:rsidTr="00B53228">
        <w:trPr>
          <w:trHeight w:val="315"/>
        </w:trPr>
        <w:tc>
          <w:tcPr>
            <w:tcW w:w="812" w:type="dxa"/>
            <w:vAlign w:val="center"/>
          </w:tcPr>
          <w:p w14:paraId="1526B336" w14:textId="77777777" w:rsidR="00AE0692" w:rsidRPr="00FD2DFE" w:rsidRDefault="00AE0692" w:rsidP="00B53228">
            <w:pPr>
              <w:rPr>
                <w:rFonts w:ascii="Arial" w:hAnsi="Arial" w:cs="Arial"/>
                <w:sz w:val="16"/>
                <w:szCs w:val="16"/>
                <w:lang w:eastAsia="es-ES"/>
              </w:rPr>
            </w:pPr>
            <w:r w:rsidRPr="00FD2DFE">
              <w:rPr>
                <w:rFonts w:ascii="Arial" w:hAnsi="Arial" w:cs="Arial"/>
                <w:sz w:val="16"/>
                <w:szCs w:val="16"/>
                <w:lang w:eastAsia="es-ES"/>
              </w:rPr>
              <w:t>Elaboró:</w:t>
            </w:r>
          </w:p>
        </w:tc>
        <w:tc>
          <w:tcPr>
            <w:tcW w:w="4413" w:type="dxa"/>
            <w:tcBorders>
              <w:bottom w:val="dotted" w:sz="4" w:space="0" w:color="7F7F7F" w:themeColor="text1" w:themeTint="80"/>
            </w:tcBorders>
            <w:vAlign w:val="center"/>
          </w:tcPr>
          <w:p w14:paraId="08B5E714" w14:textId="77777777" w:rsidR="00AE0692" w:rsidRPr="00FD2DFE" w:rsidRDefault="00AE0692" w:rsidP="00B53228">
            <w:pPr>
              <w:rPr>
                <w:rFonts w:ascii="Arial" w:hAnsi="Arial" w:cs="Arial"/>
                <w:sz w:val="16"/>
                <w:szCs w:val="16"/>
                <w:lang w:eastAsia="es-ES"/>
              </w:rPr>
            </w:pPr>
            <w:r w:rsidRPr="00FD2DFE">
              <w:rPr>
                <w:rFonts w:ascii="Arial" w:hAnsi="Arial" w:cs="Arial"/>
                <w:sz w:val="16"/>
                <w:szCs w:val="16"/>
                <w:lang w:eastAsia="es-ES"/>
              </w:rPr>
              <w:t xml:space="preserve">Camilo Perdomo Villamil </w:t>
            </w:r>
          </w:p>
          <w:p w14:paraId="456E902E" w14:textId="77777777" w:rsidR="00AE0692" w:rsidRPr="00FD2DFE" w:rsidRDefault="00AE0692" w:rsidP="00B53228">
            <w:pPr>
              <w:rPr>
                <w:rFonts w:ascii="Arial" w:hAnsi="Arial" w:cs="Arial"/>
                <w:sz w:val="16"/>
                <w:szCs w:val="16"/>
                <w:lang w:eastAsia="es-ES"/>
              </w:rPr>
            </w:pPr>
            <w:r w:rsidRPr="00FD2DFE">
              <w:rPr>
                <w:rFonts w:ascii="Arial" w:hAnsi="Arial" w:cs="Arial"/>
                <w:sz w:val="16"/>
                <w:szCs w:val="16"/>
                <w:lang w:eastAsia="es-ES"/>
              </w:rPr>
              <w:t xml:space="preserve">Contratista de la Subdirección de Gestión Contractual  </w:t>
            </w:r>
          </w:p>
        </w:tc>
      </w:tr>
      <w:tr w:rsidR="00AE0692" w:rsidRPr="00530937" w14:paraId="257517B6" w14:textId="77777777" w:rsidTr="00B53228">
        <w:trPr>
          <w:trHeight w:val="330"/>
        </w:trPr>
        <w:tc>
          <w:tcPr>
            <w:tcW w:w="812" w:type="dxa"/>
            <w:vAlign w:val="center"/>
          </w:tcPr>
          <w:p w14:paraId="731CCED7" w14:textId="77777777" w:rsidR="00AE0692" w:rsidRPr="00FD2DFE" w:rsidRDefault="00AE0692" w:rsidP="00B53228">
            <w:pPr>
              <w:rPr>
                <w:rFonts w:ascii="Arial" w:hAnsi="Arial" w:cs="Arial"/>
                <w:sz w:val="16"/>
                <w:szCs w:val="16"/>
                <w:lang w:eastAsia="es-ES"/>
              </w:rPr>
            </w:pPr>
            <w:r w:rsidRPr="00FD2DFE">
              <w:rPr>
                <w:rFonts w:ascii="Arial"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33380B9D" w14:textId="77777777" w:rsidR="00AE0692" w:rsidRPr="00FD2DFE" w:rsidRDefault="00AE0692" w:rsidP="00B53228">
            <w:pPr>
              <w:rPr>
                <w:rFonts w:ascii="Arial" w:hAnsi="Arial" w:cs="Arial"/>
                <w:sz w:val="16"/>
                <w:szCs w:val="16"/>
                <w:lang w:eastAsia="es-ES"/>
              </w:rPr>
            </w:pPr>
            <w:r>
              <w:rPr>
                <w:rFonts w:ascii="Arial" w:hAnsi="Arial" w:cs="Arial"/>
                <w:sz w:val="16"/>
                <w:szCs w:val="16"/>
                <w:lang w:eastAsia="es-ES"/>
              </w:rPr>
              <w:t>Sebastián Ramírez Grisales</w:t>
            </w:r>
          </w:p>
          <w:p w14:paraId="0822431B" w14:textId="77777777" w:rsidR="00AE0692" w:rsidRPr="00FD2DFE" w:rsidRDefault="00AE0692" w:rsidP="00B53228">
            <w:pPr>
              <w:rPr>
                <w:rFonts w:ascii="Arial" w:hAnsi="Arial" w:cs="Arial"/>
                <w:sz w:val="16"/>
                <w:szCs w:val="16"/>
                <w:lang w:eastAsia="es-ES"/>
              </w:rPr>
            </w:pPr>
            <w:r>
              <w:rPr>
                <w:rFonts w:ascii="Arial" w:hAnsi="Arial" w:cs="Arial"/>
                <w:sz w:val="16"/>
                <w:szCs w:val="16"/>
                <w:lang w:eastAsia="es-ES"/>
              </w:rPr>
              <w:t>Contratista</w:t>
            </w:r>
            <w:r w:rsidRPr="00FD2DFE">
              <w:rPr>
                <w:rFonts w:ascii="Arial" w:hAnsi="Arial" w:cs="Arial"/>
                <w:sz w:val="16"/>
                <w:szCs w:val="16"/>
                <w:lang w:eastAsia="es-ES"/>
              </w:rPr>
              <w:t xml:space="preserve"> de la Subdirección de Gestión Contractual</w:t>
            </w:r>
          </w:p>
        </w:tc>
      </w:tr>
      <w:tr w:rsidR="00AE0692" w:rsidRPr="00530937" w14:paraId="1472DB62" w14:textId="77777777" w:rsidTr="00B53228">
        <w:trPr>
          <w:trHeight w:val="300"/>
        </w:trPr>
        <w:tc>
          <w:tcPr>
            <w:tcW w:w="812" w:type="dxa"/>
            <w:vAlign w:val="center"/>
          </w:tcPr>
          <w:p w14:paraId="181B5DBD" w14:textId="77777777" w:rsidR="00AE0692" w:rsidRPr="00FD2DFE" w:rsidRDefault="00AE0692" w:rsidP="00B53228">
            <w:pPr>
              <w:rPr>
                <w:rFonts w:ascii="Arial" w:hAnsi="Arial" w:cs="Arial"/>
                <w:sz w:val="16"/>
                <w:szCs w:val="16"/>
                <w:lang w:eastAsia="es-ES"/>
              </w:rPr>
            </w:pPr>
            <w:r w:rsidRPr="00FD2DFE">
              <w:rPr>
                <w:rFonts w:ascii="Arial"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CE7CD1C" w14:textId="77777777" w:rsidR="00AE0692" w:rsidRPr="00530937" w:rsidRDefault="00AE0692" w:rsidP="00B53228">
            <w:pPr>
              <w:rPr>
                <w:rFonts w:ascii="Arial" w:eastAsia="Calibri" w:hAnsi="Arial" w:cs="Arial"/>
                <w:sz w:val="16"/>
                <w:szCs w:val="16"/>
                <w:lang w:val="pt-BR" w:eastAsia="es-ES"/>
              </w:rPr>
            </w:pPr>
            <w:r w:rsidRPr="00530937">
              <w:rPr>
                <w:rFonts w:ascii="Arial" w:eastAsia="Calibri" w:hAnsi="Arial" w:cs="Arial"/>
                <w:sz w:val="16"/>
                <w:szCs w:val="16"/>
                <w:lang w:val="pt-BR" w:eastAsia="es-ES"/>
              </w:rPr>
              <w:t>Juan David Marín López</w:t>
            </w:r>
          </w:p>
          <w:p w14:paraId="13B4A6E2" w14:textId="77777777" w:rsidR="00AE0692" w:rsidRPr="00FD2DFE" w:rsidRDefault="00AE0692" w:rsidP="00B53228">
            <w:pPr>
              <w:rPr>
                <w:rFonts w:ascii="Arial" w:hAnsi="Arial" w:cs="Arial"/>
                <w:sz w:val="16"/>
                <w:szCs w:val="16"/>
                <w:lang w:eastAsia="es-ES"/>
              </w:rPr>
            </w:pPr>
            <w:r w:rsidRPr="00530937">
              <w:rPr>
                <w:rFonts w:ascii="Arial" w:eastAsia="Calibri" w:hAnsi="Arial" w:cs="Arial"/>
                <w:sz w:val="16"/>
                <w:szCs w:val="16"/>
                <w:lang w:eastAsia="es-ES"/>
              </w:rPr>
              <w:t xml:space="preserve">Subdirector de Gestión Contractual </w:t>
            </w:r>
            <w:r w:rsidRPr="00530937">
              <w:rPr>
                <w:rFonts w:ascii="Arial" w:eastAsia="Calibri" w:hAnsi="Arial" w:cs="Arial"/>
                <w:sz w:val="16"/>
                <w:szCs w:val="16"/>
                <w:lang w:val="pt-BR" w:eastAsia="es-ES"/>
              </w:rPr>
              <w:t>(E)</w:t>
            </w:r>
          </w:p>
        </w:tc>
      </w:tr>
    </w:tbl>
    <w:p w14:paraId="5813BAB0" w14:textId="77777777" w:rsidR="00D34196" w:rsidRDefault="00D34196"/>
    <w:sectPr w:rsidR="00D34196"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A1FBF" w14:textId="77777777" w:rsidR="005B52F3" w:rsidRDefault="005B52F3" w:rsidP="00D34196">
      <w:r>
        <w:separator/>
      </w:r>
    </w:p>
  </w:endnote>
  <w:endnote w:type="continuationSeparator" w:id="0">
    <w:p w14:paraId="74A7D4F2" w14:textId="77777777" w:rsidR="005B52F3" w:rsidRDefault="005B52F3" w:rsidP="00D34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D8E6F" w14:textId="77777777" w:rsidR="008F4163" w:rsidRDefault="00000000" w:rsidP="00322937">
    <w:pPr>
      <w:pStyle w:val="Sinespaciado"/>
      <w:jc w:val="right"/>
      <w:rPr>
        <w:rFonts w:ascii="Arial" w:hAnsi="Arial" w:cs="Arial"/>
        <w:sz w:val="18"/>
        <w:szCs w:val="18"/>
      </w:rPr>
    </w:pPr>
  </w:p>
  <w:p w14:paraId="322E16CF" w14:textId="77777777" w:rsidR="008F4163" w:rsidRPr="00D059DA" w:rsidRDefault="00A0446B" w:rsidP="00FE42ED">
    <w:pPr>
      <w:pStyle w:val="Piedepgina"/>
      <w:jc w:val="right"/>
      <w:rPr>
        <w:rFonts w:ascii="Arial" w:hAnsi="Arial" w:cs="Arial"/>
        <w:color w:val="7F7F7F"/>
        <w:sz w:val="16"/>
        <w:szCs w:val="16"/>
      </w:rPr>
    </w:pPr>
    <w:r w:rsidRPr="00D059DA">
      <w:rPr>
        <w:rFonts w:ascii="Arial" w:hAnsi="Arial" w:cs="Arial"/>
        <w:bCs/>
        <w:color w:val="7F7F7F"/>
        <w:sz w:val="16"/>
        <w:szCs w:val="16"/>
      </w:rPr>
      <w:t xml:space="preserve">Página </w:t>
    </w:r>
    <w:r w:rsidRPr="00D059DA">
      <w:rPr>
        <w:rFonts w:ascii="Arial" w:hAnsi="Arial" w:cs="Arial"/>
        <w:b/>
        <w:bCs/>
        <w:color w:val="7F7F7F"/>
        <w:sz w:val="16"/>
        <w:szCs w:val="16"/>
      </w:rPr>
      <w:fldChar w:fldCharType="begin"/>
    </w:r>
    <w:r w:rsidRPr="00D059DA">
      <w:rPr>
        <w:rFonts w:ascii="Arial" w:hAnsi="Arial" w:cs="Arial"/>
        <w:b/>
        <w:bCs/>
        <w:color w:val="7F7F7F"/>
        <w:sz w:val="16"/>
        <w:szCs w:val="16"/>
      </w:rPr>
      <w:instrText>PAGE  \* Arabic  \* MERGEFORMAT</w:instrText>
    </w:r>
    <w:r w:rsidRPr="00D059DA">
      <w:rPr>
        <w:rFonts w:ascii="Arial" w:hAnsi="Arial" w:cs="Arial"/>
        <w:b/>
        <w:bCs/>
        <w:color w:val="7F7F7F"/>
        <w:sz w:val="16"/>
        <w:szCs w:val="16"/>
      </w:rPr>
      <w:fldChar w:fldCharType="separate"/>
    </w:r>
    <w:r w:rsidRPr="00D059DA">
      <w:rPr>
        <w:rFonts w:ascii="Arial" w:hAnsi="Arial" w:cs="Arial"/>
        <w:b/>
        <w:bCs/>
        <w:noProof/>
        <w:color w:val="7F7F7F"/>
        <w:sz w:val="16"/>
        <w:szCs w:val="16"/>
      </w:rPr>
      <w:t>2</w:t>
    </w:r>
    <w:r w:rsidRPr="00D059DA">
      <w:rPr>
        <w:rFonts w:ascii="Arial" w:hAnsi="Arial" w:cs="Arial"/>
        <w:b/>
        <w:bCs/>
        <w:color w:val="7F7F7F"/>
        <w:sz w:val="16"/>
        <w:szCs w:val="16"/>
      </w:rPr>
      <w:fldChar w:fldCharType="end"/>
    </w:r>
    <w:r w:rsidRPr="00D059DA">
      <w:rPr>
        <w:rFonts w:ascii="Arial" w:hAnsi="Arial" w:cs="Arial"/>
        <w:color w:val="7F7F7F"/>
        <w:sz w:val="16"/>
        <w:szCs w:val="16"/>
      </w:rPr>
      <w:t xml:space="preserve"> de </w:t>
    </w:r>
    <w:r w:rsidRPr="00D059DA">
      <w:rPr>
        <w:rFonts w:ascii="Arial" w:hAnsi="Arial" w:cs="Arial"/>
        <w:b/>
        <w:bCs/>
        <w:color w:val="7F7F7F"/>
        <w:sz w:val="16"/>
        <w:szCs w:val="16"/>
      </w:rPr>
      <w:fldChar w:fldCharType="begin"/>
    </w:r>
    <w:r w:rsidRPr="00D059DA">
      <w:rPr>
        <w:rFonts w:ascii="Arial" w:hAnsi="Arial" w:cs="Arial"/>
        <w:b/>
        <w:bCs/>
        <w:color w:val="7F7F7F"/>
        <w:sz w:val="16"/>
        <w:szCs w:val="16"/>
      </w:rPr>
      <w:instrText>NUMPAGES  \* Arabic  \* MERGEFORMAT</w:instrText>
    </w:r>
    <w:r w:rsidRPr="00D059DA">
      <w:rPr>
        <w:rFonts w:ascii="Arial" w:hAnsi="Arial" w:cs="Arial"/>
        <w:b/>
        <w:bCs/>
        <w:color w:val="7F7F7F"/>
        <w:sz w:val="16"/>
        <w:szCs w:val="16"/>
      </w:rPr>
      <w:fldChar w:fldCharType="separate"/>
    </w:r>
    <w:r w:rsidRPr="00D059DA">
      <w:rPr>
        <w:rFonts w:ascii="Arial" w:hAnsi="Arial" w:cs="Arial"/>
        <w:b/>
        <w:bCs/>
        <w:noProof/>
        <w:color w:val="7F7F7F"/>
        <w:sz w:val="16"/>
        <w:szCs w:val="16"/>
      </w:rPr>
      <w:t>15</w:t>
    </w:r>
    <w:r w:rsidRPr="00D059DA">
      <w:rPr>
        <w:rFonts w:ascii="Arial" w:hAnsi="Arial" w:cs="Arial"/>
        <w:b/>
        <w:bCs/>
        <w:color w:val="7F7F7F"/>
        <w:sz w:val="16"/>
        <w:szCs w:val="16"/>
      </w:rPr>
      <w:fldChar w:fldCharType="end"/>
    </w:r>
  </w:p>
  <w:p w14:paraId="2D2DDEEA" w14:textId="77777777" w:rsidR="008F4163" w:rsidRDefault="00A0446B" w:rsidP="00322937">
    <w:pPr>
      <w:pStyle w:val="Piedepgina"/>
      <w:jc w:val="center"/>
      <w:rPr>
        <w:lang w:val="es-ES"/>
      </w:rPr>
    </w:pPr>
    <w:r>
      <w:rPr>
        <w:noProof/>
        <w:lang w:val="es-ES_tradnl" w:eastAsia="es-ES_tradnl"/>
      </w:rPr>
      <w:drawing>
        <wp:inline distT="0" distB="0" distL="0" distR="0" wp14:anchorId="2C1E8216" wp14:editId="2971484E">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3CD7712" w14:textId="77777777" w:rsidR="008F4163" w:rsidRDefault="00000000" w:rsidP="007B0854">
    <w:pPr>
      <w:pStyle w:val="Piedepgina"/>
      <w:jc w:val="center"/>
      <w:rPr>
        <w:lang w:val="es-ES"/>
      </w:rPr>
    </w:pPr>
  </w:p>
  <w:p w14:paraId="0C5DD2FF" w14:textId="77777777" w:rsidR="008F4163" w:rsidRPr="007B0854" w:rsidRDefault="00000000"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AB0DE" w14:textId="77777777" w:rsidR="005B52F3" w:rsidRDefault="005B52F3" w:rsidP="00D34196">
      <w:r>
        <w:separator/>
      </w:r>
    </w:p>
  </w:footnote>
  <w:footnote w:type="continuationSeparator" w:id="0">
    <w:p w14:paraId="11D6925D" w14:textId="77777777" w:rsidR="005B52F3" w:rsidRDefault="005B52F3" w:rsidP="00D34196">
      <w:r>
        <w:continuationSeparator/>
      </w:r>
    </w:p>
  </w:footnote>
  <w:footnote w:id="1">
    <w:p w14:paraId="6D1F94CA" w14:textId="77777777" w:rsidR="00D34196" w:rsidRPr="006600D3" w:rsidRDefault="00D34196" w:rsidP="00D34196">
      <w:pPr>
        <w:pStyle w:val="Textonotapie"/>
        <w:ind w:firstLine="708"/>
        <w:jc w:val="both"/>
        <w:rPr>
          <w:rFonts w:ascii="Arial" w:hAnsi="Arial" w:cs="Arial"/>
          <w:sz w:val="19"/>
          <w:szCs w:val="19"/>
          <w:lang w:val="es-CO"/>
        </w:rPr>
      </w:pPr>
      <w:r>
        <w:rPr>
          <w:rStyle w:val="Refdenotaalpie"/>
        </w:rPr>
        <w:footnoteRef/>
      </w:r>
      <w:r w:rsidRPr="006600D3">
        <w:rPr>
          <w:rFonts w:ascii="Arial" w:hAnsi="Arial" w:cs="Arial"/>
          <w:sz w:val="19"/>
          <w:szCs w:val="19"/>
        </w:rPr>
        <w:t xml:space="preserve"> De igual forma la Agencia de Nacional de Contratación Pública -Colombia Compra Eficiente- trato el tema objeto de estudio en conceptos del año 2019, identificados con los radicados </w:t>
      </w:r>
      <w:r w:rsidRPr="006600D3">
        <w:rPr>
          <w:rFonts w:ascii="Arial" w:eastAsia="Calibri" w:hAnsi="Arial" w:cs="Arial"/>
          <w:sz w:val="19"/>
          <w:szCs w:val="19"/>
        </w:rPr>
        <w:t xml:space="preserve">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6600D3">
        <w:rPr>
          <w:rFonts w:ascii="Arial" w:hAnsi="Arial" w:cs="Arial"/>
          <w:sz w:val="19"/>
          <w:szCs w:val="19"/>
        </w:rPr>
        <w:t xml:space="preserve">4201913000006797 del 19 de noviembre de 2019, </w:t>
      </w:r>
      <w:r w:rsidRPr="006600D3">
        <w:rPr>
          <w:rFonts w:ascii="Arial" w:eastAsia="Calibri" w:hAnsi="Arial" w:cs="Arial"/>
          <w:sz w:val="19"/>
          <w:szCs w:val="19"/>
        </w:rPr>
        <w:t xml:space="preserve">4201912000007182 del 3 de diciembre de 2019, 4201912000007512 del 16 de diciembre de 2019, 4201912000007607 del 9 de diciembre de 2019. </w:t>
      </w:r>
    </w:p>
    <w:p w14:paraId="6F9C05E9" w14:textId="77777777" w:rsidR="00D34196" w:rsidRPr="00B62C62" w:rsidRDefault="00D34196" w:rsidP="00D34196">
      <w:pPr>
        <w:pStyle w:val="Textonotapie"/>
        <w:rPr>
          <w:lang w:val="es-CO"/>
        </w:rPr>
      </w:pPr>
    </w:p>
  </w:footnote>
  <w:footnote w:id="2">
    <w:p w14:paraId="4F9BB7A6" w14:textId="77777777" w:rsidR="00D34196" w:rsidRPr="009C5188" w:rsidRDefault="00D34196" w:rsidP="00D34196">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23E14CD3"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154CF540" w14:textId="77777777" w:rsidR="00D34196" w:rsidRPr="009C5188" w:rsidRDefault="00D34196" w:rsidP="00D34196">
      <w:pPr>
        <w:pStyle w:val="Textonotapie"/>
        <w:jc w:val="both"/>
        <w:rPr>
          <w:rFonts w:ascii="Arial" w:hAnsi="Arial" w:cs="Arial"/>
          <w:sz w:val="19"/>
          <w:szCs w:val="19"/>
          <w:lang w:val="es-ES"/>
        </w:rPr>
      </w:pPr>
    </w:p>
  </w:footnote>
  <w:footnote w:id="3">
    <w:p w14:paraId="44694D60" w14:textId="77777777" w:rsidR="00D34196" w:rsidRPr="009C5188" w:rsidRDefault="00D34196" w:rsidP="00D34196">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16CA2D66" w14:textId="77777777" w:rsidR="00D34196" w:rsidRPr="009C5188" w:rsidRDefault="00D34196" w:rsidP="00D34196">
      <w:pPr>
        <w:pStyle w:val="Textonotapie"/>
        <w:ind w:firstLine="708"/>
        <w:jc w:val="both"/>
        <w:rPr>
          <w:rFonts w:ascii="Arial" w:hAnsi="Arial" w:cs="Arial"/>
          <w:sz w:val="19"/>
          <w:szCs w:val="19"/>
          <w:lang w:val="es-ES"/>
        </w:rPr>
      </w:pPr>
    </w:p>
  </w:footnote>
  <w:footnote w:id="4">
    <w:p w14:paraId="653C6D81" w14:textId="77777777" w:rsidR="00D34196" w:rsidRPr="009C5188" w:rsidRDefault="00D34196" w:rsidP="00D34196">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5A41EAB1"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14:paraId="2DD579AB"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w:t>
      </w:r>
    </w:p>
    <w:p w14:paraId="71A96824" w14:textId="77777777" w:rsidR="00D34196" w:rsidRPr="009C5188" w:rsidRDefault="00D34196" w:rsidP="00D34196">
      <w:pPr>
        <w:pStyle w:val="Textonotapie"/>
        <w:ind w:firstLine="708"/>
        <w:jc w:val="both"/>
        <w:rPr>
          <w:rFonts w:ascii="Arial" w:hAnsi="Arial" w:cs="Arial"/>
          <w:sz w:val="19"/>
          <w:szCs w:val="19"/>
          <w:lang w:val="es-ES"/>
        </w:rPr>
      </w:pPr>
    </w:p>
  </w:footnote>
  <w:footnote w:id="5">
    <w:p w14:paraId="0B0D10D0" w14:textId="77777777" w:rsidR="00D34196" w:rsidRPr="009C5188" w:rsidRDefault="00D34196" w:rsidP="00D34196">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F4AA60D"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w:t>
      </w:r>
    </w:p>
    <w:p w14:paraId="3DD0F3D3"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1426BAD9"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2CDADE77" w14:textId="77777777" w:rsidR="00D34196" w:rsidRPr="009C5188" w:rsidRDefault="00D34196" w:rsidP="00D34196">
      <w:pPr>
        <w:pStyle w:val="Textonotapie"/>
        <w:jc w:val="both"/>
        <w:rPr>
          <w:rFonts w:ascii="Arial" w:hAnsi="Arial" w:cs="Arial"/>
          <w:sz w:val="19"/>
          <w:szCs w:val="19"/>
          <w:lang w:val="es-ES"/>
        </w:rPr>
      </w:pPr>
    </w:p>
  </w:footnote>
  <w:footnote w:id="6">
    <w:p w14:paraId="63954795" w14:textId="77777777" w:rsidR="00D34196" w:rsidRPr="009C5188" w:rsidRDefault="00D34196" w:rsidP="00D34196">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0E7FC7D"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»1.    Si es una persona natural:</w:t>
      </w:r>
    </w:p>
    <w:p w14:paraId="0ECE2DB1"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»1.1. Bienes, obras y servicios que ofrecerá a las Entidades Estatales, identificados con el Clasificador de Bienes y Servicios en el tercer nivel.</w:t>
      </w:r>
    </w:p>
    <w:p w14:paraId="16BB9088"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34A471D8" w14:textId="77777777" w:rsidR="00D34196" w:rsidRPr="009C5188" w:rsidRDefault="00D34196" w:rsidP="00D34196">
      <w:pPr>
        <w:pStyle w:val="Textonotapie"/>
        <w:ind w:firstLine="708"/>
        <w:jc w:val="both"/>
        <w:rPr>
          <w:rFonts w:ascii="Arial" w:hAnsi="Arial" w:cs="Arial"/>
          <w:sz w:val="19"/>
          <w:szCs w:val="19"/>
          <w:lang w:val="es-ES"/>
        </w:rPr>
      </w:pPr>
    </w:p>
  </w:footnote>
  <w:footnote w:id="7">
    <w:p w14:paraId="23B04D67" w14:textId="77777777" w:rsidR="00D34196" w:rsidRPr="009C5188" w:rsidRDefault="00D34196" w:rsidP="00D34196">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Colombia Compra Eficiente, Manual para determinar y verificar requisitos habilitantes en los </w:t>
      </w:r>
      <w:r>
        <w:rPr>
          <w:rFonts w:ascii="Arial" w:hAnsi="Arial" w:cs="Arial"/>
          <w:sz w:val="19"/>
          <w:szCs w:val="19"/>
        </w:rPr>
        <w:t>P</w:t>
      </w:r>
      <w:r w:rsidRPr="009C5188">
        <w:rPr>
          <w:rFonts w:ascii="Arial" w:hAnsi="Arial" w:cs="Arial"/>
          <w:sz w:val="19"/>
          <w:szCs w:val="19"/>
        </w:rPr>
        <w:t xml:space="preserve">rocesos de </w:t>
      </w:r>
      <w:r>
        <w:rPr>
          <w:rFonts w:ascii="Arial" w:hAnsi="Arial" w:cs="Arial"/>
          <w:sz w:val="19"/>
          <w:szCs w:val="19"/>
        </w:rPr>
        <w:t>C</w:t>
      </w:r>
      <w:r w:rsidRPr="009C5188">
        <w:rPr>
          <w:rFonts w:ascii="Arial" w:hAnsi="Arial" w:cs="Arial"/>
          <w:sz w:val="19"/>
          <w:szCs w:val="19"/>
        </w:rPr>
        <w:t>ontratación: «La experiencia es el conocimiento del proponente derivado de su participación previa en actividades iguales o similares a las previstas en el objeto del contrato.</w:t>
      </w:r>
    </w:p>
    <w:p w14:paraId="3D962B68"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450BF718"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w:t>
      </w:r>
    </w:p>
    <w:p w14:paraId="7713240A"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345A890C" w14:textId="77777777" w:rsidR="00D34196" w:rsidRPr="009C5188" w:rsidRDefault="00D34196" w:rsidP="00D34196">
      <w:pPr>
        <w:pStyle w:val="Textonotapie"/>
        <w:ind w:firstLine="708"/>
        <w:jc w:val="both"/>
        <w:rPr>
          <w:rFonts w:ascii="Arial" w:hAnsi="Arial" w:cs="Arial"/>
          <w:sz w:val="19"/>
          <w:szCs w:val="19"/>
        </w:rPr>
      </w:pPr>
      <w:r w:rsidRPr="009C5188">
        <w:rPr>
          <w:rFonts w:ascii="Arial" w:hAnsi="Arial" w:cs="Arial"/>
          <w:sz w:val="19"/>
          <w:szCs w:val="19"/>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10485D1D" w14:textId="77777777" w:rsidR="00D34196" w:rsidRDefault="00D34196" w:rsidP="00D34196">
      <w:pPr>
        <w:pStyle w:val="Textonotapie"/>
        <w:ind w:firstLine="708"/>
        <w:jc w:val="both"/>
        <w:rPr>
          <w:rFonts w:ascii="Arial" w:hAnsi="Arial" w:cs="Arial"/>
          <w:sz w:val="19"/>
          <w:szCs w:val="19"/>
        </w:rPr>
      </w:pPr>
      <w:r w:rsidRPr="009C5188">
        <w:rPr>
          <w:rFonts w:ascii="Arial" w:hAnsi="Arial" w:cs="Arial"/>
          <w:sz w:val="19"/>
          <w:szCs w:val="19"/>
        </w:rPr>
        <w:t>[...]».</w:t>
      </w:r>
    </w:p>
    <w:p w14:paraId="4328ED83" w14:textId="77777777" w:rsidR="00D34196" w:rsidRPr="00694D8E" w:rsidRDefault="00D34196" w:rsidP="00D34196">
      <w:pPr>
        <w:pStyle w:val="Textonotapie"/>
        <w:ind w:firstLine="708"/>
        <w:jc w:val="both"/>
        <w:rPr>
          <w:rFonts w:ascii="Arial" w:hAnsi="Arial" w:cs="Arial"/>
          <w:sz w:val="19"/>
          <w:szCs w:val="19"/>
        </w:rPr>
      </w:pPr>
    </w:p>
  </w:footnote>
  <w:footnote w:id="8">
    <w:p w14:paraId="142C9B7A" w14:textId="77777777" w:rsidR="00D34196" w:rsidRPr="003513C4" w:rsidRDefault="00D34196" w:rsidP="00D34196">
      <w:pPr>
        <w:pStyle w:val="Textonotapie"/>
        <w:ind w:firstLine="708"/>
        <w:jc w:val="both"/>
        <w:rPr>
          <w:rFonts w:ascii="Arial" w:hAnsi="Arial" w:cs="Arial"/>
          <w:sz w:val="19"/>
          <w:szCs w:val="19"/>
        </w:rPr>
      </w:pPr>
      <w:r>
        <w:rPr>
          <w:rStyle w:val="Refdenotaalpie"/>
        </w:rPr>
        <w:footnoteRef/>
      </w:r>
      <w:r>
        <w:t xml:space="preserve"> </w:t>
      </w:r>
      <w:r>
        <w:rPr>
          <w:rFonts w:ascii="Arial" w:hAnsi="Arial" w:cs="Arial"/>
          <w:sz w:val="19"/>
          <w:szCs w:val="19"/>
        </w:rPr>
        <w:t>Esta conclusión cambió respecto del concepto C – 002 del 20 de febrero de 2020, para adecuarla a un mejor entendimiento de las normas sobre la experiencia.</w:t>
      </w:r>
    </w:p>
    <w:p w14:paraId="0E55457B" w14:textId="77777777" w:rsidR="00D34196" w:rsidRPr="00384698" w:rsidRDefault="00D34196" w:rsidP="00D34196">
      <w:pPr>
        <w:pStyle w:val="Textonotapie"/>
        <w:ind w:firstLine="708"/>
        <w:jc w:val="both"/>
        <w:rPr>
          <w:lang w:val="es-CO"/>
        </w:rPr>
      </w:pPr>
    </w:p>
  </w:footnote>
  <w:footnote w:id="9">
    <w:p w14:paraId="78572EF6" w14:textId="77777777" w:rsidR="00D34196" w:rsidRPr="00D059DA" w:rsidRDefault="00D34196" w:rsidP="00D34196">
      <w:pPr>
        <w:pStyle w:val="Textonotapie"/>
        <w:ind w:firstLine="708"/>
        <w:jc w:val="both"/>
        <w:rPr>
          <w:rFonts w:ascii="Arial" w:hAnsi="Arial" w:cs="Arial"/>
          <w:color w:val="000000"/>
          <w:sz w:val="19"/>
          <w:szCs w:val="19"/>
          <w:lang w:val="es-CO"/>
        </w:rPr>
      </w:pPr>
      <w:r w:rsidRPr="00D059DA">
        <w:rPr>
          <w:rStyle w:val="Refdenotaalpie"/>
          <w:rFonts w:ascii="Arial" w:hAnsi="Arial" w:cs="Arial"/>
          <w:color w:val="000000"/>
          <w:sz w:val="19"/>
          <w:szCs w:val="19"/>
        </w:rPr>
        <w:footnoteRef/>
      </w:r>
      <w:r w:rsidRPr="00D059DA">
        <w:rPr>
          <w:rFonts w:ascii="Arial" w:hAnsi="Arial" w:cs="Arial"/>
          <w:color w:val="000000"/>
          <w:sz w:val="19"/>
          <w:szCs w:val="19"/>
        </w:rPr>
        <w:t xml:space="preserve"> Corte Constitucional. </w:t>
      </w:r>
      <w:r w:rsidRPr="00D059DA">
        <w:rPr>
          <w:rFonts w:ascii="Arial" w:hAnsi="Arial" w:cs="Arial"/>
          <w:color w:val="000000"/>
          <w:sz w:val="19"/>
          <w:szCs w:val="19"/>
          <w:lang w:val="es-CO"/>
        </w:rPr>
        <w:t xml:space="preserve">Sentencia C </w:t>
      </w:r>
      <w:r w:rsidRPr="00D059DA">
        <w:rPr>
          <w:rFonts w:ascii="Arial" w:eastAsia="Calibri" w:hAnsi="Arial" w:cs="Arial"/>
          <w:color w:val="000000"/>
          <w:sz w:val="19"/>
          <w:szCs w:val="19"/>
        </w:rPr>
        <w:t xml:space="preserve">- </w:t>
      </w:r>
      <w:r w:rsidRPr="00D059DA">
        <w:rPr>
          <w:rFonts w:ascii="Arial" w:hAnsi="Arial" w:cs="Arial"/>
          <w:color w:val="000000"/>
          <w:sz w:val="19"/>
          <w:szCs w:val="19"/>
          <w:lang w:val="es-CO"/>
        </w:rPr>
        <w:t xml:space="preserve">259 del 11 de marzo 2008. M.P. Jaime Córdoba Triviño. </w:t>
      </w:r>
    </w:p>
  </w:footnote>
  <w:footnote w:id="10">
    <w:p w14:paraId="43B184CF" w14:textId="77777777" w:rsidR="00D34196" w:rsidRPr="004F3C32" w:rsidRDefault="00D34196" w:rsidP="00D34196">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C40D357" w14:textId="77777777" w:rsidR="00D34196" w:rsidRPr="004F3C32" w:rsidRDefault="00D34196" w:rsidP="00D34196">
      <w:pPr>
        <w:pStyle w:val="Textonotapie"/>
        <w:ind w:firstLine="708"/>
        <w:jc w:val="both"/>
        <w:rPr>
          <w:rFonts w:ascii="Arial" w:hAnsi="Arial" w:cs="Arial"/>
          <w:sz w:val="19"/>
          <w:szCs w:val="19"/>
        </w:rPr>
      </w:pPr>
      <w:r w:rsidRPr="004F3C32">
        <w:rPr>
          <w:rFonts w:ascii="Arial" w:hAnsi="Arial" w:cs="Arial"/>
          <w:sz w:val="19"/>
          <w:szCs w:val="19"/>
        </w:rPr>
        <w:t>[…]</w:t>
      </w:r>
    </w:p>
    <w:p w14:paraId="2DF877CA" w14:textId="77777777" w:rsidR="00D34196" w:rsidRPr="001E7492" w:rsidRDefault="00D34196" w:rsidP="00D34196">
      <w:pPr>
        <w:pStyle w:val="Textonotapie"/>
        <w:ind w:firstLine="708"/>
        <w:jc w:val="both"/>
        <w:rPr>
          <w:rFonts w:ascii="Arial" w:hAnsi="Arial" w:cs="Arial"/>
          <w:sz w:val="19"/>
          <w:szCs w:val="19"/>
        </w:rPr>
      </w:pPr>
      <w:r w:rsidRPr="00A222AD">
        <w:rPr>
          <w:rFonts w:ascii="Arial" w:hAnsi="Arial" w:cs="Arial"/>
          <w:sz w:val="19"/>
          <w:szCs w:val="19"/>
          <w:shd w:val="clear" w:color="auto" w:fill="FFFFFF"/>
        </w:rPr>
        <w:t>»2.1.   Bienes, obras y servicios que ofrecerá a las Entidades Estatales, identificados con el Clasificador de Bienes y Servicios en el tercer nivel</w:t>
      </w:r>
      <w:r w:rsidRPr="001E7492">
        <w:rPr>
          <w:rFonts w:ascii="Arial" w:hAnsi="Arial" w:cs="Arial"/>
          <w:sz w:val="19"/>
          <w:szCs w:val="19"/>
        </w:rPr>
        <w:t>»</w:t>
      </w:r>
      <w:r w:rsidRPr="00A222AD">
        <w:rPr>
          <w:rFonts w:ascii="Arial" w:hAnsi="Arial" w:cs="Arial"/>
          <w:sz w:val="19"/>
          <w:szCs w:val="19"/>
          <w:shd w:val="clear" w:color="auto" w:fill="FFFFFF"/>
        </w:rPr>
        <w:t>.</w:t>
      </w:r>
    </w:p>
    <w:p w14:paraId="3018494A" w14:textId="77777777" w:rsidR="00D34196" w:rsidRPr="004F3C32" w:rsidRDefault="00D34196" w:rsidP="00D34196">
      <w:pPr>
        <w:pStyle w:val="Textonotapie"/>
        <w:ind w:firstLine="708"/>
        <w:jc w:val="both"/>
        <w:rPr>
          <w:rFonts w:ascii="Arial" w:hAnsi="Arial" w:cs="Arial"/>
          <w:sz w:val="19"/>
          <w:szCs w:val="19"/>
          <w:lang w:val="es-CO"/>
        </w:rPr>
      </w:pPr>
    </w:p>
  </w:footnote>
  <w:footnote w:id="11">
    <w:p w14:paraId="2EC06B9C" w14:textId="77777777" w:rsidR="00D34196" w:rsidRPr="004F3C32" w:rsidRDefault="00D34196" w:rsidP="00D34196">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6ECFD57" w14:textId="77777777" w:rsidR="00D34196" w:rsidRPr="004F3C32" w:rsidRDefault="00D34196" w:rsidP="00D34196">
      <w:pPr>
        <w:pStyle w:val="Textonotapie"/>
        <w:ind w:firstLine="708"/>
        <w:jc w:val="both"/>
        <w:rPr>
          <w:rFonts w:ascii="Arial" w:hAnsi="Arial" w:cs="Arial"/>
          <w:sz w:val="19"/>
          <w:szCs w:val="19"/>
        </w:rPr>
      </w:pPr>
      <w:r w:rsidRPr="004F3C32">
        <w:rPr>
          <w:rFonts w:ascii="Arial" w:hAnsi="Arial" w:cs="Arial"/>
          <w:sz w:val="19"/>
          <w:szCs w:val="19"/>
        </w:rPr>
        <w:t>[…]</w:t>
      </w:r>
    </w:p>
    <w:p w14:paraId="6CBFB8E3" w14:textId="77777777" w:rsidR="00D34196" w:rsidRPr="004F3C32" w:rsidRDefault="00D34196" w:rsidP="00D34196">
      <w:pPr>
        <w:pStyle w:val="Textonotapie"/>
        <w:ind w:firstLine="708"/>
        <w:jc w:val="both"/>
        <w:rPr>
          <w:rFonts w:ascii="Arial" w:hAnsi="Arial" w:cs="Arial"/>
          <w:sz w:val="19"/>
          <w:szCs w:val="19"/>
          <w:lang w:val="es-CO"/>
        </w:rPr>
      </w:pPr>
      <w:r w:rsidRPr="00A222AD">
        <w:rPr>
          <w:rFonts w:ascii="Arial" w:hAnsi="Arial" w:cs="Arial"/>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222AD">
        <w:rPr>
          <w:rFonts w:ascii="Arial" w:hAnsi="Arial" w:cs="Arial"/>
          <w:sz w:val="19"/>
          <w:szCs w:val="19"/>
          <w:shd w:val="clear" w:color="auto" w:fill="FFFFFF"/>
        </w:rPr>
        <w:softHyphen/>
        <w:t>ficador de Bienes y Servicios en el tercer nivel. Si la constitución del interesado es menor a 3 años, puede acreditar la experiencia de sus accionistas, socios o constituyentes</w:t>
      </w:r>
      <w:r w:rsidRPr="001E7492">
        <w:rPr>
          <w:rFonts w:ascii="Arial" w:hAnsi="Arial" w:cs="Arial"/>
          <w:sz w:val="19"/>
          <w:szCs w:val="19"/>
        </w:rPr>
        <w:t>».</w:t>
      </w:r>
    </w:p>
  </w:footnote>
  <w:footnote w:id="12">
    <w:p w14:paraId="1224C4D8" w14:textId="77777777" w:rsidR="00D34196" w:rsidRDefault="00D34196" w:rsidP="00D34196">
      <w:pPr>
        <w:pStyle w:val="Textonotapie"/>
        <w:ind w:left="708" w:firstLine="1"/>
        <w:rPr>
          <w:rFonts w:ascii="Arial" w:hAnsi="Arial" w:cs="Arial"/>
          <w:sz w:val="19"/>
          <w:szCs w:val="19"/>
        </w:rPr>
      </w:pPr>
      <w:r>
        <w:rPr>
          <w:rStyle w:val="Refdenotaalpie"/>
        </w:rPr>
        <w:footnoteRef/>
      </w:r>
      <w:r>
        <w:t xml:space="preserve"> </w:t>
      </w:r>
      <w:r w:rsidRPr="005B3541">
        <w:rPr>
          <w:rFonts w:ascii="Arial" w:hAnsi="Arial" w:cs="Arial"/>
          <w:sz w:val="19"/>
          <w:szCs w:val="19"/>
        </w:rPr>
        <w:t>Colombia Compra Eficiente. Concepto del 7 de febrero de 2018, Rad. 2201813000000954</w:t>
      </w:r>
      <w:r>
        <w:rPr>
          <w:rFonts w:ascii="Arial" w:hAnsi="Arial" w:cs="Arial"/>
          <w:sz w:val="19"/>
          <w:szCs w:val="19"/>
        </w:rPr>
        <w:t>.</w:t>
      </w:r>
    </w:p>
    <w:p w14:paraId="27A046FF" w14:textId="77777777" w:rsidR="00D34196" w:rsidRPr="005B3541" w:rsidRDefault="00D34196" w:rsidP="00D34196">
      <w:pPr>
        <w:pStyle w:val="Textonotapie"/>
        <w:ind w:left="708" w:firstLine="1"/>
      </w:pPr>
    </w:p>
  </w:footnote>
  <w:footnote w:id="13">
    <w:p w14:paraId="4AD064C6" w14:textId="77777777" w:rsidR="00D34196" w:rsidRPr="00A222AD" w:rsidRDefault="00D34196" w:rsidP="00D34196">
      <w:pPr>
        <w:pStyle w:val="Textocomentario"/>
        <w:ind w:firstLine="708"/>
        <w:jc w:val="both"/>
        <w:rPr>
          <w:rFonts w:ascii="Arial" w:hAnsi="Arial" w:cs="Arial"/>
          <w:sz w:val="19"/>
          <w:szCs w:val="19"/>
          <w:lang w:val="es-CO"/>
        </w:rPr>
      </w:pPr>
      <w:r w:rsidRPr="00A222AD">
        <w:rPr>
          <w:rStyle w:val="Refdenotaalpie"/>
          <w:rFonts w:ascii="Arial" w:hAnsi="Arial" w:cs="Arial"/>
          <w:sz w:val="19"/>
          <w:szCs w:val="19"/>
        </w:rPr>
        <w:footnoteRef/>
      </w:r>
      <w:r w:rsidRPr="00A222AD">
        <w:rPr>
          <w:rFonts w:ascii="Arial" w:hAnsi="Arial" w:cs="Arial"/>
          <w:sz w:val="19"/>
          <w:szCs w:val="19"/>
        </w:rPr>
        <w:t xml:space="preserve"> En el marco del Estado de emergencia económica, social y ecológica declarado por el Gobierno Nacional a través del Decreto 417 de 2020, a causa de la pandemia mundial desatada por el virus del Covid</w:t>
      </w:r>
      <w:r>
        <w:rPr>
          <w:rFonts w:ascii="Arial" w:hAnsi="Arial" w:cs="Arial"/>
          <w:sz w:val="19"/>
          <w:szCs w:val="19"/>
        </w:rPr>
        <w:t>-</w:t>
      </w:r>
      <w:r w:rsidRPr="00A222AD">
        <w:rPr>
          <w:rFonts w:ascii="Arial" w:hAnsi="Arial" w:cs="Arial"/>
          <w:sz w:val="19"/>
          <w:szCs w:val="19"/>
        </w:rPr>
        <w:t>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6EC5A" w14:textId="77777777" w:rsidR="008F4163" w:rsidRDefault="00A0446B">
    <w:pPr>
      <w:pStyle w:val="Encabezado"/>
    </w:pPr>
    <w:r>
      <w:rPr>
        <w:noProof/>
        <w:lang w:val="es-ES_tradnl" w:eastAsia="es-ES_tradnl"/>
      </w:rPr>
      <w:drawing>
        <wp:anchor distT="0" distB="0" distL="114300" distR="114300" simplePos="0" relativeHeight="251659264" behindDoc="1" locked="0" layoutInCell="1" allowOverlap="1" wp14:anchorId="32A9D217" wp14:editId="37ED77E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879590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196"/>
    <w:rsid w:val="00001DF1"/>
    <w:rsid w:val="001133EB"/>
    <w:rsid w:val="001574F7"/>
    <w:rsid w:val="00161326"/>
    <w:rsid w:val="0027792D"/>
    <w:rsid w:val="003E1108"/>
    <w:rsid w:val="00422AB4"/>
    <w:rsid w:val="00470134"/>
    <w:rsid w:val="004873FD"/>
    <w:rsid w:val="005B52F3"/>
    <w:rsid w:val="005C5A99"/>
    <w:rsid w:val="00645B70"/>
    <w:rsid w:val="00804585"/>
    <w:rsid w:val="00837002"/>
    <w:rsid w:val="009B60BA"/>
    <w:rsid w:val="00A0446B"/>
    <w:rsid w:val="00A76A72"/>
    <w:rsid w:val="00A94792"/>
    <w:rsid w:val="00AE0692"/>
    <w:rsid w:val="00C004C3"/>
    <w:rsid w:val="00CF4B54"/>
    <w:rsid w:val="00D34196"/>
    <w:rsid w:val="00D84D7B"/>
    <w:rsid w:val="00E66821"/>
    <w:rsid w:val="00E74919"/>
    <w:rsid w:val="00F753B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143ED"/>
  <w15:chartTrackingRefBased/>
  <w15:docId w15:val="{825DE5A7-256F-4E68-B0B9-D699677B7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196"/>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34196"/>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D34196"/>
    <w:rPr>
      <w:sz w:val="24"/>
      <w:lang w:val="es-MX"/>
    </w:rPr>
  </w:style>
  <w:style w:type="paragraph" w:styleId="Encabezado">
    <w:name w:val="header"/>
    <w:basedOn w:val="Normal"/>
    <w:link w:val="EncabezadoCar"/>
    <w:uiPriority w:val="99"/>
    <w:unhideWhenUsed/>
    <w:rsid w:val="00D34196"/>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D34196"/>
    <w:rPr>
      <w:sz w:val="24"/>
      <w:lang w:val="es-MX"/>
    </w:rPr>
  </w:style>
  <w:style w:type="table" w:styleId="Tablaconcuadrcula">
    <w:name w:val="Table Grid"/>
    <w:basedOn w:val="Tablanormal"/>
    <w:uiPriority w:val="59"/>
    <w:qFormat/>
    <w:rsid w:val="00D34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D34196"/>
    <w:pPr>
      <w:ind w:left="720"/>
      <w:contextualSpacing/>
    </w:pPr>
    <w:rPr>
      <w:rFonts w:asciiTheme="minorHAnsi" w:eastAsiaTheme="minorHAnsi" w:hAnsiTheme="minorHAnsi" w:cstheme="minorBidi"/>
      <w:szCs w:val="22"/>
      <w:lang w:val="es-MX" w:eastAsia="en-US"/>
    </w:rPr>
  </w:style>
  <w:style w:type="paragraph" w:styleId="Textocomentario">
    <w:name w:val="annotation text"/>
    <w:basedOn w:val="Normal"/>
    <w:link w:val="TextocomentarioCar"/>
    <w:uiPriority w:val="99"/>
    <w:unhideWhenUsed/>
    <w:rsid w:val="00D34196"/>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34196"/>
    <w:rPr>
      <w:sz w:val="20"/>
      <w:szCs w:val="20"/>
      <w:lang w:val="es-MX"/>
    </w:rPr>
  </w:style>
  <w:style w:type="paragraph" w:styleId="NormalWeb">
    <w:name w:val="Normal (Web)"/>
    <w:basedOn w:val="Normal"/>
    <w:link w:val="NormalWebCar"/>
    <w:uiPriority w:val="99"/>
    <w:unhideWhenUsed/>
    <w:rsid w:val="00D34196"/>
    <w:pPr>
      <w:spacing w:before="100" w:beforeAutospacing="1" w:after="100" w:afterAutospacing="1"/>
    </w:pPr>
    <w:rPr>
      <w:lang w:eastAsia="es-CO"/>
    </w:rPr>
  </w:style>
  <w:style w:type="paragraph" w:styleId="Sinespaciado">
    <w:name w:val="No Spacing"/>
    <w:aliases w:val="No Indent"/>
    <w:uiPriority w:val="1"/>
    <w:qFormat/>
    <w:rsid w:val="00D34196"/>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3419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D34196"/>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D34196"/>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34196"/>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D34196"/>
    <w:rPr>
      <w:vertAlign w:val="superscript"/>
    </w:rPr>
  </w:style>
  <w:style w:type="paragraph" w:customStyle="1" w:styleId="Appelnotedebasde">
    <w:name w:val="Appel note de bas de..."/>
    <w:basedOn w:val="Normal"/>
    <w:link w:val="Refdenotaalpie"/>
    <w:uiPriority w:val="99"/>
    <w:rsid w:val="00D34196"/>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D34196"/>
    <w:rPr>
      <w:rFonts w:ascii="Times New Roman" w:eastAsia="Times New Roman" w:hAnsi="Times New Roman" w:cs="Times New Roman"/>
      <w:sz w:val="24"/>
      <w:szCs w:val="24"/>
      <w:lang w:eastAsia="es-CO"/>
    </w:rPr>
  </w:style>
  <w:style w:type="paragraph" w:styleId="Revisin">
    <w:name w:val="Revision"/>
    <w:hidden/>
    <w:uiPriority w:val="99"/>
    <w:semiHidden/>
    <w:rsid w:val="00422AB4"/>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F753BD"/>
    <w:rPr>
      <w:sz w:val="16"/>
      <w:szCs w:val="16"/>
    </w:rPr>
  </w:style>
  <w:style w:type="paragraph" w:styleId="Asuntodelcomentario">
    <w:name w:val="annotation subject"/>
    <w:basedOn w:val="Textocomentario"/>
    <w:next w:val="Textocomentario"/>
    <w:link w:val="AsuntodelcomentarioCar"/>
    <w:uiPriority w:val="99"/>
    <w:semiHidden/>
    <w:unhideWhenUsed/>
    <w:rsid w:val="00F753BD"/>
    <w:rPr>
      <w:rFonts w:ascii="Times New Roman" w:eastAsia="Times New Roman" w:hAnsi="Times New Roman" w:cs="Times New Roman"/>
      <w:b/>
      <w:bCs/>
      <w:lang w:val="es-CO" w:eastAsia="es-ES_tradnl"/>
    </w:rPr>
  </w:style>
  <w:style w:type="character" w:customStyle="1" w:styleId="AsuntodelcomentarioCar">
    <w:name w:val="Asunto del comentario Car"/>
    <w:basedOn w:val="TextocomentarioCar"/>
    <w:link w:val="Asuntodelcomentario"/>
    <w:uiPriority w:val="99"/>
    <w:semiHidden/>
    <w:rsid w:val="00F753BD"/>
    <w:rPr>
      <w:rFonts w:ascii="Times New Roman" w:eastAsia="Times New Roman" w:hAnsi="Times New Roman" w:cs="Times New Roman"/>
      <w:b/>
      <w:bCs/>
      <w:sz w:val="20"/>
      <w:szCs w:val="20"/>
      <w:lang w:val="es-MX"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3319249">
      <w:bodyDiv w:val="1"/>
      <w:marLeft w:val="0"/>
      <w:marRight w:val="0"/>
      <w:marTop w:val="0"/>
      <w:marBottom w:val="0"/>
      <w:divBdr>
        <w:top w:val="none" w:sz="0" w:space="0" w:color="auto"/>
        <w:left w:val="none" w:sz="0" w:space="0" w:color="auto"/>
        <w:bottom w:val="none" w:sz="0" w:space="0" w:color="auto"/>
        <w:right w:val="none" w:sz="0" w:space="0" w:color="auto"/>
      </w:divBdr>
      <w:divsChild>
        <w:div w:id="17873890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38F4B7-2E39-466B-9106-64FFA729190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579DAEA9-1377-4CA8-8610-9501980DE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8D98F9-2232-42E8-9296-823952689A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4523</Words>
  <Characters>24878</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Martin Rojas Mejia</cp:lastModifiedBy>
  <cp:revision>4</cp:revision>
  <dcterms:created xsi:type="dcterms:W3CDTF">2022-07-19T20:34:00Z</dcterms:created>
  <dcterms:modified xsi:type="dcterms:W3CDTF">2022-08-16T20:50:00Z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