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CF2476" w14:textId="77777777" w:rsidR="001742EF" w:rsidRPr="00914070" w:rsidRDefault="001742EF" w:rsidP="001742EF">
      <w:pPr>
        <w:spacing w:after="0" w:line="240" w:lineRule="auto"/>
        <w:jc w:val="both"/>
        <w:rPr>
          <w:rFonts w:ascii="Verdana" w:eastAsia="Calibri" w:hAnsi="Verdana" w:cs="Arial"/>
          <w:b/>
          <w:bCs/>
          <w:lang w:val="es-ES" w:eastAsia="es-ES"/>
        </w:rPr>
      </w:pPr>
      <w:bookmarkStart w:id="0" w:name="_Hlk143780582"/>
      <w:r w:rsidRPr="00914070">
        <w:rPr>
          <w:rFonts w:ascii="Verdana" w:eastAsia="Calibri" w:hAnsi="Verdana" w:cs="Arial"/>
          <w:b/>
          <w:bCs/>
          <w:lang w:val="es-ES" w:eastAsia="es-ES"/>
        </w:rPr>
        <w:t>SUBSANABILIDAD – Aplicación – R</w:t>
      </w:r>
      <w:r w:rsidRPr="00914070">
        <w:rPr>
          <w:rFonts w:ascii="Verdana" w:eastAsia="Calibri" w:hAnsi="Verdana"/>
          <w:b/>
          <w:bCs/>
          <w:lang w:val="es-ES" w:eastAsia="es-ES"/>
        </w:rPr>
        <w:t>egla general</w:t>
      </w:r>
      <w:r w:rsidRPr="00914070">
        <w:rPr>
          <w:rFonts w:ascii="Verdana" w:eastAsia="Calibri" w:hAnsi="Verdana" w:cs="Arial"/>
          <w:b/>
          <w:bCs/>
          <w:lang w:val="es-ES" w:eastAsia="es-ES"/>
        </w:rPr>
        <w:t xml:space="preserve"> – Excepciones </w:t>
      </w:r>
    </w:p>
    <w:p w14:paraId="5DB680FB" w14:textId="77777777" w:rsidR="001742EF" w:rsidRDefault="001742EF" w:rsidP="001742EF">
      <w:pPr>
        <w:spacing w:after="0" w:line="240" w:lineRule="auto"/>
        <w:jc w:val="both"/>
        <w:rPr>
          <w:rFonts w:ascii="Verdana" w:hAnsi="Verdana" w:cs="Arial"/>
          <w:noProof/>
          <w:sz w:val="20"/>
          <w:szCs w:val="20"/>
          <w:lang w:val="es-ES_tradnl"/>
        </w:rPr>
      </w:pPr>
    </w:p>
    <w:p w14:paraId="3D7F0D47" w14:textId="77777777" w:rsidR="001742EF" w:rsidRPr="00914070" w:rsidRDefault="001742EF" w:rsidP="001742EF">
      <w:pPr>
        <w:spacing w:after="0" w:line="240" w:lineRule="auto"/>
        <w:jc w:val="both"/>
        <w:rPr>
          <w:rFonts w:ascii="Verdana" w:eastAsia="Times New Roman" w:hAnsi="Verdana" w:cs="Arial"/>
          <w:sz w:val="20"/>
          <w:szCs w:val="20"/>
          <w:lang w:val="es-ES_tradnl" w:eastAsia="es-ES_tradnl"/>
        </w:rPr>
      </w:pPr>
      <w:r w:rsidRPr="00914070">
        <w:rPr>
          <w:rFonts w:ascii="Verdana" w:hAnsi="Verdana" w:cs="Arial"/>
          <w:noProof/>
          <w:sz w:val="20"/>
          <w:szCs w:val="20"/>
          <w:lang w:val="es-ES_tradnl"/>
        </w:rPr>
        <w:t>L</w:t>
      </w:r>
      <w:r w:rsidRPr="00914070">
        <w:rPr>
          <w:rFonts w:ascii="Verdana" w:eastAsia="Times New Roman" w:hAnsi="Verdana" w:cs="Arial"/>
          <w:sz w:val="20"/>
          <w:szCs w:val="20"/>
        </w:rPr>
        <w:t>a regla de la subsanabilidad de las ofertas en los procedimientos de selección</w:t>
      </w:r>
      <w:r w:rsidRPr="00914070">
        <w:rPr>
          <w:rFonts w:ascii="Verdana" w:eastAsia="Times New Roman" w:hAnsi="Verdana" w:cs="Arial"/>
          <w:b/>
          <w:bCs/>
          <w:sz w:val="20"/>
          <w:szCs w:val="20"/>
        </w:rPr>
        <w:t xml:space="preserve"> </w:t>
      </w:r>
      <w:r w:rsidRPr="00914070">
        <w:rPr>
          <w:rFonts w:ascii="Verdana" w:eastAsia="Times New Roman" w:hAnsi="Verdana" w:cs="Arial"/>
          <w:sz w:val="20"/>
          <w:szCs w:val="20"/>
          <w:lang w:val="es-ES_tradnl" w:eastAsia="es-ES_tradnl"/>
        </w:rPr>
        <w:t>indica que, por regla general, la falta de entrega y los defectos en la acreditación de los requisitos habilitantes son aspectos subsanables. La excepción a esta regla se encuentra en la prohibición de permitir la entrega de la garantía de seriedad de la oferta que no fue aportada con la propuesta y de valer la acreditación de circunstancias ocurridas con posterioridad al cierre del proceso.</w:t>
      </w:r>
    </w:p>
    <w:p w14:paraId="4E2D2C71" w14:textId="77777777" w:rsidR="001742EF" w:rsidRPr="00914070" w:rsidRDefault="001742EF" w:rsidP="001742EF">
      <w:pPr>
        <w:spacing w:after="0" w:line="240" w:lineRule="auto"/>
        <w:jc w:val="both"/>
        <w:rPr>
          <w:rFonts w:ascii="Verdana" w:eastAsia="Calibri" w:hAnsi="Verdana" w:cs="Arial"/>
          <w:sz w:val="20"/>
          <w:szCs w:val="20"/>
          <w:lang w:val="es-ES" w:eastAsia="es-ES"/>
        </w:rPr>
      </w:pPr>
    </w:p>
    <w:p w14:paraId="360EC81D" w14:textId="77777777" w:rsidR="001742EF" w:rsidRPr="00914070" w:rsidRDefault="001742EF" w:rsidP="001742EF">
      <w:pPr>
        <w:spacing w:after="0" w:line="240" w:lineRule="auto"/>
        <w:jc w:val="both"/>
        <w:rPr>
          <w:rFonts w:ascii="Verdana" w:eastAsia="Calibri" w:hAnsi="Verdana" w:cs="Arial"/>
          <w:b/>
          <w:bCs/>
          <w:lang w:val="es-ES" w:eastAsia="es-ES"/>
        </w:rPr>
      </w:pPr>
      <w:r w:rsidRPr="00914070">
        <w:rPr>
          <w:rFonts w:ascii="Verdana" w:eastAsia="Calibri" w:hAnsi="Verdana" w:cs="Arial"/>
          <w:b/>
          <w:bCs/>
          <w:lang w:val="es-ES" w:eastAsia="es-ES"/>
        </w:rPr>
        <w:t xml:space="preserve">SUBSANABILIDAD – Circunstancias posteriores – Cierre del proceso- Ley 1882 de 2018 </w:t>
      </w:r>
    </w:p>
    <w:p w14:paraId="701FCAF0" w14:textId="77777777" w:rsidR="001742EF" w:rsidRPr="00914070" w:rsidRDefault="001742EF" w:rsidP="001742EF">
      <w:pPr>
        <w:spacing w:after="0" w:line="240" w:lineRule="auto"/>
        <w:jc w:val="both"/>
        <w:rPr>
          <w:rFonts w:ascii="Verdana" w:eastAsia="Calibri" w:hAnsi="Verdana" w:cs="Arial"/>
          <w:sz w:val="20"/>
          <w:szCs w:val="20"/>
          <w:lang w:val="es-ES" w:eastAsia="es-ES"/>
        </w:rPr>
      </w:pPr>
    </w:p>
    <w:p w14:paraId="0EB94131" w14:textId="77777777" w:rsidR="001742EF" w:rsidRDefault="001742EF" w:rsidP="001742EF">
      <w:pPr>
        <w:spacing w:after="0" w:line="240" w:lineRule="auto"/>
        <w:jc w:val="both"/>
        <w:rPr>
          <w:rFonts w:ascii="Verdana" w:eastAsia="Times New Roman" w:hAnsi="Verdana" w:cs="Arial"/>
          <w:sz w:val="20"/>
          <w:szCs w:val="20"/>
          <w:lang w:val="es-ES_tradnl" w:eastAsia="es-ES_tradnl"/>
        </w:rPr>
      </w:pPr>
      <w:r w:rsidRPr="00914070">
        <w:rPr>
          <w:rFonts w:ascii="Verdana" w:eastAsia="Times New Roman" w:hAnsi="Verdana" w:cs="Arial"/>
          <w:sz w:val="20"/>
          <w:szCs w:val="20"/>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406ACC5" w14:textId="77777777" w:rsidR="001742EF" w:rsidRPr="00914070" w:rsidRDefault="001742EF" w:rsidP="001742EF">
      <w:pPr>
        <w:spacing w:after="0" w:line="240" w:lineRule="auto"/>
        <w:jc w:val="both"/>
        <w:rPr>
          <w:rFonts w:ascii="Verdana" w:eastAsia="Times New Roman" w:hAnsi="Verdana" w:cs="Arial"/>
          <w:sz w:val="20"/>
          <w:szCs w:val="20"/>
          <w:lang w:val="es-ES_tradnl" w:eastAsia="es-ES_tradnl"/>
        </w:rPr>
      </w:pPr>
    </w:p>
    <w:p w14:paraId="3F1EF5B5" w14:textId="77777777" w:rsidR="001742EF" w:rsidRDefault="001742EF" w:rsidP="001742EF">
      <w:pPr>
        <w:spacing w:after="0" w:line="240" w:lineRule="auto"/>
        <w:jc w:val="both"/>
        <w:rPr>
          <w:rFonts w:ascii="Verdana" w:eastAsia="Times New Roman" w:hAnsi="Verdana" w:cs="Arial"/>
          <w:sz w:val="20"/>
          <w:szCs w:val="20"/>
          <w:lang w:val="es-ES" w:eastAsia="es-ES"/>
        </w:rPr>
      </w:pPr>
      <w:r w:rsidRPr="00914070">
        <w:rPr>
          <w:rFonts w:ascii="Verdana" w:eastAsia="Times New Roman" w:hAnsi="Verdana" w:cs="Arial"/>
          <w:sz w:val="20"/>
          <w:szCs w:val="20"/>
          <w:lang w:val="es-ES" w:eastAsia="es-ES"/>
        </w:rPr>
        <w:t xml:space="preserve">Un mejor entendimiento del significado de la expresión </w:t>
      </w:r>
      <w:r w:rsidRPr="00914070">
        <w:rPr>
          <w:rFonts w:ascii="Verdana" w:eastAsia="Times New Roman" w:hAnsi="Verdana" w:cs="Arial"/>
          <w:i/>
          <w:sz w:val="20"/>
          <w:szCs w:val="20"/>
          <w:lang w:val="es-ES" w:eastAsia="es-ES"/>
        </w:rPr>
        <w:t>“circunstancias ocurridas con posterioridad al cierre del proceso”</w:t>
      </w:r>
      <w:r w:rsidRPr="00914070">
        <w:rPr>
          <w:rFonts w:ascii="Verdana" w:eastAsia="Times New Roman" w:hAnsi="Verdana" w:cs="Arial"/>
          <w:sz w:val="20"/>
          <w:szCs w:val="20"/>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Pr>
          <w:rFonts w:ascii="Verdana" w:eastAsia="Times New Roman" w:hAnsi="Verdana" w:cs="Arial"/>
          <w:sz w:val="20"/>
          <w:szCs w:val="20"/>
          <w:lang w:val="es-ES" w:eastAsia="es-ES"/>
        </w:rPr>
        <w:t xml:space="preserve">. </w:t>
      </w:r>
    </w:p>
    <w:p w14:paraId="21C4E936" w14:textId="77777777" w:rsidR="001742EF" w:rsidRPr="00914070" w:rsidRDefault="001742EF" w:rsidP="001742EF">
      <w:pPr>
        <w:spacing w:after="0" w:line="240" w:lineRule="auto"/>
        <w:jc w:val="both"/>
        <w:rPr>
          <w:rFonts w:ascii="Verdana" w:eastAsia="Calibri" w:hAnsi="Verdana" w:cs="Arial"/>
          <w:sz w:val="20"/>
          <w:szCs w:val="20"/>
          <w:lang w:val="es-ES" w:eastAsia="es-ES"/>
        </w:rPr>
      </w:pPr>
    </w:p>
    <w:p w14:paraId="1A3388E6" w14:textId="77777777" w:rsidR="001742EF" w:rsidRPr="00914070" w:rsidRDefault="001742EF" w:rsidP="001742EF">
      <w:pPr>
        <w:spacing w:after="0" w:line="240" w:lineRule="auto"/>
        <w:jc w:val="both"/>
        <w:rPr>
          <w:rFonts w:ascii="Verdana" w:eastAsia="Calibri" w:hAnsi="Verdana" w:cs="Arial"/>
          <w:b/>
          <w:bCs/>
          <w:lang w:val="es-ES" w:eastAsia="es-ES"/>
        </w:rPr>
      </w:pPr>
      <w:r w:rsidRPr="00914070">
        <w:rPr>
          <w:rFonts w:ascii="Verdana" w:eastAsia="Calibri" w:hAnsi="Verdana" w:cs="Arial"/>
          <w:b/>
          <w:bCs/>
          <w:lang w:val="es-ES" w:eastAsia="es-ES"/>
        </w:rPr>
        <w:t>SUBSANABILIDAD – Concurso de méritos</w:t>
      </w:r>
    </w:p>
    <w:p w14:paraId="46178F95" w14:textId="77777777" w:rsidR="001742EF" w:rsidRDefault="001742EF" w:rsidP="001742EF">
      <w:pPr>
        <w:spacing w:after="0" w:line="240" w:lineRule="auto"/>
        <w:jc w:val="both"/>
        <w:rPr>
          <w:rFonts w:ascii="Verdana" w:eastAsia="Times New Roman" w:hAnsi="Verdana" w:cs="Arial"/>
          <w:sz w:val="20"/>
          <w:szCs w:val="20"/>
          <w:lang w:val="es-ES" w:eastAsia="es-ES"/>
        </w:rPr>
      </w:pPr>
    </w:p>
    <w:p w14:paraId="10EC3188" w14:textId="77777777" w:rsidR="001742EF" w:rsidRPr="00914070" w:rsidRDefault="001742EF" w:rsidP="001742EF">
      <w:pPr>
        <w:spacing w:after="0" w:line="240" w:lineRule="auto"/>
        <w:jc w:val="both"/>
        <w:rPr>
          <w:rFonts w:ascii="Verdana" w:eastAsia="Times New Roman" w:hAnsi="Verdana" w:cs="Arial"/>
          <w:sz w:val="20"/>
          <w:szCs w:val="20"/>
          <w:lang w:val="es-ES" w:eastAsia="es-ES"/>
        </w:rPr>
      </w:pPr>
      <w:r w:rsidRPr="00914070">
        <w:rPr>
          <w:rFonts w:ascii="Verdana" w:eastAsia="Times New Roman" w:hAnsi="Verdana" w:cs="Arial"/>
          <w:sz w:val="20"/>
          <w:szCs w:val="20"/>
          <w:lang w:val="es-ES" w:eastAsia="es-ES"/>
        </w:rPr>
        <w:t>Visto lo anterior, con miras a dar respuesta al problema jurídico planteado, debe decirse que,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5034DF2F" w14:textId="77777777" w:rsidR="001742EF" w:rsidRDefault="001742EF" w:rsidP="001742EF">
      <w:pPr>
        <w:spacing w:after="0" w:line="240" w:lineRule="auto"/>
        <w:jc w:val="both"/>
        <w:rPr>
          <w:rFonts w:ascii="Verdana" w:hAnsi="Verdana" w:cs="Arial"/>
          <w:noProof/>
          <w:sz w:val="20"/>
          <w:szCs w:val="20"/>
          <w:lang w:val="es-ES_tradnl"/>
        </w:rPr>
      </w:pPr>
    </w:p>
    <w:p w14:paraId="1762F16F" w14:textId="77777777" w:rsidR="001742EF" w:rsidRPr="00914070" w:rsidRDefault="001742EF" w:rsidP="001742EF">
      <w:pPr>
        <w:spacing w:after="0" w:line="240" w:lineRule="auto"/>
        <w:jc w:val="both"/>
        <w:rPr>
          <w:rFonts w:ascii="Verdana" w:hAnsi="Verdana" w:cs="Arial"/>
          <w:noProof/>
          <w:sz w:val="20"/>
          <w:szCs w:val="20"/>
          <w:lang w:val="es-ES_tradnl"/>
        </w:rPr>
      </w:pPr>
      <w:r w:rsidRPr="00914070">
        <w:rPr>
          <w:rFonts w:ascii="Verdana" w:hAnsi="Verdana" w:cs="Arial"/>
          <w:noProof/>
          <w:sz w:val="20"/>
          <w:szCs w:val="20"/>
          <w:lang w:val="es-ES_tradnl"/>
        </w:rPr>
        <w:t xml:space="preserve">En conclusion, los requisitos o documentos que no sean necesarios para la comparación de las ofertas pueden subsanarse y todo lo que no sea necesario para la comparación de propuestas no es título suficiente para su rechazo. En sentido, si en un concurso de méritos se presentó a un profesional para cumplir con un perfil solicitado como requisito habilitante, pero la entidad encontró alguna inconsistencia, podría subsanarse el requisito habilitante. </w:t>
      </w:r>
    </w:p>
    <w:p w14:paraId="5E590985" w14:textId="77777777" w:rsidR="001742EF" w:rsidRDefault="001742EF">
      <w:pPr>
        <w:rPr>
          <w:rFonts w:ascii="Verdana" w:hAnsi="Verdana"/>
        </w:rPr>
      </w:pPr>
      <w:r>
        <w:rPr>
          <w:rFonts w:ascii="Verdana" w:hAnsi="Verdana"/>
        </w:rPr>
        <w:br w:type="page"/>
      </w:r>
    </w:p>
    <w:p w14:paraId="3FE2184B" w14:textId="3E0B5A4A" w:rsidR="00E245AB" w:rsidRPr="0044528D" w:rsidRDefault="00E245AB" w:rsidP="00E245AB">
      <w:pPr>
        <w:spacing w:after="0"/>
        <w:rPr>
          <w:rFonts w:ascii="Verdana" w:hAnsi="Verdana"/>
        </w:rPr>
      </w:pPr>
      <w:r w:rsidRPr="0044528D">
        <w:rPr>
          <w:rFonts w:ascii="Verdana" w:hAnsi="Verdana"/>
        </w:rPr>
        <w:lastRenderedPageBreak/>
        <w:t xml:space="preserve">Bogotá D.C., </w:t>
      </w:r>
      <w:r w:rsidR="00B80EB2">
        <w:rPr>
          <w:rFonts w:ascii="Verdana" w:hAnsi="Verdana"/>
        </w:rPr>
        <w:t xml:space="preserve">19 de septiembre de 2024. </w:t>
      </w:r>
    </w:p>
    <w:p w14:paraId="5FCADBF9" w14:textId="42E579EC" w:rsidR="00E245AB" w:rsidRDefault="00B80EB2" w:rsidP="00B80EB2">
      <w:pPr>
        <w:spacing w:after="0"/>
        <w:jc w:val="right"/>
        <w:rPr>
          <w:rFonts w:ascii="Verdana" w:hAnsi="Verdana"/>
        </w:rPr>
      </w:pPr>
      <w:r w:rsidRPr="00B80EB2">
        <w:rPr>
          <w:rFonts w:ascii="Verdana" w:hAnsi="Verdana"/>
          <w:noProof/>
        </w:rPr>
        <w:drawing>
          <wp:inline distT="0" distB="0" distL="0" distR="0" wp14:anchorId="78832048" wp14:editId="2E9351EF">
            <wp:extent cx="3787588" cy="1094192"/>
            <wp:effectExtent l="0" t="0" r="3810" b="0"/>
            <wp:docPr id="13108393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39327" name=""/>
                    <pic:cNvPicPr/>
                  </pic:nvPicPr>
                  <pic:blipFill>
                    <a:blip r:embed="rId10"/>
                    <a:stretch>
                      <a:fillRect/>
                    </a:stretch>
                  </pic:blipFill>
                  <pic:spPr>
                    <a:xfrm>
                      <a:off x="0" y="0"/>
                      <a:ext cx="3800261" cy="1097853"/>
                    </a:xfrm>
                    <a:prstGeom prst="rect">
                      <a:avLst/>
                    </a:prstGeom>
                  </pic:spPr>
                </pic:pic>
              </a:graphicData>
            </a:graphic>
          </wp:inline>
        </w:drawing>
      </w:r>
    </w:p>
    <w:p w14:paraId="3557F547" w14:textId="77777777" w:rsidR="007F4029" w:rsidRPr="0063746A" w:rsidRDefault="007F4029" w:rsidP="007F4029">
      <w:pPr>
        <w:spacing w:after="0" w:line="240" w:lineRule="auto"/>
        <w:jc w:val="both"/>
        <w:rPr>
          <w:rFonts w:ascii="Verdana" w:eastAsia="Calibri" w:hAnsi="Verdana" w:cs="Arial"/>
          <w:lang w:val="es-ES" w:eastAsia="es-ES"/>
        </w:rPr>
      </w:pPr>
      <w:r w:rsidRPr="0063746A">
        <w:rPr>
          <w:rFonts w:ascii="Verdana" w:eastAsia="Calibri" w:hAnsi="Verdana" w:cs="Arial"/>
          <w:lang w:val="es-ES" w:eastAsia="es-ES"/>
        </w:rPr>
        <w:t>Señor</w:t>
      </w:r>
    </w:p>
    <w:p w14:paraId="0A69757F" w14:textId="77777777" w:rsidR="007F4029" w:rsidRPr="0063746A" w:rsidRDefault="007F4029" w:rsidP="007F4029">
      <w:pPr>
        <w:spacing w:after="0" w:line="240" w:lineRule="auto"/>
        <w:rPr>
          <w:rFonts w:ascii="Verdana" w:eastAsia="Calibri" w:hAnsi="Verdana" w:cs="Arial"/>
          <w:b/>
          <w:lang w:val="es-ES_tradnl" w:eastAsia="es-ES_tradnl"/>
        </w:rPr>
      </w:pPr>
      <w:r w:rsidRPr="0063746A">
        <w:rPr>
          <w:rFonts w:ascii="Verdana" w:eastAsia="Calibri" w:hAnsi="Verdana" w:cs="Arial"/>
          <w:b/>
          <w:lang w:val="es-ES_tradnl" w:eastAsia="es-ES_tradnl"/>
        </w:rPr>
        <w:t xml:space="preserve">Salim Antonio </w:t>
      </w:r>
      <w:proofErr w:type="spellStart"/>
      <w:r w:rsidRPr="0063746A">
        <w:rPr>
          <w:rFonts w:ascii="Verdana" w:eastAsia="Calibri" w:hAnsi="Verdana" w:cs="Arial"/>
          <w:b/>
          <w:lang w:val="es-ES_tradnl" w:eastAsia="es-ES_tradnl"/>
        </w:rPr>
        <w:t>Salon</w:t>
      </w:r>
      <w:proofErr w:type="spellEnd"/>
      <w:r w:rsidRPr="0063746A">
        <w:rPr>
          <w:rFonts w:ascii="Verdana" w:eastAsia="Calibri" w:hAnsi="Verdana" w:cs="Arial"/>
          <w:b/>
          <w:lang w:val="es-ES_tradnl" w:eastAsia="es-ES_tradnl"/>
        </w:rPr>
        <w:t xml:space="preserve"> </w:t>
      </w:r>
      <w:proofErr w:type="spellStart"/>
      <w:r w:rsidRPr="0063746A">
        <w:rPr>
          <w:rFonts w:ascii="Verdana" w:eastAsia="Calibri" w:hAnsi="Verdana" w:cs="Arial"/>
          <w:b/>
          <w:lang w:val="es-ES_tradnl" w:eastAsia="es-ES_tradnl"/>
        </w:rPr>
        <w:t>Rodriguez</w:t>
      </w:r>
      <w:proofErr w:type="spellEnd"/>
    </w:p>
    <w:p w14:paraId="0ACD2E4E" w14:textId="77777777" w:rsidR="007F4029" w:rsidRPr="0063746A" w:rsidRDefault="007F4029" w:rsidP="007F4029">
      <w:pPr>
        <w:spacing w:after="0" w:line="240" w:lineRule="auto"/>
        <w:rPr>
          <w:rFonts w:ascii="Verdana" w:eastAsia="Calibri" w:hAnsi="Verdana" w:cs="Arial"/>
          <w:b/>
          <w:bCs/>
          <w:lang w:val="es-ES" w:eastAsia="es-ES"/>
        </w:rPr>
      </w:pPr>
      <w:r w:rsidRPr="0063746A">
        <w:rPr>
          <w:rFonts w:ascii="Verdana" w:eastAsia="Calibri" w:hAnsi="Verdana" w:cs="Arial"/>
          <w:lang w:val="es-ES" w:eastAsia="es-ES"/>
        </w:rPr>
        <w:t>Bogotá D.C.</w:t>
      </w:r>
    </w:p>
    <w:p w14:paraId="7C761D68" w14:textId="77777777" w:rsidR="007F4029" w:rsidRPr="0063746A" w:rsidRDefault="007F4029" w:rsidP="007F4029">
      <w:pPr>
        <w:spacing w:after="0" w:line="240" w:lineRule="auto"/>
        <w:rPr>
          <w:rFonts w:ascii="Verdana" w:eastAsia="Calibri" w:hAnsi="Verdana" w:cs="Arial"/>
          <w:b/>
          <w:bCs/>
          <w:lang w:val="es-ES_tradnl" w:eastAsia="es-ES_tradnl"/>
        </w:rPr>
      </w:pPr>
    </w:p>
    <w:p w14:paraId="5A530C07" w14:textId="77777777" w:rsidR="007F4029" w:rsidRPr="0063746A" w:rsidRDefault="007F4029" w:rsidP="007F402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F4029" w:rsidRPr="00C02E1B" w14:paraId="46CBC67B" w14:textId="77777777" w:rsidTr="00576AAE">
        <w:trPr>
          <w:trHeight w:val="243"/>
        </w:trPr>
        <w:tc>
          <w:tcPr>
            <w:tcW w:w="2689" w:type="dxa"/>
          </w:tcPr>
          <w:p w14:paraId="3F013C17" w14:textId="77777777" w:rsidR="007F4029" w:rsidRPr="0063746A" w:rsidRDefault="007F4029" w:rsidP="00576AAE">
            <w:pPr>
              <w:jc w:val="both"/>
              <w:rPr>
                <w:rFonts w:ascii="Verdana" w:eastAsia="Calibri" w:hAnsi="Verdana" w:cs="Arial"/>
                <w:b/>
                <w:bCs/>
                <w:lang w:val="es-ES_tradnl" w:eastAsia="es-ES_tradnl"/>
              </w:rPr>
            </w:pPr>
          </w:p>
        </w:tc>
        <w:tc>
          <w:tcPr>
            <w:tcW w:w="6100" w:type="dxa"/>
          </w:tcPr>
          <w:p w14:paraId="2D6B0623" w14:textId="77777777" w:rsidR="007F4029" w:rsidRPr="00C02E1B" w:rsidRDefault="007F4029" w:rsidP="00576AAE">
            <w:pPr>
              <w:jc w:val="both"/>
              <w:rPr>
                <w:rFonts w:ascii="Verdana" w:eastAsia="Calibri" w:hAnsi="Verdana" w:cs="Arial"/>
                <w:b/>
                <w:bCs/>
                <w:lang w:val="es-ES" w:eastAsia="es-ES"/>
              </w:rPr>
            </w:pPr>
            <w:r w:rsidRPr="00C02E1B">
              <w:rPr>
                <w:rFonts w:ascii="Verdana" w:eastAsia="Calibri" w:hAnsi="Verdana" w:cs="Arial"/>
                <w:b/>
                <w:bCs/>
                <w:lang w:val="es-ES" w:eastAsia="es-ES"/>
              </w:rPr>
              <w:t>Concepto C- 447 de 2024</w:t>
            </w:r>
          </w:p>
          <w:p w14:paraId="7DD74700" w14:textId="77777777" w:rsidR="007F4029" w:rsidRPr="00C02E1B" w:rsidRDefault="007F4029" w:rsidP="00576AAE">
            <w:pPr>
              <w:jc w:val="both"/>
              <w:rPr>
                <w:rFonts w:ascii="Verdana" w:eastAsia="Calibri" w:hAnsi="Verdana" w:cs="Arial"/>
                <w:b/>
                <w:bCs/>
                <w:lang w:val="es-ES" w:eastAsia="es-ES"/>
              </w:rPr>
            </w:pPr>
          </w:p>
        </w:tc>
      </w:tr>
      <w:tr w:rsidR="007F4029" w:rsidRPr="00C02E1B" w14:paraId="2A621FE8" w14:textId="77777777" w:rsidTr="00576AAE">
        <w:trPr>
          <w:trHeight w:val="884"/>
        </w:trPr>
        <w:tc>
          <w:tcPr>
            <w:tcW w:w="2689" w:type="dxa"/>
          </w:tcPr>
          <w:p w14:paraId="128A43B7" w14:textId="77777777" w:rsidR="007F4029" w:rsidRPr="0063746A" w:rsidRDefault="007F4029" w:rsidP="00576AAE">
            <w:pPr>
              <w:jc w:val="both"/>
              <w:rPr>
                <w:rFonts w:ascii="Verdana" w:eastAsia="Calibri" w:hAnsi="Verdana" w:cs="Arial"/>
                <w:lang w:val="es-ES_tradnl" w:eastAsia="es-ES_tradnl"/>
              </w:rPr>
            </w:pPr>
            <w:r w:rsidRPr="0063746A">
              <w:rPr>
                <w:rFonts w:ascii="Verdana" w:eastAsia="Calibri" w:hAnsi="Verdana" w:cs="Arial"/>
                <w:b/>
                <w:lang w:val="es-ES_tradnl" w:eastAsia="es-ES_tradnl"/>
              </w:rPr>
              <w:t>Temas:</w:t>
            </w:r>
            <w:r w:rsidRPr="0063746A">
              <w:rPr>
                <w:rFonts w:ascii="Verdana" w:eastAsia="Calibri" w:hAnsi="Verdana" w:cs="Arial"/>
                <w:lang w:val="es-ES_tradnl" w:eastAsia="es-ES_tradnl"/>
              </w:rPr>
              <w:t xml:space="preserve">                   </w:t>
            </w:r>
          </w:p>
        </w:tc>
        <w:tc>
          <w:tcPr>
            <w:tcW w:w="6100" w:type="dxa"/>
          </w:tcPr>
          <w:p w14:paraId="5D546D97" w14:textId="40BC9B4E" w:rsidR="007F4029" w:rsidRPr="00C02E1B" w:rsidRDefault="007F4029" w:rsidP="00576AAE">
            <w:pPr>
              <w:jc w:val="both"/>
              <w:rPr>
                <w:rFonts w:ascii="Verdana" w:eastAsia="Calibri" w:hAnsi="Verdana" w:cs="Arial"/>
                <w:lang w:val="es-ES" w:eastAsia="es-ES"/>
              </w:rPr>
            </w:pPr>
            <w:r w:rsidRPr="00C02E1B">
              <w:rPr>
                <w:rFonts w:ascii="Verdana" w:eastAsia="Calibri" w:hAnsi="Verdana" w:cs="Arial"/>
                <w:lang w:val="es-ES" w:eastAsia="es-ES"/>
              </w:rPr>
              <w:t>SUBSANABILIDAD –</w:t>
            </w:r>
            <w:r w:rsidR="00BF72DF" w:rsidRPr="00C02E1B">
              <w:rPr>
                <w:rFonts w:ascii="Verdana" w:eastAsia="Calibri" w:hAnsi="Verdana" w:cs="Arial"/>
                <w:lang w:val="es-ES" w:eastAsia="es-ES"/>
              </w:rPr>
              <w:t xml:space="preserve"> </w:t>
            </w:r>
            <w:r w:rsidRPr="00C02E1B">
              <w:rPr>
                <w:rFonts w:ascii="Verdana" w:eastAsia="Calibri" w:hAnsi="Verdana" w:cs="Arial"/>
                <w:lang w:val="es-ES" w:eastAsia="es-ES"/>
              </w:rPr>
              <w:t xml:space="preserve">Aplicación – </w:t>
            </w:r>
            <w:r w:rsidR="00D02612" w:rsidRPr="00C02E1B">
              <w:rPr>
                <w:rFonts w:ascii="Verdana" w:eastAsia="Calibri" w:hAnsi="Verdana" w:cs="Arial"/>
                <w:lang w:val="es-ES" w:eastAsia="es-ES"/>
              </w:rPr>
              <w:t>R</w:t>
            </w:r>
            <w:r w:rsidR="00D02612" w:rsidRPr="00C02E1B">
              <w:rPr>
                <w:rFonts w:ascii="Verdana" w:eastAsia="Calibri" w:hAnsi="Verdana"/>
                <w:lang w:val="es-ES" w:eastAsia="es-ES"/>
              </w:rPr>
              <w:t>egla general</w:t>
            </w:r>
            <w:r w:rsidRPr="00C02E1B">
              <w:rPr>
                <w:rFonts w:ascii="Verdana" w:eastAsia="Calibri" w:hAnsi="Verdana" w:cs="Arial"/>
                <w:lang w:val="es-ES" w:eastAsia="es-ES"/>
              </w:rPr>
              <w:t xml:space="preserve"> –</w:t>
            </w:r>
            <w:r w:rsidR="00D02612" w:rsidRPr="00C02E1B">
              <w:rPr>
                <w:rFonts w:ascii="Verdana" w:eastAsia="Calibri" w:hAnsi="Verdana" w:cs="Arial"/>
                <w:lang w:val="es-ES" w:eastAsia="es-ES"/>
              </w:rPr>
              <w:t xml:space="preserve"> Excepciones / SUBSANABILIDAD –</w:t>
            </w:r>
            <w:r w:rsidRPr="00C02E1B">
              <w:rPr>
                <w:rFonts w:ascii="Verdana" w:eastAsia="Calibri" w:hAnsi="Verdana" w:cs="Arial"/>
                <w:lang w:val="es-ES" w:eastAsia="es-ES"/>
              </w:rPr>
              <w:t xml:space="preserve"> Circunstancias posteriores – Cierre del proceso- Ley 1882 de 2018 / SUBSANABILIDAD – </w:t>
            </w:r>
            <w:r w:rsidR="00D02612" w:rsidRPr="00C02E1B">
              <w:rPr>
                <w:rFonts w:ascii="Verdana" w:eastAsia="Calibri" w:hAnsi="Verdana" w:cs="Arial"/>
                <w:lang w:val="es-ES" w:eastAsia="es-ES"/>
              </w:rPr>
              <w:t>Concurso de méritos</w:t>
            </w:r>
          </w:p>
          <w:p w14:paraId="0AFD16D8" w14:textId="77777777" w:rsidR="007F4029" w:rsidRPr="00C02E1B" w:rsidRDefault="007F4029" w:rsidP="00576AAE">
            <w:pPr>
              <w:jc w:val="both"/>
              <w:rPr>
                <w:rFonts w:ascii="Verdana" w:eastAsia="Calibri" w:hAnsi="Verdana" w:cs="Arial"/>
                <w:lang w:val="es-ES" w:eastAsia="es-ES"/>
              </w:rPr>
            </w:pPr>
          </w:p>
        </w:tc>
      </w:tr>
      <w:tr w:rsidR="007F4029" w:rsidRPr="00C02E1B" w14:paraId="01815685" w14:textId="77777777" w:rsidTr="00576AAE">
        <w:trPr>
          <w:trHeight w:val="377"/>
        </w:trPr>
        <w:tc>
          <w:tcPr>
            <w:tcW w:w="2689" w:type="dxa"/>
          </w:tcPr>
          <w:p w14:paraId="116ECD0B" w14:textId="77777777" w:rsidR="007F4029" w:rsidRPr="0063746A" w:rsidRDefault="007F4029" w:rsidP="00576AAE">
            <w:pPr>
              <w:jc w:val="both"/>
              <w:rPr>
                <w:rFonts w:ascii="Verdana" w:eastAsia="Calibri" w:hAnsi="Verdana" w:cs="Arial"/>
                <w:b/>
                <w:lang w:val="es-ES_tradnl" w:eastAsia="es-ES_tradnl"/>
              </w:rPr>
            </w:pPr>
            <w:r w:rsidRPr="0063746A">
              <w:rPr>
                <w:rFonts w:ascii="Verdana" w:eastAsia="Calibri" w:hAnsi="Verdana" w:cs="Arial"/>
                <w:b/>
                <w:lang w:val="es-ES_tradnl" w:eastAsia="es-ES_tradnl"/>
              </w:rPr>
              <w:t>Radicación:</w:t>
            </w:r>
            <w:r w:rsidRPr="0063746A">
              <w:rPr>
                <w:rFonts w:ascii="Verdana" w:eastAsia="Calibri" w:hAnsi="Verdana" w:cs="Arial"/>
                <w:lang w:val="es-ES_tradnl" w:eastAsia="es-ES_tradnl"/>
              </w:rPr>
              <w:t xml:space="preserve">               </w:t>
            </w:r>
          </w:p>
        </w:tc>
        <w:tc>
          <w:tcPr>
            <w:tcW w:w="6100" w:type="dxa"/>
          </w:tcPr>
          <w:p w14:paraId="62BCD697" w14:textId="77777777" w:rsidR="007F4029" w:rsidRPr="00C02E1B" w:rsidRDefault="007F4029" w:rsidP="00576AAE">
            <w:pPr>
              <w:jc w:val="both"/>
              <w:rPr>
                <w:rFonts w:ascii="Verdana" w:hAnsi="Verdana" w:cs="Calibri"/>
              </w:rPr>
            </w:pPr>
            <w:r w:rsidRPr="00C02E1B">
              <w:rPr>
                <w:rFonts w:ascii="Verdana" w:eastAsia="Calibri" w:hAnsi="Verdana" w:cs="Arial"/>
                <w:lang w:val="es-ES_tradnl" w:eastAsia="es-ES_tradnl"/>
              </w:rPr>
              <w:t xml:space="preserve">Respuesta a consulta con radicado No. </w:t>
            </w:r>
            <w:r w:rsidRPr="00C02E1B">
              <w:rPr>
                <w:rFonts w:ascii="Verdana" w:hAnsi="Verdana" w:cs="Calibri"/>
              </w:rPr>
              <w:t>P20240806008051</w:t>
            </w:r>
          </w:p>
        </w:tc>
      </w:tr>
    </w:tbl>
    <w:p w14:paraId="59E0E2DD" w14:textId="77777777" w:rsidR="007F4029" w:rsidRPr="0063746A" w:rsidRDefault="007F4029" w:rsidP="007F4029">
      <w:pPr>
        <w:spacing w:after="0" w:line="276" w:lineRule="auto"/>
        <w:jc w:val="both"/>
        <w:rPr>
          <w:rFonts w:ascii="Verdana" w:eastAsia="Calibri" w:hAnsi="Verdana" w:cs="Arial"/>
          <w:lang w:val="es-ES_tradnl" w:eastAsia="es-ES_tradnl"/>
        </w:rPr>
      </w:pPr>
    </w:p>
    <w:p w14:paraId="236C1B1E" w14:textId="77777777" w:rsidR="007F4029" w:rsidRPr="0063746A" w:rsidRDefault="007F4029" w:rsidP="007F4029">
      <w:pPr>
        <w:spacing w:after="0" w:line="276" w:lineRule="auto"/>
        <w:jc w:val="both"/>
        <w:rPr>
          <w:rFonts w:ascii="Verdana" w:eastAsia="Calibri" w:hAnsi="Verdana" w:cs="Arial"/>
          <w:lang w:val="es-ES_tradnl" w:eastAsia="es-ES_tradnl"/>
        </w:rPr>
      </w:pPr>
    </w:p>
    <w:p w14:paraId="0559233F" w14:textId="77777777" w:rsidR="007F4029" w:rsidRPr="0063746A" w:rsidRDefault="007F4029" w:rsidP="007F4029">
      <w:pPr>
        <w:spacing w:after="0" w:line="276" w:lineRule="auto"/>
        <w:jc w:val="both"/>
        <w:rPr>
          <w:rFonts w:ascii="Verdana" w:eastAsia="Calibri" w:hAnsi="Verdana" w:cs="Arial"/>
          <w:lang w:val="es-ES" w:eastAsia="es-ES"/>
        </w:rPr>
      </w:pPr>
      <w:r w:rsidRPr="0063746A">
        <w:rPr>
          <w:rFonts w:ascii="Verdana" w:eastAsia="Calibri" w:hAnsi="Verdana" w:cs="Arial"/>
          <w:lang w:val="es-ES" w:eastAsia="es-ES"/>
        </w:rPr>
        <w:t xml:space="preserve">Estimado señor </w:t>
      </w:r>
      <w:proofErr w:type="spellStart"/>
      <w:r w:rsidRPr="0063746A">
        <w:rPr>
          <w:rFonts w:ascii="Verdana" w:eastAsia="Calibri" w:hAnsi="Verdana" w:cs="Arial"/>
          <w:lang w:val="es-ES_tradnl" w:eastAsia="es-ES_tradnl"/>
        </w:rPr>
        <w:t>Salon</w:t>
      </w:r>
      <w:proofErr w:type="spellEnd"/>
      <w:r w:rsidRPr="0063746A">
        <w:rPr>
          <w:rFonts w:ascii="Verdana" w:eastAsia="Calibri" w:hAnsi="Verdana" w:cs="Arial"/>
          <w:lang w:val="es-ES_tradnl" w:eastAsia="es-ES_tradnl"/>
        </w:rPr>
        <w:t xml:space="preserve"> </w:t>
      </w:r>
      <w:proofErr w:type="spellStart"/>
      <w:r w:rsidRPr="0063746A">
        <w:rPr>
          <w:rFonts w:ascii="Verdana" w:eastAsia="Calibri" w:hAnsi="Verdana" w:cs="Arial"/>
          <w:lang w:val="es-ES_tradnl" w:eastAsia="es-ES_tradnl"/>
        </w:rPr>
        <w:t>Rodriguez</w:t>
      </w:r>
      <w:proofErr w:type="spellEnd"/>
      <w:r w:rsidRPr="0063746A">
        <w:rPr>
          <w:rFonts w:ascii="Verdana" w:eastAsia="Calibri" w:hAnsi="Verdana" w:cs="Arial"/>
          <w:lang w:val="es-ES" w:eastAsia="es-ES"/>
        </w:rPr>
        <w:t xml:space="preserve">: </w:t>
      </w:r>
    </w:p>
    <w:p w14:paraId="47A9D717" w14:textId="77777777" w:rsidR="007F4029" w:rsidRPr="0063746A" w:rsidRDefault="007F4029" w:rsidP="007F4029">
      <w:pPr>
        <w:tabs>
          <w:tab w:val="left" w:pos="3768"/>
        </w:tabs>
        <w:spacing w:after="0" w:line="276" w:lineRule="auto"/>
        <w:jc w:val="both"/>
        <w:rPr>
          <w:rFonts w:ascii="Verdana" w:eastAsia="Calibri" w:hAnsi="Verdana" w:cs="Arial"/>
          <w:lang w:val="es-ES" w:eastAsia="es-ES"/>
        </w:rPr>
      </w:pPr>
      <w:r w:rsidRPr="0063746A">
        <w:rPr>
          <w:rFonts w:ascii="Verdana" w:eastAsia="Calibri" w:hAnsi="Verdana" w:cs="Arial"/>
          <w:lang w:val="es-ES" w:eastAsia="es-ES"/>
        </w:rPr>
        <w:tab/>
      </w:r>
    </w:p>
    <w:p w14:paraId="59AD77D4" w14:textId="77777777" w:rsidR="007F4029" w:rsidRPr="0063746A" w:rsidRDefault="007F4029" w:rsidP="007F4029">
      <w:pPr>
        <w:spacing w:after="0" w:line="276" w:lineRule="auto"/>
        <w:jc w:val="both"/>
        <w:rPr>
          <w:rFonts w:ascii="Verdana" w:eastAsia="Calibri" w:hAnsi="Verdana" w:cs="Arial"/>
          <w:lang w:val="es-ES" w:eastAsia="es-ES"/>
        </w:rPr>
      </w:pPr>
      <w:r w:rsidRPr="0063746A">
        <w:rPr>
          <w:rFonts w:ascii="Verdana" w:eastAsia="Calibri" w:hAnsi="Verdana" w:cs="Arial"/>
          <w:lang w:val="es-ES" w:eastAsia="es-ES"/>
        </w:rPr>
        <w:t>En ejercicio de la competencia otorgada por los artículos 3, numeral 5º, y 11, numeral 8º, del Decreto Ley 4170 de 2011,</w:t>
      </w:r>
      <w:r w:rsidRPr="0063746A">
        <w:rPr>
          <w:rFonts w:ascii="Verdana" w:eastAsia="Arial MT" w:hAnsi="Verdana" w:cs="Arial MT"/>
          <w:lang w:val="es-ES" w:eastAsia="es-ES"/>
        </w:rPr>
        <w:t xml:space="preserve"> </w:t>
      </w:r>
      <w:r w:rsidRPr="0063746A">
        <w:rPr>
          <w:rFonts w:ascii="Verdana" w:hAnsi="Verdana" w:cs="Arial"/>
        </w:rPr>
        <w:t xml:space="preserve">así como lo establecido en el artículo 4 de la Resolución 1707 de 2018 expedida por esta Entidad, </w:t>
      </w:r>
      <w:r w:rsidRPr="0063746A">
        <w:rPr>
          <w:rFonts w:ascii="Verdana" w:eastAsia="Calibri" w:hAnsi="Verdana" w:cs="Arial"/>
          <w:lang w:val="es-ES" w:eastAsia="es-ES"/>
        </w:rPr>
        <w:t xml:space="preserve">la Agencia Nacional de Contratación Pública – Colombia Compra Eficiente– responde su solicitud de consulta de fecha 6 de agosto de 2024, en la cual manifiesta lo siguiente: </w:t>
      </w:r>
    </w:p>
    <w:p w14:paraId="6EDADE1F" w14:textId="77777777" w:rsidR="007F4029" w:rsidRPr="0063746A" w:rsidRDefault="007F4029" w:rsidP="007F4029">
      <w:pPr>
        <w:pStyle w:val="Prrafodelista"/>
        <w:tabs>
          <w:tab w:val="left" w:pos="142"/>
          <w:tab w:val="left" w:pos="284"/>
        </w:tabs>
        <w:spacing w:line="276" w:lineRule="auto"/>
        <w:ind w:left="0"/>
        <w:contextualSpacing w:val="0"/>
        <w:jc w:val="both"/>
        <w:rPr>
          <w:rFonts w:ascii="Verdana" w:eastAsia="Century Gothic" w:hAnsi="Verdana" w:cs="Century Gothic"/>
          <w:b/>
          <w:bCs/>
        </w:rPr>
      </w:pPr>
    </w:p>
    <w:p w14:paraId="5D8850DB" w14:textId="77777777" w:rsidR="007F4029" w:rsidRPr="00CA2545" w:rsidRDefault="007F4029" w:rsidP="007F4029">
      <w:pPr>
        <w:spacing w:after="0" w:line="240" w:lineRule="auto"/>
        <w:ind w:left="709" w:right="709"/>
        <w:jc w:val="both"/>
        <w:rPr>
          <w:rFonts w:ascii="Verdana" w:eastAsia="Century Gothic" w:hAnsi="Verdana" w:cs="Century Gothic"/>
          <w:sz w:val="20"/>
          <w:szCs w:val="20"/>
          <w:lang w:val="es-ES"/>
        </w:rPr>
      </w:pPr>
      <w:bookmarkStart w:id="1" w:name="_Hlk95313578"/>
      <w:r w:rsidRPr="00CA2545">
        <w:rPr>
          <w:rFonts w:ascii="Verdana" w:eastAsia="Century Gothic" w:hAnsi="Verdana" w:cs="Century Gothic"/>
          <w:sz w:val="20"/>
          <w:szCs w:val="20"/>
          <w:lang w:val="es-ES"/>
        </w:rPr>
        <w:t>“</w:t>
      </w:r>
      <w:r w:rsidRPr="00CA2545">
        <w:rPr>
          <w:rStyle w:val="normaltextrun"/>
          <w:rFonts w:ascii="Verdana" w:hAnsi="Verdana" w:cs="Arial"/>
          <w:sz w:val="20"/>
          <w:szCs w:val="20"/>
          <w:shd w:val="clear" w:color="auto" w:fill="FFFFFF"/>
          <w:lang w:val="es-ES"/>
        </w:rPr>
        <w:t>En un concurso de méritos, se presentó a un profesional para cumplir con un perfil solicitado como requisito habilitante, es decir, este perfil no daba puntos adicionales. Durante la evaluación, la entidad advierte que el profesional no cumple con los requisitos. ¿Puede el proponente cambiar a este profesional por otro que sí cumpla, o esto se considera una mejora de la oferta?:</w:t>
      </w:r>
      <w:r w:rsidRPr="00CA2545">
        <w:rPr>
          <w:rFonts w:ascii="Verdana" w:eastAsia="Century Gothic" w:hAnsi="Verdana" w:cs="Century Gothic"/>
          <w:sz w:val="20"/>
          <w:szCs w:val="20"/>
          <w:lang w:val="es-ES"/>
        </w:rPr>
        <w:t>”</w:t>
      </w:r>
      <w:bookmarkEnd w:id="1"/>
      <w:r w:rsidRPr="00CA2545">
        <w:rPr>
          <w:rFonts w:ascii="Verdana" w:eastAsia="Century Gothic" w:hAnsi="Verdana" w:cs="Century Gothic"/>
          <w:sz w:val="20"/>
          <w:szCs w:val="20"/>
          <w:lang w:val="es-ES"/>
        </w:rPr>
        <w:t>.</w:t>
      </w:r>
    </w:p>
    <w:p w14:paraId="5192DCAA" w14:textId="77777777" w:rsidR="007F4029" w:rsidRPr="00CA2545" w:rsidRDefault="007F4029" w:rsidP="007F4029">
      <w:pPr>
        <w:pStyle w:val="Prrafodelista"/>
        <w:tabs>
          <w:tab w:val="left" w:pos="142"/>
          <w:tab w:val="left" w:pos="284"/>
        </w:tabs>
        <w:spacing w:line="276" w:lineRule="auto"/>
        <w:ind w:left="0"/>
        <w:jc w:val="both"/>
        <w:rPr>
          <w:rFonts w:ascii="Verdana" w:eastAsia="Century Gothic" w:hAnsi="Verdana" w:cs="Century Gothic"/>
          <w:b/>
          <w:bCs/>
        </w:rPr>
      </w:pPr>
    </w:p>
    <w:p w14:paraId="0A28504F" w14:textId="77777777" w:rsidR="007F4029" w:rsidRPr="00CA2545" w:rsidRDefault="007F4029" w:rsidP="007F4029">
      <w:pPr>
        <w:spacing w:after="120" w:line="276" w:lineRule="auto"/>
        <w:jc w:val="both"/>
        <w:rPr>
          <w:rFonts w:ascii="Verdana" w:eastAsia="Calibri" w:hAnsi="Verdana" w:cs="Arial"/>
          <w:color w:val="000000"/>
          <w:lang w:val="es-ES_tradnl" w:eastAsia="es-ES_tradnl"/>
        </w:rPr>
      </w:pPr>
      <w:r w:rsidRPr="00CA2545">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CA2545">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A2545">
        <w:rPr>
          <w:rFonts w:ascii="Verdana" w:eastAsia="Calibri" w:hAnsi="Verdana" w:cs="Arial"/>
          <w:color w:val="000000"/>
          <w:lang w:val="es-ES_tradnl" w:eastAsia="es-ES_tradnl"/>
        </w:rPr>
        <w:tab/>
      </w:r>
    </w:p>
    <w:p w14:paraId="479DA56A" w14:textId="77777777" w:rsidR="007F4029" w:rsidRPr="00CA2545" w:rsidRDefault="007F4029" w:rsidP="007F4029">
      <w:pPr>
        <w:spacing w:after="0" w:line="276" w:lineRule="auto"/>
        <w:ind w:firstLine="709"/>
        <w:jc w:val="both"/>
        <w:rPr>
          <w:rFonts w:ascii="Verdana" w:eastAsia="Calibri" w:hAnsi="Verdana" w:cs="Arial"/>
          <w:color w:val="000000"/>
          <w:lang w:val="es-ES" w:eastAsia="es-ES"/>
        </w:rPr>
      </w:pPr>
      <w:r w:rsidRPr="00CA2545">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lang w:val="es-ES" w:eastAsia="es-ES"/>
        </w:rPr>
        <w:t>e</w:t>
      </w:r>
      <w:r w:rsidRPr="00CA2545">
        <w:rPr>
          <w:rFonts w:ascii="Verdana" w:eastAsia="Calibri" w:hAnsi="Verdana" w:cs="Arial"/>
          <w:color w:val="7030A0"/>
          <w:lang w:val="es-ES" w:eastAsia="es-ES"/>
        </w:rPr>
        <w:t xml:space="preserve">l </w:t>
      </w:r>
      <w:r w:rsidRPr="00CA2545">
        <w:rPr>
          <w:rFonts w:ascii="Verdana" w:eastAsia="Calibri" w:hAnsi="Verdana" w:cs="Arial"/>
          <w:color w:val="000000"/>
          <w:lang w:val="es-ES" w:eastAsia="es-ES"/>
        </w:rPr>
        <w:t>problema</w:t>
      </w:r>
      <w:r w:rsidRPr="00CA2545">
        <w:rPr>
          <w:rFonts w:ascii="Verdana" w:eastAsia="Calibri" w:hAnsi="Verdana" w:cs="Arial"/>
          <w:color w:val="7030A0"/>
          <w:lang w:val="es-ES" w:eastAsia="es-ES"/>
        </w:rPr>
        <w:t xml:space="preserve"> </w:t>
      </w:r>
      <w:r w:rsidRPr="00CA2545">
        <w:rPr>
          <w:rFonts w:ascii="Verdana" w:eastAsia="Calibri" w:hAnsi="Verdana" w:cs="Arial"/>
          <w:color w:val="000000"/>
          <w:lang w:val="es-ES" w:eastAsia="es-ES"/>
        </w:rPr>
        <w:t>jurídico</w:t>
      </w:r>
      <w:r w:rsidRPr="00CA2545">
        <w:rPr>
          <w:rFonts w:ascii="Verdana" w:eastAsia="Calibri" w:hAnsi="Verdana" w:cs="Arial"/>
          <w:color w:val="7030A0"/>
          <w:lang w:val="es-ES" w:eastAsia="es-ES"/>
        </w:rPr>
        <w:t xml:space="preserve"> </w:t>
      </w:r>
      <w:r w:rsidRPr="00CA2545">
        <w:rPr>
          <w:rFonts w:ascii="Verdana" w:eastAsia="Calibri" w:hAnsi="Verdana" w:cs="Arial"/>
          <w:color w:val="000000"/>
          <w:lang w:val="es-ES" w:eastAsia="es-ES"/>
        </w:rPr>
        <w:t xml:space="preserve">de su consulta. </w:t>
      </w:r>
    </w:p>
    <w:p w14:paraId="05DFAEA0" w14:textId="77777777" w:rsidR="007F4029" w:rsidRPr="00CA2545" w:rsidRDefault="007F4029" w:rsidP="007F4029">
      <w:pPr>
        <w:spacing w:after="0" w:line="276" w:lineRule="auto"/>
        <w:ind w:firstLine="709"/>
        <w:jc w:val="both"/>
        <w:rPr>
          <w:rFonts w:ascii="Verdana" w:eastAsia="Calibri" w:hAnsi="Verdana" w:cs="Arial"/>
          <w:color w:val="000000"/>
          <w:lang w:val="es-ES" w:eastAsia="es-ES"/>
        </w:rPr>
      </w:pPr>
    </w:p>
    <w:p w14:paraId="713ADECD" w14:textId="77777777" w:rsidR="007F4029" w:rsidRPr="00C75C5C"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75C5C">
        <w:rPr>
          <w:rFonts w:ascii="Verdana" w:eastAsia="Century Gothic" w:hAnsi="Verdana" w:cs="Century Gothic"/>
          <w:b/>
          <w:bCs/>
        </w:rPr>
        <w:t>Problema planteado:</w:t>
      </w:r>
    </w:p>
    <w:p w14:paraId="7A8264E4" w14:textId="77777777" w:rsidR="007F4029" w:rsidRPr="00C75C5C" w:rsidRDefault="007F4029" w:rsidP="007F4029">
      <w:pPr>
        <w:tabs>
          <w:tab w:val="left" w:pos="426"/>
        </w:tabs>
        <w:spacing w:after="0" w:line="276" w:lineRule="auto"/>
        <w:jc w:val="both"/>
        <w:rPr>
          <w:rFonts w:ascii="Verdana" w:eastAsia="Century Gothic" w:hAnsi="Verdana" w:cs="Century Gothic"/>
          <w:lang w:val="es-ES"/>
        </w:rPr>
      </w:pPr>
    </w:p>
    <w:p w14:paraId="776579EF" w14:textId="77777777" w:rsidR="007F4029" w:rsidRDefault="007F4029" w:rsidP="007F4029">
      <w:pPr>
        <w:spacing w:after="0" w:line="276" w:lineRule="auto"/>
        <w:jc w:val="both"/>
        <w:rPr>
          <w:rFonts w:ascii="Verdana" w:eastAsia="Century Gothic" w:hAnsi="Verdana" w:cs="Century Gothic"/>
        </w:rPr>
      </w:pPr>
      <w:r w:rsidRPr="00C75C5C">
        <w:rPr>
          <w:rFonts w:ascii="Verdana" w:eastAsia="Century Gothic" w:hAnsi="Verdana" w:cs="Century Gothic"/>
        </w:rPr>
        <w:t>De acuerdo con el contenido de su solicitud, esta Agencia resolverá el siguiente problema jurídico: ¿Qué requisitos son subsanables en los diferentes procesos de selección, según lo dispuesto en el Estatuto General de la Contratación de la Administración Pública – en adelante EGCAP?</w:t>
      </w:r>
      <w:r>
        <w:rPr>
          <w:rFonts w:ascii="Verdana" w:eastAsia="Century Gothic" w:hAnsi="Verdana" w:cs="Century Gothic"/>
        </w:rPr>
        <w:t xml:space="preserve"> </w:t>
      </w:r>
    </w:p>
    <w:p w14:paraId="0B03B073" w14:textId="77777777" w:rsidR="007F4029" w:rsidRPr="00384705" w:rsidRDefault="007F4029" w:rsidP="007F4029">
      <w:pPr>
        <w:spacing w:after="0" w:line="276" w:lineRule="auto"/>
        <w:jc w:val="both"/>
        <w:rPr>
          <w:rFonts w:ascii="Verdana" w:eastAsia="Calibri" w:hAnsi="Verdana" w:cs="Arial"/>
          <w:color w:val="7030A0"/>
        </w:rPr>
      </w:pPr>
    </w:p>
    <w:p w14:paraId="2794F18A" w14:textId="77777777" w:rsidR="007F4029" w:rsidRPr="00B74530"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74530">
        <w:rPr>
          <w:rFonts w:ascii="Verdana" w:eastAsia="Century Gothic" w:hAnsi="Verdana" w:cs="Century Gothic"/>
          <w:b/>
          <w:bCs/>
        </w:rPr>
        <w:t>Respuesta:</w:t>
      </w:r>
    </w:p>
    <w:p w14:paraId="1802F2BB" w14:textId="77777777" w:rsidR="007F4029" w:rsidRPr="00DE4E8C" w:rsidRDefault="007F4029" w:rsidP="007F4029">
      <w:pPr>
        <w:tabs>
          <w:tab w:val="left" w:pos="142"/>
          <w:tab w:val="left" w:pos="284"/>
        </w:tabs>
        <w:spacing w:after="0" w:line="276" w:lineRule="auto"/>
        <w:jc w:val="both"/>
        <w:rPr>
          <w:rFonts w:ascii="Verdana" w:eastAsia="Century Gothic" w:hAnsi="Verdana" w:cs="Century Gothic"/>
          <w:b/>
          <w:bCs/>
          <w:highlight w:val="yellow"/>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F4029" w:rsidRPr="00593A5F" w14:paraId="1567D36B" w14:textId="77777777" w:rsidTr="00576AAE">
        <w:tc>
          <w:tcPr>
            <w:tcW w:w="8828" w:type="dxa"/>
            <w:shd w:val="clear" w:color="auto" w:fill="auto"/>
          </w:tcPr>
          <w:p w14:paraId="4426C13B" w14:textId="77777777" w:rsidR="007F4029" w:rsidRPr="001A10D9" w:rsidRDefault="007F4029" w:rsidP="00576AAE">
            <w:pPr>
              <w:spacing w:after="120" w:line="276" w:lineRule="auto"/>
              <w:jc w:val="both"/>
              <w:rPr>
                <w:rFonts w:ascii="Verdana" w:eastAsia="Calibri" w:hAnsi="Verdana" w:cs="Arial"/>
              </w:rPr>
            </w:pPr>
            <w:r w:rsidRPr="001A10D9">
              <w:rPr>
                <w:rFonts w:ascii="Verdana" w:eastAsia="Calibri" w:hAnsi="Verdana" w:cs="Arial"/>
              </w:rPr>
              <w:t xml:space="preserve">La regla de subsanabilidad, prevista en el artículo 5 de la Ley 1150 de 2007, es un mecanismo previsto en los procesos de contratación estatal que se regulan por el EGCAP, según la cual los </w:t>
            </w:r>
            <w:proofErr w:type="spellStart"/>
            <w:r w:rsidRPr="001A10D9">
              <w:rPr>
                <w:rFonts w:ascii="Verdana" w:eastAsia="Calibri" w:hAnsi="Verdana" w:cs="Arial"/>
              </w:rPr>
              <w:t>proponentespueden</w:t>
            </w:r>
            <w:proofErr w:type="spellEnd"/>
            <w:r w:rsidRPr="001A10D9">
              <w:rPr>
                <w:rFonts w:ascii="Verdana" w:eastAsia="Calibri" w:hAnsi="Verdana" w:cs="Arial"/>
              </w:rPr>
              <w:t xml:space="preserve"> enmendar, corregir o modificar los errores en los que se incurre en los documentos contentivos de la oferta. </w:t>
            </w:r>
          </w:p>
          <w:p w14:paraId="1DCFD159" w14:textId="77777777" w:rsidR="007F4029" w:rsidRPr="001A10D9" w:rsidRDefault="007F4029" w:rsidP="00576AAE">
            <w:pPr>
              <w:spacing w:after="120" w:line="276" w:lineRule="auto"/>
              <w:ind w:firstLine="708"/>
              <w:jc w:val="both"/>
              <w:rPr>
                <w:rFonts w:ascii="Verdana" w:eastAsia="Times New Roman" w:hAnsi="Verdana" w:cs="Arial"/>
                <w:i/>
                <w:lang w:val="es-ES" w:eastAsia="es-ES"/>
              </w:rPr>
            </w:pPr>
            <w:r w:rsidRPr="001A10D9">
              <w:rPr>
                <w:rFonts w:ascii="Verdana" w:hAnsi="Verdana" w:cs="Arial"/>
                <w:noProof/>
                <w:lang w:val="es-ES_tradnl"/>
              </w:rPr>
              <w:t xml:space="preserve">Conforme a las reglas de subsanabilidad, los requisitos o documentos que no sean necesarios para la comparación de las ofertas pueden subsanarse y todo lo que no sea necesario para la comparación de propuestas no es título suficiente para su rechazo. </w:t>
            </w:r>
          </w:p>
          <w:p w14:paraId="489EFFCD" w14:textId="77777777" w:rsidR="007F4029" w:rsidRPr="001A10D9" w:rsidRDefault="007F4029" w:rsidP="00576AAE">
            <w:pPr>
              <w:spacing w:after="120" w:line="276" w:lineRule="auto"/>
              <w:ind w:firstLine="709"/>
              <w:jc w:val="both"/>
              <w:rPr>
                <w:rFonts w:ascii="Verdana" w:eastAsia="Times New Roman" w:hAnsi="Verdana" w:cs="Arial"/>
                <w:lang w:val="es-ES_tradnl" w:eastAsia="es-ES_tradnl"/>
              </w:rPr>
            </w:pPr>
            <w:r w:rsidRPr="001A10D9">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w:t>
            </w:r>
            <w:r w:rsidRPr="001A10D9">
              <w:rPr>
                <w:rFonts w:ascii="Verdana" w:eastAsia="Times New Roman" w:hAnsi="Verdana" w:cs="Arial"/>
                <w:lang w:val="es-ES_tradnl" w:eastAsia="es-ES_tradnl"/>
              </w:rPr>
              <w:lastRenderedPageBreak/>
              <w:t xml:space="preserve">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6C8255B" w14:textId="77777777" w:rsidR="007F4029" w:rsidRPr="001A10D9" w:rsidRDefault="007F4029" w:rsidP="00576AAE">
            <w:pPr>
              <w:spacing w:after="120" w:line="276" w:lineRule="auto"/>
              <w:ind w:firstLine="709"/>
              <w:jc w:val="both"/>
              <w:rPr>
                <w:rFonts w:ascii="Verdana" w:eastAsia="Times New Roman" w:hAnsi="Verdana" w:cs="Arial"/>
                <w:lang w:val="es-ES" w:eastAsia="es-ES"/>
              </w:rPr>
            </w:pPr>
            <w:r w:rsidRPr="001A10D9">
              <w:rPr>
                <w:rFonts w:ascii="Verdana" w:eastAsia="Times New Roman" w:hAnsi="Verdana" w:cs="Arial"/>
                <w:lang w:val="es-ES" w:eastAsia="es-ES"/>
              </w:rPr>
              <w:t>Visto lo anterior, con miras a dar respuesta al problema jurídico planteado, debe decirse que,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174DCB49" w14:textId="77777777" w:rsidR="007F4029" w:rsidRPr="001A10D9" w:rsidRDefault="007F4029" w:rsidP="00576AAE">
            <w:pPr>
              <w:spacing w:after="120" w:line="276" w:lineRule="auto"/>
              <w:ind w:firstLine="709"/>
              <w:jc w:val="both"/>
              <w:rPr>
                <w:rFonts w:ascii="Verdana" w:hAnsi="Verdana" w:cs="Arial"/>
                <w:noProof/>
                <w:lang w:val="es-ES_tradnl"/>
              </w:rPr>
            </w:pPr>
            <w:r w:rsidRPr="001A10D9">
              <w:rPr>
                <w:rFonts w:ascii="Verdana" w:hAnsi="Verdana" w:cs="Arial"/>
                <w:noProof/>
                <w:lang w:val="es-ES_tradnl"/>
              </w:rPr>
              <w:t xml:space="preserve">En conclusion, los requisitos o documentos que no sean necesarios para la comparación de las ofertas pueden subsanarse y todo lo que no sea necesario para la comparación de propuestas no es título suficiente para su rechazo. En sentido, si en un concurso de méritos se presentó a un profesional para cumplir con un perfil solicitado como requisito habilitante, pero la entidad encontró alguna inconsistencia, podría subsanarse el requisito habilitante. </w:t>
            </w:r>
          </w:p>
          <w:p w14:paraId="1E7C5DFA" w14:textId="77777777" w:rsidR="007F4029" w:rsidRPr="003716E2" w:rsidRDefault="007F4029" w:rsidP="00576AAE">
            <w:pPr>
              <w:spacing w:after="120" w:line="276" w:lineRule="auto"/>
              <w:ind w:firstLine="709"/>
              <w:jc w:val="both"/>
              <w:rPr>
                <w:rFonts w:ascii="Verdana" w:hAnsi="Verdana" w:cs="Arial"/>
                <w:noProof/>
                <w:lang w:val="es-ES_tradnl"/>
              </w:rPr>
            </w:pPr>
            <w:r w:rsidRPr="001A10D9">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242E0AFA" w14:textId="77777777" w:rsidR="007F4029" w:rsidRPr="009B03BE" w:rsidRDefault="007F4029" w:rsidP="00576AAE">
            <w:pPr>
              <w:spacing w:line="276" w:lineRule="auto"/>
              <w:ind w:firstLine="709"/>
              <w:jc w:val="both"/>
              <w:rPr>
                <w:rFonts w:ascii="Verdana" w:eastAsia="Times New Roman" w:hAnsi="Verdana" w:cs="Arial"/>
                <w:i/>
                <w:lang w:val="es-ES" w:eastAsia="es-ES"/>
              </w:rPr>
            </w:pPr>
            <w:r w:rsidRPr="003716E2">
              <w:rPr>
                <w:rFonts w:ascii="Verdana" w:hAnsi="Verdana" w:cs="Arial"/>
                <w:noProof/>
                <w:lang w:val="es-ES_tradnl"/>
              </w:rPr>
              <w:t>Finalmente, debe señalarse que, e</w:t>
            </w:r>
            <w:r w:rsidRPr="003716E2">
              <w:rPr>
                <w:rFonts w:ascii="Verdana" w:hAnsi="Verdana" w:cs="Arial"/>
              </w:rPr>
              <w:t>n el concurso de méritos es posible que la Entidad en el pliego de condiciones haya establecido criterios de puntaje respecto de los mismos perfiles que se han exigido como habilitantes, en dicho caso será posible subsanar el requisito habilitante pero no podrá asignársele puntaje.</w:t>
            </w:r>
          </w:p>
        </w:tc>
      </w:tr>
    </w:tbl>
    <w:p w14:paraId="4B2664FF" w14:textId="77777777" w:rsidR="007F4029" w:rsidRPr="00593A5F" w:rsidRDefault="007F4029" w:rsidP="007F4029">
      <w:pPr>
        <w:tabs>
          <w:tab w:val="left" w:pos="142"/>
          <w:tab w:val="left" w:pos="284"/>
        </w:tabs>
        <w:spacing w:after="0" w:line="276" w:lineRule="auto"/>
        <w:jc w:val="both"/>
        <w:rPr>
          <w:rFonts w:ascii="Verdana" w:eastAsia="Century Gothic" w:hAnsi="Verdana" w:cs="Century Gothic"/>
          <w:b/>
          <w:bCs/>
          <w:lang w:val="es-ES"/>
        </w:rPr>
      </w:pPr>
    </w:p>
    <w:p w14:paraId="1AFD5C29" w14:textId="77777777" w:rsidR="007F4029" w:rsidRPr="00593A5F"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4C55C5A" w14:textId="77777777" w:rsidR="007F4029" w:rsidRPr="00593A5F" w:rsidRDefault="007F4029" w:rsidP="007F4029">
      <w:pPr>
        <w:spacing w:after="0" w:line="276" w:lineRule="auto"/>
        <w:jc w:val="both"/>
        <w:rPr>
          <w:rFonts w:ascii="Verdana" w:eastAsia="Calibri" w:hAnsi="Verdana" w:cs="Arial"/>
          <w:color w:val="7030A0"/>
          <w:lang w:val="es-ES"/>
        </w:rPr>
      </w:pPr>
    </w:p>
    <w:p w14:paraId="227498CD" w14:textId="77777777" w:rsidR="007F4029" w:rsidRPr="00B96799" w:rsidRDefault="007F4029" w:rsidP="007F402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6E16BB79" w14:textId="77777777" w:rsidR="007F4029" w:rsidRDefault="007F4029" w:rsidP="007F4029">
      <w:pPr>
        <w:spacing w:after="0" w:line="276" w:lineRule="auto"/>
        <w:jc w:val="both"/>
        <w:rPr>
          <w:rFonts w:ascii="Verdana" w:eastAsia="Calibri" w:hAnsi="Verdana" w:cs="Arial"/>
          <w:lang w:val="es-ES" w:eastAsia="es-ES"/>
        </w:rPr>
      </w:pPr>
    </w:p>
    <w:p w14:paraId="79230A56" w14:textId="77777777" w:rsidR="007F4029" w:rsidRDefault="007F4029" w:rsidP="007F4029">
      <w:pPr>
        <w:spacing w:after="120" w:line="276" w:lineRule="auto"/>
        <w:jc w:val="both"/>
        <w:rPr>
          <w:rFonts w:ascii="Verdana" w:eastAsia="Times New Roman" w:hAnsi="Verdana" w:cs="Arial"/>
          <w:lang w:val="es-ES_tradnl" w:eastAsia="es-ES_tradnl"/>
        </w:rPr>
      </w:pPr>
      <w:r w:rsidRPr="00D16A5E">
        <w:rPr>
          <w:rFonts w:ascii="Verdana" w:hAnsi="Verdana" w:cs="Arial"/>
          <w:noProof/>
          <w:lang w:val="es-ES_tradnl"/>
        </w:rPr>
        <w:t>L</w:t>
      </w:r>
      <w:r w:rsidRPr="00D16A5E">
        <w:rPr>
          <w:rFonts w:ascii="Verdana" w:eastAsia="Times New Roman" w:hAnsi="Verdana" w:cs="Arial"/>
        </w:rPr>
        <w:t>a regla de la subsanabilidad de las ofertas en los procedimientos de selección</w:t>
      </w:r>
      <w:r w:rsidRPr="00D16A5E">
        <w:rPr>
          <w:rFonts w:ascii="Verdana" w:eastAsia="Times New Roman" w:hAnsi="Verdana" w:cs="Arial"/>
          <w:b/>
          <w:bCs/>
        </w:rPr>
        <w:t xml:space="preserve"> </w:t>
      </w:r>
      <w:r w:rsidRPr="00D16A5E">
        <w:rPr>
          <w:rFonts w:ascii="Verdana" w:eastAsia="Times New Roman" w:hAnsi="Verdana" w:cs="Arial"/>
          <w:lang w:val="es-ES_tradnl" w:eastAsia="es-ES_tradnl"/>
        </w:rPr>
        <w:t>indica que, por regla general, la falta de entrega y los defectos en la acreditación de los requisitos habilitantes son aspectos subsanables. La excepción</w:t>
      </w:r>
      <w:r>
        <w:rPr>
          <w:rFonts w:ascii="Verdana" w:eastAsia="Times New Roman" w:hAnsi="Verdana" w:cs="Arial"/>
          <w:lang w:val="es-ES_tradnl" w:eastAsia="es-ES_tradnl"/>
        </w:rPr>
        <w:t xml:space="preserve"> a esta regla </w:t>
      </w:r>
      <w:r w:rsidRPr="00D16A5E">
        <w:rPr>
          <w:rFonts w:ascii="Verdana" w:eastAsia="Times New Roman" w:hAnsi="Verdana" w:cs="Arial"/>
          <w:lang w:val="es-ES_tradnl" w:eastAsia="es-ES_tradnl"/>
        </w:rPr>
        <w:t>se encuentra en la prohibición de permitir la entrega de la garantía de seriedad de la oferta que no fue aportada con la propuesta y de valer la acreditación de circunstancias ocurridas con posterioridad al cierre del proceso.</w:t>
      </w:r>
    </w:p>
    <w:p w14:paraId="50508F56" w14:textId="77777777" w:rsidR="007F4029" w:rsidRPr="00447C67" w:rsidRDefault="007F4029" w:rsidP="007F4029">
      <w:pPr>
        <w:spacing w:after="120" w:line="276" w:lineRule="auto"/>
        <w:ind w:firstLine="708"/>
        <w:jc w:val="both"/>
        <w:rPr>
          <w:rFonts w:ascii="Verdana" w:eastAsia="Times New Roman" w:hAnsi="Verdana" w:cs="Arial"/>
          <w:lang w:val="es-ES_tradnl" w:eastAsia="es-ES_tradnl"/>
        </w:rPr>
      </w:pPr>
      <w:r>
        <w:rPr>
          <w:rFonts w:ascii="Verdana" w:eastAsia="Times New Roman" w:hAnsi="Verdana" w:cs="Arial"/>
          <w:lang w:val="es-ES_tradnl" w:eastAsia="es-ES_tradnl"/>
        </w:rPr>
        <w:t>L</w:t>
      </w:r>
      <w:r w:rsidRPr="00D16A5E">
        <w:rPr>
          <w:rFonts w:ascii="Verdana" w:eastAsia="Times New Roman" w:hAnsi="Verdana" w:cs="Arial"/>
          <w:lang w:val="es-ES_tradnl" w:eastAsia="es-ES_tradnl"/>
        </w:rPr>
        <w:t>a posibilidad de enmendar, corregir o subsanar los errores en los que se incurre en los documentos contentivos de la oferta es un tema que ha tenido diferentes momentos o etapas en el ordenamiento jurídico colombiano.</w:t>
      </w:r>
      <w:r>
        <w:rPr>
          <w:rFonts w:ascii="Verdana" w:eastAsia="Times New Roman" w:hAnsi="Verdana" w:cs="Arial"/>
          <w:lang w:val="es-ES_tradnl" w:eastAsia="es-ES_tradnl"/>
        </w:rPr>
        <w:t xml:space="preserve"> En atención a </w:t>
      </w:r>
      <w:r w:rsidRPr="00D16A5E">
        <w:rPr>
          <w:rFonts w:ascii="Verdana" w:eastAsia="Times New Roman" w:hAnsi="Verdana" w:cs="Arial"/>
          <w:lang w:val="es-ES" w:eastAsia="es-ES"/>
        </w:rPr>
        <w:t xml:space="preserve">lo anterior, a continuación, se hará referencia en forma general a los antecedentes de las diferentes posturas en torno a la subsanabilidad. </w:t>
      </w:r>
    </w:p>
    <w:p w14:paraId="3D97A717" w14:textId="77777777" w:rsidR="007F4029" w:rsidRPr="00D16A5E" w:rsidRDefault="007F4029" w:rsidP="007F4029">
      <w:pPr>
        <w:spacing w:after="120" w:line="276" w:lineRule="auto"/>
        <w:ind w:firstLine="708"/>
        <w:jc w:val="both"/>
        <w:rPr>
          <w:rFonts w:ascii="Verdana" w:eastAsia="Calibri" w:hAnsi="Verdana" w:cs="Arial"/>
          <w:lang w:val="es-ES" w:eastAsia="es-ES"/>
        </w:rPr>
      </w:pPr>
      <w:r w:rsidRPr="00D16A5E">
        <w:rPr>
          <w:rFonts w:ascii="Verdana" w:eastAsia="Times New Roman" w:hAnsi="Verdana" w:cs="Arial"/>
          <w:lang w:val="es-ES" w:eastAsia="es-ES"/>
        </w:rPr>
        <w:t xml:space="preserve">En un </w:t>
      </w:r>
      <w:r w:rsidRPr="00D16A5E">
        <w:rPr>
          <w:rFonts w:ascii="Verdana" w:eastAsia="Times New Roman" w:hAnsi="Verdana" w:cs="Arial"/>
          <w:i/>
          <w:lang w:val="es-ES" w:eastAsia="es-ES"/>
        </w:rPr>
        <w:t>primer momento</w:t>
      </w:r>
      <w:r w:rsidRPr="00D16A5E">
        <w:rPr>
          <w:rFonts w:ascii="Verdana" w:eastAsia="Times New Roman" w:hAnsi="Verdana" w:cs="Arial"/>
          <w:lang w:val="es-ES" w:eastAsia="es-ES"/>
        </w:rPr>
        <w:t xml:space="preserve">, antes de la entrada en vigor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7DF1F6D1" w14:textId="77777777" w:rsidR="007F4029" w:rsidRPr="00D16A5E" w:rsidRDefault="007F4029" w:rsidP="007F4029">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En un </w:t>
      </w:r>
      <w:r w:rsidRPr="00D16A5E">
        <w:rPr>
          <w:rFonts w:ascii="Verdana" w:eastAsia="Times New Roman" w:hAnsi="Verdana" w:cs="Arial"/>
          <w:i/>
          <w:lang w:val="es-ES_tradnl" w:eastAsia="es-ES_tradnl"/>
        </w:rPr>
        <w:t>segundo momento</w:t>
      </w:r>
      <w:r w:rsidRPr="00D16A5E">
        <w:rPr>
          <w:rFonts w:ascii="Verdana" w:eastAsia="Times New Roman" w:hAnsi="Verdana" w:cs="Arial"/>
          <w:lang w:val="es-ES_tradnl" w:eastAsia="es-ES_tradnl"/>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procedimental. En este nuevo escenario constitucional, el numeral 15 del artículo 25 de la Ley 80 de 1993 dispuso lo siguiente: </w:t>
      </w:r>
    </w:p>
    <w:p w14:paraId="4696AB7C" w14:textId="77777777" w:rsidR="007F4029" w:rsidRPr="00D16A5E" w:rsidRDefault="007F4029" w:rsidP="007F4029">
      <w:pPr>
        <w:spacing w:after="0" w:line="276" w:lineRule="auto"/>
        <w:ind w:firstLine="709"/>
        <w:jc w:val="both"/>
        <w:rPr>
          <w:rFonts w:ascii="Verdana" w:eastAsia="Times New Roman" w:hAnsi="Verdana" w:cs="Arial"/>
          <w:lang w:val="es-ES_tradnl" w:eastAsia="es-ES_tradnl"/>
        </w:rPr>
      </w:pPr>
    </w:p>
    <w:p w14:paraId="1D3D7BC1" w14:textId="77777777" w:rsidR="007F4029" w:rsidRPr="00DA349C" w:rsidRDefault="007F4029" w:rsidP="007F4029">
      <w:pPr>
        <w:spacing w:after="0" w:line="240" w:lineRule="auto"/>
        <w:ind w:left="709" w:right="709"/>
        <w:jc w:val="both"/>
        <w:rPr>
          <w:rFonts w:ascii="Verdana" w:eastAsia="Times New Roman" w:hAnsi="Verdana" w:cs="Arial"/>
          <w:sz w:val="20"/>
          <w:szCs w:val="20"/>
          <w:lang w:val="es-ES_tradnl" w:eastAsia="es-ES_tradnl"/>
        </w:rPr>
      </w:pPr>
      <w:r w:rsidRPr="00DA349C">
        <w:rPr>
          <w:rFonts w:ascii="Verdana" w:eastAsia="Times New Roman" w:hAnsi="Verdana" w:cs="Arial"/>
          <w:sz w:val="20"/>
          <w:szCs w:val="20"/>
          <w:lang w:val="es-ES_tradnl" w:eastAsia="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5AC16E6F" w14:textId="77777777" w:rsidR="007F4029" w:rsidRPr="00DA349C" w:rsidRDefault="007F4029" w:rsidP="007F4029">
      <w:pPr>
        <w:spacing w:after="0" w:line="240" w:lineRule="auto"/>
        <w:ind w:left="709" w:right="709"/>
        <w:jc w:val="both"/>
        <w:rPr>
          <w:rFonts w:ascii="Verdana" w:eastAsia="Times New Roman" w:hAnsi="Verdana" w:cs="Arial"/>
          <w:sz w:val="20"/>
          <w:szCs w:val="20"/>
          <w:lang w:val="es-ES_tradnl" w:eastAsia="es-ES_tradnl"/>
        </w:rPr>
      </w:pPr>
    </w:p>
    <w:p w14:paraId="49B67190" w14:textId="77777777" w:rsidR="007F4029" w:rsidRPr="00DA349C" w:rsidRDefault="007F4029" w:rsidP="007F4029">
      <w:pPr>
        <w:spacing w:after="0" w:line="240" w:lineRule="auto"/>
        <w:ind w:left="709" w:right="709"/>
        <w:jc w:val="both"/>
        <w:rPr>
          <w:rFonts w:ascii="Verdana" w:eastAsia="Times New Roman" w:hAnsi="Verdana" w:cs="Arial"/>
          <w:sz w:val="20"/>
          <w:szCs w:val="20"/>
          <w:lang w:val="es-ES_tradnl" w:eastAsia="es-ES_tradnl"/>
        </w:rPr>
      </w:pPr>
      <w:r w:rsidRPr="00DA349C">
        <w:rPr>
          <w:rFonts w:ascii="Verdana" w:eastAsia="Times New Roman" w:hAnsi="Verdana" w:cs="Arial"/>
          <w:sz w:val="20"/>
          <w:szCs w:val="20"/>
          <w:lang w:val="es-ES_tradnl" w:eastAsia="es-ES_tradnl"/>
        </w:rPr>
        <w:t xml:space="preserve">La ausencia de requisitos o la falta de documentos referentes a la futura contratación o al proponente, no necesarios para la comparación de </w:t>
      </w:r>
      <w:r w:rsidRPr="00DA349C">
        <w:rPr>
          <w:rFonts w:ascii="Verdana" w:eastAsia="Times New Roman" w:hAnsi="Verdana" w:cs="Arial"/>
          <w:sz w:val="20"/>
          <w:szCs w:val="20"/>
          <w:lang w:val="es-ES_tradnl" w:eastAsia="es-ES_tradnl"/>
        </w:rPr>
        <w:lastRenderedPageBreak/>
        <w:t xml:space="preserve">propuestas, no servirá de título suficiente para el rechazo de los ofrecimientos hechos. </w:t>
      </w:r>
    </w:p>
    <w:p w14:paraId="772F87F6" w14:textId="77777777" w:rsidR="007F4029" w:rsidRPr="00D16A5E" w:rsidRDefault="007F4029" w:rsidP="007F4029">
      <w:pPr>
        <w:spacing w:after="0" w:line="276" w:lineRule="auto"/>
        <w:ind w:left="709" w:right="709"/>
        <w:jc w:val="both"/>
        <w:rPr>
          <w:rFonts w:ascii="Verdana" w:eastAsia="Times New Roman" w:hAnsi="Verdana" w:cs="Arial"/>
          <w:lang w:val="es-ES_tradnl" w:eastAsia="es-ES_tradnl"/>
        </w:rPr>
      </w:pPr>
    </w:p>
    <w:p w14:paraId="757FE2B9"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Bajo el amparo de esta norma, el régimen jurídico de subsanabilidad de las ofertas sufre un cambio fundamental, pues ya no era posible rechazar las ofertas por falta de requisitos o documentos que no fueran “</w:t>
      </w:r>
      <w:r w:rsidRPr="00D16A5E">
        <w:rPr>
          <w:rFonts w:ascii="Verdana" w:eastAsia="Times New Roman" w:hAnsi="Verdana" w:cs="Arial"/>
          <w:i/>
          <w:lang w:val="es-ES" w:eastAsia="es-ES"/>
        </w:rPr>
        <w:t>necesarios para la comparación de propuestas”.</w:t>
      </w:r>
      <w:r w:rsidRPr="00D16A5E">
        <w:rPr>
          <w:rFonts w:ascii="Verdana" w:eastAsia="Times New Roman" w:hAnsi="Verdana" w:cs="Arial"/>
          <w:lang w:val="es-ES" w:eastAsia="es-ES"/>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4629C4E0" w14:textId="77777777" w:rsidR="007F4029" w:rsidRPr="00D16A5E" w:rsidRDefault="007F4029" w:rsidP="007F4029">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Esta norma debía leerse en conjunto con otras de la Ley 80 de 1993, particularmente con el artículo 30.7</w:t>
      </w:r>
      <w:r w:rsidRPr="00D16A5E">
        <w:rPr>
          <w:rFonts w:ascii="Verdana" w:eastAsia="Times New Roman" w:hAnsi="Verdana" w:cs="Arial"/>
          <w:vertAlign w:val="superscript"/>
          <w:lang w:val="es-ES_tradnl" w:eastAsia="es-ES_tradnl"/>
        </w:rPr>
        <w:footnoteReference w:id="1"/>
      </w:r>
      <w:r w:rsidRPr="00D16A5E">
        <w:rPr>
          <w:rFonts w:ascii="Verdana" w:eastAsia="Times New Roman" w:hAnsi="Verdana" w:cs="Arial"/>
          <w:lang w:val="es-ES_tradnl" w:eastAsia="es-ES_tradnl"/>
        </w:rPr>
        <w:t>, que ordena a la entidad señalar un plazo razonable para evaluar las propuestas y para pedir a los proponentes, de ser necesario, que aclaren o expliquen aspectos que ofrezcan dudas y resulten indispensables para llevar a cabo la evaluación</w:t>
      </w:r>
      <w:r>
        <w:rPr>
          <w:rFonts w:ascii="Verdana" w:eastAsia="Times New Roman" w:hAnsi="Verdana" w:cs="Arial"/>
          <w:lang w:val="es-ES_tradnl" w:eastAsia="es-ES_tradnl"/>
        </w:rPr>
        <w:t xml:space="preserve">. Así mimos, </w:t>
      </w:r>
      <w:r w:rsidRPr="00D16A5E">
        <w:rPr>
          <w:rFonts w:ascii="Verdana" w:eastAsia="Times New Roman" w:hAnsi="Verdana" w:cs="Arial"/>
          <w:lang w:val="es-ES_tradnl" w:eastAsia="es-ES_tradnl"/>
        </w:rPr>
        <w:t>con el artículo 30.8</w:t>
      </w:r>
      <w:r w:rsidRPr="00D16A5E">
        <w:rPr>
          <w:rFonts w:ascii="Verdana" w:eastAsia="Times New Roman" w:hAnsi="Verdana" w:cs="Arial"/>
          <w:vertAlign w:val="superscript"/>
          <w:lang w:val="es-ES_tradnl" w:eastAsia="es-ES_tradnl"/>
        </w:rPr>
        <w:footnoteReference w:id="2"/>
      </w:r>
      <w:r w:rsidRPr="00D16A5E">
        <w:rPr>
          <w:rFonts w:ascii="Verdana" w:eastAsia="Times New Roman" w:hAnsi="Verdana" w:cs="Arial"/>
          <w:lang w:val="es-ES_tradnl" w:eastAsia="es-ES_tradnl"/>
        </w:rPr>
        <w:t xml:space="preserve">, que consagró el término de </w:t>
      </w:r>
      <w:r>
        <w:rPr>
          <w:rFonts w:ascii="Verdana" w:eastAsia="Times New Roman" w:hAnsi="Verdana" w:cs="Arial"/>
          <w:lang w:val="es-ES_tradnl" w:eastAsia="es-ES_tradnl"/>
        </w:rPr>
        <w:t>cinco (</w:t>
      </w:r>
      <w:r w:rsidRPr="00D16A5E">
        <w:rPr>
          <w:rFonts w:ascii="Verdana" w:eastAsia="Times New Roman" w:hAnsi="Verdana" w:cs="Arial"/>
          <w:lang w:val="es-ES_tradnl" w:eastAsia="es-ES_tradnl"/>
        </w:rPr>
        <w:t>5</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días hábiles para que los oferentes presenten observaciones al informe de evaluación de las propuestas, sin que sea posible completar, adicionar, modificar o mejorar su oferta.  </w:t>
      </w:r>
    </w:p>
    <w:p w14:paraId="4B728DFB"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04BDB067" w14:textId="77777777" w:rsidR="007F4029" w:rsidRPr="00D16A5E" w:rsidRDefault="007F4029" w:rsidP="007F4029">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En un </w:t>
      </w:r>
      <w:r w:rsidRPr="00D16A5E">
        <w:rPr>
          <w:rFonts w:ascii="Verdana" w:eastAsia="Times New Roman" w:hAnsi="Verdana" w:cs="Arial"/>
          <w:i/>
          <w:lang w:val="es-ES_tradnl" w:eastAsia="es-ES_tradnl"/>
        </w:rPr>
        <w:t>tercer momento</w:t>
      </w:r>
      <w:r w:rsidRPr="00D16A5E">
        <w:rPr>
          <w:rFonts w:ascii="Verdana" w:eastAsia="Times New Roman" w:hAnsi="Verdana" w:cs="Arial"/>
          <w:lang w:val="es-ES_tradnl" w:eastAsia="es-ES_tradnl"/>
        </w:rPr>
        <w:t xml:space="preserve">, siguiendo la línea trazada por la Ley 80 de 1993, el legislador expidió la Ley 1150 de 2007, que, en el parágrafo 1º del artículo 5, determinó lo siguiente: </w:t>
      </w:r>
    </w:p>
    <w:p w14:paraId="7C250734" w14:textId="77777777" w:rsidR="007F4029" w:rsidRPr="00462445" w:rsidRDefault="007F4029" w:rsidP="007F4029">
      <w:pPr>
        <w:spacing w:after="0" w:line="276" w:lineRule="auto"/>
        <w:ind w:left="709" w:right="709"/>
        <w:jc w:val="both"/>
        <w:rPr>
          <w:rFonts w:ascii="Verdana" w:eastAsia="Times New Roman" w:hAnsi="Verdana" w:cs="Arial"/>
          <w:lang w:val="es-ES" w:eastAsia="es-ES"/>
        </w:rPr>
      </w:pPr>
    </w:p>
    <w:p w14:paraId="3392410A" w14:textId="77777777" w:rsidR="007F4029" w:rsidRDefault="007F4029" w:rsidP="007F4029">
      <w:pPr>
        <w:spacing w:after="0" w:line="240" w:lineRule="auto"/>
        <w:ind w:left="709" w:right="709"/>
        <w:jc w:val="both"/>
        <w:rPr>
          <w:rFonts w:ascii="Verdana" w:eastAsia="Times New Roman" w:hAnsi="Verdana" w:cs="Arial"/>
          <w:sz w:val="20"/>
          <w:szCs w:val="20"/>
          <w:lang w:val="es-ES" w:eastAsia="es-ES"/>
        </w:rPr>
      </w:pPr>
      <w:r w:rsidRPr="00462445">
        <w:rPr>
          <w:rFonts w:ascii="Verdana" w:eastAsia="Times New Roman" w:hAnsi="Verdana" w:cs="Arial"/>
          <w:sz w:val="20"/>
          <w:szCs w:val="20"/>
          <w:lang w:val="es-ES" w:eastAsia="es-ES"/>
        </w:rPr>
        <w:t xml:space="preserve">Parágrafo 1°. La ausencia de requisitos o la falta de documentos referentes a la futura contratación o al proponente, no necesarios para la comparación de las propuestas no servirán de título suficiente para el </w:t>
      </w:r>
      <w:r w:rsidRPr="00462445">
        <w:rPr>
          <w:rFonts w:ascii="Verdana" w:eastAsia="Times New Roman" w:hAnsi="Verdana" w:cs="Arial"/>
          <w:sz w:val="20"/>
          <w:szCs w:val="20"/>
          <w:lang w:val="es-ES" w:eastAsia="es-ES"/>
        </w:rPr>
        <w:lastRenderedPageBreak/>
        <w:t xml:space="preserve">rechazo de los ofrecimientos hechos. En consecuencia, todos aquellos requisitos de la propuesta que no afecten la asignación de </w:t>
      </w:r>
      <w:proofErr w:type="gramStart"/>
      <w:r w:rsidRPr="00462445">
        <w:rPr>
          <w:rFonts w:ascii="Verdana" w:eastAsia="Times New Roman" w:hAnsi="Verdana" w:cs="Arial"/>
          <w:sz w:val="20"/>
          <w:szCs w:val="20"/>
          <w:lang w:val="es-ES" w:eastAsia="es-ES"/>
        </w:rPr>
        <w:t>puntaje,</w:t>
      </w:r>
      <w:proofErr w:type="gramEnd"/>
      <w:r w:rsidRPr="00462445">
        <w:rPr>
          <w:rFonts w:ascii="Verdana" w:eastAsia="Times New Roman" w:hAnsi="Verdana" w:cs="Arial"/>
          <w:sz w:val="20"/>
          <w:szCs w:val="20"/>
          <w:lang w:val="es-ES" w:eastAsia="es-ES"/>
        </w:rPr>
        <w:t xml:space="preserve"> podrán ser solicitados por las entidades en cualquier momento, hasta la adjudicación. No </w:t>
      </w:r>
      <w:proofErr w:type="gramStart"/>
      <w:r w:rsidRPr="00462445">
        <w:rPr>
          <w:rFonts w:ascii="Verdana" w:eastAsia="Times New Roman" w:hAnsi="Verdana" w:cs="Arial"/>
          <w:sz w:val="20"/>
          <w:szCs w:val="20"/>
          <w:lang w:val="es-ES" w:eastAsia="es-ES"/>
        </w:rPr>
        <w:t>obstante</w:t>
      </w:r>
      <w:proofErr w:type="gramEnd"/>
      <w:r w:rsidRPr="00462445">
        <w:rPr>
          <w:rFonts w:ascii="Verdana" w:eastAsia="Times New Roman" w:hAnsi="Verdana" w:cs="Arial"/>
          <w:sz w:val="20"/>
          <w:szCs w:val="20"/>
          <w:lang w:val="es-ES" w:eastAsia="es-ES"/>
        </w:rPr>
        <w:t xml:space="preserve"> lo anterior, en aquellos procesos de selección en los que se utilice el mecanismo de subasta, deberán ser solicitados hasta el momento previo a su realización. </w:t>
      </w:r>
    </w:p>
    <w:p w14:paraId="0CD5ECE2" w14:textId="77777777" w:rsidR="007F4029" w:rsidRPr="00462445" w:rsidRDefault="007F4029" w:rsidP="007F4029">
      <w:pPr>
        <w:spacing w:after="0" w:line="276" w:lineRule="auto"/>
        <w:ind w:left="709" w:right="709"/>
        <w:jc w:val="both"/>
        <w:rPr>
          <w:rFonts w:ascii="Verdana" w:eastAsia="Times New Roman" w:hAnsi="Verdana" w:cs="Arial"/>
          <w:lang w:val="es-ES" w:eastAsia="es-ES"/>
        </w:rPr>
      </w:pPr>
    </w:p>
    <w:p w14:paraId="05ED6230"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7EDC74DF"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A partir de la Ley 1150 de 2007</w:t>
      </w:r>
      <w:r>
        <w:rPr>
          <w:rFonts w:ascii="Verdana" w:eastAsia="Times New Roman" w:hAnsi="Verdana" w:cs="Arial"/>
          <w:lang w:val="es-ES" w:eastAsia="es-ES"/>
        </w:rPr>
        <w:t>,</w:t>
      </w:r>
      <w:r w:rsidRPr="00D16A5E">
        <w:rPr>
          <w:rFonts w:ascii="Verdana" w:eastAsia="Times New Roman" w:hAnsi="Verdana" w:cs="Arial"/>
          <w:lang w:val="es-ES" w:eastAsia="es-ES"/>
        </w:rPr>
        <w:t xml:space="preserve">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6A7C7A02" w14:textId="77777777" w:rsidR="007F4029" w:rsidRPr="00D16A5E" w:rsidRDefault="007F4029" w:rsidP="007F4029">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44618740" w14:textId="77777777" w:rsidR="007F4029" w:rsidRPr="00D16A5E" w:rsidRDefault="007F4029" w:rsidP="007F4029">
      <w:pPr>
        <w:spacing w:after="0" w:line="276" w:lineRule="auto"/>
        <w:ind w:firstLine="709"/>
        <w:jc w:val="both"/>
        <w:rPr>
          <w:rFonts w:ascii="Verdana" w:eastAsia="Times New Roman" w:hAnsi="Verdana" w:cs="Arial"/>
          <w:lang w:val="es-ES_tradnl" w:eastAsia="es-ES_tradnl"/>
        </w:rPr>
      </w:pPr>
    </w:p>
    <w:p w14:paraId="6C8E8AFF" w14:textId="77777777" w:rsidR="007F4029" w:rsidRPr="00D16A5E" w:rsidRDefault="007F4029" w:rsidP="007F4029">
      <w:pPr>
        <w:spacing w:after="0" w:line="240" w:lineRule="auto"/>
        <w:ind w:left="709" w:right="709"/>
        <w:jc w:val="both"/>
        <w:rPr>
          <w:rFonts w:ascii="Verdana" w:eastAsia="Times New Roman" w:hAnsi="Verdana" w:cs="Arial"/>
          <w:sz w:val="21"/>
          <w:szCs w:val="21"/>
          <w:lang w:val="es-ES_tradnl" w:eastAsia="es-ES_tradnl"/>
        </w:rPr>
      </w:pPr>
      <w:r w:rsidRPr="00D16A5E">
        <w:rPr>
          <w:rFonts w:ascii="Verdana" w:eastAsia="Times New Roman" w:hAnsi="Verdana" w:cs="Arial"/>
          <w:sz w:val="21"/>
          <w:szCs w:val="21"/>
          <w:lang w:val="es-ES_tradnl" w:eastAsia="es-ES_tradnl"/>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o no a problemas de capacidad o a requisitos cumplidos antes o después </w:t>
      </w:r>
      <w:r w:rsidRPr="00D16A5E">
        <w:rPr>
          <w:rFonts w:ascii="Verdana" w:eastAsia="Times New Roman" w:hAnsi="Verdana" w:cs="Arial"/>
          <w:sz w:val="21"/>
          <w:szCs w:val="21"/>
          <w:lang w:val="es-ES_tradnl" w:eastAsia="es-ES_tradnl"/>
        </w:rPr>
        <w:lastRenderedPageBreak/>
        <w:t>de presentadas las ofertas, con la condición de que cuando le pidan la acreditación la satisfaga suficientemente</w:t>
      </w:r>
      <w:r w:rsidRPr="00D16A5E">
        <w:rPr>
          <w:rFonts w:ascii="Verdana" w:eastAsia="Times New Roman" w:hAnsi="Verdana" w:cs="Arial"/>
          <w:sz w:val="21"/>
          <w:szCs w:val="21"/>
          <w:vertAlign w:val="superscript"/>
          <w:lang w:val="es-ES_tradnl" w:eastAsia="es-ES_tradnl"/>
        </w:rPr>
        <w:footnoteReference w:id="3"/>
      </w:r>
      <w:r w:rsidRPr="00D16A5E">
        <w:rPr>
          <w:rFonts w:ascii="Verdana" w:eastAsia="Times New Roman" w:hAnsi="Verdana" w:cs="Arial"/>
          <w:sz w:val="21"/>
          <w:szCs w:val="21"/>
          <w:lang w:val="es-ES_tradnl" w:eastAsia="es-ES_tradnl"/>
        </w:rPr>
        <w:t>.</w:t>
      </w:r>
    </w:p>
    <w:p w14:paraId="3377564B" w14:textId="77777777" w:rsidR="007F4029" w:rsidRPr="00D16A5E" w:rsidRDefault="007F4029" w:rsidP="007F4029">
      <w:pPr>
        <w:spacing w:after="0" w:line="240" w:lineRule="auto"/>
        <w:ind w:left="709" w:right="709"/>
        <w:jc w:val="both"/>
        <w:rPr>
          <w:rFonts w:ascii="Verdana" w:eastAsia="Times New Roman" w:hAnsi="Verdana" w:cs="Arial"/>
          <w:sz w:val="21"/>
          <w:szCs w:val="21"/>
          <w:lang w:val="es-ES_tradnl" w:eastAsia="es-ES_tradnl"/>
        </w:rPr>
      </w:pPr>
    </w:p>
    <w:p w14:paraId="04364641" w14:textId="77777777" w:rsidR="007F4029" w:rsidRPr="00D16A5E" w:rsidRDefault="007F4029" w:rsidP="007F4029">
      <w:pPr>
        <w:tabs>
          <w:tab w:val="left" w:pos="284"/>
        </w:tabs>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Esa interpretación fue compartida por la </w:t>
      </w:r>
      <w:r w:rsidRPr="00D16A5E">
        <w:rPr>
          <w:rFonts w:ascii="Verdana" w:eastAsia="Times New Roman" w:hAnsi="Verdana" w:cs="Arial"/>
          <w:lang w:val="es-ES" w:eastAsia="es-CO"/>
        </w:rPr>
        <w:t>Agencia Nacional de Contratación Pública – Colombia Compra Eficiente</w:t>
      </w:r>
      <w:r w:rsidRPr="00D16A5E">
        <w:rPr>
          <w:rFonts w:ascii="Verdana" w:eastAsia="Times New Roman" w:hAnsi="Verdana" w:cs="Arial"/>
          <w:lang w:val="es-ES" w:eastAsia="es-ES"/>
        </w:rPr>
        <w:t>, pues en la Circular Externa Única se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si durante un Proceso de Contratación hay proponentes que no acreditaron en sus ofertas requisitos que no afectan la asignación de puntaje o la comparación de </w:t>
      </w:r>
      <w:proofErr w:type="gramStart"/>
      <w:r w:rsidRPr="00D16A5E">
        <w:rPr>
          <w:rFonts w:ascii="Verdana" w:eastAsia="Times New Roman" w:hAnsi="Verdana" w:cs="Arial"/>
          <w:lang w:val="es-ES" w:eastAsia="es-ES"/>
        </w:rPr>
        <w:t>las mismas</w:t>
      </w:r>
      <w:proofErr w:type="gramEnd"/>
      <w:r w:rsidRPr="00D16A5E">
        <w:rPr>
          <w:rFonts w:ascii="Verdana" w:eastAsia="Times New Roman" w:hAnsi="Verdana" w:cs="Arial"/>
          <w:lang w:val="es-ES" w:eastAsia="es-ES"/>
        </w:rPr>
        <w:t>, la Entidad Estatal deberá indicarlo en el informe de evaluación y advertir que la correspondiente oferta puede ser subsanada.</w:t>
      </w:r>
    </w:p>
    <w:p w14:paraId="3131D846" w14:textId="77777777" w:rsidR="007F4029" w:rsidRPr="00D16A5E" w:rsidRDefault="007F4029" w:rsidP="007F4029">
      <w:pPr>
        <w:tabs>
          <w:tab w:val="left" w:pos="284"/>
        </w:tabs>
        <w:spacing w:after="0" w:line="276" w:lineRule="auto"/>
        <w:ind w:firstLine="709"/>
        <w:jc w:val="both"/>
        <w:rPr>
          <w:rFonts w:ascii="Verdana" w:eastAsia="Times New Roman" w:hAnsi="Verdana" w:cs="Arial"/>
          <w:lang w:val="es-ES_tradnl" w:eastAsia="es-CO"/>
        </w:rPr>
      </w:pPr>
      <w:r w:rsidRPr="00D16A5E">
        <w:rPr>
          <w:rFonts w:ascii="Verdana" w:eastAsia="Times New Roman" w:hAnsi="Verdana" w:cs="Arial"/>
          <w:lang w:val="es-ES_tradnl" w:eastAsia="es-CO"/>
        </w:rPr>
        <w:t xml:space="preserve">Finalmente, en un </w:t>
      </w:r>
      <w:r w:rsidRPr="00D16A5E">
        <w:rPr>
          <w:rFonts w:ascii="Verdana" w:eastAsia="Times New Roman" w:hAnsi="Verdana" w:cs="Arial"/>
          <w:i/>
          <w:lang w:val="es-ES_tradnl" w:eastAsia="es-CO"/>
        </w:rPr>
        <w:t>cuarto momento</w:t>
      </w:r>
      <w:r w:rsidRPr="00D16A5E">
        <w:rPr>
          <w:rFonts w:ascii="Verdana" w:eastAsia="Times New Roman" w:hAnsi="Verdana"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w:t>
      </w:r>
      <w:r>
        <w:rPr>
          <w:rFonts w:ascii="Verdana" w:eastAsia="Times New Roman" w:hAnsi="Verdana" w:cs="Arial"/>
          <w:lang w:val="es-ES_tradnl" w:eastAsia="es-CO"/>
        </w:rPr>
        <w:t>3</w:t>
      </w:r>
      <w:r w:rsidRPr="00D16A5E">
        <w:rPr>
          <w:rFonts w:ascii="Verdana" w:eastAsia="Times New Roman" w:hAnsi="Verdana" w:cs="Arial"/>
          <w:lang w:val="es-ES_tradnl" w:eastAsia="es-CO"/>
        </w:rPr>
        <w:t>°</w:t>
      </w:r>
      <w:r>
        <w:rPr>
          <w:rFonts w:ascii="Verdana" w:eastAsia="Times New Roman" w:hAnsi="Verdana" w:cs="Arial"/>
          <w:lang w:val="es-ES_tradnl" w:eastAsia="es-CO"/>
        </w:rPr>
        <w:t xml:space="preserve"> y </w:t>
      </w:r>
      <w:r w:rsidRPr="00D16A5E">
        <w:rPr>
          <w:rFonts w:ascii="Verdana" w:eastAsia="Times New Roman" w:hAnsi="Verdana" w:cs="Arial"/>
          <w:lang w:val="es-ES_tradnl" w:eastAsia="es-CO"/>
        </w:rPr>
        <w:t xml:space="preserve">4° del artículo 5 de la Ley 1150 de 2007: </w:t>
      </w:r>
    </w:p>
    <w:p w14:paraId="6042B2CB" w14:textId="77777777" w:rsidR="007F4029" w:rsidRPr="000D2E9F" w:rsidRDefault="007F4029" w:rsidP="007F4029">
      <w:pPr>
        <w:spacing w:after="0" w:line="276" w:lineRule="auto"/>
        <w:ind w:left="709" w:right="709"/>
        <w:jc w:val="both"/>
        <w:rPr>
          <w:rFonts w:ascii="Verdana" w:eastAsia="Times New Roman" w:hAnsi="Verdana" w:cs="Arial"/>
          <w:lang w:val="es-ES_tradnl" w:eastAsia="es-CO"/>
        </w:rPr>
      </w:pPr>
    </w:p>
    <w:p w14:paraId="79D20CE1" w14:textId="77777777" w:rsidR="007F4029" w:rsidRPr="00556BC7" w:rsidRDefault="007F4029" w:rsidP="007F4029">
      <w:pPr>
        <w:spacing w:after="0" w:line="240" w:lineRule="auto"/>
        <w:ind w:left="709" w:right="709"/>
        <w:jc w:val="both"/>
        <w:rPr>
          <w:rFonts w:ascii="Verdana" w:eastAsia="Times New Roman" w:hAnsi="Verdana" w:cs="Arial"/>
          <w:sz w:val="20"/>
          <w:szCs w:val="20"/>
          <w:lang w:val="es-ES_tradnl" w:eastAsia="es-CO"/>
        </w:rPr>
      </w:pPr>
      <w:r w:rsidRPr="00556BC7">
        <w:rPr>
          <w:rFonts w:ascii="Verdana" w:eastAsia="Times New Roman" w:hAnsi="Verdana" w:cs="Arial"/>
          <w:sz w:val="20"/>
          <w:szCs w:val="20"/>
          <w:lang w:val="es-ES_tradnl" w:eastAsia="es-CO"/>
        </w:rPr>
        <w:t xml:space="preserve">Artículo 5°. De la selección objetiva. </w:t>
      </w:r>
    </w:p>
    <w:p w14:paraId="0A450C9A" w14:textId="77777777" w:rsidR="007F4029" w:rsidRDefault="007F4029" w:rsidP="007F4029">
      <w:pPr>
        <w:pStyle w:val="paragraph"/>
        <w:spacing w:before="0" w:beforeAutospacing="0" w:after="0" w:afterAutospacing="0"/>
        <w:ind w:left="709" w:right="709"/>
        <w:jc w:val="both"/>
        <w:textAlignment w:val="baseline"/>
        <w:rPr>
          <w:rStyle w:val="normaltextrun"/>
          <w:rFonts w:ascii="Verdana" w:hAnsi="Verdana" w:cs="Arial"/>
          <w:color w:val="000000"/>
          <w:sz w:val="20"/>
          <w:szCs w:val="20"/>
          <w:lang w:val="es-ES"/>
        </w:rPr>
      </w:pPr>
    </w:p>
    <w:p w14:paraId="160122F9"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556BC7">
        <w:rPr>
          <w:rStyle w:val="normaltextrun"/>
          <w:rFonts w:ascii="Verdana" w:hAnsi="Verdana" w:cs="Arial"/>
          <w:color w:val="000000"/>
          <w:sz w:val="20"/>
          <w:szCs w:val="20"/>
          <w:lang w:val="es-ES"/>
        </w:rPr>
        <w:t>equivalentes,</w:t>
      </w:r>
      <w:proofErr w:type="gramEnd"/>
      <w:r w:rsidRPr="00556BC7">
        <w:rPr>
          <w:rStyle w:val="normaltextrun"/>
          <w:rFonts w:ascii="Verdana" w:hAnsi="Verdana" w:cs="Arial"/>
          <w:color w:val="000000"/>
          <w:sz w:val="20"/>
          <w:szCs w:val="20"/>
          <w:lang w:val="es-ES"/>
        </w:rPr>
        <w:t xml:space="preserve"> tendrán en cuenta los siguientes criterios:</w:t>
      </w:r>
      <w:r w:rsidRPr="00556BC7">
        <w:rPr>
          <w:rStyle w:val="eop"/>
          <w:rFonts w:ascii="Verdana" w:hAnsi="Verdana" w:cs="Arial"/>
          <w:color w:val="000000"/>
          <w:sz w:val="20"/>
          <w:szCs w:val="20"/>
        </w:rPr>
        <w:t> </w:t>
      </w:r>
    </w:p>
    <w:p w14:paraId="44A778AF"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67CD9D53"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556BC7">
        <w:rPr>
          <w:rStyle w:val="eop"/>
          <w:rFonts w:ascii="Verdana" w:hAnsi="Verdana" w:cs="Arial"/>
          <w:color w:val="000000"/>
          <w:sz w:val="20"/>
          <w:szCs w:val="20"/>
        </w:rPr>
        <w:t> </w:t>
      </w:r>
    </w:p>
    <w:p w14:paraId="56196B7E"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83DA1A8"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w:t>
      </w:r>
      <w:r w:rsidRPr="00556BC7">
        <w:rPr>
          <w:rStyle w:val="normaltextrun"/>
          <w:rFonts w:ascii="Verdana" w:hAnsi="Verdana" w:cs="Arial"/>
          <w:color w:val="000000"/>
          <w:sz w:val="20"/>
          <w:szCs w:val="20"/>
          <w:lang w:val="es-ES"/>
        </w:rPr>
        <w:lastRenderedPageBreak/>
        <w:t>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556BC7">
        <w:rPr>
          <w:rStyle w:val="eop"/>
          <w:rFonts w:ascii="Verdana" w:hAnsi="Verdana" w:cs="Arial"/>
          <w:color w:val="000000"/>
          <w:sz w:val="20"/>
          <w:szCs w:val="20"/>
        </w:rPr>
        <w:t> </w:t>
      </w:r>
    </w:p>
    <w:p w14:paraId="5F6F7E8C" w14:textId="4C6BB474"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p>
    <w:p w14:paraId="5356BCDD"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r w:rsidRPr="00556BC7">
        <w:rPr>
          <w:rStyle w:val="eop"/>
          <w:rFonts w:ascii="Verdana" w:hAnsi="Verdana" w:cs="Arial"/>
          <w:color w:val="000000"/>
          <w:sz w:val="20"/>
          <w:szCs w:val="20"/>
        </w:rPr>
        <w:t> </w:t>
      </w:r>
    </w:p>
    <w:p w14:paraId="41985BBA" w14:textId="5AF6A85F"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p>
    <w:p w14:paraId="0D03C890" w14:textId="5B3E8A36"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a) La ponderación de los elementos de calidad y precio soportados en puntajes o fórmulas señaladas en el pliego de condiciones; o</w:t>
      </w:r>
    </w:p>
    <w:p w14:paraId="6531F58E" w14:textId="57A7CBB4"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p>
    <w:p w14:paraId="48A64019"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b) La ponderación de los elementos de calidad y precio que representen la mejor relación de costo-beneficio para la entidad.</w:t>
      </w:r>
      <w:r w:rsidRPr="00556BC7">
        <w:rPr>
          <w:rStyle w:val="eop"/>
          <w:rFonts w:ascii="Verdana" w:hAnsi="Verdana" w:cs="Arial"/>
          <w:color w:val="000000"/>
          <w:sz w:val="20"/>
          <w:szCs w:val="20"/>
        </w:rPr>
        <w:t> </w:t>
      </w:r>
    </w:p>
    <w:p w14:paraId="2CF5CE0F" w14:textId="43A6235F"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p>
    <w:p w14:paraId="6CEEDA28"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556BC7">
        <w:rPr>
          <w:rStyle w:val="eop"/>
          <w:rFonts w:ascii="Verdana" w:hAnsi="Verdana" w:cs="Arial"/>
          <w:color w:val="000000"/>
          <w:sz w:val="20"/>
          <w:szCs w:val="20"/>
        </w:rPr>
        <w:t> </w:t>
      </w:r>
    </w:p>
    <w:p w14:paraId="22342007"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4BD6ACF"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556BC7">
        <w:rPr>
          <w:rStyle w:val="eop"/>
          <w:rFonts w:ascii="Verdana" w:hAnsi="Verdana" w:cs="Arial"/>
          <w:color w:val="000000"/>
          <w:sz w:val="20"/>
          <w:szCs w:val="20"/>
        </w:rPr>
        <w:t> </w:t>
      </w:r>
    </w:p>
    <w:p w14:paraId="31B75EDE"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62BF320E"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ningún caso se podrá incluir el precio, como factor de escogencia para la selección de consultores.</w:t>
      </w:r>
      <w:r w:rsidRPr="00556BC7">
        <w:rPr>
          <w:rStyle w:val="eop"/>
          <w:rFonts w:ascii="Verdana" w:hAnsi="Verdana" w:cs="Arial"/>
          <w:color w:val="000000"/>
          <w:sz w:val="20"/>
          <w:szCs w:val="20"/>
        </w:rPr>
        <w:t> </w:t>
      </w:r>
    </w:p>
    <w:p w14:paraId="5BF020E5"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62ADAEB"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556BC7">
        <w:rPr>
          <w:rStyle w:val="normaltextrun"/>
          <w:rFonts w:ascii="Verdana" w:hAnsi="Verdana" w:cs="Arial"/>
          <w:color w:val="000000"/>
          <w:sz w:val="20"/>
          <w:szCs w:val="20"/>
          <w:lang w:val="es-ES"/>
        </w:rPr>
        <w:t>puntaje,</w:t>
      </w:r>
      <w:proofErr w:type="gramEnd"/>
      <w:r w:rsidRPr="00556BC7">
        <w:rPr>
          <w:rStyle w:val="normaltextrun"/>
          <w:rFonts w:ascii="Verdana" w:hAnsi="Verdana" w:cs="Arial"/>
          <w:color w:val="000000"/>
          <w:sz w:val="20"/>
          <w:szCs w:val="20"/>
          <w:lang w:val="es-E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556BC7">
        <w:rPr>
          <w:rStyle w:val="eop"/>
          <w:rFonts w:ascii="Verdana" w:hAnsi="Verdana" w:cs="Arial"/>
          <w:color w:val="000000"/>
          <w:sz w:val="20"/>
          <w:szCs w:val="20"/>
        </w:rPr>
        <w:t> </w:t>
      </w:r>
    </w:p>
    <w:p w14:paraId="551D2829"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5A9A8EF9"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Durante el término otorgado para subsanar las ofertas, los proponentes no podrán acreditar circunstancias ocurridas con posterioridad al cierre del proceso.</w:t>
      </w:r>
      <w:r w:rsidRPr="00556BC7">
        <w:rPr>
          <w:rStyle w:val="eop"/>
          <w:rFonts w:ascii="Verdana" w:hAnsi="Verdana" w:cs="Arial"/>
          <w:color w:val="000000"/>
          <w:sz w:val="20"/>
          <w:szCs w:val="20"/>
        </w:rPr>
        <w:t> </w:t>
      </w:r>
    </w:p>
    <w:p w14:paraId="766BDDBD"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lastRenderedPageBreak/>
        <w:t> </w:t>
      </w:r>
    </w:p>
    <w:p w14:paraId="2326A275"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2o. Las certificaciones de sistemas de gestión de calidad no serán objeto de calificación, ni podrán establecerse como documento habilitante para participar en licitaciones o concursos.</w:t>
      </w:r>
      <w:r w:rsidRPr="00556BC7">
        <w:rPr>
          <w:rStyle w:val="eop"/>
          <w:rFonts w:ascii="Verdana" w:hAnsi="Verdana" w:cs="Arial"/>
          <w:color w:val="000000"/>
          <w:sz w:val="20"/>
          <w:szCs w:val="20"/>
        </w:rPr>
        <w:t> </w:t>
      </w:r>
    </w:p>
    <w:p w14:paraId="1C3333A7"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73515CA4"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556BC7">
        <w:rPr>
          <w:rStyle w:val="normaltextrun"/>
          <w:rFonts w:ascii="Verdana" w:hAnsi="Verdana" w:cs="Arial"/>
          <w:color w:val="000000"/>
          <w:sz w:val="20"/>
          <w:szCs w:val="20"/>
          <w:lang w:val="es-ES"/>
        </w:rPr>
        <w:t>la misma</w:t>
      </w:r>
      <w:proofErr w:type="gramEnd"/>
      <w:r w:rsidRPr="00556BC7">
        <w:rPr>
          <w:rStyle w:val="normaltextrun"/>
          <w:rFonts w:ascii="Verdana" w:hAnsi="Verdana" w:cs="Arial"/>
          <w:color w:val="000000"/>
          <w:sz w:val="20"/>
          <w:szCs w:val="20"/>
          <w:lang w:val="es-ES"/>
        </w:rPr>
        <w:t>.</w:t>
      </w:r>
      <w:r w:rsidRPr="00556BC7">
        <w:rPr>
          <w:rStyle w:val="eop"/>
          <w:rFonts w:ascii="Verdana" w:hAnsi="Verdana" w:cs="Arial"/>
          <w:color w:val="000000"/>
          <w:sz w:val="20"/>
          <w:szCs w:val="20"/>
        </w:rPr>
        <w:t> </w:t>
      </w:r>
    </w:p>
    <w:p w14:paraId="135BEAA7"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845D1DF"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556BC7">
        <w:rPr>
          <w:rStyle w:val="eop"/>
          <w:rFonts w:ascii="Verdana" w:hAnsi="Verdana" w:cs="Arial"/>
          <w:color w:val="000000"/>
          <w:sz w:val="20"/>
          <w:szCs w:val="20"/>
        </w:rPr>
        <w:t> </w:t>
      </w:r>
    </w:p>
    <w:p w14:paraId="3991439C"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14DB8B38" w14:textId="77777777" w:rsidR="007F4029" w:rsidRPr="00556BC7" w:rsidRDefault="007F4029" w:rsidP="007F4029">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r w:rsidRPr="00556BC7">
        <w:rPr>
          <w:rStyle w:val="eop"/>
          <w:rFonts w:ascii="Verdana" w:hAnsi="Verdana" w:cs="Arial"/>
          <w:color w:val="000000"/>
          <w:sz w:val="20"/>
          <w:szCs w:val="20"/>
        </w:rPr>
        <w:t> </w:t>
      </w:r>
    </w:p>
    <w:p w14:paraId="4578AB20" w14:textId="77777777" w:rsidR="007F4029" w:rsidRPr="00556BC7" w:rsidRDefault="007F4029" w:rsidP="007F4029">
      <w:pPr>
        <w:spacing w:after="0" w:line="276" w:lineRule="auto"/>
        <w:ind w:left="709" w:right="709"/>
        <w:jc w:val="both"/>
        <w:rPr>
          <w:rFonts w:ascii="Verdana" w:eastAsia="Times New Roman" w:hAnsi="Verdana" w:cs="Arial"/>
          <w:lang w:eastAsia="es-CO"/>
        </w:rPr>
      </w:pPr>
    </w:p>
    <w:p w14:paraId="4149C4EA"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46141A20" w14:textId="77777777" w:rsidR="007F4029" w:rsidRPr="00D16A5E" w:rsidRDefault="007F4029" w:rsidP="007F4029">
      <w:pPr>
        <w:spacing w:after="120" w:line="276" w:lineRule="auto"/>
        <w:ind w:right="51" w:firstLine="709"/>
        <w:jc w:val="both"/>
        <w:rPr>
          <w:rFonts w:ascii="Verdana" w:eastAsia="Times New Roman" w:hAnsi="Verdana" w:cs="Arial"/>
          <w:lang w:val="es-ES_tradnl" w:eastAsia="es-ES_tradnl"/>
        </w:rPr>
      </w:pPr>
      <w:r>
        <w:rPr>
          <w:rFonts w:ascii="Verdana" w:eastAsia="Times New Roman" w:hAnsi="Verdana" w:cs="Arial"/>
          <w:i/>
          <w:iCs/>
          <w:lang w:val="es-ES_tradnl" w:eastAsia="es-ES_tradnl"/>
        </w:rPr>
        <w:t>La</w:t>
      </w:r>
      <w:r w:rsidRPr="00D16A5E">
        <w:rPr>
          <w:rFonts w:ascii="Verdana" w:eastAsia="Times New Roman" w:hAnsi="Verdana" w:cs="Arial"/>
          <w:i/>
          <w:iCs/>
          <w:lang w:val="es-ES_tradnl" w:eastAsia="es-ES_tradnl"/>
        </w:rPr>
        <w:t xml:space="preserve"> primer</w:t>
      </w:r>
      <w:r>
        <w:rPr>
          <w:rFonts w:ascii="Verdana" w:eastAsia="Times New Roman" w:hAnsi="Verdana" w:cs="Arial"/>
          <w:i/>
          <w:iCs/>
          <w:lang w:val="es-ES_tradnl" w:eastAsia="es-ES_tradnl"/>
        </w:rPr>
        <w:t xml:space="preserve">a modificación </w:t>
      </w:r>
      <w:r>
        <w:rPr>
          <w:rFonts w:ascii="Verdana" w:eastAsia="Times New Roman" w:hAnsi="Verdana" w:cs="Arial"/>
          <w:lang w:val="es-ES_tradnl" w:eastAsia="es-ES_tradnl"/>
        </w:rPr>
        <w:t xml:space="preserve">está relacionada con </w:t>
      </w:r>
      <w:r w:rsidRPr="00D16A5E">
        <w:rPr>
          <w:rFonts w:ascii="Verdana" w:eastAsia="Times New Roman" w:hAnsi="Verdana" w:cs="Arial"/>
          <w:lang w:val="es-ES_tradnl" w:eastAsia="es-ES_tradnl"/>
        </w:rPr>
        <w:t>el ámbito temporal para ejercer la facultad de subsanar la oferta, pues la Ley 1882 de 2018 fijó una regla general y una excepción. La regla general es que</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D16A5E">
        <w:rPr>
          <w:rFonts w:ascii="Verdana" w:eastAsia="Times New Roman" w:hAnsi="Verdana" w:cs="Arial"/>
          <w:vertAlign w:val="superscript"/>
          <w:lang w:val="es-ES_tradnl" w:eastAsia="es-ES_tradnl"/>
        </w:rPr>
        <w:footnoteReference w:id="4"/>
      </w:r>
      <w:r>
        <w:rPr>
          <w:rFonts w:ascii="Verdana" w:eastAsia="Times New Roman" w:hAnsi="Verdana" w:cs="Arial"/>
          <w:lang w:val="es-ES_tradnl" w:eastAsia="es-ES_tradnl"/>
        </w:rPr>
        <w:t>.</w:t>
      </w:r>
    </w:p>
    <w:p w14:paraId="0C3B24A8" w14:textId="77777777" w:rsidR="007F4029" w:rsidRPr="00D16A5E" w:rsidRDefault="007F4029" w:rsidP="007F4029">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Frente a la regla general aplicable a los demás procesos de selección, la norma fijó un límite final para que la Administración y los oferentes subsanen los requisitos o documentos que puedan y deban ser subsanados</w:t>
      </w:r>
      <w:r>
        <w:rPr>
          <w:rFonts w:ascii="Verdana" w:eastAsia="Times New Roman" w:hAnsi="Verdana" w:cs="Arial"/>
          <w:lang w:val="es-ES_tradnl" w:eastAsia="es-ES_tradnl"/>
        </w:rPr>
        <w:t xml:space="preserve">. No </w:t>
      </w:r>
      <w:proofErr w:type="gramStart"/>
      <w:r>
        <w:rPr>
          <w:rFonts w:ascii="Verdana" w:eastAsia="Times New Roman" w:hAnsi="Verdana" w:cs="Arial"/>
          <w:lang w:val="es-ES_tradnl" w:eastAsia="es-ES_tradnl"/>
        </w:rPr>
        <w:t>obstante</w:t>
      </w:r>
      <w:proofErr w:type="gramEnd"/>
      <w:r>
        <w:rPr>
          <w:rFonts w:ascii="Verdana" w:eastAsia="Times New Roman" w:hAnsi="Verdana" w:cs="Arial"/>
          <w:lang w:val="es-ES_tradnl" w:eastAsia="es-ES_tradnl"/>
        </w:rPr>
        <w:t xml:space="preserve"> </w:t>
      </w:r>
      <w:r>
        <w:rPr>
          <w:rFonts w:ascii="Verdana" w:eastAsia="Times New Roman" w:hAnsi="Verdana" w:cs="Arial"/>
          <w:lang w:val="es-ES_tradnl" w:eastAsia="es-ES_tradnl"/>
        </w:rPr>
        <w:lastRenderedPageBreak/>
        <w:t>lo anterior,</w:t>
      </w:r>
      <w:r w:rsidRPr="00D16A5E">
        <w:rPr>
          <w:rFonts w:ascii="Verdana" w:eastAsia="Times New Roman" w:hAnsi="Verdana" w:cs="Arial"/>
          <w:lang w:val="es-ES_tradnl" w:eastAsia="es-ES_tradnl"/>
        </w:rPr>
        <w:t xml:space="preserve">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D16A5E">
        <w:rPr>
          <w:rFonts w:ascii="Verdana" w:eastAsia="Times New Roman" w:hAnsi="Verdana" w:cs="Arial"/>
          <w:i/>
          <w:iCs/>
          <w:lang w:val="es-ES_tradnl" w:eastAsia="es-ES_tradnl"/>
        </w:rPr>
        <w:t>deberán ser solicitados por las entidades estatales y deberán ser entregados por los proponentes hasta el término de traslado del informe de evaluación que corresponda a cada modalidad de selección”.</w:t>
      </w:r>
      <w:r w:rsidRPr="00D16A5E">
        <w:rPr>
          <w:rFonts w:ascii="Verdana" w:eastAsia="Times New Roman" w:hAnsi="Verdana" w:cs="Arial"/>
          <w:lang w:val="es-ES_tradnl" w:eastAsia="es-ES_tradnl"/>
        </w:rPr>
        <w:t xml:space="preserve"> </w:t>
      </w:r>
    </w:p>
    <w:p w14:paraId="53F9EB24"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Pr>
          <w:rFonts w:ascii="Verdana" w:eastAsia="Times New Roman" w:hAnsi="Verdana" w:cs="Arial"/>
          <w:lang w:val="es-ES" w:eastAsia="es-ES"/>
        </w:rPr>
        <w:t>Sin perjuicio de lo expuesto</w:t>
      </w:r>
      <w:r w:rsidRPr="00D16A5E">
        <w:rPr>
          <w:rFonts w:ascii="Verdana" w:eastAsia="Times New Roman" w:hAnsi="Verdana" w:cs="Arial"/>
          <w:lang w:val="es-ES" w:eastAsia="es-ES"/>
        </w:rPr>
        <w:t>,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w:t>
      </w:r>
      <w:r>
        <w:rPr>
          <w:rFonts w:ascii="Verdana" w:eastAsia="Times New Roman" w:hAnsi="Verdana" w:cs="Arial"/>
          <w:lang w:val="es-ES" w:eastAsia="es-ES"/>
        </w:rPr>
        <w:t>. S</w:t>
      </w:r>
      <w:r w:rsidRPr="00D16A5E">
        <w:rPr>
          <w:rFonts w:ascii="Verdana" w:eastAsia="Times New Roman" w:hAnsi="Verdana" w:cs="Arial"/>
          <w:lang w:val="es-ES" w:eastAsia="es-ES"/>
        </w:rPr>
        <w:t xml:space="preserve">egunda, que el término del traslado del informe de evaluación es el </w:t>
      </w:r>
      <w:r w:rsidRPr="00D16A5E">
        <w:rPr>
          <w:rFonts w:ascii="Verdana" w:eastAsia="Times New Roman" w:hAnsi="Verdana" w:cs="Arial"/>
          <w:i/>
          <w:lang w:val="es-ES" w:eastAsia="es-ES"/>
        </w:rPr>
        <w:t>límite</w:t>
      </w:r>
      <w:r w:rsidRPr="00D16A5E">
        <w:rPr>
          <w:rFonts w:ascii="Verdana" w:eastAsia="Times New Roman" w:hAnsi="Verdana" w:cs="Arial"/>
          <w:lang w:val="es-ES" w:eastAsia="es-ES"/>
        </w:rPr>
        <w:t xml:space="preserve"> para la subsanación de ofertas, pero no el único momento para hacerlo. </w:t>
      </w:r>
    </w:p>
    <w:p w14:paraId="35BEA111" w14:textId="77777777" w:rsidR="007F4029" w:rsidRPr="00D16A5E" w:rsidRDefault="007F4029" w:rsidP="007F4029">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De acuerdo con la primera interpretación, el informe de evaluación se convierte en la oportunidad que adopta la Administración para decirles a los oferentes qué documentos o requisitos omitieron y deben subsanar</w:t>
      </w:r>
      <w:r>
        <w:rPr>
          <w:rFonts w:ascii="Verdana" w:eastAsia="Times New Roman" w:hAnsi="Verdana" w:cs="Arial"/>
          <w:lang w:val="es-ES_tradnl" w:eastAsia="es-ES_tradnl"/>
        </w:rPr>
        <w:t>. C</w:t>
      </w:r>
      <w:r w:rsidRPr="00D16A5E">
        <w:rPr>
          <w:rFonts w:ascii="Verdana" w:eastAsia="Times New Roman" w:hAnsi="Verdana" w:cs="Arial"/>
          <w:lang w:val="es-ES_tradnl" w:eastAsia="es-ES_tradnl"/>
        </w:rPr>
        <w:t xml:space="preserve">onsecuentemente, el término del traslado es la oportunidad del proponente para cumplir con lo solicitado.  </w:t>
      </w:r>
    </w:p>
    <w:p w14:paraId="6D35CC9C" w14:textId="77777777" w:rsidR="007F4029" w:rsidRPr="00D16A5E" w:rsidRDefault="007F4029" w:rsidP="007F4029">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43F768CB"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r>
        <w:rPr>
          <w:rFonts w:ascii="Verdana" w:eastAsia="Times New Roman" w:hAnsi="Verdana" w:cs="Arial"/>
          <w:lang w:val="es-ES" w:eastAsia="es-ES"/>
        </w:rPr>
        <w:t>. I</w:t>
      </w:r>
      <w:r w:rsidRPr="00D16A5E">
        <w:rPr>
          <w:rFonts w:ascii="Verdana" w:eastAsia="Times New Roman" w:hAnsi="Verdana" w:cs="Arial"/>
          <w:lang w:val="es-ES" w:eastAsia="es-ES"/>
        </w:rPr>
        <w:t xml:space="preserve">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w:t>
      </w:r>
      <w:r w:rsidRPr="00D16A5E">
        <w:rPr>
          <w:rFonts w:ascii="Verdana" w:eastAsia="Times New Roman" w:hAnsi="Verdana" w:cs="Arial"/>
          <w:lang w:val="es-ES" w:eastAsia="es-ES"/>
        </w:rPr>
        <w:lastRenderedPageBreak/>
        <w:t>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057C11C9" w14:textId="77777777" w:rsidR="007F4029" w:rsidRPr="00D16A5E" w:rsidRDefault="007F4029" w:rsidP="007F4029">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w:t>
      </w:r>
      <w:r w:rsidRPr="003049F6">
        <w:rPr>
          <w:rFonts w:ascii="Verdana" w:eastAsia="Times New Roman" w:hAnsi="Verdana" w:cs="Arial"/>
          <w:i/>
          <w:iCs/>
          <w:lang w:val="es-ES_tradnl" w:eastAsia="es-ES_tradnl"/>
        </w:rPr>
        <w:t>segundo cambio</w:t>
      </w:r>
      <w:r w:rsidRPr="00D16A5E">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D16A5E">
        <w:rPr>
          <w:rFonts w:ascii="Verdana" w:eastAsia="Times New Roman" w:hAnsi="Verdana" w:cs="Arial"/>
          <w:i/>
          <w:iCs/>
          <w:lang w:val="es-ES_tradnl" w:eastAsia="es-ES_tradnl"/>
        </w:rPr>
        <w:t>“los proponentes no podrán acreditar circunstancias ocurridas con posterioridad al cierre del proceso”.</w:t>
      </w:r>
      <w:r w:rsidRPr="00D16A5E">
        <w:rPr>
          <w:rFonts w:ascii="Verdana" w:eastAsia="Times New Roman" w:hAnsi="Verdana" w:cs="Arial"/>
          <w:lang w:val="es-ES_tradnl" w:eastAsia="es-ES_tradnl"/>
        </w:rPr>
        <w:t xml:space="preserve"> Lo anterior ofrece dos aspectos que merecen clarificación</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primero, qué debe entenderse por circunstancias ocurridas con posterioridad; y segundo, qué es el cierre del proceso. </w:t>
      </w:r>
    </w:p>
    <w:p w14:paraId="03C2FDED"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w:t>
      </w:r>
      <w:r>
        <w:rPr>
          <w:rFonts w:ascii="Verdana" w:eastAsia="Times New Roman" w:hAnsi="Verdana" w:cs="Arial"/>
          <w:lang w:val="es-ES" w:eastAsia="es-ES"/>
        </w:rPr>
        <w:t>n esa ocasión, e</w:t>
      </w:r>
      <w:r w:rsidRPr="00D16A5E">
        <w:rPr>
          <w:rFonts w:ascii="Verdana" w:eastAsia="Times New Roman" w:hAnsi="Verdana" w:cs="Arial"/>
          <w:lang w:val="es-ES" w:eastAsia="es-ES"/>
        </w:rPr>
        <w:t>l Consejo de Estado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por cierre del proceso debe entenderse el vencimiento del plazo para la presentación de las ofertas y que lo subsanable son las circunstancias que ocurrieron con anterioridad a esa fecha</w:t>
      </w:r>
      <w:r w:rsidRPr="00D16A5E">
        <w:rPr>
          <w:rFonts w:ascii="Verdana" w:eastAsia="Times New Roman" w:hAnsi="Verdana" w:cs="Arial"/>
          <w:vertAlign w:val="superscript"/>
          <w:lang w:val="es-ES" w:eastAsia="es-ES"/>
        </w:rPr>
        <w:footnoteReference w:id="5"/>
      </w:r>
      <w:r w:rsidRPr="00D16A5E">
        <w:rPr>
          <w:rFonts w:ascii="Verdana" w:eastAsia="Times New Roman" w:hAnsi="Verdana" w:cs="Arial"/>
          <w:lang w:val="es-ES" w:eastAsia="es-ES"/>
        </w:rPr>
        <w:t>.</w:t>
      </w:r>
    </w:p>
    <w:p w14:paraId="6A941F86" w14:textId="77777777" w:rsidR="007F4029" w:rsidRPr="00D16A5E" w:rsidRDefault="007F4029" w:rsidP="007F4029">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w:t>
      </w:r>
      <w:r w:rsidRPr="00D16A5E">
        <w:rPr>
          <w:rFonts w:ascii="Verdana" w:eastAsia="Times New Roman" w:hAnsi="Verdana" w:cs="Arial"/>
          <w:lang w:val="es-ES_tradnl" w:eastAsia="es-ES_tradnl"/>
        </w:rPr>
        <w:lastRenderedPageBreak/>
        <w:t xml:space="preserve">cumplirlos durante el proceso de selección o, inclusive, que se puedan variar condiciones de la oferta una vez presentada. </w:t>
      </w:r>
    </w:p>
    <w:p w14:paraId="4F8A3AE2"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Un mejor entendimiento del significado de la expresión </w:t>
      </w:r>
      <w:r w:rsidRPr="00D16A5E">
        <w:rPr>
          <w:rFonts w:ascii="Verdana" w:eastAsia="Times New Roman" w:hAnsi="Verdana" w:cs="Arial"/>
          <w:i/>
          <w:lang w:val="es-ES" w:eastAsia="es-ES"/>
        </w:rPr>
        <w:t>“circunstancias ocurridas con posterioridad al cierre del proceso”</w:t>
      </w:r>
      <w:r w:rsidRPr="00D16A5E">
        <w:rPr>
          <w:rFonts w:ascii="Verdana" w:eastAsia="Times New Roman" w:hAnsi="Verdana" w:cs="Arial"/>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D16A5E">
        <w:rPr>
          <w:rFonts w:ascii="Verdana" w:eastAsia="Times New Roman" w:hAnsi="Verdana" w:cs="Arial"/>
          <w:vertAlign w:val="superscript"/>
          <w:lang w:val="es-ES" w:eastAsia="es-ES"/>
        </w:rPr>
        <w:footnoteReference w:id="6"/>
      </w:r>
      <w:r w:rsidRPr="00D16A5E">
        <w:rPr>
          <w:rFonts w:ascii="Verdana" w:eastAsia="Times New Roman" w:hAnsi="Verdana" w:cs="Arial"/>
          <w:lang w:val="es-ES" w:eastAsia="es-ES"/>
        </w:rPr>
        <w:t xml:space="preserve">. </w:t>
      </w:r>
    </w:p>
    <w:p w14:paraId="0501DCD4" w14:textId="77777777" w:rsidR="007F4029" w:rsidRPr="00D16A5E" w:rsidRDefault="007F4029" w:rsidP="007F4029">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16A5E">
        <w:rPr>
          <w:rFonts w:ascii="Verdana" w:eastAsia="Times New Roman" w:hAnsi="Verdana" w:cs="Arial"/>
          <w:vertAlign w:val="superscript"/>
          <w:lang w:val="es-ES" w:eastAsia="es-ES"/>
        </w:rPr>
        <w:footnoteReference w:id="7"/>
      </w:r>
      <w:r w:rsidRPr="00D16A5E">
        <w:rPr>
          <w:rFonts w:ascii="Verdana" w:eastAsia="Times New Roman" w:hAnsi="Verdana" w:cs="Arial"/>
          <w:lang w:val="es-ES" w:eastAsia="es-ES"/>
        </w:rPr>
        <w:t>; iii) si un oferente no anexó el Certificado de existencia y representación legal, el documento aportado con posterioridad debe dar cuenta de que la sociedad existía antes del cierre del proceso</w:t>
      </w:r>
      <w:r w:rsidRPr="00D16A5E">
        <w:rPr>
          <w:rFonts w:ascii="Verdana" w:eastAsia="Times New Roman" w:hAnsi="Verdana" w:cs="Arial"/>
          <w:vertAlign w:val="superscript"/>
          <w:lang w:val="es-ES" w:eastAsia="es-ES"/>
        </w:rPr>
        <w:footnoteReference w:id="8"/>
      </w:r>
      <w:r w:rsidRPr="00D16A5E">
        <w:rPr>
          <w:rFonts w:ascii="Verdana" w:eastAsia="Times New Roman" w:hAnsi="Verdana" w:cs="Arial"/>
          <w:lang w:val="es-ES" w:eastAsia="es-ES"/>
        </w:rPr>
        <w:t xml:space="preserve">; iv) si </w:t>
      </w:r>
      <w:r w:rsidRPr="00D16A5E">
        <w:rPr>
          <w:rFonts w:ascii="Verdana" w:eastAsia="Times New Roman" w:hAnsi="Verdana" w:cs="Arial"/>
          <w:lang w:val="es-ES" w:eastAsia="es-ES"/>
        </w:rPr>
        <w:lastRenderedPageBreak/>
        <w:t xml:space="preserve">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338153A2" w14:textId="77777777" w:rsidR="007F4029" w:rsidRDefault="007F4029" w:rsidP="007F4029">
      <w:pPr>
        <w:spacing w:after="120" w:line="276" w:lineRule="auto"/>
        <w:ind w:firstLine="709"/>
        <w:jc w:val="both"/>
        <w:rPr>
          <w:rFonts w:ascii="Verdana" w:eastAsia="Times New Roman" w:hAnsi="Verdana" w:cs="Arial"/>
          <w:i/>
          <w:lang w:val="es-ES" w:eastAsia="es-ES"/>
        </w:rPr>
      </w:pPr>
      <w:r w:rsidRPr="00D16A5E">
        <w:rPr>
          <w:rFonts w:ascii="Verdana" w:eastAsia="Times New Roman" w:hAnsi="Verdana" w:cs="Arial"/>
          <w:lang w:val="es-ES" w:eastAsia="es-ES"/>
        </w:rPr>
        <w:t>Lo anterior quiere decir que no es la prueba –usualmente un documento– lo que debe ser anterior al cierre del proceso, sino el hecho que ella acredita</w:t>
      </w:r>
      <w:r>
        <w:rPr>
          <w:rFonts w:ascii="Verdana" w:eastAsia="Times New Roman" w:hAnsi="Verdana" w:cs="Arial"/>
          <w:lang w:val="es-ES" w:eastAsia="es-ES"/>
        </w:rPr>
        <w:t>. E</w:t>
      </w:r>
      <w:r w:rsidRPr="00D16A5E">
        <w:rPr>
          <w:rFonts w:ascii="Verdana" w:eastAsia="Times New Roman" w:hAnsi="Verdana" w:cs="Arial"/>
          <w:lang w:val="es-ES" w:eastAsia="es-ES"/>
        </w:rPr>
        <w:t xml:space="preserv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D16A5E">
        <w:rPr>
          <w:rFonts w:ascii="Verdana" w:eastAsia="Times New Roman" w:hAnsi="Verdana" w:cs="Arial"/>
          <w:lang w:val="es-ES" w:eastAsia="es-ES"/>
        </w:rPr>
        <w:t>que</w:t>
      </w:r>
      <w:proofErr w:type="gramEnd"/>
      <w:r w:rsidRPr="00D16A5E">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16A5E">
        <w:rPr>
          <w:rFonts w:ascii="Verdana" w:eastAsia="Times New Roman" w:hAnsi="Verdana" w:cs="Arial"/>
          <w:vertAlign w:val="superscript"/>
          <w:lang w:val="es-ES" w:eastAsia="es-ES"/>
        </w:rPr>
        <w:footnoteReference w:id="9"/>
      </w:r>
      <w:r w:rsidRPr="00D16A5E">
        <w:rPr>
          <w:rFonts w:ascii="Verdana" w:eastAsia="Times New Roman" w:hAnsi="Verdana" w:cs="Arial"/>
          <w:lang w:val="es-ES" w:eastAsia="es-ES"/>
        </w:rPr>
        <w:t>.</w:t>
      </w:r>
    </w:p>
    <w:p w14:paraId="0372448C" w14:textId="77777777" w:rsidR="007F4029" w:rsidRPr="009F4606" w:rsidRDefault="007F4029" w:rsidP="007F4029">
      <w:pPr>
        <w:spacing w:after="120" w:line="276" w:lineRule="auto"/>
        <w:ind w:firstLine="709"/>
        <w:jc w:val="both"/>
        <w:rPr>
          <w:rStyle w:val="eop"/>
          <w:rFonts w:ascii="Verdana" w:hAnsi="Verdana" w:cs="Arial"/>
          <w:color w:val="000000"/>
        </w:rPr>
      </w:pPr>
      <w:r w:rsidRPr="00246D72">
        <w:rPr>
          <w:rFonts w:ascii="Verdana" w:eastAsia="Times New Roman" w:hAnsi="Verdana" w:cs="Arial"/>
          <w:iCs/>
          <w:lang w:val="es-ES" w:eastAsia="es-ES"/>
        </w:rPr>
        <w:t>Ahora bien,</w:t>
      </w:r>
      <w:r>
        <w:rPr>
          <w:rFonts w:ascii="Verdana" w:eastAsia="Times New Roman" w:hAnsi="Verdana" w:cs="Arial"/>
          <w:i/>
          <w:lang w:val="es-ES" w:eastAsia="es-ES"/>
        </w:rPr>
        <w:t xml:space="preserve"> e</w:t>
      </w:r>
      <w:r w:rsidRPr="009F4606">
        <w:rPr>
          <w:rStyle w:val="normaltextrun"/>
          <w:rFonts w:ascii="Verdana" w:hAnsi="Verdana" w:cs="Arial"/>
          <w:color w:val="000000"/>
          <w:lang w:val="es-ES"/>
        </w:rPr>
        <w:t xml:space="preserve">l parágrafo 3 del artículo 5 de la Ley 1882 de 2018 determinó, de manera expresa, que </w:t>
      </w:r>
      <w:r>
        <w:rPr>
          <w:rStyle w:val="normaltextrun"/>
          <w:rFonts w:ascii="Verdana" w:hAnsi="Verdana" w:cs="Arial"/>
          <w:color w:val="000000"/>
          <w:lang w:val="es-ES"/>
        </w:rPr>
        <w:t>“</w:t>
      </w:r>
      <w:r w:rsidRPr="009F4606">
        <w:rPr>
          <w:rStyle w:val="normaltextrun"/>
          <w:rFonts w:ascii="Verdana" w:hAnsi="Verdana" w:cs="Arial"/>
          <w:color w:val="000000"/>
          <w:lang w:val="es-ES"/>
        </w:rPr>
        <w:t xml:space="preserve">la no entrega de la garantía de seriedad junto con la propuesta no será subsanable y será causal de rechazo de </w:t>
      </w:r>
      <w:proofErr w:type="gramStart"/>
      <w:r w:rsidRPr="009F4606">
        <w:rPr>
          <w:rStyle w:val="normaltextrun"/>
          <w:rFonts w:ascii="Verdana" w:hAnsi="Verdana" w:cs="Arial"/>
          <w:color w:val="000000"/>
          <w:lang w:val="es-ES"/>
        </w:rPr>
        <w:t>la misma</w:t>
      </w:r>
      <w:proofErr w:type="gramEnd"/>
      <w:r>
        <w:rPr>
          <w:rStyle w:val="normaltextrun"/>
          <w:rFonts w:ascii="Verdana" w:hAnsi="Verdana" w:cs="Arial"/>
          <w:color w:val="000000"/>
          <w:lang w:val="es-ES"/>
        </w:rPr>
        <w:t>”</w:t>
      </w:r>
      <w:r w:rsidRPr="009F4606">
        <w:rPr>
          <w:rStyle w:val="normaltextrun"/>
          <w:rFonts w:ascii="Verdana" w:hAnsi="Verdana" w:cs="Arial"/>
          <w:color w:val="000000"/>
          <w:lang w:val="es-ES"/>
        </w:rPr>
        <w:t>, dejando claro que se trata de un documento de obligatoria presentación junto con la propuesta y que materializa los principios de seriedad e irrevocabilidad de la oferta.</w:t>
      </w:r>
      <w:r w:rsidRPr="009F4606">
        <w:rPr>
          <w:rStyle w:val="eop"/>
          <w:rFonts w:ascii="Verdana" w:hAnsi="Verdana" w:cs="Arial"/>
          <w:color w:val="000000"/>
        </w:rPr>
        <w:t> </w:t>
      </w:r>
    </w:p>
    <w:p w14:paraId="51BC6867" w14:textId="77777777" w:rsidR="007F4029" w:rsidRDefault="007F4029" w:rsidP="007F4029">
      <w:pPr>
        <w:spacing w:after="120" w:line="276" w:lineRule="auto"/>
        <w:ind w:firstLine="709"/>
        <w:jc w:val="both"/>
        <w:rPr>
          <w:rFonts w:ascii="Verdana" w:eastAsia="Times New Roman" w:hAnsi="Verdana" w:cs="Arial"/>
          <w:lang w:val="es-ES" w:eastAsia="es-ES"/>
        </w:rPr>
      </w:pPr>
      <w:r w:rsidRPr="50927A94">
        <w:rPr>
          <w:rFonts w:ascii="Verdana" w:eastAsia="Times New Roman" w:hAnsi="Verdana" w:cs="Arial"/>
          <w:lang w:val="es-ES" w:eastAsia="es-ES"/>
        </w:rPr>
        <w:t>Visto lo anterior,</w:t>
      </w:r>
      <w:r>
        <w:rPr>
          <w:rFonts w:ascii="Verdana" w:eastAsia="Times New Roman" w:hAnsi="Verdana" w:cs="Arial"/>
          <w:lang w:val="es-ES" w:eastAsia="es-ES"/>
        </w:rPr>
        <w:t xml:space="preserve"> con miras a dar respuesta al problema jurídico planteado, debe decirse que,</w:t>
      </w:r>
      <w:r w:rsidRPr="50927A94">
        <w:rPr>
          <w:rFonts w:ascii="Verdana" w:eastAsia="Times New Roman" w:hAnsi="Verdana" w:cs="Arial"/>
          <w:lang w:val="es-ES" w:eastAsia="es-ES"/>
        </w:rPr>
        <w:t xml:space="preserve"> una vez verificada la ausencia de requisitos y/o documentos de la oferta, para efectos de saber si se pueden subsanar, la Administración se debe preguntar</w:t>
      </w:r>
      <w:r>
        <w:rPr>
          <w:rFonts w:ascii="Verdana" w:eastAsia="Times New Roman" w:hAnsi="Verdana" w:cs="Arial"/>
          <w:lang w:val="es-ES" w:eastAsia="es-ES"/>
        </w:rPr>
        <w:t xml:space="preserve">: </w:t>
      </w:r>
      <w:r w:rsidRPr="50927A94">
        <w:rPr>
          <w:rFonts w:ascii="Verdana" w:eastAsia="Times New Roman" w:hAnsi="Verdana" w:cs="Arial"/>
          <w:lang w:val="es-ES" w:eastAsia="es-ES"/>
        </w:rPr>
        <w:t>en primer lugar, si lo que hace falta es un documento que afecte la asignación de puntaje o no y</w:t>
      </w:r>
      <w:r>
        <w:rPr>
          <w:rFonts w:ascii="Verdana" w:eastAsia="Times New Roman" w:hAnsi="Verdana" w:cs="Arial"/>
          <w:lang w:val="es-ES" w:eastAsia="es-ES"/>
        </w:rPr>
        <w:t>;</w:t>
      </w:r>
      <w:r w:rsidRPr="50927A94">
        <w:rPr>
          <w:rFonts w:ascii="Verdana" w:eastAsia="Times New Roman" w:hAnsi="Verdana" w:cs="Arial"/>
          <w:lang w:val="es-ES" w:eastAsia="es-ES"/>
        </w:rPr>
        <w:t xml:space="preserve">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w:t>
      </w:r>
      <w:r w:rsidRPr="50927A94">
        <w:rPr>
          <w:rFonts w:ascii="Verdana" w:eastAsia="Times New Roman" w:hAnsi="Verdana" w:cs="Arial"/>
          <w:lang w:val="es-ES" w:eastAsia="es-ES"/>
        </w:rPr>
        <w:lastRenderedPageBreak/>
        <w:t>respuesta al segundo interrogante debe dar cuenta de que lo omitido sea la prueba de una circunstancia o hecho que ocurrió con anterioridad al cierre del proceso.</w:t>
      </w:r>
    </w:p>
    <w:p w14:paraId="43FE2470" w14:textId="77777777" w:rsidR="007F4029" w:rsidRDefault="007F4029" w:rsidP="007F4029">
      <w:pPr>
        <w:spacing w:after="120" w:line="276" w:lineRule="auto"/>
        <w:ind w:firstLine="709"/>
        <w:jc w:val="both"/>
        <w:rPr>
          <w:rFonts w:ascii="Verdana" w:hAnsi="Verdana" w:cs="Arial"/>
          <w:noProof/>
          <w:lang w:val="es-ES_tradnl"/>
        </w:rPr>
      </w:pPr>
      <w:r w:rsidRPr="00D16A5E">
        <w:rPr>
          <w:rFonts w:ascii="Verdana" w:hAnsi="Verdana" w:cs="Arial"/>
          <w:noProof/>
          <w:lang w:val="es-ES_tradnl"/>
        </w:rPr>
        <w:t>En conclusion</w:t>
      </w:r>
      <w:r>
        <w:rPr>
          <w:rFonts w:ascii="Verdana" w:hAnsi="Verdana" w:cs="Arial"/>
          <w:noProof/>
          <w:lang w:val="es-ES_tradnl"/>
        </w:rPr>
        <w:t xml:space="preserve">, </w:t>
      </w:r>
      <w:r w:rsidRPr="00D16A5E">
        <w:rPr>
          <w:rFonts w:ascii="Verdana" w:hAnsi="Verdana" w:cs="Arial"/>
          <w:noProof/>
          <w:lang w:val="es-ES_tradnl"/>
        </w:rPr>
        <w:t>los requisitos o documentos que no sean necesarios para la comparación de las ofertas pueden subsanarse y todo lo que no sea necesario para la comparación de propuestas no es título suficiente para su rechazo</w:t>
      </w:r>
      <w:r>
        <w:rPr>
          <w:rFonts w:ascii="Verdana" w:hAnsi="Verdana" w:cs="Arial"/>
          <w:noProof/>
          <w:lang w:val="es-ES_tradnl"/>
        </w:rPr>
        <w:t xml:space="preserve">. En sentido, si en un concurso de méritos </w:t>
      </w:r>
      <w:r w:rsidRPr="003471F6">
        <w:rPr>
          <w:rFonts w:ascii="Verdana" w:hAnsi="Verdana" w:cs="Arial"/>
          <w:noProof/>
          <w:lang w:val="es-ES_tradnl"/>
        </w:rPr>
        <w:t>se presentó a un profesional para cumplir con un perfil</w:t>
      </w:r>
      <w:r>
        <w:rPr>
          <w:rFonts w:ascii="Verdana" w:hAnsi="Verdana" w:cs="Arial"/>
          <w:noProof/>
          <w:lang w:val="es-ES_tradnl"/>
        </w:rPr>
        <w:t xml:space="preserve"> </w:t>
      </w:r>
      <w:r w:rsidRPr="003471F6">
        <w:rPr>
          <w:rFonts w:ascii="Verdana" w:hAnsi="Verdana" w:cs="Arial"/>
          <w:noProof/>
          <w:lang w:val="es-ES_tradnl"/>
        </w:rPr>
        <w:t>solicitado como requisito habilitante</w:t>
      </w:r>
      <w:r>
        <w:rPr>
          <w:rFonts w:ascii="Verdana" w:hAnsi="Verdana" w:cs="Arial"/>
          <w:noProof/>
          <w:lang w:val="es-ES_tradnl"/>
        </w:rPr>
        <w:t xml:space="preserve">, pero la entidad encontró alguna inconsistencia, podría subsanarse el requisito habilitante. </w:t>
      </w:r>
    </w:p>
    <w:p w14:paraId="07C8C18B" w14:textId="77777777" w:rsidR="007F4029" w:rsidRPr="003716E2" w:rsidRDefault="007F4029" w:rsidP="007F4029">
      <w:pPr>
        <w:spacing w:after="120" w:line="276" w:lineRule="auto"/>
        <w:ind w:firstLine="709"/>
        <w:jc w:val="both"/>
        <w:rPr>
          <w:rFonts w:ascii="Verdana" w:hAnsi="Verdana" w:cs="Arial"/>
          <w:noProof/>
          <w:lang w:val="es-ES_tradnl"/>
        </w:rPr>
      </w:pPr>
      <w:r w:rsidRPr="003716E2">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3BB5B7B4" w14:textId="77777777" w:rsidR="007F4029" w:rsidRPr="003716E2" w:rsidRDefault="007F4029" w:rsidP="007F4029">
      <w:pPr>
        <w:spacing w:after="120" w:line="276" w:lineRule="auto"/>
        <w:ind w:firstLine="709"/>
        <w:jc w:val="both"/>
        <w:rPr>
          <w:rFonts w:ascii="Verdana" w:eastAsia="Times New Roman" w:hAnsi="Verdana" w:cs="Arial"/>
          <w:i/>
          <w:lang w:val="es-ES" w:eastAsia="es-ES"/>
        </w:rPr>
      </w:pPr>
      <w:r w:rsidRPr="003716E2">
        <w:rPr>
          <w:rFonts w:ascii="Verdana" w:hAnsi="Verdana" w:cs="Arial"/>
          <w:noProof/>
          <w:lang w:val="es-ES_tradnl"/>
        </w:rPr>
        <w:t>Finalmente, debe señalarse que, e</w:t>
      </w:r>
      <w:r w:rsidRPr="003716E2">
        <w:rPr>
          <w:rFonts w:ascii="Verdana" w:hAnsi="Verdana" w:cs="Arial"/>
        </w:rPr>
        <w:t>n el concurso de méritos es posible que la Entidad en el pliego de condiciones haya establecido criterios de puntaje respecto de los mismos perfiles que se han exigido como habilitantes, en dicho caso será posible subsanar el requisito habilitante pero no podrá asignársele puntaje.</w:t>
      </w:r>
    </w:p>
    <w:p w14:paraId="455555CC" w14:textId="77777777" w:rsidR="007F4029" w:rsidRPr="00593A5F" w:rsidRDefault="007F4029" w:rsidP="007F4029">
      <w:pPr>
        <w:widowControl w:val="0"/>
        <w:autoSpaceDE w:val="0"/>
        <w:autoSpaceDN w:val="0"/>
        <w:spacing w:after="0" w:line="276" w:lineRule="auto"/>
        <w:jc w:val="both"/>
        <w:rPr>
          <w:rFonts w:ascii="Verdana" w:hAnsi="Verdana" w:cs="Arial"/>
        </w:rPr>
      </w:pPr>
    </w:p>
    <w:p w14:paraId="75C9520A" w14:textId="77777777" w:rsidR="007F4029" w:rsidRPr="00593A5F"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75D4F28" w14:textId="77777777" w:rsidR="007F4029" w:rsidRPr="00593A5F" w:rsidRDefault="007F4029" w:rsidP="007F402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F4029" w:rsidRPr="00593A5F" w14:paraId="1804B538" w14:textId="77777777" w:rsidTr="00576AAE">
        <w:trPr>
          <w:trHeight w:val="870"/>
        </w:trPr>
        <w:tc>
          <w:tcPr>
            <w:tcW w:w="8647" w:type="dxa"/>
          </w:tcPr>
          <w:p w14:paraId="61B27F61" w14:textId="77777777" w:rsidR="007F4029" w:rsidRPr="00D16A5E" w:rsidRDefault="007F4029" w:rsidP="007F4029">
            <w:pPr>
              <w:pStyle w:val="Prrafodelista"/>
              <w:numPr>
                <w:ilvl w:val="0"/>
                <w:numId w:val="17"/>
              </w:numPr>
              <w:spacing w:after="120" w:line="276" w:lineRule="auto"/>
              <w:ind w:left="360"/>
              <w:jc w:val="both"/>
              <w:rPr>
                <w:rFonts w:ascii="Verdana" w:hAnsi="Verdana" w:cs="Arial"/>
                <w:noProof/>
                <w:lang w:val="es-ES_tradnl"/>
              </w:rPr>
            </w:pPr>
            <w:r>
              <w:rPr>
                <w:rFonts w:ascii="Verdana" w:hAnsi="Verdana" w:cs="Arial"/>
                <w:noProof/>
                <w:lang w:val="es-ES_tradnl"/>
              </w:rPr>
              <w:t>A</w:t>
            </w:r>
            <w:r w:rsidRPr="009F4606">
              <w:rPr>
                <w:rFonts w:ascii="Verdana" w:hAnsi="Verdana" w:cs="Arial"/>
                <w:noProof/>
                <w:lang w:val="es-ES_tradnl"/>
              </w:rPr>
              <w:t>rtículo 5 de la Ley 1150 de 2007, modificado por la Ley 1882 de 2018, parágrafos 1, 3 y 4.</w:t>
            </w:r>
            <w:r>
              <w:rPr>
                <w:rFonts w:ascii="Verdana" w:hAnsi="Verdana" w:cs="Arial"/>
                <w:noProof/>
                <w:lang w:val="es-ES_tradnl"/>
              </w:rPr>
              <w:t xml:space="preserve"> </w:t>
            </w:r>
          </w:p>
          <w:p w14:paraId="17CDA1E1" w14:textId="77777777" w:rsidR="007F4029" w:rsidRDefault="007F4029" w:rsidP="007F4029">
            <w:pPr>
              <w:pStyle w:val="Prrafodelista"/>
              <w:numPr>
                <w:ilvl w:val="0"/>
                <w:numId w:val="17"/>
              </w:numPr>
              <w:spacing w:after="120" w:line="276" w:lineRule="auto"/>
              <w:ind w:left="360"/>
              <w:jc w:val="both"/>
              <w:rPr>
                <w:rFonts w:ascii="Verdana" w:hAnsi="Verdana" w:cs="Arial"/>
                <w:noProof/>
                <w:lang w:val="es-ES_tradnl"/>
              </w:rPr>
            </w:pPr>
            <w:r w:rsidRPr="009F4606">
              <w:rPr>
                <w:rFonts w:ascii="Verdana" w:hAnsi="Verdana" w:cs="Arial"/>
                <w:noProof/>
                <w:lang w:val="es-ES_tradnl"/>
              </w:rPr>
              <w:t>Consejo de Estado. Sala de Consulta y Servicio Civil. Concepto del 20 de mayo de 2010. Exp. 1.992. C.P. Enrique José Arboleda Perdomo.</w:t>
            </w:r>
          </w:p>
          <w:p w14:paraId="46C7EEF5" w14:textId="77777777" w:rsidR="007F4029" w:rsidRDefault="007F4029" w:rsidP="007F4029">
            <w:pPr>
              <w:pStyle w:val="Prrafodelista"/>
              <w:numPr>
                <w:ilvl w:val="0"/>
                <w:numId w:val="17"/>
              </w:numPr>
              <w:spacing w:after="120" w:line="276" w:lineRule="auto"/>
              <w:ind w:left="360"/>
              <w:jc w:val="both"/>
              <w:rPr>
                <w:rFonts w:ascii="Verdana" w:hAnsi="Verdana" w:cs="Arial"/>
                <w:noProof/>
                <w:lang w:val="es-ES_tradnl"/>
              </w:rPr>
            </w:pPr>
            <w:r w:rsidRPr="00F97212">
              <w:rPr>
                <w:rFonts w:ascii="Verdana" w:hAnsi="Verdana" w:cs="Arial"/>
                <w:noProof/>
                <w:lang w:val="es-ES_tradnl"/>
              </w:rPr>
              <w:t>Consejo De Estado. Sección Tercera. Subsección C. Sentencia del 26 de febrero de 2014. Expediente: 25.804. Consejero Ponente: Enrique Gil Botero</w:t>
            </w:r>
            <w:r>
              <w:rPr>
                <w:rFonts w:ascii="Verdana" w:hAnsi="Verdana" w:cs="Arial"/>
                <w:noProof/>
                <w:lang w:val="es-ES_tradnl"/>
              </w:rPr>
              <w:t>.</w:t>
            </w:r>
          </w:p>
          <w:p w14:paraId="7F270C02" w14:textId="77777777" w:rsidR="007F4029" w:rsidRPr="00F97212" w:rsidRDefault="007F4029" w:rsidP="007F4029">
            <w:pPr>
              <w:pStyle w:val="Prrafodelista"/>
              <w:numPr>
                <w:ilvl w:val="0"/>
                <w:numId w:val="17"/>
              </w:numPr>
              <w:spacing w:after="120" w:line="276" w:lineRule="auto"/>
              <w:ind w:left="360"/>
              <w:jc w:val="both"/>
              <w:rPr>
                <w:rFonts w:ascii="Verdana" w:hAnsi="Verdana" w:cs="Arial"/>
                <w:noProof/>
                <w:lang w:val="es-ES_tradnl"/>
              </w:rPr>
            </w:pPr>
            <w:r w:rsidRPr="00F97212">
              <w:rPr>
                <w:rFonts w:ascii="Verdana" w:hAnsi="Verdana" w:cs="Arial"/>
                <w:noProof/>
                <w:lang w:val="es-ES_tradnl"/>
              </w:rPr>
              <w:t>Consejo De Estado, Sección Tercera, Subsección C. Sentencia del 26 de febrero de 2011. C.P. Jaime Orlando Santofimio. Rad. 36.408.</w:t>
            </w:r>
          </w:p>
        </w:tc>
      </w:tr>
    </w:tbl>
    <w:p w14:paraId="07A8EF01" w14:textId="77777777" w:rsidR="007F4029" w:rsidRPr="00593A5F" w:rsidRDefault="007F4029" w:rsidP="007F4029">
      <w:pPr>
        <w:widowControl w:val="0"/>
        <w:autoSpaceDE w:val="0"/>
        <w:autoSpaceDN w:val="0"/>
        <w:spacing w:after="0" w:line="276" w:lineRule="auto"/>
        <w:jc w:val="both"/>
        <w:rPr>
          <w:rFonts w:ascii="Verdana" w:hAnsi="Verdana" w:cs="Arial"/>
        </w:rPr>
      </w:pPr>
    </w:p>
    <w:p w14:paraId="76E59BAD" w14:textId="77777777" w:rsidR="007F4029" w:rsidRPr="00593A5F" w:rsidRDefault="007F4029" w:rsidP="007F40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1924364" w14:textId="77777777" w:rsidR="007F4029" w:rsidRPr="00593A5F" w:rsidRDefault="007F4029" w:rsidP="007F4029">
      <w:pPr>
        <w:widowControl w:val="0"/>
        <w:autoSpaceDE w:val="0"/>
        <w:autoSpaceDN w:val="0"/>
        <w:spacing w:after="0" w:line="276" w:lineRule="auto"/>
        <w:jc w:val="both"/>
        <w:rPr>
          <w:rFonts w:ascii="Verdana" w:hAnsi="Verdana" w:cs="Arial"/>
        </w:rPr>
      </w:pPr>
    </w:p>
    <w:p w14:paraId="433043CC" w14:textId="77777777" w:rsidR="007F4029" w:rsidRPr="00525E10" w:rsidRDefault="007F4029" w:rsidP="007F4029">
      <w:pPr>
        <w:widowControl w:val="0"/>
        <w:autoSpaceDE w:val="0"/>
        <w:autoSpaceDN w:val="0"/>
        <w:spacing w:after="0" w:line="276" w:lineRule="auto"/>
        <w:jc w:val="both"/>
        <w:rPr>
          <w:rStyle w:val="normaltextrun"/>
          <w:rFonts w:ascii="Verdana" w:hAnsi="Verdana" w:cs="Arial"/>
          <w:shd w:val="clear" w:color="auto" w:fill="FFFFFF"/>
          <w:lang w:val="es-ES"/>
        </w:rPr>
      </w:pPr>
      <w:r w:rsidRPr="00D16A5E">
        <w:rPr>
          <w:rFonts w:ascii="Verdana" w:eastAsia="Calibri" w:hAnsi="Verdana" w:cs="Arial"/>
          <w:lang w:val="es-ES" w:eastAsia="es-ES"/>
        </w:rPr>
        <w:t xml:space="preserve">Sobre la </w:t>
      </w:r>
      <w:r w:rsidRPr="00D16A5E">
        <w:rPr>
          <w:rFonts w:ascii="Verdana" w:eastAsia="Calibri" w:hAnsi="Verdana" w:cs="Arial"/>
          <w:lang w:val="es-ES"/>
        </w:rPr>
        <w:t>regla de subsanabilidad en los procesos de selección,</w:t>
      </w:r>
      <w:r w:rsidRPr="00D16A5E">
        <w:rPr>
          <w:rStyle w:val="superscript"/>
          <w:rFonts w:ascii="Verdana" w:hAnsi="Verdana" w:cs="Arial"/>
          <w:shd w:val="clear" w:color="auto" w:fill="FFFFFF"/>
          <w:lang w:val="es-ES"/>
        </w:rPr>
        <w:t xml:space="preserve"> </w:t>
      </w:r>
      <w:r w:rsidRPr="00D16A5E">
        <w:rPr>
          <w:rStyle w:val="normaltextrun"/>
          <w:rFonts w:ascii="Verdana" w:hAnsi="Verdana" w:cs="Arial"/>
          <w:shd w:val="clear" w:color="auto" w:fill="FFFFFF"/>
          <w:lang w:val="es-ES"/>
        </w:rPr>
        <w:t xml:space="preserve">se pronunció esta Subdirección </w:t>
      </w:r>
      <w:r w:rsidRPr="00D16A5E">
        <w:rPr>
          <w:rFonts w:ascii="Verdana" w:eastAsia="Calibri" w:hAnsi="Verdana" w:cs="Arial"/>
          <w:lang w:val="es-ES"/>
        </w:rPr>
        <w:t xml:space="preserve">en los conceptos 4201913000007643 del 26 de diciembre de 2019, C-343 del 17 de junio de 2020, C-518 del 9 de septiembre de 2020, C-614 del 5 de octubre de 2022, C-882 del 21 de diciembre de 2022 y C-172 del 6 de junio de 2023.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1"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shd w:val="clear" w:color="auto" w:fill="FFFFFF"/>
          <w:lang w:val="es-ES"/>
        </w:rPr>
        <w:t>.</w:t>
      </w:r>
    </w:p>
    <w:p w14:paraId="2DA5B53D" w14:textId="77777777" w:rsidR="007F4029" w:rsidRPr="00593A5F" w:rsidRDefault="007F4029" w:rsidP="007F4029">
      <w:pPr>
        <w:widowControl w:val="0"/>
        <w:autoSpaceDE w:val="0"/>
        <w:autoSpaceDN w:val="0"/>
        <w:spacing w:after="0" w:line="276" w:lineRule="auto"/>
        <w:jc w:val="both"/>
        <w:rPr>
          <w:rFonts w:ascii="Verdana" w:hAnsi="Verdana" w:cs="Arial"/>
        </w:rPr>
      </w:pPr>
    </w:p>
    <w:p w14:paraId="4926AD9E" w14:textId="77777777" w:rsidR="007F4029" w:rsidRPr="00593A5F" w:rsidRDefault="007F4029" w:rsidP="007F402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BDF52AC" w14:textId="77777777" w:rsidR="007F4029" w:rsidRPr="00593A5F" w:rsidRDefault="007F4029" w:rsidP="007F4029">
      <w:pPr>
        <w:widowControl w:val="0"/>
        <w:autoSpaceDE w:val="0"/>
        <w:autoSpaceDN w:val="0"/>
        <w:spacing w:after="0" w:line="276" w:lineRule="auto"/>
        <w:jc w:val="both"/>
        <w:rPr>
          <w:rFonts w:ascii="Verdana" w:hAnsi="Verdana" w:cs="Arial"/>
        </w:rPr>
      </w:pPr>
    </w:p>
    <w:p w14:paraId="71738D3D" w14:textId="77777777" w:rsidR="007F4029" w:rsidRPr="00593A5F" w:rsidRDefault="007F4029" w:rsidP="007F402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8FE47A1" w14:textId="32B4A071" w:rsidR="007F4029" w:rsidRPr="00593A5F" w:rsidRDefault="00A65E5B" w:rsidP="007F4029">
      <w:pPr>
        <w:spacing w:line="276" w:lineRule="auto"/>
        <w:jc w:val="center"/>
        <w:rPr>
          <w:rFonts w:ascii="Verdana" w:hAnsi="Verdana" w:cs="Arial"/>
          <w:color w:val="000000"/>
          <w:lang w:val="es-ES_tradnl" w:eastAsia="es-CO"/>
        </w:rPr>
      </w:pPr>
      <w:r>
        <w:rPr>
          <w:noProof/>
        </w:rPr>
        <w:drawing>
          <wp:inline distT="0" distB="0" distL="0" distR="0" wp14:anchorId="567BD0B0" wp14:editId="6701CE45">
            <wp:extent cx="3355975" cy="109220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rotWithShape="1">
                    <a:blip r:embed="rId12"/>
                    <a:srcRect t="12330"/>
                    <a:stretch/>
                  </pic:blipFill>
                  <pic:spPr bwMode="auto">
                    <a:xfrm>
                      <a:off x="0" y="0"/>
                      <a:ext cx="3355975" cy="1092200"/>
                    </a:xfrm>
                    <a:prstGeom prst="rect">
                      <a:avLst/>
                    </a:prstGeom>
                    <a:ln>
                      <a:noFill/>
                    </a:ln>
                    <a:extLst>
                      <a:ext uri="{53640926-AAD7-44D8-BBD7-CCE9431645EC}">
                        <a14:shadowObscured xmlns:a14="http://schemas.microsoft.com/office/drawing/2010/main"/>
                      </a:ext>
                    </a:extLst>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F4029" w:rsidRPr="00D16A5E" w14:paraId="410DB3B5" w14:textId="77777777" w:rsidTr="00576AAE">
        <w:trPr>
          <w:trHeight w:val="409"/>
        </w:trPr>
        <w:tc>
          <w:tcPr>
            <w:tcW w:w="817" w:type="dxa"/>
            <w:tcBorders>
              <w:top w:val="nil"/>
              <w:left w:val="nil"/>
              <w:bottom w:val="nil"/>
              <w:right w:val="nil"/>
            </w:tcBorders>
            <w:vAlign w:val="center"/>
            <w:hideMark/>
          </w:tcPr>
          <w:p w14:paraId="4E0EF009" w14:textId="77777777" w:rsidR="007F4029" w:rsidRPr="00D16A5E" w:rsidRDefault="007F4029" w:rsidP="00576AAE">
            <w:pPr>
              <w:spacing w:after="0" w:line="240" w:lineRule="auto"/>
              <w:jc w:val="both"/>
              <w:rPr>
                <w:rFonts w:ascii="Verdana" w:hAnsi="Verdana" w:cs="Arial"/>
                <w:sz w:val="16"/>
                <w:szCs w:val="16"/>
              </w:rPr>
            </w:pPr>
            <w:r w:rsidRPr="00D16A5E">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E1B6F8C" w14:textId="77777777" w:rsidR="007F4029" w:rsidRPr="00D16A5E" w:rsidRDefault="007F4029" w:rsidP="00576AAE">
            <w:pPr>
              <w:spacing w:after="0" w:line="240" w:lineRule="auto"/>
              <w:jc w:val="both"/>
              <w:rPr>
                <w:rFonts w:ascii="Verdana" w:hAnsi="Verdana" w:cs="Arial"/>
                <w:sz w:val="16"/>
                <w:szCs w:val="16"/>
              </w:rPr>
            </w:pPr>
            <w:r>
              <w:rPr>
                <w:rFonts w:ascii="Verdana" w:hAnsi="Verdana" w:cs="Arial"/>
                <w:sz w:val="16"/>
                <w:szCs w:val="16"/>
              </w:rPr>
              <w:t>Diana Lucia Saavedra Castañeda</w:t>
            </w:r>
          </w:p>
          <w:p w14:paraId="6D932560" w14:textId="77777777" w:rsidR="007F4029" w:rsidRPr="00D16A5E" w:rsidRDefault="007F4029" w:rsidP="00576AAE">
            <w:pPr>
              <w:spacing w:after="0" w:line="240" w:lineRule="auto"/>
              <w:jc w:val="both"/>
              <w:rPr>
                <w:rFonts w:ascii="Verdana" w:hAnsi="Verdana" w:cs="Arial"/>
                <w:sz w:val="16"/>
                <w:szCs w:val="16"/>
              </w:rPr>
            </w:pPr>
            <w:r w:rsidRPr="00D16A5E">
              <w:rPr>
                <w:rFonts w:ascii="Verdana" w:hAnsi="Verdana" w:cs="Arial"/>
                <w:sz w:val="16"/>
                <w:szCs w:val="16"/>
              </w:rPr>
              <w:t>Contratista de la Subdirección de Gestión Contractual</w:t>
            </w:r>
          </w:p>
        </w:tc>
      </w:tr>
      <w:tr w:rsidR="007F4029" w:rsidRPr="00D16A5E" w14:paraId="0D535FD3" w14:textId="77777777" w:rsidTr="00576AAE">
        <w:trPr>
          <w:trHeight w:val="409"/>
        </w:trPr>
        <w:tc>
          <w:tcPr>
            <w:tcW w:w="817" w:type="dxa"/>
            <w:tcBorders>
              <w:top w:val="nil"/>
              <w:left w:val="nil"/>
              <w:right w:val="nil"/>
            </w:tcBorders>
            <w:vAlign w:val="center"/>
          </w:tcPr>
          <w:p w14:paraId="45B40CE2" w14:textId="77777777" w:rsidR="007F4029" w:rsidRPr="00D16A5E" w:rsidRDefault="007F4029" w:rsidP="00576AAE">
            <w:pPr>
              <w:spacing w:after="0"/>
              <w:jc w:val="both"/>
              <w:rPr>
                <w:rFonts w:ascii="Verdana" w:hAnsi="Verdana" w:cs="Arial"/>
                <w:sz w:val="16"/>
                <w:szCs w:val="16"/>
              </w:rPr>
            </w:pPr>
            <w:r w:rsidRPr="00D16A5E">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75F03AF" w14:textId="77777777" w:rsidR="007F4029" w:rsidRPr="00D16A5E" w:rsidRDefault="007F4029" w:rsidP="00576AAE">
            <w:pPr>
              <w:spacing w:after="0" w:line="240" w:lineRule="auto"/>
              <w:jc w:val="both"/>
              <w:rPr>
                <w:rStyle w:val="normaltextrun"/>
                <w:rFonts w:ascii="Verdana" w:eastAsia="Times New Roman" w:hAnsi="Verdana" w:cs="Segoe UI"/>
                <w:color w:val="000000" w:themeColor="text1"/>
                <w:sz w:val="16"/>
                <w:szCs w:val="16"/>
                <w:lang w:eastAsia="es-CO"/>
              </w:rPr>
            </w:pPr>
            <w:r w:rsidRPr="00D16A5E">
              <w:rPr>
                <w:rStyle w:val="normaltextrun"/>
                <w:rFonts w:ascii="Verdana" w:eastAsia="Times New Roman" w:hAnsi="Verdana" w:cs="Segoe UI"/>
                <w:color w:val="000000" w:themeColor="text1"/>
                <w:sz w:val="16"/>
                <w:szCs w:val="16"/>
                <w:lang w:eastAsia="es-CO"/>
              </w:rPr>
              <w:t>Alejandro Sarmiento Cantillo</w:t>
            </w:r>
          </w:p>
          <w:p w14:paraId="031D124A" w14:textId="77777777" w:rsidR="007F4029" w:rsidRPr="00D16A5E" w:rsidRDefault="007F4029" w:rsidP="00576AAE">
            <w:pPr>
              <w:spacing w:after="0" w:line="240" w:lineRule="auto"/>
              <w:jc w:val="both"/>
              <w:rPr>
                <w:rFonts w:ascii="Verdana" w:hAnsi="Verdana" w:cs="Arial"/>
                <w:sz w:val="16"/>
                <w:szCs w:val="16"/>
              </w:rPr>
            </w:pPr>
            <w:r w:rsidRPr="00D16A5E">
              <w:rPr>
                <w:rStyle w:val="normaltextrun"/>
                <w:rFonts w:ascii="Verdana" w:eastAsia="Times New Roman" w:hAnsi="Verdana" w:cs="Segoe UI"/>
                <w:color w:val="000000" w:themeColor="text1"/>
                <w:sz w:val="16"/>
                <w:szCs w:val="16"/>
                <w:lang w:eastAsia="es-CO"/>
              </w:rPr>
              <w:t xml:space="preserve">Gestor T1 </w:t>
            </w:r>
            <w:r w:rsidRPr="00D16A5E">
              <w:rPr>
                <w:rStyle w:val="normaltextrun"/>
                <w:rFonts w:ascii="Verdana" w:eastAsia="Times New Roman" w:hAnsi="Verdana" w:cs="Arial"/>
                <w:color w:val="000000" w:themeColor="text1"/>
                <w:sz w:val="16"/>
                <w:szCs w:val="16"/>
                <w:lang w:eastAsia="es-CO"/>
              </w:rPr>
              <w:t>‒</w:t>
            </w:r>
            <w:r w:rsidRPr="00D16A5E">
              <w:rPr>
                <w:rStyle w:val="normaltextrun"/>
                <w:rFonts w:ascii="Verdana" w:eastAsia="Times New Roman" w:hAnsi="Verdana" w:cs="Segoe UI"/>
                <w:color w:val="000000" w:themeColor="text1"/>
                <w:sz w:val="16"/>
                <w:szCs w:val="16"/>
                <w:lang w:eastAsia="es-CO"/>
              </w:rPr>
              <w:t xml:space="preserve"> 15 de la Subdirección de Gestión Contractual</w:t>
            </w:r>
          </w:p>
        </w:tc>
      </w:tr>
      <w:tr w:rsidR="007F4029" w:rsidRPr="00D16A5E" w14:paraId="08950483" w14:textId="77777777" w:rsidTr="00576AAE">
        <w:trPr>
          <w:trHeight w:val="389"/>
        </w:trPr>
        <w:tc>
          <w:tcPr>
            <w:tcW w:w="817" w:type="dxa"/>
            <w:tcBorders>
              <w:top w:val="nil"/>
              <w:left w:val="nil"/>
              <w:bottom w:val="nil"/>
              <w:right w:val="nil"/>
            </w:tcBorders>
            <w:vAlign w:val="center"/>
            <w:hideMark/>
          </w:tcPr>
          <w:p w14:paraId="528FEB4F" w14:textId="77777777" w:rsidR="007F4029" w:rsidRPr="00D16A5E" w:rsidRDefault="007F4029" w:rsidP="00576AAE">
            <w:pPr>
              <w:spacing w:after="0" w:line="240" w:lineRule="auto"/>
              <w:jc w:val="both"/>
              <w:rPr>
                <w:rFonts w:ascii="Verdana" w:hAnsi="Verdana" w:cs="Arial"/>
                <w:sz w:val="16"/>
                <w:szCs w:val="16"/>
              </w:rPr>
            </w:pPr>
            <w:r w:rsidRPr="00D16A5E">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643155F" w14:textId="77777777" w:rsidR="007F4029" w:rsidRPr="00D16A5E" w:rsidRDefault="007F4029" w:rsidP="00576AAE">
            <w:pPr>
              <w:spacing w:after="0"/>
              <w:rPr>
                <w:rFonts w:ascii="Verdana" w:eastAsia="Calibri" w:hAnsi="Verdana" w:cs="Arial"/>
                <w:sz w:val="16"/>
                <w:szCs w:val="16"/>
                <w:lang w:val="pt-BR" w:eastAsia="es-ES"/>
              </w:rPr>
            </w:pPr>
            <w:r w:rsidRPr="00D16A5E">
              <w:rPr>
                <w:rFonts w:ascii="Verdana" w:eastAsia="Calibri" w:hAnsi="Verdana" w:cs="Arial"/>
                <w:sz w:val="16"/>
                <w:szCs w:val="16"/>
                <w:lang w:val="pt-BR" w:eastAsia="es-ES"/>
              </w:rPr>
              <w:t>Carolina Quintero Gacharná</w:t>
            </w:r>
          </w:p>
          <w:p w14:paraId="0697CCB6" w14:textId="77777777" w:rsidR="007F4029" w:rsidRPr="00D16A5E" w:rsidRDefault="007F4029" w:rsidP="00576AAE">
            <w:pPr>
              <w:spacing w:after="0" w:line="240" w:lineRule="auto"/>
              <w:jc w:val="both"/>
              <w:rPr>
                <w:rFonts w:ascii="Verdana" w:hAnsi="Verdana" w:cs="Arial"/>
                <w:sz w:val="16"/>
                <w:szCs w:val="16"/>
              </w:rPr>
            </w:pPr>
            <w:r w:rsidRPr="00D16A5E">
              <w:rPr>
                <w:rFonts w:ascii="Verdana" w:hAnsi="Verdana" w:cs="Arial"/>
                <w:sz w:val="16"/>
                <w:szCs w:val="16"/>
              </w:rPr>
              <w:t>Subdirectora de Gestión Contractual ANCP – CCE</w:t>
            </w:r>
          </w:p>
        </w:tc>
      </w:tr>
    </w:tbl>
    <w:p w14:paraId="57DAD760" w14:textId="77777777" w:rsidR="007F4029" w:rsidRPr="00D16A5E" w:rsidRDefault="007F4029" w:rsidP="007F4029">
      <w:pPr>
        <w:pStyle w:val="Default"/>
        <w:tabs>
          <w:tab w:val="left" w:pos="2864"/>
        </w:tabs>
        <w:jc w:val="both"/>
        <w:rPr>
          <w:rFonts w:ascii="Verdana" w:hAnsi="Verdana"/>
          <w:sz w:val="22"/>
          <w:szCs w:val="22"/>
          <w:lang w:val="es-ES"/>
        </w:rPr>
      </w:pPr>
    </w:p>
    <w:p w14:paraId="01856A27" w14:textId="77777777" w:rsidR="007F4029" w:rsidRPr="00B87B77" w:rsidRDefault="007F4029" w:rsidP="007F4029">
      <w:pPr>
        <w:spacing w:after="0" w:line="240" w:lineRule="auto"/>
        <w:rPr>
          <w:rFonts w:ascii="Verdana" w:eastAsia="Times New Roman" w:hAnsi="Verdana" w:cs="Arial"/>
          <w:sz w:val="24"/>
          <w:szCs w:val="24"/>
          <w:lang w:val="es-ES" w:eastAsia="es-ES"/>
        </w:rPr>
      </w:pPr>
    </w:p>
    <w:bookmarkEnd w:id="0"/>
    <w:p w14:paraId="28FD63B1" w14:textId="77777777" w:rsidR="007F4029" w:rsidRPr="007F4029" w:rsidRDefault="007F4029" w:rsidP="00E245AB">
      <w:pPr>
        <w:spacing w:after="0"/>
        <w:rPr>
          <w:rFonts w:ascii="Verdana" w:hAnsi="Verdana"/>
          <w:lang w:val="es-ES"/>
        </w:rPr>
      </w:pPr>
    </w:p>
    <w:sectPr w:rsidR="007F4029" w:rsidRPr="007F4029"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E3E06E" w14:textId="77777777" w:rsidR="002A26EB" w:rsidRDefault="002A26EB" w:rsidP="004A1847">
      <w:pPr>
        <w:spacing w:after="0" w:line="240" w:lineRule="auto"/>
      </w:pPr>
      <w:r>
        <w:separator/>
      </w:r>
    </w:p>
  </w:endnote>
  <w:endnote w:type="continuationSeparator" w:id="0">
    <w:p w14:paraId="79138C52" w14:textId="77777777" w:rsidR="002A26EB" w:rsidRDefault="002A26E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150F34" w14:textId="77777777" w:rsidR="002A26EB" w:rsidRDefault="002A26EB" w:rsidP="004A1847">
      <w:pPr>
        <w:spacing w:after="0" w:line="240" w:lineRule="auto"/>
      </w:pPr>
      <w:r>
        <w:separator/>
      </w:r>
    </w:p>
  </w:footnote>
  <w:footnote w:type="continuationSeparator" w:id="0">
    <w:p w14:paraId="0EAD9D58" w14:textId="77777777" w:rsidR="002A26EB" w:rsidRDefault="002A26EB" w:rsidP="004A1847">
      <w:pPr>
        <w:spacing w:after="0" w:line="240" w:lineRule="auto"/>
      </w:pPr>
      <w:r>
        <w:continuationSeparator/>
      </w:r>
    </w:p>
  </w:footnote>
  <w:footnote w:id="1">
    <w:p w14:paraId="157907AC" w14:textId="792B6825" w:rsidR="007F4029" w:rsidRPr="00B74530"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Ley 80 de 1993. Art. 30.7: </w:t>
      </w:r>
      <w:r w:rsidR="00B74530">
        <w:rPr>
          <w:rFonts w:ascii="Verdana" w:hAnsi="Verdana" w:cs="Arial"/>
          <w:color w:val="000000"/>
          <w:sz w:val="16"/>
          <w:szCs w:val="16"/>
        </w:rPr>
        <w:t>“</w:t>
      </w:r>
      <w:r w:rsidRPr="00B74530">
        <w:rPr>
          <w:rFonts w:ascii="Verdana" w:hAnsi="Verdana" w:cs="Arial"/>
          <w:color w:val="000000"/>
          <w:sz w:val="16"/>
          <w:szCs w:val="16"/>
        </w:rPr>
        <w:t>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sidR="00B74530">
        <w:rPr>
          <w:rFonts w:ascii="Verdana" w:hAnsi="Verdana" w:cs="Arial"/>
          <w:color w:val="000000"/>
          <w:sz w:val="16"/>
          <w:szCs w:val="16"/>
        </w:rPr>
        <w:t>”</w:t>
      </w:r>
      <w:r w:rsidRPr="00B74530">
        <w:rPr>
          <w:rFonts w:ascii="Verdana" w:hAnsi="Verdana" w:cs="Arial"/>
          <w:color w:val="000000"/>
          <w:sz w:val="16"/>
          <w:szCs w:val="16"/>
        </w:rPr>
        <w:t xml:space="preserve">. </w:t>
      </w:r>
    </w:p>
    <w:p w14:paraId="5F280CE7" w14:textId="77777777" w:rsidR="007F4029" w:rsidRPr="00B74530" w:rsidRDefault="007F4029" w:rsidP="007F4029">
      <w:pPr>
        <w:pStyle w:val="Textonotapie"/>
        <w:ind w:firstLine="709"/>
        <w:jc w:val="both"/>
        <w:rPr>
          <w:rFonts w:ascii="Verdana" w:hAnsi="Verdana" w:cs="Arial"/>
          <w:color w:val="000000"/>
          <w:sz w:val="16"/>
          <w:szCs w:val="16"/>
        </w:rPr>
      </w:pPr>
    </w:p>
  </w:footnote>
  <w:footnote w:id="2">
    <w:p w14:paraId="1E83D555" w14:textId="560493DC" w:rsidR="007F4029"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Ley 80 de 1993. Art. 30.8: </w:t>
      </w:r>
      <w:r w:rsidR="00B74530">
        <w:rPr>
          <w:rFonts w:ascii="Verdana" w:hAnsi="Verdana" w:cs="Arial"/>
          <w:color w:val="000000"/>
          <w:sz w:val="16"/>
          <w:szCs w:val="16"/>
        </w:rPr>
        <w:t>“</w:t>
      </w:r>
      <w:r w:rsidRPr="00B74530">
        <w:rPr>
          <w:rFonts w:ascii="Verdana" w:hAnsi="Verdana" w:cs="Arial"/>
          <w:color w:val="000000"/>
          <w:sz w:val="16"/>
          <w:szCs w:val="16"/>
        </w:rPr>
        <w:t>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r w:rsidR="00B74530">
        <w:rPr>
          <w:rFonts w:ascii="Verdana" w:hAnsi="Verdana" w:cs="Arial"/>
          <w:color w:val="000000"/>
          <w:sz w:val="16"/>
          <w:szCs w:val="16"/>
        </w:rPr>
        <w:t>”</w:t>
      </w:r>
      <w:r w:rsidRPr="00B74530">
        <w:rPr>
          <w:rFonts w:ascii="Verdana" w:hAnsi="Verdana" w:cs="Arial"/>
          <w:color w:val="000000"/>
          <w:sz w:val="16"/>
          <w:szCs w:val="16"/>
        </w:rPr>
        <w:t>.</w:t>
      </w:r>
    </w:p>
    <w:p w14:paraId="6049731F" w14:textId="77777777" w:rsidR="00B74530" w:rsidRPr="00B74530" w:rsidRDefault="00B74530" w:rsidP="007F4029">
      <w:pPr>
        <w:pStyle w:val="Textonotapie"/>
        <w:ind w:firstLine="709"/>
        <w:jc w:val="both"/>
        <w:rPr>
          <w:rFonts w:ascii="Verdana" w:hAnsi="Verdana" w:cs="Arial"/>
          <w:color w:val="000000"/>
          <w:sz w:val="16"/>
          <w:szCs w:val="16"/>
        </w:rPr>
      </w:pPr>
    </w:p>
  </w:footnote>
  <w:footnote w:id="3">
    <w:p w14:paraId="2B05F78A" w14:textId="08B2BF90" w:rsidR="00B74530" w:rsidRPr="00B74530" w:rsidRDefault="007F4029" w:rsidP="00B74530">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CONSEJO DE ESTADO. Sección Tercera. Subsección C. Sentencia del 26 de febrero de 2014. Expediente: 25.804. Consejero Ponente: Enrique Gil Botero.</w:t>
      </w:r>
      <w:r w:rsidRPr="00B74530">
        <w:rPr>
          <w:rFonts w:ascii="Verdana" w:hAnsi="Verdana"/>
          <w:sz w:val="16"/>
          <w:szCs w:val="16"/>
        </w:rPr>
        <w:t xml:space="preserve"> </w:t>
      </w:r>
      <w:hyperlink r:id="rId1" w:history="1">
        <w:r w:rsidRPr="00B74530">
          <w:rPr>
            <w:rStyle w:val="Hipervnculo"/>
            <w:rFonts w:ascii="Verdana" w:hAnsi="Verdana" w:cs="Arial"/>
            <w:sz w:val="16"/>
            <w:szCs w:val="16"/>
          </w:rPr>
          <w:t>https://relatoria.colombiacompra.gov.co/providencias-consejo-de-estado/</w:t>
        </w:r>
      </w:hyperlink>
      <w:r w:rsidRPr="00B74530">
        <w:rPr>
          <w:rFonts w:ascii="Verdana" w:hAnsi="Verdana" w:cs="Arial"/>
          <w:color w:val="000000"/>
          <w:sz w:val="16"/>
          <w:szCs w:val="16"/>
        </w:rPr>
        <w:t xml:space="preserve"> </w:t>
      </w:r>
    </w:p>
  </w:footnote>
  <w:footnote w:id="4">
    <w:p w14:paraId="7230B9E5" w14:textId="77777777" w:rsidR="007F4029" w:rsidRPr="00B74530"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Style w:val="Refdenotaalpie"/>
          <w:rFonts w:ascii="Verdana" w:hAnsi="Verdana" w:cs="Arial"/>
          <w:color w:val="000000"/>
          <w:sz w:val="16"/>
          <w:szCs w:val="16"/>
        </w:rPr>
        <w:t xml:space="preserve"> </w:t>
      </w:r>
      <w:r w:rsidRPr="00B74530">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525882A6" w14:textId="77777777" w:rsidR="007F4029" w:rsidRPr="00B74530" w:rsidRDefault="007F4029" w:rsidP="007F4029">
      <w:pPr>
        <w:pStyle w:val="Textonotapie"/>
        <w:ind w:firstLine="709"/>
        <w:jc w:val="both"/>
        <w:rPr>
          <w:rFonts w:ascii="Verdana" w:hAnsi="Verdana" w:cs="Arial"/>
          <w:color w:val="000000"/>
          <w:sz w:val="16"/>
          <w:szCs w:val="16"/>
        </w:rPr>
      </w:pPr>
    </w:p>
  </w:footnote>
  <w:footnote w:id="5">
    <w:p w14:paraId="2898E8E8" w14:textId="77777777" w:rsidR="007F4029" w:rsidRPr="00B74530"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72E56961" w14:textId="77777777" w:rsidR="00B74530" w:rsidRDefault="00B74530" w:rsidP="007F4029">
      <w:pPr>
        <w:pStyle w:val="Textonotapie"/>
        <w:ind w:firstLine="709"/>
        <w:jc w:val="both"/>
        <w:rPr>
          <w:rFonts w:ascii="Verdana" w:hAnsi="Verdana" w:cs="Arial"/>
          <w:color w:val="000000"/>
          <w:sz w:val="16"/>
          <w:szCs w:val="16"/>
        </w:rPr>
      </w:pPr>
    </w:p>
    <w:p w14:paraId="0D2BD484" w14:textId="76B9EF8D" w:rsidR="007F4029" w:rsidRDefault="007F4029" w:rsidP="007F4029">
      <w:pPr>
        <w:pStyle w:val="Textonotapie"/>
        <w:ind w:firstLine="709"/>
        <w:jc w:val="both"/>
        <w:rPr>
          <w:rFonts w:ascii="Verdana" w:hAnsi="Verdana" w:cs="Arial"/>
          <w:color w:val="000000"/>
          <w:sz w:val="16"/>
          <w:szCs w:val="16"/>
        </w:rPr>
      </w:pPr>
      <w:r w:rsidRPr="00B74530">
        <w:rPr>
          <w:rFonts w:ascii="Verdana" w:hAnsi="Verdana" w:cs="Arial"/>
          <w:color w:val="000000"/>
          <w:sz w:val="16"/>
          <w:szCs w:val="16"/>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00B74530">
        <w:rPr>
          <w:rFonts w:ascii="Verdana" w:hAnsi="Verdana" w:cs="Arial"/>
          <w:color w:val="000000"/>
          <w:sz w:val="16"/>
          <w:szCs w:val="16"/>
        </w:rPr>
        <w:t>.</w:t>
      </w:r>
      <w:r w:rsidRPr="00B74530">
        <w:rPr>
          <w:rFonts w:ascii="Verdana" w:hAnsi="Verdana" w:cs="Arial"/>
          <w:color w:val="000000"/>
          <w:sz w:val="16"/>
          <w:szCs w:val="16"/>
        </w:rPr>
        <w:t xml:space="preserve"> (Consejo de Estado. Sala de Consulta y Servicio Civil. Concepto del 6 de noviembre de 2008. Expediente: 1927. Consejero Ponente: William Zambrano Cetina).</w:t>
      </w:r>
    </w:p>
    <w:p w14:paraId="56BBE134" w14:textId="77777777" w:rsidR="00B74530" w:rsidRPr="00B74530" w:rsidRDefault="00B74530" w:rsidP="007F4029">
      <w:pPr>
        <w:pStyle w:val="Textonotapie"/>
        <w:ind w:firstLine="709"/>
        <w:jc w:val="both"/>
        <w:rPr>
          <w:rFonts w:ascii="Verdana" w:hAnsi="Verdana" w:cs="Arial"/>
          <w:color w:val="000000"/>
          <w:sz w:val="16"/>
          <w:szCs w:val="16"/>
        </w:rPr>
      </w:pPr>
    </w:p>
  </w:footnote>
  <w:footnote w:id="6">
    <w:p w14:paraId="65848353" w14:textId="77777777" w:rsidR="007F4029" w:rsidRPr="00B74530"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sz w:val="16"/>
          <w:szCs w:val="16"/>
        </w:rPr>
        <w:footnoteRef/>
      </w:r>
      <w:r w:rsidRPr="00B74530">
        <w:rPr>
          <w:rFonts w:ascii="Verdana" w:hAnsi="Verdana" w:cs="Arial"/>
          <w:sz w:val="16"/>
          <w:szCs w:val="16"/>
        </w:rPr>
        <w:t xml:space="preserve"> </w:t>
      </w:r>
      <w:r w:rsidRPr="00B74530">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27AEE9E9" w14:textId="77777777" w:rsidR="007F4029" w:rsidRPr="00B74530" w:rsidRDefault="007F4029" w:rsidP="007F4029">
      <w:pPr>
        <w:pStyle w:val="Textonotapie"/>
        <w:ind w:firstLine="709"/>
        <w:jc w:val="both"/>
        <w:rPr>
          <w:rFonts w:ascii="Verdana" w:hAnsi="Verdana" w:cs="Arial"/>
          <w:color w:val="000000"/>
          <w:sz w:val="16"/>
          <w:szCs w:val="16"/>
        </w:rPr>
      </w:pPr>
    </w:p>
    <w:p w14:paraId="7C50528D" w14:textId="77777777" w:rsidR="007F4029" w:rsidRPr="00B74530" w:rsidRDefault="007F4029" w:rsidP="007F4029">
      <w:pPr>
        <w:pStyle w:val="Textonotapie"/>
        <w:ind w:firstLine="709"/>
        <w:jc w:val="both"/>
        <w:rPr>
          <w:rFonts w:ascii="Verdana" w:hAnsi="Verdana" w:cs="Arial"/>
          <w:color w:val="000000"/>
          <w:sz w:val="16"/>
          <w:szCs w:val="16"/>
        </w:rPr>
      </w:pPr>
      <w:r w:rsidRPr="00B74530">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2" w:history="1">
        <w:r w:rsidRPr="00B74530">
          <w:rPr>
            <w:rStyle w:val="Hipervnculo"/>
            <w:rFonts w:ascii="Verdana" w:hAnsi="Verdana" w:cs="Arial"/>
            <w:sz w:val="16"/>
            <w:szCs w:val="16"/>
          </w:rPr>
          <w:t>https://www.colombiacompra.gov.co/circulares?page=2</w:t>
        </w:r>
      </w:hyperlink>
      <w:r w:rsidRPr="00B74530">
        <w:rPr>
          <w:rStyle w:val="Hipervnculo"/>
          <w:rFonts w:ascii="Verdana" w:hAnsi="Verdana" w:cs="Arial"/>
          <w:color w:val="000000"/>
          <w:sz w:val="16"/>
          <w:szCs w:val="16"/>
        </w:rPr>
        <w:t xml:space="preserve"> </w:t>
      </w:r>
    </w:p>
    <w:p w14:paraId="307BF34B" w14:textId="77777777" w:rsidR="007F4029" w:rsidRPr="00B74530" w:rsidRDefault="007F4029" w:rsidP="007F4029">
      <w:pPr>
        <w:pStyle w:val="Textonotapie"/>
        <w:ind w:firstLine="709"/>
        <w:jc w:val="both"/>
        <w:rPr>
          <w:rFonts w:ascii="Verdana" w:hAnsi="Verdana" w:cs="Arial"/>
          <w:color w:val="000000"/>
          <w:sz w:val="16"/>
          <w:szCs w:val="16"/>
        </w:rPr>
      </w:pPr>
    </w:p>
  </w:footnote>
  <w:footnote w:id="7">
    <w:p w14:paraId="1E3158B1" w14:textId="77777777" w:rsidR="007F4029" w:rsidRPr="00B74530"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Ver CONSEJO DE ESTADO, Sección Tercera, Subsección C. Sentencia del 26 de febrero de 2011. C.P. Jaime Orlando Santofimio. Rad. 36.408. </w:t>
      </w:r>
    </w:p>
  </w:footnote>
  <w:footnote w:id="8">
    <w:p w14:paraId="66244CF9" w14:textId="77777777" w:rsidR="007F4029" w:rsidRPr="00B74530" w:rsidRDefault="007F4029" w:rsidP="007F4029">
      <w:pPr>
        <w:pStyle w:val="Textonotapie"/>
        <w:ind w:firstLine="709"/>
        <w:jc w:val="both"/>
        <w:rPr>
          <w:rFonts w:ascii="Verdana" w:hAnsi="Verdana" w:cs="Arial"/>
          <w:color w:val="000000"/>
          <w:sz w:val="16"/>
          <w:szCs w:val="16"/>
        </w:rPr>
      </w:pPr>
    </w:p>
    <w:p w14:paraId="19A9E206" w14:textId="77777777" w:rsidR="007F4029" w:rsidRPr="00B74530" w:rsidRDefault="007F4029" w:rsidP="007F4029">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Ver CONSEJO DE ESTADO, Sección Tercera, Subsección C. Sentencia del 26 de febrero de 2014. C.P. Enrique Gil Botero. Rad. 25.804. </w:t>
      </w:r>
    </w:p>
    <w:p w14:paraId="2550B36F" w14:textId="77777777" w:rsidR="007F4029" w:rsidRPr="00B74530" w:rsidRDefault="007F4029" w:rsidP="007F4029">
      <w:pPr>
        <w:pStyle w:val="Textonotapie"/>
        <w:ind w:firstLine="709"/>
        <w:jc w:val="both"/>
        <w:rPr>
          <w:rFonts w:ascii="Verdana" w:hAnsi="Verdana" w:cs="Arial"/>
          <w:color w:val="000000"/>
          <w:sz w:val="16"/>
          <w:szCs w:val="16"/>
        </w:rPr>
      </w:pPr>
    </w:p>
  </w:footnote>
  <w:footnote w:id="9">
    <w:p w14:paraId="24006618" w14:textId="77777777" w:rsidR="007F4029" w:rsidRPr="00B74530" w:rsidRDefault="007F4029" w:rsidP="007F4029">
      <w:pPr>
        <w:pStyle w:val="Textonotapie"/>
        <w:ind w:firstLine="708"/>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CONSEJO DE ESTADO. Sala de Consulta y Servicio Civil. Concepto del 20 de mayo de 2010. Expediente: 1992. Consejero Ponente: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330140246">
    <w:abstractNumId w:val="0"/>
  </w:num>
  <w:num w:numId="17" w16cid:durableId="7840391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25105"/>
    <w:rsid w:val="00127233"/>
    <w:rsid w:val="0013231B"/>
    <w:rsid w:val="001742EF"/>
    <w:rsid w:val="001B3729"/>
    <w:rsid w:val="001E4177"/>
    <w:rsid w:val="001F7DC6"/>
    <w:rsid w:val="002421BB"/>
    <w:rsid w:val="0025796E"/>
    <w:rsid w:val="002707A2"/>
    <w:rsid w:val="002951A0"/>
    <w:rsid w:val="002962BC"/>
    <w:rsid w:val="002A093D"/>
    <w:rsid w:val="002A0DD0"/>
    <w:rsid w:val="002A26EB"/>
    <w:rsid w:val="002A49AC"/>
    <w:rsid w:val="002A64FD"/>
    <w:rsid w:val="002C7A84"/>
    <w:rsid w:val="002E4FD9"/>
    <w:rsid w:val="00322A85"/>
    <w:rsid w:val="00324168"/>
    <w:rsid w:val="003448F4"/>
    <w:rsid w:val="00374F5E"/>
    <w:rsid w:val="00377E3E"/>
    <w:rsid w:val="003A26D1"/>
    <w:rsid w:val="003A779E"/>
    <w:rsid w:val="003D0F4D"/>
    <w:rsid w:val="003D5B0D"/>
    <w:rsid w:val="003E0499"/>
    <w:rsid w:val="003F3941"/>
    <w:rsid w:val="003F66A0"/>
    <w:rsid w:val="00406575"/>
    <w:rsid w:val="0042722E"/>
    <w:rsid w:val="0044528D"/>
    <w:rsid w:val="004A1847"/>
    <w:rsid w:val="004A305D"/>
    <w:rsid w:val="004A434F"/>
    <w:rsid w:val="004F21C4"/>
    <w:rsid w:val="004F685F"/>
    <w:rsid w:val="005566E8"/>
    <w:rsid w:val="00574867"/>
    <w:rsid w:val="00591460"/>
    <w:rsid w:val="00592628"/>
    <w:rsid w:val="005C3777"/>
    <w:rsid w:val="005C5CDC"/>
    <w:rsid w:val="005D476C"/>
    <w:rsid w:val="00600FC2"/>
    <w:rsid w:val="00610812"/>
    <w:rsid w:val="006219F8"/>
    <w:rsid w:val="00650FF7"/>
    <w:rsid w:val="00665D70"/>
    <w:rsid w:val="00671DAC"/>
    <w:rsid w:val="006900D9"/>
    <w:rsid w:val="006D12F8"/>
    <w:rsid w:val="00706C16"/>
    <w:rsid w:val="00756841"/>
    <w:rsid w:val="007649AB"/>
    <w:rsid w:val="00771D0C"/>
    <w:rsid w:val="007833AC"/>
    <w:rsid w:val="007B268C"/>
    <w:rsid w:val="007B7171"/>
    <w:rsid w:val="007C0C0F"/>
    <w:rsid w:val="007C3DC2"/>
    <w:rsid w:val="007E5497"/>
    <w:rsid w:val="007F4029"/>
    <w:rsid w:val="00806F5F"/>
    <w:rsid w:val="00820278"/>
    <w:rsid w:val="008843B6"/>
    <w:rsid w:val="00891928"/>
    <w:rsid w:val="008A446D"/>
    <w:rsid w:val="008D180B"/>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573A4"/>
    <w:rsid w:val="00A65E5B"/>
    <w:rsid w:val="00AA65AB"/>
    <w:rsid w:val="00AB0ADB"/>
    <w:rsid w:val="00B01B1A"/>
    <w:rsid w:val="00B72CD3"/>
    <w:rsid w:val="00B72FFF"/>
    <w:rsid w:val="00B74530"/>
    <w:rsid w:val="00B80EB2"/>
    <w:rsid w:val="00BC39F8"/>
    <w:rsid w:val="00BC3D36"/>
    <w:rsid w:val="00BD7F72"/>
    <w:rsid w:val="00BF72DF"/>
    <w:rsid w:val="00C02E1B"/>
    <w:rsid w:val="00C04FB3"/>
    <w:rsid w:val="00C330EB"/>
    <w:rsid w:val="00C754BE"/>
    <w:rsid w:val="00C76B1C"/>
    <w:rsid w:val="00CB6357"/>
    <w:rsid w:val="00CC1B26"/>
    <w:rsid w:val="00CE7555"/>
    <w:rsid w:val="00D02612"/>
    <w:rsid w:val="00D11BE7"/>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D1331"/>
    <w:rsid w:val="00EE1AA8"/>
    <w:rsid w:val="00EF2AF0"/>
    <w:rsid w:val="00F31EDC"/>
    <w:rsid w:val="00F462B3"/>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F402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F4029"/>
    <w:rPr>
      <w:rFonts w:ascii="Geomanist Light" w:hAnsi="Geomanist Light"/>
      <w:lang w:val="es-ES"/>
    </w:rPr>
  </w:style>
  <w:style w:type="character" w:customStyle="1" w:styleId="superscript">
    <w:name w:val="superscript"/>
    <w:basedOn w:val="Fuentedeprrafopredeter"/>
    <w:rsid w:val="007F4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irculares?page=2" TargetMode="External"/><Relationship Id="rId1" Type="http://schemas.openxmlformats.org/officeDocument/2006/relationships/hyperlink" Target="https://relatoria.colombiacompra.gov.co/providencias-consejo-de-estad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339028-584F-471D-B514-DF6AD2DE9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5529</Words>
  <Characters>30413</Characters>
  <Application>Microsoft Office Word</Application>
  <DocSecurity>0</DocSecurity>
  <Lines>253</Lines>
  <Paragraphs>71</Paragraphs>
  <ScaleCrop>false</ScaleCrop>
  <Company/>
  <LinksUpToDate>false</LinksUpToDate>
  <CharactersWithSpaces>35871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6</cp:revision>
  <cp:lastPrinted>2023-01-10T21:18:00Z</cp:lastPrinted>
  <dcterms:created xsi:type="dcterms:W3CDTF">2024-09-20T01:43:00Z</dcterms:created>
  <dcterms:modified xsi:type="dcterms:W3CDTF">2024-10-17T15:32:00Z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