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2B09" w14:textId="77777777" w:rsidR="00375D9B" w:rsidRPr="00172EEC" w:rsidRDefault="00375D9B" w:rsidP="00375D9B">
      <w:pPr>
        <w:tabs>
          <w:tab w:val="left" w:pos="6551"/>
        </w:tabs>
        <w:spacing w:after="0" w:line="240" w:lineRule="auto"/>
        <w:jc w:val="both"/>
        <w:rPr>
          <w:rFonts w:ascii="Verdana" w:eastAsia="Calibri" w:hAnsi="Verdana" w:cs="Arial"/>
          <w:b/>
          <w:color w:val="000000" w:themeColor="text1"/>
          <w:sz w:val="20"/>
          <w:szCs w:val="20"/>
          <w:lang w:val="es-ES_tradnl"/>
        </w:rPr>
      </w:pPr>
    </w:p>
    <w:p w14:paraId="669CC18C" w14:textId="77777777" w:rsidR="00375D9B" w:rsidRPr="00082941" w:rsidRDefault="00375D9B" w:rsidP="00375D9B">
      <w:pPr>
        <w:tabs>
          <w:tab w:val="left" w:pos="6551"/>
        </w:tabs>
        <w:spacing w:after="0" w:line="240" w:lineRule="auto"/>
        <w:jc w:val="both"/>
        <w:rPr>
          <w:rFonts w:ascii="Verdana" w:eastAsia="Calibri" w:hAnsi="Verdana" w:cs="Arial"/>
          <w:b/>
          <w:color w:val="000000" w:themeColor="text1"/>
          <w:lang w:val="es-ES_tradnl"/>
        </w:rPr>
      </w:pPr>
      <w:r w:rsidRPr="00082941">
        <w:rPr>
          <w:rFonts w:ascii="Verdana" w:eastAsia="Calibri" w:hAnsi="Verdana" w:cs="Arial"/>
          <w:b/>
          <w:color w:val="000000" w:themeColor="text1"/>
          <w:lang w:val="es-ES_tradnl"/>
        </w:rPr>
        <w:t xml:space="preserve">PROCEDIMIENTOS CONTRACTUALES – </w:t>
      </w:r>
      <w:bookmarkStart w:id="0" w:name="_Hlk143674453"/>
      <w:r w:rsidRPr="00082941">
        <w:rPr>
          <w:rFonts w:ascii="Verdana" w:eastAsia="Calibri" w:hAnsi="Verdana" w:cs="Arial"/>
          <w:b/>
          <w:color w:val="000000" w:themeColor="text1"/>
          <w:lang w:val="es-ES_tradnl"/>
        </w:rPr>
        <w:t xml:space="preserve">Principios de igualdad y libre concurrencia </w:t>
      </w:r>
      <w:bookmarkEnd w:id="0"/>
      <w:r w:rsidRPr="00082941">
        <w:rPr>
          <w:rFonts w:ascii="Verdana" w:eastAsia="Calibri" w:hAnsi="Verdana" w:cs="Arial"/>
          <w:b/>
          <w:color w:val="000000" w:themeColor="text1"/>
          <w:lang w:val="es-ES_tradnl"/>
        </w:rPr>
        <w:t xml:space="preserve">– Entidades sometidas – Alcance  </w:t>
      </w:r>
    </w:p>
    <w:p w14:paraId="26BA0A6D" w14:textId="77777777" w:rsidR="00375D9B" w:rsidRPr="00172EEC" w:rsidRDefault="00375D9B" w:rsidP="00375D9B">
      <w:pPr>
        <w:tabs>
          <w:tab w:val="left" w:pos="6551"/>
        </w:tabs>
        <w:spacing w:after="0" w:line="240" w:lineRule="auto"/>
        <w:jc w:val="both"/>
        <w:rPr>
          <w:rFonts w:ascii="Verdana" w:eastAsia="Calibri" w:hAnsi="Verdana" w:cs="Arial"/>
          <w:b/>
          <w:color w:val="000000" w:themeColor="text1"/>
          <w:sz w:val="20"/>
          <w:szCs w:val="20"/>
          <w:lang w:val="es-ES_tradnl"/>
        </w:rPr>
      </w:pPr>
    </w:p>
    <w:p w14:paraId="4A2EC705"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r w:rsidRPr="00172EEC">
        <w:rPr>
          <w:rFonts w:ascii="Verdana" w:eastAsia="Calibri" w:hAnsi="Verdana" w:cs="Arial"/>
          <w:bCs/>
          <w:sz w:val="20"/>
          <w:szCs w:val="20"/>
        </w:rPr>
        <w:t xml:space="preserve">Salvo las </w:t>
      </w:r>
      <w:bookmarkStart w:id="1" w:name="_Hlk143674710"/>
      <w:r w:rsidRPr="00172EEC">
        <w:rPr>
          <w:rFonts w:ascii="Verdana" w:eastAsia="Calibri" w:hAnsi="Verdana" w:cs="Arial"/>
          <w:bCs/>
          <w:sz w:val="20"/>
          <w:szCs w:val="20"/>
        </w:rPr>
        <w:t xml:space="preserve">convocatorias limitadas a </w:t>
      </w:r>
      <w:proofErr w:type="spellStart"/>
      <w:r w:rsidRPr="00172EEC">
        <w:rPr>
          <w:rFonts w:ascii="Verdana" w:eastAsia="Calibri" w:hAnsi="Verdana" w:cs="Arial"/>
          <w:bCs/>
          <w:sz w:val="20"/>
          <w:szCs w:val="20"/>
        </w:rPr>
        <w:t>Mipymes</w:t>
      </w:r>
      <w:bookmarkEnd w:id="1"/>
      <w:proofErr w:type="spellEnd"/>
      <w:r w:rsidRPr="00172EEC">
        <w:rPr>
          <w:rFonts w:ascii="Verdana" w:eastAsia="Calibri" w:hAnsi="Verdana" w:cs="Arial"/>
          <w:bCs/>
          <w:sz w:val="20"/>
          <w:szCs w:val="20"/>
        </w:rPr>
        <w:t xml:space="preserve"> nacionales o territoriales, en los procedimientos de selección competitivos del artículo 2 de la Ley 1150 de 2007 rige el principio de igualdad y concurrencia.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p>
    <w:p w14:paraId="7F95F955"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p>
    <w:p w14:paraId="378B2F03"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r w:rsidRPr="00172EEC">
        <w:rPr>
          <w:rFonts w:ascii="Verdana" w:eastAsia="Calibri" w:hAnsi="Verdana" w:cs="Arial"/>
          <w:bCs/>
          <w:sz w:val="20"/>
          <w:szCs w:val="20"/>
        </w:rPr>
        <w:t xml:space="preserve">El principio jurídico de la libre concurrencia garantiza la oposición entre los oferentes, y –como contrapartida– establece una prohibición para el Estado de restringir su participación.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 Por ello, en el Concepto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    </w:t>
      </w:r>
    </w:p>
    <w:p w14:paraId="7197469A"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
          <w:color w:val="000000" w:themeColor="text1"/>
          <w:sz w:val="20"/>
          <w:szCs w:val="20"/>
          <w:lang w:val="es-ES_tradnl"/>
        </w:rPr>
      </w:pPr>
    </w:p>
    <w:p w14:paraId="537C6AD8" w14:textId="77777777" w:rsidR="00375D9B" w:rsidRPr="00082941" w:rsidRDefault="00375D9B" w:rsidP="00375D9B">
      <w:pPr>
        <w:tabs>
          <w:tab w:val="left" w:pos="6551"/>
        </w:tabs>
        <w:spacing w:after="0" w:line="240" w:lineRule="auto"/>
        <w:jc w:val="both"/>
        <w:rPr>
          <w:rFonts w:ascii="Verdana" w:eastAsia="Calibri" w:hAnsi="Verdana" w:cs="Arial"/>
          <w:b/>
          <w:color w:val="000000" w:themeColor="text1"/>
          <w:lang w:val="es-ES_tradnl"/>
        </w:rPr>
      </w:pPr>
      <w:r w:rsidRPr="00082941">
        <w:rPr>
          <w:rFonts w:ascii="Verdana" w:eastAsia="Calibri" w:hAnsi="Verdana" w:cs="Arial"/>
          <w:b/>
          <w:color w:val="000000" w:themeColor="text1"/>
          <w:lang w:val="es-ES_tradnl"/>
        </w:rPr>
        <w:t xml:space="preserve">SOCIEDADES EXTRANJERAS CON NEGOCIO PERMANENTE EN EL PAÍS – Obligación de constituir sucursal   </w:t>
      </w:r>
    </w:p>
    <w:p w14:paraId="671BC5B2" w14:textId="77777777" w:rsidR="00375D9B" w:rsidRPr="00172EEC" w:rsidRDefault="00375D9B" w:rsidP="00375D9B">
      <w:pPr>
        <w:tabs>
          <w:tab w:val="left" w:pos="6551"/>
        </w:tabs>
        <w:spacing w:after="0" w:line="240" w:lineRule="auto"/>
        <w:jc w:val="both"/>
        <w:rPr>
          <w:rFonts w:ascii="Verdana" w:eastAsia="Calibri" w:hAnsi="Verdana" w:cs="Arial"/>
          <w:b/>
          <w:color w:val="000000" w:themeColor="text1"/>
          <w:sz w:val="20"/>
          <w:szCs w:val="20"/>
          <w:lang w:val="es-ES_tradnl"/>
        </w:rPr>
      </w:pPr>
    </w:p>
    <w:p w14:paraId="2F7C26B7"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r>
        <w:rPr>
          <w:rFonts w:ascii="Verdana" w:eastAsia="Calibri" w:hAnsi="Verdana" w:cs="Arial"/>
          <w:bCs/>
          <w:sz w:val="20"/>
          <w:szCs w:val="20"/>
        </w:rPr>
        <w:t>E</w:t>
      </w:r>
      <w:r w:rsidRPr="00172EEC">
        <w:rPr>
          <w:rFonts w:ascii="Verdana" w:eastAsia="Calibri" w:hAnsi="Verdana" w:cs="Arial"/>
          <w:bCs/>
          <w:sz w:val="20"/>
          <w:szCs w:val="20"/>
        </w:rPr>
        <w:t xml:space="preserve">s necesario tener en cuenta que –en armonía con las normas del Código de Comercio– el acápite IV de la “Guía de Asuntos Corporativos en los Procesos de </w:t>
      </w:r>
      <w:proofErr w:type="spellStart"/>
      <w:r w:rsidRPr="00172EEC">
        <w:rPr>
          <w:rFonts w:ascii="Verdana" w:eastAsia="Calibri" w:hAnsi="Verdana" w:cs="Arial"/>
          <w:bCs/>
          <w:sz w:val="20"/>
          <w:szCs w:val="20"/>
        </w:rPr>
        <w:t>Contratación</w:t>
      </w:r>
      <w:proofErr w:type="spellEnd"/>
      <w:r w:rsidRPr="00172EEC">
        <w:rPr>
          <w:rFonts w:ascii="Verdana" w:eastAsia="Calibri" w:hAnsi="Verdana" w:cs="Arial"/>
          <w:bCs/>
          <w:sz w:val="20"/>
          <w:szCs w:val="20"/>
        </w:rPr>
        <w:t>”, expedida por la Agencia Nacional de Contratación Pública – Colombia Compra Eficiente, precisa que “Para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p>
    <w:p w14:paraId="48E60748"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p>
    <w:p w14:paraId="3BB235F7"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r w:rsidRPr="00172EEC">
        <w:rPr>
          <w:rFonts w:ascii="Verdana" w:eastAsia="Calibri" w:hAnsi="Verdana" w:cs="Arial"/>
          <w:bCs/>
          <w:sz w:val="20"/>
          <w:szCs w:val="20"/>
        </w:rPr>
        <w:t xml:space="preserve">Por lo tanto, para que una sociedad extrajera pueda desarrollar una actividad comercial considerada permanente según el artículo 474 del Código de Comercio deberá establecer una sucursal con domicilio en el territorio nacional –art. 471 </w:t>
      </w:r>
      <w:r w:rsidRPr="00172EEC">
        <w:rPr>
          <w:rFonts w:ascii="Verdana" w:eastAsia="Calibri" w:hAnsi="Verdana" w:cs="Arial"/>
          <w:bCs/>
          <w:i/>
          <w:iCs/>
          <w:sz w:val="20"/>
          <w:szCs w:val="20"/>
        </w:rPr>
        <w:t>ibidem</w:t>
      </w:r>
      <w:r w:rsidRPr="00172EEC">
        <w:rPr>
          <w:rFonts w:ascii="Verdana" w:eastAsia="Calibri" w:hAnsi="Verdana" w:cs="Arial"/>
          <w:bCs/>
          <w:sz w:val="20"/>
          <w:szCs w:val="20"/>
        </w:rPr>
        <w:t xml:space="preserve">–, y la presencia de la sucursal en el territorio colombiano supone el cumplimiento de las obligaciones previstas en el ordenamiento jurídico, ya que “Es deber de los nacionales y de los extranjeros en Colombia acatar la Constitución y las leyes, y respetar y obedecer a las </w:t>
      </w:r>
      <w:r w:rsidRPr="00172EEC">
        <w:rPr>
          <w:rFonts w:ascii="Verdana" w:eastAsia="Calibri" w:hAnsi="Verdana" w:cs="Arial"/>
          <w:bCs/>
          <w:sz w:val="20"/>
          <w:szCs w:val="20"/>
        </w:rPr>
        <w:lastRenderedPageBreak/>
        <w:t>autoridades” –art. 3, inc. 2, de la Constitución Política–, por lo que “La ley es obligatoria tanto a los nacionales como a los extranjeros residentes en Colombia” –art. 18 del Código Civil–.</w:t>
      </w:r>
    </w:p>
    <w:p w14:paraId="3ECD1248"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
          <w:color w:val="000000" w:themeColor="text1"/>
          <w:sz w:val="20"/>
          <w:szCs w:val="20"/>
          <w:lang w:val="es-ES_tradnl"/>
        </w:rPr>
      </w:pPr>
    </w:p>
    <w:p w14:paraId="5C432DEB" w14:textId="77777777" w:rsidR="00375D9B" w:rsidRPr="00082941" w:rsidRDefault="00375D9B" w:rsidP="00375D9B">
      <w:pPr>
        <w:tabs>
          <w:tab w:val="left" w:pos="6551"/>
        </w:tabs>
        <w:spacing w:after="0" w:line="240" w:lineRule="auto"/>
        <w:jc w:val="both"/>
        <w:rPr>
          <w:rFonts w:ascii="Verdana" w:eastAsia="Calibri" w:hAnsi="Verdana" w:cs="Arial"/>
          <w:b/>
          <w:color w:val="000000" w:themeColor="text1"/>
          <w:lang w:val="es-ES_tradnl"/>
        </w:rPr>
      </w:pPr>
      <w:r w:rsidRPr="00082941">
        <w:rPr>
          <w:rFonts w:ascii="Verdana" w:eastAsia="Calibri" w:hAnsi="Verdana" w:cs="Arial"/>
          <w:b/>
          <w:color w:val="000000" w:themeColor="text1"/>
          <w:lang w:val="es-ES_tradnl"/>
        </w:rPr>
        <w:t xml:space="preserve">CONVOCATORIAS LIMITADAS A MIPYMES – Limitación nacional y territorial – Trato preferencial  </w:t>
      </w:r>
    </w:p>
    <w:p w14:paraId="18458171" w14:textId="77777777" w:rsidR="00375D9B" w:rsidRPr="00172EEC" w:rsidRDefault="00375D9B" w:rsidP="00375D9B">
      <w:pPr>
        <w:tabs>
          <w:tab w:val="left" w:pos="6551"/>
        </w:tabs>
        <w:spacing w:after="0" w:line="240" w:lineRule="auto"/>
        <w:jc w:val="both"/>
        <w:rPr>
          <w:rFonts w:ascii="Verdana" w:eastAsia="Calibri" w:hAnsi="Verdana" w:cs="Arial"/>
          <w:b/>
          <w:color w:val="000000" w:themeColor="text1"/>
          <w:sz w:val="20"/>
          <w:szCs w:val="20"/>
          <w:lang w:val="es-ES_tradnl"/>
        </w:rPr>
      </w:pPr>
    </w:p>
    <w:p w14:paraId="3D838333" w14:textId="77777777" w:rsidR="00375D9B" w:rsidRPr="00172EEC" w:rsidRDefault="00375D9B" w:rsidP="00375D9B">
      <w:pPr>
        <w:widowControl w:val="0"/>
        <w:autoSpaceDE w:val="0"/>
        <w:autoSpaceDN w:val="0"/>
        <w:spacing w:after="0" w:line="240" w:lineRule="auto"/>
        <w:contextualSpacing/>
        <w:jc w:val="both"/>
        <w:rPr>
          <w:rFonts w:ascii="Verdana" w:eastAsia="Calibri" w:hAnsi="Verdana" w:cs="Arial"/>
          <w:bCs/>
          <w:sz w:val="20"/>
          <w:szCs w:val="20"/>
        </w:rPr>
      </w:pPr>
      <w:r w:rsidRPr="00172EEC">
        <w:rPr>
          <w:rFonts w:ascii="Verdana" w:eastAsia="Calibri" w:hAnsi="Verdana" w:cs="Arial"/>
          <w:bCs/>
          <w:sz w:val="20"/>
          <w:szCs w:val="20"/>
        </w:rPr>
        <w:t xml:space="preserve">Si la convocatoria de se limita a </w:t>
      </w:r>
      <w:proofErr w:type="spellStart"/>
      <w:r w:rsidRPr="00172EEC">
        <w:rPr>
          <w:rFonts w:ascii="Verdana" w:eastAsia="Calibri" w:hAnsi="Verdana" w:cs="Arial"/>
          <w:bCs/>
          <w:sz w:val="20"/>
          <w:szCs w:val="20"/>
        </w:rPr>
        <w:t>Mipymes</w:t>
      </w:r>
      <w:proofErr w:type="spellEnd"/>
      <w:r w:rsidRPr="00172EEC">
        <w:rPr>
          <w:rFonts w:ascii="Verdana" w:eastAsia="Calibri" w:hAnsi="Verdana" w:cs="Arial"/>
          <w:bCs/>
          <w:sz w:val="20"/>
          <w:szCs w:val="20"/>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en razón de la nacionalidad. En contraste, si la convocatoria limitada beneficia a las </w:t>
      </w:r>
      <w:proofErr w:type="spellStart"/>
      <w:r w:rsidRPr="00172EEC">
        <w:rPr>
          <w:rFonts w:ascii="Verdana" w:eastAsia="Calibri" w:hAnsi="Verdana" w:cs="Arial"/>
          <w:bCs/>
          <w:sz w:val="20"/>
          <w:szCs w:val="20"/>
        </w:rPr>
        <w:t>Mipymes</w:t>
      </w:r>
      <w:proofErr w:type="spellEnd"/>
      <w:r w:rsidRPr="00172EEC">
        <w:rPr>
          <w:rFonts w:ascii="Verdana" w:eastAsia="Calibri" w:hAnsi="Verdana" w:cs="Arial"/>
          <w:bCs/>
          <w:sz w:val="20"/>
          <w:szCs w:val="20"/>
        </w:rPr>
        <w:t xml:space="preserve"> del municipio o departamento correspondiente al de la ejecución del contrato, también quedan excluidas –además de los anteriores– las </w:t>
      </w:r>
      <w:proofErr w:type="spellStart"/>
      <w:r w:rsidRPr="00172EEC">
        <w:rPr>
          <w:rFonts w:ascii="Verdana" w:eastAsia="Calibri" w:hAnsi="Verdana" w:cs="Arial"/>
          <w:bCs/>
          <w:sz w:val="20"/>
          <w:szCs w:val="20"/>
        </w:rPr>
        <w:t>Mipymes</w:t>
      </w:r>
      <w:proofErr w:type="spellEnd"/>
      <w:r w:rsidRPr="00172EEC">
        <w:rPr>
          <w:rFonts w:ascii="Verdana" w:eastAsia="Calibri" w:hAnsi="Verdana" w:cs="Arial"/>
          <w:bCs/>
          <w:sz w:val="20"/>
          <w:szCs w:val="20"/>
        </w:rPr>
        <w:t xml:space="preserve"> de otros lugares de Colombia. Es decir, el parágrafo 1 del artículo 12 de la Ley 1150 de 2007 y el artículo 2.2.1.2.4.2.3 del Decreto 1082 de 2015 establece un trato privilegiado que se fundamenta en el territorio.</w:t>
      </w:r>
    </w:p>
    <w:p w14:paraId="5595E892" w14:textId="77777777" w:rsidR="00375D9B" w:rsidRPr="00375D9B" w:rsidRDefault="00375D9B" w:rsidP="00375D9B">
      <w:pPr>
        <w:spacing w:after="0" w:line="240" w:lineRule="auto"/>
        <w:rPr>
          <w:rFonts w:ascii="Verdana" w:eastAsia="Geomanist Light" w:hAnsi="Verdana" w:cs="Arial"/>
          <w:color w:val="000000" w:themeColor="text1"/>
        </w:rPr>
      </w:pPr>
    </w:p>
    <w:p w14:paraId="143E109B" w14:textId="77777777" w:rsidR="00375D9B" w:rsidRDefault="00375D9B" w:rsidP="0017107E">
      <w:pPr>
        <w:spacing w:after="0" w:line="240" w:lineRule="auto"/>
        <w:rPr>
          <w:rFonts w:ascii="Verdana" w:eastAsia="Geomanist Light" w:hAnsi="Verdana" w:cs="Arial"/>
          <w:color w:val="000000" w:themeColor="text1"/>
          <w:lang w:val="es-MX"/>
        </w:rPr>
      </w:pPr>
    </w:p>
    <w:p w14:paraId="2BF638BF" w14:textId="77777777" w:rsidR="00375D9B" w:rsidRDefault="00375D9B" w:rsidP="0017107E">
      <w:pPr>
        <w:spacing w:after="0" w:line="240" w:lineRule="auto"/>
        <w:rPr>
          <w:rFonts w:ascii="Verdana" w:eastAsia="Geomanist Light" w:hAnsi="Verdana" w:cs="Arial"/>
          <w:color w:val="000000" w:themeColor="text1"/>
          <w:lang w:val="es-MX"/>
        </w:rPr>
      </w:pPr>
    </w:p>
    <w:p w14:paraId="335C400A" w14:textId="77777777" w:rsidR="00375D9B" w:rsidRDefault="00375D9B" w:rsidP="0017107E">
      <w:pPr>
        <w:spacing w:after="0" w:line="240" w:lineRule="auto"/>
        <w:rPr>
          <w:rFonts w:ascii="Verdana" w:eastAsia="Geomanist Light" w:hAnsi="Verdana" w:cs="Arial"/>
          <w:color w:val="000000" w:themeColor="text1"/>
          <w:lang w:val="es-MX"/>
        </w:rPr>
      </w:pPr>
    </w:p>
    <w:p w14:paraId="3C7C282F" w14:textId="77777777" w:rsidR="00375D9B" w:rsidRDefault="00375D9B" w:rsidP="0017107E">
      <w:pPr>
        <w:spacing w:after="0" w:line="240" w:lineRule="auto"/>
        <w:rPr>
          <w:rFonts w:ascii="Verdana" w:eastAsia="Geomanist Light" w:hAnsi="Verdana" w:cs="Arial"/>
          <w:color w:val="000000" w:themeColor="text1"/>
          <w:lang w:val="es-MX"/>
        </w:rPr>
      </w:pPr>
    </w:p>
    <w:p w14:paraId="656A517D" w14:textId="77777777" w:rsidR="00375D9B" w:rsidRDefault="00375D9B" w:rsidP="0017107E">
      <w:pPr>
        <w:spacing w:after="0" w:line="240" w:lineRule="auto"/>
        <w:rPr>
          <w:rFonts w:ascii="Verdana" w:eastAsia="Geomanist Light" w:hAnsi="Verdana" w:cs="Arial"/>
          <w:color w:val="000000" w:themeColor="text1"/>
          <w:lang w:val="es-MX"/>
        </w:rPr>
      </w:pPr>
    </w:p>
    <w:p w14:paraId="332237DB" w14:textId="77777777" w:rsidR="00375D9B" w:rsidRDefault="00375D9B" w:rsidP="0017107E">
      <w:pPr>
        <w:spacing w:after="0" w:line="240" w:lineRule="auto"/>
        <w:rPr>
          <w:rFonts w:ascii="Verdana" w:eastAsia="Geomanist Light" w:hAnsi="Verdana" w:cs="Arial"/>
          <w:color w:val="000000" w:themeColor="text1"/>
          <w:lang w:val="es-MX"/>
        </w:rPr>
      </w:pPr>
    </w:p>
    <w:p w14:paraId="33BE4687" w14:textId="77777777" w:rsidR="00375D9B" w:rsidRDefault="00375D9B" w:rsidP="0017107E">
      <w:pPr>
        <w:spacing w:after="0" w:line="240" w:lineRule="auto"/>
        <w:rPr>
          <w:rFonts w:ascii="Verdana" w:eastAsia="Geomanist Light" w:hAnsi="Verdana" w:cs="Arial"/>
          <w:color w:val="000000" w:themeColor="text1"/>
          <w:lang w:val="es-MX"/>
        </w:rPr>
      </w:pPr>
    </w:p>
    <w:p w14:paraId="342C7F0A" w14:textId="77777777" w:rsidR="00375D9B" w:rsidRDefault="00375D9B" w:rsidP="0017107E">
      <w:pPr>
        <w:spacing w:after="0" w:line="240" w:lineRule="auto"/>
        <w:rPr>
          <w:rFonts w:ascii="Verdana" w:eastAsia="Geomanist Light" w:hAnsi="Verdana" w:cs="Arial"/>
          <w:color w:val="000000" w:themeColor="text1"/>
          <w:lang w:val="es-MX"/>
        </w:rPr>
      </w:pPr>
    </w:p>
    <w:p w14:paraId="22A85AD9" w14:textId="77777777" w:rsidR="00375D9B" w:rsidRDefault="00375D9B" w:rsidP="0017107E">
      <w:pPr>
        <w:spacing w:after="0" w:line="240" w:lineRule="auto"/>
        <w:rPr>
          <w:rFonts w:ascii="Verdana" w:eastAsia="Geomanist Light" w:hAnsi="Verdana" w:cs="Arial"/>
          <w:color w:val="000000" w:themeColor="text1"/>
          <w:lang w:val="es-MX"/>
        </w:rPr>
      </w:pPr>
    </w:p>
    <w:p w14:paraId="578AC977" w14:textId="77777777" w:rsidR="00375D9B" w:rsidRDefault="00375D9B" w:rsidP="0017107E">
      <w:pPr>
        <w:spacing w:after="0" w:line="240" w:lineRule="auto"/>
        <w:rPr>
          <w:rFonts w:ascii="Verdana" w:eastAsia="Geomanist Light" w:hAnsi="Verdana" w:cs="Arial"/>
          <w:color w:val="000000" w:themeColor="text1"/>
          <w:lang w:val="es-MX"/>
        </w:rPr>
      </w:pPr>
    </w:p>
    <w:p w14:paraId="2DE7B890" w14:textId="77777777" w:rsidR="00375D9B" w:rsidRDefault="00375D9B" w:rsidP="0017107E">
      <w:pPr>
        <w:spacing w:after="0" w:line="240" w:lineRule="auto"/>
        <w:rPr>
          <w:rFonts w:ascii="Verdana" w:eastAsia="Geomanist Light" w:hAnsi="Verdana" w:cs="Arial"/>
          <w:color w:val="000000" w:themeColor="text1"/>
          <w:lang w:val="es-MX"/>
        </w:rPr>
      </w:pPr>
    </w:p>
    <w:p w14:paraId="78A1CF7C" w14:textId="77777777" w:rsidR="00375D9B" w:rsidRDefault="00375D9B" w:rsidP="0017107E">
      <w:pPr>
        <w:spacing w:after="0" w:line="240" w:lineRule="auto"/>
        <w:rPr>
          <w:rFonts w:ascii="Verdana" w:eastAsia="Geomanist Light" w:hAnsi="Verdana" w:cs="Arial"/>
          <w:color w:val="000000" w:themeColor="text1"/>
          <w:lang w:val="es-MX"/>
        </w:rPr>
      </w:pPr>
    </w:p>
    <w:p w14:paraId="45357DDB" w14:textId="77777777" w:rsidR="00375D9B" w:rsidRDefault="00375D9B" w:rsidP="0017107E">
      <w:pPr>
        <w:spacing w:after="0" w:line="240" w:lineRule="auto"/>
        <w:rPr>
          <w:rFonts w:ascii="Verdana" w:eastAsia="Geomanist Light" w:hAnsi="Verdana" w:cs="Arial"/>
          <w:color w:val="000000" w:themeColor="text1"/>
          <w:lang w:val="es-MX"/>
        </w:rPr>
      </w:pPr>
    </w:p>
    <w:p w14:paraId="5AEFCC9F" w14:textId="77777777" w:rsidR="00375D9B" w:rsidRDefault="00375D9B" w:rsidP="0017107E">
      <w:pPr>
        <w:spacing w:after="0" w:line="240" w:lineRule="auto"/>
        <w:rPr>
          <w:rFonts w:ascii="Verdana" w:eastAsia="Geomanist Light" w:hAnsi="Verdana" w:cs="Arial"/>
          <w:color w:val="000000" w:themeColor="text1"/>
          <w:lang w:val="es-MX"/>
        </w:rPr>
      </w:pPr>
    </w:p>
    <w:p w14:paraId="0CBD2DFC" w14:textId="77777777" w:rsidR="00375D9B" w:rsidRDefault="00375D9B" w:rsidP="0017107E">
      <w:pPr>
        <w:spacing w:after="0" w:line="240" w:lineRule="auto"/>
        <w:rPr>
          <w:rFonts w:ascii="Verdana" w:eastAsia="Geomanist Light" w:hAnsi="Verdana" w:cs="Arial"/>
          <w:color w:val="000000" w:themeColor="text1"/>
          <w:lang w:val="es-MX"/>
        </w:rPr>
      </w:pPr>
    </w:p>
    <w:p w14:paraId="368C5656" w14:textId="77777777" w:rsidR="00375D9B" w:rsidRDefault="00375D9B" w:rsidP="0017107E">
      <w:pPr>
        <w:spacing w:after="0" w:line="240" w:lineRule="auto"/>
        <w:rPr>
          <w:rFonts w:ascii="Verdana" w:eastAsia="Geomanist Light" w:hAnsi="Verdana" w:cs="Arial"/>
          <w:color w:val="000000" w:themeColor="text1"/>
          <w:lang w:val="es-MX"/>
        </w:rPr>
      </w:pPr>
    </w:p>
    <w:p w14:paraId="5F41E502" w14:textId="77777777" w:rsidR="00375D9B" w:rsidRDefault="00375D9B" w:rsidP="0017107E">
      <w:pPr>
        <w:spacing w:after="0" w:line="240" w:lineRule="auto"/>
        <w:rPr>
          <w:rFonts w:ascii="Verdana" w:eastAsia="Geomanist Light" w:hAnsi="Verdana" w:cs="Arial"/>
          <w:color w:val="000000" w:themeColor="text1"/>
          <w:lang w:val="es-MX"/>
        </w:rPr>
      </w:pPr>
    </w:p>
    <w:p w14:paraId="2DDCAD0A" w14:textId="77777777" w:rsidR="00375D9B" w:rsidRDefault="00375D9B" w:rsidP="0017107E">
      <w:pPr>
        <w:spacing w:after="0" w:line="240" w:lineRule="auto"/>
        <w:rPr>
          <w:rFonts w:ascii="Verdana" w:eastAsia="Geomanist Light" w:hAnsi="Verdana" w:cs="Arial"/>
          <w:color w:val="000000" w:themeColor="text1"/>
          <w:lang w:val="es-MX"/>
        </w:rPr>
      </w:pPr>
    </w:p>
    <w:p w14:paraId="0FE47084" w14:textId="77777777" w:rsidR="00375D9B" w:rsidRDefault="00375D9B" w:rsidP="0017107E">
      <w:pPr>
        <w:spacing w:after="0" w:line="240" w:lineRule="auto"/>
        <w:rPr>
          <w:rFonts w:ascii="Verdana" w:eastAsia="Geomanist Light" w:hAnsi="Verdana" w:cs="Arial"/>
          <w:color w:val="000000" w:themeColor="text1"/>
          <w:lang w:val="es-MX"/>
        </w:rPr>
      </w:pPr>
    </w:p>
    <w:p w14:paraId="7755025B" w14:textId="77777777" w:rsidR="00375D9B" w:rsidRDefault="00375D9B" w:rsidP="0017107E">
      <w:pPr>
        <w:spacing w:after="0" w:line="240" w:lineRule="auto"/>
        <w:rPr>
          <w:rFonts w:ascii="Verdana" w:eastAsia="Geomanist Light" w:hAnsi="Verdana" w:cs="Arial"/>
          <w:color w:val="000000" w:themeColor="text1"/>
          <w:lang w:val="es-MX"/>
        </w:rPr>
      </w:pPr>
    </w:p>
    <w:p w14:paraId="5A6262C2" w14:textId="77777777" w:rsidR="00375D9B" w:rsidRDefault="00375D9B" w:rsidP="0017107E">
      <w:pPr>
        <w:spacing w:after="0" w:line="240" w:lineRule="auto"/>
        <w:rPr>
          <w:rFonts w:ascii="Verdana" w:eastAsia="Geomanist Light" w:hAnsi="Verdana" w:cs="Arial"/>
          <w:color w:val="000000" w:themeColor="text1"/>
          <w:lang w:val="es-MX"/>
        </w:rPr>
      </w:pPr>
    </w:p>
    <w:p w14:paraId="6B507372" w14:textId="77777777" w:rsidR="00375D9B" w:rsidRDefault="00375D9B" w:rsidP="0017107E">
      <w:pPr>
        <w:spacing w:after="0" w:line="240" w:lineRule="auto"/>
        <w:rPr>
          <w:rFonts w:ascii="Verdana" w:eastAsia="Geomanist Light" w:hAnsi="Verdana" w:cs="Arial"/>
          <w:color w:val="000000" w:themeColor="text1"/>
          <w:lang w:val="es-MX"/>
        </w:rPr>
      </w:pPr>
    </w:p>
    <w:p w14:paraId="60330BB7" w14:textId="77777777" w:rsidR="00375D9B" w:rsidRDefault="00375D9B" w:rsidP="0017107E">
      <w:pPr>
        <w:spacing w:after="0" w:line="240" w:lineRule="auto"/>
        <w:rPr>
          <w:rFonts w:ascii="Verdana" w:eastAsia="Geomanist Light" w:hAnsi="Verdana" w:cs="Arial"/>
          <w:color w:val="000000" w:themeColor="text1"/>
          <w:lang w:val="es-MX"/>
        </w:rPr>
      </w:pPr>
    </w:p>
    <w:p w14:paraId="625669AC" w14:textId="77777777" w:rsidR="00375D9B" w:rsidRDefault="00375D9B" w:rsidP="0017107E">
      <w:pPr>
        <w:spacing w:after="0" w:line="240" w:lineRule="auto"/>
        <w:rPr>
          <w:rFonts w:ascii="Verdana" w:eastAsia="Geomanist Light" w:hAnsi="Verdana" w:cs="Arial"/>
          <w:color w:val="000000" w:themeColor="text1"/>
          <w:lang w:val="es-MX"/>
        </w:rPr>
      </w:pPr>
    </w:p>
    <w:p w14:paraId="0CC5ECC0" w14:textId="77777777" w:rsidR="00375D9B" w:rsidRDefault="00375D9B" w:rsidP="0017107E">
      <w:pPr>
        <w:spacing w:after="0" w:line="240" w:lineRule="auto"/>
        <w:rPr>
          <w:rFonts w:ascii="Verdana" w:eastAsia="Geomanist Light" w:hAnsi="Verdana" w:cs="Arial"/>
          <w:color w:val="000000" w:themeColor="text1"/>
          <w:lang w:val="es-MX"/>
        </w:rPr>
      </w:pPr>
    </w:p>
    <w:p w14:paraId="5B65A7C0" w14:textId="77777777" w:rsidR="00375D9B" w:rsidRDefault="00375D9B" w:rsidP="0017107E">
      <w:pPr>
        <w:spacing w:after="0" w:line="240" w:lineRule="auto"/>
        <w:rPr>
          <w:rFonts w:ascii="Verdana" w:eastAsia="Geomanist Light" w:hAnsi="Verdana" w:cs="Arial"/>
          <w:color w:val="000000" w:themeColor="text1"/>
          <w:lang w:val="es-MX"/>
        </w:rPr>
      </w:pPr>
    </w:p>
    <w:p w14:paraId="080E6B20" w14:textId="7307FB3C" w:rsidR="002F4A7B" w:rsidRPr="003D75E2" w:rsidRDefault="002F4A7B" w:rsidP="0017107E">
      <w:pPr>
        <w:spacing w:after="0" w:line="240" w:lineRule="auto"/>
        <w:rPr>
          <w:rFonts w:ascii="Verdana" w:eastAsia="Geomanist Light" w:hAnsi="Verdana" w:cs="Arial"/>
          <w:color w:val="201F1E"/>
          <w:lang w:val="es-MX"/>
        </w:rPr>
      </w:pPr>
      <w:r w:rsidRPr="003D75E2">
        <w:rPr>
          <w:rFonts w:ascii="Verdana" w:eastAsia="Geomanist Light" w:hAnsi="Verdana" w:cs="Arial"/>
          <w:color w:val="000000" w:themeColor="text1"/>
          <w:lang w:val="es-MX"/>
        </w:rPr>
        <w:lastRenderedPageBreak/>
        <w:t>Bogotá D.C., </w:t>
      </w:r>
      <w:r w:rsidR="00550293" w:rsidRPr="00550293">
        <w:rPr>
          <w:rFonts w:ascii="Verdana" w:eastAsia="Geomanist Light" w:hAnsi="Verdana" w:cs="Arial"/>
          <w:color w:val="201F1E"/>
          <w:lang w:val="es-MX"/>
        </w:rPr>
        <w:t>21 de Mayo de 2025</w:t>
      </w:r>
    </w:p>
    <w:p w14:paraId="2C305DF4" w14:textId="77777777" w:rsidR="002F4A7B" w:rsidRPr="003D75E2" w:rsidRDefault="002F4A7B" w:rsidP="0017107E">
      <w:pPr>
        <w:spacing w:after="0" w:line="240" w:lineRule="auto"/>
        <w:jc w:val="both"/>
        <w:rPr>
          <w:rFonts w:ascii="Verdana" w:eastAsia="Calibri" w:hAnsi="Verdana" w:cs="Arial"/>
          <w:color w:val="000000"/>
          <w:lang w:val="es-ES"/>
        </w:rPr>
      </w:pPr>
    </w:p>
    <w:p w14:paraId="56911D60" w14:textId="1096CAC5" w:rsidR="002F4A7B" w:rsidRDefault="00E7223F" w:rsidP="00E7223F">
      <w:pPr>
        <w:spacing w:after="0" w:line="240" w:lineRule="auto"/>
        <w:jc w:val="right"/>
        <w:rPr>
          <w:rFonts w:ascii="Verdana" w:eastAsia="Calibri" w:hAnsi="Verdana" w:cs="Arial"/>
          <w:color w:val="000000"/>
          <w:lang w:val="es-ES"/>
        </w:rPr>
      </w:pPr>
      <w:r w:rsidRPr="00E7223F">
        <w:rPr>
          <w:rFonts w:ascii="Verdana" w:eastAsia="Calibri" w:hAnsi="Verdana" w:cs="Arial"/>
          <w:color w:val="000000"/>
          <w:lang w:val="es-ES"/>
        </w:rPr>
        <w:drawing>
          <wp:inline distT="0" distB="0" distL="0" distR="0" wp14:anchorId="03ED943A" wp14:editId="4C5C3270">
            <wp:extent cx="2400300" cy="622300"/>
            <wp:effectExtent l="0" t="0" r="0" b="0"/>
            <wp:docPr id="1947751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51707" name=""/>
                    <pic:cNvPicPr/>
                  </pic:nvPicPr>
                  <pic:blipFill>
                    <a:blip r:embed="rId10"/>
                    <a:stretch>
                      <a:fillRect/>
                    </a:stretch>
                  </pic:blipFill>
                  <pic:spPr>
                    <a:xfrm>
                      <a:off x="0" y="0"/>
                      <a:ext cx="2400300" cy="622300"/>
                    </a:xfrm>
                    <a:prstGeom prst="rect">
                      <a:avLst/>
                    </a:prstGeom>
                  </pic:spPr>
                </pic:pic>
              </a:graphicData>
            </a:graphic>
          </wp:inline>
        </w:drawing>
      </w:r>
    </w:p>
    <w:p w14:paraId="45D8FBD2" w14:textId="77777777" w:rsidR="00550293" w:rsidRPr="003D75E2" w:rsidRDefault="00550293" w:rsidP="0017107E">
      <w:pPr>
        <w:spacing w:after="0" w:line="240" w:lineRule="auto"/>
        <w:jc w:val="both"/>
        <w:rPr>
          <w:rFonts w:ascii="Verdana" w:eastAsia="Calibri" w:hAnsi="Verdana" w:cs="Arial"/>
          <w:color w:val="000000"/>
          <w:lang w:val="es-ES"/>
        </w:rPr>
      </w:pPr>
    </w:p>
    <w:p w14:paraId="1820CD82" w14:textId="3E698143" w:rsidR="002F4A7B" w:rsidRPr="003D75E2" w:rsidRDefault="002F4A7B" w:rsidP="0017107E">
      <w:pPr>
        <w:tabs>
          <w:tab w:val="left" w:pos="6012"/>
        </w:tabs>
        <w:spacing w:after="0" w:line="240" w:lineRule="auto"/>
        <w:jc w:val="both"/>
        <w:rPr>
          <w:rFonts w:ascii="Verdana" w:eastAsia="Calibri" w:hAnsi="Verdana" w:cs="Arial"/>
          <w:lang w:val="es-ES" w:eastAsia="es-ES"/>
        </w:rPr>
      </w:pPr>
      <w:r w:rsidRPr="003D75E2">
        <w:rPr>
          <w:rFonts w:ascii="Verdana" w:eastAsia="Calibri" w:hAnsi="Verdana" w:cs="Arial"/>
          <w:lang w:val="es-ES" w:eastAsia="es-ES"/>
        </w:rPr>
        <w:t>Señor</w:t>
      </w:r>
      <w:r w:rsidR="00E923CF">
        <w:rPr>
          <w:rFonts w:ascii="Verdana" w:eastAsia="Calibri" w:hAnsi="Verdana" w:cs="Arial"/>
          <w:lang w:val="es-ES" w:eastAsia="es-ES"/>
        </w:rPr>
        <w:tab/>
      </w:r>
    </w:p>
    <w:p w14:paraId="3D78C1B4" w14:textId="77777777" w:rsidR="002F4A7B" w:rsidRPr="003D75E2" w:rsidRDefault="002F4A7B" w:rsidP="0017107E">
      <w:pPr>
        <w:spacing w:after="0" w:line="240" w:lineRule="auto"/>
        <w:rPr>
          <w:rFonts w:ascii="Verdana" w:eastAsia="Calibri" w:hAnsi="Verdana" w:cs="Arial"/>
          <w:b/>
          <w:lang w:eastAsia="es-ES_tradnl"/>
        </w:rPr>
      </w:pPr>
      <w:r w:rsidRPr="003D75E2">
        <w:rPr>
          <w:rFonts w:ascii="Verdana" w:eastAsia="Calibri" w:hAnsi="Verdana" w:cs="Arial"/>
          <w:b/>
          <w:lang w:eastAsia="es-ES_tradnl"/>
        </w:rPr>
        <w:t xml:space="preserve">Manuel Valle Muñoz  </w:t>
      </w:r>
    </w:p>
    <w:p w14:paraId="5CABE92F" w14:textId="77777777" w:rsidR="002F4A7B" w:rsidRPr="003D75E2" w:rsidRDefault="002F4A7B" w:rsidP="0017107E">
      <w:pPr>
        <w:spacing w:after="0" w:line="240" w:lineRule="auto"/>
        <w:rPr>
          <w:rFonts w:ascii="Verdana" w:hAnsi="Verdana"/>
        </w:rPr>
      </w:pPr>
      <w:hyperlink r:id="rId11" w:history="1">
        <w:r w:rsidRPr="003D75E2">
          <w:rPr>
            <w:rStyle w:val="Hipervnculo"/>
            <w:rFonts w:ascii="Verdana" w:hAnsi="Verdana"/>
          </w:rPr>
          <w:t>manuel.valle@comercio.mineco.es</w:t>
        </w:r>
      </w:hyperlink>
      <w:r w:rsidRPr="003D75E2">
        <w:rPr>
          <w:rFonts w:ascii="Verdana" w:hAnsi="Verdana"/>
        </w:rPr>
        <w:t xml:space="preserve">  </w:t>
      </w:r>
    </w:p>
    <w:p w14:paraId="4A1DA543" w14:textId="77777777" w:rsidR="002F4A7B" w:rsidRPr="003D75E2" w:rsidRDefault="002F4A7B" w:rsidP="0017107E">
      <w:pPr>
        <w:spacing w:after="0" w:line="240" w:lineRule="auto"/>
        <w:rPr>
          <w:rFonts w:ascii="Verdana" w:eastAsia="Calibri" w:hAnsi="Verdana" w:cs="Arial"/>
          <w:lang w:val="es-ES" w:eastAsia="es-ES"/>
        </w:rPr>
      </w:pPr>
      <w:r w:rsidRPr="003D75E2">
        <w:rPr>
          <w:rFonts w:ascii="Verdana" w:eastAsia="Calibri" w:hAnsi="Verdana" w:cs="Arial"/>
          <w:lang w:val="es-ES" w:eastAsia="es-ES"/>
        </w:rPr>
        <w:t xml:space="preserve">Bogotá D.C. </w:t>
      </w:r>
    </w:p>
    <w:p w14:paraId="6E59D879" w14:textId="77777777" w:rsidR="002F4A7B" w:rsidRPr="003D75E2" w:rsidRDefault="002F4A7B" w:rsidP="0017107E">
      <w:pPr>
        <w:spacing w:after="0" w:line="240" w:lineRule="auto"/>
        <w:rPr>
          <w:rFonts w:ascii="Verdana" w:eastAsia="Calibri" w:hAnsi="Verdana" w:cs="Arial"/>
          <w:b/>
          <w:bCs/>
          <w:color w:val="000000"/>
          <w:lang w:val="es-ES_tradnl" w:eastAsia="es-ES_tradnl"/>
        </w:rPr>
      </w:pPr>
    </w:p>
    <w:p w14:paraId="07D291B2" w14:textId="77777777" w:rsidR="002F4A7B" w:rsidRPr="003D75E2" w:rsidRDefault="002F4A7B" w:rsidP="0017107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4A7B" w:rsidRPr="003D75E2" w14:paraId="40208830" w14:textId="77777777" w:rsidTr="0017107E">
        <w:trPr>
          <w:trHeight w:val="208"/>
        </w:trPr>
        <w:tc>
          <w:tcPr>
            <w:tcW w:w="2689" w:type="dxa"/>
          </w:tcPr>
          <w:p w14:paraId="43D394B3" w14:textId="77777777" w:rsidR="002F4A7B" w:rsidRPr="003D75E2" w:rsidRDefault="002F4A7B" w:rsidP="003D75E2">
            <w:pPr>
              <w:jc w:val="both"/>
              <w:rPr>
                <w:rFonts w:ascii="Verdana" w:eastAsia="Calibri" w:hAnsi="Verdana" w:cs="Arial"/>
                <w:b/>
                <w:bCs/>
                <w:color w:val="7030A0"/>
                <w:lang w:val="es-ES_tradnl" w:eastAsia="es-ES_tradnl"/>
              </w:rPr>
            </w:pPr>
          </w:p>
        </w:tc>
        <w:tc>
          <w:tcPr>
            <w:tcW w:w="6100" w:type="dxa"/>
          </w:tcPr>
          <w:p w14:paraId="12202B65" w14:textId="77777777" w:rsidR="002F4A7B" w:rsidRDefault="002F4A7B" w:rsidP="003D75E2">
            <w:pPr>
              <w:jc w:val="both"/>
              <w:rPr>
                <w:rFonts w:ascii="Verdana" w:eastAsia="Calibri" w:hAnsi="Verdana" w:cs="Arial"/>
                <w:b/>
                <w:bCs/>
                <w:lang w:val="es-ES" w:eastAsia="es-ES"/>
              </w:rPr>
            </w:pPr>
            <w:r w:rsidRPr="003D75E2">
              <w:rPr>
                <w:rFonts w:ascii="Verdana" w:eastAsia="Calibri" w:hAnsi="Verdana" w:cs="Arial"/>
                <w:b/>
                <w:bCs/>
                <w:lang w:val="es-ES" w:eastAsia="es-ES"/>
              </w:rPr>
              <w:t>Concepto C – 447 de 2025</w:t>
            </w:r>
          </w:p>
          <w:p w14:paraId="26FC8254" w14:textId="75943F5C" w:rsidR="003D75E2" w:rsidRPr="003D75E2" w:rsidRDefault="003D75E2" w:rsidP="003D75E2">
            <w:pPr>
              <w:jc w:val="both"/>
              <w:rPr>
                <w:rFonts w:ascii="Verdana" w:eastAsia="Calibri" w:hAnsi="Verdana" w:cs="Arial"/>
                <w:b/>
                <w:bCs/>
                <w:color w:val="7030A0"/>
                <w:lang w:val="es-ES" w:eastAsia="es-ES"/>
              </w:rPr>
            </w:pPr>
          </w:p>
        </w:tc>
      </w:tr>
      <w:tr w:rsidR="002F4A7B" w:rsidRPr="003D75E2" w14:paraId="51EA5FBA" w14:textId="77777777" w:rsidTr="00827BA6">
        <w:trPr>
          <w:trHeight w:val="884"/>
        </w:trPr>
        <w:tc>
          <w:tcPr>
            <w:tcW w:w="2689" w:type="dxa"/>
          </w:tcPr>
          <w:p w14:paraId="3B1571B4" w14:textId="77777777" w:rsidR="002F4A7B" w:rsidRPr="003D75E2" w:rsidRDefault="002F4A7B" w:rsidP="003D75E2">
            <w:pPr>
              <w:jc w:val="both"/>
              <w:rPr>
                <w:rFonts w:ascii="Verdana" w:eastAsia="Calibri" w:hAnsi="Verdana" w:cs="Arial"/>
                <w:color w:val="000000"/>
                <w:lang w:val="es-ES_tradnl" w:eastAsia="es-ES_tradnl"/>
              </w:rPr>
            </w:pPr>
            <w:r w:rsidRPr="003D75E2">
              <w:rPr>
                <w:rFonts w:ascii="Verdana" w:eastAsia="Calibri" w:hAnsi="Verdana" w:cs="Arial"/>
                <w:b/>
                <w:color w:val="000000"/>
                <w:lang w:val="es-ES_tradnl" w:eastAsia="es-ES_tradnl"/>
              </w:rPr>
              <w:t>Temas:</w:t>
            </w:r>
            <w:r w:rsidRPr="003D75E2">
              <w:rPr>
                <w:rFonts w:ascii="Verdana" w:eastAsia="Calibri" w:hAnsi="Verdana" w:cs="Arial"/>
                <w:color w:val="000000"/>
                <w:lang w:val="es-ES_tradnl" w:eastAsia="es-ES_tradnl"/>
              </w:rPr>
              <w:t xml:space="preserve">                   </w:t>
            </w:r>
          </w:p>
        </w:tc>
        <w:tc>
          <w:tcPr>
            <w:tcW w:w="6100" w:type="dxa"/>
          </w:tcPr>
          <w:p w14:paraId="40B7DF2E" w14:textId="77777777" w:rsidR="002F4A7B" w:rsidRPr="003D75E2" w:rsidRDefault="002F4A7B" w:rsidP="0017107E">
            <w:pPr>
              <w:jc w:val="both"/>
              <w:rPr>
                <w:rFonts w:ascii="Verdana" w:eastAsia="Calibri" w:hAnsi="Verdana" w:cs="Arial"/>
                <w:lang w:val="es-ES" w:eastAsia="es-ES"/>
              </w:rPr>
            </w:pPr>
            <w:r w:rsidRPr="003D75E2">
              <w:rPr>
                <w:rFonts w:ascii="Verdana" w:eastAsia="Calibri" w:hAnsi="Verdana" w:cs="Arial"/>
                <w:lang w:val="es-ES" w:eastAsia="es-ES"/>
              </w:rPr>
              <w:t xml:space="preserve">PROCEDIMIENTOS CONTRACTUALES – Principios de igualdad y libre concurrencia – Entidades sometidas – Alcance / SOCIEDADES EXTRANJERAS CON NEGOCIO PERMANENTE EN EL PAÍS – Obligación de constituir sucursal / CONVOCATORIAS LIMITADAS A MIPYMES – Limitación nacional y territorial – Trato preferencial  </w:t>
            </w:r>
          </w:p>
          <w:p w14:paraId="68F9CAEA" w14:textId="77777777" w:rsidR="002F4A7B" w:rsidRPr="003D75E2" w:rsidRDefault="002F4A7B" w:rsidP="0017107E">
            <w:pPr>
              <w:jc w:val="both"/>
              <w:rPr>
                <w:rFonts w:ascii="Verdana" w:eastAsia="Calibri" w:hAnsi="Verdana" w:cs="Arial"/>
                <w:lang w:val="es-ES" w:eastAsia="es-ES"/>
              </w:rPr>
            </w:pPr>
            <w:r w:rsidRPr="003D75E2">
              <w:rPr>
                <w:rFonts w:ascii="Verdana" w:eastAsia="Calibri" w:hAnsi="Verdana" w:cs="Arial"/>
                <w:lang w:val="es-ES" w:eastAsia="es-ES"/>
              </w:rPr>
              <w:t xml:space="preserve">  </w:t>
            </w:r>
          </w:p>
        </w:tc>
      </w:tr>
      <w:tr w:rsidR="002F4A7B" w:rsidRPr="003D75E2" w14:paraId="3DC436F0" w14:textId="77777777" w:rsidTr="00827BA6">
        <w:tc>
          <w:tcPr>
            <w:tcW w:w="2689" w:type="dxa"/>
          </w:tcPr>
          <w:p w14:paraId="276751EA" w14:textId="77777777" w:rsidR="002F4A7B" w:rsidRPr="003D75E2" w:rsidRDefault="002F4A7B" w:rsidP="003D75E2">
            <w:pPr>
              <w:jc w:val="both"/>
              <w:rPr>
                <w:rFonts w:ascii="Verdana" w:eastAsia="Calibri" w:hAnsi="Verdana" w:cs="Arial"/>
                <w:b/>
                <w:lang w:val="es-ES_tradnl" w:eastAsia="es-ES_tradnl"/>
              </w:rPr>
            </w:pPr>
            <w:r w:rsidRPr="003D75E2">
              <w:rPr>
                <w:rFonts w:ascii="Verdana" w:eastAsia="Calibri" w:hAnsi="Verdana" w:cs="Arial"/>
                <w:b/>
                <w:lang w:val="es-ES_tradnl" w:eastAsia="es-ES_tradnl"/>
              </w:rPr>
              <w:t>Radicación:</w:t>
            </w:r>
            <w:r w:rsidRPr="003D75E2">
              <w:rPr>
                <w:rFonts w:ascii="Verdana" w:eastAsia="Calibri" w:hAnsi="Verdana" w:cs="Arial"/>
                <w:lang w:val="es-ES_tradnl" w:eastAsia="es-ES_tradnl"/>
              </w:rPr>
              <w:t xml:space="preserve">               </w:t>
            </w:r>
          </w:p>
        </w:tc>
        <w:tc>
          <w:tcPr>
            <w:tcW w:w="6100" w:type="dxa"/>
          </w:tcPr>
          <w:p w14:paraId="41BE54B3" w14:textId="77777777" w:rsidR="002F4A7B" w:rsidRPr="003D75E2" w:rsidRDefault="002F4A7B" w:rsidP="003D75E2">
            <w:pPr>
              <w:jc w:val="both"/>
              <w:rPr>
                <w:rFonts w:ascii="Verdana" w:eastAsia="Calibri" w:hAnsi="Verdana" w:cs="Arial"/>
                <w:lang w:eastAsia="es-ES_tradnl"/>
              </w:rPr>
            </w:pPr>
            <w:r w:rsidRPr="003D75E2">
              <w:rPr>
                <w:rFonts w:ascii="Verdana" w:eastAsia="Calibri" w:hAnsi="Verdana" w:cs="Arial"/>
                <w:lang w:val="es-ES_tradnl" w:eastAsia="es-ES_tradnl"/>
              </w:rPr>
              <w:t xml:space="preserve">Respuesta a la consulta con radicado No. P20250411003540                                     </w:t>
            </w:r>
          </w:p>
        </w:tc>
      </w:tr>
    </w:tbl>
    <w:p w14:paraId="6FD8034E" w14:textId="77777777" w:rsidR="002F4A7B" w:rsidRPr="003D75E2" w:rsidRDefault="002F4A7B" w:rsidP="0017107E">
      <w:pPr>
        <w:spacing w:after="0" w:line="240" w:lineRule="auto"/>
        <w:jc w:val="both"/>
        <w:rPr>
          <w:rFonts w:ascii="Verdana" w:eastAsia="Calibri" w:hAnsi="Verdana" w:cs="Arial"/>
          <w:color w:val="000000"/>
          <w:lang w:val="es-ES_tradnl" w:eastAsia="es-ES_tradnl"/>
        </w:rPr>
      </w:pPr>
    </w:p>
    <w:p w14:paraId="4D03C298" w14:textId="77777777" w:rsidR="002F4A7B" w:rsidRPr="003D75E2" w:rsidRDefault="002F4A7B" w:rsidP="0017107E">
      <w:pPr>
        <w:spacing w:after="0" w:line="240" w:lineRule="auto"/>
        <w:jc w:val="both"/>
        <w:rPr>
          <w:rFonts w:ascii="Verdana" w:eastAsia="Calibri" w:hAnsi="Verdana" w:cs="Arial"/>
          <w:color w:val="000000"/>
          <w:lang w:val="es-ES_tradnl" w:eastAsia="es-ES_tradnl"/>
        </w:rPr>
      </w:pPr>
    </w:p>
    <w:p w14:paraId="244D136B" w14:textId="77777777" w:rsidR="002F4A7B" w:rsidRPr="003D75E2" w:rsidRDefault="002F4A7B" w:rsidP="003D75E2">
      <w:pPr>
        <w:spacing w:after="0" w:line="276" w:lineRule="auto"/>
        <w:jc w:val="both"/>
        <w:rPr>
          <w:rFonts w:ascii="Verdana" w:eastAsia="Calibri" w:hAnsi="Verdana" w:cs="Arial"/>
          <w:lang w:val="es-ES" w:eastAsia="es-ES"/>
        </w:rPr>
      </w:pPr>
      <w:r w:rsidRPr="003D75E2">
        <w:rPr>
          <w:rFonts w:ascii="Verdana" w:eastAsia="Calibri" w:hAnsi="Verdana" w:cs="Arial"/>
          <w:lang w:val="es-ES" w:eastAsia="es-ES"/>
        </w:rPr>
        <w:t xml:space="preserve">Estimado señor Valle Muñoz: </w:t>
      </w:r>
    </w:p>
    <w:p w14:paraId="3BEEAD50" w14:textId="77777777" w:rsidR="002F4A7B" w:rsidRPr="00277E26" w:rsidRDefault="002F4A7B" w:rsidP="003D75E2">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4E7BADCE" w14:textId="77777777" w:rsidR="002F4A7B" w:rsidRPr="00277E26" w:rsidRDefault="002F4A7B" w:rsidP="003D75E2">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11 de abril de 2025</w:t>
      </w:r>
      <w:r w:rsidRPr="00277E26">
        <w:rPr>
          <w:rFonts w:ascii="Verdana" w:eastAsia="Calibri" w:hAnsi="Verdana" w:cs="Arial"/>
          <w:lang w:val="es-ES" w:eastAsia="es-ES"/>
        </w:rPr>
        <w:t xml:space="preserve">, en la cual </w:t>
      </w:r>
      <w:r>
        <w:rPr>
          <w:rFonts w:ascii="Verdana" w:eastAsia="Calibri" w:hAnsi="Verdana" w:cs="Arial"/>
          <w:lang w:val="es-ES" w:eastAsia="es-ES"/>
        </w:rPr>
        <w:t>manifiesta lo siguiente:</w:t>
      </w:r>
      <w:r w:rsidRPr="00277E26">
        <w:rPr>
          <w:rFonts w:ascii="Verdana" w:eastAsia="Calibri" w:hAnsi="Verdana" w:cs="Arial"/>
          <w:lang w:val="es-ES" w:eastAsia="es-ES"/>
        </w:rPr>
        <w:t xml:space="preserve"> </w:t>
      </w:r>
    </w:p>
    <w:p w14:paraId="79C78635" w14:textId="77777777" w:rsidR="002F4A7B" w:rsidRPr="00277E26" w:rsidRDefault="002F4A7B" w:rsidP="003D75E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E40E7E7" w14:textId="77777777" w:rsidR="00C72B64" w:rsidRDefault="002F4A7B" w:rsidP="00C72B64">
      <w:pPr>
        <w:spacing w:after="0" w:line="240" w:lineRule="auto"/>
        <w:ind w:left="709" w:right="709"/>
        <w:jc w:val="both"/>
        <w:rPr>
          <w:rFonts w:ascii="Verdana" w:eastAsia="Century Gothic" w:hAnsi="Verdana" w:cs="Century Gothic"/>
          <w:sz w:val="20"/>
          <w:szCs w:val="20"/>
          <w:lang w:val="es-ES"/>
        </w:rPr>
      </w:pPr>
      <w:bookmarkStart w:id="2" w:name="_Hlk95313578"/>
      <w:r w:rsidRPr="0017107E">
        <w:rPr>
          <w:rFonts w:ascii="Verdana" w:eastAsia="Century Gothic" w:hAnsi="Verdana" w:cs="Century Gothic"/>
          <w:sz w:val="20"/>
          <w:szCs w:val="20"/>
          <w:lang w:val="es-ES"/>
        </w:rPr>
        <w:t>“</w:t>
      </w:r>
      <w:bookmarkEnd w:id="2"/>
      <w:r w:rsidRPr="0017107E">
        <w:rPr>
          <w:rFonts w:ascii="Verdana" w:eastAsia="Century Gothic" w:hAnsi="Verdana" w:cs="Century Gothic"/>
          <w:sz w:val="20"/>
          <w:szCs w:val="20"/>
          <w:lang w:val="es-ES"/>
        </w:rPr>
        <w:t>A pesar de que el TLC se está aplicando dentro de los márgenes legales por parte de los organismos colombianos, persiste cierta arbitrariedad a la hora de aplicarlo, lo que genera incertidumbre a las empresas españolas, que no recibirían los puntajes que se asignan de apoyo a la industria nacional, lo cual no va en consonancia con el espíritu del Acuerdo.</w:t>
      </w:r>
    </w:p>
    <w:p w14:paraId="76749F4E" w14:textId="1E4A2A2E" w:rsidR="002F4A7B" w:rsidRPr="0017107E" w:rsidRDefault="002F4A7B" w:rsidP="0017107E">
      <w:pPr>
        <w:spacing w:after="0" w:line="240" w:lineRule="auto"/>
        <w:ind w:left="709" w:right="709"/>
        <w:jc w:val="both"/>
        <w:rPr>
          <w:rFonts w:ascii="Verdana" w:eastAsia="Century Gothic" w:hAnsi="Verdana" w:cs="Century Gothic"/>
          <w:sz w:val="20"/>
          <w:szCs w:val="20"/>
          <w:lang w:val="es-ES"/>
        </w:rPr>
      </w:pPr>
      <w:r w:rsidRPr="0017107E">
        <w:rPr>
          <w:rFonts w:ascii="Verdana" w:eastAsia="Century Gothic" w:hAnsi="Verdana" w:cs="Century Gothic"/>
          <w:sz w:val="20"/>
          <w:szCs w:val="20"/>
          <w:lang w:val="es-ES"/>
        </w:rPr>
        <w:t xml:space="preserve"> </w:t>
      </w:r>
    </w:p>
    <w:p w14:paraId="73105D82" w14:textId="77777777" w:rsidR="002F4A7B" w:rsidRPr="0017107E" w:rsidRDefault="002F4A7B" w:rsidP="00C72B64">
      <w:pPr>
        <w:spacing w:after="0" w:line="240" w:lineRule="auto"/>
        <w:ind w:left="709" w:right="709"/>
        <w:jc w:val="both"/>
        <w:rPr>
          <w:rFonts w:ascii="Verdana" w:eastAsia="Century Gothic" w:hAnsi="Verdana" w:cs="Century Gothic"/>
          <w:sz w:val="20"/>
          <w:szCs w:val="20"/>
          <w:lang w:val="es-ES"/>
        </w:rPr>
      </w:pPr>
      <w:r w:rsidRPr="0017107E">
        <w:rPr>
          <w:rFonts w:ascii="Verdana" w:eastAsia="Century Gothic" w:hAnsi="Verdana" w:cs="Century Gothic"/>
          <w:sz w:val="20"/>
          <w:szCs w:val="20"/>
          <w:lang w:val="es-ES"/>
        </w:rPr>
        <w:t xml:space="preserve">Recientemente se ha evidenciado algún tropiezo en procesos de contratación que lidera Findeter, en el marco de los cuales, se han presentado ciertos inconvenientes, tanto respecto del Trato Nacional, </w:t>
      </w:r>
      <w:r w:rsidRPr="0017107E">
        <w:rPr>
          <w:rFonts w:ascii="Verdana" w:eastAsia="Century Gothic" w:hAnsi="Verdana" w:cs="Century Gothic"/>
          <w:sz w:val="20"/>
          <w:szCs w:val="20"/>
          <w:lang w:val="es-ES"/>
        </w:rPr>
        <w:lastRenderedPageBreak/>
        <w:t>como de la experiencia que se solicita, limitándola a experiencias en el territorio colombiano, lo que implica que empresas españolas con inmensa trayectoria, y que están interesadas en invertir en el país, pierdan la oportunidad de resultar adjudicatarios en procesos de selección tanto para el desarrollo de infraestructura, como para su supervisión técnica”.</w:t>
      </w:r>
      <w:r w:rsidRPr="00C72B64">
        <w:rPr>
          <w:rFonts w:ascii="Verdana" w:eastAsia="Century Gothic" w:hAnsi="Verdana" w:cs="Century Gothic"/>
          <w:sz w:val="20"/>
          <w:szCs w:val="20"/>
          <w:lang w:val="es-ES"/>
        </w:rPr>
        <w:t xml:space="preserve"> </w:t>
      </w:r>
    </w:p>
    <w:p w14:paraId="55E02CE6" w14:textId="77777777" w:rsidR="002F4A7B" w:rsidRPr="00277E26" w:rsidRDefault="002F4A7B" w:rsidP="002F4A7B">
      <w:pPr>
        <w:spacing w:after="0" w:line="276" w:lineRule="auto"/>
        <w:jc w:val="both"/>
        <w:rPr>
          <w:rFonts w:ascii="Verdana" w:eastAsia="Calibri" w:hAnsi="Verdana" w:cs="Arial"/>
          <w:color w:val="000000"/>
          <w:lang w:val="es-ES" w:eastAsia="es-ES"/>
        </w:rPr>
      </w:pPr>
    </w:p>
    <w:p w14:paraId="14276A52" w14:textId="77777777" w:rsidR="002F4A7B" w:rsidRPr="00277E26" w:rsidRDefault="002F4A7B" w:rsidP="002F4A7B">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47267B71" w14:textId="77777777" w:rsidR="002F4A7B" w:rsidRPr="00277E26" w:rsidRDefault="002F4A7B" w:rsidP="002F4A7B">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2A5A8BF9" w14:textId="77777777" w:rsidR="002F4A7B" w:rsidRPr="00277E26" w:rsidRDefault="002F4A7B" w:rsidP="002F4A7B">
      <w:pPr>
        <w:spacing w:after="0" w:line="276" w:lineRule="auto"/>
        <w:ind w:firstLine="709"/>
        <w:jc w:val="both"/>
        <w:rPr>
          <w:rFonts w:ascii="Verdana" w:eastAsia="Calibri" w:hAnsi="Verdana" w:cs="Arial"/>
          <w:color w:val="000000"/>
          <w:lang w:val="es-ES" w:eastAsia="es-ES"/>
        </w:rPr>
      </w:pPr>
    </w:p>
    <w:p w14:paraId="6EB894D7" w14:textId="77777777" w:rsidR="002F4A7B" w:rsidRPr="00277E26" w:rsidRDefault="002F4A7B" w:rsidP="002F4A7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Problema planteado:</w:t>
      </w:r>
    </w:p>
    <w:p w14:paraId="3A32DD96" w14:textId="77777777" w:rsidR="002F4A7B" w:rsidRPr="00277E26" w:rsidRDefault="002F4A7B" w:rsidP="002F4A7B">
      <w:pPr>
        <w:tabs>
          <w:tab w:val="left" w:pos="426"/>
        </w:tabs>
        <w:spacing w:after="0" w:line="276" w:lineRule="auto"/>
        <w:jc w:val="both"/>
        <w:rPr>
          <w:rFonts w:ascii="Verdana" w:eastAsia="Century Gothic" w:hAnsi="Verdana" w:cs="Century Gothic"/>
          <w:lang w:val="es-ES"/>
        </w:rPr>
      </w:pPr>
    </w:p>
    <w:p w14:paraId="4C6BA978" w14:textId="550CB081" w:rsidR="002F4A7B" w:rsidRPr="00277E26" w:rsidRDefault="002F4A7B" w:rsidP="002F4A7B">
      <w:pPr>
        <w:spacing w:after="0" w:line="276" w:lineRule="auto"/>
        <w:jc w:val="both"/>
        <w:rPr>
          <w:rFonts w:ascii="Verdana" w:eastAsia="Century Gothic" w:hAnsi="Verdana" w:cs="Century Gothic"/>
        </w:rPr>
      </w:pPr>
      <w:r w:rsidRPr="00277E26">
        <w:rPr>
          <w:rFonts w:ascii="Verdana" w:eastAsia="Century Gothic" w:hAnsi="Verdana" w:cs="Century Gothic"/>
        </w:rPr>
        <w:t>De acuerdo con el contenido de su solicitud, esta Agencia resolverá el siguiente problema jurídico: ¿</w:t>
      </w:r>
      <w:r w:rsidR="00674FC5" w:rsidRPr="00277E26">
        <w:rPr>
          <w:rFonts w:ascii="Verdana" w:eastAsia="Century Gothic" w:hAnsi="Verdana" w:cs="Century Gothic"/>
        </w:rPr>
        <w:t xml:space="preserve">Cuál </w:t>
      </w:r>
      <w:r>
        <w:rPr>
          <w:rFonts w:ascii="Verdana" w:eastAsia="Century Gothic" w:hAnsi="Verdana" w:cs="Century Gothic"/>
        </w:rPr>
        <w:t>es el marco jurídico general para la participación de sociedades extranjeras en el sistema de compras públicas</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59514299" w14:textId="77777777" w:rsidR="002F4A7B" w:rsidRPr="00277E26" w:rsidRDefault="002F4A7B" w:rsidP="002F4A7B">
      <w:pPr>
        <w:spacing w:after="0" w:line="276" w:lineRule="auto"/>
        <w:jc w:val="both"/>
        <w:rPr>
          <w:rFonts w:ascii="Verdana" w:eastAsia="Calibri" w:hAnsi="Verdana" w:cs="Arial"/>
          <w:color w:val="7030A0"/>
        </w:rPr>
      </w:pPr>
    </w:p>
    <w:p w14:paraId="1D74D7E7" w14:textId="77777777" w:rsidR="002F4A7B" w:rsidRPr="00277E26" w:rsidRDefault="002F4A7B" w:rsidP="002F4A7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p>
    <w:p w14:paraId="268B771C" w14:textId="77777777" w:rsidR="002F4A7B" w:rsidRPr="00277E26" w:rsidRDefault="002F4A7B" w:rsidP="002F4A7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4A7B" w:rsidRPr="00593A5F" w14:paraId="32DC4DF5" w14:textId="77777777" w:rsidTr="00827BA6">
        <w:trPr>
          <w:jc w:val="center"/>
        </w:trPr>
        <w:tc>
          <w:tcPr>
            <w:tcW w:w="8828" w:type="dxa"/>
            <w:shd w:val="clear" w:color="auto" w:fill="auto"/>
          </w:tcPr>
          <w:p w14:paraId="4F653DDE" w14:textId="77777777" w:rsidR="002F4A7B" w:rsidRPr="00750535" w:rsidRDefault="002F4A7B" w:rsidP="00827BA6">
            <w:pPr>
              <w:spacing w:after="120" w:line="276" w:lineRule="auto"/>
              <w:jc w:val="both"/>
              <w:rPr>
                <w:rFonts w:ascii="Verdana" w:eastAsia="Calibri" w:hAnsi="Verdana" w:cs="Arial"/>
                <w:color w:val="000000" w:themeColor="text1"/>
              </w:rPr>
            </w:pPr>
            <w:bookmarkStart w:id="3" w:name="_Hlk171694685"/>
            <w:r w:rsidRPr="00750535">
              <w:rPr>
                <w:rFonts w:ascii="Verdana" w:eastAsia="Calibri" w:hAnsi="Verdana" w:cs="Arial"/>
                <w:color w:val="000000" w:themeColor="text1"/>
              </w:rPr>
              <w:t xml:space="preserve">Salvo las convocatorias limitadas a </w:t>
            </w:r>
            <w:proofErr w:type="spellStart"/>
            <w:r w:rsidRPr="00750535">
              <w:rPr>
                <w:rFonts w:ascii="Verdana" w:eastAsia="Calibri" w:hAnsi="Verdana" w:cs="Arial"/>
                <w:color w:val="000000" w:themeColor="text1"/>
              </w:rPr>
              <w:t>Mipymes</w:t>
            </w:r>
            <w:proofErr w:type="spellEnd"/>
            <w:r w:rsidRPr="00750535">
              <w:rPr>
                <w:rFonts w:ascii="Verdana" w:eastAsia="Calibri" w:hAnsi="Verdana" w:cs="Arial"/>
                <w:color w:val="000000" w:themeColor="text1"/>
              </w:rPr>
              <w:t xml:space="preserve"> nacionales o territoriales,</w:t>
            </w:r>
            <w:r w:rsidRPr="00750535">
              <w:rPr>
                <w:rFonts w:ascii="Verdana" w:hAnsi="Verdana" w:cs="Arial"/>
              </w:rPr>
              <w:t xml:space="preserve"> los principios de igualdad y concurrencia rigen en los procedimientos de selección competitivos de las entidades sometidas al Estatuto General de Contratación</w:t>
            </w:r>
            <w:r w:rsidRPr="00750535">
              <w:rPr>
                <w:rFonts w:ascii="Verdana" w:eastAsia="Calibri" w:hAnsi="Verdana" w:cs="Arial"/>
                <w:color w:val="000000" w:themeColor="text1"/>
              </w:rPr>
              <w:t xml:space="preserve">. Ambos se concretan en la prohibición de limitar la presentación de ofertas, pues son importantes para evitar discriminaciones por razón de la nacionalidad pretendiendo favorecer a los nacionales frente a extranjeros, y también se </w:t>
            </w:r>
            <w:r w:rsidRPr="00750535">
              <w:rPr>
                <w:rFonts w:ascii="Verdana" w:eastAsia="Calibri" w:hAnsi="Verdana" w:cs="Arial"/>
                <w:color w:val="000000" w:themeColor="text1"/>
              </w:rPr>
              <w:lastRenderedPageBreak/>
              <w:t>oponen a la exigencia de criterios de territorialidad que vulneren la libertad de empresa en una economía de mercado.</w:t>
            </w:r>
            <w:r>
              <w:rPr>
                <w:rFonts w:ascii="Verdana" w:eastAsia="Calibri" w:hAnsi="Verdana" w:cs="Arial"/>
                <w:color w:val="000000" w:themeColor="text1"/>
              </w:rPr>
              <w:t xml:space="preserve"> </w:t>
            </w:r>
          </w:p>
          <w:p w14:paraId="7A035F89" w14:textId="77777777" w:rsidR="002F4A7B" w:rsidRPr="00750535" w:rsidRDefault="002F4A7B" w:rsidP="00827BA6">
            <w:pPr>
              <w:tabs>
                <w:tab w:val="left" w:pos="0"/>
              </w:tabs>
              <w:spacing w:line="276" w:lineRule="auto"/>
              <w:jc w:val="both"/>
              <w:rPr>
                <w:rFonts w:ascii="Verdana" w:eastAsia="Calibri" w:hAnsi="Verdana" w:cs="Arial"/>
                <w:bCs/>
                <w:color w:val="000000" w:themeColor="text1"/>
                <w:lang w:val="es-ES_tradnl"/>
              </w:rPr>
            </w:pPr>
            <w:r w:rsidRPr="00750535">
              <w:rPr>
                <w:rFonts w:ascii="Verdana" w:eastAsia="Calibri" w:hAnsi="Verdana" w:cs="Arial"/>
                <w:color w:val="000000"/>
                <w:lang w:val="es-ES_tradnl"/>
              </w:rPr>
              <w:tab/>
              <w:t xml:space="preserve">Esta posibilidad de que los extranjeros concurran a los procedimientos de selección adelantados en Colombia también se fundamenta en el artículo 20 de la Ley 80 de 1993. Dicha norma </w:t>
            </w:r>
            <w:r w:rsidRPr="00750535">
              <w:rPr>
                <w:rFonts w:ascii="Verdana" w:eastAsia="Calibri" w:hAnsi="Verdana" w:cs="Arial"/>
                <w:bCs/>
                <w:color w:val="000000" w:themeColor="text1"/>
                <w:lang w:val="es-ES_tradnl"/>
              </w:rPr>
              <w:t xml:space="preserve">consagra el </w:t>
            </w:r>
            <w:r w:rsidRPr="00750535">
              <w:rPr>
                <w:rFonts w:ascii="Verdana" w:eastAsia="Calibri" w:hAnsi="Verdana" w:cs="Arial"/>
                <w:bCs/>
                <w:i/>
                <w:iCs/>
                <w:color w:val="000000" w:themeColor="text1"/>
                <w:lang w:val="es-ES_tradnl"/>
              </w:rPr>
              <w:t>principio de reciprocidad</w:t>
            </w:r>
            <w:r w:rsidRPr="00750535">
              <w:rPr>
                <w:rFonts w:ascii="Verdana" w:eastAsia="Calibri" w:hAnsi="Verdana"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r>
              <w:rPr>
                <w:rFonts w:ascii="Verdana" w:eastAsia="Calibri" w:hAnsi="Verdana" w:cs="Arial"/>
                <w:bCs/>
                <w:color w:val="000000" w:themeColor="text1"/>
                <w:lang w:val="es-ES_tradnl"/>
              </w:rPr>
              <w:t xml:space="preserve"> </w:t>
            </w:r>
            <w:r w:rsidRPr="00750535">
              <w:rPr>
                <w:rFonts w:ascii="Verdana" w:eastAsia="Calibri" w:hAnsi="Verdana" w:cs="Arial"/>
                <w:bCs/>
                <w:color w:val="000000" w:themeColor="text1"/>
                <w:lang w:val="es-ES_tradnl"/>
              </w:rPr>
              <w:t xml:space="preserve">El efecto de dicho beneficio es la asignación del puntaje previsto en la Ley 816 de 2003. </w:t>
            </w:r>
          </w:p>
          <w:p w14:paraId="6E750E91" w14:textId="77777777" w:rsidR="002F4A7B" w:rsidRPr="00750535" w:rsidRDefault="002F4A7B" w:rsidP="00827BA6">
            <w:pPr>
              <w:spacing w:before="120" w:after="120" w:line="276" w:lineRule="auto"/>
              <w:jc w:val="both"/>
              <w:rPr>
                <w:rFonts w:ascii="Verdana" w:eastAsia="Calibri" w:hAnsi="Verdana" w:cs="Arial"/>
                <w:color w:val="000000" w:themeColor="text1"/>
              </w:rPr>
            </w:pPr>
            <w:r w:rsidRPr="00750535">
              <w:rPr>
                <w:rFonts w:ascii="Verdana" w:eastAsia="Calibri" w:hAnsi="Verdana" w:cs="Arial"/>
                <w:bCs/>
                <w:color w:val="000000" w:themeColor="text1"/>
                <w:lang w:val="es-ES_tradnl"/>
              </w:rPr>
              <w:tab/>
            </w:r>
            <w:bookmarkStart w:id="4" w:name="_Hlk161328404"/>
            <w:r>
              <w:rPr>
                <w:rFonts w:ascii="Verdana" w:eastAsia="Calibri" w:hAnsi="Verdana" w:cs="Arial"/>
                <w:bCs/>
                <w:color w:val="000000" w:themeColor="text1"/>
                <w:lang w:val="es-ES_tradnl"/>
              </w:rPr>
              <w:t>E</w:t>
            </w:r>
            <w:r w:rsidRPr="00750535">
              <w:rPr>
                <w:rFonts w:ascii="Verdana" w:hAnsi="Verdana" w:cs="Arial"/>
                <w:color w:val="000000" w:themeColor="text1"/>
              </w:rPr>
              <w:t xml:space="preserve">s necesario tener en cuenta que –en armonía con las normas del Código de Comercio– </w:t>
            </w:r>
            <w:r w:rsidRPr="00750535">
              <w:rPr>
                <w:rFonts w:ascii="Verdana" w:eastAsia="Calibri" w:hAnsi="Verdana" w:cs="Arial"/>
                <w:color w:val="000000" w:themeColor="text1"/>
              </w:rPr>
              <w:t>el acápite IV</w:t>
            </w:r>
            <w:r w:rsidRPr="00750535">
              <w:rPr>
                <w:rFonts w:ascii="Verdana" w:hAnsi="Verdana" w:cs="Arial"/>
                <w:color w:val="000000" w:themeColor="text1"/>
              </w:rPr>
              <w:t xml:space="preserve"> de la “Guía de Asuntos Corporativos en los Procesos de </w:t>
            </w:r>
            <w:proofErr w:type="spellStart"/>
            <w:r w:rsidRPr="00750535">
              <w:rPr>
                <w:rFonts w:ascii="Verdana" w:hAnsi="Verdana" w:cs="Arial"/>
                <w:color w:val="000000" w:themeColor="text1"/>
              </w:rPr>
              <w:t>Contratación</w:t>
            </w:r>
            <w:proofErr w:type="spellEnd"/>
            <w:r w:rsidRPr="00750535">
              <w:rPr>
                <w:rFonts w:ascii="Verdana" w:hAnsi="Verdana" w:cs="Arial"/>
                <w:color w:val="000000" w:themeColor="text1"/>
              </w:rPr>
              <w:t xml:space="preserve">”, expedida por la </w:t>
            </w:r>
            <w:r w:rsidRPr="00750535">
              <w:rPr>
                <w:rFonts w:ascii="Verdana" w:eastAsia="Calibri" w:hAnsi="Verdana" w:cs="Arial"/>
                <w:color w:val="000000" w:themeColor="text1"/>
              </w:rPr>
              <w:t>Agencia Nacional de Contratación Pública – Colombia Compra Eficiente, precisa que “</w:t>
            </w:r>
            <w:r w:rsidRPr="00750535">
              <w:rPr>
                <w:rFonts w:ascii="Verdana" w:eastAsia="Calibri" w:hAnsi="Verdana"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750535">
              <w:rPr>
                <w:rFonts w:ascii="Verdana" w:eastAsia="Calibri" w:hAnsi="Verdana" w:cs="Arial"/>
                <w:color w:val="000000" w:themeColor="text1"/>
              </w:rPr>
              <w:t xml:space="preserve"> </w:t>
            </w:r>
            <w:bookmarkEnd w:id="4"/>
          </w:p>
          <w:p w14:paraId="1BBCBE00" w14:textId="6526999F" w:rsidR="002F4A7B" w:rsidRPr="00750535" w:rsidRDefault="002F4A7B" w:rsidP="00827BA6">
            <w:pPr>
              <w:spacing w:after="120" w:line="276" w:lineRule="auto"/>
              <w:jc w:val="both"/>
              <w:rPr>
                <w:rFonts w:ascii="Verdana" w:eastAsia="Calibri" w:hAnsi="Verdana" w:cs="Arial"/>
                <w:color w:val="000000" w:themeColor="text1"/>
              </w:rPr>
            </w:pPr>
            <w:r w:rsidRPr="00750535">
              <w:rPr>
                <w:rFonts w:ascii="Verdana" w:eastAsia="Calibri" w:hAnsi="Verdana" w:cs="Arial"/>
                <w:color w:val="000000" w:themeColor="text1"/>
              </w:rPr>
              <w:tab/>
              <w:t xml:space="preserve">No obstante, si la convocatoria se limita a </w:t>
            </w:r>
            <w:proofErr w:type="spellStart"/>
            <w:r w:rsidRPr="00750535">
              <w:rPr>
                <w:rFonts w:ascii="Verdana" w:eastAsia="Calibri" w:hAnsi="Verdana" w:cs="Arial"/>
                <w:color w:val="000000" w:themeColor="text1"/>
              </w:rPr>
              <w:t>Mipymes</w:t>
            </w:r>
            <w:proofErr w:type="spellEnd"/>
            <w:r w:rsidRPr="00750535">
              <w:rPr>
                <w:rFonts w:ascii="Verdana" w:eastAsia="Calibri" w:hAnsi="Verdana" w:cs="Arial"/>
                <w:color w:val="000000" w:themeColor="text1"/>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en razón de la nacionalidad. En contraste, si la convocatoria limitada beneficia a las </w:t>
            </w:r>
            <w:proofErr w:type="spellStart"/>
            <w:r w:rsidRPr="00750535">
              <w:rPr>
                <w:rFonts w:ascii="Verdana" w:eastAsia="Calibri" w:hAnsi="Verdana" w:cs="Arial"/>
                <w:color w:val="000000" w:themeColor="text1"/>
              </w:rPr>
              <w:t>Mipymes</w:t>
            </w:r>
            <w:proofErr w:type="spellEnd"/>
            <w:r w:rsidRPr="00750535">
              <w:rPr>
                <w:rFonts w:ascii="Verdana" w:eastAsia="Calibri" w:hAnsi="Verdana" w:cs="Arial"/>
                <w:color w:val="000000" w:themeColor="text1"/>
              </w:rPr>
              <w:t xml:space="preserve"> del municipio o departamento correspondiente al de la ejecución del contrato, también quedan excluidas –además de los anteriores– las </w:t>
            </w:r>
            <w:proofErr w:type="spellStart"/>
            <w:r w:rsidRPr="00750535">
              <w:rPr>
                <w:rFonts w:ascii="Verdana" w:eastAsia="Calibri" w:hAnsi="Verdana" w:cs="Arial"/>
                <w:color w:val="000000" w:themeColor="text1"/>
              </w:rPr>
              <w:t>Mipymes</w:t>
            </w:r>
            <w:proofErr w:type="spellEnd"/>
            <w:r w:rsidRPr="00750535">
              <w:rPr>
                <w:rFonts w:ascii="Verdana" w:eastAsia="Calibri" w:hAnsi="Verdana" w:cs="Arial"/>
                <w:color w:val="000000" w:themeColor="text1"/>
              </w:rPr>
              <w:t xml:space="preserve"> de otros lugares de Colombia. Es decir, el parágrafo 1 del artículo 12 de la Ley 1150 de 2007 y el artículo 2.2.1.2.4.2.3 del Decreto 1082 de 2015 establece un trato privilegiado que se fundamenta en el territorio.  </w:t>
            </w:r>
          </w:p>
          <w:p w14:paraId="32D1BA14" w14:textId="77777777" w:rsidR="002F4A7B" w:rsidRPr="00750535" w:rsidRDefault="002F4A7B" w:rsidP="00827BA6">
            <w:pPr>
              <w:spacing w:before="120" w:line="276" w:lineRule="auto"/>
              <w:ind w:firstLine="709"/>
              <w:jc w:val="both"/>
              <w:rPr>
                <w:rFonts w:ascii="Century Gothic" w:eastAsia="Times New Roman" w:hAnsi="Century Gothic" w:cs="Arial"/>
                <w:color w:val="000000"/>
                <w:sz w:val="24"/>
                <w:szCs w:val="24"/>
                <w:lang w:val="es-ES_tradnl" w:eastAsia="es-ES_tradnl"/>
              </w:rPr>
            </w:pPr>
            <w:r w:rsidRPr="00B376E3">
              <w:rPr>
                <w:rFonts w:ascii="Verdana" w:eastAsia="Century Gothic" w:hAnsi="Verdana" w:cs="Century Gothic"/>
                <w:lang w:val="es-ES"/>
              </w:rPr>
              <w:t xml:space="preserve">Al margen de la explicación precedente debe advertirse que el análisis requerido para resolver problemas específicos en torno a la gestión contractual de las entidades públicas debe ser realizado por quienes tengan interés en </w:t>
            </w:r>
            <w:r w:rsidRPr="00B376E3">
              <w:rPr>
                <w:rFonts w:ascii="Verdana" w:eastAsia="Century Gothic" w:hAnsi="Verdana" w:cs="Century Gothic"/>
                <w:lang w:val="es-ES"/>
              </w:rPr>
              <w:lastRenderedPageBreak/>
              <w:t xml:space="preserve">ello, de acuerdo con lo explicado la aclaración preliminar del presente oficio. </w:t>
            </w:r>
            <w:r>
              <w:rPr>
                <w:rFonts w:ascii="Verdana" w:eastAsia="Century Gothic" w:hAnsi="Verdana" w:cs="Century Gothic"/>
                <w:lang w:val="es-ES"/>
              </w:rPr>
              <w:t>S</w:t>
            </w:r>
            <w:r w:rsidRPr="00BF319B">
              <w:rPr>
                <w:rFonts w:ascii="Verdana" w:eastAsia="Times New Roman" w:hAnsi="Verdana" w:cs="Arial"/>
                <w:color w:val="000000"/>
                <w:lang w:val="es-ES_tradnl" w:eastAsia="es-ES_tradnl"/>
              </w:rPr>
              <w:t xml:space="preserve">i persiste la duda sobre la forma de </w:t>
            </w:r>
            <w:r>
              <w:rPr>
                <w:rFonts w:ascii="Verdana" w:hAnsi="Verdana" w:cs="Arial"/>
                <w:color w:val="000000"/>
                <w:lang w:val="es-ES_tradnl" w:eastAsia="es-ES_tradnl"/>
              </w:rPr>
              <w:t>participar</w:t>
            </w:r>
            <w:r w:rsidRPr="00BF319B">
              <w:rPr>
                <w:rFonts w:ascii="Verdana" w:eastAsia="Times New Roman" w:hAnsi="Verdana" w:cs="Arial"/>
                <w:color w:val="000000"/>
                <w:lang w:val="es-ES_tradnl" w:eastAsia="es-ES_tradnl"/>
              </w:rPr>
              <w:t>, los interesados pueden formular observaciones para aclarar sus inquietudes ante la entidad que adelanta el trámite</w:t>
            </w:r>
            <w:r>
              <w:rPr>
                <w:rFonts w:ascii="Verdana" w:hAnsi="Verdana" w:cs="Arial"/>
                <w:color w:val="000000"/>
                <w:lang w:val="es-ES_tradnl" w:eastAsia="es-ES_tradnl"/>
              </w:rPr>
              <w:t xml:space="preserve">. Por lo demás, </w:t>
            </w:r>
            <w:r w:rsidRPr="00BF319B">
              <w:rPr>
                <w:rFonts w:ascii="Verdana" w:eastAsia="Times New Roman" w:hAnsi="Verdana" w:cs="Arial"/>
                <w:color w:val="000000"/>
                <w:lang w:val="es-ES_tradnl" w:eastAsia="es-ES_tradnl"/>
              </w:rPr>
              <w:t>dentro de lo dispuesto por la ley y el reglamento, las entidades tienen un margen de discrecionalidad para la configuración y acreditación de los requisitos habilitantes y los factores de evaluación, sin perjuicio de la regulación especial de las Leyes 2022 de 2020 y 2195 de 2022. De esta manera, cada entidad definirá el contenido de los documentos del proceso, sin que sea atribución de la Agencia Nacional de Contratación Pública – Colombia Compra Eficiente validar las actuaciones realizadas.</w:t>
            </w:r>
          </w:p>
        </w:tc>
      </w:tr>
    </w:tbl>
    <w:p w14:paraId="48A78ECA" w14:textId="77777777" w:rsidR="002F4A7B" w:rsidRPr="00277E26" w:rsidRDefault="002F4A7B" w:rsidP="002F4A7B">
      <w:pPr>
        <w:tabs>
          <w:tab w:val="left" w:pos="142"/>
          <w:tab w:val="left" w:pos="284"/>
        </w:tabs>
        <w:spacing w:after="0" w:line="276" w:lineRule="auto"/>
        <w:jc w:val="both"/>
        <w:rPr>
          <w:rFonts w:ascii="Verdana" w:eastAsia="Century Gothic" w:hAnsi="Verdana" w:cs="Century Gothic"/>
          <w:b/>
          <w:bCs/>
          <w:lang w:val="es-ES"/>
        </w:rPr>
      </w:pPr>
    </w:p>
    <w:bookmarkEnd w:id="3"/>
    <w:p w14:paraId="5F1DAC9A" w14:textId="77777777" w:rsidR="002F4A7B" w:rsidRPr="00277E26" w:rsidRDefault="002F4A7B" w:rsidP="002F4A7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Razones de la respuesta:</w:t>
      </w:r>
    </w:p>
    <w:p w14:paraId="10738C41" w14:textId="77777777" w:rsidR="002F4A7B" w:rsidRPr="00277E26" w:rsidRDefault="002F4A7B" w:rsidP="002F4A7B">
      <w:pPr>
        <w:spacing w:after="0" w:line="276" w:lineRule="auto"/>
        <w:jc w:val="both"/>
        <w:rPr>
          <w:rFonts w:ascii="Verdana" w:eastAsia="Calibri" w:hAnsi="Verdana" w:cs="Arial"/>
          <w:color w:val="7030A0"/>
          <w:lang w:val="es-ES"/>
        </w:rPr>
      </w:pPr>
    </w:p>
    <w:p w14:paraId="3BD85A34" w14:textId="77777777" w:rsidR="002F4A7B" w:rsidRPr="00277E26" w:rsidRDefault="002F4A7B" w:rsidP="002F4A7B">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76094664" w14:textId="77777777" w:rsidR="002F4A7B" w:rsidRPr="002E58FC" w:rsidRDefault="002F4A7B" w:rsidP="002F4A7B">
      <w:pPr>
        <w:spacing w:after="0" w:line="276" w:lineRule="auto"/>
        <w:jc w:val="both"/>
        <w:rPr>
          <w:rFonts w:ascii="Verdana" w:eastAsia="Calibri" w:hAnsi="Verdana" w:cs="Arial"/>
          <w:lang w:val="es-ES"/>
        </w:rPr>
      </w:pPr>
    </w:p>
    <w:p w14:paraId="29A19A35" w14:textId="77777777" w:rsidR="005564F6" w:rsidRDefault="002F4A7B" w:rsidP="0017107E">
      <w:pPr>
        <w:spacing w:after="120" w:line="276" w:lineRule="auto"/>
        <w:jc w:val="both"/>
        <w:rPr>
          <w:rFonts w:ascii="Verdana" w:eastAsia="Calibri" w:hAnsi="Verdana" w:cs="Arial"/>
          <w:color w:val="000000" w:themeColor="text1"/>
        </w:rPr>
      </w:pPr>
      <w:r w:rsidRPr="00BF319B">
        <w:rPr>
          <w:rFonts w:ascii="Verdana" w:eastAsia="Calibri" w:hAnsi="Verdana" w:cs="Arial"/>
          <w:color w:val="000000" w:themeColor="text1"/>
        </w:rPr>
        <w:t xml:space="preserve">i. Salvo las convocatorias limitadas a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nacionales o territoriales que se explicarán en el acápite siguiente, los principios de igualdad y concurrencia rigen en los procedimientos de selección competitivos de las entidades sometidas al Estatuto General de Contratación</w:t>
      </w:r>
      <w:r w:rsidR="009F23A8">
        <w:rPr>
          <w:rFonts w:ascii="Verdana" w:eastAsia="Calibri" w:hAnsi="Verdana" w:cs="Arial"/>
          <w:color w:val="000000" w:themeColor="text1"/>
        </w:rPr>
        <w:t xml:space="preserve"> de la Administración Pública – en adelante EGCAP –</w:t>
      </w:r>
      <w:r w:rsidRPr="00BF319B">
        <w:rPr>
          <w:rFonts w:ascii="Verdana" w:eastAsia="Calibri" w:hAnsi="Verdana" w:cs="Arial"/>
          <w:color w:val="000000" w:themeColor="text1"/>
        </w:rPr>
        <w:t xml:space="preserve">. Con las excepciones previstas en el ordenamiento jurídico, esto significa que debe garantizarse la pluralidad de oferentes como condición necesaria para escoger la oferta más favorable a los intereses de la entidad. </w:t>
      </w:r>
    </w:p>
    <w:p w14:paraId="5CDE71CC" w14:textId="04897D89" w:rsidR="002F4A7B" w:rsidRPr="00BF319B" w:rsidRDefault="002F4A7B" w:rsidP="0017107E">
      <w:pPr>
        <w:spacing w:after="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5CC08888" w14:textId="77777777" w:rsidR="002F4A7B" w:rsidRPr="00BF319B" w:rsidRDefault="002F4A7B" w:rsidP="002F4A7B">
      <w:pPr>
        <w:spacing w:after="0" w:line="276" w:lineRule="auto"/>
        <w:jc w:val="both"/>
        <w:rPr>
          <w:rFonts w:ascii="Verdana" w:eastAsia="Calibri" w:hAnsi="Verdana" w:cs="Arial"/>
          <w:color w:val="000000" w:themeColor="text1"/>
        </w:rPr>
      </w:pPr>
    </w:p>
    <w:p w14:paraId="6142B90C" w14:textId="77777777" w:rsidR="002F4A7B" w:rsidRDefault="002F4A7B" w:rsidP="00B82427">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4B7A617E" w14:textId="77777777" w:rsidR="00863E8B" w:rsidRPr="0017107E" w:rsidRDefault="00863E8B" w:rsidP="00B82427">
      <w:pPr>
        <w:spacing w:after="0" w:line="240" w:lineRule="auto"/>
        <w:ind w:left="709" w:right="709"/>
        <w:jc w:val="both"/>
        <w:rPr>
          <w:rFonts w:ascii="Verdana" w:eastAsia="Calibri" w:hAnsi="Verdana" w:cs="Arial"/>
          <w:color w:val="000000" w:themeColor="text1"/>
          <w:sz w:val="20"/>
          <w:szCs w:val="20"/>
        </w:rPr>
      </w:pPr>
    </w:p>
    <w:p w14:paraId="57C1F3EC" w14:textId="77777777" w:rsidR="002F4A7B" w:rsidRPr="0017107E" w:rsidRDefault="002F4A7B" w:rsidP="0017107E">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lastRenderedPageBreak/>
        <w:t>[…]</w:t>
      </w:r>
    </w:p>
    <w:p w14:paraId="6267086D" w14:textId="77777777" w:rsidR="00863E8B" w:rsidRDefault="00863E8B" w:rsidP="00B82427">
      <w:pPr>
        <w:spacing w:after="0" w:line="240" w:lineRule="auto"/>
        <w:ind w:left="709" w:right="709"/>
        <w:jc w:val="both"/>
        <w:rPr>
          <w:rFonts w:ascii="Verdana" w:eastAsia="Calibri" w:hAnsi="Verdana" w:cs="Arial"/>
          <w:color w:val="000000" w:themeColor="text1"/>
          <w:sz w:val="20"/>
          <w:szCs w:val="20"/>
        </w:rPr>
      </w:pPr>
    </w:p>
    <w:p w14:paraId="46B79A86" w14:textId="32A79760" w:rsidR="002F4A7B" w:rsidRPr="0017107E" w:rsidRDefault="002F4A7B" w:rsidP="0017107E">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4CD3C448" w14:textId="77777777" w:rsidR="00863E8B" w:rsidRDefault="00863E8B" w:rsidP="00B82427">
      <w:pPr>
        <w:spacing w:after="0" w:line="240" w:lineRule="auto"/>
        <w:ind w:left="709" w:right="709"/>
        <w:jc w:val="both"/>
        <w:rPr>
          <w:rFonts w:ascii="Verdana" w:eastAsia="Calibri" w:hAnsi="Verdana" w:cs="Arial"/>
          <w:color w:val="000000" w:themeColor="text1"/>
          <w:sz w:val="20"/>
          <w:szCs w:val="20"/>
        </w:rPr>
      </w:pPr>
    </w:p>
    <w:p w14:paraId="0CAFCED7" w14:textId="64A94548" w:rsidR="002F4A7B" w:rsidRPr="0017107E" w:rsidRDefault="002F4A7B" w:rsidP="00B82427">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17107E">
        <w:rPr>
          <w:rStyle w:val="Refdenotaalpie"/>
          <w:rFonts w:ascii="Verdana" w:eastAsia="Calibri" w:hAnsi="Verdana" w:cs="Arial"/>
          <w:color w:val="000000" w:themeColor="text1"/>
          <w:sz w:val="20"/>
          <w:szCs w:val="20"/>
        </w:rPr>
        <w:footnoteReference w:id="1"/>
      </w:r>
      <w:r w:rsidRPr="0017107E">
        <w:rPr>
          <w:rFonts w:ascii="Verdana" w:eastAsia="Calibri" w:hAnsi="Verdana" w:cs="Arial"/>
          <w:color w:val="000000" w:themeColor="text1"/>
          <w:sz w:val="20"/>
          <w:szCs w:val="20"/>
        </w:rPr>
        <w:t>.</w:t>
      </w:r>
    </w:p>
    <w:p w14:paraId="4F9EBE82" w14:textId="77777777" w:rsidR="002F4A7B" w:rsidRPr="00BF319B" w:rsidRDefault="002F4A7B" w:rsidP="002F4A7B">
      <w:pPr>
        <w:spacing w:after="0" w:line="276" w:lineRule="auto"/>
        <w:jc w:val="both"/>
        <w:rPr>
          <w:rFonts w:ascii="Verdana" w:eastAsia="Calibri" w:hAnsi="Verdana" w:cs="Arial"/>
          <w:color w:val="000000" w:themeColor="text1"/>
        </w:rPr>
      </w:pPr>
    </w:p>
    <w:p w14:paraId="0071FE37" w14:textId="77777777" w:rsidR="00272CD9" w:rsidRDefault="002F4A7B" w:rsidP="00AD7FB1">
      <w:pPr>
        <w:spacing w:after="12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El principio jurídico de la libre concurrencia garantiza la oposición entre los oferentes, y –como contrapartida– establece una prohibición para el Estado de restringir su participación</w:t>
      </w:r>
      <w:r w:rsidRPr="00BF319B">
        <w:rPr>
          <w:rStyle w:val="Refdenotaalpie"/>
          <w:rFonts w:ascii="Verdana" w:eastAsia="Calibri" w:hAnsi="Verdana" w:cs="Arial"/>
          <w:color w:val="000000" w:themeColor="text1"/>
        </w:rPr>
        <w:footnoteReference w:id="2"/>
      </w:r>
      <w:r w:rsidRPr="00BF319B">
        <w:rPr>
          <w:rFonts w:ascii="Verdana" w:eastAsia="Calibri" w:hAnsi="Verdana" w:cs="Arial"/>
          <w:color w:val="000000" w:themeColor="text1"/>
        </w:rPr>
        <w:t>.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w:t>
      </w:r>
      <w:r w:rsidRPr="00BF319B">
        <w:rPr>
          <w:rStyle w:val="Refdenotaalpie"/>
          <w:rFonts w:ascii="Verdana" w:eastAsia="Calibri" w:hAnsi="Verdana" w:cs="Arial"/>
          <w:color w:val="000000" w:themeColor="text1"/>
        </w:rPr>
        <w:footnoteReference w:id="3"/>
      </w:r>
      <w:r w:rsidRPr="00BF319B">
        <w:rPr>
          <w:rFonts w:ascii="Verdana" w:eastAsia="Calibri" w:hAnsi="Verdana" w:cs="Arial"/>
          <w:color w:val="000000" w:themeColor="text1"/>
        </w:rPr>
        <w:t xml:space="preserve">. </w:t>
      </w:r>
    </w:p>
    <w:p w14:paraId="17FF681B" w14:textId="4E6B2B89" w:rsidR="002F4A7B" w:rsidRPr="00BF319B" w:rsidRDefault="002F4A7B" w:rsidP="00AD7FB1">
      <w:pPr>
        <w:spacing w:after="12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Por ello, en el Concepto</w:t>
      </w:r>
      <w:r w:rsidRPr="00BF319B">
        <w:rPr>
          <w:rFonts w:ascii="Verdana" w:eastAsia="Calibri" w:hAnsi="Verdana" w:cs="Arial"/>
          <w:color w:val="000000" w:themeColor="text1"/>
          <w:lang w:val="es-ES"/>
        </w:rPr>
        <w:t xml:space="preserve"> 2201913000006511 del 3 de septiembre de 2019, la Agencia sostuvo que, por regla general, las entidades no pueden exigir como requisito habilitante que el proponente tenga residencia en el lugar donde se </w:t>
      </w:r>
      <w:r w:rsidRPr="00BF319B">
        <w:rPr>
          <w:rFonts w:ascii="Verdana" w:eastAsia="Calibri" w:hAnsi="Verdana" w:cs="Arial"/>
          <w:color w:val="000000" w:themeColor="text1"/>
          <w:lang w:val="es-ES"/>
        </w:rPr>
        <w:lastRenderedPageBreak/>
        <w:t>ejecutará el contrato, pues afecta la libre competencia de los procesos de contratación y es una cláusula discriminatoria, sin dejar de lado que no garantiza la aptitud del proponente para ejecutar el objeto del contrato</w:t>
      </w:r>
      <w:r w:rsidRPr="00BF319B">
        <w:rPr>
          <w:rStyle w:val="Refdenotaalpie"/>
          <w:rFonts w:ascii="Verdana" w:eastAsia="Calibri" w:hAnsi="Verdana" w:cs="Arial"/>
          <w:color w:val="000000" w:themeColor="text1"/>
          <w:lang w:val="es-ES"/>
        </w:rPr>
        <w:footnoteReference w:id="4"/>
      </w:r>
      <w:r w:rsidRPr="00BF319B">
        <w:rPr>
          <w:rFonts w:ascii="Verdana" w:eastAsia="Calibri" w:hAnsi="Verdana" w:cs="Arial"/>
          <w:color w:val="000000" w:themeColor="text1"/>
          <w:lang w:val="es-ES"/>
        </w:rPr>
        <w:t xml:space="preserve"> </w:t>
      </w:r>
      <w:r w:rsidRPr="00BF319B">
        <w:rPr>
          <w:rStyle w:val="Refdenotaalpie"/>
          <w:rFonts w:ascii="Verdana" w:eastAsia="Calibri" w:hAnsi="Verdana" w:cs="Arial"/>
          <w:color w:val="000000" w:themeColor="text1"/>
          <w:lang w:val="es-ES"/>
        </w:rPr>
        <w:footnoteReference w:id="5"/>
      </w:r>
      <w:r w:rsidRPr="00BF319B">
        <w:rPr>
          <w:rFonts w:ascii="Verdana" w:eastAsia="Calibri" w:hAnsi="Verdana" w:cs="Arial"/>
          <w:color w:val="000000" w:themeColor="text1"/>
          <w:lang w:val="es-ES"/>
        </w:rPr>
        <w:t>.</w:t>
      </w:r>
      <w:r w:rsidRPr="00BF319B">
        <w:rPr>
          <w:rFonts w:ascii="Verdana" w:eastAsia="Calibri" w:hAnsi="Verdana" w:cs="Arial"/>
          <w:color w:val="000000" w:themeColor="text1"/>
        </w:rPr>
        <w:t xml:space="preserve">    </w:t>
      </w:r>
    </w:p>
    <w:p w14:paraId="3C499658" w14:textId="77777777" w:rsidR="002F4A7B" w:rsidRPr="00BF319B" w:rsidRDefault="002F4A7B" w:rsidP="0017107E">
      <w:pPr>
        <w:spacing w:after="120" w:line="276" w:lineRule="auto"/>
        <w:ind w:firstLine="708"/>
        <w:jc w:val="both"/>
        <w:rPr>
          <w:rFonts w:ascii="Verdana" w:eastAsia="Calibri" w:hAnsi="Verdana" w:cs="Arial"/>
          <w:color w:val="000000"/>
          <w:lang w:val="es-ES"/>
        </w:rPr>
      </w:pPr>
      <w:r w:rsidRPr="50259C15">
        <w:rPr>
          <w:rFonts w:ascii="Verdana" w:eastAsia="Calibri" w:hAnsi="Verdana" w:cs="Arial"/>
          <w:color w:val="000000" w:themeColor="text1"/>
          <w:lang w:val="es-ES"/>
        </w:rPr>
        <w:t>Lo anterior es congruente con el inciso primero del artículo 13 superior, el cual dispone que “Todas las personas nacen libres e iguales ante la ley, recibirán la misma protección y trato de las autoridades y gozarán de los mismos derechos, libertades y oportunidades sin ninguna discriminación por razones […] origen nacional […]”. Asimismo, conforme al artículo 100 constitucional, “</w:t>
      </w:r>
      <w:r w:rsidRPr="50259C15">
        <w:rPr>
          <w:rFonts w:ascii="Verdana" w:eastAsia="Calibri" w:hAnsi="Verdana" w:cs="Arial"/>
          <w:i/>
          <w:iCs/>
          <w:color w:val="000000" w:themeColor="text1"/>
          <w:lang w:val="es-ES"/>
        </w:rPr>
        <w:t>Los extranjeros disfrutarán en Colombia de los mismos derechos civiles que se conceden a los colombianos</w:t>
      </w:r>
      <w:r w:rsidRPr="50259C15">
        <w:rPr>
          <w:rFonts w:ascii="Verdana" w:eastAsia="Calibri" w:hAnsi="Verdana" w:cs="Arial"/>
          <w:color w:val="000000" w:themeColor="text1"/>
          <w:lang w:val="es-ES"/>
        </w:rPr>
        <w:t xml:space="preserve">. No obstante, la ley podrá, por razones de orden público, subordinar a condiciones especiales o negar el ejercicio de determinados derechos civiles a los extranjeros” (Énfasis fuera de texto). De esta manera, como explica la Corte Constitucional en la Sentencia T-147 de 1996, con ponencia de Eduardo Cifuentes Muñoz, “[…] Es evidente </w:t>
      </w:r>
      <w:proofErr w:type="gramStart"/>
      <w:r w:rsidRPr="50259C15">
        <w:rPr>
          <w:rFonts w:ascii="Verdana" w:eastAsia="Calibri" w:hAnsi="Verdana" w:cs="Arial"/>
          <w:color w:val="000000" w:themeColor="text1"/>
          <w:lang w:val="es-ES"/>
        </w:rPr>
        <w:t>que</w:t>
      </w:r>
      <w:proofErr w:type="gramEnd"/>
      <w:r w:rsidRPr="50259C15">
        <w:rPr>
          <w:rFonts w:ascii="Verdana" w:eastAsia="Calibri" w:hAnsi="Verdana" w:cs="Arial"/>
          <w:color w:val="000000" w:themeColor="text1"/>
          <w:lang w:val="es-ES"/>
        </w:rPr>
        <w:t xml:space="preserve"> si la Carta excluye la diferenciación de trato sustentado en el origen nacional, está igualmente descartada, inclusive de una manera más perentoria, la discriminación entre nacionales […]”, lo que reitera la prohibición de trato desigual por razón de la nacionalidad o el territorio. </w:t>
      </w:r>
    </w:p>
    <w:p w14:paraId="6E199332" w14:textId="77777777" w:rsidR="002F4A7B" w:rsidRPr="00BF319B" w:rsidRDefault="002F4A7B" w:rsidP="0017107E">
      <w:pPr>
        <w:spacing w:after="120" w:line="276" w:lineRule="auto"/>
        <w:ind w:firstLine="708"/>
        <w:jc w:val="both"/>
        <w:rPr>
          <w:rFonts w:ascii="Verdana" w:eastAsia="Calibri" w:hAnsi="Verdana" w:cs="Arial"/>
          <w:color w:val="000000"/>
          <w:lang w:val="es-ES_tradnl"/>
        </w:rPr>
      </w:pPr>
      <w:r w:rsidRPr="00BF319B">
        <w:rPr>
          <w:rFonts w:ascii="Verdana" w:eastAsia="Calibri" w:hAnsi="Verdana" w:cs="Arial"/>
          <w:color w:val="000000"/>
          <w:lang w:val="es-ES_tradnl"/>
        </w:rPr>
        <w:lastRenderedPageBreak/>
        <w:t xml:space="preserve">Por lo demás, </w:t>
      </w:r>
      <w:r w:rsidRPr="00BF319B">
        <w:rPr>
          <w:rFonts w:ascii="Verdana" w:hAnsi="Verdana" w:cs="Arial"/>
          <w:color w:val="000000" w:themeColor="text1"/>
        </w:rPr>
        <w:t>en concordancia con el numeral 1 del artículo 1502 del Código Civil</w:t>
      </w:r>
      <w:r w:rsidRPr="00BF319B">
        <w:rPr>
          <w:rStyle w:val="Refdenotaalpie"/>
          <w:rFonts w:ascii="Verdana" w:hAnsi="Verdana" w:cs="Arial"/>
          <w:color w:val="000000" w:themeColor="text1"/>
        </w:rPr>
        <w:footnoteReference w:id="6"/>
      </w:r>
      <w:r w:rsidRPr="00BF319B">
        <w:rPr>
          <w:rFonts w:ascii="Verdana" w:hAnsi="Verdana" w:cs="Arial"/>
          <w:color w:val="000000" w:themeColor="text1"/>
        </w:rPr>
        <w:t xml:space="preserve">,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de donde </w:t>
      </w:r>
      <w:r w:rsidRPr="00BF319B">
        <w:rPr>
          <w:rFonts w:ascii="Verdana" w:eastAsia="Calibri" w:hAnsi="Verdana" w:cs="Arial"/>
          <w:color w:val="000000"/>
          <w:lang w:val="es-ES_tradnl"/>
        </w:rPr>
        <w:t>se infiere que las personas extranjeras –al igual que las nacionales– pueden concurrir en la celebración de contratos estatales, siempre que no se encuentren en alguna causal de inhabilidad o incompatibilidad que la afecte</w:t>
      </w:r>
      <w:r w:rsidRPr="00BF319B">
        <w:rPr>
          <w:rStyle w:val="Refdenotaalpie"/>
          <w:rFonts w:ascii="Verdana" w:eastAsia="Calibri" w:hAnsi="Verdana" w:cs="Arial"/>
          <w:color w:val="000000"/>
          <w:lang w:val="es-ES_tradnl"/>
        </w:rPr>
        <w:footnoteReference w:id="7"/>
      </w:r>
      <w:r w:rsidRPr="00BF319B">
        <w:rPr>
          <w:rFonts w:ascii="Verdana" w:eastAsia="Calibri" w:hAnsi="Verdana" w:cs="Arial"/>
          <w:color w:val="000000"/>
          <w:lang w:val="es-ES_tradnl"/>
        </w:rPr>
        <w:t xml:space="preserve">.  </w:t>
      </w:r>
    </w:p>
    <w:p w14:paraId="6630CE36" w14:textId="77777777" w:rsidR="002F4A7B" w:rsidRPr="00BF319B" w:rsidRDefault="002F4A7B" w:rsidP="0017107E">
      <w:pPr>
        <w:tabs>
          <w:tab w:val="left" w:pos="0"/>
        </w:tabs>
        <w:spacing w:after="120" w:line="276" w:lineRule="auto"/>
        <w:jc w:val="both"/>
        <w:rPr>
          <w:rFonts w:ascii="Verdana" w:eastAsia="Calibri" w:hAnsi="Verdana" w:cs="Arial"/>
          <w:bCs/>
          <w:color w:val="000000" w:themeColor="text1"/>
          <w:lang w:val="es-ES_tradnl"/>
        </w:rPr>
      </w:pPr>
      <w:r w:rsidRPr="00BF319B">
        <w:rPr>
          <w:rFonts w:ascii="Verdana" w:eastAsia="Calibri" w:hAnsi="Verdana" w:cs="Arial"/>
          <w:color w:val="000000"/>
          <w:lang w:val="es-ES_tradnl"/>
        </w:rPr>
        <w:tab/>
        <w:t>Esta posibilidad de que los extranjeros concurran a los procedimientos de selección adelantados en Colombia también se fundamenta en el artículo 20 de la Ley 80 de 1993</w:t>
      </w:r>
      <w:r w:rsidRPr="00BF319B">
        <w:rPr>
          <w:rStyle w:val="Refdenotaalpie"/>
          <w:rFonts w:ascii="Verdana" w:eastAsia="Calibri" w:hAnsi="Verdana" w:cs="Arial"/>
          <w:bCs/>
          <w:color w:val="000000" w:themeColor="text1"/>
          <w:lang w:val="es-ES_tradnl"/>
        </w:rPr>
        <w:footnoteReference w:id="8"/>
      </w:r>
      <w:r w:rsidRPr="00BF319B">
        <w:rPr>
          <w:rFonts w:ascii="Verdana" w:eastAsia="Calibri" w:hAnsi="Verdana" w:cs="Arial"/>
          <w:color w:val="000000"/>
          <w:lang w:val="es-ES_tradnl"/>
        </w:rPr>
        <w:t xml:space="preserve">. Dicha norma </w:t>
      </w:r>
      <w:r w:rsidRPr="00BF319B">
        <w:rPr>
          <w:rFonts w:ascii="Verdana" w:eastAsia="Calibri" w:hAnsi="Verdana" w:cs="Arial"/>
          <w:bCs/>
          <w:color w:val="000000" w:themeColor="text1"/>
          <w:lang w:val="es-ES_tradnl"/>
        </w:rPr>
        <w:t xml:space="preserve">consagra el </w:t>
      </w:r>
      <w:r w:rsidRPr="00BF319B">
        <w:rPr>
          <w:rFonts w:ascii="Verdana" w:eastAsia="Calibri" w:hAnsi="Verdana" w:cs="Arial"/>
          <w:bCs/>
          <w:i/>
          <w:iCs/>
          <w:color w:val="000000" w:themeColor="text1"/>
          <w:lang w:val="es-ES_tradnl"/>
        </w:rPr>
        <w:t>principio de reciprocidad</w:t>
      </w:r>
      <w:r w:rsidRPr="00BF319B">
        <w:rPr>
          <w:rFonts w:ascii="Verdana" w:eastAsia="Calibri" w:hAnsi="Verdana"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w:t>
      </w:r>
      <w:r w:rsidRPr="00BF319B">
        <w:rPr>
          <w:rFonts w:ascii="Verdana" w:eastAsia="Calibri" w:hAnsi="Verdana" w:cs="Arial"/>
          <w:bCs/>
          <w:color w:val="000000" w:themeColor="text1"/>
          <w:lang w:val="es-ES_tradnl"/>
        </w:rPr>
        <w:lastRenderedPageBreak/>
        <w:t>se ha celebrado acuerdo o tratado comercial, cuando, en ausencia de tratado, se certifica dicha reciprocidad, o en virtud de procesos de integración regional.</w:t>
      </w:r>
    </w:p>
    <w:p w14:paraId="7963E0EE" w14:textId="77777777" w:rsidR="002F4A7B" w:rsidRPr="00BF319B" w:rsidRDefault="002F4A7B" w:rsidP="0017107E">
      <w:pPr>
        <w:spacing w:after="120" w:line="276" w:lineRule="auto"/>
        <w:ind w:firstLine="709"/>
        <w:jc w:val="both"/>
        <w:rPr>
          <w:rFonts w:ascii="Verdana" w:eastAsia="Calibri" w:hAnsi="Verdana" w:cs="Arial"/>
          <w:color w:val="000000" w:themeColor="text1"/>
          <w:lang w:val="es-ES"/>
        </w:rPr>
      </w:pPr>
      <w:r w:rsidRPr="50259C15">
        <w:rPr>
          <w:rFonts w:ascii="Verdana" w:eastAsia="Calibri" w:hAnsi="Verdana" w:cs="Arial"/>
          <w:color w:val="000000" w:themeColor="text1"/>
          <w:lang w:val="es-ES"/>
        </w:rPr>
        <w:t xml:space="preserve">En otras palabras, el </w:t>
      </w:r>
      <w:r w:rsidRPr="50259C15">
        <w:rPr>
          <w:rFonts w:ascii="Verdana" w:eastAsia="Calibri" w:hAnsi="Verdana" w:cs="Arial"/>
          <w:i/>
          <w:iCs/>
          <w:color w:val="000000" w:themeColor="text1"/>
          <w:lang w:val="es-ES"/>
        </w:rPr>
        <w:t xml:space="preserve">trato nacional </w:t>
      </w:r>
      <w:r w:rsidRPr="50259C15">
        <w:rPr>
          <w:rFonts w:ascii="Verdana" w:eastAsia="Calibri" w:hAnsi="Verdana" w:cs="Arial"/>
          <w:color w:val="000000" w:themeColor="text1"/>
          <w:lang w:val="es-ES"/>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Dicho privilegio que puede provenir de alguna de estas tres (3) fuentes: i) un tratado o acuerdo comercial en el que se haya negociado dicho trato nacional, </w:t>
      </w:r>
      <w:proofErr w:type="spellStart"/>
      <w:r w:rsidRPr="50259C15">
        <w:rPr>
          <w:rFonts w:ascii="Verdana" w:eastAsia="Calibri" w:hAnsi="Verdana" w:cs="Arial"/>
          <w:color w:val="000000" w:themeColor="text1"/>
          <w:lang w:val="es-ES"/>
        </w:rPr>
        <w:t>ii</w:t>
      </w:r>
      <w:proofErr w:type="spellEnd"/>
      <w:r w:rsidRPr="50259C15">
        <w:rPr>
          <w:rFonts w:ascii="Verdana" w:eastAsia="Calibri" w:hAnsi="Verdana" w:cs="Arial"/>
          <w:color w:val="000000" w:themeColor="text1"/>
          <w:lang w:val="es-ES"/>
        </w:rPr>
        <w:t xml:space="preserve">) un certificado de reciprocidad expedido por el Ministerio de Relaciones Exteriores –ante la ausencia de un tratado o acuerdo comercial– o </w:t>
      </w:r>
      <w:proofErr w:type="spellStart"/>
      <w:r w:rsidRPr="50259C15">
        <w:rPr>
          <w:rFonts w:ascii="Verdana" w:eastAsia="Calibri" w:hAnsi="Verdana" w:cs="Arial"/>
          <w:color w:val="000000" w:themeColor="text1"/>
          <w:lang w:val="es-ES"/>
        </w:rPr>
        <w:t>iii</w:t>
      </w:r>
      <w:proofErr w:type="spellEnd"/>
      <w:r w:rsidRPr="50259C15">
        <w:rPr>
          <w:rFonts w:ascii="Verdana" w:eastAsia="Calibri" w:hAnsi="Verdana" w:cs="Arial"/>
          <w:color w:val="000000" w:themeColor="text1"/>
          <w:lang w:val="es-ES"/>
        </w:rPr>
        <w:t>) la regulación andina. Las tres fuentes se reconocen no solo en el precitado artículo 20 de la Ley 80 de 1993, sino también en el artículo 2.2.1.2.4.1.3. del Decreto 1082 de 2015</w:t>
      </w:r>
      <w:r w:rsidRPr="50259C15">
        <w:rPr>
          <w:rStyle w:val="Refdenotaalpie"/>
          <w:rFonts w:ascii="Verdana" w:eastAsia="Calibri" w:hAnsi="Verdana" w:cs="Arial"/>
          <w:color w:val="000000" w:themeColor="text1"/>
          <w:lang w:val="es-ES"/>
        </w:rPr>
        <w:footnoteReference w:id="9"/>
      </w:r>
      <w:r w:rsidRPr="50259C15">
        <w:rPr>
          <w:rFonts w:ascii="Verdana" w:eastAsia="Calibri" w:hAnsi="Verdana" w:cs="Arial"/>
          <w:color w:val="000000" w:themeColor="text1"/>
          <w:lang w:val="es-ES"/>
        </w:rPr>
        <w:t>.</w:t>
      </w:r>
    </w:p>
    <w:p w14:paraId="554BBE74" w14:textId="77777777" w:rsidR="00B85D55"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 xml:space="preserve">En cuanto a la primera de ellas, cabe señalar que el trato nacional puede estar estipulado en un </w:t>
      </w:r>
      <w:r w:rsidRPr="00BF319B">
        <w:rPr>
          <w:rFonts w:ascii="Verdana" w:eastAsia="Calibri" w:hAnsi="Verdana" w:cs="Arial"/>
          <w:bCs/>
          <w:i/>
          <w:iCs/>
          <w:color w:val="000000" w:themeColor="text1"/>
          <w:lang w:val="es-ES_tradnl"/>
        </w:rPr>
        <w:t>tratado o acuerdo comercial</w:t>
      </w:r>
      <w:r w:rsidRPr="00BF319B">
        <w:rPr>
          <w:rFonts w:ascii="Verdana" w:eastAsia="Calibri" w:hAnsi="Verdana" w:cs="Arial"/>
          <w:bCs/>
          <w:color w:val="000000" w:themeColor="text1"/>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BF319B">
        <w:rPr>
          <w:rStyle w:val="Refdenotaalpie"/>
          <w:rFonts w:ascii="Verdana" w:eastAsia="Calibri" w:hAnsi="Verdana" w:cs="Arial"/>
          <w:bCs/>
          <w:color w:val="000000" w:themeColor="text1"/>
          <w:lang w:val="es-ES_tradnl"/>
        </w:rPr>
        <w:footnoteReference w:id="10"/>
      </w:r>
      <w:r w:rsidRPr="00BF319B">
        <w:rPr>
          <w:rFonts w:ascii="Verdana" w:eastAsia="Calibri" w:hAnsi="Verdana" w:cs="Arial"/>
          <w:bCs/>
          <w:color w:val="000000" w:themeColor="text1"/>
          <w:lang w:val="es-ES_tradnl"/>
        </w:rPr>
        <w:t xml:space="preserve">. Así, </w:t>
      </w:r>
      <w:r w:rsidRPr="00BF319B">
        <w:rPr>
          <w:rFonts w:ascii="Verdana" w:eastAsia="Calibri" w:hAnsi="Verdana" w:cs="Arial"/>
          <w:bCs/>
          <w:color w:val="000000" w:themeColor="text1"/>
          <w:lang w:val="es-ES_tradnl"/>
        </w:rPr>
        <w:lastRenderedPageBreak/>
        <w:t xml:space="preserve">el tratado correspondiente puede contener un acápite en el que se establezca que determinados bienes o servicios cubiertos se beneficiarán por el trato nacional; lo que a veces también puede suceder con los proveedores. </w:t>
      </w:r>
    </w:p>
    <w:p w14:paraId="07B8F935" w14:textId="2B8CD81E" w:rsidR="002F4A7B" w:rsidRPr="00BF319B"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A título de ejemplo, la cláusula 11.2 del tratado de libre comercio suscrito entre Colombia y los países del Triángulo Norte de Centroamérica –El Salvador, Guatemala y Honduras–</w:t>
      </w:r>
      <w:r w:rsidRPr="00BF319B">
        <w:rPr>
          <w:rStyle w:val="Refdenotaalpie"/>
          <w:rFonts w:ascii="Verdana" w:eastAsia="Calibri" w:hAnsi="Verdana" w:cs="Arial"/>
          <w:bCs/>
          <w:color w:val="000000" w:themeColor="text1"/>
          <w:lang w:val="es-ES_tradnl"/>
        </w:rPr>
        <w:footnoteReference w:id="11"/>
      </w:r>
      <w:r w:rsidRPr="00BF319B">
        <w:rPr>
          <w:rFonts w:ascii="Verdana" w:eastAsia="Calibri" w:hAnsi="Verdana" w:cs="Arial"/>
          <w:bCs/>
          <w:color w:val="000000" w:themeColor="text1"/>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Asimismo, el artículo 9.2 del tratado de libre comercio celebrado entre Colombia y los Estados Unidos de Norteamérica</w:t>
      </w:r>
      <w:r w:rsidRPr="00BF319B">
        <w:rPr>
          <w:rStyle w:val="Refdenotaalpie"/>
          <w:rFonts w:ascii="Verdana" w:eastAsia="Calibri" w:hAnsi="Verdana" w:cs="Arial"/>
          <w:bCs/>
          <w:color w:val="000000" w:themeColor="text1"/>
          <w:lang w:val="es-ES_tradnl"/>
        </w:rPr>
        <w:footnoteReference w:id="12"/>
      </w:r>
      <w:r w:rsidRPr="00BF319B">
        <w:rPr>
          <w:rFonts w:ascii="Verdana" w:eastAsia="Calibri" w:hAnsi="Verdana" w:cs="Arial"/>
          <w:bCs/>
          <w:color w:val="000000" w:themeColor="text1"/>
          <w:lang w:val="es-ES_tradnl"/>
        </w:rPr>
        <w:t>, prevé que “Con respecto a cualquier medida cubierta por este Capítulo, cada Parte otorgará incondicionalmente a las mercancías y servicios de la otra Parte y a los proveedores de tales mercancías y servicios, un trato no menos favorable que el trato más favorable otorgado por dicha Parte a sus propias mercancías, servicios y proveedores”.</w:t>
      </w:r>
    </w:p>
    <w:p w14:paraId="5E3D2BB6" w14:textId="77777777" w:rsidR="002F4A7B" w:rsidRPr="00BF319B" w:rsidRDefault="002F4A7B" w:rsidP="0017107E">
      <w:pPr>
        <w:spacing w:after="120" w:line="276" w:lineRule="auto"/>
        <w:ind w:firstLine="709"/>
        <w:jc w:val="both"/>
        <w:rPr>
          <w:rFonts w:ascii="Verdana" w:eastAsia="Calibri" w:hAnsi="Verdana" w:cs="Arial"/>
          <w:color w:val="000000" w:themeColor="text1"/>
          <w:lang w:val="es-ES"/>
        </w:rPr>
      </w:pPr>
      <w:r w:rsidRPr="50259C15">
        <w:rPr>
          <w:rFonts w:ascii="Verdana" w:eastAsia="Calibri" w:hAnsi="Verdana" w:cs="Arial"/>
          <w:color w:val="000000" w:themeColor="text1"/>
          <w:lang w:val="es-ES"/>
        </w:rPr>
        <w:t xml:space="preserve">En consecuencia, para que pueda aplicarse el trato nacional en virtud del pacto contenido en un tratado o acuerdo comercial, la contratación debe versar sobre los bienes, servicios o proveedores </w:t>
      </w:r>
      <w:r w:rsidRPr="50259C15">
        <w:rPr>
          <w:rFonts w:ascii="Verdana" w:eastAsia="Calibri" w:hAnsi="Verdana" w:cs="Arial"/>
          <w:i/>
          <w:iCs/>
          <w:color w:val="000000" w:themeColor="text1"/>
          <w:lang w:val="es-ES"/>
        </w:rPr>
        <w:t>cubiertos</w:t>
      </w:r>
      <w:r w:rsidRPr="50259C15">
        <w:rPr>
          <w:rFonts w:ascii="Verdana" w:eastAsia="Calibri" w:hAnsi="Verdana" w:cs="Arial"/>
          <w:color w:val="000000" w:themeColor="text1"/>
          <w:lang w:val="es-ES"/>
        </w:rPr>
        <w:t xml:space="preserve"> por dicho tratado, pues la autonomía de la voluntad de los Estados, que es expresión de su soberanía, les permite negociar en el acuerdo comercial un alcance o cobertura </w:t>
      </w:r>
      <w:proofErr w:type="gramStart"/>
      <w:r w:rsidRPr="50259C15">
        <w:rPr>
          <w:rFonts w:ascii="Verdana" w:eastAsia="Calibri" w:hAnsi="Verdana" w:cs="Arial"/>
          <w:color w:val="000000" w:themeColor="text1"/>
          <w:lang w:val="es-ES"/>
        </w:rPr>
        <w:t>del mismo</w:t>
      </w:r>
      <w:proofErr w:type="gramEnd"/>
      <w:r w:rsidRPr="50259C15">
        <w:rPr>
          <w:rFonts w:ascii="Verdana" w:eastAsia="Calibri" w:hAnsi="Verdana" w:cs="Arial"/>
          <w:color w:val="000000" w:themeColor="text1"/>
          <w:lang w:val="es-ES"/>
        </w:rPr>
        <w:t xml:space="preserve">, según razones de oportunidad o conveniencia. Es por esto </w:t>
      </w:r>
      <w:proofErr w:type="gramStart"/>
      <w:r w:rsidRPr="50259C15">
        <w:rPr>
          <w:rFonts w:ascii="Verdana" w:eastAsia="Calibri" w:hAnsi="Verdana" w:cs="Arial"/>
          <w:color w:val="000000" w:themeColor="text1"/>
          <w:lang w:val="es-ES"/>
        </w:rPr>
        <w:t>que</w:t>
      </w:r>
      <w:proofErr w:type="gramEnd"/>
      <w:r w:rsidRPr="50259C15">
        <w:rPr>
          <w:rFonts w:ascii="Verdana" w:eastAsia="Calibri" w:hAnsi="Verdana" w:cs="Arial"/>
          <w:color w:val="000000" w:themeColor="text1"/>
          <w:lang w:val="es-ES"/>
        </w:rPr>
        <w:t xml:space="preserve"> los tratados establecen las entidades cubiertas, así como los umbrales, es decir, los valores o montos que, al igualarse o superarse en un procedimiento de contratación, hacen que este quede amparado por el tratado. De igual manera, este también puede contener exclusiones explícitas a su cobertura</w:t>
      </w:r>
      <w:r w:rsidRPr="50259C15">
        <w:rPr>
          <w:rStyle w:val="Refdenotaalpie"/>
          <w:rFonts w:ascii="Verdana" w:eastAsia="Calibri" w:hAnsi="Verdana" w:cs="Arial"/>
          <w:color w:val="000000" w:themeColor="text1"/>
          <w:lang w:val="es-ES"/>
        </w:rPr>
        <w:footnoteReference w:id="13"/>
      </w:r>
      <w:r w:rsidRPr="50259C15">
        <w:rPr>
          <w:rFonts w:ascii="Verdana" w:eastAsia="Calibri" w:hAnsi="Verdana" w:cs="Arial"/>
          <w:color w:val="000000" w:themeColor="text1"/>
          <w:lang w:val="es-ES"/>
        </w:rPr>
        <w:t>.</w:t>
      </w:r>
    </w:p>
    <w:p w14:paraId="763D6B6C" w14:textId="77777777" w:rsidR="004E6553"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 xml:space="preserve">En relación con la segunda fuente del trato nacional, esto es, el </w:t>
      </w:r>
      <w:r w:rsidRPr="00BF319B">
        <w:rPr>
          <w:rFonts w:ascii="Verdana" w:eastAsia="Calibri" w:hAnsi="Verdana" w:cs="Arial"/>
          <w:bCs/>
          <w:i/>
          <w:iCs/>
          <w:color w:val="000000" w:themeColor="text1"/>
          <w:lang w:val="es-ES_tradnl"/>
        </w:rPr>
        <w:t>certificado de reciprocidad</w:t>
      </w:r>
      <w:r w:rsidRPr="00BF319B">
        <w:rPr>
          <w:rFonts w:ascii="Verdana" w:eastAsia="Calibri" w:hAnsi="Verdana" w:cs="Arial"/>
          <w:bCs/>
          <w:color w:val="000000" w:themeColor="text1"/>
          <w:lang w:val="es-ES_tradnl"/>
        </w:rPr>
        <w:t xml:space="preserve">, el artículo 20 de la Ley 80 de 1993 establece que cuando “[…] no se hubiere celebrado acuerdo, tratado o convenio, los proponentes de bienes </w:t>
      </w:r>
      <w:r w:rsidRPr="00BF319B">
        <w:rPr>
          <w:rFonts w:ascii="Verdana" w:eastAsia="Calibri" w:hAnsi="Verdana" w:cs="Arial"/>
          <w:bCs/>
          <w:color w:val="000000" w:themeColor="text1"/>
          <w:lang w:val="es-ES_tradnl"/>
        </w:rPr>
        <w:lastRenderedPageBreak/>
        <w:t xml:space="preserve">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w:t>
      </w:r>
    </w:p>
    <w:p w14:paraId="6BC2CD91" w14:textId="661CB44A" w:rsidR="002F4A7B" w:rsidRPr="00BF319B"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BF319B">
        <w:rPr>
          <w:rStyle w:val="Refdenotaalpie"/>
          <w:rFonts w:ascii="Verdana" w:eastAsia="Calibri" w:hAnsi="Verdana" w:cs="Arial"/>
          <w:bCs/>
          <w:color w:val="000000" w:themeColor="text1"/>
          <w:lang w:val="es-ES_tradnl"/>
        </w:rPr>
        <w:footnoteReference w:id="14"/>
      </w:r>
      <w:r w:rsidRPr="00BF319B">
        <w:rPr>
          <w:rFonts w:ascii="Verdana" w:eastAsia="Calibri" w:hAnsi="Verdana" w:cs="Arial"/>
          <w:bCs/>
          <w:color w:val="000000" w:themeColor="text1"/>
          <w:lang w:val="es-ES_tradnl"/>
        </w:rPr>
        <w:t>.</w:t>
      </w:r>
    </w:p>
    <w:p w14:paraId="2B551575" w14:textId="77777777" w:rsidR="002F4A7B" w:rsidRPr="00BF319B"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La tercera fuente del deber de trato nacional es el conjunto de las disposiciones de la Comunidad Andina que consagran este principio</w:t>
      </w:r>
      <w:r w:rsidRPr="00BF319B">
        <w:rPr>
          <w:rStyle w:val="Refdenotaalpie"/>
          <w:rFonts w:ascii="Verdana" w:eastAsia="Calibri" w:hAnsi="Verdana" w:cs="Arial"/>
          <w:bCs/>
          <w:color w:val="000000" w:themeColor="text1"/>
          <w:lang w:val="es-ES_tradnl"/>
        </w:rPr>
        <w:footnoteReference w:id="15"/>
      </w:r>
      <w:r w:rsidRPr="00BF319B">
        <w:rPr>
          <w:rFonts w:ascii="Verdana" w:eastAsia="Calibri" w:hAnsi="Verdana" w:cs="Arial"/>
          <w:bCs/>
          <w:color w:val="000000" w:themeColor="text1"/>
          <w:lang w:val="es-ES_tradnl"/>
        </w:rPr>
        <w:t xml:space="preserve">.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w:t>
      </w:r>
      <w:r w:rsidRPr="00BF319B">
        <w:rPr>
          <w:rFonts w:ascii="Verdana" w:eastAsia="Calibri" w:hAnsi="Verdana" w:cs="Arial"/>
          <w:bCs/>
          <w:color w:val="000000" w:themeColor="text1"/>
          <w:lang w:val="es-ES_tradnl"/>
        </w:rPr>
        <w:lastRenderedPageBreak/>
        <w:t>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7A2504FD" w14:textId="77777777" w:rsidR="002F4A7B" w:rsidRPr="00BF319B" w:rsidRDefault="002F4A7B" w:rsidP="0017107E">
      <w:pPr>
        <w:tabs>
          <w:tab w:val="left" w:pos="0"/>
        </w:tabs>
        <w:spacing w:after="120" w:line="276" w:lineRule="auto"/>
        <w:ind w:firstLine="709"/>
        <w:jc w:val="both"/>
        <w:rPr>
          <w:rFonts w:ascii="Verdana" w:eastAsia="Calibri" w:hAnsi="Verdana" w:cs="Arial"/>
          <w:bCs/>
          <w:color w:val="000000" w:themeColor="text1"/>
          <w:lang w:val="es-ES_tradnl"/>
        </w:rPr>
      </w:pPr>
      <w:r w:rsidRPr="00BF319B">
        <w:rPr>
          <w:rFonts w:ascii="Verdana" w:eastAsia="Calibri" w:hAnsi="Verdana" w:cs="Arial"/>
          <w:bCs/>
          <w:color w:val="000000" w:themeColor="text1"/>
          <w:lang w:val="es-ES_tradnl"/>
        </w:rPr>
        <w:t>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Esto se deduce de los artículos 26 y 27 de la Convención de Viena sobre el derecho de los tratados</w:t>
      </w:r>
      <w:r w:rsidRPr="00BF319B">
        <w:rPr>
          <w:rStyle w:val="Refdenotaalpie"/>
          <w:rFonts w:ascii="Verdana" w:eastAsia="Calibri" w:hAnsi="Verdana" w:cs="Arial"/>
          <w:bCs/>
          <w:color w:val="000000" w:themeColor="text1"/>
          <w:lang w:val="es-ES_tradnl"/>
        </w:rPr>
        <w:footnoteReference w:id="16"/>
      </w:r>
      <w:r w:rsidRPr="00BF319B">
        <w:rPr>
          <w:rFonts w:ascii="Verdana" w:eastAsia="Calibri" w:hAnsi="Verdana" w:cs="Arial"/>
          <w:bCs/>
          <w:color w:val="000000" w:themeColor="text1"/>
          <w:lang w:val="es-ES_tradnl"/>
        </w:rPr>
        <w:t xml:space="preserve">. </w:t>
      </w:r>
    </w:p>
    <w:p w14:paraId="793D55CB" w14:textId="77777777" w:rsidR="002F4A7B" w:rsidRPr="00BF319B" w:rsidRDefault="002F4A7B" w:rsidP="002F4A7B">
      <w:pPr>
        <w:tabs>
          <w:tab w:val="left" w:pos="0"/>
        </w:tabs>
        <w:spacing w:before="120" w:line="276" w:lineRule="auto"/>
        <w:ind w:firstLine="709"/>
        <w:jc w:val="both"/>
        <w:rPr>
          <w:rFonts w:ascii="Verdana" w:eastAsia="Calibri" w:hAnsi="Verdana" w:cs="Arial"/>
          <w:bCs/>
          <w:color w:val="000000" w:themeColor="text1"/>
          <w:lang w:val="es-ES_tradnl"/>
        </w:rPr>
      </w:pPr>
      <w:bookmarkStart w:id="5" w:name="_Hlk101515095"/>
      <w:r w:rsidRPr="00BF319B">
        <w:rPr>
          <w:rFonts w:ascii="Verdana" w:eastAsia="Calibri" w:hAnsi="Verdana" w:cs="Arial"/>
          <w:bCs/>
          <w:color w:val="000000" w:themeColor="text1"/>
          <w:lang w:val="es-ES_tradnl"/>
        </w:rPr>
        <w:t>Una vez analizadas las tres (3) fuentes del trato nacional en la contratación pública, el efecto de dicho beneficio es la asignación del puntaje previsto en la Ley 816 de 2003. El artículo 1 dispone que las entidades estatales, en los procedimientos de selección que realicen e independientemente del régimen contractual que les sea aplicable, deben adoptar criterios que apoyen la industria nacional</w:t>
      </w:r>
      <w:bookmarkEnd w:id="5"/>
      <w:r w:rsidRPr="00BF319B">
        <w:rPr>
          <w:rFonts w:ascii="Verdana" w:eastAsia="Calibri" w:hAnsi="Verdana" w:cs="Arial"/>
          <w:bCs/>
          <w:color w:val="000000" w:themeColor="text1"/>
          <w:lang w:val="es-ES_tradnl"/>
        </w:rPr>
        <w:t xml:space="preserve">. En consonancia con lo anterior, el parágrafo </w:t>
      </w:r>
      <w:r w:rsidRPr="00BF319B">
        <w:rPr>
          <w:rFonts w:ascii="Verdana" w:eastAsia="Calibri" w:hAnsi="Verdana" w:cs="Arial"/>
          <w:bCs/>
          <w:i/>
          <w:iCs/>
          <w:color w:val="000000" w:themeColor="text1"/>
          <w:lang w:val="es-ES_tradnl"/>
        </w:rPr>
        <w:t>ibidem</w:t>
      </w:r>
      <w:r w:rsidRPr="00BF319B">
        <w:rPr>
          <w:rFonts w:ascii="Verdana" w:eastAsia="Calibri" w:hAnsi="Verdana" w:cs="Arial"/>
          <w:bCs/>
          <w:color w:val="000000" w:themeColor="text1"/>
          <w:lang w:val="es-ES_tradnl"/>
        </w:rPr>
        <w:t xml:space="preserve"> dispone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 Por tanto, si los extranjeros pueden acceder a este puntaje, es precisamente porque –al igual que los nacionales– están facultados para participar en los procedimientos de selección. </w:t>
      </w:r>
    </w:p>
    <w:p w14:paraId="41113E90" w14:textId="77777777" w:rsidR="002F4A7B" w:rsidRPr="00BF319B" w:rsidRDefault="002F4A7B" w:rsidP="002F4A7B">
      <w:pPr>
        <w:spacing w:before="120" w:after="120" w:line="276" w:lineRule="auto"/>
        <w:jc w:val="both"/>
        <w:rPr>
          <w:rFonts w:ascii="Verdana" w:hAnsi="Verdana" w:cs="Arial"/>
        </w:rPr>
      </w:pPr>
      <w:r w:rsidRPr="00BF319B">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E</w:t>
      </w:r>
      <w:r w:rsidRPr="00BF319B">
        <w:rPr>
          <w:rFonts w:ascii="Verdana" w:hAnsi="Verdana" w:cs="Arial"/>
          <w:color w:val="000000" w:themeColor="text1"/>
        </w:rPr>
        <w:t xml:space="preserve">s necesario tener en cuenta que el artículo 469 del Código de Comercio define </w:t>
      </w:r>
      <w:r>
        <w:rPr>
          <w:rFonts w:ascii="Verdana" w:hAnsi="Verdana" w:cs="Arial"/>
          <w:color w:val="000000" w:themeColor="text1"/>
        </w:rPr>
        <w:t>l</w:t>
      </w:r>
      <w:r w:rsidRPr="00BF319B">
        <w:rPr>
          <w:rFonts w:ascii="Verdana" w:hAnsi="Verdana" w:cs="Arial"/>
          <w:color w:val="000000" w:themeColor="text1"/>
        </w:rPr>
        <w:t xml:space="preserve">a sociedad extrajera como “aquella constituida conforme a la ley de otro </w:t>
      </w:r>
      <w:r w:rsidRPr="00BF319B">
        <w:rPr>
          <w:rFonts w:ascii="Verdana" w:hAnsi="Verdana" w:cs="Arial"/>
          <w:color w:val="000000" w:themeColor="text1"/>
        </w:rPr>
        <w:lastRenderedPageBreak/>
        <w:t>país y con domicilio principal en el exterior”. A su vez, el artículo 471 del Código de Comercio dispone que “Para que una sociedad extranjera pueda emprender negocios permanentes en Colombia, establecerá una sucursal con domicilio en el territorio nacional […]”, cumpliendo con los siguientes requisitos: i</w:t>
      </w:r>
      <w:r w:rsidRPr="00BF319B">
        <w:rPr>
          <w:rFonts w:ascii="Verdana" w:hAnsi="Verdana" w:cs="Arial"/>
        </w:rPr>
        <w:t>) p</w:t>
      </w:r>
      <w:r w:rsidRPr="00BF319B">
        <w:rPr>
          <w:rFonts w:ascii="Verdana" w:hAnsi="Verdana"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proofErr w:type="spellStart"/>
      <w:r w:rsidRPr="00BF319B">
        <w:rPr>
          <w:rFonts w:ascii="Verdana" w:hAnsi="Verdana" w:cs="Arial"/>
          <w:color w:val="000000"/>
        </w:rPr>
        <w:t>ii</w:t>
      </w:r>
      <w:proofErr w:type="spellEnd"/>
      <w:r w:rsidRPr="00BF319B">
        <w:rPr>
          <w:rFonts w:ascii="Verdana" w:hAnsi="Verdana" w:cs="Arial"/>
          <w:color w:val="000000"/>
        </w:rPr>
        <w:t xml:space="preserve">) obtener permiso para funcionar en el país de parte de la Superintendencia de Sociedades o de la Superintendencia Bancaria, según el caso. </w:t>
      </w:r>
    </w:p>
    <w:p w14:paraId="4D99F0DB" w14:textId="77777777" w:rsidR="002F4A7B" w:rsidRPr="00BF319B" w:rsidRDefault="002F4A7B" w:rsidP="002F4A7B">
      <w:pPr>
        <w:spacing w:after="0" w:line="276" w:lineRule="auto"/>
        <w:ind w:right="51" w:firstLine="709"/>
        <w:jc w:val="both"/>
        <w:rPr>
          <w:rFonts w:ascii="Verdana" w:hAnsi="Verdana" w:cs="Arial"/>
          <w:color w:val="000000" w:themeColor="text1"/>
          <w:lang w:val="es-MX"/>
        </w:rPr>
      </w:pPr>
      <w:r w:rsidRPr="00BF319B">
        <w:rPr>
          <w:rFonts w:ascii="Verdana" w:hAnsi="Verdana" w:cs="Arial"/>
          <w:color w:val="000000" w:themeColor="text1"/>
        </w:rPr>
        <w:t xml:space="preserve">Adicionalmente, 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BF319B">
        <w:rPr>
          <w:rFonts w:ascii="Verdana" w:hAnsi="Verdana" w:cs="Arial"/>
          <w:i/>
          <w:iCs/>
          <w:color w:val="000000" w:themeColor="text1"/>
        </w:rPr>
        <w:t>ibidem</w:t>
      </w:r>
      <w:r w:rsidRPr="00BF319B">
        <w:rPr>
          <w:rFonts w:ascii="Verdana" w:hAnsi="Verdana" w:cs="Arial"/>
          <w:color w:val="000000" w:themeColor="text1"/>
          <w:lang w:val="es-MX"/>
        </w:rPr>
        <w:t xml:space="preserve"> también dispone que “</w:t>
      </w:r>
      <w:r w:rsidRPr="00BF319B">
        <w:rPr>
          <w:rFonts w:ascii="Verdana" w:hAnsi="Verdana" w:cs="Arial"/>
          <w:color w:val="000000" w:themeColor="text1"/>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r w:rsidRPr="00BF319B">
        <w:rPr>
          <w:rFonts w:ascii="Verdana" w:hAnsi="Verdana" w:cs="Arial"/>
          <w:color w:val="000000" w:themeColor="text1"/>
          <w:lang w:val="es-MX"/>
        </w:rPr>
        <w:t xml:space="preserve"> Por su parte, el artículo 474 del Código de Comercio entiende por actividades permanentes para efectos del artículo 471: </w:t>
      </w:r>
    </w:p>
    <w:p w14:paraId="25B9D388" w14:textId="77777777" w:rsidR="002F4A7B" w:rsidRPr="00BF319B" w:rsidRDefault="002F4A7B" w:rsidP="002F4A7B">
      <w:pPr>
        <w:spacing w:after="0" w:line="276" w:lineRule="auto"/>
        <w:ind w:right="49"/>
        <w:jc w:val="both"/>
        <w:rPr>
          <w:rFonts w:ascii="Verdana" w:hAnsi="Verdana" w:cs="Arial"/>
          <w:color w:val="000000" w:themeColor="text1"/>
        </w:rPr>
      </w:pPr>
    </w:p>
    <w:p w14:paraId="64F4D74E" w14:textId="77777777" w:rsidR="002F4A7B" w:rsidRPr="0017107E" w:rsidRDefault="002F4A7B" w:rsidP="002F4A7B">
      <w:pPr>
        <w:spacing w:after="120" w:line="240" w:lineRule="auto"/>
        <w:ind w:left="709" w:right="709"/>
        <w:jc w:val="both"/>
        <w:rPr>
          <w:rFonts w:ascii="Verdana" w:hAnsi="Verdana" w:cs="Arial"/>
          <w:color w:val="000000" w:themeColor="text1"/>
          <w:sz w:val="20"/>
          <w:szCs w:val="20"/>
          <w:lang w:val="es-MX"/>
        </w:rPr>
      </w:pPr>
      <w:r w:rsidRPr="0017107E">
        <w:rPr>
          <w:rFonts w:ascii="Verdana" w:hAnsi="Verdana" w:cs="Arial"/>
          <w:color w:val="000000" w:themeColor="text1"/>
          <w:sz w:val="20"/>
          <w:szCs w:val="20"/>
        </w:rPr>
        <w:t>“1) Abrir dentro del territorio de la República establecimientos mercantiles u oficinas de negocios aunque éstas solamente tengan un carácter técnico o de asesoría;</w:t>
      </w:r>
    </w:p>
    <w:p w14:paraId="1FF4AF71" w14:textId="77777777" w:rsidR="002F4A7B" w:rsidRPr="0017107E" w:rsidRDefault="002F4A7B" w:rsidP="002F4A7B">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2) Intervenir como contratista en la ejecución de obras o en la prestación de servicios;</w:t>
      </w:r>
    </w:p>
    <w:p w14:paraId="08FB4F4E" w14:textId="77777777" w:rsidR="002F4A7B" w:rsidRPr="0017107E" w:rsidRDefault="002F4A7B" w:rsidP="002F4A7B">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3) Participar en cualquier forma en actividades que tengan por objeto el manejo, aprovechamiento o inversión de fondos provenientes del ahorro privado;</w:t>
      </w:r>
    </w:p>
    <w:p w14:paraId="2C1E213A" w14:textId="77777777" w:rsidR="002F4A7B" w:rsidRPr="0017107E" w:rsidRDefault="002F4A7B" w:rsidP="002F4A7B">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4) Dedicarse a la industria extractiva en cualquiera de sus ramas o servicios;</w:t>
      </w:r>
    </w:p>
    <w:p w14:paraId="1AED8943" w14:textId="77777777" w:rsidR="002F4A7B" w:rsidRPr="0017107E" w:rsidRDefault="002F4A7B" w:rsidP="002F4A7B">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lastRenderedPageBreak/>
        <w:t>5) Obtener del Estado colombiano una concesión o que ésta le hubiere sido cedida a cualquier título, o que en alguna forma participe en la explotación de la misma y,</w:t>
      </w:r>
    </w:p>
    <w:p w14:paraId="25B784FE" w14:textId="77777777" w:rsidR="002F4A7B" w:rsidRPr="0017107E" w:rsidRDefault="002F4A7B" w:rsidP="002F4A7B">
      <w:pPr>
        <w:spacing w:after="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6) El funcionamiento de sus asambleas de asociados, juntas directivas, gerencia o administración en el territorio nacional”.</w:t>
      </w:r>
    </w:p>
    <w:p w14:paraId="0C75B9DA" w14:textId="77777777" w:rsidR="002F4A7B" w:rsidRPr="00BF319B" w:rsidRDefault="002F4A7B" w:rsidP="002F4A7B">
      <w:pPr>
        <w:spacing w:after="0" w:line="276" w:lineRule="auto"/>
        <w:ind w:right="49"/>
        <w:jc w:val="both"/>
        <w:rPr>
          <w:rFonts w:ascii="Verdana" w:hAnsi="Verdana" w:cs="Arial"/>
          <w:color w:val="000000" w:themeColor="text1"/>
        </w:rPr>
      </w:pPr>
    </w:p>
    <w:p w14:paraId="1B678ECE" w14:textId="77777777" w:rsidR="002F4A7B" w:rsidRPr="00BF319B" w:rsidRDefault="002F4A7B" w:rsidP="002F4A7B">
      <w:pPr>
        <w:spacing w:after="120" w:line="276" w:lineRule="auto"/>
        <w:ind w:right="51" w:firstLine="709"/>
        <w:jc w:val="both"/>
        <w:rPr>
          <w:rFonts w:ascii="Verdana" w:eastAsia="Calibri" w:hAnsi="Verdana" w:cs="Arial"/>
          <w:color w:val="000000" w:themeColor="text1"/>
          <w:lang w:val="es-MX"/>
        </w:rPr>
      </w:pPr>
      <w:r w:rsidRPr="00BF319B">
        <w:rPr>
          <w:rFonts w:ascii="Verdana" w:hAnsi="Verdana" w:cs="Arial"/>
          <w:color w:val="000000" w:themeColor="text1"/>
        </w:rPr>
        <w:t xml:space="preserve">De acuerdo a lo anterior, </w:t>
      </w:r>
      <w:r w:rsidRPr="00BF319B">
        <w:rPr>
          <w:rFonts w:ascii="Verdana" w:eastAsia="Calibri" w:hAnsi="Verdana" w:cs="Arial"/>
          <w:color w:val="000000" w:themeColor="text1"/>
        </w:rPr>
        <w:t>el acápite IV</w:t>
      </w:r>
      <w:r w:rsidRPr="00BF319B">
        <w:rPr>
          <w:rFonts w:ascii="Verdana" w:hAnsi="Verdana" w:cs="Arial"/>
          <w:color w:val="000000" w:themeColor="text1"/>
        </w:rPr>
        <w:t xml:space="preserve"> de la “Guía de Asuntos Corporativos en los Procesos de </w:t>
      </w:r>
      <w:proofErr w:type="spellStart"/>
      <w:r w:rsidRPr="00BF319B">
        <w:rPr>
          <w:rFonts w:ascii="Verdana" w:hAnsi="Verdana" w:cs="Arial"/>
          <w:color w:val="000000" w:themeColor="text1"/>
        </w:rPr>
        <w:t>Contratación</w:t>
      </w:r>
      <w:proofErr w:type="spellEnd"/>
      <w:r w:rsidRPr="00BF319B">
        <w:rPr>
          <w:rFonts w:ascii="Verdana" w:hAnsi="Verdana" w:cs="Arial"/>
          <w:color w:val="000000" w:themeColor="text1"/>
        </w:rPr>
        <w:t xml:space="preserve">”, expedida por la </w:t>
      </w:r>
      <w:r w:rsidRPr="00BF319B">
        <w:rPr>
          <w:rFonts w:ascii="Verdana" w:eastAsia="Calibri" w:hAnsi="Verdana" w:cs="Arial"/>
          <w:color w:val="000000" w:themeColor="text1"/>
        </w:rPr>
        <w:t>Agencia Nacional de Contratación Pública – Colombia Compra Eficiente, precisa que “</w:t>
      </w:r>
      <w:r w:rsidRPr="00BF319B">
        <w:rPr>
          <w:rFonts w:ascii="Verdana" w:eastAsia="Calibri" w:hAnsi="Verdana"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BF319B">
        <w:rPr>
          <w:rStyle w:val="Refdenotaalpie"/>
          <w:rFonts w:ascii="Verdana" w:hAnsi="Verdana" w:cs="Arial"/>
          <w:color w:val="000000" w:themeColor="text1"/>
        </w:rPr>
        <w:footnoteReference w:id="17"/>
      </w:r>
      <w:r w:rsidRPr="00BF319B">
        <w:rPr>
          <w:rFonts w:ascii="Verdana" w:eastAsia="Calibri" w:hAnsi="Verdana" w:cs="Arial"/>
          <w:color w:val="000000" w:themeColor="text1"/>
          <w:lang w:val="es-MX"/>
        </w:rPr>
        <w:t>.</w:t>
      </w:r>
      <w:r w:rsidRPr="00BF319B">
        <w:rPr>
          <w:rFonts w:ascii="Verdana" w:eastAsia="Calibri" w:hAnsi="Verdana" w:cs="Arial"/>
          <w:color w:val="000000" w:themeColor="text1"/>
        </w:rPr>
        <w:t xml:space="preserve"> </w:t>
      </w:r>
    </w:p>
    <w:p w14:paraId="6EDE278F" w14:textId="77777777" w:rsidR="002F4A7B" w:rsidRPr="00BF319B" w:rsidRDefault="002F4A7B" w:rsidP="002F4A7B">
      <w:pPr>
        <w:spacing w:line="276" w:lineRule="auto"/>
        <w:ind w:right="49" w:firstLine="708"/>
        <w:jc w:val="both"/>
        <w:rPr>
          <w:rFonts w:ascii="Verdana" w:hAnsi="Verdana" w:cs="Arial"/>
          <w:color w:val="000000" w:themeColor="text1"/>
        </w:rPr>
      </w:pPr>
      <w:r w:rsidRPr="00BF319B">
        <w:rPr>
          <w:rFonts w:ascii="Verdana" w:hAnsi="Verdana" w:cs="Arial"/>
          <w:color w:val="000000" w:themeColor="text1"/>
        </w:rPr>
        <w:t xml:space="preserve">Por lo tanto, para que una sociedad extrajera pueda desarrollar una actividad comercial considerada permanente según el artículo 474 del Código de Comercio deberá establecer una sucursal con domicilio en el territorio nacional –art. 471 </w:t>
      </w:r>
      <w:r w:rsidRPr="00BF319B">
        <w:rPr>
          <w:rFonts w:ascii="Verdana" w:hAnsi="Verdana" w:cs="Arial"/>
          <w:i/>
          <w:iCs/>
          <w:color w:val="000000" w:themeColor="text1"/>
        </w:rPr>
        <w:t>ibidem</w:t>
      </w:r>
      <w:r w:rsidRPr="00BF319B">
        <w:rPr>
          <w:rFonts w:ascii="Verdana" w:hAnsi="Verdana" w:cs="Arial"/>
          <w:color w:val="000000" w:themeColor="text1"/>
        </w:rPr>
        <w:t xml:space="preserve">–, y 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p>
    <w:p w14:paraId="5BA09807" w14:textId="77777777" w:rsidR="002F4A7B" w:rsidRPr="00BF319B" w:rsidRDefault="002F4A7B" w:rsidP="002F4A7B">
      <w:pPr>
        <w:tabs>
          <w:tab w:val="left" w:pos="0"/>
        </w:tabs>
        <w:spacing w:before="120" w:after="0" w:line="276" w:lineRule="auto"/>
        <w:jc w:val="both"/>
        <w:rPr>
          <w:rFonts w:ascii="Verdana" w:eastAsia="Calibri" w:hAnsi="Verdana" w:cs="Arial"/>
          <w:color w:val="000000" w:themeColor="text1"/>
        </w:rPr>
      </w:pPr>
      <w:r w:rsidRPr="00BF319B">
        <w:rPr>
          <w:rFonts w:ascii="Verdana" w:eastAsia="Calibri" w:hAnsi="Verdana" w:cs="Arial"/>
          <w:bCs/>
          <w:color w:val="000000" w:themeColor="text1"/>
          <w:lang w:val="es-ES_tradnl"/>
        </w:rPr>
        <w:tab/>
        <w:t xml:space="preserve">En todo caso, en línea con el artículo 12 de la Ley 1150 de 2007, el citado </w:t>
      </w:r>
      <w:r w:rsidRPr="00BF319B">
        <w:rPr>
          <w:rFonts w:ascii="Verdana" w:eastAsia="Calibri" w:hAnsi="Verdana" w:cs="Arial"/>
          <w:color w:val="000000" w:themeColor="text1"/>
        </w:rPr>
        <w:t>Concepto</w:t>
      </w:r>
      <w:r w:rsidRPr="00BF319B">
        <w:rPr>
          <w:rFonts w:ascii="Verdana" w:eastAsia="Calibri" w:hAnsi="Verdana" w:cs="Arial"/>
          <w:color w:val="000000" w:themeColor="text1"/>
          <w:lang w:val="es-ES"/>
        </w:rPr>
        <w:t xml:space="preserve"> 2201913000006511 del 3 de septiembre de 2019 precisa que “Si la entidad estatal limita el proceso de contratación a </w:t>
      </w:r>
      <w:proofErr w:type="spellStart"/>
      <w:r w:rsidRPr="00BF319B">
        <w:rPr>
          <w:rFonts w:ascii="Verdana" w:eastAsia="Calibri" w:hAnsi="Verdana" w:cs="Arial"/>
          <w:color w:val="000000" w:themeColor="text1"/>
          <w:lang w:val="es-ES"/>
        </w:rPr>
        <w:t>Mipymes</w:t>
      </w:r>
      <w:proofErr w:type="spellEnd"/>
      <w:r w:rsidRPr="00BF319B">
        <w:rPr>
          <w:rFonts w:ascii="Verdana" w:eastAsia="Calibri" w:hAnsi="Verdana" w:cs="Arial"/>
          <w:color w:val="000000" w:themeColor="text1"/>
          <w:lang w:val="es-ES"/>
        </w:rPr>
        <w:t xml:space="preserve"> nacionales, de acuerdo con el artículo 2.2.1.2.4.2.2 del Decreto 1082 de 2015, las entidades tienen la facultad de limitar la convocatoria a </w:t>
      </w:r>
      <w:proofErr w:type="spellStart"/>
      <w:r w:rsidRPr="00BF319B">
        <w:rPr>
          <w:rFonts w:ascii="Verdana" w:eastAsia="Calibri" w:hAnsi="Verdana" w:cs="Arial"/>
          <w:color w:val="000000" w:themeColor="text1"/>
          <w:lang w:val="es-ES"/>
        </w:rPr>
        <w:t>Mipymes</w:t>
      </w:r>
      <w:proofErr w:type="spellEnd"/>
      <w:r w:rsidRPr="00BF319B">
        <w:rPr>
          <w:rFonts w:ascii="Verdana" w:eastAsia="Calibri" w:hAnsi="Verdana" w:cs="Arial"/>
          <w:color w:val="000000" w:themeColor="text1"/>
          <w:lang w:val="es-ES"/>
        </w:rPr>
        <w:t xml:space="preserve"> nacionales domiciliadas en los departamentos o municipios en donde se va a ejecutar el contrato. En este caso, la entidad estatal podrá fijar como requisito habilitante que la </w:t>
      </w:r>
      <w:proofErr w:type="spellStart"/>
      <w:r w:rsidRPr="00BF319B">
        <w:rPr>
          <w:rFonts w:ascii="Verdana" w:eastAsia="Calibri" w:hAnsi="Verdana" w:cs="Arial"/>
          <w:color w:val="000000" w:themeColor="text1"/>
          <w:lang w:val="es-ES"/>
        </w:rPr>
        <w:t>Mipyme</w:t>
      </w:r>
      <w:proofErr w:type="spellEnd"/>
      <w:r w:rsidRPr="00BF319B">
        <w:rPr>
          <w:rFonts w:ascii="Verdana" w:eastAsia="Calibri" w:hAnsi="Verdana" w:cs="Arial"/>
          <w:color w:val="000000" w:themeColor="text1"/>
          <w:lang w:val="es-ES"/>
        </w:rPr>
        <w:t xml:space="preserve"> acredite […] que está domiciliada en el departamento o municipio en donde se </w:t>
      </w:r>
      <w:r w:rsidRPr="00BF319B">
        <w:rPr>
          <w:rFonts w:ascii="Verdana" w:eastAsia="Calibri" w:hAnsi="Verdana" w:cs="Arial"/>
          <w:color w:val="000000" w:themeColor="text1"/>
          <w:lang w:val="es-ES"/>
        </w:rPr>
        <w:lastRenderedPageBreak/>
        <w:t>va a ejecutar el contrato”</w:t>
      </w:r>
      <w:r w:rsidRPr="00BF319B">
        <w:rPr>
          <w:rStyle w:val="Refdenotaalpie"/>
          <w:rFonts w:ascii="Verdana" w:eastAsia="Calibri" w:hAnsi="Verdana" w:cs="Arial"/>
          <w:color w:val="000000" w:themeColor="text1"/>
          <w:lang w:val="es-ES"/>
        </w:rPr>
        <w:footnoteReference w:id="18"/>
      </w:r>
      <w:r w:rsidRPr="00BF319B">
        <w:rPr>
          <w:rFonts w:ascii="Verdana" w:eastAsia="Calibri" w:hAnsi="Verdana" w:cs="Arial"/>
          <w:color w:val="000000" w:themeColor="text1"/>
          <w:lang w:val="es-ES"/>
        </w:rPr>
        <w:t>. Esta norma establece un trato preferencial</w:t>
      </w:r>
      <w:r w:rsidRPr="00BF319B">
        <w:rPr>
          <w:rFonts w:ascii="Verdana" w:eastAsia="Calibri" w:hAnsi="Verdana" w:cs="Arial"/>
          <w:color w:val="000000"/>
          <w:lang w:val="es-ES_tradnl"/>
        </w:rPr>
        <w:t>, y se explicará en el siguiente acápite.</w:t>
      </w:r>
    </w:p>
    <w:p w14:paraId="3AF520C8" w14:textId="77777777" w:rsidR="002F4A7B" w:rsidRPr="00BF319B" w:rsidRDefault="002F4A7B" w:rsidP="002F4A7B">
      <w:pPr>
        <w:spacing w:after="0" w:line="276" w:lineRule="auto"/>
        <w:jc w:val="both"/>
        <w:rPr>
          <w:rFonts w:ascii="Verdana" w:eastAsia="Calibri" w:hAnsi="Verdana" w:cs="Arial"/>
          <w:color w:val="000000" w:themeColor="text1"/>
        </w:rPr>
      </w:pPr>
    </w:p>
    <w:p w14:paraId="68F76322" w14:textId="77777777" w:rsidR="002F4A7B" w:rsidRPr="00BF319B" w:rsidRDefault="002F4A7B" w:rsidP="002F4A7B">
      <w:pPr>
        <w:spacing w:after="0" w:line="276" w:lineRule="auto"/>
        <w:jc w:val="both"/>
        <w:rPr>
          <w:rFonts w:ascii="Verdana" w:eastAsia="Arial" w:hAnsi="Verdana" w:cs="Arial"/>
          <w:color w:val="000000"/>
        </w:rPr>
      </w:pPr>
      <w:proofErr w:type="spellStart"/>
      <w:r w:rsidRPr="00BF319B">
        <w:rPr>
          <w:rFonts w:ascii="Verdana" w:eastAsia="Arial" w:hAnsi="Verdana" w:cs="Arial"/>
          <w:color w:val="000000"/>
        </w:rPr>
        <w:t>ii</w:t>
      </w:r>
      <w:proofErr w:type="spellEnd"/>
      <w:r w:rsidRPr="00BF319B">
        <w:rPr>
          <w:rFonts w:ascii="Verdana" w:eastAsia="Arial" w:hAnsi="Verdana" w:cs="Arial"/>
          <w:color w:val="000000"/>
        </w:rPr>
        <w:t xml:space="preserve">. En desarrollo del artículo 12 de la Ley 1150 de 2007, el artículo 2.2.1.2.4.2.2 del Decreto 1082 de 2015 –modificado por el Decreto 1860 de 2021– establece los requisitos que se deben acreditar en las “convocatorias limitadas a </w:t>
      </w:r>
      <w:proofErr w:type="spellStart"/>
      <w:r w:rsidRPr="00BF319B">
        <w:rPr>
          <w:rFonts w:ascii="Verdana" w:eastAsia="Arial" w:hAnsi="Verdana" w:cs="Arial"/>
          <w:color w:val="000000"/>
        </w:rPr>
        <w:t>Mipymes</w:t>
      </w:r>
      <w:proofErr w:type="spellEnd"/>
      <w:r w:rsidRPr="00BF319B">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BF319B">
        <w:rPr>
          <w:rFonts w:ascii="Verdana" w:eastAsia="Arial" w:hAnsi="Verdana" w:cs="Arial"/>
          <w:color w:val="000000"/>
        </w:rPr>
        <w:t>Mipyme</w:t>
      </w:r>
      <w:proofErr w:type="spellEnd"/>
      <w:r w:rsidRPr="00BF319B">
        <w:rPr>
          <w:rFonts w:ascii="Verdana" w:eastAsia="Arial" w:hAnsi="Verdana" w:cs="Arial"/>
          <w:color w:val="000000"/>
        </w:rPr>
        <w:t xml:space="preserve"> colombianas con mínimo un (1) año de existencia, siempre que se cumplan los requisitos señalados allí. Al respecto indica lo siguiente: </w:t>
      </w:r>
    </w:p>
    <w:p w14:paraId="75A2FE51" w14:textId="77777777" w:rsidR="002F4A7B" w:rsidRPr="00BF319B" w:rsidRDefault="002F4A7B" w:rsidP="002F4A7B">
      <w:pPr>
        <w:spacing w:after="0" w:line="276" w:lineRule="auto"/>
        <w:ind w:firstLine="709"/>
        <w:jc w:val="both"/>
        <w:rPr>
          <w:rFonts w:ascii="Verdana" w:eastAsia="Arial" w:hAnsi="Verdana" w:cs="Arial"/>
          <w:color w:val="000000"/>
        </w:rPr>
      </w:pPr>
    </w:p>
    <w:p w14:paraId="09036A02" w14:textId="77777777" w:rsidR="002F4A7B" w:rsidRDefault="002F4A7B" w:rsidP="00EC261F">
      <w:pPr>
        <w:spacing w:after="0" w:line="240" w:lineRule="auto"/>
        <w:ind w:left="709" w:right="709"/>
        <w:jc w:val="both"/>
        <w:rPr>
          <w:rFonts w:ascii="Verdana" w:eastAsia="Calibri" w:hAnsi="Verdana" w:cs="Arial"/>
          <w:sz w:val="20"/>
          <w:szCs w:val="20"/>
          <w:lang w:val="es-ES"/>
        </w:rPr>
      </w:pPr>
      <w:r w:rsidRPr="0017107E">
        <w:rPr>
          <w:rFonts w:ascii="Verdana" w:eastAsia="Calibri" w:hAnsi="Verdana" w:cs="Arial"/>
          <w:sz w:val="20"/>
          <w:szCs w:val="20"/>
          <w:lang w:val="es-ES"/>
        </w:rPr>
        <w:t xml:space="preserve">“Artículo 2.2.1.2.4.2.2. Convocatorias Imitadas a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xml:space="preserve"> colombianas con mínimo un (1) año de existencia, cuando concurran los siguientes requisitos: </w:t>
      </w:r>
    </w:p>
    <w:p w14:paraId="14FF5328" w14:textId="77777777" w:rsidR="00EC261F" w:rsidRPr="0017107E" w:rsidRDefault="00EC261F" w:rsidP="0017107E">
      <w:pPr>
        <w:spacing w:after="0" w:line="240" w:lineRule="auto"/>
        <w:ind w:left="709" w:right="709"/>
        <w:jc w:val="both"/>
        <w:rPr>
          <w:rFonts w:ascii="Verdana" w:eastAsia="Calibri" w:hAnsi="Verdana" w:cs="Arial"/>
          <w:sz w:val="20"/>
          <w:szCs w:val="20"/>
          <w:lang w:val="es-ES"/>
        </w:rPr>
      </w:pPr>
    </w:p>
    <w:p w14:paraId="63067683" w14:textId="77777777" w:rsidR="002F4A7B" w:rsidRPr="0017107E" w:rsidRDefault="002F4A7B" w:rsidP="0017107E">
      <w:pPr>
        <w:spacing w:after="0" w:line="240" w:lineRule="auto"/>
        <w:ind w:left="709" w:right="709"/>
        <w:jc w:val="both"/>
        <w:rPr>
          <w:rFonts w:ascii="Verdana" w:eastAsia="Calibri" w:hAnsi="Verdana" w:cs="Arial"/>
          <w:sz w:val="20"/>
          <w:szCs w:val="20"/>
          <w:lang w:val="es-ES_tradnl"/>
        </w:rPr>
      </w:pPr>
      <w:r w:rsidRPr="0017107E">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2A387571" w14:textId="77777777" w:rsidR="00EC261F" w:rsidRDefault="00EC261F" w:rsidP="00EC261F">
      <w:pPr>
        <w:spacing w:after="0" w:line="240" w:lineRule="auto"/>
        <w:ind w:left="709" w:right="709"/>
        <w:jc w:val="both"/>
        <w:rPr>
          <w:rFonts w:ascii="Verdana" w:eastAsia="Calibri" w:hAnsi="Verdana" w:cs="Arial"/>
          <w:sz w:val="20"/>
          <w:szCs w:val="20"/>
          <w:lang w:val="es-ES"/>
        </w:rPr>
      </w:pPr>
    </w:p>
    <w:p w14:paraId="09FD6ABE" w14:textId="5AAFED89" w:rsidR="002F4A7B" w:rsidRPr="0017107E" w:rsidRDefault="002F4A7B" w:rsidP="0017107E">
      <w:pPr>
        <w:spacing w:after="0" w:line="240" w:lineRule="auto"/>
        <w:ind w:left="709" w:right="709"/>
        <w:jc w:val="both"/>
        <w:rPr>
          <w:rFonts w:ascii="Verdana" w:eastAsia="Calibri" w:hAnsi="Verdana" w:cs="Arial"/>
          <w:sz w:val="20"/>
          <w:szCs w:val="20"/>
          <w:lang w:val="es-ES"/>
        </w:rPr>
      </w:pPr>
      <w:r w:rsidRPr="0017107E">
        <w:rPr>
          <w:rFonts w:ascii="Verdana" w:eastAsia="Calibri" w:hAnsi="Verdana" w:cs="Arial"/>
          <w:sz w:val="20"/>
          <w:szCs w:val="20"/>
          <w:lang w:val="es-ES"/>
        </w:rPr>
        <w:t xml:space="preserve">2. Se hayan recibido solicitudes de por lo menos dos (2)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xml:space="preserve"> colombianas para limitar la convocatoria a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w:t>
      </w:r>
      <w:r w:rsidRPr="0017107E">
        <w:rPr>
          <w:rFonts w:ascii="Verdana" w:eastAsia="Calibri" w:hAnsi="Verdana" w:cs="Arial"/>
          <w:sz w:val="20"/>
          <w:szCs w:val="20"/>
          <w:lang w:val="es-ES"/>
        </w:rPr>
        <w:lastRenderedPageBreak/>
        <w:t xml:space="preserve">de apertura, o el que haga sus veces de acuerdo con la normativa aplicable a cada Proceso de Contratación. Tratándose de personas jurídicas, las solicitudes solo las podrán realizar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cuyo objeto social les permita ejecutar el contrato relacionado con el proceso contractual.</w:t>
      </w:r>
    </w:p>
    <w:p w14:paraId="59F4A4C2" w14:textId="77777777" w:rsidR="002F4A7B" w:rsidRPr="0017107E" w:rsidRDefault="002F4A7B" w:rsidP="00EC261F">
      <w:pPr>
        <w:spacing w:after="0" w:line="240" w:lineRule="auto"/>
        <w:ind w:left="709" w:right="709"/>
        <w:jc w:val="both"/>
        <w:rPr>
          <w:rFonts w:ascii="Verdana" w:eastAsia="Calibri" w:hAnsi="Verdana" w:cs="Arial"/>
          <w:sz w:val="20"/>
          <w:szCs w:val="20"/>
          <w:lang w:val="es-ES"/>
        </w:rPr>
      </w:pPr>
      <w:r w:rsidRPr="0017107E">
        <w:rPr>
          <w:rFonts w:ascii="Verdana" w:eastAsia="Calibri" w:hAnsi="Verdana" w:cs="Arial"/>
          <w:sz w:val="20"/>
          <w:szCs w:val="20"/>
          <w:lang w:val="es-ES"/>
        </w:rPr>
        <w:t xml:space="preserve">Parágrafo. Las cooperativas y demás entidades de economía solidaria, siempre que tengan la calidad de </w:t>
      </w:r>
      <w:proofErr w:type="spellStart"/>
      <w:r w:rsidRPr="0017107E">
        <w:rPr>
          <w:rFonts w:ascii="Verdana" w:eastAsia="Calibri" w:hAnsi="Verdana" w:cs="Arial"/>
          <w:sz w:val="20"/>
          <w:szCs w:val="20"/>
          <w:lang w:val="es-ES"/>
        </w:rPr>
        <w:t>Mipyme</w:t>
      </w:r>
      <w:proofErr w:type="spellEnd"/>
      <w:r w:rsidRPr="0017107E">
        <w:rPr>
          <w:rFonts w:ascii="Verdana" w:eastAsia="Calibri" w:hAnsi="Verdana" w:cs="Arial"/>
          <w:sz w:val="20"/>
          <w:szCs w:val="20"/>
          <w:lang w:val="es-ES"/>
        </w:rPr>
        <w:t>, podrán solicitar y participar en las convocatorias limitadas en las mismas condiciones dispuestas en el presente artículo”.</w:t>
      </w:r>
    </w:p>
    <w:p w14:paraId="196186FD" w14:textId="77777777" w:rsidR="002F4A7B" w:rsidRPr="00BF319B" w:rsidRDefault="002F4A7B" w:rsidP="002F4A7B">
      <w:pPr>
        <w:spacing w:after="0" w:line="276" w:lineRule="auto"/>
        <w:ind w:firstLine="709"/>
        <w:jc w:val="both"/>
        <w:rPr>
          <w:rFonts w:ascii="Verdana" w:eastAsia="Arial" w:hAnsi="Verdana" w:cs="Arial"/>
          <w:color w:val="000000"/>
        </w:rPr>
      </w:pPr>
    </w:p>
    <w:p w14:paraId="4D844996" w14:textId="77777777" w:rsidR="002F4A7B" w:rsidRPr="00BF319B" w:rsidRDefault="002F4A7B" w:rsidP="002F4A7B">
      <w:pPr>
        <w:spacing w:after="120" w:line="276" w:lineRule="auto"/>
        <w:ind w:firstLine="709"/>
        <w:jc w:val="both"/>
        <w:rPr>
          <w:rFonts w:ascii="Verdana" w:eastAsia="Arial" w:hAnsi="Verdana" w:cs="Arial"/>
          <w:color w:val="000000"/>
        </w:rPr>
      </w:pPr>
      <w:r w:rsidRPr="00BF319B">
        <w:rPr>
          <w:rFonts w:ascii="Verdana" w:eastAsia="Arial" w:hAnsi="Verdana" w:cs="Arial"/>
          <w:color w:val="000000"/>
        </w:rPr>
        <w:t xml:space="preserve">Según se evidencia, el numeral primero limita cuantitativamente los procesos contractuales para las convocatorias limitadas a </w:t>
      </w:r>
      <w:proofErr w:type="spellStart"/>
      <w:r w:rsidRPr="00BF319B">
        <w:rPr>
          <w:rFonts w:ascii="Verdana" w:eastAsia="Arial" w:hAnsi="Verdana" w:cs="Arial"/>
          <w:color w:val="000000"/>
        </w:rPr>
        <w:t>Mipyme</w:t>
      </w:r>
      <w:proofErr w:type="spellEnd"/>
      <w:r w:rsidRPr="00BF319B">
        <w:rPr>
          <w:rFonts w:ascii="Verdana" w:eastAsia="Arial" w:hAnsi="Verdana" w:cs="Arial"/>
          <w:color w:val="000000"/>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proofErr w:type="spellStart"/>
      <w:r w:rsidRPr="00BF319B">
        <w:rPr>
          <w:rFonts w:ascii="Verdana" w:eastAsia="Arial" w:hAnsi="Verdana" w:cs="Arial"/>
          <w:color w:val="000000"/>
        </w:rPr>
        <w:t>Mipymes</w:t>
      </w:r>
      <w:proofErr w:type="spellEnd"/>
      <w:r w:rsidRPr="00BF319B">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BF319B">
        <w:rPr>
          <w:rFonts w:ascii="Verdana" w:eastAsia="Arial" w:hAnsi="Verdana" w:cs="Arial"/>
          <w:color w:val="000000"/>
          <w:lang w:val="es-ES_tradnl"/>
        </w:rPr>
        <w:t>o el que haga sus veces de acuerdo con la normativa aplicable a cada Proceso de Contratación</w:t>
      </w:r>
      <w:r w:rsidRPr="00BF319B">
        <w:rPr>
          <w:rFonts w:ascii="Verdana" w:eastAsia="Arial" w:hAnsi="Verdana" w:cs="Arial"/>
          <w:color w:val="000000"/>
        </w:rPr>
        <w:t xml:space="preserve">. Asimismo, la norma señala que, </w:t>
      </w:r>
      <w:r w:rsidRPr="00BF319B">
        <w:rPr>
          <w:rFonts w:ascii="Verdana" w:eastAsia="Arial" w:hAnsi="Verdana" w:cs="Arial"/>
          <w:color w:val="000000"/>
          <w:lang w:val="es-ES_tradnl"/>
        </w:rPr>
        <w:t xml:space="preserve">tratándose de personas jurídicas, las solicitudes solo las podrán realizar la </w:t>
      </w:r>
      <w:proofErr w:type="spellStart"/>
      <w:r w:rsidRPr="00BF319B">
        <w:rPr>
          <w:rFonts w:ascii="Verdana" w:eastAsia="Arial" w:hAnsi="Verdana" w:cs="Arial"/>
          <w:color w:val="000000"/>
          <w:lang w:val="es-ES_tradnl"/>
        </w:rPr>
        <w:t>Mipyme</w:t>
      </w:r>
      <w:proofErr w:type="spellEnd"/>
      <w:r w:rsidRPr="00BF319B">
        <w:rPr>
          <w:rFonts w:ascii="Verdana" w:eastAsia="Arial" w:hAnsi="Verdana"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BF319B">
        <w:rPr>
          <w:rFonts w:ascii="Verdana" w:eastAsia="Arial" w:hAnsi="Verdana" w:cs="Arial"/>
          <w:color w:val="000000"/>
          <w:lang w:val="es-ES_tradnl"/>
        </w:rPr>
        <w:t>Mipyme</w:t>
      </w:r>
      <w:proofErr w:type="spellEnd"/>
      <w:r w:rsidRPr="00BF319B">
        <w:rPr>
          <w:rFonts w:ascii="Verdana" w:eastAsia="Arial" w:hAnsi="Verdana" w:cs="Arial"/>
          <w:color w:val="000000"/>
          <w:lang w:val="es-ES_tradnl"/>
        </w:rPr>
        <w:t xml:space="preserve">, siempre que estas cumplan con las condiciones señaladas en el artículo. </w:t>
      </w:r>
    </w:p>
    <w:p w14:paraId="6707E9BD" w14:textId="77777777" w:rsidR="002F4A7B" w:rsidRPr="00BF319B" w:rsidRDefault="002F4A7B" w:rsidP="0902D528">
      <w:pPr>
        <w:spacing w:after="0" w:line="276" w:lineRule="auto"/>
        <w:ind w:firstLine="709"/>
        <w:jc w:val="both"/>
        <w:rPr>
          <w:rFonts w:ascii="Verdana" w:eastAsia="Calibri" w:hAnsi="Verdana" w:cs="Arial"/>
          <w:lang w:val="es-ES"/>
        </w:rPr>
      </w:pPr>
      <w:r w:rsidRPr="0902D528">
        <w:rPr>
          <w:rFonts w:ascii="Verdana" w:eastAsia="Calibri" w:hAnsi="Verdana" w:cs="Arial"/>
          <w:lang w:val="es-ES"/>
        </w:rPr>
        <w:t>En relación con las limitaciones territorial</w:t>
      </w:r>
      <w:r w:rsidRPr="0902D528">
        <w:rPr>
          <w:rFonts w:ascii="Verdana" w:hAnsi="Verdana" w:cs="Arial"/>
          <w:lang w:val="es-ES"/>
        </w:rPr>
        <w:t xml:space="preserve">es de las convocatorias a </w:t>
      </w:r>
      <w:proofErr w:type="spellStart"/>
      <w:r w:rsidRPr="0902D528">
        <w:rPr>
          <w:rFonts w:ascii="Verdana" w:hAnsi="Verdana" w:cs="Arial"/>
          <w:lang w:val="es-ES"/>
        </w:rPr>
        <w:t>Mipyme</w:t>
      </w:r>
      <w:proofErr w:type="spellEnd"/>
      <w:r w:rsidRPr="0902D528">
        <w:rPr>
          <w:rFonts w:ascii="Verdana" w:hAnsi="Verdana" w:cs="Arial"/>
          <w:lang w:val="es-ES"/>
        </w:rPr>
        <w:t xml:space="preserve">, </w:t>
      </w:r>
      <w:r w:rsidRPr="0902D528">
        <w:rPr>
          <w:rFonts w:ascii="Verdana" w:eastAsia="Calibri" w:hAnsi="Verdana" w:cs="Arial"/>
          <w:lang w:val="es-ES"/>
        </w:rPr>
        <w:t xml:space="preserve"> a la luz del antiguo artículo 2.2.1.2.4.2.3 del Decreto 1082 de 2015, esta Agencia –</w:t>
      </w:r>
      <w:r w:rsidRPr="0902D528">
        <w:rPr>
          <w:rFonts w:ascii="Verdana" w:hAnsi="Verdana" w:cs="Arial"/>
          <w:lang w:val="es-ES"/>
        </w:rPr>
        <w:t>en los Conceptos 4201714000006924 del 29 de enero de 2018,</w:t>
      </w:r>
      <w:r w:rsidRPr="0902D528">
        <w:rPr>
          <w:rFonts w:ascii="Verdana" w:eastAsia="Calibri" w:hAnsi="Verdana" w:cs="Arial"/>
          <w:lang w:val="es-ES"/>
        </w:rPr>
        <w:t xml:space="preserve"> C-045 del 17 de marzo de 2020, C-162 del 16 de abril de 2020, C-214 del 21 de abril de 2020, C-258 del 17 de abril de 2020, C-364 del 4 de junio de 2020, C-413 del 30 de junio de 2020</w:t>
      </w:r>
      <w:r w:rsidRPr="0902D528">
        <w:rPr>
          <w:rFonts w:ascii="Verdana" w:hAnsi="Verdana" w:cs="Arial"/>
          <w:lang w:val="es-ES"/>
        </w:rPr>
        <w:t xml:space="preserve">, </w:t>
      </w:r>
      <w:r w:rsidRPr="0902D528">
        <w:rPr>
          <w:rFonts w:ascii="Verdana" w:eastAsia="Calibri" w:hAnsi="Verdana" w:cs="Arial"/>
          <w:lang w:val="es-ES"/>
        </w:rPr>
        <w:t xml:space="preserve">C-492 del 24 de julio de 2020, C-523 del 11 de agosto de 2020, C-610 del 14 de septiembre de 2020 y C-700 de 1 de diciembre de 2020– había sostenido que, para que se permitiera la participación de una </w:t>
      </w:r>
      <w:proofErr w:type="spellStart"/>
      <w:r w:rsidRPr="0902D528">
        <w:rPr>
          <w:rFonts w:ascii="Verdana" w:eastAsia="Calibri" w:hAnsi="Verdana" w:cs="Arial"/>
          <w:lang w:val="es-ES"/>
        </w:rPr>
        <w:t>Mipyme</w:t>
      </w:r>
      <w:proofErr w:type="spellEnd"/>
      <w:r w:rsidRPr="0902D528">
        <w:rPr>
          <w:rFonts w:ascii="Verdana" w:eastAsia="Calibri" w:hAnsi="Verdana" w:cs="Arial"/>
          <w:lang w:val="es-ES"/>
        </w:rPr>
        <w:t xml:space="preserve"> en uno de estos procesos, era necesario que esta demostrara estar domiciliada en el municipio o departamento en el que se ejecutaría el contrato. La tesis se expuso en los siguientes términos: </w:t>
      </w:r>
    </w:p>
    <w:p w14:paraId="359EE73B" w14:textId="77777777" w:rsidR="002F4A7B" w:rsidRPr="00BF319B" w:rsidRDefault="002F4A7B" w:rsidP="002F4A7B">
      <w:pPr>
        <w:spacing w:after="0" w:line="276" w:lineRule="auto"/>
        <w:ind w:firstLine="709"/>
        <w:jc w:val="both"/>
        <w:rPr>
          <w:rFonts w:ascii="Verdana" w:eastAsia="Calibri" w:hAnsi="Verdana" w:cs="Arial"/>
          <w:lang w:val="es-ES_tradnl"/>
        </w:rPr>
      </w:pPr>
    </w:p>
    <w:p w14:paraId="2C1987AB" w14:textId="77777777" w:rsidR="002F4A7B" w:rsidRPr="0017107E" w:rsidRDefault="002F4A7B" w:rsidP="0902D528">
      <w:pPr>
        <w:spacing w:after="120" w:line="240" w:lineRule="auto"/>
        <w:ind w:left="709" w:right="709"/>
        <w:jc w:val="both"/>
        <w:rPr>
          <w:rFonts w:ascii="Verdana" w:hAnsi="Verdana" w:cs="Arial"/>
          <w:sz w:val="20"/>
          <w:szCs w:val="20"/>
          <w:lang w:val="es-ES"/>
        </w:rPr>
      </w:pPr>
      <w:r w:rsidRPr="0017107E">
        <w:rPr>
          <w:rFonts w:ascii="Verdana" w:hAnsi="Verdana" w:cs="Arial"/>
          <w:sz w:val="20"/>
          <w:szCs w:val="20"/>
          <w:lang w:val="es-ES"/>
        </w:rPr>
        <w:t xml:space="preserve">“Es de resaltar que </w:t>
      </w:r>
      <w:r w:rsidRPr="0017107E">
        <w:rPr>
          <w:rFonts w:ascii="Verdana" w:hAnsi="Verdana" w:cs="Arial"/>
          <w:i/>
          <w:iCs/>
          <w:sz w:val="20"/>
          <w:szCs w:val="20"/>
          <w:lang w:val="es-ES"/>
        </w:rPr>
        <w:t xml:space="preserve">estas normas se refieren a las </w:t>
      </w:r>
      <w:proofErr w:type="spellStart"/>
      <w:r w:rsidRPr="0017107E">
        <w:rPr>
          <w:rFonts w:ascii="Verdana" w:hAnsi="Verdana" w:cs="Arial"/>
          <w:i/>
          <w:iCs/>
          <w:sz w:val="20"/>
          <w:szCs w:val="20"/>
          <w:lang w:val="es-ES"/>
        </w:rPr>
        <w:t>Mipymes</w:t>
      </w:r>
      <w:proofErr w:type="spellEnd"/>
      <w:r w:rsidRPr="0017107E">
        <w:rPr>
          <w:rFonts w:ascii="Verdana" w:hAnsi="Verdana" w:cs="Arial"/>
          <w:i/>
          <w:iCs/>
          <w:sz w:val="20"/>
          <w:szCs w:val="20"/>
          <w:lang w:val="es-ES"/>
        </w:rPr>
        <w:t xml:space="preserve"> nacionales genéricamente y, particularmente, a las </w:t>
      </w:r>
      <w:proofErr w:type="spellStart"/>
      <w:r w:rsidRPr="0017107E">
        <w:rPr>
          <w:rFonts w:ascii="Verdana" w:hAnsi="Verdana" w:cs="Arial"/>
          <w:i/>
          <w:iCs/>
          <w:sz w:val="20"/>
          <w:szCs w:val="20"/>
          <w:lang w:val="es-ES"/>
        </w:rPr>
        <w:t>Mipymes</w:t>
      </w:r>
      <w:proofErr w:type="spellEnd"/>
      <w:r w:rsidRPr="0017107E">
        <w:rPr>
          <w:rFonts w:ascii="Verdana" w:hAnsi="Verdana" w:cs="Arial"/>
          <w:i/>
          <w:iCs/>
          <w:sz w:val="20"/>
          <w:szCs w:val="20"/>
          <w:lang w:val="es-ES"/>
        </w:rPr>
        <w:t xml:space="preserve"> nacionales “domiciliadas </w:t>
      </w:r>
      <w:r w:rsidRPr="0017107E">
        <w:rPr>
          <w:rFonts w:ascii="Verdana" w:hAnsi="Verdana" w:cs="Arial"/>
          <w:i/>
          <w:iCs/>
          <w:sz w:val="20"/>
          <w:szCs w:val="20"/>
          <w:lang w:val="es-ES"/>
        </w:rPr>
        <w:lastRenderedPageBreak/>
        <w:t>en los departamentos o municipios en donde se va a ejecutar el contrato”.</w:t>
      </w:r>
      <w:r w:rsidRPr="0017107E">
        <w:rPr>
          <w:rFonts w:ascii="Verdana" w:hAnsi="Verdana" w:cs="Arial"/>
          <w:sz w:val="20"/>
          <w:szCs w:val="20"/>
          <w:lang w:val="es-ES"/>
        </w:rPr>
        <w:t xml:space="preserve"> En ambos casos se refiere a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nacionales, distinguiéndolas de las empresas extranjeras. Del artículo 2.2.1.2.4.2.3 del Decreto 1082 de 2015 no se deriva que existan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del orden nacional. Otra cosa es que las normas de contratación permitan que las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nacionales con “domicilio” en un municipio o departamento puedan beneficiarse en la ejecución de un contrato dentro de la entidad territorial en la que tienen su “domicilio”. De todos modos, las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domiciliadas en un municipio o departamento son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nacionales. En consecuencia, no es procedente distinguir entre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nacionales y </w:t>
      </w:r>
      <w:proofErr w:type="spellStart"/>
      <w:r w:rsidRPr="0017107E">
        <w:rPr>
          <w:rFonts w:ascii="Verdana" w:hAnsi="Verdana" w:cs="Arial"/>
          <w:sz w:val="20"/>
          <w:szCs w:val="20"/>
          <w:lang w:val="es-ES"/>
        </w:rPr>
        <w:t>Mipymes</w:t>
      </w:r>
      <w:proofErr w:type="spellEnd"/>
      <w:r w:rsidRPr="0017107E">
        <w:rPr>
          <w:rFonts w:ascii="Verdana" w:hAnsi="Verdana" w:cs="Arial"/>
          <w:sz w:val="20"/>
          <w:szCs w:val="20"/>
          <w:lang w:val="es-ES"/>
        </w:rPr>
        <w:t xml:space="preserve"> municipales o departamentales, habida cuenta que estas últimas no existen como categoría dentro del ordenamiento normativo.</w:t>
      </w:r>
    </w:p>
    <w:p w14:paraId="6A767EAA" w14:textId="77777777" w:rsidR="002F4A7B" w:rsidRPr="0017107E" w:rsidRDefault="002F4A7B" w:rsidP="0902D528">
      <w:pPr>
        <w:spacing w:after="0" w:line="240" w:lineRule="auto"/>
        <w:ind w:left="709" w:right="709"/>
        <w:jc w:val="both"/>
        <w:rPr>
          <w:rFonts w:ascii="Verdana" w:hAnsi="Verdana" w:cs="Arial"/>
          <w:sz w:val="20"/>
          <w:szCs w:val="20"/>
          <w:lang w:val="es-ES"/>
        </w:rPr>
      </w:pPr>
      <w:r w:rsidRPr="0017107E">
        <w:rPr>
          <w:rFonts w:ascii="Verdana" w:hAnsi="Verdana" w:cs="Arial"/>
          <w:sz w:val="20"/>
          <w:szCs w:val="20"/>
          <w:lang w:val="es-ES"/>
        </w:rPr>
        <w:t xml:space="preserve">Igualmente, se debe precisar que </w:t>
      </w:r>
      <w:r w:rsidRPr="0017107E">
        <w:rPr>
          <w:rFonts w:ascii="Verdana" w:hAnsi="Verdana" w:cs="Arial"/>
          <w:i/>
          <w:iCs/>
          <w:sz w:val="20"/>
          <w:szCs w:val="20"/>
          <w:lang w:val="es-ES"/>
        </w:rPr>
        <w:t>el artículo 2.2.1.2.4.2.3 del Decreto 1082 de 2015 se refiere a las “</w:t>
      </w:r>
      <w:proofErr w:type="spellStart"/>
      <w:r w:rsidRPr="0017107E">
        <w:rPr>
          <w:rFonts w:ascii="Verdana" w:hAnsi="Verdana" w:cs="Arial"/>
          <w:i/>
          <w:iCs/>
          <w:sz w:val="20"/>
          <w:szCs w:val="20"/>
          <w:lang w:val="es-ES"/>
        </w:rPr>
        <w:t>Mipyme</w:t>
      </w:r>
      <w:proofErr w:type="spellEnd"/>
      <w:r w:rsidRPr="0017107E">
        <w:rPr>
          <w:rFonts w:ascii="Verdana" w:hAnsi="Verdana" w:cs="Arial"/>
          <w:i/>
          <w:iCs/>
          <w:sz w:val="20"/>
          <w:szCs w:val="20"/>
          <w:lang w:val="es-ES"/>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17107E">
        <w:rPr>
          <w:rFonts w:ascii="Verdana" w:hAnsi="Verdana" w:cs="Arial"/>
          <w:i/>
          <w:iCs/>
          <w:sz w:val="20"/>
          <w:szCs w:val="20"/>
          <w:lang w:val="es-ES"/>
        </w:rPr>
        <w:t>Mipyme</w:t>
      </w:r>
      <w:proofErr w:type="spellEnd"/>
      <w:r w:rsidRPr="0017107E">
        <w:rPr>
          <w:rFonts w:ascii="Verdana" w:hAnsi="Verdana" w:cs="Arial"/>
          <w:i/>
          <w:iCs/>
          <w:sz w:val="20"/>
          <w:szCs w:val="20"/>
          <w:lang w:val="es-ES"/>
        </w:rPr>
        <w:t xml:space="preserve"> tiene su “domicilio”, y no en donde tiene sucursales</w:t>
      </w:r>
      <w:r w:rsidRPr="0017107E">
        <w:rPr>
          <w:rFonts w:ascii="Verdana" w:hAnsi="Verdana" w:cs="Arial"/>
          <w:sz w:val="20"/>
          <w:szCs w:val="20"/>
          <w:lang w:val="es-ES"/>
        </w:rPr>
        <w:t>”</w:t>
      </w:r>
      <w:r w:rsidRPr="0017107E">
        <w:rPr>
          <w:rStyle w:val="Refdenotaalpie"/>
          <w:rFonts w:ascii="Verdana" w:hAnsi="Verdana" w:cs="Arial"/>
          <w:i/>
          <w:iCs/>
          <w:sz w:val="20"/>
          <w:szCs w:val="20"/>
          <w:lang w:val="es-ES"/>
        </w:rPr>
        <w:footnoteReference w:id="19"/>
      </w:r>
      <w:r w:rsidRPr="0017107E">
        <w:rPr>
          <w:rFonts w:ascii="Verdana" w:hAnsi="Verdana" w:cs="Arial"/>
          <w:sz w:val="20"/>
          <w:szCs w:val="20"/>
          <w:lang w:val="es-ES"/>
        </w:rPr>
        <w:t>. (Énfasis fuera de texto)</w:t>
      </w:r>
    </w:p>
    <w:p w14:paraId="5EE62DE7" w14:textId="77777777" w:rsidR="002F4A7B" w:rsidRPr="00BF319B" w:rsidRDefault="002F4A7B" w:rsidP="002F4A7B">
      <w:pPr>
        <w:spacing w:after="0" w:line="276" w:lineRule="auto"/>
        <w:ind w:left="709" w:right="709"/>
        <w:jc w:val="both"/>
        <w:rPr>
          <w:rFonts w:ascii="Verdana" w:hAnsi="Verdana" w:cs="Arial"/>
          <w:lang w:val="es-ES_tradnl"/>
        </w:rPr>
      </w:pPr>
    </w:p>
    <w:p w14:paraId="3F7BD135" w14:textId="77777777" w:rsidR="002F4A7B" w:rsidRPr="00BF319B" w:rsidRDefault="002F4A7B" w:rsidP="0902D528">
      <w:pPr>
        <w:spacing w:after="120" w:line="276" w:lineRule="auto"/>
        <w:ind w:firstLine="709"/>
        <w:jc w:val="both"/>
        <w:rPr>
          <w:rFonts w:ascii="Verdana" w:eastAsia="Calibri" w:hAnsi="Verdana" w:cs="Arial"/>
          <w:lang w:val="es-ES"/>
        </w:rPr>
      </w:pPr>
      <w:r w:rsidRPr="0902D528">
        <w:rPr>
          <w:rFonts w:ascii="Verdana" w:hAnsi="Verdana" w:cs="Arial"/>
          <w:lang w:val="es-ES"/>
        </w:rPr>
        <w:t xml:space="preserve">Como se aprecia, la postura sostenida por esta Agencia en vigencia del artículo </w:t>
      </w:r>
      <w:r w:rsidRPr="0902D528">
        <w:rPr>
          <w:rFonts w:ascii="Verdana" w:eastAsia="Calibri" w:hAnsi="Verdana" w:cs="Arial"/>
          <w:lang w:val="es-ES"/>
        </w:rPr>
        <w:t xml:space="preserve">2.2.1.2.4.2.3 del Decreto 1082 de 2015 no contemplaba la posibilidad de que una </w:t>
      </w:r>
      <w:proofErr w:type="spellStart"/>
      <w:r w:rsidRPr="0902D528">
        <w:rPr>
          <w:rFonts w:ascii="Verdana" w:eastAsia="Calibri" w:hAnsi="Verdana" w:cs="Arial"/>
          <w:lang w:val="es-ES"/>
        </w:rPr>
        <w:t>Mipyme</w:t>
      </w:r>
      <w:proofErr w:type="spellEnd"/>
      <w:r w:rsidRPr="0902D528">
        <w:rPr>
          <w:rFonts w:ascii="Verdana" w:eastAsia="Calibri" w:hAnsi="Verdana" w:cs="Arial"/>
          <w:lang w:val="es-ES"/>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902D528">
        <w:rPr>
          <w:rFonts w:ascii="Verdana" w:eastAsia="Calibri" w:hAnsi="Verdana" w:cs="Arial"/>
          <w:lang w:val="es-ES"/>
        </w:rPr>
        <w:t>Mipyme</w:t>
      </w:r>
      <w:proofErr w:type="spellEnd"/>
      <w:r w:rsidRPr="0902D528">
        <w:rPr>
          <w:rFonts w:ascii="Verdana" w:eastAsia="Calibri" w:hAnsi="Verdana" w:cs="Arial"/>
          <w:lang w:val="es-ES"/>
        </w:rPr>
        <w:t xml:space="preserve">. </w:t>
      </w:r>
    </w:p>
    <w:p w14:paraId="0C15B360" w14:textId="77777777" w:rsidR="002F4A7B" w:rsidRPr="00BF319B" w:rsidRDefault="002F4A7B" w:rsidP="50259C15">
      <w:pPr>
        <w:spacing w:after="0" w:line="276" w:lineRule="auto"/>
        <w:ind w:firstLine="709"/>
        <w:jc w:val="both"/>
        <w:rPr>
          <w:rFonts w:ascii="Verdana" w:eastAsia="Calibri" w:hAnsi="Verdana" w:cs="Arial"/>
          <w:lang w:val="es-ES"/>
        </w:rPr>
      </w:pPr>
      <w:r w:rsidRPr="50259C15">
        <w:rPr>
          <w:rFonts w:ascii="Verdana" w:eastAsia="Calibri" w:hAnsi="Verdana" w:cs="Arial"/>
          <w:lang w:val="es-ES"/>
        </w:rPr>
        <w:t xml:space="preserve">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Pr="50259C15">
        <w:rPr>
          <w:rFonts w:ascii="Verdana" w:eastAsia="Calibri" w:hAnsi="Verdana" w:cs="Arial"/>
          <w:lang w:val="es-ES"/>
        </w:rPr>
        <w:t>Mipyme</w:t>
      </w:r>
      <w:proofErr w:type="spellEnd"/>
      <w:r w:rsidRPr="50259C15">
        <w:rPr>
          <w:rFonts w:ascii="Verdana" w:eastAsia="Calibri" w:hAnsi="Verdana" w:cs="Arial"/>
          <w:lang w:val="es-ES"/>
        </w:rPr>
        <w:t xml:space="preserve"> en el departamento o municipio donde se ejecuta el contrato, la reglamentación no tuvo cambios. Así se desprende del texto de la norma que es del siguiente tenor: </w:t>
      </w:r>
    </w:p>
    <w:p w14:paraId="378F2A8A" w14:textId="77777777" w:rsidR="002F4A7B" w:rsidRPr="00BF319B" w:rsidRDefault="002F4A7B" w:rsidP="002F4A7B">
      <w:pPr>
        <w:spacing w:after="0"/>
        <w:ind w:right="709"/>
        <w:jc w:val="both"/>
        <w:rPr>
          <w:rFonts w:ascii="Verdana" w:hAnsi="Verdana" w:cs="Arial"/>
          <w:lang w:val="es-ES_tradnl"/>
        </w:rPr>
      </w:pPr>
    </w:p>
    <w:p w14:paraId="0A5FC09C" w14:textId="77777777" w:rsidR="002F4A7B" w:rsidRPr="0017107E" w:rsidRDefault="002F4A7B" w:rsidP="002F4A7B">
      <w:pPr>
        <w:spacing w:after="0" w:line="240" w:lineRule="auto"/>
        <w:ind w:left="709" w:right="709"/>
        <w:jc w:val="both"/>
        <w:rPr>
          <w:rFonts w:ascii="Verdana" w:hAnsi="Verdana" w:cs="Arial"/>
          <w:sz w:val="20"/>
          <w:szCs w:val="20"/>
          <w:lang w:val="es-ES_tradnl"/>
        </w:rPr>
      </w:pPr>
      <w:r w:rsidRPr="0017107E">
        <w:rPr>
          <w:rFonts w:ascii="Verdana" w:hAnsi="Verdana" w:cs="Arial"/>
          <w:sz w:val="20"/>
          <w:szCs w:val="20"/>
          <w:lang w:val="es-ES_tradnl"/>
        </w:rPr>
        <w:t>“ARTÍCULO  5. Modificaci</w:t>
      </w:r>
      <w:r w:rsidRPr="0017107E">
        <w:rPr>
          <w:rFonts w:ascii="Verdana" w:hAnsi="Verdana" w:cs="Century Gothic"/>
          <w:sz w:val="20"/>
          <w:szCs w:val="20"/>
          <w:lang w:val="es-ES_tradnl"/>
        </w:rPr>
        <w:t>ó</w:t>
      </w:r>
      <w:r w:rsidRPr="0017107E">
        <w:rPr>
          <w:rFonts w:ascii="Verdana" w:hAnsi="Verdana" w:cs="Arial"/>
          <w:sz w:val="20"/>
          <w:szCs w:val="20"/>
          <w:lang w:val="es-ES_tradnl"/>
        </w:rPr>
        <w:t>n de la Subsecci</w:t>
      </w:r>
      <w:r w:rsidRPr="0017107E">
        <w:rPr>
          <w:rFonts w:ascii="Verdana" w:hAnsi="Verdana" w:cs="Century Gothic"/>
          <w:sz w:val="20"/>
          <w:szCs w:val="20"/>
          <w:lang w:val="es-ES_tradnl"/>
        </w:rPr>
        <w:t>ó</w:t>
      </w:r>
      <w:r w:rsidRPr="0017107E">
        <w:rPr>
          <w:rFonts w:ascii="Verdana" w:hAnsi="Verdana" w:cs="Arial"/>
          <w:sz w:val="20"/>
          <w:szCs w:val="20"/>
          <w:lang w:val="es-ES_tradnl"/>
        </w:rPr>
        <w:t>n 2 de la Secci</w:t>
      </w:r>
      <w:r w:rsidRPr="0017107E">
        <w:rPr>
          <w:rFonts w:ascii="Verdana" w:hAnsi="Verdana" w:cs="Century Gothic"/>
          <w:sz w:val="20"/>
          <w:szCs w:val="20"/>
          <w:lang w:val="es-ES_tradnl"/>
        </w:rPr>
        <w:t>ó</w:t>
      </w:r>
      <w:r w:rsidRPr="0017107E">
        <w:rPr>
          <w:rFonts w:ascii="Verdana" w:hAnsi="Verdana" w:cs="Arial"/>
          <w:sz w:val="20"/>
          <w:szCs w:val="20"/>
          <w:lang w:val="es-ES_tradnl"/>
        </w:rPr>
        <w:t>n 4 del Cap</w:t>
      </w:r>
      <w:r w:rsidRPr="0017107E">
        <w:rPr>
          <w:rFonts w:ascii="Verdana" w:hAnsi="Verdana" w:cs="Century Gothic"/>
          <w:sz w:val="20"/>
          <w:szCs w:val="20"/>
          <w:lang w:val="es-ES_tradnl"/>
        </w:rPr>
        <w:t>í</w:t>
      </w:r>
      <w:r w:rsidRPr="0017107E">
        <w:rPr>
          <w:rFonts w:ascii="Verdana" w:hAnsi="Verdana" w:cs="Arial"/>
          <w:sz w:val="20"/>
          <w:szCs w:val="20"/>
          <w:lang w:val="es-ES_tradnl"/>
        </w:rPr>
        <w:t>tulo 2 del T</w:t>
      </w:r>
      <w:r w:rsidRPr="0017107E">
        <w:rPr>
          <w:rFonts w:ascii="Verdana" w:hAnsi="Verdana" w:cs="Century Gothic"/>
          <w:sz w:val="20"/>
          <w:szCs w:val="20"/>
          <w:lang w:val="es-ES_tradnl"/>
        </w:rPr>
        <w:t>í</w:t>
      </w:r>
      <w:r w:rsidRPr="0017107E">
        <w:rPr>
          <w:rFonts w:ascii="Verdana" w:hAnsi="Verdana" w:cs="Arial"/>
          <w:sz w:val="20"/>
          <w:szCs w:val="20"/>
          <w:lang w:val="es-ES_tradnl"/>
        </w:rPr>
        <w:t>tulo 1 de la Parte 2 del Libro 2 del Decreto 1082 de 2015. Modif</w:t>
      </w:r>
      <w:r w:rsidRPr="0017107E">
        <w:rPr>
          <w:rFonts w:ascii="Verdana" w:hAnsi="Verdana" w:cs="Century Gothic"/>
          <w:sz w:val="20"/>
          <w:szCs w:val="20"/>
          <w:lang w:val="es-ES_tradnl"/>
        </w:rPr>
        <w:t>í</w:t>
      </w:r>
      <w:r w:rsidRPr="0017107E">
        <w:rPr>
          <w:rFonts w:ascii="Verdana" w:hAnsi="Verdana" w:cs="Arial"/>
          <w:sz w:val="20"/>
          <w:szCs w:val="20"/>
          <w:lang w:val="es-ES_tradnl"/>
        </w:rPr>
        <w:t>quense los art</w:t>
      </w:r>
      <w:r w:rsidRPr="0017107E">
        <w:rPr>
          <w:rFonts w:ascii="Verdana" w:hAnsi="Verdana" w:cs="Century Gothic"/>
          <w:sz w:val="20"/>
          <w:szCs w:val="20"/>
          <w:lang w:val="es-ES_tradnl"/>
        </w:rPr>
        <w:t>í</w:t>
      </w:r>
      <w:r w:rsidRPr="0017107E">
        <w:rPr>
          <w:rFonts w:ascii="Verdana" w:hAnsi="Verdana" w:cs="Arial"/>
          <w:sz w:val="20"/>
          <w:szCs w:val="20"/>
          <w:lang w:val="es-ES_tradnl"/>
        </w:rPr>
        <w:t xml:space="preserve">culos 2.2.1.2.4.2.2., 2.2.1.2.4.2.3. </w:t>
      </w:r>
      <w:r w:rsidRPr="0017107E">
        <w:rPr>
          <w:rFonts w:ascii="Verdana" w:hAnsi="Verdana" w:cs="Arial"/>
          <w:sz w:val="20"/>
          <w:szCs w:val="20"/>
          <w:lang w:val="es-ES_tradnl"/>
        </w:rPr>
        <w:lastRenderedPageBreak/>
        <w:t>y 2.2.1.2.4.2.4. de la Subsecci</w:t>
      </w:r>
      <w:r w:rsidRPr="0017107E">
        <w:rPr>
          <w:rFonts w:ascii="Verdana" w:hAnsi="Verdana" w:cs="Century Gothic"/>
          <w:sz w:val="20"/>
          <w:szCs w:val="20"/>
          <w:lang w:val="es-ES_tradnl"/>
        </w:rPr>
        <w:t>ó</w:t>
      </w:r>
      <w:r w:rsidRPr="0017107E">
        <w:rPr>
          <w:rFonts w:ascii="Verdana" w:hAnsi="Verdana" w:cs="Arial"/>
          <w:sz w:val="20"/>
          <w:szCs w:val="20"/>
          <w:lang w:val="es-ES_tradnl"/>
        </w:rPr>
        <w:t>n 2 de la Secci</w:t>
      </w:r>
      <w:r w:rsidRPr="0017107E">
        <w:rPr>
          <w:rFonts w:ascii="Verdana" w:hAnsi="Verdana" w:cs="Century Gothic"/>
          <w:sz w:val="20"/>
          <w:szCs w:val="20"/>
          <w:lang w:val="es-ES_tradnl"/>
        </w:rPr>
        <w:t>ó</w:t>
      </w:r>
      <w:r w:rsidRPr="0017107E">
        <w:rPr>
          <w:rFonts w:ascii="Verdana" w:hAnsi="Verdana" w:cs="Arial"/>
          <w:sz w:val="20"/>
          <w:szCs w:val="20"/>
          <w:lang w:val="es-ES_tradnl"/>
        </w:rPr>
        <w:t>n 4 del Cap</w:t>
      </w:r>
      <w:r w:rsidRPr="0017107E">
        <w:rPr>
          <w:rFonts w:ascii="Verdana" w:hAnsi="Verdana" w:cs="Century Gothic"/>
          <w:sz w:val="20"/>
          <w:szCs w:val="20"/>
          <w:lang w:val="es-ES_tradnl"/>
        </w:rPr>
        <w:t>í</w:t>
      </w:r>
      <w:r w:rsidRPr="0017107E">
        <w:rPr>
          <w:rFonts w:ascii="Verdana" w:hAnsi="Verdana" w:cs="Arial"/>
          <w:sz w:val="20"/>
          <w:szCs w:val="20"/>
          <w:lang w:val="es-ES_tradnl"/>
        </w:rPr>
        <w:t>tulo 2 del T</w:t>
      </w:r>
      <w:r w:rsidRPr="0017107E">
        <w:rPr>
          <w:rFonts w:ascii="Verdana" w:hAnsi="Verdana" w:cs="Century Gothic"/>
          <w:sz w:val="20"/>
          <w:szCs w:val="20"/>
          <w:lang w:val="es-ES_tradnl"/>
        </w:rPr>
        <w:t>í</w:t>
      </w:r>
      <w:r w:rsidRPr="0017107E">
        <w:rPr>
          <w:rFonts w:ascii="Verdana" w:hAnsi="Verdana" w:cs="Arial"/>
          <w:sz w:val="20"/>
          <w:szCs w:val="20"/>
          <w:lang w:val="es-ES_tradnl"/>
        </w:rPr>
        <w:t>tulo 1 de la Parte 2 del Libro 2 del Decreto 1082 de 2015, los cuales quedar</w:t>
      </w:r>
      <w:r w:rsidRPr="0017107E">
        <w:rPr>
          <w:rFonts w:ascii="Verdana" w:hAnsi="Verdana" w:cs="Century Gothic"/>
          <w:sz w:val="20"/>
          <w:szCs w:val="20"/>
          <w:lang w:val="es-ES_tradnl"/>
        </w:rPr>
        <w:t>á</w:t>
      </w:r>
      <w:r w:rsidRPr="0017107E">
        <w:rPr>
          <w:rFonts w:ascii="Verdana" w:hAnsi="Verdana" w:cs="Arial"/>
          <w:sz w:val="20"/>
          <w:szCs w:val="20"/>
          <w:lang w:val="es-ES_tradnl"/>
        </w:rPr>
        <w:t>n as</w:t>
      </w:r>
      <w:r w:rsidRPr="0017107E">
        <w:rPr>
          <w:rFonts w:ascii="Verdana" w:hAnsi="Verdana" w:cs="Century Gothic"/>
          <w:sz w:val="20"/>
          <w:szCs w:val="20"/>
          <w:lang w:val="es-ES_tradnl"/>
        </w:rPr>
        <w:t>í</w:t>
      </w:r>
      <w:r w:rsidRPr="0017107E">
        <w:rPr>
          <w:rFonts w:ascii="Verdana" w:hAnsi="Verdana" w:cs="Arial"/>
          <w:sz w:val="20"/>
          <w:szCs w:val="20"/>
          <w:lang w:val="es-ES_tradnl"/>
        </w:rPr>
        <w:t>:</w:t>
      </w:r>
    </w:p>
    <w:p w14:paraId="166CD74C" w14:textId="77777777" w:rsidR="002F4A7B" w:rsidRPr="0017107E" w:rsidRDefault="002F4A7B" w:rsidP="002F4A7B">
      <w:pPr>
        <w:spacing w:after="120" w:line="240" w:lineRule="auto"/>
        <w:ind w:left="709" w:right="709"/>
        <w:jc w:val="both"/>
        <w:rPr>
          <w:rFonts w:ascii="Verdana" w:hAnsi="Verdana" w:cs="Arial"/>
          <w:sz w:val="20"/>
          <w:szCs w:val="20"/>
          <w:lang w:val="es-ES_tradnl"/>
        </w:rPr>
      </w:pPr>
      <w:r w:rsidRPr="0017107E">
        <w:rPr>
          <w:rFonts w:ascii="Verdana" w:hAnsi="Verdana" w:cs="Arial"/>
          <w:sz w:val="20"/>
          <w:szCs w:val="20"/>
          <w:lang w:val="es-ES_tradnl"/>
        </w:rPr>
        <w:t>[…]</w:t>
      </w:r>
    </w:p>
    <w:p w14:paraId="688C420B" w14:textId="77777777" w:rsidR="002F4A7B" w:rsidRPr="0017107E" w:rsidRDefault="002F4A7B" w:rsidP="50259C15">
      <w:pPr>
        <w:spacing w:after="0" w:line="240" w:lineRule="auto"/>
        <w:ind w:left="709" w:right="709"/>
        <w:jc w:val="both"/>
        <w:rPr>
          <w:rFonts w:ascii="Verdana" w:eastAsia="Calibri" w:hAnsi="Verdana" w:cs="Arial"/>
          <w:sz w:val="20"/>
          <w:szCs w:val="20"/>
          <w:lang w:val="es-ES"/>
        </w:rPr>
      </w:pPr>
      <w:r w:rsidRPr="0017107E">
        <w:rPr>
          <w:rFonts w:ascii="Verdana" w:hAnsi="Verdana" w:cs="Arial"/>
          <w:sz w:val="20"/>
          <w:szCs w:val="20"/>
          <w:lang w:val="es-ES"/>
        </w:rPr>
        <w:t>ARTÍCULO 2.2.1.2.4.2.3. Limitaciones territoriales. De conformidad con el par</w:t>
      </w:r>
      <w:r w:rsidRPr="0017107E">
        <w:rPr>
          <w:rFonts w:ascii="Verdana" w:hAnsi="Verdana" w:cs="Century Gothic"/>
          <w:sz w:val="20"/>
          <w:szCs w:val="20"/>
          <w:lang w:val="es-ES"/>
        </w:rPr>
        <w:t>á</w:t>
      </w:r>
      <w:r w:rsidRPr="0017107E">
        <w:rPr>
          <w:rFonts w:ascii="Verdana" w:hAnsi="Verdana" w:cs="Arial"/>
          <w:sz w:val="20"/>
          <w:szCs w:val="20"/>
          <w:lang w:val="es-ES"/>
        </w:rPr>
        <w:t>grafo 1 del art</w:t>
      </w:r>
      <w:r w:rsidRPr="0017107E">
        <w:rPr>
          <w:rFonts w:ascii="Verdana" w:hAnsi="Verdana" w:cs="Century Gothic"/>
          <w:sz w:val="20"/>
          <w:szCs w:val="20"/>
          <w:lang w:val="es-ES"/>
        </w:rPr>
        <w:t>í</w:t>
      </w:r>
      <w:r w:rsidRPr="0017107E">
        <w:rPr>
          <w:rFonts w:ascii="Verdana" w:hAnsi="Verdana" w:cs="Arial"/>
          <w:sz w:val="20"/>
          <w:szCs w:val="20"/>
          <w:lang w:val="es-ES"/>
        </w:rPr>
        <w:t>culo 12 de la Ley 1150 de 2007, las Entidades Estatales, independientemente de su r</w:t>
      </w:r>
      <w:r w:rsidRPr="0017107E">
        <w:rPr>
          <w:rFonts w:ascii="Verdana" w:hAnsi="Verdana" w:cs="Century Gothic"/>
          <w:sz w:val="20"/>
          <w:szCs w:val="20"/>
          <w:lang w:val="es-ES"/>
        </w:rPr>
        <w:t>é</w:t>
      </w:r>
      <w:r w:rsidRPr="0017107E">
        <w:rPr>
          <w:rFonts w:ascii="Verdana" w:hAnsi="Verdana" w:cs="Arial"/>
          <w:sz w:val="20"/>
          <w:szCs w:val="20"/>
          <w:lang w:val="es-ES"/>
        </w:rPr>
        <w:t>gimen de contrataci</w:t>
      </w:r>
      <w:r w:rsidRPr="0017107E">
        <w:rPr>
          <w:rFonts w:ascii="Verdana" w:hAnsi="Verdana" w:cs="Century Gothic"/>
          <w:sz w:val="20"/>
          <w:szCs w:val="20"/>
          <w:lang w:val="es-ES"/>
        </w:rPr>
        <w:t>ó</w:t>
      </w:r>
      <w:r w:rsidRPr="0017107E">
        <w:rPr>
          <w:rFonts w:ascii="Verdana" w:hAnsi="Verdana" w:cs="Arial"/>
          <w:sz w:val="20"/>
          <w:szCs w:val="20"/>
          <w:lang w:val="es-ES"/>
        </w:rPr>
        <w:t>n, los patrimonios aut</w:t>
      </w:r>
      <w:r w:rsidRPr="0017107E">
        <w:rPr>
          <w:rFonts w:ascii="Verdana" w:hAnsi="Verdana" w:cs="Century Gothic"/>
          <w:sz w:val="20"/>
          <w:szCs w:val="20"/>
          <w:lang w:val="es-ES"/>
        </w:rPr>
        <w:t>ó</w:t>
      </w:r>
      <w:r w:rsidRPr="0017107E">
        <w:rPr>
          <w:rFonts w:ascii="Verdana" w:hAnsi="Verdana" w:cs="Arial"/>
          <w:sz w:val="20"/>
          <w:szCs w:val="20"/>
          <w:lang w:val="es-ES"/>
        </w:rPr>
        <w:t>nomos constituidos por Entidades Estatales y los particulares que ejecuten recursos p</w:t>
      </w:r>
      <w:r w:rsidRPr="0017107E">
        <w:rPr>
          <w:rFonts w:ascii="Verdana" w:hAnsi="Verdana" w:cs="Century Gothic"/>
          <w:sz w:val="20"/>
          <w:szCs w:val="20"/>
          <w:lang w:val="es-ES"/>
        </w:rPr>
        <w:t>ú</w:t>
      </w:r>
      <w:r w:rsidRPr="0017107E">
        <w:rPr>
          <w:rFonts w:ascii="Verdana" w:hAnsi="Verdana" w:cs="Arial"/>
          <w:sz w:val="20"/>
          <w:szCs w:val="20"/>
          <w:lang w:val="es-ES"/>
        </w:rPr>
        <w:t xml:space="preserve">blicos, pueden realizar convocatorias limitadas a </w:t>
      </w:r>
      <w:proofErr w:type="spellStart"/>
      <w:r w:rsidRPr="0017107E">
        <w:rPr>
          <w:rFonts w:ascii="Verdana" w:hAnsi="Verdana" w:cs="Arial"/>
          <w:sz w:val="20"/>
          <w:szCs w:val="20"/>
          <w:lang w:val="es-ES"/>
        </w:rPr>
        <w:t>Mipyme</w:t>
      </w:r>
      <w:proofErr w:type="spellEnd"/>
      <w:r w:rsidRPr="0017107E">
        <w:rPr>
          <w:rFonts w:ascii="Verdana" w:hAnsi="Verdana" w:cs="Arial"/>
          <w:sz w:val="20"/>
          <w:szCs w:val="20"/>
          <w:lang w:val="es-ES"/>
        </w:rPr>
        <w:t xml:space="preserve"> colombianas que tengan domicilio en los departamentos o municipios en donde se va a ejecutar el contrato. Cada </w:t>
      </w:r>
      <w:proofErr w:type="spellStart"/>
      <w:r w:rsidRPr="0017107E">
        <w:rPr>
          <w:rFonts w:ascii="Verdana" w:hAnsi="Verdana" w:cs="Arial"/>
          <w:sz w:val="20"/>
          <w:szCs w:val="20"/>
          <w:lang w:val="es-ES"/>
        </w:rPr>
        <w:t>Mipyme</w:t>
      </w:r>
      <w:proofErr w:type="spellEnd"/>
      <w:r w:rsidRPr="0017107E">
        <w:rPr>
          <w:rFonts w:ascii="Verdana" w:hAnsi="Verdana" w:cs="Arial"/>
          <w:sz w:val="20"/>
          <w:szCs w:val="20"/>
          <w:lang w:val="es-ES"/>
        </w:rPr>
        <w:t xml:space="preserve"> deber</w:t>
      </w:r>
      <w:r w:rsidRPr="0017107E">
        <w:rPr>
          <w:rFonts w:ascii="Verdana" w:hAnsi="Verdana" w:cs="Century Gothic"/>
          <w:sz w:val="20"/>
          <w:szCs w:val="20"/>
          <w:lang w:val="es-ES"/>
        </w:rPr>
        <w:t>á</w:t>
      </w:r>
      <w:r w:rsidRPr="0017107E">
        <w:rPr>
          <w:rFonts w:ascii="Verdana" w:hAnsi="Verdana" w:cs="Arial"/>
          <w:sz w:val="20"/>
          <w:szCs w:val="20"/>
          <w:lang w:val="es-ES"/>
        </w:rPr>
        <w:t xml:space="preserve"> acreditar su domicilio con los documentos a los que se refiere el siguiente artículo”. </w:t>
      </w:r>
    </w:p>
    <w:p w14:paraId="67CE8C1E" w14:textId="77777777" w:rsidR="002F4A7B" w:rsidRPr="00BF319B" w:rsidRDefault="002F4A7B" w:rsidP="002F4A7B">
      <w:pPr>
        <w:spacing w:after="0" w:line="276" w:lineRule="auto"/>
        <w:ind w:left="709" w:right="709"/>
        <w:jc w:val="both"/>
        <w:rPr>
          <w:rFonts w:ascii="Verdana" w:eastAsia="Calibri" w:hAnsi="Verdana" w:cs="Arial"/>
          <w:lang w:val="es-ES_tradnl"/>
        </w:rPr>
      </w:pPr>
    </w:p>
    <w:p w14:paraId="79E238DB" w14:textId="77777777" w:rsidR="002F4A7B" w:rsidRPr="00BF319B" w:rsidRDefault="002F4A7B" w:rsidP="50259C15">
      <w:pPr>
        <w:spacing w:after="120" w:line="276" w:lineRule="auto"/>
        <w:ind w:firstLine="709"/>
        <w:jc w:val="both"/>
        <w:rPr>
          <w:rFonts w:ascii="Verdana" w:eastAsia="Calibri" w:hAnsi="Verdana" w:cs="Arial"/>
          <w:lang w:val="es-ES"/>
        </w:rPr>
      </w:pPr>
      <w:r w:rsidRPr="50259C15">
        <w:rPr>
          <w:rFonts w:ascii="Verdana" w:eastAsia="Calibri" w:hAnsi="Verdana" w:cs="Arial"/>
          <w:lang w:val="es-ES"/>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proofErr w:type="spellStart"/>
      <w:r w:rsidRPr="50259C15">
        <w:rPr>
          <w:rFonts w:ascii="Verdana" w:eastAsia="Calibri" w:hAnsi="Verdana" w:cs="Arial"/>
          <w:lang w:val="es-ES"/>
        </w:rPr>
        <w:t>Mipymes</w:t>
      </w:r>
      <w:proofErr w:type="spellEnd"/>
      <w:r w:rsidRPr="50259C15">
        <w:rPr>
          <w:rFonts w:ascii="Verdana" w:eastAsia="Calibri" w:hAnsi="Verdana" w:cs="Arial"/>
          <w:lang w:val="es-ES"/>
        </w:rPr>
        <w:t xml:space="preserve"> del ámbito municipal o departamental correspondiente al de la ejecución del contrato”. En tales términos, la norma citada solo contempla la posibilidad de limitar convocatorias a </w:t>
      </w:r>
      <w:proofErr w:type="spellStart"/>
      <w:r w:rsidRPr="50259C15">
        <w:rPr>
          <w:rFonts w:ascii="Verdana" w:eastAsia="Calibri" w:hAnsi="Verdana" w:cs="Arial"/>
          <w:lang w:val="es-ES"/>
        </w:rPr>
        <w:t>Mipymes</w:t>
      </w:r>
      <w:proofErr w:type="spellEnd"/>
      <w:r w:rsidRPr="50259C15">
        <w:rPr>
          <w:rFonts w:ascii="Verdana" w:eastAsia="Calibri" w:hAnsi="Verdana" w:cs="Arial"/>
          <w:lang w:val="es-ES"/>
        </w:rPr>
        <w:t xml:space="preserve"> con domicilio en esos dos tipos de entidades territoriales. </w:t>
      </w:r>
    </w:p>
    <w:p w14:paraId="76AC2137" w14:textId="77777777" w:rsidR="002F4A7B" w:rsidRPr="00BF319B" w:rsidRDefault="002F4A7B" w:rsidP="50259C15">
      <w:pPr>
        <w:spacing w:after="120" w:line="276" w:lineRule="auto"/>
        <w:ind w:firstLine="709"/>
        <w:jc w:val="both"/>
        <w:rPr>
          <w:rFonts w:ascii="Verdana" w:eastAsia="Arial" w:hAnsi="Verdana" w:cs="Arial"/>
          <w:color w:val="000000"/>
          <w:lang w:val="es-ES"/>
        </w:rPr>
      </w:pPr>
      <w:r w:rsidRPr="50259C15">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50259C15">
        <w:rPr>
          <w:rFonts w:ascii="Verdana" w:eastAsia="Arial" w:hAnsi="Verdana" w:cs="Arial"/>
          <w:color w:val="000000" w:themeColor="text1"/>
          <w:lang w:val="es-ES"/>
        </w:rPr>
        <w:t>Mipyme</w:t>
      </w:r>
      <w:proofErr w:type="spellEnd"/>
      <w:r w:rsidRPr="50259C15">
        <w:rPr>
          <w:rFonts w:ascii="Verdana" w:eastAsia="Arial" w:hAnsi="Verdana" w:cs="Arial"/>
          <w:color w:val="000000" w:themeColor="text1"/>
          <w:lang w:val="es-ES"/>
        </w:rPr>
        <w:t xml:space="preserve"> nacional. Además, las normas de contratación permiten que las </w:t>
      </w:r>
      <w:proofErr w:type="spellStart"/>
      <w:r w:rsidRPr="50259C15">
        <w:rPr>
          <w:rFonts w:ascii="Verdana" w:eastAsia="Arial" w:hAnsi="Verdana" w:cs="Arial"/>
          <w:color w:val="000000" w:themeColor="text1"/>
          <w:lang w:val="es-ES"/>
        </w:rPr>
        <w:t>Mipyme</w:t>
      </w:r>
      <w:proofErr w:type="spellEnd"/>
      <w:r w:rsidRPr="50259C15">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44833E54" w14:textId="77777777" w:rsidR="002F4A7B" w:rsidRPr="00BF319B" w:rsidRDefault="002F4A7B" w:rsidP="50259C15">
      <w:pPr>
        <w:spacing w:after="120" w:line="276" w:lineRule="auto"/>
        <w:ind w:firstLine="709"/>
        <w:jc w:val="both"/>
        <w:rPr>
          <w:rFonts w:ascii="Verdana" w:eastAsia="Arial" w:hAnsi="Verdana" w:cs="Arial"/>
          <w:color w:val="000000"/>
          <w:lang w:val="es-ES"/>
        </w:rPr>
      </w:pPr>
      <w:r w:rsidRPr="50259C15">
        <w:rPr>
          <w:rFonts w:ascii="Verdana" w:eastAsia="Arial" w:hAnsi="Verdana" w:cs="Arial"/>
          <w:color w:val="000000" w:themeColor="text1"/>
          <w:lang w:val="es-ES"/>
        </w:rPr>
        <w:t xml:space="preserve">No puede perderse de vista que la decisión de limitar “a </w:t>
      </w:r>
      <w:proofErr w:type="spellStart"/>
      <w:r w:rsidRPr="50259C15">
        <w:rPr>
          <w:rFonts w:ascii="Verdana" w:eastAsia="Arial" w:hAnsi="Verdana" w:cs="Arial"/>
          <w:color w:val="000000" w:themeColor="text1"/>
          <w:lang w:val="es-ES"/>
        </w:rPr>
        <w:t>Mipyme</w:t>
      </w:r>
      <w:proofErr w:type="spellEnd"/>
      <w:r w:rsidRPr="50259C15">
        <w:rPr>
          <w:rFonts w:ascii="Verdana" w:eastAsia="Arial" w:hAnsi="Verdana"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50259C15">
        <w:rPr>
          <w:rFonts w:ascii="Verdana" w:eastAsia="Arial" w:hAnsi="Verdana" w:cs="Arial"/>
          <w:color w:val="000000" w:themeColor="text1"/>
          <w:lang w:val="es-ES"/>
        </w:rPr>
        <w:t>Mipyme</w:t>
      </w:r>
      <w:proofErr w:type="spellEnd"/>
      <w:r w:rsidRPr="50259C15">
        <w:rPr>
          <w:rFonts w:ascii="Verdana" w:eastAsia="Arial" w:hAnsi="Verdana" w:cs="Arial"/>
          <w:color w:val="000000" w:themeColor="text1"/>
          <w:lang w:val="es-ES"/>
        </w:rPr>
        <w:t xml:space="preserve">, no puede </w:t>
      </w:r>
      <w:r w:rsidRPr="50259C15">
        <w:rPr>
          <w:rFonts w:ascii="Verdana" w:eastAsia="Arial" w:hAnsi="Verdana" w:cs="Arial"/>
          <w:i/>
          <w:iCs/>
          <w:color w:val="000000" w:themeColor="text1"/>
          <w:lang w:val="es-ES"/>
        </w:rPr>
        <w:t xml:space="preserve">motu proprio </w:t>
      </w:r>
      <w:r w:rsidRPr="50259C15">
        <w:rPr>
          <w:rFonts w:ascii="Verdana" w:eastAsia="Arial" w:hAnsi="Verdana" w:cs="Arial"/>
          <w:color w:val="000000" w:themeColor="text1"/>
          <w:lang w:val="es-ES"/>
        </w:rPr>
        <w:t xml:space="preserve">proceder con la “limitación territorial” de que trata el artículo 2.2.1.2.4.2.3 del Decreto 1082 de 2015. Esto debido a que el ejercicio de esta facultad solo puede darse ante la “limitación a </w:t>
      </w:r>
      <w:proofErr w:type="spellStart"/>
      <w:r w:rsidRPr="50259C15">
        <w:rPr>
          <w:rFonts w:ascii="Verdana" w:eastAsia="Arial" w:hAnsi="Verdana" w:cs="Arial"/>
          <w:color w:val="000000" w:themeColor="text1"/>
          <w:lang w:val="es-ES"/>
        </w:rPr>
        <w:t>Mipymes</w:t>
      </w:r>
      <w:proofErr w:type="spellEnd"/>
      <w:r w:rsidRPr="50259C15">
        <w:rPr>
          <w:rFonts w:ascii="Verdana" w:eastAsia="Arial" w:hAnsi="Verdana" w:cs="Arial"/>
          <w:color w:val="000000" w:themeColor="text1"/>
          <w:lang w:val="es-ES"/>
        </w:rPr>
        <w:t xml:space="preserve"> colombianas”, lo cual supone verificar los supuestos legales establecidos en los mencionados numerales.</w:t>
      </w:r>
    </w:p>
    <w:p w14:paraId="79FB0663" w14:textId="77777777" w:rsidR="002F4A7B" w:rsidRPr="00BF319B" w:rsidRDefault="002F4A7B" w:rsidP="002F4A7B">
      <w:pPr>
        <w:spacing w:after="120" w:line="276" w:lineRule="auto"/>
        <w:ind w:firstLine="708"/>
        <w:jc w:val="both"/>
        <w:rPr>
          <w:rFonts w:ascii="Verdana" w:hAnsi="Verdana" w:cs="Arial"/>
          <w:color w:val="000000" w:themeColor="text1"/>
        </w:rPr>
      </w:pPr>
      <w:r w:rsidRPr="00BF319B">
        <w:rPr>
          <w:rFonts w:ascii="Verdana" w:hAnsi="Verdana" w:cs="Arial"/>
          <w:color w:val="000000" w:themeColor="text1"/>
        </w:rPr>
        <w:lastRenderedPageBreak/>
        <w:t xml:space="preserve">Cumplidos los dos requisitos del artículo 2.2.1.2.4.2.2 </w:t>
      </w:r>
      <w:proofErr w:type="spellStart"/>
      <w:r w:rsidRPr="00BF319B">
        <w:rPr>
          <w:rFonts w:ascii="Verdana" w:hAnsi="Verdana" w:cs="Arial"/>
          <w:i/>
          <w:iCs/>
          <w:color w:val="000000" w:themeColor="text1"/>
        </w:rPr>
        <w:t>ibídem</w:t>
      </w:r>
      <w:proofErr w:type="spellEnd"/>
      <w:r w:rsidRPr="00BF319B">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BF319B">
        <w:rPr>
          <w:rFonts w:ascii="Verdana" w:hAnsi="Verdana" w:cs="Arial"/>
          <w:color w:val="000000" w:themeColor="text1"/>
        </w:rPr>
        <w:t>Mipyme</w:t>
      </w:r>
      <w:proofErr w:type="spellEnd"/>
      <w:r w:rsidRPr="00BF319B">
        <w:rPr>
          <w:rFonts w:ascii="Verdana" w:hAnsi="Verdana" w:cs="Arial"/>
          <w:color w:val="000000" w:themeColor="text1"/>
        </w:rPr>
        <w:t xml:space="preserve"> colombianas domiciliadas en el municipio o departamento en el que se ejecutará el contrato. Esto de acuerdo con el artículo 2.2.1.2.4.2.3 del Decreto 1082 de 2015 </w:t>
      </w:r>
      <w:r w:rsidRPr="00BF319B">
        <w:rPr>
          <w:rFonts w:ascii="Verdana" w:eastAsia="Arial" w:hAnsi="Verdana" w:cs="Arial"/>
          <w:color w:val="000000"/>
          <w:lang w:val="es-ES_tradnl"/>
        </w:rPr>
        <w:t>modificado por el Decreto 1860 de 2021</w:t>
      </w:r>
      <w:r w:rsidRPr="00BF319B">
        <w:rPr>
          <w:rFonts w:ascii="Verdana" w:hAnsi="Verdana" w:cs="Arial"/>
          <w:color w:val="000000" w:themeColor="text1"/>
        </w:rPr>
        <w:t xml:space="preserve">, norma que se refiere a la facultad de la administración con el verbo infinitivo “poder”, no “deber”. </w:t>
      </w:r>
    </w:p>
    <w:p w14:paraId="2E30F70E" w14:textId="77777777" w:rsidR="002F4A7B" w:rsidRPr="00BF319B" w:rsidRDefault="002F4A7B" w:rsidP="002F4A7B">
      <w:pPr>
        <w:spacing w:after="120" w:line="276" w:lineRule="auto"/>
        <w:ind w:firstLine="709"/>
        <w:jc w:val="both"/>
        <w:rPr>
          <w:rFonts w:ascii="Verdana" w:eastAsia="Calibri" w:hAnsi="Verdana" w:cs="Arial"/>
          <w:color w:val="000000" w:themeColor="text1"/>
        </w:rPr>
      </w:pPr>
      <w:r w:rsidRPr="00BF319B">
        <w:rPr>
          <w:rFonts w:ascii="Verdana" w:eastAsia="Calibri" w:hAnsi="Verdana" w:cs="Arial"/>
          <w:color w:val="000000" w:themeColor="text1"/>
        </w:rPr>
        <w:t>Colombia Compra Eficiente ha sostenido que la decisión de limitar territorialmente un</w:t>
      </w:r>
      <w:r w:rsidRPr="00BF319B">
        <w:rPr>
          <w:rFonts w:ascii="Verdana" w:hAnsi="Verdana" w:cs="Arial"/>
          <w:color w:val="000000" w:themeColor="text1"/>
        </w:rPr>
        <w:t xml:space="preserve">a convocatoria a </w:t>
      </w:r>
      <w:proofErr w:type="spellStart"/>
      <w:r w:rsidRPr="00BF319B">
        <w:rPr>
          <w:rFonts w:ascii="Verdana" w:hAnsi="Verdana" w:cs="Arial"/>
          <w:color w:val="000000" w:themeColor="text1"/>
        </w:rPr>
        <w:t>Mipyme</w:t>
      </w:r>
      <w:proofErr w:type="spellEnd"/>
      <w:r w:rsidRPr="00BF319B">
        <w:rPr>
          <w:rFonts w:ascii="Verdana" w:hAnsi="Verdana" w:cs="Arial"/>
          <w:color w:val="000000" w:themeColor="text1"/>
        </w:rPr>
        <w:t xml:space="preserve"> </w:t>
      </w:r>
      <w:r w:rsidRPr="00BF319B">
        <w:rPr>
          <w:rFonts w:ascii="Verdana" w:eastAsia="Calibri" w:hAnsi="Verdana"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BF319B">
        <w:rPr>
          <w:rFonts w:ascii="Verdana" w:hAnsi="Verdana" w:cs="Arial"/>
          <w:color w:val="000000" w:themeColor="text1"/>
        </w:rPr>
        <w:t xml:space="preserve">artículo 2.2.1.2.4.2.3 del Decreto 1082 de 2015, las </w:t>
      </w:r>
      <w:proofErr w:type="spellStart"/>
      <w:r w:rsidRPr="00BF319B">
        <w:rPr>
          <w:rFonts w:ascii="Verdana" w:hAnsi="Verdana" w:cs="Arial"/>
          <w:color w:val="000000" w:themeColor="text1"/>
        </w:rPr>
        <w:t>Mipyme</w:t>
      </w:r>
      <w:proofErr w:type="spellEnd"/>
      <w:r w:rsidRPr="00BF319B">
        <w:rPr>
          <w:rFonts w:ascii="Verdana" w:eastAsia="Calibri" w:hAnsi="Verdana" w:cs="Arial"/>
          <w:color w:val="000000" w:themeColor="text1"/>
        </w:rPr>
        <w:t xml:space="preserve"> beneficiadas deben tener su domicilio principal en el municipio o departamento donde se ejecutará el contrato para participar en una convocatoria limitada territorialmente.</w:t>
      </w:r>
      <w:r w:rsidRPr="00BF319B">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2782ADED" w14:textId="77777777" w:rsidR="002F4A7B" w:rsidRPr="00BF319B" w:rsidRDefault="002F4A7B" w:rsidP="002F4A7B">
      <w:pPr>
        <w:spacing w:after="120" w:line="276" w:lineRule="auto"/>
        <w:ind w:firstLine="709"/>
        <w:jc w:val="both"/>
        <w:rPr>
          <w:rFonts w:ascii="Verdana" w:eastAsia="Calibri" w:hAnsi="Verdana" w:cs="Arial"/>
          <w:color w:val="000000" w:themeColor="text1"/>
        </w:rPr>
      </w:pPr>
      <w:r w:rsidRPr="00BF319B">
        <w:rPr>
          <w:rFonts w:ascii="Verdana" w:hAnsi="Verdana" w:cs="Arial"/>
          <w:color w:val="000000" w:themeColor="text1"/>
        </w:rPr>
        <w:t xml:space="preserve">En tal sentido, </w:t>
      </w:r>
      <w:r w:rsidRPr="00BF319B">
        <w:rPr>
          <w:rFonts w:ascii="Verdana" w:eastAsia="Calibri" w:hAnsi="Verdana" w:cs="Arial"/>
          <w:color w:val="000000" w:themeColor="text1"/>
        </w:rPr>
        <w:t>lo que debe adoptarse obligatoriamente es la</w:t>
      </w:r>
      <w:r w:rsidRPr="00BF319B">
        <w:rPr>
          <w:rFonts w:ascii="Verdana" w:hAnsi="Verdana" w:cs="Arial"/>
          <w:color w:val="000000" w:themeColor="text1"/>
        </w:rPr>
        <w:t xml:space="preserve"> limitación a </w:t>
      </w:r>
      <w:proofErr w:type="spellStart"/>
      <w:r w:rsidRPr="00BF319B">
        <w:rPr>
          <w:rFonts w:ascii="Verdana" w:hAnsi="Verdana" w:cs="Arial"/>
          <w:color w:val="000000" w:themeColor="text1"/>
        </w:rPr>
        <w:t>Mipymes</w:t>
      </w:r>
      <w:proofErr w:type="spellEnd"/>
      <w:r w:rsidRPr="00BF319B">
        <w:rPr>
          <w:rFonts w:ascii="Verdana" w:hAnsi="Verdana" w:cs="Arial"/>
          <w:color w:val="000000" w:themeColor="text1"/>
        </w:rPr>
        <w:t xml:space="preserve"> colombianas</w:t>
      </w:r>
      <w:r w:rsidRPr="00BF319B">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BF319B">
        <w:rPr>
          <w:rFonts w:ascii="Verdana" w:eastAsia="Calibri" w:hAnsi="Verdana" w:cs="Arial"/>
          <w:i/>
          <w:iCs/>
          <w:color w:val="000000" w:themeColor="text1"/>
        </w:rPr>
        <w:t>ibídem</w:t>
      </w:r>
      <w:proofErr w:type="spellEnd"/>
      <w:r w:rsidRPr="00BF319B">
        <w:rPr>
          <w:rFonts w:ascii="Verdana" w:eastAsia="Calibri" w:hAnsi="Verdana" w:cs="Arial"/>
          <w:color w:val="000000" w:themeColor="text1"/>
        </w:rPr>
        <w:t>, pues esta es facultativa para la entidad. Las únicas exigencias son que la convocatoria esté l</w:t>
      </w:r>
      <w:r w:rsidRPr="00BF319B">
        <w:rPr>
          <w:rFonts w:ascii="Verdana" w:hAnsi="Verdana" w:cs="Arial"/>
          <w:color w:val="000000" w:themeColor="text1"/>
        </w:rPr>
        <w:t xml:space="preserve">imitada a las </w:t>
      </w:r>
      <w:proofErr w:type="spellStart"/>
      <w:r w:rsidRPr="00BF319B">
        <w:rPr>
          <w:rFonts w:ascii="Verdana" w:hAnsi="Verdana" w:cs="Arial"/>
          <w:color w:val="000000" w:themeColor="text1"/>
        </w:rPr>
        <w:t>Mipyme</w:t>
      </w:r>
      <w:proofErr w:type="spellEnd"/>
      <w:r w:rsidRPr="00BF319B">
        <w:rPr>
          <w:rFonts w:ascii="Verdana" w:hAnsi="Verdana" w:cs="Arial"/>
          <w:color w:val="000000" w:themeColor="text1"/>
        </w:rPr>
        <w:t xml:space="preserve"> colombianas</w:t>
      </w:r>
      <w:r w:rsidRPr="00BF319B">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BF319B">
        <w:rPr>
          <w:rStyle w:val="Refdenotaalpie"/>
          <w:rFonts w:ascii="Verdana" w:eastAsia="Calibri" w:hAnsi="Verdana" w:cs="Arial"/>
          <w:color w:val="000000" w:themeColor="text1"/>
        </w:rPr>
        <w:footnoteReference w:id="20"/>
      </w:r>
      <w:r w:rsidRPr="00BF319B">
        <w:rPr>
          <w:rFonts w:ascii="Verdana" w:eastAsia="Calibri" w:hAnsi="Verdana" w:cs="Arial"/>
          <w:color w:val="000000" w:themeColor="text1"/>
        </w:rPr>
        <w:t xml:space="preserve">. No es procedente, entonces, que sean las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w:t>
      </w:r>
      <w:r w:rsidRPr="00BF319B">
        <w:rPr>
          <w:rFonts w:ascii="Verdana" w:eastAsia="Calibri" w:hAnsi="Verdana" w:cs="Arial"/>
          <w:color w:val="000000" w:themeColor="text1"/>
        </w:rPr>
        <w:lastRenderedPageBreak/>
        <w:t xml:space="preserve">las que soliciten la “limitación territorial” a la que se refiere el artículo 2.2.1.2.4.2.3 del Decreto 1082 de 2015. </w:t>
      </w:r>
    </w:p>
    <w:p w14:paraId="5B572EC5" w14:textId="77777777" w:rsidR="002F4A7B" w:rsidRPr="00BF319B" w:rsidRDefault="002F4A7B" w:rsidP="002F4A7B">
      <w:pPr>
        <w:spacing w:after="120" w:line="276" w:lineRule="auto"/>
        <w:ind w:firstLine="709"/>
        <w:jc w:val="both"/>
        <w:rPr>
          <w:rFonts w:ascii="Verdana" w:eastAsia="Calibri" w:hAnsi="Verdana" w:cs="Arial"/>
          <w:color w:val="000000" w:themeColor="text1"/>
        </w:rPr>
      </w:pPr>
      <w:r w:rsidRPr="00BF319B">
        <w:rPr>
          <w:rFonts w:ascii="Verdana" w:eastAsia="Calibri" w:hAnsi="Verdana" w:cs="Arial"/>
          <w:color w:val="000000" w:themeColor="text1"/>
        </w:rPr>
        <w:t>E</w:t>
      </w:r>
      <w:r w:rsidRPr="00BF319B">
        <w:rPr>
          <w:rFonts w:ascii="Verdana" w:hAnsi="Verdana" w:cs="Arial"/>
          <w:color w:val="000000" w:themeColor="text1"/>
        </w:rPr>
        <w:t xml:space="preserve">l origen de las </w:t>
      </w:r>
      <w:proofErr w:type="spellStart"/>
      <w:r w:rsidRPr="00BF319B">
        <w:rPr>
          <w:rFonts w:ascii="Verdana" w:hAnsi="Verdana" w:cs="Arial"/>
          <w:color w:val="000000" w:themeColor="text1"/>
        </w:rPr>
        <w:t>Mipyme</w:t>
      </w:r>
      <w:proofErr w:type="spellEnd"/>
      <w:r w:rsidRPr="00BF319B">
        <w:rPr>
          <w:rFonts w:ascii="Verdana" w:eastAsia="Calibri" w:hAnsi="Verdana" w:cs="Arial"/>
          <w:color w:val="000000" w:themeColor="text1"/>
        </w:rPr>
        <w:t xml:space="preserve"> que solicitan la “limitación territorial” no es relevante frente a dicha decisión por dos razo</w:t>
      </w:r>
      <w:r w:rsidRPr="00BF319B">
        <w:rPr>
          <w:rFonts w:ascii="Verdana" w:hAnsi="Verdana" w:cs="Arial"/>
          <w:color w:val="000000" w:themeColor="text1"/>
        </w:rPr>
        <w:t xml:space="preserve">nes: primero, porque las </w:t>
      </w:r>
      <w:proofErr w:type="spellStart"/>
      <w:r w:rsidRPr="00BF319B">
        <w:rPr>
          <w:rFonts w:ascii="Verdana" w:hAnsi="Verdana" w:cs="Arial"/>
          <w:color w:val="000000" w:themeColor="text1"/>
        </w:rPr>
        <w:t>Mipyme</w:t>
      </w:r>
      <w:proofErr w:type="spellEnd"/>
      <w:r w:rsidRPr="00BF319B">
        <w:rPr>
          <w:rFonts w:ascii="Verdana" w:eastAsia="Calibri" w:hAnsi="Verdana" w:cs="Arial"/>
          <w:color w:val="000000" w:themeColor="text1"/>
        </w:rPr>
        <w:t xml:space="preserve"> no están habilitadas para pedir la “limitación territorial”, lo están para pedir la “convocatoria limitada a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y, segundo, porque el único criterio para tener en cuenta, una vez se ha decidido justificadamente limitar territorialmente la convocatori</w:t>
      </w:r>
      <w:r w:rsidRPr="00BF319B">
        <w:rPr>
          <w:rFonts w:ascii="Verdana" w:hAnsi="Verdana" w:cs="Arial"/>
          <w:color w:val="000000" w:themeColor="text1"/>
        </w:rPr>
        <w:t xml:space="preserve">a previamente limitada a </w:t>
      </w:r>
      <w:proofErr w:type="spellStart"/>
      <w:r w:rsidRPr="00BF319B">
        <w:rPr>
          <w:rFonts w:ascii="Verdana" w:hAnsi="Verdana" w:cs="Arial"/>
          <w:color w:val="000000" w:themeColor="text1"/>
        </w:rPr>
        <w:t>Mipyme</w:t>
      </w:r>
      <w:proofErr w:type="spellEnd"/>
      <w:r w:rsidRPr="00BF319B">
        <w:rPr>
          <w:rFonts w:ascii="Verdana" w:eastAsia="Calibri" w:hAnsi="Verdana" w:cs="Arial"/>
          <w:color w:val="000000" w:themeColor="text1"/>
        </w:rPr>
        <w:t>, es el lugar donde se va a ejecutar el contrato.</w:t>
      </w:r>
    </w:p>
    <w:p w14:paraId="3AAA14F5" w14:textId="77777777" w:rsidR="002F4A7B" w:rsidRPr="00BF319B" w:rsidRDefault="002F4A7B" w:rsidP="002F4A7B">
      <w:pPr>
        <w:spacing w:after="120" w:line="276" w:lineRule="auto"/>
        <w:ind w:firstLine="709"/>
        <w:jc w:val="both"/>
        <w:rPr>
          <w:rFonts w:ascii="Verdana" w:eastAsia="Arial" w:hAnsi="Verdana" w:cs="Arial"/>
          <w:color w:val="000000"/>
        </w:rPr>
      </w:pPr>
      <w:r w:rsidRPr="00BF319B">
        <w:rPr>
          <w:rFonts w:ascii="Verdana" w:eastAsia="Calibri" w:hAnsi="Verdana" w:cs="Arial"/>
          <w:color w:val="000000" w:themeColor="text1"/>
        </w:rPr>
        <w:t xml:space="preserve">En resumen, la decisión de limitar o no territorialmente una convocatoria limitada a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nacionales es una facultad discrecional, de manera que</w:t>
      </w:r>
      <w:r w:rsidRPr="00BF319B">
        <w:rPr>
          <w:rFonts w:ascii="Verdana" w:eastAsia="Arial" w:hAnsi="Verdana" w:cs="Arial"/>
          <w:color w:val="000000"/>
        </w:rPr>
        <w:t xml:space="preserve"> la entidad contratante valorará si es oportuno y conveniente adoptarla</w:t>
      </w:r>
      <w:r w:rsidRPr="00BF319B">
        <w:rPr>
          <w:rStyle w:val="Refdenotaalpie"/>
          <w:rFonts w:ascii="Verdana" w:eastAsia="Arial" w:hAnsi="Verdana" w:cs="Arial"/>
          <w:color w:val="000000"/>
        </w:rPr>
        <w:footnoteReference w:id="21"/>
      </w:r>
      <w:r w:rsidRPr="00BF319B">
        <w:rPr>
          <w:rFonts w:ascii="Verdana" w:eastAsia="Arial" w:hAnsi="Verdana" w:cs="Arial"/>
          <w:color w:val="000000"/>
        </w:rPr>
        <w:t xml:space="preserve">.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w:t>
      </w:r>
      <w:r w:rsidRPr="00BF319B">
        <w:rPr>
          <w:rFonts w:ascii="Verdana" w:eastAsia="Arial" w:hAnsi="Verdana" w:cs="Arial"/>
          <w:color w:val="000000"/>
        </w:rPr>
        <w:lastRenderedPageBreak/>
        <w:t xml:space="preserve">ser adecuada a los fines de la norma que la autoriza, y proporcional a los hechos que le sirven de causa”.  </w:t>
      </w:r>
    </w:p>
    <w:p w14:paraId="29F2C93B" w14:textId="77777777" w:rsidR="002F4A7B" w:rsidRDefault="002F4A7B" w:rsidP="002F4A7B">
      <w:pPr>
        <w:spacing w:after="0" w:line="276" w:lineRule="auto"/>
        <w:ind w:firstLine="709"/>
        <w:jc w:val="both"/>
        <w:rPr>
          <w:rFonts w:ascii="Verdana" w:eastAsia="Arial" w:hAnsi="Verdana" w:cs="Arial"/>
          <w:color w:val="000000"/>
        </w:rPr>
      </w:pPr>
      <w:r w:rsidRPr="00BF319B">
        <w:rPr>
          <w:rFonts w:ascii="Verdana" w:eastAsia="Arial" w:hAnsi="Verdana" w:cs="Arial"/>
          <w:color w:val="000000"/>
        </w:rPr>
        <w:t xml:space="preserve">Lo importante es que si la convocatoria de se limita a </w:t>
      </w:r>
      <w:proofErr w:type="spellStart"/>
      <w:r w:rsidRPr="00BF319B">
        <w:rPr>
          <w:rFonts w:ascii="Verdana" w:eastAsia="Arial" w:hAnsi="Verdana" w:cs="Arial"/>
          <w:color w:val="000000"/>
        </w:rPr>
        <w:t>Mipymes</w:t>
      </w:r>
      <w:proofErr w:type="spellEnd"/>
      <w:r w:rsidRPr="00BF319B">
        <w:rPr>
          <w:rFonts w:ascii="Verdana" w:eastAsia="Arial" w:hAnsi="Verdana" w:cs="Arial"/>
          <w:color w:val="000000"/>
        </w:rPr>
        <w:t xml:space="preserve"> nacionales, quedan excluidos no solo las grandes empresas ubicadas en el territorio colombiano sino también los proponentes extranjeros. En otras palabras, el inciso primero del artículo 12 de la Ley 1150 de 2007 y el artículo </w:t>
      </w:r>
      <w:r w:rsidRPr="00BF319B">
        <w:rPr>
          <w:rFonts w:ascii="Verdana" w:eastAsia="Calibri" w:hAnsi="Verdana" w:cs="Arial"/>
          <w:color w:val="000000" w:themeColor="text1"/>
        </w:rPr>
        <w:t xml:space="preserve">2.2.1.2.4.2.2 del Decreto 1082 de 2015 establece un trato preferencial en razón de la nacionalidad. En contraste, si la convocatoria limitada beneficia a las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del municipio o departamento correspondiente al de la ejecución del contrato, también quedan excluidas –además de los anteriores– las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de otros lugares de Colombia. Es decir, el parágrafo 1 </w:t>
      </w:r>
      <w:r w:rsidRPr="00BF319B">
        <w:rPr>
          <w:rFonts w:ascii="Verdana" w:eastAsia="Arial" w:hAnsi="Verdana" w:cs="Arial"/>
          <w:color w:val="000000"/>
        </w:rPr>
        <w:t xml:space="preserve">del artículo 12 de la Ley 1150 de 2007 y el artículo </w:t>
      </w:r>
      <w:r w:rsidRPr="00BF319B">
        <w:rPr>
          <w:rFonts w:ascii="Verdana" w:eastAsia="Calibri" w:hAnsi="Verdana" w:cs="Arial"/>
          <w:color w:val="000000" w:themeColor="text1"/>
        </w:rPr>
        <w:t xml:space="preserve">2.2.1.2.4.2.3 del Decreto 1082 de 2015 establece un trato privilegiado que se fundamenta en el territorio. </w:t>
      </w:r>
      <w:r w:rsidRPr="00BF319B">
        <w:rPr>
          <w:rFonts w:ascii="Verdana" w:eastAsia="Arial" w:hAnsi="Verdana" w:cs="Arial"/>
          <w:color w:val="000000"/>
        </w:rPr>
        <w:t xml:space="preserve"> </w:t>
      </w:r>
    </w:p>
    <w:p w14:paraId="621EA82F" w14:textId="77777777" w:rsidR="002F4A7B" w:rsidRDefault="002F4A7B" w:rsidP="002F4A7B">
      <w:pPr>
        <w:spacing w:after="0" w:line="276" w:lineRule="auto"/>
        <w:jc w:val="both"/>
        <w:rPr>
          <w:rFonts w:ascii="Verdana" w:eastAsia="Arial" w:hAnsi="Verdana" w:cs="Arial"/>
          <w:color w:val="000000"/>
        </w:rPr>
      </w:pPr>
    </w:p>
    <w:p w14:paraId="4D27056A" w14:textId="77777777" w:rsidR="002F4A7B" w:rsidRPr="00BF319B" w:rsidRDefault="002F4A7B" w:rsidP="002F4A7B">
      <w:pPr>
        <w:spacing w:after="120" w:line="276" w:lineRule="auto"/>
        <w:jc w:val="both"/>
        <w:rPr>
          <w:rFonts w:ascii="Verdana" w:eastAsia="Calibri" w:hAnsi="Verdana" w:cs="Arial"/>
          <w:color w:val="000000" w:themeColor="text1"/>
        </w:rPr>
      </w:pPr>
      <w:proofErr w:type="spellStart"/>
      <w:r>
        <w:rPr>
          <w:rFonts w:ascii="Verdana" w:eastAsia="Arial" w:hAnsi="Verdana" w:cs="Arial"/>
          <w:color w:val="000000"/>
        </w:rPr>
        <w:t>iii</w:t>
      </w:r>
      <w:proofErr w:type="spellEnd"/>
      <w:r>
        <w:rPr>
          <w:rFonts w:ascii="Verdana" w:eastAsia="Arial" w:hAnsi="Verdana" w:cs="Arial"/>
          <w:color w:val="000000"/>
        </w:rPr>
        <w:t xml:space="preserve">. </w:t>
      </w:r>
      <w:r w:rsidRPr="00BF319B">
        <w:rPr>
          <w:rFonts w:ascii="Verdana" w:eastAsia="Calibri" w:hAnsi="Verdana" w:cs="Arial"/>
          <w:color w:val="000000" w:themeColor="text1"/>
        </w:rPr>
        <w:t xml:space="preserve">Por último, se advierte al peticionario que las entidades tienen un margen de discrecionalidad para definir el contenido del pliego de condiciones o documento equivalente. Salvo los aspectos que se encuentren reglados en la actuación administrativa, esto implica libertad para determinar los requisitos habilitantes y los factores de evaluación en los documentos del proceso. Lo anterior en la medida que no existen potestades completamente discrecionales, por lo que dichos elementos reglados son una limitación efectiva a la libertad de configuración.  </w:t>
      </w:r>
    </w:p>
    <w:p w14:paraId="6D079463" w14:textId="77777777" w:rsidR="002F4A7B" w:rsidRPr="00BF319B" w:rsidRDefault="002F4A7B" w:rsidP="002F4A7B">
      <w:pPr>
        <w:spacing w:after="12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 xml:space="preserve">Dado que la Agencia carece de atribuciones para juzgar la legalidad de las decisiones administrativas, ante la imposibilidad de definir un criterio universal y absoluto por vía consultiva sobre el objeto de la petición, el presente oficio se limita a brindar elementos hermenéuticos de carácter general para que los partícipes del sistema de compras y contratación pública adopten la decisión que corresponda, lo cual es acorde con el principio de juridicidad. Por lo anterior, previo concepto de sus órganos asesores, el desarrollo de los requisitos de participación corresponde a la entidad que debe adoptar la decisión correspondiente y, en caso de conflicto, a las autoridades judiciales, fiscales y disciplinarias. </w:t>
      </w:r>
    </w:p>
    <w:p w14:paraId="56D494D9" w14:textId="77777777" w:rsidR="002F4A7B" w:rsidRPr="00BF319B" w:rsidRDefault="002F4A7B" w:rsidP="50259C15">
      <w:pPr>
        <w:spacing w:before="120" w:after="120" w:line="276" w:lineRule="auto"/>
        <w:ind w:firstLine="709"/>
        <w:jc w:val="both"/>
        <w:rPr>
          <w:rFonts w:ascii="Verdana" w:eastAsia="Times New Roman" w:hAnsi="Verdana" w:cs="Arial"/>
          <w:color w:val="000000"/>
          <w:lang w:val="es-ES" w:eastAsia="es-ES"/>
        </w:rPr>
      </w:pPr>
      <w:r w:rsidRPr="50259C15">
        <w:rPr>
          <w:rFonts w:ascii="Verdana" w:eastAsia="Times New Roman" w:hAnsi="Verdana" w:cs="Arial"/>
          <w:color w:val="000000" w:themeColor="text1"/>
          <w:lang w:val="es-ES" w:eastAsia="es-ES"/>
        </w:rPr>
        <w:t xml:space="preserve">Si persiste la duda sobre la forma de </w:t>
      </w:r>
      <w:r w:rsidRPr="50259C15">
        <w:rPr>
          <w:rFonts w:ascii="Verdana" w:hAnsi="Verdana" w:cs="Arial"/>
          <w:color w:val="000000" w:themeColor="text1"/>
          <w:lang w:val="es-ES" w:eastAsia="es-ES"/>
        </w:rPr>
        <w:t>participar</w:t>
      </w:r>
      <w:r w:rsidRPr="50259C15">
        <w:rPr>
          <w:rFonts w:ascii="Verdana" w:eastAsia="Times New Roman" w:hAnsi="Verdana" w:cs="Arial"/>
          <w:color w:val="000000" w:themeColor="text1"/>
          <w:lang w:val="es-ES" w:eastAsia="es-ES"/>
        </w:rPr>
        <w:t xml:space="preserve">, los interesados pueden formular observaciones para aclarar sus inquietudes ante la entidad que adelanta el trámite. En este sentido, el artículo 24.2 del Estatuto General de Contratación de la Administración Pública dispone que “En los procesos </w:t>
      </w:r>
      <w:r w:rsidRPr="50259C15">
        <w:rPr>
          <w:rFonts w:ascii="Verdana" w:eastAsia="Times New Roman" w:hAnsi="Verdana" w:cs="Arial"/>
          <w:color w:val="000000" w:themeColor="text1"/>
          <w:lang w:val="es-ES" w:eastAsia="es-ES"/>
        </w:rPr>
        <w:lastRenderedPageBreak/>
        <w:t xml:space="preserve">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 </w:t>
      </w:r>
    </w:p>
    <w:p w14:paraId="345F1E7A" w14:textId="77777777" w:rsidR="002F4A7B" w:rsidRPr="00BF319B" w:rsidRDefault="002F4A7B" w:rsidP="50259C15">
      <w:pPr>
        <w:spacing w:after="0" w:line="276" w:lineRule="auto"/>
        <w:ind w:firstLine="709"/>
        <w:jc w:val="both"/>
        <w:rPr>
          <w:rFonts w:ascii="Verdana" w:eastAsia="Times New Roman" w:hAnsi="Verdana" w:cs="Arial"/>
          <w:color w:val="000000"/>
          <w:lang w:val="es-ES" w:eastAsia="es-ES"/>
        </w:rPr>
      </w:pPr>
      <w:r w:rsidRPr="50259C15">
        <w:rPr>
          <w:rFonts w:ascii="Verdana" w:eastAsia="Times New Roman" w:hAnsi="Verdana" w:cs="Arial"/>
          <w:color w:val="000000" w:themeColor="text1"/>
          <w:lang w:val="es-ES" w:eastAsia="es-ES"/>
        </w:rPr>
        <w:t>Independientemente de lo explicado en los párrafos precedentes, en función del régimen jurídico aplicable, es competencia de cada entidad estatal definir lo relacionado con su gestión contractual. Es decir, dentro de lo dispuesto por la ley y el reglamento, las entidades tienen un margen de discrecionalidad para la configuración y acreditación de los requisitos habilitantes y los factores de evaluación, sin perjuicio de la regulación especial de las Leyes 2022 de 2020 y 2195 de 2022. De esta manera, cada entidad definirá el contenido de los documentos del proceso, sin que sea atribución de la Agencia Nacional de Contratación Pública – Colombia Compra Eficiente validar las actuaciones realizadas.</w:t>
      </w:r>
    </w:p>
    <w:p w14:paraId="4020F966" w14:textId="77777777" w:rsidR="002F4A7B" w:rsidRPr="00BF319B" w:rsidRDefault="002F4A7B" w:rsidP="002F4A7B">
      <w:pPr>
        <w:spacing w:after="0" w:line="276" w:lineRule="auto"/>
        <w:jc w:val="both"/>
        <w:rPr>
          <w:rFonts w:ascii="Verdana" w:hAnsi="Verdana"/>
        </w:rPr>
      </w:pPr>
    </w:p>
    <w:p w14:paraId="4C0C980B" w14:textId="77777777" w:rsidR="002F4A7B" w:rsidRPr="00593A5F" w:rsidRDefault="002F4A7B" w:rsidP="002F4A7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A31BD9B" w14:textId="77777777" w:rsidR="002F4A7B" w:rsidRPr="00593A5F" w:rsidRDefault="002F4A7B" w:rsidP="002F4A7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4A7B" w:rsidRPr="002407CE" w14:paraId="1FF3FBA3" w14:textId="77777777" w:rsidTr="00827BA6">
        <w:trPr>
          <w:trHeight w:val="870"/>
          <w:jc w:val="center"/>
        </w:trPr>
        <w:tc>
          <w:tcPr>
            <w:tcW w:w="8647" w:type="dxa"/>
          </w:tcPr>
          <w:p w14:paraId="0143B476"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3, 13, 16 y 100.</w:t>
            </w:r>
          </w:p>
          <w:p w14:paraId="1D6EBB7B"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1994, artículos 6, 20, 24 y 77.  </w:t>
            </w:r>
          </w:p>
          <w:p w14:paraId="3C1B2265"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816 de 2003, artículo 1.</w:t>
            </w:r>
          </w:p>
          <w:p w14:paraId="78035152"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5 y 12.</w:t>
            </w:r>
          </w:p>
          <w:p w14:paraId="3253AA08" w14:textId="77777777" w:rsidR="002F4A7B" w:rsidRPr="009D7AB5"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44.</w:t>
            </w:r>
          </w:p>
          <w:p w14:paraId="4EAEB678"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artículos 18 y 1502.</w:t>
            </w:r>
          </w:p>
          <w:p w14:paraId="1F9AF0F6" w14:textId="77777777" w:rsidR="002F4A7B" w:rsidRDefault="002F4A7B" w:rsidP="002F4A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de Comercio, artículos 469, 471, 474, 482, 483</w:t>
            </w:r>
          </w:p>
          <w:p w14:paraId="161ADF44" w14:textId="77777777" w:rsidR="002F4A7B" w:rsidRPr="00B2401B" w:rsidRDefault="002F4A7B" w:rsidP="002F4A7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8D67AC">
              <w:rPr>
                <w:rFonts w:ascii="Verdana" w:hAnsi="Verdana" w:cs="Arial"/>
              </w:rPr>
              <w:t>2.2.1.2.4.1.1</w:t>
            </w:r>
            <w:r>
              <w:rPr>
                <w:rFonts w:ascii="Verdana" w:hAnsi="Verdana" w:cs="Arial"/>
              </w:rPr>
              <w:t xml:space="preserve">, </w:t>
            </w:r>
            <w:r w:rsidRPr="008D67AC">
              <w:rPr>
                <w:rFonts w:ascii="Verdana" w:hAnsi="Verdana" w:cs="Arial"/>
              </w:rPr>
              <w:t>2.2.1.2.4.1.2</w:t>
            </w:r>
            <w:r>
              <w:rPr>
                <w:rFonts w:ascii="Verdana" w:hAnsi="Verdana" w:cs="Arial"/>
              </w:rPr>
              <w:t xml:space="preserve">, </w:t>
            </w:r>
            <w:r w:rsidRPr="009D7AB5">
              <w:rPr>
                <w:rFonts w:ascii="Verdana" w:hAnsi="Verdana" w:cs="Arial"/>
              </w:rPr>
              <w:t>2.2.1.2.4.1.3</w:t>
            </w:r>
            <w:r>
              <w:rPr>
                <w:rFonts w:ascii="Verdana" w:hAnsi="Verdana" w:cs="Arial"/>
              </w:rPr>
              <w:t xml:space="preserve">, </w:t>
            </w:r>
            <w:r w:rsidRPr="00BF319B">
              <w:rPr>
                <w:rFonts w:ascii="Verdana" w:eastAsia="Arial" w:hAnsi="Verdana" w:cs="Arial"/>
                <w:color w:val="000000"/>
              </w:rPr>
              <w:t>2.2.1.2.4.2.2</w:t>
            </w:r>
            <w:r>
              <w:rPr>
                <w:rFonts w:ascii="Verdana" w:eastAsia="Arial" w:hAnsi="Verdana" w:cs="Arial"/>
                <w:color w:val="000000"/>
              </w:rPr>
              <w:t xml:space="preserve"> y </w:t>
            </w:r>
            <w:r w:rsidRPr="00BF319B">
              <w:rPr>
                <w:rFonts w:ascii="Verdana" w:eastAsia="Calibri" w:hAnsi="Verdana" w:cs="Arial"/>
                <w:lang w:val="es-ES_tradnl"/>
              </w:rPr>
              <w:t>2.2.1.2.4.2.3</w:t>
            </w:r>
            <w:r>
              <w:rPr>
                <w:rFonts w:ascii="Verdana" w:hAnsi="Verdana" w:cs="Arial"/>
              </w:rPr>
              <w:t>.</w:t>
            </w:r>
          </w:p>
        </w:tc>
      </w:tr>
    </w:tbl>
    <w:p w14:paraId="6E095E13" w14:textId="77777777" w:rsidR="002F4A7B" w:rsidRPr="00F0096C" w:rsidRDefault="002F4A7B" w:rsidP="00F0096C">
      <w:pPr>
        <w:widowControl w:val="0"/>
        <w:autoSpaceDE w:val="0"/>
        <w:autoSpaceDN w:val="0"/>
        <w:spacing w:after="0" w:line="276" w:lineRule="auto"/>
        <w:jc w:val="both"/>
        <w:rPr>
          <w:rFonts w:ascii="Verdana" w:hAnsi="Verdana" w:cs="Arial"/>
        </w:rPr>
      </w:pPr>
    </w:p>
    <w:p w14:paraId="786AF224" w14:textId="77777777" w:rsidR="002F4A7B" w:rsidRPr="00F0096C" w:rsidRDefault="002F4A7B" w:rsidP="00F009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0096C">
        <w:rPr>
          <w:rFonts w:ascii="Verdana" w:eastAsia="Century Gothic" w:hAnsi="Verdana" w:cs="Century Gothic"/>
          <w:b/>
          <w:bCs/>
        </w:rPr>
        <w:t>Doctrina de la Agencia Nacional de Contratación Pública:</w:t>
      </w:r>
    </w:p>
    <w:p w14:paraId="39D83701" w14:textId="77777777" w:rsidR="002F4A7B" w:rsidRPr="00F0096C" w:rsidRDefault="002F4A7B" w:rsidP="00F0096C">
      <w:pPr>
        <w:widowControl w:val="0"/>
        <w:autoSpaceDE w:val="0"/>
        <w:autoSpaceDN w:val="0"/>
        <w:spacing w:after="0" w:line="276" w:lineRule="auto"/>
        <w:jc w:val="both"/>
        <w:rPr>
          <w:rFonts w:ascii="Verdana" w:hAnsi="Verdana" w:cs="Arial"/>
        </w:rPr>
      </w:pPr>
    </w:p>
    <w:p w14:paraId="36C2F8CE" w14:textId="77777777" w:rsidR="002F4A7B" w:rsidRPr="00F0096C" w:rsidRDefault="002F4A7B" w:rsidP="00F0096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0096C">
        <w:rPr>
          <w:rStyle w:val="normaltextrun"/>
          <w:rFonts w:ascii="Verdana" w:hAnsi="Verdana" w:cs="Arial"/>
          <w:shd w:val="clear" w:color="auto" w:fill="FFFFFF"/>
          <w:lang w:val="es-ES"/>
        </w:rPr>
        <w:t xml:space="preserve">Esta Subdirección se ha pronunciado sobre sobre las convocatorias limitadas en los Conceptos 216130003241 el 30 de junio de 2016, 4201714000006924 del 29 de enero de 2018, 2201813000008184 del 7 de septiembre de 2019, C-045 </w:t>
      </w:r>
      <w:r w:rsidRPr="00F0096C">
        <w:rPr>
          <w:rStyle w:val="normaltextrun"/>
          <w:rFonts w:ascii="Verdana" w:hAnsi="Verdana" w:cs="Arial"/>
          <w:shd w:val="clear" w:color="auto" w:fill="FFFFFF"/>
          <w:lang w:val="es-ES"/>
        </w:rPr>
        <w:lastRenderedPageBreak/>
        <w:t>del 17 de marzo de 2020, C-162 del 16 de abril de 2020, C-214 del 21 de abril de 2020, C-258 del 17 de abril de 2020, C-364 del 4 de junio de 2020, C-413 del 30 de junio de 2020, C-492 del 24 de julio de 2020, C-523 del 11 de agosto de 2020, C-610 del 14 de septiembre de 2020, C-700 de 1 de diciembre de 2020, C-705 del 7 de diciembre de 2020,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 Es</w:t>
      </w:r>
      <w:r w:rsidRPr="00F0096C">
        <w:rPr>
          <w:rFonts w:ascii="Verdana" w:hAnsi="Verdana"/>
        </w:rPr>
        <w:t>tos y otros se encuentran disponibles para consulta en el Sistema de relatoría de la Agencia, al cual puede accederse a través del siguiente enlace:</w:t>
      </w:r>
      <w:r w:rsidRPr="00F0096C">
        <w:rPr>
          <w:rStyle w:val="normaltextrun"/>
          <w:rFonts w:ascii="Verdana" w:hAnsi="Verdana" w:cs="Arial"/>
          <w:shd w:val="clear" w:color="auto" w:fill="FFFFFF"/>
          <w:lang w:val="es-ES"/>
        </w:rPr>
        <w:t xml:space="preserve"> </w:t>
      </w:r>
      <w:hyperlink r:id="rId12" w:history="1">
        <w:r w:rsidRPr="00F0096C">
          <w:rPr>
            <w:rStyle w:val="Hipervnculo"/>
            <w:rFonts w:ascii="Verdana" w:hAnsi="Verdana" w:cs="Arial"/>
            <w:shd w:val="clear" w:color="auto" w:fill="FFFFFF"/>
            <w:lang w:val="es-ES"/>
          </w:rPr>
          <w:t>https://relatoria.colombiacompra.gov.co/busqueda/conceptos</w:t>
        </w:r>
      </w:hyperlink>
      <w:r w:rsidRPr="00F0096C">
        <w:rPr>
          <w:rStyle w:val="normaltextrun"/>
          <w:rFonts w:ascii="Verdana" w:hAnsi="Verdana" w:cs="Arial"/>
          <w:shd w:val="clear" w:color="auto" w:fill="FFFFFF"/>
          <w:lang w:val="es-ES"/>
        </w:rPr>
        <w:t>.</w:t>
      </w:r>
      <w:r w:rsidRPr="00F0096C">
        <w:rPr>
          <w:rStyle w:val="normaltextrun"/>
          <w:rFonts w:ascii="Verdana" w:hAnsi="Verdana" w:cs="Arial"/>
          <w:color w:val="FF0000"/>
          <w:shd w:val="clear" w:color="auto" w:fill="FFFFFF"/>
          <w:lang w:val="es-ES"/>
        </w:rPr>
        <w:t xml:space="preserve"> </w:t>
      </w:r>
    </w:p>
    <w:p w14:paraId="196B5EB5" w14:textId="77777777" w:rsidR="002F4A7B" w:rsidRPr="00F0096C" w:rsidRDefault="002F4A7B" w:rsidP="00F0096C">
      <w:pPr>
        <w:widowControl w:val="0"/>
        <w:autoSpaceDE w:val="0"/>
        <w:autoSpaceDN w:val="0"/>
        <w:spacing w:after="0" w:line="276" w:lineRule="auto"/>
        <w:jc w:val="both"/>
        <w:rPr>
          <w:rFonts w:ascii="Verdana" w:hAnsi="Verdana" w:cs="Arial"/>
          <w:color w:val="FF0000"/>
          <w:shd w:val="clear" w:color="auto" w:fill="FFFFFF"/>
          <w:lang w:val="es-MX"/>
        </w:rPr>
      </w:pPr>
      <w:r w:rsidRPr="00F0096C">
        <w:rPr>
          <w:rStyle w:val="normaltextrun"/>
          <w:rFonts w:ascii="Verdana" w:hAnsi="Verdana" w:cs="Arial"/>
          <w:color w:val="FF0000"/>
          <w:shd w:val="clear" w:color="auto" w:fill="FFFFFF"/>
          <w:lang w:val="es-ES"/>
        </w:rPr>
        <w:t xml:space="preserve">      </w:t>
      </w:r>
    </w:p>
    <w:p w14:paraId="0948045E" w14:textId="71C61F90" w:rsidR="00F0096C" w:rsidRPr="00F0096C" w:rsidRDefault="002F4A7B" w:rsidP="0017107E">
      <w:pPr>
        <w:widowControl w:val="0"/>
        <w:autoSpaceDE w:val="0"/>
        <w:autoSpaceDN w:val="0"/>
        <w:spacing w:after="0" w:line="276" w:lineRule="auto"/>
        <w:jc w:val="both"/>
        <w:rPr>
          <w:rFonts w:ascii="Verdana" w:hAnsi="Verdana" w:cs="Arial"/>
          <w:lang w:val="es-ES_tradnl"/>
        </w:rPr>
      </w:pPr>
      <w:r w:rsidRPr="00F0096C">
        <w:rPr>
          <w:rFonts w:ascii="Verdana" w:hAnsi="Verdana" w:cs="Arial"/>
        </w:rPr>
        <w:t xml:space="preserve">Este concepto tiene el alcance previsto en el artículo 28 del Código de Procedimiento Administrativo y de lo Contencioso Administrativo </w:t>
      </w:r>
      <w:r w:rsidRPr="00F0096C">
        <w:rPr>
          <w:rFonts w:ascii="Verdana" w:hAnsi="Verdana" w:cs="Arial"/>
          <w:lang w:val="es-ES_tradnl"/>
        </w:rPr>
        <w:t>y las expresiones aquí utilizadas con mayúscula inicial deben ser entendidas con el significado que les otorga el artículo 2.2.1.1.1.3.1. del Decreto 1082 de 2015.</w:t>
      </w:r>
    </w:p>
    <w:p w14:paraId="3EBD10A8" w14:textId="77777777" w:rsidR="002F4A7B" w:rsidRPr="00F0096C" w:rsidRDefault="002F4A7B" w:rsidP="0017107E">
      <w:pPr>
        <w:widowControl w:val="0"/>
        <w:autoSpaceDE w:val="0"/>
        <w:autoSpaceDN w:val="0"/>
        <w:spacing w:after="0" w:line="276" w:lineRule="auto"/>
        <w:jc w:val="both"/>
        <w:rPr>
          <w:rFonts w:ascii="Verdana" w:hAnsi="Verdana" w:cs="Arial"/>
        </w:rPr>
      </w:pPr>
    </w:p>
    <w:p w14:paraId="7634CFD3" w14:textId="77777777" w:rsidR="002F4A7B" w:rsidRPr="00F0096C" w:rsidRDefault="002F4A7B" w:rsidP="0017107E">
      <w:pPr>
        <w:spacing w:after="0" w:line="276" w:lineRule="auto"/>
        <w:rPr>
          <w:rFonts w:ascii="Verdana" w:hAnsi="Verdana" w:cs="Arial"/>
          <w:lang w:eastAsia="es-CO"/>
        </w:rPr>
      </w:pPr>
      <w:r w:rsidRPr="00F0096C">
        <w:rPr>
          <w:rFonts w:ascii="Verdana" w:hAnsi="Verdana" w:cs="Arial"/>
          <w:lang w:eastAsia="es-CO"/>
        </w:rPr>
        <w:t xml:space="preserve">Atentamente, </w:t>
      </w:r>
    </w:p>
    <w:p w14:paraId="6315C6D7" w14:textId="12111D77" w:rsidR="002F4A7B" w:rsidRPr="00593A5F" w:rsidRDefault="00BE4509" w:rsidP="002F4A7B">
      <w:pPr>
        <w:spacing w:line="276" w:lineRule="auto"/>
        <w:jc w:val="center"/>
        <w:rPr>
          <w:rFonts w:ascii="Verdana" w:hAnsi="Verdana" w:cs="Arial"/>
          <w:color w:val="000000"/>
          <w:lang w:val="es-ES_tradnl" w:eastAsia="es-CO"/>
        </w:rPr>
      </w:pPr>
      <w:r>
        <w:rPr>
          <w:noProof/>
        </w:rPr>
        <w:drawing>
          <wp:inline distT="0" distB="0" distL="0" distR="0" wp14:anchorId="35A40EDC" wp14:editId="71DAE35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4A7B" w:rsidRPr="00593A5F" w14:paraId="2F181440" w14:textId="77777777" w:rsidTr="00827BA6">
        <w:trPr>
          <w:trHeight w:val="315"/>
        </w:trPr>
        <w:tc>
          <w:tcPr>
            <w:tcW w:w="893" w:type="dxa"/>
            <w:vAlign w:val="center"/>
            <w:hideMark/>
          </w:tcPr>
          <w:p w14:paraId="557A033E" w14:textId="77777777" w:rsidR="002F4A7B" w:rsidRPr="003751C7" w:rsidRDefault="002F4A7B" w:rsidP="00827BA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DB32E5" w14:textId="77777777" w:rsidR="002F4A7B" w:rsidRPr="00254A7A" w:rsidRDefault="002F4A7B" w:rsidP="00827BA6">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83C5F13" w14:textId="77777777" w:rsidR="002F4A7B" w:rsidRPr="00254A7A" w:rsidRDefault="002F4A7B" w:rsidP="00827BA6">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2F4A7B" w:rsidRPr="00593A5F" w14:paraId="249F92F3" w14:textId="77777777" w:rsidTr="00827BA6">
        <w:trPr>
          <w:trHeight w:val="330"/>
        </w:trPr>
        <w:tc>
          <w:tcPr>
            <w:tcW w:w="893" w:type="dxa"/>
            <w:vAlign w:val="center"/>
            <w:hideMark/>
          </w:tcPr>
          <w:p w14:paraId="49CDA581" w14:textId="77777777" w:rsidR="002F4A7B" w:rsidRPr="003751C7" w:rsidRDefault="002F4A7B" w:rsidP="00827BA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531FED" w14:textId="77777777" w:rsidR="002F4A7B" w:rsidRPr="005E5459" w:rsidRDefault="002F4A7B" w:rsidP="00827BA6">
            <w:pPr>
              <w:pStyle w:val="paragraph"/>
              <w:contextualSpacing/>
              <w:textAlignment w:val="baseline"/>
              <w:rPr>
                <w:rStyle w:val="normaltextrun"/>
                <w:rFonts w:ascii="Verdana" w:hAnsi="Verdana" w:cs="Arial"/>
                <w:sz w:val="16"/>
                <w:szCs w:val="16"/>
                <w:lang w:val="es-ES"/>
              </w:rPr>
            </w:pPr>
            <w:r w:rsidRPr="005E5459">
              <w:rPr>
                <w:rStyle w:val="normaltextrun"/>
                <w:rFonts w:ascii="Verdana" w:hAnsi="Verdana" w:cs="Arial"/>
                <w:sz w:val="16"/>
                <w:szCs w:val="16"/>
                <w:lang w:val="es-ES"/>
              </w:rPr>
              <w:t>Diana Lucia Saavedra Castañeda</w:t>
            </w:r>
          </w:p>
          <w:p w14:paraId="1CFCADAD" w14:textId="77777777" w:rsidR="002F4A7B" w:rsidRPr="00254A7A" w:rsidRDefault="002F4A7B" w:rsidP="00827BA6">
            <w:pPr>
              <w:pStyle w:val="paragraph"/>
              <w:spacing w:before="0" w:beforeAutospacing="0" w:after="0" w:afterAutospacing="0"/>
              <w:contextualSpacing/>
              <w:textAlignment w:val="baseline"/>
              <w:rPr>
                <w:rFonts w:ascii="Verdana" w:hAnsi="Verdana" w:cs="Segoe UI"/>
                <w:sz w:val="16"/>
                <w:szCs w:val="16"/>
              </w:rPr>
            </w:pPr>
            <w:r w:rsidRPr="005E5459">
              <w:rPr>
                <w:rStyle w:val="normaltextrun"/>
                <w:rFonts w:ascii="Verdana" w:hAnsi="Verdana" w:cs="Arial"/>
                <w:sz w:val="16"/>
                <w:szCs w:val="16"/>
                <w:lang w:val="es-ES"/>
              </w:rPr>
              <w:t>Contratista de la Subdirección de Gestión Contractual</w:t>
            </w:r>
          </w:p>
        </w:tc>
      </w:tr>
      <w:tr w:rsidR="002F4A7B" w:rsidRPr="00593A5F" w14:paraId="271678A8" w14:textId="77777777" w:rsidTr="00827BA6">
        <w:trPr>
          <w:trHeight w:val="300"/>
        </w:trPr>
        <w:tc>
          <w:tcPr>
            <w:tcW w:w="893" w:type="dxa"/>
            <w:vAlign w:val="center"/>
          </w:tcPr>
          <w:p w14:paraId="18D54A99" w14:textId="77777777" w:rsidR="002F4A7B" w:rsidRPr="003751C7" w:rsidRDefault="002F4A7B" w:rsidP="00827BA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99B8CA6" w14:textId="77777777" w:rsidR="002F4A7B" w:rsidRPr="003751C7" w:rsidRDefault="002F4A7B" w:rsidP="00827BA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F6F9791" w14:textId="77777777" w:rsidR="002F4A7B" w:rsidRPr="003751C7" w:rsidRDefault="002F4A7B" w:rsidP="00827BA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241F9CED" w14:textId="77777777" w:rsidR="002F4A7B" w:rsidRPr="00593A5F" w:rsidRDefault="002F4A7B" w:rsidP="002F4A7B">
      <w:pPr>
        <w:rPr>
          <w:rFonts w:ascii="Verdana" w:hAnsi="Verdana" w:cs="Arial"/>
          <w:lang w:eastAsia="es-ES"/>
        </w:rPr>
      </w:pPr>
    </w:p>
    <w:p w14:paraId="6BD3E60B" w14:textId="77777777" w:rsidR="003D5B0D" w:rsidRPr="00FF23EE" w:rsidRDefault="003D5B0D" w:rsidP="00FF23EE"/>
    <w:sectPr w:rsidR="003D5B0D" w:rsidRPr="00FF23E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6097C" w14:textId="77777777" w:rsidR="009722F4" w:rsidRDefault="009722F4" w:rsidP="004A1847">
      <w:pPr>
        <w:spacing w:after="0" w:line="240" w:lineRule="auto"/>
      </w:pPr>
      <w:r>
        <w:separator/>
      </w:r>
    </w:p>
  </w:endnote>
  <w:endnote w:type="continuationSeparator" w:id="0">
    <w:p w14:paraId="4830AA62" w14:textId="77777777" w:rsidR="009722F4" w:rsidRDefault="009722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C9A7" w14:textId="77777777" w:rsidR="004A1847" w:rsidRDefault="004A1847">
    <w:pPr>
      <w:pStyle w:val="Piedepgina"/>
    </w:pPr>
  </w:p>
  <w:p w14:paraId="3C3ADFE3"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9ABE799"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2E0B426"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516BC7EE"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D57F" w14:textId="77777777" w:rsidR="009722F4" w:rsidRDefault="009722F4" w:rsidP="004A1847">
      <w:pPr>
        <w:spacing w:after="0" w:line="240" w:lineRule="auto"/>
      </w:pPr>
      <w:r>
        <w:separator/>
      </w:r>
    </w:p>
  </w:footnote>
  <w:footnote w:type="continuationSeparator" w:id="0">
    <w:p w14:paraId="6EF47D76" w14:textId="77777777" w:rsidR="009722F4" w:rsidRDefault="009722F4" w:rsidP="004A1847">
      <w:pPr>
        <w:spacing w:after="0" w:line="240" w:lineRule="auto"/>
      </w:pPr>
      <w:r>
        <w:continuationSeparator/>
      </w:r>
    </w:p>
  </w:footnote>
  <w:footnote w:id="1">
    <w:p w14:paraId="3B2D2BCF"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2">
    <w:p w14:paraId="4EF668C2"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Cfr. DROMI, Roberto. La licitación pública. Buenos Aires: Ciudad Argentina, 1980. p. 134. Para ESCOBAR GIL, “La finalidad del principio es doble: en primer término, asegura a los asociados la igualdad de oportunidades promoviendo la participación del mayor número de oferentes, y en segundo lugar, facilitar la selección de quien presente la propuesta más favorable en beneficio del interés público […].</w:t>
      </w:r>
    </w:p>
    <w:p w14:paraId="5E1DBC08"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w:t>
      </w:r>
    </w:p>
    <w:p w14:paraId="35C36BC7"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 xml:space="preserve">Así mismo, repugna al principio de libertad de concurrencia, la fijación por parte de la Administración Pública de obstáculos y trabas a la participación de los proponentes […]” (Cfr. ESCOBAR GIL, Rodrigo. Teoría general de los contratos de la Administración Pública. Bogotá: Legis, 2000. pp. 154-155).   </w:t>
      </w:r>
    </w:p>
  </w:footnote>
  <w:footnote w:id="3">
    <w:p w14:paraId="250A8836"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Cfr. RAZQUIN LIZARRAGA, Martín María. Los principios generales de la contratación pública. En: Tratado de los contratos del sector público. Tomo I. Valencia: Tirant lo Blanch, 2018. p. 194 y 210.</w:t>
      </w:r>
    </w:p>
  </w:footnote>
  <w:footnote w:id="4">
    <w:p w14:paraId="20184E12"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Respecto a los factores de evaluación, PALACIO HINCAPIÉ considera que “No puede incluirse como factor de escogencia el hecho de que el proponente resida en el domicilio de la entidad contratante, pues ello viola la igualdad de los oferentes; […] tampoco ser nacional o pertenecer a la industria nacional, pues no hay esa protección […]” (PALACIO HINCAPIÉ, Juan Ángel. La contratación de las entidades estatales. Octava edición. Medellín: Librería Jurídica Sánchez R. SAS, 2020. pp. 251-252). Por su parte, GONZÁLEZ LÓPEZ estima que “[…] sería violatorio del principio de igualdad el establecer criterios de ponderación superiores respecto de su origen local y departamental” (p. GONZÁLEZ LÓPEZ, Edgar. El pliego de condiciones en la contratación estatal: la reforma consagrada en la Ley 1150 de 2007 y sus decretos reglamentarios. Bogotá: Universidad Externado de Colombia, 2012. p. 120).</w:t>
      </w:r>
    </w:p>
    <w:p w14:paraId="5F77C2D5"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Por ello, el Concepto 2201913000006511 del 3 de septiembre de 2019 menciona los siguiente: “[…] si la jurisprudencia proscribió fijar este criterio como factor de evaluación, con más razón se debe prohibir como requisito habilitante, porque ellos verifican la aptitud del proponente para presentarse a un proceso de contratación y esta exigencia no determina la aptitud del proponente para ejecutar el contrato. En este sentido, las entidades estatales no deben establecer como requisito habilitante la exigencia que el proponente resida en el lugar donde se ejecutará el contrato”.</w:t>
      </w:r>
    </w:p>
  </w:footnote>
  <w:footnote w:id="5">
    <w:p w14:paraId="107A4B5C"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Excepcionalmente, algunas normas acotan ámbitos territoriales para la ejecución negocio jurídico. Por ejemplo, el inciso primero del artículo 95 de la Ley 2166 del 2021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Esta norma debe concordarse con el artículo 9 </w:t>
      </w:r>
      <w:r w:rsidRPr="00BF6B24">
        <w:rPr>
          <w:rFonts w:ascii="Verdana" w:hAnsi="Verdana" w:cs="Arial"/>
          <w:i/>
          <w:iCs/>
          <w:sz w:val="16"/>
          <w:szCs w:val="16"/>
        </w:rPr>
        <w:t>ibidem</w:t>
      </w:r>
      <w:r w:rsidRPr="00BF6B24">
        <w:rPr>
          <w:rFonts w:ascii="Verdana" w:hAnsi="Verdana" w:cs="Arial"/>
          <w:sz w:val="16"/>
          <w:szCs w:val="16"/>
        </w:rPr>
        <w:t>, el cual dispone lo siguiente: “</w:t>
      </w:r>
      <w:r w:rsidRPr="00BF6B24">
        <w:rPr>
          <w:rFonts w:ascii="Verdana" w:hAnsi="Verdana" w:cs="Arial"/>
          <w:i/>
          <w:iCs/>
          <w:sz w:val="16"/>
          <w:szCs w:val="16"/>
        </w:rPr>
        <w:t>Cada organismo de acción comunal desarrollará sus actividades dentro de un territorio delimitado</w:t>
      </w:r>
      <w:r w:rsidRPr="00BF6B24">
        <w:rPr>
          <w:rFonts w:ascii="Verdana" w:hAnsi="Verdana" w:cs="Arial"/>
          <w:sz w:val="16"/>
          <w:szCs w:val="16"/>
        </w:rPr>
        <w:t xml:space="preserve"> […]” (Énfasis fuera de texto).</w:t>
      </w:r>
    </w:p>
    <w:p w14:paraId="3EA9C411"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 xml:space="preserve">Asimismo, de acuerdo con el artículo 101.1 de la Ley 2294 de 2023, a través de las Asociaciones de Iniciativa Público Popular “[…] se podrá desarrollar el diseño, construcción, renovación, reparación, mejoramiento, equipamiento, gestión, operación y mantenimiento de proyectos de infraestructura y demás actividades técnicas necesarias </w:t>
      </w:r>
      <w:r w:rsidRPr="00BF6B24">
        <w:rPr>
          <w:rFonts w:ascii="Verdana" w:hAnsi="Verdana" w:cs="Arial"/>
          <w:i/>
          <w:iCs/>
          <w:sz w:val="16"/>
          <w:szCs w:val="16"/>
        </w:rPr>
        <w:t>para el cumplimiento del contrato en el respectivo territorio de la respectiva comunidad</w:t>
      </w:r>
      <w:r w:rsidRPr="00BF6B24">
        <w:rPr>
          <w:rFonts w:ascii="Verdana" w:hAnsi="Verdana" w:cs="Arial"/>
          <w:sz w:val="16"/>
          <w:szCs w:val="16"/>
        </w:rPr>
        <w:t>” (Énfasis fuera de texto).</w:t>
      </w:r>
    </w:p>
  </w:footnote>
  <w:footnote w:id="6">
    <w:p w14:paraId="11D38A22"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Esta norma prescribe que “Para que una persona se obligue a otra por un acto o declaración de voluntad, es necesario:</w:t>
      </w:r>
    </w:p>
    <w:p w14:paraId="7B66F88A"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Fonts w:ascii="Verdana" w:hAnsi="Verdana" w:cs="Arial"/>
          <w:color w:val="000000" w:themeColor="text1"/>
          <w:sz w:val="16"/>
          <w:szCs w:val="16"/>
        </w:rPr>
        <w:t>1o.) que sea legalmente capaz;</w:t>
      </w:r>
    </w:p>
    <w:p w14:paraId="3859BD32"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Fonts w:ascii="Verdana" w:hAnsi="Verdana" w:cs="Arial"/>
          <w:color w:val="000000" w:themeColor="text1"/>
          <w:sz w:val="16"/>
          <w:szCs w:val="16"/>
        </w:rPr>
        <w:t>2o.) que consienta en dicho acto o declaración y su consentimiento no adolezca de vicio;</w:t>
      </w:r>
    </w:p>
    <w:p w14:paraId="65BBF2C4"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Fonts w:ascii="Verdana" w:hAnsi="Verdana" w:cs="Arial"/>
          <w:color w:val="000000" w:themeColor="text1"/>
          <w:sz w:val="16"/>
          <w:szCs w:val="16"/>
        </w:rPr>
        <w:t>3o.) que recaiga sobre un objeto lícito;</w:t>
      </w:r>
    </w:p>
    <w:p w14:paraId="765D2D9B"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Fonts w:ascii="Verdana" w:hAnsi="Verdana" w:cs="Arial"/>
          <w:color w:val="000000" w:themeColor="text1"/>
          <w:sz w:val="16"/>
          <w:szCs w:val="16"/>
        </w:rPr>
        <w:t>4o.) que tenga una causa lícita.</w:t>
      </w:r>
    </w:p>
    <w:p w14:paraId="6FAB7C6E" w14:textId="77777777" w:rsidR="002F4A7B" w:rsidRPr="00BF6B24" w:rsidRDefault="002F4A7B" w:rsidP="00BF6B24">
      <w:pPr>
        <w:pStyle w:val="Textonotapie"/>
        <w:ind w:firstLine="708"/>
        <w:jc w:val="both"/>
        <w:rPr>
          <w:rFonts w:ascii="Verdana" w:hAnsi="Verdana" w:cs="Arial"/>
          <w:color w:val="000000" w:themeColor="text1"/>
          <w:sz w:val="16"/>
          <w:szCs w:val="16"/>
        </w:rPr>
      </w:pPr>
      <w:r w:rsidRPr="00BF6B24">
        <w:rPr>
          <w:rFonts w:ascii="Verdana" w:hAnsi="Verdana" w:cs="Arial"/>
          <w:color w:val="000000" w:themeColor="text1"/>
          <w:sz w:val="16"/>
          <w:szCs w:val="16"/>
        </w:rPr>
        <w:t>La capacidad legal de una persona consiste en poderse obligar por sí misma, y sin el ministerio o la autorización de otra”.</w:t>
      </w:r>
    </w:p>
  </w:footnote>
  <w:footnote w:id="7">
    <w:p w14:paraId="20D1822C"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footnote>
  <w:footnote w:id="8">
    <w:p w14:paraId="207B8F5A"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3F374078"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45B10E17"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347661AC"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footnote>
  <w:footnote w:id="9">
    <w:p w14:paraId="3C8DCABE"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26A7AAE6"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09540529"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10">
    <w:p w14:paraId="7756B3EF" w14:textId="77777777" w:rsidR="002F4A7B" w:rsidRPr="00BF6B24" w:rsidRDefault="002F4A7B" w:rsidP="0017107E">
      <w:pPr>
        <w:tabs>
          <w:tab w:val="left" w:pos="0"/>
        </w:tabs>
        <w:spacing w:after="0" w:line="240" w:lineRule="auto"/>
        <w:ind w:firstLine="709"/>
        <w:jc w:val="both"/>
        <w:rPr>
          <w:rFonts w:ascii="Verdana" w:eastAsia="Calibri" w:hAnsi="Verdana" w:cs="Arial"/>
          <w:bCs/>
          <w:color w:val="000000" w:themeColor="text1"/>
          <w:sz w:val="16"/>
          <w:szCs w:val="16"/>
          <w:lang w:val="es-ES_tradnl"/>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eastAsia="Calibri" w:hAnsi="Verdana" w:cs="Arial"/>
          <w:bCs/>
          <w:color w:val="000000" w:themeColor="text1"/>
          <w:sz w:val="16"/>
          <w:szCs w:val="16"/>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footnote>
  <w:footnote w:id="11">
    <w:p w14:paraId="5441C0F3"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Aprobado mediante Ley 1241 de 2008.</w:t>
      </w:r>
    </w:p>
  </w:footnote>
  <w:footnote w:id="12">
    <w:p w14:paraId="7993FE1E" w14:textId="77777777" w:rsidR="002F4A7B" w:rsidRPr="00BF6B24" w:rsidRDefault="002F4A7B" w:rsidP="00BF6B24">
      <w:pPr>
        <w:pStyle w:val="Textonotapie"/>
        <w:ind w:firstLine="709"/>
        <w:jc w:val="both"/>
        <w:rPr>
          <w:rFonts w:ascii="Verdana" w:hAnsi="Verdana" w:cs="Arial"/>
          <w:color w:val="000000" w:themeColor="text1"/>
          <w:sz w:val="16"/>
          <w:szCs w:val="16"/>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Aprobado por la Ley 1143 de 2007.</w:t>
      </w:r>
    </w:p>
  </w:footnote>
  <w:footnote w:id="13">
    <w:p w14:paraId="3D88CEEB"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footnote>
  <w:footnote w:id="14">
    <w:p w14:paraId="4476D753" w14:textId="77777777" w:rsidR="002F4A7B" w:rsidRPr="00BF6B24" w:rsidRDefault="002F4A7B" w:rsidP="0017107E">
      <w:pPr>
        <w:spacing w:after="0" w:line="240" w:lineRule="auto"/>
        <w:ind w:firstLine="709"/>
        <w:jc w:val="both"/>
        <w:rPr>
          <w:rFonts w:ascii="Verdana" w:hAnsi="Verdana" w:cs="Arial"/>
          <w:color w:val="000000" w:themeColor="text1"/>
          <w:sz w:val="16"/>
          <w:szCs w:val="16"/>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Esta es la tesis que ha prohijado esta Agencia en el Manual para el Manejo de los Acuerdos Comerciales en Procesos de Contratación, en las siguientes palabras: “La Entidad Estatal contratante también debe conceder el mismo trato que da a los proponentes de colombianos que ofertan bienes y servicios colombianos, a aquellos oferentes de bienes y servicios originarios de Estados con los cuales, a pesar de no existir o no estar vigente un Acuerdo Comercial, el Gobierno Nacional ha certificado reciprocidad. Esto supone que, el Gobierno Nacional, con base en la revisión y comparación de la normativa vigente en materia de compras públicas de dicho Estado, determine y certifique que en el respectivo Estado, los bienes, servicios y/o proveedores colombianos gozan del mismo trato que se le da a los bienes, servicios y/o proveedores de tal Estado, o que no existe en ese Estado ninguna medida que fomente el desarrollo local o mejore las cuentas de la balanza de pagos en detrimento de los bienes o servicios o proveedores colombianos.</w:t>
      </w:r>
    </w:p>
    <w:p w14:paraId="1E2F6FB5" w14:textId="77777777" w:rsidR="002F4A7B" w:rsidRPr="00BF6B24" w:rsidRDefault="002F4A7B" w:rsidP="0017107E">
      <w:pPr>
        <w:spacing w:after="0" w:line="240" w:lineRule="auto"/>
        <w:ind w:firstLine="709"/>
        <w:jc w:val="both"/>
        <w:rPr>
          <w:rFonts w:ascii="Verdana" w:hAnsi="Verdana" w:cs="Arial"/>
          <w:color w:val="000000" w:themeColor="text1"/>
          <w:sz w:val="16"/>
          <w:szCs w:val="16"/>
        </w:rPr>
      </w:pPr>
      <w:r w:rsidRPr="00BF6B24">
        <w:rPr>
          <w:rFonts w:ascii="Verdana" w:hAnsi="Verdana" w:cs="Arial"/>
          <w:color w:val="000000" w:themeColor="text1"/>
          <w:sz w:val="16"/>
          <w:szCs w:val="16"/>
        </w:rPr>
        <w:t xml:space="preserve">La existencia de un Acuerdo Comercial que prevea el Trato Nacional en materia de contratación pública excluye la posibilidad de que el Gobierno Nacional certifique el Trato Nacional por reciprocidad. Así, por ejemplo, en ningún caso el Ministerio de Relaciones Exteriores podría certificar Trato Nacional por reciprocidad con México, pues existe un Acuerdo Comercial con dicha parte”. </w:t>
      </w:r>
    </w:p>
  </w:footnote>
  <w:footnote w:id="15">
    <w:p w14:paraId="1CDD4374"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footnote>
  <w:footnote w:id="16">
    <w:p w14:paraId="6F7184AA"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Style w:val="Refdenotaalpie"/>
          <w:rFonts w:ascii="Verdana" w:hAnsi="Verdana" w:cs="Arial"/>
          <w:color w:val="000000" w:themeColor="text1"/>
          <w:sz w:val="16"/>
          <w:szCs w:val="16"/>
        </w:rPr>
        <w:footnoteRef/>
      </w:r>
      <w:r w:rsidRPr="00BF6B24">
        <w:rPr>
          <w:rFonts w:ascii="Verdana" w:hAnsi="Verdana" w:cs="Arial"/>
          <w:color w:val="000000" w:themeColor="text1"/>
          <w:sz w:val="16"/>
          <w:szCs w:val="16"/>
        </w:rPr>
        <w:t xml:space="preserve"> </w:t>
      </w:r>
      <w:r w:rsidRPr="00BF6B24">
        <w:rPr>
          <w:rFonts w:ascii="Verdana" w:hAnsi="Verdana" w:cs="Arial"/>
          <w:color w:val="000000" w:themeColor="text1"/>
          <w:sz w:val="16"/>
          <w:szCs w:val="16"/>
          <w:lang w:val="es-ES"/>
        </w:rPr>
        <w:t xml:space="preserve">“26. "Pacta sunt </w:t>
      </w:r>
      <w:r w:rsidRPr="00BF6B24">
        <w:rPr>
          <w:rFonts w:ascii="Verdana" w:hAnsi="Verdana" w:cs="Arial"/>
          <w:color w:val="000000" w:themeColor="text1"/>
          <w:sz w:val="16"/>
          <w:szCs w:val="16"/>
          <w:lang w:val="es-ES"/>
        </w:rPr>
        <w:t>servanda". Todo tratado en vigor obliga a las partes y debe ser cumplido por ellas de buena fe.</w:t>
      </w:r>
    </w:p>
    <w:p w14:paraId="70FB718E"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27. El derecho interno y la observancia de los tratados. Una parte no podrá invocar las disposiciones de su derecho interno como justificación del incumplimiento de un tratado.</w:t>
      </w:r>
    </w:p>
    <w:p w14:paraId="794041E7"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r w:rsidRPr="00BF6B24">
        <w:rPr>
          <w:rFonts w:ascii="Verdana" w:hAnsi="Verdana" w:cs="Arial"/>
          <w:color w:val="000000" w:themeColor="text1"/>
          <w:sz w:val="16"/>
          <w:szCs w:val="16"/>
          <w:lang w:val="es-ES"/>
        </w:rPr>
        <w:t xml:space="preserve">[…]”. </w:t>
      </w:r>
    </w:p>
    <w:p w14:paraId="312D3BB9" w14:textId="77777777" w:rsidR="002F4A7B" w:rsidRPr="00BF6B24" w:rsidRDefault="002F4A7B" w:rsidP="00BF6B24">
      <w:pPr>
        <w:pStyle w:val="Textonotapie"/>
        <w:ind w:firstLine="709"/>
        <w:jc w:val="both"/>
        <w:rPr>
          <w:rFonts w:ascii="Verdana" w:hAnsi="Verdana" w:cs="Arial"/>
          <w:color w:val="000000" w:themeColor="text1"/>
          <w:sz w:val="16"/>
          <w:szCs w:val="16"/>
          <w:lang w:val="es-ES"/>
        </w:rPr>
      </w:pPr>
    </w:p>
  </w:footnote>
  <w:footnote w:id="17">
    <w:p w14:paraId="2F58E4FA" w14:textId="77777777" w:rsidR="002F4A7B" w:rsidRPr="00BF6B24" w:rsidRDefault="002F4A7B" w:rsidP="00BF6B24">
      <w:pPr>
        <w:pStyle w:val="Textonotapie"/>
        <w:ind w:firstLine="709"/>
        <w:jc w:val="both"/>
        <w:rPr>
          <w:rFonts w:ascii="Verdana" w:hAnsi="Verdana" w:cs="Arial"/>
          <w:sz w:val="16"/>
          <w:szCs w:val="16"/>
        </w:rPr>
      </w:pPr>
      <w:r w:rsidRPr="00BF6B24">
        <w:rPr>
          <w:rStyle w:val="Refdenotaalpie"/>
          <w:rFonts w:ascii="Verdana" w:hAnsi="Verdana" w:cs="Arial"/>
          <w:sz w:val="16"/>
          <w:szCs w:val="16"/>
        </w:rPr>
        <w:footnoteRef/>
      </w:r>
      <w:hyperlink r:id="rId1" w:history="1">
        <w:r w:rsidRPr="00BF6B24">
          <w:rPr>
            <w:rStyle w:val="Hipervnculo"/>
            <w:rFonts w:ascii="Verdana" w:hAnsi="Verdana" w:cs="Arial"/>
            <w:sz w:val="16"/>
            <w:szCs w:val="16"/>
          </w:rPr>
          <w:t>https://colombiacompra.gov.co/sites/cce_public/files/cce_documents/cce_guia_asuntos_corporativos.pdf</w:t>
        </w:r>
      </w:hyperlink>
      <w:r w:rsidRPr="00BF6B24">
        <w:rPr>
          <w:rFonts w:ascii="Verdana" w:hAnsi="Verdana" w:cs="Arial"/>
          <w:sz w:val="16"/>
          <w:szCs w:val="16"/>
        </w:rPr>
        <w:t xml:space="preserve">. </w:t>
      </w:r>
    </w:p>
  </w:footnote>
  <w:footnote w:id="18">
    <w:p w14:paraId="00550A37"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En lo pertinente, el artículo 12 de la Ley 1150 de 2007 –</w:t>
      </w:r>
      <w:r w:rsidRPr="00BF6B24">
        <w:rPr>
          <w:rFonts w:ascii="Verdana" w:hAnsi="Verdana"/>
          <w:sz w:val="16"/>
          <w:szCs w:val="16"/>
        </w:rPr>
        <w:t xml:space="preserve"> </w:t>
      </w:r>
      <w:r w:rsidRPr="00BF6B24">
        <w:rPr>
          <w:rFonts w:ascii="Verdana" w:hAnsi="Verdana" w:cs="Arial"/>
          <w:sz w:val="16"/>
          <w:szCs w:val="16"/>
        </w:rPr>
        <w:t>modificado por el artículo 34 de la Ley de Emprendimiento– dispone que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97586B8"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w:t>
      </w:r>
    </w:p>
    <w:p w14:paraId="0CBE172B"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PARÁGRAFO 1o. En los Procesos de Contratación que se desarrollen con base en el primer inciso, las entidades podrán realizar las convocatorias limitadas que beneficien a las Mipyme del ámbito municipal o departamental correspondiente al de la ejecución del contrato.</w:t>
      </w:r>
    </w:p>
    <w:p w14:paraId="738B71B5"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 xml:space="preserve">[…]”. </w:t>
      </w:r>
    </w:p>
  </w:footnote>
  <w:footnote w:id="19">
    <w:p w14:paraId="47962996" w14:textId="77777777" w:rsidR="002F4A7B" w:rsidRPr="00BF6B24" w:rsidRDefault="002F4A7B" w:rsidP="00BF6B24">
      <w:pPr>
        <w:pStyle w:val="Textonotapie"/>
        <w:ind w:firstLine="709"/>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Agencia Nacional de Contratación Pública – Colombia Compra Eficiente. Concepto C-045 del 17 de marzo de 2020. Radicado de salida No. 2202013000001974.</w:t>
      </w:r>
    </w:p>
  </w:footnote>
  <w:footnote w:id="20">
    <w:p w14:paraId="66C62AA5"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5B5EDCE6" w14:textId="77777777" w:rsidR="002F4A7B" w:rsidRPr="00BF6B24" w:rsidRDefault="002F4A7B" w:rsidP="00BF6B24">
      <w:pPr>
        <w:pStyle w:val="Textonotapie"/>
        <w:ind w:firstLine="708"/>
        <w:jc w:val="both"/>
        <w:rPr>
          <w:rFonts w:ascii="Verdana" w:hAnsi="Verdana" w:cs="Arial"/>
          <w:sz w:val="16"/>
          <w:szCs w:val="16"/>
        </w:rPr>
      </w:pPr>
      <w:r w:rsidRPr="00BF6B24">
        <w:rPr>
          <w:rFonts w:ascii="Verdana" w:hAnsi="Verdana" w:cs="Arial"/>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21">
    <w:p w14:paraId="614D3F0A" w14:textId="77777777" w:rsidR="002F4A7B" w:rsidRPr="00BF6B24" w:rsidRDefault="002F4A7B" w:rsidP="00BF6B24">
      <w:pPr>
        <w:pStyle w:val="Textonotapie"/>
        <w:ind w:firstLine="708"/>
        <w:jc w:val="both"/>
        <w:rPr>
          <w:rFonts w:ascii="Verdana" w:hAnsi="Verdana" w:cs="Arial"/>
          <w:sz w:val="16"/>
          <w:szCs w:val="16"/>
        </w:rPr>
      </w:pPr>
      <w:r w:rsidRPr="00BF6B24">
        <w:rPr>
          <w:rStyle w:val="Refdenotaalpie"/>
          <w:rFonts w:ascii="Verdana" w:hAnsi="Verdana" w:cs="Arial"/>
          <w:sz w:val="16"/>
          <w:szCs w:val="16"/>
        </w:rPr>
        <w:footnoteRef/>
      </w:r>
      <w:r w:rsidRPr="00BF6B24">
        <w:rPr>
          <w:rFonts w:ascii="Verdana" w:hAnsi="Verdana" w:cs="Arial"/>
          <w:sz w:val="16"/>
          <w:szCs w:val="16"/>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5A84"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3356BC6" w14:textId="77777777" w:rsidR="00756841" w:rsidRDefault="00756841">
    <w:pPr>
      <w:pStyle w:val="Encabezado"/>
    </w:pPr>
  </w:p>
  <w:p w14:paraId="33743B1C" w14:textId="77777777" w:rsidR="00DC39FC" w:rsidRDefault="00DC39FC" w:rsidP="004A305D">
    <w:pPr>
      <w:spacing w:after="0"/>
      <w:rPr>
        <w:rFonts w:ascii="Verdana" w:hAnsi="Verdana"/>
        <w:b/>
        <w:bCs/>
      </w:rPr>
    </w:pPr>
  </w:p>
  <w:p w14:paraId="0D0C7326" w14:textId="77777777" w:rsidR="004A305D" w:rsidRPr="00DC39FC" w:rsidRDefault="004A305D" w:rsidP="004A305D">
    <w:pPr>
      <w:spacing w:after="0"/>
      <w:rPr>
        <w:rFonts w:ascii="Verdana" w:hAnsi="Verdana"/>
        <w:b/>
        <w:bCs/>
      </w:rPr>
    </w:pPr>
    <w:r w:rsidRPr="00DC39FC">
      <w:rPr>
        <w:rFonts w:ascii="Verdana" w:hAnsi="Verdana"/>
        <w:b/>
        <w:bCs/>
      </w:rPr>
      <w:t>FORMATO PQRSD</w:t>
    </w:r>
  </w:p>
  <w:p w14:paraId="31AA3858" w14:textId="77777777" w:rsidR="004A305D" w:rsidRPr="004A305D" w:rsidRDefault="004A305D" w:rsidP="00B01B1A">
    <w:pPr>
      <w:spacing w:after="0" w:line="120" w:lineRule="auto"/>
      <w:rPr>
        <w:rFonts w:ascii="Century Gothic" w:eastAsia="Geo" w:hAnsi="Century Gothic" w:cs="Geo"/>
        <w:sz w:val="16"/>
        <w:szCs w:val="16"/>
        <w:lang w:eastAsia="es-CO"/>
      </w:rPr>
    </w:pPr>
  </w:p>
  <w:p w14:paraId="6A406301"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38464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20856521" o:spid="_x0000_i1025" type="#_x0000_t75" style="width:11.55pt;height:11.55pt;visibility:visible;mso-wrap-style:square">
            <v:imagedata r:id="rId1" o:title=""/>
          </v:shape>
        </w:pict>
      </mc:Choice>
      <mc:Fallback>
        <w:drawing>
          <wp:inline distT="0" distB="0" distL="0" distR="0" wp14:anchorId="7F7C4B0A" wp14:editId="5E57C3DB">
            <wp:extent cx="146685" cy="146685"/>
            <wp:effectExtent l="0" t="0" r="0" b="0"/>
            <wp:docPr id="2020856521" name="Imagen 202085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364B"/>
    <w:rsid w:val="00125105"/>
    <w:rsid w:val="00127233"/>
    <w:rsid w:val="00144296"/>
    <w:rsid w:val="001511A0"/>
    <w:rsid w:val="0017107E"/>
    <w:rsid w:val="00187F06"/>
    <w:rsid w:val="001E4177"/>
    <w:rsid w:val="001F7DC6"/>
    <w:rsid w:val="002421BB"/>
    <w:rsid w:val="0025796E"/>
    <w:rsid w:val="002707A2"/>
    <w:rsid w:val="00272CD9"/>
    <w:rsid w:val="002951A0"/>
    <w:rsid w:val="002962BC"/>
    <w:rsid w:val="002A093D"/>
    <w:rsid w:val="002A0DD0"/>
    <w:rsid w:val="002A49AC"/>
    <w:rsid w:val="002A64FD"/>
    <w:rsid w:val="002C7A84"/>
    <w:rsid w:val="002E4FD9"/>
    <w:rsid w:val="002F4A7B"/>
    <w:rsid w:val="00321819"/>
    <w:rsid w:val="00322A85"/>
    <w:rsid w:val="00324168"/>
    <w:rsid w:val="003448F4"/>
    <w:rsid w:val="00374F5E"/>
    <w:rsid w:val="00375D9B"/>
    <w:rsid w:val="00377E3E"/>
    <w:rsid w:val="003A779E"/>
    <w:rsid w:val="003B10D4"/>
    <w:rsid w:val="003D0F4D"/>
    <w:rsid w:val="003D5B0D"/>
    <w:rsid w:val="003D75E2"/>
    <w:rsid w:val="003E0499"/>
    <w:rsid w:val="003F3941"/>
    <w:rsid w:val="00406575"/>
    <w:rsid w:val="00414C74"/>
    <w:rsid w:val="0042722E"/>
    <w:rsid w:val="0044528D"/>
    <w:rsid w:val="004A1847"/>
    <w:rsid w:val="004A305D"/>
    <w:rsid w:val="004E6553"/>
    <w:rsid w:val="004F074C"/>
    <w:rsid w:val="004F21C4"/>
    <w:rsid w:val="004F685F"/>
    <w:rsid w:val="00550293"/>
    <w:rsid w:val="005564F6"/>
    <w:rsid w:val="005566E8"/>
    <w:rsid w:val="00574867"/>
    <w:rsid w:val="00591460"/>
    <w:rsid w:val="005B3816"/>
    <w:rsid w:val="005C2F6C"/>
    <w:rsid w:val="005C3777"/>
    <w:rsid w:val="005C5CDC"/>
    <w:rsid w:val="005D476C"/>
    <w:rsid w:val="006219F8"/>
    <w:rsid w:val="00665D70"/>
    <w:rsid w:val="00674FC5"/>
    <w:rsid w:val="006900D9"/>
    <w:rsid w:val="006A241B"/>
    <w:rsid w:val="00706C16"/>
    <w:rsid w:val="00756841"/>
    <w:rsid w:val="007649AB"/>
    <w:rsid w:val="00771D0C"/>
    <w:rsid w:val="007775C0"/>
    <w:rsid w:val="007833AC"/>
    <w:rsid w:val="007B268C"/>
    <w:rsid w:val="007B7171"/>
    <w:rsid w:val="007C0C0F"/>
    <w:rsid w:val="007C3DC2"/>
    <w:rsid w:val="007E5497"/>
    <w:rsid w:val="00806F5F"/>
    <w:rsid w:val="00820278"/>
    <w:rsid w:val="00863E8B"/>
    <w:rsid w:val="00867F95"/>
    <w:rsid w:val="00882BB1"/>
    <w:rsid w:val="008843B6"/>
    <w:rsid w:val="00891928"/>
    <w:rsid w:val="008A446D"/>
    <w:rsid w:val="008D180B"/>
    <w:rsid w:val="008F0EA7"/>
    <w:rsid w:val="00923EEF"/>
    <w:rsid w:val="009419F9"/>
    <w:rsid w:val="0095685E"/>
    <w:rsid w:val="00961B09"/>
    <w:rsid w:val="00965334"/>
    <w:rsid w:val="0097093E"/>
    <w:rsid w:val="009722F4"/>
    <w:rsid w:val="00986AC5"/>
    <w:rsid w:val="0099393C"/>
    <w:rsid w:val="009A0DFA"/>
    <w:rsid w:val="009B2D26"/>
    <w:rsid w:val="009C71FA"/>
    <w:rsid w:val="009C72E7"/>
    <w:rsid w:val="009D3058"/>
    <w:rsid w:val="009F23A8"/>
    <w:rsid w:val="009F3A13"/>
    <w:rsid w:val="00A014F3"/>
    <w:rsid w:val="00A06506"/>
    <w:rsid w:val="00A122D3"/>
    <w:rsid w:val="00A17F13"/>
    <w:rsid w:val="00A20739"/>
    <w:rsid w:val="00A33C78"/>
    <w:rsid w:val="00AB0ADB"/>
    <w:rsid w:val="00AB333F"/>
    <w:rsid w:val="00AD7FB1"/>
    <w:rsid w:val="00AE779E"/>
    <w:rsid w:val="00B01B1A"/>
    <w:rsid w:val="00B60611"/>
    <w:rsid w:val="00B66319"/>
    <w:rsid w:val="00B72CD3"/>
    <w:rsid w:val="00B72FFF"/>
    <w:rsid w:val="00B82427"/>
    <w:rsid w:val="00B85D55"/>
    <w:rsid w:val="00BC3D36"/>
    <w:rsid w:val="00BD7F72"/>
    <w:rsid w:val="00BE4509"/>
    <w:rsid w:val="00BF6B24"/>
    <w:rsid w:val="00C04FB3"/>
    <w:rsid w:val="00C330EB"/>
    <w:rsid w:val="00C41061"/>
    <w:rsid w:val="00C72B64"/>
    <w:rsid w:val="00C754BE"/>
    <w:rsid w:val="00C76B1C"/>
    <w:rsid w:val="00CA0CE5"/>
    <w:rsid w:val="00CB6357"/>
    <w:rsid w:val="00CC1B26"/>
    <w:rsid w:val="00CC3705"/>
    <w:rsid w:val="00D1409C"/>
    <w:rsid w:val="00D423A2"/>
    <w:rsid w:val="00D520D8"/>
    <w:rsid w:val="00D63AC2"/>
    <w:rsid w:val="00D7383B"/>
    <w:rsid w:val="00D97FEA"/>
    <w:rsid w:val="00DA231B"/>
    <w:rsid w:val="00DC39FC"/>
    <w:rsid w:val="00DF5254"/>
    <w:rsid w:val="00E16408"/>
    <w:rsid w:val="00E20894"/>
    <w:rsid w:val="00E245AB"/>
    <w:rsid w:val="00E2764C"/>
    <w:rsid w:val="00E27F2E"/>
    <w:rsid w:val="00E50AFE"/>
    <w:rsid w:val="00E7223F"/>
    <w:rsid w:val="00E75C92"/>
    <w:rsid w:val="00E771DC"/>
    <w:rsid w:val="00E8772A"/>
    <w:rsid w:val="00E90F6B"/>
    <w:rsid w:val="00E923CF"/>
    <w:rsid w:val="00E92C27"/>
    <w:rsid w:val="00EA0E3D"/>
    <w:rsid w:val="00EC261F"/>
    <w:rsid w:val="00EC38A7"/>
    <w:rsid w:val="00ED7384"/>
    <w:rsid w:val="00EE1AA8"/>
    <w:rsid w:val="00F0096C"/>
    <w:rsid w:val="00F31EDC"/>
    <w:rsid w:val="00F462B3"/>
    <w:rsid w:val="00F53CD9"/>
    <w:rsid w:val="00F5664F"/>
    <w:rsid w:val="00F666C4"/>
    <w:rsid w:val="00F76AFC"/>
    <w:rsid w:val="00FA47C0"/>
    <w:rsid w:val="00FB5DD1"/>
    <w:rsid w:val="00FC2B5D"/>
    <w:rsid w:val="00FF1449"/>
    <w:rsid w:val="00FF23EE"/>
    <w:rsid w:val="0902D528"/>
    <w:rsid w:val="50259C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F4A7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4A7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nuel.valle@comercio.mineco.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asuntos_corporativ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078E0EC-5566-4287-9734-1C563802B3FB}"/>
</file>

<file path=docProps/app.xml><?xml version="1.0" encoding="utf-8"?>
<Properties xmlns="http://schemas.openxmlformats.org/officeDocument/2006/extended-properties" xmlns:vt="http://schemas.openxmlformats.org/officeDocument/2006/docPropsVTypes">
  <Template>Normal.dotm</Template>
  <TotalTime>3</TotalTime>
  <Pages>25</Pages>
  <Words>7608</Words>
  <Characters>41850</Characters>
  <Application>Microsoft Office Word</Application>
  <DocSecurity>0</DocSecurity>
  <Lines>348</Lines>
  <Paragraphs>98</Paragraphs>
  <ScaleCrop>false</ScaleCrop>
  <Company/>
  <LinksUpToDate>false</LinksUpToDate>
  <CharactersWithSpaces>49360</CharactersWithSpaces>
  <SharedDoc>false</SharedDoc>
  <HLinks>
    <vt:vector size="36" baseType="variant">
      <vt:variant>
        <vt:i4>6291500</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vt:lpwstr>
      </vt:variant>
      <vt:variant>
        <vt:lpwstr/>
      </vt:variant>
      <vt:variant>
        <vt:i4>2490468</vt:i4>
      </vt:variant>
      <vt:variant>
        <vt:i4>9</vt:i4>
      </vt:variant>
      <vt:variant>
        <vt:i4>0</vt:i4>
      </vt:variant>
      <vt:variant>
        <vt:i4>5</vt:i4>
      </vt:variant>
      <vt:variant>
        <vt:lpwstr>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vt:lpwstr>
      </vt:variant>
      <vt:variant>
        <vt:lpwstr/>
      </vt:variant>
      <vt:variant>
        <vt:i4>7995442</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6029424</vt:i4>
      </vt:variant>
      <vt:variant>
        <vt:i4>0</vt:i4>
      </vt:variant>
      <vt:variant>
        <vt:i4>0</vt:i4>
      </vt:variant>
      <vt:variant>
        <vt:i4>5</vt:i4>
      </vt:variant>
      <vt:variant>
        <vt:lpwstr>mailto:manuel.valle@comercio.mineco.es</vt:lpwstr>
      </vt:variant>
      <vt:variant>
        <vt:lpwstr/>
      </vt:variant>
      <vt:variant>
        <vt:i4>2883650</vt:i4>
      </vt:variant>
      <vt:variant>
        <vt:i4>0</vt:i4>
      </vt:variant>
      <vt:variant>
        <vt:i4>0</vt:i4>
      </vt:variant>
      <vt:variant>
        <vt:i4>5</vt:i4>
      </vt:variant>
      <vt:variant>
        <vt:lpwstr>https://colombiacompra.gov.co/sites/cce_public/files/cce_documents/cce_guia_asuntos_corporativos.pdf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2025-05-21T20:15:00Z</dcterms:created>
  <dcterms:modified xsi:type="dcterms:W3CDTF">2025-05-23T02:15:00Z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