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EF07C" w14:textId="3A4C718E" w:rsidR="00A3798F" w:rsidRDefault="00A3798F" w:rsidP="007E4A13">
      <w:pPr>
        <w:spacing w:after="0" w:line="240" w:lineRule="auto"/>
        <w:jc w:val="both"/>
        <w:rPr>
          <w:rFonts w:ascii="Verdana" w:eastAsia="Calibri" w:hAnsi="Verdana" w:cs="Arial"/>
          <w:b/>
          <w:bCs/>
          <w:lang w:val="es-ES" w:eastAsia="es-ES"/>
        </w:rPr>
      </w:pPr>
      <w:r w:rsidRPr="00A3798F">
        <w:rPr>
          <w:rFonts w:ascii="Verdana" w:eastAsia="Calibri" w:hAnsi="Verdana" w:cs="Arial"/>
          <w:b/>
          <w:bCs/>
          <w:lang w:val="es-ES" w:eastAsia="es-ES"/>
        </w:rPr>
        <w:t>SUBSANABILIDAD – Aplicación – R</w:t>
      </w:r>
      <w:r w:rsidRPr="00A3798F">
        <w:rPr>
          <w:rFonts w:ascii="Verdana" w:eastAsia="Calibri" w:hAnsi="Verdana"/>
          <w:b/>
          <w:bCs/>
          <w:lang w:val="es-ES" w:eastAsia="es-ES"/>
        </w:rPr>
        <w:t>egla general</w:t>
      </w:r>
      <w:r w:rsidRPr="00A3798F">
        <w:rPr>
          <w:rFonts w:ascii="Verdana" w:eastAsia="Calibri" w:hAnsi="Verdana" w:cs="Arial"/>
          <w:b/>
          <w:bCs/>
          <w:lang w:val="es-ES" w:eastAsia="es-ES"/>
        </w:rPr>
        <w:t xml:space="preserve"> – Excepciones</w:t>
      </w:r>
    </w:p>
    <w:p w14:paraId="0B3FA442" w14:textId="77777777" w:rsidR="00A3798F" w:rsidRDefault="00A3798F" w:rsidP="007E4A13">
      <w:pPr>
        <w:spacing w:after="0" w:line="240" w:lineRule="auto"/>
        <w:jc w:val="both"/>
        <w:rPr>
          <w:rFonts w:ascii="Verdana" w:eastAsia="Calibri" w:hAnsi="Verdana" w:cs="Arial"/>
          <w:b/>
          <w:bCs/>
          <w:lang w:val="es-ES" w:eastAsia="es-ES"/>
        </w:rPr>
      </w:pPr>
    </w:p>
    <w:p w14:paraId="789260C7" w14:textId="2FB8786C" w:rsidR="00A3798F" w:rsidRDefault="00A3798F" w:rsidP="007E4A13">
      <w:pPr>
        <w:spacing w:after="0" w:line="240" w:lineRule="auto"/>
        <w:jc w:val="both"/>
        <w:rPr>
          <w:rFonts w:ascii="Verdana" w:hAnsi="Verdana" w:cs="Arial"/>
          <w:noProof/>
          <w:sz w:val="20"/>
          <w:szCs w:val="20"/>
          <w:lang w:val="es-ES_tradnl"/>
        </w:rPr>
      </w:pPr>
      <w:r w:rsidRPr="00A3798F">
        <w:rPr>
          <w:rFonts w:ascii="Verdana" w:eastAsia="Calibri" w:hAnsi="Verdana" w:cs="Arial"/>
          <w:sz w:val="20"/>
          <w:szCs w:val="20"/>
        </w:rPr>
        <w:t>La regla de subsanabilidad prevista en el artículo 5 de la Ley 1150 de 2007 es un mecanismo para los procesos de contratación estatal que se regulan por el EGCAP, según la cual los proponentes pueden enmendar, corregir o modificar los errores en los que se incurre en los documentos contentivos de la oferta</w:t>
      </w:r>
      <w:r w:rsidRPr="00A3798F">
        <w:rPr>
          <w:rFonts w:ascii="Verdana" w:hAnsi="Verdana" w:cs="Arial"/>
          <w:noProof/>
          <w:sz w:val="20"/>
          <w:szCs w:val="20"/>
          <w:lang w:val="es-ES_tradnl"/>
        </w:rPr>
        <w:t xml:space="preserve"> que no sean necesarios para la comparación de las ofertas, y todo lo que no sea necesario para la comparación de propuestas no es título suficiente para su rechazo.</w:t>
      </w:r>
    </w:p>
    <w:p w14:paraId="0F064932" w14:textId="77777777" w:rsidR="00A3798F" w:rsidRDefault="00A3798F" w:rsidP="007E4A13">
      <w:pPr>
        <w:spacing w:after="0" w:line="240" w:lineRule="auto"/>
        <w:jc w:val="both"/>
        <w:rPr>
          <w:rFonts w:ascii="Verdana" w:hAnsi="Verdana" w:cs="Arial"/>
          <w:noProof/>
          <w:sz w:val="20"/>
          <w:szCs w:val="20"/>
          <w:lang w:val="es-ES_tradnl"/>
        </w:rPr>
      </w:pPr>
    </w:p>
    <w:p w14:paraId="5A58A36F" w14:textId="33955FB5" w:rsidR="00A3798F" w:rsidRDefault="00A3798F" w:rsidP="007E4A13">
      <w:pPr>
        <w:spacing w:after="0" w:line="240" w:lineRule="auto"/>
        <w:jc w:val="both"/>
        <w:rPr>
          <w:rFonts w:ascii="Verdana" w:hAnsi="Verdana" w:cs="Arial"/>
          <w:noProof/>
          <w:sz w:val="20"/>
          <w:szCs w:val="20"/>
          <w:lang w:val="es-ES_tradnl"/>
        </w:rPr>
      </w:pPr>
      <w:r>
        <w:rPr>
          <w:rFonts w:ascii="Verdana" w:hAnsi="Verdana" w:cs="Arial"/>
          <w:noProof/>
          <w:sz w:val="20"/>
          <w:szCs w:val="20"/>
          <w:lang w:val="es-ES_tradnl"/>
        </w:rPr>
        <w:t xml:space="preserve">[…] </w:t>
      </w:r>
    </w:p>
    <w:p w14:paraId="0CE4C91B" w14:textId="77777777" w:rsidR="00A3798F" w:rsidRDefault="00A3798F" w:rsidP="007E4A13">
      <w:pPr>
        <w:spacing w:after="0" w:line="240" w:lineRule="auto"/>
        <w:jc w:val="both"/>
        <w:rPr>
          <w:rFonts w:ascii="Verdana" w:hAnsi="Verdana" w:cs="Arial"/>
          <w:noProof/>
          <w:sz w:val="20"/>
          <w:szCs w:val="20"/>
          <w:lang w:val="es-ES_tradnl"/>
        </w:rPr>
      </w:pPr>
    </w:p>
    <w:p w14:paraId="6BEFB1CB" w14:textId="4E6067B6" w:rsidR="00A3798F" w:rsidRDefault="00A3798F" w:rsidP="007E4A13">
      <w:pPr>
        <w:spacing w:after="0" w:line="240" w:lineRule="auto"/>
        <w:jc w:val="both"/>
        <w:rPr>
          <w:rFonts w:ascii="Verdana" w:eastAsia="Calibri" w:hAnsi="Verdana" w:cs="Arial"/>
          <w:b/>
          <w:bCs/>
          <w:lang w:val="es-ES" w:eastAsia="es-ES"/>
        </w:rPr>
      </w:pPr>
      <w:r w:rsidRPr="00A3798F">
        <w:rPr>
          <w:rFonts w:ascii="Verdana" w:eastAsia="Calibri" w:hAnsi="Verdana" w:cs="Arial"/>
          <w:b/>
          <w:bCs/>
          <w:lang w:val="es-ES" w:eastAsia="es-ES"/>
        </w:rPr>
        <w:t>SUBSANABILIDAD – Circunstancias posteriores – Cierre del proceso - Ley 1882 de 2018</w:t>
      </w:r>
    </w:p>
    <w:p w14:paraId="5A0000F3" w14:textId="77777777" w:rsidR="00A3798F" w:rsidRDefault="00A3798F" w:rsidP="007E4A13">
      <w:pPr>
        <w:spacing w:after="0" w:line="240" w:lineRule="auto"/>
        <w:jc w:val="both"/>
        <w:rPr>
          <w:rFonts w:ascii="Verdana" w:eastAsia="Calibri" w:hAnsi="Verdana" w:cs="Arial"/>
          <w:b/>
          <w:bCs/>
          <w:lang w:val="es-ES" w:eastAsia="es-ES"/>
        </w:rPr>
      </w:pPr>
    </w:p>
    <w:p w14:paraId="44B7A3EB" w14:textId="77777777" w:rsidR="00A3798F" w:rsidRPr="00A3798F" w:rsidRDefault="00A3798F" w:rsidP="00A3798F">
      <w:pPr>
        <w:spacing w:after="120" w:line="240" w:lineRule="auto"/>
        <w:jc w:val="both"/>
        <w:rPr>
          <w:rFonts w:ascii="Verdana" w:eastAsia="Times New Roman" w:hAnsi="Verdana" w:cs="Arial"/>
          <w:sz w:val="20"/>
          <w:szCs w:val="20"/>
          <w:lang w:val="es-ES_tradnl" w:eastAsia="es-ES_tradnl"/>
        </w:rPr>
      </w:pPr>
      <w:r w:rsidRPr="00A3798F">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4184ECE" w14:textId="4C4B3A8B" w:rsidR="00A3798F" w:rsidRPr="00A3798F" w:rsidRDefault="00A3798F" w:rsidP="00A3798F">
      <w:pPr>
        <w:spacing w:after="120" w:line="240" w:lineRule="auto"/>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Pr="00A3798F">
        <w:rPr>
          <w:rFonts w:ascii="Verdana" w:eastAsia="Times New Roman" w:hAnsi="Verdana" w:cs="Arial"/>
          <w:sz w:val="20"/>
          <w:szCs w:val="20"/>
          <w:lang w:val="es-ES" w:eastAsia="es-ES"/>
        </w:rPr>
        <w:t xml:space="preserv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439405E9" w14:textId="77777777" w:rsidR="00A3798F" w:rsidRPr="00A3798F" w:rsidRDefault="00A3798F" w:rsidP="00A3798F">
      <w:pPr>
        <w:spacing w:after="120" w:line="240" w:lineRule="auto"/>
        <w:jc w:val="both"/>
        <w:rPr>
          <w:rFonts w:ascii="Verdana" w:hAnsi="Verdana" w:cs="Arial"/>
          <w:noProof/>
          <w:sz w:val="20"/>
          <w:szCs w:val="20"/>
          <w:lang w:val="es-ES_tradnl"/>
        </w:rPr>
      </w:pPr>
      <w:r w:rsidRPr="00A3798F">
        <w:rPr>
          <w:rFonts w:ascii="Verdana" w:hAnsi="Verdana" w:cs="Arial"/>
          <w:noProof/>
          <w:sz w:val="20"/>
          <w:szCs w:val="20"/>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77C1110A" w14:textId="77777777" w:rsidR="00A3798F" w:rsidRPr="00A3798F" w:rsidRDefault="00A3798F" w:rsidP="007E4A13">
      <w:pPr>
        <w:spacing w:after="0" w:line="240" w:lineRule="auto"/>
        <w:jc w:val="both"/>
        <w:rPr>
          <w:rFonts w:ascii="Verdana" w:hAnsi="Verdana" w:cs="Arial"/>
          <w:b/>
          <w:bCs/>
          <w:noProof/>
          <w:sz w:val="20"/>
          <w:szCs w:val="20"/>
          <w:lang w:val="es-ES_tradnl"/>
        </w:rPr>
      </w:pPr>
    </w:p>
    <w:p w14:paraId="71B9C618" w14:textId="77777777" w:rsidR="00A3798F" w:rsidRPr="00A3798F" w:rsidRDefault="00A3798F" w:rsidP="007E4A13">
      <w:pPr>
        <w:spacing w:after="0" w:line="240" w:lineRule="auto"/>
        <w:jc w:val="both"/>
        <w:rPr>
          <w:rFonts w:ascii="Verdana" w:eastAsia="Geomanist Light" w:hAnsi="Verdana" w:cs="Arial"/>
          <w:b/>
          <w:bCs/>
          <w:color w:val="000000" w:themeColor="text1"/>
          <w:lang w:val="es-MX"/>
        </w:rPr>
      </w:pPr>
    </w:p>
    <w:p w14:paraId="2F203CFD" w14:textId="77777777" w:rsidR="00A3798F" w:rsidRDefault="00A3798F" w:rsidP="007E4A13">
      <w:pPr>
        <w:spacing w:after="0" w:line="240" w:lineRule="auto"/>
        <w:jc w:val="both"/>
        <w:rPr>
          <w:rFonts w:ascii="Verdana" w:eastAsia="Geomanist Light" w:hAnsi="Verdana" w:cs="Arial"/>
          <w:color w:val="000000" w:themeColor="text1"/>
          <w:lang w:val="es-MX"/>
        </w:rPr>
      </w:pPr>
    </w:p>
    <w:p w14:paraId="16D402AA" w14:textId="77777777" w:rsidR="00A3798F" w:rsidRDefault="00A3798F" w:rsidP="007E4A13">
      <w:pPr>
        <w:spacing w:after="0" w:line="240" w:lineRule="auto"/>
        <w:jc w:val="both"/>
        <w:rPr>
          <w:rFonts w:ascii="Verdana" w:eastAsia="Geomanist Light" w:hAnsi="Verdana" w:cs="Arial"/>
          <w:color w:val="000000" w:themeColor="text1"/>
          <w:lang w:val="es-MX"/>
        </w:rPr>
      </w:pPr>
    </w:p>
    <w:p w14:paraId="15B0ED86" w14:textId="77777777" w:rsidR="00A3798F" w:rsidRDefault="00A3798F" w:rsidP="007E4A13">
      <w:pPr>
        <w:spacing w:after="0" w:line="240" w:lineRule="auto"/>
        <w:jc w:val="both"/>
        <w:rPr>
          <w:rFonts w:ascii="Verdana" w:eastAsia="Geomanist Light" w:hAnsi="Verdana" w:cs="Arial"/>
          <w:color w:val="000000" w:themeColor="text1"/>
          <w:lang w:val="es-MX"/>
        </w:rPr>
      </w:pPr>
    </w:p>
    <w:p w14:paraId="64CD030C" w14:textId="7B83D184" w:rsidR="007E4A13" w:rsidRDefault="007E4A13" w:rsidP="007E4A13">
      <w:pPr>
        <w:spacing w:after="0" w:line="240" w:lineRule="auto"/>
        <w:jc w:val="both"/>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E756F1">
        <w:rPr>
          <w:rFonts w:ascii="Verdana" w:eastAsia="Geomanist Light" w:hAnsi="Verdana" w:cs="Arial"/>
          <w:color w:val="201F1E"/>
          <w:lang w:val="es-MX"/>
        </w:rPr>
        <w:t>01</w:t>
      </w:r>
      <w:r w:rsidRPr="00CF64C0">
        <w:rPr>
          <w:rFonts w:ascii="Verdana" w:eastAsia="Geomanist Light" w:hAnsi="Verdana" w:cs="Arial"/>
          <w:color w:val="201F1E"/>
          <w:lang w:val="es-MX"/>
        </w:rPr>
        <w:t xml:space="preserve"> de </w:t>
      </w:r>
      <w:r w:rsidR="00F1345B">
        <w:rPr>
          <w:rFonts w:ascii="Verdana" w:eastAsia="Geomanist Light" w:hAnsi="Verdana" w:cs="Arial"/>
          <w:color w:val="201F1E"/>
          <w:lang w:val="es-MX"/>
        </w:rPr>
        <w:t>mayo</w:t>
      </w:r>
      <w:r w:rsidRPr="00CF64C0">
        <w:rPr>
          <w:rFonts w:ascii="Verdana" w:eastAsia="Geomanist Light" w:hAnsi="Verdana" w:cs="Arial"/>
          <w:color w:val="201F1E"/>
          <w:lang w:val="es-MX"/>
        </w:rPr>
        <w:t xml:space="preserve"> de </w:t>
      </w:r>
      <w:r w:rsidR="00175909">
        <w:rPr>
          <w:rFonts w:ascii="Verdana" w:eastAsia="Geomanist Light" w:hAnsi="Verdana" w:cs="Arial"/>
          <w:color w:val="201F1E"/>
          <w:lang w:val="es-MX"/>
        </w:rPr>
        <w:t>2026</w:t>
      </w:r>
    </w:p>
    <w:p w14:paraId="27FADE05" w14:textId="5BE7270A" w:rsidR="007E4A13" w:rsidRPr="007C02F9" w:rsidRDefault="007E4A13" w:rsidP="007E4A13">
      <w:pPr>
        <w:spacing w:after="0" w:line="240" w:lineRule="auto"/>
        <w:jc w:val="both"/>
        <w:rPr>
          <w:rFonts w:ascii="Verdana" w:eastAsia="Calibri" w:hAnsi="Verdana" w:cs="Arial"/>
          <w:color w:val="000000"/>
          <w:lang w:val="es-ES"/>
        </w:rPr>
      </w:pPr>
    </w:p>
    <w:p w14:paraId="6FC10B73" w14:textId="74872D56" w:rsidR="00175909" w:rsidRDefault="00175909" w:rsidP="00175909">
      <w:pPr>
        <w:spacing w:after="0" w:line="240" w:lineRule="auto"/>
        <w:ind w:left="4956"/>
        <w:jc w:val="both"/>
        <w:rPr>
          <w:rFonts w:ascii="Verdana" w:eastAsia="Calibri" w:hAnsi="Verdana" w:cs="Arial"/>
          <w:lang w:val="es-ES" w:eastAsia="es-ES"/>
        </w:rPr>
      </w:pPr>
    </w:p>
    <w:p w14:paraId="5E243D8E" w14:textId="4DD195C8" w:rsidR="007E4A13" w:rsidRPr="007C02F9" w:rsidRDefault="00F1345B" w:rsidP="007E4A13">
      <w:pPr>
        <w:spacing w:after="0" w:line="240" w:lineRule="auto"/>
        <w:jc w:val="both"/>
        <w:rPr>
          <w:rFonts w:ascii="Verdana" w:eastAsia="Calibri" w:hAnsi="Verdana" w:cs="Arial"/>
          <w:lang w:val="es-ES" w:eastAsia="es-ES"/>
        </w:rPr>
      </w:pPr>
      <w:r w:rsidRPr="00175909">
        <w:rPr>
          <w:rFonts w:ascii="Verdana" w:eastAsia="Calibri" w:hAnsi="Verdana" w:cs="Arial"/>
          <w:noProof/>
          <w:lang w:val="es-ES" w:eastAsia="es-ES"/>
        </w:rPr>
        <w:drawing>
          <wp:anchor distT="0" distB="0" distL="114300" distR="114300" simplePos="0" relativeHeight="251658240" behindDoc="0" locked="0" layoutInCell="1" allowOverlap="1" wp14:anchorId="09FD82FE" wp14:editId="7C6BE9C0">
            <wp:simplePos x="0" y="0"/>
            <wp:positionH relativeFrom="margin">
              <wp:align>right</wp:align>
            </wp:positionH>
            <wp:positionV relativeFrom="paragraph">
              <wp:posOffset>8559</wp:posOffset>
            </wp:positionV>
            <wp:extent cx="2494915" cy="890270"/>
            <wp:effectExtent l="0" t="0" r="635" b="5080"/>
            <wp:wrapSquare wrapText="bothSides"/>
            <wp:docPr id="1906676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7678" name=""/>
                    <pic:cNvPicPr/>
                  </pic:nvPicPr>
                  <pic:blipFill>
                    <a:blip r:embed="rId11">
                      <a:extLst>
                        <a:ext uri="{28A0092B-C50C-407E-A947-70E740481C1C}">
                          <a14:useLocalDpi xmlns:a14="http://schemas.microsoft.com/office/drawing/2010/main" val="0"/>
                        </a:ext>
                      </a:extLst>
                    </a:blip>
                    <a:stretch>
                      <a:fillRect/>
                    </a:stretch>
                  </pic:blipFill>
                  <pic:spPr>
                    <a:xfrm>
                      <a:off x="0" y="0"/>
                      <a:ext cx="2494915" cy="890270"/>
                    </a:xfrm>
                    <a:prstGeom prst="rect">
                      <a:avLst/>
                    </a:prstGeom>
                  </pic:spPr>
                </pic:pic>
              </a:graphicData>
            </a:graphic>
            <wp14:sizeRelV relativeFrom="margin">
              <wp14:pctHeight>0</wp14:pctHeight>
            </wp14:sizeRelV>
          </wp:anchor>
        </w:drawing>
      </w:r>
      <w:r w:rsidR="007E4A13" w:rsidRPr="007C02F9">
        <w:rPr>
          <w:rFonts w:ascii="Verdana" w:eastAsia="Calibri" w:hAnsi="Verdana" w:cs="Arial"/>
          <w:lang w:val="es-ES" w:eastAsia="es-ES"/>
        </w:rPr>
        <w:t>Señor</w:t>
      </w:r>
    </w:p>
    <w:p w14:paraId="2F5A6553" w14:textId="738AC01D" w:rsidR="007E4A13" w:rsidRPr="006321F5" w:rsidRDefault="007E4A13" w:rsidP="007E4A13">
      <w:pPr>
        <w:spacing w:after="0" w:line="240" w:lineRule="auto"/>
        <w:rPr>
          <w:rFonts w:ascii="Verdana" w:eastAsia="Calibri" w:hAnsi="Verdana" w:cs="Arial"/>
          <w:b/>
          <w:lang w:eastAsia="es-ES_tradnl"/>
        </w:rPr>
      </w:pPr>
      <w:r w:rsidRPr="006321F5">
        <w:rPr>
          <w:rFonts w:ascii="Verdana" w:eastAsia="Calibri" w:hAnsi="Verdana" w:cs="Arial"/>
          <w:b/>
          <w:lang w:eastAsia="es-ES_tradnl"/>
        </w:rPr>
        <w:t>Javier A</w:t>
      </w:r>
      <w:r>
        <w:rPr>
          <w:rFonts w:ascii="Verdana" w:eastAsia="Calibri" w:hAnsi="Verdana" w:cs="Arial"/>
          <w:b/>
          <w:lang w:eastAsia="es-ES_tradnl"/>
        </w:rPr>
        <w:t xml:space="preserve">rmando </w:t>
      </w:r>
      <w:r w:rsidR="00BB45A6">
        <w:rPr>
          <w:rFonts w:ascii="Verdana" w:eastAsia="Calibri" w:hAnsi="Verdana" w:cs="Arial"/>
          <w:b/>
          <w:lang w:eastAsia="es-ES_tradnl"/>
        </w:rPr>
        <w:t>Rodríguez</w:t>
      </w:r>
      <w:r>
        <w:rPr>
          <w:rFonts w:ascii="Verdana" w:eastAsia="Calibri" w:hAnsi="Verdana" w:cs="Arial"/>
          <w:b/>
          <w:lang w:eastAsia="es-ES_tradnl"/>
        </w:rPr>
        <w:t xml:space="preserve"> Coral</w:t>
      </w:r>
    </w:p>
    <w:p w14:paraId="39EDFAD8" w14:textId="77777777" w:rsidR="007E4A13" w:rsidRPr="006321F5" w:rsidRDefault="007E4A13" w:rsidP="007E4A13">
      <w:pPr>
        <w:spacing w:after="0" w:line="240" w:lineRule="auto"/>
        <w:rPr>
          <w:rFonts w:ascii="Verdana" w:eastAsia="Calibri" w:hAnsi="Verdana" w:cs="Arial"/>
          <w:color w:val="4472C4" w:themeColor="accent1"/>
          <w:u w:val="single"/>
          <w:lang w:eastAsia="es-ES"/>
        </w:rPr>
      </w:pPr>
      <w:hyperlink r:id="rId12" w:history="1">
        <w:r w:rsidRPr="00B10B44">
          <w:rPr>
            <w:rStyle w:val="Hipervnculo"/>
            <w:rFonts w:ascii="Verdana" w:eastAsia="Calibri" w:hAnsi="Verdana" w:cs="Arial"/>
            <w:lang w:eastAsia="es-ES"/>
          </w:rPr>
          <w:t>jarocic@gmail.com</w:t>
        </w:r>
      </w:hyperlink>
      <w:r>
        <w:rPr>
          <w:rFonts w:ascii="Verdana" w:eastAsia="Calibri" w:hAnsi="Verdana" w:cs="Arial"/>
          <w:lang w:eastAsia="es-ES"/>
        </w:rPr>
        <w:t xml:space="preserve">; </w:t>
      </w:r>
    </w:p>
    <w:p w14:paraId="79BCF433" w14:textId="77777777" w:rsidR="007E4A13" w:rsidRPr="006321F5" w:rsidRDefault="007E4A13" w:rsidP="007E4A13">
      <w:pPr>
        <w:spacing w:after="0" w:line="240" w:lineRule="auto"/>
        <w:rPr>
          <w:rFonts w:ascii="Verdana" w:eastAsia="Calibri" w:hAnsi="Verdana" w:cs="Arial"/>
          <w:b/>
          <w:bCs/>
          <w:lang w:val="it-IT" w:eastAsia="es-ES"/>
        </w:rPr>
      </w:pPr>
      <w:r>
        <w:rPr>
          <w:rFonts w:ascii="Verdana" w:eastAsia="Calibri" w:hAnsi="Verdana" w:cs="Arial"/>
          <w:lang w:val="it-IT" w:eastAsia="es-ES"/>
        </w:rPr>
        <w:t>Ciudad</w:t>
      </w:r>
    </w:p>
    <w:p w14:paraId="60F15085" w14:textId="77777777" w:rsidR="007E4A13" w:rsidRPr="006321F5" w:rsidRDefault="007E4A13" w:rsidP="007E4A13">
      <w:pPr>
        <w:spacing w:after="0" w:line="240" w:lineRule="auto"/>
        <w:rPr>
          <w:rFonts w:ascii="Verdana" w:eastAsia="Calibri" w:hAnsi="Verdana" w:cs="Arial"/>
          <w:b/>
          <w:bCs/>
          <w:color w:val="000000"/>
          <w:lang w:val="it-IT" w:eastAsia="es-ES_tradnl"/>
        </w:rPr>
      </w:pPr>
    </w:p>
    <w:p w14:paraId="24AAF23C" w14:textId="77777777" w:rsidR="007E4A13" w:rsidRPr="006321F5" w:rsidRDefault="007E4A13" w:rsidP="007E4A13">
      <w:pPr>
        <w:spacing w:after="0" w:line="240" w:lineRule="auto"/>
        <w:rPr>
          <w:rFonts w:ascii="Verdana" w:eastAsia="Calibri" w:hAnsi="Verdana" w:cs="Arial"/>
          <w:b/>
          <w:bCs/>
          <w:color w:val="000000"/>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E4A13" w:rsidRPr="00593A5F" w14:paraId="0B17BAF3" w14:textId="77777777" w:rsidTr="00B427E1">
        <w:trPr>
          <w:trHeight w:val="884"/>
        </w:trPr>
        <w:tc>
          <w:tcPr>
            <w:tcW w:w="2689" w:type="dxa"/>
          </w:tcPr>
          <w:p w14:paraId="4D1B9B32" w14:textId="77777777" w:rsidR="007E4A13" w:rsidRPr="006321F5" w:rsidRDefault="007E4A13" w:rsidP="00B427E1">
            <w:pPr>
              <w:jc w:val="both"/>
              <w:rPr>
                <w:rFonts w:ascii="Verdana" w:eastAsia="Calibri" w:hAnsi="Verdana" w:cs="Arial"/>
                <w:b/>
                <w:bCs/>
                <w:color w:val="7030A0"/>
                <w:lang w:val="it-IT" w:eastAsia="es-ES_tradnl"/>
              </w:rPr>
            </w:pPr>
          </w:p>
        </w:tc>
        <w:tc>
          <w:tcPr>
            <w:tcW w:w="6100" w:type="dxa"/>
          </w:tcPr>
          <w:p w14:paraId="371DBE3B" w14:textId="77777777" w:rsidR="007E4A13" w:rsidRPr="0090418D" w:rsidRDefault="007E4A13" w:rsidP="00B427E1">
            <w:pPr>
              <w:jc w:val="both"/>
              <w:rPr>
                <w:rFonts w:ascii="Verdana" w:eastAsia="Calibri" w:hAnsi="Verdana" w:cs="Arial"/>
                <w:b/>
                <w:bCs/>
                <w:lang w:val="es-ES" w:eastAsia="es-ES"/>
              </w:rPr>
            </w:pPr>
            <w:r w:rsidRPr="0090418D">
              <w:rPr>
                <w:rFonts w:ascii="Verdana" w:eastAsia="Calibri" w:hAnsi="Verdana" w:cs="Arial"/>
                <w:b/>
                <w:bCs/>
                <w:lang w:val="es-ES" w:eastAsia="es-ES"/>
              </w:rPr>
              <w:t>Concepto C-</w:t>
            </w:r>
            <w:r>
              <w:rPr>
                <w:rFonts w:ascii="Verdana" w:eastAsia="Calibri" w:hAnsi="Verdana" w:cs="Arial"/>
                <w:b/>
                <w:bCs/>
                <w:lang w:val="es-ES" w:eastAsia="es-ES"/>
              </w:rPr>
              <w:t>449</w:t>
            </w:r>
            <w:r w:rsidRPr="0090418D">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7E4A13" w:rsidRPr="00593A5F" w14:paraId="400ED73A" w14:textId="77777777" w:rsidTr="00B427E1">
        <w:trPr>
          <w:trHeight w:val="884"/>
        </w:trPr>
        <w:tc>
          <w:tcPr>
            <w:tcW w:w="2689" w:type="dxa"/>
          </w:tcPr>
          <w:p w14:paraId="286BA3C4" w14:textId="77777777" w:rsidR="007E4A13" w:rsidRPr="00593A5F" w:rsidRDefault="007E4A13" w:rsidP="00B427E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476657A" w14:textId="77777777" w:rsidR="007E4A13" w:rsidRPr="008F511A" w:rsidRDefault="007E4A13" w:rsidP="00B427E1">
            <w:pPr>
              <w:jc w:val="both"/>
              <w:rPr>
                <w:rFonts w:ascii="Verdana" w:eastAsia="Calibri" w:hAnsi="Verdana" w:cs="Arial"/>
                <w:lang w:val="es-ES" w:eastAsia="es-ES"/>
              </w:rPr>
            </w:pPr>
            <w:r w:rsidRPr="008F511A">
              <w:rPr>
                <w:rFonts w:ascii="Verdana" w:eastAsia="Calibri" w:hAnsi="Verdana" w:cs="Arial"/>
                <w:lang w:val="es-ES" w:eastAsia="es-ES"/>
              </w:rPr>
              <w:t>SUBSANABILIDAD – Aplicación – R</w:t>
            </w:r>
            <w:r w:rsidRPr="008F511A">
              <w:rPr>
                <w:rFonts w:ascii="Verdana" w:eastAsia="Calibri" w:hAnsi="Verdana"/>
                <w:lang w:val="es-ES" w:eastAsia="es-ES"/>
              </w:rPr>
              <w:t>egla general</w:t>
            </w:r>
            <w:r w:rsidRPr="008F511A">
              <w:rPr>
                <w:rFonts w:ascii="Verdana" w:eastAsia="Calibri" w:hAnsi="Verdana" w:cs="Arial"/>
                <w:lang w:val="es-ES" w:eastAsia="es-ES"/>
              </w:rPr>
              <w:t xml:space="preserve"> – Excepciones / SUBSANABILIDAD – Circunstancias posteriores – Cierre del proceso</w:t>
            </w:r>
            <w:r>
              <w:rPr>
                <w:rFonts w:ascii="Verdana" w:eastAsia="Calibri" w:hAnsi="Verdana" w:cs="Arial"/>
                <w:lang w:val="es-ES" w:eastAsia="es-ES"/>
              </w:rPr>
              <w:t xml:space="preserve"> </w:t>
            </w:r>
            <w:r w:rsidRPr="008F511A">
              <w:rPr>
                <w:rFonts w:ascii="Verdana" w:eastAsia="Calibri" w:hAnsi="Verdana" w:cs="Arial"/>
                <w:lang w:val="es-ES" w:eastAsia="es-ES"/>
              </w:rPr>
              <w:t>- Ley 1882 de 2018</w:t>
            </w:r>
          </w:p>
          <w:p w14:paraId="0D1FD9E8" w14:textId="77777777" w:rsidR="007E4A13" w:rsidRPr="00B96799" w:rsidRDefault="007E4A13" w:rsidP="00B427E1">
            <w:pPr>
              <w:spacing w:line="276" w:lineRule="auto"/>
              <w:jc w:val="both"/>
              <w:rPr>
                <w:rFonts w:ascii="Verdana" w:eastAsia="Calibri" w:hAnsi="Verdana" w:cs="Arial"/>
                <w:color w:val="7030A0"/>
                <w:lang w:val="es-ES" w:eastAsia="es-ES"/>
              </w:rPr>
            </w:pPr>
          </w:p>
          <w:p w14:paraId="19F751EE" w14:textId="77777777" w:rsidR="007E4A13" w:rsidRPr="00593A5F" w:rsidRDefault="007E4A13" w:rsidP="00B427E1">
            <w:pPr>
              <w:spacing w:line="276" w:lineRule="auto"/>
              <w:jc w:val="both"/>
              <w:rPr>
                <w:rFonts w:ascii="Verdana" w:eastAsia="Calibri" w:hAnsi="Verdana" w:cs="Arial"/>
                <w:lang w:val="es-ES" w:eastAsia="es-ES"/>
              </w:rPr>
            </w:pPr>
          </w:p>
        </w:tc>
      </w:tr>
      <w:tr w:rsidR="007E4A13" w:rsidRPr="0090418D" w14:paraId="45B6138B" w14:textId="77777777" w:rsidTr="00B427E1">
        <w:tc>
          <w:tcPr>
            <w:tcW w:w="2689" w:type="dxa"/>
          </w:tcPr>
          <w:p w14:paraId="146395A7" w14:textId="77777777" w:rsidR="007E4A13" w:rsidRPr="0090418D" w:rsidRDefault="007E4A13" w:rsidP="00B427E1">
            <w:pPr>
              <w:jc w:val="both"/>
              <w:rPr>
                <w:rFonts w:ascii="Verdana" w:eastAsia="Calibri" w:hAnsi="Verdana" w:cs="Arial"/>
                <w:b/>
                <w:lang w:val="es-ES_tradnl" w:eastAsia="es-ES_tradnl"/>
              </w:rPr>
            </w:pPr>
            <w:r w:rsidRPr="0090418D">
              <w:rPr>
                <w:rFonts w:ascii="Verdana" w:eastAsia="Calibri" w:hAnsi="Verdana" w:cs="Arial"/>
                <w:b/>
                <w:lang w:val="es-ES_tradnl" w:eastAsia="es-ES_tradnl"/>
              </w:rPr>
              <w:t>Radicación:</w:t>
            </w:r>
            <w:r w:rsidRPr="0090418D">
              <w:rPr>
                <w:rFonts w:ascii="Verdana" w:eastAsia="Calibri" w:hAnsi="Verdana" w:cs="Arial"/>
                <w:lang w:val="es-ES_tradnl" w:eastAsia="es-ES_tradnl"/>
              </w:rPr>
              <w:t xml:space="preserve">               </w:t>
            </w:r>
          </w:p>
        </w:tc>
        <w:tc>
          <w:tcPr>
            <w:tcW w:w="6100" w:type="dxa"/>
          </w:tcPr>
          <w:p w14:paraId="4B70E961" w14:textId="77777777" w:rsidR="007E4A13" w:rsidRPr="0090418D" w:rsidRDefault="007E4A13" w:rsidP="00B427E1">
            <w:pPr>
              <w:jc w:val="both"/>
              <w:rPr>
                <w:rFonts w:ascii="Verdana" w:eastAsia="Calibri" w:hAnsi="Verdana" w:cs="Arial"/>
                <w:lang w:val="es-ES_tradnl" w:eastAsia="es-ES_tradnl"/>
              </w:rPr>
            </w:pPr>
            <w:r w:rsidRPr="0090418D">
              <w:rPr>
                <w:rFonts w:ascii="Verdana" w:eastAsia="Calibri" w:hAnsi="Verdana" w:cs="Arial"/>
                <w:lang w:val="es-ES_tradnl" w:eastAsia="es-ES_tradnl"/>
              </w:rPr>
              <w:t xml:space="preserve">Respuesta a consulta con radicado No. </w:t>
            </w:r>
            <w:r w:rsidRPr="006321F5">
              <w:rPr>
                <w:rFonts w:ascii="Verdana" w:eastAsia="Calibri" w:hAnsi="Verdana" w:cs="Arial"/>
                <w:lang w:val="es-ES_tradnl" w:eastAsia="es-ES_tradnl"/>
              </w:rPr>
              <w:t>1_2026_03_18_003792</w:t>
            </w:r>
          </w:p>
        </w:tc>
      </w:tr>
    </w:tbl>
    <w:p w14:paraId="75188526" w14:textId="77777777" w:rsidR="007E4A13" w:rsidRPr="0090418D" w:rsidRDefault="007E4A13" w:rsidP="007E4A13">
      <w:pPr>
        <w:spacing w:after="0" w:line="240" w:lineRule="auto"/>
        <w:jc w:val="both"/>
        <w:rPr>
          <w:rFonts w:ascii="Verdana" w:eastAsia="Calibri" w:hAnsi="Verdana" w:cs="Arial"/>
          <w:lang w:val="es-ES_tradnl" w:eastAsia="es-ES_tradnl"/>
        </w:rPr>
      </w:pPr>
    </w:p>
    <w:p w14:paraId="48B8F1D9" w14:textId="77777777" w:rsidR="007E4A13" w:rsidRPr="0090418D" w:rsidRDefault="007E4A13" w:rsidP="007E4A13">
      <w:pPr>
        <w:spacing w:after="0" w:line="240" w:lineRule="auto"/>
        <w:jc w:val="both"/>
        <w:rPr>
          <w:rFonts w:ascii="Verdana" w:eastAsia="Calibri" w:hAnsi="Verdana" w:cs="Arial"/>
          <w:lang w:val="es-ES_tradnl" w:eastAsia="es-ES_tradnl"/>
        </w:rPr>
      </w:pPr>
    </w:p>
    <w:p w14:paraId="7A22F329" w14:textId="77777777" w:rsidR="007E4A13" w:rsidRPr="0090418D" w:rsidRDefault="007E4A13" w:rsidP="007E4A13">
      <w:pPr>
        <w:spacing w:after="0" w:line="276" w:lineRule="auto"/>
        <w:jc w:val="both"/>
        <w:rPr>
          <w:rFonts w:ascii="Verdana" w:eastAsia="Calibri" w:hAnsi="Verdana" w:cs="Arial"/>
          <w:lang w:val="es-ES" w:eastAsia="es-ES"/>
        </w:rPr>
      </w:pPr>
      <w:r w:rsidRPr="0090418D">
        <w:rPr>
          <w:rFonts w:ascii="Verdana" w:eastAsia="Calibri" w:hAnsi="Verdana" w:cs="Arial"/>
          <w:lang w:val="es-ES" w:eastAsia="es-ES"/>
        </w:rPr>
        <w:t>Estimad</w:t>
      </w:r>
      <w:r>
        <w:rPr>
          <w:rFonts w:ascii="Verdana" w:eastAsia="Calibri" w:hAnsi="Verdana" w:cs="Arial"/>
          <w:lang w:val="es-ES" w:eastAsia="es-ES"/>
        </w:rPr>
        <w:t>o</w:t>
      </w:r>
      <w:r w:rsidRPr="0090418D">
        <w:rPr>
          <w:rFonts w:ascii="Verdana" w:eastAsia="Calibri" w:hAnsi="Verdana" w:cs="Arial"/>
          <w:lang w:val="es-ES" w:eastAsia="es-ES"/>
        </w:rPr>
        <w:t xml:space="preserve"> señor </w:t>
      </w:r>
      <w:r>
        <w:rPr>
          <w:rFonts w:ascii="Verdana" w:eastAsia="Calibri" w:hAnsi="Verdana" w:cs="Arial"/>
          <w:lang w:val="es-ES" w:eastAsia="es-ES"/>
        </w:rPr>
        <w:t>Rodríguez Coral</w:t>
      </w:r>
      <w:r w:rsidRPr="0090418D">
        <w:rPr>
          <w:rFonts w:ascii="Verdana" w:eastAsia="Calibri" w:hAnsi="Verdana" w:cs="Arial"/>
          <w:lang w:val="es-ES" w:eastAsia="es-ES"/>
        </w:rPr>
        <w:t xml:space="preserve">: </w:t>
      </w:r>
    </w:p>
    <w:p w14:paraId="29D76A3A" w14:textId="77777777" w:rsidR="007E4A13" w:rsidRDefault="007E4A13" w:rsidP="007E4A1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812F023" w14:textId="77777777" w:rsidR="007E4A13" w:rsidRPr="00D22CA8" w:rsidRDefault="007E4A13" w:rsidP="007E4A13">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la </w:t>
      </w:r>
      <w:r w:rsidRPr="000F2158">
        <w:rPr>
          <w:rFonts w:ascii="Verdana" w:eastAsia="Calibri" w:hAnsi="Verdana" w:cs="Arial"/>
          <w:lang w:eastAsia="es-ES"/>
        </w:rPr>
        <w:t xml:space="preserve">Resolución </w:t>
      </w:r>
      <w:r>
        <w:rPr>
          <w:rFonts w:ascii="Verdana" w:eastAsia="Calibri" w:hAnsi="Verdana" w:cs="Arial"/>
          <w:lang w:eastAsia="es-ES"/>
        </w:rPr>
        <w:t>469 de 2025</w:t>
      </w:r>
      <w:r w:rsidRPr="000F2158">
        <w:rPr>
          <w:rFonts w:ascii="Verdana" w:eastAsia="Calibri" w:hAnsi="Verdana" w:cs="Arial"/>
          <w:lang w:eastAsia="es-ES"/>
        </w:rPr>
        <w:t xml:space="preserve"> </w:t>
      </w:r>
      <w:r w:rsidRPr="00D22CA8">
        <w:rPr>
          <w:rFonts w:ascii="Verdana" w:hAnsi="Verdana" w:cs="Arial"/>
        </w:rPr>
        <w:t xml:space="preserve">expedida por esta Entidad, </w:t>
      </w:r>
      <w:r w:rsidRPr="00D22CA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18</w:t>
      </w:r>
      <w:r w:rsidRPr="00D22CA8">
        <w:rPr>
          <w:rFonts w:ascii="Verdana" w:eastAsia="Calibri" w:hAnsi="Verdana" w:cs="Arial"/>
          <w:lang w:val="es-ES" w:eastAsia="es-ES"/>
        </w:rPr>
        <w:t xml:space="preserve"> de </w:t>
      </w:r>
      <w:r>
        <w:rPr>
          <w:rFonts w:ascii="Verdana" w:eastAsia="Calibri" w:hAnsi="Verdana" w:cs="Arial"/>
          <w:lang w:val="es-ES" w:eastAsia="es-ES"/>
        </w:rPr>
        <w:t>marzo</w:t>
      </w:r>
      <w:r w:rsidRPr="00D22CA8">
        <w:rPr>
          <w:rFonts w:ascii="Verdana" w:eastAsia="Calibri" w:hAnsi="Verdana" w:cs="Arial"/>
          <w:lang w:val="es-ES" w:eastAsia="es-ES"/>
        </w:rPr>
        <w:t xml:space="preserve"> de 202</w:t>
      </w:r>
      <w:r>
        <w:rPr>
          <w:rFonts w:ascii="Verdana" w:eastAsia="Calibri" w:hAnsi="Verdana" w:cs="Arial"/>
          <w:lang w:val="es-ES" w:eastAsia="es-ES"/>
        </w:rPr>
        <w:t>6</w:t>
      </w:r>
      <w:r w:rsidRPr="00D22CA8">
        <w:rPr>
          <w:rFonts w:ascii="Verdana" w:eastAsia="Calibri" w:hAnsi="Verdana" w:cs="Arial"/>
          <w:lang w:val="es-ES" w:eastAsia="es-ES"/>
        </w:rPr>
        <w:t xml:space="preserve">, en la cual manifiesta lo siguiente: </w:t>
      </w:r>
    </w:p>
    <w:p w14:paraId="199349FB" w14:textId="77777777" w:rsidR="007E4A13" w:rsidRPr="00D30FBC" w:rsidRDefault="007E4A13" w:rsidP="007E4A13">
      <w:pPr>
        <w:pStyle w:val="Prrafodelista"/>
        <w:tabs>
          <w:tab w:val="left" w:pos="142"/>
          <w:tab w:val="left" w:pos="284"/>
        </w:tabs>
        <w:spacing w:line="276" w:lineRule="auto"/>
        <w:ind w:left="0"/>
        <w:jc w:val="both"/>
        <w:rPr>
          <w:rFonts w:ascii="Verdana" w:eastAsia="Century Gothic" w:hAnsi="Verdana" w:cs="Century Gothic"/>
          <w:b/>
          <w:bCs/>
        </w:rPr>
      </w:pPr>
    </w:p>
    <w:p w14:paraId="4289DECD" w14:textId="77777777" w:rsidR="007E4A13" w:rsidRPr="006321F5" w:rsidRDefault="007E4A13" w:rsidP="007E4A13">
      <w:pPr>
        <w:spacing w:after="0" w:line="240" w:lineRule="auto"/>
        <w:ind w:left="709" w:right="709"/>
        <w:jc w:val="both"/>
        <w:rPr>
          <w:rFonts w:ascii="Verdana" w:hAnsi="Verdana" w:cs="Arial"/>
          <w:i/>
          <w:iCs/>
          <w:sz w:val="20"/>
          <w:szCs w:val="20"/>
          <w:shd w:val="clear" w:color="auto" w:fill="FFFFFF"/>
        </w:rPr>
      </w:pPr>
      <w:bookmarkStart w:id="0" w:name="_Hlk95313578"/>
      <w:r w:rsidRPr="006321F5">
        <w:rPr>
          <w:rFonts w:ascii="Verdana" w:eastAsia="Century Gothic" w:hAnsi="Verdana" w:cs="Century Gothic"/>
          <w:i/>
          <w:iCs/>
          <w:sz w:val="20"/>
          <w:szCs w:val="20"/>
          <w:lang w:val="es-ES"/>
        </w:rPr>
        <w:t>“</w:t>
      </w:r>
      <w:r w:rsidRPr="006321F5">
        <w:rPr>
          <w:rFonts w:ascii="Verdana" w:hAnsi="Verdana" w:cs="Arial"/>
          <w:i/>
          <w:iCs/>
          <w:sz w:val="20"/>
          <w:szCs w:val="20"/>
          <w:shd w:val="clear" w:color="auto" w:fill="FFFFFF"/>
        </w:rPr>
        <w:t>1.- Para el caso de la documentación que es subsanable en los procesos de selección pública, me quiero referir específicamente al certificado REDAM (Registro de deudores alimentarios morosos), y certificado de antecedentes y vigencia de contador público, si no se presentan con la oferta, y durante la etapa de traslado y observaciones se allegan a la entidad, la fecha de expedición de los mismo debe ser hasta o anterior a la fecha de cierre del proceso?, o es válido que los mismos se presenten con fecha de expedición posterior a la publicación del informe preliminar de información?.</w:t>
      </w:r>
    </w:p>
    <w:p w14:paraId="3E35364A" w14:textId="77777777" w:rsidR="007E4A13" w:rsidRPr="006321F5" w:rsidRDefault="007E4A13" w:rsidP="007E4A13">
      <w:pPr>
        <w:spacing w:after="0" w:line="240" w:lineRule="auto"/>
        <w:ind w:left="709" w:right="709"/>
        <w:jc w:val="both"/>
        <w:rPr>
          <w:rFonts w:ascii="Verdana" w:hAnsi="Verdana" w:cs="Arial"/>
          <w:i/>
          <w:iCs/>
          <w:sz w:val="20"/>
          <w:szCs w:val="20"/>
          <w:shd w:val="clear" w:color="auto" w:fill="FFFFFF"/>
        </w:rPr>
      </w:pPr>
    </w:p>
    <w:p w14:paraId="1A708A3B" w14:textId="77777777" w:rsidR="007E4A13" w:rsidRPr="006321F5" w:rsidRDefault="007E4A13" w:rsidP="007E4A13">
      <w:pPr>
        <w:spacing w:after="0" w:line="240" w:lineRule="auto"/>
        <w:ind w:left="709" w:right="709"/>
        <w:jc w:val="both"/>
        <w:rPr>
          <w:rFonts w:ascii="Verdana" w:hAnsi="Verdana" w:cs="Arial"/>
          <w:i/>
          <w:iCs/>
          <w:sz w:val="20"/>
          <w:szCs w:val="20"/>
          <w:shd w:val="clear" w:color="auto" w:fill="FFFFFF"/>
        </w:rPr>
      </w:pPr>
      <w:r w:rsidRPr="006321F5">
        <w:rPr>
          <w:rFonts w:ascii="Verdana" w:hAnsi="Verdana" w:cs="Arial"/>
          <w:i/>
          <w:iCs/>
          <w:sz w:val="20"/>
          <w:szCs w:val="20"/>
          <w:shd w:val="clear" w:color="auto" w:fill="FFFFFF"/>
        </w:rPr>
        <w:lastRenderedPageBreak/>
        <w:t xml:space="preserve">2.- Si la carta de presentación de la oferta NO se diligencia en forma completa conforme al anexo del formato modelo de los documentos tipo, concretamente, sin diligenciar si cotiza en la bolsa, y si pertenece a grupo empresarial, este requisito es subsanable?” </w:t>
      </w:r>
      <w:r w:rsidRPr="006321F5">
        <w:rPr>
          <w:rStyle w:val="normaltextrun"/>
          <w:rFonts w:ascii="Verdana" w:hAnsi="Verdana" w:cs="Arial"/>
          <w:i/>
          <w:iCs/>
          <w:sz w:val="20"/>
          <w:szCs w:val="20"/>
          <w:shd w:val="clear" w:color="auto" w:fill="FFFFFF"/>
          <w:lang w:val="es-ES"/>
        </w:rPr>
        <w:t>[…]</w:t>
      </w:r>
      <w:r w:rsidRPr="006321F5">
        <w:rPr>
          <w:rFonts w:ascii="Verdana" w:eastAsia="Century Gothic" w:hAnsi="Verdana" w:cs="Century Gothic"/>
          <w:i/>
          <w:iCs/>
          <w:sz w:val="20"/>
          <w:szCs w:val="20"/>
          <w:lang w:val="es-ES"/>
        </w:rPr>
        <w:t>”</w:t>
      </w:r>
      <w:bookmarkEnd w:id="0"/>
      <w:r w:rsidRPr="006321F5">
        <w:rPr>
          <w:rFonts w:ascii="Verdana" w:eastAsia="Century Gothic" w:hAnsi="Verdana" w:cs="Century Gothic"/>
          <w:i/>
          <w:iCs/>
          <w:sz w:val="20"/>
          <w:szCs w:val="20"/>
          <w:lang w:val="es-ES"/>
        </w:rPr>
        <w:t>.</w:t>
      </w:r>
    </w:p>
    <w:p w14:paraId="6A73A8A3" w14:textId="77777777" w:rsidR="007E4A13" w:rsidRPr="00593A5F" w:rsidRDefault="007E4A13" w:rsidP="007E4A13">
      <w:pPr>
        <w:pStyle w:val="Prrafodelista"/>
        <w:tabs>
          <w:tab w:val="left" w:pos="142"/>
          <w:tab w:val="left" w:pos="284"/>
        </w:tabs>
        <w:spacing w:line="276" w:lineRule="auto"/>
        <w:ind w:left="0"/>
        <w:jc w:val="both"/>
        <w:rPr>
          <w:rFonts w:ascii="Verdana" w:eastAsia="Century Gothic" w:hAnsi="Verdana" w:cs="Century Gothic"/>
          <w:b/>
          <w:bCs/>
        </w:rPr>
      </w:pPr>
    </w:p>
    <w:p w14:paraId="72195FAF" w14:textId="77777777" w:rsidR="007E4A13" w:rsidRDefault="007E4A13" w:rsidP="007E4A13">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278C10C" w14:textId="77777777" w:rsidR="007E4A13" w:rsidRDefault="007E4A13" w:rsidP="007E4A1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D92C897" w14:textId="77777777" w:rsidR="007E4A13" w:rsidRPr="00593A5F" w:rsidRDefault="007E4A13" w:rsidP="007E4A13">
      <w:pPr>
        <w:spacing w:after="0" w:line="276" w:lineRule="auto"/>
        <w:ind w:firstLine="709"/>
        <w:jc w:val="both"/>
        <w:rPr>
          <w:rFonts w:ascii="Verdana" w:eastAsia="Calibri" w:hAnsi="Verdana" w:cs="Arial"/>
          <w:color w:val="000000"/>
          <w:lang w:val="es-ES" w:eastAsia="es-ES"/>
        </w:rPr>
      </w:pPr>
    </w:p>
    <w:p w14:paraId="032643E4" w14:textId="77777777" w:rsidR="007E4A13" w:rsidRPr="00593A5F" w:rsidRDefault="007E4A13" w:rsidP="007E4A1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E073F31" w14:textId="77777777" w:rsidR="007E4A13" w:rsidRPr="00593A5F" w:rsidRDefault="007E4A13" w:rsidP="007E4A13">
      <w:pPr>
        <w:tabs>
          <w:tab w:val="left" w:pos="426"/>
        </w:tabs>
        <w:spacing w:after="0" w:line="276" w:lineRule="auto"/>
        <w:jc w:val="both"/>
        <w:rPr>
          <w:rFonts w:ascii="Verdana" w:eastAsia="Century Gothic" w:hAnsi="Verdana" w:cs="Century Gothic"/>
          <w:lang w:val="es-ES"/>
        </w:rPr>
      </w:pPr>
    </w:p>
    <w:p w14:paraId="271031F1" w14:textId="77777777" w:rsidR="007E4A13" w:rsidRPr="00593A5F" w:rsidRDefault="007E4A13" w:rsidP="007E4A1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w:t>
      </w:r>
      <w:r w:rsidRPr="008E2B01">
        <w:rPr>
          <w:rFonts w:ascii="Verdana" w:eastAsia="Century Gothic" w:hAnsi="Verdana" w:cs="Century Gothic"/>
        </w:rPr>
        <w:t>contenido de su solicitud, esta Agencia resolverá el siguiente problema jurídico: ¿Es posible subsanar en un proceso de selección, el certificado de Registro de Deudores Alimentarios Morosos –REDAM</w:t>
      </w:r>
      <w:r>
        <w:rPr>
          <w:rFonts w:ascii="Verdana" w:eastAsia="Century Gothic" w:hAnsi="Verdana" w:cs="Century Gothic"/>
        </w:rPr>
        <w:t>- y cualquier otro documento habilitante,</w:t>
      </w:r>
      <w:r w:rsidRPr="008E2B01">
        <w:rPr>
          <w:rFonts w:ascii="Verdana" w:eastAsia="Century Gothic" w:hAnsi="Verdana" w:cs="Century Gothic"/>
        </w:rPr>
        <w:t xml:space="preserve"> expedido con fecha posterior al cierre del proceso</w:t>
      </w:r>
      <w:r>
        <w:rPr>
          <w:rFonts w:ascii="Verdana" w:eastAsia="Century Gothic" w:hAnsi="Verdana" w:cs="Century Gothic"/>
        </w:rPr>
        <w:t xml:space="preserve"> o si hubo errores formales en su diligenciamiento</w:t>
      </w:r>
      <w:r w:rsidRPr="008E2B01">
        <w:rPr>
          <w:rFonts w:ascii="Verdana" w:eastAsia="Century Gothic" w:hAnsi="Verdana" w:cs="Century Gothic"/>
        </w:rPr>
        <w:t xml:space="preserve">? </w:t>
      </w:r>
    </w:p>
    <w:p w14:paraId="3358ADC3" w14:textId="77777777" w:rsidR="007E4A13" w:rsidRPr="00207715" w:rsidRDefault="007E4A13" w:rsidP="007E4A13">
      <w:pPr>
        <w:spacing w:after="0" w:line="276" w:lineRule="auto"/>
        <w:jc w:val="both"/>
        <w:rPr>
          <w:rFonts w:ascii="Verdana" w:eastAsia="Calibri" w:hAnsi="Verdana" w:cs="Arial"/>
          <w:color w:val="7030A0"/>
        </w:rPr>
      </w:pPr>
    </w:p>
    <w:p w14:paraId="6C0EE90E" w14:textId="77777777" w:rsidR="007E4A13" w:rsidRPr="00593A5F" w:rsidRDefault="007E4A13" w:rsidP="007E4A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30FA86A" w14:textId="77777777" w:rsidR="007E4A13" w:rsidRPr="00593A5F" w:rsidRDefault="007E4A13" w:rsidP="007E4A1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E4A13" w:rsidRPr="00593A5F" w14:paraId="0C25D348" w14:textId="77777777" w:rsidTr="00B427E1">
        <w:tc>
          <w:tcPr>
            <w:tcW w:w="8828" w:type="dxa"/>
          </w:tcPr>
          <w:p w14:paraId="5ABC9464" w14:textId="77777777" w:rsidR="007E4A13" w:rsidRPr="001A10D9" w:rsidRDefault="007E4A13" w:rsidP="00B427E1">
            <w:pPr>
              <w:spacing w:after="120" w:line="276" w:lineRule="auto"/>
              <w:jc w:val="both"/>
              <w:rPr>
                <w:rFonts w:ascii="Verdana" w:eastAsia="Times New Roman" w:hAnsi="Verdana" w:cs="Arial"/>
                <w:i/>
                <w:lang w:val="es-ES" w:eastAsia="es-ES"/>
              </w:rPr>
            </w:pPr>
            <w:r w:rsidRPr="001A10D9">
              <w:rPr>
                <w:rFonts w:ascii="Verdana" w:eastAsia="Calibri" w:hAnsi="Verdana" w:cs="Arial"/>
              </w:rPr>
              <w:t xml:space="preserve">La regla de subsanabilidad prevista en el artículo 5 de la Ley 1150 de 2007 es un mecanismo </w:t>
            </w:r>
            <w:r>
              <w:rPr>
                <w:rFonts w:ascii="Verdana" w:eastAsia="Calibri" w:hAnsi="Verdana" w:cs="Arial"/>
              </w:rPr>
              <w:t>para</w:t>
            </w:r>
            <w:r w:rsidRPr="001A10D9">
              <w:rPr>
                <w:rFonts w:ascii="Verdana" w:eastAsia="Calibri" w:hAnsi="Verdana" w:cs="Arial"/>
              </w:rPr>
              <w:t xml:space="preserve"> los procesos de contratación estatal que se regulan por el EGCAP, según la cual los proponentes</w:t>
            </w:r>
            <w:r>
              <w:rPr>
                <w:rFonts w:ascii="Verdana" w:eastAsia="Calibri" w:hAnsi="Verdana" w:cs="Arial"/>
              </w:rPr>
              <w:t xml:space="preserve"> </w:t>
            </w:r>
            <w:r w:rsidRPr="001A10D9">
              <w:rPr>
                <w:rFonts w:ascii="Verdana" w:eastAsia="Calibri" w:hAnsi="Verdana" w:cs="Arial"/>
              </w:rPr>
              <w:t xml:space="preserve">pueden enmendar, corregir o modificar </w:t>
            </w:r>
            <w:r w:rsidRPr="001A10D9">
              <w:rPr>
                <w:rFonts w:ascii="Verdana" w:eastAsia="Calibri" w:hAnsi="Verdana" w:cs="Arial"/>
              </w:rPr>
              <w:lastRenderedPageBreak/>
              <w:t>los errores en los que se incurre en los documentos contentivos de la oferta</w:t>
            </w:r>
            <w:r>
              <w:rPr>
                <w:rFonts w:ascii="Verdana" w:hAnsi="Verdana" w:cs="Arial"/>
                <w:noProof/>
                <w:lang w:val="es-ES_tradnl"/>
              </w:rPr>
              <w:t xml:space="preserve"> </w:t>
            </w:r>
            <w:r w:rsidRPr="001A10D9">
              <w:rPr>
                <w:rFonts w:ascii="Verdana" w:hAnsi="Verdana" w:cs="Arial"/>
                <w:noProof/>
                <w:lang w:val="es-ES_tradnl"/>
              </w:rPr>
              <w:t>que no sean necesarios para la comparación de las ofertas</w:t>
            </w:r>
            <w:r>
              <w:rPr>
                <w:rFonts w:ascii="Verdana" w:hAnsi="Verdana" w:cs="Arial"/>
                <w:noProof/>
                <w:lang w:val="es-ES_tradnl"/>
              </w:rPr>
              <w:t>,</w:t>
            </w:r>
            <w:r w:rsidRPr="001A10D9">
              <w:rPr>
                <w:rFonts w:ascii="Verdana" w:hAnsi="Verdana" w:cs="Arial"/>
                <w:noProof/>
                <w:lang w:val="es-ES_tradnl"/>
              </w:rPr>
              <w:t xml:space="preserve"> y todo lo que no sea necesario para la comparación de propuestas no es título suficiente para su rechazo. </w:t>
            </w:r>
          </w:p>
          <w:p w14:paraId="0F95AEC7" w14:textId="77777777" w:rsidR="007E4A13" w:rsidRPr="001A10D9" w:rsidRDefault="007E4A13" w:rsidP="00B427E1">
            <w:pPr>
              <w:spacing w:after="120" w:line="276" w:lineRule="auto"/>
              <w:ind w:firstLine="709"/>
              <w:jc w:val="both"/>
              <w:rPr>
                <w:rFonts w:ascii="Verdana" w:eastAsia="Times New Roman" w:hAnsi="Verdana" w:cs="Arial"/>
                <w:lang w:val="es-ES_tradnl" w:eastAsia="es-ES_tradnl"/>
              </w:rPr>
            </w:pPr>
            <w:r w:rsidRPr="001A10D9">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C5EB1BA" w14:textId="77777777" w:rsidR="007E4A13" w:rsidRPr="001A10D9" w:rsidRDefault="007E4A13" w:rsidP="00B427E1">
            <w:pPr>
              <w:spacing w:after="120" w:line="276" w:lineRule="auto"/>
              <w:ind w:firstLine="709"/>
              <w:jc w:val="both"/>
              <w:rPr>
                <w:rFonts w:ascii="Verdana" w:eastAsia="Times New Roman" w:hAnsi="Verdana" w:cs="Arial"/>
                <w:lang w:val="es-ES" w:eastAsia="es-ES"/>
              </w:rPr>
            </w:pPr>
            <w:r w:rsidRPr="001A10D9">
              <w:rPr>
                <w:rFonts w:ascii="Verdana" w:eastAsia="Times New Roman" w:hAnsi="Verdana" w:cs="Arial"/>
                <w:lang w:val="es-ES" w:eastAsia="es-ES"/>
              </w:rPr>
              <w:t>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57D51791" w14:textId="77777777" w:rsidR="007E4A13" w:rsidRPr="00BD77FD" w:rsidRDefault="007E4A13" w:rsidP="00B427E1">
            <w:pPr>
              <w:spacing w:after="120" w:line="276" w:lineRule="auto"/>
              <w:ind w:firstLine="709"/>
              <w:jc w:val="both"/>
              <w:rPr>
                <w:rFonts w:ascii="Verdana" w:hAnsi="Verdana" w:cs="Arial"/>
                <w:noProof/>
                <w:lang w:val="es-ES_tradnl"/>
              </w:rPr>
            </w:pPr>
            <w:r w:rsidRPr="001A10D9">
              <w:rPr>
                <w:rFonts w:ascii="Verdana" w:hAnsi="Verdana" w:cs="Arial"/>
                <w:noProof/>
                <w:lang w:val="es-ES_tradnl"/>
              </w:rPr>
              <w:t xml:space="preserve">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w:t>
            </w:r>
            <w:r w:rsidRPr="00BD77FD">
              <w:rPr>
                <w:rFonts w:ascii="Verdana" w:hAnsi="Verdana" w:cs="Arial"/>
                <w:noProof/>
                <w:lang w:val="es-ES_tradnl"/>
              </w:rPr>
              <w:t>que dicha limitación a la regla de subsanabilidad también deberá ser tenida en cuenta.</w:t>
            </w:r>
          </w:p>
          <w:p w14:paraId="24F5FE34" w14:textId="77777777" w:rsidR="007E4A13" w:rsidRPr="00593A5F" w:rsidRDefault="007E4A13" w:rsidP="00B427E1">
            <w:pPr>
              <w:spacing w:after="120" w:line="276" w:lineRule="auto"/>
              <w:ind w:firstLine="709"/>
              <w:jc w:val="both"/>
              <w:rPr>
                <w:rFonts w:ascii="Verdana" w:eastAsia="Calibri" w:hAnsi="Verdana" w:cs="Arial"/>
                <w:color w:val="7030A0"/>
                <w:lang w:val="es-ES"/>
              </w:rPr>
            </w:pPr>
            <w:r>
              <w:rPr>
                <w:rFonts w:ascii="Verdana" w:hAnsi="Verdana" w:cs="Arial"/>
                <w:lang w:val="es-ES_tradnl"/>
              </w:rPr>
              <w:t>Indicado lo anterior</w:t>
            </w:r>
            <w:r w:rsidRPr="00BD77FD">
              <w:rPr>
                <w:rFonts w:ascii="Verdana" w:eastAsia="Calibri" w:hAnsi="Verdana" w:cs="Arial"/>
                <w:lang w:val="es-ES"/>
              </w:rPr>
              <w:t>,</w:t>
            </w:r>
            <w:r>
              <w:rPr>
                <w:rFonts w:ascii="Verdana" w:eastAsia="Calibri" w:hAnsi="Verdana" w:cs="Arial"/>
                <w:lang w:val="es-ES"/>
              </w:rPr>
              <w:t xml:space="preserve"> a juicio de esta Agencia, </w:t>
            </w:r>
            <w:r w:rsidRPr="00BD77FD">
              <w:rPr>
                <w:rFonts w:ascii="Verdana" w:eastAsia="Calibri" w:hAnsi="Verdana" w:cs="Arial"/>
                <w:lang w:val="es-ES"/>
              </w:rPr>
              <w:t xml:space="preserve"> es posible subsanar el </w:t>
            </w:r>
            <w:r w:rsidRPr="00BD77FD">
              <w:rPr>
                <w:rFonts w:ascii="Verdana" w:eastAsia="Calibri" w:hAnsi="Verdana" w:cs="Arial"/>
              </w:rPr>
              <w:t xml:space="preserve">certificado de Registro de Deudores Alimentarios Morosos – REDAM– en </w:t>
            </w:r>
            <w:r w:rsidRPr="00BD77FD">
              <w:rPr>
                <w:rFonts w:ascii="Verdana" w:eastAsia="Calibri" w:hAnsi="Verdana" w:cs="Arial"/>
              </w:rPr>
              <w:lastRenderedPageBreak/>
              <w:t xml:space="preserve">cualquier proceso de selección, ya que según lo establecido en la norma y explicado en el presente concepto, los requisitos y/o documentos de la oferta que no sean necesarios para la comparación de las ofertas y </w:t>
            </w:r>
            <w:r>
              <w:rPr>
                <w:rFonts w:ascii="Verdana" w:eastAsia="Calibri" w:hAnsi="Verdana" w:cs="Arial"/>
              </w:rPr>
              <w:t>a los cuales</w:t>
            </w:r>
            <w:r w:rsidRPr="00BD77FD">
              <w:rPr>
                <w:rFonts w:ascii="Verdana" w:eastAsia="Calibri" w:hAnsi="Verdana" w:cs="Arial"/>
              </w:rPr>
              <w:t xml:space="preserve"> no</w:t>
            </w:r>
            <w:r>
              <w:rPr>
                <w:rFonts w:ascii="Verdana" w:eastAsia="Calibri" w:hAnsi="Verdana" w:cs="Arial"/>
              </w:rPr>
              <w:t xml:space="preserve"> se le</w:t>
            </w:r>
            <w:r w:rsidRPr="00BD77FD">
              <w:rPr>
                <w:rFonts w:ascii="Verdana" w:eastAsia="Calibri" w:hAnsi="Verdana" w:cs="Arial"/>
              </w:rPr>
              <w:t xml:space="preserve"> asignen puntaje serán subsanables, esto, sin perjuicio de que la circunstancia a subsanar se acredite con ocurrencia previa al cierre del proceso, así su certificación o documento correspondiente tenga fecha posterior al cierre. Es decir, no es </w:t>
            </w:r>
            <w:r>
              <w:rPr>
                <w:rFonts w:ascii="Verdana" w:eastAsia="Calibri" w:hAnsi="Verdana" w:cs="Arial"/>
              </w:rPr>
              <w:t>el</w:t>
            </w:r>
            <w:r w:rsidRPr="00BD77FD">
              <w:rPr>
                <w:rFonts w:ascii="Verdana" w:eastAsia="Calibri" w:hAnsi="Verdana" w:cs="Arial"/>
              </w:rPr>
              <w:t xml:space="preserve"> documento o certificación </w:t>
            </w:r>
            <w:r w:rsidRPr="00BD77FD">
              <w:rPr>
                <w:rFonts w:ascii="Verdana" w:eastAsia="Calibri" w:hAnsi="Verdana" w:cs="Arial"/>
                <w:lang w:val="es-ES"/>
              </w:rPr>
              <w:t xml:space="preserve">lo que debe ser anterior al cierre del proceso, sino el hecho que </w:t>
            </w:r>
            <w:r>
              <w:rPr>
                <w:rFonts w:ascii="Verdana" w:eastAsia="Calibri" w:hAnsi="Verdana" w:cs="Arial"/>
                <w:lang w:val="es-ES"/>
              </w:rPr>
              <w:t>se</w:t>
            </w:r>
            <w:r w:rsidRPr="00BD77FD">
              <w:rPr>
                <w:rFonts w:ascii="Verdana" w:eastAsia="Calibri" w:hAnsi="Verdana" w:cs="Arial"/>
                <w:lang w:val="es-ES"/>
              </w:rPr>
              <w:t xml:space="preserve"> acredita.</w:t>
            </w:r>
          </w:p>
        </w:tc>
      </w:tr>
    </w:tbl>
    <w:p w14:paraId="22272216" w14:textId="77777777" w:rsidR="007E4A13" w:rsidRPr="00593A5F" w:rsidRDefault="007E4A13" w:rsidP="007E4A13">
      <w:pPr>
        <w:tabs>
          <w:tab w:val="left" w:pos="142"/>
          <w:tab w:val="left" w:pos="284"/>
        </w:tabs>
        <w:spacing w:after="0" w:line="276" w:lineRule="auto"/>
        <w:jc w:val="both"/>
        <w:rPr>
          <w:rFonts w:ascii="Verdana" w:eastAsia="Century Gothic" w:hAnsi="Verdana" w:cs="Century Gothic"/>
          <w:b/>
          <w:bCs/>
          <w:lang w:val="es-ES"/>
        </w:rPr>
      </w:pPr>
    </w:p>
    <w:p w14:paraId="525370EB" w14:textId="77777777" w:rsidR="007E4A13" w:rsidRPr="00593A5F" w:rsidRDefault="007E4A13" w:rsidP="007E4A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61FD9C9" w14:textId="77777777" w:rsidR="007E4A13" w:rsidRPr="00593A5F" w:rsidRDefault="007E4A13" w:rsidP="007E4A13">
      <w:pPr>
        <w:spacing w:after="0" w:line="276" w:lineRule="auto"/>
        <w:jc w:val="both"/>
        <w:rPr>
          <w:rFonts w:ascii="Verdana" w:eastAsia="Calibri" w:hAnsi="Verdana" w:cs="Arial"/>
          <w:color w:val="7030A0"/>
          <w:lang w:val="es-ES"/>
        </w:rPr>
      </w:pPr>
    </w:p>
    <w:p w14:paraId="6EF2DBDE" w14:textId="77777777" w:rsidR="007E4A13" w:rsidRPr="00B96799" w:rsidRDefault="007E4A13" w:rsidP="007E4A13">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5E9CA68" w14:textId="77777777" w:rsidR="007E4A13" w:rsidRPr="00D46D1D" w:rsidRDefault="007E4A13" w:rsidP="007E4A13">
      <w:pPr>
        <w:spacing w:after="0" w:line="276" w:lineRule="auto"/>
        <w:jc w:val="both"/>
        <w:rPr>
          <w:rFonts w:ascii="Verdana" w:eastAsia="Calibri" w:hAnsi="Verdana" w:cs="Arial"/>
          <w:color w:val="7030A0"/>
          <w:lang w:val="es-ES"/>
        </w:rPr>
      </w:pPr>
    </w:p>
    <w:p w14:paraId="2506F43D" w14:textId="77777777" w:rsidR="007E4A13" w:rsidRDefault="007E4A13" w:rsidP="007E4A13">
      <w:pPr>
        <w:spacing w:after="120" w:line="276" w:lineRule="auto"/>
        <w:jc w:val="both"/>
        <w:rPr>
          <w:rFonts w:ascii="Verdana" w:eastAsia="Times New Roman" w:hAnsi="Verdana" w:cs="Arial"/>
          <w:lang w:val="es-ES_tradnl" w:eastAsia="es-ES_tradnl"/>
        </w:rPr>
      </w:pPr>
      <w:r w:rsidRPr="00D16A5E">
        <w:rPr>
          <w:rFonts w:ascii="Verdana" w:hAnsi="Verdana" w:cs="Arial"/>
          <w:noProof/>
          <w:lang w:val="es-ES_tradnl"/>
        </w:rPr>
        <w:t>L</w:t>
      </w:r>
      <w:r w:rsidRPr="00D16A5E">
        <w:rPr>
          <w:rFonts w:ascii="Verdana" w:eastAsia="Times New Roman" w:hAnsi="Verdana" w:cs="Arial"/>
        </w:rPr>
        <w:t>a regla de la subsanabilidad de las ofertas en los procedimientos de selección</w:t>
      </w:r>
      <w:r w:rsidRPr="00D16A5E">
        <w:rPr>
          <w:rFonts w:ascii="Verdana" w:eastAsia="Times New Roman" w:hAnsi="Verdana" w:cs="Arial"/>
          <w:b/>
          <w:bCs/>
        </w:rPr>
        <w:t xml:space="preserve"> </w:t>
      </w:r>
      <w:r w:rsidRPr="00D16A5E">
        <w:rPr>
          <w:rFonts w:ascii="Verdana" w:eastAsia="Times New Roman" w:hAnsi="Verdana" w:cs="Arial"/>
          <w:lang w:val="es-ES_tradnl" w:eastAsia="es-ES_tradnl"/>
        </w:rPr>
        <w:t>indica que, por regla general, la falta de entrega y los defectos en la acreditación de los requisitos habilitantes son aspectos subsanables. La excepción</w:t>
      </w:r>
      <w:r>
        <w:rPr>
          <w:rFonts w:ascii="Verdana" w:eastAsia="Times New Roman" w:hAnsi="Verdana" w:cs="Arial"/>
          <w:lang w:val="es-ES_tradnl" w:eastAsia="es-ES_tradnl"/>
        </w:rPr>
        <w:t xml:space="preserve"> a esta regla </w:t>
      </w:r>
      <w:r w:rsidRPr="00D16A5E">
        <w:rPr>
          <w:rFonts w:ascii="Verdana" w:eastAsia="Times New Roman" w:hAnsi="Verdana" w:cs="Arial"/>
          <w:lang w:val="es-ES_tradnl" w:eastAsia="es-ES_tradnl"/>
        </w:rPr>
        <w:t>se encuentra en la prohibición de permitir la entrega de la garantía de seriedad de la oferta que no fue aportada con la propuesta y de valer la acreditación de circunstancias ocurridas con posterioridad al cierre del proceso.</w:t>
      </w:r>
    </w:p>
    <w:p w14:paraId="16D496C3" w14:textId="77777777" w:rsidR="007E4A13" w:rsidRPr="00447C67" w:rsidRDefault="007E4A13" w:rsidP="007E4A13">
      <w:pPr>
        <w:spacing w:after="120" w:line="276" w:lineRule="auto"/>
        <w:ind w:firstLine="708"/>
        <w:jc w:val="both"/>
        <w:rPr>
          <w:rFonts w:ascii="Verdana" w:eastAsia="Times New Roman" w:hAnsi="Verdana" w:cs="Arial"/>
          <w:lang w:val="es-ES_tradnl" w:eastAsia="es-ES_tradnl"/>
        </w:rPr>
      </w:pPr>
      <w:r>
        <w:rPr>
          <w:rFonts w:ascii="Verdana" w:eastAsia="Times New Roman" w:hAnsi="Verdana" w:cs="Arial"/>
          <w:lang w:val="es-ES_tradnl" w:eastAsia="es-ES_tradnl"/>
        </w:rPr>
        <w:t>L</w:t>
      </w:r>
      <w:r w:rsidRPr="00D16A5E">
        <w:rPr>
          <w:rFonts w:ascii="Verdana" w:eastAsia="Times New Roman" w:hAnsi="Verdana" w:cs="Arial"/>
          <w:lang w:val="es-ES_tradnl" w:eastAsia="es-ES_tradnl"/>
        </w:rPr>
        <w:t>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_tradnl" w:eastAsia="es-ES_tradnl"/>
        </w:rPr>
        <w:t xml:space="preserve"> En atención a </w:t>
      </w:r>
      <w:r w:rsidRPr="00D16A5E">
        <w:rPr>
          <w:rFonts w:ascii="Verdana" w:eastAsia="Times New Roman" w:hAnsi="Verdana" w:cs="Arial"/>
          <w:lang w:val="es-ES" w:eastAsia="es-ES"/>
        </w:rPr>
        <w:t xml:space="preserve">lo anterior, a continuación, se hará referencia en forma general a los antecedentes de las diferentes posturas en torno a la subsanabilidad. </w:t>
      </w:r>
    </w:p>
    <w:p w14:paraId="74A87F11" w14:textId="77777777" w:rsidR="007E4A13" w:rsidRPr="00D16A5E" w:rsidRDefault="007E4A13" w:rsidP="007E4A13">
      <w:pPr>
        <w:spacing w:after="120" w:line="276" w:lineRule="auto"/>
        <w:ind w:firstLine="708"/>
        <w:jc w:val="both"/>
        <w:rPr>
          <w:rFonts w:ascii="Verdana" w:eastAsia="Calibri" w:hAnsi="Verdana" w:cs="Arial"/>
          <w:lang w:val="es-ES" w:eastAsia="es-ES"/>
        </w:rPr>
      </w:pPr>
      <w:r w:rsidRPr="00D16A5E">
        <w:rPr>
          <w:rFonts w:ascii="Verdana" w:eastAsia="Times New Roman" w:hAnsi="Verdana" w:cs="Arial"/>
          <w:lang w:val="es-ES" w:eastAsia="es-ES"/>
        </w:rPr>
        <w:t xml:space="preserve">En un </w:t>
      </w:r>
      <w:r w:rsidRPr="00D16A5E">
        <w:rPr>
          <w:rFonts w:ascii="Verdana" w:eastAsia="Times New Roman" w:hAnsi="Verdana" w:cs="Arial"/>
          <w:i/>
          <w:lang w:val="es-ES" w:eastAsia="es-ES"/>
        </w:rPr>
        <w:t>primer momento</w:t>
      </w:r>
      <w:r w:rsidRPr="00D16A5E">
        <w:rPr>
          <w:rFonts w:ascii="Verdana" w:eastAsia="Times New Roman" w:hAnsi="Verdana" w:cs="Arial"/>
          <w:lang w:val="es-ES" w:eastAsia="es-ES"/>
        </w:rPr>
        <w:t xml:space="preserve">, antes de la entrada en vigor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7F1FB345" w14:textId="77777777" w:rsidR="007E4A13" w:rsidRPr="00D16A5E" w:rsidRDefault="007E4A13" w:rsidP="007E4A13">
      <w:pPr>
        <w:spacing w:after="0" w:line="276" w:lineRule="auto"/>
        <w:ind w:firstLine="709"/>
        <w:jc w:val="both"/>
        <w:rPr>
          <w:rFonts w:ascii="Verdana" w:eastAsia="Times New Roman" w:hAnsi="Verdana" w:cs="Arial"/>
          <w:lang w:val="es-ES" w:eastAsia="es-ES"/>
        </w:rPr>
      </w:pPr>
      <w:r w:rsidRPr="23327E23">
        <w:rPr>
          <w:rFonts w:ascii="Verdana" w:eastAsia="Times New Roman" w:hAnsi="Verdana" w:cs="Arial"/>
          <w:lang w:val="es-ES" w:eastAsia="es-ES"/>
        </w:rPr>
        <w:t xml:space="preserve">En un </w:t>
      </w:r>
      <w:r w:rsidRPr="23327E23">
        <w:rPr>
          <w:rFonts w:ascii="Verdana" w:eastAsia="Times New Roman" w:hAnsi="Verdana" w:cs="Arial"/>
          <w:i/>
          <w:lang w:val="es-ES" w:eastAsia="es-ES"/>
        </w:rPr>
        <w:t>segundo momento</w:t>
      </w:r>
      <w:r w:rsidRPr="23327E23">
        <w:rPr>
          <w:rFonts w:ascii="Verdana" w:eastAsia="Times New Roman" w:hAnsi="Verdana" w:cs="Arial"/>
          <w:lang w:val="es-ES" w:eastAsia="es-ES"/>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w:t>
      </w:r>
      <w:r w:rsidRPr="23327E23">
        <w:rPr>
          <w:rFonts w:ascii="Verdana" w:eastAsia="Times New Roman" w:hAnsi="Verdana" w:cs="Arial"/>
          <w:lang w:val="es-ES" w:eastAsia="es-ES"/>
        </w:rPr>
        <w:lastRenderedPageBreak/>
        <w:t xml:space="preserve">un principio de supremacía o prevalencia del derecho sustancial sobre lo procedimental. En este nuevo escenario constitucional, el numeral 15 del artículo 25 de la Ley 80 de 1993 dispuso lo siguiente: </w:t>
      </w:r>
    </w:p>
    <w:p w14:paraId="7E2D6742" w14:textId="77777777" w:rsidR="007E4A13" w:rsidRPr="00D16A5E" w:rsidRDefault="007E4A13" w:rsidP="007E4A13">
      <w:pPr>
        <w:spacing w:after="0" w:line="276" w:lineRule="auto"/>
        <w:ind w:firstLine="709"/>
        <w:jc w:val="both"/>
        <w:rPr>
          <w:rFonts w:ascii="Verdana" w:eastAsia="Times New Roman" w:hAnsi="Verdana" w:cs="Arial"/>
          <w:lang w:val="es-ES_tradnl" w:eastAsia="es-ES_tradnl"/>
        </w:rPr>
      </w:pPr>
    </w:p>
    <w:p w14:paraId="2EDF3F4C" w14:textId="77777777" w:rsidR="007E4A13" w:rsidRPr="00DA349C" w:rsidRDefault="007E4A13" w:rsidP="007E4A13">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58C04E0" w14:textId="77777777" w:rsidR="007E4A13" w:rsidRPr="00DA349C" w:rsidRDefault="007E4A13" w:rsidP="007E4A13">
      <w:pPr>
        <w:spacing w:after="0" w:line="240" w:lineRule="auto"/>
        <w:ind w:left="709" w:right="709"/>
        <w:jc w:val="both"/>
        <w:rPr>
          <w:rFonts w:ascii="Verdana" w:eastAsia="Times New Roman" w:hAnsi="Verdana" w:cs="Arial"/>
          <w:sz w:val="20"/>
          <w:szCs w:val="20"/>
          <w:lang w:val="es-ES_tradnl" w:eastAsia="es-ES_tradnl"/>
        </w:rPr>
      </w:pPr>
    </w:p>
    <w:p w14:paraId="27A3DD0B" w14:textId="77777777" w:rsidR="007E4A13" w:rsidRPr="00DA349C" w:rsidRDefault="007E4A13" w:rsidP="007E4A13">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5463B667" w14:textId="77777777" w:rsidR="007E4A13" w:rsidRPr="00D16A5E" w:rsidRDefault="007E4A13" w:rsidP="007E4A13">
      <w:pPr>
        <w:spacing w:after="0" w:line="276" w:lineRule="auto"/>
        <w:ind w:left="709" w:right="709"/>
        <w:jc w:val="both"/>
        <w:rPr>
          <w:rFonts w:ascii="Verdana" w:eastAsia="Times New Roman" w:hAnsi="Verdana" w:cs="Arial"/>
          <w:lang w:val="es-ES_tradnl" w:eastAsia="es-ES_tradnl"/>
        </w:rPr>
      </w:pPr>
    </w:p>
    <w:p w14:paraId="10596B3B"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Bajo el amparo de esta norma, el régimen jurídico de subsanabilidad de las ofertas sufre un cambio fundamental, pues ya no era posible rechazar las ofertas por falta de requisitos o documentos que no fueran “</w:t>
      </w:r>
      <w:r w:rsidRPr="00D16A5E">
        <w:rPr>
          <w:rFonts w:ascii="Verdana" w:eastAsia="Times New Roman" w:hAnsi="Verdana" w:cs="Arial"/>
          <w:i/>
          <w:lang w:val="es-ES" w:eastAsia="es-ES"/>
        </w:rPr>
        <w:t>necesarios para la comparación de propuestas”.</w:t>
      </w:r>
      <w:r w:rsidRPr="00D16A5E">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17379CB" w14:textId="77777777" w:rsidR="007E4A13" w:rsidRPr="00D16A5E" w:rsidRDefault="007E4A13" w:rsidP="007E4A13">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Esta norma debía leerse en conjunto con otras de la Ley 80 de 1993, particularmente con el artículo 30.7</w:t>
      </w:r>
      <w:r w:rsidRPr="00D16A5E">
        <w:rPr>
          <w:rFonts w:ascii="Verdana" w:eastAsia="Times New Roman" w:hAnsi="Verdana" w:cs="Arial"/>
          <w:vertAlign w:val="superscript"/>
          <w:lang w:val="es-ES_tradnl" w:eastAsia="es-ES_tradnl"/>
        </w:rPr>
        <w:footnoteReference w:id="1"/>
      </w:r>
      <w:r w:rsidRPr="00D16A5E">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w:t>
      </w:r>
      <w:r>
        <w:rPr>
          <w:rFonts w:ascii="Verdana" w:eastAsia="Times New Roman" w:hAnsi="Verdana" w:cs="Arial"/>
          <w:lang w:val="es-ES_tradnl" w:eastAsia="es-ES_tradnl"/>
        </w:rPr>
        <w:t xml:space="preserve">. Así mismo, </w:t>
      </w:r>
      <w:r w:rsidRPr="00D16A5E">
        <w:rPr>
          <w:rFonts w:ascii="Verdana" w:eastAsia="Times New Roman" w:hAnsi="Verdana" w:cs="Arial"/>
          <w:lang w:val="es-ES_tradnl" w:eastAsia="es-ES_tradnl"/>
        </w:rPr>
        <w:t>con el artículo 30.8</w:t>
      </w:r>
      <w:r w:rsidRPr="00D16A5E">
        <w:rPr>
          <w:rFonts w:ascii="Verdana" w:eastAsia="Times New Roman" w:hAnsi="Verdana" w:cs="Arial"/>
          <w:vertAlign w:val="superscript"/>
          <w:lang w:val="es-ES_tradnl" w:eastAsia="es-ES_tradnl"/>
        </w:rPr>
        <w:footnoteReference w:id="2"/>
      </w:r>
      <w:r w:rsidRPr="00D16A5E">
        <w:rPr>
          <w:rFonts w:ascii="Verdana" w:eastAsia="Times New Roman" w:hAnsi="Verdana" w:cs="Arial"/>
          <w:lang w:val="es-ES_tradnl" w:eastAsia="es-ES_tradnl"/>
        </w:rPr>
        <w:t xml:space="preserve">, que consagró el término de </w:t>
      </w:r>
      <w:r>
        <w:rPr>
          <w:rFonts w:ascii="Verdana" w:eastAsia="Times New Roman" w:hAnsi="Verdana" w:cs="Arial"/>
          <w:lang w:val="es-ES_tradnl" w:eastAsia="es-ES_tradnl"/>
        </w:rPr>
        <w:t>cinco (</w:t>
      </w:r>
      <w:r w:rsidRPr="00D16A5E">
        <w:rPr>
          <w:rFonts w:ascii="Verdana" w:eastAsia="Times New Roman" w:hAnsi="Verdana" w:cs="Arial"/>
          <w:lang w:val="es-ES_tradnl" w:eastAsia="es-ES_tradnl"/>
        </w:rPr>
        <w:t>5</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días hábiles para que los oferentes presenten observaciones al informe de evaluación de las propuestas, sin que sea posible completar, adicionar, modificar o mejorar su oferta.  </w:t>
      </w:r>
    </w:p>
    <w:p w14:paraId="561445E6"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A partir de la lectura integrada de estas tres normas debía concluirse que con la Ley 80 de 1993 era posible subsanar las propuestas, y la omisión o el </w:t>
      </w:r>
      <w:r w:rsidRPr="00D16A5E">
        <w:rPr>
          <w:rFonts w:ascii="Verdana" w:eastAsia="Times New Roman" w:hAnsi="Verdana" w:cs="Arial"/>
          <w:lang w:val="es-ES" w:eastAsia="es-ES"/>
        </w:rPr>
        <w:lastRenderedPageBreak/>
        <w:t xml:space="preserve">error en algún aspecto de esta no podía llevar a su rechazo, sin antes verificar que lo omitido fuera un aspecto necesario para la comparación. </w:t>
      </w:r>
    </w:p>
    <w:p w14:paraId="62CA6AA2" w14:textId="77777777" w:rsidR="007E4A13" w:rsidRPr="00D16A5E" w:rsidRDefault="007E4A13" w:rsidP="007E4A13">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sidRPr="00D16A5E">
        <w:rPr>
          <w:rFonts w:ascii="Verdana" w:eastAsia="Times New Roman" w:hAnsi="Verdana" w:cs="Arial"/>
          <w:i/>
          <w:lang w:val="es-ES_tradnl" w:eastAsia="es-ES_tradnl"/>
        </w:rPr>
        <w:t>tercer momento</w:t>
      </w:r>
      <w:r w:rsidRPr="00D16A5E">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0A69C024" w14:textId="77777777" w:rsidR="007E4A13" w:rsidRPr="00462445" w:rsidRDefault="007E4A13" w:rsidP="007E4A13">
      <w:pPr>
        <w:spacing w:after="0" w:line="276" w:lineRule="auto"/>
        <w:ind w:left="709" w:right="709"/>
        <w:jc w:val="both"/>
        <w:rPr>
          <w:rFonts w:ascii="Verdana" w:eastAsia="Times New Roman" w:hAnsi="Verdana" w:cs="Arial"/>
          <w:lang w:val="es-ES" w:eastAsia="es-ES"/>
        </w:rPr>
      </w:pPr>
    </w:p>
    <w:p w14:paraId="15FCDF27" w14:textId="77777777" w:rsidR="007E4A13" w:rsidRDefault="007E4A13" w:rsidP="007E4A13">
      <w:pPr>
        <w:spacing w:after="0" w:line="240" w:lineRule="auto"/>
        <w:ind w:left="709" w:right="709"/>
        <w:jc w:val="both"/>
        <w:rPr>
          <w:rFonts w:ascii="Verdana" w:eastAsia="Times New Roman" w:hAnsi="Verdana" w:cs="Arial"/>
          <w:sz w:val="20"/>
          <w:szCs w:val="20"/>
          <w:lang w:val="es-ES" w:eastAsia="es-ES"/>
        </w:rPr>
      </w:pPr>
      <w:r w:rsidRPr="00462445">
        <w:rPr>
          <w:rFonts w:ascii="Verdana" w:eastAsia="Times New Roman" w:hAnsi="Verdana" w:cs="Arial"/>
          <w:sz w:val="20"/>
          <w:szCs w:val="20"/>
          <w:lang w:val="es-ES" w:eastAsia="es-ES"/>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210985E1" w14:textId="77777777" w:rsidR="007E4A13" w:rsidRPr="00462445" w:rsidRDefault="007E4A13" w:rsidP="007E4A13">
      <w:pPr>
        <w:spacing w:after="0" w:line="276" w:lineRule="auto"/>
        <w:ind w:left="709" w:right="709"/>
        <w:jc w:val="both"/>
        <w:rPr>
          <w:rFonts w:ascii="Verdana" w:eastAsia="Times New Roman" w:hAnsi="Verdana" w:cs="Arial"/>
          <w:lang w:val="es-ES" w:eastAsia="es-ES"/>
        </w:rPr>
      </w:pPr>
    </w:p>
    <w:p w14:paraId="0561D0C0"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491F838"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A partir de la Ley 1150 de 2007</w:t>
      </w:r>
      <w:r>
        <w:rPr>
          <w:rFonts w:ascii="Verdana" w:eastAsia="Times New Roman" w:hAnsi="Verdana" w:cs="Arial"/>
          <w:lang w:val="es-ES" w:eastAsia="es-ES"/>
        </w:rPr>
        <w:t>,</w:t>
      </w:r>
      <w:r w:rsidRPr="00D16A5E">
        <w:rPr>
          <w:rFonts w:ascii="Verdana" w:eastAsia="Times New Roman" w:hAnsi="Verdana" w:cs="Arial"/>
          <w:lang w:val="es-ES" w:eastAsia="es-ES"/>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EEC4519" w14:textId="77777777" w:rsidR="007E4A13" w:rsidRPr="00D16A5E" w:rsidRDefault="007E4A13" w:rsidP="007E4A13">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923B83C" w14:textId="77777777" w:rsidR="007E4A13" w:rsidRPr="00D16A5E" w:rsidRDefault="007E4A13" w:rsidP="007E4A13">
      <w:pPr>
        <w:spacing w:after="0" w:line="276" w:lineRule="auto"/>
        <w:ind w:firstLine="709"/>
        <w:jc w:val="both"/>
        <w:rPr>
          <w:rFonts w:ascii="Verdana" w:eastAsia="Times New Roman" w:hAnsi="Verdana" w:cs="Arial"/>
          <w:lang w:val="es-ES_tradnl" w:eastAsia="es-ES_tradnl"/>
        </w:rPr>
      </w:pPr>
    </w:p>
    <w:p w14:paraId="3A5F9BB5" w14:textId="77777777" w:rsidR="007E4A13" w:rsidRPr="00D16A5E" w:rsidRDefault="007E4A13" w:rsidP="007E4A13">
      <w:pPr>
        <w:spacing w:after="0" w:line="240" w:lineRule="auto"/>
        <w:ind w:left="709" w:right="709"/>
        <w:jc w:val="both"/>
        <w:rPr>
          <w:rFonts w:ascii="Verdana" w:eastAsia="Times New Roman" w:hAnsi="Verdana" w:cs="Arial"/>
          <w:sz w:val="21"/>
          <w:szCs w:val="21"/>
          <w:lang w:val="es-ES" w:eastAsia="es-ES"/>
        </w:rPr>
      </w:pPr>
      <w:r w:rsidRPr="15932803">
        <w:rPr>
          <w:rFonts w:ascii="Verdana" w:eastAsia="Times New Roman" w:hAnsi="Verdana" w:cs="Arial"/>
          <w:sz w:val="21"/>
          <w:szCs w:val="21"/>
          <w:lang w:val="es-ES" w:eastAsia="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de presentadas las ofertas, con la condición de que cuando le pidan la acreditación la satisfaga suficientemente</w:t>
      </w:r>
      <w:r w:rsidRPr="15932803">
        <w:rPr>
          <w:rFonts w:ascii="Verdana" w:eastAsia="Times New Roman" w:hAnsi="Verdana" w:cs="Arial"/>
          <w:sz w:val="21"/>
          <w:szCs w:val="21"/>
          <w:vertAlign w:val="superscript"/>
          <w:lang w:val="es-ES" w:eastAsia="es-ES"/>
        </w:rPr>
        <w:footnoteReference w:id="3"/>
      </w:r>
      <w:r w:rsidRPr="15932803">
        <w:rPr>
          <w:rFonts w:ascii="Verdana" w:eastAsia="Times New Roman" w:hAnsi="Verdana" w:cs="Arial"/>
          <w:sz w:val="21"/>
          <w:szCs w:val="21"/>
          <w:lang w:val="es-ES" w:eastAsia="es-ES"/>
        </w:rPr>
        <w:t>.</w:t>
      </w:r>
    </w:p>
    <w:p w14:paraId="00E5344B" w14:textId="77777777" w:rsidR="007E4A13" w:rsidRPr="00D16A5E" w:rsidRDefault="007E4A13" w:rsidP="007E4A13">
      <w:pPr>
        <w:spacing w:after="0" w:line="240" w:lineRule="auto"/>
        <w:ind w:left="709" w:right="709"/>
        <w:jc w:val="both"/>
        <w:rPr>
          <w:rFonts w:ascii="Verdana" w:eastAsia="Times New Roman" w:hAnsi="Verdana" w:cs="Arial"/>
          <w:sz w:val="21"/>
          <w:szCs w:val="21"/>
          <w:lang w:val="es-ES_tradnl" w:eastAsia="es-ES_tradnl"/>
        </w:rPr>
      </w:pPr>
    </w:p>
    <w:p w14:paraId="7413C3EF" w14:textId="77777777" w:rsidR="007E4A13" w:rsidRPr="00D16A5E" w:rsidRDefault="007E4A13" w:rsidP="007E4A13">
      <w:pPr>
        <w:tabs>
          <w:tab w:val="left" w:pos="284"/>
        </w:tabs>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Esa interpretación fue compartida por la </w:t>
      </w:r>
      <w:r w:rsidRPr="00D16A5E">
        <w:rPr>
          <w:rFonts w:ascii="Verdana" w:eastAsia="Times New Roman" w:hAnsi="Verdana" w:cs="Arial"/>
          <w:lang w:val="es-ES" w:eastAsia="es-CO"/>
        </w:rPr>
        <w:t>Agencia Nacional de Contratación Pública – Colombia Compra Eficiente</w:t>
      </w:r>
      <w:r w:rsidRPr="00D16A5E">
        <w:rPr>
          <w:rFonts w:ascii="Verdana" w:eastAsia="Times New Roman" w:hAnsi="Verdana" w:cs="Arial"/>
          <w:lang w:val="es-ES" w:eastAsia="es-ES"/>
        </w:rPr>
        <w:t>, pues en la Circular Externa Única se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puede ser subsanada.</w:t>
      </w:r>
    </w:p>
    <w:p w14:paraId="3550ABDA" w14:textId="77777777" w:rsidR="007E4A13" w:rsidRPr="00D16A5E" w:rsidRDefault="007E4A13" w:rsidP="007E4A13">
      <w:pPr>
        <w:tabs>
          <w:tab w:val="left" w:pos="284"/>
        </w:tabs>
        <w:spacing w:after="0" w:line="276" w:lineRule="auto"/>
        <w:ind w:firstLine="709"/>
        <w:jc w:val="both"/>
        <w:rPr>
          <w:rFonts w:ascii="Verdana" w:eastAsia="Times New Roman" w:hAnsi="Verdana" w:cs="Arial"/>
          <w:lang w:val="es-ES_tradnl" w:eastAsia="es-CO"/>
        </w:rPr>
      </w:pPr>
      <w:r w:rsidRPr="00D16A5E">
        <w:rPr>
          <w:rFonts w:ascii="Verdana" w:eastAsia="Times New Roman" w:hAnsi="Verdana" w:cs="Arial"/>
          <w:lang w:val="es-ES_tradnl" w:eastAsia="es-CO"/>
        </w:rPr>
        <w:t xml:space="preserve">Finalmente, en un </w:t>
      </w:r>
      <w:r w:rsidRPr="00D16A5E">
        <w:rPr>
          <w:rFonts w:ascii="Verdana" w:eastAsia="Times New Roman" w:hAnsi="Verdana" w:cs="Arial"/>
          <w:i/>
          <w:lang w:val="es-ES_tradnl" w:eastAsia="es-CO"/>
        </w:rPr>
        <w:t>cuarto momento</w:t>
      </w:r>
      <w:r w:rsidRPr="00D16A5E">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 xml:space="preserve">4° del artículo 5 de la Ley 1150 de 2007: </w:t>
      </w:r>
    </w:p>
    <w:p w14:paraId="72DD8B28" w14:textId="77777777" w:rsidR="007E4A13" w:rsidRPr="000D2E9F" w:rsidRDefault="007E4A13" w:rsidP="007E4A13">
      <w:pPr>
        <w:spacing w:after="0" w:line="276" w:lineRule="auto"/>
        <w:ind w:left="709" w:right="709"/>
        <w:jc w:val="both"/>
        <w:rPr>
          <w:rFonts w:ascii="Verdana" w:eastAsia="Times New Roman" w:hAnsi="Verdana" w:cs="Arial"/>
          <w:lang w:val="es-ES_tradnl" w:eastAsia="es-CO"/>
        </w:rPr>
      </w:pPr>
    </w:p>
    <w:p w14:paraId="383069E1" w14:textId="77777777" w:rsidR="007E4A13" w:rsidRPr="00556BC7" w:rsidRDefault="007E4A13" w:rsidP="007E4A13">
      <w:pPr>
        <w:spacing w:after="0" w:line="240" w:lineRule="auto"/>
        <w:ind w:left="709" w:right="709"/>
        <w:jc w:val="both"/>
        <w:rPr>
          <w:rFonts w:ascii="Verdana" w:eastAsia="Times New Roman" w:hAnsi="Verdana" w:cs="Arial"/>
          <w:sz w:val="20"/>
          <w:szCs w:val="20"/>
          <w:lang w:val="es-ES_tradnl" w:eastAsia="es-CO"/>
        </w:rPr>
      </w:pPr>
      <w:r w:rsidRPr="00556BC7">
        <w:rPr>
          <w:rFonts w:ascii="Verdana" w:eastAsia="Times New Roman" w:hAnsi="Verdana" w:cs="Arial"/>
          <w:sz w:val="20"/>
          <w:szCs w:val="20"/>
          <w:lang w:val="es-ES_tradnl" w:eastAsia="es-CO"/>
        </w:rPr>
        <w:t xml:space="preserve">Artículo 5°. De la selección objetiva. </w:t>
      </w:r>
    </w:p>
    <w:p w14:paraId="345AA964" w14:textId="77777777" w:rsidR="007E4A13" w:rsidRDefault="007E4A13" w:rsidP="007E4A13">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15213434"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556BC7">
        <w:rPr>
          <w:rStyle w:val="eop"/>
          <w:rFonts w:ascii="Verdana" w:hAnsi="Verdana" w:cs="Arial"/>
          <w:color w:val="000000"/>
          <w:sz w:val="20"/>
          <w:szCs w:val="20"/>
        </w:rPr>
        <w:t> </w:t>
      </w:r>
    </w:p>
    <w:p w14:paraId="35DC5E52"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621B48CD"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w:t>
      </w:r>
      <w:r w:rsidRPr="00556BC7">
        <w:rPr>
          <w:rStyle w:val="normaltextrun"/>
          <w:rFonts w:ascii="Verdana" w:hAnsi="Verdana" w:cs="Arial"/>
          <w:color w:val="000000"/>
          <w:sz w:val="20"/>
          <w:szCs w:val="20"/>
          <w:lang w:val="es-ES"/>
        </w:rPr>
        <w:lastRenderedPageBreak/>
        <w:t>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4BC4D895"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9B5AC7C"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29A70184"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p>
    <w:p w14:paraId="06F1F116"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0ABA7B17"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p>
    <w:p w14:paraId="2F10C745"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31B97876"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p>
    <w:p w14:paraId="334F0AE7"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7A62170E"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p>
    <w:p w14:paraId="201B7DCE"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59B61C47"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3A67C4D5"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39F6EE94"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12B7D61"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0C75D55F"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F875CE7"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1o. &lt;Parágrafo modificado por el artículo 5 de la Ley 1882 de 2018. El nuevo texto es el siguiente:&gt; La ausencia de requisitos o la falta de documentos referentes a la futura contratación o al proponente, no </w:t>
      </w:r>
      <w:r w:rsidRPr="00556BC7">
        <w:rPr>
          <w:rStyle w:val="normaltextrun"/>
          <w:rFonts w:ascii="Verdana" w:hAnsi="Verdana" w:cs="Arial"/>
          <w:color w:val="000000"/>
          <w:sz w:val="20"/>
          <w:szCs w:val="20"/>
          <w:lang w:val="es-ES"/>
        </w:rPr>
        <w:lastRenderedPageBreak/>
        <w:t>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556BC7">
        <w:rPr>
          <w:rStyle w:val="eop"/>
          <w:rFonts w:ascii="Verdana" w:hAnsi="Verdana" w:cs="Arial"/>
          <w:color w:val="000000"/>
          <w:sz w:val="20"/>
          <w:szCs w:val="20"/>
        </w:rPr>
        <w:t> </w:t>
      </w:r>
    </w:p>
    <w:p w14:paraId="2703D705"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95CB122"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540448C8"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368FBEB"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2D95495A"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32BD983"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3o. &lt;Parágrafo adicionado por el artículo 5 de la Ley 1882 de 2018. El nuevo texto es el siguiente:&gt; La no entrega de la garantía de seriedad junto con la propuesta no será subsanable y será causal de rechazo de la misma.</w:t>
      </w:r>
      <w:r w:rsidRPr="00556BC7">
        <w:rPr>
          <w:rStyle w:val="eop"/>
          <w:rFonts w:ascii="Verdana" w:hAnsi="Verdana" w:cs="Arial"/>
          <w:color w:val="000000"/>
          <w:sz w:val="20"/>
          <w:szCs w:val="20"/>
        </w:rPr>
        <w:t> </w:t>
      </w:r>
    </w:p>
    <w:p w14:paraId="54444BEF"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B21E564"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556BC7">
        <w:rPr>
          <w:rStyle w:val="eop"/>
          <w:rFonts w:ascii="Verdana" w:hAnsi="Verdana" w:cs="Arial"/>
          <w:color w:val="000000"/>
          <w:sz w:val="20"/>
          <w:szCs w:val="20"/>
        </w:rPr>
        <w:t> </w:t>
      </w:r>
    </w:p>
    <w:p w14:paraId="3E6A17CD"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71FF196" w14:textId="77777777" w:rsidR="007E4A13" w:rsidRPr="00556BC7" w:rsidRDefault="007E4A13" w:rsidP="007E4A13">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r w:rsidRPr="00556BC7">
        <w:rPr>
          <w:rStyle w:val="eop"/>
          <w:rFonts w:ascii="Verdana" w:hAnsi="Verdana" w:cs="Arial"/>
          <w:color w:val="000000"/>
          <w:sz w:val="20"/>
          <w:szCs w:val="20"/>
        </w:rPr>
        <w:t> </w:t>
      </w:r>
    </w:p>
    <w:p w14:paraId="6F83C05C" w14:textId="77777777" w:rsidR="007E4A13" w:rsidRPr="00556BC7" w:rsidRDefault="007E4A13" w:rsidP="007E4A13">
      <w:pPr>
        <w:spacing w:after="0" w:line="276" w:lineRule="auto"/>
        <w:ind w:left="709" w:right="709"/>
        <w:jc w:val="both"/>
        <w:rPr>
          <w:rFonts w:ascii="Verdana" w:eastAsia="Times New Roman" w:hAnsi="Verdana" w:cs="Arial"/>
          <w:lang w:eastAsia="es-CO"/>
        </w:rPr>
      </w:pPr>
    </w:p>
    <w:p w14:paraId="2C778475"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002139E0" w14:textId="77777777" w:rsidR="007E4A13" w:rsidRPr="00D16A5E" w:rsidRDefault="007E4A13" w:rsidP="007E4A13">
      <w:pPr>
        <w:spacing w:after="120" w:line="276" w:lineRule="auto"/>
        <w:ind w:right="51"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lastRenderedPageBreak/>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el ámbito temporal para ejercer la facultad de subsanar la oferta, pues la Ley 1882 de 2018 fijó una regla 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4"/>
      </w:r>
      <w:r>
        <w:rPr>
          <w:rFonts w:ascii="Verdana" w:eastAsia="Times New Roman" w:hAnsi="Verdana" w:cs="Arial"/>
          <w:lang w:val="es-ES_tradnl" w:eastAsia="es-ES_tradnl"/>
        </w:rPr>
        <w:t>.</w:t>
      </w:r>
    </w:p>
    <w:p w14:paraId="15B5F0CA"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15932803">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15932803">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15932803">
        <w:rPr>
          <w:rFonts w:ascii="Verdana" w:eastAsia="Times New Roman" w:hAnsi="Verdana" w:cs="Arial"/>
          <w:lang w:val="es-ES" w:eastAsia="es-ES"/>
        </w:rPr>
        <w:t xml:space="preserve"> </w:t>
      </w:r>
    </w:p>
    <w:p w14:paraId="7FE32183"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Sin perjuicio de lo expuesto</w:t>
      </w:r>
      <w:r w:rsidRPr="00D16A5E">
        <w:rPr>
          <w:rFonts w:ascii="Verdana" w:eastAsia="Times New Roman" w:hAnsi="Verdana" w:cs="Arial"/>
          <w:lang w:val="es-ES" w:eastAsia="es-ES"/>
        </w:rPr>
        <w:t>,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S</w:t>
      </w:r>
      <w:r w:rsidRPr="00D16A5E">
        <w:rPr>
          <w:rFonts w:ascii="Verdana" w:eastAsia="Times New Roman" w:hAnsi="Verdana" w:cs="Arial"/>
          <w:lang w:val="es-ES" w:eastAsia="es-ES"/>
        </w:rPr>
        <w:t xml:space="preserve">egunda,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4789ACA3" w14:textId="77777777" w:rsidR="007E4A13" w:rsidRPr="00D16A5E" w:rsidRDefault="007E4A13" w:rsidP="007E4A13">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07B0B39F" w14:textId="77777777" w:rsidR="007E4A13" w:rsidRPr="00D16A5E" w:rsidRDefault="007E4A13" w:rsidP="007E4A13">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lastRenderedPageBreak/>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20E79C67"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7067D363" w14:textId="77777777" w:rsidR="007E4A13" w:rsidRPr="00D16A5E" w:rsidRDefault="007E4A13" w:rsidP="007E4A13">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5A25711A"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w:t>
      </w:r>
      <w:r w:rsidRPr="000C12F6">
        <w:rPr>
          <w:rFonts w:ascii="Verdana" w:eastAsia="Times New Roman" w:hAnsi="Verdana" w:cs="Arial"/>
          <w:lang w:val="es-ES" w:eastAsia="es-ES"/>
        </w:rPr>
        <w:t xml:space="preserve">e el </w:t>
      </w:r>
      <w:r w:rsidRPr="000C12F6">
        <w:rPr>
          <w:rFonts w:ascii="Verdana" w:eastAsia="Times New Roman" w:hAnsi="Verdana" w:cs="Arial"/>
          <w:lang w:val="es-ES" w:eastAsia="es-ES"/>
        </w:rPr>
        <w:lastRenderedPageBreak/>
        <w:t xml:space="preserve">vencimiento del plazo para la presentación de las ofertas y que </w:t>
      </w:r>
      <w:r w:rsidRPr="00D16A5E">
        <w:rPr>
          <w:rFonts w:ascii="Verdana" w:eastAsia="Times New Roman" w:hAnsi="Verdana" w:cs="Arial"/>
          <w:lang w:val="es-ES" w:eastAsia="es-ES"/>
        </w:rPr>
        <w:t>lo subsanable son las circunstancias que ocurrieron con anterioridad a esa fecha</w:t>
      </w:r>
      <w:r w:rsidRPr="00D16A5E">
        <w:rPr>
          <w:rFonts w:ascii="Verdana" w:eastAsia="Times New Roman" w:hAnsi="Verdana" w:cs="Arial"/>
          <w:vertAlign w:val="superscript"/>
          <w:lang w:val="es-ES" w:eastAsia="es-ES"/>
        </w:rPr>
        <w:footnoteReference w:id="5"/>
      </w:r>
      <w:r w:rsidRPr="00D16A5E">
        <w:rPr>
          <w:rFonts w:ascii="Verdana" w:eastAsia="Times New Roman" w:hAnsi="Verdana" w:cs="Arial"/>
          <w:lang w:val="es-ES" w:eastAsia="es-ES"/>
        </w:rPr>
        <w:t>.</w:t>
      </w:r>
    </w:p>
    <w:p w14:paraId="6970E143" w14:textId="77777777" w:rsidR="007E4A13" w:rsidRPr="00D16A5E" w:rsidRDefault="007E4A13" w:rsidP="007E4A13">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A7EB9FB"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w:t>
      </w:r>
      <w:r w:rsidRPr="000C12F6">
        <w:rPr>
          <w:rFonts w:ascii="Verdana" w:eastAsia="Times New Roman" w:hAnsi="Verdana" w:cs="Arial"/>
          <w:i/>
          <w:lang w:val="es-ES" w:eastAsia="es-ES"/>
        </w:rPr>
        <w:t>so”</w:t>
      </w:r>
      <w:r w:rsidRPr="000C12F6">
        <w:rPr>
          <w:rFonts w:ascii="Verdana" w:eastAsia="Times New Roman" w:hAnsi="Verdana" w:cs="Arial"/>
          <w:lang w:val="es-ES" w:eastAsia="es-ES"/>
        </w:rPr>
        <w:t xml:space="preserve"> implica distinguir entre la prueba de un hecho y el hecho mismo. En</w:t>
      </w:r>
      <w:r w:rsidRPr="00D16A5E">
        <w:rPr>
          <w:rFonts w:ascii="Verdana" w:eastAsia="Times New Roman" w:hAnsi="Verdana" w:cs="Arial"/>
          <w:lang w:val="es-ES" w:eastAsia="es-ES"/>
        </w:rPr>
        <w:t xml:space="preserve">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6"/>
      </w:r>
      <w:r w:rsidRPr="00D16A5E">
        <w:rPr>
          <w:rFonts w:ascii="Verdana" w:eastAsia="Times New Roman" w:hAnsi="Verdana" w:cs="Arial"/>
          <w:lang w:val="es-ES" w:eastAsia="es-ES"/>
        </w:rPr>
        <w:t xml:space="preserve">. </w:t>
      </w:r>
    </w:p>
    <w:p w14:paraId="5AB1A893" w14:textId="77777777" w:rsidR="007E4A13" w:rsidRPr="00D16A5E" w:rsidRDefault="007E4A13" w:rsidP="007E4A13">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Por ejemplo: i) si un oferente olvidó adjuntar con su propuesta el certificado que da cuenta de su inscripción en el RUP, el requisito será </w:t>
      </w:r>
      <w:r w:rsidRPr="00D16A5E">
        <w:rPr>
          <w:rFonts w:ascii="Verdana" w:eastAsia="Times New Roman" w:hAnsi="Verdana" w:cs="Arial"/>
          <w:lang w:val="es-ES" w:eastAsia="es-ES"/>
        </w:rPr>
        <w:lastRenderedPageBreak/>
        <w:t>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7"/>
      </w:r>
      <w:r w:rsidRPr="00D16A5E">
        <w:rPr>
          <w:rFonts w:ascii="Verdana" w:eastAsia="Times New Roman" w:hAnsi="Verdana" w:cs="Arial"/>
          <w:lang w:val="es-ES" w:eastAsia="es-ES"/>
        </w:rPr>
        <w:t>; iii)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8"/>
      </w:r>
      <w:r w:rsidRPr="00D16A5E">
        <w:rPr>
          <w:rFonts w:ascii="Verdana" w:eastAsia="Times New Roman" w:hAnsi="Verdana" w:cs="Arial"/>
          <w:lang w:val="es-ES" w:eastAsia="es-ES"/>
        </w:rPr>
        <w:t xml:space="preserve">; iv) si un oferente olvidó adjuntar un certificado que demuestra un título universitario, el </w:t>
      </w:r>
      <w:r w:rsidRPr="000C12F6">
        <w:rPr>
          <w:rFonts w:ascii="Verdana" w:eastAsia="Times New Roman" w:hAnsi="Verdana" w:cs="Arial"/>
          <w:lang w:val="es-ES" w:eastAsia="es-ES"/>
        </w:rPr>
        <w:t>documento, aunque tenga fecha posterior al cierre del proceso, debe</w:t>
      </w:r>
      <w:r w:rsidRPr="00D16A5E">
        <w:rPr>
          <w:rFonts w:ascii="Verdana" w:eastAsia="Times New Roman" w:hAnsi="Verdana" w:cs="Arial"/>
          <w:lang w:val="es-ES" w:eastAsia="es-ES"/>
        </w:rPr>
        <w:t xml:space="preserv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6C9CF9CC" w14:textId="77777777" w:rsidR="007E4A13" w:rsidRDefault="007E4A13" w:rsidP="007E4A13">
      <w:pPr>
        <w:spacing w:after="120" w:line="276" w:lineRule="auto"/>
        <w:ind w:firstLine="709"/>
        <w:jc w:val="both"/>
        <w:rPr>
          <w:rFonts w:ascii="Verdana" w:eastAsia="Times New Roman" w:hAnsi="Verdana" w:cs="Arial"/>
          <w:i/>
          <w:lang w:val="es-ES" w:eastAsia="es-ES"/>
        </w:rPr>
      </w:pPr>
      <w:r w:rsidRPr="00C33859">
        <w:rPr>
          <w:rFonts w:ascii="Verdana" w:eastAsia="Times New Roman" w:hAnsi="Verdana" w:cs="Arial"/>
          <w:lang w:val="es-ES" w:eastAsia="es-ES"/>
        </w:rPr>
        <w:t>Lo anterior quiere decir que no es la prueba –usualmente un documento– lo que debe ser anterior al cierre del proceso, sino el hecho que ella acredita. Es</w:t>
      </w:r>
      <w:r w:rsidRPr="00D16A5E">
        <w:rPr>
          <w:rFonts w:ascii="Verdana" w:eastAsia="Times New Roman" w:hAnsi="Verdana" w:cs="Arial"/>
          <w:lang w:val="es-ES" w:eastAsia="es-ES"/>
        </w:rPr>
        <w:t xml:space="preserve">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9"/>
      </w:r>
      <w:r w:rsidRPr="00D16A5E">
        <w:rPr>
          <w:rFonts w:ascii="Verdana" w:eastAsia="Times New Roman" w:hAnsi="Verdana" w:cs="Arial"/>
          <w:lang w:val="es-ES" w:eastAsia="es-ES"/>
        </w:rPr>
        <w:t>.</w:t>
      </w:r>
    </w:p>
    <w:p w14:paraId="5D28049D" w14:textId="77777777" w:rsidR="007E4A13" w:rsidRPr="009F4606" w:rsidRDefault="007E4A13" w:rsidP="007E4A13">
      <w:pPr>
        <w:spacing w:after="120" w:line="276" w:lineRule="auto"/>
        <w:ind w:firstLine="709"/>
        <w:jc w:val="both"/>
        <w:rPr>
          <w:rStyle w:val="eop"/>
          <w:rFonts w:ascii="Verdana" w:hAnsi="Verdana" w:cs="Arial"/>
          <w:color w:val="000000"/>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 xml:space="preserve">la no entrega de la garantía de seriedad </w:t>
      </w:r>
      <w:r w:rsidRPr="009F4606">
        <w:rPr>
          <w:rStyle w:val="normaltextrun"/>
          <w:rFonts w:ascii="Verdana" w:hAnsi="Verdana" w:cs="Arial"/>
          <w:color w:val="000000"/>
          <w:lang w:val="es-ES"/>
        </w:rPr>
        <w:lastRenderedPageBreak/>
        <w:t>junto con la propuesta no será subsanable y será causal de rechazo de la misma</w:t>
      </w:r>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6345DE77" w14:textId="77777777" w:rsidR="007E4A13" w:rsidRDefault="007E4A13" w:rsidP="007E4A13">
      <w:pPr>
        <w:spacing w:after="120" w:line="276" w:lineRule="auto"/>
        <w:ind w:firstLine="709"/>
        <w:jc w:val="both"/>
        <w:rPr>
          <w:rFonts w:ascii="Verdana" w:eastAsia="Times New Roman" w:hAnsi="Verdana" w:cs="Arial"/>
          <w:lang w:val="es-ES" w:eastAsia="es-ES"/>
        </w:rPr>
      </w:pPr>
      <w:r w:rsidRPr="50927A94">
        <w:rPr>
          <w:rFonts w:ascii="Verdana" w:eastAsia="Times New Roman" w:hAnsi="Verdana" w:cs="Arial"/>
          <w:lang w:val="es-ES" w:eastAsia="es-ES"/>
        </w:rPr>
        <w:t>Visto lo anterior,</w:t>
      </w:r>
      <w:r>
        <w:rPr>
          <w:rFonts w:ascii="Verdana" w:eastAsia="Times New Roman" w:hAnsi="Verdana" w:cs="Arial"/>
          <w:lang w:val="es-ES" w:eastAsia="es-ES"/>
        </w:rPr>
        <w:t xml:space="preserve"> con miras a dar respuesta al problema jurídico planteado, debe decirse que,</w:t>
      </w:r>
      <w:r w:rsidRPr="50927A94">
        <w:rPr>
          <w:rFonts w:ascii="Verdana" w:eastAsia="Times New Roman" w:hAnsi="Verdana" w:cs="Arial"/>
          <w:lang w:val="es-ES" w:eastAsia="es-ES"/>
        </w:rPr>
        <w:t xml:space="preserve"> una vez verificada la ausencia de requisitos y/o documentos de la oferta, para efectos de saber si se pueden subsanar, la Administración se debe preguntar</w:t>
      </w:r>
      <w:r>
        <w:rPr>
          <w:rFonts w:ascii="Verdana" w:eastAsia="Times New Roman" w:hAnsi="Verdana" w:cs="Arial"/>
          <w:lang w:val="es-ES" w:eastAsia="es-ES"/>
        </w:rPr>
        <w:t xml:space="preserve">: </w:t>
      </w:r>
      <w:r w:rsidRPr="50927A94">
        <w:rPr>
          <w:rFonts w:ascii="Verdana" w:eastAsia="Times New Roman" w:hAnsi="Verdana" w:cs="Arial"/>
          <w:lang w:val="es-ES" w:eastAsia="es-ES"/>
        </w:rPr>
        <w:t>en primer lugar, si lo que hace falta es un documento que afecte la asignación de puntaje o no y</w:t>
      </w:r>
      <w:r>
        <w:rPr>
          <w:rFonts w:ascii="Verdana" w:eastAsia="Times New Roman" w:hAnsi="Verdana" w:cs="Arial"/>
          <w:lang w:val="es-ES" w:eastAsia="es-ES"/>
        </w:rPr>
        <w:t>;</w:t>
      </w:r>
      <w:r w:rsidRPr="50927A94">
        <w:rPr>
          <w:rFonts w:ascii="Verdana" w:eastAsia="Times New Roman" w:hAnsi="Verdana" w:cs="Arial"/>
          <w:lang w:val="es-ES" w:eastAsia="es-ES"/>
        </w:rPr>
        <w:t xml:space="preserve">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0A74567F" w14:textId="77777777" w:rsidR="007E4A13" w:rsidRPr="001A10D9" w:rsidRDefault="007E4A13" w:rsidP="007E4A13">
      <w:pPr>
        <w:spacing w:after="120" w:line="276" w:lineRule="auto"/>
        <w:ind w:firstLine="709"/>
        <w:jc w:val="both"/>
        <w:rPr>
          <w:rFonts w:ascii="Verdana" w:hAnsi="Verdana" w:cs="Arial"/>
          <w:noProof/>
          <w:lang w:val="es-ES_tradnl"/>
        </w:rPr>
      </w:pPr>
      <w:r w:rsidRPr="001A10D9">
        <w:rPr>
          <w:rFonts w:ascii="Verdana" w:hAnsi="Verdana" w:cs="Arial"/>
          <w:noProof/>
          <w:lang w:val="es-ES_tradnl"/>
        </w:rPr>
        <w:t xml:space="preserve">En conclusion, los requisitos o documentos que no sean necesarios para la comparación de las ofertas pueden subsanarse y todo lo que no sea necesario para la comparación de propuestas no es título suficiente para su rechazo. En sentido, </w:t>
      </w:r>
      <w:r>
        <w:rPr>
          <w:rFonts w:ascii="Verdana" w:hAnsi="Verdana" w:cs="Arial"/>
          <w:noProof/>
          <w:lang w:val="es-ES_tradnl"/>
        </w:rPr>
        <w:t xml:space="preserve">a manera de ejemplo, </w:t>
      </w:r>
      <w:r w:rsidRPr="001A10D9">
        <w:rPr>
          <w:rFonts w:ascii="Verdana" w:hAnsi="Verdana" w:cs="Arial"/>
          <w:noProof/>
          <w:lang w:val="es-ES_tradnl"/>
        </w:rPr>
        <w:t xml:space="preserve">si en un concurso de méritos se presentó a un profesional para cumplir con un perfil solicitado como requisito habilitante, pero la entidad encontró alguna inconsistencia, podría subsanarse el requisito habilitante. </w:t>
      </w:r>
    </w:p>
    <w:p w14:paraId="2C2702C1" w14:textId="77777777" w:rsidR="007E4A13" w:rsidRDefault="007E4A13" w:rsidP="007E4A13">
      <w:pPr>
        <w:spacing w:after="120" w:line="276" w:lineRule="auto"/>
        <w:ind w:firstLine="709"/>
        <w:jc w:val="both"/>
        <w:rPr>
          <w:rFonts w:ascii="Verdana" w:eastAsia="Times New Roman" w:hAnsi="Verdana" w:cs="Arial"/>
          <w:lang w:val="es-ES" w:eastAsia="es-ES"/>
        </w:rPr>
      </w:pPr>
    </w:p>
    <w:p w14:paraId="6FA17DED" w14:textId="77777777" w:rsidR="007E4A13" w:rsidRPr="00593A5F" w:rsidRDefault="007E4A13" w:rsidP="007E4A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168E8CE" w14:textId="77777777" w:rsidR="007E4A13" w:rsidRPr="00593A5F" w:rsidRDefault="007E4A13" w:rsidP="007E4A1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E4A13" w:rsidRPr="00593A5F" w14:paraId="3FC35A46" w14:textId="77777777" w:rsidTr="00B427E1">
        <w:trPr>
          <w:trHeight w:val="870"/>
        </w:trPr>
        <w:tc>
          <w:tcPr>
            <w:tcW w:w="8647" w:type="dxa"/>
          </w:tcPr>
          <w:p w14:paraId="50B7FC7A" w14:textId="77777777" w:rsidR="007E4A13" w:rsidRPr="00D16A5E" w:rsidRDefault="007E4A13" w:rsidP="00B427E1">
            <w:pPr>
              <w:pStyle w:val="Prrafodelista"/>
              <w:numPr>
                <w:ilvl w:val="0"/>
                <w:numId w:val="17"/>
              </w:numPr>
              <w:spacing w:after="120" w:line="276" w:lineRule="auto"/>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 xml:space="preserve">rtículo 5 de la Ley 1150 de 2007, modificado por la Ley 1882 de 2018, </w:t>
            </w:r>
            <w:r>
              <w:rPr>
                <w:rFonts w:ascii="Verdana" w:hAnsi="Verdana" w:cs="Arial"/>
                <w:noProof/>
                <w:lang w:val="es-ES_tradnl"/>
              </w:rPr>
              <w:t xml:space="preserve">artículo 5 </w:t>
            </w:r>
            <w:r w:rsidRPr="009F4606">
              <w:rPr>
                <w:rFonts w:ascii="Verdana" w:hAnsi="Verdana" w:cs="Arial"/>
                <w:noProof/>
                <w:lang w:val="es-ES_tradnl"/>
              </w:rPr>
              <w:t>parágrafos 1, 3 y 4.</w:t>
            </w:r>
            <w:r>
              <w:rPr>
                <w:rFonts w:ascii="Verdana" w:hAnsi="Verdana" w:cs="Arial"/>
                <w:noProof/>
                <w:lang w:val="es-ES_tradnl"/>
              </w:rPr>
              <w:t xml:space="preserve"> </w:t>
            </w:r>
          </w:p>
          <w:p w14:paraId="3D5DC5C3" w14:textId="77777777" w:rsidR="007E4A13" w:rsidRDefault="007E4A13" w:rsidP="00B427E1">
            <w:pPr>
              <w:pStyle w:val="Prrafodelista"/>
              <w:numPr>
                <w:ilvl w:val="0"/>
                <w:numId w:val="17"/>
              </w:numPr>
              <w:spacing w:after="120" w:line="276" w:lineRule="auto"/>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w14:paraId="5178A3D4" w14:textId="77777777" w:rsidR="007E4A13" w:rsidRPr="00340039" w:rsidRDefault="007E4A13" w:rsidP="00B427E1">
            <w:pPr>
              <w:pStyle w:val="Prrafodelista"/>
              <w:widowControl w:val="0"/>
              <w:numPr>
                <w:ilvl w:val="0"/>
                <w:numId w:val="17"/>
              </w:numPr>
              <w:autoSpaceDE w:val="0"/>
              <w:autoSpaceDN w:val="0"/>
              <w:spacing w:after="120" w:line="276" w:lineRule="auto"/>
              <w:jc w:val="both"/>
              <w:rPr>
                <w:rFonts w:ascii="Verdana" w:hAnsi="Verdana" w:cs="Arial"/>
                <w:color w:val="7030A0"/>
              </w:rPr>
            </w:pPr>
            <w:r w:rsidRPr="00F97212">
              <w:rPr>
                <w:rFonts w:ascii="Verdana" w:hAnsi="Verdana" w:cs="Arial"/>
                <w:noProof/>
                <w:lang w:val="es-ES_tradnl"/>
              </w:rPr>
              <w:t>Consejo De Estado, Sección Tercera, Subsección C. Sentencia del 26 de febrero de 2011. C.P. Jaime Orlando Santofimio. Rad. 36.408.</w:t>
            </w:r>
          </w:p>
          <w:p w14:paraId="1C31DBA0" w14:textId="77777777" w:rsidR="007E4A13" w:rsidRPr="00AC742F" w:rsidRDefault="007E4A13" w:rsidP="00B427E1">
            <w:pPr>
              <w:pStyle w:val="Prrafodelista"/>
              <w:numPr>
                <w:ilvl w:val="0"/>
                <w:numId w:val="17"/>
              </w:numPr>
              <w:spacing w:after="120" w:line="276" w:lineRule="auto"/>
              <w:jc w:val="both"/>
              <w:rPr>
                <w:rFonts w:ascii="Verdana" w:hAnsi="Verdana" w:cs="Arial"/>
              </w:rPr>
            </w:pPr>
            <w:r w:rsidRPr="00F97212">
              <w:rPr>
                <w:rFonts w:ascii="Verdana" w:hAnsi="Verdana" w:cs="Arial"/>
                <w:noProof/>
                <w:lang w:val="es-ES_tradnl"/>
              </w:rPr>
              <w:lastRenderedPageBreak/>
              <w:t>Consejo De Estado. Sección Tercera. Subsección C. Sentencia del 26 de febrero de 2014. Expediente: 25.804. Consejero Ponente: Enrique Gil Botero</w:t>
            </w:r>
            <w:r>
              <w:rPr>
                <w:rFonts w:ascii="Verdana" w:hAnsi="Verdana" w:cs="Arial"/>
                <w:noProof/>
                <w:lang w:val="es-ES_tradnl"/>
              </w:rPr>
              <w:t>.</w:t>
            </w:r>
          </w:p>
        </w:tc>
      </w:tr>
    </w:tbl>
    <w:p w14:paraId="446AFE67" w14:textId="77777777" w:rsidR="007E4A13" w:rsidRPr="00593A5F" w:rsidRDefault="007E4A13" w:rsidP="007E4A13">
      <w:pPr>
        <w:widowControl w:val="0"/>
        <w:autoSpaceDE w:val="0"/>
        <w:autoSpaceDN w:val="0"/>
        <w:spacing w:after="0" w:line="276" w:lineRule="auto"/>
        <w:jc w:val="both"/>
        <w:rPr>
          <w:rFonts w:ascii="Verdana" w:hAnsi="Verdana" w:cs="Arial"/>
        </w:rPr>
      </w:pPr>
    </w:p>
    <w:p w14:paraId="57AEA07D" w14:textId="77777777" w:rsidR="007E4A13" w:rsidRPr="00593A5F" w:rsidRDefault="007E4A13" w:rsidP="007E4A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14FCAE7" w14:textId="77777777" w:rsidR="007E4A13" w:rsidRPr="00BD2870" w:rsidRDefault="007E4A13" w:rsidP="007E4A13">
      <w:pPr>
        <w:widowControl w:val="0"/>
        <w:autoSpaceDE w:val="0"/>
        <w:autoSpaceDN w:val="0"/>
        <w:spacing w:after="0" w:line="276" w:lineRule="auto"/>
        <w:jc w:val="both"/>
        <w:rPr>
          <w:rFonts w:ascii="Verdana" w:hAnsi="Verdana" w:cs="Arial"/>
        </w:rPr>
      </w:pPr>
    </w:p>
    <w:p w14:paraId="4D27E48C" w14:textId="77777777" w:rsidR="007E4A13" w:rsidRDefault="007E4A13" w:rsidP="007E4A1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BD2870">
        <w:rPr>
          <w:rStyle w:val="normaltextrun"/>
          <w:rFonts w:ascii="Verdana" w:hAnsi="Verdana" w:cs="Arial"/>
          <w:shd w:val="clear" w:color="auto" w:fill="FFFFFF"/>
          <w:lang w:val="es-ES"/>
        </w:rPr>
        <w:t>Sobre la regla de subsanabilidad en los procesos de selección, se pronunció esta Subdirección en los conceptos 4201913000007643 del 26 de diciembre de 2019, C-343 del 17 de junio de 2020, C-518 del 9 de septiembre de 2020, C-614 del 5 de octubre de 2022, C-882 del 21 de diciembre de 2022, C-172 del 6 de junio de 2023, y C-748 del 29 de noviembre de 2024, entre otros. Es</w:t>
      </w:r>
      <w:r w:rsidRPr="00BD2870">
        <w:rPr>
          <w:rFonts w:ascii="Verdana" w:hAnsi="Verdana"/>
        </w:rPr>
        <w:t xml:space="preserve">tos y otros conceptos se encuentran </w:t>
      </w:r>
      <w:r w:rsidRPr="00A1554D">
        <w:rPr>
          <w:rFonts w:ascii="Verdana" w:hAnsi="Verdana"/>
        </w:rPr>
        <w:t xml:space="preserve">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7C02F9">
          <w:rPr>
            <w:rStyle w:val="Hipervnculo"/>
            <w:rFonts w:ascii="Verdana" w:hAnsi="Verdana" w:cs="Arial"/>
            <w:color w:val="4472C4" w:themeColor="accent1"/>
            <w:shd w:val="clear" w:color="auto" w:fill="FFFFFF"/>
            <w:lang w:val="es-ES"/>
          </w:rPr>
          <w:t>https://relatoria.colombiacompra.gov.co/busqueda/conceptos</w:t>
        </w:r>
      </w:hyperlink>
      <w:r w:rsidRPr="007C02F9">
        <w:rPr>
          <w:rStyle w:val="normaltextrun"/>
          <w:rFonts w:ascii="Verdana" w:hAnsi="Verdana" w:cs="Arial"/>
          <w:color w:val="4472C4" w:themeColor="accent1"/>
          <w:shd w:val="clear" w:color="auto" w:fill="FFFFFF"/>
          <w:lang w:val="es-ES"/>
        </w:rPr>
        <w:t xml:space="preserve"> </w:t>
      </w:r>
    </w:p>
    <w:p w14:paraId="0E77A687" w14:textId="77777777" w:rsidR="007E4A13" w:rsidRDefault="007E4A13" w:rsidP="007E4A1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F3C5074" w14:textId="77777777" w:rsidR="007E4A13" w:rsidRPr="009A385A" w:rsidRDefault="007E4A13" w:rsidP="007E4A13">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67E72996" w14:textId="77777777" w:rsidR="007E4A13" w:rsidRDefault="007E4A13" w:rsidP="007E4A13">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2A334938" w14:textId="77777777" w:rsidR="007E4A13" w:rsidRPr="009A385A" w:rsidRDefault="007E4A13" w:rsidP="007E4A13">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lastRenderedPageBreak/>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C8CA823" w14:textId="77777777" w:rsidR="007E4A13" w:rsidRDefault="007E4A13" w:rsidP="007E4A13">
      <w:pPr>
        <w:spacing w:after="0" w:line="240" w:lineRule="auto"/>
        <w:jc w:val="both"/>
        <w:rPr>
          <w:rFonts w:ascii="Verdana" w:hAnsi="Verdana"/>
        </w:rPr>
      </w:pPr>
    </w:p>
    <w:p w14:paraId="0B1B0270" w14:textId="77777777" w:rsidR="007E4A13" w:rsidRPr="003E2460" w:rsidRDefault="007E4A13" w:rsidP="007E4A13">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6392D40" w14:textId="77777777" w:rsidR="007E4A13" w:rsidRPr="003E2460" w:rsidRDefault="007E4A13" w:rsidP="007E4A13">
      <w:pPr>
        <w:spacing w:after="0" w:line="240" w:lineRule="auto"/>
        <w:jc w:val="both"/>
        <w:rPr>
          <w:rFonts w:ascii="Verdana" w:hAnsi="Verdana"/>
        </w:rPr>
      </w:pPr>
    </w:p>
    <w:p w14:paraId="7A89AA51" w14:textId="77777777" w:rsidR="007E4A13" w:rsidRPr="003E2460" w:rsidRDefault="007E4A13" w:rsidP="007E4A13">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E57DCDD" w14:textId="77777777" w:rsidR="007E4A13" w:rsidRPr="003E2460" w:rsidRDefault="007E4A13" w:rsidP="007E4A13">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5BC0D271" w14:textId="77777777" w:rsidR="007E4A13" w:rsidRPr="003E2460" w:rsidRDefault="007E4A13" w:rsidP="007E4A13">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F560FD2" w14:textId="77777777" w:rsidR="007E4A13" w:rsidRPr="00593A5F" w:rsidRDefault="007E4A13" w:rsidP="007E4A13">
      <w:pPr>
        <w:widowControl w:val="0"/>
        <w:autoSpaceDE w:val="0"/>
        <w:autoSpaceDN w:val="0"/>
        <w:spacing w:after="0" w:line="276" w:lineRule="auto"/>
        <w:jc w:val="both"/>
        <w:rPr>
          <w:rFonts w:ascii="Verdana" w:hAnsi="Verdana" w:cs="Arial"/>
        </w:rPr>
      </w:pPr>
    </w:p>
    <w:p w14:paraId="73A9ABCD" w14:textId="77777777" w:rsidR="007E4A13" w:rsidRPr="00593A5F" w:rsidRDefault="007E4A13" w:rsidP="007E4A1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F30C05F" w14:textId="77777777" w:rsidR="007E4A13" w:rsidRPr="00593A5F" w:rsidRDefault="007E4A13" w:rsidP="007E4A13">
      <w:pPr>
        <w:widowControl w:val="0"/>
        <w:autoSpaceDE w:val="0"/>
        <w:autoSpaceDN w:val="0"/>
        <w:spacing w:after="0" w:line="276" w:lineRule="auto"/>
        <w:jc w:val="both"/>
        <w:rPr>
          <w:rFonts w:ascii="Verdana" w:hAnsi="Verdana" w:cs="Arial"/>
        </w:rPr>
      </w:pPr>
    </w:p>
    <w:p w14:paraId="1C50E1BE" w14:textId="77777777" w:rsidR="007E4A13" w:rsidRPr="00593A5F" w:rsidRDefault="007E4A13" w:rsidP="007E4A1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5F0F8B5" w14:textId="1D59B5D7" w:rsidR="007E4A13" w:rsidRPr="000C12F6" w:rsidRDefault="00175909" w:rsidP="007E4A13">
      <w:pPr>
        <w:spacing w:line="276" w:lineRule="auto"/>
        <w:jc w:val="center"/>
        <w:rPr>
          <w:rFonts w:ascii="Verdana" w:hAnsi="Verdana" w:cs="Arial"/>
          <w:lang w:val="es-ES_tradnl" w:eastAsia="es-CO"/>
        </w:rPr>
      </w:pPr>
      <w:r w:rsidRPr="002C3AD6">
        <w:rPr>
          <w:rFonts w:ascii="Century Gothic" w:hAnsi="Century Gothic"/>
          <w:noProof/>
        </w:rPr>
        <w:drawing>
          <wp:inline distT="0" distB="0" distL="0" distR="0" wp14:anchorId="15A1BC52" wp14:editId="78C246A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E4A13" w:rsidRPr="000C12F6" w14:paraId="7980381A" w14:textId="77777777" w:rsidTr="00B427E1">
        <w:trPr>
          <w:trHeight w:val="315"/>
        </w:trPr>
        <w:tc>
          <w:tcPr>
            <w:tcW w:w="893" w:type="dxa"/>
            <w:vAlign w:val="center"/>
            <w:hideMark/>
          </w:tcPr>
          <w:p w14:paraId="68822AEB" w14:textId="77777777" w:rsidR="007E4A13" w:rsidRPr="000C12F6" w:rsidRDefault="007E4A13" w:rsidP="00B427E1">
            <w:pPr>
              <w:contextualSpacing/>
              <w:rPr>
                <w:rFonts w:ascii="Verdana" w:hAnsi="Verdana" w:cs="Arial"/>
                <w:sz w:val="16"/>
                <w:szCs w:val="16"/>
                <w:lang w:val="es-ES" w:eastAsia="es-ES"/>
              </w:rPr>
            </w:pPr>
            <w:r w:rsidRPr="000C12F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4B55A2D" w14:textId="77777777" w:rsidR="007E4A13" w:rsidRPr="000C12F6" w:rsidRDefault="007E4A13" w:rsidP="00B427E1">
            <w:pPr>
              <w:contextualSpacing/>
              <w:rPr>
                <w:rStyle w:val="normaltextrun"/>
                <w:rFonts w:ascii="Verdana" w:hAnsi="Verdana"/>
                <w:sz w:val="16"/>
                <w:szCs w:val="16"/>
              </w:rPr>
            </w:pPr>
            <w:r>
              <w:rPr>
                <w:rStyle w:val="normaltextrun"/>
                <w:rFonts w:ascii="Verdana" w:hAnsi="Verdana"/>
                <w:sz w:val="16"/>
                <w:szCs w:val="16"/>
              </w:rPr>
              <w:t>Richard Andrés Montenegro Siefken</w:t>
            </w:r>
          </w:p>
          <w:p w14:paraId="1C516444" w14:textId="77777777" w:rsidR="007E4A13" w:rsidRPr="000C12F6" w:rsidRDefault="007E4A13" w:rsidP="00B427E1">
            <w:pPr>
              <w:contextualSpacing/>
              <w:rPr>
                <w:rFonts w:ascii="Verdana" w:eastAsia="Arial" w:hAnsi="Verdana" w:cs="Arial"/>
                <w:sz w:val="16"/>
                <w:szCs w:val="16"/>
              </w:rPr>
            </w:pPr>
            <w:r>
              <w:rPr>
                <w:rStyle w:val="normaltextrun"/>
                <w:rFonts w:ascii="Verdana" w:hAnsi="Verdana"/>
                <w:sz w:val="16"/>
                <w:szCs w:val="16"/>
              </w:rPr>
              <w:t>Contratista</w:t>
            </w:r>
            <w:r w:rsidRPr="000C12F6">
              <w:rPr>
                <w:rStyle w:val="normaltextrun"/>
                <w:rFonts w:ascii="Verdana" w:hAnsi="Verdana"/>
                <w:sz w:val="16"/>
                <w:szCs w:val="16"/>
              </w:rPr>
              <w:t xml:space="preserve"> </w:t>
            </w:r>
            <w:r w:rsidRPr="000C12F6">
              <w:rPr>
                <w:rStyle w:val="normaltextrun"/>
                <w:rFonts w:ascii="Verdana" w:eastAsia="Arial" w:hAnsi="Verdana" w:cs="Arial"/>
                <w:sz w:val="16"/>
                <w:szCs w:val="16"/>
              </w:rPr>
              <w:t>de la Subdirección de Gestión Contractual</w:t>
            </w:r>
          </w:p>
        </w:tc>
      </w:tr>
      <w:tr w:rsidR="007E4A13" w:rsidRPr="000C12F6" w14:paraId="3D0240C6" w14:textId="77777777" w:rsidTr="00B427E1">
        <w:trPr>
          <w:trHeight w:val="330"/>
        </w:trPr>
        <w:tc>
          <w:tcPr>
            <w:tcW w:w="893" w:type="dxa"/>
            <w:vAlign w:val="center"/>
            <w:hideMark/>
          </w:tcPr>
          <w:p w14:paraId="46F52E83" w14:textId="77777777" w:rsidR="007E4A13" w:rsidRPr="000C12F6" w:rsidRDefault="007E4A13" w:rsidP="00B427E1">
            <w:pPr>
              <w:contextualSpacing/>
              <w:rPr>
                <w:rFonts w:ascii="Verdana" w:hAnsi="Verdana" w:cs="Arial"/>
                <w:sz w:val="16"/>
                <w:szCs w:val="16"/>
                <w:lang w:val="es-ES" w:eastAsia="es-ES"/>
              </w:rPr>
            </w:pPr>
            <w:r w:rsidRPr="000C12F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06352D" w14:textId="77777777" w:rsidR="007E4A13" w:rsidRPr="000C12F6" w:rsidRDefault="007E4A13" w:rsidP="00B427E1">
            <w:pPr>
              <w:pStyle w:val="paragraph"/>
              <w:spacing w:after="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Lucia Saavedra Castañeda</w:t>
            </w:r>
          </w:p>
          <w:p w14:paraId="5432D42A" w14:textId="77777777" w:rsidR="007E4A13" w:rsidRPr="000C12F6" w:rsidRDefault="007E4A13" w:rsidP="00B427E1">
            <w:pPr>
              <w:pStyle w:val="paragraph"/>
              <w:spacing w:after="0"/>
              <w:contextualSpacing/>
              <w:textAlignment w:val="baseline"/>
              <w:rPr>
                <w:rFonts w:ascii="Verdana" w:hAnsi="Verdana" w:cs="Arial"/>
                <w:sz w:val="16"/>
                <w:szCs w:val="16"/>
                <w:lang w:val="es-ES"/>
              </w:rPr>
            </w:pPr>
            <w:r>
              <w:rPr>
                <w:rStyle w:val="normaltextrun"/>
                <w:rFonts w:ascii="Verdana" w:hAnsi="Verdana" w:cs="Arial"/>
                <w:sz w:val="16"/>
                <w:szCs w:val="16"/>
                <w:lang w:val="es-ES"/>
              </w:rPr>
              <w:t>Contratista</w:t>
            </w:r>
            <w:r w:rsidRPr="000C12F6">
              <w:rPr>
                <w:rStyle w:val="normaltextrun"/>
                <w:rFonts w:ascii="Verdana" w:hAnsi="Verdana" w:cs="Arial"/>
                <w:sz w:val="16"/>
                <w:szCs w:val="16"/>
                <w:lang w:val="es-ES"/>
              </w:rPr>
              <w:t xml:space="preserve"> de la Subdirección de Gestión Contractual </w:t>
            </w:r>
          </w:p>
        </w:tc>
      </w:tr>
      <w:tr w:rsidR="007E4A13" w:rsidRPr="000C12F6" w14:paraId="03CAC3B7" w14:textId="77777777" w:rsidTr="00B427E1">
        <w:trPr>
          <w:trHeight w:val="300"/>
        </w:trPr>
        <w:tc>
          <w:tcPr>
            <w:tcW w:w="893" w:type="dxa"/>
            <w:vAlign w:val="center"/>
          </w:tcPr>
          <w:p w14:paraId="1A7BCCE4" w14:textId="77777777" w:rsidR="007E4A13" w:rsidRPr="000C12F6" w:rsidRDefault="007E4A13" w:rsidP="00B427E1">
            <w:pPr>
              <w:contextualSpacing/>
              <w:rPr>
                <w:rFonts w:ascii="Verdana" w:hAnsi="Verdana" w:cs="Arial"/>
                <w:sz w:val="16"/>
                <w:szCs w:val="16"/>
                <w:lang w:val="es-ES" w:eastAsia="es-ES"/>
              </w:rPr>
            </w:pPr>
            <w:r w:rsidRPr="000C12F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A6FFBF4" w14:textId="77777777" w:rsidR="007E4A13" w:rsidRPr="000C12F6" w:rsidRDefault="007E4A13" w:rsidP="00B427E1">
            <w:pPr>
              <w:contextualSpacing/>
              <w:rPr>
                <w:rFonts w:ascii="Verdana" w:eastAsia="Calibri" w:hAnsi="Verdana" w:cs="Arial"/>
                <w:sz w:val="16"/>
                <w:szCs w:val="16"/>
                <w:lang w:val="pt-BR" w:eastAsia="es-ES"/>
              </w:rPr>
            </w:pPr>
            <w:r w:rsidRPr="000C12F6">
              <w:rPr>
                <w:rFonts w:ascii="Verdana" w:eastAsia="Calibri" w:hAnsi="Verdana" w:cs="Arial"/>
                <w:sz w:val="16"/>
                <w:szCs w:val="16"/>
                <w:lang w:val="pt-BR" w:eastAsia="es-ES"/>
              </w:rPr>
              <w:t>Carolina Quintero Gacharná</w:t>
            </w:r>
          </w:p>
          <w:p w14:paraId="55219129" w14:textId="77777777" w:rsidR="007E4A13" w:rsidRPr="000C12F6" w:rsidRDefault="007E4A13" w:rsidP="00B427E1">
            <w:pPr>
              <w:contextualSpacing/>
              <w:rPr>
                <w:rFonts w:ascii="Verdana" w:eastAsia="Calibri" w:hAnsi="Verdana" w:cs="Arial"/>
                <w:sz w:val="16"/>
                <w:szCs w:val="16"/>
                <w:lang w:val="pt-BR" w:eastAsia="es-ES"/>
              </w:rPr>
            </w:pPr>
            <w:r w:rsidRPr="000C12F6">
              <w:rPr>
                <w:rFonts w:ascii="Verdana" w:eastAsia="Calibri" w:hAnsi="Verdana" w:cs="Arial"/>
                <w:sz w:val="16"/>
                <w:szCs w:val="16"/>
                <w:lang w:eastAsia="es-ES"/>
              </w:rPr>
              <w:t>Subdirectora</w:t>
            </w:r>
            <w:r w:rsidRPr="000C12F6">
              <w:rPr>
                <w:rFonts w:ascii="Verdana" w:eastAsia="Calibri" w:hAnsi="Verdana" w:cs="Arial"/>
                <w:sz w:val="16"/>
                <w:szCs w:val="16"/>
                <w:lang w:val="pt-BR" w:eastAsia="es-ES"/>
              </w:rPr>
              <w:t xml:space="preserve"> de Gestión Contractual ANCP – CCE</w:t>
            </w:r>
          </w:p>
        </w:tc>
      </w:tr>
    </w:tbl>
    <w:p w14:paraId="0F293BF4" w14:textId="537319AE" w:rsidR="00127233" w:rsidRPr="007E4A13" w:rsidRDefault="00127233" w:rsidP="007E4A13"/>
    <w:sectPr w:rsidR="00127233" w:rsidRPr="007E4A1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C5C43" w14:textId="77777777" w:rsidR="00990A8D" w:rsidRDefault="00990A8D" w:rsidP="004A1847">
      <w:pPr>
        <w:spacing w:after="0" w:line="240" w:lineRule="auto"/>
      </w:pPr>
      <w:r>
        <w:separator/>
      </w:r>
    </w:p>
  </w:endnote>
  <w:endnote w:type="continuationSeparator" w:id="0">
    <w:p w14:paraId="46FF7498" w14:textId="77777777" w:rsidR="00990A8D" w:rsidRDefault="00990A8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7E4A13"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7E4A13">
      <w:rPr>
        <w:rFonts w:ascii="Verdana" w:eastAsia="Verdana" w:hAnsi="Verdana" w:cs="Verdana"/>
        <w:b/>
        <w:bCs/>
        <w:color w:val="000000" w:themeColor="text1"/>
        <w:sz w:val="18"/>
        <w:szCs w:val="18"/>
        <w:lang w:val="pt-PT" w:eastAsia="es-CO"/>
      </w:rPr>
      <w:t xml:space="preserve">Código: </w:t>
    </w:r>
    <w:r w:rsidRPr="007E4A13">
      <w:rPr>
        <w:rFonts w:ascii="Verdana" w:eastAsia="Verdana" w:hAnsi="Verdana" w:cs="Verdana"/>
        <w:color w:val="000000" w:themeColor="text1"/>
        <w:sz w:val="18"/>
        <w:szCs w:val="18"/>
        <w:lang w:val="pt-PT" w:eastAsia="es-CO"/>
      </w:rPr>
      <w:t xml:space="preserve">CCE-REC-FM-17 </w:t>
    </w:r>
    <w:r w:rsidRPr="007E4A13">
      <w:rPr>
        <w:rFonts w:ascii="Verdana" w:eastAsia="Verdana" w:hAnsi="Verdana" w:cs="Verdana"/>
        <w:b/>
        <w:bCs/>
        <w:color w:val="000000" w:themeColor="text1"/>
        <w:sz w:val="18"/>
        <w:szCs w:val="18"/>
        <w:lang w:val="pt-PT" w:eastAsia="es-CO"/>
      </w:rPr>
      <w:t xml:space="preserve">V: </w:t>
    </w:r>
    <w:r w:rsidRPr="007E4A13">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F815" w14:textId="77777777" w:rsidR="00990A8D" w:rsidRDefault="00990A8D" w:rsidP="004A1847">
      <w:pPr>
        <w:spacing w:after="0" w:line="240" w:lineRule="auto"/>
      </w:pPr>
      <w:r>
        <w:separator/>
      </w:r>
    </w:p>
  </w:footnote>
  <w:footnote w:type="continuationSeparator" w:id="0">
    <w:p w14:paraId="326CAF33" w14:textId="77777777" w:rsidR="00990A8D" w:rsidRDefault="00990A8D" w:rsidP="004A1847">
      <w:pPr>
        <w:spacing w:after="0" w:line="240" w:lineRule="auto"/>
      </w:pPr>
      <w:r>
        <w:continuationSeparator/>
      </w:r>
    </w:p>
  </w:footnote>
  <w:footnote w:id="1">
    <w:p w14:paraId="2BB6A41D"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Fonts w:ascii="Verdana" w:hAnsi="Verdana" w:cs="Arial"/>
          <w:color w:val="000000"/>
          <w:sz w:val="12"/>
          <w:szCs w:val="12"/>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18C2BF09" w14:textId="77777777" w:rsidR="007E4A13" w:rsidRPr="00E57C35" w:rsidRDefault="007E4A13" w:rsidP="007E4A13">
      <w:pPr>
        <w:pStyle w:val="Textonotapie"/>
        <w:ind w:firstLine="709"/>
        <w:jc w:val="both"/>
        <w:rPr>
          <w:rFonts w:ascii="Verdana" w:hAnsi="Verdana" w:cs="Arial"/>
          <w:color w:val="000000"/>
          <w:sz w:val="12"/>
          <w:szCs w:val="12"/>
        </w:rPr>
      </w:pPr>
    </w:p>
  </w:footnote>
  <w:footnote w:id="2">
    <w:p w14:paraId="0227863A"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Fonts w:ascii="Verdana" w:hAnsi="Verdana" w:cs="Arial"/>
          <w:color w:val="000000"/>
          <w:sz w:val="12"/>
          <w:szCs w:val="12"/>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41551D43" w14:textId="77777777" w:rsidR="007E4A13" w:rsidRPr="00E57C35" w:rsidRDefault="007E4A13" w:rsidP="007E4A13">
      <w:pPr>
        <w:pStyle w:val="Textonotapie"/>
        <w:ind w:firstLine="709"/>
        <w:jc w:val="both"/>
        <w:rPr>
          <w:rFonts w:ascii="Verdana" w:hAnsi="Verdana" w:cs="Arial"/>
          <w:color w:val="000000"/>
          <w:sz w:val="12"/>
          <w:szCs w:val="12"/>
        </w:rPr>
      </w:pPr>
    </w:p>
  </w:footnote>
  <w:footnote w:id="3">
    <w:p w14:paraId="79506409"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Fonts w:ascii="Verdana" w:hAnsi="Verdana" w:cs="Arial"/>
          <w:color w:val="000000"/>
          <w:sz w:val="12"/>
          <w:szCs w:val="12"/>
        </w:rPr>
        <w:t xml:space="preserve"> CONSEJO DE ESTADO. Sección Tercera. Subsección C. Sentencia del 26 de febrero de 2014. Expediente: 25.804. Consejero Ponente: Enrique Gil Botero.</w:t>
      </w:r>
      <w:r w:rsidRPr="00E57C35">
        <w:rPr>
          <w:rFonts w:ascii="Verdana" w:hAnsi="Verdana"/>
          <w:sz w:val="12"/>
          <w:szCs w:val="12"/>
        </w:rPr>
        <w:t xml:space="preserve"> </w:t>
      </w:r>
      <w:hyperlink r:id="rId1" w:history="1">
        <w:r w:rsidRPr="00E57C35">
          <w:rPr>
            <w:rStyle w:val="Hipervnculo"/>
            <w:rFonts w:ascii="Verdana" w:hAnsi="Verdana" w:cs="Arial"/>
            <w:sz w:val="12"/>
            <w:szCs w:val="12"/>
          </w:rPr>
          <w:t>https://relatoria.colombiacompra.gov.co/providencias-consejo-de-estado/</w:t>
        </w:r>
      </w:hyperlink>
      <w:r w:rsidRPr="00E57C35">
        <w:rPr>
          <w:rFonts w:ascii="Verdana" w:hAnsi="Verdana" w:cs="Arial"/>
          <w:color w:val="000000"/>
          <w:sz w:val="12"/>
          <w:szCs w:val="12"/>
        </w:rPr>
        <w:t xml:space="preserve"> </w:t>
      </w:r>
    </w:p>
  </w:footnote>
  <w:footnote w:id="4">
    <w:p w14:paraId="1C1AB62B"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Style w:val="Refdenotaalpie"/>
          <w:rFonts w:ascii="Verdana" w:hAnsi="Verdana" w:cs="Arial"/>
          <w:color w:val="000000"/>
          <w:sz w:val="12"/>
          <w:szCs w:val="12"/>
        </w:rPr>
        <w:t xml:space="preserve"> </w:t>
      </w:r>
      <w:r w:rsidRPr="00E57C35">
        <w:rPr>
          <w:rFonts w:ascii="Verdana" w:hAnsi="Verdana" w:cs="Arial"/>
          <w:color w:val="000000"/>
          <w:sz w:val="12"/>
          <w:szCs w:val="12"/>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47CB3DB4" w14:textId="77777777" w:rsidR="007E4A13" w:rsidRPr="00E57C35" w:rsidRDefault="007E4A13" w:rsidP="007E4A13">
      <w:pPr>
        <w:pStyle w:val="Textonotapie"/>
        <w:ind w:firstLine="709"/>
        <w:jc w:val="both"/>
        <w:rPr>
          <w:rFonts w:ascii="Verdana" w:hAnsi="Verdana" w:cs="Arial"/>
          <w:color w:val="000000"/>
          <w:sz w:val="12"/>
          <w:szCs w:val="12"/>
        </w:rPr>
      </w:pPr>
    </w:p>
  </w:footnote>
  <w:footnote w:id="5">
    <w:p w14:paraId="5B0AF110"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Fonts w:ascii="Verdana" w:hAnsi="Verdana" w:cs="Arial"/>
          <w:color w:val="000000"/>
          <w:sz w:val="12"/>
          <w:szCs w:val="12"/>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4DCEE860" w14:textId="77777777" w:rsidR="007E4A13" w:rsidRPr="00E57C35" w:rsidRDefault="007E4A13" w:rsidP="007E4A13">
      <w:pPr>
        <w:pStyle w:val="Textonotapie"/>
        <w:ind w:firstLine="709"/>
        <w:jc w:val="both"/>
        <w:rPr>
          <w:rFonts w:ascii="Verdana" w:hAnsi="Verdana" w:cs="Arial"/>
          <w:color w:val="000000"/>
          <w:sz w:val="12"/>
          <w:szCs w:val="12"/>
        </w:rPr>
      </w:pPr>
    </w:p>
    <w:p w14:paraId="15B5847E" w14:textId="77777777" w:rsidR="007E4A13" w:rsidRPr="00E57C35" w:rsidRDefault="007E4A13" w:rsidP="007E4A13">
      <w:pPr>
        <w:pStyle w:val="Textonotapie"/>
        <w:ind w:firstLine="709"/>
        <w:jc w:val="both"/>
        <w:rPr>
          <w:rFonts w:ascii="Verdana" w:hAnsi="Verdana" w:cs="Arial"/>
          <w:color w:val="000000"/>
          <w:sz w:val="12"/>
          <w:szCs w:val="12"/>
        </w:rPr>
      </w:pPr>
      <w:r w:rsidRPr="00E57C35">
        <w:rPr>
          <w:rFonts w:ascii="Verdana" w:hAnsi="Verdana" w:cs="Arial"/>
          <w:color w:val="000000"/>
          <w:sz w:val="12"/>
          <w:szCs w:val="12"/>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6FA8928A" w14:textId="77777777" w:rsidR="007E4A13" w:rsidRPr="00E57C35" w:rsidRDefault="007E4A13" w:rsidP="007E4A13">
      <w:pPr>
        <w:pStyle w:val="Textonotapie"/>
        <w:ind w:firstLine="709"/>
        <w:jc w:val="both"/>
        <w:rPr>
          <w:rFonts w:ascii="Verdana" w:hAnsi="Verdana" w:cs="Arial"/>
          <w:color w:val="000000"/>
          <w:sz w:val="12"/>
          <w:szCs w:val="12"/>
        </w:rPr>
      </w:pPr>
    </w:p>
  </w:footnote>
  <w:footnote w:id="6">
    <w:p w14:paraId="310A9DE3"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sz w:val="12"/>
          <w:szCs w:val="12"/>
        </w:rPr>
        <w:footnoteRef/>
      </w:r>
      <w:r w:rsidRPr="00E57C35">
        <w:rPr>
          <w:rFonts w:ascii="Verdana" w:hAnsi="Verdana" w:cs="Arial"/>
          <w:sz w:val="12"/>
          <w:szCs w:val="12"/>
        </w:rPr>
        <w:t xml:space="preserve"> </w:t>
      </w:r>
      <w:r w:rsidRPr="00E57C35">
        <w:rPr>
          <w:rFonts w:ascii="Verdana" w:hAnsi="Verdana" w:cs="Arial"/>
          <w:color w:val="000000"/>
          <w:sz w:val="12"/>
          <w:szCs w:val="12"/>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7F57DAB6" w14:textId="77777777" w:rsidR="007E4A13" w:rsidRPr="00E57C35" w:rsidRDefault="007E4A13" w:rsidP="007E4A13">
      <w:pPr>
        <w:pStyle w:val="Textonotapie"/>
        <w:ind w:firstLine="709"/>
        <w:jc w:val="both"/>
        <w:rPr>
          <w:rFonts w:ascii="Verdana" w:hAnsi="Verdana" w:cs="Arial"/>
          <w:color w:val="000000"/>
          <w:sz w:val="12"/>
          <w:szCs w:val="12"/>
        </w:rPr>
      </w:pPr>
    </w:p>
    <w:p w14:paraId="686E82BB" w14:textId="77777777" w:rsidR="007E4A13" w:rsidRPr="00E57C35" w:rsidRDefault="007E4A13" w:rsidP="007E4A13">
      <w:pPr>
        <w:pStyle w:val="Textonotapie"/>
        <w:ind w:firstLine="709"/>
        <w:jc w:val="both"/>
        <w:rPr>
          <w:rFonts w:ascii="Verdana" w:hAnsi="Verdana" w:cs="Arial"/>
          <w:color w:val="000000"/>
          <w:sz w:val="12"/>
          <w:szCs w:val="12"/>
        </w:rPr>
      </w:pPr>
      <w:r w:rsidRPr="00E57C35">
        <w:rPr>
          <w:rFonts w:ascii="Verdana" w:hAnsi="Verdana" w:cs="Arial"/>
          <w:color w:val="000000"/>
          <w:sz w:val="12"/>
          <w:szCs w:val="12"/>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Pr="00E57C35">
          <w:rPr>
            <w:rStyle w:val="Hipervnculo"/>
            <w:rFonts w:ascii="Verdana" w:hAnsi="Verdana" w:cs="Arial"/>
            <w:sz w:val="12"/>
            <w:szCs w:val="12"/>
          </w:rPr>
          <w:t>https://www.colombiacompra.gov.co/circulares?page=2</w:t>
        </w:r>
      </w:hyperlink>
      <w:r w:rsidRPr="00E57C35">
        <w:rPr>
          <w:rStyle w:val="Hipervnculo"/>
          <w:rFonts w:ascii="Verdana" w:hAnsi="Verdana" w:cs="Arial"/>
          <w:color w:val="000000"/>
          <w:sz w:val="12"/>
          <w:szCs w:val="12"/>
        </w:rPr>
        <w:t xml:space="preserve"> </w:t>
      </w:r>
    </w:p>
    <w:p w14:paraId="729A41A2" w14:textId="77777777" w:rsidR="007E4A13" w:rsidRPr="00E57C35" w:rsidRDefault="007E4A13" w:rsidP="007E4A13">
      <w:pPr>
        <w:pStyle w:val="Textonotapie"/>
        <w:ind w:firstLine="709"/>
        <w:jc w:val="both"/>
        <w:rPr>
          <w:rFonts w:ascii="Verdana" w:hAnsi="Verdana" w:cs="Arial"/>
          <w:color w:val="000000"/>
          <w:sz w:val="12"/>
          <w:szCs w:val="12"/>
        </w:rPr>
      </w:pPr>
    </w:p>
  </w:footnote>
  <w:footnote w:id="7">
    <w:p w14:paraId="22D4CDCD"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Fonts w:ascii="Verdana" w:hAnsi="Verdana" w:cs="Arial"/>
          <w:color w:val="000000"/>
          <w:sz w:val="12"/>
          <w:szCs w:val="12"/>
        </w:rPr>
        <w:t xml:space="preserve"> Ver CONSEJO DE ESTADO, Sección Tercera, Subsección C. Sentencia del 26 de febrero de 2011. C.P. Jaime Orlando Santofimio. Rad. 36.408. </w:t>
      </w:r>
    </w:p>
  </w:footnote>
  <w:footnote w:id="8">
    <w:p w14:paraId="58E80551" w14:textId="77777777" w:rsidR="007E4A13" w:rsidRPr="00E57C35" w:rsidRDefault="007E4A13" w:rsidP="007E4A13">
      <w:pPr>
        <w:pStyle w:val="Textonotapie"/>
        <w:ind w:firstLine="709"/>
        <w:jc w:val="both"/>
        <w:rPr>
          <w:rFonts w:ascii="Verdana" w:hAnsi="Verdana" w:cs="Arial"/>
          <w:color w:val="000000"/>
          <w:sz w:val="12"/>
          <w:szCs w:val="12"/>
        </w:rPr>
      </w:pPr>
    </w:p>
    <w:p w14:paraId="5820D814" w14:textId="77777777" w:rsidR="007E4A13" w:rsidRPr="00E57C35" w:rsidRDefault="007E4A13" w:rsidP="007E4A13">
      <w:pPr>
        <w:pStyle w:val="Textonotapie"/>
        <w:ind w:firstLine="709"/>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Fonts w:ascii="Verdana" w:hAnsi="Verdana" w:cs="Arial"/>
          <w:color w:val="000000"/>
          <w:sz w:val="12"/>
          <w:szCs w:val="12"/>
        </w:rPr>
        <w:t xml:space="preserve"> Ver CONSEJO DE ESTADO, Sección Tercera, Subsección C. Sentencia del 26 de febrero de 2014. C.P. Enrique Gil Botero. Rad. 25.804. </w:t>
      </w:r>
    </w:p>
    <w:p w14:paraId="7F0E676E" w14:textId="77777777" w:rsidR="007E4A13" w:rsidRPr="00E57C35" w:rsidRDefault="007E4A13" w:rsidP="007E4A13">
      <w:pPr>
        <w:pStyle w:val="Textonotapie"/>
        <w:ind w:firstLine="709"/>
        <w:jc w:val="both"/>
        <w:rPr>
          <w:rFonts w:ascii="Verdana" w:hAnsi="Verdana" w:cs="Arial"/>
          <w:color w:val="000000"/>
          <w:sz w:val="12"/>
          <w:szCs w:val="12"/>
        </w:rPr>
      </w:pPr>
    </w:p>
  </w:footnote>
  <w:footnote w:id="9">
    <w:p w14:paraId="66A2E3F0" w14:textId="77777777" w:rsidR="007E4A13" w:rsidRPr="00E57C35" w:rsidRDefault="007E4A13" w:rsidP="007E4A13">
      <w:pPr>
        <w:pStyle w:val="Textonotapie"/>
        <w:ind w:firstLine="708"/>
        <w:jc w:val="both"/>
        <w:rPr>
          <w:rFonts w:ascii="Verdana" w:hAnsi="Verdana" w:cs="Arial"/>
          <w:color w:val="000000"/>
          <w:sz w:val="12"/>
          <w:szCs w:val="12"/>
        </w:rPr>
      </w:pPr>
      <w:r w:rsidRPr="00E57C35">
        <w:rPr>
          <w:rStyle w:val="Refdenotaalpie"/>
          <w:rFonts w:ascii="Verdana" w:hAnsi="Verdana" w:cs="Arial"/>
          <w:color w:val="000000"/>
          <w:sz w:val="12"/>
          <w:szCs w:val="12"/>
        </w:rPr>
        <w:footnoteRef/>
      </w:r>
      <w:r w:rsidRPr="00E57C35">
        <w:rPr>
          <w:rFonts w:ascii="Verdana" w:hAnsi="Verdana" w:cs="Arial"/>
          <w:color w:val="000000"/>
          <w:sz w:val="12"/>
          <w:szCs w:val="12"/>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A568381C"/>
    <w:lvl w:ilvl="0" w:tplc="110EAFB2">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007A4"/>
    <w:rsid w:val="00116940"/>
    <w:rsid w:val="00125105"/>
    <w:rsid w:val="00127233"/>
    <w:rsid w:val="0015699B"/>
    <w:rsid w:val="00175909"/>
    <w:rsid w:val="001927DE"/>
    <w:rsid w:val="001A33BF"/>
    <w:rsid w:val="001E4177"/>
    <w:rsid w:val="001F0B24"/>
    <w:rsid w:val="001F7DC6"/>
    <w:rsid w:val="0022400B"/>
    <w:rsid w:val="002421BB"/>
    <w:rsid w:val="0025796E"/>
    <w:rsid w:val="00267DB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491C"/>
    <w:rsid w:val="003A532A"/>
    <w:rsid w:val="003A779E"/>
    <w:rsid w:val="003B7FFA"/>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3730A"/>
    <w:rsid w:val="00646B9F"/>
    <w:rsid w:val="00665D70"/>
    <w:rsid w:val="006900D9"/>
    <w:rsid w:val="006B52D6"/>
    <w:rsid w:val="00706C16"/>
    <w:rsid w:val="007340C3"/>
    <w:rsid w:val="0075235A"/>
    <w:rsid w:val="00756841"/>
    <w:rsid w:val="007649AB"/>
    <w:rsid w:val="00771D0C"/>
    <w:rsid w:val="007833AC"/>
    <w:rsid w:val="007B268C"/>
    <w:rsid w:val="007B7171"/>
    <w:rsid w:val="007C0C0F"/>
    <w:rsid w:val="007C3DC2"/>
    <w:rsid w:val="007E4A13"/>
    <w:rsid w:val="007E5497"/>
    <w:rsid w:val="00806F5F"/>
    <w:rsid w:val="00820278"/>
    <w:rsid w:val="008258C9"/>
    <w:rsid w:val="00844AE9"/>
    <w:rsid w:val="00867F95"/>
    <w:rsid w:val="008843B6"/>
    <w:rsid w:val="00891928"/>
    <w:rsid w:val="008A446D"/>
    <w:rsid w:val="008B25F1"/>
    <w:rsid w:val="008D180B"/>
    <w:rsid w:val="008F0EA7"/>
    <w:rsid w:val="008F74AF"/>
    <w:rsid w:val="00923EEF"/>
    <w:rsid w:val="009419F9"/>
    <w:rsid w:val="0095685E"/>
    <w:rsid w:val="00961B09"/>
    <w:rsid w:val="00965334"/>
    <w:rsid w:val="0097093E"/>
    <w:rsid w:val="00990A8D"/>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798F"/>
    <w:rsid w:val="00AB0ADB"/>
    <w:rsid w:val="00B00C0E"/>
    <w:rsid w:val="00B01B1A"/>
    <w:rsid w:val="00B0381D"/>
    <w:rsid w:val="00B31AD3"/>
    <w:rsid w:val="00B44A47"/>
    <w:rsid w:val="00B72CD3"/>
    <w:rsid w:val="00B72FFF"/>
    <w:rsid w:val="00BB45A6"/>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2F52"/>
    <w:rsid w:val="00D33887"/>
    <w:rsid w:val="00D361FD"/>
    <w:rsid w:val="00D41CE3"/>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6F1"/>
    <w:rsid w:val="00E75C92"/>
    <w:rsid w:val="00E771DC"/>
    <w:rsid w:val="00E8772A"/>
    <w:rsid w:val="00E90F6B"/>
    <w:rsid w:val="00E92C27"/>
    <w:rsid w:val="00EA0E3D"/>
    <w:rsid w:val="00EC38A7"/>
    <w:rsid w:val="00EE1AA8"/>
    <w:rsid w:val="00F1345B"/>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3327E23"/>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E4A1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E4A1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arocic@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page=2" TargetMode="External"/><Relationship Id="rId1"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88715-03DF-47A1-85B1-14C0A0F32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D448670-9E7F-43FC-B1E7-88D213F4234F}">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5823</Words>
  <Characters>32032</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2026-05-06T22:24:00Z</dcterms:created>
  <dcterms:modified xsi:type="dcterms:W3CDTF">2026-05-06T23:34:00Z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