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AAD07" w14:textId="19D46D8B" w:rsidR="001B6D8B" w:rsidRPr="00962B74" w:rsidRDefault="001B6D8B" w:rsidP="001B6D8B">
      <w:pPr>
        <w:spacing w:after="0" w:line="240" w:lineRule="auto"/>
        <w:jc w:val="both"/>
        <w:rPr>
          <w:rFonts w:ascii="Verdana" w:eastAsia="Aptos" w:hAnsi="Verdana" w:cs="Times New Roman"/>
          <w:b/>
          <w:bCs/>
        </w:rPr>
      </w:pPr>
      <w:bookmarkStart w:id="0" w:name="_Hlk181166130"/>
      <w:bookmarkStart w:id="1" w:name="_Hlk143780582"/>
      <w:r w:rsidRPr="001B6D8B">
        <w:rPr>
          <w:rFonts w:ascii="Verdana" w:eastAsia="Aptos" w:hAnsi="Verdana" w:cs="Times New Roman"/>
          <w:b/>
          <w:bCs/>
        </w:rPr>
        <w:t>CONTRATACIÓN DIRECTA – Características</w:t>
      </w:r>
      <w:r w:rsidRPr="00962B74">
        <w:rPr>
          <w:rFonts w:ascii="Verdana" w:eastAsia="Aptos" w:hAnsi="Verdana" w:cs="Times New Roman"/>
          <w:b/>
          <w:bCs/>
        </w:rPr>
        <w:t>.</w:t>
      </w:r>
    </w:p>
    <w:p w14:paraId="632AB9E8" w14:textId="77777777" w:rsidR="001B6D8B" w:rsidRPr="001B6D8B" w:rsidRDefault="001B6D8B" w:rsidP="001B6D8B">
      <w:pPr>
        <w:spacing w:after="0" w:line="240" w:lineRule="auto"/>
        <w:jc w:val="both"/>
        <w:rPr>
          <w:rFonts w:ascii="Verdana" w:eastAsia="Aptos" w:hAnsi="Verdana" w:cs="Times New Roman"/>
          <w:sz w:val="20"/>
          <w:szCs w:val="20"/>
        </w:rPr>
      </w:pPr>
    </w:p>
    <w:p w14:paraId="085CC8C0" w14:textId="77777777" w:rsidR="001B6D8B" w:rsidRDefault="001B6D8B" w:rsidP="001B6D8B">
      <w:pPr>
        <w:spacing w:after="0" w:line="240" w:lineRule="auto"/>
        <w:jc w:val="both"/>
        <w:rPr>
          <w:rFonts w:ascii="Verdana" w:eastAsia="Aptos" w:hAnsi="Verdana" w:cs="Times New Roman"/>
          <w:sz w:val="20"/>
          <w:szCs w:val="20"/>
        </w:rPr>
      </w:pPr>
      <w:r w:rsidRPr="001B6D8B">
        <w:rPr>
          <w:rFonts w:ascii="Verdana" w:eastAsia="Aptos" w:hAnsi="Verdana" w:cs="Times New Roman"/>
          <w:sz w:val="20"/>
          <w:szCs w:val="20"/>
        </w:rPr>
        <w:t>El artículo 2 de la Ley 1150 de 2007 actualmente establece las cinco (5) modalidades de selección para la escogencia del contratista y fija las reglas de cada una de ellas: licitación pública, selección abreviada, concurso de méritos, mínima cuantía y contratación directa. Por su parte, la exposición de motivos de la Ley 1150 de 2007 señala las razones por las cuales se establecieron las modalidades de selección, pues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48DD9C2B" w14:textId="77777777" w:rsidR="001B6D8B" w:rsidRPr="001B6D8B" w:rsidRDefault="001B6D8B" w:rsidP="001B6D8B">
      <w:pPr>
        <w:spacing w:after="0" w:line="240" w:lineRule="auto"/>
        <w:jc w:val="both"/>
        <w:rPr>
          <w:rFonts w:ascii="Verdana" w:eastAsia="Aptos" w:hAnsi="Verdana" w:cs="Times New Roman"/>
          <w:sz w:val="20"/>
          <w:szCs w:val="20"/>
        </w:rPr>
      </w:pPr>
    </w:p>
    <w:p w14:paraId="6A8E341B" w14:textId="77777777" w:rsidR="001B6D8B" w:rsidRPr="001B6D8B" w:rsidRDefault="001B6D8B" w:rsidP="001B6D8B">
      <w:pPr>
        <w:spacing w:after="0" w:line="240" w:lineRule="auto"/>
        <w:jc w:val="both"/>
        <w:rPr>
          <w:rFonts w:ascii="Verdana" w:eastAsia="Aptos" w:hAnsi="Verdana" w:cs="Times New Roman"/>
          <w:sz w:val="20"/>
          <w:szCs w:val="20"/>
        </w:rPr>
      </w:pPr>
      <w:r w:rsidRPr="001B6D8B">
        <w:rPr>
          <w:rFonts w:ascii="Verdana" w:eastAsia="Aptos" w:hAnsi="Verdana" w:cs="Times New Roman"/>
          <w:sz w:val="20"/>
          <w:szCs w:val="20"/>
        </w:rPr>
        <w:t>Estas modalidades de selección se pueden dividir doctrinariamente en: i) competitivas y ii)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p>
    <w:p w14:paraId="099700CF" w14:textId="77777777" w:rsidR="00A56365" w:rsidRDefault="00A56365" w:rsidP="00A56365">
      <w:pPr>
        <w:spacing w:after="0" w:line="240" w:lineRule="auto"/>
        <w:jc w:val="both"/>
        <w:rPr>
          <w:rFonts w:ascii="Verdana" w:eastAsia="Aptos" w:hAnsi="Verdana" w:cs="Times New Roman"/>
          <w:sz w:val="20"/>
          <w:szCs w:val="20"/>
        </w:rPr>
      </w:pPr>
    </w:p>
    <w:p w14:paraId="789745A6" w14:textId="77777777" w:rsidR="00A56365" w:rsidRDefault="00A56365" w:rsidP="00A56365">
      <w:pPr>
        <w:spacing w:after="0" w:line="240" w:lineRule="auto"/>
        <w:jc w:val="both"/>
        <w:rPr>
          <w:rFonts w:ascii="Verdana" w:eastAsia="Aptos" w:hAnsi="Verdana" w:cs="Times New Roman"/>
          <w:sz w:val="20"/>
          <w:szCs w:val="20"/>
        </w:rPr>
      </w:pPr>
    </w:p>
    <w:p w14:paraId="730C7F5F" w14:textId="77777777" w:rsidR="001B6D8B" w:rsidRDefault="001B6D8B" w:rsidP="001B6D8B">
      <w:pPr>
        <w:spacing w:after="0" w:line="240" w:lineRule="auto"/>
        <w:rPr>
          <w:rFonts w:ascii="Verdana" w:eastAsia="Calibri" w:hAnsi="Verdana" w:cs="Arial"/>
          <w:b/>
          <w:bCs/>
          <w:color w:val="000000" w:themeColor="text1"/>
          <w:lang w:val="es-ES_tradnl" w:eastAsia="es-ES_tradnl"/>
        </w:rPr>
      </w:pPr>
      <w:r w:rsidRPr="00DE1465">
        <w:rPr>
          <w:rFonts w:ascii="Verdana" w:eastAsia="Calibri" w:hAnsi="Verdana" w:cs="Arial"/>
          <w:b/>
          <w:bCs/>
          <w:color w:val="000000" w:themeColor="text1"/>
          <w:lang w:val="es-ES_tradnl" w:eastAsia="es-ES_tradnl"/>
        </w:rPr>
        <w:t>SOFTWARE – Adquisición y desarrollo – Modalidades de selección</w:t>
      </w:r>
    </w:p>
    <w:p w14:paraId="417F4A5C" w14:textId="77777777" w:rsidR="001B6D8B" w:rsidRDefault="001B6D8B" w:rsidP="001B6D8B">
      <w:pPr>
        <w:spacing w:after="0" w:line="240" w:lineRule="auto"/>
        <w:jc w:val="both"/>
        <w:rPr>
          <w:rFonts w:ascii="Verdana" w:eastAsia="Aptos" w:hAnsi="Verdana" w:cs="Times New Roman"/>
          <w:sz w:val="20"/>
          <w:szCs w:val="20"/>
        </w:rPr>
      </w:pPr>
    </w:p>
    <w:p w14:paraId="4B548629" w14:textId="44DD69EC" w:rsidR="001B6D8B" w:rsidRDefault="001B6D8B" w:rsidP="001B6D8B">
      <w:pPr>
        <w:spacing w:after="0" w:line="240" w:lineRule="auto"/>
        <w:jc w:val="both"/>
        <w:rPr>
          <w:rFonts w:ascii="Verdana" w:eastAsia="Aptos" w:hAnsi="Verdana" w:cs="Times New Roman"/>
          <w:sz w:val="20"/>
          <w:szCs w:val="20"/>
        </w:rPr>
      </w:pPr>
      <w:r>
        <w:rPr>
          <w:rFonts w:ascii="Verdana" w:eastAsia="Aptos" w:hAnsi="Verdana" w:cs="Times New Roman"/>
          <w:sz w:val="20"/>
          <w:szCs w:val="20"/>
        </w:rPr>
        <w:t>L</w:t>
      </w:r>
      <w:r w:rsidRPr="0004611B">
        <w:rPr>
          <w:rFonts w:ascii="Verdana" w:eastAsia="Aptos" w:hAnsi="Verdana" w:cs="Times New Roman"/>
          <w:sz w:val="20"/>
          <w:szCs w:val="20"/>
        </w:rPr>
        <w:t xml:space="preserve">a Agencia Nacional de </w:t>
      </w:r>
      <w:r w:rsidR="009E43CB" w:rsidRPr="0004611B">
        <w:rPr>
          <w:rFonts w:ascii="Verdana" w:eastAsia="Aptos" w:hAnsi="Verdana" w:cs="Times New Roman"/>
          <w:sz w:val="20"/>
          <w:szCs w:val="20"/>
        </w:rPr>
        <w:t>Contratación</w:t>
      </w:r>
      <w:r w:rsidRPr="0004611B">
        <w:rPr>
          <w:rFonts w:ascii="Verdana" w:eastAsia="Aptos" w:hAnsi="Verdana" w:cs="Times New Roman"/>
          <w:sz w:val="20"/>
          <w:szCs w:val="20"/>
        </w:rPr>
        <w:t xml:space="preserve"> Pública recomienda en la “Guía de Buenas Prácticas en la adquisición de Software y servicios asociados” que: i) La adquisición de software se realice por selección abreviada por subasta inversa cuando se trate de bienes de características técnicas </w:t>
      </w:r>
      <w:r w:rsidRPr="00EF2CEC">
        <w:rPr>
          <w:rFonts w:ascii="Verdana" w:eastAsia="Aptos" w:hAnsi="Verdana" w:cs="Times New Roman"/>
          <w:sz w:val="20"/>
          <w:szCs w:val="20"/>
        </w:rPr>
        <w:t xml:space="preserve">uniformes, sin perjuicio de lo dispuesto en materia de Acuerdos Marco de Precios e Instrumentos de Agregación de Demanda. En los casos en que la adquisición no se refiera en la práctica a bienes de características técnicas uniformes, es necesario adelantar un proceso de contratación mediante las modalidades de licitación pública, mínima cuantía o el concurso de méritos, siempre que se cumplan los supuestos que para ello dispone el Estatuto General de Contratación de la Administración Pública. </w:t>
      </w:r>
      <w:r w:rsidRPr="0004611B">
        <w:rPr>
          <w:rFonts w:ascii="Verdana" w:eastAsia="Aptos" w:hAnsi="Verdana" w:cs="Times New Roman"/>
          <w:sz w:val="20"/>
          <w:szCs w:val="20"/>
        </w:rPr>
        <w:t xml:space="preserve">ii) Las Entidades contraten el desarrollo de software por medio de la modalidad del concurso de méritos. iii) Los procesos para contratar una fábrica de software se adelanten mediante licitación pública, siempre que no impliquen aspectos que hagan procedente otra modalidad de selección, como es el caso de la selección abreviada por subasta inversa cuando se trate de bienes de características técnicas uniformes. </w:t>
      </w:r>
    </w:p>
    <w:p w14:paraId="6C4C62CB" w14:textId="77777777" w:rsidR="00A56365" w:rsidRDefault="00A56365" w:rsidP="00A56365">
      <w:pPr>
        <w:spacing w:after="0" w:line="240" w:lineRule="auto"/>
        <w:jc w:val="both"/>
        <w:rPr>
          <w:rFonts w:ascii="Verdana" w:eastAsia="Aptos" w:hAnsi="Verdana" w:cs="Times New Roman"/>
          <w:sz w:val="20"/>
          <w:szCs w:val="20"/>
        </w:rPr>
      </w:pPr>
    </w:p>
    <w:p w14:paraId="72691845" w14:textId="77777777" w:rsidR="00A56365" w:rsidRDefault="00A56365" w:rsidP="00A56365">
      <w:pPr>
        <w:spacing w:after="0" w:line="240" w:lineRule="auto"/>
        <w:jc w:val="both"/>
        <w:rPr>
          <w:rFonts w:ascii="Verdana" w:eastAsia="Aptos" w:hAnsi="Verdana" w:cs="Times New Roman"/>
          <w:sz w:val="20"/>
          <w:szCs w:val="20"/>
        </w:rPr>
      </w:pPr>
    </w:p>
    <w:p w14:paraId="3C923D92" w14:textId="77777777" w:rsidR="00A56365" w:rsidRDefault="00A56365" w:rsidP="00A56365">
      <w:pPr>
        <w:spacing w:after="0" w:line="240" w:lineRule="auto"/>
        <w:jc w:val="both"/>
        <w:rPr>
          <w:rFonts w:ascii="Verdana" w:eastAsia="Aptos" w:hAnsi="Verdana" w:cs="Times New Roman"/>
          <w:sz w:val="20"/>
          <w:szCs w:val="20"/>
        </w:rPr>
      </w:pPr>
    </w:p>
    <w:p w14:paraId="25D03118" w14:textId="77777777" w:rsidR="00A56365" w:rsidRDefault="00A56365" w:rsidP="00A56365">
      <w:pPr>
        <w:spacing w:after="0" w:line="240" w:lineRule="auto"/>
        <w:jc w:val="both"/>
        <w:rPr>
          <w:rFonts w:ascii="Verdana" w:eastAsia="Aptos" w:hAnsi="Verdana" w:cs="Times New Roman"/>
          <w:sz w:val="20"/>
          <w:szCs w:val="20"/>
        </w:rPr>
      </w:pPr>
    </w:p>
    <w:p w14:paraId="53C80CD6" w14:textId="77777777" w:rsidR="00A56365" w:rsidRDefault="00A56365" w:rsidP="00A56365">
      <w:pPr>
        <w:spacing w:after="0" w:line="240" w:lineRule="auto"/>
        <w:jc w:val="both"/>
        <w:rPr>
          <w:rFonts w:ascii="Verdana" w:eastAsia="Aptos" w:hAnsi="Verdana" w:cs="Times New Roman"/>
          <w:sz w:val="20"/>
          <w:szCs w:val="20"/>
        </w:rPr>
      </w:pPr>
    </w:p>
    <w:p w14:paraId="14FE7161" w14:textId="77777777" w:rsidR="00A56365" w:rsidRDefault="00A56365" w:rsidP="00A56365">
      <w:pPr>
        <w:spacing w:after="0" w:line="240" w:lineRule="auto"/>
        <w:jc w:val="both"/>
        <w:rPr>
          <w:rFonts w:ascii="Verdana" w:eastAsia="Aptos" w:hAnsi="Verdana" w:cs="Times New Roman"/>
          <w:sz w:val="20"/>
          <w:szCs w:val="20"/>
        </w:rPr>
      </w:pPr>
    </w:p>
    <w:p w14:paraId="7F384CCC" w14:textId="2598D4B3" w:rsidR="007D5768" w:rsidRDefault="00E5566A" w:rsidP="007D5768">
      <w:pPr>
        <w:spacing w:after="0"/>
        <w:rPr>
          <w:rFonts w:ascii="Verdana" w:hAnsi="Verdana"/>
        </w:rPr>
      </w:pPr>
      <w:r>
        <w:rPr>
          <w:rFonts w:ascii="Verdana" w:hAnsi="Verdana"/>
        </w:rPr>
        <w:lastRenderedPageBreak/>
        <w:t>B</w:t>
      </w:r>
      <w:r w:rsidR="007D5768" w:rsidRPr="0044528D">
        <w:rPr>
          <w:rFonts w:ascii="Verdana" w:hAnsi="Verdana"/>
        </w:rPr>
        <w:t xml:space="preserve">ogotá D.C., </w:t>
      </w:r>
      <w:r w:rsidR="00E17B3C">
        <w:rPr>
          <w:rFonts w:ascii="Verdana" w:hAnsi="Verdana"/>
        </w:rPr>
        <w:t>19 de mayo de 2025.</w:t>
      </w:r>
    </w:p>
    <w:p w14:paraId="1673010F" w14:textId="77777777" w:rsidR="007D5768" w:rsidRDefault="007D5768" w:rsidP="007D5768">
      <w:pPr>
        <w:spacing w:after="0"/>
        <w:rPr>
          <w:rFonts w:ascii="Verdana" w:hAnsi="Verdana"/>
        </w:rPr>
      </w:pPr>
      <w:bookmarkStart w:id="2" w:name="_Hlk180638295"/>
      <w:bookmarkEnd w:id="0"/>
    </w:p>
    <w:p w14:paraId="2B7159AF" w14:textId="47A5B5A8" w:rsidR="00C03274" w:rsidRDefault="00E17B3C" w:rsidP="00E17B3C">
      <w:pPr>
        <w:spacing w:after="0"/>
        <w:jc w:val="right"/>
        <w:rPr>
          <w:rFonts w:ascii="Verdana" w:hAnsi="Verdana"/>
        </w:rPr>
      </w:pPr>
      <w:r>
        <w:rPr>
          <w:rFonts w:ascii="Verdana" w:hAnsi="Verdana"/>
          <w:noProof/>
        </w:rPr>
        <w:drawing>
          <wp:inline distT="0" distB="0" distL="0" distR="0" wp14:anchorId="09EC5868" wp14:editId="26A0B0D3">
            <wp:extent cx="2219325" cy="650286"/>
            <wp:effectExtent l="0" t="0" r="0" b="0"/>
            <wp:docPr id="3949029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2861" cy="651322"/>
                    </a:xfrm>
                    <a:prstGeom prst="rect">
                      <a:avLst/>
                    </a:prstGeom>
                    <a:noFill/>
                    <a:ln>
                      <a:noFill/>
                    </a:ln>
                  </pic:spPr>
                </pic:pic>
              </a:graphicData>
            </a:graphic>
          </wp:inline>
        </w:drawing>
      </w:r>
    </w:p>
    <w:p w14:paraId="0E6EA07C" w14:textId="77777777" w:rsidR="00E17B3C" w:rsidRDefault="00E17B3C" w:rsidP="007D5768">
      <w:pPr>
        <w:spacing w:after="0"/>
        <w:rPr>
          <w:rFonts w:ascii="Verdana" w:hAnsi="Verdana"/>
        </w:rPr>
      </w:pPr>
    </w:p>
    <w:p w14:paraId="1AA8A830" w14:textId="2A46B7B4" w:rsidR="00714D55" w:rsidRDefault="007D5768" w:rsidP="00714D55">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001712F7">
        <w:rPr>
          <w:rFonts w:ascii="Verdana" w:eastAsia="Calibri" w:hAnsi="Verdana" w:cs="Arial"/>
          <w:lang w:eastAsia="es-ES"/>
        </w:rPr>
        <w:t>a</w:t>
      </w:r>
      <w:r w:rsidR="003A2ECF" w:rsidRPr="005E62E2">
        <w:rPr>
          <w:rFonts w:ascii="Verdana" w:eastAsia="Calibri" w:hAnsi="Verdana" w:cs="Arial"/>
          <w:lang w:eastAsia="es-ES"/>
        </w:rPr>
        <w:tab/>
      </w:r>
    </w:p>
    <w:p w14:paraId="726510E9" w14:textId="77777777" w:rsidR="001712F7" w:rsidRDefault="001712F7" w:rsidP="007D5768">
      <w:pPr>
        <w:spacing w:after="0" w:line="240" w:lineRule="auto"/>
        <w:rPr>
          <w:rFonts w:ascii="Verdana" w:eastAsia="Calibri" w:hAnsi="Verdana" w:cs="Arial"/>
          <w:b/>
          <w:bCs/>
          <w:lang w:eastAsia="es-ES"/>
        </w:rPr>
      </w:pPr>
      <w:r w:rsidRPr="001712F7">
        <w:rPr>
          <w:rFonts w:ascii="Verdana" w:eastAsia="Calibri" w:hAnsi="Verdana" w:cs="Arial"/>
          <w:b/>
          <w:bCs/>
          <w:lang w:eastAsia="es-ES"/>
        </w:rPr>
        <w:t>CLAUDIA MAGALI HURTADO HURTADO</w:t>
      </w:r>
    </w:p>
    <w:p w14:paraId="6BF71AF0" w14:textId="2510A06E" w:rsidR="00EF7482" w:rsidRPr="001712F7" w:rsidRDefault="001712F7" w:rsidP="007D5768">
      <w:pPr>
        <w:spacing w:after="0" w:line="240" w:lineRule="auto"/>
        <w:rPr>
          <w:rFonts w:ascii="Verdana" w:eastAsia="Calibri" w:hAnsi="Verdana" w:cs="Arial"/>
          <w:color w:val="000000"/>
          <w:lang w:val="es-ES_tradnl" w:eastAsia="es-ES_tradnl"/>
        </w:rPr>
      </w:pPr>
      <w:hyperlink r:id="rId12" w:history="1">
        <w:r w:rsidRPr="00380017">
          <w:rPr>
            <w:rStyle w:val="Hipervnculo"/>
            <w:rFonts w:ascii="Verdana" w:hAnsi="Verdana"/>
          </w:rPr>
          <w:t>magalihurtado61@gmail.com</w:t>
        </w:r>
      </w:hyperlink>
      <w:r>
        <w:rPr>
          <w:rFonts w:ascii="Verdana" w:hAnsi="Verdana"/>
        </w:rPr>
        <w:t xml:space="preserve"> </w:t>
      </w:r>
    </w:p>
    <w:p w14:paraId="02314820" w14:textId="39BB92AF" w:rsidR="00C57C83" w:rsidRDefault="00FE3DEC" w:rsidP="007D5768">
      <w:pPr>
        <w:spacing w:after="0" w:line="240" w:lineRule="auto"/>
        <w:rPr>
          <w:rFonts w:ascii="Verdana" w:eastAsia="Calibri" w:hAnsi="Verdana" w:cs="Arial"/>
          <w:color w:val="000000"/>
          <w:lang w:val="es-ES_tradnl" w:eastAsia="es-ES_tradnl"/>
        </w:rPr>
      </w:pPr>
      <w:r w:rsidRPr="00FE3DEC">
        <w:rPr>
          <w:rFonts w:ascii="Verdana" w:eastAsia="Calibri" w:hAnsi="Verdana" w:cs="Arial"/>
          <w:color w:val="000000"/>
          <w:lang w:val="es-ES_tradnl" w:eastAsia="es-ES_tradnl"/>
        </w:rPr>
        <w:t>Bogotá D.C.</w:t>
      </w:r>
    </w:p>
    <w:p w14:paraId="74915DE1" w14:textId="77777777" w:rsidR="001712F7" w:rsidRPr="00FE3DEC" w:rsidRDefault="001712F7" w:rsidP="007D5768">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07F9484B"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C57C83">
              <w:rPr>
                <w:rFonts w:ascii="Verdana" w:eastAsia="Calibri" w:hAnsi="Verdana" w:cs="Arial"/>
                <w:b/>
                <w:bCs/>
                <w:lang w:val="es-ES" w:eastAsia="es-ES"/>
              </w:rPr>
              <w:t>4</w:t>
            </w:r>
            <w:r w:rsidR="001712F7">
              <w:rPr>
                <w:rFonts w:ascii="Verdana" w:eastAsia="Calibri" w:hAnsi="Verdana" w:cs="Arial"/>
                <w:b/>
                <w:bCs/>
                <w:lang w:val="es-ES" w:eastAsia="es-ES"/>
              </w:rPr>
              <w:t>50</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FB76D0">
              <w:rPr>
                <w:rFonts w:ascii="Verdana" w:eastAsia="Calibri" w:hAnsi="Verdana" w:cs="Arial"/>
                <w:b/>
                <w:bCs/>
                <w:lang w:val="es-ES" w:eastAsia="es-ES"/>
              </w:rPr>
              <w:t>5</w:t>
            </w:r>
          </w:p>
        </w:tc>
      </w:tr>
      <w:tr w:rsidR="003F2418" w:rsidRPr="00A52DE7" w14:paraId="0E5838A4" w14:textId="77777777" w:rsidTr="00E1079D">
        <w:trPr>
          <w:trHeight w:val="884"/>
        </w:trPr>
        <w:tc>
          <w:tcPr>
            <w:tcW w:w="2410" w:type="dxa"/>
          </w:tcPr>
          <w:p w14:paraId="52092E01" w14:textId="77777777" w:rsidR="003F2418" w:rsidRPr="00593A5F" w:rsidRDefault="003F2418" w:rsidP="003F241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57E0BC4F" w14:textId="362BFE37" w:rsidR="00122FA4" w:rsidRPr="009C5A97" w:rsidRDefault="009E43CB" w:rsidP="00122FA4">
            <w:pPr>
              <w:spacing w:line="276" w:lineRule="auto"/>
              <w:jc w:val="both"/>
              <w:rPr>
                <w:rFonts w:ascii="Verdana" w:eastAsia="Calibri" w:hAnsi="Verdana" w:cs="Arial"/>
                <w:b/>
                <w:bCs/>
                <w:sz w:val="20"/>
                <w:szCs w:val="20"/>
                <w:lang w:val="es-ES" w:eastAsia="es-ES"/>
              </w:rPr>
            </w:pPr>
            <w:r w:rsidRPr="001B6D8B">
              <w:rPr>
                <w:rFonts w:ascii="Verdana" w:eastAsia="Aptos" w:hAnsi="Verdana" w:cs="Times New Roman"/>
              </w:rPr>
              <w:t>CONTRATACIÓN DIRECTA – Características</w:t>
            </w:r>
            <w:r w:rsidRPr="009E43CB">
              <w:rPr>
                <w:rFonts w:ascii="Verdana" w:eastAsia="Calibri" w:hAnsi="Verdana" w:cs="Arial"/>
                <w:color w:val="000000" w:themeColor="text1"/>
                <w:lang w:val="es-ES_tradnl" w:eastAsia="es-ES_tradnl"/>
              </w:rPr>
              <w:t xml:space="preserve"> - </w:t>
            </w:r>
            <w:r w:rsidR="002A5249" w:rsidRPr="009E43CB">
              <w:rPr>
                <w:rFonts w:ascii="Verdana" w:eastAsia="Calibri" w:hAnsi="Verdana" w:cs="Arial"/>
                <w:color w:val="000000" w:themeColor="text1"/>
                <w:lang w:val="es-ES_tradnl" w:eastAsia="es-ES_tradnl"/>
              </w:rPr>
              <w:t>SOFTWARE – Adquisición y desarrollo – Modalidades de selección</w:t>
            </w:r>
            <w:r w:rsidR="00122FA4" w:rsidRPr="00122FA4">
              <w:rPr>
                <w:rFonts w:ascii="Verdana" w:eastAsia="Calibri" w:hAnsi="Verdana" w:cs="Arial"/>
                <w:color w:val="000000" w:themeColor="text1"/>
                <w:lang w:val="es-ES" w:eastAsia="es-ES"/>
              </w:rPr>
              <w:t>.</w:t>
            </w:r>
          </w:p>
          <w:p w14:paraId="70E8B08C" w14:textId="2E8F860B" w:rsidR="00D261F9" w:rsidRDefault="00D261F9" w:rsidP="00D67CDA">
            <w:pPr>
              <w:jc w:val="both"/>
              <w:rPr>
                <w:rFonts w:ascii="Verdana" w:eastAsia="Calibri" w:hAnsi="Verdana" w:cs="Arial"/>
                <w:color w:val="000000"/>
                <w:lang w:val="es-ES_tradnl"/>
              </w:rPr>
            </w:pPr>
          </w:p>
          <w:p w14:paraId="62C72EB8" w14:textId="5E175B04" w:rsidR="00D67CDA" w:rsidRPr="00A52DE7" w:rsidRDefault="00D67CDA" w:rsidP="00D67CDA">
            <w:pPr>
              <w:jc w:val="both"/>
              <w:rPr>
                <w:rFonts w:ascii="Verdana" w:eastAsia="Calibri" w:hAnsi="Verdana" w:cs="Arial"/>
                <w:b/>
                <w:highlight w:val="yellow"/>
                <w:lang w:val="es-ES" w:eastAsia="es-ES"/>
              </w:rPr>
            </w:pPr>
          </w:p>
        </w:tc>
      </w:tr>
      <w:tr w:rsidR="003F2418" w:rsidRPr="00593A5F" w14:paraId="09936C6F" w14:textId="77777777" w:rsidTr="00E1079D">
        <w:tc>
          <w:tcPr>
            <w:tcW w:w="2410" w:type="dxa"/>
          </w:tcPr>
          <w:p w14:paraId="69819F5A" w14:textId="13319072" w:rsidR="003F2418" w:rsidRPr="006730E9" w:rsidRDefault="003F2418" w:rsidP="003F241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3215CEC0" w:rsidR="003F2418" w:rsidRPr="006730E9" w:rsidRDefault="003F2418" w:rsidP="003F241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1712F7" w:rsidRPr="001712F7">
              <w:rPr>
                <w:rFonts w:ascii="Verdana" w:eastAsia="Calibri" w:hAnsi="Verdana" w:cs="Arial"/>
                <w:lang w:val="es-ES_tradnl" w:eastAsia="es-ES_tradnl"/>
              </w:rPr>
              <w:t>P20250411003554</w:t>
            </w:r>
            <w:r w:rsidR="0047280E">
              <w:rPr>
                <w:rFonts w:ascii="Verdana" w:eastAsia="Calibri" w:hAnsi="Verdana" w:cs="Arial"/>
                <w:lang w:val="es-ES_tradnl" w:eastAsia="es-ES_tradnl"/>
              </w:rPr>
              <w:t>.</w:t>
            </w:r>
          </w:p>
        </w:tc>
      </w:tr>
      <w:tr w:rsidR="003F2418" w:rsidRPr="00DB23D2" w14:paraId="3D69289B" w14:textId="77777777" w:rsidTr="00E1079D">
        <w:trPr>
          <w:gridAfter w:val="1"/>
          <w:wAfter w:w="336" w:type="dxa"/>
          <w:trHeight w:val="233"/>
        </w:trPr>
        <w:tc>
          <w:tcPr>
            <w:tcW w:w="8878" w:type="dxa"/>
            <w:gridSpan w:val="2"/>
          </w:tcPr>
          <w:p w14:paraId="77B387AE" w14:textId="5AE22ED0" w:rsidR="003F2418" w:rsidRPr="00DB23D2" w:rsidRDefault="003F2418" w:rsidP="003F2418">
            <w:pPr>
              <w:spacing w:after="120" w:line="276" w:lineRule="auto"/>
              <w:jc w:val="both"/>
              <w:rPr>
                <w:rFonts w:ascii="Verdana" w:eastAsia="Calibri" w:hAnsi="Verdana" w:cs="Arial"/>
                <w:lang w:val="es-ES_tradnl" w:eastAsia="es-ES"/>
              </w:rPr>
            </w:pPr>
          </w:p>
        </w:tc>
      </w:tr>
    </w:tbl>
    <w:p w14:paraId="064788AC" w14:textId="3DABF783"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1712F7">
        <w:rPr>
          <w:rFonts w:ascii="Verdana" w:eastAsia="Calibri" w:hAnsi="Verdana" w:cs="Arial"/>
          <w:lang w:val="es-ES" w:eastAsia="es-ES"/>
        </w:rPr>
        <w:t>a</w:t>
      </w:r>
      <w:r w:rsidR="00EF4E84">
        <w:rPr>
          <w:rFonts w:ascii="Verdana" w:eastAsia="Calibri" w:hAnsi="Verdana" w:cs="Arial"/>
          <w:lang w:val="es-ES" w:eastAsia="es-ES"/>
        </w:rPr>
        <w:t xml:space="preserve"> </w:t>
      </w:r>
      <w:r w:rsidRPr="006730E9">
        <w:rPr>
          <w:rFonts w:ascii="Verdana" w:eastAsia="Calibri" w:hAnsi="Verdana" w:cs="Arial"/>
          <w:lang w:val="es-ES" w:eastAsia="es-ES"/>
        </w:rPr>
        <w:t>señor</w:t>
      </w:r>
      <w:r w:rsidR="001712F7">
        <w:rPr>
          <w:rFonts w:ascii="Verdana" w:eastAsia="Calibri" w:hAnsi="Verdana" w:cs="Arial"/>
          <w:lang w:val="es-ES" w:eastAsia="es-ES"/>
        </w:rPr>
        <w:t>a</w:t>
      </w:r>
      <w:r w:rsidR="00FE3DEC">
        <w:rPr>
          <w:rFonts w:ascii="Verdana" w:eastAsia="Calibri" w:hAnsi="Verdana" w:cs="Arial"/>
          <w:lang w:val="es-ES" w:eastAsia="es-ES"/>
        </w:rPr>
        <w:t xml:space="preserve"> </w:t>
      </w:r>
      <w:r w:rsidR="001712F7">
        <w:rPr>
          <w:rFonts w:ascii="Verdana" w:eastAsia="Calibri" w:hAnsi="Verdana" w:cs="Arial"/>
          <w:lang w:val="es-ES" w:eastAsia="es-ES"/>
        </w:rPr>
        <w:t>Hurtado</w:t>
      </w:r>
      <w:r w:rsidR="00ED58AB">
        <w:rPr>
          <w:rFonts w:ascii="Verdana" w:eastAsia="Calibri" w:hAnsi="Verdana" w:cs="Arial"/>
          <w:lang w:val="es-ES" w:eastAsia="es-ES"/>
        </w:rPr>
        <w:t>;</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656D3CF0"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ED58AB">
        <w:rPr>
          <w:rFonts w:ascii="Verdana" w:eastAsia="Calibri" w:hAnsi="Verdana" w:cs="Arial"/>
          <w:lang w:val="es-ES" w:eastAsia="es-ES"/>
        </w:rPr>
        <w:t xml:space="preserve">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1712F7">
        <w:rPr>
          <w:rFonts w:ascii="Verdana" w:eastAsia="Calibri" w:hAnsi="Verdana" w:cs="Arial"/>
          <w:lang w:val="es-ES" w:eastAsia="es-ES"/>
        </w:rPr>
        <w:t>11</w:t>
      </w:r>
      <w:r w:rsidR="00043043">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FE3DEC">
        <w:rPr>
          <w:rFonts w:ascii="Verdana" w:eastAsia="Calibri" w:hAnsi="Verdana" w:cs="Arial"/>
          <w:lang w:val="es-ES" w:eastAsia="es-ES"/>
        </w:rPr>
        <w:t>abril</w:t>
      </w:r>
      <w:r w:rsidRPr="00E5644F">
        <w:rPr>
          <w:rFonts w:ascii="Verdana" w:eastAsia="Calibri" w:hAnsi="Verdana" w:cs="Arial"/>
          <w:lang w:val="es-ES" w:eastAsia="es-ES"/>
        </w:rPr>
        <w:t xml:space="preserve"> de</w:t>
      </w:r>
      <w:r w:rsidR="00955D18">
        <w:rPr>
          <w:rFonts w:ascii="Verdana" w:eastAsia="Calibri" w:hAnsi="Verdana" w:cs="Arial"/>
          <w:lang w:val="es-ES" w:eastAsia="es-ES"/>
        </w:rPr>
        <w:t xml:space="preserve"> </w:t>
      </w:r>
      <w:r w:rsidRPr="00E5644F">
        <w:rPr>
          <w:rFonts w:ascii="Verdana" w:eastAsia="Calibri" w:hAnsi="Verdana" w:cs="Arial"/>
          <w:lang w:val="es-ES" w:eastAsia="es-ES"/>
        </w:rPr>
        <w:t>202</w:t>
      </w:r>
      <w:r w:rsidR="00955D18">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4" w:name="_Hlk95313578"/>
    </w:p>
    <w:bookmarkEnd w:id="4"/>
    <w:p w14:paraId="755A614E" w14:textId="0FDEBA09" w:rsidR="009D7B43" w:rsidRPr="001712F7" w:rsidRDefault="001712F7" w:rsidP="001712F7">
      <w:pPr>
        <w:tabs>
          <w:tab w:val="left" w:pos="142"/>
          <w:tab w:val="left" w:pos="567"/>
        </w:tabs>
        <w:ind w:right="709"/>
        <w:jc w:val="both"/>
        <w:rPr>
          <w:rFonts w:ascii="Verdana" w:eastAsia="Century Gothic" w:hAnsi="Verdana" w:cs="Century Gothic"/>
          <w:i/>
          <w:iCs/>
        </w:rPr>
      </w:pPr>
      <w:r>
        <w:rPr>
          <w:rFonts w:ascii="Verdana" w:eastAsia="Century Gothic" w:hAnsi="Verdana" w:cs="Century Gothic"/>
          <w:i/>
          <w:iCs/>
        </w:rPr>
        <w:t xml:space="preserve">       </w:t>
      </w:r>
      <w:r w:rsidR="00022742" w:rsidRPr="001712F7">
        <w:rPr>
          <w:rFonts w:ascii="Verdana" w:eastAsia="Century Gothic" w:hAnsi="Verdana" w:cs="Century Gothic"/>
          <w:i/>
          <w:iCs/>
        </w:rPr>
        <w:t xml:space="preserve"> </w:t>
      </w:r>
      <w:r w:rsidR="00E6781E" w:rsidRPr="001712F7">
        <w:rPr>
          <w:rFonts w:ascii="Verdana" w:eastAsia="Century Gothic" w:hAnsi="Verdana" w:cs="Century Gothic"/>
          <w:i/>
          <w:iCs/>
        </w:rPr>
        <w:t>“</w:t>
      </w:r>
      <w:r w:rsidR="00FB76D0" w:rsidRPr="001712F7">
        <w:rPr>
          <w:rFonts w:ascii="Verdana" w:eastAsia="Century Gothic" w:hAnsi="Verdana" w:cs="Century Gothic"/>
          <w:i/>
          <w:iCs/>
        </w:rPr>
        <w:t>(…)</w:t>
      </w:r>
      <w:r w:rsidR="009D7B43" w:rsidRPr="001712F7">
        <w:rPr>
          <w:rFonts w:ascii="Verdana" w:eastAsia="Century Gothic" w:hAnsi="Verdana" w:cs="Century Gothic"/>
          <w:i/>
          <w:iCs/>
        </w:rPr>
        <w:t xml:space="preserve"> </w:t>
      </w:r>
    </w:p>
    <w:p w14:paraId="4A1949FF" w14:textId="21B6E06C" w:rsidR="00955D18" w:rsidRPr="00022742" w:rsidRDefault="001712F7" w:rsidP="001712F7">
      <w:pPr>
        <w:tabs>
          <w:tab w:val="left" w:pos="142"/>
          <w:tab w:val="left" w:pos="567"/>
        </w:tabs>
        <w:ind w:left="567" w:right="709"/>
        <w:jc w:val="both"/>
        <w:rPr>
          <w:rFonts w:ascii="Verdana" w:eastAsia="Century Gothic" w:hAnsi="Verdana" w:cs="Century Gothic"/>
          <w:i/>
          <w:iCs/>
        </w:rPr>
      </w:pPr>
      <w:r w:rsidRPr="001712F7">
        <w:rPr>
          <w:rFonts w:ascii="Verdana" w:eastAsia="Century Gothic" w:hAnsi="Verdana" w:cs="Century Gothic"/>
          <w:i/>
          <w:iCs/>
        </w:rPr>
        <w:t>solicito amablemente me den un concepto sobre si es legal realizar contratación</w:t>
      </w:r>
      <w:r>
        <w:rPr>
          <w:rFonts w:ascii="Verdana" w:eastAsia="Century Gothic" w:hAnsi="Verdana" w:cs="Century Gothic"/>
          <w:i/>
          <w:iCs/>
        </w:rPr>
        <w:t xml:space="preserve"> </w:t>
      </w:r>
      <w:r w:rsidRPr="001712F7">
        <w:rPr>
          <w:rFonts w:ascii="Verdana" w:eastAsia="Century Gothic" w:hAnsi="Verdana" w:cs="Century Gothic"/>
          <w:i/>
          <w:iCs/>
        </w:rPr>
        <w:t xml:space="preserve">directa para la adquisición de un software, solo porque tiene derechos de autor: </w:t>
      </w:r>
      <w:r w:rsidR="009D04B0" w:rsidRPr="00022742">
        <w:rPr>
          <w:rFonts w:ascii="Verdana" w:eastAsia="Century Gothic" w:hAnsi="Verdana" w:cs="Century Gothic"/>
          <w:i/>
          <w:iCs/>
        </w:rPr>
        <w:t>(…)</w:t>
      </w:r>
      <w:r w:rsidR="008A772E" w:rsidRPr="00022742">
        <w:rPr>
          <w:rFonts w:ascii="Verdana" w:eastAsia="Century Gothic" w:hAnsi="Verdana" w:cs="Century Gothic"/>
          <w:i/>
          <w:iCs/>
        </w:rPr>
        <w:t>”</w:t>
      </w:r>
      <w:r w:rsidR="00955D18" w:rsidRPr="00022742">
        <w:rPr>
          <w:rFonts w:ascii="Verdana" w:eastAsia="Century Gothic" w:hAnsi="Verdana" w:cs="Century Gothic"/>
          <w:i/>
          <w:iCs/>
        </w:rPr>
        <w:t xml:space="preserve"> </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2857582B" w:rsidR="00E6781E" w:rsidRPr="00AA3B9F"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00E21BD1" w:rsidRPr="00E21BD1">
        <w:t xml:space="preserve"> </w:t>
      </w:r>
    </w:p>
    <w:p w14:paraId="1CE7668C" w14:textId="77777777" w:rsidR="000F4D98" w:rsidRDefault="000F4D9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632E0F47" w:rsidR="007D5768"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sidR="00E136A2">
        <w:rPr>
          <w:rFonts w:ascii="Verdana" w:eastAsia="Century Gothic" w:hAnsi="Verdana" w:cs="Century Gothic"/>
          <w:b/>
          <w:bCs/>
        </w:rPr>
        <w:t xml:space="preserve">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1CBB0F77" w14:textId="77777777" w:rsidR="00E21BD1" w:rsidRDefault="00E21BD1" w:rsidP="00E21BD1">
      <w:pPr>
        <w:pStyle w:val="Prrafodelista"/>
        <w:tabs>
          <w:tab w:val="left" w:pos="142"/>
          <w:tab w:val="left" w:pos="284"/>
        </w:tabs>
        <w:spacing w:after="0" w:line="276" w:lineRule="auto"/>
        <w:ind w:left="0"/>
        <w:jc w:val="both"/>
        <w:rPr>
          <w:rFonts w:ascii="Verdana" w:eastAsia="Century Gothic" w:hAnsi="Verdana" w:cs="Century Gothic"/>
          <w:b/>
          <w:bCs/>
        </w:rPr>
      </w:pPr>
    </w:p>
    <w:p w14:paraId="2268E468" w14:textId="4C11788A" w:rsidR="00D4481B" w:rsidRPr="00022386" w:rsidRDefault="00E21BD1" w:rsidP="00D4481B">
      <w:pPr>
        <w:pStyle w:val="Prrafodelista"/>
        <w:tabs>
          <w:tab w:val="left" w:pos="142"/>
          <w:tab w:val="left" w:pos="284"/>
        </w:tabs>
        <w:spacing w:after="0" w:line="276" w:lineRule="auto"/>
        <w:ind w:left="0"/>
        <w:jc w:val="both"/>
        <w:rPr>
          <w:rFonts w:ascii="Verdana" w:eastAsia="Calibri" w:hAnsi="Verdana" w:cs="Arial"/>
          <w:lang w:eastAsia="es-ES"/>
        </w:rPr>
      </w:pPr>
      <w:r>
        <w:rPr>
          <w:rFonts w:ascii="Verdana" w:eastAsia="Calibri" w:hAnsi="Verdana" w:cs="Arial"/>
          <w:lang w:eastAsia="es-ES"/>
        </w:rPr>
        <w:tab/>
      </w:r>
      <w:r>
        <w:rPr>
          <w:rFonts w:ascii="Verdana" w:eastAsia="Calibri" w:hAnsi="Verdana" w:cs="Arial"/>
          <w:lang w:eastAsia="es-ES"/>
        </w:rPr>
        <w:tab/>
      </w:r>
      <w:r w:rsidR="004E2AB9">
        <w:rPr>
          <w:rFonts w:ascii="Verdana" w:eastAsia="Calibri" w:hAnsi="Verdana" w:cs="Arial"/>
          <w:lang w:eastAsia="es-ES"/>
        </w:rPr>
        <w:t xml:space="preserve">    </w:t>
      </w:r>
      <w:r w:rsidRPr="00E21BD1">
        <w:rPr>
          <w:rFonts w:ascii="Verdana" w:eastAsia="Calibri" w:hAnsi="Verdana" w:cs="Arial"/>
          <w:lang w:eastAsia="es-ES"/>
        </w:rPr>
        <w:t xml:space="preserve">De acuerdo con el contenido de su solicitud, esta Agencia resolverá </w:t>
      </w:r>
      <w:r w:rsidR="00FE3DEC">
        <w:rPr>
          <w:rFonts w:ascii="Verdana" w:eastAsia="Calibri" w:hAnsi="Verdana" w:cs="Arial"/>
          <w:lang w:eastAsia="es-ES"/>
        </w:rPr>
        <w:t xml:space="preserve">el </w:t>
      </w:r>
      <w:r w:rsidRPr="00E21BD1">
        <w:rPr>
          <w:rFonts w:ascii="Verdana" w:eastAsia="Calibri" w:hAnsi="Verdana" w:cs="Arial"/>
          <w:lang w:eastAsia="es-ES"/>
        </w:rPr>
        <w:t>siguiente problema jurídico:</w:t>
      </w:r>
      <w:r w:rsidR="00FE3DEC">
        <w:rPr>
          <w:rFonts w:ascii="Verdana" w:eastAsia="Calibri" w:hAnsi="Verdana" w:cs="Arial"/>
          <w:lang w:eastAsia="es-ES"/>
        </w:rPr>
        <w:t xml:space="preserve"> </w:t>
      </w:r>
      <w:r w:rsidR="00883377" w:rsidRPr="00883377">
        <w:rPr>
          <w:rFonts w:ascii="Verdana" w:eastAsia="Calibri" w:hAnsi="Verdana" w:cs="Arial"/>
          <w:lang w:val="es-CO" w:eastAsia="es-ES"/>
        </w:rPr>
        <w:t>¿Puede una entidad estatal en Colombia adquirir software mediante contratación directa, argumentando que está protegido por derechos de autor?</w:t>
      </w:r>
    </w:p>
    <w:p w14:paraId="2F3A121A" w14:textId="77777777" w:rsidR="00B115DB" w:rsidRDefault="00B115DB" w:rsidP="00E21BD1">
      <w:pPr>
        <w:pStyle w:val="Prrafodelista"/>
        <w:tabs>
          <w:tab w:val="left" w:pos="142"/>
          <w:tab w:val="left" w:pos="284"/>
        </w:tabs>
        <w:spacing w:after="0" w:line="276" w:lineRule="auto"/>
        <w:ind w:left="0"/>
        <w:jc w:val="both"/>
        <w:rPr>
          <w:rFonts w:ascii="Verdana" w:eastAsia="Calibri" w:hAnsi="Verdana" w:cs="Arial"/>
          <w:lang w:val="es-CO" w:eastAsia="es-ES"/>
        </w:rPr>
      </w:pPr>
      <w:bookmarkStart w:id="5" w:name="_Hlk196737317"/>
    </w:p>
    <w:bookmarkEnd w:id="5"/>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E1079D">
        <w:tc>
          <w:tcPr>
            <w:tcW w:w="8828" w:type="dxa"/>
            <w:shd w:val="clear" w:color="auto" w:fill="auto"/>
          </w:tcPr>
          <w:p w14:paraId="239B0A20" w14:textId="2AD2CF70" w:rsidR="00E378EE" w:rsidRPr="0004611B" w:rsidRDefault="00E378EE" w:rsidP="00E378EE">
            <w:pPr>
              <w:widowControl w:val="0"/>
              <w:autoSpaceDE w:val="0"/>
              <w:autoSpaceDN w:val="0"/>
              <w:spacing w:before="120" w:after="120" w:line="276" w:lineRule="auto"/>
              <w:ind w:firstLine="737"/>
              <w:jc w:val="both"/>
              <w:rPr>
                <w:rFonts w:ascii="Verdana" w:eastAsia="Calibri" w:hAnsi="Verdana" w:cs="Arial"/>
              </w:rPr>
            </w:pPr>
            <w:r>
              <w:rPr>
                <w:rFonts w:ascii="Verdana" w:eastAsia="Calibri" w:hAnsi="Verdana" w:cs="Arial"/>
                <w:lang w:val="es-ES"/>
              </w:rPr>
              <w:t>De manera preliminar es pertinente indicar que c</w:t>
            </w:r>
            <w:r w:rsidRPr="0004611B">
              <w:rPr>
                <w:rFonts w:ascii="Verdana" w:eastAsia="Calibri" w:hAnsi="Verdana" w:cs="Arial"/>
              </w:rPr>
              <w:t xml:space="preserve">on el fin de establecer la modalidad de selección procedente, las Entidades Estatales deberán, en primera medida, determinar si existe un software disponible en el mercado que satisfaga su necesidad o si, por el contrario, deben recurrir a la </w:t>
            </w:r>
            <w:r w:rsidRPr="0004611B">
              <w:rPr>
                <w:rFonts w:ascii="Verdana" w:eastAsia="Calibri" w:hAnsi="Verdana" w:cs="Arial"/>
              </w:rPr>
              <w:lastRenderedPageBreak/>
              <w:t xml:space="preserve">contratación del desarrollo de software a la medida, o de una fábrica de software. De acuerdo con esta decisión, la Agencia Nacional de Contratación Pública recomienda en la “Guía de Buenas Prácticas en la adquisición de Software y servicios asociados” que: </w:t>
            </w:r>
          </w:p>
          <w:p w14:paraId="0DE03DF4" w14:textId="77777777" w:rsidR="00E378EE" w:rsidRPr="0004611B" w:rsidRDefault="00E378EE" w:rsidP="00E378EE">
            <w:pPr>
              <w:widowControl w:val="0"/>
              <w:autoSpaceDE w:val="0"/>
              <w:autoSpaceDN w:val="0"/>
              <w:spacing w:before="120" w:after="120" w:line="276" w:lineRule="auto"/>
              <w:ind w:firstLine="879"/>
              <w:jc w:val="both"/>
              <w:rPr>
                <w:rFonts w:ascii="Verdana" w:eastAsia="Calibri" w:hAnsi="Verdana" w:cs="Arial"/>
              </w:rPr>
            </w:pPr>
            <w:r w:rsidRPr="0004611B">
              <w:rPr>
                <w:rFonts w:ascii="Verdana" w:eastAsia="Calibri" w:hAnsi="Verdana" w:cs="Arial"/>
              </w:rPr>
              <w:t xml:space="preserve">i) La </w:t>
            </w:r>
            <w:r w:rsidRPr="0004611B">
              <w:rPr>
                <w:rFonts w:ascii="Verdana" w:eastAsia="Calibri" w:hAnsi="Verdana" w:cs="Arial"/>
                <w:i/>
                <w:iCs/>
              </w:rPr>
              <w:t xml:space="preserve">adquisición de software </w:t>
            </w:r>
            <w:r w:rsidRPr="0004611B">
              <w:rPr>
                <w:rFonts w:ascii="Verdana" w:eastAsia="Calibri" w:hAnsi="Verdana" w:cs="Arial"/>
              </w:rPr>
              <w:t xml:space="preserve">se realice por selección abreviada por subasta inversa cuando se trate de bienes de características técnicas uniformes, sin perjuicio de lo dispuesto en materia de Acuerdos Marco de Precios e Instrumentos de Agregación de Demanda. En los casos en que la adquisición no se refiera en la práctica a bienes de características técnicas uniformes, es necesario adelantar un proceso de contratación mediante las modalidades de licitación pública, mínima cuantía o el concurso de méritos, siempre que se cumplan los supuestos que para ello dispone el Estatuto General de Contratación de la Administración Pública. </w:t>
            </w:r>
          </w:p>
          <w:p w14:paraId="6EB56253" w14:textId="77777777" w:rsidR="00E378EE" w:rsidRPr="0004611B" w:rsidRDefault="00E378EE" w:rsidP="00E378EE">
            <w:pPr>
              <w:widowControl w:val="0"/>
              <w:autoSpaceDE w:val="0"/>
              <w:autoSpaceDN w:val="0"/>
              <w:spacing w:before="120" w:after="120" w:line="276" w:lineRule="auto"/>
              <w:ind w:firstLine="879"/>
              <w:jc w:val="both"/>
              <w:rPr>
                <w:rFonts w:ascii="Verdana" w:eastAsia="Calibri" w:hAnsi="Verdana" w:cs="Arial"/>
              </w:rPr>
            </w:pPr>
            <w:r w:rsidRPr="0004611B">
              <w:rPr>
                <w:rFonts w:ascii="Verdana" w:eastAsia="Calibri" w:hAnsi="Verdana" w:cs="Arial"/>
              </w:rPr>
              <w:t xml:space="preserve">ii) Las Entidades contraten el </w:t>
            </w:r>
            <w:r w:rsidRPr="0004611B">
              <w:rPr>
                <w:rFonts w:ascii="Verdana" w:eastAsia="Calibri" w:hAnsi="Verdana" w:cs="Arial"/>
                <w:i/>
                <w:iCs/>
              </w:rPr>
              <w:t xml:space="preserve">desarrollo de software </w:t>
            </w:r>
            <w:r w:rsidRPr="0004611B">
              <w:rPr>
                <w:rFonts w:ascii="Verdana" w:eastAsia="Calibri" w:hAnsi="Verdana" w:cs="Arial"/>
              </w:rPr>
              <w:t xml:space="preserve">por medio de la modalidad del concurso de méritos. </w:t>
            </w:r>
          </w:p>
          <w:p w14:paraId="3F89FC32" w14:textId="77777777" w:rsidR="00E378EE" w:rsidRPr="0004611B" w:rsidRDefault="00E378EE" w:rsidP="00E378EE">
            <w:pPr>
              <w:widowControl w:val="0"/>
              <w:autoSpaceDE w:val="0"/>
              <w:autoSpaceDN w:val="0"/>
              <w:spacing w:before="120" w:after="120" w:line="276" w:lineRule="auto"/>
              <w:ind w:firstLine="879"/>
              <w:jc w:val="both"/>
              <w:rPr>
                <w:rFonts w:ascii="Verdana" w:eastAsia="Calibri" w:hAnsi="Verdana" w:cs="Arial"/>
              </w:rPr>
            </w:pPr>
            <w:r w:rsidRPr="0004611B">
              <w:rPr>
                <w:rFonts w:ascii="Verdana" w:eastAsia="Calibri" w:hAnsi="Verdana" w:cs="Arial"/>
              </w:rPr>
              <w:t xml:space="preserve">iii) Los procesos para contratar una </w:t>
            </w:r>
            <w:r w:rsidRPr="0004611B">
              <w:rPr>
                <w:rFonts w:ascii="Verdana" w:eastAsia="Calibri" w:hAnsi="Verdana" w:cs="Arial"/>
                <w:i/>
                <w:iCs/>
              </w:rPr>
              <w:t xml:space="preserve">fábrica de software </w:t>
            </w:r>
            <w:r w:rsidRPr="0004611B">
              <w:rPr>
                <w:rFonts w:ascii="Verdana" w:eastAsia="Calibri" w:hAnsi="Verdana" w:cs="Arial"/>
              </w:rPr>
              <w:t xml:space="preserve">se adelanten mediante licitación pública, siempre que no impliquen aspectos que hagan procedente otra modalidad de selección, como es el caso de la selección abreviada por subasta inversa cuando se trate de bienes de características técnicas uniformes. </w:t>
            </w:r>
          </w:p>
          <w:p w14:paraId="3CDD7761" w14:textId="4C3DCC98" w:rsidR="00D47ACF" w:rsidRPr="000C031E" w:rsidRDefault="00E378EE" w:rsidP="00E378EE">
            <w:pPr>
              <w:spacing w:line="276" w:lineRule="auto"/>
              <w:ind w:firstLine="360"/>
              <w:contextualSpacing/>
              <w:jc w:val="both"/>
              <w:rPr>
                <w:rFonts w:ascii="Verdana" w:eastAsia="Calibri" w:hAnsi="Verdana" w:cs="Arial"/>
                <w:bCs/>
                <w:lang w:val="es-ES_tradnl"/>
              </w:rPr>
            </w:pPr>
            <w:r>
              <w:rPr>
                <w:rFonts w:ascii="Verdana" w:eastAsia="Calibri" w:hAnsi="Verdana" w:cs="Arial"/>
                <w:lang w:val="es-ES"/>
              </w:rPr>
              <w:t xml:space="preserve"> </w:t>
            </w:r>
            <w:r w:rsidR="007E712D">
              <w:rPr>
                <w:rFonts w:ascii="Verdana" w:eastAsia="Calibri" w:hAnsi="Verdana" w:cs="Arial"/>
                <w:lang w:val="es-ES"/>
              </w:rPr>
              <w:t xml:space="preserve">   </w:t>
            </w:r>
            <w:r>
              <w:rPr>
                <w:rFonts w:ascii="Verdana" w:eastAsia="Calibri" w:hAnsi="Verdana" w:cs="Arial"/>
                <w:lang w:val="es-ES"/>
              </w:rPr>
              <w:t xml:space="preserve"> </w:t>
            </w:r>
            <w:r w:rsidRPr="0004611B">
              <w:rPr>
                <w:rFonts w:ascii="Verdana" w:eastAsia="Calibri" w:hAnsi="Verdana" w:cs="Arial"/>
              </w:rPr>
              <w:t>Sin perjuicio de lo anterior, son las Entidades Estatales las responsables de determinar, con sustento en la ley, la modalidad de selección aplicable a los contratos que pretenden celebrar, de acuerdo con el objeto del contrato, la cuantía y demás particularidades precisadas en el análisis del sector.</w:t>
            </w:r>
          </w:p>
          <w:p w14:paraId="21E8CF03" w14:textId="5DCB520B" w:rsidR="000C031E" w:rsidRPr="000C031E" w:rsidRDefault="000C031E" w:rsidP="000C031E">
            <w:pPr>
              <w:widowControl w:val="0"/>
              <w:autoSpaceDE w:val="0"/>
              <w:autoSpaceDN w:val="0"/>
              <w:spacing w:line="276" w:lineRule="auto"/>
              <w:jc w:val="both"/>
              <w:rPr>
                <w:rFonts w:ascii="Verdana" w:eastAsia="Calibri" w:hAnsi="Verdana" w:cs="Times New Roman"/>
                <w:lang w:val="es-ES"/>
              </w:rPr>
            </w:pPr>
            <w:r>
              <w:rPr>
                <w:rFonts w:ascii="Verdana" w:eastAsia="Calibri" w:hAnsi="Verdana" w:cs="Times New Roman"/>
                <w:lang w:val="es-ES"/>
              </w:rPr>
              <w:t xml:space="preserve">      </w:t>
            </w:r>
          </w:p>
          <w:p w14:paraId="282FF45C" w14:textId="2A04B841" w:rsidR="00B115DB" w:rsidRPr="00DB4737" w:rsidRDefault="00D47ACF" w:rsidP="007A663E">
            <w:pPr>
              <w:spacing w:line="276" w:lineRule="auto"/>
              <w:ind w:firstLine="360"/>
              <w:contextualSpacing/>
              <w:jc w:val="both"/>
              <w:rPr>
                <w:rFonts w:ascii="Verdana" w:eastAsia="Calibri" w:hAnsi="Verdana" w:cs="Times New Roman"/>
                <w:lang w:val="es-ES"/>
              </w:rPr>
            </w:pPr>
            <w:r>
              <w:rPr>
                <w:rFonts w:ascii="Verdana" w:eastAsia="Calibri" w:hAnsi="Verdana" w:cs="Arial"/>
                <w:bCs/>
                <w:color w:val="000000" w:themeColor="text1"/>
              </w:rPr>
              <w:t xml:space="preserve">  </w:t>
            </w:r>
            <w:r w:rsidR="00FD1A7E">
              <w:rPr>
                <w:rFonts w:ascii="Verdana" w:eastAsia="Calibri" w:hAnsi="Verdana" w:cs="Arial"/>
                <w:bCs/>
                <w:color w:val="000000" w:themeColor="text1"/>
              </w:rPr>
              <w:t xml:space="preserve">  </w:t>
            </w:r>
            <w:r w:rsidR="00FE27F2">
              <w:rPr>
                <w:rFonts w:ascii="Verdana" w:eastAsia="Calibri" w:hAnsi="Verdana" w:cs="Arial"/>
                <w:bCs/>
                <w:color w:val="000000" w:themeColor="text1"/>
              </w:rPr>
              <w:t>Finalmente</w:t>
            </w:r>
            <w:r w:rsidR="00BF7F57">
              <w:rPr>
                <w:rFonts w:ascii="Verdana" w:eastAsia="Calibri" w:hAnsi="Verdana" w:cs="Times New Roman"/>
                <w:lang w:val="es-ES"/>
              </w:rPr>
              <w:t>,</w:t>
            </w:r>
            <w:r w:rsidR="00B115DB" w:rsidRPr="00DB4737">
              <w:rPr>
                <w:rFonts w:ascii="Verdana" w:eastAsia="Calibri" w:hAnsi="Verdana" w:cs="Times New Roman"/>
                <w:lang w:val="es-ES"/>
              </w:rPr>
              <w:t xml:space="preserve"> debe advertirse que el análisis en torno </w:t>
            </w:r>
            <w:r w:rsidR="00042203">
              <w:rPr>
                <w:rFonts w:ascii="Verdana" w:eastAsia="Calibri" w:hAnsi="Verdana" w:cs="Times New Roman"/>
                <w:lang w:val="es-ES"/>
              </w:rPr>
              <w:t>a un proceso de contratación especifico</w:t>
            </w:r>
            <w:r w:rsidR="007A663E">
              <w:rPr>
                <w:rFonts w:ascii="Verdana" w:eastAsia="Calibri" w:hAnsi="Verdana" w:cs="Times New Roman"/>
                <w:lang w:val="es-ES"/>
              </w:rPr>
              <w:t xml:space="preserve"> </w:t>
            </w:r>
            <w:r w:rsidR="0012388D">
              <w:rPr>
                <w:rFonts w:ascii="Verdana" w:eastAsia="Calibri" w:hAnsi="Verdana" w:cs="Times New Roman"/>
                <w:lang w:val="es-ES"/>
              </w:rPr>
              <w:t>debe</w:t>
            </w:r>
            <w:r w:rsidR="00B115DB" w:rsidRPr="0012388D">
              <w:rPr>
                <w:rFonts w:ascii="Verdana" w:eastAsia="Calibri" w:hAnsi="Verdana" w:cs="Times New Roman"/>
                <w:lang w:val="es-ES"/>
              </w:rPr>
              <w:t xml:space="preserve"> ser realizado por quienes tengan interés en ello.</w:t>
            </w:r>
            <w:r w:rsidR="00B115DB"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w:t>
            </w:r>
            <w:r w:rsidR="0012388D" w:rsidRPr="00DB4737">
              <w:rPr>
                <w:rFonts w:ascii="Verdana" w:eastAsia="Calibri" w:hAnsi="Verdana" w:cs="Times New Roman"/>
                <w:lang w:val="es-ES"/>
              </w:rPr>
              <w:t>particulares</w:t>
            </w:r>
            <w:r w:rsidR="00B115DB" w:rsidRPr="00DB4737">
              <w:rPr>
                <w:rFonts w:ascii="Verdana" w:eastAsia="Calibri" w:hAnsi="Verdana" w:cs="Times New Roman"/>
                <w:lang w:val="es-ES"/>
              </w:rPr>
              <w:t xml:space="preserve"> corresponderá a los </w:t>
            </w:r>
            <w:r w:rsidR="00B115DB" w:rsidRPr="00DB4737">
              <w:rPr>
                <w:rFonts w:ascii="Verdana" w:eastAsia="Calibri" w:hAnsi="Verdana" w:cs="Times New Roman"/>
                <w:lang w:val="es-ES"/>
              </w:rPr>
              <w:lastRenderedPageBreak/>
              <w:t>interesados de adoptar la decisión y, en caso de conflicto, a las autoridades judiciales, fiscales y disciplinarias.</w:t>
            </w:r>
            <w:r w:rsidR="00642AA4">
              <w:t xml:space="preserve"> </w:t>
            </w:r>
          </w:p>
          <w:p w14:paraId="52BE4875" w14:textId="77777777" w:rsidR="00B115DB" w:rsidRPr="00DB4737" w:rsidRDefault="00B115DB" w:rsidP="00B115DB">
            <w:pPr>
              <w:ind w:left="720"/>
              <w:contextualSpacing/>
              <w:rPr>
                <w:rFonts w:ascii="Verdana" w:eastAsia="Calibri" w:hAnsi="Verdana" w:cs="Times New Roman"/>
                <w:lang w:val="es-ES"/>
              </w:rPr>
            </w:pPr>
          </w:p>
          <w:p w14:paraId="47EEB54F" w14:textId="2D9C586A" w:rsidR="00CC277F" w:rsidRPr="00831CDD" w:rsidRDefault="00CD4A54" w:rsidP="00722741">
            <w:pPr>
              <w:spacing w:line="276" w:lineRule="auto"/>
              <w:ind w:firstLine="360"/>
              <w:contextualSpacing/>
              <w:jc w:val="both"/>
              <w:rPr>
                <w:rFonts w:ascii="Verdana" w:hAnsi="Verdana" w:cs="Arial"/>
                <w:bCs/>
                <w:color w:val="000000" w:themeColor="text1"/>
              </w:rPr>
            </w:pPr>
            <w:r>
              <w:rPr>
                <w:rFonts w:ascii="Verdana" w:eastAsia="Calibri" w:hAnsi="Verdana" w:cs="Times New Roman"/>
                <w:lang w:val="es-ES"/>
              </w:rPr>
              <w:t xml:space="preserve">     </w:t>
            </w:r>
            <w:r w:rsidR="00B115DB"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7D5768" w:rsidRPr="00593A5F" w14:paraId="43648ADC" w14:textId="77777777" w:rsidTr="00E1079D">
        <w:tc>
          <w:tcPr>
            <w:tcW w:w="8828" w:type="dxa"/>
            <w:shd w:val="clear" w:color="auto" w:fill="auto"/>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2BCB3F2" w14:textId="77777777" w:rsidR="00456CF7" w:rsidRDefault="00456CF7" w:rsidP="00BE38A4">
      <w:pPr>
        <w:spacing w:after="0" w:line="276" w:lineRule="auto"/>
        <w:jc w:val="both"/>
        <w:rPr>
          <w:rFonts w:ascii="Verdana" w:eastAsia="Calibri" w:hAnsi="Verdana" w:cs="Arial"/>
          <w:lang w:val="es-ES"/>
        </w:rPr>
      </w:pPr>
    </w:p>
    <w:p w14:paraId="4E33B110" w14:textId="77777777" w:rsidR="00E378EE" w:rsidRPr="00E03903" w:rsidRDefault="00E378EE" w:rsidP="007E712D">
      <w:pPr>
        <w:spacing w:after="0" w:line="276" w:lineRule="auto"/>
        <w:ind w:firstLine="708"/>
        <w:jc w:val="both"/>
        <w:rPr>
          <w:rFonts w:ascii="Verdana" w:hAnsi="Verdana" w:cs="Arial"/>
          <w:color w:val="000000" w:themeColor="text1"/>
          <w:lang w:val="es-MX"/>
        </w:rPr>
      </w:pPr>
      <w:r>
        <w:rPr>
          <w:rFonts w:ascii="Verdana" w:eastAsia="Calibri" w:hAnsi="Verdana" w:cs="Arial"/>
          <w:lang w:val="es-ES"/>
        </w:rPr>
        <w:t>L</w:t>
      </w:r>
      <w:r w:rsidRPr="008F1FB6">
        <w:rPr>
          <w:rFonts w:ascii="Verdana" w:eastAsia="Calibri" w:hAnsi="Verdana" w:cs="Arial"/>
          <w:lang w:val="es-ES"/>
        </w:rPr>
        <w:t xml:space="preserve">a Entidad Estatal deberá determinar la modalidad </w:t>
      </w:r>
      <w:r>
        <w:rPr>
          <w:rFonts w:ascii="Verdana" w:eastAsia="Calibri" w:hAnsi="Verdana" w:cs="Arial"/>
          <w:lang w:val="es-ES"/>
        </w:rPr>
        <w:t xml:space="preserve">procedente </w:t>
      </w:r>
      <w:r w:rsidRPr="008F1FB6">
        <w:rPr>
          <w:rFonts w:ascii="Verdana" w:eastAsia="Calibri" w:hAnsi="Verdana" w:cs="Arial"/>
          <w:lang w:val="es-ES"/>
        </w:rPr>
        <w:t xml:space="preserve">de acuerdo con la naturaleza del software o </w:t>
      </w:r>
      <w:r>
        <w:rPr>
          <w:rFonts w:ascii="Verdana" w:eastAsia="Calibri" w:hAnsi="Verdana" w:cs="Arial"/>
          <w:lang w:val="es-ES"/>
        </w:rPr>
        <w:t xml:space="preserve">del </w:t>
      </w:r>
      <w:r w:rsidRPr="008F1FB6">
        <w:rPr>
          <w:rFonts w:ascii="Verdana" w:eastAsia="Calibri" w:hAnsi="Verdana" w:cs="Arial"/>
          <w:lang w:val="es-ES"/>
        </w:rPr>
        <w:t xml:space="preserve">servicio asociado que va a adquirir. </w:t>
      </w:r>
      <w:r>
        <w:rPr>
          <w:rFonts w:ascii="Verdana" w:eastAsia="Calibri" w:hAnsi="Verdana" w:cs="Arial"/>
          <w:lang w:val="es-ES"/>
        </w:rPr>
        <w:t>E</w:t>
      </w:r>
      <w:r w:rsidRPr="008F1FB6">
        <w:rPr>
          <w:rFonts w:ascii="Verdana" w:eastAsia="Calibri" w:hAnsi="Verdana" w:cs="Arial"/>
          <w:lang w:val="es-ES"/>
        </w:rPr>
        <w:t xml:space="preserve">n primera medida, </w:t>
      </w:r>
      <w:r>
        <w:rPr>
          <w:rFonts w:ascii="Verdana" w:eastAsia="Calibri" w:hAnsi="Verdana" w:cs="Arial"/>
          <w:lang w:val="es-ES"/>
        </w:rPr>
        <w:t xml:space="preserve">deberá </w:t>
      </w:r>
      <w:r w:rsidRPr="008F1FB6">
        <w:rPr>
          <w:rFonts w:ascii="Verdana" w:eastAsia="Calibri" w:hAnsi="Verdana" w:cs="Arial"/>
          <w:lang w:val="es-ES"/>
        </w:rPr>
        <w:t>identificar durante la etapa de planeación si existen en el mercado herramientas ya desarrolladas que puedan atender su necesidad. Esto le permitirá definir si debe adelantar la adquisición de un software que ya ha sido desarrollado o si, por el contrario, requiere contratar el desarrollo de un software a la medida.</w:t>
      </w:r>
    </w:p>
    <w:p w14:paraId="301C974B" w14:textId="4B0F8A16" w:rsidR="00E378EE" w:rsidRPr="008F1FB6" w:rsidRDefault="00E378EE" w:rsidP="007E712D">
      <w:pPr>
        <w:snapToGrid w:val="0"/>
        <w:spacing w:before="120" w:after="0" w:line="276" w:lineRule="auto"/>
        <w:ind w:firstLine="709"/>
        <w:jc w:val="both"/>
        <w:rPr>
          <w:rFonts w:ascii="Verdana" w:eastAsia="Calibri" w:hAnsi="Verdana" w:cs="Arial"/>
          <w:lang w:val="es-ES"/>
        </w:rPr>
      </w:pPr>
      <w:r w:rsidRPr="008F1FB6">
        <w:rPr>
          <w:rFonts w:ascii="Verdana" w:eastAsia="Calibri" w:hAnsi="Verdana" w:cs="Arial"/>
          <w:lang w:val="es-ES"/>
        </w:rPr>
        <w:t xml:space="preserve">La adquisición de un software que se encuentre disponible en el mercado puede implicar </w:t>
      </w:r>
      <w:r w:rsidRPr="008F1FB6">
        <w:rPr>
          <w:rFonts w:ascii="Verdana" w:eastAsia="Calibri" w:hAnsi="Verdana" w:cs="Arial"/>
        </w:rPr>
        <w:t xml:space="preserve">costos y tiempos inferiores de implementación a los </w:t>
      </w:r>
      <w:r>
        <w:rPr>
          <w:rFonts w:ascii="Verdana" w:eastAsia="Calibri" w:hAnsi="Verdana" w:cs="Arial"/>
        </w:rPr>
        <w:t xml:space="preserve">del </w:t>
      </w:r>
      <w:r w:rsidRPr="008F1FB6">
        <w:rPr>
          <w:rFonts w:ascii="Verdana" w:eastAsia="Calibri" w:hAnsi="Verdana" w:cs="Arial"/>
        </w:rPr>
        <w:t>desarrollo de una herramienta desde cero. Cua</w:t>
      </w:r>
      <w:r w:rsidR="00783C25">
        <w:rPr>
          <w:rFonts w:ascii="Verdana" w:eastAsia="Calibri" w:hAnsi="Verdana" w:cs="Arial"/>
          <w:lang w:val="es-ES"/>
        </w:rPr>
        <w:t>n</w:t>
      </w:r>
      <w:r w:rsidRPr="008F1FB6">
        <w:rPr>
          <w:rFonts w:ascii="Verdana" w:eastAsia="Calibri" w:hAnsi="Verdana" w:cs="Arial"/>
        </w:rPr>
        <w:t xml:space="preserve">do la Entidad deba adquirir el desarrollo de software a la medida, deberá abarcar todo el ciclo de vida del producto, </w:t>
      </w:r>
      <w:r w:rsidRPr="008F1FB6">
        <w:rPr>
          <w:rFonts w:ascii="Verdana" w:eastAsia="Calibri" w:hAnsi="Verdana" w:cs="Arial"/>
          <w:lang w:val="es-ES"/>
        </w:rPr>
        <w:t xml:space="preserve">incluyendo el levantamiento de requerimientos, la programación, realización de pruebas, depuración de código y su entrega a satisfacción, así como </w:t>
      </w:r>
      <w:r>
        <w:rPr>
          <w:rFonts w:ascii="Verdana" w:eastAsia="Calibri" w:hAnsi="Verdana" w:cs="Arial"/>
          <w:lang w:val="es-ES"/>
        </w:rPr>
        <w:t>l</w:t>
      </w:r>
      <w:r w:rsidRPr="008F1FB6">
        <w:rPr>
          <w:rFonts w:ascii="Verdana" w:eastAsia="Calibri" w:hAnsi="Verdana" w:cs="Arial"/>
          <w:lang w:val="es-ES"/>
        </w:rPr>
        <w:t xml:space="preserve">a prestación de horas de soporte. En esta medida, la Entidad deberá considerar los costos asociados a estas actividades, así como la necesidad de </w:t>
      </w:r>
      <w:r w:rsidRPr="008F1FB6">
        <w:rPr>
          <w:rFonts w:ascii="Verdana" w:eastAsia="Calibri" w:hAnsi="Verdana" w:cs="Arial"/>
          <w:lang w:val="es-ES"/>
        </w:rPr>
        <w:lastRenderedPageBreak/>
        <w:t>contar</w:t>
      </w:r>
      <w:r w:rsidRPr="008F1FB6">
        <w:rPr>
          <w:rFonts w:ascii="Verdana" w:eastAsia="Calibri" w:hAnsi="Verdana" w:cs="Arial"/>
        </w:rPr>
        <w:t xml:space="preserve"> con personal idóneo para todas las fases asociadas a la planeación, desarrollo, pruebas y estabilización del software.</w:t>
      </w:r>
      <w:r w:rsidRPr="008F1FB6">
        <w:rPr>
          <w:rStyle w:val="Refdenotaalpie"/>
          <w:rFonts w:ascii="Verdana" w:eastAsia="Calibri" w:hAnsi="Verdana" w:cs="Arial"/>
        </w:rPr>
        <w:footnoteReference w:id="1"/>
      </w:r>
      <w:r w:rsidRPr="008F1FB6">
        <w:rPr>
          <w:rFonts w:ascii="Verdana" w:eastAsia="Calibri" w:hAnsi="Verdana" w:cs="Arial"/>
        </w:rPr>
        <w:t xml:space="preserve"> </w:t>
      </w:r>
    </w:p>
    <w:p w14:paraId="4F517A77" w14:textId="77777777" w:rsidR="00783C25" w:rsidRDefault="00E378EE" w:rsidP="00783C25">
      <w:pPr>
        <w:snapToGrid w:val="0"/>
        <w:spacing w:before="120" w:after="0" w:line="276" w:lineRule="auto"/>
        <w:ind w:firstLine="709"/>
        <w:jc w:val="both"/>
        <w:rPr>
          <w:rFonts w:ascii="Verdana" w:eastAsia="Calibri" w:hAnsi="Verdana" w:cs="Arial"/>
          <w:lang w:val="es-ES"/>
        </w:rPr>
      </w:pPr>
      <w:r w:rsidRPr="008F1FB6">
        <w:rPr>
          <w:rFonts w:ascii="Verdana" w:eastAsia="Calibri" w:hAnsi="Verdana" w:cs="Arial"/>
          <w:lang w:val="es-ES"/>
        </w:rPr>
        <w:t>Una alternativa es que, cuando entidad evidencie que no existe un software en el mercado para atender su necesidad, opte por un procedimiento que reutilice código previamente escrito con el fin de disminuir los costos asociados al proceso. Esta posibilidad, denominada “fábrica de software”</w:t>
      </w:r>
      <w:r>
        <w:rPr>
          <w:rFonts w:ascii="Verdana" w:eastAsia="Calibri" w:hAnsi="Verdana" w:cs="Arial"/>
          <w:lang w:val="es-ES"/>
        </w:rPr>
        <w:t>,</w:t>
      </w:r>
      <w:r w:rsidRPr="008F1FB6">
        <w:rPr>
          <w:rFonts w:ascii="Verdana" w:eastAsia="Calibri" w:hAnsi="Verdana" w:cs="Arial"/>
          <w:lang w:val="es-ES"/>
        </w:rPr>
        <w:t xml:space="preserve"> puede requerir un equipo de trabajo menor al </w:t>
      </w:r>
      <w:r>
        <w:rPr>
          <w:rFonts w:ascii="Verdana" w:eastAsia="Calibri" w:hAnsi="Verdana" w:cs="Arial"/>
          <w:lang w:val="es-ES"/>
        </w:rPr>
        <w:t xml:space="preserve">de un </w:t>
      </w:r>
      <w:r w:rsidRPr="008F1FB6">
        <w:rPr>
          <w:rFonts w:ascii="Verdana" w:eastAsia="Calibri" w:hAnsi="Verdana" w:cs="Arial"/>
          <w:lang w:val="es-ES"/>
        </w:rPr>
        <w:t xml:space="preserve">desarrollo a la medida y cumplir con objetivos específicos sin abarcar todo el ciclo de vida del software. De cualquier modo, </w:t>
      </w:r>
      <w:r>
        <w:rPr>
          <w:rFonts w:ascii="Verdana" w:eastAsia="Calibri" w:hAnsi="Verdana" w:cs="Arial"/>
          <w:lang w:val="es-ES"/>
        </w:rPr>
        <w:t xml:space="preserve">la Entidad debe tener en cuenta que </w:t>
      </w:r>
      <w:r w:rsidRPr="008F1FB6">
        <w:rPr>
          <w:rFonts w:ascii="Verdana" w:eastAsia="Calibri" w:hAnsi="Verdana" w:cs="Arial"/>
          <w:lang w:val="es-ES"/>
        </w:rPr>
        <w:t>esta opción también puede acarrear costos superiores a la adquisición de software existente.</w:t>
      </w:r>
    </w:p>
    <w:p w14:paraId="56C42640" w14:textId="77777777" w:rsidR="00736813" w:rsidRDefault="00E378EE" w:rsidP="00736813">
      <w:pPr>
        <w:snapToGrid w:val="0"/>
        <w:spacing w:before="120" w:after="0" w:line="276" w:lineRule="auto"/>
        <w:ind w:firstLine="709"/>
        <w:jc w:val="both"/>
        <w:rPr>
          <w:rFonts w:ascii="Verdana" w:eastAsia="Calibri" w:hAnsi="Verdana" w:cs="Arial"/>
          <w:lang w:val="es-ES"/>
        </w:rPr>
      </w:pPr>
      <w:r w:rsidRPr="008F1FB6">
        <w:rPr>
          <w:rFonts w:ascii="Verdana" w:eastAsia="Calibri" w:hAnsi="Verdana" w:cs="Arial"/>
        </w:rPr>
        <w:t xml:space="preserve">De esta manera, </w:t>
      </w:r>
      <w:r>
        <w:rPr>
          <w:rFonts w:ascii="Verdana" w:eastAsia="Calibri" w:hAnsi="Verdana" w:cs="Arial"/>
        </w:rPr>
        <w:t xml:space="preserve">una vez las Entidades realicen </w:t>
      </w:r>
      <w:r w:rsidRPr="008F1FB6">
        <w:rPr>
          <w:rFonts w:ascii="Verdana" w:eastAsia="Calibri" w:hAnsi="Verdana" w:cs="Arial"/>
        </w:rPr>
        <w:t>una evaluación de su necesidad</w:t>
      </w:r>
      <w:r>
        <w:rPr>
          <w:rFonts w:ascii="Verdana" w:eastAsia="Calibri" w:hAnsi="Verdana" w:cs="Arial"/>
        </w:rPr>
        <w:t xml:space="preserve"> y </w:t>
      </w:r>
      <w:r w:rsidRPr="008F1FB6">
        <w:rPr>
          <w:rFonts w:ascii="Verdana" w:eastAsia="Calibri" w:hAnsi="Verdana" w:cs="Arial"/>
        </w:rPr>
        <w:t>determin</w:t>
      </w:r>
      <w:r>
        <w:rPr>
          <w:rFonts w:ascii="Verdana" w:eastAsia="Calibri" w:hAnsi="Verdana" w:cs="Arial"/>
        </w:rPr>
        <w:t>en</w:t>
      </w:r>
      <w:r w:rsidRPr="008F1FB6">
        <w:rPr>
          <w:rFonts w:ascii="Verdana" w:eastAsia="Calibri" w:hAnsi="Verdana" w:cs="Arial"/>
        </w:rPr>
        <w:t xml:space="preserve"> si exis</w:t>
      </w:r>
      <w:r>
        <w:rPr>
          <w:rFonts w:ascii="Verdana" w:eastAsia="Calibri" w:hAnsi="Verdana" w:cs="Arial"/>
        </w:rPr>
        <w:t>ten</w:t>
      </w:r>
      <w:r w:rsidRPr="008F1FB6">
        <w:rPr>
          <w:rFonts w:ascii="Verdana" w:eastAsia="Calibri" w:hAnsi="Verdana" w:cs="Arial"/>
        </w:rPr>
        <w:t xml:space="preserve"> herramientas comerciales que puedan satisfacerla, </w:t>
      </w:r>
      <w:r>
        <w:rPr>
          <w:rFonts w:ascii="Verdana" w:eastAsia="Calibri" w:hAnsi="Verdana" w:cs="Arial"/>
        </w:rPr>
        <w:t>podrán</w:t>
      </w:r>
      <w:r w:rsidRPr="008F1FB6">
        <w:rPr>
          <w:rFonts w:ascii="Verdana" w:eastAsia="Calibri" w:hAnsi="Verdana" w:cs="Arial"/>
        </w:rPr>
        <w:t xml:space="preserve"> realizar una aproximación técnica, jurídica y económica que considere los costos derivados de la implementación y la puesta en producción. Este análisis les permitirá </w:t>
      </w:r>
      <w:r>
        <w:rPr>
          <w:rFonts w:ascii="Verdana" w:eastAsia="Calibri" w:hAnsi="Verdana" w:cs="Arial"/>
        </w:rPr>
        <w:t>determinar concretamente la cuantía y el objeto de su proceso de contratación, así como la modalidad de selección adecuada.</w:t>
      </w:r>
      <w:r w:rsidRPr="008F1FB6">
        <w:rPr>
          <w:rFonts w:ascii="Verdana" w:eastAsia="Calibri" w:hAnsi="Verdana" w:cs="Arial"/>
        </w:rPr>
        <w:t xml:space="preserve"> </w:t>
      </w:r>
    </w:p>
    <w:p w14:paraId="65BAE700" w14:textId="77777777" w:rsidR="00736813" w:rsidRDefault="00E378EE" w:rsidP="00736813">
      <w:pPr>
        <w:snapToGrid w:val="0"/>
        <w:spacing w:before="120" w:after="0" w:line="276" w:lineRule="auto"/>
        <w:ind w:firstLine="709"/>
        <w:jc w:val="both"/>
        <w:rPr>
          <w:rFonts w:ascii="Verdana" w:eastAsia="Calibri" w:hAnsi="Verdana" w:cs="Arial"/>
          <w:lang w:val="es-ES"/>
        </w:rPr>
      </w:pPr>
      <w:r w:rsidRPr="008F1FB6">
        <w:rPr>
          <w:rFonts w:ascii="Verdana" w:eastAsia="Calibri" w:hAnsi="Verdana" w:cs="Arial"/>
          <w:lang w:val="es-ES"/>
        </w:rPr>
        <w:t>La Agencia Nacional de Contratación Pública – Colombia Compra Eficiente y el Ministerio de Tecnologías de la Información y las Comunicaciones – MinTIC</w:t>
      </w:r>
      <w:r w:rsidRPr="008F1FB6">
        <w:rPr>
          <w:rFonts w:ascii="Verdana" w:eastAsia="Calibri" w:hAnsi="Verdana" w:cs="Arial"/>
        </w:rPr>
        <w:t xml:space="preserve"> </w:t>
      </w:r>
      <w:r w:rsidRPr="00D6586A">
        <w:rPr>
          <w:rFonts w:ascii="Verdana" w:eastAsia="Calibri" w:hAnsi="Verdana" w:cs="Arial"/>
          <w:lang w:val="es-ES"/>
        </w:rPr>
        <w:t>recomiendan</w:t>
      </w:r>
      <w:r>
        <w:rPr>
          <w:rStyle w:val="Refdenotaalpie"/>
          <w:rFonts w:ascii="Verdana" w:eastAsia="Calibri" w:hAnsi="Verdana" w:cs="Arial"/>
          <w:lang w:val="es-ES"/>
        </w:rPr>
        <w:footnoteReference w:id="2"/>
      </w:r>
      <w:r w:rsidRPr="00D6586A">
        <w:rPr>
          <w:rFonts w:ascii="Verdana" w:eastAsia="Calibri" w:hAnsi="Verdana" w:cs="Arial"/>
          <w:lang w:val="es-ES"/>
        </w:rPr>
        <w:t xml:space="preserve"> que las Entidades </w:t>
      </w:r>
      <w:r w:rsidRPr="000E2823">
        <w:rPr>
          <w:rFonts w:ascii="Verdana" w:eastAsia="Calibri" w:hAnsi="Verdana" w:cs="Arial"/>
          <w:lang w:val="es-ES"/>
        </w:rPr>
        <w:t>adelant</w:t>
      </w:r>
      <w:r>
        <w:rPr>
          <w:rFonts w:ascii="Verdana" w:eastAsia="Calibri" w:hAnsi="Verdana" w:cs="Arial"/>
          <w:lang w:val="es-ES"/>
        </w:rPr>
        <w:t>en</w:t>
      </w:r>
      <w:r w:rsidRPr="000E2823">
        <w:rPr>
          <w:rFonts w:ascii="Verdana" w:eastAsia="Calibri" w:hAnsi="Verdana" w:cs="Arial"/>
          <w:lang w:val="es-ES"/>
        </w:rPr>
        <w:t xml:space="preserve"> los procesos de adquisición de software mediante las siguientes modalidades de contratación: (i) licitación pública, (ii) mínima cuantía o (iii) concurso de méritos. </w:t>
      </w:r>
      <w:r w:rsidRPr="00D6586A">
        <w:rPr>
          <w:rFonts w:ascii="Verdana" w:eastAsia="Calibri" w:hAnsi="Verdana" w:cs="Arial"/>
          <w:lang w:val="es-ES"/>
        </w:rPr>
        <w:t>Sin embargo, la entidad deberá contemplar la modalidad de selección abreviada por subasta inversa cuando se trate de bienes de características técnicas uniformes.</w:t>
      </w:r>
      <w:r>
        <w:rPr>
          <w:rFonts w:ascii="Verdana" w:eastAsia="Calibri" w:hAnsi="Verdana" w:cs="Arial"/>
          <w:lang w:val="es-ES"/>
        </w:rPr>
        <w:t xml:space="preserve"> </w:t>
      </w:r>
    </w:p>
    <w:p w14:paraId="17A43AAF" w14:textId="77777777" w:rsidR="00736813" w:rsidRDefault="00E378EE" w:rsidP="00736813">
      <w:pPr>
        <w:snapToGrid w:val="0"/>
        <w:spacing w:before="120" w:after="0" w:line="276" w:lineRule="auto"/>
        <w:ind w:firstLine="709"/>
        <w:jc w:val="both"/>
        <w:rPr>
          <w:rFonts w:ascii="Verdana" w:eastAsia="Calibri" w:hAnsi="Verdana" w:cs="Arial"/>
          <w:lang w:val="es-ES"/>
        </w:rPr>
      </w:pPr>
      <w:r w:rsidRPr="00D6586A">
        <w:rPr>
          <w:rFonts w:ascii="Verdana" w:eastAsia="Calibri" w:hAnsi="Verdana" w:cs="Arial"/>
          <w:lang w:val="es-ES"/>
        </w:rPr>
        <w:t xml:space="preserve">En cuanto a la licitación, aunque es la regla general para la selección de proponentes de acuerdo con el artículo segundo de la </w:t>
      </w:r>
      <w:r>
        <w:rPr>
          <w:rFonts w:ascii="Verdana" w:eastAsia="Calibri" w:hAnsi="Verdana" w:cs="Arial"/>
          <w:lang w:val="es-ES"/>
        </w:rPr>
        <w:t>L</w:t>
      </w:r>
      <w:r w:rsidRPr="00D6586A">
        <w:rPr>
          <w:rFonts w:ascii="Verdana" w:eastAsia="Calibri" w:hAnsi="Verdana" w:cs="Arial"/>
          <w:lang w:val="es-ES"/>
        </w:rPr>
        <w:t>ey 1150 de 2007, esto no quiere decir que en todos los casos resulte ser la modalidad más adecuada para la adquisición de software. La entidad deberá primero verificar si se configuran circunstancias especiales que hacen procedente otra modalidad de selección</w:t>
      </w:r>
      <w:r>
        <w:rPr>
          <w:rFonts w:ascii="Verdana" w:eastAsia="Calibri" w:hAnsi="Verdana" w:cs="Arial"/>
          <w:lang w:val="es-ES"/>
        </w:rPr>
        <w:t>, como es el caso de la cuantía y la naturaleza del bien o servicio</w:t>
      </w:r>
      <w:r w:rsidRPr="00D6586A">
        <w:rPr>
          <w:rFonts w:ascii="Verdana" w:eastAsia="Calibri" w:hAnsi="Verdana" w:cs="Arial"/>
          <w:lang w:val="es-ES"/>
        </w:rPr>
        <w:t xml:space="preserve">. En </w:t>
      </w:r>
      <w:r w:rsidRPr="00D6586A">
        <w:rPr>
          <w:rFonts w:ascii="Verdana" w:eastAsia="Calibri" w:hAnsi="Verdana" w:cs="Arial"/>
          <w:lang w:val="es-ES"/>
        </w:rPr>
        <w:lastRenderedPageBreak/>
        <w:t>efecto, según la naturaleza</w:t>
      </w:r>
      <w:r>
        <w:rPr>
          <w:rFonts w:ascii="Verdana" w:eastAsia="Calibri" w:hAnsi="Verdana" w:cs="Arial"/>
          <w:lang w:val="es-ES"/>
        </w:rPr>
        <w:t xml:space="preserve"> del objeto a contratar</w:t>
      </w:r>
      <w:r w:rsidRPr="00D6586A">
        <w:rPr>
          <w:rFonts w:ascii="Verdana" w:eastAsia="Calibri" w:hAnsi="Verdana" w:cs="Arial"/>
          <w:lang w:val="es-ES"/>
        </w:rPr>
        <w:t xml:space="preserve">, </w:t>
      </w:r>
      <w:r w:rsidRPr="008F1FB6">
        <w:rPr>
          <w:rFonts w:ascii="Verdana" w:eastAsia="Calibri" w:hAnsi="Verdana" w:cs="Arial"/>
          <w:lang w:val="es-ES"/>
        </w:rPr>
        <w:t>Colombia Compra Eficiente y el MinTIC</w:t>
      </w:r>
      <w:r w:rsidRPr="008F1FB6">
        <w:rPr>
          <w:rFonts w:ascii="Verdana" w:eastAsia="Calibri" w:hAnsi="Verdana" w:cs="Arial"/>
        </w:rPr>
        <w:t xml:space="preserve"> </w:t>
      </w:r>
      <w:r w:rsidRPr="00D6586A">
        <w:rPr>
          <w:rFonts w:ascii="Verdana" w:eastAsia="Calibri" w:hAnsi="Verdana" w:cs="Arial"/>
          <w:lang w:val="es-ES"/>
        </w:rPr>
        <w:t xml:space="preserve">recomiendan tener en cuenta las modalidades </w:t>
      </w:r>
      <w:r>
        <w:rPr>
          <w:rFonts w:ascii="Verdana" w:eastAsia="Calibri" w:hAnsi="Verdana" w:cs="Arial"/>
          <w:lang w:val="es-ES"/>
        </w:rPr>
        <w:t xml:space="preserve">de selección </w:t>
      </w:r>
      <w:r w:rsidRPr="00D6586A">
        <w:rPr>
          <w:rFonts w:ascii="Verdana" w:eastAsia="Calibri" w:hAnsi="Verdana" w:cs="Arial"/>
          <w:lang w:val="es-ES"/>
        </w:rPr>
        <w:t>que se exponen a continuación.</w:t>
      </w:r>
    </w:p>
    <w:p w14:paraId="3C890547" w14:textId="413C823C" w:rsidR="00736813" w:rsidRDefault="00E378EE" w:rsidP="00736813">
      <w:pPr>
        <w:snapToGrid w:val="0"/>
        <w:spacing w:before="120" w:after="0" w:line="276" w:lineRule="auto"/>
        <w:ind w:firstLine="709"/>
        <w:jc w:val="both"/>
        <w:rPr>
          <w:rFonts w:ascii="Verdana" w:eastAsia="Calibri" w:hAnsi="Verdana" w:cs="Arial"/>
          <w:lang w:val="es-ES"/>
        </w:rPr>
      </w:pPr>
      <w:r w:rsidRPr="00D6586A">
        <w:rPr>
          <w:rFonts w:ascii="Verdana" w:eastAsia="Calibri" w:hAnsi="Verdana" w:cs="Arial"/>
          <w:lang w:val="es-ES"/>
        </w:rPr>
        <w:t xml:space="preserve">En primer lugar, cuando la Entidad Estatal determine que requiere la </w:t>
      </w:r>
      <w:r w:rsidRPr="00997173">
        <w:rPr>
          <w:rFonts w:ascii="Verdana" w:eastAsia="Calibri" w:hAnsi="Verdana" w:cs="Arial"/>
          <w:i/>
          <w:iCs/>
          <w:lang w:val="es-ES"/>
        </w:rPr>
        <w:t>adquisición de un software</w:t>
      </w:r>
      <w:r w:rsidRPr="00D6586A">
        <w:rPr>
          <w:rFonts w:ascii="Verdana" w:eastAsia="Calibri" w:hAnsi="Verdana" w:cs="Arial"/>
          <w:lang w:val="es-ES"/>
        </w:rPr>
        <w:t xml:space="preserve"> de propósito general </w:t>
      </w:r>
      <w:r>
        <w:rPr>
          <w:rFonts w:ascii="Verdana" w:eastAsia="Calibri" w:hAnsi="Verdana" w:cs="Arial"/>
          <w:lang w:val="es-ES"/>
        </w:rPr>
        <w:t xml:space="preserve">- </w:t>
      </w:r>
      <w:r w:rsidRPr="00D6586A">
        <w:rPr>
          <w:rFonts w:ascii="Verdana" w:eastAsia="Calibri" w:hAnsi="Verdana" w:cs="Arial"/>
          <w:lang w:val="es-ES"/>
        </w:rPr>
        <w:t>como la adquisición de licenciamiento, SaaS y servicios complementarios</w:t>
      </w:r>
      <w:r>
        <w:rPr>
          <w:rFonts w:ascii="Verdana" w:eastAsia="Calibri" w:hAnsi="Verdana" w:cs="Arial"/>
          <w:lang w:val="es-ES"/>
        </w:rPr>
        <w:t>-</w:t>
      </w:r>
      <w:r w:rsidRPr="00D6586A">
        <w:rPr>
          <w:rFonts w:ascii="Verdana" w:eastAsia="Calibri" w:hAnsi="Verdana" w:cs="Arial"/>
          <w:lang w:val="es-ES"/>
        </w:rPr>
        <w:t xml:space="preserve"> deberá considerar si se trata de bienes con características uniformes y de común utilización, que comparten patrones de desempeño y de calidad. De conformidad con lo dispuesto en la Ley 1150 de 2007, en estos casos deberá adelantar un proceso mediante la modalidad de selección abreviada por subasta inversa, siguiendo el proc</w:t>
      </w:r>
      <w:r>
        <w:rPr>
          <w:rFonts w:ascii="Verdana" w:eastAsia="Calibri" w:hAnsi="Verdana" w:cs="Arial"/>
          <w:lang w:val="es-ES"/>
        </w:rPr>
        <w:t>e</w:t>
      </w:r>
      <w:r w:rsidRPr="00D6586A">
        <w:rPr>
          <w:rFonts w:ascii="Verdana" w:eastAsia="Calibri" w:hAnsi="Verdana" w:cs="Arial"/>
          <w:lang w:val="es-ES"/>
        </w:rPr>
        <w:t xml:space="preserve">dimiento que para </w:t>
      </w:r>
      <w:r>
        <w:rPr>
          <w:rFonts w:ascii="Verdana" w:eastAsia="Calibri" w:hAnsi="Verdana" w:cs="Arial"/>
          <w:lang w:val="es-ES"/>
        </w:rPr>
        <w:t>ello dispone el</w:t>
      </w:r>
      <w:r w:rsidRPr="00D6586A">
        <w:rPr>
          <w:rFonts w:ascii="Verdana" w:eastAsia="Calibri" w:hAnsi="Verdana" w:cs="Arial"/>
          <w:lang w:val="es-ES"/>
        </w:rPr>
        <w:t xml:space="preserve"> Decreto 1082 de 2015</w:t>
      </w:r>
      <w:r>
        <w:rPr>
          <w:rStyle w:val="Refdenotaalpie"/>
          <w:rFonts w:ascii="Verdana" w:eastAsia="Calibri" w:hAnsi="Verdana" w:cs="Arial"/>
          <w:lang w:val="es-ES"/>
        </w:rPr>
        <w:footnoteReference w:id="3"/>
      </w:r>
      <w:r w:rsidRPr="00D6586A">
        <w:rPr>
          <w:rFonts w:ascii="Verdana" w:eastAsia="Calibri" w:hAnsi="Verdana" w:cs="Arial"/>
          <w:lang w:val="es-ES"/>
        </w:rPr>
        <w:t xml:space="preserve">. </w:t>
      </w:r>
      <w:r w:rsidRPr="004831FB">
        <w:rPr>
          <w:rFonts w:ascii="Verdana" w:eastAsia="Calibri" w:hAnsi="Verdana" w:cs="Arial"/>
          <w:lang w:val="es-ES"/>
        </w:rPr>
        <w:t xml:space="preserve">Para la </w:t>
      </w:r>
      <w:r w:rsidR="006B2282" w:rsidRPr="004831FB">
        <w:rPr>
          <w:rFonts w:ascii="Verdana" w:eastAsia="Calibri" w:hAnsi="Verdana" w:cs="Arial"/>
          <w:lang w:val="es-ES"/>
        </w:rPr>
        <w:t>adquisición</w:t>
      </w:r>
      <w:r w:rsidRPr="004831FB">
        <w:rPr>
          <w:rFonts w:ascii="Verdana" w:eastAsia="Calibri" w:hAnsi="Verdana" w:cs="Arial"/>
          <w:lang w:val="es-ES"/>
        </w:rPr>
        <w:t xml:space="preserve"> o suministro de bienes y servicios de </w:t>
      </w:r>
      <w:r w:rsidR="006B2282" w:rsidRPr="004831FB">
        <w:rPr>
          <w:rFonts w:ascii="Verdana" w:eastAsia="Calibri" w:hAnsi="Verdana" w:cs="Arial"/>
          <w:lang w:val="es-ES"/>
        </w:rPr>
        <w:t>características</w:t>
      </w:r>
      <w:r w:rsidRPr="004831FB">
        <w:rPr>
          <w:rFonts w:ascii="Verdana" w:eastAsia="Calibri" w:hAnsi="Verdana" w:cs="Arial"/>
          <w:lang w:val="es-ES"/>
        </w:rPr>
        <w:t xml:space="preserve"> </w:t>
      </w:r>
      <w:r w:rsidR="006B2282" w:rsidRPr="004831FB">
        <w:rPr>
          <w:rFonts w:ascii="Verdana" w:eastAsia="Calibri" w:hAnsi="Verdana" w:cs="Arial"/>
          <w:lang w:val="es-ES"/>
        </w:rPr>
        <w:t>técnicas</w:t>
      </w:r>
      <w:r w:rsidRPr="004831FB">
        <w:rPr>
          <w:rFonts w:ascii="Verdana" w:eastAsia="Calibri" w:hAnsi="Verdana" w:cs="Arial"/>
        </w:rPr>
        <w:t xml:space="preserve"> uniformes y común utilización, las entidades estatales incluirán como único factor de evaluación el menor precio ofrecido</w:t>
      </w:r>
      <w:r>
        <w:rPr>
          <w:rStyle w:val="Refdenotaalpie"/>
          <w:rFonts w:ascii="Verdana" w:eastAsia="Calibri" w:hAnsi="Verdana" w:cs="Arial"/>
        </w:rPr>
        <w:footnoteReference w:id="4"/>
      </w:r>
      <w:r w:rsidRPr="004831FB">
        <w:rPr>
          <w:rFonts w:ascii="Verdana" w:eastAsia="Calibri" w:hAnsi="Verdana" w:cs="Arial"/>
          <w:lang w:val="es-ES"/>
        </w:rPr>
        <w:t>.</w:t>
      </w:r>
      <w:r>
        <w:rPr>
          <w:rFonts w:ascii="Verdana" w:eastAsia="Calibri" w:hAnsi="Verdana" w:cs="Arial"/>
          <w:lang w:val="es-ES"/>
        </w:rPr>
        <w:t xml:space="preserve"> </w:t>
      </w:r>
      <w:r w:rsidRPr="00D6586A">
        <w:rPr>
          <w:rFonts w:ascii="Verdana" w:eastAsia="Calibri" w:hAnsi="Verdana" w:cs="Arial"/>
          <w:lang w:val="es-ES"/>
        </w:rPr>
        <w:t xml:space="preserve">Lo anterior, sin perjuicio de lo que dispone la normativa para la adquisición de estos bienes y servicios a través de Acuerdos Marco de </w:t>
      </w:r>
      <w:r w:rsidR="006B2282" w:rsidRPr="00D6586A">
        <w:rPr>
          <w:rFonts w:ascii="Verdana" w:eastAsia="Calibri" w:hAnsi="Verdana" w:cs="Arial"/>
          <w:lang w:val="es-ES"/>
        </w:rPr>
        <w:t>Precios</w:t>
      </w:r>
      <w:r w:rsidRPr="00D6586A">
        <w:rPr>
          <w:rFonts w:ascii="Verdana" w:eastAsia="Calibri" w:hAnsi="Verdana" w:cs="Arial"/>
          <w:lang w:val="es-ES"/>
        </w:rPr>
        <w:t xml:space="preserve"> o Instrumentos de Agregación de Demanda</w:t>
      </w:r>
      <w:r>
        <w:rPr>
          <w:rStyle w:val="Refdenotaalpie"/>
          <w:rFonts w:ascii="Verdana" w:eastAsia="Calibri" w:hAnsi="Verdana" w:cs="Arial"/>
          <w:lang w:val="es-ES"/>
        </w:rPr>
        <w:footnoteReference w:id="5"/>
      </w:r>
      <w:r w:rsidRPr="00D6586A">
        <w:rPr>
          <w:rFonts w:ascii="Verdana" w:eastAsia="Calibri" w:hAnsi="Verdana" w:cs="Arial"/>
          <w:lang w:val="es-ES"/>
        </w:rPr>
        <w:t xml:space="preserve">. </w:t>
      </w:r>
    </w:p>
    <w:p w14:paraId="147C8E87" w14:textId="77777777" w:rsidR="00736813" w:rsidRDefault="00E378EE" w:rsidP="00736813">
      <w:pPr>
        <w:snapToGrid w:val="0"/>
        <w:spacing w:before="120" w:after="0" w:line="276" w:lineRule="auto"/>
        <w:ind w:firstLine="709"/>
        <w:jc w:val="both"/>
        <w:rPr>
          <w:rFonts w:ascii="Verdana" w:eastAsia="Calibri" w:hAnsi="Verdana" w:cs="Arial"/>
          <w:lang w:val="es-ES"/>
        </w:rPr>
      </w:pPr>
      <w:r w:rsidRPr="00D6586A">
        <w:rPr>
          <w:rFonts w:ascii="Verdana" w:eastAsia="Calibri" w:hAnsi="Verdana" w:cs="Arial"/>
          <w:lang w:val="es-ES"/>
        </w:rPr>
        <w:t xml:space="preserve">Adicionalmente, las entidades deben tener en cuenta que la adquisición de software mediante la modalidad de selección abreviada por subasta inversa puede generar dificultades durante la ejecución del contrato asociadas a que los partícipes sobrepasen el punto de quiebre o subestimen los costos del despliegue de la herramienta ofreciendo precios inferiores a los de mercado. Así, </w:t>
      </w:r>
      <w:r>
        <w:rPr>
          <w:rFonts w:ascii="Verdana" w:eastAsia="Calibri" w:hAnsi="Verdana" w:cs="Arial"/>
          <w:lang w:val="es-ES"/>
        </w:rPr>
        <w:t xml:space="preserve">es importante </w:t>
      </w:r>
      <w:r w:rsidRPr="00D6586A">
        <w:rPr>
          <w:rFonts w:ascii="Verdana" w:eastAsia="Calibri" w:hAnsi="Verdana" w:cs="Arial"/>
          <w:lang w:val="es-ES"/>
        </w:rPr>
        <w:t>considerar si la realidad de la adquisición del software o los servicios asociados corresponde efectivamente a un bien o servicio de características técnicas uniformes, con el fin de evitar una indebida modalidad de selección.</w:t>
      </w:r>
    </w:p>
    <w:p w14:paraId="40239016" w14:textId="77777777" w:rsidR="00736813" w:rsidRDefault="00E378EE" w:rsidP="00736813">
      <w:pPr>
        <w:snapToGrid w:val="0"/>
        <w:spacing w:before="120" w:after="0" w:line="276" w:lineRule="auto"/>
        <w:ind w:firstLine="709"/>
        <w:jc w:val="both"/>
        <w:rPr>
          <w:rFonts w:ascii="Verdana" w:eastAsia="Calibri" w:hAnsi="Verdana" w:cs="Arial"/>
          <w:lang w:val="es-ES"/>
        </w:rPr>
      </w:pPr>
      <w:r w:rsidRPr="00D6586A">
        <w:rPr>
          <w:rFonts w:ascii="Verdana" w:eastAsia="Calibri" w:hAnsi="Verdana" w:cs="Arial"/>
          <w:lang w:val="es-ES"/>
        </w:rPr>
        <w:t xml:space="preserve">En segundo lugar, si durante la etapa de planeación la entidad determina que no existe una herramienta disponible en el mercado y requiere el </w:t>
      </w:r>
      <w:r w:rsidRPr="00F02B16">
        <w:rPr>
          <w:rFonts w:ascii="Verdana" w:eastAsia="Calibri" w:hAnsi="Verdana" w:cs="Arial"/>
          <w:i/>
          <w:iCs/>
          <w:lang w:val="es-ES"/>
        </w:rPr>
        <w:t xml:space="preserve">desarrollo </w:t>
      </w:r>
      <w:r w:rsidRPr="00F02B16">
        <w:rPr>
          <w:rFonts w:ascii="Verdana" w:eastAsia="Calibri" w:hAnsi="Verdana" w:cs="Arial"/>
          <w:i/>
          <w:iCs/>
          <w:lang w:val="es-ES"/>
        </w:rPr>
        <w:lastRenderedPageBreak/>
        <w:t>de software a la medida</w:t>
      </w:r>
      <w:r w:rsidRPr="00D6586A">
        <w:rPr>
          <w:rFonts w:ascii="Verdana" w:eastAsia="Calibri" w:hAnsi="Verdana" w:cs="Arial"/>
          <w:lang w:val="es-ES"/>
        </w:rPr>
        <w:t xml:space="preserve"> se recomienda que adelante un proceso de contratación mediante la modalidad de selección de concurso de méritos. Esta será procedente por tratarse del desarrollo de un proyecto específico o por requerir la selección de consultores. En estos procesos</w:t>
      </w:r>
      <w:r w:rsidRPr="004831FB">
        <w:rPr>
          <w:rFonts w:ascii="Verdana" w:eastAsia="Calibri" w:hAnsi="Verdana" w:cs="Arial"/>
          <w:lang w:val="es-ES"/>
        </w:rPr>
        <w:t>,</w:t>
      </w:r>
      <w:r w:rsidRPr="00D6586A">
        <w:rPr>
          <w:rFonts w:ascii="Verdana" w:eastAsia="Calibri" w:hAnsi="Verdana" w:cs="Arial"/>
          <w:lang w:val="es-ES"/>
        </w:rPr>
        <w:t xml:space="preserve"> la entidad </w:t>
      </w:r>
      <w:r w:rsidRPr="004831FB">
        <w:rPr>
          <w:rFonts w:ascii="Verdana" w:eastAsia="Calibri" w:hAnsi="Verdana" w:cs="Arial"/>
          <w:lang w:val="es-ES"/>
        </w:rPr>
        <w:t xml:space="preserve">hará uso de factores de calificación </w:t>
      </w:r>
      <w:r w:rsidRPr="00D6586A">
        <w:rPr>
          <w:rFonts w:ascii="Verdana" w:eastAsia="Calibri" w:hAnsi="Verdana" w:cs="Arial"/>
          <w:lang w:val="es-ES"/>
        </w:rPr>
        <w:t xml:space="preserve">que valoren </w:t>
      </w:r>
      <w:r w:rsidRPr="004831FB">
        <w:rPr>
          <w:rFonts w:ascii="Verdana" w:eastAsia="Calibri" w:hAnsi="Verdana" w:cs="Arial"/>
          <w:lang w:val="es-ES"/>
        </w:rPr>
        <w:t xml:space="preserve">los aspectos técnicos de la oferta o proyecto. </w:t>
      </w:r>
      <w:r w:rsidRPr="00D6586A">
        <w:rPr>
          <w:rFonts w:ascii="Verdana" w:eastAsia="Calibri" w:hAnsi="Verdana" w:cs="Arial"/>
          <w:lang w:val="es-ES"/>
        </w:rPr>
        <w:t>P</w:t>
      </w:r>
      <w:r w:rsidRPr="004831FB">
        <w:rPr>
          <w:rFonts w:ascii="Verdana" w:eastAsia="Calibri" w:hAnsi="Verdana" w:cs="Arial"/>
          <w:lang w:val="es-ES"/>
        </w:rPr>
        <w:t>odrán utilizar criterios de experiencia específica del oferente y del equipo de trabajo, en el campo de que se trate</w:t>
      </w:r>
      <w:r w:rsidRPr="00D6586A">
        <w:rPr>
          <w:rFonts w:ascii="Verdana" w:eastAsia="Calibri" w:hAnsi="Verdana" w:cs="Arial"/>
          <w:lang w:val="es-ES"/>
        </w:rPr>
        <w:t xml:space="preserve">, según lo </w:t>
      </w:r>
      <w:r>
        <w:rPr>
          <w:rFonts w:ascii="Verdana" w:eastAsia="Calibri" w:hAnsi="Verdana" w:cs="Arial"/>
          <w:lang w:val="es-ES"/>
        </w:rPr>
        <w:t xml:space="preserve">que establece </w:t>
      </w:r>
      <w:r w:rsidRPr="00D6586A">
        <w:rPr>
          <w:rFonts w:ascii="Verdana" w:eastAsia="Calibri" w:hAnsi="Verdana" w:cs="Arial"/>
          <w:lang w:val="es-ES"/>
        </w:rPr>
        <w:t xml:space="preserve">el numeral 4 del artículo 5 de la </w:t>
      </w:r>
      <w:r w:rsidRPr="004831FB">
        <w:rPr>
          <w:rFonts w:ascii="Verdana" w:eastAsia="Calibri" w:hAnsi="Verdana" w:cs="Arial"/>
          <w:lang w:val="es-ES"/>
        </w:rPr>
        <w:t>Ley 1150 de 2007</w:t>
      </w:r>
      <w:r w:rsidRPr="00D6586A">
        <w:rPr>
          <w:rFonts w:ascii="Verdana" w:eastAsia="Calibri" w:hAnsi="Verdana" w:cs="Arial"/>
          <w:lang w:val="es-ES"/>
        </w:rPr>
        <w:t>.</w:t>
      </w:r>
    </w:p>
    <w:p w14:paraId="01431731" w14:textId="77777777" w:rsidR="00736813" w:rsidRDefault="00E378EE" w:rsidP="00736813">
      <w:pPr>
        <w:snapToGrid w:val="0"/>
        <w:spacing w:before="120" w:after="0" w:line="276" w:lineRule="auto"/>
        <w:ind w:firstLine="709"/>
        <w:jc w:val="both"/>
        <w:rPr>
          <w:rFonts w:ascii="Verdana" w:eastAsia="Calibri" w:hAnsi="Verdana" w:cs="Arial"/>
          <w:lang w:val="es-ES"/>
        </w:rPr>
      </w:pPr>
      <w:r w:rsidRPr="00D6586A">
        <w:rPr>
          <w:rFonts w:ascii="Verdana" w:eastAsia="Calibri" w:hAnsi="Verdana" w:cs="Arial"/>
          <w:lang w:val="es-ES"/>
        </w:rPr>
        <w:t xml:space="preserve">Finalmente, si la entidad determina que el tipo de contratación adecuado para satisfacer su necesidad es la </w:t>
      </w:r>
      <w:r w:rsidRPr="00F02B16">
        <w:rPr>
          <w:rFonts w:ascii="Verdana" w:eastAsia="Calibri" w:hAnsi="Verdana" w:cs="Arial"/>
          <w:i/>
          <w:iCs/>
          <w:lang w:val="es-ES"/>
        </w:rPr>
        <w:t>fábrica de software</w:t>
      </w:r>
      <w:r w:rsidRPr="00D6586A">
        <w:rPr>
          <w:rFonts w:ascii="Verdana" w:eastAsia="Calibri" w:hAnsi="Verdana" w:cs="Arial"/>
          <w:lang w:val="es-ES"/>
        </w:rPr>
        <w:t xml:space="preserve">, es recomendable adelantar un proceso de licitación pública. Sin embargo, la entidad deberá contemplar la modalidad de selección abreviada por subasta inversa cuando la fábrica </w:t>
      </w:r>
      <w:r>
        <w:rPr>
          <w:rFonts w:ascii="Verdana" w:eastAsia="Calibri" w:hAnsi="Verdana" w:cs="Arial"/>
          <w:lang w:val="es-ES"/>
        </w:rPr>
        <w:t xml:space="preserve">se refiera a </w:t>
      </w:r>
      <w:r w:rsidRPr="00D6586A">
        <w:rPr>
          <w:rFonts w:ascii="Verdana" w:eastAsia="Calibri" w:hAnsi="Verdana" w:cs="Arial"/>
          <w:lang w:val="es-ES"/>
        </w:rPr>
        <w:t>bienes de características técnicas uniformes. En este supuesto, también será procedente lo establecido frente a la aplicación de Acuerdos Marco de Precios o Instrumentos de Agregación de Demanda.</w:t>
      </w:r>
    </w:p>
    <w:p w14:paraId="3AF05578" w14:textId="62C6D76B" w:rsidR="00E378EE" w:rsidRDefault="00E378EE" w:rsidP="00736813">
      <w:pPr>
        <w:snapToGrid w:val="0"/>
        <w:spacing w:before="120" w:after="0" w:line="276" w:lineRule="auto"/>
        <w:ind w:firstLine="709"/>
        <w:jc w:val="both"/>
        <w:rPr>
          <w:rFonts w:ascii="Verdana" w:eastAsia="Calibri" w:hAnsi="Verdana" w:cs="Arial"/>
          <w:lang w:val="es-ES"/>
        </w:rPr>
      </w:pPr>
      <w:r>
        <w:rPr>
          <w:rFonts w:ascii="Verdana" w:eastAsia="Calibri" w:hAnsi="Verdana" w:cs="Arial"/>
          <w:lang w:val="es-ES"/>
        </w:rPr>
        <w:t xml:space="preserve">En conclusión, en la adquisición de software y servicios asociados las Entidades Estatal deberán, en primera medida, determinar si existe una herramienta disponible en el mercado o si, por el contrario, deben recurrir a la contratación del desarrollo de software a la medida o de una fábrica de software. De acuerdo con lo anterior, Colombia Compra Eficiente y el MinTIC recomiendan que: i) la adquisición de software se realice por selección abreviada por subasta inversa cuando la adquisición se refiera efectivamente a bienes de características técnicas uniformes, sin perjuicio de lo dispuesto en materia de Acuerdos Marco de Precios e Instrumentos de Agregación de Demanda. Sin embargo, la entidad deberá considerar si, por no tratarse de dichos bienes, puede ser procedente un proceso de licitación pública, de mínima cuantía o un concurso de méritos. Por su parte las entidades deberían contratar ii) el desarrollo de software por medio de la modalidad de concurso de méritos; y iii) la fábrica de software, mediante licitación pública cuando no implique aspectos que hagan procedente otra modalidad, como la selección abreviada por subasta inversa cuando incluya bienes de características técnicas uniformes. </w:t>
      </w:r>
    </w:p>
    <w:p w14:paraId="7034598E" w14:textId="0074B9C8" w:rsidR="00883377" w:rsidRDefault="00883377" w:rsidP="007E712D">
      <w:pPr>
        <w:snapToGrid w:val="0"/>
        <w:spacing w:after="0" w:line="276" w:lineRule="auto"/>
        <w:ind w:firstLine="708"/>
        <w:jc w:val="both"/>
        <w:rPr>
          <w:rFonts w:ascii="Verdana" w:eastAsia="Arial" w:hAnsi="Verdana" w:cs="Arial"/>
        </w:rPr>
      </w:pPr>
    </w:p>
    <w:p w14:paraId="20093897" w14:textId="339FBB4A" w:rsidR="00601CDD" w:rsidRPr="00AE7E03" w:rsidRDefault="00042203" w:rsidP="007E712D">
      <w:pPr>
        <w:spacing w:after="0" w:line="276" w:lineRule="auto"/>
        <w:ind w:firstLine="708"/>
        <w:contextualSpacing/>
        <w:jc w:val="both"/>
        <w:rPr>
          <w:rFonts w:ascii="Verdana" w:eastAsia="Calibri" w:hAnsi="Verdana" w:cs="Times New Roman"/>
          <w:lang w:val="es-ES"/>
        </w:rPr>
      </w:pPr>
      <w:r>
        <w:rPr>
          <w:rFonts w:ascii="Verdana" w:eastAsia="Calibri" w:hAnsi="Verdana" w:cs="Arial"/>
          <w:bCs/>
          <w:color w:val="000000" w:themeColor="text1"/>
        </w:rPr>
        <w:lastRenderedPageBreak/>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000A6DAE" w:rsidRPr="0012388D">
        <w:rPr>
          <w:rFonts w:ascii="Verdana" w:eastAsia="Calibri" w:hAnsi="Verdana" w:cs="Times New Roman"/>
          <w:lang w:val="es-ES"/>
        </w:rPr>
        <w:t>.</w:t>
      </w:r>
      <w:r w:rsidR="000A6DAE"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601CDD" w:rsidRPr="00CD211E">
        <w:rPr>
          <w:rFonts w:ascii="Verdana" w:eastAsia="Calibri" w:hAnsi="Verdana" w:cs="Times New Roman"/>
          <w:lang w:val="es-ES"/>
        </w:rPr>
        <w:t>.</w:t>
      </w:r>
    </w:p>
    <w:p w14:paraId="50FEB559" w14:textId="4F0A0E1F" w:rsidR="00601CDD" w:rsidRPr="00601CDD" w:rsidRDefault="00601CDD" w:rsidP="007E712D">
      <w:pPr>
        <w:spacing w:before="120" w:after="0" w:line="276" w:lineRule="auto"/>
        <w:ind w:firstLine="708"/>
        <w:jc w:val="both"/>
        <w:rPr>
          <w:rFonts w:ascii="Verdana" w:eastAsia="Calibri" w:hAnsi="Verdana" w:cs="Arial"/>
        </w:rPr>
      </w:pPr>
      <w:r w:rsidRPr="00AE7E03">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A753282" w14:textId="77777777" w:rsidR="009A7CC9" w:rsidRDefault="009A7CC9" w:rsidP="007D5768">
      <w:pPr>
        <w:spacing w:after="0" w:line="276" w:lineRule="auto"/>
        <w:jc w:val="both"/>
        <w:rPr>
          <w:rFonts w:ascii="Verdana" w:eastAsia="Calibri" w:hAnsi="Verdana" w:cs="Arial"/>
          <w:lang w:val="es-ES"/>
        </w:rPr>
      </w:pPr>
    </w:p>
    <w:p w14:paraId="23064A8B" w14:textId="50929774" w:rsidR="00DB7D44" w:rsidRPr="00593A5F" w:rsidRDefault="00DB7D44" w:rsidP="00FB67C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66865F" w14:textId="77777777" w:rsidR="00DB7D44" w:rsidRPr="00593A5F" w:rsidRDefault="00DB7D44" w:rsidP="00DB7D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D44" w:rsidRPr="00593A5F" w14:paraId="2975C83A" w14:textId="77777777" w:rsidTr="00DC0D97">
        <w:trPr>
          <w:trHeight w:val="870"/>
        </w:trPr>
        <w:tc>
          <w:tcPr>
            <w:tcW w:w="8647" w:type="dxa"/>
          </w:tcPr>
          <w:p w14:paraId="6195D6B7" w14:textId="77777777" w:rsidR="006B2282" w:rsidRPr="00BE3DE2" w:rsidRDefault="006B2282" w:rsidP="006B2282">
            <w:pPr>
              <w:pStyle w:val="Prrafodelista"/>
              <w:widowControl w:val="0"/>
              <w:numPr>
                <w:ilvl w:val="0"/>
                <w:numId w:val="54"/>
              </w:numPr>
              <w:autoSpaceDE w:val="0"/>
              <w:autoSpaceDN w:val="0"/>
              <w:spacing w:before="120" w:after="120" w:line="276" w:lineRule="auto"/>
              <w:contextualSpacing w:val="0"/>
              <w:jc w:val="both"/>
              <w:rPr>
                <w:rFonts w:ascii="Verdana" w:hAnsi="Verdana" w:cs="Arial"/>
                <w:color w:val="000000" w:themeColor="text1"/>
              </w:rPr>
            </w:pPr>
            <w:r w:rsidRPr="00BE3DE2">
              <w:rPr>
                <w:rFonts w:ascii="Verdana" w:hAnsi="Verdana" w:cs="Arial"/>
                <w:color w:val="000000" w:themeColor="text1"/>
              </w:rPr>
              <w:t xml:space="preserve">Ley 1150 de 2007, </w:t>
            </w:r>
            <w:r>
              <w:rPr>
                <w:rFonts w:ascii="Verdana" w:hAnsi="Verdana" w:cs="Arial"/>
                <w:color w:val="000000" w:themeColor="text1"/>
              </w:rPr>
              <w:t xml:space="preserve">artículo 2 y </w:t>
            </w:r>
            <w:r w:rsidRPr="00BE3DE2">
              <w:rPr>
                <w:rFonts w:ascii="Verdana" w:hAnsi="Verdana" w:cs="Arial"/>
                <w:color w:val="000000" w:themeColor="text1"/>
              </w:rPr>
              <w:t>artículo 5, numeral 3.</w:t>
            </w:r>
          </w:p>
          <w:p w14:paraId="4C5B0704" w14:textId="77777777" w:rsidR="006B2282" w:rsidRPr="00BE3DE2" w:rsidRDefault="006B2282" w:rsidP="006B2282">
            <w:pPr>
              <w:pStyle w:val="Prrafodelista"/>
              <w:widowControl w:val="0"/>
              <w:numPr>
                <w:ilvl w:val="0"/>
                <w:numId w:val="54"/>
              </w:numPr>
              <w:autoSpaceDE w:val="0"/>
              <w:autoSpaceDN w:val="0"/>
              <w:spacing w:before="120" w:after="120" w:line="276" w:lineRule="auto"/>
              <w:contextualSpacing w:val="0"/>
              <w:jc w:val="both"/>
              <w:rPr>
                <w:rFonts w:ascii="Verdana" w:hAnsi="Verdana" w:cs="Arial"/>
                <w:color w:val="000000" w:themeColor="text1"/>
              </w:rPr>
            </w:pPr>
            <w:r w:rsidRPr="00BE3DE2">
              <w:rPr>
                <w:rFonts w:ascii="Verdana" w:hAnsi="Verdana" w:cs="Arial"/>
                <w:color w:val="000000" w:themeColor="text1"/>
              </w:rPr>
              <w:t>Decreto 1082 de 2015, artículos: 2.2.1.2.1.4.9.,</w:t>
            </w:r>
            <w:r>
              <w:rPr>
                <w:rFonts w:ascii="Verdana" w:hAnsi="Verdana" w:cs="Arial"/>
                <w:color w:val="000000" w:themeColor="text1"/>
              </w:rPr>
              <w:t xml:space="preserve"> </w:t>
            </w:r>
            <w:r w:rsidRPr="00BE3DE2">
              <w:rPr>
                <w:rFonts w:ascii="Verdana" w:hAnsi="Verdana" w:cs="Arial"/>
                <w:color w:val="000000" w:themeColor="text1"/>
              </w:rPr>
              <w:t>2.2.1.2.1.2.2. y siguientes.</w:t>
            </w:r>
          </w:p>
          <w:p w14:paraId="5B290ACE" w14:textId="77777777" w:rsidR="006B2282" w:rsidRDefault="006B2282" w:rsidP="006B2282">
            <w:pPr>
              <w:pStyle w:val="Prrafodelista"/>
              <w:widowControl w:val="0"/>
              <w:numPr>
                <w:ilvl w:val="0"/>
                <w:numId w:val="54"/>
              </w:numPr>
              <w:autoSpaceDE w:val="0"/>
              <w:autoSpaceDN w:val="0"/>
              <w:spacing w:before="120" w:after="120" w:line="276" w:lineRule="auto"/>
              <w:contextualSpacing w:val="0"/>
              <w:jc w:val="both"/>
              <w:rPr>
                <w:rFonts w:ascii="Verdana" w:hAnsi="Verdana" w:cs="Arial"/>
                <w:color w:val="000000" w:themeColor="text1"/>
              </w:rPr>
            </w:pPr>
            <w:r w:rsidRPr="00BE3DE2">
              <w:rPr>
                <w:rFonts w:ascii="Verdana" w:hAnsi="Verdana" w:cs="Arial"/>
                <w:color w:val="000000" w:themeColor="text1"/>
              </w:rPr>
              <w:t>Agencia Nacional de Contratación Pública – Colombia Compra Eficiente, Guía de buenas Prácticas en la Adquisición de Software y servicios asociados. Disponible en:</w:t>
            </w:r>
            <w:r w:rsidRPr="00BE3DE2">
              <w:rPr>
                <w:rFonts w:ascii="Verdana" w:hAnsi="Verdana"/>
                <w:color w:val="000000" w:themeColor="text1"/>
              </w:rPr>
              <w:t xml:space="preserve"> </w:t>
            </w:r>
            <w:hyperlink r:id="rId13" w:history="1">
              <w:r w:rsidRPr="00BE3DE2">
                <w:rPr>
                  <w:rStyle w:val="Hipervnculo"/>
                  <w:rFonts w:ascii="Verdana" w:hAnsi="Verdana" w:cs="Arial"/>
                  <w:color w:val="000000" w:themeColor="text1"/>
                </w:rPr>
                <w:t>https://www.colombiacompra.gov.co/manuales-guias-y-pliegos-tipo/manuales-y-guias</w:t>
              </w:r>
            </w:hyperlink>
            <w:r w:rsidRPr="00BE3DE2">
              <w:rPr>
                <w:rFonts w:ascii="Verdana" w:hAnsi="Verdana" w:cs="Arial"/>
                <w:color w:val="000000" w:themeColor="text1"/>
              </w:rPr>
              <w:t xml:space="preserve"> </w:t>
            </w:r>
          </w:p>
          <w:p w14:paraId="2E3B0684" w14:textId="50905F52" w:rsidR="001175E7" w:rsidRPr="00332677" w:rsidRDefault="006B2282" w:rsidP="006B2282">
            <w:pPr>
              <w:pStyle w:val="Prrafodelista"/>
              <w:numPr>
                <w:ilvl w:val="0"/>
                <w:numId w:val="54"/>
              </w:numPr>
              <w:spacing w:line="276" w:lineRule="auto"/>
              <w:jc w:val="both"/>
              <w:rPr>
                <w:rFonts w:ascii="Verdana" w:hAnsi="Verdana" w:cs="Arial"/>
              </w:rPr>
            </w:pPr>
            <w:r w:rsidRPr="00FE5A24">
              <w:rPr>
                <w:rFonts w:ascii="Verdana" w:hAnsi="Verdana" w:cs="Arial"/>
                <w:color w:val="000000" w:themeColor="text1"/>
              </w:rPr>
              <w:t xml:space="preserve">Jurisprudencia del Consejo de Estado. Disponible en: </w:t>
            </w:r>
            <w:r w:rsidRPr="001403D7">
              <w:rPr>
                <w:rFonts w:ascii="Verdana" w:hAnsi="Verdana" w:cs="Arial"/>
              </w:rPr>
              <w:t>https://relatoria.colombiacompra.gov.co/providencias-consejo-de-estado/</w:t>
            </w:r>
          </w:p>
        </w:tc>
      </w:tr>
    </w:tbl>
    <w:p w14:paraId="268F1D7B" w14:textId="77777777" w:rsidR="00DB7D44" w:rsidRPr="00593A5F" w:rsidRDefault="00DB7D44" w:rsidP="00DB7D44">
      <w:pPr>
        <w:widowControl w:val="0"/>
        <w:autoSpaceDE w:val="0"/>
        <w:autoSpaceDN w:val="0"/>
        <w:spacing w:after="0" w:line="276" w:lineRule="auto"/>
        <w:jc w:val="both"/>
        <w:rPr>
          <w:rFonts w:ascii="Verdana" w:hAnsi="Verdana" w:cs="Arial"/>
        </w:rPr>
      </w:pPr>
    </w:p>
    <w:p w14:paraId="5B6ACB4D" w14:textId="77777777" w:rsidR="00DB7D44" w:rsidRPr="00593A5F" w:rsidRDefault="00DB7D44" w:rsidP="00DB7D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lastRenderedPageBreak/>
        <w:t>Doctrina de la Agencia Nacional de Contratación Pública</w:t>
      </w:r>
      <w:r w:rsidRPr="00593A5F">
        <w:rPr>
          <w:rFonts w:ascii="Verdana" w:eastAsia="Century Gothic" w:hAnsi="Verdana" w:cs="Century Gothic"/>
          <w:b/>
          <w:bCs/>
        </w:rPr>
        <w:t>:</w:t>
      </w:r>
    </w:p>
    <w:p w14:paraId="2B063E16" w14:textId="77777777" w:rsidR="00DB7D44" w:rsidRDefault="00DB7D44" w:rsidP="00DB7D4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5B5D8BF" w14:textId="5C3BCF4A" w:rsidR="007E2389" w:rsidRPr="00AE7E03" w:rsidRDefault="006B2282" w:rsidP="007E2389">
      <w:pPr>
        <w:widowControl w:val="0"/>
        <w:autoSpaceDE w:val="0"/>
        <w:autoSpaceDN w:val="0"/>
        <w:spacing w:after="0" w:line="276" w:lineRule="auto"/>
        <w:jc w:val="both"/>
        <w:rPr>
          <w:rFonts w:ascii="Verdana" w:eastAsia="Arial" w:hAnsi="Verdana" w:cs="Arial"/>
          <w:lang w:val="es-MX" w:eastAsia="es-ES_tradnl"/>
        </w:rPr>
      </w:pPr>
      <w:r w:rsidRPr="00E7587A">
        <w:rPr>
          <w:rFonts w:ascii="Verdana" w:hAnsi="Verdana"/>
          <w:lang w:val="es-ES"/>
        </w:rPr>
        <w:t xml:space="preserve">Sobre el alcance de </w:t>
      </w:r>
      <w:r>
        <w:rPr>
          <w:rFonts w:ascii="Verdana" w:hAnsi="Verdana"/>
          <w:lang w:val="es-ES"/>
        </w:rPr>
        <w:t>la contratación directa</w:t>
      </w:r>
      <w:r w:rsidRPr="00E7587A">
        <w:rPr>
          <w:rFonts w:ascii="Verdana" w:hAnsi="Verdana"/>
          <w:lang w:val="es-ES"/>
        </w:rPr>
        <w:t xml:space="preserve"> esta Subdirección se pronunció en los conceptos</w:t>
      </w:r>
      <w:r w:rsidRPr="00E7587A">
        <w:t xml:space="preserve"> </w:t>
      </w:r>
      <w:r w:rsidRPr="003A0462">
        <w:rPr>
          <w:rFonts w:ascii="Verdana" w:hAnsi="Verdana"/>
          <w:lang w:val="es-ES"/>
        </w:rPr>
        <w:t xml:space="preserve">C–608 del 1 de octubre de 2020, C-145 del 8 de abril del 2021, C-491 del 14 de septiembre de 2021, C-517 del 30 de septiembre de 2021, C-181 del 7 de abril de 2022, C-773 del 17 de noviembre de 2022, C- 953 del 25 de enero de 2023 </w:t>
      </w:r>
      <w:r>
        <w:rPr>
          <w:rFonts w:ascii="Verdana" w:hAnsi="Verdana"/>
          <w:lang w:val="es-ES"/>
        </w:rPr>
        <w:t xml:space="preserve">, </w:t>
      </w:r>
      <w:r w:rsidRPr="003A0462">
        <w:rPr>
          <w:rFonts w:ascii="Verdana" w:hAnsi="Verdana"/>
          <w:lang w:val="es-ES"/>
        </w:rPr>
        <w:t>C-966 del 1 de febrero de 2023, C-135 del 25 de mayo de 2023, C-414 del 11 de septiembre de 2024, C-920 del 30 de diciembre del 2024</w:t>
      </w:r>
      <w:r>
        <w:rPr>
          <w:rFonts w:ascii="Verdana" w:hAnsi="Verdana"/>
          <w:lang w:val="es-ES"/>
        </w:rPr>
        <w:t xml:space="preserve">, </w:t>
      </w:r>
      <w:r w:rsidRPr="008D1044">
        <w:rPr>
          <w:rFonts w:ascii="Verdana" w:hAnsi="Verdana"/>
          <w:lang w:val="es-ES"/>
        </w:rPr>
        <w:t>C-038 de 5 de febrero de 2025</w:t>
      </w:r>
      <w:r>
        <w:rPr>
          <w:rFonts w:ascii="Verdana" w:hAnsi="Verdana"/>
          <w:lang w:val="es-ES"/>
        </w:rPr>
        <w:t xml:space="preserve">, </w:t>
      </w:r>
      <w:r w:rsidRPr="008D1044">
        <w:t xml:space="preserve"> </w:t>
      </w:r>
      <w:r w:rsidRPr="008D1044">
        <w:rPr>
          <w:rFonts w:ascii="Verdana" w:hAnsi="Verdana"/>
          <w:lang w:val="es-ES"/>
        </w:rPr>
        <w:t>C- 010 del 14 de febrero de 2025</w:t>
      </w:r>
      <w:r>
        <w:rPr>
          <w:rFonts w:ascii="Verdana" w:hAnsi="Verdana"/>
          <w:lang w:val="es-ES"/>
        </w:rPr>
        <w:t xml:space="preserve"> y en especial frente a la contratación de software en el concepto C-165 del 05 de marzo de 2025 </w:t>
      </w:r>
      <w:r w:rsidR="00A95A1A" w:rsidRPr="006849F1">
        <w:rPr>
          <w:rFonts w:ascii="Verdana" w:hAnsi="Verdana" w:cs="Arial"/>
          <w:shd w:val="clear" w:color="auto" w:fill="FFFFFF"/>
          <w:lang w:val="es-ES"/>
        </w:rPr>
        <w:t>entre otros</w:t>
      </w:r>
      <w:r w:rsidR="00F732FD">
        <w:rPr>
          <w:rFonts w:ascii="Verdana" w:eastAsia="Calibri" w:hAnsi="Verdana" w:cs="Arial"/>
          <w:lang w:val="es-ES" w:eastAsia="es-ES_tradnl"/>
        </w:rPr>
        <w:t>;</w:t>
      </w:r>
      <w:r w:rsidR="007E2389" w:rsidRPr="00185EE9">
        <w:rPr>
          <w:rFonts w:ascii="Verdana" w:eastAsia="Calibri" w:hAnsi="Verdana" w:cs="Times New Roman"/>
        </w:rPr>
        <w:t xml:space="preserve"> </w:t>
      </w:r>
      <w:r w:rsidR="007E2389">
        <w:rPr>
          <w:rFonts w:ascii="Verdana" w:eastAsia="Calibri" w:hAnsi="Verdana" w:cs="Times New Roman"/>
        </w:rPr>
        <w:t xml:space="preserve">estos </w:t>
      </w:r>
      <w:r w:rsidR="007E2389"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8F60A9B" w14:textId="01175CC3" w:rsidR="00117E40" w:rsidRPr="0065720B" w:rsidRDefault="00DE3A63" w:rsidP="007E2389">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Pr="00191357">
          <w:rPr>
            <w:rStyle w:val="Hipervnculo"/>
            <w:rFonts w:ascii="Verdana" w:eastAsia="Calibri" w:hAnsi="Verdana" w:cs="Times New Roman"/>
            <w:lang w:val="es-ES"/>
          </w:rPr>
          <w:t>https://relatoria.colombiacompra.gov.co/busqueda/conceptos</w:t>
        </w:r>
      </w:hyperlink>
      <w:r w:rsidR="007E2389" w:rsidRPr="00185EE9">
        <w:rPr>
          <w:rFonts w:ascii="Verdana" w:eastAsia="Calibri" w:hAnsi="Verdana" w:cs="Times New Roman"/>
        </w:rPr>
        <w:t>.</w:t>
      </w:r>
    </w:p>
    <w:p w14:paraId="7AA80262" w14:textId="77777777" w:rsidR="00DB7D44" w:rsidRDefault="00DB7D44" w:rsidP="00DB7D44">
      <w:pPr>
        <w:widowControl w:val="0"/>
        <w:autoSpaceDE w:val="0"/>
        <w:autoSpaceDN w:val="0"/>
        <w:spacing w:after="0" w:line="276" w:lineRule="auto"/>
        <w:jc w:val="both"/>
        <w:rPr>
          <w:rStyle w:val="normaltextrun"/>
          <w:rFonts w:ascii="Verdana" w:hAnsi="Verdana" w:cs="Arial"/>
          <w:shd w:val="clear" w:color="auto" w:fill="FFFFFF"/>
          <w:lang w:val="es-ES"/>
        </w:rPr>
      </w:pPr>
    </w:p>
    <w:p w14:paraId="5362D59A" w14:textId="77777777" w:rsidR="00A80691"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1A94559"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25D616FD"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13CAF78"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6"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302453FB"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7CB67F4C" w14:textId="71E697B0" w:rsidR="00A80691" w:rsidRDefault="00A80691" w:rsidP="00A80691">
      <w:pPr>
        <w:widowControl w:val="0"/>
        <w:autoSpaceDE w:val="0"/>
        <w:autoSpaceDN w:val="0"/>
        <w:spacing w:after="0" w:line="276" w:lineRule="auto"/>
        <w:jc w:val="both"/>
      </w:pPr>
      <w:r w:rsidRPr="00505CD6">
        <w:rPr>
          <w:rFonts w:ascii="Verdana" w:hAnsi="Verdana" w:cs="Arial"/>
          <w:color w:val="000000" w:themeColor="text1"/>
          <w:shd w:val="clear" w:color="auto" w:fill="FFFFFF"/>
        </w:rPr>
        <w:lastRenderedPageBreak/>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00AC7E59">
        <w:t>.</w:t>
      </w:r>
    </w:p>
    <w:p w14:paraId="21EBCB13" w14:textId="77777777" w:rsidR="00AC7E59" w:rsidRDefault="00AC7E59" w:rsidP="00A80691">
      <w:pPr>
        <w:widowControl w:val="0"/>
        <w:autoSpaceDE w:val="0"/>
        <w:autoSpaceDN w:val="0"/>
        <w:spacing w:after="0" w:line="276" w:lineRule="auto"/>
        <w:jc w:val="both"/>
      </w:pPr>
    </w:p>
    <w:p w14:paraId="6B28B2CB" w14:textId="76549B65" w:rsidR="00AC7E59" w:rsidRPr="00505CD6" w:rsidRDefault="00AC7E59" w:rsidP="00A80691">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hAnsi="Verdana" w:cs="Arial"/>
          <w:color w:val="000000" w:themeColor="text1"/>
          <w:shd w:val="clear" w:color="auto" w:fill="FFFFFF"/>
        </w:rPr>
        <w:t>De igual forma l</w:t>
      </w:r>
      <w:r w:rsidRPr="00AC7E59">
        <w:rPr>
          <w:rFonts w:ascii="Verdana" w:hAnsi="Verdana" w:cs="Arial"/>
          <w:color w:val="000000" w:themeColor="text1"/>
          <w:shd w:val="clear" w:color="auto" w:fill="FFFFFF"/>
        </w:rPr>
        <w: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AC7E59">
        <w:rPr>
          <w:rFonts w:ascii="Verdana" w:hAnsi="Verdana" w:cs="Arial"/>
          <w:b/>
          <w:bCs/>
          <w:color w:val="000000" w:themeColor="text1"/>
          <w:shd w:val="clear" w:color="auto" w:fill="FFFFFF"/>
        </w:rPr>
        <w:t> </w:t>
      </w:r>
      <w:hyperlink r:id="rId18" w:tgtFrame="_blank" w:tooltip="Dirección URL original: https://www.colombiacompra.gov.co/normativa-y-relatoria/documentos-tipo. Haga clic o pulse si confía en este vínculo." w:history="1">
        <w:r w:rsidRPr="00AC7E59">
          <w:rPr>
            <w:rStyle w:val="Hipervnculo"/>
            <w:rFonts w:ascii="Verdana" w:hAnsi="Verdana" w:cs="Arial"/>
            <w:shd w:val="clear" w:color="auto" w:fill="FFFFFF"/>
          </w:rPr>
          <w:t>Documentos Tipo – ANCP Colombia Compra Eficiente</w:t>
        </w:r>
      </w:hyperlink>
      <w:r w:rsidRPr="00AC7E59">
        <w:rPr>
          <w:rFonts w:ascii="Verdana" w:hAnsi="Verdana" w:cs="Arial"/>
          <w:color w:val="000000" w:themeColor="text1"/>
          <w:u w:val="single"/>
          <w:shd w:val="clear" w:color="auto" w:fill="FFFFFF"/>
        </w:rPr>
        <w:t> </w:t>
      </w:r>
      <w:r w:rsidRPr="00AC7E59">
        <w:rPr>
          <w:rFonts w:ascii="Verdana" w:hAnsi="Verdana" w:cs="Arial"/>
          <w:color w:val="000000" w:themeColor="text1"/>
          <w:shd w:val="clear" w:color="auto" w:fill="FFFFFF"/>
        </w:rPr>
        <w:t>".</w:t>
      </w:r>
    </w:p>
    <w:p w14:paraId="003E92E1" w14:textId="77777777" w:rsidR="00A80691" w:rsidRPr="00505CD6" w:rsidRDefault="00A80691" w:rsidP="00A80691">
      <w:pPr>
        <w:widowControl w:val="0"/>
        <w:autoSpaceDE w:val="0"/>
        <w:autoSpaceDN w:val="0"/>
        <w:spacing w:after="0" w:line="276" w:lineRule="auto"/>
        <w:jc w:val="both"/>
        <w:rPr>
          <w:rFonts w:ascii="Verdana" w:eastAsia="Calibri" w:hAnsi="Verdana" w:cs="Arial"/>
          <w:color w:val="000000" w:themeColor="text1"/>
        </w:rPr>
      </w:pPr>
    </w:p>
    <w:p w14:paraId="7B957669" w14:textId="77777777" w:rsidR="00A80691" w:rsidRPr="00505CD6" w:rsidRDefault="00A80691" w:rsidP="00A8069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FEC8E96" w14:textId="77777777" w:rsidR="00A80691" w:rsidRPr="00505CD6" w:rsidRDefault="00A80691" w:rsidP="00A80691">
      <w:pPr>
        <w:widowControl w:val="0"/>
        <w:autoSpaceDE w:val="0"/>
        <w:autoSpaceDN w:val="0"/>
        <w:spacing w:after="0" w:line="276" w:lineRule="auto"/>
        <w:jc w:val="both"/>
        <w:rPr>
          <w:rFonts w:ascii="Verdana" w:hAnsi="Verdana" w:cs="Arial"/>
        </w:rPr>
      </w:pPr>
    </w:p>
    <w:p w14:paraId="2126DCB2" w14:textId="77777777" w:rsidR="00A80691" w:rsidRPr="00505CD6" w:rsidRDefault="00A80691" w:rsidP="00A8069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28C199" w14:textId="51429BDF" w:rsidR="00A80691" w:rsidRDefault="00A80691" w:rsidP="00FE66BE">
      <w:pPr>
        <w:spacing w:line="276" w:lineRule="auto"/>
        <w:jc w:val="center"/>
        <w:rPr>
          <w:rFonts w:ascii="Verdana" w:hAnsi="Verdana"/>
          <w:noProof/>
        </w:rPr>
      </w:pPr>
    </w:p>
    <w:p w14:paraId="6235DC2E" w14:textId="20DDF787" w:rsidR="00645CB7" w:rsidRDefault="00E17B3C" w:rsidP="00645CB7">
      <w:pPr>
        <w:spacing w:line="276" w:lineRule="auto"/>
        <w:jc w:val="center"/>
        <w:rPr>
          <w:rFonts w:ascii="Verdana" w:hAnsi="Verdana"/>
          <w:noProof/>
          <w:color w:val="000000"/>
        </w:rPr>
      </w:pPr>
      <w:r>
        <w:rPr>
          <w:noProof/>
        </w:rPr>
        <w:drawing>
          <wp:inline distT="0" distB="0" distL="0" distR="0" wp14:anchorId="09AF7694" wp14:editId="50A0889D">
            <wp:extent cx="3295015" cy="1414506"/>
            <wp:effectExtent l="0" t="0" r="635" b="0"/>
            <wp:docPr id="2957766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04165" cy="1418434"/>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0691" w:rsidRPr="00593A5F" w14:paraId="31D06E98" w14:textId="77777777" w:rsidTr="00E1079D">
        <w:trPr>
          <w:trHeight w:val="315"/>
        </w:trPr>
        <w:tc>
          <w:tcPr>
            <w:tcW w:w="893" w:type="dxa"/>
            <w:vAlign w:val="center"/>
            <w:hideMark/>
          </w:tcPr>
          <w:p w14:paraId="03E2D651"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0E6222" w14:textId="77777777" w:rsidR="00A80691" w:rsidRPr="00E24803" w:rsidRDefault="00A80691" w:rsidP="00A80691">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53926242" w14:textId="33D77AA9" w:rsidR="00A80691" w:rsidRPr="000015E6" w:rsidRDefault="00A80691" w:rsidP="00A80691">
            <w:pPr>
              <w:contextualSpacing/>
              <w:rPr>
                <w:rFonts w:ascii="Verdana" w:eastAsia="Arial" w:hAnsi="Verdana" w:cs="Arial"/>
                <w:sz w:val="16"/>
                <w:szCs w:val="16"/>
              </w:rPr>
            </w:pPr>
            <w:r w:rsidRPr="00E24803">
              <w:rPr>
                <w:rFonts w:ascii="Verdana" w:hAnsi="Verdana"/>
                <w:sz w:val="16"/>
                <w:szCs w:val="16"/>
              </w:rPr>
              <w:lastRenderedPageBreak/>
              <w:t>Contratista de la Subdirección de Gestión Contractual</w:t>
            </w:r>
          </w:p>
        </w:tc>
      </w:tr>
      <w:tr w:rsidR="00A80691" w:rsidRPr="00593A5F" w14:paraId="7860D780" w14:textId="77777777" w:rsidTr="00E1079D">
        <w:trPr>
          <w:trHeight w:val="330"/>
        </w:trPr>
        <w:tc>
          <w:tcPr>
            <w:tcW w:w="893" w:type="dxa"/>
            <w:vAlign w:val="center"/>
            <w:hideMark/>
          </w:tcPr>
          <w:p w14:paraId="242F9749"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957146" w14:textId="63645FF3" w:rsidR="00E21BD1" w:rsidRPr="00E24803" w:rsidRDefault="0025065B" w:rsidP="00E21BD1">
            <w:pPr>
              <w:spacing w:line="276" w:lineRule="auto"/>
              <w:contextualSpacing/>
              <w:jc w:val="both"/>
              <w:rPr>
                <w:rFonts w:ascii="Verdana" w:hAnsi="Verdana"/>
                <w:sz w:val="16"/>
                <w:szCs w:val="16"/>
              </w:rPr>
            </w:pPr>
            <w:r>
              <w:rPr>
                <w:rFonts w:ascii="Verdana" w:hAnsi="Verdana"/>
                <w:sz w:val="16"/>
                <w:szCs w:val="16"/>
              </w:rPr>
              <w:t>Juan</w:t>
            </w:r>
            <w:r w:rsidR="00AC7E59">
              <w:rPr>
                <w:rFonts w:ascii="Verdana" w:hAnsi="Verdana"/>
                <w:sz w:val="16"/>
                <w:szCs w:val="16"/>
              </w:rPr>
              <w:t xml:space="preserve"> David Cardenas</w:t>
            </w:r>
            <w:r>
              <w:rPr>
                <w:rFonts w:ascii="Verdana" w:hAnsi="Verdana"/>
                <w:sz w:val="16"/>
                <w:szCs w:val="16"/>
              </w:rPr>
              <w:t xml:space="preserve">  </w:t>
            </w:r>
          </w:p>
          <w:p w14:paraId="2BBC7853" w14:textId="6C5DBAC2" w:rsidR="00A80691" w:rsidRPr="00EF40D2" w:rsidRDefault="00A80691" w:rsidP="00A80691">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A80691" w:rsidRPr="00593A5F" w14:paraId="2DB10D30" w14:textId="77777777" w:rsidTr="00E1079D">
        <w:trPr>
          <w:trHeight w:val="300"/>
        </w:trPr>
        <w:tc>
          <w:tcPr>
            <w:tcW w:w="893" w:type="dxa"/>
            <w:vAlign w:val="center"/>
          </w:tcPr>
          <w:p w14:paraId="3638310D"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3B7E9CE"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 xml:space="preserve">Carolina Quintero </w:t>
            </w:r>
            <w:r w:rsidR="00606078" w:rsidRPr="000015E6">
              <w:rPr>
                <w:rFonts w:ascii="Verdana" w:eastAsia="Calibri" w:hAnsi="Verdana" w:cs="Arial"/>
                <w:sz w:val="16"/>
                <w:szCs w:val="16"/>
                <w:lang w:val="pt-BR" w:eastAsia="es-ES"/>
              </w:rPr>
              <w:t>Ganchará</w:t>
            </w:r>
          </w:p>
          <w:p w14:paraId="3F43F8EA" w14:textId="2BA9B9FC"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0465BA6D" w14:textId="5A633879" w:rsidR="00E245AB" w:rsidRPr="0044528D" w:rsidRDefault="00E245AB" w:rsidP="00E245AB">
      <w:pPr>
        <w:spacing w:after="0"/>
        <w:rPr>
          <w:rFonts w:ascii="Verdana" w:hAnsi="Verdana"/>
        </w:rPr>
      </w:pPr>
    </w:p>
    <w:sectPr w:rsidR="00E245AB" w:rsidRPr="0044528D" w:rsidSect="00C03274">
      <w:headerReference w:type="even" r:id="rId20"/>
      <w:headerReference w:type="default" r:id="rId21"/>
      <w:footerReference w:type="even" r:id="rId22"/>
      <w:footerReference w:type="default" r:id="rId23"/>
      <w:pgSz w:w="12240" w:h="15840" w:code="1"/>
      <w:pgMar w:top="1417" w:right="1750" w:bottom="1417"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8CCE8" w14:textId="77777777" w:rsidR="00712E86" w:rsidRDefault="00712E86" w:rsidP="004A1847">
      <w:pPr>
        <w:spacing w:after="0" w:line="240" w:lineRule="auto"/>
      </w:pPr>
      <w:r>
        <w:separator/>
      </w:r>
    </w:p>
  </w:endnote>
  <w:endnote w:type="continuationSeparator" w:id="0">
    <w:p w14:paraId="5DB21B80" w14:textId="77777777" w:rsidR="00712E86" w:rsidRDefault="00712E8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Piedepgina"/>
    </w:pPr>
  </w:p>
  <w:p w14:paraId="3526CBDE" w14:textId="77777777" w:rsidR="008245EB" w:rsidRDefault="008245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8245EB" w:rsidRDefault="008245EB"/>
  <w:p w14:paraId="14D52991" w14:textId="77777777" w:rsidR="008245EB" w:rsidRDefault="008245EB"/>
  <w:p w14:paraId="57ADEE0D" w14:textId="77777777" w:rsidR="008245EB" w:rsidRDefault="008245EB"/>
  <w:p w14:paraId="71FAF27A" w14:textId="77777777" w:rsidR="008245EB" w:rsidRDefault="00824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DB59B" w14:textId="77777777" w:rsidR="00712E86" w:rsidRDefault="00712E86" w:rsidP="004A1847">
      <w:pPr>
        <w:spacing w:after="0" w:line="240" w:lineRule="auto"/>
      </w:pPr>
      <w:r>
        <w:separator/>
      </w:r>
    </w:p>
  </w:footnote>
  <w:footnote w:type="continuationSeparator" w:id="0">
    <w:p w14:paraId="6A833AC7" w14:textId="77777777" w:rsidR="00712E86" w:rsidRDefault="00712E86" w:rsidP="004A1847">
      <w:pPr>
        <w:spacing w:after="0" w:line="240" w:lineRule="auto"/>
      </w:pPr>
      <w:r>
        <w:continuationSeparator/>
      </w:r>
    </w:p>
  </w:footnote>
  <w:footnote w:id="1">
    <w:p w14:paraId="1C1ED023" w14:textId="4E3CD04D" w:rsidR="00E378EE" w:rsidRPr="00F02B16" w:rsidRDefault="00E378EE" w:rsidP="00736813">
      <w:pPr>
        <w:spacing w:after="0" w:line="240" w:lineRule="auto"/>
        <w:jc w:val="both"/>
        <w:rPr>
          <w:rFonts w:ascii="Verdana" w:hAnsi="Verdana"/>
          <w:sz w:val="16"/>
          <w:szCs w:val="16"/>
          <w:lang w:val="es-ES"/>
        </w:rPr>
      </w:pPr>
      <w:r w:rsidRPr="00F02B16">
        <w:rPr>
          <w:rStyle w:val="Refdenotaalpie"/>
          <w:rFonts w:ascii="Verdana" w:hAnsi="Verdana"/>
          <w:sz w:val="16"/>
          <w:szCs w:val="16"/>
        </w:rPr>
        <w:footnoteRef/>
      </w:r>
      <w:r w:rsidRPr="00F02B16">
        <w:rPr>
          <w:rFonts w:ascii="Verdana" w:hAnsi="Verdana"/>
          <w:sz w:val="16"/>
          <w:szCs w:val="16"/>
        </w:rPr>
        <w:t xml:space="preserve"> </w:t>
      </w:r>
      <w:r w:rsidRPr="00F02B16">
        <w:rPr>
          <w:rFonts w:ascii="Verdana" w:eastAsia="Calibri" w:hAnsi="Verdana" w:cs="Arial"/>
          <w:sz w:val="16"/>
          <w:szCs w:val="16"/>
          <w:lang w:val="es-ES"/>
        </w:rPr>
        <w:t xml:space="preserve">Agencia Nacional de Contratación Pública – Colombia Compra Eficiente, Guía de buenas Prácticas en la Adquisición de Software y servicios asociados. </w:t>
      </w:r>
    </w:p>
  </w:footnote>
  <w:footnote w:id="2">
    <w:p w14:paraId="65238A0E" w14:textId="77777777" w:rsidR="00E378EE" w:rsidRPr="00F02B16" w:rsidRDefault="00E378EE" w:rsidP="00783C25">
      <w:pPr>
        <w:pStyle w:val="Textonotapie"/>
        <w:jc w:val="both"/>
        <w:rPr>
          <w:rFonts w:ascii="Verdana" w:hAnsi="Verdana"/>
          <w:sz w:val="16"/>
          <w:szCs w:val="16"/>
          <w:lang w:val="es-ES"/>
        </w:rPr>
      </w:pPr>
      <w:r w:rsidRPr="00F02B16">
        <w:rPr>
          <w:rStyle w:val="Refdenotaalpie"/>
          <w:rFonts w:ascii="Verdana" w:hAnsi="Verdana"/>
          <w:sz w:val="16"/>
          <w:szCs w:val="16"/>
        </w:rPr>
        <w:footnoteRef/>
      </w:r>
      <w:r w:rsidRPr="00F02B16">
        <w:rPr>
          <w:rFonts w:ascii="Verdana" w:hAnsi="Verdana"/>
          <w:sz w:val="16"/>
          <w:szCs w:val="16"/>
        </w:rPr>
        <w:t xml:space="preserve"> </w:t>
      </w:r>
      <w:r w:rsidRPr="00F02B16">
        <w:rPr>
          <w:rFonts w:ascii="Verdana" w:hAnsi="Verdana"/>
          <w:sz w:val="16"/>
          <w:szCs w:val="16"/>
          <w:lang w:val="es-ES"/>
        </w:rPr>
        <w:t xml:space="preserve">Ibidem, pág. 14. </w:t>
      </w:r>
    </w:p>
  </w:footnote>
  <w:footnote w:id="3">
    <w:p w14:paraId="1F7435E5" w14:textId="77777777" w:rsidR="00E378EE" w:rsidRPr="00F02B16" w:rsidRDefault="00E378EE" w:rsidP="00783C25">
      <w:pPr>
        <w:pStyle w:val="Textonotapie"/>
        <w:jc w:val="both"/>
        <w:rPr>
          <w:rFonts w:ascii="Verdana" w:hAnsi="Verdana"/>
          <w:sz w:val="16"/>
          <w:szCs w:val="16"/>
          <w:lang w:val="es-ES"/>
        </w:rPr>
      </w:pPr>
      <w:r w:rsidRPr="00F02B16">
        <w:rPr>
          <w:rStyle w:val="Refdenotaalpie"/>
          <w:rFonts w:ascii="Verdana" w:hAnsi="Verdana"/>
          <w:sz w:val="16"/>
          <w:szCs w:val="16"/>
        </w:rPr>
        <w:footnoteRef/>
      </w:r>
      <w:r w:rsidRPr="00F02B16">
        <w:rPr>
          <w:rFonts w:ascii="Verdana" w:hAnsi="Verdana"/>
          <w:sz w:val="16"/>
          <w:szCs w:val="16"/>
        </w:rPr>
        <w:t xml:space="preserve"> </w:t>
      </w:r>
      <w:r w:rsidRPr="00F02B16">
        <w:rPr>
          <w:rFonts w:ascii="Verdana" w:hAnsi="Verdana"/>
          <w:sz w:val="16"/>
          <w:szCs w:val="16"/>
          <w:lang w:val="es-ES"/>
        </w:rPr>
        <w:t>Decreto 1082 de 2015, artículo </w:t>
      </w:r>
      <w:bookmarkStart w:id="6" w:name="2.2.1.2.1.2.2"/>
      <w:bookmarkEnd w:id="6"/>
      <w:r w:rsidRPr="00F02B16">
        <w:rPr>
          <w:rFonts w:ascii="Verdana" w:hAnsi="Verdana"/>
          <w:sz w:val="16"/>
          <w:szCs w:val="16"/>
          <w:lang w:val="es-ES"/>
        </w:rPr>
        <w:t>2.2.1.2.1.2.2. y siguientes.</w:t>
      </w:r>
    </w:p>
  </w:footnote>
  <w:footnote w:id="4">
    <w:p w14:paraId="484460DE" w14:textId="77777777" w:rsidR="00E378EE" w:rsidRPr="00F02B16" w:rsidRDefault="00E378EE" w:rsidP="00783C25">
      <w:pPr>
        <w:pStyle w:val="Textonotapie"/>
        <w:jc w:val="both"/>
        <w:rPr>
          <w:rFonts w:ascii="Verdana" w:hAnsi="Verdana"/>
          <w:sz w:val="16"/>
          <w:szCs w:val="16"/>
          <w:lang w:val="es-ES"/>
        </w:rPr>
      </w:pPr>
      <w:r w:rsidRPr="00F02B16">
        <w:rPr>
          <w:rStyle w:val="Refdenotaalpie"/>
          <w:rFonts w:ascii="Verdana" w:hAnsi="Verdana"/>
          <w:sz w:val="16"/>
          <w:szCs w:val="16"/>
        </w:rPr>
        <w:footnoteRef/>
      </w:r>
      <w:r w:rsidRPr="00F02B16">
        <w:rPr>
          <w:rFonts w:ascii="Verdana" w:hAnsi="Verdana"/>
          <w:sz w:val="16"/>
          <w:szCs w:val="16"/>
        </w:rPr>
        <w:t xml:space="preserve"> </w:t>
      </w:r>
      <w:r w:rsidRPr="00F02B16">
        <w:rPr>
          <w:rFonts w:ascii="Verdana" w:hAnsi="Verdana"/>
          <w:sz w:val="16"/>
          <w:szCs w:val="16"/>
          <w:lang w:val="es-ES"/>
        </w:rPr>
        <w:t>Ley 1150 de 2007, artículo 5, numeral 3.</w:t>
      </w:r>
    </w:p>
  </w:footnote>
  <w:footnote w:id="5">
    <w:p w14:paraId="0244F3DA" w14:textId="77777777" w:rsidR="00E378EE" w:rsidRPr="00F02B16" w:rsidRDefault="00E378EE" w:rsidP="00783C25">
      <w:pPr>
        <w:spacing w:line="240" w:lineRule="auto"/>
        <w:jc w:val="both"/>
        <w:rPr>
          <w:rFonts w:ascii="Verdana" w:eastAsia="Calibri" w:hAnsi="Verdana" w:cs="Arial"/>
          <w:sz w:val="16"/>
          <w:szCs w:val="16"/>
          <w:lang w:val="es-ES"/>
        </w:rPr>
      </w:pPr>
      <w:r w:rsidRPr="00F02B16">
        <w:rPr>
          <w:rStyle w:val="Refdenotaalpie"/>
          <w:rFonts w:ascii="Verdana" w:hAnsi="Verdana"/>
          <w:sz w:val="16"/>
          <w:szCs w:val="16"/>
        </w:rPr>
        <w:footnoteRef/>
      </w:r>
      <w:r w:rsidRPr="00F02B16">
        <w:rPr>
          <w:rFonts w:ascii="Verdana" w:hAnsi="Verdana"/>
          <w:sz w:val="16"/>
          <w:szCs w:val="16"/>
        </w:rPr>
        <w:t xml:space="preserve"> </w:t>
      </w:r>
      <w:r w:rsidRPr="00F02B16">
        <w:rPr>
          <w:rFonts w:ascii="Verdana" w:eastAsia="Calibri" w:hAnsi="Verdana" w:cs="Arial"/>
          <w:sz w:val="16"/>
          <w:szCs w:val="16"/>
          <w:lang w:val="es-ES"/>
        </w:rPr>
        <w:t>Por ejemplo, las entidades tienen la potestad de hacer uso del Instrumento de agregación de Demanda “</w:t>
      </w:r>
      <w:r w:rsidRPr="00F02B16">
        <w:rPr>
          <w:rFonts w:ascii="Verdana" w:eastAsia="Calibri" w:hAnsi="Verdana" w:cs="Arial"/>
          <w:sz w:val="16"/>
          <w:szCs w:val="16"/>
        </w:rPr>
        <w:t xml:space="preserve">IAD/SDA de Software por Catálogo II”. Para obtener información sobre el proceso de contratación y utilización de este instrumento consulte </w:t>
      </w:r>
      <w:hyperlink r:id="rId1" w:history="1">
        <w:r w:rsidRPr="00F02B16">
          <w:rPr>
            <w:rStyle w:val="Hipervnculo"/>
            <w:rFonts w:ascii="Verdana" w:eastAsia="Calibri" w:hAnsi="Verdana" w:cs="Arial"/>
            <w:sz w:val="16"/>
            <w:szCs w:val="16"/>
          </w:rPr>
          <w:t>https://www.colombiacompra.gov.co/tienda-virtual-del-estado-colombiano/agregacion-de-demanda-espec%C3%ADfica</w:t>
        </w:r>
      </w:hyperlink>
      <w:r w:rsidRPr="00F02B16">
        <w:rPr>
          <w:rFonts w:ascii="Verdana" w:eastAsia="Calibri" w:hAnsi="Verdana"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Encabezado"/>
    </w:pPr>
  </w:p>
  <w:p w14:paraId="136C5567" w14:textId="77777777" w:rsidR="008245EB" w:rsidRDefault="00824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56672276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263155480" name="Imagen 26315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7C5DE6B" w14:textId="77777777" w:rsidR="008245EB" w:rsidRDefault="008245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88CB8E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639606" o:spid="_x0000_i1025" type="#_x0000_t75" style="width:11.25pt;height:11.25pt;visibility:visible;mso-wrap-style:square">
            <v:imagedata r:id="rId1" o:title=""/>
          </v:shape>
        </w:pict>
      </mc:Choice>
      <mc:Fallback>
        <w:drawing>
          <wp:inline distT="0" distB="0" distL="0" distR="0" wp14:anchorId="6B0CF887" wp14:editId="6BA7368C">
            <wp:extent cx="142875" cy="142875"/>
            <wp:effectExtent l="0" t="0" r="0" b="0"/>
            <wp:docPr id="18639606" name="Imagen 18639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D6E3BA2"/>
    <w:multiLevelType w:val="hybridMultilevel"/>
    <w:tmpl w:val="45CAEB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D8B191B"/>
    <w:multiLevelType w:val="hybridMultilevel"/>
    <w:tmpl w:val="2FFAE0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11"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C4A618E"/>
    <w:multiLevelType w:val="hybridMultilevel"/>
    <w:tmpl w:val="8D825A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5"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5" w15:restartNumberingAfterBreak="0">
    <w:nsid w:val="434D3366"/>
    <w:multiLevelType w:val="hybridMultilevel"/>
    <w:tmpl w:val="57CCBBD0"/>
    <w:lvl w:ilvl="0" w:tplc="0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497D0DA0"/>
    <w:multiLevelType w:val="hybridMultilevel"/>
    <w:tmpl w:val="3FCE3E80"/>
    <w:lvl w:ilvl="0" w:tplc="3A8C993E">
      <w:start w:val="1"/>
      <w:numFmt w:val="decimal"/>
      <w:lvlText w:val="%1."/>
      <w:lvlJc w:val="left"/>
      <w:pPr>
        <w:ind w:left="1069" w:hanging="360"/>
      </w:pPr>
      <w:rPr>
        <w:rFonts w:hint="default"/>
        <w:b w:val="0"/>
        <w:bCs/>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4A07209D"/>
    <w:multiLevelType w:val="hybridMultilevel"/>
    <w:tmpl w:val="12C46106"/>
    <w:lvl w:ilvl="0" w:tplc="240A0001">
      <w:start w:val="1"/>
      <w:numFmt w:val="bullet"/>
      <w:lvlText w:val=""/>
      <w:lvlJc w:val="left"/>
      <w:pPr>
        <w:ind w:left="2280" w:hanging="360"/>
      </w:pPr>
      <w:rPr>
        <w:rFonts w:ascii="Symbol" w:hAnsi="Symbol" w:hint="default"/>
      </w:rPr>
    </w:lvl>
    <w:lvl w:ilvl="1" w:tplc="240A0003" w:tentative="1">
      <w:start w:val="1"/>
      <w:numFmt w:val="bullet"/>
      <w:lvlText w:val="o"/>
      <w:lvlJc w:val="left"/>
      <w:pPr>
        <w:ind w:left="3000" w:hanging="360"/>
      </w:pPr>
      <w:rPr>
        <w:rFonts w:ascii="Courier New" w:hAnsi="Courier New" w:cs="Courier New" w:hint="default"/>
      </w:rPr>
    </w:lvl>
    <w:lvl w:ilvl="2" w:tplc="240A0005" w:tentative="1">
      <w:start w:val="1"/>
      <w:numFmt w:val="bullet"/>
      <w:lvlText w:val=""/>
      <w:lvlJc w:val="left"/>
      <w:pPr>
        <w:ind w:left="3720" w:hanging="360"/>
      </w:pPr>
      <w:rPr>
        <w:rFonts w:ascii="Wingdings" w:hAnsi="Wingdings" w:hint="default"/>
      </w:rPr>
    </w:lvl>
    <w:lvl w:ilvl="3" w:tplc="240A0001" w:tentative="1">
      <w:start w:val="1"/>
      <w:numFmt w:val="bullet"/>
      <w:lvlText w:val=""/>
      <w:lvlJc w:val="left"/>
      <w:pPr>
        <w:ind w:left="4440" w:hanging="360"/>
      </w:pPr>
      <w:rPr>
        <w:rFonts w:ascii="Symbol" w:hAnsi="Symbol" w:hint="default"/>
      </w:rPr>
    </w:lvl>
    <w:lvl w:ilvl="4" w:tplc="240A0003" w:tentative="1">
      <w:start w:val="1"/>
      <w:numFmt w:val="bullet"/>
      <w:lvlText w:val="o"/>
      <w:lvlJc w:val="left"/>
      <w:pPr>
        <w:ind w:left="5160" w:hanging="360"/>
      </w:pPr>
      <w:rPr>
        <w:rFonts w:ascii="Courier New" w:hAnsi="Courier New" w:cs="Courier New" w:hint="default"/>
      </w:rPr>
    </w:lvl>
    <w:lvl w:ilvl="5" w:tplc="240A0005" w:tentative="1">
      <w:start w:val="1"/>
      <w:numFmt w:val="bullet"/>
      <w:lvlText w:val=""/>
      <w:lvlJc w:val="left"/>
      <w:pPr>
        <w:ind w:left="5880" w:hanging="360"/>
      </w:pPr>
      <w:rPr>
        <w:rFonts w:ascii="Wingdings" w:hAnsi="Wingdings" w:hint="default"/>
      </w:rPr>
    </w:lvl>
    <w:lvl w:ilvl="6" w:tplc="240A0001" w:tentative="1">
      <w:start w:val="1"/>
      <w:numFmt w:val="bullet"/>
      <w:lvlText w:val=""/>
      <w:lvlJc w:val="left"/>
      <w:pPr>
        <w:ind w:left="6600" w:hanging="360"/>
      </w:pPr>
      <w:rPr>
        <w:rFonts w:ascii="Symbol" w:hAnsi="Symbol" w:hint="default"/>
      </w:rPr>
    </w:lvl>
    <w:lvl w:ilvl="7" w:tplc="240A0003" w:tentative="1">
      <w:start w:val="1"/>
      <w:numFmt w:val="bullet"/>
      <w:lvlText w:val="o"/>
      <w:lvlJc w:val="left"/>
      <w:pPr>
        <w:ind w:left="7320" w:hanging="360"/>
      </w:pPr>
      <w:rPr>
        <w:rFonts w:ascii="Courier New" w:hAnsi="Courier New" w:cs="Courier New" w:hint="default"/>
      </w:rPr>
    </w:lvl>
    <w:lvl w:ilvl="8" w:tplc="240A0005" w:tentative="1">
      <w:start w:val="1"/>
      <w:numFmt w:val="bullet"/>
      <w:lvlText w:val=""/>
      <w:lvlJc w:val="left"/>
      <w:pPr>
        <w:ind w:left="8040" w:hanging="360"/>
      </w:pPr>
      <w:rPr>
        <w:rFonts w:ascii="Wingdings" w:hAnsi="Wingdings" w:hint="default"/>
      </w:rPr>
    </w:lvl>
  </w:abstractNum>
  <w:abstractNum w:abstractNumId="28"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37A487D"/>
    <w:multiLevelType w:val="hybridMultilevel"/>
    <w:tmpl w:val="60CE2214"/>
    <w:lvl w:ilvl="0" w:tplc="ABECF95E">
      <w:start w:val="1"/>
      <w:numFmt w:val="lowerLetter"/>
      <w:lvlText w:val="%1."/>
      <w:lvlJc w:val="left"/>
      <w:pPr>
        <w:ind w:left="1198" w:hanging="360"/>
      </w:pPr>
      <w:rPr>
        <w:rFonts w:ascii="Arial" w:eastAsia="Arial" w:hAnsi="Arial" w:cs="Arial" w:hint="default"/>
        <w:b/>
        <w:bCs/>
        <w:spacing w:val="-1"/>
        <w:w w:val="100"/>
        <w:sz w:val="24"/>
        <w:szCs w:val="24"/>
        <w:lang w:val="es-ES" w:eastAsia="en-US" w:bidi="ar-SA"/>
      </w:rPr>
    </w:lvl>
    <w:lvl w:ilvl="1" w:tplc="521C5DE0">
      <w:numFmt w:val="bullet"/>
      <w:lvlText w:val="•"/>
      <w:lvlJc w:val="left"/>
      <w:pPr>
        <w:ind w:left="2050" w:hanging="360"/>
      </w:pPr>
      <w:rPr>
        <w:rFonts w:hint="default"/>
        <w:lang w:val="es-ES" w:eastAsia="en-US" w:bidi="ar-SA"/>
      </w:rPr>
    </w:lvl>
    <w:lvl w:ilvl="2" w:tplc="F8382576">
      <w:numFmt w:val="bullet"/>
      <w:lvlText w:val="•"/>
      <w:lvlJc w:val="left"/>
      <w:pPr>
        <w:ind w:left="2900" w:hanging="360"/>
      </w:pPr>
      <w:rPr>
        <w:rFonts w:hint="default"/>
        <w:lang w:val="es-ES" w:eastAsia="en-US" w:bidi="ar-SA"/>
      </w:rPr>
    </w:lvl>
    <w:lvl w:ilvl="3" w:tplc="622480D6">
      <w:numFmt w:val="bullet"/>
      <w:lvlText w:val="•"/>
      <w:lvlJc w:val="left"/>
      <w:pPr>
        <w:ind w:left="3750" w:hanging="360"/>
      </w:pPr>
      <w:rPr>
        <w:rFonts w:hint="default"/>
        <w:lang w:val="es-ES" w:eastAsia="en-US" w:bidi="ar-SA"/>
      </w:rPr>
    </w:lvl>
    <w:lvl w:ilvl="4" w:tplc="192E38FA">
      <w:numFmt w:val="bullet"/>
      <w:lvlText w:val="•"/>
      <w:lvlJc w:val="left"/>
      <w:pPr>
        <w:ind w:left="4600" w:hanging="360"/>
      </w:pPr>
      <w:rPr>
        <w:rFonts w:hint="default"/>
        <w:lang w:val="es-ES" w:eastAsia="en-US" w:bidi="ar-SA"/>
      </w:rPr>
    </w:lvl>
    <w:lvl w:ilvl="5" w:tplc="56F68ED2">
      <w:numFmt w:val="bullet"/>
      <w:lvlText w:val="•"/>
      <w:lvlJc w:val="left"/>
      <w:pPr>
        <w:ind w:left="5450" w:hanging="360"/>
      </w:pPr>
      <w:rPr>
        <w:rFonts w:hint="default"/>
        <w:lang w:val="es-ES" w:eastAsia="en-US" w:bidi="ar-SA"/>
      </w:rPr>
    </w:lvl>
    <w:lvl w:ilvl="6" w:tplc="A89044F6">
      <w:numFmt w:val="bullet"/>
      <w:lvlText w:val="•"/>
      <w:lvlJc w:val="left"/>
      <w:pPr>
        <w:ind w:left="6300" w:hanging="360"/>
      </w:pPr>
      <w:rPr>
        <w:rFonts w:hint="default"/>
        <w:lang w:val="es-ES" w:eastAsia="en-US" w:bidi="ar-SA"/>
      </w:rPr>
    </w:lvl>
    <w:lvl w:ilvl="7" w:tplc="06B0FF48">
      <w:numFmt w:val="bullet"/>
      <w:lvlText w:val="•"/>
      <w:lvlJc w:val="left"/>
      <w:pPr>
        <w:ind w:left="7150" w:hanging="360"/>
      </w:pPr>
      <w:rPr>
        <w:rFonts w:hint="default"/>
        <w:lang w:val="es-ES" w:eastAsia="en-US" w:bidi="ar-SA"/>
      </w:rPr>
    </w:lvl>
    <w:lvl w:ilvl="8" w:tplc="2B825FB2">
      <w:numFmt w:val="bullet"/>
      <w:lvlText w:val="•"/>
      <w:lvlJc w:val="left"/>
      <w:pPr>
        <w:ind w:left="8000" w:hanging="360"/>
      </w:pPr>
      <w:rPr>
        <w:rFonts w:hint="default"/>
        <w:lang w:val="es-ES" w:eastAsia="en-US" w:bidi="ar-SA"/>
      </w:rPr>
    </w:lvl>
  </w:abstractNum>
  <w:abstractNum w:abstractNumId="35" w15:restartNumberingAfterBreak="0">
    <w:nsid w:val="53DD0257"/>
    <w:multiLevelType w:val="hybridMultilevel"/>
    <w:tmpl w:val="5274A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0090DB1"/>
    <w:multiLevelType w:val="hybridMultilevel"/>
    <w:tmpl w:val="DC94B6F2"/>
    <w:lvl w:ilvl="0" w:tplc="E2FC61D4">
      <w:start w:val="1"/>
      <w:numFmt w:val="lowerRoman"/>
      <w:lvlText w:val="%1)"/>
      <w:lvlJc w:val="left"/>
      <w:pPr>
        <w:ind w:left="708" w:hanging="720"/>
      </w:pPr>
      <w:rPr>
        <w:rFonts w:ascii="Verdana" w:eastAsia="Arial" w:hAnsi="Verdana" w:cs="Arial"/>
      </w:rPr>
    </w:lvl>
    <w:lvl w:ilvl="1" w:tplc="080A0019" w:tentative="1">
      <w:start w:val="1"/>
      <w:numFmt w:val="lowerLetter"/>
      <w:lvlText w:val="%2."/>
      <w:lvlJc w:val="left"/>
      <w:pPr>
        <w:ind w:left="1068" w:hanging="360"/>
      </w:pPr>
    </w:lvl>
    <w:lvl w:ilvl="2" w:tplc="080A001B" w:tentative="1">
      <w:start w:val="1"/>
      <w:numFmt w:val="lowerRoman"/>
      <w:lvlText w:val="%3."/>
      <w:lvlJc w:val="right"/>
      <w:pPr>
        <w:ind w:left="1788" w:hanging="180"/>
      </w:pPr>
    </w:lvl>
    <w:lvl w:ilvl="3" w:tplc="080A000F" w:tentative="1">
      <w:start w:val="1"/>
      <w:numFmt w:val="decimal"/>
      <w:lvlText w:val="%4."/>
      <w:lvlJc w:val="left"/>
      <w:pPr>
        <w:ind w:left="2508" w:hanging="360"/>
      </w:pPr>
    </w:lvl>
    <w:lvl w:ilvl="4" w:tplc="080A0019" w:tentative="1">
      <w:start w:val="1"/>
      <w:numFmt w:val="lowerLetter"/>
      <w:lvlText w:val="%5."/>
      <w:lvlJc w:val="left"/>
      <w:pPr>
        <w:ind w:left="3228" w:hanging="360"/>
      </w:pPr>
    </w:lvl>
    <w:lvl w:ilvl="5" w:tplc="080A001B" w:tentative="1">
      <w:start w:val="1"/>
      <w:numFmt w:val="lowerRoman"/>
      <w:lvlText w:val="%6."/>
      <w:lvlJc w:val="right"/>
      <w:pPr>
        <w:ind w:left="3948" w:hanging="180"/>
      </w:pPr>
    </w:lvl>
    <w:lvl w:ilvl="6" w:tplc="080A000F" w:tentative="1">
      <w:start w:val="1"/>
      <w:numFmt w:val="decimal"/>
      <w:lvlText w:val="%7."/>
      <w:lvlJc w:val="left"/>
      <w:pPr>
        <w:ind w:left="4668" w:hanging="360"/>
      </w:pPr>
    </w:lvl>
    <w:lvl w:ilvl="7" w:tplc="080A0019" w:tentative="1">
      <w:start w:val="1"/>
      <w:numFmt w:val="lowerLetter"/>
      <w:lvlText w:val="%8."/>
      <w:lvlJc w:val="left"/>
      <w:pPr>
        <w:ind w:left="5388" w:hanging="360"/>
      </w:pPr>
    </w:lvl>
    <w:lvl w:ilvl="8" w:tplc="080A001B" w:tentative="1">
      <w:start w:val="1"/>
      <w:numFmt w:val="lowerRoman"/>
      <w:lvlText w:val="%9."/>
      <w:lvlJc w:val="right"/>
      <w:pPr>
        <w:ind w:left="6108" w:hanging="180"/>
      </w:pPr>
    </w:lvl>
  </w:abstractNum>
  <w:abstractNum w:abstractNumId="3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40"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772B73DB"/>
    <w:multiLevelType w:val="hybridMultilevel"/>
    <w:tmpl w:val="2A9E79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D0A39BE"/>
    <w:multiLevelType w:val="hybridMultilevel"/>
    <w:tmpl w:val="C1CE7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9"/>
  </w:num>
  <w:num w:numId="2" w16cid:durableId="19822139">
    <w:abstractNumId w:val="3"/>
  </w:num>
  <w:num w:numId="3" w16cid:durableId="876742304">
    <w:abstractNumId w:val="17"/>
  </w:num>
  <w:num w:numId="4" w16cid:durableId="2451864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45"/>
  </w:num>
  <w:num w:numId="7" w16cid:durableId="1946422806">
    <w:abstractNumId w:val="18"/>
  </w:num>
  <w:num w:numId="8" w16cid:durableId="152644682">
    <w:abstractNumId w:val="43"/>
  </w:num>
  <w:num w:numId="9" w16cid:durableId="1317221377">
    <w:abstractNumId w:val="21"/>
  </w:num>
  <w:num w:numId="10" w16cid:durableId="1471245386">
    <w:abstractNumId w:val="42"/>
  </w:num>
  <w:num w:numId="11" w16cid:durableId="289172385">
    <w:abstractNumId w:val="22"/>
  </w:num>
  <w:num w:numId="12" w16cid:durableId="1470781324">
    <w:abstractNumId w:val="1"/>
  </w:num>
  <w:num w:numId="13" w16cid:durableId="1512908409">
    <w:abstractNumId w:val="12"/>
  </w:num>
  <w:num w:numId="14" w16cid:durableId="895897244">
    <w:abstractNumId w:val="46"/>
  </w:num>
  <w:num w:numId="15" w16cid:durableId="390349800">
    <w:abstractNumId w:val="39"/>
  </w:num>
  <w:num w:numId="16" w16cid:durableId="1380713882">
    <w:abstractNumId w:val="0"/>
  </w:num>
  <w:num w:numId="17" w16cid:durableId="1528370592">
    <w:abstractNumId w:val="44"/>
  </w:num>
  <w:num w:numId="18" w16cid:durableId="1827160323">
    <w:abstractNumId w:val="32"/>
  </w:num>
  <w:num w:numId="19" w16cid:durableId="1341393406">
    <w:abstractNumId w:val="11"/>
  </w:num>
  <w:num w:numId="20" w16cid:durableId="14254217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36"/>
  </w:num>
  <w:num w:numId="23" w16cid:durableId="821585723">
    <w:abstractNumId w:val="51"/>
  </w:num>
  <w:num w:numId="24" w16cid:durableId="278218624">
    <w:abstractNumId w:val="30"/>
  </w:num>
  <w:num w:numId="25" w16cid:durableId="619844469">
    <w:abstractNumId w:val="4"/>
  </w:num>
  <w:num w:numId="26" w16cid:durableId="2032217959">
    <w:abstractNumId w:val="24"/>
  </w:num>
  <w:num w:numId="27" w16cid:durableId="1194152408">
    <w:abstractNumId w:val="6"/>
  </w:num>
  <w:num w:numId="28" w16cid:durableId="765926342">
    <w:abstractNumId w:val="10"/>
  </w:num>
  <w:num w:numId="29" w16cid:durableId="772895453">
    <w:abstractNumId w:val="40"/>
  </w:num>
  <w:num w:numId="30" w16cid:durableId="784039179">
    <w:abstractNumId w:val="47"/>
  </w:num>
  <w:num w:numId="31" w16cid:durableId="998077508">
    <w:abstractNumId w:val="28"/>
  </w:num>
  <w:num w:numId="32" w16cid:durableId="836310654">
    <w:abstractNumId w:val="5"/>
  </w:num>
  <w:num w:numId="33" w16cid:durableId="1178544198">
    <w:abstractNumId w:val="20"/>
  </w:num>
  <w:num w:numId="34" w16cid:durableId="449785796">
    <w:abstractNumId w:val="14"/>
  </w:num>
  <w:num w:numId="35" w16cid:durableId="558784917">
    <w:abstractNumId w:val="27"/>
  </w:num>
  <w:num w:numId="36" w16cid:durableId="679089576">
    <w:abstractNumId w:val="23"/>
  </w:num>
  <w:num w:numId="37" w16cid:durableId="1733503356">
    <w:abstractNumId w:val="41"/>
  </w:num>
  <w:num w:numId="38" w16cid:durableId="1982299905">
    <w:abstractNumId w:val="50"/>
  </w:num>
  <w:num w:numId="39" w16cid:durableId="718089256">
    <w:abstractNumId w:val="13"/>
  </w:num>
  <w:num w:numId="40" w16cid:durableId="1416318430">
    <w:abstractNumId w:val="49"/>
  </w:num>
  <w:num w:numId="41" w16cid:durableId="134764369">
    <w:abstractNumId w:val="48"/>
  </w:num>
  <w:num w:numId="42" w16cid:durableId="782461700">
    <w:abstractNumId w:val="31"/>
  </w:num>
  <w:num w:numId="43" w16cid:durableId="1726566718">
    <w:abstractNumId w:val="2"/>
  </w:num>
  <w:num w:numId="44" w16cid:durableId="1187794586">
    <w:abstractNumId w:val="26"/>
  </w:num>
  <w:num w:numId="45" w16cid:durableId="61874046">
    <w:abstractNumId w:val="37"/>
  </w:num>
  <w:num w:numId="46" w16cid:durableId="794831771">
    <w:abstractNumId w:val="8"/>
  </w:num>
  <w:num w:numId="47" w16cid:durableId="328875954">
    <w:abstractNumId w:val="35"/>
  </w:num>
  <w:num w:numId="48" w16cid:durableId="1942368513">
    <w:abstractNumId w:val="15"/>
  </w:num>
  <w:num w:numId="49" w16cid:durableId="1289359701">
    <w:abstractNumId w:val="7"/>
  </w:num>
  <w:num w:numId="50" w16cid:durableId="1511867854">
    <w:abstractNumId w:val="34"/>
  </w:num>
  <w:num w:numId="51" w16cid:durableId="295986491">
    <w:abstractNumId w:val="29"/>
  </w:num>
  <w:num w:numId="52" w16cid:durableId="1256086149">
    <w:abstractNumId w:val="9"/>
  </w:num>
  <w:num w:numId="53" w16cid:durableId="439031703">
    <w:abstractNumId w:val="38"/>
  </w:num>
  <w:num w:numId="54" w16cid:durableId="131244399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22386"/>
    <w:rsid w:val="00022742"/>
    <w:rsid w:val="00032690"/>
    <w:rsid w:val="00042203"/>
    <w:rsid w:val="00043043"/>
    <w:rsid w:val="0004364F"/>
    <w:rsid w:val="000446BC"/>
    <w:rsid w:val="0005032D"/>
    <w:rsid w:val="00052A7F"/>
    <w:rsid w:val="00061A32"/>
    <w:rsid w:val="00061B2A"/>
    <w:rsid w:val="00061DA5"/>
    <w:rsid w:val="00064D4C"/>
    <w:rsid w:val="00065774"/>
    <w:rsid w:val="00067974"/>
    <w:rsid w:val="000716C3"/>
    <w:rsid w:val="0008049C"/>
    <w:rsid w:val="000816DD"/>
    <w:rsid w:val="00082362"/>
    <w:rsid w:val="00083901"/>
    <w:rsid w:val="00087CE9"/>
    <w:rsid w:val="00091052"/>
    <w:rsid w:val="00097A44"/>
    <w:rsid w:val="000A683E"/>
    <w:rsid w:val="000A6DAE"/>
    <w:rsid w:val="000B19B9"/>
    <w:rsid w:val="000B6628"/>
    <w:rsid w:val="000B7A27"/>
    <w:rsid w:val="000C031E"/>
    <w:rsid w:val="000C3898"/>
    <w:rsid w:val="000D0334"/>
    <w:rsid w:val="000D5325"/>
    <w:rsid w:val="000D7C08"/>
    <w:rsid w:val="000E02CA"/>
    <w:rsid w:val="000F4D98"/>
    <w:rsid w:val="000F5B9C"/>
    <w:rsid w:val="000F6486"/>
    <w:rsid w:val="001078FF"/>
    <w:rsid w:val="001175E7"/>
    <w:rsid w:val="00117E40"/>
    <w:rsid w:val="00122FA4"/>
    <w:rsid w:val="0012388D"/>
    <w:rsid w:val="00125105"/>
    <w:rsid w:val="001254C6"/>
    <w:rsid w:val="00127233"/>
    <w:rsid w:val="001318DA"/>
    <w:rsid w:val="0014445C"/>
    <w:rsid w:val="00145669"/>
    <w:rsid w:val="0015095D"/>
    <w:rsid w:val="00151D47"/>
    <w:rsid w:val="001561D6"/>
    <w:rsid w:val="001572FA"/>
    <w:rsid w:val="001643A7"/>
    <w:rsid w:val="001711B6"/>
    <w:rsid w:val="001712F7"/>
    <w:rsid w:val="00171AE9"/>
    <w:rsid w:val="00174353"/>
    <w:rsid w:val="00185D70"/>
    <w:rsid w:val="001A13C1"/>
    <w:rsid w:val="001A661F"/>
    <w:rsid w:val="001A7C91"/>
    <w:rsid w:val="001B4F11"/>
    <w:rsid w:val="001B6D8B"/>
    <w:rsid w:val="001B7AF4"/>
    <w:rsid w:val="001C32C8"/>
    <w:rsid w:val="001C4152"/>
    <w:rsid w:val="001C4F7E"/>
    <w:rsid w:val="001C5C4E"/>
    <w:rsid w:val="001C7BAE"/>
    <w:rsid w:val="001D4052"/>
    <w:rsid w:val="001D756C"/>
    <w:rsid w:val="001E1A15"/>
    <w:rsid w:val="001E4177"/>
    <w:rsid w:val="001E595E"/>
    <w:rsid w:val="001E5B16"/>
    <w:rsid w:val="001F0FB2"/>
    <w:rsid w:val="001F6D8D"/>
    <w:rsid w:val="001F7DC6"/>
    <w:rsid w:val="001F7E1D"/>
    <w:rsid w:val="00201766"/>
    <w:rsid w:val="00203485"/>
    <w:rsid w:val="0020467F"/>
    <w:rsid w:val="002121EB"/>
    <w:rsid w:val="002221DA"/>
    <w:rsid w:val="00232683"/>
    <w:rsid w:val="00237F82"/>
    <w:rsid w:val="002421BB"/>
    <w:rsid w:val="0025065B"/>
    <w:rsid w:val="00250743"/>
    <w:rsid w:val="002520F5"/>
    <w:rsid w:val="0025398C"/>
    <w:rsid w:val="0025796E"/>
    <w:rsid w:val="002707A2"/>
    <w:rsid w:val="00272513"/>
    <w:rsid w:val="00276797"/>
    <w:rsid w:val="002933DA"/>
    <w:rsid w:val="002951A0"/>
    <w:rsid w:val="002962BC"/>
    <w:rsid w:val="002A093D"/>
    <w:rsid w:val="002A0DD0"/>
    <w:rsid w:val="002A1B06"/>
    <w:rsid w:val="002A4677"/>
    <w:rsid w:val="002A49AC"/>
    <w:rsid w:val="002A5249"/>
    <w:rsid w:val="002A64FD"/>
    <w:rsid w:val="002B0930"/>
    <w:rsid w:val="002C0CEC"/>
    <w:rsid w:val="002C4A72"/>
    <w:rsid w:val="002C4D91"/>
    <w:rsid w:val="002C7A84"/>
    <w:rsid w:val="002E22F1"/>
    <w:rsid w:val="002E315F"/>
    <w:rsid w:val="002E4FD9"/>
    <w:rsid w:val="00306C5A"/>
    <w:rsid w:val="003071CA"/>
    <w:rsid w:val="003103F2"/>
    <w:rsid w:val="003149A7"/>
    <w:rsid w:val="00322A85"/>
    <w:rsid w:val="00324168"/>
    <w:rsid w:val="003277BD"/>
    <w:rsid w:val="00332677"/>
    <w:rsid w:val="00335DDC"/>
    <w:rsid w:val="00340C01"/>
    <w:rsid w:val="003448F4"/>
    <w:rsid w:val="00352412"/>
    <w:rsid w:val="00352CC9"/>
    <w:rsid w:val="00355F0B"/>
    <w:rsid w:val="00362EC9"/>
    <w:rsid w:val="00366FCC"/>
    <w:rsid w:val="0036753A"/>
    <w:rsid w:val="00367C99"/>
    <w:rsid w:val="00374F5E"/>
    <w:rsid w:val="00376A90"/>
    <w:rsid w:val="00376CD8"/>
    <w:rsid w:val="00377C80"/>
    <w:rsid w:val="00377E3E"/>
    <w:rsid w:val="003838FF"/>
    <w:rsid w:val="0038437E"/>
    <w:rsid w:val="00385998"/>
    <w:rsid w:val="00391C8E"/>
    <w:rsid w:val="00391EB2"/>
    <w:rsid w:val="0039733E"/>
    <w:rsid w:val="003A26D1"/>
    <w:rsid w:val="003A2ECF"/>
    <w:rsid w:val="003A779E"/>
    <w:rsid w:val="003B3410"/>
    <w:rsid w:val="003C28D0"/>
    <w:rsid w:val="003C3A88"/>
    <w:rsid w:val="003C3E5C"/>
    <w:rsid w:val="003D0F4D"/>
    <w:rsid w:val="003D5B0D"/>
    <w:rsid w:val="003D6E74"/>
    <w:rsid w:val="003E0499"/>
    <w:rsid w:val="003E41C3"/>
    <w:rsid w:val="003E6F3F"/>
    <w:rsid w:val="003E7285"/>
    <w:rsid w:val="003F1CB3"/>
    <w:rsid w:val="003F2418"/>
    <w:rsid w:val="003F3941"/>
    <w:rsid w:val="003F5236"/>
    <w:rsid w:val="004014C5"/>
    <w:rsid w:val="00404877"/>
    <w:rsid w:val="00406575"/>
    <w:rsid w:val="00412AC0"/>
    <w:rsid w:val="00426B4E"/>
    <w:rsid w:val="0042722E"/>
    <w:rsid w:val="0043208F"/>
    <w:rsid w:val="00437B03"/>
    <w:rsid w:val="00440694"/>
    <w:rsid w:val="00442DEF"/>
    <w:rsid w:val="00442F25"/>
    <w:rsid w:val="0044528D"/>
    <w:rsid w:val="004470E1"/>
    <w:rsid w:val="0045343A"/>
    <w:rsid w:val="004547CD"/>
    <w:rsid w:val="00456CF7"/>
    <w:rsid w:val="00456F45"/>
    <w:rsid w:val="00461E0F"/>
    <w:rsid w:val="004634BD"/>
    <w:rsid w:val="00471626"/>
    <w:rsid w:val="0047280E"/>
    <w:rsid w:val="004735E5"/>
    <w:rsid w:val="00481285"/>
    <w:rsid w:val="0048714C"/>
    <w:rsid w:val="00491ED8"/>
    <w:rsid w:val="004943AA"/>
    <w:rsid w:val="004A1847"/>
    <w:rsid w:val="004A305D"/>
    <w:rsid w:val="004A7B64"/>
    <w:rsid w:val="004B60EB"/>
    <w:rsid w:val="004E0A42"/>
    <w:rsid w:val="004E2AB9"/>
    <w:rsid w:val="004F21C4"/>
    <w:rsid w:val="004F56BF"/>
    <w:rsid w:val="004F685F"/>
    <w:rsid w:val="005013A6"/>
    <w:rsid w:val="0051501A"/>
    <w:rsid w:val="00521153"/>
    <w:rsid w:val="00526E69"/>
    <w:rsid w:val="00540088"/>
    <w:rsid w:val="00545D11"/>
    <w:rsid w:val="0055375E"/>
    <w:rsid w:val="005566E8"/>
    <w:rsid w:val="00566D40"/>
    <w:rsid w:val="00574867"/>
    <w:rsid w:val="00574CB1"/>
    <w:rsid w:val="0058374D"/>
    <w:rsid w:val="00583765"/>
    <w:rsid w:val="00591460"/>
    <w:rsid w:val="00592628"/>
    <w:rsid w:val="005B55C4"/>
    <w:rsid w:val="005B7F9E"/>
    <w:rsid w:val="005C1B4D"/>
    <w:rsid w:val="005C1E4D"/>
    <w:rsid w:val="005C3777"/>
    <w:rsid w:val="005C5CDC"/>
    <w:rsid w:val="005C5FD0"/>
    <w:rsid w:val="005C74BA"/>
    <w:rsid w:val="005D2DA6"/>
    <w:rsid w:val="005D476C"/>
    <w:rsid w:val="005D5319"/>
    <w:rsid w:val="005E62E2"/>
    <w:rsid w:val="005F7B58"/>
    <w:rsid w:val="00600FA2"/>
    <w:rsid w:val="00601B7E"/>
    <w:rsid w:val="00601CDD"/>
    <w:rsid w:val="00606078"/>
    <w:rsid w:val="00610812"/>
    <w:rsid w:val="006133A3"/>
    <w:rsid w:val="006173C6"/>
    <w:rsid w:val="006219F8"/>
    <w:rsid w:val="006221A8"/>
    <w:rsid w:val="00642AA4"/>
    <w:rsid w:val="00645CB7"/>
    <w:rsid w:val="00650FF7"/>
    <w:rsid w:val="00652CBE"/>
    <w:rsid w:val="0065720B"/>
    <w:rsid w:val="00665D70"/>
    <w:rsid w:val="00670EF2"/>
    <w:rsid w:val="00671DAC"/>
    <w:rsid w:val="00677639"/>
    <w:rsid w:val="006900D9"/>
    <w:rsid w:val="00691D55"/>
    <w:rsid w:val="00694DE4"/>
    <w:rsid w:val="006A319E"/>
    <w:rsid w:val="006A5AE8"/>
    <w:rsid w:val="006A6837"/>
    <w:rsid w:val="006A7FFC"/>
    <w:rsid w:val="006B0766"/>
    <w:rsid w:val="006B0E65"/>
    <w:rsid w:val="006B2282"/>
    <w:rsid w:val="006B72C8"/>
    <w:rsid w:val="006B763B"/>
    <w:rsid w:val="006C5F67"/>
    <w:rsid w:val="006D0268"/>
    <w:rsid w:val="006D12F8"/>
    <w:rsid w:val="006D3648"/>
    <w:rsid w:val="006E790E"/>
    <w:rsid w:val="006F3640"/>
    <w:rsid w:val="00706C16"/>
    <w:rsid w:val="007118A7"/>
    <w:rsid w:val="00712B92"/>
    <w:rsid w:val="00712E86"/>
    <w:rsid w:val="00714D55"/>
    <w:rsid w:val="00722741"/>
    <w:rsid w:val="00724B22"/>
    <w:rsid w:val="007256D5"/>
    <w:rsid w:val="007271E0"/>
    <w:rsid w:val="00736813"/>
    <w:rsid w:val="00744E12"/>
    <w:rsid w:val="00756841"/>
    <w:rsid w:val="00757DEA"/>
    <w:rsid w:val="007630C8"/>
    <w:rsid w:val="007649AB"/>
    <w:rsid w:val="00770CA1"/>
    <w:rsid w:val="00770D74"/>
    <w:rsid w:val="00771D0C"/>
    <w:rsid w:val="00771EEC"/>
    <w:rsid w:val="00775EFA"/>
    <w:rsid w:val="007833AC"/>
    <w:rsid w:val="00783B11"/>
    <w:rsid w:val="00783C25"/>
    <w:rsid w:val="007866A8"/>
    <w:rsid w:val="00790424"/>
    <w:rsid w:val="00791488"/>
    <w:rsid w:val="00793192"/>
    <w:rsid w:val="007937A8"/>
    <w:rsid w:val="00794660"/>
    <w:rsid w:val="007964E2"/>
    <w:rsid w:val="007A4461"/>
    <w:rsid w:val="007A663E"/>
    <w:rsid w:val="007B268C"/>
    <w:rsid w:val="007B61BA"/>
    <w:rsid w:val="007B7171"/>
    <w:rsid w:val="007B7897"/>
    <w:rsid w:val="007C0C0F"/>
    <w:rsid w:val="007C3DC2"/>
    <w:rsid w:val="007C4B5D"/>
    <w:rsid w:val="007D0253"/>
    <w:rsid w:val="007D1FA5"/>
    <w:rsid w:val="007D5768"/>
    <w:rsid w:val="007E2389"/>
    <w:rsid w:val="007E4150"/>
    <w:rsid w:val="007E5497"/>
    <w:rsid w:val="007E712D"/>
    <w:rsid w:val="007F0C82"/>
    <w:rsid w:val="007F5013"/>
    <w:rsid w:val="007F56E0"/>
    <w:rsid w:val="0080518E"/>
    <w:rsid w:val="00806F5F"/>
    <w:rsid w:val="00811ADC"/>
    <w:rsid w:val="00820278"/>
    <w:rsid w:val="008245EB"/>
    <w:rsid w:val="008378C3"/>
    <w:rsid w:val="00842E01"/>
    <w:rsid w:val="00845A8D"/>
    <w:rsid w:val="00847CCC"/>
    <w:rsid w:val="00851635"/>
    <w:rsid w:val="0085720E"/>
    <w:rsid w:val="008677DE"/>
    <w:rsid w:val="008734E3"/>
    <w:rsid w:val="0088110E"/>
    <w:rsid w:val="00883377"/>
    <w:rsid w:val="008843B6"/>
    <w:rsid w:val="00887676"/>
    <w:rsid w:val="008915A6"/>
    <w:rsid w:val="00891928"/>
    <w:rsid w:val="008A446D"/>
    <w:rsid w:val="008A68DE"/>
    <w:rsid w:val="008A772E"/>
    <w:rsid w:val="008C0A2F"/>
    <w:rsid w:val="008C40EF"/>
    <w:rsid w:val="008D180B"/>
    <w:rsid w:val="008D1C73"/>
    <w:rsid w:val="008E712D"/>
    <w:rsid w:val="008F04CF"/>
    <w:rsid w:val="008F0EA7"/>
    <w:rsid w:val="008F4339"/>
    <w:rsid w:val="008F43BA"/>
    <w:rsid w:val="008F7D92"/>
    <w:rsid w:val="00901B56"/>
    <w:rsid w:val="00903114"/>
    <w:rsid w:val="009041A0"/>
    <w:rsid w:val="009143F1"/>
    <w:rsid w:val="00920710"/>
    <w:rsid w:val="00920D0D"/>
    <w:rsid w:val="00922211"/>
    <w:rsid w:val="00922EAB"/>
    <w:rsid w:val="00923EEF"/>
    <w:rsid w:val="00927F89"/>
    <w:rsid w:val="00936797"/>
    <w:rsid w:val="009419F9"/>
    <w:rsid w:val="00943A3B"/>
    <w:rsid w:val="00955A30"/>
    <w:rsid w:val="00955D18"/>
    <w:rsid w:val="0095685E"/>
    <w:rsid w:val="00957F2D"/>
    <w:rsid w:val="009608D9"/>
    <w:rsid w:val="00961B09"/>
    <w:rsid w:val="00962B74"/>
    <w:rsid w:val="00965334"/>
    <w:rsid w:val="0097093E"/>
    <w:rsid w:val="00973DCA"/>
    <w:rsid w:val="00977B0C"/>
    <w:rsid w:val="00981DDD"/>
    <w:rsid w:val="00990DD2"/>
    <w:rsid w:val="009A0DFA"/>
    <w:rsid w:val="009A7CC9"/>
    <w:rsid w:val="009B2421"/>
    <w:rsid w:val="009B28FC"/>
    <w:rsid w:val="009B2D26"/>
    <w:rsid w:val="009B3357"/>
    <w:rsid w:val="009B36E7"/>
    <w:rsid w:val="009C1507"/>
    <w:rsid w:val="009C547E"/>
    <w:rsid w:val="009C71FA"/>
    <w:rsid w:val="009C72E7"/>
    <w:rsid w:val="009D04B0"/>
    <w:rsid w:val="009D05E0"/>
    <w:rsid w:val="009D3058"/>
    <w:rsid w:val="009D4E8D"/>
    <w:rsid w:val="009D7B43"/>
    <w:rsid w:val="009E43CB"/>
    <w:rsid w:val="009F3A13"/>
    <w:rsid w:val="009F6593"/>
    <w:rsid w:val="00A122D3"/>
    <w:rsid w:val="00A17F13"/>
    <w:rsid w:val="00A20739"/>
    <w:rsid w:val="00A214DF"/>
    <w:rsid w:val="00A27867"/>
    <w:rsid w:val="00A33C78"/>
    <w:rsid w:val="00A3710E"/>
    <w:rsid w:val="00A42AAE"/>
    <w:rsid w:val="00A519A0"/>
    <w:rsid w:val="00A52DE7"/>
    <w:rsid w:val="00A56365"/>
    <w:rsid w:val="00A61860"/>
    <w:rsid w:val="00A644E0"/>
    <w:rsid w:val="00A65B78"/>
    <w:rsid w:val="00A80320"/>
    <w:rsid w:val="00A80691"/>
    <w:rsid w:val="00A8229A"/>
    <w:rsid w:val="00A9310E"/>
    <w:rsid w:val="00A94103"/>
    <w:rsid w:val="00A95A1A"/>
    <w:rsid w:val="00AA2B1E"/>
    <w:rsid w:val="00AA6478"/>
    <w:rsid w:val="00AA7047"/>
    <w:rsid w:val="00AB0ADB"/>
    <w:rsid w:val="00AB24A1"/>
    <w:rsid w:val="00AB2AC1"/>
    <w:rsid w:val="00AB5A54"/>
    <w:rsid w:val="00AC0213"/>
    <w:rsid w:val="00AC0B6D"/>
    <w:rsid w:val="00AC1F25"/>
    <w:rsid w:val="00AC7E59"/>
    <w:rsid w:val="00AD1BDE"/>
    <w:rsid w:val="00AE7B20"/>
    <w:rsid w:val="00AE7D3D"/>
    <w:rsid w:val="00AE7E03"/>
    <w:rsid w:val="00AF4209"/>
    <w:rsid w:val="00AF79BC"/>
    <w:rsid w:val="00B01B1A"/>
    <w:rsid w:val="00B05B83"/>
    <w:rsid w:val="00B07859"/>
    <w:rsid w:val="00B115DB"/>
    <w:rsid w:val="00B33517"/>
    <w:rsid w:val="00B37A90"/>
    <w:rsid w:val="00B405A3"/>
    <w:rsid w:val="00B41F49"/>
    <w:rsid w:val="00B44494"/>
    <w:rsid w:val="00B44EF8"/>
    <w:rsid w:val="00B539CD"/>
    <w:rsid w:val="00B5477C"/>
    <w:rsid w:val="00B62DDE"/>
    <w:rsid w:val="00B62FCA"/>
    <w:rsid w:val="00B72CD3"/>
    <w:rsid w:val="00B72FFF"/>
    <w:rsid w:val="00B75709"/>
    <w:rsid w:val="00B75E24"/>
    <w:rsid w:val="00B84717"/>
    <w:rsid w:val="00B96BEA"/>
    <w:rsid w:val="00BA0D07"/>
    <w:rsid w:val="00BB5239"/>
    <w:rsid w:val="00BB6888"/>
    <w:rsid w:val="00BB7468"/>
    <w:rsid w:val="00BC3D36"/>
    <w:rsid w:val="00BC4CD4"/>
    <w:rsid w:val="00BD77C4"/>
    <w:rsid w:val="00BD7F72"/>
    <w:rsid w:val="00BE38A4"/>
    <w:rsid w:val="00BE6BAA"/>
    <w:rsid w:val="00BF099A"/>
    <w:rsid w:val="00BF3D94"/>
    <w:rsid w:val="00BF7F57"/>
    <w:rsid w:val="00C03274"/>
    <w:rsid w:val="00C04307"/>
    <w:rsid w:val="00C04FB3"/>
    <w:rsid w:val="00C11F4C"/>
    <w:rsid w:val="00C127E0"/>
    <w:rsid w:val="00C21782"/>
    <w:rsid w:val="00C259CE"/>
    <w:rsid w:val="00C26925"/>
    <w:rsid w:val="00C330EB"/>
    <w:rsid w:val="00C42100"/>
    <w:rsid w:val="00C45B33"/>
    <w:rsid w:val="00C57C83"/>
    <w:rsid w:val="00C63528"/>
    <w:rsid w:val="00C63E0F"/>
    <w:rsid w:val="00C65E1E"/>
    <w:rsid w:val="00C73838"/>
    <w:rsid w:val="00C741DC"/>
    <w:rsid w:val="00C754BE"/>
    <w:rsid w:val="00C76B1C"/>
    <w:rsid w:val="00C83C0F"/>
    <w:rsid w:val="00C8442F"/>
    <w:rsid w:val="00C903DE"/>
    <w:rsid w:val="00C90ADE"/>
    <w:rsid w:val="00CA2A7C"/>
    <w:rsid w:val="00CA31BC"/>
    <w:rsid w:val="00CB6357"/>
    <w:rsid w:val="00CC02E3"/>
    <w:rsid w:val="00CC1B26"/>
    <w:rsid w:val="00CC277F"/>
    <w:rsid w:val="00CC28C9"/>
    <w:rsid w:val="00CD1B6E"/>
    <w:rsid w:val="00CD211E"/>
    <w:rsid w:val="00CD4A0C"/>
    <w:rsid w:val="00CD4A54"/>
    <w:rsid w:val="00CD5214"/>
    <w:rsid w:val="00D16132"/>
    <w:rsid w:val="00D261F9"/>
    <w:rsid w:val="00D423A2"/>
    <w:rsid w:val="00D43015"/>
    <w:rsid w:val="00D4481B"/>
    <w:rsid w:val="00D47ACF"/>
    <w:rsid w:val="00D520D8"/>
    <w:rsid w:val="00D54CC6"/>
    <w:rsid w:val="00D5776D"/>
    <w:rsid w:val="00D63AC2"/>
    <w:rsid w:val="00D67CDA"/>
    <w:rsid w:val="00D71ACD"/>
    <w:rsid w:val="00D7383B"/>
    <w:rsid w:val="00D76D09"/>
    <w:rsid w:val="00DA022D"/>
    <w:rsid w:val="00DA0B2B"/>
    <w:rsid w:val="00DA0E60"/>
    <w:rsid w:val="00DA231B"/>
    <w:rsid w:val="00DA23A0"/>
    <w:rsid w:val="00DA2CA2"/>
    <w:rsid w:val="00DB29E1"/>
    <w:rsid w:val="00DB7D44"/>
    <w:rsid w:val="00DC1E19"/>
    <w:rsid w:val="00DC2958"/>
    <w:rsid w:val="00DC39FC"/>
    <w:rsid w:val="00DC6DE3"/>
    <w:rsid w:val="00DD5794"/>
    <w:rsid w:val="00DE2464"/>
    <w:rsid w:val="00DE3616"/>
    <w:rsid w:val="00DE3A63"/>
    <w:rsid w:val="00DF0103"/>
    <w:rsid w:val="00DF1B0E"/>
    <w:rsid w:val="00DF5254"/>
    <w:rsid w:val="00DF691D"/>
    <w:rsid w:val="00DF7F54"/>
    <w:rsid w:val="00E005E5"/>
    <w:rsid w:val="00E13277"/>
    <w:rsid w:val="00E136A2"/>
    <w:rsid w:val="00E16408"/>
    <w:rsid w:val="00E17B3C"/>
    <w:rsid w:val="00E204AA"/>
    <w:rsid w:val="00E20894"/>
    <w:rsid w:val="00E21BD1"/>
    <w:rsid w:val="00E245AB"/>
    <w:rsid w:val="00E2764C"/>
    <w:rsid w:val="00E27F2E"/>
    <w:rsid w:val="00E34B50"/>
    <w:rsid w:val="00E362C7"/>
    <w:rsid w:val="00E36FC5"/>
    <w:rsid w:val="00E378EE"/>
    <w:rsid w:val="00E413EA"/>
    <w:rsid w:val="00E41CC9"/>
    <w:rsid w:val="00E447AD"/>
    <w:rsid w:val="00E4598B"/>
    <w:rsid w:val="00E5035C"/>
    <w:rsid w:val="00E50AFE"/>
    <w:rsid w:val="00E52602"/>
    <w:rsid w:val="00E5566A"/>
    <w:rsid w:val="00E56422"/>
    <w:rsid w:val="00E6781E"/>
    <w:rsid w:val="00E70010"/>
    <w:rsid w:val="00E7019A"/>
    <w:rsid w:val="00E75C92"/>
    <w:rsid w:val="00E76DDA"/>
    <w:rsid w:val="00E771DC"/>
    <w:rsid w:val="00E8052A"/>
    <w:rsid w:val="00E810A0"/>
    <w:rsid w:val="00E845F4"/>
    <w:rsid w:val="00E8671A"/>
    <w:rsid w:val="00E8772A"/>
    <w:rsid w:val="00E90F6B"/>
    <w:rsid w:val="00E915FA"/>
    <w:rsid w:val="00E92C27"/>
    <w:rsid w:val="00EA0E3D"/>
    <w:rsid w:val="00EA7B0A"/>
    <w:rsid w:val="00EB08FB"/>
    <w:rsid w:val="00EB3CD8"/>
    <w:rsid w:val="00EB51E4"/>
    <w:rsid w:val="00EB7D13"/>
    <w:rsid w:val="00EC38A7"/>
    <w:rsid w:val="00EC4550"/>
    <w:rsid w:val="00ED291B"/>
    <w:rsid w:val="00ED58AB"/>
    <w:rsid w:val="00EE1AA8"/>
    <w:rsid w:val="00EF40D2"/>
    <w:rsid w:val="00EF4E84"/>
    <w:rsid w:val="00EF64BA"/>
    <w:rsid w:val="00EF7482"/>
    <w:rsid w:val="00F141D2"/>
    <w:rsid w:val="00F31EDC"/>
    <w:rsid w:val="00F35D35"/>
    <w:rsid w:val="00F45BF2"/>
    <w:rsid w:val="00F462B3"/>
    <w:rsid w:val="00F51BC1"/>
    <w:rsid w:val="00F5664F"/>
    <w:rsid w:val="00F6131B"/>
    <w:rsid w:val="00F621E3"/>
    <w:rsid w:val="00F666C4"/>
    <w:rsid w:val="00F732FD"/>
    <w:rsid w:val="00F73C01"/>
    <w:rsid w:val="00F76AFC"/>
    <w:rsid w:val="00F81493"/>
    <w:rsid w:val="00F84B83"/>
    <w:rsid w:val="00F85A79"/>
    <w:rsid w:val="00F912A0"/>
    <w:rsid w:val="00F930CF"/>
    <w:rsid w:val="00FA0CF8"/>
    <w:rsid w:val="00FA47C0"/>
    <w:rsid w:val="00FA738A"/>
    <w:rsid w:val="00FA7560"/>
    <w:rsid w:val="00FB4874"/>
    <w:rsid w:val="00FB5C6A"/>
    <w:rsid w:val="00FB5CB7"/>
    <w:rsid w:val="00FB5DD1"/>
    <w:rsid w:val="00FB67C7"/>
    <w:rsid w:val="00FB76D0"/>
    <w:rsid w:val="00FB7EA8"/>
    <w:rsid w:val="00FC2B5D"/>
    <w:rsid w:val="00FC569F"/>
    <w:rsid w:val="00FC66D1"/>
    <w:rsid w:val="00FD1A7E"/>
    <w:rsid w:val="00FE27F2"/>
    <w:rsid w:val="00FE3DEC"/>
    <w:rsid w:val="00FE5E06"/>
    <w:rsid w:val="00FE66BE"/>
    <w:rsid w:val="00FF1449"/>
    <w:rsid w:val="00FF4092"/>
    <w:rsid w:val="00FF5F98"/>
    <w:rsid w:val="00FF6AC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 w:type="character" w:customStyle="1" w:styleId="superscript">
    <w:name w:val="superscript"/>
    <w:basedOn w:val="Fuentedeprrafopredeter"/>
    <w:rsid w:val="00DB7D44"/>
  </w:style>
  <w:style w:type="paragraph" w:customStyle="1" w:styleId="Car1">
    <w:name w:val="Car1"/>
    <w:basedOn w:val="Normal"/>
    <w:next w:val="Textonotapie"/>
    <w:uiPriority w:val="99"/>
    <w:unhideWhenUsed/>
    <w:qFormat/>
    <w:rsid w:val="00237F82"/>
    <w:pPr>
      <w:spacing w:after="0" w:line="240" w:lineRule="auto"/>
    </w:pPr>
    <w:rPr>
      <w:sz w:val="20"/>
      <w:szCs w:val="20"/>
      <w:lang w:val="es-MX"/>
    </w:rPr>
  </w:style>
  <w:style w:type="table" w:customStyle="1" w:styleId="Tablaconcuadrcula4">
    <w:name w:val="Tabla con cuadrícula4"/>
    <w:basedOn w:val="Tablanormal"/>
    <w:next w:val="Tablaconcuadrcula"/>
    <w:uiPriority w:val="39"/>
    <w:qFormat/>
    <w:rsid w:val="00BE3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1213094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261912184">
      <w:bodyDiv w:val="1"/>
      <w:marLeft w:val="0"/>
      <w:marRight w:val="0"/>
      <w:marTop w:val="0"/>
      <w:marBottom w:val="0"/>
      <w:divBdr>
        <w:top w:val="none" w:sz="0" w:space="0" w:color="auto"/>
        <w:left w:val="none" w:sz="0" w:space="0" w:color="auto"/>
        <w:bottom w:val="none" w:sz="0" w:space="0" w:color="auto"/>
        <w:right w:val="none" w:sz="0" w:space="0" w:color="auto"/>
      </w:divBdr>
    </w:div>
    <w:div w:id="383331852">
      <w:bodyDiv w:val="1"/>
      <w:marLeft w:val="0"/>
      <w:marRight w:val="0"/>
      <w:marTop w:val="0"/>
      <w:marBottom w:val="0"/>
      <w:divBdr>
        <w:top w:val="none" w:sz="0" w:space="0" w:color="auto"/>
        <w:left w:val="none" w:sz="0" w:space="0" w:color="auto"/>
        <w:bottom w:val="none" w:sz="0" w:space="0" w:color="auto"/>
        <w:right w:val="none" w:sz="0" w:space="0" w:color="auto"/>
      </w:divBdr>
    </w:div>
    <w:div w:id="480511154">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2931417">
      <w:bodyDiv w:val="1"/>
      <w:marLeft w:val="0"/>
      <w:marRight w:val="0"/>
      <w:marTop w:val="0"/>
      <w:marBottom w:val="0"/>
      <w:divBdr>
        <w:top w:val="none" w:sz="0" w:space="0" w:color="auto"/>
        <w:left w:val="none" w:sz="0" w:space="0" w:color="auto"/>
        <w:bottom w:val="none" w:sz="0" w:space="0" w:color="auto"/>
        <w:right w:val="none" w:sz="0" w:space="0" w:color="auto"/>
      </w:divBdr>
    </w:div>
    <w:div w:id="624627910">
      <w:bodyDiv w:val="1"/>
      <w:marLeft w:val="0"/>
      <w:marRight w:val="0"/>
      <w:marTop w:val="0"/>
      <w:marBottom w:val="0"/>
      <w:divBdr>
        <w:top w:val="none" w:sz="0" w:space="0" w:color="auto"/>
        <w:left w:val="none" w:sz="0" w:space="0" w:color="auto"/>
        <w:bottom w:val="none" w:sz="0" w:space="0" w:color="auto"/>
        <w:right w:val="none" w:sz="0" w:space="0" w:color="auto"/>
      </w:divBdr>
    </w:div>
    <w:div w:id="697854014">
      <w:bodyDiv w:val="1"/>
      <w:marLeft w:val="0"/>
      <w:marRight w:val="0"/>
      <w:marTop w:val="0"/>
      <w:marBottom w:val="0"/>
      <w:divBdr>
        <w:top w:val="none" w:sz="0" w:space="0" w:color="auto"/>
        <w:left w:val="none" w:sz="0" w:space="0" w:color="auto"/>
        <w:bottom w:val="none" w:sz="0" w:space="0" w:color="auto"/>
        <w:right w:val="none" w:sz="0" w:space="0" w:color="auto"/>
      </w:divBdr>
    </w:div>
    <w:div w:id="702173937">
      <w:bodyDiv w:val="1"/>
      <w:marLeft w:val="0"/>
      <w:marRight w:val="0"/>
      <w:marTop w:val="0"/>
      <w:marBottom w:val="0"/>
      <w:divBdr>
        <w:top w:val="none" w:sz="0" w:space="0" w:color="auto"/>
        <w:left w:val="none" w:sz="0" w:space="0" w:color="auto"/>
        <w:bottom w:val="none" w:sz="0" w:space="0" w:color="auto"/>
        <w:right w:val="none" w:sz="0" w:space="0" w:color="auto"/>
      </w:divBdr>
    </w:div>
    <w:div w:id="715398361">
      <w:bodyDiv w:val="1"/>
      <w:marLeft w:val="0"/>
      <w:marRight w:val="0"/>
      <w:marTop w:val="0"/>
      <w:marBottom w:val="0"/>
      <w:divBdr>
        <w:top w:val="none" w:sz="0" w:space="0" w:color="auto"/>
        <w:left w:val="none" w:sz="0" w:space="0" w:color="auto"/>
        <w:bottom w:val="none" w:sz="0" w:space="0" w:color="auto"/>
        <w:right w:val="none" w:sz="0" w:space="0" w:color="auto"/>
      </w:divBdr>
    </w:div>
    <w:div w:id="741485531">
      <w:bodyDiv w:val="1"/>
      <w:marLeft w:val="0"/>
      <w:marRight w:val="0"/>
      <w:marTop w:val="0"/>
      <w:marBottom w:val="0"/>
      <w:divBdr>
        <w:top w:val="none" w:sz="0" w:space="0" w:color="auto"/>
        <w:left w:val="none" w:sz="0" w:space="0" w:color="auto"/>
        <w:bottom w:val="none" w:sz="0" w:space="0" w:color="auto"/>
        <w:right w:val="none" w:sz="0" w:space="0" w:color="auto"/>
      </w:divBdr>
    </w:div>
    <w:div w:id="75015346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979769456">
      <w:bodyDiv w:val="1"/>
      <w:marLeft w:val="0"/>
      <w:marRight w:val="0"/>
      <w:marTop w:val="0"/>
      <w:marBottom w:val="0"/>
      <w:divBdr>
        <w:top w:val="none" w:sz="0" w:space="0" w:color="auto"/>
        <w:left w:val="none" w:sz="0" w:space="0" w:color="auto"/>
        <w:bottom w:val="none" w:sz="0" w:space="0" w:color="auto"/>
        <w:right w:val="none" w:sz="0" w:space="0" w:color="auto"/>
      </w:divBdr>
    </w:div>
    <w:div w:id="107226648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191577072">
      <w:bodyDiv w:val="1"/>
      <w:marLeft w:val="0"/>
      <w:marRight w:val="0"/>
      <w:marTop w:val="0"/>
      <w:marBottom w:val="0"/>
      <w:divBdr>
        <w:top w:val="none" w:sz="0" w:space="0" w:color="auto"/>
        <w:left w:val="none" w:sz="0" w:space="0" w:color="auto"/>
        <w:bottom w:val="none" w:sz="0" w:space="0" w:color="auto"/>
        <w:right w:val="none" w:sz="0" w:space="0" w:color="auto"/>
      </w:divBdr>
    </w:div>
    <w:div w:id="124128378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399284890">
      <w:bodyDiv w:val="1"/>
      <w:marLeft w:val="0"/>
      <w:marRight w:val="0"/>
      <w:marTop w:val="0"/>
      <w:marBottom w:val="0"/>
      <w:divBdr>
        <w:top w:val="none" w:sz="0" w:space="0" w:color="auto"/>
        <w:left w:val="none" w:sz="0" w:space="0" w:color="auto"/>
        <w:bottom w:val="none" w:sz="0" w:space="0" w:color="auto"/>
        <w:right w:val="none" w:sz="0" w:space="0" w:color="auto"/>
      </w:divBdr>
    </w:div>
    <w:div w:id="1403680977">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542790268">
      <w:bodyDiv w:val="1"/>
      <w:marLeft w:val="0"/>
      <w:marRight w:val="0"/>
      <w:marTop w:val="0"/>
      <w:marBottom w:val="0"/>
      <w:divBdr>
        <w:top w:val="none" w:sz="0" w:space="0" w:color="auto"/>
        <w:left w:val="none" w:sz="0" w:space="0" w:color="auto"/>
        <w:bottom w:val="none" w:sz="0" w:space="0" w:color="auto"/>
        <w:right w:val="none" w:sz="0" w:space="0" w:color="auto"/>
      </w:divBdr>
    </w:div>
    <w:div w:id="1595942692">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677153464">
      <w:bodyDiv w:val="1"/>
      <w:marLeft w:val="0"/>
      <w:marRight w:val="0"/>
      <w:marTop w:val="0"/>
      <w:marBottom w:val="0"/>
      <w:divBdr>
        <w:top w:val="none" w:sz="0" w:space="0" w:color="auto"/>
        <w:left w:val="none" w:sz="0" w:space="0" w:color="auto"/>
        <w:bottom w:val="none" w:sz="0" w:space="0" w:color="auto"/>
        <w:right w:val="none" w:sz="0" w:space="0" w:color="auto"/>
      </w:divBdr>
    </w:div>
    <w:div w:id="1714959694">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1899130299">
      <w:bodyDiv w:val="1"/>
      <w:marLeft w:val="0"/>
      <w:marRight w:val="0"/>
      <w:marTop w:val="0"/>
      <w:marBottom w:val="0"/>
      <w:divBdr>
        <w:top w:val="none" w:sz="0" w:space="0" w:color="auto"/>
        <w:left w:val="none" w:sz="0" w:space="0" w:color="auto"/>
        <w:bottom w:val="none" w:sz="0" w:space="0" w:color="auto"/>
        <w:right w:val="none" w:sz="0" w:space="0" w:color="auto"/>
      </w:divBdr>
    </w:div>
    <w:div w:id="1927877942">
      <w:bodyDiv w:val="1"/>
      <w:marLeft w:val="0"/>
      <w:marRight w:val="0"/>
      <w:marTop w:val="0"/>
      <w:marBottom w:val="0"/>
      <w:divBdr>
        <w:top w:val="none" w:sz="0" w:space="0" w:color="auto"/>
        <w:left w:val="none" w:sz="0" w:space="0" w:color="auto"/>
        <w:bottom w:val="none" w:sz="0" w:space="0" w:color="auto"/>
        <w:right w:val="none" w:sz="0" w:space="0" w:color="auto"/>
      </w:divBdr>
    </w:div>
    <w:div w:id="1980110614">
      <w:bodyDiv w:val="1"/>
      <w:marLeft w:val="0"/>
      <w:marRight w:val="0"/>
      <w:marTop w:val="0"/>
      <w:marBottom w:val="0"/>
      <w:divBdr>
        <w:top w:val="none" w:sz="0" w:space="0" w:color="auto"/>
        <w:left w:val="none" w:sz="0" w:space="0" w:color="auto"/>
        <w:bottom w:val="none" w:sz="0" w:space="0" w:color="auto"/>
        <w:right w:val="none" w:sz="0" w:space="0" w:color="auto"/>
      </w:divBdr>
    </w:div>
    <w:div w:id="198214944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36076052">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0767328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https://nam02.safelinks.protection.outlook.com/?url=https%3A%2F%2Fwww.colombiacompra.gov.co%2Fnormativa-y-relatoria%2Fdocumentos-tipo&amp;data=05%7C02%7Cnicolas.guzman%40colombiacompra.gov.co%7C603e1a9f513d4811571608dd8e333a73%7C7b09041e245149d08cb179d5e3d8c1be%7C0%7C0%7C638823072859526926%7CUnknown%7CTWFpbGZsb3d8eyJFbXB0eU1hcGkiOnRydWUsIlYiOiIwLjAuMDAwMCIsIlAiOiJXaW4zMiIsIkFOIjoiTWFpbCIsIldUIjoyfQ%3D%3D%7C0%7C%7C%7C&amp;sdata=opp7XXUExMB9wEaFA1VMUGNvnql4Zf%2FkLlxhyMMtvpU%3D&amp;reserved=0"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magalihurtado61@g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tienda-virtual-del-estado-colombiano/agregacion-de-demanda-espec%C3%ADfic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CC0969B6-540C-4F52-B524-46DF777B3CDD}"/>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5819</TotalTime>
  <Pages>12</Pages>
  <Words>3736</Words>
  <Characters>20552</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148</cp:revision>
  <cp:lastPrinted>2023-01-10T21:18:00Z</cp:lastPrinted>
  <dcterms:created xsi:type="dcterms:W3CDTF">2024-12-12T15:03:00Z</dcterms:created>
  <dcterms:modified xsi:type="dcterms:W3CDTF">2025-05-23T18:15:00Z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