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E957B" w14:textId="768D39FC" w:rsidR="0034177C" w:rsidRPr="009868CC" w:rsidRDefault="009F59C2" w:rsidP="0034177C">
      <w:pPr>
        <w:jc w:val="right"/>
        <w:rPr>
          <w:rFonts w:ascii="Arial" w:hAnsi="Arial" w:cs="Arial"/>
          <w:b/>
          <w:sz w:val="16"/>
          <w:szCs w:val="16"/>
          <w:lang w:eastAsia="es-ES"/>
        </w:rPr>
      </w:pPr>
      <w:bookmarkStart w:id="0" w:name="_Hlk28946138"/>
      <w:bookmarkStart w:id="1" w:name="_Hlk29548183"/>
      <w:r w:rsidRPr="009868CC">
        <w:rPr>
          <w:rFonts w:ascii="Arial" w:hAnsi="Arial" w:cs="Arial"/>
          <w:b/>
          <w:sz w:val="16"/>
          <w:szCs w:val="16"/>
          <w:lang w:eastAsia="es-ES"/>
        </w:rPr>
        <w:tab/>
      </w:r>
      <w:r w:rsidR="0034177C" w:rsidRPr="009868CC">
        <w:rPr>
          <w:rFonts w:ascii="Arial" w:hAnsi="Arial" w:cs="Arial"/>
          <w:b/>
          <w:sz w:val="16"/>
          <w:szCs w:val="16"/>
          <w:lang w:eastAsia="es-ES"/>
        </w:rPr>
        <w:t>CCE-DES-FM-17</w:t>
      </w:r>
    </w:p>
    <w:bookmarkEnd w:id="0"/>
    <w:bookmarkEnd w:id="1"/>
    <w:p w14:paraId="3685CECF" w14:textId="6575DD2D" w:rsidR="00AD3E4D" w:rsidRDefault="00AD3E4D" w:rsidP="00AD3E4D">
      <w:pPr>
        <w:jc w:val="both"/>
        <w:rPr>
          <w:rFonts w:ascii="Arial" w:eastAsia="Calibri" w:hAnsi="Arial" w:cs="Arial"/>
          <w:color w:val="000000" w:themeColor="text1"/>
          <w:sz w:val="20"/>
          <w:szCs w:val="20"/>
        </w:rPr>
      </w:pPr>
    </w:p>
    <w:p w14:paraId="465BA84D" w14:textId="77777777" w:rsidR="00AD3E4D" w:rsidRPr="00897A99" w:rsidRDefault="00AD3E4D" w:rsidP="00AD3E4D">
      <w:pPr>
        <w:jc w:val="both"/>
        <w:rPr>
          <w:rFonts w:ascii="Arial" w:eastAsia="Calibri" w:hAnsi="Arial" w:cs="Arial"/>
          <w:color w:val="000000" w:themeColor="text1"/>
          <w:sz w:val="22"/>
        </w:rPr>
      </w:pPr>
      <w:r>
        <w:rPr>
          <w:rFonts w:ascii="Arial" w:eastAsia="Calibri" w:hAnsi="Arial" w:cs="Arial"/>
          <w:b/>
          <w:color w:val="000000" w:themeColor="text1"/>
          <w:sz w:val="22"/>
        </w:rPr>
        <w:t xml:space="preserve">CIENCIA, </w:t>
      </w:r>
      <w:r w:rsidRPr="00897A99">
        <w:rPr>
          <w:rFonts w:ascii="Arial" w:eastAsia="Calibri" w:hAnsi="Arial" w:cs="Arial"/>
          <w:b/>
          <w:color w:val="000000" w:themeColor="text1"/>
          <w:sz w:val="22"/>
        </w:rPr>
        <w:t>TECNOLOGÍA E INNOVACIÓN – Decreto 393 de 1991 – Formas de asociación</w:t>
      </w:r>
    </w:p>
    <w:p w14:paraId="4554684A" w14:textId="77777777" w:rsidR="00AD3E4D" w:rsidRPr="00E32E3E" w:rsidRDefault="00AD3E4D" w:rsidP="00AD3E4D">
      <w:pPr>
        <w:jc w:val="both"/>
        <w:rPr>
          <w:rFonts w:ascii="Arial" w:eastAsia="Calibri" w:hAnsi="Arial" w:cs="Arial"/>
          <w:color w:val="000000" w:themeColor="text1"/>
          <w:sz w:val="20"/>
          <w:szCs w:val="20"/>
        </w:rPr>
      </w:pPr>
    </w:p>
    <w:p w14:paraId="5231C250" w14:textId="77777777" w:rsidR="00AD3E4D" w:rsidRDefault="00AD3E4D" w:rsidP="00AD3E4D">
      <w:pPr>
        <w:jc w:val="both"/>
        <w:rPr>
          <w:rFonts w:ascii="Arial" w:eastAsia="Calibri" w:hAnsi="Arial" w:cs="Arial"/>
          <w:color w:val="000000" w:themeColor="text1"/>
          <w:sz w:val="20"/>
          <w:szCs w:val="20"/>
        </w:rPr>
      </w:pPr>
      <w:r w:rsidRPr="00A24AC4">
        <w:rPr>
          <w:rFonts w:ascii="Arial" w:eastAsia="Calibri" w:hAnsi="Arial" w:cs="Arial"/>
          <w:color w:val="000000" w:themeColor="text1"/>
          <w:sz w:val="20"/>
          <w:szCs w:val="20"/>
        </w:rPr>
        <w:t xml:space="preserve">Este decreto establece dos formas de asociación para que las entidades ejecuten actividades científicas y tecnológicas, proyectos de investigación y creación de tecnologías: i) crear personas jurídicas civiles, comerciales y sin ánimo de lucro y ii) celebrar convenios especiales de cooperación. </w:t>
      </w:r>
    </w:p>
    <w:p w14:paraId="59F85253" w14:textId="77777777" w:rsidR="00AD3E4D" w:rsidRPr="00E32E3E" w:rsidRDefault="00AD3E4D" w:rsidP="00AD3E4D">
      <w:pPr>
        <w:jc w:val="both"/>
        <w:rPr>
          <w:rFonts w:ascii="Arial" w:hAnsi="Arial" w:cs="Arial"/>
          <w:color w:val="000000" w:themeColor="text1"/>
          <w:sz w:val="20"/>
          <w:szCs w:val="20"/>
        </w:rPr>
      </w:pPr>
    </w:p>
    <w:p w14:paraId="267B1D22" w14:textId="77777777" w:rsidR="00AD3E4D" w:rsidRPr="00897A99" w:rsidRDefault="00AD3E4D" w:rsidP="00AD3E4D">
      <w:pPr>
        <w:jc w:val="both"/>
        <w:rPr>
          <w:rFonts w:ascii="Arial" w:eastAsia="Calibri" w:hAnsi="Arial" w:cs="Arial"/>
          <w:color w:val="000000" w:themeColor="text1"/>
          <w:sz w:val="22"/>
        </w:rPr>
      </w:pPr>
      <w:r w:rsidRPr="6B1444A1">
        <w:rPr>
          <w:rFonts w:ascii="Arial" w:eastAsia="Calibri" w:hAnsi="Arial" w:cs="Arial"/>
          <w:b/>
          <w:bCs/>
          <w:color w:val="000000" w:themeColor="text1"/>
          <w:sz w:val="22"/>
        </w:rPr>
        <w:t>DECRETO 393 DE 1991 – Creación – Persona jurídica – Régimen jurídico</w:t>
      </w:r>
    </w:p>
    <w:p w14:paraId="5C19792B" w14:textId="77777777" w:rsidR="00AD3E4D" w:rsidRPr="00E32E3E" w:rsidRDefault="00AD3E4D" w:rsidP="00AD3E4D">
      <w:pPr>
        <w:jc w:val="both"/>
        <w:rPr>
          <w:rFonts w:ascii="Arial" w:eastAsia="Calibri" w:hAnsi="Arial" w:cs="Arial"/>
          <w:color w:val="000000" w:themeColor="text1"/>
          <w:sz w:val="20"/>
          <w:szCs w:val="20"/>
        </w:rPr>
      </w:pPr>
    </w:p>
    <w:p w14:paraId="025C1888" w14:textId="62944F0B" w:rsidR="00035753" w:rsidRPr="00035753" w:rsidRDefault="00035753" w:rsidP="00035753">
      <w:pPr>
        <w:spacing w:after="120"/>
        <w:jc w:val="both"/>
        <w:rPr>
          <w:rFonts w:ascii="Arial" w:eastAsia="Calibri" w:hAnsi="Arial" w:cs="Arial"/>
          <w:color w:val="000000"/>
          <w:sz w:val="20"/>
          <w:szCs w:val="20"/>
        </w:rPr>
      </w:pPr>
      <w:r w:rsidRPr="00035753">
        <w:rPr>
          <w:rFonts w:ascii="Arial" w:eastAsia="Calibri" w:hAnsi="Arial" w:cs="Arial"/>
          <w:color w:val="000000"/>
          <w:sz w:val="20"/>
          <w:szCs w:val="20"/>
        </w:rPr>
        <w:t>Esta forma de asociación está prevista para la nación y sus entidades descentralizadas, con particulares o con otras entidades estatales, por lo que entre estos sujetos se pueden crear sociedades civiles, comerciales y entidades sin ánimo de lucro como corporaciones y fundaciones. El objeto de estas personas jurídicas podrá ser cualquiera de los señalados en el artículo 2 del Decreto 393 de 1991, los cuales se refieren a actividades y proyectos relacionados con la ciencia, tecnología e innovación; y respecto de los aportes que hacen las partes a la persona jurídica, la norma autoriza que sean en dinero, especie o industria, definidos en el artículo 3.</w:t>
      </w:r>
    </w:p>
    <w:p w14:paraId="2225C491" w14:textId="6EA95453" w:rsidR="00035753" w:rsidRPr="00035753" w:rsidRDefault="00035753" w:rsidP="00035753">
      <w:pPr>
        <w:jc w:val="both"/>
        <w:rPr>
          <w:rFonts w:ascii="Arial" w:eastAsia="Calibri" w:hAnsi="Arial" w:cs="Arial"/>
          <w:color w:val="000000"/>
          <w:sz w:val="20"/>
          <w:szCs w:val="20"/>
        </w:rPr>
      </w:pPr>
      <w:r w:rsidRPr="00035753">
        <w:rPr>
          <w:rFonts w:ascii="Arial" w:eastAsia="Calibri" w:hAnsi="Arial" w:cs="Arial"/>
          <w:color w:val="000000"/>
          <w:sz w:val="20"/>
          <w:szCs w:val="20"/>
        </w:rPr>
        <w:t>A su vez, el Decreto en comento señala otra opción para que la nación y sus entidades descentralizadas se asocien para ejecutar las actividades mencionadas. Es decir, no solo es posible crear una persona jurídica, sino que pueden participar en una previamente creada, lo cual se realiza mediante la compra de acciones, cuotas o partes de interés, con la condición de que el objeto de la persona corresponda con los propósitos señalados en el artículo 2 citado. La participación de las entidades públicas y de los particulares en esas personas jurídicas ‒creadas o existentes‒, es susceptible de ofrecerse y ser adquirida por otras personas públicas o privadas, sin ninguna restricción.</w:t>
      </w:r>
    </w:p>
    <w:p w14:paraId="32EB484D" w14:textId="77777777" w:rsidR="00AD3E4D" w:rsidRPr="00E32E3E" w:rsidRDefault="00AD3E4D" w:rsidP="00AD3E4D">
      <w:pPr>
        <w:jc w:val="both"/>
        <w:rPr>
          <w:rFonts w:ascii="Arial" w:eastAsia="Calibri" w:hAnsi="Arial" w:cs="Arial"/>
          <w:color w:val="000000" w:themeColor="text1"/>
          <w:sz w:val="20"/>
          <w:szCs w:val="20"/>
        </w:rPr>
      </w:pPr>
    </w:p>
    <w:p w14:paraId="07417616" w14:textId="77777777" w:rsidR="00AD3E4D" w:rsidRPr="00897A99" w:rsidRDefault="00AD3E4D" w:rsidP="00AD3E4D">
      <w:pPr>
        <w:jc w:val="both"/>
        <w:rPr>
          <w:rFonts w:ascii="Arial" w:eastAsia="Calibri" w:hAnsi="Arial" w:cs="Arial"/>
          <w:color w:val="000000" w:themeColor="text1"/>
          <w:sz w:val="22"/>
        </w:rPr>
      </w:pPr>
      <w:r w:rsidRPr="00897A99">
        <w:rPr>
          <w:rFonts w:ascii="Arial" w:eastAsia="Calibri" w:hAnsi="Arial" w:cs="Arial"/>
          <w:b/>
          <w:color w:val="000000" w:themeColor="text1"/>
          <w:sz w:val="22"/>
        </w:rPr>
        <w:t>CONVENIO ESPECIAL DE COOPERACIÓN – Reglas – Régimen jurídico</w:t>
      </w:r>
    </w:p>
    <w:p w14:paraId="755BE1BC" w14:textId="77777777" w:rsidR="00AD3E4D" w:rsidRPr="00E32E3E" w:rsidRDefault="00AD3E4D" w:rsidP="00AD3E4D">
      <w:pPr>
        <w:jc w:val="both"/>
        <w:rPr>
          <w:rFonts w:ascii="Arial" w:eastAsia="Calibri" w:hAnsi="Arial" w:cs="Arial"/>
          <w:color w:val="000000" w:themeColor="text1"/>
          <w:sz w:val="20"/>
          <w:szCs w:val="20"/>
        </w:rPr>
      </w:pPr>
    </w:p>
    <w:p w14:paraId="60EFEEE4" w14:textId="77777777" w:rsidR="00AD3E4D" w:rsidRPr="00E32E3E" w:rsidRDefault="00AD3E4D" w:rsidP="00AD3E4D">
      <w:pPr>
        <w:spacing w:after="120"/>
        <w:jc w:val="both"/>
        <w:rPr>
          <w:rFonts w:ascii="Arial" w:eastAsia="Calibri" w:hAnsi="Arial" w:cs="Arial"/>
          <w:color w:val="000000" w:themeColor="text1"/>
          <w:sz w:val="20"/>
          <w:szCs w:val="20"/>
        </w:rPr>
      </w:pPr>
      <w:r w:rsidRPr="00E32E3E">
        <w:rPr>
          <w:rFonts w:ascii="Arial" w:eastAsia="Calibri" w:hAnsi="Arial" w:cs="Arial"/>
          <w:color w:val="000000" w:themeColor="text1"/>
          <w:sz w:val="20"/>
          <w:szCs w:val="20"/>
        </w:rPr>
        <w:t>Las reglas para la celebración de este convenio están enlistadas en los artículos 7 y 8 del Decreto 393 de 1991: i) inexistencia de solidaridad entre sus partes, ii) regular la propiedad y los derechos sobre los resultados del convenio, iii) definir las obligaciones de las partes, iv) determinar la forma de administración de los aportes, v) el régimen jurídico es el derecho privado, vi) debe ser escrito, vii) señalar el objeto y el plazo e viii) incluir cláusulas de cesión y terminación.</w:t>
      </w:r>
    </w:p>
    <w:p w14:paraId="4BE70A5F" w14:textId="77777777" w:rsidR="00AD3E4D" w:rsidRPr="00E32E3E" w:rsidRDefault="00AD3E4D" w:rsidP="00AD3E4D">
      <w:pPr>
        <w:jc w:val="both"/>
        <w:rPr>
          <w:rFonts w:ascii="Arial" w:eastAsia="Calibri" w:hAnsi="Arial" w:cs="Arial"/>
          <w:color w:val="000000" w:themeColor="text1"/>
          <w:sz w:val="20"/>
          <w:szCs w:val="20"/>
        </w:rPr>
      </w:pPr>
    </w:p>
    <w:p w14:paraId="7985C3BD" w14:textId="7A06184E" w:rsidR="00AD3E4D" w:rsidRPr="00897A99" w:rsidRDefault="00AD3E4D" w:rsidP="00AD3E4D">
      <w:pPr>
        <w:jc w:val="both"/>
        <w:rPr>
          <w:rFonts w:ascii="Arial" w:eastAsia="Calibri" w:hAnsi="Arial" w:cs="Arial"/>
          <w:color w:val="000000" w:themeColor="text1"/>
          <w:sz w:val="22"/>
        </w:rPr>
      </w:pPr>
      <w:r w:rsidRPr="6B1444A1">
        <w:rPr>
          <w:rFonts w:ascii="Arial" w:eastAsia="Calibri" w:hAnsi="Arial" w:cs="Arial"/>
          <w:b/>
          <w:bCs/>
          <w:color w:val="000000" w:themeColor="text1"/>
          <w:sz w:val="22"/>
        </w:rPr>
        <w:t xml:space="preserve">CIENCIA, TECNOLOGÍA E INNOVACIÓN – Decreto 591 de 1991 </w:t>
      </w:r>
    </w:p>
    <w:p w14:paraId="1BB312B6" w14:textId="77777777" w:rsidR="00AD3E4D" w:rsidRPr="00E32E3E" w:rsidRDefault="00AD3E4D" w:rsidP="00AD3E4D">
      <w:pPr>
        <w:jc w:val="both"/>
        <w:rPr>
          <w:rFonts w:ascii="Arial" w:eastAsia="Calibri" w:hAnsi="Arial" w:cs="Arial"/>
          <w:color w:val="000000" w:themeColor="text1"/>
          <w:sz w:val="20"/>
          <w:szCs w:val="20"/>
        </w:rPr>
      </w:pPr>
    </w:p>
    <w:p w14:paraId="71BF352C" w14:textId="77777777" w:rsidR="000127CD" w:rsidRPr="000127CD" w:rsidRDefault="000127CD" w:rsidP="000127CD">
      <w:pPr>
        <w:jc w:val="both"/>
        <w:rPr>
          <w:rFonts w:ascii="Arial" w:eastAsia="Calibri" w:hAnsi="Arial" w:cs="Arial"/>
          <w:color w:val="000000"/>
          <w:sz w:val="20"/>
          <w:szCs w:val="20"/>
        </w:rPr>
      </w:pPr>
      <w:r w:rsidRPr="000127CD">
        <w:rPr>
          <w:rFonts w:ascii="Arial" w:eastAsia="Calibri" w:hAnsi="Arial" w:cs="Arial"/>
          <w:color w:val="000000"/>
          <w:sz w:val="20"/>
          <w:szCs w:val="20"/>
        </w:rPr>
        <w:t>Así, el Decreto 591 de 1991 enlista actividades científicas y tecnológicas y, a pesar de que su propósito principal era regular las modalidades específicas de contratos de fomento de esas actividades, con la derogatoria del artículo 7 que señalaba 10 tipos de contratos, actualmente se encuentran vigentes 3: i) contratos de financiamiento, ii) contratos de administración de proyectos y iii) convenios especiales de cooperación.</w:t>
      </w:r>
    </w:p>
    <w:p w14:paraId="4D5383EB" w14:textId="77777777" w:rsidR="00AD3E4D" w:rsidRPr="00E32E3E" w:rsidRDefault="00AD3E4D" w:rsidP="00AD3E4D">
      <w:pPr>
        <w:jc w:val="both"/>
        <w:rPr>
          <w:rFonts w:ascii="Arial" w:eastAsia="Calibri" w:hAnsi="Arial" w:cs="Arial"/>
          <w:color w:val="000000" w:themeColor="text1"/>
          <w:sz w:val="20"/>
          <w:szCs w:val="20"/>
        </w:rPr>
      </w:pPr>
    </w:p>
    <w:p w14:paraId="4592A031" w14:textId="77777777" w:rsidR="00AD3E4D" w:rsidRPr="00897A99" w:rsidRDefault="00AD3E4D" w:rsidP="00AD3E4D">
      <w:pPr>
        <w:jc w:val="both"/>
        <w:rPr>
          <w:rFonts w:ascii="Arial" w:eastAsia="Calibri" w:hAnsi="Arial" w:cs="Arial"/>
          <w:b/>
          <w:bCs/>
          <w:color w:val="000000" w:themeColor="text1"/>
          <w:sz w:val="22"/>
        </w:rPr>
      </w:pPr>
      <w:r w:rsidRPr="6B1444A1">
        <w:rPr>
          <w:rFonts w:ascii="Arial" w:eastAsia="Calibri" w:hAnsi="Arial" w:cs="Arial"/>
          <w:b/>
          <w:bCs/>
          <w:color w:val="000000" w:themeColor="text1"/>
          <w:sz w:val="22"/>
        </w:rPr>
        <w:t xml:space="preserve">DECRETO 591 DE 1991 – Convenio especial de cooperación </w:t>
      </w:r>
    </w:p>
    <w:p w14:paraId="25184A73" w14:textId="77777777" w:rsidR="00AD3E4D" w:rsidRPr="00E32E3E" w:rsidRDefault="00AD3E4D" w:rsidP="00AD3E4D">
      <w:pPr>
        <w:jc w:val="both"/>
        <w:rPr>
          <w:rFonts w:ascii="Arial" w:eastAsia="Calibri" w:hAnsi="Arial" w:cs="Arial"/>
          <w:color w:val="000000" w:themeColor="text1"/>
          <w:sz w:val="20"/>
          <w:szCs w:val="20"/>
        </w:rPr>
      </w:pPr>
    </w:p>
    <w:p w14:paraId="1E7361BF" w14:textId="5CC8BDBE" w:rsidR="000046CC" w:rsidRDefault="00AD3E4D" w:rsidP="000046CC">
      <w:pPr>
        <w:jc w:val="both"/>
        <w:rPr>
          <w:rFonts w:ascii="Arial" w:eastAsia="Calibri" w:hAnsi="Arial" w:cs="Arial"/>
          <w:color w:val="000000" w:themeColor="text1"/>
          <w:sz w:val="20"/>
          <w:szCs w:val="20"/>
        </w:rPr>
      </w:pPr>
      <w:r w:rsidRPr="00E32E3E">
        <w:rPr>
          <w:rFonts w:ascii="Arial" w:eastAsia="Calibri" w:hAnsi="Arial" w:cs="Arial"/>
          <w:color w:val="000000" w:themeColor="text1"/>
          <w:sz w:val="20"/>
          <w:szCs w:val="20"/>
        </w:rPr>
        <w:t xml:space="preserve">A este convenio se había referido el Decreto 393 de 1991, anterior al Decreto 591 de 1991, por lo cual este último no contiene disposiciones con elementos adicionales a lo que estaba regulado. Para finalizar, el artículo 19 señala que dependiendo de la modalidad de contrato ̶ financiamiento, administración de proyectos, convenio especial de cooperación ̶ será necesario pactar cláusulas </w:t>
      </w:r>
      <w:r w:rsidRPr="00E32E3E">
        <w:rPr>
          <w:rFonts w:ascii="Arial" w:eastAsia="Calibri" w:hAnsi="Arial" w:cs="Arial"/>
          <w:color w:val="000000" w:themeColor="text1"/>
          <w:sz w:val="20"/>
          <w:szCs w:val="20"/>
        </w:rPr>
        <w:lastRenderedPageBreak/>
        <w:t>respecto de la transferencia tecnológica, que deben tener en cuenta los lineamientos del Consejo Nacional de Ciencia y Tecnología.</w:t>
      </w:r>
    </w:p>
    <w:p w14:paraId="1C240C80" w14:textId="77777777" w:rsidR="000127CD" w:rsidRDefault="000127CD" w:rsidP="000046CC">
      <w:pPr>
        <w:jc w:val="both"/>
        <w:rPr>
          <w:rFonts w:ascii="Arial" w:eastAsia="Calibri" w:hAnsi="Arial" w:cs="Arial"/>
          <w:color w:val="000000" w:themeColor="text1"/>
          <w:sz w:val="20"/>
          <w:szCs w:val="20"/>
        </w:rPr>
      </w:pPr>
    </w:p>
    <w:p w14:paraId="4DB7711D" w14:textId="7D2530AD" w:rsidR="00AB6E2C" w:rsidRDefault="000127CD" w:rsidP="000046CC">
      <w:pPr>
        <w:jc w:val="both"/>
        <w:rPr>
          <w:rFonts w:ascii="Arial" w:hAnsi="Arial" w:cs="Arial"/>
          <w:b/>
          <w:bCs/>
          <w:noProof/>
          <w:color w:val="000000" w:themeColor="text1"/>
          <w:sz w:val="22"/>
          <w:lang w:val="es-ES_tradnl"/>
        </w:rPr>
      </w:pPr>
      <w:r>
        <w:rPr>
          <w:rFonts w:ascii="Arial" w:hAnsi="Arial" w:cs="Arial"/>
          <w:b/>
          <w:bCs/>
          <w:noProof/>
          <w:color w:val="000000" w:themeColor="text1"/>
          <w:sz w:val="22"/>
          <w:lang w:val="es-ES_tradnl"/>
        </w:rPr>
        <w:t xml:space="preserve">CONTRATACIÓN DIRECTA – Excepción al régimen general </w:t>
      </w:r>
    </w:p>
    <w:p w14:paraId="16C95BDB" w14:textId="45D58F8A" w:rsidR="000127CD" w:rsidRDefault="000127CD" w:rsidP="000046CC">
      <w:pPr>
        <w:jc w:val="both"/>
        <w:rPr>
          <w:rFonts w:ascii="Arial" w:hAnsi="Arial" w:cs="Arial"/>
          <w:b/>
          <w:bCs/>
          <w:noProof/>
          <w:color w:val="000000" w:themeColor="text1"/>
          <w:sz w:val="22"/>
          <w:lang w:val="es-ES_tradnl"/>
        </w:rPr>
      </w:pPr>
    </w:p>
    <w:p w14:paraId="3EFEED9A" w14:textId="77777777" w:rsidR="000127CD" w:rsidRPr="000127CD" w:rsidRDefault="000127CD" w:rsidP="000127CD">
      <w:pPr>
        <w:spacing w:after="120"/>
        <w:jc w:val="both"/>
        <w:rPr>
          <w:rFonts w:ascii="Arial" w:hAnsi="Arial" w:cs="Arial"/>
          <w:sz w:val="20"/>
          <w:szCs w:val="20"/>
        </w:rPr>
      </w:pPr>
      <w:r w:rsidRPr="000127CD">
        <w:rPr>
          <w:rFonts w:ascii="Arial" w:hAnsi="Arial" w:cs="Arial"/>
          <w:sz w:val="20"/>
          <w:szCs w:val="20"/>
        </w:rPr>
        <w:t xml:space="preserve">Ahora bien, las modalidades de selección se pueden dividir en i) competitivas y ii) no competitivas. La Guía de competencia en las compras públicas de la Agencia Nacional de Contratación Pública – Colombia Compra Eficiente señala que: «[…] la competencia, entendida como rivalidad efectiva entre empresas de un mismo mercado, incentiva la reducción de precios, el aumento de la calidad, la lucha contra la corrupción y la innovación por parte del sector privado». </w:t>
      </w:r>
    </w:p>
    <w:p w14:paraId="54EE01C3" w14:textId="77777777" w:rsidR="000127CD" w:rsidRPr="000127CD" w:rsidRDefault="000127CD" w:rsidP="000127CD">
      <w:pPr>
        <w:spacing w:after="120"/>
        <w:jc w:val="both"/>
        <w:rPr>
          <w:rFonts w:ascii="Arial" w:hAnsi="Arial" w:cs="Arial"/>
          <w:sz w:val="20"/>
          <w:szCs w:val="20"/>
        </w:rPr>
      </w:pPr>
      <w:r w:rsidRPr="000127CD">
        <w:rPr>
          <w:rFonts w:ascii="Arial" w:hAnsi="Arial" w:cs="Arial"/>
          <w:sz w:val="20"/>
          <w:szCs w:val="20"/>
        </w:rPr>
        <w:t xml:space="preserve">Por tanto, modalidades como la licitación pública y el concurso de méritos son modalidades de selección competitivas o abiertas a competencia, ya que en ellas tiene lugar la participación de varios proponentes en una fase pública de presentación de ofertas. Esto permite que todas las personas interesadas concurran al proceso en igualdad de condiciones y compitan en el mismo. </w:t>
      </w:r>
    </w:p>
    <w:p w14:paraId="49C6875B" w14:textId="77777777" w:rsidR="000127CD" w:rsidRPr="000127CD" w:rsidRDefault="000127CD" w:rsidP="000127CD">
      <w:pPr>
        <w:spacing w:after="120"/>
        <w:jc w:val="both"/>
        <w:rPr>
          <w:rFonts w:ascii="Arial" w:hAnsi="Arial" w:cs="Arial"/>
          <w:sz w:val="20"/>
          <w:szCs w:val="20"/>
        </w:rPr>
      </w:pPr>
      <w:r w:rsidRPr="000127CD">
        <w:rPr>
          <w:rFonts w:ascii="Arial" w:hAnsi="Arial" w:cs="Arial"/>
          <w:sz w:val="20"/>
          <w:szCs w:val="20"/>
        </w:rPr>
        <w:t>Algo diferente sucede en la modalidad de selección de contratación directa, que no es competitiva, es decir, que no es abierta al público para que los proponentes presenten sus ofertas. En esta modalidad es la entidad estatal la que determina, de forma directa y no pública, la persona que puede participar y que será seleccionada.</w:t>
      </w:r>
    </w:p>
    <w:p w14:paraId="3EF64629" w14:textId="77777777" w:rsidR="00AB6E2C" w:rsidRDefault="00AB6E2C" w:rsidP="000046CC">
      <w:pPr>
        <w:jc w:val="both"/>
        <w:rPr>
          <w:rFonts w:ascii="Arial" w:hAnsi="Arial" w:cs="Arial"/>
          <w:noProof/>
          <w:color w:val="000000" w:themeColor="text1"/>
          <w:sz w:val="22"/>
          <w:lang w:val="es-ES_tradnl"/>
        </w:rPr>
      </w:pPr>
    </w:p>
    <w:p w14:paraId="3E891190" w14:textId="77777777" w:rsidR="00AB6E2C" w:rsidRDefault="00AB6E2C" w:rsidP="000046CC">
      <w:pPr>
        <w:jc w:val="both"/>
        <w:rPr>
          <w:rFonts w:ascii="Arial" w:hAnsi="Arial" w:cs="Arial"/>
          <w:noProof/>
          <w:color w:val="000000" w:themeColor="text1"/>
          <w:sz w:val="22"/>
          <w:lang w:val="es-ES_tradnl"/>
        </w:rPr>
      </w:pPr>
    </w:p>
    <w:p w14:paraId="25E7514D" w14:textId="77777777" w:rsidR="00E66842" w:rsidRDefault="00E66842">
      <w:pPr>
        <w:spacing w:after="200" w:line="276" w:lineRule="auto"/>
        <w:rPr>
          <w:rFonts w:ascii="Arial" w:eastAsia="Calibri" w:hAnsi="Arial" w:cs="Arial"/>
          <w:sz w:val="22"/>
          <w:szCs w:val="20"/>
        </w:rPr>
      </w:pPr>
      <w:r>
        <w:rPr>
          <w:rFonts w:ascii="Arial" w:eastAsia="Calibri" w:hAnsi="Arial" w:cs="Arial"/>
          <w:sz w:val="22"/>
          <w:szCs w:val="20"/>
        </w:rPr>
        <w:br w:type="page"/>
      </w:r>
    </w:p>
    <w:p w14:paraId="1873C5DD" w14:textId="77777777" w:rsidR="009F61BE" w:rsidRDefault="009F61BE" w:rsidP="00E631A7">
      <w:pPr>
        <w:rPr>
          <w:rFonts w:ascii="Arial" w:eastAsia="Calibri" w:hAnsi="Arial" w:cs="Arial"/>
          <w:sz w:val="22"/>
          <w:szCs w:val="20"/>
        </w:rPr>
      </w:pPr>
    </w:p>
    <w:p w14:paraId="674CC6F1" w14:textId="2BBED4B5" w:rsidR="009F61BE" w:rsidRPr="009F61BE" w:rsidRDefault="009F61BE" w:rsidP="009F61BE">
      <w:pPr>
        <w:jc w:val="right"/>
        <w:rPr>
          <w:rFonts w:ascii="Times New Roman" w:eastAsia="Times New Roman" w:hAnsi="Times New Roman" w:cs="Times New Roman"/>
          <w:szCs w:val="24"/>
          <w:lang w:val="es-CO" w:eastAsia="es-MX"/>
        </w:rPr>
      </w:pPr>
      <w:r w:rsidRPr="009F61BE">
        <w:rPr>
          <w:rFonts w:ascii="Times New Roman" w:eastAsia="Times New Roman" w:hAnsi="Times New Roman" w:cs="Times New Roman"/>
          <w:szCs w:val="24"/>
          <w:lang w:val="es-CO" w:eastAsia="es-MX"/>
        </w:rPr>
        <w:fldChar w:fldCharType="begin"/>
      </w:r>
      <w:r w:rsidR="006E40A6">
        <w:rPr>
          <w:rFonts w:ascii="Times New Roman" w:eastAsia="Times New Roman" w:hAnsi="Times New Roman" w:cs="Times New Roman"/>
          <w:szCs w:val="24"/>
          <w:lang w:val="es-CO" w:eastAsia="es-MX"/>
        </w:rPr>
        <w:instrText xml:space="preserve"> INCLUDEPICTURE "C:\\var\\folders\\tb\\0fmk9b510f57pz5rwhv8lnpw0000gp\\T\\com.microsoft.Word\\WebArchiveCopyPasteTempFiles\\page1image2584172432" \* MERGEFORMAT </w:instrText>
      </w:r>
      <w:r w:rsidRPr="009F61BE">
        <w:rPr>
          <w:rFonts w:ascii="Times New Roman" w:eastAsia="Times New Roman" w:hAnsi="Times New Roman" w:cs="Times New Roman"/>
          <w:szCs w:val="24"/>
          <w:lang w:val="es-CO" w:eastAsia="es-MX"/>
        </w:rPr>
        <w:fldChar w:fldCharType="separate"/>
      </w:r>
      <w:r w:rsidRPr="009F61BE">
        <w:rPr>
          <w:rFonts w:ascii="Times New Roman" w:eastAsia="Times New Roman" w:hAnsi="Times New Roman" w:cs="Times New Roman"/>
          <w:noProof/>
          <w:szCs w:val="24"/>
          <w:lang w:val="es-CO" w:eastAsia="es-MX"/>
        </w:rPr>
        <w:drawing>
          <wp:inline distT="0" distB="0" distL="0" distR="0" wp14:anchorId="75EB84A6" wp14:editId="39A812CC">
            <wp:extent cx="2401570" cy="612775"/>
            <wp:effectExtent l="0" t="0" r="0" b="0"/>
            <wp:docPr id="2" name="Imagen 2" descr="page1image2584172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25841724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1570" cy="612775"/>
                    </a:xfrm>
                    <a:prstGeom prst="rect">
                      <a:avLst/>
                    </a:prstGeom>
                    <a:noFill/>
                    <a:ln>
                      <a:noFill/>
                    </a:ln>
                  </pic:spPr>
                </pic:pic>
              </a:graphicData>
            </a:graphic>
          </wp:inline>
        </w:drawing>
      </w:r>
      <w:r w:rsidRPr="009F61BE">
        <w:rPr>
          <w:rFonts w:ascii="Times New Roman" w:eastAsia="Times New Roman" w:hAnsi="Times New Roman" w:cs="Times New Roman"/>
          <w:szCs w:val="24"/>
          <w:lang w:val="es-CO" w:eastAsia="es-MX"/>
        </w:rPr>
        <w:fldChar w:fldCharType="end"/>
      </w:r>
    </w:p>
    <w:p w14:paraId="6E87A05F" w14:textId="77777777" w:rsidR="009F61BE" w:rsidRDefault="009F61BE" w:rsidP="00E631A7">
      <w:pPr>
        <w:rPr>
          <w:rFonts w:ascii="Arial" w:eastAsia="Calibri" w:hAnsi="Arial" w:cs="Arial"/>
          <w:sz w:val="22"/>
          <w:szCs w:val="20"/>
        </w:rPr>
      </w:pPr>
    </w:p>
    <w:p w14:paraId="45FC87F9" w14:textId="77777777" w:rsidR="009F61BE" w:rsidRDefault="009F61BE" w:rsidP="00E631A7">
      <w:pPr>
        <w:rPr>
          <w:rFonts w:ascii="Arial" w:eastAsia="Calibri" w:hAnsi="Arial" w:cs="Arial"/>
          <w:sz w:val="22"/>
          <w:szCs w:val="20"/>
        </w:rPr>
      </w:pPr>
    </w:p>
    <w:p w14:paraId="51A7B291" w14:textId="64204B7B" w:rsidR="00E669B0" w:rsidRDefault="00F1108B" w:rsidP="00E631A7">
      <w:pPr>
        <w:rPr>
          <w:rFonts w:ascii="Arial" w:eastAsia="Calibri" w:hAnsi="Arial" w:cs="Arial"/>
          <w:sz w:val="22"/>
          <w:szCs w:val="20"/>
        </w:rPr>
      </w:pPr>
      <w:r w:rsidRPr="009868CC">
        <w:rPr>
          <w:rFonts w:ascii="Arial" w:eastAsia="Calibri" w:hAnsi="Arial" w:cs="Arial"/>
          <w:sz w:val="22"/>
          <w:szCs w:val="20"/>
        </w:rPr>
        <w:t>Señor</w:t>
      </w:r>
    </w:p>
    <w:p w14:paraId="7EBFA82C" w14:textId="7669D29E" w:rsidR="00E631A7" w:rsidRPr="00E631A7" w:rsidRDefault="00E631A7" w:rsidP="00E631A7">
      <w:pPr>
        <w:rPr>
          <w:rFonts w:ascii="Arial" w:eastAsia="Calibri" w:hAnsi="Arial" w:cs="Arial"/>
          <w:b/>
          <w:bCs/>
          <w:sz w:val="22"/>
          <w:szCs w:val="20"/>
        </w:rPr>
      </w:pPr>
      <w:r>
        <w:rPr>
          <w:rFonts w:ascii="Arial" w:eastAsia="Calibri" w:hAnsi="Arial" w:cs="Arial"/>
          <w:b/>
          <w:bCs/>
          <w:sz w:val="22"/>
          <w:szCs w:val="20"/>
        </w:rPr>
        <w:t xml:space="preserve">Jhon </w:t>
      </w:r>
      <w:r w:rsidR="007E6AD5">
        <w:rPr>
          <w:rFonts w:ascii="Arial" w:eastAsia="Calibri" w:hAnsi="Arial" w:cs="Arial"/>
          <w:b/>
          <w:bCs/>
          <w:sz w:val="22"/>
          <w:szCs w:val="20"/>
        </w:rPr>
        <w:t xml:space="preserve">Quiceno </w:t>
      </w:r>
    </w:p>
    <w:p w14:paraId="0C515BDA" w14:textId="4918B684" w:rsidR="00F1108B" w:rsidRPr="009868CC" w:rsidRDefault="000D7D13" w:rsidP="00F1108B">
      <w:pPr>
        <w:rPr>
          <w:rFonts w:ascii="Arial" w:eastAsia="Calibri" w:hAnsi="Arial" w:cs="Arial"/>
          <w:sz w:val="22"/>
          <w:szCs w:val="20"/>
        </w:rPr>
      </w:pPr>
      <w:r>
        <w:rPr>
          <w:rFonts w:ascii="Arial" w:eastAsia="Calibri" w:hAnsi="Arial" w:cs="Arial"/>
          <w:sz w:val="22"/>
          <w:szCs w:val="20"/>
        </w:rPr>
        <w:t>Bogotá, D.C.</w:t>
      </w:r>
    </w:p>
    <w:p w14:paraId="7A74EF0E" w14:textId="7303E64B" w:rsidR="001350C4" w:rsidRPr="009868CC" w:rsidRDefault="001350C4" w:rsidP="00F1108B">
      <w:pPr>
        <w:rPr>
          <w:rFonts w:ascii="Arial" w:eastAsia="Calibri" w:hAnsi="Arial" w:cs="Arial"/>
          <w:sz w:val="22"/>
          <w:szCs w:val="20"/>
        </w:rPr>
      </w:pPr>
    </w:p>
    <w:p w14:paraId="77A6AEF9" w14:textId="77777777" w:rsidR="001350C4" w:rsidRPr="009868CC" w:rsidRDefault="001350C4" w:rsidP="00F1108B">
      <w:pPr>
        <w:rPr>
          <w:rFonts w:ascii="Arial" w:eastAsia="Calibri" w:hAnsi="Arial" w:cs="Arial"/>
          <w:sz w:val="22"/>
          <w:szCs w:val="20"/>
        </w:rPr>
      </w:pPr>
    </w:p>
    <w:p w14:paraId="283D6043" w14:textId="0E19820B" w:rsidR="00F1108B" w:rsidRPr="009868CC" w:rsidRDefault="00B30910" w:rsidP="00950C81">
      <w:pPr>
        <w:rPr>
          <w:rFonts w:ascii="Arial" w:eastAsia="Calibri" w:hAnsi="Arial" w:cs="Arial"/>
          <w:b/>
          <w:sz w:val="22"/>
        </w:rPr>
      </w:pPr>
      <w:r>
        <w:rPr>
          <w:rFonts w:ascii="Arial" w:eastAsia="Calibri" w:hAnsi="Arial" w:cs="Arial"/>
          <w:b/>
          <w:sz w:val="22"/>
        </w:rPr>
        <w:t xml:space="preserve">                                            </w:t>
      </w:r>
      <w:r w:rsidR="00F1108B" w:rsidRPr="009868CC">
        <w:rPr>
          <w:rFonts w:ascii="Arial" w:eastAsia="Calibri" w:hAnsi="Arial" w:cs="Arial"/>
          <w:b/>
          <w:sz w:val="22"/>
        </w:rPr>
        <w:t xml:space="preserve">Concepto C </w:t>
      </w:r>
      <w:r w:rsidR="00E669B0" w:rsidRPr="009868CC">
        <w:rPr>
          <w:rFonts w:ascii="Arial" w:eastAsia="Calibri" w:hAnsi="Arial" w:cs="Arial"/>
          <w:b/>
          <w:sz w:val="22"/>
        </w:rPr>
        <w:t>–</w:t>
      </w:r>
      <w:r w:rsidR="00F1108B" w:rsidRPr="009868CC">
        <w:rPr>
          <w:rFonts w:ascii="Arial" w:eastAsia="Calibri" w:hAnsi="Arial" w:cs="Arial"/>
          <w:b/>
          <w:sz w:val="22"/>
        </w:rPr>
        <w:t xml:space="preserve"> </w:t>
      </w:r>
      <w:r w:rsidR="006B3D9A">
        <w:rPr>
          <w:rFonts w:ascii="Arial" w:eastAsia="Calibri" w:hAnsi="Arial" w:cs="Arial"/>
          <w:b/>
          <w:sz w:val="22"/>
        </w:rPr>
        <w:t>453</w:t>
      </w:r>
      <w:r w:rsidR="00F1108B" w:rsidRPr="009868CC">
        <w:rPr>
          <w:rFonts w:ascii="Arial" w:eastAsia="Calibri" w:hAnsi="Arial" w:cs="Arial"/>
          <w:b/>
          <w:sz w:val="22"/>
        </w:rPr>
        <w:t xml:space="preserve"> de 202</w:t>
      </w:r>
      <w:r w:rsidR="000E11AD">
        <w:rPr>
          <w:rFonts w:ascii="Arial" w:eastAsia="Calibri" w:hAnsi="Arial" w:cs="Arial"/>
          <w:b/>
          <w:sz w:val="22"/>
        </w:rPr>
        <w:t>1</w:t>
      </w:r>
    </w:p>
    <w:p w14:paraId="55A2A84E" w14:textId="77777777" w:rsidR="00F1108B" w:rsidRPr="009868CC" w:rsidRDefault="00F1108B" w:rsidP="00F1108B">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868CC" w:rsidRPr="009868CC" w14:paraId="522C04FC" w14:textId="77777777" w:rsidTr="0034322C">
        <w:tc>
          <w:tcPr>
            <w:tcW w:w="2689" w:type="dxa"/>
            <w:hideMark/>
          </w:tcPr>
          <w:p w14:paraId="5C1F9A7E" w14:textId="77777777" w:rsidR="00F1108B" w:rsidRPr="009868CC" w:rsidRDefault="00F1108B" w:rsidP="0034322C">
            <w:pPr>
              <w:rPr>
                <w:rFonts w:ascii="Arial" w:eastAsia="Calibri" w:hAnsi="Arial" w:cs="Arial"/>
                <w:sz w:val="22"/>
              </w:rPr>
            </w:pPr>
            <w:r w:rsidRPr="009868CC">
              <w:rPr>
                <w:rFonts w:ascii="Arial" w:eastAsia="Calibri" w:hAnsi="Arial" w:cs="Arial"/>
                <w:b/>
                <w:sz w:val="22"/>
              </w:rPr>
              <w:t>Temas:</w:t>
            </w:r>
            <w:r w:rsidRPr="009868CC">
              <w:rPr>
                <w:rFonts w:ascii="Arial" w:eastAsia="Calibri" w:hAnsi="Arial" w:cs="Arial"/>
                <w:sz w:val="22"/>
              </w:rPr>
              <w:t xml:space="preserve">           </w:t>
            </w:r>
          </w:p>
          <w:p w14:paraId="4376ABAA" w14:textId="77777777" w:rsidR="00F1108B" w:rsidRPr="009868CC" w:rsidRDefault="00F1108B" w:rsidP="0034322C">
            <w:pPr>
              <w:rPr>
                <w:rFonts w:ascii="Arial" w:eastAsia="Calibri" w:hAnsi="Arial" w:cs="Arial"/>
                <w:sz w:val="22"/>
              </w:rPr>
            </w:pPr>
            <w:r w:rsidRPr="009868CC">
              <w:rPr>
                <w:rFonts w:ascii="Arial" w:eastAsia="Calibri" w:hAnsi="Arial" w:cs="Arial"/>
                <w:sz w:val="22"/>
              </w:rPr>
              <w:t xml:space="preserve">                           </w:t>
            </w:r>
          </w:p>
        </w:tc>
        <w:tc>
          <w:tcPr>
            <w:tcW w:w="6237" w:type="dxa"/>
            <w:hideMark/>
          </w:tcPr>
          <w:p w14:paraId="7D8E565A" w14:textId="6C4542AE" w:rsidR="000127CD" w:rsidRPr="00897A99" w:rsidRDefault="000127CD" w:rsidP="000127CD">
            <w:pPr>
              <w:jc w:val="both"/>
              <w:rPr>
                <w:rFonts w:ascii="Arial" w:eastAsia="Calibri" w:hAnsi="Arial" w:cs="Arial"/>
                <w:color w:val="000000" w:themeColor="text1"/>
                <w:sz w:val="22"/>
              </w:rPr>
            </w:pPr>
            <w:r w:rsidRPr="000127CD">
              <w:rPr>
                <w:rFonts w:ascii="Arial" w:eastAsia="Calibri" w:hAnsi="Arial" w:cs="Arial"/>
                <w:bCs/>
                <w:color w:val="000000" w:themeColor="text1"/>
                <w:sz w:val="22"/>
              </w:rPr>
              <w:t xml:space="preserve">CIENCIA, TECNOLOGÍA E INNOVACIÓN – Decreto 393 de 1991 – Formas de asociación / DECRETO 393 DE 1991 – Creación – Persona jurídica – Régimen jurídico / CONVENIO ESPECIAL DE COOPERACIÓN – Reglas – Régimen jurídico / CIENCIA, TECNOLOGÍA E INNOVACIÓN – Decreto 591 de 1991 / DECRETO 591 DE 1991 – Convenio especial de cooperación / </w:t>
            </w:r>
            <w:r w:rsidRPr="000127CD">
              <w:rPr>
                <w:rFonts w:ascii="Arial" w:hAnsi="Arial" w:cs="Arial"/>
                <w:bCs/>
                <w:noProof/>
                <w:color w:val="000000" w:themeColor="text1"/>
                <w:sz w:val="22"/>
                <w:lang w:val="es-ES_tradnl"/>
              </w:rPr>
              <w:t>CONTRATACIÓN DIRECTA – Excepción al régimen general</w:t>
            </w:r>
          </w:p>
          <w:p w14:paraId="3AA47512" w14:textId="14EA5A13" w:rsidR="00F1108B" w:rsidRPr="009868CC" w:rsidRDefault="00F1108B" w:rsidP="00950C81">
            <w:pPr>
              <w:spacing w:after="120"/>
              <w:jc w:val="both"/>
              <w:rPr>
                <w:rFonts w:ascii="Arial" w:eastAsia="Calibri" w:hAnsi="Arial" w:cs="Arial"/>
                <w:sz w:val="22"/>
              </w:rPr>
            </w:pPr>
          </w:p>
        </w:tc>
      </w:tr>
      <w:tr w:rsidR="00F1108B" w:rsidRPr="009868CC" w14:paraId="7D0D2FDB" w14:textId="77777777" w:rsidTr="0034322C">
        <w:tc>
          <w:tcPr>
            <w:tcW w:w="2689" w:type="dxa"/>
          </w:tcPr>
          <w:p w14:paraId="7DC82264" w14:textId="77777777" w:rsidR="00F1108B" w:rsidRPr="009868CC" w:rsidRDefault="00F1108B" w:rsidP="0034322C">
            <w:pPr>
              <w:rPr>
                <w:rFonts w:ascii="Arial" w:eastAsia="Calibri" w:hAnsi="Arial" w:cs="Arial"/>
                <w:b/>
                <w:sz w:val="22"/>
              </w:rPr>
            </w:pPr>
            <w:r w:rsidRPr="009868CC">
              <w:rPr>
                <w:rFonts w:ascii="Arial" w:eastAsia="Calibri" w:hAnsi="Arial" w:cs="Arial"/>
                <w:b/>
                <w:sz w:val="22"/>
              </w:rPr>
              <w:t>Radicación:</w:t>
            </w:r>
            <w:r w:rsidRPr="009868CC">
              <w:rPr>
                <w:rFonts w:ascii="Arial" w:eastAsia="Calibri" w:hAnsi="Arial" w:cs="Arial"/>
                <w:sz w:val="22"/>
              </w:rPr>
              <w:t xml:space="preserve">                              </w:t>
            </w:r>
          </w:p>
        </w:tc>
        <w:tc>
          <w:tcPr>
            <w:tcW w:w="6237" w:type="dxa"/>
          </w:tcPr>
          <w:p w14:paraId="01DC5749" w14:textId="32A8D458" w:rsidR="00F1108B" w:rsidRPr="009868CC" w:rsidRDefault="00F1108B" w:rsidP="007F785F">
            <w:pPr>
              <w:jc w:val="both"/>
              <w:rPr>
                <w:rFonts w:ascii="Arial" w:eastAsia="Calibri" w:hAnsi="Arial" w:cs="Arial"/>
                <w:sz w:val="22"/>
              </w:rPr>
            </w:pPr>
            <w:r w:rsidRPr="009868CC">
              <w:rPr>
                <w:rFonts w:ascii="Arial" w:eastAsia="Calibri" w:hAnsi="Arial" w:cs="Arial"/>
                <w:sz w:val="22"/>
              </w:rPr>
              <w:t xml:space="preserve">Respuesta a consulta </w:t>
            </w:r>
            <w:r w:rsidR="002B5BDB" w:rsidRPr="002B5BDB">
              <w:rPr>
                <w:rFonts w:ascii="Arial" w:eastAsia="Calibri" w:hAnsi="Arial" w:cs="Arial"/>
                <w:sz w:val="22"/>
              </w:rPr>
              <w:t>P20</w:t>
            </w:r>
            <w:r w:rsidR="000127CD">
              <w:rPr>
                <w:rFonts w:ascii="Arial" w:eastAsia="Calibri" w:hAnsi="Arial" w:cs="Arial"/>
                <w:sz w:val="22"/>
              </w:rPr>
              <w:t>210719006336</w:t>
            </w:r>
          </w:p>
        </w:tc>
      </w:tr>
    </w:tbl>
    <w:p w14:paraId="7DF1E86E" w14:textId="77777777" w:rsidR="00F1108B" w:rsidRPr="009868CC" w:rsidRDefault="00F1108B" w:rsidP="00F1108B">
      <w:pPr>
        <w:jc w:val="both"/>
        <w:rPr>
          <w:rFonts w:ascii="Arial" w:eastAsia="Calibri" w:hAnsi="Arial" w:cs="Arial"/>
          <w:sz w:val="22"/>
        </w:rPr>
      </w:pPr>
    </w:p>
    <w:p w14:paraId="45ADAB8A" w14:textId="7296734A" w:rsidR="00F1108B" w:rsidRPr="009868CC" w:rsidRDefault="00CA0EEF" w:rsidP="00DF453C">
      <w:pPr>
        <w:spacing w:before="120"/>
        <w:rPr>
          <w:rFonts w:ascii="Arial" w:eastAsia="Calibri" w:hAnsi="Arial" w:cs="Arial"/>
          <w:sz w:val="22"/>
        </w:rPr>
      </w:pPr>
      <w:r w:rsidRPr="009868CC">
        <w:rPr>
          <w:rFonts w:ascii="Arial" w:eastAsia="Calibri" w:hAnsi="Arial" w:cs="Arial"/>
          <w:sz w:val="22"/>
        </w:rPr>
        <w:t>Estimad</w:t>
      </w:r>
      <w:r w:rsidR="007E6AD5">
        <w:rPr>
          <w:rFonts w:ascii="Arial" w:eastAsia="Calibri" w:hAnsi="Arial" w:cs="Arial"/>
          <w:sz w:val="22"/>
        </w:rPr>
        <w:t>o</w:t>
      </w:r>
      <w:r w:rsidR="00F1108B" w:rsidRPr="009868CC">
        <w:rPr>
          <w:rFonts w:ascii="Arial" w:eastAsia="Calibri" w:hAnsi="Arial" w:cs="Arial"/>
          <w:sz w:val="22"/>
        </w:rPr>
        <w:t xml:space="preserve"> señor </w:t>
      </w:r>
      <w:r w:rsidR="007E6AD5">
        <w:rPr>
          <w:rFonts w:ascii="Arial" w:eastAsia="Calibri" w:hAnsi="Arial" w:cs="Arial"/>
          <w:sz w:val="22"/>
        </w:rPr>
        <w:t>Quiceno,</w:t>
      </w:r>
    </w:p>
    <w:p w14:paraId="10829D8B" w14:textId="77777777" w:rsidR="00DF453C" w:rsidRPr="009868CC" w:rsidRDefault="00DF453C" w:rsidP="00DF453C">
      <w:pPr>
        <w:rPr>
          <w:rFonts w:ascii="Arial" w:eastAsia="Calibri" w:hAnsi="Arial" w:cs="Arial"/>
          <w:sz w:val="22"/>
        </w:rPr>
      </w:pPr>
    </w:p>
    <w:p w14:paraId="329AA852" w14:textId="0AC01DD6" w:rsidR="00F1108B" w:rsidRPr="009868CC" w:rsidRDefault="00F1108B" w:rsidP="00D557A4">
      <w:pPr>
        <w:spacing w:before="120" w:line="276" w:lineRule="auto"/>
        <w:ind w:right="51"/>
        <w:jc w:val="both"/>
        <w:rPr>
          <w:rFonts w:ascii="Arial" w:hAnsi="Arial" w:cs="Arial"/>
          <w:sz w:val="22"/>
        </w:rPr>
      </w:pPr>
      <w:r w:rsidRPr="009868CC">
        <w:rPr>
          <w:rFonts w:ascii="Arial" w:hAnsi="Arial" w:cs="Arial"/>
          <w:sz w:val="22"/>
        </w:rPr>
        <w:t xml:space="preserve">La Agencia Nacional de Contratación Pública </w:t>
      </w:r>
      <w:r w:rsidR="00B30910">
        <w:rPr>
          <w:rFonts w:ascii="Arial" w:hAnsi="Arial" w:cs="Arial"/>
          <w:sz w:val="22"/>
        </w:rPr>
        <w:t xml:space="preserve">– </w:t>
      </w:r>
      <w:r w:rsidRPr="009868CC">
        <w:rPr>
          <w:rFonts w:ascii="Arial" w:hAnsi="Arial" w:cs="Arial"/>
          <w:sz w:val="22"/>
        </w:rPr>
        <w:t>Colombia Compra Eficiente responde su consulta del</w:t>
      </w:r>
      <w:r w:rsidR="005B1866">
        <w:rPr>
          <w:rFonts w:ascii="Arial" w:hAnsi="Arial" w:cs="Arial"/>
          <w:sz w:val="22"/>
        </w:rPr>
        <w:t xml:space="preserve"> 19 de julio de 2021</w:t>
      </w:r>
      <w:r w:rsidRPr="009868CC">
        <w:rPr>
          <w:rFonts w:ascii="Arial" w:hAnsi="Arial" w:cs="Arial"/>
          <w:sz w:val="22"/>
        </w:rPr>
        <w:t xml:space="preserve">, en ejercicio de la competencia otorgada por el numeral 8 del artículo 11 y el numeral 5 del artículo 3 del Decreto Ley 4170 de 2011. </w:t>
      </w:r>
    </w:p>
    <w:p w14:paraId="72382DCC" w14:textId="77777777" w:rsidR="00F1108B" w:rsidRPr="009868CC" w:rsidRDefault="00F1108B" w:rsidP="00E669B0">
      <w:pPr>
        <w:pStyle w:val="Prrafodelista"/>
        <w:tabs>
          <w:tab w:val="left" w:pos="284"/>
        </w:tabs>
        <w:spacing w:line="276" w:lineRule="auto"/>
        <w:ind w:left="0"/>
        <w:jc w:val="both"/>
        <w:rPr>
          <w:rFonts w:ascii="Arial" w:hAnsi="Arial" w:cs="Arial"/>
          <w:sz w:val="22"/>
        </w:rPr>
      </w:pPr>
    </w:p>
    <w:p w14:paraId="2C3DAA31" w14:textId="1F53E0F2" w:rsidR="00F1108B" w:rsidRPr="009868CC" w:rsidRDefault="00F1108B" w:rsidP="00D557A4">
      <w:pPr>
        <w:pStyle w:val="Prrafodelista"/>
        <w:tabs>
          <w:tab w:val="left" w:pos="284"/>
        </w:tabs>
        <w:spacing w:line="276" w:lineRule="auto"/>
        <w:ind w:left="0"/>
        <w:jc w:val="both"/>
        <w:rPr>
          <w:rFonts w:ascii="Arial" w:eastAsia="Calibri" w:hAnsi="Arial" w:cs="Arial"/>
          <w:b/>
          <w:sz w:val="22"/>
        </w:rPr>
      </w:pPr>
      <w:r w:rsidRPr="009868CC">
        <w:rPr>
          <w:rFonts w:ascii="Arial" w:eastAsia="Calibri" w:hAnsi="Arial" w:cs="Arial"/>
          <w:b/>
          <w:sz w:val="22"/>
        </w:rPr>
        <w:t>1.</w:t>
      </w:r>
      <w:r w:rsidRPr="009868CC">
        <w:rPr>
          <w:rFonts w:ascii="Arial" w:eastAsia="Calibri" w:hAnsi="Arial" w:cs="Arial"/>
          <w:sz w:val="22"/>
        </w:rPr>
        <w:t xml:space="preserve"> </w:t>
      </w:r>
      <w:r w:rsidRPr="009868CC">
        <w:rPr>
          <w:rFonts w:ascii="Arial" w:eastAsia="Calibri" w:hAnsi="Arial" w:cs="Arial"/>
          <w:b/>
          <w:sz w:val="22"/>
        </w:rPr>
        <w:t xml:space="preserve">Problema planteado </w:t>
      </w:r>
    </w:p>
    <w:p w14:paraId="1052CB86" w14:textId="77777777" w:rsidR="00DF453C" w:rsidRPr="009868CC" w:rsidRDefault="00DF453C" w:rsidP="00E669B0">
      <w:pPr>
        <w:pStyle w:val="Prrafodelista"/>
        <w:tabs>
          <w:tab w:val="left" w:pos="284"/>
        </w:tabs>
        <w:spacing w:line="276" w:lineRule="auto"/>
        <w:ind w:left="0"/>
        <w:jc w:val="both"/>
        <w:rPr>
          <w:rFonts w:ascii="Arial" w:eastAsia="Calibri" w:hAnsi="Arial" w:cs="Arial"/>
          <w:b/>
          <w:sz w:val="22"/>
        </w:rPr>
      </w:pPr>
    </w:p>
    <w:p w14:paraId="4A29BE12" w14:textId="64EBC8F8" w:rsidR="007E4E80" w:rsidRPr="00890E1C" w:rsidRDefault="00A854AC" w:rsidP="00A34A7A">
      <w:pPr>
        <w:spacing w:line="276" w:lineRule="auto"/>
        <w:jc w:val="both"/>
        <w:rPr>
          <w:rFonts w:ascii="Arial" w:hAnsi="Arial" w:cs="Arial"/>
          <w:color w:val="000000" w:themeColor="text1"/>
          <w:sz w:val="22"/>
          <w:lang w:val="es-ES_tradnl"/>
        </w:rPr>
      </w:pPr>
      <w:r w:rsidRPr="00CF16CF">
        <w:rPr>
          <w:rFonts w:ascii="Arial" w:hAnsi="Arial" w:cs="Arial"/>
          <w:color w:val="000000" w:themeColor="text1"/>
          <w:sz w:val="22"/>
          <w:lang w:val="es-ES_tradnl"/>
        </w:rPr>
        <w:t xml:space="preserve">Usted formula la siguiente consulta: </w:t>
      </w:r>
      <w:r w:rsidR="00991BE0" w:rsidRPr="00A34A7A">
        <w:rPr>
          <w:rFonts w:ascii="Arial" w:hAnsi="Arial" w:cs="Arial"/>
          <w:color w:val="000000" w:themeColor="text1"/>
          <w:sz w:val="22"/>
          <w:lang w:val="es-ES_tradnl"/>
        </w:rPr>
        <w:t>«</w:t>
      </w:r>
      <w:r w:rsidR="00A34A7A">
        <w:rPr>
          <w:rFonts w:ascii="Arial" w:hAnsi="Arial" w:cs="Arial"/>
          <w:color w:val="000000" w:themeColor="text1"/>
          <w:sz w:val="22"/>
          <w:lang w:val="es-ES_tradnl"/>
        </w:rPr>
        <w:t>¿</w:t>
      </w:r>
      <w:r w:rsidR="00A34A7A" w:rsidRPr="00890E1C">
        <w:rPr>
          <w:rFonts w:ascii="Arial" w:hAnsi="Arial" w:cs="Arial"/>
          <w:sz w:val="22"/>
          <w:lang w:eastAsia="es-MX"/>
        </w:rPr>
        <w:t>u</w:t>
      </w:r>
      <w:r w:rsidR="00475972" w:rsidRPr="00890E1C">
        <w:rPr>
          <w:rFonts w:ascii="Arial" w:hAnsi="Arial" w:cs="Arial"/>
          <w:sz w:val="22"/>
          <w:lang w:eastAsia="es-MX"/>
        </w:rPr>
        <w:t>n convenio especial de Cooperacion de Ciencia y tecnologia por contratacion directa, es igual a una licitacion?</w:t>
      </w:r>
      <w:r w:rsidR="00991BE0" w:rsidRPr="00890E1C">
        <w:rPr>
          <w:rFonts w:ascii="Arial" w:hAnsi="Arial" w:cs="Arial"/>
          <w:color w:val="000000" w:themeColor="text1"/>
          <w:sz w:val="22"/>
          <w:lang w:val="es-ES_tradnl"/>
        </w:rPr>
        <w:t>».</w:t>
      </w:r>
    </w:p>
    <w:p w14:paraId="130E3C84" w14:textId="77777777" w:rsidR="00991BE0" w:rsidRPr="00890E1C" w:rsidRDefault="00991BE0" w:rsidP="00991BE0">
      <w:pPr>
        <w:tabs>
          <w:tab w:val="left" w:pos="426"/>
        </w:tabs>
        <w:ind w:left="709" w:right="709"/>
        <w:jc w:val="both"/>
        <w:rPr>
          <w:rFonts w:ascii="Arial" w:eastAsia="Calibri" w:hAnsi="Arial" w:cs="Arial"/>
          <w:sz w:val="22"/>
          <w:lang w:val="es-CO"/>
        </w:rPr>
      </w:pPr>
    </w:p>
    <w:p w14:paraId="08FCE370" w14:textId="77777777" w:rsidR="00F1108B" w:rsidRPr="00890E1C" w:rsidRDefault="00F1108B" w:rsidP="00E669B0">
      <w:pPr>
        <w:tabs>
          <w:tab w:val="left" w:pos="426"/>
        </w:tabs>
        <w:spacing w:line="276" w:lineRule="auto"/>
        <w:jc w:val="both"/>
        <w:rPr>
          <w:rFonts w:ascii="Arial" w:eastAsia="Calibri" w:hAnsi="Arial" w:cs="Arial"/>
          <w:b/>
          <w:sz w:val="22"/>
        </w:rPr>
      </w:pPr>
      <w:r w:rsidRPr="00890E1C">
        <w:rPr>
          <w:rFonts w:ascii="Arial" w:eastAsia="Calibri" w:hAnsi="Arial" w:cs="Arial"/>
          <w:b/>
          <w:sz w:val="22"/>
        </w:rPr>
        <w:t>2.</w:t>
      </w:r>
      <w:r w:rsidRPr="00890E1C">
        <w:rPr>
          <w:rFonts w:ascii="Arial" w:eastAsia="Calibri" w:hAnsi="Arial" w:cs="Arial"/>
          <w:sz w:val="22"/>
        </w:rPr>
        <w:t xml:space="preserve"> </w:t>
      </w:r>
      <w:r w:rsidRPr="00890E1C">
        <w:rPr>
          <w:rFonts w:ascii="Arial" w:eastAsia="Calibri" w:hAnsi="Arial" w:cs="Arial"/>
          <w:b/>
          <w:sz w:val="22"/>
        </w:rPr>
        <w:t>Consideraciones</w:t>
      </w:r>
    </w:p>
    <w:p w14:paraId="7929A60D" w14:textId="77777777" w:rsidR="00C46EA9" w:rsidRPr="00890E1C" w:rsidRDefault="00C46EA9" w:rsidP="00974C92">
      <w:pPr>
        <w:spacing w:line="276" w:lineRule="auto"/>
        <w:jc w:val="both"/>
        <w:rPr>
          <w:rFonts w:ascii="Arial" w:hAnsi="Arial" w:cs="Arial"/>
          <w:color w:val="000000" w:themeColor="text1"/>
          <w:sz w:val="22"/>
        </w:rPr>
      </w:pPr>
    </w:p>
    <w:p w14:paraId="367EB0B4" w14:textId="6E922630" w:rsidR="00974C92" w:rsidRPr="00890E1C" w:rsidRDefault="00974C92" w:rsidP="00974C92">
      <w:pPr>
        <w:spacing w:line="276" w:lineRule="auto"/>
        <w:jc w:val="both"/>
        <w:rPr>
          <w:rFonts w:ascii="Arial" w:eastAsia="Calibri" w:hAnsi="Arial" w:cs="Arial"/>
          <w:color w:val="000000" w:themeColor="text1"/>
          <w:sz w:val="22"/>
          <w:lang w:val="es-ES_tradnl"/>
        </w:rPr>
      </w:pPr>
      <w:r w:rsidRPr="00890E1C">
        <w:rPr>
          <w:rFonts w:ascii="Arial" w:hAnsi="Arial" w:cs="Arial"/>
          <w:color w:val="000000" w:themeColor="text1"/>
          <w:sz w:val="22"/>
        </w:rPr>
        <w:t xml:space="preserve">La Agencia Nacional de Contratación Pública </w:t>
      </w:r>
      <w:r w:rsidR="00C46EA9" w:rsidRPr="00890E1C">
        <w:rPr>
          <w:rFonts w:ascii="Arial" w:hAnsi="Arial" w:cs="Arial"/>
          <w:color w:val="000000" w:themeColor="text1"/>
          <w:sz w:val="22"/>
        </w:rPr>
        <w:t>–</w:t>
      </w:r>
      <w:r w:rsidRPr="00890E1C">
        <w:rPr>
          <w:rFonts w:ascii="Arial" w:hAnsi="Arial" w:cs="Arial"/>
          <w:color w:val="000000" w:themeColor="text1"/>
          <w:sz w:val="22"/>
        </w:rPr>
        <w:t xml:space="preserve"> Colombia Compra Eficiente, </w:t>
      </w:r>
      <w:r w:rsidRPr="00890E1C">
        <w:rPr>
          <w:rFonts w:ascii="Arial" w:eastAsia="Calibri" w:hAnsi="Arial" w:cs="Arial"/>
          <w:color w:val="000000" w:themeColor="text1"/>
          <w:sz w:val="22"/>
        </w:rPr>
        <w:t>en el concepto</w:t>
      </w:r>
      <w:r w:rsidR="00F6159E" w:rsidRPr="00890E1C">
        <w:rPr>
          <w:rFonts w:ascii="Arial" w:eastAsia="Calibri" w:hAnsi="Arial" w:cs="Arial"/>
          <w:color w:val="000000" w:themeColor="text1"/>
          <w:sz w:val="22"/>
        </w:rPr>
        <w:t xml:space="preserve"> </w:t>
      </w:r>
      <w:r w:rsidRPr="00890E1C">
        <w:rPr>
          <w:rFonts w:ascii="Arial" w:eastAsia="Calibri" w:hAnsi="Arial" w:cs="Arial"/>
          <w:color w:val="000000" w:themeColor="text1"/>
          <w:sz w:val="22"/>
        </w:rPr>
        <w:t>C-066 del 3 de marzo de 2020, reiterado y desarrollado en los conceptos C-084 del 11 de marzo de 2020</w:t>
      </w:r>
      <w:r w:rsidR="00C46EA9" w:rsidRPr="00890E1C">
        <w:rPr>
          <w:rFonts w:ascii="Arial" w:eastAsia="Calibri" w:hAnsi="Arial" w:cs="Arial"/>
          <w:color w:val="000000" w:themeColor="text1"/>
          <w:sz w:val="22"/>
        </w:rPr>
        <w:t xml:space="preserve">, </w:t>
      </w:r>
      <w:r w:rsidRPr="00890E1C">
        <w:rPr>
          <w:rFonts w:ascii="Arial" w:eastAsia="Calibri" w:hAnsi="Arial" w:cs="Arial"/>
          <w:color w:val="000000" w:themeColor="text1"/>
          <w:sz w:val="22"/>
        </w:rPr>
        <w:t>C-236 del 6 de abril de 2020</w:t>
      </w:r>
      <w:r w:rsidR="00DC3F63" w:rsidRPr="00890E1C">
        <w:rPr>
          <w:rFonts w:ascii="Arial" w:eastAsia="Calibri" w:hAnsi="Arial" w:cs="Arial"/>
          <w:color w:val="000000" w:themeColor="text1"/>
          <w:sz w:val="22"/>
        </w:rPr>
        <w:t>,</w:t>
      </w:r>
      <w:r w:rsidR="00C46EA9" w:rsidRPr="00890E1C">
        <w:rPr>
          <w:rFonts w:ascii="Arial" w:eastAsia="Calibri" w:hAnsi="Arial" w:cs="Arial"/>
          <w:color w:val="000000" w:themeColor="text1"/>
          <w:sz w:val="22"/>
        </w:rPr>
        <w:t xml:space="preserve"> C-</w:t>
      </w:r>
      <w:r w:rsidR="00D31BE6" w:rsidRPr="00890E1C">
        <w:rPr>
          <w:rFonts w:ascii="Arial" w:eastAsia="Calibri" w:hAnsi="Arial" w:cs="Arial"/>
          <w:color w:val="000000" w:themeColor="text1"/>
          <w:sz w:val="22"/>
        </w:rPr>
        <w:t>036</w:t>
      </w:r>
      <w:r w:rsidR="00170A22" w:rsidRPr="00890E1C">
        <w:rPr>
          <w:rFonts w:ascii="Arial" w:eastAsia="Calibri" w:hAnsi="Arial" w:cs="Arial"/>
          <w:color w:val="000000" w:themeColor="text1"/>
          <w:sz w:val="22"/>
        </w:rPr>
        <w:t xml:space="preserve"> del 2 de marzo de 2021</w:t>
      </w:r>
      <w:r w:rsidR="00DC3F63" w:rsidRPr="00890E1C">
        <w:rPr>
          <w:rFonts w:ascii="Arial" w:eastAsia="Calibri" w:hAnsi="Arial" w:cs="Arial"/>
          <w:color w:val="000000" w:themeColor="text1"/>
          <w:sz w:val="22"/>
        </w:rPr>
        <w:t xml:space="preserve"> y C-346</w:t>
      </w:r>
      <w:r w:rsidR="006B3D9A" w:rsidRPr="00890E1C">
        <w:rPr>
          <w:rFonts w:ascii="Arial" w:eastAsia="Calibri" w:hAnsi="Arial" w:cs="Arial"/>
          <w:color w:val="000000" w:themeColor="text1"/>
          <w:sz w:val="22"/>
        </w:rPr>
        <w:t xml:space="preserve"> de 16 de junio de 2021</w:t>
      </w:r>
      <w:r w:rsidR="00170A22" w:rsidRPr="00890E1C">
        <w:rPr>
          <w:rFonts w:ascii="Arial" w:eastAsia="Calibri" w:hAnsi="Arial" w:cs="Arial"/>
          <w:color w:val="000000" w:themeColor="text1"/>
          <w:sz w:val="22"/>
        </w:rPr>
        <w:t xml:space="preserve"> </w:t>
      </w:r>
      <w:r w:rsidRPr="00890E1C">
        <w:rPr>
          <w:rFonts w:ascii="Arial" w:eastAsia="Calibri" w:hAnsi="Arial" w:cs="Arial"/>
          <w:color w:val="000000" w:themeColor="text1"/>
          <w:sz w:val="22"/>
        </w:rPr>
        <w:t xml:space="preserve">estudió las actividades de ciencia, tecnología e innovación y </w:t>
      </w:r>
      <w:r w:rsidR="00170A22" w:rsidRPr="00890E1C">
        <w:rPr>
          <w:rFonts w:ascii="Arial" w:eastAsia="Calibri" w:hAnsi="Arial" w:cs="Arial"/>
          <w:color w:val="000000" w:themeColor="text1"/>
          <w:sz w:val="22"/>
        </w:rPr>
        <w:t xml:space="preserve">el régimen </w:t>
      </w:r>
      <w:r w:rsidR="00F6159E" w:rsidRPr="00890E1C">
        <w:rPr>
          <w:rFonts w:ascii="Arial" w:eastAsia="Calibri" w:hAnsi="Arial" w:cs="Arial"/>
          <w:color w:val="000000" w:themeColor="text1"/>
          <w:sz w:val="22"/>
        </w:rPr>
        <w:t xml:space="preserve">contractual </w:t>
      </w:r>
      <w:r w:rsidR="00170A22" w:rsidRPr="00890E1C">
        <w:rPr>
          <w:rFonts w:ascii="Arial" w:eastAsia="Calibri" w:hAnsi="Arial" w:cs="Arial"/>
          <w:color w:val="000000" w:themeColor="text1"/>
          <w:sz w:val="22"/>
        </w:rPr>
        <w:t xml:space="preserve">de las personas jurídicas sin ánimo de lucro </w:t>
      </w:r>
      <w:r w:rsidR="00BC007C" w:rsidRPr="00890E1C">
        <w:rPr>
          <w:rFonts w:ascii="Arial" w:eastAsia="Calibri" w:hAnsi="Arial" w:cs="Arial"/>
          <w:color w:val="000000" w:themeColor="text1"/>
          <w:sz w:val="22"/>
        </w:rPr>
        <w:t>que tienen por objeto la realización de tales actividades</w:t>
      </w:r>
      <w:r w:rsidRPr="00890E1C">
        <w:rPr>
          <w:rFonts w:ascii="Arial" w:eastAsia="Calibri" w:hAnsi="Arial" w:cs="Arial"/>
          <w:color w:val="000000" w:themeColor="text1"/>
          <w:sz w:val="22"/>
        </w:rPr>
        <w:t xml:space="preserve">. </w:t>
      </w:r>
      <w:r w:rsidR="00BC007C" w:rsidRPr="00890E1C">
        <w:rPr>
          <w:rFonts w:ascii="Arial" w:eastAsia="Calibri" w:hAnsi="Arial" w:cs="Arial"/>
          <w:color w:val="000000" w:themeColor="text1"/>
          <w:sz w:val="22"/>
        </w:rPr>
        <w:t xml:space="preserve">Las ideas expuestas en dichas oportunidades serán reiteradas a </w:t>
      </w:r>
      <w:r w:rsidR="00BC007C" w:rsidRPr="00890E1C">
        <w:rPr>
          <w:rFonts w:ascii="Arial" w:eastAsia="Calibri" w:hAnsi="Arial" w:cs="Arial"/>
          <w:color w:val="000000" w:themeColor="text1"/>
          <w:sz w:val="22"/>
        </w:rPr>
        <w:lastRenderedPageBreak/>
        <w:t>continuación y</w:t>
      </w:r>
      <w:r w:rsidR="00FF232F" w:rsidRPr="00890E1C">
        <w:rPr>
          <w:rFonts w:ascii="Arial" w:eastAsia="Calibri" w:hAnsi="Arial" w:cs="Arial"/>
          <w:color w:val="000000" w:themeColor="text1"/>
          <w:sz w:val="22"/>
        </w:rPr>
        <w:t>,</w:t>
      </w:r>
      <w:r w:rsidR="00BC007C" w:rsidRPr="00890E1C">
        <w:rPr>
          <w:rFonts w:ascii="Arial" w:eastAsia="Calibri" w:hAnsi="Arial" w:cs="Arial"/>
          <w:color w:val="000000" w:themeColor="text1"/>
          <w:sz w:val="22"/>
        </w:rPr>
        <w:t xml:space="preserve"> </w:t>
      </w:r>
      <w:r w:rsidR="00FF232F" w:rsidRPr="00890E1C">
        <w:rPr>
          <w:rFonts w:ascii="Arial" w:eastAsia="Calibri" w:hAnsi="Arial" w:cs="Arial"/>
          <w:color w:val="000000" w:themeColor="text1"/>
          <w:sz w:val="22"/>
        </w:rPr>
        <w:t>así mismo, se complementarán</w:t>
      </w:r>
      <w:r w:rsidR="006F1872" w:rsidRPr="00890E1C">
        <w:rPr>
          <w:rFonts w:ascii="Arial" w:eastAsia="Calibri" w:hAnsi="Arial" w:cs="Arial"/>
          <w:color w:val="000000" w:themeColor="text1"/>
          <w:sz w:val="22"/>
        </w:rPr>
        <w:t>,</w:t>
      </w:r>
      <w:r w:rsidR="00FF232F" w:rsidRPr="00890E1C">
        <w:rPr>
          <w:rFonts w:ascii="Arial" w:eastAsia="Calibri" w:hAnsi="Arial" w:cs="Arial"/>
          <w:color w:val="000000" w:themeColor="text1"/>
          <w:sz w:val="22"/>
        </w:rPr>
        <w:t xml:space="preserve"> para abordar la pregunta contenida en la consulta.</w:t>
      </w:r>
    </w:p>
    <w:p w14:paraId="4FD0589D" w14:textId="77777777" w:rsidR="001434A4" w:rsidRPr="00890E1C" w:rsidRDefault="001434A4" w:rsidP="001434A4">
      <w:pPr>
        <w:spacing w:line="276" w:lineRule="auto"/>
        <w:jc w:val="both"/>
        <w:rPr>
          <w:rFonts w:ascii="Arial" w:eastAsia="Calibri" w:hAnsi="Arial" w:cs="Arial"/>
          <w:color w:val="000000" w:themeColor="text1"/>
          <w:sz w:val="22"/>
          <w:lang w:val="es-ES_tradnl"/>
        </w:rPr>
      </w:pPr>
    </w:p>
    <w:p w14:paraId="06E46B4F" w14:textId="77777777" w:rsidR="001434A4" w:rsidRPr="00890E1C" w:rsidRDefault="001434A4" w:rsidP="001434A4">
      <w:pPr>
        <w:tabs>
          <w:tab w:val="left" w:pos="426"/>
        </w:tabs>
        <w:spacing w:line="276" w:lineRule="auto"/>
        <w:jc w:val="both"/>
        <w:rPr>
          <w:rFonts w:ascii="Arial" w:eastAsia="Calibri" w:hAnsi="Arial" w:cs="Arial"/>
          <w:b/>
          <w:color w:val="000000" w:themeColor="text1"/>
          <w:sz w:val="22"/>
        </w:rPr>
      </w:pPr>
      <w:r w:rsidRPr="00890E1C">
        <w:rPr>
          <w:rFonts w:ascii="Arial" w:eastAsia="Calibri" w:hAnsi="Arial" w:cs="Arial"/>
          <w:b/>
          <w:color w:val="000000" w:themeColor="text1"/>
          <w:sz w:val="22"/>
        </w:rPr>
        <w:t xml:space="preserve">2.1. </w:t>
      </w:r>
      <w:r w:rsidRPr="00890E1C">
        <w:rPr>
          <w:rFonts w:ascii="Arial" w:hAnsi="Arial" w:cs="Arial"/>
          <w:b/>
          <w:bCs/>
          <w:color w:val="000000" w:themeColor="text1"/>
          <w:sz w:val="22"/>
        </w:rPr>
        <w:t>Marco legal para la contratación de las actividades de ciencia, tecnología e innovación</w:t>
      </w:r>
    </w:p>
    <w:p w14:paraId="03F57B3D" w14:textId="77777777" w:rsidR="001434A4" w:rsidRPr="00890E1C" w:rsidRDefault="001434A4" w:rsidP="001434A4">
      <w:pPr>
        <w:tabs>
          <w:tab w:val="left" w:pos="426"/>
        </w:tabs>
        <w:spacing w:line="276" w:lineRule="auto"/>
        <w:jc w:val="both"/>
        <w:rPr>
          <w:rFonts w:ascii="Arial" w:eastAsia="Calibri" w:hAnsi="Arial" w:cs="Arial"/>
          <w:b/>
          <w:color w:val="000000" w:themeColor="text1"/>
          <w:sz w:val="22"/>
        </w:rPr>
      </w:pPr>
    </w:p>
    <w:p w14:paraId="7B8575D9" w14:textId="248CF48E" w:rsidR="001434A4" w:rsidRPr="00890E1C" w:rsidRDefault="001434A4" w:rsidP="001434A4">
      <w:pPr>
        <w:spacing w:after="120" w:line="276" w:lineRule="auto"/>
        <w:jc w:val="both"/>
        <w:rPr>
          <w:rFonts w:ascii="Arial" w:hAnsi="Arial" w:cs="Arial"/>
          <w:color w:val="000000" w:themeColor="text1"/>
          <w:sz w:val="22"/>
        </w:rPr>
      </w:pPr>
      <w:r w:rsidRPr="00890E1C">
        <w:rPr>
          <w:rFonts w:ascii="Arial" w:hAnsi="Arial" w:cs="Arial"/>
          <w:color w:val="000000" w:themeColor="text1"/>
          <w:sz w:val="22"/>
        </w:rPr>
        <w:t xml:space="preserve">Las actividades de ciencia, tecnología e innovación están previstas en cuatro </w:t>
      </w:r>
      <w:r w:rsidR="00310967" w:rsidRPr="00890E1C">
        <w:rPr>
          <w:rFonts w:ascii="Arial" w:hAnsi="Arial" w:cs="Arial"/>
          <w:color w:val="000000" w:themeColor="text1"/>
          <w:sz w:val="22"/>
        </w:rPr>
        <w:t>cuerpos normativos</w:t>
      </w:r>
      <w:r w:rsidRPr="00890E1C">
        <w:rPr>
          <w:rFonts w:ascii="Arial" w:hAnsi="Arial" w:cs="Arial"/>
          <w:color w:val="000000" w:themeColor="text1"/>
          <w:sz w:val="22"/>
        </w:rPr>
        <w:t>: i) el Decreto Ley 393 de 1991, que prevé dos formas de asociación para que las entidades ejecuten actividades científicas y tecnológicas, proyectos de investigación y creación de tecnologías: a) crear personas jurídicas civiles, comerciales y sin ánimo de lucro y b) celebrar convenios especiales de cooperación; ii) el Decreto Ley 591 de 1991, que enlista actividades científicas y tecnológicas y, a pesar de que su propósito principal era regular las modalidades específicas de contratos de fomento de esas actividades, con la derogatoria del artículo 7 que señalaba 10 tipos de contratos, actualmente se encuentran vigentes 3: a) contratos de financiamiento, b) contratos de administración de proyectos y c) convenios especiales de cooperación; iii) la Ley 1286 de 2009 y iv) el Documento CONPES 3582 de 2009, donde se define cuáles son estas actividades de los actores del Sistema Nacional de Ciencia, Tecnología e Innovación.</w:t>
      </w:r>
    </w:p>
    <w:p w14:paraId="4A0709DB" w14:textId="5F426ED3" w:rsidR="001434A4" w:rsidRPr="00890E1C" w:rsidRDefault="001434A4" w:rsidP="001434A4">
      <w:pPr>
        <w:spacing w:after="120" w:line="276" w:lineRule="auto"/>
        <w:ind w:firstLine="708"/>
        <w:jc w:val="both"/>
        <w:rPr>
          <w:rFonts w:ascii="Arial" w:hAnsi="Arial" w:cs="Arial"/>
          <w:color w:val="000000" w:themeColor="text1"/>
          <w:sz w:val="22"/>
        </w:rPr>
      </w:pPr>
      <w:r w:rsidRPr="00890E1C">
        <w:rPr>
          <w:rFonts w:ascii="Arial" w:hAnsi="Arial" w:cs="Arial"/>
          <w:color w:val="000000" w:themeColor="text1"/>
          <w:sz w:val="22"/>
        </w:rPr>
        <w:t>Así las cosas, para contratar las actividades de ciencia</w:t>
      </w:r>
      <w:r w:rsidR="0011457B" w:rsidRPr="00890E1C">
        <w:rPr>
          <w:rFonts w:ascii="Arial" w:hAnsi="Arial" w:cs="Arial"/>
          <w:color w:val="000000" w:themeColor="text1"/>
          <w:sz w:val="22"/>
        </w:rPr>
        <w:t>,</w:t>
      </w:r>
      <w:r w:rsidRPr="00890E1C">
        <w:rPr>
          <w:rFonts w:ascii="Arial" w:hAnsi="Arial" w:cs="Arial"/>
          <w:color w:val="000000" w:themeColor="text1"/>
          <w:sz w:val="22"/>
        </w:rPr>
        <w:t xml:space="preserve"> tecnología e innovación las normas </w:t>
      </w:r>
      <w:r w:rsidR="0011457B" w:rsidRPr="00890E1C">
        <w:rPr>
          <w:rFonts w:ascii="Arial" w:hAnsi="Arial" w:cs="Arial"/>
          <w:color w:val="000000" w:themeColor="text1"/>
          <w:sz w:val="22"/>
        </w:rPr>
        <w:t>establecen</w:t>
      </w:r>
      <w:r w:rsidRPr="00890E1C">
        <w:rPr>
          <w:rFonts w:ascii="Arial" w:hAnsi="Arial" w:cs="Arial"/>
          <w:color w:val="000000" w:themeColor="text1"/>
          <w:sz w:val="22"/>
        </w:rPr>
        <w:t xml:space="preserve"> tipos de contrato cuya aplicación depende de las características del objeto que se ejecutará. También es necesario tener en cuenta que la Ley 1150 de 2007, en el artículo 2, numeral 4, literal e), señala como causal de contratación directa «Los contratos para el desarrollo de actividades científicas y tecnológicas».</w:t>
      </w:r>
      <w:r w:rsidRPr="00890E1C">
        <w:rPr>
          <w:rFonts w:ascii="Arial" w:eastAsia="Calibri" w:hAnsi="Arial" w:cs="Arial"/>
          <w:color w:val="000000" w:themeColor="text1"/>
          <w:sz w:val="22"/>
        </w:rPr>
        <w:t xml:space="preserve"> </w:t>
      </w:r>
    </w:p>
    <w:p w14:paraId="0B11F280" w14:textId="23801687" w:rsidR="001434A4" w:rsidRPr="00890E1C" w:rsidRDefault="001434A4" w:rsidP="000658F7">
      <w:pPr>
        <w:spacing w:before="120" w:after="120" w:line="276" w:lineRule="auto"/>
        <w:ind w:firstLine="709"/>
        <w:jc w:val="both"/>
        <w:rPr>
          <w:rFonts w:ascii="Arial" w:eastAsia="Calibri" w:hAnsi="Arial" w:cs="Arial"/>
          <w:color w:val="000000" w:themeColor="text1"/>
          <w:sz w:val="22"/>
        </w:rPr>
      </w:pPr>
      <w:r w:rsidRPr="00890E1C">
        <w:rPr>
          <w:rFonts w:ascii="Arial" w:eastAsia="Calibri" w:hAnsi="Arial" w:cs="Arial"/>
          <w:color w:val="000000" w:themeColor="text1"/>
          <w:sz w:val="22"/>
        </w:rPr>
        <w:t xml:space="preserve">Por su parte, </w:t>
      </w:r>
      <w:r w:rsidR="000658F7" w:rsidRPr="00890E1C">
        <w:rPr>
          <w:rFonts w:ascii="Arial" w:eastAsia="Calibri" w:hAnsi="Arial" w:cs="Arial"/>
          <w:color w:val="000000" w:themeColor="text1"/>
          <w:sz w:val="22"/>
        </w:rPr>
        <w:t>esta</w:t>
      </w:r>
      <w:r w:rsidRPr="00890E1C">
        <w:rPr>
          <w:rFonts w:ascii="Arial" w:eastAsia="Calibri" w:hAnsi="Arial" w:cs="Arial"/>
          <w:color w:val="000000" w:themeColor="text1"/>
          <w:sz w:val="22"/>
        </w:rPr>
        <w:t xml:space="preserve"> Agencia, teniendo en cuenta las normas mencionadas, expidió la Circular Externa Única, que además de derogar las Circulares Externas anteriores, en el numeral 13, señala la normativa de la contratación de actividades de ciencia, tecnología e innovación y dispone algunas consideraciones sobre la supervisión e interventoría de dichos contratos, sin determinar de manera explícita que esta última pueda ser contratada acudiendo a alguna causal de contratación directa, pues la norma tampoco establece dicha posibilidad.</w:t>
      </w:r>
    </w:p>
    <w:p w14:paraId="4A90C71B" w14:textId="77777777" w:rsidR="001434A4" w:rsidRPr="00890E1C" w:rsidRDefault="001434A4" w:rsidP="000658F7">
      <w:pPr>
        <w:spacing w:before="120" w:after="120" w:line="276" w:lineRule="auto"/>
        <w:ind w:firstLine="709"/>
        <w:jc w:val="both"/>
        <w:rPr>
          <w:rFonts w:ascii="Arial" w:eastAsia="Calibri" w:hAnsi="Arial" w:cs="Arial"/>
          <w:color w:val="000000" w:themeColor="text1"/>
          <w:sz w:val="22"/>
        </w:rPr>
      </w:pPr>
      <w:r w:rsidRPr="00890E1C">
        <w:rPr>
          <w:rFonts w:ascii="Arial" w:hAnsi="Arial" w:cs="Arial"/>
          <w:color w:val="000000" w:themeColor="text1"/>
          <w:sz w:val="22"/>
        </w:rPr>
        <w:t>De esta forma, las entidades, como responsables de estructurar sus procedimientos de selección, deben definir si el objeto a contratar es de aquellas actividades consideradas de ciencia, tecnología e innovación, y podrán aplicar la modalidad de selección de contratación directa para celebrar alguno de los tipos de contrato previstos en la ley, salvo que el contrato se rija por el derecho privado.</w:t>
      </w:r>
    </w:p>
    <w:p w14:paraId="2F332FE6" w14:textId="77777777" w:rsidR="001434A4" w:rsidRPr="00890E1C" w:rsidRDefault="001434A4" w:rsidP="001434A4">
      <w:pPr>
        <w:spacing w:line="276" w:lineRule="auto"/>
        <w:ind w:firstLine="708"/>
        <w:jc w:val="both"/>
        <w:rPr>
          <w:rFonts w:ascii="Arial" w:eastAsia="Calibri" w:hAnsi="Arial" w:cs="Arial"/>
          <w:color w:val="000000" w:themeColor="text1"/>
          <w:sz w:val="22"/>
        </w:rPr>
      </w:pPr>
      <w:r w:rsidRPr="00890E1C">
        <w:rPr>
          <w:rFonts w:ascii="Arial" w:eastAsia="Calibri" w:hAnsi="Arial" w:cs="Arial"/>
          <w:color w:val="000000" w:themeColor="text1"/>
          <w:sz w:val="22"/>
        </w:rPr>
        <w:t xml:space="preserve">En todo caso, se resalta, el régimen de las actividades de ciencia, tecnología e innovación se define a partir de las normas citadas; pero le corresponde al Ministerio de Ciencia, Tecnología e Innovación, como autoridad competente, catalogar las actividades </w:t>
      </w:r>
      <w:r w:rsidRPr="00890E1C">
        <w:rPr>
          <w:rFonts w:ascii="Arial" w:eastAsia="Calibri" w:hAnsi="Arial" w:cs="Arial"/>
          <w:color w:val="000000" w:themeColor="text1"/>
          <w:sz w:val="22"/>
        </w:rPr>
        <w:lastRenderedPageBreak/>
        <w:t>cuando las entidades presenten dudas respecto de un objeto contractual que pretendan satisfacer</w:t>
      </w:r>
      <w:r w:rsidRPr="00890E1C">
        <w:rPr>
          <w:rStyle w:val="Refdenotaalpie"/>
          <w:rFonts w:ascii="Arial" w:eastAsia="Calibri" w:hAnsi="Arial" w:cs="Arial"/>
          <w:color w:val="000000" w:themeColor="text1"/>
          <w:sz w:val="22"/>
        </w:rPr>
        <w:footnoteReference w:id="2"/>
      </w:r>
      <w:r w:rsidRPr="00890E1C">
        <w:rPr>
          <w:rFonts w:ascii="Arial" w:eastAsia="Calibri" w:hAnsi="Arial" w:cs="Arial"/>
          <w:color w:val="000000" w:themeColor="text1"/>
          <w:sz w:val="22"/>
        </w:rPr>
        <w:t>.</w:t>
      </w:r>
    </w:p>
    <w:p w14:paraId="59C16345" w14:textId="77777777" w:rsidR="001434A4" w:rsidRPr="00890E1C" w:rsidRDefault="001434A4" w:rsidP="001434A4">
      <w:pPr>
        <w:spacing w:line="276" w:lineRule="auto"/>
        <w:jc w:val="both"/>
        <w:rPr>
          <w:rFonts w:ascii="Arial" w:eastAsia="Calibri" w:hAnsi="Arial" w:cs="Arial"/>
          <w:color w:val="000000" w:themeColor="text1"/>
          <w:sz w:val="22"/>
        </w:rPr>
      </w:pPr>
    </w:p>
    <w:p w14:paraId="6B0A2A4D" w14:textId="77777777" w:rsidR="001434A4" w:rsidRPr="00890E1C" w:rsidRDefault="001434A4" w:rsidP="001434A4">
      <w:pPr>
        <w:spacing w:line="276" w:lineRule="auto"/>
        <w:jc w:val="both"/>
        <w:rPr>
          <w:rFonts w:ascii="Arial" w:eastAsia="Calibri" w:hAnsi="Arial" w:cs="Arial"/>
          <w:b/>
          <w:bCs/>
          <w:color w:val="000000" w:themeColor="text1"/>
          <w:sz w:val="22"/>
        </w:rPr>
      </w:pPr>
      <w:r w:rsidRPr="00890E1C">
        <w:rPr>
          <w:rFonts w:ascii="Arial" w:eastAsia="Calibri" w:hAnsi="Arial" w:cs="Arial"/>
          <w:b/>
          <w:bCs/>
          <w:color w:val="000000" w:themeColor="text1"/>
          <w:sz w:val="22"/>
        </w:rPr>
        <w:t>2.2 El régimen del Decreto Ley 393 de 1991 y el Decreto Ley 591 de 1991</w:t>
      </w:r>
    </w:p>
    <w:p w14:paraId="0005BCD2" w14:textId="77777777" w:rsidR="001434A4" w:rsidRPr="00890E1C" w:rsidRDefault="001434A4" w:rsidP="001434A4">
      <w:pPr>
        <w:spacing w:line="276" w:lineRule="auto"/>
        <w:jc w:val="both"/>
        <w:rPr>
          <w:rFonts w:ascii="Arial" w:eastAsia="Calibri" w:hAnsi="Arial" w:cs="Arial"/>
          <w:b/>
          <w:bCs/>
          <w:color w:val="000000" w:themeColor="text1"/>
          <w:sz w:val="22"/>
        </w:rPr>
      </w:pPr>
    </w:p>
    <w:p w14:paraId="772966AE" w14:textId="042E3902" w:rsidR="001434A4" w:rsidRPr="00890E1C" w:rsidRDefault="001434A4" w:rsidP="001434A4">
      <w:pPr>
        <w:spacing w:line="276" w:lineRule="auto"/>
        <w:jc w:val="both"/>
        <w:rPr>
          <w:rFonts w:ascii="Arial" w:eastAsia="Calibri" w:hAnsi="Arial" w:cs="Arial"/>
          <w:color w:val="000000" w:themeColor="text1"/>
          <w:sz w:val="22"/>
        </w:rPr>
      </w:pPr>
      <w:r w:rsidRPr="00890E1C">
        <w:rPr>
          <w:rFonts w:ascii="Arial" w:eastAsia="Calibri" w:hAnsi="Arial" w:cs="Arial"/>
          <w:color w:val="000000" w:themeColor="text1"/>
          <w:sz w:val="22"/>
        </w:rPr>
        <w:t>De conformidad con lo indicado en el acápite anterior, a continuación se profundiza en algunos aspectos relacionados con el régimen derivado de los Decretos Leyes 393 de 1991 y 591 de 1991. En este sentido, se reiteran, en lo pertinente, las consideraciones realizadas por esta Agencia en los conceptos C-084 del 11 de marzo de 202</w:t>
      </w:r>
      <w:r w:rsidR="004E6277" w:rsidRPr="00890E1C">
        <w:rPr>
          <w:rFonts w:ascii="Arial" w:eastAsia="Calibri" w:hAnsi="Arial" w:cs="Arial"/>
          <w:color w:val="000000" w:themeColor="text1"/>
          <w:sz w:val="22"/>
        </w:rPr>
        <w:t>0</w:t>
      </w:r>
      <w:r w:rsidRPr="00890E1C">
        <w:rPr>
          <w:rFonts w:ascii="Arial" w:eastAsia="Calibri" w:hAnsi="Arial" w:cs="Arial"/>
          <w:color w:val="000000" w:themeColor="text1"/>
          <w:sz w:val="22"/>
        </w:rPr>
        <w:t xml:space="preserve"> y C-236 del 6 de abril de 2020.</w:t>
      </w:r>
    </w:p>
    <w:p w14:paraId="0A55095E" w14:textId="77777777" w:rsidR="001434A4" w:rsidRPr="00890E1C" w:rsidRDefault="001434A4" w:rsidP="001434A4">
      <w:pPr>
        <w:spacing w:line="276" w:lineRule="auto"/>
        <w:jc w:val="both"/>
        <w:rPr>
          <w:rFonts w:ascii="Arial" w:eastAsia="Calibri" w:hAnsi="Arial" w:cs="Arial"/>
          <w:b/>
          <w:bCs/>
          <w:color w:val="000000" w:themeColor="text1"/>
          <w:sz w:val="22"/>
        </w:rPr>
      </w:pPr>
    </w:p>
    <w:p w14:paraId="7B5508A0" w14:textId="77777777" w:rsidR="001434A4" w:rsidRPr="00890E1C" w:rsidRDefault="001434A4" w:rsidP="001434A4">
      <w:pPr>
        <w:spacing w:line="276" w:lineRule="auto"/>
        <w:jc w:val="both"/>
        <w:rPr>
          <w:rFonts w:ascii="Arial" w:eastAsia="Calibri" w:hAnsi="Arial" w:cs="Arial"/>
          <w:b/>
          <w:bCs/>
          <w:color w:val="000000"/>
          <w:sz w:val="22"/>
        </w:rPr>
      </w:pPr>
      <w:r w:rsidRPr="00890E1C">
        <w:rPr>
          <w:rFonts w:ascii="Arial" w:eastAsia="Calibri" w:hAnsi="Arial" w:cs="Arial"/>
          <w:b/>
          <w:bCs/>
          <w:color w:val="000000"/>
          <w:sz w:val="22"/>
        </w:rPr>
        <w:t>a) Decreto Ley 393 de 1991</w:t>
      </w:r>
    </w:p>
    <w:p w14:paraId="0838EC26" w14:textId="77777777" w:rsidR="001434A4" w:rsidRPr="00890E1C" w:rsidRDefault="001434A4" w:rsidP="001434A4">
      <w:pPr>
        <w:spacing w:line="276" w:lineRule="auto"/>
        <w:jc w:val="both"/>
        <w:rPr>
          <w:rFonts w:ascii="Arial" w:eastAsia="Calibri" w:hAnsi="Arial" w:cs="Arial"/>
          <w:b/>
          <w:bCs/>
          <w:color w:val="000000"/>
          <w:sz w:val="16"/>
          <w:szCs w:val="16"/>
        </w:rPr>
      </w:pPr>
    </w:p>
    <w:p w14:paraId="0AC81166" w14:textId="77777777" w:rsidR="001434A4" w:rsidRPr="00414190" w:rsidRDefault="001434A4" w:rsidP="001434A4">
      <w:pPr>
        <w:spacing w:line="276" w:lineRule="auto"/>
        <w:jc w:val="both"/>
        <w:rPr>
          <w:rFonts w:ascii="Arial" w:eastAsia="Calibri" w:hAnsi="Arial" w:cs="Arial"/>
          <w:color w:val="000000"/>
          <w:sz w:val="22"/>
        </w:rPr>
      </w:pPr>
      <w:r w:rsidRPr="00890E1C">
        <w:rPr>
          <w:rFonts w:ascii="Arial" w:eastAsia="Calibri" w:hAnsi="Arial" w:cs="Arial"/>
          <w:color w:val="000000"/>
          <w:sz w:val="22"/>
        </w:rPr>
        <w:t>Este decreto establece dos formas de asociación para que las entidades ejecuten actividades científicas y tecnológicas, proyectos de investigación y creación de tecnologías: i) crear personas jurídicas civiles, comerciales y sin ánimo de lucro y ii) celebrar convenios especiales de cooperación. Por ende, se explicará cada una, haciendo énfasis en el régimen jurídico aplicable a la contratación</w:t>
      </w:r>
      <w:r w:rsidRPr="00414190">
        <w:rPr>
          <w:rFonts w:ascii="Arial" w:eastAsia="Calibri" w:hAnsi="Arial" w:cs="Arial"/>
          <w:color w:val="000000"/>
          <w:sz w:val="22"/>
        </w:rPr>
        <w:t>.</w:t>
      </w:r>
    </w:p>
    <w:p w14:paraId="3850343F" w14:textId="77777777" w:rsidR="001434A4" w:rsidRPr="00414190" w:rsidRDefault="001434A4" w:rsidP="001434A4">
      <w:pPr>
        <w:spacing w:line="276" w:lineRule="auto"/>
        <w:jc w:val="both"/>
        <w:rPr>
          <w:rFonts w:ascii="Arial" w:eastAsia="Calibri" w:hAnsi="Arial" w:cs="Arial"/>
          <w:color w:val="000000"/>
          <w:sz w:val="16"/>
          <w:szCs w:val="16"/>
        </w:rPr>
      </w:pPr>
    </w:p>
    <w:p w14:paraId="77F12595" w14:textId="77777777" w:rsidR="001434A4" w:rsidRPr="00414190" w:rsidRDefault="001434A4" w:rsidP="001434A4">
      <w:pPr>
        <w:spacing w:line="276" w:lineRule="auto"/>
        <w:jc w:val="both"/>
        <w:rPr>
          <w:rFonts w:ascii="Arial" w:eastAsia="Calibri" w:hAnsi="Arial" w:cs="Arial"/>
          <w:b/>
          <w:bCs/>
          <w:color w:val="000000"/>
          <w:sz w:val="22"/>
        </w:rPr>
      </w:pPr>
      <w:r w:rsidRPr="00414190">
        <w:rPr>
          <w:rFonts w:ascii="Arial" w:eastAsia="Calibri" w:hAnsi="Arial" w:cs="Arial"/>
          <w:b/>
          <w:bCs/>
          <w:color w:val="000000"/>
          <w:sz w:val="22"/>
        </w:rPr>
        <w:t>i) Creación de personas jurídicas</w:t>
      </w:r>
    </w:p>
    <w:p w14:paraId="793BB704" w14:textId="77777777" w:rsidR="001434A4" w:rsidRPr="00414190" w:rsidRDefault="001434A4" w:rsidP="001434A4">
      <w:pPr>
        <w:spacing w:line="276" w:lineRule="auto"/>
        <w:jc w:val="both"/>
        <w:rPr>
          <w:rFonts w:ascii="Arial" w:eastAsia="Calibri" w:hAnsi="Arial" w:cs="Arial"/>
          <w:b/>
          <w:bCs/>
          <w:color w:val="000000"/>
          <w:sz w:val="22"/>
        </w:rPr>
      </w:pPr>
    </w:p>
    <w:p w14:paraId="02E91842" w14:textId="77777777" w:rsidR="001434A4" w:rsidRPr="00414190" w:rsidRDefault="001434A4" w:rsidP="001434A4">
      <w:pPr>
        <w:spacing w:after="120" w:line="276" w:lineRule="auto"/>
        <w:jc w:val="both"/>
        <w:rPr>
          <w:rFonts w:ascii="Arial" w:eastAsia="Calibri" w:hAnsi="Arial" w:cs="Arial"/>
          <w:color w:val="000000"/>
          <w:sz w:val="22"/>
        </w:rPr>
      </w:pPr>
      <w:r w:rsidRPr="00414190">
        <w:rPr>
          <w:rFonts w:ascii="Arial" w:eastAsia="Calibri" w:hAnsi="Arial" w:cs="Arial"/>
          <w:color w:val="000000"/>
          <w:sz w:val="22"/>
        </w:rPr>
        <w:t>Esta forma de asociación está prevista para la nación y sus entidades descentralizadas, con particulares o con otras entidades estatales, por lo que entre estos sujetos se pueden crear sociedades civiles, comerciales y entidades sin ánimo de lucro como corporaciones y fundaciones. El objeto de estas personas jurídicas podrá ser cualquiera de los señalados en el artículo 2 del Decreto 393 de 1991, los cuales se refieren a actividades y proyectos relacionados con la ciencia, tecnología e innovación</w:t>
      </w:r>
      <w:r w:rsidRPr="00414190">
        <w:rPr>
          <w:rFonts w:ascii="Arial" w:eastAsia="Calibri" w:hAnsi="Arial" w:cs="Arial"/>
          <w:color w:val="000000"/>
          <w:sz w:val="22"/>
          <w:vertAlign w:val="superscript"/>
        </w:rPr>
        <w:footnoteReference w:id="3"/>
      </w:r>
      <w:r w:rsidRPr="00414190">
        <w:rPr>
          <w:rFonts w:ascii="Arial" w:eastAsia="Calibri" w:hAnsi="Arial" w:cs="Arial"/>
          <w:color w:val="000000"/>
          <w:sz w:val="22"/>
        </w:rPr>
        <w:t xml:space="preserve">; y respecto de los aportes que hacen </w:t>
      </w:r>
      <w:r w:rsidRPr="00414190">
        <w:rPr>
          <w:rFonts w:ascii="Arial" w:eastAsia="Calibri" w:hAnsi="Arial" w:cs="Arial"/>
          <w:color w:val="000000"/>
          <w:sz w:val="22"/>
        </w:rPr>
        <w:lastRenderedPageBreak/>
        <w:t>las partes a la persona jurídica, la norma autoriza que sean en dinero, especie o industria, definidos en el artículo 3.</w:t>
      </w:r>
    </w:p>
    <w:p w14:paraId="6FEB6D81" w14:textId="59B180DB" w:rsidR="001434A4" w:rsidRDefault="001434A4" w:rsidP="008D646C">
      <w:pPr>
        <w:spacing w:line="276" w:lineRule="auto"/>
        <w:jc w:val="both"/>
        <w:rPr>
          <w:rFonts w:ascii="Arial" w:eastAsia="Calibri" w:hAnsi="Arial" w:cs="Arial"/>
          <w:color w:val="000000"/>
          <w:sz w:val="22"/>
        </w:rPr>
      </w:pPr>
      <w:r w:rsidRPr="00414190">
        <w:rPr>
          <w:rFonts w:ascii="Arial" w:eastAsia="Calibri" w:hAnsi="Arial" w:cs="Arial"/>
          <w:color w:val="000000"/>
          <w:sz w:val="22"/>
        </w:rPr>
        <w:tab/>
        <w:t xml:space="preserve">A su vez, el Decreto en comento señala otra opción para que la nación y sus entidades descentralizadas se asocien para ejecutar las actividades mencionadas. Es decir, no solo es posible crear una </w:t>
      </w:r>
      <w:r w:rsidR="0083669F">
        <w:rPr>
          <w:rFonts w:ascii="Arial" w:eastAsia="Calibri" w:hAnsi="Arial" w:cs="Arial"/>
          <w:color w:val="000000"/>
          <w:sz w:val="22"/>
        </w:rPr>
        <w:t>persona jurídica</w:t>
      </w:r>
      <w:r w:rsidRPr="00414190">
        <w:rPr>
          <w:rFonts w:ascii="Arial" w:eastAsia="Calibri" w:hAnsi="Arial" w:cs="Arial"/>
          <w:color w:val="000000"/>
          <w:sz w:val="22"/>
        </w:rPr>
        <w:t xml:space="preserve">, sino que pueden participar en una </w:t>
      </w:r>
      <w:r w:rsidR="0083669F">
        <w:rPr>
          <w:rFonts w:ascii="Arial" w:eastAsia="Calibri" w:hAnsi="Arial" w:cs="Arial"/>
          <w:color w:val="000000"/>
          <w:sz w:val="22"/>
        </w:rPr>
        <w:t>previamente</w:t>
      </w:r>
      <w:r w:rsidRPr="00414190">
        <w:rPr>
          <w:rFonts w:ascii="Arial" w:eastAsia="Calibri" w:hAnsi="Arial" w:cs="Arial"/>
          <w:color w:val="000000"/>
          <w:sz w:val="22"/>
        </w:rPr>
        <w:t xml:space="preserve"> creada, lo cual se realiza mediante la compra de acciones, cuotas o partes de interés, con la condición de que el objeto de la persona corresponda con los propósitos señalados en el artículo 2 citado. La participación de las entidades públicas y de los particulares en esas personas jurídicas ‒creadas o existentes‒, es susceptible de ofrecerse y ser adquirida por otras personas públicas o privadas, sin </w:t>
      </w:r>
      <w:r>
        <w:rPr>
          <w:rFonts w:ascii="Arial" w:eastAsia="Calibri" w:hAnsi="Arial" w:cs="Arial"/>
          <w:color w:val="000000"/>
          <w:sz w:val="22"/>
        </w:rPr>
        <w:t xml:space="preserve">ninguna </w:t>
      </w:r>
      <w:r w:rsidRPr="00414190">
        <w:rPr>
          <w:rFonts w:ascii="Arial" w:eastAsia="Calibri" w:hAnsi="Arial" w:cs="Arial"/>
          <w:color w:val="000000"/>
          <w:sz w:val="22"/>
        </w:rPr>
        <w:t>restricción.</w:t>
      </w:r>
    </w:p>
    <w:p w14:paraId="7C1215EE" w14:textId="77777777" w:rsidR="008D646C" w:rsidRPr="008D646C" w:rsidRDefault="008D646C" w:rsidP="008D646C">
      <w:pPr>
        <w:spacing w:line="276" w:lineRule="auto"/>
        <w:jc w:val="both"/>
        <w:rPr>
          <w:rFonts w:ascii="Arial" w:eastAsia="Calibri" w:hAnsi="Arial" w:cs="Arial"/>
          <w:color w:val="000000"/>
          <w:sz w:val="22"/>
        </w:rPr>
      </w:pPr>
    </w:p>
    <w:p w14:paraId="35D4EE11" w14:textId="77777777" w:rsidR="001434A4" w:rsidRPr="00414190" w:rsidRDefault="001434A4" w:rsidP="001434A4">
      <w:pPr>
        <w:spacing w:line="276" w:lineRule="auto"/>
        <w:jc w:val="both"/>
        <w:rPr>
          <w:rFonts w:ascii="Arial" w:eastAsia="Calibri" w:hAnsi="Arial" w:cs="Arial"/>
          <w:b/>
          <w:bCs/>
          <w:color w:val="000000"/>
          <w:sz w:val="22"/>
        </w:rPr>
      </w:pPr>
      <w:r w:rsidRPr="00414190">
        <w:rPr>
          <w:rFonts w:ascii="Arial" w:eastAsia="Calibri" w:hAnsi="Arial" w:cs="Arial"/>
          <w:b/>
          <w:bCs/>
          <w:color w:val="000000"/>
          <w:sz w:val="22"/>
        </w:rPr>
        <w:t>ii) Convenio especial de cooperación</w:t>
      </w:r>
    </w:p>
    <w:p w14:paraId="44BDD3EC" w14:textId="77777777" w:rsidR="001434A4" w:rsidRPr="00414190" w:rsidRDefault="001434A4" w:rsidP="001434A4">
      <w:pPr>
        <w:spacing w:line="276" w:lineRule="auto"/>
        <w:jc w:val="both"/>
        <w:rPr>
          <w:rFonts w:ascii="Arial" w:eastAsia="Calibri" w:hAnsi="Arial" w:cs="Arial"/>
          <w:b/>
          <w:bCs/>
          <w:color w:val="000000"/>
          <w:sz w:val="22"/>
        </w:rPr>
      </w:pPr>
    </w:p>
    <w:p w14:paraId="4177E518" w14:textId="77777777" w:rsidR="001434A4" w:rsidRPr="00414190" w:rsidRDefault="001434A4" w:rsidP="001434A4">
      <w:pPr>
        <w:spacing w:after="120" w:line="276" w:lineRule="auto"/>
        <w:jc w:val="both"/>
        <w:rPr>
          <w:rFonts w:ascii="Arial" w:eastAsia="Calibri" w:hAnsi="Arial" w:cs="Arial"/>
          <w:color w:val="000000"/>
          <w:sz w:val="22"/>
        </w:rPr>
      </w:pPr>
      <w:r w:rsidRPr="00414190">
        <w:rPr>
          <w:rFonts w:ascii="Arial" w:eastAsia="Calibri" w:hAnsi="Arial" w:cs="Arial"/>
          <w:color w:val="000000"/>
          <w:sz w:val="22"/>
        </w:rPr>
        <w:t>De acuerdo con lo anterior, este convenio se diferencia de la creación de personas jurídicas, teniendo en cuenta que el Decreto los presenta como dos formas de asociación diferentes, y porque la celebración del convenio especial de cooperación no da origen a una persona jurídica cuya existencia se debe señalar en la ley que, como se verá, no lo previó así. Por ende, es un tipo de contrato que puede celebrar la nación y sus entidades descentralizadas, con particulares y otras entidades estatales, cuyos aportes pueden ser diferentes para cumplir los propósitos del artículo 2 citado. En ese sentido, este convenio y la creación de personas jurídicas tienen en común los objetos que la norma señala para que las entidades cumplan su función de fomentar las actividades de ciencia, tecnología e innovación.</w:t>
      </w:r>
    </w:p>
    <w:p w14:paraId="2F9C93D3" w14:textId="77777777" w:rsidR="001434A4" w:rsidRPr="00414190" w:rsidRDefault="001434A4" w:rsidP="001434A4">
      <w:pPr>
        <w:spacing w:before="120" w:after="120" w:line="276" w:lineRule="auto"/>
        <w:jc w:val="both"/>
        <w:rPr>
          <w:rFonts w:ascii="Arial" w:eastAsia="Calibri" w:hAnsi="Arial" w:cs="Arial"/>
          <w:color w:val="000000"/>
          <w:sz w:val="22"/>
        </w:rPr>
      </w:pPr>
      <w:r w:rsidRPr="00414190">
        <w:rPr>
          <w:rFonts w:ascii="Arial" w:eastAsia="Calibri" w:hAnsi="Arial" w:cs="Arial"/>
          <w:color w:val="000000"/>
          <w:sz w:val="22"/>
        </w:rPr>
        <w:tab/>
        <w:t xml:space="preserve">Las reglas para la celebración de este convenio están enlistadas en los artículos 7 y 8 del Decreto 393 de 1991: i) inexistencia de solidaridad entre sus partes, ii) regular la propiedad y los derechos sobre los resultados del convenio, iii) definir las obligaciones de las partes, iv) determinar la forma de administración de los aportes, v) el régimen jurídico </w:t>
      </w:r>
      <w:r w:rsidRPr="00414190">
        <w:rPr>
          <w:rFonts w:ascii="Arial" w:eastAsia="Calibri" w:hAnsi="Arial" w:cs="Arial"/>
          <w:color w:val="000000"/>
          <w:sz w:val="22"/>
        </w:rPr>
        <w:lastRenderedPageBreak/>
        <w:t>es el derecho privado, vi) debe ser escrito, vii) señalar el objeto y el plazo e viii) incluir cláusulas de cesión y terminación.</w:t>
      </w:r>
    </w:p>
    <w:p w14:paraId="24DFD1C8" w14:textId="77777777" w:rsidR="001434A4" w:rsidRPr="00414190" w:rsidRDefault="001434A4" w:rsidP="001434A4">
      <w:pPr>
        <w:spacing w:before="120" w:line="276" w:lineRule="auto"/>
        <w:jc w:val="both"/>
        <w:rPr>
          <w:rFonts w:ascii="Arial" w:eastAsia="Calibri" w:hAnsi="Arial" w:cs="Arial"/>
          <w:color w:val="000000"/>
          <w:sz w:val="22"/>
        </w:rPr>
      </w:pPr>
      <w:r w:rsidRPr="00414190">
        <w:rPr>
          <w:rFonts w:ascii="Arial" w:eastAsia="Calibri" w:hAnsi="Arial" w:cs="Arial"/>
          <w:color w:val="000000"/>
          <w:sz w:val="22"/>
        </w:rPr>
        <w:tab/>
      </w:r>
      <w:r>
        <w:rPr>
          <w:rFonts w:ascii="Arial" w:eastAsia="Calibri" w:hAnsi="Arial" w:cs="Arial"/>
          <w:color w:val="000000"/>
          <w:sz w:val="22"/>
        </w:rPr>
        <w:t>De igual forma</w:t>
      </w:r>
      <w:r w:rsidRPr="00414190">
        <w:rPr>
          <w:rFonts w:ascii="Arial" w:eastAsia="Calibri" w:hAnsi="Arial" w:cs="Arial"/>
          <w:color w:val="000000"/>
          <w:sz w:val="22"/>
        </w:rPr>
        <w:t>, el convenio especial de cooperación requiere su publicación en el Diario Oficial y trámites presupuestales propios de las entidades. La Corte Constitucional definió este convenio señalando que «constituyen modalidades especiales de asociación, según calificación que hace tanto la ley de facultades (ley 29 de 1992, art. 11) como el decreto del cual hacen parte las normas acusadas, y sometidos al régimen del derecho privado»</w:t>
      </w:r>
      <w:r w:rsidRPr="00414190">
        <w:rPr>
          <w:rFonts w:ascii="Arial" w:eastAsia="Calibri" w:hAnsi="Arial" w:cs="Arial"/>
          <w:color w:val="000000"/>
          <w:sz w:val="22"/>
          <w:vertAlign w:val="superscript"/>
        </w:rPr>
        <w:footnoteReference w:id="4"/>
      </w:r>
      <w:r w:rsidRPr="00414190">
        <w:rPr>
          <w:rFonts w:ascii="Arial" w:eastAsia="Calibri" w:hAnsi="Arial" w:cs="Arial"/>
          <w:color w:val="000000"/>
          <w:sz w:val="22"/>
        </w:rPr>
        <w:t xml:space="preserve"> [La norma señalada en esta cita es del año 1990]. Además, </w:t>
      </w:r>
      <w:r>
        <w:rPr>
          <w:rFonts w:ascii="Arial" w:eastAsia="Calibri" w:hAnsi="Arial" w:cs="Arial"/>
          <w:color w:val="000000"/>
          <w:sz w:val="22"/>
        </w:rPr>
        <w:t>esa Corporación</w:t>
      </w:r>
      <w:r w:rsidRPr="00414190">
        <w:rPr>
          <w:rFonts w:ascii="Arial" w:eastAsia="Calibri" w:hAnsi="Arial" w:cs="Arial"/>
          <w:color w:val="000000"/>
          <w:sz w:val="22"/>
        </w:rPr>
        <w:t xml:space="preserve"> revisó la constitucionalidad del artículo 6 del Decreto 393 de 1991, que define el convenio especial de cooperación, puesto que el actor consideraba que se violaba la competencia del Congreso para expedir el Estatuto General de Contratación de la Administración Pública:</w:t>
      </w:r>
    </w:p>
    <w:p w14:paraId="397FAE1D" w14:textId="77777777" w:rsidR="001434A4" w:rsidRPr="00414190" w:rsidRDefault="001434A4" w:rsidP="001434A4">
      <w:pPr>
        <w:spacing w:line="276" w:lineRule="auto"/>
        <w:jc w:val="both"/>
        <w:rPr>
          <w:rFonts w:ascii="Arial" w:eastAsia="Calibri" w:hAnsi="Arial" w:cs="Arial"/>
          <w:color w:val="000000"/>
          <w:sz w:val="22"/>
        </w:rPr>
      </w:pPr>
    </w:p>
    <w:p w14:paraId="72475ACF" w14:textId="09A94208" w:rsidR="001434A4" w:rsidRPr="00414190" w:rsidRDefault="007C0512" w:rsidP="001434A4">
      <w:pPr>
        <w:ind w:left="709" w:right="709"/>
        <w:jc w:val="both"/>
        <w:rPr>
          <w:rFonts w:ascii="Arial" w:eastAsia="Calibri" w:hAnsi="Arial" w:cs="Arial"/>
          <w:color w:val="000000"/>
          <w:sz w:val="21"/>
          <w:szCs w:val="21"/>
        </w:rPr>
      </w:pPr>
      <w:r w:rsidRPr="00830F50">
        <w:rPr>
          <w:rFonts w:ascii="Arial" w:eastAsia="Calibri" w:hAnsi="Arial" w:cs="Arial"/>
          <w:sz w:val="21"/>
          <w:szCs w:val="21"/>
        </w:rPr>
        <w:t>«</w:t>
      </w:r>
      <w:r w:rsidR="001434A4" w:rsidRPr="00414190">
        <w:rPr>
          <w:rFonts w:ascii="Arial" w:eastAsia="Calibri" w:hAnsi="Arial" w:cs="Arial"/>
          <w:color w:val="000000"/>
          <w:sz w:val="21"/>
          <w:szCs w:val="21"/>
        </w:rPr>
        <w:t xml:space="preserve">El inciso final del art. 150 de la Constitución si bien faculta al Congreso para </w:t>
      </w:r>
      <w:r>
        <w:rPr>
          <w:rFonts w:ascii="Arial" w:eastAsia="Calibri" w:hAnsi="Arial" w:cs="Arial"/>
          <w:color w:val="000000"/>
          <w:sz w:val="21"/>
          <w:szCs w:val="21"/>
        </w:rPr>
        <w:t>“</w:t>
      </w:r>
      <w:r w:rsidR="001434A4" w:rsidRPr="00414190">
        <w:rPr>
          <w:rFonts w:ascii="Arial" w:eastAsia="Calibri" w:hAnsi="Arial" w:cs="Arial"/>
          <w:color w:val="000000"/>
          <w:sz w:val="21"/>
          <w:szCs w:val="21"/>
        </w:rPr>
        <w:t>expedir el estatuto general de la contratación pública y en especial de la administración nacional</w:t>
      </w:r>
      <w:r>
        <w:rPr>
          <w:rFonts w:ascii="Arial" w:eastAsia="Calibri" w:hAnsi="Arial" w:cs="Arial"/>
          <w:color w:val="000000"/>
          <w:sz w:val="21"/>
          <w:szCs w:val="21"/>
        </w:rPr>
        <w:t>”</w:t>
      </w:r>
      <w:r w:rsidR="001434A4" w:rsidRPr="00414190">
        <w:rPr>
          <w:rFonts w:ascii="Arial" w:eastAsia="Calibri" w:hAnsi="Arial" w:cs="Arial"/>
          <w:color w:val="000000"/>
          <w:sz w:val="21"/>
          <w:szCs w:val="21"/>
        </w:rPr>
        <w:t>, no alude a un estatuto único; pero además el decreto 393 no constituye propiamente un estatuto de contratación. Simplemente prevé entre los mecanismos de asociación para el fomento de la investigación uno especial consistente en la celebración de convenios de cooperación; de ahí la razón por la cual la ley 80 de 1993 no se ocupó de derogar tal reglamentación</w:t>
      </w:r>
      <w:r w:rsidR="001434A4" w:rsidRPr="00414190">
        <w:rPr>
          <w:rFonts w:ascii="Arial" w:eastAsia="Calibri" w:hAnsi="Arial" w:cs="Arial"/>
          <w:color w:val="000000"/>
          <w:sz w:val="21"/>
          <w:szCs w:val="21"/>
          <w:vertAlign w:val="superscript"/>
        </w:rPr>
        <w:footnoteReference w:id="5"/>
      </w:r>
      <w:r w:rsidRPr="00830F50">
        <w:rPr>
          <w:rFonts w:ascii="Arial" w:eastAsia="Calibri" w:hAnsi="Arial" w:cs="Arial"/>
          <w:sz w:val="21"/>
          <w:szCs w:val="21"/>
        </w:rPr>
        <w:t>»</w:t>
      </w:r>
      <w:r w:rsidR="00353042">
        <w:rPr>
          <w:rFonts w:ascii="Arial" w:eastAsia="Calibri" w:hAnsi="Arial" w:cs="Arial"/>
          <w:sz w:val="21"/>
          <w:szCs w:val="21"/>
        </w:rPr>
        <w:t>.</w:t>
      </w:r>
    </w:p>
    <w:p w14:paraId="3673B3F5" w14:textId="77777777" w:rsidR="001434A4" w:rsidRPr="00414190" w:rsidRDefault="001434A4" w:rsidP="001434A4">
      <w:pPr>
        <w:spacing w:line="276" w:lineRule="auto"/>
        <w:ind w:right="709"/>
        <w:jc w:val="both"/>
        <w:rPr>
          <w:rFonts w:ascii="Arial" w:eastAsia="Calibri" w:hAnsi="Arial" w:cs="Arial"/>
          <w:color w:val="000000"/>
          <w:sz w:val="21"/>
          <w:szCs w:val="21"/>
        </w:rPr>
      </w:pPr>
    </w:p>
    <w:p w14:paraId="0FCB821E" w14:textId="77777777" w:rsidR="001434A4" w:rsidRPr="00414190" w:rsidRDefault="001434A4" w:rsidP="00BB6E5C">
      <w:pPr>
        <w:spacing w:line="276" w:lineRule="auto"/>
        <w:jc w:val="both"/>
        <w:rPr>
          <w:rFonts w:ascii="Arial" w:eastAsia="Calibri" w:hAnsi="Arial" w:cs="Arial"/>
          <w:color w:val="000000"/>
          <w:sz w:val="22"/>
        </w:rPr>
      </w:pPr>
      <w:r w:rsidRPr="00414190">
        <w:rPr>
          <w:rFonts w:ascii="Arial" w:eastAsia="Calibri" w:hAnsi="Arial" w:cs="Arial"/>
          <w:color w:val="000000"/>
          <w:sz w:val="21"/>
          <w:szCs w:val="21"/>
        </w:rPr>
        <w:tab/>
      </w:r>
      <w:r>
        <w:rPr>
          <w:rFonts w:ascii="Arial" w:eastAsia="Calibri" w:hAnsi="Arial" w:cs="Arial"/>
          <w:color w:val="000000"/>
          <w:sz w:val="22"/>
        </w:rPr>
        <w:t>Así las cosas</w:t>
      </w:r>
      <w:r w:rsidRPr="00414190">
        <w:rPr>
          <w:rFonts w:ascii="Arial" w:eastAsia="Calibri" w:hAnsi="Arial" w:cs="Arial"/>
          <w:color w:val="000000"/>
          <w:sz w:val="22"/>
        </w:rPr>
        <w:t xml:space="preserve">, es claro que se trata de un régimen excepcional a la aplicación de la Ley 80 de 1993, el cual tiene origen en la especialidad de la materia, </w:t>
      </w:r>
      <w:r>
        <w:rPr>
          <w:rFonts w:ascii="Arial" w:eastAsia="Calibri" w:hAnsi="Arial" w:cs="Arial"/>
          <w:color w:val="000000"/>
          <w:sz w:val="22"/>
        </w:rPr>
        <w:t>debido a</w:t>
      </w:r>
      <w:r w:rsidRPr="00414190">
        <w:rPr>
          <w:rFonts w:ascii="Arial" w:eastAsia="Calibri" w:hAnsi="Arial" w:cs="Arial"/>
          <w:color w:val="000000"/>
          <w:sz w:val="22"/>
        </w:rPr>
        <w:t xml:space="preserve"> que la Constitución Política otorga un carácter especial a las actividades de ciencia, tecnología e innovación, y el decreto citado desarrolla esto admitiendo un régimen jurídico diferente, es decir, el derecho privado. </w:t>
      </w:r>
      <w:r>
        <w:rPr>
          <w:rFonts w:ascii="Arial" w:eastAsia="Calibri" w:hAnsi="Arial" w:cs="Arial"/>
          <w:color w:val="000000"/>
          <w:sz w:val="22"/>
        </w:rPr>
        <w:t>Lo anterior se corrobora en</w:t>
      </w:r>
      <w:r w:rsidRPr="00414190">
        <w:rPr>
          <w:rFonts w:ascii="Arial" w:eastAsia="Calibri" w:hAnsi="Arial" w:cs="Arial"/>
          <w:color w:val="000000"/>
          <w:sz w:val="22"/>
        </w:rPr>
        <w:t xml:space="preserve"> la Circular Externa Única de Colombia Compra Eficiente que hace referencia a que este convenio puede incluir temas relativos a administración o financiamiento, que también tendrían el régimen privado del convenio</w:t>
      </w:r>
      <w:r w:rsidRPr="00414190">
        <w:rPr>
          <w:rFonts w:ascii="Arial" w:eastAsia="Calibri" w:hAnsi="Arial" w:cs="Arial"/>
          <w:color w:val="000000"/>
          <w:sz w:val="22"/>
          <w:vertAlign w:val="superscript"/>
        </w:rPr>
        <w:footnoteReference w:id="6"/>
      </w:r>
      <w:r w:rsidRPr="00414190">
        <w:rPr>
          <w:rFonts w:ascii="Arial" w:eastAsia="Calibri" w:hAnsi="Arial" w:cs="Arial"/>
          <w:color w:val="000000"/>
          <w:sz w:val="22"/>
        </w:rPr>
        <w:t>.</w:t>
      </w:r>
    </w:p>
    <w:p w14:paraId="06C85E28" w14:textId="77777777" w:rsidR="00BB6E5C" w:rsidRDefault="00BB6E5C" w:rsidP="00BB6E5C">
      <w:pPr>
        <w:spacing w:line="276" w:lineRule="auto"/>
        <w:jc w:val="both"/>
        <w:rPr>
          <w:rFonts w:ascii="Arial" w:eastAsia="Calibri" w:hAnsi="Arial" w:cs="Arial"/>
          <w:b/>
          <w:bCs/>
          <w:color w:val="000000"/>
          <w:sz w:val="22"/>
        </w:rPr>
      </w:pPr>
    </w:p>
    <w:p w14:paraId="222D492D" w14:textId="5AB25734" w:rsidR="001434A4" w:rsidRPr="00414190" w:rsidRDefault="001434A4" w:rsidP="00BB6E5C">
      <w:pPr>
        <w:spacing w:line="276" w:lineRule="auto"/>
        <w:jc w:val="both"/>
        <w:rPr>
          <w:rFonts w:ascii="Arial" w:eastAsia="Calibri" w:hAnsi="Arial" w:cs="Arial"/>
          <w:b/>
          <w:bCs/>
          <w:color w:val="000000"/>
          <w:sz w:val="22"/>
        </w:rPr>
      </w:pPr>
      <w:r w:rsidRPr="00414190">
        <w:rPr>
          <w:rFonts w:ascii="Arial" w:eastAsia="Calibri" w:hAnsi="Arial" w:cs="Arial"/>
          <w:b/>
          <w:bCs/>
          <w:color w:val="000000"/>
          <w:sz w:val="22"/>
        </w:rPr>
        <w:t xml:space="preserve">b) Decreto </w:t>
      </w:r>
      <w:r>
        <w:rPr>
          <w:rFonts w:ascii="Arial" w:eastAsia="Calibri" w:hAnsi="Arial" w:cs="Arial"/>
          <w:b/>
          <w:bCs/>
          <w:color w:val="000000"/>
          <w:sz w:val="22"/>
        </w:rPr>
        <w:t xml:space="preserve">Ley </w:t>
      </w:r>
      <w:r w:rsidRPr="00414190">
        <w:rPr>
          <w:rFonts w:ascii="Arial" w:eastAsia="Calibri" w:hAnsi="Arial" w:cs="Arial"/>
          <w:b/>
          <w:bCs/>
          <w:color w:val="000000"/>
          <w:sz w:val="22"/>
        </w:rPr>
        <w:t>591 de 1991</w:t>
      </w:r>
    </w:p>
    <w:p w14:paraId="3E5D1804" w14:textId="77777777" w:rsidR="001434A4" w:rsidRPr="00414190" w:rsidRDefault="001434A4" w:rsidP="001434A4">
      <w:pPr>
        <w:spacing w:line="276" w:lineRule="auto"/>
        <w:jc w:val="both"/>
        <w:rPr>
          <w:rFonts w:ascii="Arial" w:eastAsia="Calibri" w:hAnsi="Arial" w:cs="Arial"/>
          <w:color w:val="000000"/>
          <w:sz w:val="22"/>
        </w:rPr>
      </w:pPr>
    </w:p>
    <w:p w14:paraId="146F3509" w14:textId="77777777" w:rsidR="001434A4" w:rsidRPr="00414190" w:rsidRDefault="001434A4" w:rsidP="001434A4">
      <w:pPr>
        <w:spacing w:line="276" w:lineRule="auto"/>
        <w:jc w:val="both"/>
        <w:rPr>
          <w:rFonts w:ascii="Arial" w:eastAsia="Calibri" w:hAnsi="Arial" w:cs="Arial"/>
          <w:color w:val="000000"/>
          <w:sz w:val="22"/>
        </w:rPr>
      </w:pPr>
      <w:r w:rsidRPr="00414190">
        <w:rPr>
          <w:rFonts w:ascii="Arial" w:eastAsia="Calibri" w:hAnsi="Arial" w:cs="Arial"/>
          <w:color w:val="000000"/>
          <w:sz w:val="22"/>
        </w:rPr>
        <w:t xml:space="preserve">La Ley 80 de 1993, en el artículo 81, dispone las derogatorias y vigencia de la norma, e incluyó este decreto, y señaló que los artículos que continuarían vigentes son: 2, 8, 9, 17 y 19; por lo que la mayoría de las disposiciones se encuentran derogadas. Así, el Decreto 591 de 1991 enlista actividades científicas y tecnológicas y, a pesar de que su propósito </w:t>
      </w:r>
      <w:r w:rsidRPr="00414190">
        <w:rPr>
          <w:rFonts w:ascii="Arial" w:eastAsia="Calibri" w:hAnsi="Arial" w:cs="Arial"/>
          <w:color w:val="000000"/>
          <w:sz w:val="22"/>
        </w:rPr>
        <w:lastRenderedPageBreak/>
        <w:t>principal era regular las modalidades específicas de contratos de fomento de esas actividades, con la derogatoria del artículo 7 que señalaba 10 tipos de contratos, actualmente se encuentran vigentes 3: i) contratos de financiamiento, ii) contratos de administración de proyectos y iii) convenios especiales de cooperación.</w:t>
      </w:r>
    </w:p>
    <w:p w14:paraId="09525D1C" w14:textId="77777777" w:rsidR="001434A4" w:rsidRPr="00414190" w:rsidRDefault="001434A4" w:rsidP="001434A4">
      <w:pPr>
        <w:spacing w:line="276" w:lineRule="auto"/>
        <w:jc w:val="both"/>
        <w:rPr>
          <w:rFonts w:ascii="Arial" w:eastAsia="Calibri" w:hAnsi="Arial" w:cs="Arial"/>
          <w:color w:val="000000"/>
          <w:sz w:val="22"/>
        </w:rPr>
      </w:pPr>
      <w:r w:rsidRPr="00414190">
        <w:rPr>
          <w:rFonts w:ascii="Arial" w:eastAsia="Calibri" w:hAnsi="Arial" w:cs="Arial"/>
          <w:color w:val="000000"/>
          <w:sz w:val="22"/>
        </w:rPr>
        <w:tab/>
      </w:r>
    </w:p>
    <w:p w14:paraId="37CAAF8C" w14:textId="77777777" w:rsidR="001434A4" w:rsidRPr="00414190" w:rsidRDefault="001434A4" w:rsidP="001434A4">
      <w:pPr>
        <w:spacing w:line="276" w:lineRule="auto"/>
        <w:jc w:val="both"/>
        <w:rPr>
          <w:rFonts w:ascii="Arial" w:eastAsia="Calibri" w:hAnsi="Arial" w:cs="Arial"/>
          <w:b/>
          <w:bCs/>
          <w:color w:val="000000"/>
          <w:sz w:val="22"/>
        </w:rPr>
      </w:pPr>
      <w:r w:rsidRPr="00414190">
        <w:rPr>
          <w:rFonts w:ascii="Arial" w:eastAsia="Calibri" w:hAnsi="Arial" w:cs="Arial"/>
          <w:b/>
          <w:bCs/>
          <w:color w:val="000000"/>
          <w:sz w:val="22"/>
        </w:rPr>
        <w:t>i) Contrato de financiamiento</w:t>
      </w:r>
    </w:p>
    <w:p w14:paraId="75BD666C" w14:textId="77777777" w:rsidR="001434A4" w:rsidRPr="00414190" w:rsidRDefault="001434A4" w:rsidP="001434A4">
      <w:pPr>
        <w:spacing w:line="276" w:lineRule="auto"/>
        <w:jc w:val="both"/>
        <w:rPr>
          <w:rFonts w:ascii="Arial" w:eastAsia="Calibri" w:hAnsi="Arial" w:cs="Arial"/>
          <w:b/>
          <w:bCs/>
          <w:color w:val="000000"/>
          <w:sz w:val="22"/>
        </w:rPr>
      </w:pPr>
    </w:p>
    <w:p w14:paraId="7E0F31E5" w14:textId="77777777" w:rsidR="001434A4" w:rsidRPr="00414190" w:rsidRDefault="001434A4" w:rsidP="001434A4">
      <w:pPr>
        <w:spacing w:after="120" w:line="276" w:lineRule="auto"/>
        <w:jc w:val="both"/>
        <w:rPr>
          <w:rFonts w:ascii="Arial" w:eastAsia="Calibri" w:hAnsi="Arial" w:cs="Arial"/>
          <w:color w:val="000000"/>
          <w:sz w:val="22"/>
        </w:rPr>
      </w:pPr>
      <w:r w:rsidRPr="00414190">
        <w:rPr>
          <w:rFonts w:ascii="Arial" w:eastAsia="Calibri" w:hAnsi="Arial" w:cs="Arial"/>
          <w:color w:val="000000"/>
          <w:sz w:val="22"/>
        </w:rPr>
        <w:t>Su propósito es entregar recursos al contratista ‒particular o entidad estatal‒ los cuales estarán sujetos a reembolso obligatorio, condicional o parcial, o recuperación contingente. Para el reembolso se fija un plazo e intereses, y cuando este sea obligatorio el contratista devuelve los recursos, pero cuando es condicional o parcial el contratista podrá eximirse de la obligación de pago cuando la entidad considere que su labor fue exitosa o por la magnitud de la actividad. Por otra parte, la recuperación contingente se refiere a que el reembolso de los recursos a la entidad, por parte del contratista, solo ocurrirá cuando se configure alguna de las causales que se deben prever en el contrato.</w:t>
      </w:r>
    </w:p>
    <w:p w14:paraId="27FA175A" w14:textId="77777777" w:rsidR="001434A4" w:rsidRPr="00414190" w:rsidRDefault="001434A4" w:rsidP="001434A4">
      <w:pPr>
        <w:spacing w:line="276" w:lineRule="auto"/>
        <w:jc w:val="both"/>
        <w:rPr>
          <w:rFonts w:ascii="Arial" w:eastAsia="Calibri" w:hAnsi="Arial" w:cs="Arial"/>
          <w:color w:val="000000"/>
          <w:sz w:val="22"/>
        </w:rPr>
      </w:pPr>
      <w:r w:rsidRPr="00414190">
        <w:rPr>
          <w:rFonts w:ascii="Arial" w:eastAsia="Calibri" w:hAnsi="Arial" w:cs="Arial"/>
          <w:color w:val="000000"/>
          <w:sz w:val="22"/>
        </w:rPr>
        <w:tab/>
        <w:t xml:space="preserve">Como se observa, el Decreto 591 de 1991 no señala el régimen aplicable a este contrato, por lo cual la Circular Externa Única de Colombia Compra Eficiente dispone que «están sujetos a (i) las leyes 80 de 1993 y 1150 de 2007 y a sus normas reglamentarias y pueden celebrarse bajo la modalidad de contratación directa; y (ii) el artículo 8 del Decreto–Ley 591 de 1991». </w:t>
      </w:r>
    </w:p>
    <w:p w14:paraId="405EA698" w14:textId="77777777" w:rsidR="001434A4" w:rsidRPr="00414190" w:rsidRDefault="001434A4" w:rsidP="001434A4">
      <w:pPr>
        <w:spacing w:line="276" w:lineRule="auto"/>
        <w:jc w:val="both"/>
        <w:rPr>
          <w:rFonts w:ascii="Arial" w:eastAsia="Calibri" w:hAnsi="Arial" w:cs="Arial"/>
          <w:color w:val="000000"/>
          <w:sz w:val="22"/>
        </w:rPr>
      </w:pPr>
    </w:p>
    <w:p w14:paraId="0A29F954" w14:textId="77777777" w:rsidR="001434A4" w:rsidRPr="00414190" w:rsidRDefault="001434A4" w:rsidP="001434A4">
      <w:pPr>
        <w:spacing w:line="276" w:lineRule="auto"/>
        <w:jc w:val="both"/>
        <w:rPr>
          <w:rFonts w:ascii="Arial" w:eastAsia="Calibri" w:hAnsi="Arial" w:cs="Arial"/>
          <w:b/>
          <w:bCs/>
          <w:color w:val="000000"/>
          <w:sz w:val="22"/>
        </w:rPr>
      </w:pPr>
      <w:r w:rsidRPr="00414190">
        <w:rPr>
          <w:rFonts w:ascii="Arial" w:eastAsia="Calibri" w:hAnsi="Arial" w:cs="Arial"/>
          <w:b/>
          <w:bCs/>
          <w:color w:val="000000"/>
          <w:sz w:val="22"/>
        </w:rPr>
        <w:t>ii) Contrato de administración de proyectos</w:t>
      </w:r>
    </w:p>
    <w:p w14:paraId="074EB268" w14:textId="77777777" w:rsidR="001434A4" w:rsidRPr="00414190" w:rsidRDefault="001434A4" w:rsidP="001434A4">
      <w:pPr>
        <w:spacing w:line="276" w:lineRule="auto"/>
        <w:jc w:val="both"/>
        <w:rPr>
          <w:rFonts w:ascii="Arial" w:eastAsia="Calibri" w:hAnsi="Arial" w:cs="Arial"/>
          <w:b/>
          <w:bCs/>
          <w:color w:val="000000"/>
          <w:sz w:val="22"/>
        </w:rPr>
      </w:pPr>
    </w:p>
    <w:p w14:paraId="711EFDAB" w14:textId="77777777" w:rsidR="001434A4" w:rsidRPr="00414190" w:rsidRDefault="001434A4" w:rsidP="001434A4">
      <w:pPr>
        <w:spacing w:line="276" w:lineRule="auto"/>
        <w:jc w:val="both"/>
        <w:rPr>
          <w:rFonts w:ascii="Arial" w:eastAsia="Calibri" w:hAnsi="Arial" w:cs="Arial"/>
          <w:color w:val="000000"/>
          <w:sz w:val="22"/>
        </w:rPr>
      </w:pPr>
      <w:r w:rsidRPr="00414190">
        <w:rPr>
          <w:rFonts w:ascii="Arial" w:eastAsia="Calibri" w:hAnsi="Arial" w:cs="Arial"/>
          <w:color w:val="000000"/>
          <w:sz w:val="22"/>
        </w:rPr>
        <w:t>El Decreto 591 de 1991 no especifica las características de este contrato, y solo establece, en el artículo 9, que «Para el desarrollo de las actividades científicas y tecnológicas previstas en este Decreto, la Nación y sus entidades descentralizadas podrán celebrar con personas públicas o privadas contratos de administración de proyectos». Por ende, la Circular Externa Única de Colombia Compra Eficiente señala que su régimen es el Estatuto General de Contratación de la Administración Pública, con aplicación de la modalidad de contratación directa</w:t>
      </w:r>
      <w:r w:rsidRPr="00414190">
        <w:rPr>
          <w:rFonts w:ascii="Arial" w:eastAsia="Calibri" w:hAnsi="Arial" w:cs="Arial"/>
          <w:color w:val="000000"/>
          <w:sz w:val="22"/>
          <w:vertAlign w:val="superscript"/>
        </w:rPr>
        <w:footnoteReference w:id="7"/>
      </w:r>
      <w:r w:rsidRPr="00414190">
        <w:rPr>
          <w:rFonts w:ascii="Arial" w:eastAsia="Calibri" w:hAnsi="Arial" w:cs="Arial"/>
          <w:color w:val="000000"/>
          <w:sz w:val="22"/>
        </w:rPr>
        <w:t>.</w:t>
      </w:r>
    </w:p>
    <w:p w14:paraId="4CF68AAC" w14:textId="77777777" w:rsidR="001434A4" w:rsidRPr="00414190" w:rsidRDefault="001434A4" w:rsidP="001434A4">
      <w:pPr>
        <w:spacing w:line="276" w:lineRule="auto"/>
        <w:jc w:val="both"/>
        <w:rPr>
          <w:rFonts w:ascii="Arial" w:eastAsia="Calibri" w:hAnsi="Arial" w:cs="Arial"/>
          <w:color w:val="000000"/>
          <w:sz w:val="22"/>
        </w:rPr>
      </w:pPr>
    </w:p>
    <w:p w14:paraId="2932C493" w14:textId="77777777" w:rsidR="001434A4" w:rsidRPr="00414190" w:rsidRDefault="001434A4" w:rsidP="001434A4">
      <w:pPr>
        <w:spacing w:line="276" w:lineRule="auto"/>
        <w:jc w:val="both"/>
        <w:rPr>
          <w:rFonts w:ascii="Arial" w:eastAsia="Calibri" w:hAnsi="Arial" w:cs="Arial"/>
          <w:b/>
          <w:bCs/>
          <w:color w:val="000000"/>
          <w:sz w:val="22"/>
        </w:rPr>
      </w:pPr>
      <w:r w:rsidRPr="00414190">
        <w:rPr>
          <w:rFonts w:ascii="Arial" w:eastAsia="Calibri" w:hAnsi="Arial" w:cs="Arial"/>
          <w:b/>
          <w:bCs/>
          <w:color w:val="000000"/>
          <w:sz w:val="22"/>
        </w:rPr>
        <w:t>iii) Convenio especial de cooperación</w:t>
      </w:r>
    </w:p>
    <w:p w14:paraId="1BABF7F2" w14:textId="77777777" w:rsidR="001434A4" w:rsidRPr="00414190" w:rsidRDefault="001434A4" w:rsidP="001434A4">
      <w:pPr>
        <w:spacing w:line="276" w:lineRule="auto"/>
        <w:jc w:val="both"/>
        <w:rPr>
          <w:rFonts w:ascii="Arial" w:eastAsia="Calibri" w:hAnsi="Arial" w:cs="Arial"/>
          <w:color w:val="000000"/>
          <w:sz w:val="22"/>
        </w:rPr>
      </w:pPr>
    </w:p>
    <w:p w14:paraId="2F53CFC3" w14:textId="77777777" w:rsidR="001434A4" w:rsidRPr="00414190" w:rsidRDefault="001434A4" w:rsidP="001434A4">
      <w:pPr>
        <w:spacing w:line="276" w:lineRule="auto"/>
        <w:jc w:val="both"/>
        <w:rPr>
          <w:rFonts w:ascii="Arial" w:eastAsia="Calibri" w:hAnsi="Arial" w:cs="Arial"/>
          <w:color w:val="000000"/>
          <w:sz w:val="22"/>
        </w:rPr>
      </w:pPr>
      <w:r w:rsidRPr="00414190">
        <w:rPr>
          <w:rFonts w:ascii="Arial" w:eastAsia="Calibri" w:hAnsi="Arial" w:cs="Arial"/>
          <w:color w:val="000000"/>
          <w:sz w:val="22"/>
        </w:rPr>
        <w:t xml:space="preserve">A este convenio se había referido el Decreto 393 de 1991, anterior al Decreto 591 de 1991, por lo cual este último no contiene disposiciones con elementos adicionales a lo que estaba </w:t>
      </w:r>
      <w:r w:rsidRPr="00414190">
        <w:rPr>
          <w:rFonts w:ascii="Arial" w:eastAsia="Calibri" w:hAnsi="Arial" w:cs="Arial"/>
          <w:color w:val="000000"/>
          <w:sz w:val="22"/>
        </w:rPr>
        <w:lastRenderedPageBreak/>
        <w:t>regulado</w:t>
      </w:r>
      <w:r w:rsidRPr="00414190">
        <w:rPr>
          <w:rFonts w:ascii="Arial" w:eastAsia="Calibri" w:hAnsi="Arial" w:cs="Arial"/>
          <w:color w:val="000000"/>
          <w:sz w:val="22"/>
          <w:vertAlign w:val="superscript"/>
        </w:rPr>
        <w:footnoteReference w:id="8"/>
      </w:r>
      <w:r w:rsidRPr="00414190">
        <w:rPr>
          <w:rFonts w:ascii="Arial" w:eastAsia="Calibri" w:hAnsi="Arial" w:cs="Arial"/>
          <w:color w:val="000000"/>
          <w:sz w:val="22"/>
        </w:rPr>
        <w:t>. Para finalizar, el artículo 19 señala que dependiendo de la modalidad de contrato ‒financiamiento, administración de proyectos, convenio especial de cooperación‒ será necesario pactar cláusulas respecto de la transferencia tecnológica, que deben tener en cuenta los lineamientos del Consejo Nacional de Ciencia y Tecnología.</w:t>
      </w:r>
    </w:p>
    <w:p w14:paraId="77FF1230" w14:textId="77777777" w:rsidR="00BB6E5C" w:rsidRDefault="00BB6E5C" w:rsidP="00C53AC7">
      <w:pPr>
        <w:tabs>
          <w:tab w:val="left" w:pos="426"/>
        </w:tabs>
        <w:spacing w:line="276" w:lineRule="auto"/>
        <w:jc w:val="both"/>
        <w:rPr>
          <w:rFonts w:ascii="Arial" w:eastAsia="Calibri" w:hAnsi="Arial" w:cs="Arial"/>
          <w:b/>
          <w:color w:val="000000" w:themeColor="text1"/>
          <w:sz w:val="22"/>
        </w:rPr>
      </w:pPr>
    </w:p>
    <w:p w14:paraId="2D67B408" w14:textId="46DCD8F1" w:rsidR="006F320A" w:rsidRDefault="00824088" w:rsidP="00C53AC7">
      <w:pPr>
        <w:tabs>
          <w:tab w:val="left" w:pos="426"/>
        </w:tabs>
        <w:spacing w:line="276" w:lineRule="auto"/>
        <w:jc w:val="both"/>
        <w:rPr>
          <w:rFonts w:ascii="Arial" w:eastAsia="Calibri" w:hAnsi="Arial" w:cs="Arial"/>
          <w:b/>
          <w:color w:val="000000" w:themeColor="text1"/>
          <w:sz w:val="22"/>
        </w:rPr>
      </w:pPr>
      <w:r w:rsidRPr="00E32E3E">
        <w:rPr>
          <w:rFonts w:ascii="Arial" w:eastAsia="Calibri" w:hAnsi="Arial" w:cs="Arial"/>
          <w:b/>
          <w:color w:val="000000" w:themeColor="text1"/>
          <w:sz w:val="22"/>
        </w:rPr>
        <w:t>2.</w:t>
      </w:r>
      <w:r>
        <w:rPr>
          <w:rFonts w:ascii="Arial" w:eastAsia="Calibri" w:hAnsi="Arial" w:cs="Arial"/>
          <w:b/>
          <w:color w:val="000000" w:themeColor="text1"/>
          <w:sz w:val="22"/>
        </w:rPr>
        <w:t>3</w:t>
      </w:r>
      <w:r w:rsidRPr="00E32E3E">
        <w:rPr>
          <w:rFonts w:ascii="Arial" w:eastAsia="Calibri" w:hAnsi="Arial" w:cs="Arial"/>
          <w:b/>
          <w:color w:val="000000" w:themeColor="text1"/>
          <w:sz w:val="22"/>
        </w:rPr>
        <w:t>.</w:t>
      </w:r>
      <w:r w:rsidR="006F320A">
        <w:rPr>
          <w:rFonts w:ascii="Arial" w:eastAsia="Calibri" w:hAnsi="Arial" w:cs="Arial"/>
          <w:b/>
          <w:color w:val="000000" w:themeColor="text1"/>
          <w:sz w:val="22"/>
        </w:rPr>
        <w:t xml:space="preserve"> Modalidad de contratación directa</w:t>
      </w:r>
      <w:r w:rsidR="00434910">
        <w:rPr>
          <w:rFonts w:ascii="Arial" w:eastAsia="Calibri" w:hAnsi="Arial" w:cs="Arial"/>
          <w:b/>
          <w:color w:val="000000" w:themeColor="text1"/>
          <w:sz w:val="22"/>
        </w:rPr>
        <w:t>.</w:t>
      </w:r>
      <w:r w:rsidR="000127CD">
        <w:rPr>
          <w:rFonts w:ascii="Arial" w:eastAsia="Calibri" w:hAnsi="Arial" w:cs="Arial"/>
          <w:b/>
          <w:color w:val="000000" w:themeColor="text1"/>
          <w:sz w:val="22"/>
        </w:rPr>
        <w:t xml:space="preserve"> </w:t>
      </w:r>
      <w:r w:rsidR="00434910">
        <w:rPr>
          <w:rFonts w:ascii="Arial" w:eastAsia="Calibri" w:hAnsi="Arial" w:cs="Arial"/>
          <w:b/>
          <w:color w:val="000000" w:themeColor="text1"/>
          <w:sz w:val="22"/>
        </w:rPr>
        <w:t>G</w:t>
      </w:r>
      <w:r w:rsidR="000127CD">
        <w:rPr>
          <w:rFonts w:ascii="Arial" w:eastAsia="Calibri" w:hAnsi="Arial" w:cs="Arial"/>
          <w:b/>
          <w:color w:val="000000" w:themeColor="text1"/>
          <w:sz w:val="22"/>
        </w:rPr>
        <w:t xml:space="preserve">eneralidades </w:t>
      </w:r>
    </w:p>
    <w:p w14:paraId="3C3D2C84" w14:textId="11E1969A" w:rsidR="006F320A" w:rsidRDefault="006F320A" w:rsidP="00C53AC7">
      <w:pPr>
        <w:tabs>
          <w:tab w:val="left" w:pos="426"/>
        </w:tabs>
        <w:spacing w:line="276" w:lineRule="auto"/>
        <w:jc w:val="both"/>
        <w:rPr>
          <w:rFonts w:ascii="Arial" w:eastAsia="Calibri" w:hAnsi="Arial" w:cs="Arial"/>
          <w:b/>
          <w:color w:val="000000" w:themeColor="text1"/>
          <w:sz w:val="22"/>
        </w:rPr>
      </w:pPr>
    </w:p>
    <w:p w14:paraId="115CD6D3" w14:textId="77777777" w:rsidR="006F320A" w:rsidRPr="00425B43" w:rsidRDefault="006F320A" w:rsidP="006F320A">
      <w:pPr>
        <w:spacing w:after="120" w:line="276" w:lineRule="auto"/>
        <w:jc w:val="both"/>
        <w:rPr>
          <w:rFonts w:ascii="Arial" w:hAnsi="Arial" w:cs="Arial"/>
          <w:sz w:val="22"/>
          <w:lang w:val="es-ES"/>
        </w:rPr>
      </w:pPr>
      <w:r w:rsidRPr="00425B43">
        <w:rPr>
          <w:rFonts w:ascii="Arial" w:hAnsi="Arial" w:cs="Arial"/>
          <w:sz w:val="22"/>
        </w:rPr>
        <w:t xml:space="preserve">La Ley 1150 de 2007, en el artículo 2, </w:t>
      </w:r>
      <w:r w:rsidRPr="001476FE">
        <w:rPr>
          <w:rFonts w:ascii="Arial" w:hAnsi="Arial" w:cs="Arial"/>
          <w:sz w:val="22"/>
        </w:rPr>
        <w:t>establece</w:t>
      </w:r>
      <w:r w:rsidRPr="00425B43">
        <w:rPr>
          <w:rFonts w:ascii="Arial" w:hAnsi="Arial" w:cs="Arial"/>
          <w:sz w:val="22"/>
        </w:rPr>
        <w:t xml:space="preserve"> las 5 modalidades de selección para la escogencia del contratista, y fija las reglas de cada modalidad: licitación pública, selección abreviada, concurso de méritos, mínima cuantía y contratación directa. Por su parte, la exposición de motivos de la Ley 1150 de 2007 </w:t>
      </w:r>
      <w:r w:rsidRPr="00D125A2">
        <w:rPr>
          <w:rFonts w:ascii="Arial" w:hAnsi="Arial" w:cs="Arial"/>
          <w:sz w:val="22"/>
        </w:rPr>
        <w:t>señala</w:t>
      </w:r>
      <w:r w:rsidRPr="00425B43">
        <w:rPr>
          <w:rFonts w:ascii="Arial" w:hAnsi="Arial" w:cs="Arial"/>
          <w:sz w:val="22"/>
        </w:rPr>
        <w:t xml:space="preserve"> las razones por las cuales se establecieron las modalidades de selección del artículo 2: «A ese respecto es claro que las experiencias exitosas a nivel internacional demuestran que el criterio de distinción que debe gobernar un esquema contractual eficiente, es el de modular las modalidades de selección en razón a las características del objeto».</w:t>
      </w:r>
    </w:p>
    <w:p w14:paraId="31AA287B" w14:textId="77777777" w:rsidR="006F320A" w:rsidRDefault="006F320A" w:rsidP="006F320A">
      <w:pPr>
        <w:spacing w:after="120" w:line="276" w:lineRule="auto"/>
        <w:ind w:firstLine="709"/>
        <w:jc w:val="both"/>
        <w:rPr>
          <w:rFonts w:ascii="Arial" w:hAnsi="Arial" w:cs="Arial"/>
          <w:sz w:val="22"/>
        </w:rPr>
      </w:pPr>
      <w:r w:rsidRPr="00425B43">
        <w:rPr>
          <w:rFonts w:ascii="Arial" w:hAnsi="Arial" w:cs="Arial"/>
          <w:sz w:val="22"/>
        </w:rPr>
        <w:t xml:space="preserve">Ahora bien, las modalidades de selección se pueden dividir en i) competitivas y ii) no competitivas. La Guía de competencia en las compras públicas de la Agencia Nacional de Contratación Pública – Colombia Compra Eficiente </w:t>
      </w:r>
      <w:r w:rsidRPr="00EA5676">
        <w:rPr>
          <w:rFonts w:ascii="Arial" w:hAnsi="Arial" w:cs="Arial"/>
          <w:sz w:val="22"/>
        </w:rPr>
        <w:t>señala</w:t>
      </w:r>
      <w:r w:rsidRPr="00425B43">
        <w:rPr>
          <w:rFonts w:ascii="Arial" w:hAnsi="Arial" w:cs="Arial"/>
          <w:sz w:val="22"/>
        </w:rPr>
        <w:t xml:space="preserve"> que: «[…] la competencia, entendida como rivalidad efectiva entre empresas de un mismo mercado, incentiva la reducción de precios, el aumento de la calidad, la lucha contra la corrupción y la innovación por parte del sector privado». </w:t>
      </w:r>
    </w:p>
    <w:p w14:paraId="67DFC9A1" w14:textId="1564D869" w:rsidR="006F320A" w:rsidRDefault="006F320A" w:rsidP="006F320A">
      <w:pPr>
        <w:spacing w:after="120" w:line="276" w:lineRule="auto"/>
        <w:ind w:firstLine="709"/>
        <w:jc w:val="both"/>
        <w:rPr>
          <w:rFonts w:ascii="Arial" w:hAnsi="Arial" w:cs="Arial"/>
          <w:sz w:val="22"/>
        </w:rPr>
      </w:pPr>
      <w:r w:rsidRPr="00425B43">
        <w:rPr>
          <w:rFonts w:ascii="Arial" w:hAnsi="Arial" w:cs="Arial"/>
          <w:sz w:val="22"/>
        </w:rPr>
        <w:t>Por tanto, modalidades como la licitación pública</w:t>
      </w:r>
      <w:r w:rsidR="00434910">
        <w:rPr>
          <w:rFonts w:ascii="Arial" w:hAnsi="Arial" w:cs="Arial"/>
          <w:sz w:val="22"/>
        </w:rPr>
        <w:t>,</w:t>
      </w:r>
      <w:r w:rsidRPr="00425B43">
        <w:rPr>
          <w:rFonts w:ascii="Arial" w:hAnsi="Arial" w:cs="Arial"/>
          <w:sz w:val="22"/>
        </w:rPr>
        <w:t xml:space="preserve"> el concurso de méritos</w:t>
      </w:r>
      <w:r w:rsidR="00434910">
        <w:rPr>
          <w:rFonts w:ascii="Arial" w:hAnsi="Arial" w:cs="Arial"/>
          <w:sz w:val="22"/>
        </w:rPr>
        <w:t>, la selección abreviada y la mínima cuantía</w:t>
      </w:r>
      <w:r w:rsidRPr="00425B43">
        <w:rPr>
          <w:rFonts w:ascii="Arial" w:hAnsi="Arial" w:cs="Arial"/>
          <w:sz w:val="22"/>
        </w:rPr>
        <w:t xml:space="preserve"> son modalidades de selección competitivas o abiertas a competencia, ya que en ellas </w:t>
      </w:r>
      <w:r w:rsidRPr="001476FE">
        <w:rPr>
          <w:rFonts w:ascii="Arial" w:hAnsi="Arial" w:cs="Arial"/>
          <w:sz w:val="22"/>
        </w:rPr>
        <w:t>tiene lugar</w:t>
      </w:r>
      <w:r>
        <w:rPr>
          <w:rFonts w:ascii="Arial" w:hAnsi="Arial" w:cs="Arial"/>
          <w:sz w:val="22"/>
        </w:rPr>
        <w:t xml:space="preserve"> la</w:t>
      </w:r>
      <w:r w:rsidRPr="00425B43">
        <w:rPr>
          <w:rFonts w:ascii="Arial" w:hAnsi="Arial" w:cs="Arial"/>
          <w:sz w:val="22"/>
        </w:rPr>
        <w:t xml:space="preserve"> participación de varios proponentes </w:t>
      </w:r>
      <w:r>
        <w:rPr>
          <w:rFonts w:ascii="Arial" w:hAnsi="Arial" w:cs="Arial"/>
          <w:sz w:val="22"/>
        </w:rPr>
        <w:t>en</w:t>
      </w:r>
      <w:r w:rsidRPr="00425B43">
        <w:rPr>
          <w:rFonts w:ascii="Arial" w:hAnsi="Arial" w:cs="Arial"/>
          <w:sz w:val="22"/>
        </w:rPr>
        <w:t xml:space="preserve"> una fase pública de presentación de ofertas</w:t>
      </w:r>
      <w:r>
        <w:rPr>
          <w:rFonts w:ascii="Arial" w:hAnsi="Arial" w:cs="Arial"/>
          <w:sz w:val="22"/>
        </w:rPr>
        <w:t xml:space="preserve">. Esto </w:t>
      </w:r>
      <w:r w:rsidRPr="00425B43">
        <w:rPr>
          <w:rFonts w:ascii="Arial" w:hAnsi="Arial" w:cs="Arial"/>
          <w:sz w:val="22"/>
        </w:rPr>
        <w:t xml:space="preserve">permite que las personas interesadas concurran al proceso en igualdad de condiciones y compitan en el mismo. </w:t>
      </w:r>
    </w:p>
    <w:p w14:paraId="0F470241" w14:textId="58CEF82E" w:rsidR="006F320A" w:rsidRPr="00425B43" w:rsidRDefault="006F320A" w:rsidP="006F320A">
      <w:pPr>
        <w:spacing w:after="120" w:line="276" w:lineRule="auto"/>
        <w:ind w:firstLine="709"/>
        <w:jc w:val="both"/>
        <w:rPr>
          <w:rFonts w:ascii="Arial" w:hAnsi="Arial" w:cs="Arial"/>
          <w:sz w:val="22"/>
        </w:rPr>
      </w:pPr>
      <w:r>
        <w:rPr>
          <w:rFonts w:ascii="Arial" w:hAnsi="Arial" w:cs="Arial"/>
          <w:sz w:val="22"/>
        </w:rPr>
        <w:t>Algo diferente sucede en</w:t>
      </w:r>
      <w:r w:rsidRPr="00425B43">
        <w:rPr>
          <w:rFonts w:ascii="Arial" w:hAnsi="Arial" w:cs="Arial"/>
          <w:sz w:val="22"/>
        </w:rPr>
        <w:t xml:space="preserve"> la modalidad de selección de contratación directa</w:t>
      </w:r>
      <w:r>
        <w:rPr>
          <w:rFonts w:ascii="Arial" w:hAnsi="Arial" w:cs="Arial"/>
          <w:sz w:val="22"/>
        </w:rPr>
        <w:t>,</w:t>
      </w:r>
      <w:r w:rsidRPr="00425B43">
        <w:rPr>
          <w:rFonts w:ascii="Arial" w:hAnsi="Arial" w:cs="Arial"/>
          <w:sz w:val="22"/>
        </w:rPr>
        <w:t xml:space="preserve"> que no es competitiva, es decir, que no es abierta a</w:t>
      </w:r>
      <w:r>
        <w:rPr>
          <w:rFonts w:ascii="Arial" w:hAnsi="Arial" w:cs="Arial"/>
          <w:sz w:val="22"/>
        </w:rPr>
        <w:t>l público para que</w:t>
      </w:r>
      <w:r w:rsidRPr="00425B43">
        <w:rPr>
          <w:rFonts w:ascii="Arial" w:hAnsi="Arial" w:cs="Arial"/>
          <w:sz w:val="22"/>
        </w:rPr>
        <w:t xml:space="preserve"> los proponentes presenten sus ofertas</w:t>
      </w:r>
      <w:r>
        <w:rPr>
          <w:rFonts w:ascii="Arial" w:hAnsi="Arial" w:cs="Arial"/>
          <w:sz w:val="22"/>
        </w:rPr>
        <w:t xml:space="preserve">. En esta modalidad </w:t>
      </w:r>
      <w:r w:rsidRPr="00425B43">
        <w:rPr>
          <w:rFonts w:ascii="Arial" w:hAnsi="Arial" w:cs="Arial"/>
          <w:sz w:val="22"/>
        </w:rPr>
        <w:t>es la entidad</w:t>
      </w:r>
      <w:r>
        <w:rPr>
          <w:rFonts w:ascii="Arial" w:hAnsi="Arial" w:cs="Arial"/>
          <w:sz w:val="22"/>
        </w:rPr>
        <w:t xml:space="preserve"> estatal</w:t>
      </w:r>
      <w:r w:rsidRPr="00425B43">
        <w:rPr>
          <w:rFonts w:ascii="Arial" w:hAnsi="Arial" w:cs="Arial"/>
          <w:sz w:val="22"/>
        </w:rPr>
        <w:t xml:space="preserve"> la que </w:t>
      </w:r>
      <w:r w:rsidRPr="001476FE">
        <w:rPr>
          <w:rFonts w:ascii="Arial" w:hAnsi="Arial" w:cs="Arial"/>
          <w:sz w:val="22"/>
        </w:rPr>
        <w:t>determina</w:t>
      </w:r>
      <w:r w:rsidRPr="00425B43">
        <w:rPr>
          <w:rFonts w:ascii="Arial" w:hAnsi="Arial" w:cs="Arial"/>
          <w:sz w:val="22"/>
        </w:rPr>
        <w:t>, de forma directa, la persona que puede participar</w:t>
      </w:r>
      <w:r>
        <w:rPr>
          <w:rFonts w:ascii="Arial" w:hAnsi="Arial" w:cs="Arial"/>
          <w:sz w:val="22"/>
        </w:rPr>
        <w:t xml:space="preserve"> y que será seleccionada</w:t>
      </w:r>
      <w:r w:rsidRPr="00425B43">
        <w:rPr>
          <w:rFonts w:ascii="Arial" w:hAnsi="Arial" w:cs="Arial"/>
          <w:sz w:val="22"/>
        </w:rPr>
        <w:t>.</w:t>
      </w:r>
    </w:p>
    <w:p w14:paraId="322E2625" w14:textId="1713D3DB" w:rsidR="006F320A" w:rsidRPr="00425B43" w:rsidRDefault="006F320A" w:rsidP="006F320A">
      <w:pPr>
        <w:spacing w:after="120" w:line="276" w:lineRule="auto"/>
        <w:ind w:firstLine="708"/>
        <w:jc w:val="both"/>
        <w:rPr>
          <w:rFonts w:ascii="Arial" w:hAnsi="Arial" w:cs="Arial"/>
          <w:sz w:val="21"/>
          <w:szCs w:val="21"/>
        </w:rPr>
      </w:pPr>
      <w:r w:rsidRPr="00425B43">
        <w:rPr>
          <w:rFonts w:ascii="Arial" w:hAnsi="Arial" w:cs="Arial"/>
          <w:sz w:val="22"/>
        </w:rPr>
        <w:t xml:space="preserve">Lo anterior se complementa con lo expuesto por la Corte Constitucional, </w:t>
      </w:r>
      <w:r>
        <w:rPr>
          <w:rFonts w:ascii="Arial" w:hAnsi="Arial" w:cs="Arial"/>
          <w:sz w:val="22"/>
        </w:rPr>
        <w:t xml:space="preserve">en Sentencia C-713 de 2009, </w:t>
      </w:r>
      <w:r w:rsidRPr="00425B43">
        <w:rPr>
          <w:rFonts w:ascii="Arial" w:hAnsi="Arial" w:cs="Arial"/>
          <w:sz w:val="22"/>
        </w:rPr>
        <w:t xml:space="preserve">que estudió la constitucionalidad de los artículos 2 </w:t>
      </w:r>
      <w:r>
        <w:rPr>
          <w:rFonts w:ascii="Arial" w:hAnsi="Arial" w:cs="Arial"/>
          <w:sz w:val="22"/>
        </w:rPr>
        <w:t>‒</w:t>
      </w:r>
      <w:r w:rsidRPr="00425B43">
        <w:rPr>
          <w:rFonts w:ascii="Arial" w:hAnsi="Arial" w:cs="Arial"/>
          <w:sz w:val="22"/>
        </w:rPr>
        <w:t>parcial</w:t>
      </w:r>
      <w:r>
        <w:rPr>
          <w:rFonts w:ascii="Arial" w:hAnsi="Arial" w:cs="Arial"/>
          <w:sz w:val="22"/>
        </w:rPr>
        <w:t>‒</w:t>
      </w:r>
      <w:r w:rsidRPr="00425B43">
        <w:rPr>
          <w:rFonts w:ascii="Arial" w:hAnsi="Arial" w:cs="Arial"/>
          <w:sz w:val="22"/>
        </w:rPr>
        <w:t xml:space="preserve"> y 5 </w:t>
      </w:r>
      <w:r>
        <w:rPr>
          <w:rFonts w:ascii="Arial" w:hAnsi="Arial" w:cs="Arial"/>
          <w:sz w:val="22"/>
        </w:rPr>
        <w:t>‒</w:t>
      </w:r>
      <w:r w:rsidRPr="00425B43">
        <w:rPr>
          <w:rFonts w:ascii="Arial" w:hAnsi="Arial" w:cs="Arial"/>
          <w:sz w:val="22"/>
        </w:rPr>
        <w:t>parcial</w:t>
      </w:r>
      <w:r>
        <w:rPr>
          <w:rFonts w:ascii="Arial" w:hAnsi="Arial" w:cs="Arial"/>
          <w:sz w:val="22"/>
        </w:rPr>
        <w:t>‒</w:t>
      </w:r>
      <w:r w:rsidRPr="00425B43">
        <w:rPr>
          <w:rFonts w:ascii="Arial" w:hAnsi="Arial" w:cs="Arial"/>
          <w:sz w:val="22"/>
        </w:rPr>
        <w:t xml:space="preserve"> de la Ley 1150 de 2007</w:t>
      </w:r>
      <w:r>
        <w:rPr>
          <w:rFonts w:ascii="Arial" w:hAnsi="Arial" w:cs="Arial"/>
          <w:sz w:val="22"/>
        </w:rPr>
        <w:t>. En esa decisión se desarrollaron los</w:t>
      </w:r>
      <w:r w:rsidRPr="00425B43">
        <w:rPr>
          <w:rFonts w:ascii="Arial" w:hAnsi="Arial" w:cs="Arial"/>
          <w:sz w:val="22"/>
        </w:rPr>
        <w:t xml:space="preserve"> principios de libre </w:t>
      </w:r>
      <w:r w:rsidRPr="00425B43">
        <w:rPr>
          <w:rFonts w:ascii="Arial" w:hAnsi="Arial" w:cs="Arial"/>
          <w:sz w:val="22"/>
        </w:rPr>
        <w:lastRenderedPageBreak/>
        <w:t>concurrencia y selección objetiva en la contratación pública</w:t>
      </w:r>
      <w:r>
        <w:rPr>
          <w:rFonts w:ascii="Arial" w:hAnsi="Arial" w:cs="Arial"/>
          <w:sz w:val="22"/>
        </w:rPr>
        <w:t>, como expresiones del derecho a la igualdad de oportunidades para quienes tengan interés en participar en la contratación estatal. La materialización de esos principios pretende que no exista discriminación y que las entidades no impongan limitaciones a través de reglas que impidan la concurrencia para obtener mejores condiciones de contratación. Sin embargo, se admiten excepciones que busquen condiciones del contratista que sean favorables a los intereses del Estado y aseguren la transparencia del procedimiento como las inhabilidades e incompatibilidades</w:t>
      </w:r>
      <w:r w:rsidRPr="00425B43">
        <w:rPr>
          <w:rStyle w:val="Refdenotaalpie"/>
          <w:rFonts w:ascii="Arial" w:hAnsi="Arial" w:cs="Arial"/>
          <w:sz w:val="21"/>
          <w:szCs w:val="21"/>
        </w:rPr>
        <w:footnoteReference w:id="9"/>
      </w:r>
      <w:r w:rsidRPr="00425B43">
        <w:rPr>
          <w:rFonts w:ascii="Arial" w:hAnsi="Arial" w:cs="Arial"/>
          <w:sz w:val="21"/>
          <w:szCs w:val="21"/>
        </w:rPr>
        <w:t>.</w:t>
      </w:r>
    </w:p>
    <w:p w14:paraId="2F7A2B90" w14:textId="7940B12A" w:rsidR="006F320A" w:rsidRDefault="00C852AA" w:rsidP="006F320A">
      <w:pPr>
        <w:spacing w:after="120" w:line="276" w:lineRule="auto"/>
        <w:ind w:firstLine="708"/>
        <w:jc w:val="both"/>
        <w:rPr>
          <w:rFonts w:ascii="Arial" w:hAnsi="Arial" w:cs="Arial"/>
          <w:sz w:val="22"/>
        </w:rPr>
      </w:pPr>
      <w:r>
        <w:rPr>
          <w:rFonts w:ascii="Arial" w:hAnsi="Arial" w:cs="Arial"/>
          <w:sz w:val="22"/>
        </w:rPr>
        <w:t>Así las cosas</w:t>
      </w:r>
      <w:r w:rsidR="006F320A">
        <w:rPr>
          <w:rFonts w:ascii="Arial" w:hAnsi="Arial" w:cs="Arial"/>
          <w:sz w:val="22"/>
        </w:rPr>
        <w:t xml:space="preserve">, </w:t>
      </w:r>
      <w:r w:rsidR="006F320A" w:rsidRPr="00425B43">
        <w:rPr>
          <w:rFonts w:ascii="Arial" w:hAnsi="Arial" w:cs="Arial"/>
          <w:sz w:val="22"/>
        </w:rPr>
        <w:t>la contratación directa</w:t>
      </w:r>
      <w:r w:rsidR="006F320A">
        <w:rPr>
          <w:rFonts w:ascii="Arial" w:hAnsi="Arial" w:cs="Arial"/>
          <w:sz w:val="22"/>
        </w:rPr>
        <w:t xml:space="preserve"> </w:t>
      </w:r>
      <w:r w:rsidR="006F320A" w:rsidRPr="00425B43">
        <w:rPr>
          <w:rFonts w:ascii="Arial" w:hAnsi="Arial" w:cs="Arial"/>
          <w:sz w:val="22"/>
        </w:rPr>
        <w:t xml:space="preserve">es de aplicación restrictiva, esto es, </w:t>
      </w:r>
      <w:r w:rsidR="00163950">
        <w:rPr>
          <w:rFonts w:ascii="Arial" w:hAnsi="Arial" w:cs="Arial"/>
          <w:sz w:val="22"/>
        </w:rPr>
        <w:t xml:space="preserve">tratándose de contratos regidos por el Estatuto general de Contratación de la Administración Pública </w:t>
      </w:r>
      <w:r w:rsidR="006F320A" w:rsidRPr="00425B43">
        <w:rPr>
          <w:rFonts w:ascii="Arial" w:hAnsi="Arial" w:cs="Arial"/>
          <w:sz w:val="22"/>
        </w:rPr>
        <w:t>solo procede por las causales señaladas taxativamente en el numeral 4 del artículo 2 de la Ley 1150 de 2007</w:t>
      </w:r>
      <w:r w:rsidR="006F320A">
        <w:rPr>
          <w:rFonts w:ascii="Arial" w:hAnsi="Arial" w:cs="Arial"/>
          <w:sz w:val="22"/>
        </w:rPr>
        <w:t>. Además,</w:t>
      </w:r>
      <w:r w:rsidR="006F320A" w:rsidRPr="00425B43">
        <w:rPr>
          <w:rFonts w:ascii="Arial" w:hAnsi="Arial" w:cs="Arial"/>
          <w:sz w:val="22"/>
        </w:rPr>
        <w:t xml:space="preserve"> es una excepción al principio de libre concurrencia y libre competencia</w:t>
      </w:r>
      <w:r w:rsidR="006F320A">
        <w:rPr>
          <w:rFonts w:ascii="Arial" w:hAnsi="Arial" w:cs="Arial"/>
          <w:sz w:val="22"/>
        </w:rPr>
        <w:t>,</w:t>
      </w:r>
      <w:r w:rsidR="006F320A" w:rsidRPr="00425B43">
        <w:rPr>
          <w:rFonts w:ascii="Arial" w:hAnsi="Arial" w:cs="Arial"/>
          <w:sz w:val="22"/>
        </w:rPr>
        <w:t xml:space="preserve"> que</w:t>
      </w:r>
      <w:r w:rsidR="006F320A">
        <w:rPr>
          <w:rFonts w:ascii="Arial" w:hAnsi="Arial" w:cs="Arial"/>
          <w:sz w:val="22"/>
        </w:rPr>
        <w:t xml:space="preserve"> se</w:t>
      </w:r>
      <w:r w:rsidR="006F320A" w:rsidRPr="00425B43">
        <w:rPr>
          <w:rFonts w:ascii="Arial" w:hAnsi="Arial" w:cs="Arial"/>
          <w:sz w:val="22"/>
        </w:rPr>
        <w:t xml:space="preserve"> aplica </w:t>
      </w:r>
      <w:r w:rsidR="006F320A">
        <w:rPr>
          <w:rFonts w:ascii="Arial" w:hAnsi="Arial" w:cs="Arial"/>
          <w:sz w:val="22"/>
        </w:rPr>
        <w:t>en</w:t>
      </w:r>
      <w:r w:rsidR="006F320A" w:rsidRPr="00425B43">
        <w:rPr>
          <w:rFonts w:ascii="Arial" w:hAnsi="Arial" w:cs="Arial"/>
          <w:sz w:val="22"/>
        </w:rPr>
        <w:t xml:space="preserve"> los procesos de contratación, para que cualquier persona interesada en satisfacer la necesidad de una entidad pueda presentar una oferta. </w:t>
      </w:r>
    </w:p>
    <w:p w14:paraId="7CE61025" w14:textId="77777777" w:rsidR="006F320A" w:rsidRDefault="006F320A" w:rsidP="006F320A">
      <w:pPr>
        <w:spacing w:after="120" w:line="276" w:lineRule="auto"/>
        <w:ind w:firstLine="708"/>
        <w:jc w:val="both"/>
        <w:rPr>
          <w:rFonts w:ascii="Arial" w:hAnsi="Arial" w:cs="Arial"/>
          <w:sz w:val="22"/>
        </w:rPr>
      </w:pPr>
      <w:r>
        <w:rPr>
          <w:rFonts w:ascii="Arial" w:hAnsi="Arial" w:cs="Arial"/>
          <w:sz w:val="22"/>
        </w:rPr>
        <w:t>De este modo, e</w:t>
      </w:r>
      <w:r w:rsidRPr="00425B43">
        <w:rPr>
          <w:rFonts w:ascii="Arial" w:hAnsi="Arial" w:cs="Arial"/>
          <w:sz w:val="22"/>
        </w:rPr>
        <w:t xml:space="preserve">n la contratación directa no es necesario que la entidad reciba más de una oferta, la cual proviene de la persona que la entidad </w:t>
      </w:r>
      <w:r>
        <w:rPr>
          <w:rFonts w:ascii="Arial" w:hAnsi="Arial" w:cs="Arial"/>
          <w:sz w:val="22"/>
        </w:rPr>
        <w:t>escoge</w:t>
      </w:r>
      <w:r w:rsidRPr="00425B43">
        <w:rPr>
          <w:rFonts w:ascii="Arial" w:hAnsi="Arial" w:cs="Arial"/>
          <w:sz w:val="22"/>
        </w:rPr>
        <w:t xml:space="preserve"> directamente</w:t>
      </w:r>
      <w:r>
        <w:rPr>
          <w:rFonts w:ascii="Arial" w:hAnsi="Arial" w:cs="Arial"/>
          <w:sz w:val="22"/>
        </w:rPr>
        <w:t xml:space="preserve"> y, por ende,</w:t>
      </w:r>
      <w:r w:rsidRPr="00425B43">
        <w:rPr>
          <w:rFonts w:ascii="Arial" w:hAnsi="Arial" w:cs="Arial"/>
          <w:sz w:val="22"/>
        </w:rPr>
        <w:t xml:space="preserve"> invita a ofertar el bien o servicio que se requiere.</w:t>
      </w:r>
      <w:r>
        <w:rPr>
          <w:rFonts w:ascii="Arial" w:hAnsi="Arial" w:cs="Arial"/>
          <w:sz w:val="22"/>
        </w:rPr>
        <w:t xml:space="preserve"> </w:t>
      </w:r>
      <w:r w:rsidRPr="00425B43">
        <w:rPr>
          <w:rFonts w:ascii="Arial" w:hAnsi="Arial" w:cs="Arial"/>
          <w:sz w:val="22"/>
        </w:rPr>
        <w:t>Lo anterior puede estar basado en que el proponente es único, o en que el legislador privilegió algunos objetos contractuales u oferentes para contratarlos de manera directa</w:t>
      </w:r>
      <w:r>
        <w:rPr>
          <w:rFonts w:ascii="Arial" w:hAnsi="Arial" w:cs="Arial"/>
          <w:sz w:val="22"/>
        </w:rPr>
        <w:t>.</w:t>
      </w:r>
      <w:r w:rsidRPr="00425B43">
        <w:rPr>
          <w:rFonts w:ascii="Arial" w:hAnsi="Arial" w:cs="Arial"/>
          <w:sz w:val="22"/>
        </w:rPr>
        <w:t xml:space="preserve"> </w:t>
      </w:r>
    </w:p>
    <w:p w14:paraId="21065DAB" w14:textId="77777777" w:rsidR="006F320A" w:rsidRPr="00425B43" w:rsidRDefault="006F320A" w:rsidP="006F320A">
      <w:pPr>
        <w:spacing w:after="120" w:line="276" w:lineRule="auto"/>
        <w:ind w:firstLine="708"/>
        <w:jc w:val="both"/>
        <w:rPr>
          <w:rFonts w:ascii="Arial" w:hAnsi="Arial" w:cs="Arial"/>
          <w:sz w:val="22"/>
        </w:rPr>
      </w:pPr>
      <w:r>
        <w:rPr>
          <w:rFonts w:ascii="Arial" w:hAnsi="Arial" w:cs="Arial"/>
          <w:sz w:val="22"/>
        </w:rPr>
        <w:t>Todo lo anterior</w:t>
      </w:r>
      <w:r w:rsidRPr="00425B43">
        <w:rPr>
          <w:rFonts w:ascii="Arial" w:hAnsi="Arial" w:cs="Arial"/>
          <w:sz w:val="22"/>
        </w:rPr>
        <w:t xml:space="preserve"> implica que el proceso</w:t>
      </w:r>
      <w:r>
        <w:rPr>
          <w:rFonts w:ascii="Arial" w:hAnsi="Arial" w:cs="Arial"/>
          <w:sz w:val="22"/>
        </w:rPr>
        <w:t xml:space="preserve"> de contratación directa sea </w:t>
      </w:r>
      <w:r w:rsidRPr="00425B43">
        <w:rPr>
          <w:rFonts w:ascii="Arial" w:hAnsi="Arial" w:cs="Arial"/>
          <w:sz w:val="22"/>
        </w:rPr>
        <w:t>simplificado, corto, ágil y expedito, por no exigir el agotamiento de una convocatoria pública o la realización de un proceso competitivo</w:t>
      </w:r>
      <w:r>
        <w:rPr>
          <w:rFonts w:ascii="Arial" w:hAnsi="Arial" w:cs="Arial"/>
          <w:sz w:val="22"/>
        </w:rPr>
        <w:t>. Sin embargo, estas características no eximen a las entidades estatales de</w:t>
      </w:r>
      <w:r w:rsidRPr="00425B43">
        <w:rPr>
          <w:rFonts w:ascii="Arial" w:hAnsi="Arial" w:cs="Arial"/>
          <w:sz w:val="22"/>
        </w:rPr>
        <w:t xml:space="preserve"> garantizar los principios rectores de la contratación pública.</w:t>
      </w:r>
    </w:p>
    <w:p w14:paraId="0C443746" w14:textId="77777777" w:rsidR="006F320A" w:rsidRPr="00425B43" w:rsidRDefault="006F320A" w:rsidP="006F320A">
      <w:pPr>
        <w:spacing w:line="276" w:lineRule="auto"/>
        <w:ind w:firstLine="708"/>
        <w:jc w:val="both"/>
        <w:rPr>
          <w:rFonts w:ascii="Arial" w:hAnsi="Arial" w:cs="Arial"/>
          <w:sz w:val="22"/>
        </w:rPr>
      </w:pPr>
      <w:r>
        <w:rPr>
          <w:rFonts w:ascii="Arial" w:hAnsi="Arial" w:cs="Arial"/>
          <w:sz w:val="22"/>
        </w:rPr>
        <w:t>De otro lado, cabe destacarse que</w:t>
      </w:r>
      <w:r w:rsidRPr="00425B43">
        <w:rPr>
          <w:rFonts w:ascii="Arial" w:hAnsi="Arial" w:cs="Arial"/>
          <w:sz w:val="22"/>
        </w:rPr>
        <w:t xml:space="preserve"> existe </w:t>
      </w:r>
      <w:r>
        <w:rPr>
          <w:rFonts w:ascii="Arial" w:hAnsi="Arial" w:cs="Arial"/>
          <w:sz w:val="22"/>
        </w:rPr>
        <w:t>otra</w:t>
      </w:r>
      <w:r w:rsidRPr="00425B43">
        <w:rPr>
          <w:rFonts w:ascii="Arial" w:hAnsi="Arial" w:cs="Arial"/>
          <w:sz w:val="22"/>
        </w:rPr>
        <w:t xml:space="preserve"> diferencia fundamental con las modalidades de selección competitivas mencionadas: en la contratación directa no se otorga puntaje a las ofertas para ponderarlas y elegir el ofrecimiento más favorable, </w:t>
      </w:r>
      <w:r>
        <w:rPr>
          <w:rFonts w:ascii="Arial" w:hAnsi="Arial" w:cs="Arial"/>
          <w:sz w:val="22"/>
        </w:rPr>
        <w:t>pues</w:t>
      </w:r>
      <w:r w:rsidRPr="00425B43">
        <w:rPr>
          <w:rFonts w:ascii="Arial" w:hAnsi="Arial" w:cs="Arial"/>
          <w:sz w:val="22"/>
        </w:rPr>
        <w:t xml:space="preserve"> la entidad recibe solo una oferta. Lo anterior es explicado por el Consejo de Estado</w:t>
      </w:r>
      <w:r>
        <w:rPr>
          <w:rFonts w:ascii="Arial" w:hAnsi="Arial" w:cs="Arial"/>
          <w:sz w:val="22"/>
        </w:rPr>
        <w:t>, en los siguientes términos</w:t>
      </w:r>
      <w:r w:rsidRPr="00425B43">
        <w:rPr>
          <w:rFonts w:ascii="Arial" w:hAnsi="Arial" w:cs="Arial"/>
          <w:sz w:val="22"/>
        </w:rPr>
        <w:t xml:space="preserve">: </w:t>
      </w:r>
    </w:p>
    <w:p w14:paraId="30093D37" w14:textId="77777777" w:rsidR="006F320A" w:rsidRPr="00425B43" w:rsidRDefault="006F320A" w:rsidP="006F320A">
      <w:pPr>
        <w:spacing w:line="276" w:lineRule="auto"/>
        <w:jc w:val="both"/>
        <w:rPr>
          <w:rFonts w:ascii="Arial" w:hAnsi="Arial" w:cs="Arial"/>
          <w:sz w:val="22"/>
        </w:rPr>
      </w:pPr>
    </w:p>
    <w:p w14:paraId="6D7E3714" w14:textId="6EB3358C" w:rsidR="006F320A" w:rsidRPr="00425B43" w:rsidRDefault="008274A8" w:rsidP="006F320A">
      <w:pPr>
        <w:ind w:left="708" w:right="709"/>
        <w:jc w:val="both"/>
        <w:rPr>
          <w:rFonts w:ascii="Arial" w:hAnsi="Arial" w:cs="Arial"/>
          <w:sz w:val="21"/>
          <w:szCs w:val="21"/>
        </w:rPr>
      </w:pPr>
      <w:r w:rsidRPr="00830F50">
        <w:rPr>
          <w:rFonts w:ascii="Arial" w:eastAsia="Calibri" w:hAnsi="Arial" w:cs="Arial"/>
          <w:sz w:val="21"/>
          <w:szCs w:val="21"/>
        </w:rPr>
        <w:t>«</w:t>
      </w:r>
      <w:r w:rsidR="006F320A" w:rsidRPr="00425B43">
        <w:rPr>
          <w:rFonts w:ascii="Arial" w:hAnsi="Arial" w:cs="Arial"/>
          <w:sz w:val="21"/>
          <w:szCs w:val="21"/>
        </w:rPr>
        <w:t>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en razón del objeto del contrato o del órgano que contrata</w:t>
      </w:r>
      <w:r w:rsidR="006F320A" w:rsidRPr="00425B43">
        <w:rPr>
          <w:rStyle w:val="Refdenotaalpie"/>
          <w:rFonts w:ascii="Arial" w:hAnsi="Arial" w:cs="Arial"/>
          <w:sz w:val="21"/>
          <w:szCs w:val="21"/>
        </w:rPr>
        <w:footnoteReference w:id="10"/>
      </w:r>
      <w:r w:rsidRPr="00830F50">
        <w:rPr>
          <w:rFonts w:ascii="Arial" w:eastAsia="Calibri" w:hAnsi="Arial" w:cs="Arial"/>
          <w:sz w:val="21"/>
          <w:szCs w:val="21"/>
        </w:rPr>
        <w:t>»</w:t>
      </w:r>
      <w:r w:rsidR="00163950">
        <w:rPr>
          <w:rFonts w:ascii="Arial" w:eastAsia="Calibri" w:hAnsi="Arial" w:cs="Arial"/>
          <w:sz w:val="21"/>
          <w:szCs w:val="21"/>
        </w:rPr>
        <w:t>.</w:t>
      </w:r>
    </w:p>
    <w:p w14:paraId="1E13DAC7" w14:textId="77777777" w:rsidR="006F320A" w:rsidRPr="00425B43" w:rsidRDefault="006F320A" w:rsidP="006F320A">
      <w:pPr>
        <w:spacing w:line="276" w:lineRule="auto"/>
        <w:jc w:val="both"/>
        <w:rPr>
          <w:rFonts w:ascii="Arial" w:hAnsi="Arial" w:cs="Arial"/>
          <w:sz w:val="22"/>
          <w:lang w:val="es-ES"/>
        </w:rPr>
      </w:pPr>
    </w:p>
    <w:p w14:paraId="7ABCB5F8" w14:textId="77777777" w:rsidR="006F320A" w:rsidRPr="00425B43" w:rsidRDefault="006F320A" w:rsidP="006F320A">
      <w:pPr>
        <w:spacing w:line="276" w:lineRule="auto"/>
        <w:ind w:firstLine="708"/>
        <w:jc w:val="both"/>
        <w:rPr>
          <w:rFonts w:ascii="Arial" w:hAnsi="Arial" w:cs="Arial"/>
          <w:sz w:val="22"/>
        </w:rPr>
      </w:pPr>
      <w:r w:rsidRPr="00425B43">
        <w:rPr>
          <w:rFonts w:ascii="Arial" w:hAnsi="Arial" w:cs="Arial"/>
          <w:sz w:val="22"/>
        </w:rPr>
        <w:lastRenderedPageBreak/>
        <w:t>Por consiguiente, en la contratación directa la entidad no establece puntaje para ponderar ofertas, porque se presenta una sola oferta, y corresponde a la</w:t>
      </w:r>
      <w:r>
        <w:rPr>
          <w:rFonts w:ascii="Arial" w:hAnsi="Arial" w:cs="Arial"/>
          <w:sz w:val="22"/>
        </w:rPr>
        <w:t xml:space="preserve"> de la</w:t>
      </w:r>
      <w:r w:rsidRPr="00425B43">
        <w:rPr>
          <w:rFonts w:ascii="Arial" w:hAnsi="Arial" w:cs="Arial"/>
          <w:sz w:val="22"/>
        </w:rPr>
        <w:t xml:space="preserve"> persona a quien la entidad invitó </w:t>
      </w:r>
      <w:r>
        <w:rPr>
          <w:rFonts w:ascii="Arial" w:hAnsi="Arial" w:cs="Arial"/>
          <w:sz w:val="22"/>
        </w:rPr>
        <w:t xml:space="preserve">y seleccionó en forma </w:t>
      </w:r>
      <w:r w:rsidRPr="00425B43">
        <w:rPr>
          <w:rFonts w:ascii="Arial" w:hAnsi="Arial" w:cs="Arial"/>
          <w:sz w:val="22"/>
        </w:rPr>
        <w:t>directa</w:t>
      </w:r>
      <w:r>
        <w:rPr>
          <w:rFonts w:ascii="Arial" w:hAnsi="Arial" w:cs="Arial"/>
          <w:sz w:val="22"/>
        </w:rPr>
        <w:t>, teniendo en todo caso que garantizar el cumplimiento de los principios de la función administrativa y la gestión fiscal.</w:t>
      </w:r>
      <w:r w:rsidRPr="00425B43">
        <w:rPr>
          <w:rFonts w:ascii="Arial" w:hAnsi="Arial" w:cs="Arial"/>
          <w:sz w:val="22"/>
        </w:rPr>
        <w:t xml:space="preserve"> </w:t>
      </w:r>
    </w:p>
    <w:p w14:paraId="5698E38B" w14:textId="42FE19B0" w:rsidR="00C53AC7" w:rsidRPr="003779D5" w:rsidRDefault="00C53AC7" w:rsidP="003779D5">
      <w:pPr>
        <w:spacing w:line="276" w:lineRule="auto"/>
        <w:jc w:val="both"/>
        <w:rPr>
          <w:rFonts w:ascii="Arial" w:eastAsia="Calibri" w:hAnsi="Arial" w:cs="Arial"/>
          <w:bCs/>
          <w:sz w:val="22"/>
          <w:lang w:val="es-ES_tradnl"/>
        </w:rPr>
      </w:pPr>
    </w:p>
    <w:p w14:paraId="6E4BB750" w14:textId="21586149" w:rsidR="00F1108B" w:rsidRPr="009868CC" w:rsidRDefault="00F1108B" w:rsidP="001F4546">
      <w:pPr>
        <w:pStyle w:val="Prrafodelista"/>
        <w:tabs>
          <w:tab w:val="left" w:pos="284"/>
        </w:tabs>
        <w:spacing w:line="276" w:lineRule="auto"/>
        <w:ind w:left="0"/>
        <w:jc w:val="both"/>
        <w:rPr>
          <w:rFonts w:ascii="Arial" w:eastAsia="Calibri" w:hAnsi="Arial" w:cs="Arial"/>
          <w:sz w:val="22"/>
        </w:rPr>
      </w:pPr>
      <w:r w:rsidRPr="009868CC">
        <w:rPr>
          <w:rFonts w:ascii="Arial" w:eastAsia="Calibri" w:hAnsi="Arial" w:cs="Arial"/>
          <w:b/>
          <w:sz w:val="22"/>
        </w:rPr>
        <w:t>3. Respuesta</w:t>
      </w:r>
    </w:p>
    <w:p w14:paraId="4760AC28" w14:textId="13F8B969" w:rsidR="00FC113C" w:rsidRDefault="00FC113C">
      <w:pPr>
        <w:tabs>
          <w:tab w:val="left" w:pos="426"/>
        </w:tabs>
        <w:spacing w:line="276" w:lineRule="auto"/>
        <w:ind w:right="709"/>
        <w:jc w:val="both"/>
        <w:rPr>
          <w:rFonts w:ascii="Arial" w:eastAsia="Calibri" w:hAnsi="Arial" w:cs="Arial"/>
          <w:sz w:val="22"/>
        </w:rPr>
      </w:pPr>
    </w:p>
    <w:p w14:paraId="059FD91B" w14:textId="33542F2A" w:rsidR="004446DE" w:rsidRPr="004446DE" w:rsidRDefault="004446DE" w:rsidP="004446DE">
      <w:pPr>
        <w:spacing w:line="276" w:lineRule="auto"/>
        <w:ind w:left="709" w:right="709"/>
        <w:jc w:val="both"/>
        <w:rPr>
          <w:rFonts w:ascii="Arial" w:hAnsi="Arial" w:cs="Arial"/>
          <w:color w:val="000000" w:themeColor="text1"/>
          <w:sz w:val="21"/>
          <w:szCs w:val="21"/>
          <w:lang w:val="es-ES_tradnl"/>
        </w:rPr>
      </w:pPr>
      <w:r w:rsidRPr="004446DE">
        <w:rPr>
          <w:rFonts w:ascii="Arial" w:hAnsi="Arial" w:cs="Arial"/>
          <w:color w:val="000000" w:themeColor="text1"/>
          <w:sz w:val="21"/>
          <w:szCs w:val="21"/>
          <w:lang w:val="es-ES_tradnl"/>
        </w:rPr>
        <w:t>«¿</w:t>
      </w:r>
      <w:r w:rsidR="008274A8">
        <w:rPr>
          <w:rFonts w:ascii="Arial" w:hAnsi="Arial" w:cs="Arial"/>
          <w:sz w:val="21"/>
          <w:szCs w:val="21"/>
          <w:lang w:eastAsia="es-MX"/>
        </w:rPr>
        <w:t>U</w:t>
      </w:r>
      <w:r w:rsidRPr="004446DE">
        <w:rPr>
          <w:rFonts w:ascii="Arial" w:hAnsi="Arial" w:cs="Arial"/>
          <w:sz w:val="21"/>
          <w:szCs w:val="21"/>
          <w:lang w:eastAsia="es-MX"/>
        </w:rPr>
        <w:t>n convenio especial de Cooperacion de Ciencia y tecnologia por contratacion directa, es igual a una licitacion?</w:t>
      </w:r>
      <w:r w:rsidRPr="004446DE">
        <w:rPr>
          <w:rFonts w:ascii="Arial" w:hAnsi="Arial" w:cs="Arial"/>
          <w:color w:val="000000" w:themeColor="text1"/>
          <w:sz w:val="21"/>
          <w:szCs w:val="21"/>
          <w:lang w:val="es-ES_tradnl"/>
        </w:rPr>
        <w:t>».</w:t>
      </w:r>
    </w:p>
    <w:p w14:paraId="076F63A4" w14:textId="77777777" w:rsidR="00B04BA9" w:rsidRDefault="00B04BA9" w:rsidP="004446DE">
      <w:pPr>
        <w:tabs>
          <w:tab w:val="left" w:pos="426"/>
        </w:tabs>
        <w:ind w:right="709"/>
        <w:jc w:val="both"/>
        <w:rPr>
          <w:rFonts w:ascii="Arial" w:eastAsia="Calibri" w:hAnsi="Arial" w:cs="Arial"/>
          <w:sz w:val="21"/>
          <w:szCs w:val="21"/>
        </w:rPr>
      </w:pPr>
    </w:p>
    <w:p w14:paraId="19B3ADB6" w14:textId="44AA4D21" w:rsidR="00F23BE9" w:rsidRPr="00E32E3E" w:rsidRDefault="00163950" w:rsidP="004446DE">
      <w:pPr>
        <w:spacing w:before="120" w:line="276" w:lineRule="auto"/>
        <w:jc w:val="both"/>
        <w:rPr>
          <w:rFonts w:ascii="Arial" w:hAnsi="Arial" w:cs="Arial"/>
          <w:color w:val="000000" w:themeColor="text1"/>
          <w:sz w:val="22"/>
        </w:rPr>
      </w:pPr>
      <w:r>
        <w:rPr>
          <w:rFonts w:ascii="Arial" w:eastAsia="Calibri" w:hAnsi="Arial" w:cs="Arial"/>
          <w:bCs/>
          <w:sz w:val="22"/>
          <w:lang w:val="es-ES_tradnl"/>
        </w:rPr>
        <w:t>Con base en las consideraciones anteriores</w:t>
      </w:r>
      <w:r w:rsidR="004446DE">
        <w:rPr>
          <w:rFonts w:ascii="Arial" w:eastAsia="Calibri" w:hAnsi="Arial" w:cs="Arial"/>
          <w:bCs/>
          <w:sz w:val="22"/>
          <w:lang w:val="es-ES_tradnl"/>
        </w:rPr>
        <w:t xml:space="preserve">, </w:t>
      </w:r>
      <w:r w:rsidR="004446DE">
        <w:rPr>
          <w:rFonts w:ascii="Arial" w:eastAsia="Calibri" w:hAnsi="Arial" w:cs="Arial"/>
          <w:color w:val="000000" w:themeColor="text1"/>
          <w:sz w:val="22"/>
          <w:lang w:val="es-ES"/>
        </w:rPr>
        <w:t xml:space="preserve">bajo el supuesto de que </w:t>
      </w:r>
      <w:r w:rsidR="00F23BE9">
        <w:rPr>
          <w:rFonts w:ascii="Arial" w:eastAsia="Calibri" w:hAnsi="Arial" w:cs="Arial"/>
          <w:color w:val="000000" w:themeColor="text1"/>
          <w:sz w:val="22"/>
          <w:lang w:val="es-ES"/>
        </w:rPr>
        <w:t>una entidad estatal</w:t>
      </w:r>
      <w:r w:rsidR="00F23BE9" w:rsidRPr="00E32E3E">
        <w:rPr>
          <w:rFonts w:ascii="Arial" w:eastAsia="Calibri" w:hAnsi="Arial" w:cs="Arial"/>
          <w:color w:val="000000" w:themeColor="text1"/>
          <w:sz w:val="22"/>
          <w:lang w:val="es-ES"/>
        </w:rPr>
        <w:t xml:space="preserve"> defina que el objeto que pretende contratar es una actividad de ciencia, tecnología e innovación, </w:t>
      </w:r>
      <w:r>
        <w:rPr>
          <w:rFonts w:ascii="Arial" w:eastAsia="Calibri" w:hAnsi="Arial" w:cs="Arial"/>
          <w:color w:val="000000" w:themeColor="text1"/>
          <w:sz w:val="22"/>
          <w:lang w:val="es-ES"/>
        </w:rPr>
        <w:t xml:space="preserve">de acuerdo con lo establecido en </w:t>
      </w:r>
      <w:r w:rsidR="00F23BE9" w:rsidRPr="00E32E3E">
        <w:rPr>
          <w:rFonts w:ascii="Arial" w:eastAsia="Calibri" w:hAnsi="Arial" w:cs="Arial"/>
          <w:color w:val="000000" w:themeColor="text1"/>
          <w:sz w:val="22"/>
          <w:lang w:val="es-ES"/>
        </w:rPr>
        <w:t>el Decreto</w:t>
      </w:r>
      <w:r>
        <w:rPr>
          <w:rFonts w:ascii="Arial" w:eastAsia="Calibri" w:hAnsi="Arial" w:cs="Arial"/>
          <w:color w:val="000000" w:themeColor="text1"/>
          <w:sz w:val="22"/>
          <w:lang w:val="es-ES"/>
        </w:rPr>
        <w:t>-Ley</w:t>
      </w:r>
      <w:r w:rsidR="00F23BE9" w:rsidRPr="00E32E3E">
        <w:rPr>
          <w:rFonts w:ascii="Arial" w:eastAsia="Calibri" w:hAnsi="Arial" w:cs="Arial"/>
          <w:color w:val="000000" w:themeColor="text1"/>
          <w:sz w:val="22"/>
          <w:lang w:val="es-ES"/>
        </w:rPr>
        <w:t xml:space="preserve"> 393 de 1991</w:t>
      </w:r>
      <w:r>
        <w:rPr>
          <w:rFonts w:ascii="Arial" w:eastAsia="Calibri" w:hAnsi="Arial" w:cs="Arial"/>
          <w:color w:val="000000" w:themeColor="text1"/>
          <w:sz w:val="22"/>
          <w:lang w:val="es-ES"/>
        </w:rPr>
        <w:t>, cabe tener en cuenta que este</w:t>
      </w:r>
      <w:r w:rsidR="00F23BE9" w:rsidRPr="00E32E3E">
        <w:rPr>
          <w:rFonts w:ascii="Arial" w:eastAsia="Calibri" w:hAnsi="Arial" w:cs="Arial"/>
          <w:color w:val="000000" w:themeColor="text1"/>
          <w:sz w:val="22"/>
          <w:lang w:val="es-ES"/>
        </w:rPr>
        <w:t xml:space="preserve"> prevé dos formas de asociación para que las entidades ejecuten actividades científicas y tecnológicas, proyectos de investigación y creación de tecnologías: i) crear personas jurídicas civiles, comerciales y sin ánimo de lucro y ii) celebrar convenios especiales de cooperación. Por otra parte, el Decreto 591 de 1991 regula 3 tipos de contratos: </w:t>
      </w:r>
      <w:r w:rsidR="00F23BE9" w:rsidRPr="00E32E3E">
        <w:rPr>
          <w:rFonts w:ascii="Arial" w:hAnsi="Arial" w:cs="Arial"/>
          <w:color w:val="000000" w:themeColor="text1"/>
          <w:sz w:val="22"/>
        </w:rPr>
        <w:t xml:space="preserve">i) contratos de financiamiento, ii) contratos de administración de proyectos y iii) convenios especiales de cooperación, y este último es igual al convenio del mismo nombre definido en el Decreto 393 de 1991. </w:t>
      </w:r>
    </w:p>
    <w:p w14:paraId="54BBF2EE" w14:textId="4F6F90E8" w:rsidR="00163950" w:rsidRDefault="00F23BE9" w:rsidP="00F23BE9">
      <w:pPr>
        <w:spacing w:before="120" w:line="276" w:lineRule="auto"/>
        <w:ind w:firstLine="709"/>
        <w:jc w:val="both"/>
        <w:rPr>
          <w:rFonts w:ascii="Arial" w:hAnsi="Arial" w:cs="Arial"/>
          <w:color w:val="000000" w:themeColor="text1"/>
          <w:sz w:val="22"/>
        </w:rPr>
      </w:pPr>
      <w:r w:rsidRPr="00E32E3E">
        <w:rPr>
          <w:rFonts w:ascii="Arial" w:hAnsi="Arial" w:cs="Arial"/>
          <w:color w:val="000000" w:themeColor="text1"/>
          <w:sz w:val="22"/>
        </w:rPr>
        <w:t xml:space="preserve">De acuerdo con la Circular Externa Única de Colombia Compra Eficiente, </w:t>
      </w:r>
      <w:r w:rsidR="00163950">
        <w:rPr>
          <w:rFonts w:ascii="Arial" w:hAnsi="Arial" w:cs="Arial"/>
          <w:color w:val="000000" w:themeColor="text1"/>
          <w:sz w:val="22"/>
        </w:rPr>
        <w:t>y conforme a las explicaciones realizadas en estas consideraciones</w:t>
      </w:r>
      <w:r w:rsidR="0063295B">
        <w:rPr>
          <w:rFonts w:ascii="Arial" w:hAnsi="Arial" w:cs="Arial"/>
          <w:color w:val="000000" w:themeColor="text1"/>
          <w:sz w:val="22"/>
        </w:rPr>
        <w:t>,</w:t>
      </w:r>
      <w:r w:rsidR="00163950">
        <w:rPr>
          <w:rFonts w:ascii="Arial" w:hAnsi="Arial" w:cs="Arial"/>
          <w:color w:val="000000" w:themeColor="text1"/>
          <w:sz w:val="22"/>
        </w:rPr>
        <w:t xml:space="preserve"> el régimen contractual aplicable al </w:t>
      </w:r>
      <w:r w:rsidR="00163950" w:rsidRPr="009F6DF7">
        <w:rPr>
          <w:rFonts w:ascii="Arial" w:hAnsi="Arial" w:cs="Arial"/>
          <w:i/>
          <w:iCs/>
          <w:color w:val="000000" w:themeColor="text1"/>
          <w:sz w:val="22"/>
        </w:rPr>
        <w:t>convenio especial de cooperación</w:t>
      </w:r>
      <w:r w:rsidR="00163950">
        <w:rPr>
          <w:rFonts w:ascii="Arial" w:hAnsi="Arial" w:cs="Arial"/>
          <w:color w:val="000000" w:themeColor="text1"/>
          <w:sz w:val="22"/>
        </w:rPr>
        <w:t xml:space="preserve"> regulado en los Decretos-Ley 393 y 591 de 1991 es el derecho privado –art. 7, numeral 5, del Decreto-Ley 393 de 1991–. </w:t>
      </w:r>
      <w:r w:rsidR="001336E7">
        <w:rPr>
          <w:rFonts w:ascii="Arial" w:hAnsi="Arial" w:cs="Arial"/>
          <w:color w:val="000000" w:themeColor="text1"/>
          <w:sz w:val="22"/>
        </w:rPr>
        <w:t>En tal sentido, estos contratos, al no regirse por el Estatuto General de Contratación de la Administración Pública, no se someten a las modalidades de selección establecidas en la Ley 1150 de 2007</w:t>
      </w:r>
      <w:r w:rsidR="0063295B">
        <w:rPr>
          <w:rFonts w:ascii="Arial" w:hAnsi="Arial" w:cs="Arial"/>
          <w:color w:val="000000" w:themeColor="text1"/>
          <w:sz w:val="22"/>
        </w:rPr>
        <w:t>,</w:t>
      </w:r>
      <w:r w:rsidR="001336E7">
        <w:rPr>
          <w:rFonts w:ascii="Arial" w:hAnsi="Arial" w:cs="Arial"/>
          <w:color w:val="000000" w:themeColor="text1"/>
          <w:sz w:val="22"/>
        </w:rPr>
        <w:t xml:space="preserve"> donde se establece, entre otras</w:t>
      </w:r>
      <w:r w:rsidR="0063295B">
        <w:rPr>
          <w:rFonts w:ascii="Arial" w:hAnsi="Arial" w:cs="Arial"/>
          <w:color w:val="000000" w:themeColor="text1"/>
          <w:sz w:val="22"/>
        </w:rPr>
        <w:t>,</w:t>
      </w:r>
      <w:r w:rsidR="001336E7">
        <w:rPr>
          <w:rFonts w:ascii="Arial" w:hAnsi="Arial" w:cs="Arial"/>
          <w:color w:val="000000" w:themeColor="text1"/>
          <w:sz w:val="22"/>
        </w:rPr>
        <w:t xml:space="preserve"> la licitación pública.</w:t>
      </w:r>
    </w:p>
    <w:p w14:paraId="07FE20F7" w14:textId="77777777" w:rsidR="00163950" w:rsidRDefault="00163950" w:rsidP="00F23BE9">
      <w:pPr>
        <w:spacing w:before="120" w:line="276" w:lineRule="auto"/>
        <w:ind w:firstLine="709"/>
        <w:jc w:val="both"/>
        <w:rPr>
          <w:rFonts w:ascii="Arial" w:hAnsi="Arial" w:cs="Arial"/>
          <w:color w:val="000000" w:themeColor="text1"/>
          <w:sz w:val="22"/>
        </w:rPr>
      </w:pPr>
    </w:p>
    <w:p w14:paraId="7AE9D132" w14:textId="0673B3D5" w:rsidR="001F4546" w:rsidRPr="009868CC" w:rsidRDefault="00F1108B" w:rsidP="001F4546">
      <w:pPr>
        <w:shd w:val="clear" w:color="auto" w:fill="FFFFFF"/>
        <w:spacing w:after="120" w:line="276" w:lineRule="auto"/>
        <w:jc w:val="both"/>
        <w:rPr>
          <w:rFonts w:ascii="Arial" w:hAnsi="Arial" w:cs="Arial"/>
          <w:sz w:val="22"/>
          <w:lang w:val="es-ES_tradnl"/>
        </w:rPr>
      </w:pPr>
      <w:r w:rsidRPr="009868CC">
        <w:rPr>
          <w:rFonts w:ascii="Arial" w:eastAsia="Calibri" w:hAnsi="Arial" w:cs="Arial"/>
          <w:sz w:val="22"/>
        </w:rPr>
        <w:t>Este concepto tiene el alcance previsto en el artículo 28 del Código de Procedimiento Administrativo y de lo Contencioso Administrativo.</w:t>
      </w:r>
    </w:p>
    <w:p w14:paraId="0AF2149B" w14:textId="7B117B9D" w:rsidR="001F4546" w:rsidRPr="009868CC" w:rsidRDefault="001F4546" w:rsidP="001F4546">
      <w:pPr>
        <w:jc w:val="center"/>
        <w:rPr>
          <w:rFonts w:ascii="Arial" w:hAnsi="Arial" w:cs="Arial"/>
          <w:sz w:val="18"/>
          <w:szCs w:val="20"/>
          <w:lang w:val="es-ES_tradnl" w:eastAsia="es-CO"/>
        </w:rPr>
      </w:pPr>
    </w:p>
    <w:p w14:paraId="040D4738" w14:textId="7195B345" w:rsidR="001F4546" w:rsidRPr="009868CC" w:rsidRDefault="006E40A6" w:rsidP="001F4546">
      <w:pPr>
        <w:jc w:val="center"/>
        <w:rPr>
          <w:rFonts w:ascii="Arial" w:hAnsi="Arial" w:cs="Arial"/>
          <w:sz w:val="18"/>
          <w:szCs w:val="20"/>
          <w:lang w:val="es-ES_tradnl" w:eastAsia="es-CO"/>
        </w:rPr>
      </w:pPr>
      <w:r>
        <w:rPr>
          <w:noProof/>
        </w:rPr>
        <w:drawing>
          <wp:inline distT="0" distB="0" distL="0" distR="0" wp14:anchorId="170B5F19" wp14:editId="2A4BED78">
            <wp:extent cx="2514600" cy="1114425"/>
            <wp:effectExtent l="0" t="0" r="0" b="9525"/>
            <wp:docPr id="1357320060" name="Imagen 1357320060"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320060" name="Imagen 1357320060" descr="Texto&#10;&#10;Descripción generada automáticamente"/>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0C71D8B5" w14:textId="77777777" w:rsidR="001F4546" w:rsidRPr="009868CC" w:rsidRDefault="001F4546" w:rsidP="001F4546">
      <w:pPr>
        <w:jc w:val="center"/>
        <w:rPr>
          <w:rFonts w:ascii="Arial" w:hAnsi="Arial" w:cs="Arial"/>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262CF" w:rsidRPr="00CF16CF" w14:paraId="3A981424" w14:textId="77777777" w:rsidTr="0064799C">
        <w:trPr>
          <w:trHeight w:val="315"/>
        </w:trPr>
        <w:tc>
          <w:tcPr>
            <w:tcW w:w="812" w:type="dxa"/>
            <w:vAlign w:val="center"/>
            <w:hideMark/>
          </w:tcPr>
          <w:p w14:paraId="2BC4AD0C" w14:textId="77777777" w:rsidR="005262CF" w:rsidRPr="00CF16CF" w:rsidRDefault="005262CF" w:rsidP="0064799C">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4BF5DC30" w14:textId="77777777" w:rsidR="000127CD" w:rsidRDefault="005262CF" w:rsidP="000127CD">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t>C</w:t>
            </w:r>
            <w:r w:rsidR="000127CD">
              <w:rPr>
                <w:rFonts w:ascii="Arial" w:hAnsi="Arial" w:cs="Arial"/>
                <w:color w:val="000000" w:themeColor="text1"/>
                <w:sz w:val="16"/>
                <w:szCs w:val="16"/>
                <w:lang w:val="es-ES_tradnl" w:eastAsia="es-ES"/>
              </w:rPr>
              <w:t>amilo Perdomo Villamil</w:t>
            </w:r>
          </w:p>
          <w:p w14:paraId="3D63D967" w14:textId="7E9F9A78" w:rsidR="005262CF" w:rsidRPr="00CF16CF" w:rsidRDefault="005262CF" w:rsidP="000127CD">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t>Contratista de la Subdirección de Gestión Contractual</w:t>
            </w:r>
          </w:p>
        </w:tc>
      </w:tr>
      <w:tr w:rsidR="000127CD" w:rsidRPr="00CF16CF" w14:paraId="4525BD82" w14:textId="77777777" w:rsidTr="0064799C">
        <w:trPr>
          <w:trHeight w:val="330"/>
        </w:trPr>
        <w:tc>
          <w:tcPr>
            <w:tcW w:w="812" w:type="dxa"/>
            <w:vAlign w:val="center"/>
            <w:hideMark/>
          </w:tcPr>
          <w:p w14:paraId="77498D1B" w14:textId="77777777" w:rsidR="000127CD" w:rsidRPr="00CF16CF" w:rsidRDefault="000127CD" w:rsidP="000127CD">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lastRenderedPageBreak/>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6B50E16" w14:textId="2350F13D" w:rsidR="000127CD" w:rsidRPr="007A0123" w:rsidRDefault="000127CD" w:rsidP="000127CD">
            <w:pPr>
              <w:rPr>
                <w:rFonts w:ascii="Arial" w:hAnsi="Arial" w:cs="Arial"/>
                <w:color w:val="000000" w:themeColor="text1"/>
                <w:sz w:val="16"/>
                <w:szCs w:val="16"/>
                <w:lang w:eastAsia="es-ES"/>
              </w:rPr>
            </w:pPr>
            <w:r>
              <w:rPr>
                <w:rFonts w:ascii="Arial" w:hAnsi="Arial" w:cs="Arial"/>
                <w:color w:val="000000" w:themeColor="text1"/>
                <w:sz w:val="16"/>
                <w:szCs w:val="16"/>
                <w:lang w:eastAsia="es-ES"/>
              </w:rPr>
              <w:t xml:space="preserve">Sebastian Ramirez </w:t>
            </w:r>
          </w:p>
          <w:p w14:paraId="1DF117AB" w14:textId="5AEA3C34" w:rsidR="000127CD" w:rsidRPr="00CF16CF" w:rsidRDefault="000127CD" w:rsidP="000127CD">
            <w:pPr>
              <w:jc w:val="both"/>
              <w:rPr>
                <w:rFonts w:ascii="Arial" w:hAnsi="Arial" w:cs="Arial"/>
                <w:color w:val="000000" w:themeColor="text1"/>
                <w:sz w:val="16"/>
                <w:szCs w:val="16"/>
                <w:lang w:val="es-ES_tradnl" w:eastAsia="es-ES"/>
              </w:rPr>
            </w:pPr>
            <w:r w:rsidRPr="007A0123">
              <w:rPr>
                <w:rFonts w:ascii="Arial" w:hAnsi="Arial" w:cs="Arial"/>
                <w:color w:val="000000" w:themeColor="text1"/>
                <w:sz w:val="16"/>
                <w:szCs w:val="16"/>
                <w:lang w:eastAsia="es-ES"/>
              </w:rPr>
              <w:t>Gestor T1-1</w:t>
            </w:r>
            <w:r>
              <w:rPr>
                <w:rFonts w:ascii="Arial" w:hAnsi="Arial" w:cs="Arial"/>
                <w:color w:val="000000" w:themeColor="text1"/>
                <w:sz w:val="16"/>
                <w:szCs w:val="16"/>
                <w:lang w:eastAsia="es-ES"/>
              </w:rPr>
              <w:t>1</w:t>
            </w:r>
            <w:r w:rsidRPr="007A0123">
              <w:rPr>
                <w:rFonts w:ascii="Arial" w:hAnsi="Arial" w:cs="Arial"/>
                <w:color w:val="000000" w:themeColor="text1"/>
                <w:sz w:val="16"/>
                <w:szCs w:val="16"/>
                <w:lang w:eastAsia="es-ES"/>
              </w:rPr>
              <w:t xml:space="preserve"> de la Subdirección de Gestión Contractual</w:t>
            </w:r>
          </w:p>
        </w:tc>
      </w:tr>
      <w:tr w:rsidR="000127CD" w:rsidRPr="00CF16CF" w14:paraId="5BFED31D" w14:textId="77777777" w:rsidTr="0064799C">
        <w:trPr>
          <w:trHeight w:val="300"/>
        </w:trPr>
        <w:tc>
          <w:tcPr>
            <w:tcW w:w="812" w:type="dxa"/>
            <w:vAlign w:val="center"/>
            <w:hideMark/>
          </w:tcPr>
          <w:p w14:paraId="53E3FB84" w14:textId="77777777" w:rsidR="000127CD" w:rsidRPr="00CF16CF" w:rsidRDefault="000127CD" w:rsidP="000127CD">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C34E83E" w14:textId="77777777" w:rsidR="000127CD" w:rsidRPr="00CF16CF" w:rsidRDefault="000127CD" w:rsidP="000127CD">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t>Jorge Augusto Tirado Navarro</w:t>
            </w:r>
          </w:p>
          <w:p w14:paraId="44BE84F0" w14:textId="77777777" w:rsidR="000127CD" w:rsidRPr="00CF16CF" w:rsidRDefault="000127CD" w:rsidP="000127CD">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t>Subdirector de Gestión Contractual ANCP – CCE</w:t>
            </w:r>
          </w:p>
        </w:tc>
      </w:tr>
    </w:tbl>
    <w:p w14:paraId="1CD9CED7" w14:textId="77777777" w:rsidR="001F4546" w:rsidRPr="009868CC" w:rsidRDefault="001F4546" w:rsidP="008274A8">
      <w:pPr>
        <w:spacing w:before="120" w:line="276" w:lineRule="auto"/>
        <w:jc w:val="both"/>
      </w:pPr>
    </w:p>
    <w:sectPr w:rsidR="001F4546" w:rsidRPr="009868CC"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1E3B1" w14:textId="77777777" w:rsidR="00EE1305" w:rsidRDefault="00EE1305">
      <w:r>
        <w:separator/>
      </w:r>
    </w:p>
  </w:endnote>
  <w:endnote w:type="continuationSeparator" w:id="0">
    <w:p w14:paraId="276A4539" w14:textId="77777777" w:rsidR="00EE1305" w:rsidRDefault="00EE1305">
      <w:r>
        <w:continuationSeparator/>
      </w:r>
    </w:p>
  </w:endnote>
  <w:endnote w:type="continuationNotice" w:id="1">
    <w:p w14:paraId="7FA4DE99" w14:textId="77777777" w:rsidR="00EE1305" w:rsidRDefault="00EE13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78E7DE2" w:rsidR="000A47AF" w:rsidRPr="008217B7" w:rsidRDefault="000A47AF"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312DB">
      <w:rPr>
        <w:rFonts w:ascii="Arial" w:hAnsi="Arial" w:cs="Arial"/>
        <w:b/>
        <w:bCs/>
        <w:noProof/>
        <w:color w:val="7F7F7F" w:themeColor="text1" w:themeTint="80"/>
        <w:sz w:val="16"/>
        <w:szCs w:val="16"/>
      </w:rPr>
      <w:t>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312D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5FD1A7C9" w:rsidR="000A47AF" w:rsidRDefault="4E700C15" w:rsidP="00322937">
    <w:pPr>
      <w:pStyle w:val="Piedepgina"/>
      <w:jc w:val="center"/>
      <w:rPr>
        <w:lang w:val="es-ES"/>
      </w:rPr>
    </w:pPr>
    <w:r>
      <w:rPr>
        <w:noProof/>
      </w:rPr>
      <w:drawing>
        <wp:inline distT="0" distB="0" distL="0" distR="0" wp14:anchorId="608B196D" wp14:editId="32E786D9">
          <wp:extent cx="3700130" cy="519139"/>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01E6CE61" w14:textId="77777777" w:rsidR="00183D77" w:rsidRDefault="00183D77"/>
  <w:p w14:paraId="7E41A88B" w14:textId="77777777" w:rsidR="00183D77" w:rsidRDefault="00183D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B3847" w14:textId="77777777" w:rsidR="00EE1305" w:rsidRDefault="00EE1305">
      <w:r>
        <w:separator/>
      </w:r>
    </w:p>
  </w:footnote>
  <w:footnote w:type="continuationSeparator" w:id="0">
    <w:p w14:paraId="521C0157" w14:textId="77777777" w:rsidR="00EE1305" w:rsidRDefault="00EE1305">
      <w:r>
        <w:continuationSeparator/>
      </w:r>
    </w:p>
  </w:footnote>
  <w:footnote w:type="continuationNotice" w:id="1">
    <w:p w14:paraId="2E616D8E" w14:textId="77777777" w:rsidR="00EE1305" w:rsidRDefault="00EE1305"/>
  </w:footnote>
  <w:footnote w:id="2">
    <w:p w14:paraId="3D56454E" w14:textId="77777777" w:rsidR="001434A4" w:rsidRPr="006F1275" w:rsidRDefault="001434A4" w:rsidP="006F1275">
      <w:pPr>
        <w:pStyle w:val="Textonotapie"/>
        <w:ind w:firstLine="709"/>
        <w:jc w:val="both"/>
        <w:rPr>
          <w:rFonts w:ascii="Arial" w:hAnsi="Arial" w:cs="Arial"/>
          <w:color w:val="000000" w:themeColor="text1"/>
          <w:sz w:val="19"/>
          <w:szCs w:val="19"/>
        </w:rPr>
      </w:pPr>
      <w:r w:rsidRPr="006F1275">
        <w:rPr>
          <w:rStyle w:val="Refdenotaalpie"/>
          <w:rFonts w:ascii="Arial" w:hAnsi="Arial" w:cs="Arial"/>
          <w:color w:val="000000" w:themeColor="text1"/>
          <w:sz w:val="19"/>
          <w:szCs w:val="19"/>
        </w:rPr>
        <w:footnoteRef/>
      </w:r>
      <w:r w:rsidRPr="006F1275">
        <w:rPr>
          <w:rFonts w:ascii="Arial" w:hAnsi="Arial" w:cs="Arial"/>
          <w:color w:val="000000" w:themeColor="text1"/>
          <w:sz w:val="19"/>
          <w:szCs w:val="19"/>
        </w:rPr>
        <w:t xml:space="preserve"> Colombia Compra Eficiente, Circular Externa Única: «La contratación de actividades de ciencia, tecnología e innovación por parte de las Entidades Estatales debe aplicar el régimen propio de dichas actividades con independencia de la fuente de financiación utilizada.</w:t>
      </w:r>
    </w:p>
    <w:p w14:paraId="31AD9688" w14:textId="77777777" w:rsidR="001434A4" w:rsidRPr="006F1275" w:rsidRDefault="001434A4" w:rsidP="006F1275">
      <w:pPr>
        <w:pStyle w:val="Textonotapie"/>
        <w:ind w:firstLine="709"/>
        <w:jc w:val="both"/>
        <w:rPr>
          <w:rFonts w:ascii="Arial" w:hAnsi="Arial" w:cs="Arial"/>
          <w:color w:val="000000" w:themeColor="text1"/>
          <w:sz w:val="19"/>
          <w:szCs w:val="19"/>
        </w:rPr>
      </w:pPr>
      <w:r w:rsidRPr="006F1275">
        <w:rPr>
          <w:rFonts w:ascii="Arial" w:hAnsi="Arial" w:cs="Arial"/>
          <w:color w:val="000000" w:themeColor="text1"/>
          <w:sz w:val="19"/>
          <w:szCs w:val="19"/>
        </w:rPr>
        <w:t>»El artículo 2 del Decreto Ley 393 de 1991, el artículo 2 de del Decreto Ley 591 de 1991, el artículo 18 de la Ley 1286 de 2009, que modificó la Ley 29 de 1990, y el Documento CONPES 3582 de 2009 establecen las actividades consideradas de ciencia, tecnología e innovación de los actores del Sistema Nacional de Ciencia Tecnología e Innovación.</w:t>
      </w:r>
    </w:p>
    <w:p w14:paraId="6B74A709" w14:textId="77777777" w:rsidR="001434A4" w:rsidRPr="006F1275" w:rsidRDefault="001434A4" w:rsidP="006F1275">
      <w:pPr>
        <w:pStyle w:val="Textonotapie"/>
        <w:ind w:firstLine="709"/>
        <w:jc w:val="both"/>
        <w:rPr>
          <w:rFonts w:ascii="Arial" w:hAnsi="Arial" w:cs="Arial"/>
          <w:color w:val="000000" w:themeColor="text1"/>
          <w:sz w:val="19"/>
          <w:szCs w:val="19"/>
        </w:rPr>
      </w:pPr>
      <w:r w:rsidRPr="006F1275">
        <w:rPr>
          <w:rFonts w:ascii="Arial" w:hAnsi="Arial" w:cs="Arial"/>
          <w:color w:val="000000" w:themeColor="text1"/>
          <w:sz w:val="19"/>
          <w:szCs w:val="19"/>
        </w:rPr>
        <w:t>»En caso de que las Entidades Estatales no tengan certeza sobre la catalogación de las actividades científicas, tecnológicas y de innovación, deben acudir al Departamento Administrativo de Ciencia, Tecnología e Innovación – COLCIENCIAS (Ahora Ministerio de Ciencia, Tecnología e Innovación), autoridad competente en la materia» Paréntesis fuera de texto.</w:t>
      </w:r>
    </w:p>
    <w:p w14:paraId="7538F6FB" w14:textId="77777777" w:rsidR="001434A4" w:rsidRPr="006F1275" w:rsidRDefault="001434A4" w:rsidP="006F1275">
      <w:pPr>
        <w:pStyle w:val="Textonotapie"/>
        <w:ind w:firstLine="709"/>
        <w:jc w:val="both"/>
        <w:rPr>
          <w:rFonts w:ascii="Arial" w:hAnsi="Arial" w:cs="Arial"/>
          <w:color w:val="000000" w:themeColor="text1"/>
          <w:sz w:val="19"/>
          <w:szCs w:val="19"/>
        </w:rPr>
      </w:pPr>
    </w:p>
  </w:footnote>
  <w:footnote w:id="3">
    <w:p w14:paraId="2567FEFC" w14:textId="77777777" w:rsidR="001434A4" w:rsidRPr="006F1275" w:rsidRDefault="001434A4" w:rsidP="006F1275">
      <w:pPr>
        <w:pStyle w:val="Textonotapie"/>
        <w:ind w:firstLine="709"/>
        <w:jc w:val="both"/>
        <w:rPr>
          <w:rFonts w:ascii="Arial" w:hAnsi="Arial" w:cs="Arial"/>
          <w:color w:val="000000"/>
          <w:sz w:val="19"/>
          <w:szCs w:val="19"/>
        </w:rPr>
      </w:pPr>
      <w:r w:rsidRPr="006F1275">
        <w:rPr>
          <w:rStyle w:val="Refdenotaalpie"/>
          <w:rFonts w:ascii="Arial" w:hAnsi="Arial" w:cs="Arial"/>
          <w:color w:val="000000"/>
          <w:sz w:val="19"/>
          <w:szCs w:val="19"/>
        </w:rPr>
        <w:footnoteRef/>
      </w:r>
      <w:r w:rsidRPr="006F1275">
        <w:rPr>
          <w:rFonts w:ascii="Arial" w:hAnsi="Arial" w:cs="Arial"/>
          <w:color w:val="000000"/>
          <w:sz w:val="19"/>
          <w:szCs w:val="19"/>
        </w:rPr>
        <w:t xml:space="preserve"> Decreto 393 de 1991: «Artículo 2. Propósitos de la Asociación. Bajo cualquiera de las modalidades previstas en el artículo anterior, la asociación podrá tener entre otros, los siguientes propósitos.</w:t>
      </w:r>
    </w:p>
    <w:p w14:paraId="21ADD082"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»a) Adelantar proyectos de investigación científica.</w:t>
      </w:r>
    </w:p>
    <w:p w14:paraId="2424BF3B"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»b) Apoyar la creación, el fomento, el desarrollo y el financiamiento de empresas que incorporen innovaciones científicas o tecnológicas aplicables a la producción nacional, al manejo del medio ambiente o al aprovechamiento de los recursos naturales.</w:t>
      </w:r>
    </w:p>
    <w:p w14:paraId="30C8F029"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»c) Organizar centros científicos y tecnológicos, parques tecnológicos, e incubadoras de empresas.</w:t>
      </w:r>
    </w:p>
    <w:p w14:paraId="27B21170"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»d) Formar y capacitar recursos humanos para el avance y la gestión de la ciencia y la tecnología.</w:t>
      </w:r>
    </w:p>
    <w:p w14:paraId="7553C688"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»e) Establecer redes de información científica y tecnológica.</w:t>
      </w:r>
    </w:p>
    <w:p w14:paraId="29F44F3C"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»f) Crear, fomentar, difundir e implementar sistemas de gestión de calidad.</w:t>
      </w:r>
    </w:p>
    <w:p w14:paraId="1C908625"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»g) Negociar, aplicar y adaptar tecnologías nacionales o extranjeras.</w:t>
      </w:r>
    </w:p>
    <w:p w14:paraId="6F76E8A5"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»h) Asesorar la negociación, aplicación y adaptación de tecnologías nacionales y extranjeras.</w:t>
      </w:r>
    </w:p>
    <w:p w14:paraId="3FC7EC6A"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»i) Realizar actividades de normalización y metrología.</w:t>
      </w:r>
    </w:p>
    <w:p w14:paraId="73C57CB1"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»j) Crear fondos de desarrollo científico y tecnológico a nivel nacional y regional, fondos especiales de garantías, y fondos para la renovación y el mantenimiento de equipos científicos.</w:t>
      </w:r>
    </w:p>
    <w:p w14:paraId="7A4D7880"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»k) Realizar seminarios, cursos y eventos nacionales o internacionales de ciencia y tecnología.</w:t>
      </w:r>
    </w:p>
    <w:p w14:paraId="0914BD6A"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»I) Financiar publicaciones y el otorgamiento de premios y distinciones a investigadores, grupos de investigación e investigaciones».</w:t>
      </w:r>
    </w:p>
    <w:p w14:paraId="7BB3492C" w14:textId="77777777" w:rsidR="001434A4" w:rsidRPr="006F1275" w:rsidRDefault="001434A4" w:rsidP="006F1275">
      <w:pPr>
        <w:pStyle w:val="Textonotapie"/>
        <w:ind w:firstLine="709"/>
        <w:jc w:val="both"/>
        <w:rPr>
          <w:rFonts w:ascii="Arial" w:hAnsi="Arial" w:cs="Arial"/>
          <w:color w:val="000000"/>
          <w:sz w:val="19"/>
          <w:szCs w:val="19"/>
          <w:lang w:val="es-ES"/>
        </w:rPr>
      </w:pPr>
    </w:p>
  </w:footnote>
  <w:footnote w:id="4">
    <w:p w14:paraId="4426B1D7" w14:textId="77777777" w:rsidR="001434A4" w:rsidRPr="006F1275" w:rsidRDefault="001434A4" w:rsidP="006F1275">
      <w:pPr>
        <w:pStyle w:val="Textonotapie"/>
        <w:ind w:firstLine="709"/>
        <w:jc w:val="both"/>
        <w:rPr>
          <w:rFonts w:ascii="Arial" w:hAnsi="Arial" w:cs="Arial"/>
          <w:color w:val="000000"/>
          <w:sz w:val="19"/>
          <w:szCs w:val="19"/>
          <w:lang w:val="es-ES"/>
        </w:rPr>
      </w:pPr>
      <w:r w:rsidRPr="006F1275">
        <w:rPr>
          <w:rStyle w:val="Refdenotaalpie"/>
          <w:rFonts w:ascii="Arial" w:hAnsi="Arial" w:cs="Arial"/>
          <w:color w:val="000000"/>
          <w:sz w:val="19"/>
          <w:szCs w:val="19"/>
        </w:rPr>
        <w:footnoteRef/>
      </w:r>
      <w:r w:rsidRPr="006F1275">
        <w:rPr>
          <w:rFonts w:ascii="Arial" w:hAnsi="Arial" w:cs="Arial"/>
          <w:color w:val="000000"/>
          <w:sz w:val="19"/>
          <w:szCs w:val="19"/>
        </w:rPr>
        <w:t xml:space="preserve"> </w:t>
      </w:r>
      <w:r w:rsidRPr="006F1275">
        <w:rPr>
          <w:rFonts w:ascii="Arial" w:hAnsi="Arial" w:cs="Arial"/>
          <w:i/>
          <w:iCs/>
          <w:color w:val="000000"/>
          <w:sz w:val="19"/>
          <w:szCs w:val="19"/>
        </w:rPr>
        <w:t>Ibidem.</w:t>
      </w:r>
    </w:p>
  </w:footnote>
  <w:footnote w:id="5">
    <w:p w14:paraId="1B815C66" w14:textId="77777777" w:rsidR="001434A4" w:rsidRPr="006F1275" w:rsidRDefault="001434A4" w:rsidP="006F1275">
      <w:pPr>
        <w:pStyle w:val="Textonotapie"/>
        <w:ind w:firstLine="709"/>
        <w:jc w:val="both"/>
        <w:rPr>
          <w:rFonts w:ascii="Arial" w:hAnsi="Arial" w:cs="Arial"/>
          <w:color w:val="000000"/>
          <w:sz w:val="19"/>
          <w:szCs w:val="19"/>
        </w:rPr>
      </w:pPr>
    </w:p>
    <w:p w14:paraId="4CC27FFC" w14:textId="77777777" w:rsidR="001434A4" w:rsidRPr="006F1275" w:rsidRDefault="001434A4" w:rsidP="006F1275">
      <w:pPr>
        <w:pStyle w:val="Textonotapie"/>
        <w:ind w:firstLine="709"/>
        <w:jc w:val="both"/>
        <w:rPr>
          <w:rFonts w:ascii="Arial" w:hAnsi="Arial" w:cs="Arial"/>
          <w:color w:val="000000"/>
          <w:sz w:val="19"/>
          <w:szCs w:val="19"/>
        </w:rPr>
      </w:pPr>
      <w:r w:rsidRPr="006F1275">
        <w:rPr>
          <w:rStyle w:val="Refdenotaalpie"/>
          <w:rFonts w:ascii="Arial" w:hAnsi="Arial" w:cs="Arial"/>
          <w:color w:val="000000"/>
          <w:sz w:val="19"/>
          <w:szCs w:val="19"/>
        </w:rPr>
        <w:footnoteRef/>
      </w:r>
      <w:r w:rsidRPr="006F1275">
        <w:rPr>
          <w:rFonts w:ascii="Arial" w:hAnsi="Arial" w:cs="Arial"/>
          <w:color w:val="000000"/>
          <w:sz w:val="19"/>
          <w:szCs w:val="19"/>
        </w:rPr>
        <w:t xml:space="preserve"> </w:t>
      </w:r>
      <w:r w:rsidRPr="006F1275">
        <w:rPr>
          <w:rFonts w:ascii="Arial" w:hAnsi="Arial" w:cs="Arial"/>
          <w:i/>
          <w:iCs/>
          <w:color w:val="000000"/>
          <w:sz w:val="19"/>
          <w:szCs w:val="19"/>
        </w:rPr>
        <w:t>Ibidem.</w:t>
      </w:r>
    </w:p>
    <w:p w14:paraId="5CB4B299" w14:textId="77777777" w:rsidR="001434A4" w:rsidRPr="006F1275" w:rsidRDefault="001434A4" w:rsidP="006F1275">
      <w:pPr>
        <w:pStyle w:val="Textonotapie"/>
        <w:ind w:firstLine="709"/>
        <w:jc w:val="both"/>
        <w:rPr>
          <w:rFonts w:ascii="Arial" w:hAnsi="Arial" w:cs="Arial"/>
          <w:color w:val="000000"/>
          <w:sz w:val="19"/>
          <w:szCs w:val="19"/>
          <w:lang w:val="es-ES"/>
        </w:rPr>
      </w:pPr>
    </w:p>
  </w:footnote>
  <w:footnote w:id="6">
    <w:p w14:paraId="1B347F6F" w14:textId="77777777" w:rsidR="001434A4" w:rsidRPr="006F1275" w:rsidRDefault="001434A4" w:rsidP="006F1275">
      <w:pPr>
        <w:pStyle w:val="Textonotapie"/>
        <w:ind w:firstLine="709"/>
        <w:jc w:val="both"/>
        <w:rPr>
          <w:rFonts w:ascii="Arial" w:hAnsi="Arial" w:cs="Arial"/>
          <w:color w:val="000000"/>
          <w:sz w:val="19"/>
          <w:szCs w:val="19"/>
          <w:lang w:val="es-ES"/>
        </w:rPr>
      </w:pPr>
      <w:r w:rsidRPr="006F1275">
        <w:rPr>
          <w:rStyle w:val="Refdenotaalpie"/>
          <w:rFonts w:ascii="Arial" w:hAnsi="Arial" w:cs="Arial"/>
          <w:color w:val="000000"/>
          <w:sz w:val="19"/>
          <w:szCs w:val="19"/>
        </w:rPr>
        <w:footnoteRef/>
      </w:r>
      <w:r w:rsidRPr="006F1275">
        <w:rPr>
          <w:rFonts w:ascii="Arial" w:hAnsi="Arial" w:cs="Arial"/>
          <w:color w:val="000000"/>
          <w:sz w:val="19"/>
          <w:szCs w:val="19"/>
        </w:rPr>
        <w:t xml:space="preserve"> Colombia Compra Eficiente, Circular Externa Única: «El convenio especial de cooperación está sujeto a las normas de derecho privado, de acuerdo con lo previsto en el Decreto–Ley 393 de 1991. Si el convenio respectivo introduce líneas de acción relativas a la administración de proyectos o financiamiento, se somete al mismo régimen privado del convenio».</w:t>
      </w:r>
    </w:p>
  </w:footnote>
  <w:footnote w:id="7">
    <w:p w14:paraId="480995B9" w14:textId="77777777" w:rsidR="001434A4" w:rsidRPr="006F1275" w:rsidRDefault="001434A4" w:rsidP="006F1275">
      <w:pPr>
        <w:pStyle w:val="Textonotapie"/>
        <w:ind w:firstLine="709"/>
        <w:jc w:val="both"/>
        <w:rPr>
          <w:rFonts w:ascii="Arial" w:hAnsi="Arial" w:cs="Arial"/>
          <w:color w:val="000000"/>
          <w:sz w:val="19"/>
          <w:szCs w:val="19"/>
        </w:rPr>
      </w:pPr>
      <w:r w:rsidRPr="006F1275">
        <w:rPr>
          <w:rStyle w:val="Refdenotaalpie"/>
          <w:rFonts w:ascii="Arial" w:hAnsi="Arial" w:cs="Arial"/>
          <w:color w:val="000000"/>
          <w:sz w:val="19"/>
          <w:szCs w:val="19"/>
        </w:rPr>
        <w:footnoteRef/>
      </w:r>
      <w:r w:rsidRPr="006F1275">
        <w:rPr>
          <w:rFonts w:ascii="Arial" w:hAnsi="Arial" w:cs="Arial"/>
          <w:color w:val="000000"/>
          <w:sz w:val="19"/>
          <w:szCs w:val="19"/>
        </w:rPr>
        <w:t xml:space="preserve"> Colombia Compra Eficiente, Circular Externa Única: «Los contratos de administración de proyectos, previstos en el artículo 9 el Decreto – Ley 591 de 1991, celebrados de manera independiente a un convenio especial de cooperación, están sujetos a las Leyes 80 de 1993 y 1150 de 2007, y sus normas reglamentarias, y pueden celebrarse bajo la modalidad de contratación directa».</w:t>
      </w:r>
    </w:p>
    <w:p w14:paraId="32C1B03A" w14:textId="77777777" w:rsidR="001434A4" w:rsidRPr="006F1275" w:rsidRDefault="001434A4" w:rsidP="006F1275">
      <w:pPr>
        <w:pStyle w:val="Textonotapie"/>
        <w:ind w:firstLine="709"/>
        <w:jc w:val="both"/>
        <w:rPr>
          <w:rFonts w:ascii="Arial" w:hAnsi="Arial" w:cs="Arial"/>
          <w:color w:val="000000"/>
          <w:sz w:val="19"/>
          <w:szCs w:val="19"/>
          <w:lang w:val="es-ES"/>
        </w:rPr>
      </w:pPr>
      <w:r w:rsidRPr="006F1275">
        <w:rPr>
          <w:rFonts w:ascii="Arial" w:hAnsi="Arial" w:cs="Arial"/>
          <w:color w:val="000000"/>
          <w:sz w:val="19"/>
          <w:szCs w:val="19"/>
        </w:rPr>
        <w:t xml:space="preserve"> </w:t>
      </w:r>
    </w:p>
  </w:footnote>
  <w:footnote w:id="8">
    <w:p w14:paraId="4B9268A0" w14:textId="77777777" w:rsidR="001434A4" w:rsidRPr="006F1275" w:rsidRDefault="001434A4" w:rsidP="006F1275">
      <w:pPr>
        <w:pStyle w:val="Textonotapie"/>
        <w:ind w:firstLine="709"/>
        <w:jc w:val="both"/>
        <w:rPr>
          <w:rFonts w:ascii="Arial" w:hAnsi="Arial" w:cs="Arial"/>
          <w:color w:val="000000"/>
          <w:sz w:val="19"/>
          <w:szCs w:val="19"/>
        </w:rPr>
      </w:pPr>
      <w:r w:rsidRPr="006F1275">
        <w:rPr>
          <w:rStyle w:val="Refdenotaalpie"/>
          <w:rFonts w:ascii="Arial" w:hAnsi="Arial" w:cs="Arial"/>
          <w:color w:val="000000"/>
          <w:sz w:val="19"/>
          <w:szCs w:val="19"/>
        </w:rPr>
        <w:footnoteRef/>
      </w:r>
      <w:r w:rsidRPr="006F1275">
        <w:rPr>
          <w:rFonts w:ascii="Arial" w:hAnsi="Arial" w:cs="Arial"/>
          <w:color w:val="000000"/>
          <w:sz w:val="19"/>
          <w:szCs w:val="19"/>
        </w:rPr>
        <w:t xml:space="preserve"> Decreto 591 de 1991: «Artículo 17. Para adelantar actividades científicas o tecnológicas la Nación y sus entidades descentralizadas podrán celebrar con los particulares y con otras entidades públicas de cualquier orden convenios especiales de cooperación. En virtud de estos convenios, las personas que los celebran aportan recursos en dinero, en especie o de industria, para facilitar, fomentar o desarrollar alguna de las actividades científicas o tecnológicas previstas en el artículo 2° de este Decreto».</w:t>
      </w:r>
    </w:p>
    <w:p w14:paraId="4AC4ADDF" w14:textId="77777777" w:rsidR="001434A4" w:rsidRPr="006F1275" w:rsidRDefault="001434A4" w:rsidP="006F1275">
      <w:pPr>
        <w:pStyle w:val="Textonotapie"/>
        <w:ind w:firstLine="709"/>
        <w:jc w:val="both"/>
        <w:rPr>
          <w:rFonts w:ascii="Arial" w:hAnsi="Arial" w:cs="Arial"/>
          <w:color w:val="000000"/>
          <w:sz w:val="19"/>
          <w:szCs w:val="19"/>
          <w:lang w:val="es-ES"/>
        </w:rPr>
      </w:pPr>
    </w:p>
  </w:footnote>
  <w:footnote w:id="9">
    <w:p w14:paraId="349DD558" w14:textId="77777777" w:rsidR="006F320A" w:rsidRDefault="006F320A" w:rsidP="006F320A">
      <w:pPr>
        <w:pStyle w:val="Textonotapie"/>
        <w:ind w:firstLine="708"/>
        <w:jc w:val="both"/>
        <w:rPr>
          <w:rFonts w:ascii="Arial" w:hAnsi="Arial" w:cs="Arial"/>
          <w:sz w:val="19"/>
          <w:szCs w:val="19"/>
        </w:rPr>
      </w:pPr>
      <w:r w:rsidRPr="000B48F9">
        <w:rPr>
          <w:rStyle w:val="Refdenotaalpie"/>
          <w:rFonts w:ascii="Arial" w:hAnsi="Arial" w:cs="Arial"/>
          <w:sz w:val="19"/>
          <w:szCs w:val="19"/>
        </w:rPr>
        <w:footnoteRef/>
      </w:r>
      <w:r w:rsidRPr="000B48F9">
        <w:rPr>
          <w:rFonts w:ascii="Arial" w:hAnsi="Arial" w:cs="Arial"/>
          <w:sz w:val="19"/>
          <w:szCs w:val="19"/>
          <w:lang w:val="pt-BR"/>
        </w:rPr>
        <w:t xml:space="preserve"> Corte Constitucional. Sentencia C-713 de 2009. </w:t>
      </w:r>
      <w:r w:rsidRPr="000B48F9">
        <w:rPr>
          <w:rFonts w:ascii="Arial" w:hAnsi="Arial" w:cs="Arial"/>
          <w:sz w:val="19"/>
          <w:szCs w:val="19"/>
        </w:rPr>
        <w:t>M.P. María Victoria Calle Correa.</w:t>
      </w:r>
    </w:p>
    <w:p w14:paraId="260E5A53" w14:textId="77777777" w:rsidR="006F320A" w:rsidRPr="000B48F9" w:rsidRDefault="006F320A" w:rsidP="006F320A">
      <w:pPr>
        <w:pStyle w:val="Textonotapie"/>
        <w:ind w:firstLine="708"/>
        <w:jc w:val="both"/>
        <w:rPr>
          <w:rFonts w:ascii="Arial" w:hAnsi="Arial" w:cs="Arial"/>
          <w:sz w:val="19"/>
          <w:szCs w:val="19"/>
          <w:lang w:val="es-CO"/>
        </w:rPr>
      </w:pPr>
    </w:p>
  </w:footnote>
  <w:footnote w:id="10">
    <w:p w14:paraId="0FABF553" w14:textId="77777777" w:rsidR="006F320A" w:rsidRPr="000B48F9" w:rsidRDefault="006F320A" w:rsidP="006F320A">
      <w:pPr>
        <w:pStyle w:val="Textonotapie"/>
        <w:ind w:firstLine="708"/>
        <w:jc w:val="both"/>
        <w:rPr>
          <w:rFonts w:ascii="Arial" w:hAnsi="Arial" w:cs="Arial"/>
          <w:sz w:val="19"/>
          <w:szCs w:val="19"/>
          <w:lang w:val="es-CO"/>
        </w:rPr>
      </w:pPr>
      <w:r w:rsidRPr="000B48F9">
        <w:rPr>
          <w:rStyle w:val="Refdenotaalpie"/>
          <w:rFonts w:ascii="Arial" w:hAnsi="Arial" w:cs="Arial"/>
          <w:sz w:val="19"/>
          <w:szCs w:val="19"/>
        </w:rPr>
        <w:footnoteRef/>
      </w:r>
      <w:r w:rsidRPr="000B48F9">
        <w:rPr>
          <w:rFonts w:ascii="Arial" w:hAnsi="Arial" w:cs="Arial"/>
          <w:sz w:val="19"/>
          <w:szCs w:val="19"/>
        </w:rPr>
        <w:t xml:space="preserve"> Consejo de Estado. Sala de consulta y servicio civil. Sentencia del 20 de febrero de 2006. Exp. 1.727. C.P. Enrique José Arboleda Perdomo.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4E75A9CD" w:rsidR="000A47AF" w:rsidRDefault="000A47AF">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14477A" w14:textId="77777777" w:rsidR="00183D77" w:rsidRDefault="00183D77"/>
  <w:p w14:paraId="592B4C14" w14:textId="77777777" w:rsidR="00183D77" w:rsidRDefault="00183D77"/>
  <w:p w14:paraId="39BFA986" w14:textId="77777777" w:rsidR="00183D77" w:rsidRDefault="00183D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16cid:durableId="2043357257">
    <w:abstractNumId w:val="2"/>
  </w:num>
  <w:num w:numId="2" w16cid:durableId="285433753">
    <w:abstractNumId w:val="1"/>
  </w:num>
  <w:num w:numId="3" w16cid:durableId="1896964374">
    <w:abstractNumId w:val="3"/>
  </w:num>
  <w:num w:numId="4" w16cid:durableId="1103963600">
    <w:abstractNumId w:val="4"/>
  </w:num>
  <w:num w:numId="5" w16cid:durableId="557741532">
    <w:abstractNumId w:val="6"/>
  </w:num>
  <w:num w:numId="6" w16cid:durableId="143412822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530506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317"/>
    <w:rsid w:val="00002D94"/>
    <w:rsid w:val="000046CC"/>
    <w:rsid w:val="000055D9"/>
    <w:rsid w:val="000059D3"/>
    <w:rsid w:val="0001035E"/>
    <w:rsid w:val="000127CD"/>
    <w:rsid w:val="00016249"/>
    <w:rsid w:val="00022E15"/>
    <w:rsid w:val="000279B3"/>
    <w:rsid w:val="00032912"/>
    <w:rsid w:val="00035753"/>
    <w:rsid w:val="00037573"/>
    <w:rsid w:val="00040DEA"/>
    <w:rsid w:val="00045246"/>
    <w:rsid w:val="0004752B"/>
    <w:rsid w:val="000529A0"/>
    <w:rsid w:val="0005551F"/>
    <w:rsid w:val="0005657D"/>
    <w:rsid w:val="000565DF"/>
    <w:rsid w:val="00056BD1"/>
    <w:rsid w:val="0006537A"/>
    <w:rsid w:val="000658F7"/>
    <w:rsid w:val="000744B4"/>
    <w:rsid w:val="00076A78"/>
    <w:rsid w:val="00080ACD"/>
    <w:rsid w:val="00082FC1"/>
    <w:rsid w:val="00084B97"/>
    <w:rsid w:val="0008539A"/>
    <w:rsid w:val="000942EB"/>
    <w:rsid w:val="0009676A"/>
    <w:rsid w:val="000A0158"/>
    <w:rsid w:val="000A0626"/>
    <w:rsid w:val="000A2092"/>
    <w:rsid w:val="000A296C"/>
    <w:rsid w:val="000A3B5A"/>
    <w:rsid w:val="000A3C64"/>
    <w:rsid w:val="000A47AF"/>
    <w:rsid w:val="000A7C27"/>
    <w:rsid w:val="000B0374"/>
    <w:rsid w:val="000B0FAB"/>
    <w:rsid w:val="000B103F"/>
    <w:rsid w:val="000B419B"/>
    <w:rsid w:val="000C122C"/>
    <w:rsid w:val="000C2392"/>
    <w:rsid w:val="000C639D"/>
    <w:rsid w:val="000C75EC"/>
    <w:rsid w:val="000D0ED2"/>
    <w:rsid w:val="000D10ED"/>
    <w:rsid w:val="000D1EBE"/>
    <w:rsid w:val="000D2339"/>
    <w:rsid w:val="000D68EA"/>
    <w:rsid w:val="000D7D13"/>
    <w:rsid w:val="000E11AD"/>
    <w:rsid w:val="000E2BB6"/>
    <w:rsid w:val="000F14E8"/>
    <w:rsid w:val="000F4626"/>
    <w:rsid w:val="000F576E"/>
    <w:rsid w:val="000F5896"/>
    <w:rsid w:val="001019AF"/>
    <w:rsid w:val="00103915"/>
    <w:rsid w:val="001051E5"/>
    <w:rsid w:val="001056BA"/>
    <w:rsid w:val="00107323"/>
    <w:rsid w:val="00112405"/>
    <w:rsid w:val="00113705"/>
    <w:rsid w:val="0011457B"/>
    <w:rsid w:val="00122B23"/>
    <w:rsid w:val="00125BED"/>
    <w:rsid w:val="00125C59"/>
    <w:rsid w:val="00125C66"/>
    <w:rsid w:val="00127AF2"/>
    <w:rsid w:val="00130016"/>
    <w:rsid w:val="00133330"/>
    <w:rsid w:val="001336E7"/>
    <w:rsid w:val="001344EB"/>
    <w:rsid w:val="001350C4"/>
    <w:rsid w:val="00136BF7"/>
    <w:rsid w:val="00137E3E"/>
    <w:rsid w:val="00137FFA"/>
    <w:rsid w:val="001402C5"/>
    <w:rsid w:val="00141245"/>
    <w:rsid w:val="001418A4"/>
    <w:rsid w:val="001434A4"/>
    <w:rsid w:val="001458D4"/>
    <w:rsid w:val="00145CF3"/>
    <w:rsid w:val="00146DE2"/>
    <w:rsid w:val="00150F04"/>
    <w:rsid w:val="00151978"/>
    <w:rsid w:val="00160401"/>
    <w:rsid w:val="00161B15"/>
    <w:rsid w:val="00161B32"/>
    <w:rsid w:val="0016200B"/>
    <w:rsid w:val="00163950"/>
    <w:rsid w:val="00163A34"/>
    <w:rsid w:val="001640DB"/>
    <w:rsid w:val="00165D90"/>
    <w:rsid w:val="00170A22"/>
    <w:rsid w:val="001753F7"/>
    <w:rsid w:val="00180477"/>
    <w:rsid w:val="001811A6"/>
    <w:rsid w:val="00182E2B"/>
    <w:rsid w:val="00182F57"/>
    <w:rsid w:val="00183D77"/>
    <w:rsid w:val="0018492C"/>
    <w:rsid w:val="00187333"/>
    <w:rsid w:val="00195789"/>
    <w:rsid w:val="00196CBA"/>
    <w:rsid w:val="001A0E2A"/>
    <w:rsid w:val="001A0F0E"/>
    <w:rsid w:val="001A2ADE"/>
    <w:rsid w:val="001A2DD2"/>
    <w:rsid w:val="001A3EC0"/>
    <w:rsid w:val="001B0444"/>
    <w:rsid w:val="001B07AA"/>
    <w:rsid w:val="001B2456"/>
    <w:rsid w:val="001B76A8"/>
    <w:rsid w:val="001C26F2"/>
    <w:rsid w:val="001C3E5C"/>
    <w:rsid w:val="001C435C"/>
    <w:rsid w:val="001C6D2E"/>
    <w:rsid w:val="001D77CE"/>
    <w:rsid w:val="001F0E9B"/>
    <w:rsid w:val="001F115F"/>
    <w:rsid w:val="001F2356"/>
    <w:rsid w:val="001F4546"/>
    <w:rsid w:val="001F7547"/>
    <w:rsid w:val="00202A9C"/>
    <w:rsid w:val="0020632A"/>
    <w:rsid w:val="0021094E"/>
    <w:rsid w:val="002110EB"/>
    <w:rsid w:val="00211338"/>
    <w:rsid w:val="00211388"/>
    <w:rsid w:val="0021234D"/>
    <w:rsid w:val="00213A1F"/>
    <w:rsid w:val="002143A8"/>
    <w:rsid w:val="002157D0"/>
    <w:rsid w:val="002304E7"/>
    <w:rsid w:val="002335DF"/>
    <w:rsid w:val="00234B84"/>
    <w:rsid w:val="0024107C"/>
    <w:rsid w:val="0024506E"/>
    <w:rsid w:val="00245778"/>
    <w:rsid w:val="00247712"/>
    <w:rsid w:val="00254960"/>
    <w:rsid w:val="0025797C"/>
    <w:rsid w:val="00261CA9"/>
    <w:rsid w:val="00263ECC"/>
    <w:rsid w:val="00270F5A"/>
    <w:rsid w:val="00273274"/>
    <w:rsid w:val="002765EE"/>
    <w:rsid w:val="002801FE"/>
    <w:rsid w:val="0028243F"/>
    <w:rsid w:val="00283FB7"/>
    <w:rsid w:val="0028449C"/>
    <w:rsid w:val="00295A3E"/>
    <w:rsid w:val="002A17E4"/>
    <w:rsid w:val="002B25ED"/>
    <w:rsid w:val="002B5BDB"/>
    <w:rsid w:val="002B6146"/>
    <w:rsid w:val="002C3D17"/>
    <w:rsid w:val="002C496D"/>
    <w:rsid w:val="002C4C0C"/>
    <w:rsid w:val="002C62F3"/>
    <w:rsid w:val="002D708C"/>
    <w:rsid w:val="002D7E0C"/>
    <w:rsid w:val="002E214A"/>
    <w:rsid w:val="002E55ED"/>
    <w:rsid w:val="002F49AB"/>
    <w:rsid w:val="00303015"/>
    <w:rsid w:val="003033BA"/>
    <w:rsid w:val="00304B88"/>
    <w:rsid w:val="00305BDF"/>
    <w:rsid w:val="00310967"/>
    <w:rsid w:val="00311B20"/>
    <w:rsid w:val="00312F9D"/>
    <w:rsid w:val="00321169"/>
    <w:rsid w:val="00322937"/>
    <w:rsid w:val="003264C6"/>
    <w:rsid w:val="00327372"/>
    <w:rsid w:val="00327A5C"/>
    <w:rsid w:val="003302E0"/>
    <w:rsid w:val="0033092C"/>
    <w:rsid w:val="00331FBE"/>
    <w:rsid w:val="00332A9D"/>
    <w:rsid w:val="00333786"/>
    <w:rsid w:val="00333B5D"/>
    <w:rsid w:val="00334D06"/>
    <w:rsid w:val="00336729"/>
    <w:rsid w:val="003370E7"/>
    <w:rsid w:val="0034177C"/>
    <w:rsid w:val="0034322C"/>
    <w:rsid w:val="003432C8"/>
    <w:rsid w:val="0034680A"/>
    <w:rsid w:val="00352F08"/>
    <w:rsid w:val="00353042"/>
    <w:rsid w:val="00353678"/>
    <w:rsid w:val="00353DD5"/>
    <w:rsid w:val="00361021"/>
    <w:rsid w:val="00363B8C"/>
    <w:rsid w:val="003713CB"/>
    <w:rsid w:val="00371889"/>
    <w:rsid w:val="00376ADC"/>
    <w:rsid w:val="003775C1"/>
    <w:rsid w:val="003779D5"/>
    <w:rsid w:val="00382349"/>
    <w:rsid w:val="003856A6"/>
    <w:rsid w:val="00386456"/>
    <w:rsid w:val="00387D23"/>
    <w:rsid w:val="003913D1"/>
    <w:rsid w:val="003953D2"/>
    <w:rsid w:val="00396DE4"/>
    <w:rsid w:val="00397FF0"/>
    <w:rsid w:val="003A0878"/>
    <w:rsid w:val="003A137E"/>
    <w:rsid w:val="003A2039"/>
    <w:rsid w:val="003A2109"/>
    <w:rsid w:val="003A5718"/>
    <w:rsid w:val="003A581E"/>
    <w:rsid w:val="003B09C2"/>
    <w:rsid w:val="003B2B10"/>
    <w:rsid w:val="003B3E7C"/>
    <w:rsid w:val="003B4C4C"/>
    <w:rsid w:val="003B6C79"/>
    <w:rsid w:val="003C1AF4"/>
    <w:rsid w:val="003C27D7"/>
    <w:rsid w:val="003E2DDF"/>
    <w:rsid w:val="003F14DE"/>
    <w:rsid w:val="003F1DE4"/>
    <w:rsid w:val="003F78F9"/>
    <w:rsid w:val="003F79C4"/>
    <w:rsid w:val="00400E2E"/>
    <w:rsid w:val="00405E73"/>
    <w:rsid w:val="004068B0"/>
    <w:rsid w:val="00407E41"/>
    <w:rsid w:val="00413FFA"/>
    <w:rsid w:val="004178A0"/>
    <w:rsid w:val="00423F9F"/>
    <w:rsid w:val="00432813"/>
    <w:rsid w:val="00434787"/>
    <w:rsid w:val="00434910"/>
    <w:rsid w:val="00435489"/>
    <w:rsid w:val="0043561A"/>
    <w:rsid w:val="004422D6"/>
    <w:rsid w:val="00442F3F"/>
    <w:rsid w:val="004446DE"/>
    <w:rsid w:val="00447D96"/>
    <w:rsid w:val="0045255A"/>
    <w:rsid w:val="00452576"/>
    <w:rsid w:val="0045271D"/>
    <w:rsid w:val="00452803"/>
    <w:rsid w:val="00454217"/>
    <w:rsid w:val="00455354"/>
    <w:rsid w:val="0045661E"/>
    <w:rsid w:val="00456E03"/>
    <w:rsid w:val="00461B68"/>
    <w:rsid w:val="00461B96"/>
    <w:rsid w:val="00464030"/>
    <w:rsid w:val="00466520"/>
    <w:rsid w:val="0046677A"/>
    <w:rsid w:val="00474C5E"/>
    <w:rsid w:val="00475972"/>
    <w:rsid w:val="004808DE"/>
    <w:rsid w:val="004861B4"/>
    <w:rsid w:val="00491D30"/>
    <w:rsid w:val="0049241A"/>
    <w:rsid w:val="00492B4A"/>
    <w:rsid w:val="00494A1C"/>
    <w:rsid w:val="00495786"/>
    <w:rsid w:val="004A08D1"/>
    <w:rsid w:val="004A0BD3"/>
    <w:rsid w:val="004A34D2"/>
    <w:rsid w:val="004A357A"/>
    <w:rsid w:val="004B0CD0"/>
    <w:rsid w:val="004B602F"/>
    <w:rsid w:val="004C19EE"/>
    <w:rsid w:val="004C22F7"/>
    <w:rsid w:val="004C36B2"/>
    <w:rsid w:val="004C510A"/>
    <w:rsid w:val="004D245F"/>
    <w:rsid w:val="004E61D5"/>
    <w:rsid w:val="004E6277"/>
    <w:rsid w:val="00505308"/>
    <w:rsid w:val="005053B0"/>
    <w:rsid w:val="0051074C"/>
    <w:rsid w:val="00512961"/>
    <w:rsid w:val="00512C4F"/>
    <w:rsid w:val="00513AF2"/>
    <w:rsid w:val="00515801"/>
    <w:rsid w:val="00522C81"/>
    <w:rsid w:val="00523559"/>
    <w:rsid w:val="00525706"/>
    <w:rsid w:val="005262CF"/>
    <w:rsid w:val="00530F05"/>
    <w:rsid w:val="00530FEA"/>
    <w:rsid w:val="005312DB"/>
    <w:rsid w:val="00533C93"/>
    <w:rsid w:val="0054311A"/>
    <w:rsid w:val="0054413A"/>
    <w:rsid w:val="0054771C"/>
    <w:rsid w:val="005527B3"/>
    <w:rsid w:val="00552E97"/>
    <w:rsid w:val="0055305B"/>
    <w:rsid w:val="005564CA"/>
    <w:rsid w:val="005612E5"/>
    <w:rsid w:val="0056182B"/>
    <w:rsid w:val="00562315"/>
    <w:rsid w:val="00562A57"/>
    <w:rsid w:val="005634FD"/>
    <w:rsid w:val="005715A2"/>
    <w:rsid w:val="00573BE5"/>
    <w:rsid w:val="005756AA"/>
    <w:rsid w:val="005813DE"/>
    <w:rsid w:val="0058223E"/>
    <w:rsid w:val="005868D7"/>
    <w:rsid w:val="00586DD4"/>
    <w:rsid w:val="00594FFF"/>
    <w:rsid w:val="005A145F"/>
    <w:rsid w:val="005A1976"/>
    <w:rsid w:val="005A35EF"/>
    <w:rsid w:val="005A3F3E"/>
    <w:rsid w:val="005A58CE"/>
    <w:rsid w:val="005A5A3D"/>
    <w:rsid w:val="005B1866"/>
    <w:rsid w:val="005B2B61"/>
    <w:rsid w:val="005B3CF3"/>
    <w:rsid w:val="005C0652"/>
    <w:rsid w:val="005C117E"/>
    <w:rsid w:val="005C3047"/>
    <w:rsid w:val="005C5C52"/>
    <w:rsid w:val="005C7F06"/>
    <w:rsid w:val="005D51FA"/>
    <w:rsid w:val="005D791B"/>
    <w:rsid w:val="005E1574"/>
    <w:rsid w:val="005E164A"/>
    <w:rsid w:val="005E5A60"/>
    <w:rsid w:val="005E66BE"/>
    <w:rsid w:val="005F2C11"/>
    <w:rsid w:val="005F3969"/>
    <w:rsid w:val="005F46FD"/>
    <w:rsid w:val="005F5F8F"/>
    <w:rsid w:val="005F688C"/>
    <w:rsid w:val="006003F5"/>
    <w:rsid w:val="0060057C"/>
    <w:rsid w:val="006030A3"/>
    <w:rsid w:val="0060361A"/>
    <w:rsid w:val="006043FE"/>
    <w:rsid w:val="006065A2"/>
    <w:rsid w:val="00614817"/>
    <w:rsid w:val="00615D36"/>
    <w:rsid w:val="006167DA"/>
    <w:rsid w:val="00620DB3"/>
    <w:rsid w:val="00621056"/>
    <w:rsid w:val="00622313"/>
    <w:rsid w:val="00623AC2"/>
    <w:rsid w:val="0062633A"/>
    <w:rsid w:val="0063295B"/>
    <w:rsid w:val="00633DBF"/>
    <w:rsid w:val="00640C1D"/>
    <w:rsid w:val="006516B8"/>
    <w:rsid w:val="00655371"/>
    <w:rsid w:val="006559D1"/>
    <w:rsid w:val="00662BB0"/>
    <w:rsid w:val="0066493E"/>
    <w:rsid w:val="006673AF"/>
    <w:rsid w:val="00670B20"/>
    <w:rsid w:val="0067359B"/>
    <w:rsid w:val="006738BC"/>
    <w:rsid w:val="00676127"/>
    <w:rsid w:val="00676428"/>
    <w:rsid w:val="006908DB"/>
    <w:rsid w:val="00692C8D"/>
    <w:rsid w:val="00695F93"/>
    <w:rsid w:val="0069634F"/>
    <w:rsid w:val="00697665"/>
    <w:rsid w:val="00697CA8"/>
    <w:rsid w:val="006A7CB5"/>
    <w:rsid w:val="006A7FD0"/>
    <w:rsid w:val="006B1B56"/>
    <w:rsid w:val="006B22D4"/>
    <w:rsid w:val="006B3D9A"/>
    <w:rsid w:val="006B46C8"/>
    <w:rsid w:val="006B6746"/>
    <w:rsid w:val="006C0A3F"/>
    <w:rsid w:val="006C405D"/>
    <w:rsid w:val="006C4782"/>
    <w:rsid w:val="006D7687"/>
    <w:rsid w:val="006E0572"/>
    <w:rsid w:val="006E40A6"/>
    <w:rsid w:val="006E552C"/>
    <w:rsid w:val="006F021B"/>
    <w:rsid w:val="006F1275"/>
    <w:rsid w:val="006F1872"/>
    <w:rsid w:val="006F320A"/>
    <w:rsid w:val="00700883"/>
    <w:rsid w:val="007042DB"/>
    <w:rsid w:val="00705631"/>
    <w:rsid w:val="007057EC"/>
    <w:rsid w:val="0070660C"/>
    <w:rsid w:val="00715C29"/>
    <w:rsid w:val="00715EAA"/>
    <w:rsid w:val="00717496"/>
    <w:rsid w:val="00722CE7"/>
    <w:rsid w:val="0072427F"/>
    <w:rsid w:val="00725AFD"/>
    <w:rsid w:val="00726E6A"/>
    <w:rsid w:val="007279B4"/>
    <w:rsid w:val="00727F71"/>
    <w:rsid w:val="00733849"/>
    <w:rsid w:val="0073425D"/>
    <w:rsid w:val="00735A75"/>
    <w:rsid w:val="00740243"/>
    <w:rsid w:val="00742DD2"/>
    <w:rsid w:val="00743BC8"/>
    <w:rsid w:val="007441A2"/>
    <w:rsid w:val="00745035"/>
    <w:rsid w:val="00746A83"/>
    <w:rsid w:val="00746E08"/>
    <w:rsid w:val="00747259"/>
    <w:rsid w:val="00747C96"/>
    <w:rsid w:val="0075094E"/>
    <w:rsid w:val="007522E8"/>
    <w:rsid w:val="00755064"/>
    <w:rsid w:val="0075647A"/>
    <w:rsid w:val="007634AD"/>
    <w:rsid w:val="00773BC8"/>
    <w:rsid w:val="007750D6"/>
    <w:rsid w:val="007769DC"/>
    <w:rsid w:val="00776D19"/>
    <w:rsid w:val="00776DF7"/>
    <w:rsid w:val="00780199"/>
    <w:rsid w:val="00780F32"/>
    <w:rsid w:val="0078122E"/>
    <w:rsid w:val="00781CF5"/>
    <w:rsid w:val="007873A0"/>
    <w:rsid w:val="00790037"/>
    <w:rsid w:val="007909AE"/>
    <w:rsid w:val="0079299F"/>
    <w:rsid w:val="0079381F"/>
    <w:rsid w:val="00795647"/>
    <w:rsid w:val="007A2F81"/>
    <w:rsid w:val="007A5354"/>
    <w:rsid w:val="007B0854"/>
    <w:rsid w:val="007B6EC8"/>
    <w:rsid w:val="007C0512"/>
    <w:rsid w:val="007C1BE1"/>
    <w:rsid w:val="007C29FB"/>
    <w:rsid w:val="007C2EB2"/>
    <w:rsid w:val="007D66E2"/>
    <w:rsid w:val="007D67AA"/>
    <w:rsid w:val="007E1D5A"/>
    <w:rsid w:val="007E4AA9"/>
    <w:rsid w:val="007E4E80"/>
    <w:rsid w:val="007E6AD5"/>
    <w:rsid w:val="007F067B"/>
    <w:rsid w:val="007F22A0"/>
    <w:rsid w:val="007F6B46"/>
    <w:rsid w:val="007F72CB"/>
    <w:rsid w:val="007F785F"/>
    <w:rsid w:val="008002D9"/>
    <w:rsid w:val="00811C61"/>
    <w:rsid w:val="0081678E"/>
    <w:rsid w:val="0081766B"/>
    <w:rsid w:val="008217B7"/>
    <w:rsid w:val="00824088"/>
    <w:rsid w:val="008274A8"/>
    <w:rsid w:val="0083119B"/>
    <w:rsid w:val="00831220"/>
    <w:rsid w:val="00833913"/>
    <w:rsid w:val="0083669F"/>
    <w:rsid w:val="00836EAB"/>
    <w:rsid w:val="0083724E"/>
    <w:rsid w:val="00844AFA"/>
    <w:rsid w:val="0085092D"/>
    <w:rsid w:val="00850F79"/>
    <w:rsid w:val="00851DFA"/>
    <w:rsid w:val="00857630"/>
    <w:rsid w:val="0086183C"/>
    <w:rsid w:val="008618BB"/>
    <w:rsid w:val="00863624"/>
    <w:rsid w:val="00863ED2"/>
    <w:rsid w:val="0086708F"/>
    <w:rsid w:val="0087039D"/>
    <w:rsid w:val="008712BF"/>
    <w:rsid w:val="008720B5"/>
    <w:rsid w:val="0087534A"/>
    <w:rsid w:val="00885A16"/>
    <w:rsid w:val="00886323"/>
    <w:rsid w:val="00890E1C"/>
    <w:rsid w:val="0089774F"/>
    <w:rsid w:val="008978EB"/>
    <w:rsid w:val="008A0816"/>
    <w:rsid w:val="008A1491"/>
    <w:rsid w:val="008A5007"/>
    <w:rsid w:val="008A796E"/>
    <w:rsid w:val="008B10A0"/>
    <w:rsid w:val="008C11F0"/>
    <w:rsid w:val="008C45BD"/>
    <w:rsid w:val="008C57A8"/>
    <w:rsid w:val="008D646C"/>
    <w:rsid w:val="008D69B1"/>
    <w:rsid w:val="008D747C"/>
    <w:rsid w:val="008E1503"/>
    <w:rsid w:val="008E1C15"/>
    <w:rsid w:val="008E7D6E"/>
    <w:rsid w:val="008F2004"/>
    <w:rsid w:val="008F47E2"/>
    <w:rsid w:val="008F4B5E"/>
    <w:rsid w:val="008F538E"/>
    <w:rsid w:val="009027AC"/>
    <w:rsid w:val="00902E5C"/>
    <w:rsid w:val="009047C5"/>
    <w:rsid w:val="009106F5"/>
    <w:rsid w:val="00916AC6"/>
    <w:rsid w:val="00917BBA"/>
    <w:rsid w:val="009224A3"/>
    <w:rsid w:val="009233DF"/>
    <w:rsid w:val="0092758D"/>
    <w:rsid w:val="00933333"/>
    <w:rsid w:val="00937401"/>
    <w:rsid w:val="00942296"/>
    <w:rsid w:val="009422A0"/>
    <w:rsid w:val="00950C81"/>
    <w:rsid w:val="009528B3"/>
    <w:rsid w:val="009531C1"/>
    <w:rsid w:val="0095385A"/>
    <w:rsid w:val="0095402D"/>
    <w:rsid w:val="0095780A"/>
    <w:rsid w:val="00966C46"/>
    <w:rsid w:val="009715D4"/>
    <w:rsid w:val="00973D7A"/>
    <w:rsid w:val="00974C92"/>
    <w:rsid w:val="00977951"/>
    <w:rsid w:val="009831DD"/>
    <w:rsid w:val="0098427D"/>
    <w:rsid w:val="009865D5"/>
    <w:rsid w:val="009868CC"/>
    <w:rsid w:val="00991BE0"/>
    <w:rsid w:val="00992809"/>
    <w:rsid w:val="009953AD"/>
    <w:rsid w:val="009A3680"/>
    <w:rsid w:val="009A6C94"/>
    <w:rsid w:val="009A7808"/>
    <w:rsid w:val="009B0019"/>
    <w:rsid w:val="009B7B3C"/>
    <w:rsid w:val="009C118E"/>
    <w:rsid w:val="009C1812"/>
    <w:rsid w:val="009C7EC7"/>
    <w:rsid w:val="009D429E"/>
    <w:rsid w:val="009D45A0"/>
    <w:rsid w:val="009E2F55"/>
    <w:rsid w:val="009E3DB3"/>
    <w:rsid w:val="009E61EA"/>
    <w:rsid w:val="009E74F4"/>
    <w:rsid w:val="009E751B"/>
    <w:rsid w:val="009F59C2"/>
    <w:rsid w:val="009F61BE"/>
    <w:rsid w:val="009F6DF7"/>
    <w:rsid w:val="00A0188B"/>
    <w:rsid w:val="00A02186"/>
    <w:rsid w:val="00A021E2"/>
    <w:rsid w:val="00A041BC"/>
    <w:rsid w:val="00A06E51"/>
    <w:rsid w:val="00A127D2"/>
    <w:rsid w:val="00A13AAC"/>
    <w:rsid w:val="00A1403F"/>
    <w:rsid w:val="00A17358"/>
    <w:rsid w:val="00A20264"/>
    <w:rsid w:val="00A2270E"/>
    <w:rsid w:val="00A24560"/>
    <w:rsid w:val="00A337FB"/>
    <w:rsid w:val="00A34538"/>
    <w:rsid w:val="00A34A7A"/>
    <w:rsid w:val="00A37FB6"/>
    <w:rsid w:val="00A421FC"/>
    <w:rsid w:val="00A42844"/>
    <w:rsid w:val="00A431FE"/>
    <w:rsid w:val="00A45FAA"/>
    <w:rsid w:val="00A501CA"/>
    <w:rsid w:val="00A53E79"/>
    <w:rsid w:val="00A668BA"/>
    <w:rsid w:val="00A715F6"/>
    <w:rsid w:val="00A8043B"/>
    <w:rsid w:val="00A839EF"/>
    <w:rsid w:val="00A852EB"/>
    <w:rsid w:val="00A854AC"/>
    <w:rsid w:val="00A91512"/>
    <w:rsid w:val="00A939C4"/>
    <w:rsid w:val="00A9477A"/>
    <w:rsid w:val="00A965EA"/>
    <w:rsid w:val="00AA08E7"/>
    <w:rsid w:val="00AA16A5"/>
    <w:rsid w:val="00AA442B"/>
    <w:rsid w:val="00AA669D"/>
    <w:rsid w:val="00AA68E2"/>
    <w:rsid w:val="00AA73E0"/>
    <w:rsid w:val="00AA7416"/>
    <w:rsid w:val="00AA7812"/>
    <w:rsid w:val="00AB2BA0"/>
    <w:rsid w:val="00AB6E2C"/>
    <w:rsid w:val="00AC0D43"/>
    <w:rsid w:val="00AC24AF"/>
    <w:rsid w:val="00AC49DA"/>
    <w:rsid w:val="00AC75AB"/>
    <w:rsid w:val="00AD3E4D"/>
    <w:rsid w:val="00AE24CB"/>
    <w:rsid w:val="00AE3BD4"/>
    <w:rsid w:val="00AE491A"/>
    <w:rsid w:val="00AF26CF"/>
    <w:rsid w:val="00AF3F88"/>
    <w:rsid w:val="00AF45AA"/>
    <w:rsid w:val="00AF5924"/>
    <w:rsid w:val="00B01474"/>
    <w:rsid w:val="00B04BA9"/>
    <w:rsid w:val="00B05A55"/>
    <w:rsid w:val="00B06595"/>
    <w:rsid w:val="00B06D20"/>
    <w:rsid w:val="00B12A38"/>
    <w:rsid w:val="00B13EC0"/>
    <w:rsid w:val="00B142B9"/>
    <w:rsid w:val="00B1449F"/>
    <w:rsid w:val="00B214ED"/>
    <w:rsid w:val="00B22E22"/>
    <w:rsid w:val="00B251C2"/>
    <w:rsid w:val="00B26310"/>
    <w:rsid w:val="00B30910"/>
    <w:rsid w:val="00B30D48"/>
    <w:rsid w:val="00B30D51"/>
    <w:rsid w:val="00B324EA"/>
    <w:rsid w:val="00B3296D"/>
    <w:rsid w:val="00B3622A"/>
    <w:rsid w:val="00B40595"/>
    <w:rsid w:val="00B42225"/>
    <w:rsid w:val="00B4347D"/>
    <w:rsid w:val="00B43F68"/>
    <w:rsid w:val="00B46978"/>
    <w:rsid w:val="00B525CB"/>
    <w:rsid w:val="00B530AE"/>
    <w:rsid w:val="00B57782"/>
    <w:rsid w:val="00B60230"/>
    <w:rsid w:val="00B63872"/>
    <w:rsid w:val="00B63CB2"/>
    <w:rsid w:val="00B64EDB"/>
    <w:rsid w:val="00B70328"/>
    <w:rsid w:val="00B709C8"/>
    <w:rsid w:val="00B7252A"/>
    <w:rsid w:val="00B7315F"/>
    <w:rsid w:val="00B74C52"/>
    <w:rsid w:val="00B7534F"/>
    <w:rsid w:val="00B90817"/>
    <w:rsid w:val="00B90A4E"/>
    <w:rsid w:val="00B91B8E"/>
    <w:rsid w:val="00B9230A"/>
    <w:rsid w:val="00B94AEB"/>
    <w:rsid w:val="00B97305"/>
    <w:rsid w:val="00BA1382"/>
    <w:rsid w:val="00BA22FC"/>
    <w:rsid w:val="00BA37F9"/>
    <w:rsid w:val="00BA4771"/>
    <w:rsid w:val="00BB6E5C"/>
    <w:rsid w:val="00BC007C"/>
    <w:rsid w:val="00BC57E0"/>
    <w:rsid w:val="00BC6501"/>
    <w:rsid w:val="00BD1CEE"/>
    <w:rsid w:val="00BD4155"/>
    <w:rsid w:val="00BD447D"/>
    <w:rsid w:val="00BD664D"/>
    <w:rsid w:val="00BD78FE"/>
    <w:rsid w:val="00BE2DB4"/>
    <w:rsid w:val="00BE3565"/>
    <w:rsid w:val="00BE4B35"/>
    <w:rsid w:val="00BF1C81"/>
    <w:rsid w:val="00BF23A3"/>
    <w:rsid w:val="00BF5980"/>
    <w:rsid w:val="00BF7C52"/>
    <w:rsid w:val="00C15A13"/>
    <w:rsid w:val="00C165FC"/>
    <w:rsid w:val="00C2118A"/>
    <w:rsid w:val="00C229DD"/>
    <w:rsid w:val="00C258BA"/>
    <w:rsid w:val="00C273CC"/>
    <w:rsid w:val="00C27707"/>
    <w:rsid w:val="00C30123"/>
    <w:rsid w:val="00C32017"/>
    <w:rsid w:val="00C3264A"/>
    <w:rsid w:val="00C407E4"/>
    <w:rsid w:val="00C419E3"/>
    <w:rsid w:val="00C41E6A"/>
    <w:rsid w:val="00C45E00"/>
    <w:rsid w:val="00C46EA9"/>
    <w:rsid w:val="00C47B95"/>
    <w:rsid w:val="00C50CA8"/>
    <w:rsid w:val="00C53AC7"/>
    <w:rsid w:val="00C57033"/>
    <w:rsid w:val="00C610FB"/>
    <w:rsid w:val="00C62ECC"/>
    <w:rsid w:val="00C630F3"/>
    <w:rsid w:val="00C63E99"/>
    <w:rsid w:val="00C6581D"/>
    <w:rsid w:val="00C732A4"/>
    <w:rsid w:val="00C768FD"/>
    <w:rsid w:val="00C76E32"/>
    <w:rsid w:val="00C811FF"/>
    <w:rsid w:val="00C852AA"/>
    <w:rsid w:val="00C90182"/>
    <w:rsid w:val="00C90AC4"/>
    <w:rsid w:val="00C913E3"/>
    <w:rsid w:val="00C91B89"/>
    <w:rsid w:val="00C91F75"/>
    <w:rsid w:val="00C934F1"/>
    <w:rsid w:val="00C93AB7"/>
    <w:rsid w:val="00C93D8C"/>
    <w:rsid w:val="00C97D94"/>
    <w:rsid w:val="00CA0EEF"/>
    <w:rsid w:val="00CA383B"/>
    <w:rsid w:val="00CA48A4"/>
    <w:rsid w:val="00CB43A0"/>
    <w:rsid w:val="00CB5F4F"/>
    <w:rsid w:val="00CB7A3E"/>
    <w:rsid w:val="00CC00CD"/>
    <w:rsid w:val="00CC0A6C"/>
    <w:rsid w:val="00CC11F9"/>
    <w:rsid w:val="00CC315F"/>
    <w:rsid w:val="00CD0DFC"/>
    <w:rsid w:val="00CD1721"/>
    <w:rsid w:val="00CE0566"/>
    <w:rsid w:val="00CF550D"/>
    <w:rsid w:val="00D01760"/>
    <w:rsid w:val="00D0412A"/>
    <w:rsid w:val="00D056A5"/>
    <w:rsid w:val="00D10E7C"/>
    <w:rsid w:val="00D13FEB"/>
    <w:rsid w:val="00D16E39"/>
    <w:rsid w:val="00D17E38"/>
    <w:rsid w:val="00D21BB5"/>
    <w:rsid w:val="00D223B6"/>
    <w:rsid w:val="00D24489"/>
    <w:rsid w:val="00D31BE6"/>
    <w:rsid w:val="00D31C6A"/>
    <w:rsid w:val="00D32256"/>
    <w:rsid w:val="00D32352"/>
    <w:rsid w:val="00D330B8"/>
    <w:rsid w:val="00D3532E"/>
    <w:rsid w:val="00D36A58"/>
    <w:rsid w:val="00D41E3A"/>
    <w:rsid w:val="00D466AF"/>
    <w:rsid w:val="00D46D5D"/>
    <w:rsid w:val="00D50F51"/>
    <w:rsid w:val="00D547F0"/>
    <w:rsid w:val="00D557A4"/>
    <w:rsid w:val="00D57940"/>
    <w:rsid w:val="00D60327"/>
    <w:rsid w:val="00D64E0B"/>
    <w:rsid w:val="00D72E9D"/>
    <w:rsid w:val="00D74158"/>
    <w:rsid w:val="00D75E99"/>
    <w:rsid w:val="00D80493"/>
    <w:rsid w:val="00D82CE5"/>
    <w:rsid w:val="00D8342C"/>
    <w:rsid w:val="00D853BF"/>
    <w:rsid w:val="00D93726"/>
    <w:rsid w:val="00D96760"/>
    <w:rsid w:val="00D96F24"/>
    <w:rsid w:val="00D974C8"/>
    <w:rsid w:val="00DA5AB1"/>
    <w:rsid w:val="00DA71AD"/>
    <w:rsid w:val="00DB1AFF"/>
    <w:rsid w:val="00DB7276"/>
    <w:rsid w:val="00DC1944"/>
    <w:rsid w:val="00DC3F63"/>
    <w:rsid w:val="00DC430C"/>
    <w:rsid w:val="00DC518A"/>
    <w:rsid w:val="00DC62E5"/>
    <w:rsid w:val="00DD5EC6"/>
    <w:rsid w:val="00DD7115"/>
    <w:rsid w:val="00DD735D"/>
    <w:rsid w:val="00DE02B7"/>
    <w:rsid w:val="00DE2630"/>
    <w:rsid w:val="00DE3119"/>
    <w:rsid w:val="00DE52D6"/>
    <w:rsid w:val="00DE6601"/>
    <w:rsid w:val="00DE76E6"/>
    <w:rsid w:val="00DF236B"/>
    <w:rsid w:val="00DF2F4F"/>
    <w:rsid w:val="00DF4451"/>
    <w:rsid w:val="00DF453C"/>
    <w:rsid w:val="00E0342C"/>
    <w:rsid w:val="00E109DD"/>
    <w:rsid w:val="00E12707"/>
    <w:rsid w:val="00E13AB8"/>
    <w:rsid w:val="00E16A32"/>
    <w:rsid w:val="00E20C2F"/>
    <w:rsid w:val="00E25CB3"/>
    <w:rsid w:val="00E267B7"/>
    <w:rsid w:val="00E27359"/>
    <w:rsid w:val="00E33B62"/>
    <w:rsid w:val="00E356DF"/>
    <w:rsid w:val="00E36CEB"/>
    <w:rsid w:val="00E37F96"/>
    <w:rsid w:val="00E4143A"/>
    <w:rsid w:val="00E53189"/>
    <w:rsid w:val="00E558C8"/>
    <w:rsid w:val="00E56090"/>
    <w:rsid w:val="00E5641B"/>
    <w:rsid w:val="00E565B9"/>
    <w:rsid w:val="00E57660"/>
    <w:rsid w:val="00E6143E"/>
    <w:rsid w:val="00E631A7"/>
    <w:rsid w:val="00E63F11"/>
    <w:rsid w:val="00E66842"/>
    <w:rsid w:val="00E669B0"/>
    <w:rsid w:val="00E71BD5"/>
    <w:rsid w:val="00E82D14"/>
    <w:rsid w:val="00E8395B"/>
    <w:rsid w:val="00E87DD5"/>
    <w:rsid w:val="00E90220"/>
    <w:rsid w:val="00E91454"/>
    <w:rsid w:val="00E95100"/>
    <w:rsid w:val="00E9556D"/>
    <w:rsid w:val="00E961A5"/>
    <w:rsid w:val="00EA1767"/>
    <w:rsid w:val="00EA3E75"/>
    <w:rsid w:val="00EA5464"/>
    <w:rsid w:val="00EC0E7E"/>
    <w:rsid w:val="00EC164A"/>
    <w:rsid w:val="00EC1910"/>
    <w:rsid w:val="00EC1CE7"/>
    <w:rsid w:val="00EC50ED"/>
    <w:rsid w:val="00ED0ED8"/>
    <w:rsid w:val="00ED4037"/>
    <w:rsid w:val="00ED587F"/>
    <w:rsid w:val="00EE0C5C"/>
    <w:rsid w:val="00EE1305"/>
    <w:rsid w:val="00EE55E7"/>
    <w:rsid w:val="00EE59B5"/>
    <w:rsid w:val="00EF005A"/>
    <w:rsid w:val="00EF17BF"/>
    <w:rsid w:val="00EF4D78"/>
    <w:rsid w:val="00F017F5"/>
    <w:rsid w:val="00F07E81"/>
    <w:rsid w:val="00F1108B"/>
    <w:rsid w:val="00F218D2"/>
    <w:rsid w:val="00F21C5F"/>
    <w:rsid w:val="00F23BE9"/>
    <w:rsid w:val="00F257B4"/>
    <w:rsid w:val="00F25971"/>
    <w:rsid w:val="00F30727"/>
    <w:rsid w:val="00F31A68"/>
    <w:rsid w:val="00F36681"/>
    <w:rsid w:val="00F36B35"/>
    <w:rsid w:val="00F41E63"/>
    <w:rsid w:val="00F463A8"/>
    <w:rsid w:val="00F46FE1"/>
    <w:rsid w:val="00F47F2D"/>
    <w:rsid w:val="00F50E11"/>
    <w:rsid w:val="00F55FDD"/>
    <w:rsid w:val="00F56584"/>
    <w:rsid w:val="00F574C1"/>
    <w:rsid w:val="00F57729"/>
    <w:rsid w:val="00F57B4F"/>
    <w:rsid w:val="00F57B72"/>
    <w:rsid w:val="00F57C75"/>
    <w:rsid w:val="00F6159E"/>
    <w:rsid w:val="00F715EE"/>
    <w:rsid w:val="00F7357E"/>
    <w:rsid w:val="00F7517F"/>
    <w:rsid w:val="00F7561E"/>
    <w:rsid w:val="00F76963"/>
    <w:rsid w:val="00F7741E"/>
    <w:rsid w:val="00F84899"/>
    <w:rsid w:val="00F859F0"/>
    <w:rsid w:val="00F87E29"/>
    <w:rsid w:val="00F90B96"/>
    <w:rsid w:val="00F92839"/>
    <w:rsid w:val="00F941F3"/>
    <w:rsid w:val="00F9522F"/>
    <w:rsid w:val="00FA050F"/>
    <w:rsid w:val="00FA22FF"/>
    <w:rsid w:val="00FA2664"/>
    <w:rsid w:val="00FA4DCC"/>
    <w:rsid w:val="00FB236D"/>
    <w:rsid w:val="00FB27B7"/>
    <w:rsid w:val="00FB5572"/>
    <w:rsid w:val="00FB656D"/>
    <w:rsid w:val="00FB6738"/>
    <w:rsid w:val="00FC113C"/>
    <w:rsid w:val="00FC1644"/>
    <w:rsid w:val="00FC18DC"/>
    <w:rsid w:val="00FC1D91"/>
    <w:rsid w:val="00FC32DA"/>
    <w:rsid w:val="00FC7C7B"/>
    <w:rsid w:val="00FD10FB"/>
    <w:rsid w:val="00FE0323"/>
    <w:rsid w:val="00FE141E"/>
    <w:rsid w:val="00FE1E7C"/>
    <w:rsid w:val="00FE2265"/>
    <w:rsid w:val="00FE42ED"/>
    <w:rsid w:val="00FE5C5A"/>
    <w:rsid w:val="00FE71C5"/>
    <w:rsid w:val="00FF232F"/>
    <w:rsid w:val="00FF5FA6"/>
    <w:rsid w:val="043B8242"/>
    <w:rsid w:val="11C12446"/>
    <w:rsid w:val="136B4A4F"/>
    <w:rsid w:val="1883EC25"/>
    <w:rsid w:val="25D89E92"/>
    <w:rsid w:val="36CA11E8"/>
    <w:rsid w:val="389A21D5"/>
    <w:rsid w:val="47E41D8C"/>
    <w:rsid w:val="4D1BA0F8"/>
    <w:rsid w:val="4E700C15"/>
    <w:rsid w:val="515F75E6"/>
    <w:rsid w:val="59BDB65A"/>
    <w:rsid w:val="5A0DC56D"/>
    <w:rsid w:val="5AE8A8C0"/>
    <w:rsid w:val="676BD565"/>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3515154B-E1D1-4014-97F9-FFE5BBECC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2D4"/>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paragraph" w:customStyle="1" w:styleId="Default">
    <w:name w:val="Default"/>
    <w:rsid w:val="00CC11F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86183C"/>
    <w:rPr>
      <w:b/>
      <w:bCs/>
    </w:rPr>
  </w:style>
  <w:style w:type="character" w:styleId="nfasis">
    <w:name w:val="Emphasis"/>
    <w:basedOn w:val="Fuentedeprrafopredeter"/>
    <w:uiPriority w:val="20"/>
    <w:qFormat/>
    <w:rsid w:val="0086183C"/>
    <w:rPr>
      <w:i/>
      <w:iCs/>
    </w:rPr>
  </w:style>
  <w:style w:type="character" w:customStyle="1" w:styleId="toctoggle">
    <w:name w:val="toctoggle"/>
    <w:basedOn w:val="Fuentedeprrafopredeter"/>
    <w:rsid w:val="0086183C"/>
  </w:style>
  <w:style w:type="character" w:customStyle="1" w:styleId="NormalWebCar">
    <w:name w:val="Normal (Web) Car"/>
    <w:link w:val="NormalWeb"/>
    <w:uiPriority w:val="99"/>
    <w:rsid w:val="001F4546"/>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1434A4"/>
    <w:pPr>
      <w:spacing w:after="160" w:line="240" w:lineRule="exact"/>
    </w:pPr>
    <w:rPr>
      <w:sz w:val="22"/>
      <w:vertAlign w:val="superscript"/>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6477602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45719941">
      <w:bodyDiv w:val="1"/>
      <w:marLeft w:val="0"/>
      <w:marRight w:val="0"/>
      <w:marTop w:val="0"/>
      <w:marBottom w:val="0"/>
      <w:divBdr>
        <w:top w:val="none" w:sz="0" w:space="0" w:color="auto"/>
        <w:left w:val="none" w:sz="0" w:space="0" w:color="auto"/>
        <w:bottom w:val="none" w:sz="0" w:space="0" w:color="auto"/>
        <w:right w:val="none" w:sz="0" w:space="0" w:color="auto"/>
      </w:divBdr>
      <w:divsChild>
        <w:div w:id="1046106515">
          <w:marLeft w:val="0"/>
          <w:marRight w:val="0"/>
          <w:marTop w:val="0"/>
          <w:marBottom w:val="0"/>
          <w:divBdr>
            <w:top w:val="none" w:sz="0" w:space="0" w:color="auto"/>
            <w:left w:val="none" w:sz="0" w:space="0" w:color="auto"/>
            <w:bottom w:val="none" w:sz="0" w:space="0" w:color="auto"/>
            <w:right w:val="none" w:sz="0" w:space="0" w:color="auto"/>
          </w:divBdr>
        </w:div>
      </w:divsChild>
    </w:div>
    <w:div w:id="585963826">
      <w:bodyDiv w:val="1"/>
      <w:marLeft w:val="0"/>
      <w:marRight w:val="0"/>
      <w:marTop w:val="0"/>
      <w:marBottom w:val="0"/>
      <w:divBdr>
        <w:top w:val="none" w:sz="0" w:space="0" w:color="auto"/>
        <w:left w:val="none" w:sz="0" w:space="0" w:color="auto"/>
        <w:bottom w:val="none" w:sz="0" w:space="0" w:color="auto"/>
        <w:right w:val="none" w:sz="0" w:space="0" w:color="auto"/>
      </w:divBdr>
    </w:div>
    <w:div w:id="651254561">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916282276">
      <w:bodyDiv w:val="1"/>
      <w:marLeft w:val="0"/>
      <w:marRight w:val="0"/>
      <w:marTop w:val="0"/>
      <w:marBottom w:val="0"/>
      <w:divBdr>
        <w:top w:val="none" w:sz="0" w:space="0" w:color="auto"/>
        <w:left w:val="none" w:sz="0" w:space="0" w:color="auto"/>
        <w:bottom w:val="none" w:sz="0" w:space="0" w:color="auto"/>
        <w:right w:val="none" w:sz="0" w:space="0" w:color="auto"/>
      </w:divBdr>
    </w:div>
    <w:div w:id="919101865">
      <w:bodyDiv w:val="1"/>
      <w:marLeft w:val="0"/>
      <w:marRight w:val="0"/>
      <w:marTop w:val="0"/>
      <w:marBottom w:val="0"/>
      <w:divBdr>
        <w:top w:val="none" w:sz="0" w:space="0" w:color="auto"/>
        <w:left w:val="none" w:sz="0" w:space="0" w:color="auto"/>
        <w:bottom w:val="none" w:sz="0" w:space="0" w:color="auto"/>
        <w:right w:val="none" w:sz="0" w:space="0" w:color="auto"/>
      </w:divBdr>
      <w:divsChild>
        <w:div w:id="1344168581">
          <w:marLeft w:val="0"/>
          <w:marRight w:val="0"/>
          <w:marTop w:val="0"/>
          <w:marBottom w:val="0"/>
          <w:divBdr>
            <w:top w:val="none" w:sz="0" w:space="0" w:color="auto"/>
            <w:left w:val="none" w:sz="0" w:space="0" w:color="auto"/>
            <w:bottom w:val="none" w:sz="0" w:space="0" w:color="auto"/>
            <w:right w:val="none" w:sz="0" w:space="0" w:color="auto"/>
          </w:divBdr>
          <w:divsChild>
            <w:div w:id="846292534">
              <w:marLeft w:val="0"/>
              <w:marRight w:val="0"/>
              <w:marTop w:val="0"/>
              <w:marBottom w:val="0"/>
              <w:divBdr>
                <w:top w:val="none" w:sz="0" w:space="0" w:color="auto"/>
                <w:left w:val="none" w:sz="0" w:space="0" w:color="auto"/>
                <w:bottom w:val="none" w:sz="0" w:space="0" w:color="auto"/>
                <w:right w:val="none" w:sz="0" w:space="0" w:color="auto"/>
              </w:divBdr>
              <w:divsChild>
                <w:div w:id="188502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597615">
      <w:bodyDiv w:val="1"/>
      <w:marLeft w:val="0"/>
      <w:marRight w:val="0"/>
      <w:marTop w:val="0"/>
      <w:marBottom w:val="0"/>
      <w:divBdr>
        <w:top w:val="none" w:sz="0" w:space="0" w:color="auto"/>
        <w:left w:val="none" w:sz="0" w:space="0" w:color="auto"/>
        <w:bottom w:val="none" w:sz="0" w:space="0" w:color="auto"/>
        <w:right w:val="none" w:sz="0" w:space="0" w:color="auto"/>
      </w:divBdr>
    </w:div>
    <w:div w:id="987131905">
      <w:bodyDiv w:val="1"/>
      <w:marLeft w:val="0"/>
      <w:marRight w:val="0"/>
      <w:marTop w:val="0"/>
      <w:marBottom w:val="0"/>
      <w:divBdr>
        <w:top w:val="none" w:sz="0" w:space="0" w:color="auto"/>
        <w:left w:val="none" w:sz="0" w:space="0" w:color="auto"/>
        <w:bottom w:val="none" w:sz="0" w:space="0" w:color="auto"/>
        <w:right w:val="none" w:sz="0" w:space="0" w:color="auto"/>
      </w:divBdr>
      <w:divsChild>
        <w:div w:id="1149399484">
          <w:marLeft w:val="0"/>
          <w:marRight w:val="0"/>
          <w:marTop w:val="0"/>
          <w:marBottom w:val="0"/>
          <w:divBdr>
            <w:top w:val="none" w:sz="0" w:space="0" w:color="auto"/>
            <w:left w:val="none" w:sz="0" w:space="0" w:color="auto"/>
            <w:bottom w:val="none" w:sz="0" w:space="0" w:color="auto"/>
            <w:right w:val="none" w:sz="0" w:space="0" w:color="auto"/>
          </w:divBdr>
          <w:divsChild>
            <w:div w:id="1905724051">
              <w:marLeft w:val="0"/>
              <w:marRight w:val="0"/>
              <w:marTop w:val="0"/>
              <w:marBottom w:val="0"/>
              <w:divBdr>
                <w:top w:val="none" w:sz="0" w:space="0" w:color="auto"/>
                <w:left w:val="none" w:sz="0" w:space="0" w:color="auto"/>
                <w:bottom w:val="none" w:sz="0" w:space="0" w:color="auto"/>
                <w:right w:val="none" w:sz="0" w:space="0" w:color="auto"/>
              </w:divBdr>
            </w:div>
          </w:divsChild>
        </w:div>
        <w:div w:id="307974226">
          <w:marLeft w:val="0"/>
          <w:marRight w:val="0"/>
          <w:marTop w:val="0"/>
          <w:marBottom w:val="0"/>
          <w:divBdr>
            <w:top w:val="none" w:sz="0" w:space="0" w:color="auto"/>
            <w:left w:val="none" w:sz="0" w:space="0" w:color="auto"/>
            <w:bottom w:val="none" w:sz="0" w:space="0" w:color="auto"/>
            <w:right w:val="none" w:sz="0" w:space="0" w:color="auto"/>
          </w:divBdr>
          <w:divsChild>
            <w:div w:id="1848598795">
              <w:marLeft w:val="0"/>
              <w:marRight w:val="0"/>
              <w:marTop w:val="0"/>
              <w:marBottom w:val="0"/>
              <w:divBdr>
                <w:top w:val="none" w:sz="0" w:space="0" w:color="auto"/>
                <w:left w:val="none" w:sz="0" w:space="0" w:color="auto"/>
                <w:bottom w:val="none" w:sz="0" w:space="0" w:color="auto"/>
                <w:right w:val="none" w:sz="0" w:space="0" w:color="auto"/>
              </w:divBdr>
            </w:div>
          </w:divsChild>
        </w:div>
        <w:div w:id="1343119098">
          <w:marLeft w:val="0"/>
          <w:marRight w:val="0"/>
          <w:marTop w:val="0"/>
          <w:marBottom w:val="0"/>
          <w:divBdr>
            <w:top w:val="none" w:sz="0" w:space="0" w:color="auto"/>
            <w:left w:val="none" w:sz="0" w:space="0" w:color="auto"/>
            <w:bottom w:val="none" w:sz="0" w:space="0" w:color="auto"/>
            <w:right w:val="none" w:sz="0" w:space="0" w:color="auto"/>
          </w:divBdr>
          <w:divsChild>
            <w:div w:id="162673499">
              <w:marLeft w:val="0"/>
              <w:marRight w:val="0"/>
              <w:marTop w:val="0"/>
              <w:marBottom w:val="0"/>
              <w:divBdr>
                <w:top w:val="none" w:sz="0" w:space="0" w:color="auto"/>
                <w:left w:val="none" w:sz="0" w:space="0" w:color="auto"/>
                <w:bottom w:val="none" w:sz="0" w:space="0" w:color="auto"/>
                <w:right w:val="none" w:sz="0" w:space="0" w:color="auto"/>
              </w:divBdr>
            </w:div>
          </w:divsChild>
        </w:div>
        <w:div w:id="1859925628">
          <w:marLeft w:val="0"/>
          <w:marRight w:val="0"/>
          <w:marTop w:val="0"/>
          <w:marBottom w:val="0"/>
          <w:divBdr>
            <w:top w:val="none" w:sz="0" w:space="0" w:color="auto"/>
            <w:left w:val="none" w:sz="0" w:space="0" w:color="auto"/>
            <w:bottom w:val="none" w:sz="0" w:space="0" w:color="auto"/>
            <w:right w:val="none" w:sz="0" w:space="0" w:color="auto"/>
          </w:divBdr>
          <w:divsChild>
            <w:div w:id="120529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634671">
      <w:bodyDiv w:val="1"/>
      <w:marLeft w:val="0"/>
      <w:marRight w:val="0"/>
      <w:marTop w:val="0"/>
      <w:marBottom w:val="0"/>
      <w:divBdr>
        <w:top w:val="none" w:sz="0" w:space="0" w:color="auto"/>
        <w:left w:val="none" w:sz="0" w:space="0" w:color="auto"/>
        <w:bottom w:val="none" w:sz="0" w:space="0" w:color="auto"/>
        <w:right w:val="none" w:sz="0" w:space="0" w:color="auto"/>
      </w:divBdr>
      <w:divsChild>
        <w:div w:id="954558296">
          <w:marLeft w:val="0"/>
          <w:marRight w:val="0"/>
          <w:marTop w:val="0"/>
          <w:marBottom w:val="0"/>
          <w:divBdr>
            <w:top w:val="none" w:sz="0" w:space="0" w:color="auto"/>
            <w:left w:val="none" w:sz="0" w:space="0" w:color="auto"/>
            <w:bottom w:val="none" w:sz="0" w:space="0" w:color="auto"/>
            <w:right w:val="none" w:sz="0" w:space="0" w:color="auto"/>
          </w:divBdr>
        </w:div>
      </w:divsChild>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512255681">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623611852">
      <w:bodyDiv w:val="1"/>
      <w:marLeft w:val="0"/>
      <w:marRight w:val="0"/>
      <w:marTop w:val="0"/>
      <w:marBottom w:val="0"/>
      <w:divBdr>
        <w:top w:val="none" w:sz="0" w:space="0" w:color="auto"/>
        <w:left w:val="none" w:sz="0" w:space="0" w:color="auto"/>
        <w:bottom w:val="none" w:sz="0" w:space="0" w:color="auto"/>
        <w:right w:val="none" w:sz="0" w:space="0" w:color="auto"/>
      </w:divBdr>
    </w:div>
    <w:div w:id="1673145430">
      <w:bodyDiv w:val="1"/>
      <w:marLeft w:val="0"/>
      <w:marRight w:val="0"/>
      <w:marTop w:val="0"/>
      <w:marBottom w:val="0"/>
      <w:divBdr>
        <w:top w:val="none" w:sz="0" w:space="0" w:color="auto"/>
        <w:left w:val="none" w:sz="0" w:space="0" w:color="auto"/>
        <w:bottom w:val="none" w:sz="0" w:space="0" w:color="auto"/>
        <w:right w:val="none" w:sz="0" w:space="0" w:color="auto"/>
      </w:divBdr>
    </w:div>
    <w:div w:id="1897811182">
      <w:bodyDiv w:val="1"/>
      <w:marLeft w:val="0"/>
      <w:marRight w:val="0"/>
      <w:marTop w:val="0"/>
      <w:marBottom w:val="0"/>
      <w:divBdr>
        <w:top w:val="none" w:sz="0" w:space="0" w:color="auto"/>
        <w:left w:val="none" w:sz="0" w:space="0" w:color="auto"/>
        <w:bottom w:val="none" w:sz="0" w:space="0" w:color="auto"/>
        <w:right w:val="none" w:sz="0" w:space="0" w:color="auto"/>
      </w:divBdr>
      <w:divsChild>
        <w:div w:id="1133208632">
          <w:marLeft w:val="0"/>
          <w:marRight w:val="0"/>
          <w:marTop w:val="0"/>
          <w:marBottom w:val="0"/>
          <w:divBdr>
            <w:top w:val="none" w:sz="0" w:space="0" w:color="auto"/>
            <w:left w:val="none" w:sz="0" w:space="0" w:color="auto"/>
            <w:bottom w:val="none" w:sz="0" w:space="0" w:color="auto"/>
            <w:right w:val="none" w:sz="0" w:space="0" w:color="auto"/>
          </w:divBdr>
        </w:div>
      </w:divsChild>
    </w:div>
    <w:div w:id="1898201780">
      <w:bodyDiv w:val="1"/>
      <w:marLeft w:val="0"/>
      <w:marRight w:val="0"/>
      <w:marTop w:val="0"/>
      <w:marBottom w:val="0"/>
      <w:divBdr>
        <w:top w:val="none" w:sz="0" w:space="0" w:color="auto"/>
        <w:left w:val="none" w:sz="0" w:space="0" w:color="auto"/>
        <w:bottom w:val="none" w:sz="0" w:space="0" w:color="auto"/>
        <w:right w:val="none" w:sz="0" w:space="0" w:color="auto"/>
      </w:divBdr>
      <w:divsChild>
        <w:div w:id="221792651">
          <w:marLeft w:val="0"/>
          <w:marRight w:val="0"/>
          <w:marTop w:val="0"/>
          <w:marBottom w:val="0"/>
          <w:divBdr>
            <w:top w:val="none" w:sz="0" w:space="0" w:color="auto"/>
            <w:left w:val="none" w:sz="0" w:space="0" w:color="auto"/>
            <w:bottom w:val="none" w:sz="0" w:space="0" w:color="auto"/>
            <w:right w:val="none" w:sz="0" w:space="0" w:color="auto"/>
          </w:divBdr>
        </w:div>
      </w:divsChild>
    </w:div>
    <w:div w:id="2112893297">
      <w:bodyDiv w:val="1"/>
      <w:marLeft w:val="0"/>
      <w:marRight w:val="0"/>
      <w:marTop w:val="0"/>
      <w:marBottom w:val="0"/>
      <w:divBdr>
        <w:top w:val="none" w:sz="0" w:space="0" w:color="auto"/>
        <w:left w:val="none" w:sz="0" w:space="0" w:color="auto"/>
        <w:bottom w:val="none" w:sz="0" w:space="0" w:color="auto"/>
        <w:right w:val="none" w:sz="0" w:space="0" w:color="auto"/>
      </w:divBdr>
      <w:divsChild>
        <w:div w:id="2037849180">
          <w:marLeft w:val="0"/>
          <w:marRight w:val="0"/>
          <w:marTop w:val="0"/>
          <w:marBottom w:val="0"/>
          <w:divBdr>
            <w:top w:val="none" w:sz="0" w:space="0" w:color="auto"/>
            <w:left w:val="none" w:sz="0" w:space="0" w:color="auto"/>
            <w:bottom w:val="none" w:sz="0" w:space="0" w:color="auto"/>
            <w:right w:val="none" w:sz="0" w:space="0" w:color="auto"/>
          </w:divBdr>
          <w:divsChild>
            <w:div w:id="996804605">
              <w:marLeft w:val="0"/>
              <w:marRight w:val="0"/>
              <w:marTop w:val="0"/>
              <w:marBottom w:val="0"/>
              <w:divBdr>
                <w:top w:val="none" w:sz="0" w:space="0" w:color="auto"/>
                <w:left w:val="none" w:sz="0" w:space="0" w:color="auto"/>
                <w:bottom w:val="none" w:sz="0" w:space="0" w:color="auto"/>
                <w:right w:val="none" w:sz="0" w:space="0" w:color="auto"/>
              </w:divBdr>
              <w:divsChild>
                <w:div w:id="33577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BC17D005-9C6F-48BA-A0BF-AD6A0D26AD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7A4082-7DB8-EA4E-857D-245F6E660B4D}">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12</Pages>
  <Words>3866</Words>
  <Characters>21263</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Martin Rojas Mejia</cp:lastModifiedBy>
  <cp:revision>2</cp:revision>
  <cp:lastPrinted>2020-01-30T18:05:00Z</cp:lastPrinted>
  <dcterms:created xsi:type="dcterms:W3CDTF">2022-04-21T17:16:00Z</dcterms:created>
  <dcterms:modified xsi:type="dcterms:W3CDTF">2022-04-21T17:16:00Z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