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6E98A" w14:textId="30393EF8" w:rsidR="00B97AB8" w:rsidRPr="00B97AB8" w:rsidRDefault="00B97AB8" w:rsidP="00B97AB8">
      <w:pPr>
        <w:spacing w:after="0"/>
        <w:jc w:val="both"/>
        <w:rPr>
          <w:rFonts w:ascii="Verdana" w:hAnsi="Verdana"/>
        </w:rPr>
      </w:pPr>
      <w:bookmarkStart w:id="0" w:name="_Hlk143780582"/>
      <w:r w:rsidRPr="00B97AB8">
        <w:rPr>
          <w:rFonts w:ascii="Verdana" w:eastAsia="Calibri" w:hAnsi="Verdana" w:cs="Arial"/>
          <w:b/>
          <w:bCs/>
          <w:lang w:val="es-ES_tradnl" w:eastAsia="es-ES"/>
        </w:rPr>
        <w:t>PRECIO – Presupuesto Oficial – Autonomía para calcular el precio y la forma de pago</w:t>
      </w:r>
    </w:p>
    <w:p w14:paraId="109A1B4B" w14:textId="77777777" w:rsidR="00B97AB8" w:rsidRPr="00B97AB8" w:rsidRDefault="00B97AB8" w:rsidP="00B97AB8">
      <w:pPr>
        <w:shd w:val="clear" w:color="auto" w:fill="FFFFFF"/>
        <w:spacing w:after="0" w:line="276" w:lineRule="auto"/>
        <w:contextualSpacing/>
        <w:jc w:val="both"/>
        <w:rPr>
          <w:rFonts w:ascii="Verdana" w:eastAsia="Calibri" w:hAnsi="Verdana" w:cs="Arial"/>
          <w:b/>
          <w:bCs/>
          <w:lang w:val="es-ES_tradnl" w:eastAsia="es-ES"/>
        </w:rPr>
      </w:pPr>
    </w:p>
    <w:p w14:paraId="0315BCA7" w14:textId="5EB6A5BE" w:rsidR="00B97AB8" w:rsidRPr="00B97AB8" w:rsidRDefault="00893BE4" w:rsidP="643C1A59">
      <w:pPr>
        <w:widowControl w:val="0"/>
        <w:autoSpaceDE w:val="0"/>
        <w:autoSpaceDN w:val="0"/>
        <w:spacing w:after="0" w:line="240" w:lineRule="auto"/>
        <w:jc w:val="both"/>
        <w:rPr>
          <w:rFonts w:ascii="Verdana" w:eastAsia="Calibri" w:hAnsi="Verdana" w:cs="Arial"/>
          <w:b/>
          <w:bCs/>
          <w:sz w:val="20"/>
          <w:szCs w:val="20"/>
          <w:lang w:val="es-ES" w:eastAsia="es-ES"/>
        </w:rPr>
      </w:pPr>
      <w:r w:rsidRPr="643C1A59">
        <w:rPr>
          <w:rFonts w:ascii="Verdana" w:eastAsia="Arial MT" w:hAnsi="Verdana" w:cs="Arial MT"/>
          <w:sz w:val="20"/>
          <w:szCs w:val="20"/>
          <w:lang w:val="es-ES"/>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73F3132E" w14:textId="77777777" w:rsidR="00B97AB8" w:rsidRPr="00B97AB8" w:rsidRDefault="00B97AB8" w:rsidP="00B97AB8">
      <w:pPr>
        <w:spacing w:after="0" w:line="276" w:lineRule="auto"/>
        <w:jc w:val="both"/>
        <w:rPr>
          <w:rFonts w:ascii="Verdana" w:eastAsia="Calibri" w:hAnsi="Verdana" w:cs="Arial"/>
          <w:color w:val="000000"/>
          <w:lang w:val="es-ES_tradnl"/>
        </w:rPr>
      </w:pPr>
    </w:p>
    <w:p w14:paraId="4F33B49D" w14:textId="77777777" w:rsidR="00B97AB8" w:rsidRPr="00B97AB8" w:rsidRDefault="00B97AB8" w:rsidP="00B97AB8">
      <w:pPr>
        <w:spacing w:after="0" w:line="276" w:lineRule="auto"/>
        <w:jc w:val="both"/>
        <w:rPr>
          <w:rFonts w:ascii="Verdana" w:eastAsia="Calibri" w:hAnsi="Verdana" w:cs="Arial"/>
          <w:b/>
          <w:bCs/>
          <w:color w:val="000000"/>
          <w:lang w:val="es-ES_tradnl"/>
        </w:rPr>
      </w:pPr>
      <w:r w:rsidRPr="00B97AB8">
        <w:rPr>
          <w:rFonts w:ascii="Verdana" w:eastAsia="Calibri" w:hAnsi="Verdana" w:cs="Arial"/>
          <w:b/>
          <w:bCs/>
          <w:color w:val="000000"/>
          <w:lang w:val="es-ES_tradnl"/>
        </w:rPr>
        <w:t>DOCUMENTOS TIPO – Oferta económica – Pesos colombianos – Correcciones aritméticas</w:t>
      </w:r>
    </w:p>
    <w:p w14:paraId="0DA4C0FB" w14:textId="77777777" w:rsidR="00B97AB8" w:rsidRPr="00B97AB8" w:rsidRDefault="00B97AB8" w:rsidP="00B97AB8">
      <w:pPr>
        <w:spacing w:after="0" w:line="276" w:lineRule="auto"/>
        <w:jc w:val="both"/>
        <w:rPr>
          <w:rFonts w:ascii="Verdana" w:eastAsia="Calibri" w:hAnsi="Verdana" w:cs="Arial"/>
          <w:color w:val="000000"/>
          <w:lang w:val="es-ES_tradnl"/>
        </w:rPr>
      </w:pPr>
    </w:p>
    <w:p w14:paraId="104CF2E7" w14:textId="522679E9" w:rsidR="00893BE4" w:rsidRPr="00893BE4" w:rsidRDefault="00893BE4" w:rsidP="643C1A59">
      <w:pPr>
        <w:spacing w:after="0" w:line="240" w:lineRule="auto"/>
        <w:jc w:val="both"/>
        <w:rPr>
          <w:rFonts w:ascii="Verdana" w:eastAsia="Calibri" w:hAnsi="Verdana" w:cs="Arial"/>
          <w:color w:val="000000"/>
          <w:sz w:val="20"/>
          <w:szCs w:val="20"/>
          <w:lang w:val="es-ES"/>
        </w:rPr>
      </w:pPr>
      <w:r w:rsidRPr="643C1A59">
        <w:rPr>
          <w:rFonts w:ascii="Verdana" w:eastAsia="Calibri" w:hAnsi="Verdana" w:cs="Arial"/>
          <w:color w:val="000000" w:themeColor="text1"/>
          <w:sz w:val="20"/>
          <w:szCs w:val="20"/>
          <w:lang w:val="es-ES"/>
        </w:rPr>
        <w:t xml:space="preserve">Como se indica en el párrafo anterior, las propuestas deberán ser presentadas en </w:t>
      </w:r>
      <w:r w:rsidRPr="643C1A59">
        <w:rPr>
          <w:rFonts w:ascii="Verdana" w:eastAsia="Calibri" w:hAnsi="Verdana" w:cs="Arial"/>
          <w:i/>
          <w:iCs/>
          <w:color w:val="000000" w:themeColor="text1"/>
          <w:sz w:val="20"/>
          <w:szCs w:val="20"/>
          <w:lang w:val="es-ES"/>
        </w:rPr>
        <w:t>pesos colombianos,</w:t>
      </w:r>
      <w:r w:rsidRPr="643C1A59">
        <w:rPr>
          <w:rFonts w:ascii="Verdana" w:eastAsia="Calibri" w:hAnsi="Verdana" w:cs="Arial"/>
          <w:color w:val="000000" w:themeColor="text1"/>
          <w:sz w:val="20"/>
          <w:szCs w:val="20"/>
          <w:lang w:val="es-ES"/>
        </w:rPr>
        <w:t xml:space="preserve"> debido a que esta corresponde a la unidad monetaria del país. Así mismo, la oferta deberá contemplar todos los costos directos e indirectos para la completa y adecuada ejecución de la obra del proceso.</w:t>
      </w:r>
    </w:p>
    <w:p w14:paraId="665A6C46" w14:textId="77777777" w:rsidR="00893BE4" w:rsidRDefault="00893BE4" w:rsidP="00893BE4">
      <w:pPr>
        <w:spacing w:after="0" w:line="240" w:lineRule="auto"/>
        <w:jc w:val="both"/>
        <w:rPr>
          <w:rFonts w:ascii="Verdana" w:eastAsia="Calibri" w:hAnsi="Verdana" w:cs="Arial"/>
          <w:color w:val="000000"/>
          <w:sz w:val="20"/>
          <w:szCs w:val="20"/>
          <w:lang w:val="es-ES_tradnl"/>
        </w:rPr>
      </w:pPr>
    </w:p>
    <w:p w14:paraId="6D53C96E" w14:textId="11578A1E" w:rsidR="00B97AB8" w:rsidRPr="00B97AB8" w:rsidRDefault="00893BE4" w:rsidP="00893BE4">
      <w:pPr>
        <w:spacing w:after="0" w:line="240" w:lineRule="auto"/>
        <w:jc w:val="both"/>
        <w:rPr>
          <w:rFonts w:ascii="Verdana" w:eastAsia="Calibri" w:hAnsi="Verdana" w:cs="Arial"/>
          <w:color w:val="000000"/>
          <w:sz w:val="20"/>
          <w:szCs w:val="20"/>
          <w:lang w:val="es-ES_tradnl"/>
        </w:rPr>
      </w:pPr>
      <w:r w:rsidRPr="00893BE4">
        <w:rPr>
          <w:rFonts w:ascii="Verdana" w:eastAsia="Calibri" w:hAnsi="Verdana" w:cs="Arial"/>
          <w:color w:val="000000"/>
          <w:sz w:val="20"/>
          <w:szCs w:val="20"/>
          <w:lang w:val="es-ES_tradnl"/>
        </w:rPr>
        <w:t>En concordancia con lo establecido en el numeral anterior, y toda vez que el proponente puede cometer errores aritméticos a la hora de diligenciar la oferta económica que pueden afectar la estimación adecuada del presupuesto, los documentos tipo en el numeral “4.1.2. CORRECCIONES ARITMÉTICAS” establecen un mecanismo que permite realizar la corrección a situaciones específicas de tipo aritmético que pueden presentarse en la oferta económica, de cara a definir el valor ofertado previo a realizar la ponderación de la oferta, tal y como se describe a continuación:</w:t>
      </w:r>
    </w:p>
    <w:p w14:paraId="42636A63" w14:textId="77777777" w:rsidR="00B97AB8" w:rsidRPr="00B97AB8" w:rsidRDefault="00B97AB8" w:rsidP="00B97AB8">
      <w:pPr>
        <w:spacing w:after="0" w:line="240" w:lineRule="auto"/>
        <w:jc w:val="both"/>
        <w:rPr>
          <w:rFonts w:ascii="Verdana" w:eastAsia="Calibri" w:hAnsi="Verdana" w:cs="Arial"/>
          <w:color w:val="000000"/>
          <w:sz w:val="20"/>
          <w:szCs w:val="20"/>
          <w:lang w:val="es-ES_tradnl"/>
        </w:rPr>
      </w:pPr>
      <w:r w:rsidRPr="00B97AB8">
        <w:rPr>
          <w:rFonts w:ascii="Verdana" w:eastAsia="Calibri" w:hAnsi="Verdana" w:cs="Arial"/>
          <w:color w:val="000000"/>
          <w:sz w:val="20"/>
          <w:szCs w:val="20"/>
          <w:lang w:val="es-ES_tradnl"/>
        </w:rPr>
        <w:t>[…]</w:t>
      </w:r>
    </w:p>
    <w:p w14:paraId="7AF52151" w14:textId="77777777" w:rsidR="00B97AB8" w:rsidRPr="00B97AB8" w:rsidRDefault="00B97AB8" w:rsidP="00B97AB8">
      <w:pPr>
        <w:spacing w:after="0" w:line="240" w:lineRule="auto"/>
        <w:jc w:val="both"/>
        <w:rPr>
          <w:rFonts w:ascii="Verdana" w:eastAsia="Calibri" w:hAnsi="Verdana" w:cs="Arial"/>
          <w:color w:val="000000"/>
          <w:sz w:val="20"/>
          <w:szCs w:val="20"/>
          <w:lang w:val="es-ES_tradnl"/>
        </w:rPr>
      </w:pPr>
    </w:p>
    <w:p w14:paraId="290C19F6" w14:textId="77777777" w:rsidR="00B97AB8" w:rsidRPr="00B97AB8" w:rsidRDefault="00B97AB8" w:rsidP="00B97AB8">
      <w:pPr>
        <w:spacing w:after="0" w:line="240" w:lineRule="auto"/>
        <w:jc w:val="both"/>
        <w:rPr>
          <w:rFonts w:ascii="Verdana" w:eastAsia="Calibri" w:hAnsi="Verdana" w:cs="Arial"/>
          <w:color w:val="000000"/>
          <w:sz w:val="20"/>
          <w:szCs w:val="20"/>
          <w:lang w:val="es-ES_tradnl"/>
        </w:rPr>
      </w:pPr>
    </w:p>
    <w:p w14:paraId="504CBDD2" w14:textId="77777777" w:rsidR="00B97AB8" w:rsidRPr="00B97AB8" w:rsidRDefault="00B97AB8" w:rsidP="00B97AB8">
      <w:pPr>
        <w:spacing w:after="0" w:line="240" w:lineRule="auto"/>
        <w:jc w:val="both"/>
        <w:rPr>
          <w:rFonts w:ascii="Verdana" w:eastAsia="Calibri" w:hAnsi="Verdana" w:cs="Arial"/>
          <w:color w:val="000000"/>
          <w:sz w:val="20"/>
          <w:szCs w:val="20"/>
          <w:lang w:val="es-ES_tradnl"/>
        </w:rPr>
      </w:pPr>
    </w:p>
    <w:p w14:paraId="2B1AF7C2" w14:textId="77777777" w:rsidR="00B97AB8" w:rsidRDefault="00B97AB8" w:rsidP="00B97AB8">
      <w:pPr>
        <w:spacing w:after="0" w:line="240" w:lineRule="auto"/>
        <w:jc w:val="both"/>
        <w:rPr>
          <w:rFonts w:ascii="Verdana" w:eastAsia="Calibri" w:hAnsi="Verdana" w:cs="Arial"/>
          <w:color w:val="000000"/>
          <w:sz w:val="20"/>
          <w:szCs w:val="20"/>
          <w:lang w:val="es-ES_tradnl"/>
        </w:rPr>
      </w:pPr>
    </w:p>
    <w:p w14:paraId="5F02807D" w14:textId="77777777" w:rsidR="00B97AB8" w:rsidRDefault="00B97AB8" w:rsidP="00B97AB8">
      <w:pPr>
        <w:spacing w:after="0" w:line="240" w:lineRule="auto"/>
        <w:jc w:val="both"/>
        <w:rPr>
          <w:rFonts w:ascii="Verdana" w:eastAsia="Calibri" w:hAnsi="Verdana" w:cs="Arial"/>
          <w:color w:val="000000"/>
          <w:sz w:val="20"/>
          <w:szCs w:val="20"/>
          <w:lang w:val="es-ES_tradnl"/>
        </w:rPr>
      </w:pPr>
    </w:p>
    <w:p w14:paraId="1918336C" w14:textId="77777777" w:rsidR="00B97AB8" w:rsidRDefault="00B97AB8" w:rsidP="00B97AB8">
      <w:pPr>
        <w:spacing w:after="0" w:line="240" w:lineRule="auto"/>
        <w:jc w:val="both"/>
        <w:rPr>
          <w:rFonts w:ascii="Verdana" w:eastAsia="Calibri" w:hAnsi="Verdana" w:cs="Arial"/>
          <w:color w:val="000000"/>
          <w:sz w:val="20"/>
          <w:szCs w:val="20"/>
          <w:lang w:val="es-ES_tradnl"/>
        </w:rPr>
      </w:pPr>
    </w:p>
    <w:p w14:paraId="5E8E2921" w14:textId="77777777" w:rsidR="00B97AB8" w:rsidRDefault="00B97AB8" w:rsidP="00B97AB8">
      <w:pPr>
        <w:spacing w:after="0" w:line="240" w:lineRule="auto"/>
        <w:jc w:val="both"/>
        <w:rPr>
          <w:rFonts w:ascii="Verdana" w:eastAsia="Calibri" w:hAnsi="Verdana" w:cs="Arial"/>
          <w:color w:val="000000"/>
          <w:sz w:val="20"/>
          <w:szCs w:val="20"/>
          <w:lang w:val="es-ES_tradnl"/>
        </w:rPr>
      </w:pPr>
    </w:p>
    <w:p w14:paraId="61741AF9" w14:textId="77777777" w:rsidR="00B97AB8" w:rsidRDefault="00B97AB8" w:rsidP="00B97AB8">
      <w:pPr>
        <w:spacing w:after="0" w:line="240" w:lineRule="auto"/>
        <w:jc w:val="both"/>
        <w:rPr>
          <w:rFonts w:ascii="Verdana" w:eastAsia="Calibri" w:hAnsi="Verdana" w:cs="Arial"/>
          <w:color w:val="000000"/>
          <w:sz w:val="20"/>
          <w:szCs w:val="20"/>
          <w:lang w:val="es-ES_tradnl"/>
        </w:rPr>
      </w:pPr>
    </w:p>
    <w:p w14:paraId="13D03447" w14:textId="77777777" w:rsidR="00B97AB8" w:rsidRPr="00B97AB8" w:rsidRDefault="00B97AB8" w:rsidP="00B97AB8">
      <w:pPr>
        <w:spacing w:after="0" w:line="240" w:lineRule="auto"/>
        <w:jc w:val="both"/>
        <w:rPr>
          <w:rFonts w:ascii="Verdana" w:eastAsia="Calibri" w:hAnsi="Verdana" w:cs="Arial"/>
          <w:color w:val="000000"/>
          <w:sz w:val="20"/>
          <w:szCs w:val="20"/>
          <w:lang w:val="es-ES_tradnl"/>
        </w:rPr>
      </w:pPr>
    </w:p>
    <w:p w14:paraId="449F987B" w14:textId="542FAE28" w:rsidR="00B97AB8" w:rsidRPr="00B97AB8" w:rsidRDefault="00B97AB8" w:rsidP="00B97AB8">
      <w:pPr>
        <w:spacing w:after="0" w:line="240" w:lineRule="auto"/>
        <w:jc w:val="both"/>
        <w:rPr>
          <w:rFonts w:ascii="Verdana" w:eastAsia="Calibri" w:hAnsi="Verdana" w:cs="Arial"/>
          <w:lang w:val="es-ES_tradnl"/>
        </w:rPr>
      </w:pPr>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p>
    <w:p w14:paraId="39A979B4" w14:textId="77777777" w:rsidR="00B97AB8" w:rsidRDefault="00B97AB8" w:rsidP="00B97AB8">
      <w:pPr>
        <w:spacing w:after="0" w:line="240" w:lineRule="auto"/>
        <w:jc w:val="both"/>
        <w:rPr>
          <w:rFonts w:ascii="Verdana" w:eastAsia="Calibri" w:hAnsi="Verdana" w:cs="Arial"/>
          <w:lang w:val="es-ES_tradnl"/>
        </w:rPr>
      </w:pPr>
    </w:p>
    <w:p w14:paraId="6B341068" w14:textId="1DD02F41" w:rsidR="00BD258B" w:rsidRDefault="00BD258B" w:rsidP="00B97AB8">
      <w:pPr>
        <w:spacing w:after="0" w:line="240" w:lineRule="auto"/>
        <w:jc w:val="both"/>
        <w:rPr>
          <w:rFonts w:ascii="Verdana" w:eastAsia="Calibri" w:hAnsi="Verdana" w:cs="Arial"/>
          <w:lang w:val="es-ES_tradnl"/>
        </w:rPr>
      </w:pPr>
      <w:r w:rsidRPr="00BD258B">
        <w:rPr>
          <w:rFonts w:ascii="Verdana" w:eastAsia="Calibri" w:hAnsi="Verdana" w:cs="Arial"/>
          <w:noProof/>
          <w:lang w:val="es-ES_tradnl"/>
        </w:rPr>
        <w:drawing>
          <wp:anchor distT="0" distB="0" distL="114300" distR="114300" simplePos="0" relativeHeight="251658240" behindDoc="1" locked="0" layoutInCell="1" allowOverlap="1" wp14:anchorId="6B2DAB79" wp14:editId="74F9C2F2">
            <wp:simplePos x="0" y="0"/>
            <wp:positionH relativeFrom="column">
              <wp:posOffset>2362835</wp:posOffset>
            </wp:positionH>
            <wp:positionV relativeFrom="paragraph">
              <wp:posOffset>16510</wp:posOffset>
            </wp:positionV>
            <wp:extent cx="3457575" cy="1038225"/>
            <wp:effectExtent l="0" t="0" r="9525" b="9525"/>
            <wp:wrapTight wrapText="bothSides">
              <wp:wrapPolygon edited="0">
                <wp:start x="0" y="0"/>
                <wp:lineTo x="0" y="21402"/>
                <wp:lineTo x="21540" y="21402"/>
                <wp:lineTo x="21540" y="0"/>
                <wp:lineTo x="0" y="0"/>
              </wp:wrapPolygon>
            </wp:wrapTight>
            <wp:docPr id="19235487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548775" name=""/>
                    <pic:cNvPicPr/>
                  </pic:nvPicPr>
                  <pic:blipFill>
                    <a:blip r:embed="rId10">
                      <a:extLst>
                        <a:ext uri="{28A0092B-C50C-407E-A947-70E740481C1C}">
                          <a14:useLocalDpi xmlns:a14="http://schemas.microsoft.com/office/drawing/2010/main" val="0"/>
                        </a:ext>
                      </a:extLst>
                    </a:blip>
                    <a:stretch>
                      <a:fillRect/>
                    </a:stretch>
                  </pic:blipFill>
                  <pic:spPr>
                    <a:xfrm>
                      <a:off x="0" y="0"/>
                      <a:ext cx="3457575" cy="1038225"/>
                    </a:xfrm>
                    <a:prstGeom prst="rect">
                      <a:avLst/>
                    </a:prstGeom>
                  </pic:spPr>
                </pic:pic>
              </a:graphicData>
            </a:graphic>
          </wp:anchor>
        </w:drawing>
      </w:r>
    </w:p>
    <w:p w14:paraId="3A9A91F4" w14:textId="77777777" w:rsidR="00BD258B" w:rsidRDefault="00BD258B" w:rsidP="00B97AB8">
      <w:pPr>
        <w:spacing w:after="0" w:line="240" w:lineRule="auto"/>
        <w:jc w:val="both"/>
        <w:rPr>
          <w:rFonts w:ascii="Verdana" w:eastAsia="Calibri" w:hAnsi="Verdana" w:cs="Arial"/>
          <w:lang w:val="es-ES_tradnl"/>
        </w:rPr>
      </w:pPr>
    </w:p>
    <w:p w14:paraId="1EA558F9" w14:textId="3E856067" w:rsidR="00BD258B" w:rsidRDefault="00BD258B" w:rsidP="00B97AB8">
      <w:pPr>
        <w:spacing w:after="0" w:line="240" w:lineRule="auto"/>
        <w:jc w:val="both"/>
        <w:rPr>
          <w:rFonts w:ascii="Verdana" w:eastAsia="Calibri" w:hAnsi="Verdana" w:cs="Arial"/>
          <w:lang w:val="es-ES_tradnl"/>
        </w:rPr>
      </w:pPr>
    </w:p>
    <w:p w14:paraId="35F90A92" w14:textId="77777777" w:rsidR="00BD258B" w:rsidRPr="00B97AB8" w:rsidRDefault="00BD258B" w:rsidP="00B97AB8">
      <w:pPr>
        <w:spacing w:after="0" w:line="240" w:lineRule="auto"/>
        <w:jc w:val="both"/>
        <w:rPr>
          <w:rFonts w:ascii="Verdana" w:eastAsia="Calibri" w:hAnsi="Verdana" w:cs="Arial"/>
          <w:lang w:val="es-ES_tradnl"/>
        </w:rPr>
      </w:pPr>
    </w:p>
    <w:p w14:paraId="35AED21F" w14:textId="77777777" w:rsidR="00B97AB8" w:rsidRPr="00B97AB8" w:rsidRDefault="00B97AB8" w:rsidP="00B97AB8">
      <w:pPr>
        <w:spacing w:after="0" w:line="240" w:lineRule="auto"/>
        <w:jc w:val="both"/>
        <w:rPr>
          <w:rFonts w:ascii="Verdana" w:eastAsia="Calibri" w:hAnsi="Verdana" w:cs="Arial"/>
          <w:lang w:val="es-ES_tradnl"/>
        </w:rPr>
      </w:pPr>
    </w:p>
    <w:p w14:paraId="4362D91A" w14:textId="77777777" w:rsidR="00BD258B" w:rsidRDefault="00BD258B" w:rsidP="00B97AB8">
      <w:pPr>
        <w:spacing w:after="0" w:line="240" w:lineRule="auto"/>
        <w:jc w:val="both"/>
        <w:rPr>
          <w:rFonts w:ascii="Verdana" w:eastAsia="Calibri" w:hAnsi="Verdana" w:cs="Arial"/>
          <w:lang w:val="es-ES_tradnl" w:eastAsia="es-ES"/>
        </w:rPr>
      </w:pPr>
    </w:p>
    <w:p w14:paraId="0EBFC00A" w14:textId="2CB8AA1D" w:rsidR="00B97AB8" w:rsidRPr="00B97AB8" w:rsidRDefault="00B97AB8" w:rsidP="00B97AB8">
      <w:pPr>
        <w:spacing w:after="0" w:line="240" w:lineRule="auto"/>
        <w:jc w:val="both"/>
        <w:rPr>
          <w:rFonts w:ascii="Verdana" w:eastAsia="Calibri" w:hAnsi="Verdana" w:cs="Arial"/>
          <w:lang w:val="es-ES_tradnl" w:eastAsia="es-ES"/>
        </w:rPr>
      </w:pPr>
      <w:r w:rsidRPr="00B97AB8">
        <w:rPr>
          <w:rFonts w:ascii="Verdana" w:eastAsia="Calibri" w:hAnsi="Verdana" w:cs="Arial"/>
          <w:lang w:val="es-ES_tradnl" w:eastAsia="es-ES"/>
        </w:rPr>
        <w:t>Señora</w:t>
      </w:r>
    </w:p>
    <w:p w14:paraId="6D36EBC3" w14:textId="77777777" w:rsidR="00B97AB8" w:rsidRPr="00B97AB8" w:rsidRDefault="00B97AB8" w:rsidP="11E76B71">
      <w:pPr>
        <w:spacing w:after="0" w:line="240" w:lineRule="auto"/>
        <w:rPr>
          <w:rFonts w:ascii="Verdana" w:eastAsia="Calibri" w:hAnsi="Verdana" w:cs="Arial"/>
          <w:b/>
          <w:bCs/>
          <w:lang w:val="es-ES" w:eastAsia="es-ES"/>
        </w:rPr>
      </w:pPr>
      <w:r w:rsidRPr="11E76B71">
        <w:rPr>
          <w:rFonts w:ascii="Verdana" w:eastAsia="Calibri" w:hAnsi="Verdana" w:cs="Arial"/>
          <w:b/>
          <w:bCs/>
          <w:lang w:val="es-ES" w:eastAsia="es-ES"/>
        </w:rPr>
        <w:t xml:space="preserve">Damaris </w:t>
      </w:r>
      <w:proofErr w:type="spellStart"/>
      <w:r w:rsidRPr="11E76B71">
        <w:rPr>
          <w:rFonts w:ascii="Verdana" w:eastAsia="Calibri" w:hAnsi="Verdana" w:cs="Arial"/>
          <w:b/>
          <w:bCs/>
          <w:lang w:val="es-ES" w:eastAsia="es-ES"/>
        </w:rPr>
        <w:t>Deicy</w:t>
      </w:r>
      <w:proofErr w:type="spellEnd"/>
      <w:r w:rsidRPr="11E76B71">
        <w:rPr>
          <w:rFonts w:ascii="Verdana" w:eastAsia="Calibri" w:hAnsi="Verdana" w:cs="Arial"/>
          <w:b/>
          <w:bCs/>
          <w:lang w:val="es-ES" w:eastAsia="es-ES"/>
        </w:rPr>
        <w:t xml:space="preserve"> Borda Gómez</w:t>
      </w:r>
    </w:p>
    <w:p w14:paraId="6EFF9784" w14:textId="77777777" w:rsidR="00B97AB8" w:rsidRPr="00B97AB8" w:rsidRDefault="00B97AB8" w:rsidP="00B97AB8">
      <w:pPr>
        <w:spacing w:after="0" w:line="240" w:lineRule="auto"/>
        <w:rPr>
          <w:rFonts w:ascii="Verdana" w:eastAsia="Calibri" w:hAnsi="Verdana" w:cs="Arial"/>
          <w:b/>
          <w:bCs/>
          <w:lang w:val="es-ES_tradnl" w:eastAsia="es-ES"/>
        </w:rPr>
      </w:pPr>
      <w:r w:rsidRPr="00B97AB8">
        <w:rPr>
          <w:rFonts w:ascii="Verdana" w:eastAsia="Calibri" w:hAnsi="Verdana" w:cs="Arial"/>
          <w:lang w:val="es-ES_tradnl" w:eastAsia="es-ES"/>
        </w:rPr>
        <w:t>Tunja, Boyacá</w:t>
      </w:r>
    </w:p>
    <w:p w14:paraId="5E649092" w14:textId="77777777" w:rsidR="00B97AB8" w:rsidRPr="00B97AB8" w:rsidRDefault="00B97AB8" w:rsidP="00B97AB8">
      <w:pPr>
        <w:spacing w:after="0" w:line="240" w:lineRule="auto"/>
        <w:rPr>
          <w:rFonts w:ascii="Verdana" w:eastAsia="Calibri" w:hAnsi="Verdana" w:cs="Arial"/>
          <w:b/>
          <w:bCs/>
          <w:lang w:val="es-ES_tradnl" w:eastAsia="es-ES_tradnl"/>
        </w:rPr>
      </w:pPr>
    </w:p>
    <w:p w14:paraId="530B275A" w14:textId="77777777" w:rsidR="00B97AB8" w:rsidRPr="00B97AB8" w:rsidRDefault="00B97AB8" w:rsidP="00B97AB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97AB8" w:rsidRPr="00B97AB8" w14:paraId="7E9E471E" w14:textId="77777777" w:rsidTr="000701C2">
        <w:trPr>
          <w:trHeight w:val="884"/>
        </w:trPr>
        <w:tc>
          <w:tcPr>
            <w:tcW w:w="2689" w:type="dxa"/>
          </w:tcPr>
          <w:p w14:paraId="6DF17A44" w14:textId="77777777" w:rsidR="00B97AB8" w:rsidRPr="00B97AB8" w:rsidRDefault="00B97AB8" w:rsidP="00B97AB8">
            <w:pPr>
              <w:jc w:val="both"/>
              <w:rPr>
                <w:rFonts w:ascii="Verdana" w:eastAsia="Calibri" w:hAnsi="Verdana" w:cs="Arial"/>
                <w:b/>
                <w:bCs/>
                <w:lang w:val="es-ES_tradnl" w:eastAsia="es-ES_tradnl"/>
              </w:rPr>
            </w:pPr>
          </w:p>
        </w:tc>
        <w:tc>
          <w:tcPr>
            <w:tcW w:w="6100" w:type="dxa"/>
          </w:tcPr>
          <w:p w14:paraId="63EC62FC" w14:textId="77777777" w:rsidR="00B97AB8" w:rsidRPr="00B97AB8" w:rsidRDefault="00B97AB8" w:rsidP="00B97AB8">
            <w:pPr>
              <w:jc w:val="both"/>
              <w:rPr>
                <w:rFonts w:ascii="Verdana" w:eastAsia="Calibri" w:hAnsi="Verdana" w:cs="Arial"/>
                <w:b/>
                <w:bCs/>
                <w:lang w:val="es-ES_tradnl" w:eastAsia="es-ES"/>
              </w:rPr>
            </w:pPr>
            <w:r w:rsidRPr="00B97AB8">
              <w:rPr>
                <w:rFonts w:ascii="Verdana" w:eastAsia="Calibri" w:hAnsi="Verdana" w:cs="Arial"/>
                <w:b/>
                <w:bCs/>
                <w:lang w:val="es-ES_tradnl" w:eastAsia="es-ES"/>
              </w:rPr>
              <w:t>Concepto C – 453 de 2024</w:t>
            </w:r>
          </w:p>
        </w:tc>
      </w:tr>
      <w:tr w:rsidR="00B97AB8" w:rsidRPr="00B97AB8" w14:paraId="7D990702" w14:textId="77777777" w:rsidTr="000701C2">
        <w:trPr>
          <w:trHeight w:val="884"/>
        </w:trPr>
        <w:tc>
          <w:tcPr>
            <w:tcW w:w="2689" w:type="dxa"/>
          </w:tcPr>
          <w:p w14:paraId="191B477B" w14:textId="77777777" w:rsidR="00B97AB8" w:rsidRPr="00B97AB8" w:rsidRDefault="00B97AB8" w:rsidP="00B97AB8">
            <w:pPr>
              <w:jc w:val="both"/>
              <w:rPr>
                <w:rFonts w:ascii="Verdana" w:eastAsia="Calibri" w:hAnsi="Verdana" w:cs="Arial"/>
                <w:lang w:val="es-ES_tradnl" w:eastAsia="es-ES_tradnl"/>
              </w:rPr>
            </w:pPr>
            <w:r w:rsidRPr="00B97AB8">
              <w:rPr>
                <w:rFonts w:ascii="Verdana" w:eastAsia="Calibri" w:hAnsi="Verdana" w:cs="Arial"/>
                <w:b/>
                <w:lang w:val="es-ES_tradnl" w:eastAsia="es-ES_tradnl"/>
              </w:rPr>
              <w:t>Temas:</w:t>
            </w:r>
            <w:r w:rsidRPr="00B97AB8">
              <w:rPr>
                <w:rFonts w:ascii="Verdana" w:eastAsia="Calibri" w:hAnsi="Verdana" w:cs="Arial"/>
                <w:lang w:val="es-ES_tradnl" w:eastAsia="es-ES_tradnl"/>
              </w:rPr>
              <w:t xml:space="preserve">                   </w:t>
            </w:r>
          </w:p>
        </w:tc>
        <w:tc>
          <w:tcPr>
            <w:tcW w:w="6100" w:type="dxa"/>
          </w:tcPr>
          <w:p w14:paraId="4691FDA5" w14:textId="77777777" w:rsidR="00B97AB8" w:rsidRPr="00B97AB8" w:rsidRDefault="00B97AB8" w:rsidP="00B97AB8">
            <w:pPr>
              <w:spacing w:line="276" w:lineRule="auto"/>
              <w:jc w:val="both"/>
              <w:rPr>
                <w:rFonts w:ascii="Verdana" w:eastAsia="Calibri" w:hAnsi="Verdana" w:cs="Arial"/>
                <w:color w:val="000000"/>
                <w:lang w:val="es-ES_tradnl"/>
              </w:rPr>
            </w:pPr>
            <w:r w:rsidRPr="00B97AB8">
              <w:rPr>
                <w:rFonts w:ascii="Verdana" w:eastAsia="Calibri" w:hAnsi="Verdana" w:cs="Arial"/>
                <w:lang w:val="es-ES_tradnl" w:eastAsia="es-ES"/>
              </w:rPr>
              <w:t xml:space="preserve">PRECIO – Presupuesto Oficial – Autonomía para calcular el precio y la forma de pago / </w:t>
            </w:r>
            <w:r w:rsidRPr="00B97AB8">
              <w:rPr>
                <w:rFonts w:ascii="Verdana" w:eastAsia="Calibri" w:hAnsi="Verdana" w:cs="Arial"/>
                <w:color w:val="000000"/>
                <w:lang w:val="es-ES_tradnl"/>
              </w:rPr>
              <w:t>DOCUMENTOS TIPO – Oferta económica – Pesos colombianos – Correcciones aritméticas</w:t>
            </w:r>
          </w:p>
          <w:p w14:paraId="69BC731D" w14:textId="77777777" w:rsidR="00B97AB8" w:rsidRPr="00B97AB8" w:rsidRDefault="00B97AB8" w:rsidP="00B97AB8">
            <w:pPr>
              <w:shd w:val="clear" w:color="auto" w:fill="FFFFFF"/>
              <w:spacing w:line="276" w:lineRule="auto"/>
              <w:contextualSpacing/>
              <w:jc w:val="both"/>
              <w:rPr>
                <w:rFonts w:ascii="Verdana" w:eastAsia="Calibri" w:hAnsi="Verdana" w:cs="Arial"/>
                <w:highlight w:val="yellow"/>
                <w:lang w:val="es-ES_tradnl" w:eastAsia="es-ES"/>
              </w:rPr>
            </w:pPr>
          </w:p>
        </w:tc>
      </w:tr>
      <w:tr w:rsidR="00B97AB8" w:rsidRPr="00B97AB8" w14:paraId="2F5E1F74" w14:textId="77777777" w:rsidTr="000701C2">
        <w:tc>
          <w:tcPr>
            <w:tcW w:w="2689" w:type="dxa"/>
          </w:tcPr>
          <w:p w14:paraId="72AED202" w14:textId="77777777" w:rsidR="00B97AB8" w:rsidRPr="00B97AB8" w:rsidRDefault="00B97AB8" w:rsidP="00B97AB8">
            <w:pPr>
              <w:jc w:val="both"/>
              <w:rPr>
                <w:rFonts w:ascii="Verdana" w:eastAsia="Calibri" w:hAnsi="Verdana" w:cs="Arial"/>
                <w:b/>
                <w:lang w:val="es-ES_tradnl" w:eastAsia="es-ES_tradnl"/>
              </w:rPr>
            </w:pPr>
            <w:r w:rsidRPr="00B97AB8">
              <w:rPr>
                <w:rFonts w:ascii="Verdana" w:eastAsia="Calibri" w:hAnsi="Verdana" w:cs="Arial"/>
                <w:b/>
                <w:lang w:val="es-ES_tradnl" w:eastAsia="es-ES_tradnl"/>
              </w:rPr>
              <w:t>Radicación:</w:t>
            </w:r>
            <w:r w:rsidRPr="00B97AB8">
              <w:rPr>
                <w:rFonts w:ascii="Verdana" w:eastAsia="Calibri" w:hAnsi="Verdana" w:cs="Arial"/>
                <w:lang w:val="es-ES_tradnl" w:eastAsia="es-ES_tradnl"/>
              </w:rPr>
              <w:t xml:space="preserve">               </w:t>
            </w:r>
          </w:p>
        </w:tc>
        <w:tc>
          <w:tcPr>
            <w:tcW w:w="6100" w:type="dxa"/>
          </w:tcPr>
          <w:p w14:paraId="37BB815A" w14:textId="77777777" w:rsidR="00B97AB8" w:rsidRPr="00B97AB8" w:rsidRDefault="00B97AB8" w:rsidP="00B97AB8">
            <w:pPr>
              <w:jc w:val="both"/>
              <w:rPr>
                <w:rFonts w:ascii="Verdana" w:eastAsia="Calibri" w:hAnsi="Verdana" w:cs="Arial"/>
                <w:lang w:val="es-ES_tradnl" w:eastAsia="es-ES_tradnl"/>
              </w:rPr>
            </w:pPr>
            <w:r w:rsidRPr="00B97AB8">
              <w:rPr>
                <w:rFonts w:ascii="Verdana" w:eastAsia="Calibri" w:hAnsi="Verdana" w:cs="Arial"/>
                <w:lang w:val="es-ES_tradnl" w:eastAsia="es-ES_tradnl"/>
              </w:rPr>
              <w:t>Respuesta a consulta con radicado No. P20240806008087</w:t>
            </w:r>
          </w:p>
        </w:tc>
      </w:tr>
    </w:tbl>
    <w:p w14:paraId="48E9831A" w14:textId="77777777" w:rsidR="00B97AB8" w:rsidRPr="00B97AB8" w:rsidRDefault="00B97AB8" w:rsidP="00B97AB8">
      <w:pPr>
        <w:spacing w:after="0" w:line="240" w:lineRule="auto"/>
        <w:jc w:val="both"/>
        <w:rPr>
          <w:rFonts w:ascii="Verdana" w:eastAsia="Calibri" w:hAnsi="Verdana" w:cs="Arial"/>
          <w:lang w:val="es-ES_tradnl" w:eastAsia="es-ES_tradnl"/>
        </w:rPr>
      </w:pPr>
    </w:p>
    <w:p w14:paraId="41574DBE" w14:textId="77777777" w:rsidR="00B97AB8" w:rsidRPr="00B97AB8" w:rsidRDefault="00B97AB8" w:rsidP="00B97AB8">
      <w:pPr>
        <w:spacing w:after="0" w:line="240" w:lineRule="auto"/>
        <w:jc w:val="both"/>
        <w:rPr>
          <w:rFonts w:ascii="Verdana" w:eastAsia="Calibri" w:hAnsi="Verdana" w:cs="Arial"/>
          <w:lang w:val="es-ES_tradnl" w:eastAsia="es-ES_tradnl"/>
        </w:rPr>
      </w:pPr>
    </w:p>
    <w:p w14:paraId="4D4E4EEF" w14:textId="77777777" w:rsidR="00B97AB8" w:rsidRPr="00B97AB8" w:rsidRDefault="00B97AB8" w:rsidP="00B97AB8">
      <w:pPr>
        <w:spacing w:after="0" w:line="276" w:lineRule="auto"/>
        <w:jc w:val="both"/>
        <w:rPr>
          <w:rFonts w:ascii="Verdana" w:eastAsia="Calibri" w:hAnsi="Verdana" w:cs="Arial"/>
          <w:lang w:val="es-ES_tradnl" w:eastAsia="es-ES"/>
        </w:rPr>
      </w:pPr>
      <w:r w:rsidRPr="00B97AB8">
        <w:rPr>
          <w:rFonts w:ascii="Verdana" w:eastAsia="Calibri" w:hAnsi="Verdana" w:cs="Arial"/>
          <w:lang w:val="es-ES_tradnl" w:eastAsia="es-ES"/>
        </w:rPr>
        <w:t xml:space="preserve">Estimada señora Borda Gómez: </w:t>
      </w:r>
    </w:p>
    <w:p w14:paraId="503709A7" w14:textId="77777777" w:rsidR="00B97AB8" w:rsidRPr="00B97AB8" w:rsidRDefault="00B97AB8" w:rsidP="00B97AB8">
      <w:pPr>
        <w:tabs>
          <w:tab w:val="left" w:pos="3768"/>
        </w:tabs>
        <w:spacing w:after="0" w:line="276" w:lineRule="auto"/>
        <w:jc w:val="both"/>
        <w:rPr>
          <w:rFonts w:ascii="Verdana" w:eastAsia="Calibri" w:hAnsi="Verdana" w:cs="Arial"/>
          <w:lang w:val="es-ES_tradnl" w:eastAsia="es-ES"/>
        </w:rPr>
      </w:pPr>
      <w:r w:rsidRPr="00B97AB8">
        <w:rPr>
          <w:rFonts w:ascii="Verdana" w:eastAsia="Calibri" w:hAnsi="Verdana" w:cs="Arial"/>
          <w:lang w:val="es-ES_tradnl" w:eastAsia="es-ES"/>
        </w:rPr>
        <w:tab/>
      </w:r>
    </w:p>
    <w:p w14:paraId="6A7A3BE9" w14:textId="77777777" w:rsidR="00B97AB8" w:rsidRPr="00B97AB8" w:rsidRDefault="00B97AB8" w:rsidP="00B97AB8">
      <w:pPr>
        <w:spacing w:after="0" w:line="276" w:lineRule="auto"/>
        <w:jc w:val="both"/>
        <w:rPr>
          <w:rFonts w:ascii="Verdana" w:eastAsia="Calibri" w:hAnsi="Verdana" w:cs="Arial"/>
          <w:lang w:val="es-ES_tradnl" w:eastAsia="es-ES"/>
        </w:rPr>
      </w:pPr>
      <w:r w:rsidRPr="00B97AB8">
        <w:rPr>
          <w:rFonts w:ascii="Verdana" w:eastAsia="Calibri" w:hAnsi="Verdana" w:cs="Arial"/>
          <w:lang w:val="es-ES_tradnl" w:eastAsia="es-ES"/>
        </w:rPr>
        <w:t>En ejercicio de la competencia otorgada por los artículos 3, numeral 5º, y 11, numeral 8º, del Decreto Ley 4170 de 2011,</w:t>
      </w:r>
      <w:r w:rsidRPr="00B97AB8">
        <w:rPr>
          <w:rFonts w:ascii="Verdana" w:eastAsia="Arial MT" w:hAnsi="Verdana" w:cs="Arial MT"/>
          <w:lang w:val="es-ES_tradnl" w:eastAsia="es-ES"/>
        </w:rPr>
        <w:t xml:space="preserve"> </w:t>
      </w:r>
      <w:r w:rsidRPr="00B97AB8">
        <w:rPr>
          <w:rFonts w:ascii="Verdana" w:eastAsia="Calibri" w:hAnsi="Verdana" w:cs="Arial"/>
          <w:lang w:val="es-ES_tradnl"/>
        </w:rPr>
        <w:t xml:space="preserve">así como lo establecido en el artículo 4 de la Resolución 1707 de 2018 expedida por esta Entidad, </w:t>
      </w:r>
      <w:r w:rsidRPr="00B97AB8">
        <w:rPr>
          <w:rFonts w:ascii="Verdana" w:eastAsia="Calibri" w:hAnsi="Verdana" w:cs="Arial"/>
          <w:lang w:val="es-ES_tradnl" w:eastAsia="es-ES"/>
        </w:rPr>
        <w:t>la Agencia Nacional de Contratación Pública – Colombia Compra Eficiente responde su solicitud de consulta de fecha 6 de agosto de 2024, en la que manifiesta lo siguiente:</w:t>
      </w:r>
    </w:p>
    <w:p w14:paraId="6E59373A" w14:textId="77777777" w:rsidR="00B97AB8" w:rsidRPr="00B97AB8" w:rsidRDefault="00B97AB8" w:rsidP="00B97AB8">
      <w:pPr>
        <w:spacing w:after="0" w:line="276" w:lineRule="auto"/>
        <w:jc w:val="both"/>
        <w:rPr>
          <w:rFonts w:ascii="Verdana" w:eastAsia="Calibri" w:hAnsi="Verdana" w:cs="Arial"/>
          <w:lang w:val="es-ES_tradnl" w:eastAsia="es-ES"/>
        </w:rPr>
      </w:pPr>
    </w:p>
    <w:p w14:paraId="6FA8A740" w14:textId="77777777" w:rsidR="00B97AB8" w:rsidRPr="00B97AB8" w:rsidRDefault="00B97AB8" w:rsidP="11E76B71">
      <w:pPr>
        <w:spacing w:after="0" w:line="240" w:lineRule="auto"/>
        <w:ind w:left="709" w:right="709"/>
        <w:jc w:val="both"/>
        <w:rPr>
          <w:rFonts w:ascii="Verdana" w:eastAsia="Calibri" w:hAnsi="Verdana" w:cs="Arial"/>
          <w:sz w:val="21"/>
          <w:szCs w:val="21"/>
          <w:lang w:val="es-ES" w:eastAsia="es-ES"/>
        </w:rPr>
      </w:pPr>
      <w:r w:rsidRPr="11E76B71">
        <w:rPr>
          <w:rFonts w:ascii="Verdana" w:eastAsia="Calibri" w:hAnsi="Verdana" w:cs="Arial"/>
          <w:sz w:val="21"/>
          <w:szCs w:val="21"/>
          <w:lang w:val="es-ES" w:eastAsia="es-ES"/>
        </w:rPr>
        <w:t>"[S]</w:t>
      </w:r>
      <w:proofErr w:type="spellStart"/>
      <w:r w:rsidRPr="11E76B71">
        <w:rPr>
          <w:rFonts w:ascii="Verdana" w:eastAsia="Calibri" w:hAnsi="Verdana" w:cs="Arial"/>
          <w:sz w:val="21"/>
          <w:szCs w:val="21"/>
          <w:lang w:val="es-ES" w:eastAsia="es-ES"/>
        </w:rPr>
        <w:t>olicito</w:t>
      </w:r>
      <w:proofErr w:type="spellEnd"/>
      <w:r w:rsidRPr="11E76B71">
        <w:rPr>
          <w:rFonts w:ascii="Verdana" w:eastAsia="Calibri" w:hAnsi="Verdana" w:cs="Arial"/>
          <w:sz w:val="21"/>
          <w:szCs w:val="21"/>
          <w:lang w:val="es-ES" w:eastAsia="es-ES"/>
        </w:rPr>
        <w:t xml:space="preserve"> me indique la forma correcta de estructurar un presupuesto de una convocatoria pública, esto debido a que los documentos tipo establecen la obligatoriedad de la Entidad de ajustar las ofertas a pesos, teniendo en cuanta lo anterior que concepto señala los lineamientos de estructuración de un presupuesto.” [SIC]</w:t>
      </w:r>
    </w:p>
    <w:p w14:paraId="342533C4" w14:textId="77777777" w:rsidR="00B97AB8" w:rsidRPr="00B97AB8" w:rsidRDefault="00B97AB8" w:rsidP="00B97AB8">
      <w:pPr>
        <w:spacing w:after="0" w:line="240" w:lineRule="auto"/>
        <w:ind w:left="709" w:right="709"/>
        <w:jc w:val="both"/>
        <w:rPr>
          <w:rFonts w:ascii="Verdana" w:eastAsia="Calibri" w:hAnsi="Verdana" w:cs="Arial"/>
          <w:lang w:val="es-ES_tradnl" w:eastAsia="es-ES"/>
        </w:rPr>
      </w:pPr>
    </w:p>
    <w:p w14:paraId="123FC73D" w14:textId="77777777" w:rsidR="00B97AB8" w:rsidRPr="00B97AB8" w:rsidRDefault="00B97AB8" w:rsidP="11E76B71">
      <w:pPr>
        <w:spacing w:after="120" w:line="276" w:lineRule="auto"/>
        <w:ind w:firstLine="709"/>
        <w:jc w:val="both"/>
        <w:rPr>
          <w:rFonts w:ascii="Verdana" w:eastAsia="Calibri" w:hAnsi="Verdana" w:cs="Arial"/>
          <w:lang w:val="es-ES" w:eastAsia="es-ES"/>
        </w:rPr>
      </w:pPr>
      <w:r w:rsidRPr="11E76B71">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11E76B71">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33CB2B41" w14:textId="77777777" w:rsidR="00B97AB8" w:rsidRPr="00B97AB8" w:rsidRDefault="00B97AB8" w:rsidP="00B97AB8">
      <w:pPr>
        <w:spacing w:after="0" w:line="276" w:lineRule="auto"/>
        <w:ind w:firstLine="709"/>
        <w:jc w:val="both"/>
        <w:rPr>
          <w:rFonts w:ascii="Verdana" w:eastAsia="Calibri" w:hAnsi="Verdana" w:cs="Arial"/>
          <w:lang w:val="es-ES_tradnl" w:eastAsia="es-ES"/>
        </w:rPr>
      </w:pPr>
      <w:r w:rsidRPr="00B97AB8">
        <w:rPr>
          <w:rFonts w:ascii="Verdana" w:eastAsia="Calibri" w:hAnsi="Verdana" w:cs="Arial"/>
          <w:lang w:val="es-ES_tradnl"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B97AB8">
        <w:rPr>
          <w:rFonts w:ascii="Verdana" w:eastAsia="Calibri" w:hAnsi="Verdana" w:cs="Arial"/>
          <w:lang w:val="es-ES_tradnl" w:eastAsia="es-ES"/>
        </w:rPr>
        <w:tab/>
      </w:r>
    </w:p>
    <w:p w14:paraId="14472A04" w14:textId="77777777" w:rsidR="00B97AB8" w:rsidRPr="00B97AB8" w:rsidRDefault="00B97AB8" w:rsidP="00B97AB8">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_tradnl"/>
        </w:rPr>
      </w:pPr>
      <w:r w:rsidRPr="00B97AB8">
        <w:rPr>
          <w:rFonts w:ascii="Verdana" w:eastAsia="Century Gothic" w:hAnsi="Verdana" w:cs="Century Gothic"/>
          <w:b/>
          <w:bCs/>
          <w:lang w:val="es-ES_tradnl"/>
        </w:rPr>
        <w:t>Problema planteado:</w:t>
      </w:r>
    </w:p>
    <w:p w14:paraId="0923A749" w14:textId="77777777" w:rsidR="00B97AB8" w:rsidRPr="00B97AB8" w:rsidRDefault="00B97AB8" w:rsidP="00B97AB8">
      <w:pPr>
        <w:tabs>
          <w:tab w:val="left" w:pos="426"/>
        </w:tabs>
        <w:spacing w:after="0" w:line="276" w:lineRule="auto"/>
        <w:jc w:val="both"/>
        <w:rPr>
          <w:rFonts w:ascii="Verdana" w:eastAsia="Century Gothic" w:hAnsi="Verdana" w:cs="Century Gothic"/>
          <w:lang w:val="es-ES_tradnl"/>
        </w:rPr>
      </w:pPr>
    </w:p>
    <w:p w14:paraId="37D5481A" w14:textId="77777777" w:rsidR="00B97AB8" w:rsidRPr="00B97AB8" w:rsidRDefault="00B97AB8" w:rsidP="00B97AB8">
      <w:pPr>
        <w:snapToGrid w:val="0"/>
        <w:spacing w:after="0" w:line="276" w:lineRule="auto"/>
        <w:jc w:val="both"/>
        <w:rPr>
          <w:rFonts w:ascii="Verdana" w:eastAsia="Calibri" w:hAnsi="Verdana" w:cs="Times New Roman"/>
          <w:lang w:val="es-ES_tradnl"/>
        </w:rPr>
      </w:pPr>
      <w:r w:rsidRPr="00B97AB8">
        <w:rPr>
          <w:rFonts w:ascii="Verdana" w:eastAsia="Century Gothic" w:hAnsi="Verdana" w:cs="Century Gothic"/>
          <w:lang w:val="es-ES_tradnl"/>
        </w:rPr>
        <w:t>De acuerdo con el contenido de su solicitud, esta Agencia resolverá el siguiente problema jurídico: ¿cómo se calcula el presupuesto en los documentos tipo, teniendo en cuenta el ajuste de las ofertas a pesos colombianos?</w:t>
      </w:r>
    </w:p>
    <w:p w14:paraId="0C3BEA36" w14:textId="77777777" w:rsidR="00B97AB8" w:rsidRPr="00B97AB8" w:rsidRDefault="00B97AB8" w:rsidP="00B97AB8">
      <w:pPr>
        <w:snapToGrid w:val="0"/>
        <w:spacing w:after="0" w:line="276" w:lineRule="auto"/>
        <w:jc w:val="both"/>
        <w:rPr>
          <w:rFonts w:ascii="Verdana" w:eastAsia="Calibri" w:hAnsi="Verdana" w:cs="Arial"/>
          <w:lang w:val="es-ES_tradnl"/>
        </w:rPr>
      </w:pPr>
    </w:p>
    <w:p w14:paraId="7194C825" w14:textId="77777777" w:rsidR="00B97AB8" w:rsidRPr="00B97AB8" w:rsidRDefault="00B97AB8" w:rsidP="00B97AB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B97AB8">
        <w:rPr>
          <w:rFonts w:ascii="Verdana" w:eastAsia="Century Gothic" w:hAnsi="Verdana" w:cs="Century Gothic"/>
          <w:b/>
          <w:bCs/>
          <w:lang w:val="es-ES_tradnl"/>
        </w:rPr>
        <w:t>Respuesta:</w:t>
      </w:r>
    </w:p>
    <w:p w14:paraId="73CF2BEC" w14:textId="77777777" w:rsidR="00B97AB8" w:rsidRPr="00B97AB8" w:rsidRDefault="00B97AB8" w:rsidP="00B97AB8">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97AB8" w:rsidRPr="00B97AB8" w14:paraId="2A57BAC4" w14:textId="77777777" w:rsidTr="000701C2">
        <w:tc>
          <w:tcPr>
            <w:tcW w:w="8828" w:type="dxa"/>
            <w:shd w:val="clear" w:color="auto" w:fill="auto"/>
          </w:tcPr>
          <w:p w14:paraId="6DD4FFEE" w14:textId="77777777" w:rsidR="00B97AB8" w:rsidRPr="00B97AB8" w:rsidRDefault="00B97AB8" w:rsidP="00B97AB8">
            <w:pPr>
              <w:spacing w:line="276" w:lineRule="auto"/>
              <w:jc w:val="both"/>
              <w:rPr>
                <w:rFonts w:ascii="Verdana" w:eastAsia="Calibri" w:hAnsi="Verdana" w:cs="Arial"/>
                <w:lang w:val="es-ES_tradnl"/>
              </w:rPr>
            </w:pPr>
            <w:r w:rsidRPr="00B97AB8">
              <w:rPr>
                <w:rFonts w:ascii="Verdana" w:eastAsia="Calibri" w:hAnsi="Verdana" w:cs="Arial"/>
                <w:lang w:val="es-MX"/>
              </w:rPr>
              <w:t>En desarrollo del principio de</w:t>
            </w:r>
            <w:r w:rsidRPr="00B97AB8">
              <w:rPr>
                <w:rFonts w:ascii="Verdana" w:eastAsia="Calibri" w:hAnsi="Verdana" w:cs="Arial"/>
                <w:lang w:val="es-ES_tradnl"/>
              </w:rPr>
              <w:t xml:space="preserv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w:t>
            </w:r>
          </w:p>
          <w:p w14:paraId="1F6B4FC3" w14:textId="77777777" w:rsidR="00B97AB8" w:rsidRPr="00B97AB8" w:rsidRDefault="00B97AB8" w:rsidP="00B97AB8">
            <w:pPr>
              <w:snapToGrid w:val="0"/>
              <w:spacing w:line="276" w:lineRule="auto"/>
              <w:jc w:val="both"/>
              <w:rPr>
                <w:rFonts w:ascii="Verdana" w:eastAsia="Calibri" w:hAnsi="Verdana" w:cs="Arial"/>
                <w:lang w:val="es-ES_tradnl"/>
              </w:rPr>
            </w:pPr>
          </w:p>
          <w:p w14:paraId="72DFC0E1" w14:textId="77777777" w:rsidR="00B97AB8" w:rsidRPr="00B97AB8" w:rsidRDefault="00B97AB8" w:rsidP="00B97AB8">
            <w:pPr>
              <w:snapToGrid w:val="0"/>
              <w:spacing w:line="276" w:lineRule="auto"/>
              <w:jc w:val="both"/>
              <w:rPr>
                <w:rFonts w:ascii="Verdana" w:eastAsia="Calibri" w:hAnsi="Verdana" w:cs="Arial"/>
                <w:lang w:val="es-ES_tradnl"/>
              </w:rPr>
            </w:pPr>
            <w:r w:rsidRPr="00B97AB8">
              <w:rPr>
                <w:rFonts w:ascii="Verdana" w:eastAsia="Calibri" w:hAnsi="Verdana" w:cs="Arial"/>
                <w:lang w:val="es-ES_tradnl"/>
              </w:rPr>
              <w:t xml:space="preserve">Teniendo en cuenta los documentos tipo de infraestructura de transporte, el numeral “4.1. OFERTA ECONÓMICA” del Documento Base establece que las propuestas deberán ser presentadas en </w:t>
            </w:r>
            <w:r w:rsidRPr="00B97AB8">
              <w:rPr>
                <w:rFonts w:ascii="Verdana" w:eastAsia="Calibri" w:hAnsi="Verdana" w:cs="Arial"/>
                <w:i/>
                <w:iCs/>
                <w:lang w:val="es-ES_tradnl"/>
              </w:rPr>
              <w:t>pesos colombianos</w:t>
            </w:r>
            <w:r w:rsidRPr="00B97AB8">
              <w:rPr>
                <w:rFonts w:ascii="Verdana" w:eastAsia="Calibri" w:hAnsi="Verdana" w:cs="Arial"/>
                <w:lang w:val="es-ES_tradnl"/>
              </w:rPr>
              <w:t>, debido a que esta corresponde a la unidad monetaria del país. Así mismo, la oferta deberá contemplar todos los costos directos e indirectos para la completa y adecuada ejecución de la obra del proceso.</w:t>
            </w:r>
          </w:p>
          <w:p w14:paraId="0CF77E2A" w14:textId="77777777" w:rsidR="00B97AB8" w:rsidRPr="00B97AB8" w:rsidRDefault="00B97AB8" w:rsidP="00B97AB8">
            <w:pPr>
              <w:spacing w:line="276" w:lineRule="auto"/>
              <w:jc w:val="both"/>
              <w:rPr>
                <w:rFonts w:ascii="Verdana" w:eastAsia="Calibri" w:hAnsi="Verdana" w:cs="Arial"/>
                <w:lang w:val="es-ES_tradnl"/>
              </w:rPr>
            </w:pPr>
          </w:p>
          <w:p w14:paraId="0DAFBFA4" w14:textId="77777777" w:rsidR="00B97AB8" w:rsidRPr="00B97AB8" w:rsidRDefault="00B97AB8" w:rsidP="00B97AB8">
            <w:pPr>
              <w:spacing w:line="276" w:lineRule="auto"/>
              <w:jc w:val="both"/>
              <w:rPr>
                <w:rFonts w:ascii="Verdana" w:eastAsia="Calibri" w:hAnsi="Verdana" w:cs="Arial"/>
                <w:lang w:val="es-MX"/>
              </w:rPr>
            </w:pPr>
            <w:r w:rsidRPr="00B97AB8">
              <w:rPr>
                <w:rFonts w:ascii="Verdana" w:eastAsia="Calibri" w:hAnsi="Verdana" w:cs="Arial"/>
                <w:lang w:val="es-ES_tradnl"/>
              </w:rPr>
              <w:lastRenderedPageBreak/>
              <w:t>Además, el numeral “4.1.2. CORRECCIONES ARITMÉTICAS” contempla que la entidad estatal efectuará correcciones aritméticas originadas por, entre otras, el ajuste al peso ya sea por exceso o por defecto de los precios unitarios contenidos en la propuesta económica y del valor del IVA. En este caso, cuando la fracción decimal del peso sea igual o superior a punto cinco (0.5) se aproximará por exceso al número entero siguiente del peso, y cuando la fracción decimal del peso sea inferior a punto cinco (0.5) se aproximará por defecto al número entero.</w:t>
            </w:r>
          </w:p>
        </w:tc>
      </w:tr>
    </w:tbl>
    <w:p w14:paraId="02A4AFEC" w14:textId="77777777" w:rsidR="00B97AB8" w:rsidRPr="00B97AB8" w:rsidRDefault="00B97AB8" w:rsidP="00B97AB8">
      <w:pPr>
        <w:tabs>
          <w:tab w:val="left" w:pos="142"/>
          <w:tab w:val="left" w:pos="284"/>
        </w:tabs>
        <w:snapToGrid w:val="0"/>
        <w:spacing w:after="0" w:line="276" w:lineRule="auto"/>
        <w:jc w:val="both"/>
        <w:rPr>
          <w:rFonts w:ascii="Verdana" w:eastAsia="Century Gothic" w:hAnsi="Verdana" w:cs="Century Gothic"/>
          <w:b/>
          <w:bCs/>
          <w:lang w:val="es-ES_tradnl"/>
        </w:rPr>
      </w:pPr>
    </w:p>
    <w:p w14:paraId="02FDA57D" w14:textId="77777777" w:rsidR="00B97AB8" w:rsidRPr="00B97AB8" w:rsidRDefault="00B97AB8" w:rsidP="00B97AB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B97AB8">
        <w:rPr>
          <w:rFonts w:ascii="Verdana" w:eastAsia="Century Gothic" w:hAnsi="Verdana" w:cs="Century Gothic"/>
          <w:b/>
          <w:bCs/>
          <w:lang w:val="es-ES_tradnl"/>
        </w:rPr>
        <w:t>Razones de la respuesta:</w:t>
      </w:r>
    </w:p>
    <w:p w14:paraId="57C25B17" w14:textId="77777777" w:rsidR="00B97AB8" w:rsidRPr="00B97AB8" w:rsidRDefault="00B97AB8" w:rsidP="00B97AB8">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562D7869" w14:textId="77777777" w:rsidR="00B97AB8" w:rsidRPr="00B97AB8" w:rsidRDefault="00B97AB8" w:rsidP="00B97AB8">
      <w:pPr>
        <w:snapToGrid w:val="0"/>
        <w:spacing w:after="0" w:line="276" w:lineRule="auto"/>
        <w:jc w:val="both"/>
        <w:rPr>
          <w:rFonts w:ascii="Verdana" w:eastAsia="Calibri" w:hAnsi="Verdana" w:cs="Arial"/>
          <w:lang w:val="es-ES_tradnl"/>
        </w:rPr>
      </w:pPr>
      <w:r w:rsidRPr="00B97AB8">
        <w:rPr>
          <w:rFonts w:ascii="Verdana" w:eastAsia="Calibri" w:hAnsi="Verdana" w:cs="Arial"/>
          <w:lang w:val="es-ES_tradnl"/>
        </w:rPr>
        <w:t xml:space="preserve">Lo anterior se sustenta en las siguientes consideraciones: </w:t>
      </w:r>
    </w:p>
    <w:p w14:paraId="29713E65" w14:textId="77777777" w:rsidR="00B97AB8" w:rsidRPr="00B97AB8" w:rsidRDefault="00B97AB8" w:rsidP="00B97AB8">
      <w:pPr>
        <w:snapToGrid w:val="0"/>
        <w:spacing w:after="0" w:line="276" w:lineRule="auto"/>
        <w:jc w:val="both"/>
        <w:rPr>
          <w:rFonts w:ascii="Verdana" w:eastAsia="Calibri" w:hAnsi="Verdana" w:cs="Arial"/>
          <w:lang w:val="es-ES_tradnl"/>
        </w:rPr>
      </w:pPr>
    </w:p>
    <w:p w14:paraId="787371E5" w14:textId="77777777" w:rsidR="00B97AB8" w:rsidRPr="00B97AB8" w:rsidRDefault="00B97AB8" w:rsidP="00B97AB8">
      <w:pPr>
        <w:numPr>
          <w:ilvl w:val="0"/>
          <w:numId w:val="18"/>
        </w:numPr>
        <w:snapToGrid w:val="0"/>
        <w:spacing w:after="0" w:line="276" w:lineRule="auto"/>
        <w:contextualSpacing/>
        <w:jc w:val="both"/>
        <w:rPr>
          <w:rFonts w:ascii="Verdana" w:eastAsia="Calibri" w:hAnsi="Verdana" w:cs="Arial"/>
          <w:lang w:val="es-ES_tradnl"/>
        </w:rPr>
      </w:pPr>
      <w:r w:rsidRPr="00B97AB8">
        <w:rPr>
          <w:rFonts w:ascii="Verdana" w:eastAsia="Calibri" w:hAnsi="Verdana" w:cs="Arial"/>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7FE549C9" w14:textId="77777777" w:rsidR="00B97AB8" w:rsidRPr="00B97AB8" w:rsidRDefault="00B97AB8" w:rsidP="00B97AB8">
      <w:pPr>
        <w:snapToGrid w:val="0"/>
        <w:spacing w:after="0" w:line="276" w:lineRule="auto"/>
        <w:jc w:val="both"/>
        <w:rPr>
          <w:rFonts w:ascii="Verdana" w:eastAsia="Calibri" w:hAnsi="Verdana" w:cs="Arial"/>
          <w:lang w:val="es-ES_tradnl"/>
        </w:rPr>
      </w:pPr>
    </w:p>
    <w:p w14:paraId="1A4C9DEE" w14:textId="77777777" w:rsidR="00B97AB8" w:rsidRPr="00B97AB8" w:rsidRDefault="00B97AB8" w:rsidP="00B97AB8">
      <w:pPr>
        <w:numPr>
          <w:ilvl w:val="0"/>
          <w:numId w:val="18"/>
        </w:numPr>
        <w:snapToGrid w:val="0"/>
        <w:spacing w:after="0" w:line="276" w:lineRule="auto"/>
        <w:contextualSpacing/>
        <w:jc w:val="both"/>
        <w:rPr>
          <w:rFonts w:ascii="Verdana" w:eastAsia="Calibri" w:hAnsi="Verdana" w:cs="Arial"/>
          <w:lang w:val="es-ES_tradnl"/>
        </w:rPr>
      </w:pPr>
      <w:r w:rsidRPr="00B97AB8">
        <w:rPr>
          <w:rFonts w:ascii="Verdana" w:eastAsia="Calibri" w:hAnsi="Verdana" w:cs="Arial"/>
          <w:lang w:val="es-ES_tradnl"/>
        </w:rPr>
        <w:t>Por su parte, el precio es el “valor pecuniario en que se estima algo”</w:t>
      </w:r>
      <w:r w:rsidRPr="00B97AB8">
        <w:rPr>
          <w:rFonts w:ascii="Verdana" w:eastAsia="Calibri" w:hAnsi="Verdana" w:cs="Arial"/>
          <w:vertAlign w:val="superscript"/>
          <w:lang w:val="es-ES_tradnl"/>
        </w:rPr>
        <w:footnoteReference w:id="1"/>
      </w:r>
      <w:r w:rsidRPr="00B97AB8">
        <w:rPr>
          <w:rFonts w:ascii="Verdana" w:eastAsia="Calibri" w:hAnsi="Verdana" w:cs="Arial"/>
          <w:lang w:val="es-ES_tradnl"/>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14:paraId="08537B52" w14:textId="77777777" w:rsidR="00B97AB8" w:rsidRPr="00B97AB8" w:rsidRDefault="00B97AB8" w:rsidP="00B97AB8">
      <w:pPr>
        <w:snapToGrid w:val="0"/>
        <w:spacing w:after="0" w:line="276" w:lineRule="auto"/>
        <w:jc w:val="both"/>
        <w:rPr>
          <w:rFonts w:ascii="Verdana" w:eastAsia="Calibri" w:hAnsi="Verdana" w:cs="Arial"/>
          <w:lang w:val="es-ES_tradnl"/>
        </w:rPr>
      </w:pPr>
    </w:p>
    <w:p w14:paraId="05AEB3B0"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“[Artículo 1849 del Código Civil]: La compraventa es un contrato en que una de las partes se obliga a dar una cosa y la otra a pagarla en dinero. Aquella se dice vender y esta comprar. El dinero que el comprador da por la cosa vendida se llama precio.”</w:t>
      </w:r>
    </w:p>
    <w:p w14:paraId="1A301193"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p>
    <w:p w14:paraId="411EF571"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“[Artículo 905 del Código de Comercio]: La compraventa es un contrato en que una de las partes se obliga a trasmitir la propiedad de una cosa y la otra a pagarla en dinero. El dinero que el comprador da por la cosa vendida se llama precio.”</w:t>
      </w:r>
    </w:p>
    <w:p w14:paraId="5BBABD00" w14:textId="77777777" w:rsidR="00B97AB8" w:rsidRPr="00B97AB8" w:rsidRDefault="00B97AB8" w:rsidP="00B97AB8">
      <w:pPr>
        <w:snapToGrid w:val="0"/>
        <w:spacing w:after="0" w:line="276" w:lineRule="auto"/>
        <w:jc w:val="both"/>
        <w:rPr>
          <w:rFonts w:ascii="Verdana" w:eastAsia="Calibri" w:hAnsi="Verdana" w:cs="Arial"/>
          <w:lang w:val="es-ES_tradnl"/>
        </w:rPr>
      </w:pPr>
    </w:p>
    <w:p w14:paraId="25F197BF" w14:textId="77777777" w:rsidR="00B97AB8" w:rsidRPr="00B97AB8" w:rsidRDefault="00B97AB8" w:rsidP="00B97AB8">
      <w:pPr>
        <w:numPr>
          <w:ilvl w:val="0"/>
          <w:numId w:val="19"/>
        </w:numPr>
        <w:snapToGrid w:val="0"/>
        <w:spacing w:after="0" w:line="276" w:lineRule="auto"/>
        <w:contextualSpacing/>
        <w:jc w:val="both"/>
        <w:rPr>
          <w:rFonts w:ascii="Verdana" w:eastAsia="Calibri" w:hAnsi="Verdana" w:cs="Arial"/>
          <w:lang w:val="es-ES_tradnl"/>
        </w:rPr>
      </w:pPr>
      <w:r w:rsidRPr="00B97AB8">
        <w:rPr>
          <w:rFonts w:ascii="Verdana" w:eastAsia="Calibri" w:hAnsi="Verdana" w:cs="Arial"/>
          <w:lang w:val="es-ES_tradnl"/>
        </w:rPr>
        <w:t>Como es sabido, uno de los elementos de los contratos estatales es el precio, que por lo general se identifica con el valor del contrato. Aunque no todo contrato lo incluye –pues también existen negocios gratuitos–, lo usual es que los contratos estatales se perfeccionen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contraprestación por la ejecución de las obligaciones de dar, hacer o no hacer previstas a su cargo en el contrato. El precio, entonces, es el valor que se da por el objeto, generalmente en dinero, que debe ser determinado o determinable</w:t>
      </w:r>
      <w:r w:rsidRPr="00B97AB8">
        <w:rPr>
          <w:rFonts w:ascii="Verdana" w:eastAsia="Calibri" w:hAnsi="Verdana" w:cs="Arial"/>
          <w:vertAlign w:val="superscript"/>
          <w:lang w:val="es-ES_tradnl"/>
        </w:rPr>
        <w:footnoteReference w:id="2"/>
      </w:r>
      <w:r w:rsidRPr="00B97AB8">
        <w:rPr>
          <w:rFonts w:ascii="Verdana" w:eastAsia="Calibri" w:hAnsi="Verdana" w:cs="Arial"/>
          <w:lang w:val="es-ES_tradnl"/>
        </w:rPr>
        <w:t>, en los términos de los artículos 1864 y 1865 del Código Civil y, de manera general, está compuesto por dos elementos: los costos y la utilidad, cuya estructuración interna depende de las condiciones técnicas, financieras, regulatorias, etc. de cada contrato</w:t>
      </w:r>
      <w:r w:rsidRPr="00B97AB8">
        <w:rPr>
          <w:rFonts w:ascii="Verdana" w:eastAsia="Calibri" w:hAnsi="Verdana" w:cs="Arial"/>
          <w:vertAlign w:val="superscript"/>
          <w:lang w:val="es-ES_tradnl"/>
        </w:rPr>
        <w:footnoteReference w:id="3"/>
      </w:r>
      <w:r w:rsidRPr="00B97AB8">
        <w:rPr>
          <w:rFonts w:ascii="Verdana" w:eastAsia="Calibri" w:hAnsi="Verdana" w:cs="Arial"/>
          <w:lang w:val="es-ES_tradnl"/>
        </w:rPr>
        <w:t>.</w:t>
      </w:r>
    </w:p>
    <w:p w14:paraId="40573FB2" w14:textId="77777777" w:rsidR="00B97AB8" w:rsidRPr="00B97AB8" w:rsidRDefault="00B97AB8" w:rsidP="00B97AB8">
      <w:pPr>
        <w:snapToGrid w:val="0"/>
        <w:spacing w:after="0" w:line="276" w:lineRule="auto"/>
        <w:jc w:val="both"/>
        <w:rPr>
          <w:rFonts w:ascii="Verdana" w:eastAsia="Calibri" w:hAnsi="Verdana" w:cs="Arial"/>
          <w:lang w:val="es-ES_tradnl"/>
        </w:rPr>
      </w:pPr>
    </w:p>
    <w:p w14:paraId="6E336A2D" w14:textId="77777777" w:rsidR="00B97AB8" w:rsidRPr="00B97AB8" w:rsidRDefault="00B97AB8" w:rsidP="643C1A59">
      <w:pPr>
        <w:numPr>
          <w:ilvl w:val="0"/>
          <w:numId w:val="19"/>
        </w:numPr>
        <w:snapToGrid w:val="0"/>
        <w:spacing w:after="0" w:line="276" w:lineRule="auto"/>
        <w:contextualSpacing/>
        <w:jc w:val="both"/>
        <w:rPr>
          <w:rFonts w:ascii="Verdana" w:eastAsia="Calibri" w:hAnsi="Verdana" w:cs="Arial"/>
          <w:lang w:val="es-ES"/>
        </w:rPr>
      </w:pPr>
      <w:r w:rsidRPr="643C1A59">
        <w:rPr>
          <w:rFonts w:ascii="Verdana" w:eastAsia="Calibri" w:hAnsi="Verdana" w:cs="Arial"/>
          <w:lang w:val="es-ES"/>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643C1A59">
        <w:rPr>
          <w:rFonts w:ascii="Verdana" w:eastAsia="Calibri" w:hAnsi="Verdana" w:cs="Arial"/>
          <w:vertAlign w:val="superscript"/>
          <w:lang w:val="es-ES"/>
        </w:rPr>
        <w:footnoteReference w:id="4"/>
      </w:r>
      <w:r w:rsidRPr="643C1A59">
        <w:rPr>
          <w:rFonts w:ascii="Verdana" w:eastAsia="Calibri" w:hAnsi="Verdana" w:cs="Arial"/>
          <w:lang w:val="es-ES"/>
        </w:rPr>
        <w:t xml:space="preserve">. No </w:t>
      </w:r>
      <w:r w:rsidRPr="643C1A59">
        <w:rPr>
          <w:rFonts w:ascii="Verdana" w:eastAsia="Calibri" w:hAnsi="Verdana" w:cs="Arial"/>
          <w:lang w:val="es-ES"/>
        </w:rPr>
        <w:lastRenderedPageBreak/>
        <w:t>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457D2A5F" w14:textId="77777777" w:rsidR="00B97AB8" w:rsidRPr="00B97AB8" w:rsidRDefault="00B97AB8" w:rsidP="00B97AB8">
      <w:pPr>
        <w:snapToGrid w:val="0"/>
        <w:spacing w:after="0" w:line="276" w:lineRule="auto"/>
        <w:jc w:val="both"/>
        <w:rPr>
          <w:rFonts w:ascii="Verdana" w:eastAsia="Calibri" w:hAnsi="Verdana" w:cs="Arial"/>
          <w:lang w:val="es-ES_tradnl"/>
        </w:rPr>
      </w:pPr>
    </w:p>
    <w:p w14:paraId="6DCF593F" w14:textId="77777777" w:rsidR="00B97AB8" w:rsidRPr="00B97AB8" w:rsidRDefault="00B97AB8" w:rsidP="00B97AB8">
      <w:pPr>
        <w:numPr>
          <w:ilvl w:val="0"/>
          <w:numId w:val="19"/>
        </w:numPr>
        <w:snapToGrid w:val="0"/>
        <w:spacing w:after="0" w:line="276" w:lineRule="auto"/>
        <w:contextualSpacing/>
        <w:jc w:val="both"/>
        <w:rPr>
          <w:rFonts w:ascii="Verdana" w:eastAsia="Calibri" w:hAnsi="Verdana" w:cs="Arial"/>
          <w:lang w:val="es-ES_tradnl"/>
        </w:rPr>
      </w:pPr>
      <w:r w:rsidRPr="00B97AB8">
        <w:rPr>
          <w:rFonts w:ascii="Verdana" w:eastAsia="Calibri" w:hAnsi="Verdana" w:cs="Arial"/>
          <w:lang w:val="es-ES_tradnl"/>
        </w:rPr>
        <w:t xml:space="preserve">En ciertos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B97AB8">
        <w:rPr>
          <w:rFonts w:ascii="Verdana" w:eastAsia="Calibri" w:hAnsi="Verdana" w:cs="Arial"/>
          <w:i/>
          <w:iCs/>
          <w:lang w:val="es-ES_tradnl"/>
        </w:rPr>
        <w:t>ítems</w:t>
      </w:r>
      <w:r w:rsidRPr="00B97AB8">
        <w:rPr>
          <w:rFonts w:ascii="Verdana" w:eastAsia="Calibri" w:hAnsi="Verdana" w:cs="Arial"/>
          <w:lang w:val="es-ES_tradnl"/>
        </w:rPr>
        <w:t xml:space="preserve"> según su unidad de medida y cantidades, los costos indirectos se suelen abreviar en las variables que integran el acrónimo AIU –Administración, Imprevistos y Utilidad–, que se calcula como un porcentaje aplicado a los costos directos.</w:t>
      </w:r>
    </w:p>
    <w:p w14:paraId="469FC4D1" w14:textId="77777777" w:rsidR="00B97AB8" w:rsidRPr="00B97AB8" w:rsidRDefault="00B97AB8" w:rsidP="00B97AB8">
      <w:pPr>
        <w:snapToGrid w:val="0"/>
        <w:spacing w:after="0" w:line="276" w:lineRule="auto"/>
        <w:jc w:val="both"/>
        <w:rPr>
          <w:rFonts w:ascii="Verdana" w:eastAsia="Calibri" w:hAnsi="Verdana" w:cs="Arial"/>
          <w:lang w:val="es-ES_tradnl"/>
        </w:rPr>
      </w:pPr>
    </w:p>
    <w:p w14:paraId="7A4E545F" w14:textId="77777777" w:rsidR="00B97AB8" w:rsidRPr="00B97AB8" w:rsidRDefault="00B97AB8" w:rsidP="00B97AB8">
      <w:pPr>
        <w:numPr>
          <w:ilvl w:val="0"/>
          <w:numId w:val="19"/>
        </w:numPr>
        <w:snapToGrid w:val="0"/>
        <w:spacing w:after="0" w:line="276" w:lineRule="auto"/>
        <w:contextualSpacing/>
        <w:jc w:val="both"/>
        <w:rPr>
          <w:rFonts w:ascii="Verdana" w:eastAsia="Calibri" w:hAnsi="Verdana" w:cs="Arial"/>
          <w:lang w:val="es-ES_tradnl"/>
        </w:rPr>
      </w:pPr>
      <w:r w:rsidRPr="00B97AB8">
        <w:rPr>
          <w:rFonts w:ascii="Verdana" w:eastAsia="Calibri" w:hAnsi="Verdana" w:cs="Arial"/>
          <w:lang w:val="es-ES_tradnl"/>
        </w:rPr>
        <w:t xml:space="preserve">Así pues, ni el sistema de precios unitarios –como metodología de estipulación del valor contractual–, ni el concepto de AIU, ni mucho menos </w:t>
      </w:r>
      <w:r w:rsidRPr="00B97AB8">
        <w:rPr>
          <w:rFonts w:ascii="Verdana" w:eastAsia="Calibri" w:hAnsi="Verdana" w:cs="Arial"/>
          <w:lang w:val="es-ES_tradnl"/>
        </w:rPr>
        <w:lastRenderedPageBreak/>
        <w:t>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B97AB8">
        <w:rPr>
          <w:rFonts w:ascii="Verdana" w:eastAsia="Calibri" w:hAnsi="Verdana" w:cs="Arial"/>
          <w:vertAlign w:val="superscript"/>
          <w:lang w:val="es-ES_tradnl"/>
        </w:rPr>
        <w:footnoteReference w:id="5"/>
      </w:r>
      <w:r w:rsidRPr="00B97AB8">
        <w:rPr>
          <w:rFonts w:ascii="Verdana" w:eastAsia="Calibri" w:hAnsi="Verdana" w:cs="Arial"/>
          <w:lang w:val="es-ES_tradnl"/>
        </w:rPr>
        <w:t>. De otro lado, en principio quien define el valor de cada</w:t>
      </w:r>
      <w:r w:rsidRPr="00B97AB8">
        <w:rPr>
          <w:rFonts w:ascii="Verdana" w:eastAsia="Calibri" w:hAnsi="Verdana" w:cs="Arial"/>
          <w:i/>
          <w:iCs/>
          <w:lang w:val="es-ES_tradnl"/>
        </w:rPr>
        <w:t xml:space="preserve"> letra</w:t>
      </w:r>
      <w:r w:rsidRPr="00B97AB8">
        <w:rPr>
          <w:rFonts w:ascii="Verdana" w:eastAsia="Calibri" w:hAnsi="Verdana" w:cs="Arial"/>
          <w:lang w:val="es-ES_tradnl"/>
        </w:rPr>
        <w:t xml:space="preserve"> –AIU– es el proponente, pues goza de libertad empresarial para hacerlo en la elaboración de su oferta</w:t>
      </w:r>
      <w:r w:rsidRPr="00B97AB8">
        <w:rPr>
          <w:rFonts w:ascii="Verdana" w:eastAsia="Calibri" w:hAnsi="Verdana" w:cs="Arial"/>
          <w:vertAlign w:val="superscript"/>
          <w:lang w:val="es-ES_tradnl"/>
        </w:rPr>
        <w:footnoteReference w:id="6"/>
      </w:r>
      <w:r w:rsidRPr="00B97AB8">
        <w:rPr>
          <w:rFonts w:ascii="Verdana" w:eastAsia="Calibri" w:hAnsi="Verdana" w:cs="Arial"/>
          <w:lang w:val="es-ES_tradnl"/>
        </w:rPr>
        <w:t>.</w:t>
      </w:r>
    </w:p>
    <w:p w14:paraId="2A07C789" w14:textId="77777777" w:rsidR="00B97AB8" w:rsidRPr="00B97AB8" w:rsidRDefault="00B97AB8" w:rsidP="00B97AB8">
      <w:pPr>
        <w:snapToGrid w:val="0"/>
        <w:spacing w:after="0" w:line="276" w:lineRule="auto"/>
        <w:jc w:val="both"/>
        <w:rPr>
          <w:rFonts w:ascii="Verdana" w:eastAsia="Calibri" w:hAnsi="Verdana" w:cs="Arial"/>
          <w:lang w:val="es-ES_tradnl"/>
        </w:rPr>
      </w:pPr>
    </w:p>
    <w:p w14:paraId="077E928A" w14:textId="77777777" w:rsidR="00B97AB8" w:rsidRPr="00B97AB8" w:rsidRDefault="00B97AB8" w:rsidP="643C1A59">
      <w:pPr>
        <w:numPr>
          <w:ilvl w:val="0"/>
          <w:numId w:val="19"/>
        </w:numPr>
        <w:snapToGrid w:val="0"/>
        <w:spacing w:after="0" w:line="276" w:lineRule="auto"/>
        <w:contextualSpacing/>
        <w:jc w:val="both"/>
        <w:rPr>
          <w:rFonts w:ascii="Verdana" w:eastAsia="Calibri" w:hAnsi="Verdana" w:cs="Arial"/>
          <w:lang w:val="es-ES"/>
        </w:rPr>
      </w:pPr>
      <w:r w:rsidRPr="643C1A59">
        <w:rPr>
          <w:rFonts w:ascii="Verdana" w:eastAsia="Calibri" w:hAnsi="Verdana" w:cs="Arial"/>
          <w:lang w:val="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estatal, respetando los límites previstos en el ordenamiento jurídico. En tal perspectiva, cuentan con discrecionalidad para establecer en el pliego de condiciones o en su documento equivalente, así como en el contrato, el sistema de precios que la entidad considere pertinente para el proceso contractual.</w:t>
      </w:r>
    </w:p>
    <w:p w14:paraId="1DC85B5A" w14:textId="77777777" w:rsidR="00B97AB8" w:rsidRPr="00B97AB8" w:rsidRDefault="00B97AB8" w:rsidP="00B97AB8">
      <w:pPr>
        <w:snapToGrid w:val="0"/>
        <w:spacing w:after="0" w:line="276" w:lineRule="auto"/>
        <w:jc w:val="both"/>
        <w:rPr>
          <w:rFonts w:ascii="Verdana" w:eastAsia="Calibri" w:hAnsi="Verdana" w:cs="Arial"/>
          <w:lang w:val="es-ES_tradnl"/>
        </w:rPr>
      </w:pPr>
    </w:p>
    <w:p w14:paraId="2A654D69" w14:textId="77777777" w:rsidR="00B97AB8" w:rsidRPr="00B97AB8" w:rsidRDefault="00B97AB8" w:rsidP="00B97AB8">
      <w:pPr>
        <w:numPr>
          <w:ilvl w:val="0"/>
          <w:numId w:val="19"/>
        </w:numPr>
        <w:snapToGrid w:val="0"/>
        <w:spacing w:after="0" w:line="276" w:lineRule="auto"/>
        <w:contextualSpacing/>
        <w:jc w:val="both"/>
        <w:rPr>
          <w:rFonts w:ascii="Verdana" w:eastAsia="Calibri" w:hAnsi="Verdana" w:cs="Arial"/>
          <w:lang w:val="es-ES_tradnl"/>
        </w:rPr>
      </w:pPr>
      <w:r w:rsidRPr="00B97AB8">
        <w:rPr>
          <w:rFonts w:ascii="Verdana" w:eastAsia="Calibri" w:hAnsi="Verdana" w:cs="Arial"/>
          <w:lang w:val="es-ES_tradnl"/>
        </w:rPr>
        <w:t>Por otra parte, teniendo en cuenta el objeto de su consulta y tomando como referencia los documentos tipo de licitación de obra pública de infraestructura de transporte, es importante señalar que, el numeral “4.1. OFERTA ECONÓMICA” del Documento Base de los documentos tipo de infraestructura de transporte, indica que:</w:t>
      </w:r>
    </w:p>
    <w:p w14:paraId="0B577416" w14:textId="77777777" w:rsidR="00B97AB8" w:rsidRPr="00B97AB8" w:rsidRDefault="00B97AB8" w:rsidP="00B97AB8">
      <w:pPr>
        <w:snapToGrid w:val="0"/>
        <w:spacing w:after="0" w:line="276" w:lineRule="auto"/>
        <w:jc w:val="both"/>
        <w:rPr>
          <w:rFonts w:ascii="Verdana" w:eastAsia="Calibri" w:hAnsi="Verdana" w:cs="Arial"/>
          <w:lang w:val="es-ES_tradnl"/>
        </w:rPr>
      </w:pPr>
    </w:p>
    <w:p w14:paraId="350D39A6"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w:t>
      </w:r>
    </w:p>
    <w:p w14:paraId="57695DFC"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El valor de la propuesta económica debe presentarse en pesos colombianos y contemplar todos los costos directos e indirectos para la completa y adecuada ejecución de la obra del presente proceso, los riesgos y la administración de estos.</w:t>
      </w:r>
    </w:p>
    <w:p w14:paraId="00476DBC"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 xml:space="preserve"> </w:t>
      </w:r>
    </w:p>
    <w:p w14:paraId="4F4968F6"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 xml:space="preserve">Al formular la oferta, el proponente acepta que estarán a su cargo todos los impuestos, tasas y contribuciones establecidos por las diferentes autoridades nacionales, departamentales o municipales y </w:t>
      </w:r>
      <w:r w:rsidRPr="00B97AB8">
        <w:rPr>
          <w:rFonts w:ascii="Verdana" w:eastAsia="Calibri" w:hAnsi="Verdana" w:cs="Arial"/>
          <w:sz w:val="21"/>
          <w:szCs w:val="21"/>
          <w:lang w:val="es-ES_tradnl"/>
        </w:rPr>
        <w:lastRenderedPageBreak/>
        <w:t>dentro de estos mismos niveles territoriales, los impuestos, tasas y contribuciones establecidos por las diferentes autoridades.</w:t>
      </w:r>
    </w:p>
    <w:p w14:paraId="4E4C90E4"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 xml:space="preserve"> </w:t>
      </w:r>
    </w:p>
    <w:p w14:paraId="6A5F55CA"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Los estimativos técnicos que hagan los proponentes para la presentación de sus ofertas deben tener en cuenta que la ejecución del contrato se regirá íntegramente por lo previsto en los documentos del proceso y que en sus cálculos económicos deben incluir todos los aspectos y requerimientos necesarios para cumplir con todas las obligaciones contractuales y asumir los riesgos previstos en dichos documentos</w:t>
      </w:r>
    </w:p>
    <w:p w14:paraId="666B13DA"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w:t>
      </w:r>
    </w:p>
    <w:p w14:paraId="34E57A7F" w14:textId="77777777" w:rsidR="00B97AB8" w:rsidRPr="00B97AB8" w:rsidRDefault="00B97AB8" w:rsidP="00B97AB8">
      <w:pPr>
        <w:snapToGrid w:val="0"/>
        <w:spacing w:after="0" w:line="276" w:lineRule="auto"/>
        <w:jc w:val="both"/>
        <w:rPr>
          <w:rFonts w:ascii="Verdana" w:eastAsia="Calibri" w:hAnsi="Verdana" w:cs="Arial"/>
          <w:lang w:val="es-ES_tradnl"/>
        </w:rPr>
      </w:pPr>
    </w:p>
    <w:p w14:paraId="62992DFB" w14:textId="77777777" w:rsidR="00B97AB8" w:rsidRPr="00B97AB8" w:rsidRDefault="00B97AB8" w:rsidP="11E76B71">
      <w:pPr>
        <w:numPr>
          <w:ilvl w:val="0"/>
          <w:numId w:val="20"/>
        </w:numPr>
        <w:snapToGrid w:val="0"/>
        <w:spacing w:after="0" w:line="276" w:lineRule="auto"/>
        <w:contextualSpacing/>
        <w:jc w:val="both"/>
        <w:rPr>
          <w:rFonts w:ascii="Verdana" w:eastAsia="Calibri" w:hAnsi="Verdana" w:cs="Arial"/>
          <w:lang w:val="es-ES"/>
        </w:rPr>
      </w:pPr>
      <w:r w:rsidRPr="11E76B71">
        <w:rPr>
          <w:rFonts w:ascii="Verdana" w:eastAsia="Calibri" w:hAnsi="Verdana" w:cs="Arial"/>
          <w:lang w:val="es-ES"/>
        </w:rPr>
        <w:t xml:space="preserve">Como se indica en el párrafo anterior, las propuestas deberán ser presentadas en </w:t>
      </w:r>
      <w:r w:rsidRPr="11E76B71">
        <w:rPr>
          <w:rFonts w:ascii="Verdana" w:eastAsia="Calibri" w:hAnsi="Verdana" w:cs="Arial"/>
          <w:i/>
          <w:iCs/>
          <w:lang w:val="es-ES"/>
        </w:rPr>
        <w:t>pesos colombianos</w:t>
      </w:r>
      <w:r w:rsidRPr="11E76B71">
        <w:rPr>
          <w:rFonts w:ascii="Verdana" w:eastAsia="Calibri" w:hAnsi="Verdana" w:cs="Arial"/>
          <w:lang w:val="es-ES"/>
        </w:rPr>
        <w:t>, debido a que esta corresponde a la unidad monetaria del país. Así mismo, la oferta deberá contemplar todos los costos directos e indirectos para la completa y adecuada ejecución de la obra del proceso.</w:t>
      </w:r>
    </w:p>
    <w:p w14:paraId="2985D9D7" w14:textId="77777777" w:rsidR="00B97AB8" w:rsidRPr="00B97AB8" w:rsidRDefault="00B97AB8" w:rsidP="00B97AB8">
      <w:pPr>
        <w:snapToGrid w:val="0"/>
        <w:spacing w:after="0" w:line="276" w:lineRule="auto"/>
        <w:jc w:val="both"/>
        <w:rPr>
          <w:rFonts w:ascii="Verdana" w:eastAsia="Calibri" w:hAnsi="Verdana" w:cs="Arial"/>
          <w:lang w:val="es-ES_tradnl"/>
        </w:rPr>
      </w:pPr>
      <w:r w:rsidRPr="00B97AB8">
        <w:rPr>
          <w:rFonts w:ascii="Verdana" w:eastAsia="Calibri" w:hAnsi="Verdana" w:cs="Arial"/>
          <w:lang w:val="es-ES_tradnl"/>
        </w:rPr>
        <w:t xml:space="preserve"> </w:t>
      </w:r>
    </w:p>
    <w:p w14:paraId="0F02D6EA" w14:textId="77777777" w:rsidR="00B97AB8" w:rsidRPr="00B97AB8" w:rsidRDefault="00B97AB8" w:rsidP="00B97AB8">
      <w:pPr>
        <w:numPr>
          <w:ilvl w:val="0"/>
          <w:numId w:val="20"/>
        </w:numPr>
        <w:snapToGrid w:val="0"/>
        <w:spacing w:after="0" w:line="276" w:lineRule="auto"/>
        <w:contextualSpacing/>
        <w:jc w:val="both"/>
        <w:rPr>
          <w:rFonts w:ascii="Verdana" w:eastAsia="Calibri" w:hAnsi="Verdana" w:cs="Arial"/>
          <w:lang w:val="es-ES_tradnl"/>
        </w:rPr>
      </w:pPr>
      <w:r w:rsidRPr="00B97AB8">
        <w:rPr>
          <w:rFonts w:ascii="Verdana" w:eastAsia="Calibri" w:hAnsi="Verdana" w:cs="Arial"/>
          <w:lang w:val="es-ES_tradnl"/>
        </w:rPr>
        <w:t>En concordancia con lo establecido en el numeral anterior, y toda vez que el proponente puede cometer errores aritméticos a la hora de diligenciar la oferta económica que pueden afectar la estimación adecuada del presupuesto, los documentos tipo en el numeral “4.1.2. CORRECCIONES ARITMÉTICAS” establecen un mecanismo que permite realizar la corrección a situaciones específicas de tipo aritmético que pueden presentarse en la oferta económica, de cara a definir el valor ofertado previo a realizar la ponderación de la oferta, tal y como se describe a continuación:</w:t>
      </w:r>
    </w:p>
    <w:p w14:paraId="7AFB7F42" w14:textId="77777777" w:rsidR="00B97AB8" w:rsidRPr="00B97AB8" w:rsidRDefault="00B97AB8" w:rsidP="00B97AB8">
      <w:pPr>
        <w:snapToGrid w:val="0"/>
        <w:spacing w:after="0" w:line="276" w:lineRule="auto"/>
        <w:jc w:val="both"/>
        <w:rPr>
          <w:rFonts w:ascii="Verdana" w:eastAsia="Calibri" w:hAnsi="Verdana" w:cs="Arial"/>
          <w:lang w:val="es-ES_tradnl"/>
        </w:rPr>
      </w:pPr>
      <w:r w:rsidRPr="00B97AB8">
        <w:rPr>
          <w:rFonts w:ascii="Verdana" w:eastAsia="Calibri" w:hAnsi="Verdana" w:cs="Arial"/>
          <w:lang w:val="es-ES_tradnl"/>
        </w:rPr>
        <w:t xml:space="preserve"> </w:t>
      </w:r>
    </w:p>
    <w:p w14:paraId="1D4E0648"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“La Entidad solo efectuará correcciones aritméticas originadas por:</w:t>
      </w:r>
    </w:p>
    <w:p w14:paraId="5553C302"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 xml:space="preserve"> </w:t>
      </w:r>
    </w:p>
    <w:p w14:paraId="096D0F2D"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A.        Las operaciones aritméticas a que haya lugar en la propuesta económica, cuando exista un error que surja de un cálculo meramente aritmético cuando la operación ha sido erróneamente realizada.</w:t>
      </w:r>
    </w:p>
    <w:p w14:paraId="37EBF6F5"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p>
    <w:p w14:paraId="726DE506"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B.        El ajuste al peso ya sea por exceso o por defecto de los precios unitarios contenidos en la propuesta económica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7CF81714"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t xml:space="preserve"> </w:t>
      </w:r>
    </w:p>
    <w:p w14:paraId="549A5CDD" w14:textId="77777777" w:rsidR="00B97AB8" w:rsidRPr="00B97AB8" w:rsidRDefault="00B97AB8" w:rsidP="00B97AB8">
      <w:pPr>
        <w:snapToGrid w:val="0"/>
        <w:spacing w:after="0" w:line="240" w:lineRule="auto"/>
        <w:ind w:left="709" w:right="709"/>
        <w:jc w:val="both"/>
        <w:rPr>
          <w:rFonts w:ascii="Verdana" w:eastAsia="Calibri" w:hAnsi="Verdana" w:cs="Arial"/>
          <w:sz w:val="21"/>
          <w:szCs w:val="21"/>
          <w:lang w:val="es-ES_tradnl"/>
        </w:rPr>
      </w:pPr>
      <w:r w:rsidRPr="00B97AB8">
        <w:rPr>
          <w:rFonts w:ascii="Verdana" w:eastAsia="Calibri" w:hAnsi="Verdana" w:cs="Arial"/>
          <w:sz w:val="21"/>
          <w:szCs w:val="21"/>
          <w:lang w:val="es-ES_tradnl"/>
        </w:rPr>
        <w:lastRenderedPageBreak/>
        <w:t>La Entidad a partir del valor total corregido de las propuestas asignará el puntaje de conformidad con el proceso del numeral 4.1.4”.</w:t>
      </w:r>
      <w:r w:rsidRPr="00B97AB8">
        <w:rPr>
          <w:rFonts w:ascii="Verdana" w:eastAsia="Aptos" w:hAnsi="Verdana" w:cs="Arial"/>
          <w:color w:val="242424"/>
          <w:kern w:val="2"/>
          <w:bdr w:val="none" w:sz="0" w:space="0" w:color="auto" w:frame="1"/>
          <w:lang w:val="es-ES"/>
          <w14:ligatures w14:val="standardContextual"/>
        </w:rPr>
        <w:t> </w:t>
      </w:r>
    </w:p>
    <w:p w14:paraId="40E97B34" w14:textId="77777777" w:rsidR="00B97AB8" w:rsidRPr="00B97AB8" w:rsidRDefault="00B97AB8" w:rsidP="00B97AB8">
      <w:pPr>
        <w:tabs>
          <w:tab w:val="left" w:pos="993"/>
        </w:tabs>
        <w:spacing w:after="0" w:line="276" w:lineRule="auto"/>
        <w:ind w:right="49"/>
        <w:jc w:val="both"/>
        <w:rPr>
          <w:rFonts w:ascii="Arial" w:eastAsia="Calibri" w:hAnsi="Arial" w:cs="Arial"/>
          <w:lang w:val="es-MX"/>
        </w:rPr>
      </w:pPr>
    </w:p>
    <w:p w14:paraId="58284977" w14:textId="77777777" w:rsidR="00B97AB8" w:rsidRPr="00B97AB8" w:rsidRDefault="00B97AB8" w:rsidP="00B97AB8">
      <w:pPr>
        <w:tabs>
          <w:tab w:val="left" w:pos="993"/>
        </w:tabs>
        <w:spacing w:after="0" w:line="276" w:lineRule="auto"/>
        <w:ind w:right="49"/>
        <w:jc w:val="both"/>
        <w:rPr>
          <w:rFonts w:ascii="Arial" w:eastAsia="Calibri" w:hAnsi="Arial" w:cs="Arial"/>
          <w:lang w:val="es-MX"/>
        </w:rPr>
      </w:pPr>
    </w:p>
    <w:p w14:paraId="1C973053" w14:textId="77777777" w:rsidR="00B97AB8" w:rsidRPr="00B97AB8" w:rsidRDefault="00B97AB8" w:rsidP="00B97AB8">
      <w:pPr>
        <w:numPr>
          <w:ilvl w:val="0"/>
          <w:numId w:val="21"/>
        </w:numPr>
        <w:tabs>
          <w:tab w:val="left" w:pos="993"/>
        </w:tabs>
        <w:spacing w:after="0" w:line="276" w:lineRule="auto"/>
        <w:ind w:right="49"/>
        <w:contextualSpacing/>
        <w:jc w:val="both"/>
        <w:rPr>
          <w:rFonts w:ascii="Verdana" w:eastAsia="Calibri" w:hAnsi="Verdana" w:cs="Arial"/>
          <w:lang w:val="es-MX"/>
        </w:rPr>
      </w:pPr>
      <w:r w:rsidRPr="00B97AB8">
        <w:rPr>
          <w:rFonts w:ascii="Verdana" w:eastAsia="Calibri" w:hAnsi="Verdana" w:cs="Arial"/>
          <w:lang w:val="es-MX"/>
        </w:rPr>
        <w:t>De acuerdo con lo anterior, la Entidad procederá a realizar correcciones de tipo aritmético a las ofertas económicas presentadas, i) en el evento que se presenten errores en las operaciones realizadas para establecer algún componente de costos de la oferta, y ii) en el evento en que se presenten ofertas con decimales de cara a realizar las precisiones que correspondan para ajustar toda la oferta a la unidad monetaria definida (peso colombiano).</w:t>
      </w:r>
    </w:p>
    <w:p w14:paraId="6F25AEAD" w14:textId="77777777" w:rsidR="00B97AB8" w:rsidRPr="00B97AB8" w:rsidRDefault="00B97AB8" w:rsidP="00B97AB8">
      <w:pPr>
        <w:tabs>
          <w:tab w:val="left" w:pos="993"/>
        </w:tabs>
        <w:spacing w:after="0" w:line="276" w:lineRule="auto"/>
        <w:ind w:right="49"/>
        <w:jc w:val="both"/>
        <w:rPr>
          <w:rFonts w:ascii="Arial" w:eastAsia="Calibri" w:hAnsi="Arial" w:cs="Arial"/>
          <w:lang w:val="es-MX"/>
        </w:rPr>
      </w:pPr>
    </w:p>
    <w:p w14:paraId="13AB0A7A" w14:textId="77777777" w:rsidR="00B97AB8" w:rsidRPr="00B97AB8" w:rsidRDefault="00B97AB8" w:rsidP="00B97AB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B97AB8">
        <w:rPr>
          <w:rFonts w:ascii="Verdana" w:eastAsia="Century Gothic" w:hAnsi="Verdana" w:cs="Century Gothic"/>
          <w:b/>
          <w:bCs/>
          <w:lang w:val="es-ES_tradnl"/>
        </w:rPr>
        <w:t>Referencias normativas, jurisprudenciales y otras fuentes:</w:t>
      </w:r>
    </w:p>
    <w:p w14:paraId="23BDA5E4" w14:textId="77777777" w:rsidR="00B97AB8" w:rsidRPr="00B97AB8" w:rsidRDefault="00B97AB8" w:rsidP="00B97AB8">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B97AB8" w:rsidRPr="00B97AB8" w14:paraId="4B9514C2" w14:textId="77777777" w:rsidTr="000701C2">
        <w:trPr>
          <w:trHeight w:val="870"/>
        </w:trPr>
        <w:tc>
          <w:tcPr>
            <w:tcW w:w="8647" w:type="dxa"/>
          </w:tcPr>
          <w:p w14:paraId="3D91DED1" w14:textId="77777777" w:rsidR="00B97AB8" w:rsidRPr="00B97AB8" w:rsidRDefault="00B97AB8" w:rsidP="00B97AB8">
            <w:pPr>
              <w:widowControl w:val="0"/>
              <w:numPr>
                <w:ilvl w:val="0"/>
                <w:numId w:val="17"/>
              </w:numPr>
              <w:autoSpaceDE w:val="0"/>
              <w:autoSpaceDN w:val="0"/>
              <w:spacing w:after="120" w:line="276" w:lineRule="auto"/>
              <w:jc w:val="both"/>
              <w:rPr>
                <w:rFonts w:ascii="Verdana" w:eastAsia="Calibri" w:hAnsi="Verdana" w:cs="Arial"/>
                <w:lang w:val="es-ES_tradnl"/>
              </w:rPr>
            </w:pPr>
            <w:r w:rsidRPr="00B97AB8">
              <w:rPr>
                <w:rFonts w:ascii="Verdana" w:eastAsia="Calibri" w:hAnsi="Verdana" w:cs="Arial"/>
                <w:lang w:val="es-ES_tradnl"/>
              </w:rPr>
              <w:t>Código Civil, artículo 1849.</w:t>
            </w:r>
          </w:p>
          <w:p w14:paraId="201DBA3D" w14:textId="77777777" w:rsidR="00B97AB8" w:rsidRPr="00B97AB8" w:rsidRDefault="00B97AB8" w:rsidP="00B97AB8">
            <w:pPr>
              <w:widowControl w:val="0"/>
              <w:numPr>
                <w:ilvl w:val="0"/>
                <w:numId w:val="17"/>
              </w:numPr>
              <w:autoSpaceDE w:val="0"/>
              <w:autoSpaceDN w:val="0"/>
              <w:spacing w:after="120" w:line="276" w:lineRule="auto"/>
              <w:jc w:val="both"/>
              <w:rPr>
                <w:rFonts w:ascii="Verdana" w:eastAsia="Calibri" w:hAnsi="Verdana" w:cs="Arial"/>
                <w:lang w:val="es-ES_tradnl"/>
              </w:rPr>
            </w:pPr>
            <w:r w:rsidRPr="00B97AB8">
              <w:rPr>
                <w:rFonts w:ascii="Verdana" w:eastAsia="Calibri" w:hAnsi="Verdana" w:cs="Arial"/>
                <w:lang w:val="es-ES_tradnl"/>
              </w:rPr>
              <w:t xml:space="preserve">Código de Comercio, artículo 905. </w:t>
            </w:r>
          </w:p>
          <w:p w14:paraId="2F7E867C" w14:textId="77777777" w:rsidR="00B97AB8" w:rsidRPr="00B97AB8" w:rsidRDefault="00B97AB8" w:rsidP="00B97AB8">
            <w:pPr>
              <w:widowControl w:val="0"/>
              <w:numPr>
                <w:ilvl w:val="0"/>
                <w:numId w:val="17"/>
              </w:numPr>
              <w:autoSpaceDE w:val="0"/>
              <w:autoSpaceDN w:val="0"/>
              <w:spacing w:after="120" w:line="276" w:lineRule="auto"/>
              <w:jc w:val="both"/>
              <w:rPr>
                <w:rFonts w:ascii="Verdana" w:eastAsia="Calibri" w:hAnsi="Verdana" w:cs="Arial"/>
                <w:lang w:val="es-ES_tradnl"/>
              </w:rPr>
            </w:pPr>
            <w:r w:rsidRPr="00B97AB8">
              <w:rPr>
                <w:rFonts w:ascii="Verdana" w:eastAsia="Calibri" w:hAnsi="Verdana" w:cs="Arial"/>
                <w:lang w:val="es-ES_tradnl"/>
              </w:rPr>
              <w:t xml:space="preserve">Real Academia Española. Diccionario de la Lengua Española. Disponible en: </w:t>
            </w:r>
            <w:hyperlink r:id="rId11" w:history="1">
              <w:r w:rsidRPr="00B97AB8">
                <w:rPr>
                  <w:rFonts w:ascii="Verdana" w:eastAsia="Calibri" w:hAnsi="Verdana" w:cs="Arial"/>
                  <w:color w:val="0000FF"/>
                  <w:u w:val="single"/>
                  <w:lang w:val="es-ES_tradnl"/>
                </w:rPr>
                <w:t>https://www.rae.es/</w:t>
              </w:r>
            </w:hyperlink>
            <w:r w:rsidRPr="00B97AB8">
              <w:rPr>
                <w:rFonts w:ascii="Verdana" w:eastAsia="Calibri" w:hAnsi="Verdana" w:cs="Arial"/>
                <w:lang w:val="es-ES_tradnl"/>
              </w:rPr>
              <w:t xml:space="preserve">. </w:t>
            </w:r>
          </w:p>
          <w:p w14:paraId="23FA1219" w14:textId="77777777" w:rsidR="00B97AB8" w:rsidRPr="00B97AB8" w:rsidRDefault="00B97AB8" w:rsidP="00B97AB8">
            <w:pPr>
              <w:widowControl w:val="0"/>
              <w:numPr>
                <w:ilvl w:val="0"/>
                <w:numId w:val="17"/>
              </w:numPr>
              <w:autoSpaceDE w:val="0"/>
              <w:autoSpaceDN w:val="0"/>
              <w:spacing w:after="120" w:line="276" w:lineRule="auto"/>
              <w:jc w:val="both"/>
              <w:rPr>
                <w:rFonts w:ascii="Verdana" w:eastAsia="Calibri" w:hAnsi="Verdana" w:cs="Arial"/>
                <w:lang w:val="es-ES_tradnl"/>
              </w:rPr>
            </w:pPr>
            <w:r w:rsidRPr="00B97AB8">
              <w:rPr>
                <w:rFonts w:ascii="Verdana" w:eastAsia="Calibri" w:hAnsi="Verdana" w:cs="Arial"/>
                <w:lang w:val="es-ES_tradnl"/>
              </w:rPr>
              <w:t xml:space="preserve">Documentos tipo de obra pública de infraestructura de transporte. Disponibles en: </w:t>
            </w:r>
            <w:hyperlink r:id="rId12" w:history="1">
              <w:r w:rsidRPr="00B97AB8">
                <w:rPr>
                  <w:rFonts w:ascii="Verdana" w:eastAsia="Calibri" w:hAnsi="Verdana" w:cs="Arial"/>
                  <w:color w:val="0000FF"/>
                  <w:u w:val="single"/>
                  <w:lang w:val="es-ES_tradnl"/>
                </w:rPr>
                <w:t>https://www.colombiacompra.gov.co/content/documentos-tipo-de-infraestructura-de-transporte</w:t>
              </w:r>
            </w:hyperlink>
            <w:r w:rsidRPr="00B97AB8">
              <w:rPr>
                <w:rFonts w:ascii="Verdana" w:eastAsia="Calibri" w:hAnsi="Verdana" w:cs="Arial"/>
                <w:lang w:val="es-ES_tradnl"/>
              </w:rPr>
              <w:t xml:space="preserve">. </w:t>
            </w:r>
          </w:p>
        </w:tc>
      </w:tr>
    </w:tbl>
    <w:p w14:paraId="314A41DA" w14:textId="77777777" w:rsidR="00B97AB8" w:rsidRPr="00B97AB8" w:rsidRDefault="00B97AB8" w:rsidP="00B97AB8">
      <w:pPr>
        <w:widowControl w:val="0"/>
        <w:autoSpaceDE w:val="0"/>
        <w:autoSpaceDN w:val="0"/>
        <w:spacing w:after="0" w:line="276" w:lineRule="auto"/>
        <w:jc w:val="both"/>
        <w:rPr>
          <w:rFonts w:ascii="Verdana" w:eastAsia="Calibri" w:hAnsi="Verdana" w:cs="Arial"/>
          <w:lang w:val="es-ES_tradnl"/>
        </w:rPr>
      </w:pPr>
    </w:p>
    <w:p w14:paraId="08CD06D7" w14:textId="77777777" w:rsidR="00B97AB8" w:rsidRPr="00B97AB8" w:rsidRDefault="00B97AB8" w:rsidP="00B97AB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B97AB8">
        <w:rPr>
          <w:rFonts w:ascii="Verdana" w:eastAsia="Century Gothic" w:hAnsi="Verdana" w:cs="Century Gothic"/>
          <w:b/>
          <w:bCs/>
          <w:lang w:val="es-ES_tradnl"/>
        </w:rPr>
        <w:t>Doctrina de la Agencia Nacional de Contratación Pública:</w:t>
      </w:r>
    </w:p>
    <w:p w14:paraId="3C8C13E3" w14:textId="77777777" w:rsidR="00B97AB8" w:rsidRPr="00B97AB8" w:rsidRDefault="00B97AB8" w:rsidP="00B97AB8">
      <w:pPr>
        <w:widowControl w:val="0"/>
        <w:autoSpaceDE w:val="0"/>
        <w:autoSpaceDN w:val="0"/>
        <w:spacing w:after="0" w:line="276" w:lineRule="auto"/>
        <w:jc w:val="both"/>
        <w:rPr>
          <w:rFonts w:ascii="Verdana" w:eastAsia="Calibri" w:hAnsi="Verdana" w:cs="Arial"/>
          <w:lang w:val="es-ES_tradnl"/>
        </w:rPr>
      </w:pPr>
    </w:p>
    <w:p w14:paraId="64E3C4A1" w14:textId="77777777" w:rsidR="00B97AB8" w:rsidRPr="00B97AB8" w:rsidRDefault="00B97AB8" w:rsidP="11E76B71">
      <w:pPr>
        <w:widowControl w:val="0"/>
        <w:autoSpaceDE w:val="0"/>
        <w:autoSpaceDN w:val="0"/>
        <w:spacing w:after="0" w:line="276" w:lineRule="auto"/>
        <w:jc w:val="both"/>
        <w:rPr>
          <w:rFonts w:ascii="Aptos" w:eastAsia="Aptos" w:hAnsi="Aptos" w:cs="Times New Roman"/>
          <w:kern w:val="2"/>
          <w:sz w:val="24"/>
          <w:szCs w:val="24"/>
          <w:lang w:val="es-ES"/>
          <w14:ligatures w14:val="standardContextual"/>
        </w:rPr>
      </w:pPr>
      <w:r w:rsidRPr="11E76B71">
        <w:rPr>
          <w:rFonts w:ascii="Verdana" w:eastAsia="Calibri" w:hAnsi="Verdana" w:cs="Arial"/>
          <w:shd w:val="clear" w:color="auto" w:fill="FFFFFF"/>
          <w:lang w:val="es-ES"/>
        </w:rPr>
        <w:t xml:space="preserve">La Agencia Nacional de Contratación Pública – Colombia Compra Eficiente se pronunció sobre el precio de los contratos estatales y formas para su cálculo, en los conceptos 4201912000007092 del 29 de noviembre de 2019, 2201913000008566 del 18 de noviembre de 2019, 4201913000007822 de 27 de diciembre de 2019, C–037 del 28 de enero de 2020, C-191 del 16 de marzo de 2020, C-211 del 8 de abril de 2020, C−469 del 27 de septiembre de 2020, C−480 del 16 de septiembre de 2020 y C-059 del 10 de marzo de 2021 y C-016 del 23 de febrero de 2023. También, se ha pronunciado sobre los pliegos de condiciones tipo en la contratación estatal y su inalterabilidad, en los conceptos C-294 del 18 de mayo de 2020, C-276 y C-277 del 26 de mayo de 2020, C–380 y C–381 del 1 de junio de 2020, C-404 del 12 de junio de 2020, C-352 del 30 de junio de 2020, C-430 del 7 de julio de 2020, C-481 del 27 de julio de 2020, </w:t>
      </w:r>
      <w:r w:rsidRPr="11E76B71">
        <w:rPr>
          <w:rFonts w:ascii="Verdana" w:eastAsia="Calibri" w:hAnsi="Verdana" w:cs="Arial"/>
          <w:shd w:val="clear" w:color="auto" w:fill="FFFFFF"/>
          <w:lang w:val="es-ES"/>
        </w:rPr>
        <w:lastRenderedPageBreak/>
        <w:t xml:space="preserve">C-502 del 29 de julio de 2020, C-500 del 3 de agosto de 2020, C-563 del 26 de agosto de 2020, C-570 del 27 de agosto de 2020, C-713 del 2 de diciembre de 2020, C-744 del 22 de diciembre de 2020, C-031 del 1 de febrero de 2021, C-157 de 13 de abril de 2021, C-862 del 16 de diciembre de 2022, C-217 del 12 de julio de 2024, entre otros. </w:t>
      </w:r>
      <w:r w:rsidRPr="11E76B71">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10FB342D" w14:textId="77777777" w:rsidR="00B97AB8" w:rsidRPr="00B97AB8" w:rsidRDefault="00B97AB8" w:rsidP="00B97AB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00D541A" w14:textId="77777777" w:rsidR="00B97AB8" w:rsidRPr="00B97AB8" w:rsidRDefault="00B97AB8" w:rsidP="00B97AB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97AB8">
        <w:rPr>
          <w:rFonts w:ascii="Verdana" w:eastAsia="Calibri" w:hAnsi="Verdana" w:cs="Arial"/>
          <w:kern w:val="2"/>
          <w:shd w:val="clear" w:color="auto" w:fill="FFFFFF"/>
          <w:lang w:val="es-ES_tradnl"/>
          <w14:ligatures w14:val="standardContextual"/>
        </w:rPr>
        <w:t xml:space="preserve">También, le invitamos a revisar la tercera edición del Boletín de Relatoría de 2024, en el cual podrá encontrar en detalle el marco normativo de los documentos tipo: </w:t>
      </w:r>
      <w:hyperlink r:id="rId13" w:history="1">
        <w:r w:rsidRPr="00B97AB8">
          <w:rPr>
            <w:rFonts w:ascii="Verdana" w:eastAsia="Calibri" w:hAnsi="Verdana" w:cs="Arial"/>
            <w:color w:val="0000FF"/>
            <w:kern w:val="2"/>
            <w:u w:val="single"/>
            <w:shd w:val="clear" w:color="auto" w:fill="FFFFFF"/>
            <w:lang w:val="es-ES_tradnl"/>
            <w14:ligatures w14:val="standardContextual"/>
          </w:rPr>
          <w:t>https://www.colombiacompra.gov.co/sites/cce_public/files/files_2020/boletin_de_realtoria_iii.pdf</w:t>
        </w:r>
      </w:hyperlink>
      <w:r w:rsidRPr="00B97AB8">
        <w:rPr>
          <w:rFonts w:ascii="Verdana" w:eastAsia="Calibri" w:hAnsi="Verdana" w:cs="Arial"/>
          <w:kern w:val="2"/>
          <w:shd w:val="clear" w:color="auto" w:fill="FFFFFF"/>
          <w:lang w:val="es-ES_tradnl"/>
          <w14:ligatures w14:val="standardContextual"/>
        </w:rPr>
        <w:t xml:space="preserve">. </w:t>
      </w:r>
    </w:p>
    <w:p w14:paraId="6A60344C" w14:textId="77777777" w:rsidR="00B97AB8" w:rsidRPr="00B97AB8" w:rsidRDefault="00B97AB8" w:rsidP="00B97AB8">
      <w:pPr>
        <w:widowControl w:val="0"/>
        <w:autoSpaceDE w:val="0"/>
        <w:autoSpaceDN w:val="0"/>
        <w:spacing w:after="0" w:line="276" w:lineRule="auto"/>
        <w:jc w:val="both"/>
        <w:rPr>
          <w:rFonts w:ascii="Verdana" w:eastAsia="Calibri" w:hAnsi="Verdana" w:cs="Arial"/>
          <w:shd w:val="clear" w:color="auto" w:fill="FFFFFF"/>
          <w:lang w:val="es-ES_tradnl"/>
        </w:rPr>
      </w:pPr>
    </w:p>
    <w:p w14:paraId="07C3330F" w14:textId="77777777" w:rsidR="00B97AB8" w:rsidRPr="00B97AB8" w:rsidRDefault="00B97AB8" w:rsidP="00B97AB8">
      <w:pPr>
        <w:spacing w:after="0" w:line="240" w:lineRule="auto"/>
        <w:jc w:val="both"/>
        <w:rPr>
          <w:rFonts w:ascii="Verdana" w:eastAsia="Calibri" w:hAnsi="Verdana" w:cs="Times New Roman"/>
          <w:lang w:val="es-ES_tradnl"/>
        </w:rPr>
      </w:pPr>
      <w:r w:rsidRPr="00B97AB8">
        <w:rPr>
          <w:rFonts w:ascii="Verdana" w:eastAsia="Calibri" w:hAnsi="Verdana" w:cs="Times New Roman"/>
          <w:lang w:val="es-ES_tradnl"/>
        </w:rPr>
        <w:t xml:space="preserve">Por último, los invitamos a seguirnos en las redes sociales, en las cuales se difunde información institucional: </w:t>
      </w:r>
    </w:p>
    <w:p w14:paraId="668A8C0E" w14:textId="77777777" w:rsidR="00B97AB8" w:rsidRPr="00B97AB8" w:rsidRDefault="00B97AB8" w:rsidP="00B97AB8">
      <w:pPr>
        <w:spacing w:after="0" w:line="240" w:lineRule="auto"/>
        <w:jc w:val="both"/>
        <w:rPr>
          <w:rFonts w:ascii="Verdana" w:eastAsia="Calibri" w:hAnsi="Verdana" w:cs="Times New Roman"/>
          <w:lang w:val="es-ES_tradnl"/>
        </w:rPr>
      </w:pPr>
    </w:p>
    <w:p w14:paraId="6C2BEB78" w14:textId="77777777" w:rsidR="00B97AB8" w:rsidRPr="00B97AB8" w:rsidRDefault="00B97AB8" w:rsidP="00B97AB8">
      <w:pPr>
        <w:spacing w:after="0" w:line="240" w:lineRule="auto"/>
        <w:jc w:val="both"/>
        <w:rPr>
          <w:rFonts w:ascii="Verdana" w:eastAsia="Calibri" w:hAnsi="Verdana" w:cs="Times New Roman"/>
          <w:lang w:val="es-ES_tradnl"/>
        </w:rPr>
      </w:pPr>
      <w:r w:rsidRPr="00B97AB8">
        <w:rPr>
          <w:rFonts w:ascii="Verdana" w:eastAsia="Calibri" w:hAnsi="Verdana" w:cs="Times New Roman"/>
          <w:lang w:val="es-ES_tradnl"/>
        </w:rPr>
        <w:t xml:space="preserve">Twitter: </w:t>
      </w:r>
      <w:r w:rsidRPr="00B97AB8">
        <w:rPr>
          <w:rFonts w:ascii="Verdana" w:eastAsia="Calibri" w:hAnsi="Verdana" w:cs="Times New Roman"/>
          <w:u w:val="single"/>
          <w:lang w:val="es-ES_tradnl"/>
        </w:rPr>
        <w:t>@colombiacompra</w:t>
      </w:r>
      <w:r w:rsidRPr="00B97AB8">
        <w:rPr>
          <w:rFonts w:ascii="Verdana" w:eastAsia="Calibri" w:hAnsi="Verdana" w:cs="Times New Roman"/>
          <w:lang w:val="es-ES_tradnl"/>
        </w:rPr>
        <w:t xml:space="preserve"> </w:t>
      </w:r>
    </w:p>
    <w:p w14:paraId="6BF55A7E" w14:textId="77777777" w:rsidR="00B97AB8" w:rsidRPr="00B97AB8" w:rsidRDefault="00B97AB8" w:rsidP="11E76B71">
      <w:pPr>
        <w:spacing w:after="0" w:line="240" w:lineRule="auto"/>
        <w:jc w:val="both"/>
        <w:rPr>
          <w:rFonts w:ascii="Verdana" w:eastAsia="Calibri" w:hAnsi="Verdana" w:cs="Times New Roman"/>
          <w:lang w:val="es-ES"/>
        </w:rPr>
      </w:pPr>
      <w:r w:rsidRPr="11E76B71">
        <w:rPr>
          <w:rFonts w:ascii="Verdana" w:eastAsia="Calibri" w:hAnsi="Verdana" w:cs="Times New Roman"/>
          <w:lang w:val="es-ES"/>
        </w:rPr>
        <w:t xml:space="preserve">Facebook: </w:t>
      </w:r>
      <w:r w:rsidRPr="11E76B71">
        <w:rPr>
          <w:rFonts w:ascii="Verdana" w:eastAsia="Calibri" w:hAnsi="Verdana" w:cs="Times New Roman"/>
          <w:u w:val="single"/>
          <w:lang w:val="es-ES"/>
        </w:rPr>
        <w:t>ColombiaCompraEficiente</w:t>
      </w:r>
    </w:p>
    <w:p w14:paraId="3E9D9660" w14:textId="77777777" w:rsidR="00B97AB8" w:rsidRPr="00B97AB8" w:rsidRDefault="00B97AB8" w:rsidP="00B97AB8">
      <w:pPr>
        <w:spacing w:after="0" w:line="240" w:lineRule="auto"/>
        <w:jc w:val="both"/>
        <w:rPr>
          <w:rFonts w:ascii="Verdana" w:eastAsia="Calibri" w:hAnsi="Verdana" w:cs="Times New Roman"/>
          <w:lang w:val="es-ES_tradnl"/>
        </w:rPr>
      </w:pPr>
      <w:r w:rsidRPr="00B97AB8">
        <w:rPr>
          <w:rFonts w:ascii="Verdana" w:eastAsia="Calibri" w:hAnsi="Verdana" w:cs="Times New Roman"/>
          <w:lang w:val="es-ES_tradnl"/>
        </w:rPr>
        <w:t xml:space="preserve">LinkedIn: </w:t>
      </w:r>
      <w:r w:rsidRPr="00B97AB8">
        <w:rPr>
          <w:rFonts w:ascii="Verdana" w:eastAsia="Calibri" w:hAnsi="Verdana" w:cs="Times New Roman"/>
          <w:u w:val="single"/>
          <w:lang w:val="es-ES_tradnl"/>
        </w:rPr>
        <w:t>Agencia Nacional de Contratación Pública - Colombia Compra Eficiente</w:t>
      </w:r>
      <w:r w:rsidRPr="00B97AB8">
        <w:rPr>
          <w:rFonts w:ascii="Verdana" w:eastAsia="Calibri" w:hAnsi="Verdana" w:cs="Times New Roman"/>
          <w:lang w:val="es-ES_tradnl"/>
        </w:rPr>
        <w:t xml:space="preserve"> Instagram: </w:t>
      </w:r>
      <w:r w:rsidRPr="00B97AB8">
        <w:rPr>
          <w:rFonts w:ascii="Verdana" w:eastAsia="Calibri" w:hAnsi="Verdana" w:cs="Times New Roman"/>
          <w:u w:val="single"/>
          <w:lang w:val="es-ES_tradnl"/>
        </w:rPr>
        <w:t>@colombiacompraeficiente_cce</w:t>
      </w:r>
    </w:p>
    <w:p w14:paraId="3E9EAB6E" w14:textId="77777777" w:rsidR="00B97AB8" w:rsidRPr="00B97AB8" w:rsidRDefault="00B97AB8" w:rsidP="00B97AB8">
      <w:pPr>
        <w:widowControl w:val="0"/>
        <w:autoSpaceDE w:val="0"/>
        <w:autoSpaceDN w:val="0"/>
        <w:spacing w:after="0" w:line="276" w:lineRule="auto"/>
        <w:jc w:val="both"/>
        <w:rPr>
          <w:rFonts w:ascii="Verdana" w:eastAsia="Calibri" w:hAnsi="Verdana" w:cs="Arial"/>
          <w:lang w:val="es-ES_tradnl"/>
        </w:rPr>
      </w:pPr>
    </w:p>
    <w:p w14:paraId="68236A88" w14:textId="77777777" w:rsidR="00B97AB8" w:rsidRPr="00B97AB8" w:rsidRDefault="00B97AB8" w:rsidP="00B97AB8">
      <w:pPr>
        <w:widowControl w:val="0"/>
        <w:autoSpaceDE w:val="0"/>
        <w:autoSpaceDN w:val="0"/>
        <w:spacing w:after="0" w:line="276" w:lineRule="auto"/>
        <w:jc w:val="both"/>
        <w:rPr>
          <w:rFonts w:ascii="Verdana" w:eastAsia="Calibri" w:hAnsi="Verdana" w:cs="Arial"/>
          <w:lang w:val="es-ES_tradnl"/>
        </w:rPr>
      </w:pPr>
      <w:r w:rsidRPr="00B97AB8">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1BADFDD" w14:textId="77777777" w:rsidR="00B97AB8" w:rsidRPr="00B97AB8" w:rsidRDefault="00B97AB8" w:rsidP="00B97AB8">
      <w:pPr>
        <w:widowControl w:val="0"/>
        <w:autoSpaceDE w:val="0"/>
        <w:autoSpaceDN w:val="0"/>
        <w:spacing w:after="0" w:line="276" w:lineRule="auto"/>
        <w:jc w:val="both"/>
        <w:rPr>
          <w:rFonts w:ascii="Verdana" w:eastAsia="Calibri" w:hAnsi="Verdana" w:cs="Arial"/>
          <w:lang w:val="es-ES_tradnl"/>
        </w:rPr>
      </w:pPr>
    </w:p>
    <w:p w14:paraId="692AEFCF" w14:textId="77777777" w:rsidR="00B97AB8" w:rsidRPr="00B97AB8" w:rsidRDefault="00B97AB8" w:rsidP="00B97AB8">
      <w:pPr>
        <w:spacing w:after="0" w:line="240" w:lineRule="auto"/>
        <w:rPr>
          <w:rFonts w:ascii="Verdana" w:eastAsia="Calibri" w:hAnsi="Verdana" w:cs="Arial"/>
          <w:lang w:val="es-ES_tradnl" w:eastAsia="es-CO"/>
        </w:rPr>
      </w:pPr>
      <w:r w:rsidRPr="00B97AB8">
        <w:rPr>
          <w:rFonts w:ascii="Verdana" w:eastAsia="Times New Roman" w:hAnsi="Verdana" w:cs="Arial"/>
          <w:lang w:val="es-ES_tradnl" w:eastAsia="es-CO"/>
        </w:rPr>
        <w:t>Atentamente,</w:t>
      </w:r>
      <w:r w:rsidRPr="00B97AB8">
        <w:rPr>
          <w:rFonts w:ascii="Verdana" w:eastAsia="Calibri" w:hAnsi="Verdana" w:cs="Arial"/>
          <w:lang w:val="es-ES_tradnl" w:eastAsia="es-CO"/>
        </w:rPr>
        <w:t xml:space="preserve"> </w:t>
      </w:r>
    </w:p>
    <w:p w14:paraId="2F3EBFD4" w14:textId="7C70EB20" w:rsidR="00B97AB8" w:rsidRPr="00B97AB8" w:rsidRDefault="00BD258B" w:rsidP="00B97AB8">
      <w:pPr>
        <w:spacing w:line="276" w:lineRule="auto"/>
        <w:jc w:val="center"/>
        <w:rPr>
          <w:rFonts w:ascii="Verdana" w:eastAsia="Calibri" w:hAnsi="Verdana" w:cs="Arial"/>
          <w:lang w:val="es-ES_tradnl" w:eastAsia="es-CO"/>
        </w:rPr>
      </w:pPr>
      <w:r>
        <w:rPr>
          <w:noProof/>
        </w:rPr>
        <w:drawing>
          <wp:inline distT="0" distB="0" distL="0" distR="0" wp14:anchorId="12F91EEB" wp14:editId="7A23CD3F">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97AB8" w:rsidRPr="00B97AB8" w14:paraId="0D5F715A" w14:textId="77777777" w:rsidTr="643C1A59">
        <w:trPr>
          <w:trHeight w:val="315"/>
        </w:trPr>
        <w:tc>
          <w:tcPr>
            <w:tcW w:w="893" w:type="dxa"/>
            <w:vAlign w:val="center"/>
            <w:hideMark/>
          </w:tcPr>
          <w:p w14:paraId="1551E383" w14:textId="77777777" w:rsidR="00B97AB8" w:rsidRPr="00B97AB8" w:rsidRDefault="00B97AB8" w:rsidP="00B97AB8">
            <w:pPr>
              <w:rPr>
                <w:rFonts w:ascii="Verdana" w:eastAsia="Calibri" w:hAnsi="Verdana" w:cs="Arial"/>
                <w:sz w:val="16"/>
                <w:szCs w:val="16"/>
                <w:lang w:val="es-ES_tradnl" w:eastAsia="es-ES"/>
              </w:rPr>
            </w:pPr>
            <w:r w:rsidRPr="00B97AB8">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0191D49D" w14:textId="77777777" w:rsidR="00B97AB8" w:rsidRPr="00B97AB8" w:rsidRDefault="00B97AB8" w:rsidP="643C1A59">
            <w:pPr>
              <w:rPr>
                <w:rFonts w:ascii="Verdana" w:eastAsia="Arial" w:hAnsi="Verdana" w:cs="Arial"/>
                <w:sz w:val="16"/>
                <w:szCs w:val="16"/>
                <w:lang w:val="es-ES"/>
              </w:rPr>
            </w:pPr>
            <w:r w:rsidRPr="643C1A59">
              <w:rPr>
                <w:rFonts w:ascii="Verdana" w:eastAsia="Arial" w:hAnsi="Verdana" w:cs="Arial"/>
                <w:sz w:val="16"/>
                <w:szCs w:val="16"/>
                <w:lang w:val="es-ES"/>
              </w:rPr>
              <w:t>Kevin Arlid Herrera Santa</w:t>
            </w:r>
          </w:p>
          <w:p w14:paraId="52962B1B" w14:textId="77777777" w:rsidR="00B97AB8" w:rsidRPr="00B97AB8" w:rsidRDefault="00B97AB8" w:rsidP="00B97AB8">
            <w:pPr>
              <w:rPr>
                <w:rFonts w:ascii="Verdana" w:eastAsia="Arial" w:hAnsi="Verdana" w:cs="Arial"/>
                <w:sz w:val="16"/>
                <w:szCs w:val="16"/>
                <w:lang w:val="es-ES_tradnl"/>
              </w:rPr>
            </w:pPr>
            <w:r w:rsidRPr="00B97AB8">
              <w:rPr>
                <w:rFonts w:ascii="Verdana" w:eastAsia="Arial" w:hAnsi="Verdana" w:cs="Arial"/>
                <w:sz w:val="16"/>
                <w:szCs w:val="16"/>
                <w:lang w:val="es-ES_tradnl"/>
              </w:rPr>
              <w:t>Contratista de la Subdirección de Gestión Contractual</w:t>
            </w:r>
          </w:p>
          <w:p w14:paraId="66007AC2" w14:textId="77777777" w:rsidR="00B97AB8" w:rsidRPr="00B97AB8" w:rsidRDefault="00B97AB8" w:rsidP="00B97AB8">
            <w:pPr>
              <w:rPr>
                <w:rFonts w:ascii="Verdana" w:eastAsia="Arial" w:hAnsi="Verdana" w:cs="Arial"/>
                <w:sz w:val="16"/>
                <w:szCs w:val="16"/>
                <w:lang w:val="es-ES_tradnl"/>
              </w:rPr>
            </w:pPr>
            <w:r w:rsidRPr="00B97AB8">
              <w:rPr>
                <w:rFonts w:ascii="Verdana" w:eastAsia="Arial" w:hAnsi="Verdana" w:cs="Arial"/>
                <w:sz w:val="16"/>
                <w:szCs w:val="16"/>
                <w:lang w:val="es-ES_tradnl"/>
              </w:rPr>
              <w:lastRenderedPageBreak/>
              <w:t>Alejandro Gamboa Cárdenas</w:t>
            </w:r>
          </w:p>
          <w:p w14:paraId="3B724283" w14:textId="77777777" w:rsidR="00B97AB8" w:rsidRPr="00B97AB8" w:rsidRDefault="00B97AB8" w:rsidP="00B97AB8">
            <w:pPr>
              <w:rPr>
                <w:rFonts w:ascii="Verdana" w:eastAsia="Arial" w:hAnsi="Verdana" w:cs="Arial"/>
                <w:sz w:val="16"/>
                <w:szCs w:val="16"/>
                <w:lang w:val="es-ES_tradnl"/>
              </w:rPr>
            </w:pPr>
            <w:r w:rsidRPr="00B97AB8">
              <w:rPr>
                <w:rFonts w:ascii="Verdana" w:eastAsia="Arial" w:hAnsi="Verdana" w:cs="Arial"/>
                <w:sz w:val="16"/>
                <w:szCs w:val="16"/>
                <w:lang w:val="es-ES_tradnl"/>
              </w:rPr>
              <w:t>Contratista de la Subdirección de Gestión Contractual</w:t>
            </w:r>
          </w:p>
          <w:p w14:paraId="296E73DB" w14:textId="77777777" w:rsidR="00B97AB8" w:rsidRPr="00B97AB8" w:rsidRDefault="00B97AB8" w:rsidP="00B97AB8">
            <w:pPr>
              <w:rPr>
                <w:rFonts w:ascii="Verdana" w:eastAsia="Arial" w:hAnsi="Verdana" w:cs="Arial"/>
                <w:sz w:val="16"/>
                <w:szCs w:val="16"/>
                <w:lang w:val="es-ES_tradnl"/>
              </w:rPr>
            </w:pPr>
          </w:p>
        </w:tc>
      </w:tr>
      <w:tr w:rsidR="00B97AB8" w:rsidRPr="00B97AB8" w14:paraId="253BF6CF" w14:textId="77777777" w:rsidTr="643C1A59">
        <w:trPr>
          <w:trHeight w:val="330"/>
        </w:trPr>
        <w:tc>
          <w:tcPr>
            <w:tcW w:w="893" w:type="dxa"/>
            <w:vAlign w:val="center"/>
            <w:hideMark/>
          </w:tcPr>
          <w:p w14:paraId="218C468A" w14:textId="77777777" w:rsidR="00B97AB8" w:rsidRPr="00B97AB8" w:rsidRDefault="00B97AB8" w:rsidP="00B97AB8">
            <w:pPr>
              <w:rPr>
                <w:rFonts w:ascii="Verdana" w:eastAsia="Calibri" w:hAnsi="Verdana" w:cs="Arial"/>
                <w:sz w:val="16"/>
                <w:szCs w:val="16"/>
                <w:lang w:val="es-ES_tradnl" w:eastAsia="es-ES"/>
              </w:rPr>
            </w:pPr>
            <w:r w:rsidRPr="00B97AB8">
              <w:rPr>
                <w:rFonts w:ascii="Verdana" w:eastAsia="Calibri" w:hAnsi="Verdana" w:cs="Arial"/>
                <w:sz w:val="16"/>
                <w:szCs w:val="16"/>
                <w:lang w:val="es-ES_tradnl"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D7AE27E" w14:textId="77777777" w:rsidR="00B97AB8" w:rsidRPr="00B97AB8" w:rsidRDefault="00B97AB8" w:rsidP="00B97AB8">
            <w:pPr>
              <w:textAlignment w:val="baseline"/>
              <w:rPr>
                <w:rFonts w:ascii="Verdana" w:eastAsia="Times New Roman" w:hAnsi="Verdana" w:cs="Segoe UI"/>
                <w:sz w:val="16"/>
                <w:szCs w:val="16"/>
                <w:lang w:val="es-ES_tradnl" w:eastAsia="es-ES_tradnl"/>
              </w:rPr>
            </w:pPr>
            <w:r w:rsidRPr="00B97AB8">
              <w:rPr>
                <w:rFonts w:ascii="Verdana" w:eastAsia="Times New Roman" w:hAnsi="Verdana" w:cs="Segoe UI"/>
                <w:sz w:val="16"/>
                <w:szCs w:val="16"/>
                <w:lang w:val="es-ES_tradnl" w:eastAsia="es-ES_tradnl"/>
              </w:rPr>
              <w:t>Juan David Cárdenas Cabeza</w:t>
            </w:r>
          </w:p>
          <w:p w14:paraId="0E4FC4C2" w14:textId="77777777" w:rsidR="00B97AB8" w:rsidRPr="00B97AB8" w:rsidRDefault="00B97AB8" w:rsidP="00B97AB8">
            <w:pPr>
              <w:textAlignment w:val="baseline"/>
              <w:rPr>
                <w:rFonts w:ascii="Verdana" w:eastAsia="Times New Roman" w:hAnsi="Verdana" w:cs="Segoe UI"/>
                <w:sz w:val="16"/>
                <w:szCs w:val="16"/>
                <w:lang w:val="es-ES_tradnl" w:eastAsia="es-ES_tradnl"/>
              </w:rPr>
            </w:pPr>
            <w:r w:rsidRPr="00B97AB8">
              <w:rPr>
                <w:rFonts w:ascii="Verdana" w:eastAsia="Times New Roman" w:hAnsi="Verdana" w:cs="Arial"/>
                <w:sz w:val="16"/>
                <w:szCs w:val="16"/>
                <w:lang w:val="es-ES_tradnl" w:eastAsia="es-ES_tradnl"/>
              </w:rPr>
              <w:t>Contratista de la Subdirección de Gestión Contractual </w:t>
            </w:r>
          </w:p>
        </w:tc>
      </w:tr>
      <w:tr w:rsidR="00B97AB8" w:rsidRPr="00B97AB8" w14:paraId="29F93568" w14:textId="77777777" w:rsidTr="643C1A59">
        <w:trPr>
          <w:trHeight w:val="300"/>
        </w:trPr>
        <w:tc>
          <w:tcPr>
            <w:tcW w:w="893" w:type="dxa"/>
            <w:vAlign w:val="center"/>
          </w:tcPr>
          <w:p w14:paraId="08781CBF" w14:textId="77777777" w:rsidR="00B97AB8" w:rsidRPr="00B97AB8" w:rsidRDefault="00B97AB8" w:rsidP="00B97AB8">
            <w:pPr>
              <w:rPr>
                <w:rFonts w:ascii="Verdana" w:eastAsia="Calibri" w:hAnsi="Verdana" w:cs="Arial"/>
                <w:sz w:val="16"/>
                <w:szCs w:val="16"/>
                <w:lang w:val="es-ES_tradnl" w:eastAsia="es-ES"/>
              </w:rPr>
            </w:pPr>
            <w:r w:rsidRPr="00B97AB8">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F3920C" w14:textId="77777777" w:rsidR="00B97AB8" w:rsidRPr="00B97AB8" w:rsidRDefault="00B97AB8" w:rsidP="11E76B71">
            <w:pPr>
              <w:rPr>
                <w:rFonts w:ascii="Verdana" w:eastAsia="Calibri" w:hAnsi="Verdana" w:cs="Arial"/>
                <w:sz w:val="16"/>
                <w:szCs w:val="16"/>
                <w:lang w:val="es-ES" w:eastAsia="es-ES"/>
              </w:rPr>
            </w:pPr>
            <w:r w:rsidRPr="11E76B71">
              <w:rPr>
                <w:rFonts w:ascii="Verdana" w:eastAsia="Calibri" w:hAnsi="Verdana" w:cs="Arial"/>
                <w:sz w:val="16"/>
                <w:szCs w:val="16"/>
                <w:lang w:val="es-ES" w:eastAsia="es-ES"/>
              </w:rPr>
              <w:t>Carolina Quintero Gacharná</w:t>
            </w:r>
          </w:p>
          <w:p w14:paraId="553694D9" w14:textId="77777777" w:rsidR="00B97AB8" w:rsidRPr="00B97AB8" w:rsidRDefault="00B97AB8" w:rsidP="00B97AB8">
            <w:pPr>
              <w:rPr>
                <w:rFonts w:ascii="Verdana" w:eastAsia="Calibri" w:hAnsi="Verdana" w:cs="Arial"/>
                <w:sz w:val="16"/>
                <w:szCs w:val="16"/>
                <w:lang w:val="es-ES_tradnl" w:eastAsia="es-ES"/>
              </w:rPr>
            </w:pPr>
            <w:r w:rsidRPr="00B97AB8">
              <w:rPr>
                <w:rFonts w:ascii="Verdana" w:eastAsia="Calibri" w:hAnsi="Verdana" w:cs="Arial"/>
                <w:sz w:val="16"/>
                <w:szCs w:val="16"/>
                <w:lang w:val="es-ES_tradnl" w:eastAsia="es-ES"/>
              </w:rPr>
              <w:t>Subdirectora de Gestión Contractual ANCP – CCE</w:t>
            </w:r>
          </w:p>
        </w:tc>
      </w:tr>
    </w:tbl>
    <w:p w14:paraId="2793A2E3" w14:textId="77777777" w:rsidR="00B97AB8" w:rsidRPr="00B97AB8" w:rsidRDefault="00B97AB8" w:rsidP="00B97AB8">
      <w:pPr>
        <w:spacing w:line="278" w:lineRule="auto"/>
        <w:rPr>
          <w:rFonts w:ascii="Aptos" w:eastAsia="Aptos" w:hAnsi="Aptos" w:cs="Times New Roman"/>
          <w:kern w:val="2"/>
          <w:sz w:val="24"/>
          <w:szCs w:val="24"/>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44C7C" w14:textId="77777777" w:rsidR="00BC6C4D" w:rsidRDefault="00BC6C4D" w:rsidP="004A1847">
      <w:pPr>
        <w:spacing w:after="0" w:line="240" w:lineRule="auto"/>
      </w:pPr>
      <w:r>
        <w:separator/>
      </w:r>
    </w:p>
  </w:endnote>
  <w:endnote w:type="continuationSeparator" w:id="0">
    <w:p w14:paraId="3357168C" w14:textId="77777777" w:rsidR="00BC6C4D" w:rsidRDefault="00BC6C4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1C09A0" w14:textId="77777777" w:rsidR="00BC6C4D" w:rsidRDefault="00BC6C4D" w:rsidP="004A1847">
      <w:pPr>
        <w:spacing w:after="0" w:line="240" w:lineRule="auto"/>
      </w:pPr>
      <w:r>
        <w:separator/>
      </w:r>
    </w:p>
  </w:footnote>
  <w:footnote w:type="continuationSeparator" w:id="0">
    <w:p w14:paraId="4592A42A" w14:textId="77777777" w:rsidR="00BC6C4D" w:rsidRDefault="00BC6C4D" w:rsidP="004A1847">
      <w:pPr>
        <w:spacing w:after="0" w:line="240" w:lineRule="auto"/>
      </w:pPr>
      <w:r>
        <w:continuationSeparator/>
      </w:r>
    </w:p>
  </w:footnote>
  <w:footnote w:id="1">
    <w:p w14:paraId="121EFB22" w14:textId="77777777" w:rsidR="00B97AB8" w:rsidRPr="00464C3D" w:rsidRDefault="00B97AB8" w:rsidP="00B97AB8">
      <w:pPr>
        <w:pStyle w:val="Textonotapie"/>
        <w:ind w:firstLine="709"/>
        <w:jc w:val="both"/>
        <w:rPr>
          <w:rFonts w:ascii="Verdana" w:hAnsi="Verdana"/>
          <w:sz w:val="18"/>
          <w:szCs w:val="18"/>
        </w:rPr>
      </w:pPr>
      <w:r w:rsidRPr="00464C3D">
        <w:rPr>
          <w:rStyle w:val="Refdenotaalpie"/>
          <w:rFonts w:ascii="Verdana" w:hAnsi="Verdana"/>
          <w:sz w:val="18"/>
          <w:szCs w:val="18"/>
        </w:rPr>
        <w:footnoteRef/>
      </w:r>
      <w:r w:rsidRPr="00464C3D">
        <w:rPr>
          <w:rFonts w:ascii="Verdana" w:hAnsi="Verdana"/>
          <w:sz w:val="18"/>
          <w:szCs w:val="18"/>
        </w:rPr>
        <w:t xml:space="preserve"> Diccionario de la Lengua Española. Real Academia Española. </w:t>
      </w:r>
    </w:p>
  </w:footnote>
  <w:footnote w:id="2">
    <w:p w14:paraId="49950DEF" w14:textId="77777777" w:rsidR="00B97AB8" w:rsidRPr="00464C3D" w:rsidRDefault="00B97AB8" w:rsidP="00B97AB8">
      <w:pPr>
        <w:pStyle w:val="Textonotapie"/>
        <w:ind w:firstLine="709"/>
        <w:jc w:val="both"/>
        <w:rPr>
          <w:rFonts w:ascii="Verdana" w:hAnsi="Verdana"/>
          <w:sz w:val="18"/>
          <w:szCs w:val="18"/>
        </w:rPr>
      </w:pPr>
      <w:r w:rsidRPr="00464C3D">
        <w:rPr>
          <w:rStyle w:val="Refdenotaalpie"/>
          <w:rFonts w:ascii="Verdana" w:hAnsi="Verdana"/>
          <w:sz w:val="18"/>
          <w:szCs w:val="18"/>
        </w:rPr>
        <w:footnoteRef/>
      </w:r>
      <w:r w:rsidRPr="00464C3D">
        <w:rPr>
          <w:rFonts w:ascii="Verdana" w:hAnsi="Verdana"/>
          <w:sz w:val="18"/>
          <w:szCs w:val="18"/>
        </w:rPr>
        <w:t xml:space="preserve"> MARÍN CORTÉS, Fabián. El precio. Serie: Las cláusulas del contrato estatal. Medellín: Librería Jurídica Sánchez y Centro de Estudios de Derecho Administrativo –CEDA–, 2012. p. 60.</w:t>
      </w:r>
    </w:p>
  </w:footnote>
  <w:footnote w:id="3">
    <w:p w14:paraId="764467B5" w14:textId="77777777" w:rsidR="00B97AB8" w:rsidRPr="00464C3D" w:rsidRDefault="00B97AB8" w:rsidP="00B97AB8">
      <w:pPr>
        <w:pStyle w:val="Textonotapie"/>
        <w:ind w:firstLine="709"/>
        <w:jc w:val="both"/>
        <w:rPr>
          <w:rFonts w:ascii="Verdana" w:hAnsi="Verdana"/>
          <w:sz w:val="18"/>
          <w:szCs w:val="18"/>
        </w:rPr>
      </w:pPr>
      <w:r w:rsidRPr="00464C3D">
        <w:rPr>
          <w:rStyle w:val="Refdenotaalpie"/>
          <w:rFonts w:ascii="Verdana" w:hAnsi="Verdana"/>
          <w:sz w:val="18"/>
          <w:szCs w:val="18"/>
        </w:rPr>
        <w:footnoteRef/>
      </w:r>
      <w:r w:rsidRPr="00464C3D">
        <w:rPr>
          <w:rFonts w:ascii="Verdana" w:hAnsi="Verdana"/>
          <w:sz w:val="18"/>
          <w:szCs w:val="18"/>
        </w:rPr>
        <w:t xml:space="preserve"> CONSEJO DE ESTADO, Sección Tercera, Subsección A. Sentencia de 19 de julio de 2018, M.P. Marta Nubia Velázquez Rico, Rad. 2013-01826 (57.576).</w:t>
      </w:r>
    </w:p>
  </w:footnote>
  <w:footnote w:id="4">
    <w:p w14:paraId="394B7B72" w14:textId="77777777" w:rsidR="00B97AB8" w:rsidRPr="00464C3D" w:rsidRDefault="00B97AB8" w:rsidP="00B97AB8">
      <w:pPr>
        <w:pStyle w:val="Textonotapie"/>
        <w:ind w:firstLine="709"/>
        <w:jc w:val="both"/>
        <w:rPr>
          <w:rFonts w:ascii="Verdana" w:hAnsi="Verdana"/>
          <w:sz w:val="18"/>
          <w:szCs w:val="18"/>
        </w:rPr>
      </w:pPr>
      <w:r w:rsidRPr="00464C3D">
        <w:rPr>
          <w:rStyle w:val="Refdenotaalpie"/>
          <w:rFonts w:ascii="Verdana" w:hAnsi="Verdana"/>
          <w:sz w:val="18"/>
          <w:szCs w:val="18"/>
        </w:rPr>
        <w:footnoteRef/>
      </w:r>
      <w:r w:rsidRPr="00464C3D">
        <w:rPr>
          <w:rFonts w:ascii="Verdana" w:hAnsi="Verdana"/>
          <w:sz w:val="18"/>
          <w:szCs w:val="18"/>
        </w:rPr>
        <w:t xml:space="preserve"> “La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1FCBA573" w14:textId="77777777" w:rsidR="00B97AB8" w:rsidRPr="00464C3D" w:rsidRDefault="00B97AB8" w:rsidP="00B97AB8">
      <w:pPr>
        <w:pStyle w:val="Textonotapie"/>
        <w:ind w:firstLine="709"/>
        <w:jc w:val="both"/>
        <w:rPr>
          <w:rFonts w:ascii="Verdana" w:hAnsi="Verdana"/>
          <w:sz w:val="18"/>
          <w:szCs w:val="18"/>
        </w:rPr>
      </w:pPr>
      <w:r w:rsidRPr="00464C3D">
        <w:rPr>
          <w:rFonts w:ascii="Verdana" w:hAnsi="Verdana"/>
          <w:sz w:val="18"/>
          <w:szCs w:val="18"/>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Op. Cit., pp. 63- 64).</w:t>
      </w:r>
    </w:p>
  </w:footnote>
  <w:footnote w:id="5">
    <w:p w14:paraId="6296E8DE" w14:textId="77777777" w:rsidR="00B97AB8" w:rsidRPr="00464C3D" w:rsidRDefault="00B97AB8" w:rsidP="00B97AB8">
      <w:pPr>
        <w:pStyle w:val="Textonotapie"/>
        <w:ind w:firstLine="709"/>
        <w:jc w:val="both"/>
        <w:rPr>
          <w:rFonts w:ascii="Verdana" w:hAnsi="Verdana"/>
          <w:sz w:val="18"/>
          <w:szCs w:val="18"/>
        </w:rPr>
      </w:pPr>
      <w:r w:rsidRPr="00464C3D">
        <w:rPr>
          <w:rStyle w:val="Refdenotaalpie"/>
          <w:rFonts w:ascii="Verdana" w:hAnsi="Verdana"/>
          <w:sz w:val="18"/>
          <w:szCs w:val="18"/>
        </w:rPr>
        <w:footnoteRef/>
      </w:r>
      <w:r w:rsidRPr="00464C3D">
        <w:rPr>
          <w:rFonts w:ascii="Verdana" w:hAnsi="Verdana"/>
          <w:sz w:val="18"/>
          <w:szCs w:val="18"/>
        </w:rPr>
        <w:t xml:space="preserve"> MARÍN, Op. Cit., pp. 64-65.</w:t>
      </w:r>
    </w:p>
  </w:footnote>
  <w:footnote w:id="6">
    <w:p w14:paraId="52708069" w14:textId="77777777" w:rsidR="00B97AB8" w:rsidRPr="00464C3D" w:rsidRDefault="00B97AB8" w:rsidP="00B97AB8">
      <w:pPr>
        <w:pStyle w:val="Textonotapie"/>
        <w:ind w:firstLine="709"/>
        <w:jc w:val="both"/>
        <w:rPr>
          <w:rFonts w:ascii="Verdana" w:hAnsi="Verdana"/>
          <w:sz w:val="18"/>
          <w:szCs w:val="18"/>
        </w:rPr>
      </w:pPr>
      <w:r w:rsidRPr="00464C3D">
        <w:rPr>
          <w:rStyle w:val="Refdenotaalpie"/>
          <w:rFonts w:ascii="Verdana" w:hAnsi="Verdana"/>
          <w:sz w:val="18"/>
          <w:szCs w:val="18"/>
        </w:rPr>
        <w:footnoteRef/>
      </w:r>
      <w:r w:rsidRPr="00464C3D">
        <w:rPr>
          <w:rFonts w:ascii="Verdana" w:hAnsi="Verdana"/>
          <w:sz w:val="18"/>
          <w:szCs w:val="18"/>
        </w:rPr>
        <w:t xml:space="preserve"> Ibíd., p. 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29"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C037E4"/>
    <w:multiLevelType w:val="hybridMultilevel"/>
    <w:tmpl w:val="E90CF2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9F4695D"/>
    <w:multiLevelType w:val="hybridMultilevel"/>
    <w:tmpl w:val="AC0CEC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A35C3E"/>
    <w:multiLevelType w:val="hybridMultilevel"/>
    <w:tmpl w:val="1AAC82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E4F5A93"/>
    <w:multiLevelType w:val="hybridMultilevel"/>
    <w:tmpl w:val="8A52DA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2"/>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9"/>
  </w:num>
  <w:num w:numId="8" w16cid:durableId="152644682">
    <w:abstractNumId w:val="16"/>
  </w:num>
  <w:num w:numId="9" w16cid:durableId="1317221377">
    <w:abstractNumId w:val="11"/>
  </w:num>
  <w:num w:numId="10" w16cid:durableId="1471245386">
    <w:abstractNumId w:val="15"/>
  </w:num>
  <w:num w:numId="11" w16cid:durableId="289172385">
    <w:abstractNumId w:val="12"/>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341274352">
    <w:abstractNumId w:val="0"/>
  </w:num>
  <w:num w:numId="17" w16cid:durableId="679089576">
    <w:abstractNumId w:val="13"/>
  </w:num>
  <w:num w:numId="18" w16cid:durableId="1768888992">
    <w:abstractNumId w:val="4"/>
  </w:num>
  <w:num w:numId="19" w16cid:durableId="1978877020">
    <w:abstractNumId w:val="7"/>
  </w:num>
  <w:num w:numId="20" w16cid:durableId="1574895776">
    <w:abstractNumId w:val="6"/>
  </w:num>
  <w:num w:numId="21" w16cid:durableId="7212956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909D1"/>
    <w:rsid w:val="000A683E"/>
    <w:rsid w:val="000B19B9"/>
    <w:rsid w:val="000D0334"/>
    <w:rsid w:val="000F6486"/>
    <w:rsid w:val="00125105"/>
    <w:rsid w:val="00127233"/>
    <w:rsid w:val="001B58CC"/>
    <w:rsid w:val="001E4177"/>
    <w:rsid w:val="001F7DC6"/>
    <w:rsid w:val="002421BB"/>
    <w:rsid w:val="0025796E"/>
    <w:rsid w:val="002707A2"/>
    <w:rsid w:val="002951A0"/>
    <w:rsid w:val="002962BC"/>
    <w:rsid w:val="002A093D"/>
    <w:rsid w:val="002A0DD0"/>
    <w:rsid w:val="002A49AC"/>
    <w:rsid w:val="002A64FD"/>
    <w:rsid w:val="002B7F72"/>
    <w:rsid w:val="002C7A84"/>
    <w:rsid w:val="002E4FD9"/>
    <w:rsid w:val="003127E8"/>
    <w:rsid w:val="00322A85"/>
    <w:rsid w:val="00324168"/>
    <w:rsid w:val="003448F4"/>
    <w:rsid w:val="00374F5E"/>
    <w:rsid w:val="00377E3E"/>
    <w:rsid w:val="003A06E6"/>
    <w:rsid w:val="003A26D1"/>
    <w:rsid w:val="003A779E"/>
    <w:rsid w:val="003C2528"/>
    <w:rsid w:val="003D0F4D"/>
    <w:rsid w:val="003D5B0D"/>
    <w:rsid w:val="003E0499"/>
    <w:rsid w:val="003F3941"/>
    <w:rsid w:val="00406575"/>
    <w:rsid w:val="0042722E"/>
    <w:rsid w:val="0044528D"/>
    <w:rsid w:val="004A1847"/>
    <w:rsid w:val="004A305D"/>
    <w:rsid w:val="004F21C4"/>
    <w:rsid w:val="004F685F"/>
    <w:rsid w:val="005566E8"/>
    <w:rsid w:val="00574867"/>
    <w:rsid w:val="00591460"/>
    <w:rsid w:val="00592628"/>
    <w:rsid w:val="00592BE2"/>
    <w:rsid w:val="005C3777"/>
    <w:rsid w:val="005C5CDC"/>
    <w:rsid w:val="005D476C"/>
    <w:rsid w:val="00610812"/>
    <w:rsid w:val="006219F8"/>
    <w:rsid w:val="00650FF7"/>
    <w:rsid w:val="00665D70"/>
    <w:rsid w:val="00671DAC"/>
    <w:rsid w:val="006900D9"/>
    <w:rsid w:val="006D12F8"/>
    <w:rsid w:val="00706C16"/>
    <w:rsid w:val="00756841"/>
    <w:rsid w:val="007649AB"/>
    <w:rsid w:val="00771D0C"/>
    <w:rsid w:val="007833AC"/>
    <w:rsid w:val="007B268C"/>
    <w:rsid w:val="007B47B7"/>
    <w:rsid w:val="007B7171"/>
    <w:rsid w:val="007C0C0F"/>
    <w:rsid w:val="007C3DC2"/>
    <w:rsid w:val="007E5497"/>
    <w:rsid w:val="00806F5F"/>
    <w:rsid w:val="00820278"/>
    <w:rsid w:val="008843B6"/>
    <w:rsid w:val="00891928"/>
    <w:rsid w:val="00893BE4"/>
    <w:rsid w:val="008A446D"/>
    <w:rsid w:val="008D180B"/>
    <w:rsid w:val="008D3147"/>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2503"/>
    <w:rsid w:val="00A17F13"/>
    <w:rsid w:val="00A20739"/>
    <w:rsid w:val="00A33C78"/>
    <w:rsid w:val="00AB0ADB"/>
    <w:rsid w:val="00AF5091"/>
    <w:rsid w:val="00B01B1A"/>
    <w:rsid w:val="00B03C7D"/>
    <w:rsid w:val="00B72CD3"/>
    <w:rsid w:val="00B72FFF"/>
    <w:rsid w:val="00B97AB8"/>
    <w:rsid w:val="00BC3D36"/>
    <w:rsid w:val="00BC6C4D"/>
    <w:rsid w:val="00BD258B"/>
    <w:rsid w:val="00BD7F72"/>
    <w:rsid w:val="00C04FB3"/>
    <w:rsid w:val="00C330EB"/>
    <w:rsid w:val="00C754BE"/>
    <w:rsid w:val="00C76B1C"/>
    <w:rsid w:val="00CB6357"/>
    <w:rsid w:val="00CC1B26"/>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58A7"/>
    <w:rsid w:val="00F5664F"/>
    <w:rsid w:val="00F666C4"/>
    <w:rsid w:val="00F76AFC"/>
    <w:rsid w:val="00FA47C0"/>
    <w:rsid w:val="00FB5DD1"/>
    <w:rsid w:val="00FC2B5D"/>
    <w:rsid w:val="00FF1449"/>
    <w:rsid w:val="11E76B71"/>
    <w:rsid w:val="5CEADB7B"/>
    <w:rsid w:val="643C1A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boletin_de_realtoria_iii.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de-infraestructura-de-transport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ae.e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29DDD67-9053-4D0C-B588-C6115E2B6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www.w3.org/XML/1998/namespace"/>
    <ds:schemaRef ds:uri="http://schemas.microsoft.com/office/2006/metadata/properties"/>
    <ds:schemaRef ds:uri="http://schemas.microsoft.com/office/infopath/2007/PartnerControls"/>
    <ds:schemaRef ds:uri="http://purl.org/dc/terms/"/>
    <ds:schemaRef ds:uri="http://schemas.microsoft.com/office/2006/documentManagement/types"/>
    <ds:schemaRef ds:uri="http://purl.org/dc/elements/1.1/"/>
    <ds:schemaRef ds:uri="a6cb9e4b-f1d1-4245-83ec-6cad768d538a"/>
    <ds:schemaRef ds:uri="http://schemas.openxmlformats.org/package/2006/metadata/core-properties"/>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3106</Words>
  <Characters>17089</Characters>
  <Application>Microsoft Office Word</Application>
  <DocSecurity>0</DocSecurity>
  <Lines>142</Lines>
  <Paragraphs>40</Paragraphs>
  <ScaleCrop>false</ScaleCrop>
  <Company/>
  <LinksUpToDate>false</LinksUpToDate>
  <CharactersWithSpaces>20155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2024-10-10T14:57:00Z</dcterms:created>
  <dcterms:modified xsi:type="dcterms:W3CDTF">2024-10-10T14:57:00Z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