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67798" w14:textId="459B891F"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bookmarkStart w:id="0" w:name="_Hlk78821436"/>
    </w:p>
    <w:p w14:paraId="5D76DA7C" w14:textId="77777777" w:rsidR="008E4ABB" w:rsidRPr="00691B3E" w:rsidRDefault="008E4ABB" w:rsidP="008E4ABB">
      <w:pPr>
        <w:spacing w:after="0" w:line="240" w:lineRule="auto"/>
        <w:rPr>
          <w:rFonts w:ascii="Arial" w:eastAsia="Calibri" w:hAnsi="Arial" w:cs="Arial"/>
          <w:b/>
          <w:bCs/>
          <w:color w:val="000000" w:themeColor="text1"/>
          <w:sz w:val="22"/>
          <w:lang w:eastAsia="es-ES_tradnl"/>
        </w:rPr>
      </w:pPr>
      <w:r w:rsidRPr="00691B3E">
        <w:rPr>
          <w:rFonts w:ascii="Arial" w:eastAsia="Calibri" w:hAnsi="Arial" w:cs="Arial"/>
          <w:b/>
          <w:bCs/>
          <w:color w:val="000000" w:themeColor="text1"/>
          <w:sz w:val="22"/>
          <w:lang w:eastAsia="es-ES_tradnl"/>
        </w:rPr>
        <w:t xml:space="preserve">CONVENIOS SOLIDARIOS – </w:t>
      </w:r>
      <w:r w:rsidRPr="00691B3E">
        <w:rPr>
          <w:rFonts w:ascii="Arial" w:eastAsia="Calibri" w:hAnsi="Arial" w:cs="Arial"/>
          <w:b/>
          <w:bCs/>
          <w:color w:val="000000" w:themeColor="text1"/>
          <w:sz w:val="22"/>
          <w:lang w:val="es-ES" w:eastAsia="es-ES_tradnl"/>
        </w:rPr>
        <w:t xml:space="preserve">Marco normativo </w:t>
      </w:r>
    </w:p>
    <w:p w14:paraId="33A89FD7" w14:textId="77777777" w:rsidR="008E4ABB" w:rsidRPr="008E4ABB" w:rsidRDefault="008E4ABB" w:rsidP="008E4ABB">
      <w:pPr>
        <w:spacing w:after="0" w:line="240" w:lineRule="auto"/>
        <w:rPr>
          <w:rFonts w:ascii="Arial" w:eastAsia="Calibri" w:hAnsi="Arial" w:cs="Arial"/>
          <w:b/>
          <w:bCs/>
          <w:color w:val="000000" w:themeColor="text1"/>
          <w:sz w:val="20"/>
          <w:szCs w:val="20"/>
          <w:lang w:eastAsia="es-ES_tradnl"/>
        </w:rPr>
      </w:pPr>
    </w:p>
    <w:p w14:paraId="6708B7F2"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r w:rsidRPr="008E4ABB">
        <w:rPr>
          <w:rFonts w:ascii="Arial" w:eastAsia="Calibri" w:hAnsi="Arial" w:cs="Arial"/>
          <w:bCs/>
          <w:color w:val="000000" w:themeColor="text1"/>
          <w:sz w:val="20"/>
          <w:szCs w:val="20"/>
          <w:lang w:val="es-ES" w:eastAsia="es-ES_tradnl"/>
        </w:rPr>
        <w:t xml:space="preserve">En concordancia 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las comunidades».  de obras y la satisfacción de necesidades y aspiraciones de las comunidades» </w:t>
      </w:r>
    </w:p>
    <w:p w14:paraId="5485ABA2"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p>
    <w:p w14:paraId="27165532" w14:textId="77777777" w:rsidR="008E4ABB" w:rsidRPr="00691B3E" w:rsidRDefault="008E4ABB" w:rsidP="008E4ABB">
      <w:pPr>
        <w:spacing w:after="0" w:line="240" w:lineRule="auto"/>
        <w:rPr>
          <w:rFonts w:ascii="Arial" w:eastAsia="Calibri" w:hAnsi="Arial" w:cs="Arial"/>
          <w:b/>
          <w:bCs/>
          <w:color w:val="000000" w:themeColor="text1"/>
          <w:sz w:val="22"/>
          <w:lang w:val="es-ES" w:eastAsia="es-ES_tradnl"/>
        </w:rPr>
      </w:pPr>
      <w:r w:rsidRPr="00691B3E">
        <w:rPr>
          <w:rFonts w:ascii="Arial" w:eastAsia="Calibri" w:hAnsi="Arial" w:cs="Arial"/>
          <w:b/>
          <w:bCs/>
          <w:color w:val="000000" w:themeColor="text1"/>
          <w:sz w:val="22"/>
          <w:lang w:val="es-ES" w:eastAsia="es-ES_tradnl"/>
        </w:rPr>
        <w:t xml:space="preserve">LEY 136 DE 1994 – </w:t>
      </w:r>
      <w:r w:rsidRPr="00691B3E">
        <w:rPr>
          <w:rFonts w:ascii="Arial" w:eastAsia="Calibri" w:hAnsi="Arial" w:cs="Arial"/>
          <w:b/>
          <w:bCs/>
          <w:color w:val="000000" w:themeColor="text1"/>
          <w:sz w:val="22"/>
          <w:lang w:val="es-CO" w:eastAsia="es-ES_tradnl"/>
        </w:rPr>
        <w:t xml:space="preserve">Convenios Solidarios </w:t>
      </w:r>
      <w:r w:rsidRPr="00691B3E">
        <w:rPr>
          <w:rFonts w:ascii="Arial" w:eastAsia="Calibri" w:hAnsi="Arial" w:cs="Arial"/>
          <w:b/>
          <w:bCs/>
          <w:color w:val="000000" w:themeColor="text1"/>
          <w:sz w:val="22"/>
          <w:lang w:val="es-ES" w:eastAsia="es-ES_tradnl"/>
        </w:rPr>
        <w:t xml:space="preserve">– Ámbito de aplicación – Organismos de acción comunal </w:t>
      </w:r>
    </w:p>
    <w:p w14:paraId="1ECF35DC" w14:textId="77777777" w:rsidR="008E4ABB" w:rsidRPr="008E4ABB" w:rsidRDefault="008E4ABB" w:rsidP="008E4ABB">
      <w:pPr>
        <w:spacing w:after="0" w:line="240" w:lineRule="auto"/>
        <w:rPr>
          <w:rFonts w:ascii="Arial" w:eastAsia="Calibri" w:hAnsi="Arial" w:cs="Arial"/>
          <w:b/>
          <w:bCs/>
          <w:color w:val="000000" w:themeColor="text1"/>
          <w:sz w:val="20"/>
          <w:szCs w:val="20"/>
          <w:lang w:val="es-ES" w:eastAsia="es-ES_tradnl"/>
        </w:rPr>
      </w:pPr>
    </w:p>
    <w:p w14:paraId="0E51F278"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r w:rsidRPr="008E4ABB">
        <w:rPr>
          <w:rFonts w:ascii="Arial" w:eastAsia="Calibri" w:hAnsi="Arial" w:cs="Arial"/>
          <w:bCs/>
          <w:color w:val="000000" w:themeColor="text1"/>
          <w:sz w:val="20"/>
          <w:szCs w:val="20"/>
          <w:lang w:val="es-ES" w:eastAsia="es-ES_tradnl"/>
        </w:rPr>
        <w:t xml:space="preserve">[…] el artículo tercero de la Ley 136 de 1994, modificado por la Ley 1551 de 2012, determina tres alternativas mediante las cuales las entidades territoriales pueden celebrar convenios solidarios con organismos de acción comunal, las cuales se enlistan a continuación: 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roofErr w:type="spellStart"/>
      <w:r w:rsidRPr="008E4ABB">
        <w:rPr>
          <w:rFonts w:ascii="Arial" w:eastAsia="Calibri" w:hAnsi="Arial" w:cs="Arial"/>
          <w:bCs/>
          <w:color w:val="000000" w:themeColor="text1"/>
          <w:sz w:val="20"/>
          <w:szCs w:val="20"/>
          <w:lang w:val="es-ES" w:eastAsia="es-ES_tradnl"/>
        </w:rPr>
        <w:t>iii</w:t>
      </w:r>
      <w:proofErr w:type="spellEnd"/>
      <w:r w:rsidRPr="008E4ABB">
        <w:rPr>
          <w:rFonts w:ascii="Arial" w:eastAsia="Calibri" w:hAnsi="Arial" w:cs="Arial"/>
          <w:bCs/>
          <w:color w:val="000000" w:themeColor="text1"/>
          <w:sz w:val="20"/>
          <w:szCs w:val="20"/>
          <w:lang w:val="es-ES" w:eastAsia="es-ES_tradnl"/>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78CFAC3F" w14:textId="77777777" w:rsidR="008E4ABB" w:rsidRPr="008E4ABB" w:rsidRDefault="008E4ABB" w:rsidP="008E4ABB">
      <w:pPr>
        <w:spacing w:after="0" w:line="240" w:lineRule="auto"/>
        <w:rPr>
          <w:rFonts w:ascii="Arial" w:eastAsia="Calibri" w:hAnsi="Arial" w:cs="Arial"/>
          <w:bCs/>
          <w:color w:val="000000" w:themeColor="text1"/>
          <w:sz w:val="20"/>
          <w:szCs w:val="20"/>
          <w:lang w:val="es-ES" w:eastAsia="es-ES_tradnl"/>
        </w:rPr>
      </w:pPr>
    </w:p>
    <w:p w14:paraId="171A36CD" w14:textId="77777777" w:rsidR="008E3D73" w:rsidRDefault="008E3D73" w:rsidP="00403E6E">
      <w:pPr>
        <w:spacing w:after="0"/>
        <w:jc w:val="right"/>
        <w:rPr>
          <w:rFonts w:ascii="Arial" w:eastAsia="Calibri" w:hAnsi="Arial" w:cs="Arial"/>
          <w:b/>
          <w:bCs/>
          <w:color w:val="000000" w:themeColor="text1"/>
          <w:sz w:val="20"/>
          <w:szCs w:val="20"/>
          <w:lang w:val="es-ES"/>
        </w:rPr>
      </w:pPr>
      <w:bookmarkStart w:id="1" w:name="_Hlk29890381"/>
      <w:bookmarkEnd w:id="0"/>
      <w:bookmarkEnd w:id="1"/>
    </w:p>
    <w:p w14:paraId="374AD2E9" w14:textId="2A180C3D" w:rsidR="008E3D73" w:rsidRDefault="00B336F3" w:rsidP="00B336F3">
      <w:pPr>
        <w:spacing w:after="0"/>
        <w:rPr>
          <w:rFonts w:ascii="Arial" w:eastAsia="Calibri" w:hAnsi="Arial" w:cs="Arial"/>
          <w:b/>
          <w:bCs/>
          <w:color w:val="000000" w:themeColor="text1"/>
          <w:sz w:val="20"/>
          <w:szCs w:val="20"/>
          <w:lang w:val="es-ES"/>
        </w:rPr>
      </w:pPr>
      <w:r>
        <w:rPr>
          <w:rFonts w:ascii="Arial" w:eastAsia="Calibri" w:hAnsi="Arial" w:cs="Arial"/>
          <w:b/>
          <w:bCs/>
          <w:color w:val="000000" w:themeColor="text1"/>
          <w:sz w:val="20"/>
          <w:szCs w:val="20"/>
          <w:lang w:val="es-ES"/>
        </w:rPr>
        <w:t>CONVENIO SOLIDARIO – L</w:t>
      </w:r>
      <w:r w:rsidR="00006285">
        <w:rPr>
          <w:rFonts w:ascii="Arial" w:eastAsia="Calibri" w:hAnsi="Arial" w:cs="Arial"/>
          <w:b/>
          <w:bCs/>
          <w:color w:val="000000" w:themeColor="text1"/>
          <w:sz w:val="20"/>
          <w:szCs w:val="20"/>
          <w:lang w:val="es-ES"/>
        </w:rPr>
        <w:t>ey</w:t>
      </w:r>
      <w:r>
        <w:rPr>
          <w:rFonts w:ascii="Arial" w:eastAsia="Calibri" w:hAnsi="Arial" w:cs="Arial"/>
          <w:b/>
          <w:bCs/>
          <w:color w:val="000000" w:themeColor="text1"/>
          <w:sz w:val="20"/>
          <w:szCs w:val="20"/>
          <w:lang w:val="es-ES"/>
        </w:rPr>
        <w:t xml:space="preserve"> 2166 </w:t>
      </w:r>
      <w:r w:rsidR="00006285">
        <w:rPr>
          <w:rFonts w:ascii="Arial" w:eastAsia="Calibri" w:hAnsi="Arial" w:cs="Arial"/>
          <w:b/>
          <w:bCs/>
          <w:color w:val="000000" w:themeColor="text1"/>
          <w:sz w:val="20"/>
          <w:szCs w:val="20"/>
          <w:lang w:val="es-ES"/>
        </w:rPr>
        <w:t>de</w:t>
      </w:r>
      <w:r>
        <w:rPr>
          <w:rFonts w:ascii="Arial" w:eastAsia="Calibri" w:hAnsi="Arial" w:cs="Arial"/>
          <w:b/>
          <w:bCs/>
          <w:color w:val="000000" w:themeColor="text1"/>
          <w:sz w:val="20"/>
          <w:szCs w:val="20"/>
          <w:lang w:val="es-ES"/>
        </w:rPr>
        <w:t xml:space="preserve"> 2021 </w:t>
      </w:r>
    </w:p>
    <w:p w14:paraId="6FB2A983" w14:textId="4287F1EB" w:rsidR="00B336F3" w:rsidRDefault="00B336F3" w:rsidP="00B336F3">
      <w:pPr>
        <w:spacing w:after="0"/>
        <w:rPr>
          <w:rFonts w:ascii="Arial" w:eastAsia="Calibri" w:hAnsi="Arial" w:cs="Arial"/>
          <w:b/>
          <w:bCs/>
          <w:color w:val="000000" w:themeColor="text1"/>
          <w:sz w:val="20"/>
          <w:szCs w:val="20"/>
          <w:lang w:val="es-ES"/>
        </w:rPr>
      </w:pPr>
    </w:p>
    <w:p w14:paraId="0E44EE8B" w14:textId="77777777" w:rsidR="00B336F3" w:rsidRPr="0087657E" w:rsidRDefault="00B336F3" w:rsidP="0087657E">
      <w:pPr>
        <w:spacing w:line="240" w:lineRule="auto"/>
        <w:rPr>
          <w:rFonts w:ascii="Arial" w:hAnsi="Arial" w:cs="Arial"/>
          <w:bCs/>
          <w:color w:val="000000" w:themeColor="text1"/>
          <w:sz w:val="20"/>
          <w:szCs w:val="20"/>
          <w:lang w:eastAsia="es-MX"/>
        </w:rPr>
      </w:pPr>
      <w:r w:rsidRPr="0087657E">
        <w:rPr>
          <w:rFonts w:ascii="Arial" w:hAnsi="Arial" w:cs="Arial"/>
          <w:bCs/>
          <w:color w:val="000000" w:themeColor="text1"/>
          <w:sz w:val="20"/>
          <w:szCs w:val="20"/>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dicho cuerpo normativo esta ley tiene por objeto </w:t>
      </w:r>
      <w:r w:rsidRPr="0087657E">
        <w:rPr>
          <w:rFonts w:ascii="Arial" w:eastAsia="Calibri" w:hAnsi="Arial" w:cs="Arial"/>
          <w:color w:val="000000" w:themeColor="text1"/>
          <w:sz w:val="20"/>
          <w:szCs w:val="20"/>
          <w:lang w:val="es-ES_tradnl"/>
        </w:rPr>
        <w:t>«</w:t>
      </w:r>
      <w:r w:rsidRPr="0087657E">
        <w:rPr>
          <w:rFonts w:ascii="Arial" w:hAnsi="Arial" w:cs="Arial"/>
          <w:bCs/>
          <w:color w:val="000000" w:themeColor="text1"/>
          <w:sz w:val="20"/>
          <w:szCs w:val="20"/>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87657E">
        <w:rPr>
          <w:rFonts w:ascii="Arial" w:eastAsia="Calibri" w:hAnsi="Arial" w:cs="Arial"/>
          <w:color w:val="000000" w:themeColor="text1"/>
          <w:sz w:val="20"/>
          <w:szCs w:val="20"/>
          <w:lang w:val="es-ES_tradnl"/>
        </w:rPr>
        <w:t>»</w:t>
      </w:r>
      <w:r w:rsidRPr="0087657E">
        <w:rPr>
          <w:rFonts w:ascii="Arial" w:hAnsi="Arial" w:cs="Arial"/>
          <w:bCs/>
          <w:color w:val="000000" w:themeColor="text1"/>
          <w:sz w:val="20"/>
          <w:szCs w:val="20"/>
          <w:lang w:eastAsia="es-MX"/>
        </w:rPr>
        <w:t xml:space="preserve">. </w:t>
      </w:r>
    </w:p>
    <w:p w14:paraId="74588FAC" w14:textId="05800C83" w:rsidR="00B336F3" w:rsidRPr="00B336F3" w:rsidRDefault="00B336F3" w:rsidP="0087657E">
      <w:pPr>
        <w:spacing w:after="0" w:line="240" w:lineRule="auto"/>
        <w:rPr>
          <w:rFonts w:ascii="Arial" w:eastAsia="Calibri" w:hAnsi="Arial" w:cs="Arial"/>
          <w:b/>
          <w:bCs/>
          <w:color w:val="000000" w:themeColor="text1"/>
          <w:sz w:val="20"/>
          <w:szCs w:val="20"/>
          <w:lang w:val="es-ES"/>
        </w:rPr>
      </w:pPr>
      <w:r w:rsidRPr="0087657E">
        <w:rPr>
          <w:rFonts w:ascii="Arial" w:hAnsi="Arial" w:cs="Arial"/>
          <w:bCs/>
          <w:color w:val="000000" w:themeColor="text1"/>
          <w:sz w:val="20"/>
          <w:szCs w:val="20"/>
          <w:lang w:eastAsia="es-MX"/>
        </w:rPr>
        <w:t>En desarrollo de lo anterior, el artículo 95 de dicha ley contempla la celebración de directa de convenios solidarios entre organismos de acción comunal y «los entes territoriales del orden Nacional, Departamental, Distrital y municipal»</w:t>
      </w:r>
    </w:p>
    <w:p w14:paraId="65E4CD87" w14:textId="77777777" w:rsidR="008E3D73" w:rsidRDefault="008E3D73" w:rsidP="00403E6E">
      <w:pPr>
        <w:spacing w:after="0"/>
        <w:jc w:val="right"/>
        <w:rPr>
          <w:rFonts w:ascii="Arial" w:eastAsia="Calibri" w:hAnsi="Arial" w:cs="Arial"/>
          <w:b/>
          <w:bCs/>
          <w:color w:val="000000" w:themeColor="text1"/>
          <w:sz w:val="20"/>
          <w:szCs w:val="20"/>
          <w:lang w:val="es-ES"/>
        </w:rPr>
      </w:pPr>
    </w:p>
    <w:p w14:paraId="43A3A9AA" w14:textId="77777777" w:rsidR="008E3D73" w:rsidRDefault="008E3D73" w:rsidP="00403E6E">
      <w:pPr>
        <w:spacing w:after="0"/>
        <w:jc w:val="right"/>
        <w:rPr>
          <w:rFonts w:ascii="Arial" w:eastAsia="Calibri" w:hAnsi="Arial" w:cs="Arial"/>
          <w:b/>
          <w:bCs/>
          <w:color w:val="000000" w:themeColor="text1"/>
          <w:sz w:val="20"/>
          <w:szCs w:val="20"/>
          <w:lang w:val="es-ES"/>
        </w:rPr>
      </w:pPr>
    </w:p>
    <w:p w14:paraId="2C2873F7" w14:textId="77777777" w:rsidR="008E3D73" w:rsidRDefault="008E3D73" w:rsidP="00403E6E">
      <w:pPr>
        <w:spacing w:after="0"/>
        <w:jc w:val="right"/>
        <w:rPr>
          <w:rFonts w:ascii="Arial" w:eastAsia="Calibri" w:hAnsi="Arial" w:cs="Arial"/>
          <w:b/>
          <w:bCs/>
          <w:color w:val="000000" w:themeColor="text1"/>
          <w:sz w:val="20"/>
          <w:szCs w:val="20"/>
          <w:lang w:val="es-ES"/>
        </w:rPr>
      </w:pPr>
    </w:p>
    <w:p w14:paraId="37C5D193" w14:textId="77777777" w:rsidR="008E3D73" w:rsidRDefault="008E3D73" w:rsidP="00403E6E">
      <w:pPr>
        <w:spacing w:after="0"/>
        <w:jc w:val="right"/>
        <w:rPr>
          <w:rFonts w:ascii="Arial" w:eastAsia="Calibri" w:hAnsi="Arial" w:cs="Arial"/>
          <w:b/>
          <w:bCs/>
          <w:color w:val="000000" w:themeColor="text1"/>
          <w:sz w:val="20"/>
          <w:szCs w:val="20"/>
          <w:lang w:val="es-ES"/>
        </w:rPr>
      </w:pPr>
    </w:p>
    <w:p w14:paraId="2EB4DA39" w14:textId="587796DF" w:rsidR="00491E2D" w:rsidRDefault="00491E2D" w:rsidP="00B336F3">
      <w:pPr>
        <w:spacing w:after="0"/>
        <w:rPr>
          <w:rFonts w:ascii="Arial" w:eastAsia="Calibri" w:hAnsi="Arial" w:cs="Arial"/>
          <w:b/>
          <w:bCs/>
          <w:color w:val="000000" w:themeColor="text1"/>
          <w:sz w:val="20"/>
          <w:szCs w:val="20"/>
          <w:lang w:val="es-ES"/>
        </w:rPr>
      </w:pPr>
    </w:p>
    <w:p w14:paraId="7EE3E0F8" w14:textId="77777777" w:rsidR="00B336F3" w:rsidRDefault="00B336F3" w:rsidP="00B336F3">
      <w:pPr>
        <w:spacing w:after="0"/>
        <w:rPr>
          <w:rFonts w:ascii="Arial" w:eastAsia="Calibri" w:hAnsi="Arial" w:cs="Arial"/>
          <w:b/>
          <w:bCs/>
          <w:color w:val="000000" w:themeColor="text1"/>
          <w:sz w:val="20"/>
          <w:szCs w:val="20"/>
          <w:lang w:val="es-ES"/>
        </w:rPr>
      </w:pPr>
    </w:p>
    <w:p w14:paraId="4E17CCE0" w14:textId="5A380530" w:rsidR="00303D47" w:rsidRPr="00403E6E" w:rsidRDefault="00152CA8" w:rsidP="00403E6E">
      <w:pPr>
        <w:spacing w:after="0"/>
        <w:jc w:val="right"/>
        <w:rPr>
          <w:rFonts w:ascii="Arial" w:eastAsia="Calibri" w:hAnsi="Arial" w:cs="Arial"/>
          <w:b/>
          <w:bCs/>
          <w:sz w:val="16"/>
          <w:szCs w:val="16"/>
          <w:lang w:val="es-CO"/>
        </w:rPr>
      </w:pPr>
      <w:r w:rsidRPr="000E190F">
        <w:rPr>
          <w:rFonts w:ascii="Arial" w:eastAsia="Times New Roman" w:hAnsi="Arial" w:cs="Arial"/>
          <w:b/>
          <w:bCs/>
          <w:sz w:val="16"/>
          <w:szCs w:val="16"/>
          <w:lang w:val="es-CO" w:eastAsia="es-ES"/>
        </w:rPr>
        <w:lastRenderedPageBreak/>
        <w:t>CCE-DES-FM-17</w:t>
      </w:r>
    </w:p>
    <w:p w14:paraId="517C0A77" w14:textId="4E0E6A11" w:rsidR="00646770" w:rsidRPr="00646770" w:rsidRDefault="00646770" w:rsidP="00646770">
      <w:pPr>
        <w:spacing w:after="0" w:line="240" w:lineRule="auto"/>
        <w:jc w:val="right"/>
        <w:rPr>
          <w:rFonts w:ascii="Times New Roman" w:eastAsia="Times New Roman" w:hAnsi="Times New Roman" w:cs="Times New Roman"/>
          <w:szCs w:val="24"/>
          <w:lang w:val="es-CO" w:eastAsia="es-MX"/>
        </w:rPr>
      </w:pPr>
      <w:r w:rsidRPr="00646770">
        <w:rPr>
          <w:rFonts w:ascii="Times New Roman" w:eastAsia="Times New Roman" w:hAnsi="Times New Roman" w:cs="Times New Roman"/>
          <w:szCs w:val="24"/>
          <w:lang w:val="es-CO" w:eastAsia="es-MX"/>
        </w:rPr>
        <w:fldChar w:fldCharType="begin"/>
      </w:r>
      <w:r w:rsidRPr="00646770">
        <w:rPr>
          <w:rFonts w:ascii="Times New Roman" w:eastAsia="Times New Roman" w:hAnsi="Times New Roman" w:cs="Times New Roman"/>
          <w:szCs w:val="24"/>
          <w:lang w:val="es-CO" w:eastAsia="es-MX"/>
        </w:rPr>
        <w:instrText xml:space="preserve"> INCLUDEPICTURE "/var/folders/tb/0fmk9b510f57pz5rwhv8lnpw0000gp/T/com.microsoft.Word/WebArchiveCopyPasteTempFiles/page1image19268832" \* MERGEFORMATINET </w:instrText>
      </w:r>
      <w:r w:rsidRPr="00646770">
        <w:rPr>
          <w:rFonts w:ascii="Times New Roman" w:eastAsia="Times New Roman" w:hAnsi="Times New Roman" w:cs="Times New Roman"/>
          <w:szCs w:val="24"/>
          <w:lang w:val="es-CO" w:eastAsia="es-MX"/>
        </w:rPr>
        <w:fldChar w:fldCharType="separate"/>
      </w:r>
      <w:r w:rsidRPr="00646770">
        <w:rPr>
          <w:rFonts w:ascii="Times New Roman" w:eastAsia="Times New Roman" w:hAnsi="Times New Roman" w:cs="Times New Roman"/>
          <w:noProof/>
          <w:szCs w:val="24"/>
          <w:lang w:val="es-CO" w:eastAsia="es-MX"/>
        </w:rPr>
        <w:drawing>
          <wp:inline distT="0" distB="0" distL="0" distR="0" wp14:anchorId="6E4E6B6C" wp14:editId="0DF6BF1D">
            <wp:extent cx="2401570" cy="605790"/>
            <wp:effectExtent l="0" t="0" r="0" b="3810"/>
            <wp:docPr id="1" name="Imagen 1" descr="page1image19268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192688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646770">
        <w:rPr>
          <w:rFonts w:ascii="Times New Roman" w:eastAsia="Times New Roman" w:hAnsi="Times New Roman" w:cs="Times New Roman"/>
          <w:szCs w:val="24"/>
          <w:lang w:val="es-CO" w:eastAsia="es-MX"/>
        </w:rPr>
        <w:fldChar w:fldCharType="end"/>
      </w:r>
    </w:p>
    <w:p w14:paraId="2B4AFEA8" w14:textId="77777777" w:rsidR="003145DA" w:rsidRDefault="003145DA" w:rsidP="00970DF4">
      <w:pPr>
        <w:spacing w:after="0" w:line="240" w:lineRule="auto"/>
        <w:rPr>
          <w:rFonts w:ascii="Arial" w:eastAsia="Calibri" w:hAnsi="Arial" w:cs="Arial"/>
          <w:noProof/>
          <w:sz w:val="22"/>
          <w:lang w:val="es-CO"/>
        </w:rPr>
      </w:pPr>
    </w:p>
    <w:p w14:paraId="405CE783" w14:textId="140EB75E" w:rsidR="0089381E" w:rsidRDefault="003145DA" w:rsidP="00970DF4">
      <w:pPr>
        <w:spacing w:after="0" w:line="240" w:lineRule="auto"/>
        <w:rPr>
          <w:rFonts w:ascii="Arial" w:eastAsia="Calibri" w:hAnsi="Arial" w:cs="Arial"/>
          <w:noProof/>
          <w:sz w:val="22"/>
          <w:lang w:val="es-CO"/>
        </w:rPr>
      </w:pPr>
      <w:r>
        <w:rPr>
          <w:rFonts w:ascii="Arial" w:eastAsia="Calibri" w:hAnsi="Arial" w:cs="Arial"/>
          <w:noProof/>
          <w:sz w:val="22"/>
          <w:lang w:val="es-CO"/>
        </w:rPr>
        <w:t xml:space="preserve">Bogotá D.C., </w:t>
      </w:r>
      <w:r w:rsidR="00006285">
        <w:rPr>
          <w:rFonts w:ascii="Arial" w:eastAsia="Calibri" w:hAnsi="Arial" w:cs="Arial"/>
          <w:noProof/>
          <w:sz w:val="22"/>
          <w:lang w:val="es-CO"/>
        </w:rPr>
        <w:t>15 de julio de 2022</w:t>
      </w:r>
    </w:p>
    <w:p w14:paraId="2435DC76" w14:textId="12307C17" w:rsidR="0089381E" w:rsidRDefault="0089381E" w:rsidP="003145DA">
      <w:pPr>
        <w:spacing w:after="0" w:line="240" w:lineRule="auto"/>
        <w:rPr>
          <w:rFonts w:ascii="Arial" w:eastAsia="Calibri" w:hAnsi="Arial" w:cs="Arial"/>
          <w:sz w:val="22"/>
          <w:lang w:val="es-CO"/>
        </w:rPr>
      </w:pPr>
    </w:p>
    <w:p w14:paraId="69154516" w14:textId="77777777" w:rsidR="003145DA" w:rsidRPr="00446B03" w:rsidRDefault="003145DA" w:rsidP="00970DF4">
      <w:pPr>
        <w:spacing w:after="0" w:line="240" w:lineRule="auto"/>
        <w:rPr>
          <w:rFonts w:ascii="Arial" w:eastAsia="Calibri" w:hAnsi="Arial" w:cs="Arial"/>
          <w:sz w:val="22"/>
          <w:lang w:val="es-CO"/>
        </w:rPr>
      </w:pPr>
    </w:p>
    <w:p w14:paraId="6AC2AE5F" w14:textId="3B05253F" w:rsidR="00975490" w:rsidRDefault="00AF7FCE" w:rsidP="00975490">
      <w:pPr>
        <w:spacing w:after="0" w:line="240" w:lineRule="auto"/>
        <w:rPr>
          <w:rFonts w:ascii="Arial" w:eastAsia="Calibri" w:hAnsi="Arial" w:cs="Arial"/>
          <w:sz w:val="22"/>
          <w:lang w:val="es-CO"/>
        </w:rPr>
      </w:pPr>
      <w:bookmarkStart w:id="2" w:name="_Hlk96417464"/>
      <w:r>
        <w:rPr>
          <w:rFonts w:ascii="Arial" w:eastAsia="Calibri" w:hAnsi="Arial" w:cs="Arial"/>
          <w:sz w:val="22"/>
          <w:lang w:val="es-CO"/>
        </w:rPr>
        <w:t>Señor</w:t>
      </w:r>
      <w:r w:rsidR="008E3D73">
        <w:rPr>
          <w:rFonts w:ascii="Arial" w:eastAsia="Calibri" w:hAnsi="Arial" w:cs="Arial"/>
          <w:sz w:val="22"/>
          <w:lang w:val="es-CO"/>
        </w:rPr>
        <w:t>a</w:t>
      </w:r>
    </w:p>
    <w:p w14:paraId="4F72AE9D" w14:textId="39B28EB6" w:rsidR="008E3D73" w:rsidRPr="008E3D73" w:rsidRDefault="008E3D73" w:rsidP="00975490">
      <w:pPr>
        <w:spacing w:after="0" w:line="240" w:lineRule="auto"/>
        <w:rPr>
          <w:rFonts w:ascii="Arial" w:eastAsia="Calibri" w:hAnsi="Arial" w:cs="Arial"/>
          <w:b/>
          <w:bCs/>
          <w:sz w:val="22"/>
          <w:lang w:val="es-CO"/>
        </w:rPr>
      </w:pPr>
      <w:r w:rsidRPr="008E3D73">
        <w:rPr>
          <w:rFonts w:ascii="Arial" w:eastAsia="Calibri" w:hAnsi="Arial" w:cs="Arial"/>
          <w:b/>
          <w:bCs/>
          <w:sz w:val="22"/>
          <w:lang w:val="es-CO"/>
        </w:rPr>
        <w:t>Beatriz Eugenia Pacheco</w:t>
      </w:r>
    </w:p>
    <w:p w14:paraId="12199BE2" w14:textId="532FE1E1" w:rsidR="008E3D73" w:rsidRPr="00446B03" w:rsidRDefault="008E3D73" w:rsidP="00975490">
      <w:pPr>
        <w:spacing w:after="0" w:line="240" w:lineRule="auto"/>
        <w:rPr>
          <w:rFonts w:ascii="Arial" w:eastAsia="Calibri" w:hAnsi="Arial" w:cs="Arial"/>
          <w:sz w:val="22"/>
          <w:lang w:val="es-CO"/>
        </w:rPr>
      </w:pPr>
      <w:r>
        <w:rPr>
          <w:rFonts w:ascii="Arial" w:eastAsia="Calibri" w:hAnsi="Arial" w:cs="Arial"/>
          <w:sz w:val="22"/>
          <w:lang w:val="es-CO"/>
        </w:rPr>
        <w:t xml:space="preserve">Ocaña, Norte de Santander </w:t>
      </w:r>
    </w:p>
    <w:p w14:paraId="20C73A65" w14:textId="7B61AD8E" w:rsidR="002B72C0" w:rsidRDefault="002B72C0" w:rsidP="000641BE">
      <w:pPr>
        <w:spacing w:after="0" w:line="240" w:lineRule="auto"/>
        <w:rPr>
          <w:rFonts w:ascii="Arial" w:eastAsia="Calibri" w:hAnsi="Arial" w:cs="Arial"/>
          <w:sz w:val="22"/>
          <w:lang w:val="es-CO"/>
        </w:rPr>
      </w:pPr>
    </w:p>
    <w:p w14:paraId="6D4C0AFB" w14:textId="77777777" w:rsidR="006042F9" w:rsidRPr="00446B03" w:rsidRDefault="006042F9" w:rsidP="000641BE">
      <w:pPr>
        <w:spacing w:after="0" w:line="240" w:lineRule="auto"/>
        <w:rPr>
          <w:rFonts w:ascii="Arial" w:eastAsia="Calibri" w:hAnsi="Arial" w:cs="Arial"/>
          <w:sz w:val="22"/>
          <w:lang w:val="es-CO"/>
        </w:rPr>
      </w:pPr>
    </w:p>
    <w:p w14:paraId="6316E3D6" w14:textId="58A045D0" w:rsidR="00FE0395" w:rsidRPr="00446B03" w:rsidRDefault="00904CD9" w:rsidP="000641BE">
      <w:pPr>
        <w:spacing w:after="0" w:line="240" w:lineRule="auto"/>
        <w:rPr>
          <w:rFonts w:ascii="Arial" w:hAnsi="Arial" w:cs="Arial"/>
          <w:sz w:val="22"/>
          <w:lang w:val="es-CO"/>
        </w:rPr>
      </w:pPr>
      <w:r w:rsidRPr="00446B03">
        <w:rPr>
          <w:rFonts w:ascii="Arial" w:eastAsia="Calibri" w:hAnsi="Arial" w:cs="Arial"/>
          <w:sz w:val="22"/>
          <w:lang w:val="es-CO"/>
        </w:rPr>
        <w:t xml:space="preserve">                                            </w:t>
      </w:r>
      <w:r w:rsidRPr="00446B03">
        <w:rPr>
          <w:rFonts w:ascii="Arial" w:eastAsia="Calibri" w:hAnsi="Arial" w:cs="Arial"/>
          <w:b/>
          <w:sz w:val="22"/>
          <w:lang w:val="es-CO"/>
        </w:rPr>
        <w:t xml:space="preserve">Concepto C </w:t>
      </w:r>
      <w:r w:rsidRPr="000E190F">
        <w:rPr>
          <w:rFonts w:ascii="Arial" w:eastAsia="Calibri" w:hAnsi="Arial" w:cs="Arial"/>
          <w:b/>
          <w:sz w:val="22"/>
          <w:lang w:val="es-CO"/>
        </w:rPr>
        <w:t>–</w:t>
      </w:r>
      <w:r w:rsidR="000E190F" w:rsidRPr="000E190F">
        <w:rPr>
          <w:rFonts w:ascii="Arial" w:eastAsia="Calibri" w:hAnsi="Arial" w:cs="Arial"/>
          <w:b/>
          <w:sz w:val="22"/>
          <w:lang w:val="es-CO"/>
        </w:rPr>
        <w:t xml:space="preserve"> </w:t>
      </w:r>
      <w:r w:rsidR="008E3D73">
        <w:rPr>
          <w:rFonts w:ascii="Arial" w:eastAsia="Calibri" w:hAnsi="Arial" w:cs="Arial"/>
          <w:b/>
          <w:sz w:val="22"/>
          <w:lang w:val="es-CO"/>
        </w:rPr>
        <w:t>455</w:t>
      </w:r>
      <w:r w:rsidR="00AF7FCE" w:rsidRPr="000E190F">
        <w:rPr>
          <w:rFonts w:ascii="Arial" w:eastAsia="Calibri" w:hAnsi="Arial" w:cs="Arial"/>
          <w:b/>
          <w:sz w:val="22"/>
          <w:lang w:val="es-CO"/>
        </w:rPr>
        <w:t xml:space="preserve"> </w:t>
      </w:r>
      <w:r w:rsidR="00285D82" w:rsidRPr="000E190F">
        <w:rPr>
          <w:rFonts w:ascii="Arial" w:eastAsia="Calibri" w:hAnsi="Arial" w:cs="Arial"/>
          <w:b/>
          <w:sz w:val="22"/>
          <w:lang w:val="es-CO"/>
        </w:rPr>
        <w:t>de 202</w:t>
      </w:r>
      <w:r w:rsidR="00B678C7">
        <w:rPr>
          <w:rFonts w:ascii="Arial" w:eastAsia="Calibri" w:hAnsi="Arial" w:cs="Arial"/>
          <w:b/>
          <w:sz w:val="22"/>
          <w:lang w:val="es-CO"/>
        </w:rPr>
        <w:t>2</w:t>
      </w:r>
      <w:r w:rsidR="00B346CC" w:rsidRPr="00446B03">
        <w:rPr>
          <w:rFonts w:ascii="Arial" w:hAnsi="Arial" w:cs="Arial"/>
          <w:sz w:val="22"/>
          <w:lang w:val="es-CO"/>
        </w:rPr>
        <w:t xml:space="preserve"> </w:t>
      </w:r>
    </w:p>
    <w:p w14:paraId="4736A594" w14:textId="77777777" w:rsidR="00303D47" w:rsidRPr="00446B03" w:rsidRDefault="00303D47" w:rsidP="000641BE">
      <w:pPr>
        <w:spacing w:after="0" w:line="240" w:lineRule="auto"/>
        <w:rPr>
          <w:rFonts w:ascii="Arial" w:eastAsia="Calibri" w:hAnsi="Arial" w:cs="Arial"/>
          <w:b/>
          <w:sz w:val="22"/>
          <w:lang w:val="es-CO"/>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714833" w:rsidRPr="00446B03" w14:paraId="1701BC3D" w14:textId="77777777" w:rsidTr="000641BE">
        <w:trPr>
          <w:trHeight w:val="485"/>
        </w:trPr>
        <w:tc>
          <w:tcPr>
            <w:tcW w:w="2689" w:type="dxa"/>
            <w:hideMark/>
          </w:tcPr>
          <w:p w14:paraId="69F7D7B9" w14:textId="77777777" w:rsidR="00714833" w:rsidRPr="00446B03" w:rsidRDefault="00714833" w:rsidP="000641BE">
            <w:pPr>
              <w:contextualSpacing/>
              <w:rPr>
                <w:rFonts w:ascii="Arial" w:eastAsia="Calibri" w:hAnsi="Arial" w:cs="Arial"/>
                <w:noProof/>
                <w:sz w:val="22"/>
                <w:lang w:val="es-ES_tradnl"/>
              </w:rPr>
            </w:pPr>
            <w:r w:rsidRPr="00446B03">
              <w:rPr>
                <w:rFonts w:ascii="Arial" w:eastAsia="Calibri" w:hAnsi="Arial" w:cs="Arial"/>
                <w:b/>
                <w:noProof/>
                <w:sz w:val="22"/>
                <w:lang w:val="es-ES_tradnl"/>
              </w:rPr>
              <w:t>Temas:</w:t>
            </w:r>
            <w:r w:rsidRPr="00446B03">
              <w:rPr>
                <w:rFonts w:ascii="Arial" w:eastAsia="Calibri" w:hAnsi="Arial" w:cs="Arial"/>
                <w:noProof/>
                <w:sz w:val="22"/>
                <w:lang w:val="es-ES_tradnl"/>
              </w:rPr>
              <w:t xml:space="preserve">        </w:t>
            </w:r>
          </w:p>
        </w:tc>
        <w:tc>
          <w:tcPr>
            <w:tcW w:w="6237" w:type="dxa"/>
            <w:hideMark/>
          </w:tcPr>
          <w:p w14:paraId="641BBBD5" w14:textId="41433FDB" w:rsidR="00714833" w:rsidRPr="00403E6E" w:rsidRDefault="0049151F" w:rsidP="00403E6E">
            <w:pPr>
              <w:spacing w:after="120"/>
              <w:ind w:right="703"/>
              <w:jc w:val="both"/>
              <w:rPr>
                <w:rFonts w:ascii="Arial" w:eastAsia="Calibri" w:hAnsi="Arial" w:cs="Arial"/>
                <w:bCs/>
                <w:sz w:val="22"/>
              </w:rPr>
            </w:pPr>
            <w:r w:rsidRPr="0049151F">
              <w:rPr>
                <w:rFonts w:ascii="Arial" w:eastAsia="Calibri" w:hAnsi="Arial" w:cs="Arial"/>
                <w:bCs/>
                <w:sz w:val="22"/>
              </w:rPr>
              <w:t xml:space="preserve">CONVENIOS SOLIDARIOS – </w:t>
            </w:r>
            <w:r w:rsidRPr="0049151F">
              <w:rPr>
                <w:rFonts w:ascii="Arial" w:eastAsia="Calibri" w:hAnsi="Arial" w:cs="Arial"/>
                <w:bCs/>
                <w:sz w:val="22"/>
                <w:lang w:val="es-ES"/>
              </w:rPr>
              <w:t xml:space="preserve">Marco normativo </w:t>
            </w:r>
            <w:r w:rsidRPr="0049151F">
              <w:rPr>
                <w:rFonts w:ascii="Arial" w:eastAsia="Calibri" w:hAnsi="Arial" w:cs="Arial"/>
                <w:bCs/>
                <w:sz w:val="22"/>
                <w:lang w:val="es-ES_tradnl"/>
              </w:rPr>
              <w:t xml:space="preserve">/ </w:t>
            </w:r>
            <w:r w:rsidRPr="0049151F">
              <w:rPr>
                <w:rFonts w:ascii="Arial" w:eastAsia="Calibri" w:hAnsi="Arial" w:cs="Arial"/>
                <w:bCs/>
                <w:sz w:val="22"/>
                <w:lang w:val="es-ES"/>
              </w:rPr>
              <w:t xml:space="preserve">LEY 136 DE 1994 – </w:t>
            </w:r>
            <w:r w:rsidRPr="0049151F">
              <w:rPr>
                <w:rFonts w:ascii="Arial" w:eastAsia="Calibri" w:hAnsi="Arial" w:cs="Arial"/>
                <w:bCs/>
                <w:sz w:val="22"/>
                <w:lang w:val="es-CO"/>
              </w:rPr>
              <w:t xml:space="preserve">Convenios Solidarios </w:t>
            </w:r>
            <w:r w:rsidRPr="0049151F">
              <w:rPr>
                <w:rFonts w:ascii="Arial" w:eastAsia="Calibri" w:hAnsi="Arial" w:cs="Arial"/>
                <w:bCs/>
                <w:sz w:val="22"/>
                <w:lang w:val="es-ES"/>
              </w:rPr>
              <w:t xml:space="preserve">– Ámbito de aplicación – Organismos de acción comunal </w:t>
            </w:r>
            <w:r w:rsidR="00B336F3">
              <w:rPr>
                <w:rFonts w:ascii="Arial" w:eastAsia="Calibri" w:hAnsi="Arial" w:cs="Arial"/>
                <w:bCs/>
                <w:sz w:val="22"/>
                <w:lang w:val="es-ES"/>
              </w:rPr>
              <w:t xml:space="preserve">/ CONVENIO SOLIDARIO – LEY 2166 DE 2021 </w:t>
            </w:r>
          </w:p>
        </w:tc>
      </w:tr>
      <w:tr w:rsidR="00B66D78" w:rsidRPr="00446B03" w14:paraId="4074FCE6" w14:textId="77777777" w:rsidTr="000641BE">
        <w:tc>
          <w:tcPr>
            <w:tcW w:w="2689" w:type="dxa"/>
          </w:tcPr>
          <w:p w14:paraId="389F2C2E" w14:textId="77777777" w:rsidR="00FE0395" w:rsidRPr="00446B03" w:rsidRDefault="00FE0395" w:rsidP="000641BE">
            <w:pPr>
              <w:contextualSpacing/>
              <w:rPr>
                <w:rFonts w:ascii="Arial" w:eastAsia="Calibri" w:hAnsi="Arial" w:cs="Arial"/>
                <w:b/>
                <w:noProof/>
                <w:sz w:val="22"/>
                <w:lang w:val="es-ES_tradnl"/>
              </w:rPr>
            </w:pPr>
            <w:r w:rsidRPr="00446B03">
              <w:rPr>
                <w:rFonts w:ascii="Arial" w:eastAsia="Calibri" w:hAnsi="Arial" w:cs="Arial"/>
                <w:b/>
                <w:noProof/>
                <w:sz w:val="22"/>
                <w:lang w:val="es-ES_tradnl"/>
              </w:rPr>
              <w:t>Radicación:</w:t>
            </w:r>
            <w:r w:rsidRPr="00446B03">
              <w:rPr>
                <w:rFonts w:ascii="Arial" w:eastAsia="Calibri" w:hAnsi="Arial" w:cs="Arial"/>
                <w:noProof/>
                <w:sz w:val="22"/>
                <w:lang w:val="es-ES_tradnl"/>
              </w:rPr>
              <w:t xml:space="preserve">                              </w:t>
            </w:r>
          </w:p>
        </w:tc>
        <w:tc>
          <w:tcPr>
            <w:tcW w:w="6237" w:type="dxa"/>
          </w:tcPr>
          <w:p w14:paraId="19D33B14" w14:textId="521DFBD5" w:rsidR="00D03ECE" w:rsidRDefault="00FE0395" w:rsidP="000641BE">
            <w:pPr>
              <w:contextualSpacing/>
              <w:jc w:val="both"/>
              <w:rPr>
                <w:rFonts w:ascii="Arial" w:eastAsia="Calibri" w:hAnsi="Arial" w:cs="Arial"/>
                <w:noProof/>
                <w:sz w:val="22"/>
                <w:lang w:val="es-ES_tradnl"/>
              </w:rPr>
            </w:pPr>
            <w:r w:rsidRPr="00446B03">
              <w:rPr>
                <w:rFonts w:ascii="Arial" w:eastAsia="Calibri" w:hAnsi="Arial" w:cs="Arial"/>
                <w:noProof/>
                <w:sz w:val="22"/>
                <w:lang w:val="es-ES_tradnl"/>
              </w:rPr>
              <w:t xml:space="preserve">Respuesta a consulta </w:t>
            </w:r>
            <w:r w:rsidR="00B54CB6" w:rsidRPr="00B54CB6">
              <w:rPr>
                <w:rFonts w:ascii="Arial" w:eastAsia="Calibri" w:hAnsi="Arial" w:cs="Arial"/>
                <w:noProof/>
                <w:sz w:val="22"/>
                <w:lang w:val="es-ES_tradnl"/>
              </w:rPr>
              <w:t>P2022</w:t>
            </w:r>
            <w:r w:rsidR="008E3D73">
              <w:rPr>
                <w:rFonts w:ascii="Arial" w:eastAsia="Calibri" w:hAnsi="Arial" w:cs="Arial"/>
                <w:noProof/>
                <w:sz w:val="22"/>
                <w:lang w:val="es-ES_tradnl"/>
              </w:rPr>
              <w:t>0527005300</w:t>
            </w:r>
            <w:r w:rsidR="00D03ECE">
              <w:rPr>
                <w:rFonts w:ascii="Arial" w:eastAsia="Calibri" w:hAnsi="Arial" w:cs="Arial"/>
                <w:noProof/>
                <w:sz w:val="22"/>
                <w:lang w:val="es-ES_tradnl"/>
              </w:rPr>
              <w:t xml:space="preserve"> </w:t>
            </w:r>
          </w:p>
          <w:p w14:paraId="290F0664" w14:textId="0A9F7F75" w:rsidR="00FE0395" w:rsidRPr="00446B03" w:rsidRDefault="00D03ECE" w:rsidP="000641BE">
            <w:pPr>
              <w:contextualSpacing/>
              <w:jc w:val="both"/>
              <w:rPr>
                <w:rFonts w:ascii="Arial" w:eastAsia="Calibri" w:hAnsi="Arial" w:cs="Arial"/>
                <w:noProof/>
                <w:sz w:val="22"/>
                <w:lang w:val="es-ES_tradnl"/>
              </w:rPr>
            </w:pPr>
            <w:r>
              <w:rPr>
                <w:rFonts w:ascii="Arial" w:eastAsia="Calibri" w:hAnsi="Arial" w:cs="Arial"/>
                <w:noProof/>
                <w:sz w:val="22"/>
                <w:lang w:val="es-ES_tradnl"/>
              </w:rPr>
              <w:t xml:space="preserve">                                    </w:t>
            </w:r>
          </w:p>
        </w:tc>
      </w:tr>
    </w:tbl>
    <w:p w14:paraId="0CB3D4D0" w14:textId="77777777" w:rsidR="00FE0395" w:rsidRPr="00446B03" w:rsidRDefault="00FE0395" w:rsidP="000641BE">
      <w:pPr>
        <w:spacing w:after="0" w:line="240" w:lineRule="auto"/>
        <w:rPr>
          <w:rFonts w:ascii="Arial" w:eastAsia="Calibri" w:hAnsi="Arial" w:cs="Arial"/>
          <w:sz w:val="22"/>
          <w:lang w:val="es-CO"/>
        </w:rPr>
      </w:pPr>
    </w:p>
    <w:p w14:paraId="0ADE9D41" w14:textId="169AB252" w:rsidR="00990612" w:rsidRPr="00446B03" w:rsidRDefault="00990612" w:rsidP="00E7700C">
      <w:pPr>
        <w:spacing w:after="0"/>
        <w:rPr>
          <w:rFonts w:ascii="Arial" w:eastAsia="Calibri" w:hAnsi="Arial" w:cs="Arial"/>
          <w:sz w:val="22"/>
          <w:lang w:val="es-CO"/>
        </w:rPr>
      </w:pPr>
      <w:r w:rsidRPr="00446B03">
        <w:rPr>
          <w:rFonts w:ascii="Arial" w:eastAsia="Calibri" w:hAnsi="Arial" w:cs="Arial"/>
          <w:sz w:val="22"/>
          <w:lang w:val="es-CO"/>
        </w:rPr>
        <w:t>Estimad</w:t>
      </w:r>
      <w:r w:rsidR="008E3D73">
        <w:rPr>
          <w:rFonts w:ascii="Arial" w:eastAsia="Calibri" w:hAnsi="Arial" w:cs="Arial"/>
          <w:sz w:val="22"/>
          <w:lang w:val="es-CO"/>
        </w:rPr>
        <w:t xml:space="preserve">a Señora Pacheco: </w:t>
      </w:r>
    </w:p>
    <w:p w14:paraId="19436ABB" w14:textId="194E3CB1" w:rsidR="00990612" w:rsidRDefault="00990612" w:rsidP="00E7700C">
      <w:pPr>
        <w:spacing w:after="0"/>
        <w:ind w:firstLine="709"/>
        <w:rPr>
          <w:rFonts w:ascii="Arial" w:eastAsia="Calibri" w:hAnsi="Arial" w:cs="Arial"/>
          <w:sz w:val="22"/>
          <w:lang w:val="es-CO"/>
        </w:rPr>
      </w:pPr>
    </w:p>
    <w:p w14:paraId="6512D341" w14:textId="0F279526" w:rsidR="00303D47" w:rsidRDefault="00990612" w:rsidP="008E3D73">
      <w:pPr>
        <w:spacing w:after="0"/>
        <w:ind w:right="51"/>
        <w:rPr>
          <w:rFonts w:ascii="Arial" w:eastAsia="Calibri" w:hAnsi="Arial" w:cs="Arial"/>
          <w:sz w:val="22"/>
          <w:lang w:val="es-CO"/>
        </w:rPr>
      </w:pPr>
      <w:r w:rsidRPr="00446B03">
        <w:rPr>
          <w:rFonts w:ascii="Arial" w:eastAsia="Calibri" w:hAnsi="Arial" w:cs="Arial"/>
          <w:sz w:val="22"/>
          <w:lang w:val="es-CO"/>
        </w:rPr>
        <w:t>En ejercicio de la competencia otorgada por el numeral 8 del artículo 11 y el numeral 5 del artículo 3 del Decreto Ley 4170 de 2011, la Agencia Nacional de Contratación Pública – Colombia Compra Eficiente</w:t>
      </w:r>
      <w:r w:rsidR="00E7503A" w:rsidRPr="00446B03">
        <w:rPr>
          <w:rFonts w:ascii="Arial" w:eastAsia="Calibri" w:hAnsi="Arial" w:cs="Arial"/>
          <w:sz w:val="22"/>
          <w:lang w:val="es-CO"/>
        </w:rPr>
        <w:t xml:space="preserve"> responde</w:t>
      </w:r>
      <w:r w:rsidRPr="00446B03">
        <w:rPr>
          <w:rFonts w:ascii="Arial" w:eastAsia="Calibri" w:hAnsi="Arial" w:cs="Arial"/>
          <w:sz w:val="22"/>
          <w:lang w:val="es-CO"/>
        </w:rPr>
        <w:t xml:space="preserve"> la consulta </w:t>
      </w:r>
      <w:r w:rsidR="00FE65B4">
        <w:rPr>
          <w:rFonts w:ascii="Arial" w:eastAsia="Calibri" w:hAnsi="Arial" w:cs="Arial"/>
          <w:sz w:val="22"/>
          <w:lang w:val="es-CO"/>
        </w:rPr>
        <w:t>radicada</w:t>
      </w:r>
      <w:r w:rsidR="00FE65B4" w:rsidRPr="00446B03">
        <w:rPr>
          <w:rFonts w:ascii="Arial" w:eastAsia="Calibri" w:hAnsi="Arial" w:cs="Arial"/>
          <w:sz w:val="22"/>
          <w:lang w:val="es-CO"/>
        </w:rPr>
        <w:t xml:space="preserve"> </w:t>
      </w:r>
      <w:r w:rsidRPr="00446B03">
        <w:rPr>
          <w:rFonts w:ascii="Arial" w:eastAsia="Calibri" w:hAnsi="Arial" w:cs="Arial"/>
          <w:sz w:val="22"/>
          <w:lang w:val="es-CO"/>
        </w:rPr>
        <w:t xml:space="preserve">el </w:t>
      </w:r>
      <w:r w:rsidR="008E3D73">
        <w:rPr>
          <w:rFonts w:ascii="Arial" w:eastAsia="Calibri" w:hAnsi="Arial" w:cs="Arial"/>
          <w:sz w:val="22"/>
          <w:lang w:val="es-CO"/>
        </w:rPr>
        <w:t xml:space="preserve">27 de mayo de 2022. </w:t>
      </w:r>
    </w:p>
    <w:p w14:paraId="7C917A5D" w14:textId="77777777" w:rsidR="008E3D73" w:rsidRPr="00446B03" w:rsidRDefault="008E3D73" w:rsidP="008E3D73">
      <w:pPr>
        <w:spacing w:after="0"/>
        <w:ind w:right="51"/>
        <w:rPr>
          <w:rFonts w:ascii="Arial" w:eastAsia="Calibri" w:hAnsi="Arial" w:cs="Arial"/>
          <w:sz w:val="22"/>
          <w:lang w:val="es-CO"/>
        </w:rPr>
      </w:pPr>
    </w:p>
    <w:p w14:paraId="3B0D1063" w14:textId="7B7128A5" w:rsidR="005A114C" w:rsidRPr="00446B03" w:rsidRDefault="002B72C0">
      <w:pPr>
        <w:tabs>
          <w:tab w:val="left" w:pos="284"/>
        </w:tabs>
        <w:spacing w:after="0"/>
        <w:rPr>
          <w:rFonts w:ascii="Arial" w:eastAsia="Calibri" w:hAnsi="Arial" w:cs="Arial"/>
          <w:b/>
          <w:sz w:val="22"/>
          <w:lang w:val="es-CO"/>
        </w:rPr>
      </w:pPr>
      <w:r w:rsidRPr="00446B03">
        <w:rPr>
          <w:rFonts w:ascii="Arial" w:eastAsia="Calibri" w:hAnsi="Arial" w:cs="Arial"/>
          <w:b/>
          <w:sz w:val="22"/>
          <w:lang w:val="es-CO"/>
        </w:rPr>
        <w:t xml:space="preserve">1. </w:t>
      </w:r>
      <w:r w:rsidR="00990612" w:rsidRPr="00446B03">
        <w:rPr>
          <w:rFonts w:ascii="Arial" w:eastAsia="Calibri" w:hAnsi="Arial" w:cs="Arial"/>
          <w:b/>
          <w:sz w:val="22"/>
          <w:lang w:val="es-CO"/>
        </w:rPr>
        <w:t xml:space="preserve">Problema planteado </w:t>
      </w:r>
    </w:p>
    <w:p w14:paraId="510D9368" w14:textId="0938F713" w:rsidR="008E3D73" w:rsidRPr="006042F9" w:rsidRDefault="00633633" w:rsidP="008E3D73">
      <w:pPr>
        <w:pStyle w:val="NormalWeb"/>
        <w:ind w:left="708" w:right="900"/>
        <w:rPr>
          <w:rFonts w:ascii="Arial" w:hAnsi="Arial" w:cs="Arial"/>
          <w:sz w:val="21"/>
          <w:szCs w:val="21"/>
        </w:rPr>
      </w:pPr>
      <w:bookmarkStart w:id="3" w:name="_Hlk58917991"/>
      <w:bookmarkStart w:id="4" w:name="_Hlk56103000"/>
      <w:r w:rsidRPr="006042F9">
        <w:rPr>
          <w:rFonts w:ascii="Arial" w:hAnsi="Arial" w:cs="Arial"/>
          <w:sz w:val="21"/>
          <w:szCs w:val="21"/>
        </w:rPr>
        <w:t>U</w:t>
      </w:r>
      <w:r w:rsidR="00F6156F" w:rsidRPr="006042F9">
        <w:rPr>
          <w:rFonts w:ascii="Arial" w:hAnsi="Arial" w:cs="Arial"/>
          <w:sz w:val="21"/>
          <w:szCs w:val="21"/>
        </w:rPr>
        <w:t xml:space="preserve">sted </w:t>
      </w:r>
      <w:r w:rsidRPr="006042F9">
        <w:rPr>
          <w:rFonts w:ascii="Arial" w:hAnsi="Arial" w:cs="Arial"/>
          <w:sz w:val="21"/>
          <w:szCs w:val="21"/>
          <w:shd w:val="clear" w:color="auto" w:fill="FFFFFF"/>
        </w:rPr>
        <w:t xml:space="preserve">realiza </w:t>
      </w:r>
      <w:r w:rsidR="00F6156F" w:rsidRPr="006042F9">
        <w:rPr>
          <w:rFonts w:ascii="Arial" w:hAnsi="Arial" w:cs="Arial"/>
          <w:sz w:val="21"/>
          <w:szCs w:val="21"/>
          <w:shd w:val="clear" w:color="auto" w:fill="FFFFFF"/>
        </w:rPr>
        <w:t>l</w:t>
      </w:r>
      <w:r w:rsidR="00310422" w:rsidRPr="006042F9">
        <w:rPr>
          <w:rFonts w:ascii="Arial" w:hAnsi="Arial" w:cs="Arial"/>
          <w:sz w:val="21"/>
          <w:szCs w:val="21"/>
          <w:shd w:val="clear" w:color="auto" w:fill="FFFFFF"/>
        </w:rPr>
        <w:t>a</w:t>
      </w:r>
      <w:r w:rsidR="00F6156F" w:rsidRPr="006042F9">
        <w:rPr>
          <w:rFonts w:ascii="Arial" w:hAnsi="Arial" w:cs="Arial"/>
          <w:sz w:val="21"/>
          <w:szCs w:val="21"/>
          <w:shd w:val="clear" w:color="auto" w:fill="FFFFFF"/>
        </w:rPr>
        <w:t xml:space="preserve"> siguiente </w:t>
      </w:r>
      <w:r w:rsidR="00310422" w:rsidRPr="006042F9">
        <w:rPr>
          <w:rFonts w:ascii="Arial" w:hAnsi="Arial" w:cs="Arial"/>
          <w:sz w:val="21"/>
          <w:szCs w:val="21"/>
          <w:shd w:val="clear" w:color="auto" w:fill="FFFFFF"/>
        </w:rPr>
        <w:t>pregunta</w:t>
      </w:r>
      <w:r w:rsidR="00F6156F" w:rsidRPr="006042F9">
        <w:rPr>
          <w:rFonts w:ascii="Arial" w:hAnsi="Arial" w:cs="Arial"/>
          <w:sz w:val="21"/>
          <w:szCs w:val="21"/>
          <w:shd w:val="clear" w:color="auto" w:fill="FFFFFF"/>
        </w:rPr>
        <w:t>:</w:t>
      </w:r>
      <w:r w:rsidR="00E11FC1" w:rsidRPr="006042F9">
        <w:rPr>
          <w:rFonts w:ascii="Arial" w:hAnsi="Arial" w:cs="Arial"/>
          <w:sz w:val="21"/>
          <w:szCs w:val="21"/>
          <w:shd w:val="clear" w:color="auto" w:fill="FFFFFF"/>
        </w:rPr>
        <w:t xml:space="preserve"> </w:t>
      </w:r>
      <w:bookmarkStart w:id="5" w:name="_Hlk103091320"/>
      <w:bookmarkEnd w:id="3"/>
      <w:bookmarkEnd w:id="4"/>
      <w:r w:rsidR="008E3D73" w:rsidRPr="006042F9">
        <w:rPr>
          <w:rFonts w:ascii="Arial" w:hAnsi="Arial" w:cs="Arial"/>
          <w:sz w:val="21"/>
          <w:szCs w:val="21"/>
        </w:rPr>
        <w:t>«</w:t>
      </w:r>
      <w:bookmarkEnd w:id="5"/>
      <w:r w:rsidR="008E3D73" w:rsidRPr="006042F9">
        <w:rPr>
          <w:rFonts w:ascii="Arial" w:hAnsi="Arial" w:cs="Arial"/>
          <w:sz w:val="21"/>
          <w:szCs w:val="21"/>
        </w:rPr>
        <w:t xml:space="preserve">el artículo 95 de la ley 2166 de 2021, que </w:t>
      </w:r>
      <w:r w:rsidR="0065698F" w:rsidRPr="006042F9">
        <w:rPr>
          <w:rFonts w:ascii="Arial" w:hAnsi="Arial" w:cs="Arial"/>
          <w:sz w:val="21"/>
          <w:szCs w:val="21"/>
        </w:rPr>
        <w:t>señala</w:t>
      </w:r>
      <w:r w:rsidR="008E3D73" w:rsidRPr="006042F9">
        <w:rPr>
          <w:rFonts w:ascii="Arial" w:hAnsi="Arial" w:cs="Arial"/>
          <w:sz w:val="21"/>
          <w:szCs w:val="21"/>
        </w:rPr>
        <w:t xml:space="preserve"> que los convenios solidarios </w:t>
      </w:r>
      <w:r w:rsidR="0065698F" w:rsidRPr="006042F9">
        <w:rPr>
          <w:rFonts w:ascii="Arial" w:hAnsi="Arial" w:cs="Arial"/>
          <w:sz w:val="21"/>
          <w:szCs w:val="21"/>
        </w:rPr>
        <w:t>podrán</w:t>
      </w:r>
      <w:r w:rsidR="008E3D73" w:rsidRPr="006042F9">
        <w:rPr>
          <w:rFonts w:ascii="Arial" w:hAnsi="Arial" w:cs="Arial"/>
          <w:sz w:val="21"/>
          <w:szCs w:val="21"/>
        </w:rPr>
        <w:t xml:space="preserve"> celebrarse hasta la menor </w:t>
      </w:r>
      <w:r w:rsidR="0065698F" w:rsidRPr="006042F9">
        <w:rPr>
          <w:rFonts w:ascii="Arial" w:hAnsi="Arial" w:cs="Arial"/>
          <w:sz w:val="21"/>
          <w:szCs w:val="21"/>
        </w:rPr>
        <w:t>cuantía</w:t>
      </w:r>
      <w:r w:rsidR="008E3D73" w:rsidRPr="006042F9">
        <w:rPr>
          <w:rFonts w:ascii="Arial" w:hAnsi="Arial" w:cs="Arial"/>
          <w:sz w:val="21"/>
          <w:szCs w:val="21"/>
        </w:rPr>
        <w:t xml:space="preserve"> para obras públicas, deroga la </w:t>
      </w:r>
      <w:r w:rsidR="0065698F" w:rsidRPr="006042F9">
        <w:rPr>
          <w:rFonts w:ascii="Arial" w:hAnsi="Arial" w:cs="Arial"/>
          <w:sz w:val="21"/>
          <w:szCs w:val="21"/>
        </w:rPr>
        <w:t>disposición</w:t>
      </w:r>
      <w:r w:rsidR="008E3D73" w:rsidRPr="006042F9">
        <w:rPr>
          <w:rFonts w:ascii="Arial" w:hAnsi="Arial" w:cs="Arial"/>
          <w:sz w:val="21"/>
          <w:szCs w:val="21"/>
        </w:rPr>
        <w:t xml:space="preserve"> de la ley 1551 de 2012 que </w:t>
      </w:r>
      <w:r w:rsidR="0065698F" w:rsidRPr="006042F9">
        <w:rPr>
          <w:rFonts w:ascii="Arial" w:hAnsi="Arial" w:cs="Arial"/>
          <w:sz w:val="21"/>
          <w:szCs w:val="21"/>
        </w:rPr>
        <w:t>señalaba</w:t>
      </w:r>
      <w:r w:rsidR="008E3D73" w:rsidRPr="006042F9">
        <w:rPr>
          <w:rFonts w:ascii="Arial" w:hAnsi="Arial" w:cs="Arial"/>
          <w:sz w:val="21"/>
          <w:szCs w:val="21"/>
        </w:rPr>
        <w:t xml:space="preserve"> que el límite de </w:t>
      </w:r>
      <w:r w:rsidR="0065698F" w:rsidRPr="006042F9">
        <w:rPr>
          <w:rFonts w:ascii="Arial" w:hAnsi="Arial" w:cs="Arial"/>
          <w:sz w:val="21"/>
          <w:szCs w:val="21"/>
        </w:rPr>
        <w:t>cuantía</w:t>
      </w:r>
      <w:r w:rsidR="008E3D73" w:rsidRPr="006042F9">
        <w:rPr>
          <w:rFonts w:ascii="Arial" w:hAnsi="Arial" w:cs="Arial"/>
          <w:sz w:val="21"/>
          <w:szCs w:val="21"/>
        </w:rPr>
        <w:t xml:space="preserve"> para celebrar convenios solidarios era hasta la </w:t>
      </w:r>
      <w:r w:rsidR="0065698F" w:rsidRPr="006042F9">
        <w:rPr>
          <w:rFonts w:ascii="Arial" w:hAnsi="Arial" w:cs="Arial"/>
          <w:sz w:val="21"/>
          <w:szCs w:val="21"/>
        </w:rPr>
        <w:t>mínima</w:t>
      </w:r>
      <w:r w:rsidR="008E3D73" w:rsidRPr="006042F9">
        <w:rPr>
          <w:rFonts w:ascii="Arial" w:hAnsi="Arial" w:cs="Arial"/>
          <w:sz w:val="21"/>
          <w:szCs w:val="21"/>
        </w:rPr>
        <w:t xml:space="preserve"> </w:t>
      </w:r>
      <w:r w:rsidR="0065698F" w:rsidRPr="006042F9">
        <w:rPr>
          <w:rFonts w:ascii="Arial" w:hAnsi="Arial" w:cs="Arial"/>
          <w:sz w:val="21"/>
          <w:szCs w:val="21"/>
        </w:rPr>
        <w:t>cuantía</w:t>
      </w:r>
      <w:r w:rsidR="008E3D73" w:rsidRPr="006042F9">
        <w:rPr>
          <w:rFonts w:ascii="Arial" w:hAnsi="Arial" w:cs="Arial"/>
          <w:sz w:val="21"/>
          <w:szCs w:val="21"/>
        </w:rPr>
        <w:t>?</w:t>
      </w:r>
      <w:bookmarkStart w:id="6" w:name="_Hlk103091300"/>
      <w:r w:rsidR="008E3D73" w:rsidRPr="006042F9">
        <w:rPr>
          <w:rFonts w:ascii="Arial" w:hAnsi="Arial" w:cs="Arial"/>
          <w:sz w:val="21"/>
          <w:szCs w:val="21"/>
        </w:rPr>
        <w:t>»</w:t>
      </w:r>
      <w:bookmarkEnd w:id="6"/>
      <w:r w:rsidR="00D03ECE">
        <w:rPr>
          <w:rFonts w:ascii="Arial" w:hAnsi="Arial" w:cs="Arial"/>
          <w:sz w:val="21"/>
          <w:szCs w:val="21"/>
        </w:rPr>
        <w:t>.</w:t>
      </w:r>
    </w:p>
    <w:p w14:paraId="33526695" w14:textId="4288338E" w:rsidR="005027F0" w:rsidRPr="008E3D73" w:rsidRDefault="002B72C0" w:rsidP="008E3D73">
      <w:pPr>
        <w:pStyle w:val="NormalWeb"/>
        <w:spacing w:after="0"/>
        <w:rPr>
          <w:rFonts w:ascii="Arial" w:eastAsia="Calibri" w:hAnsi="Arial" w:cs="Arial"/>
          <w:b/>
          <w:sz w:val="22"/>
        </w:rPr>
      </w:pPr>
      <w:r w:rsidRPr="004438F4">
        <w:rPr>
          <w:rFonts w:ascii="Arial" w:eastAsia="Calibri" w:hAnsi="Arial" w:cs="Arial"/>
          <w:b/>
          <w:sz w:val="22"/>
        </w:rPr>
        <w:t xml:space="preserve">2. </w:t>
      </w:r>
      <w:r w:rsidR="00990612" w:rsidRPr="004438F4">
        <w:rPr>
          <w:rFonts w:ascii="Arial" w:eastAsia="Calibri" w:hAnsi="Arial" w:cs="Arial"/>
          <w:b/>
          <w:sz w:val="22"/>
        </w:rPr>
        <w:t>Consideraciones</w:t>
      </w:r>
    </w:p>
    <w:p w14:paraId="34C46F19" w14:textId="618E8AFD" w:rsidR="00E71755" w:rsidRPr="00E45306" w:rsidRDefault="00E71755" w:rsidP="00970DF4">
      <w:pPr>
        <w:spacing w:after="120"/>
        <w:rPr>
          <w:rFonts w:ascii="Arial" w:hAnsi="Arial" w:cs="Arial"/>
          <w:sz w:val="22"/>
          <w:lang w:val="es-ES"/>
        </w:rPr>
      </w:pPr>
      <w:bookmarkStart w:id="7" w:name="_Hlk96420298"/>
      <w:r w:rsidRPr="00E45306">
        <w:rPr>
          <w:rFonts w:ascii="Arial" w:hAnsi="Arial" w:cs="Arial"/>
          <w:bCs/>
          <w:sz w:val="22"/>
        </w:rPr>
        <w:t xml:space="preserve">En ejercicio de las competencias establecidas en los artículos 3.5 y 11.8 del Decreto 4170 de 2011, la Agencia Nacional de Contratación Pública </w:t>
      </w:r>
      <w:bookmarkStart w:id="8" w:name="_Hlk99611965"/>
      <w:r w:rsidRPr="00E45306">
        <w:rPr>
          <w:rFonts w:ascii="Arial" w:hAnsi="Arial" w:cs="Arial"/>
          <w:bCs/>
          <w:sz w:val="22"/>
        </w:rPr>
        <w:t>–</w:t>
      </w:r>
      <w:bookmarkEnd w:id="8"/>
      <w:r w:rsidRPr="00E45306">
        <w:rPr>
          <w:rFonts w:ascii="Arial" w:hAnsi="Arial" w:cs="Arial"/>
          <w:bCs/>
          <w:sz w:val="22"/>
        </w:rPr>
        <w:t xml:space="preserve"> Colombia Compra Eficiente resuelve consultas sobre </w:t>
      </w:r>
      <w:bookmarkStart w:id="9" w:name="_Hlk61026958"/>
      <w:bookmarkStart w:id="10" w:name="_Hlk61701014"/>
      <w:bookmarkStart w:id="11" w:name="_Hlk62136649"/>
      <w:r w:rsidRPr="00E45306">
        <w:rPr>
          <w:rFonts w:ascii="Arial" w:hAnsi="Arial" w:cs="Arial"/>
          <w:sz w:val="22"/>
          <w:lang w:val="es-ES"/>
        </w:rPr>
        <w:t>la aplicación de normas de carácter general en materia de compras y contratación pública. En ese sentido, resolver casos particulares</w:t>
      </w:r>
      <w:r w:rsidR="00BB6003" w:rsidRPr="00E45306">
        <w:rPr>
          <w:rFonts w:ascii="Arial" w:hAnsi="Arial" w:cs="Arial"/>
          <w:sz w:val="22"/>
          <w:lang w:val="es-ES"/>
        </w:rPr>
        <w:t xml:space="preserve"> o conceptuar </w:t>
      </w:r>
      <w:r w:rsidR="00BB6003" w:rsidRPr="00E45306">
        <w:rPr>
          <w:rFonts w:ascii="Arial" w:hAnsi="Arial" w:cs="Arial"/>
          <w:sz w:val="22"/>
          <w:lang w:val="es-ES"/>
        </w:rPr>
        <w:lastRenderedPageBreak/>
        <w:t>sobre el alcance de normas ajenas a la contratación estatal</w:t>
      </w:r>
      <w:r w:rsidRPr="00E45306">
        <w:rPr>
          <w:rFonts w:ascii="Arial" w:hAnsi="Arial" w:cs="Arial"/>
          <w:sz w:val="22"/>
          <w:lang w:val="es-ES"/>
        </w:rPr>
        <w:t xml:space="preserve"> desborda las atribuciones asignadas por el legislador extraordinario, que no concibió a Colombia Compra Eficiente como una autoridad para solucionar problemas jurídicos particulares</w:t>
      </w:r>
      <w:r w:rsidRPr="00E45306">
        <w:rPr>
          <w:rFonts w:ascii="Arial" w:hAnsi="Arial" w:cs="Arial"/>
          <w:bCs/>
          <w:sz w:val="22"/>
        </w:rPr>
        <w:t xml:space="preserve"> de todos los partícipes de la contratación estatal</w:t>
      </w:r>
      <w:r w:rsidR="00BB6003" w:rsidRPr="00E45306">
        <w:rPr>
          <w:rFonts w:ascii="Arial" w:hAnsi="Arial" w:cs="Arial"/>
          <w:bCs/>
          <w:sz w:val="22"/>
        </w:rPr>
        <w:t xml:space="preserve"> ni para interpretar el alcance de cualquier norma vigente en el ordenamiento jurídico</w:t>
      </w:r>
      <w:r w:rsidRPr="00E45306">
        <w:rPr>
          <w:rFonts w:ascii="Arial" w:hAnsi="Arial" w:cs="Arial"/>
          <w:bCs/>
          <w:sz w:val="22"/>
        </w:rPr>
        <w:t>.</w:t>
      </w:r>
    </w:p>
    <w:bookmarkEnd w:id="9"/>
    <w:bookmarkEnd w:id="10"/>
    <w:bookmarkEnd w:id="11"/>
    <w:p w14:paraId="5604B33A" w14:textId="165F3CD7" w:rsidR="001149F4" w:rsidRDefault="00E71755" w:rsidP="004F5964">
      <w:pPr>
        <w:spacing w:after="120"/>
        <w:ind w:firstLine="708"/>
        <w:rPr>
          <w:rFonts w:ascii="Arial" w:eastAsia="Calibri" w:hAnsi="Arial" w:cs="Arial"/>
          <w:bCs/>
          <w:sz w:val="22"/>
          <w:lang w:val="es-CO"/>
        </w:rPr>
      </w:pPr>
      <w:r>
        <w:rPr>
          <w:rFonts w:ascii="Arial" w:eastAsia="Calibri" w:hAnsi="Arial" w:cs="Arial"/>
          <w:color w:val="000000" w:themeColor="text1"/>
          <w:sz w:val="22"/>
        </w:rPr>
        <w:t xml:space="preserve">Sin perjuicio de lo anterior, </w:t>
      </w:r>
      <w:r>
        <w:rPr>
          <w:rFonts w:ascii="Arial" w:eastAsia="Calibri" w:hAnsi="Arial" w:cs="Arial"/>
          <w:color w:val="000000" w:themeColor="text1"/>
          <w:sz w:val="22"/>
          <w:lang w:val="es-ES"/>
        </w:rPr>
        <w:t>la Subdirección –dentro de los límites de sus atribuciones– resolverá la consulta conforme a las normas generales en materia de contratación estatal. Con este objetivo se analizarán los siguientes temas</w:t>
      </w:r>
      <w:r w:rsidRPr="004438F4">
        <w:rPr>
          <w:rFonts w:ascii="Arial" w:eastAsia="Calibri" w:hAnsi="Arial" w:cs="Arial"/>
          <w:color w:val="000000" w:themeColor="text1"/>
          <w:sz w:val="22"/>
          <w:lang w:val="es-ES"/>
        </w:rPr>
        <w:t>:</w:t>
      </w:r>
      <w:r w:rsidR="008253CB" w:rsidRPr="008253CB">
        <w:rPr>
          <w:rFonts w:ascii="Arial" w:eastAsia="Calibri" w:hAnsi="Arial" w:cs="Arial"/>
          <w:bCs/>
          <w:sz w:val="22"/>
          <w:lang w:val="es-ES"/>
        </w:rPr>
        <w:t xml:space="preserve"> </w:t>
      </w:r>
      <w:r w:rsidR="008253CB" w:rsidRPr="008253CB">
        <w:rPr>
          <w:rFonts w:ascii="Arial" w:eastAsia="Calibri" w:hAnsi="Arial" w:cs="Arial"/>
          <w:bCs/>
          <w:sz w:val="22"/>
          <w:lang w:val="es-ES_tradnl"/>
        </w:rPr>
        <w:t>i) aplicación de los convenios solidarios y los organismos de acción comunal de conformidad con la Ley 136 de 1994</w:t>
      </w:r>
      <w:r w:rsidR="006C2BAE">
        <w:rPr>
          <w:rFonts w:ascii="Arial" w:eastAsia="Calibri" w:hAnsi="Arial" w:cs="Arial"/>
          <w:bCs/>
          <w:sz w:val="22"/>
          <w:lang w:val="es-ES"/>
        </w:rPr>
        <w:t>,</w:t>
      </w:r>
      <w:r w:rsidR="008E3D73">
        <w:rPr>
          <w:rFonts w:ascii="Arial" w:eastAsia="Calibri" w:hAnsi="Arial" w:cs="Arial"/>
          <w:bCs/>
          <w:sz w:val="22"/>
          <w:lang w:val="es-ES"/>
        </w:rPr>
        <w:t xml:space="preserve"> modificada por la Ley 1551 de 2012</w:t>
      </w:r>
      <w:r w:rsidR="00523EA9">
        <w:rPr>
          <w:rFonts w:ascii="Arial" w:eastAsia="Calibri" w:hAnsi="Arial" w:cs="Arial"/>
          <w:bCs/>
          <w:sz w:val="22"/>
          <w:lang w:val="es-ES"/>
        </w:rPr>
        <w:t xml:space="preserve"> y</w:t>
      </w:r>
      <w:r w:rsidR="006C2BAE">
        <w:rPr>
          <w:rFonts w:ascii="Arial" w:eastAsia="Calibri" w:hAnsi="Arial" w:cs="Arial"/>
          <w:bCs/>
          <w:sz w:val="22"/>
          <w:lang w:val="es-ES"/>
        </w:rPr>
        <w:t xml:space="preserve"> </w:t>
      </w:r>
      <w:proofErr w:type="spellStart"/>
      <w:r w:rsidR="008253CB" w:rsidRPr="008253CB">
        <w:rPr>
          <w:rFonts w:ascii="Arial" w:eastAsia="Calibri" w:hAnsi="Arial" w:cs="Arial"/>
          <w:bCs/>
          <w:sz w:val="22"/>
          <w:lang w:val="es-ES"/>
        </w:rPr>
        <w:t>ii</w:t>
      </w:r>
      <w:proofErr w:type="spellEnd"/>
      <w:r w:rsidR="008253CB" w:rsidRPr="008253CB">
        <w:rPr>
          <w:rFonts w:ascii="Arial" w:eastAsia="Calibri" w:hAnsi="Arial" w:cs="Arial"/>
          <w:bCs/>
          <w:sz w:val="22"/>
          <w:lang w:val="es-ES"/>
        </w:rPr>
        <w:t xml:space="preserve">) </w:t>
      </w:r>
      <w:r w:rsidR="008E3D73">
        <w:rPr>
          <w:rFonts w:ascii="Arial" w:eastAsia="Calibri" w:hAnsi="Arial" w:cs="Arial"/>
          <w:bCs/>
          <w:sz w:val="22"/>
          <w:lang w:val="es-CO"/>
        </w:rPr>
        <w:t xml:space="preserve">convenios solidarios con organismos de acción comunal bajo la Ley 2166 de 2021. </w:t>
      </w:r>
    </w:p>
    <w:p w14:paraId="40BC0D02" w14:textId="3944D736" w:rsidR="001149F4" w:rsidRPr="00ED2E5A" w:rsidRDefault="001149F4" w:rsidP="001149F4">
      <w:pPr>
        <w:tabs>
          <w:tab w:val="left" w:pos="426"/>
        </w:tabs>
        <w:spacing w:after="0"/>
        <w:ind w:firstLine="709"/>
        <w:rPr>
          <w:rFonts w:ascii="Arial" w:eastAsia="Calibri" w:hAnsi="Arial" w:cs="Arial"/>
          <w:bCs/>
          <w:sz w:val="22"/>
          <w:lang w:val="es-ES"/>
        </w:rPr>
      </w:pPr>
      <w:r w:rsidRPr="00ED2E5A">
        <w:rPr>
          <w:rFonts w:ascii="Arial" w:eastAsia="Calibri" w:hAnsi="Arial" w:cs="Arial"/>
          <w:bCs/>
          <w:sz w:val="22"/>
          <w:lang w:val="es-ES"/>
        </w:rPr>
        <w:t>La Agencia Nacional de Contratación Pública – Colombia Compra Eficiente, en los conceptos No. 4201913000006135 del 10 de septiembre de 2019,</w:t>
      </w:r>
      <w:r w:rsidRPr="00ED2E5A">
        <w:rPr>
          <w:rFonts w:ascii="Arial" w:eastAsia="Calibri" w:hAnsi="Arial" w:cs="Arial"/>
          <w:bCs/>
          <w:sz w:val="22"/>
          <w:lang w:val="es-CO"/>
        </w:rPr>
        <w:t xml:space="preserve"> </w:t>
      </w:r>
      <w:r w:rsidRPr="00ED2E5A">
        <w:rPr>
          <w:rFonts w:ascii="Arial" w:eastAsia="Calibri" w:hAnsi="Arial" w:cs="Arial"/>
          <w:bCs/>
          <w:sz w:val="22"/>
          <w:lang w:val="es-ES"/>
        </w:rPr>
        <w:t>4201912000004117 del 17 de septiembre de 2019, C–140 del 31 de abril de 2020, C–223 del 29 de abril de 2020, C–477 del 27 de julio de 2020, C–656 del 17 de noviembre de 2020, C–763 del 7 de enero de 2021, C-785 del 18 de enero de 2021, C–155 del 14 de abril de 2021, C-364 del 28 de julio de 2021, C-394 del 17 de septiembre de 2021</w:t>
      </w:r>
      <w:r>
        <w:rPr>
          <w:rFonts w:ascii="Arial" w:eastAsia="Calibri" w:hAnsi="Arial" w:cs="Arial"/>
          <w:bCs/>
          <w:sz w:val="22"/>
          <w:lang w:val="es-ES"/>
        </w:rPr>
        <w:t>,</w:t>
      </w:r>
      <w:r w:rsidRPr="00ED2E5A">
        <w:rPr>
          <w:rFonts w:ascii="Arial" w:eastAsia="Calibri" w:hAnsi="Arial" w:cs="Arial"/>
          <w:bCs/>
          <w:sz w:val="22"/>
          <w:lang w:val="es-ES"/>
        </w:rPr>
        <w:t xml:space="preserve"> C-627 del 25 de octubre de 202</w:t>
      </w:r>
      <w:r>
        <w:rPr>
          <w:rFonts w:ascii="Arial" w:eastAsia="Calibri" w:hAnsi="Arial" w:cs="Arial"/>
          <w:bCs/>
          <w:sz w:val="22"/>
          <w:lang w:val="es-ES"/>
        </w:rPr>
        <w:t>1</w:t>
      </w:r>
      <w:r w:rsidR="00C643FB">
        <w:rPr>
          <w:rFonts w:ascii="Arial" w:eastAsia="Calibri" w:hAnsi="Arial" w:cs="Arial"/>
          <w:bCs/>
          <w:sz w:val="22"/>
          <w:lang w:val="es-ES"/>
        </w:rPr>
        <w:t xml:space="preserve">, </w:t>
      </w:r>
      <w:r>
        <w:rPr>
          <w:rFonts w:ascii="Arial" w:eastAsia="Calibri" w:hAnsi="Arial" w:cs="Arial"/>
          <w:bCs/>
          <w:sz w:val="22"/>
          <w:lang w:val="es-ES"/>
        </w:rPr>
        <w:t>C-079 del 18 de febrero de 2022</w:t>
      </w:r>
      <w:r w:rsidR="00C643FB">
        <w:rPr>
          <w:rFonts w:ascii="Arial" w:eastAsia="Calibri" w:hAnsi="Arial" w:cs="Arial"/>
          <w:bCs/>
          <w:sz w:val="22"/>
          <w:lang w:val="es-ES"/>
        </w:rPr>
        <w:t xml:space="preserve"> y C-119 del 25 de marzo de 2022</w:t>
      </w:r>
      <w:r w:rsidRPr="00ED2E5A">
        <w:rPr>
          <w:rFonts w:ascii="Arial" w:eastAsia="Calibri" w:hAnsi="Arial" w:cs="Arial"/>
          <w:bCs/>
          <w:sz w:val="22"/>
          <w:lang w:val="es-ES"/>
        </w:rPr>
        <w:t xml:space="preserve"> analizó los convenios solidarios, su alcance y su régimen contractual. </w:t>
      </w:r>
      <w:r w:rsidRPr="00ED2E5A">
        <w:rPr>
          <w:rFonts w:ascii="Arial" w:eastAsia="Calibri" w:hAnsi="Arial" w:cs="Arial"/>
          <w:bCs/>
          <w:sz w:val="22"/>
          <w:lang w:val="es-ES_tradnl"/>
        </w:rPr>
        <w:t xml:space="preserve">La tesis propuesta en estos conceptos se reitera a continuación y se complementa en lo pertinente teniendo en cuenta los interrogantes planteados. </w:t>
      </w:r>
    </w:p>
    <w:p w14:paraId="5A0369C4" w14:textId="33F1144D" w:rsidR="000B4DB0" w:rsidRDefault="000B4DB0" w:rsidP="009659E9">
      <w:pPr>
        <w:spacing w:after="0"/>
        <w:rPr>
          <w:rFonts w:ascii="Arial" w:eastAsia="Calibri" w:hAnsi="Arial" w:cs="Arial"/>
          <w:bCs/>
          <w:sz w:val="22"/>
          <w:lang w:val="es-CO"/>
        </w:rPr>
      </w:pPr>
    </w:p>
    <w:p w14:paraId="70D6E982" w14:textId="77777777" w:rsidR="007724C9" w:rsidRPr="007724C9" w:rsidRDefault="007724C9" w:rsidP="007724C9">
      <w:pPr>
        <w:tabs>
          <w:tab w:val="left" w:pos="426"/>
        </w:tabs>
        <w:spacing w:after="0" w:line="240" w:lineRule="auto"/>
        <w:rPr>
          <w:rFonts w:ascii="Arial" w:eastAsia="Calibri" w:hAnsi="Arial" w:cs="Arial"/>
          <w:noProof/>
          <w:color w:val="000000" w:themeColor="text1"/>
          <w:sz w:val="22"/>
          <w:szCs w:val="24"/>
          <w:lang w:val="es-ES" w:eastAsia="es-ES_tradnl"/>
        </w:rPr>
      </w:pPr>
      <w:r w:rsidRPr="007724C9">
        <w:rPr>
          <w:rFonts w:ascii="Arial" w:eastAsia="Calibri" w:hAnsi="Arial" w:cs="Arial"/>
          <w:b/>
          <w:bCs/>
          <w:color w:val="000000" w:themeColor="text1"/>
          <w:sz w:val="22"/>
          <w:szCs w:val="24"/>
          <w:lang w:val="es-CO" w:eastAsia="en-GB"/>
        </w:rPr>
        <w:t xml:space="preserve">2.1. </w:t>
      </w:r>
      <w:r w:rsidRPr="007724C9">
        <w:rPr>
          <w:rFonts w:ascii="Arial" w:eastAsia="Calibri" w:hAnsi="Arial" w:cs="Arial"/>
          <w:b/>
          <w:bCs/>
          <w:color w:val="000000" w:themeColor="text1"/>
          <w:sz w:val="22"/>
          <w:szCs w:val="24"/>
          <w:lang w:val="es-ES" w:eastAsia="en-GB"/>
        </w:rPr>
        <w:t>Aplicación de los convenios solidarios</w:t>
      </w:r>
      <w:r w:rsidRPr="007724C9">
        <w:rPr>
          <w:rFonts w:ascii="Arial" w:eastAsia="Calibri" w:hAnsi="Arial" w:cs="Arial"/>
          <w:b/>
          <w:bCs/>
          <w:color w:val="000000" w:themeColor="text1"/>
          <w:sz w:val="22"/>
          <w:szCs w:val="24"/>
          <w:lang w:val="es-CO" w:eastAsia="en-GB"/>
        </w:rPr>
        <w:t xml:space="preserve"> y los organismos de acción comunal de conformidad con la Ley 136 de 1994</w:t>
      </w:r>
    </w:p>
    <w:p w14:paraId="28DB2D32" w14:textId="77777777" w:rsidR="006042F9" w:rsidRPr="007724C9" w:rsidRDefault="006042F9" w:rsidP="007724C9">
      <w:pPr>
        <w:spacing w:after="0"/>
        <w:rPr>
          <w:rFonts w:ascii="Arial" w:eastAsia="Arial" w:hAnsi="Arial" w:cs="Arial"/>
          <w:b/>
          <w:color w:val="000000" w:themeColor="text1"/>
          <w:sz w:val="22"/>
          <w:lang w:val="es-ES"/>
        </w:rPr>
      </w:pPr>
    </w:p>
    <w:p w14:paraId="628C06AB" w14:textId="77777777" w:rsidR="007724C9" w:rsidRPr="007724C9" w:rsidRDefault="007724C9" w:rsidP="007724C9">
      <w:pPr>
        <w:spacing w:after="120"/>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lang w:val="es-ES" w:eastAsia="es-ES_tradnl"/>
        </w:rPr>
        <w:t xml:space="preserve">La contratación estatal con entidades privadas sin ánimo de lucro encuentra su fundamento en el artículo 355 de la Constitución Política, el cual, tras proscribir cualquier tipo de donación por parte del Estado a personas de derecho privado, dispone que «El Gobierno, en los niveles nacional, departamental, distrital y municipal podrá, con recursos de los respectivos presupuestos, celebrar contratos con entidades privadas sin ánimo de lucro y de reconocida idoneidad con el fin de impulsar programas y actividades de interés público acordes con el Plan Nacional y los planes seccionales de Desarrollo […]». </w:t>
      </w:r>
      <w:r w:rsidRPr="007724C9">
        <w:rPr>
          <w:rFonts w:ascii="Arial" w:eastAsia="Calibri" w:hAnsi="Arial" w:cs="Arial"/>
          <w:color w:val="000000" w:themeColor="text1"/>
          <w:sz w:val="22"/>
          <w:szCs w:val="24"/>
          <w:lang w:val="es-ES" w:eastAsia="es-ES_tradnl"/>
        </w:rPr>
        <w:t>A su vez, el referido mandato constitucional faculta al Gobierno Nacional para reglamentar la materia.</w:t>
      </w:r>
    </w:p>
    <w:p w14:paraId="30E8B90C" w14:textId="77777777" w:rsidR="007724C9" w:rsidRPr="007724C9" w:rsidRDefault="007724C9" w:rsidP="007724C9">
      <w:pPr>
        <w:spacing w:after="120"/>
        <w:ind w:firstLine="708"/>
        <w:rPr>
          <w:rFonts w:ascii="Arial" w:eastAsia="Calibri" w:hAnsi="Arial" w:cs="Arial"/>
          <w:color w:val="000000" w:themeColor="text1"/>
          <w:sz w:val="22"/>
          <w:szCs w:val="24"/>
          <w:lang w:val="es-ES" w:eastAsia="es-ES_tradnl"/>
        </w:rPr>
      </w:pPr>
      <w:r w:rsidRPr="004F5964">
        <w:rPr>
          <w:rFonts w:ascii="Arial" w:eastAsia="Calibri" w:hAnsi="Arial" w:cs="Arial"/>
          <w:color w:val="000000" w:themeColor="text1"/>
          <w:sz w:val="22"/>
          <w:szCs w:val="24"/>
          <w:lang w:val="es-ES" w:eastAsia="es-ES_tradnl"/>
        </w:rPr>
        <w:t xml:space="preserve">En concordancia </w:t>
      </w:r>
      <w:bookmarkStart w:id="12" w:name="_Hlk99631246"/>
      <w:r w:rsidRPr="004F5964">
        <w:rPr>
          <w:rFonts w:ascii="Arial" w:eastAsia="Calibri" w:hAnsi="Arial" w:cs="Arial"/>
          <w:color w:val="000000" w:themeColor="text1"/>
          <w:sz w:val="22"/>
          <w:szCs w:val="24"/>
          <w:lang w:val="es-ES" w:eastAsia="es-ES_tradnl"/>
        </w:rPr>
        <w:t xml:space="preserve">con lo establecido en el artículo 355, la Ley 136 de 1994 introdujo un tipo especial de contratación cuyo objetivo consiste en la celebración de convenios solidarios. De conformidad con lo dispuesto en el parágrafo tercero del artículo 3 del referido cuerpo normativo, modificado por la Ley 1551 de 2012, los convenios solidarios se definen como «la complementación de esfuerzos institucionales, comunitarios, económicos y sociales para la construcción de obras y la satisfacción de necesidades y aspiraciones de </w:t>
      </w:r>
      <w:r w:rsidRPr="004F5964">
        <w:rPr>
          <w:rFonts w:ascii="Arial" w:eastAsia="Calibri" w:hAnsi="Arial" w:cs="Arial"/>
          <w:color w:val="000000" w:themeColor="text1"/>
          <w:sz w:val="22"/>
          <w:szCs w:val="24"/>
          <w:lang w:val="es-ES" w:eastAsia="es-ES_tradnl"/>
        </w:rPr>
        <w:lastRenderedPageBreak/>
        <w:t>las comunidades».</w:t>
      </w:r>
      <w:r w:rsidRPr="007724C9">
        <w:rPr>
          <w:rFonts w:ascii="Arial" w:eastAsia="Calibri" w:hAnsi="Arial" w:cs="Arial"/>
          <w:color w:val="000000" w:themeColor="text1"/>
          <w:sz w:val="22"/>
          <w:szCs w:val="24"/>
          <w:lang w:val="es-ES" w:eastAsia="es-ES_tradnl"/>
        </w:rPr>
        <w:t xml:space="preserve">  En este sentido, reiterando la tesis expuesta por esta Agencia mediante concepto C – 140 del 31 de marzo de 2020, el artículo tercero de la Ley 136 de 1994, modificado por la Ley 1551 de 2012, determina tres alternativas mediante las cuales las entidades territoriales pueden celebrar convenios solidarios con organismos de acción comunal, las cuales se enlistan a continuación:</w:t>
      </w:r>
    </w:p>
    <w:p w14:paraId="6B0FBC8D" w14:textId="77777777" w:rsidR="007724C9" w:rsidRPr="007724C9" w:rsidRDefault="007724C9" w:rsidP="007724C9">
      <w:pPr>
        <w:spacing w:after="120"/>
        <w:ind w:firstLine="708"/>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szCs w:val="24"/>
          <w:lang w:val="es-ES" w:eastAsia="es-ES_tradnl"/>
        </w:rPr>
        <w:t>i) En primer lugar, las entidades territoriales del orden municipal o distrital pueden celebrar convenios solidarios con organismos de acción comunal «[…] para el desarrollo conjunto de programas y actividades establecidas por la Ley a los municipios y distritos, acorde con sus planes y desarrollos»</w:t>
      </w:r>
      <w:r w:rsidRPr="007724C9">
        <w:rPr>
          <w:rFonts w:ascii="Arial" w:eastAsia="Calibri" w:hAnsi="Arial" w:cs="Arial"/>
          <w:color w:val="000000" w:themeColor="text1"/>
          <w:sz w:val="22"/>
          <w:szCs w:val="24"/>
          <w:vertAlign w:val="superscript"/>
          <w:lang w:val="es-CO" w:eastAsia="es-ES_tradnl"/>
        </w:rPr>
        <w:footnoteReference w:id="1"/>
      </w:r>
      <w:r w:rsidRPr="007724C9">
        <w:rPr>
          <w:rFonts w:ascii="Arial" w:eastAsia="Calibri" w:hAnsi="Arial" w:cs="Arial"/>
          <w:color w:val="000000" w:themeColor="text1"/>
          <w:sz w:val="22"/>
          <w:szCs w:val="24"/>
          <w:lang w:val="es-ES" w:eastAsia="es-ES_tradnl"/>
        </w:rPr>
        <w:t>.</w:t>
      </w:r>
    </w:p>
    <w:p w14:paraId="55C15A18" w14:textId="77777777" w:rsidR="007724C9" w:rsidRPr="007724C9" w:rsidRDefault="007724C9" w:rsidP="007724C9">
      <w:pPr>
        <w:spacing w:after="120"/>
        <w:ind w:firstLine="708"/>
        <w:rPr>
          <w:rFonts w:ascii="Arial" w:eastAsia="Calibri" w:hAnsi="Arial" w:cs="Arial"/>
          <w:color w:val="000000" w:themeColor="text1"/>
          <w:sz w:val="22"/>
          <w:szCs w:val="24"/>
          <w:lang w:val="es-ES" w:eastAsia="es-ES_tradnl"/>
        </w:rPr>
      </w:pPr>
      <w:r w:rsidRPr="007724C9">
        <w:rPr>
          <w:rFonts w:ascii="Arial" w:eastAsia="Calibri" w:hAnsi="Arial" w:cs="Arial"/>
          <w:color w:val="000000" w:themeColor="text1"/>
          <w:sz w:val="22"/>
          <w:szCs w:val="24"/>
          <w:lang w:val="es-ES" w:eastAsia="es-ES_tradnl"/>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75AA21B5" w14:textId="77777777" w:rsidR="007724C9" w:rsidRPr="007724C9" w:rsidRDefault="007724C9" w:rsidP="007724C9">
      <w:pPr>
        <w:spacing w:after="120"/>
        <w:ind w:firstLine="709"/>
        <w:rPr>
          <w:rFonts w:ascii="Arial" w:eastAsia="Calibri" w:hAnsi="Arial" w:cs="Arial"/>
          <w:color w:val="000000" w:themeColor="text1"/>
          <w:sz w:val="22"/>
          <w:szCs w:val="24"/>
          <w:lang w:val="es-ES" w:eastAsia="es-ES_tradnl"/>
        </w:rPr>
      </w:pPr>
      <w:proofErr w:type="spellStart"/>
      <w:r w:rsidRPr="007724C9">
        <w:rPr>
          <w:rFonts w:ascii="Arial" w:eastAsia="Calibri" w:hAnsi="Arial" w:cs="Arial"/>
          <w:color w:val="000000" w:themeColor="text1"/>
          <w:sz w:val="22"/>
          <w:szCs w:val="24"/>
          <w:lang w:val="es-ES" w:eastAsia="es-ES_tradnl"/>
        </w:rPr>
        <w:t>iii</w:t>
      </w:r>
      <w:proofErr w:type="spellEnd"/>
      <w:r w:rsidRPr="007724C9">
        <w:rPr>
          <w:rFonts w:ascii="Arial" w:eastAsia="Calibri" w:hAnsi="Arial" w:cs="Arial"/>
          <w:color w:val="000000" w:themeColor="text1"/>
          <w:sz w:val="22"/>
          <w:szCs w:val="24"/>
          <w:lang w:val="es-ES" w:eastAsia="es-ES_tradnl"/>
        </w:rPr>
        <w:t xml:space="preserve">) En tercer lugar, la Ley 1955 de 2019 introdujo un quinto parágrafo al artículo tercero, mediante el cual se permite la celebración de convenios solidarios entre entidades del orden nacional y los organismos de acción comunal, en aras de ejecutar proyectos previstos en el Plan Nacional de Desarrollo. </w:t>
      </w:r>
    </w:p>
    <w:p w14:paraId="1ADC188A" w14:textId="77777777" w:rsidR="007724C9" w:rsidRPr="007724C9" w:rsidRDefault="007724C9" w:rsidP="007724C9">
      <w:pPr>
        <w:spacing w:after="120"/>
        <w:ind w:firstLine="709"/>
        <w:rPr>
          <w:rFonts w:ascii="Arial" w:eastAsia="Calibri" w:hAnsi="Arial" w:cs="Arial"/>
          <w:color w:val="000000" w:themeColor="text1"/>
          <w:sz w:val="22"/>
          <w:szCs w:val="24"/>
          <w:lang w:val="es-ES" w:eastAsia="es-ES_tradnl"/>
        </w:rPr>
      </w:pPr>
      <w:r w:rsidRPr="004F5964">
        <w:rPr>
          <w:rFonts w:ascii="Arial" w:eastAsia="Calibri" w:hAnsi="Arial" w:cs="Arial"/>
          <w:color w:val="000000" w:themeColor="text1"/>
          <w:sz w:val="22"/>
          <w:szCs w:val="24"/>
          <w:lang w:val="es-ES" w:eastAsia="es-ES_tradnl"/>
        </w:rPr>
        <w:t xml:space="preserve">Existen características que se encuentran presentes en los tres regímenes de contratación aplicables y que están contenidas en el parágrafo tercero del artículo 3 de la Ley 136 de 1994, en consonancia con el artículo 355 de la Constitución Política. En ese sentido, debe tenerse en cuenta que todos los convenios solidarios celebrados entre entidades del orden nacional, departamental, distrital o municipal y los organismos de acción comunal deben propender por la satisfacción de necesidades y aspiraciones de las comunidades, estar encaminados a la satisfacción </w:t>
      </w:r>
      <w:bookmarkEnd w:id="12"/>
      <w:r w:rsidRPr="004F5964">
        <w:rPr>
          <w:rFonts w:ascii="Arial" w:eastAsia="Calibri" w:hAnsi="Arial" w:cs="Arial"/>
          <w:color w:val="000000" w:themeColor="text1"/>
          <w:sz w:val="22"/>
          <w:szCs w:val="24"/>
          <w:lang w:val="es-ES" w:eastAsia="es-ES_tradnl"/>
        </w:rPr>
        <w:t>del interés público, y ser concordantes con el Plan Nacional o los planes seccionales de desarrollo, según el caso.</w:t>
      </w:r>
      <w:r w:rsidRPr="007724C9">
        <w:rPr>
          <w:rFonts w:ascii="Arial" w:eastAsia="Calibri" w:hAnsi="Arial" w:cs="Arial"/>
          <w:color w:val="000000" w:themeColor="text1"/>
          <w:sz w:val="22"/>
          <w:szCs w:val="24"/>
          <w:lang w:val="es-ES" w:eastAsia="es-ES_tradnl"/>
        </w:rPr>
        <w:t xml:space="preserve"> </w:t>
      </w:r>
    </w:p>
    <w:p w14:paraId="08A61C4F" w14:textId="5EADC045"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De esta manera, habiendo abordado las características generales aplicables a la celebración de cualquier convenio solidario, debe destacarse que el </w:t>
      </w:r>
      <w:bookmarkStart w:id="13" w:name="_Hlk69293147"/>
      <w:r w:rsidRPr="007724C9">
        <w:rPr>
          <w:rFonts w:ascii="Arial" w:eastAsia="Times New Roman" w:hAnsi="Arial" w:cs="Arial"/>
          <w:i/>
          <w:iCs/>
          <w:color w:val="000000" w:themeColor="text1"/>
          <w:sz w:val="22"/>
          <w:szCs w:val="24"/>
          <w:lang w:val="es-ES" w:eastAsia="es-ES_tradnl"/>
        </w:rPr>
        <w:t>primer régimen</w:t>
      </w:r>
      <w:r w:rsidRPr="007724C9">
        <w:rPr>
          <w:rFonts w:ascii="Arial" w:eastAsia="Times New Roman" w:hAnsi="Arial" w:cs="Arial"/>
          <w:color w:val="000000" w:themeColor="text1"/>
          <w:sz w:val="22"/>
          <w:szCs w:val="24"/>
          <w:lang w:val="es-ES" w:eastAsia="es-ES_tradnl"/>
        </w:rPr>
        <w:t xml:space="preserve"> encuentra su fundamento en el </w:t>
      </w:r>
      <w:r w:rsidRPr="007724C9">
        <w:rPr>
          <w:rFonts w:ascii="Arial" w:eastAsia="Times New Roman" w:hAnsi="Arial" w:cs="Arial"/>
          <w:i/>
          <w:iCs/>
          <w:color w:val="000000" w:themeColor="text1"/>
          <w:sz w:val="22"/>
          <w:szCs w:val="24"/>
          <w:lang w:val="es-ES" w:eastAsia="es-ES_tradnl"/>
        </w:rPr>
        <w:t>parágrafo cuarto de</w:t>
      </w:r>
      <w:r w:rsidR="00B81B5D">
        <w:rPr>
          <w:rFonts w:ascii="Arial" w:eastAsia="Times New Roman" w:hAnsi="Arial" w:cs="Arial"/>
          <w:i/>
          <w:iCs/>
          <w:color w:val="000000" w:themeColor="text1"/>
          <w:sz w:val="22"/>
          <w:szCs w:val="24"/>
          <w:lang w:val="es-ES" w:eastAsia="es-ES_tradnl"/>
        </w:rPr>
        <w:t>l artículo 3 de</w:t>
      </w:r>
      <w:r w:rsidRPr="007724C9">
        <w:rPr>
          <w:rFonts w:ascii="Arial" w:eastAsia="Times New Roman" w:hAnsi="Arial" w:cs="Arial"/>
          <w:i/>
          <w:iCs/>
          <w:color w:val="000000" w:themeColor="text1"/>
          <w:sz w:val="22"/>
          <w:szCs w:val="24"/>
          <w:lang w:val="es-ES" w:eastAsia="es-ES_tradnl"/>
        </w:rPr>
        <w:t xml:space="preserve"> la Ley 136 de 1994</w:t>
      </w:r>
      <w:r w:rsidRPr="007724C9">
        <w:rPr>
          <w:rFonts w:ascii="Arial" w:eastAsia="Times New Roman" w:hAnsi="Arial" w:cs="Arial"/>
          <w:color w:val="000000" w:themeColor="text1"/>
          <w:sz w:val="22"/>
          <w:szCs w:val="24"/>
          <w:lang w:val="es-ES" w:eastAsia="es-ES_tradnl"/>
        </w:rPr>
        <w:t xml:space="preserve">. Como se indicó, este determina una sub-regla de contratación prevalente por su especificidad. Para la aplicabilidad de este régimen es necesario que concurran los siguientes requisitos: i) que las partes intervinientes sean, por un lado, entes territoriales del orden departamental </w:t>
      </w:r>
      <w:r w:rsidRPr="007724C9">
        <w:rPr>
          <w:rFonts w:ascii="Arial" w:eastAsia="Times New Roman" w:hAnsi="Arial" w:cs="Arial"/>
          <w:color w:val="000000" w:themeColor="text1"/>
          <w:sz w:val="22"/>
          <w:szCs w:val="24"/>
          <w:lang w:val="es-ES" w:eastAsia="es-ES_tradnl"/>
        </w:rPr>
        <w:lastRenderedPageBreak/>
        <w:t xml:space="preserve">o municipal y, por otro, juntas de acción comunal; ii) que el objeto contractual consista en la ejecución de obras; y, </w:t>
      </w:r>
      <w:proofErr w:type="spellStart"/>
      <w:r w:rsidRPr="007724C9">
        <w:rPr>
          <w:rFonts w:ascii="Arial" w:eastAsia="Times New Roman" w:hAnsi="Arial" w:cs="Arial"/>
          <w:color w:val="000000" w:themeColor="text1"/>
          <w:sz w:val="22"/>
          <w:szCs w:val="24"/>
          <w:lang w:val="es-ES" w:eastAsia="es-ES_tradnl"/>
        </w:rPr>
        <w:t>iii</w:t>
      </w:r>
      <w:proofErr w:type="spellEnd"/>
      <w:r w:rsidRPr="007724C9">
        <w:rPr>
          <w:rFonts w:ascii="Arial" w:eastAsia="Times New Roman" w:hAnsi="Arial" w:cs="Arial"/>
          <w:color w:val="000000" w:themeColor="text1"/>
          <w:sz w:val="22"/>
          <w:szCs w:val="24"/>
          <w:lang w:val="es-ES" w:eastAsia="es-ES_tradnl"/>
        </w:rPr>
        <w:t>) que el contrato no supere la mínima cuantía. De concurrir las anteriores circunstancias, la norma autoriza la contratación directa entre la entidad territorial y la respectiva junta de acción comunal previamente legalizada y reconocida ante los organismos competentes. En todo caso, esta contratación debe tomar como personal para la ejecución de la obra a los habitantes de la comunidad.</w:t>
      </w:r>
      <w:bookmarkEnd w:id="13"/>
      <w:r w:rsidRPr="007724C9">
        <w:rPr>
          <w:rFonts w:ascii="Arial" w:eastAsia="Times New Roman" w:hAnsi="Arial" w:cs="Arial"/>
          <w:color w:val="000000" w:themeColor="text1"/>
          <w:sz w:val="22"/>
          <w:szCs w:val="24"/>
          <w:lang w:val="es-ES" w:eastAsia="es-ES_tradnl"/>
        </w:rPr>
        <w:t xml:space="preserve"> Sin embargo, el artículo 95 de la Ley 2166 de 2021</w:t>
      </w:r>
      <w:r w:rsidR="00FF1673">
        <w:rPr>
          <w:rStyle w:val="Refdenotaalpie"/>
          <w:rFonts w:ascii="Arial" w:eastAsia="Times New Roman" w:hAnsi="Arial" w:cs="Arial"/>
          <w:color w:val="000000" w:themeColor="text1"/>
          <w:sz w:val="22"/>
          <w:szCs w:val="24"/>
          <w:lang w:val="es-ES" w:eastAsia="es-ES_tradnl"/>
        </w:rPr>
        <w:footnoteReference w:id="2"/>
      </w:r>
      <w:r w:rsidRPr="007724C9">
        <w:rPr>
          <w:rFonts w:ascii="Arial" w:eastAsia="Times New Roman" w:hAnsi="Arial" w:cs="Arial"/>
          <w:color w:val="000000" w:themeColor="text1"/>
          <w:sz w:val="22"/>
          <w:szCs w:val="24"/>
          <w:lang w:val="es-ES" w:eastAsia="es-ES_tradnl"/>
        </w:rPr>
        <w:t xml:space="preserve"> amplió esta subregla en cuanto a los sujetos aplicables, condiciones y la cuantía del contrato</w:t>
      </w:r>
      <w:r w:rsidR="001E4117">
        <w:rPr>
          <w:rFonts w:ascii="Arial" w:eastAsia="Times New Roman" w:hAnsi="Arial" w:cs="Arial"/>
          <w:color w:val="000000" w:themeColor="text1"/>
          <w:sz w:val="22"/>
          <w:szCs w:val="24"/>
          <w:lang w:val="es-ES" w:eastAsia="es-ES_tradnl"/>
        </w:rPr>
        <w:t>, como se explicará en el numeral 2.2. de este concepto.</w:t>
      </w:r>
    </w:p>
    <w:p w14:paraId="6798C2B0" w14:textId="77777777"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Un </w:t>
      </w:r>
      <w:r w:rsidRPr="007724C9">
        <w:rPr>
          <w:rFonts w:ascii="Arial" w:eastAsia="Times New Roman" w:hAnsi="Arial" w:cs="Arial"/>
          <w:i/>
          <w:iCs/>
          <w:color w:val="000000" w:themeColor="text1"/>
          <w:sz w:val="22"/>
          <w:szCs w:val="24"/>
          <w:lang w:val="es-ES" w:eastAsia="es-ES_tradnl"/>
        </w:rPr>
        <w:t>segundo</w:t>
      </w:r>
      <w:r w:rsidRPr="007724C9">
        <w:rPr>
          <w:rFonts w:ascii="Arial" w:eastAsia="Times New Roman" w:hAnsi="Arial" w:cs="Arial"/>
          <w:color w:val="000000" w:themeColor="text1"/>
          <w:sz w:val="22"/>
          <w:szCs w:val="24"/>
          <w:lang w:val="es-ES" w:eastAsia="es-ES_tradnl"/>
        </w:rPr>
        <w:t xml:space="preserve"> régimen o modalidad de contratación se encuentra prevista en el Decreto 092 de 2017, exceptuando lo consignado en su artículo quinto, pues versa sobre convenios de asociación. Este decreto desarrolla, en términos generales, la contratación autorizada por el artículo 355 de la Constitución Política, la cual, en concordancia con el numeral 16 y el parágrafo tercero del artículo tercero de la Ley 136 de 1994, puede manifestarse a través de convenios solidarios.  </w:t>
      </w:r>
    </w:p>
    <w:p w14:paraId="6A71B86B" w14:textId="77777777"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w:t>
      </w:r>
      <w:proofErr w:type="spellStart"/>
      <w:r w:rsidRPr="007724C9">
        <w:rPr>
          <w:rFonts w:ascii="Arial" w:eastAsia="Times New Roman" w:hAnsi="Arial" w:cs="Arial"/>
          <w:color w:val="000000" w:themeColor="text1"/>
          <w:sz w:val="22"/>
          <w:szCs w:val="24"/>
          <w:lang w:val="es-ES" w:eastAsia="es-ES_tradnl"/>
        </w:rPr>
        <w:t>iii</w:t>
      </w:r>
      <w:proofErr w:type="spellEnd"/>
      <w:r w:rsidRPr="007724C9">
        <w:rPr>
          <w:rFonts w:ascii="Arial" w:eastAsia="Times New Roman" w:hAnsi="Arial" w:cs="Arial"/>
          <w:color w:val="000000" w:themeColor="text1"/>
          <w:sz w:val="22"/>
          <w:szCs w:val="24"/>
          <w:lang w:val="es-ES" w:eastAsia="es-ES_tradnl"/>
        </w:rPr>
        <w:t xml:space="preserve">) que el contrato, independientemente de su cuantía, no refleje relaciones conmutativas que impliquen contraprestaciones para la entidad del Estado; y iv) que la entidad del Estado no imparta instrucciones precisas para la ejecución del objeto convenido. </w:t>
      </w:r>
    </w:p>
    <w:p w14:paraId="27BCE2F3" w14:textId="77777777" w:rsidR="007724C9" w:rsidRPr="007724C9" w:rsidRDefault="007724C9" w:rsidP="007724C9">
      <w:pPr>
        <w:spacing w:after="120"/>
        <w:ind w:firstLine="709"/>
        <w:rPr>
          <w:rFonts w:ascii="Arial" w:eastAsia="Times New Roman" w:hAnsi="Arial" w:cs="Arial"/>
          <w:color w:val="000000" w:themeColor="text1"/>
          <w:sz w:val="22"/>
          <w:szCs w:val="24"/>
          <w:lang w:val="es-ES" w:eastAsia="es-ES_tradnl"/>
        </w:rPr>
      </w:pPr>
      <w:r w:rsidRPr="007724C9">
        <w:rPr>
          <w:rFonts w:ascii="Arial" w:eastAsia="Times New Roman" w:hAnsi="Arial" w:cs="Arial"/>
          <w:color w:val="000000" w:themeColor="text1"/>
          <w:sz w:val="22"/>
          <w:szCs w:val="24"/>
          <w:lang w:val="es-ES" w:eastAsia="es-ES_tradnl"/>
        </w:rPr>
        <w:t xml:space="preserve">Así las cosas, en caso de que concurran los requisitos antes enunciados, se aplicará al proceso de planeación, selección y contratación el procedimiento previsto en el Decreto 092 de 2017 y, en lo no previsto en este, se complementará con las normas previstas en el Estatuto General de Contratación de la Administración Pública –en adelante EGCAP–, con base en las remisiones efectuadas en los artículos séptimo y octavo de aquel Decreto. </w:t>
      </w:r>
    </w:p>
    <w:p w14:paraId="15FAE759" w14:textId="77777777" w:rsidR="008E3D73" w:rsidRPr="00EB3454" w:rsidRDefault="008E3D73" w:rsidP="008E3D73">
      <w:pPr>
        <w:spacing w:after="120"/>
        <w:ind w:firstLine="709"/>
        <w:rPr>
          <w:rFonts w:ascii="Arial" w:hAnsi="Arial" w:cs="Arial"/>
          <w:color w:val="000000" w:themeColor="text1"/>
          <w:sz w:val="22"/>
          <w:lang w:val="es-ES"/>
        </w:rPr>
      </w:pPr>
      <w:r w:rsidRPr="00504597">
        <w:rPr>
          <w:rFonts w:ascii="Arial" w:hAnsi="Arial" w:cs="Arial"/>
          <w:i/>
          <w:iCs/>
          <w:color w:val="000000" w:themeColor="text1"/>
          <w:sz w:val="22"/>
          <w:lang w:val="es-ES"/>
        </w:rPr>
        <w:t>Por último</w:t>
      </w:r>
      <w:r w:rsidRPr="00504597">
        <w:rPr>
          <w:rFonts w:ascii="Arial" w:hAnsi="Arial" w:cs="Arial"/>
          <w:color w:val="000000" w:themeColor="text1"/>
          <w:sz w:val="22"/>
          <w:lang w:val="es-ES"/>
        </w:rPr>
        <w:t xml:space="preserve">, en armonía con la modificación realizada por la Ley 1955 de 2019, se presenta un </w:t>
      </w:r>
      <w:r w:rsidRPr="00504597">
        <w:rPr>
          <w:rFonts w:ascii="Arial" w:hAnsi="Arial" w:cs="Arial"/>
          <w:i/>
          <w:iCs/>
          <w:color w:val="000000" w:themeColor="text1"/>
          <w:sz w:val="22"/>
          <w:lang w:val="es-ES"/>
        </w:rPr>
        <w:t>tercer régimen</w:t>
      </w:r>
      <w:r w:rsidRPr="00504597">
        <w:rPr>
          <w:rFonts w:ascii="Arial" w:hAnsi="Arial" w:cs="Arial"/>
          <w:color w:val="000000" w:themeColor="text1"/>
          <w:sz w:val="22"/>
          <w:lang w:val="es-ES"/>
        </w:rPr>
        <w:t xml:space="preserve">, </w:t>
      </w:r>
      <w:bookmarkStart w:id="14" w:name="_Hlk98594490"/>
      <w:r w:rsidRPr="00504597">
        <w:rPr>
          <w:rFonts w:ascii="Arial" w:hAnsi="Arial" w:cs="Arial"/>
          <w:color w:val="000000" w:themeColor="text1"/>
          <w:sz w:val="22"/>
          <w:lang w:val="es-ES"/>
        </w:rPr>
        <w:t xml:space="preserve">que encuentra su fundamento en los parágrafos tercero y quinto </w:t>
      </w:r>
      <w:r w:rsidRPr="00504597">
        <w:rPr>
          <w:rFonts w:ascii="Arial" w:hAnsi="Arial" w:cs="Arial"/>
          <w:color w:val="000000" w:themeColor="text1"/>
          <w:sz w:val="22"/>
          <w:lang w:val="es-ES"/>
        </w:rPr>
        <w:lastRenderedPageBreak/>
        <w:t>del artículo tercero de la Ley 136 de 1994</w:t>
      </w:r>
      <w:bookmarkEnd w:id="14"/>
      <w:r w:rsidRPr="00504597">
        <w:rPr>
          <w:rFonts w:ascii="Arial" w:hAnsi="Arial" w:cs="Arial"/>
          <w:color w:val="000000" w:themeColor="text1"/>
          <w:sz w:val="22"/>
          <w:lang w:val="es-ES"/>
        </w:rPr>
        <w:t>. Retomando los conceptos de esta Agencia</w:t>
      </w:r>
      <w:r w:rsidRPr="00504597">
        <w:rPr>
          <w:rStyle w:val="Refdenotaalpie"/>
          <w:rFonts w:ascii="Arial" w:hAnsi="Arial" w:cs="Arial"/>
          <w:color w:val="000000" w:themeColor="text1"/>
          <w:sz w:val="22"/>
          <w:lang w:val="es-ES"/>
        </w:rPr>
        <w:footnoteReference w:id="3"/>
      </w:r>
      <w:r w:rsidRPr="00504597">
        <w:rPr>
          <w:rFonts w:ascii="Arial" w:hAnsi="Arial" w:cs="Arial"/>
          <w:color w:val="000000" w:themeColor="text1"/>
          <w:sz w:val="22"/>
          <w:lang w:val="es-ES"/>
        </w:rPr>
        <w:t>, se ha considerado que estas normas deben interpretarse armónicamente con lo dispuesto en el artículo 141 de la precitada Ley</w:t>
      </w:r>
      <w:r w:rsidRPr="00504597">
        <w:rPr>
          <w:rStyle w:val="Refdenotaalpie"/>
          <w:rFonts w:ascii="Arial" w:hAnsi="Arial" w:cs="Arial"/>
          <w:color w:val="000000" w:themeColor="text1"/>
          <w:sz w:val="22"/>
          <w:lang w:val="es-ES"/>
        </w:rPr>
        <w:footnoteReference w:id="4"/>
      </w:r>
      <w:r w:rsidRPr="00504597">
        <w:rPr>
          <w:rFonts w:ascii="Arial" w:hAnsi="Arial" w:cs="Arial"/>
          <w:color w:val="000000" w:themeColor="text1"/>
          <w:sz w:val="22"/>
          <w:lang w:val="es-ES"/>
        </w:rPr>
        <w:t xml:space="preserve"> y el artículo 55 de la Ley 743 de 2002</w:t>
      </w:r>
      <w:r w:rsidRPr="00504597">
        <w:rPr>
          <w:rStyle w:val="Refdenotaalpie"/>
          <w:rFonts w:ascii="Arial" w:hAnsi="Arial" w:cs="Arial"/>
          <w:color w:val="000000" w:themeColor="text1"/>
          <w:sz w:val="22"/>
          <w:lang w:val="es-ES"/>
        </w:rPr>
        <w:footnoteReference w:id="5"/>
      </w:r>
      <w:r w:rsidRPr="00504597">
        <w:rPr>
          <w:rFonts w:ascii="Arial" w:hAnsi="Arial" w:cs="Arial"/>
          <w:color w:val="000000" w:themeColor="text1"/>
          <w:sz w:val="22"/>
          <w:lang w:val="es-ES"/>
        </w:rPr>
        <w:t xml:space="preserve"> –norma vigente hasta la expedición de la Ley 2166 de 2021–. En virtud de tales disposiciones normativas, las organizaciones comunitarias cuentan con la posibilidad de «vincularse al desarrollo y mejoramiento municipal mediante la participación en el ejercicio de las funciones, la prestación de servicios o la ejecución de obras públicas a cargo de la administración central o descentralizada». Para ese efecto, se dará aplicación a los artículos 375 a 378 del Decreto 1333 de 1986 y al Estatuto General de Contratación de la Administración Pública. Esta modalidad de contratación resulta aplicable a todos los casos no reglamentados a través de normas específicas en los que: i) se vinculen entidades del orden nacional, municipal o distrital y organizaciones comunales; </w:t>
      </w:r>
      <w:proofErr w:type="spellStart"/>
      <w:r w:rsidRPr="00504597">
        <w:rPr>
          <w:rFonts w:ascii="Arial" w:hAnsi="Arial" w:cs="Arial"/>
          <w:color w:val="000000" w:themeColor="text1"/>
          <w:sz w:val="22"/>
          <w:lang w:val="es-ES"/>
        </w:rPr>
        <w:t>ii</w:t>
      </w:r>
      <w:proofErr w:type="spellEnd"/>
      <w:r w:rsidRPr="00504597">
        <w:rPr>
          <w:rFonts w:ascii="Arial" w:hAnsi="Arial" w:cs="Arial"/>
          <w:color w:val="000000" w:themeColor="text1"/>
          <w:sz w:val="22"/>
          <w:lang w:val="es-ES"/>
        </w:rPr>
        <w:t xml:space="preserve">) se cumpla con el objetivo planteado en el parágrafo tercero del artículo tercero de la Ley 136 de 1994, en consonancia con el artículo 355 constitucional; y </w:t>
      </w:r>
      <w:proofErr w:type="spellStart"/>
      <w:r w:rsidRPr="00504597">
        <w:rPr>
          <w:rFonts w:ascii="Arial" w:hAnsi="Arial" w:cs="Arial"/>
          <w:color w:val="000000" w:themeColor="text1"/>
          <w:sz w:val="22"/>
          <w:lang w:val="es-ES"/>
        </w:rPr>
        <w:t>iii</w:t>
      </w:r>
      <w:proofErr w:type="spellEnd"/>
      <w:r w:rsidRPr="00504597">
        <w:rPr>
          <w:rFonts w:ascii="Arial" w:hAnsi="Arial" w:cs="Arial"/>
          <w:color w:val="000000" w:themeColor="text1"/>
          <w:sz w:val="22"/>
          <w:lang w:val="es-ES"/>
        </w:rPr>
        <w:t>) no exista otra forma especial de contratación.</w:t>
      </w:r>
    </w:p>
    <w:p w14:paraId="5589FF5F" w14:textId="77777777" w:rsidR="008E3D73" w:rsidRPr="00504597" w:rsidRDefault="008E3D73" w:rsidP="008E3D73">
      <w:pPr>
        <w:spacing w:before="120"/>
        <w:ind w:firstLine="709"/>
        <w:rPr>
          <w:rFonts w:ascii="Arial" w:hAnsi="Arial" w:cs="Arial"/>
          <w:color w:val="000000" w:themeColor="text1"/>
          <w:sz w:val="22"/>
          <w:lang w:val="es-ES"/>
        </w:rPr>
      </w:pPr>
      <w:r w:rsidRPr="00504597">
        <w:rPr>
          <w:rFonts w:ascii="Arial" w:hAnsi="Arial" w:cs="Arial"/>
          <w:color w:val="000000" w:themeColor="text1"/>
          <w:sz w:val="22"/>
          <w:lang w:val="es-ES"/>
        </w:rPr>
        <w:t xml:space="preserve">Las anteriores precisiones son importantes para el objeto de la consulta puesto que, como se analizará a continuación, los 3 regímenes de contratación aplicables en los convenios solidarios celebrados con organismos de acción comunal se mantienen actualmente. Sin embargo, de acuerdo con las previsiones de la Ley 2166 de 2021, se presentan algunas variaciones en relación con el contenido de estos convenios. </w:t>
      </w:r>
    </w:p>
    <w:bookmarkEnd w:id="7"/>
    <w:p w14:paraId="0EF11977" w14:textId="2DBE96FE" w:rsidR="003B43FF" w:rsidRPr="003B43FF" w:rsidRDefault="008E3D73" w:rsidP="003B43FF">
      <w:pPr>
        <w:spacing w:before="120"/>
        <w:rPr>
          <w:rFonts w:ascii="Arial" w:eastAsia="Calibri" w:hAnsi="Arial" w:cs="Arial"/>
          <w:b/>
          <w:color w:val="000000" w:themeColor="text1"/>
          <w:sz w:val="22"/>
        </w:rPr>
      </w:pPr>
      <w:r w:rsidRPr="00504597">
        <w:rPr>
          <w:rFonts w:ascii="Arial" w:eastAsia="Calibri" w:hAnsi="Arial" w:cs="Arial"/>
          <w:b/>
          <w:color w:val="000000" w:themeColor="text1"/>
          <w:sz w:val="22"/>
        </w:rPr>
        <w:t>2.2. Convenios solidarios con organismos de acción comunal bajo la Ley 2166 de 2021</w:t>
      </w:r>
      <w:r w:rsidR="001E4117">
        <w:rPr>
          <w:rFonts w:ascii="Arial" w:eastAsia="Calibri" w:hAnsi="Arial" w:cs="Arial"/>
          <w:b/>
          <w:color w:val="000000" w:themeColor="text1"/>
          <w:sz w:val="22"/>
        </w:rPr>
        <w:t>, en particular su artículo 95</w:t>
      </w:r>
    </w:p>
    <w:p w14:paraId="7D004CAB" w14:textId="2E30531C" w:rsidR="008E3D73" w:rsidRPr="00504597" w:rsidRDefault="008E3D73" w:rsidP="008E3D73">
      <w:pPr>
        <w:rPr>
          <w:rFonts w:ascii="Arial" w:hAnsi="Arial" w:cs="Arial"/>
          <w:bCs/>
          <w:color w:val="000000" w:themeColor="text1"/>
          <w:sz w:val="22"/>
          <w:lang w:eastAsia="es-MX"/>
        </w:rPr>
      </w:pPr>
      <w:r w:rsidRPr="00504597">
        <w:rPr>
          <w:rFonts w:ascii="Arial" w:hAnsi="Arial" w:cs="Arial"/>
          <w:bCs/>
          <w:color w:val="000000" w:themeColor="text1"/>
          <w:sz w:val="22"/>
          <w:lang w:eastAsia="es-MX"/>
        </w:rPr>
        <w:t xml:space="preserve">Con la reciente expedición de la Ley 2166 de 2021 se deroga la Ley 743 de 2002, se desarrolla el artículo 38 de la Constitución Política de Colombia en lo referente a los organismos de acción comunal y se establecen lineamientos para la formulación e implementación de la política pública de los organismos de acción comunal y de sus </w:t>
      </w:r>
      <w:r w:rsidRPr="00504597">
        <w:rPr>
          <w:rFonts w:ascii="Arial" w:hAnsi="Arial" w:cs="Arial"/>
          <w:bCs/>
          <w:color w:val="000000" w:themeColor="text1"/>
          <w:sz w:val="22"/>
          <w:lang w:eastAsia="es-MX"/>
        </w:rPr>
        <w:lastRenderedPageBreak/>
        <w:t xml:space="preserve">afiliados. De acuerdo con el artículo 1 de dicho cuerpo normativo esta ley tiene por objeto </w:t>
      </w:r>
      <w:r w:rsidRPr="00504597">
        <w:rPr>
          <w:rFonts w:ascii="Arial" w:eastAsia="Calibri" w:hAnsi="Arial" w:cs="Arial"/>
          <w:color w:val="000000" w:themeColor="text1"/>
          <w:sz w:val="22"/>
          <w:lang w:val="es-ES_tradnl"/>
        </w:rPr>
        <w:t>«</w:t>
      </w:r>
      <w:r w:rsidRPr="00504597">
        <w:rPr>
          <w:rFonts w:ascii="Arial" w:hAnsi="Arial" w:cs="Arial"/>
          <w:bCs/>
          <w:color w:val="000000" w:themeColor="text1"/>
          <w:sz w:val="22"/>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 […]</w:t>
      </w:r>
      <w:r w:rsidRPr="00504597">
        <w:rPr>
          <w:rFonts w:ascii="Arial" w:eastAsia="Calibri" w:hAnsi="Arial" w:cs="Arial"/>
          <w:color w:val="000000" w:themeColor="text1"/>
          <w:sz w:val="22"/>
          <w:lang w:val="es-ES_tradnl"/>
        </w:rPr>
        <w:t>»</w:t>
      </w:r>
      <w:r w:rsidRPr="00504597">
        <w:rPr>
          <w:rFonts w:ascii="Arial" w:hAnsi="Arial" w:cs="Arial"/>
          <w:bCs/>
          <w:color w:val="000000" w:themeColor="text1"/>
          <w:sz w:val="22"/>
          <w:lang w:eastAsia="es-MX"/>
        </w:rPr>
        <w:t xml:space="preserve">. </w:t>
      </w:r>
    </w:p>
    <w:p w14:paraId="0F8A2FAA" w14:textId="77777777" w:rsidR="008E3D73" w:rsidRPr="00504597" w:rsidRDefault="008E3D73" w:rsidP="008E3D73">
      <w:pPr>
        <w:spacing w:before="120"/>
        <w:ind w:firstLine="709"/>
        <w:rPr>
          <w:rFonts w:ascii="Arial" w:hAnsi="Arial" w:cs="Arial"/>
          <w:bCs/>
          <w:color w:val="000000" w:themeColor="text1"/>
          <w:sz w:val="22"/>
          <w:lang w:eastAsia="es-MX"/>
        </w:rPr>
      </w:pPr>
      <w:r w:rsidRPr="00504597">
        <w:rPr>
          <w:rFonts w:ascii="Arial" w:hAnsi="Arial" w:cs="Arial"/>
          <w:bCs/>
          <w:color w:val="000000" w:themeColor="text1"/>
          <w:sz w:val="22"/>
          <w:lang w:eastAsia="es-MX"/>
        </w:rPr>
        <w:t xml:space="preserve">En desarrollo de lo anterior, el artículo 95 de dicha ley contempla la celebración de directa de convenios solidarios entre organismos de acción comunal y «los entes territoriales del orden Nacional, Departamental, Distrital y municipal» prescribiendo lo siguiente: </w:t>
      </w:r>
    </w:p>
    <w:p w14:paraId="6C5E0942" w14:textId="37A82AA1" w:rsidR="008E3D73" w:rsidRPr="00504597" w:rsidRDefault="008E3D73" w:rsidP="008E3D73">
      <w:pPr>
        <w:ind w:left="709" w:right="709"/>
        <w:rPr>
          <w:rFonts w:ascii="Arial" w:hAnsi="Arial" w:cs="Arial"/>
          <w:color w:val="000000" w:themeColor="text1"/>
          <w:sz w:val="21"/>
          <w:szCs w:val="21"/>
        </w:rPr>
      </w:pPr>
      <w:r w:rsidRPr="00504597">
        <w:rPr>
          <w:rFonts w:ascii="Arial" w:hAnsi="Arial" w:cs="Arial"/>
          <w:color w:val="000000" w:themeColor="text1"/>
          <w:sz w:val="21"/>
          <w:szCs w:val="21"/>
        </w:rPr>
        <w:t>Artículo 95. Convenios Solidarios. Se autoriza a los entes territoriales del orden Nacional, Departamental, Distrital y municipal para celebrar directamente convenios solidarios con los Organismos de Acción Comunal con el fin de ejecutar obras hasta por la menor cuantía. Para la ejecución de estas deberán contratar con los habitantes de la comunidad.</w:t>
      </w:r>
    </w:p>
    <w:p w14:paraId="10BF6695" w14:textId="77777777" w:rsidR="008E3D73" w:rsidRPr="00504597" w:rsidRDefault="008E3D73" w:rsidP="008E3D73">
      <w:pPr>
        <w:ind w:left="709" w:right="709"/>
        <w:rPr>
          <w:rFonts w:ascii="Arial" w:hAnsi="Arial" w:cs="Arial"/>
          <w:color w:val="000000" w:themeColor="text1"/>
          <w:sz w:val="21"/>
          <w:szCs w:val="21"/>
        </w:rPr>
      </w:pPr>
      <w:r w:rsidRPr="00504597">
        <w:rPr>
          <w:rFonts w:ascii="Arial" w:hAnsi="Arial" w:cs="Arial"/>
          <w:color w:val="000000" w:themeColor="text1"/>
          <w:sz w:val="21"/>
          <w:szCs w:val="21"/>
        </w:rPr>
        <w:t xml:space="preserve">Parágrafo 1. Los entes territoriales podrán incluir en el monto total de los Convenios Solidarios los costos directos, los costos administrativos y el Subsidio al dignatario representante legal para transportes de que trata la (SIC) el literal c) del artículo 38 de la presente ley. </w:t>
      </w:r>
    </w:p>
    <w:p w14:paraId="3AD851D3" w14:textId="25CBC763" w:rsidR="008E3D73" w:rsidRPr="00504597" w:rsidRDefault="008E3D73" w:rsidP="008E3D73">
      <w:pPr>
        <w:ind w:left="709" w:right="709"/>
        <w:rPr>
          <w:rFonts w:ascii="Arial" w:hAnsi="Arial" w:cs="Arial"/>
          <w:color w:val="000000" w:themeColor="text1"/>
          <w:sz w:val="21"/>
          <w:szCs w:val="21"/>
        </w:rPr>
      </w:pPr>
      <w:r w:rsidRPr="00504597">
        <w:rPr>
          <w:rFonts w:ascii="Arial" w:hAnsi="Arial" w:cs="Arial"/>
          <w:color w:val="000000" w:themeColor="text1"/>
          <w:sz w:val="21"/>
          <w:szCs w:val="21"/>
        </w:rPr>
        <w:t>Parágrafo 2. Adicional del monto del Convenio Solidario, los entes territoriales deberán contar o disponer de personal técnico y administrativo-contable, para supervisar y apoyar a los Organismos de Acción Comunal en la ejecución de las obras</w:t>
      </w:r>
      <w:r w:rsidRPr="00504597">
        <w:rPr>
          <w:rStyle w:val="Refdenotaalpie"/>
          <w:rFonts w:ascii="Arial" w:hAnsi="Arial" w:cs="Arial"/>
          <w:color w:val="000000" w:themeColor="text1"/>
          <w:sz w:val="21"/>
          <w:szCs w:val="21"/>
        </w:rPr>
        <w:footnoteReference w:id="6"/>
      </w:r>
      <w:r w:rsidR="00F83D04">
        <w:rPr>
          <w:rFonts w:ascii="Arial" w:hAnsi="Arial" w:cs="Arial"/>
          <w:sz w:val="21"/>
          <w:szCs w:val="21"/>
        </w:rPr>
        <w:t>.</w:t>
      </w:r>
    </w:p>
    <w:p w14:paraId="67748A35" w14:textId="77777777" w:rsidR="008E3D73" w:rsidRPr="00504597" w:rsidRDefault="008E3D73" w:rsidP="008E3D73">
      <w:pPr>
        <w:spacing w:before="120"/>
        <w:ind w:firstLine="709"/>
        <w:rPr>
          <w:rFonts w:ascii="Arial" w:eastAsia="Calibri" w:hAnsi="Arial" w:cs="Arial"/>
          <w:color w:val="000000" w:themeColor="text1"/>
          <w:sz w:val="22"/>
          <w:lang w:val="es-ES_tradnl"/>
        </w:rPr>
      </w:pPr>
      <w:r w:rsidRPr="00504597">
        <w:rPr>
          <w:rFonts w:ascii="Arial" w:hAnsi="Arial" w:cs="Arial"/>
          <w:bCs/>
          <w:color w:val="000000" w:themeColor="text1"/>
          <w:sz w:val="22"/>
          <w:lang w:eastAsia="es-MX"/>
        </w:rPr>
        <w:t xml:space="preserve">Según se evidencia, esta norma desarrolla las siguientes reglas: i) Las </w:t>
      </w:r>
      <w:r w:rsidRPr="00504597">
        <w:rPr>
          <w:rFonts w:ascii="Arial" w:eastAsia="Calibri" w:hAnsi="Arial" w:cs="Arial"/>
          <w:color w:val="000000" w:themeColor="text1"/>
          <w:sz w:val="22"/>
          <w:lang w:val="es-ES_tradnl"/>
        </w:rPr>
        <w:t>«</w:t>
      </w:r>
      <w:r w:rsidRPr="00504597">
        <w:rPr>
          <w:rFonts w:ascii="Arial" w:hAnsi="Arial" w:cs="Arial"/>
          <w:bCs/>
          <w:color w:val="000000" w:themeColor="text1"/>
          <w:sz w:val="22"/>
          <w:lang w:eastAsia="es-MX"/>
        </w:rPr>
        <w:t>entidades territoriales del</w:t>
      </w:r>
      <w:r w:rsidRPr="00504597">
        <w:rPr>
          <w:rFonts w:ascii="Arial" w:eastAsia="Calibri" w:hAnsi="Arial" w:cs="Arial"/>
          <w:color w:val="000000" w:themeColor="text1"/>
          <w:sz w:val="22"/>
          <w:lang w:val="es-ES_tradnl"/>
        </w:rPr>
        <w:t xml:space="preserve"> </w:t>
      </w:r>
      <w:r w:rsidRPr="00504597">
        <w:rPr>
          <w:rFonts w:ascii="Arial" w:hAnsi="Arial" w:cs="Arial"/>
          <w:color w:val="000000" w:themeColor="text1"/>
          <w:sz w:val="22"/>
        </w:rPr>
        <w:t>orden Nacional, Departamental, Distrital y municipal</w:t>
      </w:r>
      <w:bookmarkStart w:id="16" w:name="_Hlk98576273"/>
      <w:r w:rsidRPr="00504597">
        <w:rPr>
          <w:rFonts w:ascii="Arial" w:eastAsia="Calibri" w:hAnsi="Arial" w:cs="Arial"/>
          <w:color w:val="000000" w:themeColor="text1"/>
          <w:sz w:val="22"/>
          <w:lang w:val="es-ES_tradnl"/>
        </w:rPr>
        <w:t>»</w:t>
      </w:r>
      <w:bookmarkEnd w:id="16"/>
      <w:r w:rsidRPr="00504597">
        <w:rPr>
          <w:rFonts w:ascii="Arial" w:eastAsia="Calibri" w:hAnsi="Arial" w:cs="Arial"/>
          <w:color w:val="000000" w:themeColor="text1"/>
          <w:sz w:val="22"/>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504597">
        <w:rPr>
          <w:rFonts w:ascii="Arial" w:eastAsia="Calibri" w:hAnsi="Arial" w:cs="Arial"/>
          <w:i/>
          <w:iCs/>
          <w:color w:val="000000" w:themeColor="text1"/>
          <w:sz w:val="22"/>
          <w:lang w:val="es-ES_tradnl"/>
        </w:rPr>
        <w:t>organismos de acción comunal</w:t>
      </w:r>
      <w:r w:rsidRPr="00504597">
        <w:rPr>
          <w:rStyle w:val="Refdenotaalpie"/>
          <w:rFonts w:ascii="Arial" w:eastAsia="Calibri" w:hAnsi="Arial" w:cs="Arial"/>
          <w:color w:val="000000" w:themeColor="text1"/>
          <w:sz w:val="22"/>
          <w:lang w:val="es-ES_tradnl"/>
        </w:rPr>
        <w:footnoteReference w:id="7"/>
      </w:r>
      <w:r w:rsidRPr="00504597">
        <w:rPr>
          <w:rFonts w:ascii="Arial" w:eastAsia="Calibri" w:hAnsi="Arial" w:cs="Arial"/>
          <w:color w:val="000000" w:themeColor="text1"/>
          <w:sz w:val="22"/>
          <w:lang w:val="es-ES_tradnl"/>
        </w:rPr>
        <w:t xml:space="preserve">.  </w:t>
      </w:r>
    </w:p>
    <w:p w14:paraId="7CE6FABA" w14:textId="77777777" w:rsidR="008E3D73" w:rsidRPr="00504597" w:rsidRDefault="008E3D73" w:rsidP="008E3D73">
      <w:pPr>
        <w:spacing w:before="120"/>
        <w:ind w:firstLine="709"/>
        <w:rPr>
          <w:rFonts w:ascii="Arial" w:eastAsia="Calibri" w:hAnsi="Arial" w:cs="Arial"/>
          <w:color w:val="000000" w:themeColor="text1"/>
          <w:sz w:val="22"/>
          <w:lang w:val="es-ES_tradnl"/>
        </w:rPr>
      </w:pPr>
      <w:proofErr w:type="spellStart"/>
      <w:r w:rsidRPr="00504597">
        <w:rPr>
          <w:rFonts w:ascii="Arial" w:eastAsia="Calibri" w:hAnsi="Arial" w:cs="Arial"/>
          <w:color w:val="000000" w:themeColor="text1"/>
          <w:sz w:val="22"/>
          <w:lang w:val="es-ES_tradnl"/>
        </w:rPr>
        <w:lastRenderedPageBreak/>
        <w:t>ii</w:t>
      </w:r>
      <w:proofErr w:type="spellEnd"/>
      <w:r w:rsidRPr="00504597">
        <w:rPr>
          <w:rFonts w:ascii="Arial" w:eastAsia="Calibri" w:hAnsi="Arial" w:cs="Arial"/>
          <w:color w:val="000000" w:themeColor="text1"/>
          <w:sz w:val="22"/>
          <w:lang w:val="es-ES_tradnl"/>
        </w:rPr>
        <w:t xml:space="preserve">) Estos convenios solidarios deben tener por objeto únicamente la ejecución de obras. Esto significa que no pueden desarrollarse otros objetos distintos a la obra con fundamento en este artículo. </w:t>
      </w:r>
    </w:p>
    <w:p w14:paraId="442DABDA" w14:textId="15ACE201" w:rsidR="008E3D73" w:rsidRPr="00504597" w:rsidRDefault="008E3D73" w:rsidP="008E3D73">
      <w:pPr>
        <w:spacing w:before="120"/>
        <w:ind w:firstLine="709"/>
        <w:rPr>
          <w:rFonts w:ascii="Arial" w:eastAsia="Calibri" w:hAnsi="Arial" w:cs="Arial"/>
          <w:color w:val="000000" w:themeColor="text1"/>
          <w:sz w:val="22"/>
          <w:lang w:val="es-ES_tradnl"/>
        </w:rPr>
      </w:pPr>
      <w:proofErr w:type="spellStart"/>
      <w:r w:rsidRPr="00504597">
        <w:rPr>
          <w:rFonts w:ascii="Arial" w:eastAsia="Calibri" w:hAnsi="Arial" w:cs="Arial"/>
          <w:color w:val="000000" w:themeColor="text1"/>
          <w:sz w:val="22"/>
          <w:lang w:val="es-ES_tradnl"/>
        </w:rPr>
        <w:t>iii</w:t>
      </w:r>
      <w:proofErr w:type="spellEnd"/>
      <w:r w:rsidRPr="00504597">
        <w:rPr>
          <w:rFonts w:ascii="Arial" w:eastAsia="Calibri" w:hAnsi="Arial" w:cs="Arial"/>
          <w:color w:val="000000" w:themeColor="text1"/>
          <w:sz w:val="22"/>
          <w:lang w:val="es-ES_tradnl"/>
        </w:rPr>
        <w:t xml:space="preserve">) El convenio solidario tiene un límite consistente en que no podrá exceder la menor cuantía de la entidad. Por tanto, los sujetos señalados en la norma están facultados para celebrar estos convenios </w:t>
      </w:r>
      <w:r w:rsidR="0072283E">
        <w:rPr>
          <w:rFonts w:ascii="Arial" w:eastAsia="Calibri" w:hAnsi="Arial" w:cs="Arial"/>
          <w:color w:val="000000" w:themeColor="text1"/>
          <w:sz w:val="22"/>
          <w:lang w:val="es-ES_tradnl"/>
        </w:rPr>
        <w:t xml:space="preserve">hasta </w:t>
      </w:r>
      <w:r w:rsidRPr="00504597">
        <w:rPr>
          <w:rFonts w:ascii="Arial" w:eastAsia="Calibri" w:hAnsi="Arial" w:cs="Arial"/>
          <w:color w:val="000000" w:themeColor="text1"/>
          <w:sz w:val="22"/>
          <w:lang w:val="es-ES_tradnl"/>
        </w:rPr>
        <w:t xml:space="preserve">por la menor cuantía de la entidad, para lo cual se atenderá lo previsto en el literal b) del artículo 2 de la Ley 1150 de 2007 para determinar el tope de la menor cuantía de la entidad estatal. </w:t>
      </w:r>
    </w:p>
    <w:p w14:paraId="2726B4D2" w14:textId="77777777" w:rsidR="008E3D73" w:rsidRPr="00504597" w:rsidRDefault="008E3D73" w:rsidP="008E3D73">
      <w:pPr>
        <w:spacing w:before="120"/>
        <w:ind w:firstLine="709"/>
        <w:rPr>
          <w:rFonts w:ascii="Arial" w:eastAsia="Calibri" w:hAnsi="Arial" w:cs="Arial"/>
          <w:color w:val="000000" w:themeColor="text1"/>
          <w:sz w:val="22"/>
          <w:lang w:val="es-ES_tradnl"/>
        </w:rPr>
      </w:pPr>
      <w:proofErr w:type="spellStart"/>
      <w:r w:rsidRPr="00504597">
        <w:rPr>
          <w:rFonts w:ascii="Arial" w:eastAsia="Calibri" w:hAnsi="Arial" w:cs="Arial"/>
          <w:color w:val="000000" w:themeColor="text1"/>
          <w:sz w:val="22"/>
          <w:lang w:val="es-ES_tradnl"/>
        </w:rPr>
        <w:t>iv</w:t>
      </w:r>
      <w:proofErr w:type="spellEnd"/>
      <w:r w:rsidRPr="00504597">
        <w:rPr>
          <w:rFonts w:ascii="Arial" w:eastAsia="Calibri" w:hAnsi="Arial" w:cs="Arial"/>
          <w:color w:val="000000" w:themeColor="text1"/>
          <w:sz w:val="22"/>
          <w:lang w:val="es-ES_tradnl"/>
        </w:rPr>
        <w:t>) Para la ejecución de las obras se establece el deber de contratar con los habitantes de la comunidad.</w:t>
      </w:r>
    </w:p>
    <w:p w14:paraId="12F3A1FA" w14:textId="77777777" w:rsidR="008E3D73" w:rsidRPr="00504597" w:rsidRDefault="008E3D73" w:rsidP="008E3D73">
      <w:pPr>
        <w:spacing w:before="120"/>
        <w:ind w:firstLine="709"/>
        <w:rPr>
          <w:rFonts w:ascii="Arial" w:eastAsia="Calibri" w:hAnsi="Arial" w:cs="Arial"/>
          <w:color w:val="000000" w:themeColor="text1"/>
          <w:sz w:val="22"/>
        </w:rPr>
      </w:pPr>
      <w:r w:rsidRPr="00504597">
        <w:rPr>
          <w:rFonts w:ascii="Arial" w:eastAsia="Calibri" w:hAnsi="Arial" w:cs="Arial"/>
          <w:color w:val="000000" w:themeColor="text1"/>
          <w:sz w:val="22"/>
          <w:lang w:val="es-ES_tradnl"/>
        </w:rPr>
        <w:t xml:space="preserve">v) En el valor total del convenio la entidad podrá incluir los costos directos, los costos administrativos y el subsidio </w:t>
      </w:r>
      <w:r w:rsidRPr="00504597">
        <w:rPr>
          <w:rFonts w:ascii="Arial" w:eastAsia="Calibri" w:hAnsi="Arial" w:cs="Arial"/>
          <w:color w:val="000000" w:themeColor="text1"/>
          <w:sz w:val="22"/>
        </w:rPr>
        <w:t xml:space="preserve">al dignatario representante legal para transportes de que trata el literal c) del artículo 38 de la Ley 2166 de 2022. Estos costos deberán incluirse en el ejercicio de planeación que realice la entidad y estar debidamente justificados. </w:t>
      </w:r>
    </w:p>
    <w:p w14:paraId="2799A473" w14:textId="77777777" w:rsidR="008E3D73" w:rsidRPr="00504597" w:rsidRDefault="008E3D73" w:rsidP="008E3D73">
      <w:pPr>
        <w:spacing w:before="120"/>
        <w:ind w:firstLine="709"/>
        <w:rPr>
          <w:rFonts w:ascii="Arial" w:eastAsia="Calibri" w:hAnsi="Arial" w:cs="Arial"/>
          <w:color w:val="000000" w:themeColor="text1"/>
          <w:sz w:val="22"/>
          <w:lang w:val="es-ES_tradnl"/>
        </w:rPr>
      </w:pPr>
      <w:r w:rsidRPr="00504597">
        <w:rPr>
          <w:rFonts w:ascii="Arial" w:eastAsia="Calibri" w:hAnsi="Arial" w:cs="Arial"/>
          <w:color w:val="000000" w:themeColor="text1"/>
          <w:sz w:val="22"/>
        </w:rPr>
        <w:t>v</w:t>
      </w:r>
      <w:r>
        <w:rPr>
          <w:rFonts w:ascii="Arial" w:eastAsia="Calibri" w:hAnsi="Arial" w:cs="Arial"/>
          <w:color w:val="000000" w:themeColor="text1"/>
          <w:sz w:val="22"/>
        </w:rPr>
        <w:t>i</w:t>
      </w:r>
      <w:r w:rsidRPr="00504597">
        <w:rPr>
          <w:rFonts w:ascii="Arial" w:eastAsia="Calibri" w:hAnsi="Arial" w:cs="Arial"/>
          <w:color w:val="000000" w:themeColor="text1"/>
          <w:sz w:val="22"/>
        </w:rPr>
        <w:t xml:space="preserve">) Las entidades deberán contar con personal técnico y administrativo-contable para apoyar y supervisar a los organismos de acción comunal durante la ejecución de las obras. </w:t>
      </w:r>
    </w:p>
    <w:p w14:paraId="2EB2320D" w14:textId="24670D51" w:rsidR="00264924" w:rsidRDefault="008E3D73" w:rsidP="008E3D73">
      <w:pPr>
        <w:spacing w:before="120"/>
        <w:ind w:firstLine="709"/>
        <w:rPr>
          <w:rFonts w:ascii="Arial" w:hAnsi="Arial" w:cs="Arial"/>
          <w:bCs/>
          <w:color w:val="000000" w:themeColor="text1"/>
          <w:sz w:val="22"/>
          <w:lang w:eastAsia="es-MX"/>
        </w:rPr>
      </w:pPr>
      <w:r w:rsidRPr="00504597">
        <w:rPr>
          <w:rFonts w:ascii="Arial" w:hAnsi="Arial" w:cs="Arial"/>
          <w:bCs/>
          <w:color w:val="000000" w:themeColor="text1"/>
          <w:sz w:val="22"/>
          <w:lang w:eastAsia="es-MX"/>
        </w:rPr>
        <w:lastRenderedPageBreak/>
        <w:t xml:space="preserve">Como se observa, el artículo 95 de la Ley 2166 de 2021 </w:t>
      </w:r>
      <w:r>
        <w:rPr>
          <w:rFonts w:ascii="Arial" w:hAnsi="Arial" w:cs="Arial"/>
          <w:bCs/>
          <w:color w:val="000000" w:themeColor="text1"/>
          <w:sz w:val="22"/>
          <w:lang w:eastAsia="es-MX"/>
        </w:rPr>
        <w:t>prevé reglas para</w:t>
      </w:r>
      <w:r w:rsidRPr="00504597">
        <w:rPr>
          <w:rFonts w:ascii="Arial" w:hAnsi="Arial" w:cs="Arial"/>
          <w:bCs/>
          <w:color w:val="000000" w:themeColor="text1"/>
          <w:sz w:val="22"/>
          <w:lang w:eastAsia="es-MX"/>
        </w:rPr>
        <w:t xml:space="preserve"> la celebración por contratación directa de convenios solidarios. Este régimen de contratación, como se explicó, ya se había contemplado</w:t>
      </w:r>
      <w:r>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inicialmente</w:t>
      </w:r>
      <w:r>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en el parágrafo 4 del artículo 3 de la Ley 136 de 1994</w:t>
      </w:r>
      <w:r>
        <w:rPr>
          <w:rFonts w:ascii="Arial" w:hAnsi="Arial" w:cs="Arial"/>
          <w:bCs/>
          <w:color w:val="000000" w:themeColor="text1"/>
          <w:sz w:val="22"/>
          <w:lang w:eastAsia="es-MX"/>
        </w:rPr>
        <w:t xml:space="preserve"> y reiterado en la modificación que introdujo la Ley 1551 de 2012</w:t>
      </w:r>
      <w:r w:rsidRPr="00504597">
        <w:rPr>
          <w:rFonts w:ascii="Arial" w:hAnsi="Arial" w:cs="Arial"/>
          <w:bCs/>
          <w:color w:val="000000" w:themeColor="text1"/>
          <w:sz w:val="22"/>
          <w:lang w:eastAsia="es-MX"/>
        </w:rPr>
        <w:t>. Sin embargo, el contenido del artículo 95</w:t>
      </w:r>
      <w:r>
        <w:rPr>
          <w:rFonts w:ascii="Arial" w:hAnsi="Arial" w:cs="Arial"/>
          <w:bCs/>
          <w:color w:val="000000" w:themeColor="text1"/>
          <w:sz w:val="22"/>
          <w:lang w:eastAsia="es-MX"/>
        </w:rPr>
        <w:t xml:space="preserve"> referido</w:t>
      </w:r>
      <w:r w:rsidRPr="00504597">
        <w:rPr>
          <w:rFonts w:ascii="Arial" w:hAnsi="Arial" w:cs="Arial"/>
          <w:bCs/>
          <w:color w:val="000000" w:themeColor="text1"/>
          <w:sz w:val="22"/>
          <w:lang w:eastAsia="es-MX"/>
        </w:rPr>
        <w:t xml:space="preserve"> es más amplio en relación con los sujetos, la cuantía del contrato y la ejecución de dichos convenios. En efecto, el artículo 95 incluye a los </w:t>
      </w:r>
      <w:bookmarkStart w:id="18" w:name="_Hlk98594011"/>
      <w:r w:rsidRPr="00504597">
        <w:rPr>
          <w:rFonts w:ascii="Arial" w:eastAsia="Calibri" w:hAnsi="Arial" w:cs="Arial"/>
          <w:color w:val="000000" w:themeColor="text1"/>
          <w:sz w:val="22"/>
          <w:lang w:val="es-ES_tradnl"/>
        </w:rPr>
        <w:t>«</w:t>
      </w:r>
      <w:bookmarkEnd w:id="18"/>
      <w:r w:rsidRPr="00504597">
        <w:rPr>
          <w:rFonts w:ascii="Arial" w:hAnsi="Arial" w:cs="Arial"/>
          <w:bCs/>
          <w:color w:val="000000" w:themeColor="text1"/>
          <w:sz w:val="22"/>
          <w:lang w:eastAsia="es-MX"/>
        </w:rPr>
        <w:t>entes territoriales del</w:t>
      </w:r>
      <w:r w:rsidRPr="00504597">
        <w:rPr>
          <w:rFonts w:ascii="Arial" w:eastAsia="Calibri" w:hAnsi="Arial" w:cs="Arial"/>
          <w:color w:val="000000" w:themeColor="text1"/>
          <w:sz w:val="22"/>
          <w:lang w:val="es-ES_tradnl"/>
        </w:rPr>
        <w:t xml:space="preserve"> </w:t>
      </w:r>
      <w:r w:rsidRPr="00504597">
        <w:rPr>
          <w:rFonts w:ascii="Arial" w:hAnsi="Arial" w:cs="Arial"/>
          <w:color w:val="000000" w:themeColor="text1"/>
          <w:sz w:val="22"/>
        </w:rPr>
        <w:t>orden Nacional, Departamental, Distrital y municipal</w:t>
      </w:r>
      <w:bookmarkStart w:id="19" w:name="_Hlk98583226"/>
      <w:r w:rsidRPr="00504597">
        <w:rPr>
          <w:rFonts w:ascii="Arial" w:eastAsia="Calibri" w:hAnsi="Arial" w:cs="Arial"/>
          <w:color w:val="000000" w:themeColor="text1"/>
          <w:sz w:val="22"/>
          <w:lang w:val="es-ES_tradnl"/>
        </w:rPr>
        <w:t>»</w:t>
      </w:r>
      <w:bookmarkEnd w:id="19"/>
      <w:r w:rsidRPr="00504597">
        <w:rPr>
          <w:rFonts w:ascii="Arial" w:eastAsia="Calibri" w:hAnsi="Arial" w:cs="Arial"/>
          <w:color w:val="000000" w:themeColor="text1"/>
          <w:sz w:val="22"/>
          <w:lang w:val="es-ES_tradnl"/>
        </w:rPr>
        <w:t xml:space="preserve"> y a los «organismos de acción comunal». Es decir, </w:t>
      </w:r>
      <w:r w:rsidRPr="00504597">
        <w:rPr>
          <w:rFonts w:ascii="Arial" w:hAnsi="Arial"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w:t>
      </w:r>
      <w:r>
        <w:rPr>
          <w:rFonts w:ascii="Arial" w:hAnsi="Arial" w:cs="Arial"/>
          <w:bCs/>
          <w:color w:val="000000" w:themeColor="text1"/>
          <w:sz w:val="22"/>
          <w:lang w:eastAsia="es-MX"/>
        </w:rPr>
        <w:t>y a efectos específicos de su pregunta, el artículo 95 estudiado</w:t>
      </w:r>
      <w:r w:rsidRPr="00504597">
        <w:rPr>
          <w:rFonts w:ascii="Arial" w:hAnsi="Arial" w:cs="Arial"/>
          <w:bCs/>
          <w:color w:val="000000" w:themeColor="text1"/>
          <w:sz w:val="22"/>
          <w:lang w:eastAsia="es-MX"/>
        </w:rPr>
        <w:t xml:space="preserve"> ampl</w:t>
      </w:r>
      <w:r>
        <w:rPr>
          <w:rFonts w:ascii="Arial" w:hAnsi="Arial" w:cs="Arial"/>
          <w:bCs/>
          <w:color w:val="000000" w:themeColor="text1"/>
          <w:sz w:val="22"/>
          <w:lang w:eastAsia="es-MX"/>
        </w:rPr>
        <w:t>ió</w:t>
      </w:r>
      <w:r w:rsidRPr="00504597">
        <w:rPr>
          <w:rFonts w:ascii="Arial" w:hAnsi="Arial" w:cs="Arial"/>
          <w:bCs/>
          <w:color w:val="000000" w:themeColor="text1"/>
          <w:sz w:val="22"/>
          <w:lang w:eastAsia="es-MX"/>
        </w:rPr>
        <w:t xml:space="preserve"> la cuantía </w:t>
      </w:r>
      <w:r>
        <w:rPr>
          <w:rFonts w:ascii="Arial" w:hAnsi="Arial" w:cs="Arial"/>
          <w:bCs/>
          <w:color w:val="000000" w:themeColor="text1"/>
          <w:sz w:val="22"/>
          <w:lang w:eastAsia="es-MX"/>
        </w:rPr>
        <w:t xml:space="preserve">permitida para </w:t>
      </w:r>
      <w:r w:rsidR="00087597">
        <w:rPr>
          <w:rFonts w:ascii="Arial" w:hAnsi="Arial" w:cs="Arial"/>
          <w:bCs/>
          <w:color w:val="000000" w:themeColor="text1"/>
          <w:sz w:val="22"/>
          <w:lang w:eastAsia="es-MX"/>
        </w:rPr>
        <w:t xml:space="preserve">estos </w:t>
      </w:r>
      <w:r w:rsidRPr="00504597">
        <w:rPr>
          <w:rFonts w:ascii="Arial" w:hAnsi="Arial" w:cs="Arial"/>
          <w:bCs/>
          <w:color w:val="000000" w:themeColor="text1"/>
          <w:sz w:val="22"/>
          <w:lang w:eastAsia="es-MX"/>
        </w:rPr>
        <w:t xml:space="preserve">convenios </w:t>
      </w:r>
      <w:r>
        <w:rPr>
          <w:rFonts w:ascii="Arial" w:hAnsi="Arial" w:cs="Arial"/>
          <w:bCs/>
          <w:color w:val="000000" w:themeColor="text1"/>
          <w:sz w:val="22"/>
          <w:lang w:eastAsia="es-MX"/>
        </w:rPr>
        <w:t xml:space="preserve">solidarios y, ahora, </w:t>
      </w:r>
      <w:r w:rsidRPr="00504597">
        <w:rPr>
          <w:rFonts w:ascii="Arial" w:hAnsi="Arial" w:cs="Arial"/>
          <w:bCs/>
          <w:color w:val="000000" w:themeColor="text1"/>
          <w:sz w:val="22"/>
          <w:lang w:eastAsia="es-MX"/>
        </w:rPr>
        <w:t>permit</w:t>
      </w:r>
      <w:r>
        <w:rPr>
          <w:rFonts w:ascii="Arial" w:hAnsi="Arial" w:cs="Arial"/>
          <w:bCs/>
          <w:color w:val="000000" w:themeColor="text1"/>
          <w:sz w:val="22"/>
          <w:lang w:eastAsia="es-MX"/>
        </w:rPr>
        <w:t xml:space="preserve">e su celebración </w:t>
      </w:r>
      <w:r w:rsidRPr="00504597">
        <w:rPr>
          <w:rFonts w:ascii="Arial" w:hAnsi="Arial" w:cs="Arial"/>
          <w:bCs/>
          <w:color w:val="000000" w:themeColor="text1"/>
          <w:sz w:val="22"/>
          <w:lang w:eastAsia="es-MX"/>
        </w:rPr>
        <w:t>hasta por la menor cuantía</w:t>
      </w:r>
      <w:r>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y no solo por la mínima cuantía</w:t>
      </w:r>
      <w:r>
        <w:rPr>
          <w:rFonts w:ascii="Arial" w:hAnsi="Arial" w:cs="Arial"/>
          <w:bCs/>
          <w:color w:val="000000" w:themeColor="text1"/>
          <w:sz w:val="22"/>
          <w:lang w:eastAsia="es-MX"/>
        </w:rPr>
        <w:t>, tal como lo preveía el parágrafo 4 del artículo 3 de la Ley 136 de 1994, modificado por el artículo 6 de la Ley 1551 de 2012</w:t>
      </w:r>
      <w:r w:rsidRPr="00504597">
        <w:rPr>
          <w:rFonts w:ascii="Arial" w:hAnsi="Arial" w:cs="Arial"/>
          <w:bCs/>
          <w:color w:val="000000" w:themeColor="text1"/>
          <w:sz w:val="22"/>
          <w:lang w:eastAsia="es-MX"/>
        </w:rPr>
        <w:t>. En cuanto al objeto, las normas son claras en señalar que se trata de la ejec</w:t>
      </w:r>
      <w:r w:rsidRPr="006D7E29">
        <w:rPr>
          <w:rFonts w:ascii="Arial" w:hAnsi="Arial" w:cs="Arial"/>
          <w:bCs/>
          <w:color w:val="000000" w:themeColor="text1"/>
          <w:sz w:val="22"/>
          <w:lang w:eastAsia="es-MX"/>
        </w:rPr>
        <w:t xml:space="preserve">ución de obras. </w:t>
      </w:r>
    </w:p>
    <w:p w14:paraId="79A8F50A" w14:textId="2DB990B6" w:rsidR="00264924" w:rsidRPr="008E3D73" w:rsidRDefault="00231E50" w:rsidP="000641BE">
      <w:pPr>
        <w:spacing w:after="0"/>
        <w:rPr>
          <w:rFonts w:ascii="Arial" w:eastAsia="Calibri" w:hAnsi="Arial" w:cs="Arial"/>
          <w:b/>
          <w:sz w:val="22"/>
          <w:lang w:val="es-CO"/>
        </w:rPr>
      </w:pPr>
      <w:r>
        <w:rPr>
          <w:rFonts w:ascii="Arial" w:eastAsia="Calibri" w:hAnsi="Arial" w:cs="Arial"/>
          <w:b/>
          <w:sz w:val="22"/>
          <w:lang w:val="es-CO"/>
        </w:rPr>
        <w:t>3</w:t>
      </w:r>
      <w:r w:rsidR="00CF2AA3" w:rsidRPr="001770E9">
        <w:rPr>
          <w:rFonts w:ascii="Arial" w:eastAsia="Calibri" w:hAnsi="Arial" w:cs="Arial"/>
          <w:b/>
          <w:sz w:val="22"/>
          <w:lang w:val="es-CO"/>
        </w:rPr>
        <w:t>. Respuest</w:t>
      </w:r>
      <w:r w:rsidR="001C1A26">
        <w:rPr>
          <w:rFonts w:ascii="Arial" w:eastAsia="Calibri" w:hAnsi="Arial" w:cs="Arial"/>
          <w:b/>
          <w:sz w:val="22"/>
          <w:lang w:val="es-CO"/>
        </w:rPr>
        <w:t>a</w:t>
      </w:r>
    </w:p>
    <w:p w14:paraId="6C647347" w14:textId="1E916B85" w:rsidR="00C7127A" w:rsidRPr="008E3D73" w:rsidRDefault="008E3D73" w:rsidP="00491E2D">
      <w:pPr>
        <w:pStyle w:val="NormalWeb"/>
        <w:spacing w:line="240" w:lineRule="auto"/>
        <w:ind w:left="708" w:right="900"/>
        <w:rPr>
          <w:rFonts w:ascii="Arial" w:hAnsi="Arial" w:cs="Arial"/>
          <w:sz w:val="21"/>
          <w:szCs w:val="21"/>
        </w:rPr>
      </w:pPr>
      <w:bookmarkStart w:id="20" w:name="_Hlk57650395"/>
      <w:r w:rsidRPr="006337DF">
        <w:rPr>
          <w:rFonts w:ascii="Arial" w:hAnsi="Arial" w:cs="Arial"/>
          <w:sz w:val="21"/>
          <w:szCs w:val="21"/>
        </w:rPr>
        <w:t>«</w:t>
      </w:r>
      <w:r>
        <w:rPr>
          <w:rFonts w:ascii="Arial" w:hAnsi="Arial" w:cs="Arial"/>
          <w:sz w:val="21"/>
          <w:szCs w:val="21"/>
        </w:rPr>
        <w:t>E</w:t>
      </w:r>
      <w:r w:rsidRPr="000A2985">
        <w:rPr>
          <w:rFonts w:ascii="Arial" w:hAnsi="Arial" w:cs="Arial"/>
          <w:sz w:val="21"/>
          <w:szCs w:val="21"/>
        </w:rPr>
        <w:t xml:space="preserve">l articulo 95 de la ley 2166 de 2021, que </w:t>
      </w:r>
      <w:r w:rsidR="0065698F" w:rsidRPr="000A2985">
        <w:rPr>
          <w:rFonts w:ascii="Arial" w:hAnsi="Arial" w:cs="Arial"/>
          <w:sz w:val="21"/>
          <w:szCs w:val="21"/>
        </w:rPr>
        <w:t>señala</w:t>
      </w:r>
      <w:r w:rsidRPr="000A2985">
        <w:rPr>
          <w:rFonts w:ascii="Arial" w:hAnsi="Arial" w:cs="Arial"/>
          <w:sz w:val="21"/>
          <w:szCs w:val="21"/>
        </w:rPr>
        <w:t xml:space="preserve"> que los convenios solidarios </w:t>
      </w:r>
      <w:r w:rsidR="0065698F" w:rsidRPr="000A2985">
        <w:rPr>
          <w:rFonts w:ascii="Arial" w:hAnsi="Arial" w:cs="Arial"/>
          <w:sz w:val="21"/>
          <w:szCs w:val="21"/>
        </w:rPr>
        <w:t>podrán</w:t>
      </w:r>
      <w:r w:rsidRPr="000A2985">
        <w:rPr>
          <w:rFonts w:ascii="Arial" w:hAnsi="Arial" w:cs="Arial"/>
          <w:sz w:val="21"/>
          <w:szCs w:val="21"/>
        </w:rPr>
        <w:t xml:space="preserve"> celebrarse hasta la menor </w:t>
      </w:r>
      <w:r w:rsidR="0065698F" w:rsidRPr="000A2985">
        <w:rPr>
          <w:rFonts w:ascii="Arial" w:hAnsi="Arial" w:cs="Arial"/>
          <w:sz w:val="21"/>
          <w:szCs w:val="21"/>
        </w:rPr>
        <w:t>cuantía</w:t>
      </w:r>
      <w:r w:rsidRPr="000A2985">
        <w:rPr>
          <w:rFonts w:ascii="Arial" w:hAnsi="Arial" w:cs="Arial"/>
          <w:sz w:val="21"/>
          <w:szCs w:val="21"/>
        </w:rPr>
        <w:t xml:space="preserve"> para obras </w:t>
      </w:r>
      <w:r w:rsidR="0065698F" w:rsidRPr="000A2985">
        <w:rPr>
          <w:rFonts w:ascii="Arial" w:hAnsi="Arial" w:cs="Arial"/>
          <w:sz w:val="21"/>
          <w:szCs w:val="21"/>
        </w:rPr>
        <w:t>públicas</w:t>
      </w:r>
      <w:r w:rsidRPr="000A2985">
        <w:rPr>
          <w:rFonts w:ascii="Arial" w:hAnsi="Arial" w:cs="Arial"/>
          <w:sz w:val="21"/>
          <w:szCs w:val="21"/>
        </w:rPr>
        <w:t xml:space="preserve">, deroga la </w:t>
      </w:r>
      <w:r w:rsidR="0065698F" w:rsidRPr="000A2985">
        <w:rPr>
          <w:rFonts w:ascii="Arial" w:hAnsi="Arial" w:cs="Arial"/>
          <w:sz w:val="21"/>
          <w:szCs w:val="21"/>
        </w:rPr>
        <w:t>disposición</w:t>
      </w:r>
      <w:r w:rsidRPr="000A2985">
        <w:rPr>
          <w:rFonts w:ascii="Arial" w:hAnsi="Arial" w:cs="Arial"/>
          <w:sz w:val="21"/>
          <w:szCs w:val="21"/>
        </w:rPr>
        <w:t xml:space="preserve"> de la ley 1551 de 2012 que </w:t>
      </w:r>
      <w:r w:rsidR="0065698F" w:rsidRPr="000A2985">
        <w:rPr>
          <w:rFonts w:ascii="Arial" w:hAnsi="Arial" w:cs="Arial"/>
          <w:sz w:val="21"/>
          <w:szCs w:val="21"/>
        </w:rPr>
        <w:t>señalaba</w:t>
      </w:r>
      <w:r w:rsidRPr="000A2985">
        <w:rPr>
          <w:rFonts w:ascii="Arial" w:hAnsi="Arial" w:cs="Arial"/>
          <w:sz w:val="21"/>
          <w:szCs w:val="21"/>
        </w:rPr>
        <w:t xml:space="preserve"> que el </w:t>
      </w:r>
      <w:r w:rsidR="0065698F" w:rsidRPr="000A2985">
        <w:rPr>
          <w:rFonts w:ascii="Arial" w:hAnsi="Arial" w:cs="Arial"/>
          <w:sz w:val="21"/>
          <w:szCs w:val="21"/>
        </w:rPr>
        <w:t>límite</w:t>
      </w:r>
      <w:r w:rsidRPr="000A2985">
        <w:rPr>
          <w:rFonts w:ascii="Arial" w:hAnsi="Arial" w:cs="Arial"/>
          <w:sz w:val="21"/>
          <w:szCs w:val="21"/>
        </w:rPr>
        <w:t xml:space="preserve"> de </w:t>
      </w:r>
      <w:r w:rsidR="0065698F" w:rsidRPr="000A2985">
        <w:rPr>
          <w:rFonts w:ascii="Arial" w:hAnsi="Arial" w:cs="Arial"/>
          <w:sz w:val="21"/>
          <w:szCs w:val="21"/>
        </w:rPr>
        <w:t>cuantía</w:t>
      </w:r>
      <w:r w:rsidRPr="000A2985">
        <w:rPr>
          <w:rFonts w:ascii="Arial" w:hAnsi="Arial" w:cs="Arial"/>
          <w:sz w:val="21"/>
          <w:szCs w:val="21"/>
        </w:rPr>
        <w:t xml:space="preserve"> para celebrar convenios solidarios era hasta la </w:t>
      </w:r>
      <w:r w:rsidR="0065698F" w:rsidRPr="000A2985">
        <w:rPr>
          <w:rFonts w:ascii="Arial" w:hAnsi="Arial" w:cs="Arial"/>
          <w:sz w:val="21"/>
          <w:szCs w:val="21"/>
        </w:rPr>
        <w:t>mínima</w:t>
      </w:r>
      <w:r w:rsidRPr="000A2985">
        <w:rPr>
          <w:rFonts w:ascii="Arial" w:hAnsi="Arial" w:cs="Arial"/>
          <w:sz w:val="21"/>
          <w:szCs w:val="21"/>
        </w:rPr>
        <w:t xml:space="preserve"> </w:t>
      </w:r>
      <w:r w:rsidR="0065698F" w:rsidRPr="000A2985">
        <w:rPr>
          <w:rFonts w:ascii="Arial" w:hAnsi="Arial" w:cs="Arial"/>
          <w:sz w:val="21"/>
          <w:szCs w:val="21"/>
        </w:rPr>
        <w:t>cuantía</w:t>
      </w:r>
      <w:r w:rsidRPr="000A2985">
        <w:rPr>
          <w:rFonts w:ascii="Arial" w:hAnsi="Arial" w:cs="Arial"/>
          <w:sz w:val="21"/>
          <w:szCs w:val="21"/>
        </w:rPr>
        <w:t>?</w:t>
      </w:r>
      <w:r w:rsidRPr="006337DF">
        <w:rPr>
          <w:rFonts w:ascii="Arial" w:hAnsi="Arial" w:cs="Arial"/>
          <w:sz w:val="21"/>
          <w:szCs w:val="21"/>
        </w:rPr>
        <w:t>»</w:t>
      </w:r>
      <w:r>
        <w:rPr>
          <w:rFonts w:ascii="Arial" w:hAnsi="Arial" w:cs="Arial"/>
          <w:sz w:val="21"/>
          <w:szCs w:val="21"/>
        </w:rPr>
        <w:t>.</w:t>
      </w:r>
    </w:p>
    <w:p w14:paraId="7D190357" w14:textId="77777777" w:rsidR="00AA679F" w:rsidRDefault="00AA679F" w:rsidP="008E3D73">
      <w:pPr>
        <w:pStyle w:val="NormalWeb"/>
        <w:spacing w:before="120" w:beforeAutospacing="0" w:after="120" w:afterAutospacing="0"/>
        <w:rPr>
          <w:rFonts w:ascii="Arial" w:eastAsiaTheme="minorHAnsi" w:hAnsi="Arial" w:cs="Arial"/>
          <w:bCs/>
          <w:color w:val="000000" w:themeColor="text1"/>
          <w:sz w:val="22"/>
        </w:rPr>
      </w:pPr>
    </w:p>
    <w:p w14:paraId="51F1B885" w14:textId="4ED82532" w:rsidR="00AA679F" w:rsidRDefault="00AA679F" w:rsidP="008E3D73">
      <w:pPr>
        <w:pStyle w:val="NormalWeb"/>
        <w:spacing w:before="120" w:beforeAutospacing="0" w:after="120" w:afterAutospacing="0"/>
        <w:rPr>
          <w:rFonts w:ascii="Arial" w:eastAsiaTheme="minorHAnsi" w:hAnsi="Arial" w:cs="Arial"/>
          <w:bCs/>
          <w:color w:val="000000" w:themeColor="text1"/>
          <w:sz w:val="22"/>
        </w:rPr>
      </w:pPr>
      <w:r>
        <w:rPr>
          <w:rFonts w:ascii="Arial" w:hAnsi="Arial" w:cs="Arial"/>
          <w:bCs/>
          <w:color w:val="000000" w:themeColor="text1"/>
          <w:sz w:val="22"/>
          <w:lang w:eastAsia="es-MX"/>
        </w:rPr>
        <w:t xml:space="preserve">De conformidad con las consideraciones, </w:t>
      </w:r>
      <w:r w:rsidRPr="00504597">
        <w:rPr>
          <w:rFonts w:ascii="Arial" w:hAnsi="Arial" w:cs="Arial"/>
          <w:bCs/>
          <w:color w:val="000000" w:themeColor="text1"/>
          <w:sz w:val="22"/>
          <w:lang w:eastAsia="es-MX"/>
        </w:rPr>
        <w:t xml:space="preserve">el artículo 95 de la Ley 2166 de 2021 </w:t>
      </w:r>
      <w:r>
        <w:rPr>
          <w:rFonts w:ascii="Arial" w:hAnsi="Arial" w:cs="Arial"/>
          <w:bCs/>
          <w:color w:val="000000" w:themeColor="text1"/>
          <w:sz w:val="22"/>
          <w:lang w:eastAsia="es-MX"/>
        </w:rPr>
        <w:t>prevé reglas para</w:t>
      </w:r>
      <w:r w:rsidRPr="00504597">
        <w:rPr>
          <w:rFonts w:ascii="Arial" w:hAnsi="Arial" w:cs="Arial"/>
          <w:bCs/>
          <w:color w:val="000000" w:themeColor="text1"/>
          <w:sz w:val="22"/>
          <w:lang w:eastAsia="es-MX"/>
        </w:rPr>
        <w:t xml:space="preserve"> la celebración por contratación directa de convenios solidarios. Este régimen de contratación, como se explicó, ya se había contemplado</w:t>
      </w:r>
      <w:r>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inicialmente</w:t>
      </w:r>
      <w:r>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en el parágrafo 4 del artículo 3 de la Ley 136 de 1994</w:t>
      </w:r>
      <w:r>
        <w:rPr>
          <w:rFonts w:ascii="Arial" w:hAnsi="Arial" w:cs="Arial"/>
          <w:bCs/>
          <w:color w:val="000000" w:themeColor="text1"/>
          <w:sz w:val="22"/>
          <w:lang w:eastAsia="es-MX"/>
        </w:rPr>
        <w:t xml:space="preserve"> y reiterado en la modificación que introdujo la Ley 1551 de 2012</w:t>
      </w:r>
      <w:r w:rsidRPr="00504597">
        <w:rPr>
          <w:rFonts w:ascii="Arial" w:hAnsi="Arial" w:cs="Arial"/>
          <w:bCs/>
          <w:color w:val="000000" w:themeColor="text1"/>
          <w:sz w:val="22"/>
          <w:lang w:eastAsia="es-MX"/>
        </w:rPr>
        <w:t>. Sin embargo, el contenido del artículo 95</w:t>
      </w:r>
      <w:r>
        <w:rPr>
          <w:rFonts w:ascii="Arial" w:hAnsi="Arial" w:cs="Arial"/>
          <w:bCs/>
          <w:color w:val="000000" w:themeColor="text1"/>
          <w:sz w:val="22"/>
          <w:lang w:eastAsia="es-MX"/>
        </w:rPr>
        <w:t xml:space="preserve"> referido</w:t>
      </w:r>
      <w:r w:rsidRPr="00504597">
        <w:rPr>
          <w:rFonts w:ascii="Arial" w:hAnsi="Arial" w:cs="Arial"/>
          <w:bCs/>
          <w:color w:val="000000" w:themeColor="text1"/>
          <w:sz w:val="22"/>
          <w:lang w:eastAsia="es-MX"/>
        </w:rPr>
        <w:t xml:space="preserve"> es más amplio en relación con los sujetos, la cuantía del contrato y la ejecución de dichos convenios. En efecto, el artículo 95 incluye a los </w:t>
      </w:r>
      <w:r w:rsidRPr="00504597">
        <w:rPr>
          <w:rFonts w:ascii="Arial" w:eastAsia="Calibri" w:hAnsi="Arial" w:cs="Arial"/>
          <w:color w:val="000000" w:themeColor="text1"/>
          <w:sz w:val="22"/>
          <w:lang w:val="es-ES_tradnl"/>
        </w:rPr>
        <w:t>«</w:t>
      </w:r>
      <w:r w:rsidRPr="00504597">
        <w:rPr>
          <w:rFonts w:ascii="Arial" w:hAnsi="Arial" w:cs="Arial"/>
          <w:bCs/>
          <w:color w:val="000000" w:themeColor="text1"/>
          <w:sz w:val="22"/>
          <w:lang w:eastAsia="es-MX"/>
        </w:rPr>
        <w:t>entes territoriales del</w:t>
      </w:r>
      <w:r w:rsidRPr="00504597">
        <w:rPr>
          <w:rFonts w:ascii="Arial" w:eastAsia="Calibri" w:hAnsi="Arial" w:cs="Arial"/>
          <w:color w:val="000000" w:themeColor="text1"/>
          <w:sz w:val="22"/>
          <w:lang w:val="es-ES_tradnl"/>
        </w:rPr>
        <w:t xml:space="preserve"> </w:t>
      </w:r>
      <w:r w:rsidRPr="00504597">
        <w:rPr>
          <w:rFonts w:ascii="Arial" w:hAnsi="Arial" w:cs="Arial"/>
          <w:color w:val="000000" w:themeColor="text1"/>
          <w:sz w:val="22"/>
        </w:rPr>
        <w:t>orden Nacional, Departamental, Distrital y municipal</w:t>
      </w:r>
      <w:r w:rsidRPr="00504597">
        <w:rPr>
          <w:rFonts w:ascii="Arial" w:eastAsia="Calibri" w:hAnsi="Arial" w:cs="Arial"/>
          <w:color w:val="000000" w:themeColor="text1"/>
          <w:sz w:val="22"/>
          <w:lang w:val="es-ES_tradnl"/>
        </w:rPr>
        <w:t xml:space="preserve">» y a los «organismos de acción comunal». Es decir, </w:t>
      </w:r>
      <w:r w:rsidRPr="00504597">
        <w:rPr>
          <w:rFonts w:ascii="Arial" w:hAnsi="Arial" w:cs="Arial"/>
          <w:bCs/>
          <w:color w:val="000000" w:themeColor="text1"/>
          <w:sz w:val="22"/>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w:t>
      </w:r>
      <w:r>
        <w:rPr>
          <w:rFonts w:ascii="Arial" w:hAnsi="Arial" w:cs="Arial"/>
          <w:bCs/>
          <w:color w:val="000000" w:themeColor="text1"/>
          <w:sz w:val="22"/>
          <w:lang w:eastAsia="es-MX"/>
        </w:rPr>
        <w:t>y a efectos específicos de su pregunta, el artículo 95 estudiado</w:t>
      </w:r>
      <w:r w:rsidRPr="00504597">
        <w:rPr>
          <w:rFonts w:ascii="Arial" w:hAnsi="Arial" w:cs="Arial"/>
          <w:bCs/>
          <w:color w:val="000000" w:themeColor="text1"/>
          <w:sz w:val="22"/>
          <w:lang w:eastAsia="es-MX"/>
        </w:rPr>
        <w:t xml:space="preserve"> ampl</w:t>
      </w:r>
      <w:r>
        <w:rPr>
          <w:rFonts w:ascii="Arial" w:hAnsi="Arial" w:cs="Arial"/>
          <w:bCs/>
          <w:color w:val="000000" w:themeColor="text1"/>
          <w:sz w:val="22"/>
          <w:lang w:eastAsia="es-MX"/>
        </w:rPr>
        <w:t>ió</w:t>
      </w:r>
      <w:r w:rsidRPr="00504597">
        <w:rPr>
          <w:rFonts w:ascii="Arial" w:hAnsi="Arial" w:cs="Arial"/>
          <w:bCs/>
          <w:color w:val="000000" w:themeColor="text1"/>
          <w:sz w:val="22"/>
          <w:lang w:eastAsia="es-MX"/>
        </w:rPr>
        <w:t xml:space="preserve"> la cuantía </w:t>
      </w:r>
      <w:r>
        <w:rPr>
          <w:rFonts w:ascii="Arial" w:hAnsi="Arial" w:cs="Arial"/>
          <w:bCs/>
          <w:color w:val="000000" w:themeColor="text1"/>
          <w:sz w:val="22"/>
          <w:lang w:eastAsia="es-MX"/>
        </w:rPr>
        <w:t xml:space="preserve">permitida para estos </w:t>
      </w:r>
      <w:r w:rsidRPr="00504597">
        <w:rPr>
          <w:rFonts w:ascii="Arial" w:hAnsi="Arial" w:cs="Arial"/>
          <w:bCs/>
          <w:color w:val="000000" w:themeColor="text1"/>
          <w:sz w:val="22"/>
          <w:lang w:eastAsia="es-MX"/>
        </w:rPr>
        <w:t xml:space="preserve">convenios </w:t>
      </w:r>
      <w:r>
        <w:rPr>
          <w:rFonts w:ascii="Arial" w:hAnsi="Arial" w:cs="Arial"/>
          <w:bCs/>
          <w:color w:val="000000" w:themeColor="text1"/>
          <w:sz w:val="22"/>
          <w:lang w:eastAsia="es-MX"/>
        </w:rPr>
        <w:t xml:space="preserve">solidarios y, ahora, </w:t>
      </w:r>
      <w:r w:rsidRPr="00504597">
        <w:rPr>
          <w:rFonts w:ascii="Arial" w:hAnsi="Arial" w:cs="Arial"/>
          <w:bCs/>
          <w:color w:val="000000" w:themeColor="text1"/>
          <w:sz w:val="22"/>
          <w:lang w:eastAsia="es-MX"/>
        </w:rPr>
        <w:t>permit</w:t>
      </w:r>
      <w:r>
        <w:rPr>
          <w:rFonts w:ascii="Arial" w:hAnsi="Arial" w:cs="Arial"/>
          <w:bCs/>
          <w:color w:val="000000" w:themeColor="text1"/>
          <w:sz w:val="22"/>
          <w:lang w:eastAsia="es-MX"/>
        </w:rPr>
        <w:t xml:space="preserve">e su celebración </w:t>
      </w:r>
      <w:r w:rsidRPr="00504597">
        <w:rPr>
          <w:rFonts w:ascii="Arial" w:hAnsi="Arial" w:cs="Arial"/>
          <w:bCs/>
          <w:color w:val="000000" w:themeColor="text1"/>
          <w:sz w:val="22"/>
          <w:lang w:eastAsia="es-MX"/>
        </w:rPr>
        <w:t>hasta por la menor cuantía</w:t>
      </w:r>
      <w:r>
        <w:rPr>
          <w:rFonts w:ascii="Arial" w:hAnsi="Arial" w:cs="Arial"/>
          <w:bCs/>
          <w:color w:val="000000" w:themeColor="text1"/>
          <w:sz w:val="22"/>
          <w:lang w:eastAsia="es-MX"/>
        </w:rPr>
        <w:t>,</w:t>
      </w:r>
      <w:r w:rsidRPr="00504597">
        <w:rPr>
          <w:rFonts w:ascii="Arial" w:hAnsi="Arial" w:cs="Arial"/>
          <w:bCs/>
          <w:color w:val="000000" w:themeColor="text1"/>
          <w:sz w:val="22"/>
          <w:lang w:eastAsia="es-MX"/>
        </w:rPr>
        <w:t xml:space="preserve"> y no solo por la mínima cuantía</w:t>
      </w:r>
      <w:r>
        <w:rPr>
          <w:rFonts w:ascii="Arial" w:hAnsi="Arial" w:cs="Arial"/>
          <w:bCs/>
          <w:color w:val="000000" w:themeColor="text1"/>
          <w:sz w:val="22"/>
          <w:lang w:eastAsia="es-MX"/>
        </w:rPr>
        <w:t>, tal como lo preveía el parágrafo 4 del artículo 3 de la Ley 136 de 1994, modificado por el artículo 6 de la Ley 1551 de 2012</w:t>
      </w:r>
      <w:r w:rsidRPr="00504597">
        <w:rPr>
          <w:rFonts w:ascii="Arial" w:hAnsi="Arial" w:cs="Arial"/>
          <w:bCs/>
          <w:color w:val="000000" w:themeColor="text1"/>
          <w:sz w:val="22"/>
          <w:lang w:eastAsia="es-MX"/>
        </w:rPr>
        <w:t>. En cuanto al objeto, las normas son claras en señalar que se trata de la ejec</w:t>
      </w:r>
      <w:r w:rsidRPr="006D7E29">
        <w:rPr>
          <w:rFonts w:ascii="Arial" w:hAnsi="Arial" w:cs="Arial"/>
          <w:bCs/>
          <w:color w:val="000000" w:themeColor="text1"/>
          <w:sz w:val="22"/>
          <w:lang w:eastAsia="es-MX"/>
        </w:rPr>
        <w:t>ución de obras.</w:t>
      </w:r>
    </w:p>
    <w:p w14:paraId="6CF259DC" w14:textId="77777777" w:rsidR="00AA679F" w:rsidRDefault="00AA679F" w:rsidP="008E3D73">
      <w:pPr>
        <w:pStyle w:val="NormalWeb"/>
        <w:spacing w:before="120" w:beforeAutospacing="0" w:after="120" w:afterAutospacing="0"/>
        <w:rPr>
          <w:rFonts w:ascii="Arial" w:eastAsiaTheme="minorHAnsi" w:hAnsi="Arial" w:cs="Arial"/>
          <w:bCs/>
          <w:color w:val="000000" w:themeColor="text1"/>
          <w:sz w:val="22"/>
        </w:rPr>
      </w:pPr>
    </w:p>
    <w:p w14:paraId="7C3F01A6" w14:textId="10E89AF6" w:rsidR="00113653" w:rsidRDefault="00506085">
      <w:pPr>
        <w:spacing w:after="0"/>
        <w:rPr>
          <w:rFonts w:ascii="Times New Roman" w:eastAsia="Times New Roman" w:hAnsi="Times New Roman" w:cs="Times New Roman"/>
          <w:szCs w:val="24"/>
          <w:lang w:val="es-CO" w:eastAsia="es-ES_tradnl"/>
        </w:rPr>
      </w:pPr>
      <w:r w:rsidRPr="00446B03">
        <w:rPr>
          <w:rFonts w:ascii="Arial" w:eastAsia="Calibri" w:hAnsi="Arial" w:cs="Arial"/>
          <w:sz w:val="22"/>
          <w:lang w:val="es-CO"/>
        </w:rPr>
        <w:t>Este concepto tiene el alcance previsto en el artículo 28 del Código de Procedimiento Administrativo y de lo Contencioso Administrativo.</w:t>
      </w:r>
    </w:p>
    <w:p w14:paraId="647864B7" w14:textId="77777777" w:rsidR="00113653" w:rsidRPr="00113653" w:rsidRDefault="00113653" w:rsidP="00113653">
      <w:pPr>
        <w:spacing w:after="0"/>
        <w:rPr>
          <w:rFonts w:ascii="Times New Roman" w:eastAsia="Times New Roman" w:hAnsi="Times New Roman" w:cs="Times New Roman"/>
          <w:szCs w:val="24"/>
          <w:lang w:val="es-CO" w:eastAsia="es-ES_tradnl"/>
        </w:rPr>
      </w:pPr>
    </w:p>
    <w:p w14:paraId="775ECFBE" w14:textId="0B4E8BAB" w:rsidR="008E3D73" w:rsidRPr="008E3D73" w:rsidRDefault="00506085" w:rsidP="008E3D73">
      <w:pPr>
        <w:rPr>
          <w:rFonts w:ascii="Arial" w:eastAsia="Times New Roman" w:hAnsi="Arial" w:cs="Arial"/>
          <w:sz w:val="22"/>
          <w:lang w:val="es-CO" w:eastAsia="es-CO"/>
        </w:rPr>
      </w:pPr>
      <w:r w:rsidRPr="00446B03">
        <w:rPr>
          <w:rFonts w:ascii="Arial" w:eastAsia="Times New Roman" w:hAnsi="Arial" w:cs="Arial"/>
          <w:sz w:val="22"/>
          <w:lang w:val="es-CO" w:eastAsia="es-CO"/>
        </w:rPr>
        <w:t>Atentamente,</w:t>
      </w:r>
      <w:bookmarkEnd w:id="2"/>
      <w:bookmarkEnd w:id="20"/>
    </w:p>
    <w:p w14:paraId="0B54B260" w14:textId="32E79B2E" w:rsidR="008E3D73" w:rsidRPr="004212E5" w:rsidRDefault="00646770" w:rsidP="008E3D73">
      <w:pPr>
        <w:jc w:val="center"/>
        <w:rPr>
          <w:rFonts w:ascii="Arial" w:eastAsia="Times New Roman" w:hAnsi="Arial" w:cs="Arial"/>
          <w:color w:val="000000"/>
          <w:lang w:val="es-ES_tradnl" w:eastAsia="es-CO"/>
        </w:rPr>
      </w:pPr>
      <w:r>
        <w:rPr>
          <w:noProof/>
        </w:rPr>
        <w:drawing>
          <wp:inline distT="0" distB="0" distL="0" distR="0" wp14:anchorId="7A38F8B7" wp14:editId="76AA8FD8">
            <wp:extent cx="2534004" cy="981212"/>
            <wp:effectExtent l="0" t="0" r="0" b="9525"/>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exto, Carta&#10;&#10;Descripción generada automáticamente"/>
                    <pic:cNvPicPr/>
                  </pic:nvPicPr>
                  <pic:blipFill>
                    <a:blip r:embed="rId12"/>
                    <a:stretch>
                      <a:fillRect/>
                    </a:stretch>
                  </pic:blipFill>
                  <pic:spPr>
                    <a:xfrm>
                      <a:off x="0" y="0"/>
                      <a:ext cx="2534004" cy="981212"/>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E3D73" w:rsidRPr="00530937" w14:paraId="0A084467" w14:textId="77777777" w:rsidTr="006A214D">
        <w:trPr>
          <w:trHeight w:val="315"/>
        </w:trPr>
        <w:tc>
          <w:tcPr>
            <w:tcW w:w="812" w:type="dxa"/>
            <w:vAlign w:val="center"/>
          </w:tcPr>
          <w:p w14:paraId="324D6352" w14:textId="77777777" w:rsidR="008E3D73" w:rsidRPr="00FD2DFE" w:rsidRDefault="008E3D73" w:rsidP="006A214D">
            <w:pPr>
              <w:rPr>
                <w:rFonts w:ascii="Arial" w:eastAsia="Times New Roman" w:hAnsi="Arial" w:cs="Arial"/>
                <w:sz w:val="16"/>
                <w:szCs w:val="16"/>
                <w:lang w:eastAsia="es-ES"/>
              </w:rPr>
            </w:pPr>
            <w:r w:rsidRPr="00FD2DFE">
              <w:rPr>
                <w:rFonts w:ascii="Arial" w:eastAsia="Times New Roman" w:hAnsi="Arial" w:cs="Arial"/>
                <w:sz w:val="16"/>
                <w:szCs w:val="16"/>
                <w:lang w:eastAsia="es-ES"/>
              </w:rPr>
              <w:t>Elaboró:</w:t>
            </w:r>
          </w:p>
        </w:tc>
        <w:tc>
          <w:tcPr>
            <w:tcW w:w="4413" w:type="dxa"/>
            <w:tcBorders>
              <w:bottom w:val="dotted" w:sz="4" w:space="0" w:color="7F7F7F" w:themeColor="text1" w:themeTint="80"/>
            </w:tcBorders>
            <w:vAlign w:val="center"/>
          </w:tcPr>
          <w:p w14:paraId="5DE80340" w14:textId="77777777" w:rsidR="008E3D73" w:rsidRPr="00FD2DFE" w:rsidRDefault="008E3D73" w:rsidP="006A214D">
            <w:pPr>
              <w:rPr>
                <w:rFonts w:ascii="Arial" w:eastAsia="Times New Roman" w:hAnsi="Arial" w:cs="Arial"/>
                <w:sz w:val="16"/>
                <w:szCs w:val="16"/>
                <w:lang w:eastAsia="es-ES"/>
              </w:rPr>
            </w:pPr>
            <w:r w:rsidRPr="00FD2DFE">
              <w:rPr>
                <w:rFonts w:ascii="Arial" w:eastAsia="Times New Roman" w:hAnsi="Arial" w:cs="Arial"/>
                <w:sz w:val="16"/>
                <w:szCs w:val="16"/>
                <w:lang w:eastAsia="es-ES"/>
              </w:rPr>
              <w:t xml:space="preserve">Camilo Perdomo Villamil </w:t>
            </w:r>
          </w:p>
          <w:p w14:paraId="28D18C83" w14:textId="77777777" w:rsidR="008E3D73" w:rsidRPr="00FD2DFE" w:rsidRDefault="008E3D73" w:rsidP="006A214D">
            <w:pPr>
              <w:rPr>
                <w:rFonts w:ascii="Arial" w:eastAsia="Times New Roman" w:hAnsi="Arial" w:cs="Arial"/>
                <w:sz w:val="16"/>
                <w:szCs w:val="16"/>
                <w:lang w:eastAsia="es-ES"/>
              </w:rPr>
            </w:pPr>
            <w:r w:rsidRPr="00FD2DFE">
              <w:rPr>
                <w:rFonts w:ascii="Arial" w:eastAsia="Times New Roman" w:hAnsi="Arial" w:cs="Arial"/>
                <w:sz w:val="16"/>
                <w:szCs w:val="16"/>
                <w:lang w:eastAsia="es-ES"/>
              </w:rPr>
              <w:t xml:space="preserve">Contratista de la Subdirección de Gestión Contractual  </w:t>
            </w:r>
          </w:p>
        </w:tc>
      </w:tr>
      <w:tr w:rsidR="008E3D73" w:rsidRPr="00530937" w14:paraId="0D7E21A7" w14:textId="77777777" w:rsidTr="006A214D">
        <w:trPr>
          <w:trHeight w:val="330"/>
        </w:trPr>
        <w:tc>
          <w:tcPr>
            <w:tcW w:w="812" w:type="dxa"/>
            <w:vAlign w:val="center"/>
          </w:tcPr>
          <w:p w14:paraId="7A34C97A" w14:textId="77777777" w:rsidR="008E3D73" w:rsidRPr="00FD2DFE" w:rsidRDefault="008E3D73" w:rsidP="006A214D">
            <w:pPr>
              <w:rPr>
                <w:rFonts w:ascii="Arial" w:eastAsia="Times New Roman" w:hAnsi="Arial" w:cs="Arial"/>
                <w:sz w:val="16"/>
                <w:szCs w:val="16"/>
                <w:lang w:eastAsia="es-ES"/>
              </w:rPr>
            </w:pPr>
            <w:r w:rsidRPr="00FD2DFE">
              <w:rPr>
                <w:rFonts w:ascii="Arial" w:eastAsia="Times New Roman" w:hAnsi="Arial" w:cs="Arial"/>
                <w:sz w:val="16"/>
                <w:szCs w:val="16"/>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56225803" w14:textId="77777777" w:rsidR="008E3D73" w:rsidRPr="00FD2DFE" w:rsidRDefault="008E3D73" w:rsidP="006A214D">
            <w:pPr>
              <w:rPr>
                <w:rFonts w:ascii="Arial" w:hAnsi="Arial" w:cs="Arial"/>
                <w:sz w:val="16"/>
                <w:szCs w:val="16"/>
                <w:lang w:eastAsia="es-ES"/>
              </w:rPr>
            </w:pPr>
            <w:r>
              <w:rPr>
                <w:rFonts w:ascii="Arial" w:hAnsi="Arial" w:cs="Arial"/>
                <w:sz w:val="16"/>
                <w:szCs w:val="16"/>
                <w:lang w:eastAsia="es-ES"/>
              </w:rPr>
              <w:t>Sebastián Ramírez Grisales</w:t>
            </w:r>
          </w:p>
          <w:p w14:paraId="7E974D51" w14:textId="77777777" w:rsidR="008E3D73" w:rsidRPr="00FD2DFE" w:rsidRDefault="008E3D73" w:rsidP="006A214D">
            <w:pPr>
              <w:rPr>
                <w:rFonts w:ascii="Arial" w:eastAsia="Times New Roman" w:hAnsi="Arial" w:cs="Arial"/>
                <w:sz w:val="16"/>
                <w:szCs w:val="16"/>
                <w:lang w:eastAsia="es-ES"/>
              </w:rPr>
            </w:pPr>
            <w:r>
              <w:rPr>
                <w:rFonts w:ascii="Arial" w:hAnsi="Arial" w:cs="Arial"/>
                <w:sz w:val="16"/>
                <w:szCs w:val="16"/>
                <w:lang w:eastAsia="es-ES"/>
              </w:rPr>
              <w:t>Contratista</w:t>
            </w:r>
            <w:r w:rsidRPr="00FD2DFE">
              <w:rPr>
                <w:rFonts w:ascii="Arial" w:hAnsi="Arial" w:cs="Arial"/>
                <w:sz w:val="16"/>
                <w:szCs w:val="16"/>
                <w:lang w:eastAsia="es-ES"/>
              </w:rPr>
              <w:t xml:space="preserve"> de la Subdirección de Gestión Contractual</w:t>
            </w:r>
          </w:p>
        </w:tc>
      </w:tr>
      <w:tr w:rsidR="008E3D73" w:rsidRPr="00530937" w14:paraId="211F7345" w14:textId="77777777" w:rsidTr="006A214D">
        <w:trPr>
          <w:trHeight w:val="300"/>
        </w:trPr>
        <w:tc>
          <w:tcPr>
            <w:tcW w:w="812" w:type="dxa"/>
            <w:vAlign w:val="center"/>
          </w:tcPr>
          <w:p w14:paraId="3ADDB5A5" w14:textId="77777777" w:rsidR="008E3D73" w:rsidRPr="00FD2DFE" w:rsidRDefault="008E3D73" w:rsidP="006A214D">
            <w:pPr>
              <w:rPr>
                <w:rFonts w:ascii="Arial" w:eastAsia="Times New Roman" w:hAnsi="Arial" w:cs="Arial"/>
                <w:sz w:val="16"/>
                <w:szCs w:val="16"/>
                <w:lang w:eastAsia="es-ES"/>
              </w:rPr>
            </w:pPr>
            <w:r w:rsidRPr="00FD2DFE">
              <w:rPr>
                <w:rFonts w:ascii="Arial" w:eastAsia="Times New Roman" w:hAnsi="Arial" w:cs="Arial"/>
                <w:sz w:val="16"/>
                <w:szCs w:val="16"/>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8E5AB3" w14:textId="77777777" w:rsidR="008E3D73" w:rsidRPr="00530937" w:rsidRDefault="008E3D73" w:rsidP="006A214D">
            <w:pPr>
              <w:rPr>
                <w:rFonts w:ascii="Arial" w:eastAsia="Calibri" w:hAnsi="Arial" w:cs="Arial"/>
                <w:sz w:val="16"/>
                <w:szCs w:val="16"/>
                <w:lang w:val="pt-BR" w:eastAsia="es-ES"/>
              </w:rPr>
            </w:pPr>
            <w:r w:rsidRPr="00530937">
              <w:rPr>
                <w:rFonts w:ascii="Arial" w:eastAsia="Calibri" w:hAnsi="Arial" w:cs="Arial"/>
                <w:sz w:val="16"/>
                <w:szCs w:val="16"/>
                <w:lang w:val="pt-BR" w:eastAsia="es-ES"/>
              </w:rPr>
              <w:t>Juan David Marín López</w:t>
            </w:r>
          </w:p>
          <w:p w14:paraId="7E3A641C" w14:textId="77777777" w:rsidR="008E3D73" w:rsidRPr="00FD2DFE" w:rsidRDefault="008E3D73" w:rsidP="006A214D">
            <w:pPr>
              <w:rPr>
                <w:rFonts w:ascii="Arial" w:eastAsia="Times New Roman" w:hAnsi="Arial" w:cs="Arial"/>
                <w:sz w:val="16"/>
                <w:szCs w:val="16"/>
                <w:lang w:eastAsia="es-ES"/>
              </w:rPr>
            </w:pPr>
            <w:r w:rsidRPr="00530937">
              <w:rPr>
                <w:rFonts w:ascii="Arial" w:eastAsia="Calibri" w:hAnsi="Arial" w:cs="Arial"/>
                <w:sz w:val="16"/>
                <w:szCs w:val="16"/>
                <w:lang w:eastAsia="es-ES"/>
              </w:rPr>
              <w:t xml:space="preserve">Subdirector de Gestión Contractual </w:t>
            </w:r>
            <w:r w:rsidRPr="00530937">
              <w:rPr>
                <w:rFonts w:ascii="Arial" w:eastAsia="Calibri" w:hAnsi="Arial" w:cs="Arial"/>
                <w:sz w:val="16"/>
                <w:szCs w:val="16"/>
                <w:lang w:val="pt-BR" w:eastAsia="es-ES"/>
              </w:rPr>
              <w:t>(E)</w:t>
            </w:r>
          </w:p>
        </w:tc>
      </w:tr>
    </w:tbl>
    <w:p w14:paraId="20333B98" w14:textId="77777777" w:rsidR="006674C1" w:rsidRPr="006674C1" w:rsidRDefault="006674C1" w:rsidP="00E7700C">
      <w:pPr>
        <w:spacing w:after="120"/>
        <w:contextualSpacing/>
        <w:rPr>
          <w:rFonts w:ascii="Arial" w:eastAsia="Calibri" w:hAnsi="Arial" w:cs="Arial"/>
          <w:b/>
          <w:bCs/>
          <w:sz w:val="20"/>
          <w:szCs w:val="20"/>
        </w:rPr>
      </w:pPr>
    </w:p>
    <w:sectPr w:rsidR="006674C1" w:rsidRPr="006674C1" w:rsidSect="00491E2D">
      <w:headerReference w:type="default" r:id="rId13"/>
      <w:footerReference w:type="default" r:id="rId14"/>
      <w:pgSz w:w="12240" w:h="15840"/>
      <w:pgMar w:top="408" w:right="1701"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80765B" w14:textId="77777777" w:rsidR="005D307C" w:rsidRDefault="005D307C">
      <w:r>
        <w:separator/>
      </w:r>
    </w:p>
  </w:endnote>
  <w:endnote w:type="continuationSeparator" w:id="0">
    <w:p w14:paraId="1DAD43B5" w14:textId="77777777" w:rsidR="005D307C" w:rsidRDefault="005D30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D1CB" w14:textId="1AB2AE8F" w:rsidR="00412132" w:rsidRDefault="00412132" w:rsidP="00B6444C">
    <w:pPr>
      <w:pStyle w:val="Sinespaciado"/>
      <w:rPr>
        <w:rFonts w:ascii="Arial" w:hAnsi="Arial" w:cs="Arial"/>
        <w:sz w:val="18"/>
        <w:szCs w:val="18"/>
      </w:rPr>
    </w:pPr>
  </w:p>
  <w:p w14:paraId="312C4A14" w14:textId="6A24D930" w:rsidR="00412132" w:rsidRPr="005A79FE" w:rsidRDefault="00412132"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D6148F">
      <w:rPr>
        <w:rFonts w:ascii="Arial" w:hAnsi="Arial" w:cs="Arial"/>
        <w:b/>
        <w:bCs/>
        <w:noProof/>
        <w:color w:val="7F7F7F" w:themeColor="text1" w:themeTint="80"/>
        <w:sz w:val="16"/>
        <w:szCs w:val="16"/>
      </w:rPr>
      <w:t>17</w:t>
    </w:r>
    <w:r w:rsidRPr="00084B97">
      <w:rPr>
        <w:rFonts w:ascii="Arial" w:hAnsi="Arial" w:cs="Arial"/>
        <w:b/>
        <w:bCs/>
        <w:color w:val="7F7F7F" w:themeColor="text1" w:themeTint="80"/>
        <w:sz w:val="16"/>
        <w:szCs w:val="16"/>
      </w:rPr>
      <w:fldChar w:fldCharType="end"/>
    </w:r>
  </w:p>
  <w:p w14:paraId="48FC6A04" w14:textId="4A5E79D2" w:rsidR="00412132" w:rsidRDefault="00412132" w:rsidP="007B0854">
    <w:pPr>
      <w:pStyle w:val="Piedepgina"/>
      <w:jc w:val="center"/>
      <w:rPr>
        <w:lang w:val="es-ES"/>
      </w:rPr>
    </w:pPr>
    <w:r>
      <w:rPr>
        <w:noProof/>
        <w:lang w:val="es-CO" w:eastAsia="es-CO"/>
      </w:rPr>
      <w:drawing>
        <wp:inline distT="0" distB="0" distL="0" distR="0" wp14:anchorId="608B196D" wp14:editId="577C97FD">
          <wp:extent cx="4241994" cy="595165"/>
          <wp:effectExtent l="0" t="0" r="6350" b="0"/>
          <wp:docPr id="79"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45768A8" w14:textId="77777777" w:rsidR="00412132" w:rsidRPr="007B0854" w:rsidRDefault="00412132" w:rsidP="00A5235A">
    <w:pPr>
      <w:pStyle w:val="Piedepgina"/>
      <w:spacing w:line="120" w:lineRule="auto"/>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79A8DD" w14:textId="77777777" w:rsidR="005D307C" w:rsidRDefault="005D307C">
      <w:r>
        <w:separator/>
      </w:r>
    </w:p>
  </w:footnote>
  <w:footnote w:type="continuationSeparator" w:id="0">
    <w:p w14:paraId="18C855CC" w14:textId="77777777" w:rsidR="005D307C" w:rsidRDefault="005D307C">
      <w:r>
        <w:continuationSeparator/>
      </w:r>
    </w:p>
  </w:footnote>
  <w:footnote w:id="1">
    <w:p w14:paraId="1FF86C45" w14:textId="77777777" w:rsidR="007724C9" w:rsidRPr="006042F9" w:rsidRDefault="007724C9" w:rsidP="006042F9">
      <w:pPr>
        <w:pStyle w:val="Textonotapie"/>
        <w:spacing w:after="0" w:line="240" w:lineRule="auto"/>
        <w:ind w:firstLine="709"/>
        <w:rPr>
          <w:rFonts w:ascii="Arial" w:hAnsi="Arial" w:cs="Arial"/>
          <w:sz w:val="19"/>
          <w:szCs w:val="19"/>
          <w:lang w:val="es-ES"/>
        </w:rPr>
      </w:pPr>
      <w:r w:rsidRPr="006042F9">
        <w:rPr>
          <w:rStyle w:val="Refdenotaalpie"/>
          <w:rFonts w:ascii="Arial" w:hAnsi="Arial" w:cs="Arial"/>
          <w:sz w:val="19"/>
          <w:szCs w:val="19"/>
        </w:rPr>
        <w:footnoteRef/>
      </w:r>
      <w:r w:rsidRPr="006042F9">
        <w:rPr>
          <w:rFonts w:ascii="Arial" w:hAnsi="Arial" w:cs="Arial"/>
          <w:sz w:val="19"/>
          <w:szCs w:val="19"/>
        </w:rPr>
        <w:t xml:space="preserve"> </w:t>
      </w:r>
      <w:r w:rsidRPr="006042F9">
        <w:rPr>
          <w:rFonts w:ascii="Arial" w:hAnsi="Arial" w:cs="Arial"/>
          <w:sz w:val="19"/>
          <w:szCs w:val="19"/>
          <w:lang w:val="es-ES"/>
        </w:rPr>
        <w:t>El numeral 16 del artículo tercero de la Ley 136 de 1994 dispone:</w:t>
      </w:r>
      <w:r w:rsidRPr="006042F9">
        <w:rPr>
          <w:rFonts w:ascii="Arial" w:hAnsi="Arial" w:cs="Arial"/>
          <w:color w:val="000000" w:themeColor="text1"/>
          <w:sz w:val="19"/>
          <w:szCs w:val="19"/>
          <w:lang w:val="es-CO"/>
        </w:rPr>
        <w:t xml:space="preserve"> «[…] </w:t>
      </w:r>
      <w:r w:rsidRPr="006042F9">
        <w:rPr>
          <w:rFonts w:ascii="Arial" w:hAnsi="Arial" w:cs="Arial"/>
          <w:sz w:val="19"/>
          <w:szCs w:val="19"/>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6042F9">
        <w:rPr>
          <w:rFonts w:ascii="Arial" w:hAnsi="Arial" w:cs="Arial"/>
          <w:color w:val="000000" w:themeColor="text1"/>
          <w:sz w:val="19"/>
          <w:szCs w:val="19"/>
          <w:lang w:val="es-CO"/>
        </w:rPr>
        <w:t xml:space="preserve"> […]».</w:t>
      </w:r>
    </w:p>
  </w:footnote>
  <w:footnote w:id="2">
    <w:p w14:paraId="04A3F2CD" w14:textId="6DBD8DBC" w:rsidR="00FF1673" w:rsidRPr="006042F9" w:rsidRDefault="00FF1673" w:rsidP="006042F9">
      <w:pPr>
        <w:pStyle w:val="Textonotapie"/>
        <w:spacing w:after="0" w:line="240" w:lineRule="auto"/>
        <w:ind w:firstLine="708"/>
        <w:rPr>
          <w:rFonts w:ascii="Arial" w:hAnsi="Arial" w:cs="Arial"/>
          <w:sz w:val="19"/>
          <w:szCs w:val="19"/>
        </w:rPr>
      </w:pPr>
      <w:r w:rsidRPr="006042F9">
        <w:rPr>
          <w:rStyle w:val="Refdenotaalpie"/>
          <w:rFonts w:ascii="Arial" w:hAnsi="Arial" w:cs="Arial"/>
          <w:sz w:val="19"/>
          <w:szCs w:val="19"/>
        </w:rPr>
        <w:footnoteRef/>
      </w:r>
      <w:r w:rsidRPr="006042F9">
        <w:rPr>
          <w:rFonts w:ascii="Arial" w:hAnsi="Arial" w:cs="Arial"/>
          <w:sz w:val="19"/>
          <w:szCs w:val="19"/>
        </w:rPr>
        <w:t xml:space="preserve"> </w:t>
      </w:r>
      <w:r w:rsidRPr="006042F9">
        <w:rPr>
          <w:rFonts w:ascii="Arial" w:hAnsi="Arial" w:cs="Arial"/>
          <w:sz w:val="19"/>
          <w:szCs w:val="19"/>
          <w:lang w:val="es-CO"/>
        </w:rPr>
        <w:t xml:space="preserve">Ley 2166 de 2021 </w:t>
      </w:r>
      <w:r w:rsidRPr="006042F9">
        <w:rPr>
          <w:rFonts w:ascii="Arial" w:hAnsi="Arial" w:cs="Arial"/>
          <w:sz w:val="19"/>
          <w:szCs w:val="19"/>
        </w:rPr>
        <w:t>«Artículo 95. Se autoriza a los entes territoriales del orden Nacional, Departamental, Distrital y municipal para celebrar directamente convenios solidarios con los Organismos de Acción Comunal con el fin de contratar con los habitantes de la comunidad</w:t>
      </w:r>
    </w:p>
    <w:p w14:paraId="20A65979" w14:textId="42DE7AE0" w:rsidR="00FF1673" w:rsidRPr="006042F9" w:rsidRDefault="00FF1673" w:rsidP="006042F9">
      <w:pPr>
        <w:pStyle w:val="Textonotapie"/>
        <w:spacing w:after="0" w:line="240" w:lineRule="auto"/>
        <w:rPr>
          <w:rFonts w:ascii="Arial" w:hAnsi="Arial" w:cs="Arial"/>
          <w:sz w:val="19"/>
          <w:szCs w:val="19"/>
        </w:rPr>
      </w:pPr>
      <w:r w:rsidRPr="006042F9">
        <w:rPr>
          <w:rFonts w:ascii="Arial" w:hAnsi="Arial" w:cs="Arial"/>
          <w:sz w:val="19"/>
          <w:szCs w:val="19"/>
        </w:rPr>
        <w:t>PARÁGRAFO 1. Los entes territoriales podrán incluir en el monto total de los Convenios Solidarios los costos directos, los costos administrativos y el Subsidio al dignatario representante legal para transportes de que trata el literal c) del artículo 38 de la presente ley.</w:t>
      </w:r>
    </w:p>
    <w:p w14:paraId="5ADAC829" w14:textId="0CD56064" w:rsidR="00FF1673" w:rsidRPr="006042F9" w:rsidRDefault="00FF1673" w:rsidP="006042F9">
      <w:pPr>
        <w:pStyle w:val="Textonotapie"/>
        <w:spacing w:after="0" w:line="240" w:lineRule="auto"/>
        <w:rPr>
          <w:rFonts w:ascii="Arial" w:hAnsi="Arial" w:cs="Arial"/>
          <w:sz w:val="19"/>
          <w:szCs w:val="19"/>
          <w:lang w:val="es-CO"/>
        </w:rPr>
      </w:pPr>
      <w:r w:rsidRPr="006042F9">
        <w:rPr>
          <w:rFonts w:ascii="Arial" w:hAnsi="Arial" w:cs="Arial"/>
          <w:sz w:val="19"/>
          <w:szCs w:val="19"/>
        </w:rPr>
        <w:t>PARÁGRAFO 2. Adicional del monto del Convenio Solidario, los entes territoriales deberán contar o disponer de personal técnico y administrativo-contable, para supervisar y apoyar a los Organismos de Acción Comunal en la ejecución de las obras.».</w:t>
      </w:r>
    </w:p>
  </w:footnote>
  <w:footnote w:id="3">
    <w:p w14:paraId="471BE8FC" w14:textId="35603C77" w:rsidR="008E3D73" w:rsidRPr="006042F9" w:rsidRDefault="008E3D73" w:rsidP="006042F9">
      <w:pPr>
        <w:pStyle w:val="Textonotapie"/>
        <w:spacing w:after="0" w:line="240" w:lineRule="auto"/>
        <w:ind w:firstLine="709"/>
        <w:rPr>
          <w:rFonts w:ascii="Arial" w:hAnsi="Arial" w:cs="Arial"/>
          <w:sz w:val="19"/>
          <w:szCs w:val="19"/>
          <w:lang w:val="es-ES"/>
        </w:rPr>
      </w:pPr>
      <w:r w:rsidRPr="006042F9">
        <w:rPr>
          <w:rStyle w:val="Refdenotaalpie"/>
          <w:rFonts w:ascii="Arial" w:hAnsi="Arial" w:cs="Arial"/>
          <w:sz w:val="19"/>
          <w:szCs w:val="19"/>
        </w:rPr>
        <w:footnoteRef/>
      </w:r>
      <w:r w:rsidRPr="006042F9">
        <w:rPr>
          <w:rFonts w:ascii="Arial" w:hAnsi="Arial" w:cs="Arial"/>
          <w:sz w:val="19"/>
          <w:szCs w:val="19"/>
        </w:rPr>
        <w:t xml:space="preserve"> Al respecto puede consultarse, entre otros, los conceptos </w:t>
      </w:r>
      <w:r w:rsidRPr="006042F9">
        <w:rPr>
          <w:rFonts w:ascii="Arial" w:hAnsi="Arial" w:cs="Arial"/>
          <w:sz w:val="19"/>
          <w:szCs w:val="19"/>
          <w:lang w:val="es-ES"/>
        </w:rPr>
        <w:t xml:space="preserve">C–155 del 14 de abril de 2021, C-364 del 28 de julio de 2021, C-394 del 17 de septiembre de 2021 y C-627 del 25 de octubre de 2021. </w:t>
      </w:r>
    </w:p>
  </w:footnote>
  <w:footnote w:id="4">
    <w:p w14:paraId="4529B3CB" w14:textId="77777777" w:rsidR="003B43FF" w:rsidRDefault="003B43FF" w:rsidP="006042F9">
      <w:pPr>
        <w:pStyle w:val="Textonotapie"/>
        <w:spacing w:after="0" w:line="240" w:lineRule="auto"/>
        <w:ind w:firstLine="709"/>
        <w:rPr>
          <w:rFonts w:ascii="Arial" w:hAnsi="Arial" w:cs="Arial"/>
          <w:sz w:val="19"/>
          <w:szCs w:val="19"/>
        </w:rPr>
      </w:pPr>
    </w:p>
    <w:p w14:paraId="076B13BA" w14:textId="79441D6C" w:rsidR="008E3D73" w:rsidRPr="006042F9" w:rsidRDefault="008E3D73" w:rsidP="006042F9">
      <w:pPr>
        <w:pStyle w:val="Textonotapie"/>
        <w:spacing w:after="0" w:line="240" w:lineRule="auto"/>
        <w:ind w:firstLine="709"/>
        <w:rPr>
          <w:rFonts w:ascii="Arial" w:hAnsi="Arial" w:cs="Arial"/>
          <w:sz w:val="19"/>
          <w:szCs w:val="19"/>
        </w:rPr>
      </w:pPr>
      <w:r w:rsidRPr="006042F9">
        <w:rPr>
          <w:rStyle w:val="Refdenotaalpie"/>
          <w:rFonts w:ascii="Arial" w:hAnsi="Arial" w:cs="Arial"/>
          <w:sz w:val="19"/>
          <w:szCs w:val="19"/>
        </w:rPr>
        <w:footnoteRef/>
      </w:r>
      <w:r w:rsidRPr="006042F9">
        <w:rPr>
          <w:rFonts w:ascii="Arial" w:hAnsi="Arial" w:cs="Arial"/>
          <w:sz w:val="19"/>
          <w:szCs w:val="19"/>
        </w:rPr>
        <w:t xml:space="preserve"> Ley 136 de 1994 «Artículo 141. Vinculación al desarrollo municipal: Las organizaciones comunitarias, cívicas, profesionales, juveniles, sindicales, benéficas o de utilidad común no gubernamentales, sin ánimo de lucro y constituidas con arreglo a la ley, podrán vincularse al desarrollo y mejoramiento municipal mediante su participación en el ejercicio de las funciones, la prestación de servicios o la ejecución de obras públicas a cargo de la administración central o descentralizada».</w:t>
      </w:r>
    </w:p>
  </w:footnote>
  <w:footnote w:id="5">
    <w:p w14:paraId="5DC5686E" w14:textId="77777777" w:rsidR="003B43FF" w:rsidRDefault="003B43FF" w:rsidP="006042F9">
      <w:pPr>
        <w:pStyle w:val="Textonotapie"/>
        <w:spacing w:after="0" w:line="240" w:lineRule="auto"/>
        <w:ind w:firstLine="708"/>
        <w:rPr>
          <w:rFonts w:ascii="Arial" w:hAnsi="Arial" w:cs="Arial"/>
          <w:sz w:val="19"/>
          <w:szCs w:val="19"/>
        </w:rPr>
      </w:pPr>
    </w:p>
    <w:p w14:paraId="31E07673" w14:textId="3E79B299" w:rsidR="008E3D73" w:rsidRPr="006042F9" w:rsidRDefault="008E3D73" w:rsidP="006042F9">
      <w:pPr>
        <w:pStyle w:val="Textonotapie"/>
        <w:spacing w:after="0" w:line="240" w:lineRule="auto"/>
        <w:ind w:firstLine="708"/>
        <w:rPr>
          <w:rFonts w:ascii="Arial" w:hAnsi="Arial" w:cs="Arial"/>
          <w:sz w:val="19"/>
          <w:szCs w:val="19"/>
        </w:rPr>
      </w:pPr>
      <w:r w:rsidRPr="006042F9">
        <w:rPr>
          <w:rStyle w:val="Refdenotaalpie"/>
          <w:rFonts w:ascii="Arial" w:hAnsi="Arial" w:cs="Arial"/>
          <w:sz w:val="19"/>
          <w:szCs w:val="19"/>
        </w:rPr>
        <w:footnoteRef/>
      </w:r>
      <w:r w:rsidRPr="006042F9">
        <w:rPr>
          <w:rFonts w:ascii="Arial" w:hAnsi="Arial" w:cs="Arial"/>
          <w:sz w:val="19"/>
          <w:szCs w:val="19"/>
        </w:rPr>
        <w:t xml:space="preserve"> Ley 743 del 2002 «Artículo 55. </w:t>
      </w:r>
      <w:bookmarkStart w:id="15" w:name="_Hlk98586808"/>
      <w:r w:rsidRPr="006042F9">
        <w:rPr>
          <w:rFonts w:ascii="Arial" w:hAnsi="Arial" w:cs="Arial"/>
          <w:sz w:val="19"/>
          <w:szCs w:val="19"/>
        </w:rPr>
        <w:t xml:space="preserve">Conforme al artículo 141 de la Ley 136 de 1994, las organizaciones comunales podrán vincularse al desarrollo y mejoramiento municipal, mediante su participación en el ejercicio de sus funciones, la prestación de servicios, o la ejecución de obras públicas a cargo de la administración central o descentralizada. </w:t>
      </w:r>
    </w:p>
    <w:p w14:paraId="0B2CF63E" w14:textId="77777777" w:rsidR="008E3D73" w:rsidRPr="006042F9" w:rsidRDefault="008E3D73" w:rsidP="006042F9">
      <w:pPr>
        <w:pStyle w:val="Textonotapie"/>
        <w:spacing w:after="0" w:line="240" w:lineRule="auto"/>
        <w:rPr>
          <w:rFonts w:ascii="Arial" w:hAnsi="Arial" w:cs="Arial"/>
          <w:sz w:val="19"/>
          <w:szCs w:val="19"/>
          <w:lang w:val="es-CO"/>
        </w:rPr>
      </w:pPr>
      <w:r w:rsidRPr="006042F9">
        <w:rPr>
          <w:rFonts w:ascii="Arial" w:hAnsi="Arial" w:cs="Arial"/>
          <w:sz w:val="19"/>
          <w:szCs w:val="19"/>
        </w:rPr>
        <w:t xml:space="preserve">»Los contratos o convenios que celebren los organismos comunales se regularán por el régimen vigente de contratación para organizaciones solidarias».  </w:t>
      </w:r>
      <w:bookmarkEnd w:id="15"/>
    </w:p>
  </w:footnote>
  <w:footnote w:id="6">
    <w:p w14:paraId="4D3C4BB3" w14:textId="77777777" w:rsidR="008E3D73" w:rsidRPr="006042F9" w:rsidRDefault="008E3D73" w:rsidP="006042F9">
      <w:pPr>
        <w:pStyle w:val="Textonotapie"/>
        <w:spacing w:after="0" w:line="240" w:lineRule="auto"/>
        <w:ind w:firstLine="708"/>
        <w:rPr>
          <w:rFonts w:ascii="Arial" w:hAnsi="Arial" w:cs="Arial"/>
          <w:color w:val="000000" w:themeColor="text1"/>
          <w:sz w:val="19"/>
          <w:szCs w:val="19"/>
          <w:lang w:val="es-CO"/>
        </w:rPr>
      </w:pPr>
      <w:r w:rsidRPr="006042F9">
        <w:rPr>
          <w:rStyle w:val="Refdenotaalpie"/>
          <w:rFonts w:ascii="Arial" w:hAnsi="Arial" w:cs="Arial"/>
          <w:sz w:val="19"/>
          <w:szCs w:val="19"/>
        </w:rPr>
        <w:footnoteRef/>
      </w:r>
      <w:r w:rsidRPr="006042F9">
        <w:rPr>
          <w:rFonts w:ascii="Arial" w:hAnsi="Arial" w:cs="Arial"/>
          <w:sz w:val="19"/>
          <w:szCs w:val="19"/>
        </w:rPr>
        <w:t xml:space="preserve"> Texto tomado de la ley sancionada y publicada en la página web de la presidencia de la república, disponible en el siguiente enlace</w:t>
      </w:r>
      <w:r w:rsidRPr="006042F9">
        <w:rPr>
          <w:rFonts w:ascii="Arial" w:hAnsi="Arial" w:cs="Arial"/>
          <w:color w:val="000000" w:themeColor="text1"/>
          <w:sz w:val="19"/>
          <w:szCs w:val="19"/>
        </w:rPr>
        <w:t xml:space="preserve">: </w:t>
      </w:r>
      <w:hyperlink r:id="rId1" w:history="1">
        <w:r w:rsidRPr="006042F9">
          <w:rPr>
            <w:rStyle w:val="Hipervnculo"/>
            <w:rFonts w:ascii="Arial" w:hAnsi="Arial" w:cs="Arial"/>
            <w:color w:val="000000" w:themeColor="text1"/>
            <w:sz w:val="19"/>
            <w:szCs w:val="19"/>
          </w:rPr>
          <w:t>https://dapre.presidencia.gov.co/normativa/leyes</w:t>
        </w:r>
      </w:hyperlink>
      <w:r w:rsidRPr="006042F9">
        <w:rPr>
          <w:rFonts w:ascii="Arial" w:hAnsi="Arial" w:cs="Arial"/>
          <w:color w:val="000000" w:themeColor="text1"/>
          <w:sz w:val="19"/>
          <w:szCs w:val="19"/>
        </w:rPr>
        <w:t xml:space="preserve">. </w:t>
      </w:r>
    </w:p>
  </w:footnote>
  <w:footnote w:id="7">
    <w:p w14:paraId="7AB57FB8" w14:textId="77777777" w:rsidR="008E3D73" w:rsidRPr="006042F9" w:rsidRDefault="008E3D73" w:rsidP="006042F9">
      <w:pPr>
        <w:pStyle w:val="Textonotapie"/>
        <w:spacing w:after="0" w:line="240" w:lineRule="auto"/>
        <w:ind w:firstLine="709"/>
        <w:rPr>
          <w:rFonts w:ascii="Arial" w:hAnsi="Arial" w:cs="Arial"/>
          <w:sz w:val="19"/>
          <w:szCs w:val="19"/>
          <w:lang w:val="es-CO"/>
        </w:rPr>
      </w:pPr>
      <w:r w:rsidRPr="006042F9">
        <w:rPr>
          <w:rStyle w:val="Refdenotaalpie"/>
          <w:rFonts w:ascii="Arial" w:hAnsi="Arial" w:cs="Arial"/>
          <w:sz w:val="19"/>
          <w:szCs w:val="19"/>
        </w:rPr>
        <w:footnoteRef/>
      </w:r>
      <w:r w:rsidRPr="006042F9">
        <w:rPr>
          <w:rFonts w:ascii="Arial" w:hAnsi="Arial" w:cs="Arial"/>
          <w:sz w:val="19"/>
          <w:szCs w:val="19"/>
        </w:rPr>
        <w:t xml:space="preserve"> </w:t>
      </w:r>
      <w:bookmarkStart w:id="17" w:name="7"/>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Artículo 7. Organismos de la Acción Comunal.</w:t>
      </w:r>
      <w:bookmarkEnd w:id="17"/>
    </w:p>
    <w:p w14:paraId="1FF1B7EC" w14:textId="77777777" w:rsidR="008E3D73" w:rsidRPr="006042F9" w:rsidRDefault="008E3D73" w:rsidP="006042F9">
      <w:pPr>
        <w:pStyle w:val="Textonotapie"/>
        <w:spacing w:after="0" w:line="240" w:lineRule="auto"/>
        <w:ind w:firstLine="709"/>
        <w:rPr>
          <w:rFonts w:ascii="Arial" w:hAnsi="Arial" w:cs="Arial"/>
          <w:sz w:val="19"/>
          <w:szCs w:val="19"/>
          <w:lang w:val="es-CO"/>
        </w:rPr>
      </w:pPr>
      <w:proofErr w:type="gramStart"/>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a</w:t>
      </w:r>
      <w:proofErr w:type="gramEnd"/>
      <w:r w:rsidRPr="006042F9">
        <w:rPr>
          <w:rFonts w:ascii="Arial" w:hAnsi="Arial" w:cs="Arial"/>
          <w:sz w:val="19"/>
          <w:szCs w:val="19"/>
          <w:lang w:val="es-CO"/>
        </w:rPr>
        <w:t>)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172998CD" w14:textId="77777777" w:rsidR="008E3D73" w:rsidRPr="006042F9" w:rsidRDefault="008E3D73" w:rsidP="006042F9">
      <w:pPr>
        <w:pStyle w:val="Textonotapie"/>
        <w:spacing w:after="0" w:line="240" w:lineRule="auto"/>
        <w:ind w:firstLine="709"/>
        <w:rPr>
          <w:rFonts w:ascii="Arial" w:hAnsi="Arial" w:cs="Arial"/>
          <w:sz w:val="19"/>
          <w:szCs w:val="19"/>
          <w:lang w:val="es-CO"/>
        </w:rPr>
      </w:pPr>
      <w:proofErr w:type="gramStart"/>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b</w:t>
      </w:r>
      <w:proofErr w:type="gramEnd"/>
      <w:r w:rsidRPr="006042F9">
        <w:rPr>
          <w:rFonts w:ascii="Arial" w:hAnsi="Arial" w:cs="Arial"/>
          <w:sz w:val="19"/>
          <w:szCs w:val="19"/>
          <w:lang w:val="es-CO"/>
        </w:rPr>
        <w:t>)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31D7AF90" w14:textId="77777777" w:rsidR="008E3D73" w:rsidRPr="006042F9" w:rsidRDefault="008E3D73" w:rsidP="006042F9">
      <w:pPr>
        <w:pStyle w:val="Textonotapie"/>
        <w:spacing w:after="0" w:line="240" w:lineRule="auto"/>
        <w:ind w:firstLine="709"/>
        <w:rPr>
          <w:rFonts w:ascii="Arial" w:hAnsi="Arial" w:cs="Arial"/>
          <w:sz w:val="19"/>
          <w:szCs w:val="19"/>
          <w:lang w:val="es-CO"/>
        </w:rPr>
      </w:pPr>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3A76FEE8" w14:textId="77777777" w:rsidR="008E3D73" w:rsidRPr="006042F9" w:rsidRDefault="008E3D73" w:rsidP="006042F9">
      <w:pPr>
        <w:pStyle w:val="Textonotapie"/>
        <w:spacing w:after="0" w:line="240" w:lineRule="auto"/>
        <w:ind w:firstLine="709"/>
        <w:rPr>
          <w:rFonts w:ascii="Arial" w:hAnsi="Arial" w:cs="Arial"/>
          <w:sz w:val="19"/>
          <w:szCs w:val="19"/>
          <w:lang w:val="es-CO"/>
        </w:rPr>
      </w:pPr>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021DCAB9" w14:textId="77777777" w:rsidR="008E3D73" w:rsidRPr="006042F9" w:rsidRDefault="008E3D73" w:rsidP="006042F9">
      <w:pPr>
        <w:pStyle w:val="Textonotapie"/>
        <w:spacing w:after="0" w:line="240" w:lineRule="auto"/>
        <w:ind w:firstLine="709"/>
        <w:rPr>
          <w:rFonts w:ascii="Arial" w:hAnsi="Arial" w:cs="Arial"/>
          <w:sz w:val="19"/>
          <w:szCs w:val="19"/>
          <w:lang w:val="es-CO"/>
        </w:rPr>
      </w:pPr>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4BF6D6C6" w14:textId="77777777" w:rsidR="008E3D73" w:rsidRPr="006042F9" w:rsidRDefault="008E3D73" w:rsidP="006042F9">
      <w:pPr>
        <w:pStyle w:val="Textonotapie"/>
        <w:spacing w:after="0" w:line="240" w:lineRule="auto"/>
        <w:ind w:firstLine="709"/>
        <w:rPr>
          <w:rFonts w:ascii="Arial" w:hAnsi="Arial" w:cs="Arial"/>
          <w:sz w:val="19"/>
          <w:szCs w:val="19"/>
          <w:lang w:val="es-CO"/>
        </w:rPr>
      </w:pPr>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PARÁGRAFO 1o. Cada organismo de acción comunal, se dará su propio reglamento conforme al marco brindado por esta ley enunciado en el artículo 1 y las normas que le sucedan.</w:t>
      </w:r>
    </w:p>
    <w:p w14:paraId="579A5348" w14:textId="77777777" w:rsidR="008E3D73" w:rsidRPr="006042F9" w:rsidRDefault="008E3D73" w:rsidP="006042F9">
      <w:pPr>
        <w:pStyle w:val="Textonotapie"/>
        <w:spacing w:after="0" w:line="240" w:lineRule="auto"/>
        <w:ind w:firstLine="709"/>
        <w:rPr>
          <w:rFonts w:ascii="Arial" w:hAnsi="Arial" w:cs="Arial"/>
          <w:sz w:val="19"/>
          <w:szCs w:val="19"/>
          <w:lang w:val="es-CO"/>
        </w:rPr>
      </w:pPr>
      <w:r w:rsidRPr="006042F9">
        <w:rPr>
          <w:rFonts w:ascii="Arial" w:eastAsia="Calibri" w:hAnsi="Arial" w:cs="Arial"/>
          <w:color w:val="000000" w:themeColor="text1"/>
          <w:sz w:val="19"/>
          <w:szCs w:val="19"/>
          <w:lang w:val="es-ES_tradnl"/>
        </w:rPr>
        <w:t>»</w:t>
      </w:r>
      <w:r w:rsidRPr="006042F9">
        <w:rPr>
          <w:rFonts w:ascii="Arial" w:hAnsi="Arial" w:cs="Arial"/>
          <w:sz w:val="19"/>
          <w:szCs w:val="19"/>
          <w:lang w:val="es-CO"/>
        </w:rPr>
        <w:t>PARÁGRAFO 2o. Dentro del año siguiente a la expedición de la presente Ley en concertación con la organización social de la Acción Comunal, el Gobierno nacional expedirá una reglamentación para las Juntas de Vivienda Comunal</w:t>
      </w:r>
      <w:r w:rsidRPr="006042F9">
        <w:rPr>
          <w:rFonts w:ascii="Arial" w:eastAsia="Calibri" w:hAnsi="Arial" w:cs="Arial"/>
          <w:color w:val="000000" w:themeColor="text1"/>
          <w:sz w:val="19"/>
          <w:szCs w:val="19"/>
          <w:lang w:val="es-ES_tradnl"/>
        </w:rPr>
        <w:t>».</w:t>
      </w:r>
    </w:p>
    <w:p w14:paraId="5679CA78" w14:textId="77777777" w:rsidR="008E3D73" w:rsidRPr="006042F9" w:rsidRDefault="008E3D73" w:rsidP="006042F9">
      <w:pPr>
        <w:pStyle w:val="Textonotapie"/>
        <w:spacing w:after="0" w:line="240" w:lineRule="auto"/>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23BDB" w14:textId="1CCC219A" w:rsidR="00412132" w:rsidRDefault="00412132">
    <w:pPr>
      <w:pStyle w:val="Encabezado"/>
    </w:pPr>
    <w:r>
      <w:rPr>
        <w:noProof/>
        <w:lang w:val="es-CO" w:eastAsia="es-CO"/>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78"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E31D607" w14:textId="77777777" w:rsidR="00FE0395" w:rsidRDefault="00FE0395" w:rsidP="00FE0395">
    <w:pPr>
      <w:pStyle w:val="Encabezado"/>
      <w:spacing w:after="0"/>
    </w:pPr>
  </w:p>
  <w:p w14:paraId="6520770B" w14:textId="18EB07B5" w:rsidR="00412132" w:rsidRDefault="0041213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923CB4E6"/>
    <w:lvl w:ilvl="0">
      <w:start w:val="1"/>
      <w:numFmt w:val="decimal"/>
      <w:lvlText w:val="%1."/>
      <w:lvlJc w:val="left"/>
      <w:pPr>
        <w:ind w:left="6601" w:hanging="360"/>
      </w:pPr>
      <w:rPr>
        <w:b/>
        <w:color w:val="auto"/>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EE161D"/>
    <w:multiLevelType w:val="hybridMultilevel"/>
    <w:tmpl w:val="5E9052F8"/>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8CE7502"/>
    <w:multiLevelType w:val="hybridMultilevel"/>
    <w:tmpl w:val="8A348CD6"/>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88E33FD"/>
    <w:multiLevelType w:val="hybridMultilevel"/>
    <w:tmpl w:val="8DB4960C"/>
    <w:lvl w:ilvl="0" w:tplc="35F8F35A">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4" w15:restartNumberingAfterBreak="0">
    <w:nsid w:val="25613221"/>
    <w:multiLevelType w:val="hybridMultilevel"/>
    <w:tmpl w:val="74E8714E"/>
    <w:lvl w:ilvl="0" w:tplc="67744F1C">
      <w:start w:val="1"/>
      <w:numFmt w:val="decimal"/>
      <w:lvlText w:val="%1)"/>
      <w:lvlJc w:val="left"/>
      <w:pPr>
        <w:ind w:left="644" w:hanging="360"/>
      </w:pPr>
      <w:rPr>
        <w:rFonts w:hint="default"/>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5" w15:restartNumberingAfterBreak="0">
    <w:nsid w:val="283D5E85"/>
    <w:multiLevelType w:val="multilevel"/>
    <w:tmpl w:val="374260C8"/>
    <w:lvl w:ilvl="0">
      <w:start w:val="1"/>
      <w:numFmt w:val="decimal"/>
      <w:lvlText w:val="%1."/>
      <w:lvlJc w:val="left"/>
      <w:pPr>
        <w:ind w:left="720" w:hanging="360"/>
      </w:pPr>
      <w:rPr>
        <w:rFonts w:hint="default"/>
        <w:b/>
        <w:bCs/>
      </w:rPr>
    </w:lvl>
    <w:lvl w:ilvl="1">
      <w:start w:val="7"/>
      <w:numFmt w:val="decimal"/>
      <w:isLgl/>
      <w:lvlText w:val="%1.%2."/>
      <w:lvlJc w:val="left"/>
      <w:pPr>
        <w:ind w:left="1080" w:hanging="720"/>
      </w:pPr>
      <w:rPr>
        <w:rFonts w:eastAsia="Calibri" w:hint="default"/>
        <w:color w:val="000000" w:themeColor="text1"/>
      </w:rPr>
    </w:lvl>
    <w:lvl w:ilvl="2">
      <w:start w:val="1"/>
      <w:numFmt w:val="decimal"/>
      <w:isLgl/>
      <w:lvlText w:val="%1.%2.%3."/>
      <w:lvlJc w:val="left"/>
      <w:pPr>
        <w:ind w:left="1080" w:hanging="720"/>
      </w:pPr>
      <w:rPr>
        <w:rFonts w:eastAsia="Calibri" w:hint="default"/>
        <w:color w:val="000000" w:themeColor="text1"/>
      </w:rPr>
    </w:lvl>
    <w:lvl w:ilvl="3">
      <w:start w:val="1"/>
      <w:numFmt w:val="decimal"/>
      <w:isLgl/>
      <w:lvlText w:val="%1.%2.%3.%4."/>
      <w:lvlJc w:val="left"/>
      <w:pPr>
        <w:ind w:left="1440" w:hanging="1080"/>
      </w:pPr>
      <w:rPr>
        <w:rFonts w:eastAsia="Calibri" w:hint="default"/>
        <w:color w:val="000000" w:themeColor="text1"/>
      </w:rPr>
    </w:lvl>
    <w:lvl w:ilvl="4">
      <w:start w:val="1"/>
      <w:numFmt w:val="decimal"/>
      <w:isLgl/>
      <w:lvlText w:val="%1.%2.%3.%4.%5."/>
      <w:lvlJc w:val="left"/>
      <w:pPr>
        <w:ind w:left="1440" w:hanging="1080"/>
      </w:pPr>
      <w:rPr>
        <w:rFonts w:eastAsia="Calibri" w:hint="default"/>
        <w:color w:val="000000" w:themeColor="text1"/>
      </w:rPr>
    </w:lvl>
    <w:lvl w:ilvl="5">
      <w:start w:val="1"/>
      <w:numFmt w:val="decimal"/>
      <w:isLgl/>
      <w:lvlText w:val="%1.%2.%3.%4.%5.%6."/>
      <w:lvlJc w:val="left"/>
      <w:pPr>
        <w:ind w:left="1800" w:hanging="1440"/>
      </w:pPr>
      <w:rPr>
        <w:rFonts w:eastAsia="Calibri" w:hint="default"/>
        <w:color w:val="000000" w:themeColor="text1"/>
      </w:rPr>
    </w:lvl>
    <w:lvl w:ilvl="6">
      <w:start w:val="1"/>
      <w:numFmt w:val="decimal"/>
      <w:isLgl/>
      <w:lvlText w:val="%1.%2.%3.%4.%5.%6.%7."/>
      <w:lvlJc w:val="left"/>
      <w:pPr>
        <w:ind w:left="1800" w:hanging="1440"/>
      </w:pPr>
      <w:rPr>
        <w:rFonts w:eastAsia="Calibri" w:hint="default"/>
        <w:color w:val="000000" w:themeColor="text1"/>
      </w:rPr>
    </w:lvl>
    <w:lvl w:ilvl="7">
      <w:start w:val="1"/>
      <w:numFmt w:val="decimal"/>
      <w:isLgl/>
      <w:lvlText w:val="%1.%2.%3.%4.%5.%6.%7.%8."/>
      <w:lvlJc w:val="left"/>
      <w:pPr>
        <w:ind w:left="2160" w:hanging="1800"/>
      </w:pPr>
      <w:rPr>
        <w:rFonts w:eastAsia="Calibri" w:hint="default"/>
        <w:color w:val="000000" w:themeColor="text1"/>
      </w:rPr>
    </w:lvl>
    <w:lvl w:ilvl="8">
      <w:start w:val="1"/>
      <w:numFmt w:val="decimal"/>
      <w:isLgl/>
      <w:lvlText w:val="%1.%2.%3.%4.%5.%6.%7.%8.%9."/>
      <w:lvlJc w:val="left"/>
      <w:pPr>
        <w:ind w:left="2160" w:hanging="1800"/>
      </w:pPr>
      <w:rPr>
        <w:rFonts w:eastAsia="Calibri" w:hint="default"/>
        <w:color w:val="000000" w:themeColor="text1"/>
      </w:rPr>
    </w:lvl>
  </w:abstractNum>
  <w:abstractNum w:abstractNumId="6" w15:restartNumberingAfterBreak="0">
    <w:nsid w:val="2BAA45F7"/>
    <w:multiLevelType w:val="hybridMultilevel"/>
    <w:tmpl w:val="B8785494"/>
    <w:lvl w:ilvl="0" w:tplc="369A2F20">
      <w:start w:val="1"/>
      <w:numFmt w:val="decimal"/>
      <w:pStyle w:val="Capitulo3"/>
      <w:lvlText w:val="3.%1."/>
      <w:lvlJc w:val="left"/>
      <w:pPr>
        <w:ind w:left="786" w:hanging="360"/>
      </w:pPr>
      <w:rPr>
        <w:rFonts w:hint="default"/>
        <w:b/>
        <w:color w:val="262626" w:themeColor="text1" w:themeTint="D9"/>
      </w:rPr>
    </w:lvl>
    <w:lvl w:ilvl="1" w:tplc="240A0019" w:tentative="1">
      <w:start w:val="1"/>
      <w:numFmt w:val="lowerLetter"/>
      <w:lvlText w:val="%2."/>
      <w:lvlJc w:val="left"/>
      <w:pPr>
        <w:ind w:left="1724" w:hanging="360"/>
      </w:pPr>
    </w:lvl>
    <w:lvl w:ilvl="2" w:tplc="240A001B">
      <w:start w:val="1"/>
      <w:numFmt w:val="lowerRoman"/>
      <w:lvlText w:val="%3."/>
      <w:lvlJc w:val="right"/>
      <w:pPr>
        <w:ind w:left="2444" w:hanging="180"/>
      </w:pPr>
    </w:lvl>
    <w:lvl w:ilvl="3" w:tplc="240A000F" w:tentative="1">
      <w:start w:val="1"/>
      <w:numFmt w:val="decimal"/>
      <w:lvlText w:val="%4."/>
      <w:lvlJc w:val="left"/>
      <w:pPr>
        <w:ind w:left="3164" w:hanging="360"/>
      </w:pPr>
    </w:lvl>
    <w:lvl w:ilvl="4" w:tplc="240A0019" w:tentative="1">
      <w:start w:val="1"/>
      <w:numFmt w:val="lowerLetter"/>
      <w:lvlText w:val="%5."/>
      <w:lvlJc w:val="left"/>
      <w:pPr>
        <w:ind w:left="3884" w:hanging="360"/>
      </w:pPr>
    </w:lvl>
    <w:lvl w:ilvl="5" w:tplc="240A001B" w:tentative="1">
      <w:start w:val="1"/>
      <w:numFmt w:val="lowerRoman"/>
      <w:lvlText w:val="%6."/>
      <w:lvlJc w:val="right"/>
      <w:pPr>
        <w:ind w:left="4604" w:hanging="180"/>
      </w:pPr>
    </w:lvl>
    <w:lvl w:ilvl="6" w:tplc="240A000F" w:tentative="1">
      <w:start w:val="1"/>
      <w:numFmt w:val="decimal"/>
      <w:lvlText w:val="%7."/>
      <w:lvlJc w:val="left"/>
      <w:pPr>
        <w:ind w:left="5324" w:hanging="360"/>
      </w:pPr>
    </w:lvl>
    <w:lvl w:ilvl="7" w:tplc="240A0019" w:tentative="1">
      <w:start w:val="1"/>
      <w:numFmt w:val="lowerLetter"/>
      <w:lvlText w:val="%8."/>
      <w:lvlJc w:val="left"/>
      <w:pPr>
        <w:ind w:left="6044" w:hanging="360"/>
      </w:pPr>
    </w:lvl>
    <w:lvl w:ilvl="8" w:tplc="240A001B" w:tentative="1">
      <w:start w:val="1"/>
      <w:numFmt w:val="lowerRoman"/>
      <w:lvlText w:val="%9."/>
      <w:lvlJc w:val="right"/>
      <w:pPr>
        <w:ind w:left="6764" w:hanging="180"/>
      </w:pPr>
    </w:lvl>
  </w:abstractNum>
  <w:abstractNum w:abstractNumId="7" w15:restartNumberingAfterBreak="0">
    <w:nsid w:val="2E52434E"/>
    <w:multiLevelType w:val="multilevel"/>
    <w:tmpl w:val="451480FA"/>
    <w:lvl w:ilvl="0">
      <w:start w:val="3"/>
      <w:numFmt w:val="decimal"/>
      <w:lvlText w:val="%1."/>
      <w:lvlJc w:val="left"/>
      <w:pPr>
        <w:ind w:left="360" w:hanging="360"/>
      </w:pPr>
      <w:rPr>
        <w:rFonts w:hint="default"/>
        <w:color w:val="3C3C3C" w:themeColor="background2" w:themeShade="40"/>
      </w:rPr>
    </w:lvl>
    <w:lvl w:ilvl="1">
      <w:start w:val="6"/>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3C3C3C" w:themeColor="background2" w:themeShade="40"/>
      </w:rPr>
    </w:lvl>
    <w:lvl w:ilvl="3">
      <w:start w:val="1"/>
      <w:numFmt w:val="decimal"/>
      <w:lvlText w:val="%1.%2.%3.%4."/>
      <w:lvlJc w:val="left"/>
      <w:pPr>
        <w:ind w:left="720" w:hanging="720"/>
      </w:pPr>
      <w:rPr>
        <w:rFonts w:hint="default"/>
        <w:color w:val="3C3C3C" w:themeColor="background2" w:themeShade="40"/>
      </w:rPr>
    </w:lvl>
    <w:lvl w:ilvl="4">
      <w:start w:val="1"/>
      <w:numFmt w:val="decimal"/>
      <w:lvlText w:val="%1.%2.%3.%4.%5."/>
      <w:lvlJc w:val="left"/>
      <w:pPr>
        <w:ind w:left="1080" w:hanging="1080"/>
      </w:pPr>
      <w:rPr>
        <w:rFonts w:hint="default"/>
        <w:color w:val="3C3C3C" w:themeColor="background2" w:themeShade="40"/>
      </w:rPr>
    </w:lvl>
    <w:lvl w:ilvl="5">
      <w:start w:val="1"/>
      <w:numFmt w:val="decimal"/>
      <w:lvlText w:val="%1.%2.%3.%4.%5.%6."/>
      <w:lvlJc w:val="left"/>
      <w:pPr>
        <w:ind w:left="1080" w:hanging="1080"/>
      </w:pPr>
      <w:rPr>
        <w:rFonts w:hint="default"/>
        <w:color w:val="3C3C3C" w:themeColor="background2" w:themeShade="40"/>
      </w:rPr>
    </w:lvl>
    <w:lvl w:ilvl="6">
      <w:start w:val="1"/>
      <w:numFmt w:val="decimal"/>
      <w:lvlText w:val="%1.%2.%3.%4.%5.%6.%7."/>
      <w:lvlJc w:val="left"/>
      <w:pPr>
        <w:ind w:left="1440" w:hanging="1440"/>
      </w:pPr>
      <w:rPr>
        <w:rFonts w:hint="default"/>
        <w:color w:val="3C3C3C" w:themeColor="background2" w:themeShade="40"/>
      </w:rPr>
    </w:lvl>
    <w:lvl w:ilvl="7">
      <w:start w:val="1"/>
      <w:numFmt w:val="decimal"/>
      <w:lvlText w:val="%1.%2.%3.%4.%5.%6.%7.%8."/>
      <w:lvlJc w:val="left"/>
      <w:pPr>
        <w:ind w:left="1440" w:hanging="1440"/>
      </w:pPr>
      <w:rPr>
        <w:rFonts w:hint="default"/>
        <w:color w:val="3C3C3C" w:themeColor="background2" w:themeShade="40"/>
      </w:rPr>
    </w:lvl>
    <w:lvl w:ilvl="8">
      <w:start w:val="1"/>
      <w:numFmt w:val="decimal"/>
      <w:lvlText w:val="%1.%2.%3.%4.%5.%6.%7.%8.%9."/>
      <w:lvlJc w:val="left"/>
      <w:pPr>
        <w:ind w:left="1800" w:hanging="1800"/>
      </w:pPr>
      <w:rPr>
        <w:rFonts w:hint="default"/>
        <w:color w:val="3C3C3C" w:themeColor="background2" w:themeShade="40"/>
      </w:rPr>
    </w:lvl>
  </w:abstractNum>
  <w:abstractNum w:abstractNumId="8" w15:restartNumberingAfterBreak="0">
    <w:nsid w:val="30BD7991"/>
    <w:multiLevelType w:val="hybridMultilevel"/>
    <w:tmpl w:val="195AF042"/>
    <w:lvl w:ilvl="0" w:tplc="864A5026">
      <w:start w:val="1"/>
      <w:numFmt w:val="lowerLetter"/>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318D3B73"/>
    <w:multiLevelType w:val="hybridMultilevel"/>
    <w:tmpl w:val="6F464806"/>
    <w:lvl w:ilvl="0" w:tplc="6388BED4">
      <w:start w:val="1"/>
      <w:numFmt w:val="lowerRoman"/>
      <w:lvlText w:val="(%1)"/>
      <w:lvlJc w:val="left"/>
      <w:pPr>
        <w:ind w:left="720" w:hanging="720"/>
      </w:pPr>
      <w:rPr>
        <w:rFonts w:hint="default"/>
        <w:b w:val="0"/>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7E1E1A"/>
    <w:multiLevelType w:val="hybridMultilevel"/>
    <w:tmpl w:val="E5D0DD6E"/>
    <w:lvl w:ilvl="0" w:tplc="199E3AAA">
      <w:start w:val="1"/>
      <w:numFmt w:val="lowerLetter"/>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15:restartNumberingAfterBreak="0">
    <w:nsid w:val="35D020FD"/>
    <w:multiLevelType w:val="hybridMultilevel"/>
    <w:tmpl w:val="69487CE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3DAC2D17"/>
    <w:multiLevelType w:val="multilevel"/>
    <w:tmpl w:val="080A0027"/>
    <w:lvl w:ilvl="0">
      <w:start w:val="1"/>
      <w:numFmt w:val="upperRoman"/>
      <w:pStyle w:val="Ttulo1"/>
      <w:lvlText w:val="%1."/>
      <w:lvlJc w:val="left"/>
      <w:pPr>
        <w:tabs>
          <w:tab w:val="num" w:pos="360"/>
        </w:tabs>
        <w:ind w:left="0" w:firstLine="0"/>
      </w:pPr>
      <w:rPr>
        <w:rFonts w:hint="default"/>
        <w:b/>
        <w:i w:val="0"/>
        <w:sz w:val="28"/>
        <w:szCs w:val="28"/>
      </w:rPr>
    </w:lvl>
    <w:lvl w:ilvl="1">
      <w:start w:val="1"/>
      <w:numFmt w:val="upperLetter"/>
      <w:pStyle w:val="Ttulo2"/>
      <w:lvlText w:val="%2."/>
      <w:lvlJc w:val="left"/>
      <w:pPr>
        <w:tabs>
          <w:tab w:val="num" w:pos="1080"/>
        </w:tabs>
        <w:ind w:left="720" w:firstLine="0"/>
      </w:pPr>
      <w:rPr>
        <w:rFonts w:hint="default"/>
      </w:rPr>
    </w:lvl>
    <w:lvl w:ilvl="2">
      <w:start w:val="1"/>
      <w:numFmt w:val="decimal"/>
      <w:pStyle w:val="Ttulo3"/>
      <w:lvlText w:val="%3."/>
      <w:lvlJc w:val="left"/>
      <w:pPr>
        <w:tabs>
          <w:tab w:val="num" w:pos="1800"/>
        </w:tabs>
        <w:ind w:left="1440" w:firstLine="0"/>
      </w:pPr>
      <w:rPr>
        <w:rFonts w:hint="default"/>
      </w:rPr>
    </w:lvl>
    <w:lvl w:ilvl="3">
      <w:start w:val="1"/>
      <w:numFmt w:val="lowerLetter"/>
      <w:pStyle w:val="Ttulo4"/>
      <w:lvlText w:val="%4)"/>
      <w:lvlJc w:val="left"/>
      <w:pPr>
        <w:tabs>
          <w:tab w:val="num" w:pos="2520"/>
        </w:tabs>
        <w:ind w:left="2160" w:firstLine="0"/>
      </w:pPr>
      <w:rPr>
        <w:rFonts w:hint="default"/>
      </w:rPr>
    </w:lvl>
    <w:lvl w:ilvl="4">
      <w:start w:val="1"/>
      <w:numFmt w:val="decimal"/>
      <w:pStyle w:val="Ttulo5"/>
      <w:lvlText w:val="(%5)"/>
      <w:lvlJc w:val="left"/>
      <w:pPr>
        <w:tabs>
          <w:tab w:val="num" w:pos="3240"/>
        </w:tabs>
        <w:ind w:left="2880" w:firstLine="0"/>
      </w:pPr>
      <w:rPr>
        <w:rFonts w:hint="default"/>
      </w:rPr>
    </w:lvl>
    <w:lvl w:ilvl="5">
      <w:start w:val="1"/>
      <w:numFmt w:val="lowerLetter"/>
      <w:pStyle w:val="Ttulo6"/>
      <w:lvlText w:val="(%6)"/>
      <w:lvlJc w:val="left"/>
      <w:pPr>
        <w:tabs>
          <w:tab w:val="num" w:pos="3960"/>
        </w:tabs>
        <w:ind w:left="3600" w:firstLine="0"/>
      </w:pPr>
      <w:rPr>
        <w:rFonts w:hint="default"/>
      </w:rPr>
    </w:lvl>
    <w:lvl w:ilvl="6">
      <w:start w:val="1"/>
      <w:numFmt w:val="lowerRoman"/>
      <w:pStyle w:val="Ttulo7"/>
      <w:lvlText w:val="(%7)"/>
      <w:lvlJc w:val="left"/>
      <w:pPr>
        <w:tabs>
          <w:tab w:val="num" w:pos="4680"/>
        </w:tabs>
        <w:ind w:left="4320" w:firstLine="0"/>
      </w:pPr>
      <w:rPr>
        <w:rFonts w:hint="default"/>
      </w:rPr>
    </w:lvl>
    <w:lvl w:ilvl="7">
      <w:start w:val="1"/>
      <w:numFmt w:val="lowerLetter"/>
      <w:pStyle w:val="Ttulo8"/>
      <w:lvlText w:val="(%8)"/>
      <w:lvlJc w:val="left"/>
      <w:pPr>
        <w:tabs>
          <w:tab w:val="num" w:pos="5400"/>
        </w:tabs>
        <w:ind w:left="5040" w:firstLine="0"/>
      </w:pPr>
      <w:rPr>
        <w:rFonts w:hint="default"/>
      </w:rPr>
    </w:lvl>
    <w:lvl w:ilvl="8">
      <w:start w:val="1"/>
      <w:numFmt w:val="lowerRoman"/>
      <w:pStyle w:val="Ttulo9"/>
      <w:lvlText w:val="(%9)"/>
      <w:lvlJc w:val="left"/>
      <w:pPr>
        <w:tabs>
          <w:tab w:val="num" w:pos="6120"/>
        </w:tabs>
        <w:ind w:left="5760" w:firstLine="0"/>
      </w:pPr>
      <w:rPr>
        <w:rFonts w:hint="default"/>
      </w:rPr>
    </w:lvl>
  </w:abstractNum>
  <w:abstractNum w:abstractNumId="1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50854227"/>
    <w:multiLevelType w:val="hybridMultilevel"/>
    <w:tmpl w:val="D4542102"/>
    <w:lvl w:ilvl="0" w:tplc="B0E60088">
      <w:start w:val="1"/>
      <w:numFmt w:val="lowerRoman"/>
      <w:lvlText w:val="%1)"/>
      <w:lvlJc w:val="left"/>
      <w:pPr>
        <w:tabs>
          <w:tab w:val="num" w:pos="1080"/>
        </w:tabs>
        <w:ind w:left="1080" w:hanging="720"/>
      </w:pPr>
      <w:rPr>
        <w:rFonts w:hint="default"/>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7" w15:restartNumberingAfterBreak="0">
    <w:nsid w:val="50A51052"/>
    <w:multiLevelType w:val="hybridMultilevel"/>
    <w:tmpl w:val="7FA0C0A8"/>
    <w:lvl w:ilvl="0" w:tplc="BA54D6B6">
      <w:start w:val="1"/>
      <w:numFmt w:val="lowerLetter"/>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52F41B34"/>
    <w:multiLevelType w:val="multilevel"/>
    <w:tmpl w:val="A3DE2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143B48"/>
    <w:multiLevelType w:val="hybridMultilevel"/>
    <w:tmpl w:val="1888776A"/>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8155FF0"/>
    <w:multiLevelType w:val="hybridMultilevel"/>
    <w:tmpl w:val="0B66AD4A"/>
    <w:lvl w:ilvl="0" w:tplc="240A0011">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2" w15:restartNumberingAfterBreak="0">
    <w:nsid w:val="664E7E45"/>
    <w:multiLevelType w:val="hybridMultilevel"/>
    <w:tmpl w:val="EDE2AF5C"/>
    <w:lvl w:ilvl="0" w:tplc="E842EB00">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4" w15:restartNumberingAfterBreak="0">
    <w:nsid w:val="6C747154"/>
    <w:multiLevelType w:val="hybridMultilevel"/>
    <w:tmpl w:val="EFCAB862"/>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cs="Times New Roman"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cs="Times New Roman"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cs="Times New Roman" w:hint="default"/>
      </w:rPr>
    </w:lvl>
    <w:lvl w:ilvl="8" w:tplc="477E1BD4">
      <w:start w:val="1"/>
      <w:numFmt w:val="bullet"/>
      <w:lvlText w:val=""/>
      <w:lvlJc w:val="left"/>
      <w:pPr>
        <w:ind w:left="6480" w:hanging="360"/>
      </w:pPr>
      <w:rPr>
        <w:rFonts w:ascii="Wingdings" w:hAnsi="Wingdings" w:hint="default"/>
      </w:rPr>
    </w:lvl>
  </w:abstractNum>
  <w:abstractNum w:abstractNumId="25" w15:restartNumberingAfterBreak="0">
    <w:nsid w:val="70053A3C"/>
    <w:multiLevelType w:val="hybridMultilevel"/>
    <w:tmpl w:val="B6AC8E9A"/>
    <w:lvl w:ilvl="0" w:tplc="240A0013">
      <w:start w:val="1"/>
      <w:numFmt w:val="upperRoman"/>
      <w:lvlText w:val="%1."/>
      <w:lvlJc w:val="right"/>
      <w:pPr>
        <w:ind w:left="720" w:hanging="360"/>
      </w:pPr>
      <w:rPr>
        <w:rFonts w:hint="default"/>
      </w:rPr>
    </w:lvl>
    <w:lvl w:ilvl="1" w:tplc="0EE49D9C">
      <w:start w:val="1"/>
      <w:numFmt w:val="bullet"/>
      <w:lvlText w:val="o"/>
      <w:lvlJc w:val="left"/>
      <w:pPr>
        <w:ind w:left="1440" w:hanging="360"/>
      </w:pPr>
      <w:rPr>
        <w:rFonts w:ascii="Courier New" w:hAnsi="Courier New" w:hint="default"/>
      </w:rPr>
    </w:lvl>
    <w:lvl w:ilvl="2" w:tplc="F5DE03CA">
      <w:start w:val="1"/>
      <w:numFmt w:val="bullet"/>
      <w:lvlText w:val=""/>
      <w:lvlJc w:val="left"/>
      <w:pPr>
        <w:ind w:left="2160" w:hanging="360"/>
      </w:pPr>
      <w:rPr>
        <w:rFonts w:ascii="Wingdings" w:hAnsi="Wingdings" w:hint="default"/>
      </w:rPr>
    </w:lvl>
    <w:lvl w:ilvl="3" w:tplc="A288AAB6">
      <w:start w:val="1"/>
      <w:numFmt w:val="bullet"/>
      <w:lvlText w:val=""/>
      <w:lvlJc w:val="left"/>
      <w:pPr>
        <w:ind w:left="2880" w:hanging="360"/>
      </w:pPr>
      <w:rPr>
        <w:rFonts w:ascii="Symbol" w:hAnsi="Symbol" w:hint="default"/>
      </w:rPr>
    </w:lvl>
    <w:lvl w:ilvl="4" w:tplc="81DAFD16">
      <w:start w:val="1"/>
      <w:numFmt w:val="bullet"/>
      <w:lvlText w:val="o"/>
      <w:lvlJc w:val="left"/>
      <w:pPr>
        <w:ind w:left="3600" w:hanging="360"/>
      </w:pPr>
      <w:rPr>
        <w:rFonts w:ascii="Courier New" w:hAnsi="Courier New" w:hint="default"/>
      </w:rPr>
    </w:lvl>
    <w:lvl w:ilvl="5" w:tplc="D540ACF6">
      <w:start w:val="1"/>
      <w:numFmt w:val="bullet"/>
      <w:lvlText w:val=""/>
      <w:lvlJc w:val="left"/>
      <w:pPr>
        <w:ind w:left="4320" w:hanging="360"/>
      </w:pPr>
      <w:rPr>
        <w:rFonts w:ascii="Wingdings" w:hAnsi="Wingdings" w:hint="default"/>
      </w:rPr>
    </w:lvl>
    <w:lvl w:ilvl="6" w:tplc="CE02DD38">
      <w:start w:val="1"/>
      <w:numFmt w:val="bullet"/>
      <w:lvlText w:val=""/>
      <w:lvlJc w:val="left"/>
      <w:pPr>
        <w:ind w:left="5040" w:hanging="360"/>
      </w:pPr>
      <w:rPr>
        <w:rFonts w:ascii="Symbol" w:hAnsi="Symbol" w:hint="default"/>
      </w:rPr>
    </w:lvl>
    <w:lvl w:ilvl="7" w:tplc="63564B5A">
      <w:start w:val="1"/>
      <w:numFmt w:val="bullet"/>
      <w:lvlText w:val="o"/>
      <w:lvlJc w:val="left"/>
      <w:pPr>
        <w:ind w:left="5760" w:hanging="360"/>
      </w:pPr>
      <w:rPr>
        <w:rFonts w:ascii="Courier New" w:hAnsi="Courier New" w:hint="default"/>
      </w:rPr>
    </w:lvl>
    <w:lvl w:ilvl="8" w:tplc="477E1BD4">
      <w:start w:val="1"/>
      <w:numFmt w:val="bullet"/>
      <w:lvlText w:val=""/>
      <w:lvlJc w:val="left"/>
      <w:pPr>
        <w:ind w:left="6480" w:hanging="360"/>
      </w:pPr>
      <w:rPr>
        <w:rFonts w:ascii="Wingdings" w:hAnsi="Wingdings" w:hint="default"/>
      </w:rPr>
    </w:lvl>
  </w:abstractNum>
  <w:abstractNum w:abstractNumId="26" w15:restartNumberingAfterBreak="0">
    <w:nsid w:val="748E3ACF"/>
    <w:multiLevelType w:val="hybridMultilevel"/>
    <w:tmpl w:val="E1BEC994"/>
    <w:lvl w:ilvl="0" w:tplc="717067A0">
      <w:start w:val="1"/>
      <w:numFmt w:val="lowerLetter"/>
      <w:lvlText w:val="%1)"/>
      <w:lvlJc w:val="left"/>
      <w:pPr>
        <w:ind w:left="1080" w:hanging="360"/>
      </w:pPr>
      <w:rPr>
        <w:rFonts w:hint="default"/>
        <w:b/>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7" w15:restartNumberingAfterBreak="0">
    <w:nsid w:val="7DDB11D6"/>
    <w:multiLevelType w:val="hybridMultilevel"/>
    <w:tmpl w:val="35A8EA74"/>
    <w:lvl w:ilvl="0" w:tplc="27A090D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300919297">
    <w:abstractNumId w:val="11"/>
  </w:num>
  <w:num w:numId="2" w16cid:durableId="1638072548">
    <w:abstractNumId w:val="9"/>
  </w:num>
  <w:num w:numId="3" w16cid:durableId="1985965681">
    <w:abstractNumId w:val="15"/>
  </w:num>
  <w:num w:numId="4" w16cid:durableId="1852572059">
    <w:abstractNumId w:val="21"/>
  </w:num>
  <w:num w:numId="5" w16cid:durableId="2028405628">
    <w:abstractNumId w:val="23"/>
  </w:num>
  <w:num w:numId="6" w16cid:durableId="806624085">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18726618">
    <w:abstractNumId w:val="6"/>
  </w:num>
  <w:num w:numId="8" w16cid:durableId="437873152">
    <w:abstractNumId w:val="24"/>
  </w:num>
  <w:num w:numId="9" w16cid:durableId="1986204149">
    <w:abstractNumId w:val="6"/>
    <w:lvlOverride w:ilvl="0">
      <w:startOverride w:val="1"/>
    </w:lvlOverride>
  </w:num>
  <w:num w:numId="10" w16cid:durableId="1047877416">
    <w:abstractNumId w:val="25"/>
  </w:num>
  <w:num w:numId="11" w16cid:durableId="1754472763">
    <w:abstractNumId w:val="7"/>
  </w:num>
  <w:num w:numId="12" w16cid:durableId="388118580">
    <w:abstractNumId w:val="2"/>
  </w:num>
  <w:num w:numId="13" w16cid:durableId="1071005814">
    <w:abstractNumId w:val="4"/>
  </w:num>
  <w:num w:numId="14" w16cid:durableId="1999994759">
    <w:abstractNumId w:val="20"/>
  </w:num>
  <w:num w:numId="15" w16cid:durableId="1949576845">
    <w:abstractNumId w:val="13"/>
  </w:num>
  <w:num w:numId="16" w16cid:durableId="509220324">
    <w:abstractNumId w:val="10"/>
  </w:num>
  <w:num w:numId="17" w16cid:durableId="1208493969">
    <w:abstractNumId w:val="14"/>
  </w:num>
  <w:num w:numId="18" w16cid:durableId="822813336">
    <w:abstractNumId w:val="16"/>
  </w:num>
  <w:num w:numId="19" w16cid:durableId="587270979">
    <w:abstractNumId w:val="5"/>
  </w:num>
  <w:num w:numId="20" w16cid:durableId="1560750570">
    <w:abstractNumId w:val="27"/>
  </w:num>
  <w:num w:numId="21" w16cid:durableId="1421416413">
    <w:abstractNumId w:val="22"/>
  </w:num>
  <w:num w:numId="22" w16cid:durableId="1944146250">
    <w:abstractNumId w:val="18"/>
  </w:num>
  <w:num w:numId="23" w16cid:durableId="1823539266">
    <w:abstractNumId w:val="17"/>
  </w:num>
  <w:num w:numId="24" w16cid:durableId="364522815">
    <w:abstractNumId w:val="8"/>
  </w:num>
  <w:num w:numId="25" w16cid:durableId="536893954">
    <w:abstractNumId w:val="19"/>
  </w:num>
  <w:num w:numId="26" w16cid:durableId="1721511768">
    <w:abstractNumId w:val="1"/>
  </w:num>
  <w:num w:numId="27" w16cid:durableId="1187475843">
    <w:abstractNumId w:val="12"/>
  </w:num>
  <w:num w:numId="28" w16cid:durableId="1696268403">
    <w:abstractNumId w:val="26"/>
  </w:num>
  <w:num w:numId="29" w16cid:durableId="19562509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739"/>
    <w:rsid w:val="0000210D"/>
    <w:rsid w:val="0000268F"/>
    <w:rsid w:val="000029BC"/>
    <w:rsid w:val="000031A6"/>
    <w:rsid w:val="0000404B"/>
    <w:rsid w:val="00004F5E"/>
    <w:rsid w:val="0000572B"/>
    <w:rsid w:val="00006285"/>
    <w:rsid w:val="0000645E"/>
    <w:rsid w:val="0000682D"/>
    <w:rsid w:val="00006906"/>
    <w:rsid w:val="00007FDF"/>
    <w:rsid w:val="000105E2"/>
    <w:rsid w:val="00010981"/>
    <w:rsid w:val="00011726"/>
    <w:rsid w:val="00011E78"/>
    <w:rsid w:val="000123BA"/>
    <w:rsid w:val="000126BB"/>
    <w:rsid w:val="00012A1B"/>
    <w:rsid w:val="000136DC"/>
    <w:rsid w:val="0001574B"/>
    <w:rsid w:val="000165EE"/>
    <w:rsid w:val="00016F33"/>
    <w:rsid w:val="00016FAC"/>
    <w:rsid w:val="0001704E"/>
    <w:rsid w:val="0001726A"/>
    <w:rsid w:val="0001794A"/>
    <w:rsid w:val="0001795B"/>
    <w:rsid w:val="00020801"/>
    <w:rsid w:val="00020D8D"/>
    <w:rsid w:val="00024BE5"/>
    <w:rsid w:val="00025A4D"/>
    <w:rsid w:val="00026AD9"/>
    <w:rsid w:val="00027121"/>
    <w:rsid w:val="000271AD"/>
    <w:rsid w:val="000271FE"/>
    <w:rsid w:val="00027555"/>
    <w:rsid w:val="00027940"/>
    <w:rsid w:val="00027E9A"/>
    <w:rsid w:val="00027F74"/>
    <w:rsid w:val="000303EC"/>
    <w:rsid w:val="0003041B"/>
    <w:rsid w:val="00030C1F"/>
    <w:rsid w:val="0003107B"/>
    <w:rsid w:val="00031D2D"/>
    <w:rsid w:val="00034F55"/>
    <w:rsid w:val="00035AC7"/>
    <w:rsid w:val="00036083"/>
    <w:rsid w:val="000365C0"/>
    <w:rsid w:val="00036FF6"/>
    <w:rsid w:val="00037112"/>
    <w:rsid w:val="000465F7"/>
    <w:rsid w:val="00046F46"/>
    <w:rsid w:val="000471AA"/>
    <w:rsid w:val="0004770A"/>
    <w:rsid w:val="000503A1"/>
    <w:rsid w:val="00050E2C"/>
    <w:rsid w:val="00051590"/>
    <w:rsid w:val="000519BC"/>
    <w:rsid w:val="000522B1"/>
    <w:rsid w:val="0005275D"/>
    <w:rsid w:val="000527A5"/>
    <w:rsid w:val="00052CE1"/>
    <w:rsid w:val="00053983"/>
    <w:rsid w:val="00053991"/>
    <w:rsid w:val="00054072"/>
    <w:rsid w:val="00054C6E"/>
    <w:rsid w:val="00054E46"/>
    <w:rsid w:val="00055141"/>
    <w:rsid w:val="00055451"/>
    <w:rsid w:val="00055B28"/>
    <w:rsid w:val="00056024"/>
    <w:rsid w:val="00056809"/>
    <w:rsid w:val="000568C7"/>
    <w:rsid w:val="00057953"/>
    <w:rsid w:val="00061727"/>
    <w:rsid w:val="00061C7B"/>
    <w:rsid w:val="0006235E"/>
    <w:rsid w:val="0006293E"/>
    <w:rsid w:val="0006331A"/>
    <w:rsid w:val="00063E52"/>
    <w:rsid w:val="000641BE"/>
    <w:rsid w:val="00064542"/>
    <w:rsid w:val="00065E1A"/>
    <w:rsid w:val="0006625D"/>
    <w:rsid w:val="00067665"/>
    <w:rsid w:val="00070770"/>
    <w:rsid w:val="00070A22"/>
    <w:rsid w:val="00071D6E"/>
    <w:rsid w:val="000743C2"/>
    <w:rsid w:val="0007460B"/>
    <w:rsid w:val="000751BB"/>
    <w:rsid w:val="0007590A"/>
    <w:rsid w:val="0007639B"/>
    <w:rsid w:val="00077D20"/>
    <w:rsid w:val="00077E04"/>
    <w:rsid w:val="00077E1C"/>
    <w:rsid w:val="000802F7"/>
    <w:rsid w:val="00080D35"/>
    <w:rsid w:val="00081AF3"/>
    <w:rsid w:val="00081B2F"/>
    <w:rsid w:val="00081E50"/>
    <w:rsid w:val="0008260E"/>
    <w:rsid w:val="000828E9"/>
    <w:rsid w:val="00083BE4"/>
    <w:rsid w:val="00084DC0"/>
    <w:rsid w:val="0008592F"/>
    <w:rsid w:val="00085CC3"/>
    <w:rsid w:val="0008644C"/>
    <w:rsid w:val="00086C08"/>
    <w:rsid w:val="000873C1"/>
    <w:rsid w:val="00087597"/>
    <w:rsid w:val="00087888"/>
    <w:rsid w:val="000909EC"/>
    <w:rsid w:val="00090D35"/>
    <w:rsid w:val="000914F4"/>
    <w:rsid w:val="0009180B"/>
    <w:rsid w:val="000932C2"/>
    <w:rsid w:val="000939E0"/>
    <w:rsid w:val="00093D35"/>
    <w:rsid w:val="0009402D"/>
    <w:rsid w:val="000942EB"/>
    <w:rsid w:val="000953A7"/>
    <w:rsid w:val="0009651A"/>
    <w:rsid w:val="00096EAB"/>
    <w:rsid w:val="0009712F"/>
    <w:rsid w:val="000972BA"/>
    <w:rsid w:val="000976FD"/>
    <w:rsid w:val="00097ABD"/>
    <w:rsid w:val="000A15CB"/>
    <w:rsid w:val="000A1B81"/>
    <w:rsid w:val="000A2C01"/>
    <w:rsid w:val="000A4D0D"/>
    <w:rsid w:val="000A5189"/>
    <w:rsid w:val="000A668C"/>
    <w:rsid w:val="000A66CF"/>
    <w:rsid w:val="000A7438"/>
    <w:rsid w:val="000A7654"/>
    <w:rsid w:val="000A7977"/>
    <w:rsid w:val="000A7E46"/>
    <w:rsid w:val="000B103F"/>
    <w:rsid w:val="000B1C28"/>
    <w:rsid w:val="000B1D3F"/>
    <w:rsid w:val="000B2DA6"/>
    <w:rsid w:val="000B3893"/>
    <w:rsid w:val="000B3F99"/>
    <w:rsid w:val="000B41CF"/>
    <w:rsid w:val="000B4DB0"/>
    <w:rsid w:val="000B4FC6"/>
    <w:rsid w:val="000B53D0"/>
    <w:rsid w:val="000B60FA"/>
    <w:rsid w:val="000B680C"/>
    <w:rsid w:val="000B707E"/>
    <w:rsid w:val="000C00B6"/>
    <w:rsid w:val="000C0B7C"/>
    <w:rsid w:val="000C21BA"/>
    <w:rsid w:val="000C2DD2"/>
    <w:rsid w:val="000C510D"/>
    <w:rsid w:val="000C6347"/>
    <w:rsid w:val="000C7235"/>
    <w:rsid w:val="000C73E5"/>
    <w:rsid w:val="000C755D"/>
    <w:rsid w:val="000C7BB6"/>
    <w:rsid w:val="000D0148"/>
    <w:rsid w:val="000D05AD"/>
    <w:rsid w:val="000D0AFA"/>
    <w:rsid w:val="000D1155"/>
    <w:rsid w:val="000D17D2"/>
    <w:rsid w:val="000D28E0"/>
    <w:rsid w:val="000D2ADD"/>
    <w:rsid w:val="000D457E"/>
    <w:rsid w:val="000D58C2"/>
    <w:rsid w:val="000D7AF8"/>
    <w:rsid w:val="000E0386"/>
    <w:rsid w:val="000E093F"/>
    <w:rsid w:val="000E1761"/>
    <w:rsid w:val="000E182B"/>
    <w:rsid w:val="000E190F"/>
    <w:rsid w:val="000E1F13"/>
    <w:rsid w:val="000E24E1"/>
    <w:rsid w:val="000E272E"/>
    <w:rsid w:val="000E32F8"/>
    <w:rsid w:val="000E331F"/>
    <w:rsid w:val="000E33BC"/>
    <w:rsid w:val="000E4B6B"/>
    <w:rsid w:val="000E5299"/>
    <w:rsid w:val="000E576C"/>
    <w:rsid w:val="000E59C2"/>
    <w:rsid w:val="000E68FA"/>
    <w:rsid w:val="000E6962"/>
    <w:rsid w:val="000E6D84"/>
    <w:rsid w:val="000F14E8"/>
    <w:rsid w:val="000F17FC"/>
    <w:rsid w:val="000F1B4B"/>
    <w:rsid w:val="000F1D24"/>
    <w:rsid w:val="000F354B"/>
    <w:rsid w:val="000F3B04"/>
    <w:rsid w:val="000F3C44"/>
    <w:rsid w:val="000F3D91"/>
    <w:rsid w:val="000F6869"/>
    <w:rsid w:val="000F78F4"/>
    <w:rsid w:val="000F7AE4"/>
    <w:rsid w:val="001000EC"/>
    <w:rsid w:val="0010107D"/>
    <w:rsid w:val="001015E9"/>
    <w:rsid w:val="001017F1"/>
    <w:rsid w:val="001024CE"/>
    <w:rsid w:val="00102AA1"/>
    <w:rsid w:val="00103915"/>
    <w:rsid w:val="00103D3D"/>
    <w:rsid w:val="00104423"/>
    <w:rsid w:val="001046CB"/>
    <w:rsid w:val="00105B6D"/>
    <w:rsid w:val="001065D1"/>
    <w:rsid w:val="00106AC5"/>
    <w:rsid w:val="00106B75"/>
    <w:rsid w:val="001112CF"/>
    <w:rsid w:val="00111438"/>
    <w:rsid w:val="00111636"/>
    <w:rsid w:val="00112192"/>
    <w:rsid w:val="00112D2F"/>
    <w:rsid w:val="00112D6B"/>
    <w:rsid w:val="00113653"/>
    <w:rsid w:val="001139AE"/>
    <w:rsid w:val="00114236"/>
    <w:rsid w:val="001149F4"/>
    <w:rsid w:val="00114E2B"/>
    <w:rsid w:val="001152BA"/>
    <w:rsid w:val="0011561C"/>
    <w:rsid w:val="0011730D"/>
    <w:rsid w:val="001214FF"/>
    <w:rsid w:val="001229C6"/>
    <w:rsid w:val="00122B23"/>
    <w:rsid w:val="00123C67"/>
    <w:rsid w:val="00124E73"/>
    <w:rsid w:val="00124EC3"/>
    <w:rsid w:val="00124EE5"/>
    <w:rsid w:val="00125291"/>
    <w:rsid w:val="00125D4C"/>
    <w:rsid w:val="00126204"/>
    <w:rsid w:val="0012687C"/>
    <w:rsid w:val="0012754A"/>
    <w:rsid w:val="00127BA6"/>
    <w:rsid w:val="0013045B"/>
    <w:rsid w:val="00130518"/>
    <w:rsid w:val="001310A5"/>
    <w:rsid w:val="001316AB"/>
    <w:rsid w:val="00131ADF"/>
    <w:rsid w:val="0013236F"/>
    <w:rsid w:val="001332D0"/>
    <w:rsid w:val="00133FC2"/>
    <w:rsid w:val="00134030"/>
    <w:rsid w:val="001344AA"/>
    <w:rsid w:val="001355F5"/>
    <w:rsid w:val="00137BA1"/>
    <w:rsid w:val="00137FFA"/>
    <w:rsid w:val="00140015"/>
    <w:rsid w:val="001406ED"/>
    <w:rsid w:val="00141C42"/>
    <w:rsid w:val="00141E84"/>
    <w:rsid w:val="00141F99"/>
    <w:rsid w:val="001420C8"/>
    <w:rsid w:val="001425C5"/>
    <w:rsid w:val="001448B5"/>
    <w:rsid w:val="0014582F"/>
    <w:rsid w:val="00145AAA"/>
    <w:rsid w:val="00146E1D"/>
    <w:rsid w:val="00147605"/>
    <w:rsid w:val="00147E00"/>
    <w:rsid w:val="001509CD"/>
    <w:rsid w:val="00151D31"/>
    <w:rsid w:val="001520A3"/>
    <w:rsid w:val="00152609"/>
    <w:rsid w:val="00152C65"/>
    <w:rsid w:val="00152CA8"/>
    <w:rsid w:val="0015382E"/>
    <w:rsid w:val="00154879"/>
    <w:rsid w:val="00154A20"/>
    <w:rsid w:val="001550CF"/>
    <w:rsid w:val="001554A4"/>
    <w:rsid w:val="001568EE"/>
    <w:rsid w:val="00156D50"/>
    <w:rsid w:val="00156DAF"/>
    <w:rsid w:val="0015784C"/>
    <w:rsid w:val="00160F84"/>
    <w:rsid w:val="0016135A"/>
    <w:rsid w:val="0016149E"/>
    <w:rsid w:val="00161D78"/>
    <w:rsid w:val="0016262F"/>
    <w:rsid w:val="0016264F"/>
    <w:rsid w:val="0016397F"/>
    <w:rsid w:val="001650A0"/>
    <w:rsid w:val="00165EA8"/>
    <w:rsid w:val="0016680A"/>
    <w:rsid w:val="00167B9D"/>
    <w:rsid w:val="00167F0C"/>
    <w:rsid w:val="00170733"/>
    <w:rsid w:val="00170813"/>
    <w:rsid w:val="00170C89"/>
    <w:rsid w:val="00170E51"/>
    <w:rsid w:val="00172B2A"/>
    <w:rsid w:val="00172E0A"/>
    <w:rsid w:val="00173980"/>
    <w:rsid w:val="00173D30"/>
    <w:rsid w:val="00174107"/>
    <w:rsid w:val="00174FBC"/>
    <w:rsid w:val="0017528B"/>
    <w:rsid w:val="001755EC"/>
    <w:rsid w:val="00175795"/>
    <w:rsid w:val="001770E9"/>
    <w:rsid w:val="00177BAA"/>
    <w:rsid w:val="00180B3B"/>
    <w:rsid w:val="00182855"/>
    <w:rsid w:val="00182C6C"/>
    <w:rsid w:val="00183DD7"/>
    <w:rsid w:val="00184A68"/>
    <w:rsid w:val="00184E93"/>
    <w:rsid w:val="001857DA"/>
    <w:rsid w:val="00186253"/>
    <w:rsid w:val="00186B95"/>
    <w:rsid w:val="00186D8E"/>
    <w:rsid w:val="001900CF"/>
    <w:rsid w:val="00190205"/>
    <w:rsid w:val="001918D6"/>
    <w:rsid w:val="00192341"/>
    <w:rsid w:val="00192D85"/>
    <w:rsid w:val="001939B7"/>
    <w:rsid w:val="0019596D"/>
    <w:rsid w:val="00195A58"/>
    <w:rsid w:val="00195EDB"/>
    <w:rsid w:val="0019626E"/>
    <w:rsid w:val="001963C6"/>
    <w:rsid w:val="0019713D"/>
    <w:rsid w:val="0019745D"/>
    <w:rsid w:val="001A028B"/>
    <w:rsid w:val="001A0467"/>
    <w:rsid w:val="001A08F7"/>
    <w:rsid w:val="001A0DF1"/>
    <w:rsid w:val="001A0EC0"/>
    <w:rsid w:val="001A26FC"/>
    <w:rsid w:val="001A27D7"/>
    <w:rsid w:val="001A3721"/>
    <w:rsid w:val="001A387A"/>
    <w:rsid w:val="001A3F04"/>
    <w:rsid w:val="001A7176"/>
    <w:rsid w:val="001B0FEE"/>
    <w:rsid w:val="001B2EA0"/>
    <w:rsid w:val="001B2F7F"/>
    <w:rsid w:val="001B3306"/>
    <w:rsid w:val="001B38FB"/>
    <w:rsid w:val="001B4317"/>
    <w:rsid w:val="001B464A"/>
    <w:rsid w:val="001B4A46"/>
    <w:rsid w:val="001B4CC5"/>
    <w:rsid w:val="001B528A"/>
    <w:rsid w:val="001B53B4"/>
    <w:rsid w:val="001B59D6"/>
    <w:rsid w:val="001B6044"/>
    <w:rsid w:val="001B686F"/>
    <w:rsid w:val="001B7618"/>
    <w:rsid w:val="001B7DEA"/>
    <w:rsid w:val="001C1A26"/>
    <w:rsid w:val="001C219D"/>
    <w:rsid w:val="001C33CB"/>
    <w:rsid w:val="001C398F"/>
    <w:rsid w:val="001C5292"/>
    <w:rsid w:val="001C722C"/>
    <w:rsid w:val="001C75C0"/>
    <w:rsid w:val="001C775D"/>
    <w:rsid w:val="001D0988"/>
    <w:rsid w:val="001D172E"/>
    <w:rsid w:val="001D1FD0"/>
    <w:rsid w:val="001D2E79"/>
    <w:rsid w:val="001D5E4D"/>
    <w:rsid w:val="001D64EC"/>
    <w:rsid w:val="001D6B16"/>
    <w:rsid w:val="001D7B74"/>
    <w:rsid w:val="001E0042"/>
    <w:rsid w:val="001E008B"/>
    <w:rsid w:val="001E0545"/>
    <w:rsid w:val="001E0849"/>
    <w:rsid w:val="001E118B"/>
    <w:rsid w:val="001E1988"/>
    <w:rsid w:val="001E1A13"/>
    <w:rsid w:val="001E3041"/>
    <w:rsid w:val="001E3B90"/>
    <w:rsid w:val="001E3E0C"/>
    <w:rsid w:val="001E4117"/>
    <w:rsid w:val="001E453C"/>
    <w:rsid w:val="001E4A2B"/>
    <w:rsid w:val="001E4FA3"/>
    <w:rsid w:val="001E505B"/>
    <w:rsid w:val="001E610D"/>
    <w:rsid w:val="001E6256"/>
    <w:rsid w:val="001E75AD"/>
    <w:rsid w:val="001F0524"/>
    <w:rsid w:val="001F0570"/>
    <w:rsid w:val="001F13B9"/>
    <w:rsid w:val="001F140A"/>
    <w:rsid w:val="001F1781"/>
    <w:rsid w:val="001F1AFA"/>
    <w:rsid w:val="001F267A"/>
    <w:rsid w:val="001F2756"/>
    <w:rsid w:val="001F2AD0"/>
    <w:rsid w:val="001F2FC2"/>
    <w:rsid w:val="001F3D53"/>
    <w:rsid w:val="001F416A"/>
    <w:rsid w:val="001F4316"/>
    <w:rsid w:val="001F4F3C"/>
    <w:rsid w:val="001F55B5"/>
    <w:rsid w:val="001F59AB"/>
    <w:rsid w:val="001F5E0A"/>
    <w:rsid w:val="001F62DC"/>
    <w:rsid w:val="001F63E1"/>
    <w:rsid w:val="001F6AAC"/>
    <w:rsid w:val="001F790E"/>
    <w:rsid w:val="002005CC"/>
    <w:rsid w:val="002007D2"/>
    <w:rsid w:val="00200F34"/>
    <w:rsid w:val="002021EB"/>
    <w:rsid w:val="00203F1A"/>
    <w:rsid w:val="00204114"/>
    <w:rsid w:val="00204C65"/>
    <w:rsid w:val="00204F6E"/>
    <w:rsid w:val="00204FCD"/>
    <w:rsid w:val="0020536A"/>
    <w:rsid w:val="002059AF"/>
    <w:rsid w:val="0020646E"/>
    <w:rsid w:val="00206BC8"/>
    <w:rsid w:val="00211909"/>
    <w:rsid w:val="002135F3"/>
    <w:rsid w:val="00214312"/>
    <w:rsid w:val="002146C0"/>
    <w:rsid w:val="00214A72"/>
    <w:rsid w:val="00215A2F"/>
    <w:rsid w:val="00215BB7"/>
    <w:rsid w:val="00215CA0"/>
    <w:rsid w:val="00216426"/>
    <w:rsid w:val="00216F1A"/>
    <w:rsid w:val="00217155"/>
    <w:rsid w:val="0021759E"/>
    <w:rsid w:val="00217662"/>
    <w:rsid w:val="0022085C"/>
    <w:rsid w:val="002208DC"/>
    <w:rsid w:val="002209D9"/>
    <w:rsid w:val="00220CE5"/>
    <w:rsid w:val="002215FF"/>
    <w:rsid w:val="002216AA"/>
    <w:rsid w:val="0022173B"/>
    <w:rsid w:val="002217B4"/>
    <w:rsid w:val="002226D4"/>
    <w:rsid w:val="002229F4"/>
    <w:rsid w:val="002236DB"/>
    <w:rsid w:val="00223AAB"/>
    <w:rsid w:val="00224570"/>
    <w:rsid w:val="00225A48"/>
    <w:rsid w:val="0022655C"/>
    <w:rsid w:val="0022678E"/>
    <w:rsid w:val="002272CA"/>
    <w:rsid w:val="00227541"/>
    <w:rsid w:val="00227D81"/>
    <w:rsid w:val="002311BD"/>
    <w:rsid w:val="0023158E"/>
    <w:rsid w:val="00231E50"/>
    <w:rsid w:val="0023236C"/>
    <w:rsid w:val="00233A24"/>
    <w:rsid w:val="00233DF3"/>
    <w:rsid w:val="0023484E"/>
    <w:rsid w:val="00234B84"/>
    <w:rsid w:val="00235B42"/>
    <w:rsid w:val="00236137"/>
    <w:rsid w:val="002361DA"/>
    <w:rsid w:val="00236740"/>
    <w:rsid w:val="00237253"/>
    <w:rsid w:val="00237329"/>
    <w:rsid w:val="00240225"/>
    <w:rsid w:val="00240A06"/>
    <w:rsid w:val="002416BA"/>
    <w:rsid w:val="002427B1"/>
    <w:rsid w:val="00242BD1"/>
    <w:rsid w:val="00244181"/>
    <w:rsid w:val="00244C00"/>
    <w:rsid w:val="00245141"/>
    <w:rsid w:val="0024535C"/>
    <w:rsid w:val="002457FD"/>
    <w:rsid w:val="00245C7E"/>
    <w:rsid w:val="00250718"/>
    <w:rsid w:val="00251445"/>
    <w:rsid w:val="0025237E"/>
    <w:rsid w:val="002523D6"/>
    <w:rsid w:val="00252AEC"/>
    <w:rsid w:val="00252D7E"/>
    <w:rsid w:val="00253276"/>
    <w:rsid w:val="002536AE"/>
    <w:rsid w:val="00253C1D"/>
    <w:rsid w:val="00254319"/>
    <w:rsid w:val="00254546"/>
    <w:rsid w:val="00254D37"/>
    <w:rsid w:val="002553F1"/>
    <w:rsid w:val="002563B9"/>
    <w:rsid w:val="0025685E"/>
    <w:rsid w:val="0025768C"/>
    <w:rsid w:val="00257BC1"/>
    <w:rsid w:val="00257C73"/>
    <w:rsid w:val="00261631"/>
    <w:rsid w:val="00264666"/>
    <w:rsid w:val="00264924"/>
    <w:rsid w:val="00264AE6"/>
    <w:rsid w:val="00265C96"/>
    <w:rsid w:val="00265CEB"/>
    <w:rsid w:val="00265ED0"/>
    <w:rsid w:val="00266E0C"/>
    <w:rsid w:val="00270234"/>
    <w:rsid w:val="0027071C"/>
    <w:rsid w:val="0027122E"/>
    <w:rsid w:val="00272C62"/>
    <w:rsid w:val="002755B8"/>
    <w:rsid w:val="00275701"/>
    <w:rsid w:val="00276521"/>
    <w:rsid w:val="00276C8E"/>
    <w:rsid w:val="00276D7E"/>
    <w:rsid w:val="00277428"/>
    <w:rsid w:val="002806C6"/>
    <w:rsid w:val="002812E1"/>
    <w:rsid w:val="00281E62"/>
    <w:rsid w:val="00281ED6"/>
    <w:rsid w:val="00282493"/>
    <w:rsid w:val="0028312F"/>
    <w:rsid w:val="00283380"/>
    <w:rsid w:val="00283E89"/>
    <w:rsid w:val="00284F66"/>
    <w:rsid w:val="00285D7E"/>
    <w:rsid w:val="00285D82"/>
    <w:rsid w:val="00285FED"/>
    <w:rsid w:val="00286660"/>
    <w:rsid w:val="00286A53"/>
    <w:rsid w:val="002872DE"/>
    <w:rsid w:val="00287542"/>
    <w:rsid w:val="002877E9"/>
    <w:rsid w:val="0029159E"/>
    <w:rsid w:val="002933BF"/>
    <w:rsid w:val="00293B18"/>
    <w:rsid w:val="00293EA5"/>
    <w:rsid w:val="00294801"/>
    <w:rsid w:val="00294EFD"/>
    <w:rsid w:val="00295540"/>
    <w:rsid w:val="0029562E"/>
    <w:rsid w:val="002956E0"/>
    <w:rsid w:val="00296D38"/>
    <w:rsid w:val="0029772C"/>
    <w:rsid w:val="002A1031"/>
    <w:rsid w:val="002A1308"/>
    <w:rsid w:val="002A3472"/>
    <w:rsid w:val="002A34C5"/>
    <w:rsid w:val="002A3C58"/>
    <w:rsid w:val="002A4F10"/>
    <w:rsid w:val="002A5454"/>
    <w:rsid w:val="002A632D"/>
    <w:rsid w:val="002A63F4"/>
    <w:rsid w:val="002A6A61"/>
    <w:rsid w:val="002B03FF"/>
    <w:rsid w:val="002B0B61"/>
    <w:rsid w:val="002B0CA6"/>
    <w:rsid w:val="002B0F8F"/>
    <w:rsid w:val="002B1AAF"/>
    <w:rsid w:val="002B1BDA"/>
    <w:rsid w:val="002B287D"/>
    <w:rsid w:val="002B36EB"/>
    <w:rsid w:val="002B3DA6"/>
    <w:rsid w:val="002B3F20"/>
    <w:rsid w:val="002B484D"/>
    <w:rsid w:val="002B4907"/>
    <w:rsid w:val="002B5092"/>
    <w:rsid w:val="002B50DA"/>
    <w:rsid w:val="002B5AD8"/>
    <w:rsid w:val="002B72C0"/>
    <w:rsid w:val="002B7DD1"/>
    <w:rsid w:val="002C05A7"/>
    <w:rsid w:val="002C087E"/>
    <w:rsid w:val="002C09B8"/>
    <w:rsid w:val="002C27C5"/>
    <w:rsid w:val="002C2BF2"/>
    <w:rsid w:val="002C4BB5"/>
    <w:rsid w:val="002C6D5B"/>
    <w:rsid w:val="002C7E7F"/>
    <w:rsid w:val="002D0C96"/>
    <w:rsid w:val="002D2D19"/>
    <w:rsid w:val="002D3456"/>
    <w:rsid w:val="002D4BB3"/>
    <w:rsid w:val="002D55BD"/>
    <w:rsid w:val="002D5D70"/>
    <w:rsid w:val="002D6942"/>
    <w:rsid w:val="002D7A44"/>
    <w:rsid w:val="002D7E62"/>
    <w:rsid w:val="002D7F92"/>
    <w:rsid w:val="002E0633"/>
    <w:rsid w:val="002E0A18"/>
    <w:rsid w:val="002E1964"/>
    <w:rsid w:val="002E19A5"/>
    <w:rsid w:val="002E1E7E"/>
    <w:rsid w:val="002E27E0"/>
    <w:rsid w:val="002E39A3"/>
    <w:rsid w:val="002E6150"/>
    <w:rsid w:val="002E631C"/>
    <w:rsid w:val="002E6B6F"/>
    <w:rsid w:val="002E74C9"/>
    <w:rsid w:val="002F06B0"/>
    <w:rsid w:val="002F0800"/>
    <w:rsid w:val="002F3451"/>
    <w:rsid w:val="002F3606"/>
    <w:rsid w:val="002F5131"/>
    <w:rsid w:val="002F51E1"/>
    <w:rsid w:val="002F70EB"/>
    <w:rsid w:val="002F72BB"/>
    <w:rsid w:val="002F7411"/>
    <w:rsid w:val="002F779E"/>
    <w:rsid w:val="002F7AB3"/>
    <w:rsid w:val="00301514"/>
    <w:rsid w:val="003033BA"/>
    <w:rsid w:val="003033C0"/>
    <w:rsid w:val="003038BC"/>
    <w:rsid w:val="00303D47"/>
    <w:rsid w:val="00303DF8"/>
    <w:rsid w:val="00303EFC"/>
    <w:rsid w:val="00304081"/>
    <w:rsid w:val="00304130"/>
    <w:rsid w:val="003043B4"/>
    <w:rsid w:val="003046D6"/>
    <w:rsid w:val="00305750"/>
    <w:rsid w:val="0030629D"/>
    <w:rsid w:val="00307855"/>
    <w:rsid w:val="00310422"/>
    <w:rsid w:val="0031068B"/>
    <w:rsid w:val="003112B5"/>
    <w:rsid w:val="0031293C"/>
    <w:rsid w:val="00312DEB"/>
    <w:rsid w:val="00312F3D"/>
    <w:rsid w:val="0031323C"/>
    <w:rsid w:val="003134FC"/>
    <w:rsid w:val="00313BBA"/>
    <w:rsid w:val="00313CB3"/>
    <w:rsid w:val="00313D9F"/>
    <w:rsid w:val="00314352"/>
    <w:rsid w:val="003145DA"/>
    <w:rsid w:val="00314899"/>
    <w:rsid w:val="00315623"/>
    <w:rsid w:val="00316182"/>
    <w:rsid w:val="003203D9"/>
    <w:rsid w:val="0032072B"/>
    <w:rsid w:val="00320DFD"/>
    <w:rsid w:val="003210F8"/>
    <w:rsid w:val="00321947"/>
    <w:rsid w:val="00326A5D"/>
    <w:rsid w:val="00326F22"/>
    <w:rsid w:val="00327032"/>
    <w:rsid w:val="003276A0"/>
    <w:rsid w:val="003278FA"/>
    <w:rsid w:val="0033002D"/>
    <w:rsid w:val="00330686"/>
    <w:rsid w:val="00332906"/>
    <w:rsid w:val="00332C3C"/>
    <w:rsid w:val="0033346C"/>
    <w:rsid w:val="00333BE1"/>
    <w:rsid w:val="00334708"/>
    <w:rsid w:val="00334B76"/>
    <w:rsid w:val="00336644"/>
    <w:rsid w:val="003370FB"/>
    <w:rsid w:val="00337299"/>
    <w:rsid w:val="0033763C"/>
    <w:rsid w:val="00337ADB"/>
    <w:rsid w:val="00337BD8"/>
    <w:rsid w:val="00340206"/>
    <w:rsid w:val="003410DC"/>
    <w:rsid w:val="0034149E"/>
    <w:rsid w:val="003418AA"/>
    <w:rsid w:val="00341CE5"/>
    <w:rsid w:val="00342202"/>
    <w:rsid w:val="003426C6"/>
    <w:rsid w:val="003429C9"/>
    <w:rsid w:val="00343786"/>
    <w:rsid w:val="00343AE9"/>
    <w:rsid w:val="00343C28"/>
    <w:rsid w:val="00344889"/>
    <w:rsid w:val="00345462"/>
    <w:rsid w:val="00345FC4"/>
    <w:rsid w:val="0034680A"/>
    <w:rsid w:val="00347661"/>
    <w:rsid w:val="003478E7"/>
    <w:rsid w:val="00350095"/>
    <w:rsid w:val="003509BB"/>
    <w:rsid w:val="00350DCD"/>
    <w:rsid w:val="00351383"/>
    <w:rsid w:val="003528F0"/>
    <w:rsid w:val="00352927"/>
    <w:rsid w:val="00352FE4"/>
    <w:rsid w:val="00353FDF"/>
    <w:rsid w:val="00354545"/>
    <w:rsid w:val="00354FD8"/>
    <w:rsid w:val="003551A5"/>
    <w:rsid w:val="003555B4"/>
    <w:rsid w:val="00356A4C"/>
    <w:rsid w:val="0035713B"/>
    <w:rsid w:val="00360753"/>
    <w:rsid w:val="00360A53"/>
    <w:rsid w:val="0036115C"/>
    <w:rsid w:val="00362486"/>
    <w:rsid w:val="00362CEC"/>
    <w:rsid w:val="00362F73"/>
    <w:rsid w:val="003630B0"/>
    <w:rsid w:val="00363A73"/>
    <w:rsid w:val="0036497E"/>
    <w:rsid w:val="00364F1A"/>
    <w:rsid w:val="003661E0"/>
    <w:rsid w:val="00366B93"/>
    <w:rsid w:val="00366C32"/>
    <w:rsid w:val="00367ACD"/>
    <w:rsid w:val="0037099D"/>
    <w:rsid w:val="00372A55"/>
    <w:rsid w:val="003735C0"/>
    <w:rsid w:val="003735DB"/>
    <w:rsid w:val="00373FFC"/>
    <w:rsid w:val="0037401A"/>
    <w:rsid w:val="00374753"/>
    <w:rsid w:val="0037676F"/>
    <w:rsid w:val="003767EE"/>
    <w:rsid w:val="00377AD6"/>
    <w:rsid w:val="00377BF5"/>
    <w:rsid w:val="00381B41"/>
    <w:rsid w:val="00382349"/>
    <w:rsid w:val="003833D7"/>
    <w:rsid w:val="003839DC"/>
    <w:rsid w:val="00383C5B"/>
    <w:rsid w:val="00383DDA"/>
    <w:rsid w:val="00384B44"/>
    <w:rsid w:val="00384F42"/>
    <w:rsid w:val="00385EC9"/>
    <w:rsid w:val="00386456"/>
    <w:rsid w:val="00387241"/>
    <w:rsid w:val="00387E1C"/>
    <w:rsid w:val="0039010E"/>
    <w:rsid w:val="003901D8"/>
    <w:rsid w:val="00390732"/>
    <w:rsid w:val="0039100A"/>
    <w:rsid w:val="00391D93"/>
    <w:rsid w:val="00392714"/>
    <w:rsid w:val="00392E7E"/>
    <w:rsid w:val="00392F63"/>
    <w:rsid w:val="00393184"/>
    <w:rsid w:val="0039340C"/>
    <w:rsid w:val="003934DD"/>
    <w:rsid w:val="00394E7E"/>
    <w:rsid w:val="00396D23"/>
    <w:rsid w:val="003A046A"/>
    <w:rsid w:val="003A0603"/>
    <w:rsid w:val="003A1031"/>
    <w:rsid w:val="003A1157"/>
    <w:rsid w:val="003A25E4"/>
    <w:rsid w:val="003A27CB"/>
    <w:rsid w:val="003A2A86"/>
    <w:rsid w:val="003A2C66"/>
    <w:rsid w:val="003A2D28"/>
    <w:rsid w:val="003A3CBA"/>
    <w:rsid w:val="003A433D"/>
    <w:rsid w:val="003A4F71"/>
    <w:rsid w:val="003A581E"/>
    <w:rsid w:val="003A5E28"/>
    <w:rsid w:val="003A651C"/>
    <w:rsid w:val="003A6DA8"/>
    <w:rsid w:val="003B0136"/>
    <w:rsid w:val="003B0B16"/>
    <w:rsid w:val="003B13B0"/>
    <w:rsid w:val="003B3D8A"/>
    <w:rsid w:val="003B4162"/>
    <w:rsid w:val="003B43FF"/>
    <w:rsid w:val="003B5540"/>
    <w:rsid w:val="003B79A5"/>
    <w:rsid w:val="003C1943"/>
    <w:rsid w:val="003C347B"/>
    <w:rsid w:val="003C3D13"/>
    <w:rsid w:val="003C40DD"/>
    <w:rsid w:val="003C4141"/>
    <w:rsid w:val="003C432C"/>
    <w:rsid w:val="003C50C9"/>
    <w:rsid w:val="003C62BD"/>
    <w:rsid w:val="003C7DC2"/>
    <w:rsid w:val="003D2137"/>
    <w:rsid w:val="003D284B"/>
    <w:rsid w:val="003D40F4"/>
    <w:rsid w:val="003D4187"/>
    <w:rsid w:val="003D43F8"/>
    <w:rsid w:val="003D4F72"/>
    <w:rsid w:val="003D603B"/>
    <w:rsid w:val="003D653E"/>
    <w:rsid w:val="003D6CF0"/>
    <w:rsid w:val="003D73F1"/>
    <w:rsid w:val="003E07B4"/>
    <w:rsid w:val="003E11A8"/>
    <w:rsid w:val="003E14B0"/>
    <w:rsid w:val="003E15E5"/>
    <w:rsid w:val="003E1ABD"/>
    <w:rsid w:val="003E1F12"/>
    <w:rsid w:val="003E3F86"/>
    <w:rsid w:val="003E443D"/>
    <w:rsid w:val="003E5505"/>
    <w:rsid w:val="003E5C80"/>
    <w:rsid w:val="003E5ED1"/>
    <w:rsid w:val="003E6682"/>
    <w:rsid w:val="003E7261"/>
    <w:rsid w:val="003E7A20"/>
    <w:rsid w:val="003E7AAD"/>
    <w:rsid w:val="003F088B"/>
    <w:rsid w:val="003F0FBE"/>
    <w:rsid w:val="003F28CF"/>
    <w:rsid w:val="003F2AD2"/>
    <w:rsid w:val="003F30B1"/>
    <w:rsid w:val="003F328D"/>
    <w:rsid w:val="003F47E5"/>
    <w:rsid w:val="003F5439"/>
    <w:rsid w:val="003F5CDD"/>
    <w:rsid w:val="003F5D5D"/>
    <w:rsid w:val="003F60D3"/>
    <w:rsid w:val="003F6B2C"/>
    <w:rsid w:val="003F76B3"/>
    <w:rsid w:val="003F7E6A"/>
    <w:rsid w:val="00400083"/>
    <w:rsid w:val="0040059A"/>
    <w:rsid w:val="00402FD5"/>
    <w:rsid w:val="00403E6E"/>
    <w:rsid w:val="00404797"/>
    <w:rsid w:val="00405524"/>
    <w:rsid w:val="00406898"/>
    <w:rsid w:val="00407BD2"/>
    <w:rsid w:val="0041043C"/>
    <w:rsid w:val="004106B4"/>
    <w:rsid w:val="00411B85"/>
    <w:rsid w:val="00412132"/>
    <w:rsid w:val="0041266E"/>
    <w:rsid w:val="004140EB"/>
    <w:rsid w:val="00414B54"/>
    <w:rsid w:val="0041612C"/>
    <w:rsid w:val="00416511"/>
    <w:rsid w:val="00416C2E"/>
    <w:rsid w:val="00417879"/>
    <w:rsid w:val="00417C69"/>
    <w:rsid w:val="00417C85"/>
    <w:rsid w:val="004207E3"/>
    <w:rsid w:val="00420A13"/>
    <w:rsid w:val="00420B44"/>
    <w:rsid w:val="00420D01"/>
    <w:rsid w:val="00421774"/>
    <w:rsid w:val="00421906"/>
    <w:rsid w:val="0042321C"/>
    <w:rsid w:val="00423267"/>
    <w:rsid w:val="004252E8"/>
    <w:rsid w:val="00425B6B"/>
    <w:rsid w:val="00425BA9"/>
    <w:rsid w:val="00426DA2"/>
    <w:rsid w:val="00426EEE"/>
    <w:rsid w:val="00426F4A"/>
    <w:rsid w:val="00427BD7"/>
    <w:rsid w:val="00430927"/>
    <w:rsid w:val="0043155D"/>
    <w:rsid w:val="00431A07"/>
    <w:rsid w:val="0043205F"/>
    <w:rsid w:val="00432915"/>
    <w:rsid w:val="00432C5F"/>
    <w:rsid w:val="0043330C"/>
    <w:rsid w:val="0043346D"/>
    <w:rsid w:val="00433A6D"/>
    <w:rsid w:val="00433BA1"/>
    <w:rsid w:val="00435749"/>
    <w:rsid w:val="00435AA2"/>
    <w:rsid w:val="004363BC"/>
    <w:rsid w:val="00436652"/>
    <w:rsid w:val="004367C8"/>
    <w:rsid w:val="00436A63"/>
    <w:rsid w:val="0043733A"/>
    <w:rsid w:val="0043754D"/>
    <w:rsid w:val="00437BF5"/>
    <w:rsid w:val="00437BF8"/>
    <w:rsid w:val="00440BDD"/>
    <w:rsid w:val="00440E0E"/>
    <w:rsid w:val="004422D6"/>
    <w:rsid w:val="00442BFD"/>
    <w:rsid w:val="004438F4"/>
    <w:rsid w:val="00444A46"/>
    <w:rsid w:val="00445EE4"/>
    <w:rsid w:val="00446B03"/>
    <w:rsid w:val="00446CAA"/>
    <w:rsid w:val="00447095"/>
    <w:rsid w:val="00447483"/>
    <w:rsid w:val="004507CF"/>
    <w:rsid w:val="00452BCB"/>
    <w:rsid w:val="0045342C"/>
    <w:rsid w:val="004537E3"/>
    <w:rsid w:val="004547B6"/>
    <w:rsid w:val="00454B0F"/>
    <w:rsid w:val="00454C62"/>
    <w:rsid w:val="0045548D"/>
    <w:rsid w:val="00456BF3"/>
    <w:rsid w:val="004570AB"/>
    <w:rsid w:val="004573BC"/>
    <w:rsid w:val="004620B3"/>
    <w:rsid w:val="0046397B"/>
    <w:rsid w:val="00463997"/>
    <w:rsid w:val="004648D2"/>
    <w:rsid w:val="0046604D"/>
    <w:rsid w:val="00471F7A"/>
    <w:rsid w:val="0047250D"/>
    <w:rsid w:val="00472889"/>
    <w:rsid w:val="0047358F"/>
    <w:rsid w:val="00473ACD"/>
    <w:rsid w:val="0047429E"/>
    <w:rsid w:val="00474434"/>
    <w:rsid w:val="0047444E"/>
    <w:rsid w:val="00474614"/>
    <w:rsid w:val="00474880"/>
    <w:rsid w:val="004750AA"/>
    <w:rsid w:val="004755D2"/>
    <w:rsid w:val="004768C9"/>
    <w:rsid w:val="00476A0B"/>
    <w:rsid w:val="00477A49"/>
    <w:rsid w:val="00477BFF"/>
    <w:rsid w:val="00481FA4"/>
    <w:rsid w:val="004821AB"/>
    <w:rsid w:val="00482887"/>
    <w:rsid w:val="00482A4E"/>
    <w:rsid w:val="004832C7"/>
    <w:rsid w:val="00485197"/>
    <w:rsid w:val="0048587B"/>
    <w:rsid w:val="00485AD7"/>
    <w:rsid w:val="00485ED3"/>
    <w:rsid w:val="00486A66"/>
    <w:rsid w:val="00486C79"/>
    <w:rsid w:val="00487569"/>
    <w:rsid w:val="004878C1"/>
    <w:rsid w:val="00487986"/>
    <w:rsid w:val="0049151F"/>
    <w:rsid w:val="00491E2D"/>
    <w:rsid w:val="004928C4"/>
    <w:rsid w:val="00492EB5"/>
    <w:rsid w:val="0049475A"/>
    <w:rsid w:val="00494912"/>
    <w:rsid w:val="0049505C"/>
    <w:rsid w:val="00496626"/>
    <w:rsid w:val="0049684A"/>
    <w:rsid w:val="00497B27"/>
    <w:rsid w:val="00497F48"/>
    <w:rsid w:val="004A0A76"/>
    <w:rsid w:val="004A34D2"/>
    <w:rsid w:val="004A36C3"/>
    <w:rsid w:val="004A3CCB"/>
    <w:rsid w:val="004A411B"/>
    <w:rsid w:val="004A486C"/>
    <w:rsid w:val="004A488B"/>
    <w:rsid w:val="004A5218"/>
    <w:rsid w:val="004A5B0B"/>
    <w:rsid w:val="004A5B41"/>
    <w:rsid w:val="004A6356"/>
    <w:rsid w:val="004A7713"/>
    <w:rsid w:val="004A7E8A"/>
    <w:rsid w:val="004B159B"/>
    <w:rsid w:val="004B1F7C"/>
    <w:rsid w:val="004B219E"/>
    <w:rsid w:val="004B2774"/>
    <w:rsid w:val="004B28F8"/>
    <w:rsid w:val="004B411E"/>
    <w:rsid w:val="004B4A0E"/>
    <w:rsid w:val="004B4CAD"/>
    <w:rsid w:val="004B567B"/>
    <w:rsid w:val="004B5CAA"/>
    <w:rsid w:val="004B6D52"/>
    <w:rsid w:val="004B6DE0"/>
    <w:rsid w:val="004B742E"/>
    <w:rsid w:val="004C003F"/>
    <w:rsid w:val="004C026F"/>
    <w:rsid w:val="004C0993"/>
    <w:rsid w:val="004C0ABB"/>
    <w:rsid w:val="004C0B1C"/>
    <w:rsid w:val="004C1226"/>
    <w:rsid w:val="004C1573"/>
    <w:rsid w:val="004C1F44"/>
    <w:rsid w:val="004C1F93"/>
    <w:rsid w:val="004C2021"/>
    <w:rsid w:val="004C5092"/>
    <w:rsid w:val="004C5273"/>
    <w:rsid w:val="004C6C01"/>
    <w:rsid w:val="004C7677"/>
    <w:rsid w:val="004C774D"/>
    <w:rsid w:val="004D1653"/>
    <w:rsid w:val="004D1B75"/>
    <w:rsid w:val="004D2B08"/>
    <w:rsid w:val="004D2C64"/>
    <w:rsid w:val="004D3473"/>
    <w:rsid w:val="004D3521"/>
    <w:rsid w:val="004D4556"/>
    <w:rsid w:val="004D4FFE"/>
    <w:rsid w:val="004D5372"/>
    <w:rsid w:val="004D6525"/>
    <w:rsid w:val="004D6799"/>
    <w:rsid w:val="004D725A"/>
    <w:rsid w:val="004D78D4"/>
    <w:rsid w:val="004D7A98"/>
    <w:rsid w:val="004D7B77"/>
    <w:rsid w:val="004E06CD"/>
    <w:rsid w:val="004E1267"/>
    <w:rsid w:val="004E2760"/>
    <w:rsid w:val="004E27A0"/>
    <w:rsid w:val="004E2973"/>
    <w:rsid w:val="004E2F8D"/>
    <w:rsid w:val="004E3A4E"/>
    <w:rsid w:val="004E3CA7"/>
    <w:rsid w:val="004E4142"/>
    <w:rsid w:val="004E4A6B"/>
    <w:rsid w:val="004E4AB3"/>
    <w:rsid w:val="004E5102"/>
    <w:rsid w:val="004E5B78"/>
    <w:rsid w:val="004E5BC5"/>
    <w:rsid w:val="004E6147"/>
    <w:rsid w:val="004E638B"/>
    <w:rsid w:val="004E6C63"/>
    <w:rsid w:val="004F0B50"/>
    <w:rsid w:val="004F1050"/>
    <w:rsid w:val="004F1065"/>
    <w:rsid w:val="004F248A"/>
    <w:rsid w:val="004F32CC"/>
    <w:rsid w:val="004F38A9"/>
    <w:rsid w:val="004F46FC"/>
    <w:rsid w:val="004F4EB9"/>
    <w:rsid w:val="004F5711"/>
    <w:rsid w:val="004F5964"/>
    <w:rsid w:val="004F5F6A"/>
    <w:rsid w:val="004F71C2"/>
    <w:rsid w:val="00501D8A"/>
    <w:rsid w:val="00501FA2"/>
    <w:rsid w:val="00501FDF"/>
    <w:rsid w:val="0050246B"/>
    <w:rsid w:val="005027F0"/>
    <w:rsid w:val="00502929"/>
    <w:rsid w:val="00502F06"/>
    <w:rsid w:val="005037BC"/>
    <w:rsid w:val="005037CD"/>
    <w:rsid w:val="00503872"/>
    <w:rsid w:val="00503C1E"/>
    <w:rsid w:val="00504677"/>
    <w:rsid w:val="005046C0"/>
    <w:rsid w:val="005053B0"/>
    <w:rsid w:val="00506085"/>
    <w:rsid w:val="005064F9"/>
    <w:rsid w:val="0051074C"/>
    <w:rsid w:val="0051089A"/>
    <w:rsid w:val="00510BB6"/>
    <w:rsid w:val="0051288D"/>
    <w:rsid w:val="00513A69"/>
    <w:rsid w:val="00513AF2"/>
    <w:rsid w:val="005144E0"/>
    <w:rsid w:val="005152C2"/>
    <w:rsid w:val="005153B7"/>
    <w:rsid w:val="00515554"/>
    <w:rsid w:val="00516462"/>
    <w:rsid w:val="0051690C"/>
    <w:rsid w:val="005200B5"/>
    <w:rsid w:val="00521B54"/>
    <w:rsid w:val="005222B7"/>
    <w:rsid w:val="00522983"/>
    <w:rsid w:val="0052307C"/>
    <w:rsid w:val="00523EA9"/>
    <w:rsid w:val="0052446F"/>
    <w:rsid w:val="00524F8D"/>
    <w:rsid w:val="00525D6C"/>
    <w:rsid w:val="005268C9"/>
    <w:rsid w:val="0052715F"/>
    <w:rsid w:val="00527CC7"/>
    <w:rsid w:val="005305AF"/>
    <w:rsid w:val="00532A7A"/>
    <w:rsid w:val="00533367"/>
    <w:rsid w:val="00535161"/>
    <w:rsid w:val="00535A7F"/>
    <w:rsid w:val="0053606E"/>
    <w:rsid w:val="005369C0"/>
    <w:rsid w:val="00536C0D"/>
    <w:rsid w:val="0053771E"/>
    <w:rsid w:val="00537D21"/>
    <w:rsid w:val="0054003A"/>
    <w:rsid w:val="005403D5"/>
    <w:rsid w:val="005418FA"/>
    <w:rsid w:val="00542FF3"/>
    <w:rsid w:val="0054323F"/>
    <w:rsid w:val="00543D6E"/>
    <w:rsid w:val="0054413A"/>
    <w:rsid w:val="005443C9"/>
    <w:rsid w:val="00545144"/>
    <w:rsid w:val="00545326"/>
    <w:rsid w:val="005457A0"/>
    <w:rsid w:val="005465E5"/>
    <w:rsid w:val="00550551"/>
    <w:rsid w:val="00551DC1"/>
    <w:rsid w:val="005533CE"/>
    <w:rsid w:val="00553411"/>
    <w:rsid w:val="00554515"/>
    <w:rsid w:val="00555967"/>
    <w:rsid w:val="005564CA"/>
    <w:rsid w:val="00556CA1"/>
    <w:rsid w:val="00556F5B"/>
    <w:rsid w:val="00557DD1"/>
    <w:rsid w:val="00560437"/>
    <w:rsid w:val="00560C9C"/>
    <w:rsid w:val="0056142D"/>
    <w:rsid w:val="00561510"/>
    <w:rsid w:val="005617FA"/>
    <w:rsid w:val="005620AD"/>
    <w:rsid w:val="005626E7"/>
    <w:rsid w:val="00562D14"/>
    <w:rsid w:val="00562ECF"/>
    <w:rsid w:val="00563DEE"/>
    <w:rsid w:val="00564281"/>
    <w:rsid w:val="00566EEE"/>
    <w:rsid w:val="00567CF6"/>
    <w:rsid w:val="00570BD6"/>
    <w:rsid w:val="00571897"/>
    <w:rsid w:val="005722C5"/>
    <w:rsid w:val="00572361"/>
    <w:rsid w:val="00572788"/>
    <w:rsid w:val="005731B5"/>
    <w:rsid w:val="0057389B"/>
    <w:rsid w:val="00573D85"/>
    <w:rsid w:val="0057417D"/>
    <w:rsid w:val="00574D20"/>
    <w:rsid w:val="0057530E"/>
    <w:rsid w:val="00575B77"/>
    <w:rsid w:val="00575D08"/>
    <w:rsid w:val="005770F6"/>
    <w:rsid w:val="00577DD4"/>
    <w:rsid w:val="00577EF5"/>
    <w:rsid w:val="00580136"/>
    <w:rsid w:val="005811F1"/>
    <w:rsid w:val="00584E86"/>
    <w:rsid w:val="0058589B"/>
    <w:rsid w:val="005867BF"/>
    <w:rsid w:val="00587B36"/>
    <w:rsid w:val="005900A9"/>
    <w:rsid w:val="0059058A"/>
    <w:rsid w:val="00590963"/>
    <w:rsid w:val="00590DD9"/>
    <w:rsid w:val="00590E6F"/>
    <w:rsid w:val="00591F4C"/>
    <w:rsid w:val="0059266D"/>
    <w:rsid w:val="005942C5"/>
    <w:rsid w:val="0059458E"/>
    <w:rsid w:val="00595BD5"/>
    <w:rsid w:val="00596F22"/>
    <w:rsid w:val="005A0585"/>
    <w:rsid w:val="005A114C"/>
    <w:rsid w:val="005A1570"/>
    <w:rsid w:val="005A1C9C"/>
    <w:rsid w:val="005A2D51"/>
    <w:rsid w:val="005A32AF"/>
    <w:rsid w:val="005A34F0"/>
    <w:rsid w:val="005A3C9D"/>
    <w:rsid w:val="005A4079"/>
    <w:rsid w:val="005A436F"/>
    <w:rsid w:val="005A456B"/>
    <w:rsid w:val="005A4A4C"/>
    <w:rsid w:val="005A5275"/>
    <w:rsid w:val="005A6DCD"/>
    <w:rsid w:val="005A79FE"/>
    <w:rsid w:val="005B0132"/>
    <w:rsid w:val="005B2AF3"/>
    <w:rsid w:val="005B2F60"/>
    <w:rsid w:val="005B373F"/>
    <w:rsid w:val="005B4049"/>
    <w:rsid w:val="005B41D2"/>
    <w:rsid w:val="005B43FE"/>
    <w:rsid w:val="005B47F9"/>
    <w:rsid w:val="005B4AA6"/>
    <w:rsid w:val="005B6F12"/>
    <w:rsid w:val="005B7215"/>
    <w:rsid w:val="005B7515"/>
    <w:rsid w:val="005B7A2F"/>
    <w:rsid w:val="005B7A9F"/>
    <w:rsid w:val="005C0D43"/>
    <w:rsid w:val="005C1E33"/>
    <w:rsid w:val="005C1FFD"/>
    <w:rsid w:val="005C266E"/>
    <w:rsid w:val="005C34C9"/>
    <w:rsid w:val="005C39A3"/>
    <w:rsid w:val="005C3C95"/>
    <w:rsid w:val="005C3CCE"/>
    <w:rsid w:val="005C4308"/>
    <w:rsid w:val="005C4C81"/>
    <w:rsid w:val="005C5026"/>
    <w:rsid w:val="005C51A7"/>
    <w:rsid w:val="005C5A22"/>
    <w:rsid w:val="005C5B5C"/>
    <w:rsid w:val="005C6D84"/>
    <w:rsid w:val="005C73E6"/>
    <w:rsid w:val="005D064A"/>
    <w:rsid w:val="005D1CE8"/>
    <w:rsid w:val="005D1E83"/>
    <w:rsid w:val="005D29B5"/>
    <w:rsid w:val="005D307C"/>
    <w:rsid w:val="005D3445"/>
    <w:rsid w:val="005D37F7"/>
    <w:rsid w:val="005D3807"/>
    <w:rsid w:val="005D474D"/>
    <w:rsid w:val="005D552E"/>
    <w:rsid w:val="005D5C5D"/>
    <w:rsid w:val="005D7F00"/>
    <w:rsid w:val="005E0385"/>
    <w:rsid w:val="005E06A4"/>
    <w:rsid w:val="005E1BC6"/>
    <w:rsid w:val="005E1CF3"/>
    <w:rsid w:val="005E1F70"/>
    <w:rsid w:val="005E23E2"/>
    <w:rsid w:val="005E2E0F"/>
    <w:rsid w:val="005E2F44"/>
    <w:rsid w:val="005E3788"/>
    <w:rsid w:val="005E3FE8"/>
    <w:rsid w:val="005E4F20"/>
    <w:rsid w:val="005E605B"/>
    <w:rsid w:val="005E67FC"/>
    <w:rsid w:val="005E72D5"/>
    <w:rsid w:val="005E7572"/>
    <w:rsid w:val="005E7A0B"/>
    <w:rsid w:val="005F0C78"/>
    <w:rsid w:val="005F1050"/>
    <w:rsid w:val="005F137C"/>
    <w:rsid w:val="005F1C60"/>
    <w:rsid w:val="005F3431"/>
    <w:rsid w:val="005F4AB3"/>
    <w:rsid w:val="005F4BF5"/>
    <w:rsid w:val="005F5C6D"/>
    <w:rsid w:val="005F713D"/>
    <w:rsid w:val="006007CC"/>
    <w:rsid w:val="00600FA4"/>
    <w:rsid w:val="00601496"/>
    <w:rsid w:val="0060197B"/>
    <w:rsid w:val="00601FCA"/>
    <w:rsid w:val="006028B1"/>
    <w:rsid w:val="00602A32"/>
    <w:rsid w:val="006030AA"/>
    <w:rsid w:val="00603999"/>
    <w:rsid w:val="00603BDE"/>
    <w:rsid w:val="006042F9"/>
    <w:rsid w:val="006044E9"/>
    <w:rsid w:val="00604737"/>
    <w:rsid w:val="00606DF9"/>
    <w:rsid w:val="00610067"/>
    <w:rsid w:val="00610C94"/>
    <w:rsid w:val="00611379"/>
    <w:rsid w:val="006114FF"/>
    <w:rsid w:val="00611D58"/>
    <w:rsid w:val="00612142"/>
    <w:rsid w:val="00612BDB"/>
    <w:rsid w:val="00612ED3"/>
    <w:rsid w:val="00613073"/>
    <w:rsid w:val="006133BD"/>
    <w:rsid w:val="006134DB"/>
    <w:rsid w:val="006135E8"/>
    <w:rsid w:val="00613A54"/>
    <w:rsid w:val="00613F45"/>
    <w:rsid w:val="0061564E"/>
    <w:rsid w:val="00616C91"/>
    <w:rsid w:val="00616F60"/>
    <w:rsid w:val="00617024"/>
    <w:rsid w:val="006178DB"/>
    <w:rsid w:val="00620CBF"/>
    <w:rsid w:val="00620E47"/>
    <w:rsid w:val="0062127B"/>
    <w:rsid w:val="006231D1"/>
    <w:rsid w:val="00623F97"/>
    <w:rsid w:val="00624730"/>
    <w:rsid w:val="00624D8F"/>
    <w:rsid w:val="0062567A"/>
    <w:rsid w:val="0062660A"/>
    <w:rsid w:val="0062792C"/>
    <w:rsid w:val="00632406"/>
    <w:rsid w:val="006334A8"/>
    <w:rsid w:val="00633633"/>
    <w:rsid w:val="00633AB3"/>
    <w:rsid w:val="006362A0"/>
    <w:rsid w:val="0063656E"/>
    <w:rsid w:val="006367B1"/>
    <w:rsid w:val="0063788B"/>
    <w:rsid w:val="006404C9"/>
    <w:rsid w:val="0064055D"/>
    <w:rsid w:val="00640B75"/>
    <w:rsid w:val="006426C6"/>
    <w:rsid w:val="00642D57"/>
    <w:rsid w:val="0064395A"/>
    <w:rsid w:val="00646512"/>
    <w:rsid w:val="00646770"/>
    <w:rsid w:val="00646829"/>
    <w:rsid w:val="00647622"/>
    <w:rsid w:val="00647DB9"/>
    <w:rsid w:val="0065089D"/>
    <w:rsid w:val="00650BA6"/>
    <w:rsid w:val="00651C73"/>
    <w:rsid w:val="00651D31"/>
    <w:rsid w:val="006524A2"/>
    <w:rsid w:val="006524BE"/>
    <w:rsid w:val="00652A5C"/>
    <w:rsid w:val="006533F8"/>
    <w:rsid w:val="0065455F"/>
    <w:rsid w:val="00655360"/>
    <w:rsid w:val="00655371"/>
    <w:rsid w:val="00655569"/>
    <w:rsid w:val="00656388"/>
    <w:rsid w:val="006563C3"/>
    <w:rsid w:val="0065698F"/>
    <w:rsid w:val="006616CE"/>
    <w:rsid w:val="006625BC"/>
    <w:rsid w:val="00663A05"/>
    <w:rsid w:val="006645BF"/>
    <w:rsid w:val="006652E9"/>
    <w:rsid w:val="0066584D"/>
    <w:rsid w:val="00665A16"/>
    <w:rsid w:val="00665E49"/>
    <w:rsid w:val="00666AF7"/>
    <w:rsid w:val="006670F5"/>
    <w:rsid w:val="006674C1"/>
    <w:rsid w:val="00667EBB"/>
    <w:rsid w:val="0067040F"/>
    <w:rsid w:val="00670B1B"/>
    <w:rsid w:val="00670F57"/>
    <w:rsid w:val="006716ED"/>
    <w:rsid w:val="006729E6"/>
    <w:rsid w:val="00672A0B"/>
    <w:rsid w:val="00672B53"/>
    <w:rsid w:val="00672EEC"/>
    <w:rsid w:val="0067317F"/>
    <w:rsid w:val="00673789"/>
    <w:rsid w:val="00673AB7"/>
    <w:rsid w:val="00673AB9"/>
    <w:rsid w:val="00674512"/>
    <w:rsid w:val="00675933"/>
    <w:rsid w:val="0068185E"/>
    <w:rsid w:val="00681A07"/>
    <w:rsid w:val="00682D0A"/>
    <w:rsid w:val="00683085"/>
    <w:rsid w:val="0068338B"/>
    <w:rsid w:val="00683404"/>
    <w:rsid w:val="00683D48"/>
    <w:rsid w:val="00686E92"/>
    <w:rsid w:val="0069158F"/>
    <w:rsid w:val="006916C0"/>
    <w:rsid w:val="00691B3E"/>
    <w:rsid w:val="00691C58"/>
    <w:rsid w:val="006922B6"/>
    <w:rsid w:val="00692BB0"/>
    <w:rsid w:val="00693CC2"/>
    <w:rsid w:val="00694B76"/>
    <w:rsid w:val="00695E74"/>
    <w:rsid w:val="0069678A"/>
    <w:rsid w:val="00697665"/>
    <w:rsid w:val="00697B22"/>
    <w:rsid w:val="00697D73"/>
    <w:rsid w:val="006A00B7"/>
    <w:rsid w:val="006A049D"/>
    <w:rsid w:val="006A0BF9"/>
    <w:rsid w:val="006A12F4"/>
    <w:rsid w:val="006A1A12"/>
    <w:rsid w:val="006A2013"/>
    <w:rsid w:val="006A2F2D"/>
    <w:rsid w:val="006A3206"/>
    <w:rsid w:val="006A3CD1"/>
    <w:rsid w:val="006A454C"/>
    <w:rsid w:val="006A45F3"/>
    <w:rsid w:val="006A5273"/>
    <w:rsid w:val="006A58B8"/>
    <w:rsid w:val="006A64A9"/>
    <w:rsid w:val="006A7FD0"/>
    <w:rsid w:val="006B161A"/>
    <w:rsid w:val="006B2195"/>
    <w:rsid w:val="006B34D7"/>
    <w:rsid w:val="006B4C1B"/>
    <w:rsid w:val="006B5004"/>
    <w:rsid w:val="006B5571"/>
    <w:rsid w:val="006B55C5"/>
    <w:rsid w:val="006B748C"/>
    <w:rsid w:val="006B7576"/>
    <w:rsid w:val="006C0662"/>
    <w:rsid w:val="006C0797"/>
    <w:rsid w:val="006C084F"/>
    <w:rsid w:val="006C0BD8"/>
    <w:rsid w:val="006C14D1"/>
    <w:rsid w:val="006C2BAE"/>
    <w:rsid w:val="006C41CF"/>
    <w:rsid w:val="006C453C"/>
    <w:rsid w:val="006C4F96"/>
    <w:rsid w:val="006C627E"/>
    <w:rsid w:val="006C68E5"/>
    <w:rsid w:val="006C6A3B"/>
    <w:rsid w:val="006C6E36"/>
    <w:rsid w:val="006C7E2B"/>
    <w:rsid w:val="006D18A5"/>
    <w:rsid w:val="006D23BA"/>
    <w:rsid w:val="006D2CB8"/>
    <w:rsid w:val="006D2CF6"/>
    <w:rsid w:val="006D40DC"/>
    <w:rsid w:val="006D4498"/>
    <w:rsid w:val="006D4EC2"/>
    <w:rsid w:val="006D4F07"/>
    <w:rsid w:val="006D5048"/>
    <w:rsid w:val="006D5176"/>
    <w:rsid w:val="006D5415"/>
    <w:rsid w:val="006D5EA2"/>
    <w:rsid w:val="006D6BCC"/>
    <w:rsid w:val="006D717D"/>
    <w:rsid w:val="006D7687"/>
    <w:rsid w:val="006E0385"/>
    <w:rsid w:val="006E0572"/>
    <w:rsid w:val="006E0C98"/>
    <w:rsid w:val="006E0F9F"/>
    <w:rsid w:val="006E1324"/>
    <w:rsid w:val="006E140D"/>
    <w:rsid w:val="006E1CCF"/>
    <w:rsid w:val="006E28FE"/>
    <w:rsid w:val="006E4F08"/>
    <w:rsid w:val="006E6202"/>
    <w:rsid w:val="006E6B65"/>
    <w:rsid w:val="006E6D63"/>
    <w:rsid w:val="006E6E42"/>
    <w:rsid w:val="006F0E22"/>
    <w:rsid w:val="006F2EC7"/>
    <w:rsid w:val="006F3DAA"/>
    <w:rsid w:val="006F514F"/>
    <w:rsid w:val="006F5461"/>
    <w:rsid w:val="006F5A48"/>
    <w:rsid w:val="006F70A0"/>
    <w:rsid w:val="00700377"/>
    <w:rsid w:val="007008A4"/>
    <w:rsid w:val="00700E8E"/>
    <w:rsid w:val="007018AF"/>
    <w:rsid w:val="00701E35"/>
    <w:rsid w:val="007020A1"/>
    <w:rsid w:val="00702115"/>
    <w:rsid w:val="007029A4"/>
    <w:rsid w:val="00703E2C"/>
    <w:rsid w:val="00705631"/>
    <w:rsid w:val="00705FE1"/>
    <w:rsid w:val="00706399"/>
    <w:rsid w:val="00707D87"/>
    <w:rsid w:val="00707EFD"/>
    <w:rsid w:val="00707FF5"/>
    <w:rsid w:val="00711266"/>
    <w:rsid w:val="00711A50"/>
    <w:rsid w:val="007125A7"/>
    <w:rsid w:val="00712B6D"/>
    <w:rsid w:val="007130EA"/>
    <w:rsid w:val="00713DE5"/>
    <w:rsid w:val="00713FA0"/>
    <w:rsid w:val="00714254"/>
    <w:rsid w:val="00714718"/>
    <w:rsid w:val="00714833"/>
    <w:rsid w:val="007149B6"/>
    <w:rsid w:val="00714C43"/>
    <w:rsid w:val="00715929"/>
    <w:rsid w:val="0071654A"/>
    <w:rsid w:val="007173EA"/>
    <w:rsid w:val="0072005B"/>
    <w:rsid w:val="00720966"/>
    <w:rsid w:val="007210EC"/>
    <w:rsid w:val="0072127D"/>
    <w:rsid w:val="0072283E"/>
    <w:rsid w:val="007229B0"/>
    <w:rsid w:val="00724809"/>
    <w:rsid w:val="007252B4"/>
    <w:rsid w:val="00725AC2"/>
    <w:rsid w:val="00726DBE"/>
    <w:rsid w:val="00727B79"/>
    <w:rsid w:val="00727EAE"/>
    <w:rsid w:val="00727FB6"/>
    <w:rsid w:val="007300F3"/>
    <w:rsid w:val="007303E0"/>
    <w:rsid w:val="00730AB8"/>
    <w:rsid w:val="00734D43"/>
    <w:rsid w:val="007357B0"/>
    <w:rsid w:val="00735A39"/>
    <w:rsid w:val="00736FC1"/>
    <w:rsid w:val="007372C3"/>
    <w:rsid w:val="00737E5B"/>
    <w:rsid w:val="007404BC"/>
    <w:rsid w:val="00741FC4"/>
    <w:rsid w:val="0074287A"/>
    <w:rsid w:val="00742DD2"/>
    <w:rsid w:val="00744115"/>
    <w:rsid w:val="00744B26"/>
    <w:rsid w:val="00744E7F"/>
    <w:rsid w:val="00745879"/>
    <w:rsid w:val="00745950"/>
    <w:rsid w:val="007464C8"/>
    <w:rsid w:val="00746A77"/>
    <w:rsid w:val="00746D17"/>
    <w:rsid w:val="0074728F"/>
    <w:rsid w:val="00747E9B"/>
    <w:rsid w:val="0075122C"/>
    <w:rsid w:val="00751EE7"/>
    <w:rsid w:val="00752568"/>
    <w:rsid w:val="00752CB1"/>
    <w:rsid w:val="0075455D"/>
    <w:rsid w:val="00754621"/>
    <w:rsid w:val="00754CE9"/>
    <w:rsid w:val="0075582E"/>
    <w:rsid w:val="00755C9F"/>
    <w:rsid w:val="0075647A"/>
    <w:rsid w:val="00756E36"/>
    <w:rsid w:val="007573C1"/>
    <w:rsid w:val="007574E5"/>
    <w:rsid w:val="007605B5"/>
    <w:rsid w:val="007611DB"/>
    <w:rsid w:val="007634AD"/>
    <w:rsid w:val="0076459E"/>
    <w:rsid w:val="00764CD2"/>
    <w:rsid w:val="0076566F"/>
    <w:rsid w:val="007656E6"/>
    <w:rsid w:val="00765BE2"/>
    <w:rsid w:val="007673F0"/>
    <w:rsid w:val="0076744F"/>
    <w:rsid w:val="00767455"/>
    <w:rsid w:val="007679AF"/>
    <w:rsid w:val="007701D9"/>
    <w:rsid w:val="007724C9"/>
    <w:rsid w:val="00772C6C"/>
    <w:rsid w:val="007741D9"/>
    <w:rsid w:val="007743B6"/>
    <w:rsid w:val="007748F6"/>
    <w:rsid w:val="00774A8C"/>
    <w:rsid w:val="007750BB"/>
    <w:rsid w:val="00775104"/>
    <w:rsid w:val="00775779"/>
    <w:rsid w:val="00776ED5"/>
    <w:rsid w:val="007809E9"/>
    <w:rsid w:val="00780B6D"/>
    <w:rsid w:val="00780D84"/>
    <w:rsid w:val="0078122E"/>
    <w:rsid w:val="0078165F"/>
    <w:rsid w:val="00782024"/>
    <w:rsid w:val="00782DC1"/>
    <w:rsid w:val="00783506"/>
    <w:rsid w:val="0078442B"/>
    <w:rsid w:val="007853BD"/>
    <w:rsid w:val="00785A12"/>
    <w:rsid w:val="00785E18"/>
    <w:rsid w:val="0078614D"/>
    <w:rsid w:val="00791249"/>
    <w:rsid w:val="00791C0F"/>
    <w:rsid w:val="007924DC"/>
    <w:rsid w:val="00793845"/>
    <w:rsid w:val="00793FA2"/>
    <w:rsid w:val="0079520D"/>
    <w:rsid w:val="007966FB"/>
    <w:rsid w:val="0079697F"/>
    <w:rsid w:val="00796BD1"/>
    <w:rsid w:val="00796EC8"/>
    <w:rsid w:val="00797DF7"/>
    <w:rsid w:val="007A0D0E"/>
    <w:rsid w:val="007A1418"/>
    <w:rsid w:val="007A166F"/>
    <w:rsid w:val="007A1BB6"/>
    <w:rsid w:val="007A490A"/>
    <w:rsid w:val="007A4C5A"/>
    <w:rsid w:val="007A615D"/>
    <w:rsid w:val="007A6DA5"/>
    <w:rsid w:val="007A7F82"/>
    <w:rsid w:val="007B0854"/>
    <w:rsid w:val="007B0F2D"/>
    <w:rsid w:val="007B0F58"/>
    <w:rsid w:val="007B16E2"/>
    <w:rsid w:val="007B234F"/>
    <w:rsid w:val="007B24B5"/>
    <w:rsid w:val="007B44DA"/>
    <w:rsid w:val="007B5F82"/>
    <w:rsid w:val="007B6218"/>
    <w:rsid w:val="007C0326"/>
    <w:rsid w:val="007C0A36"/>
    <w:rsid w:val="007C0A6A"/>
    <w:rsid w:val="007C2221"/>
    <w:rsid w:val="007C36EC"/>
    <w:rsid w:val="007C38F3"/>
    <w:rsid w:val="007C60A9"/>
    <w:rsid w:val="007C6117"/>
    <w:rsid w:val="007C6410"/>
    <w:rsid w:val="007C672F"/>
    <w:rsid w:val="007C7077"/>
    <w:rsid w:val="007C7089"/>
    <w:rsid w:val="007C7370"/>
    <w:rsid w:val="007C7638"/>
    <w:rsid w:val="007C7F04"/>
    <w:rsid w:val="007D0305"/>
    <w:rsid w:val="007D0F47"/>
    <w:rsid w:val="007D1727"/>
    <w:rsid w:val="007D1AD1"/>
    <w:rsid w:val="007D1AE9"/>
    <w:rsid w:val="007D2770"/>
    <w:rsid w:val="007D28C9"/>
    <w:rsid w:val="007D40E2"/>
    <w:rsid w:val="007D58E1"/>
    <w:rsid w:val="007D5E0B"/>
    <w:rsid w:val="007D62CD"/>
    <w:rsid w:val="007D65D4"/>
    <w:rsid w:val="007D71A4"/>
    <w:rsid w:val="007E01FC"/>
    <w:rsid w:val="007E03C8"/>
    <w:rsid w:val="007E1384"/>
    <w:rsid w:val="007E1BCE"/>
    <w:rsid w:val="007E4585"/>
    <w:rsid w:val="007E5B03"/>
    <w:rsid w:val="007E6035"/>
    <w:rsid w:val="007E750C"/>
    <w:rsid w:val="007F047F"/>
    <w:rsid w:val="007F0D40"/>
    <w:rsid w:val="007F168F"/>
    <w:rsid w:val="007F2AC3"/>
    <w:rsid w:val="007F3452"/>
    <w:rsid w:val="007F367B"/>
    <w:rsid w:val="007F3F7B"/>
    <w:rsid w:val="007F4347"/>
    <w:rsid w:val="007F5F3B"/>
    <w:rsid w:val="007F723E"/>
    <w:rsid w:val="007F72CB"/>
    <w:rsid w:val="00800175"/>
    <w:rsid w:val="00802A13"/>
    <w:rsid w:val="00802D30"/>
    <w:rsid w:val="00804C29"/>
    <w:rsid w:val="00804CE6"/>
    <w:rsid w:val="00804EB1"/>
    <w:rsid w:val="0080594C"/>
    <w:rsid w:val="00806EE0"/>
    <w:rsid w:val="008101D2"/>
    <w:rsid w:val="00810C11"/>
    <w:rsid w:val="008111B0"/>
    <w:rsid w:val="00811ED3"/>
    <w:rsid w:val="008125CD"/>
    <w:rsid w:val="0081348A"/>
    <w:rsid w:val="00813504"/>
    <w:rsid w:val="00815027"/>
    <w:rsid w:val="008159D3"/>
    <w:rsid w:val="00816191"/>
    <w:rsid w:val="00816302"/>
    <w:rsid w:val="0081643A"/>
    <w:rsid w:val="00816A51"/>
    <w:rsid w:val="00817A26"/>
    <w:rsid w:val="00817CA8"/>
    <w:rsid w:val="0082251D"/>
    <w:rsid w:val="00822D58"/>
    <w:rsid w:val="00822F0F"/>
    <w:rsid w:val="008232F1"/>
    <w:rsid w:val="00824AA3"/>
    <w:rsid w:val="00824D50"/>
    <w:rsid w:val="008253CB"/>
    <w:rsid w:val="008259B9"/>
    <w:rsid w:val="00826A9D"/>
    <w:rsid w:val="008273FF"/>
    <w:rsid w:val="008303BC"/>
    <w:rsid w:val="0083119B"/>
    <w:rsid w:val="00831238"/>
    <w:rsid w:val="0083133A"/>
    <w:rsid w:val="008313DB"/>
    <w:rsid w:val="008334FC"/>
    <w:rsid w:val="008336C5"/>
    <w:rsid w:val="008339C5"/>
    <w:rsid w:val="008344BC"/>
    <w:rsid w:val="00834864"/>
    <w:rsid w:val="00834EAB"/>
    <w:rsid w:val="00835417"/>
    <w:rsid w:val="008366AF"/>
    <w:rsid w:val="00836793"/>
    <w:rsid w:val="00836AFB"/>
    <w:rsid w:val="00836EAB"/>
    <w:rsid w:val="0083716D"/>
    <w:rsid w:val="008409BE"/>
    <w:rsid w:val="00840B58"/>
    <w:rsid w:val="00841280"/>
    <w:rsid w:val="0084152B"/>
    <w:rsid w:val="00841639"/>
    <w:rsid w:val="00841E0B"/>
    <w:rsid w:val="00842535"/>
    <w:rsid w:val="00842F23"/>
    <w:rsid w:val="00843449"/>
    <w:rsid w:val="00843BC4"/>
    <w:rsid w:val="00843E6C"/>
    <w:rsid w:val="00843F7A"/>
    <w:rsid w:val="00844326"/>
    <w:rsid w:val="0084483F"/>
    <w:rsid w:val="00845303"/>
    <w:rsid w:val="00846F5C"/>
    <w:rsid w:val="0084737E"/>
    <w:rsid w:val="00847B6B"/>
    <w:rsid w:val="00847DD7"/>
    <w:rsid w:val="0085092D"/>
    <w:rsid w:val="008509DD"/>
    <w:rsid w:val="00850DF5"/>
    <w:rsid w:val="0085128C"/>
    <w:rsid w:val="00852018"/>
    <w:rsid w:val="008524B4"/>
    <w:rsid w:val="0085264F"/>
    <w:rsid w:val="00852BB0"/>
    <w:rsid w:val="00852E12"/>
    <w:rsid w:val="00852F5E"/>
    <w:rsid w:val="00853776"/>
    <w:rsid w:val="008541AC"/>
    <w:rsid w:val="00854DBB"/>
    <w:rsid w:val="00856468"/>
    <w:rsid w:val="0085673D"/>
    <w:rsid w:val="00856B57"/>
    <w:rsid w:val="00857F63"/>
    <w:rsid w:val="00860189"/>
    <w:rsid w:val="008601EE"/>
    <w:rsid w:val="00860B10"/>
    <w:rsid w:val="00860C12"/>
    <w:rsid w:val="008610DF"/>
    <w:rsid w:val="008612BF"/>
    <w:rsid w:val="00861408"/>
    <w:rsid w:val="008617E0"/>
    <w:rsid w:val="00862B2A"/>
    <w:rsid w:val="00862D58"/>
    <w:rsid w:val="00865014"/>
    <w:rsid w:val="00865967"/>
    <w:rsid w:val="008700C1"/>
    <w:rsid w:val="008705DE"/>
    <w:rsid w:val="008710F3"/>
    <w:rsid w:val="00871295"/>
    <w:rsid w:val="0087249D"/>
    <w:rsid w:val="00873BCF"/>
    <w:rsid w:val="00874A6C"/>
    <w:rsid w:val="0087657E"/>
    <w:rsid w:val="00876D8A"/>
    <w:rsid w:val="00877366"/>
    <w:rsid w:val="0087745C"/>
    <w:rsid w:val="00877FC5"/>
    <w:rsid w:val="00880626"/>
    <w:rsid w:val="00880C6C"/>
    <w:rsid w:val="00881690"/>
    <w:rsid w:val="00881742"/>
    <w:rsid w:val="008817ED"/>
    <w:rsid w:val="0088243F"/>
    <w:rsid w:val="00882EA0"/>
    <w:rsid w:val="00883662"/>
    <w:rsid w:val="00883715"/>
    <w:rsid w:val="0088457C"/>
    <w:rsid w:val="00885287"/>
    <w:rsid w:val="00885AA7"/>
    <w:rsid w:val="00886201"/>
    <w:rsid w:val="008866FC"/>
    <w:rsid w:val="00886A5B"/>
    <w:rsid w:val="008871CF"/>
    <w:rsid w:val="00887B15"/>
    <w:rsid w:val="00890549"/>
    <w:rsid w:val="00890882"/>
    <w:rsid w:val="00890A8B"/>
    <w:rsid w:val="008927A8"/>
    <w:rsid w:val="00893165"/>
    <w:rsid w:val="00893180"/>
    <w:rsid w:val="0089381E"/>
    <w:rsid w:val="00893C06"/>
    <w:rsid w:val="00894D34"/>
    <w:rsid w:val="0089522C"/>
    <w:rsid w:val="00895AA2"/>
    <w:rsid w:val="00896174"/>
    <w:rsid w:val="008967AF"/>
    <w:rsid w:val="00896A1B"/>
    <w:rsid w:val="008A0425"/>
    <w:rsid w:val="008A0A11"/>
    <w:rsid w:val="008A0B2C"/>
    <w:rsid w:val="008A1966"/>
    <w:rsid w:val="008A214E"/>
    <w:rsid w:val="008A257A"/>
    <w:rsid w:val="008A2F81"/>
    <w:rsid w:val="008A3228"/>
    <w:rsid w:val="008A41E2"/>
    <w:rsid w:val="008A46C3"/>
    <w:rsid w:val="008A52FD"/>
    <w:rsid w:val="008A53F7"/>
    <w:rsid w:val="008A54C1"/>
    <w:rsid w:val="008A575E"/>
    <w:rsid w:val="008A6322"/>
    <w:rsid w:val="008A6443"/>
    <w:rsid w:val="008A69BA"/>
    <w:rsid w:val="008A74A1"/>
    <w:rsid w:val="008A7AAC"/>
    <w:rsid w:val="008A7DFA"/>
    <w:rsid w:val="008B1A31"/>
    <w:rsid w:val="008B250F"/>
    <w:rsid w:val="008B3EAF"/>
    <w:rsid w:val="008B4490"/>
    <w:rsid w:val="008C0AF6"/>
    <w:rsid w:val="008C0ED3"/>
    <w:rsid w:val="008C1E33"/>
    <w:rsid w:val="008C26E3"/>
    <w:rsid w:val="008C2BFB"/>
    <w:rsid w:val="008C41C5"/>
    <w:rsid w:val="008C4353"/>
    <w:rsid w:val="008C596E"/>
    <w:rsid w:val="008C6600"/>
    <w:rsid w:val="008C6B51"/>
    <w:rsid w:val="008D10AA"/>
    <w:rsid w:val="008D1B84"/>
    <w:rsid w:val="008D2B54"/>
    <w:rsid w:val="008D3FBB"/>
    <w:rsid w:val="008D4085"/>
    <w:rsid w:val="008D4225"/>
    <w:rsid w:val="008D4533"/>
    <w:rsid w:val="008D4B97"/>
    <w:rsid w:val="008D4C63"/>
    <w:rsid w:val="008D5F00"/>
    <w:rsid w:val="008D71C9"/>
    <w:rsid w:val="008D76C2"/>
    <w:rsid w:val="008D776A"/>
    <w:rsid w:val="008E0A7E"/>
    <w:rsid w:val="008E197B"/>
    <w:rsid w:val="008E1C15"/>
    <w:rsid w:val="008E3219"/>
    <w:rsid w:val="008E39AB"/>
    <w:rsid w:val="008E3D73"/>
    <w:rsid w:val="008E425D"/>
    <w:rsid w:val="008E4ABB"/>
    <w:rsid w:val="008E5380"/>
    <w:rsid w:val="008E55D9"/>
    <w:rsid w:val="008E5EBF"/>
    <w:rsid w:val="008E6F70"/>
    <w:rsid w:val="008F0394"/>
    <w:rsid w:val="008F14CC"/>
    <w:rsid w:val="008F1D84"/>
    <w:rsid w:val="008F1E25"/>
    <w:rsid w:val="008F2734"/>
    <w:rsid w:val="008F30C9"/>
    <w:rsid w:val="008F39BD"/>
    <w:rsid w:val="008F4123"/>
    <w:rsid w:val="008F489B"/>
    <w:rsid w:val="008F5C25"/>
    <w:rsid w:val="008F6208"/>
    <w:rsid w:val="008F646E"/>
    <w:rsid w:val="008F6E4A"/>
    <w:rsid w:val="008F71EB"/>
    <w:rsid w:val="008F7ABD"/>
    <w:rsid w:val="00900239"/>
    <w:rsid w:val="00900DDB"/>
    <w:rsid w:val="0090136A"/>
    <w:rsid w:val="00901CD9"/>
    <w:rsid w:val="00902199"/>
    <w:rsid w:val="009030CB"/>
    <w:rsid w:val="00903CAD"/>
    <w:rsid w:val="009047C5"/>
    <w:rsid w:val="00904CD9"/>
    <w:rsid w:val="00905603"/>
    <w:rsid w:val="0090586C"/>
    <w:rsid w:val="00906322"/>
    <w:rsid w:val="009063A9"/>
    <w:rsid w:val="009064C4"/>
    <w:rsid w:val="009066C0"/>
    <w:rsid w:val="009071F2"/>
    <w:rsid w:val="0090765B"/>
    <w:rsid w:val="00907A73"/>
    <w:rsid w:val="00907E9D"/>
    <w:rsid w:val="00910046"/>
    <w:rsid w:val="009106BD"/>
    <w:rsid w:val="0091085E"/>
    <w:rsid w:val="00910AEB"/>
    <w:rsid w:val="00910B86"/>
    <w:rsid w:val="009110E3"/>
    <w:rsid w:val="0091237C"/>
    <w:rsid w:val="00914F02"/>
    <w:rsid w:val="00915E71"/>
    <w:rsid w:val="00916A72"/>
    <w:rsid w:val="00916C89"/>
    <w:rsid w:val="0091746C"/>
    <w:rsid w:val="00917585"/>
    <w:rsid w:val="009176F3"/>
    <w:rsid w:val="00917700"/>
    <w:rsid w:val="0092110B"/>
    <w:rsid w:val="00921659"/>
    <w:rsid w:val="009217EE"/>
    <w:rsid w:val="00921CF3"/>
    <w:rsid w:val="00923DC9"/>
    <w:rsid w:val="00924541"/>
    <w:rsid w:val="0092462A"/>
    <w:rsid w:val="0092465E"/>
    <w:rsid w:val="0092478E"/>
    <w:rsid w:val="00924928"/>
    <w:rsid w:val="00924A84"/>
    <w:rsid w:val="00924C21"/>
    <w:rsid w:val="0092603A"/>
    <w:rsid w:val="009278F1"/>
    <w:rsid w:val="00930831"/>
    <w:rsid w:val="00931364"/>
    <w:rsid w:val="0093167B"/>
    <w:rsid w:val="0093193A"/>
    <w:rsid w:val="00931B7E"/>
    <w:rsid w:val="00932FBD"/>
    <w:rsid w:val="009339B8"/>
    <w:rsid w:val="00933F8F"/>
    <w:rsid w:val="0093633E"/>
    <w:rsid w:val="00936B09"/>
    <w:rsid w:val="00937362"/>
    <w:rsid w:val="00937BFF"/>
    <w:rsid w:val="00937E01"/>
    <w:rsid w:val="00937E58"/>
    <w:rsid w:val="00940531"/>
    <w:rsid w:val="0094059F"/>
    <w:rsid w:val="00940714"/>
    <w:rsid w:val="009409CA"/>
    <w:rsid w:val="009424CF"/>
    <w:rsid w:val="00942B12"/>
    <w:rsid w:val="00944EA4"/>
    <w:rsid w:val="00945AD3"/>
    <w:rsid w:val="009465F7"/>
    <w:rsid w:val="00946737"/>
    <w:rsid w:val="00946CFA"/>
    <w:rsid w:val="00947536"/>
    <w:rsid w:val="00947D1F"/>
    <w:rsid w:val="00947D28"/>
    <w:rsid w:val="00947EF5"/>
    <w:rsid w:val="00950258"/>
    <w:rsid w:val="00951364"/>
    <w:rsid w:val="009521FC"/>
    <w:rsid w:val="00952E20"/>
    <w:rsid w:val="0095385A"/>
    <w:rsid w:val="00954ABD"/>
    <w:rsid w:val="00955CAC"/>
    <w:rsid w:val="00955E10"/>
    <w:rsid w:val="009568DA"/>
    <w:rsid w:val="00956C80"/>
    <w:rsid w:val="00956E82"/>
    <w:rsid w:val="00957E08"/>
    <w:rsid w:val="009604AE"/>
    <w:rsid w:val="009606DD"/>
    <w:rsid w:val="00961FA1"/>
    <w:rsid w:val="00962034"/>
    <w:rsid w:val="00962A37"/>
    <w:rsid w:val="00964C6F"/>
    <w:rsid w:val="009654CB"/>
    <w:rsid w:val="00965849"/>
    <w:rsid w:val="009659E9"/>
    <w:rsid w:val="00970217"/>
    <w:rsid w:val="00970DF4"/>
    <w:rsid w:val="00971941"/>
    <w:rsid w:val="00971A67"/>
    <w:rsid w:val="00972D4C"/>
    <w:rsid w:val="009738F8"/>
    <w:rsid w:val="00973D6C"/>
    <w:rsid w:val="00973F55"/>
    <w:rsid w:val="00975490"/>
    <w:rsid w:val="00975B5F"/>
    <w:rsid w:val="00975D1B"/>
    <w:rsid w:val="00976CC3"/>
    <w:rsid w:val="00977088"/>
    <w:rsid w:val="0098054E"/>
    <w:rsid w:val="00981B5D"/>
    <w:rsid w:val="00982489"/>
    <w:rsid w:val="009859D0"/>
    <w:rsid w:val="009866C8"/>
    <w:rsid w:val="009874B4"/>
    <w:rsid w:val="00987DBA"/>
    <w:rsid w:val="00987F32"/>
    <w:rsid w:val="00990612"/>
    <w:rsid w:val="00990A2F"/>
    <w:rsid w:val="0099113C"/>
    <w:rsid w:val="0099165C"/>
    <w:rsid w:val="009930CD"/>
    <w:rsid w:val="0099511A"/>
    <w:rsid w:val="00995CA3"/>
    <w:rsid w:val="009966E7"/>
    <w:rsid w:val="00996D56"/>
    <w:rsid w:val="009A0B76"/>
    <w:rsid w:val="009A1A89"/>
    <w:rsid w:val="009A1A94"/>
    <w:rsid w:val="009A1B74"/>
    <w:rsid w:val="009A1C15"/>
    <w:rsid w:val="009A2C74"/>
    <w:rsid w:val="009A353C"/>
    <w:rsid w:val="009A3AEB"/>
    <w:rsid w:val="009A4864"/>
    <w:rsid w:val="009B053C"/>
    <w:rsid w:val="009B0BF6"/>
    <w:rsid w:val="009B0CB9"/>
    <w:rsid w:val="009B17C2"/>
    <w:rsid w:val="009B1BF2"/>
    <w:rsid w:val="009B2695"/>
    <w:rsid w:val="009B29F8"/>
    <w:rsid w:val="009B5EA5"/>
    <w:rsid w:val="009B63F0"/>
    <w:rsid w:val="009B762F"/>
    <w:rsid w:val="009B7EC0"/>
    <w:rsid w:val="009C02BD"/>
    <w:rsid w:val="009C0EC1"/>
    <w:rsid w:val="009C17B9"/>
    <w:rsid w:val="009C1933"/>
    <w:rsid w:val="009C1FFB"/>
    <w:rsid w:val="009C24BD"/>
    <w:rsid w:val="009C28F4"/>
    <w:rsid w:val="009C2A57"/>
    <w:rsid w:val="009C376A"/>
    <w:rsid w:val="009C3A06"/>
    <w:rsid w:val="009C3D5F"/>
    <w:rsid w:val="009C446F"/>
    <w:rsid w:val="009C4DAD"/>
    <w:rsid w:val="009C55A7"/>
    <w:rsid w:val="009C5D1B"/>
    <w:rsid w:val="009C7648"/>
    <w:rsid w:val="009C782E"/>
    <w:rsid w:val="009C7F2E"/>
    <w:rsid w:val="009D07CB"/>
    <w:rsid w:val="009D0F4D"/>
    <w:rsid w:val="009D0FC4"/>
    <w:rsid w:val="009D3049"/>
    <w:rsid w:val="009D310C"/>
    <w:rsid w:val="009D4A2A"/>
    <w:rsid w:val="009D4FF8"/>
    <w:rsid w:val="009D54EC"/>
    <w:rsid w:val="009D65B4"/>
    <w:rsid w:val="009D7290"/>
    <w:rsid w:val="009E01BD"/>
    <w:rsid w:val="009E0317"/>
    <w:rsid w:val="009E0A70"/>
    <w:rsid w:val="009E0D1B"/>
    <w:rsid w:val="009E16CE"/>
    <w:rsid w:val="009E1F5A"/>
    <w:rsid w:val="009E245B"/>
    <w:rsid w:val="009E2882"/>
    <w:rsid w:val="009E3217"/>
    <w:rsid w:val="009E362D"/>
    <w:rsid w:val="009E411D"/>
    <w:rsid w:val="009E4454"/>
    <w:rsid w:val="009E48B1"/>
    <w:rsid w:val="009E4C08"/>
    <w:rsid w:val="009E50EE"/>
    <w:rsid w:val="009E50F2"/>
    <w:rsid w:val="009E5DF3"/>
    <w:rsid w:val="009F0114"/>
    <w:rsid w:val="009F0BCE"/>
    <w:rsid w:val="009F1817"/>
    <w:rsid w:val="009F1BD6"/>
    <w:rsid w:val="009F2418"/>
    <w:rsid w:val="009F3083"/>
    <w:rsid w:val="009F3C99"/>
    <w:rsid w:val="009F48F0"/>
    <w:rsid w:val="009F57D1"/>
    <w:rsid w:val="009F596F"/>
    <w:rsid w:val="009F6523"/>
    <w:rsid w:val="009F6B3F"/>
    <w:rsid w:val="009F773F"/>
    <w:rsid w:val="009F7802"/>
    <w:rsid w:val="009F7D1F"/>
    <w:rsid w:val="00A00987"/>
    <w:rsid w:val="00A0154B"/>
    <w:rsid w:val="00A01F14"/>
    <w:rsid w:val="00A028FC"/>
    <w:rsid w:val="00A02DEF"/>
    <w:rsid w:val="00A03186"/>
    <w:rsid w:val="00A0353C"/>
    <w:rsid w:val="00A0353D"/>
    <w:rsid w:val="00A03556"/>
    <w:rsid w:val="00A035A4"/>
    <w:rsid w:val="00A036C4"/>
    <w:rsid w:val="00A044A1"/>
    <w:rsid w:val="00A04EC5"/>
    <w:rsid w:val="00A06FD7"/>
    <w:rsid w:val="00A07446"/>
    <w:rsid w:val="00A078DA"/>
    <w:rsid w:val="00A10135"/>
    <w:rsid w:val="00A10706"/>
    <w:rsid w:val="00A1089F"/>
    <w:rsid w:val="00A11267"/>
    <w:rsid w:val="00A113C9"/>
    <w:rsid w:val="00A118A0"/>
    <w:rsid w:val="00A12085"/>
    <w:rsid w:val="00A136ED"/>
    <w:rsid w:val="00A14F3C"/>
    <w:rsid w:val="00A17B91"/>
    <w:rsid w:val="00A206C9"/>
    <w:rsid w:val="00A20C68"/>
    <w:rsid w:val="00A21415"/>
    <w:rsid w:val="00A21624"/>
    <w:rsid w:val="00A23088"/>
    <w:rsid w:val="00A234DF"/>
    <w:rsid w:val="00A23BA0"/>
    <w:rsid w:val="00A23E37"/>
    <w:rsid w:val="00A2451D"/>
    <w:rsid w:val="00A24560"/>
    <w:rsid w:val="00A24CAF"/>
    <w:rsid w:val="00A25834"/>
    <w:rsid w:val="00A25EC5"/>
    <w:rsid w:val="00A26731"/>
    <w:rsid w:val="00A26D28"/>
    <w:rsid w:val="00A2734F"/>
    <w:rsid w:val="00A27EFE"/>
    <w:rsid w:val="00A30501"/>
    <w:rsid w:val="00A305CD"/>
    <w:rsid w:val="00A308D1"/>
    <w:rsid w:val="00A316F7"/>
    <w:rsid w:val="00A31AAB"/>
    <w:rsid w:val="00A3216E"/>
    <w:rsid w:val="00A32437"/>
    <w:rsid w:val="00A32529"/>
    <w:rsid w:val="00A32559"/>
    <w:rsid w:val="00A338FC"/>
    <w:rsid w:val="00A33A2C"/>
    <w:rsid w:val="00A34538"/>
    <w:rsid w:val="00A35156"/>
    <w:rsid w:val="00A36062"/>
    <w:rsid w:val="00A37529"/>
    <w:rsid w:val="00A41ADB"/>
    <w:rsid w:val="00A41BFA"/>
    <w:rsid w:val="00A4289E"/>
    <w:rsid w:val="00A42A3B"/>
    <w:rsid w:val="00A43490"/>
    <w:rsid w:val="00A43FD5"/>
    <w:rsid w:val="00A44DA5"/>
    <w:rsid w:val="00A46384"/>
    <w:rsid w:val="00A46CED"/>
    <w:rsid w:val="00A470F2"/>
    <w:rsid w:val="00A47803"/>
    <w:rsid w:val="00A47CCC"/>
    <w:rsid w:val="00A47DA6"/>
    <w:rsid w:val="00A47E0A"/>
    <w:rsid w:val="00A47F59"/>
    <w:rsid w:val="00A47F6D"/>
    <w:rsid w:val="00A507B2"/>
    <w:rsid w:val="00A50AD2"/>
    <w:rsid w:val="00A50F5C"/>
    <w:rsid w:val="00A51D51"/>
    <w:rsid w:val="00A5228B"/>
    <w:rsid w:val="00A5235A"/>
    <w:rsid w:val="00A524A1"/>
    <w:rsid w:val="00A53B56"/>
    <w:rsid w:val="00A53E7C"/>
    <w:rsid w:val="00A546CA"/>
    <w:rsid w:val="00A54A2B"/>
    <w:rsid w:val="00A54AB9"/>
    <w:rsid w:val="00A550A5"/>
    <w:rsid w:val="00A5584C"/>
    <w:rsid w:val="00A56A79"/>
    <w:rsid w:val="00A572E1"/>
    <w:rsid w:val="00A578E2"/>
    <w:rsid w:val="00A61FEE"/>
    <w:rsid w:val="00A62BAF"/>
    <w:rsid w:val="00A63DEC"/>
    <w:rsid w:val="00A6404B"/>
    <w:rsid w:val="00A641CA"/>
    <w:rsid w:val="00A656EF"/>
    <w:rsid w:val="00A65AA6"/>
    <w:rsid w:val="00A679E3"/>
    <w:rsid w:val="00A70311"/>
    <w:rsid w:val="00A70419"/>
    <w:rsid w:val="00A71148"/>
    <w:rsid w:val="00A72A3B"/>
    <w:rsid w:val="00A7461D"/>
    <w:rsid w:val="00A76AE9"/>
    <w:rsid w:val="00A80248"/>
    <w:rsid w:val="00A809C9"/>
    <w:rsid w:val="00A80CF4"/>
    <w:rsid w:val="00A814D6"/>
    <w:rsid w:val="00A8268C"/>
    <w:rsid w:val="00A8275B"/>
    <w:rsid w:val="00A82E32"/>
    <w:rsid w:val="00A84361"/>
    <w:rsid w:val="00A84904"/>
    <w:rsid w:val="00A852F0"/>
    <w:rsid w:val="00A853DD"/>
    <w:rsid w:val="00A85C05"/>
    <w:rsid w:val="00A87177"/>
    <w:rsid w:val="00A87B23"/>
    <w:rsid w:val="00A92291"/>
    <w:rsid w:val="00A923B7"/>
    <w:rsid w:val="00A92A59"/>
    <w:rsid w:val="00A95B45"/>
    <w:rsid w:val="00A95D9F"/>
    <w:rsid w:val="00A97342"/>
    <w:rsid w:val="00A97D03"/>
    <w:rsid w:val="00AA03C4"/>
    <w:rsid w:val="00AA077E"/>
    <w:rsid w:val="00AA0FB0"/>
    <w:rsid w:val="00AA18DB"/>
    <w:rsid w:val="00AA195D"/>
    <w:rsid w:val="00AA1C27"/>
    <w:rsid w:val="00AA33BA"/>
    <w:rsid w:val="00AA3DEF"/>
    <w:rsid w:val="00AA442B"/>
    <w:rsid w:val="00AA671A"/>
    <w:rsid w:val="00AA679F"/>
    <w:rsid w:val="00AA686E"/>
    <w:rsid w:val="00AA6CC1"/>
    <w:rsid w:val="00AB00BD"/>
    <w:rsid w:val="00AB0D4D"/>
    <w:rsid w:val="00AB14CE"/>
    <w:rsid w:val="00AB1580"/>
    <w:rsid w:val="00AB1690"/>
    <w:rsid w:val="00AB17CF"/>
    <w:rsid w:val="00AB196B"/>
    <w:rsid w:val="00AB1AC8"/>
    <w:rsid w:val="00AB1CC8"/>
    <w:rsid w:val="00AB214B"/>
    <w:rsid w:val="00AB232F"/>
    <w:rsid w:val="00AB30DF"/>
    <w:rsid w:val="00AB3E40"/>
    <w:rsid w:val="00AB47E2"/>
    <w:rsid w:val="00AB4996"/>
    <w:rsid w:val="00AB4B1B"/>
    <w:rsid w:val="00AB4DF6"/>
    <w:rsid w:val="00AB61DC"/>
    <w:rsid w:val="00AB769D"/>
    <w:rsid w:val="00AB7F25"/>
    <w:rsid w:val="00AC004D"/>
    <w:rsid w:val="00AC060F"/>
    <w:rsid w:val="00AC0EEB"/>
    <w:rsid w:val="00AC1272"/>
    <w:rsid w:val="00AC1646"/>
    <w:rsid w:val="00AC1839"/>
    <w:rsid w:val="00AC1887"/>
    <w:rsid w:val="00AC3414"/>
    <w:rsid w:val="00AC3ACC"/>
    <w:rsid w:val="00AC3B09"/>
    <w:rsid w:val="00AC4E3B"/>
    <w:rsid w:val="00AD0B1D"/>
    <w:rsid w:val="00AD0F7C"/>
    <w:rsid w:val="00AD22FC"/>
    <w:rsid w:val="00AD2E44"/>
    <w:rsid w:val="00AD2F7B"/>
    <w:rsid w:val="00AD47FB"/>
    <w:rsid w:val="00AD48B1"/>
    <w:rsid w:val="00AD493D"/>
    <w:rsid w:val="00AD4EBB"/>
    <w:rsid w:val="00AD5E7A"/>
    <w:rsid w:val="00AD6135"/>
    <w:rsid w:val="00AD73E8"/>
    <w:rsid w:val="00AD79D1"/>
    <w:rsid w:val="00AD7A11"/>
    <w:rsid w:val="00AD7C52"/>
    <w:rsid w:val="00AE0AC7"/>
    <w:rsid w:val="00AE1289"/>
    <w:rsid w:val="00AE19FC"/>
    <w:rsid w:val="00AE1FAC"/>
    <w:rsid w:val="00AE2349"/>
    <w:rsid w:val="00AE3710"/>
    <w:rsid w:val="00AE3A7C"/>
    <w:rsid w:val="00AE3E75"/>
    <w:rsid w:val="00AE4072"/>
    <w:rsid w:val="00AE4119"/>
    <w:rsid w:val="00AE4E69"/>
    <w:rsid w:val="00AE5307"/>
    <w:rsid w:val="00AE5B43"/>
    <w:rsid w:val="00AE65B9"/>
    <w:rsid w:val="00AE6719"/>
    <w:rsid w:val="00AE6D68"/>
    <w:rsid w:val="00AE7610"/>
    <w:rsid w:val="00AF1383"/>
    <w:rsid w:val="00AF152E"/>
    <w:rsid w:val="00AF1ED8"/>
    <w:rsid w:val="00AF28FF"/>
    <w:rsid w:val="00AF51A0"/>
    <w:rsid w:val="00AF5CE1"/>
    <w:rsid w:val="00AF6D47"/>
    <w:rsid w:val="00AF713D"/>
    <w:rsid w:val="00AF7FCE"/>
    <w:rsid w:val="00B00F9B"/>
    <w:rsid w:val="00B01850"/>
    <w:rsid w:val="00B02601"/>
    <w:rsid w:val="00B029E3"/>
    <w:rsid w:val="00B04843"/>
    <w:rsid w:val="00B055C7"/>
    <w:rsid w:val="00B0560B"/>
    <w:rsid w:val="00B06243"/>
    <w:rsid w:val="00B07B14"/>
    <w:rsid w:val="00B07BE4"/>
    <w:rsid w:val="00B101EE"/>
    <w:rsid w:val="00B1060D"/>
    <w:rsid w:val="00B118E9"/>
    <w:rsid w:val="00B12054"/>
    <w:rsid w:val="00B120C2"/>
    <w:rsid w:val="00B1288F"/>
    <w:rsid w:val="00B12A7B"/>
    <w:rsid w:val="00B12C01"/>
    <w:rsid w:val="00B12C69"/>
    <w:rsid w:val="00B16C38"/>
    <w:rsid w:val="00B16C94"/>
    <w:rsid w:val="00B16D08"/>
    <w:rsid w:val="00B16D7C"/>
    <w:rsid w:val="00B16E58"/>
    <w:rsid w:val="00B1704B"/>
    <w:rsid w:val="00B17763"/>
    <w:rsid w:val="00B17C06"/>
    <w:rsid w:val="00B21D6C"/>
    <w:rsid w:val="00B22E22"/>
    <w:rsid w:val="00B23B33"/>
    <w:rsid w:val="00B243F7"/>
    <w:rsid w:val="00B258A0"/>
    <w:rsid w:val="00B25E2E"/>
    <w:rsid w:val="00B26374"/>
    <w:rsid w:val="00B26EC1"/>
    <w:rsid w:val="00B273B5"/>
    <w:rsid w:val="00B305CF"/>
    <w:rsid w:val="00B30D3C"/>
    <w:rsid w:val="00B32C0B"/>
    <w:rsid w:val="00B32DE6"/>
    <w:rsid w:val="00B336F3"/>
    <w:rsid w:val="00B33D08"/>
    <w:rsid w:val="00B340FE"/>
    <w:rsid w:val="00B346CC"/>
    <w:rsid w:val="00B351B5"/>
    <w:rsid w:val="00B35587"/>
    <w:rsid w:val="00B35679"/>
    <w:rsid w:val="00B360BE"/>
    <w:rsid w:val="00B36547"/>
    <w:rsid w:val="00B36E67"/>
    <w:rsid w:val="00B371E9"/>
    <w:rsid w:val="00B401D0"/>
    <w:rsid w:val="00B403DE"/>
    <w:rsid w:val="00B40A2A"/>
    <w:rsid w:val="00B42A55"/>
    <w:rsid w:val="00B42AFD"/>
    <w:rsid w:val="00B439B4"/>
    <w:rsid w:val="00B43AA5"/>
    <w:rsid w:val="00B43C9B"/>
    <w:rsid w:val="00B46798"/>
    <w:rsid w:val="00B46BC7"/>
    <w:rsid w:val="00B50315"/>
    <w:rsid w:val="00B512C3"/>
    <w:rsid w:val="00B513FE"/>
    <w:rsid w:val="00B51451"/>
    <w:rsid w:val="00B5146F"/>
    <w:rsid w:val="00B515CA"/>
    <w:rsid w:val="00B51689"/>
    <w:rsid w:val="00B5178D"/>
    <w:rsid w:val="00B525CB"/>
    <w:rsid w:val="00B531D7"/>
    <w:rsid w:val="00B53F68"/>
    <w:rsid w:val="00B54CB6"/>
    <w:rsid w:val="00B5556E"/>
    <w:rsid w:val="00B55682"/>
    <w:rsid w:val="00B56556"/>
    <w:rsid w:val="00B57AC1"/>
    <w:rsid w:val="00B60926"/>
    <w:rsid w:val="00B610D5"/>
    <w:rsid w:val="00B613B5"/>
    <w:rsid w:val="00B613B9"/>
    <w:rsid w:val="00B6143C"/>
    <w:rsid w:val="00B62CA6"/>
    <w:rsid w:val="00B630A6"/>
    <w:rsid w:val="00B6341F"/>
    <w:rsid w:val="00B6352C"/>
    <w:rsid w:val="00B637F3"/>
    <w:rsid w:val="00B63CB2"/>
    <w:rsid w:val="00B63F56"/>
    <w:rsid w:val="00B64278"/>
    <w:rsid w:val="00B6444C"/>
    <w:rsid w:val="00B66866"/>
    <w:rsid w:val="00B66D78"/>
    <w:rsid w:val="00B678C7"/>
    <w:rsid w:val="00B70169"/>
    <w:rsid w:val="00B70283"/>
    <w:rsid w:val="00B7078C"/>
    <w:rsid w:val="00B710C4"/>
    <w:rsid w:val="00B71561"/>
    <w:rsid w:val="00B7345C"/>
    <w:rsid w:val="00B737A3"/>
    <w:rsid w:val="00B73B11"/>
    <w:rsid w:val="00B754CA"/>
    <w:rsid w:val="00B75BAA"/>
    <w:rsid w:val="00B75C7C"/>
    <w:rsid w:val="00B77ADE"/>
    <w:rsid w:val="00B77C1C"/>
    <w:rsid w:val="00B77D93"/>
    <w:rsid w:val="00B80316"/>
    <w:rsid w:val="00B80794"/>
    <w:rsid w:val="00B80D4A"/>
    <w:rsid w:val="00B80D60"/>
    <w:rsid w:val="00B8193B"/>
    <w:rsid w:val="00B81ACB"/>
    <w:rsid w:val="00B81B5D"/>
    <w:rsid w:val="00B81F14"/>
    <w:rsid w:val="00B8210A"/>
    <w:rsid w:val="00B8385C"/>
    <w:rsid w:val="00B83F84"/>
    <w:rsid w:val="00B84B3E"/>
    <w:rsid w:val="00B85623"/>
    <w:rsid w:val="00B90205"/>
    <w:rsid w:val="00B90B22"/>
    <w:rsid w:val="00B90B34"/>
    <w:rsid w:val="00B91CF1"/>
    <w:rsid w:val="00B91EAD"/>
    <w:rsid w:val="00B92CB6"/>
    <w:rsid w:val="00B93287"/>
    <w:rsid w:val="00B94B1F"/>
    <w:rsid w:val="00B94D3B"/>
    <w:rsid w:val="00B9556D"/>
    <w:rsid w:val="00B95717"/>
    <w:rsid w:val="00B97131"/>
    <w:rsid w:val="00BA101A"/>
    <w:rsid w:val="00BA1433"/>
    <w:rsid w:val="00BA2BEC"/>
    <w:rsid w:val="00BA32EF"/>
    <w:rsid w:val="00BA4904"/>
    <w:rsid w:val="00BA4B5B"/>
    <w:rsid w:val="00BA549C"/>
    <w:rsid w:val="00BA54F0"/>
    <w:rsid w:val="00BA5B4B"/>
    <w:rsid w:val="00BA6306"/>
    <w:rsid w:val="00BB16AA"/>
    <w:rsid w:val="00BB325C"/>
    <w:rsid w:val="00BB32EA"/>
    <w:rsid w:val="00BB37BD"/>
    <w:rsid w:val="00BB5B30"/>
    <w:rsid w:val="00BB5C7A"/>
    <w:rsid w:val="00BB6003"/>
    <w:rsid w:val="00BB761E"/>
    <w:rsid w:val="00BB7738"/>
    <w:rsid w:val="00BB7CF2"/>
    <w:rsid w:val="00BC0980"/>
    <w:rsid w:val="00BC1901"/>
    <w:rsid w:val="00BC20AF"/>
    <w:rsid w:val="00BC2F8F"/>
    <w:rsid w:val="00BC3610"/>
    <w:rsid w:val="00BC3A7B"/>
    <w:rsid w:val="00BC3E50"/>
    <w:rsid w:val="00BC46FA"/>
    <w:rsid w:val="00BC4CFC"/>
    <w:rsid w:val="00BC5E6E"/>
    <w:rsid w:val="00BC638A"/>
    <w:rsid w:val="00BC7A70"/>
    <w:rsid w:val="00BD075C"/>
    <w:rsid w:val="00BD0942"/>
    <w:rsid w:val="00BD09C9"/>
    <w:rsid w:val="00BD16E4"/>
    <w:rsid w:val="00BD3ADF"/>
    <w:rsid w:val="00BD404B"/>
    <w:rsid w:val="00BD4104"/>
    <w:rsid w:val="00BD418A"/>
    <w:rsid w:val="00BD484B"/>
    <w:rsid w:val="00BD5979"/>
    <w:rsid w:val="00BD5F18"/>
    <w:rsid w:val="00BD5F91"/>
    <w:rsid w:val="00BD78FE"/>
    <w:rsid w:val="00BE1B2E"/>
    <w:rsid w:val="00BE1EB7"/>
    <w:rsid w:val="00BE43C0"/>
    <w:rsid w:val="00BE4C31"/>
    <w:rsid w:val="00BE5743"/>
    <w:rsid w:val="00BE60C5"/>
    <w:rsid w:val="00BE68A7"/>
    <w:rsid w:val="00BE7972"/>
    <w:rsid w:val="00BF0438"/>
    <w:rsid w:val="00BF0945"/>
    <w:rsid w:val="00BF0F80"/>
    <w:rsid w:val="00BF2195"/>
    <w:rsid w:val="00BF239F"/>
    <w:rsid w:val="00BF26EF"/>
    <w:rsid w:val="00BF2870"/>
    <w:rsid w:val="00BF2E6F"/>
    <w:rsid w:val="00BF3691"/>
    <w:rsid w:val="00BF3E3E"/>
    <w:rsid w:val="00BF3E9C"/>
    <w:rsid w:val="00BF46EB"/>
    <w:rsid w:val="00BF52BB"/>
    <w:rsid w:val="00BF5655"/>
    <w:rsid w:val="00BF59DD"/>
    <w:rsid w:val="00BF6F68"/>
    <w:rsid w:val="00BF7FBC"/>
    <w:rsid w:val="00C001BA"/>
    <w:rsid w:val="00C00727"/>
    <w:rsid w:val="00C01713"/>
    <w:rsid w:val="00C01888"/>
    <w:rsid w:val="00C0300E"/>
    <w:rsid w:val="00C03968"/>
    <w:rsid w:val="00C03D7A"/>
    <w:rsid w:val="00C06AA8"/>
    <w:rsid w:val="00C06C24"/>
    <w:rsid w:val="00C06D8D"/>
    <w:rsid w:val="00C06F4E"/>
    <w:rsid w:val="00C074ED"/>
    <w:rsid w:val="00C07969"/>
    <w:rsid w:val="00C07BA3"/>
    <w:rsid w:val="00C07EFC"/>
    <w:rsid w:val="00C1063D"/>
    <w:rsid w:val="00C108FF"/>
    <w:rsid w:val="00C128D8"/>
    <w:rsid w:val="00C13117"/>
    <w:rsid w:val="00C1313D"/>
    <w:rsid w:val="00C13B27"/>
    <w:rsid w:val="00C140C5"/>
    <w:rsid w:val="00C14392"/>
    <w:rsid w:val="00C14A7F"/>
    <w:rsid w:val="00C14CDE"/>
    <w:rsid w:val="00C14D9E"/>
    <w:rsid w:val="00C16340"/>
    <w:rsid w:val="00C16902"/>
    <w:rsid w:val="00C1755A"/>
    <w:rsid w:val="00C179B2"/>
    <w:rsid w:val="00C20311"/>
    <w:rsid w:val="00C210EA"/>
    <w:rsid w:val="00C215F9"/>
    <w:rsid w:val="00C21979"/>
    <w:rsid w:val="00C2235E"/>
    <w:rsid w:val="00C22C1C"/>
    <w:rsid w:val="00C2341D"/>
    <w:rsid w:val="00C236F1"/>
    <w:rsid w:val="00C23EB2"/>
    <w:rsid w:val="00C248E6"/>
    <w:rsid w:val="00C24CB7"/>
    <w:rsid w:val="00C25356"/>
    <w:rsid w:val="00C260AE"/>
    <w:rsid w:val="00C26FF5"/>
    <w:rsid w:val="00C2785E"/>
    <w:rsid w:val="00C301D9"/>
    <w:rsid w:val="00C3050E"/>
    <w:rsid w:val="00C31E79"/>
    <w:rsid w:val="00C32E42"/>
    <w:rsid w:val="00C34FF4"/>
    <w:rsid w:val="00C355B4"/>
    <w:rsid w:val="00C35779"/>
    <w:rsid w:val="00C358C6"/>
    <w:rsid w:val="00C35C94"/>
    <w:rsid w:val="00C35CCA"/>
    <w:rsid w:val="00C36B79"/>
    <w:rsid w:val="00C373F7"/>
    <w:rsid w:val="00C3789F"/>
    <w:rsid w:val="00C37E77"/>
    <w:rsid w:val="00C40C20"/>
    <w:rsid w:val="00C41A44"/>
    <w:rsid w:val="00C41D28"/>
    <w:rsid w:val="00C420C0"/>
    <w:rsid w:val="00C421D2"/>
    <w:rsid w:val="00C4266A"/>
    <w:rsid w:val="00C4281E"/>
    <w:rsid w:val="00C42841"/>
    <w:rsid w:val="00C429CB"/>
    <w:rsid w:val="00C43FAA"/>
    <w:rsid w:val="00C44120"/>
    <w:rsid w:val="00C445C0"/>
    <w:rsid w:val="00C44882"/>
    <w:rsid w:val="00C4553B"/>
    <w:rsid w:val="00C46C7E"/>
    <w:rsid w:val="00C46DAD"/>
    <w:rsid w:val="00C474F7"/>
    <w:rsid w:val="00C5029B"/>
    <w:rsid w:val="00C50FFB"/>
    <w:rsid w:val="00C51383"/>
    <w:rsid w:val="00C52AA0"/>
    <w:rsid w:val="00C52E69"/>
    <w:rsid w:val="00C53904"/>
    <w:rsid w:val="00C539FA"/>
    <w:rsid w:val="00C53C40"/>
    <w:rsid w:val="00C54A9A"/>
    <w:rsid w:val="00C54AFB"/>
    <w:rsid w:val="00C54E31"/>
    <w:rsid w:val="00C54E4E"/>
    <w:rsid w:val="00C5659C"/>
    <w:rsid w:val="00C579C6"/>
    <w:rsid w:val="00C606C0"/>
    <w:rsid w:val="00C60A58"/>
    <w:rsid w:val="00C611EF"/>
    <w:rsid w:val="00C63537"/>
    <w:rsid w:val="00C63B97"/>
    <w:rsid w:val="00C63E4C"/>
    <w:rsid w:val="00C643FB"/>
    <w:rsid w:val="00C64C51"/>
    <w:rsid w:val="00C6585A"/>
    <w:rsid w:val="00C67675"/>
    <w:rsid w:val="00C70C9A"/>
    <w:rsid w:val="00C7127A"/>
    <w:rsid w:val="00C713D7"/>
    <w:rsid w:val="00C71798"/>
    <w:rsid w:val="00C71F42"/>
    <w:rsid w:val="00C74D7F"/>
    <w:rsid w:val="00C75515"/>
    <w:rsid w:val="00C76A33"/>
    <w:rsid w:val="00C8023B"/>
    <w:rsid w:val="00C80B95"/>
    <w:rsid w:val="00C80DCC"/>
    <w:rsid w:val="00C8107E"/>
    <w:rsid w:val="00C81676"/>
    <w:rsid w:val="00C818C5"/>
    <w:rsid w:val="00C81AC2"/>
    <w:rsid w:val="00C82037"/>
    <w:rsid w:val="00C8219B"/>
    <w:rsid w:val="00C821FE"/>
    <w:rsid w:val="00C82754"/>
    <w:rsid w:val="00C8292A"/>
    <w:rsid w:val="00C83540"/>
    <w:rsid w:val="00C83D45"/>
    <w:rsid w:val="00C845E6"/>
    <w:rsid w:val="00C847FA"/>
    <w:rsid w:val="00C84D6B"/>
    <w:rsid w:val="00C8577F"/>
    <w:rsid w:val="00C859B3"/>
    <w:rsid w:val="00C86594"/>
    <w:rsid w:val="00C878E8"/>
    <w:rsid w:val="00C87A79"/>
    <w:rsid w:val="00C87FB1"/>
    <w:rsid w:val="00C90A72"/>
    <w:rsid w:val="00C92306"/>
    <w:rsid w:val="00C92639"/>
    <w:rsid w:val="00C933A5"/>
    <w:rsid w:val="00C94383"/>
    <w:rsid w:val="00C94489"/>
    <w:rsid w:val="00C949D9"/>
    <w:rsid w:val="00C95026"/>
    <w:rsid w:val="00C9670A"/>
    <w:rsid w:val="00C969DD"/>
    <w:rsid w:val="00C974E8"/>
    <w:rsid w:val="00C97546"/>
    <w:rsid w:val="00CA0AB5"/>
    <w:rsid w:val="00CA0C3E"/>
    <w:rsid w:val="00CA1177"/>
    <w:rsid w:val="00CA131B"/>
    <w:rsid w:val="00CA1540"/>
    <w:rsid w:val="00CA2874"/>
    <w:rsid w:val="00CA287E"/>
    <w:rsid w:val="00CA2B13"/>
    <w:rsid w:val="00CA3F40"/>
    <w:rsid w:val="00CA44C0"/>
    <w:rsid w:val="00CA44E6"/>
    <w:rsid w:val="00CA4B84"/>
    <w:rsid w:val="00CA5586"/>
    <w:rsid w:val="00CA5926"/>
    <w:rsid w:val="00CA5AD8"/>
    <w:rsid w:val="00CA5FFD"/>
    <w:rsid w:val="00CA6A3C"/>
    <w:rsid w:val="00CA6B80"/>
    <w:rsid w:val="00CA7139"/>
    <w:rsid w:val="00CA73A8"/>
    <w:rsid w:val="00CB084F"/>
    <w:rsid w:val="00CB0D36"/>
    <w:rsid w:val="00CB127A"/>
    <w:rsid w:val="00CB1B38"/>
    <w:rsid w:val="00CB1D4D"/>
    <w:rsid w:val="00CB21C6"/>
    <w:rsid w:val="00CB22AF"/>
    <w:rsid w:val="00CB3DAB"/>
    <w:rsid w:val="00CB4B63"/>
    <w:rsid w:val="00CB4C30"/>
    <w:rsid w:val="00CB532E"/>
    <w:rsid w:val="00CB5663"/>
    <w:rsid w:val="00CB58CF"/>
    <w:rsid w:val="00CB7FCB"/>
    <w:rsid w:val="00CC00CD"/>
    <w:rsid w:val="00CC0E2F"/>
    <w:rsid w:val="00CC14C5"/>
    <w:rsid w:val="00CC1A35"/>
    <w:rsid w:val="00CC29D3"/>
    <w:rsid w:val="00CC2C34"/>
    <w:rsid w:val="00CC2D5F"/>
    <w:rsid w:val="00CC4A96"/>
    <w:rsid w:val="00CC5BE0"/>
    <w:rsid w:val="00CC5E3E"/>
    <w:rsid w:val="00CC670C"/>
    <w:rsid w:val="00CC786F"/>
    <w:rsid w:val="00CD080F"/>
    <w:rsid w:val="00CD1434"/>
    <w:rsid w:val="00CD1A2C"/>
    <w:rsid w:val="00CD2200"/>
    <w:rsid w:val="00CD22B2"/>
    <w:rsid w:val="00CD2B02"/>
    <w:rsid w:val="00CD47FC"/>
    <w:rsid w:val="00CD4833"/>
    <w:rsid w:val="00CD4CEE"/>
    <w:rsid w:val="00CD5188"/>
    <w:rsid w:val="00CD542B"/>
    <w:rsid w:val="00CD5688"/>
    <w:rsid w:val="00CD5978"/>
    <w:rsid w:val="00CD59EC"/>
    <w:rsid w:val="00CD5AB4"/>
    <w:rsid w:val="00CD5C2C"/>
    <w:rsid w:val="00CD5CFD"/>
    <w:rsid w:val="00CD5F34"/>
    <w:rsid w:val="00CD66AC"/>
    <w:rsid w:val="00CD6EED"/>
    <w:rsid w:val="00CD7A66"/>
    <w:rsid w:val="00CE026A"/>
    <w:rsid w:val="00CE041B"/>
    <w:rsid w:val="00CE170E"/>
    <w:rsid w:val="00CE2F86"/>
    <w:rsid w:val="00CE33FA"/>
    <w:rsid w:val="00CE3652"/>
    <w:rsid w:val="00CE50B8"/>
    <w:rsid w:val="00CE72E3"/>
    <w:rsid w:val="00CE79BA"/>
    <w:rsid w:val="00CE7D43"/>
    <w:rsid w:val="00CF18F5"/>
    <w:rsid w:val="00CF2AA3"/>
    <w:rsid w:val="00CF2CA1"/>
    <w:rsid w:val="00CF2EF6"/>
    <w:rsid w:val="00CF38A3"/>
    <w:rsid w:val="00CF397F"/>
    <w:rsid w:val="00CF404E"/>
    <w:rsid w:val="00CF4690"/>
    <w:rsid w:val="00CF4DAF"/>
    <w:rsid w:val="00CF532E"/>
    <w:rsid w:val="00CF5675"/>
    <w:rsid w:val="00CF6B14"/>
    <w:rsid w:val="00CF6E63"/>
    <w:rsid w:val="00CF7DE3"/>
    <w:rsid w:val="00D004A0"/>
    <w:rsid w:val="00D03273"/>
    <w:rsid w:val="00D03ECE"/>
    <w:rsid w:val="00D04268"/>
    <w:rsid w:val="00D047D3"/>
    <w:rsid w:val="00D0488F"/>
    <w:rsid w:val="00D04F45"/>
    <w:rsid w:val="00D054BD"/>
    <w:rsid w:val="00D05E28"/>
    <w:rsid w:val="00D05F5D"/>
    <w:rsid w:val="00D063D2"/>
    <w:rsid w:val="00D06D43"/>
    <w:rsid w:val="00D071AF"/>
    <w:rsid w:val="00D07E72"/>
    <w:rsid w:val="00D07F68"/>
    <w:rsid w:val="00D111AF"/>
    <w:rsid w:val="00D1185B"/>
    <w:rsid w:val="00D11E53"/>
    <w:rsid w:val="00D121E4"/>
    <w:rsid w:val="00D12348"/>
    <w:rsid w:val="00D1440B"/>
    <w:rsid w:val="00D14A78"/>
    <w:rsid w:val="00D150E7"/>
    <w:rsid w:val="00D1587C"/>
    <w:rsid w:val="00D15D40"/>
    <w:rsid w:val="00D16345"/>
    <w:rsid w:val="00D164E5"/>
    <w:rsid w:val="00D16E21"/>
    <w:rsid w:val="00D16E36"/>
    <w:rsid w:val="00D16E39"/>
    <w:rsid w:val="00D20355"/>
    <w:rsid w:val="00D20C61"/>
    <w:rsid w:val="00D2159B"/>
    <w:rsid w:val="00D22F3D"/>
    <w:rsid w:val="00D23B7C"/>
    <w:rsid w:val="00D24CC2"/>
    <w:rsid w:val="00D24E22"/>
    <w:rsid w:val="00D250D0"/>
    <w:rsid w:val="00D25B15"/>
    <w:rsid w:val="00D25E11"/>
    <w:rsid w:val="00D30416"/>
    <w:rsid w:val="00D31F4A"/>
    <w:rsid w:val="00D32C9D"/>
    <w:rsid w:val="00D3549C"/>
    <w:rsid w:val="00D356F9"/>
    <w:rsid w:val="00D35D5C"/>
    <w:rsid w:val="00D35ECA"/>
    <w:rsid w:val="00D361D0"/>
    <w:rsid w:val="00D37454"/>
    <w:rsid w:val="00D376C1"/>
    <w:rsid w:val="00D40159"/>
    <w:rsid w:val="00D40DDB"/>
    <w:rsid w:val="00D429EC"/>
    <w:rsid w:val="00D43978"/>
    <w:rsid w:val="00D44121"/>
    <w:rsid w:val="00D44846"/>
    <w:rsid w:val="00D454B6"/>
    <w:rsid w:val="00D473EA"/>
    <w:rsid w:val="00D478EC"/>
    <w:rsid w:val="00D502F1"/>
    <w:rsid w:val="00D50796"/>
    <w:rsid w:val="00D5088B"/>
    <w:rsid w:val="00D521EA"/>
    <w:rsid w:val="00D52852"/>
    <w:rsid w:val="00D52B1B"/>
    <w:rsid w:val="00D52CF7"/>
    <w:rsid w:val="00D53EA2"/>
    <w:rsid w:val="00D542C3"/>
    <w:rsid w:val="00D544C5"/>
    <w:rsid w:val="00D55E8F"/>
    <w:rsid w:val="00D56AB8"/>
    <w:rsid w:val="00D57255"/>
    <w:rsid w:val="00D577D1"/>
    <w:rsid w:val="00D60192"/>
    <w:rsid w:val="00D60372"/>
    <w:rsid w:val="00D6148F"/>
    <w:rsid w:val="00D626A3"/>
    <w:rsid w:val="00D63081"/>
    <w:rsid w:val="00D63787"/>
    <w:rsid w:val="00D6420F"/>
    <w:rsid w:val="00D64459"/>
    <w:rsid w:val="00D644AA"/>
    <w:rsid w:val="00D64797"/>
    <w:rsid w:val="00D64CCE"/>
    <w:rsid w:val="00D65554"/>
    <w:rsid w:val="00D66450"/>
    <w:rsid w:val="00D70679"/>
    <w:rsid w:val="00D70901"/>
    <w:rsid w:val="00D70B46"/>
    <w:rsid w:val="00D710DF"/>
    <w:rsid w:val="00D729F6"/>
    <w:rsid w:val="00D72E9D"/>
    <w:rsid w:val="00D73D07"/>
    <w:rsid w:val="00D73D62"/>
    <w:rsid w:val="00D74389"/>
    <w:rsid w:val="00D74E75"/>
    <w:rsid w:val="00D7538F"/>
    <w:rsid w:val="00D7663C"/>
    <w:rsid w:val="00D76689"/>
    <w:rsid w:val="00D7722E"/>
    <w:rsid w:val="00D80E2D"/>
    <w:rsid w:val="00D80EB6"/>
    <w:rsid w:val="00D81B3A"/>
    <w:rsid w:val="00D82056"/>
    <w:rsid w:val="00D82CE5"/>
    <w:rsid w:val="00D83D88"/>
    <w:rsid w:val="00D8437F"/>
    <w:rsid w:val="00D84C74"/>
    <w:rsid w:val="00D84D9D"/>
    <w:rsid w:val="00D854F8"/>
    <w:rsid w:val="00D856F4"/>
    <w:rsid w:val="00D90A4E"/>
    <w:rsid w:val="00D90C79"/>
    <w:rsid w:val="00D9244A"/>
    <w:rsid w:val="00D927D2"/>
    <w:rsid w:val="00D9294F"/>
    <w:rsid w:val="00D92C46"/>
    <w:rsid w:val="00D9457C"/>
    <w:rsid w:val="00D96A62"/>
    <w:rsid w:val="00D96B0B"/>
    <w:rsid w:val="00D9727E"/>
    <w:rsid w:val="00D97A59"/>
    <w:rsid w:val="00DA01E8"/>
    <w:rsid w:val="00DA0AC7"/>
    <w:rsid w:val="00DA0FD1"/>
    <w:rsid w:val="00DA17CF"/>
    <w:rsid w:val="00DA1A20"/>
    <w:rsid w:val="00DA1E8F"/>
    <w:rsid w:val="00DA28E9"/>
    <w:rsid w:val="00DA2FF5"/>
    <w:rsid w:val="00DA3222"/>
    <w:rsid w:val="00DA3452"/>
    <w:rsid w:val="00DA499F"/>
    <w:rsid w:val="00DA5253"/>
    <w:rsid w:val="00DA5AB1"/>
    <w:rsid w:val="00DA6996"/>
    <w:rsid w:val="00DA6EE1"/>
    <w:rsid w:val="00DA7078"/>
    <w:rsid w:val="00DA72B4"/>
    <w:rsid w:val="00DB12BD"/>
    <w:rsid w:val="00DB236B"/>
    <w:rsid w:val="00DB2EB1"/>
    <w:rsid w:val="00DB3448"/>
    <w:rsid w:val="00DB3C24"/>
    <w:rsid w:val="00DB44D8"/>
    <w:rsid w:val="00DB49AA"/>
    <w:rsid w:val="00DB5ED4"/>
    <w:rsid w:val="00DB6093"/>
    <w:rsid w:val="00DB61B2"/>
    <w:rsid w:val="00DB6533"/>
    <w:rsid w:val="00DB73EC"/>
    <w:rsid w:val="00DB768D"/>
    <w:rsid w:val="00DB796B"/>
    <w:rsid w:val="00DC2BC5"/>
    <w:rsid w:val="00DC32BD"/>
    <w:rsid w:val="00DC33DC"/>
    <w:rsid w:val="00DC3D67"/>
    <w:rsid w:val="00DC40BD"/>
    <w:rsid w:val="00DC443C"/>
    <w:rsid w:val="00DC4962"/>
    <w:rsid w:val="00DC578F"/>
    <w:rsid w:val="00DC5D0C"/>
    <w:rsid w:val="00DC62E5"/>
    <w:rsid w:val="00DC6ACC"/>
    <w:rsid w:val="00DC6C76"/>
    <w:rsid w:val="00DC7561"/>
    <w:rsid w:val="00DD0153"/>
    <w:rsid w:val="00DD160B"/>
    <w:rsid w:val="00DD1C18"/>
    <w:rsid w:val="00DD2116"/>
    <w:rsid w:val="00DD21A2"/>
    <w:rsid w:val="00DD2D30"/>
    <w:rsid w:val="00DD31A9"/>
    <w:rsid w:val="00DD3432"/>
    <w:rsid w:val="00DD5E33"/>
    <w:rsid w:val="00DD735D"/>
    <w:rsid w:val="00DD7D8D"/>
    <w:rsid w:val="00DE0618"/>
    <w:rsid w:val="00DE0A17"/>
    <w:rsid w:val="00DE0BE3"/>
    <w:rsid w:val="00DE1FEF"/>
    <w:rsid w:val="00DE279B"/>
    <w:rsid w:val="00DE2F27"/>
    <w:rsid w:val="00DE3119"/>
    <w:rsid w:val="00DE3ABA"/>
    <w:rsid w:val="00DE4CF0"/>
    <w:rsid w:val="00DE4D23"/>
    <w:rsid w:val="00DE5084"/>
    <w:rsid w:val="00DE5723"/>
    <w:rsid w:val="00DE64EE"/>
    <w:rsid w:val="00DE683C"/>
    <w:rsid w:val="00DE6B11"/>
    <w:rsid w:val="00DE6E79"/>
    <w:rsid w:val="00DE6FE1"/>
    <w:rsid w:val="00DE70DC"/>
    <w:rsid w:val="00DF0AB4"/>
    <w:rsid w:val="00DF0AE3"/>
    <w:rsid w:val="00DF16DA"/>
    <w:rsid w:val="00DF1DAA"/>
    <w:rsid w:val="00DF236B"/>
    <w:rsid w:val="00DF29D3"/>
    <w:rsid w:val="00DF3E38"/>
    <w:rsid w:val="00DF5090"/>
    <w:rsid w:val="00DF6ACD"/>
    <w:rsid w:val="00DF78DE"/>
    <w:rsid w:val="00DF79C3"/>
    <w:rsid w:val="00E000C8"/>
    <w:rsid w:val="00E008F1"/>
    <w:rsid w:val="00E01453"/>
    <w:rsid w:val="00E016D3"/>
    <w:rsid w:val="00E017C4"/>
    <w:rsid w:val="00E048EE"/>
    <w:rsid w:val="00E04A00"/>
    <w:rsid w:val="00E04C9B"/>
    <w:rsid w:val="00E056B2"/>
    <w:rsid w:val="00E06F42"/>
    <w:rsid w:val="00E0740A"/>
    <w:rsid w:val="00E07843"/>
    <w:rsid w:val="00E10A6D"/>
    <w:rsid w:val="00E113F7"/>
    <w:rsid w:val="00E116A9"/>
    <w:rsid w:val="00E11FC1"/>
    <w:rsid w:val="00E1324F"/>
    <w:rsid w:val="00E13AB8"/>
    <w:rsid w:val="00E13FD3"/>
    <w:rsid w:val="00E14299"/>
    <w:rsid w:val="00E144AB"/>
    <w:rsid w:val="00E17C49"/>
    <w:rsid w:val="00E17EE1"/>
    <w:rsid w:val="00E206ED"/>
    <w:rsid w:val="00E21256"/>
    <w:rsid w:val="00E21494"/>
    <w:rsid w:val="00E217A5"/>
    <w:rsid w:val="00E21B32"/>
    <w:rsid w:val="00E22BCE"/>
    <w:rsid w:val="00E238B4"/>
    <w:rsid w:val="00E2399D"/>
    <w:rsid w:val="00E240CB"/>
    <w:rsid w:val="00E240E7"/>
    <w:rsid w:val="00E251D4"/>
    <w:rsid w:val="00E2553E"/>
    <w:rsid w:val="00E2799E"/>
    <w:rsid w:val="00E3090F"/>
    <w:rsid w:val="00E329F7"/>
    <w:rsid w:val="00E335CF"/>
    <w:rsid w:val="00E33B62"/>
    <w:rsid w:val="00E33CB5"/>
    <w:rsid w:val="00E3568A"/>
    <w:rsid w:val="00E36BAD"/>
    <w:rsid w:val="00E36E37"/>
    <w:rsid w:val="00E36FBA"/>
    <w:rsid w:val="00E37D12"/>
    <w:rsid w:val="00E37E82"/>
    <w:rsid w:val="00E40158"/>
    <w:rsid w:val="00E41A26"/>
    <w:rsid w:val="00E42CEA"/>
    <w:rsid w:val="00E42F9D"/>
    <w:rsid w:val="00E432B4"/>
    <w:rsid w:val="00E43A2C"/>
    <w:rsid w:val="00E43A34"/>
    <w:rsid w:val="00E449E0"/>
    <w:rsid w:val="00E44D4E"/>
    <w:rsid w:val="00E45104"/>
    <w:rsid w:val="00E45306"/>
    <w:rsid w:val="00E453B7"/>
    <w:rsid w:val="00E45D1C"/>
    <w:rsid w:val="00E46467"/>
    <w:rsid w:val="00E467FE"/>
    <w:rsid w:val="00E4777A"/>
    <w:rsid w:val="00E50019"/>
    <w:rsid w:val="00E52D01"/>
    <w:rsid w:val="00E5557F"/>
    <w:rsid w:val="00E5588F"/>
    <w:rsid w:val="00E60196"/>
    <w:rsid w:val="00E60756"/>
    <w:rsid w:val="00E618EA"/>
    <w:rsid w:val="00E61E09"/>
    <w:rsid w:val="00E62ACD"/>
    <w:rsid w:val="00E62BA2"/>
    <w:rsid w:val="00E62C5F"/>
    <w:rsid w:val="00E63108"/>
    <w:rsid w:val="00E6402F"/>
    <w:rsid w:val="00E6457F"/>
    <w:rsid w:val="00E64B60"/>
    <w:rsid w:val="00E64D20"/>
    <w:rsid w:val="00E66E98"/>
    <w:rsid w:val="00E6724C"/>
    <w:rsid w:val="00E67E83"/>
    <w:rsid w:val="00E7057D"/>
    <w:rsid w:val="00E71755"/>
    <w:rsid w:val="00E71AEB"/>
    <w:rsid w:val="00E72E97"/>
    <w:rsid w:val="00E737A7"/>
    <w:rsid w:val="00E7503A"/>
    <w:rsid w:val="00E768B7"/>
    <w:rsid w:val="00E76B6F"/>
    <w:rsid w:val="00E76D76"/>
    <w:rsid w:val="00E76F51"/>
    <w:rsid w:val="00E76F61"/>
    <w:rsid w:val="00E7700C"/>
    <w:rsid w:val="00E776ED"/>
    <w:rsid w:val="00E8088A"/>
    <w:rsid w:val="00E80C3F"/>
    <w:rsid w:val="00E8112D"/>
    <w:rsid w:val="00E81AFD"/>
    <w:rsid w:val="00E832F8"/>
    <w:rsid w:val="00E8330E"/>
    <w:rsid w:val="00E83789"/>
    <w:rsid w:val="00E854A0"/>
    <w:rsid w:val="00E86E90"/>
    <w:rsid w:val="00E87315"/>
    <w:rsid w:val="00E90810"/>
    <w:rsid w:val="00E91477"/>
    <w:rsid w:val="00E91585"/>
    <w:rsid w:val="00E915AC"/>
    <w:rsid w:val="00E9178F"/>
    <w:rsid w:val="00E917AE"/>
    <w:rsid w:val="00E91DA5"/>
    <w:rsid w:val="00E92488"/>
    <w:rsid w:val="00E94DA3"/>
    <w:rsid w:val="00E97548"/>
    <w:rsid w:val="00E9754A"/>
    <w:rsid w:val="00E9760B"/>
    <w:rsid w:val="00E97CC7"/>
    <w:rsid w:val="00E97E46"/>
    <w:rsid w:val="00EA04EF"/>
    <w:rsid w:val="00EA1131"/>
    <w:rsid w:val="00EA3483"/>
    <w:rsid w:val="00EA6BEE"/>
    <w:rsid w:val="00EA704D"/>
    <w:rsid w:val="00EA79EB"/>
    <w:rsid w:val="00EB0DF1"/>
    <w:rsid w:val="00EB3AB3"/>
    <w:rsid w:val="00EB3CB7"/>
    <w:rsid w:val="00EB5145"/>
    <w:rsid w:val="00EB7836"/>
    <w:rsid w:val="00EB7E20"/>
    <w:rsid w:val="00EC2A8B"/>
    <w:rsid w:val="00EC3B81"/>
    <w:rsid w:val="00EC443D"/>
    <w:rsid w:val="00EC4988"/>
    <w:rsid w:val="00EC4A47"/>
    <w:rsid w:val="00EC58BE"/>
    <w:rsid w:val="00EC5E1B"/>
    <w:rsid w:val="00EC5F41"/>
    <w:rsid w:val="00EC60CB"/>
    <w:rsid w:val="00EC7091"/>
    <w:rsid w:val="00EC7470"/>
    <w:rsid w:val="00EC7B4C"/>
    <w:rsid w:val="00ED009B"/>
    <w:rsid w:val="00ED0667"/>
    <w:rsid w:val="00ED0F19"/>
    <w:rsid w:val="00ED2E5A"/>
    <w:rsid w:val="00ED2EB1"/>
    <w:rsid w:val="00ED2EFF"/>
    <w:rsid w:val="00ED3700"/>
    <w:rsid w:val="00ED3AC7"/>
    <w:rsid w:val="00ED3BF4"/>
    <w:rsid w:val="00ED4234"/>
    <w:rsid w:val="00ED42A5"/>
    <w:rsid w:val="00ED7F90"/>
    <w:rsid w:val="00EE094E"/>
    <w:rsid w:val="00EE1CCD"/>
    <w:rsid w:val="00EE36F2"/>
    <w:rsid w:val="00EE4DB7"/>
    <w:rsid w:val="00EE5189"/>
    <w:rsid w:val="00EE6E21"/>
    <w:rsid w:val="00EE7272"/>
    <w:rsid w:val="00EE776B"/>
    <w:rsid w:val="00EE7C4F"/>
    <w:rsid w:val="00EF15DA"/>
    <w:rsid w:val="00EF16DD"/>
    <w:rsid w:val="00EF2FB0"/>
    <w:rsid w:val="00EF3555"/>
    <w:rsid w:val="00EF3915"/>
    <w:rsid w:val="00EF51E8"/>
    <w:rsid w:val="00EF66A8"/>
    <w:rsid w:val="00EF66D5"/>
    <w:rsid w:val="00EF66D6"/>
    <w:rsid w:val="00EF7121"/>
    <w:rsid w:val="00EF731F"/>
    <w:rsid w:val="00EF7767"/>
    <w:rsid w:val="00EF7EB1"/>
    <w:rsid w:val="00F00254"/>
    <w:rsid w:val="00F01322"/>
    <w:rsid w:val="00F02183"/>
    <w:rsid w:val="00F0220F"/>
    <w:rsid w:val="00F02577"/>
    <w:rsid w:val="00F0277E"/>
    <w:rsid w:val="00F038E5"/>
    <w:rsid w:val="00F03B2B"/>
    <w:rsid w:val="00F04CC2"/>
    <w:rsid w:val="00F058FE"/>
    <w:rsid w:val="00F05B8C"/>
    <w:rsid w:val="00F05D63"/>
    <w:rsid w:val="00F05F75"/>
    <w:rsid w:val="00F06A13"/>
    <w:rsid w:val="00F06B15"/>
    <w:rsid w:val="00F06BA0"/>
    <w:rsid w:val="00F06C51"/>
    <w:rsid w:val="00F0755F"/>
    <w:rsid w:val="00F07DD0"/>
    <w:rsid w:val="00F109B1"/>
    <w:rsid w:val="00F10F67"/>
    <w:rsid w:val="00F1157D"/>
    <w:rsid w:val="00F11CF5"/>
    <w:rsid w:val="00F11EDA"/>
    <w:rsid w:val="00F121A8"/>
    <w:rsid w:val="00F1301C"/>
    <w:rsid w:val="00F134D2"/>
    <w:rsid w:val="00F13DF7"/>
    <w:rsid w:val="00F13E07"/>
    <w:rsid w:val="00F145B8"/>
    <w:rsid w:val="00F155B7"/>
    <w:rsid w:val="00F160B9"/>
    <w:rsid w:val="00F16C53"/>
    <w:rsid w:val="00F20348"/>
    <w:rsid w:val="00F20F65"/>
    <w:rsid w:val="00F23A10"/>
    <w:rsid w:val="00F24361"/>
    <w:rsid w:val="00F246FE"/>
    <w:rsid w:val="00F26EF6"/>
    <w:rsid w:val="00F277D0"/>
    <w:rsid w:val="00F27A52"/>
    <w:rsid w:val="00F30684"/>
    <w:rsid w:val="00F30A5C"/>
    <w:rsid w:val="00F3240B"/>
    <w:rsid w:val="00F3349D"/>
    <w:rsid w:val="00F355D3"/>
    <w:rsid w:val="00F368C1"/>
    <w:rsid w:val="00F36B58"/>
    <w:rsid w:val="00F36E11"/>
    <w:rsid w:val="00F37460"/>
    <w:rsid w:val="00F379A3"/>
    <w:rsid w:val="00F37C6E"/>
    <w:rsid w:val="00F41BA3"/>
    <w:rsid w:val="00F41D25"/>
    <w:rsid w:val="00F421CA"/>
    <w:rsid w:val="00F42730"/>
    <w:rsid w:val="00F43565"/>
    <w:rsid w:val="00F449FE"/>
    <w:rsid w:val="00F44CA3"/>
    <w:rsid w:val="00F452B6"/>
    <w:rsid w:val="00F45AD2"/>
    <w:rsid w:val="00F46903"/>
    <w:rsid w:val="00F46AAC"/>
    <w:rsid w:val="00F47B8F"/>
    <w:rsid w:val="00F50393"/>
    <w:rsid w:val="00F5072C"/>
    <w:rsid w:val="00F50F9E"/>
    <w:rsid w:val="00F517D0"/>
    <w:rsid w:val="00F52D4A"/>
    <w:rsid w:val="00F53D1B"/>
    <w:rsid w:val="00F555DB"/>
    <w:rsid w:val="00F55AA3"/>
    <w:rsid w:val="00F562BD"/>
    <w:rsid w:val="00F57B5D"/>
    <w:rsid w:val="00F60049"/>
    <w:rsid w:val="00F608B9"/>
    <w:rsid w:val="00F60DB7"/>
    <w:rsid w:val="00F60E91"/>
    <w:rsid w:val="00F61159"/>
    <w:rsid w:val="00F6156F"/>
    <w:rsid w:val="00F62302"/>
    <w:rsid w:val="00F62DA6"/>
    <w:rsid w:val="00F62E77"/>
    <w:rsid w:val="00F701A7"/>
    <w:rsid w:val="00F71570"/>
    <w:rsid w:val="00F7173E"/>
    <w:rsid w:val="00F71883"/>
    <w:rsid w:val="00F726FC"/>
    <w:rsid w:val="00F728C3"/>
    <w:rsid w:val="00F72BAE"/>
    <w:rsid w:val="00F7558E"/>
    <w:rsid w:val="00F76205"/>
    <w:rsid w:val="00F801B3"/>
    <w:rsid w:val="00F803F1"/>
    <w:rsid w:val="00F809EF"/>
    <w:rsid w:val="00F81111"/>
    <w:rsid w:val="00F8177B"/>
    <w:rsid w:val="00F81B47"/>
    <w:rsid w:val="00F83810"/>
    <w:rsid w:val="00F83B75"/>
    <w:rsid w:val="00F83BC5"/>
    <w:rsid w:val="00F83D04"/>
    <w:rsid w:val="00F84899"/>
    <w:rsid w:val="00F8492C"/>
    <w:rsid w:val="00F85499"/>
    <w:rsid w:val="00F859F0"/>
    <w:rsid w:val="00F872AE"/>
    <w:rsid w:val="00F8789E"/>
    <w:rsid w:val="00F90EB5"/>
    <w:rsid w:val="00F91CA6"/>
    <w:rsid w:val="00F92E29"/>
    <w:rsid w:val="00F93448"/>
    <w:rsid w:val="00FA06A3"/>
    <w:rsid w:val="00FA0AD1"/>
    <w:rsid w:val="00FA2ACB"/>
    <w:rsid w:val="00FA310C"/>
    <w:rsid w:val="00FA3B5A"/>
    <w:rsid w:val="00FA40C0"/>
    <w:rsid w:val="00FA4A30"/>
    <w:rsid w:val="00FA4B7C"/>
    <w:rsid w:val="00FA540E"/>
    <w:rsid w:val="00FA6587"/>
    <w:rsid w:val="00FA6BB8"/>
    <w:rsid w:val="00FA6DE2"/>
    <w:rsid w:val="00FA723D"/>
    <w:rsid w:val="00FB0D40"/>
    <w:rsid w:val="00FB2D9A"/>
    <w:rsid w:val="00FB301D"/>
    <w:rsid w:val="00FB42FF"/>
    <w:rsid w:val="00FB47F3"/>
    <w:rsid w:val="00FB516F"/>
    <w:rsid w:val="00FB58AF"/>
    <w:rsid w:val="00FB5BF9"/>
    <w:rsid w:val="00FC0B6A"/>
    <w:rsid w:val="00FC3D45"/>
    <w:rsid w:val="00FC4647"/>
    <w:rsid w:val="00FC6EB3"/>
    <w:rsid w:val="00FC711A"/>
    <w:rsid w:val="00FC7299"/>
    <w:rsid w:val="00FC7C2E"/>
    <w:rsid w:val="00FD019A"/>
    <w:rsid w:val="00FD140C"/>
    <w:rsid w:val="00FD2533"/>
    <w:rsid w:val="00FD3213"/>
    <w:rsid w:val="00FD3A2E"/>
    <w:rsid w:val="00FD4AFF"/>
    <w:rsid w:val="00FD50F2"/>
    <w:rsid w:val="00FD674C"/>
    <w:rsid w:val="00FD704F"/>
    <w:rsid w:val="00FD7A75"/>
    <w:rsid w:val="00FD7C2D"/>
    <w:rsid w:val="00FD7C89"/>
    <w:rsid w:val="00FE0395"/>
    <w:rsid w:val="00FE0DC4"/>
    <w:rsid w:val="00FE0E9C"/>
    <w:rsid w:val="00FE125A"/>
    <w:rsid w:val="00FE141E"/>
    <w:rsid w:val="00FE1AF1"/>
    <w:rsid w:val="00FE24F4"/>
    <w:rsid w:val="00FE2A33"/>
    <w:rsid w:val="00FE46AA"/>
    <w:rsid w:val="00FE5ECC"/>
    <w:rsid w:val="00FE65B4"/>
    <w:rsid w:val="00FE674D"/>
    <w:rsid w:val="00FF029A"/>
    <w:rsid w:val="00FF10B9"/>
    <w:rsid w:val="00FF1673"/>
    <w:rsid w:val="00FF2832"/>
    <w:rsid w:val="00FF3657"/>
    <w:rsid w:val="00FF417D"/>
    <w:rsid w:val="00FF49BD"/>
    <w:rsid w:val="00FF4A64"/>
    <w:rsid w:val="00FF4E3F"/>
    <w:rsid w:val="00FF521D"/>
    <w:rsid w:val="00FF5C43"/>
    <w:rsid w:val="00FF60FB"/>
    <w:rsid w:val="00FF6577"/>
    <w:rsid w:val="00FF66DD"/>
    <w:rsid w:val="00FF6F65"/>
    <w:rsid w:val="00FF7737"/>
    <w:rsid w:val="00FF7E87"/>
    <w:rsid w:val="03C30222"/>
    <w:rsid w:val="1756A024"/>
    <w:rsid w:val="4AD1925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A38B7638-A09F-430D-BC5A-CEE741865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2A0"/>
    <w:rPr>
      <w:sz w:val="24"/>
      <w:lang w:val="es-MX"/>
    </w:rPr>
  </w:style>
  <w:style w:type="paragraph" w:styleId="Ttulo1">
    <w:name w:val="heading 1"/>
    <w:basedOn w:val="Normal"/>
    <w:next w:val="Normal"/>
    <w:link w:val="Ttulo1Car"/>
    <w:qFormat/>
    <w:rsid w:val="00050E2C"/>
    <w:pPr>
      <w:keepNext/>
      <w:numPr>
        <w:numId w:val="17"/>
      </w:numPr>
      <w:spacing w:before="240" w:after="60" w:line="240" w:lineRule="auto"/>
      <w:jc w:val="left"/>
      <w:outlineLvl w:val="0"/>
    </w:pPr>
    <w:rPr>
      <w:rFonts w:ascii="Arial" w:eastAsia="Times New Roman" w:hAnsi="Arial" w:cs="Arial"/>
      <w:b/>
      <w:bCs/>
      <w:kern w:val="32"/>
      <w:sz w:val="32"/>
      <w:szCs w:val="32"/>
      <w:lang w:val="es-ES" w:eastAsia="es-ES"/>
    </w:rPr>
  </w:style>
  <w:style w:type="paragraph" w:styleId="Ttulo2">
    <w:name w:val="heading 2"/>
    <w:basedOn w:val="Normal"/>
    <w:next w:val="Normal"/>
    <w:link w:val="Ttulo2Car"/>
    <w:qFormat/>
    <w:rsid w:val="00050E2C"/>
    <w:pPr>
      <w:keepNext/>
      <w:numPr>
        <w:ilvl w:val="1"/>
        <w:numId w:val="17"/>
      </w:numPr>
      <w:spacing w:before="240" w:after="60" w:line="240" w:lineRule="auto"/>
      <w:jc w:val="left"/>
      <w:outlineLvl w:val="1"/>
    </w:pPr>
    <w:rPr>
      <w:rFonts w:ascii="Arial" w:eastAsia="Times New Roman" w:hAnsi="Arial" w:cs="Arial"/>
      <w:b/>
      <w:bCs/>
      <w:i/>
      <w:iCs/>
      <w:sz w:val="28"/>
      <w:szCs w:val="28"/>
      <w:lang w:val="es-ES" w:eastAsia="es-ES"/>
    </w:rPr>
  </w:style>
  <w:style w:type="paragraph" w:styleId="Ttulo3">
    <w:name w:val="heading 3"/>
    <w:basedOn w:val="Normal"/>
    <w:next w:val="Normal"/>
    <w:link w:val="Ttulo3Car"/>
    <w:qFormat/>
    <w:rsid w:val="00050E2C"/>
    <w:pPr>
      <w:keepNext/>
      <w:numPr>
        <w:ilvl w:val="2"/>
        <w:numId w:val="17"/>
      </w:numPr>
      <w:spacing w:before="240" w:after="60" w:line="240" w:lineRule="auto"/>
      <w:jc w:val="left"/>
      <w:outlineLvl w:val="2"/>
    </w:pPr>
    <w:rPr>
      <w:rFonts w:ascii="Arial" w:eastAsia="Times New Roman" w:hAnsi="Arial" w:cs="Arial"/>
      <w:b/>
      <w:bCs/>
      <w:sz w:val="26"/>
      <w:szCs w:val="26"/>
      <w:lang w:val="es-ES" w:eastAsia="es-ES"/>
    </w:rPr>
  </w:style>
  <w:style w:type="paragraph" w:styleId="Ttulo4">
    <w:name w:val="heading 4"/>
    <w:basedOn w:val="Normal"/>
    <w:next w:val="Normal"/>
    <w:link w:val="Ttulo4Car"/>
    <w:qFormat/>
    <w:rsid w:val="00050E2C"/>
    <w:pPr>
      <w:keepNext/>
      <w:numPr>
        <w:ilvl w:val="3"/>
        <w:numId w:val="17"/>
      </w:numPr>
      <w:spacing w:before="240" w:after="60" w:line="240" w:lineRule="auto"/>
      <w:jc w:val="left"/>
      <w:outlineLvl w:val="3"/>
    </w:pPr>
    <w:rPr>
      <w:rFonts w:ascii="Times New Roman" w:eastAsia="Times New Roman" w:hAnsi="Times New Roman" w:cs="Times New Roman"/>
      <w:b/>
      <w:bCs/>
      <w:sz w:val="28"/>
      <w:szCs w:val="28"/>
      <w:lang w:val="es-ES" w:eastAsia="es-ES"/>
    </w:rPr>
  </w:style>
  <w:style w:type="paragraph" w:styleId="Ttulo5">
    <w:name w:val="heading 5"/>
    <w:basedOn w:val="Normal"/>
    <w:next w:val="Normal"/>
    <w:link w:val="Ttulo5Car"/>
    <w:qFormat/>
    <w:rsid w:val="00050E2C"/>
    <w:pPr>
      <w:numPr>
        <w:ilvl w:val="4"/>
        <w:numId w:val="17"/>
      </w:numPr>
      <w:spacing w:before="240" w:after="60" w:line="240" w:lineRule="auto"/>
      <w:jc w:val="left"/>
      <w:outlineLvl w:val="4"/>
    </w:pPr>
    <w:rPr>
      <w:rFonts w:ascii="Times New Roman" w:eastAsia="Times New Roman" w:hAnsi="Times New Roman" w:cs="Times New Roman"/>
      <w:b/>
      <w:bCs/>
      <w:i/>
      <w:iCs/>
      <w:sz w:val="26"/>
      <w:szCs w:val="26"/>
      <w:lang w:val="es-ES" w:eastAsia="es-ES"/>
    </w:rPr>
  </w:style>
  <w:style w:type="paragraph" w:styleId="Ttulo6">
    <w:name w:val="heading 6"/>
    <w:basedOn w:val="Normal"/>
    <w:next w:val="Normal"/>
    <w:link w:val="Ttulo6Car"/>
    <w:qFormat/>
    <w:rsid w:val="00050E2C"/>
    <w:pPr>
      <w:numPr>
        <w:ilvl w:val="5"/>
        <w:numId w:val="17"/>
      </w:numPr>
      <w:spacing w:before="240" w:after="60" w:line="240" w:lineRule="auto"/>
      <w:jc w:val="left"/>
      <w:outlineLvl w:val="5"/>
    </w:pPr>
    <w:rPr>
      <w:rFonts w:ascii="Times New Roman" w:eastAsia="Times New Roman" w:hAnsi="Times New Roman" w:cs="Times New Roman"/>
      <w:b/>
      <w:bCs/>
      <w:sz w:val="22"/>
      <w:lang w:val="es-ES" w:eastAsia="es-ES"/>
    </w:rPr>
  </w:style>
  <w:style w:type="paragraph" w:styleId="Ttulo7">
    <w:name w:val="heading 7"/>
    <w:basedOn w:val="Normal"/>
    <w:next w:val="Normal"/>
    <w:link w:val="Ttulo7Car"/>
    <w:qFormat/>
    <w:rsid w:val="00050E2C"/>
    <w:pPr>
      <w:numPr>
        <w:ilvl w:val="6"/>
        <w:numId w:val="17"/>
      </w:numPr>
      <w:spacing w:before="240" w:after="60" w:line="240" w:lineRule="auto"/>
      <w:jc w:val="left"/>
      <w:outlineLvl w:val="6"/>
    </w:pPr>
    <w:rPr>
      <w:rFonts w:ascii="Times New Roman" w:eastAsia="Times New Roman" w:hAnsi="Times New Roman" w:cs="Times New Roman"/>
      <w:szCs w:val="24"/>
      <w:lang w:val="es-ES" w:eastAsia="es-ES"/>
    </w:rPr>
  </w:style>
  <w:style w:type="paragraph" w:styleId="Ttulo8">
    <w:name w:val="heading 8"/>
    <w:basedOn w:val="Normal"/>
    <w:next w:val="Normal"/>
    <w:link w:val="Ttulo8Car"/>
    <w:qFormat/>
    <w:rsid w:val="00050E2C"/>
    <w:pPr>
      <w:numPr>
        <w:ilvl w:val="7"/>
        <w:numId w:val="17"/>
      </w:numPr>
      <w:spacing w:before="240" w:after="60" w:line="240" w:lineRule="auto"/>
      <w:jc w:val="left"/>
      <w:outlineLvl w:val="7"/>
    </w:pPr>
    <w:rPr>
      <w:rFonts w:ascii="Times New Roman" w:eastAsia="Times New Roman" w:hAnsi="Times New Roman" w:cs="Times New Roman"/>
      <w:i/>
      <w:iCs/>
      <w:szCs w:val="24"/>
      <w:lang w:val="es-ES" w:eastAsia="es-ES"/>
    </w:rPr>
  </w:style>
  <w:style w:type="paragraph" w:styleId="Ttulo9">
    <w:name w:val="heading 9"/>
    <w:basedOn w:val="Normal"/>
    <w:next w:val="Normal"/>
    <w:link w:val="Ttulo9Car"/>
    <w:qFormat/>
    <w:rsid w:val="00050E2C"/>
    <w:pPr>
      <w:numPr>
        <w:ilvl w:val="8"/>
        <w:numId w:val="17"/>
      </w:numPr>
      <w:spacing w:before="240" w:after="60" w:line="240" w:lineRule="auto"/>
      <w:jc w:val="left"/>
      <w:outlineLvl w:val="8"/>
    </w:pPr>
    <w:rPr>
      <w:rFonts w:ascii="Arial" w:eastAsia="Times New Roman" w:hAnsi="Arial" w:cs="Arial"/>
      <w:sz w:val="22"/>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qFormat/>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sz w:val="20"/>
      <w:szCs w:val="20"/>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uiPriority w:val="99"/>
    <w:qFormat/>
    <w:rsid w:val="007B0854"/>
    <w:pPr>
      <w:keepNext/>
      <w:spacing w:before="120"/>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7B0854"/>
    <w:rPr>
      <w:vertAlign w:val="superscript"/>
    </w:rPr>
  </w:style>
  <w:style w:type="paragraph" w:customStyle="1" w:styleId="pa22">
    <w:name w:val="pa22"/>
    <w:basedOn w:val="Normal"/>
    <w:rsid w:val="00887B15"/>
    <w:pPr>
      <w:spacing w:before="100" w:beforeAutospacing="1" w:after="100" w:afterAutospacing="1"/>
    </w:pPr>
    <w:rPr>
      <w:rFonts w:ascii="Times New Roman" w:eastAsia="Times New Roman" w:hAnsi="Times New Roman" w:cs="Times New Roman"/>
      <w:szCs w:val="24"/>
      <w:lang w:val="es-ES" w:eastAsia="es-ES"/>
    </w:rPr>
  </w:style>
  <w:style w:type="character" w:styleId="Textoennegrita">
    <w:name w:val="Strong"/>
    <w:basedOn w:val="Fuentedeprrafopredeter"/>
    <w:uiPriority w:val="22"/>
    <w:qFormat/>
    <w:rsid w:val="00AF1ED8"/>
    <w:rPr>
      <w:b/>
      <w:bCs/>
    </w:rPr>
  </w:style>
  <w:style w:type="character" w:styleId="nfasis">
    <w:name w:val="Emphasis"/>
    <w:basedOn w:val="Fuentedeprrafopredeter"/>
    <w:uiPriority w:val="20"/>
    <w:qFormat/>
    <w:rsid w:val="00AF1ED8"/>
    <w:rPr>
      <w:i/>
      <w:iCs/>
    </w:rPr>
  </w:style>
  <w:style w:type="character" w:customStyle="1" w:styleId="Mencinsinresolver1">
    <w:name w:val="Mención sin resolver1"/>
    <w:basedOn w:val="Fuentedeprrafopredeter"/>
    <w:uiPriority w:val="99"/>
    <w:semiHidden/>
    <w:unhideWhenUsed/>
    <w:rsid w:val="00620E47"/>
    <w:rPr>
      <w:color w:val="605E5C"/>
      <w:shd w:val="clear" w:color="auto" w:fill="E1DFDD"/>
    </w:rPr>
  </w:style>
  <w:style w:type="paragraph" w:customStyle="1" w:styleId="Capitulo3">
    <w:name w:val="Capitulo 3"/>
    <w:basedOn w:val="Normal"/>
    <w:qFormat/>
    <w:rsid w:val="00DF6ACD"/>
    <w:pPr>
      <w:keepNext/>
      <w:numPr>
        <w:numId w:val="7"/>
      </w:numPr>
      <w:spacing w:before="120"/>
      <w:outlineLvl w:val="1"/>
    </w:pPr>
    <w:rPr>
      <w:rFonts w:ascii="Arial" w:eastAsia="Times New Roman" w:hAnsi="Arial" w:cs="Arial"/>
      <w:b/>
      <w:color w:val="000000"/>
      <w:sz w:val="20"/>
      <w:szCs w:val="20"/>
      <w:lang w:val="es-CO" w:eastAsia="es-CO"/>
    </w:rPr>
  </w:style>
  <w:style w:type="paragraph" w:customStyle="1" w:styleId="InviasNormal">
    <w:name w:val="Invias Normal"/>
    <w:basedOn w:val="Normal"/>
    <w:link w:val="InviasNormalCar"/>
    <w:qFormat/>
    <w:rsid w:val="001A27D7"/>
    <w:pPr>
      <w:tabs>
        <w:tab w:val="left" w:pos="-142"/>
      </w:tabs>
      <w:autoSpaceDE w:val="0"/>
      <w:autoSpaceDN w:val="0"/>
      <w:adjustRightInd w:val="0"/>
      <w:spacing w:before="120" w:after="240"/>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1A27D7"/>
    <w:rPr>
      <w:rFonts w:ascii="Arial Narrow" w:eastAsia="Times New Roman" w:hAnsi="Arial Narrow" w:cs="Times New Roman"/>
      <w:color w:val="3C3C3C" w:themeColor="background2" w:themeShade="40"/>
      <w:sz w:val="24"/>
      <w:szCs w:val="24"/>
      <w:lang w:val="x-none" w:eastAsia="es-ES"/>
    </w:rPr>
  </w:style>
  <w:style w:type="paragraph" w:customStyle="1" w:styleId="Entidad-Capitulo">
    <w:name w:val="Entidad-Capitulo"/>
    <w:next w:val="Normal"/>
    <w:autoRedefine/>
    <w:uiPriority w:val="99"/>
    <w:qFormat/>
    <w:rsid w:val="001A27D7"/>
    <w:pPr>
      <w:keepNext/>
      <w:spacing w:before="240" w:after="0" w:line="240" w:lineRule="auto"/>
      <w:jc w:val="center"/>
      <w:outlineLvl w:val="0"/>
    </w:pPr>
    <w:rPr>
      <w:rFonts w:ascii="Arial" w:eastAsia="Times New Roman" w:hAnsi="Arial" w:cs="Arial"/>
      <w:b/>
      <w:smallCaps/>
      <w:sz w:val="20"/>
      <w:szCs w:val="20"/>
      <w:lang w:eastAsia="es-ES"/>
    </w:rPr>
  </w:style>
  <w:style w:type="paragraph" w:styleId="Revisin">
    <w:name w:val="Revision"/>
    <w:hidden/>
    <w:uiPriority w:val="99"/>
    <w:semiHidden/>
    <w:rsid w:val="009409CA"/>
    <w:pPr>
      <w:spacing w:after="0" w:line="240" w:lineRule="auto"/>
    </w:pPr>
    <w:rPr>
      <w:sz w:val="24"/>
      <w:lang w:val="es-MX"/>
    </w:rPr>
  </w:style>
  <w:style w:type="paragraph" w:customStyle="1" w:styleId="Appelnotedebasde">
    <w:name w:val="Appel note de bas de..."/>
    <w:basedOn w:val="Normal"/>
    <w:link w:val="Refdenotaalpie"/>
    <w:uiPriority w:val="99"/>
    <w:rsid w:val="00904CD9"/>
    <w:pPr>
      <w:spacing w:after="160" w:line="240" w:lineRule="exact"/>
    </w:pPr>
    <w:rPr>
      <w:sz w:val="22"/>
      <w:vertAlign w:val="superscript"/>
      <w:lang w:val="es-CO"/>
    </w:rPr>
  </w:style>
  <w:style w:type="character" w:customStyle="1" w:styleId="NormalWebCar">
    <w:name w:val="Normal (Web) Car"/>
    <w:link w:val="NormalWeb"/>
    <w:uiPriority w:val="99"/>
    <w:locked/>
    <w:rsid w:val="00904CD9"/>
    <w:rPr>
      <w:rFonts w:ascii="Times New Roman" w:eastAsia="Times New Roman" w:hAnsi="Times New Roman" w:cs="Times New Roman"/>
      <w:sz w:val="24"/>
      <w:szCs w:val="24"/>
      <w:lang w:eastAsia="es-CO"/>
    </w:rPr>
  </w:style>
  <w:style w:type="character" w:customStyle="1" w:styleId="normaltextrun">
    <w:name w:val="normaltextrun"/>
    <w:basedOn w:val="Fuentedeprrafopredeter"/>
    <w:rsid w:val="00F0755F"/>
  </w:style>
  <w:style w:type="paragraph" w:styleId="Textoindependiente">
    <w:name w:val="Body Text"/>
    <w:basedOn w:val="Normal"/>
    <w:link w:val="TextoindependienteCar"/>
    <w:uiPriority w:val="1"/>
    <w:qFormat/>
    <w:rsid w:val="008E0A7E"/>
    <w:pPr>
      <w:widowControl w:val="0"/>
      <w:autoSpaceDE w:val="0"/>
      <w:autoSpaceDN w:val="0"/>
    </w:pPr>
    <w:rPr>
      <w:rFonts w:ascii="Arial" w:eastAsia="Arial" w:hAnsi="Arial" w:cs="Arial"/>
      <w:sz w:val="22"/>
      <w:lang w:val="es-ES" w:eastAsia="es-ES" w:bidi="es-ES"/>
    </w:rPr>
  </w:style>
  <w:style w:type="character" w:customStyle="1" w:styleId="TextoindependienteCar">
    <w:name w:val="Texto independiente Car"/>
    <w:basedOn w:val="Fuentedeprrafopredeter"/>
    <w:link w:val="Textoindependiente"/>
    <w:uiPriority w:val="1"/>
    <w:rsid w:val="008E0A7E"/>
    <w:rPr>
      <w:rFonts w:ascii="Arial" w:eastAsia="Arial" w:hAnsi="Arial" w:cs="Arial"/>
      <w:lang w:val="es-ES" w:eastAsia="es-ES" w:bidi="es-ES"/>
    </w:rPr>
  </w:style>
  <w:style w:type="paragraph" w:styleId="Textonotaalfinal">
    <w:name w:val="endnote text"/>
    <w:basedOn w:val="Normal"/>
    <w:link w:val="TextonotaalfinalCar"/>
    <w:uiPriority w:val="99"/>
    <w:semiHidden/>
    <w:unhideWhenUsed/>
    <w:rsid w:val="00A8268C"/>
    <w:rPr>
      <w:sz w:val="20"/>
      <w:szCs w:val="20"/>
    </w:rPr>
  </w:style>
  <w:style w:type="character" w:customStyle="1" w:styleId="TextonotaalfinalCar">
    <w:name w:val="Texto nota al final Car"/>
    <w:basedOn w:val="Fuentedeprrafopredeter"/>
    <w:link w:val="Textonotaalfinal"/>
    <w:uiPriority w:val="99"/>
    <w:semiHidden/>
    <w:rsid w:val="00A8268C"/>
    <w:rPr>
      <w:sz w:val="20"/>
      <w:szCs w:val="20"/>
      <w:lang w:val="es-MX"/>
    </w:rPr>
  </w:style>
  <w:style w:type="character" w:styleId="Refdenotaalfinal">
    <w:name w:val="endnote reference"/>
    <w:basedOn w:val="Fuentedeprrafopredeter"/>
    <w:uiPriority w:val="99"/>
    <w:semiHidden/>
    <w:unhideWhenUsed/>
    <w:rsid w:val="00A8268C"/>
    <w:rPr>
      <w:vertAlign w:val="superscript"/>
    </w:rPr>
  </w:style>
  <w:style w:type="table" w:customStyle="1" w:styleId="Tablaconcuadrcula1">
    <w:name w:val="Tabla con cuadrícula1"/>
    <w:basedOn w:val="Tablanormal"/>
    <w:next w:val="Tablaconcuadrcula"/>
    <w:uiPriority w:val="39"/>
    <w:rsid w:val="00FE0395"/>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j">
    <w:name w:val="b_aj"/>
    <w:basedOn w:val="Fuentedeprrafopredeter"/>
    <w:rsid w:val="0022085C"/>
  </w:style>
  <w:style w:type="table" w:customStyle="1" w:styleId="Tablaconcuadrcula2">
    <w:name w:val="Tabla con cuadrícula2"/>
    <w:basedOn w:val="Tablanormal"/>
    <w:next w:val="Tablaconcuadrcula"/>
    <w:uiPriority w:val="39"/>
    <w:rsid w:val="000C00B6"/>
    <w:pPr>
      <w:spacing w:before="12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rsid w:val="00050E2C"/>
    <w:rPr>
      <w:rFonts w:ascii="Arial" w:eastAsia="Times New Roman" w:hAnsi="Arial" w:cs="Arial"/>
      <w:b/>
      <w:bCs/>
      <w:kern w:val="32"/>
      <w:sz w:val="32"/>
      <w:szCs w:val="32"/>
      <w:lang w:val="es-ES" w:eastAsia="es-ES"/>
    </w:rPr>
  </w:style>
  <w:style w:type="character" w:customStyle="1" w:styleId="Ttulo2Car">
    <w:name w:val="Título 2 Car"/>
    <w:basedOn w:val="Fuentedeprrafopredeter"/>
    <w:link w:val="Ttulo2"/>
    <w:rsid w:val="00050E2C"/>
    <w:rPr>
      <w:rFonts w:ascii="Arial" w:eastAsia="Times New Roman" w:hAnsi="Arial" w:cs="Arial"/>
      <w:b/>
      <w:bCs/>
      <w:i/>
      <w:iCs/>
      <w:sz w:val="28"/>
      <w:szCs w:val="28"/>
      <w:lang w:val="es-ES" w:eastAsia="es-ES"/>
    </w:rPr>
  </w:style>
  <w:style w:type="character" w:customStyle="1" w:styleId="Ttulo3Car">
    <w:name w:val="Título 3 Car"/>
    <w:basedOn w:val="Fuentedeprrafopredeter"/>
    <w:link w:val="Ttulo3"/>
    <w:rsid w:val="00050E2C"/>
    <w:rPr>
      <w:rFonts w:ascii="Arial" w:eastAsia="Times New Roman" w:hAnsi="Arial" w:cs="Arial"/>
      <w:b/>
      <w:bCs/>
      <w:sz w:val="26"/>
      <w:szCs w:val="26"/>
      <w:lang w:val="es-ES" w:eastAsia="es-ES"/>
    </w:rPr>
  </w:style>
  <w:style w:type="character" w:customStyle="1" w:styleId="Ttulo4Car">
    <w:name w:val="Título 4 Car"/>
    <w:basedOn w:val="Fuentedeprrafopredeter"/>
    <w:link w:val="Ttulo4"/>
    <w:rsid w:val="00050E2C"/>
    <w:rPr>
      <w:rFonts w:ascii="Times New Roman" w:eastAsia="Times New Roman" w:hAnsi="Times New Roman" w:cs="Times New Roman"/>
      <w:b/>
      <w:bCs/>
      <w:sz w:val="28"/>
      <w:szCs w:val="28"/>
      <w:lang w:val="es-ES" w:eastAsia="es-ES"/>
    </w:rPr>
  </w:style>
  <w:style w:type="character" w:customStyle="1" w:styleId="Ttulo5Car">
    <w:name w:val="Título 5 Car"/>
    <w:basedOn w:val="Fuentedeprrafopredeter"/>
    <w:link w:val="Ttulo5"/>
    <w:rsid w:val="00050E2C"/>
    <w:rPr>
      <w:rFonts w:ascii="Times New Roman" w:eastAsia="Times New Roman" w:hAnsi="Times New Roman" w:cs="Times New Roman"/>
      <w:b/>
      <w:bCs/>
      <w:i/>
      <w:iCs/>
      <w:sz w:val="26"/>
      <w:szCs w:val="26"/>
      <w:lang w:val="es-ES" w:eastAsia="es-ES"/>
    </w:rPr>
  </w:style>
  <w:style w:type="character" w:customStyle="1" w:styleId="Ttulo6Car">
    <w:name w:val="Título 6 Car"/>
    <w:basedOn w:val="Fuentedeprrafopredeter"/>
    <w:link w:val="Ttulo6"/>
    <w:rsid w:val="00050E2C"/>
    <w:rPr>
      <w:rFonts w:ascii="Times New Roman" w:eastAsia="Times New Roman" w:hAnsi="Times New Roman" w:cs="Times New Roman"/>
      <w:b/>
      <w:bCs/>
      <w:lang w:val="es-ES" w:eastAsia="es-ES"/>
    </w:rPr>
  </w:style>
  <w:style w:type="character" w:customStyle="1" w:styleId="Ttulo7Car">
    <w:name w:val="Título 7 Car"/>
    <w:basedOn w:val="Fuentedeprrafopredeter"/>
    <w:link w:val="Ttulo7"/>
    <w:rsid w:val="00050E2C"/>
    <w:rPr>
      <w:rFonts w:ascii="Times New Roman" w:eastAsia="Times New Roman" w:hAnsi="Times New Roman" w:cs="Times New Roman"/>
      <w:sz w:val="24"/>
      <w:szCs w:val="24"/>
      <w:lang w:val="es-ES" w:eastAsia="es-ES"/>
    </w:rPr>
  </w:style>
  <w:style w:type="character" w:customStyle="1" w:styleId="Ttulo8Car">
    <w:name w:val="Título 8 Car"/>
    <w:basedOn w:val="Fuentedeprrafopredeter"/>
    <w:link w:val="Ttulo8"/>
    <w:rsid w:val="00050E2C"/>
    <w:rPr>
      <w:rFonts w:ascii="Times New Roman" w:eastAsia="Times New Roman" w:hAnsi="Times New Roman" w:cs="Times New Roman"/>
      <w:i/>
      <w:iCs/>
      <w:sz w:val="24"/>
      <w:szCs w:val="24"/>
      <w:lang w:val="es-ES" w:eastAsia="es-ES"/>
    </w:rPr>
  </w:style>
  <w:style w:type="character" w:customStyle="1" w:styleId="Ttulo9Car">
    <w:name w:val="Título 9 Car"/>
    <w:basedOn w:val="Fuentedeprrafopredeter"/>
    <w:link w:val="Ttulo9"/>
    <w:rsid w:val="00050E2C"/>
    <w:rPr>
      <w:rFonts w:ascii="Arial" w:eastAsia="Times New Roman" w:hAnsi="Arial" w:cs="Arial"/>
      <w:lang w:val="es-ES" w:eastAsia="es-ES"/>
    </w:rPr>
  </w:style>
  <w:style w:type="table" w:customStyle="1" w:styleId="Tablaconcuadrcula3">
    <w:name w:val="Tabla con cuadrícula3"/>
    <w:basedOn w:val="Tablanormal"/>
    <w:next w:val="Tablaconcuadrcula"/>
    <w:uiPriority w:val="39"/>
    <w:rsid w:val="000751BB"/>
    <w:pPr>
      <w:spacing w:after="0" w:line="240" w:lineRule="auto"/>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escripcin">
    <w:name w:val="caption"/>
    <w:basedOn w:val="Normal"/>
    <w:next w:val="Normal"/>
    <w:qFormat/>
    <w:rsid w:val="001F59AB"/>
    <w:pPr>
      <w:overflowPunct w:val="0"/>
      <w:autoSpaceDE w:val="0"/>
      <w:autoSpaceDN w:val="0"/>
      <w:adjustRightInd w:val="0"/>
      <w:spacing w:after="0" w:line="240" w:lineRule="auto"/>
      <w:jc w:val="right"/>
      <w:textAlignment w:val="baseline"/>
    </w:pPr>
    <w:rPr>
      <w:rFonts w:ascii="Verdana" w:eastAsia="Times New Roman" w:hAnsi="Verdana" w:cs="Times New Roman"/>
      <w:b/>
      <w:sz w:val="28"/>
      <w:szCs w:val="20"/>
      <w:lang w:val="es-ES_tradnl" w:eastAsia="es-ES"/>
    </w:rPr>
  </w:style>
  <w:style w:type="paragraph" w:customStyle="1" w:styleId="Default">
    <w:name w:val="Default"/>
    <w:rsid w:val="001F59AB"/>
    <w:pPr>
      <w:autoSpaceDE w:val="0"/>
      <w:autoSpaceDN w:val="0"/>
      <w:adjustRightInd w:val="0"/>
      <w:spacing w:after="0" w:line="240" w:lineRule="auto"/>
      <w:jc w:val="left"/>
    </w:pPr>
    <w:rPr>
      <w:rFonts w:ascii="Arial" w:hAnsi="Arial" w:cs="Arial"/>
      <w:color w:val="000000"/>
      <w:sz w:val="24"/>
      <w:szCs w:val="24"/>
      <w:lang w:val="es-ES"/>
    </w:rPr>
  </w:style>
  <w:style w:type="paragraph" w:customStyle="1" w:styleId="CM203">
    <w:name w:val="CM203"/>
    <w:basedOn w:val="Normal"/>
    <w:next w:val="Normal"/>
    <w:uiPriority w:val="99"/>
    <w:rsid w:val="001F59AB"/>
    <w:pPr>
      <w:widowControl w:val="0"/>
      <w:autoSpaceDE w:val="0"/>
      <w:autoSpaceDN w:val="0"/>
      <w:adjustRightInd w:val="0"/>
      <w:spacing w:after="0" w:line="240" w:lineRule="auto"/>
      <w:jc w:val="left"/>
    </w:pPr>
    <w:rPr>
      <w:rFonts w:ascii="Times New Roman" w:eastAsia="Times New Roman" w:hAnsi="Times New Roman" w:cs="Times New Roman"/>
      <w:szCs w:val="24"/>
      <w:lang w:val="es-ES" w:eastAsia="es-ES"/>
    </w:rPr>
  </w:style>
  <w:style w:type="paragraph" w:styleId="Textoindependiente2">
    <w:name w:val="Body Text 2"/>
    <w:basedOn w:val="Normal"/>
    <w:link w:val="Textoindependiente2Car"/>
    <w:uiPriority w:val="99"/>
    <w:semiHidden/>
    <w:unhideWhenUsed/>
    <w:rsid w:val="00C1755A"/>
    <w:pPr>
      <w:spacing w:after="120" w:line="480" w:lineRule="auto"/>
    </w:pPr>
  </w:style>
  <w:style w:type="character" w:customStyle="1" w:styleId="Textoindependiente2Car">
    <w:name w:val="Texto independiente 2 Car"/>
    <w:basedOn w:val="Fuentedeprrafopredeter"/>
    <w:link w:val="Textoindependiente2"/>
    <w:uiPriority w:val="99"/>
    <w:semiHidden/>
    <w:rsid w:val="00C1755A"/>
    <w:rPr>
      <w:sz w:val="24"/>
      <w:lang w:val="es-MX"/>
    </w:rPr>
  </w:style>
  <w:style w:type="character" w:customStyle="1" w:styleId="apple-converted-space">
    <w:name w:val="apple-converted-space"/>
    <w:basedOn w:val="Fuentedeprrafopredeter"/>
    <w:rsid w:val="00877F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76068">
      <w:bodyDiv w:val="1"/>
      <w:marLeft w:val="0"/>
      <w:marRight w:val="0"/>
      <w:marTop w:val="0"/>
      <w:marBottom w:val="0"/>
      <w:divBdr>
        <w:top w:val="none" w:sz="0" w:space="0" w:color="auto"/>
        <w:left w:val="none" w:sz="0" w:space="0" w:color="auto"/>
        <w:bottom w:val="none" w:sz="0" w:space="0" w:color="auto"/>
        <w:right w:val="none" w:sz="0" w:space="0" w:color="auto"/>
      </w:divBdr>
    </w:div>
    <w:div w:id="38094185">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65686981">
      <w:bodyDiv w:val="1"/>
      <w:marLeft w:val="0"/>
      <w:marRight w:val="0"/>
      <w:marTop w:val="0"/>
      <w:marBottom w:val="0"/>
      <w:divBdr>
        <w:top w:val="none" w:sz="0" w:space="0" w:color="auto"/>
        <w:left w:val="none" w:sz="0" w:space="0" w:color="auto"/>
        <w:bottom w:val="none" w:sz="0" w:space="0" w:color="auto"/>
        <w:right w:val="none" w:sz="0" w:space="0" w:color="auto"/>
      </w:divBdr>
      <w:divsChild>
        <w:div w:id="1403675036">
          <w:marLeft w:val="0"/>
          <w:marRight w:val="0"/>
          <w:marTop w:val="0"/>
          <w:marBottom w:val="0"/>
          <w:divBdr>
            <w:top w:val="none" w:sz="0" w:space="0" w:color="auto"/>
            <w:left w:val="none" w:sz="0" w:space="0" w:color="auto"/>
            <w:bottom w:val="none" w:sz="0" w:space="0" w:color="auto"/>
            <w:right w:val="none" w:sz="0" w:space="0" w:color="auto"/>
          </w:divBdr>
        </w:div>
        <w:div w:id="1127549938">
          <w:marLeft w:val="0"/>
          <w:marRight w:val="0"/>
          <w:marTop w:val="0"/>
          <w:marBottom w:val="0"/>
          <w:divBdr>
            <w:top w:val="none" w:sz="0" w:space="0" w:color="auto"/>
            <w:left w:val="none" w:sz="0" w:space="0" w:color="auto"/>
            <w:bottom w:val="none" w:sz="0" w:space="0" w:color="auto"/>
            <w:right w:val="none" w:sz="0" w:space="0" w:color="auto"/>
          </w:divBdr>
        </w:div>
      </w:divsChild>
    </w:div>
    <w:div w:id="70544669">
      <w:bodyDiv w:val="1"/>
      <w:marLeft w:val="0"/>
      <w:marRight w:val="0"/>
      <w:marTop w:val="0"/>
      <w:marBottom w:val="0"/>
      <w:divBdr>
        <w:top w:val="none" w:sz="0" w:space="0" w:color="auto"/>
        <w:left w:val="none" w:sz="0" w:space="0" w:color="auto"/>
        <w:bottom w:val="none" w:sz="0" w:space="0" w:color="auto"/>
        <w:right w:val="none" w:sz="0" w:space="0" w:color="auto"/>
      </w:divBdr>
      <w:divsChild>
        <w:div w:id="1513495133">
          <w:marLeft w:val="0"/>
          <w:marRight w:val="0"/>
          <w:marTop w:val="0"/>
          <w:marBottom w:val="0"/>
          <w:divBdr>
            <w:top w:val="none" w:sz="0" w:space="0" w:color="auto"/>
            <w:left w:val="none" w:sz="0" w:space="0" w:color="auto"/>
            <w:bottom w:val="none" w:sz="0" w:space="0" w:color="auto"/>
            <w:right w:val="none" w:sz="0" w:space="0" w:color="auto"/>
          </w:divBdr>
          <w:divsChild>
            <w:div w:id="734858809">
              <w:marLeft w:val="0"/>
              <w:marRight w:val="0"/>
              <w:marTop w:val="0"/>
              <w:marBottom w:val="0"/>
              <w:divBdr>
                <w:top w:val="none" w:sz="0" w:space="0" w:color="auto"/>
                <w:left w:val="none" w:sz="0" w:space="0" w:color="auto"/>
                <w:bottom w:val="none" w:sz="0" w:space="0" w:color="auto"/>
                <w:right w:val="none" w:sz="0" w:space="0" w:color="auto"/>
              </w:divBdr>
              <w:divsChild>
                <w:div w:id="1385987392">
                  <w:marLeft w:val="0"/>
                  <w:marRight w:val="0"/>
                  <w:marTop w:val="0"/>
                  <w:marBottom w:val="0"/>
                  <w:divBdr>
                    <w:top w:val="none" w:sz="0" w:space="0" w:color="auto"/>
                    <w:left w:val="none" w:sz="0" w:space="0" w:color="auto"/>
                    <w:bottom w:val="none" w:sz="0" w:space="0" w:color="auto"/>
                    <w:right w:val="none" w:sz="0" w:space="0" w:color="auto"/>
                  </w:divBdr>
                </w:div>
              </w:divsChild>
            </w:div>
            <w:div w:id="414395898">
              <w:marLeft w:val="0"/>
              <w:marRight w:val="0"/>
              <w:marTop w:val="0"/>
              <w:marBottom w:val="0"/>
              <w:divBdr>
                <w:top w:val="none" w:sz="0" w:space="0" w:color="auto"/>
                <w:left w:val="none" w:sz="0" w:space="0" w:color="auto"/>
                <w:bottom w:val="none" w:sz="0" w:space="0" w:color="auto"/>
                <w:right w:val="none" w:sz="0" w:space="0" w:color="auto"/>
              </w:divBdr>
              <w:divsChild>
                <w:div w:id="84987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275642">
      <w:bodyDiv w:val="1"/>
      <w:marLeft w:val="0"/>
      <w:marRight w:val="0"/>
      <w:marTop w:val="0"/>
      <w:marBottom w:val="0"/>
      <w:divBdr>
        <w:top w:val="none" w:sz="0" w:space="0" w:color="auto"/>
        <w:left w:val="none" w:sz="0" w:space="0" w:color="auto"/>
        <w:bottom w:val="none" w:sz="0" w:space="0" w:color="auto"/>
        <w:right w:val="none" w:sz="0" w:space="0" w:color="auto"/>
      </w:divBdr>
      <w:divsChild>
        <w:div w:id="2089033513">
          <w:marLeft w:val="0"/>
          <w:marRight w:val="0"/>
          <w:marTop w:val="0"/>
          <w:marBottom w:val="0"/>
          <w:divBdr>
            <w:top w:val="none" w:sz="0" w:space="0" w:color="auto"/>
            <w:left w:val="none" w:sz="0" w:space="0" w:color="auto"/>
            <w:bottom w:val="none" w:sz="0" w:space="0" w:color="auto"/>
            <w:right w:val="none" w:sz="0" w:space="0" w:color="auto"/>
          </w:divBdr>
          <w:divsChild>
            <w:div w:id="563024260">
              <w:marLeft w:val="0"/>
              <w:marRight w:val="0"/>
              <w:marTop w:val="0"/>
              <w:marBottom w:val="0"/>
              <w:divBdr>
                <w:top w:val="none" w:sz="0" w:space="0" w:color="auto"/>
                <w:left w:val="none" w:sz="0" w:space="0" w:color="auto"/>
                <w:bottom w:val="none" w:sz="0" w:space="0" w:color="auto"/>
                <w:right w:val="none" w:sz="0" w:space="0" w:color="auto"/>
              </w:divBdr>
              <w:divsChild>
                <w:div w:id="1068923680">
                  <w:marLeft w:val="0"/>
                  <w:marRight w:val="0"/>
                  <w:marTop w:val="0"/>
                  <w:marBottom w:val="0"/>
                  <w:divBdr>
                    <w:top w:val="none" w:sz="0" w:space="0" w:color="auto"/>
                    <w:left w:val="none" w:sz="0" w:space="0" w:color="auto"/>
                    <w:bottom w:val="none" w:sz="0" w:space="0" w:color="auto"/>
                    <w:right w:val="none" w:sz="0" w:space="0" w:color="auto"/>
                  </w:divBdr>
                  <w:divsChild>
                    <w:div w:id="75034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40035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528690911">
      <w:bodyDiv w:val="1"/>
      <w:marLeft w:val="0"/>
      <w:marRight w:val="0"/>
      <w:marTop w:val="0"/>
      <w:marBottom w:val="0"/>
      <w:divBdr>
        <w:top w:val="none" w:sz="0" w:space="0" w:color="auto"/>
        <w:left w:val="none" w:sz="0" w:space="0" w:color="auto"/>
        <w:bottom w:val="none" w:sz="0" w:space="0" w:color="auto"/>
        <w:right w:val="none" w:sz="0" w:space="0" w:color="auto"/>
      </w:divBdr>
    </w:div>
    <w:div w:id="538052457">
      <w:bodyDiv w:val="1"/>
      <w:marLeft w:val="0"/>
      <w:marRight w:val="0"/>
      <w:marTop w:val="0"/>
      <w:marBottom w:val="0"/>
      <w:divBdr>
        <w:top w:val="none" w:sz="0" w:space="0" w:color="auto"/>
        <w:left w:val="none" w:sz="0" w:space="0" w:color="auto"/>
        <w:bottom w:val="none" w:sz="0" w:space="0" w:color="auto"/>
        <w:right w:val="none" w:sz="0" w:space="0" w:color="auto"/>
      </w:divBdr>
      <w:divsChild>
        <w:div w:id="293679258">
          <w:marLeft w:val="0"/>
          <w:marRight w:val="0"/>
          <w:marTop w:val="0"/>
          <w:marBottom w:val="0"/>
          <w:divBdr>
            <w:top w:val="none" w:sz="0" w:space="0" w:color="auto"/>
            <w:left w:val="none" w:sz="0" w:space="0" w:color="auto"/>
            <w:bottom w:val="none" w:sz="0" w:space="0" w:color="auto"/>
            <w:right w:val="none" w:sz="0" w:space="0" w:color="auto"/>
          </w:divBdr>
          <w:divsChild>
            <w:div w:id="1751930579">
              <w:marLeft w:val="0"/>
              <w:marRight w:val="0"/>
              <w:marTop w:val="0"/>
              <w:marBottom w:val="0"/>
              <w:divBdr>
                <w:top w:val="none" w:sz="0" w:space="0" w:color="auto"/>
                <w:left w:val="none" w:sz="0" w:space="0" w:color="auto"/>
                <w:bottom w:val="none" w:sz="0" w:space="0" w:color="auto"/>
                <w:right w:val="none" w:sz="0" w:space="0" w:color="auto"/>
              </w:divBdr>
              <w:divsChild>
                <w:div w:id="1477531553">
                  <w:marLeft w:val="0"/>
                  <w:marRight w:val="0"/>
                  <w:marTop w:val="0"/>
                  <w:marBottom w:val="0"/>
                  <w:divBdr>
                    <w:top w:val="none" w:sz="0" w:space="0" w:color="auto"/>
                    <w:left w:val="none" w:sz="0" w:space="0" w:color="auto"/>
                    <w:bottom w:val="none" w:sz="0" w:space="0" w:color="auto"/>
                    <w:right w:val="none" w:sz="0" w:space="0" w:color="auto"/>
                  </w:divBdr>
                  <w:divsChild>
                    <w:div w:id="66933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5623194">
      <w:bodyDiv w:val="1"/>
      <w:marLeft w:val="0"/>
      <w:marRight w:val="0"/>
      <w:marTop w:val="0"/>
      <w:marBottom w:val="0"/>
      <w:divBdr>
        <w:top w:val="none" w:sz="0" w:space="0" w:color="auto"/>
        <w:left w:val="none" w:sz="0" w:space="0" w:color="auto"/>
        <w:bottom w:val="none" w:sz="0" w:space="0" w:color="auto"/>
        <w:right w:val="none" w:sz="0" w:space="0" w:color="auto"/>
      </w:divBdr>
      <w:divsChild>
        <w:div w:id="597257731">
          <w:marLeft w:val="0"/>
          <w:marRight w:val="0"/>
          <w:marTop w:val="0"/>
          <w:marBottom w:val="0"/>
          <w:divBdr>
            <w:top w:val="none" w:sz="0" w:space="0" w:color="auto"/>
            <w:left w:val="none" w:sz="0" w:space="0" w:color="auto"/>
            <w:bottom w:val="none" w:sz="0" w:space="0" w:color="auto"/>
            <w:right w:val="none" w:sz="0" w:space="0" w:color="auto"/>
          </w:divBdr>
          <w:divsChild>
            <w:div w:id="1566644036">
              <w:marLeft w:val="0"/>
              <w:marRight w:val="0"/>
              <w:marTop w:val="0"/>
              <w:marBottom w:val="0"/>
              <w:divBdr>
                <w:top w:val="none" w:sz="0" w:space="0" w:color="auto"/>
                <w:left w:val="none" w:sz="0" w:space="0" w:color="auto"/>
                <w:bottom w:val="none" w:sz="0" w:space="0" w:color="auto"/>
                <w:right w:val="none" w:sz="0" w:space="0" w:color="auto"/>
              </w:divBdr>
              <w:divsChild>
                <w:div w:id="20895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9821506">
      <w:bodyDiv w:val="1"/>
      <w:marLeft w:val="0"/>
      <w:marRight w:val="0"/>
      <w:marTop w:val="0"/>
      <w:marBottom w:val="0"/>
      <w:divBdr>
        <w:top w:val="none" w:sz="0" w:space="0" w:color="auto"/>
        <w:left w:val="none" w:sz="0" w:space="0" w:color="auto"/>
        <w:bottom w:val="none" w:sz="0" w:space="0" w:color="auto"/>
        <w:right w:val="none" w:sz="0" w:space="0" w:color="auto"/>
      </w:divBdr>
    </w:div>
    <w:div w:id="657923463">
      <w:bodyDiv w:val="1"/>
      <w:marLeft w:val="0"/>
      <w:marRight w:val="0"/>
      <w:marTop w:val="0"/>
      <w:marBottom w:val="0"/>
      <w:divBdr>
        <w:top w:val="none" w:sz="0" w:space="0" w:color="auto"/>
        <w:left w:val="none" w:sz="0" w:space="0" w:color="auto"/>
        <w:bottom w:val="none" w:sz="0" w:space="0" w:color="auto"/>
        <w:right w:val="none" w:sz="0" w:space="0" w:color="auto"/>
      </w:divBdr>
    </w:div>
    <w:div w:id="685834933">
      <w:bodyDiv w:val="1"/>
      <w:marLeft w:val="0"/>
      <w:marRight w:val="0"/>
      <w:marTop w:val="0"/>
      <w:marBottom w:val="0"/>
      <w:divBdr>
        <w:top w:val="none" w:sz="0" w:space="0" w:color="auto"/>
        <w:left w:val="none" w:sz="0" w:space="0" w:color="auto"/>
        <w:bottom w:val="none" w:sz="0" w:space="0" w:color="auto"/>
        <w:right w:val="none" w:sz="0" w:space="0" w:color="auto"/>
      </w:divBdr>
      <w:divsChild>
        <w:div w:id="1827236719">
          <w:marLeft w:val="0"/>
          <w:marRight w:val="0"/>
          <w:marTop w:val="0"/>
          <w:marBottom w:val="0"/>
          <w:divBdr>
            <w:top w:val="none" w:sz="0" w:space="0" w:color="auto"/>
            <w:left w:val="none" w:sz="0" w:space="0" w:color="auto"/>
            <w:bottom w:val="none" w:sz="0" w:space="0" w:color="auto"/>
            <w:right w:val="none" w:sz="0" w:space="0" w:color="auto"/>
          </w:divBdr>
          <w:divsChild>
            <w:div w:id="1528986041">
              <w:marLeft w:val="0"/>
              <w:marRight w:val="0"/>
              <w:marTop w:val="0"/>
              <w:marBottom w:val="0"/>
              <w:divBdr>
                <w:top w:val="none" w:sz="0" w:space="0" w:color="auto"/>
                <w:left w:val="none" w:sz="0" w:space="0" w:color="auto"/>
                <w:bottom w:val="none" w:sz="0" w:space="0" w:color="auto"/>
                <w:right w:val="none" w:sz="0" w:space="0" w:color="auto"/>
              </w:divBdr>
              <w:divsChild>
                <w:div w:id="225579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4141978">
      <w:bodyDiv w:val="1"/>
      <w:marLeft w:val="0"/>
      <w:marRight w:val="0"/>
      <w:marTop w:val="0"/>
      <w:marBottom w:val="0"/>
      <w:divBdr>
        <w:top w:val="none" w:sz="0" w:space="0" w:color="auto"/>
        <w:left w:val="none" w:sz="0" w:space="0" w:color="auto"/>
        <w:bottom w:val="none" w:sz="0" w:space="0" w:color="auto"/>
        <w:right w:val="none" w:sz="0" w:space="0" w:color="auto"/>
      </w:divBdr>
    </w:div>
    <w:div w:id="742486387">
      <w:bodyDiv w:val="1"/>
      <w:marLeft w:val="0"/>
      <w:marRight w:val="0"/>
      <w:marTop w:val="0"/>
      <w:marBottom w:val="0"/>
      <w:divBdr>
        <w:top w:val="none" w:sz="0" w:space="0" w:color="auto"/>
        <w:left w:val="none" w:sz="0" w:space="0" w:color="auto"/>
        <w:bottom w:val="none" w:sz="0" w:space="0" w:color="auto"/>
        <w:right w:val="none" w:sz="0" w:space="0" w:color="auto"/>
      </w:divBdr>
    </w:div>
    <w:div w:id="773549469">
      <w:bodyDiv w:val="1"/>
      <w:marLeft w:val="0"/>
      <w:marRight w:val="0"/>
      <w:marTop w:val="0"/>
      <w:marBottom w:val="0"/>
      <w:divBdr>
        <w:top w:val="none" w:sz="0" w:space="0" w:color="auto"/>
        <w:left w:val="none" w:sz="0" w:space="0" w:color="auto"/>
        <w:bottom w:val="none" w:sz="0" w:space="0" w:color="auto"/>
        <w:right w:val="none" w:sz="0" w:space="0" w:color="auto"/>
      </w:divBdr>
      <w:divsChild>
        <w:div w:id="1693219852">
          <w:marLeft w:val="0"/>
          <w:marRight w:val="0"/>
          <w:marTop w:val="0"/>
          <w:marBottom w:val="0"/>
          <w:divBdr>
            <w:top w:val="none" w:sz="0" w:space="0" w:color="auto"/>
            <w:left w:val="none" w:sz="0" w:space="0" w:color="auto"/>
            <w:bottom w:val="none" w:sz="0" w:space="0" w:color="auto"/>
            <w:right w:val="none" w:sz="0" w:space="0" w:color="auto"/>
          </w:divBdr>
          <w:divsChild>
            <w:div w:id="2023359027">
              <w:marLeft w:val="0"/>
              <w:marRight w:val="0"/>
              <w:marTop w:val="0"/>
              <w:marBottom w:val="0"/>
              <w:divBdr>
                <w:top w:val="none" w:sz="0" w:space="0" w:color="auto"/>
                <w:left w:val="none" w:sz="0" w:space="0" w:color="auto"/>
                <w:bottom w:val="none" w:sz="0" w:space="0" w:color="auto"/>
                <w:right w:val="none" w:sz="0" w:space="0" w:color="auto"/>
              </w:divBdr>
            </w:div>
          </w:divsChild>
        </w:div>
        <w:div w:id="1795442581">
          <w:marLeft w:val="0"/>
          <w:marRight w:val="0"/>
          <w:marTop w:val="0"/>
          <w:marBottom w:val="0"/>
          <w:divBdr>
            <w:top w:val="none" w:sz="0" w:space="0" w:color="auto"/>
            <w:left w:val="none" w:sz="0" w:space="0" w:color="auto"/>
            <w:bottom w:val="none" w:sz="0" w:space="0" w:color="auto"/>
            <w:right w:val="none" w:sz="0" w:space="0" w:color="auto"/>
          </w:divBdr>
          <w:divsChild>
            <w:div w:id="142549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5831276">
      <w:bodyDiv w:val="1"/>
      <w:marLeft w:val="0"/>
      <w:marRight w:val="0"/>
      <w:marTop w:val="0"/>
      <w:marBottom w:val="0"/>
      <w:divBdr>
        <w:top w:val="none" w:sz="0" w:space="0" w:color="auto"/>
        <w:left w:val="none" w:sz="0" w:space="0" w:color="auto"/>
        <w:bottom w:val="none" w:sz="0" w:space="0" w:color="auto"/>
        <w:right w:val="none" w:sz="0" w:space="0" w:color="auto"/>
      </w:divBdr>
    </w:div>
    <w:div w:id="893934457">
      <w:bodyDiv w:val="1"/>
      <w:marLeft w:val="0"/>
      <w:marRight w:val="0"/>
      <w:marTop w:val="0"/>
      <w:marBottom w:val="0"/>
      <w:divBdr>
        <w:top w:val="none" w:sz="0" w:space="0" w:color="auto"/>
        <w:left w:val="none" w:sz="0" w:space="0" w:color="auto"/>
        <w:bottom w:val="none" w:sz="0" w:space="0" w:color="auto"/>
        <w:right w:val="none" w:sz="0" w:space="0" w:color="auto"/>
      </w:divBdr>
    </w:div>
    <w:div w:id="910164740">
      <w:bodyDiv w:val="1"/>
      <w:marLeft w:val="0"/>
      <w:marRight w:val="0"/>
      <w:marTop w:val="0"/>
      <w:marBottom w:val="0"/>
      <w:divBdr>
        <w:top w:val="none" w:sz="0" w:space="0" w:color="auto"/>
        <w:left w:val="none" w:sz="0" w:space="0" w:color="auto"/>
        <w:bottom w:val="none" w:sz="0" w:space="0" w:color="auto"/>
        <w:right w:val="none" w:sz="0" w:space="0" w:color="auto"/>
      </w:divBdr>
    </w:div>
    <w:div w:id="953173263">
      <w:bodyDiv w:val="1"/>
      <w:marLeft w:val="0"/>
      <w:marRight w:val="0"/>
      <w:marTop w:val="0"/>
      <w:marBottom w:val="0"/>
      <w:divBdr>
        <w:top w:val="none" w:sz="0" w:space="0" w:color="auto"/>
        <w:left w:val="none" w:sz="0" w:space="0" w:color="auto"/>
        <w:bottom w:val="none" w:sz="0" w:space="0" w:color="auto"/>
        <w:right w:val="none" w:sz="0" w:space="0" w:color="auto"/>
      </w:divBdr>
    </w:div>
    <w:div w:id="974724308">
      <w:bodyDiv w:val="1"/>
      <w:marLeft w:val="0"/>
      <w:marRight w:val="0"/>
      <w:marTop w:val="0"/>
      <w:marBottom w:val="0"/>
      <w:divBdr>
        <w:top w:val="none" w:sz="0" w:space="0" w:color="auto"/>
        <w:left w:val="none" w:sz="0" w:space="0" w:color="auto"/>
        <w:bottom w:val="none" w:sz="0" w:space="0" w:color="auto"/>
        <w:right w:val="none" w:sz="0" w:space="0" w:color="auto"/>
      </w:divBdr>
    </w:div>
    <w:div w:id="1004672872">
      <w:bodyDiv w:val="1"/>
      <w:marLeft w:val="0"/>
      <w:marRight w:val="0"/>
      <w:marTop w:val="0"/>
      <w:marBottom w:val="0"/>
      <w:divBdr>
        <w:top w:val="none" w:sz="0" w:space="0" w:color="auto"/>
        <w:left w:val="none" w:sz="0" w:space="0" w:color="auto"/>
        <w:bottom w:val="none" w:sz="0" w:space="0" w:color="auto"/>
        <w:right w:val="none" w:sz="0" w:space="0" w:color="auto"/>
      </w:divBdr>
    </w:div>
    <w:div w:id="1008944424">
      <w:bodyDiv w:val="1"/>
      <w:marLeft w:val="0"/>
      <w:marRight w:val="0"/>
      <w:marTop w:val="0"/>
      <w:marBottom w:val="0"/>
      <w:divBdr>
        <w:top w:val="none" w:sz="0" w:space="0" w:color="auto"/>
        <w:left w:val="none" w:sz="0" w:space="0" w:color="auto"/>
        <w:bottom w:val="none" w:sz="0" w:space="0" w:color="auto"/>
        <w:right w:val="none" w:sz="0" w:space="0" w:color="auto"/>
      </w:divBdr>
    </w:div>
    <w:div w:id="1014107879">
      <w:bodyDiv w:val="1"/>
      <w:marLeft w:val="0"/>
      <w:marRight w:val="0"/>
      <w:marTop w:val="0"/>
      <w:marBottom w:val="0"/>
      <w:divBdr>
        <w:top w:val="none" w:sz="0" w:space="0" w:color="auto"/>
        <w:left w:val="none" w:sz="0" w:space="0" w:color="auto"/>
        <w:bottom w:val="none" w:sz="0" w:space="0" w:color="auto"/>
        <w:right w:val="none" w:sz="0" w:space="0" w:color="auto"/>
      </w:divBdr>
    </w:div>
    <w:div w:id="1161699058">
      <w:bodyDiv w:val="1"/>
      <w:marLeft w:val="0"/>
      <w:marRight w:val="0"/>
      <w:marTop w:val="0"/>
      <w:marBottom w:val="0"/>
      <w:divBdr>
        <w:top w:val="none" w:sz="0" w:space="0" w:color="auto"/>
        <w:left w:val="none" w:sz="0" w:space="0" w:color="auto"/>
        <w:bottom w:val="none" w:sz="0" w:space="0" w:color="auto"/>
        <w:right w:val="none" w:sz="0" w:space="0" w:color="auto"/>
      </w:divBdr>
    </w:div>
    <w:div w:id="1193224216">
      <w:bodyDiv w:val="1"/>
      <w:marLeft w:val="0"/>
      <w:marRight w:val="0"/>
      <w:marTop w:val="0"/>
      <w:marBottom w:val="0"/>
      <w:divBdr>
        <w:top w:val="none" w:sz="0" w:space="0" w:color="auto"/>
        <w:left w:val="none" w:sz="0" w:space="0" w:color="auto"/>
        <w:bottom w:val="none" w:sz="0" w:space="0" w:color="auto"/>
        <w:right w:val="none" w:sz="0" w:space="0" w:color="auto"/>
      </w:divBdr>
    </w:div>
    <w:div w:id="1213887254">
      <w:bodyDiv w:val="1"/>
      <w:marLeft w:val="0"/>
      <w:marRight w:val="0"/>
      <w:marTop w:val="0"/>
      <w:marBottom w:val="0"/>
      <w:divBdr>
        <w:top w:val="none" w:sz="0" w:space="0" w:color="auto"/>
        <w:left w:val="none" w:sz="0" w:space="0" w:color="auto"/>
        <w:bottom w:val="none" w:sz="0" w:space="0" w:color="auto"/>
        <w:right w:val="none" w:sz="0" w:space="0" w:color="auto"/>
      </w:divBdr>
    </w:div>
    <w:div w:id="1264339739">
      <w:bodyDiv w:val="1"/>
      <w:marLeft w:val="0"/>
      <w:marRight w:val="0"/>
      <w:marTop w:val="0"/>
      <w:marBottom w:val="0"/>
      <w:divBdr>
        <w:top w:val="none" w:sz="0" w:space="0" w:color="auto"/>
        <w:left w:val="none" w:sz="0" w:space="0" w:color="auto"/>
        <w:bottom w:val="none" w:sz="0" w:space="0" w:color="auto"/>
        <w:right w:val="none" w:sz="0" w:space="0" w:color="auto"/>
      </w:divBdr>
    </w:div>
    <w:div w:id="1324891662">
      <w:bodyDiv w:val="1"/>
      <w:marLeft w:val="0"/>
      <w:marRight w:val="0"/>
      <w:marTop w:val="0"/>
      <w:marBottom w:val="0"/>
      <w:divBdr>
        <w:top w:val="none" w:sz="0" w:space="0" w:color="auto"/>
        <w:left w:val="none" w:sz="0" w:space="0" w:color="auto"/>
        <w:bottom w:val="none" w:sz="0" w:space="0" w:color="auto"/>
        <w:right w:val="none" w:sz="0" w:space="0" w:color="auto"/>
      </w:divBdr>
    </w:div>
    <w:div w:id="1372682995">
      <w:bodyDiv w:val="1"/>
      <w:marLeft w:val="0"/>
      <w:marRight w:val="0"/>
      <w:marTop w:val="0"/>
      <w:marBottom w:val="0"/>
      <w:divBdr>
        <w:top w:val="none" w:sz="0" w:space="0" w:color="auto"/>
        <w:left w:val="none" w:sz="0" w:space="0" w:color="auto"/>
        <w:bottom w:val="none" w:sz="0" w:space="0" w:color="auto"/>
        <w:right w:val="none" w:sz="0" w:space="0" w:color="auto"/>
      </w:divBdr>
      <w:divsChild>
        <w:div w:id="593783861">
          <w:marLeft w:val="0"/>
          <w:marRight w:val="0"/>
          <w:marTop w:val="0"/>
          <w:marBottom w:val="0"/>
          <w:divBdr>
            <w:top w:val="none" w:sz="0" w:space="0" w:color="auto"/>
            <w:left w:val="none" w:sz="0" w:space="0" w:color="auto"/>
            <w:bottom w:val="none" w:sz="0" w:space="0" w:color="auto"/>
            <w:right w:val="none" w:sz="0" w:space="0" w:color="auto"/>
          </w:divBdr>
          <w:divsChild>
            <w:div w:id="233509266">
              <w:marLeft w:val="0"/>
              <w:marRight w:val="0"/>
              <w:marTop w:val="0"/>
              <w:marBottom w:val="0"/>
              <w:divBdr>
                <w:top w:val="none" w:sz="0" w:space="0" w:color="auto"/>
                <w:left w:val="none" w:sz="0" w:space="0" w:color="auto"/>
                <w:bottom w:val="none" w:sz="0" w:space="0" w:color="auto"/>
                <w:right w:val="none" w:sz="0" w:space="0" w:color="auto"/>
              </w:divBdr>
              <w:divsChild>
                <w:div w:id="160564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329384">
      <w:bodyDiv w:val="1"/>
      <w:marLeft w:val="0"/>
      <w:marRight w:val="0"/>
      <w:marTop w:val="0"/>
      <w:marBottom w:val="0"/>
      <w:divBdr>
        <w:top w:val="none" w:sz="0" w:space="0" w:color="auto"/>
        <w:left w:val="none" w:sz="0" w:space="0" w:color="auto"/>
        <w:bottom w:val="none" w:sz="0" w:space="0" w:color="auto"/>
        <w:right w:val="none" w:sz="0" w:space="0" w:color="auto"/>
      </w:divBdr>
      <w:divsChild>
        <w:div w:id="1720085630">
          <w:marLeft w:val="0"/>
          <w:marRight w:val="0"/>
          <w:marTop w:val="0"/>
          <w:marBottom w:val="0"/>
          <w:divBdr>
            <w:top w:val="none" w:sz="0" w:space="0" w:color="auto"/>
            <w:left w:val="none" w:sz="0" w:space="0" w:color="auto"/>
            <w:bottom w:val="none" w:sz="0" w:space="0" w:color="auto"/>
            <w:right w:val="none" w:sz="0" w:space="0" w:color="auto"/>
          </w:divBdr>
        </w:div>
      </w:divsChild>
    </w:div>
    <w:div w:id="1418550300">
      <w:bodyDiv w:val="1"/>
      <w:marLeft w:val="0"/>
      <w:marRight w:val="0"/>
      <w:marTop w:val="0"/>
      <w:marBottom w:val="0"/>
      <w:divBdr>
        <w:top w:val="none" w:sz="0" w:space="0" w:color="auto"/>
        <w:left w:val="none" w:sz="0" w:space="0" w:color="auto"/>
        <w:bottom w:val="none" w:sz="0" w:space="0" w:color="auto"/>
        <w:right w:val="none" w:sz="0" w:space="0" w:color="auto"/>
      </w:divBdr>
    </w:div>
    <w:div w:id="1539856460">
      <w:bodyDiv w:val="1"/>
      <w:marLeft w:val="0"/>
      <w:marRight w:val="0"/>
      <w:marTop w:val="0"/>
      <w:marBottom w:val="0"/>
      <w:divBdr>
        <w:top w:val="none" w:sz="0" w:space="0" w:color="auto"/>
        <w:left w:val="none" w:sz="0" w:space="0" w:color="auto"/>
        <w:bottom w:val="none" w:sz="0" w:space="0" w:color="auto"/>
        <w:right w:val="none" w:sz="0" w:space="0" w:color="auto"/>
      </w:divBdr>
      <w:divsChild>
        <w:div w:id="777288955">
          <w:marLeft w:val="0"/>
          <w:marRight w:val="0"/>
          <w:marTop w:val="0"/>
          <w:marBottom w:val="0"/>
          <w:divBdr>
            <w:top w:val="none" w:sz="0" w:space="0" w:color="auto"/>
            <w:left w:val="none" w:sz="0" w:space="0" w:color="auto"/>
            <w:bottom w:val="none" w:sz="0" w:space="0" w:color="auto"/>
            <w:right w:val="none" w:sz="0" w:space="0" w:color="auto"/>
          </w:divBdr>
          <w:divsChild>
            <w:div w:id="413863534">
              <w:marLeft w:val="0"/>
              <w:marRight w:val="0"/>
              <w:marTop w:val="0"/>
              <w:marBottom w:val="0"/>
              <w:divBdr>
                <w:top w:val="none" w:sz="0" w:space="0" w:color="auto"/>
                <w:left w:val="none" w:sz="0" w:space="0" w:color="auto"/>
                <w:bottom w:val="none" w:sz="0" w:space="0" w:color="auto"/>
                <w:right w:val="none" w:sz="0" w:space="0" w:color="auto"/>
              </w:divBdr>
              <w:divsChild>
                <w:div w:id="148681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895828">
      <w:bodyDiv w:val="1"/>
      <w:marLeft w:val="0"/>
      <w:marRight w:val="0"/>
      <w:marTop w:val="0"/>
      <w:marBottom w:val="0"/>
      <w:divBdr>
        <w:top w:val="none" w:sz="0" w:space="0" w:color="auto"/>
        <w:left w:val="none" w:sz="0" w:space="0" w:color="auto"/>
        <w:bottom w:val="none" w:sz="0" w:space="0" w:color="auto"/>
        <w:right w:val="none" w:sz="0" w:space="0" w:color="auto"/>
      </w:divBdr>
    </w:div>
    <w:div w:id="1568954086">
      <w:bodyDiv w:val="1"/>
      <w:marLeft w:val="0"/>
      <w:marRight w:val="0"/>
      <w:marTop w:val="0"/>
      <w:marBottom w:val="0"/>
      <w:divBdr>
        <w:top w:val="none" w:sz="0" w:space="0" w:color="auto"/>
        <w:left w:val="none" w:sz="0" w:space="0" w:color="auto"/>
        <w:bottom w:val="none" w:sz="0" w:space="0" w:color="auto"/>
        <w:right w:val="none" w:sz="0" w:space="0" w:color="auto"/>
      </w:divBdr>
    </w:div>
    <w:div w:id="1571423430">
      <w:bodyDiv w:val="1"/>
      <w:marLeft w:val="0"/>
      <w:marRight w:val="0"/>
      <w:marTop w:val="0"/>
      <w:marBottom w:val="0"/>
      <w:divBdr>
        <w:top w:val="none" w:sz="0" w:space="0" w:color="auto"/>
        <w:left w:val="none" w:sz="0" w:space="0" w:color="auto"/>
        <w:bottom w:val="none" w:sz="0" w:space="0" w:color="auto"/>
        <w:right w:val="none" w:sz="0" w:space="0" w:color="auto"/>
      </w:divBdr>
    </w:div>
    <w:div w:id="1587418584">
      <w:bodyDiv w:val="1"/>
      <w:marLeft w:val="0"/>
      <w:marRight w:val="0"/>
      <w:marTop w:val="0"/>
      <w:marBottom w:val="0"/>
      <w:divBdr>
        <w:top w:val="none" w:sz="0" w:space="0" w:color="auto"/>
        <w:left w:val="none" w:sz="0" w:space="0" w:color="auto"/>
        <w:bottom w:val="none" w:sz="0" w:space="0" w:color="auto"/>
        <w:right w:val="none" w:sz="0" w:space="0" w:color="auto"/>
      </w:divBdr>
      <w:divsChild>
        <w:div w:id="1181119235">
          <w:marLeft w:val="0"/>
          <w:marRight w:val="0"/>
          <w:marTop w:val="0"/>
          <w:marBottom w:val="0"/>
          <w:divBdr>
            <w:top w:val="none" w:sz="0" w:space="0" w:color="auto"/>
            <w:left w:val="none" w:sz="0" w:space="0" w:color="auto"/>
            <w:bottom w:val="none" w:sz="0" w:space="0" w:color="auto"/>
            <w:right w:val="none" w:sz="0" w:space="0" w:color="auto"/>
          </w:divBdr>
          <w:divsChild>
            <w:div w:id="933243238">
              <w:marLeft w:val="0"/>
              <w:marRight w:val="0"/>
              <w:marTop w:val="0"/>
              <w:marBottom w:val="0"/>
              <w:divBdr>
                <w:top w:val="none" w:sz="0" w:space="0" w:color="auto"/>
                <w:left w:val="none" w:sz="0" w:space="0" w:color="auto"/>
                <w:bottom w:val="none" w:sz="0" w:space="0" w:color="auto"/>
                <w:right w:val="none" w:sz="0" w:space="0" w:color="auto"/>
              </w:divBdr>
              <w:divsChild>
                <w:div w:id="647248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8343173">
      <w:bodyDiv w:val="1"/>
      <w:marLeft w:val="0"/>
      <w:marRight w:val="0"/>
      <w:marTop w:val="0"/>
      <w:marBottom w:val="0"/>
      <w:divBdr>
        <w:top w:val="none" w:sz="0" w:space="0" w:color="auto"/>
        <w:left w:val="none" w:sz="0" w:space="0" w:color="auto"/>
        <w:bottom w:val="none" w:sz="0" w:space="0" w:color="auto"/>
        <w:right w:val="none" w:sz="0" w:space="0" w:color="auto"/>
      </w:divBdr>
    </w:div>
    <w:div w:id="1594314269">
      <w:bodyDiv w:val="1"/>
      <w:marLeft w:val="0"/>
      <w:marRight w:val="0"/>
      <w:marTop w:val="0"/>
      <w:marBottom w:val="0"/>
      <w:divBdr>
        <w:top w:val="none" w:sz="0" w:space="0" w:color="auto"/>
        <w:left w:val="none" w:sz="0" w:space="0" w:color="auto"/>
        <w:bottom w:val="none" w:sz="0" w:space="0" w:color="auto"/>
        <w:right w:val="none" w:sz="0" w:space="0" w:color="auto"/>
      </w:divBdr>
    </w:div>
    <w:div w:id="1612132252">
      <w:bodyDiv w:val="1"/>
      <w:marLeft w:val="0"/>
      <w:marRight w:val="0"/>
      <w:marTop w:val="0"/>
      <w:marBottom w:val="0"/>
      <w:divBdr>
        <w:top w:val="none" w:sz="0" w:space="0" w:color="auto"/>
        <w:left w:val="none" w:sz="0" w:space="0" w:color="auto"/>
        <w:bottom w:val="none" w:sz="0" w:space="0" w:color="auto"/>
        <w:right w:val="none" w:sz="0" w:space="0" w:color="auto"/>
      </w:divBdr>
    </w:div>
    <w:div w:id="1757092349">
      <w:bodyDiv w:val="1"/>
      <w:marLeft w:val="0"/>
      <w:marRight w:val="0"/>
      <w:marTop w:val="0"/>
      <w:marBottom w:val="0"/>
      <w:divBdr>
        <w:top w:val="none" w:sz="0" w:space="0" w:color="auto"/>
        <w:left w:val="none" w:sz="0" w:space="0" w:color="auto"/>
        <w:bottom w:val="none" w:sz="0" w:space="0" w:color="auto"/>
        <w:right w:val="none" w:sz="0" w:space="0" w:color="auto"/>
      </w:divBdr>
    </w:div>
    <w:div w:id="1804958937">
      <w:bodyDiv w:val="1"/>
      <w:marLeft w:val="0"/>
      <w:marRight w:val="0"/>
      <w:marTop w:val="0"/>
      <w:marBottom w:val="0"/>
      <w:divBdr>
        <w:top w:val="none" w:sz="0" w:space="0" w:color="auto"/>
        <w:left w:val="none" w:sz="0" w:space="0" w:color="auto"/>
        <w:bottom w:val="none" w:sz="0" w:space="0" w:color="auto"/>
        <w:right w:val="none" w:sz="0" w:space="0" w:color="auto"/>
      </w:divBdr>
    </w:div>
    <w:div w:id="1844125587">
      <w:bodyDiv w:val="1"/>
      <w:marLeft w:val="0"/>
      <w:marRight w:val="0"/>
      <w:marTop w:val="0"/>
      <w:marBottom w:val="0"/>
      <w:divBdr>
        <w:top w:val="none" w:sz="0" w:space="0" w:color="auto"/>
        <w:left w:val="none" w:sz="0" w:space="0" w:color="auto"/>
        <w:bottom w:val="none" w:sz="0" w:space="0" w:color="auto"/>
        <w:right w:val="none" w:sz="0" w:space="0" w:color="auto"/>
      </w:divBdr>
      <w:divsChild>
        <w:div w:id="376858781">
          <w:marLeft w:val="0"/>
          <w:marRight w:val="0"/>
          <w:marTop w:val="0"/>
          <w:marBottom w:val="0"/>
          <w:divBdr>
            <w:top w:val="none" w:sz="0" w:space="0" w:color="auto"/>
            <w:left w:val="none" w:sz="0" w:space="0" w:color="auto"/>
            <w:bottom w:val="none" w:sz="0" w:space="0" w:color="auto"/>
            <w:right w:val="none" w:sz="0" w:space="0" w:color="auto"/>
          </w:divBdr>
          <w:divsChild>
            <w:div w:id="558325464">
              <w:marLeft w:val="0"/>
              <w:marRight w:val="0"/>
              <w:marTop w:val="0"/>
              <w:marBottom w:val="0"/>
              <w:divBdr>
                <w:top w:val="none" w:sz="0" w:space="0" w:color="auto"/>
                <w:left w:val="none" w:sz="0" w:space="0" w:color="auto"/>
                <w:bottom w:val="none" w:sz="0" w:space="0" w:color="auto"/>
                <w:right w:val="none" w:sz="0" w:space="0" w:color="auto"/>
              </w:divBdr>
              <w:divsChild>
                <w:div w:id="1411537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362898">
      <w:bodyDiv w:val="1"/>
      <w:marLeft w:val="0"/>
      <w:marRight w:val="0"/>
      <w:marTop w:val="0"/>
      <w:marBottom w:val="0"/>
      <w:divBdr>
        <w:top w:val="none" w:sz="0" w:space="0" w:color="auto"/>
        <w:left w:val="none" w:sz="0" w:space="0" w:color="auto"/>
        <w:bottom w:val="none" w:sz="0" w:space="0" w:color="auto"/>
        <w:right w:val="none" w:sz="0" w:space="0" w:color="auto"/>
      </w:divBdr>
    </w:div>
    <w:div w:id="1909195364">
      <w:bodyDiv w:val="1"/>
      <w:marLeft w:val="0"/>
      <w:marRight w:val="0"/>
      <w:marTop w:val="0"/>
      <w:marBottom w:val="0"/>
      <w:divBdr>
        <w:top w:val="none" w:sz="0" w:space="0" w:color="auto"/>
        <w:left w:val="none" w:sz="0" w:space="0" w:color="auto"/>
        <w:bottom w:val="none" w:sz="0" w:space="0" w:color="auto"/>
        <w:right w:val="none" w:sz="0" w:space="0" w:color="auto"/>
      </w:divBdr>
    </w:div>
    <w:div w:id="1920285568">
      <w:bodyDiv w:val="1"/>
      <w:marLeft w:val="0"/>
      <w:marRight w:val="0"/>
      <w:marTop w:val="0"/>
      <w:marBottom w:val="0"/>
      <w:divBdr>
        <w:top w:val="none" w:sz="0" w:space="0" w:color="auto"/>
        <w:left w:val="none" w:sz="0" w:space="0" w:color="auto"/>
        <w:bottom w:val="none" w:sz="0" w:space="0" w:color="auto"/>
        <w:right w:val="none" w:sz="0" w:space="0" w:color="auto"/>
      </w:divBdr>
    </w:div>
    <w:div w:id="1968584149">
      <w:bodyDiv w:val="1"/>
      <w:marLeft w:val="0"/>
      <w:marRight w:val="0"/>
      <w:marTop w:val="0"/>
      <w:marBottom w:val="0"/>
      <w:divBdr>
        <w:top w:val="none" w:sz="0" w:space="0" w:color="auto"/>
        <w:left w:val="none" w:sz="0" w:space="0" w:color="auto"/>
        <w:bottom w:val="none" w:sz="0" w:space="0" w:color="auto"/>
        <w:right w:val="none" w:sz="0" w:space="0" w:color="auto"/>
      </w:divBdr>
      <w:divsChild>
        <w:div w:id="445658312">
          <w:marLeft w:val="0"/>
          <w:marRight w:val="0"/>
          <w:marTop w:val="0"/>
          <w:marBottom w:val="0"/>
          <w:divBdr>
            <w:top w:val="none" w:sz="0" w:space="0" w:color="auto"/>
            <w:left w:val="none" w:sz="0" w:space="0" w:color="auto"/>
            <w:bottom w:val="none" w:sz="0" w:space="0" w:color="auto"/>
            <w:right w:val="none" w:sz="0" w:space="0" w:color="auto"/>
          </w:divBdr>
          <w:divsChild>
            <w:div w:id="289482795">
              <w:marLeft w:val="0"/>
              <w:marRight w:val="0"/>
              <w:marTop w:val="0"/>
              <w:marBottom w:val="0"/>
              <w:divBdr>
                <w:top w:val="none" w:sz="0" w:space="0" w:color="auto"/>
                <w:left w:val="none" w:sz="0" w:space="0" w:color="auto"/>
                <w:bottom w:val="none" w:sz="0" w:space="0" w:color="auto"/>
                <w:right w:val="none" w:sz="0" w:space="0" w:color="auto"/>
              </w:divBdr>
              <w:divsChild>
                <w:div w:id="99490715">
                  <w:marLeft w:val="0"/>
                  <w:marRight w:val="0"/>
                  <w:marTop w:val="0"/>
                  <w:marBottom w:val="0"/>
                  <w:divBdr>
                    <w:top w:val="none" w:sz="0" w:space="0" w:color="auto"/>
                    <w:left w:val="none" w:sz="0" w:space="0" w:color="auto"/>
                    <w:bottom w:val="none" w:sz="0" w:space="0" w:color="auto"/>
                    <w:right w:val="none" w:sz="0" w:space="0" w:color="auto"/>
                  </w:divBdr>
                  <w:divsChild>
                    <w:div w:id="545407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564049">
      <w:bodyDiv w:val="1"/>
      <w:marLeft w:val="0"/>
      <w:marRight w:val="0"/>
      <w:marTop w:val="0"/>
      <w:marBottom w:val="0"/>
      <w:divBdr>
        <w:top w:val="none" w:sz="0" w:space="0" w:color="auto"/>
        <w:left w:val="none" w:sz="0" w:space="0" w:color="auto"/>
        <w:bottom w:val="none" w:sz="0" w:space="0" w:color="auto"/>
        <w:right w:val="none" w:sz="0" w:space="0" w:color="auto"/>
      </w:divBdr>
    </w:div>
    <w:div w:id="2047414404">
      <w:bodyDiv w:val="1"/>
      <w:marLeft w:val="0"/>
      <w:marRight w:val="0"/>
      <w:marTop w:val="0"/>
      <w:marBottom w:val="0"/>
      <w:divBdr>
        <w:top w:val="none" w:sz="0" w:space="0" w:color="auto"/>
        <w:left w:val="none" w:sz="0" w:space="0" w:color="auto"/>
        <w:bottom w:val="none" w:sz="0" w:space="0" w:color="auto"/>
        <w:right w:val="none" w:sz="0" w:space="0" w:color="auto"/>
      </w:divBdr>
    </w:div>
    <w:div w:id="2057849768">
      <w:bodyDiv w:val="1"/>
      <w:marLeft w:val="0"/>
      <w:marRight w:val="0"/>
      <w:marTop w:val="0"/>
      <w:marBottom w:val="0"/>
      <w:divBdr>
        <w:top w:val="none" w:sz="0" w:space="0" w:color="auto"/>
        <w:left w:val="none" w:sz="0" w:space="0" w:color="auto"/>
        <w:bottom w:val="none" w:sz="0" w:space="0" w:color="auto"/>
        <w:right w:val="none" w:sz="0" w:space="0" w:color="auto"/>
      </w:divBdr>
      <w:divsChild>
        <w:div w:id="121307556">
          <w:marLeft w:val="0"/>
          <w:marRight w:val="0"/>
          <w:marTop w:val="0"/>
          <w:marBottom w:val="0"/>
          <w:divBdr>
            <w:top w:val="none" w:sz="0" w:space="0" w:color="auto"/>
            <w:left w:val="none" w:sz="0" w:space="0" w:color="auto"/>
            <w:bottom w:val="none" w:sz="0" w:space="0" w:color="auto"/>
            <w:right w:val="none" w:sz="0" w:space="0" w:color="auto"/>
          </w:divBdr>
          <w:divsChild>
            <w:div w:id="983703154">
              <w:marLeft w:val="0"/>
              <w:marRight w:val="0"/>
              <w:marTop w:val="0"/>
              <w:marBottom w:val="0"/>
              <w:divBdr>
                <w:top w:val="none" w:sz="0" w:space="0" w:color="auto"/>
                <w:left w:val="none" w:sz="0" w:space="0" w:color="auto"/>
                <w:bottom w:val="none" w:sz="0" w:space="0" w:color="auto"/>
                <w:right w:val="none" w:sz="0" w:space="0" w:color="auto"/>
              </w:divBdr>
              <w:divsChild>
                <w:div w:id="1937709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apre.presidencia.gov.co/normativa/ley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A6531237-C176-4595-9494-449A98B1F907}">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6DDE6967-6D1F-4950-801E-24F321611220}">
  <ds:schemaRefs>
    <ds:schemaRef ds:uri="http://schemas.openxmlformats.org/officeDocument/2006/bibliography"/>
  </ds:schemaRefs>
</ds:datastoreItem>
</file>

<file path=customXml/itemProps4.xml><?xml version="1.0" encoding="utf-8"?>
<ds:datastoreItem xmlns:ds="http://schemas.openxmlformats.org/officeDocument/2006/customXml" ds:itemID="{F7F0A956-1192-44AD-B43D-06C48753D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9</TotalTime>
  <Pages>10</Pages>
  <Words>3385</Words>
  <Characters>18619</Characters>
  <Application>Microsoft Office Word</Application>
  <DocSecurity>0</DocSecurity>
  <Lines>155</Lines>
  <Paragraphs>43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21961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Laura Alejandra Materon Garcia</dc:creator>
  <cp:lastModifiedBy>Martin Rojas Mejia</cp:lastModifiedBy>
  <cp:revision>5</cp:revision>
  <dcterms:created xsi:type="dcterms:W3CDTF">2022-07-15T00:40:00Z</dcterms:created>
  <dcterms:modified xsi:type="dcterms:W3CDTF">2022-08-16T21:07:00Z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