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0F6B" w14:textId="77777777" w:rsidR="00AB77B8" w:rsidRPr="002D0A48" w:rsidRDefault="00AB77B8" w:rsidP="00AB77B8">
      <w:pPr>
        <w:spacing w:after="0" w:line="240" w:lineRule="auto"/>
        <w:rPr>
          <w:rFonts w:ascii="Verdana" w:eastAsia="Calibri" w:hAnsi="Verdana" w:cs="Arial"/>
          <w:b/>
          <w:color w:val="000000" w:themeColor="text1"/>
        </w:rPr>
      </w:pPr>
      <w:bookmarkStart w:id="0" w:name="_Hlk143780582"/>
      <w:r w:rsidRPr="002D0A48">
        <w:rPr>
          <w:rFonts w:ascii="Verdana" w:eastAsia="Calibri" w:hAnsi="Verdana" w:cs="Arial"/>
          <w:b/>
          <w:color w:val="000000" w:themeColor="text1"/>
        </w:rPr>
        <w:t>CONTRATO DE PRESTACIÓN DE SERVICIOS ─ Régimen jurídico – Tipologías</w:t>
      </w:r>
    </w:p>
    <w:p w14:paraId="76E65EEC" w14:textId="77777777" w:rsidR="00AB77B8" w:rsidRPr="002D0A48" w:rsidRDefault="00AB77B8" w:rsidP="00AB77B8">
      <w:pPr>
        <w:spacing w:after="0" w:line="240" w:lineRule="auto"/>
        <w:rPr>
          <w:rFonts w:ascii="Verdana" w:eastAsia="Calibri" w:hAnsi="Verdana" w:cs="Arial"/>
          <w:bCs/>
          <w:color w:val="000000" w:themeColor="text1"/>
        </w:rPr>
      </w:pPr>
    </w:p>
    <w:p w14:paraId="7ED488E1" w14:textId="77777777" w:rsidR="00AB77B8" w:rsidRPr="009E6A7E" w:rsidRDefault="00AB77B8" w:rsidP="00AB77B8">
      <w:pPr>
        <w:pStyle w:val="paragraph"/>
        <w:spacing w:before="0" w:beforeAutospacing="0" w:after="0" w:afterAutospacing="0"/>
        <w:jc w:val="both"/>
        <w:textAlignment w:val="baseline"/>
        <w:rPr>
          <w:rStyle w:val="normaltextrun"/>
          <w:rFonts w:ascii="Verdana" w:hAnsi="Verdana" w:cs="Segoe UI"/>
          <w:sz w:val="20"/>
          <w:szCs w:val="20"/>
        </w:rPr>
      </w:pPr>
      <w:r w:rsidRPr="009E6A7E">
        <w:rPr>
          <w:rStyle w:val="normaltextrun"/>
          <w:rFonts w:ascii="Verdana" w:hAnsi="Verdana" w:cs="Segoe UI"/>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3A941766" w14:textId="77777777" w:rsidR="00AB77B8" w:rsidRDefault="00AB77B8" w:rsidP="00AB77B8">
      <w:pPr>
        <w:pStyle w:val="paragraph"/>
        <w:spacing w:before="0" w:beforeAutospacing="0" w:after="0" w:afterAutospacing="0"/>
        <w:jc w:val="both"/>
        <w:textAlignment w:val="baseline"/>
        <w:rPr>
          <w:rStyle w:val="normaltextrun"/>
          <w:rFonts w:ascii="Verdana" w:hAnsi="Verdana" w:cs="Segoe UI"/>
          <w:sz w:val="22"/>
          <w:szCs w:val="22"/>
        </w:rPr>
      </w:pPr>
    </w:p>
    <w:p w14:paraId="5E52810A" w14:textId="77777777" w:rsidR="00AB77B8" w:rsidRPr="009E6B44" w:rsidRDefault="00AB77B8" w:rsidP="00AB77B8">
      <w:pPr>
        <w:spacing w:after="120" w:line="240" w:lineRule="auto"/>
        <w:jc w:val="both"/>
        <w:rPr>
          <w:rFonts w:ascii="Verdana" w:hAnsi="Verdana"/>
          <w:sz w:val="20"/>
          <w:szCs w:val="20"/>
        </w:rPr>
      </w:pPr>
      <w:r w:rsidRPr="009E6B44">
        <w:rPr>
          <w:rFonts w:ascii="Verdana" w:hAnsi="Verdana"/>
          <w:sz w:val="20"/>
          <w:szCs w:val="20"/>
        </w:rPr>
        <w:t>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1E2D466F" w14:textId="77777777" w:rsidR="00AB77B8" w:rsidRPr="002D0A48" w:rsidRDefault="00AB77B8" w:rsidP="00AB77B8">
      <w:pPr>
        <w:spacing w:after="0" w:line="240" w:lineRule="auto"/>
        <w:rPr>
          <w:rFonts w:ascii="Verdana" w:eastAsia="Geomanist Light" w:hAnsi="Verdana" w:cs="Arial"/>
          <w:color w:val="000000" w:themeColor="text1"/>
        </w:rPr>
      </w:pPr>
    </w:p>
    <w:p w14:paraId="49F3D615" w14:textId="77777777" w:rsidR="00AB77B8" w:rsidRPr="002D0A48" w:rsidRDefault="00AB77B8" w:rsidP="00AB77B8">
      <w:pPr>
        <w:spacing w:after="0" w:line="240" w:lineRule="auto"/>
        <w:jc w:val="both"/>
        <w:rPr>
          <w:rFonts w:ascii="Verdana" w:eastAsia="Calibri" w:hAnsi="Verdana" w:cs="Arial"/>
          <w:b/>
          <w:color w:val="000000" w:themeColor="text1"/>
        </w:rPr>
      </w:pPr>
      <w:r w:rsidRPr="002D0A48">
        <w:rPr>
          <w:rFonts w:ascii="Verdana" w:eastAsia="Calibri" w:hAnsi="Verdana" w:cs="Arial"/>
          <w:b/>
          <w:color w:val="000000" w:themeColor="text1"/>
        </w:rPr>
        <w:t xml:space="preserve">CONTRATO DE PRESTACIÓN DE SERVICIOS PROFESIONALES – Idoneidad </w:t>
      </w:r>
    </w:p>
    <w:p w14:paraId="2A68C197" w14:textId="77777777" w:rsidR="00AB77B8" w:rsidRPr="002D0A48" w:rsidRDefault="00AB77B8" w:rsidP="00AB77B8">
      <w:pPr>
        <w:spacing w:after="0" w:line="240" w:lineRule="auto"/>
        <w:jc w:val="both"/>
        <w:rPr>
          <w:rFonts w:ascii="Verdana" w:eastAsia="Calibri" w:hAnsi="Verdana" w:cs="Arial"/>
          <w:bCs/>
          <w:color w:val="000000" w:themeColor="text1"/>
        </w:rPr>
      </w:pPr>
    </w:p>
    <w:p w14:paraId="0FD78F28" w14:textId="77777777" w:rsidR="00AB77B8" w:rsidRPr="00ED0383" w:rsidRDefault="00AB77B8" w:rsidP="00AB77B8">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El contrato de prestación de servicios profesionales es uno de los tipos contractuales consagrados en el Estatuto General de Contratación de la Administración Pública, que pueden celebrar las entidades estatales.</w:t>
      </w:r>
    </w:p>
    <w:p w14:paraId="5B9BA814" w14:textId="77777777" w:rsidR="00AB77B8" w:rsidRPr="00ED0383" w:rsidRDefault="00AB77B8" w:rsidP="00AB77B8">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w:t>
      </w:r>
    </w:p>
    <w:p w14:paraId="7D8BEA18" w14:textId="77777777" w:rsidR="00AB77B8" w:rsidRPr="00ED0383" w:rsidRDefault="00AB77B8" w:rsidP="00AB77B8">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ED0383">
        <w:rPr>
          <w:rFonts w:ascii="Verdana" w:eastAsia="Geomanist Light" w:hAnsi="Verdana" w:cs="Arial"/>
          <w:color w:val="000000" w:themeColor="text1"/>
          <w:sz w:val="20"/>
          <w:szCs w:val="20"/>
        </w:rPr>
        <w:t>ii</w:t>
      </w:r>
      <w:proofErr w:type="spellEnd"/>
      <w:r w:rsidRPr="00ED0383">
        <w:rPr>
          <w:rFonts w:ascii="Verdana" w:eastAsia="Geomanist Light" w:hAnsi="Verdana" w:cs="Arial"/>
          <w:color w:val="000000" w:themeColor="text1"/>
          <w:sz w:val="20"/>
          <w:szCs w:val="20"/>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ED0383">
        <w:rPr>
          <w:rFonts w:ascii="Verdana" w:eastAsia="Geomanist Light" w:hAnsi="Verdana" w:cs="Arial"/>
          <w:color w:val="000000" w:themeColor="text1"/>
          <w:sz w:val="20"/>
          <w:szCs w:val="20"/>
        </w:rPr>
        <w:t>iii</w:t>
      </w:r>
      <w:proofErr w:type="spellEnd"/>
      <w:r w:rsidRPr="00ED0383">
        <w:rPr>
          <w:rFonts w:ascii="Verdana" w:eastAsia="Geomanist Light" w:hAnsi="Verdana" w:cs="Arial"/>
          <w:color w:val="000000" w:themeColor="text1"/>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w:t>
      </w:r>
      <w:r w:rsidRPr="00ED0383">
        <w:rPr>
          <w:rFonts w:ascii="Verdana" w:eastAsia="Geomanist Light" w:hAnsi="Verdana" w:cs="Arial"/>
          <w:color w:val="000000" w:themeColor="text1"/>
          <w:sz w:val="20"/>
          <w:szCs w:val="20"/>
        </w:rPr>
        <w:lastRenderedPageBreak/>
        <w:t xml:space="preserve">del vínculo laboral; </w:t>
      </w:r>
      <w:proofErr w:type="spellStart"/>
      <w:r w:rsidRPr="00ED0383">
        <w:rPr>
          <w:rFonts w:ascii="Verdana" w:eastAsia="Geomanist Light" w:hAnsi="Verdana" w:cs="Arial"/>
          <w:color w:val="000000" w:themeColor="text1"/>
          <w:sz w:val="20"/>
          <w:szCs w:val="20"/>
        </w:rPr>
        <w:t>iv</w:t>
      </w:r>
      <w:proofErr w:type="spellEnd"/>
      <w:r w:rsidRPr="00ED0383">
        <w:rPr>
          <w:rFonts w:ascii="Verdana" w:eastAsia="Geomanist Light" w:hAnsi="Verdana" w:cs="Arial"/>
          <w:color w:val="000000" w:themeColor="text1"/>
          <w:sz w:val="20"/>
          <w:szCs w:val="20"/>
        </w:rPr>
        <w:t xml:space="preserve">)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ED0383">
        <w:rPr>
          <w:rFonts w:ascii="Verdana" w:eastAsia="Geomanist Light" w:hAnsi="Verdana" w:cs="Arial"/>
          <w:color w:val="000000" w:themeColor="text1"/>
          <w:sz w:val="20"/>
          <w:szCs w:val="20"/>
        </w:rPr>
        <w:t>vii</w:t>
      </w:r>
      <w:proofErr w:type="spellEnd"/>
      <w:r w:rsidRPr="00ED0383">
        <w:rPr>
          <w:rFonts w:ascii="Verdana" w:eastAsia="Geomanist Light" w:hAnsi="Verdana" w:cs="Arial"/>
          <w:color w:val="000000" w:themeColor="text1"/>
          <w:sz w:val="20"/>
          <w:szCs w:val="20"/>
        </w:rPr>
        <w:t xml:space="preserve">) para su celebración no se requiere la expedición del acto administrativo de justificación de la contratación directa; </w:t>
      </w:r>
      <w:proofErr w:type="spellStart"/>
      <w:r w:rsidRPr="00ED0383">
        <w:rPr>
          <w:rFonts w:ascii="Verdana" w:eastAsia="Geomanist Light" w:hAnsi="Verdana" w:cs="Arial"/>
          <w:color w:val="000000" w:themeColor="text1"/>
          <w:sz w:val="20"/>
          <w:szCs w:val="20"/>
        </w:rPr>
        <w:t>viii</w:t>
      </w:r>
      <w:proofErr w:type="spellEnd"/>
      <w:r w:rsidRPr="00ED0383">
        <w:rPr>
          <w:rFonts w:ascii="Verdana" w:eastAsia="Geomanist Light" w:hAnsi="Verdana" w:cs="Arial"/>
          <w:color w:val="000000" w:themeColor="text1"/>
          <w:sz w:val="20"/>
          <w:szCs w:val="20"/>
        </w:rPr>
        <w:t xml:space="preserve">) admite el pacto de cláusulas excepcionales; </w:t>
      </w:r>
      <w:proofErr w:type="spellStart"/>
      <w:r w:rsidRPr="00ED0383">
        <w:rPr>
          <w:rFonts w:ascii="Verdana" w:eastAsia="Geomanist Light" w:hAnsi="Verdana" w:cs="Arial"/>
          <w:color w:val="000000" w:themeColor="text1"/>
          <w:sz w:val="20"/>
          <w:szCs w:val="20"/>
        </w:rPr>
        <w:t>ix</w:t>
      </w:r>
      <w:proofErr w:type="spellEnd"/>
      <w:r w:rsidRPr="00ED0383">
        <w:rPr>
          <w:rFonts w:ascii="Verdana" w:eastAsia="Geomanist Light" w:hAnsi="Verdana" w:cs="Arial"/>
          <w:color w:val="000000" w:themeColor="text1"/>
          <w:sz w:val="20"/>
          <w:szCs w:val="20"/>
        </w:rPr>
        <w:t>) en él no es obligatoria la liquidación; x) para su celebración no se requiere inscripción en el Registro Único de Proponentes (RUP); xi) en él no son necesarias las garantías.</w:t>
      </w:r>
    </w:p>
    <w:p w14:paraId="7BA08AF5" w14:textId="77777777" w:rsidR="00AB77B8" w:rsidRDefault="00AB77B8" w:rsidP="00AB77B8">
      <w:pPr>
        <w:pStyle w:val="paragraph"/>
        <w:spacing w:before="0" w:beforeAutospacing="0" w:after="0" w:afterAutospacing="0"/>
        <w:jc w:val="both"/>
        <w:textAlignment w:val="baseline"/>
        <w:rPr>
          <w:rStyle w:val="normaltextrun"/>
          <w:rFonts w:ascii="Verdana" w:hAnsi="Verdana" w:cs="Segoe UI"/>
          <w:b/>
          <w:bCs/>
          <w:sz w:val="20"/>
          <w:szCs w:val="20"/>
        </w:rPr>
      </w:pPr>
    </w:p>
    <w:p w14:paraId="58FFDD1A" w14:textId="77777777" w:rsidR="00AB77B8" w:rsidRDefault="00AB77B8" w:rsidP="00AB77B8">
      <w:pPr>
        <w:pStyle w:val="paragraph"/>
        <w:spacing w:before="0" w:beforeAutospacing="0" w:after="0" w:afterAutospacing="0"/>
        <w:jc w:val="both"/>
        <w:textAlignment w:val="baseline"/>
        <w:rPr>
          <w:rFonts w:ascii="Verdana" w:hAnsi="Verdana" w:cs="Arial"/>
          <w:b/>
          <w:color w:val="000000" w:themeColor="text1"/>
          <w:sz w:val="22"/>
          <w:szCs w:val="22"/>
        </w:rPr>
      </w:pPr>
    </w:p>
    <w:p w14:paraId="6AD21146" w14:textId="77777777" w:rsidR="00AB77B8" w:rsidRDefault="00AB77B8" w:rsidP="00AB77B8">
      <w:pPr>
        <w:pStyle w:val="paragraph"/>
        <w:spacing w:before="0" w:beforeAutospacing="0" w:after="0" w:afterAutospacing="0"/>
        <w:jc w:val="both"/>
        <w:textAlignment w:val="baseline"/>
        <w:rPr>
          <w:rFonts w:ascii="Verdana" w:eastAsia="Calibri" w:hAnsi="Verdana" w:cs="Arial"/>
          <w:b/>
          <w:color w:val="000000" w:themeColor="text1"/>
          <w:sz w:val="22"/>
          <w:szCs w:val="22"/>
        </w:rPr>
      </w:pPr>
      <w:r w:rsidRPr="00B3306A">
        <w:rPr>
          <w:rFonts w:ascii="Verdana" w:eastAsia="Calibri" w:hAnsi="Verdana" w:cs="Arial"/>
          <w:b/>
          <w:color w:val="000000" w:themeColor="text1"/>
          <w:sz w:val="22"/>
          <w:szCs w:val="22"/>
        </w:rPr>
        <w:t>TÍTULO DE IDONEIDAD – Régimen constitucional – Tarjeta profesional</w:t>
      </w:r>
    </w:p>
    <w:p w14:paraId="17ED9AAD" w14:textId="77777777" w:rsidR="00AB77B8" w:rsidRDefault="00AB77B8" w:rsidP="00AB77B8">
      <w:pPr>
        <w:pStyle w:val="paragraph"/>
        <w:spacing w:before="0" w:beforeAutospacing="0" w:after="0" w:afterAutospacing="0"/>
        <w:jc w:val="both"/>
        <w:textAlignment w:val="baseline"/>
        <w:rPr>
          <w:rFonts w:ascii="Verdana" w:eastAsia="Calibri" w:hAnsi="Verdana" w:cs="Arial"/>
          <w:b/>
          <w:color w:val="000000" w:themeColor="text1"/>
          <w:sz w:val="22"/>
          <w:szCs w:val="22"/>
        </w:rPr>
      </w:pPr>
    </w:p>
    <w:p w14:paraId="11539639" w14:textId="77777777" w:rsidR="00AB77B8" w:rsidRPr="00B154E2" w:rsidRDefault="00AB77B8" w:rsidP="00AB77B8">
      <w:pPr>
        <w:pStyle w:val="paragraph"/>
        <w:spacing w:before="0" w:beforeAutospacing="0" w:after="0" w:afterAutospacing="0"/>
        <w:jc w:val="both"/>
        <w:textAlignment w:val="baseline"/>
        <w:rPr>
          <w:rFonts w:ascii="Verdana" w:eastAsia="Calibri" w:hAnsi="Verdana" w:cs="Arial"/>
          <w:bCs/>
          <w:color w:val="000000" w:themeColor="text1"/>
          <w:sz w:val="20"/>
          <w:szCs w:val="20"/>
        </w:rPr>
      </w:pPr>
      <w:r w:rsidRPr="00B154E2">
        <w:rPr>
          <w:rFonts w:ascii="Verdana" w:eastAsia="Calibri" w:hAnsi="Verdana" w:cs="Arial"/>
          <w:bCs/>
          <w:color w:val="000000" w:themeColor="text1"/>
          <w:sz w:val="20"/>
          <w:szCs w:val="20"/>
        </w:rPr>
        <w:t>En Colombia, el título de idoneidad es un reconocimiento otorgado a los profesionales que cumplen con los requisitos legales, académicos y éticos necesarios para ejercer una determinada profesión, garantizando que poseen las competencias requeridas para su ejercicio. De acuerdo con el régimen constitucional, este título asegura que los profesionales estén debidamente habilitados para desempeñar sus funciones, protegiendo los derechos de los ciudadanos. Un ejemplo clave de este título es la tarjeta profesional, la cual es exigida a ciertos profesionales, como los abogados, para acreditar su capacidad y permitirles ejercer legalmente su actividad, siendo otorgada por entidades competentes como el Consejo Superior de la Judicatura.</w:t>
      </w:r>
    </w:p>
    <w:p w14:paraId="4EB6C519" w14:textId="77777777" w:rsidR="00AB77B8" w:rsidRPr="00B3306A" w:rsidRDefault="00AB77B8" w:rsidP="00AB77B8">
      <w:pPr>
        <w:pStyle w:val="paragraph"/>
        <w:spacing w:before="0" w:beforeAutospacing="0" w:after="0" w:afterAutospacing="0"/>
        <w:jc w:val="both"/>
        <w:textAlignment w:val="baseline"/>
        <w:rPr>
          <w:rFonts w:ascii="Verdana" w:hAnsi="Verdana" w:cs="Arial"/>
          <w:b/>
          <w:color w:val="000000" w:themeColor="text1"/>
          <w:sz w:val="22"/>
          <w:szCs w:val="22"/>
        </w:rPr>
      </w:pPr>
    </w:p>
    <w:p w14:paraId="54B4395B" w14:textId="77777777" w:rsidR="00AB77B8" w:rsidRPr="003042C0" w:rsidRDefault="00AB77B8" w:rsidP="00AB77B8">
      <w:pPr>
        <w:pStyle w:val="paragraph"/>
        <w:spacing w:before="0" w:beforeAutospacing="0" w:after="0" w:afterAutospacing="0"/>
        <w:jc w:val="both"/>
        <w:textAlignment w:val="baseline"/>
        <w:rPr>
          <w:rFonts w:ascii="Verdana" w:hAnsi="Verdana" w:cs="Arial"/>
          <w:b/>
          <w:color w:val="000000" w:themeColor="text1"/>
          <w:sz w:val="22"/>
          <w:szCs w:val="22"/>
        </w:rPr>
      </w:pPr>
      <w:r w:rsidRPr="003042C0">
        <w:rPr>
          <w:rFonts w:ascii="Verdana" w:hAnsi="Verdana" w:cs="Arial"/>
          <w:b/>
          <w:color w:val="000000" w:themeColor="text1"/>
          <w:sz w:val="22"/>
          <w:szCs w:val="22"/>
        </w:rPr>
        <w:t>EJERCICIO PROFESIÓN DE ABOGADO – Requisitos – Inscripción – No requiere tarjeta profesional</w:t>
      </w:r>
    </w:p>
    <w:p w14:paraId="210939C4" w14:textId="77777777" w:rsidR="00AB77B8" w:rsidRDefault="00AB77B8" w:rsidP="00AB77B8">
      <w:pPr>
        <w:pStyle w:val="paragraph"/>
        <w:spacing w:before="0" w:beforeAutospacing="0" w:after="0" w:afterAutospacing="0"/>
        <w:jc w:val="both"/>
        <w:textAlignment w:val="baseline"/>
        <w:rPr>
          <w:rStyle w:val="normaltextrun"/>
          <w:rFonts w:ascii="Verdana" w:hAnsi="Verdana" w:cs="Segoe UI"/>
          <w:b/>
          <w:bCs/>
          <w:sz w:val="20"/>
          <w:szCs w:val="20"/>
        </w:rPr>
      </w:pPr>
    </w:p>
    <w:p w14:paraId="79F9E8A5" w14:textId="77777777" w:rsidR="00AB77B8" w:rsidRDefault="00AB77B8" w:rsidP="00AB77B8">
      <w:pPr>
        <w:pStyle w:val="paragraph"/>
        <w:spacing w:before="0" w:beforeAutospacing="0" w:after="0" w:afterAutospacing="0"/>
        <w:jc w:val="both"/>
        <w:textAlignment w:val="baseline"/>
        <w:rPr>
          <w:rFonts w:ascii="Verdana" w:hAnsi="Verdana" w:cs="Segoe UI"/>
          <w:sz w:val="20"/>
          <w:szCs w:val="20"/>
        </w:rPr>
      </w:pPr>
      <w:r w:rsidRPr="002D0A48">
        <w:rPr>
          <w:rFonts w:ascii="Verdana" w:hAnsi="Verdana" w:cs="Segoe UI"/>
          <w:sz w:val="20"/>
          <w:szCs w:val="20"/>
        </w:rPr>
        <w:t>La profesión de abogado se refiere al ejercicio de la carrera jurídica por parte de una persona que ha obtenido el título de licenciado en derecho, y cuya labor consiste en asesorar, representar y defender legalmente a personas físicas o jurídicas en diversos ámbitos del derecho. Un abogado tiene la responsabilidad de proporcionar servicios legales relacionados con la interpretación y aplicación de las leyes, preparar documentos legales, como contratos, demandas, y otros escritos judiciales, y representar a sus clientes en juicios o audiencias ante tribunales. Para ejercer la profesión, los abogados deben cumplir con ciertos requisitos legales, como la obtención de una tarjeta profesional en algunos países, y en muchos casos, deben aprobar un examen estatal o de habilitación.</w:t>
      </w:r>
    </w:p>
    <w:p w14:paraId="035EF6FC" w14:textId="77777777" w:rsidR="00AB77B8" w:rsidRPr="003C3221" w:rsidRDefault="00AB77B8" w:rsidP="00AB77B8">
      <w:pPr>
        <w:pStyle w:val="paragraph"/>
        <w:spacing w:before="0" w:beforeAutospacing="0" w:after="0" w:afterAutospacing="0"/>
        <w:jc w:val="both"/>
        <w:textAlignment w:val="baseline"/>
        <w:rPr>
          <w:rFonts w:ascii="Verdana" w:hAnsi="Verdana" w:cs="Segoe UI"/>
          <w:b/>
          <w:sz w:val="20"/>
          <w:szCs w:val="20"/>
        </w:rPr>
      </w:pPr>
    </w:p>
    <w:p w14:paraId="6D35CA88" w14:textId="77777777" w:rsidR="00AB77B8" w:rsidRPr="003C3221" w:rsidRDefault="00AB77B8" w:rsidP="00AB77B8">
      <w:pPr>
        <w:pStyle w:val="paragraph"/>
        <w:spacing w:before="0" w:beforeAutospacing="0" w:after="0" w:afterAutospacing="0"/>
        <w:jc w:val="both"/>
        <w:textAlignment w:val="baseline"/>
        <w:rPr>
          <w:rFonts w:ascii="Verdana" w:hAnsi="Verdana" w:cs="Arial"/>
          <w:b/>
          <w:color w:val="000000" w:themeColor="text1"/>
          <w:sz w:val="22"/>
          <w:szCs w:val="22"/>
        </w:rPr>
      </w:pPr>
      <w:r w:rsidRPr="003C3221">
        <w:rPr>
          <w:rFonts w:ascii="Verdana" w:hAnsi="Verdana" w:cs="Arial"/>
          <w:b/>
          <w:color w:val="000000" w:themeColor="text1"/>
          <w:sz w:val="22"/>
          <w:szCs w:val="22"/>
        </w:rPr>
        <w:t>EJERCICIO PROFESIÓN DE ABOGADO – Ley 1905 de 2018 – Ámbito de aplicación – Examen de Estado</w:t>
      </w:r>
    </w:p>
    <w:p w14:paraId="43A7AAF5" w14:textId="77777777" w:rsidR="00AB77B8" w:rsidRDefault="00AB77B8" w:rsidP="00AB77B8">
      <w:pPr>
        <w:pStyle w:val="paragraph"/>
        <w:spacing w:before="0" w:beforeAutospacing="0" w:after="0" w:afterAutospacing="0"/>
        <w:jc w:val="both"/>
        <w:textAlignment w:val="baseline"/>
        <w:rPr>
          <w:rFonts w:ascii="Verdana" w:hAnsi="Verdana" w:cs="Segoe UI"/>
          <w:sz w:val="20"/>
          <w:szCs w:val="20"/>
        </w:rPr>
      </w:pPr>
    </w:p>
    <w:p w14:paraId="1256540B" w14:textId="77777777" w:rsidR="00AB77B8" w:rsidRPr="006F40C2" w:rsidRDefault="00AB77B8" w:rsidP="00AB77B8">
      <w:pPr>
        <w:pStyle w:val="paragraph"/>
        <w:spacing w:before="0" w:beforeAutospacing="0" w:after="0" w:afterAutospacing="0"/>
        <w:jc w:val="both"/>
        <w:textAlignment w:val="baseline"/>
        <w:rPr>
          <w:rFonts w:ascii="Verdana" w:hAnsi="Verdana" w:cs="Segoe UI"/>
          <w:sz w:val="20"/>
          <w:szCs w:val="20"/>
        </w:rPr>
      </w:pPr>
      <w:r w:rsidRPr="006F40C2">
        <w:rPr>
          <w:rFonts w:ascii="Verdana" w:hAnsi="Verdana" w:cs="Segoe UI"/>
          <w:sz w:val="20"/>
          <w:szCs w:val="20"/>
        </w:rPr>
        <w:t xml:space="preserve">En Colombia, el ejercicio de la profesión de abogado está regulado por el Decreto 196 de 1971, el cual establece que para poder ejercer la abogacía es necesario estar inscrito en el Registro Nacional de Abogados del Consejo Superior de la Judicatura. La inscripción es el requisito fundamental para ejercer como abogado, ya que garantiza que la persona </w:t>
      </w:r>
      <w:r w:rsidRPr="006F40C2">
        <w:rPr>
          <w:rFonts w:ascii="Verdana" w:hAnsi="Verdana" w:cs="Segoe UI"/>
          <w:sz w:val="20"/>
          <w:szCs w:val="20"/>
        </w:rPr>
        <w:lastRenderedPageBreak/>
        <w:t>cumple con los requisitos legales establecidos, como la formación académica y la aptitud para desempeñar las funciones del abogado.</w:t>
      </w:r>
    </w:p>
    <w:p w14:paraId="14E2F813" w14:textId="77777777" w:rsidR="00AB77B8" w:rsidRPr="006F40C2" w:rsidRDefault="00AB77B8" w:rsidP="00AB77B8">
      <w:pPr>
        <w:pStyle w:val="paragraph"/>
        <w:spacing w:before="0" w:beforeAutospacing="0" w:after="0" w:afterAutospacing="0"/>
        <w:jc w:val="both"/>
        <w:textAlignment w:val="baseline"/>
        <w:rPr>
          <w:rFonts w:ascii="Verdana" w:hAnsi="Verdana" w:cs="Segoe UI"/>
          <w:sz w:val="20"/>
          <w:szCs w:val="20"/>
        </w:rPr>
      </w:pPr>
      <w:r w:rsidRPr="006F40C2">
        <w:rPr>
          <w:rFonts w:ascii="Verdana" w:hAnsi="Verdana" w:cs="Segoe UI"/>
          <w:sz w:val="20"/>
          <w:szCs w:val="20"/>
        </w:rPr>
        <w:t>Aunque la tarjeta profesional se expide una vez se cumple con la inscripción en el registro, no es estrictamente necesaria para realizar ciertas actividades relacionadas con el ejercicio de la abogacía, como la asesoría o la elaboración de documentos jurídicos. Sin embargo, la tarjeta sí es obligatoria para representar a personas en calidad de abogado ante autoridades judiciales. Además, desde la promulgación de la Ley 1905 de 2018, los abogados que se gradúen posteriormente a dicha norma deben aprobar un Examen de Estado para obtener su tarjeta profesional.</w:t>
      </w:r>
    </w:p>
    <w:p w14:paraId="6253AEB7" w14:textId="77777777" w:rsidR="00AB77B8" w:rsidRPr="009E6A7E" w:rsidRDefault="00AB77B8" w:rsidP="00AB77B8">
      <w:pPr>
        <w:rPr>
          <w:sz w:val="20"/>
          <w:szCs w:val="20"/>
        </w:rPr>
      </w:pPr>
    </w:p>
    <w:p w14:paraId="3F629D10" w14:textId="77777777" w:rsidR="00AB77B8" w:rsidRPr="00922AD4" w:rsidRDefault="00AB77B8" w:rsidP="00AB77B8">
      <w:pPr>
        <w:rPr>
          <w:rFonts w:ascii="Verdana" w:hAnsi="Verdana" w:cs="Arial"/>
          <w:b/>
          <w:color w:val="000000" w:themeColor="text1"/>
        </w:rPr>
      </w:pPr>
      <w:r w:rsidRPr="00922AD4">
        <w:rPr>
          <w:rFonts w:ascii="Verdana" w:hAnsi="Verdana" w:cs="Arial"/>
          <w:b/>
          <w:color w:val="000000" w:themeColor="text1"/>
        </w:rPr>
        <w:t>EJERCICIO PROFESIÓN DE ABOGADO – Ley 1905 de 2018 – Sentencia SU128-2024 – Efectos</w:t>
      </w:r>
    </w:p>
    <w:p w14:paraId="45304EF2" w14:textId="77777777" w:rsidR="00AB77B8" w:rsidRPr="009E6A7E" w:rsidRDefault="00AB77B8" w:rsidP="00AB77B8">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De conformidad con lo establecido por la Ley 1905 de 2018, la aprobación del</w:t>
      </w:r>
      <w:r w:rsidRPr="009E6A7E">
        <w:rPr>
          <w:rFonts w:ascii="Verdana" w:hAnsi="Verdana" w:cs="Arial"/>
          <w:i/>
          <w:iCs/>
          <w:color w:val="000000" w:themeColor="text1"/>
          <w:sz w:val="20"/>
          <w:szCs w:val="20"/>
        </w:rPr>
        <w:t xml:space="preserve"> Examen de Estado</w:t>
      </w:r>
      <w:r w:rsidRPr="009E6A7E">
        <w:rPr>
          <w:rFonts w:ascii="Verdana" w:hAnsi="Verdana" w:cs="Arial"/>
          <w:color w:val="000000" w:themeColor="text1"/>
          <w:sz w:val="20"/>
          <w:szCs w:val="20"/>
        </w:rPr>
        <w:t xml:space="preserve"> creado por dicha norma se torna en un requisito exigible para el ejercicio de la abogacía, incluso para aquellas actividades que no impliquen representación judicial. En atención a esto, para la celebración de contratos de prestación de servicios profesionales, que impliquen el ejercicio de la abogacía, con personas que hayan comenzado a estudiar derecho después de la promulgación de la referida ley–dada el 28 de junio de 2018–, además de la inscripción en el Registro Nacional de Abogados al que se refiere el Decreto 196 de 1971, también resulta necesario acreditar la aprobación del Examen de Estado creado por la Ley 1905 de 2018. Estos requisitos también podrán acreditarse mediante la presentación de la tarjeta profesional.  </w:t>
      </w:r>
    </w:p>
    <w:p w14:paraId="69517579" w14:textId="77777777" w:rsidR="00AB77B8" w:rsidRDefault="00AB77B8" w:rsidP="00AB77B8">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 xml:space="preserve">Sin embargo, el requisito establecido por la Ley 1905 de 2018, no resulta exigible para celebración de contratos de prestación de servicios profesionales que impliquen el ejercicio de la abogacía, con aquellas personas beneficiadas por los efectos </w:t>
      </w:r>
      <w:r w:rsidRPr="009E6A7E">
        <w:rPr>
          <w:rFonts w:ascii="Verdana" w:hAnsi="Verdana" w:cs="Arial"/>
          <w:i/>
          <w:iCs/>
          <w:color w:val="000000" w:themeColor="text1"/>
          <w:sz w:val="20"/>
          <w:szCs w:val="20"/>
        </w:rPr>
        <w:t>inter pares</w:t>
      </w:r>
      <w:r w:rsidRPr="009E6A7E">
        <w:rPr>
          <w:rFonts w:ascii="Verdana" w:hAnsi="Verdana" w:cs="Arial"/>
          <w:color w:val="000000" w:themeColor="text1"/>
          <w:sz w:val="20"/>
          <w:szCs w:val="20"/>
        </w:rPr>
        <w:t xml:space="preserve"> de la orden contenida en el ordinal sexto de la Sentencia SU-128 de 18 de abril de 2024 de la Corte Constitucional. Esto significa que, la aprobación del </w:t>
      </w:r>
      <w:r w:rsidRPr="009E6A7E">
        <w:rPr>
          <w:rFonts w:ascii="Verdana" w:hAnsi="Verdana" w:cs="Arial"/>
          <w:i/>
          <w:iCs/>
          <w:color w:val="000000" w:themeColor="text1"/>
          <w:sz w:val="20"/>
          <w:szCs w:val="20"/>
        </w:rPr>
        <w:t>Examen de Estado</w:t>
      </w:r>
      <w:r w:rsidRPr="009E6A7E">
        <w:rPr>
          <w:rFonts w:ascii="Verdana" w:hAnsi="Verdana" w:cs="Arial"/>
          <w:color w:val="000000" w:themeColor="text1"/>
          <w:sz w:val="20"/>
          <w:szCs w:val="20"/>
        </w:rPr>
        <w:t xml:space="preserve"> no resulta exigible a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9E6A7E">
        <w:rPr>
          <w:rFonts w:ascii="Verdana" w:hAnsi="Verdana" w:cs="Arial"/>
          <w:color w:val="000000" w:themeColor="text1"/>
          <w:sz w:val="20"/>
          <w:szCs w:val="20"/>
        </w:rPr>
        <w:t>ii</w:t>
      </w:r>
      <w:proofErr w:type="spellEnd"/>
      <w:r w:rsidRPr="009E6A7E">
        <w:rPr>
          <w:rFonts w:ascii="Verdana" w:hAnsi="Verdana" w:cs="Arial"/>
          <w:color w:val="000000" w:themeColor="text1"/>
          <w:sz w:val="20"/>
          <w:szCs w:val="20"/>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7514A1CF" w14:textId="77777777" w:rsidR="00AB77B8" w:rsidRDefault="00AB77B8" w:rsidP="00AB77B8">
      <w:pPr>
        <w:spacing w:before="120" w:after="120" w:line="276" w:lineRule="auto"/>
        <w:jc w:val="both"/>
        <w:rPr>
          <w:rFonts w:ascii="Verdana" w:hAnsi="Verdana" w:cs="Arial"/>
          <w:color w:val="000000" w:themeColor="text1"/>
          <w:sz w:val="20"/>
          <w:szCs w:val="20"/>
        </w:rPr>
      </w:pPr>
    </w:p>
    <w:p w14:paraId="33906FE5" w14:textId="77777777" w:rsidR="00AB77B8" w:rsidRDefault="00AB77B8" w:rsidP="00AB77B8">
      <w:pPr>
        <w:spacing w:before="120" w:after="120" w:line="276" w:lineRule="auto"/>
        <w:jc w:val="both"/>
        <w:rPr>
          <w:rFonts w:ascii="Verdana" w:eastAsia="Geomanist Light" w:hAnsi="Verdana" w:cs="Arial"/>
          <w:color w:val="000000" w:themeColor="text1"/>
        </w:rPr>
      </w:pPr>
    </w:p>
    <w:p w14:paraId="03CD9A03" w14:textId="77777777" w:rsidR="00AB77B8" w:rsidRDefault="00AB77B8" w:rsidP="00E245AB">
      <w:pPr>
        <w:spacing w:after="0"/>
        <w:rPr>
          <w:rFonts w:ascii="Verdana" w:hAnsi="Verdana"/>
        </w:rPr>
      </w:pPr>
    </w:p>
    <w:p w14:paraId="4A6DE813" w14:textId="7E8B6DD0" w:rsidR="00E245AB" w:rsidRPr="0044528D" w:rsidRDefault="00E245AB" w:rsidP="00E245AB">
      <w:pPr>
        <w:spacing w:after="0"/>
        <w:rPr>
          <w:rFonts w:ascii="Verdana" w:hAnsi="Verdana"/>
        </w:rPr>
      </w:pPr>
      <w:r w:rsidRPr="0044528D">
        <w:rPr>
          <w:rFonts w:ascii="Verdana" w:hAnsi="Verdana"/>
        </w:rPr>
        <w:lastRenderedPageBreak/>
        <w:t xml:space="preserve">Bogotá D.C., </w:t>
      </w:r>
      <w:r w:rsidR="00AB77B8">
        <w:rPr>
          <w:rFonts w:ascii="Verdana" w:hAnsi="Verdana"/>
        </w:rPr>
        <w:t>16 de mayo 2025</w:t>
      </w:r>
      <w:r w:rsidR="00891928" w:rsidRPr="0044528D">
        <w:rPr>
          <w:rFonts w:ascii="Verdana" w:hAnsi="Verdana"/>
        </w:rPr>
        <w:tab/>
      </w:r>
    </w:p>
    <w:p w14:paraId="756D0A66" w14:textId="7CC9086C" w:rsidR="00E245AB" w:rsidRPr="0044528D" w:rsidRDefault="00E245AB" w:rsidP="00E245AB">
      <w:pPr>
        <w:spacing w:after="0"/>
        <w:rPr>
          <w:rFonts w:ascii="Verdana" w:hAnsi="Verdana"/>
        </w:rPr>
      </w:pPr>
    </w:p>
    <w:p w14:paraId="7334E1AA" w14:textId="3AA88FEE" w:rsidR="00E245AB" w:rsidRPr="0044528D" w:rsidRDefault="00E245AB" w:rsidP="00E245AB">
      <w:pPr>
        <w:spacing w:after="0"/>
        <w:rPr>
          <w:rFonts w:ascii="Verdana" w:hAnsi="Verdana"/>
        </w:rPr>
      </w:pPr>
    </w:p>
    <w:p w14:paraId="4EC22547" w14:textId="47551291" w:rsidR="00F8295E" w:rsidRPr="00115E3D" w:rsidRDefault="00EC6F7B" w:rsidP="00F8295E">
      <w:pPr>
        <w:spacing w:after="0" w:line="240" w:lineRule="auto"/>
        <w:jc w:val="both"/>
        <w:rPr>
          <w:rFonts w:ascii="Verdana" w:eastAsia="Calibri" w:hAnsi="Verdana" w:cs="Arial"/>
          <w:color w:val="000000" w:themeColor="text1"/>
          <w:lang w:val="es-ES" w:eastAsia="es-ES"/>
        </w:rPr>
      </w:pPr>
      <w:r w:rsidRPr="00EC6F7B">
        <w:rPr>
          <w:rFonts w:ascii="Verdana" w:hAnsi="Verdana"/>
        </w:rPr>
        <w:drawing>
          <wp:anchor distT="0" distB="0" distL="114300" distR="114300" simplePos="0" relativeHeight="251658240" behindDoc="0" locked="0" layoutInCell="1" allowOverlap="1" wp14:anchorId="39F0D2B6" wp14:editId="4374C2B0">
            <wp:simplePos x="0" y="0"/>
            <wp:positionH relativeFrom="column">
              <wp:posOffset>2911199</wp:posOffset>
            </wp:positionH>
            <wp:positionV relativeFrom="paragraph">
              <wp:posOffset>8007</wp:posOffset>
            </wp:positionV>
            <wp:extent cx="2981325" cy="829945"/>
            <wp:effectExtent l="0" t="0" r="9525" b="8255"/>
            <wp:wrapSquare wrapText="bothSides"/>
            <wp:docPr id="1156240537" name="Imagen 1" descr="Interfaz de usuario gráfica, Texto, Aplicación,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40537" name="Imagen 1" descr="Interfaz de usuario gráfica, Texto, Aplicación, Chat o mensaje de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81325" cy="829945"/>
                    </a:xfrm>
                    <a:prstGeom prst="rect">
                      <a:avLst/>
                    </a:prstGeom>
                  </pic:spPr>
                </pic:pic>
              </a:graphicData>
            </a:graphic>
            <wp14:sizeRelH relativeFrom="margin">
              <wp14:pctWidth>0</wp14:pctWidth>
            </wp14:sizeRelH>
            <wp14:sizeRelV relativeFrom="margin">
              <wp14:pctHeight>0</wp14:pctHeight>
            </wp14:sizeRelV>
          </wp:anchor>
        </w:drawing>
      </w:r>
      <w:r w:rsidR="00F8295E" w:rsidRPr="00115E3D">
        <w:rPr>
          <w:rFonts w:ascii="Verdana" w:eastAsia="Calibri" w:hAnsi="Verdana" w:cs="Arial"/>
          <w:color w:val="000000" w:themeColor="text1"/>
          <w:lang w:val="es-ES" w:eastAsia="es-ES"/>
        </w:rPr>
        <w:t>Señor</w:t>
      </w:r>
      <w:r w:rsidR="00F8295E">
        <w:rPr>
          <w:rFonts w:ascii="Verdana" w:eastAsia="Calibri" w:hAnsi="Verdana" w:cs="Arial"/>
          <w:color w:val="000000" w:themeColor="text1"/>
          <w:lang w:val="es-ES" w:eastAsia="es-ES"/>
        </w:rPr>
        <w:t>a</w:t>
      </w:r>
    </w:p>
    <w:p w14:paraId="091CEBA3" w14:textId="77777777" w:rsidR="00F8295E" w:rsidRPr="00115E3D" w:rsidRDefault="00F8295E" w:rsidP="00F8295E">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 xml:space="preserve">María Fernanda Rojas Ramos </w:t>
      </w:r>
    </w:p>
    <w:p w14:paraId="358893B3" w14:textId="77777777" w:rsidR="00F8295E" w:rsidRDefault="00F8295E" w:rsidP="00F8295E">
      <w:pPr>
        <w:spacing w:after="0" w:line="240" w:lineRule="auto"/>
        <w:rPr>
          <w:rFonts w:ascii="Verdana" w:eastAsia="Calibri" w:hAnsi="Verdana" w:cs="Arial"/>
          <w:color w:val="000000" w:themeColor="text1"/>
          <w:u w:val="single"/>
          <w:lang w:eastAsia="es-ES"/>
        </w:rPr>
      </w:pPr>
      <w:hyperlink r:id="rId11" w:history="1">
        <w:r w:rsidRPr="00A2643C">
          <w:rPr>
            <w:rStyle w:val="Hipervnculo"/>
            <w:rFonts w:ascii="Verdana" w:eastAsia="Calibri" w:hAnsi="Verdana" w:cs="Arial"/>
            <w:lang w:eastAsia="es-ES"/>
          </w:rPr>
          <w:t>maferojas03@hotmail.com</w:t>
        </w:r>
      </w:hyperlink>
    </w:p>
    <w:p w14:paraId="5396F871" w14:textId="77777777" w:rsidR="00F8295E" w:rsidRPr="007C6ACB" w:rsidRDefault="00F8295E" w:rsidP="00F8295E">
      <w:pPr>
        <w:spacing w:after="0" w:line="240" w:lineRule="auto"/>
        <w:rPr>
          <w:rFonts w:ascii="Verdana" w:eastAsia="Calibri" w:hAnsi="Verdana" w:cs="Arial"/>
          <w:b/>
          <w:bCs/>
          <w:color w:val="000000" w:themeColor="text1"/>
          <w:lang w:val="en-US" w:eastAsia="es-ES"/>
        </w:rPr>
      </w:pPr>
      <w:r>
        <w:rPr>
          <w:rFonts w:ascii="Verdana" w:eastAsia="Calibri" w:hAnsi="Verdana" w:cs="Arial"/>
          <w:color w:val="000000" w:themeColor="text1"/>
          <w:lang w:val="en-US" w:eastAsia="es-ES"/>
        </w:rPr>
        <w:t xml:space="preserve">Ciudad </w:t>
      </w:r>
    </w:p>
    <w:p w14:paraId="61C5ECA7" w14:textId="77777777" w:rsidR="00F8295E" w:rsidRPr="007C6ACB" w:rsidRDefault="00F8295E" w:rsidP="00F8295E">
      <w:pPr>
        <w:spacing w:after="0" w:line="240" w:lineRule="auto"/>
        <w:rPr>
          <w:rFonts w:ascii="Verdana" w:eastAsia="Calibri" w:hAnsi="Verdana" w:cs="Arial"/>
          <w:b/>
          <w:bCs/>
          <w:color w:val="000000" w:themeColor="text1"/>
          <w:lang w:val="en-US" w:eastAsia="es-ES_tradnl"/>
        </w:rPr>
      </w:pPr>
    </w:p>
    <w:p w14:paraId="0114A833" w14:textId="77777777" w:rsidR="00F8295E" w:rsidRPr="007C6ACB" w:rsidRDefault="00F8295E" w:rsidP="00F8295E">
      <w:pPr>
        <w:spacing w:after="0" w:line="240" w:lineRule="auto"/>
        <w:rPr>
          <w:rFonts w:ascii="Verdana" w:eastAsia="Calibri" w:hAnsi="Verdana" w:cs="Arial"/>
          <w:b/>
          <w:bCs/>
          <w:color w:val="000000" w:themeColor="text1"/>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8295E" w:rsidRPr="00115E3D" w14:paraId="0F80C547" w14:textId="77777777" w:rsidTr="001206F7">
        <w:trPr>
          <w:trHeight w:val="982"/>
        </w:trPr>
        <w:tc>
          <w:tcPr>
            <w:tcW w:w="2689" w:type="dxa"/>
          </w:tcPr>
          <w:p w14:paraId="108564BA" w14:textId="77777777" w:rsidR="00F8295E" w:rsidRPr="007C6ACB" w:rsidRDefault="00F8295E" w:rsidP="001206F7">
            <w:pPr>
              <w:jc w:val="both"/>
              <w:rPr>
                <w:rFonts w:ascii="Verdana" w:eastAsia="Calibri" w:hAnsi="Verdana" w:cs="Arial"/>
                <w:b/>
                <w:bCs/>
                <w:color w:val="000000" w:themeColor="text1"/>
                <w:lang w:val="en-US" w:eastAsia="es-ES_tradnl"/>
              </w:rPr>
            </w:pPr>
          </w:p>
        </w:tc>
        <w:tc>
          <w:tcPr>
            <w:tcW w:w="6100" w:type="dxa"/>
          </w:tcPr>
          <w:p w14:paraId="6875EFE3" w14:textId="6B9FC12F" w:rsidR="00F8295E" w:rsidRPr="00115E3D" w:rsidRDefault="00F8295E" w:rsidP="001206F7">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sidR="007166D0">
              <w:rPr>
                <w:rFonts w:ascii="Verdana" w:eastAsia="Calibri" w:hAnsi="Verdana" w:cs="Arial"/>
                <w:b/>
                <w:bCs/>
                <w:color w:val="000000" w:themeColor="text1"/>
                <w:lang w:val="es-ES" w:eastAsia="es-ES"/>
              </w:rPr>
              <w:t>461</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F8295E" w:rsidRPr="00115E3D" w14:paraId="55457D1D" w14:textId="77777777" w:rsidTr="001206F7">
        <w:trPr>
          <w:trHeight w:val="884"/>
        </w:trPr>
        <w:tc>
          <w:tcPr>
            <w:tcW w:w="2689" w:type="dxa"/>
          </w:tcPr>
          <w:p w14:paraId="5A1CDC81" w14:textId="77777777" w:rsidR="00F8295E" w:rsidRPr="00115E3D" w:rsidRDefault="00F8295E" w:rsidP="001206F7">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2044250B" w14:textId="77777777" w:rsidR="00F8295E" w:rsidRDefault="00F8295E" w:rsidP="001206F7">
            <w:pPr>
              <w:spacing w:line="276" w:lineRule="auto"/>
              <w:jc w:val="both"/>
              <w:rPr>
                <w:rFonts w:ascii="Verdana" w:hAnsi="Verdana" w:cs="Arial"/>
                <w:bCs/>
                <w:color w:val="000000" w:themeColor="text1"/>
              </w:rPr>
            </w:pPr>
            <w:r w:rsidRPr="00DA0133">
              <w:rPr>
                <w:rFonts w:ascii="Verdana" w:eastAsia="Calibri" w:hAnsi="Verdana" w:cs="Arial"/>
                <w:bCs/>
                <w:color w:val="000000" w:themeColor="text1"/>
              </w:rPr>
              <w:t xml:space="preserve">CONTRATO DE PRESTACIÓN DE SERVICIOS ─ Régimen jurídico - Tipologías / CONTRATO DE PRESTACIÓN DE SERVICIOS PROFESIONALES – Idoneidad / TÍTULO DE IDONEIDAD – Régimen constitucional – Tarjeta profesional / </w:t>
            </w:r>
            <w:r w:rsidRPr="00DA0133">
              <w:rPr>
                <w:rFonts w:ascii="Verdana" w:hAnsi="Verdana" w:cs="Arial"/>
                <w:bCs/>
                <w:color w:val="000000" w:themeColor="text1"/>
              </w:rPr>
              <w:t>EJERCICIO PROFESIÓN DE ABOGADO – Requisitos – Inscripción – No requiere tarjeta profesional / EJERCICIO PROFESIÓN DE ABOGADO – Ley 1905 de 2018</w:t>
            </w:r>
            <w:r>
              <w:rPr>
                <w:rFonts w:ascii="Verdana" w:hAnsi="Verdana" w:cs="Arial"/>
                <w:bCs/>
                <w:color w:val="000000" w:themeColor="text1"/>
              </w:rPr>
              <w:t xml:space="preserve"> –</w:t>
            </w:r>
            <w:r w:rsidRPr="00DA0133">
              <w:rPr>
                <w:rFonts w:ascii="Verdana" w:hAnsi="Verdana" w:cs="Arial"/>
                <w:bCs/>
                <w:color w:val="000000" w:themeColor="text1"/>
              </w:rPr>
              <w:t xml:space="preserve"> Ámbito de aplicación –</w:t>
            </w:r>
            <w:r>
              <w:rPr>
                <w:rFonts w:ascii="Verdana" w:hAnsi="Verdana" w:cs="Arial"/>
                <w:bCs/>
                <w:color w:val="000000" w:themeColor="text1"/>
              </w:rPr>
              <w:t xml:space="preserve"> </w:t>
            </w:r>
            <w:r w:rsidRPr="00DA0133">
              <w:rPr>
                <w:rFonts w:ascii="Verdana" w:hAnsi="Verdana" w:cs="Arial"/>
                <w:bCs/>
                <w:color w:val="000000" w:themeColor="text1"/>
              </w:rPr>
              <w:t xml:space="preserve">Examen de Estado </w:t>
            </w:r>
            <w:r>
              <w:rPr>
                <w:rFonts w:ascii="Verdana" w:hAnsi="Verdana" w:cs="Arial"/>
                <w:bCs/>
                <w:color w:val="000000" w:themeColor="text1"/>
              </w:rPr>
              <w:t xml:space="preserve">/ </w:t>
            </w:r>
            <w:r w:rsidRPr="00B34BAB">
              <w:rPr>
                <w:rFonts w:ascii="Verdana" w:hAnsi="Verdana" w:cs="Arial"/>
                <w:bCs/>
                <w:color w:val="000000" w:themeColor="text1"/>
              </w:rPr>
              <w:t>EJERCICIO PROFESIÓN DE ABOGADO – Ley 1905 de 2018</w:t>
            </w:r>
            <w:r>
              <w:rPr>
                <w:rFonts w:ascii="Verdana" w:hAnsi="Verdana" w:cs="Arial"/>
                <w:bCs/>
                <w:color w:val="000000" w:themeColor="text1"/>
              </w:rPr>
              <w:t xml:space="preserve"> – Sentencia SU128-2024 – Efectos</w:t>
            </w:r>
          </w:p>
          <w:p w14:paraId="714DEB36" w14:textId="77777777" w:rsidR="00F8295E" w:rsidRPr="00115E3D" w:rsidRDefault="00F8295E" w:rsidP="001206F7">
            <w:pPr>
              <w:spacing w:line="276" w:lineRule="auto"/>
              <w:jc w:val="both"/>
              <w:rPr>
                <w:rFonts w:ascii="Verdana" w:eastAsia="Calibri" w:hAnsi="Verdana" w:cs="Arial"/>
                <w:color w:val="000000" w:themeColor="text1"/>
                <w:lang w:val="es-ES" w:eastAsia="es-ES"/>
              </w:rPr>
            </w:pPr>
          </w:p>
        </w:tc>
      </w:tr>
      <w:tr w:rsidR="00F8295E" w:rsidRPr="00115E3D" w14:paraId="0FC358A1" w14:textId="77777777" w:rsidTr="001206F7">
        <w:trPr>
          <w:trHeight w:val="526"/>
        </w:trPr>
        <w:tc>
          <w:tcPr>
            <w:tcW w:w="2689" w:type="dxa"/>
          </w:tcPr>
          <w:p w14:paraId="65DD9D2C" w14:textId="77777777" w:rsidR="00F8295E" w:rsidRPr="00115E3D" w:rsidRDefault="00F8295E" w:rsidP="001206F7">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01E38072" w14:textId="77777777" w:rsidR="00F8295E" w:rsidRPr="00115E3D" w:rsidRDefault="00F8295E" w:rsidP="001206F7">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A378BF">
              <w:rPr>
                <w:rFonts w:ascii="Verdana" w:eastAsia="Calibri" w:hAnsi="Verdana" w:cs="Arial"/>
                <w:color w:val="000000" w:themeColor="text1"/>
                <w:lang w:eastAsia="es-ES_tradnl"/>
              </w:rPr>
              <w:t> </w:t>
            </w:r>
            <w:r w:rsidRPr="00927DFB">
              <w:rPr>
                <w:rFonts w:ascii="Verdana" w:eastAsia="Calibri" w:hAnsi="Verdana" w:cs="Arial"/>
                <w:color w:val="000000" w:themeColor="text1"/>
                <w:lang w:eastAsia="es-ES_tradnl"/>
              </w:rPr>
              <w:t>P20250410003475</w:t>
            </w:r>
            <w:r>
              <w:rPr>
                <w:rFonts w:ascii="Verdana" w:eastAsia="Calibri" w:hAnsi="Verdana" w:cs="Arial"/>
                <w:color w:val="000000" w:themeColor="text1"/>
                <w:lang w:eastAsia="es-ES_tradnl"/>
              </w:rPr>
              <w:t xml:space="preserve"> </w:t>
            </w:r>
          </w:p>
        </w:tc>
      </w:tr>
    </w:tbl>
    <w:p w14:paraId="542BC958" w14:textId="77777777" w:rsidR="00F8295E" w:rsidRPr="00115E3D" w:rsidRDefault="00F8295E" w:rsidP="00F8295E">
      <w:pPr>
        <w:spacing w:after="0" w:line="240" w:lineRule="auto"/>
        <w:jc w:val="both"/>
        <w:rPr>
          <w:rFonts w:ascii="Verdana" w:eastAsia="Calibri" w:hAnsi="Verdana" w:cs="Arial"/>
          <w:color w:val="000000" w:themeColor="text1"/>
          <w:lang w:val="es-ES_tradnl" w:eastAsia="es-ES_tradnl"/>
        </w:rPr>
      </w:pPr>
    </w:p>
    <w:p w14:paraId="2ED80FEF" w14:textId="77777777" w:rsidR="00F8295E" w:rsidRPr="00115E3D" w:rsidRDefault="00F8295E" w:rsidP="00F8295E">
      <w:pPr>
        <w:spacing w:after="0" w:line="240" w:lineRule="auto"/>
        <w:jc w:val="both"/>
        <w:rPr>
          <w:rFonts w:ascii="Verdana" w:eastAsia="Calibri" w:hAnsi="Verdana" w:cs="Arial"/>
          <w:color w:val="000000" w:themeColor="text1"/>
          <w:lang w:val="es-ES_tradnl" w:eastAsia="es-ES_tradnl"/>
        </w:rPr>
      </w:pPr>
    </w:p>
    <w:p w14:paraId="31E80AEF" w14:textId="77777777" w:rsidR="00F8295E" w:rsidRPr="00115E3D" w:rsidRDefault="00F8295E" w:rsidP="00F8295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María</w:t>
      </w:r>
      <w:r w:rsidRPr="00115E3D">
        <w:rPr>
          <w:rFonts w:ascii="Verdana" w:eastAsia="Calibri" w:hAnsi="Verdana" w:cs="Arial"/>
          <w:color w:val="000000" w:themeColor="text1"/>
          <w:lang w:val="es-ES" w:eastAsia="es-ES"/>
        </w:rPr>
        <w:t xml:space="preserve">: </w:t>
      </w:r>
    </w:p>
    <w:p w14:paraId="2DF834C3" w14:textId="77777777" w:rsidR="00F8295E" w:rsidRPr="00115E3D" w:rsidRDefault="00F8295E" w:rsidP="00F8295E">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260CF0B0" w14:textId="77777777" w:rsidR="00F8295E" w:rsidRPr="00115E3D" w:rsidRDefault="00F8295E" w:rsidP="00F8295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06</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597A4D3A" w14:textId="77777777" w:rsidR="00F8295E" w:rsidRPr="00115E3D" w:rsidRDefault="00F8295E" w:rsidP="00F8295E">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43F19A3D" w14:textId="77777777" w:rsidR="00F8295E" w:rsidRDefault="00F8295E" w:rsidP="00F8295E">
      <w:pPr>
        <w:pStyle w:val="Prrafodelista"/>
        <w:tabs>
          <w:tab w:val="left" w:pos="142"/>
          <w:tab w:val="left" w:pos="284"/>
        </w:tabs>
        <w:spacing w:line="276" w:lineRule="auto"/>
        <w:jc w:val="both"/>
        <w:rPr>
          <w:rFonts w:ascii="Verdana" w:eastAsia="Century Gothic" w:hAnsi="Verdana" w:cs="Century Gothic"/>
          <w:i/>
          <w:iCs/>
          <w:color w:val="000000" w:themeColor="text1"/>
          <w:sz w:val="20"/>
          <w:szCs w:val="20"/>
        </w:rPr>
      </w:pPr>
      <w:bookmarkStart w:id="1" w:name="_Hlk95313578"/>
      <w:r>
        <w:rPr>
          <w:rFonts w:ascii="Verdana" w:eastAsia="Century Gothic" w:hAnsi="Verdana" w:cs="Century Gothic"/>
          <w:i/>
          <w:iCs/>
          <w:color w:val="000000" w:themeColor="text1"/>
          <w:sz w:val="20"/>
          <w:szCs w:val="20"/>
        </w:rPr>
        <w:t>“</w:t>
      </w:r>
      <w:r w:rsidRPr="00A2643C">
        <w:rPr>
          <w:rFonts w:ascii="Verdana" w:eastAsia="Century Gothic" w:hAnsi="Verdana" w:cs="Century Gothic"/>
          <w:i/>
          <w:iCs/>
          <w:color w:val="000000" w:themeColor="text1"/>
          <w:sz w:val="20"/>
          <w:szCs w:val="20"/>
        </w:rPr>
        <w:t>Me permito formular la siguiente consulta en mi calidad de egresada del programa de</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 xml:space="preserve">Derecho de la Universidad Pontificia Bolivariana, cohorte de </w:t>
      </w:r>
      <w:r w:rsidRPr="00A2643C">
        <w:rPr>
          <w:rFonts w:ascii="Verdana" w:eastAsia="Century Gothic" w:hAnsi="Verdana" w:cs="Century Gothic"/>
          <w:i/>
          <w:iCs/>
          <w:color w:val="000000" w:themeColor="text1"/>
          <w:sz w:val="20"/>
          <w:szCs w:val="20"/>
        </w:rPr>
        <w:lastRenderedPageBreak/>
        <w:t>diciembre de 2024, con el fin</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de obtener claridad jurídica sobre una situación particular.</w:t>
      </w:r>
    </w:p>
    <w:p w14:paraId="26B6ECC7" w14:textId="77777777" w:rsidR="00F8295E" w:rsidRPr="00A2643C" w:rsidRDefault="00F8295E" w:rsidP="00F8295E">
      <w:pPr>
        <w:pStyle w:val="Prrafodelista"/>
        <w:tabs>
          <w:tab w:val="left" w:pos="142"/>
          <w:tab w:val="left" w:pos="284"/>
        </w:tabs>
        <w:spacing w:line="276" w:lineRule="auto"/>
        <w:jc w:val="both"/>
        <w:rPr>
          <w:rFonts w:ascii="Verdana" w:eastAsia="Century Gothic" w:hAnsi="Verdana" w:cs="Century Gothic"/>
          <w:i/>
          <w:iCs/>
          <w:color w:val="000000" w:themeColor="text1"/>
          <w:sz w:val="20"/>
          <w:szCs w:val="20"/>
        </w:rPr>
      </w:pPr>
    </w:p>
    <w:p w14:paraId="52A6673B" w14:textId="77777777" w:rsidR="00F8295E" w:rsidRDefault="00F8295E" w:rsidP="00F8295E">
      <w:pPr>
        <w:pStyle w:val="Prrafodelista"/>
        <w:tabs>
          <w:tab w:val="left" w:pos="142"/>
          <w:tab w:val="left" w:pos="284"/>
        </w:tabs>
        <w:spacing w:line="276" w:lineRule="auto"/>
        <w:jc w:val="both"/>
        <w:rPr>
          <w:rFonts w:ascii="Verdana" w:eastAsia="Century Gothic" w:hAnsi="Verdana" w:cs="Century Gothic"/>
          <w:i/>
          <w:iCs/>
          <w:color w:val="000000" w:themeColor="text1"/>
          <w:sz w:val="20"/>
          <w:szCs w:val="20"/>
        </w:rPr>
      </w:pPr>
      <w:r w:rsidRPr="00A2643C">
        <w:rPr>
          <w:rFonts w:ascii="Verdana" w:eastAsia="Century Gothic" w:hAnsi="Verdana" w:cs="Century Gothic"/>
          <w:i/>
          <w:iCs/>
          <w:color w:val="000000" w:themeColor="text1"/>
          <w:sz w:val="20"/>
          <w:szCs w:val="20"/>
        </w:rPr>
        <w:t>Actualmente no he presentado el examen de Estado que constituye requisito para la</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obtención de la tarjeta profesional de abogada, expedida por el Consejo Superior de la</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Judicatura. Sin embargo, se ha presentado una oportunidad de vinculación con una entidad</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pública mediante contrato de prestación de servicios, para el desarrollo de actividades</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que no corresponden al ejercicio de funciones propias de una oficina jurídica, ni</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requieren la representación judicial o asesoría legal institucional.</w:t>
      </w:r>
    </w:p>
    <w:p w14:paraId="54D33393" w14:textId="77777777" w:rsidR="00F8295E" w:rsidRPr="00A2643C" w:rsidRDefault="00F8295E" w:rsidP="00F8295E">
      <w:pPr>
        <w:pStyle w:val="Prrafodelista"/>
        <w:tabs>
          <w:tab w:val="left" w:pos="142"/>
          <w:tab w:val="left" w:pos="284"/>
        </w:tabs>
        <w:spacing w:line="276" w:lineRule="auto"/>
        <w:jc w:val="both"/>
        <w:rPr>
          <w:rFonts w:ascii="Verdana" w:eastAsia="Century Gothic" w:hAnsi="Verdana" w:cs="Century Gothic"/>
          <w:i/>
          <w:iCs/>
          <w:color w:val="000000" w:themeColor="text1"/>
          <w:sz w:val="20"/>
          <w:szCs w:val="20"/>
        </w:rPr>
      </w:pPr>
    </w:p>
    <w:p w14:paraId="456E72E2" w14:textId="77777777" w:rsidR="00F8295E" w:rsidRDefault="00F8295E" w:rsidP="00F8295E">
      <w:pPr>
        <w:pStyle w:val="Prrafodelista"/>
        <w:jc w:val="both"/>
        <w:rPr>
          <w:rFonts w:ascii="Verdana" w:eastAsia="Century Gothic" w:hAnsi="Verdana" w:cs="Century Gothic"/>
          <w:i/>
          <w:iCs/>
          <w:color w:val="000000" w:themeColor="text1"/>
          <w:sz w:val="20"/>
          <w:szCs w:val="20"/>
        </w:rPr>
      </w:pPr>
      <w:r w:rsidRPr="00A2643C">
        <w:rPr>
          <w:rFonts w:ascii="Verdana" w:eastAsia="Century Gothic" w:hAnsi="Verdana" w:cs="Century Gothic"/>
          <w:i/>
          <w:iCs/>
          <w:color w:val="000000" w:themeColor="text1"/>
          <w:sz w:val="20"/>
          <w:szCs w:val="20"/>
        </w:rPr>
        <w:t>En este sentido, y conforme a las normas vigentes que regulan el ejercicio profesional del</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Derecho y la vinculación contractual con el Estado, solicito muy respetuosamente se me</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indique si es jurídicamente viable desempeñarme como contratista en una entidad</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pública para funciones distintas a las jurídicas, aun sin haber obtenido la tarjeta</w:t>
      </w:r>
      <w:r>
        <w:rPr>
          <w:rFonts w:ascii="Verdana" w:eastAsia="Century Gothic" w:hAnsi="Verdana" w:cs="Century Gothic"/>
          <w:i/>
          <w:iCs/>
          <w:color w:val="000000" w:themeColor="text1"/>
          <w:sz w:val="20"/>
          <w:szCs w:val="20"/>
        </w:rPr>
        <w:t xml:space="preserve"> </w:t>
      </w:r>
      <w:r w:rsidRPr="00A2643C">
        <w:rPr>
          <w:rFonts w:ascii="Verdana" w:eastAsia="Century Gothic" w:hAnsi="Verdana" w:cs="Century Gothic"/>
          <w:i/>
          <w:iCs/>
          <w:color w:val="000000" w:themeColor="text1"/>
          <w:sz w:val="20"/>
          <w:szCs w:val="20"/>
        </w:rPr>
        <w:t>profesional de abogada</w:t>
      </w:r>
      <w:bookmarkEnd w:id="1"/>
      <w:r w:rsidRPr="00A378BF">
        <w:rPr>
          <w:rFonts w:ascii="Verdana" w:eastAsia="Century Gothic" w:hAnsi="Verdana" w:cs="Century Gothic"/>
          <w:i/>
          <w:iCs/>
          <w:color w:val="000000" w:themeColor="text1"/>
          <w:sz w:val="20"/>
          <w:szCs w:val="20"/>
        </w:rPr>
        <w:t>.</w:t>
      </w:r>
      <w:r>
        <w:rPr>
          <w:rFonts w:ascii="Verdana" w:eastAsia="Century Gothic" w:hAnsi="Verdana" w:cs="Century Gothic"/>
          <w:i/>
          <w:iCs/>
          <w:color w:val="000000" w:themeColor="text1"/>
          <w:sz w:val="20"/>
          <w:szCs w:val="20"/>
        </w:rPr>
        <w:t>”</w:t>
      </w:r>
    </w:p>
    <w:p w14:paraId="393A11D5" w14:textId="77777777" w:rsidR="00F8295E" w:rsidRPr="00A378BF" w:rsidRDefault="00F8295E" w:rsidP="00F8295E">
      <w:pPr>
        <w:spacing w:after="0" w:line="240" w:lineRule="auto"/>
        <w:ind w:left="709" w:right="709"/>
        <w:jc w:val="both"/>
        <w:rPr>
          <w:rFonts w:ascii="Verdana" w:eastAsia="Century Gothic" w:hAnsi="Verdana" w:cs="Century Gothic"/>
          <w:i/>
          <w:iCs/>
          <w:color w:val="000000" w:themeColor="text1"/>
          <w:sz w:val="20"/>
          <w:szCs w:val="20"/>
          <w:lang w:val="es-ES"/>
        </w:rPr>
      </w:pPr>
    </w:p>
    <w:p w14:paraId="03CAE808" w14:textId="77777777" w:rsidR="00F8295E" w:rsidRPr="00115E3D" w:rsidRDefault="00F8295E" w:rsidP="00F8295E">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A34319B" w14:textId="77777777" w:rsidR="00F8295E" w:rsidRPr="00115E3D" w:rsidRDefault="00F8295E" w:rsidP="00F8295E">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F5FD1B6" w14:textId="77777777" w:rsidR="00F8295E" w:rsidRPr="00115E3D" w:rsidRDefault="00F8295E" w:rsidP="00F8295E">
      <w:pPr>
        <w:spacing w:after="0" w:line="276" w:lineRule="auto"/>
        <w:ind w:firstLine="709"/>
        <w:jc w:val="both"/>
        <w:rPr>
          <w:rFonts w:ascii="Verdana" w:eastAsia="Calibri" w:hAnsi="Verdana" w:cs="Arial"/>
          <w:color w:val="000000" w:themeColor="text1"/>
          <w:lang w:val="es-ES" w:eastAsia="es-ES"/>
        </w:rPr>
      </w:pPr>
    </w:p>
    <w:p w14:paraId="79FD1B1D" w14:textId="77777777" w:rsidR="00F8295E" w:rsidRPr="00115E3D" w:rsidRDefault="00F8295E" w:rsidP="00F8295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E062C3B" w14:textId="77777777" w:rsidR="00F8295E" w:rsidRPr="00115E3D" w:rsidRDefault="00F8295E" w:rsidP="00F8295E">
      <w:pPr>
        <w:tabs>
          <w:tab w:val="left" w:pos="426"/>
        </w:tabs>
        <w:spacing w:after="0" w:line="276" w:lineRule="auto"/>
        <w:jc w:val="both"/>
        <w:rPr>
          <w:rFonts w:ascii="Verdana" w:eastAsia="Century Gothic" w:hAnsi="Verdana" w:cs="Century Gothic"/>
          <w:color w:val="000000" w:themeColor="text1"/>
          <w:lang w:val="es-ES"/>
        </w:rPr>
      </w:pPr>
    </w:p>
    <w:p w14:paraId="005B16CF" w14:textId="6E1E524A" w:rsidR="00C5027F" w:rsidRDefault="00F8295E" w:rsidP="00C5027F">
      <w:pPr>
        <w:spacing w:after="0" w:line="276" w:lineRule="auto"/>
        <w:jc w:val="both"/>
        <w:textAlignment w:val="baseline"/>
        <w:rPr>
          <w:rFonts w:ascii="Verdana" w:eastAsia="Calibri" w:hAnsi="Verdana" w:cs="Arial"/>
          <w:lang w:val="es-ES" w:eastAsia="es-ES"/>
        </w:rPr>
      </w:pPr>
      <w:r w:rsidRPr="00115E3D">
        <w:rPr>
          <w:rFonts w:ascii="Verdana" w:eastAsia="Century Gothic" w:hAnsi="Verdana" w:cs="Century Gothic"/>
          <w:color w:val="000000" w:themeColor="text1"/>
        </w:rPr>
        <w:t xml:space="preserve">De acuerdo con el contenido de su solicitud, esta Agencia resolverá los siguientes </w:t>
      </w:r>
      <w:r w:rsidRPr="00AC3EC5">
        <w:rPr>
          <w:rFonts w:ascii="Verdana" w:eastAsia="Century Gothic" w:hAnsi="Verdana" w:cs="Century Gothic"/>
          <w:color w:val="000000" w:themeColor="text1"/>
        </w:rPr>
        <w:t xml:space="preserve">problemas jurídicos: </w:t>
      </w:r>
      <w:r>
        <w:rPr>
          <w:rFonts w:ascii="Verdana" w:eastAsia="Century Gothic" w:hAnsi="Verdana" w:cs="Century Gothic"/>
          <w:color w:val="000000" w:themeColor="text1"/>
        </w:rPr>
        <w:t>i</w:t>
      </w:r>
      <w:r w:rsidR="00741882">
        <w:rPr>
          <w:rFonts w:ascii="Verdana" w:eastAsia="Century Gothic" w:hAnsi="Verdana" w:cs="Century Gothic"/>
          <w:color w:val="000000" w:themeColor="text1"/>
        </w:rPr>
        <w:t xml:space="preserve">) </w:t>
      </w:r>
      <w:r w:rsidR="00C5027F">
        <w:rPr>
          <w:rFonts w:ascii="Verdana" w:eastAsia="Calibri" w:hAnsi="Verdana" w:cs="Arial"/>
          <w:lang w:val="es-ES" w:eastAsia="es-ES"/>
        </w:rPr>
        <w:t>¿Es necesario acreditar la aprobación del Examen de Estado previsto en la Ley 1905 de 2018 para celebrar contratos de prestación de servicios profesionales que no impliquen representación judicial?</w:t>
      </w:r>
    </w:p>
    <w:p w14:paraId="0386FAA8" w14:textId="77777777" w:rsidR="00F8295E" w:rsidRPr="00115E3D" w:rsidRDefault="00F8295E" w:rsidP="00F8295E">
      <w:pPr>
        <w:spacing w:after="0" w:line="276" w:lineRule="auto"/>
        <w:jc w:val="both"/>
        <w:rPr>
          <w:rFonts w:ascii="Verdana" w:eastAsia="Calibri" w:hAnsi="Verdana" w:cs="Arial"/>
          <w:color w:val="000000" w:themeColor="text1"/>
          <w:lang w:val="es-ES"/>
        </w:rPr>
      </w:pPr>
    </w:p>
    <w:p w14:paraId="6C4AC037" w14:textId="77777777" w:rsidR="00F8295E" w:rsidRPr="00115E3D" w:rsidRDefault="00F8295E" w:rsidP="00F82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0ABCFF3C" w14:textId="77777777" w:rsidR="00F8295E" w:rsidRPr="00115E3D" w:rsidRDefault="00F8295E" w:rsidP="00F8295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295E" w:rsidRPr="00115E3D" w14:paraId="48284A93" w14:textId="77777777" w:rsidTr="001206F7">
        <w:tc>
          <w:tcPr>
            <w:tcW w:w="8828" w:type="dxa"/>
            <w:shd w:val="clear" w:color="auto" w:fill="auto"/>
          </w:tcPr>
          <w:p w14:paraId="0F986104" w14:textId="77777777" w:rsidR="00F8295E" w:rsidRPr="00004D2D" w:rsidRDefault="00F8295E" w:rsidP="001206F7">
            <w:pPr>
              <w:jc w:val="both"/>
              <w:rPr>
                <w:rFonts w:ascii="Verdana" w:eastAsia="Calibri" w:hAnsi="Verdana" w:cs="Arial"/>
                <w:color w:val="000000" w:themeColor="text1"/>
              </w:rPr>
            </w:pPr>
            <w:r>
              <w:rPr>
                <w:rFonts w:ascii="Verdana" w:eastAsia="Calibri" w:hAnsi="Verdana" w:cs="Arial"/>
                <w:color w:val="000000" w:themeColor="text1"/>
              </w:rPr>
              <w:t xml:space="preserve">         </w:t>
            </w:r>
            <w:r w:rsidRPr="00004D2D">
              <w:rPr>
                <w:rFonts w:ascii="Verdana" w:eastAsia="Calibri" w:hAnsi="Verdana" w:cs="Arial"/>
                <w:color w:val="000000" w:themeColor="text1"/>
              </w:rPr>
              <w:t xml:space="preserve">De conformidad con lo establecido por la Ley 1905 de 2018, la aprobación del Examen de Estado creado por dicha norma se torna en un requisito exigible para el ejercicio de la abogacía, incluso para aquellas actividades que no impliquen representación judicial. En atención a esto, para la celebración de contratos de prestación de servicios profesionales, que impliquen el ejercicio de la abogacía, con personas que hayan comenzado a estudiar derecho después de la promulgación de la referida ley–dada el 28 de junio de 2018–, además de la inscripción en el Registro Nacional de Abogados al que se refiere el Decreto 196 de 1971, también resulta necesario acreditar la aprobación del Examen de Estado creado por la Ley 1905 de 2018. Estos requisitos también podrán acreditarse mediante la presentación de la tarjeta profesional.  </w:t>
            </w:r>
          </w:p>
          <w:p w14:paraId="63CE7D1D" w14:textId="77777777" w:rsidR="00F8295E" w:rsidRDefault="00F8295E" w:rsidP="001206F7">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Sin embargo, el requisito establecido por la Ley 1905 de 2018, no resulta exigible para celebración de contratos de prestación de servicios profesionales que impliquen el ejercicio de la abogacía, con aquellas personas beneficiadas por los efectos </w:t>
            </w:r>
            <w:r w:rsidRPr="00B34BAB">
              <w:rPr>
                <w:rFonts w:ascii="Verdana" w:hAnsi="Verdana" w:cs="Arial"/>
                <w:i/>
                <w:iCs/>
                <w:color w:val="000000" w:themeColor="text1"/>
              </w:rPr>
              <w:t>inter pares</w:t>
            </w:r>
            <w:r>
              <w:rPr>
                <w:rFonts w:ascii="Verdana" w:hAnsi="Verdana" w:cs="Arial"/>
                <w:color w:val="000000" w:themeColor="text1"/>
              </w:rPr>
              <w:t xml:space="preserve"> de la orden contenida en el ordinal sexto de la Sentencia SU-128 de 18 de abril de 2024 de la Corte Constitucional. </w:t>
            </w:r>
          </w:p>
          <w:p w14:paraId="03A2B740" w14:textId="77777777" w:rsidR="00F8295E" w:rsidRPr="00DD0FB2" w:rsidRDefault="00F8295E" w:rsidP="001206F7">
            <w:pPr>
              <w:spacing w:before="120" w:after="120" w:line="276" w:lineRule="auto"/>
              <w:jc w:val="both"/>
              <w:rPr>
                <w:rFonts w:ascii="Verdana" w:hAnsi="Verdana" w:cs="Arial"/>
                <w:color w:val="000000" w:themeColor="text1"/>
              </w:rPr>
            </w:pPr>
            <w:r>
              <w:rPr>
                <w:rFonts w:ascii="Verdana" w:hAnsi="Verdana" w:cs="Arial"/>
                <w:color w:val="000000" w:themeColor="text1"/>
              </w:rPr>
              <w:t xml:space="preserve">        Esto significa que, la aprobación del </w:t>
            </w:r>
            <w:r w:rsidRPr="00A7405A">
              <w:rPr>
                <w:rFonts w:ascii="Verdana" w:hAnsi="Verdana" w:cs="Arial"/>
                <w:i/>
                <w:iCs/>
                <w:color w:val="000000" w:themeColor="text1"/>
              </w:rPr>
              <w:t>Examen de Estado</w:t>
            </w:r>
            <w:r>
              <w:rPr>
                <w:rFonts w:ascii="Verdana" w:hAnsi="Verdana" w:cs="Arial"/>
                <w:color w:val="000000" w:themeColor="text1"/>
              </w:rPr>
              <w:t xml:space="preserve"> no resulta exigible a </w:t>
            </w:r>
            <w:r w:rsidRPr="009F7081">
              <w:rPr>
                <w:rFonts w:ascii="Verdana" w:hAnsi="Verdana" w:cs="Arial"/>
                <w:color w:val="000000" w:themeColor="text1"/>
              </w:rPr>
              <w:t>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9F7081">
              <w:rPr>
                <w:rFonts w:ascii="Verdana" w:hAnsi="Verdana" w:cs="Arial"/>
                <w:color w:val="000000" w:themeColor="text1"/>
              </w:rPr>
              <w:t>ii</w:t>
            </w:r>
            <w:proofErr w:type="spellEnd"/>
            <w:r w:rsidRPr="009F7081">
              <w:rPr>
                <w:rFonts w:ascii="Verdana" w:hAnsi="Verdana" w:cs="Arial"/>
                <w:color w:val="000000" w:themeColor="text1"/>
              </w:rPr>
              <w:t xml:space="preserve">) todas las personas graduadas del pregrado en Derecho y destinatarias de la Ley 1905 de 2018 </w:t>
            </w:r>
            <w:r w:rsidRPr="00DD0FB2">
              <w:rPr>
                <w:rFonts w:ascii="Verdana" w:hAnsi="Verdana" w:cs="Arial"/>
                <w:color w:val="000000" w:themeColor="text1"/>
              </w:rPr>
              <w:t>que presentaron la solicitud de tarjeta profesional antes de las cero horas (0:00) del 26 de diciembre de 2023, siempre y cuando satisfagan los demás requisitos vigentes para la expedición de la tarjeta profesional.</w:t>
            </w:r>
          </w:p>
          <w:p w14:paraId="145CD371" w14:textId="26B58511" w:rsidR="00F8295E" w:rsidRPr="005572C3" w:rsidRDefault="00F8295E" w:rsidP="001206F7">
            <w:pPr>
              <w:ind w:firstLine="709"/>
              <w:jc w:val="both"/>
              <w:rPr>
                <w:rFonts w:ascii="Verdana" w:hAnsi="Verdana"/>
              </w:rPr>
            </w:pPr>
          </w:p>
        </w:tc>
      </w:tr>
    </w:tbl>
    <w:p w14:paraId="4CC1CFE7" w14:textId="77777777" w:rsidR="00F8295E" w:rsidRPr="00115E3D" w:rsidRDefault="00F8295E" w:rsidP="00F8295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251BD57" w14:textId="77777777" w:rsidR="00F8295E" w:rsidRPr="00115E3D" w:rsidRDefault="00F8295E" w:rsidP="00F82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lastRenderedPageBreak/>
        <w:t>Razones de la respuesta:</w:t>
      </w:r>
    </w:p>
    <w:p w14:paraId="54D98613" w14:textId="77777777" w:rsidR="00F8295E" w:rsidRPr="00115E3D" w:rsidRDefault="00F8295E" w:rsidP="00F8295E">
      <w:pPr>
        <w:spacing w:after="0" w:line="276" w:lineRule="auto"/>
        <w:jc w:val="both"/>
        <w:rPr>
          <w:rFonts w:ascii="Verdana" w:eastAsia="Calibri" w:hAnsi="Verdana" w:cs="Arial"/>
          <w:color w:val="000000" w:themeColor="text1"/>
          <w:lang w:val="es-ES"/>
        </w:rPr>
      </w:pPr>
    </w:p>
    <w:p w14:paraId="37F96E14" w14:textId="77777777" w:rsidR="00F8295E" w:rsidRDefault="00F8295E" w:rsidP="00F8295E">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7700D3AC" w14:textId="77777777" w:rsidR="00F8295E" w:rsidRDefault="00F8295E" w:rsidP="00F8295E">
      <w:pPr>
        <w:spacing w:after="0" w:line="276" w:lineRule="auto"/>
        <w:jc w:val="both"/>
        <w:rPr>
          <w:rFonts w:ascii="Verdana" w:eastAsia="Calibri" w:hAnsi="Verdana" w:cs="Arial"/>
          <w:color w:val="000000" w:themeColor="text1"/>
          <w:lang w:val="es-ES"/>
        </w:rPr>
      </w:pPr>
    </w:p>
    <w:p w14:paraId="75C56897" w14:textId="77777777" w:rsidR="00F8295E" w:rsidRPr="00A7405A" w:rsidRDefault="00F8295E" w:rsidP="00F8295E">
      <w:pPr>
        <w:tabs>
          <w:tab w:val="left" w:pos="0"/>
        </w:tabs>
        <w:spacing w:after="0" w:line="276" w:lineRule="auto"/>
        <w:jc w:val="both"/>
        <w:rPr>
          <w:rFonts w:ascii="Verdana" w:eastAsia="Calibri" w:hAnsi="Verdana" w:cs="Arial"/>
          <w:color w:val="000000" w:themeColor="text1"/>
          <w:lang w:val="es-ES_tradnl"/>
        </w:rPr>
      </w:pPr>
      <w:r w:rsidRPr="00A7405A">
        <w:rPr>
          <w:rFonts w:ascii="Verdana" w:hAnsi="Verdana" w:cs="Arial"/>
          <w:color w:val="000000" w:themeColor="text1"/>
          <w:lang w:val="es-MX"/>
        </w:rPr>
        <w:t xml:space="preserve">El contrato de prestación de servicios es un contrato estatal típico, regulado en el numeral 3 del artículo 32 de la Ley 80 de 1993. Es definido como aquel que </w:t>
      </w:r>
      <w:r>
        <w:rPr>
          <w:rFonts w:ascii="Verdana" w:hAnsi="Verdana" w:cs="Arial"/>
          <w:color w:val="000000" w:themeColor="text1"/>
          <w:lang w:val="es-MX"/>
        </w:rPr>
        <w:t>“</w:t>
      </w:r>
      <w:r w:rsidRPr="00A7405A">
        <w:rPr>
          <w:rFonts w:ascii="Verdana" w:hAnsi="Verdana"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lang w:val="es-MX"/>
        </w:rPr>
        <w:t>”</w:t>
      </w:r>
      <w:r w:rsidRPr="00A7405A">
        <w:rPr>
          <w:rFonts w:ascii="Verdana" w:hAnsi="Verdana" w:cs="Arial"/>
          <w:color w:val="000000" w:themeColor="text1"/>
          <w:lang w:val="es-MX"/>
        </w:rPr>
        <w:t>.</w:t>
      </w:r>
      <w:r w:rsidRPr="00A7405A">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314A537B" w14:textId="77777777" w:rsidR="00F8295E" w:rsidRPr="00A7405A" w:rsidRDefault="00F8295E" w:rsidP="00F8295E">
      <w:pPr>
        <w:spacing w:after="0" w:line="240" w:lineRule="auto"/>
        <w:ind w:right="709"/>
        <w:jc w:val="both"/>
        <w:rPr>
          <w:rFonts w:ascii="Verdana" w:eastAsia="Calibri" w:hAnsi="Verdana" w:cs="Arial"/>
          <w:color w:val="000000" w:themeColor="text1"/>
          <w:sz w:val="21"/>
          <w:szCs w:val="21"/>
          <w:lang w:val="es-ES_tradnl"/>
        </w:rPr>
      </w:pPr>
    </w:p>
    <w:p w14:paraId="0B715B72" w14:textId="77777777" w:rsidR="00F8295E" w:rsidRPr="00A7405A" w:rsidRDefault="00F8295E" w:rsidP="00F8295E">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16CDDC04" w14:textId="77777777" w:rsidR="00F8295E" w:rsidRPr="00A7405A" w:rsidRDefault="00F8295E" w:rsidP="00F8295E">
      <w:pPr>
        <w:spacing w:after="120" w:line="240" w:lineRule="auto"/>
        <w:ind w:left="709" w:right="760"/>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w:t>
      </w:r>
    </w:p>
    <w:p w14:paraId="727E3062" w14:textId="77777777" w:rsidR="00F8295E" w:rsidRPr="00A7405A" w:rsidRDefault="00F8295E" w:rsidP="00F8295E">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 xml:space="preserve">4. Contratación directa. La modalidad de selección de contratación </w:t>
      </w:r>
      <w:proofErr w:type="gramStart"/>
      <w:r w:rsidRPr="00A7405A">
        <w:rPr>
          <w:rFonts w:ascii="Verdana" w:eastAsia="Calibri" w:hAnsi="Verdana" w:cs="Arial"/>
          <w:color w:val="000000" w:themeColor="text1"/>
          <w:sz w:val="21"/>
          <w:szCs w:val="21"/>
          <w:lang w:val="es-MX"/>
        </w:rPr>
        <w:t>directa,</w:t>
      </w:r>
      <w:proofErr w:type="gramEnd"/>
      <w:r w:rsidRPr="00A7405A">
        <w:rPr>
          <w:rFonts w:ascii="Verdana" w:eastAsia="Calibri" w:hAnsi="Verdana" w:cs="Arial"/>
          <w:color w:val="000000" w:themeColor="text1"/>
          <w:sz w:val="21"/>
          <w:szCs w:val="21"/>
          <w:lang w:val="es-MX"/>
        </w:rPr>
        <w:t xml:space="preserve"> solamente procederá en los siguientes casos:</w:t>
      </w:r>
    </w:p>
    <w:p w14:paraId="6E1322E0" w14:textId="77777777" w:rsidR="00F8295E" w:rsidRPr="00A7405A" w:rsidRDefault="00F8295E" w:rsidP="00F8295E">
      <w:pPr>
        <w:spacing w:after="120" w:line="240" w:lineRule="auto"/>
        <w:ind w:left="709" w:right="760"/>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w:t>
      </w:r>
    </w:p>
    <w:p w14:paraId="6F2DCE34" w14:textId="77777777" w:rsidR="00F8295E" w:rsidRPr="00A7405A" w:rsidRDefault="00F8295E" w:rsidP="00F8295E">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p>
    <w:p w14:paraId="4B4C9135" w14:textId="77777777" w:rsidR="00F8295E" w:rsidRPr="00A7405A" w:rsidRDefault="00F8295E" w:rsidP="00F8295E">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r>
    </w:p>
    <w:p w14:paraId="536B82E2" w14:textId="77777777" w:rsidR="00F8295E" w:rsidRPr="00A7405A" w:rsidRDefault="00F8295E" w:rsidP="00F8295E">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t xml:space="preserve">En tal sentido, el Decreto 1082 de 2015 en el </w:t>
      </w:r>
      <w:r>
        <w:rPr>
          <w:rFonts w:ascii="Verdana" w:hAnsi="Verdana" w:cs="Arial"/>
          <w:noProof/>
          <w:lang w:val="es-ES_tradnl"/>
        </w:rPr>
        <w:t>a</w:t>
      </w:r>
      <w:r w:rsidRPr="00A7405A">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E88EFC4" w14:textId="77777777" w:rsidR="00F8295E" w:rsidRPr="00A7405A" w:rsidRDefault="00F8295E" w:rsidP="00F8295E">
      <w:pPr>
        <w:spacing w:after="0" w:line="276" w:lineRule="auto"/>
        <w:jc w:val="both"/>
        <w:rPr>
          <w:rFonts w:ascii="Verdana" w:hAnsi="Verdana" w:cs="Arial"/>
          <w:lang w:val="es-ES"/>
        </w:rPr>
      </w:pPr>
    </w:p>
    <w:p w14:paraId="46631FF9" w14:textId="77777777" w:rsidR="00F8295E" w:rsidRPr="00A7405A" w:rsidRDefault="00F8295E" w:rsidP="00F8295E">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w:t>
      </w:r>
      <w:r w:rsidRPr="00A7405A">
        <w:rPr>
          <w:rFonts w:ascii="Verdana" w:hAnsi="Verdana" w:cs="Arial"/>
          <w:sz w:val="20"/>
          <w:szCs w:val="20"/>
          <w:lang w:val="es-MX"/>
        </w:rPr>
        <w:lastRenderedPageBreak/>
        <w:t>obtenido previamente varias ofertas, de lo cual el ordenador del gasto debe dejar constancia escrita.</w:t>
      </w:r>
    </w:p>
    <w:p w14:paraId="63CE7144" w14:textId="77777777" w:rsidR="00F8295E" w:rsidRPr="00A7405A" w:rsidRDefault="00F8295E" w:rsidP="00F8295E">
      <w:pPr>
        <w:spacing w:after="0" w:line="240" w:lineRule="auto"/>
        <w:ind w:left="709" w:right="758"/>
        <w:jc w:val="both"/>
        <w:rPr>
          <w:rFonts w:ascii="Verdana" w:hAnsi="Verdana" w:cs="Arial"/>
          <w:sz w:val="20"/>
          <w:szCs w:val="20"/>
        </w:rPr>
      </w:pPr>
    </w:p>
    <w:p w14:paraId="01DC276E" w14:textId="77777777" w:rsidR="00F8295E" w:rsidRPr="00A7405A" w:rsidRDefault="00F8295E" w:rsidP="00F8295E">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5E165BF" w14:textId="77777777" w:rsidR="00F8295E" w:rsidRPr="00A7405A" w:rsidRDefault="00F8295E" w:rsidP="00F8295E">
      <w:pPr>
        <w:spacing w:after="0" w:line="240" w:lineRule="auto"/>
        <w:ind w:left="709" w:right="758"/>
        <w:jc w:val="both"/>
        <w:rPr>
          <w:rFonts w:ascii="Verdana" w:hAnsi="Verdana" w:cs="Arial"/>
          <w:sz w:val="20"/>
          <w:szCs w:val="20"/>
          <w:lang w:val="es-MX"/>
        </w:rPr>
      </w:pPr>
    </w:p>
    <w:p w14:paraId="630958D5" w14:textId="77777777" w:rsidR="00F8295E" w:rsidRPr="00A7405A" w:rsidRDefault="00F8295E" w:rsidP="00F8295E">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La Entidad Estatal, para la contratación de trabajos artísticos que solamente puedan en</w:t>
      </w:r>
      <w:r w:rsidRPr="00A7405A">
        <w:rPr>
          <w:rFonts w:ascii="Verdana" w:hAnsi="Verdana" w:cs="Arial"/>
          <w:sz w:val="20"/>
          <w:szCs w:val="20"/>
          <w:lang w:val="es-MX"/>
        </w:rPr>
        <w:softHyphen/>
        <w:t>comendarse a determinadas personas naturales, debe justificar esta situación en los estudios y documentos previos”.</w:t>
      </w:r>
    </w:p>
    <w:p w14:paraId="78A1CB4D" w14:textId="77777777" w:rsidR="00F8295E" w:rsidRPr="00A7405A" w:rsidRDefault="00F8295E" w:rsidP="00F8295E">
      <w:pPr>
        <w:tabs>
          <w:tab w:val="left" w:pos="0"/>
        </w:tabs>
        <w:spacing w:after="0" w:line="276" w:lineRule="auto"/>
        <w:jc w:val="both"/>
        <w:rPr>
          <w:rFonts w:ascii="Verdana" w:hAnsi="Verdana" w:cs="Arial"/>
          <w:noProof/>
          <w:sz w:val="21"/>
          <w:szCs w:val="21"/>
        </w:rPr>
      </w:pPr>
    </w:p>
    <w:p w14:paraId="720146B3" w14:textId="77777777" w:rsidR="00F8295E" w:rsidRPr="00A7405A" w:rsidRDefault="00F8295E" w:rsidP="00F8295E">
      <w:pPr>
        <w:tabs>
          <w:tab w:val="left" w:pos="0"/>
        </w:tabs>
        <w:spacing w:before="120" w:after="0" w:line="276" w:lineRule="auto"/>
        <w:jc w:val="both"/>
        <w:rPr>
          <w:rFonts w:ascii="Verdana" w:hAnsi="Verdana" w:cs="Arial"/>
          <w:color w:val="000000" w:themeColor="text1"/>
          <w:sz w:val="21"/>
          <w:szCs w:val="21"/>
          <w:lang w:val="es-MX"/>
        </w:rPr>
      </w:pPr>
      <w:r>
        <w:rPr>
          <w:rFonts w:ascii="Verdana" w:hAnsi="Verdana" w:cs="Arial"/>
          <w:color w:val="000000" w:themeColor="text1"/>
          <w:lang w:val="es-MX"/>
        </w:rPr>
        <w:tab/>
        <w:t xml:space="preserve">Como especies del género </w:t>
      </w:r>
      <w:r w:rsidRPr="00A7405A">
        <w:rPr>
          <w:rFonts w:ascii="Verdana" w:hAnsi="Verdana" w:cs="Arial"/>
          <w:i/>
          <w:iCs/>
          <w:color w:val="000000" w:themeColor="text1"/>
          <w:lang w:val="es-MX"/>
        </w:rPr>
        <w:t>contrato de prestación de servicios</w:t>
      </w:r>
      <w:r>
        <w:rPr>
          <w:rFonts w:ascii="Verdana" w:hAnsi="Verdana" w:cs="Arial"/>
          <w:color w:val="000000" w:themeColor="text1"/>
          <w:lang w:val="es-MX"/>
        </w:rPr>
        <w:t xml:space="preserve"> </w:t>
      </w:r>
      <w:r w:rsidRPr="00A7405A">
        <w:rPr>
          <w:rFonts w:ascii="Verdana" w:hAnsi="Verdana" w:cs="Arial"/>
          <w:color w:val="000000" w:themeColor="text1"/>
          <w:lang w:val="es-MX"/>
        </w:rPr>
        <w:t xml:space="preserve">se incluyen </w:t>
      </w:r>
      <w:r w:rsidRPr="00A7405A">
        <w:rPr>
          <w:rFonts w:ascii="Verdana" w:hAnsi="Verdana" w:cs="Arial"/>
          <w:color w:val="000000" w:themeColor="text1"/>
          <w:lang w:val="es-ES"/>
        </w:rPr>
        <w:t xml:space="preserve">los </w:t>
      </w:r>
      <w:r w:rsidRPr="00A7405A">
        <w:rPr>
          <w:rFonts w:ascii="Verdana" w:hAnsi="Verdana" w:cs="Arial"/>
          <w:i/>
          <w:color w:val="000000" w:themeColor="text1"/>
          <w:lang w:val="es-ES"/>
        </w:rPr>
        <w:t>contratos de prestación de servicios profesionales, los contratos de prestación de servicios de apoyo a la gestión</w:t>
      </w:r>
      <w:r w:rsidRPr="00A7405A">
        <w:rPr>
          <w:rFonts w:ascii="Verdana" w:hAnsi="Verdana" w:cs="Arial"/>
          <w:color w:val="000000" w:themeColor="text1"/>
          <w:lang w:val="es-ES"/>
        </w:rPr>
        <w:t xml:space="preserve"> y los </w:t>
      </w:r>
      <w:r w:rsidRPr="00A7405A">
        <w:rPr>
          <w:rFonts w:ascii="Verdana" w:hAnsi="Verdana" w:cs="Arial"/>
          <w:i/>
          <w:color w:val="000000" w:themeColor="text1"/>
          <w:lang w:val="es-ES"/>
        </w:rPr>
        <w:t>contratos de prestación de servicios artísticos que solo pueden encomendarse a determinadas personas naturales</w:t>
      </w:r>
      <w:r w:rsidRPr="00A7405A">
        <w:rPr>
          <w:rFonts w:ascii="Verdana" w:hAnsi="Verdana" w:cs="Arial"/>
          <w:color w:val="000000" w:themeColor="text1"/>
          <w:vertAlign w:val="superscript"/>
          <w:lang w:val="es-ES_tradnl"/>
        </w:rPr>
        <w:footnoteReference w:id="2"/>
      </w:r>
      <w:r w:rsidRPr="00A7405A">
        <w:rPr>
          <w:rFonts w:ascii="Verdana" w:hAnsi="Verdana" w:cs="Arial"/>
          <w:color w:val="000000" w:themeColor="text1"/>
          <w:lang w:val="es-MX"/>
        </w:rPr>
        <w:t xml:space="preserve">. </w:t>
      </w:r>
      <w:r w:rsidRPr="00A7405A">
        <w:rPr>
          <w:rFonts w:ascii="Verdana" w:hAnsi="Verdana" w:cs="Arial"/>
          <w:color w:val="000000" w:themeColor="text1"/>
          <w:lang w:val="es-ES"/>
        </w:rPr>
        <w:t xml:space="preserve">La diferencia entre el contrato de prestación de servicios </w:t>
      </w:r>
      <w:r w:rsidRPr="00A7405A">
        <w:rPr>
          <w:rFonts w:ascii="Verdana" w:hAnsi="Verdana" w:cs="Arial"/>
          <w:i/>
          <w:color w:val="000000" w:themeColor="text1"/>
          <w:lang w:val="es-ES"/>
        </w:rPr>
        <w:t>profesionales</w:t>
      </w:r>
      <w:r w:rsidRPr="00A7405A">
        <w:rPr>
          <w:rFonts w:ascii="Verdana" w:hAnsi="Verdana" w:cs="Arial"/>
          <w:color w:val="000000" w:themeColor="text1"/>
          <w:lang w:val="es-ES"/>
        </w:rPr>
        <w:t xml:space="preserve"> con las otras dos especies del género en el cual se </w:t>
      </w:r>
      <w:proofErr w:type="gramStart"/>
      <w:r w:rsidRPr="00A7405A">
        <w:rPr>
          <w:rFonts w:ascii="Verdana" w:hAnsi="Verdana" w:cs="Arial"/>
          <w:color w:val="000000" w:themeColor="text1"/>
          <w:lang w:val="es-ES"/>
        </w:rPr>
        <w:t>ubican,</w:t>
      </w:r>
      <w:proofErr w:type="gramEnd"/>
      <w:r w:rsidRPr="00A7405A">
        <w:rPr>
          <w:rFonts w:ascii="Verdana" w:hAnsi="Verdana" w:cs="Arial"/>
          <w:color w:val="000000" w:themeColor="text1"/>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6023970" w14:textId="77777777" w:rsidR="00F8295E" w:rsidRPr="00A7405A" w:rsidRDefault="00F8295E" w:rsidP="00F8295E">
      <w:pPr>
        <w:spacing w:after="0" w:line="276" w:lineRule="auto"/>
        <w:ind w:firstLine="709"/>
        <w:jc w:val="both"/>
        <w:rPr>
          <w:rFonts w:ascii="Verdana" w:hAnsi="Verdana" w:cs="Arial"/>
          <w:color w:val="000000" w:themeColor="text1"/>
          <w:lang w:val="es-ES_tradnl"/>
        </w:rPr>
      </w:pPr>
    </w:p>
    <w:p w14:paraId="0E6253A2"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w:t>
      </w:r>
      <w:r w:rsidRPr="00A7405A">
        <w:rPr>
          <w:rFonts w:ascii="Verdana" w:hAnsi="Verdana" w:cs="Arial"/>
          <w:color w:val="000000" w:themeColor="text1"/>
          <w:sz w:val="20"/>
          <w:szCs w:val="20"/>
          <w:lang w:val="es-ES_tradnl"/>
        </w:rPr>
        <w:lastRenderedPageBreak/>
        <w:t>Se caracteriza por demandar un conocimiento intelectivo cualificado: el saber profesional”</w:t>
      </w:r>
      <w:r w:rsidRPr="00A7405A">
        <w:rPr>
          <w:rFonts w:ascii="Verdana" w:hAnsi="Verdana" w:cs="Arial"/>
          <w:color w:val="000000" w:themeColor="text1"/>
          <w:sz w:val="20"/>
          <w:szCs w:val="20"/>
          <w:vertAlign w:val="superscript"/>
          <w:lang w:val="es-ES_tradnl"/>
        </w:rPr>
        <w:footnoteReference w:id="3"/>
      </w:r>
      <w:r w:rsidRPr="00A7405A">
        <w:rPr>
          <w:rFonts w:ascii="Verdana" w:hAnsi="Verdana" w:cs="Arial"/>
          <w:color w:val="000000" w:themeColor="text1"/>
          <w:sz w:val="20"/>
          <w:szCs w:val="20"/>
          <w:lang w:val="es-ES_tradnl"/>
        </w:rPr>
        <w:t>.</w:t>
      </w:r>
    </w:p>
    <w:p w14:paraId="6D2F2E70" w14:textId="77777777" w:rsidR="00F8295E" w:rsidRPr="00A7405A" w:rsidRDefault="00F8295E" w:rsidP="00F8295E">
      <w:pPr>
        <w:spacing w:after="0" w:line="276" w:lineRule="auto"/>
        <w:ind w:firstLine="709"/>
        <w:jc w:val="both"/>
        <w:rPr>
          <w:rFonts w:ascii="Verdana" w:hAnsi="Verdana" w:cs="Arial"/>
          <w:color w:val="000000" w:themeColor="text1"/>
          <w:lang w:val="es-ES_tradnl"/>
        </w:rPr>
      </w:pPr>
    </w:p>
    <w:p w14:paraId="46156E8E" w14:textId="77777777" w:rsidR="00F8295E" w:rsidRPr="00A7405A" w:rsidRDefault="00F8295E" w:rsidP="00F8295E">
      <w:pPr>
        <w:spacing w:after="0" w:line="276" w:lineRule="auto"/>
        <w:ind w:firstLine="709"/>
        <w:jc w:val="both"/>
        <w:rPr>
          <w:rFonts w:ascii="Verdana" w:hAnsi="Verdana" w:cs="Arial"/>
          <w:color w:val="000000" w:themeColor="text1"/>
          <w:lang w:val="es-ES_tradnl"/>
        </w:rPr>
      </w:pPr>
      <w:r w:rsidRPr="00A7405A">
        <w:rPr>
          <w:rFonts w:ascii="Verdana" w:hAnsi="Verdana" w:cs="Arial"/>
          <w:color w:val="000000" w:themeColor="text1"/>
          <w:lang w:val="es-ES_tradnl"/>
        </w:rPr>
        <w:t xml:space="preserve">Lo expuesto, según la jurisprudencia citada, se diferencia del objeto del </w:t>
      </w:r>
      <w:r w:rsidRPr="00A7405A">
        <w:rPr>
          <w:rFonts w:ascii="Verdana" w:hAnsi="Verdana" w:cs="Arial"/>
          <w:i/>
          <w:iCs/>
          <w:color w:val="000000" w:themeColor="text1"/>
          <w:lang w:val="es-ES_tradnl"/>
        </w:rPr>
        <w:t>contrato de prestación de servicios de apoyo a la gestión</w:t>
      </w:r>
      <w:r w:rsidRPr="00A7405A">
        <w:rPr>
          <w:rFonts w:ascii="Verdana" w:hAnsi="Verdana" w:cs="Arial"/>
          <w:color w:val="000000" w:themeColor="text1"/>
          <w:lang w:val="es-ES_tradnl"/>
        </w:rPr>
        <w:t>, en los siguientes aspectos:</w:t>
      </w:r>
    </w:p>
    <w:p w14:paraId="3F3F1EC5" w14:textId="77777777" w:rsidR="00F8295E" w:rsidRPr="00A7405A" w:rsidRDefault="00F8295E" w:rsidP="00F8295E">
      <w:pPr>
        <w:spacing w:after="0" w:line="276" w:lineRule="auto"/>
        <w:ind w:firstLine="709"/>
        <w:jc w:val="both"/>
        <w:rPr>
          <w:rFonts w:ascii="Verdana" w:hAnsi="Verdana" w:cs="Arial"/>
          <w:color w:val="000000" w:themeColor="text1"/>
          <w:lang w:val="es-ES_tradnl"/>
        </w:rPr>
      </w:pPr>
    </w:p>
    <w:p w14:paraId="738C3598" w14:textId="77777777" w:rsidR="00F8295E" w:rsidRPr="00A7405A" w:rsidRDefault="00F8295E" w:rsidP="00F8295E">
      <w:pPr>
        <w:spacing w:after="12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4F0F3BD" w14:textId="77777777" w:rsidR="00F8295E" w:rsidRPr="00A7405A" w:rsidRDefault="00F8295E" w:rsidP="00F8295E">
      <w:pPr>
        <w:spacing w:after="120" w:line="240" w:lineRule="auto"/>
        <w:ind w:left="709" w:right="709"/>
        <w:jc w:val="both"/>
        <w:rPr>
          <w:rFonts w:ascii="Verdana" w:hAnsi="Verdana" w:cs="Arial"/>
          <w:color w:val="000000" w:themeColor="text1"/>
          <w:sz w:val="20"/>
          <w:szCs w:val="20"/>
          <w:lang w:val="es-ES"/>
        </w:rPr>
      </w:pPr>
      <w:r w:rsidRPr="00A7405A">
        <w:rPr>
          <w:rFonts w:ascii="Verdana" w:hAnsi="Verdana" w:cs="Arial"/>
          <w:color w:val="000000" w:themeColor="text1"/>
          <w:sz w:val="20"/>
          <w:szCs w:val="20"/>
          <w:lang w:val="es-ES"/>
        </w:rPr>
        <w:t xml:space="preserve">Aunque también se caracteriza por el desempeño de actividad intelectiva, ésta </w:t>
      </w:r>
      <w:proofErr w:type="gramStart"/>
      <w:r w:rsidRPr="00A7405A">
        <w:rPr>
          <w:rFonts w:ascii="Verdana" w:hAnsi="Verdana" w:cs="Arial"/>
          <w:color w:val="000000" w:themeColor="text1"/>
          <w:sz w:val="20"/>
          <w:szCs w:val="20"/>
          <w:lang w:val="es-ES"/>
        </w:rPr>
        <w:t>se enmarca dentro de</w:t>
      </w:r>
      <w:proofErr w:type="gramEnd"/>
      <w:r w:rsidRPr="00A7405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0AC38CAE"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7405A">
        <w:rPr>
          <w:rFonts w:ascii="Verdana" w:hAnsi="Verdana" w:cs="Arial"/>
          <w:color w:val="000000" w:themeColor="text1"/>
          <w:sz w:val="20"/>
          <w:szCs w:val="20"/>
          <w:vertAlign w:val="superscript"/>
          <w:lang w:val="es-ES_tradnl"/>
        </w:rPr>
        <w:footnoteReference w:id="4"/>
      </w:r>
      <w:r w:rsidRPr="00A7405A">
        <w:rPr>
          <w:rFonts w:ascii="Verdana" w:hAnsi="Verdana" w:cs="Arial"/>
          <w:color w:val="000000" w:themeColor="text1"/>
          <w:sz w:val="20"/>
          <w:szCs w:val="20"/>
          <w:lang w:val="es-ES_tradnl"/>
        </w:rPr>
        <w:t>.</w:t>
      </w:r>
    </w:p>
    <w:p w14:paraId="0AF89BB9" w14:textId="77777777" w:rsidR="00F8295E" w:rsidRPr="00A7405A" w:rsidRDefault="00F8295E" w:rsidP="00F8295E">
      <w:pPr>
        <w:spacing w:after="0" w:line="276" w:lineRule="auto"/>
        <w:ind w:firstLine="709"/>
        <w:jc w:val="both"/>
        <w:rPr>
          <w:rFonts w:ascii="Verdana" w:hAnsi="Verdana" w:cs="Arial"/>
          <w:color w:val="000000" w:themeColor="text1"/>
          <w:lang w:val="es-ES_tradnl"/>
        </w:rPr>
      </w:pPr>
    </w:p>
    <w:p w14:paraId="7E7AB7A2" w14:textId="77777777" w:rsidR="00F8295E" w:rsidRPr="00A7405A" w:rsidRDefault="00F8295E" w:rsidP="00F8295E">
      <w:pPr>
        <w:spacing w:after="0" w:line="276" w:lineRule="auto"/>
        <w:ind w:firstLine="709"/>
        <w:jc w:val="both"/>
        <w:rPr>
          <w:rFonts w:ascii="Verdana" w:hAnsi="Verdana" w:cs="Arial"/>
          <w:color w:val="000000" w:themeColor="text1"/>
          <w:lang w:val="es-MX"/>
        </w:rPr>
      </w:pPr>
      <w:r w:rsidRPr="00A7405A">
        <w:rPr>
          <w:rFonts w:ascii="Verdana" w:hAnsi="Verdana" w:cs="Arial"/>
          <w:color w:val="000000" w:themeColor="text1"/>
          <w:lang w:val="es-ES_tradnl"/>
        </w:rPr>
        <w:t xml:space="preserve">En este sentido, el contrato de prestación de servicios </w:t>
      </w:r>
      <w:r w:rsidRPr="00A7405A">
        <w:rPr>
          <w:rFonts w:ascii="Verdana" w:hAnsi="Verdana" w:cs="Arial"/>
          <w:i/>
          <w:iCs/>
          <w:color w:val="000000" w:themeColor="text1"/>
          <w:lang w:val="es-ES_tradnl"/>
        </w:rPr>
        <w:t>profesionales</w:t>
      </w:r>
      <w:r w:rsidRPr="00A7405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405A">
        <w:rPr>
          <w:rFonts w:ascii="Verdana" w:hAnsi="Verdana" w:cs="Arial"/>
          <w:i/>
          <w:iCs/>
          <w:color w:val="000000" w:themeColor="text1"/>
          <w:lang w:val="es-ES_tradnl"/>
        </w:rPr>
        <w:t>saber intelectivo cualificado.</w:t>
      </w:r>
      <w:r w:rsidRPr="00A7405A">
        <w:rPr>
          <w:rFonts w:ascii="Verdana" w:hAnsi="Verdana" w:cs="Arial"/>
          <w:color w:val="000000" w:themeColor="text1"/>
          <w:lang w:val="es-ES_tradnl"/>
        </w:rPr>
        <w:t xml:space="preserve"> En cambio, los contratos de prestación de servicios de </w:t>
      </w:r>
      <w:r w:rsidRPr="00A7405A">
        <w:rPr>
          <w:rFonts w:ascii="Verdana" w:hAnsi="Verdana" w:cs="Arial"/>
          <w:i/>
          <w:iCs/>
          <w:color w:val="000000" w:themeColor="text1"/>
          <w:lang w:val="es-ES_tradnl"/>
        </w:rPr>
        <w:t>apoyo a la gestión</w:t>
      </w:r>
      <w:r w:rsidRPr="00A7405A">
        <w:rPr>
          <w:rFonts w:ascii="Verdana" w:hAnsi="Verdana" w:cs="Arial"/>
          <w:color w:val="000000" w:themeColor="text1"/>
          <w:lang w:val="es-ES_tradnl"/>
        </w:rPr>
        <w:t xml:space="preserve"> y de </w:t>
      </w:r>
      <w:r w:rsidRPr="00A7405A">
        <w:rPr>
          <w:rFonts w:ascii="Verdana" w:hAnsi="Verdana" w:cs="Arial"/>
          <w:i/>
          <w:iCs/>
          <w:color w:val="000000" w:themeColor="text1"/>
          <w:lang w:val="es-ES_tradnl"/>
        </w:rPr>
        <w:t>servicios artísticos</w:t>
      </w:r>
      <w:r w:rsidRPr="00A7405A">
        <w:rPr>
          <w:rFonts w:ascii="Verdana" w:hAnsi="Verdana" w:cs="Arial"/>
          <w:color w:val="000000" w:themeColor="text1"/>
          <w:lang w:val="es-ES_tradnl"/>
        </w:rPr>
        <w:t xml:space="preserve"> no involucran ese conocimiento profesional </w:t>
      </w:r>
      <w:r w:rsidRPr="00A7405A">
        <w:rPr>
          <w:rFonts w:ascii="Verdana" w:hAnsi="Verdana" w:cs="Arial"/>
          <w:color w:val="000000" w:themeColor="text1"/>
          <w:lang w:val="es-MX"/>
        </w:rPr>
        <w:t xml:space="preserve">o especializados para su ejecución. En los contratos de apoyo a la gestión </w:t>
      </w:r>
      <w:r w:rsidRPr="00A7405A">
        <w:rPr>
          <w:rFonts w:ascii="Verdana" w:hAnsi="Verdana" w:cs="Arial"/>
          <w:color w:val="000000" w:themeColor="text1"/>
          <w:lang w:val="es-ES_tradnl"/>
        </w:rPr>
        <w:t xml:space="preserve">el contratista desempeña un esfuerzo o actividad de apoyo, acompañamiento, o soporte, </w:t>
      </w:r>
      <w:r w:rsidRPr="00A7405A">
        <w:rPr>
          <w:rFonts w:ascii="Verdana" w:hAnsi="Verdana" w:cs="Arial"/>
          <w:color w:val="000000" w:themeColor="text1"/>
          <w:lang w:val="es-MX"/>
        </w:rPr>
        <w:t xml:space="preserve">donde </w:t>
      </w:r>
      <w:r w:rsidRPr="00A7405A">
        <w:rPr>
          <w:rFonts w:ascii="Verdana" w:hAnsi="Verdana" w:cs="Arial"/>
          <w:i/>
          <w:iCs/>
          <w:color w:val="000000" w:themeColor="text1"/>
          <w:lang w:val="es-MX"/>
        </w:rPr>
        <w:t>“</w:t>
      </w:r>
      <w:r w:rsidRPr="00A7405A">
        <w:rPr>
          <w:rFonts w:ascii="Verdana" w:hAnsi="Verdana" w:cs="Arial"/>
          <w:i/>
          <w:iCs/>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7405A">
        <w:rPr>
          <w:rFonts w:ascii="Verdana" w:hAnsi="Verdana" w:cs="Arial"/>
          <w:i/>
          <w:iCs/>
          <w:color w:val="000000" w:themeColor="text1"/>
          <w:lang w:val="es-ES_tradnl"/>
        </w:rPr>
        <w:t>la misma</w:t>
      </w:r>
      <w:proofErr w:type="gramEnd"/>
      <w:r w:rsidRPr="00A7405A">
        <w:rPr>
          <w:rFonts w:ascii="Verdana" w:hAnsi="Verdana" w:cs="Arial"/>
          <w:i/>
          <w:iCs/>
          <w:color w:val="000000" w:themeColor="text1"/>
          <w:lang w:val="es-ES_tradnl"/>
        </w:rPr>
        <w:t>, por personas no profesionales y que no implican el ejercicio de funciones públicas administrativas”</w:t>
      </w:r>
      <w:r w:rsidRPr="00A7405A">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sidRPr="00A7405A">
        <w:rPr>
          <w:rFonts w:ascii="Verdana" w:hAnsi="Verdana" w:cs="Arial"/>
          <w:color w:val="000000" w:themeColor="text1"/>
          <w:lang w:val="es-ES_tradnl"/>
        </w:rPr>
        <w:lastRenderedPageBreak/>
        <w:t>“una persona reconocida como realizador o productor de arte, de obras de arte, ejecutor de trabajos artísticos”, para lo cual es indiferente el carácter de profesional.</w:t>
      </w:r>
    </w:p>
    <w:p w14:paraId="44E3C13B" w14:textId="77777777" w:rsidR="00F8295E" w:rsidRPr="00A7405A" w:rsidRDefault="00F8295E" w:rsidP="00F8295E">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otra parte, l</w:t>
      </w:r>
      <w:r w:rsidRPr="00A7405A">
        <w:rPr>
          <w:rFonts w:ascii="Verdana" w:eastAsia="Calibri" w:hAnsi="Verdana" w:cs="Arial"/>
          <w:color w:val="000000" w:themeColor="text1"/>
        </w:rPr>
        <w:t>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A7405A">
        <w:rPr>
          <w:rFonts w:ascii="Verdana" w:eastAsia="Calibri" w:hAnsi="Verdana" w:cs="Arial"/>
          <w:color w:val="000000" w:themeColor="text1"/>
          <w:vertAlign w:val="superscript"/>
        </w:rPr>
        <w:footnoteReference w:id="5"/>
      </w:r>
      <w:r w:rsidRPr="00A7405A">
        <w:rPr>
          <w:rFonts w:ascii="Verdana" w:eastAsia="Calibri" w:hAnsi="Verdana" w:cs="Arial"/>
          <w:color w:val="000000" w:themeColor="text1"/>
        </w:rPr>
        <w:t xml:space="preserve">. </w:t>
      </w:r>
    </w:p>
    <w:p w14:paraId="7078C62D" w14:textId="77777777" w:rsidR="00F8295E" w:rsidRPr="00A7405A" w:rsidRDefault="00F8295E" w:rsidP="00F8295E">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w:t>
      </w:r>
      <w:r w:rsidRPr="00A7405A">
        <w:rPr>
          <w:rFonts w:ascii="Verdana" w:eastAsia="Calibri" w:hAnsi="Verdana" w:cs="Arial"/>
          <w:color w:val="000000" w:themeColor="text1"/>
        </w:rPr>
        <w:t xml:space="preserve"> </w:t>
      </w:r>
      <w:r>
        <w:rPr>
          <w:rFonts w:ascii="Verdana" w:eastAsia="Calibri" w:hAnsi="Verdana" w:cs="Arial"/>
          <w:color w:val="000000" w:themeColor="text1"/>
        </w:rPr>
        <w:t>bien, e</w:t>
      </w:r>
      <w:r w:rsidRPr="00A7405A">
        <w:rPr>
          <w:rFonts w:ascii="Verdana" w:eastAsia="Calibri" w:hAnsi="Verdana" w:cs="Arial"/>
          <w:color w:val="000000" w:themeColor="text1"/>
        </w:rPr>
        <w:t xml:space="preserve">n relación con la exigencia de la tarjeta profesional para celebrar el contrato de prestación de servicios, el artículo 26 de la Constitución Política indica que </w:t>
      </w:r>
      <w:r w:rsidRPr="00A7405A">
        <w:rPr>
          <w:rFonts w:ascii="Verdana" w:eastAsia="Calibri" w:hAnsi="Verdana" w:cs="Arial"/>
          <w:i/>
          <w:iCs/>
          <w:color w:val="000000" w:themeColor="text1"/>
        </w:rPr>
        <w:t>“[…] La Ley podrá exigir títulos de idoneidad. […]”.</w:t>
      </w:r>
      <w:r>
        <w:rPr>
          <w:rFonts w:ascii="Verdana" w:eastAsia="Calibri" w:hAnsi="Verdana" w:cs="Arial"/>
          <w:color w:val="000000" w:themeColor="text1"/>
        </w:rPr>
        <w:t xml:space="preserve"> Al respecto, </w:t>
      </w:r>
      <w:r w:rsidRPr="00A7405A">
        <w:rPr>
          <w:rFonts w:ascii="Verdana" w:eastAsia="Calibri" w:hAnsi="Verdana" w:cs="Arial"/>
          <w:color w:val="000000" w:themeColor="text1"/>
        </w:rPr>
        <w:t xml:space="preserve">La Corte Constitucional, en </w:t>
      </w:r>
      <w:r>
        <w:rPr>
          <w:rFonts w:ascii="Verdana" w:eastAsia="Calibri" w:hAnsi="Verdana" w:cs="Arial"/>
          <w:color w:val="000000" w:themeColor="text1"/>
        </w:rPr>
        <w:t>S</w:t>
      </w:r>
      <w:r w:rsidRPr="00A7405A">
        <w:rPr>
          <w:rFonts w:ascii="Verdana" w:eastAsia="Calibri" w:hAnsi="Verdana" w:cs="Arial"/>
          <w:color w:val="000000" w:themeColor="text1"/>
        </w:rPr>
        <w:t>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A7405A">
        <w:rPr>
          <w:rFonts w:ascii="Verdana" w:eastAsia="Calibri" w:hAnsi="Verdana" w:cs="Arial"/>
          <w:color w:val="000000" w:themeColor="text1"/>
          <w:vertAlign w:val="superscript"/>
        </w:rPr>
        <w:footnoteReference w:id="6"/>
      </w:r>
      <w:r w:rsidRPr="00A7405A">
        <w:rPr>
          <w:rFonts w:ascii="Verdana" w:eastAsia="Calibri" w:hAnsi="Verdana" w:cs="Arial"/>
          <w:color w:val="000000" w:themeColor="text1"/>
        </w:rPr>
        <w:t>:</w:t>
      </w:r>
    </w:p>
    <w:p w14:paraId="6457B311" w14:textId="77777777" w:rsidR="00F8295E" w:rsidRPr="00A7405A" w:rsidRDefault="00F8295E" w:rsidP="00F8295E">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 xml:space="preserve">“El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w:t>
      </w:r>
      <w:r w:rsidRPr="00A7405A">
        <w:rPr>
          <w:rFonts w:ascii="Verdana" w:eastAsia="Calibri" w:hAnsi="Verdana" w:cs="Arial"/>
          <w:color w:val="000000" w:themeColor="text1"/>
          <w:sz w:val="20"/>
          <w:szCs w:val="20"/>
        </w:rPr>
        <w:lastRenderedPageBreak/>
        <w:t>realizar una actividad cuya remuneración les permita satisfacer sus necesidades y las de su familia.</w:t>
      </w:r>
    </w:p>
    <w:p w14:paraId="137D83CC" w14:textId="77777777" w:rsidR="00F8295E" w:rsidRPr="00A7405A" w:rsidRDefault="00F8295E" w:rsidP="00F8295E">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w:t>
      </w:r>
    </w:p>
    <w:p w14:paraId="5135DCCF" w14:textId="77777777" w:rsidR="00F8295E" w:rsidRPr="00A7405A" w:rsidRDefault="00F8295E" w:rsidP="00F8295E">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1A64D7C7" w14:textId="77777777" w:rsidR="00F8295E" w:rsidRPr="00A7405A" w:rsidRDefault="00F8295E" w:rsidP="00F8295E">
      <w:pPr>
        <w:spacing w:after="0" w:line="240" w:lineRule="auto"/>
        <w:ind w:left="709" w:right="709"/>
        <w:jc w:val="both"/>
        <w:rPr>
          <w:rFonts w:ascii="Arial" w:eastAsia="Calibri" w:hAnsi="Arial" w:cs="Arial"/>
          <w:color w:val="000000" w:themeColor="text1"/>
          <w:sz w:val="20"/>
          <w:szCs w:val="20"/>
        </w:rPr>
      </w:pPr>
    </w:p>
    <w:p w14:paraId="29B6BA52" w14:textId="77777777" w:rsidR="00F8295E" w:rsidRPr="00A7405A" w:rsidRDefault="00F8295E" w:rsidP="00F8295E">
      <w:pPr>
        <w:spacing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6216AB23" w14:textId="77777777" w:rsidR="00F8295E" w:rsidRDefault="00F8295E" w:rsidP="00F8295E">
      <w:pPr>
        <w:spacing w:after="120" w:line="276" w:lineRule="auto"/>
        <w:ind w:firstLine="708"/>
        <w:jc w:val="both"/>
        <w:rPr>
          <w:rFonts w:ascii="Verdana" w:hAnsi="Verdana" w:cs="Arial"/>
          <w:color w:val="000000" w:themeColor="text1"/>
        </w:rPr>
      </w:pPr>
      <w:r>
        <w:rPr>
          <w:rFonts w:ascii="Verdana" w:hAnsi="Verdana" w:cs="Arial"/>
          <w:color w:val="000000" w:themeColor="text1"/>
        </w:rPr>
        <w:t>Particularmente, e</w:t>
      </w:r>
      <w:r w:rsidRPr="00A7405A">
        <w:rPr>
          <w:rFonts w:ascii="Verdana" w:hAnsi="Verdana" w:cs="Arial"/>
          <w:color w:val="000000" w:themeColor="text1"/>
        </w:rPr>
        <w:t>l ejercicio de la profesión de abogado es regulado</w:t>
      </w:r>
      <w:r>
        <w:rPr>
          <w:rFonts w:ascii="Verdana" w:hAnsi="Verdana" w:cs="Arial"/>
          <w:color w:val="000000" w:themeColor="text1"/>
        </w:rPr>
        <w:t xml:space="preserve"> p</w:t>
      </w:r>
      <w:r w:rsidRPr="00A7405A">
        <w:rPr>
          <w:rFonts w:ascii="Verdana" w:hAnsi="Verdana" w:cs="Arial"/>
          <w:color w:val="000000" w:themeColor="text1"/>
        </w:rPr>
        <w:t xml:space="preserve">or el Decreto 196 de 1971. El artículo 1 de esta norma establece que </w:t>
      </w:r>
      <w:r w:rsidRPr="00A7405A">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Pr="00A7405A">
        <w:rPr>
          <w:rFonts w:ascii="Verdana" w:hAnsi="Verdana" w:cs="Arial"/>
          <w:color w:val="000000" w:themeColor="text1"/>
        </w:rPr>
        <w:t xml:space="preserve">. De acuerdo con su artículo 4º </w:t>
      </w:r>
      <w:r w:rsidRPr="00A7405A">
        <w:rPr>
          <w:rFonts w:ascii="Verdana" w:hAnsi="Verdana" w:cs="Arial"/>
          <w:i/>
          <w:iCs/>
          <w:color w:val="000000" w:themeColor="text1"/>
        </w:rPr>
        <w:t>“Para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w:t>
      </w:r>
      <w:r w:rsidRPr="00A7405A">
        <w:rPr>
          <w:rFonts w:ascii="Verdana" w:hAnsi="Verdana" w:cs="Arial"/>
          <w:color w:val="000000" w:themeColor="text1"/>
        </w:rPr>
        <w:t xml:space="preserve">; la inscripción como abogado se realiza ante el Consejo Superior de la Judicatura, autoridad que por expreso </w:t>
      </w:r>
      <w:r w:rsidRPr="00A7405A">
        <w:rPr>
          <w:rFonts w:ascii="Verdana" w:hAnsi="Verdana" w:cs="Arial"/>
          <w:color w:val="000000" w:themeColor="text1"/>
        </w:rPr>
        <w:lastRenderedPageBreak/>
        <w:t>mandato legal tiene, entre otras, la función de llevar el registro nacional de abogados</w:t>
      </w:r>
      <w:r w:rsidRPr="00A7405A">
        <w:rPr>
          <w:rStyle w:val="Refdenotaalpie"/>
          <w:rFonts w:ascii="Verdana" w:hAnsi="Verdana" w:cs="Arial"/>
          <w:color w:val="000000" w:themeColor="text1"/>
        </w:rPr>
        <w:footnoteReference w:id="7"/>
      </w:r>
      <w:r w:rsidRPr="00A7405A">
        <w:rPr>
          <w:rFonts w:ascii="Verdana" w:hAnsi="Verdana" w:cs="Arial"/>
          <w:color w:val="000000" w:themeColor="text1"/>
        </w:rPr>
        <w:t>. Posterior a la inscripción del abogado se expide la tarjeta profesional.</w:t>
      </w:r>
    </w:p>
    <w:p w14:paraId="775E1C97" w14:textId="77777777" w:rsidR="00F8295E" w:rsidRPr="00B84E85" w:rsidRDefault="00F8295E" w:rsidP="00F8295E">
      <w:pPr>
        <w:spacing w:after="120" w:line="276" w:lineRule="auto"/>
        <w:ind w:firstLine="708"/>
        <w:jc w:val="both"/>
        <w:rPr>
          <w:rFonts w:ascii="Verdana" w:hAnsi="Verdana" w:cs="Arial"/>
          <w:color w:val="000000" w:themeColor="text1"/>
        </w:rPr>
      </w:pPr>
      <w:r w:rsidRPr="00B84E85">
        <w:rPr>
          <w:rFonts w:ascii="Verdana" w:hAnsi="Verdana" w:cs="Arial"/>
          <w:color w:val="000000" w:themeColor="text1"/>
        </w:rPr>
        <w:t xml:space="preserve">Con base en lo expuesto, se puede </w:t>
      </w:r>
      <w:r>
        <w:rPr>
          <w:rFonts w:ascii="Verdana" w:hAnsi="Verdana" w:cs="Arial"/>
          <w:color w:val="000000" w:themeColor="text1"/>
        </w:rPr>
        <w:t>deducir</w:t>
      </w:r>
      <w:r w:rsidRPr="00B84E85">
        <w:rPr>
          <w:rFonts w:ascii="Verdana" w:hAnsi="Verdana" w:cs="Arial"/>
          <w:color w:val="000000" w:themeColor="text1"/>
        </w:rPr>
        <w:t xml:space="preserve"> que el ejercicio de la abogacía no requiere la presentación de la tarjeta profesional, sino la inscripción como abogado en el Consejo Superior de la Judicatura. En consecuencia, es viable celebrar un contrato de prestación de servicios profesionales con un abogado, incluso si no posee tarjeta profesional, siempre que esté debidamente inscrito en dicha </w:t>
      </w:r>
      <w:r w:rsidRPr="00A7405A">
        <w:rPr>
          <w:rFonts w:ascii="Verdana" w:hAnsi="Verdana" w:cs="Arial"/>
          <w:color w:val="000000" w:themeColor="text1"/>
        </w:rPr>
        <w:t>inscrito en el Consejo Superior de la Judicatura</w:t>
      </w:r>
      <w:r w:rsidRPr="00B84E85">
        <w:rPr>
          <w:rFonts w:ascii="Verdana" w:hAnsi="Verdana" w:cs="Arial"/>
          <w:color w:val="000000" w:themeColor="text1"/>
        </w:rPr>
        <w:t>.</w:t>
      </w:r>
    </w:p>
    <w:p w14:paraId="707BB35B" w14:textId="77777777" w:rsidR="00F8295E" w:rsidRPr="00B84E85" w:rsidRDefault="00F8295E" w:rsidP="00F8295E">
      <w:pPr>
        <w:spacing w:after="120" w:line="276" w:lineRule="auto"/>
        <w:ind w:firstLine="708"/>
        <w:jc w:val="both"/>
        <w:rPr>
          <w:rFonts w:ascii="Verdana" w:hAnsi="Verdana" w:cs="Arial"/>
          <w:color w:val="000000" w:themeColor="text1"/>
        </w:rPr>
      </w:pPr>
      <w:r w:rsidRPr="00B84E85">
        <w:rPr>
          <w:rFonts w:ascii="Verdana" w:hAnsi="Verdana" w:cs="Arial"/>
          <w:color w:val="000000" w:themeColor="text1"/>
        </w:rPr>
        <w:t>No obstante, la expedición de la Ley 1905 de 2018 introdujo nuevas disposiciones sobre el ejercicio de la profesión jurídica. En particular, esta norma establece la obligatoriedad de un Examen de Estado, cuya aprobación se constituye como requisito para ejercer la abogacía. En relación con esto, el primer inciso del artículo 1 de la ley dispone que “Para ejercer la profesión de abogado, además de los requisitos exigidos en las normas legales vigentes, el graduado deberá acreditar certificación de aprobación del Examen de Estado que para el efecto realice el Consejo Superior de la Judicatura […]”. Asimismo, el segundo inciso de dicho artículo señala que el examen se considerará aprobado cuando el resultado obtenido supere la media del puntaje nacional de la respectiva prueba.</w:t>
      </w:r>
    </w:p>
    <w:p w14:paraId="549C967B" w14:textId="77777777" w:rsidR="00F8295E" w:rsidRPr="00A7405A" w:rsidRDefault="00F8295E" w:rsidP="00F8295E">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El parágrafo 2 del artículo 1 </w:t>
      </w:r>
      <w:r>
        <w:rPr>
          <w:rFonts w:ascii="Verdana" w:hAnsi="Verdana" w:cs="Arial"/>
          <w:color w:val="000000" w:themeColor="text1"/>
        </w:rPr>
        <w:t xml:space="preserve">de la citada ley </w:t>
      </w:r>
      <w:r w:rsidRPr="00A7405A">
        <w:rPr>
          <w:rFonts w:ascii="Verdana" w:hAnsi="Verdana" w:cs="Arial"/>
          <w:color w:val="000000" w:themeColor="text1"/>
        </w:rPr>
        <w:t xml:space="preserve">determina que, la certificación de aprobación será exigida para la expedición de la tarjeta profesional de abogado, estableciendo seguidamente que dicha tarjeta profesional será requisito para representar personas en calidad de abogado, mientras que no será necesaria para desarrollar otras actividades relacionadas con el ejercicio de la abogacía. No obstante, el artículo 2 de la Ley 1905 de 2018 establece que el requisito de idoneidad creado por dicha norma para el ejercicio de la profesión de abogado aplicará a quienes inicien la carrera de derecho después de su promulgación, </w:t>
      </w:r>
      <w:r>
        <w:rPr>
          <w:rFonts w:ascii="Verdana" w:hAnsi="Verdana" w:cs="Arial"/>
          <w:color w:val="000000" w:themeColor="text1"/>
        </w:rPr>
        <w:t>esto es,</w:t>
      </w:r>
      <w:r w:rsidRPr="00A7405A">
        <w:rPr>
          <w:rFonts w:ascii="Verdana" w:hAnsi="Verdana" w:cs="Arial"/>
          <w:color w:val="000000" w:themeColor="text1"/>
        </w:rPr>
        <w:t xml:space="preserve"> el 28 de junio de 2018.  Esto significa que, al igual que la inscripción en el Registro Nacional de Abogados a la que se refieren los artículos 4 y ss. del Decreto 196 de 1971, la aprobación del examen de Estado </w:t>
      </w:r>
      <w:r w:rsidRPr="00A7405A">
        <w:rPr>
          <w:rFonts w:ascii="Verdana" w:hAnsi="Verdana" w:cs="Arial"/>
          <w:color w:val="000000" w:themeColor="text1"/>
        </w:rPr>
        <w:lastRenderedPageBreak/>
        <w:t xml:space="preserve">creado por la Ley 1905 de 2018 se constituye en un requisito legal de idoneidad requerido para el ejercicio de la abogacía. </w:t>
      </w:r>
    </w:p>
    <w:p w14:paraId="1645C03B" w14:textId="77777777" w:rsidR="00F8295E" w:rsidRPr="00A7405A" w:rsidRDefault="00F8295E" w:rsidP="00F8295E">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En atención a lo anterior, y de conformidad con lo dispuesto en el artículo 2.2.1.2.1.4.9 del Decreto 1082 de 2015, para la celebración de contratos de prestación de servicios profesionales que impliquen  el ejercicio de la abogacía, con personas que hayan iniciado estudios profesionales</w:t>
      </w:r>
      <w:r>
        <w:rPr>
          <w:rFonts w:ascii="Verdana" w:hAnsi="Verdana" w:cs="Arial"/>
          <w:color w:val="000000" w:themeColor="text1"/>
        </w:rPr>
        <w:t xml:space="preserve"> </w:t>
      </w:r>
      <w:r w:rsidRPr="00A7405A">
        <w:rPr>
          <w:rFonts w:ascii="Verdana" w:hAnsi="Verdana" w:cs="Arial"/>
          <w:color w:val="000000" w:themeColor="text1"/>
        </w:rPr>
        <w:t>de derecho con posterioridad a la promulgación de la Ley 1905 de 2018, las Entidades Estatales están llamadas a verificar la idoneidad del eventual contratista exigiendo la acreditación de la inscripción en el Registro Nacional de Abogados</w:t>
      </w:r>
      <w:r>
        <w:rPr>
          <w:rFonts w:ascii="Verdana" w:hAnsi="Verdana" w:cs="Arial"/>
          <w:color w:val="000000" w:themeColor="text1"/>
        </w:rPr>
        <w:t>, así como</w:t>
      </w:r>
      <w:r w:rsidRPr="00A7405A">
        <w:rPr>
          <w:rFonts w:ascii="Verdana" w:hAnsi="Verdana" w:cs="Arial"/>
          <w:color w:val="000000" w:themeColor="text1"/>
        </w:rPr>
        <w:t xml:space="preserve"> la aprobación del Examen de Estado regulado por la Ley 1905 de 2018. </w:t>
      </w:r>
    </w:p>
    <w:p w14:paraId="0CEC5F38" w14:textId="77777777" w:rsidR="00F8295E" w:rsidRPr="00A7405A" w:rsidRDefault="00F8295E" w:rsidP="00F8295E">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Al respecto es importante considerar</w:t>
      </w:r>
      <w:r>
        <w:rPr>
          <w:rFonts w:ascii="Verdana" w:hAnsi="Verdana" w:cs="Arial"/>
          <w:color w:val="000000" w:themeColor="text1"/>
        </w:rPr>
        <w:t xml:space="preserve"> </w:t>
      </w:r>
      <w:r w:rsidRPr="00A7405A">
        <w:rPr>
          <w:rFonts w:ascii="Verdana" w:hAnsi="Verdana" w:cs="Arial"/>
          <w:color w:val="000000" w:themeColor="text1"/>
        </w:rPr>
        <w:t xml:space="preserve">que la abogacía no se limita a la representación judicial, sino que también puede involucrar, por ejemplo, actividades de asesoramiento o elaboración de documentos jurídicos. De hecho, de acuerdo con el artículo 2 del Decreto 196 de 1971, la principal misión del abogado es </w:t>
      </w:r>
      <w:r w:rsidRPr="00A7405A">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Pr="00A7405A">
        <w:rPr>
          <w:rFonts w:ascii="Verdana" w:hAnsi="Verdana" w:cs="Arial"/>
          <w:color w:val="000000" w:themeColor="text1"/>
        </w:rPr>
        <w:t xml:space="preserve">. </w:t>
      </w:r>
    </w:p>
    <w:p w14:paraId="630D9B44" w14:textId="77777777" w:rsidR="00F8295E" w:rsidRPr="00A7405A" w:rsidRDefault="00F8295E" w:rsidP="00F8295E">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En ese orden, el hecho de que el objeto contractual no implique la representación judicial no </w:t>
      </w:r>
      <w:r>
        <w:rPr>
          <w:rFonts w:ascii="Verdana" w:hAnsi="Verdana" w:cs="Arial"/>
          <w:color w:val="000000" w:themeColor="text1"/>
        </w:rPr>
        <w:t>significa</w:t>
      </w:r>
      <w:r w:rsidRPr="00A7405A">
        <w:rPr>
          <w:rFonts w:ascii="Verdana" w:hAnsi="Verdana" w:cs="Arial"/>
          <w:color w:val="000000" w:themeColor="text1"/>
        </w:rPr>
        <w:t xml:space="preserve"> que la Entidad Estatal deba proceder a la celebración de los contratos con abogados si</w:t>
      </w:r>
      <w:r>
        <w:rPr>
          <w:rFonts w:ascii="Verdana" w:hAnsi="Verdana" w:cs="Arial"/>
          <w:color w:val="000000" w:themeColor="text1"/>
        </w:rPr>
        <w:t>n</w:t>
      </w:r>
      <w:r w:rsidRPr="00A7405A">
        <w:rPr>
          <w:rFonts w:ascii="Verdana" w:hAnsi="Verdana" w:cs="Arial"/>
          <w:color w:val="000000" w:themeColor="text1"/>
        </w:rPr>
        <w:t xml:space="preserve"> verificar el cumplimiento de los requisitos establecidos en el Decreto 196 de 1971 y la Ley 1905 de 2018. Menos aun cuando, en lugar de un contrato de prestación de servicios de apoyo a la gestión u artísticos, lo que se pretende suscribir es un contrato de prestación de servicios</w:t>
      </w:r>
      <w:r>
        <w:rPr>
          <w:rFonts w:ascii="Verdana" w:hAnsi="Verdana" w:cs="Arial"/>
          <w:color w:val="000000" w:themeColor="text1"/>
        </w:rPr>
        <w:t xml:space="preserve"> profesionales</w:t>
      </w:r>
      <w:r w:rsidRPr="00A7405A">
        <w:rPr>
          <w:rFonts w:ascii="Verdana" w:hAnsi="Verdana" w:cs="Arial"/>
          <w:color w:val="000000" w:themeColor="text1"/>
        </w:rPr>
        <w:t xml:space="preserve"> que implica el ejercicio de la abogacía. </w:t>
      </w:r>
    </w:p>
    <w:p w14:paraId="1C0A7B30" w14:textId="77777777" w:rsidR="00F8295E" w:rsidRPr="00A7405A" w:rsidRDefault="00F8295E" w:rsidP="00F8295E">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Conforme a lo anterior, es necesario acreditar los requisitos antes descritos para quienes pretendan ejercer la abogacía en el marco de contratos de prestación de servicios profesionales, los cuales también pueden ser acreditados mediante la exhibición de la tarjeta profesional, en la medida en que para la expedición de este documento, también se torna indispensable la inscripción en el referido registro y la aprobación del </w:t>
      </w:r>
      <w:r w:rsidRPr="00A7405A">
        <w:rPr>
          <w:rFonts w:ascii="Verdana" w:hAnsi="Verdana" w:cs="Arial"/>
          <w:i/>
          <w:iCs/>
          <w:color w:val="000000" w:themeColor="text1"/>
        </w:rPr>
        <w:t>Examen de Estado</w:t>
      </w:r>
      <w:r w:rsidRPr="00A7405A">
        <w:rPr>
          <w:rFonts w:ascii="Verdana" w:hAnsi="Verdana" w:cs="Arial"/>
          <w:color w:val="000000" w:themeColor="text1"/>
        </w:rPr>
        <w:t xml:space="preserve">, de conformidad con lo dispuesto en los artículos 19 del Decreto 196 de 1971 y el parágrafo 2 del artículo 1 de la Ley 1905 de 2018. </w:t>
      </w:r>
    </w:p>
    <w:p w14:paraId="5924A119" w14:textId="77777777" w:rsidR="00F8295E" w:rsidRPr="00A7405A" w:rsidRDefault="00F8295E" w:rsidP="00F8295E">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E</w:t>
      </w:r>
      <w:r w:rsidRPr="00A7405A">
        <w:rPr>
          <w:rFonts w:ascii="Verdana" w:hAnsi="Verdana" w:cs="Arial"/>
          <w:color w:val="000000" w:themeColor="text1"/>
        </w:rPr>
        <w:t xml:space="preserve">n relación con el tema de la consulta, también resulta pertinente poner de presente que, el artículo 19 del Decreto 196 de 1971, permite la expedición </w:t>
      </w:r>
      <w:r w:rsidRPr="00A7405A">
        <w:rPr>
          <w:rFonts w:ascii="Verdana" w:hAnsi="Verdana" w:cs="Arial"/>
          <w:color w:val="000000" w:themeColor="text1"/>
        </w:rPr>
        <w:lastRenderedPageBreak/>
        <w:t xml:space="preserve">de tarjeta profesional provisional, para que los abogados que se inscriben en el registro puedan utilizarla para ejercer la profesión mientras que se expide el documento definitivo. En concordancia con esto, el artículo 11 transitorio del Acuerdo PSCJA24-12162 </w:t>
      </w:r>
      <w:r>
        <w:rPr>
          <w:rFonts w:ascii="Verdana" w:hAnsi="Verdana" w:cs="Arial"/>
          <w:color w:val="000000" w:themeColor="text1"/>
        </w:rPr>
        <w:t xml:space="preserve">del 9 de abril de </w:t>
      </w:r>
      <w:r w:rsidRPr="00A7405A">
        <w:rPr>
          <w:rFonts w:ascii="Verdana" w:hAnsi="Verdana" w:cs="Arial"/>
          <w:color w:val="000000" w:themeColor="text1"/>
        </w:rPr>
        <w:t xml:space="preserve">2024 expedido por el Consejo Superior de la Judicatura, contempla que, los abogados destinatarios de la Ley 1905 de 2018 podrán solicitar la expedición de tarjeta provisional con anotación de </w:t>
      </w:r>
      <w:r w:rsidRPr="00A7405A">
        <w:rPr>
          <w:rFonts w:ascii="Verdana" w:hAnsi="Verdana" w:cs="Arial"/>
          <w:i/>
          <w:iCs/>
          <w:color w:val="000000" w:themeColor="text1"/>
        </w:rPr>
        <w:t>“Provisional”</w:t>
      </w:r>
      <w:r w:rsidRPr="00A7405A">
        <w:rPr>
          <w:rFonts w:ascii="Verdana" w:hAnsi="Verdana" w:cs="Arial"/>
          <w:color w:val="000000" w:themeColor="text1"/>
        </w:rPr>
        <w:t xml:space="preserve">, </w:t>
      </w:r>
      <w:r w:rsidRPr="00A7405A">
        <w:rPr>
          <w:rFonts w:ascii="Verdana" w:hAnsi="Verdana" w:cs="Arial"/>
          <w:i/>
          <w:iCs/>
          <w:color w:val="000000" w:themeColor="text1"/>
        </w:rPr>
        <w:t>“la cual tendrán vigencia hasta la publicación final de los resultados de la prueba aplicada el 26 de mayo de 2024”</w:t>
      </w:r>
      <w:r w:rsidRPr="00A7405A">
        <w:rPr>
          <w:rFonts w:ascii="Verdana" w:hAnsi="Verdana" w:cs="Arial"/>
          <w:color w:val="000000" w:themeColor="text1"/>
        </w:rPr>
        <w:t xml:space="preserve">. </w:t>
      </w:r>
    </w:p>
    <w:p w14:paraId="6D4532EA" w14:textId="77777777" w:rsidR="00F8295E" w:rsidRPr="00A7405A" w:rsidRDefault="00F8295E" w:rsidP="00F8295E">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No obstante</w:t>
      </w:r>
      <w:r w:rsidRPr="00A7405A">
        <w:rPr>
          <w:rFonts w:ascii="Verdana" w:hAnsi="Verdana" w:cs="Arial"/>
          <w:color w:val="000000" w:themeColor="text1"/>
        </w:rPr>
        <w:t xml:space="preserve">, es importante mencionar que, la implementación del </w:t>
      </w:r>
      <w:r w:rsidRPr="00A7405A">
        <w:rPr>
          <w:rFonts w:ascii="Verdana" w:hAnsi="Verdana" w:cs="Arial"/>
          <w:i/>
          <w:iCs/>
          <w:color w:val="000000" w:themeColor="text1"/>
        </w:rPr>
        <w:t>Examen de Estado</w:t>
      </w:r>
      <w:r w:rsidRPr="00A7405A">
        <w:rPr>
          <w:rFonts w:ascii="Verdana" w:hAnsi="Verdana" w:cs="Arial"/>
          <w:color w:val="000000" w:themeColor="text1"/>
        </w:rPr>
        <w:t xml:space="preserve"> creado por la Ley 1905 de 2018 ha estado sujeta distintas dificultades, que han propiciado afectaciones al derecho fundamental a escoger libremente y ejercer profesión u oficio de los destinatarios de esta normativa, que llevaron a que la Corte Constitucional expidiera la Sentencia SU-128 de 18 de abril de 2024.  En </w:t>
      </w:r>
      <w:r>
        <w:rPr>
          <w:rFonts w:ascii="Verdana" w:hAnsi="Verdana" w:cs="Arial"/>
          <w:color w:val="000000" w:themeColor="text1"/>
        </w:rPr>
        <w:t xml:space="preserve">síntesis, en </w:t>
      </w:r>
      <w:r w:rsidRPr="00A7405A">
        <w:rPr>
          <w:rFonts w:ascii="Verdana" w:hAnsi="Verdana" w:cs="Arial"/>
          <w:color w:val="000000" w:themeColor="text1"/>
        </w:rPr>
        <w:t xml:space="preserve">esta </w:t>
      </w:r>
      <w:r>
        <w:rPr>
          <w:rFonts w:ascii="Verdana" w:hAnsi="Verdana" w:cs="Arial"/>
          <w:color w:val="000000" w:themeColor="text1"/>
        </w:rPr>
        <w:t>providencia</w:t>
      </w:r>
      <w:r w:rsidRPr="00A7405A">
        <w:rPr>
          <w:rFonts w:ascii="Verdana" w:hAnsi="Verdana" w:cs="Arial"/>
          <w:color w:val="000000" w:themeColor="text1"/>
        </w:rPr>
        <w:t xml:space="preserve">, la referida </w:t>
      </w:r>
      <w:r>
        <w:rPr>
          <w:rFonts w:ascii="Verdana" w:hAnsi="Verdana" w:cs="Arial"/>
          <w:color w:val="000000" w:themeColor="text1"/>
        </w:rPr>
        <w:t xml:space="preserve">Alta Corporación judicial </w:t>
      </w:r>
      <w:r w:rsidRPr="00A7405A">
        <w:rPr>
          <w:rFonts w:ascii="Verdana" w:hAnsi="Verdana" w:cs="Arial"/>
          <w:color w:val="000000" w:themeColor="text1"/>
        </w:rPr>
        <w:t xml:space="preserve">encontró lo siguiente: </w:t>
      </w:r>
    </w:p>
    <w:p w14:paraId="12BF3E5C" w14:textId="77777777" w:rsidR="00F8295E" w:rsidRDefault="00F8295E" w:rsidP="00F8295E">
      <w:pPr>
        <w:spacing w:after="0" w:line="240" w:lineRule="auto"/>
        <w:ind w:left="709" w:right="709"/>
        <w:jc w:val="both"/>
        <w:rPr>
          <w:rFonts w:ascii="Verdana" w:hAnsi="Verdana" w:cs="Arial"/>
          <w:color w:val="000000" w:themeColor="text1"/>
          <w:sz w:val="20"/>
          <w:szCs w:val="20"/>
          <w:lang w:val="es-MX"/>
        </w:rPr>
      </w:pPr>
      <w:r w:rsidRPr="00A7405A">
        <w:rPr>
          <w:rFonts w:ascii="Verdana" w:hAnsi="Verdana" w:cs="Arial"/>
          <w:color w:val="000000" w:themeColor="text1"/>
          <w:sz w:val="20"/>
          <w:szCs w:val="20"/>
          <w:lang w:val="es-ES"/>
        </w:rPr>
        <w:t>“261.   </w:t>
      </w:r>
      <w:r w:rsidRPr="00A7405A">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4DC812EF"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rPr>
      </w:pPr>
    </w:p>
    <w:p w14:paraId="0F8B278E"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262.   </w:t>
      </w:r>
      <w:r w:rsidRPr="00A7405A">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w:t>
      </w:r>
      <w:proofErr w:type="spellStart"/>
      <w:r w:rsidRPr="00A7405A">
        <w:rPr>
          <w:rFonts w:ascii="Verdana" w:hAnsi="Verdana" w:cs="Arial"/>
          <w:color w:val="000000" w:themeColor="text1"/>
          <w:sz w:val="20"/>
          <w:szCs w:val="20"/>
          <w:lang w:val="es-MX"/>
        </w:rPr>
        <w:t>ii</w:t>
      </w:r>
      <w:proofErr w:type="spellEnd"/>
      <w:r w:rsidRPr="00A7405A">
        <w:rPr>
          <w:rFonts w:ascii="Verdana" w:hAnsi="Verdana" w:cs="Arial"/>
          <w:color w:val="000000" w:themeColor="text1"/>
          <w:sz w:val="20"/>
          <w:szCs w:val="20"/>
          <w:lang w:val="es-MX"/>
        </w:rPr>
        <w:t>) una restricción injustificada de la libertad de ejercer la profesión, por lo demás con graves implicaciones para la seguridad jurídica, el principio de confianza legítima y el acceso de la ciudadanía a la administración de justicia</w:t>
      </w:r>
      <w:r>
        <w:rPr>
          <w:rFonts w:ascii="Verdana" w:hAnsi="Verdana" w:cs="Arial"/>
          <w:color w:val="000000" w:themeColor="text1"/>
          <w:sz w:val="20"/>
          <w:szCs w:val="20"/>
          <w:lang w:val="es-MX"/>
        </w:rPr>
        <w:t>”</w:t>
      </w:r>
      <w:r>
        <w:rPr>
          <w:rStyle w:val="Refdenotaalpie"/>
          <w:rFonts w:ascii="Verdana" w:hAnsi="Verdana" w:cs="Arial"/>
          <w:color w:val="000000" w:themeColor="text1"/>
          <w:sz w:val="20"/>
          <w:szCs w:val="20"/>
          <w:lang w:val="es-MX"/>
        </w:rPr>
        <w:footnoteReference w:id="8"/>
      </w:r>
      <w:r w:rsidRPr="00A7405A">
        <w:rPr>
          <w:rFonts w:ascii="Verdana" w:hAnsi="Verdana" w:cs="Arial"/>
          <w:color w:val="000000" w:themeColor="text1"/>
          <w:sz w:val="20"/>
          <w:szCs w:val="20"/>
          <w:lang w:val="es-MX"/>
        </w:rPr>
        <w:t>.</w:t>
      </w:r>
    </w:p>
    <w:p w14:paraId="6879260F" w14:textId="77777777" w:rsidR="00F8295E" w:rsidRDefault="00F8295E" w:rsidP="00F8295E">
      <w:pPr>
        <w:spacing w:after="0" w:line="240" w:lineRule="auto"/>
        <w:ind w:right="709"/>
        <w:jc w:val="both"/>
        <w:rPr>
          <w:rFonts w:ascii="Verdana" w:hAnsi="Verdana" w:cs="Arial"/>
          <w:color w:val="000000" w:themeColor="text1"/>
          <w:sz w:val="20"/>
          <w:szCs w:val="20"/>
          <w:lang w:val="es-ES"/>
        </w:rPr>
      </w:pPr>
    </w:p>
    <w:p w14:paraId="0AB6057D" w14:textId="77777777" w:rsidR="00F8295E" w:rsidRPr="00A7405A" w:rsidRDefault="00F8295E" w:rsidP="00F8295E">
      <w:pPr>
        <w:spacing w:after="0" w:line="276" w:lineRule="auto"/>
        <w:ind w:right="49" w:firstLine="708"/>
        <w:jc w:val="both"/>
        <w:rPr>
          <w:rFonts w:ascii="Verdana" w:hAnsi="Verdana" w:cs="Arial"/>
          <w:i/>
          <w:iCs/>
          <w:color w:val="000000" w:themeColor="text1"/>
          <w:lang w:val="es-ES"/>
        </w:rPr>
      </w:pPr>
      <w:r w:rsidRPr="00A7405A">
        <w:rPr>
          <w:rFonts w:ascii="Verdana" w:hAnsi="Verdana" w:cs="Arial"/>
          <w:color w:val="000000" w:themeColor="text1"/>
          <w:lang w:val="es-ES"/>
        </w:rPr>
        <w:lastRenderedPageBreak/>
        <w:t xml:space="preserve">En consideración a lo anterior, la Corte Constitucional tomó las siguientes decisiones, en el marco de esta sentencia de unificación con efectos </w:t>
      </w:r>
      <w:r w:rsidRPr="00A7405A">
        <w:rPr>
          <w:rFonts w:ascii="Verdana" w:hAnsi="Verdana" w:cs="Arial"/>
          <w:i/>
          <w:iCs/>
          <w:color w:val="000000" w:themeColor="text1"/>
          <w:lang w:val="es-ES"/>
        </w:rPr>
        <w:t xml:space="preserve">inter pares: </w:t>
      </w:r>
    </w:p>
    <w:p w14:paraId="03FD3F71" w14:textId="77777777" w:rsidR="00F8295E" w:rsidRDefault="00F8295E" w:rsidP="00F8295E">
      <w:pPr>
        <w:spacing w:after="0" w:line="240" w:lineRule="auto"/>
        <w:ind w:right="709"/>
        <w:jc w:val="both"/>
        <w:rPr>
          <w:rFonts w:ascii="Verdana" w:hAnsi="Verdana" w:cs="Arial"/>
          <w:i/>
          <w:iCs/>
          <w:color w:val="000000" w:themeColor="text1"/>
          <w:sz w:val="20"/>
          <w:szCs w:val="20"/>
          <w:lang w:val="es-ES"/>
        </w:rPr>
      </w:pPr>
    </w:p>
    <w:p w14:paraId="257779EA"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lang w:val="es-ES"/>
        </w:rPr>
        <w:t>“</w:t>
      </w:r>
      <w:r w:rsidRPr="00A7405A">
        <w:rPr>
          <w:rFonts w:ascii="Verdana" w:hAnsi="Verdana" w:cs="Arial"/>
          <w:color w:val="000000" w:themeColor="text1"/>
          <w:sz w:val="20"/>
          <w:szCs w:val="20"/>
          <w:lang w:val="es-ES"/>
        </w:rPr>
        <w:t>263.   </w:t>
      </w:r>
      <w:r>
        <w:rPr>
          <w:rFonts w:ascii="Verdana" w:hAnsi="Verdana" w:cs="Arial"/>
          <w:color w:val="000000" w:themeColor="text1"/>
          <w:sz w:val="20"/>
          <w:szCs w:val="20"/>
          <w:lang w:val="es-MX"/>
        </w:rPr>
        <w:t>[…]</w:t>
      </w:r>
      <w:r w:rsidRPr="00A7405A">
        <w:rPr>
          <w:rFonts w:ascii="Verdana" w:hAnsi="Verdana" w:cs="Arial"/>
          <w:color w:val="000000" w:themeColor="text1"/>
          <w:sz w:val="20"/>
          <w:szCs w:val="20"/>
          <w:lang w:val="es-MX"/>
        </w:rPr>
        <w:t xml:space="preserve">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738CD1C2" w14:textId="77777777" w:rsidR="00F8295E" w:rsidRDefault="00F8295E" w:rsidP="00F8295E">
      <w:pPr>
        <w:spacing w:after="0" w:line="240" w:lineRule="auto"/>
        <w:ind w:left="709" w:right="709"/>
        <w:jc w:val="both"/>
        <w:rPr>
          <w:rFonts w:ascii="Verdana" w:hAnsi="Verdana" w:cs="Arial"/>
          <w:color w:val="000000" w:themeColor="text1"/>
          <w:sz w:val="20"/>
          <w:szCs w:val="20"/>
          <w:lang w:val="es-ES"/>
        </w:rPr>
      </w:pPr>
    </w:p>
    <w:p w14:paraId="7C57F1D0" w14:textId="77777777" w:rsidR="00F8295E" w:rsidRPr="00A7405A" w:rsidRDefault="00F8295E" w:rsidP="00F8295E">
      <w:pPr>
        <w:spacing w:after="0" w:line="240" w:lineRule="auto"/>
        <w:ind w:left="709" w:right="709"/>
        <w:jc w:val="both"/>
        <w:rPr>
          <w:rFonts w:ascii="Verdana" w:hAnsi="Verdana" w:cs="Arial"/>
          <w:i/>
          <w:iCs/>
          <w:color w:val="000000" w:themeColor="text1"/>
          <w:sz w:val="20"/>
          <w:szCs w:val="20"/>
          <w:u w:val="single"/>
        </w:rPr>
      </w:pPr>
      <w:r w:rsidRPr="00A7405A">
        <w:rPr>
          <w:rFonts w:ascii="Verdana" w:hAnsi="Verdana" w:cs="Arial"/>
          <w:color w:val="000000" w:themeColor="text1"/>
          <w:sz w:val="20"/>
          <w:szCs w:val="20"/>
          <w:lang w:val="es-ES"/>
        </w:rPr>
        <w:t>264.   </w:t>
      </w:r>
      <w:r w:rsidRPr="00A7405A">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A7405A">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w:t>
      </w:r>
      <w:proofErr w:type="spellStart"/>
      <w:r w:rsidRPr="00A7405A">
        <w:rPr>
          <w:rFonts w:ascii="Verdana" w:hAnsi="Verdana" w:cs="Arial"/>
          <w:i/>
          <w:iCs/>
          <w:color w:val="000000" w:themeColor="text1"/>
          <w:sz w:val="20"/>
          <w:szCs w:val="20"/>
          <w:u w:val="single"/>
          <w:lang w:val="es-MX"/>
        </w:rPr>
        <w:t>ii</w:t>
      </w:r>
      <w:proofErr w:type="spellEnd"/>
      <w:r w:rsidRPr="00A7405A">
        <w:rPr>
          <w:rFonts w:ascii="Verdana" w:hAnsi="Verdana" w:cs="Arial"/>
          <w:i/>
          <w:iCs/>
          <w:color w:val="000000" w:themeColor="text1"/>
          <w:sz w:val="20"/>
          <w:szCs w:val="20"/>
          <w:u w:val="single"/>
          <w:lang w:val="es-MX"/>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54E4BFF5" w14:textId="77777777" w:rsidR="00F8295E" w:rsidRPr="00A7405A" w:rsidRDefault="00F8295E" w:rsidP="00F8295E">
      <w:pPr>
        <w:spacing w:after="0" w:line="240" w:lineRule="auto"/>
        <w:ind w:left="709" w:right="709" w:firstLine="709"/>
        <w:jc w:val="both"/>
        <w:rPr>
          <w:rFonts w:ascii="Verdana" w:hAnsi="Verdana" w:cs="Arial"/>
          <w:color w:val="000000" w:themeColor="text1"/>
          <w:sz w:val="20"/>
          <w:szCs w:val="20"/>
        </w:rPr>
      </w:pPr>
      <w:r w:rsidRPr="00A7405A">
        <w:rPr>
          <w:rFonts w:ascii="Verdana" w:hAnsi="Verdana" w:cs="Arial"/>
          <w:color w:val="000000" w:themeColor="text1"/>
          <w:sz w:val="20"/>
          <w:szCs w:val="20"/>
        </w:rPr>
        <w:t> </w:t>
      </w:r>
    </w:p>
    <w:p w14:paraId="66A4FC88" w14:textId="77777777" w:rsidR="00F8295E" w:rsidRPr="00A7405A" w:rsidRDefault="00F8295E" w:rsidP="00F8295E">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265.   </w:t>
      </w:r>
      <w:r w:rsidRPr="00A7405A">
        <w:rPr>
          <w:rFonts w:ascii="Verdana" w:hAnsi="Verdana" w:cs="Arial"/>
          <w:color w:val="000000" w:themeColor="text1"/>
          <w:sz w:val="20"/>
          <w:szCs w:val="20"/>
        </w:rPr>
        <w:t xml:space="preserve">La Corte también ordenó al Consejo Superior de la Judicatura que, si al 30 de mayo de 2024 no se ha llevado a cabo la aplicación de la primera prueba del Examen de Estado, deberá expedir la tarjeta 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Pr>
          <w:rFonts w:ascii="Verdana" w:hAnsi="Verdana" w:cs="Arial"/>
          <w:color w:val="000000" w:themeColor="text1"/>
          <w:sz w:val="20"/>
          <w:szCs w:val="20"/>
        </w:rPr>
        <w:t>[…]</w:t>
      </w:r>
      <w:r w:rsidRPr="00A7405A">
        <w:rPr>
          <w:rFonts w:ascii="Verdana" w:hAnsi="Verdana" w:cs="Arial"/>
          <w:color w:val="000000" w:themeColor="text1"/>
          <w:sz w:val="20"/>
          <w:szCs w:val="20"/>
        </w:rPr>
        <w:t>”</w:t>
      </w:r>
      <w:r>
        <w:rPr>
          <w:rStyle w:val="Refdenotaalpie"/>
          <w:rFonts w:ascii="Verdana" w:hAnsi="Verdana" w:cs="Arial"/>
          <w:color w:val="000000" w:themeColor="text1"/>
          <w:sz w:val="20"/>
          <w:szCs w:val="20"/>
        </w:rPr>
        <w:footnoteReference w:id="9"/>
      </w:r>
      <w:r w:rsidRPr="00A7405A">
        <w:rPr>
          <w:rFonts w:ascii="Verdana" w:hAnsi="Verdana" w:cs="Arial"/>
          <w:color w:val="000000" w:themeColor="text1"/>
          <w:sz w:val="20"/>
          <w:szCs w:val="20"/>
        </w:rPr>
        <w:t>.</w:t>
      </w:r>
      <w:r>
        <w:rPr>
          <w:rFonts w:ascii="Verdana" w:hAnsi="Verdana" w:cs="Arial"/>
          <w:color w:val="000000" w:themeColor="text1"/>
          <w:sz w:val="20"/>
          <w:szCs w:val="20"/>
        </w:rPr>
        <w:t xml:space="preserve"> [Énfasis fuera de texto].</w:t>
      </w:r>
    </w:p>
    <w:p w14:paraId="6278E823" w14:textId="77777777" w:rsidR="00F8295E" w:rsidRPr="00A7405A" w:rsidRDefault="00F8295E" w:rsidP="00F8295E">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De acuerdo con lo anterior, ante la falta de diligencia del Consejo Superior de la Judicatura en la implementación del </w:t>
      </w:r>
      <w:r w:rsidRPr="00A7405A">
        <w:rPr>
          <w:rFonts w:ascii="Verdana" w:hAnsi="Verdana" w:cs="Arial"/>
          <w:i/>
          <w:iCs/>
          <w:color w:val="000000" w:themeColor="text1"/>
        </w:rPr>
        <w:t xml:space="preserve">Examen del Estado </w:t>
      </w:r>
      <w:r w:rsidRPr="00A7405A">
        <w:rPr>
          <w:rFonts w:ascii="Verdana" w:hAnsi="Verdana" w:cs="Arial"/>
          <w:color w:val="000000" w:themeColor="text1"/>
        </w:rPr>
        <w:t xml:space="preserve">creado por la Ley 1905 de 2018, la Corte Constitucional no solo tomó la decisión de inaplicar el artículo 11 transitorio del Acuerdo PCSJA24-12162 de 9 de abril de 2024, sino que dispuso la expedición de la tarjeta profesional definitiva para todos aquellos destinatarios de la referida norma, que por la negligencia de la referida autoridad </w:t>
      </w:r>
      <w:r w:rsidRPr="00A7405A">
        <w:rPr>
          <w:rFonts w:ascii="Verdana" w:hAnsi="Verdana" w:cs="Arial"/>
          <w:color w:val="000000" w:themeColor="text1"/>
        </w:rPr>
        <w:lastRenderedPageBreak/>
        <w:t>no han podido cumplir con el referido requisito, atribuyéndole efectos inter pares a esta decisión.</w:t>
      </w:r>
    </w:p>
    <w:p w14:paraId="536E74C9" w14:textId="77777777" w:rsidR="00F8295E" w:rsidRDefault="00F8295E" w:rsidP="00F8295E">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Los efectos de esta decisión necesariamente se proyectan a la cuestión que aquí se estudia, en la medida en que, si bien como se estableció </w:t>
      </w:r>
      <w:r w:rsidRPr="00A7405A">
        <w:rPr>
          <w:rFonts w:ascii="Verdana" w:hAnsi="Verdana" w:cs="Arial"/>
          <w:i/>
          <w:iCs/>
          <w:color w:val="000000" w:themeColor="text1"/>
        </w:rPr>
        <w:t>supra,</w:t>
      </w:r>
      <w:r w:rsidRPr="00A7405A">
        <w:rPr>
          <w:rFonts w:ascii="Verdana" w:hAnsi="Verdana" w:cs="Arial"/>
          <w:color w:val="000000" w:themeColor="text1"/>
        </w:rPr>
        <w:t xml:space="preserve"> el </w:t>
      </w:r>
      <w:r>
        <w:rPr>
          <w:rFonts w:ascii="Verdana" w:hAnsi="Verdana" w:cs="Arial"/>
          <w:color w:val="000000" w:themeColor="text1"/>
        </w:rPr>
        <w:t xml:space="preserve">examen </w:t>
      </w:r>
      <w:r w:rsidRPr="00A7405A">
        <w:rPr>
          <w:rFonts w:ascii="Verdana" w:hAnsi="Verdana" w:cs="Arial"/>
          <w:color w:val="000000" w:themeColor="text1"/>
        </w:rPr>
        <w:t>establecido por la Ley 1905 de 2018 está destinado a ser un</w:t>
      </w:r>
      <w:r>
        <w:rPr>
          <w:rFonts w:ascii="Verdana" w:hAnsi="Verdana" w:cs="Arial"/>
          <w:color w:val="000000" w:themeColor="text1"/>
        </w:rPr>
        <w:t xml:space="preserve"> requisito necesario</w:t>
      </w:r>
      <w:r w:rsidRPr="00A7405A">
        <w:rPr>
          <w:rFonts w:ascii="Verdana" w:hAnsi="Verdana" w:cs="Arial"/>
          <w:color w:val="000000" w:themeColor="text1"/>
        </w:rPr>
        <w:t xml:space="preserve"> para el ejercicio de la abogacía, este deviene en inaplicable si la autoridad obligada a implementar el referido </w:t>
      </w:r>
      <w:r w:rsidRPr="00A7405A">
        <w:rPr>
          <w:rFonts w:ascii="Verdana" w:hAnsi="Verdana" w:cs="Arial"/>
          <w:i/>
          <w:iCs/>
          <w:color w:val="000000" w:themeColor="text1"/>
        </w:rPr>
        <w:t>Examen de Estado</w:t>
      </w:r>
      <w:r w:rsidRPr="00A7405A">
        <w:rPr>
          <w:rFonts w:ascii="Verdana" w:hAnsi="Verdana" w:cs="Arial"/>
          <w:color w:val="000000" w:themeColor="text1"/>
        </w:rPr>
        <w:t xml:space="preserve"> no ha permitido su cumplimiento, afectando con ello derechos fundamentales de los llamados a cumplir con la referida normativa.  </w:t>
      </w:r>
    </w:p>
    <w:p w14:paraId="4F831657" w14:textId="77777777" w:rsidR="00F8295E" w:rsidRDefault="00F8295E" w:rsidP="00F8295E">
      <w:pPr>
        <w:spacing w:before="120" w:after="0" w:line="276" w:lineRule="auto"/>
        <w:jc w:val="both"/>
        <w:rPr>
          <w:rFonts w:ascii="Verdana" w:hAnsi="Verdana" w:cs="Arial"/>
          <w:color w:val="000000" w:themeColor="text1"/>
        </w:rPr>
      </w:pPr>
      <w:r>
        <w:rPr>
          <w:rFonts w:ascii="Verdana" w:hAnsi="Verdana" w:cs="Arial"/>
          <w:color w:val="000000" w:themeColor="text1"/>
        </w:rPr>
        <w:tab/>
        <w:t xml:space="preserve">En consideración a lo anterior, está Subdirección estima que, el requisito establecido por la Ley 1905 de 2018, no resulta exigible para celebración de contratos de prestación de servicios profesionales que impliquen el ejercicio de la abogacía, con aquellas personas beneficiadas por los efectos </w:t>
      </w:r>
      <w:r w:rsidRPr="00A7405A">
        <w:rPr>
          <w:rFonts w:ascii="Verdana" w:hAnsi="Verdana" w:cs="Arial"/>
          <w:i/>
          <w:iCs/>
          <w:color w:val="000000" w:themeColor="text1"/>
        </w:rPr>
        <w:t>inter pares</w:t>
      </w:r>
      <w:r>
        <w:rPr>
          <w:rFonts w:ascii="Verdana" w:hAnsi="Verdana" w:cs="Arial"/>
          <w:color w:val="000000" w:themeColor="text1"/>
        </w:rPr>
        <w:t xml:space="preserve"> de la orden contenida en el ordinal sexto de la Sentencia SU-128 de 18 de abril de 2024 de la Corte Constitucional. En ese orden, el requisito no resulta aplicable </w:t>
      </w:r>
      <w:r w:rsidRPr="009F7081">
        <w:rPr>
          <w:rFonts w:ascii="Verdana" w:hAnsi="Verdana" w:cs="Arial"/>
          <w:color w:val="000000" w:themeColor="text1"/>
        </w:rPr>
        <w:t> </w:t>
      </w:r>
      <w:r w:rsidRPr="00A7405A">
        <w:rPr>
          <w:rFonts w:ascii="Verdana" w:hAnsi="Verdana" w:cs="Arial"/>
          <w:i/>
          <w:iCs/>
          <w:color w:val="000000" w:themeColor="text1"/>
        </w:rPr>
        <w:t>“(i)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A7405A">
        <w:rPr>
          <w:rFonts w:ascii="Verdana" w:hAnsi="Verdana" w:cs="Arial"/>
          <w:i/>
          <w:iCs/>
          <w:color w:val="000000" w:themeColor="text1"/>
        </w:rPr>
        <w:t>ii</w:t>
      </w:r>
      <w:proofErr w:type="spellEnd"/>
      <w:r w:rsidRPr="00A7405A">
        <w:rPr>
          <w:rFonts w:ascii="Verdana" w:hAnsi="Verdana" w:cs="Arial"/>
          <w:i/>
          <w:iCs/>
          <w:color w:val="000000" w:themeColor="text1"/>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Pr>
          <w:rStyle w:val="Refdenotaalpie"/>
          <w:rFonts w:ascii="Verdana" w:hAnsi="Verdana" w:cs="Arial"/>
          <w:i/>
          <w:iCs/>
          <w:color w:val="000000" w:themeColor="text1"/>
        </w:rPr>
        <w:footnoteReference w:id="10"/>
      </w:r>
      <w:r w:rsidRPr="009F7081">
        <w:rPr>
          <w:rFonts w:ascii="Verdana" w:hAnsi="Verdana" w:cs="Arial"/>
          <w:color w:val="000000" w:themeColor="text1"/>
        </w:rPr>
        <w:t>.</w:t>
      </w:r>
    </w:p>
    <w:p w14:paraId="72FCE0D8" w14:textId="77777777" w:rsidR="00F8295E" w:rsidRDefault="00F8295E" w:rsidP="00F8295E">
      <w:pPr>
        <w:spacing w:before="120" w:after="0" w:line="276" w:lineRule="auto"/>
        <w:jc w:val="both"/>
        <w:rPr>
          <w:rFonts w:ascii="Verdana" w:eastAsia="Calibri" w:hAnsi="Verdana" w:cs="Arial"/>
        </w:rPr>
      </w:pPr>
      <w:r>
        <w:rPr>
          <w:rFonts w:ascii="Verdana" w:hAnsi="Verdana" w:cs="Arial"/>
          <w:color w:val="000000" w:themeColor="text1"/>
        </w:rPr>
        <w:tab/>
        <w:t xml:space="preserve">No obstante, </w:t>
      </w:r>
      <w:r w:rsidRPr="719CEC4C">
        <w:rPr>
          <w:rFonts w:ascii="Verdana" w:hAnsi="Verdana" w:cs="Arial"/>
          <w:color w:val="000000" w:themeColor="text1"/>
        </w:rPr>
        <w:t xml:space="preserve">las Entidades estatales en sus procesos de contratación son autónomas de establecer los requisitos y soportes de idoneidad que permitan acreditar la persona a contratar, de tal manera que, le corresponde a estas realizar un análisis en de cada caso concreto;  la Agencia, por vía de consulta,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6A4AA51E" w14:textId="77777777" w:rsidR="00F8295E" w:rsidRPr="007A0522" w:rsidRDefault="00F8295E" w:rsidP="00F8295E">
      <w:pPr>
        <w:spacing w:before="120" w:after="0" w:line="276" w:lineRule="auto"/>
        <w:jc w:val="both"/>
        <w:rPr>
          <w:rFonts w:ascii="Verdana" w:eastAsia="Calibri" w:hAnsi="Verdana" w:cs="Arial"/>
        </w:rPr>
      </w:pPr>
    </w:p>
    <w:p w14:paraId="4CAD6A68" w14:textId="77777777" w:rsidR="00F8295E" w:rsidRPr="00115E3D" w:rsidRDefault="00F8295E" w:rsidP="00F82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33D7F0F2" w14:textId="77777777" w:rsidR="00F8295E" w:rsidRPr="00115E3D" w:rsidRDefault="00F8295E" w:rsidP="00F8295E">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295E" w:rsidRPr="00115E3D" w14:paraId="2B95C2B3" w14:textId="77777777" w:rsidTr="001206F7">
        <w:trPr>
          <w:trHeight w:val="870"/>
        </w:trPr>
        <w:tc>
          <w:tcPr>
            <w:tcW w:w="8647" w:type="dxa"/>
          </w:tcPr>
          <w:p w14:paraId="7E435398"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 xml:space="preserve">Ley 80 de 1993. Artículos 25 y 32, numeral 3°. </w:t>
            </w:r>
          </w:p>
          <w:p w14:paraId="77EAECB2"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Ley 190 de 1995. Artículo 1</w:t>
            </w:r>
          </w:p>
          <w:p w14:paraId="0A8759E2"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Ley 270 de 1996. Artículo 85.</w:t>
            </w:r>
          </w:p>
          <w:p w14:paraId="058FF844"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 xml:space="preserve">Ley 1150 de 2007. Artículo 2, numeral 4°, literal h) </w:t>
            </w:r>
          </w:p>
          <w:p w14:paraId="7F33EEEA"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Ley 1905 de 2018. Artículos 1 y 2.</w:t>
            </w:r>
          </w:p>
          <w:p w14:paraId="06617947"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 xml:space="preserve">Decreto 196 de 1971. Artículos 1, 2, 4, 18 y 19. </w:t>
            </w:r>
          </w:p>
          <w:p w14:paraId="64764C6B" w14:textId="77777777" w:rsidR="00F8295E" w:rsidRPr="00A7405A" w:rsidRDefault="00F8295E" w:rsidP="00F8295E">
            <w:pPr>
              <w:pStyle w:val="Textonotapie"/>
              <w:numPr>
                <w:ilvl w:val="0"/>
                <w:numId w:val="17"/>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El Decreto 1082 de 2015. Artículo 2.2.1.2.1.4.9. </w:t>
            </w:r>
          </w:p>
          <w:p w14:paraId="295E847B" w14:textId="77777777" w:rsidR="00F8295E" w:rsidRPr="007F4CB0" w:rsidRDefault="00F8295E" w:rsidP="00F8295E">
            <w:pPr>
              <w:pStyle w:val="Prrafodelista"/>
              <w:numPr>
                <w:ilvl w:val="0"/>
                <w:numId w:val="17"/>
              </w:numPr>
              <w:spacing w:after="120"/>
              <w:contextualSpacing w:val="0"/>
              <w:rPr>
                <w:rFonts w:ascii="Verdana" w:hAnsi="Verdana" w:cs="Arial"/>
              </w:rPr>
            </w:pPr>
            <w:r w:rsidRPr="007F4CB0">
              <w:rPr>
                <w:rFonts w:ascii="Verdana" w:hAnsi="Verdana" w:cs="Arial"/>
              </w:rPr>
              <w:t xml:space="preserve">CONSEJO SUPERIOR DE LA JUDICATURA. </w:t>
            </w:r>
            <w:r w:rsidRPr="007F4CB0">
              <w:rPr>
                <w:rFonts w:ascii="Verdana" w:hAnsi="Verdana" w:cs="Arial"/>
                <w:color w:val="000000" w:themeColor="text1"/>
              </w:rPr>
              <w:t>Acuerdo PSCJA24-12162 del 9 de abril de 2024.</w:t>
            </w:r>
          </w:p>
          <w:p w14:paraId="2A0D33D5" w14:textId="77777777" w:rsidR="00F8295E" w:rsidRPr="00A7405A" w:rsidRDefault="00F8295E" w:rsidP="00F8295E">
            <w:pPr>
              <w:pStyle w:val="Textonotapie"/>
              <w:numPr>
                <w:ilvl w:val="0"/>
                <w:numId w:val="17"/>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CONSEJO DE ESTADO. Sección Tercera. Subsección C. Sentencia de Unificación del 2 de diciembre de 2013. </w:t>
            </w:r>
            <w:proofErr w:type="spellStart"/>
            <w:r w:rsidRPr="00A7405A">
              <w:rPr>
                <w:rFonts w:ascii="Verdana" w:hAnsi="Verdana" w:cs="Arial"/>
                <w:color w:val="000000" w:themeColor="text1"/>
                <w:sz w:val="22"/>
                <w:szCs w:val="22"/>
                <w:lang w:val="es-ES"/>
              </w:rPr>
              <w:t>Exp</w:t>
            </w:r>
            <w:proofErr w:type="spellEnd"/>
            <w:r w:rsidRPr="00A7405A">
              <w:rPr>
                <w:rFonts w:ascii="Verdana" w:hAnsi="Verdana" w:cs="Arial"/>
                <w:color w:val="000000" w:themeColor="text1"/>
                <w:sz w:val="22"/>
                <w:szCs w:val="22"/>
                <w:lang w:val="es-ES"/>
              </w:rPr>
              <w:t>. 41.719. C.P. Jaime Orlando Santofimio Gamboa.</w:t>
            </w:r>
          </w:p>
          <w:p w14:paraId="578A415A" w14:textId="77777777" w:rsidR="00F8295E" w:rsidRPr="00A7405A" w:rsidRDefault="00F8295E" w:rsidP="00F8295E">
            <w:pPr>
              <w:pStyle w:val="Prrafodelista"/>
              <w:numPr>
                <w:ilvl w:val="0"/>
                <w:numId w:val="17"/>
              </w:numPr>
              <w:shd w:val="clear" w:color="auto" w:fill="FFFFFF"/>
              <w:spacing w:after="120"/>
              <w:contextualSpacing w:val="0"/>
              <w:jc w:val="both"/>
              <w:rPr>
                <w:rFonts w:ascii="Verdana" w:hAnsi="Verdana" w:cs="Arial"/>
                <w:color w:val="000000" w:themeColor="text1"/>
              </w:rPr>
            </w:pPr>
            <w:r w:rsidRPr="00A7405A">
              <w:rPr>
                <w:rFonts w:ascii="Verdana" w:hAnsi="Verdana" w:cs="Arial"/>
                <w:color w:val="000000" w:themeColor="text1"/>
              </w:rPr>
              <w:t>CORTE CONSTITUCIONAL. Sentencia C – 697 del 14 de junio de 2000. Expediente D-2662. M</w:t>
            </w:r>
            <w:r>
              <w:rPr>
                <w:rFonts w:ascii="Verdana" w:hAnsi="Verdana" w:cs="Arial"/>
                <w:color w:val="000000" w:themeColor="text1"/>
              </w:rPr>
              <w:t xml:space="preserve">. </w:t>
            </w:r>
            <w:r w:rsidRPr="00A7405A">
              <w:rPr>
                <w:rFonts w:ascii="Verdana" w:hAnsi="Verdana" w:cs="Arial"/>
                <w:color w:val="000000" w:themeColor="text1"/>
              </w:rPr>
              <w:t>P</w:t>
            </w:r>
            <w:r>
              <w:rPr>
                <w:rFonts w:ascii="Verdana" w:hAnsi="Verdana" w:cs="Arial"/>
                <w:color w:val="000000" w:themeColor="text1"/>
              </w:rPr>
              <w:t>.</w:t>
            </w:r>
            <w:r w:rsidRPr="00A7405A">
              <w:rPr>
                <w:rFonts w:ascii="Verdana" w:hAnsi="Verdana" w:cs="Arial"/>
                <w:color w:val="000000" w:themeColor="text1"/>
              </w:rPr>
              <w:t xml:space="preserve"> Eduardo Cifuentes Muñoz.</w:t>
            </w:r>
          </w:p>
          <w:p w14:paraId="6DFA04C4" w14:textId="77777777" w:rsidR="00F8295E" w:rsidRPr="00413B73" w:rsidRDefault="00F8295E" w:rsidP="00F8295E">
            <w:pPr>
              <w:pStyle w:val="Prrafodelista"/>
              <w:numPr>
                <w:ilvl w:val="0"/>
                <w:numId w:val="17"/>
              </w:numPr>
              <w:spacing w:after="120"/>
              <w:contextualSpacing w:val="0"/>
            </w:pPr>
            <w:r w:rsidRPr="00A7405A">
              <w:rPr>
                <w:rFonts w:ascii="Verdana" w:hAnsi="Verdana"/>
              </w:rPr>
              <w:t>CORTE CONSTITUCIONAL, Sentencia SU-128 del 18 de abril de 2024.  M.P. Natalia Ángel Cabo.</w:t>
            </w:r>
          </w:p>
        </w:tc>
      </w:tr>
    </w:tbl>
    <w:p w14:paraId="2B5B0B4B" w14:textId="77777777" w:rsidR="00F8295E" w:rsidRPr="00115E3D" w:rsidRDefault="00F8295E" w:rsidP="00F8295E">
      <w:pPr>
        <w:widowControl w:val="0"/>
        <w:autoSpaceDE w:val="0"/>
        <w:autoSpaceDN w:val="0"/>
        <w:spacing w:after="0" w:line="276" w:lineRule="auto"/>
        <w:jc w:val="both"/>
        <w:rPr>
          <w:rFonts w:ascii="Verdana" w:hAnsi="Verdana" w:cs="Arial"/>
          <w:color w:val="000000" w:themeColor="text1"/>
        </w:rPr>
      </w:pPr>
    </w:p>
    <w:p w14:paraId="5ECD13E9" w14:textId="77777777" w:rsidR="00F8295E" w:rsidRPr="00115E3D" w:rsidRDefault="00F8295E" w:rsidP="00F829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7C81BF69" w14:textId="77777777" w:rsidR="00F8295E" w:rsidRPr="00115E3D" w:rsidRDefault="00F8295E" w:rsidP="00F8295E">
      <w:pPr>
        <w:widowControl w:val="0"/>
        <w:autoSpaceDE w:val="0"/>
        <w:autoSpaceDN w:val="0"/>
        <w:spacing w:after="0" w:line="276" w:lineRule="auto"/>
        <w:jc w:val="both"/>
        <w:rPr>
          <w:rFonts w:ascii="Verdana" w:hAnsi="Verdana" w:cs="Arial"/>
          <w:color w:val="000000" w:themeColor="text1"/>
        </w:rPr>
      </w:pPr>
    </w:p>
    <w:p w14:paraId="18992352" w14:textId="77777777" w:rsidR="00F8295E" w:rsidRPr="00874A62" w:rsidRDefault="00F8295E" w:rsidP="00F8295E">
      <w:pPr>
        <w:widowControl w:val="0"/>
        <w:autoSpaceDE w:val="0"/>
        <w:autoSpaceDN w:val="0"/>
        <w:spacing w:after="0" w:line="276" w:lineRule="auto"/>
        <w:jc w:val="both"/>
        <w:rPr>
          <w:rStyle w:val="normaltextrun"/>
          <w:rFonts w:ascii="Verdana" w:hAnsi="Verdana"/>
        </w:rPr>
      </w:pPr>
      <w:r w:rsidRPr="00BE694D">
        <w:rPr>
          <w:rFonts w:ascii="Verdana" w:hAnsi="Verdana"/>
          <w:lang w:val="es-ES"/>
        </w:rPr>
        <w:t xml:space="preserve">Sobre los contratos de prestación de servicios, requisitos para su celebración, </w:t>
      </w:r>
      <w:r>
        <w:rPr>
          <w:rFonts w:ascii="Verdana" w:hAnsi="Verdana"/>
          <w:lang w:val="es-ES"/>
        </w:rPr>
        <w:t xml:space="preserve">y la obligatoriedad de contar con tarjeta profesional para la suscripción de contratos de prestación de servicios, </w:t>
      </w:r>
      <w:r w:rsidRPr="00BE694D">
        <w:rPr>
          <w:rFonts w:ascii="Verdana" w:hAnsi="Verdana"/>
          <w:lang w:val="es-ES"/>
        </w:rPr>
        <w:t xml:space="preserve">entre otros, esta Subdirección se ha pronunciado en los conceptos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xml:space="preserve">, C- 357 de agosto de 2024, C-279 de agosto 09 de 2024, C-409 del 6 de septiembre de 2024, C-510 del 03 de octubre de 2024, C-929 del 16 de diciembre de 2024, </w:t>
      </w:r>
      <w:r w:rsidRPr="000F312D">
        <w:rPr>
          <w:rFonts w:ascii="Verdana" w:hAnsi="Verdana" w:cs="Arial"/>
        </w:rPr>
        <w:t>C-010 del 14 de febrero de 2025, C-186 del 4 de marzo de 2025 y C-245 del 1 de abril de 2025.</w:t>
      </w:r>
      <w:r w:rsidRPr="000F312D">
        <w:rPr>
          <w:rFonts w:ascii="Verdana" w:hAnsi="Verdana" w:cs="Arial"/>
          <w:shd w:val="clear" w:color="auto" w:fill="FFFFFF"/>
        </w:rPr>
        <w:t xml:space="preserve"> Estos</w:t>
      </w:r>
      <w:r w:rsidRPr="00874A62">
        <w:rPr>
          <w:rFonts w:ascii="Verdana" w:hAnsi="Verdana" w:cs="Arial"/>
          <w:shd w:val="clear" w:color="auto" w:fill="FFFFFF"/>
        </w:rPr>
        <w:t xml:space="preserv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74A62">
        <w:rPr>
          <w:rFonts w:ascii="Verdana" w:hAnsi="Verdana"/>
        </w:rPr>
        <w:t>, accede a través del siguiente enlace:</w:t>
      </w:r>
      <w:r>
        <w:rPr>
          <w:rFonts w:ascii="Verdana" w:hAnsi="Verdana"/>
        </w:rPr>
        <w:t xml:space="preserve">  </w:t>
      </w:r>
      <w:hyperlink r:id="rId12" w:history="1">
        <w:r w:rsidRPr="00F1315B">
          <w:rPr>
            <w:rStyle w:val="Hipervnculo"/>
            <w:rFonts w:ascii="Verdana" w:hAnsi="Verdana" w:cs="Arial"/>
            <w:shd w:val="clear" w:color="auto" w:fill="FFFFFF"/>
            <w:lang w:val="es-ES"/>
          </w:rPr>
          <w:t>https://relatoria.colombiacompra.gov.co/busqueda/conceptos</w:t>
        </w:r>
      </w:hyperlink>
      <w:r w:rsidRPr="00874A62">
        <w:rPr>
          <w:rStyle w:val="normaltextrun"/>
          <w:rFonts w:ascii="Verdana" w:hAnsi="Verdana" w:cs="Arial"/>
          <w:shd w:val="clear" w:color="auto" w:fill="FFFFFF"/>
        </w:rPr>
        <w:t xml:space="preserve">. </w:t>
      </w:r>
    </w:p>
    <w:p w14:paraId="45ECC426" w14:textId="77777777" w:rsidR="00F8295E" w:rsidRPr="009B2285" w:rsidRDefault="00F8295E" w:rsidP="00F8295E">
      <w:pPr>
        <w:widowControl w:val="0"/>
        <w:autoSpaceDE w:val="0"/>
        <w:autoSpaceDN w:val="0"/>
        <w:spacing w:after="0" w:line="276" w:lineRule="auto"/>
        <w:jc w:val="both"/>
        <w:rPr>
          <w:rFonts w:ascii="Verdana" w:hAnsi="Verdana" w:cs="Arial"/>
          <w:shd w:val="clear" w:color="auto" w:fill="FFFFFF"/>
        </w:rPr>
      </w:pPr>
      <w:r>
        <w:rPr>
          <w:rFonts w:ascii="Verdana" w:hAnsi="Verdana" w:cs="Arial"/>
        </w:rPr>
        <w:t xml:space="preserve"> </w:t>
      </w:r>
    </w:p>
    <w:p w14:paraId="272DCAF6" w14:textId="77777777" w:rsidR="00F8295E" w:rsidRDefault="00F8295E" w:rsidP="00F8295E">
      <w:pPr>
        <w:spacing w:after="0" w:line="254" w:lineRule="auto"/>
        <w:jc w:val="both"/>
        <w:rPr>
          <w:rFonts w:ascii="Verdana" w:eastAsia="Calibri" w:hAnsi="Verdana" w:cs="Times New Roman"/>
        </w:rPr>
      </w:pPr>
      <w:r w:rsidRPr="00F6253A">
        <w:rPr>
          <w:rFonts w:ascii="Verdana" w:eastAsia="Calibri" w:hAnsi="Verdana" w:cs="Times New Roman"/>
        </w:rPr>
        <w:t>Te informamos que ya se encuentra disponible la </w:t>
      </w:r>
      <w:r w:rsidRPr="00F6253A">
        <w:rPr>
          <w:rFonts w:ascii="Verdana" w:eastAsia="Calibri" w:hAnsi="Verdana" w:cs="Times New Roman"/>
          <w:b/>
          <w:bCs/>
        </w:rPr>
        <w:t>Cartilla para incentivar y fortalecer el acceso a las compras y contratación pública de los pueblos y comunidades étnicas en Colombia.</w:t>
      </w:r>
      <w:r w:rsidRPr="00F6253A">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w:t>
      </w:r>
    </w:p>
    <w:p w14:paraId="22CFFB16" w14:textId="77777777" w:rsidR="00F8295E" w:rsidRPr="00F6253A" w:rsidRDefault="00F8295E" w:rsidP="00F8295E">
      <w:pPr>
        <w:spacing w:after="0" w:line="254" w:lineRule="auto"/>
        <w:jc w:val="both"/>
        <w:rPr>
          <w:rFonts w:ascii="Verdana" w:eastAsia="Calibri" w:hAnsi="Verdana" w:cs="Times New Roman"/>
        </w:rPr>
      </w:pPr>
      <w:hyperlink r:id="rId13" w:tgtFrame="_blank" w:tooltip="Dirección URL original: https://www.colombiacompra.gov.co/manuales-guias-y-pliegos-tipo/manuales-y-guias/cartilla-para-incentivar-y-fortalecer-el-acceso-las. Haga clic o pulse si confía en este vínculo." w:history="1">
        <w:r w:rsidRPr="00F6253A">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1FE04BEB" w14:textId="77777777" w:rsidR="00F8295E" w:rsidRDefault="00F8295E" w:rsidP="00F8295E">
      <w:pPr>
        <w:spacing w:after="0" w:line="254" w:lineRule="auto"/>
        <w:rPr>
          <w:rFonts w:ascii="Verdana" w:eastAsia="Calibri" w:hAnsi="Verdana" w:cs="Times New Roman"/>
        </w:rPr>
      </w:pPr>
    </w:p>
    <w:p w14:paraId="7ACD3070" w14:textId="77777777" w:rsidR="00F8295E" w:rsidRDefault="00F8295E" w:rsidP="00F8295E">
      <w:pPr>
        <w:spacing w:after="0" w:line="254" w:lineRule="auto"/>
        <w:jc w:val="both"/>
        <w:rPr>
          <w:rFonts w:ascii="Verdana" w:eastAsia="Calibri" w:hAnsi="Verdana" w:cs="Times New Roman"/>
        </w:rPr>
      </w:pPr>
      <w:r w:rsidRPr="00F6253A">
        <w:rPr>
          <w:rFonts w:ascii="Verdana" w:eastAsia="Calibri" w:hAnsi="Verdana" w:cs="Times New Roman"/>
        </w:rPr>
        <w:t>De otra parte, te informamos que, con el objetivo de garantizar un conocimiento adecuado de las </w:t>
      </w:r>
      <w:r w:rsidRPr="00F6253A">
        <w:rPr>
          <w:rFonts w:ascii="Verdana" w:eastAsia="Calibri" w:hAnsi="Verdana" w:cs="Times New Roman"/>
          <w:b/>
          <w:bCs/>
        </w:rPr>
        <w:t>modificaciones y/o actualizaciones realizadas a los Documentos Tipo</w:t>
      </w:r>
      <w:r w:rsidRPr="00F6253A">
        <w:rPr>
          <w:rFonts w:ascii="Verdana" w:eastAsia="Calibri" w:hAnsi="Verdana" w:cs="Times New Roman"/>
        </w:rPr>
        <w:t>, hemos programado una serie de </w:t>
      </w:r>
      <w:r w:rsidRPr="00F6253A">
        <w:rPr>
          <w:rFonts w:ascii="Verdana" w:eastAsia="Calibri" w:hAnsi="Verdana" w:cs="Times New Roman"/>
          <w:b/>
          <w:bCs/>
        </w:rPr>
        <w:t>capacitaciones </w:t>
      </w:r>
      <w:r w:rsidRPr="00F6253A">
        <w:rPr>
          <w:rFonts w:ascii="Verdana" w:eastAsia="Calibri" w:hAnsi="Verdana" w:cs="Times New Roman"/>
        </w:rPr>
        <w:t>dirigidas a todos los actores involucrados en los procesos de selección. Podrás conocer la programación y realizar tu inscripción a estas capacitaciones a través del siguiente enlace:</w:t>
      </w:r>
    </w:p>
    <w:p w14:paraId="2CC83020" w14:textId="77777777" w:rsidR="00F8295E" w:rsidRPr="00F6253A" w:rsidRDefault="00F8295E" w:rsidP="00F8295E">
      <w:pPr>
        <w:spacing w:after="0" w:line="254" w:lineRule="auto"/>
        <w:jc w:val="both"/>
        <w:rPr>
          <w:rFonts w:ascii="Verdana" w:eastAsia="Calibri" w:hAnsi="Verdana" w:cs="Times New Roman"/>
        </w:rPr>
      </w:pPr>
      <w:hyperlink r:id="rId14" w:tgtFrame="_blank" w:tooltip="Dirección URL original: https://www.colombiacompra.gov.co/ciudadanos/calendario. Haga clic o pulse si confía en este vínculo." w:history="1">
        <w:r w:rsidRPr="00F6253A">
          <w:rPr>
            <w:rStyle w:val="Hipervnculo"/>
            <w:rFonts w:ascii="Verdana" w:eastAsia="Calibri" w:hAnsi="Verdana" w:cs="Times New Roman"/>
          </w:rPr>
          <w:t>Calendario | Colombia Compra Eficiente | Agencia Nacional de Contratación Pública</w:t>
        </w:r>
      </w:hyperlink>
    </w:p>
    <w:p w14:paraId="16EB03C9" w14:textId="77777777" w:rsidR="00F8295E" w:rsidRDefault="00F8295E" w:rsidP="00F8295E">
      <w:pPr>
        <w:spacing w:after="0" w:line="254" w:lineRule="auto"/>
        <w:jc w:val="both"/>
        <w:rPr>
          <w:rFonts w:ascii="Verdana" w:eastAsia="Calibri" w:hAnsi="Verdana" w:cs="Times New Roman"/>
        </w:rPr>
      </w:pPr>
    </w:p>
    <w:p w14:paraId="50FCE66C" w14:textId="77777777" w:rsidR="00F8295E" w:rsidRPr="00F6253A" w:rsidRDefault="00F8295E" w:rsidP="00F8295E">
      <w:pPr>
        <w:spacing w:after="0" w:line="254" w:lineRule="auto"/>
        <w:jc w:val="both"/>
        <w:rPr>
          <w:rFonts w:ascii="Verdana" w:eastAsia="Calibri" w:hAnsi="Verdana" w:cs="Times New Roman"/>
        </w:rPr>
      </w:pPr>
      <w:r w:rsidRPr="00F6253A">
        <w:rPr>
          <w:rFonts w:ascii="Verdana" w:eastAsia="Calibri" w:hAnsi="Verdana" w:cs="Times New Roman"/>
        </w:rPr>
        <w:t>También, te contamos que ya publicamos </w:t>
      </w:r>
      <w:r w:rsidRPr="00F6253A">
        <w:rPr>
          <w:rFonts w:ascii="Verdana" w:eastAsia="Calibri" w:hAnsi="Verdana" w:cs="Times New Roman"/>
          <w:b/>
          <w:bCs/>
        </w:rPr>
        <w:t>la nueva Guía de Contratación Pública Sostenible y Socialmente Responsable</w:t>
      </w:r>
      <w:r w:rsidRPr="00F6253A">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F6253A">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1120A41D" w14:textId="77777777" w:rsidR="00F8295E" w:rsidRDefault="00F8295E" w:rsidP="00F8295E">
      <w:pPr>
        <w:spacing w:after="0" w:line="254" w:lineRule="auto"/>
        <w:rPr>
          <w:rFonts w:ascii="Verdana" w:eastAsia="Calibri" w:hAnsi="Verdana" w:cs="Times New Roman"/>
        </w:rPr>
      </w:pPr>
    </w:p>
    <w:p w14:paraId="18A21736" w14:textId="0C07FC7A" w:rsidR="00165D05" w:rsidRDefault="00165D05" w:rsidP="00165D05">
      <w:pPr>
        <w:spacing w:after="0" w:line="254" w:lineRule="auto"/>
        <w:jc w:val="both"/>
        <w:rPr>
          <w:rFonts w:ascii="Verdana" w:eastAsia="Calibri" w:hAnsi="Verdana" w:cs="Times New Roman"/>
        </w:rPr>
      </w:pPr>
      <w:r w:rsidRPr="00165D05">
        <w:rPr>
          <w:rFonts w:ascii="Verdana" w:eastAsia="Calibri" w:hAnsi="Verdana" w:cs="Times New Roman"/>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w:t>
      </w:r>
      <w:r>
        <w:rPr>
          <w:rFonts w:ascii="Verdana" w:eastAsia="Calibri" w:hAnsi="Verdana" w:cs="Times New Roman"/>
        </w:rPr>
        <w:t xml:space="preserve"> </w:t>
      </w:r>
      <w:r w:rsidRPr="00165D05">
        <w:rPr>
          <w:rFonts w:ascii="Verdana" w:eastAsia="Calibri" w:hAnsi="Verdana" w:cs="Times New Roman"/>
        </w:rPr>
        <w:t>enlace:</w:t>
      </w:r>
      <w:r w:rsidRPr="00165D05">
        <w:rPr>
          <w:rFonts w:ascii="Verdana" w:eastAsia="Calibri" w:hAnsi="Verdana" w:cs="Times New Roman"/>
          <w:b/>
          <w:bCs/>
        </w:rPr>
        <w:t> </w:t>
      </w:r>
      <w:hyperlink r:id="rId16" w:tgtFrame="_blank" w:tooltip="Dirección URL original: https://www.colombiacompra.gov.co/normativa-y-relatoria/documentos-tipo. Haga clic o pulse si confía en este vínculo." w:history="1">
        <w:r w:rsidRPr="00165D05">
          <w:rPr>
            <w:rStyle w:val="Hipervnculo"/>
            <w:rFonts w:ascii="Verdana" w:eastAsia="Calibri" w:hAnsi="Verdana" w:cs="Times New Roman"/>
            <w:b/>
            <w:bCs/>
          </w:rPr>
          <w:t>Documentos Tipo – ANCP Colombia Compra Eficiente</w:t>
        </w:r>
      </w:hyperlink>
      <w:r w:rsidRPr="00165D05">
        <w:rPr>
          <w:rFonts w:ascii="Verdana" w:eastAsia="Calibri" w:hAnsi="Verdana" w:cs="Times New Roman"/>
          <w:u w:val="single"/>
        </w:rPr>
        <w:t> </w:t>
      </w:r>
      <w:r w:rsidRPr="00165D05">
        <w:rPr>
          <w:rFonts w:ascii="Verdana" w:eastAsia="Calibri" w:hAnsi="Verdana" w:cs="Times New Roman"/>
        </w:rPr>
        <w:t>".</w:t>
      </w:r>
    </w:p>
    <w:p w14:paraId="2C44AF13" w14:textId="77777777" w:rsidR="00F8295E" w:rsidRDefault="00F8295E" w:rsidP="00F8295E">
      <w:pPr>
        <w:spacing w:after="0" w:line="254" w:lineRule="auto"/>
        <w:rPr>
          <w:rFonts w:ascii="Verdana" w:eastAsia="Calibri" w:hAnsi="Verdana" w:cs="Times New Roman"/>
        </w:rPr>
      </w:pPr>
      <w:r w:rsidRPr="00186A86">
        <w:rPr>
          <w:rFonts w:ascii="Verdana" w:eastAsia="Calibri" w:hAnsi="Verdana" w:cs="Times New Roman"/>
        </w:rPr>
        <w:lastRenderedPageBreak/>
        <w:t xml:space="preserve">Por último, lo invitamos a seguirnos en las redes sociales en las cuales se difunde información institucional: </w:t>
      </w:r>
    </w:p>
    <w:p w14:paraId="61FD2AC4" w14:textId="77777777" w:rsidR="00F8295E" w:rsidRPr="00186A86" w:rsidRDefault="00F8295E" w:rsidP="00F8295E">
      <w:pPr>
        <w:spacing w:after="0" w:line="254" w:lineRule="auto"/>
        <w:rPr>
          <w:rFonts w:ascii="Verdana" w:eastAsia="Calibri" w:hAnsi="Verdana" w:cs="Times New Roman"/>
        </w:rPr>
      </w:pPr>
    </w:p>
    <w:p w14:paraId="485E8A41" w14:textId="77777777" w:rsidR="00F8295E" w:rsidRPr="00186A86" w:rsidRDefault="00F8295E" w:rsidP="00F8295E">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6DEAAC6A" w14:textId="77777777" w:rsidR="00F8295E" w:rsidRPr="00186A86" w:rsidRDefault="00F8295E" w:rsidP="00F8295E">
      <w:pPr>
        <w:spacing w:after="0" w:line="254" w:lineRule="auto"/>
        <w:rPr>
          <w:rFonts w:ascii="Verdana" w:eastAsia="Calibri" w:hAnsi="Verdana" w:cs="Times New Roman"/>
        </w:rPr>
      </w:pPr>
      <w:r w:rsidRPr="00186A86">
        <w:rPr>
          <w:rFonts w:ascii="Verdana" w:eastAsia="Calibri" w:hAnsi="Verdana" w:cs="Times New Roman"/>
        </w:rPr>
        <w:t xml:space="preserve">Facebook: </w:t>
      </w:r>
      <w:proofErr w:type="spellStart"/>
      <w:r w:rsidRPr="00186A86">
        <w:rPr>
          <w:rFonts w:ascii="Verdana" w:eastAsia="Calibri" w:hAnsi="Verdana" w:cs="Times New Roman"/>
          <w:u w:val="single"/>
        </w:rPr>
        <w:t>ColombiaCompraEficiente</w:t>
      </w:r>
      <w:proofErr w:type="spellEnd"/>
    </w:p>
    <w:p w14:paraId="5EE53F50" w14:textId="77777777" w:rsidR="00F8295E" w:rsidRPr="00186A86" w:rsidRDefault="00F8295E" w:rsidP="00F8295E">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1BBAD3FB" w14:textId="77777777" w:rsidR="00F8295E" w:rsidRPr="00186A86" w:rsidRDefault="00F8295E" w:rsidP="00F8295E">
      <w:pPr>
        <w:spacing w:after="0" w:line="254" w:lineRule="auto"/>
        <w:rPr>
          <w:rFonts w:ascii="Verdana" w:eastAsia="Calibri" w:hAnsi="Verdana" w:cs="Times New Roman"/>
          <w:b/>
          <w:bCs/>
        </w:rPr>
      </w:pPr>
    </w:p>
    <w:p w14:paraId="6962F795" w14:textId="77777777" w:rsidR="00F8295E" w:rsidRDefault="00F8295E" w:rsidP="00F8295E">
      <w:pPr>
        <w:widowControl w:val="0"/>
        <w:autoSpaceDE w:val="0"/>
        <w:autoSpaceDN w:val="0"/>
        <w:spacing w:after="0" w:line="276" w:lineRule="auto"/>
        <w:jc w:val="both"/>
        <w:rPr>
          <w:rFonts w:ascii="Verdana" w:eastAsia="Calibri" w:hAnsi="Verdana" w:cs="Times New Roman"/>
          <w:lang w:val="es-ES_tradnl"/>
        </w:rPr>
      </w:pPr>
    </w:p>
    <w:p w14:paraId="14C10033" w14:textId="77777777" w:rsidR="00F8295E" w:rsidRPr="009C6CBC" w:rsidRDefault="00F8295E" w:rsidP="00F8295E">
      <w:pPr>
        <w:widowControl w:val="0"/>
        <w:autoSpaceDE w:val="0"/>
        <w:autoSpaceDN w:val="0"/>
        <w:spacing w:after="0" w:line="276" w:lineRule="auto"/>
        <w:jc w:val="both"/>
        <w:rPr>
          <w:rFonts w:ascii="Verdana" w:hAnsi="Verdana" w:cs="Arial"/>
          <w:color w:val="000000" w:themeColor="text1"/>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w:t>
      </w:r>
    </w:p>
    <w:p w14:paraId="4B315BAD" w14:textId="77777777" w:rsidR="00F8295E" w:rsidRPr="00115E3D" w:rsidRDefault="00F8295E" w:rsidP="00F8295E">
      <w:pPr>
        <w:widowControl w:val="0"/>
        <w:autoSpaceDE w:val="0"/>
        <w:autoSpaceDN w:val="0"/>
        <w:spacing w:after="0" w:line="276" w:lineRule="auto"/>
        <w:jc w:val="both"/>
        <w:rPr>
          <w:rFonts w:ascii="Verdana" w:hAnsi="Verdana" w:cs="Arial"/>
          <w:color w:val="000000" w:themeColor="text1"/>
        </w:rPr>
      </w:pPr>
    </w:p>
    <w:p w14:paraId="3F96C9B3" w14:textId="77777777" w:rsidR="00F8295E" w:rsidRPr="00115E3D" w:rsidRDefault="00F8295E" w:rsidP="00F8295E">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16C4A74E" w14:textId="3440F199" w:rsidR="00F8295E" w:rsidRPr="00115E3D" w:rsidRDefault="005B2456" w:rsidP="00F8295E">
      <w:pPr>
        <w:spacing w:line="276" w:lineRule="auto"/>
        <w:jc w:val="center"/>
        <w:rPr>
          <w:rFonts w:ascii="Verdana" w:hAnsi="Verdana" w:cs="Arial"/>
          <w:color w:val="000000" w:themeColor="text1"/>
          <w:lang w:val="es-ES_tradnl" w:eastAsia="es-CO"/>
        </w:rPr>
      </w:pPr>
      <w:r w:rsidRPr="00800065">
        <w:rPr>
          <w:rFonts w:ascii="Verdana" w:hAnsi="Verdana" w:cs="Arial"/>
          <w:noProof/>
          <w:color w:val="000000"/>
          <w:lang w:eastAsia="es-CO"/>
        </w:rPr>
        <w:drawing>
          <wp:inline distT="0" distB="0" distL="0" distR="0" wp14:anchorId="3A815C97" wp14:editId="0FC9D6D0">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8295E" w:rsidRPr="00593A5F" w14:paraId="2EA337EA" w14:textId="77777777" w:rsidTr="001206F7">
        <w:trPr>
          <w:trHeight w:val="315"/>
        </w:trPr>
        <w:tc>
          <w:tcPr>
            <w:tcW w:w="893" w:type="dxa"/>
            <w:vAlign w:val="center"/>
            <w:hideMark/>
          </w:tcPr>
          <w:p w14:paraId="1153158F" w14:textId="77777777" w:rsidR="00F8295E" w:rsidRPr="004E6C40" w:rsidRDefault="00F8295E" w:rsidP="001206F7">
            <w:pPr>
              <w:contextualSpacing/>
              <w:rPr>
                <w:rFonts w:ascii="Verdana" w:hAnsi="Verdana" w:cs="Arial"/>
                <w:sz w:val="16"/>
                <w:szCs w:val="16"/>
                <w:lang w:val="es-ES" w:eastAsia="es-ES"/>
              </w:rPr>
            </w:pPr>
            <w:r w:rsidRPr="004E6C4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6EC798" w14:textId="77777777" w:rsidR="00F8295E" w:rsidRPr="004E6C40" w:rsidRDefault="00F8295E" w:rsidP="001206F7">
            <w:pPr>
              <w:contextualSpacing/>
              <w:rPr>
                <w:rFonts w:ascii="Verdana" w:eastAsia="Arial" w:hAnsi="Verdana" w:cs="Arial"/>
                <w:sz w:val="16"/>
                <w:szCs w:val="16"/>
              </w:rPr>
            </w:pPr>
            <w:r>
              <w:rPr>
                <w:rFonts w:ascii="Verdana" w:eastAsia="Arial" w:hAnsi="Verdana" w:cs="Arial"/>
                <w:sz w:val="16"/>
                <w:szCs w:val="16"/>
              </w:rPr>
              <w:t>María Joshira Nieto Manzano</w:t>
            </w:r>
          </w:p>
          <w:p w14:paraId="23EBF859" w14:textId="03E11CC0" w:rsidR="00F8295E" w:rsidRPr="004E6C40" w:rsidRDefault="4540467E" w:rsidP="001206F7">
            <w:pPr>
              <w:contextualSpacing/>
              <w:rPr>
                <w:rFonts w:ascii="Verdana" w:eastAsia="Arial" w:hAnsi="Verdana" w:cs="Arial"/>
                <w:sz w:val="16"/>
                <w:szCs w:val="16"/>
              </w:rPr>
            </w:pPr>
            <w:r w:rsidRPr="0A85AC47">
              <w:rPr>
                <w:rStyle w:val="normaltextrun"/>
                <w:rFonts w:ascii="Verdana" w:eastAsia="Arial" w:hAnsi="Verdana" w:cs="Arial"/>
                <w:sz w:val="16"/>
                <w:szCs w:val="16"/>
              </w:rPr>
              <w:t>Contratista</w:t>
            </w:r>
            <w:r w:rsidR="00F8295E" w:rsidRPr="004E6C40">
              <w:rPr>
                <w:rStyle w:val="normaltextrun"/>
                <w:rFonts w:ascii="Verdana" w:eastAsia="Arial" w:hAnsi="Verdana" w:cs="Arial"/>
                <w:sz w:val="16"/>
                <w:szCs w:val="16"/>
              </w:rPr>
              <w:t xml:space="preserve"> de la Subdirección de Gestión Contractual</w:t>
            </w:r>
          </w:p>
        </w:tc>
      </w:tr>
      <w:tr w:rsidR="00F8295E" w:rsidRPr="00593A5F" w14:paraId="02D55F8D" w14:textId="77777777" w:rsidTr="001206F7">
        <w:trPr>
          <w:trHeight w:val="330"/>
        </w:trPr>
        <w:tc>
          <w:tcPr>
            <w:tcW w:w="893" w:type="dxa"/>
            <w:vAlign w:val="center"/>
            <w:hideMark/>
          </w:tcPr>
          <w:p w14:paraId="46A4CDB8" w14:textId="77777777" w:rsidR="00F8295E" w:rsidRPr="004E6C40" w:rsidRDefault="00F8295E" w:rsidP="001206F7">
            <w:pPr>
              <w:contextualSpacing/>
              <w:rPr>
                <w:rFonts w:ascii="Verdana" w:hAnsi="Verdana" w:cs="Arial"/>
                <w:sz w:val="16"/>
                <w:szCs w:val="16"/>
                <w:lang w:val="es-ES" w:eastAsia="es-ES"/>
              </w:rPr>
            </w:pPr>
            <w:r w:rsidRPr="004E6C4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74F126" w14:textId="77777777" w:rsidR="00F8295E" w:rsidRPr="004E6C40" w:rsidRDefault="00F8295E" w:rsidP="001206F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Adriana López Rodríguez</w:t>
            </w:r>
          </w:p>
          <w:p w14:paraId="10540876" w14:textId="77777777" w:rsidR="00F8295E" w:rsidRPr="004E6C40" w:rsidRDefault="00F8295E" w:rsidP="001206F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w:t>
            </w:r>
            <w:r w:rsidRPr="00C90A58">
              <w:rPr>
                <w:rStyle w:val="normaltextrun"/>
                <w:rFonts w:ascii="Verdana" w:hAnsi="Verdana" w:cs="Arial"/>
                <w:sz w:val="16"/>
                <w:szCs w:val="16"/>
                <w:lang w:val="es-ES"/>
              </w:rPr>
              <w:t>ontratista</w:t>
            </w:r>
            <w:r w:rsidRPr="004E6C40">
              <w:rPr>
                <w:rStyle w:val="normaltextrun"/>
                <w:rFonts w:ascii="Verdana" w:hAnsi="Verdana" w:cs="Arial"/>
                <w:sz w:val="16"/>
                <w:szCs w:val="16"/>
                <w:lang w:val="es-ES"/>
              </w:rPr>
              <w:t xml:space="preserve"> de la Subdirección de Gestión Contractual</w:t>
            </w:r>
            <w:r w:rsidRPr="004E6C40">
              <w:rPr>
                <w:rStyle w:val="eop"/>
                <w:rFonts w:ascii="Verdana" w:hAnsi="Verdana" w:cs="Arial"/>
                <w:sz w:val="16"/>
                <w:szCs w:val="16"/>
              </w:rPr>
              <w:t> </w:t>
            </w:r>
          </w:p>
        </w:tc>
      </w:tr>
      <w:tr w:rsidR="00F8295E" w:rsidRPr="00593A5F" w14:paraId="4F9FF644" w14:textId="77777777" w:rsidTr="001206F7">
        <w:trPr>
          <w:trHeight w:val="300"/>
        </w:trPr>
        <w:tc>
          <w:tcPr>
            <w:tcW w:w="893" w:type="dxa"/>
            <w:vAlign w:val="center"/>
          </w:tcPr>
          <w:p w14:paraId="4EBF5F0A" w14:textId="77777777" w:rsidR="00F8295E" w:rsidRPr="004E6C40" w:rsidRDefault="00F8295E" w:rsidP="001206F7">
            <w:pPr>
              <w:contextualSpacing/>
              <w:rPr>
                <w:rFonts w:ascii="Verdana" w:hAnsi="Verdana" w:cs="Arial"/>
                <w:sz w:val="16"/>
                <w:szCs w:val="16"/>
                <w:lang w:val="es-ES" w:eastAsia="es-ES"/>
              </w:rPr>
            </w:pPr>
            <w:r w:rsidRPr="004E6C4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ADF308" w14:textId="77777777" w:rsidR="00F8295E" w:rsidRPr="004E6C40" w:rsidRDefault="00F8295E" w:rsidP="001206F7">
            <w:pPr>
              <w:contextualSpacing/>
              <w:rPr>
                <w:rFonts w:ascii="Verdana" w:eastAsia="Calibri" w:hAnsi="Verdana" w:cs="Arial"/>
                <w:sz w:val="16"/>
                <w:szCs w:val="16"/>
                <w:lang w:val="pt-BR" w:eastAsia="es-ES"/>
              </w:rPr>
            </w:pPr>
            <w:r w:rsidRPr="004E6C40">
              <w:rPr>
                <w:rFonts w:ascii="Verdana" w:eastAsia="Calibri" w:hAnsi="Verdana" w:cs="Arial"/>
                <w:sz w:val="16"/>
                <w:szCs w:val="16"/>
                <w:lang w:val="pt-BR" w:eastAsia="es-ES"/>
              </w:rPr>
              <w:t xml:space="preserve">Carolina Quintero </w:t>
            </w:r>
            <w:proofErr w:type="spellStart"/>
            <w:r w:rsidRPr="004E6C40">
              <w:rPr>
                <w:rFonts w:ascii="Verdana" w:eastAsia="Calibri" w:hAnsi="Verdana" w:cs="Arial"/>
                <w:sz w:val="16"/>
                <w:szCs w:val="16"/>
                <w:lang w:val="pt-BR" w:eastAsia="es-ES"/>
              </w:rPr>
              <w:t>Gacharná</w:t>
            </w:r>
            <w:proofErr w:type="spellEnd"/>
          </w:p>
          <w:p w14:paraId="12512FB5" w14:textId="77777777" w:rsidR="00F8295E" w:rsidRPr="004E6C40" w:rsidRDefault="00F8295E" w:rsidP="001206F7">
            <w:pPr>
              <w:contextualSpacing/>
              <w:rPr>
                <w:rFonts w:ascii="Verdana" w:eastAsia="Calibri" w:hAnsi="Verdana" w:cs="Arial"/>
                <w:sz w:val="16"/>
                <w:szCs w:val="16"/>
                <w:lang w:val="pt-BR" w:eastAsia="es-ES"/>
              </w:rPr>
            </w:pPr>
            <w:r w:rsidRPr="004E6C40">
              <w:rPr>
                <w:rFonts w:ascii="Verdana" w:eastAsia="Calibri" w:hAnsi="Verdana" w:cs="Arial"/>
                <w:sz w:val="16"/>
                <w:szCs w:val="16"/>
                <w:lang w:eastAsia="es-ES"/>
              </w:rPr>
              <w:t>Subdirectora</w:t>
            </w:r>
            <w:r w:rsidRPr="004E6C40">
              <w:rPr>
                <w:rFonts w:ascii="Verdana" w:eastAsia="Calibri" w:hAnsi="Verdana" w:cs="Arial"/>
                <w:sz w:val="16"/>
                <w:szCs w:val="16"/>
                <w:lang w:val="pt-BR" w:eastAsia="es-ES"/>
              </w:rPr>
              <w:t xml:space="preserve"> de Gestión </w:t>
            </w:r>
            <w:proofErr w:type="spellStart"/>
            <w:r w:rsidRPr="004E6C40">
              <w:rPr>
                <w:rFonts w:ascii="Verdana" w:eastAsia="Calibri" w:hAnsi="Verdana" w:cs="Arial"/>
                <w:sz w:val="16"/>
                <w:szCs w:val="16"/>
                <w:lang w:val="pt-BR" w:eastAsia="es-ES"/>
              </w:rPr>
              <w:t>Contra</w:t>
            </w:r>
            <w:r>
              <w:rPr>
                <w:rFonts w:ascii="Verdana" w:eastAsia="Calibri" w:hAnsi="Verdana" w:cs="Arial"/>
                <w:sz w:val="16"/>
                <w:szCs w:val="16"/>
                <w:lang w:val="pt-BR" w:eastAsia="es-ES"/>
              </w:rPr>
              <w:t>c</w:t>
            </w:r>
            <w:r w:rsidRPr="004E6C40">
              <w:rPr>
                <w:rFonts w:ascii="Verdana" w:eastAsia="Calibri" w:hAnsi="Verdana" w:cs="Arial"/>
                <w:sz w:val="16"/>
                <w:szCs w:val="16"/>
                <w:lang w:val="pt-BR" w:eastAsia="es-ES"/>
              </w:rPr>
              <w:t>tual</w:t>
            </w:r>
            <w:proofErr w:type="spellEnd"/>
            <w:r w:rsidRPr="004E6C40">
              <w:rPr>
                <w:rFonts w:ascii="Verdana" w:eastAsia="Calibri" w:hAnsi="Verdana" w:cs="Arial"/>
                <w:sz w:val="16"/>
                <w:szCs w:val="16"/>
                <w:lang w:val="pt-BR" w:eastAsia="es-ES"/>
              </w:rPr>
              <w:t xml:space="preserve"> ANCP – CCE</w:t>
            </w:r>
          </w:p>
        </w:tc>
      </w:tr>
    </w:tbl>
    <w:p w14:paraId="46B75B6E" w14:textId="77777777" w:rsidR="00322A85" w:rsidRPr="0044528D" w:rsidRDefault="00322A85" w:rsidP="00E245AB">
      <w:pPr>
        <w:spacing w:after="0"/>
        <w:jc w:val="both"/>
        <w:rPr>
          <w:rStyle w:val="Hipervnculo"/>
          <w:rFonts w:ascii="Verdana" w:hAnsi="Verdana"/>
        </w:rPr>
      </w:pPr>
    </w:p>
    <w:p w14:paraId="033B64CE" w14:textId="77777777" w:rsidR="002707A2" w:rsidRPr="0044528D" w:rsidRDefault="002707A2" w:rsidP="00E245AB">
      <w:pPr>
        <w:spacing w:after="0"/>
        <w:jc w:val="both"/>
        <w:rPr>
          <w:rStyle w:val="Hipervnculo"/>
          <w:rFonts w:ascii="Verdana" w:hAnsi="Verdana"/>
        </w:rPr>
      </w:pPr>
    </w:p>
    <w:p w14:paraId="1896DE26" w14:textId="77777777" w:rsidR="002707A2" w:rsidRPr="0044528D" w:rsidRDefault="002707A2" w:rsidP="00E245AB">
      <w:pPr>
        <w:spacing w:after="0"/>
        <w:jc w:val="both"/>
        <w:rPr>
          <w:rStyle w:val="Hipervnculo"/>
          <w:rFonts w:ascii="Verdana" w:hAnsi="Verdana"/>
        </w:rPr>
      </w:pPr>
    </w:p>
    <w:p w14:paraId="6ED50AD5" w14:textId="77777777" w:rsidR="002707A2" w:rsidRPr="0044528D" w:rsidRDefault="002707A2" w:rsidP="00E245AB">
      <w:pPr>
        <w:spacing w:after="0"/>
        <w:jc w:val="both"/>
        <w:rPr>
          <w:rStyle w:val="Hipervnculo"/>
          <w:rFonts w:ascii="Verdana" w:hAnsi="Verdana"/>
        </w:rPr>
      </w:pPr>
    </w:p>
    <w:p w14:paraId="7E0D729B" w14:textId="77777777" w:rsidR="002707A2" w:rsidRPr="0044528D" w:rsidRDefault="002707A2" w:rsidP="00E245AB">
      <w:pPr>
        <w:spacing w:after="0"/>
        <w:jc w:val="both"/>
        <w:rPr>
          <w:rStyle w:val="Hipervnculo"/>
          <w:rFonts w:ascii="Verdana" w:hAnsi="Verdana"/>
        </w:rPr>
      </w:pPr>
    </w:p>
    <w:p w14:paraId="64F28D6E" w14:textId="77777777" w:rsidR="002707A2" w:rsidRPr="0044528D" w:rsidRDefault="002707A2" w:rsidP="00E245AB">
      <w:pPr>
        <w:spacing w:after="0"/>
        <w:jc w:val="both"/>
        <w:rPr>
          <w:rStyle w:val="Hipervnculo"/>
          <w:rFonts w:ascii="Verdana" w:hAnsi="Verdana"/>
        </w:rPr>
      </w:pPr>
    </w:p>
    <w:p w14:paraId="4828AF2B" w14:textId="77777777" w:rsidR="002707A2" w:rsidRPr="0044528D" w:rsidRDefault="002707A2" w:rsidP="00E245AB">
      <w:pPr>
        <w:spacing w:after="0"/>
        <w:jc w:val="both"/>
        <w:rPr>
          <w:rStyle w:val="Hipervnculo"/>
          <w:rFonts w:ascii="Verdana" w:hAnsi="Verdana"/>
        </w:rPr>
      </w:pPr>
    </w:p>
    <w:p w14:paraId="5BD4E846" w14:textId="77777777" w:rsidR="002707A2" w:rsidRPr="0044528D" w:rsidRDefault="002707A2" w:rsidP="00E245AB">
      <w:pPr>
        <w:spacing w:after="0"/>
        <w:jc w:val="both"/>
        <w:rPr>
          <w:rStyle w:val="Hipervnculo"/>
          <w:rFonts w:ascii="Verdana" w:hAnsi="Verdana"/>
        </w:rPr>
      </w:pPr>
    </w:p>
    <w:bookmarkEnd w:id="0"/>
    <w:p w14:paraId="11DFB59A"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D52F1A">
      <w:headerReference w:type="default" r:id="rId18"/>
      <w:footerReference w:type="default" r:id="rId19"/>
      <w:pgSz w:w="12240" w:h="15840" w:code="1"/>
      <w:pgMar w:top="1417" w:right="1701" w:bottom="1417" w:left="1701" w:header="709" w:footer="9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6ADB" w14:textId="77777777" w:rsidR="000B68C1" w:rsidRDefault="000B68C1" w:rsidP="004A1847">
      <w:pPr>
        <w:spacing w:after="0" w:line="240" w:lineRule="auto"/>
      </w:pPr>
      <w:r>
        <w:separator/>
      </w:r>
    </w:p>
  </w:endnote>
  <w:endnote w:type="continuationSeparator" w:id="0">
    <w:p w14:paraId="098822EB" w14:textId="77777777" w:rsidR="000B68C1" w:rsidRDefault="000B68C1" w:rsidP="004A1847">
      <w:pPr>
        <w:spacing w:after="0" w:line="240" w:lineRule="auto"/>
      </w:pPr>
      <w:r>
        <w:continuationSeparator/>
      </w:r>
    </w:p>
  </w:endnote>
  <w:endnote w:type="continuationNotice" w:id="1">
    <w:p w14:paraId="737088F3" w14:textId="77777777" w:rsidR="000B68C1" w:rsidRDefault="000B68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3EB5" w14:textId="77777777" w:rsidR="004A1847" w:rsidRDefault="004A1847">
    <w:pPr>
      <w:pStyle w:val="Piedepgina"/>
    </w:pPr>
  </w:p>
  <w:p w14:paraId="74F563B7"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4FF6C01"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5DF140A"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6A10ADE1"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9868C" w14:textId="77777777" w:rsidR="000B68C1" w:rsidRDefault="000B68C1" w:rsidP="004A1847">
      <w:pPr>
        <w:spacing w:after="0" w:line="240" w:lineRule="auto"/>
      </w:pPr>
      <w:r>
        <w:separator/>
      </w:r>
    </w:p>
  </w:footnote>
  <w:footnote w:type="continuationSeparator" w:id="0">
    <w:p w14:paraId="3D19961C" w14:textId="77777777" w:rsidR="000B68C1" w:rsidRDefault="000B68C1" w:rsidP="004A1847">
      <w:pPr>
        <w:spacing w:after="0" w:line="240" w:lineRule="auto"/>
      </w:pPr>
      <w:r>
        <w:continuationSeparator/>
      </w:r>
    </w:p>
  </w:footnote>
  <w:footnote w:type="continuationNotice" w:id="1">
    <w:p w14:paraId="3B99CC44" w14:textId="77777777" w:rsidR="000B68C1" w:rsidRDefault="000B68C1">
      <w:pPr>
        <w:spacing w:after="0" w:line="240" w:lineRule="auto"/>
      </w:pPr>
    </w:p>
  </w:footnote>
  <w:footnote w:id="2">
    <w:p w14:paraId="4E468533"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270CE79"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CAD9C5F"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6B54CCFE"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p>
  </w:footnote>
  <w:footnote w:id="3">
    <w:p w14:paraId="2F490D02"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2084CC63"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p>
  </w:footnote>
  <w:footnote w:id="4">
    <w:p w14:paraId="21A1B075"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52FB3EB6" w14:textId="77777777" w:rsidR="00F8295E" w:rsidRPr="00A7405A" w:rsidRDefault="00F8295E" w:rsidP="00F8295E">
      <w:pPr>
        <w:pStyle w:val="Textonotapie"/>
        <w:ind w:firstLine="709"/>
        <w:jc w:val="both"/>
        <w:rPr>
          <w:rFonts w:ascii="Verdana" w:hAnsi="Verdana" w:cs="Arial"/>
          <w:color w:val="000000" w:themeColor="text1"/>
          <w:sz w:val="16"/>
          <w:szCs w:val="16"/>
          <w:lang w:val="es-ES"/>
        </w:rPr>
      </w:pPr>
    </w:p>
  </w:footnote>
  <w:footnote w:id="5">
    <w:p w14:paraId="0BA1AD87"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190 de 1995: </w:t>
      </w:r>
      <w:r>
        <w:rPr>
          <w:rFonts w:ascii="Verdana" w:hAnsi="Verdana" w:cs="Arial"/>
          <w:color w:val="000000" w:themeColor="text1"/>
          <w:sz w:val="16"/>
          <w:szCs w:val="16"/>
        </w:rPr>
        <w:t>“</w:t>
      </w:r>
      <w:r w:rsidRPr="00A7405A">
        <w:rPr>
          <w:rFonts w:ascii="Verdana" w:hAnsi="Verdana" w:cs="Arial"/>
          <w:color w:val="000000" w:themeColor="text1"/>
          <w:sz w:val="16"/>
          <w:szCs w:val="16"/>
        </w:rPr>
        <w:t>Artículo 1.</w:t>
      </w:r>
      <w:r w:rsidRPr="00A7405A">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548ACC9D"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6BD88231"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6C0785DD"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77A7570F"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4. En caso de personas jurídicas, el correspondiente certificado que acredite la representación legal.</w:t>
      </w:r>
    </w:p>
    <w:p w14:paraId="69C3CA51" w14:textId="77777777" w:rsidR="00F8295E" w:rsidRDefault="00F8295E" w:rsidP="00F8295E">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w:t>
      </w:r>
      <w:r>
        <w:rPr>
          <w:rFonts w:ascii="Verdana" w:hAnsi="Verdana" w:cs="Arial"/>
          <w:color w:val="000000" w:themeColor="text1"/>
          <w:sz w:val="16"/>
          <w:szCs w:val="16"/>
          <w:lang w:val="es-CO"/>
        </w:rPr>
        <w:t>”.</w:t>
      </w:r>
    </w:p>
    <w:p w14:paraId="1735669C" w14:textId="77777777" w:rsidR="00F8295E" w:rsidRPr="00A7405A" w:rsidRDefault="00F8295E" w:rsidP="00F8295E">
      <w:pPr>
        <w:pStyle w:val="Textonotapie"/>
        <w:ind w:firstLine="708"/>
        <w:jc w:val="both"/>
        <w:rPr>
          <w:rFonts w:ascii="Verdana" w:hAnsi="Verdana" w:cs="Arial"/>
          <w:color w:val="000000" w:themeColor="text1"/>
          <w:sz w:val="16"/>
          <w:szCs w:val="16"/>
          <w:lang w:val="es-CO"/>
        </w:rPr>
      </w:pPr>
    </w:p>
  </w:footnote>
  <w:footnote w:id="6">
    <w:p w14:paraId="76AE38B3" w14:textId="77777777" w:rsidR="00F8295E" w:rsidRPr="00A7405A" w:rsidRDefault="00F8295E" w:rsidP="00F8295E">
      <w:pPr>
        <w:shd w:val="clear" w:color="auto" w:fill="FFFFFF"/>
        <w:spacing w:after="0"/>
        <w:ind w:firstLine="708"/>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572B8">
        <w:rPr>
          <w:rFonts w:ascii="Verdana" w:hAnsi="Verdana" w:cs="Arial"/>
          <w:color w:val="000000" w:themeColor="text1"/>
          <w:sz w:val="16"/>
          <w:szCs w:val="16"/>
        </w:rPr>
        <w:t>CORTE CONSTITUCIONAL</w:t>
      </w:r>
      <w:r w:rsidRPr="00A7405A">
        <w:rPr>
          <w:rFonts w:ascii="Verdana" w:hAnsi="Verdana" w:cs="Arial"/>
          <w:color w:val="000000" w:themeColor="text1"/>
          <w:sz w:val="16"/>
          <w:szCs w:val="16"/>
        </w:rPr>
        <w:t>. Sentencia C – 697 del 14 de junio de 2000. Expediente D-2662. Magistrado Ponente: Eduardo Cifuentes Muñoz.</w:t>
      </w:r>
    </w:p>
  </w:footnote>
  <w:footnote w:id="7">
    <w:p w14:paraId="14C2168D" w14:textId="77777777" w:rsidR="00F8295E" w:rsidRPr="00A7405A" w:rsidRDefault="00F8295E" w:rsidP="00F8295E">
      <w:pPr>
        <w:pStyle w:val="Textonotapie"/>
        <w:ind w:firstLine="709"/>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270 de 1996: “Artículo 85. Funciones administrativas. Corresponde a la Sala Administrativa del Consejo Superior de la Judicatura:</w:t>
      </w:r>
    </w:p>
    <w:p w14:paraId="74E7EBDF" w14:textId="77777777" w:rsidR="00F8295E" w:rsidRPr="00A7405A" w:rsidRDefault="00F8295E" w:rsidP="00F8295E">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w:t>
      </w:r>
    </w:p>
    <w:p w14:paraId="0050C340" w14:textId="77777777" w:rsidR="00F8295E" w:rsidRPr="00A7405A" w:rsidRDefault="00F8295E" w:rsidP="00F8295E">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p>
    <w:p w14:paraId="355F1DD5" w14:textId="77777777" w:rsidR="00F8295E" w:rsidRPr="00A7405A" w:rsidRDefault="00F8295E" w:rsidP="00F8295E">
      <w:pPr>
        <w:pStyle w:val="Textonotapie"/>
        <w:ind w:firstLine="709"/>
        <w:jc w:val="both"/>
        <w:rPr>
          <w:rFonts w:ascii="Verdana" w:hAnsi="Verdana" w:cs="Arial"/>
          <w:color w:val="000000" w:themeColor="text1"/>
          <w:sz w:val="16"/>
          <w:szCs w:val="16"/>
        </w:rPr>
      </w:pPr>
    </w:p>
  </w:footnote>
  <w:footnote w:id="8">
    <w:p w14:paraId="1D0834F9" w14:textId="77777777" w:rsidR="00F8295E" w:rsidRDefault="00F8295E" w:rsidP="00F8295E">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w:t>
      </w:r>
      <w:r w:rsidRPr="009A1A02">
        <w:rPr>
          <w:rFonts w:ascii="Verdana" w:hAnsi="Verdana"/>
          <w:sz w:val="16"/>
          <w:szCs w:val="16"/>
        </w:rPr>
        <w:t>CORTE CONSTITUCIONAL</w:t>
      </w:r>
      <w:r w:rsidRPr="00A7405A">
        <w:rPr>
          <w:rFonts w:ascii="Verdana" w:hAnsi="Verdana"/>
          <w:sz w:val="16"/>
          <w:szCs w:val="16"/>
        </w:rPr>
        <w:t>, Sentencia SU</w:t>
      </w:r>
      <w:r w:rsidRPr="00D96C70">
        <w:rPr>
          <w:rFonts w:ascii="Verdana" w:hAnsi="Verdana"/>
          <w:sz w:val="16"/>
          <w:szCs w:val="16"/>
        </w:rPr>
        <w:t>-</w:t>
      </w:r>
      <w:r w:rsidRPr="00A7405A">
        <w:rPr>
          <w:rFonts w:ascii="Verdana" w:hAnsi="Verdana"/>
          <w:sz w:val="16"/>
          <w:szCs w:val="16"/>
        </w:rPr>
        <w:t xml:space="preserve">128 del 18 de abril de 2024.  M.P. </w:t>
      </w:r>
      <w:r w:rsidRPr="00A7405A">
        <w:rPr>
          <w:rFonts w:ascii="Verdana" w:hAnsi="Verdana"/>
          <w:sz w:val="16"/>
          <w:szCs w:val="16"/>
          <w:lang w:val="es-CO"/>
        </w:rPr>
        <w:t>Natalia Ángel Cabo.</w:t>
      </w:r>
      <w:r w:rsidRPr="00A7405A">
        <w:rPr>
          <w:rFonts w:ascii="Verdana" w:hAnsi="Verdana"/>
          <w:sz w:val="16"/>
          <w:szCs w:val="16"/>
        </w:rPr>
        <w:t xml:space="preserve"> </w:t>
      </w:r>
    </w:p>
    <w:p w14:paraId="5EE4E5FC" w14:textId="77777777" w:rsidR="00F8295E" w:rsidRPr="00A7405A" w:rsidRDefault="00F8295E" w:rsidP="00F8295E">
      <w:pPr>
        <w:pStyle w:val="Textonotapie"/>
        <w:ind w:firstLine="708"/>
        <w:jc w:val="both"/>
        <w:rPr>
          <w:rFonts w:ascii="Verdana" w:hAnsi="Verdana"/>
          <w:sz w:val="16"/>
          <w:szCs w:val="16"/>
        </w:rPr>
      </w:pPr>
    </w:p>
  </w:footnote>
  <w:footnote w:id="9">
    <w:p w14:paraId="0E57D0DD" w14:textId="77777777" w:rsidR="00F8295E" w:rsidRPr="00A7405A" w:rsidRDefault="00F8295E" w:rsidP="00F8295E">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w:t>
      </w:r>
      <w:r>
        <w:rPr>
          <w:rFonts w:ascii="Verdana" w:hAnsi="Verdana"/>
          <w:sz w:val="16"/>
          <w:szCs w:val="16"/>
        </w:rPr>
        <w:t xml:space="preserve">. </w:t>
      </w:r>
    </w:p>
  </w:footnote>
  <w:footnote w:id="10">
    <w:p w14:paraId="59F4595E" w14:textId="77777777" w:rsidR="00F8295E" w:rsidRPr="00A7405A" w:rsidRDefault="00F8295E" w:rsidP="00F8295E">
      <w:pPr>
        <w:pStyle w:val="Textonotapie"/>
        <w:ind w:firstLine="708"/>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5600"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767542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2122471" name="Imagen 2212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90F239" w14:textId="77777777" w:rsidR="00756841" w:rsidRDefault="00756841">
    <w:pPr>
      <w:pStyle w:val="Encabezado"/>
    </w:pPr>
  </w:p>
  <w:p w14:paraId="4AA965B3" w14:textId="77777777" w:rsidR="00DC39FC" w:rsidRDefault="00DC39FC" w:rsidP="004A305D">
    <w:pPr>
      <w:spacing w:after="0"/>
      <w:rPr>
        <w:rFonts w:ascii="Verdana" w:hAnsi="Verdana"/>
        <w:b/>
        <w:bCs/>
      </w:rPr>
    </w:pPr>
  </w:p>
  <w:p w14:paraId="5FAF5A91" w14:textId="77777777" w:rsidR="004A305D" w:rsidRPr="00DC39FC" w:rsidRDefault="004A305D" w:rsidP="004A305D">
    <w:pPr>
      <w:spacing w:after="0"/>
      <w:rPr>
        <w:rFonts w:ascii="Verdana" w:hAnsi="Verdana"/>
        <w:b/>
        <w:bCs/>
      </w:rPr>
    </w:pPr>
    <w:r w:rsidRPr="00DC39FC">
      <w:rPr>
        <w:rFonts w:ascii="Verdana" w:hAnsi="Verdana"/>
        <w:b/>
        <w:bCs/>
      </w:rPr>
      <w:t>FORMATO PQRSD</w:t>
    </w:r>
  </w:p>
  <w:p w14:paraId="65326502" w14:textId="77777777" w:rsidR="004A305D" w:rsidRPr="004A305D" w:rsidRDefault="004A305D" w:rsidP="00B01B1A">
    <w:pPr>
      <w:spacing w:after="0" w:line="120" w:lineRule="auto"/>
      <w:rPr>
        <w:rFonts w:ascii="Century Gothic" w:eastAsia="Geo" w:hAnsi="Century Gothic" w:cs="Geo"/>
        <w:sz w:val="16"/>
        <w:szCs w:val="16"/>
        <w:lang w:eastAsia="es-CO"/>
      </w:rPr>
    </w:pPr>
  </w:p>
  <w:p w14:paraId="5959F2FD"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75433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17789836" o:spid="_x0000_i1025" type="#_x0000_t75" style="width:11.25pt;height:11.25pt;visibility:visible;mso-wrap-style:square">
            <v:imagedata r:id="rId1" o:title=""/>
          </v:shape>
        </w:pict>
      </mc:Choice>
      <mc:Fallback>
        <w:drawing>
          <wp:inline distT="0" distB="0" distL="0" distR="0" wp14:anchorId="33AA3AC5" wp14:editId="249D6738">
            <wp:extent cx="142875" cy="142875"/>
            <wp:effectExtent l="0" t="0" r="0" b="0"/>
            <wp:docPr id="1917789836" name="Imagen 1917789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605"/>
    <w:rsid w:val="00016F78"/>
    <w:rsid w:val="00046945"/>
    <w:rsid w:val="00061B2A"/>
    <w:rsid w:val="00082362"/>
    <w:rsid w:val="000A683E"/>
    <w:rsid w:val="000B19B9"/>
    <w:rsid w:val="000B68C1"/>
    <w:rsid w:val="000D0334"/>
    <w:rsid w:val="000F6486"/>
    <w:rsid w:val="00125105"/>
    <w:rsid w:val="00127233"/>
    <w:rsid w:val="001511A0"/>
    <w:rsid w:val="00165D05"/>
    <w:rsid w:val="001A438E"/>
    <w:rsid w:val="001E4177"/>
    <w:rsid w:val="001F7DC6"/>
    <w:rsid w:val="002421BB"/>
    <w:rsid w:val="0025796E"/>
    <w:rsid w:val="002707A2"/>
    <w:rsid w:val="00292A47"/>
    <w:rsid w:val="002951A0"/>
    <w:rsid w:val="002962BC"/>
    <w:rsid w:val="002A093D"/>
    <w:rsid w:val="002A0DD0"/>
    <w:rsid w:val="002A49AC"/>
    <w:rsid w:val="002A64FD"/>
    <w:rsid w:val="002B0B4E"/>
    <w:rsid w:val="002C7A84"/>
    <w:rsid w:val="002E4FD9"/>
    <w:rsid w:val="002F0FE9"/>
    <w:rsid w:val="00306991"/>
    <w:rsid w:val="00322A85"/>
    <w:rsid w:val="00324168"/>
    <w:rsid w:val="00324985"/>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0B28"/>
    <w:rsid w:val="004F21C4"/>
    <w:rsid w:val="004F685F"/>
    <w:rsid w:val="00532AAB"/>
    <w:rsid w:val="005566E8"/>
    <w:rsid w:val="00574867"/>
    <w:rsid w:val="00591460"/>
    <w:rsid w:val="005B2456"/>
    <w:rsid w:val="005B3816"/>
    <w:rsid w:val="005B6859"/>
    <w:rsid w:val="005C3777"/>
    <w:rsid w:val="005C5CDC"/>
    <w:rsid w:val="005D476C"/>
    <w:rsid w:val="006219F8"/>
    <w:rsid w:val="00665D70"/>
    <w:rsid w:val="006900D9"/>
    <w:rsid w:val="00706C16"/>
    <w:rsid w:val="007166D0"/>
    <w:rsid w:val="00741882"/>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E34F5"/>
    <w:rsid w:val="008E3531"/>
    <w:rsid w:val="008F0EA7"/>
    <w:rsid w:val="00923EEF"/>
    <w:rsid w:val="00927C82"/>
    <w:rsid w:val="009419F9"/>
    <w:rsid w:val="0095685E"/>
    <w:rsid w:val="00961B09"/>
    <w:rsid w:val="00965334"/>
    <w:rsid w:val="0097093E"/>
    <w:rsid w:val="00986AC5"/>
    <w:rsid w:val="009A0DFA"/>
    <w:rsid w:val="009B2D26"/>
    <w:rsid w:val="009C45B4"/>
    <w:rsid w:val="009C71FA"/>
    <w:rsid w:val="009C72E7"/>
    <w:rsid w:val="009D3058"/>
    <w:rsid w:val="009E02A1"/>
    <w:rsid w:val="009E4F59"/>
    <w:rsid w:val="009F3A13"/>
    <w:rsid w:val="00A122D3"/>
    <w:rsid w:val="00A17F13"/>
    <w:rsid w:val="00A20739"/>
    <w:rsid w:val="00A32B52"/>
    <w:rsid w:val="00A33C78"/>
    <w:rsid w:val="00A5390D"/>
    <w:rsid w:val="00A769D9"/>
    <w:rsid w:val="00AB0ADB"/>
    <w:rsid w:val="00AB77B8"/>
    <w:rsid w:val="00AF5D2B"/>
    <w:rsid w:val="00B01B1A"/>
    <w:rsid w:val="00B34770"/>
    <w:rsid w:val="00B66319"/>
    <w:rsid w:val="00B72CD3"/>
    <w:rsid w:val="00B72FFF"/>
    <w:rsid w:val="00BC3D36"/>
    <w:rsid w:val="00BD7F72"/>
    <w:rsid w:val="00C04FB3"/>
    <w:rsid w:val="00C31369"/>
    <w:rsid w:val="00C330EB"/>
    <w:rsid w:val="00C41061"/>
    <w:rsid w:val="00C5027F"/>
    <w:rsid w:val="00C754BE"/>
    <w:rsid w:val="00C76B1C"/>
    <w:rsid w:val="00CB6357"/>
    <w:rsid w:val="00CC1B26"/>
    <w:rsid w:val="00CD7C4D"/>
    <w:rsid w:val="00D0134F"/>
    <w:rsid w:val="00D423A2"/>
    <w:rsid w:val="00D520D8"/>
    <w:rsid w:val="00D52F1A"/>
    <w:rsid w:val="00D63AC2"/>
    <w:rsid w:val="00D7383B"/>
    <w:rsid w:val="00DA231B"/>
    <w:rsid w:val="00DC39FC"/>
    <w:rsid w:val="00DF5254"/>
    <w:rsid w:val="00E16408"/>
    <w:rsid w:val="00E20894"/>
    <w:rsid w:val="00E245AB"/>
    <w:rsid w:val="00E2764C"/>
    <w:rsid w:val="00E27F2E"/>
    <w:rsid w:val="00E44E97"/>
    <w:rsid w:val="00E50AFE"/>
    <w:rsid w:val="00E75C92"/>
    <w:rsid w:val="00E771DC"/>
    <w:rsid w:val="00E8772A"/>
    <w:rsid w:val="00E90F6B"/>
    <w:rsid w:val="00E92C27"/>
    <w:rsid w:val="00EA0E3D"/>
    <w:rsid w:val="00EC38A7"/>
    <w:rsid w:val="00EC6F7B"/>
    <w:rsid w:val="00ED7384"/>
    <w:rsid w:val="00EE1AA8"/>
    <w:rsid w:val="00F1258B"/>
    <w:rsid w:val="00F31EDC"/>
    <w:rsid w:val="00F462B3"/>
    <w:rsid w:val="00F5664F"/>
    <w:rsid w:val="00F666C4"/>
    <w:rsid w:val="00F71042"/>
    <w:rsid w:val="00F76AFC"/>
    <w:rsid w:val="00F8295E"/>
    <w:rsid w:val="00F92F8A"/>
    <w:rsid w:val="00FA47C0"/>
    <w:rsid w:val="00FB5DD1"/>
    <w:rsid w:val="00FC2B5D"/>
    <w:rsid w:val="00FF1449"/>
    <w:rsid w:val="0A85AC47"/>
    <w:rsid w:val="4540467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8295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8295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andreina.cerpa%40colombiacompra.gov.co%7Ceb0fd05604104aa4d3bc08dd4c4ad35e%7C7b09041e245149d08cb179d5e3d8c1be%7C0%7C0%7C638750606447895053%7CUnknown%7CTWFpbGZsb3d8eyJFbXB0eU1hcGkiOnRydWUsIlYiOiIwLjAuMDAwMCIsIlAiOiJXaW4zMiIsIkFOIjoiTWFpbCIsIldUIjoyfQ%3D%3D%7C0%7C%7C%7C&amp;sdata=a8xyUtMHiOk6RLk2D35JAy%2FliMsXOj1BYmFpQ2xQiy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maria.nieto%40colombiacompra.gov.co%7C603e1a9f513d4811571608dd8e333a73%7C7b09041e245149d08cb179d5e3d8c1be%7C0%7C0%7C638823072862017242%7CUnknown%7CTWFpbGZsb3d8eyJFbXB0eU1hcGkiOnRydWUsIlYiOiIwLjAuMDAwMCIsIlAiOiJXaW4zMiIsIkFOIjoiTWFpbCIsIldUIjoyfQ%3D%3D%7C0%7C%7C%7C&amp;sdata=BJuCtxQJJ%2BLmMiqogfzLo794CYXbQnhZU5Y35KruRU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ferojas0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eb0fd05604104aa4d3bc08dd4c4ad35e%7C7b09041e245149d08cb179d5e3d8c1be%7C0%7C0%7C638750606447940238%7CUnknown%7CTWFpbGZsb3d8eyJFbXB0eU1hcGkiOnRydWUsIlYiOiIwLjAuMDAwMCIsIlAiOiJXaW4zMiIsIkFOIjoiTWFpbCIsIldUIjoyfQ%3D%3D%7C0%7C%7C%7C&amp;sdata=OmL%2F0ctm0vRXJWVBcMEKHNKa0xqg1Tiz%2FcrVCZUihaE%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andreina.cerpa%40colombiacompra.gov.co%7Ceb0fd05604104aa4d3bc08dd4c4ad35e%7C7b09041e245149d08cb179d5e3d8c1be%7C0%7C0%7C638750606447924908%7CUnknown%7CTWFpbGZsb3d8eyJFbXB0eU1hcGkiOnRydWUsIlYiOiIwLjAuMDAwMCIsIlAiOiJXaW4zMiIsIkFOIjoiTWFpbCIsIldUIjoyfQ%3D%3D%7C0%7C%7C%7C&amp;sdata=0B5Kp3%2BAAJ2rax0dS2VxkYjhTPh2crBeqerdkKiCMC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445A964-EBA1-44A6-9821-CBB355D3CE7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6903</Words>
  <Characters>37969</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44783</CharactersWithSpaces>
  <SharedDoc>false</SharedDoc>
  <HLinks>
    <vt:vector size="30" baseType="variant">
      <vt:variant>
        <vt:i4>7798845</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andreina.cerpa%40colombiacompra.gov.co%7Ceb0fd05604104aa4d3bc08dd4c4ad35e%7C7b09041e245149d08cb179d5e3d8c1be%7C0%7C0%7C638750606447940238%7CUnknown%7CTWFpbGZsb3d8eyJFbXB0eU1hcGkiOnRydWUsIlYiOiIwLjAuMDAwMCIsIlAiOiJXaW4zMiIsIkFOIjoiTWFpbCIsIldUIjoyfQ%3D%3D%7C0%7C%7C%7C&amp;sdata=OmL%2F0ctm0vRXJWVBcMEKHNKa0xqg1Tiz%2FcrVCZUihaE%3D&amp;reserved=0</vt:lpwstr>
      </vt:variant>
      <vt:variant>
        <vt:lpwstr/>
      </vt:variant>
      <vt:variant>
        <vt:i4>6488110</vt:i4>
      </vt:variant>
      <vt:variant>
        <vt:i4>9</vt:i4>
      </vt:variant>
      <vt:variant>
        <vt:i4>0</vt:i4>
      </vt:variant>
      <vt:variant>
        <vt:i4>5</vt:i4>
      </vt:variant>
      <vt:variant>
        <vt:lpwstr>https://nam02.safelinks.protection.outlook.com/?url=https%3A%2F%2Fwww.colombiacompra.gov.co%2Fciudadanos%2Fcalendario&amp;data=05%7C02%7Candreina.cerpa%40colombiacompra.gov.co%7Ceb0fd05604104aa4d3bc08dd4c4ad35e%7C7b09041e245149d08cb179d5e3d8c1be%7C0%7C0%7C638750606447924908%7CUnknown%7CTWFpbGZsb3d8eyJFbXB0eU1hcGkiOnRydWUsIlYiOiIwLjAuMDAwMCIsIlAiOiJXaW4zMiIsIkFOIjoiTWFpbCIsIldUIjoyfQ%3D%3D%7C0%7C%7C%7C&amp;sdata=0B5Kp3%2BAAJ2rax0dS2VxkYjhTPh2crBeqerdkKiCMCc%3D&amp;reserved=0</vt:lpwstr>
      </vt:variant>
      <vt:variant>
        <vt:lpwstr/>
      </vt:variant>
      <vt:variant>
        <vt:i4>3670050</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andreina.cerpa%40colombiacompra.gov.co%7Ceb0fd05604104aa4d3bc08dd4c4ad35e%7C7b09041e245149d08cb179d5e3d8c1be%7C0%7C0%7C638750606447895053%7CUnknown%7CTWFpbGZsb3d8eyJFbXB0eU1hcGkiOnRydWUsIlYiOiIwLjAuMDAwMCIsIlAiOiJXaW4zMiIsIkFOIjoiTWFpbCIsIldUIjoyfQ%3D%3D%7C0%7C%7C%7C&amp;sdata=a8xyUtMHiOk6RLk2D35JAy%2FliMsXOj1BYmFpQ2xQiyM%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3014682</vt:i4>
      </vt:variant>
      <vt:variant>
        <vt:i4>0</vt:i4>
      </vt:variant>
      <vt:variant>
        <vt:i4>0</vt:i4>
      </vt:variant>
      <vt:variant>
        <vt:i4>5</vt:i4>
      </vt:variant>
      <vt:variant>
        <vt:lpwstr>mailto:maferojas03@hotmail.com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4</cp:revision>
  <cp:lastPrinted>2023-01-10T21:18:00Z</cp:lastPrinted>
  <dcterms:created xsi:type="dcterms:W3CDTF">2025-05-16T19:10:00Z</dcterms:created>
  <dcterms:modified xsi:type="dcterms:W3CDTF">2025-05-16T21:28:00Z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