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DD2D5" w14:textId="77777777" w:rsidR="00780961" w:rsidRPr="009E0887" w:rsidRDefault="00780961" w:rsidP="00780961">
      <w:pPr>
        <w:widowControl w:val="0"/>
        <w:autoSpaceDE w:val="0"/>
        <w:autoSpaceDN w:val="0"/>
        <w:spacing w:after="0" w:line="240" w:lineRule="auto"/>
        <w:ind w:right="109"/>
        <w:jc w:val="both"/>
        <w:rPr>
          <w:rFonts w:ascii="Verdana" w:eastAsia="Arial" w:hAnsi="Verdana" w:cs="Arial"/>
          <w:b/>
          <w:bCs/>
          <w:lang w:val="es-ES"/>
        </w:rPr>
      </w:pPr>
      <w:bookmarkStart w:id="0" w:name="_Hlk143780582"/>
      <w:r w:rsidRPr="009E0887">
        <w:rPr>
          <w:rFonts w:ascii="Verdana" w:eastAsia="Arial" w:hAnsi="Verdana" w:cs="Arial"/>
          <w:b/>
          <w:bCs/>
          <w:lang w:val="es-ES"/>
        </w:rPr>
        <w:t xml:space="preserve">CONTRATO – Definición </w:t>
      </w:r>
    </w:p>
    <w:p w14:paraId="4FCDF8BD" w14:textId="77777777" w:rsidR="00780961" w:rsidRPr="009E0887" w:rsidRDefault="00780961" w:rsidP="00780961">
      <w:pPr>
        <w:widowControl w:val="0"/>
        <w:autoSpaceDE w:val="0"/>
        <w:autoSpaceDN w:val="0"/>
        <w:spacing w:after="0" w:line="240" w:lineRule="auto"/>
        <w:ind w:right="109"/>
        <w:jc w:val="both"/>
        <w:rPr>
          <w:rFonts w:ascii="Verdana" w:eastAsia="Arial" w:hAnsi="Verdana" w:cs="Arial"/>
          <w:b/>
          <w:bCs/>
          <w:sz w:val="20"/>
          <w:szCs w:val="20"/>
          <w:lang w:val="es-ES"/>
        </w:rPr>
      </w:pPr>
    </w:p>
    <w:p w14:paraId="2BCC4FD1" w14:textId="77777777" w:rsidR="00780961" w:rsidRPr="009E0887" w:rsidRDefault="00780961" w:rsidP="00780961">
      <w:pPr>
        <w:widowControl w:val="0"/>
        <w:autoSpaceDE w:val="0"/>
        <w:autoSpaceDN w:val="0"/>
        <w:spacing w:after="0" w:line="240" w:lineRule="auto"/>
        <w:ind w:right="109"/>
        <w:jc w:val="both"/>
        <w:rPr>
          <w:rFonts w:ascii="Verdana" w:eastAsia="Arial" w:hAnsi="Verdana" w:cs="Arial"/>
          <w:color w:val="000000" w:themeColor="text1"/>
          <w:sz w:val="20"/>
          <w:szCs w:val="20"/>
          <w:lang w:val="es-ES_tradnl"/>
        </w:rPr>
      </w:pPr>
      <w:r w:rsidRPr="009E0887">
        <w:rPr>
          <w:rFonts w:ascii="Verdana" w:eastAsia="Arial" w:hAnsi="Verdana" w:cs="Arial"/>
          <w:color w:val="000000" w:themeColor="text1"/>
          <w:sz w:val="20"/>
          <w:szCs w:val="20"/>
          <w:lang w:val="es-ES_tradnl" w:eastAsia="es-ES_tradnl"/>
        </w:rPr>
        <w:t>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w:t>
      </w:r>
      <w:r w:rsidRPr="009E0887">
        <w:rPr>
          <w:rFonts w:ascii="Verdana" w:eastAsia="Arial" w:hAnsi="Verdana" w:cs="Arial"/>
          <w:color w:val="000000" w:themeColor="text1"/>
          <w:sz w:val="20"/>
          <w:szCs w:val="20"/>
          <w:lang w:val="es-ES_tradnl"/>
        </w:rPr>
        <w:t xml:space="preserve">. </w:t>
      </w:r>
    </w:p>
    <w:p w14:paraId="581EC0A4" w14:textId="77777777" w:rsidR="00780961" w:rsidRPr="009E0887" w:rsidRDefault="00780961" w:rsidP="00780961">
      <w:pPr>
        <w:widowControl w:val="0"/>
        <w:autoSpaceDE w:val="0"/>
        <w:autoSpaceDN w:val="0"/>
        <w:spacing w:after="0" w:line="240" w:lineRule="auto"/>
        <w:ind w:right="109"/>
        <w:jc w:val="both"/>
        <w:rPr>
          <w:rFonts w:ascii="Verdana" w:eastAsia="Arial" w:hAnsi="Verdana" w:cs="Arial"/>
          <w:b/>
          <w:bCs/>
          <w:sz w:val="20"/>
          <w:szCs w:val="20"/>
          <w:lang w:val="es-ES"/>
        </w:rPr>
      </w:pPr>
    </w:p>
    <w:p w14:paraId="2ED14ADE" w14:textId="77777777" w:rsidR="00780961" w:rsidRPr="009E0887" w:rsidRDefault="00780961" w:rsidP="00780961">
      <w:pPr>
        <w:widowControl w:val="0"/>
        <w:autoSpaceDE w:val="0"/>
        <w:autoSpaceDN w:val="0"/>
        <w:spacing w:after="0" w:line="240" w:lineRule="auto"/>
        <w:ind w:right="109"/>
        <w:jc w:val="both"/>
        <w:rPr>
          <w:rFonts w:ascii="Verdana" w:eastAsia="Arial" w:hAnsi="Verdana" w:cs="Arial"/>
          <w:b/>
          <w:bCs/>
          <w:color w:val="000000" w:themeColor="text1"/>
          <w:lang w:val="es-ES_tradnl"/>
        </w:rPr>
      </w:pPr>
      <w:r w:rsidRPr="009E0887">
        <w:rPr>
          <w:rFonts w:ascii="Verdana" w:eastAsia="Arial" w:hAnsi="Verdana" w:cs="Arial"/>
          <w:b/>
          <w:bCs/>
          <w:lang w:val="es-ES"/>
        </w:rPr>
        <w:t xml:space="preserve">CONTRATO ESTATAL – Definición </w:t>
      </w:r>
    </w:p>
    <w:p w14:paraId="2E31E0B8" w14:textId="77777777" w:rsidR="00780961" w:rsidRPr="009E0887" w:rsidRDefault="00780961" w:rsidP="00780961">
      <w:pPr>
        <w:widowControl w:val="0"/>
        <w:autoSpaceDE w:val="0"/>
        <w:autoSpaceDN w:val="0"/>
        <w:spacing w:after="0" w:line="240" w:lineRule="auto"/>
        <w:jc w:val="both"/>
        <w:rPr>
          <w:rFonts w:ascii="Verdana" w:eastAsia="Arial" w:hAnsi="Verdana" w:cs="Arial"/>
          <w:color w:val="000000" w:themeColor="text1"/>
          <w:sz w:val="20"/>
          <w:szCs w:val="20"/>
          <w:lang w:val="es-ES_tradnl"/>
        </w:rPr>
      </w:pPr>
    </w:p>
    <w:p w14:paraId="4A86C3EA" w14:textId="77777777" w:rsidR="00780961" w:rsidRPr="009E0887" w:rsidRDefault="00780961" w:rsidP="00780961">
      <w:pPr>
        <w:widowControl w:val="0"/>
        <w:autoSpaceDE w:val="0"/>
        <w:autoSpaceDN w:val="0"/>
        <w:spacing w:after="0" w:line="240" w:lineRule="auto"/>
        <w:jc w:val="both"/>
        <w:rPr>
          <w:rFonts w:ascii="Verdana" w:eastAsia="Arial" w:hAnsi="Verdana" w:cs="Arial"/>
          <w:color w:val="000000" w:themeColor="text1"/>
          <w:sz w:val="20"/>
          <w:szCs w:val="20"/>
          <w:lang w:val="es-ES_tradnl"/>
        </w:rPr>
      </w:pPr>
      <w:r w:rsidRPr="009E0887">
        <w:rPr>
          <w:rFonts w:ascii="Verdana" w:eastAsia="Arial" w:hAnsi="Verdana" w:cs="Arial"/>
          <w:color w:val="000000" w:themeColor="text1"/>
          <w:sz w:val="20"/>
          <w:szCs w:val="20"/>
          <w:lang w:val="es-ES_tradnl"/>
        </w:rPr>
        <w:t xml:space="preserve">[…] </w:t>
      </w:r>
      <w:r w:rsidRPr="009E0887">
        <w:rPr>
          <w:rFonts w:ascii="Verdana" w:eastAsia="Arial" w:hAnsi="Verdana" w:cs="Arial"/>
          <w:color w:val="000000" w:themeColor="text1"/>
          <w:sz w:val="20"/>
          <w:szCs w:val="20"/>
          <w:lang w:val="es-ES_tradnl" w:eastAsia="es-ES_tradnl"/>
        </w:rPr>
        <w:t xml:space="preserve">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9E0887">
        <w:rPr>
          <w:rFonts w:ascii="Verdana" w:eastAsia="Arial" w:hAnsi="Verdana" w:cs="Arial"/>
          <w:i/>
          <w:iCs/>
          <w:color w:val="000000" w:themeColor="text1"/>
          <w:sz w:val="20"/>
          <w:szCs w:val="20"/>
          <w:lang w:val="es-ES_tradnl" w:eastAsia="es-ES_tradnl"/>
        </w:rPr>
        <w:t>ibidem</w:t>
      </w:r>
      <w:r w:rsidRPr="009E0887">
        <w:rPr>
          <w:rFonts w:ascii="Verdana" w:eastAsia="Arial" w:hAnsi="Verdana" w:cs="Arial"/>
          <w:color w:val="000000" w:themeColor="text1"/>
          <w:sz w:val="20"/>
          <w:szCs w:val="20"/>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2F16D661" w14:textId="77777777" w:rsidR="00780961" w:rsidRPr="009E0887" w:rsidRDefault="00780961" w:rsidP="00780961">
      <w:pPr>
        <w:widowControl w:val="0"/>
        <w:autoSpaceDE w:val="0"/>
        <w:autoSpaceDN w:val="0"/>
        <w:spacing w:after="0" w:line="240" w:lineRule="auto"/>
        <w:jc w:val="both"/>
        <w:rPr>
          <w:rFonts w:ascii="Verdana" w:eastAsia="Arial" w:hAnsi="Verdana" w:cs="Arial"/>
          <w:color w:val="000000" w:themeColor="text1"/>
          <w:sz w:val="20"/>
          <w:szCs w:val="20"/>
          <w:lang w:val="es-ES_tradnl" w:eastAsia="es-ES_tradnl"/>
        </w:rPr>
      </w:pPr>
    </w:p>
    <w:p w14:paraId="1A2B1012" w14:textId="77777777" w:rsidR="00780961" w:rsidRPr="009E0887" w:rsidRDefault="00780961" w:rsidP="00780961">
      <w:pPr>
        <w:widowControl w:val="0"/>
        <w:autoSpaceDE w:val="0"/>
        <w:autoSpaceDN w:val="0"/>
        <w:spacing w:after="0" w:line="240" w:lineRule="auto"/>
        <w:ind w:right="103"/>
        <w:jc w:val="both"/>
        <w:rPr>
          <w:rFonts w:ascii="Verdana" w:eastAsia="Arial" w:hAnsi="Verdana" w:cs="Arial"/>
          <w:color w:val="000000" w:themeColor="text1"/>
          <w:sz w:val="20"/>
          <w:szCs w:val="20"/>
          <w:lang w:val="es-ES_tradnl"/>
        </w:rPr>
      </w:pPr>
      <w:r w:rsidRPr="009E0887">
        <w:rPr>
          <w:rFonts w:ascii="Verdana" w:eastAsia="Arial" w:hAnsi="Verdana" w:cs="Arial"/>
          <w:color w:val="000000" w:themeColor="text1"/>
          <w:sz w:val="20"/>
          <w:szCs w:val="20"/>
          <w:lang w:val="es-ES_tradnl" w:eastAsia="es-ES_tradnl"/>
        </w:rPr>
        <w:t>De acuerdo con lo anterior, para la definición de contrato estatal basta con que una de las entidades que enumera el artículo 2º de la Ley 80 de 1993 sea una de las partes, sin importar el extremo de la relación jurídico negocial que</w:t>
      </w:r>
      <w:r w:rsidRPr="009E0887">
        <w:rPr>
          <w:rFonts w:ascii="Verdana" w:eastAsia="Arial" w:hAnsi="Verdana" w:cs="Arial"/>
          <w:color w:val="000000" w:themeColor="text1"/>
          <w:spacing w:val="-14"/>
          <w:sz w:val="20"/>
          <w:szCs w:val="20"/>
          <w:lang w:val="es-ES_tradnl" w:eastAsia="es-ES_tradnl"/>
        </w:rPr>
        <w:t xml:space="preserve"> </w:t>
      </w:r>
      <w:r w:rsidRPr="009E0887">
        <w:rPr>
          <w:rFonts w:ascii="Verdana" w:eastAsia="Arial" w:hAnsi="Verdana" w:cs="Arial"/>
          <w:color w:val="000000" w:themeColor="text1"/>
          <w:sz w:val="20"/>
          <w:szCs w:val="20"/>
          <w:lang w:val="es-ES_tradnl" w:eastAsia="es-ES_tradnl"/>
        </w:rPr>
        <w:t>asuma.</w:t>
      </w:r>
    </w:p>
    <w:p w14:paraId="01144B4C" w14:textId="77777777" w:rsidR="00780961" w:rsidRPr="009E0887" w:rsidRDefault="00780961" w:rsidP="00780961">
      <w:pPr>
        <w:widowControl w:val="0"/>
        <w:autoSpaceDE w:val="0"/>
        <w:autoSpaceDN w:val="0"/>
        <w:spacing w:after="0" w:line="240" w:lineRule="auto"/>
        <w:ind w:right="103"/>
        <w:jc w:val="both"/>
        <w:rPr>
          <w:rFonts w:ascii="Verdana" w:eastAsia="Calibri" w:hAnsi="Verdana" w:cs="Arial"/>
          <w:b/>
          <w:bCs/>
          <w:sz w:val="20"/>
          <w:szCs w:val="20"/>
          <w:lang w:val="es-ES"/>
        </w:rPr>
      </w:pPr>
    </w:p>
    <w:p w14:paraId="02996467" w14:textId="77777777" w:rsidR="00780961" w:rsidRPr="009E0887" w:rsidRDefault="00780961" w:rsidP="00780961">
      <w:pPr>
        <w:spacing w:after="0" w:line="240" w:lineRule="auto"/>
        <w:jc w:val="both"/>
        <w:rPr>
          <w:rFonts w:ascii="Verdana" w:eastAsia="Calibri" w:hAnsi="Verdana" w:cs="Arial"/>
          <w:b/>
          <w:bCs/>
          <w:lang w:val="es-ES"/>
        </w:rPr>
      </w:pPr>
      <w:r w:rsidRPr="009E0887">
        <w:rPr>
          <w:rFonts w:ascii="Verdana" w:eastAsia="Calibri" w:hAnsi="Verdana" w:cs="Arial"/>
          <w:b/>
          <w:bCs/>
          <w:lang w:val="es-ES"/>
        </w:rPr>
        <w:t xml:space="preserve">CONTRATO DE ARRENDAMIENTO </w:t>
      </w:r>
      <w:r w:rsidRPr="009E0887">
        <w:rPr>
          <w:rFonts w:ascii="Verdana" w:eastAsia="Calibri" w:hAnsi="Verdana" w:cs="Arial"/>
          <w:b/>
          <w:lang w:val="es-ES"/>
        </w:rPr>
        <w:t>–</w:t>
      </w:r>
      <w:r w:rsidRPr="009E0887">
        <w:rPr>
          <w:rFonts w:ascii="Verdana" w:eastAsia="Calibri" w:hAnsi="Verdana" w:cs="Arial"/>
          <w:b/>
          <w:bCs/>
          <w:lang w:val="es-ES"/>
        </w:rPr>
        <w:t xml:space="preserve"> Contrato estatal </w:t>
      </w:r>
      <w:r w:rsidRPr="009E0887">
        <w:rPr>
          <w:rFonts w:ascii="Verdana" w:eastAsia="Calibri" w:hAnsi="Verdana" w:cs="Arial"/>
          <w:b/>
          <w:lang w:val="es-ES"/>
        </w:rPr>
        <w:t>–</w:t>
      </w:r>
      <w:r w:rsidRPr="009E0887">
        <w:rPr>
          <w:rFonts w:ascii="Verdana" w:eastAsia="Calibri" w:hAnsi="Verdana" w:cs="Arial"/>
          <w:b/>
          <w:bCs/>
          <w:lang w:val="es-ES"/>
        </w:rPr>
        <w:t xml:space="preserve"> Regulación</w:t>
      </w:r>
    </w:p>
    <w:p w14:paraId="51AD62F7" w14:textId="77777777" w:rsidR="00780961" w:rsidRPr="009E0887" w:rsidRDefault="00780961" w:rsidP="00780961">
      <w:pPr>
        <w:spacing w:after="0" w:line="240" w:lineRule="auto"/>
        <w:rPr>
          <w:rFonts w:ascii="Verdana" w:eastAsia="Calibri" w:hAnsi="Verdana" w:cs="Arial"/>
          <w:b/>
          <w:bCs/>
          <w:sz w:val="20"/>
          <w:szCs w:val="20"/>
          <w:lang w:val="es-ES"/>
        </w:rPr>
      </w:pPr>
    </w:p>
    <w:p w14:paraId="03BA6EC4" w14:textId="77777777" w:rsidR="00780961" w:rsidRPr="009E0887" w:rsidRDefault="00780961" w:rsidP="00780961">
      <w:pPr>
        <w:spacing w:after="0" w:line="240" w:lineRule="auto"/>
        <w:jc w:val="both"/>
        <w:rPr>
          <w:rFonts w:ascii="Verdana" w:eastAsia="Times New Roman" w:hAnsi="Verdana" w:cs="Arial"/>
          <w:bCs/>
          <w:color w:val="000000" w:themeColor="text1"/>
          <w:sz w:val="20"/>
          <w:szCs w:val="20"/>
          <w:lang w:val="es-ES" w:eastAsia="es-ES_tradnl"/>
        </w:rPr>
      </w:pPr>
      <w:r w:rsidRPr="009E0887">
        <w:rPr>
          <w:rFonts w:ascii="Verdana" w:eastAsia="Times New Roman" w:hAnsi="Verdana" w:cs="Arial"/>
          <w:sz w:val="20"/>
          <w:szCs w:val="20"/>
          <w:lang w:eastAsia="es-MX"/>
        </w:rPr>
        <w:t>Aunque el contrato de arrendamiento no se encuentra dentro del listado enunciativo del</w:t>
      </w:r>
      <w:r w:rsidRPr="009E0887">
        <w:rPr>
          <w:rFonts w:ascii="Verdana" w:eastAsia="Times New Roman" w:hAnsi="Verdana" w:cs="Arial"/>
          <w:bCs/>
          <w:color w:val="000000" w:themeColor="text1"/>
          <w:sz w:val="20"/>
          <w:szCs w:val="20"/>
          <w:lang w:val="es-ES" w:eastAsia="es-ES_tradnl"/>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223815F1" w14:textId="77777777" w:rsidR="00780961" w:rsidRPr="009E0887" w:rsidRDefault="00780961" w:rsidP="00780961">
      <w:pPr>
        <w:spacing w:after="0" w:line="240" w:lineRule="auto"/>
        <w:jc w:val="both"/>
        <w:rPr>
          <w:rFonts w:ascii="Verdana" w:hAnsi="Verdana" w:cs="Arial"/>
          <w:sz w:val="20"/>
          <w:szCs w:val="20"/>
          <w:lang w:val="es-ES"/>
        </w:rPr>
      </w:pPr>
    </w:p>
    <w:p w14:paraId="5CAE95FE" w14:textId="77777777" w:rsidR="00780961" w:rsidRPr="009E0887" w:rsidRDefault="00780961" w:rsidP="00780961">
      <w:pPr>
        <w:spacing w:after="0" w:line="240" w:lineRule="auto"/>
        <w:jc w:val="both"/>
        <w:rPr>
          <w:rFonts w:ascii="Verdana" w:eastAsia="Times New Roman" w:hAnsi="Verdana" w:cs="Arial"/>
          <w:bCs/>
          <w:color w:val="000000" w:themeColor="text1"/>
          <w:sz w:val="20"/>
          <w:szCs w:val="20"/>
          <w:lang w:val="es-ES" w:eastAsia="es-ES_tradnl"/>
        </w:rPr>
      </w:pPr>
      <w:r w:rsidRPr="009E0887">
        <w:rPr>
          <w:rFonts w:ascii="Verdana" w:hAnsi="Verdana" w:cs="Arial"/>
          <w:sz w:val="20"/>
          <w:szCs w:val="20"/>
          <w:lang w:val="es-ES"/>
        </w:rPr>
        <w:t xml:space="preserve">[…] </w:t>
      </w:r>
      <w:r w:rsidRPr="009E0887">
        <w:rPr>
          <w:rFonts w:ascii="Verdana" w:eastAsia="Times New Roman" w:hAnsi="Verdana" w:cs="Arial"/>
          <w:bCs/>
          <w:color w:val="000000" w:themeColor="text1"/>
          <w:sz w:val="20"/>
          <w:szCs w:val="20"/>
          <w:lang w:val="es-ES" w:eastAsia="es-ES_tradnl"/>
        </w:rPr>
        <w:t>en los casos en donde una de las partes del contrato de arrendamiento sea una Entidad Pública, este contrato adquiere el carácter de estatal y su contenido se enmarcará en las normas civiles y comerciales que lo regulan, además de las establecidas en el EGCAP.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30BD0A24" w14:textId="77777777" w:rsidR="00780961" w:rsidRPr="009E0887" w:rsidRDefault="00780961" w:rsidP="00780961">
      <w:pPr>
        <w:spacing w:after="0" w:line="240" w:lineRule="auto"/>
        <w:jc w:val="both"/>
        <w:rPr>
          <w:rFonts w:ascii="Verdana" w:hAnsi="Verdana" w:cs="Arial"/>
          <w:sz w:val="20"/>
          <w:szCs w:val="20"/>
          <w:lang w:val="es-ES"/>
        </w:rPr>
      </w:pPr>
    </w:p>
    <w:p w14:paraId="5F3ACAE3" w14:textId="77777777" w:rsidR="00780961" w:rsidRPr="009E0887" w:rsidRDefault="00780961" w:rsidP="00780961">
      <w:pPr>
        <w:spacing w:after="0" w:line="240" w:lineRule="auto"/>
        <w:jc w:val="both"/>
        <w:rPr>
          <w:rFonts w:ascii="Verdana" w:eastAsia="Calibri" w:hAnsi="Verdana" w:cs="Arial"/>
          <w:b/>
          <w:bCs/>
          <w:lang w:val="es-ES"/>
        </w:rPr>
      </w:pPr>
      <w:r w:rsidRPr="009E0887">
        <w:rPr>
          <w:rFonts w:ascii="Verdana" w:eastAsia="Calibri" w:hAnsi="Verdana" w:cs="Arial"/>
          <w:b/>
          <w:bCs/>
          <w:lang w:val="es-ES"/>
        </w:rPr>
        <w:t xml:space="preserve">CONTRATO DE ARRENDAMIENTO </w:t>
      </w:r>
      <w:r w:rsidRPr="009E0887">
        <w:rPr>
          <w:rFonts w:ascii="Verdana" w:eastAsia="Calibri" w:hAnsi="Verdana" w:cs="Arial"/>
          <w:b/>
          <w:lang w:val="es-ES"/>
        </w:rPr>
        <w:t>–</w:t>
      </w:r>
      <w:r w:rsidRPr="009E0887">
        <w:rPr>
          <w:rFonts w:ascii="Verdana" w:eastAsia="Calibri" w:hAnsi="Verdana" w:cs="Arial"/>
          <w:b/>
          <w:bCs/>
          <w:lang w:val="es-ES"/>
        </w:rPr>
        <w:t xml:space="preserve"> Concepto </w:t>
      </w:r>
      <w:r w:rsidRPr="009E0887">
        <w:rPr>
          <w:rFonts w:ascii="Verdana" w:eastAsia="Calibri" w:hAnsi="Verdana" w:cs="Arial"/>
          <w:b/>
          <w:lang w:val="es-ES"/>
        </w:rPr>
        <w:t>–</w:t>
      </w:r>
      <w:r w:rsidRPr="009E0887">
        <w:rPr>
          <w:rFonts w:ascii="Verdana" w:eastAsia="Calibri" w:hAnsi="Verdana" w:cs="Arial"/>
          <w:b/>
          <w:bCs/>
          <w:lang w:val="es-ES"/>
        </w:rPr>
        <w:t xml:space="preserve"> Elementos </w:t>
      </w:r>
    </w:p>
    <w:p w14:paraId="6D864F10" w14:textId="77777777" w:rsidR="00780961" w:rsidRPr="009E0887" w:rsidRDefault="00780961" w:rsidP="00780961">
      <w:pPr>
        <w:spacing w:after="0" w:line="240" w:lineRule="auto"/>
        <w:jc w:val="both"/>
        <w:rPr>
          <w:rFonts w:ascii="Verdana" w:hAnsi="Verdana" w:cs="Arial"/>
          <w:sz w:val="20"/>
          <w:szCs w:val="20"/>
          <w:lang w:val="es-ES"/>
        </w:rPr>
      </w:pPr>
    </w:p>
    <w:p w14:paraId="54940888" w14:textId="77777777" w:rsidR="00780961" w:rsidRPr="009E0887" w:rsidRDefault="00780961" w:rsidP="00780961">
      <w:pPr>
        <w:tabs>
          <w:tab w:val="left" w:pos="142"/>
          <w:tab w:val="left" w:pos="426"/>
        </w:tabs>
        <w:spacing w:after="0" w:line="240" w:lineRule="auto"/>
        <w:jc w:val="both"/>
        <w:rPr>
          <w:rFonts w:ascii="Verdana" w:eastAsia="Calibri" w:hAnsi="Verdana" w:cs="Arial"/>
          <w:bCs/>
          <w:sz w:val="20"/>
          <w:szCs w:val="20"/>
          <w:lang w:val="es-ES"/>
        </w:rPr>
      </w:pPr>
      <w:r w:rsidRPr="009E0887">
        <w:rPr>
          <w:rFonts w:ascii="Verdana" w:eastAsia="Calibri" w:hAnsi="Verdana" w:cs="Arial"/>
          <w:bCs/>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w:t>
      </w:r>
      <w:r w:rsidRPr="009E0887">
        <w:rPr>
          <w:rFonts w:ascii="Verdana" w:eastAsia="Calibri" w:hAnsi="Verdana" w:cs="Arial"/>
          <w:bCs/>
          <w:sz w:val="20"/>
          <w:szCs w:val="20"/>
          <w:lang w:val="es-ES"/>
        </w:rPr>
        <w:lastRenderedPageBreak/>
        <w:t>llamada arrendatario– el uso y goce de un bien, a cambio de una renta o canon. Por tanto, se diferencia del contrato de compraventa en que no opera una transferencia del dominio del bien cuyo uso y goce se entrega.</w:t>
      </w:r>
    </w:p>
    <w:p w14:paraId="4E181CA7" w14:textId="77777777" w:rsidR="00780961" w:rsidRPr="009E0887" w:rsidRDefault="00780961" w:rsidP="00780961">
      <w:pPr>
        <w:tabs>
          <w:tab w:val="left" w:pos="142"/>
          <w:tab w:val="left" w:pos="426"/>
        </w:tabs>
        <w:spacing w:after="0" w:line="240" w:lineRule="auto"/>
        <w:jc w:val="both"/>
        <w:rPr>
          <w:rFonts w:ascii="Verdana" w:eastAsia="Calibri" w:hAnsi="Verdana" w:cs="Arial"/>
          <w:bCs/>
          <w:sz w:val="20"/>
          <w:szCs w:val="20"/>
          <w:lang w:val="es-ES"/>
        </w:rPr>
      </w:pPr>
    </w:p>
    <w:p w14:paraId="0E1004F1" w14:textId="77777777" w:rsidR="00780961" w:rsidRPr="009E0887" w:rsidRDefault="00780961" w:rsidP="00780961">
      <w:pPr>
        <w:spacing w:after="0" w:line="240" w:lineRule="auto"/>
        <w:jc w:val="both"/>
        <w:rPr>
          <w:rFonts w:ascii="Verdana" w:eastAsia="Calibri" w:hAnsi="Verdana" w:cs="Arial"/>
          <w:bCs/>
          <w:sz w:val="20"/>
          <w:szCs w:val="20"/>
          <w:lang w:val="es-ES" w:eastAsia="es-ES_tradnl"/>
        </w:rPr>
      </w:pPr>
      <w:r w:rsidRPr="009E0887">
        <w:rPr>
          <w:rFonts w:ascii="Verdana" w:eastAsia="Calibri" w:hAnsi="Verdana" w:cs="Arial"/>
          <w:bCs/>
          <w:sz w:val="20"/>
          <w:szCs w:val="20"/>
          <w:lang w:val="es-ES" w:eastAsia="es-ES_tradnl"/>
        </w:rPr>
        <w:t xml:space="preserve">En </w:t>
      </w:r>
      <w:r w:rsidRPr="009E0887">
        <w:rPr>
          <w:rFonts w:ascii="Verdana" w:eastAsia="Times New Roman" w:hAnsi="Verdana" w:cs="Arial"/>
          <w:sz w:val="20"/>
          <w:szCs w:val="20"/>
          <w:lang w:val="es-ES" w:eastAsia="es-ES_tradnl"/>
        </w:rPr>
        <w:t>cuanto</w:t>
      </w:r>
      <w:r w:rsidRPr="009E0887">
        <w:rPr>
          <w:rFonts w:ascii="Verdana" w:eastAsia="Calibri" w:hAnsi="Verdana" w:cs="Arial"/>
          <w:bCs/>
          <w:sz w:val="20"/>
          <w:szCs w:val="20"/>
          <w:lang w:val="es-ES" w:eastAsia="es-ES_tradnl"/>
        </w:rPr>
        <w:t xml:space="preserve"> a sus características, la doctrina ha indicado que el arrendamiento es un contrato: i) bilateral, pues ambas partes se obligan recíprocamente; ii) consensual, dado que se perfecciona con el consentimiento;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14:paraId="179A55F7" w14:textId="77777777" w:rsidR="00780961" w:rsidRPr="009E0887" w:rsidRDefault="00780961" w:rsidP="00780961">
      <w:pPr>
        <w:spacing w:after="0"/>
        <w:rPr>
          <w:rFonts w:ascii="Verdana" w:hAnsi="Verdana"/>
        </w:rPr>
      </w:pPr>
    </w:p>
    <w:p w14:paraId="16E091FD" w14:textId="77777777" w:rsidR="00780961" w:rsidRPr="009E0887" w:rsidRDefault="00780961" w:rsidP="00780961">
      <w:pPr>
        <w:spacing w:after="0"/>
        <w:rPr>
          <w:rFonts w:ascii="Verdana" w:hAnsi="Verdana"/>
        </w:rPr>
      </w:pPr>
    </w:p>
    <w:p w14:paraId="404D65A9" w14:textId="77777777" w:rsidR="00780961" w:rsidRPr="009E0887" w:rsidRDefault="00780961" w:rsidP="00780961">
      <w:pPr>
        <w:spacing w:after="0"/>
        <w:rPr>
          <w:rFonts w:ascii="Verdana" w:hAnsi="Verdana"/>
        </w:rPr>
      </w:pPr>
    </w:p>
    <w:p w14:paraId="7441DA8F" w14:textId="77777777" w:rsidR="00780961" w:rsidRPr="009E0887" w:rsidRDefault="00780961" w:rsidP="00780961">
      <w:pPr>
        <w:spacing w:after="0"/>
        <w:rPr>
          <w:rFonts w:ascii="Verdana" w:hAnsi="Verdana"/>
        </w:rPr>
      </w:pPr>
    </w:p>
    <w:p w14:paraId="1D6A9BCF" w14:textId="77777777" w:rsidR="00780961" w:rsidRPr="009E0887" w:rsidRDefault="00780961" w:rsidP="00780961">
      <w:pPr>
        <w:spacing w:after="0"/>
        <w:rPr>
          <w:rFonts w:ascii="Verdana" w:hAnsi="Verdana"/>
        </w:rPr>
      </w:pPr>
    </w:p>
    <w:p w14:paraId="1DE8116B" w14:textId="77777777" w:rsidR="00780961" w:rsidRPr="009E0887" w:rsidRDefault="00780961" w:rsidP="00780961">
      <w:pPr>
        <w:spacing w:after="0"/>
        <w:rPr>
          <w:rFonts w:ascii="Verdana" w:hAnsi="Verdana"/>
        </w:rPr>
      </w:pPr>
    </w:p>
    <w:p w14:paraId="6AF0F8B4" w14:textId="77777777" w:rsidR="00780961" w:rsidRPr="009E0887" w:rsidRDefault="00780961" w:rsidP="00780961">
      <w:pPr>
        <w:spacing w:after="0"/>
        <w:rPr>
          <w:rFonts w:ascii="Verdana" w:hAnsi="Verdana"/>
        </w:rPr>
      </w:pPr>
    </w:p>
    <w:p w14:paraId="3982127E" w14:textId="77777777" w:rsidR="00780961" w:rsidRPr="009E0887" w:rsidRDefault="00780961" w:rsidP="00780961">
      <w:pPr>
        <w:spacing w:after="0"/>
        <w:rPr>
          <w:rFonts w:ascii="Verdana" w:hAnsi="Verdana"/>
        </w:rPr>
      </w:pPr>
    </w:p>
    <w:p w14:paraId="4E0C446A" w14:textId="77777777" w:rsidR="00780961" w:rsidRPr="009E0887" w:rsidRDefault="00780961" w:rsidP="00780961">
      <w:pPr>
        <w:spacing w:after="0"/>
        <w:rPr>
          <w:rFonts w:ascii="Verdana" w:hAnsi="Verdana"/>
        </w:rPr>
      </w:pPr>
    </w:p>
    <w:p w14:paraId="47A96BC7" w14:textId="77777777" w:rsidR="00780961" w:rsidRPr="009E0887" w:rsidRDefault="00780961" w:rsidP="00780961">
      <w:pPr>
        <w:spacing w:after="0"/>
        <w:rPr>
          <w:rFonts w:ascii="Verdana" w:hAnsi="Verdana"/>
        </w:rPr>
      </w:pPr>
    </w:p>
    <w:p w14:paraId="49987FE4" w14:textId="77777777" w:rsidR="00780961" w:rsidRPr="009E0887" w:rsidRDefault="00780961" w:rsidP="00780961">
      <w:pPr>
        <w:spacing w:after="0"/>
        <w:rPr>
          <w:rFonts w:ascii="Verdana" w:hAnsi="Verdana"/>
        </w:rPr>
      </w:pPr>
    </w:p>
    <w:p w14:paraId="7A6F3C6B" w14:textId="77777777" w:rsidR="00780961" w:rsidRPr="009E0887" w:rsidRDefault="00780961" w:rsidP="00780961">
      <w:pPr>
        <w:spacing w:after="0"/>
        <w:rPr>
          <w:rFonts w:ascii="Verdana" w:hAnsi="Verdana"/>
        </w:rPr>
      </w:pPr>
    </w:p>
    <w:p w14:paraId="186DD8F9" w14:textId="77777777" w:rsidR="00780961" w:rsidRPr="009E0887" w:rsidRDefault="00780961" w:rsidP="00780961">
      <w:pPr>
        <w:spacing w:after="0"/>
        <w:rPr>
          <w:rFonts w:ascii="Verdana" w:hAnsi="Verdana"/>
        </w:rPr>
      </w:pPr>
    </w:p>
    <w:p w14:paraId="492984ED" w14:textId="77777777" w:rsidR="00780961" w:rsidRPr="009E0887" w:rsidRDefault="00780961" w:rsidP="00780961">
      <w:pPr>
        <w:spacing w:after="0"/>
        <w:rPr>
          <w:rFonts w:ascii="Verdana" w:hAnsi="Verdana"/>
        </w:rPr>
      </w:pPr>
    </w:p>
    <w:p w14:paraId="58DD41FA" w14:textId="77777777" w:rsidR="00780961" w:rsidRPr="009E0887" w:rsidRDefault="00780961" w:rsidP="00780961">
      <w:pPr>
        <w:spacing w:after="0"/>
        <w:rPr>
          <w:rFonts w:ascii="Verdana" w:hAnsi="Verdana"/>
        </w:rPr>
      </w:pPr>
    </w:p>
    <w:p w14:paraId="3B38F168" w14:textId="77777777" w:rsidR="00780961" w:rsidRPr="009E0887" w:rsidRDefault="00780961" w:rsidP="00780961">
      <w:pPr>
        <w:spacing w:after="0"/>
        <w:rPr>
          <w:rFonts w:ascii="Verdana" w:hAnsi="Verdana"/>
        </w:rPr>
      </w:pPr>
    </w:p>
    <w:p w14:paraId="1291F79A" w14:textId="77777777" w:rsidR="00780961" w:rsidRPr="009E0887" w:rsidRDefault="00780961" w:rsidP="00780961">
      <w:pPr>
        <w:spacing w:after="0"/>
        <w:rPr>
          <w:rFonts w:ascii="Verdana" w:hAnsi="Verdana"/>
        </w:rPr>
      </w:pPr>
    </w:p>
    <w:p w14:paraId="04D49A1A" w14:textId="77777777" w:rsidR="00780961" w:rsidRPr="009E0887" w:rsidRDefault="00780961" w:rsidP="00780961">
      <w:pPr>
        <w:spacing w:after="0"/>
        <w:rPr>
          <w:rFonts w:ascii="Verdana" w:hAnsi="Verdana"/>
        </w:rPr>
      </w:pPr>
    </w:p>
    <w:p w14:paraId="6B289209" w14:textId="77777777" w:rsidR="00780961" w:rsidRPr="009E0887" w:rsidRDefault="00780961" w:rsidP="00780961">
      <w:pPr>
        <w:spacing w:after="0"/>
        <w:rPr>
          <w:rFonts w:ascii="Verdana" w:hAnsi="Verdana"/>
        </w:rPr>
      </w:pPr>
    </w:p>
    <w:p w14:paraId="0E776520" w14:textId="77777777" w:rsidR="00780961" w:rsidRPr="009E0887" w:rsidRDefault="00780961" w:rsidP="00780961">
      <w:pPr>
        <w:spacing w:after="0"/>
        <w:rPr>
          <w:rFonts w:ascii="Verdana" w:hAnsi="Verdana"/>
        </w:rPr>
      </w:pPr>
    </w:p>
    <w:p w14:paraId="156F27DD" w14:textId="77777777" w:rsidR="00780961" w:rsidRPr="009E0887" w:rsidRDefault="00780961" w:rsidP="00780961">
      <w:pPr>
        <w:spacing w:after="0"/>
        <w:rPr>
          <w:rFonts w:ascii="Verdana" w:hAnsi="Verdana"/>
        </w:rPr>
      </w:pPr>
    </w:p>
    <w:p w14:paraId="6458F557" w14:textId="77777777" w:rsidR="00780961" w:rsidRPr="009E0887" w:rsidRDefault="00780961" w:rsidP="00780961">
      <w:pPr>
        <w:spacing w:after="0"/>
        <w:rPr>
          <w:rFonts w:ascii="Verdana" w:hAnsi="Verdana"/>
        </w:rPr>
      </w:pPr>
    </w:p>
    <w:p w14:paraId="43C90351" w14:textId="77777777" w:rsidR="00780961" w:rsidRPr="009E0887" w:rsidRDefault="00780961" w:rsidP="00780961">
      <w:pPr>
        <w:spacing w:after="0"/>
        <w:rPr>
          <w:rFonts w:ascii="Verdana" w:hAnsi="Verdana"/>
        </w:rPr>
      </w:pPr>
    </w:p>
    <w:p w14:paraId="119105CF" w14:textId="77777777" w:rsidR="00780961" w:rsidRPr="009E0887" w:rsidRDefault="00780961" w:rsidP="00780961">
      <w:pPr>
        <w:spacing w:after="0"/>
        <w:rPr>
          <w:rFonts w:ascii="Verdana" w:hAnsi="Verdana"/>
        </w:rPr>
      </w:pPr>
    </w:p>
    <w:p w14:paraId="03987F57" w14:textId="77777777" w:rsidR="00780961" w:rsidRPr="009E0887" w:rsidRDefault="00780961" w:rsidP="00780961">
      <w:pPr>
        <w:spacing w:after="0"/>
        <w:rPr>
          <w:rFonts w:ascii="Verdana" w:hAnsi="Verdana"/>
        </w:rPr>
      </w:pPr>
    </w:p>
    <w:p w14:paraId="0C59D55F" w14:textId="77777777" w:rsidR="00780961" w:rsidRPr="009E0887" w:rsidRDefault="00780961" w:rsidP="00780961">
      <w:pPr>
        <w:spacing w:after="0"/>
        <w:rPr>
          <w:rFonts w:ascii="Verdana" w:hAnsi="Verdana"/>
        </w:rPr>
      </w:pPr>
    </w:p>
    <w:p w14:paraId="6D5B49CB" w14:textId="77777777" w:rsidR="00780961" w:rsidRPr="009E0887" w:rsidRDefault="00780961" w:rsidP="00780961">
      <w:pPr>
        <w:spacing w:after="0"/>
        <w:rPr>
          <w:rFonts w:ascii="Verdana" w:hAnsi="Verdana"/>
        </w:rPr>
      </w:pPr>
    </w:p>
    <w:p w14:paraId="622AD7FF" w14:textId="77777777" w:rsidR="00780961" w:rsidRPr="009E0887" w:rsidRDefault="00780961" w:rsidP="00780961">
      <w:pPr>
        <w:spacing w:after="0"/>
        <w:rPr>
          <w:rFonts w:ascii="Verdana" w:hAnsi="Verdana"/>
        </w:rPr>
      </w:pPr>
    </w:p>
    <w:p w14:paraId="20AD372B" w14:textId="77777777" w:rsidR="00780961" w:rsidRPr="009E0887" w:rsidRDefault="00780961" w:rsidP="00780961">
      <w:pPr>
        <w:spacing w:after="0"/>
        <w:rPr>
          <w:rFonts w:ascii="Verdana" w:hAnsi="Verdana"/>
        </w:rPr>
      </w:pPr>
    </w:p>
    <w:p w14:paraId="302A24D2" w14:textId="77777777" w:rsidR="00780961" w:rsidRPr="009E0887" w:rsidRDefault="00780961" w:rsidP="00780961">
      <w:pPr>
        <w:spacing w:after="0"/>
        <w:rPr>
          <w:rFonts w:ascii="Verdana" w:hAnsi="Verdana"/>
        </w:rPr>
      </w:pPr>
    </w:p>
    <w:p w14:paraId="5BD3489B" w14:textId="77777777" w:rsidR="00780961" w:rsidRPr="009E0887" w:rsidRDefault="00780961" w:rsidP="00780961">
      <w:pPr>
        <w:spacing w:after="0"/>
        <w:rPr>
          <w:rFonts w:ascii="Verdana" w:hAnsi="Verdana"/>
        </w:rPr>
      </w:pPr>
    </w:p>
    <w:p w14:paraId="372993A5" w14:textId="65C4EEF7" w:rsidR="004657FB" w:rsidRDefault="004657FB" w:rsidP="004657FB">
      <w:pPr>
        <w:spacing w:after="0" w:line="240" w:lineRule="auto"/>
        <w:ind w:left="5664"/>
        <w:rPr>
          <w:rFonts w:ascii="Verdana" w:hAnsi="Verdana"/>
        </w:rPr>
      </w:pPr>
      <w:r>
        <w:rPr>
          <w:noProof/>
        </w:rPr>
        <w:lastRenderedPageBreak/>
        <w:drawing>
          <wp:inline distT="0" distB="0" distL="0" distR="0" wp14:anchorId="4F106D6B" wp14:editId="12B6B44E">
            <wp:extent cx="2505075" cy="828675"/>
            <wp:effectExtent l="0" t="0" r="9525" b="9525"/>
            <wp:docPr id="14198846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84686" name=""/>
                    <pic:cNvPicPr/>
                  </pic:nvPicPr>
                  <pic:blipFill>
                    <a:blip r:embed="rId10"/>
                    <a:stretch>
                      <a:fillRect/>
                    </a:stretch>
                  </pic:blipFill>
                  <pic:spPr>
                    <a:xfrm>
                      <a:off x="0" y="0"/>
                      <a:ext cx="2505075" cy="828675"/>
                    </a:xfrm>
                    <a:prstGeom prst="rect">
                      <a:avLst/>
                    </a:prstGeom>
                  </pic:spPr>
                </pic:pic>
              </a:graphicData>
            </a:graphic>
          </wp:inline>
        </w:drawing>
      </w:r>
    </w:p>
    <w:p w14:paraId="7D45595B" w14:textId="77777777" w:rsidR="004657FB" w:rsidRDefault="004657FB" w:rsidP="00280722">
      <w:pPr>
        <w:spacing w:after="0" w:line="240" w:lineRule="auto"/>
        <w:rPr>
          <w:rFonts w:ascii="Verdana" w:hAnsi="Verdana"/>
        </w:rPr>
      </w:pPr>
    </w:p>
    <w:p w14:paraId="5C0A0080" w14:textId="77777777" w:rsidR="004657FB" w:rsidRDefault="004657FB" w:rsidP="00280722">
      <w:pPr>
        <w:spacing w:after="0" w:line="240" w:lineRule="auto"/>
        <w:rPr>
          <w:rFonts w:ascii="Verdana" w:hAnsi="Verdana"/>
        </w:rPr>
      </w:pPr>
    </w:p>
    <w:p w14:paraId="207620DD" w14:textId="6881F111" w:rsidR="00780961" w:rsidRPr="009E0887" w:rsidRDefault="00780961" w:rsidP="00280722">
      <w:pPr>
        <w:spacing w:after="0" w:line="240" w:lineRule="auto"/>
        <w:rPr>
          <w:rFonts w:ascii="Verdana" w:hAnsi="Verdana"/>
        </w:rPr>
      </w:pPr>
      <w:r w:rsidRPr="009E0887">
        <w:rPr>
          <w:rFonts w:ascii="Verdana" w:hAnsi="Verdana"/>
        </w:rPr>
        <w:t>Bogotá D.C., 1</w:t>
      </w:r>
      <w:r w:rsidR="004657FB">
        <w:rPr>
          <w:rFonts w:ascii="Verdana" w:hAnsi="Verdana"/>
        </w:rPr>
        <w:t>9</w:t>
      </w:r>
      <w:r w:rsidRPr="009E0887">
        <w:rPr>
          <w:rFonts w:ascii="Verdana" w:hAnsi="Verdana"/>
        </w:rPr>
        <w:t xml:space="preserve"> de Mayo de 2025.</w:t>
      </w:r>
    </w:p>
    <w:p w14:paraId="6ED7925A" w14:textId="77777777" w:rsidR="00780961" w:rsidRPr="009E0887" w:rsidRDefault="00780961" w:rsidP="00280722">
      <w:pPr>
        <w:spacing w:after="0" w:line="240" w:lineRule="auto"/>
        <w:rPr>
          <w:rFonts w:ascii="Verdana" w:hAnsi="Verdana"/>
        </w:rPr>
      </w:pPr>
      <w:bookmarkStart w:id="1" w:name="_Hlk180638295"/>
    </w:p>
    <w:p w14:paraId="5F167F41" w14:textId="77777777" w:rsidR="00780961" w:rsidRPr="009E0887" w:rsidRDefault="00780961" w:rsidP="00280722">
      <w:pPr>
        <w:spacing w:after="0" w:line="240" w:lineRule="auto"/>
        <w:rPr>
          <w:rFonts w:ascii="Verdana" w:hAnsi="Verdana"/>
        </w:rPr>
      </w:pPr>
    </w:p>
    <w:p w14:paraId="7D1CC47D" w14:textId="77777777" w:rsidR="00780961" w:rsidRPr="009E0887" w:rsidRDefault="00780961" w:rsidP="008D4E73">
      <w:pPr>
        <w:spacing w:after="0" w:line="240" w:lineRule="auto"/>
        <w:jc w:val="both"/>
        <w:rPr>
          <w:rFonts w:ascii="Verdana" w:eastAsia="Calibri" w:hAnsi="Verdana" w:cs="Arial"/>
          <w:lang w:eastAsia="es-ES"/>
        </w:rPr>
      </w:pPr>
      <w:bookmarkStart w:id="2" w:name="_Hlk181166167"/>
      <w:r w:rsidRPr="009E0887">
        <w:rPr>
          <w:rFonts w:ascii="Verdana" w:eastAsia="Calibri" w:hAnsi="Verdana" w:cs="Arial"/>
          <w:lang w:eastAsia="es-ES"/>
        </w:rPr>
        <w:t>Señor</w:t>
      </w:r>
      <w:r w:rsidRPr="009E0887">
        <w:rPr>
          <w:rFonts w:ascii="Verdana" w:eastAsia="Calibri" w:hAnsi="Verdana" w:cs="Arial"/>
          <w:lang w:eastAsia="es-ES"/>
        </w:rPr>
        <w:tab/>
      </w:r>
    </w:p>
    <w:p w14:paraId="53AAF47B" w14:textId="5979F8EC" w:rsidR="00780961" w:rsidRPr="009E0887" w:rsidRDefault="00F20DC1" w:rsidP="008D4E73">
      <w:pPr>
        <w:spacing w:after="0" w:line="240" w:lineRule="auto"/>
        <w:rPr>
          <w:rFonts w:ascii="Verdana" w:eastAsia="Calibri" w:hAnsi="Verdana" w:cs="Arial"/>
          <w:b/>
          <w:bCs/>
          <w:color w:val="000000"/>
          <w:lang w:eastAsia="es-ES_tradnl"/>
        </w:rPr>
      </w:pPr>
      <w:r w:rsidRPr="009E0887">
        <w:rPr>
          <w:rFonts w:ascii="Verdana" w:eastAsia="Calibri" w:hAnsi="Verdana" w:cs="Arial"/>
          <w:b/>
          <w:bCs/>
          <w:color w:val="000000"/>
          <w:lang w:eastAsia="es-ES_tradnl"/>
        </w:rPr>
        <w:t>Wilson Omar Avendaño Caceres</w:t>
      </w:r>
    </w:p>
    <w:p w14:paraId="6072034D" w14:textId="77777777" w:rsidR="00780961" w:rsidRPr="00280722" w:rsidRDefault="00780961" w:rsidP="008D4E73">
      <w:pPr>
        <w:spacing w:after="0" w:line="240" w:lineRule="auto"/>
        <w:rPr>
          <w:rFonts w:ascii="Verdana" w:hAnsi="Verdana"/>
        </w:rPr>
      </w:pPr>
      <w:hyperlink r:id="rId11" w:history="1">
        <w:r w:rsidRPr="009E0887">
          <w:rPr>
            <w:rStyle w:val="Hipervnculo"/>
            <w:rFonts w:ascii="Verdana" w:hAnsi="Verdana"/>
          </w:rPr>
          <w:t>wilsonomar42@hotmail.com</w:t>
        </w:r>
      </w:hyperlink>
    </w:p>
    <w:p w14:paraId="446587E9" w14:textId="52ACCD03" w:rsidR="00A345DB" w:rsidRPr="009E0887" w:rsidRDefault="00A345DB" w:rsidP="008D4E73">
      <w:pPr>
        <w:spacing w:after="0" w:line="240" w:lineRule="auto"/>
        <w:rPr>
          <w:rFonts w:ascii="Verdana" w:hAnsi="Verdana"/>
        </w:rPr>
      </w:pPr>
      <w:r w:rsidRPr="00280722">
        <w:rPr>
          <w:rFonts w:ascii="Verdana" w:hAnsi="Verdana"/>
        </w:rPr>
        <w:t>Lourdes, Norte de Santander</w:t>
      </w:r>
    </w:p>
    <w:p w14:paraId="10F57B0A" w14:textId="77777777" w:rsidR="00780961" w:rsidRPr="009E0887" w:rsidRDefault="00780961" w:rsidP="008D4E73">
      <w:pPr>
        <w:spacing w:after="0" w:line="240" w:lineRule="auto"/>
        <w:rPr>
          <w:rFonts w:ascii="Verdana" w:hAnsi="Verdana"/>
          <w:lang w:val="pt-PT"/>
        </w:rPr>
      </w:pPr>
    </w:p>
    <w:p w14:paraId="347DEED9" w14:textId="77777777" w:rsidR="00780961" w:rsidRPr="009E0887" w:rsidRDefault="00780961" w:rsidP="008D4E73">
      <w:pPr>
        <w:spacing w:after="0" w:line="240" w:lineRule="auto"/>
        <w:rPr>
          <w:rFonts w:ascii="Verdana" w:eastAsia="Calibri" w:hAnsi="Verdana" w:cs="Arial"/>
          <w:b/>
          <w:bCs/>
          <w:color w:val="000000"/>
          <w:lang w:val="pt-PT"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80961" w:rsidRPr="009E0887" w14:paraId="1309C89F" w14:textId="77777777" w:rsidTr="00280722">
        <w:trPr>
          <w:trHeight w:val="208"/>
        </w:trPr>
        <w:tc>
          <w:tcPr>
            <w:tcW w:w="2410" w:type="dxa"/>
          </w:tcPr>
          <w:p w14:paraId="5E40C7DB" w14:textId="77777777" w:rsidR="00780961" w:rsidRPr="009E0887" w:rsidRDefault="00780961" w:rsidP="008D4E73">
            <w:pPr>
              <w:jc w:val="both"/>
              <w:rPr>
                <w:rFonts w:ascii="Verdana" w:eastAsia="Calibri" w:hAnsi="Verdana" w:cs="Arial"/>
                <w:b/>
                <w:bCs/>
                <w:color w:val="7030A0"/>
                <w:lang w:val="pt-PT" w:eastAsia="es-ES_tradnl"/>
              </w:rPr>
            </w:pPr>
          </w:p>
        </w:tc>
        <w:tc>
          <w:tcPr>
            <w:tcW w:w="6804" w:type="dxa"/>
            <w:gridSpan w:val="2"/>
          </w:tcPr>
          <w:p w14:paraId="3B09D664" w14:textId="77777777" w:rsidR="00780961" w:rsidRPr="009E0887" w:rsidRDefault="00780961" w:rsidP="008D4E73">
            <w:pPr>
              <w:jc w:val="both"/>
              <w:rPr>
                <w:rFonts w:ascii="Verdana" w:eastAsia="Calibri" w:hAnsi="Verdana" w:cs="Arial"/>
                <w:b/>
                <w:bCs/>
                <w:lang w:val="es-ES" w:eastAsia="es-ES"/>
              </w:rPr>
            </w:pPr>
            <w:r w:rsidRPr="009E0887">
              <w:rPr>
                <w:rFonts w:ascii="Verdana" w:eastAsia="Calibri" w:hAnsi="Verdana" w:cs="Arial"/>
                <w:b/>
                <w:bCs/>
                <w:lang w:val="es-ES" w:eastAsia="es-ES"/>
              </w:rPr>
              <w:t>Concepto C- 462 de 2025</w:t>
            </w:r>
          </w:p>
          <w:p w14:paraId="76401245" w14:textId="77777777" w:rsidR="008D4E73" w:rsidRPr="009E0887" w:rsidRDefault="008D4E73" w:rsidP="008D4E73">
            <w:pPr>
              <w:jc w:val="both"/>
              <w:rPr>
                <w:rFonts w:ascii="Verdana" w:eastAsia="Calibri" w:hAnsi="Verdana" w:cs="Arial"/>
                <w:b/>
                <w:bCs/>
                <w:color w:val="7030A0"/>
                <w:lang w:val="es-ES" w:eastAsia="es-ES"/>
              </w:rPr>
            </w:pPr>
          </w:p>
        </w:tc>
      </w:tr>
      <w:tr w:rsidR="00780961" w:rsidRPr="009E0887" w14:paraId="6A1192C6" w14:textId="77777777" w:rsidTr="00723D05">
        <w:trPr>
          <w:trHeight w:val="884"/>
        </w:trPr>
        <w:tc>
          <w:tcPr>
            <w:tcW w:w="2410" w:type="dxa"/>
          </w:tcPr>
          <w:p w14:paraId="7962306F" w14:textId="77777777" w:rsidR="00780961" w:rsidRPr="009E0887" w:rsidRDefault="00780961" w:rsidP="008D4E73">
            <w:pPr>
              <w:jc w:val="both"/>
              <w:rPr>
                <w:rFonts w:ascii="Verdana" w:eastAsia="Calibri" w:hAnsi="Verdana" w:cs="Arial"/>
                <w:color w:val="000000"/>
                <w:lang w:val="es-ES_tradnl" w:eastAsia="es-ES_tradnl"/>
              </w:rPr>
            </w:pPr>
            <w:r w:rsidRPr="009E0887">
              <w:rPr>
                <w:rFonts w:ascii="Verdana" w:eastAsia="Calibri" w:hAnsi="Verdana" w:cs="Arial"/>
                <w:b/>
                <w:color w:val="000000"/>
                <w:lang w:val="es-ES_tradnl" w:eastAsia="es-ES_tradnl"/>
              </w:rPr>
              <w:t>Temas:</w:t>
            </w:r>
            <w:r w:rsidRPr="009E0887">
              <w:rPr>
                <w:rFonts w:ascii="Verdana" w:eastAsia="Calibri" w:hAnsi="Verdana" w:cs="Arial"/>
                <w:color w:val="000000"/>
                <w:lang w:val="es-ES_tradnl" w:eastAsia="es-ES_tradnl"/>
              </w:rPr>
              <w:t xml:space="preserve">                   </w:t>
            </w:r>
          </w:p>
        </w:tc>
        <w:tc>
          <w:tcPr>
            <w:tcW w:w="6804" w:type="dxa"/>
            <w:gridSpan w:val="2"/>
          </w:tcPr>
          <w:p w14:paraId="46E906C3" w14:textId="060A02B0" w:rsidR="00780961" w:rsidRPr="009E0887" w:rsidRDefault="00780961" w:rsidP="00280722">
            <w:pPr>
              <w:jc w:val="both"/>
              <w:rPr>
                <w:rFonts w:ascii="Verdana" w:eastAsia="Calibri" w:hAnsi="Verdana" w:cs="Arial"/>
                <w:lang w:val="es-ES" w:eastAsia="es-ES"/>
              </w:rPr>
            </w:pPr>
            <w:r w:rsidRPr="009E0887">
              <w:rPr>
                <w:rFonts w:ascii="Verdana" w:eastAsia="Calibri" w:hAnsi="Verdana" w:cs="Arial"/>
                <w:lang w:val="es-ES" w:eastAsia="es-ES"/>
              </w:rPr>
              <w:t>CONTRATO – Definición / CONTRATO ESTATAL – Definición / CONTRATO DE ARRENDAMIENTO – Contrato estatal – Regulación / CONTRATO DE ARRENDAMIENTO – Concepto – Elementos</w:t>
            </w:r>
          </w:p>
          <w:p w14:paraId="74B54B2A" w14:textId="77777777" w:rsidR="00780961" w:rsidRPr="009E0887" w:rsidRDefault="00780961" w:rsidP="00280722">
            <w:pPr>
              <w:jc w:val="both"/>
              <w:rPr>
                <w:rFonts w:ascii="Verdana" w:eastAsia="Calibri" w:hAnsi="Verdana" w:cs="Arial"/>
                <w:b/>
                <w:bCs/>
                <w:highlight w:val="yellow"/>
                <w:lang w:val="es-ES" w:eastAsia="es-ES"/>
              </w:rPr>
            </w:pPr>
          </w:p>
        </w:tc>
      </w:tr>
      <w:tr w:rsidR="00780961" w:rsidRPr="009E0887" w14:paraId="0E96BA32" w14:textId="77777777" w:rsidTr="00723D05">
        <w:tc>
          <w:tcPr>
            <w:tcW w:w="2410" w:type="dxa"/>
          </w:tcPr>
          <w:p w14:paraId="3F38B456" w14:textId="77777777" w:rsidR="00780961" w:rsidRPr="009E0887" w:rsidRDefault="00780961" w:rsidP="008D4E73">
            <w:pPr>
              <w:jc w:val="both"/>
              <w:rPr>
                <w:rFonts w:ascii="Verdana" w:eastAsia="Calibri" w:hAnsi="Verdana" w:cs="Arial"/>
                <w:b/>
                <w:lang w:val="es-ES_tradnl" w:eastAsia="es-ES_tradnl"/>
              </w:rPr>
            </w:pPr>
            <w:r w:rsidRPr="009E0887">
              <w:rPr>
                <w:rFonts w:ascii="Verdana" w:eastAsia="Calibri" w:hAnsi="Verdana" w:cs="Arial"/>
                <w:b/>
                <w:lang w:val="es-ES_tradnl" w:eastAsia="es-ES_tradnl"/>
              </w:rPr>
              <w:t>Radicación:</w:t>
            </w:r>
            <w:r w:rsidRPr="009E0887">
              <w:rPr>
                <w:rFonts w:ascii="Verdana" w:eastAsia="Calibri" w:hAnsi="Verdana" w:cs="Arial"/>
                <w:lang w:val="es-ES_tradnl" w:eastAsia="es-ES_tradnl"/>
              </w:rPr>
              <w:t xml:space="preserve">               </w:t>
            </w:r>
          </w:p>
        </w:tc>
        <w:tc>
          <w:tcPr>
            <w:tcW w:w="6804" w:type="dxa"/>
            <w:gridSpan w:val="2"/>
          </w:tcPr>
          <w:p w14:paraId="7D6B0B20" w14:textId="4915D7E7" w:rsidR="00780961" w:rsidRPr="009E0887" w:rsidRDefault="00780961" w:rsidP="008D4E73">
            <w:pPr>
              <w:jc w:val="both"/>
              <w:rPr>
                <w:rFonts w:ascii="Verdana" w:eastAsia="Calibri" w:hAnsi="Verdana" w:cs="Arial"/>
                <w:lang w:val="es-ES_tradnl" w:eastAsia="es-ES_tradnl"/>
              </w:rPr>
            </w:pPr>
            <w:r w:rsidRPr="009E0887">
              <w:rPr>
                <w:rFonts w:ascii="Verdana" w:eastAsia="Calibri" w:hAnsi="Verdana" w:cs="Arial"/>
                <w:lang w:val="es-ES_tradnl" w:eastAsia="es-ES_tradnl"/>
              </w:rPr>
              <w:t>Respuesta a consulta con radicado No. P20250410003473</w:t>
            </w:r>
          </w:p>
        </w:tc>
      </w:tr>
      <w:tr w:rsidR="00780961" w:rsidRPr="009E0887" w14:paraId="75175D78" w14:textId="77777777" w:rsidTr="00723D05">
        <w:trPr>
          <w:gridAfter w:val="1"/>
          <w:wAfter w:w="336" w:type="dxa"/>
          <w:trHeight w:val="233"/>
        </w:trPr>
        <w:tc>
          <w:tcPr>
            <w:tcW w:w="8878" w:type="dxa"/>
            <w:gridSpan w:val="2"/>
          </w:tcPr>
          <w:p w14:paraId="4771D579" w14:textId="77777777" w:rsidR="00780961" w:rsidRPr="009E0887" w:rsidRDefault="00780961" w:rsidP="00280722">
            <w:pPr>
              <w:jc w:val="both"/>
              <w:rPr>
                <w:rFonts w:ascii="Verdana" w:eastAsia="Calibri" w:hAnsi="Verdana" w:cs="Arial"/>
                <w:lang w:val="es-ES_tradnl" w:eastAsia="es-ES"/>
              </w:rPr>
            </w:pPr>
          </w:p>
        </w:tc>
      </w:tr>
    </w:tbl>
    <w:p w14:paraId="2355B688" w14:textId="77777777" w:rsidR="00606910" w:rsidRPr="009E0887" w:rsidRDefault="00606910" w:rsidP="00280722">
      <w:pPr>
        <w:spacing w:after="0" w:line="240" w:lineRule="auto"/>
        <w:jc w:val="both"/>
        <w:rPr>
          <w:rFonts w:ascii="Verdana" w:eastAsia="Calibri" w:hAnsi="Verdana" w:cs="Arial"/>
          <w:lang w:val="es-ES" w:eastAsia="es-ES"/>
        </w:rPr>
      </w:pPr>
    </w:p>
    <w:p w14:paraId="1C69AE9F" w14:textId="69EF7B2F" w:rsidR="00780961" w:rsidRPr="009E0887" w:rsidRDefault="00780961" w:rsidP="00606910">
      <w:pPr>
        <w:spacing w:after="0" w:line="276" w:lineRule="auto"/>
        <w:jc w:val="both"/>
        <w:rPr>
          <w:rFonts w:ascii="Verdana" w:eastAsia="Calibri" w:hAnsi="Verdana" w:cs="Arial"/>
          <w:lang w:val="es-ES" w:eastAsia="es-ES"/>
        </w:rPr>
      </w:pPr>
      <w:r w:rsidRPr="009E0887">
        <w:rPr>
          <w:rFonts w:ascii="Verdana" w:eastAsia="Calibri" w:hAnsi="Verdana" w:cs="Arial"/>
          <w:lang w:val="es-ES" w:eastAsia="es-ES"/>
        </w:rPr>
        <w:t>Estimado señor Avendaño;</w:t>
      </w:r>
    </w:p>
    <w:p w14:paraId="1D5CBE24" w14:textId="77777777" w:rsidR="00780961" w:rsidRPr="009E0887" w:rsidRDefault="00780961" w:rsidP="00606910">
      <w:pPr>
        <w:tabs>
          <w:tab w:val="left" w:pos="3768"/>
        </w:tabs>
        <w:spacing w:after="0" w:line="276" w:lineRule="auto"/>
        <w:jc w:val="both"/>
        <w:rPr>
          <w:rFonts w:ascii="Verdana" w:eastAsia="Calibri" w:hAnsi="Verdana" w:cs="Arial"/>
          <w:color w:val="000000" w:themeColor="text1"/>
          <w:lang w:val="es-ES" w:eastAsia="es-ES"/>
        </w:rPr>
      </w:pPr>
    </w:p>
    <w:p w14:paraId="09F71D49" w14:textId="602EEB0E" w:rsidR="00780961" w:rsidRPr="009E0887" w:rsidRDefault="00780961" w:rsidP="00606910">
      <w:pPr>
        <w:spacing w:after="0" w:line="276" w:lineRule="auto"/>
        <w:jc w:val="both"/>
        <w:rPr>
          <w:rFonts w:ascii="Verdana" w:eastAsia="Calibri" w:hAnsi="Verdana" w:cs="Arial"/>
          <w:lang w:val="es-ES" w:eastAsia="es-ES"/>
        </w:rPr>
      </w:pPr>
      <w:r w:rsidRPr="009E0887">
        <w:rPr>
          <w:rFonts w:ascii="Verdana" w:eastAsia="Calibri" w:hAnsi="Verdana" w:cs="Arial"/>
          <w:lang w:val="es-ES" w:eastAsia="es-ES"/>
        </w:rPr>
        <w:t>En ejercicio de la competencia otorgada por los artículos 3, numeral 5º, y 11, numeral 8º, del Decreto Ley 4170 de 2011,</w:t>
      </w:r>
      <w:r w:rsidRPr="009E0887">
        <w:rPr>
          <w:rFonts w:ascii="Verdana" w:eastAsia="Arial MT" w:hAnsi="Verdana" w:cs="Arial MT"/>
          <w:lang w:val="es-ES" w:eastAsia="es-ES"/>
        </w:rPr>
        <w:t xml:space="preserve"> </w:t>
      </w:r>
      <w:r w:rsidRPr="009E0887">
        <w:rPr>
          <w:rFonts w:ascii="Verdana" w:hAnsi="Verdana" w:cs="Arial"/>
        </w:rPr>
        <w:t xml:space="preserve">así como lo establecido en el artículo 4 de la Resolución 1707 de 2018 expedida por esta Entidad, </w:t>
      </w:r>
      <w:r w:rsidRPr="009E0887">
        <w:rPr>
          <w:rFonts w:ascii="Verdana" w:eastAsia="Calibri" w:hAnsi="Verdana" w:cs="Arial"/>
          <w:lang w:val="es-ES" w:eastAsia="es-ES"/>
        </w:rPr>
        <w:t>la Agencia Nacional de Contratación Pública – Colombia Compra Eficiente– responde a su solicitud</w:t>
      </w:r>
      <w:r w:rsidR="00A44D23" w:rsidRPr="009E0887">
        <w:rPr>
          <w:rFonts w:ascii="Verdana" w:eastAsia="Calibri" w:hAnsi="Verdana" w:cs="Arial"/>
          <w:lang w:val="es-ES" w:eastAsia="es-ES"/>
        </w:rPr>
        <w:t>,</w:t>
      </w:r>
      <w:r w:rsidRPr="009E0887">
        <w:rPr>
          <w:rFonts w:ascii="Verdana" w:eastAsia="Calibri" w:hAnsi="Verdana" w:cs="Arial"/>
          <w:lang w:val="es-ES" w:eastAsia="es-ES"/>
        </w:rPr>
        <w:t xml:space="preserve"> trasladada por competencia por la Contaduría General de la Nación</w:t>
      </w:r>
      <w:r w:rsidR="001E273A" w:rsidRPr="009E0887">
        <w:rPr>
          <w:rFonts w:ascii="Verdana" w:eastAsia="Calibri" w:hAnsi="Verdana" w:cs="Arial"/>
          <w:lang w:val="es-ES" w:eastAsia="es-ES"/>
        </w:rPr>
        <w:t xml:space="preserve"> a</w:t>
      </w:r>
      <w:r w:rsidRPr="009E0887">
        <w:rPr>
          <w:rFonts w:ascii="Verdana" w:eastAsia="Calibri" w:hAnsi="Verdana" w:cs="Arial"/>
          <w:lang w:val="es-ES" w:eastAsia="es-ES"/>
        </w:rPr>
        <w:t xml:space="preserve"> esta entidad el 10 de abril de 2025, mediante la cuales manifiesta lo siguiente: </w:t>
      </w:r>
    </w:p>
    <w:p w14:paraId="682B2174" w14:textId="77777777" w:rsidR="00780961" w:rsidRPr="009E0887" w:rsidRDefault="00780961" w:rsidP="00280722">
      <w:pPr>
        <w:spacing w:after="0" w:line="276" w:lineRule="auto"/>
        <w:ind w:left="709" w:right="474"/>
        <w:jc w:val="both"/>
        <w:rPr>
          <w:rFonts w:ascii="Verdana" w:hAnsi="Verdana" w:cs="Arial"/>
          <w:sz w:val="20"/>
          <w:szCs w:val="20"/>
          <w:shd w:val="clear" w:color="auto" w:fill="FFFFFF"/>
        </w:rPr>
      </w:pPr>
      <w:bookmarkStart w:id="3" w:name="_Hlk95313578"/>
    </w:p>
    <w:bookmarkEnd w:id="3"/>
    <w:p w14:paraId="7BFB4FE3" w14:textId="276D606D" w:rsidR="00606910" w:rsidRPr="00280722" w:rsidRDefault="00780961" w:rsidP="00280722">
      <w:pPr>
        <w:pStyle w:val="Prrafodelista"/>
        <w:tabs>
          <w:tab w:val="left" w:pos="142"/>
          <w:tab w:val="left" w:pos="284"/>
        </w:tabs>
        <w:spacing w:after="0" w:line="240" w:lineRule="auto"/>
        <w:ind w:left="709" w:right="709"/>
        <w:jc w:val="both"/>
        <w:rPr>
          <w:rFonts w:ascii="Verdana" w:hAnsi="Verdana"/>
          <w:sz w:val="20"/>
          <w:szCs w:val="20"/>
          <w:lang w:val="es-CO"/>
        </w:rPr>
      </w:pPr>
      <w:r w:rsidRPr="00280722">
        <w:rPr>
          <w:rFonts w:ascii="Verdana" w:hAnsi="Verdana"/>
          <w:sz w:val="20"/>
          <w:szCs w:val="20"/>
        </w:rPr>
        <w:t>“Criterios que deben servir de base para regular los contratos de arrendamiento de los inmuebles de propiedad del municipio... los regula el estatuto tributario o que norma?”</w:t>
      </w:r>
    </w:p>
    <w:p w14:paraId="2871155B" w14:textId="2A19046D" w:rsidR="00780961" w:rsidRPr="00280722" w:rsidRDefault="00780961" w:rsidP="00280722">
      <w:pPr>
        <w:pStyle w:val="Prrafodelista"/>
        <w:tabs>
          <w:tab w:val="left" w:pos="142"/>
          <w:tab w:val="left" w:pos="284"/>
        </w:tabs>
        <w:spacing w:after="0" w:line="276" w:lineRule="auto"/>
        <w:ind w:left="709" w:right="709"/>
        <w:jc w:val="both"/>
        <w:rPr>
          <w:rFonts w:ascii="Verdana" w:hAnsi="Verdana"/>
          <w:sz w:val="20"/>
          <w:szCs w:val="20"/>
        </w:rPr>
      </w:pPr>
    </w:p>
    <w:p w14:paraId="154D150F" w14:textId="77777777" w:rsidR="00780961" w:rsidRPr="009E0887" w:rsidRDefault="00780961" w:rsidP="00780961">
      <w:pPr>
        <w:spacing w:after="120" w:line="276" w:lineRule="auto"/>
        <w:ind w:firstLine="709"/>
        <w:jc w:val="both"/>
        <w:rPr>
          <w:rFonts w:ascii="Verdana" w:eastAsia="Calibri" w:hAnsi="Verdana" w:cs="Arial"/>
          <w:lang w:val="es-ES_tradnl" w:eastAsia="es-ES_tradnl"/>
        </w:rPr>
      </w:pPr>
      <w:r w:rsidRPr="009E088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9E0887">
        <w:rPr>
          <w:rFonts w:ascii="Verdana" w:eastAsia="Calibri" w:hAnsi="Verdana" w:cs="Arial"/>
          <w:lang w:val="es-ES" w:eastAsia="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Estatales o de los demás participantes de la contratación pública. Esta competencia de interpretación de normas generales, por definición, no puede extenderse a la resolución de controversias, ni a brindar asesorías sobre casos puntuales.</w:t>
      </w:r>
    </w:p>
    <w:p w14:paraId="492DA17D" w14:textId="1CCB805F" w:rsidR="00780961" w:rsidRPr="009E0887" w:rsidRDefault="00780961" w:rsidP="00780961">
      <w:pPr>
        <w:spacing w:after="0" w:line="276" w:lineRule="auto"/>
        <w:ind w:firstLine="709"/>
        <w:jc w:val="both"/>
        <w:rPr>
          <w:rFonts w:ascii="Verdana" w:eastAsia="Calibri" w:hAnsi="Verdana" w:cs="Arial"/>
          <w:lang w:val="es-ES" w:eastAsia="es-ES"/>
        </w:rPr>
      </w:pPr>
      <w:r w:rsidRPr="009E0887">
        <w:rPr>
          <w:rFonts w:ascii="Verdana" w:eastAsia="Calibri" w:hAnsi="Verdana" w:cs="Arial"/>
          <w:lang w:val="es-ES" w:eastAsia="es-ES"/>
        </w:rPr>
        <w:t xml:space="preserve">Conforme lo expuesto, en aras de satisfacer el derecho fundamental de petición se resolverá sus consultas dentro de los límites de la referida competencia consultiva, esto es, haciendo unas consideraciones sobre las normas generales relacionadas con los problemas jurídicos de sus consultas.  </w:t>
      </w:r>
    </w:p>
    <w:p w14:paraId="7699055C" w14:textId="77777777" w:rsidR="00780961" w:rsidRPr="009E0887" w:rsidRDefault="00780961" w:rsidP="00780961">
      <w:pPr>
        <w:spacing w:after="0" w:line="276" w:lineRule="auto"/>
        <w:ind w:firstLine="709"/>
        <w:jc w:val="both"/>
        <w:rPr>
          <w:rFonts w:ascii="Verdana" w:eastAsia="Calibri" w:hAnsi="Verdana" w:cs="Arial"/>
          <w:lang w:val="es-ES" w:eastAsia="es-ES"/>
        </w:rPr>
      </w:pPr>
    </w:p>
    <w:p w14:paraId="676F892A" w14:textId="77777777" w:rsidR="00780961" w:rsidRPr="009E0887" w:rsidRDefault="00780961" w:rsidP="0078096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E0887">
        <w:rPr>
          <w:rFonts w:ascii="Verdana" w:eastAsia="Century Gothic" w:hAnsi="Verdana" w:cs="Century Gothic"/>
          <w:b/>
          <w:bCs/>
        </w:rPr>
        <w:t>Problemas jurídicos planteados:</w:t>
      </w:r>
    </w:p>
    <w:p w14:paraId="3CEDFC15" w14:textId="77777777" w:rsidR="00780961" w:rsidRPr="009E0887" w:rsidRDefault="00780961" w:rsidP="00780961">
      <w:pPr>
        <w:tabs>
          <w:tab w:val="left" w:pos="426"/>
        </w:tabs>
        <w:spacing w:after="0" w:line="276" w:lineRule="auto"/>
        <w:jc w:val="both"/>
        <w:rPr>
          <w:rFonts w:ascii="Verdana" w:eastAsia="Century Gothic" w:hAnsi="Verdana" w:cs="Century Gothic"/>
          <w:lang w:val="es-ES"/>
        </w:rPr>
      </w:pPr>
    </w:p>
    <w:p w14:paraId="10EC73B8" w14:textId="101B28EF" w:rsidR="00780961" w:rsidRPr="009E0887" w:rsidRDefault="00780961" w:rsidP="00780961">
      <w:pPr>
        <w:pStyle w:val="Prrafodelista"/>
        <w:ind w:left="0" w:right="49"/>
        <w:jc w:val="both"/>
        <w:rPr>
          <w:rFonts w:ascii="Verdana" w:eastAsia="Century Gothic" w:hAnsi="Verdana" w:cs="Century Gothic"/>
        </w:rPr>
      </w:pPr>
      <w:r w:rsidRPr="009E0887">
        <w:rPr>
          <w:rFonts w:ascii="Verdana" w:eastAsia="Century Gothic" w:hAnsi="Verdana" w:cs="Century Gothic"/>
        </w:rPr>
        <w:t>De acuerdo con el contenido de su solicitud, esta Agencia resolverá los siguientes problemas jurídico</w:t>
      </w:r>
      <w:r w:rsidR="0072791F" w:rsidRPr="009E0887">
        <w:rPr>
          <w:rFonts w:ascii="Verdana" w:eastAsia="Century Gothic" w:hAnsi="Verdana" w:cs="Century Gothic"/>
        </w:rPr>
        <w:t>s</w:t>
      </w:r>
      <w:r w:rsidRPr="009E0887">
        <w:rPr>
          <w:rFonts w:ascii="Verdana" w:eastAsia="Century Gothic" w:hAnsi="Verdana" w:cs="Century Gothic"/>
        </w:rPr>
        <w:t xml:space="preserve">: </w:t>
      </w:r>
      <w:r w:rsidRPr="009E0887">
        <w:rPr>
          <w:rFonts w:ascii="Verdana" w:hAnsi="Verdana"/>
          <w:lang w:val="es-CO"/>
        </w:rPr>
        <w:t>¿Qué normas regulan los contratos de arrendamiento de inmuebles de propiedad del municipio?  ¿Los regula el Estatuto Tributario o están sujetos a otras normas del régimen de contratación estatal?</w:t>
      </w:r>
    </w:p>
    <w:p w14:paraId="5A201543" w14:textId="77777777" w:rsidR="00780961" w:rsidRPr="009E0887" w:rsidRDefault="00780961" w:rsidP="00780961">
      <w:pPr>
        <w:pStyle w:val="Prrafodelista"/>
        <w:ind w:left="0" w:right="49"/>
        <w:jc w:val="both"/>
        <w:rPr>
          <w:rFonts w:ascii="Verdana" w:eastAsia="Century Gothic" w:hAnsi="Verdana" w:cs="Century Gothic"/>
          <w:lang w:val="es-CO"/>
        </w:rPr>
      </w:pPr>
    </w:p>
    <w:p w14:paraId="1BDC86C1" w14:textId="77777777" w:rsidR="00780961" w:rsidRPr="009E0887" w:rsidRDefault="00780961" w:rsidP="0078096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E0887">
        <w:rPr>
          <w:rFonts w:ascii="Verdana" w:eastAsia="Century Gothic" w:hAnsi="Verdana" w:cs="Century Gothic"/>
          <w:b/>
          <w:bCs/>
        </w:rPr>
        <w:t>Respuesta:</w:t>
      </w:r>
    </w:p>
    <w:p w14:paraId="762A64AA" w14:textId="77777777" w:rsidR="00780961" w:rsidRPr="009E0887" w:rsidRDefault="00780961" w:rsidP="0078096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0961" w:rsidRPr="009E0887" w14:paraId="58CF3434" w14:textId="77777777" w:rsidTr="00723D05">
        <w:tc>
          <w:tcPr>
            <w:tcW w:w="8828" w:type="dxa"/>
            <w:shd w:val="clear" w:color="auto" w:fill="auto"/>
          </w:tcPr>
          <w:p w14:paraId="764B445A" w14:textId="6BA44DE4" w:rsidR="00E64DDE" w:rsidRPr="00023091" w:rsidRDefault="00780961" w:rsidP="00280722">
            <w:pPr>
              <w:spacing w:after="120" w:line="276" w:lineRule="auto"/>
              <w:jc w:val="both"/>
              <w:rPr>
                <w:rFonts w:ascii="Verdana" w:eastAsia="Calibri" w:hAnsi="Verdana" w:cs="Arial"/>
                <w:color w:val="000000" w:themeColor="text1"/>
              </w:rPr>
            </w:pPr>
            <w:r w:rsidRPr="009E0887">
              <w:rPr>
                <w:rFonts w:ascii="Verdana" w:eastAsia="Calibri" w:hAnsi="Verdana" w:cs="Arial"/>
                <w:bCs/>
                <w:lang w:eastAsia="es-ES" w:bidi="es-ES"/>
              </w:rPr>
              <w:t xml:space="preserve">Los contratos de arrendamiento de inmuebles de propiedad del municipio no están regulados por el Estatuto Tributario. </w:t>
            </w:r>
            <w:r w:rsidR="005F0423">
              <w:rPr>
                <w:rFonts w:ascii="Verdana" w:eastAsia="Calibri" w:hAnsi="Verdana" w:cs="Arial"/>
                <w:bCs/>
                <w:lang w:eastAsia="es-ES" w:bidi="es-ES"/>
              </w:rPr>
              <w:t>E</w:t>
            </w:r>
            <w:r w:rsidR="005F0423" w:rsidRPr="009E0887">
              <w:rPr>
                <w:rFonts w:ascii="Verdana" w:hAnsi="Verdana" w:cs="Arial"/>
                <w:color w:val="000000" w:themeColor="text1"/>
                <w:lang w:eastAsia="es-CO"/>
              </w:rPr>
              <w:t>n los casos en donde una de las partes del contrato de arrendamiento sea una Entidad Pública, este contrato adquiere el carácter de estatal</w:t>
            </w:r>
            <w:r w:rsidR="005F0423">
              <w:rPr>
                <w:rFonts w:ascii="Verdana" w:hAnsi="Verdana" w:cs="Arial"/>
                <w:color w:val="000000" w:themeColor="text1"/>
                <w:lang w:eastAsia="es-CO"/>
              </w:rPr>
              <w:t xml:space="preserve">, independientemente que funja en calidad de arrendatario o arrendador. </w:t>
            </w:r>
            <w:r w:rsidRPr="009E0887">
              <w:rPr>
                <w:rFonts w:ascii="Verdana" w:eastAsia="Calibri" w:hAnsi="Verdana" w:cs="Arial"/>
                <w:bCs/>
                <w:lang w:eastAsia="es-ES" w:bidi="es-ES"/>
              </w:rPr>
              <w:t xml:space="preserve">Estos contratos se rigen por el régimen general de contratación estatal, </w:t>
            </w:r>
            <w:r w:rsidR="00E64DDE">
              <w:rPr>
                <w:rFonts w:ascii="Verdana" w:eastAsia="Calibri" w:hAnsi="Verdana" w:cs="Arial"/>
                <w:bCs/>
                <w:lang w:eastAsia="es-ES" w:bidi="es-ES"/>
              </w:rPr>
              <w:t xml:space="preserve">en ese sentido, </w:t>
            </w:r>
            <w:r w:rsidR="00E64DDE" w:rsidRPr="00023091">
              <w:rPr>
                <w:rFonts w:ascii="Verdana" w:eastAsia="Calibri" w:hAnsi="Verdana" w:cs="Arial"/>
                <w:color w:val="000000" w:themeColor="text1"/>
              </w:rPr>
              <w:t>la Entidad Estatal debe aplicar las normas civiles y comerciales</w:t>
            </w:r>
            <w:r w:rsidR="00AB13AB">
              <w:rPr>
                <w:rFonts w:ascii="Verdana" w:eastAsia="Calibri" w:hAnsi="Verdana" w:cs="Arial"/>
                <w:color w:val="000000" w:themeColor="text1"/>
              </w:rPr>
              <w:t>, en lo que resulta compatible,</w:t>
            </w:r>
            <w:r w:rsidR="00E64DDE" w:rsidRPr="00023091">
              <w:rPr>
                <w:rFonts w:ascii="Verdana" w:eastAsia="Calibri" w:hAnsi="Verdana" w:cs="Arial"/>
                <w:color w:val="000000" w:themeColor="text1"/>
              </w:rPr>
              <w:t xml:space="preserve"> que regulan la sustantividad del contrato de arrendamiento, porque a estas se remiten los artículos 13, 32 y 40 de la Ley 80 de 1993</w:t>
            </w:r>
            <w:r w:rsidR="00AB13AB">
              <w:rPr>
                <w:rFonts w:ascii="Verdana" w:eastAsia="Calibri" w:hAnsi="Verdana" w:cs="Arial"/>
                <w:color w:val="000000" w:themeColor="text1"/>
              </w:rPr>
              <w:t xml:space="preserve"> y le será aplicable las normas </w:t>
            </w:r>
            <w:r w:rsidR="00E578A1">
              <w:rPr>
                <w:rFonts w:ascii="Verdana" w:eastAsia="Calibri" w:hAnsi="Verdana" w:cs="Arial"/>
                <w:color w:val="000000" w:themeColor="text1"/>
              </w:rPr>
              <w:t xml:space="preserve">del </w:t>
            </w:r>
            <w:r w:rsidR="00D7715B" w:rsidRPr="00F77BAC">
              <w:rPr>
                <w:rFonts w:ascii="Verdana" w:eastAsia="Arial" w:hAnsi="Verdana" w:cs="Arial"/>
                <w:color w:val="000000" w:themeColor="text1"/>
                <w:lang w:val="es-ES_tradnl"/>
              </w:rPr>
              <w:t>Estatuto General de Contratación de la Administración Pública, en adelante EGCAP</w:t>
            </w:r>
            <w:r w:rsidR="00D7715B">
              <w:rPr>
                <w:rFonts w:ascii="Verdana" w:eastAsia="Arial" w:hAnsi="Verdana" w:cs="Arial"/>
                <w:color w:val="000000" w:themeColor="text1"/>
                <w:lang w:val="es-ES_tradnl"/>
              </w:rPr>
              <w:t>.</w:t>
            </w:r>
          </w:p>
          <w:p w14:paraId="631955E8" w14:textId="194D1473" w:rsidR="00E64DDE" w:rsidRDefault="00780961" w:rsidP="00280722">
            <w:pPr>
              <w:spacing w:after="120" w:line="276" w:lineRule="auto"/>
              <w:ind w:firstLine="709"/>
              <w:jc w:val="both"/>
              <w:rPr>
                <w:rFonts w:ascii="Verdana" w:eastAsia="Calibri" w:hAnsi="Verdana" w:cs="Arial"/>
                <w:bCs/>
                <w:lang w:eastAsia="es-ES" w:bidi="es-ES"/>
              </w:rPr>
            </w:pPr>
            <w:r w:rsidRPr="009E0887">
              <w:rPr>
                <w:rFonts w:ascii="Verdana" w:eastAsia="Calibri" w:hAnsi="Verdana" w:cs="Arial"/>
                <w:bCs/>
                <w:lang w:eastAsia="es-ES" w:bidi="es-ES"/>
              </w:rPr>
              <w:t xml:space="preserve">Adicionalmente, los aspectos tributarios relacionados con estos contratos, como el impuesto predial o el impuesto de industria y comercio, se </w:t>
            </w:r>
            <w:r w:rsidRPr="009E0887">
              <w:rPr>
                <w:rFonts w:ascii="Verdana" w:eastAsia="Calibri" w:hAnsi="Verdana" w:cs="Arial"/>
                <w:bCs/>
                <w:lang w:eastAsia="es-ES" w:bidi="es-ES"/>
              </w:rPr>
              <w:lastRenderedPageBreak/>
              <w:t>regulan por las normas tributarias correspondientes, pero no determinan los criterios contractuales de arrendamiento.</w:t>
            </w:r>
          </w:p>
          <w:p w14:paraId="61B1343D" w14:textId="77777777" w:rsidR="00AD3753" w:rsidRDefault="006E041F" w:rsidP="00280722">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cuanto a la modalidad de selección, </w:t>
            </w:r>
            <w:r w:rsidR="00BB5F70" w:rsidRPr="009E0887">
              <w:rPr>
                <w:rFonts w:ascii="Verdana" w:eastAsia="Calibri" w:hAnsi="Verdana" w:cs="Arial"/>
                <w:color w:val="000000" w:themeColor="text1"/>
              </w:rPr>
              <w:t>si la Entidad Estatal se rige por el EGCAP, bien sea que obre en calidad de arrendadora o arrendataria, debe acudir a la modalidad de selección de contratación directa si arrendara un inmueble</w:t>
            </w:r>
            <w:r w:rsidR="00BB5F70">
              <w:rPr>
                <w:rFonts w:ascii="Verdana" w:eastAsia="Calibri" w:hAnsi="Verdana" w:cs="Arial"/>
                <w:color w:val="000000" w:themeColor="text1"/>
              </w:rPr>
              <w:t xml:space="preserve">. Esto, </w:t>
            </w:r>
            <w:r w:rsidR="00BB5F70" w:rsidRPr="009E0887">
              <w:rPr>
                <w:rFonts w:ascii="Verdana" w:eastAsia="Calibri" w:hAnsi="Verdana" w:cs="Arial"/>
                <w:color w:val="000000" w:themeColor="text1"/>
              </w:rPr>
              <w:t xml:space="preserve">pues el literal i) </w:t>
            </w:r>
            <w:r w:rsidR="00BB5F70">
              <w:rPr>
                <w:rFonts w:ascii="Verdana" w:eastAsia="Calibri" w:hAnsi="Verdana" w:cs="Arial"/>
                <w:color w:val="000000" w:themeColor="text1"/>
              </w:rPr>
              <w:t xml:space="preserve">del </w:t>
            </w:r>
            <w:r w:rsidR="00BB5F70" w:rsidRPr="009E0887">
              <w:rPr>
                <w:rFonts w:ascii="Verdana" w:eastAsia="Calibri" w:hAnsi="Verdana" w:cs="Arial"/>
                <w:color w:val="000000" w:themeColor="text1"/>
              </w:rPr>
              <w:t xml:space="preserve">numeral 4° </w:t>
            </w:r>
            <w:r w:rsidR="00BB5F70">
              <w:rPr>
                <w:rFonts w:ascii="Verdana" w:eastAsia="Calibri" w:hAnsi="Verdana" w:cs="Arial"/>
                <w:color w:val="000000" w:themeColor="text1"/>
              </w:rPr>
              <w:t xml:space="preserve">del </w:t>
            </w:r>
            <w:r w:rsidR="00BB5F70" w:rsidRPr="009E0887">
              <w:rPr>
                <w:rFonts w:ascii="Verdana" w:eastAsia="Calibri" w:hAnsi="Verdana" w:cs="Arial"/>
                <w:color w:val="000000" w:themeColor="text1"/>
              </w:rPr>
              <w:t>artículo 2º de la Ley 1150 de 2007 establece que una de las causales de este procedimiento es</w:t>
            </w:r>
            <w:r w:rsidR="00BB5F70">
              <w:rPr>
                <w:rFonts w:ascii="Verdana" w:eastAsia="Calibri" w:hAnsi="Verdana" w:cs="Arial"/>
                <w:color w:val="000000" w:themeColor="text1"/>
              </w:rPr>
              <w:t>:</w:t>
            </w:r>
            <w:r w:rsidR="00BB5F70" w:rsidRPr="009E0887">
              <w:rPr>
                <w:rFonts w:ascii="Verdana" w:eastAsia="Calibri" w:hAnsi="Verdana" w:cs="Arial"/>
                <w:color w:val="000000" w:themeColor="text1"/>
              </w:rPr>
              <w:t xml:space="preserve"> “i) El arrendamiento o adquisición de inmuebles”. </w:t>
            </w:r>
          </w:p>
          <w:p w14:paraId="25BCFA63" w14:textId="356AEA74" w:rsidR="00BB5F70" w:rsidRPr="00023091" w:rsidRDefault="00BB5F70" w:rsidP="00280722">
            <w:pPr>
              <w:spacing w:after="120" w:line="276" w:lineRule="auto"/>
              <w:ind w:firstLine="709"/>
              <w:jc w:val="both"/>
              <w:rPr>
                <w:rFonts w:ascii="Verdana" w:hAnsi="Verdana"/>
                <w:color w:val="000000" w:themeColor="text1"/>
                <w:lang w:val="es-ES" w:eastAsia="es-ES"/>
              </w:rPr>
            </w:pPr>
            <w:r w:rsidRPr="009E0887">
              <w:rPr>
                <w:rFonts w:ascii="Verdana" w:hAnsi="Verdana"/>
                <w:bCs/>
                <w:color w:val="000000" w:themeColor="text1"/>
                <w:lang w:eastAsia="es-ES_tradnl"/>
              </w:rPr>
              <w:t xml:space="preserve">Adicionalmente, el artículo 2.2.1.2.1.4.11 del Decreto 1082 de 2015 dispone </w:t>
            </w:r>
            <w:r w:rsidR="00AD3753">
              <w:rPr>
                <w:rFonts w:ascii="Verdana" w:hAnsi="Verdana"/>
                <w:bCs/>
                <w:color w:val="000000" w:themeColor="text1"/>
                <w:lang w:eastAsia="es-ES_tradnl"/>
              </w:rPr>
              <w:t xml:space="preserve">que, </w:t>
            </w:r>
            <w:r w:rsidRPr="00023091">
              <w:rPr>
                <w:rFonts w:ascii="Verdana" w:hAnsi="Verdana"/>
                <w:color w:val="000000" w:themeColor="text1"/>
                <w:lang w:val="es-ES" w:eastAsia="es-ES"/>
              </w:rPr>
              <w:t>la entidad debe elaborar los estudios previos y documentos previos y verificar las condiciones del mercado inmobiliario en la ciudad donde la Entidad Estatal requiere el documento. Además, tiene el deber analizar y comparar las condiciones de los bienes inmuebles que satisfacen sus necesidades; y de tener en cuenta los principios y objetivos del Sistema de Compra y Contratación Pública.</w:t>
            </w:r>
          </w:p>
          <w:p w14:paraId="1D2118BB" w14:textId="77777777" w:rsidR="00AD3753" w:rsidRPr="00023091" w:rsidRDefault="00AD3753" w:rsidP="00280722">
            <w:pPr>
              <w:spacing w:after="120" w:line="276" w:lineRule="auto"/>
              <w:ind w:firstLine="709"/>
              <w:jc w:val="both"/>
              <w:rPr>
                <w:rFonts w:ascii="Verdana" w:hAnsi="Verdana"/>
                <w:color w:val="000000" w:themeColor="text1"/>
                <w:lang w:eastAsia="es-ES"/>
              </w:rPr>
            </w:pPr>
            <w:r w:rsidRPr="00023091">
              <w:rPr>
                <w:rFonts w:ascii="Verdana" w:hAnsi="Verdana"/>
                <w:color w:val="000000" w:themeColor="text1"/>
                <w:lang w:eastAsia="es-ES"/>
              </w:rPr>
              <w:t>Si el arrendamiento recae sobre bienes públicos debe tenerse en cuenta que la Sección Tercera del Consejo de Estado señaló que los bienes que pueden ser susceptibles de arrendamiento son únicamente los bienes fiscales, no los bienes de uso público.</w:t>
            </w:r>
          </w:p>
          <w:p w14:paraId="5AAB2A4D" w14:textId="77777777" w:rsidR="00780961" w:rsidRPr="009E0887" w:rsidRDefault="00780961" w:rsidP="00280722">
            <w:pPr>
              <w:spacing w:after="120" w:line="276" w:lineRule="auto"/>
              <w:ind w:firstLine="709"/>
              <w:jc w:val="both"/>
              <w:rPr>
                <w:rFonts w:ascii="Verdana" w:eastAsia="Calibri" w:hAnsi="Verdana" w:cs="Times New Roman"/>
                <w:lang w:val="es-ES"/>
              </w:rPr>
            </w:pPr>
            <w:r w:rsidRPr="009E0887">
              <w:rPr>
                <w:rFonts w:ascii="Verdana" w:eastAsia="Calibri" w:hAnsi="Verdana" w:cs="Times New Roman"/>
                <w:lang w:val="es-ES"/>
              </w:rPr>
              <w:t xml:space="preserve">     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F263BC1" w14:textId="7C46964E" w:rsidR="00780961" w:rsidRPr="00280722" w:rsidRDefault="00780961" w:rsidP="00280722">
            <w:pPr>
              <w:spacing w:line="276" w:lineRule="auto"/>
              <w:ind w:firstLine="709"/>
              <w:jc w:val="both"/>
              <w:rPr>
                <w:rFonts w:ascii="Verdana" w:hAnsi="Verdana" w:cs="Arial"/>
                <w:bCs/>
                <w:color w:val="000000" w:themeColor="text1"/>
              </w:rPr>
            </w:pPr>
            <w:r w:rsidRPr="009E0887">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7B8C256" w14:textId="77777777" w:rsidR="00780961" w:rsidRPr="009E0887" w:rsidRDefault="00780961" w:rsidP="00780961">
      <w:pPr>
        <w:tabs>
          <w:tab w:val="left" w:pos="142"/>
          <w:tab w:val="left" w:pos="284"/>
        </w:tabs>
        <w:spacing w:after="0" w:line="276" w:lineRule="auto"/>
        <w:jc w:val="both"/>
        <w:rPr>
          <w:rFonts w:ascii="Verdana" w:eastAsia="Century Gothic" w:hAnsi="Verdana" w:cs="Century Gothic"/>
          <w:b/>
          <w:bCs/>
          <w:lang w:val="es-ES"/>
        </w:rPr>
      </w:pPr>
    </w:p>
    <w:p w14:paraId="36044C37" w14:textId="77777777" w:rsidR="00780961" w:rsidRPr="009E0887" w:rsidRDefault="00780961" w:rsidP="0078096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E0887">
        <w:rPr>
          <w:rFonts w:ascii="Verdana" w:eastAsia="Century Gothic" w:hAnsi="Verdana" w:cs="Century Gothic"/>
          <w:b/>
          <w:bCs/>
        </w:rPr>
        <w:lastRenderedPageBreak/>
        <w:t>Razones de la respuesta:</w:t>
      </w:r>
    </w:p>
    <w:p w14:paraId="5DECA4D5" w14:textId="77777777" w:rsidR="00780961" w:rsidRPr="009E0887" w:rsidRDefault="00780961" w:rsidP="00780961">
      <w:pPr>
        <w:spacing w:after="0" w:line="276" w:lineRule="auto"/>
        <w:jc w:val="both"/>
        <w:rPr>
          <w:rFonts w:ascii="Verdana" w:eastAsia="Calibri" w:hAnsi="Verdana" w:cs="Arial"/>
          <w:color w:val="7030A0"/>
          <w:lang w:val="es-ES"/>
        </w:rPr>
      </w:pPr>
    </w:p>
    <w:p w14:paraId="3F76EB53" w14:textId="77777777" w:rsidR="00AD6B0A" w:rsidRPr="00280722" w:rsidRDefault="00F87C6C" w:rsidP="00D14B03">
      <w:pPr>
        <w:widowControl w:val="0"/>
        <w:autoSpaceDE w:val="0"/>
        <w:autoSpaceDN w:val="0"/>
        <w:spacing w:after="120" w:line="276" w:lineRule="auto"/>
        <w:jc w:val="both"/>
        <w:rPr>
          <w:rFonts w:ascii="Verdana" w:eastAsia="Arial" w:hAnsi="Verdana" w:cs="Arial"/>
          <w:color w:val="000000" w:themeColor="text1"/>
          <w:lang w:val="es-ES_tradnl"/>
        </w:rPr>
      </w:pPr>
      <w:r w:rsidRPr="009E0887">
        <w:rPr>
          <w:rFonts w:ascii="Verdana" w:eastAsia="Calibri" w:hAnsi="Verdana" w:cs="Arial"/>
          <w:b/>
          <w:bCs/>
          <w:color w:val="000000" w:themeColor="text1"/>
        </w:rPr>
        <w:t xml:space="preserve">i) </w:t>
      </w:r>
      <w:r w:rsidR="00AD6B0A" w:rsidRPr="00280722">
        <w:rPr>
          <w:rFonts w:ascii="Verdana" w:eastAsia="Arial" w:hAnsi="Verdana" w:cs="Arial"/>
          <w:color w:val="000000" w:themeColor="text1"/>
          <w:lang w:val="es-ES_tradnl"/>
        </w:rPr>
        <w:t>El contrato es un “acto jurídico voluntario, una declaración de voluntad, que tiene por objeto establecer una relación jurídica entre dos personas, obligando a la una para con otra a determinada prestación”</w:t>
      </w:r>
      <w:r w:rsidR="00AD6B0A" w:rsidRPr="00280722">
        <w:rPr>
          <w:rFonts w:ascii="Verdana" w:eastAsia="Arial" w:hAnsi="Verdana" w:cs="Arial"/>
          <w:color w:val="000000" w:themeColor="text1"/>
          <w:vertAlign w:val="superscript"/>
          <w:lang w:val="es-ES_tradnl"/>
        </w:rPr>
        <w:footnoteReference w:id="1"/>
      </w:r>
      <w:r w:rsidR="00AD6B0A" w:rsidRPr="00280722">
        <w:rPr>
          <w:rFonts w:ascii="Verdana" w:eastAsia="Arial" w:hAnsi="Verdana" w:cs="Arial"/>
          <w:color w:val="000000" w:themeColor="text1"/>
          <w:lang w:val="es-ES_tradnl"/>
        </w:rPr>
        <w:t>. Se trata de un negocio jurídico en el sentido de que es el resultado de un acto dispositivo o de autorregulación de intereses de dos o más sujetos con efectos jurídicos para crear, modificar o extinguir relaciones jurídicas</w:t>
      </w:r>
      <w:r w:rsidR="00AD6B0A" w:rsidRPr="00280722">
        <w:rPr>
          <w:rFonts w:ascii="Verdana" w:eastAsia="Arial" w:hAnsi="Verdana" w:cs="Arial"/>
          <w:color w:val="000000" w:themeColor="text1"/>
          <w:vertAlign w:val="superscript"/>
          <w:lang w:val="es-ES_tradnl"/>
        </w:rPr>
        <w:footnoteReference w:id="2"/>
      </w:r>
      <w:r w:rsidR="00AD6B0A" w:rsidRPr="00280722">
        <w:rPr>
          <w:rFonts w:ascii="Verdana" w:eastAsia="Arial" w:hAnsi="Verdana" w:cs="Arial"/>
          <w:color w:val="000000" w:themeColor="text1"/>
          <w:lang w:val="es-ES_tradnl"/>
        </w:rPr>
        <w:t xml:space="preserve">. </w:t>
      </w:r>
    </w:p>
    <w:p w14:paraId="502EA9F7" w14:textId="77777777" w:rsidR="00AD6B0A" w:rsidRPr="00280722" w:rsidRDefault="00AD6B0A" w:rsidP="10776ABC">
      <w:pPr>
        <w:widowControl w:val="0"/>
        <w:autoSpaceDE w:val="0"/>
        <w:autoSpaceDN w:val="0"/>
        <w:spacing w:after="120" w:line="276" w:lineRule="auto"/>
        <w:ind w:firstLine="708"/>
        <w:jc w:val="both"/>
        <w:rPr>
          <w:rFonts w:ascii="Verdana" w:eastAsia="Arial" w:hAnsi="Verdana" w:cs="Arial"/>
          <w:color w:val="000000" w:themeColor="text1"/>
          <w:lang w:val="es-ES"/>
        </w:rPr>
      </w:pPr>
      <w:r w:rsidRPr="00280722">
        <w:rPr>
          <w:rFonts w:ascii="Verdana" w:eastAsia="Arial" w:hAnsi="Verdana" w:cs="Arial"/>
          <w:color w:val="000000" w:themeColor="text1"/>
          <w:lang w:val="es-ES"/>
        </w:rPr>
        <w:t>En efecto, el artículo 1495 del Código Civil establece que el “[c]ontrato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293B4844" w14:textId="33D5FBF1" w:rsidR="00AD6B0A" w:rsidRPr="00280722" w:rsidRDefault="00AD6B0A" w:rsidP="00D14B03">
      <w:pPr>
        <w:widowControl w:val="0"/>
        <w:autoSpaceDE w:val="0"/>
        <w:autoSpaceDN w:val="0"/>
        <w:spacing w:after="120" w:line="276" w:lineRule="auto"/>
        <w:ind w:firstLine="708"/>
        <w:jc w:val="both"/>
        <w:rPr>
          <w:rFonts w:ascii="Verdana" w:eastAsia="Arial" w:hAnsi="Verdana" w:cs="Arial"/>
          <w:color w:val="000000" w:themeColor="text1"/>
          <w:lang w:val="es-ES_tradnl"/>
        </w:rPr>
      </w:pPr>
      <w:r w:rsidRPr="00280722">
        <w:rPr>
          <w:rFonts w:ascii="Verdana" w:eastAsia="Arial" w:hAnsi="Verdana" w:cs="Arial"/>
          <w:color w:val="000000" w:themeColor="text1"/>
          <w:lang w:val="es-ES_tradnl"/>
        </w:rPr>
        <w:t>Por su parte, el artículo 1º de la Ley 80 de 1993 –EGCAP– determina que su objetivo es disponer de reglas y principios que rigen los contratos de las Entidades Estatales</w:t>
      </w:r>
      <w:r w:rsidR="00005E45" w:rsidRPr="00280722">
        <w:rPr>
          <w:rFonts w:ascii="Verdana" w:eastAsia="Arial" w:hAnsi="Verdana" w:cs="Arial"/>
          <w:color w:val="000000" w:themeColor="text1"/>
          <w:lang w:val="es-ES_tradnl"/>
        </w:rPr>
        <w:t>. E</w:t>
      </w:r>
      <w:r w:rsidRPr="00280722">
        <w:rPr>
          <w:rFonts w:ascii="Verdana" w:eastAsia="Arial" w:hAnsi="Verdana" w:cs="Arial"/>
          <w:color w:val="000000" w:themeColor="text1"/>
          <w:lang w:val="es-ES_tradnl"/>
        </w:rPr>
        <w:t xml:space="preserve">n ese sentido, el artículo 32 </w:t>
      </w:r>
      <w:r w:rsidRPr="00280722">
        <w:rPr>
          <w:rFonts w:ascii="Verdana" w:eastAsia="Arial" w:hAnsi="Verdana" w:cs="Arial"/>
          <w:i/>
          <w:iCs/>
          <w:color w:val="000000" w:themeColor="text1"/>
          <w:lang w:val="es-ES_tradnl"/>
        </w:rPr>
        <w:t>ibidem</w:t>
      </w:r>
      <w:r w:rsidRPr="00280722">
        <w:rPr>
          <w:rFonts w:ascii="Verdana" w:eastAsia="Arial" w:hAnsi="Verdana" w:cs="Arial"/>
          <w:color w:val="000000" w:themeColor="text1"/>
          <w:lang w:val="es-ES_tradnl"/>
        </w:rPr>
        <w:t xml:space="preserve"> define los contratos estatales como “todos los actos jurídicos, generadores de obligaciones que celebren las entidades a que se refiere este estatuto [art</w:t>
      </w:r>
      <w:r w:rsidR="004B0EB2" w:rsidRPr="00280722">
        <w:rPr>
          <w:rFonts w:ascii="Verdana" w:eastAsia="Arial" w:hAnsi="Verdana" w:cs="Arial"/>
          <w:color w:val="000000" w:themeColor="text1"/>
          <w:lang w:val="es-ES_tradnl"/>
        </w:rPr>
        <w:t>ículo</w:t>
      </w:r>
      <w:r w:rsidRPr="00280722">
        <w:rPr>
          <w:rFonts w:ascii="Verdana" w:eastAsia="Arial" w:hAnsi="Verdana" w:cs="Arial"/>
          <w:color w:val="000000" w:themeColor="text1"/>
          <w:lang w:val="es-ES_tradnl"/>
        </w:rPr>
        <w:t xml:space="preserve"> 2], previstos en el derecho privado o en disposiciones especiales, o derivados del ejercicio de la autonomía de la voluntad”. </w:t>
      </w:r>
    </w:p>
    <w:p w14:paraId="625022E1" w14:textId="1B18D17E" w:rsidR="00AD6B0A" w:rsidRPr="00280722" w:rsidRDefault="00AD6B0A" w:rsidP="00280722">
      <w:pPr>
        <w:widowControl w:val="0"/>
        <w:autoSpaceDE w:val="0"/>
        <w:autoSpaceDN w:val="0"/>
        <w:spacing w:after="0" w:line="276" w:lineRule="auto"/>
        <w:ind w:firstLine="709"/>
        <w:jc w:val="both"/>
        <w:rPr>
          <w:rFonts w:ascii="Verdana" w:eastAsia="Arial" w:hAnsi="Verdana" w:cs="Arial"/>
          <w:color w:val="000000" w:themeColor="text1"/>
          <w:lang w:val="es-ES_tradnl"/>
        </w:rPr>
      </w:pPr>
      <w:r w:rsidRPr="00280722">
        <w:rPr>
          <w:rFonts w:ascii="Verdana" w:eastAsia="Arial" w:hAnsi="Verdana" w:cs="Arial"/>
          <w:color w:val="000000" w:themeColor="text1"/>
          <w:lang w:val="es-ES_tradnl"/>
        </w:rPr>
        <w:t xml:space="preserve">De acuerdo con lo anterior, </w:t>
      </w:r>
      <w:bookmarkStart w:id="4" w:name="_Hlk150759794"/>
      <w:r w:rsidRPr="00280722">
        <w:rPr>
          <w:rFonts w:ascii="Verdana" w:eastAsia="Arial" w:hAnsi="Verdana" w:cs="Arial"/>
          <w:color w:val="000000" w:themeColor="text1"/>
          <w:lang w:val="es-ES_tradnl"/>
        </w:rPr>
        <w:t xml:space="preserve">para la definición de contrato estatal basta con que una de las </w:t>
      </w:r>
      <w:r w:rsidR="00D14B03" w:rsidRPr="00280722">
        <w:rPr>
          <w:rFonts w:ascii="Verdana" w:eastAsia="Arial" w:hAnsi="Verdana" w:cs="Arial"/>
          <w:color w:val="000000" w:themeColor="text1"/>
          <w:lang w:val="es-ES_tradnl"/>
        </w:rPr>
        <w:t xml:space="preserve">Entidades </w:t>
      </w:r>
      <w:r w:rsidRPr="00280722">
        <w:rPr>
          <w:rFonts w:ascii="Verdana" w:eastAsia="Arial" w:hAnsi="Verdana" w:cs="Arial"/>
          <w:color w:val="000000" w:themeColor="text1"/>
          <w:lang w:val="es-ES_tradnl"/>
        </w:rPr>
        <w:t>que enumera el artículo 2º de la Ley 80 de 1993</w:t>
      </w:r>
      <w:r w:rsidRPr="00280722">
        <w:rPr>
          <w:rFonts w:ascii="Verdana" w:eastAsia="Arial" w:hAnsi="Verdana" w:cs="Arial"/>
          <w:color w:val="000000" w:themeColor="text1"/>
          <w:vertAlign w:val="superscript"/>
          <w:lang w:val="es-ES_tradnl"/>
        </w:rPr>
        <w:footnoteReference w:id="3"/>
      </w:r>
      <w:r w:rsidRPr="00280722">
        <w:rPr>
          <w:rFonts w:ascii="Verdana" w:eastAsia="Arial" w:hAnsi="Verdana" w:cs="Arial"/>
          <w:color w:val="000000" w:themeColor="text1"/>
          <w:lang w:val="es-ES_tradnl"/>
        </w:rPr>
        <w:t xml:space="preserve"> </w:t>
      </w:r>
      <w:r w:rsidRPr="00280722">
        <w:rPr>
          <w:rFonts w:ascii="Verdana" w:eastAsia="Arial" w:hAnsi="Verdana" w:cs="Arial"/>
          <w:color w:val="000000" w:themeColor="text1"/>
          <w:lang w:val="es-ES_tradnl"/>
        </w:rPr>
        <w:lastRenderedPageBreak/>
        <w:t>sea una de las partes, sin importar el extremo de la relación jurídico negocial que</w:t>
      </w:r>
      <w:r w:rsidRPr="00280722">
        <w:rPr>
          <w:rFonts w:ascii="Verdana" w:eastAsia="Arial" w:hAnsi="Verdana" w:cs="Arial"/>
          <w:color w:val="000000" w:themeColor="text1"/>
          <w:spacing w:val="-14"/>
          <w:lang w:val="es-ES_tradnl"/>
        </w:rPr>
        <w:t xml:space="preserve"> </w:t>
      </w:r>
      <w:r w:rsidRPr="00280722">
        <w:rPr>
          <w:rFonts w:ascii="Verdana" w:eastAsia="Arial" w:hAnsi="Verdana" w:cs="Arial"/>
          <w:color w:val="000000" w:themeColor="text1"/>
          <w:lang w:val="es-ES_tradnl"/>
        </w:rPr>
        <w:t>asuma. Al respecto, el Consejo de Estado ha sostenido que el criterio definitorio de un contrato estatal es que haya sido celebrado por una Entidad Estatal</w:t>
      </w:r>
      <w:bookmarkEnd w:id="4"/>
      <w:r w:rsidRPr="00280722">
        <w:rPr>
          <w:rFonts w:ascii="Verdana" w:eastAsia="Arial" w:hAnsi="Verdana" w:cs="Arial"/>
          <w:color w:val="000000" w:themeColor="text1"/>
          <w:lang w:val="es-ES_tradnl"/>
        </w:rPr>
        <w:t>:</w:t>
      </w:r>
    </w:p>
    <w:p w14:paraId="37570B33" w14:textId="77777777" w:rsidR="00AD6B0A" w:rsidRPr="00280722" w:rsidRDefault="00AD6B0A" w:rsidP="00280722">
      <w:pPr>
        <w:widowControl w:val="0"/>
        <w:autoSpaceDE w:val="0"/>
        <w:autoSpaceDN w:val="0"/>
        <w:spacing w:after="0" w:line="276" w:lineRule="auto"/>
        <w:ind w:firstLine="261"/>
        <w:contextualSpacing/>
        <w:jc w:val="both"/>
        <w:rPr>
          <w:rFonts w:ascii="Verdana" w:eastAsia="Arial" w:hAnsi="Verdana" w:cs="Arial"/>
          <w:color w:val="000000" w:themeColor="text1"/>
          <w:lang w:val="es-ES_tradnl"/>
        </w:rPr>
      </w:pPr>
    </w:p>
    <w:p w14:paraId="215567DD" w14:textId="77777777" w:rsidR="00AD6B0A" w:rsidRPr="00280722" w:rsidRDefault="00AD6B0A" w:rsidP="00280722">
      <w:pPr>
        <w:widowControl w:val="0"/>
        <w:tabs>
          <w:tab w:val="left" w:pos="7797"/>
        </w:tabs>
        <w:autoSpaceDE w:val="0"/>
        <w:autoSpaceDN w:val="0"/>
        <w:spacing w:after="0"/>
        <w:ind w:left="709" w:right="709"/>
        <w:contextualSpacing/>
        <w:jc w:val="both"/>
        <w:rPr>
          <w:rFonts w:ascii="Verdana" w:eastAsia="Arial" w:hAnsi="Verdana" w:cs="Arial"/>
          <w:color w:val="000000" w:themeColor="text1"/>
          <w:sz w:val="20"/>
          <w:szCs w:val="20"/>
          <w:lang w:val="es-ES_tradnl"/>
        </w:rPr>
      </w:pPr>
      <w:r w:rsidRPr="00280722">
        <w:rPr>
          <w:rFonts w:ascii="Verdana" w:eastAsia="Arial" w:hAnsi="Verdana" w:cs="Arial"/>
          <w:color w:val="000000" w:themeColor="text1"/>
          <w:sz w:val="20"/>
          <w:szCs w:val="20"/>
          <w:lang w:val="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280722">
        <w:rPr>
          <w:rFonts w:ascii="Verdana" w:eastAsia="Arial" w:hAnsi="Verdana" w:cs="Arial"/>
          <w:color w:val="000000" w:themeColor="text1"/>
          <w:spacing w:val="-4"/>
          <w:sz w:val="20"/>
          <w:szCs w:val="20"/>
          <w:lang w:val="es-ES_tradnl"/>
        </w:rPr>
        <w:t xml:space="preserve"> </w:t>
      </w:r>
      <w:r w:rsidRPr="00280722">
        <w:rPr>
          <w:rFonts w:ascii="Verdana" w:eastAsia="Arial" w:hAnsi="Verdana" w:cs="Arial"/>
          <w:color w:val="000000" w:themeColor="text1"/>
          <w:sz w:val="20"/>
          <w:szCs w:val="20"/>
          <w:lang w:val="es-ES_tradnl"/>
        </w:rPr>
        <w:t>públicas”</w:t>
      </w:r>
      <w:r w:rsidRPr="00280722">
        <w:rPr>
          <w:rFonts w:ascii="Verdana" w:eastAsia="Arial" w:hAnsi="Verdana" w:cs="Arial"/>
          <w:color w:val="000000" w:themeColor="text1"/>
          <w:sz w:val="20"/>
          <w:szCs w:val="20"/>
          <w:vertAlign w:val="superscript"/>
          <w:lang w:val="es-ES_tradnl"/>
        </w:rPr>
        <w:footnoteReference w:id="4"/>
      </w:r>
      <w:r w:rsidRPr="00280722">
        <w:rPr>
          <w:rFonts w:ascii="Verdana" w:eastAsia="Arial" w:hAnsi="Verdana" w:cs="Arial"/>
          <w:color w:val="000000" w:themeColor="text1"/>
          <w:sz w:val="20"/>
          <w:szCs w:val="20"/>
          <w:lang w:val="es-ES_tradnl"/>
        </w:rPr>
        <w:t>.</w:t>
      </w:r>
    </w:p>
    <w:p w14:paraId="647E55EF" w14:textId="77777777" w:rsidR="00AD6B0A" w:rsidRPr="00280722" w:rsidRDefault="00AD6B0A" w:rsidP="00280722">
      <w:pPr>
        <w:widowControl w:val="0"/>
        <w:autoSpaceDE w:val="0"/>
        <w:autoSpaceDN w:val="0"/>
        <w:spacing w:after="0" w:line="276" w:lineRule="auto"/>
        <w:contextualSpacing/>
        <w:jc w:val="both"/>
        <w:rPr>
          <w:rFonts w:ascii="Verdana" w:eastAsia="Arial" w:hAnsi="Verdana" w:cs="Arial"/>
          <w:color w:val="000000" w:themeColor="text1"/>
          <w:lang w:val="es-ES_tradnl"/>
        </w:rPr>
      </w:pPr>
    </w:p>
    <w:p w14:paraId="70E780E5" w14:textId="77777777" w:rsidR="00C53251" w:rsidRPr="009E0887" w:rsidRDefault="00AD6B0A" w:rsidP="00AD6B0A">
      <w:pPr>
        <w:widowControl w:val="0"/>
        <w:autoSpaceDE w:val="0"/>
        <w:autoSpaceDN w:val="0"/>
        <w:spacing w:after="120" w:line="276" w:lineRule="auto"/>
        <w:ind w:firstLine="607"/>
        <w:jc w:val="both"/>
        <w:rPr>
          <w:rFonts w:ascii="Verdana" w:eastAsia="Arial" w:hAnsi="Verdana" w:cs="Arial"/>
          <w:color w:val="000000" w:themeColor="text1"/>
          <w:lang w:val="es-ES_tradnl"/>
        </w:rPr>
      </w:pPr>
      <w:r w:rsidRPr="00280722">
        <w:rPr>
          <w:rFonts w:ascii="Verdana" w:eastAsia="Arial" w:hAnsi="Verdana" w:cs="Arial"/>
          <w:color w:val="000000" w:themeColor="text1"/>
          <w:lang w:val="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w:t>
      </w:r>
    </w:p>
    <w:p w14:paraId="1EF07992" w14:textId="22188615" w:rsidR="00AD6B0A" w:rsidRPr="00280722" w:rsidRDefault="009E5836" w:rsidP="008969FE">
      <w:pPr>
        <w:widowControl w:val="0"/>
        <w:autoSpaceDE w:val="0"/>
        <w:autoSpaceDN w:val="0"/>
        <w:spacing w:after="120" w:line="276" w:lineRule="auto"/>
        <w:ind w:firstLine="607"/>
        <w:jc w:val="both"/>
        <w:rPr>
          <w:rFonts w:ascii="Verdana" w:eastAsia="Arial" w:hAnsi="Verdana" w:cs="Arial"/>
          <w:color w:val="000000" w:themeColor="text1"/>
          <w:lang w:val="es-ES_tradnl"/>
        </w:rPr>
      </w:pPr>
      <w:r>
        <w:rPr>
          <w:rFonts w:ascii="Verdana" w:eastAsia="Arial" w:hAnsi="Verdana" w:cs="Arial"/>
          <w:color w:val="000000" w:themeColor="text1"/>
        </w:rPr>
        <w:t>L</w:t>
      </w:r>
      <w:r w:rsidR="00AD6B0A" w:rsidRPr="00280722">
        <w:rPr>
          <w:rFonts w:ascii="Verdana" w:eastAsia="Arial" w:hAnsi="Verdana" w:cs="Arial"/>
          <w:color w:val="000000" w:themeColor="text1"/>
        </w:rPr>
        <w:t>os artículos 13 y 40 de la Ley 80 de 1993 integran al derecho contractual estatal “las disposiciones comerciales y civiles pertinentes”, cuando indican que estos se regirán de forma supletiva por ese régimen jurídico, salvo en las materias expresa y particularmente reguladas por el EGCAP</w:t>
      </w:r>
      <w:r w:rsidR="00312092" w:rsidRPr="009E0887">
        <w:rPr>
          <w:rFonts w:ascii="Verdana" w:eastAsia="Arial" w:hAnsi="Verdana" w:cs="Arial"/>
          <w:color w:val="000000" w:themeColor="text1"/>
        </w:rPr>
        <w:t xml:space="preserve">. </w:t>
      </w:r>
      <w:r w:rsidR="008969FE" w:rsidRPr="009E0887">
        <w:rPr>
          <w:rFonts w:ascii="Verdana" w:eastAsia="Arial" w:hAnsi="Verdana" w:cs="Arial"/>
          <w:color w:val="000000" w:themeColor="text1"/>
        </w:rPr>
        <w:t>L</w:t>
      </w:r>
      <w:r w:rsidR="00AD6B0A" w:rsidRPr="00280722">
        <w:rPr>
          <w:rFonts w:ascii="Verdana" w:eastAsia="Arial" w:hAnsi="Verdana" w:cs="Arial"/>
          <w:color w:val="000000" w:themeColor="text1"/>
        </w:rPr>
        <w:t>o</w:t>
      </w:r>
      <w:r w:rsidR="008969FE" w:rsidRPr="009E0887">
        <w:rPr>
          <w:rFonts w:ascii="Verdana" w:eastAsia="Arial" w:hAnsi="Verdana" w:cs="Arial"/>
          <w:color w:val="000000" w:themeColor="text1"/>
        </w:rPr>
        <w:t xml:space="preserve"> anterior,</w:t>
      </w:r>
      <w:r w:rsidR="00AD6B0A" w:rsidRPr="00280722">
        <w:rPr>
          <w:rFonts w:ascii="Verdana" w:eastAsia="Arial" w:hAnsi="Verdana" w:cs="Arial"/>
          <w:color w:val="000000" w:themeColor="text1"/>
        </w:rPr>
        <w:t xml:space="preserve"> permite concluir que “mediante la Ley 80, se pretendió que la actividad contractual del Estado quedará</w:t>
      </w:r>
      <w:r w:rsidR="00AD6B0A" w:rsidRPr="00280722">
        <w:rPr>
          <w:rFonts w:ascii="Verdana" w:eastAsia="Arial" w:hAnsi="Verdana" w:cs="Arial"/>
        </w:rPr>
        <w:t xml:space="preserve"> </w:t>
      </w:r>
      <w:r w:rsidR="00AD6B0A" w:rsidRPr="00280722">
        <w:rPr>
          <w:rFonts w:ascii="Verdana" w:eastAsia="Arial" w:hAnsi="Verdana" w:cs="Arial"/>
          <w:color w:val="000000" w:themeColor="text1"/>
        </w:rPr>
        <w:t>bajo la égida del contrato estatal, caracterizado por tener un régimen jurídico mixto, integrado por normas de derecho público y derecho privado”</w:t>
      </w:r>
      <w:r w:rsidR="00AD6B0A" w:rsidRPr="00280722">
        <w:rPr>
          <w:rFonts w:ascii="Verdana" w:eastAsia="Arial" w:hAnsi="Verdana" w:cs="Arial"/>
          <w:color w:val="000000" w:themeColor="text1"/>
          <w:vertAlign w:val="superscript"/>
        </w:rPr>
        <w:footnoteReference w:id="5"/>
      </w:r>
      <w:r w:rsidR="00AD6B0A" w:rsidRPr="00280722">
        <w:rPr>
          <w:rFonts w:ascii="Verdana" w:eastAsia="Arial" w:hAnsi="Verdana" w:cs="Arial"/>
          <w:color w:val="000000" w:themeColor="text1"/>
        </w:rPr>
        <w:t xml:space="preserve">. </w:t>
      </w:r>
    </w:p>
    <w:p w14:paraId="0A7488D8" w14:textId="5BDB4665" w:rsidR="00AD6B0A" w:rsidRPr="00280722" w:rsidRDefault="00AD6B0A" w:rsidP="00280722">
      <w:pPr>
        <w:spacing w:after="0" w:line="276" w:lineRule="auto"/>
        <w:ind w:firstLine="709"/>
        <w:jc w:val="both"/>
        <w:rPr>
          <w:rFonts w:ascii="Verdana" w:eastAsia="Calibri" w:hAnsi="Verdana" w:cs="Arial"/>
        </w:rPr>
      </w:pPr>
      <w:bookmarkStart w:id="5" w:name="_Hlk121750642"/>
      <w:r w:rsidRPr="00280722">
        <w:rPr>
          <w:rFonts w:ascii="Verdana" w:hAnsi="Verdana" w:cs="Arial"/>
          <w:color w:val="000000" w:themeColor="text1"/>
        </w:rPr>
        <w:t xml:space="preserve">Ahora bien, es preciso mencionar que las </w:t>
      </w:r>
      <w:r w:rsidRPr="00280722">
        <w:rPr>
          <w:rFonts w:ascii="Verdana" w:eastAsia="Calibri" w:hAnsi="Verdana" w:cs="Arial"/>
        </w:rPr>
        <w:t xml:space="preserve">Entidades Estatales regidas por el EGCAP están habilitadas para celebrar los contratos que suelen celebrar los </w:t>
      </w:r>
      <w:r w:rsidRPr="00280722">
        <w:rPr>
          <w:rFonts w:ascii="Verdana" w:eastAsia="Calibri" w:hAnsi="Verdana" w:cs="Arial"/>
        </w:rPr>
        <w:lastRenderedPageBreak/>
        <w:t>particulares entre sí, en ejercicio de la autonomía de la voluntad privada. En ese sentido, puede ocurrir que dentro de la gestión ordinaria de sus competencias las entidades tengan necesidades que deban ser satisfechas a través de contratos como el arrendamiento</w:t>
      </w:r>
      <w:r w:rsidR="00352289" w:rsidRPr="009E0887">
        <w:rPr>
          <w:rFonts w:ascii="Verdana" w:eastAsia="Calibri" w:hAnsi="Verdana" w:cs="Arial"/>
        </w:rPr>
        <w:t xml:space="preserve"> – al que se refiere en su consulta –</w:t>
      </w:r>
      <w:r w:rsidRPr="00280722">
        <w:rPr>
          <w:rFonts w:ascii="Verdana" w:eastAsia="Calibri" w:hAnsi="Verdana" w:cs="Arial"/>
        </w:rPr>
        <w:t xml:space="preserve">, comodato o administración, en los que además de las disposiciones del EGCAP deberán aplicarse en su mayoría normas de derecho privado, lo que de ninguna manera desvirtúa la calidad de estatal de dichos contratos. </w:t>
      </w:r>
    </w:p>
    <w:bookmarkEnd w:id="5"/>
    <w:p w14:paraId="13741A05" w14:textId="77777777" w:rsidR="00F87C6C" w:rsidRPr="009E0887" w:rsidRDefault="00F87C6C" w:rsidP="00F87C6C">
      <w:pPr>
        <w:spacing w:after="0" w:line="276" w:lineRule="auto"/>
        <w:jc w:val="both"/>
        <w:rPr>
          <w:rFonts w:ascii="Verdana" w:eastAsia="Calibri" w:hAnsi="Verdana" w:cs="Arial"/>
          <w:b/>
          <w:bCs/>
          <w:color w:val="000000" w:themeColor="text1"/>
        </w:rPr>
      </w:pPr>
    </w:p>
    <w:p w14:paraId="6424030D" w14:textId="5E253482" w:rsidR="0030018C" w:rsidRPr="00280722" w:rsidRDefault="00F87C6C" w:rsidP="004D2C01">
      <w:pPr>
        <w:spacing w:after="120" w:line="276" w:lineRule="auto"/>
        <w:jc w:val="both"/>
        <w:rPr>
          <w:rFonts w:ascii="Verdana" w:hAnsi="Verdana" w:cs="Arial"/>
        </w:rPr>
      </w:pPr>
      <w:r w:rsidRPr="00280722">
        <w:rPr>
          <w:rFonts w:ascii="Verdana" w:eastAsia="Calibri" w:hAnsi="Verdana" w:cs="Arial"/>
          <w:b/>
          <w:bCs/>
          <w:color w:val="000000" w:themeColor="text1"/>
        </w:rPr>
        <w:t>ii)</w:t>
      </w:r>
      <w:r w:rsidRPr="009E0887">
        <w:rPr>
          <w:rFonts w:ascii="Verdana" w:eastAsia="Calibri" w:hAnsi="Verdana" w:cs="Arial"/>
          <w:color w:val="000000" w:themeColor="text1"/>
        </w:rPr>
        <w:t xml:space="preserve"> </w:t>
      </w:r>
      <w:r w:rsidR="008E571B" w:rsidRPr="009E0887">
        <w:rPr>
          <w:rFonts w:ascii="Verdana" w:eastAsia="Calibri" w:hAnsi="Verdana" w:cs="Arial"/>
          <w:color w:val="000000" w:themeColor="text1"/>
        </w:rPr>
        <w:t xml:space="preserve">Teniendo en cuenta el objeto de su consulta, </w:t>
      </w:r>
      <w:r w:rsidR="00780961" w:rsidRPr="009E0887">
        <w:rPr>
          <w:rFonts w:ascii="Verdana" w:eastAsia="Calibri" w:hAnsi="Verdana" w:cs="Arial"/>
          <w:color w:val="000000" w:themeColor="text1"/>
        </w:rPr>
        <w:t xml:space="preserve">es pertinente indicar que </w:t>
      </w:r>
      <w:r w:rsidR="0030018C" w:rsidRPr="00280722">
        <w:rPr>
          <w:rFonts w:ascii="Verdana" w:hAnsi="Verdana" w:cs="Arial"/>
          <w:bCs/>
          <w:color w:val="000000" w:themeColor="text1"/>
          <w:lang w:val="es-ES"/>
        </w:rPr>
        <w:t>la Ley 80 de 1993</w:t>
      </w:r>
      <w:r w:rsidR="0030018C" w:rsidRPr="00280722">
        <w:rPr>
          <w:rFonts w:ascii="Verdana" w:hAnsi="Verdana" w:cs="Arial"/>
        </w:rPr>
        <w:t xml:space="preserve"> define los contratos estatales en el artículo 32 y establece un listado enunciativo de contratos estatales</w:t>
      </w:r>
      <w:r w:rsidR="002F56ED">
        <w:rPr>
          <w:rFonts w:ascii="Verdana" w:hAnsi="Verdana" w:cs="Arial"/>
        </w:rPr>
        <w:t xml:space="preserve">. </w:t>
      </w:r>
      <w:r w:rsidR="002F56ED" w:rsidRPr="00C02EA0">
        <w:rPr>
          <w:rFonts w:ascii="Verdana" w:hAnsi="Verdana" w:cs="Arial"/>
        </w:rPr>
        <w:t>De acuerdo con esta disposición</w:t>
      </w:r>
      <w:r w:rsidR="00510FE7">
        <w:rPr>
          <w:rFonts w:ascii="Verdana" w:hAnsi="Verdana" w:cs="Arial"/>
        </w:rPr>
        <w:t>,</w:t>
      </w:r>
      <w:r w:rsidR="002F56ED" w:rsidRPr="00C02EA0">
        <w:rPr>
          <w:rFonts w:ascii="Verdana" w:hAnsi="Verdana" w:cs="Arial"/>
        </w:rPr>
        <w:t xml:space="preserve"> todos los actos jurídicos, cualquiera que sea su denominación, que celebren las entidades a las que se refiere el EGCAP y que generen obligaciones, son contratos estatales</w:t>
      </w:r>
      <w:r w:rsidR="002F56ED" w:rsidRPr="00C02EA0">
        <w:rPr>
          <w:rStyle w:val="Refdenotaalpie"/>
          <w:rFonts w:ascii="Verdana" w:hAnsi="Verdana" w:cs="Arial"/>
          <w:bCs/>
          <w:color w:val="000000" w:themeColor="text1"/>
        </w:rPr>
        <w:footnoteReference w:id="6"/>
      </w:r>
      <w:r w:rsidR="002F56ED" w:rsidRPr="00C02EA0">
        <w:rPr>
          <w:rFonts w:ascii="Verdana" w:hAnsi="Verdana" w:cs="Arial"/>
        </w:rPr>
        <w:t xml:space="preserve">. </w:t>
      </w:r>
      <w:r w:rsidR="00C841A5">
        <w:rPr>
          <w:rFonts w:ascii="Verdana" w:hAnsi="Verdana" w:cs="Arial"/>
        </w:rPr>
        <w:t>E</w:t>
      </w:r>
      <w:r w:rsidR="0030018C" w:rsidRPr="00280722">
        <w:rPr>
          <w:rFonts w:ascii="Verdana" w:hAnsi="Verdana" w:cs="Arial"/>
        </w:rPr>
        <w:t>ntre</w:t>
      </w:r>
      <w:r w:rsidR="00271E8D">
        <w:rPr>
          <w:rFonts w:ascii="Verdana" w:hAnsi="Verdana" w:cs="Arial"/>
        </w:rPr>
        <w:t xml:space="preserve"> l</w:t>
      </w:r>
      <w:r w:rsidR="00C841A5">
        <w:rPr>
          <w:rFonts w:ascii="Verdana" w:hAnsi="Verdana" w:cs="Arial"/>
        </w:rPr>
        <w:t>os</w:t>
      </w:r>
      <w:r w:rsidR="00271E8D">
        <w:rPr>
          <w:rFonts w:ascii="Verdana" w:hAnsi="Verdana" w:cs="Arial"/>
        </w:rPr>
        <w:t xml:space="preserve"> contratos que enuncia el artículo 32 </w:t>
      </w:r>
      <w:r w:rsidR="00271E8D" w:rsidRPr="00280722">
        <w:rPr>
          <w:rFonts w:ascii="Verdana" w:hAnsi="Verdana" w:cs="Arial"/>
          <w:i/>
          <w:iCs/>
        </w:rPr>
        <w:t>ibidem</w:t>
      </w:r>
      <w:r w:rsidR="00C841A5">
        <w:rPr>
          <w:rFonts w:ascii="Verdana" w:hAnsi="Verdana" w:cs="Arial"/>
        </w:rPr>
        <w:t xml:space="preserve"> </w:t>
      </w:r>
      <w:r w:rsidR="0030018C" w:rsidRPr="00280722">
        <w:rPr>
          <w:rFonts w:ascii="Verdana" w:hAnsi="Verdana" w:cs="Arial"/>
        </w:rPr>
        <w:t xml:space="preserve">se encuentran el contrato de obra, el contrato de consultoría, el contrato de prestación de servicios, el contrato de concesión y los encargos fiduciarios y fiducia pública. </w:t>
      </w:r>
    </w:p>
    <w:p w14:paraId="5495FA30" w14:textId="77777777" w:rsidR="0030018C" w:rsidRPr="00280722" w:rsidRDefault="0030018C" w:rsidP="004D2C01">
      <w:pPr>
        <w:spacing w:after="120" w:line="276" w:lineRule="auto"/>
        <w:ind w:firstLine="708"/>
        <w:jc w:val="both"/>
        <w:rPr>
          <w:rFonts w:ascii="Verdana" w:hAnsi="Verdana" w:cs="Arial"/>
          <w:bCs/>
          <w:color w:val="000000" w:themeColor="text1"/>
          <w:lang w:val="es-ES"/>
        </w:rPr>
      </w:pPr>
      <w:r w:rsidRPr="00280722">
        <w:rPr>
          <w:rFonts w:ascii="Verdana" w:hAnsi="Verdana" w:cs="Arial"/>
          <w:lang w:eastAsia="es-MX"/>
        </w:rPr>
        <w:t>Aunque el contrato de arrendamiento no se encuentra dentro del listado enunciativo del</w:t>
      </w:r>
      <w:r w:rsidRPr="00280722">
        <w:rPr>
          <w:rFonts w:ascii="Verdana" w:hAnsi="Verdana" w:cs="Arial"/>
          <w:bCs/>
          <w:color w:val="000000" w:themeColor="text1"/>
          <w:lang w:val="es-ES"/>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5A7C6AD3" w14:textId="545C39AA" w:rsidR="00780961" w:rsidRPr="009E0887" w:rsidRDefault="00955654" w:rsidP="00280722">
      <w:pPr>
        <w:spacing w:after="120" w:line="276" w:lineRule="auto"/>
        <w:ind w:firstLine="708"/>
        <w:jc w:val="both"/>
        <w:rPr>
          <w:rFonts w:ascii="Verdana" w:eastAsia="Calibri" w:hAnsi="Verdana" w:cs="Arial"/>
          <w:color w:val="000000" w:themeColor="text1"/>
          <w:lang w:val="es-ES"/>
        </w:rPr>
      </w:pPr>
      <w:r w:rsidRPr="009E0887">
        <w:rPr>
          <w:rFonts w:ascii="Verdana" w:eastAsia="Calibri" w:hAnsi="Verdana" w:cs="Arial"/>
          <w:color w:val="000000" w:themeColor="text1"/>
        </w:rPr>
        <w:t>E</w:t>
      </w:r>
      <w:r w:rsidR="00780961" w:rsidRPr="009E0887">
        <w:rPr>
          <w:rFonts w:ascii="Verdana" w:eastAsia="Calibri" w:hAnsi="Verdana" w:cs="Arial"/>
          <w:color w:val="000000" w:themeColor="text1"/>
        </w:rPr>
        <w:t xml:space="preserv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w:t>
      </w:r>
      <w:r w:rsidR="00780961" w:rsidRPr="009E0887">
        <w:rPr>
          <w:rFonts w:ascii="Verdana" w:eastAsia="Calibri" w:hAnsi="Verdana" w:cs="Arial"/>
          <w:color w:val="000000" w:themeColor="text1"/>
        </w:rPr>
        <w:lastRenderedPageBreak/>
        <w:t>o arrendataria– el uso y goce de un bien, a cambio de una renta o canon, diferenciándose del contrato de compraventa en que no opera una transferencia del dominio del bien cuyo uso y goce se entrega.</w:t>
      </w:r>
    </w:p>
    <w:p w14:paraId="12C02627" w14:textId="123E5768" w:rsidR="00780961" w:rsidRPr="009E0887" w:rsidRDefault="00AD32F9" w:rsidP="00280722">
      <w:pPr>
        <w:spacing w:after="120" w:line="276" w:lineRule="auto"/>
        <w:ind w:firstLine="360"/>
        <w:jc w:val="both"/>
        <w:rPr>
          <w:rFonts w:ascii="Verdana" w:eastAsia="Calibri" w:hAnsi="Verdana" w:cs="Arial"/>
          <w:color w:val="000000" w:themeColor="text1"/>
        </w:rPr>
      </w:pPr>
      <w:r>
        <w:rPr>
          <w:rFonts w:ascii="Verdana" w:eastAsia="Calibri" w:hAnsi="Verdana" w:cs="Arial"/>
          <w:color w:val="000000" w:themeColor="text1"/>
        </w:rPr>
        <w:tab/>
      </w:r>
      <w:r w:rsidR="00780961" w:rsidRPr="009E0887">
        <w:rPr>
          <w:rFonts w:ascii="Verdana" w:eastAsia="Calibri" w:hAnsi="Verdana" w:cs="Arial"/>
          <w:color w:val="000000" w:themeColor="text1"/>
        </w:rPr>
        <w:t>En cuanto a sus características, la doctrina ha indicado que el arrendamiento es un contrato: i) bilateral, pues ambas partes se obligan recíprocamente; ii) consensual, dado que se perfecciona con el consentimiento;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14:paraId="431FAA65" w14:textId="44540101" w:rsidR="00B634D4" w:rsidRDefault="00AD32F9" w:rsidP="00280722">
      <w:pPr>
        <w:spacing w:after="120" w:line="276" w:lineRule="auto"/>
        <w:ind w:firstLine="360"/>
        <w:jc w:val="both"/>
        <w:rPr>
          <w:rFonts w:ascii="Verdana" w:eastAsia="Calibri" w:hAnsi="Verdana" w:cs="Arial"/>
          <w:color w:val="000000" w:themeColor="text1"/>
        </w:rPr>
      </w:pPr>
      <w:r>
        <w:rPr>
          <w:rFonts w:ascii="Verdana" w:eastAsia="Calibri" w:hAnsi="Verdana" w:cs="Arial"/>
          <w:color w:val="000000" w:themeColor="text1"/>
        </w:rPr>
        <w:tab/>
      </w:r>
      <w:r w:rsidR="00780961" w:rsidRPr="009E0887">
        <w:rPr>
          <w:rFonts w:ascii="Verdana" w:eastAsia="Calibri" w:hAnsi="Verdana" w:cs="Arial"/>
          <w:color w:val="000000" w:themeColor="text1"/>
        </w:rPr>
        <w:t xml:space="preserve">En igual sentido, por su importancia en la contratación estatal, debe precisarse que la modalidad de selección aplicable a la celebración de los contratos de arrendamiento depende del régimen aplicable a la </w:t>
      </w:r>
      <w:r w:rsidR="002C2FBA" w:rsidRPr="009E0887">
        <w:rPr>
          <w:rFonts w:ascii="Verdana" w:eastAsia="Calibri" w:hAnsi="Verdana" w:cs="Arial"/>
          <w:color w:val="000000" w:themeColor="text1"/>
        </w:rPr>
        <w:t>Entidad Estatal</w:t>
      </w:r>
      <w:r w:rsidR="00780961" w:rsidRPr="009E0887">
        <w:rPr>
          <w:rFonts w:ascii="Verdana" w:eastAsia="Calibri" w:hAnsi="Verdana" w:cs="Arial"/>
          <w:color w:val="000000" w:themeColor="text1"/>
        </w:rPr>
        <w:t xml:space="preserve">. Si se rige por el derecho privado, es decir, si está exceptuada del </w:t>
      </w:r>
      <w:r w:rsidR="002C2FBA">
        <w:rPr>
          <w:rFonts w:ascii="Verdana" w:eastAsia="Calibri" w:hAnsi="Verdana" w:cs="Arial"/>
          <w:color w:val="000000" w:themeColor="text1"/>
        </w:rPr>
        <w:t>EGCAP</w:t>
      </w:r>
      <w:r w:rsidR="00780961" w:rsidRPr="009E0887">
        <w:rPr>
          <w:rFonts w:ascii="Verdana" w:eastAsia="Calibri" w:hAnsi="Verdana" w:cs="Arial"/>
          <w:color w:val="000000" w:themeColor="text1"/>
        </w:rPr>
        <w:t xml:space="preserve">,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w:t>
      </w:r>
    </w:p>
    <w:p w14:paraId="0A9CCD85" w14:textId="5356E02E" w:rsidR="00AF0723" w:rsidRDefault="00780961" w:rsidP="00AF0723">
      <w:pPr>
        <w:spacing w:after="0" w:line="276" w:lineRule="auto"/>
        <w:ind w:firstLine="708"/>
        <w:jc w:val="both"/>
        <w:rPr>
          <w:rFonts w:ascii="Verdana" w:hAnsi="Verdana"/>
          <w:bCs/>
          <w:color w:val="000000" w:themeColor="text1"/>
          <w:lang w:eastAsia="es-ES_tradnl"/>
        </w:rPr>
      </w:pPr>
      <w:r w:rsidRPr="009E0887">
        <w:rPr>
          <w:rFonts w:ascii="Verdana" w:eastAsia="Calibri" w:hAnsi="Verdana" w:cs="Arial"/>
          <w:color w:val="000000" w:themeColor="text1"/>
        </w:rPr>
        <w:t xml:space="preserve">En contrate, si la </w:t>
      </w:r>
      <w:r w:rsidR="00B634D4" w:rsidRPr="009E0887">
        <w:rPr>
          <w:rFonts w:ascii="Verdana" w:eastAsia="Calibri" w:hAnsi="Verdana" w:cs="Arial"/>
          <w:color w:val="000000" w:themeColor="text1"/>
        </w:rPr>
        <w:t xml:space="preserve">Entidad Estatal </w:t>
      </w:r>
      <w:r w:rsidRPr="009E0887">
        <w:rPr>
          <w:rFonts w:ascii="Verdana" w:eastAsia="Calibri" w:hAnsi="Verdana" w:cs="Arial"/>
          <w:color w:val="000000" w:themeColor="text1"/>
        </w:rPr>
        <w:t>se rige por el EGCAP, bien sea que obre en calidad de arrendadora o arrendataria, debe acudir a la modalidad de selección de contratación directa si arrendara un inmueble</w:t>
      </w:r>
      <w:r w:rsidR="00FC1C7E">
        <w:rPr>
          <w:rFonts w:ascii="Verdana" w:eastAsia="Calibri" w:hAnsi="Verdana" w:cs="Arial"/>
          <w:color w:val="000000" w:themeColor="text1"/>
        </w:rPr>
        <w:t>. Esto</w:t>
      </w:r>
      <w:r w:rsidR="001E5D7E">
        <w:rPr>
          <w:rFonts w:ascii="Verdana" w:eastAsia="Calibri" w:hAnsi="Verdana" w:cs="Arial"/>
          <w:color w:val="000000" w:themeColor="text1"/>
        </w:rPr>
        <w:t>,</w:t>
      </w:r>
      <w:r w:rsidR="00FC1C7E">
        <w:rPr>
          <w:rFonts w:ascii="Verdana" w:eastAsia="Calibri" w:hAnsi="Verdana" w:cs="Arial"/>
          <w:color w:val="000000" w:themeColor="text1"/>
        </w:rPr>
        <w:t xml:space="preserve"> </w:t>
      </w:r>
      <w:r w:rsidRPr="009E0887">
        <w:rPr>
          <w:rFonts w:ascii="Verdana" w:eastAsia="Calibri" w:hAnsi="Verdana" w:cs="Arial"/>
          <w:color w:val="000000" w:themeColor="text1"/>
        </w:rPr>
        <w:t xml:space="preserve">pues el </w:t>
      </w:r>
      <w:r w:rsidR="001E5D7E" w:rsidRPr="009E0887">
        <w:rPr>
          <w:rFonts w:ascii="Verdana" w:eastAsia="Calibri" w:hAnsi="Verdana" w:cs="Arial"/>
          <w:color w:val="000000" w:themeColor="text1"/>
        </w:rPr>
        <w:t xml:space="preserve">literal i) </w:t>
      </w:r>
      <w:r w:rsidR="001E5D7E">
        <w:rPr>
          <w:rFonts w:ascii="Verdana" w:eastAsia="Calibri" w:hAnsi="Verdana" w:cs="Arial"/>
          <w:color w:val="000000" w:themeColor="text1"/>
        </w:rPr>
        <w:t xml:space="preserve">del </w:t>
      </w:r>
      <w:r w:rsidR="001E5D7E" w:rsidRPr="009E0887">
        <w:rPr>
          <w:rFonts w:ascii="Verdana" w:eastAsia="Calibri" w:hAnsi="Verdana" w:cs="Arial"/>
          <w:color w:val="000000" w:themeColor="text1"/>
        </w:rPr>
        <w:t xml:space="preserve">numeral 4° </w:t>
      </w:r>
      <w:r w:rsidR="001E5D7E">
        <w:rPr>
          <w:rFonts w:ascii="Verdana" w:eastAsia="Calibri" w:hAnsi="Verdana" w:cs="Arial"/>
          <w:color w:val="000000" w:themeColor="text1"/>
        </w:rPr>
        <w:t xml:space="preserve">del </w:t>
      </w:r>
      <w:r w:rsidRPr="009E0887">
        <w:rPr>
          <w:rFonts w:ascii="Verdana" w:eastAsia="Calibri" w:hAnsi="Verdana" w:cs="Arial"/>
          <w:color w:val="000000" w:themeColor="text1"/>
        </w:rPr>
        <w:t>artículo 2º de la Ley 1150 de 2007 establece que una de las causales de este procedimiento es</w:t>
      </w:r>
      <w:r w:rsidR="00676C49">
        <w:rPr>
          <w:rFonts w:ascii="Verdana" w:eastAsia="Calibri" w:hAnsi="Verdana" w:cs="Arial"/>
          <w:color w:val="000000" w:themeColor="text1"/>
        </w:rPr>
        <w:t>:</w:t>
      </w:r>
      <w:r w:rsidRPr="009E0887">
        <w:rPr>
          <w:rFonts w:ascii="Verdana" w:eastAsia="Calibri" w:hAnsi="Verdana" w:cs="Arial"/>
          <w:color w:val="000000" w:themeColor="text1"/>
        </w:rPr>
        <w:t xml:space="preserve"> “i) El arrendamiento o adquisición de inmuebles”. </w:t>
      </w:r>
      <w:r w:rsidR="00AF0723" w:rsidRPr="009E0887">
        <w:rPr>
          <w:rFonts w:ascii="Verdana" w:hAnsi="Verdana"/>
          <w:bCs/>
          <w:color w:val="000000" w:themeColor="text1"/>
          <w:lang w:eastAsia="es-ES_tradnl"/>
        </w:rPr>
        <w:t xml:space="preserve">Adicionalmente, el artículo 2.2.1.2.1.4.11 del Decreto 1082 de 2015 dispone que las Entidades Estatales pueden alquilar o arrendar inmuebles mediante contratación directa para lo cual deben seguir las siguientes reglas: </w:t>
      </w:r>
    </w:p>
    <w:p w14:paraId="777CFC84" w14:textId="77777777" w:rsidR="00AF0723" w:rsidRPr="009E0887" w:rsidRDefault="00AF0723" w:rsidP="00280722">
      <w:pPr>
        <w:spacing w:after="0" w:line="276" w:lineRule="auto"/>
        <w:ind w:firstLine="709"/>
        <w:jc w:val="both"/>
        <w:rPr>
          <w:rFonts w:ascii="Verdana" w:hAnsi="Verdana"/>
          <w:bCs/>
          <w:color w:val="000000" w:themeColor="text1"/>
          <w:lang w:eastAsia="es-ES_tradnl"/>
        </w:rPr>
      </w:pPr>
    </w:p>
    <w:p w14:paraId="3C850D3B" w14:textId="0A32F51F" w:rsidR="00AF0723" w:rsidRPr="00280722" w:rsidRDefault="00AF0723" w:rsidP="00AF0723">
      <w:pPr>
        <w:spacing w:after="0" w:line="240" w:lineRule="auto"/>
        <w:ind w:left="709" w:right="709"/>
        <w:jc w:val="both"/>
        <w:rPr>
          <w:rFonts w:ascii="Verdana" w:eastAsia="Calibri" w:hAnsi="Verdana" w:cs="Arial"/>
          <w:sz w:val="20"/>
          <w:szCs w:val="20"/>
          <w:lang w:val="es-MX"/>
        </w:rPr>
      </w:pPr>
      <w:r w:rsidRPr="00280722">
        <w:rPr>
          <w:rFonts w:ascii="Verdana" w:eastAsia="Calibri" w:hAnsi="Verdana" w:cs="Arial"/>
          <w:sz w:val="20"/>
          <w:szCs w:val="20"/>
          <w:lang w:val="es-MX"/>
        </w:rPr>
        <w:t>“1.    Verificar las condiciones del mercado inmobiliario en la ciudad en la que la Entidad Estatal requiere el inmueble.</w:t>
      </w:r>
    </w:p>
    <w:p w14:paraId="5548E4BA" w14:textId="77777777" w:rsidR="00AF0723" w:rsidRPr="00280722" w:rsidRDefault="00AF0723" w:rsidP="00280722">
      <w:pPr>
        <w:spacing w:after="0" w:line="240" w:lineRule="auto"/>
        <w:ind w:left="709" w:right="709"/>
        <w:jc w:val="both"/>
        <w:rPr>
          <w:rFonts w:ascii="Verdana" w:eastAsia="Calibri" w:hAnsi="Verdana" w:cs="Arial"/>
          <w:sz w:val="20"/>
          <w:szCs w:val="20"/>
          <w:lang w:val="es-MX"/>
        </w:rPr>
      </w:pPr>
    </w:p>
    <w:p w14:paraId="575966D3" w14:textId="3C2D8273" w:rsidR="00AF0723" w:rsidRPr="00280722" w:rsidRDefault="00AF0723" w:rsidP="00280722">
      <w:pPr>
        <w:spacing w:after="0" w:line="240" w:lineRule="auto"/>
        <w:ind w:left="709" w:right="709"/>
        <w:jc w:val="both"/>
        <w:rPr>
          <w:rFonts w:ascii="Verdana" w:eastAsia="Calibri" w:hAnsi="Verdana" w:cs="Arial"/>
          <w:sz w:val="20"/>
          <w:szCs w:val="20"/>
          <w:lang w:val="es-MX"/>
        </w:rPr>
      </w:pPr>
      <w:r w:rsidRPr="00280722">
        <w:rPr>
          <w:rFonts w:ascii="Verdana" w:eastAsia="Calibri" w:hAnsi="Verdana" w:cs="Arial"/>
          <w:sz w:val="20"/>
          <w:szCs w:val="20"/>
          <w:lang w:val="es-MX"/>
        </w:rPr>
        <w:t>2.    Analizar y comparar las condiciones de los bienes inmuebles que satisfacen las necesidades identificadas y las opciones de arrendamiento, análisis que deberá tener en cuenta los principios y objetivos del sistema de compra y contratación pública”.</w:t>
      </w:r>
    </w:p>
    <w:p w14:paraId="09C21BB4" w14:textId="77777777" w:rsidR="00AF0723" w:rsidRDefault="00AF0723" w:rsidP="00280722">
      <w:pPr>
        <w:spacing w:after="0" w:line="276" w:lineRule="auto"/>
        <w:ind w:firstLine="357"/>
        <w:jc w:val="both"/>
        <w:rPr>
          <w:rFonts w:ascii="Verdana" w:hAnsi="Verdana"/>
          <w:color w:val="000000" w:themeColor="text1"/>
          <w:lang w:eastAsia="es-ES"/>
        </w:rPr>
      </w:pPr>
    </w:p>
    <w:p w14:paraId="5FC43E5B" w14:textId="11010617" w:rsidR="00316B8E" w:rsidRPr="00023091" w:rsidRDefault="00316B8E" w:rsidP="00280722">
      <w:pPr>
        <w:spacing w:after="120" w:line="276" w:lineRule="auto"/>
        <w:ind w:firstLine="708"/>
        <w:jc w:val="both"/>
        <w:rPr>
          <w:rFonts w:ascii="Verdana" w:hAnsi="Verdana"/>
          <w:color w:val="000000" w:themeColor="text1"/>
          <w:lang w:val="es-ES" w:eastAsia="es-ES"/>
        </w:rPr>
      </w:pPr>
      <w:r w:rsidRPr="00023091">
        <w:rPr>
          <w:rFonts w:ascii="Verdana" w:hAnsi="Verdana"/>
          <w:color w:val="000000" w:themeColor="text1"/>
          <w:lang w:val="es-ES" w:eastAsia="es-ES"/>
        </w:rPr>
        <w:t>Conforme lo anterior, la entidad debe elaborar los estudios previos y documentos previos y verificar las condiciones del mercado inmobiliario en la ciudad donde la Entidad Estatal requiere el documento</w:t>
      </w:r>
      <w:r w:rsidR="00880F46" w:rsidRPr="00023091">
        <w:rPr>
          <w:rFonts w:ascii="Verdana" w:hAnsi="Verdana"/>
          <w:color w:val="000000" w:themeColor="text1"/>
          <w:lang w:val="es-ES" w:eastAsia="es-ES"/>
        </w:rPr>
        <w:t>. Además, tiene el deber</w:t>
      </w:r>
      <w:r w:rsidRPr="00023091">
        <w:rPr>
          <w:rFonts w:ascii="Verdana" w:hAnsi="Verdana"/>
          <w:color w:val="000000" w:themeColor="text1"/>
          <w:lang w:val="es-ES" w:eastAsia="es-ES"/>
        </w:rPr>
        <w:t xml:space="preserve"> </w:t>
      </w:r>
      <w:r w:rsidRPr="00023091">
        <w:rPr>
          <w:rFonts w:ascii="Verdana" w:hAnsi="Verdana"/>
          <w:color w:val="000000" w:themeColor="text1"/>
          <w:lang w:val="es-ES" w:eastAsia="es-ES"/>
        </w:rPr>
        <w:lastRenderedPageBreak/>
        <w:t xml:space="preserve">analizar y comparar las condiciones de los bienes inmuebles que satisfacen sus necesidades; y </w:t>
      </w:r>
      <w:r w:rsidR="00880F46" w:rsidRPr="00023091">
        <w:rPr>
          <w:rFonts w:ascii="Verdana" w:hAnsi="Verdana"/>
          <w:color w:val="000000" w:themeColor="text1"/>
          <w:lang w:val="es-ES" w:eastAsia="es-ES"/>
        </w:rPr>
        <w:t>de</w:t>
      </w:r>
      <w:r w:rsidRPr="00023091">
        <w:rPr>
          <w:rFonts w:ascii="Verdana" w:hAnsi="Verdana"/>
          <w:color w:val="000000" w:themeColor="text1"/>
          <w:lang w:val="es-ES" w:eastAsia="es-ES"/>
        </w:rPr>
        <w:t xml:space="preserve"> tener en cuenta los principios y objetivos del </w:t>
      </w:r>
      <w:r w:rsidR="00880F46" w:rsidRPr="00023091">
        <w:rPr>
          <w:rFonts w:ascii="Verdana" w:hAnsi="Verdana"/>
          <w:color w:val="000000" w:themeColor="text1"/>
          <w:lang w:val="es-ES" w:eastAsia="es-ES"/>
        </w:rPr>
        <w:t xml:space="preserve">Sistema </w:t>
      </w:r>
      <w:r w:rsidRPr="00023091">
        <w:rPr>
          <w:rFonts w:ascii="Verdana" w:hAnsi="Verdana"/>
          <w:color w:val="000000" w:themeColor="text1"/>
          <w:lang w:val="es-ES" w:eastAsia="es-ES"/>
        </w:rPr>
        <w:t xml:space="preserve">de </w:t>
      </w:r>
      <w:r w:rsidR="00880F46" w:rsidRPr="00023091">
        <w:rPr>
          <w:rFonts w:ascii="Verdana" w:hAnsi="Verdana"/>
          <w:color w:val="000000" w:themeColor="text1"/>
          <w:lang w:val="es-ES" w:eastAsia="es-ES"/>
        </w:rPr>
        <w:t xml:space="preserve">Compra </w:t>
      </w:r>
      <w:r w:rsidRPr="00023091">
        <w:rPr>
          <w:rFonts w:ascii="Verdana" w:hAnsi="Verdana"/>
          <w:color w:val="000000" w:themeColor="text1"/>
          <w:lang w:val="es-ES" w:eastAsia="es-ES"/>
        </w:rPr>
        <w:t xml:space="preserve">y </w:t>
      </w:r>
      <w:r w:rsidR="00880F46" w:rsidRPr="00023091">
        <w:rPr>
          <w:rFonts w:ascii="Verdana" w:hAnsi="Verdana"/>
          <w:color w:val="000000" w:themeColor="text1"/>
          <w:lang w:val="es-ES" w:eastAsia="es-ES"/>
        </w:rPr>
        <w:t>Contratación Pública</w:t>
      </w:r>
      <w:r w:rsidRPr="00023091">
        <w:rPr>
          <w:rFonts w:ascii="Verdana" w:hAnsi="Verdana"/>
          <w:color w:val="000000" w:themeColor="text1"/>
          <w:lang w:val="es-ES" w:eastAsia="es-ES"/>
        </w:rPr>
        <w:t>.</w:t>
      </w:r>
    </w:p>
    <w:p w14:paraId="0898C89A" w14:textId="77546FB6" w:rsidR="00C278E6" w:rsidRPr="00023091" w:rsidRDefault="00AF0723" w:rsidP="00280722">
      <w:pPr>
        <w:spacing w:after="120" w:line="276" w:lineRule="auto"/>
        <w:ind w:firstLine="708"/>
        <w:jc w:val="both"/>
        <w:rPr>
          <w:rFonts w:ascii="Verdana" w:eastAsia="Calibri" w:hAnsi="Verdana" w:cs="Arial"/>
          <w:color w:val="000000" w:themeColor="text1"/>
        </w:rPr>
      </w:pPr>
      <w:r w:rsidRPr="00023091">
        <w:rPr>
          <w:rFonts w:ascii="Verdana" w:hAnsi="Verdana"/>
          <w:color w:val="000000" w:themeColor="text1"/>
          <w:lang w:eastAsia="es-ES"/>
        </w:rPr>
        <w:t>En contraste, si se trata de arrendamiento de bienes muebles, la modalidad aplicable será la licitación pública, la selección abreviada o la mínima cuantía, según corresponda dependiendo del valor de la contratación. Lo anterior</w:t>
      </w:r>
      <w:r w:rsidR="00C278E6" w:rsidRPr="00023091">
        <w:rPr>
          <w:rFonts w:ascii="Verdana" w:hAnsi="Verdana"/>
          <w:color w:val="000000" w:themeColor="text1"/>
          <w:lang w:eastAsia="es-ES"/>
        </w:rPr>
        <w:t>,</w:t>
      </w:r>
      <w:r w:rsidRPr="00023091">
        <w:rPr>
          <w:rFonts w:ascii="Verdana" w:hAnsi="Verdana"/>
          <w:color w:val="000000" w:themeColor="text1"/>
          <w:lang w:eastAsia="es-ES"/>
        </w:rPr>
        <w:t xml:space="preserve"> en la medida que no se encuentran dentro de las causales de contratación directa que expresamente señala el numeral 4 del artículo 2 de la Ley 1150 de 2007. </w:t>
      </w:r>
      <w:r w:rsidR="00C278E6" w:rsidRPr="00023091">
        <w:rPr>
          <w:rFonts w:ascii="Verdana" w:eastAsia="Calibri" w:hAnsi="Verdana" w:cs="Arial"/>
          <w:color w:val="000000" w:themeColor="text1"/>
        </w:rPr>
        <w:t>En ambos supuestos la Entidad Estatal también debe aplicar las normas civiles y comerciales que regulan la sustantividad del contrato de arrendamiento, porque a estas se remiten los artículos 13, 32 y 40 de la Ley 80 de 1993.</w:t>
      </w:r>
    </w:p>
    <w:p w14:paraId="1BCA970E" w14:textId="32237C6F" w:rsidR="00AF0723" w:rsidRPr="00023091" w:rsidRDefault="002364E7" w:rsidP="00280722">
      <w:pPr>
        <w:spacing w:after="120" w:line="276" w:lineRule="auto"/>
        <w:ind w:firstLine="708"/>
        <w:jc w:val="both"/>
        <w:rPr>
          <w:rFonts w:ascii="Verdana" w:hAnsi="Verdana"/>
          <w:color w:val="000000" w:themeColor="text1"/>
          <w:lang w:eastAsia="es-ES"/>
        </w:rPr>
      </w:pPr>
      <w:r w:rsidRPr="00023091">
        <w:rPr>
          <w:rFonts w:ascii="Verdana" w:hAnsi="Verdana"/>
          <w:color w:val="000000" w:themeColor="text1"/>
          <w:lang w:eastAsia="es-ES"/>
        </w:rPr>
        <w:t>S</w:t>
      </w:r>
      <w:r w:rsidR="00AF0723" w:rsidRPr="00023091">
        <w:rPr>
          <w:rFonts w:ascii="Verdana" w:hAnsi="Verdana"/>
          <w:color w:val="000000" w:themeColor="text1"/>
          <w:lang w:eastAsia="es-ES"/>
        </w:rPr>
        <w:t>i el arrendamiento recae sobre bienes públicos debe tenerse en cuenta que la Sección Tercera del Consejo de Estado señaló que los bienes que pueden ser susceptibles de arrendamiento son únicamente los bienes fiscales, no los bienes de uso público.</w:t>
      </w:r>
    </w:p>
    <w:p w14:paraId="123DF139" w14:textId="5375E1F7" w:rsidR="00780961" w:rsidRPr="00023091" w:rsidRDefault="004D2C01" w:rsidP="00280722">
      <w:pPr>
        <w:spacing w:after="120" w:line="276" w:lineRule="auto"/>
        <w:ind w:firstLine="360"/>
        <w:jc w:val="both"/>
        <w:rPr>
          <w:rFonts w:ascii="Verdana" w:eastAsia="Calibri" w:hAnsi="Verdana"/>
          <w:color w:val="000000" w:themeColor="text1"/>
        </w:rPr>
      </w:pPr>
      <w:r w:rsidRPr="00023091">
        <w:rPr>
          <w:rFonts w:ascii="Verdana" w:eastAsia="Calibri" w:hAnsi="Verdana" w:cs="Arial"/>
          <w:color w:val="000000" w:themeColor="text1"/>
          <w:lang w:val="es-ES_tradnl"/>
        </w:rPr>
        <w:tab/>
      </w:r>
      <w:r w:rsidR="00780961" w:rsidRPr="00023091">
        <w:rPr>
          <w:rFonts w:ascii="Verdana" w:eastAsia="Calibri" w:hAnsi="Verdana"/>
          <w:color w:val="000000" w:themeColor="text1"/>
        </w:rPr>
        <w:t xml:space="preserve">Por otro lado, </w:t>
      </w:r>
      <w:r w:rsidR="002364E7" w:rsidRPr="00023091">
        <w:rPr>
          <w:rFonts w:ascii="Verdana" w:eastAsia="Calibri" w:hAnsi="Verdana"/>
          <w:color w:val="000000" w:themeColor="text1"/>
        </w:rPr>
        <w:t>l</w:t>
      </w:r>
      <w:r w:rsidR="00780961" w:rsidRPr="00023091">
        <w:rPr>
          <w:rFonts w:ascii="Verdana" w:eastAsia="Calibri" w:hAnsi="Verdana"/>
          <w:color w:val="000000" w:themeColor="text1"/>
        </w:rPr>
        <w:t>a Ley 80 de 1993, en el texto original del artículo 41, estableció que los requisitos para perfeccionar el contrato eran: i) llegar a un acuerdo sobre el objeto y la contraprestación y ii) que conste por escrito. Por su parte, para iniciar la ejecución se requería: i) la constitución y aprobación de la garantía y ii) la existencia del registro presupuestal.</w:t>
      </w:r>
    </w:p>
    <w:p w14:paraId="0F6D6393" w14:textId="205209D7" w:rsidR="00780961" w:rsidRPr="00023091" w:rsidRDefault="00E94181" w:rsidP="00280722">
      <w:pPr>
        <w:spacing w:after="120" w:line="276" w:lineRule="auto"/>
        <w:ind w:firstLine="360"/>
        <w:jc w:val="both"/>
        <w:rPr>
          <w:rFonts w:ascii="Verdana" w:hAnsi="Verdana"/>
          <w:color w:val="000000" w:themeColor="text1"/>
          <w:lang w:eastAsia="es-ES"/>
        </w:rPr>
      </w:pPr>
      <w:r w:rsidRPr="00023091">
        <w:rPr>
          <w:rFonts w:ascii="Verdana" w:hAnsi="Verdana"/>
          <w:bCs/>
          <w:color w:val="000000" w:themeColor="text1"/>
          <w:lang w:eastAsia="es-ES_tradnl"/>
        </w:rPr>
        <w:tab/>
      </w:r>
      <w:r w:rsidR="00780961" w:rsidRPr="00023091">
        <w:rPr>
          <w:rFonts w:ascii="Verdana" w:hAnsi="Verdana"/>
          <w:color w:val="000000" w:themeColor="text1"/>
          <w:lang w:eastAsia="es-ES"/>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ii) el pago de un precio por el uso o goce del bien arrendado. </w:t>
      </w:r>
    </w:p>
    <w:p w14:paraId="0D644607" w14:textId="77777777" w:rsidR="00C92374" w:rsidRPr="00023091" w:rsidRDefault="00C92374" w:rsidP="00280722">
      <w:pPr>
        <w:spacing w:after="120" w:line="276" w:lineRule="auto"/>
        <w:ind w:firstLine="708"/>
        <w:jc w:val="both"/>
        <w:rPr>
          <w:rFonts w:ascii="Verdana" w:eastAsia="Calibri" w:hAnsi="Verdana"/>
          <w:color w:val="000000" w:themeColor="text1"/>
        </w:rPr>
      </w:pPr>
      <w:r w:rsidRPr="00023091">
        <w:rPr>
          <w:rFonts w:ascii="Verdana" w:eastAsia="Calibri" w:hAnsi="Verdana"/>
          <w:color w:val="000000" w:themeColor="text1"/>
        </w:rPr>
        <w:t>No cabe duda, pues, de que el contrato de arrendamiento, al ser un contrato oneroso, genera para el arrendador una renta periódica y, en tal sentido, hace que se encuentre obligado a cotizar al Sistema de Seguridad Social Integral, si el canon es superior a un salario mínimo mensual legal vigente. En efecto, el artículo 2000 del Código Civil establece que “El arrendatario es obligado al pago del precio o renta”. Es decir que la renta es un elemento de la esencia del contrato de arrendamiento. Si el “arrendador” no la percibiera no sería un arrendamiento, sino un comodato.</w:t>
      </w:r>
    </w:p>
    <w:p w14:paraId="5A8A1499" w14:textId="2B1C3EC7" w:rsidR="00780961" w:rsidRPr="00023091" w:rsidRDefault="00780961" w:rsidP="00280722">
      <w:pPr>
        <w:spacing w:after="120" w:line="276" w:lineRule="auto"/>
        <w:ind w:firstLine="708"/>
        <w:jc w:val="both"/>
        <w:rPr>
          <w:rFonts w:ascii="Verdana" w:eastAsia="Calibri" w:hAnsi="Verdana" w:cs="Arial"/>
          <w:color w:val="000000" w:themeColor="text1"/>
        </w:rPr>
      </w:pPr>
      <w:r w:rsidRPr="00023091">
        <w:rPr>
          <w:rFonts w:ascii="Verdana" w:eastAsia="Calibri" w:hAnsi="Verdana" w:cs="Arial"/>
          <w:color w:val="000000" w:themeColor="text1"/>
        </w:rPr>
        <w:lastRenderedPageBreak/>
        <w:t xml:space="preserve">Además, </w:t>
      </w:r>
      <w:r w:rsidR="00C92374" w:rsidRPr="00023091">
        <w:rPr>
          <w:rFonts w:ascii="Verdana" w:eastAsia="Calibri" w:hAnsi="Verdana" w:cs="Arial"/>
          <w:color w:val="000000" w:themeColor="text1"/>
        </w:rPr>
        <w:t>o</w:t>
      </w:r>
      <w:r w:rsidRPr="00023091">
        <w:rPr>
          <w:rFonts w:ascii="Verdana" w:eastAsia="Calibri" w:hAnsi="Verdana" w:cs="Arial"/>
          <w:color w:val="000000" w:themeColor="text1"/>
        </w:rPr>
        <w:t xml:space="preserve">tro aspecto importante del contrato de arrendamiento consiste en la imposibilidad de pactar cláusulas de prórroga automática, puesto que el Consejo de Estado explica que  en el </w:t>
      </w:r>
      <w:r w:rsidR="00C92374" w:rsidRPr="00023091">
        <w:rPr>
          <w:rFonts w:ascii="Verdana" w:eastAsia="Calibri" w:hAnsi="Verdana" w:cs="Arial"/>
          <w:color w:val="000000" w:themeColor="text1"/>
        </w:rPr>
        <w:t>EGCAP</w:t>
      </w:r>
      <w:r w:rsidRPr="00023091">
        <w:rPr>
          <w:rFonts w:ascii="Verdana" w:eastAsia="Calibri" w:hAnsi="Verdana" w:cs="Arial"/>
          <w:color w:val="000000" w:themeColor="text1"/>
        </w:rPr>
        <w:t xml:space="preserve">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p>
    <w:p w14:paraId="1CDE8A87" w14:textId="77777777" w:rsidR="00E93433" w:rsidRPr="00023091" w:rsidRDefault="00E93433" w:rsidP="00280722">
      <w:pPr>
        <w:spacing w:after="120" w:line="276" w:lineRule="auto"/>
        <w:ind w:firstLine="360"/>
        <w:jc w:val="both"/>
        <w:rPr>
          <w:rFonts w:ascii="Verdana" w:hAnsi="Verdana" w:cs="Arial"/>
          <w:color w:val="000000" w:themeColor="text1"/>
        </w:rPr>
      </w:pPr>
      <w:r w:rsidRPr="00023091">
        <w:rPr>
          <w:rFonts w:ascii="Verdana" w:eastAsia="Calibri" w:hAnsi="Verdana" w:cs="Arial"/>
          <w:color w:val="000000" w:themeColor="text1"/>
        </w:rPr>
        <w:t>De igual manera, cabe mencionar que independientemente del régimen aplicable, el contrato de arrendamiento debe publicarse en el SECOP como los demás contratos estatales, en virtud del principio de publicidad de la función administrativa consagrado en el artículo 209 de la Constitución Política. Dicho principio fue desarrollado por el legislador en el ámbito de la contratación estatal mediante el artículo 3 de la Ley 1150 de 2007, el artículo 11, literal g de la Ley 1712 de 2014 y su reglamentación, normas que obligan a que la publicidad de los contratos celebrados por las entidades estatales se realice a través del SECOP.  Esto debido a que los contratos estatales involucran un interés público, por lo que deben publicarse en el mecanismo establecido para garantizar que se cumplan los principios de publicidad y transparencia en la gestión contractual.</w:t>
      </w:r>
    </w:p>
    <w:p w14:paraId="7E451E00" w14:textId="7789AC14" w:rsidR="00780961" w:rsidRPr="00023091" w:rsidRDefault="00780961" w:rsidP="00280722">
      <w:pPr>
        <w:spacing w:after="120" w:line="276" w:lineRule="auto"/>
        <w:ind w:firstLine="708"/>
        <w:jc w:val="both"/>
        <w:rPr>
          <w:rFonts w:ascii="Verdana" w:eastAsia="Calibri" w:hAnsi="Verdana" w:cs="Arial"/>
          <w:bCs/>
          <w:lang w:eastAsia="es-ES" w:bidi="es-ES"/>
        </w:rPr>
      </w:pPr>
      <w:r w:rsidRPr="00023091">
        <w:rPr>
          <w:rFonts w:ascii="Verdana" w:eastAsia="Calibri" w:hAnsi="Verdana" w:cs="Arial"/>
          <w:color w:val="000000" w:themeColor="text1"/>
        </w:rPr>
        <w:t>En síntesis, l</w:t>
      </w:r>
      <w:r w:rsidRPr="00023091">
        <w:rPr>
          <w:rFonts w:ascii="Verdana" w:eastAsia="Calibri" w:hAnsi="Verdana" w:cs="Arial"/>
          <w:bCs/>
          <w:lang w:eastAsia="es-ES" w:bidi="es-ES"/>
        </w:rPr>
        <w:t>os contratos de arrendamiento de inmuebles de propiedad del municipio no están regulados por el Estatuto Tributario. Estos contratos se rigen por el régimen general de contratación estatal, específicamente por la Ley 80 de 1993 y sus normas reglamentarias, así como por el Código Civil</w:t>
      </w:r>
      <w:r w:rsidR="00AD04FD" w:rsidRPr="00023091">
        <w:rPr>
          <w:rFonts w:ascii="Verdana" w:eastAsia="Calibri" w:hAnsi="Verdana" w:cs="Arial"/>
          <w:bCs/>
          <w:lang w:eastAsia="es-ES" w:bidi="es-ES"/>
        </w:rPr>
        <w:t xml:space="preserve"> y el Código de Comercio</w:t>
      </w:r>
      <w:r w:rsidRPr="00023091">
        <w:rPr>
          <w:rFonts w:ascii="Verdana" w:eastAsia="Calibri" w:hAnsi="Verdana" w:cs="Arial"/>
          <w:bCs/>
          <w:lang w:eastAsia="es-ES" w:bidi="es-ES"/>
        </w:rPr>
        <w:t xml:space="preserve"> en lo que sea compatible. Adicionalmente, los aspectos tributarios relacionados con estos contratos, como el impuesto predial o el impuesto de industria y comercio, se regulan por las normas tributarias correspondientes, pero no determinan los criterios contractuales de arrendamiento.</w:t>
      </w:r>
    </w:p>
    <w:p w14:paraId="3C9CDFD5" w14:textId="39A16BA7" w:rsidR="00780961" w:rsidRPr="00023091" w:rsidRDefault="00780961" w:rsidP="00280722">
      <w:pPr>
        <w:spacing w:after="120" w:line="276" w:lineRule="auto"/>
        <w:ind w:firstLine="360"/>
        <w:jc w:val="both"/>
        <w:rPr>
          <w:rFonts w:ascii="Verdana" w:eastAsia="Calibri" w:hAnsi="Verdana" w:cs="Arial"/>
          <w:bCs/>
          <w:lang w:eastAsia="es-ES" w:bidi="es-ES"/>
        </w:rPr>
      </w:pPr>
      <w:r w:rsidRPr="00023091">
        <w:rPr>
          <w:rFonts w:ascii="Verdana" w:hAnsi="Verdana" w:cs="Arial"/>
          <w:color w:val="000000" w:themeColor="text1"/>
          <w:lang w:eastAsia="es-CO"/>
        </w:rPr>
        <w:t>En este orden de ideas en los casos en donde una de las partes del contrato de arrendamiento sea una Entidad Pública, este contrato adquiere el carácter de estatal y su contenido se enmarcará en las normas civiles y comerciales que lo regulan, además de las establecidas en el EGCAP</w:t>
      </w:r>
      <w:r w:rsidR="00E93433" w:rsidRPr="00023091">
        <w:rPr>
          <w:rFonts w:ascii="Verdana" w:hAnsi="Verdana" w:cs="Arial"/>
          <w:color w:val="000000" w:themeColor="text1"/>
          <w:lang w:eastAsia="es-CO"/>
        </w:rPr>
        <w:t>.</w:t>
      </w:r>
    </w:p>
    <w:p w14:paraId="50BC4931" w14:textId="77777777" w:rsidR="00780961" w:rsidRPr="00023091" w:rsidRDefault="00780961" w:rsidP="00280722">
      <w:pPr>
        <w:spacing w:after="120" w:line="276" w:lineRule="auto"/>
        <w:ind w:firstLine="360"/>
        <w:jc w:val="both"/>
        <w:rPr>
          <w:rFonts w:ascii="Verdana" w:eastAsia="Calibri" w:hAnsi="Verdana" w:cs="Times New Roman"/>
          <w:lang w:val="es-ES"/>
        </w:rPr>
      </w:pPr>
      <w:r w:rsidRPr="00023091">
        <w:rPr>
          <w:rFonts w:ascii="Verdana" w:eastAsia="Calibri" w:hAnsi="Verdana" w:cs="Times New Roman"/>
          <w:lang w:val="es-ES"/>
        </w:rPr>
        <w:t xml:space="preserve">     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w:t>
      </w:r>
      <w:r w:rsidRPr="00023091">
        <w:rPr>
          <w:rFonts w:ascii="Verdana" w:eastAsia="Calibri" w:hAnsi="Verdana" w:cs="Times New Roman"/>
          <w:lang w:val="es-ES"/>
        </w:rPr>
        <w:lastRenderedPageBreak/>
        <w:t>a los interesados de adoptar la decisión y, en caso de conflicto, a las autoridades judiciales, fiscales y disciplinarias.</w:t>
      </w:r>
    </w:p>
    <w:p w14:paraId="4E1C7C02" w14:textId="77777777" w:rsidR="00780961" w:rsidRPr="00023091" w:rsidRDefault="00780961" w:rsidP="00280722">
      <w:pPr>
        <w:spacing w:after="0" w:line="276" w:lineRule="auto"/>
        <w:ind w:firstLine="708"/>
        <w:jc w:val="both"/>
        <w:rPr>
          <w:rFonts w:ascii="Verdana" w:hAnsi="Verdana" w:cs="Arial"/>
          <w:lang w:eastAsia="es-ES"/>
        </w:rPr>
      </w:pPr>
      <w:r w:rsidRPr="00023091">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9320F7A" w14:textId="77777777" w:rsidR="00023091" w:rsidRDefault="00023091" w:rsidP="00280722">
      <w:pPr>
        <w:spacing w:after="0" w:line="276" w:lineRule="auto"/>
        <w:jc w:val="both"/>
        <w:rPr>
          <w:rFonts w:ascii="Verdana" w:eastAsia="Century Gothic" w:hAnsi="Verdana" w:cs="Century Gothic"/>
          <w:b/>
          <w:bCs/>
        </w:rPr>
      </w:pPr>
    </w:p>
    <w:p w14:paraId="35CE3184" w14:textId="0D6790FE" w:rsidR="00780961" w:rsidRPr="009E0887" w:rsidRDefault="00780961" w:rsidP="0028072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E0887">
        <w:rPr>
          <w:rFonts w:ascii="Verdana" w:eastAsia="Century Gothic" w:hAnsi="Verdana" w:cs="Century Gothic"/>
          <w:b/>
          <w:bCs/>
        </w:rPr>
        <w:t>Referencias normativas, jurisprudenciales y otras fuentes:</w:t>
      </w:r>
    </w:p>
    <w:p w14:paraId="424E7829" w14:textId="77777777" w:rsidR="00780961" w:rsidRPr="009E0887" w:rsidRDefault="00780961" w:rsidP="0002309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0961" w:rsidRPr="009E0887" w14:paraId="0C3E463F" w14:textId="77777777" w:rsidTr="00723D05">
        <w:trPr>
          <w:trHeight w:val="870"/>
        </w:trPr>
        <w:tc>
          <w:tcPr>
            <w:tcW w:w="8647" w:type="dxa"/>
          </w:tcPr>
          <w:p w14:paraId="094B401C" w14:textId="33DDE2E4" w:rsidR="005976BA" w:rsidRPr="00280722" w:rsidRDefault="005976BA" w:rsidP="005976BA">
            <w:pPr>
              <w:pStyle w:val="Prrafodelista"/>
              <w:widowControl w:val="0"/>
              <w:numPr>
                <w:ilvl w:val="0"/>
                <w:numId w:val="17"/>
              </w:numPr>
              <w:autoSpaceDE w:val="0"/>
              <w:autoSpaceDN w:val="0"/>
              <w:spacing w:after="120" w:line="276" w:lineRule="auto"/>
              <w:jc w:val="both"/>
              <w:rPr>
                <w:rFonts w:ascii="Verdana" w:hAnsi="Verdana" w:cs="Arial"/>
              </w:rPr>
            </w:pPr>
            <w:r w:rsidRPr="009E0887">
              <w:rPr>
                <w:rFonts w:ascii="Verdana" w:eastAsia="Calibri" w:hAnsi="Verdana" w:cs="Arial"/>
                <w:color w:val="000000" w:themeColor="text1"/>
              </w:rPr>
              <w:t>Código Civil. Artículo</w:t>
            </w:r>
            <w:r w:rsidR="007C285B">
              <w:rPr>
                <w:rFonts w:ascii="Verdana" w:eastAsia="Calibri" w:hAnsi="Verdana" w:cs="Arial"/>
                <w:color w:val="000000" w:themeColor="text1"/>
              </w:rPr>
              <w:t>s 1495 y</w:t>
            </w:r>
            <w:r w:rsidRPr="009E0887">
              <w:rPr>
                <w:rFonts w:ascii="Verdana" w:eastAsia="Calibri" w:hAnsi="Verdana" w:cs="Arial"/>
                <w:color w:val="000000" w:themeColor="text1"/>
              </w:rPr>
              <w:t xml:space="preserve"> </w:t>
            </w:r>
            <w:r w:rsidRPr="009E0887">
              <w:rPr>
                <w:rFonts w:ascii="Verdana" w:eastAsia="Calibri" w:hAnsi="Verdana" w:cs="Arial"/>
                <w:bCs/>
                <w:color w:val="000000" w:themeColor="text1"/>
              </w:rPr>
              <w:t>1973 al 2078</w:t>
            </w:r>
            <w:r>
              <w:rPr>
                <w:rFonts w:ascii="Verdana" w:eastAsia="Calibri" w:hAnsi="Verdana" w:cs="Arial"/>
                <w:bCs/>
                <w:color w:val="000000" w:themeColor="text1"/>
              </w:rPr>
              <w:t xml:space="preserve">. </w:t>
            </w:r>
          </w:p>
          <w:p w14:paraId="5A2C7CD8" w14:textId="34C82263" w:rsidR="007C285B" w:rsidRPr="00280722" w:rsidRDefault="007C285B" w:rsidP="005976BA">
            <w:pPr>
              <w:pStyle w:val="Prrafodelista"/>
              <w:widowControl w:val="0"/>
              <w:numPr>
                <w:ilvl w:val="0"/>
                <w:numId w:val="17"/>
              </w:numPr>
              <w:autoSpaceDE w:val="0"/>
              <w:autoSpaceDN w:val="0"/>
              <w:spacing w:after="120" w:line="276" w:lineRule="auto"/>
              <w:jc w:val="both"/>
              <w:rPr>
                <w:rFonts w:ascii="Verdana" w:hAnsi="Verdana" w:cs="Arial"/>
              </w:rPr>
            </w:pPr>
            <w:r>
              <w:rPr>
                <w:rFonts w:ascii="Verdana" w:eastAsia="Calibri" w:hAnsi="Verdana" w:cs="Arial"/>
                <w:bCs/>
                <w:color w:val="000000" w:themeColor="text1"/>
              </w:rPr>
              <w:t>Código de Comercio: Artículo 864.</w:t>
            </w:r>
          </w:p>
          <w:p w14:paraId="2B90DF30" w14:textId="69CA19C3" w:rsidR="005976BA" w:rsidRPr="009E0887" w:rsidRDefault="005976BA" w:rsidP="005976BA">
            <w:pPr>
              <w:pStyle w:val="Prrafodelista"/>
              <w:widowControl w:val="0"/>
              <w:numPr>
                <w:ilvl w:val="0"/>
                <w:numId w:val="17"/>
              </w:numPr>
              <w:autoSpaceDE w:val="0"/>
              <w:autoSpaceDN w:val="0"/>
              <w:spacing w:after="120" w:line="276" w:lineRule="auto"/>
              <w:jc w:val="both"/>
              <w:rPr>
                <w:rFonts w:ascii="Verdana" w:hAnsi="Verdana" w:cs="Arial"/>
              </w:rPr>
            </w:pPr>
            <w:r w:rsidRPr="009E0887">
              <w:rPr>
                <w:rFonts w:ascii="Verdana" w:eastAsia="Calibri" w:hAnsi="Verdana"/>
                <w:color w:val="000000" w:themeColor="text1"/>
              </w:rPr>
              <w:t>Ley 80 de 1993</w:t>
            </w:r>
            <w:r>
              <w:rPr>
                <w:rFonts w:ascii="Verdana" w:eastAsia="Calibri" w:hAnsi="Verdana"/>
                <w:color w:val="000000" w:themeColor="text1"/>
              </w:rPr>
              <w:t>:</w:t>
            </w:r>
            <w:r w:rsidRPr="009E0887">
              <w:rPr>
                <w:rFonts w:ascii="Verdana" w:eastAsia="Calibri" w:hAnsi="Verdana"/>
                <w:color w:val="000000" w:themeColor="text1"/>
              </w:rPr>
              <w:t xml:space="preserve"> Artículo</w:t>
            </w:r>
            <w:r>
              <w:rPr>
                <w:rFonts w:ascii="Verdana" w:eastAsia="Calibri" w:hAnsi="Verdana"/>
                <w:color w:val="000000" w:themeColor="text1"/>
              </w:rPr>
              <w:t>s</w:t>
            </w:r>
            <w:r w:rsidRPr="009E0887">
              <w:rPr>
                <w:rFonts w:ascii="Verdana" w:eastAsia="Calibri" w:hAnsi="Verdana"/>
                <w:color w:val="000000" w:themeColor="text1"/>
              </w:rPr>
              <w:t xml:space="preserve"> </w:t>
            </w:r>
            <w:r>
              <w:rPr>
                <w:rFonts w:ascii="Verdana" w:eastAsia="Calibri" w:hAnsi="Verdana"/>
                <w:color w:val="000000" w:themeColor="text1"/>
              </w:rPr>
              <w:t xml:space="preserve">32 y </w:t>
            </w:r>
            <w:r w:rsidRPr="009E0887">
              <w:rPr>
                <w:rFonts w:ascii="Verdana" w:eastAsia="Calibri" w:hAnsi="Verdana"/>
                <w:color w:val="000000" w:themeColor="text1"/>
              </w:rPr>
              <w:t>41.</w:t>
            </w:r>
          </w:p>
          <w:p w14:paraId="57648340" w14:textId="1503DDCA" w:rsidR="00780961" w:rsidRPr="009E0887" w:rsidRDefault="00780961" w:rsidP="00723D05">
            <w:pPr>
              <w:pStyle w:val="Prrafodelista"/>
              <w:widowControl w:val="0"/>
              <w:numPr>
                <w:ilvl w:val="0"/>
                <w:numId w:val="17"/>
              </w:numPr>
              <w:autoSpaceDE w:val="0"/>
              <w:autoSpaceDN w:val="0"/>
              <w:spacing w:after="120" w:line="276" w:lineRule="auto"/>
              <w:jc w:val="both"/>
              <w:rPr>
                <w:rFonts w:ascii="Verdana" w:hAnsi="Verdana" w:cs="Arial"/>
                <w:color w:val="000000" w:themeColor="text1"/>
              </w:rPr>
            </w:pPr>
            <w:r w:rsidRPr="009E0887">
              <w:rPr>
                <w:rFonts w:ascii="Verdana" w:hAnsi="Verdana" w:cs="Arial"/>
                <w:color w:val="000000" w:themeColor="text1"/>
              </w:rPr>
              <w:t xml:space="preserve">Ley 1150 de 2007: </w:t>
            </w:r>
            <w:r w:rsidR="005976BA" w:rsidRPr="009E0887">
              <w:rPr>
                <w:rFonts w:ascii="Verdana" w:hAnsi="Verdana" w:cs="Arial"/>
                <w:color w:val="000000" w:themeColor="text1"/>
              </w:rPr>
              <w:t xml:space="preserve">Artículo </w:t>
            </w:r>
            <w:r w:rsidRPr="009E0887">
              <w:rPr>
                <w:rFonts w:ascii="Verdana" w:hAnsi="Verdana" w:cs="Arial"/>
                <w:color w:val="000000" w:themeColor="text1"/>
              </w:rPr>
              <w:t>2, numeral 4, artículo 5.</w:t>
            </w:r>
          </w:p>
          <w:p w14:paraId="5459988D" w14:textId="3F0B69DC" w:rsidR="00780961" w:rsidRPr="009E0887" w:rsidRDefault="00780961" w:rsidP="00280722">
            <w:pPr>
              <w:pStyle w:val="Prrafodelista"/>
              <w:widowControl w:val="0"/>
              <w:autoSpaceDE w:val="0"/>
              <w:autoSpaceDN w:val="0"/>
              <w:spacing w:after="120" w:line="276" w:lineRule="auto"/>
              <w:jc w:val="both"/>
              <w:rPr>
                <w:rFonts w:ascii="Verdana" w:hAnsi="Verdana" w:cs="Arial"/>
              </w:rPr>
            </w:pPr>
            <w:r w:rsidRPr="007C285B">
              <w:rPr>
                <w:rFonts w:ascii="Verdana" w:hAnsi="Verdana" w:cs="Arial"/>
                <w:color w:val="000000" w:themeColor="text1"/>
              </w:rPr>
              <w:t>Decreto 1082 d</w:t>
            </w:r>
            <w:r w:rsidR="005976BA" w:rsidRPr="007C285B">
              <w:rPr>
                <w:rFonts w:ascii="Verdana" w:hAnsi="Verdana" w:cs="Arial"/>
                <w:color w:val="000000" w:themeColor="text1"/>
              </w:rPr>
              <w:t>e</w:t>
            </w:r>
            <w:r w:rsidRPr="007C285B">
              <w:rPr>
                <w:rFonts w:ascii="Verdana" w:hAnsi="Verdana" w:cs="Arial"/>
                <w:color w:val="000000" w:themeColor="text1"/>
              </w:rPr>
              <w:t xml:space="preserve"> 2015</w:t>
            </w:r>
            <w:r w:rsidR="005976BA" w:rsidRPr="007C285B">
              <w:rPr>
                <w:rFonts w:ascii="Verdana" w:hAnsi="Verdana" w:cs="Arial"/>
                <w:color w:val="000000" w:themeColor="text1"/>
              </w:rPr>
              <w:t>:</w:t>
            </w:r>
            <w:r w:rsidRPr="007C285B">
              <w:rPr>
                <w:rFonts w:ascii="Verdana" w:hAnsi="Verdana" w:cs="Arial"/>
                <w:color w:val="000000" w:themeColor="text1"/>
              </w:rPr>
              <w:t xml:space="preserve"> </w:t>
            </w:r>
            <w:r w:rsidR="005976BA" w:rsidRPr="007C285B">
              <w:rPr>
                <w:rFonts w:ascii="Verdana" w:hAnsi="Verdana"/>
                <w:color w:val="000000" w:themeColor="text1"/>
                <w:lang w:val="es-ES_tradnl" w:eastAsia="es-ES_tradnl"/>
              </w:rPr>
              <w:t>A</w:t>
            </w:r>
            <w:r w:rsidRPr="007C285B">
              <w:rPr>
                <w:rFonts w:ascii="Verdana" w:hAnsi="Verdana"/>
                <w:color w:val="000000" w:themeColor="text1"/>
                <w:lang w:val="es-ES_tradnl" w:eastAsia="es-ES_tradnl"/>
              </w:rPr>
              <w:t>rtículo 2.2.1.2.1.4.</w:t>
            </w:r>
            <w:r w:rsidRPr="007C285B">
              <w:rPr>
                <w:rFonts w:ascii="Verdana" w:hAnsi="Verdana"/>
                <w:bCs/>
                <w:color w:val="000000" w:themeColor="text1"/>
                <w:lang w:val="es-ES_tradnl" w:eastAsia="es-ES_tradnl"/>
              </w:rPr>
              <w:t>11</w:t>
            </w:r>
            <w:r w:rsidRPr="007C285B">
              <w:rPr>
                <w:rFonts w:ascii="Verdana" w:hAnsi="Verdana"/>
                <w:color w:val="000000" w:themeColor="text1"/>
                <w:lang w:val="es-ES_tradnl" w:eastAsia="es-ES_tradnl"/>
              </w:rPr>
              <w:t>.</w:t>
            </w:r>
          </w:p>
        </w:tc>
      </w:tr>
    </w:tbl>
    <w:p w14:paraId="4C199D60" w14:textId="77777777" w:rsidR="00780961" w:rsidRPr="009E0887" w:rsidRDefault="00780961" w:rsidP="007C285B">
      <w:pPr>
        <w:widowControl w:val="0"/>
        <w:autoSpaceDE w:val="0"/>
        <w:autoSpaceDN w:val="0"/>
        <w:spacing w:after="0" w:line="276" w:lineRule="auto"/>
        <w:jc w:val="both"/>
        <w:rPr>
          <w:rFonts w:ascii="Verdana" w:hAnsi="Verdana" w:cs="Arial"/>
        </w:rPr>
      </w:pPr>
    </w:p>
    <w:p w14:paraId="0DB75873" w14:textId="77777777" w:rsidR="00780961" w:rsidRPr="009E0887" w:rsidRDefault="00780961" w:rsidP="007C28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E0887">
        <w:rPr>
          <w:rFonts w:ascii="Verdana" w:eastAsia="Century Gothic" w:hAnsi="Verdana" w:cs="Century Gothic"/>
          <w:b/>
          <w:bCs/>
        </w:rPr>
        <w:t>Doctrina de la Agencia Nacional de Contratación Pública:</w:t>
      </w:r>
    </w:p>
    <w:p w14:paraId="4DC8EED2" w14:textId="77777777" w:rsidR="00780961" w:rsidRPr="009E0887" w:rsidRDefault="00780961" w:rsidP="007C285B">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07ECD39" w14:textId="77777777" w:rsidR="00780961" w:rsidRPr="009E0887" w:rsidRDefault="00780961" w:rsidP="007C285B">
      <w:pPr>
        <w:widowControl w:val="0"/>
        <w:autoSpaceDE w:val="0"/>
        <w:autoSpaceDN w:val="0"/>
        <w:spacing w:after="0" w:line="276" w:lineRule="auto"/>
        <w:jc w:val="both"/>
        <w:rPr>
          <w:rFonts w:ascii="Verdana" w:eastAsia="Calibri" w:hAnsi="Verdana" w:cs="Times New Roman"/>
        </w:rPr>
      </w:pPr>
      <w:r w:rsidRPr="009E0887">
        <w:rPr>
          <w:rStyle w:val="normaltextrun"/>
          <w:rFonts w:ascii="Verdana" w:hAnsi="Verdana" w:cs="Arial"/>
          <w:shd w:val="clear" w:color="auto" w:fill="FFFFFF"/>
          <w:lang w:val="es-ES"/>
        </w:rPr>
        <w:t>La Agencia Nacional de Contratación Pública – Colombia Compra Eficiente, estudió el alcance de la definición del contrato estatal en los conceptos 4201912000006493 del 15 de noviembre de 2019, 4201912000006710 del 19 de noviembre de 2019, C-466 del 21 de julio de 2022, C-604 del 23 de septiembre de 2022 y C-823 del 21 de diciembre de 2022. Igualmente, analizó el contrato de arrendamiento en el Estatuto General de Contratación de la Administración Pública en los conceptos No. 420191300004738 del 18 de agosto de 2019, C-183 del 17 de marzo de 2020, C-126 del 26 de marzo de 2021 y C-667 del 19 de noviembre de 2020, C-780 del 18 de enero de 2021, C-561 del 8 de octubre de 2021, C-646 del 22 de noviembre de 2021, C-214 del 22 del 22 de abril de 2022 y C-280 del 21 de agosto de 2024,</w:t>
      </w:r>
      <w:r w:rsidRPr="009E0887">
        <w:rPr>
          <w:rFonts w:ascii="Verdana" w:eastAsia="Aptos" w:hAnsi="Verdana" w:cs="Arial"/>
          <w:shd w:val="clear" w:color="auto" w:fill="FFFFFF"/>
          <w:lang w:val="es-ES"/>
        </w:rPr>
        <w:t xml:space="preserve"> entre otros</w:t>
      </w:r>
      <w:r w:rsidRPr="009E0887">
        <w:rPr>
          <w:rFonts w:ascii="Verdana" w:eastAsia="Calibri" w:hAnsi="Verdana" w:cs="Times New Roman"/>
        </w:rPr>
        <w:t>, estos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B93E2DF" w14:textId="77777777" w:rsidR="00780961" w:rsidRPr="009E0887" w:rsidRDefault="00780961" w:rsidP="007C285B">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9E0887">
          <w:rPr>
            <w:rStyle w:val="Hipervnculo"/>
            <w:rFonts w:ascii="Verdana" w:eastAsia="Calibri" w:hAnsi="Verdana" w:cs="Times New Roman"/>
            <w:lang w:val="es-ES"/>
          </w:rPr>
          <w:t>https://relatoria.colombiacompra.gov.co/busqueda/conceptos</w:t>
        </w:r>
      </w:hyperlink>
      <w:r w:rsidRPr="009E0887">
        <w:rPr>
          <w:rFonts w:ascii="Verdana" w:eastAsia="Calibri" w:hAnsi="Verdana" w:cs="Times New Roman"/>
        </w:rPr>
        <w:t>.</w:t>
      </w:r>
    </w:p>
    <w:p w14:paraId="6F34A35D" w14:textId="77777777" w:rsidR="00780961" w:rsidRPr="009E0887" w:rsidRDefault="00780961" w:rsidP="007C285B">
      <w:pPr>
        <w:widowControl w:val="0"/>
        <w:autoSpaceDE w:val="0"/>
        <w:autoSpaceDN w:val="0"/>
        <w:spacing w:after="0" w:line="276" w:lineRule="auto"/>
        <w:jc w:val="both"/>
        <w:rPr>
          <w:rFonts w:ascii="Verdana" w:eastAsia="Calibri" w:hAnsi="Verdana" w:cs="Arial"/>
          <w:color w:val="000000" w:themeColor="text1"/>
        </w:rPr>
      </w:pPr>
    </w:p>
    <w:p w14:paraId="516C24BD" w14:textId="77777777" w:rsidR="00780961" w:rsidRPr="009E0887" w:rsidRDefault="00780961" w:rsidP="007C285B">
      <w:pPr>
        <w:widowControl w:val="0"/>
        <w:autoSpaceDE w:val="0"/>
        <w:autoSpaceDN w:val="0"/>
        <w:spacing w:after="0" w:line="276" w:lineRule="auto"/>
        <w:jc w:val="both"/>
        <w:rPr>
          <w:rFonts w:ascii="Verdana" w:hAnsi="Verdana" w:cs="Arial"/>
          <w:lang w:val="es-ES_tradnl"/>
        </w:rPr>
      </w:pPr>
      <w:r w:rsidRPr="009E0887">
        <w:rPr>
          <w:rFonts w:ascii="Verdana" w:hAnsi="Verdana" w:cs="Arial"/>
        </w:rPr>
        <w:t xml:space="preserve">Este concepto tiene el alcance previsto en el artículo 28 del Código de Procedimiento Administrativo y de lo Contencioso Administrativo </w:t>
      </w:r>
      <w:r w:rsidRPr="009E0887">
        <w:rPr>
          <w:rFonts w:ascii="Verdana" w:hAnsi="Verdana" w:cs="Arial"/>
          <w:lang w:val="es-ES_tradnl"/>
        </w:rPr>
        <w:t>y las expresiones aquí utilizadas con mayúscula inicial deben ser entendidas con el significado que les otorga el artículo 2.2.1.1.1.3.1. del Decreto 1082 de 2015.</w:t>
      </w:r>
    </w:p>
    <w:p w14:paraId="3CCA4D8A" w14:textId="77777777" w:rsidR="00780961" w:rsidRPr="009E0887" w:rsidRDefault="00780961" w:rsidP="007C285B">
      <w:pPr>
        <w:widowControl w:val="0"/>
        <w:autoSpaceDE w:val="0"/>
        <w:autoSpaceDN w:val="0"/>
        <w:spacing w:after="0" w:line="276" w:lineRule="auto"/>
        <w:jc w:val="both"/>
        <w:rPr>
          <w:rFonts w:ascii="Verdana" w:hAnsi="Verdana" w:cs="Arial"/>
        </w:rPr>
      </w:pPr>
    </w:p>
    <w:p w14:paraId="380D69AC" w14:textId="77777777" w:rsidR="00780961" w:rsidRPr="009E0887" w:rsidRDefault="00780961" w:rsidP="007C285B">
      <w:pPr>
        <w:spacing w:after="0" w:line="276" w:lineRule="auto"/>
        <w:jc w:val="both"/>
        <w:rPr>
          <w:rFonts w:ascii="Verdana" w:hAnsi="Verdana" w:cs="Arial"/>
          <w:lang w:eastAsia="es-CO"/>
        </w:rPr>
      </w:pPr>
      <w:r w:rsidRPr="009E0887">
        <w:rPr>
          <w:rFonts w:ascii="Verdana" w:eastAsia="Times New Roman" w:hAnsi="Verdana" w:cs="Arial"/>
          <w:lang w:eastAsia="es-CO"/>
        </w:rPr>
        <w:t>Atentamente,</w:t>
      </w:r>
      <w:r w:rsidRPr="009E0887">
        <w:rPr>
          <w:rFonts w:ascii="Verdana" w:hAnsi="Verdana" w:cs="Arial"/>
          <w:lang w:eastAsia="es-CO"/>
        </w:rPr>
        <w:t xml:space="preserve"> </w:t>
      </w:r>
    </w:p>
    <w:p w14:paraId="759BAA59" w14:textId="25ECCAD4" w:rsidR="00780961" w:rsidRPr="00280722" w:rsidRDefault="004657FB" w:rsidP="00780961">
      <w:pPr>
        <w:spacing w:line="276" w:lineRule="auto"/>
        <w:jc w:val="center"/>
        <w:rPr>
          <w:rFonts w:ascii="Verdana" w:hAnsi="Verdana"/>
          <w:noProof/>
          <w:color w:val="000000"/>
        </w:rPr>
      </w:pPr>
      <w:r>
        <w:rPr>
          <w:rFonts w:ascii="Verdana" w:hAnsi="Verdana"/>
          <w:noProof/>
          <w:color w:val="000000"/>
        </w:rPr>
        <w:drawing>
          <wp:inline distT="0" distB="0" distL="0" distR="0" wp14:anchorId="082DEFC6" wp14:editId="4FF3D464">
            <wp:extent cx="3522350" cy="1514475"/>
            <wp:effectExtent l="0" t="0" r="1905" b="0"/>
            <wp:docPr id="13269734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73441" name="Imagen 1326973441"/>
                    <pic:cNvPicPr/>
                  </pic:nvPicPr>
                  <pic:blipFill>
                    <a:blip r:embed="rId13">
                      <a:extLst>
                        <a:ext uri="{28A0092B-C50C-407E-A947-70E740481C1C}">
                          <a14:useLocalDpi xmlns:a14="http://schemas.microsoft.com/office/drawing/2010/main" val="0"/>
                        </a:ext>
                      </a:extLst>
                    </a:blip>
                    <a:stretch>
                      <a:fillRect/>
                    </a:stretch>
                  </pic:blipFill>
                  <pic:spPr>
                    <a:xfrm>
                      <a:off x="0" y="0"/>
                      <a:ext cx="3525488" cy="151582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0961" w:rsidRPr="009E0887" w14:paraId="7725A358" w14:textId="77777777" w:rsidTr="00723D05">
        <w:trPr>
          <w:trHeight w:val="315"/>
        </w:trPr>
        <w:tc>
          <w:tcPr>
            <w:tcW w:w="893" w:type="dxa"/>
            <w:vAlign w:val="center"/>
            <w:hideMark/>
          </w:tcPr>
          <w:p w14:paraId="6FE30161" w14:textId="77777777" w:rsidR="00780961" w:rsidRPr="009E0887" w:rsidRDefault="00780961" w:rsidP="00723D05">
            <w:pPr>
              <w:contextualSpacing/>
              <w:rPr>
                <w:rFonts w:ascii="Verdana" w:hAnsi="Verdana" w:cs="Arial"/>
                <w:sz w:val="16"/>
                <w:szCs w:val="16"/>
                <w:lang w:val="es-ES" w:eastAsia="es-ES"/>
              </w:rPr>
            </w:pPr>
            <w:r w:rsidRPr="009E088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2B8D98D" w14:textId="77777777" w:rsidR="00780961" w:rsidRPr="009E0887" w:rsidRDefault="00780961" w:rsidP="00723D05">
            <w:pPr>
              <w:pStyle w:val="paragraph"/>
              <w:spacing w:before="0" w:beforeAutospacing="0" w:after="0" w:afterAutospacing="0"/>
              <w:contextualSpacing/>
              <w:textAlignment w:val="baseline"/>
              <w:rPr>
                <w:rStyle w:val="normaltextrun"/>
                <w:rFonts w:ascii="Verdana" w:hAnsi="Verdana" w:cstheme="minorHAnsi"/>
                <w:sz w:val="16"/>
                <w:szCs w:val="16"/>
              </w:rPr>
            </w:pPr>
            <w:r w:rsidRPr="009E0887">
              <w:rPr>
                <w:rStyle w:val="normaltextrun"/>
                <w:rFonts w:ascii="Verdana" w:hAnsi="Verdana" w:cstheme="minorHAnsi"/>
                <w:sz w:val="16"/>
                <w:szCs w:val="16"/>
              </w:rPr>
              <w:t>Karol Andrea González Marín.</w:t>
            </w:r>
          </w:p>
          <w:p w14:paraId="387EE50B" w14:textId="77777777" w:rsidR="00780961" w:rsidRPr="009E0887" w:rsidRDefault="00780961" w:rsidP="00723D05">
            <w:pPr>
              <w:contextualSpacing/>
              <w:rPr>
                <w:rFonts w:ascii="Verdana" w:eastAsia="Arial" w:hAnsi="Verdana" w:cs="Arial"/>
                <w:sz w:val="16"/>
                <w:szCs w:val="16"/>
              </w:rPr>
            </w:pPr>
            <w:r w:rsidRPr="009E0887">
              <w:rPr>
                <w:rFonts w:ascii="Verdana" w:hAnsi="Verdana"/>
                <w:sz w:val="16"/>
                <w:szCs w:val="16"/>
              </w:rPr>
              <w:t>Contratista de la Subdirección de Gestión Contractual</w:t>
            </w:r>
          </w:p>
        </w:tc>
      </w:tr>
      <w:tr w:rsidR="00780961" w:rsidRPr="009E0887" w14:paraId="59780CA4" w14:textId="77777777" w:rsidTr="00723D05">
        <w:trPr>
          <w:trHeight w:val="330"/>
        </w:trPr>
        <w:tc>
          <w:tcPr>
            <w:tcW w:w="893" w:type="dxa"/>
            <w:vAlign w:val="center"/>
            <w:hideMark/>
          </w:tcPr>
          <w:p w14:paraId="79F86AB1" w14:textId="77777777" w:rsidR="00780961" w:rsidRPr="009E0887" w:rsidRDefault="00780961" w:rsidP="00723D05">
            <w:pPr>
              <w:contextualSpacing/>
              <w:rPr>
                <w:rFonts w:ascii="Verdana" w:hAnsi="Verdana" w:cs="Arial"/>
                <w:sz w:val="16"/>
                <w:szCs w:val="16"/>
                <w:lang w:val="es-ES" w:eastAsia="es-ES"/>
              </w:rPr>
            </w:pPr>
            <w:r w:rsidRPr="009E088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21EEBA" w14:textId="77777777" w:rsidR="00780961" w:rsidRPr="009E0887" w:rsidRDefault="00780961" w:rsidP="00723D05">
            <w:pPr>
              <w:pStyle w:val="paragraph"/>
              <w:spacing w:before="0" w:beforeAutospacing="0" w:after="0" w:afterAutospacing="0"/>
              <w:contextualSpacing/>
              <w:textAlignment w:val="baseline"/>
              <w:rPr>
                <w:rStyle w:val="normaltextrun"/>
                <w:rFonts w:ascii="Verdana" w:hAnsi="Verdana" w:cstheme="minorHAnsi"/>
                <w:sz w:val="16"/>
                <w:szCs w:val="16"/>
              </w:rPr>
            </w:pPr>
            <w:r w:rsidRPr="009E0887">
              <w:rPr>
                <w:rStyle w:val="normaltextrun"/>
                <w:rFonts w:ascii="Verdana" w:hAnsi="Verdana" w:cstheme="minorHAnsi"/>
                <w:sz w:val="16"/>
                <w:szCs w:val="16"/>
              </w:rPr>
              <w:t>Diana Lucia Saavedra.</w:t>
            </w:r>
          </w:p>
          <w:p w14:paraId="12D03B1A" w14:textId="77777777" w:rsidR="00780961" w:rsidRPr="009E0887" w:rsidRDefault="00780961" w:rsidP="00723D05">
            <w:pPr>
              <w:pStyle w:val="paragraph"/>
              <w:spacing w:before="0" w:beforeAutospacing="0" w:after="0" w:afterAutospacing="0"/>
              <w:contextualSpacing/>
              <w:textAlignment w:val="baseline"/>
              <w:rPr>
                <w:rFonts w:ascii="Verdana" w:hAnsi="Verdana" w:cstheme="minorHAnsi"/>
                <w:sz w:val="16"/>
                <w:szCs w:val="16"/>
              </w:rPr>
            </w:pPr>
            <w:r w:rsidRPr="009E0887">
              <w:rPr>
                <w:rStyle w:val="normaltextrun"/>
                <w:rFonts w:ascii="Verdana" w:eastAsia="Arial" w:hAnsi="Verdana" w:cs="Arial"/>
                <w:sz w:val="16"/>
                <w:szCs w:val="16"/>
              </w:rPr>
              <w:t>Contratista Subdirección de Gestión Contractual</w:t>
            </w:r>
          </w:p>
        </w:tc>
      </w:tr>
      <w:tr w:rsidR="00780961" w:rsidRPr="009E0887" w14:paraId="2B97BA9E" w14:textId="77777777" w:rsidTr="00723D05">
        <w:trPr>
          <w:trHeight w:val="300"/>
        </w:trPr>
        <w:tc>
          <w:tcPr>
            <w:tcW w:w="893" w:type="dxa"/>
            <w:vAlign w:val="center"/>
          </w:tcPr>
          <w:p w14:paraId="6D89D242" w14:textId="77777777" w:rsidR="00780961" w:rsidRPr="009E0887" w:rsidRDefault="00780961" w:rsidP="00723D05">
            <w:pPr>
              <w:contextualSpacing/>
              <w:rPr>
                <w:rFonts w:ascii="Verdana" w:hAnsi="Verdana" w:cs="Arial"/>
                <w:sz w:val="16"/>
                <w:szCs w:val="16"/>
                <w:lang w:val="es-ES" w:eastAsia="es-ES"/>
              </w:rPr>
            </w:pPr>
            <w:r w:rsidRPr="009E088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541048" w14:textId="77777777" w:rsidR="00780961" w:rsidRPr="009E0887" w:rsidRDefault="00780961" w:rsidP="00723D05">
            <w:pPr>
              <w:contextualSpacing/>
              <w:rPr>
                <w:rFonts w:ascii="Verdana" w:eastAsia="Calibri" w:hAnsi="Verdana" w:cs="Arial"/>
                <w:sz w:val="16"/>
                <w:szCs w:val="16"/>
                <w:lang w:val="pt-BR" w:eastAsia="es-ES"/>
              </w:rPr>
            </w:pPr>
            <w:r w:rsidRPr="009E0887">
              <w:rPr>
                <w:rFonts w:ascii="Verdana" w:eastAsia="Calibri" w:hAnsi="Verdana" w:cs="Arial"/>
                <w:sz w:val="16"/>
                <w:szCs w:val="16"/>
                <w:lang w:val="pt-BR" w:eastAsia="es-ES"/>
              </w:rPr>
              <w:t>Carolina Quintero Ganchará.</w:t>
            </w:r>
          </w:p>
          <w:p w14:paraId="43017FFC" w14:textId="77777777" w:rsidR="00780961" w:rsidRPr="009E0887" w:rsidRDefault="00780961" w:rsidP="00723D05">
            <w:pPr>
              <w:contextualSpacing/>
              <w:rPr>
                <w:rFonts w:ascii="Verdana" w:eastAsia="Calibri" w:hAnsi="Verdana" w:cs="Arial"/>
                <w:sz w:val="16"/>
                <w:szCs w:val="16"/>
                <w:lang w:val="pt-BR" w:eastAsia="es-ES"/>
              </w:rPr>
            </w:pPr>
            <w:r w:rsidRPr="009E0887">
              <w:rPr>
                <w:rFonts w:ascii="Verdana" w:eastAsia="Calibri" w:hAnsi="Verdana" w:cs="Arial"/>
                <w:sz w:val="16"/>
                <w:szCs w:val="16"/>
                <w:lang w:eastAsia="es-ES"/>
              </w:rPr>
              <w:t>Subdirectora</w:t>
            </w:r>
            <w:r w:rsidRPr="009E0887">
              <w:rPr>
                <w:rFonts w:ascii="Verdana" w:eastAsia="Calibri" w:hAnsi="Verdana" w:cs="Arial"/>
                <w:sz w:val="16"/>
                <w:szCs w:val="16"/>
                <w:lang w:val="pt-BR" w:eastAsia="es-ES"/>
              </w:rPr>
              <w:t xml:space="preserve"> de Gestión Contratual ANCP – CCE</w:t>
            </w:r>
          </w:p>
        </w:tc>
      </w:tr>
      <w:bookmarkEnd w:id="1"/>
      <w:bookmarkEnd w:id="2"/>
    </w:tbl>
    <w:p w14:paraId="76DF1197" w14:textId="77777777" w:rsidR="00780961" w:rsidRPr="009E0887" w:rsidRDefault="00780961" w:rsidP="00780961">
      <w:pPr>
        <w:spacing w:after="0"/>
        <w:rPr>
          <w:rFonts w:ascii="Verdana" w:hAnsi="Verdana"/>
        </w:rPr>
      </w:pPr>
    </w:p>
    <w:p w14:paraId="66B2D805" w14:textId="77777777" w:rsidR="00780961" w:rsidRPr="009E0887" w:rsidRDefault="00780961" w:rsidP="00780961">
      <w:pPr>
        <w:spacing w:after="0" w:line="240" w:lineRule="auto"/>
        <w:textAlignment w:val="baseline"/>
        <w:rPr>
          <w:rFonts w:ascii="Verdana" w:eastAsia="Times New Roman" w:hAnsi="Verdana" w:cs="Segoe UI"/>
          <w:b/>
          <w:bCs/>
          <w:color w:val="46589C"/>
          <w:lang w:val="es-ES" w:eastAsia="es-CO"/>
        </w:rPr>
      </w:pPr>
    </w:p>
    <w:p w14:paraId="71450DB7" w14:textId="77777777" w:rsidR="00322A85" w:rsidRPr="009E0887" w:rsidRDefault="00322A85" w:rsidP="00E245AB">
      <w:pPr>
        <w:spacing w:after="0"/>
        <w:jc w:val="both"/>
        <w:rPr>
          <w:rStyle w:val="Hipervnculo"/>
          <w:rFonts w:ascii="Verdana" w:hAnsi="Verdana"/>
        </w:rPr>
      </w:pPr>
    </w:p>
    <w:p w14:paraId="48A1EFE8" w14:textId="77777777" w:rsidR="002707A2" w:rsidRPr="009E0887" w:rsidRDefault="002707A2" w:rsidP="00E245AB">
      <w:pPr>
        <w:spacing w:after="0"/>
        <w:jc w:val="both"/>
        <w:rPr>
          <w:rStyle w:val="Hipervnculo"/>
          <w:rFonts w:ascii="Verdana" w:hAnsi="Verdana"/>
        </w:rPr>
      </w:pPr>
    </w:p>
    <w:p w14:paraId="58AE2BA8" w14:textId="77777777" w:rsidR="002707A2" w:rsidRPr="009E0887" w:rsidRDefault="002707A2" w:rsidP="00E245AB">
      <w:pPr>
        <w:spacing w:after="0"/>
        <w:jc w:val="both"/>
        <w:rPr>
          <w:rStyle w:val="Hipervnculo"/>
          <w:rFonts w:ascii="Verdana" w:hAnsi="Verdana"/>
        </w:rPr>
      </w:pPr>
    </w:p>
    <w:p w14:paraId="62357DF3" w14:textId="77777777" w:rsidR="002707A2" w:rsidRPr="009E0887" w:rsidRDefault="002707A2" w:rsidP="00E245AB">
      <w:pPr>
        <w:spacing w:after="0"/>
        <w:jc w:val="both"/>
        <w:rPr>
          <w:rStyle w:val="Hipervnculo"/>
          <w:rFonts w:ascii="Verdana" w:hAnsi="Verdana"/>
        </w:rPr>
      </w:pPr>
    </w:p>
    <w:p w14:paraId="114031B5" w14:textId="77777777" w:rsidR="002707A2" w:rsidRPr="009E0887" w:rsidRDefault="002707A2" w:rsidP="00E245AB">
      <w:pPr>
        <w:spacing w:after="0"/>
        <w:jc w:val="both"/>
        <w:rPr>
          <w:rStyle w:val="Hipervnculo"/>
          <w:rFonts w:ascii="Verdana" w:hAnsi="Verdana"/>
        </w:rPr>
      </w:pPr>
    </w:p>
    <w:p w14:paraId="70F795F3" w14:textId="77777777" w:rsidR="002707A2" w:rsidRPr="009E0887" w:rsidRDefault="002707A2" w:rsidP="00E245AB">
      <w:pPr>
        <w:spacing w:after="0"/>
        <w:jc w:val="both"/>
        <w:rPr>
          <w:rStyle w:val="Hipervnculo"/>
          <w:rFonts w:ascii="Verdana" w:hAnsi="Verdana"/>
        </w:rPr>
      </w:pPr>
    </w:p>
    <w:p w14:paraId="6FAF0BCA" w14:textId="77777777" w:rsidR="002707A2" w:rsidRPr="009E0887" w:rsidRDefault="002707A2" w:rsidP="00E245AB">
      <w:pPr>
        <w:spacing w:after="0"/>
        <w:jc w:val="both"/>
        <w:rPr>
          <w:rStyle w:val="Hipervnculo"/>
          <w:rFonts w:ascii="Verdana" w:hAnsi="Verdana"/>
        </w:rPr>
      </w:pPr>
    </w:p>
    <w:p w14:paraId="67DD3F8C" w14:textId="77777777" w:rsidR="002707A2" w:rsidRPr="009E0887" w:rsidRDefault="002707A2" w:rsidP="00E245AB">
      <w:pPr>
        <w:spacing w:after="0"/>
        <w:jc w:val="both"/>
        <w:rPr>
          <w:rStyle w:val="Hipervnculo"/>
          <w:rFonts w:ascii="Verdana" w:hAnsi="Verdana"/>
        </w:rPr>
      </w:pPr>
    </w:p>
    <w:bookmarkEnd w:id="0"/>
    <w:p w14:paraId="3900974D" w14:textId="77777777" w:rsidR="003D5B0D" w:rsidRPr="009E0887"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9E0887"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3A582" w14:textId="77777777" w:rsidR="000060D2" w:rsidRDefault="000060D2" w:rsidP="004A1847">
      <w:pPr>
        <w:spacing w:after="0" w:line="240" w:lineRule="auto"/>
      </w:pPr>
      <w:r>
        <w:separator/>
      </w:r>
    </w:p>
  </w:endnote>
  <w:endnote w:type="continuationSeparator" w:id="0">
    <w:p w14:paraId="390024D4" w14:textId="77777777" w:rsidR="000060D2" w:rsidRDefault="000060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4570A" w14:textId="77777777" w:rsidR="000060D2" w:rsidRDefault="000060D2" w:rsidP="004A1847">
      <w:pPr>
        <w:spacing w:after="0" w:line="240" w:lineRule="auto"/>
      </w:pPr>
      <w:r>
        <w:separator/>
      </w:r>
    </w:p>
  </w:footnote>
  <w:footnote w:type="continuationSeparator" w:id="0">
    <w:p w14:paraId="0EFF5A7A" w14:textId="77777777" w:rsidR="000060D2" w:rsidRDefault="000060D2" w:rsidP="004A1847">
      <w:pPr>
        <w:spacing w:after="0" w:line="240" w:lineRule="auto"/>
      </w:pPr>
      <w:r>
        <w:continuationSeparator/>
      </w:r>
    </w:p>
  </w:footnote>
  <w:footnote w:id="1">
    <w:p w14:paraId="105BDA0E" w14:textId="77777777" w:rsidR="00AD6B0A" w:rsidRPr="007716E6" w:rsidRDefault="00AD6B0A" w:rsidP="00AD6B0A">
      <w:pPr>
        <w:pStyle w:val="Textonotapie"/>
        <w:ind w:firstLine="708"/>
        <w:contextualSpacing/>
        <w:jc w:val="both"/>
        <w:rPr>
          <w:rFonts w:ascii="Century Gothic" w:hAnsi="Century Gothic" w:cs="Arial"/>
          <w:sz w:val="18"/>
          <w:szCs w:val="18"/>
          <w:lang w:val="es-CO"/>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sidRPr="007716E6">
        <w:rPr>
          <w:rFonts w:ascii="Century Gothic" w:hAnsi="Century Gothic" w:cs="Arial"/>
          <w:sz w:val="18"/>
          <w:szCs w:val="18"/>
          <w:lang w:val="es-CO"/>
        </w:rPr>
        <w:t xml:space="preserve">CLARO SOLAR, Luis. Explicaciones de derecho civil chileno y comparado. Tomo Décimo – Obligaciones y contratos 1. Santiago de Chile, Nascimiento, 1936. </w:t>
      </w:r>
    </w:p>
    <w:p w14:paraId="2EC90289" w14:textId="77777777" w:rsidR="00AD6B0A" w:rsidRPr="007716E6" w:rsidRDefault="00AD6B0A" w:rsidP="00AD6B0A">
      <w:pPr>
        <w:pStyle w:val="Textonotapie"/>
        <w:contextualSpacing/>
        <w:jc w:val="both"/>
        <w:rPr>
          <w:rFonts w:ascii="Century Gothic" w:hAnsi="Century Gothic" w:cs="Arial"/>
          <w:sz w:val="18"/>
          <w:szCs w:val="18"/>
          <w:lang w:val="es-ES_tradnl"/>
        </w:rPr>
      </w:pPr>
    </w:p>
  </w:footnote>
  <w:footnote w:id="2">
    <w:p w14:paraId="70730521" w14:textId="77777777" w:rsidR="00AD6B0A" w:rsidRPr="007716E6" w:rsidRDefault="00AD6B0A" w:rsidP="00AD6B0A">
      <w:pPr>
        <w:pStyle w:val="Textoindependiente"/>
        <w:spacing w:after="0" w:line="240" w:lineRule="auto"/>
        <w:ind w:firstLine="708"/>
        <w:contextualSpacing/>
        <w:jc w:val="both"/>
        <w:rPr>
          <w:rFonts w:ascii="Century Gothic" w:hAnsi="Century Gothic" w:cs="Arial"/>
          <w:color w:val="000000" w:themeColor="text1"/>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Pr>
          <w:rFonts w:ascii="Century Gothic" w:hAnsi="Century Gothic" w:cs="Arial"/>
          <w:sz w:val="18"/>
          <w:szCs w:val="18"/>
        </w:rPr>
        <w:t>“</w:t>
      </w:r>
      <w:r w:rsidRPr="007716E6">
        <w:rPr>
          <w:rFonts w:ascii="Century Gothic" w:hAnsi="Century Gothic" w:cs="Arial"/>
          <w:sz w:val="18"/>
          <w:szCs w:val="18"/>
        </w:rPr>
        <w:t>[</w:t>
      </w:r>
      <w:r w:rsidRPr="007716E6">
        <w:rPr>
          <w:rFonts w:ascii="Century Gothic" w:hAnsi="Century Gothic" w:cs="Arial"/>
          <w:color w:val="000000" w:themeColor="text1"/>
          <w:sz w:val="18"/>
          <w:szCs w:val="18"/>
        </w:rPr>
        <w:t>...]el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w:t>
      </w:r>
      <w:r>
        <w:rPr>
          <w:rFonts w:ascii="Century Gothic" w:hAnsi="Century Gothic" w:cs="Arial"/>
          <w:color w:val="000000" w:themeColor="text1"/>
          <w:sz w:val="18"/>
          <w:szCs w:val="18"/>
        </w:rPr>
        <w:t>”.</w:t>
      </w:r>
      <w:r w:rsidRPr="007716E6">
        <w:rPr>
          <w:rFonts w:ascii="Century Gothic" w:hAnsi="Century Gothic" w:cs="Arial"/>
          <w:color w:val="000000" w:themeColor="text1"/>
          <w:sz w:val="18"/>
          <w:szCs w:val="18"/>
        </w:rPr>
        <w:t xml:space="preserve"> (HINESTROSA, Fernando, Tratado de las Obligaciones II De las fuentes de las obligaciones: </w:t>
      </w:r>
      <w:r w:rsidRPr="007716E6">
        <w:rPr>
          <w:rFonts w:ascii="Century Gothic" w:hAnsi="Century Gothic" w:cs="Arial"/>
          <w:i/>
          <w:color w:val="000000" w:themeColor="text1"/>
          <w:sz w:val="18"/>
          <w:szCs w:val="18"/>
        </w:rPr>
        <w:t>El Negocio Jurídico</w:t>
      </w:r>
      <w:r w:rsidRPr="007716E6">
        <w:rPr>
          <w:rFonts w:ascii="Century Gothic" w:hAnsi="Century Gothic" w:cs="Arial"/>
          <w:color w:val="000000" w:themeColor="text1"/>
          <w:sz w:val="18"/>
          <w:szCs w:val="18"/>
        </w:rPr>
        <w:t>, Volumen I, Universidad Externado de Colombia, Bogotá, 2015, pág. 107).</w:t>
      </w:r>
    </w:p>
  </w:footnote>
  <w:footnote w:id="3">
    <w:p w14:paraId="0798A825" w14:textId="77777777" w:rsidR="00AD6B0A" w:rsidRPr="007716E6" w:rsidRDefault="00AD6B0A" w:rsidP="00AD6B0A">
      <w:pPr>
        <w:pStyle w:val="Textoindependiente"/>
        <w:spacing w:after="0" w:line="240" w:lineRule="auto"/>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sidRPr="007716E6">
        <w:rPr>
          <w:rFonts w:ascii="Century Gothic" w:hAnsi="Century Gothic" w:cs="Arial"/>
          <w:sz w:val="18"/>
          <w:szCs w:val="18"/>
          <w:lang w:val="es-ES_tradnl"/>
        </w:rPr>
        <w:t xml:space="preserve">El artículo 2º define, para los efectos del ámbito de sujeción del estatuto, que se denominan entidades estatales: a) </w:t>
      </w:r>
      <w:r w:rsidRPr="007716E6">
        <w:rPr>
          <w:rFonts w:ascii="Century Gothic" w:hAnsi="Century Gothic" w:cs="Arial"/>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06774F50" w14:textId="77777777" w:rsidR="00AD6B0A" w:rsidRPr="007716E6" w:rsidRDefault="00AD6B0A" w:rsidP="00AD6B0A">
      <w:pPr>
        <w:pStyle w:val="Textoindependiente"/>
        <w:spacing w:after="0" w:line="240" w:lineRule="auto"/>
        <w:contextualSpacing/>
        <w:jc w:val="both"/>
        <w:rPr>
          <w:rFonts w:ascii="Century Gothic" w:hAnsi="Century Gothic" w:cs="Arial"/>
          <w:sz w:val="18"/>
          <w:szCs w:val="18"/>
        </w:rPr>
      </w:pPr>
    </w:p>
  </w:footnote>
  <w:footnote w:id="4">
    <w:p w14:paraId="2A2A688F" w14:textId="77777777" w:rsidR="00AD6B0A" w:rsidRDefault="00AD6B0A" w:rsidP="00AD6B0A">
      <w:pPr>
        <w:pStyle w:val="Textonotapie"/>
        <w:ind w:firstLine="720"/>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Estado. Sección Tercera. Sentencia del 4 de abril de 2002, M.P. Alier E. Hernández Enríquez. Rad. 1999-0290-01 (17.244).</w:t>
      </w:r>
    </w:p>
    <w:p w14:paraId="37FA0E24" w14:textId="77777777" w:rsidR="00AD6B0A" w:rsidRPr="007716E6" w:rsidRDefault="00AD6B0A" w:rsidP="00AD6B0A">
      <w:pPr>
        <w:pStyle w:val="Textonotapie"/>
        <w:ind w:firstLine="720"/>
        <w:contextualSpacing/>
        <w:jc w:val="both"/>
        <w:rPr>
          <w:rFonts w:ascii="Century Gothic" w:hAnsi="Century Gothic" w:cs="Arial"/>
          <w:sz w:val="18"/>
          <w:szCs w:val="18"/>
        </w:rPr>
      </w:pPr>
    </w:p>
  </w:footnote>
  <w:footnote w:id="5">
    <w:p w14:paraId="7D547615" w14:textId="77777777" w:rsidR="00AD6B0A" w:rsidRPr="007716E6" w:rsidRDefault="00AD6B0A" w:rsidP="00AD6B0A">
      <w:pPr>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ESTADO,  Sección Tercera. Sentencia de 23 de septiembre de 1997, Rad. S-701.</w:t>
      </w:r>
    </w:p>
    <w:p w14:paraId="2C42F67F" w14:textId="77777777" w:rsidR="00AD6B0A" w:rsidRPr="007716E6" w:rsidRDefault="00AD6B0A" w:rsidP="00AD6B0A">
      <w:pPr>
        <w:ind w:firstLine="707"/>
        <w:contextualSpacing/>
        <w:jc w:val="both"/>
        <w:rPr>
          <w:rFonts w:ascii="Century Gothic" w:hAnsi="Century Gothic" w:cs="Arial"/>
          <w:sz w:val="18"/>
          <w:szCs w:val="18"/>
        </w:rPr>
      </w:pPr>
    </w:p>
  </w:footnote>
  <w:footnote w:id="6">
    <w:p w14:paraId="4EDC05E0" w14:textId="77777777" w:rsidR="002F56ED" w:rsidRPr="007716E6" w:rsidRDefault="002F56ED" w:rsidP="002F56ED">
      <w:pPr>
        <w:ind w:firstLine="708"/>
        <w:contextualSpacing/>
        <w:jc w:val="both"/>
        <w:rPr>
          <w:rFonts w:ascii="Century Gothic" w:hAnsi="Century Gothic" w:cs="Arial"/>
          <w:color w:val="000000" w:themeColor="text1"/>
          <w:sz w:val="18"/>
          <w:szCs w:val="18"/>
          <w:lang w:val="es-ES"/>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80 de 1993. </w:t>
      </w:r>
      <w:r>
        <w:rPr>
          <w:rFonts w:ascii="Century Gothic" w:hAnsi="Century Gothic" w:cs="Arial"/>
          <w:sz w:val="18"/>
          <w:szCs w:val="18"/>
        </w:rPr>
        <w:t>“</w:t>
      </w:r>
      <w:r w:rsidRPr="007716E6">
        <w:rPr>
          <w:rFonts w:ascii="Century Gothic" w:hAnsi="Century Gothic" w:cs="Arial"/>
          <w:color w:val="000000" w:themeColor="text1"/>
          <w:sz w:val="18"/>
          <w:szCs w:val="18"/>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r>
        <w:rPr>
          <w:rFonts w:ascii="Century Gothic" w:hAnsi="Century Gothic" w:cs="Arial"/>
          <w:color w:val="000000" w:themeColor="text1"/>
          <w:sz w:val="18"/>
          <w:szCs w:val="18"/>
          <w:lang w:val="es-ES"/>
        </w:rPr>
        <w:t xml:space="preserve"> […]”.</w:t>
      </w:r>
    </w:p>
    <w:p w14:paraId="69DA49B3" w14:textId="77777777" w:rsidR="002F56ED" w:rsidRPr="007716E6" w:rsidRDefault="002F56ED" w:rsidP="002F56ED">
      <w:pPr>
        <w:pStyle w:val="Textonotapie"/>
        <w:contextualSpacing/>
        <w:jc w:val="both"/>
        <w:rPr>
          <w:rFonts w:ascii="Century Gothic" w:hAnsi="Century Gothic"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E45"/>
    <w:rsid w:val="000060D2"/>
    <w:rsid w:val="00016F78"/>
    <w:rsid w:val="00023091"/>
    <w:rsid w:val="00046945"/>
    <w:rsid w:val="00061B2A"/>
    <w:rsid w:val="00082362"/>
    <w:rsid w:val="000A683E"/>
    <w:rsid w:val="000B19B9"/>
    <w:rsid w:val="000D0334"/>
    <w:rsid w:val="000F6486"/>
    <w:rsid w:val="00123E11"/>
    <w:rsid w:val="00125105"/>
    <w:rsid w:val="00127233"/>
    <w:rsid w:val="00137A3C"/>
    <w:rsid w:val="001511A0"/>
    <w:rsid w:val="001537C3"/>
    <w:rsid w:val="001868D1"/>
    <w:rsid w:val="001B311E"/>
    <w:rsid w:val="001E273A"/>
    <w:rsid w:val="001E4177"/>
    <w:rsid w:val="001E5D7E"/>
    <w:rsid w:val="001F7DC6"/>
    <w:rsid w:val="002364E7"/>
    <w:rsid w:val="002421BB"/>
    <w:rsid w:val="0025796E"/>
    <w:rsid w:val="002707A2"/>
    <w:rsid w:val="00271E8D"/>
    <w:rsid w:val="00280722"/>
    <w:rsid w:val="002951A0"/>
    <w:rsid w:val="002962BC"/>
    <w:rsid w:val="002A093D"/>
    <w:rsid w:val="002A0DD0"/>
    <w:rsid w:val="002A49AC"/>
    <w:rsid w:val="002A64FD"/>
    <w:rsid w:val="002B7615"/>
    <w:rsid w:val="002C2FBA"/>
    <w:rsid w:val="002C7A84"/>
    <w:rsid w:val="002E4FD9"/>
    <w:rsid w:val="002F56ED"/>
    <w:rsid w:val="0030018C"/>
    <w:rsid w:val="00312092"/>
    <w:rsid w:val="00316B8E"/>
    <w:rsid w:val="00322A85"/>
    <w:rsid w:val="00324168"/>
    <w:rsid w:val="003448F4"/>
    <w:rsid w:val="00352289"/>
    <w:rsid w:val="003736B4"/>
    <w:rsid w:val="00374F5E"/>
    <w:rsid w:val="00377E3E"/>
    <w:rsid w:val="003A779E"/>
    <w:rsid w:val="003D0F4D"/>
    <w:rsid w:val="003D5B0D"/>
    <w:rsid w:val="003E0499"/>
    <w:rsid w:val="003F3941"/>
    <w:rsid w:val="00406575"/>
    <w:rsid w:val="00414C74"/>
    <w:rsid w:val="0042722E"/>
    <w:rsid w:val="00427FB6"/>
    <w:rsid w:val="0044528D"/>
    <w:rsid w:val="004657FB"/>
    <w:rsid w:val="004A1847"/>
    <w:rsid w:val="004A305D"/>
    <w:rsid w:val="004B0EB2"/>
    <w:rsid w:val="004D2C01"/>
    <w:rsid w:val="004F21C4"/>
    <w:rsid w:val="004F685F"/>
    <w:rsid w:val="00510FE7"/>
    <w:rsid w:val="005566E8"/>
    <w:rsid w:val="00574867"/>
    <w:rsid w:val="00591460"/>
    <w:rsid w:val="005976BA"/>
    <w:rsid w:val="005B3816"/>
    <w:rsid w:val="005C3777"/>
    <w:rsid w:val="005C5CDC"/>
    <w:rsid w:val="005D476C"/>
    <w:rsid w:val="005F0423"/>
    <w:rsid w:val="00606910"/>
    <w:rsid w:val="006219F8"/>
    <w:rsid w:val="006552BB"/>
    <w:rsid w:val="00665D70"/>
    <w:rsid w:val="00676C49"/>
    <w:rsid w:val="006900D9"/>
    <w:rsid w:val="006A0A13"/>
    <w:rsid w:val="006E041F"/>
    <w:rsid w:val="00706C16"/>
    <w:rsid w:val="00710CE8"/>
    <w:rsid w:val="0072791F"/>
    <w:rsid w:val="00756841"/>
    <w:rsid w:val="007649AB"/>
    <w:rsid w:val="00771D0C"/>
    <w:rsid w:val="00780961"/>
    <w:rsid w:val="007833AC"/>
    <w:rsid w:val="007B268C"/>
    <w:rsid w:val="007B315A"/>
    <w:rsid w:val="007B7171"/>
    <w:rsid w:val="007C0C0F"/>
    <w:rsid w:val="007C285B"/>
    <w:rsid w:val="007C3DC2"/>
    <w:rsid w:val="007E5497"/>
    <w:rsid w:val="00806F5F"/>
    <w:rsid w:val="00820278"/>
    <w:rsid w:val="00867F95"/>
    <w:rsid w:val="00880F46"/>
    <w:rsid w:val="008843B6"/>
    <w:rsid w:val="00891928"/>
    <w:rsid w:val="008969FE"/>
    <w:rsid w:val="008A446D"/>
    <w:rsid w:val="008A7002"/>
    <w:rsid w:val="008D180B"/>
    <w:rsid w:val="008D4E73"/>
    <w:rsid w:val="008E571B"/>
    <w:rsid w:val="008F0EA7"/>
    <w:rsid w:val="00923EEF"/>
    <w:rsid w:val="009419F9"/>
    <w:rsid w:val="00955654"/>
    <w:rsid w:val="0095685E"/>
    <w:rsid w:val="00961B09"/>
    <w:rsid w:val="00965334"/>
    <w:rsid w:val="0097093E"/>
    <w:rsid w:val="00986AC5"/>
    <w:rsid w:val="009A0DFA"/>
    <w:rsid w:val="009B2D26"/>
    <w:rsid w:val="009C71FA"/>
    <w:rsid w:val="009C72E7"/>
    <w:rsid w:val="009D3058"/>
    <w:rsid w:val="009E0887"/>
    <w:rsid w:val="009E5836"/>
    <w:rsid w:val="009F3A13"/>
    <w:rsid w:val="00A122D3"/>
    <w:rsid w:val="00A17F13"/>
    <w:rsid w:val="00A20739"/>
    <w:rsid w:val="00A33C78"/>
    <w:rsid w:val="00A345DB"/>
    <w:rsid w:val="00A44D23"/>
    <w:rsid w:val="00AA4215"/>
    <w:rsid w:val="00AB0ADB"/>
    <w:rsid w:val="00AB13AB"/>
    <w:rsid w:val="00AD04FD"/>
    <w:rsid w:val="00AD32F9"/>
    <w:rsid w:val="00AD3753"/>
    <w:rsid w:val="00AD6B0A"/>
    <w:rsid w:val="00AF0723"/>
    <w:rsid w:val="00B01B1A"/>
    <w:rsid w:val="00B62C95"/>
    <w:rsid w:val="00B634D4"/>
    <w:rsid w:val="00B66319"/>
    <w:rsid w:val="00B72CD3"/>
    <w:rsid w:val="00B72FFF"/>
    <w:rsid w:val="00BB5F70"/>
    <w:rsid w:val="00BC3D36"/>
    <w:rsid w:val="00BD7F22"/>
    <w:rsid w:val="00BD7F72"/>
    <w:rsid w:val="00C04FB3"/>
    <w:rsid w:val="00C278E6"/>
    <w:rsid w:val="00C330EB"/>
    <w:rsid w:val="00C41061"/>
    <w:rsid w:val="00C53251"/>
    <w:rsid w:val="00C754BE"/>
    <w:rsid w:val="00C76B1C"/>
    <w:rsid w:val="00C837A3"/>
    <w:rsid w:val="00C841A5"/>
    <w:rsid w:val="00C92374"/>
    <w:rsid w:val="00CB6357"/>
    <w:rsid w:val="00CC1B26"/>
    <w:rsid w:val="00D14B03"/>
    <w:rsid w:val="00D15D29"/>
    <w:rsid w:val="00D423A2"/>
    <w:rsid w:val="00D520D8"/>
    <w:rsid w:val="00D63AC2"/>
    <w:rsid w:val="00D7383B"/>
    <w:rsid w:val="00D7715B"/>
    <w:rsid w:val="00DA231B"/>
    <w:rsid w:val="00DA3240"/>
    <w:rsid w:val="00DC39FC"/>
    <w:rsid w:val="00DF5254"/>
    <w:rsid w:val="00E16408"/>
    <w:rsid w:val="00E20894"/>
    <w:rsid w:val="00E245AB"/>
    <w:rsid w:val="00E2764C"/>
    <w:rsid w:val="00E27F2E"/>
    <w:rsid w:val="00E50AFE"/>
    <w:rsid w:val="00E578A1"/>
    <w:rsid w:val="00E64DDE"/>
    <w:rsid w:val="00E75C92"/>
    <w:rsid w:val="00E771DC"/>
    <w:rsid w:val="00E8772A"/>
    <w:rsid w:val="00E90F6B"/>
    <w:rsid w:val="00E92C27"/>
    <w:rsid w:val="00E93433"/>
    <w:rsid w:val="00E94181"/>
    <w:rsid w:val="00EA0E3D"/>
    <w:rsid w:val="00EC38A7"/>
    <w:rsid w:val="00ED7384"/>
    <w:rsid w:val="00EE1AA8"/>
    <w:rsid w:val="00F20DC1"/>
    <w:rsid w:val="00F31EDC"/>
    <w:rsid w:val="00F338D4"/>
    <w:rsid w:val="00F462B3"/>
    <w:rsid w:val="00F5664F"/>
    <w:rsid w:val="00F666C4"/>
    <w:rsid w:val="00F76AFC"/>
    <w:rsid w:val="00F87C6C"/>
    <w:rsid w:val="00FA47C0"/>
    <w:rsid w:val="00FB5DD1"/>
    <w:rsid w:val="00FC1C7E"/>
    <w:rsid w:val="00FC2B5D"/>
    <w:rsid w:val="00FD531E"/>
    <w:rsid w:val="00FF1449"/>
    <w:rsid w:val="10776ABC"/>
    <w:rsid w:val="699510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DD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80961"/>
    <w:rPr>
      <w:rFonts w:ascii="Geomanist Light" w:hAnsi="Geomanist Light"/>
      <w:lang w:val="es-ES"/>
    </w:rPr>
  </w:style>
  <w:style w:type="paragraph" w:customStyle="1" w:styleId="Appelnotedebasde">
    <w:name w:val="Appel note de bas de..."/>
    <w:basedOn w:val="Normal"/>
    <w:link w:val="Refdenotaalpie"/>
    <w:uiPriority w:val="99"/>
    <w:rsid w:val="00AD6B0A"/>
    <w:pPr>
      <w:spacing w:line="240" w:lineRule="exact"/>
    </w:pPr>
    <w:rPr>
      <w:vertAlign w:val="superscript"/>
    </w:rPr>
  </w:style>
  <w:style w:type="paragraph" w:styleId="Textoindependiente">
    <w:name w:val="Body Text"/>
    <w:basedOn w:val="Normal"/>
    <w:link w:val="TextoindependienteCar"/>
    <w:uiPriority w:val="99"/>
    <w:semiHidden/>
    <w:unhideWhenUsed/>
    <w:rsid w:val="00AD6B0A"/>
    <w:pPr>
      <w:spacing w:after="120"/>
    </w:pPr>
  </w:style>
  <w:style w:type="character" w:customStyle="1" w:styleId="TextoindependienteCar">
    <w:name w:val="Texto independiente Car"/>
    <w:basedOn w:val="Fuentedeprrafopredeter"/>
    <w:link w:val="Textoindependiente"/>
    <w:uiPriority w:val="99"/>
    <w:semiHidden/>
    <w:rsid w:val="00AD6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sonomar42@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ABCB934-E2DC-4FF7-A178-49A24793D71B}"/>
</file>

<file path=docProps/app.xml><?xml version="1.0" encoding="utf-8"?>
<Properties xmlns="http://schemas.openxmlformats.org/officeDocument/2006/extended-properties" xmlns:vt="http://schemas.openxmlformats.org/officeDocument/2006/docPropsVTypes">
  <Template>Normal</Template>
  <TotalTime>21</TotalTime>
  <Pages>13</Pages>
  <Words>4010</Words>
  <Characters>22055</Characters>
  <Application>Microsoft Office Word</Application>
  <DocSecurity>0</DocSecurity>
  <Lines>183</Lines>
  <Paragraphs>52</Paragraphs>
  <ScaleCrop>false</ScaleCrop>
  <Company/>
  <LinksUpToDate>false</LinksUpToDate>
  <CharactersWithSpaces>26013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4</cp:revision>
  <cp:lastPrinted>2023-01-10T21:18:00Z</cp:lastPrinted>
  <dcterms:created xsi:type="dcterms:W3CDTF">2025-05-19T14:01:00Z</dcterms:created>
  <dcterms:modified xsi:type="dcterms:W3CDTF">2025-05-19T15:13:00Z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