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A4BBE89" w:rsidR="0034177C" w:rsidRPr="00A13B56" w:rsidRDefault="0034177C" w:rsidP="0034177C">
      <w:pPr>
        <w:jc w:val="right"/>
        <w:rPr>
          <w:rFonts w:ascii="Arial" w:hAnsi="Arial" w:cs="Arial"/>
          <w:b/>
          <w:sz w:val="16"/>
          <w:szCs w:val="16"/>
          <w:lang w:eastAsia="es-ES"/>
        </w:rPr>
      </w:pPr>
      <w:bookmarkStart w:id="0" w:name="_Hlk28946138"/>
      <w:bookmarkStart w:id="1" w:name="_Hlk29548183"/>
      <w:r w:rsidRPr="00A13B56">
        <w:rPr>
          <w:rFonts w:ascii="Arial" w:hAnsi="Arial" w:cs="Arial"/>
          <w:b/>
          <w:sz w:val="16"/>
          <w:szCs w:val="16"/>
          <w:lang w:eastAsia="es-ES"/>
        </w:rPr>
        <w:t>CCE-DES-FM-17</w:t>
      </w:r>
    </w:p>
    <w:p w14:paraId="09322786" w14:textId="77777777" w:rsidR="00616E0E" w:rsidRPr="00A13B56" w:rsidRDefault="00616E0E" w:rsidP="00FD029B">
      <w:pPr>
        <w:jc w:val="both"/>
        <w:rPr>
          <w:rFonts w:ascii="Arial" w:eastAsia="Calibri" w:hAnsi="Arial" w:cs="Arial"/>
          <w:b/>
          <w:sz w:val="16"/>
          <w:szCs w:val="16"/>
        </w:rPr>
      </w:pPr>
    </w:p>
    <w:p w14:paraId="121E90A4" w14:textId="00D5D181" w:rsidR="007F6B46" w:rsidRPr="00D03D82" w:rsidRDefault="1E750D70" w:rsidP="6D569CFA">
      <w:pPr>
        <w:jc w:val="both"/>
        <w:rPr>
          <w:rFonts w:ascii="Arial" w:eastAsia="Calibri" w:hAnsi="Arial" w:cs="Arial"/>
          <w:b/>
          <w:bCs/>
          <w:sz w:val="22"/>
        </w:rPr>
      </w:pPr>
      <w:r w:rsidRPr="6D569CFA">
        <w:rPr>
          <w:rFonts w:ascii="Arial" w:eastAsia="Calibri" w:hAnsi="Arial" w:cs="Arial"/>
          <w:b/>
          <w:bCs/>
          <w:sz w:val="22"/>
        </w:rPr>
        <w:t>DOCUMENT</w:t>
      </w:r>
      <w:r w:rsidR="00D22A7C" w:rsidRPr="6D569CFA">
        <w:rPr>
          <w:rFonts w:ascii="Arial" w:eastAsia="Calibri" w:hAnsi="Arial" w:cs="Arial"/>
          <w:b/>
          <w:bCs/>
          <w:sz w:val="22"/>
        </w:rPr>
        <w:t>OS TIPO</w:t>
      </w:r>
      <w:r w:rsidR="007F6B46" w:rsidRPr="6D569CFA">
        <w:rPr>
          <w:rFonts w:ascii="Arial" w:eastAsia="Calibri" w:hAnsi="Arial" w:cs="Arial"/>
          <w:b/>
          <w:bCs/>
          <w:sz w:val="22"/>
        </w:rPr>
        <w:t xml:space="preserve"> –</w:t>
      </w:r>
      <w:r w:rsidR="00D22A7C" w:rsidRPr="6D569CFA">
        <w:rPr>
          <w:rFonts w:ascii="Arial" w:eastAsia="Calibri" w:hAnsi="Arial" w:cs="Arial"/>
          <w:b/>
          <w:bCs/>
          <w:sz w:val="22"/>
        </w:rPr>
        <w:t xml:space="preserve"> Obligatoriedad</w:t>
      </w:r>
      <w:r w:rsidR="00EA619C" w:rsidRPr="6D569CFA">
        <w:rPr>
          <w:rFonts w:ascii="Arial" w:eastAsia="Calibri" w:hAnsi="Arial" w:cs="Arial"/>
          <w:b/>
          <w:bCs/>
          <w:sz w:val="22"/>
        </w:rPr>
        <w:t xml:space="preserve"> – Implementación</w:t>
      </w:r>
    </w:p>
    <w:p w14:paraId="399F8D04" w14:textId="77777777" w:rsidR="007F6B46" w:rsidRPr="00D03D82" w:rsidRDefault="007F6B46" w:rsidP="00FD029B">
      <w:pPr>
        <w:jc w:val="both"/>
        <w:rPr>
          <w:rFonts w:ascii="Arial" w:hAnsi="Arial" w:cs="Arial"/>
          <w:sz w:val="20"/>
          <w:szCs w:val="20"/>
        </w:rPr>
      </w:pPr>
    </w:p>
    <w:p w14:paraId="3BF76EB8" w14:textId="77777777" w:rsidR="00EA619C" w:rsidRPr="00EA619C" w:rsidRDefault="00EA619C" w:rsidP="00EA619C">
      <w:pPr>
        <w:spacing w:after="120"/>
        <w:jc w:val="both"/>
        <w:rPr>
          <w:rFonts w:ascii="Arial" w:eastAsia="Calibri" w:hAnsi="Arial" w:cs="Arial"/>
          <w:sz w:val="20"/>
          <w:szCs w:val="20"/>
        </w:rPr>
      </w:pPr>
      <w:r w:rsidRPr="00EA619C">
        <w:rPr>
          <w:rFonts w:ascii="Arial" w:eastAsia="Calibri" w:hAnsi="Arial" w:cs="Arial"/>
          <w:sz w:val="20"/>
          <w:szCs w:val="20"/>
        </w:rPr>
        <w:t xml:space="preserve">El desarrollo e implementación de estos Documentos Tipo fue encomendado a la Agencia Nacional de Contratación Pública – Colombia Compra Eficiente en coordinación con el Ministerio de Transporte y el Departamento Nacional de Planeación. La Agencia ejerció esta competencia expidiendo la Resolución No. 1798 de 2019, referida a procesos de licitación pública –Versión 1–, la cual fue actualizada por la Resolución No. 045 de 2020 –Versión 2–-.  Así mismo se expidieron la Resolución No. 044 de 2020 que implementó los Documentos Tipo para la modalidad de selección abreviada de menor cuantía, y la Resolución No. 094 de 2020, que se hizo lo propio respecto de la modalidad de mínima cuantía. </w:t>
      </w:r>
    </w:p>
    <w:p w14:paraId="13051ED6" w14:textId="0DF62CEC" w:rsidR="00D22A7C" w:rsidRDefault="00EA619C" w:rsidP="00EA619C">
      <w:pPr>
        <w:jc w:val="both"/>
        <w:rPr>
          <w:rFonts w:ascii="Arial" w:eastAsia="Calibri" w:hAnsi="Arial" w:cs="Arial"/>
          <w:sz w:val="20"/>
          <w:szCs w:val="20"/>
        </w:rPr>
      </w:pPr>
      <w:r w:rsidRPr="00EA619C">
        <w:rPr>
          <w:rFonts w:ascii="Arial" w:eastAsia="Calibri" w:hAnsi="Arial" w:cs="Arial"/>
          <w:sz w:val="20"/>
          <w:szCs w:val="20"/>
        </w:rPr>
        <w:t xml:space="preserve">Estos documentos contienen parámetros de obligatoria observancia para las entidades estatales regidas el régimen de contratación de la Ley 80 de 1993, que adelanten procesos de selección en las referidas modalidades para la contratación de obra pública de infraestructura de transporte. Conforme a lo anterior, y en desarrollo de lo dispuesto en el artículo 4 de la Ley 1882 de 2018, los Documentos Tipo adoptados para las referidas modalidades de selección establecieron las condiciones habilitantes aplicables, así como los factores técnicos y económicos de escogencia para los procesos de selección en los que corresponda su aplicación, los cuales son de obligatoria observancia. Estos factores además son inalterables e inmodificables por parte de las entidades a la hora de utilizar los Documentos Tipo para adelantar sus procesos de contratación de conformidad con los artículos </w:t>
      </w:r>
      <w:proofErr w:type="gramStart"/>
      <w:r w:rsidRPr="00EA619C">
        <w:rPr>
          <w:rFonts w:ascii="Arial" w:eastAsia="Calibri" w:hAnsi="Arial" w:cs="Arial"/>
          <w:sz w:val="20"/>
          <w:szCs w:val="20"/>
        </w:rPr>
        <w:t>2.2.1.2.6.1.4 ,</w:t>
      </w:r>
      <w:proofErr w:type="gramEnd"/>
      <w:r w:rsidRPr="00EA619C">
        <w:rPr>
          <w:rFonts w:ascii="Arial" w:eastAsia="Calibri" w:hAnsi="Arial" w:cs="Arial"/>
          <w:sz w:val="20"/>
          <w:szCs w:val="20"/>
        </w:rPr>
        <w:t xml:space="preserve"> 2.2.1.2.6.2.3 . y </w:t>
      </w:r>
      <w:proofErr w:type="gramStart"/>
      <w:r w:rsidRPr="00EA619C">
        <w:rPr>
          <w:rFonts w:ascii="Arial" w:eastAsia="Calibri" w:hAnsi="Arial" w:cs="Arial"/>
          <w:sz w:val="20"/>
          <w:szCs w:val="20"/>
        </w:rPr>
        <w:t>2.2.1.2.6.3.4  del</w:t>
      </w:r>
      <w:proofErr w:type="gramEnd"/>
      <w:r w:rsidRPr="00EA619C">
        <w:rPr>
          <w:rFonts w:ascii="Arial" w:eastAsia="Calibri" w:hAnsi="Arial" w:cs="Arial"/>
          <w:sz w:val="20"/>
          <w:szCs w:val="20"/>
        </w:rPr>
        <w:t xml:space="preserve"> Decreto 1082 de 2015.</w:t>
      </w:r>
    </w:p>
    <w:p w14:paraId="15D073FA" w14:textId="78FE0E11" w:rsidR="004645A1" w:rsidRPr="00D03D82" w:rsidRDefault="004645A1" w:rsidP="00EB3687">
      <w:pPr>
        <w:jc w:val="both"/>
        <w:rPr>
          <w:rFonts w:ascii="Arial" w:eastAsia="Calibri" w:hAnsi="Arial" w:cs="Arial"/>
          <w:sz w:val="20"/>
          <w:szCs w:val="20"/>
        </w:rPr>
      </w:pPr>
    </w:p>
    <w:p w14:paraId="456E909F" w14:textId="1F62FBAA" w:rsidR="004645A1" w:rsidRPr="00D03D82" w:rsidRDefault="2DD9576E" w:rsidP="6D569CFA">
      <w:pPr>
        <w:jc w:val="both"/>
        <w:rPr>
          <w:rFonts w:ascii="Arial" w:eastAsia="Calibri" w:hAnsi="Arial" w:cs="Arial"/>
          <w:b/>
          <w:bCs/>
          <w:sz w:val="22"/>
        </w:rPr>
      </w:pPr>
      <w:r w:rsidRPr="6D569CFA">
        <w:rPr>
          <w:rFonts w:ascii="Arial" w:eastAsia="Calibri" w:hAnsi="Arial" w:cs="Arial"/>
          <w:b/>
          <w:bCs/>
          <w:sz w:val="22"/>
        </w:rPr>
        <w:t>DOCUMENT</w:t>
      </w:r>
      <w:r w:rsidR="00CE6EEA" w:rsidRPr="6D569CFA">
        <w:rPr>
          <w:rFonts w:ascii="Arial" w:eastAsia="Calibri" w:hAnsi="Arial" w:cs="Arial"/>
          <w:b/>
          <w:bCs/>
          <w:sz w:val="22"/>
        </w:rPr>
        <w:t>OS TIPO – Infraestructura de transporte – Noción</w:t>
      </w:r>
    </w:p>
    <w:p w14:paraId="519BEF9B" w14:textId="42524A2D" w:rsidR="00ED066E" w:rsidRPr="00D03D82" w:rsidRDefault="00ED066E" w:rsidP="008D5926">
      <w:pPr>
        <w:jc w:val="both"/>
        <w:rPr>
          <w:rFonts w:ascii="Arial" w:eastAsia="Calibri" w:hAnsi="Arial" w:cs="Arial"/>
          <w:sz w:val="20"/>
          <w:szCs w:val="20"/>
        </w:rPr>
      </w:pPr>
    </w:p>
    <w:p w14:paraId="7300CE07" w14:textId="03192B95" w:rsidR="00CE6EEA" w:rsidRPr="00D03D82" w:rsidRDefault="00CE6EEA" w:rsidP="00CE6EEA">
      <w:pPr>
        <w:jc w:val="both"/>
        <w:rPr>
          <w:rFonts w:ascii="Arial" w:eastAsia="Calibri" w:hAnsi="Arial" w:cs="Arial"/>
          <w:sz w:val="20"/>
          <w:szCs w:val="20"/>
        </w:rPr>
      </w:pPr>
      <w:r w:rsidRPr="00D03D82">
        <w:rPr>
          <w:rFonts w:ascii="Arial" w:eastAsia="Calibri" w:hAnsi="Arial" w:cs="Arial"/>
          <w:sz w:val="20"/>
          <w:szCs w:val="20"/>
        </w:rPr>
        <w:t>La noción de infraestructura de transporte que acogen los Documentos Tipo, –sin perjuicio de la definición y características establecidas en los artículos 2 y 3</w:t>
      </w:r>
      <w:r w:rsidRPr="00D03D82">
        <w:rPr>
          <w:rFonts w:ascii="Arial" w:eastAsia="Calibri" w:hAnsi="Arial" w:cs="Arial"/>
          <w:sz w:val="20"/>
          <w:szCs w:val="20"/>
        </w:rPr>
        <w:softHyphen/>
        <w:t xml:space="preserve"> de la Ley 1682 de 2013– se encuentra definida en el numeral 1.29 del «Anexo 3 –Glosario», donde se opta por hacer un listado coincide con los tipos de obra establecidos en la Matriz 1. En ese orden, para determinar si el objeto a contratar recae sobre una infraestructura de transporte, y si en consecuencia procede la aplicación de los Documentos Tipo, se debe acudir a la Matriz 1 ─ Experiencia (en adelante Matriz 1). En ambos casos, la Matriz 1 de los Pliegos Tipo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6F10267B" w14:textId="77777777" w:rsidR="00ED066E" w:rsidRPr="00A13B56" w:rsidRDefault="00ED066E" w:rsidP="00450EB1">
      <w:pPr>
        <w:jc w:val="both"/>
        <w:rPr>
          <w:rFonts w:ascii="Arial" w:hAnsi="Arial" w:cs="Arial"/>
          <w:sz w:val="20"/>
          <w:szCs w:val="20"/>
        </w:rPr>
      </w:pPr>
    </w:p>
    <w:p w14:paraId="5182F201" w14:textId="77777777" w:rsidR="008C303E" w:rsidRPr="00A13B56" w:rsidRDefault="008C303E" w:rsidP="008C303E">
      <w:pPr>
        <w:autoSpaceDE w:val="0"/>
        <w:autoSpaceDN w:val="0"/>
        <w:adjustRightInd w:val="0"/>
        <w:rPr>
          <w:rFonts w:ascii="Arial" w:hAnsi="Arial" w:cs="Arial"/>
          <w:color w:val="000000"/>
          <w:sz w:val="20"/>
          <w:szCs w:val="20"/>
          <w:lang w:val="es-CO"/>
        </w:rPr>
      </w:pPr>
    </w:p>
    <w:p w14:paraId="278AEA47" w14:textId="281CC36C" w:rsidR="008C303E" w:rsidRPr="008C303E" w:rsidRDefault="008C303E" w:rsidP="008C303E">
      <w:pPr>
        <w:autoSpaceDE w:val="0"/>
        <w:autoSpaceDN w:val="0"/>
        <w:adjustRightInd w:val="0"/>
        <w:rPr>
          <w:rFonts w:ascii="Arial" w:hAnsi="Arial" w:cs="Arial"/>
          <w:color w:val="000000"/>
          <w:sz w:val="22"/>
          <w:lang w:val="es-CO"/>
        </w:rPr>
      </w:pPr>
      <w:r w:rsidRPr="008C303E">
        <w:rPr>
          <w:rFonts w:ascii="Arial" w:hAnsi="Arial" w:cs="Arial"/>
          <w:color w:val="000000"/>
          <w:sz w:val="22"/>
          <w:lang w:val="es-CO"/>
        </w:rPr>
        <w:t xml:space="preserve">Bogotá D.C., </w:t>
      </w:r>
      <w:r w:rsidRPr="008C303E">
        <w:rPr>
          <w:rFonts w:ascii="Arial" w:hAnsi="Arial" w:cs="Arial"/>
          <w:b/>
          <w:bCs/>
          <w:color w:val="000000"/>
          <w:sz w:val="22"/>
          <w:lang w:val="es-CO"/>
        </w:rPr>
        <w:t xml:space="preserve">27/07/2020 Hora 7:29:58s </w:t>
      </w:r>
    </w:p>
    <w:p w14:paraId="21207420" w14:textId="174A7E70" w:rsidR="00C82200" w:rsidRPr="00D03D82" w:rsidRDefault="008C303E" w:rsidP="008C303E">
      <w:pPr>
        <w:tabs>
          <w:tab w:val="left" w:pos="3374"/>
        </w:tabs>
        <w:jc w:val="right"/>
        <w:rPr>
          <w:rFonts w:ascii="Arial" w:eastAsia="Calibri" w:hAnsi="Arial" w:cs="Arial"/>
          <w:sz w:val="22"/>
        </w:rPr>
      </w:pPr>
      <w:proofErr w:type="spellStart"/>
      <w:r w:rsidRPr="008C303E">
        <w:rPr>
          <w:rFonts w:ascii="Arial" w:hAnsi="Arial" w:cs="Arial"/>
          <w:b/>
          <w:bCs/>
          <w:color w:val="000000"/>
          <w:sz w:val="22"/>
          <w:lang w:val="es-CO"/>
        </w:rPr>
        <w:t>N°</w:t>
      </w:r>
      <w:proofErr w:type="spellEnd"/>
      <w:r w:rsidRPr="008C303E">
        <w:rPr>
          <w:rFonts w:ascii="Arial" w:hAnsi="Arial" w:cs="Arial"/>
          <w:b/>
          <w:bCs/>
          <w:color w:val="000000"/>
          <w:sz w:val="22"/>
          <w:lang w:val="es-CO"/>
        </w:rPr>
        <w:t xml:space="preserve"> Radicado: 2202013000006631</w:t>
      </w:r>
    </w:p>
    <w:p w14:paraId="10C01C97" w14:textId="77777777" w:rsidR="00916212" w:rsidRDefault="00916212" w:rsidP="00D01760">
      <w:pPr>
        <w:rPr>
          <w:rFonts w:ascii="Arial" w:eastAsia="Calibri" w:hAnsi="Arial" w:cs="Arial"/>
          <w:sz w:val="22"/>
        </w:rPr>
      </w:pPr>
    </w:p>
    <w:p w14:paraId="6EEB6C0E" w14:textId="77777777" w:rsidR="00990B9C" w:rsidRDefault="00990B9C" w:rsidP="00D01760">
      <w:pPr>
        <w:rPr>
          <w:rFonts w:ascii="Arial" w:eastAsia="Calibri" w:hAnsi="Arial" w:cs="Arial"/>
          <w:sz w:val="22"/>
        </w:rPr>
      </w:pPr>
    </w:p>
    <w:p w14:paraId="2B166DFC" w14:textId="0B3AEEE5" w:rsidR="00A37FB6" w:rsidRPr="00D03D82" w:rsidRDefault="00A37FB6" w:rsidP="00D01760">
      <w:pPr>
        <w:rPr>
          <w:rFonts w:ascii="Arial" w:eastAsia="Calibri" w:hAnsi="Arial" w:cs="Arial"/>
          <w:sz w:val="22"/>
        </w:rPr>
      </w:pPr>
      <w:r w:rsidRPr="00D03D82">
        <w:rPr>
          <w:rFonts w:ascii="Arial" w:eastAsia="Calibri" w:hAnsi="Arial" w:cs="Arial"/>
          <w:sz w:val="22"/>
        </w:rPr>
        <w:t>Señor</w:t>
      </w:r>
      <w:r w:rsidR="00555B75" w:rsidRPr="00D03D82">
        <w:rPr>
          <w:rFonts w:ascii="Arial" w:eastAsia="Calibri" w:hAnsi="Arial" w:cs="Arial"/>
          <w:sz w:val="22"/>
        </w:rPr>
        <w:t>es</w:t>
      </w:r>
    </w:p>
    <w:p w14:paraId="359C48BE" w14:textId="65A1D3B5" w:rsidR="00A37FB6" w:rsidRPr="00D03D82" w:rsidRDefault="00555B75" w:rsidP="00490184">
      <w:pPr>
        <w:rPr>
          <w:rFonts w:ascii="Arial" w:eastAsia="Calibri" w:hAnsi="Arial" w:cs="Arial"/>
          <w:b/>
          <w:sz w:val="22"/>
        </w:rPr>
      </w:pPr>
      <w:r w:rsidRPr="00D03D82">
        <w:rPr>
          <w:rFonts w:ascii="Arial" w:eastAsia="Calibri" w:hAnsi="Arial" w:cs="Arial"/>
          <w:b/>
          <w:sz w:val="22"/>
        </w:rPr>
        <w:t>Corporación Control Caribe</w:t>
      </w:r>
    </w:p>
    <w:p w14:paraId="233A7389" w14:textId="77777777" w:rsidR="00990B9C" w:rsidRDefault="00555B75" w:rsidP="00D3452A">
      <w:pPr>
        <w:rPr>
          <w:rFonts w:ascii="Arial" w:eastAsia="Calibri" w:hAnsi="Arial" w:cs="Arial"/>
          <w:sz w:val="22"/>
        </w:rPr>
      </w:pPr>
      <w:r w:rsidRPr="00D03D82">
        <w:rPr>
          <w:rFonts w:ascii="Arial" w:eastAsia="Calibri" w:hAnsi="Arial" w:cs="Arial"/>
          <w:sz w:val="22"/>
        </w:rPr>
        <w:t>Ciudad</w:t>
      </w:r>
      <w:r w:rsidR="00D3452A">
        <w:rPr>
          <w:rFonts w:ascii="Arial" w:eastAsia="Calibri" w:hAnsi="Arial" w:cs="Arial"/>
          <w:sz w:val="22"/>
        </w:rPr>
        <w:t xml:space="preserve">                             </w:t>
      </w:r>
    </w:p>
    <w:p w14:paraId="2F9E99CE" w14:textId="589D3D03" w:rsidR="00D3452A" w:rsidRDefault="00D3452A" w:rsidP="00D3452A">
      <w:pPr>
        <w:rPr>
          <w:rFonts w:ascii="Arial" w:eastAsia="Calibri" w:hAnsi="Arial" w:cs="Arial"/>
          <w:sz w:val="22"/>
        </w:rPr>
      </w:pPr>
      <w:r>
        <w:rPr>
          <w:rFonts w:ascii="Arial" w:eastAsia="Calibri" w:hAnsi="Arial" w:cs="Arial"/>
          <w:sz w:val="22"/>
        </w:rPr>
        <w:t xml:space="preserve">               </w:t>
      </w:r>
    </w:p>
    <w:p w14:paraId="15897D6A" w14:textId="28201868" w:rsidR="00D3452A" w:rsidRPr="00D03D82" w:rsidRDefault="00D3452A">
      <w:pPr>
        <w:rPr>
          <w:rFonts w:ascii="Arial" w:eastAsia="Calibri" w:hAnsi="Arial" w:cs="Arial"/>
          <w:sz w:val="22"/>
        </w:rPr>
      </w:pPr>
      <w:r>
        <w:rPr>
          <w:rFonts w:ascii="Arial" w:eastAsia="Calibri" w:hAnsi="Arial" w:cs="Arial"/>
          <w:sz w:val="22"/>
        </w:rPr>
        <w:t xml:space="preserve">     </w:t>
      </w:r>
    </w:p>
    <w:p w14:paraId="49BB1EAB" w14:textId="45276EB2" w:rsidR="00A37FB6" w:rsidRDefault="00D3452A" w:rsidP="00D01760">
      <w:pPr>
        <w:rPr>
          <w:rFonts w:ascii="Arial" w:eastAsia="Calibri" w:hAnsi="Arial" w:cs="Arial"/>
          <w:b/>
          <w:sz w:val="22"/>
        </w:rPr>
      </w:pPr>
      <w:r>
        <w:rPr>
          <w:rFonts w:ascii="Arial" w:eastAsia="Calibri" w:hAnsi="Arial" w:cs="Arial"/>
          <w:b/>
          <w:sz w:val="22"/>
        </w:rPr>
        <w:lastRenderedPageBreak/>
        <w:t xml:space="preserve">                                            </w:t>
      </w:r>
      <w:r w:rsidR="00A37FB6" w:rsidRPr="00D03D82">
        <w:rPr>
          <w:rFonts w:ascii="Arial" w:eastAsia="Calibri" w:hAnsi="Arial" w:cs="Arial"/>
          <w:b/>
          <w:sz w:val="22"/>
        </w:rPr>
        <w:t xml:space="preserve">Concepto C </w:t>
      </w:r>
      <w:r w:rsidR="00555B75" w:rsidRPr="00D03D82">
        <w:rPr>
          <w:rFonts w:ascii="Arial" w:eastAsia="Calibri" w:hAnsi="Arial" w:cs="Arial"/>
          <w:b/>
          <w:sz w:val="22"/>
        </w:rPr>
        <w:t>–</w:t>
      </w:r>
      <w:r w:rsidR="00A37FB6" w:rsidRPr="00D03D82">
        <w:rPr>
          <w:rFonts w:ascii="Arial" w:eastAsia="Calibri" w:hAnsi="Arial" w:cs="Arial"/>
          <w:b/>
          <w:sz w:val="22"/>
        </w:rPr>
        <w:t xml:space="preserve"> </w:t>
      </w:r>
      <w:r w:rsidR="00555B75" w:rsidRPr="00D03D82">
        <w:rPr>
          <w:rFonts w:ascii="Arial" w:eastAsia="Calibri" w:hAnsi="Arial" w:cs="Arial"/>
          <w:b/>
          <w:sz w:val="22"/>
        </w:rPr>
        <w:t>463</w:t>
      </w:r>
      <w:r w:rsidR="00450EB1" w:rsidRPr="00D03D82">
        <w:rPr>
          <w:rFonts w:ascii="Arial" w:eastAsia="Calibri" w:hAnsi="Arial" w:cs="Arial"/>
          <w:b/>
          <w:sz w:val="22"/>
        </w:rPr>
        <w:t xml:space="preserve"> </w:t>
      </w:r>
      <w:r w:rsidR="00A37FB6" w:rsidRPr="00D03D82">
        <w:rPr>
          <w:rFonts w:ascii="Arial" w:eastAsia="Calibri" w:hAnsi="Arial" w:cs="Arial"/>
          <w:b/>
          <w:sz w:val="22"/>
        </w:rPr>
        <w:t>de 2020</w:t>
      </w:r>
    </w:p>
    <w:p w14:paraId="14CE851F" w14:textId="77777777" w:rsidR="00916212" w:rsidRPr="00D03D82" w:rsidRDefault="00916212"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A016E" w:rsidRPr="00D03D82" w14:paraId="20C2FA60" w14:textId="77777777" w:rsidTr="00616E0E">
        <w:tc>
          <w:tcPr>
            <w:tcW w:w="2689" w:type="dxa"/>
            <w:hideMark/>
          </w:tcPr>
          <w:p w14:paraId="2A9459AB" w14:textId="77777777" w:rsidR="00A37FB6" w:rsidRPr="00D03D82" w:rsidRDefault="00A37FB6" w:rsidP="00D01760">
            <w:pPr>
              <w:rPr>
                <w:rFonts w:ascii="Arial" w:eastAsia="Calibri" w:hAnsi="Arial" w:cs="Arial"/>
                <w:sz w:val="22"/>
              </w:rPr>
            </w:pPr>
            <w:r w:rsidRPr="00D03D82">
              <w:rPr>
                <w:rFonts w:ascii="Arial" w:eastAsia="Calibri" w:hAnsi="Arial" w:cs="Arial"/>
                <w:b/>
                <w:sz w:val="22"/>
              </w:rPr>
              <w:t>Temas:</w:t>
            </w:r>
            <w:r w:rsidRPr="00D03D82">
              <w:rPr>
                <w:rFonts w:ascii="Arial" w:eastAsia="Calibri" w:hAnsi="Arial" w:cs="Arial"/>
                <w:sz w:val="22"/>
              </w:rPr>
              <w:t xml:space="preserve">           </w:t>
            </w:r>
          </w:p>
          <w:p w14:paraId="1840BCE8" w14:textId="77777777" w:rsidR="00A37FB6" w:rsidRPr="00D03D82" w:rsidRDefault="00A37FB6" w:rsidP="00D01760">
            <w:pPr>
              <w:rPr>
                <w:rFonts w:ascii="Arial" w:eastAsia="Calibri" w:hAnsi="Arial" w:cs="Arial"/>
                <w:sz w:val="22"/>
              </w:rPr>
            </w:pPr>
            <w:r w:rsidRPr="00D03D82">
              <w:rPr>
                <w:rFonts w:ascii="Arial" w:eastAsia="Calibri" w:hAnsi="Arial" w:cs="Arial"/>
                <w:sz w:val="22"/>
              </w:rPr>
              <w:t xml:space="preserve">                           </w:t>
            </w:r>
          </w:p>
        </w:tc>
        <w:tc>
          <w:tcPr>
            <w:tcW w:w="6237" w:type="dxa"/>
            <w:hideMark/>
          </w:tcPr>
          <w:p w14:paraId="069BC436" w14:textId="656C1D90" w:rsidR="00A37FB6" w:rsidRPr="00D03D82" w:rsidRDefault="00D03D82" w:rsidP="00AA0238">
            <w:pPr>
              <w:spacing w:after="120"/>
              <w:jc w:val="both"/>
              <w:rPr>
                <w:rFonts w:ascii="Arial" w:eastAsia="Calibri" w:hAnsi="Arial" w:cs="Arial"/>
                <w:sz w:val="22"/>
              </w:rPr>
            </w:pPr>
            <w:r w:rsidRPr="00D03D82">
              <w:rPr>
                <w:rFonts w:ascii="Arial" w:eastAsia="Calibri" w:hAnsi="Arial" w:cs="Arial"/>
                <w:sz w:val="22"/>
              </w:rPr>
              <w:t>RÉGIMEN DE CONTRATACIÓN – Aeronáutica Civil / RÉGIMEN DE CONTRATACIÓN – Aeronáutica Civil – Entidades estatales – Servicios de telecomunicaciones / AERONÁUTICA CIVIL – Régimen de contratación – Derogatoria / PLIEGOS TIPO – Obligatoriedad / PLIEGOS TIPO – Ámbito de aplicación / PLIEGOS TIPO – Infraestructura de transporte – Noción</w:t>
            </w:r>
          </w:p>
        </w:tc>
      </w:tr>
      <w:tr w:rsidR="00A37FB6" w:rsidRPr="00D03D82" w14:paraId="62473A71" w14:textId="77777777" w:rsidTr="00616E0E">
        <w:tc>
          <w:tcPr>
            <w:tcW w:w="2689" w:type="dxa"/>
          </w:tcPr>
          <w:p w14:paraId="730BF589" w14:textId="77777777" w:rsidR="00A37FB6" w:rsidRPr="00D03D82" w:rsidRDefault="00A37FB6" w:rsidP="00D01760">
            <w:pPr>
              <w:rPr>
                <w:rFonts w:ascii="Arial" w:eastAsia="Calibri" w:hAnsi="Arial" w:cs="Arial"/>
                <w:b/>
                <w:sz w:val="22"/>
              </w:rPr>
            </w:pPr>
            <w:r w:rsidRPr="00D03D82">
              <w:rPr>
                <w:rFonts w:ascii="Arial" w:eastAsia="Calibri" w:hAnsi="Arial" w:cs="Arial"/>
                <w:b/>
                <w:sz w:val="22"/>
              </w:rPr>
              <w:t>Radicación:</w:t>
            </w:r>
            <w:r w:rsidRPr="00D03D82">
              <w:rPr>
                <w:rFonts w:ascii="Arial" w:eastAsia="Calibri" w:hAnsi="Arial" w:cs="Arial"/>
                <w:sz w:val="22"/>
              </w:rPr>
              <w:t xml:space="preserve">                              </w:t>
            </w:r>
          </w:p>
        </w:tc>
        <w:tc>
          <w:tcPr>
            <w:tcW w:w="6237" w:type="dxa"/>
          </w:tcPr>
          <w:p w14:paraId="2CD77F9B" w14:textId="4EA63A5F" w:rsidR="00A37FB6" w:rsidRPr="00D03D82" w:rsidRDefault="00A37FB6" w:rsidP="00D01760">
            <w:pPr>
              <w:jc w:val="both"/>
              <w:rPr>
                <w:rFonts w:ascii="Arial" w:eastAsia="Calibri" w:hAnsi="Arial" w:cs="Arial"/>
                <w:sz w:val="22"/>
              </w:rPr>
            </w:pPr>
            <w:r w:rsidRPr="00D03D82">
              <w:rPr>
                <w:rFonts w:ascii="Arial" w:eastAsia="Calibri" w:hAnsi="Arial" w:cs="Arial"/>
                <w:sz w:val="22"/>
              </w:rPr>
              <w:t>Respuesta consulta</w:t>
            </w:r>
            <w:r w:rsidR="00490184" w:rsidRPr="00D03D82">
              <w:rPr>
                <w:rFonts w:ascii="Arial" w:eastAsia="Calibri" w:hAnsi="Arial" w:cs="Arial"/>
                <w:sz w:val="22"/>
              </w:rPr>
              <w:t>s</w:t>
            </w:r>
            <w:r w:rsidRPr="00D03D82">
              <w:rPr>
                <w:rFonts w:ascii="Arial" w:eastAsia="Calibri" w:hAnsi="Arial" w:cs="Arial"/>
                <w:sz w:val="22"/>
              </w:rPr>
              <w:t xml:space="preserve"> # </w:t>
            </w:r>
            <w:r w:rsidR="0000767B" w:rsidRPr="00D03D82">
              <w:rPr>
                <w:rFonts w:ascii="Arial" w:eastAsia="Calibri" w:hAnsi="Arial" w:cs="Arial"/>
                <w:sz w:val="22"/>
              </w:rPr>
              <w:t>420201300000</w:t>
            </w:r>
            <w:r w:rsidR="00751DA6" w:rsidRPr="00D03D82">
              <w:rPr>
                <w:rFonts w:ascii="Arial" w:eastAsia="Calibri" w:hAnsi="Arial" w:cs="Arial"/>
                <w:sz w:val="22"/>
              </w:rPr>
              <w:t>5459</w:t>
            </w:r>
            <w:r w:rsidR="00490184" w:rsidRPr="00D03D82">
              <w:rPr>
                <w:rFonts w:ascii="Arial" w:eastAsia="Calibri" w:hAnsi="Arial" w:cs="Arial"/>
                <w:sz w:val="22"/>
              </w:rPr>
              <w:t xml:space="preserve">  </w:t>
            </w:r>
          </w:p>
        </w:tc>
      </w:tr>
    </w:tbl>
    <w:p w14:paraId="6199F8C9" w14:textId="77777777" w:rsidR="00A37FB6" w:rsidRPr="00D03D82" w:rsidRDefault="00A37FB6" w:rsidP="00D01760">
      <w:pPr>
        <w:jc w:val="both"/>
        <w:rPr>
          <w:rFonts w:ascii="Arial" w:eastAsia="Calibri" w:hAnsi="Arial" w:cs="Arial"/>
          <w:sz w:val="22"/>
        </w:rPr>
      </w:pPr>
    </w:p>
    <w:p w14:paraId="3E7D529B" w14:textId="77777777" w:rsidR="00916212" w:rsidRDefault="00916212" w:rsidP="00D01760">
      <w:pPr>
        <w:rPr>
          <w:rFonts w:ascii="Arial" w:eastAsia="Calibri" w:hAnsi="Arial" w:cs="Arial"/>
          <w:sz w:val="22"/>
        </w:rPr>
      </w:pPr>
    </w:p>
    <w:p w14:paraId="3216C844" w14:textId="2A9202AC" w:rsidR="00A37FB6" w:rsidRPr="00D03D82" w:rsidRDefault="00A37FB6" w:rsidP="00D01760">
      <w:pPr>
        <w:rPr>
          <w:rFonts w:ascii="Arial" w:eastAsia="Calibri" w:hAnsi="Arial" w:cs="Arial"/>
          <w:sz w:val="22"/>
        </w:rPr>
      </w:pPr>
      <w:r w:rsidRPr="00D03D82">
        <w:rPr>
          <w:rFonts w:ascii="Arial" w:eastAsia="Calibri" w:hAnsi="Arial" w:cs="Arial"/>
          <w:sz w:val="22"/>
        </w:rPr>
        <w:t>Estimad</w:t>
      </w:r>
      <w:r w:rsidR="0039395E" w:rsidRPr="00D03D82">
        <w:rPr>
          <w:rFonts w:ascii="Arial" w:eastAsia="Calibri" w:hAnsi="Arial" w:cs="Arial"/>
          <w:sz w:val="22"/>
        </w:rPr>
        <w:t>o</w:t>
      </w:r>
      <w:r w:rsidR="00555B75" w:rsidRPr="00D03D82">
        <w:rPr>
          <w:rFonts w:ascii="Arial" w:eastAsia="Calibri" w:hAnsi="Arial" w:cs="Arial"/>
          <w:sz w:val="22"/>
        </w:rPr>
        <w:t>s</w:t>
      </w:r>
      <w:r w:rsidRPr="00D03D82">
        <w:rPr>
          <w:rFonts w:ascii="Arial" w:eastAsia="Calibri" w:hAnsi="Arial" w:cs="Arial"/>
          <w:sz w:val="22"/>
        </w:rPr>
        <w:t xml:space="preserve"> señor</w:t>
      </w:r>
      <w:r w:rsidR="00555B75" w:rsidRPr="00D03D82">
        <w:rPr>
          <w:rFonts w:ascii="Arial" w:eastAsia="Calibri" w:hAnsi="Arial" w:cs="Arial"/>
          <w:sz w:val="22"/>
        </w:rPr>
        <w:t>es(as)</w:t>
      </w:r>
      <w:r w:rsidR="0000767B" w:rsidRPr="00D03D82">
        <w:rPr>
          <w:rFonts w:ascii="Arial" w:eastAsia="Calibri" w:hAnsi="Arial" w:cs="Arial"/>
          <w:sz w:val="22"/>
        </w:rPr>
        <w:t xml:space="preserve"> </w:t>
      </w:r>
      <w:r w:rsidR="00555B75" w:rsidRPr="00D03D82">
        <w:rPr>
          <w:rFonts w:ascii="Arial" w:eastAsia="Calibri" w:hAnsi="Arial" w:cs="Arial"/>
          <w:sz w:val="22"/>
        </w:rPr>
        <w:t>Corporación Control Caribe</w:t>
      </w:r>
      <w:r w:rsidR="0000767B" w:rsidRPr="00D03D82">
        <w:rPr>
          <w:rFonts w:ascii="Arial" w:eastAsia="Calibri" w:hAnsi="Arial" w:cs="Arial"/>
          <w:sz w:val="22"/>
        </w:rPr>
        <w:t>:</w:t>
      </w:r>
    </w:p>
    <w:p w14:paraId="5CAA496F" w14:textId="77777777" w:rsidR="00450EB1" w:rsidRPr="00D03D82" w:rsidRDefault="00450EB1" w:rsidP="00D01760">
      <w:pPr>
        <w:rPr>
          <w:rFonts w:ascii="Arial" w:eastAsia="Calibri" w:hAnsi="Arial" w:cs="Arial"/>
          <w:sz w:val="22"/>
        </w:rPr>
      </w:pPr>
    </w:p>
    <w:p w14:paraId="39316B12" w14:textId="3B214F75" w:rsidR="00A37FB6" w:rsidRPr="00D03D82" w:rsidRDefault="00A37FB6" w:rsidP="00D01760">
      <w:pPr>
        <w:spacing w:line="276" w:lineRule="auto"/>
        <w:ind w:right="49"/>
        <w:jc w:val="both"/>
        <w:rPr>
          <w:rFonts w:ascii="Arial" w:eastAsia="Calibri" w:hAnsi="Arial" w:cs="Arial"/>
          <w:sz w:val="22"/>
        </w:rPr>
      </w:pPr>
      <w:r w:rsidRPr="00D03D82">
        <w:rPr>
          <w:rFonts w:ascii="Arial" w:eastAsia="Calibri" w:hAnsi="Arial" w:cs="Arial"/>
          <w:sz w:val="22"/>
        </w:rPr>
        <w:t xml:space="preserve">La Agencia Nacional de Contratación Pública ―Colombia Compra Eficiente― responde su consulta del </w:t>
      </w:r>
      <w:r w:rsidR="00555B75" w:rsidRPr="00D03D82">
        <w:rPr>
          <w:rFonts w:ascii="Arial" w:eastAsia="Calibri" w:hAnsi="Arial" w:cs="Arial"/>
          <w:sz w:val="22"/>
        </w:rPr>
        <w:t>29</w:t>
      </w:r>
      <w:r w:rsidR="00353B9D" w:rsidRPr="00D03D82">
        <w:rPr>
          <w:rFonts w:ascii="Arial" w:eastAsia="Calibri" w:hAnsi="Arial" w:cs="Arial"/>
          <w:sz w:val="22"/>
        </w:rPr>
        <w:t xml:space="preserve"> de </w:t>
      </w:r>
      <w:r w:rsidR="00490184" w:rsidRPr="00D03D82">
        <w:rPr>
          <w:rFonts w:ascii="Arial" w:eastAsia="Calibri" w:hAnsi="Arial" w:cs="Arial"/>
          <w:sz w:val="22"/>
        </w:rPr>
        <w:t>junio</w:t>
      </w:r>
      <w:r w:rsidR="00353B9D" w:rsidRPr="00D03D82">
        <w:rPr>
          <w:rFonts w:ascii="Arial" w:eastAsia="Calibri" w:hAnsi="Arial" w:cs="Arial"/>
          <w:sz w:val="22"/>
        </w:rPr>
        <w:t xml:space="preserve"> de 2020</w:t>
      </w:r>
      <w:r w:rsidRPr="00D03D82">
        <w:rPr>
          <w:rFonts w:ascii="Arial" w:eastAsia="Calibri" w:hAnsi="Arial" w:cs="Arial"/>
          <w:sz w:val="22"/>
        </w:rPr>
        <w:t xml:space="preserve">, en ejercicio de la competencia otorgada por el numeral 8 del artículo 11 y el numeral 5 del artículo 3 del Decreto Ley 4170 de 2011. </w:t>
      </w:r>
    </w:p>
    <w:p w14:paraId="450602B9" w14:textId="77777777" w:rsidR="00450EB1" w:rsidRPr="00D03D82" w:rsidRDefault="00450EB1" w:rsidP="00D01760">
      <w:pPr>
        <w:spacing w:line="276" w:lineRule="auto"/>
        <w:jc w:val="both"/>
        <w:rPr>
          <w:rFonts w:ascii="Arial" w:eastAsia="Calibri" w:hAnsi="Arial" w:cs="Arial"/>
          <w:sz w:val="22"/>
        </w:rPr>
      </w:pPr>
    </w:p>
    <w:p w14:paraId="737E2623" w14:textId="77777777" w:rsidR="00A37FB6" w:rsidRPr="00D03D82" w:rsidRDefault="00A37FB6" w:rsidP="00D01760">
      <w:pPr>
        <w:pStyle w:val="Prrafodelista"/>
        <w:numPr>
          <w:ilvl w:val="0"/>
          <w:numId w:val="6"/>
        </w:numPr>
        <w:tabs>
          <w:tab w:val="left" w:pos="284"/>
        </w:tabs>
        <w:spacing w:line="276" w:lineRule="auto"/>
        <w:ind w:left="0" w:firstLine="0"/>
        <w:jc w:val="both"/>
        <w:rPr>
          <w:rFonts w:ascii="Arial" w:eastAsia="Calibri" w:hAnsi="Arial" w:cs="Arial"/>
          <w:b/>
          <w:sz w:val="22"/>
        </w:rPr>
      </w:pPr>
      <w:r w:rsidRPr="00D03D82">
        <w:rPr>
          <w:rFonts w:ascii="Arial" w:eastAsia="Calibri" w:hAnsi="Arial" w:cs="Arial"/>
          <w:b/>
          <w:sz w:val="22"/>
        </w:rPr>
        <w:t xml:space="preserve">Problemas planteados </w:t>
      </w:r>
    </w:p>
    <w:p w14:paraId="498A026D" w14:textId="26544023" w:rsidR="00A37FB6" w:rsidRPr="00D03D82" w:rsidRDefault="00A37FB6" w:rsidP="00D01760">
      <w:pPr>
        <w:tabs>
          <w:tab w:val="left" w:pos="426"/>
        </w:tabs>
        <w:spacing w:line="276" w:lineRule="auto"/>
        <w:jc w:val="both"/>
        <w:rPr>
          <w:rFonts w:ascii="Arial" w:eastAsia="Calibri" w:hAnsi="Arial" w:cs="Arial"/>
          <w:b/>
          <w:sz w:val="22"/>
        </w:rPr>
      </w:pPr>
    </w:p>
    <w:p w14:paraId="5B74591D" w14:textId="601B5F80" w:rsidR="00490184" w:rsidRPr="00D03D82" w:rsidRDefault="00191774" w:rsidP="00AA0238">
      <w:pPr>
        <w:pStyle w:val="Default"/>
        <w:spacing w:line="276" w:lineRule="auto"/>
        <w:jc w:val="both"/>
        <w:rPr>
          <w:rFonts w:eastAsia="Calibri"/>
          <w:color w:val="auto"/>
          <w:sz w:val="22"/>
          <w:szCs w:val="22"/>
        </w:rPr>
      </w:pPr>
      <w:bookmarkStart w:id="2" w:name="_Hlk45721095"/>
      <w:r>
        <w:rPr>
          <w:rFonts w:eastAsia="Calibri"/>
          <w:color w:val="auto"/>
          <w:sz w:val="22"/>
          <w:szCs w:val="22"/>
        </w:rPr>
        <w:t>U</w:t>
      </w:r>
      <w:r w:rsidR="00490184" w:rsidRPr="00D03D82">
        <w:rPr>
          <w:rFonts w:eastAsia="Calibri"/>
          <w:color w:val="auto"/>
          <w:sz w:val="22"/>
          <w:szCs w:val="22"/>
        </w:rPr>
        <w:t>sted solicita</w:t>
      </w:r>
      <w:r w:rsidR="000612E5" w:rsidRPr="00D03D82">
        <w:rPr>
          <w:rFonts w:eastAsia="Calibri"/>
          <w:color w:val="auto"/>
          <w:sz w:val="22"/>
          <w:szCs w:val="22"/>
        </w:rPr>
        <w:t xml:space="preserve"> que se aclare «[…] </w:t>
      </w:r>
      <w:r w:rsidR="00555B75" w:rsidRPr="00D03D82">
        <w:rPr>
          <w:rFonts w:eastAsia="Calibri"/>
          <w:color w:val="auto"/>
          <w:sz w:val="22"/>
          <w:szCs w:val="22"/>
        </w:rPr>
        <w:t xml:space="preserve">si la </w:t>
      </w:r>
      <w:r w:rsidR="00F2536A" w:rsidRPr="00D03D82">
        <w:rPr>
          <w:rFonts w:eastAsia="Calibri"/>
          <w:color w:val="auto"/>
          <w:sz w:val="22"/>
          <w:szCs w:val="22"/>
        </w:rPr>
        <w:t>Aeronáutica</w:t>
      </w:r>
      <w:r w:rsidR="00555B75" w:rsidRPr="00D03D82">
        <w:rPr>
          <w:rFonts w:eastAsia="Calibri"/>
          <w:color w:val="auto"/>
          <w:sz w:val="22"/>
          <w:szCs w:val="22"/>
        </w:rPr>
        <w:t xml:space="preserve"> Civil por ser una entidad adscrita al ministerio de transporte y en función de su operatividad en aeropuertos, infraestructura del transporte, debe o no usar los pliegos tipos en sus procesos </w:t>
      </w:r>
      <w:r w:rsidR="000612E5" w:rsidRPr="00D03D82">
        <w:rPr>
          <w:rFonts w:eastAsia="Calibri"/>
          <w:color w:val="auto"/>
          <w:sz w:val="22"/>
          <w:szCs w:val="22"/>
        </w:rPr>
        <w:t>[…]».</w:t>
      </w:r>
    </w:p>
    <w:bookmarkEnd w:id="2"/>
    <w:p w14:paraId="4FAD901F" w14:textId="77777777" w:rsidR="007E4A24" w:rsidRPr="00D03D82" w:rsidRDefault="007E4A24" w:rsidP="00FD029B">
      <w:pPr>
        <w:pStyle w:val="Default"/>
        <w:spacing w:line="276" w:lineRule="auto"/>
        <w:jc w:val="both"/>
        <w:rPr>
          <w:rFonts w:eastAsia="Calibri"/>
          <w:color w:val="auto"/>
          <w:sz w:val="22"/>
          <w:szCs w:val="22"/>
        </w:rPr>
      </w:pPr>
    </w:p>
    <w:p w14:paraId="7DCBEA90" w14:textId="66259B5C" w:rsidR="00321CCB" w:rsidRDefault="00A37FB6" w:rsidP="00321CCB">
      <w:pPr>
        <w:pStyle w:val="Prrafodelista"/>
        <w:numPr>
          <w:ilvl w:val="0"/>
          <w:numId w:val="6"/>
        </w:numPr>
        <w:tabs>
          <w:tab w:val="left" w:pos="426"/>
        </w:tabs>
        <w:spacing w:line="276" w:lineRule="auto"/>
        <w:ind w:left="284" w:hanging="284"/>
        <w:jc w:val="both"/>
        <w:rPr>
          <w:rFonts w:ascii="Arial" w:eastAsia="Calibri" w:hAnsi="Arial" w:cs="Arial"/>
          <w:b/>
          <w:sz w:val="22"/>
        </w:rPr>
      </w:pPr>
      <w:r w:rsidRPr="00D03D82">
        <w:rPr>
          <w:rFonts w:ascii="Arial" w:eastAsia="Calibri" w:hAnsi="Arial" w:cs="Arial"/>
          <w:b/>
          <w:sz w:val="22"/>
        </w:rPr>
        <w:t>Consideraciones</w:t>
      </w:r>
    </w:p>
    <w:p w14:paraId="48BE5396" w14:textId="77777777" w:rsidR="00AD05F3" w:rsidRPr="00D03D82" w:rsidRDefault="00AD05F3" w:rsidP="000612E5">
      <w:pPr>
        <w:tabs>
          <w:tab w:val="left" w:pos="426"/>
        </w:tabs>
        <w:spacing w:line="276" w:lineRule="auto"/>
        <w:jc w:val="both"/>
        <w:rPr>
          <w:rFonts w:ascii="Arial" w:hAnsi="Arial" w:cs="Arial"/>
          <w:b/>
          <w:bCs/>
          <w:sz w:val="22"/>
        </w:rPr>
      </w:pPr>
    </w:p>
    <w:bookmarkEnd w:id="0"/>
    <w:p w14:paraId="3514BF08" w14:textId="413792A6" w:rsidR="00A37FB6" w:rsidRPr="00D03D82" w:rsidRDefault="00A37FB6" w:rsidP="000612E5">
      <w:pPr>
        <w:tabs>
          <w:tab w:val="left" w:pos="426"/>
        </w:tabs>
        <w:spacing w:line="276" w:lineRule="auto"/>
        <w:jc w:val="both"/>
        <w:rPr>
          <w:rFonts w:ascii="Arial" w:eastAsia="Calibri" w:hAnsi="Arial" w:cs="Arial"/>
          <w:sz w:val="22"/>
        </w:rPr>
      </w:pPr>
      <w:r w:rsidRPr="00D03D82">
        <w:rPr>
          <w:rFonts w:ascii="Arial" w:hAnsi="Arial" w:cs="Arial"/>
          <w:sz w:val="22"/>
        </w:rPr>
        <w:t xml:space="preserve">La Agencia Nacional de Contratación Pública ― Colombia Compra Eficiente </w:t>
      </w:r>
      <w:r w:rsidRPr="00D03D82">
        <w:rPr>
          <w:rFonts w:ascii="Arial" w:eastAsia="Calibri" w:hAnsi="Arial" w:cs="Arial"/>
          <w:sz w:val="22"/>
        </w:rPr>
        <w:t xml:space="preserve">en </w:t>
      </w:r>
      <w:r w:rsidR="00897C4F" w:rsidRPr="00D03D82">
        <w:rPr>
          <w:rFonts w:ascii="Arial" w:eastAsia="Calibri" w:hAnsi="Arial" w:cs="Arial"/>
          <w:sz w:val="22"/>
        </w:rPr>
        <w:t xml:space="preserve">los </w:t>
      </w:r>
      <w:r w:rsidRPr="00D03D82">
        <w:rPr>
          <w:rFonts w:ascii="Arial" w:eastAsia="Calibri" w:hAnsi="Arial" w:cs="Arial"/>
          <w:sz w:val="22"/>
        </w:rPr>
        <w:t>concepto</w:t>
      </w:r>
      <w:r w:rsidR="00897C4F" w:rsidRPr="00D03D82">
        <w:rPr>
          <w:rFonts w:ascii="Arial" w:eastAsia="Calibri" w:hAnsi="Arial" w:cs="Arial"/>
          <w:sz w:val="22"/>
        </w:rPr>
        <w:t>s</w:t>
      </w:r>
      <w:r w:rsidRPr="00D03D82">
        <w:rPr>
          <w:rFonts w:ascii="Arial" w:eastAsia="Calibri" w:hAnsi="Arial" w:cs="Arial"/>
          <w:sz w:val="22"/>
        </w:rPr>
        <w:t xml:space="preserve"> del </w:t>
      </w:r>
      <w:r w:rsidR="00616E1D" w:rsidRPr="00D03D82">
        <w:rPr>
          <w:rFonts w:ascii="Arial" w:eastAsia="Calibri" w:hAnsi="Arial" w:cs="Arial"/>
          <w:sz w:val="22"/>
        </w:rPr>
        <w:t>13</w:t>
      </w:r>
      <w:r w:rsidR="000F56BA" w:rsidRPr="00D03D82">
        <w:rPr>
          <w:rFonts w:ascii="Arial" w:eastAsia="Calibri" w:hAnsi="Arial" w:cs="Arial"/>
          <w:sz w:val="22"/>
        </w:rPr>
        <w:t xml:space="preserve"> (2)</w:t>
      </w:r>
      <w:r w:rsidR="00B1413A" w:rsidRPr="00D03D82">
        <w:rPr>
          <w:rFonts w:ascii="Arial" w:eastAsia="Calibri" w:hAnsi="Arial" w:cs="Arial"/>
          <w:sz w:val="22"/>
        </w:rPr>
        <w:t>,</w:t>
      </w:r>
      <w:r w:rsidR="00616E1D" w:rsidRPr="00D03D82">
        <w:rPr>
          <w:rFonts w:ascii="Arial" w:eastAsia="Calibri" w:hAnsi="Arial" w:cs="Arial"/>
          <w:sz w:val="22"/>
        </w:rPr>
        <w:t xml:space="preserve"> </w:t>
      </w:r>
      <w:r w:rsidRPr="00D03D82">
        <w:rPr>
          <w:rFonts w:ascii="Arial" w:eastAsia="Calibri" w:hAnsi="Arial" w:cs="Arial"/>
          <w:sz w:val="22"/>
        </w:rPr>
        <w:t>2</w:t>
      </w:r>
      <w:r w:rsidR="00BD6A6D" w:rsidRPr="00D03D82">
        <w:rPr>
          <w:rFonts w:ascii="Arial" w:eastAsia="Calibri" w:hAnsi="Arial" w:cs="Arial"/>
          <w:sz w:val="22"/>
        </w:rPr>
        <w:t>6</w:t>
      </w:r>
      <w:r w:rsidR="00B1413A" w:rsidRPr="00D03D82">
        <w:rPr>
          <w:rFonts w:ascii="Arial" w:eastAsia="Calibri" w:hAnsi="Arial" w:cs="Arial"/>
          <w:sz w:val="22"/>
        </w:rPr>
        <w:t xml:space="preserve"> y 27</w:t>
      </w:r>
      <w:r w:rsidRPr="00D03D82">
        <w:rPr>
          <w:rFonts w:ascii="Arial" w:eastAsia="Calibri" w:hAnsi="Arial" w:cs="Arial"/>
          <w:sz w:val="22"/>
        </w:rPr>
        <w:t xml:space="preserve"> de </w:t>
      </w:r>
      <w:r w:rsidR="00BD6A6D" w:rsidRPr="00D03D82">
        <w:rPr>
          <w:rFonts w:ascii="Arial" w:eastAsia="Calibri" w:hAnsi="Arial" w:cs="Arial"/>
          <w:sz w:val="22"/>
        </w:rPr>
        <w:t xml:space="preserve">agosto </w:t>
      </w:r>
      <w:r w:rsidRPr="00D03D82">
        <w:rPr>
          <w:rFonts w:ascii="Arial" w:eastAsia="Calibri" w:hAnsi="Arial" w:cs="Arial"/>
          <w:sz w:val="22"/>
        </w:rPr>
        <w:t>de 2019</w:t>
      </w:r>
      <w:r w:rsidR="00BD6A6D" w:rsidRPr="00D03D82">
        <w:rPr>
          <w:rFonts w:ascii="Arial" w:eastAsia="Calibri" w:hAnsi="Arial" w:cs="Arial"/>
          <w:sz w:val="22"/>
        </w:rPr>
        <w:t xml:space="preserve"> </w:t>
      </w:r>
      <w:r w:rsidR="00CE2411" w:rsidRPr="00D03D82">
        <w:rPr>
          <w:rFonts w:ascii="Arial" w:eastAsia="Calibri" w:hAnsi="Arial" w:cs="Arial"/>
          <w:sz w:val="22"/>
        </w:rPr>
        <w:t>–</w:t>
      </w:r>
      <w:r w:rsidR="00362084" w:rsidRPr="00D03D82">
        <w:rPr>
          <w:rFonts w:ascii="Arial" w:eastAsia="Calibri" w:hAnsi="Arial" w:cs="Arial"/>
          <w:sz w:val="22"/>
        </w:rPr>
        <w:t>r</w:t>
      </w:r>
      <w:r w:rsidR="000513FC" w:rsidRPr="00D03D82">
        <w:rPr>
          <w:rFonts w:ascii="Arial" w:eastAsia="Calibri" w:hAnsi="Arial" w:cs="Arial"/>
          <w:sz w:val="22"/>
        </w:rPr>
        <w:t>adicado</w:t>
      </w:r>
      <w:r w:rsidR="00616E1D" w:rsidRPr="00D03D82">
        <w:rPr>
          <w:rFonts w:ascii="Arial" w:eastAsia="Calibri" w:hAnsi="Arial" w:cs="Arial"/>
          <w:sz w:val="22"/>
        </w:rPr>
        <w:t>s</w:t>
      </w:r>
      <w:r w:rsidR="000513FC" w:rsidRPr="00D03D82">
        <w:rPr>
          <w:rFonts w:ascii="Arial" w:eastAsia="Calibri" w:hAnsi="Arial" w:cs="Arial"/>
          <w:sz w:val="22"/>
        </w:rPr>
        <w:t xml:space="preserve"> No</w:t>
      </w:r>
      <w:r w:rsidR="00616E1D" w:rsidRPr="00D03D82">
        <w:rPr>
          <w:rFonts w:ascii="Arial" w:eastAsia="Calibri" w:hAnsi="Arial" w:cs="Arial"/>
          <w:sz w:val="22"/>
        </w:rPr>
        <w:t>s</w:t>
      </w:r>
      <w:r w:rsidR="000513FC" w:rsidRPr="00D03D82">
        <w:rPr>
          <w:rFonts w:ascii="Arial" w:eastAsia="Calibri" w:hAnsi="Arial" w:cs="Arial"/>
          <w:sz w:val="22"/>
        </w:rPr>
        <w:t>.</w:t>
      </w:r>
      <w:r w:rsidR="00616E1D" w:rsidRPr="00D03D82">
        <w:rPr>
          <w:rFonts w:ascii="Arial" w:eastAsia="Calibri" w:hAnsi="Arial" w:cs="Arial"/>
          <w:sz w:val="22"/>
        </w:rPr>
        <w:t xml:space="preserve"> 2201913000005811</w:t>
      </w:r>
      <w:r w:rsidR="0071000E" w:rsidRPr="00D03D82">
        <w:rPr>
          <w:rFonts w:ascii="Arial" w:eastAsia="Calibri" w:hAnsi="Arial" w:cs="Arial"/>
          <w:sz w:val="22"/>
        </w:rPr>
        <w:t>,</w:t>
      </w:r>
      <w:r w:rsidR="00041BAE" w:rsidRPr="00D03D82">
        <w:rPr>
          <w:rFonts w:ascii="Arial" w:eastAsia="Calibri" w:hAnsi="Arial" w:cs="Arial"/>
          <w:sz w:val="22"/>
        </w:rPr>
        <w:t xml:space="preserve"> 2201913000005810,</w:t>
      </w:r>
      <w:r w:rsidR="000513FC" w:rsidRPr="00D03D82">
        <w:rPr>
          <w:rFonts w:ascii="Arial" w:eastAsia="Calibri" w:hAnsi="Arial" w:cs="Arial"/>
          <w:sz w:val="22"/>
        </w:rPr>
        <w:t xml:space="preserve"> </w:t>
      </w:r>
      <w:r w:rsidR="00BD6A6D" w:rsidRPr="00D03D82">
        <w:rPr>
          <w:rFonts w:ascii="Arial" w:eastAsia="Calibri" w:hAnsi="Arial" w:cs="Arial"/>
          <w:sz w:val="22"/>
        </w:rPr>
        <w:t>2201913000006232</w:t>
      </w:r>
      <w:r w:rsidR="0039395E" w:rsidRPr="00D03D82">
        <w:rPr>
          <w:rFonts w:ascii="Arial" w:eastAsia="Calibri" w:hAnsi="Arial" w:cs="Arial"/>
          <w:sz w:val="22"/>
        </w:rPr>
        <w:t xml:space="preserve">, </w:t>
      </w:r>
      <w:r w:rsidR="0071000E" w:rsidRPr="00D03D82">
        <w:rPr>
          <w:rFonts w:ascii="Arial" w:eastAsia="Calibri" w:hAnsi="Arial" w:cs="Arial"/>
          <w:sz w:val="22"/>
        </w:rPr>
        <w:t>2201913000006284</w:t>
      </w:r>
      <w:r w:rsidR="0039395E" w:rsidRPr="00D03D82">
        <w:rPr>
          <w:rFonts w:ascii="Arial" w:eastAsia="Calibri" w:hAnsi="Arial" w:cs="Arial"/>
          <w:sz w:val="22"/>
        </w:rPr>
        <w:t xml:space="preserve">, </w:t>
      </w:r>
      <w:r w:rsidR="00321CCB" w:rsidRPr="00D03D82">
        <w:rPr>
          <w:rFonts w:ascii="Arial" w:eastAsia="Calibri" w:hAnsi="Arial" w:cs="Arial"/>
          <w:sz w:val="22"/>
        </w:rPr>
        <w:t>C-102 del 18 de marzo de 2020</w:t>
      </w:r>
      <w:r w:rsidR="000612E5" w:rsidRPr="00D03D82">
        <w:rPr>
          <w:rFonts w:ascii="Arial" w:eastAsia="Calibri" w:hAnsi="Arial" w:cs="Arial"/>
          <w:sz w:val="22"/>
        </w:rPr>
        <w:t>,</w:t>
      </w:r>
      <w:r w:rsidR="00321CCB" w:rsidRPr="00D03D82">
        <w:rPr>
          <w:rFonts w:ascii="Arial" w:eastAsia="Calibri" w:hAnsi="Arial" w:cs="Arial"/>
          <w:sz w:val="22"/>
        </w:rPr>
        <w:t xml:space="preserve"> </w:t>
      </w:r>
      <w:r w:rsidR="0039395E" w:rsidRPr="00D03D82">
        <w:rPr>
          <w:rFonts w:ascii="Arial" w:eastAsia="Calibri" w:hAnsi="Arial" w:cs="Arial"/>
          <w:sz w:val="22"/>
        </w:rPr>
        <w:t>C-144</w:t>
      </w:r>
      <w:r w:rsidR="00CE2411" w:rsidRPr="00D03D82">
        <w:rPr>
          <w:rFonts w:ascii="Arial" w:eastAsia="Calibri" w:hAnsi="Arial" w:cs="Arial"/>
          <w:sz w:val="22"/>
        </w:rPr>
        <w:t xml:space="preserve"> de</w:t>
      </w:r>
      <w:r w:rsidR="00321CCB" w:rsidRPr="00D03D82">
        <w:rPr>
          <w:rFonts w:ascii="Arial" w:eastAsia="Calibri" w:hAnsi="Arial" w:cs="Arial"/>
          <w:sz w:val="22"/>
        </w:rPr>
        <w:t>l 2 de marzo</w:t>
      </w:r>
      <w:r w:rsidR="00CE2411" w:rsidRPr="00D03D82">
        <w:rPr>
          <w:rFonts w:ascii="Arial" w:eastAsia="Calibri" w:hAnsi="Arial" w:cs="Arial"/>
          <w:sz w:val="22"/>
        </w:rPr>
        <w:t xml:space="preserve"> 2020</w:t>
      </w:r>
      <w:r w:rsidR="00AA0238">
        <w:rPr>
          <w:rFonts w:ascii="Arial" w:eastAsia="Calibri" w:hAnsi="Arial" w:cs="Arial"/>
          <w:sz w:val="22"/>
        </w:rPr>
        <w:t xml:space="preserve">, </w:t>
      </w:r>
      <w:r w:rsidR="000612E5" w:rsidRPr="00D03D82">
        <w:rPr>
          <w:rFonts w:ascii="Arial" w:eastAsia="Calibri" w:hAnsi="Arial" w:cs="Arial"/>
          <w:sz w:val="22"/>
        </w:rPr>
        <w:t>C-263 del 25 de mayo de 2020</w:t>
      </w:r>
      <w:r w:rsidR="00AA0238">
        <w:rPr>
          <w:rFonts w:ascii="Arial" w:eastAsia="Calibri" w:hAnsi="Arial" w:cs="Arial"/>
          <w:sz w:val="22"/>
        </w:rPr>
        <w:t xml:space="preserve"> y C-421 del 15 de julio de 2020</w:t>
      </w:r>
      <w:r w:rsidR="00321CCB" w:rsidRPr="00D03D82">
        <w:rPr>
          <w:rFonts w:ascii="Arial" w:eastAsia="Calibri" w:hAnsi="Arial" w:cs="Arial"/>
          <w:sz w:val="22"/>
        </w:rPr>
        <w:t xml:space="preserve">, </w:t>
      </w:r>
      <w:r w:rsidRPr="00D03D82">
        <w:rPr>
          <w:rFonts w:ascii="Arial" w:eastAsia="Calibri" w:hAnsi="Arial" w:cs="Arial"/>
          <w:sz w:val="22"/>
        </w:rPr>
        <w:t xml:space="preserve">estudió </w:t>
      </w:r>
      <w:r w:rsidR="005A3A67" w:rsidRPr="00D03D82">
        <w:rPr>
          <w:rFonts w:ascii="Arial" w:eastAsia="Calibri" w:hAnsi="Arial" w:cs="Arial"/>
          <w:sz w:val="22"/>
        </w:rPr>
        <w:t xml:space="preserve">el carácter vinculante de los </w:t>
      </w:r>
      <w:r w:rsidR="00556994" w:rsidRPr="00D03D82">
        <w:rPr>
          <w:rFonts w:ascii="Arial" w:eastAsia="Calibri" w:hAnsi="Arial" w:cs="Arial"/>
          <w:sz w:val="22"/>
        </w:rPr>
        <w:t xml:space="preserve">pliegos tipo </w:t>
      </w:r>
      <w:r w:rsidR="00897C4F" w:rsidRPr="00D03D82">
        <w:rPr>
          <w:rFonts w:ascii="Arial" w:eastAsia="Calibri" w:hAnsi="Arial" w:cs="Arial"/>
          <w:sz w:val="22"/>
        </w:rPr>
        <w:t>y su aplicación en diferentes contratos estatales</w:t>
      </w:r>
      <w:r w:rsidRPr="00D03D82">
        <w:rPr>
          <w:rFonts w:ascii="Arial" w:eastAsia="Calibri" w:hAnsi="Arial" w:cs="Arial"/>
          <w:sz w:val="22"/>
        </w:rPr>
        <w:t xml:space="preserve">. La tesis desarrollada se expone a continuación. </w:t>
      </w:r>
    </w:p>
    <w:bookmarkEnd w:id="1"/>
    <w:p w14:paraId="3EA72BA0" w14:textId="41A4E60A" w:rsidR="00A227A5" w:rsidRPr="00D03D82" w:rsidRDefault="00A227A5" w:rsidP="00BD0076">
      <w:pPr>
        <w:spacing w:before="120" w:line="276" w:lineRule="auto"/>
        <w:ind w:firstLine="709"/>
        <w:jc w:val="both"/>
        <w:rPr>
          <w:rFonts w:ascii="Arial" w:hAnsi="Arial" w:cs="Arial"/>
          <w:sz w:val="22"/>
        </w:rPr>
      </w:pPr>
      <w:r w:rsidRPr="00D03D82">
        <w:rPr>
          <w:rFonts w:ascii="Arial" w:hAnsi="Arial" w:cs="Arial"/>
          <w:sz w:val="22"/>
        </w:rPr>
        <w:t>El artículo 2, parágrafo 7º</w:t>
      </w:r>
      <w:r w:rsidR="004F5433" w:rsidRPr="00D03D82">
        <w:rPr>
          <w:rFonts w:ascii="Arial" w:hAnsi="Arial" w:cs="Arial"/>
          <w:sz w:val="22"/>
        </w:rPr>
        <w:t>,</w:t>
      </w:r>
      <w:r w:rsidRPr="00D03D82">
        <w:rPr>
          <w:rFonts w:ascii="Arial" w:hAnsi="Arial" w:cs="Arial"/>
          <w:sz w:val="22"/>
        </w:rPr>
        <w:t xml:space="preserve"> de la Ley 1150 de 2007, adicionado por el artículo 4 de la Ley 1882 de 2018</w:t>
      </w:r>
      <w:r w:rsidR="0047248B" w:rsidRPr="00D03D82">
        <w:rPr>
          <w:rFonts w:ascii="Arial" w:hAnsi="Arial" w:cs="Arial"/>
          <w:sz w:val="22"/>
        </w:rPr>
        <w:t>,</w:t>
      </w:r>
      <w:r w:rsidRPr="00D03D82">
        <w:rPr>
          <w:rFonts w:ascii="Arial" w:hAnsi="Arial" w:cs="Arial"/>
          <w:sz w:val="22"/>
        </w:rPr>
        <w:t xml:space="preserve"> establece la obligatoriedad de la adopción de </w:t>
      </w:r>
      <w:r w:rsidR="007579EA">
        <w:rPr>
          <w:rFonts w:ascii="Arial" w:hAnsi="Arial" w:cs="Arial"/>
          <w:sz w:val="22"/>
        </w:rPr>
        <w:t>d</w:t>
      </w:r>
      <w:r w:rsidRPr="00D03D82">
        <w:rPr>
          <w:rFonts w:ascii="Arial" w:hAnsi="Arial" w:cs="Arial"/>
          <w:sz w:val="22"/>
        </w:rPr>
        <w:t xml:space="preserve">ocumentos </w:t>
      </w:r>
      <w:r w:rsidR="007579EA">
        <w:rPr>
          <w:rFonts w:ascii="Arial" w:hAnsi="Arial" w:cs="Arial"/>
          <w:sz w:val="22"/>
        </w:rPr>
        <w:t>t</w:t>
      </w:r>
      <w:r w:rsidRPr="00D03D82">
        <w:rPr>
          <w:rFonts w:ascii="Arial" w:hAnsi="Arial" w:cs="Arial"/>
          <w:sz w:val="22"/>
        </w:rPr>
        <w:t>ipo para diferentes procesos de selección</w:t>
      </w:r>
      <w:r w:rsidR="0047248B" w:rsidRPr="00D03D82">
        <w:rPr>
          <w:rFonts w:ascii="Arial" w:hAnsi="Arial" w:cs="Arial"/>
          <w:sz w:val="22"/>
        </w:rPr>
        <w:t>, en los siguientes términos</w:t>
      </w:r>
      <w:r w:rsidRPr="00D03D82">
        <w:rPr>
          <w:rFonts w:ascii="Arial" w:hAnsi="Arial" w:cs="Arial"/>
          <w:sz w:val="22"/>
        </w:rPr>
        <w:t xml:space="preserve">: </w:t>
      </w:r>
    </w:p>
    <w:p w14:paraId="09B8836E" w14:textId="77777777" w:rsidR="00A2164E" w:rsidRPr="00D03D82" w:rsidRDefault="00A2164E" w:rsidP="00A2164E">
      <w:pPr>
        <w:ind w:firstLine="709"/>
        <w:jc w:val="both"/>
        <w:rPr>
          <w:rFonts w:ascii="Arial" w:hAnsi="Arial" w:cs="Arial"/>
          <w:sz w:val="22"/>
        </w:rPr>
      </w:pPr>
    </w:p>
    <w:p w14:paraId="0341F09B" w14:textId="2E4171C4" w:rsidR="00E222CD" w:rsidRPr="00D03D82" w:rsidRDefault="00A227A5" w:rsidP="006B057B">
      <w:pPr>
        <w:ind w:left="709" w:right="758"/>
        <w:jc w:val="both"/>
        <w:rPr>
          <w:rFonts w:ascii="Arial" w:hAnsi="Arial" w:cs="Arial"/>
          <w:sz w:val="21"/>
          <w:szCs w:val="21"/>
        </w:rPr>
      </w:pPr>
      <w:r w:rsidRPr="00D03D82">
        <w:rPr>
          <w:rFonts w:ascii="Arial" w:hAnsi="Arial" w:cs="Arial"/>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w:t>
      </w:r>
      <w:r w:rsidRPr="00D03D82">
        <w:rPr>
          <w:rFonts w:ascii="Arial" w:hAnsi="Arial" w:cs="Arial"/>
          <w:sz w:val="21"/>
          <w:szCs w:val="21"/>
        </w:rPr>
        <w:lastRenderedPageBreak/>
        <w:t>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1E7057" w14:textId="37C8AEDE" w:rsidR="006B057B" w:rsidRPr="00D03D82" w:rsidRDefault="006B057B" w:rsidP="006B057B">
      <w:pPr>
        <w:jc w:val="both"/>
        <w:rPr>
          <w:rFonts w:ascii="Arial" w:hAnsi="Arial" w:cs="Arial"/>
          <w:sz w:val="22"/>
        </w:rPr>
      </w:pPr>
    </w:p>
    <w:p w14:paraId="0E419D65" w14:textId="45029C42" w:rsidR="00C8270C" w:rsidRDefault="00C8270C" w:rsidP="00C8270C">
      <w:pPr>
        <w:spacing w:before="120" w:after="120" w:line="276" w:lineRule="auto"/>
        <w:ind w:firstLine="705"/>
        <w:jc w:val="both"/>
        <w:rPr>
          <w:rFonts w:ascii="Arial" w:hAnsi="Arial" w:cs="Arial"/>
          <w:sz w:val="22"/>
          <w:lang w:val="es-ES"/>
        </w:rPr>
      </w:pPr>
      <w:r w:rsidRPr="008F238D">
        <w:rPr>
          <w:rFonts w:ascii="Arial" w:hAnsi="Arial" w:cs="Arial"/>
          <w:sz w:val="22"/>
          <w:lang w:val="es-ES"/>
        </w:rPr>
        <w:t xml:space="preserve">En ejercicio de la competencia conferida por el citado parágrafo, el Gobierno Nacional expidió el Decreto 342 de 2019, por medio del que se adoptaron los </w:t>
      </w:r>
      <w:r w:rsidR="00F454F6">
        <w:rPr>
          <w:rFonts w:ascii="Arial" w:hAnsi="Arial" w:cs="Arial"/>
          <w:sz w:val="22"/>
          <w:lang w:val="es-ES"/>
        </w:rPr>
        <w:t>d</w:t>
      </w:r>
      <w:r w:rsidRPr="008F238D">
        <w:rPr>
          <w:rFonts w:ascii="Arial" w:hAnsi="Arial" w:cs="Arial"/>
          <w:sz w:val="22"/>
          <w:lang w:val="es-ES"/>
        </w:rPr>
        <w:t xml:space="preserve">ocumentos </w:t>
      </w:r>
      <w:r w:rsidR="00F454F6">
        <w:rPr>
          <w:rFonts w:ascii="Arial" w:hAnsi="Arial" w:cs="Arial"/>
          <w:sz w:val="22"/>
          <w:lang w:val="es-ES"/>
        </w:rPr>
        <w:t>t</w:t>
      </w:r>
      <w:r w:rsidRPr="008F238D">
        <w:rPr>
          <w:rFonts w:ascii="Arial" w:hAnsi="Arial" w:cs="Arial"/>
          <w:sz w:val="22"/>
          <w:lang w:val="es-ES"/>
        </w:rPr>
        <w:t xml:space="preserve">ipo para licitaciones públicas </w:t>
      </w:r>
      <w:r w:rsidR="00F454F6">
        <w:rPr>
          <w:rFonts w:ascii="Arial" w:hAnsi="Arial" w:cs="Arial"/>
          <w:sz w:val="22"/>
          <w:lang w:val="es-ES"/>
        </w:rPr>
        <w:t>dirigidas a la</w:t>
      </w:r>
      <w:r w:rsidRPr="008F238D">
        <w:rPr>
          <w:rFonts w:ascii="Arial" w:hAnsi="Arial" w:cs="Arial"/>
          <w:sz w:val="22"/>
          <w:lang w:val="es-ES"/>
        </w:rPr>
        <w:t xml:space="preserve"> selección de contratistas de obra de infraestructura de transporte, por lo que adicionó </w:t>
      </w:r>
      <w:r w:rsidRPr="008F238D">
        <w:rPr>
          <w:rFonts w:ascii="Arial" w:hAnsi="Arial" w:cs="Arial"/>
          <w:sz w:val="22"/>
        </w:rPr>
        <w:t>la Sección 6 y la Subsección 1 al Capítulo 2 del Título 1 de la Parte 2 del Libro 2 del Decreto 1082 de 2015, Decreto Único Reglamentario del Sector Administrativo de Planeación Nacional.</w:t>
      </w:r>
      <w:r w:rsidRPr="008F238D">
        <w:rPr>
          <w:rFonts w:ascii="Arial" w:hAnsi="Arial" w:cs="Arial"/>
          <w:sz w:val="22"/>
          <w:lang w:val="es-ES"/>
        </w:rPr>
        <w:t xml:space="preserve">  Posteriormente el Gobierno Nacional profirió el Decreto 2096 de 2019, el cual de manera análoga a lo realizado mediante el Decreto 342 de 201</w:t>
      </w:r>
      <w:r>
        <w:rPr>
          <w:rFonts w:ascii="Arial" w:hAnsi="Arial" w:cs="Arial"/>
          <w:sz w:val="22"/>
          <w:lang w:val="es-ES"/>
        </w:rPr>
        <w:t>9</w:t>
      </w:r>
      <w:r w:rsidRPr="008F238D">
        <w:rPr>
          <w:rFonts w:ascii="Arial" w:hAnsi="Arial" w:cs="Arial"/>
          <w:sz w:val="22"/>
          <w:lang w:val="es-ES"/>
        </w:rPr>
        <w:t xml:space="preserve">, respecto de la licitación de obra pública, adoptó los </w:t>
      </w:r>
      <w:r w:rsidR="00F454F6">
        <w:rPr>
          <w:rFonts w:ascii="Arial" w:hAnsi="Arial" w:cs="Arial"/>
          <w:sz w:val="22"/>
          <w:lang w:val="es-ES"/>
        </w:rPr>
        <w:t>d</w:t>
      </w:r>
      <w:r w:rsidRPr="008F238D">
        <w:rPr>
          <w:rFonts w:ascii="Arial" w:hAnsi="Arial" w:cs="Arial"/>
          <w:sz w:val="22"/>
          <w:lang w:val="es-ES"/>
        </w:rPr>
        <w:t xml:space="preserve">ocumentos </w:t>
      </w:r>
      <w:r w:rsidR="00F454F6">
        <w:rPr>
          <w:rFonts w:ascii="Arial" w:hAnsi="Arial" w:cs="Arial"/>
          <w:sz w:val="22"/>
          <w:lang w:val="es-ES"/>
        </w:rPr>
        <w:t>t</w:t>
      </w:r>
      <w:r w:rsidRPr="008F238D">
        <w:rPr>
          <w:rFonts w:ascii="Arial" w:hAnsi="Arial" w:cs="Arial"/>
          <w:sz w:val="22"/>
          <w:lang w:val="es-ES"/>
        </w:rPr>
        <w:t xml:space="preserve">ipo para procesos de contratación de obra pública de infraestructura de transporte adelantados en la modalidad de selección abreviada de menor cuantía, para lo que se adicionó la Subsección 2 a la Sección 6 </w:t>
      </w:r>
      <w:r w:rsidRPr="008F238D">
        <w:rPr>
          <w:rFonts w:ascii="Arial" w:hAnsi="Arial" w:cs="Arial"/>
          <w:sz w:val="22"/>
        </w:rPr>
        <w:t xml:space="preserve">del Capítulo 2 del Título 1 de la parte 2 del Libro 2 </w:t>
      </w:r>
      <w:r w:rsidRPr="008F238D">
        <w:rPr>
          <w:rFonts w:ascii="Arial" w:hAnsi="Arial" w:cs="Arial"/>
          <w:sz w:val="22"/>
          <w:lang w:val="es-ES"/>
        </w:rPr>
        <w:t xml:space="preserve">del Decreto 1082 de 2015. En el mismo sentido, el Gobierno Nacional expidió el Decreto 594 de 2020, por medio de los que se adoptaron </w:t>
      </w:r>
      <w:r w:rsidR="00F454F6">
        <w:rPr>
          <w:rFonts w:ascii="Arial" w:hAnsi="Arial" w:cs="Arial"/>
          <w:sz w:val="22"/>
          <w:lang w:val="es-ES"/>
        </w:rPr>
        <w:t>d</w:t>
      </w:r>
      <w:r w:rsidRPr="008F238D">
        <w:rPr>
          <w:rFonts w:ascii="Arial" w:hAnsi="Arial" w:cs="Arial"/>
          <w:sz w:val="22"/>
          <w:lang w:val="es-ES"/>
        </w:rPr>
        <w:t xml:space="preserve">ocumentos </w:t>
      </w:r>
      <w:r w:rsidR="00F454F6">
        <w:rPr>
          <w:rFonts w:ascii="Arial" w:hAnsi="Arial" w:cs="Arial"/>
          <w:sz w:val="22"/>
          <w:lang w:val="es-ES"/>
        </w:rPr>
        <w:t>t</w:t>
      </w:r>
      <w:r w:rsidRPr="008F238D">
        <w:rPr>
          <w:rFonts w:ascii="Arial" w:hAnsi="Arial" w:cs="Arial"/>
          <w:sz w:val="22"/>
          <w:lang w:val="es-ES"/>
        </w:rPr>
        <w:t xml:space="preserve">ipo para la selección de contratistas de obra pública de infraestructura de transporte en la modalidad de mínima cuantía, modificando el artículo 2.2.1.2.6.1.6. y adicionando la Subsección 3, a la Sección 6, del Capítulo 2, del Título 1, de la Parte 2, del Libro 2 del Decreto 1082 de 2015. </w:t>
      </w:r>
    </w:p>
    <w:p w14:paraId="508DB11B" w14:textId="4A3F8C9C" w:rsidR="00C8270C" w:rsidRPr="008F238D" w:rsidRDefault="00C8270C" w:rsidP="00C8270C">
      <w:pPr>
        <w:spacing w:before="120" w:after="120" w:line="276" w:lineRule="auto"/>
        <w:ind w:firstLine="705"/>
        <w:jc w:val="both"/>
        <w:rPr>
          <w:rFonts w:ascii="Arial" w:hAnsi="Arial" w:cs="Arial"/>
          <w:sz w:val="22"/>
          <w:lang w:val="es-ES"/>
        </w:rPr>
      </w:pPr>
      <w:r w:rsidRPr="008F238D">
        <w:rPr>
          <w:rFonts w:ascii="Arial" w:hAnsi="Arial" w:cs="Arial"/>
          <w:sz w:val="22"/>
          <w:lang w:val="es-ES"/>
        </w:rPr>
        <w:t xml:space="preserve">El desarrollo e implementación de estos </w:t>
      </w:r>
      <w:r w:rsidR="00F454F6">
        <w:rPr>
          <w:rFonts w:ascii="Arial" w:hAnsi="Arial" w:cs="Arial"/>
          <w:sz w:val="22"/>
          <w:lang w:val="es-ES"/>
        </w:rPr>
        <w:t>d</w:t>
      </w:r>
      <w:r w:rsidRPr="008F238D">
        <w:rPr>
          <w:rFonts w:ascii="Arial" w:hAnsi="Arial" w:cs="Arial"/>
          <w:sz w:val="22"/>
          <w:lang w:val="es-ES"/>
        </w:rPr>
        <w:t xml:space="preserve">ocumentos </w:t>
      </w:r>
      <w:r w:rsidR="00F454F6">
        <w:rPr>
          <w:rFonts w:ascii="Arial" w:hAnsi="Arial" w:cs="Arial"/>
          <w:sz w:val="22"/>
          <w:lang w:val="es-ES"/>
        </w:rPr>
        <w:t>t</w:t>
      </w:r>
      <w:r w:rsidRPr="008F238D">
        <w:rPr>
          <w:rFonts w:ascii="Arial" w:hAnsi="Arial" w:cs="Arial"/>
          <w:sz w:val="22"/>
          <w:lang w:val="es-ES"/>
        </w:rPr>
        <w:t xml:space="preserve">ipo fue encomendado a la Agencia Nacional de Contratación Pública – Colombia Compra </w:t>
      </w:r>
      <w:r>
        <w:rPr>
          <w:rFonts w:ascii="Arial" w:hAnsi="Arial" w:cs="Arial"/>
          <w:sz w:val="22"/>
          <w:lang w:val="es-ES"/>
        </w:rPr>
        <w:t>E</w:t>
      </w:r>
      <w:r w:rsidRPr="008F238D">
        <w:rPr>
          <w:rFonts w:ascii="Arial" w:hAnsi="Arial" w:cs="Arial"/>
          <w:sz w:val="22"/>
          <w:lang w:val="es-ES"/>
        </w:rPr>
        <w:t xml:space="preserve">ficiente en coordinación con el Ministerio de Transporte y el Departamento Nacional de Planeación. La Agencia ejerció esta competencia expidiendo la Resolución No. 1798 de 2019, referida a procesos de licitación pública –Versión 1–, la cual fue actualizada por la Resolución No. 045 de 2020 –Versión 2–-.  Así mismo se expidieron la Resolución No. 044 de 2020 que implementó los Documentos Tipo para la modalidad de selección abreviada de menor cuantía, y la Resolución No. 094 de 2020, que se hizo lo propio respecto de la modalidad de mínima cuantía. </w:t>
      </w:r>
    </w:p>
    <w:p w14:paraId="66D03531" w14:textId="26846D81" w:rsidR="00C8270C" w:rsidRPr="008F238D" w:rsidRDefault="00C8270C" w:rsidP="00C8270C">
      <w:pPr>
        <w:spacing w:before="120" w:after="120" w:line="276" w:lineRule="auto"/>
        <w:ind w:firstLine="705"/>
        <w:jc w:val="both"/>
        <w:rPr>
          <w:rFonts w:ascii="Arial" w:hAnsi="Arial" w:cs="Arial"/>
          <w:sz w:val="22"/>
          <w:lang w:val="es-ES"/>
        </w:rPr>
      </w:pPr>
      <w:r w:rsidRPr="008F238D">
        <w:rPr>
          <w:rFonts w:ascii="Arial" w:hAnsi="Arial" w:cs="Arial"/>
          <w:sz w:val="22"/>
          <w:lang w:val="es-ES"/>
        </w:rPr>
        <w:t xml:space="preserve">Estos documentos contienen parámetros de obligatoria observancia para las entidades estatales </w:t>
      </w:r>
      <w:r w:rsidR="00F454F6">
        <w:rPr>
          <w:rFonts w:ascii="Arial" w:hAnsi="Arial" w:cs="Arial"/>
          <w:sz w:val="22"/>
          <w:lang w:val="es-ES"/>
        </w:rPr>
        <w:t>sometidas</w:t>
      </w:r>
      <w:r w:rsidRPr="008F238D">
        <w:rPr>
          <w:rFonts w:ascii="Arial" w:hAnsi="Arial" w:cs="Arial"/>
          <w:sz w:val="22"/>
          <w:lang w:val="es-ES"/>
        </w:rPr>
        <w:t xml:space="preserve"> </w:t>
      </w:r>
      <w:r w:rsidR="00F454F6">
        <w:rPr>
          <w:rFonts w:ascii="Arial" w:hAnsi="Arial" w:cs="Arial"/>
          <w:sz w:val="22"/>
          <w:lang w:val="es-ES"/>
        </w:rPr>
        <w:t>a</w:t>
      </w:r>
      <w:r w:rsidRPr="008F238D">
        <w:rPr>
          <w:rFonts w:ascii="Arial" w:hAnsi="Arial" w:cs="Arial"/>
          <w:sz w:val="22"/>
          <w:lang w:val="es-ES"/>
        </w:rPr>
        <w:t xml:space="preserve">l régimen de contratación de la Ley 80 de 1993, que adelanten procesos de selección en las referidas modalidades para la contratación de obra pública de infraestructura de transporte. Conforme a lo anterior, y en desarrollo de lo dispuesto en el artículo 4 de la Ley 1882 de 2018, los </w:t>
      </w:r>
      <w:r w:rsidR="00F454F6">
        <w:rPr>
          <w:rFonts w:ascii="Arial" w:hAnsi="Arial" w:cs="Arial"/>
          <w:sz w:val="22"/>
          <w:lang w:val="es-ES"/>
        </w:rPr>
        <w:t>d</w:t>
      </w:r>
      <w:r w:rsidRPr="008F238D">
        <w:rPr>
          <w:rFonts w:ascii="Arial" w:hAnsi="Arial" w:cs="Arial"/>
          <w:sz w:val="22"/>
          <w:lang w:val="es-ES"/>
        </w:rPr>
        <w:t xml:space="preserve">ocumentos </w:t>
      </w:r>
      <w:r w:rsidR="00F454F6">
        <w:rPr>
          <w:rFonts w:ascii="Arial" w:hAnsi="Arial" w:cs="Arial"/>
          <w:sz w:val="22"/>
          <w:lang w:val="es-ES"/>
        </w:rPr>
        <w:t>t</w:t>
      </w:r>
      <w:r w:rsidRPr="008F238D">
        <w:rPr>
          <w:rFonts w:ascii="Arial" w:hAnsi="Arial" w:cs="Arial"/>
          <w:sz w:val="22"/>
          <w:lang w:val="es-ES"/>
        </w:rPr>
        <w:t xml:space="preserve">ipo adoptados para las referidas modalidades de selección establecieron las condiciones habilitantes aplicables, </w:t>
      </w:r>
      <w:r w:rsidRPr="008F238D">
        <w:rPr>
          <w:rFonts w:ascii="Arial" w:hAnsi="Arial" w:cs="Arial"/>
          <w:sz w:val="22"/>
          <w:lang w:val="es-ES"/>
        </w:rPr>
        <w:lastRenderedPageBreak/>
        <w:t xml:space="preserve">así como los factores técnicos y económicos de escogencia para los procesos de selección en los que corresponda su aplicación, los cuales son de obligatoria observancia. Estos factores además son inalterables e inmodificables por parte de las entidades a la hora de utilizar los </w:t>
      </w:r>
      <w:r w:rsidR="00F454F6">
        <w:rPr>
          <w:rFonts w:ascii="Arial" w:hAnsi="Arial" w:cs="Arial"/>
          <w:sz w:val="22"/>
          <w:lang w:val="es-ES"/>
        </w:rPr>
        <w:t>d</w:t>
      </w:r>
      <w:r w:rsidRPr="008F238D">
        <w:rPr>
          <w:rFonts w:ascii="Arial" w:hAnsi="Arial" w:cs="Arial"/>
          <w:sz w:val="22"/>
          <w:lang w:val="es-ES"/>
        </w:rPr>
        <w:t xml:space="preserve">ocumentos </w:t>
      </w:r>
      <w:r w:rsidR="00F454F6">
        <w:rPr>
          <w:rFonts w:ascii="Arial" w:hAnsi="Arial" w:cs="Arial"/>
          <w:sz w:val="22"/>
          <w:lang w:val="es-ES"/>
        </w:rPr>
        <w:t>t</w:t>
      </w:r>
      <w:r w:rsidRPr="008F238D">
        <w:rPr>
          <w:rFonts w:ascii="Arial" w:hAnsi="Arial" w:cs="Arial"/>
          <w:sz w:val="22"/>
          <w:lang w:val="es-ES"/>
        </w:rPr>
        <w:t>ipo para adelantar sus procesos de contratación de conformidad con los artículos 2.2.1.2.6.1.4</w:t>
      </w:r>
      <w:r w:rsidRPr="008F238D">
        <w:rPr>
          <w:rStyle w:val="Refdenotaalpie"/>
          <w:rFonts w:ascii="Arial" w:hAnsi="Arial" w:cs="Arial"/>
          <w:sz w:val="22"/>
          <w:lang w:val="es-ES"/>
        </w:rPr>
        <w:footnoteReference w:id="1"/>
      </w:r>
      <w:r w:rsidRPr="008F238D">
        <w:rPr>
          <w:rFonts w:ascii="Arial" w:hAnsi="Arial" w:cs="Arial"/>
          <w:sz w:val="22"/>
          <w:lang w:val="es-ES"/>
        </w:rPr>
        <w:t>, 2.2.1.2.6.2.3</w:t>
      </w:r>
      <w:r w:rsidRPr="008F238D">
        <w:rPr>
          <w:rStyle w:val="Refdenotaalpie"/>
          <w:rFonts w:ascii="Arial" w:hAnsi="Arial" w:cs="Arial"/>
          <w:sz w:val="22"/>
          <w:lang w:val="es-ES"/>
        </w:rPr>
        <w:footnoteReference w:id="2"/>
      </w:r>
      <w:r w:rsidRPr="008F238D">
        <w:rPr>
          <w:rFonts w:ascii="Arial" w:hAnsi="Arial" w:cs="Arial"/>
          <w:sz w:val="22"/>
          <w:lang w:val="es-ES"/>
        </w:rPr>
        <w:t>. y 2.2.1.2.6.3.4</w:t>
      </w:r>
      <w:r w:rsidRPr="008F238D">
        <w:rPr>
          <w:rStyle w:val="Refdenotaalpie"/>
          <w:rFonts w:ascii="Arial" w:hAnsi="Arial" w:cs="Arial"/>
          <w:sz w:val="22"/>
          <w:lang w:val="es-ES"/>
        </w:rPr>
        <w:footnoteReference w:id="3"/>
      </w:r>
      <w:r w:rsidRPr="008F238D">
        <w:rPr>
          <w:rFonts w:ascii="Arial" w:hAnsi="Arial" w:cs="Arial"/>
          <w:sz w:val="22"/>
          <w:lang w:val="es-ES"/>
        </w:rPr>
        <w:t xml:space="preserve"> del Decreto 1082 de 2015.</w:t>
      </w:r>
    </w:p>
    <w:p w14:paraId="518050DC" w14:textId="5B991495" w:rsidR="005A3AE3" w:rsidRPr="00D03D82" w:rsidRDefault="006476FA" w:rsidP="005541A6">
      <w:pPr>
        <w:spacing w:before="120" w:line="276" w:lineRule="auto"/>
        <w:ind w:firstLine="708"/>
        <w:jc w:val="both"/>
        <w:rPr>
          <w:rFonts w:ascii="Arial" w:hAnsi="Arial" w:cs="Arial"/>
          <w:sz w:val="22"/>
        </w:rPr>
      </w:pPr>
      <w:r w:rsidRPr="00D03D82">
        <w:rPr>
          <w:rFonts w:ascii="Arial" w:hAnsi="Arial" w:cs="Arial"/>
          <w:sz w:val="22"/>
        </w:rPr>
        <w:t xml:space="preserve">De otro lado, </w:t>
      </w:r>
      <w:r w:rsidR="00A80C55" w:rsidRPr="00D03D82">
        <w:rPr>
          <w:rFonts w:ascii="Arial" w:hAnsi="Arial" w:cs="Arial"/>
          <w:sz w:val="22"/>
        </w:rPr>
        <w:t xml:space="preserve">en </w:t>
      </w:r>
      <w:r w:rsidR="003F06DD" w:rsidRPr="00D03D82">
        <w:rPr>
          <w:rFonts w:ascii="Arial" w:hAnsi="Arial" w:cs="Arial"/>
          <w:sz w:val="22"/>
        </w:rPr>
        <w:t xml:space="preserve">los </w:t>
      </w:r>
      <w:r w:rsidR="006667A2" w:rsidRPr="00D03D82">
        <w:rPr>
          <w:rFonts w:ascii="Arial" w:hAnsi="Arial" w:cs="Arial"/>
          <w:sz w:val="22"/>
        </w:rPr>
        <w:t xml:space="preserve">documentos base </w:t>
      </w:r>
      <w:r w:rsidR="003355A0" w:rsidRPr="00D03D82">
        <w:rPr>
          <w:rFonts w:ascii="Arial" w:hAnsi="Arial" w:cs="Arial"/>
          <w:sz w:val="22"/>
        </w:rPr>
        <w:t>de licitación pública</w:t>
      </w:r>
      <w:r w:rsidR="007119BC">
        <w:rPr>
          <w:rFonts w:ascii="Arial" w:hAnsi="Arial" w:cs="Arial"/>
          <w:sz w:val="22"/>
        </w:rPr>
        <w:t>,</w:t>
      </w:r>
      <w:r w:rsidR="003355A0" w:rsidRPr="00D03D82">
        <w:rPr>
          <w:rFonts w:ascii="Arial" w:hAnsi="Arial" w:cs="Arial"/>
          <w:sz w:val="22"/>
        </w:rPr>
        <w:t xml:space="preserve"> de selección abreviada</w:t>
      </w:r>
      <w:r w:rsidR="007119BC">
        <w:rPr>
          <w:rFonts w:ascii="Arial" w:hAnsi="Arial" w:cs="Arial"/>
          <w:sz w:val="22"/>
        </w:rPr>
        <w:t xml:space="preserve"> y mínima cuantía</w:t>
      </w:r>
      <w:r w:rsidR="003355A0" w:rsidRPr="00D03D82">
        <w:rPr>
          <w:rFonts w:ascii="Arial" w:hAnsi="Arial" w:cs="Arial"/>
          <w:sz w:val="22"/>
        </w:rPr>
        <w:t xml:space="preserve"> se hace referencia a</w:t>
      </w:r>
      <w:r w:rsidR="00AB50D7" w:rsidRPr="00D03D82">
        <w:rPr>
          <w:rFonts w:ascii="Arial" w:hAnsi="Arial" w:cs="Arial"/>
          <w:sz w:val="22"/>
        </w:rPr>
        <w:t xml:space="preserve">l ámbito de aplicación de los </w:t>
      </w:r>
      <w:r w:rsidR="006667A2" w:rsidRPr="00D03D82">
        <w:rPr>
          <w:rFonts w:ascii="Arial" w:hAnsi="Arial" w:cs="Arial"/>
          <w:sz w:val="22"/>
        </w:rPr>
        <w:t>pliegos tipo</w:t>
      </w:r>
      <w:r w:rsidR="006B057B" w:rsidRPr="00D03D82">
        <w:rPr>
          <w:rFonts w:ascii="Arial" w:hAnsi="Arial" w:cs="Arial"/>
          <w:sz w:val="22"/>
        </w:rPr>
        <w:t>.</w:t>
      </w:r>
      <w:r w:rsidR="00EA518F" w:rsidRPr="00D03D82">
        <w:rPr>
          <w:rFonts w:ascii="Arial" w:hAnsi="Arial" w:cs="Arial"/>
          <w:sz w:val="22"/>
        </w:rPr>
        <w:t xml:space="preserve"> </w:t>
      </w:r>
      <w:r w:rsidR="005A3AE3" w:rsidRPr="00D03D82">
        <w:rPr>
          <w:rFonts w:ascii="Arial" w:hAnsi="Arial" w:cs="Arial"/>
          <w:sz w:val="22"/>
        </w:rPr>
        <w:t>El primero,</w:t>
      </w:r>
      <w:r w:rsidR="00EA518F" w:rsidRPr="00D03D82">
        <w:rPr>
          <w:rFonts w:ascii="Arial" w:hAnsi="Arial" w:cs="Arial"/>
          <w:sz w:val="22"/>
        </w:rPr>
        <w:t xml:space="preserve"> establece que </w:t>
      </w:r>
      <w:r w:rsidR="006E18EB" w:rsidRPr="00D03D82">
        <w:rPr>
          <w:rFonts w:ascii="Arial" w:hAnsi="Arial" w:cs="Arial"/>
          <w:sz w:val="22"/>
        </w:rPr>
        <w:t xml:space="preserve">«los Documentos Tipo aplican a los procesos de licitación de obra pública de infraestructura de transporte </w:t>
      </w:r>
      <w:r w:rsidR="007579EA">
        <w:rPr>
          <w:rFonts w:ascii="Arial" w:hAnsi="Arial" w:cs="Arial"/>
          <w:sz w:val="22"/>
        </w:rPr>
        <w:t>–V</w:t>
      </w:r>
      <w:r w:rsidR="006E18EB" w:rsidRPr="00D03D82">
        <w:rPr>
          <w:rFonts w:ascii="Arial" w:hAnsi="Arial" w:cs="Arial"/>
          <w:sz w:val="22"/>
        </w:rPr>
        <w:t>ersión 2</w:t>
      </w:r>
      <w:r w:rsidR="007579EA">
        <w:rPr>
          <w:rFonts w:ascii="Arial" w:hAnsi="Arial" w:cs="Arial"/>
          <w:sz w:val="22"/>
        </w:rPr>
        <w:t>–</w:t>
      </w:r>
      <w:r w:rsidR="006E18EB" w:rsidRPr="00D03D82">
        <w:rPr>
          <w:rFonts w:ascii="Arial" w:hAnsi="Arial" w:cs="Arial"/>
          <w:sz w:val="22"/>
        </w:rPr>
        <w:t>, que correspondan a las actividades definidas en la Matriz 1 – Experiencia»</w:t>
      </w:r>
      <w:r w:rsidR="00E35DF3" w:rsidRPr="00D03D82">
        <w:rPr>
          <w:rFonts w:ascii="Arial" w:hAnsi="Arial" w:cs="Arial"/>
          <w:sz w:val="22"/>
        </w:rPr>
        <w:t xml:space="preserve">. El segundo, dispone que </w:t>
      </w:r>
      <w:r w:rsidR="00906A87" w:rsidRPr="00D03D82">
        <w:rPr>
          <w:rFonts w:ascii="Arial" w:hAnsi="Arial" w:cs="Arial"/>
          <w:sz w:val="22"/>
        </w:rPr>
        <w:t>«estos Documentos Tipo aplican a los procesos de selección abreviada de menor cuantía de obra pública de infraestructura de transporte, que correspondan a las actividades definidas en la Matriz 1 – Experiencia»</w:t>
      </w:r>
      <w:r w:rsidR="007119BC">
        <w:rPr>
          <w:rFonts w:ascii="Arial" w:hAnsi="Arial" w:cs="Arial"/>
          <w:sz w:val="22"/>
        </w:rPr>
        <w:t>. De manera análoga a lo dispuesto tales documentos base, la invitación de los documentos tipo para procesos de mínima cuantía dispone que estos se aplicarán «</w:t>
      </w:r>
      <w:r w:rsidR="007119BC" w:rsidRPr="007119BC">
        <w:rPr>
          <w:rFonts w:ascii="Arial" w:hAnsi="Arial" w:cs="Arial"/>
          <w:sz w:val="22"/>
        </w:rPr>
        <w:t>a los procesos de mínima cuantía de obra pública de infraestructura de transporte, que correspondan a las actividades definidas en la Matriz 1 – Experiencia</w:t>
      </w:r>
      <w:r w:rsidR="007119BC">
        <w:rPr>
          <w:rFonts w:ascii="Arial" w:hAnsi="Arial" w:cs="Arial"/>
          <w:sz w:val="22"/>
        </w:rPr>
        <w:t>»</w:t>
      </w:r>
      <w:r w:rsidR="007119BC" w:rsidRPr="007119BC">
        <w:rPr>
          <w:rFonts w:ascii="Arial" w:hAnsi="Arial" w:cs="Arial"/>
          <w:sz w:val="22"/>
        </w:rPr>
        <w:t>.</w:t>
      </w:r>
      <w:r w:rsidR="00906A87" w:rsidRPr="00D03D82">
        <w:rPr>
          <w:rFonts w:ascii="Arial" w:hAnsi="Arial" w:cs="Arial"/>
          <w:sz w:val="22"/>
        </w:rPr>
        <w:t xml:space="preserve"> </w:t>
      </w:r>
      <w:r w:rsidR="00F73D45" w:rsidRPr="00D03D82">
        <w:rPr>
          <w:rFonts w:ascii="Arial" w:hAnsi="Arial" w:cs="Arial"/>
          <w:sz w:val="22"/>
        </w:rPr>
        <w:t xml:space="preserve">Asimismo, los referidos documentos establecen que </w:t>
      </w:r>
      <w:r w:rsidR="00906A87" w:rsidRPr="00D03D82">
        <w:rPr>
          <w:rFonts w:ascii="Arial" w:hAnsi="Arial" w:cs="Arial"/>
          <w:sz w:val="22"/>
        </w:rPr>
        <w:t>«</w:t>
      </w:r>
      <w:r w:rsidR="00E079CB" w:rsidRPr="00D03D82">
        <w:rPr>
          <w:rFonts w:ascii="Arial" w:hAnsi="Arial" w:cs="Arial"/>
          <w:sz w:val="22"/>
        </w:rPr>
        <w:t>las actividades de infraestructura de transporte no contempladas en la Matriz 1 – Experiencia no tienen que aplicar los Documentos Tipo»</w:t>
      </w:r>
      <w:r w:rsidR="00D5103D">
        <w:rPr>
          <w:rFonts w:ascii="Arial" w:hAnsi="Arial" w:cs="Arial"/>
          <w:sz w:val="22"/>
        </w:rPr>
        <w:t>.</w:t>
      </w:r>
    </w:p>
    <w:p w14:paraId="561B5969" w14:textId="0E2B3FC6" w:rsidR="006B057B" w:rsidRPr="00D03D82" w:rsidRDefault="00D5103D" w:rsidP="00BD0076">
      <w:pPr>
        <w:spacing w:before="120" w:line="276" w:lineRule="auto"/>
        <w:ind w:firstLine="709"/>
        <w:jc w:val="both"/>
        <w:rPr>
          <w:rFonts w:ascii="Arial" w:hAnsi="Arial" w:cs="Arial"/>
          <w:sz w:val="22"/>
        </w:rPr>
      </w:pPr>
      <w:r>
        <w:rPr>
          <w:rFonts w:ascii="Arial" w:hAnsi="Arial" w:cs="Arial"/>
          <w:sz w:val="22"/>
        </w:rPr>
        <w:t>Ahora bien, l</w:t>
      </w:r>
      <w:r w:rsidR="009F7BDD" w:rsidRPr="00D03D82">
        <w:rPr>
          <w:rFonts w:ascii="Arial" w:hAnsi="Arial" w:cs="Arial"/>
          <w:sz w:val="22"/>
        </w:rPr>
        <w:t xml:space="preserve">a noción de infraestructura de transporte que acogen los </w:t>
      </w:r>
      <w:r w:rsidR="00733878">
        <w:rPr>
          <w:rFonts w:ascii="Arial" w:hAnsi="Arial" w:cs="Arial"/>
          <w:sz w:val="22"/>
        </w:rPr>
        <w:t>d</w:t>
      </w:r>
      <w:r w:rsidR="009F7BDD" w:rsidRPr="00D03D82">
        <w:rPr>
          <w:rFonts w:ascii="Arial" w:hAnsi="Arial" w:cs="Arial"/>
          <w:sz w:val="22"/>
        </w:rPr>
        <w:t xml:space="preserve">ocumentos </w:t>
      </w:r>
      <w:r w:rsidR="00733878">
        <w:rPr>
          <w:rFonts w:ascii="Arial" w:hAnsi="Arial" w:cs="Arial"/>
          <w:sz w:val="22"/>
        </w:rPr>
        <w:t>t</w:t>
      </w:r>
      <w:r w:rsidR="007579EA">
        <w:rPr>
          <w:rFonts w:ascii="Arial" w:hAnsi="Arial" w:cs="Arial"/>
          <w:sz w:val="22"/>
        </w:rPr>
        <w:t>i</w:t>
      </w:r>
      <w:r w:rsidR="00790697" w:rsidRPr="00D03D82">
        <w:rPr>
          <w:rFonts w:ascii="Arial" w:hAnsi="Arial" w:cs="Arial"/>
          <w:sz w:val="22"/>
        </w:rPr>
        <w:t xml:space="preserve">po, </w:t>
      </w:r>
      <w:r w:rsidR="00AB2DE4" w:rsidRPr="00D03D82">
        <w:rPr>
          <w:rFonts w:ascii="Arial" w:hAnsi="Arial" w:cs="Arial"/>
          <w:sz w:val="22"/>
        </w:rPr>
        <w:t>–</w:t>
      </w:r>
      <w:r w:rsidR="00790697" w:rsidRPr="00D03D82">
        <w:rPr>
          <w:rFonts w:ascii="Arial" w:hAnsi="Arial" w:cs="Arial"/>
          <w:sz w:val="22"/>
        </w:rPr>
        <w:t xml:space="preserve">sin perjuicio de la </w:t>
      </w:r>
      <w:r w:rsidR="00AB2DE4" w:rsidRPr="00D03D82">
        <w:rPr>
          <w:rFonts w:ascii="Arial" w:hAnsi="Arial" w:cs="Arial"/>
          <w:sz w:val="22"/>
        </w:rPr>
        <w:t>definición y características establecidas en los artículos 2 y 3</w:t>
      </w:r>
      <w:r w:rsidR="00AB2DE4" w:rsidRPr="00D03D82">
        <w:rPr>
          <w:rFonts w:ascii="Arial" w:hAnsi="Arial" w:cs="Arial"/>
          <w:sz w:val="22"/>
        </w:rPr>
        <w:softHyphen/>
        <w:t xml:space="preserve"> de la Ley 1682 de 2013</w:t>
      </w:r>
      <w:r w:rsidR="00AB2DE4" w:rsidRPr="00D03D82">
        <w:rPr>
          <w:rStyle w:val="Refdenotaalpie"/>
          <w:rFonts w:ascii="Arial" w:hAnsi="Arial" w:cs="Arial"/>
          <w:sz w:val="22"/>
        </w:rPr>
        <w:footnoteReference w:id="4"/>
      </w:r>
      <w:r w:rsidR="00AB2DE4" w:rsidRPr="00D03D82">
        <w:rPr>
          <w:rFonts w:ascii="Arial" w:hAnsi="Arial" w:cs="Arial"/>
          <w:sz w:val="22"/>
        </w:rPr>
        <w:t>–</w:t>
      </w:r>
      <w:r w:rsidR="009F7BDD" w:rsidRPr="00D03D82">
        <w:rPr>
          <w:rFonts w:ascii="Arial" w:hAnsi="Arial" w:cs="Arial"/>
          <w:sz w:val="22"/>
        </w:rPr>
        <w:t xml:space="preserve"> se encuentra definida en el numeral 1.29 del «Anexo 3 –Glosario», </w:t>
      </w:r>
      <w:r w:rsidR="009F7BDD" w:rsidRPr="00D03D82">
        <w:rPr>
          <w:rFonts w:ascii="Arial" w:hAnsi="Arial" w:cs="Arial"/>
          <w:sz w:val="22"/>
        </w:rPr>
        <w:lastRenderedPageBreak/>
        <w:t>donde se opta por hacer un listado coincide con los tipos de obra establecidos en la Matriz 1. En ese orden, p</w:t>
      </w:r>
      <w:r w:rsidR="00070D38" w:rsidRPr="00D03D82">
        <w:rPr>
          <w:rFonts w:ascii="Arial" w:hAnsi="Arial" w:cs="Arial"/>
          <w:sz w:val="22"/>
        </w:rPr>
        <w:t xml:space="preserve">ara </w:t>
      </w:r>
      <w:r w:rsidR="00F42B5B" w:rsidRPr="00D03D82">
        <w:rPr>
          <w:rFonts w:ascii="Arial" w:hAnsi="Arial" w:cs="Arial"/>
          <w:sz w:val="22"/>
        </w:rPr>
        <w:t>determina</w:t>
      </w:r>
      <w:r w:rsidR="00070D38" w:rsidRPr="00D03D82">
        <w:rPr>
          <w:rFonts w:ascii="Arial" w:hAnsi="Arial" w:cs="Arial"/>
          <w:sz w:val="22"/>
        </w:rPr>
        <w:t>r</w:t>
      </w:r>
      <w:r w:rsidR="009F7BDD" w:rsidRPr="00D03D82">
        <w:rPr>
          <w:rFonts w:ascii="Arial" w:hAnsi="Arial" w:cs="Arial"/>
          <w:sz w:val="22"/>
        </w:rPr>
        <w:t xml:space="preserve"> si el objeto a contratar recae sobre una infraestructura de transporte, y si en consecuencia procede la</w:t>
      </w:r>
      <w:r w:rsidR="00F42B5B" w:rsidRPr="00D03D82">
        <w:rPr>
          <w:rFonts w:ascii="Arial" w:hAnsi="Arial" w:cs="Arial"/>
          <w:sz w:val="22"/>
        </w:rPr>
        <w:t xml:space="preserve"> aplicación de los </w:t>
      </w:r>
      <w:r w:rsidR="006667A2" w:rsidRPr="00D03D82">
        <w:rPr>
          <w:rFonts w:ascii="Arial" w:hAnsi="Arial" w:cs="Arial"/>
          <w:sz w:val="22"/>
        </w:rPr>
        <w:t>documentos tipo</w:t>
      </w:r>
      <w:r w:rsidR="00F42B5B" w:rsidRPr="00D03D82">
        <w:rPr>
          <w:rFonts w:ascii="Arial" w:hAnsi="Arial" w:cs="Arial"/>
          <w:sz w:val="22"/>
        </w:rPr>
        <w:t xml:space="preserve">, </w:t>
      </w:r>
      <w:r w:rsidR="00070D38" w:rsidRPr="00D03D82">
        <w:rPr>
          <w:rFonts w:ascii="Arial" w:hAnsi="Arial" w:cs="Arial"/>
          <w:sz w:val="22"/>
        </w:rPr>
        <w:t xml:space="preserve">se debe acudir a la </w:t>
      </w:r>
      <w:r w:rsidR="006667A2">
        <w:rPr>
          <w:rFonts w:ascii="Arial" w:hAnsi="Arial" w:cs="Arial"/>
          <w:sz w:val="22"/>
        </w:rPr>
        <w:t>«</w:t>
      </w:r>
      <w:r w:rsidR="00070D38" w:rsidRPr="00D03D82">
        <w:rPr>
          <w:rFonts w:ascii="Arial" w:hAnsi="Arial" w:cs="Arial"/>
          <w:sz w:val="22"/>
        </w:rPr>
        <w:t>Matriz 1</w:t>
      </w:r>
      <w:r w:rsidR="00E62A1B" w:rsidRPr="00D03D82">
        <w:rPr>
          <w:rFonts w:ascii="Arial" w:hAnsi="Arial" w:cs="Arial"/>
          <w:sz w:val="22"/>
        </w:rPr>
        <w:t xml:space="preserve"> ─ Experiencia</w:t>
      </w:r>
      <w:r w:rsidR="006667A2">
        <w:rPr>
          <w:rFonts w:ascii="Arial" w:hAnsi="Arial" w:cs="Arial"/>
          <w:sz w:val="22"/>
        </w:rPr>
        <w:t>»</w:t>
      </w:r>
      <w:r w:rsidR="004B25C5" w:rsidRPr="00D03D82">
        <w:rPr>
          <w:rFonts w:ascii="Arial" w:hAnsi="Arial" w:cs="Arial"/>
          <w:sz w:val="22"/>
        </w:rPr>
        <w:t xml:space="preserve">. </w:t>
      </w:r>
      <w:r w:rsidR="00D0008B" w:rsidRPr="00D03D82">
        <w:rPr>
          <w:rFonts w:ascii="Arial" w:hAnsi="Arial" w:cs="Arial"/>
          <w:sz w:val="22"/>
        </w:rPr>
        <w:t xml:space="preserve">En ambos casos, </w:t>
      </w:r>
      <w:r w:rsidR="007F4514" w:rsidRPr="00D03D82">
        <w:rPr>
          <w:rFonts w:ascii="Arial" w:hAnsi="Arial" w:cs="Arial"/>
          <w:sz w:val="22"/>
        </w:rPr>
        <w:t>l</w:t>
      </w:r>
      <w:r w:rsidR="004B25C5" w:rsidRPr="00D03D82">
        <w:rPr>
          <w:rFonts w:ascii="Arial" w:hAnsi="Arial" w:cs="Arial"/>
          <w:sz w:val="22"/>
        </w:rPr>
        <w:t xml:space="preserve">a Matriz 1 de los </w:t>
      </w:r>
      <w:r w:rsidR="006667A2" w:rsidRPr="00D03D82">
        <w:rPr>
          <w:rFonts w:ascii="Arial" w:hAnsi="Arial" w:cs="Arial"/>
          <w:sz w:val="22"/>
        </w:rPr>
        <w:t xml:space="preserve">pliegos tipo </w:t>
      </w:r>
      <w:r w:rsidR="00182776" w:rsidRPr="00D03D82">
        <w:rPr>
          <w:rFonts w:ascii="Arial" w:hAnsi="Arial" w:cs="Arial"/>
          <w:sz w:val="22"/>
        </w:rPr>
        <w:t xml:space="preserve">está constituida por ocho </w:t>
      </w:r>
      <w:r w:rsidR="009B4B19" w:rsidRPr="00D03D82">
        <w:rPr>
          <w:rFonts w:ascii="Arial" w:hAnsi="Arial" w:cs="Arial"/>
          <w:sz w:val="22"/>
        </w:rPr>
        <w:t>(</w:t>
      </w:r>
      <w:r w:rsidR="00182776" w:rsidRPr="00D03D82">
        <w:rPr>
          <w:rFonts w:ascii="Arial" w:hAnsi="Arial" w:cs="Arial"/>
          <w:sz w:val="22"/>
        </w:rPr>
        <w:t>8</w:t>
      </w:r>
      <w:r w:rsidR="009B4B19" w:rsidRPr="00D03D82">
        <w:rPr>
          <w:rFonts w:ascii="Arial" w:hAnsi="Arial" w:cs="Arial"/>
          <w:sz w:val="22"/>
        </w:rPr>
        <w:t>)</w:t>
      </w:r>
      <w:r w:rsidR="00182776" w:rsidRPr="00D03D82">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D03D82">
        <w:rPr>
          <w:rFonts w:ascii="Arial" w:hAnsi="Arial" w:cs="Arial"/>
          <w:sz w:val="22"/>
        </w:rPr>
        <w:t>Est</w:t>
      </w:r>
      <w:r w:rsidR="00BE3DB5" w:rsidRPr="00D03D82">
        <w:rPr>
          <w:rFonts w:ascii="Arial" w:hAnsi="Arial" w:cs="Arial"/>
          <w:sz w:val="22"/>
        </w:rPr>
        <w:t>as</w:t>
      </w:r>
      <w:r w:rsidR="00792691" w:rsidRPr="00D03D82">
        <w:rPr>
          <w:rFonts w:ascii="Arial" w:hAnsi="Arial" w:cs="Arial"/>
          <w:sz w:val="22"/>
        </w:rPr>
        <w:t xml:space="preserve"> obras de infraestructura de transporte</w:t>
      </w:r>
      <w:r w:rsidR="00F20F0D" w:rsidRPr="00D03D82">
        <w:rPr>
          <w:rFonts w:ascii="Arial" w:hAnsi="Arial" w:cs="Arial"/>
          <w:sz w:val="22"/>
        </w:rPr>
        <w:t xml:space="preserve">, a su vez, </w:t>
      </w:r>
      <w:r w:rsidR="007F4514" w:rsidRPr="00D03D82">
        <w:rPr>
          <w:rFonts w:ascii="Arial" w:hAnsi="Arial" w:cs="Arial"/>
          <w:sz w:val="22"/>
        </w:rPr>
        <w:t xml:space="preserve">se encuentran </w:t>
      </w:r>
      <w:r w:rsidR="00F20F0D" w:rsidRPr="00D03D82">
        <w:rPr>
          <w:rFonts w:ascii="Arial" w:hAnsi="Arial" w:cs="Arial"/>
          <w:sz w:val="22"/>
        </w:rPr>
        <w:t>subdivididas</w:t>
      </w:r>
      <w:r w:rsidR="00083023" w:rsidRPr="00D03D82">
        <w:rPr>
          <w:rFonts w:ascii="Arial" w:hAnsi="Arial" w:cs="Arial"/>
          <w:sz w:val="22"/>
        </w:rPr>
        <w:t xml:space="preserve"> en </w:t>
      </w:r>
      <w:r w:rsidR="000E11AC" w:rsidRPr="00D03D82">
        <w:rPr>
          <w:rFonts w:ascii="Arial" w:hAnsi="Arial" w:cs="Arial"/>
          <w:sz w:val="22"/>
        </w:rPr>
        <w:t xml:space="preserve">la Matriz 1 como </w:t>
      </w:r>
      <w:r w:rsidR="00083023" w:rsidRPr="00D03D82">
        <w:rPr>
          <w:rFonts w:ascii="Arial" w:hAnsi="Arial" w:cs="Arial"/>
          <w:sz w:val="22"/>
        </w:rPr>
        <w:t>«actividades a contratar».</w:t>
      </w:r>
    </w:p>
    <w:p w14:paraId="59CC195C" w14:textId="59FF8A3D" w:rsidR="004501E4" w:rsidRPr="00D03D82" w:rsidRDefault="004E3943" w:rsidP="00BD0076">
      <w:pPr>
        <w:spacing w:before="120" w:line="276" w:lineRule="auto"/>
        <w:ind w:firstLine="709"/>
        <w:jc w:val="both"/>
        <w:rPr>
          <w:rFonts w:ascii="Arial" w:hAnsi="Arial" w:cs="Arial"/>
          <w:sz w:val="22"/>
        </w:rPr>
      </w:pPr>
      <w:r w:rsidRPr="00D03D82">
        <w:rPr>
          <w:rFonts w:ascii="Arial" w:hAnsi="Arial" w:cs="Arial"/>
          <w:sz w:val="22"/>
        </w:rPr>
        <w:t xml:space="preserve">Por ejemplo, </w:t>
      </w:r>
      <w:r w:rsidR="00AF7706" w:rsidRPr="00D03D82">
        <w:rPr>
          <w:rFonts w:ascii="Arial" w:hAnsi="Arial" w:cs="Arial"/>
          <w:sz w:val="22"/>
        </w:rPr>
        <w:t>la</w:t>
      </w:r>
      <w:r w:rsidR="008F24C4" w:rsidRPr="00D03D82">
        <w:rPr>
          <w:rFonts w:ascii="Arial" w:hAnsi="Arial" w:cs="Arial"/>
          <w:sz w:val="22"/>
        </w:rPr>
        <w:t>s</w:t>
      </w:r>
      <w:r w:rsidR="00AF7706" w:rsidRPr="00D03D82">
        <w:rPr>
          <w:rFonts w:ascii="Arial" w:hAnsi="Arial" w:cs="Arial"/>
          <w:sz w:val="22"/>
        </w:rPr>
        <w:t xml:space="preserve"> </w:t>
      </w:r>
      <w:r w:rsidR="004501E4" w:rsidRPr="00D03D82">
        <w:rPr>
          <w:rFonts w:ascii="Arial" w:hAnsi="Arial" w:cs="Arial"/>
          <w:sz w:val="22"/>
        </w:rPr>
        <w:t>«</w:t>
      </w:r>
      <w:r w:rsidR="005541A6" w:rsidRPr="00D03D82">
        <w:rPr>
          <w:rFonts w:ascii="Arial" w:hAnsi="Arial" w:cs="Arial"/>
          <w:sz w:val="22"/>
        </w:rPr>
        <w:t>8. OBRAS AEROPORTUARIAS</w:t>
      </w:r>
      <w:r w:rsidR="004501E4" w:rsidRPr="00D03D82">
        <w:rPr>
          <w:rFonts w:ascii="Arial" w:hAnsi="Arial" w:cs="Arial"/>
          <w:sz w:val="22"/>
        </w:rPr>
        <w:t xml:space="preserve">» están subdivididas en </w:t>
      </w:r>
      <w:r w:rsidR="00996965" w:rsidRPr="00D03D82">
        <w:rPr>
          <w:rFonts w:ascii="Arial" w:hAnsi="Arial" w:cs="Arial"/>
          <w:sz w:val="22"/>
        </w:rPr>
        <w:t>seis (6)</w:t>
      </w:r>
      <w:r w:rsidR="004501E4" w:rsidRPr="00D03D82">
        <w:rPr>
          <w:rFonts w:ascii="Arial" w:hAnsi="Arial" w:cs="Arial"/>
          <w:sz w:val="22"/>
        </w:rPr>
        <w:t xml:space="preserve"> actividades a contratar, a saber: </w:t>
      </w:r>
      <w:r w:rsidR="00996965" w:rsidRPr="00D03D82">
        <w:rPr>
          <w:rFonts w:ascii="Arial" w:hAnsi="Arial" w:cs="Arial"/>
          <w:sz w:val="22"/>
        </w:rPr>
        <w:t xml:space="preserve">«8.1 PROYECTOS DE CONSTRUCCCION DE PISTAS O PLATAFORMAS O CALLES DE RODAJE O FRANJAS DE SEGURIDAD», «8.2 PROYECTOS DE MANTENIMIENTO DE PISTAS O PLATAFORMAS O CALLES DE RODAJE O FRANJAS DE SEGURIDAD», «8.3 PROYECTOS DE CONSTRUCCCION DE EDIFICACIONES AEROPORTUARIAS», «8.4 PROYECTOS DE MANTENIMIENTO DE EDIFICACIONES AEROPORTUARIAS», «8.5 PROYECTOS DE CONSTRUCCION O CONFORMACION DE FRANJAS DE SEGURIDAD O CANALES O DRENAJES» y «8.6 PROYECTOS DE MANTENIMIENTO DE FRANJAS DE SEGURIDAD O CANALES O DRENAJES». </w:t>
      </w:r>
      <w:r w:rsidR="0047425C" w:rsidRPr="00D03D82">
        <w:rPr>
          <w:rFonts w:ascii="Arial" w:hAnsi="Arial" w:cs="Arial"/>
          <w:sz w:val="22"/>
        </w:rPr>
        <w:t xml:space="preserve">Esta división es la misma en los </w:t>
      </w:r>
      <w:r w:rsidR="006667A2" w:rsidRPr="00D03D82">
        <w:rPr>
          <w:rFonts w:ascii="Arial" w:hAnsi="Arial" w:cs="Arial"/>
          <w:sz w:val="22"/>
        </w:rPr>
        <w:t>documentos tipo</w:t>
      </w:r>
      <w:r w:rsidR="0047425C" w:rsidRPr="00D03D82">
        <w:rPr>
          <w:rFonts w:ascii="Arial" w:hAnsi="Arial" w:cs="Arial"/>
          <w:sz w:val="22"/>
        </w:rPr>
        <w:t xml:space="preserve"> de licitación pública</w:t>
      </w:r>
      <w:r w:rsidR="00D5103D">
        <w:rPr>
          <w:rFonts w:ascii="Arial" w:hAnsi="Arial" w:cs="Arial"/>
          <w:sz w:val="22"/>
        </w:rPr>
        <w:t>,</w:t>
      </w:r>
      <w:r w:rsidR="008F24C4" w:rsidRPr="00D03D82">
        <w:rPr>
          <w:rFonts w:ascii="Arial" w:hAnsi="Arial" w:cs="Arial"/>
          <w:sz w:val="22"/>
        </w:rPr>
        <w:t xml:space="preserve"> </w:t>
      </w:r>
      <w:r w:rsidR="0047425C" w:rsidRPr="00D03D82">
        <w:rPr>
          <w:rFonts w:ascii="Arial" w:hAnsi="Arial" w:cs="Arial"/>
          <w:sz w:val="22"/>
        </w:rPr>
        <w:t>selección abreviada de menor cuantía</w:t>
      </w:r>
      <w:r w:rsidR="00D5103D">
        <w:rPr>
          <w:rFonts w:ascii="Arial" w:hAnsi="Arial" w:cs="Arial"/>
          <w:sz w:val="22"/>
        </w:rPr>
        <w:t xml:space="preserve"> y mínima cuantía</w:t>
      </w:r>
      <w:r w:rsidR="00632661" w:rsidRPr="00D03D82">
        <w:rPr>
          <w:rFonts w:ascii="Arial" w:hAnsi="Arial" w:cs="Arial"/>
          <w:sz w:val="22"/>
        </w:rPr>
        <w:t>.</w:t>
      </w:r>
      <w:r w:rsidR="008F24C4" w:rsidRPr="00D03D82">
        <w:rPr>
          <w:rFonts w:ascii="Arial" w:hAnsi="Arial" w:cs="Arial"/>
          <w:sz w:val="22"/>
        </w:rPr>
        <w:t xml:space="preserve"> De esta forma</w:t>
      </w:r>
      <w:r w:rsidR="0047425C" w:rsidRPr="00D03D82">
        <w:rPr>
          <w:rFonts w:ascii="Arial" w:hAnsi="Arial" w:cs="Arial"/>
          <w:sz w:val="22"/>
        </w:rPr>
        <w:t>, s</w:t>
      </w:r>
      <w:r w:rsidR="001026F1" w:rsidRPr="00D03D82">
        <w:rPr>
          <w:rFonts w:ascii="Arial" w:hAnsi="Arial" w:cs="Arial"/>
          <w:sz w:val="22"/>
        </w:rPr>
        <w:t xml:space="preserve">i la entidad pretende contratar alguna de </w:t>
      </w:r>
      <w:r w:rsidR="008F24C4" w:rsidRPr="00D03D82">
        <w:rPr>
          <w:rFonts w:ascii="Arial" w:hAnsi="Arial" w:cs="Arial"/>
          <w:sz w:val="22"/>
        </w:rPr>
        <w:t xml:space="preserve">tales </w:t>
      </w:r>
      <w:r w:rsidR="001026F1" w:rsidRPr="00D03D82">
        <w:rPr>
          <w:rFonts w:ascii="Arial" w:hAnsi="Arial" w:cs="Arial"/>
          <w:sz w:val="22"/>
        </w:rPr>
        <w:t xml:space="preserve">actividades, debe acudir a los </w:t>
      </w:r>
      <w:r w:rsidR="006667A2" w:rsidRPr="00D03D82">
        <w:rPr>
          <w:rFonts w:ascii="Arial" w:hAnsi="Arial" w:cs="Arial"/>
          <w:sz w:val="22"/>
        </w:rPr>
        <w:t>documentos tipo</w:t>
      </w:r>
      <w:r w:rsidR="00F27B31" w:rsidRPr="00D03D82">
        <w:rPr>
          <w:rFonts w:ascii="Arial" w:hAnsi="Arial" w:cs="Arial"/>
          <w:sz w:val="22"/>
        </w:rPr>
        <w:t>,</w:t>
      </w:r>
      <w:r w:rsidR="0047425C" w:rsidRPr="00D03D82">
        <w:rPr>
          <w:rFonts w:ascii="Arial" w:hAnsi="Arial" w:cs="Arial"/>
          <w:sz w:val="22"/>
        </w:rPr>
        <w:t xml:space="preserve"> </w:t>
      </w:r>
      <w:r w:rsidR="00450BB2" w:rsidRPr="00D03D82">
        <w:rPr>
          <w:rFonts w:ascii="Arial" w:hAnsi="Arial" w:cs="Arial"/>
          <w:sz w:val="22"/>
        </w:rPr>
        <w:t xml:space="preserve">ya sea </w:t>
      </w:r>
      <w:r w:rsidR="0047425C" w:rsidRPr="00D03D82">
        <w:rPr>
          <w:rFonts w:ascii="Arial" w:hAnsi="Arial" w:cs="Arial"/>
          <w:sz w:val="22"/>
        </w:rPr>
        <w:t xml:space="preserve">a los de licitación pública o </w:t>
      </w:r>
      <w:r w:rsidR="00B90CB1" w:rsidRPr="00D03D82">
        <w:rPr>
          <w:rFonts w:ascii="Arial" w:hAnsi="Arial" w:cs="Arial"/>
          <w:sz w:val="22"/>
        </w:rPr>
        <w:t xml:space="preserve">a los </w:t>
      </w:r>
      <w:r w:rsidR="00DE0A79" w:rsidRPr="00D03D82">
        <w:rPr>
          <w:rFonts w:ascii="Arial" w:hAnsi="Arial" w:cs="Arial"/>
          <w:sz w:val="22"/>
        </w:rPr>
        <w:t xml:space="preserve">de </w:t>
      </w:r>
      <w:r w:rsidR="00B90CB1" w:rsidRPr="00D03D82">
        <w:rPr>
          <w:rFonts w:ascii="Arial" w:hAnsi="Arial" w:cs="Arial"/>
          <w:sz w:val="22"/>
        </w:rPr>
        <w:t xml:space="preserve">selección abreviada de menor cuantía, dependiendo </w:t>
      </w:r>
      <w:r w:rsidR="00DE0A79" w:rsidRPr="00D03D82">
        <w:rPr>
          <w:rFonts w:ascii="Arial" w:hAnsi="Arial" w:cs="Arial"/>
          <w:sz w:val="22"/>
        </w:rPr>
        <w:t xml:space="preserve">de </w:t>
      </w:r>
      <w:r w:rsidR="00B90CB1" w:rsidRPr="00D03D82">
        <w:rPr>
          <w:rFonts w:ascii="Arial" w:hAnsi="Arial" w:cs="Arial"/>
          <w:sz w:val="22"/>
        </w:rPr>
        <w:t>las particularidades del proceso de contratación.</w:t>
      </w:r>
    </w:p>
    <w:p w14:paraId="5B821390" w14:textId="5DC42431" w:rsidR="00D5103D" w:rsidRPr="004645A1" w:rsidRDefault="00D5103D" w:rsidP="00D5103D">
      <w:pPr>
        <w:spacing w:before="120" w:line="276" w:lineRule="auto"/>
        <w:ind w:firstLine="709"/>
        <w:jc w:val="both"/>
        <w:rPr>
          <w:rFonts w:ascii="Arial" w:hAnsi="Arial" w:cs="Arial"/>
          <w:sz w:val="22"/>
        </w:rPr>
      </w:pPr>
      <w:r w:rsidRPr="004645A1">
        <w:rPr>
          <w:rFonts w:ascii="Arial" w:hAnsi="Arial" w:cs="Arial"/>
          <w:sz w:val="22"/>
        </w:rPr>
        <w:t xml:space="preserve">Esto, claro está, sin perjuicio de la aplicación de los </w:t>
      </w:r>
      <w:r w:rsidR="00733878">
        <w:rPr>
          <w:rFonts w:ascii="Arial" w:hAnsi="Arial" w:cs="Arial"/>
          <w:sz w:val="22"/>
        </w:rPr>
        <w:t>d</w:t>
      </w:r>
      <w:r w:rsidRPr="004645A1">
        <w:rPr>
          <w:rFonts w:ascii="Arial" w:hAnsi="Arial" w:cs="Arial"/>
          <w:sz w:val="22"/>
        </w:rPr>
        <w:t xml:space="preserve">ocumentos </w:t>
      </w:r>
      <w:r w:rsidR="00733878">
        <w:rPr>
          <w:rFonts w:ascii="Arial" w:hAnsi="Arial" w:cs="Arial"/>
          <w:sz w:val="22"/>
        </w:rPr>
        <w:t>t</w:t>
      </w:r>
      <w:r w:rsidRPr="004645A1">
        <w:rPr>
          <w:rFonts w:ascii="Arial" w:hAnsi="Arial" w:cs="Arial"/>
          <w:sz w:val="22"/>
        </w:rPr>
        <w:t>ipo en virtud del artículo 2.2.1.2.6.1.5. del Decreto 1082 de 2015</w:t>
      </w:r>
      <w:r>
        <w:rPr>
          <w:rStyle w:val="Refdenotaalpie"/>
          <w:rFonts w:ascii="Arial" w:hAnsi="Arial" w:cs="Arial"/>
          <w:sz w:val="22"/>
        </w:rPr>
        <w:footnoteReference w:id="5"/>
      </w:r>
      <w:r w:rsidRPr="004645A1">
        <w:rPr>
          <w:rFonts w:ascii="Arial" w:hAnsi="Arial" w:cs="Arial"/>
          <w:sz w:val="22"/>
        </w:rPr>
        <w:t>, adicionado por el artículo 1º del Decreto 342 de 2019, que establece lo siguiente:</w:t>
      </w:r>
    </w:p>
    <w:p w14:paraId="283568DC" w14:textId="77777777" w:rsidR="00D5103D" w:rsidRPr="004645A1" w:rsidRDefault="00D5103D" w:rsidP="00D5103D">
      <w:pPr>
        <w:jc w:val="both"/>
        <w:rPr>
          <w:rFonts w:ascii="Arial" w:hAnsi="Arial" w:cs="Arial"/>
          <w:sz w:val="22"/>
        </w:rPr>
      </w:pPr>
    </w:p>
    <w:p w14:paraId="240488D4" w14:textId="77777777" w:rsidR="00D5103D" w:rsidRPr="004645A1" w:rsidRDefault="00D5103D" w:rsidP="00D5103D">
      <w:pPr>
        <w:ind w:left="709" w:right="758"/>
        <w:jc w:val="both"/>
        <w:rPr>
          <w:rFonts w:ascii="Arial" w:hAnsi="Arial" w:cs="Arial"/>
          <w:sz w:val="21"/>
          <w:szCs w:val="21"/>
        </w:rPr>
      </w:pPr>
      <w:r w:rsidRPr="004645A1">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5D01FCBD" w14:textId="77777777" w:rsidR="00D5103D" w:rsidRPr="004645A1" w:rsidRDefault="00D5103D" w:rsidP="00D5103D">
      <w:pPr>
        <w:ind w:left="709" w:right="758"/>
        <w:jc w:val="both"/>
        <w:rPr>
          <w:rFonts w:ascii="Arial" w:hAnsi="Arial" w:cs="Arial"/>
          <w:sz w:val="21"/>
          <w:szCs w:val="21"/>
        </w:rPr>
      </w:pPr>
    </w:p>
    <w:p w14:paraId="3049C2B1" w14:textId="77777777" w:rsidR="00D5103D" w:rsidRPr="004645A1" w:rsidRDefault="00D5103D" w:rsidP="00D5103D">
      <w:pPr>
        <w:ind w:left="709" w:right="758"/>
        <w:jc w:val="both"/>
        <w:rPr>
          <w:rFonts w:ascii="Arial" w:hAnsi="Arial" w:cs="Arial"/>
          <w:sz w:val="21"/>
          <w:szCs w:val="21"/>
        </w:rPr>
      </w:pPr>
      <w:r w:rsidRPr="004645A1">
        <w:rPr>
          <w:rFonts w:ascii="Arial"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8BEC696" w14:textId="77777777" w:rsidR="00D5103D" w:rsidRPr="004645A1" w:rsidRDefault="00D5103D" w:rsidP="00D5103D">
      <w:pPr>
        <w:ind w:left="709" w:right="758"/>
        <w:jc w:val="both"/>
        <w:rPr>
          <w:rFonts w:ascii="Arial" w:hAnsi="Arial" w:cs="Arial"/>
          <w:sz w:val="21"/>
          <w:szCs w:val="21"/>
        </w:rPr>
      </w:pPr>
    </w:p>
    <w:p w14:paraId="69D52A80" w14:textId="77777777" w:rsidR="00D5103D" w:rsidRPr="004645A1" w:rsidRDefault="00D5103D" w:rsidP="00D5103D">
      <w:pPr>
        <w:ind w:left="709" w:right="758"/>
        <w:jc w:val="both"/>
        <w:rPr>
          <w:rFonts w:ascii="Arial" w:hAnsi="Arial" w:cs="Arial"/>
          <w:sz w:val="21"/>
          <w:szCs w:val="21"/>
        </w:rPr>
      </w:pPr>
      <w:r w:rsidRPr="004645A1">
        <w:rPr>
          <w:rFonts w:ascii="Arial" w:hAnsi="Arial" w:cs="Arial"/>
          <w:sz w:val="21"/>
          <w:szCs w:val="21"/>
        </w:rPr>
        <w:t>2. Conservar los requisitos exigidos en los Documentos Tipo.</w:t>
      </w:r>
    </w:p>
    <w:p w14:paraId="31CC71AD" w14:textId="77777777" w:rsidR="00D5103D" w:rsidRPr="004645A1" w:rsidRDefault="00D5103D" w:rsidP="00D5103D">
      <w:pPr>
        <w:ind w:left="709" w:right="758"/>
        <w:jc w:val="both"/>
        <w:rPr>
          <w:rFonts w:ascii="Arial" w:hAnsi="Arial" w:cs="Arial"/>
          <w:sz w:val="21"/>
          <w:szCs w:val="21"/>
        </w:rPr>
      </w:pPr>
    </w:p>
    <w:p w14:paraId="0B31D963" w14:textId="77777777" w:rsidR="00D5103D" w:rsidRPr="004645A1" w:rsidRDefault="00D5103D" w:rsidP="00D5103D">
      <w:pPr>
        <w:ind w:left="709" w:right="758"/>
        <w:jc w:val="both"/>
        <w:rPr>
          <w:rFonts w:ascii="Arial" w:hAnsi="Arial" w:cs="Arial"/>
          <w:sz w:val="21"/>
          <w:szCs w:val="21"/>
        </w:rPr>
      </w:pPr>
      <w:r w:rsidRPr="004645A1">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14:paraId="126D4EC9" w14:textId="77777777" w:rsidR="00D5103D" w:rsidRPr="004645A1" w:rsidRDefault="00D5103D" w:rsidP="00D5103D">
      <w:pPr>
        <w:ind w:left="709" w:right="758"/>
        <w:jc w:val="both"/>
        <w:rPr>
          <w:rFonts w:ascii="Arial" w:hAnsi="Arial" w:cs="Arial"/>
          <w:sz w:val="21"/>
          <w:szCs w:val="21"/>
        </w:rPr>
      </w:pPr>
    </w:p>
    <w:p w14:paraId="067421C1" w14:textId="77777777" w:rsidR="00D5103D" w:rsidRPr="004645A1" w:rsidRDefault="00D5103D" w:rsidP="00D5103D">
      <w:pPr>
        <w:ind w:left="709" w:right="758"/>
        <w:jc w:val="both"/>
        <w:rPr>
          <w:rFonts w:ascii="Arial" w:hAnsi="Arial" w:cs="Arial"/>
          <w:sz w:val="21"/>
          <w:szCs w:val="21"/>
        </w:rPr>
      </w:pPr>
      <w:r w:rsidRPr="004645A1">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14:paraId="303FAD73" w14:textId="77777777" w:rsidR="00D5103D" w:rsidRPr="004645A1" w:rsidRDefault="00D5103D" w:rsidP="00D5103D">
      <w:pPr>
        <w:pStyle w:val="Default"/>
        <w:spacing w:line="120" w:lineRule="auto"/>
        <w:rPr>
          <w:color w:val="auto"/>
        </w:rPr>
      </w:pPr>
    </w:p>
    <w:p w14:paraId="15EDE16F" w14:textId="77777777" w:rsidR="00D5103D" w:rsidRPr="004645A1" w:rsidRDefault="00D5103D" w:rsidP="00D5103D">
      <w:pPr>
        <w:spacing w:before="120" w:line="276" w:lineRule="auto"/>
        <w:ind w:firstLine="708"/>
        <w:jc w:val="both"/>
        <w:rPr>
          <w:rFonts w:ascii="Arial" w:hAnsi="Arial" w:cs="Arial"/>
          <w:sz w:val="22"/>
        </w:rPr>
      </w:pPr>
      <w:r w:rsidRPr="004645A1">
        <w:rPr>
          <w:rFonts w:ascii="Arial" w:hAnsi="Arial" w:cs="Arial"/>
          <w:sz w:val="22"/>
        </w:rPr>
        <w:t xml:space="preserve">Es del caso precisar que la categoría «bienes o servicios adicionales a la obra pública», para efectos de la aplicación del artículo 2.2.1.2.6.1.5. del Decreto 1082 de 2015, se circunscribe a los contratos estatales de obra pública. Así lo reconoció esta Agencia en el concepto del 21 de octubre de 2019 –radicado No. 2201913000007847–, en el que estudió la aplicación del artículo 2.2.1.2.6.1.5. del Decreto 1082 de 2015, y, sobre la posibilidad de exigir experiencia adicional para «bienes o servicios adicionales a la obra pública», consideró lo siguiente: </w:t>
      </w:r>
    </w:p>
    <w:p w14:paraId="61EE0BD4" w14:textId="77777777" w:rsidR="00D5103D" w:rsidRPr="004645A1" w:rsidRDefault="00D5103D" w:rsidP="00D5103D">
      <w:pPr>
        <w:spacing w:line="276" w:lineRule="auto"/>
        <w:ind w:firstLine="708"/>
        <w:jc w:val="both"/>
        <w:rPr>
          <w:rFonts w:ascii="Arial" w:hAnsi="Arial" w:cs="Arial"/>
          <w:sz w:val="22"/>
        </w:rPr>
      </w:pPr>
    </w:p>
    <w:p w14:paraId="0448C02D" w14:textId="77777777" w:rsidR="00D5103D" w:rsidRPr="004645A1" w:rsidRDefault="00D5103D" w:rsidP="00D5103D">
      <w:pPr>
        <w:ind w:left="709" w:right="760"/>
        <w:jc w:val="both"/>
        <w:rPr>
          <w:rFonts w:ascii="Arial" w:hAnsi="Arial" w:cs="Arial"/>
          <w:sz w:val="21"/>
          <w:szCs w:val="21"/>
        </w:rPr>
      </w:pPr>
      <w:r w:rsidRPr="004645A1">
        <w:rPr>
          <w:rFonts w:ascii="Arial" w:hAnsi="Arial" w:cs="Arial"/>
          <w:sz w:val="21"/>
          <w:szCs w:val="21"/>
        </w:rPr>
        <w:lastRenderedPageBreak/>
        <w:t xml:space="preserve">La posibilidad de solicitar experiencia adicional sólo es viable cuando el objeto contractual incluye bienes o servicios adicionales a la obra pública de infraestructura de transporte, es decir: i) la actividad que se requiere </w:t>
      </w:r>
      <w:r w:rsidRPr="004645A1">
        <w:rPr>
          <w:rFonts w:ascii="Arial" w:hAnsi="Arial" w:cs="Arial"/>
          <w:i/>
          <w:iCs/>
          <w:sz w:val="21"/>
          <w:szCs w:val="21"/>
        </w:rPr>
        <w:t>si bien es una actividad de obra</w:t>
      </w:r>
      <w:r w:rsidRPr="004645A1">
        <w:rPr>
          <w:rFonts w:ascii="Arial" w:hAnsi="Arial" w:cs="Arial"/>
          <w:sz w:val="21"/>
          <w:szCs w:val="21"/>
        </w:rPr>
        <w:t xml:space="preserve"> no es relacionada con la infraestructura de obra de infraestructura transporte, por ejemplo, la construcción de alcantarillado o acueducto, y, </w:t>
      </w:r>
      <w:proofErr w:type="spellStart"/>
      <w:r w:rsidRPr="004645A1">
        <w:rPr>
          <w:rFonts w:ascii="Arial" w:hAnsi="Arial" w:cs="Arial"/>
          <w:sz w:val="21"/>
          <w:szCs w:val="21"/>
        </w:rPr>
        <w:t>ii</w:t>
      </w:r>
      <w:proofErr w:type="spellEnd"/>
      <w:r w:rsidRPr="004645A1">
        <w:rPr>
          <w:rFonts w:ascii="Arial" w:hAnsi="Arial" w:cs="Arial"/>
          <w:sz w:val="21"/>
          <w:szCs w:val="21"/>
        </w:rPr>
        <w:t>) la obra o servicio adicional es distinto a la actividad de obra aun cuando se relaciona con la infraestructura de transporte, ya sea porque es un contrato de suministro, de consultoría para realizar los estudios y diseños de la obra de infraestructura de transporte. (Cursivas propias)</w:t>
      </w:r>
    </w:p>
    <w:p w14:paraId="760130FF" w14:textId="77777777" w:rsidR="00D5103D" w:rsidRPr="004645A1" w:rsidRDefault="00D5103D" w:rsidP="00D5103D">
      <w:pPr>
        <w:spacing w:line="276" w:lineRule="auto"/>
        <w:ind w:firstLine="708"/>
        <w:jc w:val="both"/>
        <w:rPr>
          <w:rFonts w:ascii="Arial" w:hAnsi="Arial" w:cs="Arial"/>
          <w:sz w:val="22"/>
        </w:rPr>
      </w:pPr>
    </w:p>
    <w:p w14:paraId="26C19EC0" w14:textId="5A6B2A08" w:rsidR="00D5103D" w:rsidRPr="004645A1" w:rsidRDefault="00D5103D" w:rsidP="00D5103D">
      <w:pPr>
        <w:spacing w:line="276" w:lineRule="auto"/>
        <w:ind w:firstLine="708"/>
        <w:jc w:val="both"/>
        <w:rPr>
          <w:rFonts w:ascii="Arial" w:hAnsi="Arial" w:cs="Arial"/>
          <w:sz w:val="22"/>
        </w:rPr>
      </w:pPr>
      <w:r w:rsidRPr="004645A1">
        <w:rPr>
          <w:rFonts w:ascii="Arial" w:hAnsi="Arial" w:cs="Arial"/>
          <w:sz w:val="22"/>
        </w:rPr>
        <w:t xml:space="preserve">A manera de ejemplo, los contratos como el de arrendamiento de maquinaria no se encuentran sometidos a los </w:t>
      </w:r>
      <w:r w:rsidR="00733878">
        <w:rPr>
          <w:rFonts w:ascii="Arial" w:hAnsi="Arial" w:cs="Arial"/>
          <w:sz w:val="22"/>
        </w:rPr>
        <w:t>d</w:t>
      </w:r>
      <w:r w:rsidRPr="004645A1">
        <w:rPr>
          <w:rFonts w:ascii="Arial" w:hAnsi="Arial" w:cs="Arial"/>
          <w:sz w:val="22"/>
        </w:rPr>
        <w:t xml:space="preserve">ocumentos </w:t>
      </w:r>
      <w:r w:rsidR="00733878">
        <w:rPr>
          <w:rFonts w:ascii="Arial" w:hAnsi="Arial" w:cs="Arial"/>
          <w:sz w:val="22"/>
        </w:rPr>
        <w:t>t</w:t>
      </w:r>
      <w:r w:rsidRPr="004645A1">
        <w:rPr>
          <w:rFonts w:ascii="Arial" w:hAnsi="Arial" w:cs="Arial"/>
          <w:sz w:val="22"/>
        </w:rPr>
        <w:t>ipo, se insiste, porque estos aplican para los contratos de obra pública de infraestructura de transporte, ya sea porque el contrato tiene como objeto alguna de las «actividades» relacionadas en la Matriz 1, o porque se trata de «bienes o servicios adicionales a la obra pública», según lo dicho en los párrafos anteriores.</w:t>
      </w:r>
    </w:p>
    <w:p w14:paraId="6CF3E5D1" w14:textId="1850EE04" w:rsidR="00D5103D" w:rsidRPr="004645A1" w:rsidRDefault="00D5103D" w:rsidP="00D5103D">
      <w:pPr>
        <w:spacing w:before="120" w:line="276" w:lineRule="auto"/>
        <w:ind w:firstLine="709"/>
        <w:jc w:val="both"/>
        <w:rPr>
          <w:rFonts w:ascii="Arial" w:hAnsi="Arial" w:cs="Arial"/>
          <w:sz w:val="22"/>
        </w:rPr>
      </w:pPr>
      <w:r w:rsidRPr="004645A1">
        <w:rPr>
          <w:rFonts w:ascii="Arial" w:hAnsi="Arial" w:cs="Arial"/>
          <w:sz w:val="22"/>
        </w:rPr>
        <w:t xml:space="preserve">En ese orden, Colombia Compra Eficiente considera que los </w:t>
      </w:r>
      <w:r w:rsidR="00733878">
        <w:rPr>
          <w:rFonts w:ascii="Arial" w:hAnsi="Arial" w:cs="Arial"/>
          <w:sz w:val="22"/>
        </w:rPr>
        <w:t>d</w:t>
      </w:r>
      <w:r w:rsidRPr="004645A1">
        <w:rPr>
          <w:rFonts w:ascii="Arial" w:hAnsi="Arial" w:cs="Arial"/>
          <w:sz w:val="22"/>
        </w:rPr>
        <w:t xml:space="preserve">ocumentos </w:t>
      </w:r>
      <w:r w:rsidR="00733878">
        <w:rPr>
          <w:rFonts w:ascii="Arial" w:hAnsi="Arial" w:cs="Arial"/>
          <w:sz w:val="22"/>
        </w:rPr>
        <w:t>t</w:t>
      </w:r>
      <w:r w:rsidRPr="004645A1">
        <w:rPr>
          <w:rFonts w:ascii="Arial" w:hAnsi="Arial" w:cs="Arial"/>
          <w:sz w:val="22"/>
        </w:rPr>
        <w:t>ipo son obligatorios para las entidades públicas</w:t>
      </w:r>
      <w:r>
        <w:rPr>
          <w:rFonts w:ascii="Arial" w:hAnsi="Arial" w:cs="Arial"/>
          <w:sz w:val="22"/>
        </w:rPr>
        <w:t>, cuando sus contratos se sometan al régimen de la</w:t>
      </w:r>
      <w:r w:rsidRPr="004645A1">
        <w:rPr>
          <w:rFonts w:ascii="Arial" w:hAnsi="Arial" w:cs="Arial"/>
          <w:sz w:val="22"/>
        </w:rPr>
        <w:t xml:space="preserve"> Ley 80 de 1993, y que el ámbito de aplicación de dichos documentos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w:t>
      </w:r>
    </w:p>
    <w:p w14:paraId="63C47A5C" w14:textId="49E6EE6A" w:rsidR="00D5103D" w:rsidRPr="004645A1" w:rsidRDefault="00D5103D" w:rsidP="00D5103D">
      <w:pPr>
        <w:spacing w:before="120" w:line="276" w:lineRule="auto"/>
        <w:ind w:firstLine="709"/>
        <w:jc w:val="both"/>
        <w:rPr>
          <w:rFonts w:ascii="Arial" w:hAnsi="Arial" w:cs="Arial"/>
          <w:sz w:val="22"/>
        </w:rPr>
      </w:pPr>
      <w:r w:rsidRPr="004645A1">
        <w:rPr>
          <w:rFonts w:ascii="Arial" w:hAnsi="Arial" w:cs="Arial"/>
          <w:sz w:val="22"/>
        </w:rPr>
        <w:t xml:space="preserve">De conformidad con lo anterior, </w:t>
      </w:r>
      <w:bookmarkStart w:id="4" w:name="_Hlk38613180"/>
      <w:r w:rsidRPr="004645A1">
        <w:rPr>
          <w:rFonts w:ascii="Arial" w:hAnsi="Arial" w:cs="Arial"/>
          <w:sz w:val="22"/>
        </w:rPr>
        <w:t xml:space="preserve">los </w:t>
      </w:r>
      <w:r w:rsidR="00733878">
        <w:rPr>
          <w:rFonts w:ascii="Arial" w:hAnsi="Arial" w:cs="Arial"/>
          <w:sz w:val="22"/>
        </w:rPr>
        <w:t>d</w:t>
      </w:r>
      <w:r w:rsidRPr="004645A1">
        <w:rPr>
          <w:rFonts w:ascii="Arial" w:hAnsi="Arial" w:cs="Arial"/>
          <w:sz w:val="22"/>
        </w:rPr>
        <w:t xml:space="preserve">ocumentos </w:t>
      </w:r>
      <w:r w:rsidR="00733878">
        <w:rPr>
          <w:rFonts w:ascii="Arial" w:hAnsi="Arial" w:cs="Arial"/>
          <w:sz w:val="22"/>
        </w:rPr>
        <w:t>t</w:t>
      </w:r>
      <w:r w:rsidRPr="004645A1">
        <w:rPr>
          <w:rFonts w:ascii="Arial" w:hAnsi="Arial" w:cs="Arial"/>
          <w:sz w:val="22"/>
        </w:rPr>
        <w:t xml:space="preserve">ipo para «licitación» de «obra pública de infraestructura de transporte», así como los </w:t>
      </w:r>
      <w:r w:rsidR="000F2B47">
        <w:rPr>
          <w:rFonts w:ascii="Arial" w:hAnsi="Arial" w:cs="Arial"/>
          <w:sz w:val="22"/>
        </w:rPr>
        <w:t>d</w:t>
      </w:r>
      <w:r w:rsidRPr="004645A1">
        <w:rPr>
          <w:rFonts w:ascii="Arial" w:hAnsi="Arial" w:cs="Arial"/>
          <w:sz w:val="22"/>
        </w:rPr>
        <w:t xml:space="preserve">ocumentos </w:t>
      </w:r>
      <w:r w:rsidR="000F2B47">
        <w:rPr>
          <w:rFonts w:ascii="Arial" w:hAnsi="Arial" w:cs="Arial"/>
          <w:sz w:val="22"/>
        </w:rPr>
        <w:t>t</w:t>
      </w:r>
      <w:r w:rsidRPr="004645A1">
        <w:rPr>
          <w:rFonts w:ascii="Arial" w:hAnsi="Arial" w:cs="Arial"/>
          <w:sz w:val="22"/>
        </w:rPr>
        <w:t>ipo para los procedimientos de «selección abreviada de menor cuantía»</w:t>
      </w:r>
      <w:r w:rsidR="000F2B47">
        <w:rPr>
          <w:rFonts w:ascii="Arial" w:hAnsi="Arial" w:cs="Arial"/>
          <w:sz w:val="22"/>
        </w:rPr>
        <w:t xml:space="preserve"> y «mínima cuantía»</w:t>
      </w:r>
      <w:r w:rsidRPr="004645A1">
        <w:rPr>
          <w:rFonts w:ascii="Arial" w:hAnsi="Arial" w:cs="Arial"/>
          <w:sz w:val="22"/>
        </w:rPr>
        <w:t xml:space="preserve">, son obligatorios y deben ser aplicados de manera obligatoria por las entidades estatales sometidas al Estatuto General de la Contratación de la Administración Pública, de conformidad con lo establecido en el parágrafo 7 del artículo </w:t>
      </w:r>
      <w:r>
        <w:rPr>
          <w:rFonts w:ascii="Arial" w:hAnsi="Arial" w:cs="Arial"/>
          <w:sz w:val="22"/>
        </w:rPr>
        <w:t xml:space="preserve">2 </w:t>
      </w:r>
      <w:r w:rsidRPr="004645A1">
        <w:rPr>
          <w:rFonts w:ascii="Arial" w:hAnsi="Arial" w:cs="Arial"/>
          <w:sz w:val="22"/>
        </w:rPr>
        <w:t>de la Ley 1150 modificado por la Ley 1882 de 2018, y los procesos de contratación en los que deben aplicarse son los de infraestructura de transporte que se encuadren dentro de las actividades definidas en la Matriz 1.</w:t>
      </w:r>
    </w:p>
    <w:bookmarkEnd w:id="4"/>
    <w:p w14:paraId="039709F2" w14:textId="30F5C4E0" w:rsidR="00D5103D" w:rsidRPr="004645A1" w:rsidRDefault="00D5103D" w:rsidP="00D5103D">
      <w:pPr>
        <w:spacing w:before="120" w:after="120" w:line="276" w:lineRule="auto"/>
        <w:ind w:firstLine="708"/>
        <w:jc w:val="both"/>
        <w:rPr>
          <w:rFonts w:ascii="Arial" w:hAnsi="Arial" w:cs="Arial"/>
          <w:sz w:val="22"/>
        </w:rPr>
      </w:pPr>
      <w:r w:rsidRPr="004645A1">
        <w:rPr>
          <w:rFonts w:ascii="Arial" w:hAnsi="Arial" w:cs="Arial"/>
          <w:sz w:val="22"/>
        </w:rPr>
        <w:t xml:space="preserve">En conclusión, existen tres criterios para determinar si procede de forma obligatoria la contratación de una actividad mediante los </w:t>
      </w:r>
      <w:r w:rsidR="00733878">
        <w:rPr>
          <w:rFonts w:ascii="Arial" w:hAnsi="Arial" w:cs="Arial"/>
          <w:sz w:val="22"/>
        </w:rPr>
        <w:t>d</w:t>
      </w:r>
      <w:r w:rsidRPr="004645A1">
        <w:rPr>
          <w:rFonts w:ascii="Arial" w:hAnsi="Arial" w:cs="Arial"/>
          <w:sz w:val="22"/>
        </w:rPr>
        <w:t xml:space="preserve">ocumentos </w:t>
      </w:r>
      <w:r w:rsidR="00733878">
        <w:rPr>
          <w:rFonts w:ascii="Arial" w:hAnsi="Arial" w:cs="Arial"/>
          <w:sz w:val="22"/>
        </w:rPr>
        <w:t>t</w:t>
      </w:r>
      <w:r w:rsidRPr="004645A1">
        <w:rPr>
          <w:rFonts w:ascii="Arial" w:hAnsi="Arial" w:cs="Arial"/>
          <w:sz w:val="22"/>
        </w:rPr>
        <w:t>ipo: a) que se trate de una obra pública</w:t>
      </w:r>
      <w:r w:rsidR="007579EA">
        <w:rPr>
          <w:rFonts w:ascii="Arial" w:hAnsi="Arial" w:cs="Arial"/>
          <w:sz w:val="22"/>
        </w:rPr>
        <w:t xml:space="preserve"> de infraestructura de transporte</w:t>
      </w:r>
      <w:r w:rsidRPr="004645A1">
        <w:rPr>
          <w:rFonts w:ascii="Arial" w:hAnsi="Arial" w:cs="Arial"/>
          <w:sz w:val="22"/>
        </w:rPr>
        <w:t xml:space="preserve">; </w:t>
      </w:r>
      <w:proofErr w:type="spellStart"/>
      <w:r w:rsidRPr="004645A1">
        <w:rPr>
          <w:rFonts w:ascii="Arial" w:hAnsi="Arial" w:cs="Arial"/>
          <w:sz w:val="22"/>
        </w:rPr>
        <w:t>ii</w:t>
      </w:r>
      <w:proofErr w:type="spellEnd"/>
      <w:r w:rsidRPr="004645A1">
        <w:rPr>
          <w:rFonts w:ascii="Arial" w:hAnsi="Arial" w:cs="Arial"/>
          <w:sz w:val="22"/>
        </w:rPr>
        <w:t xml:space="preserve">) que el contratante sea una entidad sometida al Estatuto General de Contratación de la Administración Pública; y </w:t>
      </w:r>
      <w:proofErr w:type="spellStart"/>
      <w:r w:rsidRPr="004645A1">
        <w:rPr>
          <w:rFonts w:ascii="Arial" w:hAnsi="Arial" w:cs="Arial"/>
          <w:sz w:val="22"/>
        </w:rPr>
        <w:t>iii</w:t>
      </w:r>
      <w:proofErr w:type="spellEnd"/>
      <w:r w:rsidRPr="004645A1">
        <w:rPr>
          <w:rFonts w:ascii="Arial" w:hAnsi="Arial" w:cs="Arial"/>
          <w:sz w:val="22"/>
        </w:rPr>
        <w:t>) que el objeto a contratar sea subsumible o est</w:t>
      </w:r>
      <w:r>
        <w:rPr>
          <w:rFonts w:ascii="Arial" w:hAnsi="Arial" w:cs="Arial"/>
          <w:sz w:val="22"/>
        </w:rPr>
        <w:t>é</w:t>
      </w:r>
      <w:r w:rsidRPr="004645A1">
        <w:rPr>
          <w:rFonts w:ascii="Arial" w:hAnsi="Arial" w:cs="Arial"/>
          <w:sz w:val="22"/>
        </w:rPr>
        <w:t xml:space="preserve"> asociado </w:t>
      </w:r>
      <w:r>
        <w:rPr>
          <w:rFonts w:ascii="Arial" w:hAnsi="Arial" w:cs="Arial"/>
          <w:sz w:val="22"/>
        </w:rPr>
        <w:t xml:space="preserve">a </w:t>
      </w:r>
      <w:r w:rsidRPr="004645A1">
        <w:rPr>
          <w:rFonts w:ascii="Arial" w:hAnsi="Arial" w:cs="Arial"/>
          <w:sz w:val="22"/>
        </w:rPr>
        <w:t>alguno de los tipos de obra y actividades señaladas en la Matriz 1. La coexistencia de tales condiciones</w:t>
      </w:r>
      <w:r>
        <w:rPr>
          <w:rFonts w:ascii="Arial" w:hAnsi="Arial" w:cs="Arial"/>
          <w:sz w:val="22"/>
        </w:rPr>
        <w:t>,</w:t>
      </w:r>
      <w:r w:rsidRPr="004645A1">
        <w:rPr>
          <w:rFonts w:ascii="Arial" w:hAnsi="Arial" w:cs="Arial"/>
          <w:sz w:val="22"/>
        </w:rPr>
        <w:t xml:space="preserve"> conforme indican las normas analizadas, hace que sea obligatoria la aplicación de los </w:t>
      </w:r>
      <w:r w:rsidR="007579EA">
        <w:rPr>
          <w:rFonts w:ascii="Arial" w:hAnsi="Arial" w:cs="Arial"/>
          <w:sz w:val="22"/>
        </w:rPr>
        <w:t>d</w:t>
      </w:r>
      <w:r w:rsidRPr="004645A1">
        <w:rPr>
          <w:rFonts w:ascii="Arial" w:hAnsi="Arial" w:cs="Arial"/>
          <w:sz w:val="22"/>
        </w:rPr>
        <w:t xml:space="preserve">ocumentos </w:t>
      </w:r>
      <w:r w:rsidR="007579EA">
        <w:rPr>
          <w:rFonts w:ascii="Arial" w:hAnsi="Arial" w:cs="Arial"/>
          <w:sz w:val="22"/>
        </w:rPr>
        <w:t>t</w:t>
      </w:r>
      <w:r w:rsidRPr="004645A1">
        <w:rPr>
          <w:rFonts w:ascii="Arial" w:hAnsi="Arial" w:cs="Arial"/>
          <w:sz w:val="22"/>
        </w:rPr>
        <w:t>ipo.</w:t>
      </w:r>
    </w:p>
    <w:p w14:paraId="54653951" w14:textId="396BD7AA" w:rsidR="00D5103D" w:rsidRDefault="00D5103D" w:rsidP="00D5103D">
      <w:pPr>
        <w:spacing w:before="120" w:after="120" w:line="276" w:lineRule="auto"/>
        <w:ind w:firstLine="708"/>
        <w:jc w:val="both"/>
        <w:rPr>
          <w:rFonts w:ascii="Arial" w:hAnsi="Arial" w:cs="Arial"/>
          <w:sz w:val="22"/>
        </w:rPr>
      </w:pPr>
      <w:r w:rsidRPr="004645A1">
        <w:rPr>
          <w:rFonts w:ascii="Arial" w:hAnsi="Arial" w:cs="Arial"/>
          <w:sz w:val="22"/>
        </w:rPr>
        <w:t xml:space="preserve">No sobra aclarar que la naturaleza de las funciones atribuidas a la entidad que adelanta o pretende adelantar el proceso de contratación, no ha sido definido como un criterio para determinar el ámbito de aplicación de los </w:t>
      </w:r>
      <w:r w:rsidR="000F2B47">
        <w:rPr>
          <w:rFonts w:ascii="Arial" w:hAnsi="Arial" w:cs="Arial"/>
          <w:sz w:val="22"/>
        </w:rPr>
        <w:t>d</w:t>
      </w:r>
      <w:r w:rsidRPr="004645A1">
        <w:rPr>
          <w:rFonts w:ascii="Arial" w:hAnsi="Arial" w:cs="Arial"/>
          <w:sz w:val="22"/>
        </w:rPr>
        <w:t xml:space="preserve">ocumentos </w:t>
      </w:r>
      <w:r w:rsidR="000F2B47">
        <w:rPr>
          <w:rFonts w:ascii="Arial" w:hAnsi="Arial" w:cs="Arial"/>
          <w:sz w:val="22"/>
        </w:rPr>
        <w:t>t</w:t>
      </w:r>
      <w:r w:rsidRPr="004645A1">
        <w:rPr>
          <w:rFonts w:ascii="Arial" w:hAnsi="Arial" w:cs="Arial"/>
          <w:sz w:val="22"/>
        </w:rPr>
        <w:t xml:space="preserve">ipo. En consecuencia, </w:t>
      </w:r>
      <w:r w:rsidRPr="004645A1">
        <w:rPr>
          <w:rFonts w:ascii="Arial" w:hAnsi="Arial" w:cs="Arial"/>
          <w:sz w:val="22"/>
        </w:rPr>
        <w:lastRenderedPageBreak/>
        <w:t xml:space="preserve">siempre que una entidad estatal regida por el Estatuto General de Contratación de la Administración Pública pretenda contratar actividades definidas o asociadas a las de la Matriz 1 debe aplicar los </w:t>
      </w:r>
      <w:r w:rsidR="00E7264B">
        <w:rPr>
          <w:rFonts w:ascii="Arial" w:hAnsi="Arial" w:cs="Arial"/>
          <w:sz w:val="22"/>
        </w:rPr>
        <w:t>d</w:t>
      </w:r>
      <w:r w:rsidRPr="004645A1">
        <w:rPr>
          <w:rFonts w:ascii="Arial" w:hAnsi="Arial" w:cs="Arial"/>
          <w:sz w:val="22"/>
        </w:rPr>
        <w:t xml:space="preserve">ocumentos </w:t>
      </w:r>
      <w:r w:rsidR="00E7264B">
        <w:rPr>
          <w:rFonts w:ascii="Arial" w:hAnsi="Arial" w:cs="Arial"/>
          <w:sz w:val="22"/>
        </w:rPr>
        <w:t>t</w:t>
      </w:r>
      <w:r w:rsidRPr="004645A1">
        <w:rPr>
          <w:rFonts w:ascii="Arial" w:hAnsi="Arial" w:cs="Arial"/>
          <w:sz w:val="22"/>
        </w:rPr>
        <w:t>ipo de licitación pública</w:t>
      </w:r>
      <w:r w:rsidR="00E7264B">
        <w:rPr>
          <w:rFonts w:ascii="Arial" w:hAnsi="Arial" w:cs="Arial"/>
          <w:sz w:val="22"/>
        </w:rPr>
        <w:t xml:space="preserve">, </w:t>
      </w:r>
      <w:r w:rsidRPr="004645A1">
        <w:rPr>
          <w:rFonts w:ascii="Arial" w:hAnsi="Arial" w:cs="Arial"/>
          <w:sz w:val="22"/>
        </w:rPr>
        <w:t>selección abreviada</w:t>
      </w:r>
      <w:r w:rsidR="00E7264B">
        <w:rPr>
          <w:rFonts w:ascii="Arial" w:hAnsi="Arial" w:cs="Arial"/>
          <w:sz w:val="22"/>
        </w:rPr>
        <w:t xml:space="preserve"> o mínima cuantía</w:t>
      </w:r>
      <w:r w:rsidRPr="004645A1">
        <w:rPr>
          <w:rFonts w:ascii="Arial" w:hAnsi="Arial" w:cs="Arial"/>
          <w:sz w:val="22"/>
        </w:rPr>
        <w:t xml:space="preserve">, según corresponda, sin que sea posible escudarse en la naturaleza de sus funciones o en nociones de infraestructura de transporte distintas de las de la Matriz 1, como motivos para proceder </w:t>
      </w:r>
      <w:r>
        <w:rPr>
          <w:rFonts w:ascii="Arial" w:hAnsi="Arial" w:cs="Arial"/>
          <w:sz w:val="22"/>
        </w:rPr>
        <w:t>de</w:t>
      </w:r>
      <w:r w:rsidRPr="004645A1">
        <w:rPr>
          <w:rFonts w:ascii="Arial" w:hAnsi="Arial" w:cs="Arial"/>
          <w:sz w:val="22"/>
        </w:rPr>
        <w:t xml:space="preserve"> manera contraria. </w:t>
      </w:r>
    </w:p>
    <w:p w14:paraId="245C542F" w14:textId="5F8E825D" w:rsidR="00991C97" w:rsidRDefault="00EA619C" w:rsidP="008D5926">
      <w:pPr>
        <w:spacing w:line="276" w:lineRule="auto"/>
        <w:ind w:firstLine="708"/>
        <w:jc w:val="both"/>
        <w:rPr>
          <w:rFonts w:ascii="Arial" w:hAnsi="Arial" w:cs="Arial"/>
          <w:sz w:val="22"/>
        </w:rPr>
      </w:pPr>
      <w:r>
        <w:rPr>
          <w:rFonts w:ascii="Arial" w:hAnsi="Arial" w:cs="Arial"/>
          <w:sz w:val="22"/>
        </w:rPr>
        <w:t>Así pues,</w:t>
      </w:r>
      <w:r w:rsidR="00E7264B">
        <w:rPr>
          <w:rFonts w:ascii="Arial" w:hAnsi="Arial" w:cs="Arial"/>
          <w:sz w:val="22"/>
        </w:rPr>
        <w:t xml:space="preserve"> para la contratación una obra pública de infraestructura de transporte, </w:t>
      </w:r>
      <w:r w:rsidR="00991C97">
        <w:rPr>
          <w:rFonts w:ascii="Arial" w:hAnsi="Arial" w:cs="Arial"/>
          <w:sz w:val="22"/>
        </w:rPr>
        <w:t xml:space="preserve">cuyo objeto corresponda a alguna de </w:t>
      </w:r>
      <w:r w:rsidR="00E7264B">
        <w:rPr>
          <w:rFonts w:ascii="Arial" w:hAnsi="Arial" w:cs="Arial"/>
          <w:sz w:val="22"/>
        </w:rPr>
        <w:t xml:space="preserve">las actividades </w:t>
      </w:r>
      <w:r w:rsidR="00991C97">
        <w:rPr>
          <w:rFonts w:ascii="Arial" w:hAnsi="Arial" w:cs="Arial"/>
          <w:sz w:val="22"/>
        </w:rPr>
        <w:t xml:space="preserve">definidas </w:t>
      </w:r>
      <w:r w:rsidR="00E7264B">
        <w:rPr>
          <w:rFonts w:ascii="Arial" w:hAnsi="Arial" w:cs="Arial"/>
          <w:sz w:val="22"/>
        </w:rPr>
        <w:t>en la Matriz 1, deberán aplicarse los documentos tipo</w:t>
      </w:r>
      <w:r w:rsidR="00991C97">
        <w:rPr>
          <w:rFonts w:ascii="Arial" w:hAnsi="Arial" w:cs="Arial"/>
          <w:sz w:val="22"/>
        </w:rPr>
        <w:t>.</w:t>
      </w:r>
      <w:r w:rsidR="00E7264B">
        <w:rPr>
          <w:rFonts w:ascii="Arial" w:hAnsi="Arial" w:cs="Arial"/>
          <w:sz w:val="22"/>
        </w:rPr>
        <w:t xml:space="preserve"> </w:t>
      </w:r>
      <w:r w:rsidR="00991C97">
        <w:rPr>
          <w:rFonts w:ascii="Arial" w:hAnsi="Arial" w:cs="Arial"/>
          <w:sz w:val="22"/>
        </w:rPr>
        <w:t>Esto</w:t>
      </w:r>
      <w:r w:rsidR="007579EA">
        <w:rPr>
          <w:rFonts w:ascii="Arial" w:hAnsi="Arial" w:cs="Arial"/>
          <w:sz w:val="22"/>
        </w:rPr>
        <w:t>,</w:t>
      </w:r>
      <w:r w:rsidR="00991C97">
        <w:rPr>
          <w:rFonts w:ascii="Arial" w:hAnsi="Arial" w:cs="Arial"/>
          <w:sz w:val="22"/>
        </w:rPr>
        <w:t xml:space="preserve"> siempre que se trate de una entidad regida por el Estatuto General de Contratación de la Administración Pública, ya que, si se trata de una entidad exceptuada de dicho régimen, no resultaría obligatoria la aplicación de dichos documentos, al estar tales entidades por fuera del ámbito de aplicación de dichos documentos, conforme a las normas y consideraciones expuestas</w:t>
      </w:r>
      <w:r w:rsidR="00991C97">
        <w:rPr>
          <w:rStyle w:val="Refdenotaalpie"/>
          <w:rFonts w:ascii="Arial" w:hAnsi="Arial" w:cs="Arial"/>
          <w:sz w:val="22"/>
        </w:rPr>
        <w:footnoteReference w:id="6"/>
      </w:r>
      <w:r w:rsidR="00991C97">
        <w:rPr>
          <w:rFonts w:ascii="Arial" w:hAnsi="Arial" w:cs="Arial"/>
          <w:sz w:val="22"/>
        </w:rPr>
        <w:t>.</w:t>
      </w:r>
    </w:p>
    <w:p w14:paraId="3FEE41DA" w14:textId="192E6819" w:rsidR="00DC367F" w:rsidRPr="00D03D82" w:rsidRDefault="00E7264B" w:rsidP="008D5926">
      <w:pPr>
        <w:spacing w:line="276" w:lineRule="auto"/>
        <w:ind w:firstLine="708"/>
        <w:jc w:val="both"/>
        <w:rPr>
          <w:rFonts w:ascii="Arial" w:hAnsi="Arial" w:cs="Arial"/>
          <w:sz w:val="22"/>
        </w:rPr>
      </w:pPr>
      <w:r>
        <w:rPr>
          <w:rFonts w:ascii="Arial" w:hAnsi="Arial" w:cs="Arial"/>
          <w:sz w:val="22"/>
        </w:rPr>
        <w:t xml:space="preserve"> </w:t>
      </w:r>
    </w:p>
    <w:p w14:paraId="687CB649" w14:textId="77777777" w:rsidR="00A37FB6" w:rsidRPr="00D03D82"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D03D82">
        <w:rPr>
          <w:rFonts w:ascii="Arial" w:eastAsia="Calibri" w:hAnsi="Arial" w:cs="Arial"/>
          <w:b/>
          <w:sz w:val="22"/>
        </w:rPr>
        <w:t>Respuestas</w:t>
      </w:r>
    </w:p>
    <w:p w14:paraId="1369FD7E" w14:textId="77777777" w:rsidR="00A37FB6" w:rsidRPr="00D03D82" w:rsidRDefault="00A37FB6" w:rsidP="00D01760">
      <w:pPr>
        <w:spacing w:line="276" w:lineRule="auto"/>
        <w:ind w:left="709" w:right="709"/>
        <w:jc w:val="both"/>
        <w:rPr>
          <w:rFonts w:ascii="Arial" w:eastAsia="Calibri" w:hAnsi="Arial" w:cs="Arial"/>
          <w:i/>
          <w:sz w:val="22"/>
        </w:rPr>
      </w:pPr>
    </w:p>
    <w:p w14:paraId="0D9AC29E" w14:textId="5ADBF0A1" w:rsidR="009F7BDD" w:rsidRPr="00D03D82" w:rsidRDefault="00191774" w:rsidP="003B6CD4">
      <w:pPr>
        <w:ind w:left="709" w:right="709"/>
        <w:jc w:val="both"/>
        <w:rPr>
          <w:rFonts w:ascii="Arial" w:eastAsia="Calibri" w:hAnsi="Arial" w:cs="Arial"/>
          <w:sz w:val="21"/>
          <w:szCs w:val="21"/>
        </w:rPr>
      </w:pPr>
      <w:r w:rsidRPr="00191774">
        <w:rPr>
          <w:rFonts w:ascii="Arial" w:eastAsia="Calibri" w:hAnsi="Arial" w:cs="Arial"/>
          <w:sz w:val="21"/>
          <w:szCs w:val="21"/>
        </w:rPr>
        <w:t>Usted solicita que se aclare «[…] si la Aeronáutica Civil por ser una entidad adscrita al ministerio de transporte y en función de su operatividad en aeropuertos, infraestructura del transporte, debe o no usar los pliegos tipos en sus procesos […]»</w:t>
      </w:r>
      <w:r>
        <w:rPr>
          <w:rFonts w:ascii="Arial" w:eastAsia="Calibri" w:hAnsi="Arial" w:cs="Arial"/>
          <w:sz w:val="21"/>
          <w:szCs w:val="21"/>
        </w:rPr>
        <w:t>.</w:t>
      </w:r>
    </w:p>
    <w:p w14:paraId="6E91E17C" w14:textId="77777777" w:rsidR="00996965" w:rsidRPr="00D03D82" w:rsidRDefault="00996965" w:rsidP="003B6CD4">
      <w:pPr>
        <w:ind w:left="709" w:right="709"/>
        <w:jc w:val="both"/>
        <w:rPr>
          <w:rFonts w:ascii="Arial" w:eastAsia="Calibri" w:hAnsi="Arial" w:cs="Arial"/>
          <w:sz w:val="21"/>
          <w:szCs w:val="21"/>
          <w:lang w:val="es-CO"/>
        </w:rPr>
      </w:pPr>
    </w:p>
    <w:p w14:paraId="471B3C9B" w14:textId="70816A7F" w:rsidR="00B57E77" w:rsidRPr="00D03D82" w:rsidRDefault="005C2B8D" w:rsidP="00FF2990">
      <w:pPr>
        <w:spacing w:after="120" w:line="276" w:lineRule="auto"/>
        <w:ind w:right="51"/>
        <w:jc w:val="both"/>
        <w:rPr>
          <w:rFonts w:ascii="Arial" w:eastAsia="Calibri" w:hAnsi="Arial" w:cs="Arial"/>
          <w:sz w:val="22"/>
        </w:rPr>
      </w:pPr>
      <w:r w:rsidRPr="00D03D82">
        <w:rPr>
          <w:rFonts w:ascii="Arial" w:eastAsia="Calibri" w:hAnsi="Arial" w:cs="Arial"/>
          <w:sz w:val="22"/>
        </w:rPr>
        <w:t xml:space="preserve">De conformidad </w:t>
      </w:r>
      <w:r w:rsidR="009F7BDD" w:rsidRPr="00D03D82">
        <w:rPr>
          <w:rFonts w:ascii="Arial" w:eastAsia="Calibri" w:hAnsi="Arial" w:cs="Arial"/>
          <w:sz w:val="22"/>
        </w:rPr>
        <w:t>el parágrafo 7 del artículo 2 de la Ley 1150 de 2007, adicionado por el artículo 4 de la Ley 1882 de 2018,</w:t>
      </w:r>
      <w:r w:rsidR="00E07DD0" w:rsidRPr="00D03D82">
        <w:rPr>
          <w:rFonts w:ascii="Arial" w:eastAsia="Calibri" w:hAnsi="Arial" w:cs="Arial"/>
          <w:sz w:val="22"/>
        </w:rPr>
        <w:t xml:space="preserve"> los Decretos 342</w:t>
      </w:r>
      <w:r w:rsidR="00991C97">
        <w:rPr>
          <w:rFonts w:ascii="Arial" w:eastAsia="Calibri" w:hAnsi="Arial" w:cs="Arial"/>
          <w:sz w:val="22"/>
        </w:rPr>
        <w:t xml:space="preserve"> de 2019, </w:t>
      </w:r>
      <w:r w:rsidR="00E07DD0" w:rsidRPr="00D03D82">
        <w:rPr>
          <w:rFonts w:ascii="Arial" w:eastAsia="Calibri" w:hAnsi="Arial" w:cs="Arial"/>
          <w:sz w:val="22"/>
        </w:rPr>
        <w:t>2096 de 2019</w:t>
      </w:r>
      <w:r w:rsidR="00991C97">
        <w:rPr>
          <w:rFonts w:ascii="Arial" w:eastAsia="Calibri" w:hAnsi="Arial" w:cs="Arial"/>
          <w:sz w:val="22"/>
        </w:rPr>
        <w:t xml:space="preserve"> y 594 de 2020</w:t>
      </w:r>
      <w:r w:rsidR="00E07DD0" w:rsidRPr="00D03D82">
        <w:rPr>
          <w:rFonts w:ascii="Arial" w:eastAsia="Calibri" w:hAnsi="Arial" w:cs="Arial"/>
          <w:sz w:val="22"/>
        </w:rPr>
        <w:t>, para la contratación de</w:t>
      </w:r>
      <w:r w:rsidR="00B57E77" w:rsidRPr="00D03D82">
        <w:rPr>
          <w:rFonts w:ascii="Arial" w:eastAsia="Calibri" w:hAnsi="Arial" w:cs="Arial"/>
          <w:sz w:val="22"/>
        </w:rPr>
        <w:t xml:space="preserve"> obra pública de</w:t>
      </w:r>
      <w:r w:rsidR="00E07DD0" w:rsidRPr="00D03D82">
        <w:rPr>
          <w:rFonts w:ascii="Arial" w:eastAsia="Calibri" w:hAnsi="Arial" w:cs="Arial"/>
          <w:sz w:val="22"/>
        </w:rPr>
        <w:t xml:space="preserve"> infraestructura de transporte</w:t>
      </w:r>
      <w:r w:rsidR="00B57E77" w:rsidRPr="00D03D82">
        <w:rPr>
          <w:rFonts w:ascii="Arial" w:eastAsia="Calibri" w:hAnsi="Arial" w:cs="Arial"/>
          <w:sz w:val="22"/>
        </w:rPr>
        <w:t>,</w:t>
      </w:r>
      <w:r w:rsidR="00E07DD0" w:rsidRPr="00D03D82">
        <w:rPr>
          <w:rFonts w:ascii="Arial" w:eastAsia="Calibri" w:hAnsi="Arial" w:cs="Arial"/>
          <w:sz w:val="22"/>
        </w:rPr>
        <w:t xml:space="preserve"> las entidades estatales </w:t>
      </w:r>
      <w:r w:rsidR="00B57E77" w:rsidRPr="00D03D82">
        <w:rPr>
          <w:rFonts w:ascii="Arial" w:eastAsia="Calibri" w:hAnsi="Arial" w:cs="Arial"/>
          <w:sz w:val="22"/>
        </w:rPr>
        <w:t xml:space="preserve">sometidas </w:t>
      </w:r>
      <w:r w:rsidR="00E07DD0" w:rsidRPr="00D03D82">
        <w:rPr>
          <w:rFonts w:ascii="Arial" w:eastAsia="Calibri" w:hAnsi="Arial" w:cs="Arial"/>
          <w:sz w:val="22"/>
        </w:rPr>
        <w:t>al Estatuto General de Contratación de la Administración Pública</w:t>
      </w:r>
      <w:r w:rsidR="00B57E77" w:rsidRPr="00D03D82">
        <w:rPr>
          <w:rFonts w:ascii="Arial" w:eastAsia="Calibri" w:hAnsi="Arial" w:cs="Arial"/>
          <w:sz w:val="22"/>
        </w:rPr>
        <w:t>,</w:t>
      </w:r>
      <w:r w:rsidR="00E07DD0" w:rsidRPr="00D03D82">
        <w:rPr>
          <w:rFonts w:ascii="Arial" w:eastAsia="Calibri" w:hAnsi="Arial" w:cs="Arial"/>
          <w:sz w:val="22"/>
        </w:rPr>
        <w:t xml:space="preserve"> </w:t>
      </w:r>
      <w:r w:rsidR="00B57E77" w:rsidRPr="00D03D82">
        <w:rPr>
          <w:rFonts w:ascii="Arial" w:eastAsia="Calibri" w:hAnsi="Arial" w:cs="Arial"/>
          <w:sz w:val="22"/>
        </w:rPr>
        <w:t>estarán obligadas a adelantar tales procesos de selección</w:t>
      </w:r>
      <w:r w:rsidR="00E07DD0" w:rsidRPr="00D03D82">
        <w:rPr>
          <w:rFonts w:ascii="Arial" w:eastAsia="Calibri" w:hAnsi="Arial" w:cs="Arial"/>
          <w:sz w:val="22"/>
        </w:rPr>
        <w:t xml:space="preserve"> contratar sea subsumible o este asociado alguno de los tipos de obra y actividades señaladas en la Matriz 1.</w:t>
      </w:r>
      <w:r w:rsidR="00B57E77" w:rsidRPr="00D03D82">
        <w:rPr>
          <w:rFonts w:ascii="Arial" w:eastAsia="Calibri" w:hAnsi="Arial" w:cs="Arial"/>
          <w:sz w:val="22"/>
        </w:rPr>
        <w:t xml:space="preserve"> </w:t>
      </w:r>
    </w:p>
    <w:p w14:paraId="1BC1F771" w14:textId="3F40DF1F" w:rsidR="00EF55D8" w:rsidRPr="00D03D82" w:rsidRDefault="00B57E77" w:rsidP="00996965">
      <w:pPr>
        <w:spacing w:after="120" w:line="276" w:lineRule="auto"/>
        <w:ind w:right="51"/>
        <w:jc w:val="both"/>
        <w:rPr>
          <w:rFonts w:ascii="Arial" w:eastAsia="Calibri" w:hAnsi="Arial" w:cs="Arial"/>
          <w:sz w:val="22"/>
        </w:rPr>
      </w:pPr>
      <w:r w:rsidRPr="00D03D82">
        <w:rPr>
          <w:rFonts w:ascii="Arial" w:eastAsia="Calibri" w:hAnsi="Arial" w:cs="Arial"/>
          <w:sz w:val="22"/>
        </w:rPr>
        <w:tab/>
        <w:t xml:space="preserve">En ese orden, la noción de infraestructura de transporte establecida en el numeral 1.29 del Anexo 3 y la subsunción del objeto a contratar dentro de los tipos de obra y actividades definidas en la Matriz 1, es lo que determina si se está ante una infraestructura de transporte, y si en consecuencia procede o no la aplicación obligatoria de los </w:t>
      </w:r>
      <w:r w:rsidR="00C93140" w:rsidRPr="00D03D82">
        <w:rPr>
          <w:rFonts w:ascii="Arial" w:eastAsia="Calibri" w:hAnsi="Arial" w:cs="Arial"/>
          <w:sz w:val="22"/>
        </w:rPr>
        <w:t>documentos tipo</w:t>
      </w:r>
      <w:r w:rsidRPr="00D03D82">
        <w:rPr>
          <w:rFonts w:ascii="Arial" w:eastAsia="Calibri" w:hAnsi="Arial" w:cs="Arial"/>
          <w:sz w:val="22"/>
        </w:rPr>
        <w:t>.</w:t>
      </w:r>
      <w:r w:rsidR="00996965" w:rsidRPr="00D03D82">
        <w:rPr>
          <w:rFonts w:ascii="Arial" w:eastAsia="Calibri" w:hAnsi="Arial" w:cs="Arial"/>
          <w:sz w:val="22"/>
        </w:rPr>
        <w:t xml:space="preserve"> Por lo anterior, siempre</w:t>
      </w:r>
      <w:r w:rsidRPr="00D03D82">
        <w:rPr>
          <w:rFonts w:ascii="Arial" w:eastAsia="Calibri" w:hAnsi="Arial" w:cs="Arial"/>
          <w:sz w:val="22"/>
        </w:rPr>
        <w:t xml:space="preserve"> que el objeto a contratar corresponda con esta noción de infraestructura de transporte, las entidades estatales sometidas al Estatuto General de Contratación de la Administración Pública deberán aplicar los </w:t>
      </w:r>
      <w:r w:rsidR="00C93140" w:rsidRPr="00D03D82">
        <w:rPr>
          <w:rFonts w:ascii="Arial" w:eastAsia="Calibri" w:hAnsi="Arial" w:cs="Arial"/>
          <w:sz w:val="22"/>
        </w:rPr>
        <w:t xml:space="preserve">documentos tipo </w:t>
      </w:r>
      <w:r w:rsidR="00790697" w:rsidRPr="00D03D82">
        <w:rPr>
          <w:rFonts w:ascii="Arial" w:eastAsia="Calibri" w:hAnsi="Arial" w:cs="Arial"/>
          <w:sz w:val="22"/>
        </w:rPr>
        <w:t>conforme</w:t>
      </w:r>
      <w:r w:rsidRPr="00D03D82">
        <w:rPr>
          <w:rFonts w:ascii="Arial" w:eastAsia="Calibri" w:hAnsi="Arial" w:cs="Arial"/>
          <w:sz w:val="22"/>
        </w:rPr>
        <w:t xml:space="preserve"> </w:t>
      </w:r>
      <w:r w:rsidR="00790697" w:rsidRPr="00D03D82">
        <w:rPr>
          <w:rFonts w:ascii="Arial" w:eastAsia="Calibri" w:hAnsi="Arial" w:cs="Arial"/>
          <w:sz w:val="22"/>
        </w:rPr>
        <w:t>indica</w:t>
      </w:r>
      <w:r w:rsidRPr="00D03D82">
        <w:rPr>
          <w:rFonts w:ascii="Arial" w:eastAsia="Calibri" w:hAnsi="Arial" w:cs="Arial"/>
          <w:sz w:val="22"/>
        </w:rPr>
        <w:t xml:space="preserve"> </w:t>
      </w:r>
      <w:r w:rsidR="00790697" w:rsidRPr="00D03D82">
        <w:rPr>
          <w:rFonts w:ascii="Arial" w:eastAsia="Calibri" w:hAnsi="Arial" w:cs="Arial"/>
          <w:sz w:val="22"/>
        </w:rPr>
        <w:t xml:space="preserve">el </w:t>
      </w:r>
      <w:r w:rsidRPr="00D03D82">
        <w:rPr>
          <w:rFonts w:ascii="Arial" w:eastAsia="Calibri" w:hAnsi="Arial" w:cs="Arial"/>
          <w:sz w:val="22"/>
        </w:rPr>
        <w:t>parágrafo 7 del artículo 2 de la Ley 1150 de 2007</w:t>
      </w:r>
      <w:r w:rsidR="00790697" w:rsidRPr="00D03D82">
        <w:rPr>
          <w:rFonts w:ascii="Arial" w:eastAsia="Calibri" w:hAnsi="Arial" w:cs="Arial"/>
          <w:sz w:val="22"/>
        </w:rPr>
        <w:t xml:space="preserve">. </w:t>
      </w:r>
    </w:p>
    <w:p w14:paraId="3CF99434" w14:textId="7EE33041" w:rsidR="00996965" w:rsidRPr="00D03D82" w:rsidRDefault="00AF54E5" w:rsidP="00CC1E39">
      <w:pPr>
        <w:spacing w:after="120" w:line="276" w:lineRule="auto"/>
        <w:ind w:right="51" w:firstLine="708"/>
        <w:jc w:val="both"/>
        <w:rPr>
          <w:rFonts w:ascii="Arial" w:hAnsi="Arial" w:cs="Arial"/>
          <w:sz w:val="22"/>
        </w:rPr>
      </w:pPr>
      <w:r>
        <w:rPr>
          <w:rFonts w:ascii="Arial" w:eastAsia="Calibri" w:hAnsi="Arial" w:cs="Arial"/>
          <w:sz w:val="22"/>
        </w:rPr>
        <w:lastRenderedPageBreak/>
        <w:t xml:space="preserve">Por el contrario, las entidades </w:t>
      </w:r>
      <w:r w:rsidR="00EA619C">
        <w:rPr>
          <w:rFonts w:ascii="Arial" w:eastAsia="Calibri" w:hAnsi="Arial" w:cs="Arial"/>
          <w:sz w:val="22"/>
        </w:rPr>
        <w:t xml:space="preserve">estatales </w:t>
      </w:r>
      <w:r>
        <w:rPr>
          <w:rFonts w:ascii="Arial" w:eastAsia="Calibri" w:hAnsi="Arial" w:cs="Arial"/>
          <w:sz w:val="22"/>
        </w:rPr>
        <w:t>exceptuadas de</w:t>
      </w:r>
      <w:r w:rsidR="00EA619C">
        <w:rPr>
          <w:rFonts w:ascii="Arial" w:eastAsia="Calibri" w:hAnsi="Arial" w:cs="Arial"/>
          <w:sz w:val="22"/>
        </w:rPr>
        <w:t xml:space="preserve"> dicho régimen de </w:t>
      </w:r>
      <w:proofErr w:type="gramStart"/>
      <w:r w:rsidR="00EA619C">
        <w:rPr>
          <w:rFonts w:ascii="Arial" w:eastAsia="Calibri" w:hAnsi="Arial" w:cs="Arial"/>
          <w:sz w:val="22"/>
        </w:rPr>
        <w:t>contratación,</w:t>
      </w:r>
      <w:proofErr w:type="gramEnd"/>
      <w:r w:rsidR="00EA619C">
        <w:rPr>
          <w:rFonts w:ascii="Arial" w:eastAsia="Calibri" w:hAnsi="Arial" w:cs="Arial"/>
          <w:sz w:val="22"/>
        </w:rPr>
        <w:t xml:space="preserve"> no estarán obligadas a aplicar los documentos tipo, incluso cuando el objeto a contratar sea subsumible en las actividades definidas en la Matriz 1.</w:t>
      </w:r>
      <w:r w:rsidR="00996965" w:rsidRPr="00D03D82">
        <w:rPr>
          <w:rFonts w:ascii="Arial" w:eastAsia="Calibri" w:hAnsi="Arial" w:cs="Arial"/>
          <w:sz w:val="22"/>
        </w:rPr>
        <w:t xml:space="preserve"> </w:t>
      </w:r>
    </w:p>
    <w:p w14:paraId="5B352915" w14:textId="77777777" w:rsidR="00C42B9D" w:rsidRPr="00D03D82" w:rsidRDefault="00C42B9D" w:rsidP="00D5519F">
      <w:pPr>
        <w:spacing w:line="276" w:lineRule="auto"/>
        <w:ind w:firstLine="708"/>
        <w:jc w:val="both"/>
        <w:rPr>
          <w:rFonts w:ascii="Arial" w:hAnsi="Arial" w:cs="Arial"/>
          <w:sz w:val="22"/>
        </w:rPr>
      </w:pPr>
    </w:p>
    <w:p w14:paraId="24BD5695" w14:textId="4E30197F" w:rsidR="0087624C" w:rsidRPr="00D03D82" w:rsidRDefault="00A37FB6" w:rsidP="00D5519F">
      <w:pPr>
        <w:spacing w:line="276" w:lineRule="auto"/>
        <w:jc w:val="both"/>
        <w:rPr>
          <w:rFonts w:ascii="Arial" w:eastAsia="Calibri" w:hAnsi="Arial" w:cs="Arial"/>
          <w:sz w:val="22"/>
        </w:rPr>
      </w:pPr>
      <w:r w:rsidRPr="00D03D82">
        <w:rPr>
          <w:rFonts w:ascii="Arial" w:eastAsia="Calibri" w:hAnsi="Arial" w:cs="Arial"/>
          <w:sz w:val="22"/>
        </w:rPr>
        <w:t xml:space="preserve">Este concepto tiene el alcance previsto </w:t>
      </w:r>
      <w:proofErr w:type="spellStart"/>
      <w:r w:rsidR="00707E7D" w:rsidRPr="00D03D82">
        <w:rPr>
          <w:rFonts w:ascii="Arial" w:eastAsia="Calibri" w:hAnsi="Arial" w:cs="Arial"/>
          <w:sz w:val="22"/>
        </w:rPr>
        <w:t>p</w:t>
      </w:r>
      <w:r w:rsidRPr="00D03D82">
        <w:rPr>
          <w:rFonts w:ascii="Arial" w:eastAsia="Calibri" w:hAnsi="Arial" w:cs="Arial"/>
          <w:sz w:val="22"/>
        </w:rPr>
        <w:t>en</w:t>
      </w:r>
      <w:proofErr w:type="spellEnd"/>
      <w:r w:rsidRPr="00D03D82">
        <w:rPr>
          <w:rFonts w:ascii="Arial" w:eastAsia="Calibri" w:hAnsi="Arial" w:cs="Arial"/>
          <w:sz w:val="22"/>
        </w:rPr>
        <w:t xml:space="preserve"> el artículo 28 del Código de Procedimiento Administrativo y de lo Contencioso Administrativo.</w:t>
      </w:r>
    </w:p>
    <w:p w14:paraId="0F8C901F" w14:textId="3D3B34EA" w:rsidR="00A37FB6" w:rsidRPr="00D03D82" w:rsidRDefault="0087624C" w:rsidP="00D5519F">
      <w:pPr>
        <w:jc w:val="both"/>
        <w:rPr>
          <w:rFonts w:ascii="Arial" w:eastAsia="Calibri" w:hAnsi="Arial" w:cs="Arial"/>
          <w:sz w:val="22"/>
        </w:rPr>
      </w:pPr>
      <w:r w:rsidRPr="6D569CFA">
        <w:rPr>
          <w:rFonts w:ascii="Arial" w:eastAsia="Calibri" w:hAnsi="Arial" w:cs="Arial"/>
          <w:sz w:val="22"/>
        </w:rPr>
        <w:t xml:space="preserve"> </w:t>
      </w:r>
    </w:p>
    <w:p w14:paraId="1E81A930" w14:textId="051A2F44" w:rsidR="00A37FB6" w:rsidRPr="00D03D82" w:rsidRDefault="00A37FB6" w:rsidP="00D01760">
      <w:pPr>
        <w:rPr>
          <w:rFonts w:ascii="Arial" w:eastAsia="Times New Roman" w:hAnsi="Arial" w:cs="Arial"/>
          <w:sz w:val="22"/>
          <w:lang w:eastAsia="es-CO"/>
        </w:rPr>
      </w:pPr>
      <w:r w:rsidRPr="00D03D82">
        <w:rPr>
          <w:rFonts w:ascii="Arial" w:eastAsia="Times New Roman" w:hAnsi="Arial" w:cs="Arial"/>
          <w:sz w:val="22"/>
          <w:lang w:eastAsia="es-CO"/>
        </w:rPr>
        <w:t>Atentamente,</w:t>
      </w:r>
    </w:p>
    <w:p w14:paraId="57DD1EBD" w14:textId="7DCD6422" w:rsidR="00746E08" w:rsidRDefault="00990B9C" w:rsidP="00746E08">
      <w:pPr>
        <w:jc w:val="center"/>
        <w:rPr>
          <w:rFonts w:ascii="Arial" w:hAnsi="Arial" w:cs="Arial"/>
          <w:noProof/>
        </w:rPr>
      </w:pPr>
      <w:r>
        <w:rPr>
          <w:noProof/>
        </w:rPr>
        <w:drawing>
          <wp:inline distT="0" distB="0" distL="0" distR="0" wp14:anchorId="4B8777A5" wp14:editId="2705C232">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A6E0C52" w14:textId="2E6D2F6D" w:rsidR="00A13B56" w:rsidRPr="00D03D82" w:rsidRDefault="00A13B56" w:rsidP="00746E08">
      <w:pPr>
        <w:jc w:val="center"/>
        <w:rPr>
          <w:rFonts w:ascii="Arial" w:hAnsi="Arial" w:cs="Arial"/>
          <w:noProof/>
        </w:rPr>
      </w:pPr>
    </w:p>
    <w:tbl>
      <w:tblPr>
        <w:tblStyle w:val="Tablaconcuadrcula"/>
        <w:tblpPr w:leftFromText="141" w:rightFromText="141" w:vertAnchor="page" w:horzAnchor="margin" w:tblpY="62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0B9C" w:rsidRPr="00D03D82" w14:paraId="09288A1C" w14:textId="77777777" w:rsidTr="00990B9C">
        <w:trPr>
          <w:trHeight w:val="315"/>
        </w:trPr>
        <w:tc>
          <w:tcPr>
            <w:tcW w:w="812" w:type="dxa"/>
            <w:vAlign w:val="center"/>
            <w:hideMark/>
          </w:tcPr>
          <w:p w14:paraId="6295C72A"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068022"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Alejandro Sarmiento Cantillo</w:t>
            </w:r>
          </w:p>
          <w:p w14:paraId="3F6E6514"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Contratista de la Subdirección de Gestión Contractual</w:t>
            </w:r>
          </w:p>
        </w:tc>
      </w:tr>
      <w:tr w:rsidR="00990B9C" w:rsidRPr="00D03D82" w14:paraId="42E0CB9D" w14:textId="77777777" w:rsidTr="00990B9C">
        <w:trPr>
          <w:trHeight w:val="330"/>
        </w:trPr>
        <w:tc>
          <w:tcPr>
            <w:tcW w:w="812" w:type="dxa"/>
            <w:vAlign w:val="center"/>
            <w:hideMark/>
          </w:tcPr>
          <w:p w14:paraId="7346FF7A"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C3EB14" w14:textId="77777777" w:rsidR="00990B9C" w:rsidRPr="00D03D82" w:rsidRDefault="00990B9C" w:rsidP="00990B9C">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481E0634"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Contratista de la Subdirección de Gestión Contractual</w:t>
            </w:r>
          </w:p>
        </w:tc>
      </w:tr>
      <w:tr w:rsidR="00990B9C" w:rsidRPr="00D03D82" w14:paraId="75D9AA4F" w14:textId="77777777" w:rsidTr="00990B9C">
        <w:trPr>
          <w:trHeight w:val="300"/>
        </w:trPr>
        <w:tc>
          <w:tcPr>
            <w:tcW w:w="812" w:type="dxa"/>
            <w:vAlign w:val="center"/>
            <w:hideMark/>
          </w:tcPr>
          <w:p w14:paraId="44F00DE4"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851C516"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Fabián Gonzalo Marín Cortés</w:t>
            </w:r>
          </w:p>
          <w:p w14:paraId="0402ADFE" w14:textId="77777777" w:rsidR="00990B9C" w:rsidRPr="00D03D82" w:rsidRDefault="00990B9C" w:rsidP="00990B9C">
            <w:pPr>
              <w:rPr>
                <w:rFonts w:ascii="Arial" w:eastAsia="Times New Roman" w:hAnsi="Arial" w:cs="Arial"/>
                <w:sz w:val="16"/>
                <w:szCs w:val="16"/>
                <w:lang w:eastAsia="es-ES"/>
              </w:rPr>
            </w:pPr>
            <w:r w:rsidRPr="00D03D82">
              <w:rPr>
                <w:rFonts w:ascii="Arial" w:eastAsia="Times New Roman" w:hAnsi="Arial" w:cs="Arial"/>
                <w:sz w:val="16"/>
                <w:szCs w:val="16"/>
                <w:lang w:eastAsia="es-ES"/>
              </w:rPr>
              <w:t>Subdirector de Gestión Contractual</w:t>
            </w:r>
          </w:p>
        </w:tc>
      </w:tr>
    </w:tbl>
    <w:p w14:paraId="30200B52" w14:textId="585F1AFC" w:rsidR="00B57E77" w:rsidRPr="00D03D82" w:rsidRDefault="00B57E77" w:rsidP="00746E08">
      <w:pPr>
        <w:rPr>
          <w:rFonts w:ascii="Arial" w:eastAsia="Times New Roman" w:hAnsi="Arial" w:cs="Arial"/>
          <w:sz w:val="16"/>
          <w:szCs w:val="16"/>
          <w:lang w:eastAsia="es-ES"/>
        </w:rPr>
      </w:pPr>
    </w:p>
    <w:p w14:paraId="539B195A" w14:textId="00286971" w:rsidR="00B57E77" w:rsidRPr="00D03D82" w:rsidRDefault="00B57E77" w:rsidP="00746E08">
      <w:pPr>
        <w:rPr>
          <w:rFonts w:ascii="Arial" w:eastAsia="Times New Roman" w:hAnsi="Arial" w:cs="Arial"/>
          <w:sz w:val="16"/>
          <w:szCs w:val="16"/>
          <w:lang w:eastAsia="es-ES"/>
        </w:rPr>
      </w:pPr>
    </w:p>
    <w:p w14:paraId="2961BC10" w14:textId="25788B81" w:rsidR="00B57E77" w:rsidRPr="00D03D82" w:rsidRDefault="00B57E77" w:rsidP="007F7978">
      <w:pPr>
        <w:rPr>
          <w:rFonts w:ascii="Arial" w:eastAsia="Times New Roman" w:hAnsi="Arial" w:cs="Arial"/>
          <w:sz w:val="16"/>
          <w:szCs w:val="16"/>
          <w:lang w:eastAsia="es-ES"/>
        </w:rPr>
      </w:pPr>
    </w:p>
    <w:sectPr w:rsidR="00B57E77" w:rsidRPr="00D03D8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0E668" w14:textId="77777777" w:rsidR="0008797B" w:rsidRDefault="0008797B">
      <w:r>
        <w:separator/>
      </w:r>
    </w:p>
  </w:endnote>
  <w:endnote w:type="continuationSeparator" w:id="0">
    <w:p w14:paraId="6B39FE65" w14:textId="77777777" w:rsidR="0008797B" w:rsidRDefault="0008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CA6CA7" w:rsidR="00616E0E" w:rsidRPr="00990B9C" w:rsidRDefault="00616E0E" w:rsidP="00322937">
    <w:pPr>
      <w:pStyle w:val="Sinespaciado"/>
      <w:jc w:val="right"/>
      <w:rPr>
        <w:rFonts w:ascii="Arial" w:hAnsi="Arial" w:cs="Arial"/>
        <w:sz w:val="28"/>
        <w:szCs w:val="28"/>
      </w:rPr>
    </w:pPr>
  </w:p>
  <w:p w14:paraId="7A3785F3" w14:textId="2EF28465" w:rsidR="00616E0E" w:rsidRPr="008217B7" w:rsidRDefault="00616E0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616E0E" w:rsidRDefault="6D569CFA" w:rsidP="00322937">
    <w:pPr>
      <w:pStyle w:val="Piedepgina"/>
      <w:jc w:val="center"/>
      <w:rPr>
        <w:lang w:val="es-ES"/>
      </w:rPr>
    </w:pPr>
    <w:r>
      <w:rPr>
        <w:noProof/>
      </w:rPr>
      <w:drawing>
        <wp:inline distT="0" distB="0" distL="0" distR="0" wp14:anchorId="608B196D" wp14:editId="146AC0C6">
          <wp:extent cx="3700130" cy="519139"/>
          <wp:effectExtent l="0" t="0" r="0" b="0"/>
          <wp:docPr id="18879433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16E0E" w:rsidRPr="00916212" w:rsidRDefault="00616E0E" w:rsidP="007B0854">
    <w:pPr>
      <w:pStyle w:val="Piedepgina"/>
      <w:jc w:val="center"/>
      <w:rPr>
        <w:sz w:val="22"/>
        <w:lang w:val="es-ES"/>
      </w:rPr>
    </w:pPr>
  </w:p>
  <w:p w14:paraId="6C0EFC49" w14:textId="77777777" w:rsidR="00616E0E" w:rsidRPr="00FE2E47" w:rsidRDefault="00616E0E" w:rsidP="007B0854">
    <w:pPr>
      <w:pStyle w:val="Piedepgina"/>
      <w:jc w:val="center"/>
      <w:rPr>
        <w:sz w:val="28"/>
        <w:szCs w:val="2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4CF25" w14:textId="77777777" w:rsidR="0008797B" w:rsidRDefault="0008797B">
      <w:r>
        <w:separator/>
      </w:r>
    </w:p>
  </w:footnote>
  <w:footnote w:type="continuationSeparator" w:id="0">
    <w:p w14:paraId="202EDD24" w14:textId="77777777" w:rsidR="0008797B" w:rsidRDefault="0008797B">
      <w:r>
        <w:continuationSeparator/>
      </w:r>
    </w:p>
  </w:footnote>
  <w:footnote w:id="1">
    <w:p w14:paraId="5C959794" w14:textId="77777777" w:rsidR="00C8270C" w:rsidRPr="003C5E5D" w:rsidRDefault="00C8270C" w:rsidP="00C8270C">
      <w:pPr>
        <w:spacing w:before="120" w:after="120"/>
        <w:ind w:firstLine="705"/>
        <w:jc w:val="both"/>
        <w:rPr>
          <w:rFonts w:ascii="Arial" w:hAnsi="Arial" w:cs="Arial"/>
          <w:sz w:val="19"/>
          <w:szCs w:val="19"/>
          <w:lang w:val="es-ES"/>
        </w:rPr>
      </w:pPr>
      <w:r w:rsidRPr="003C5E5D">
        <w:rPr>
          <w:rStyle w:val="Refdenotaalpie"/>
          <w:rFonts w:ascii="Arial" w:hAnsi="Arial" w:cs="Arial"/>
          <w:sz w:val="19"/>
          <w:szCs w:val="19"/>
        </w:rPr>
        <w:footnoteRef/>
      </w:r>
      <w:r w:rsidRPr="003C5E5D">
        <w:rPr>
          <w:rFonts w:ascii="Arial" w:hAnsi="Arial" w:cs="Arial"/>
          <w:sz w:val="19"/>
          <w:szCs w:val="19"/>
        </w:rPr>
        <w:t xml:space="preserve"> </w:t>
      </w:r>
      <w:r>
        <w:rPr>
          <w:rFonts w:ascii="Arial" w:hAnsi="Arial" w:cs="Arial"/>
          <w:sz w:val="19"/>
          <w:szCs w:val="19"/>
        </w:rPr>
        <w:t xml:space="preserve">Licitación Pública </w:t>
      </w:r>
      <w:r w:rsidRPr="003C5E5D">
        <w:rPr>
          <w:rFonts w:ascii="Arial" w:hAnsi="Arial" w:cs="Arial"/>
          <w:sz w:val="19"/>
          <w:szCs w:val="19"/>
        </w:rPr>
        <w:t>«</w:t>
      </w:r>
      <w:r w:rsidRPr="00D5103D">
        <w:rPr>
          <w:rStyle w:val="Textoennegrita"/>
          <w:rFonts w:ascii="Arial" w:hAnsi="Arial" w:cs="Arial"/>
          <w:b w:val="0"/>
          <w:bCs w:val="0"/>
          <w:color w:val="000000"/>
          <w:sz w:val="19"/>
          <w:szCs w:val="19"/>
        </w:rPr>
        <w:t>2.2.1.2.6.1.4. Inalterabilidad de los Documentos Tipo</w:t>
      </w:r>
      <w:r w:rsidRPr="00D5103D">
        <w:rPr>
          <w:rFonts w:ascii="Arial" w:hAnsi="Arial" w:cs="Arial"/>
          <w:b/>
          <w:bCs/>
          <w:color w:val="000000"/>
          <w:sz w:val="19"/>
          <w:szCs w:val="19"/>
        </w:rPr>
        <w:t>.</w:t>
      </w:r>
      <w:r w:rsidRPr="003C5E5D">
        <w:rPr>
          <w:rFonts w:ascii="Arial" w:hAnsi="Arial" w:cs="Arial"/>
          <w:color w:val="000000"/>
          <w:sz w:val="19"/>
          <w:szCs w:val="19"/>
        </w:rPr>
        <w:t xml:space="preserve"> Las entidades estatales contratantes no podrán incluir o modificar dentro de los Documentos del Proceso las condiciones habilitantes, los factores técnicos y económicos de escogencia y los sistemas de ponderación distintos a los señalados en los Documentos Tipo». </w:t>
      </w:r>
    </w:p>
    <w:p w14:paraId="71E4EF7D" w14:textId="77777777" w:rsidR="00C8270C" w:rsidRPr="003C5E5D" w:rsidRDefault="00C8270C" w:rsidP="00C8270C">
      <w:pPr>
        <w:pStyle w:val="Textonotapie"/>
        <w:rPr>
          <w:rFonts w:ascii="Arial" w:hAnsi="Arial" w:cs="Arial"/>
          <w:sz w:val="19"/>
          <w:szCs w:val="19"/>
          <w:lang w:val="es-ES"/>
        </w:rPr>
      </w:pPr>
    </w:p>
  </w:footnote>
  <w:footnote w:id="2">
    <w:p w14:paraId="76C48FBC" w14:textId="77777777" w:rsidR="00C8270C" w:rsidRPr="003C5E5D" w:rsidRDefault="00C8270C" w:rsidP="00C8270C">
      <w:pPr>
        <w:pStyle w:val="Textonotapie"/>
        <w:ind w:firstLine="705"/>
        <w:jc w:val="both"/>
        <w:rPr>
          <w:rFonts w:ascii="Arial" w:hAnsi="Arial" w:cs="Arial"/>
          <w:sz w:val="19"/>
          <w:szCs w:val="19"/>
        </w:rPr>
      </w:pPr>
      <w:r w:rsidRPr="003C5E5D">
        <w:rPr>
          <w:rStyle w:val="Refdenotaalpie"/>
          <w:rFonts w:ascii="Arial" w:hAnsi="Arial" w:cs="Arial"/>
          <w:sz w:val="19"/>
          <w:szCs w:val="19"/>
        </w:rPr>
        <w:footnoteRef/>
      </w:r>
      <w:r w:rsidRPr="003C5E5D">
        <w:rPr>
          <w:rFonts w:ascii="Arial" w:hAnsi="Arial" w:cs="Arial"/>
          <w:sz w:val="19"/>
          <w:szCs w:val="19"/>
        </w:rPr>
        <w:t xml:space="preserve"> «2.2.1.2.6.2.3. Criterios para selección abreviada de menor cuantía. La Agencia Nacional de Contratación Pública -Colombia Compra Eficiente-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   </w:t>
      </w:r>
    </w:p>
    <w:p w14:paraId="6DCB0CEA" w14:textId="77777777" w:rsidR="00C8270C" w:rsidRPr="003C5E5D" w:rsidRDefault="00C8270C" w:rsidP="00C8270C">
      <w:pPr>
        <w:pStyle w:val="Textonotapie"/>
        <w:ind w:firstLine="705"/>
        <w:jc w:val="both"/>
        <w:rPr>
          <w:rFonts w:ascii="Arial" w:hAnsi="Arial" w:cs="Arial"/>
          <w:sz w:val="19"/>
          <w:szCs w:val="19"/>
          <w:lang w:val="es-CO"/>
        </w:rPr>
      </w:pPr>
      <w:proofErr w:type="gramStart"/>
      <w:r w:rsidRPr="003C5E5D">
        <w:rPr>
          <w:rFonts w:ascii="Arial" w:hAnsi="Arial" w:cs="Arial"/>
          <w:sz w:val="19"/>
          <w:szCs w:val="19"/>
        </w:rPr>
        <w:t>»Los</w:t>
      </w:r>
      <w:proofErr w:type="gramEnd"/>
      <w:r w:rsidRPr="003C5E5D">
        <w:rPr>
          <w:rFonts w:ascii="Arial" w:hAnsi="Arial" w:cs="Arial"/>
          <w:sz w:val="19"/>
          <w:szCs w:val="19"/>
        </w:rPr>
        <w:t xml:space="preserve"> artículos 2.2.1.2.6.1.4. y 2.2.1.2.6.1.5. del presente decreto aplican para la modalidad de selección abreviada de menor cuantía para la contratación obra pública de infraestructura de transporte».  </w:t>
      </w:r>
    </w:p>
  </w:footnote>
  <w:footnote w:id="3">
    <w:p w14:paraId="21BB6352" w14:textId="77777777" w:rsidR="00C8270C" w:rsidRDefault="00C8270C" w:rsidP="00C8270C">
      <w:pPr>
        <w:pStyle w:val="Textonotapie"/>
      </w:pPr>
    </w:p>
    <w:p w14:paraId="2CDE1370" w14:textId="77777777" w:rsidR="00C8270C" w:rsidRPr="003C5E5D" w:rsidRDefault="00C8270C" w:rsidP="00C8270C">
      <w:pPr>
        <w:pStyle w:val="Textonotapie"/>
        <w:ind w:firstLine="705"/>
        <w:jc w:val="both"/>
        <w:rPr>
          <w:rFonts w:ascii="Arial" w:hAnsi="Arial" w:cs="Arial"/>
          <w:sz w:val="19"/>
          <w:szCs w:val="19"/>
        </w:rPr>
      </w:pPr>
      <w:r w:rsidRPr="003C5E5D">
        <w:rPr>
          <w:rStyle w:val="Refdenotaalpie"/>
          <w:rFonts w:ascii="Arial" w:hAnsi="Arial" w:cs="Arial"/>
          <w:sz w:val="19"/>
          <w:szCs w:val="19"/>
        </w:rPr>
        <w:footnoteRef/>
      </w:r>
      <w:r w:rsidRPr="003C5E5D">
        <w:rPr>
          <w:rFonts w:ascii="Arial" w:hAnsi="Arial" w:cs="Arial"/>
          <w:sz w:val="19"/>
          <w:szCs w:val="19"/>
        </w:rPr>
        <w:t xml:space="preserve"> Mínima cuantía: «2.2.1.2.6.3.4 Inalterabilidad de los Documentos Tipo. Las entidades estatales contratantes no podrán incluir o modificar dentro de los Documentos del Proceso, condiciones habilitantes y factores económicos de escogencia distintos a los señalados en los Documentos Tipo».</w:t>
      </w:r>
    </w:p>
    <w:p w14:paraId="5E9C7093" w14:textId="77777777" w:rsidR="00C8270C" w:rsidRPr="003C5E5D" w:rsidRDefault="00C8270C" w:rsidP="00C8270C">
      <w:pPr>
        <w:pStyle w:val="Textonotapie"/>
        <w:ind w:firstLine="705"/>
        <w:rPr>
          <w:lang w:val="es-CO"/>
        </w:rPr>
      </w:pPr>
      <w:r w:rsidRPr="003C5E5D">
        <w:t xml:space="preserve"> </w:t>
      </w:r>
      <w:r>
        <w:t xml:space="preserve"> </w:t>
      </w:r>
    </w:p>
  </w:footnote>
  <w:footnote w:id="4">
    <w:p w14:paraId="36CDE912" w14:textId="67FC7528" w:rsidR="00616E0E" w:rsidRPr="00224BE2" w:rsidRDefault="00616E0E" w:rsidP="00224BE2">
      <w:pPr>
        <w:pStyle w:val="NormalWeb"/>
        <w:spacing w:before="0" w:beforeAutospacing="0" w:after="120" w:afterAutospacing="0"/>
        <w:ind w:firstLine="709"/>
        <w:jc w:val="both"/>
        <w:rPr>
          <w:rFonts w:ascii="Arial" w:hAnsi="Arial" w:cs="Arial"/>
          <w:color w:val="000000"/>
          <w:sz w:val="19"/>
          <w:szCs w:val="19"/>
        </w:rPr>
      </w:pPr>
      <w:r w:rsidRPr="00224BE2">
        <w:rPr>
          <w:rStyle w:val="Refdenotaalpie"/>
          <w:rFonts w:ascii="Arial" w:hAnsi="Arial" w:cs="Arial"/>
          <w:sz w:val="19"/>
          <w:szCs w:val="19"/>
        </w:rPr>
        <w:footnoteRef/>
      </w:r>
      <w:r w:rsidRPr="00224BE2">
        <w:rPr>
          <w:rFonts w:ascii="Arial" w:hAnsi="Arial" w:cs="Arial"/>
          <w:sz w:val="19"/>
          <w:szCs w:val="19"/>
        </w:rPr>
        <w:t xml:space="preserve"> «</w:t>
      </w:r>
      <w:r w:rsidRPr="00224BE2">
        <w:rPr>
          <w:rFonts w:ascii="Arial" w:hAnsi="Arial" w:cs="Arial"/>
          <w:color w:val="000000"/>
          <w:sz w:val="19"/>
          <w:szCs w:val="19"/>
        </w:rPr>
        <w:t>Artículo 2°. La infraestructura del transporte es un 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 </w:t>
      </w:r>
    </w:p>
    <w:p w14:paraId="6DC80FB4" w14:textId="5B6E916A" w:rsidR="00616E0E" w:rsidRPr="00224BE2" w:rsidRDefault="00616E0E" w:rsidP="00224BE2">
      <w:pPr>
        <w:jc w:val="both"/>
        <w:rPr>
          <w:rFonts w:ascii="Arial" w:eastAsia="Times New Roman" w:hAnsi="Arial" w:cs="Arial"/>
          <w:color w:val="000000"/>
          <w:sz w:val="19"/>
          <w:szCs w:val="19"/>
          <w:lang w:val="es-CO" w:eastAsia="es-CO"/>
        </w:rPr>
      </w:pPr>
      <w:r w:rsidRPr="00224BE2">
        <w:rPr>
          <w:rFonts w:ascii="Arial" w:eastAsia="Times New Roman" w:hAnsi="Arial" w:cs="Arial"/>
          <w:color w:val="000000"/>
          <w:sz w:val="19"/>
          <w:szCs w:val="19"/>
          <w:lang w:val="es-CO" w:eastAsia="es-CO"/>
        </w:rPr>
        <w:t>  </w:t>
      </w:r>
      <w:bookmarkStart w:id="3" w:name="ver_1686329"/>
      <w:bookmarkEnd w:id="3"/>
      <w:r w:rsidRPr="00224BE2">
        <w:rPr>
          <w:rFonts w:ascii="Arial" w:eastAsia="Times New Roman" w:hAnsi="Arial" w:cs="Arial"/>
          <w:color w:val="000000"/>
          <w:sz w:val="19"/>
          <w:szCs w:val="19"/>
          <w:lang w:val="es-CO" w:eastAsia="es-CO"/>
        </w:rPr>
        <w:tab/>
      </w:r>
      <w:proofErr w:type="gramStart"/>
      <w:r w:rsidRPr="00224BE2">
        <w:rPr>
          <w:rFonts w:ascii="Arial" w:eastAsia="Times New Roman" w:hAnsi="Arial" w:cs="Arial"/>
          <w:color w:val="000000"/>
          <w:sz w:val="19"/>
          <w:szCs w:val="19"/>
          <w:lang w:val="es-CO" w:eastAsia="es-CO"/>
        </w:rPr>
        <w:t>»Artículo</w:t>
      </w:r>
      <w:proofErr w:type="gramEnd"/>
      <w:r w:rsidRPr="00224BE2">
        <w:rPr>
          <w:rFonts w:ascii="Arial" w:eastAsia="Times New Roman" w:hAnsi="Arial" w:cs="Arial"/>
          <w:color w:val="000000"/>
          <w:sz w:val="19"/>
          <w:szCs w:val="19"/>
          <w:lang w:val="es-CO" w:eastAsia="es-CO"/>
        </w:rPr>
        <w:t xml:space="preserve"> 3°.</w:t>
      </w:r>
      <w:r w:rsidRPr="00224BE2">
        <w:rPr>
          <w:rFonts w:ascii="Arial" w:eastAsia="Times New Roman" w:hAnsi="Arial" w:cs="Arial"/>
          <w:i/>
          <w:iCs/>
          <w:color w:val="000000"/>
          <w:sz w:val="19"/>
          <w:szCs w:val="19"/>
          <w:lang w:val="es-CO" w:eastAsia="es-CO"/>
        </w:rPr>
        <w:t> Características de la infraestructura del transporte.</w:t>
      </w:r>
      <w:r w:rsidRPr="00224BE2">
        <w:rPr>
          <w:rFonts w:ascii="Arial" w:eastAsia="Times New Roman" w:hAnsi="Arial" w:cs="Arial"/>
          <w:color w:val="000000"/>
          <w:sz w:val="19"/>
          <w:szCs w:val="19"/>
          <w:lang w:val="es-CO" w:eastAsia="es-CO"/>
        </w:rPr>
        <w:t> La infraestructura de transporte como sistema se caracteriza por ser inteligente, eficiente, multimodal, segura, de acceso a todas las personas y carga, ambientalmente sostenible, adaptada al cambio climático y vulnerabilidad, con acciones de mitigación y está destinada a facilitar y hacer posible el transporte en todos sus modos». </w:t>
      </w:r>
    </w:p>
    <w:p w14:paraId="7FE15BF5" w14:textId="66079AB4" w:rsidR="00616E0E" w:rsidRPr="00224BE2" w:rsidRDefault="00616E0E" w:rsidP="00224BE2">
      <w:pPr>
        <w:pStyle w:val="Textonotapie"/>
        <w:ind w:firstLine="708"/>
        <w:jc w:val="both"/>
        <w:rPr>
          <w:rFonts w:ascii="Arial" w:hAnsi="Arial" w:cs="Arial"/>
          <w:sz w:val="19"/>
          <w:szCs w:val="19"/>
          <w:lang w:val="es-CO"/>
        </w:rPr>
      </w:pPr>
      <w:r w:rsidRPr="00224BE2">
        <w:rPr>
          <w:rFonts w:ascii="Arial" w:hAnsi="Arial" w:cs="Arial"/>
          <w:sz w:val="19"/>
          <w:szCs w:val="19"/>
        </w:rPr>
        <w:t xml:space="preserve"> </w:t>
      </w:r>
    </w:p>
  </w:footnote>
  <w:footnote w:id="5">
    <w:p w14:paraId="2021B164" w14:textId="77777777" w:rsidR="000F2B47" w:rsidRDefault="00D5103D" w:rsidP="000F2B47">
      <w:pPr>
        <w:pStyle w:val="Textonotapie"/>
        <w:ind w:firstLine="708"/>
        <w:jc w:val="both"/>
        <w:rPr>
          <w:rFonts w:ascii="Arial" w:hAnsi="Arial" w:cs="Arial"/>
          <w:sz w:val="19"/>
          <w:szCs w:val="19"/>
        </w:rPr>
      </w:pPr>
      <w:r w:rsidRPr="000F2B47">
        <w:rPr>
          <w:rStyle w:val="Refdenotaalpie"/>
          <w:rFonts w:ascii="Arial" w:hAnsi="Arial" w:cs="Arial"/>
          <w:sz w:val="19"/>
          <w:szCs w:val="19"/>
        </w:rPr>
        <w:footnoteRef/>
      </w:r>
      <w:r w:rsidRPr="000F2B47">
        <w:rPr>
          <w:rFonts w:ascii="Arial" w:hAnsi="Arial" w:cs="Arial"/>
          <w:sz w:val="19"/>
          <w:szCs w:val="19"/>
        </w:rPr>
        <w:t xml:space="preserve"> Este artículo también es aplicable a los procedimientos de selección abreviada de menor cuantía, adelantados con documentos tipo, de conformidad con el artículo 2.2.1.2.6.2.3 del Decreto 1082 de 2015.</w:t>
      </w:r>
      <w:r w:rsidR="000F2B47">
        <w:rPr>
          <w:rFonts w:ascii="Arial" w:hAnsi="Arial" w:cs="Arial"/>
          <w:sz w:val="19"/>
          <w:szCs w:val="19"/>
        </w:rPr>
        <w:t xml:space="preserve"> </w:t>
      </w:r>
      <w:r w:rsidRPr="000F2B47">
        <w:rPr>
          <w:rFonts w:ascii="Arial" w:hAnsi="Arial" w:cs="Arial"/>
          <w:sz w:val="19"/>
          <w:szCs w:val="19"/>
        </w:rPr>
        <w:t>Para los procesos con documentos tipo, adelantado en modalidad de mínima cuantía</w:t>
      </w:r>
      <w:r w:rsidR="000F2B47" w:rsidRPr="000F2B47">
        <w:rPr>
          <w:rFonts w:ascii="Arial" w:hAnsi="Arial" w:cs="Arial"/>
          <w:sz w:val="19"/>
          <w:szCs w:val="19"/>
        </w:rPr>
        <w:t>, el Decreto 594 de 2020, al adicionar el Decreto 594 de 2020 introdujo una regla especial para regular esta situación, la cual dispone</w:t>
      </w:r>
      <w:r w:rsidR="000F2B47">
        <w:rPr>
          <w:rFonts w:ascii="Arial" w:hAnsi="Arial" w:cs="Arial"/>
          <w:sz w:val="19"/>
          <w:szCs w:val="19"/>
          <w:lang w:val="es-CO"/>
        </w:rPr>
        <w:t>:</w:t>
      </w:r>
      <w:r w:rsidR="000F2B47" w:rsidRPr="000F2B47">
        <w:rPr>
          <w:rFonts w:ascii="Arial" w:hAnsi="Arial" w:cs="Arial"/>
          <w:sz w:val="19"/>
          <w:szCs w:val="19"/>
        </w:rPr>
        <w:t xml:space="preserve"> </w:t>
      </w:r>
    </w:p>
    <w:p w14:paraId="7EDD2937" w14:textId="0C2FC83E" w:rsidR="000F2B47" w:rsidRPr="000F2B47" w:rsidRDefault="000F2B47" w:rsidP="000F2B47">
      <w:pPr>
        <w:pStyle w:val="Textonotapie"/>
        <w:ind w:firstLine="708"/>
        <w:jc w:val="both"/>
        <w:rPr>
          <w:rFonts w:ascii="Arial" w:hAnsi="Arial" w:cs="Arial"/>
          <w:sz w:val="19"/>
          <w:szCs w:val="19"/>
        </w:rPr>
      </w:pPr>
      <w:r w:rsidRPr="000F2B47">
        <w:rPr>
          <w:rFonts w:ascii="Arial" w:hAnsi="Arial" w:cs="Arial"/>
          <w:sz w:val="19"/>
          <w:szCs w:val="19"/>
        </w:rPr>
        <w:t xml:space="preserve">«2.2.1.2.6.3.5.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058331CC" w14:textId="781793C8" w:rsidR="000F2B47" w:rsidRPr="000F2B47" w:rsidRDefault="000F2B47" w:rsidP="000F2B47">
      <w:pPr>
        <w:pStyle w:val="Textonotapie"/>
        <w:ind w:firstLine="708"/>
        <w:jc w:val="both"/>
        <w:rPr>
          <w:rFonts w:ascii="Arial" w:hAnsi="Arial" w:cs="Arial"/>
          <w:sz w:val="19"/>
          <w:szCs w:val="19"/>
        </w:rPr>
      </w:pPr>
      <w:r w:rsidRPr="000F2B4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5C089E6D" w14:textId="118E58FC" w:rsidR="000F2B47" w:rsidRPr="000F2B47" w:rsidRDefault="000F2B47" w:rsidP="000F2B47">
      <w:pPr>
        <w:pStyle w:val="Textonotapie"/>
        <w:ind w:firstLine="708"/>
        <w:jc w:val="both"/>
        <w:rPr>
          <w:rFonts w:ascii="Arial" w:hAnsi="Arial" w:cs="Arial"/>
          <w:sz w:val="19"/>
          <w:szCs w:val="19"/>
        </w:rPr>
      </w:pPr>
      <w:r w:rsidRPr="000F2B47">
        <w:rPr>
          <w:rFonts w:ascii="Arial" w:hAnsi="Arial" w:cs="Arial"/>
          <w:sz w:val="19"/>
          <w:szCs w:val="19"/>
        </w:rPr>
        <w:t xml:space="preserve">»2. Conservar los requisitos exigidos en los Documentos Tipo.  </w:t>
      </w:r>
    </w:p>
    <w:p w14:paraId="51045A35" w14:textId="7AB5E072" w:rsidR="00D5103D" w:rsidRPr="00D5103D" w:rsidRDefault="000F2B47" w:rsidP="000F2B47">
      <w:pPr>
        <w:pStyle w:val="Textonotapie"/>
        <w:ind w:firstLine="708"/>
        <w:jc w:val="both"/>
        <w:rPr>
          <w:lang w:val="es-CO"/>
        </w:rPr>
      </w:pPr>
      <w:r w:rsidRPr="000F2B47">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t xml:space="preserve"> </w:t>
      </w:r>
      <w:r w:rsidR="00D5103D">
        <w:t xml:space="preserve"> </w:t>
      </w:r>
    </w:p>
  </w:footnote>
  <w:footnote w:id="6">
    <w:p w14:paraId="1DA9BD31" w14:textId="2A21F518" w:rsidR="00991C97" w:rsidRPr="00991C97" w:rsidRDefault="00991C97" w:rsidP="00991C97">
      <w:pPr>
        <w:pStyle w:val="Textonotapie"/>
        <w:ind w:firstLine="708"/>
        <w:jc w:val="both"/>
        <w:rPr>
          <w:rFonts w:ascii="Arial" w:hAnsi="Arial" w:cs="Arial"/>
          <w:sz w:val="19"/>
          <w:szCs w:val="19"/>
          <w:lang w:val="es-CO"/>
        </w:rPr>
      </w:pPr>
      <w:r w:rsidRPr="00991C97">
        <w:rPr>
          <w:rStyle w:val="Refdenotaalpie"/>
          <w:rFonts w:ascii="Arial" w:hAnsi="Arial" w:cs="Arial"/>
          <w:sz w:val="19"/>
          <w:szCs w:val="19"/>
        </w:rPr>
        <w:footnoteRef/>
      </w:r>
      <w:r w:rsidRPr="00991C97">
        <w:rPr>
          <w:rFonts w:ascii="Arial" w:hAnsi="Arial" w:cs="Arial"/>
          <w:sz w:val="19"/>
          <w:szCs w:val="19"/>
        </w:rPr>
        <w:t xml:space="preserve"> </w:t>
      </w:r>
      <w:r w:rsidRPr="00991C97">
        <w:rPr>
          <w:rFonts w:ascii="Arial" w:hAnsi="Arial" w:cs="Arial"/>
          <w:sz w:val="19"/>
          <w:szCs w:val="19"/>
          <w:lang w:val="es-CO"/>
        </w:rPr>
        <w:t xml:space="preserve">Sobre el régimen de contratación aplicable a la Aeronáutica Civil se pronunció la </w:t>
      </w:r>
      <w:r w:rsidRPr="00991C97">
        <w:rPr>
          <w:rFonts w:ascii="Arial" w:hAnsi="Arial" w:cs="Arial"/>
          <w:sz w:val="19"/>
          <w:szCs w:val="19"/>
        </w:rPr>
        <w:t xml:space="preserve">Sala de Consulta y Servicio Civil del Consejo de Estado en el concepto de 28 de septiembre de 2016. </w:t>
      </w:r>
      <w:proofErr w:type="spellStart"/>
      <w:r w:rsidRPr="00991C97">
        <w:rPr>
          <w:rFonts w:ascii="Arial" w:hAnsi="Arial" w:cs="Arial"/>
          <w:sz w:val="19"/>
          <w:szCs w:val="19"/>
        </w:rPr>
        <w:t>Exp</w:t>
      </w:r>
      <w:proofErr w:type="spellEnd"/>
      <w:r w:rsidRPr="00991C97">
        <w:rPr>
          <w:rFonts w:ascii="Arial" w:hAnsi="Arial" w:cs="Arial"/>
          <w:sz w:val="19"/>
          <w:szCs w:val="19"/>
        </w:rPr>
        <w:t>. 23.000, C.P. Édgar González López</w:t>
      </w:r>
      <w:r w:rsidR="00CC1E3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16E0E" w:rsidRDefault="00616E0E">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000A11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4D1A"/>
    <w:rsid w:val="0000767B"/>
    <w:rsid w:val="0001326B"/>
    <w:rsid w:val="000136B8"/>
    <w:rsid w:val="00014AEA"/>
    <w:rsid w:val="000161DC"/>
    <w:rsid w:val="00021B26"/>
    <w:rsid w:val="00025787"/>
    <w:rsid w:val="00025AFD"/>
    <w:rsid w:val="000269E5"/>
    <w:rsid w:val="0002714A"/>
    <w:rsid w:val="00027C38"/>
    <w:rsid w:val="00037A88"/>
    <w:rsid w:val="00041BAE"/>
    <w:rsid w:val="00042E4F"/>
    <w:rsid w:val="00043B83"/>
    <w:rsid w:val="000513FC"/>
    <w:rsid w:val="000612E5"/>
    <w:rsid w:val="00070D38"/>
    <w:rsid w:val="00071A02"/>
    <w:rsid w:val="000720C3"/>
    <w:rsid w:val="000735FA"/>
    <w:rsid w:val="00083023"/>
    <w:rsid w:val="000836F1"/>
    <w:rsid w:val="00084B97"/>
    <w:rsid w:val="00086C5D"/>
    <w:rsid w:val="0008797B"/>
    <w:rsid w:val="00093AF5"/>
    <w:rsid w:val="000942EB"/>
    <w:rsid w:val="00097D59"/>
    <w:rsid w:val="000A3FAC"/>
    <w:rsid w:val="000A6493"/>
    <w:rsid w:val="000B103F"/>
    <w:rsid w:val="000C6F72"/>
    <w:rsid w:val="000D3ABF"/>
    <w:rsid w:val="000E11AC"/>
    <w:rsid w:val="000E6B8E"/>
    <w:rsid w:val="000F08AA"/>
    <w:rsid w:val="000F0F9B"/>
    <w:rsid w:val="000F14E8"/>
    <w:rsid w:val="000F2B47"/>
    <w:rsid w:val="000F31F5"/>
    <w:rsid w:val="000F54FF"/>
    <w:rsid w:val="000F56BA"/>
    <w:rsid w:val="001026F1"/>
    <w:rsid w:val="00102754"/>
    <w:rsid w:val="00103915"/>
    <w:rsid w:val="00106440"/>
    <w:rsid w:val="001067C8"/>
    <w:rsid w:val="00122B23"/>
    <w:rsid w:val="00137FFA"/>
    <w:rsid w:val="001429FF"/>
    <w:rsid w:val="00142F23"/>
    <w:rsid w:val="001438EF"/>
    <w:rsid w:val="0014709F"/>
    <w:rsid w:val="001633DD"/>
    <w:rsid w:val="00163F92"/>
    <w:rsid w:val="00172BB3"/>
    <w:rsid w:val="001772B3"/>
    <w:rsid w:val="00182776"/>
    <w:rsid w:val="001836BA"/>
    <w:rsid w:val="00191321"/>
    <w:rsid w:val="00191774"/>
    <w:rsid w:val="001938C7"/>
    <w:rsid w:val="00195E59"/>
    <w:rsid w:val="001A0273"/>
    <w:rsid w:val="001A0850"/>
    <w:rsid w:val="001A1E13"/>
    <w:rsid w:val="001A53C6"/>
    <w:rsid w:val="001A7282"/>
    <w:rsid w:val="001A7C7B"/>
    <w:rsid w:val="001B0444"/>
    <w:rsid w:val="001C4251"/>
    <w:rsid w:val="001D4CCE"/>
    <w:rsid w:val="001E24A0"/>
    <w:rsid w:val="001F216E"/>
    <w:rsid w:val="001F4999"/>
    <w:rsid w:val="002015CE"/>
    <w:rsid w:val="002051F2"/>
    <w:rsid w:val="0020632A"/>
    <w:rsid w:val="002110EB"/>
    <w:rsid w:val="00211338"/>
    <w:rsid w:val="00220CC1"/>
    <w:rsid w:val="0022158F"/>
    <w:rsid w:val="00224BE2"/>
    <w:rsid w:val="00225091"/>
    <w:rsid w:val="00234B84"/>
    <w:rsid w:val="002730E9"/>
    <w:rsid w:val="002A6894"/>
    <w:rsid w:val="002B007A"/>
    <w:rsid w:val="002C052E"/>
    <w:rsid w:val="002C3723"/>
    <w:rsid w:val="002C4C0C"/>
    <w:rsid w:val="002D2620"/>
    <w:rsid w:val="002D2F81"/>
    <w:rsid w:val="002E420D"/>
    <w:rsid w:val="002E6E5A"/>
    <w:rsid w:val="002E72F8"/>
    <w:rsid w:val="002E75DD"/>
    <w:rsid w:val="003033BA"/>
    <w:rsid w:val="00321CCB"/>
    <w:rsid w:val="00322937"/>
    <w:rsid w:val="00335524"/>
    <w:rsid w:val="003355A0"/>
    <w:rsid w:val="0034177C"/>
    <w:rsid w:val="00344625"/>
    <w:rsid w:val="0034680A"/>
    <w:rsid w:val="003476B3"/>
    <w:rsid w:val="00353B9D"/>
    <w:rsid w:val="00353DD5"/>
    <w:rsid w:val="00362084"/>
    <w:rsid w:val="00362BAD"/>
    <w:rsid w:val="003633FB"/>
    <w:rsid w:val="00366A3C"/>
    <w:rsid w:val="00367DA2"/>
    <w:rsid w:val="00372D6F"/>
    <w:rsid w:val="00377AFB"/>
    <w:rsid w:val="00386456"/>
    <w:rsid w:val="003918E5"/>
    <w:rsid w:val="0039395E"/>
    <w:rsid w:val="003951D5"/>
    <w:rsid w:val="003A0878"/>
    <w:rsid w:val="003A581E"/>
    <w:rsid w:val="003B21BB"/>
    <w:rsid w:val="003B6CD4"/>
    <w:rsid w:val="003C735A"/>
    <w:rsid w:val="003E78C7"/>
    <w:rsid w:val="003F06DD"/>
    <w:rsid w:val="003F1F06"/>
    <w:rsid w:val="00412585"/>
    <w:rsid w:val="00423F9F"/>
    <w:rsid w:val="004347DB"/>
    <w:rsid w:val="004422D6"/>
    <w:rsid w:val="00444B1E"/>
    <w:rsid w:val="004501E4"/>
    <w:rsid w:val="00450BB2"/>
    <w:rsid w:val="00450EB1"/>
    <w:rsid w:val="004645A1"/>
    <w:rsid w:val="004709DF"/>
    <w:rsid w:val="0047248B"/>
    <w:rsid w:val="00472C0D"/>
    <w:rsid w:val="0047425C"/>
    <w:rsid w:val="00475F91"/>
    <w:rsid w:val="00477842"/>
    <w:rsid w:val="00477DEA"/>
    <w:rsid w:val="0048523C"/>
    <w:rsid w:val="00486E9A"/>
    <w:rsid w:val="00490184"/>
    <w:rsid w:val="0049241A"/>
    <w:rsid w:val="00496829"/>
    <w:rsid w:val="004A34D2"/>
    <w:rsid w:val="004A3C19"/>
    <w:rsid w:val="004B25C5"/>
    <w:rsid w:val="004B6D0F"/>
    <w:rsid w:val="004C00C6"/>
    <w:rsid w:val="004C435C"/>
    <w:rsid w:val="004C5FC5"/>
    <w:rsid w:val="004C78D0"/>
    <w:rsid w:val="004C79B6"/>
    <w:rsid w:val="004E3943"/>
    <w:rsid w:val="004F2254"/>
    <w:rsid w:val="004F5433"/>
    <w:rsid w:val="004F5F4F"/>
    <w:rsid w:val="00500E83"/>
    <w:rsid w:val="00502143"/>
    <w:rsid w:val="00504A44"/>
    <w:rsid w:val="00505A47"/>
    <w:rsid w:val="0051074C"/>
    <w:rsid w:val="00513AF2"/>
    <w:rsid w:val="00526C99"/>
    <w:rsid w:val="0053164B"/>
    <w:rsid w:val="00532860"/>
    <w:rsid w:val="00537EA5"/>
    <w:rsid w:val="0054413A"/>
    <w:rsid w:val="00553AF9"/>
    <w:rsid w:val="005541A6"/>
    <w:rsid w:val="00555B75"/>
    <w:rsid w:val="005564CA"/>
    <w:rsid w:val="00556994"/>
    <w:rsid w:val="00560C33"/>
    <w:rsid w:val="0056182B"/>
    <w:rsid w:val="00562615"/>
    <w:rsid w:val="00562E81"/>
    <w:rsid w:val="005756AA"/>
    <w:rsid w:val="0057774F"/>
    <w:rsid w:val="00580F55"/>
    <w:rsid w:val="00581D08"/>
    <w:rsid w:val="005877BF"/>
    <w:rsid w:val="005A2566"/>
    <w:rsid w:val="005A3A67"/>
    <w:rsid w:val="005A3AE3"/>
    <w:rsid w:val="005B2CB9"/>
    <w:rsid w:val="005C2B8D"/>
    <w:rsid w:val="005C6508"/>
    <w:rsid w:val="005D51FA"/>
    <w:rsid w:val="005D791B"/>
    <w:rsid w:val="005D7D0C"/>
    <w:rsid w:val="005F56BE"/>
    <w:rsid w:val="00604EF0"/>
    <w:rsid w:val="00610E6B"/>
    <w:rsid w:val="00614817"/>
    <w:rsid w:val="00615B1D"/>
    <w:rsid w:val="00616E0E"/>
    <w:rsid w:val="00616E1D"/>
    <w:rsid w:val="00623B3E"/>
    <w:rsid w:val="00632661"/>
    <w:rsid w:val="00633DBF"/>
    <w:rsid w:val="0063431C"/>
    <w:rsid w:val="00645B37"/>
    <w:rsid w:val="0064620D"/>
    <w:rsid w:val="006476FA"/>
    <w:rsid w:val="00650721"/>
    <w:rsid w:val="00652FBB"/>
    <w:rsid w:val="00655371"/>
    <w:rsid w:val="006667A2"/>
    <w:rsid w:val="0067268F"/>
    <w:rsid w:val="00690EB0"/>
    <w:rsid w:val="00695688"/>
    <w:rsid w:val="00697665"/>
    <w:rsid w:val="006A7CB5"/>
    <w:rsid w:val="006A7FD0"/>
    <w:rsid w:val="006B057B"/>
    <w:rsid w:val="006D486F"/>
    <w:rsid w:val="006D7687"/>
    <w:rsid w:val="006E0572"/>
    <w:rsid w:val="006E18EB"/>
    <w:rsid w:val="006E5F6E"/>
    <w:rsid w:val="006E7328"/>
    <w:rsid w:val="006F5295"/>
    <w:rsid w:val="006F7A66"/>
    <w:rsid w:val="00705631"/>
    <w:rsid w:val="00705E5F"/>
    <w:rsid w:val="00707E7D"/>
    <w:rsid w:val="0071000E"/>
    <w:rsid w:val="007119BC"/>
    <w:rsid w:val="00715EAA"/>
    <w:rsid w:val="00716ECB"/>
    <w:rsid w:val="007179FE"/>
    <w:rsid w:val="00731C3C"/>
    <w:rsid w:val="00732216"/>
    <w:rsid w:val="00733878"/>
    <w:rsid w:val="007355E6"/>
    <w:rsid w:val="007424E6"/>
    <w:rsid w:val="00742DD2"/>
    <w:rsid w:val="00746E08"/>
    <w:rsid w:val="00747C96"/>
    <w:rsid w:val="0075094E"/>
    <w:rsid w:val="00751DA6"/>
    <w:rsid w:val="007522E8"/>
    <w:rsid w:val="0075647A"/>
    <w:rsid w:val="00756E92"/>
    <w:rsid w:val="007579EA"/>
    <w:rsid w:val="0076012E"/>
    <w:rsid w:val="007634AD"/>
    <w:rsid w:val="007649EE"/>
    <w:rsid w:val="00764A61"/>
    <w:rsid w:val="0076581D"/>
    <w:rsid w:val="00772FD6"/>
    <w:rsid w:val="0078122E"/>
    <w:rsid w:val="00790697"/>
    <w:rsid w:val="00792691"/>
    <w:rsid w:val="007926E9"/>
    <w:rsid w:val="00792B81"/>
    <w:rsid w:val="00792E4F"/>
    <w:rsid w:val="00795647"/>
    <w:rsid w:val="007A016E"/>
    <w:rsid w:val="007A02B2"/>
    <w:rsid w:val="007A26AA"/>
    <w:rsid w:val="007B0854"/>
    <w:rsid w:val="007B41F6"/>
    <w:rsid w:val="007C2194"/>
    <w:rsid w:val="007D6F7B"/>
    <w:rsid w:val="007E4227"/>
    <w:rsid w:val="007E4A24"/>
    <w:rsid w:val="007F4514"/>
    <w:rsid w:val="007F674C"/>
    <w:rsid w:val="007F6B46"/>
    <w:rsid w:val="007F72CB"/>
    <w:rsid w:val="007F7978"/>
    <w:rsid w:val="008217B7"/>
    <w:rsid w:val="008225A3"/>
    <w:rsid w:val="00825339"/>
    <w:rsid w:val="0083119B"/>
    <w:rsid w:val="00836EAB"/>
    <w:rsid w:val="0084284E"/>
    <w:rsid w:val="0085092D"/>
    <w:rsid w:val="00850F79"/>
    <w:rsid w:val="0085631E"/>
    <w:rsid w:val="008618DB"/>
    <w:rsid w:val="00862512"/>
    <w:rsid w:val="008628FD"/>
    <w:rsid w:val="00864C63"/>
    <w:rsid w:val="00872110"/>
    <w:rsid w:val="008753A2"/>
    <w:rsid w:val="0087624C"/>
    <w:rsid w:val="00885E66"/>
    <w:rsid w:val="0089774F"/>
    <w:rsid w:val="00897C4F"/>
    <w:rsid w:val="008A1E77"/>
    <w:rsid w:val="008A4572"/>
    <w:rsid w:val="008C303E"/>
    <w:rsid w:val="008D484E"/>
    <w:rsid w:val="008D4A91"/>
    <w:rsid w:val="008D4EAA"/>
    <w:rsid w:val="008D5926"/>
    <w:rsid w:val="008E0FA8"/>
    <w:rsid w:val="008E1970"/>
    <w:rsid w:val="008E1C15"/>
    <w:rsid w:val="008E4C35"/>
    <w:rsid w:val="008E51FD"/>
    <w:rsid w:val="008F24C4"/>
    <w:rsid w:val="008F538E"/>
    <w:rsid w:val="008F6090"/>
    <w:rsid w:val="00902F50"/>
    <w:rsid w:val="0090426C"/>
    <w:rsid w:val="009047C5"/>
    <w:rsid w:val="00906A87"/>
    <w:rsid w:val="00916212"/>
    <w:rsid w:val="00920957"/>
    <w:rsid w:val="009435C8"/>
    <w:rsid w:val="0094645C"/>
    <w:rsid w:val="0095385A"/>
    <w:rsid w:val="0095611B"/>
    <w:rsid w:val="00971D3D"/>
    <w:rsid w:val="00973D90"/>
    <w:rsid w:val="009752FD"/>
    <w:rsid w:val="00975B75"/>
    <w:rsid w:val="009824C1"/>
    <w:rsid w:val="00990B9C"/>
    <w:rsid w:val="00991C97"/>
    <w:rsid w:val="00996965"/>
    <w:rsid w:val="009A6F66"/>
    <w:rsid w:val="009B4B19"/>
    <w:rsid w:val="009D1712"/>
    <w:rsid w:val="009D5D08"/>
    <w:rsid w:val="009E72A7"/>
    <w:rsid w:val="009F54A1"/>
    <w:rsid w:val="009F59C2"/>
    <w:rsid w:val="009F7BDD"/>
    <w:rsid w:val="00A00031"/>
    <w:rsid w:val="00A002CE"/>
    <w:rsid w:val="00A04A71"/>
    <w:rsid w:val="00A11179"/>
    <w:rsid w:val="00A122B0"/>
    <w:rsid w:val="00A13B56"/>
    <w:rsid w:val="00A143C9"/>
    <w:rsid w:val="00A14EA4"/>
    <w:rsid w:val="00A2164E"/>
    <w:rsid w:val="00A227A5"/>
    <w:rsid w:val="00A23F33"/>
    <w:rsid w:val="00A24560"/>
    <w:rsid w:val="00A34538"/>
    <w:rsid w:val="00A37FB6"/>
    <w:rsid w:val="00A43CA7"/>
    <w:rsid w:val="00A53878"/>
    <w:rsid w:val="00A5699C"/>
    <w:rsid w:val="00A71EF5"/>
    <w:rsid w:val="00A721BD"/>
    <w:rsid w:val="00A805B7"/>
    <w:rsid w:val="00A80C55"/>
    <w:rsid w:val="00AA0238"/>
    <w:rsid w:val="00AA08E7"/>
    <w:rsid w:val="00AA368C"/>
    <w:rsid w:val="00AA442B"/>
    <w:rsid w:val="00AA5A18"/>
    <w:rsid w:val="00AA669D"/>
    <w:rsid w:val="00AB2DE4"/>
    <w:rsid w:val="00AB50D7"/>
    <w:rsid w:val="00AC4C04"/>
    <w:rsid w:val="00AD05F3"/>
    <w:rsid w:val="00AD541D"/>
    <w:rsid w:val="00AD63EB"/>
    <w:rsid w:val="00AD6EDC"/>
    <w:rsid w:val="00AE2E09"/>
    <w:rsid w:val="00AF2D53"/>
    <w:rsid w:val="00AF2F8B"/>
    <w:rsid w:val="00AF52BE"/>
    <w:rsid w:val="00AF54E5"/>
    <w:rsid w:val="00AF7706"/>
    <w:rsid w:val="00B015D5"/>
    <w:rsid w:val="00B12505"/>
    <w:rsid w:val="00B13EC0"/>
    <w:rsid w:val="00B1413A"/>
    <w:rsid w:val="00B2240A"/>
    <w:rsid w:val="00B22E22"/>
    <w:rsid w:val="00B274ED"/>
    <w:rsid w:val="00B2761D"/>
    <w:rsid w:val="00B32603"/>
    <w:rsid w:val="00B3701C"/>
    <w:rsid w:val="00B42DCA"/>
    <w:rsid w:val="00B42F46"/>
    <w:rsid w:val="00B5142E"/>
    <w:rsid w:val="00B525CB"/>
    <w:rsid w:val="00B56E7F"/>
    <w:rsid w:val="00B57E77"/>
    <w:rsid w:val="00B63872"/>
    <w:rsid w:val="00B63CB2"/>
    <w:rsid w:val="00B64EDB"/>
    <w:rsid w:val="00B72F2B"/>
    <w:rsid w:val="00B7315F"/>
    <w:rsid w:val="00B7555F"/>
    <w:rsid w:val="00B75817"/>
    <w:rsid w:val="00B763ED"/>
    <w:rsid w:val="00B823D7"/>
    <w:rsid w:val="00B86E8F"/>
    <w:rsid w:val="00B90CB1"/>
    <w:rsid w:val="00B91B8E"/>
    <w:rsid w:val="00B91B9C"/>
    <w:rsid w:val="00BA1CC1"/>
    <w:rsid w:val="00BA4815"/>
    <w:rsid w:val="00BA499A"/>
    <w:rsid w:val="00BA554B"/>
    <w:rsid w:val="00BA7AEC"/>
    <w:rsid w:val="00BD0076"/>
    <w:rsid w:val="00BD6A6D"/>
    <w:rsid w:val="00BD78FE"/>
    <w:rsid w:val="00BE0F88"/>
    <w:rsid w:val="00BE3DB5"/>
    <w:rsid w:val="00BF5936"/>
    <w:rsid w:val="00BF6650"/>
    <w:rsid w:val="00BF6FA7"/>
    <w:rsid w:val="00C10E86"/>
    <w:rsid w:val="00C163C0"/>
    <w:rsid w:val="00C21B22"/>
    <w:rsid w:val="00C2531C"/>
    <w:rsid w:val="00C30544"/>
    <w:rsid w:val="00C3334B"/>
    <w:rsid w:val="00C42B9D"/>
    <w:rsid w:val="00C562D9"/>
    <w:rsid w:val="00C70F9C"/>
    <w:rsid w:val="00C82200"/>
    <w:rsid w:val="00C8270C"/>
    <w:rsid w:val="00C85003"/>
    <w:rsid w:val="00C8792E"/>
    <w:rsid w:val="00C93140"/>
    <w:rsid w:val="00C9363E"/>
    <w:rsid w:val="00C97DBF"/>
    <w:rsid w:val="00CA4DFC"/>
    <w:rsid w:val="00CB08F6"/>
    <w:rsid w:val="00CB2DD2"/>
    <w:rsid w:val="00CB6BB5"/>
    <w:rsid w:val="00CC00CD"/>
    <w:rsid w:val="00CC1E39"/>
    <w:rsid w:val="00CC5F15"/>
    <w:rsid w:val="00CD1392"/>
    <w:rsid w:val="00CD3959"/>
    <w:rsid w:val="00CD4D22"/>
    <w:rsid w:val="00CD654F"/>
    <w:rsid w:val="00CE2411"/>
    <w:rsid w:val="00CE657C"/>
    <w:rsid w:val="00CE6EEA"/>
    <w:rsid w:val="00CF1F5C"/>
    <w:rsid w:val="00D0008B"/>
    <w:rsid w:val="00D01760"/>
    <w:rsid w:val="00D0381F"/>
    <w:rsid w:val="00D03D82"/>
    <w:rsid w:val="00D16E39"/>
    <w:rsid w:val="00D223B6"/>
    <w:rsid w:val="00D22A7C"/>
    <w:rsid w:val="00D2488D"/>
    <w:rsid w:val="00D3452A"/>
    <w:rsid w:val="00D36CD5"/>
    <w:rsid w:val="00D43221"/>
    <w:rsid w:val="00D4691B"/>
    <w:rsid w:val="00D5103D"/>
    <w:rsid w:val="00D5519F"/>
    <w:rsid w:val="00D60327"/>
    <w:rsid w:val="00D61F30"/>
    <w:rsid w:val="00D707FC"/>
    <w:rsid w:val="00D7233D"/>
    <w:rsid w:val="00D72E9D"/>
    <w:rsid w:val="00D73448"/>
    <w:rsid w:val="00D74AB8"/>
    <w:rsid w:val="00D7522E"/>
    <w:rsid w:val="00D80F66"/>
    <w:rsid w:val="00D82CE5"/>
    <w:rsid w:val="00D870FF"/>
    <w:rsid w:val="00D97AD4"/>
    <w:rsid w:val="00DA5AB1"/>
    <w:rsid w:val="00DB763E"/>
    <w:rsid w:val="00DC3584"/>
    <w:rsid w:val="00DC367F"/>
    <w:rsid w:val="00DC57C0"/>
    <w:rsid w:val="00DC62E5"/>
    <w:rsid w:val="00DD735D"/>
    <w:rsid w:val="00DE0A79"/>
    <w:rsid w:val="00DE0E3C"/>
    <w:rsid w:val="00DE252E"/>
    <w:rsid w:val="00DE2A5E"/>
    <w:rsid w:val="00DE3119"/>
    <w:rsid w:val="00DE52A3"/>
    <w:rsid w:val="00DE596F"/>
    <w:rsid w:val="00DF236B"/>
    <w:rsid w:val="00DF3D44"/>
    <w:rsid w:val="00E04C78"/>
    <w:rsid w:val="00E07052"/>
    <w:rsid w:val="00E079CB"/>
    <w:rsid w:val="00E07DD0"/>
    <w:rsid w:val="00E13AB8"/>
    <w:rsid w:val="00E222CD"/>
    <w:rsid w:val="00E25CB3"/>
    <w:rsid w:val="00E32B04"/>
    <w:rsid w:val="00E33B62"/>
    <w:rsid w:val="00E35DF3"/>
    <w:rsid w:val="00E4143A"/>
    <w:rsid w:val="00E43451"/>
    <w:rsid w:val="00E46745"/>
    <w:rsid w:val="00E4701D"/>
    <w:rsid w:val="00E57DA5"/>
    <w:rsid w:val="00E62A1B"/>
    <w:rsid w:val="00E7264B"/>
    <w:rsid w:val="00E82B52"/>
    <w:rsid w:val="00E923AE"/>
    <w:rsid w:val="00EA17CE"/>
    <w:rsid w:val="00EA518F"/>
    <w:rsid w:val="00EA619C"/>
    <w:rsid w:val="00EB3356"/>
    <w:rsid w:val="00EB3687"/>
    <w:rsid w:val="00EC137A"/>
    <w:rsid w:val="00EC4803"/>
    <w:rsid w:val="00ED066E"/>
    <w:rsid w:val="00ED1B71"/>
    <w:rsid w:val="00EE2230"/>
    <w:rsid w:val="00EE3C54"/>
    <w:rsid w:val="00EE59B5"/>
    <w:rsid w:val="00EF55D8"/>
    <w:rsid w:val="00F04355"/>
    <w:rsid w:val="00F05049"/>
    <w:rsid w:val="00F10993"/>
    <w:rsid w:val="00F15A97"/>
    <w:rsid w:val="00F1704D"/>
    <w:rsid w:val="00F20F0D"/>
    <w:rsid w:val="00F21ABC"/>
    <w:rsid w:val="00F22094"/>
    <w:rsid w:val="00F2536A"/>
    <w:rsid w:val="00F2716F"/>
    <w:rsid w:val="00F27B31"/>
    <w:rsid w:val="00F42B5B"/>
    <w:rsid w:val="00F42C9F"/>
    <w:rsid w:val="00F454F6"/>
    <w:rsid w:val="00F620D1"/>
    <w:rsid w:val="00F73D45"/>
    <w:rsid w:val="00F84899"/>
    <w:rsid w:val="00F8551A"/>
    <w:rsid w:val="00F859F0"/>
    <w:rsid w:val="00F91BF3"/>
    <w:rsid w:val="00F92C99"/>
    <w:rsid w:val="00F9510B"/>
    <w:rsid w:val="00F97BC8"/>
    <w:rsid w:val="00FA2368"/>
    <w:rsid w:val="00FA3005"/>
    <w:rsid w:val="00FA721A"/>
    <w:rsid w:val="00FB273F"/>
    <w:rsid w:val="00FB79BB"/>
    <w:rsid w:val="00FC11B1"/>
    <w:rsid w:val="00FD029B"/>
    <w:rsid w:val="00FD09A3"/>
    <w:rsid w:val="00FD50A3"/>
    <w:rsid w:val="00FE141E"/>
    <w:rsid w:val="00FE2E47"/>
    <w:rsid w:val="00FE3F52"/>
    <w:rsid w:val="00FE42ED"/>
    <w:rsid w:val="00FF0F63"/>
    <w:rsid w:val="00FF1DCA"/>
    <w:rsid w:val="00FF2990"/>
    <w:rsid w:val="00FF4B47"/>
    <w:rsid w:val="1E750D70"/>
    <w:rsid w:val="2DD9576E"/>
    <w:rsid w:val="6D569CF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FF1D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FF1DCA"/>
    <w:rPr>
      <w:rFonts w:ascii="Arial" w:eastAsia="Arial" w:hAnsi="Arial" w:cs="Arial"/>
      <w:lang w:val="es-ES" w:eastAsia="es-ES" w:bidi="es-ES"/>
    </w:rPr>
  </w:style>
  <w:style w:type="character" w:styleId="Textoennegrita">
    <w:name w:val="Strong"/>
    <w:basedOn w:val="Fuentedeprrafopredeter"/>
    <w:uiPriority w:val="22"/>
    <w:qFormat/>
    <w:rsid w:val="00AB2DE4"/>
    <w:rPr>
      <w:b/>
      <w:bCs/>
    </w:rPr>
  </w:style>
  <w:style w:type="character" w:styleId="nfasis">
    <w:name w:val="Emphasis"/>
    <w:basedOn w:val="Fuentedeprrafopredeter"/>
    <w:uiPriority w:val="20"/>
    <w:qFormat/>
    <w:rsid w:val="00AB2DE4"/>
    <w:rPr>
      <w:i/>
      <w:iCs/>
    </w:rPr>
  </w:style>
  <w:style w:type="character" w:customStyle="1" w:styleId="toctoggle">
    <w:name w:val="toctoggle"/>
    <w:basedOn w:val="Fuentedeprrafopredeter"/>
    <w:rsid w:val="002D2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3861110">
      <w:bodyDiv w:val="1"/>
      <w:marLeft w:val="0"/>
      <w:marRight w:val="0"/>
      <w:marTop w:val="0"/>
      <w:marBottom w:val="0"/>
      <w:divBdr>
        <w:top w:val="none" w:sz="0" w:space="0" w:color="auto"/>
        <w:left w:val="none" w:sz="0" w:space="0" w:color="auto"/>
        <w:bottom w:val="none" w:sz="0" w:space="0" w:color="auto"/>
        <w:right w:val="none" w:sz="0" w:space="0" w:color="auto"/>
      </w:divBdr>
    </w:div>
    <w:div w:id="113141858">
      <w:bodyDiv w:val="1"/>
      <w:marLeft w:val="0"/>
      <w:marRight w:val="0"/>
      <w:marTop w:val="0"/>
      <w:marBottom w:val="0"/>
      <w:divBdr>
        <w:top w:val="none" w:sz="0" w:space="0" w:color="auto"/>
        <w:left w:val="none" w:sz="0" w:space="0" w:color="auto"/>
        <w:bottom w:val="none" w:sz="0" w:space="0" w:color="auto"/>
        <w:right w:val="none" w:sz="0" w:space="0" w:color="auto"/>
      </w:divBdr>
      <w:divsChild>
        <w:div w:id="1427459596">
          <w:marLeft w:val="0"/>
          <w:marRight w:val="0"/>
          <w:marTop w:val="0"/>
          <w:marBottom w:val="0"/>
          <w:divBdr>
            <w:top w:val="none" w:sz="0" w:space="0" w:color="auto"/>
            <w:left w:val="none" w:sz="0" w:space="0" w:color="auto"/>
            <w:bottom w:val="none" w:sz="0" w:space="0" w:color="auto"/>
            <w:right w:val="none" w:sz="0" w:space="0" w:color="auto"/>
          </w:divBdr>
          <w:divsChild>
            <w:div w:id="1429304140">
              <w:marLeft w:val="0"/>
              <w:marRight w:val="0"/>
              <w:marTop w:val="0"/>
              <w:marBottom w:val="0"/>
              <w:divBdr>
                <w:top w:val="none" w:sz="0" w:space="0" w:color="auto"/>
                <w:left w:val="none" w:sz="0" w:space="0" w:color="auto"/>
                <w:bottom w:val="none" w:sz="0" w:space="0" w:color="auto"/>
                <w:right w:val="none" w:sz="0" w:space="0" w:color="auto"/>
              </w:divBdr>
            </w:div>
          </w:divsChild>
        </w:div>
        <w:div w:id="897014497">
          <w:marLeft w:val="0"/>
          <w:marRight w:val="0"/>
          <w:marTop w:val="0"/>
          <w:marBottom w:val="0"/>
          <w:divBdr>
            <w:top w:val="none" w:sz="0" w:space="0" w:color="auto"/>
            <w:left w:val="none" w:sz="0" w:space="0" w:color="auto"/>
            <w:bottom w:val="none" w:sz="0" w:space="0" w:color="auto"/>
            <w:right w:val="none" w:sz="0" w:space="0" w:color="auto"/>
          </w:divBdr>
          <w:divsChild>
            <w:div w:id="1360275664">
              <w:marLeft w:val="0"/>
              <w:marRight w:val="0"/>
              <w:marTop w:val="0"/>
              <w:marBottom w:val="0"/>
              <w:divBdr>
                <w:top w:val="none" w:sz="0" w:space="0" w:color="auto"/>
                <w:left w:val="none" w:sz="0" w:space="0" w:color="auto"/>
                <w:bottom w:val="none" w:sz="0" w:space="0" w:color="auto"/>
                <w:right w:val="none" w:sz="0" w:space="0" w:color="auto"/>
              </w:divBdr>
            </w:div>
          </w:divsChild>
        </w:div>
        <w:div w:id="660038303">
          <w:marLeft w:val="0"/>
          <w:marRight w:val="0"/>
          <w:marTop w:val="0"/>
          <w:marBottom w:val="0"/>
          <w:divBdr>
            <w:top w:val="none" w:sz="0" w:space="0" w:color="auto"/>
            <w:left w:val="none" w:sz="0" w:space="0" w:color="auto"/>
            <w:bottom w:val="none" w:sz="0" w:space="0" w:color="auto"/>
            <w:right w:val="none" w:sz="0" w:space="0" w:color="auto"/>
          </w:divBdr>
          <w:divsChild>
            <w:div w:id="1280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14856602">
      <w:bodyDiv w:val="1"/>
      <w:marLeft w:val="0"/>
      <w:marRight w:val="0"/>
      <w:marTop w:val="0"/>
      <w:marBottom w:val="0"/>
      <w:divBdr>
        <w:top w:val="none" w:sz="0" w:space="0" w:color="auto"/>
        <w:left w:val="none" w:sz="0" w:space="0" w:color="auto"/>
        <w:bottom w:val="none" w:sz="0" w:space="0" w:color="auto"/>
        <w:right w:val="none" w:sz="0" w:space="0" w:color="auto"/>
      </w:divBdr>
    </w:div>
    <w:div w:id="229119154">
      <w:bodyDiv w:val="1"/>
      <w:marLeft w:val="0"/>
      <w:marRight w:val="0"/>
      <w:marTop w:val="0"/>
      <w:marBottom w:val="0"/>
      <w:divBdr>
        <w:top w:val="none" w:sz="0" w:space="0" w:color="auto"/>
        <w:left w:val="none" w:sz="0" w:space="0" w:color="auto"/>
        <w:bottom w:val="none" w:sz="0" w:space="0" w:color="auto"/>
        <w:right w:val="none" w:sz="0" w:space="0" w:color="auto"/>
      </w:divBdr>
      <w:divsChild>
        <w:div w:id="1050421937">
          <w:marLeft w:val="0"/>
          <w:marRight w:val="0"/>
          <w:marTop w:val="0"/>
          <w:marBottom w:val="0"/>
          <w:divBdr>
            <w:top w:val="none" w:sz="0" w:space="0" w:color="auto"/>
            <w:left w:val="none" w:sz="0" w:space="0" w:color="auto"/>
            <w:bottom w:val="none" w:sz="0" w:space="0" w:color="auto"/>
            <w:right w:val="none" w:sz="0" w:space="0" w:color="auto"/>
          </w:divBdr>
          <w:divsChild>
            <w:div w:id="1164663219">
              <w:marLeft w:val="0"/>
              <w:marRight w:val="0"/>
              <w:marTop w:val="0"/>
              <w:marBottom w:val="0"/>
              <w:divBdr>
                <w:top w:val="none" w:sz="0" w:space="0" w:color="auto"/>
                <w:left w:val="none" w:sz="0" w:space="0" w:color="auto"/>
                <w:bottom w:val="none" w:sz="0" w:space="0" w:color="auto"/>
                <w:right w:val="none" w:sz="0" w:space="0" w:color="auto"/>
              </w:divBdr>
            </w:div>
          </w:divsChild>
        </w:div>
        <w:div w:id="451444542">
          <w:marLeft w:val="0"/>
          <w:marRight w:val="0"/>
          <w:marTop w:val="0"/>
          <w:marBottom w:val="0"/>
          <w:divBdr>
            <w:top w:val="none" w:sz="0" w:space="0" w:color="auto"/>
            <w:left w:val="none" w:sz="0" w:space="0" w:color="auto"/>
            <w:bottom w:val="none" w:sz="0" w:space="0" w:color="auto"/>
            <w:right w:val="none" w:sz="0" w:space="0" w:color="auto"/>
          </w:divBdr>
          <w:divsChild>
            <w:div w:id="130208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015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39303447">
      <w:bodyDiv w:val="1"/>
      <w:marLeft w:val="0"/>
      <w:marRight w:val="0"/>
      <w:marTop w:val="0"/>
      <w:marBottom w:val="0"/>
      <w:divBdr>
        <w:top w:val="none" w:sz="0" w:space="0" w:color="auto"/>
        <w:left w:val="none" w:sz="0" w:space="0" w:color="auto"/>
        <w:bottom w:val="none" w:sz="0" w:space="0" w:color="auto"/>
        <w:right w:val="none" w:sz="0" w:space="0" w:color="auto"/>
      </w:divBdr>
    </w:div>
    <w:div w:id="649986101">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716779644">
      <w:bodyDiv w:val="1"/>
      <w:marLeft w:val="0"/>
      <w:marRight w:val="0"/>
      <w:marTop w:val="0"/>
      <w:marBottom w:val="0"/>
      <w:divBdr>
        <w:top w:val="none" w:sz="0" w:space="0" w:color="auto"/>
        <w:left w:val="none" w:sz="0" w:space="0" w:color="auto"/>
        <w:bottom w:val="none" w:sz="0" w:space="0" w:color="auto"/>
        <w:right w:val="none" w:sz="0" w:space="0" w:color="auto"/>
      </w:divBdr>
      <w:divsChild>
        <w:div w:id="891114300">
          <w:marLeft w:val="0"/>
          <w:marRight w:val="0"/>
          <w:marTop w:val="0"/>
          <w:marBottom w:val="0"/>
          <w:divBdr>
            <w:top w:val="none" w:sz="0" w:space="0" w:color="auto"/>
            <w:left w:val="none" w:sz="0" w:space="0" w:color="auto"/>
            <w:bottom w:val="none" w:sz="0" w:space="0" w:color="auto"/>
            <w:right w:val="none" w:sz="0" w:space="0" w:color="auto"/>
          </w:divBdr>
          <w:divsChild>
            <w:div w:id="1922328321">
              <w:marLeft w:val="0"/>
              <w:marRight w:val="0"/>
              <w:marTop w:val="0"/>
              <w:marBottom w:val="0"/>
              <w:divBdr>
                <w:top w:val="none" w:sz="0" w:space="0" w:color="auto"/>
                <w:left w:val="none" w:sz="0" w:space="0" w:color="auto"/>
                <w:bottom w:val="none" w:sz="0" w:space="0" w:color="auto"/>
                <w:right w:val="none" w:sz="0" w:space="0" w:color="auto"/>
              </w:divBdr>
            </w:div>
          </w:divsChild>
        </w:div>
        <w:div w:id="1876969238">
          <w:marLeft w:val="0"/>
          <w:marRight w:val="0"/>
          <w:marTop w:val="0"/>
          <w:marBottom w:val="0"/>
          <w:divBdr>
            <w:top w:val="none" w:sz="0" w:space="0" w:color="auto"/>
            <w:left w:val="none" w:sz="0" w:space="0" w:color="auto"/>
            <w:bottom w:val="none" w:sz="0" w:space="0" w:color="auto"/>
            <w:right w:val="none" w:sz="0" w:space="0" w:color="auto"/>
          </w:divBdr>
          <w:divsChild>
            <w:div w:id="135581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62841">
      <w:bodyDiv w:val="1"/>
      <w:marLeft w:val="0"/>
      <w:marRight w:val="0"/>
      <w:marTop w:val="0"/>
      <w:marBottom w:val="0"/>
      <w:divBdr>
        <w:top w:val="none" w:sz="0" w:space="0" w:color="auto"/>
        <w:left w:val="none" w:sz="0" w:space="0" w:color="auto"/>
        <w:bottom w:val="none" w:sz="0" w:space="0" w:color="auto"/>
        <w:right w:val="none" w:sz="0" w:space="0" w:color="auto"/>
      </w:divBdr>
      <w:divsChild>
        <w:div w:id="1621491880">
          <w:marLeft w:val="0"/>
          <w:marRight w:val="0"/>
          <w:marTop w:val="0"/>
          <w:marBottom w:val="0"/>
          <w:divBdr>
            <w:top w:val="none" w:sz="0" w:space="0" w:color="auto"/>
            <w:left w:val="none" w:sz="0" w:space="0" w:color="auto"/>
            <w:bottom w:val="none" w:sz="0" w:space="0" w:color="auto"/>
            <w:right w:val="none" w:sz="0" w:space="0" w:color="auto"/>
          </w:divBdr>
          <w:divsChild>
            <w:div w:id="1282758514">
              <w:marLeft w:val="0"/>
              <w:marRight w:val="0"/>
              <w:marTop w:val="0"/>
              <w:marBottom w:val="0"/>
              <w:divBdr>
                <w:top w:val="none" w:sz="0" w:space="0" w:color="auto"/>
                <w:left w:val="none" w:sz="0" w:space="0" w:color="auto"/>
                <w:bottom w:val="none" w:sz="0" w:space="0" w:color="auto"/>
                <w:right w:val="none" w:sz="0" w:space="0" w:color="auto"/>
              </w:divBdr>
            </w:div>
          </w:divsChild>
        </w:div>
        <w:div w:id="303580279">
          <w:marLeft w:val="0"/>
          <w:marRight w:val="0"/>
          <w:marTop w:val="0"/>
          <w:marBottom w:val="0"/>
          <w:divBdr>
            <w:top w:val="none" w:sz="0" w:space="0" w:color="auto"/>
            <w:left w:val="none" w:sz="0" w:space="0" w:color="auto"/>
            <w:bottom w:val="none" w:sz="0" w:space="0" w:color="auto"/>
            <w:right w:val="none" w:sz="0" w:space="0" w:color="auto"/>
          </w:divBdr>
          <w:divsChild>
            <w:div w:id="1200975410">
              <w:marLeft w:val="0"/>
              <w:marRight w:val="0"/>
              <w:marTop w:val="0"/>
              <w:marBottom w:val="0"/>
              <w:divBdr>
                <w:top w:val="none" w:sz="0" w:space="0" w:color="auto"/>
                <w:left w:val="none" w:sz="0" w:space="0" w:color="auto"/>
                <w:bottom w:val="none" w:sz="0" w:space="0" w:color="auto"/>
                <w:right w:val="none" w:sz="0" w:space="0" w:color="auto"/>
              </w:divBdr>
            </w:div>
          </w:divsChild>
        </w:div>
        <w:div w:id="1551916170">
          <w:marLeft w:val="0"/>
          <w:marRight w:val="0"/>
          <w:marTop w:val="0"/>
          <w:marBottom w:val="0"/>
          <w:divBdr>
            <w:top w:val="none" w:sz="0" w:space="0" w:color="auto"/>
            <w:left w:val="none" w:sz="0" w:space="0" w:color="auto"/>
            <w:bottom w:val="none" w:sz="0" w:space="0" w:color="auto"/>
            <w:right w:val="none" w:sz="0" w:space="0" w:color="auto"/>
          </w:divBdr>
          <w:divsChild>
            <w:div w:id="4499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324473">
      <w:bodyDiv w:val="1"/>
      <w:marLeft w:val="0"/>
      <w:marRight w:val="0"/>
      <w:marTop w:val="0"/>
      <w:marBottom w:val="0"/>
      <w:divBdr>
        <w:top w:val="none" w:sz="0" w:space="0" w:color="auto"/>
        <w:left w:val="none" w:sz="0" w:space="0" w:color="auto"/>
        <w:bottom w:val="none" w:sz="0" w:space="0" w:color="auto"/>
        <w:right w:val="none" w:sz="0" w:space="0" w:color="auto"/>
      </w:divBdr>
    </w:div>
    <w:div w:id="977538435">
      <w:bodyDiv w:val="1"/>
      <w:marLeft w:val="0"/>
      <w:marRight w:val="0"/>
      <w:marTop w:val="0"/>
      <w:marBottom w:val="0"/>
      <w:divBdr>
        <w:top w:val="none" w:sz="0" w:space="0" w:color="auto"/>
        <w:left w:val="none" w:sz="0" w:space="0" w:color="auto"/>
        <w:bottom w:val="none" w:sz="0" w:space="0" w:color="auto"/>
        <w:right w:val="none" w:sz="0" w:space="0" w:color="auto"/>
      </w:divBdr>
    </w:div>
    <w:div w:id="1126391272">
      <w:bodyDiv w:val="1"/>
      <w:marLeft w:val="0"/>
      <w:marRight w:val="0"/>
      <w:marTop w:val="0"/>
      <w:marBottom w:val="0"/>
      <w:divBdr>
        <w:top w:val="none" w:sz="0" w:space="0" w:color="auto"/>
        <w:left w:val="none" w:sz="0" w:space="0" w:color="auto"/>
        <w:bottom w:val="none" w:sz="0" w:space="0" w:color="auto"/>
        <w:right w:val="none" w:sz="0" w:space="0" w:color="auto"/>
      </w:divBdr>
    </w:div>
    <w:div w:id="115664591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0890943">
      <w:bodyDiv w:val="1"/>
      <w:marLeft w:val="0"/>
      <w:marRight w:val="0"/>
      <w:marTop w:val="0"/>
      <w:marBottom w:val="0"/>
      <w:divBdr>
        <w:top w:val="none" w:sz="0" w:space="0" w:color="auto"/>
        <w:left w:val="none" w:sz="0" w:space="0" w:color="auto"/>
        <w:bottom w:val="none" w:sz="0" w:space="0" w:color="auto"/>
        <w:right w:val="none" w:sz="0" w:space="0" w:color="auto"/>
      </w:divBdr>
      <w:divsChild>
        <w:div w:id="2111310611">
          <w:marLeft w:val="0"/>
          <w:marRight w:val="0"/>
          <w:marTop w:val="0"/>
          <w:marBottom w:val="0"/>
          <w:divBdr>
            <w:top w:val="none" w:sz="0" w:space="0" w:color="auto"/>
            <w:left w:val="none" w:sz="0" w:space="0" w:color="auto"/>
            <w:bottom w:val="none" w:sz="0" w:space="0" w:color="auto"/>
            <w:right w:val="none" w:sz="0" w:space="0" w:color="auto"/>
          </w:divBdr>
          <w:divsChild>
            <w:div w:id="1376542950">
              <w:marLeft w:val="0"/>
              <w:marRight w:val="0"/>
              <w:marTop w:val="0"/>
              <w:marBottom w:val="0"/>
              <w:divBdr>
                <w:top w:val="none" w:sz="0" w:space="0" w:color="auto"/>
                <w:left w:val="none" w:sz="0" w:space="0" w:color="auto"/>
                <w:bottom w:val="none" w:sz="0" w:space="0" w:color="auto"/>
                <w:right w:val="none" w:sz="0" w:space="0" w:color="auto"/>
              </w:divBdr>
            </w:div>
          </w:divsChild>
        </w:div>
        <w:div w:id="1198665373">
          <w:marLeft w:val="0"/>
          <w:marRight w:val="0"/>
          <w:marTop w:val="0"/>
          <w:marBottom w:val="0"/>
          <w:divBdr>
            <w:top w:val="none" w:sz="0" w:space="0" w:color="auto"/>
            <w:left w:val="none" w:sz="0" w:space="0" w:color="auto"/>
            <w:bottom w:val="none" w:sz="0" w:space="0" w:color="auto"/>
            <w:right w:val="none" w:sz="0" w:space="0" w:color="auto"/>
          </w:divBdr>
          <w:divsChild>
            <w:div w:id="134921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17245969">
      <w:bodyDiv w:val="1"/>
      <w:marLeft w:val="0"/>
      <w:marRight w:val="0"/>
      <w:marTop w:val="0"/>
      <w:marBottom w:val="0"/>
      <w:divBdr>
        <w:top w:val="none" w:sz="0" w:space="0" w:color="auto"/>
        <w:left w:val="none" w:sz="0" w:space="0" w:color="auto"/>
        <w:bottom w:val="none" w:sz="0" w:space="0" w:color="auto"/>
        <w:right w:val="none" w:sz="0" w:space="0" w:color="auto"/>
      </w:divBdr>
    </w:div>
    <w:div w:id="158329855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80542733">
      <w:bodyDiv w:val="1"/>
      <w:marLeft w:val="0"/>
      <w:marRight w:val="0"/>
      <w:marTop w:val="0"/>
      <w:marBottom w:val="0"/>
      <w:divBdr>
        <w:top w:val="none" w:sz="0" w:space="0" w:color="auto"/>
        <w:left w:val="none" w:sz="0" w:space="0" w:color="auto"/>
        <w:bottom w:val="none" w:sz="0" w:space="0" w:color="auto"/>
        <w:right w:val="none" w:sz="0" w:space="0" w:color="auto"/>
      </w:divBdr>
    </w:div>
    <w:div w:id="1724671274">
      <w:bodyDiv w:val="1"/>
      <w:marLeft w:val="0"/>
      <w:marRight w:val="0"/>
      <w:marTop w:val="0"/>
      <w:marBottom w:val="0"/>
      <w:divBdr>
        <w:top w:val="none" w:sz="0" w:space="0" w:color="auto"/>
        <w:left w:val="none" w:sz="0" w:space="0" w:color="auto"/>
        <w:bottom w:val="none" w:sz="0" w:space="0" w:color="auto"/>
        <w:right w:val="none" w:sz="0" w:space="0" w:color="auto"/>
      </w:divBdr>
      <w:divsChild>
        <w:div w:id="1537506439">
          <w:marLeft w:val="0"/>
          <w:marRight w:val="0"/>
          <w:marTop w:val="0"/>
          <w:marBottom w:val="0"/>
          <w:divBdr>
            <w:top w:val="none" w:sz="0" w:space="0" w:color="auto"/>
            <w:left w:val="none" w:sz="0" w:space="0" w:color="auto"/>
            <w:bottom w:val="none" w:sz="0" w:space="0" w:color="auto"/>
            <w:right w:val="none" w:sz="0" w:space="0" w:color="auto"/>
          </w:divBdr>
          <w:divsChild>
            <w:div w:id="1100875328">
              <w:marLeft w:val="0"/>
              <w:marRight w:val="0"/>
              <w:marTop w:val="0"/>
              <w:marBottom w:val="0"/>
              <w:divBdr>
                <w:top w:val="none" w:sz="0" w:space="0" w:color="auto"/>
                <w:left w:val="none" w:sz="0" w:space="0" w:color="auto"/>
                <w:bottom w:val="none" w:sz="0" w:space="0" w:color="auto"/>
                <w:right w:val="none" w:sz="0" w:space="0" w:color="auto"/>
              </w:divBdr>
            </w:div>
          </w:divsChild>
        </w:div>
        <w:div w:id="1496455843">
          <w:marLeft w:val="0"/>
          <w:marRight w:val="0"/>
          <w:marTop w:val="0"/>
          <w:marBottom w:val="0"/>
          <w:divBdr>
            <w:top w:val="none" w:sz="0" w:space="0" w:color="auto"/>
            <w:left w:val="none" w:sz="0" w:space="0" w:color="auto"/>
            <w:bottom w:val="none" w:sz="0" w:space="0" w:color="auto"/>
            <w:right w:val="none" w:sz="0" w:space="0" w:color="auto"/>
          </w:divBdr>
          <w:divsChild>
            <w:div w:id="198057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13322">
      <w:bodyDiv w:val="1"/>
      <w:marLeft w:val="0"/>
      <w:marRight w:val="0"/>
      <w:marTop w:val="0"/>
      <w:marBottom w:val="0"/>
      <w:divBdr>
        <w:top w:val="none" w:sz="0" w:space="0" w:color="auto"/>
        <w:left w:val="none" w:sz="0" w:space="0" w:color="auto"/>
        <w:bottom w:val="none" w:sz="0" w:space="0" w:color="auto"/>
        <w:right w:val="none" w:sz="0" w:space="0" w:color="auto"/>
      </w:divBdr>
    </w:div>
    <w:div w:id="206853302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ACDDB-DCCA-46F2-BD4C-3CE1DADC4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03902A8-88D7-4E68-B5B6-B5179BE09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9</Pages>
  <Words>3219</Words>
  <Characters>17708</Characters>
  <Application>Microsoft Office Word</Application>
  <DocSecurity>0</DocSecurity>
  <Lines>147</Lines>
  <Paragraphs>41</Paragraphs>
  <ScaleCrop>false</ScaleCrop>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cp:lastPrinted>2020-03-02T22:07:00Z</cp:lastPrinted>
  <dcterms:created xsi:type="dcterms:W3CDTF">2020-07-27T12:36:00Z</dcterms:created>
  <dcterms:modified xsi:type="dcterms:W3CDTF">2020-08-10T16:07:00Z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