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E6FC1" w:rsidR="00DD0575" w:rsidP="00DD0575" w:rsidRDefault="00DD0575" w14:paraId="195A9109" w14:textId="77777777">
      <w:pPr>
        <w:spacing w:line="240" w:lineRule="auto"/>
        <w:contextualSpacing/>
        <w:jc w:val="both"/>
        <w:rPr>
          <w:rFonts w:ascii="Century Gothic" w:hAnsi="Century Gothic" w:eastAsia="Yu Gothic UI Semibold" w:cs="Arial"/>
          <w:b/>
          <w:bCs/>
          <w:color w:val="000000" w:themeColor="text1"/>
          <w:lang w:val="es-MX"/>
        </w:rPr>
      </w:pPr>
      <w:bookmarkStart w:name="_Hlk94281581" w:id="0"/>
      <w:bookmarkStart w:name="_Hlk102489058" w:id="1"/>
      <w:bookmarkStart w:name="_Hlk34951122" w:id="2"/>
      <w:r w:rsidRPr="007E6FC1">
        <w:rPr>
          <w:rFonts w:ascii="Century Gothic" w:hAnsi="Century Gothic" w:eastAsia="Yu Gothic UI Semibold" w:cs="Arial"/>
          <w:b/>
          <w:bCs/>
          <w:color w:val="000000" w:themeColor="text1"/>
          <w:lang w:val="es-MX"/>
        </w:rPr>
        <w:t>CONTRATOS DE PRESTACIÓN DE SERVICIOS – Generalidades</w:t>
      </w:r>
    </w:p>
    <w:p w:rsidRPr="007E6FC1" w:rsidR="00DD0575" w:rsidP="00DD0575" w:rsidRDefault="00DD0575" w14:paraId="427ACCB4" w14:textId="77777777">
      <w:pPr>
        <w:spacing w:line="240" w:lineRule="auto"/>
        <w:contextualSpacing/>
        <w:jc w:val="both"/>
        <w:rPr>
          <w:rFonts w:ascii="Century Gothic" w:hAnsi="Century Gothic" w:cs="Arial"/>
          <w:color w:val="000000" w:themeColor="text1"/>
          <w:sz w:val="20"/>
          <w:szCs w:val="20"/>
          <w:lang w:val="es-MX"/>
        </w:rPr>
      </w:pPr>
    </w:p>
    <w:p w:rsidRPr="007E6FC1" w:rsidR="00DD0575" w:rsidP="00DD0575" w:rsidRDefault="00DD0575" w14:paraId="7C0BE556" w14:textId="77777777">
      <w:pPr>
        <w:spacing w:line="240" w:lineRule="auto"/>
        <w:contextualSpacing/>
        <w:jc w:val="both"/>
        <w:rPr>
          <w:rFonts w:ascii="Century Gothic" w:hAnsi="Century Gothic" w:eastAsia="Yu Gothic UI Semibold" w:cs="Arial"/>
          <w:b/>
          <w:bCs/>
          <w:color w:val="000000" w:themeColor="text1"/>
          <w:sz w:val="20"/>
          <w:szCs w:val="20"/>
          <w:lang w:val="es-MX"/>
        </w:rPr>
      </w:pPr>
      <w:r w:rsidRPr="007E6FC1">
        <w:rPr>
          <w:rFonts w:ascii="Century Gothic" w:hAnsi="Century Gothic"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7E6FC1">
        <w:rPr>
          <w:rFonts w:ascii="Century Gothic" w:hAnsi="Century Gothic" w:eastAsia="Calibri" w:cs="Arial"/>
          <w:color w:val="000000" w:themeColor="text1"/>
          <w:sz w:val="20"/>
          <w:szCs w:val="20"/>
          <w:lang w:val="es-ES_tradnl"/>
        </w:rPr>
        <w:t xml:space="preserve"> La celebración de dicho contrato debe efectuarse a través de la modalidad de contratación directa.</w:t>
      </w:r>
    </w:p>
    <w:p w:rsidRPr="007E6FC1" w:rsidR="00DD0575" w:rsidP="00DD0575" w:rsidRDefault="00DD0575" w14:paraId="6F6A0D2D" w14:textId="77777777">
      <w:pPr>
        <w:spacing w:line="240" w:lineRule="auto"/>
        <w:contextualSpacing/>
        <w:jc w:val="both"/>
        <w:rPr>
          <w:rFonts w:ascii="Century Gothic" w:hAnsi="Century Gothic" w:eastAsia="Yu Gothic UI Semibold" w:cs="Arial"/>
          <w:b/>
          <w:bCs/>
          <w:color w:val="000000" w:themeColor="text1"/>
          <w:sz w:val="20"/>
          <w:szCs w:val="20"/>
          <w:lang w:val="es-MX"/>
        </w:rPr>
      </w:pPr>
    </w:p>
    <w:p w:rsidRPr="007E6FC1" w:rsidR="00DD0575" w:rsidP="00DD0575" w:rsidRDefault="00DD0575" w14:paraId="528857C8" w14:textId="77777777">
      <w:pPr>
        <w:spacing w:line="240" w:lineRule="auto"/>
        <w:contextualSpacing/>
        <w:jc w:val="both"/>
        <w:rPr>
          <w:rFonts w:ascii="Century Gothic" w:hAnsi="Century Gothic" w:eastAsia="Yu Gothic UI Semibold" w:cs="Arial"/>
          <w:b/>
          <w:bCs/>
          <w:color w:val="000000" w:themeColor="text1"/>
          <w:lang w:val="es-MX"/>
        </w:rPr>
      </w:pPr>
      <w:r w:rsidRPr="007E6FC1">
        <w:rPr>
          <w:rFonts w:ascii="Century Gothic" w:hAnsi="Century Gothic" w:eastAsia="Yu Gothic UI Semibold" w:cs="Arial"/>
          <w:b/>
          <w:bCs/>
          <w:color w:val="000000" w:themeColor="text1"/>
          <w:lang w:val="es-MX"/>
        </w:rPr>
        <w:t xml:space="preserve">CONTRATOS DE PRESTACIÓN DE SERVICIOS – Autonomía del contratista </w:t>
      </w:r>
    </w:p>
    <w:p w:rsidRPr="007E6FC1" w:rsidR="00DD0575" w:rsidP="00DD0575" w:rsidRDefault="00DD0575" w14:paraId="539C64CD" w14:textId="77777777">
      <w:pPr>
        <w:spacing w:line="240" w:lineRule="auto"/>
        <w:contextualSpacing/>
        <w:jc w:val="both"/>
        <w:rPr>
          <w:rFonts w:ascii="Century Gothic" w:hAnsi="Century Gothic" w:eastAsia="Yu Gothic UI Semibold" w:cs="Arial"/>
          <w:sz w:val="20"/>
          <w:szCs w:val="20"/>
          <w:shd w:val="clear" w:color="auto" w:fill="FFFFFF"/>
          <w:lang w:val="es-ES_tradnl"/>
        </w:rPr>
      </w:pPr>
    </w:p>
    <w:p w:rsidRPr="007E6FC1" w:rsidR="00DD0575" w:rsidP="00DD0575" w:rsidRDefault="00DD0575" w14:paraId="31D401D0" w14:textId="77777777">
      <w:pPr>
        <w:spacing w:line="240" w:lineRule="auto"/>
        <w:contextualSpacing/>
        <w:jc w:val="both"/>
        <w:rPr>
          <w:rFonts w:ascii="Century Gothic" w:hAnsi="Century Gothic" w:cs="Arial"/>
          <w:noProof/>
          <w:sz w:val="20"/>
          <w:szCs w:val="20"/>
          <w:lang w:val="es-ES_tradnl"/>
        </w:rPr>
      </w:pPr>
      <w:r w:rsidRPr="007E6FC1">
        <w:rPr>
          <w:rFonts w:ascii="Century Gothic" w:hAnsi="Century Gothic" w:eastAsia="Yu Gothic UI Semibold" w:cs="Arial"/>
          <w:sz w:val="20"/>
          <w:szCs w:val="20"/>
          <w:shd w:val="clear" w:color="auto" w:fill="FFFFFF"/>
          <w:lang w:val="es-ES_tradnl"/>
        </w:rPr>
        <w:t xml:space="preserve">[…] </w:t>
      </w:r>
      <w:r w:rsidRPr="007E6FC1">
        <w:rPr>
          <w:rFonts w:ascii="Century Gothic" w:hAnsi="Century Gothic" w:cs="Arial"/>
          <w:noProof/>
          <w:sz w:val="20"/>
          <w:szCs w:val="20"/>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7E6FC1">
        <w:rPr>
          <w:rFonts w:ascii="Century Gothic" w:hAnsi="Century Gothic" w:cs="Arial"/>
          <w:i/>
          <w:noProof/>
          <w:sz w:val="20"/>
          <w:szCs w:val="20"/>
          <w:lang w:val="es-ES_tradnl"/>
        </w:rPr>
        <w:t xml:space="preserve">subordinación </w:t>
      </w:r>
      <w:r w:rsidRPr="007E6FC1">
        <w:rPr>
          <w:rFonts w:ascii="Century Gothic" w:hAnsi="Century Gothic" w:cs="Arial"/>
          <w:iCs/>
          <w:noProof/>
          <w:sz w:val="20"/>
          <w:szCs w:val="20"/>
          <w:lang w:val="es-ES_tradnl"/>
        </w:rPr>
        <w:t>ni</w:t>
      </w:r>
      <w:r w:rsidRPr="007E6FC1">
        <w:rPr>
          <w:rFonts w:ascii="Century Gothic" w:hAnsi="Century Gothic" w:cs="Arial"/>
          <w:i/>
          <w:noProof/>
          <w:sz w:val="20"/>
          <w:szCs w:val="20"/>
          <w:lang w:val="es-ES_tradnl"/>
        </w:rPr>
        <w:t xml:space="preserve"> dependencia</w:t>
      </w:r>
      <w:r w:rsidRPr="007E6FC1">
        <w:rPr>
          <w:rFonts w:ascii="Century Gothic" w:hAnsi="Century Gothic" w:cs="Arial"/>
          <w:iCs/>
          <w:noProof/>
          <w:sz w:val="20"/>
          <w:szCs w:val="20"/>
          <w:lang w:val="es-ES_tradnl"/>
        </w:rPr>
        <w:t>,</w:t>
      </w:r>
      <w:r w:rsidRPr="007E6FC1">
        <w:rPr>
          <w:rFonts w:ascii="Century Gothic" w:hAnsi="Century Gothic" w:cs="Arial"/>
          <w:noProof/>
          <w:sz w:val="20"/>
          <w:szCs w:val="20"/>
          <w:lang w:val="es-ES_tradnl"/>
        </w:rPr>
        <w:t xml:space="preserve"> que es uno de los elementos constitutivos del vínculo laboral.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7E6FC1">
        <w:rPr>
          <w:rFonts w:ascii="Century Gothic" w:hAnsi="Century Gothic" w:cs="Arial"/>
          <w:i/>
          <w:noProof/>
          <w:sz w:val="20"/>
          <w:szCs w:val="20"/>
          <w:lang w:val="es-ES_tradnl"/>
        </w:rPr>
        <w:t>no pueden</w:t>
      </w:r>
      <w:r w:rsidRPr="007E6FC1">
        <w:rPr>
          <w:rFonts w:ascii="Century Gothic" w:hAnsi="Century Gothic" w:cs="Arial"/>
          <w:noProof/>
          <w:sz w:val="20"/>
          <w:szCs w:val="20"/>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 </w:t>
      </w:r>
    </w:p>
    <w:p w:rsidRPr="007E6FC1" w:rsidR="00DD0575" w:rsidP="00DD0575" w:rsidRDefault="00DD0575" w14:paraId="2D564D46" w14:textId="77777777">
      <w:pPr>
        <w:spacing w:line="240" w:lineRule="auto"/>
        <w:contextualSpacing/>
        <w:jc w:val="both"/>
        <w:rPr>
          <w:rFonts w:ascii="Century Gothic" w:hAnsi="Century Gothic" w:eastAsia="Yu Gothic UI Semibold" w:cs="Arial"/>
          <w:b/>
          <w:bCs/>
          <w:color w:val="000000" w:themeColor="text1"/>
          <w:sz w:val="20"/>
          <w:szCs w:val="20"/>
          <w:lang w:val="es-MX"/>
        </w:rPr>
      </w:pPr>
    </w:p>
    <w:p w:rsidRPr="007E6FC1" w:rsidR="00DD0575" w:rsidP="00DD0575" w:rsidRDefault="00DD0575" w14:paraId="62DF3F8F" w14:textId="77777777">
      <w:pPr>
        <w:spacing w:line="240" w:lineRule="auto"/>
        <w:contextualSpacing/>
        <w:jc w:val="both"/>
        <w:rPr>
          <w:rFonts w:ascii="Century Gothic" w:hAnsi="Century Gothic" w:eastAsia="Yu Gothic UI Semibold" w:cs="Arial"/>
          <w:b/>
          <w:bCs/>
          <w:color w:val="000000" w:themeColor="text1"/>
          <w:lang w:val="es-MX"/>
        </w:rPr>
      </w:pPr>
      <w:r w:rsidRPr="007E6FC1">
        <w:rPr>
          <w:rFonts w:ascii="Century Gothic" w:hAnsi="Century Gothic" w:eastAsia="Yu Gothic UI Semibold" w:cs="Arial"/>
          <w:b/>
          <w:bCs/>
          <w:color w:val="000000" w:themeColor="text1"/>
          <w:lang w:val="es-MX"/>
        </w:rPr>
        <w:t xml:space="preserve">CONTRATOS DE PRESTACIÓN DE SERVICIOS – Temporalidad </w:t>
      </w:r>
    </w:p>
    <w:p w:rsidRPr="007E6FC1" w:rsidR="00DD0575" w:rsidP="00DD0575" w:rsidRDefault="00DD0575" w14:paraId="29963594" w14:textId="77777777">
      <w:pPr>
        <w:spacing w:line="240" w:lineRule="auto"/>
        <w:contextualSpacing/>
        <w:jc w:val="both"/>
        <w:rPr>
          <w:rFonts w:ascii="Century Gothic" w:hAnsi="Century Gothic" w:cs="Arial"/>
          <w:noProof/>
          <w:sz w:val="20"/>
          <w:szCs w:val="20"/>
          <w:lang w:val="es-ES_tradnl"/>
        </w:rPr>
      </w:pPr>
    </w:p>
    <w:p w:rsidRPr="007E6FC1" w:rsidR="00DD0575" w:rsidP="00DD0575" w:rsidRDefault="00DD0575" w14:paraId="02924670" w14:textId="77777777">
      <w:pPr>
        <w:spacing w:line="240" w:lineRule="auto"/>
        <w:contextualSpacing/>
        <w:jc w:val="both"/>
        <w:rPr>
          <w:rFonts w:ascii="Century Gothic" w:hAnsi="Century Gothic" w:cs="Arial"/>
          <w:noProof/>
          <w:sz w:val="20"/>
          <w:szCs w:val="20"/>
          <w:lang w:val="es-ES_tradnl"/>
        </w:rPr>
      </w:pPr>
      <w:r w:rsidRPr="007E6FC1">
        <w:rPr>
          <w:rFonts w:ascii="Century Gothic" w:hAnsi="Century Gothic" w:cs="Arial"/>
          <w:noProof/>
          <w:sz w:val="20"/>
          <w:szCs w:val="20"/>
          <w:lang w:val="es-ES_tradnl"/>
        </w:rPr>
        <w:t>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rsidRPr="007E6FC1" w:rsidR="00DD0575" w:rsidP="575904A3" w:rsidRDefault="00DD0575" w14:paraId="40A4D7BB" w14:textId="77777777" w14:noSpellErr="1">
      <w:pPr>
        <w:spacing w:line="240" w:lineRule="auto"/>
        <w:contextualSpacing/>
        <w:jc w:val="both"/>
        <w:rPr>
          <w:rFonts w:ascii="Century Gothic" w:hAnsi="Century Gothic" w:eastAsia="Yu Gothic UI Semibold" w:cs="Arial"/>
          <w:sz w:val="22"/>
          <w:szCs w:val="22"/>
          <w:shd w:val="clear" w:color="auto" w:fill="FFFFFF"/>
          <w:lang w:val="es-ES"/>
        </w:rPr>
      </w:pPr>
    </w:p>
    <w:p w:rsidRPr="007E6FC1" w:rsidR="00DD0575" w:rsidP="575904A3" w:rsidRDefault="00DD0575" w14:paraId="0EF4FEC0" w14:textId="77777777" w14:noSpellErr="1">
      <w:pPr>
        <w:spacing w:after="0" w:line="240" w:lineRule="auto"/>
        <w:jc w:val="both"/>
        <w:rPr>
          <w:rFonts w:ascii="Century Gothic" w:hAnsi="Century Gothic" w:cs="Arial"/>
          <w:b w:val="1"/>
          <w:bCs w:val="1"/>
          <w:sz w:val="22"/>
          <w:szCs w:val="22"/>
          <w:lang w:val="es-MX" w:eastAsia="es-ES"/>
        </w:rPr>
      </w:pPr>
      <w:r w:rsidRPr="575904A3" w:rsidR="00DD0575">
        <w:rPr>
          <w:rFonts w:ascii="Century Gothic" w:hAnsi="Century Gothic" w:cs="Arial"/>
          <w:b w:val="1"/>
          <w:bCs w:val="1"/>
          <w:sz w:val="22"/>
          <w:szCs w:val="22"/>
          <w:lang w:val="es-MX" w:eastAsia="es-ES"/>
        </w:rPr>
        <w:t>ADICIÓN – Concepto – Distintos supuestos – Prohibición – Adición en más del 50%</w:t>
      </w:r>
    </w:p>
    <w:p w:rsidRPr="007E6FC1" w:rsidR="00DD0575" w:rsidP="00DD0575" w:rsidRDefault="00DD0575" w14:paraId="67DDBFC0" w14:textId="77777777">
      <w:pPr>
        <w:spacing w:after="0" w:line="240" w:lineRule="auto"/>
        <w:jc w:val="both"/>
        <w:rPr>
          <w:rFonts w:ascii="Century Gothic" w:hAnsi="Century Gothic" w:cs="Arial"/>
          <w:b/>
          <w:sz w:val="20"/>
          <w:szCs w:val="20"/>
          <w:lang w:val="es-MX" w:eastAsia="es-ES_tradnl"/>
        </w:rPr>
      </w:pPr>
    </w:p>
    <w:p w:rsidRPr="007E6FC1" w:rsidR="00DD0575" w:rsidP="00DD0575" w:rsidRDefault="00DD0575" w14:paraId="411204D6" w14:textId="77777777">
      <w:pPr>
        <w:spacing w:after="0" w:line="240" w:lineRule="auto"/>
        <w:jc w:val="both"/>
        <w:rPr>
          <w:rFonts w:ascii="Century Gothic" w:hAnsi="Century Gothic" w:cs="Arial"/>
          <w:bCs/>
          <w:sz w:val="20"/>
          <w:szCs w:val="20"/>
          <w:lang w:val="es-ES_tradnl" w:eastAsia="es-ES_tradnl"/>
        </w:rPr>
      </w:pPr>
      <w:r w:rsidRPr="007E6FC1">
        <w:rPr>
          <w:rFonts w:ascii="Century Gothic" w:hAnsi="Century Gothic" w:cs="Arial"/>
          <w:bCs/>
          <w:sz w:val="20"/>
          <w:szCs w:val="20"/>
          <w:lang w:val="es-ES_tradnl"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w:t>
      </w:r>
      <w:r w:rsidRPr="007E6FC1">
        <w:rPr>
          <w:rFonts w:ascii="Century Gothic" w:hAnsi="Century Gothic" w:cs="Arial"/>
          <w:bCs/>
          <w:sz w:val="20"/>
          <w:szCs w:val="20"/>
          <w:lang w:val="es-ES_tradnl" w:eastAsia="es-ES_tradnl"/>
        </w:rPr>
        <w:t xml:space="preserve">actividades inicialmente previstos, a lo que se le conoce como “mayores cantidades de obra”, “obras adicionales” o adición de “ítems contractuales”; y </w:t>
      </w:r>
      <w:proofErr w:type="spellStart"/>
      <w:r w:rsidRPr="007E6FC1">
        <w:rPr>
          <w:rFonts w:ascii="Century Gothic" w:hAnsi="Century Gothic" w:cs="Arial"/>
          <w:bCs/>
          <w:sz w:val="20"/>
          <w:szCs w:val="20"/>
          <w:lang w:val="es-ES_tradnl" w:eastAsia="es-ES_tradnl"/>
        </w:rPr>
        <w:t>ii</w:t>
      </w:r>
      <w:proofErr w:type="spellEnd"/>
      <w:r w:rsidRPr="007E6FC1">
        <w:rPr>
          <w:rFonts w:ascii="Century Gothic" w:hAnsi="Century Gothic" w:cs="Arial"/>
          <w:bCs/>
          <w:sz w:val="20"/>
          <w:szCs w:val="20"/>
          <w:lang w:val="es-ES_tradnl"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r w:rsidRPr="007E6FC1">
        <w:rPr>
          <w:rFonts w:ascii="Century Gothic" w:hAnsi="Century Gothic" w:cs="Arial"/>
          <w:sz w:val="20"/>
          <w:szCs w:val="20"/>
          <w:lang w:val="es-ES_tradnl" w:eastAsia="es-ES_tradnl"/>
        </w:rPr>
        <w:t>[…]</w:t>
      </w:r>
    </w:p>
    <w:p w:rsidRPr="007E6FC1" w:rsidR="00DD0575" w:rsidP="00DD0575" w:rsidRDefault="00DD0575" w14:paraId="6B5068A5" w14:textId="77777777">
      <w:pPr>
        <w:spacing w:after="0" w:line="240" w:lineRule="auto"/>
        <w:jc w:val="both"/>
        <w:rPr>
          <w:rFonts w:ascii="Century Gothic" w:hAnsi="Century Gothic" w:cs="Arial"/>
          <w:bCs/>
          <w:sz w:val="20"/>
          <w:szCs w:val="20"/>
          <w:lang w:val="es-ES_tradnl" w:eastAsia="es-ES_tradnl"/>
        </w:rPr>
      </w:pPr>
    </w:p>
    <w:p w:rsidRPr="007E6FC1" w:rsidR="00DD0575" w:rsidP="00DD0575" w:rsidRDefault="00DD0575" w14:paraId="06CB7928" w14:textId="77777777">
      <w:pPr>
        <w:spacing w:after="0" w:line="240" w:lineRule="auto"/>
        <w:jc w:val="both"/>
        <w:rPr>
          <w:rFonts w:ascii="Century Gothic" w:hAnsi="Century Gothic" w:cs="Arial"/>
          <w:bCs/>
          <w:sz w:val="20"/>
          <w:szCs w:val="20"/>
          <w:lang w:val="es-ES_tradnl" w:eastAsia="es-ES_tradnl"/>
        </w:rPr>
      </w:pPr>
      <w:r w:rsidRPr="007E6FC1">
        <w:rPr>
          <w:rFonts w:ascii="Century Gothic" w:hAnsi="Century Gothic" w:cs="Arial"/>
          <w:bCs/>
          <w:sz w:val="20"/>
          <w:szCs w:val="20"/>
          <w:lang w:val="es-MX" w:eastAsia="es-ES_tradnl"/>
        </w:rPr>
        <w:t>No obstante, la expresión “contrato adicional” al igual que las otras nociones doctrinarias y jurisprudenciales arriba señaladas entre comillas son de uso común en la práctica contractual por las entidades estatales. Lo importante en relación con las mismas, tal 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1993.</w:t>
      </w:r>
      <w:r w:rsidRPr="007E6FC1">
        <w:rPr>
          <w:rFonts w:ascii="Century Gothic" w:hAnsi="Century Gothic" w:cs="Arial"/>
          <w:bCs/>
          <w:sz w:val="20"/>
          <w:szCs w:val="20"/>
          <w:lang w:val="es-ES_tradnl" w:eastAsia="es-ES_tradnl"/>
        </w:rPr>
        <w:t>: “Los contratos no podrán adicionarse en más del cincuenta por ciento (50%) de su valor inicial, expresado éste en salarios mínimos legales mensuales”</w:t>
      </w:r>
    </w:p>
    <w:p w:rsidRPr="007E6FC1" w:rsidR="00DD0575" w:rsidP="575904A3" w:rsidRDefault="00DD0575" w14:paraId="46F3A6B5" w14:textId="77777777" w14:noSpellErr="1">
      <w:pPr>
        <w:spacing w:after="0" w:line="240" w:lineRule="auto"/>
        <w:jc w:val="both"/>
        <w:rPr>
          <w:rFonts w:ascii="Century Gothic" w:hAnsi="Century Gothic" w:cs="Arial"/>
          <w:b w:val="1"/>
          <w:bCs w:val="1"/>
          <w:sz w:val="22"/>
          <w:szCs w:val="22"/>
          <w:lang w:val="es-MX" w:eastAsia="es-ES"/>
        </w:rPr>
      </w:pPr>
    </w:p>
    <w:p w:rsidRPr="007E6FC1" w:rsidR="00DD0575" w:rsidP="575904A3" w:rsidRDefault="00DD0575" w14:paraId="0C4F49EB" w14:textId="77777777" w14:noSpellErr="1">
      <w:pPr>
        <w:spacing w:after="0" w:line="240" w:lineRule="auto"/>
        <w:jc w:val="both"/>
        <w:rPr>
          <w:rFonts w:ascii="Century Gothic" w:hAnsi="Century Gothic" w:cs="Arial"/>
          <w:b w:val="1"/>
          <w:bCs w:val="1"/>
          <w:sz w:val="22"/>
          <w:szCs w:val="22"/>
          <w:lang w:val="es-MX" w:eastAsia="es-ES"/>
        </w:rPr>
      </w:pPr>
      <w:r w:rsidRPr="575904A3" w:rsidR="00DD0575">
        <w:rPr>
          <w:rFonts w:ascii="Century Gothic" w:hAnsi="Century Gothic" w:cs="Arial"/>
          <w:b w:val="1"/>
          <w:bCs w:val="1"/>
          <w:sz w:val="22"/>
          <w:szCs w:val="22"/>
          <w:lang w:val="es-MX" w:eastAsia="es-ES"/>
        </w:rPr>
        <w:t xml:space="preserve">ADICIÓN – Prohibición – Monto – Cálculo – Parágrafo artículo 40 – Ley 80 de 1993 </w:t>
      </w:r>
    </w:p>
    <w:p w:rsidRPr="007E6FC1" w:rsidR="00DD0575" w:rsidP="00DD0575" w:rsidRDefault="00DD0575" w14:paraId="58D37FE1" w14:textId="77777777">
      <w:pPr>
        <w:spacing w:after="0" w:line="240" w:lineRule="auto"/>
        <w:jc w:val="both"/>
        <w:rPr>
          <w:rFonts w:ascii="Century Gothic" w:hAnsi="Century Gothic" w:cs="Arial"/>
          <w:b/>
          <w:sz w:val="20"/>
          <w:szCs w:val="20"/>
          <w:lang w:val="es-MX" w:eastAsia="es-ES_tradnl"/>
        </w:rPr>
      </w:pPr>
    </w:p>
    <w:p w:rsidRPr="007E6FC1" w:rsidR="00DD0575" w:rsidP="00DD0575" w:rsidRDefault="00DD0575" w14:paraId="44DDCDD4" w14:textId="77777777">
      <w:pPr>
        <w:spacing w:line="240" w:lineRule="auto"/>
        <w:contextualSpacing/>
        <w:jc w:val="both"/>
        <w:rPr>
          <w:rFonts w:ascii="Century Gothic" w:hAnsi="Century Gothic" w:cs="Arial"/>
          <w:bCs/>
          <w:sz w:val="20"/>
          <w:szCs w:val="20"/>
          <w:lang w:eastAsia="es-ES_tradnl"/>
        </w:rPr>
      </w:pPr>
      <w:r w:rsidRPr="007E6FC1">
        <w:rPr>
          <w:rFonts w:ascii="Century Gothic" w:hAnsi="Century Gothic" w:cs="Arial"/>
          <w:bCs/>
          <w:sz w:val="20"/>
          <w:szCs w:val="20"/>
          <w:lang w:val="es-ES_tradnl" w:eastAsia="es-ES_tradnl"/>
        </w:rPr>
        <w:t>Dicha norma además de consagrar una prohibición trae implícita una autorización, consistente en la posibilidad de adicionar los contratos estatales, siempre que no se supere el tope establecido.</w:t>
      </w:r>
      <w:r w:rsidRPr="007E6FC1">
        <w:rPr>
          <w:rFonts w:ascii="Century Gothic" w:hAnsi="Century Gothic" w:cs="Arial"/>
          <w:bCs/>
          <w:sz w:val="20"/>
          <w:szCs w:val="20"/>
          <w:lang w:eastAsia="es-ES_tradnl"/>
        </w:rPr>
        <w:t xml:space="preserve">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w:t>
      </w:r>
    </w:p>
    <w:p w:rsidRPr="007E6FC1" w:rsidR="00DD0575" w:rsidP="00DD0575" w:rsidRDefault="00DD0575" w14:paraId="0C2E17DC" w14:textId="77777777">
      <w:pPr>
        <w:spacing w:line="240" w:lineRule="auto"/>
        <w:contextualSpacing/>
        <w:jc w:val="both"/>
        <w:rPr>
          <w:rFonts w:ascii="Century Gothic" w:hAnsi="Century Gothic" w:eastAsia="Yu Gothic UI Semibold" w:cs="Arial"/>
          <w:sz w:val="20"/>
          <w:szCs w:val="20"/>
          <w:shd w:val="clear" w:color="auto" w:fill="FFFFFF"/>
          <w:lang w:val="es-ES_tradnl"/>
        </w:rPr>
      </w:pPr>
    </w:p>
    <w:p w:rsidRPr="007E6FC1" w:rsidR="00DD0575" w:rsidP="00DD0575" w:rsidRDefault="00DD0575" w14:paraId="5F55FE3B" w14:textId="77777777">
      <w:pPr>
        <w:spacing w:line="240" w:lineRule="auto"/>
        <w:contextualSpacing/>
        <w:jc w:val="both"/>
        <w:rPr>
          <w:rFonts w:ascii="Century Gothic" w:hAnsi="Century Gothic" w:eastAsia="Yu Gothic UI Semibold" w:cs="Arial"/>
          <w:b/>
          <w:bCs/>
          <w:color w:val="000000" w:themeColor="text1"/>
          <w:lang w:val="es-MX"/>
        </w:rPr>
      </w:pPr>
      <w:r w:rsidRPr="007E6FC1">
        <w:rPr>
          <w:rFonts w:ascii="Century Gothic" w:hAnsi="Century Gothic" w:eastAsia="Yu Gothic UI Semibold" w:cs="Arial"/>
          <w:b/>
          <w:bCs/>
          <w:color w:val="000000" w:themeColor="text1"/>
          <w:lang w:val="es-MX"/>
        </w:rPr>
        <w:t>ESTABILIDAD LABORAL REFORZADA DE MUJER EMBARAZADA – Concepto</w:t>
      </w:r>
    </w:p>
    <w:p w:rsidRPr="007E6FC1" w:rsidR="00DD0575" w:rsidP="00DD0575" w:rsidRDefault="00DD0575" w14:paraId="0106F6D4" w14:textId="77777777">
      <w:pPr>
        <w:spacing w:line="240" w:lineRule="auto"/>
        <w:contextualSpacing/>
        <w:jc w:val="both"/>
        <w:rPr>
          <w:rFonts w:ascii="Century Gothic" w:hAnsi="Century Gothic" w:eastAsia="Yu Gothic UI Semibold" w:cs="Arial"/>
          <w:b/>
          <w:bCs/>
          <w:color w:val="000000" w:themeColor="text1"/>
          <w:lang w:val="es-MX"/>
        </w:rPr>
      </w:pPr>
    </w:p>
    <w:p w:rsidRPr="007E6FC1" w:rsidR="00DD0575" w:rsidP="00DD0575" w:rsidRDefault="00DD0575" w14:paraId="0337CAE2" w14:textId="77777777">
      <w:pPr>
        <w:spacing w:line="240" w:lineRule="auto"/>
        <w:contextualSpacing/>
        <w:jc w:val="both"/>
        <w:rPr>
          <w:rFonts w:ascii="Century Gothic" w:hAnsi="Century Gothic" w:eastAsia="Yu Gothic UI Semibold" w:cs="Arial"/>
          <w:b/>
          <w:bCs/>
          <w:color w:val="000000" w:themeColor="text1"/>
          <w:sz w:val="20"/>
          <w:szCs w:val="20"/>
          <w:lang w:val="es-MX"/>
        </w:rPr>
      </w:pPr>
      <w:r w:rsidRPr="007E6FC1">
        <w:rPr>
          <w:rFonts w:ascii="Century Gothic" w:hAnsi="Century Gothic" w:eastAsia="Calibri" w:cs="Arial"/>
          <w:bCs/>
          <w:sz w:val="20"/>
          <w:szCs w:val="20"/>
          <w:lang w:val="es-MX"/>
        </w:rPr>
        <w:t>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p>
    <w:p w:rsidRPr="007E6FC1" w:rsidR="00DD0575" w:rsidP="00DD0575" w:rsidRDefault="00DD0575" w14:paraId="0E6EE57F" w14:textId="77777777">
      <w:pPr>
        <w:spacing w:line="240" w:lineRule="auto"/>
        <w:contextualSpacing/>
        <w:jc w:val="both"/>
        <w:rPr>
          <w:rFonts w:ascii="Century Gothic" w:hAnsi="Century Gothic" w:eastAsia="Yu Gothic UI Semibold" w:cs="Arial"/>
          <w:b/>
          <w:bCs/>
          <w:color w:val="000000" w:themeColor="text1"/>
          <w:sz w:val="20"/>
          <w:szCs w:val="20"/>
          <w:lang w:val="es-MX"/>
        </w:rPr>
      </w:pPr>
    </w:p>
    <w:p w:rsidRPr="007E6FC1" w:rsidR="00DD0575" w:rsidP="00DD0575" w:rsidRDefault="00DD0575" w14:paraId="4F66EA40" w14:textId="77777777">
      <w:pPr>
        <w:spacing w:line="240" w:lineRule="auto"/>
        <w:contextualSpacing/>
        <w:jc w:val="both"/>
        <w:rPr>
          <w:rFonts w:ascii="Century Gothic" w:hAnsi="Century Gothic" w:eastAsia="Yu Gothic UI Semibold" w:cs="Arial"/>
          <w:b/>
          <w:bCs/>
          <w:color w:val="000000" w:themeColor="text1"/>
          <w:lang w:val="es-MX"/>
        </w:rPr>
      </w:pPr>
      <w:r w:rsidRPr="007E6FC1">
        <w:rPr>
          <w:rFonts w:ascii="Century Gothic" w:hAnsi="Century Gothic" w:eastAsia="Yu Gothic UI Semibold" w:cs="Arial"/>
          <w:b/>
          <w:bCs/>
          <w:color w:val="000000" w:themeColor="text1"/>
          <w:lang w:val="es-MX"/>
        </w:rPr>
        <w:t xml:space="preserve">ESTABILIDAD LABORAL REFORZADA DE MUJER EMBARAZADA – Unificación jurisprudencial </w:t>
      </w:r>
    </w:p>
    <w:p w:rsidRPr="007E6FC1" w:rsidR="00DD0575" w:rsidP="00DD0575" w:rsidRDefault="00DD0575" w14:paraId="3A3571C7" w14:textId="77777777">
      <w:pPr>
        <w:spacing w:line="240" w:lineRule="auto"/>
        <w:contextualSpacing/>
        <w:jc w:val="both"/>
        <w:rPr>
          <w:rFonts w:ascii="Century Gothic" w:hAnsi="Century Gothic" w:eastAsia="Yu Gothic UI Semibold" w:cs="Arial"/>
          <w:b/>
          <w:bCs/>
          <w:color w:val="000000" w:themeColor="text1"/>
          <w:sz w:val="20"/>
          <w:szCs w:val="20"/>
          <w:lang w:val="es-MX"/>
        </w:rPr>
      </w:pPr>
    </w:p>
    <w:p w:rsidRPr="007E6FC1" w:rsidR="00DD0575" w:rsidP="00DD0575" w:rsidRDefault="00DD0575" w14:paraId="2F5ABD41" w14:textId="77777777">
      <w:pPr>
        <w:spacing w:line="240" w:lineRule="auto"/>
        <w:contextualSpacing/>
        <w:jc w:val="both"/>
        <w:rPr>
          <w:rFonts w:ascii="Century Gothic" w:hAnsi="Century Gothic" w:eastAsia="Yu Gothic UI Semibold" w:cs="Arial"/>
          <w:sz w:val="20"/>
          <w:szCs w:val="20"/>
          <w:shd w:val="clear" w:color="auto" w:fill="FFFFFF"/>
          <w:lang w:val="es-ES_tradnl"/>
        </w:rPr>
      </w:pPr>
      <w:r w:rsidRPr="007E6FC1">
        <w:rPr>
          <w:rFonts w:ascii="Century Gothic" w:hAnsi="Century Gothic" w:eastAsia="Yu Gothic UI Semibold" w:cs="Arial"/>
          <w:sz w:val="20"/>
          <w:szCs w:val="20"/>
          <w:shd w:val="clear" w:color="auto" w:fill="FFFFFF"/>
          <w:lang w:val="es-ES_tradnl"/>
        </w:rPr>
        <w:t xml:space="preserve">[…] </w:t>
      </w:r>
      <w:r w:rsidRPr="007E6FC1">
        <w:rPr>
          <w:rFonts w:ascii="Century Gothic" w:hAnsi="Century Gothic" w:eastAsia="Yu Gothic UI Semibold" w:cs="Arial"/>
          <w:sz w:val="20"/>
          <w:szCs w:val="20"/>
        </w:rPr>
        <w:t xml:space="preserve">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w:t>
      </w:r>
      <w:r w:rsidRPr="007E6FC1">
        <w:rPr>
          <w:rFonts w:ascii="Century Gothic" w:hAnsi="Century Gothic" w:eastAsia="Yu Gothic UI Semibold" w:cs="Arial"/>
          <w:sz w:val="20"/>
          <w:szCs w:val="20"/>
        </w:rPr>
        <w:t>el denominado</w:t>
      </w:r>
      <w:r w:rsidRPr="007E6FC1">
        <w:rPr>
          <w:rFonts w:ascii="Century Gothic" w:hAnsi="Century Gothic" w:eastAsia="Yu Gothic UI Semibold" w:cs="Arial"/>
          <w:i/>
          <w:sz w:val="20"/>
          <w:szCs w:val="20"/>
        </w:rPr>
        <w:t xml:space="preserve"> </w:t>
      </w:r>
      <w:r w:rsidRPr="007E6FC1">
        <w:rPr>
          <w:rFonts w:ascii="Century Gothic" w:hAnsi="Century Gothic" w:eastAsia="Yu Gothic UI Semibold" w:cs="Arial"/>
          <w:i/>
          <w:sz w:val="20"/>
          <w:szCs w:val="20"/>
          <w:lang w:eastAsia="es-MX"/>
        </w:rPr>
        <w:t>“</w:t>
      </w:r>
      <w:r w:rsidRPr="007E6FC1">
        <w:rPr>
          <w:rFonts w:ascii="Century Gothic" w:hAnsi="Century Gothic" w:eastAsia="Yu Gothic UI Semibold" w:cs="Arial"/>
          <w:i/>
          <w:sz w:val="20"/>
          <w:szCs w:val="20"/>
        </w:rPr>
        <w:t>fuero de maternidad</w:t>
      </w:r>
      <w:r w:rsidRPr="007E6FC1">
        <w:rPr>
          <w:rFonts w:ascii="Century Gothic" w:hAnsi="Century Gothic" w:eastAsia="Yu Gothic UI Semibold" w:cs="Arial"/>
          <w:i/>
          <w:sz w:val="20"/>
          <w:szCs w:val="20"/>
          <w:lang w:eastAsia="es-MX"/>
        </w:rPr>
        <w:t>”</w:t>
      </w:r>
      <w:r w:rsidRPr="007E6FC1">
        <w:rPr>
          <w:rFonts w:ascii="Century Gothic" w:hAnsi="Century Gothic" w:eastAsia="Yu Gothic UI Semibold" w:cs="Arial"/>
          <w:i/>
          <w:sz w:val="20"/>
          <w:szCs w:val="20"/>
        </w:rPr>
        <w:t>,</w:t>
      </w:r>
      <w:r w:rsidRPr="007E6FC1">
        <w:rPr>
          <w:rFonts w:ascii="Century Gothic" w:hAnsi="Century Gothic" w:eastAsia="Yu Gothic UI Semibold" w:cs="Arial"/>
          <w:sz w:val="20"/>
          <w:szCs w:val="20"/>
        </w:rPr>
        <w:t xml:space="preserve"> encuentra también su sustento en la cláusula general de igualdad de la Constitución </w:t>
      </w:r>
      <w:r w:rsidRPr="007E6FC1">
        <w:rPr>
          <w:rFonts w:ascii="Century Gothic" w:hAnsi="Century Gothic" w:eastAsia="Yu Gothic UI Semibold" w:cs="Arial"/>
          <w:i/>
          <w:sz w:val="20"/>
          <w:szCs w:val="20"/>
          <w:lang w:eastAsia="es-MX"/>
        </w:rPr>
        <w:t>“</w:t>
      </w:r>
      <w:r w:rsidRPr="007E6FC1">
        <w:rPr>
          <w:rFonts w:ascii="Century Gothic" w:hAnsi="Century Gothic" w:eastAsia="Yu Gothic UI Semibold" w:cs="Arial"/>
          <w:i/>
          <w:sz w:val="20"/>
          <w:szCs w:val="20"/>
        </w:rPr>
        <w:t>que proscribe la discriminación por razones de sexo, así como en el ya mencionado artículo 43 Superior, que dispone la igualdad de derechos y oportunidades entre hombres y mujeres</w:t>
      </w:r>
      <w:r w:rsidRPr="007E6FC1">
        <w:rPr>
          <w:rFonts w:ascii="Century Gothic" w:hAnsi="Century Gothic" w:eastAsia="Yu Gothic UI Semibold" w:cs="Arial"/>
          <w:i/>
          <w:sz w:val="20"/>
          <w:szCs w:val="20"/>
          <w:lang w:eastAsia="es-MX"/>
        </w:rPr>
        <w:t>”</w:t>
      </w:r>
    </w:p>
    <w:p w:rsidRPr="007E6FC1" w:rsidR="00DD0575" w:rsidP="00DD0575" w:rsidRDefault="00DD0575" w14:paraId="471B37E9" w14:textId="77777777">
      <w:pPr>
        <w:spacing w:line="240" w:lineRule="auto"/>
        <w:contextualSpacing/>
        <w:rPr>
          <w:rFonts w:ascii="Century Gothic" w:hAnsi="Century Gothic" w:cs="Arial"/>
          <w:sz w:val="20"/>
          <w:szCs w:val="20"/>
        </w:rPr>
      </w:pPr>
    </w:p>
    <w:p w:rsidRPr="007E6FC1" w:rsidR="00DD0575" w:rsidP="00DD0575" w:rsidRDefault="00DD0575" w14:paraId="7A3CC28D" w14:textId="77777777">
      <w:pPr>
        <w:spacing w:line="240" w:lineRule="auto"/>
        <w:contextualSpacing/>
        <w:jc w:val="both"/>
        <w:rPr>
          <w:rFonts w:ascii="Century Gothic" w:hAnsi="Century Gothic" w:eastAsia="Yu Gothic UI Semibold" w:cs="Arial"/>
          <w:b/>
          <w:bCs/>
          <w:color w:val="000000" w:themeColor="text1"/>
          <w:sz w:val="20"/>
          <w:szCs w:val="20"/>
          <w:lang w:val="es-MX"/>
        </w:rPr>
      </w:pPr>
      <w:r w:rsidRPr="007E6FC1">
        <w:rPr>
          <w:rFonts w:ascii="Century Gothic" w:hAnsi="Century Gothic" w:eastAsia="Yu Gothic UI Semibold" w:cs="Arial"/>
          <w:b/>
          <w:bCs/>
          <w:color w:val="000000" w:themeColor="text1"/>
          <w:lang w:val="es-MX"/>
        </w:rPr>
        <w:t>ESTABILIDAD LABORAL REFORZADA DE MUJER EMBARAZADA – Procedencia</w:t>
      </w:r>
    </w:p>
    <w:p w:rsidRPr="007E6FC1" w:rsidR="00DD0575" w:rsidP="00DD0575" w:rsidRDefault="00DD0575" w14:paraId="0800A46C" w14:textId="77777777">
      <w:pPr>
        <w:spacing w:line="240" w:lineRule="auto"/>
        <w:contextualSpacing/>
        <w:jc w:val="both"/>
        <w:rPr>
          <w:rFonts w:ascii="Century Gothic" w:hAnsi="Century Gothic" w:cs="Arial"/>
          <w:sz w:val="20"/>
          <w:szCs w:val="20"/>
        </w:rPr>
      </w:pPr>
    </w:p>
    <w:p w:rsidRPr="007E6FC1" w:rsidR="00DD0575" w:rsidP="00DD0575" w:rsidRDefault="00DD0575" w14:paraId="1BB066D4" w14:textId="77777777">
      <w:pPr>
        <w:widowControl w:val="0"/>
        <w:autoSpaceDE w:val="0"/>
        <w:autoSpaceDN w:val="0"/>
        <w:spacing w:line="240" w:lineRule="auto"/>
        <w:contextualSpacing/>
        <w:jc w:val="both"/>
        <w:rPr>
          <w:rFonts w:ascii="Century Gothic" w:hAnsi="Century Gothic" w:eastAsia="Arial" w:cs="Arial"/>
          <w:sz w:val="20"/>
          <w:szCs w:val="20"/>
          <w:lang w:val="es-ES"/>
        </w:rPr>
      </w:pPr>
      <w:r w:rsidRPr="007E6FC1">
        <w:rPr>
          <w:rFonts w:ascii="Century Gothic" w:hAnsi="Century Gothic" w:eastAsia="Arial" w:cs="Arial"/>
          <w:sz w:val="20"/>
          <w:szCs w:val="20"/>
          <w:lang w:val="es-ES"/>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7E6FC1">
        <w:rPr>
          <w:rFonts w:ascii="Century Gothic" w:hAnsi="Century Gothic" w:eastAsia="Arial" w:cs="Arial"/>
          <w:sz w:val="20"/>
          <w:szCs w:val="20"/>
          <w:lang w:val="es-ES"/>
        </w:rPr>
        <w:t>ii</w:t>
      </w:r>
      <w:proofErr w:type="spellEnd"/>
      <w:r w:rsidRPr="007E6FC1">
        <w:rPr>
          <w:rFonts w:ascii="Century Gothic" w:hAnsi="Century Gothic" w:eastAsia="Arial" w:cs="Arial"/>
          <w:sz w:val="20"/>
          <w:szCs w:val="20"/>
          <w:lang w:val="es-ES"/>
        </w:rPr>
        <w:t>) cuando a pesar de no probarse la configuración de un contrato realidad la terminación del contrato de prestación de servicios se fundamenta en criterios discriminatorios, y no en motivos objetivos.</w:t>
      </w:r>
    </w:p>
    <w:p w:rsidRPr="007E6FC1" w:rsidR="00DD0575" w:rsidP="00DD0575" w:rsidRDefault="00DD0575" w14:paraId="59659134" w14:textId="77777777">
      <w:pPr>
        <w:spacing w:after="0"/>
        <w:rPr>
          <w:rFonts w:ascii="Century Gothic" w:hAnsi="Century Gothic" w:eastAsia="Geomanist Light" w:cs="Arial"/>
          <w:color w:val="000000" w:themeColor="text1"/>
          <w:lang w:val="es-MX"/>
        </w:rPr>
      </w:pPr>
    </w:p>
    <w:p w:rsidRPr="007E6FC1" w:rsidR="00DD0575" w:rsidP="00DD0575" w:rsidRDefault="00DD0575" w14:paraId="28806EF4" w14:textId="77777777">
      <w:pPr>
        <w:spacing w:after="0"/>
        <w:rPr>
          <w:rFonts w:ascii="Century Gothic" w:hAnsi="Century Gothic" w:eastAsia="Geomanist Light" w:cs="Arial"/>
          <w:color w:val="000000" w:themeColor="text1"/>
          <w:lang w:val="es-MX"/>
        </w:rPr>
      </w:pPr>
    </w:p>
    <w:p w:rsidRPr="007E6FC1" w:rsidR="00DD0575" w:rsidP="00DD0575" w:rsidRDefault="00DD0575" w14:paraId="622D522B" w14:textId="77777777">
      <w:pPr>
        <w:spacing w:after="0"/>
        <w:rPr>
          <w:rFonts w:ascii="Century Gothic" w:hAnsi="Century Gothic" w:eastAsia="Geomanist Light" w:cs="Arial"/>
          <w:color w:val="000000" w:themeColor="text1"/>
          <w:lang w:val="es-MX"/>
        </w:rPr>
      </w:pPr>
    </w:p>
    <w:p w:rsidRPr="007E6FC1" w:rsidR="00DD0575" w:rsidP="00DD0575" w:rsidRDefault="00DD0575" w14:paraId="7FB6190E" w14:textId="77777777">
      <w:pPr>
        <w:spacing w:after="0"/>
        <w:rPr>
          <w:rFonts w:ascii="Century Gothic" w:hAnsi="Century Gothic" w:eastAsia="Geomanist Light" w:cs="Arial"/>
          <w:color w:val="000000" w:themeColor="text1"/>
          <w:lang w:val="es-MX"/>
        </w:rPr>
      </w:pPr>
    </w:p>
    <w:p w:rsidRPr="007E6FC1" w:rsidR="00DD0575" w:rsidP="00DD0575" w:rsidRDefault="00DD0575" w14:paraId="07EC1B56" w14:textId="77777777">
      <w:pPr>
        <w:spacing w:after="0"/>
        <w:rPr>
          <w:rFonts w:ascii="Century Gothic" w:hAnsi="Century Gothic" w:eastAsia="Geomanist Light" w:cs="Arial"/>
          <w:color w:val="000000" w:themeColor="text1"/>
          <w:lang w:val="es-MX"/>
        </w:rPr>
      </w:pPr>
    </w:p>
    <w:p w:rsidRPr="007E6FC1" w:rsidR="00DD0575" w:rsidP="00DD0575" w:rsidRDefault="00DD0575" w14:paraId="07E15F6D" w14:textId="77777777">
      <w:pPr>
        <w:spacing w:after="0"/>
        <w:rPr>
          <w:rFonts w:ascii="Century Gothic" w:hAnsi="Century Gothic" w:eastAsia="Geomanist Light" w:cs="Arial"/>
          <w:color w:val="000000" w:themeColor="text1"/>
          <w:lang w:val="es-MX"/>
        </w:rPr>
      </w:pPr>
    </w:p>
    <w:p w:rsidRPr="007E6FC1" w:rsidR="00DD0575" w:rsidP="00DD0575" w:rsidRDefault="00DD0575" w14:paraId="6C16A060" w14:textId="77777777">
      <w:pPr>
        <w:spacing w:after="0"/>
        <w:rPr>
          <w:rFonts w:ascii="Century Gothic" w:hAnsi="Century Gothic" w:eastAsia="Geomanist Light" w:cs="Arial"/>
          <w:color w:val="000000" w:themeColor="text1"/>
          <w:lang w:val="es-MX"/>
        </w:rPr>
      </w:pPr>
    </w:p>
    <w:p w:rsidRPr="007E6FC1" w:rsidR="00DD0575" w:rsidP="00DD0575" w:rsidRDefault="00DD0575" w14:paraId="3B138387" w14:textId="77777777">
      <w:pPr>
        <w:spacing w:after="0"/>
        <w:rPr>
          <w:rFonts w:ascii="Century Gothic" w:hAnsi="Century Gothic" w:eastAsia="Geomanist Light" w:cs="Arial"/>
          <w:color w:val="000000" w:themeColor="text1"/>
          <w:lang w:val="es-MX"/>
        </w:rPr>
      </w:pPr>
    </w:p>
    <w:p w:rsidRPr="007E6FC1" w:rsidR="00DD0575" w:rsidP="00DD0575" w:rsidRDefault="00DD0575" w14:paraId="76A9A73C" w14:textId="77777777">
      <w:pPr>
        <w:spacing w:after="0"/>
        <w:rPr>
          <w:rFonts w:ascii="Century Gothic" w:hAnsi="Century Gothic" w:eastAsia="Geomanist Light" w:cs="Arial"/>
          <w:color w:val="000000" w:themeColor="text1"/>
          <w:lang w:val="es-MX"/>
        </w:rPr>
      </w:pPr>
    </w:p>
    <w:p w:rsidRPr="007E6FC1" w:rsidR="00DD0575" w:rsidP="00DD0575" w:rsidRDefault="00DD0575" w14:paraId="658196CA" w14:textId="77777777">
      <w:pPr>
        <w:spacing w:after="0"/>
        <w:rPr>
          <w:rFonts w:ascii="Century Gothic" w:hAnsi="Century Gothic" w:eastAsia="Geomanist Light" w:cs="Arial"/>
          <w:color w:val="000000" w:themeColor="text1"/>
          <w:lang w:val="es-MX"/>
        </w:rPr>
      </w:pPr>
    </w:p>
    <w:p w:rsidRPr="007E6FC1" w:rsidR="00DD0575" w:rsidP="00DD0575" w:rsidRDefault="00DD0575" w14:paraId="3782B619" w14:textId="77777777">
      <w:pPr>
        <w:spacing w:after="0"/>
        <w:rPr>
          <w:rFonts w:ascii="Century Gothic" w:hAnsi="Century Gothic" w:eastAsia="Geomanist Light" w:cs="Arial"/>
          <w:color w:val="000000" w:themeColor="text1"/>
          <w:lang w:val="es-MX"/>
        </w:rPr>
      </w:pPr>
    </w:p>
    <w:p w:rsidRPr="007E6FC1" w:rsidR="00DD0575" w:rsidP="00DD0575" w:rsidRDefault="00DD0575" w14:paraId="2C90BA72" w14:textId="77777777">
      <w:pPr>
        <w:spacing w:after="0"/>
        <w:rPr>
          <w:rFonts w:ascii="Century Gothic" w:hAnsi="Century Gothic" w:eastAsia="Geomanist Light" w:cs="Arial"/>
          <w:color w:val="000000" w:themeColor="text1"/>
          <w:lang w:val="es-MX"/>
        </w:rPr>
      </w:pPr>
    </w:p>
    <w:p w:rsidRPr="007E6FC1" w:rsidR="00DD0575" w:rsidP="00DD0575" w:rsidRDefault="00DD0575" w14:paraId="474D6754" w14:textId="77777777">
      <w:pPr>
        <w:spacing w:after="0"/>
        <w:rPr>
          <w:rFonts w:ascii="Century Gothic" w:hAnsi="Century Gothic" w:eastAsia="Geomanist Light" w:cs="Arial"/>
          <w:color w:val="000000" w:themeColor="text1"/>
          <w:lang w:val="es-MX"/>
        </w:rPr>
      </w:pPr>
    </w:p>
    <w:p w:rsidR="00DD0575" w:rsidP="00DD0575" w:rsidRDefault="00DD0575" w14:paraId="7F81D907" w14:textId="77777777">
      <w:pPr>
        <w:spacing w:after="0"/>
        <w:rPr>
          <w:rFonts w:ascii="Century Gothic" w:hAnsi="Century Gothic" w:eastAsia="Geomanist Light" w:cs="Arial"/>
          <w:color w:val="000000" w:themeColor="text1"/>
          <w:lang w:val="es-MX"/>
        </w:rPr>
      </w:pPr>
    </w:p>
    <w:p w:rsidR="00DD0575" w:rsidP="00DD0575" w:rsidRDefault="00DD0575" w14:paraId="3428B1F4" w14:textId="77777777">
      <w:pPr>
        <w:spacing w:after="0"/>
        <w:rPr>
          <w:rFonts w:ascii="Century Gothic" w:hAnsi="Century Gothic" w:eastAsia="Geomanist Light" w:cs="Arial"/>
          <w:color w:val="000000" w:themeColor="text1"/>
          <w:lang w:val="es-MX"/>
        </w:rPr>
      </w:pPr>
    </w:p>
    <w:p w:rsidR="00DD0575" w:rsidP="00DD0575" w:rsidRDefault="00DD0575" w14:paraId="5DFECBE8" w14:textId="77777777">
      <w:pPr>
        <w:spacing w:after="0"/>
        <w:rPr>
          <w:rFonts w:ascii="Century Gothic" w:hAnsi="Century Gothic" w:eastAsia="Geomanist Light" w:cs="Arial"/>
          <w:color w:val="000000" w:themeColor="text1"/>
          <w:lang w:val="es-MX"/>
        </w:rPr>
      </w:pPr>
    </w:p>
    <w:p w:rsidR="00DD0575" w:rsidP="00DD0575" w:rsidRDefault="00DD0575" w14:paraId="6EFCCF0C" w14:textId="77777777">
      <w:pPr>
        <w:spacing w:after="0"/>
        <w:rPr>
          <w:rFonts w:ascii="Century Gothic" w:hAnsi="Century Gothic" w:eastAsia="Geomanist Light" w:cs="Arial"/>
          <w:color w:val="000000" w:themeColor="text1"/>
          <w:lang w:val="es-MX"/>
        </w:rPr>
      </w:pPr>
    </w:p>
    <w:p w:rsidR="00DD0575" w:rsidP="00DD0575" w:rsidRDefault="00DD0575" w14:paraId="588FB1ED" w14:textId="77777777">
      <w:pPr>
        <w:spacing w:after="0"/>
        <w:rPr>
          <w:rFonts w:ascii="Century Gothic" w:hAnsi="Century Gothic" w:eastAsia="Geomanist Light" w:cs="Arial"/>
          <w:color w:val="000000" w:themeColor="text1"/>
          <w:lang w:val="es-MX"/>
        </w:rPr>
      </w:pPr>
    </w:p>
    <w:p w:rsidR="00DD0575" w:rsidP="00DD0575" w:rsidRDefault="00DD0575" w14:paraId="57BC0319" w14:textId="77777777">
      <w:pPr>
        <w:spacing w:after="0"/>
        <w:rPr>
          <w:rFonts w:ascii="Century Gothic" w:hAnsi="Century Gothic" w:eastAsia="Geomanist Light" w:cs="Arial"/>
          <w:color w:val="000000" w:themeColor="text1"/>
          <w:lang w:val="es-MX"/>
        </w:rPr>
      </w:pPr>
    </w:p>
    <w:p w:rsidR="00DD0575" w:rsidP="00DD0575" w:rsidRDefault="00DD0575" w14:paraId="57BBDE74" w14:textId="77777777">
      <w:pPr>
        <w:spacing w:after="0"/>
        <w:rPr>
          <w:rFonts w:ascii="Century Gothic" w:hAnsi="Century Gothic" w:eastAsia="Geomanist Light" w:cs="Arial"/>
          <w:color w:val="000000" w:themeColor="text1"/>
          <w:lang w:val="es-MX"/>
        </w:rPr>
      </w:pPr>
    </w:p>
    <w:p w:rsidR="00DD0575" w:rsidP="00DD0575" w:rsidRDefault="00DD0575" w14:paraId="2A0F2395" w14:textId="77777777">
      <w:pPr>
        <w:spacing w:after="0"/>
        <w:rPr>
          <w:rFonts w:ascii="Century Gothic" w:hAnsi="Century Gothic" w:eastAsia="Geomanist Light" w:cs="Arial"/>
          <w:color w:val="000000" w:themeColor="text1"/>
          <w:lang w:val="es-MX"/>
        </w:rPr>
      </w:pPr>
    </w:p>
    <w:p w:rsidR="00DD0575" w:rsidP="00DD0575" w:rsidRDefault="00DD0575" w14:paraId="7A47CA7A" w14:textId="77777777">
      <w:pPr>
        <w:spacing w:after="0"/>
        <w:rPr>
          <w:rFonts w:ascii="Century Gothic" w:hAnsi="Century Gothic" w:eastAsia="Geomanist Light" w:cs="Arial"/>
          <w:color w:val="000000" w:themeColor="text1"/>
          <w:lang w:val="es-MX"/>
        </w:rPr>
      </w:pPr>
    </w:p>
    <w:p w:rsidR="00DD0575" w:rsidP="00DD0575" w:rsidRDefault="00DD0575" w14:paraId="51493876" w14:textId="77777777">
      <w:pPr>
        <w:spacing w:after="0"/>
        <w:rPr>
          <w:rFonts w:ascii="Century Gothic" w:hAnsi="Century Gothic" w:eastAsia="Geomanist Light" w:cs="Arial"/>
          <w:color w:val="000000" w:themeColor="text1"/>
          <w:lang w:val="es-MX"/>
        </w:rPr>
      </w:pPr>
    </w:p>
    <w:p w:rsidR="00DD0575" w:rsidP="00DD0575" w:rsidRDefault="00DD0575" w14:paraId="2915D0F7" w14:textId="77777777">
      <w:pPr>
        <w:spacing w:after="0"/>
        <w:rPr>
          <w:rFonts w:ascii="Century Gothic" w:hAnsi="Century Gothic" w:eastAsia="Geomanist Light" w:cs="Arial"/>
          <w:color w:val="000000" w:themeColor="text1"/>
          <w:lang w:val="es-MX"/>
        </w:rPr>
      </w:pPr>
    </w:p>
    <w:p w:rsidR="00DD0575" w:rsidP="00DD0575" w:rsidRDefault="00DD0575" w14:paraId="6FE3B587" w14:textId="77777777">
      <w:pPr>
        <w:spacing w:after="0"/>
        <w:rPr>
          <w:rFonts w:ascii="Century Gothic" w:hAnsi="Century Gothic" w:eastAsia="Geomanist Light" w:cs="Arial"/>
          <w:color w:val="000000" w:themeColor="text1"/>
          <w:lang w:val="es-MX"/>
        </w:rPr>
      </w:pPr>
    </w:p>
    <w:p w:rsidRPr="007E6FC1" w:rsidR="00DD0575" w:rsidP="00DD0575" w:rsidRDefault="00DD0575" w14:paraId="662F7063" w14:textId="77777777">
      <w:pPr>
        <w:spacing w:after="0"/>
        <w:rPr>
          <w:rFonts w:ascii="Century Gothic" w:hAnsi="Century Gothic" w:eastAsia="Geomanist Light" w:cs="Arial"/>
          <w:color w:val="000000" w:themeColor="text1"/>
          <w:lang w:val="es-MX"/>
        </w:rPr>
      </w:pPr>
    </w:p>
    <w:p w:rsidR="00DD0575" w:rsidP="00DD0575" w:rsidRDefault="00DD0575" w14:paraId="336FE7BE" w14:textId="77777777">
      <w:pPr>
        <w:spacing w:after="0"/>
        <w:rPr>
          <w:rFonts w:ascii="Century Gothic" w:hAnsi="Century Gothic" w:eastAsia="Geomanist Light" w:cs="Arial"/>
          <w:color w:val="000000" w:themeColor="text1"/>
          <w:lang w:val="es-MX"/>
        </w:rPr>
      </w:pPr>
    </w:p>
    <w:p w:rsidRPr="007E6FC1" w:rsidR="00DD0575" w:rsidP="00DD0575" w:rsidRDefault="00DD0575" w14:paraId="70DBC5F6" w14:textId="77777777">
      <w:pPr>
        <w:spacing w:after="0"/>
        <w:rPr>
          <w:rFonts w:ascii="Century Gothic" w:hAnsi="Century Gothic" w:eastAsia="Geomanist Light" w:cs="Arial"/>
          <w:color w:val="201F1E"/>
          <w:lang w:val="es-MX"/>
        </w:rPr>
      </w:pPr>
      <w:r w:rsidRPr="007E6FC1">
        <w:rPr>
          <w:rFonts w:ascii="Arial" w:hAnsi="Arial" w:cs="Arial"/>
          <w:color w:val="000000"/>
          <w:shd w:val="clear" w:color="auto" w:fill="FFFFFF"/>
        </w:rPr>
        <w:t>Bogotá D.C., [Día] de [</w:t>
      </w:r>
      <w:proofErr w:type="spellStart"/>
      <w:r w:rsidRPr="007E6FC1">
        <w:rPr>
          <w:rFonts w:ascii="Arial" w:hAnsi="Arial" w:cs="Arial"/>
          <w:color w:val="000000"/>
          <w:shd w:val="clear" w:color="auto" w:fill="FFFFFF"/>
        </w:rPr>
        <w:t>Mes.NombreCapitalizado</w:t>
      </w:r>
      <w:proofErr w:type="spellEnd"/>
      <w:r w:rsidRPr="007E6FC1">
        <w:rPr>
          <w:rFonts w:ascii="Arial" w:hAnsi="Arial" w:cs="Arial"/>
          <w:color w:val="000000"/>
          <w:shd w:val="clear" w:color="auto" w:fill="FFFFFF"/>
        </w:rPr>
        <w:t>] de [Año]</w:t>
      </w:r>
      <w:r w:rsidRPr="007E6FC1">
        <w:rPr>
          <w:rFonts w:ascii="Calibri" w:hAnsi="Calibri" w:cs="Calibri"/>
          <w:color w:val="000000"/>
          <w:shd w:val="clear" w:color="auto" w:fill="FFFFFF"/>
        </w:rPr>
        <w:tab/>
      </w:r>
      <w:r w:rsidRPr="007E6FC1">
        <w:rPr>
          <w:rFonts w:ascii="Arial" w:hAnsi="Arial" w:cs="Arial"/>
          <w:color w:val="000000"/>
          <w:shd w:val="clear" w:color="auto" w:fill="FFFFFF"/>
        </w:rPr>
        <w:t> </w:t>
      </w:r>
      <w:r w:rsidRPr="007E6FC1">
        <w:rPr>
          <w:rFonts w:ascii="Arial" w:hAnsi="Arial" w:cs="Arial"/>
          <w:color w:val="201F1E"/>
          <w:shd w:val="clear" w:color="auto" w:fill="FFFFFF"/>
        </w:rPr>
        <w:t>      </w:t>
      </w:r>
      <w:r w:rsidRPr="007E6FC1">
        <w:rPr>
          <w:rFonts w:ascii="Century Gothic" w:hAnsi="Century Gothic" w:eastAsia="Geomanist Light" w:cs="Arial"/>
          <w:color w:val="201F1E"/>
          <w:lang w:val="es-MX"/>
        </w:rPr>
        <w:cr/>
      </w:r>
    </w:p>
    <w:p w:rsidR="00DD0575" w:rsidP="00DD0575" w:rsidRDefault="00DD0575" w14:paraId="3A465671" w14:textId="77777777">
      <w:pPr>
        <w:spacing w:after="0"/>
        <w:contextualSpacing/>
        <w:jc w:val="both"/>
        <w:rPr>
          <w:rFonts w:ascii="Century Gothic" w:hAnsi="Century Gothic" w:eastAsia="Calibri" w:cs="Arial"/>
          <w:lang w:val="es-ES_tradnl" w:eastAsia="es-ES_tradnl"/>
        </w:rPr>
      </w:pPr>
    </w:p>
    <w:p w:rsidRPr="007E6FC1" w:rsidR="00E6620D" w:rsidP="00E6620D" w:rsidRDefault="00E6620D" w14:paraId="50388FAA" w14:textId="535BC1EE">
      <w:pPr>
        <w:spacing w:after="0"/>
        <w:contextualSpacing/>
        <w:jc w:val="right"/>
        <w:rPr>
          <w:rFonts w:ascii="Century Gothic" w:hAnsi="Century Gothic" w:eastAsia="Calibri" w:cs="Arial"/>
          <w:lang w:val="es-ES_tradnl" w:eastAsia="es-ES_tradnl"/>
        </w:rPr>
      </w:pPr>
      <w:r w:rsidRPr="00E6620D">
        <w:rPr>
          <w:rFonts w:ascii="Century Gothic" w:hAnsi="Century Gothic" w:eastAsia="Calibri" w:cs="Arial"/>
          <w:lang w:val="es-ES_tradnl" w:eastAsia="es-ES_tradnl"/>
        </w:rPr>
        <w:drawing>
          <wp:inline distT="0" distB="0" distL="0" distR="0" wp14:anchorId="022B9850" wp14:editId="5D7EE82A">
            <wp:extent cx="3315163" cy="1038370"/>
            <wp:effectExtent l="0" t="0" r="0" b="9525"/>
            <wp:docPr id="21319061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06193" name=""/>
                    <pic:cNvPicPr/>
                  </pic:nvPicPr>
                  <pic:blipFill>
                    <a:blip r:embed="rId10"/>
                    <a:stretch>
                      <a:fillRect/>
                    </a:stretch>
                  </pic:blipFill>
                  <pic:spPr>
                    <a:xfrm>
                      <a:off x="0" y="0"/>
                      <a:ext cx="3315163" cy="1038370"/>
                    </a:xfrm>
                    <a:prstGeom prst="rect">
                      <a:avLst/>
                    </a:prstGeom>
                  </pic:spPr>
                </pic:pic>
              </a:graphicData>
            </a:graphic>
          </wp:inline>
        </w:drawing>
      </w:r>
    </w:p>
    <w:p w:rsidRPr="007E6FC1" w:rsidR="00DD0575" w:rsidP="00DD0575" w:rsidRDefault="00DD0575" w14:paraId="376F126E" w14:textId="77777777">
      <w:pPr>
        <w:contextualSpacing/>
        <w:jc w:val="both"/>
        <w:rPr>
          <w:rFonts w:ascii="Century Gothic" w:hAnsi="Century Gothic" w:eastAsia="Calibri" w:cs="Arial"/>
          <w:lang w:eastAsia="es-ES_tradnl"/>
        </w:rPr>
      </w:pPr>
      <w:r w:rsidRPr="007E6FC1">
        <w:rPr>
          <w:rFonts w:ascii="Century Gothic" w:hAnsi="Century Gothic" w:eastAsia="Calibri" w:cs="Arial"/>
          <w:lang w:eastAsia="es-ES_tradnl"/>
        </w:rPr>
        <w:t>Señor</w:t>
      </w:r>
    </w:p>
    <w:p w:rsidRPr="007E6FC1" w:rsidR="00DD0575" w:rsidP="00DD0575" w:rsidRDefault="00DD0575" w14:paraId="3B22D696" w14:textId="77777777">
      <w:pPr>
        <w:contextualSpacing/>
        <w:jc w:val="both"/>
        <w:rPr>
          <w:rFonts w:ascii="Century Gothic" w:hAnsi="Century Gothic" w:eastAsia="Calibri" w:cs="Arial"/>
          <w:b/>
          <w:lang w:eastAsia="es-ES_tradnl"/>
        </w:rPr>
      </w:pPr>
      <w:r w:rsidRPr="007E6FC1">
        <w:rPr>
          <w:rFonts w:ascii="Century Gothic" w:hAnsi="Century Gothic" w:eastAsia="Calibri" w:cs="Arial"/>
          <w:b/>
          <w:lang w:eastAsia="es-ES_tradnl"/>
        </w:rPr>
        <w:t>Jaime Vanegas Bernal</w:t>
      </w:r>
    </w:p>
    <w:p w:rsidRPr="007E6FC1" w:rsidR="00DD0575" w:rsidP="00DD0575" w:rsidRDefault="00DD0575" w14:paraId="428EFD0D" w14:textId="77777777">
      <w:pPr>
        <w:contextualSpacing/>
        <w:jc w:val="both"/>
        <w:rPr>
          <w:rFonts w:ascii="Century Gothic" w:hAnsi="Century Gothic"/>
        </w:rPr>
      </w:pPr>
      <w:hyperlink w:history="1" r:id="rId11">
        <w:r w:rsidRPr="007E6FC1">
          <w:rPr>
            <w:rFonts w:ascii="Century Gothic" w:hAnsi="Century Gothic"/>
            <w:color w:val="0563C1" w:themeColor="hyperlink"/>
            <w:u w:val="single"/>
          </w:rPr>
          <w:t>vanegas.leins@gmail.com</w:t>
        </w:r>
      </w:hyperlink>
      <w:r w:rsidRPr="007E6FC1">
        <w:rPr>
          <w:rFonts w:ascii="Century Gothic" w:hAnsi="Century Gothic"/>
        </w:rPr>
        <w:t xml:space="preserve"> </w:t>
      </w:r>
    </w:p>
    <w:p w:rsidRPr="007E6FC1" w:rsidR="00DD0575" w:rsidP="00DD0575" w:rsidRDefault="00DD0575" w14:paraId="028EBD49" w14:textId="77777777">
      <w:pPr>
        <w:contextualSpacing/>
        <w:jc w:val="both"/>
        <w:rPr>
          <w:rFonts w:ascii="Century Gothic" w:hAnsi="Century Gothic" w:eastAsia="Calibri" w:cs="Arial"/>
          <w:bCs/>
          <w:lang w:eastAsia="es-ES_tradnl"/>
        </w:rPr>
      </w:pPr>
      <w:r w:rsidRPr="007E6FC1">
        <w:rPr>
          <w:rFonts w:ascii="Century Gothic" w:hAnsi="Century Gothic" w:eastAsia="Geomanist Light" w:cs="Arial"/>
          <w:color w:val="000000" w:themeColor="text1"/>
          <w:lang w:val="es-MX"/>
        </w:rPr>
        <w:t>Madrid, Cundinamarca</w:t>
      </w:r>
    </w:p>
    <w:p w:rsidRPr="007E6FC1" w:rsidR="00DD0575" w:rsidP="00DD0575" w:rsidRDefault="00DD0575" w14:paraId="390039AA" w14:textId="77777777">
      <w:pPr>
        <w:contextualSpacing/>
        <w:jc w:val="both"/>
        <w:rPr>
          <w:rFonts w:ascii="Century Gothic" w:hAnsi="Century Gothic" w:eastAsia="Calibri" w:cs="Arial"/>
          <w:lang w:val="es-ES_tradnl" w:eastAsia="es-ES_tradnl"/>
        </w:rPr>
      </w:pPr>
    </w:p>
    <w:p w:rsidRPr="007E6FC1" w:rsidR="00DD0575" w:rsidP="00DD0575" w:rsidRDefault="00DD0575" w14:paraId="58B105AD" w14:textId="77777777">
      <w:pPr>
        <w:contextualSpacing/>
        <w:rPr>
          <w:rFonts w:ascii="Century Gothic" w:hAnsi="Century Gothic" w:eastAsia="Calibri" w:cs="Arial"/>
          <w:b/>
          <w:bCs/>
          <w:lang w:val="es-ES_tradnl" w:eastAsia="es-ES_tradnl"/>
        </w:rPr>
      </w:pPr>
    </w:p>
    <w:p w:rsidRPr="007E6FC1" w:rsidR="00DD0575" w:rsidP="00DD0575" w:rsidRDefault="00DD0575" w14:paraId="1A33A34E" w14:textId="77777777">
      <w:pPr>
        <w:ind w:left="2124" w:firstLine="570"/>
        <w:contextualSpacing/>
        <w:rPr>
          <w:rFonts w:ascii="Century Gothic" w:hAnsi="Century Gothic" w:eastAsia="Calibri" w:cs="Arial"/>
          <w:b/>
          <w:bCs/>
          <w:lang w:val="es-ES_tradnl" w:eastAsia="es-ES_tradnl"/>
        </w:rPr>
      </w:pPr>
      <w:r w:rsidRPr="007E6FC1">
        <w:rPr>
          <w:rFonts w:ascii="Century Gothic" w:hAnsi="Century Gothic" w:eastAsia="Calibri" w:cs="Arial"/>
          <w:b/>
          <w:bCs/>
          <w:lang w:val="es-ES_tradnl" w:eastAsia="es-ES_tradnl"/>
        </w:rPr>
        <w:t>Concepto C – 463 de 2023</w:t>
      </w:r>
    </w:p>
    <w:p w:rsidRPr="007E6FC1" w:rsidR="00DD0575" w:rsidP="00DD0575" w:rsidRDefault="00DD0575" w14:paraId="4A0C9890" w14:textId="77777777">
      <w:pPr>
        <w:contextualSpacing/>
        <w:jc w:val="both"/>
        <w:rPr>
          <w:rFonts w:ascii="Century Gothic" w:hAnsi="Century Gothic" w:eastAsia="Calibri" w:cs="Arial"/>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7E6FC1" w:rsidR="00DD0575" w:rsidTr="008369E7" w14:paraId="220F2598" w14:textId="77777777">
        <w:tc>
          <w:tcPr>
            <w:tcW w:w="2689" w:type="dxa"/>
          </w:tcPr>
          <w:p w:rsidRPr="007E6FC1" w:rsidR="00DD0575" w:rsidP="008369E7" w:rsidRDefault="00DD0575" w14:paraId="6045B31D" w14:textId="77777777">
            <w:pPr>
              <w:contextualSpacing/>
              <w:jc w:val="both"/>
              <w:rPr>
                <w:rFonts w:ascii="Century Gothic" w:hAnsi="Century Gothic" w:eastAsia="Calibri" w:cs="Arial"/>
                <w:lang w:val="es-ES_tradnl" w:eastAsia="es-ES_tradnl"/>
              </w:rPr>
            </w:pPr>
            <w:r w:rsidRPr="007E6FC1">
              <w:rPr>
                <w:rFonts w:ascii="Century Gothic" w:hAnsi="Century Gothic" w:eastAsia="Calibri" w:cs="Arial"/>
                <w:b/>
                <w:lang w:val="es-ES_tradnl" w:eastAsia="es-ES_tradnl"/>
              </w:rPr>
              <w:t>Temas:</w:t>
            </w:r>
            <w:r w:rsidRPr="007E6FC1">
              <w:rPr>
                <w:rFonts w:ascii="Century Gothic" w:hAnsi="Century Gothic" w:eastAsia="Calibri" w:cs="Arial"/>
                <w:lang w:val="es-ES_tradnl" w:eastAsia="es-ES_tradnl"/>
              </w:rPr>
              <w:t xml:space="preserve">                                      </w:t>
            </w:r>
          </w:p>
        </w:tc>
        <w:tc>
          <w:tcPr>
            <w:tcW w:w="6237" w:type="dxa"/>
          </w:tcPr>
          <w:p w:rsidRPr="007E6FC1" w:rsidR="00DD0575" w:rsidP="008369E7" w:rsidRDefault="00DD0575" w14:paraId="6CF54177" w14:textId="77777777">
            <w:pPr>
              <w:spacing w:after="120"/>
              <w:contextualSpacing/>
              <w:jc w:val="both"/>
              <w:rPr>
                <w:rFonts w:ascii="Century Gothic" w:hAnsi="Century Gothic" w:eastAsia="Calibri" w:cs="Arial"/>
                <w:bCs/>
                <w:lang w:val="es-ES_tradnl" w:eastAsia="es-ES_tradnl"/>
              </w:rPr>
            </w:pPr>
            <w:r w:rsidRPr="007E6FC1">
              <w:rPr>
                <w:rFonts w:ascii="Century Gothic" w:hAnsi="Century Gothic" w:eastAsia="Calibri" w:cs="Arial"/>
                <w:bCs/>
                <w:lang w:val="es-ES_tradnl" w:eastAsia="es-ES_tradnl"/>
              </w:rPr>
              <w:t>CONTRATOS DE PRESTACIÓN DE SERVICIOS – Generalidades / CONTRATOS DE PRESTACIÓN DE SERVICIOS – Autonomía del contratista / CONTRATOS DE PRESTACIÓN DE SERVICIOS – Temporalidad /</w:t>
            </w:r>
            <w:r w:rsidRPr="007E6FC1">
              <w:t xml:space="preserve"> </w:t>
            </w:r>
            <w:r w:rsidRPr="007E6FC1">
              <w:rPr>
                <w:rFonts w:ascii="Century Gothic" w:hAnsi="Century Gothic" w:eastAsia="Calibri" w:cs="Arial"/>
                <w:bCs/>
                <w:lang w:val="es-ES_tradnl" w:eastAsia="es-ES_tradnl"/>
              </w:rPr>
              <w:t>ADICIÓN – Concepto – Distintos supuestos – Prohibición – Adición en más del 50% /</w:t>
            </w:r>
            <w:r w:rsidRPr="007E6FC1">
              <w:t xml:space="preserve"> </w:t>
            </w:r>
            <w:r w:rsidRPr="007E6FC1">
              <w:rPr>
                <w:rFonts w:ascii="Century Gothic" w:hAnsi="Century Gothic" w:eastAsia="Calibri" w:cs="Arial"/>
                <w:bCs/>
                <w:lang w:val="es-ES_tradnl" w:eastAsia="es-ES_tradnl"/>
              </w:rPr>
              <w:t xml:space="preserve">ADICIÓN – Prohibición – Monto – Cálculo – Parágrafo artículo 40 – Ley 80 de 1993 / ESTABILIDAD LABORAL REFORZADA DE MUJER EMBARAZADA – Concepto / ESTABILIDAD LABORAL REFORZADA DE MUJER EMBARAZADA – Unificación jurisprudencial / ESTABILIDAD LABORAL REFORZADA DE MUJER EMBARAZADA – Procedencia </w:t>
            </w:r>
          </w:p>
          <w:p w:rsidRPr="007E6FC1" w:rsidR="00DD0575" w:rsidP="008369E7" w:rsidRDefault="00DD0575" w14:paraId="17DD5B95" w14:textId="77777777">
            <w:pPr>
              <w:spacing w:after="120"/>
              <w:contextualSpacing/>
              <w:jc w:val="both"/>
              <w:rPr>
                <w:rFonts w:ascii="Century Gothic" w:hAnsi="Century Gothic" w:eastAsia="Calibri" w:cs="Arial"/>
                <w:bCs/>
                <w:sz w:val="12"/>
                <w:szCs w:val="12"/>
                <w:lang w:val="es-ES_tradnl" w:eastAsia="es-ES_tradnl"/>
              </w:rPr>
            </w:pPr>
          </w:p>
        </w:tc>
      </w:tr>
      <w:tr w:rsidRPr="007E6FC1" w:rsidR="00DD0575" w:rsidTr="008369E7" w14:paraId="43816D2E" w14:textId="77777777">
        <w:trPr>
          <w:trHeight w:val="227"/>
        </w:trPr>
        <w:tc>
          <w:tcPr>
            <w:tcW w:w="2689" w:type="dxa"/>
          </w:tcPr>
          <w:p w:rsidRPr="007E6FC1" w:rsidR="00DD0575" w:rsidP="008369E7" w:rsidRDefault="00DD0575" w14:paraId="3A21F01E" w14:textId="77777777">
            <w:pPr>
              <w:contextualSpacing/>
              <w:jc w:val="both"/>
              <w:rPr>
                <w:rFonts w:ascii="Century Gothic" w:hAnsi="Century Gothic" w:eastAsia="Calibri" w:cs="Arial"/>
                <w:b/>
                <w:lang w:val="es-ES_tradnl" w:eastAsia="es-ES_tradnl"/>
              </w:rPr>
            </w:pPr>
            <w:r w:rsidRPr="007E6FC1">
              <w:rPr>
                <w:rFonts w:ascii="Century Gothic" w:hAnsi="Century Gothic" w:eastAsia="Calibri" w:cs="Arial"/>
                <w:b/>
                <w:lang w:val="es-ES_tradnl" w:eastAsia="es-ES_tradnl"/>
              </w:rPr>
              <w:t>Radicación:</w:t>
            </w:r>
            <w:r w:rsidRPr="007E6FC1">
              <w:rPr>
                <w:rFonts w:ascii="Century Gothic" w:hAnsi="Century Gothic" w:eastAsia="Calibri" w:cs="Arial"/>
                <w:lang w:val="es-ES_tradnl" w:eastAsia="es-ES_tradnl"/>
              </w:rPr>
              <w:t xml:space="preserve">                             </w:t>
            </w:r>
          </w:p>
        </w:tc>
        <w:tc>
          <w:tcPr>
            <w:tcW w:w="6237" w:type="dxa"/>
          </w:tcPr>
          <w:p w:rsidRPr="007E6FC1" w:rsidR="00DD0575" w:rsidP="008369E7" w:rsidRDefault="00DD0575" w14:paraId="430575B5" w14:textId="77777777">
            <w:pPr>
              <w:contextualSpacing/>
              <w:jc w:val="both"/>
              <w:rPr>
                <w:rFonts w:ascii="Century Gothic" w:hAnsi="Century Gothic" w:eastAsia="Calibri" w:cs="Arial"/>
                <w:lang w:val="es-ES_tradnl" w:eastAsia="es-ES_tradnl"/>
              </w:rPr>
            </w:pPr>
            <w:r w:rsidRPr="007E6FC1">
              <w:rPr>
                <w:rFonts w:ascii="Century Gothic" w:hAnsi="Century Gothic" w:eastAsia="Calibri" w:cs="Arial"/>
                <w:lang w:val="es-ES_tradnl" w:eastAsia="es-ES_tradnl"/>
              </w:rPr>
              <w:t>Respuesta a consulta P20231019016147</w:t>
            </w:r>
            <w:r w:rsidRPr="007E6FC1">
              <w:rPr>
                <w:rFonts w:ascii="Century Gothic" w:hAnsi="Century Gothic" w:eastAsia="Calibri" w:cs="Arial"/>
                <w:lang w:val="es-ES_tradnl" w:eastAsia="es-ES_tradnl"/>
              </w:rPr>
              <w:tab/>
            </w:r>
            <w:r w:rsidRPr="007E6FC1">
              <w:rPr>
                <w:rFonts w:ascii="Century Gothic" w:hAnsi="Century Gothic" w:eastAsia="Calibri" w:cs="Arial"/>
                <w:lang w:val="es-ES_tradnl" w:eastAsia="es-ES_tradnl"/>
              </w:rPr>
              <w:tab/>
            </w:r>
          </w:p>
        </w:tc>
      </w:tr>
    </w:tbl>
    <w:p w:rsidRPr="007E6FC1" w:rsidR="00DD0575" w:rsidP="00DD0575" w:rsidRDefault="00DD0575" w14:paraId="5746620A" w14:textId="77777777">
      <w:pPr>
        <w:contextualSpacing/>
        <w:jc w:val="both"/>
        <w:rPr>
          <w:rFonts w:ascii="Century Gothic" w:hAnsi="Century Gothic" w:eastAsia="Calibri" w:cs="Arial"/>
          <w:lang w:val="es-ES_tradnl" w:eastAsia="es-ES_tradnl"/>
        </w:rPr>
      </w:pPr>
    </w:p>
    <w:p w:rsidRPr="007E6FC1" w:rsidR="00DD0575" w:rsidP="00DD0575" w:rsidRDefault="00DD0575" w14:paraId="422BFBCA" w14:textId="77777777">
      <w:pPr>
        <w:contextualSpacing/>
        <w:jc w:val="both"/>
        <w:rPr>
          <w:rFonts w:ascii="Century Gothic" w:hAnsi="Century Gothic" w:eastAsia="Calibri" w:cs="Arial"/>
          <w:lang w:val="es-ES_tradnl" w:eastAsia="es-ES_tradnl"/>
        </w:rPr>
      </w:pPr>
    </w:p>
    <w:p w:rsidRPr="007E6FC1" w:rsidR="00DD0575" w:rsidP="00DD0575" w:rsidRDefault="00DD0575" w14:paraId="2C674C46" w14:textId="77777777">
      <w:pPr>
        <w:contextualSpacing/>
        <w:jc w:val="both"/>
        <w:rPr>
          <w:rFonts w:ascii="Century Gothic" w:hAnsi="Century Gothic" w:eastAsia="Calibri" w:cs="Arial"/>
          <w:lang w:val="es-ES" w:eastAsia="es-ES"/>
        </w:rPr>
      </w:pPr>
      <w:r w:rsidRPr="007E6FC1">
        <w:rPr>
          <w:rFonts w:ascii="Century Gothic" w:hAnsi="Century Gothic" w:eastAsia="Calibri" w:cs="Arial"/>
          <w:lang w:val="es-ES" w:eastAsia="es-ES"/>
        </w:rPr>
        <w:t>Estimado señor Vanegas:</w:t>
      </w:r>
    </w:p>
    <w:p w:rsidRPr="007E6FC1" w:rsidR="00DD0575" w:rsidP="00DD0575" w:rsidRDefault="00DD0575" w14:paraId="11E5F5BF" w14:textId="77777777">
      <w:pPr>
        <w:spacing w:line="276" w:lineRule="auto"/>
        <w:contextualSpacing/>
        <w:jc w:val="both"/>
        <w:rPr>
          <w:rFonts w:ascii="Century Gothic" w:hAnsi="Century Gothic" w:eastAsia="Calibri" w:cs="Arial"/>
          <w:szCs w:val="24"/>
          <w:lang w:val="es-ES_tradnl" w:eastAsia="es-ES_tradnl"/>
        </w:rPr>
      </w:pPr>
    </w:p>
    <w:bookmarkEnd w:id="0"/>
    <w:bookmarkEnd w:id="1"/>
    <w:p w:rsidRPr="007E6FC1" w:rsidR="00DD0575" w:rsidP="00DD0575" w:rsidRDefault="00DD0575" w14:paraId="3E114B79" w14:textId="77777777">
      <w:pPr>
        <w:spacing w:after="0" w:line="276" w:lineRule="auto"/>
        <w:jc w:val="both"/>
        <w:rPr>
          <w:rFonts w:ascii="Century Gothic" w:hAnsi="Century Gothic" w:eastAsia="Calibri" w:cs="Arial"/>
          <w:color w:val="000000" w:themeColor="text1"/>
          <w:lang w:val="es-ES_tradnl"/>
        </w:rPr>
      </w:pPr>
      <w:r w:rsidRPr="007E6FC1">
        <w:rPr>
          <w:rFonts w:ascii="Century Gothic" w:hAnsi="Century Gothic" w:eastAsia="Calibri" w:cs="Arial"/>
          <w:color w:val="000000" w:themeColor="text1"/>
          <w:lang w:val="es-ES_tradnl"/>
        </w:rPr>
        <w:t>En ejercicio de la competencia otorgada por el numeral 8 del artículo 11 y el numeral 5 del artículo 3 del Decreto Ley 4170 de 2011</w:t>
      </w:r>
      <w:bookmarkStart w:name="_Hlk99120496" w:id="3"/>
      <w:r w:rsidRPr="007E6FC1">
        <w:rPr>
          <w:rFonts w:ascii="Century Gothic" w:hAnsi="Century Gothic" w:eastAsia="Arial MT" w:cs="Arial MT"/>
          <w:lang w:val="es-ES"/>
        </w:rPr>
        <w:t xml:space="preserve">, </w:t>
      </w:r>
      <w:bookmarkEnd w:id="3"/>
      <w:r w:rsidRPr="007E6FC1">
        <w:rPr>
          <w:rFonts w:ascii="Century Gothic" w:hAnsi="Century Gothic" w:eastAsia="Calibri" w:cs="Arial"/>
          <w:color w:val="000000" w:themeColor="text1"/>
          <w:lang w:val="es-ES_tradnl"/>
        </w:rPr>
        <w:t>la Agencia Nacional de Contratación Pública – Colombia Compra Eficiente responde su consulta recibida el 19 de octubre de 2023.</w:t>
      </w:r>
    </w:p>
    <w:p w:rsidRPr="007E6FC1" w:rsidR="00DD0575" w:rsidP="00DD0575" w:rsidRDefault="00DD0575" w14:paraId="38892571" w14:textId="77777777">
      <w:pPr>
        <w:spacing w:after="0" w:line="276" w:lineRule="auto"/>
        <w:jc w:val="both"/>
        <w:rPr>
          <w:rFonts w:ascii="Century Gothic" w:hAnsi="Century Gothic" w:eastAsia="Calibri" w:cs="Arial"/>
          <w:b/>
          <w:color w:val="000000" w:themeColor="text1"/>
          <w:lang w:val="es-ES_tradnl"/>
        </w:rPr>
      </w:pPr>
    </w:p>
    <w:p w:rsidRPr="007E6FC1" w:rsidR="00DD0575" w:rsidP="00DD0575" w:rsidRDefault="00DD0575" w14:paraId="006E3AA5" w14:textId="77777777">
      <w:pPr>
        <w:numPr>
          <w:ilvl w:val="0"/>
          <w:numId w:val="1"/>
        </w:numPr>
        <w:tabs>
          <w:tab w:val="left" w:pos="0"/>
          <w:tab w:val="left" w:pos="142"/>
          <w:tab w:val="left" w:pos="284"/>
        </w:tabs>
        <w:spacing w:after="0" w:line="276" w:lineRule="auto"/>
        <w:ind w:left="0" w:firstLine="0"/>
        <w:contextualSpacing/>
        <w:jc w:val="both"/>
        <w:rPr>
          <w:rFonts w:ascii="Century Gothic" w:hAnsi="Century Gothic" w:eastAsia="Calibri" w:cs="Arial"/>
          <w:b/>
          <w:color w:val="000000" w:themeColor="text1"/>
          <w:lang w:val="es-ES_tradnl"/>
        </w:rPr>
      </w:pPr>
      <w:r w:rsidRPr="007E6FC1">
        <w:rPr>
          <w:rFonts w:ascii="Century Gothic" w:hAnsi="Century Gothic" w:eastAsia="Calibri" w:cs="Arial"/>
          <w:b/>
          <w:color w:val="000000" w:themeColor="text1"/>
          <w:lang w:val="es-ES_tradnl"/>
        </w:rPr>
        <w:t xml:space="preserve">Problemas planteados </w:t>
      </w:r>
    </w:p>
    <w:p w:rsidRPr="007E6FC1" w:rsidR="00DD0575" w:rsidP="00DD0575" w:rsidRDefault="00DD0575" w14:paraId="1FCC7036" w14:textId="77777777">
      <w:pPr>
        <w:tabs>
          <w:tab w:val="left" w:pos="426"/>
        </w:tabs>
        <w:spacing w:after="0" w:line="276" w:lineRule="auto"/>
        <w:jc w:val="both"/>
        <w:rPr>
          <w:rFonts w:ascii="Century Gothic" w:hAnsi="Century Gothic" w:eastAsia="Calibri" w:cs="Arial"/>
          <w:b/>
          <w:color w:val="000000" w:themeColor="text1"/>
          <w:lang w:val="es-ES_tradnl"/>
        </w:rPr>
      </w:pPr>
    </w:p>
    <w:p w:rsidRPr="007E6FC1" w:rsidR="00DD0575" w:rsidP="00DD0575" w:rsidRDefault="00DD0575" w14:paraId="00F977CD" w14:textId="77777777">
      <w:pPr>
        <w:spacing w:after="0" w:line="276" w:lineRule="auto"/>
        <w:jc w:val="both"/>
        <w:rPr>
          <w:rFonts w:ascii="Century Gothic" w:hAnsi="Century Gothic" w:cs="Arial"/>
          <w:color w:val="000000" w:themeColor="text1"/>
          <w:lang w:val="es-ES_tradnl"/>
        </w:rPr>
      </w:pPr>
      <w:r w:rsidRPr="007E6FC1">
        <w:rPr>
          <w:rFonts w:ascii="Century Gothic" w:hAnsi="Century Gothic" w:cs="Arial"/>
          <w:color w:val="000000" w:themeColor="text1"/>
          <w:lang w:val="es-ES_tradnl"/>
        </w:rPr>
        <w:t xml:space="preserve">Usted realiza la siguiente consulta: </w:t>
      </w:r>
    </w:p>
    <w:p w:rsidRPr="007E6FC1" w:rsidR="00DD0575" w:rsidP="00DD0575" w:rsidRDefault="00DD0575" w14:paraId="7D75AA94" w14:textId="77777777">
      <w:pPr>
        <w:spacing w:after="0" w:line="276" w:lineRule="auto"/>
        <w:jc w:val="both"/>
        <w:rPr>
          <w:rFonts w:ascii="Century Gothic" w:hAnsi="Century Gothic" w:cs="Arial"/>
          <w:color w:val="000000" w:themeColor="text1"/>
          <w:lang w:val="es-ES_tradnl"/>
        </w:rPr>
      </w:pPr>
    </w:p>
    <w:p w:rsidRPr="007E6FC1" w:rsidR="00DD0575" w:rsidP="00DD0575" w:rsidRDefault="00DD0575" w14:paraId="261DF3AE" w14:textId="77777777">
      <w:pPr>
        <w:spacing w:after="0" w:line="240" w:lineRule="auto"/>
        <w:ind w:left="709" w:right="709"/>
        <w:jc w:val="both"/>
        <w:rPr>
          <w:rFonts w:ascii="Century Gothic" w:hAnsi="Century Gothic" w:cs="Arial"/>
          <w:color w:val="000000" w:themeColor="text1"/>
          <w:sz w:val="21"/>
          <w:szCs w:val="21"/>
          <w:lang w:val="es-ES_tradnl"/>
        </w:rPr>
      </w:pPr>
      <w:r w:rsidRPr="007E6FC1">
        <w:rPr>
          <w:rFonts w:ascii="Century Gothic" w:hAnsi="Century Gothic" w:cs="Arial"/>
          <w:color w:val="000000" w:themeColor="text1"/>
          <w:sz w:val="21"/>
          <w:szCs w:val="21"/>
          <w:lang w:val="es-ES_tradnl"/>
        </w:rPr>
        <w:t>“Existe una contratista -prestación de servicios profesionales- en estado de embarazo con un periodo de gestación de 4 meses, que requiere que la entidad le garantice la calidad reforzada y por ende se solicita se resuelva el proceder correcto de la entidad según estas dos preguntas:</w:t>
      </w:r>
    </w:p>
    <w:p w:rsidRPr="007E6FC1" w:rsidR="00DD0575" w:rsidP="00DD0575" w:rsidRDefault="00DD0575" w14:paraId="661A23DD" w14:textId="77777777">
      <w:pPr>
        <w:spacing w:before="120" w:after="120" w:line="240" w:lineRule="auto"/>
        <w:ind w:left="709" w:right="709"/>
        <w:jc w:val="both"/>
        <w:rPr>
          <w:rFonts w:ascii="Century Gothic" w:hAnsi="Century Gothic" w:cs="Arial"/>
          <w:color w:val="000000" w:themeColor="text1"/>
          <w:sz w:val="21"/>
          <w:szCs w:val="21"/>
          <w:lang w:val="es-ES_tradnl"/>
        </w:rPr>
      </w:pPr>
      <w:r w:rsidRPr="007E6FC1">
        <w:rPr>
          <w:rFonts w:ascii="Century Gothic" w:hAnsi="Century Gothic" w:cs="Arial"/>
          <w:color w:val="000000" w:themeColor="text1"/>
          <w:sz w:val="21"/>
          <w:szCs w:val="21"/>
          <w:lang w:val="es-ES_tradnl"/>
        </w:rPr>
        <w:t>1. ¿para garantizar la calidad reforzada de la licencia de maternidad, la entidad puede superar la adición de más del 50% del valor del contrato hasta que se cumpla la licencia de maternidad?</w:t>
      </w:r>
    </w:p>
    <w:p w:rsidRPr="007E6FC1" w:rsidR="00DD0575" w:rsidP="00DD0575" w:rsidRDefault="00DD0575" w14:paraId="13DEC455" w14:textId="77777777">
      <w:pPr>
        <w:spacing w:after="0" w:line="240" w:lineRule="auto"/>
        <w:ind w:left="709" w:right="709"/>
        <w:jc w:val="both"/>
        <w:rPr>
          <w:rFonts w:ascii="Century Gothic" w:hAnsi="Century Gothic" w:cs="Arial"/>
          <w:color w:val="000000" w:themeColor="text1"/>
          <w:sz w:val="21"/>
          <w:szCs w:val="21"/>
          <w:lang w:val="es-ES_tradnl"/>
        </w:rPr>
      </w:pPr>
      <w:r w:rsidRPr="007E6FC1">
        <w:rPr>
          <w:rFonts w:ascii="Century Gothic" w:hAnsi="Century Gothic" w:cs="Arial"/>
          <w:color w:val="000000" w:themeColor="text1"/>
          <w:sz w:val="21"/>
          <w:szCs w:val="21"/>
          <w:lang w:val="es-ES_tradnl"/>
        </w:rPr>
        <w:t>2. Caso contrario ¿para garantizar la calidad reforzada de la licencia de maternidad, la entidad debe dejar terminar el plazo del contrato y realizar un contrato nuevo?” [sic]</w:t>
      </w:r>
    </w:p>
    <w:p w:rsidRPr="007E6FC1" w:rsidR="00DD0575" w:rsidP="00DD0575" w:rsidRDefault="00DD0575" w14:paraId="641EABB2" w14:textId="77777777">
      <w:pPr>
        <w:spacing w:after="0" w:line="276" w:lineRule="auto"/>
        <w:ind w:right="709"/>
        <w:jc w:val="both"/>
        <w:rPr>
          <w:rFonts w:ascii="Century Gothic" w:hAnsi="Century Gothic" w:cs="Arial"/>
          <w:color w:val="000000" w:themeColor="text1"/>
        </w:rPr>
      </w:pPr>
    </w:p>
    <w:p w:rsidRPr="007E6FC1" w:rsidR="00DD0575" w:rsidP="00DD0575" w:rsidRDefault="00DD0575" w14:paraId="07ADBC0F" w14:textId="77777777">
      <w:pPr>
        <w:numPr>
          <w:ilvl w:val="0"/>
          <w:numId w:val="1"/>
        </w:numPr>
        <w:tabs>
          <w:tab w:val="left" w:pos="0"/>
          <w:tab w:val="left" w:pos="284"/>
        </w:tabs>
        <w:spacing w:after="0" w:line="240" w:lineRule="auto"/>
        <w:ind w:left="0" w:firstLine="0"/>
        <w:contextualSpacing/>
        <w:jc w:val="both"/>
        <w:rPr>
          <w:rFonts w:ascii="Century Gothic" w:hAnsi="Century Gothic" w:eastAsia="Calibri" w:cs="Arial"/>
          <w:b/>
          <w:color w:val="000000" w:themeColor="text1"/>
          <w:lang w:val="es-ES_tradnl"/>
        </w:rPr>
      </w:pPr>
      <w:r w:rsidRPr="007E6FC1">
        <w:rPr>
          <w:rFonts w:ascii="Century Gothic" w:hAnsi="Century Gothic" w:eastAsia="Calibri" w:cs="Arial"/>
          <w:b/>
          <w:color w:val="000000" w:themeColor="text1"/>
          <w:lang w:val="es-ES_tradnl"/>
        </w:rPr>
        <w:t>Consideraciones</w:t>
      </w:r>
    </w:p>
    <w:p w:rsidRPr="007E6FC1" w:rsidR="00DD0575" w:rsidP="00DD0575" w:rsidRDefault="00DD0575" w14:paraId="2F14509C" w14:textId="77777777">
      <w:pPr>
        <w:spacing w:after="0" w:line="276" w:lineRule="auto"/>
        <w:jc w:val="both"/>
        <w:rPr>
          <w:rFonts w:ascii="Century Gothic" w:hAnsi="Century Gothic" w:eastAsia="Calibri" w:cs="Arial"/>
          <w:color w:val="000000" w:themeColor="text1"/>
          <w:lang w:val="es-ES"/>
        </w:rPr>
      </w:pPr>
    </w:p>
    <w:p w:rsidRPr="007E6FC1" w:rsidR="00DD0575" w:rsidP="00DD0575" w:rsidRDefault="00DD0575" w14:paraId="39653D40" w14:textId="77777777">
      <w:pPr>
        <w:spacing w:after="120" w:line="276" w:lineRule="auto"/>
        <w:jc w:val="both"/>
        <w:rPr>
          <w:rFonts w:ascii="Century Gothic" w:hAnsi="Century Gothic" w:cs="Arial"/>
          <w:lang w:val="es-ES"/>
        </w:rPr>
      </w:pPr>
      <w:r w:rsidRPr="007E6FC1">
        <w:rPr>
          <w:rFonts w:ascii="Century Gothic" w:hAnsi="Century Gothic" w:cs="Arial"/>
          <w:bCs/>
        </w:rPr>
        <w:t xml:space="preserve">En ejercicio de las competencias establecidas en los artículos 3.5 y 11.8 del Decreto 4170 de 2011, la Agencia Nacional de Contratación Pública – Colombia Compra Eficiente resuelve consultas sobre </w:t>
      </w:r>
      <w:r w:rsidRPr="007E6FC1">
        <w:rPr>
          <w:rFonts w:ascii="Century Gothic" w:hAnsi="Century Gothic"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7E6FC1">
        <w:rPr>
          <w:rFonts w:ascii="Century Gothic" w:hAnsi="Century Gothic" w:cs="Arial"/>
          <w:bCs/>
        </w:rPr>
        <w:t xml:space="preserve"> de todos los partícipes de la contratación estatal.</w:t>
      </w:r>
    </w:p>
    <w:p w:rsidRPr="007E6FC1" w:rsidR="00DD0575" w:rsidP="00DD0575" w:rsidRDefault="00DD0575" w14:paraId="7BEB8C26" w14:textId="77777777">
      <w:pPr>
        <w:spacing w:after="120" w:line="276" w:lineRule="auto"/>
        <w:ind w:firstLine="708"/>
        <w:jc w:val="both"/>
        <w:rPr>
          <w:rFonts w:ascii="Century Gothic" w:hAnsi="Century Gothic" w:cs="Arial"/>
          <w:lang w:val="es-ES"/>
        </w:rPr>
      </w:pPr>
      <w:r w:rsidRPr="007E6FC1">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E6FC1">
        <w:rPr>
          <w:rFonts w:ascii="Century Gothic" w:hAnsi="Century Gothic" w:cs="Arial"/>
          <w:vertAlign w:val="superscript"/>
          <w:lang w:val="es-ES"/>
        </w:rPr>
        <w:footnoteReference w:id="1"/>
      </w:r>
      <w:r w:rsidRPr="007E6FC1">
        <w:rPr>
          <w:rFonts w:ascii="Century Gothic" w:hAnsi="Century Gothic" w:cs="Arial"/>
          <w:lang w:val="es-ES"/>
        </w:rPr>
        <w:t xml:space="preserve">. Esta competencia de interpretación de normas generales, por definición, no puede extenderse a la resolución de controversias ni brindar asesorías sobre casos puntuales. Por lo anterior, previo concepto de sus órganos </w:t>
      </w:r>
      <w:r w:rsidRPr="007E6FC1">
        <w:rPr>
          <w:rFonts w:ascii="Century Gothic" w:hAnsi="Century Gothic" w:cs="Arial"/>
          <w:lang w:val="es-ES"/>
        </w:rPr>
        <w:t>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en específico.</w:t>
      </w:r>
    </w:p>
    <w:p w:rsidRPr="007E6FC1" w:rsidR="00DD0575" w:rsidP="00DD0575" w:rsidRDefault="00DD0575" w14:paraId="166C8E16" w14:textId="77777777">
      <w:pPr>
        <w:spacing w:after="120" w:line="276" w:lineRule="auto"/>
        <w:ind w:firstLine="708"/>
        <w:jc w:val="both"/>
        <w:rPr>
          <w:rFonts w:ascii="Century Gothic" w:hAnsi="Century Gothic" w:eastAsia="Calibri" w:cs="Arial"/>
          <w:lang w:val="es-ES"/>
        </w:rPr>
      </w:pPr>
      <w:r w:rsidRPr="007E6FC1">
        <w:rPr>
          <w:rFonts w:ascii="Century Gothic" w:hAnsi="Century Gothic" w:eastAsia="Calibri" w:cs="Arial"/>
          <w:color w:val="000000"/>
          <w:lang w:val="es-MX"/>
        </w:rPr>
        <w:t xml:space="preserve">En atención a lo anterior, </w:t>
      </w:r>
      <w:r w:rsidRPr="007E6FC1">
        <w:rPr>
          <w:rFonts w:ascii="Century Gothic" w:hAnsi="Century Gothic" w:eastAsia="Calibri" w:cs="Arial"/>
          <w:color w:val="000000"/>
          <w:lang w:val="es-ES"/>
        </w:rPr>
        <w:t>la Subdirección de Gestión Contractual –dentro de los límites de sus atribuciones, esto es, haciendo abstracción del caso particular expuesto por el peticionario– resolverá la consulta conforme a las normas generales en materia de contratación estatal</w:t>
      </w:r>
      <w:r w:rsidRPr="007E6FC1">
        <w:rPr>
          <w:rFonts w:ascii="Century Gothic" w:hAnsi="Century Gothic" w:eastAsia="Calibri" w:cs="Arial"/>
          <w:lang w:val="es-ES_tradnl" w:eastAsia="es-MX"/>
        </w:rPr>
        <w:t xml:space="preserve">, luego de analizar los siguientes temas: i) características generales del contrato de prestación de servicios; </w:t>
      </w:r>
      <w:proofErr w:type="spellStart"/>
      <w:r w:rsidRPr="007E6FC1">
        <w:rPr>
          <w:rFonts w:ascii="Century Gothic" w:hAnsi="Century Gothic" w:eastAsia="Calibri" w:cs="Arial"/>
          <w:lang w:val="es-ES_tradnl" w:eastAsia="es-MX"/>
        </w:rPr>
        <w:t>ii</w:t>
      </w:r>
      <w:proofErr w:type="spellEnd"/>
      <w:r w:rsidRPr="007E6FC1">
        <w:rPr>
          <w:rFonts w:ascii="Century Gothic" w:hAnsi="Century Gothic" w:eastAsia="Calibri" w:cs="Arial"/>
          <w:lang w:val="es-ES_tradnl" w:eastAsia="es-MX"/>
        </w:rPr>
        <w:t xml:space="preserve">) concepto de adición en los contratos estatales y sus límites en el Estatuto General de Contratación de la Administración Pública y </w:t>
      </w:r>
      <w:proofErr w:type="spellStart"/>
      <w:r w:rsidRPr="007E6FC1">
        <w:rPr>
          <w:rFonts w:ascii="Century Gothic" w:hAnsi="Century Gothic" w:eastAsia="Calibri" w:cs="Arial"/>
          <w:lang w:val="es-ES_tradnl" w:eastAsia="es-MX"/>
        </w:rPr>
        <w:t>iii</w:t>
      </w:r>
      <w:proofErr w:type="spellEnd"/>
      <w:r w:rsidRPr="007E6FC1">
        <w:rPr>
          <w:rFonts w:ascii="Century Gothic" w:hAnsi="Century Gothic" w:eastAsia="Calibri" w:cs="Arial"/>
          <w:lang w:val="es-ES_tradnl" w:eastAsia="es-MX"/>
        </w:rPr>
        <w:t>) estabilidad ocupacional reforzada de las mujeres embarazadas o en periodo de lactancia frente a los contratos de prestación de servicios.</w:t>
      </w:r>
    </w:p>
    <w:p w:rsidRPr="007E6FC1" w:rsidR="00DD0575" w:rsidP="00DD0575" w:rsidRDefault="00DD0575" w14:paraId="5D939445" w14:textId="77777777">
      <w:pPr>
        <w:spacing w:after="0" w:line="276" w:lineRule="auto"/>
        <w:ind w:firstLine="708"/>
        <w:jc w:val="both"/>
        <w:rPr>
          <w:rFonts w:ascii="Century Gothic" w:hAnsi="Century Gothic" w:eastAsia="Calibri" w:cs="Arial"/>
          <w:bCs/>
          <w:color w:val="000000" w:themeColor="text1"/>
          <w:lang w:val="es-ES_tradnl"/>
        </w:rPr>
      </w:pPr>
      <w:r w:rsidRPr="007E6FC1">
        <w:rPr>
          <w:rFonts w:ascii="Century Gothic" w:hAnsi="Century Gothic" w:eastAsia="Calibri" w:cs="Arial"/>
          <w:bCs/>
          <w:color w:val="000000" w:themeColor="text1"/>
          <w:lang w:val="es-ES_tradnl"/>
        </w:rPr>
        <w:t>La Agencia se ha pronunciado sobre la estabilidad ocupacional reforzada en mujer embarazada en los conceptos 2201913000009150 del 11 de diciembre de 2019, 2201913000009571 del 24 de diciembre de 2019, C-712 del 7 de diciembre de 2022, C-789 del 22 de noviembre de 2022, C-920 del 14 de febrero de 2023, C-031 del 17 de marzo de 2023 y C-213 de 26 de junio de 2023</w:t>
      </w:r>
      <w:r w:rsidRPr="007E6FC1">
        <w:rPr>
          <w:rFonts w:ascii="Century Gothic" w:hAnsi="Century Gothic" w:eastAsia="Calibri" w:cs="Arial"/>
          <w:bCs/>
          <w:color w:val="000000" w:themeColor="text1"/>
          <w:vertAlign w:val="superscript"/>
          <w:lang w:val="es-ES_tradnl"/>
        </w:rPr>
        <w:footnoteReference w:id="2"/>
      </w:r>
      <w:r w:rsidRPr="007E6FC1">
        <w:rPr>
          <w:rFonts w:ascii="Century Gothic" w:hAnsi="Century Gothic" w:eastAsia="Calibri" w:cs="Arial"/>
          <w:bCs/>
          <w:color w:val="000000" w:themeColor="text1"/>
          <w:lang w:val="es-ES_tradnl"/>
        </w:rPr>
        <w:t>. Las tesis propuestas en tales conceptos se reiteran y se complementan en lo pertinente a continuación.</w:t>
      </w:r>
    </w:p>
    <w:p w:rsidRPr="007E6FC1" w:rsidR="00DD0575" w:rsidP="00DD0575" w:rsidRDefault="00DD0575" w14:paraId="01ABF057" w14:textId="77777777">
      <w:pPr>
        <w:widowControl w:val="0"/>
        <w:autoSpaceDE w:val="0"/>
        <w:autoSpaceDN w:val="0"/>
        <w:spacing w:after="0" w:line="276" w:lineRule="auto"/>
        <w:jc w:val="both"/>
        <w:rPr>
          <w:rFonts w:ascii="Century Gothic" w:hAnsi="Century Gothic" w:cs="Arial"/>
          <w:b/>
          <w:lang w:val="es-MX"/>
        </w:rPr>
      </w:pPr>
    </w:p>
    <w:p w:rsidRPr="007E6FC1" w:rsidR="00DD0575" w:rsidP="00DD0575" w:rsidRDefault="00DD0575" w14:paraId="3C2FE1D8" w14:textId="77777777">
      <w:pPr>
        <w:spacing w:after="0" w:line="276" w:lineRule="auto"/>
        <w:contextualSpacing/>
        <w:jc w:val="both"/>
        <w:rPr>
          <w:rFonts w:ascii="Century Gothic" w:hAnsi="Century Gothic" w:eastAsia="Arial" w:cs="Arial"/>
          <w:b/>
          <w:bCs/>
          <w:lang w:val="es-ES_tradnl" w:eastAsia="es-ES_tradnl"/>
        </w:rPr>
      </w:pPr>
      <w:bookmarkStart w:name="_Hlk73970609" w:id="4"/>
      <w:r w:rsidRPr="007E6FC1">
        <w:rPr>
          <w:rFonts w:ascii="Century Gothic" w:hAnsi="Century Gothic" w:eastAsia="Arial" w:cs="Arial"/>
          <w:b/>
          <w:bCs/>
          <w:lang w:val="es-ES_tradnl" w:eastAsia="es-ES_tradnl"/>
        </w:rPr>
        <w:t>2.1. Características generales del contrato de prestación de servicios. Reiteración de línea</w:t>
      </w:r>
    </w:p>
    <w:p w:rsidRPr="007E6FC1" w:rsidR="00DD0575" w:rsidP="00DD0575" w:rsidRDefault="00DD0575" w14:paraId="13F7E3B4" w14:textId="77777777">
      <w:pPr>
        <w:spacing w:after="0" w:line="276" w:lineRule="auto"/>
        <w:contextualSpacing/>
        <w:jc w:val="both"/>
        <w:rPr>
          <w:rFonts w:ascii="Century Gothic" w:hAnsi="Century Gothic" w:eastAsia="Arial" w:cs="Arial"/>
          <w:b/>
          <w:bCs/>
          <w:lang w:val="es-ES_tradnl" w:eastAsia="es-ES_tradnl"/>
        </w:rPr>
      </w:pPr>
    </w:p>
    <w:p w:rsidRPr="007E6FC1" w:rsidR="00DD0575" w:rsidP="00DD0575" w:rsidRDefault="00DD0575" w14:paraId="27E73EC4" w14:textId="77777777">
      <w:pPr>
        <w:spacing w:after="0" w:line="276" w:lineRule="auto"/>
        <w:jc w:val="both"/>
        <w:rPr>
          <w:rFonts w:ascii="Century Gothic" w:hAnsi="Century Gothic" w:eastAsia="Arial" w:cs="Arial"/>
          <w:color w:val="000000"/>
        </w:rPr>
      </w:pPr>
      <w:r w:rsidRPr="007E6FC1">
        <w:rPr>
          <w:rFonts w:ascii="Century Gothic" w:hAnsi="Century Gothic" w:eastAsia="Arial" w:cs="Arial"/>
          <w:color w:val="000000"/>
        </w:rPr>
        <w:t>El 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Así lo dispone el artículo 2, numeral 4°, literal h) de la Ley 1150 de 2007.</w:t>
      </w:r>
    </w:p>
    <w:p w:rsidRPr="007E6FC1" w:rsidR="00DD0575" w:rsidP="00DD0575" w:rsidRDefault="00DD0575" w14:paraId="6D5FBEE4" w14:textId="77777777">
      <w:pPr>
        <w:spacing w:after="0" w:line="276" w:lineRule="auto"/>
        <w:jc w:val="both"/>
        <w:rPr>
          <w:rFonts w:ascii="Century Gothic" w:hAnsi="Century Gothic" w:eastAsia="Arial" w:cs="Arial"/>
          <w:color w:val="000000"/>
        </w:rPr>
      </w:pPr>
    </w:p>
    <w:p w:rsidRPr="007E6FC1" w:rsidR="00DD0575" w:rsidP="00DD0575" w:rsidRDefault="00DD0575" w14:paraId="0D2B1AEE" w14:textId="77777777">
      <w:pPr>
        <w:spacing w:line="240" w:lineRule="auto"/>
        <w:ind w:left="709" w:right="709"/>
        <w:contextualSpacing/>
        <w:jc w:val="both"/>
        <w:rPr>
          <w:rFonts w:ascii="Century Gothic" w:hAnsi="Century Gothic" w:eastAsia="Calibri" w:cs="Arial"/>
          <w:color w:val="000000" w:themeColor="text1"/>
          <w:sz w:val="21"/>
          <w:szCs w:val="21"/>
          <w:lang w:val="es-MX"/>
        </w:rPr>
      </w:pPr>
      <w:r w:rsidRPr="007E6FC1">
        <w:rPr>
          <w:rFonts w:ascii="Century Gothic" w:hAnsi="Century Gothic" w:eastAsia="Yu Gothic UI Semibold" w:cs="Arial"/>
          <w:iCs/>
          <w:sz w:val="21"/>
          <w:szCs w:val="21"/>
          <w:lang w:eastAsia="es-MX"/>
        </w:rPr>
        <w:t>“</w:t>
      </w:r>
      <w:r w:rsidRPr="007E6FC1">
        <w:rPr>
          <w:rFonts w:ascii="Century Gothic" w:hAnsi="Century Gothic" w:eastAsia="Calibri" w:cs="Arial"/>
          <w:color w:val="000000" w:themeColor="text1"/>
          <w:sz w:val="21"/>
          <w:szCs w:val="21"/>
          <w:lang w:val="es-MX"/>
        </w:rPr>
        <w:t>La escogencia del contratista se efectuará con arreglo a las modalidades de selección de licitación pública, selección abreviada, concurso de méritos y contratación directa, con base en las siguientes reglas:</w:t>
      </w:r>
    </w:p>
    <w:p w:rsidRPr="007E6FC1" w:rsidR="00DD0575" w:rsidP="00DD0575" w:rsidRDefault="00DD0575" w14:paraId="49B4D7BB" w14:textId="77777777">
      <w:pPr>
        <w:spacing w:after="120" w:line="240" w:lineRule="auto"/>
        <w:ind w:left="709" w:right="709"/>
        <w:contextualSpacing/>
        <w:jc w:val="both"/>
        <w:rPr>
          <w:rFonts w:ascii="Century Gothic" w:hAnsi="Century Gothic" w:eastAsia="Calibri" w:cs="Arial"/>
          <w:color w:val="000000" w:themeColor="text1"/>
          <w:sz w:val="21"/>
          <w:szCs w:val="21"/>
          <w:lang w:val="es-MX"/>
        </w:rPr>
      </w:pPr>
      <w:r w:rsidRPr="007E6FC1">
        <w:rPr>
          <w:rFonts w:ascii="Century Gothic" w:hAnsi="Century Gothic" w:eastAsia="Calibri" w:cs="Arial"/>
          <w:color w:val="000000" w:themeColor="text1"/>
          <w:sz w:val="21"/>
          <w:szCs w:val="21"/>
          <w:lang w:val="es-MX"/>
        </w:rPr>
        <w:t>[…]</w:t>
      </w:r>
    </w:p>
    <w:p w:rsidRPr="007E6FC1" w:rsidR="00DD0575" w:rsidP="00DD0575" w:rsidRDefault="00DD0575" w14:paraId="39C4EE69" w14:textId="77777777">
      <w:pPr>
        <w:spacing w:after="120" w:line="240" w:lineRule="auto"/>
        <w:ind w:left="709" w:right="709"/>
        <w:contextualSpacing/>
        <w:jc w:val="both"/>
        <w:rPr>
          <w:rFonts w:ascii="Century Gothic" w:hAnsi="Century Gothic" w:eastAsia="Calibri" w:cs="Arial"/>
          <w:color w:val="000000" w:themeColor="text1"/>
          <w:sz w:val="12"/>
          <w:szCs w:val="12"/>
          <w:lang w:val="es-MX"/>
        </w:rPr>
      </w:pPr>
    </w:p>
    <w:p w:rsidRPr="007E6FC1" w:rsidR="00DD0575" w:rsidP="00DD0575" w:rsidRDefault="00DD0575" w14:paraId="52FB04F1" w14:textId="77777777">
      <w:pPr>
        <w:spacing w:line="240" w:lineRule="auto"/>
        <w:ind w:left="709" w:right="709"/>
        <w:contextualSpacing/>
        <w:jc w:val="both"/>
        <w:rPr>
          <w:rFonts w:ascii="Century Gothic" w:hAnsi="Century Gothic" w:eastAsia="Calibri" w:cs="Arial"/>
          <w:color w:val="000000" w:themeColor="text1"/>
          <w:sz w:val="21"/>
          <w:szCs w:val="21"/>
          <w:lang w:val="es-MX"/>
        </w:rPr>
      </w:pPr>
      <w:r w:rsidRPr="007E6FC1">
        <w:rPr>
          <w:rFonts w:ascii="Century Gothic" w:hAnsi="Century Gothic" w:eastAsia="Calibri" w:cs="Arial"/>
          <w:color w:val="000000" w:themeColor="text1"/>
          <w:sz w:val="21"/>
          <w:szCs w:val="21"/>
          <w:lang w:val="es-MX"/>
        </w:rPr>
        <w:t>4. Contratación directa. La modalidad de selección de contratación directa, solamente procederá en los siguientes casos:</w:t>
      </w:r>
    </w:p>
    <w:p w:rsidRPr="007E6FC1" w:rsidR="00DD0575" w:rsidP="00DD0575" w:rsidRDefault="00DD0575" w14:paraId="02F96061" w14:textId="77777777">
      <w:pPr>
        <w:spacing w:line="240" w:lineRule="auto"/>
        <w:ind w:left="709" w:right="709"/>
        <w:contextualSpacing/>
        <w:jc w:val="both"/>
        <w:rPr>
          <w:rFonts w:ascii="Century Gothic" w:hAnsi="Century Gothic" w:eastAsia="Calibri" w:cs="Arial"/>
          <w:color w:val="000000" w:themeColor="text1"/>
          <w:sz w:val="21"/>
          <w:szCs w:val="21"/>
          <w:lang w:val="es-MX"/>
        </w:rPr>
      </w:pPr>
      <w:r w:rsidRPr="007E6FC1">
        <w:rPr>
          <w:rFonts w:ascii="Century Gothic" w:hAnsi="Century Gothic" w:eastAsia="Calibri" w:cs="Arial"/>
          <w:color w:val="000000" w:themeColor="text1"/>
          <w:sz w:val="21"/>
          <w:szCs w:val="21"/>
          <w:lang w:val="es-MX"/>
        </w:rPr>
        <w:t>[…]</w:t>
      </w:r>
    </w:p>
    <w:p w:rsidRPr="007E6FC1" w:rsidR="00DD0575" w:rsidP="00DD0575" w:rsidRDefault="00DD0575" w14:paraId="33F32003" w14:textId="77777777">
      <w:pPr>
        <w:spacing w:line="240" w:lineRule="auto"/>
        <w:ind w:left="709" w:right="709"/>
        <w:contextualSpacing/>
        <w:jc w:val="both"/>
        <w:rPr>
          <w:rFonts w:ascii="Century Gothic" w:hAnsi="Century Gothic" w:eastAsia="Calibri" w:cs="Arial"/>
          <w:color w:val="000000" w:themeColor="text1"/>
          <w:sz w:val="12"/>
          <w:szCs w:val="12"/>
          <w:lang w:val="es-MX"/>
        </w:rPr>
      </w:pPr>
    </w:p>
    <w:p w:rsidRPr="007E6FC1" w:rsidR="00DD0575" w:rsidP="00DD0575" w:rsidRDefault="00DD0575" w14:paraId="111FE478" w14:textId="77777777">
      <w:pPr>
        <w:spacing w:line="240" w:lineRule="auto"/>
        <w:ind w:left="709" w:right="709"/>
        <w:contextualSpacing/>
        <w:jc w:val="both"/>
        <w:rPr>
          <w:rFonts w:ascii="Century Gothic" w:hAnsi="Century Gothic" w:eastAsia="Calibri" w:cs="Arial"/>
          <w:color w:val="000000" w:themeColor="text1"/>
          <w:sz w:val="21"/>
          <w:szCs w:val="21"/>
          <w:lang w:val="es-MX"/>
        </w:rPr>
      </w:pPr>
      <w:r w:rsidRPr="007E6FC1">
        <w:rPr>
          <w:rFonts w:ascii="Century Gothic" w:hAnsi="Century Gothic" w:eastAsia="Calibri" w:cs="Arial"/>
          <w:color w:val="000000" w:themeColor="text1"/>
          <w:sz w:val="21"/>
          <w:szCs w:val="21"/>
          <w:lang w:val="es-MX"/>
        </w:rPr>
        <w:t>h) Para la prestación de servicios profesionales y de apoyo a la gestión, o para la ejecución de trabajos artísticos que sólo puedan encomendarse a determinadas personas naturales</w:t>
      </w:r>
      <w:r w:rsidRPr="007E6FC1">
        <w:rPr>
          <w:rFonts w:ascii="Century Gothic" w:hAnsi="Century Gothic" w:eastAsia="Yu Gothic UI Semibold" w:cs="Arial"/>
          <w:iCs/>
          <w:sz w:val="21"/>
          <w:szCs w:val="21"/>
          <w:lang w:eastAsia="es-MX"/>
        </w:rPr>
        <w:t>”</w:t>
      </w:r>
      <w:r w:rsidRPr="007E6FC1">
        <w:rPr>
          <w:rFonts w:ascii="Century Gothic" w:hAnsi="Century Gothic" w:eastAsia="Calibri" w:cs="Arial"/>
          <w:color w:val="000000" w:themeColor="text1"/>
          <w:sz w:val="21"/>
          <w:szCs w:val="21"/>
          <w:lang w:val="es-MX"/>
        </w:rPr>
        <w:t>.</w:t>
      </w:r>
    </w:p>
    <w:p w:rsidRPr="007E6FC1" w:rsidR="00DD0575" w:rsidP="00DD0575" w:rsidRDefault="00DD0575" w14:paraId="0F8C7DC1" w14:textId="77777777">
      <w:pPr>
        <w:spacing w:after="0" w:line="276" w:lineRule="auto"/>
        <w:jc w:val="both"/>
        <w:rPr>
          <w:rFonts w:ascii="Century Gothic" w:hAnsi="Century Gothic" w:eastAsia="Arial" w:cs="Arial"/>
          <w:color w:val="000000"/>
        </w:rPr>
      </w:pPr>
    </w:p>
    <w:p w:rsidRPr="007E6FC1" w:rsidR="00DD0575" w:rsidP="00DD0575" w:rsidRDefault="00DD0575" w14:paraId="1BC10465" w14:textId="77777777">
      <w:pPr>
        <w:tabs>
          <w:tab w:val="left" w:pos="0"/>
        </w:tabs>
        <w:spacing w:after="120" w:line="276" w:lineRule="auto"/>
        <w:jc w:val="both"/>
        <w:rPr>
          <w:rFonts w:ascii="Century Gothic" w:hAnsi="Century Gothic" w:eastAsia="Arial" w:cs="Arial"/>
          <w:color w:val="000000"/>
        </w:rPr>
      </w:pPr>
      <w:r w:rsidRPr="007E6FC1">
        <w:rPr>
          <w:rFonts w:ascii="Century Gothic" w:hAnsi="Century Gothic" w:eastAsia="Arial" w:cs="Arial"/>
          <w:color w:val="000000"/>
        </w:rPr>
        <w:tab/>
      </w:r>
      <w:r w:rsidRPr="007E6FC1">
        <w:rPr>
          <w:rFonts w:ascii="Century Gothic" w:hAnsi="Century Gothic" w:eastAsia="Arial" w:cs="Arial"/>
          <w:color w:val="000000"/>
        </w:rPr>
        <w:t xml:space="preserve">En tal sentido, el artículo 2.2.1.2.1.4.9 del Decreto 1082 de 2015 reglamentó la contratación directa para los contratos de servicios profesionales y de apoyo a la gestión, o para la ejecución de trabajos artísticos que sólo pueden encomendarse a determinadas personas naturales, en los siguientes términos: </w:t>
      </w:r>
    </w:p>
    <w:p w:rsidRPr="007E6FC1" w:rsidR="00DD0575" w:rsidP="00DD0575" w:rsidRDefault="00DD0575" w14:paraId="56D261C5" w14:textId="77777777">
      <w:pPr>
        <w:spacing w:line="240" w:lineRule="auto"/>
        <w:ind w:left="709" w:right="709"/>
        <w:contextualSpacing/>
        <w:jc w:val="both"/>
        <w:rPr>
          <w:rFonts w:ascii="Arial" w:hAnsi="Arial" w:eastAsia="Yu Gothic UI Semibold" w:cs="Arial"/>
          <w:iCs/>
          <w:sz w:val="21"/>
          <w:szCs w:val="21"/>
          <w:lang w:eastAsia="es-MX"/>
        </w:rPr>
      </w:pPr>
    </w:p>
    <w:p w:rsidRPr="007E6FC1" w:rsidR="00DD0575" w:rsidP="00DD0575" w:rsidRDefault="00DD0575" w14:paraId="5FFD9C8E" w14:textId="77777777">
      <w:pPr>
        <w:spacing w:line="240" w:lineRule="auto"/>
        <w:ind w:left="709" w:right="709"/>
        <w:contextualSpacing/>
        <w:jc w:val="both"/>
        <w:rPr>
          <w:rFonts w:ascii="Century Gothic" w:hAnsi="Century Gothic" w:cs="Arial"/>
          <w:sz w:val="21"/>
          <w:szCs w:val="21"/>
          <w:lang w:val="es-MX"/>
        </w:rPr>
      </w:pPr>
      <w:r w:rsidRPr="007E6FC1">
        <w:rPr>
          <w:rFonts w:ascii="Century Gothic" w:hAnsi="Century Gothic" w:eastAsia="Yu Gothic UI Semibold" w:cs="Arial"/>
          <w:iCs/>
          <w:sz w:val="21"/>
          <w:szCs w:val="21"/>
          <w:lang w:eastAsia="es-MX"/>
        </w:rPr>
        <w:t>“</w:t>
      </w:r>
      <w:r w:rsidRPr="007E6FC1">
        <w:rPr>
          <w:rFonts w:ascii="Century Gothic" w:hAnsi="Century Gothic" w:cs="Arial"/>
          <w:sz w:val="21"/>
          <w:szCs w:val="21"/>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7E6FC1" w:rsidR="00DD0575" w:rsidP="00DD0575" w:rsidRDefault="00DD0575" w14:paraId="1F6BD332" w14:textId="77777777">
      <w:pPr>
        <w:spacing w:line="240" w:lineRule="auto"/>
        <w:ind w:left="709" w:right="709"/>
        <w:contextualSpacing/>
        <w:jc w:val="both"/>
        <w:rPr>
          <w:rFonts w:ascii="Century Gothic" w:hAnsi="Century Gothic" w:cs="Arial"/>
          <w:sz w:val="12"/>
          <w:szCs w:val="12"/>
          <w:lang w:val="es-MX"/>
        </w:rPr>
      </w:pPr>
    </w:p>
    <w:p w:rsidRPr="007E6FC1" w:rsidR="00DD0575" w:rsidP="00DD0575" w:rsidRDefault="00DD0575" w14:paraId="0691F651" w14:textId="77777777">
      <w:pPr>
        <w:spacing w:line="240" w:lineRule="auto"/>
        <w:ind w:left="709" w:right="709"/>
        <w:contextualSpacing/>
        <w:jc w:val="both"/>
        <w:rPr>
          <w:rFonts w:ascii="Century Gothic" w:hAnsi="Century Gothic" w:cs="Arial"/>
          <w:sz w:val="21"/>
          <w:szCs w:val="21"/>
          <w:lang w:val="es-MX"/>
        </w:rPr>
      </w:pPr>
      <w:r w:rsidRPr="007E6FC1">
        <w:rPr>
          <w:rFonts w:ascii="Century Gothic" w:hAnsi="Century Gothic" w:cs="Arial"/>
          <w:sz w:val="21"/>
          <w:szCs w:val="21"/>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Pr="007E6FC1" w:rsidR="00DD0575" w:rsidP="00DD0575" w:rsidRDefault="00DD0575" w14:paraId="28A32A0A" w14:textId="77777777">
      <w:pPr>
        <w:spacing w:line="240" w:lineRule="auto"/>
        <w:ind w:left="709" w:right="709"/>
        <w:contextualSpacing/>
        <w:jc w:val="both"/>
        <w:rPr>
          <w:rFonts w:ascii="Century Gothic" w:hAnsi="Century Gothic" w:cs="Arial"/>
          <w:sz w:val="12"/>
          <w:szCs w:val="12"/>
          <w:lang w:val="es-MX"/>
        </w:rPr>
      </w:pPr>
    </w:p>
    <w:p w:rsidRPr="007E6FC1" w:rsidR="00DD0575" w:rsidP="00DD0575" w:rsidRDefault="00DD0575" w14:paraId="16908658" w14:textId="77777777">
      <w:pPr>
        <w:spacing w:line="240" w:lineRule="auto"/>
        <w:ind w:left="709" w:right="709"/>
        <w:contextualSpacing/>
        <w:jc w:val="both"/>
        <w:rPr>
          <w:rFonts w:ascii="Century Gothic" w:hAnsi="Century Gothic" w:cs="Arial"/>
          <w:sz w:val="21"/>
          <w:szCs w:val="21"/>
          <w:lang w:val="es-MX"/>
        </w:rPr>
      </w:pPr>
      <w:r w:rsidRPr="007E6FC1">
        <w:rPr>
          <w:rFonts w:ascii="Century Gothic" w:hAnsi="Century Gothic" w:cs="Arial"/>
          <w:sz w:val="21"/>
          <w:szCs w:val="21"/>
          <w:lang w:val="es-MX"/>
        </w:rPr>
        <w:t>La Entidad Estatal, para la contratación de trabajos artísticos que solamente puedan en</w:t>
      </w:r>
      <w:r w:rsidRPr="007E6FC1">
        <w:rPr>
          <w:rFonts w:ascii="Century Gothic" w:hAnsi="Century Gothic" w:cs="Arial"/>
          <w:sz w:val="21"/>
          <w:szCs w:val="21"/>
          <w:lang w:val="es-MX"/>
        </w:rPr>
        <w:softHyphen/>
        <w:t>comendarse a determinadas personas naturales, debe justificar esta situación en los estudios y documentos previos</w:t>
      </w:r>
      <w:r w:rsidRPr="007E6FC1">
        <w:rPr>
          <w:rFonts w:ascii="Century Gothic" w:hAnsi="Century Gothic" w:eastAsia="Yu Gothic UI Semibold" w:cs="Arial"/>
          <w:iCs/>
          <w:sz w:val="21"/>
          <w:szCs w:val="21"/>
          <w:lang w:eastAsia="es-MX"/>
        </w:rPr>
        <w:t>”</w:t>
      </w:r>
      <w:r w:rsidRPr="007E6FC1">
        <w:rPr>
          <w:rFonts w:ascii="Century Gothic" w:hAnsi="Century Gothic" w:cs="Arial"/>
          <w:sz w:val="21"/>
          <w:szCs w:val="21"/>
          <w:lang w:val="es-MX"/>
        </w:rPr>
        <w:t>.</w:t>
      </w:r>
    </w:p>
    <w:p w:rsidRPr="007E6FC1" w:rsidR="00DD0575" w:rsidP="00DD0575" w:rsidRDefault="00DD0575" w14:paraId="417EA719" w14:textId="77777777">
      <w:pPr>
        <w:tabs>
          <w:tab w:val="left" w:pos="0"/>
        </w:tabs>
        <w:spacing w:after="0" w:line="276" w:lineRule="auto"/>
        <w:jc w:val="both"/>
        <w:rPr>
          <w:rFonts w:ascii="Century Gothic" w:hAnsi="Century Gothic" w:eastAsia="Arial" w:cs="Arial"/>
          <w:color w:val="000000"/>
        </w:rPr>
      </w:pPr>
    </w:p>
    <w:p w:rsidRPr="007E6FC1" w:rsidR="00DD0575" w:rsidP="00DD0575" w:rsidRDefault="00DD0575" w14:paraId="32DD4EB6" w14:textId="77777777">
      <w:pPr>
        <w:tabs>
          <w:tab w:val="left" w:pos="0"/>
        </w:tabs>
        <w:spacing w:after="120" w:line="276" w:lineRule="auto"/>
        <w:jc w:val="both"/>
        <w:rPr>
          <w:rFonts w:ascii="Century Gothic" w:hAnsi="Century Gothic" w:cs="Arial"/>
          <w:color w:val="000000" w:themeColor="text1"/>
          <w:lang w:val="es-ES_tradnl"/>
        </w:rPr>
      </w:pPr>
      <w:r w:rsidRPr="007E6FC1">
        <w:rPr>
          <w:rFonts w:ascii="Century Gothic" w:hAnsi="Century Gothic" w:eastAsia="Arial" w:cs="Arial"/>
          <w:color w:val="000000"/>
        </w:rPr>
        <w:tab/>
      </w:r>
      <w:r w:rsidRPr="007E6FC1">
        <w:rPr>
          <w:rFonts w:ascii="Century Gothic" w:hAnsi="Century Gothic" w:eastAsia="Arial" w:cs="Arial"/>
          <w:color w:val="000000"/>
        </w:rPr>
        <w:t>A partir de las disposiciones citadas, así como de la Sentencia de Unificación Jurisprudencial de 09 de septiembre de 2021, proferida por el Consejo de Estado</w:t>
      </w:r>
      <w:r w:rsidRPr="007E6FC1">
        <w:rPr>
          <w:rFonts w:ascii="Century Gothic" w:hAnsi="Century Gothic" w:cs="Arial"/>
          <w:bCs/>
          <w:vertAlign w:val="superscript"/>
          <w:lang w:val="es-ES"/>
        </w:rPr>
        <w:footnoteReference w:id="3"/>
      </w:r>
      <w:r w:rsidRPr="007E6FC1">
        <w:rPr>
          <w:rFonts w:ascii="Century Gothic" w:hAnsi="Century Gothic" w:cs="Arial"/>
          <w:color w:val="000000" w:themeColor="text1"/>
          <w:lang w:val="es-ES_tradnl"/>
        </w:rPr>
        <w:t xml:space="preserve">, </w:t>
      </w:r>
      <w:r w:rsidRPr="007E6FC1">
        <w:rPr>
          <w:rFonts w:ascii="Century Gothic" w:hAnsi="Century Gothic" w:cs="Arial"/>
          <w:color w:val="000000" w:themeColor="text1"/>
          <w:lang w:val="es-ES_tradnl"/>
        </w:rPr>
        <w:t xml:space="preserve">es posible señalar las siguientes características del contrato de prestación de servicios: </w:t>
      </w:r>
    </w:p>
    <w:p w:rsidRPr="007E6FC1" w:rsidR="00DD0575" w:rsidP="00DD0575" w:rsidRDefault="00DD0575" w14:paraId="6F2173C8" w14:textId="77777777">
      <w:pPr>
        <w:tabs>
          <w:tab w:val="left" w:pos="0"/>
        </w:tabs>
        <w:spacing w:after="120" w:line="276" w:lineRule="auto"/>
        <w:jc w:val="both"/>
        <w:rPr>
          <w:rFonts w:ascii="Century Gothic" w:hAnsi="Century Gothic" w:cs="Arial"/>
          <w:noProof/>
          <w:lang w:val="es-ES_tradnl"/>
        </w:rPr>
      </w:pPr>
      <w:r w:rsidRPr="007E6FC1">
        <w:rPr>
          <w:rFonts w:ascii="Century Gothic" w:hAnsi="Century Gothic" w:eastAsia="Arial" w:cs="Arial"/>
          <w:color w:val="000000"/>
          <w:lang w:val="es-ES"/>
        </w:rPr>
        <w:tab/>
      </w:r>
      <w:r w:rsidRPr="007E6FC1">
        <w:rPr>
          <w:rFonts w:ascii="Century Gothic" w:hAnsi="Century Gothic" w:eastAsia="Arial" w:cs="Arial"/>
          <w:color w:val="000000"/>
          <w:lang w:val="es-ES"/>
        </w:rPr>
        <w:t>i</w:t>
      </w:r>
      <w:r w:rsidRPr="007E6FC1">
        <w:rPr>
          <w:rFonts w:ascii="Century Gothic" w:hAnsi="Century Gothic" w:eastAsia="Arial" w:cs="Arial"/>
          <w:color w:val="000000"/>
        </w:rPr>
        <w:t>) Sólo puede celebrarse para realizar “actividades relacionadas con la administración o funcionamiento de la entidad”, es decir, que hagan parte de su giro ordinario o que</w:t>
      </w:r>
      <w:r>
        <w:rPr>
          <w:rFonts w:ascii="Century Gothic" w:hAnsi="Century Gothic" w:eastAsia="Arial" w:cs="Arial"/>
          <w:color w:val="000000"/>
        </w:rPr>
        <w:t xml:space="preserve"> </w:t>
      </w:r>
      <w:r w:rsidRPr="007E6FC1">
        <w:rPr>
          <w:rFonts w:ascii="Century Gothic" w:hAnsi="Century Gothic" w:eastAsia="Arial" w:cs="Arial"/>
          <w:color w:val="000000"/>
        </w:rPr>
        <w:t>hacer diario</w:t>
      </w:r>
      <w:r w:rsidRPr="007E6FC1">
        <w:rPr>
          <w:rFonts w:ascii="Century Gothic" w:hAnsi="Century Gothic"/>
          <w:noProof/>
          <w:vertAlign w:val="superscript"/>
          <w:lang w:val="es-ES_tradnl"/>
        </w:rPr>
        <w:footnoteReference w:id="4"/>
      </w:r>
      <w:r w:rsidRPr="007E6FC1">
        <w:rPr>
          <w:rFonts w:ascii="Century Gothic" w:hAnsi="Century Gothic" w:cs="Arial"/>
          <w:noProof/>
          <w:lang w:val="es-ES_tradnl"/>
        </w:rPr>
        <w:t>.</w:t>
      </w:r>
    </w:p>
    <w:p w:rsidRPr="007E6FC1" w:rsidR="00DD0575" w:rsidP="00DD0575" w:rsidRDefault="00DD0575" w14:paraId="7163AD6C" w14:textId="77777777">
      <w:pPr>
        <w:spacing w:after="120" w:line="276" w:lineRule="auto"/>
        <w:ind w:firstLine="709"/>
        <w:jc w:val="both"/>
        <w:rPr>
          <w:rFonts w:ascii="Century Gothic" w:hAnsi="Century Gothic" w:cs="Arial"/>
          <w:noProof/>
          <w:lang w:val="es-ES_tradnl"/>
        </w:rPr>
      </w:pPr>
      <w:r w:rsidRPr="007E6FC1">
        <w:rPr>
          <w:rFonts w:ascii="Century Gothic" w:hAnsi="Century Gothic" w:cs="Arial"/>
          <w:noProof/>
          <w:lang w:val="es-ES_tradnl"/>
        </w:rPr>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rsidRPr="007E6FC1" w:rsidR="00DD0575" w:rsidP="00DD0575" w:rsidRDefault="00DD0575" w14:paraId="18010C7C" w14:textId="77777777">
      <w:pPr>
        <w:spacing w:after="120" w:line="276" w:lineRule="auto"/>
        <w:ind w:firstLine="709"/>
        <w:jc w:val="both"/>
        <w:rPr>
          <w:rFonts w:ascii="Century Gothic" w:hAnsi="Century Gothic" w:cs="Arial"/>
          <w:noProof/>
          <w:lang w:val="es-ES_tradnl"/>
        </w:rPr>
      </w:pPr>
      <w:r w:rsidRPr="007E6FC1">
        <w:rPr>
          <w:rFonts w:ascii="Century Gothic" w:hAnsi="Century Gothic"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7E6FC1">
        <w:rPr>
          <w:rFonts w:ascii="Century Gothic" w:hAnsi="Century Gothic" w:cs="Arial"/>
          <w:i/>
          <w:noProof/>
          <w:lang w:val="es-ES_tradnl"/>
        </w:rPr>
        <w:t xml:space="preserve">subordinación </w:t>
      </w:r>
      <w:r w:rsidRPr="007E6FC1">
        <w:rPr>
          <w:rFonts w:ascii="Century Gothic" w:hAnsi="Century Gothic" w:cs="Arial"/>
          <w:iCs/>
          <w:noProof/>
          <w:lang w:val="es-ES_tradnl"/>
        </w:rPr>
        <w:t>ni</w:t>
      </w:r>
      <w:r w:rsidRPr="007E6FC1">
        <w:rPr>
          <w:rFonts w:ascii="Century Gothic" w:hAnsi="Century Gothic" w:cs="Arial"/>
          <w:i/>
          <w:noProof/>
          <w:lang w:val="es-ES_tradnl"/>
        </w:rPr>
        <w:t xml:space="preserve"> dependencia</w:t>
      </w:r>
      <w:r w:rsidRPr="007E6FC1">
        <w:rPr>
          <w:rFonts w:ascii="Century Gothic" w:hAnsi="Century Gothic" w:cs="Arial"/>
          <w:iCs/>
          <w:noProof/>
          <w:lang w:val="es-ES_tradnl"/>
        </w:rPr>
        <w:t>,</w:t>
      </w:r>
      <w:r w:rsidRPr="007E6FC1">
        <w:rPr>
          <w:rFonts w:ascii="Century Gothic" w:hAnsi="Century Gothic" w:cs="Arial"/>
          <w:noProof/>
          <w:lang w:val="es-ES_tradnl"/>
        </w:rPr>
        <w:t xml:space="preserve"> que es uno de los elementos constitutivos del vínculo laboral</w:t>
      </w:r>
      <w:r w:rsidRPr="007E6FC1">
        <w:rPr>
          <w:rFonts w:ascii="Century Gothic" w:hAnsi="Century Gothic" w:cs="Arial"/>
          <w:noProof/>
          <w:vertAlign w:val="superscript"/>
          <w:lang w:val="es-ES_tradnl"/>
        </w:rPr>
        <w:footnoteReference w:id="5"/>
      </w:r>
      <w:r w:rsidRPr="007E6FC1">
        <w:rPr>
          <w:rFonts w:ascii="Century Gothic" w:hAnsi="Century Gothic"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7E6FC1">
        <w:rPr>
          <w:rFonts w:ascii="Century Gothic" w:hAnsi="Century Gothic" w:cs="Arial"/>
          <w:i/>
          <w:noProof/>
          <w:lang w:val="es-ES_tradnl"/>
        </w:rPr>
        <w:t>no pueden</w:t>
      </w:r>
      <w:r w:rsidRPr="007E6FC1">
        <w:rPr>
          <w:rFonts w:ascii="Century Gothic" w:hAnsi="Century Gothic"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7E6FC1">
        <w:rPr>
          <w:rFonts w:ascii="Century Gothic" w:hAnsi="Century Gothic" w:cs="Arial"/>
          <w:noProof/>
          <w:vertAlign w:val="superscript"/>
          <w:lang w:val="es-ES_tradnl"/>
        </w:rPr>
        <w:footnoteReference w:id="6"/>
      </w:r>
      <w:r w:rsidRPr="007E6FC1">
        <w:rPr>
          <w:rFonts w:ascii="Century Gothic" w:hAnsi="Century Gothic" w:cs="Arial"/>
          <w:noProof/>
          <w:lang w:val="es-ES_tradnl"/>
        </w:rPr>
        <w:t xml:space="preserve">. </w:t>
      </w:r>
    </w:p>
    <w:p w:rsidRPr="007E6FC1" w:rsidR="00DD0575" w:rsidP="00DD0575" w:rsidRDefault="00DD0575" w14:paraId="7B48BB73" w14:textId="77777777">
      <w:pPr>
        <w:spacing w:after="120" w:line="276" w:lineRule="auto"/>
        <w:ind w:firstLine="709"/>
        <w:jc w:val="both"/>
        <w:rPr>
          <w:rFonts w:ascii="Century Gothic" w:hAnsi="Century Gothic" w:cs="Arial"/>
          <w:noProof/>
          <w:lang w:val="es-ES_tradnl"/>
        </w:rPr>
      </w:pPr>
      <w:r w:rsidRPr="007E6FC1">
        <w:rPr>
          <w:rFonts w:ascii="Century Gothic" w:hAnsi="Century Gothic" w:cs="Arial"/>
          <w:noProof/>
          <w:lang w:val="es-ES_tradnl"/>
        </w:rPr>
        <w:t xml:space="preserve">A pesar de este mandato deontológico, es posible que en la práctica se configure una relación laboral, pues el contrato de trabajo es </w:t>
      </w:r>
      <w:r w:rsidRPr="007E6FC1">
        <w:rPr>
          <w:rFonts w:ascii="Century Gothic" w:hAnsi="Century Gothic" w:cs="Arial"/>
          <w:i/>
          <w:iCs/>
          <w:noProof/>
          <w:lang w:val="es-ES_tradnl"/>
        </w:rPr>
        <w:t xml:space="preserve">de </w:t>
      </w:r>
      <w:r w:rsidRPr="007E6FC1">
        <w:rPr>
          <w:rFonts w:ascii="Century Gothic" w:hAnsi="Century Gothic" w:cs="Arial"/>
          <w:i/>
          <w:noProof/>
          <w:lang w:val="es-ES_tradnl"/>
        </w:rPr>
        <w:t>realidad</w:t>
      </w:r>
      <w:r w:rsidRPr="007E6FC1">
        <w:rPr>
          <w:rFonts w:ascii="Century Gothic" w:hAnsi="Century Gothic" w:cs="Arial"/>
          <w:noProof/>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7E6FC1">
        <w:rPr>
          <w:rFonts w:ascii="Century Gothic" w:hAnsi="Century Gothic" w:cs="Arial"/>
          <w:noProof/>
          <w:vertAlign w:val="superscript"/>
          <w:lang w:val="es-ES_tradnl"/>
        </w:rPr>
        <w:footnoteReference w:id="7"/>
      </w:r>
      <w:r w:rsidRPr="007E6FC1">
        <w:rPr>
          <w:rFonts w:ascii="Century Gothic" w:hAnsi="Century Gothic" w:cs="Arial"/>
          <w:noProof/>
          <w:lang w:val="es-ES_tradnl"/>
        </w:rPr>
        <w:t>.</w:t>
      </w:r>
    </w:p>
    <w:p w:rsidRPr="007E6FC1" w:rsidR="00DD0575" w:rsidP="00DD0575" w:rsidRDefault="00DD0575" w14:paraId="304C12C7" w14:textId="77777777">
      <w:pPr>
        <w:spacing w:line="276" w:lineRule="auto"/>
        <w:ind w:firstLine="709"/>
        <w:jc w:val="both"/>
        <w:rPr>
          <w:rFonts w:ascii="Century Gothic" w:hAnsi="Century Gothic" w:cs="Arial"/>
          <w:noProof/>
          <w:lang w:val="es-ES_tradnl"/>
        </w:rPr>
      </w:pPr>
      <w:r w:rsidRPr="007E6FC1">
        <w:rPr>
          <w:rFonts w:ascii="Century Gothic" w:hAnsi="Century Gothic" w:cs="Arial"/>
          <w:noProof/>
          <w:lang w:val="es-ES_tradnl"/>
        </w:rPr>
        <w:t xml:space="preserve">iv) 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w:t>
      </w:r>
      <w:r w:rsidRPr="007E6FC1">
        <w:rPr>
          <w:rFonts w:ascii="Century Gothic" w:hAnsi="Century Gothic" w:cs="Arial"/>
          <w:lang w:val="es-MX"/>
        </w:rPr>
        <w:t xml:space="preserve">De igual manera, señaló que “no cabe su empleo para la cobertura indefinida de necesidades permanentes o recurrentes”. </w:t>
      </w:r>
      <w:r w:rsidRPr="007E6FC1">
        <w:rPr>
          <w:rFonts w:ascii="Century Gothic" w:hAnsi="Century Gothic" w:cs="Arial"/>
          <w:noProof/>
          <w:lang w:val="es-ES_tradnl"/>
        </w:rPr>
        <w:t>En sentido similar se manifestó la Corte Constitucional en la sentencia C-154 de 1997, expresando que:</w:t>
      </w:r>
    </w:p>
    <w:p w:rsidRPr="007E6FC1" w:rsidR="00DD0575" w:rsidP="00DD0575" w:rsidRDefault="00DD0575" w14:paraId="71793AA0" w14:textId="77777777">
      <w:pPr>
        <w:spacing w:line="276" w:lineRule="auto"/>
        <w:contextualSpacing/>
        <w:jc w:val="both"/>
        <w:rPr>
          <w:rFonts w:ascii="Century Gothic" w:hAnsi="Century Gothic" w:cs="Arial"/>
          <w:noProof/>
          <w:lang w:val="es-ES_tradnl"/>
        </w:rPr>
      </w:pPr>
    </w:p>
    <w:p w:rsidRPr="007E6FC1" w:rsidR="00DD0575" w:rsidP="00DD0575" w:rsidRDefault="00DD0575" w14:paraId="52CB0043" w14:textId="77777777">
      <w:pPr>
        <w:spacing w:line="240" w:lineRule="auto"/>
        <w:ind w:left="709" w:right="709"/>
        <w:contextualSpacing/>
        <w:jc w:val="both"/>
        <w:rPr>
          <w:rFonts w:ascii="Century Gothic" w:hAnsi="Century Gothic" w:cs="Arial"/>
          <w:noProof/>
          <w:sz w:val="21"/>
          <w:szCs w:val="21"/>
          <w:lang w:val="es-ES_tradnl"/>
        </w:rPr>
      </w:pPr>
      <w:r w:rsidRPr="007E6FC1">
        <w:rPr>
          <w:rFonts w:ascii="Century Gothic" w:hAnsi="Century Gothic" w:eastAsia="Yu Gothic UI Semibold" w:cs="Arial"/>
          <w:iCs/>
          <w:sz w:val="21"/>
          <w:szCs w:val="21"/>
          <w:lang w:eastAsia="es-MX"/>
        </w:rPr>
        <w:t>“</w:t>
      </w:r>
      <w:r w:rsidRPr="007E6FC1">
        <w:rPr>
          <w:rFonts w:ascii="Century Gothic" w:hAnsi="Century Gothic" w:cs="Arial"/>
          <w:noProof/>
          <w:sz w:val="21"/>
          <w:szCs w:val="21"/>
          <w:lang w:val="es-ES_tradnl"/>
        </w:rPr>
        <w:t xml:space="preserve">La vigencia del contrato es temporal y, por lo tanto, su duración debe ser por tiempo limitado y el indispensable para ejecutar el objeto </w:t>
      </w:r>
      <w:r w:rsidRPr="007E6FC1">
        <w:rPr>
          <w:rFonts w:ascii="Century Gothic" w:hAnsi="Century Gothic" w:cs="Arial"/>
          <w:noProof/>
          <w:sz w:val="21"/>
          <w:szCs w:val="21"/>
          <w:lang w:val="es-ES_tradnl"/>
        </w:rPr>
        <w:t>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7E6FC1">
        <w:rPr>
          <w:rFonts w:ascii="Century Gothic" w:hAnsi="Century Gothic" w:cs="Arial"/>
          <w:noProof/>
          <w:sz w:val="21"/>
          <w:szCs w:val="21"/>
          <w:vertAlign w:val="superscript"/>
          <w:lang w:val="es-ES_tradnl"/>
        </w:rPr>
        <w:footnoteReference w:id="8"/>
      </w:r>
      <w:r w:rsidRPr="007E6FC1">
        <w:rPr>
          <w:rFonts w:ascii="Century Gothic" w:hAnsi="Century Gothic" w:cs="Arial"/>
          <w:noProof/>
          <w:sz w:val="21"/>
          <w:szCs w:val="21"/>
          <w:lang w:val="es-ES_tradnl"/>
        </w:rPr>
        <w:t>.</w:t>
      </w:r>
    </w:p>
    <w:p w:rsidRPr="007E6FC1" w:rsidR="00DD0575" w:rsidP="00DD0575" w:rsidRDefault="00DD0575" w14:paraId="50D5F928" w14:textId="77777777">
      <w:pPr>
        <w:spacing w:line="276" w:lineRule="auto"/>
        <w:ind w:left="709" w:right="709"/>
        <w:contextualSpacing/>
        <w:jc w:val="both"/>
        <w:rPr>
          <w:rFonts w:ascii="Century Gothic" w:hAnsi="Century Gothic" w:cs="Arial"/>
          <w:noProof/>
          <w:lang w:val="es-ES_tradnl"/>
        </w:rPr>
      </w:pPr>
    </w:p>
    <w:p w:rsidRPr="007E6FC1" w:rsidR="00DD0575" w:rsidP="00DD0575" w:rsidRDefault="00DD0575" w14:paraId="3BC4662C" w14:textId="77777777">
      <w:pPr>
        <w:spacing w:after="120" w:line="276" w:lineRule="auto"/>
        <w:ind w:firstLine="709"/>
        <w:jc w:val="both"/>
        <w:rPr>
          <w:rFonts w:ascii="Century Gothic" w:hAnsi="Century Gothic" w:cs="Arial"/>
          <w:noProof/>
          <w:lang w:val="es-ES_tradnl"/>
        </w:rPr>
      </w:pPr>
      <w:r w:rsidRPr="007E6FC1">
        <w:rPr>
          <w:rFonts w:ascii="Century Gothic" w:hAnsi="Century Gothic"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7E6FC1">
        <w:rPr>
          <w:rFonts w:ascii="Century Gothic" w:hAnsi="Century Gothic" w:cs="Arial"/>
          <w:noProof/>
          <w:vertAlign w:val="superscript"/>
          <w:lang w:val="es-ES_tradnl"/>
        </w:rPr>
        <w:footnoteReference w:id="9"/>
      </w:r>
      <w:r w:rsidRPr="007E6FC1">
        <w:rPr>
          <w:rFonts w:ascii="Century Gothic" w:hAnsi="Century Gothic" w:cs="Arial"/>
          <w:noProof/>
          <w:lang w:val="es-ES_tradnl"/>
        </w:rPr>
        <w:t>. Esto también se deriva d</w:t>
      </w:r>
      <w:r w:rsidRPr="007E6FC1">
        <w:rPr>
          <w:rFonts w:ascii="Century Gothic" w:hAnsi="Century Gothic" w:eastAsia="Calibri"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rsidRPr="007E6FC1" w:rsidR="00DD0575" w:rsidP="00DD0575" w:rsidRDefault="00DD0575" w14:paraId="78907C60" w14:textId="77777777">
      <w:pPr>
        <w:spacing w:after="120" w:line="276" w:lineRule="auto"/>
        <w:ind w:firstLine="709"/>
        <w:jc w:val="both"/>
        <w:rPr>
          <w:rFonts w:ascii="Century Gothic" w:hAnsi="Century Gothic" w:cs="Arial"/>
          <w:noProof/>
          <w:lang w:val="es-ES_tradnl"/>
        </w:rPr>
      </w:pPr>
      <w:r w:rsidRPr="007E6FC1">
        <w:rPr>
          <w:rFonts w:ascii="Century Gothic" w:hAnsi="Century Gothic" w:cs="Arial"/>
          <w:noProof/>
          <w:lang w:val="es-ES_tradnl"/>
        </w:rPr>
        <w:t>vi) Para su celebración no se requiere expedir un acto administrativo de justificación de la contratación directa</w:t>
      </w:r>
      <w:r w:rsidRPr="007E6FC1">
        <w:rPr>
          <w:rFonts w:ascii="Century Gothic" w:hAnsi="Century Gothic" w:cs="Arial"/>
          <w:noProof/>
          <w:vertAlign w:val="superscript"/>
          <w:lang w:val="es-ES_tradnl"/>
        </w:rPr>
        <w:footnoteReference w:id="10"/>
      </w:r>
      <w:r w:rsidRPr="007E6FC1">
        <w:rPr>
          <w:rFonts w:ascii="Century Gothic" w:hAnsi="Century Gothic" w:cs="Arial"/>
          <w:noProof/>
          <w:lang w:val="es-ES_tradnl"/>
        </w:rPr>
        <w:t>.</w:t>
      </w:r>
    </w:p>
    <w:p w:rsidRPr="007E6FC1" w:rsidR="00DD0575" w:rsidP="00DD0575" w:rsidRDefault="00DD0575" w14:paraId="5A005946" w14:textId="77777777">
      <w:pPr>
        <w:spacing w:after="120" w:line="276" w:lineRule="auto"/>
        <w:ind w:firstLine="709"/>
        <w:jc w:val="both"/>
        <w:rPr>
          <w:rFonts w:ascii="Century Gothic" w:hAnsi="Century Gothic" w:cs="Arial"/>
          <w:noProof/>
          <w:lang w:val="es-ES_tradnl"/>
        </w:rPr>
      </w:pPr>
      <w:r w:rsidRPr="007E6FC1">
        <w:rPr>
          <w:rFonts w:ascii="Century Gothic" w:hAnsi="Century Gothic"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7E6FC1">
        <w:rPr>
          <w:rFonts w:ascii="Century Gothic" w:hAnsi="Century Gothic" w:cs="Arial"/>
          <w:noProof/>
          <w:vertAlign w:val="superscript"/>
          <w:lang w:val="es-ES_tradnl"/>
        </w:rPr>
        <w:footnoteReference w:id="11"/>
      </w:r>
      <w:r w:rsidRPr="007E6FC1">
        <w:rPr>
          <w:rFonts w:ascii="Century Gothic" w:hAnsi="Century Gothic" w:cs="Arial"/>
          <w:noProof/>
          <w:lang w:val="es-ES_tradnl"/>
        </w:rPr>
        <w:t>.</w:t>
      </w:r>
    </w:p>
    <w:p w:rsidRPr="007E6FC1" w:rsidR="00DD0575" w:rsidP="00DD0575" w:rsidRDefault="00DD0575" w14:paraId="5A6DA992" w14:textId="77777777">
      <w:pPr>
        <w:spacing w:after="120" w:line="276" w:lineRule="auto"/>
        <w:ind w:firstLine="709"/>
        <w:jc w:val="both"/>
        <w:rPr>
          <w:rFonts w:ascii="Century Gothic" w:hAnsi="Century Gothic" w:cs="Arial"/>
          <w:noProof/>
          <w:lang w:val="es-ES_tradnl"/>
        </w:rPr>
      </w:pPr>
      <w:r w:rsidRPr="007E6FC1">
        <w:rPr>
          <w:rFonts w:ascii="Century Gothic" w:hAnsi="Century Gothic" w:cs="Arial"/>
          <w:noProof/>
          <w:lang w:val="es-ES_tradnl"/>
        </w:rPr>
        <w:t>viii) No es obligatoria la liquidación de estos contratos, como lo establece el artículo 217 del Decreto 019 de 2012, que modificó el artículo 60 de la Ley 80 de 1993</w:t>
      </w:r>
      <w:r w:rsidRPr="007E6FC1">
        <w:rPr>
          <w:rFonts w:ascii="Century Gothic" w:hAnsi="Century Gothic" w:cs="Arial"/>
          <w:noProof/>
          <w:vertAlign w:val="superscript"/>
          <w:lang w:val="es-ES_tradnl"/>
        </w:rPr>
        <w:footnoteReference w:id="12"/>
      </w:r>
      <w:r w:rsidRPr="007E6FC1">
        <w:rPr>
          <w:rFonts w:ascii="Century Gothic" w:hAnsi="Century Gothic" w:cs="Arial"/>
          <w:noProof/>
          <w:lang w:val="es-ES_tradnl"/>
        </w:rPr>
        <w:t>.</w:t>
      </w:r>
    </w:p>
    <w:p w:rsidRPr="007E6FC1" w:rsidR="00DD0575" w:rsidP="00DD0575" w:rsidRDefault="00DD0575" w14:paraId="3C0F2965" w14:textId="77777777">
      <w:pPr>
        <w:spacing w:after="120" w:line="276" w:lineRule="auto"/>
        <w:ind w:firstLine="709"/>
        <w:jc w:val="both"/>
        <w:rPr>
          <w:rFonts w:ascii="Century Gothic" w:hAnsi="Century Gothic" w:cs="Arial"/>
          <w:noProof/>
          <w:lang w:val="es-ES_tradnl"/>
        </w:rPr>
      </w:pPr>
      <w:r w:rsidRPr="007E6FC1">
        <w:rPr>
          <w:rFonts w:ascii="Century Gothic" w:hAnsi="Century Gothic" w:cs="Arial"/>
          <w:noProof/>
          <w:lang w:val="es-ES_tradnl"/>
        </w:rPr>
        <w:t>ix) Para su celebración el contratista no requiere estar inscrito en el Registro Único de Proponentes –en adelante RUP–, como lo señala el artículo 6 de la Ley 1150 de 2007</w:t>
      </w:r>
      <w:r w:rsidRPr="007E6FC1">
        <w:rPr>
          <w:rFonts w:ascii="Century Gothic" w:hAnsi="Century Gothic" w:cs="Arial"/>
          <w:noProof/>
          <w:vertAlign w:val="superscript"/>
          <w:lang w:val="es-ES_tradnl"/>
        </w:rPr>
        <w:footnoteReference w:id="13"/>
      </w:r>
      <w:r w:rsidRPr="007E6FC1">
        <w:rPr>
          <w:rFonts w:ascii="Century Gothic" w:hAnsi="Century Gothic" w:cs="Arial"/>
          <w:noProof/>
          <w:lang w:val="es-ES_tradnl"/>
        </w:rPr>
        <w:t>.</w:t>
      </w:r>
    </w:p>
    <w:p w:rsidRPr="007E6FC1" w:rsidR="00DD0575" w:rsidP="00DD0575" w:rsidRDefault="00DD0575" w14:paraId="2CB3DBFD" w14:textId="77777777">
      <w:pPr>
        <w:spacing w:after="120" w:line="276" w:lineRule="auto"/>
        <w:ind w:firstLine="708"/>
        <w:jc w:val="both"/>
        <w:rPr>
          <w:rFonts w:ascii="Century Gothic" w:hAnsi="Century Gothic" w:cs="Arial"/>
          <w:noProof/>
          <w:lang w:val="es-ES_tradnl"/>
        </w:rPr>
      </w:pPr>
      <w:r w:rsidRPr="007E6FC1">
        <w:rPr>
          <w:rFonts w:ascii="Century Gothic" w:hAnsi="Century Gothic" w:cs="Arial"/>
          <w:noProof/>
          <w:lang w:val="es-ES_tradnl"/>
        </w:rPr>
        <w:t>x) No es obligtoria la exigencia de garantías</w:t>
      </w:r>
      <w:r w:rsidRPr="007E6FC1">
        <w:rPr>
          <w:rFonts w:ascii="Century Gothic" w:hAnsi="Century Gothic" w:cs="Arial"/>
          <w:noProof/>
          <w:vertAlign w:val="superscript"/>
          <w:lang w:val="es-ES_tradnl"/>
        </w:rPr>
        <w:footnoteReference w:id="14"/>
      </w:r>
      <w:r w:rsidRPr="007E6FC1">
        <w:rPr>
          <w:rFonts w:ascii="Century Gothic" w:hAnsi="Century Gothic" w:cs="Arial"/>
          <w:noProof/>
          <w:lang w:val="es-ES_tradnl"/>
        </w:rPr>
        <w:t>.</w:t>
      </w:r>
    </w:p>
    <w:p w:rsidRPr="007E6FC1" w:rsidR="00DD0575" w:rsidP="00DD0575" w:rsidRDefault="00DD0575" w14:paraId="0B0B39A7" w14:textId="77777777">
      <w:pPr>
        <w:spacing w:after="120" w:line="276" w:lineRule="auto"/>
        <w:ind w:firstLine="708"/>
        <w:jc w:val="both"/>
        <w:rPr>
          <w:rFonts w:ascii="Century Gothic" w:hAnsi="Century Gothic" w:cs="Arial"/>
          <w:noProof/>
          <w:lang w:val="es-ES"/>
        </w:rPr>
      </w:pPr>
      <w:r w:rsidRPr="007E6FC1">
        <w:rPr>
          <w:rFonts w:ascii="Century Gothic" w:hAnsi="Century Gothic" w:cs="Arial"/>
          <w:noProof/>
          <w:lang w:val="es-ES_tradnl"/>
        </w:rPr>
        <w:t>xi) Como los demás contratos estatales, se trata de un contrato solemne que debe constar por escrito y debe ser publicado en el SECOP.</w:t>
      </w:r>
    </w:p>
    <w:p w:rsidRPr="007E6FC1" w:rsidR="00DD0575" w:rsidP="00DD0575" w:rsidRDefault="00DD0575" w14:paraId="48AF6CBF" w14:textId="77777777">
      <w:pPr>
        <w:tabs>
          <w:tab w:val="left" w:pos="0"/>
        </w:tabs>
        <w:spacing w:before="120" w:after="0" w:line="276" w:lineRule="auto"/>
        <w:ind w:firstLine="709"/>
        <w:jc w:val="both"/>
        <w:rPr>
          <w:rFonts w:ascii="Century Gothic" w:hAnsi="Century Gothic" w:cs="Arial"/>
          <w:color w:val="000000" w:themeColor="text1"/>
          <w:lang w:val="es-MX"/>
        </w:rPr>
      </w:pPr>
      <w:proofErr w:type="spellStart"/>
      <w:r w:rsidRPr="007E6FC1">
        <w:rPr>
          <w:rFonts w:ascii="Century Gothic" w:hAnsi="Century Gothic" w:cs="Arial"/>
          <w:color w:val="000000" w:themeColor="text1"/>
          <w:lang w:val="es-ES"/>
        </w:rPr>
        <w:t>xii</w:t>
      </w:r>
      <w:proofErr w:type="spellEnd"/>
      <w:r w:rsidRPr="007E6FC1">
        <w:rPr>
          <w:rFonts w:ascii="Century Gothic" w:hAnsi="Century Gothic" w:cs="Arial"/>
          <w:color w:val="000000" w:themeColor="text1"/>
          <w:lang w:val="es-ES"/>
        </w:rPr>
        <w:t>) C</w:t>
      </w:r>
      <w:proofErr w:type="spellStart"/>
      <w:r w:rsidRPr="007E6FC1">
        <w:rPr>
          <w:rFonts w:ascii="Century Gothic" w:hAnsi="Century Gothic" w:cs="Arial"/>
          <w:color w:val="000000" w:themeColor="text1"/>
          <w:lang w:val="es-MX"/>
        </w:rPr>
        <w:t>omo</w:t>
      </w:r>
      <w:proofErr w:type="spellEnd"/>
      <w:r w:rsidRPr="007E6FC1">
        <w:rPr>
          <w:rFonts w:ascii="Century Gothic" w:hAnsi="Century Gothic" w:cs="Arial"/>
          <w:color w:val="000000" w:themeColor="text1"/>
          <w:lang w:val="es-MX"/>
        </w:rPr>
        <w:t xml:space="preserve"> especies del género </w:t>
      </w:r>
      <w:r w:rsidRPr="007E6FC1">
        <w:rPr>
          <w:rFonts w:ascii="Century Gothic" w:hAnsi="Century Gothic" w:cs="Arial"/>
          <w:i/>
          <w:color w:val="000000" w:themeColor="text1"/>
          <w:lang w:val="es-MX"/>
        </w:rPr>
        <w:t>prestación de servicios,</w:t>
      </w:r>
      <w:r w:rsidRPr="007E6FC1">
        <w:rPr>
          <w:rFonts w:ascii="Century Gothic" w:hAnsi="Century Gothic" w:cs="Arial"/>
          <w:color w:val="000000" w:themeColor="text1"/>
          <w:lang w:val="es-MX"/>
        </w:rPr>
        <w:t xml:space="preserve"> se incluyen </w:t>
      </w:r>
      <w:r w:rsidRPr="007E6FC1">
        <w:rPr>
          <w:rFonts w:ascii="Century Gothic" w:hAnsi="Century Gothic" w:cs="Arial"/>
          <w:color w:val="000000" w:themeColor="text1"/>
          <w:lang w:val="es-ES_tradnl"/>
        </w:rPr>
        <w:t xml:space="preserve">los </w:t>
      </w:r>
      <w:r w:rsidRPr="007E6FC1">
        <w:rPr>
          <w:rFonts w:ascii="Century Gothic" w:hAnsi="Century Gothic" w:cs="Arial"/>
          <w:i/>
          <w:iCs/>
          <w:color w:val="000000" w:themeColor="text1"/>
          <w:lang w:val="es-ES_tradnl"/>
        </w:rPr>
        <w:t>contratos de prestación de servicios profesionales, los contratos de prestación de servicios de apoyo a la gestión</w:t>
      </w:r>
      <w:r w:rsidRPr="007E6FC1">
        <w:rPr>
          <w:rFonts w:ascii="Century Gothic" w:hAnsi="Century Gothic" w:cs="Arial"/>
          <w:color w:val="000000" w:themeColor="text1"/>
          <w:lang w:val="es-ES_tradnl"/>
        </w:rPr>
        <w:t xml:space="preserve"> y los </w:t>
      </w:r>
      <w:r w:rsidRPr="007E6FC1">
        <w:rPr>
          <w:rFonts w:ascii="Century Gothic" w:hAnsi="Century Gothic" w:cs="Arial"/>
          <w:i/>
          <w:iCs/>
          <w:color w:val="000000" w:themeColor="text1"/>
          <w:lang w:val="es-ES_tradnl"/>
        </w:rPr>
        <w:t>contratos de prestación de servicios artísticos que solo pueden encomendarse a determinadas personas naturales</w:t>
      </w:r>
      <w:r w:rsidRPr="007E6FC1">
        <w:rPr>
          <w:rFonts w:ascii="Century Gothic" w:hAnsi="Century Gothic" w:cs="Arial"/>
          <w:color w:val="000000" w:themeColor="text1"/>
          <w:vertAlign w:val="superscript"/>
          <w:lang w:val="es-ES_tradnl"/>
        </w:rPr>
        <w:footnoteReference w:id="15"/>
      </w:r>
      <w:r w:rsidRPr="007E6FC1">
        <w:rPr>
          <w:rFonts w:ascii="Century Gothic" w:hAnsi="Century Gothic" w:cs="Arial"/>
          <w:color w:val="000000" w:themeColor="text1"/>
          <w:lang w:val="es-MX"/>
        </w:rPr>
        <w:t xml:space="preserve">. </w:t>
      </w:r>
      <w:r w:rsidRPr="007E6FC1">
        <w:rPr>
          <w:rFonts w:ascii="Century Gothic" w:hAnsi="Century Gothic" w:cs="Arial"/>
          <w:color w:val="000000" w:themeColor="text1"/>
          <w:lang w:val="es-ES_tradnl"/>
        </w:rPr>
        <w:t xml:space="preserve">La diferencia entre el contrato de prestación de servicios </w:t>
      </w:r>
      <w:r w:rsidRPr="007E6FC1">
        <w:rPr>
          <w:rFonts w:ascii="Century Gothic" w:hAnsi="Century Gothic" w:cs="Arial"/>
          <w:i/>
          <w:color w:val="000000" w:themeColor="text1"/>
          <w:lang w:val="es-ES_tradnl"/>
        </w:rPr>
        <w:t>profesionales</w:t>
      </w:r>
      <w:r w:rsidRPr="007E6FC1">
        <w:rPr>
          <w:rFonts w:ascii="Century Gothic" w:hAnsi="Century Gothic"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rsidRPr="007E6FC1" w:rsidR="00DD0575" w:rsidP="00DD0575" w:rsidRDefault="00DD0575" w14:paraId="0CEBB441" w14:textId="77777777">
      <w:pPr>
        <w:spacing w:line="276" w:lineRule="auto"/>
        <w:ind w:firstLine="709"/>
        <w:contextualSpacing/>
        <w:jc w:val="both"/>
        <w:rPr>
          <w:rFonts w:ascii="Century Gothic" w:hAnsi="Century Gothic" w:cs="Arial"/>
          <w:color w:val="000000" w:themeColor="text1"/>
          <w:lang w:val="es-ES_tradnl"/>
        </w:rPr>
      </w:pPr>
    </w:p>
    <w:p w:rsidRPr="007E6FC1" w:rsidR="00DD0575" w:rsidP="00DD0575" w:rsidRDefault="00DD0575" w14:paraId="496EE56C" w14:textId="77777777">
      <w:pPr>
        <w:spacing w:line="240" w:lineRule="auto"/>
        <w:ind w:left="709" w:right="709"/>
        <w:contextualSpacing/>
        <w:jc w:val="both"/>
        <w:rPr>
          <w:rFonts w:ascii="Century Gothic" w:hAnsi="Century Gothic" w:cs="Arial"/>
          <w:color w:val="000000" w:themeColor="text1"/>
          <w:sz w:val="21"/>
          <w:szCs w:val="21"/>
          <w:lang w:val="es-ES_tradnl"/>
        </w:rPr>
      </w:pPr>
      <w:r w:rsidRPr="007E6FC1">
        <w:rPr>
          <w:rFonts w:ascii="Century Gothic" w:hAnsi="Century Gothic" w:eastAsia="Yu Gothic UI Semibold" w:cs="Arial"/>
          <w:iCs/>
          <w:sz w:val="21"/>
          <w:szCs w:val="21"/>
          <w:lang w:eastAsia="es-MX"/>
        </w:rPr>
        <w:t>“</w:t>
      </w:r>
      <w:r w:rsidRPr="007E6FC1">
        <w:rPr>
          <w:rFonts w:ascii="Century Gothic" w:hAnsi="Century Gothic" w:cs="Arial"/>
          <w:color w:val="000000" w:themeColor="text1"/>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w:t>
      </w:r>
      <w:r w:rsidRPr="007E6FC1">
        <w:rPr>
          <w:rFonts w:ascii="Century Gothic" w:hAnsi="Century Gothic" w:cs="Arial"/>
          <w:color w:val="000000" w:themeColor="text1"/>
          <w:sz w:val="21"/>
          <w:szCs w:val="21"/>
          <w:lang w:val="es-ES_tradnl"/>
        </w:rPr>
        <w:t>demandar un conocimiento intelectivo cualificado: el saber profesional</w:t>
      </w:r>
      <w:r w:rsidRPr="007E6FC1">
        <w:rPr>
          <w:rFonts w:ascii="Century Gothic" w:hAnsi="Century Gothic" w:cs="Arial"/>
          <w:noProof/>
          <w:sz w:val="21"/>
          <w:szCs w:val="21"/>
          <w:lang w:val="es-ES_tradnl"/>
        </w:rPr>
        <w:t>”</w:t>
      </w:r>
      <w:r w:rsidRPr="007E6FC1">
        <w:rPr>
          <w:rFonts w:ascii="Century Gothic" w:hAnsi="Century Gothic" w:cs="Arial"/>
          <w:color w:val="000000" w:themeColor="text1"/>
          <w:sz w:val="21"/>
          <w:szCs w:val="21"/>
          <w:vertAlign w:val="superscript"/>
          <w:lang w:val="es-ES_tradnl"/>
        </w:rPr>
        <w:footnoteReference w:id="16"/>
      </w:r>
      <w:r w:rsidRPr="007E6FC1">
        <w:rPr>
          <w:rFonts w:ascii="Century Gothic" w:hAnsi="Century Gothic" w:cs="Arial"/>
          <w:color w:val="000000" w:themeColor="text1"/>
          <w:sz w:val="21"/>
          <w:szCs w:val="21"/>
          <w:lang w:val="es-ES_tradnl"/>
        </w:rPr>
        <w:t>.</w:t>
      </w:r>
    </w:p>
    <w:p w:rsidRPr="007E6FC1" w:rsidR="00DD0575" w:rsidP="00DD0575" w:rsidRDefault="00DD0575" w14:paraId="3E6448D6" w14:textId="77777777">
      <w:pPr>
        <w:ind w:firstLine="709"/>
        <w:contextualSpacing/>
        <w:jc w:val="both"/>
        <w:rPr>
          <w:rFonts w:ascii="Century Gothic" w:hAnsi="Century Gothic" w:cs="Arial"/>
          <w:color w:val="000000" w:themeColor="text1"/>
          <w:lang w:val="es-ES_tradnl"/>
        </w:rPr>
      </w:pPr>
    </w:p>
    <w:p w:rsidRPr="007E6FC1" w:rsidR="00DD0575" w:rsidP="00DD0575" w:rsidRDefault="00DD0575" w14:paraId="284B0319" w14:textId="77777777">
      <w:pPr>
        <w:spacing w:line="276" w:lineRule="auto"/>
        <w:ind w:firstLine="709"/>
        <w:contextualSpacing/>
        <w:jc w:val="both"/>
        <w:rPr>
          <w:rFonts w:ascii="Century Gothic" w:hAnsi="Century Gothic" w:cs="Arial"/>
          <w:color w:val="000000" w:themeColor="text1"/>
          <w:lang w:val="es-ES_tradnl"/>
        </w:rPr>
      </w:pPr>
      <w:r w:rsidRPr="007E6FC1">
        <w:rPr>
          <w:rFonts w:ascii="Century Gothic" w:hAnsi="Century Gothic" w:cs="Arial"/>
          <w:color w:val="000000" w:themeColor="text1"/>
          <w:lang w:val="es-ES_tradnl"/>
        </w:rPr>
        <w:t xml:space="preserve">Lo expuesto, según la jurisprudencia citada, se diferencia del objeto del </w:t>
      </w:r>
      <w:r w:rsidRPr="007E6FC1">
        <w:rPr>
          <w:rFonts w:ascii="Century Gothic" w:hAnsi="Century Gothic" w:cs="Arial"/>
          <w:i/>
          <w:iCs/>
          <w:color w:val="000000" w:themeColor="text1"/>
          <w:lang w:val="es-ES_tradnl"/>
        </w:rPr>
        <w:t>contrato de prestación de servicios de apoyo a la gestión</w:t>
      </w:r>
      <w:r w:rsidRPr="007E6FC1">
        <w:rPr>
          <w:rFonts w:ascii="Century Gothic" w:hAnsi="Century Gothic" w:cs="Arial"/>
          <w:color w:val="000000" w:themeColor="text1"/>
          <w:lang w:val="es-ES_tradnl"/>
        </w:rPr>
        <w:t>, en los siguientes aspectos:</w:t>
      </w:r>
    </w:p>
    <w:p w:rsidRPr="007E6FC1" w:rsidR="00DD0575" w:rsidP="00DD0575" w:rsidRDefault="00DD0575" w14:paraId="60C2A940" w14:textId="77777777">
      <w:pPr>
        <w:spacing w:line="276" w:lineRule="auto"/>
        <w:ind w:firstLine="709"/>
        <w:contextualSpacing/>
        <w:jc w:val="both"/>
        <w:rPr>
          <w:rFonts w:ascii="Century Gothic" w:hAnsi="Century Gothic" w:cs="Arial"/>
          <w:color w:val="000000" w:themeColor="text1"/>
          <w:lang w:val="es-ES_tradnl"/>
        </w:rPr>
      </w:pPr>
    </w:p>
    <w:p w:rsidRPr="007E6FC1" w:rsidR="00DD0575" w:rsidP="00DD0575" w:rsidRDefault="00DD0575" w14:paraId="26E3EDEB" w14:textId="77777777">
      <w:pPr>
        <w:spacing w:line="240" w:lineRule="auto"/>
        <w:ind w:left="709" w:right="709"/>
        <w:contextualSpacing/>
        <w:jc w:val="both"/>
        <w:rPr>
          <w:rFonts w:ascii="Century Gothic" w:hAnsi="Century Gothic" w:cs="Arial"/>
          <w:color w:val="000000" w:themeColor="text1"/>
          <w:sz w:val="21"/>
          <w:szCs w:val="21"/>
          <w:lang w:val="es-ES_tradnl"/>
        </w:rPr>
      </w:pPr>
      <w:r w:rsidRPr="007E6FC1">
        <w:rPr>
          <w:rFonts w:ascii="Century Gothic" w:hAnsi="Century Gothic" w:eastAsia="Yu Gothic UI Semibold" w:cs="Arial"/>
          <w:iCs/>
          <w:sz w:val="21"/>
          <w:szCs w:val="21"/>
          <w:lang w:eastAsia="es-MX"/>
        </w:rPr>
        <w:t>“</w:t>
      </w:r>
      <w:r w:rsidRPr="007E6FC1">
        <w:rPr>
          <w:rFonts w:ascii="Century Gothic" w:hAnsi="Century Gothic"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rsidRPr="007E6FC1" w:rsidR="00DD0575" w:rsidP="00DD0575" w:rsidRDefault="00DD0575" w14:paraId="112B18E8" w14:textId="77777777">
      <w:pPr>
        <w:spacing w:line="240" w:lineRule="auto"/>
        <w:ind w:left="709" w:right="709"/>
        <w:contextualSpacing/>
        <w:jc w:val="both"/>
        <w:rPr>
          <w:rFonts w:ascii="Century Gothic" w:hAnsi="Century Gothic" w:cs="Arial"/>
          <w:color w:val="000000" w:themeColor="text1"/>
          <w:sz w:val="12"/>
          <w:szCs w:val="12"/>
          <w:lang w:val="es-ES_tradnl"/>
        </w:rPr>
      </w:pPr>
    </w:p>
    <w:p w:rsidRPr="007E6FC1" w:rsidR="00DD0575" w:rsidP="00DD0575" w:rsidRDefault="00DD0575" w14:paraId="3D67292A" w14:textId="77777777">
      <w:pPr>
        <w:spacing w:line="240" w:lineRule="auto"/>
        <w:ind w:left="709" w:right="709"/>
        <w:contextualSpacing/>
        <w:jc w:val="both"/>
        <w:rPr>
          <w:rFonts w:ascii="Century Gothic" w:hAnsi="Century Gothic" w:cs="Arial"/>
          <w:color w:val="000000" w:themeColor="text1"/>
          <w:sz w:val="21"/>
          <w:szCs w:val="21"/>
          <w:lang w:val="es-ES_tradnl"/>
        </w:rPr>
      </w:pPr>
      <w:r w:rsidRPr="007E6FC1">
        <w:rPr>
          <w:rFonts w:ascii="Century Gothic" w:hAnsi="Century Gothic" w:cs="Arial"/>
          <w:color w:val="000000" w:themeColor="text1"/>
          <w:sz w:val="21"/>
          <w:szCs w:val="21"/>
          <w:lang w:val="es-ES_tradnl"/>
        </w:rPr>
        <w:t xml:space="preserve">Aunque también se caracteriza por el desempeño de actividad intelectiva, ésta </w:t>
      </w:r>
      <w:proofErr w:type="gramStart"/>
      <w:r w:rsidRPr="007E6FC1">
        <w:rPr>
          <w:rFonts w:ascii="Century Gothic" w:hAnsi="Century Gothic" w:cs="Arial"/>
          <w:color w:val="000000" w:themeColor="text1"/>
          <w:sz w:val="21"/>
          <w:szCs w:val="21"/>
          <w:lang w:val="es-ES_tradnl"/>
        </w:rPr>
        <w:t>se enmarca dentro de</w:t>
      </w:r>
      <w:proofErr w:type="gramEnd"/>
      <w:r w:rsidRPr="007E6FC1">
        <w:rPr>
          <w:rFonts w:ascii="Century Gothic" w:hAnsi="Century Gothic"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rsidRPr="007E6FC1" w:rsidR="00DD0575" w:rsidP="00DD0575" w:rsidRDefault="00DD0575" w14:paraId="39A30288" w14:textId="77777777">
      <w:pPr>
        <w:spacing w:line="240" w:lineRule="auto"/>
        <w:ind w:left="709" w:right="709"/>
        <w:contextualSpacing/>
        <w:jc w:val="both"/>
        <w:rPr>
          <w:rFonts w:ascii="Century Gothic" w:hAnsi="Century Gothic" w:cs="Arial"/>
          <w:color w:val="000000" w:themeColor="text1"/>
          <w:sz w:val="12"/>
          <w:szCs w:val="12"/>
          <w:lang w:val="es-ES_tradnl"/>
        </w:rPr>
      </w:pPr>
    </w:p>
    <w:p w:rsidRPr="007E6FC1" w:rsidR="00DD0575" w:rsidP="00DD0575" w:rsidRDefault="00DD0575" w14:paraId="3DA4DFD1" w14:textId="77777777">
      <w:pPr>
        <w:spacing w:line="240" w:lineRule="auto"/>
        <w:ind w:left="709" w:right="709"/>
        <w:contextualSpacing/>
        <w:jc w:val="both"/>
        <w:rPr>
          <w:rFonts w:ascii="Century Gothic" w:hAnsi="Century Gothic" w:cs="Arial"/>
          <w:color w:val="000000" w:themeColor="text1"/>
          <w:sz w:val="21"/>
          <w:szCs w:val="21"/>
          <w:lang w:val="es-ES_tradnl"/>
        </w:rPr>
      </w:pPr>
      <w:r w:rsidRPr="007E6FC1">
        <w:rPr>
          <w:rFonts w:ascii="Century Gothic" w:hAnsi="Century Gothic"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7E6FC1">
        <w:rPr>
          <w:rFonts w:ascii="Century Gothic" w:hAnsi="Century Gothic" w:cs="Arial"/>
          <w:noProof/>
          <w:sz w:val="21"/>
          <w:szCs w:val="21"/>
          <w:lang w:val="es-ES_tradnl"/>
        </w:rPr>
        <w:t>”</w:t>
      </w:r>
      <w:r w:rsidRPr="007E6FC1">
        <w:rPr>
          <w:rFonts w:ascii="Century Gothic" w:hAnsi="Century Gothic" w:cs="Arial"/>
          <w:color w:val="000000" w:themeColor="text1"/>
          <w:sz w:val="21"/>
          <w:szCs w:val="21"/>
          <w:vertAlign w:val="superscript"/>
          <w:lang w:val="es-ES_tradnl"/>
        </w:rPr>
        <w:footnoteReference w:id="17"/>
      </w:r>
      <w:r w:rsidRPr="007E6FC1">
        <w:rPr>
          <w:rFonts w:ascii="Century Gothic" w:hAnsi="Century Gothic" w:cs="Arial"/>
          <w:color w:val="000000" w:themeColor="text1"/>
          <w:sz w:val="21"/>
          <w:szCs w:val="21"/>
          <w:lang w:val="es-ES_tradnl"/>
        </w:rPr>
        <w:t>.</w:t>
      </w:r>
    </w:p>
    <w:p w:rsidRPr="007E6FC1" w:rsidR="00DD0575" w:rsidP="00DD0575" w:rsidRDefault="00DD0575" w14:paraId="792B288B" w14:textId="77777777">
      <w:pPr>
        <w:spacing w:line="276" w:lineRule="auto"/>
        <w:ind w:firstLine="709"/>
        <w:contextualSpacing/>
        <w:jc w:val="both"/>
        <w:rPr>
          <w:rFonts w:ascii="Century Gothic" w:hAnsi="Century Gothic" w:cs="Arial"/>
          <w:color w:val="000000" w:themeColor="text1"/>
          <w:lang w:val="es-ES_tradnl"/>
        </w:rPr>
      </w:pPr>
    </w:p>
    <w:p w:rsidRPr="007E6FC1" w:rsidR="00DD0575" w:rsidP="00DD0575" w:rsidRDefault="00DD0575" w14:paraId="07BF519D" w14:textId="77777777">
      <w:pPr>
        <w:spacing w:line="276" w:lineRule="auto"/>
        <w:ind w:firstLine="709"/>
        <w:contextualSpacing/>
        <w:jc w:val="both"/>
        <w:rPr>
          <w:rFonts w:ascii="Century Gothic" w:hAnsi="Century Gothic" w:cs="Arial"/>
          <w:color w:val="000000" w:themeColor="text1"/>
          <w:lang w:val="es-ES_tradnl"/>
        </w:rPr>
      </w:pPr>
      <w:r w:rsidRPr="007E6FC1">
        <w:rPr>
          <w:rFonts w:ascii="Century Gothic" w:hAnsi="Century Gothic" w:cs="Arial"/>
          <w:color w:val="000000" w:themeColor="text1"/>
          <w:lang w:val="es-ES_tradnl"/>
        </w:rPr>
        <w:t xml:space="preserve">En relación con el </w:t>
      </w:r>
      <w:r w:rsidRPr="007E6FC1">
        <w:rPr>
          <w:rFonts w:ascii="Century Gothic" w:hAnsi="Century Gothic" w:cs="Arial"/>
          <w:i/>
          <w:iCs/>
          <w:color w:val="000000" w:themeColor="text1"/>
          <w:lang w:val="es-ES_tradnl"/>
        </w:rPr>
        <w:t>contrato de prestación de servicios artísticos que solo pueden encomendarse a determinadas personas naturales</w:t>
      </w:r>
      <w:r w:rsidRPr="007E6FC1">
        <w:rPr>
          <w:rFonts w:ascii="Century Gothic" w:hAnsi="Century Gothic" w:cs="Arial"/>
          <w:color w:val="000000" w:themeColor="text1"/>
          <w:lang w:val="es-ES_tradnl"/>
        </w:rPr>
        <w:t>, señala la mencionada decisión judicial lo siguiente:</w:t>
      </w:r>
    </w:p>
    <w:p w:rsidRPr="007E6FC1" w:rsidR="00DD0575" w:rsidP="00DD0575" w:rsidRDefault="00DD0575" w14:paraId="51AAA3EA" w14:textId="77777777">
      <w:pPr>
        <w:spacing w:line="276" w:lineRule="auto"/>
        <w:ind w:left="709" w:right="709"/>
        <w:contextualSpacing/>
        <w:jc w:val="both"/>
        <w:rPr>
          <w:rFonts w:ascii="Century Gothic" w:hAnsi="Century Gothic" w:cs="Arial"/>
          <w:color w:val="000000" w:themeColor="text1"/>
          <w:lang w:val="es-ES_tradnl"/>
        </w:rPr>
      </w:pPr>
    </w:p>
    <w:p w:rsidRPr="007E6FC1" w:rsidR="00DD0575" w:rsidP="00DD0575" w:rsidRDefault="00DD0575" w14:paraId="1A5F2479" w14:textId="77777777">
      <w:pPr>
        <w:spacing w:after="0" w:line="240" w:lineRule="auto"/>
        <w:ind w:left="709" w:right="709"/>
        <w:jc w:val="both"/>
        <w:rPr>
          <w:rFonts w:ascii="Century Gothic" w:hAnsi="Century Gothic" w:cs="Arial"/>
          <w:color w:val="000000" w:themeColor="text1"/>
          <w:sz w:val="21"/>
          <w:szCs w:val="21"/>
          <w:lang w:val="es-ES_tradnl"/>
        </w:rPr>
      </w:pPr>
      <w:r w:rsidRPr="007E6FC1">
        <w:rPr>
          <w:rFonts w:ascii="Century Gothic" w:hAnsi="Century Gothic" w:eastAsia="Yu Gothic UI Semibold" w:cs="Arial"/>
          <w:iCs/>
          <w:sz w:val="21"/>
          <w:szCs w:val="21"/>
          <w:lang w:eastAsia="es-MX"/>
        </w:rPr>
        <w:t>“</w:t>
      </w:r>
      <w:r w:rsidRPr="007E6FC1">
        <w:rPr>
          <w:rFonts w:ascii="Century Gothic" w:hAnsi="Century Gothic"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7E6FC1">
        <w:rPr>
          <w:rFonts w:ascii="Century Gothic" w:hAnsi="Century Gothic" w:cs="Arial"/>
          <w:noProof/>
          <w:sz w:val="21"/>
          <w:szCs w:val="21"/>
          <w:lang w:val="es-ES_tradnl"/>
        </w:rPr>
        <w:t>”</w:t>
      </w:r>
      <w:r w:rsidRPr="007E6FC1">
        <w:rPr>
          <w:rFonts w:ascii="Century Gothic" w:hAnsi="Century Gothic" w:cs="Arial"/>
          <w:color w:val="000000" w:themeColor="text1"/>
          <w:sz w:val="21"/>
          <w:szCs w:val="21"/>
          <w:vertAlign w:val="superscript"/>
          <w:lang w:val="es-ES_tradnl"/>
        </w:rPr>
        <w:footnoteReference w:id="18"/>
      </w:r>
      <w:r w:rsidRPr="007E6FC1">
        <w:rPr>
          <w:rFonts w:ascii="Century Gothic" w:hAnsi="Century Gothic" w:cs="Arial"/>
          <w:color w:val="000000" w:themeColor="text1"/>
          <w:sz w:val="21"/>
          <w:szCs w:val="21"/>
          <w:lang w:val="es-ES_tradnl"/>
        </w:rPr>
        <w:t>.</w:t>
      </w:r>
    </w:p>
    <w:p w:rsidRPr="007E6FC1" w:rsidR="00DD0575" w:rsidP="00DD0575" w:rsidRDefault="00DD0575" w14:paraId="4F06EEFA" w14:textId="77777777">
      <w:pPr>
        <w:spacing w:line="276" w:lineRule="auto"/>
        <w:ind w:left="709" w:right="709"/>
        <w:contextualSpacing/>
        <w:jc w:val="both"/>
        <w:rPr>
          <w:rFonts w:ascii="Century Gothic" w:hAnsi="Century Gothic" w:cs="Arial"/>
          <w:color w:val="000000" w:themeColor="text1"/>
          <w:lang w:val="es-ES_tradnl"/>
        </w:rPr>
      </w:pPr>
    </w:p>
    <w:p w:rsidRPr="007E6FC1" w:rsidR="00DD0575" w:rsidP="00DD0575" w:rsidRDefault="00DD0575" w14:paraId="580ACF6D" w14:textId="77777777">
      <w:pPr>
        <w:spacing w:line="276" w:lineRule="auto"/>
        <w:ind w:firstLine="709"/>
        <w:contextualSpacing/>
        <w:jc w:val="both"/>
        <w:rPr>
          <w:rFonts w:ascii="Century Gothic" w:hAnsi="Century Gothic" w:cs="Arial"/>
          <w:color w:val="000000" w:themeColor="text1"/>
          <w:lang w:val="es-ES_tradnl"/>
        </w:rPr>
      </w:pPr>
      <w:r w:rsidRPr="007E6FC1">
        <w:rPr>
          <w:rFonts w:ascii="Century Gothic" w:hAnsi="Century Gothic" w:cs="Arial"/>
          <w:color w:val="000000" w:themeColor="text1"/>
          <w:lang w:val="es-ES_tradnl"/>
        </w:rPr>
        <w:t xml:space="preserve">En este sentido, el contrato de prestación de servicios </w:t>
      </w:r>
      <w:r w:rsidRPr="007E6FC1">
        <w:rPr>
          <w:rFonts w:ascii="Century Gothic" w:hAnsi="Century Gothic" w:cs="Arial"/>
          <w:i/>
          <w:iCs/>
          <w:color w:val="000000" w:themeColor="text1"/>
          <w:lang w:val="es-ES_tradnl"/>
        </w:rPr>
        <w:t>profesionales</w:t>
      </w:r>
      <w:r w:rsidRPr="007E6FC1">
        <w:rPr>
          <w:rFonts w:ascii="Century Gothic" w:hAnsi="Century Gothic" w:cs="Arial"/>
          <w:color w:val="000000" w:themeColor="text1"/>
          <w:lang w:val="es-ES_tradnl"/>
        </w:rPr>
        <w:t xml:space="preserve"> se caracteriza porque su objeto guarda relación con el desarrollo de actividades que demandan competencias y habilidades profesionales o especializadas de la </w:t>
      </w:r>
      <w:r w:rsidRPr="007E6FC1">
        <w:rPr>
          <w:rFonts w:ascii="Century Gothic" w:hAnsi="Century Gothic" w:cs="Arial"/>
          <w:color w:val="000000" w:themeColor="text1"/>
          <w:lang w:val="es-ES_tradnl"/>
        </w:rPr>
        <w:t xml:space="preserve">persona natural o jurídica a contratar, de manera que se trata de un </w:t>
      </w:r>
      <w:r w:rsidRPr="007E6FC1">
        <w:rPr>
          <w:rFonts w:ascii="Century Gothic" w:hAnsi="Century Gothic" w:cs="Arial"/>
          <w:i/>
          <w:iCs/>
          <w:color w:val="000000" w:themeColor="text1"/>
          <w:lang w:val="es-ES_tradnl"/>
        </w:rPr>
        <w:t>saber intelectivo cualificado.</w:t>
      </w:r>
      <w:r w:rsidRPr="007E6FC1">
        <w:rPr>
          <w:rFonts w:ascii="Century Gothic" w:hAnsi="Century Gothic" w:cs="Arial"/>
          <w:color w:val="000000" w:themeColor="text1"/>
          <w:lang w:val="es-ES_tradnl"/>
        </w:rPr>
        <w:t xml:space="preserve"> En cambio, los contratos de prestación de servicios de </w:t>
      </w:r>
      <w:r w:rsidRPr="007E6FC1">
        <w:rPr>
          <w:rFonts w:ascii="Century Gothic" w:hAnsi="Century Gothic" w:cs="Arial"/>
          <w:i/>
          <w:iCs/>
          <w:color w:val="000000" w:themeColor="text1"/>
          <w:lang w:val="es-ES_tradnl"/>
        </w:rPr>
        <w:t>apoyo a la gestión</w:t>
      </w:r>
      <w:r w:rsidRPr="007E6FC1">
        <w:rPr>
          <w:rFonts w:ascii="Century Gothic" w:hAnsi="Century Gothic" w:cs="Arial"/>
          <w:color w:val="000000" w:themeColor="text1"/>
          <w:lang w:val="es-ES_tradnl"/>
        </w:rPr>
        <w:t xml:space="preserve"> y de </w:t>
      </w:r>
      <w:r w:rsidRPr="007E6FC1">
        <w:rPr>
          <w:rFonts w:ascii="Century Gothic" w:hAnsi="Century Gothic" w:cs="Arial"/>
          <w:i/>
          <w:iCs/>
          <w:color w:val="000000" w:themeColor="text1"/>
          <w:lang w:val="es-ES_tradnl"/>
        </w:rPr>
        <w:t>servicios artísticos</w:t>
      </w:r>
      <w:r w:rsidRPr="007E6FC1">
        <w:rPr>
          <w:rFonts w:ascii="Century Gothic" w:hAnsi="Century Gothic" w:cs="Arial"/>
          <w:color w:val="000000" w:themeColor="text1"/>
          <w:lang w:val="es-ES_tradnl"/>
        </w:rPr>
        <w:t xml:space="preserve"> no involucran ese conocimiento profesional </w:t>
      </w:r>
      <w:r w:rsidRPr="007E6FC1">
        <w:rPr>
          <w:rFonts w:ascii="Century Gothic" w:hAnsi="Century Gothic" w:cs="Arial"/>
          <w:color w:val="000000" w:themeColor="text1"/>
          <w:lang w:val="es-MX"/>
        </w:rPr>
        <w:t xml:space="preserve">o especializados para su ejecución. En los contratos de apoyo a la gestión </w:t>
      </w:r>
      <w:r w:rsidRPr="007E6FC1">
        <w:rPr>
          <w:rFonts w:ascii="Century Gothic" w:hAnsi="Century Gothic" w:cs="Arial"/>
          <w:color w:val="000000" w:themeColor="text1"/>
          <w:lang w:val="es-ES_tradnl"/>
        </w:rPr>
        <w:t xml:space="preserve">el contratista desempeña un esfuerzo o actividad de apoyo, acompañamiento, o soporte, </w:t>
      </w:r>
      <w:r w:rsidRPr="007E6FC1">
        <w:rPr>
          <w:rFonts w:ascii="Century Gothic" w:hAnsi="Century Gothic" w:cs="Arial"/>
          <w:color w:val="000000" w:themeColor="text1"/>
          <w:lang w:val="es-MX"/>
        </w:rPr>
        <w:t xml:space="preserve">donde </w:t>
      </w:r>
      <w:r w:rsidRPr="007E6FC1">
        <w:rPr>
          <w:rFonts w:ascii="Century Gothic" w:hAnsi="Century Gothic" w:cs="Arial"/>
          <w:color w:val="000000" w:themeColor="text1"/>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rsidRPr="007E6FC1" w:rsidR="00DD0575" w:rsidP="00DD0575" w:rsidRDefault="00DD0575" w14:paraId="31C463F0" w14:textId="77777777">
      <w:pPr>
        <w:spacing w:line="276" w:lineRule="auto"/>
        <w:contextualSpacing/>
        <w:jc w:val="both"/>
        <w:rPr>
          <w:rFonts w:ascii="Century Gothic" w:hAnsi="Century Gothic" w:cs="Arial"/>
          <w:color w:val="000000" w:themeColor="text1"/>
          <w:lang w:val="es-ES_tradnl"/>
        </w:rPr>
      </w:pPr>
    </w:p>
    <w:p w:rsidRPr="007E6FC1" w:rsidR="00DD0575" w:rsidP="00DD0575" w:rsidRDefault="00DD0575" w14:paraId="563AB1C6" w14:textId="77777777">
      <w:pPr>
        <w:spacing w:line="276" w:lineRule="auto"/>
        <w:contextualSpacing/>
        <w:jc w:val="both"/>
        <w:rPr>
          <w:rFonts w:ascii="Century Gothic" w:hAnsi="Century Gothic" w:cs="Arial"/>
          <w:b/>
          <w:bCs/>
          <w:color w:val="000000" w:themeColor="text1"/>
          <w:lang w:val="es-ES_tradnl"/>
        </w:rPr>
      </w:pPr>
      <w:r w:rsidRPr="007E6FC1">
        <w:rPr>
          <w:rFonts w:ascii="Century Gothic" w:hAnsi="Century Gothic" w:cs="Arial"/>
          <w:b/>
          <w:bCs/>
          <w:color w:val="000000" w:themeColor="text1"/>
          <w:lang w:val="es-ES_tradnl"/>
        </w:rPr>
        <w:t>2.2. Concepto de adición en los contratos estatales y sus límites en el Estatuto General de Contratación de la Administración Pública. Reiteración de línea</w:t>
      </w:r>
    </w:p>
    <w:p w:rsidRPr="007E6FC1" w:rsidR="00DD0575" w:rsidP="00DD0575" w:rsidRDefault="00DD0575" w14:paraId="24C2CCA0" w14:textId="77777777">
      <w:pPr>
        <w:spacing w:line="276" w:lineRule="auto"/>
        <w:contextualSpacing/>
        <w:jc w:val="both"/>
        <w:rPr>
          <w:rFonts w:ascii="Century Gothic" w:hAnsi="Century Gothic" w:cs="Arial"/>
          <w:color w:val="000000" w:themeColor="text1"/>
          <w:lang w:val="es-ES_tradnl"/>
        </w:rPr>
      </w:pPr>
    </w:p>
    <w:p w:rsidRPr="005934F8" w:rsidR="00DD0575" w:rsidP="00DD0575" w:rsidRDefault="00DD0575" w14:paraId="6030EBD7" w14:textId="77777777">
      <w:pPr>
        <w:spacing w:after="0" w:line="276" w:lineRule="auto"/>
        <w:jc w:val="both"/>
        <w:rPr>
          <w:rFonts w:ascii="Century Gothic" w:hAnsi="Century Gothic"/>
        </w:rPr>
      </w:pPr>
      <w:r w:rsidRPr="005934F8">
        <w:rPr>
          <w:rFonts w:ascii="Century Gothic" w:hAnsi="Century Gothic"/>
        </w:rPr>
        <w:t>El Estatuto General de Contratación para la Administración Pública – EGCAP– no establece una diferencia entre los conceptos de prórroga, adición y renovación de los contratos estatales, por ello resulta necesario recurrir a otras disposiciones y aportes doctrinarios para distinguirlos. Como distinción inicial, se tiene que el concepto prórroga está particularmente ligado con la modificación ―ampliación― del plazo de los contratos; las adiciones con el incremento del valor, debido a la inclusión de nuevas obligaciones, sea por la introducción de nuevas actividades o por la ejecución de una mayor cantidad de las pactadas inicialmente; y la renovación con el nacimiento de un nuevo contrato, con condiciones similares o idénticas al contrato inicial</w:t>
      </w:r>
    </w:p>
    <w:p w:rsidR="00DD0575" w:rsidP="00DD0575" w:rsidRDefault="00DD0575" w14:paraId="4FD48F84" w14:textId="77777777">
      <w:pPr>
        <w:spacing w:after="0" w:line="276" w:lineRule="auto"/>
        <w:jc w:val="both"/>
      </w:pPr>
    </w:p>
    <w:p w:rsidRPr="007E6FC1" w:rsidR="00DD0575" w:rsidP="00DD0575" w:rsidRDefault="00DD0575" w14:paraId="289290D3" w14:textId="77777777">
      <w:pPr>
        <w:spacing w:after="0" w:line="276" w:lineRule="auto"/>
        <w:jc w:val="both"/>
        <w:rPr>
          <w:rFonts w:ascii="Century Gothic" w:hAnsi="Century Gothic" w:cs="Arial"/>
          <w:bCs/>
          <w:szCs w:val="24"/>
          <w:lang w:val="es-ES_tradnl" w:eastAsia="es-ES_tradnl"/>
        </w:rPr>
      </w:pPr>
      <w:r w:rsidRPr="007E6FC1">
        <w:rPr>
          <w:rFonts w:ascii="Century Gothic" w:hAnsi="Century Gothic" w:cs="Arial"/>
          <w:bCs/>
          <w:szCs w:val="24"/>
          <w:lang w:val="es-ES_tradnl" w:eastAsia="es-ES_tradnl"/>
        </w:rPr>
        <w:t xml:space="preserve">Como es sabido, uno de los elementos más comunes en los contratos estatales es el </w:t>
      </w:r>
      <w:r w:rsidRPr="007E6FC1">
        <w:rPr>
          <w:rFonts w:ascii="Century Gothic" w:hAnsi="Century Gothic" w:cs="Arial"/>
          <w:bCs/>
          <w:i/>
          <w:iCs/>
          <w:szCs w:val="24"/>
          <w:lang w:val="es-ES_tradnl" w:eastAsia="es-ES_tradnl"/>
        </w:rPr>
        <w:t>precio</w:t>
      </w:r>
      <w:r w:rsidRPr="007E6FC1">
        <w:rPr>
          <w:rFonts w:ascii="Century Gothic" w:hAnsi="Century Gothic" w:cs="Arial"/>
          <w:bCs/>
          <w:szCs w:val="24"/>
          <w:lang w:val="es-ES_tradnl" w:eastAsia="es-ES_tradn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rsidRPr="007E6FC1" w:rsidR="00DD0575" w:rsidP="00DD0575" w:rsidRDefault="00DD0575" w14:paraId="19CAA846" w14:textId="77777777">
      <w:pPr>
        <w:spacing w:before="120" w:after="0" w:line="276" w:lineRule="auto"/>
        <w:ind w:firstLine="709"/>
        <w:jc w:val="both"/>
        <w:rPr>
          <w:rFonts w:ascii="Century Gothic" w:hAnsi="Century Gothic" w:cs="Arial"/>
          <w:bCs/>
          <w:szCs w:val="24"/>
          <w:lang w:val="es-ES_tradnl" w:eastAsia="es-ES_tradnl"/>
        </w:rPr>
      </w:pPr>
      <w:r w:rsidRPr="007E6FC1">
        <w:rPr>
          <w:rFonts w:ascii="Century Gothic" w:hAnsi="Century Gothic" w:cs="Arial"/>
          <w:bCs/>
          <w:szCs w:val="24"/>
          <w:lang w:val="es-ES_tradnl" w:eastAsia="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7E6FC1">
        <w:rPr>
          <w:rFonts w:ascii="Century Gothic" w:hAnsi="Century Gothic" w:cs="Arial"/>
          <w:bCs/>
          <w:szCs w:val="24"/>
          <w:vertAlign w:val="superscript"/>
          <w:lang w:val="es-ES_tradnl" w:eastAsia="es-ES_tradnl"/>
        </w:rPr>
        <w:footnoteReference w:id="19"/>
      </w:r>
      <w:r w:rsidRPr="007E6FC1">
        <w:rPr>
          <w:rFonts w:ascii="Century Gothic" w:hAnsi="Century Gothic" w:cs="Arial"/>
          <w:bCs/>
          <w:szCs w:val="24"/>
          <w:lang w:val="es-ES_tradnl" w:eastAsia="es-ES_tradnl"/>
        </w:rPr>
        <w:t>.</w:t>
      </w:r>
    </w:p>
    <w:p w:rsidRPr="007E6FC1" w:rsidR="00DD0575" w:rsidP="00DD0575" w:rsidRDefault="00DD0575" w14:paraId="0EA6530F" w14:textId="77777777">
      <w:pPr>
        <w:spacing w:before="120" w:after="0" w:line="276" w:lineRule="auto"/>
        <w:ind w:firstLine="709"/>
        <w:jc w:val="both"/>
        <w:rPr>
          <w:rFonts w:ascii="Century Gothic" w:hAnsi="Century Gothic" w:cs="Arial"/>
          <w:bCs/>
          <w:szCs w:val="24"/>
          <w:lang w:val="es-ES_tradnl" w:eastAsia="es-ES_tradnl"/>
        </w:rPr>
      </w:pPr>
      <w:r w:rsidRPr="007E6FC1">
        <w:rPr>
          <w:rFonts w:ascii="Century Gothic" w:hAnsi="Century Gothic" w:cs="Arial"/>
          <w:bCs/>
          <w:szCs w:val="24"/>
          <w:lang w:val="es-ES_tradnl" w:eastAsia="es-ES_tradnl"/>
        </w:rPr>
        <w:t xml:space="preserve">En ese contexto, tanto las entidades sometidas al Estatuto General de Contratación de la Administración Pública, en adelante EGCAP, como las excluidas de este, es decir las que tienen un régimen especial, gozan de autonomía para configurar el precio y para establecer el sistema de pago más apropiado para </w:t>
      </w:r>
      <w:proofErr w:type="spellStart"/>
      <w:r w:rsidRPr="007E6FC1">
        <w:rPr>
          <w:rFonts w:ascii="Century Gothic" w:hAnsi="Century Gothic" w:cs="Arial"/>
          <w:bCs/>
          <w:szCs w:val="24"/>
          <w:lang w:val="es-ES_tradnl" w:eastAsia="es-ES_tradnl"/>
        </w:rPr>
        <w:t>satisface</w:t>
      </w:r>
      <w:proofErr w:type="spellEnd"/>
      <w:r w:rsidRPr="007E6FC1">
        <w:rPr>
          <w:rFonts w:ascii="Century Gothic" w:hAnsi="Century Gothic" w:cs="Arial"/>
          <w:bCs/>
          <w:szCs w:val="24"/>
          <w:lang w:val="es-ES_tradnl" w:eastAsia="es-ES_tradnl"/>
        </w:rPr>
        <w:t xml:space="preserve"> los fines de la contratación, respetando los límites previstos en el ordenamiento. Para las entidades que se rigen por el EGCAP, tal autonomía está reconocida en los artículos 13, 32 y 40de la Ley 80 de 1993.</w:t>
      </w:r>
    </w:p>
    <w:p w:rsidRPr="007E6FC1" w:rsidR="00DD0575" w:rsidP="00DD0575" w:rsidRDefault="00DD0575" w14:paraId="1DCD20D2" w14:textId="77777777">
      <w:pPr>
        <w:spacing w:before="120" w:after="0" w:line="276" w:lineRule="auto"/>
        <w:ind w:firstLine="709"/>
        <w:jc w:val="both"/>
        <w:rPr>
          <w:rFonts w:ascii="Century Gothic" w:hAnsi="Century Gothic" w:cs="Arial"/>
          <w:bCs/>
          <w:szCs w:val="24"/>
          <w:lang w:val="es-ES_tradnl" w:eastAsia="es-ES_tradnl"/>
        </w:rPr>
      </w:pPr>
      <w:r w:rsidRPr="007E6FC1">
        <w:rPr>
          <w:rFonts w:ascii="Century Gothic" w:hAnsi="Century Gothic" w:cs="Arial"/>
          <w:bCs/>
          <w:szCs w:val="24"/>
          <w:lang w:val="es-ES_tradnl" w:eastAsia="es-ES_tradnl"/>
        </w:rPr>
        <w:t xml:space="preserve">Ahora bien, la ejecución de los contratos estatales está sujeta a los cambios propios del paso del tiempo. Así, durante la etapa de planeación, las Entidades Estatales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7E6FC1">
        <w:rPr>
          <w:rFonts w:ascii="Century Gothic" w:hAnsi="Century Gothic" w:cs="Arial"/>
          <w:bCs/>
          <w:szCs w:val="24"/>
          <w:lang w:val="es-ES_tradnl" w:eastAsia="es-ES_tradnl"/>
        </w:rPr>
        <w:t>ii</w:t>
      </w:r>
      <w:proofErr w:type="spellEnd"/>
      <w:r w:rsidRPr="007E6FC1">
        <w:rPr>
          <w:rFonts w:ascii="Century Gothic" w:hAnsi="Century Gothic" w:cs="Arial"/>
          <w:bCs/>
          <w:szCs w:val="24"/>
          <w:lang w:val="es-ES_tradnl" w:eastAsia="es-ES_tradnl"/>
        </w:rPr>
        <w:t xml:space="preserve">) la necesidad de ampliar las prestaciones contractuales, mediante la ejecución de nuevos ítems o actividades, no incluidos en el contrato inicial, para lo que en la práctica las entidades ejecutan </w:t>
      </w:r>
      <w:r w:rsidRPr="007E6FC1">
        <w:rPr>
          <w:rFonts w:ascii="Century Gothic" w:hAnsi="Century Gothic" w:cs="Arial"/>
          <w:bCs/>
          <w:szCs w:val="24"/>
          <w:lang w:val="es-ES_tradnl" w:eastAsia="es-ES_tradnl"/>
        </w:rPr>
        <w:t>“obras extra” o “amplían el alcance” del contrato mediante la celebración de un “contrato adicional”.</w:t>
      </w:r>
    </w:p>
    <w:p w:rsidRPr="007E6FC1" w:rsidR="00DD0575" w:rsidP="00DD0575" w:rsidRDefault="00DD0575" w14:paraId="6170DEDF" w14:textId="77777777">
      <w:pPr>
        <w:spacing w:before="120" w:after="0" w:line="276" w:lineRule="auto"/>
        <w:ind w:firstLine="709"/>
        <w:jc w:val="both"/>
        <w:rPr>
          <w:rFonts w:ascii="Century Gothic" w:hAnsi="Century Gothic" w:cs="Arial"/>
          <w:lang w:val="es-ES_tradnl" w:eastAsia="es-ES_tradnl"/>
        </w:rPr>
      </w:pPr>
      <w:r w:rsidRPr="007E6FC1">
        <w:rPr>
          <w:rFonts w:ascii="Century Gothic" w:hAnsi="Century Gothic" w:cs="Arial"/>
          <w:lang w:val="es-ES_tradnl" w:eastAsia="es-ES_tradnl"/>
        </w:rPr>
        <w:t>Este último término tiene origen en el artículo 58 del Decreto ley 222 de 1983</w:t>
      </w:r>
      <w:r w:rsidRPr="007E6FC1">
        <w:rPr>
          <w:rFonts w:ascii="Century Gothic" w:hAnsi="Century Gothic" w:cs="Arial"/>
          <w:vertAlign w:val="superscript"/>
          <w:lang w:val="es-ES_tradnl" w:eastAsia="es-ES_tradnl"/>
        </w:rPr>
        <w:footnoteReference w:id="20"/>
      </w:r>
      <w:r w:rsidRPr="007E6FC1">
        <w:rPr>
          <w:rFonts w:ascii="Century Gothic" w:hAnsi="Century Gothic" w:cs="Arial"/>
          <w:lang w:val="es-ES_tradnl" w:eastAsia="es-ES_tradnl"/>
        </w:rPr>
        <w:t>, el cual establecía el “contrato adicional” como el mecanismo a utilizar cuando existiere la “necesidad de modificar el plazo o el valor convenido y no se tratare de la revisión de precios” regulada por dicho estatuto. Sin embargo, dicha figura fue abandonada por la Ley 80 de 1993, estatuto que, fuera de lo dispuesto en relación con la potestad de modificación unilateral, solo aludió a la posibilidad de adicionar valor de los contratos estatales dentro de un límite dado por el cincuenta por ciento (50%) de su valor inicial expresado, pero sin establecer una limitación expresa sobre otros elementos sobre los que recae la adición</w:t>
      </w:r>
      <w:r w:rsidRPr="007E6FC1">
        <w:rPr>
          <w:rFonts w:ascii="Century Gothic" w:hAnsi="Century Gothic" w:cs="Arial"/>
          <w:vertAlign w:val="superscript"/>
          <w:lang w:val="es-ES_tradnl" w:eastAsia="es-ES_tradnl"/>
        </w:rPr>
        <w:footnoteReference w:id="21"/>
      </w:r>
      <w:r w:rsidRPr="007E6FC1">
        <w:rPr>
          <w:rFonts w:ascii="Century Gothic" w:hAnsi="Century Gothic" w:cs="Arial"/>
          <w:lang w:val="es-ES_tradnl" w:eastAsia="es-ES_tradnl"/>
        </w:rPr>
        <w:t>.</w:t>
      </w:r>
    </w:p>
    <w:p w:rsidRPr="007E6FC1" w:rsidR="00DD0575" w:rsidP="00DD0575" w:rsidRDefault="00DD0575" w14:paraId="4222EEE6" w14:textId="77777777">
      <w:pPr>
        <w:spacing w:before="120" w:after="0" w:line="276" w:lineRule="auto"/>
        <w:ind w:firstLine="709"/>
        <w:jc w:val="both"/>
        <w:rPr>
          <w:rFonts w:ascii="Century Gothic" w:hAnsi="Century Gothic" w:cs="Arial"/>
          <w:szCs w:val="24"/>
          <w:lang w:val="es-MX" w:eastAsia="es-ES_tradnl"/>
        </w:rPr>
      </w:pPr>
      <w:r w:rsidRPr="007E6FC1">
        <w:rPr>
          <w:rFonts w:ascii="Century Gothic" w:hAnsi="Century Gothic" w:cs="Arial"/>
          <w:szCs w:val="24"/>
          <w:lang w:val="es-MX" w:eastAsia="es-ES_tradnl"/>
        </w:rPr>
        <w:t>No obstante, la expresión “contrato adicional” al igual que las otras nociones doctrinarias y jurisprudenciales arriba señaladas entre comillas son de uso común en la práctica contractual por las Entidades Estatales. Lo importante en relación con las mismas, tal 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1993.</w:t>
      </w:r>
      <w:r w:rsidRPr="007E6FC1">
        <w:rPr>
          <w:rFonts w:ascii="Century Gothic" w:hAnsi="Century Gothic" w:cs="Arial"/>
          <w:szCs w:val="24"/>
          <w:lang w:val="es-ES_tradnl" w:eastAsia="es-ES_tradnl"/>
        </w:rPr>
        <w:t xml:space="preserve">: “Los contratos no podrán adicionarse en más del cincuenta por ciento (50%) de su valor inicial, expresado éste en salarios mínimos legales mensuales”. De manera que, aunque es posible </w:t>
      </w:r>
      <w:r w:rsidRPr="007E6FC1">
        <w:rPr>
          <w:rFonts w:ascii="Century Gothic" w:hAnsi="Century Gothic" w:cs="Arial"/>
          <w:szCs w:val="24"/>
          <w:lang w:val="es-ES_tradnl" w:eastAsia="es-ES_tradnl"/>
        </w:rPr>
        <w:t>celebrar todos los tipos de acuerdos indicados, siempre se debe observar esta última disposición</w:t>
      </w:r>
      <w:r w:rsidRPr="007E6FC1">
        <w:rPr>
          <w:rFonts w:ascii="Century Gothic" w:hAnsi="Century Gothic" w:cs="Arial"/>
          <w:szCs w:val="24"/>
          <w:vertAlign w:val="superscript"/>
          <w:lang w:val="es-ES_tradnl" w:eastAsia="es-ES_tradnl"/>
        </w:rPr>
        <w:footnoteReference w:id="22"/>
      </w:r>
      <w:r w:rsidRPr="007E6FC1">
        <w:rPr>
          <w:rFonts w:ascii="Century Gothic" w:hAnsi="Century Gothic" w:cs="Arial"/>
          <w:szCs w:val="24"/>
          <w:lang w:val="es-ES_tradnl" w:eastAsia="es-ES_tradnl"/>
        </w:rPr>
        <w:t>.</w:t>
      </w:r>
    </w:p>
    <w:p w:rsidRPr="007E6FC1" w:rsidR="00DD0575" w:rsidP="00DD0575" w:rsidRDefault="00DD0575" w14:paraId="5133B7E2" w14:textId="77777777">
      <w:pPr>
        <w:spacing w:before="120" w:after="0" w:line="276" w:lineRule="auto"/>
        <w:ind w:firstLine="709"/>
        <w:jc w:val="both"/>
        <w:rPr>
          <w:rFonts w:ascii="Century Gothic" w:hAnsi="Century Gothic" w:cs="Arial"/>
          <w:szCs w:val="24"/>
          <w:lang w:eastAsia="es-ES_tradnl"/>
        </w:rPr>
      </w:pPr>
      <w:r w:rsidRPr="007E6FC1">
        <w:rPr>
          <w:rFonts w:ascii="Century Gothic" w:hAnsi="Century Gothic" w:cs="Arial"/>
          <w:bCs/>
          <w:szCs w:val="24"/>
          <w:lang w:val="es-ES_tradnl" w:eastAsia="es-ES_tradnl"/>
        </w:rPr>
        <w:t xml:space="preserve">Dicha norma además de consagrar una prohibición trae implícita una autorización, </w:t>
      </w:r>
      <w:r w:rsidRPr="007E6FC1">
        <w:rPr>
          <w:rFonts w:ascii="Century Gothic" w:hAnsi="Century Gothic" w:cs="Arial"/>
          <w:szCs w:val="24"/>
          <w:lang w:val="es-ES_tradnl" w:eastAsia="es-ES_tradnl"/>
        </w:rPr>
        <w:t>consistente en la posibilidad de adicionar los contratos estatales, siempre que no se supere el tope establecido.</w:t>
      </w:r>
      <w:r w:rsidRPr="007E6FC1">
        <w:rPr>
          <w:rFonts w:ascii="Century Gothic" w:hAnsi="Century Gothic" w:cs="Arial"/>
          <w:szCs w:val="24"/>
          <w:lang w:eastAsia="es-ES_tradnl"/>
        </w:rPr>
        <w:t xml:space="preserve"> La regla señalada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 </w:t>
      </w:r>
    </w:p>
    <w:p w:rsidRPr="007E6FC1" w:rsidR="00DD0575" w:rsidP="00DD0575" w:rsidRDefault="00DD0575" w14:paraId="48223A22" w14:textId="77777777">
      <w:pPr>
        <w:spacing w:before="120" w:after="0" w:line="276" w:lineRule="auto"/>
        <w:jc w:val="both"/>
        <w:rPr>
          <w:rFonts w:ascii="Century Gothic" w:hAnsi="Century Gothic" w:cs="Arial"/>
          <w:bCs/>
          <w:szCs w:val="24"/>
          <w:lang w:val="es-ES_tradnl" w:eastAsia="es-ES_tradnl"/>
        </w:rPr>
      </w:pPr>
      <w:r w:rsidRPr="007E6FC1">
        <w:rPr>
          <w:rFonts w:ascii="Century Gothic" w:hAnsi="Century Gothic" w:cs="Arial"/>
          <w:bCs/>
          <w:szCs w:val="24"/>
          <w:lang w:val="es-ES_tradnl" w:eastAsia="es-ES_tradnl"/>
        </w:rPr>
        <w:tab/>
      </w:r>
      <w:r w:rsidRPr="007E6FC1">
        <w:rPr>
          <w:rFonts w:ascii="Century Gothic" w:hAnsi="Century Gothic" w:cs="Arial"/>
          <w:bCs/>
          <w:szCs w:val="24"/>
          <w:lang w:val="es-ES_tradnl" w:eastAsia="es-ES_tradnl"/>
        </w:rPr>
        <w:t xml:space="preserve">En ese orden, teniendo en cuenta que en la consulta se está haciendo referencia a la estabilidad ocupacional reforzada de mujeres embarazadas vinculadas mediante un contrato de prestación de servicios, procederemos a analizar dicha figura según el criterio diseñado por la Corte Constitucional. </w:t>
      </w:r>
    </w:p>
    <w:p w:rsidRPr="007E6FC1" w:rsidR="00DD0575" w:rsidP="00DD0575" w:rsidRDefault="00DD0575" w14:paraId="641D0CCE" w14:textId="77777777">
      <w:pPr>
        <w:spacing w:before="120" w:after="120" w:line="276" w:lineRule="auto"/>
        <w:contextualSpacing/>
        <w:jc w:val="both"/>
        <w:rPr>
          <w:rFonts w:ascii="Century Gothic" w:hAnsi="Century Gothic" w:cs="Arial"/>
          <w:b/>
          <w:bCs/>
          <w:color w:val="000000" w:themeColor="text1"/>
          <w:lang w:val="es-MX"/>
        </w:rPr>
      </w:pPr>
    </w:p>
    <w:p w:rsidRPr="007E6FC1" w:rsidR="00DD0575" w:rsidP="00DD0575" w:rsidRDefault="00DD0575" w14:paraId="49812E9A" w14:textId="77777777">
      <w:pPr>
        <w:spacing w:before="120" w:after="120" w:line="276" w:lineRule="auto"/>
        <w:contextualSpacing/>
        <w:jc w:val="both"/>
        <w:rPr>
          <w:rFonts w:ascii="Century Gothic" w:hAnsi="Century Gothic" w:cs="Arial"/>
          <w:b/>
          <w:bCs/>
          <w:color w:val="000000" w:themeColor="text1"/>
          <w:lang w:val="es-MX"/>
        </w:rPr>
      </w:pPr>
      <w:bookmarkStart w:name="_Hlk151110740" w:id="5"/>
      <w:r w:rsidRPr="007E6FC1">
        <w:rPr>
          <w:rFonts w:ascii="Century Gothic" w:hAnsi="Century Gothic" w:cs="Arial"/>
          <w:b/>
          <w:bCs/>
          <w:color w:val="000000" w:themeColor="text1"/>
          <w:lang w:val="es-MX"/>
        </w:rPr>
        <w:t>2.3. Estabilidad ocupacional reforzada de las mujeres embarazadas o en periodo de lactancia frente a los contratos de prestación de servicios. Reiteración de línea</w:t>
      </w:r>
    </w:p>
    <w:p w:rsidRPr="007E6FC1" w:rsidR="00DD0575" w:rsidP="00DD0575" w:rsidRDefault="00DD0575" w14:paraId="7BE595C5" w14:textId="77777777">
      <w:pPr>
        <w:tabs>
          <w:tab w:val="left" w:pos="0"/>
        </w:tabs>
        <w:spacing w:after="0" w:line="276" w:lineRule="auto"/>
        <w:jc w:val="both"/>
        <w:rPr>
          <w:rFonts w:ascii="Arial" w:hAnsi="Arial" w:cs="Arial"/>
          <w:noProof/>
          <w:lang w:val="es-ES_tradnl"/>
        </w:rPr>
      </w:pPr>
    </w:p>
    <w:p w:rsidRPr="007E6FC1" w:rsidR="00DD0575" w:rsidP="00DD0575" w:rsidRDefault="00DD0575" w14:paraId="31AF9FE0" w14:textId="77777777">
      <w:pPr>
        <w:tabs>
          <w:tab w:val="left" w:pos="0"/>
        </w:tabs>
        <w:spacing w:after="0" w:line="276" w:lineRule="auto"/>
        <w:jc w:val="both"/>
        <w:rPr>
          <w:rFonts w:ascii="Century Gothic" w:hAnsi="Century Gothic" w:cs="Arial"/>
          <w:noProof/>
          <w:lang w:val="es-ES_tradnl"/>
        </w:rPr>
      </w:pPr>
      <w:r w:rsidRPr="007E6FC1">
        <w:rPr>
          <w:rFonts w:ascii="Century Gothic" w:hAnsi="Century Gothic" w:cs="Arial"/>
          <w:noProof/>
          <w:lang w:val="es-ES_tradnl"/>
        </w:rPr>
        <w:t>El fuero de maternidad es una figura que otorga una protección reforzada a la futura madre y a la que acaba de serlo, es decir, a la mujer que se encuentr</w:t>
      </w:r>
      <w:r>
        <w:rPr>
          <w:rFonts w:ascii="Century Gothic" w:hAnsi="Century Gothic" w:cs="Arial"/>
          <w:noProof/>
          <w:lang w:val="es-ES_tradnl"/>
        </w:rPr>
        <w:t>e</w:t>
      </w:r>
      <w:r w:rsidRPr="007E6FC1">
        <w:rPr>
          <w:rFonts w:ascii="Century Gothic" w:hAnsi="Century Gothic" w:cs="Arial"/>
          <w:noProof/>
          <w:lang w:val="es-ES_tradnl"/>
        </w:rPr>
        <w:t xml:space="preserve"> en estado de embarazo y en periodo de lactancia, con el fin de que el proceso de gestación no interfiera en la estabilidad laboral que, como trabajadora, le asiste. El propósito es que las aspiraciones familiares y profesionales de la mujer no se excluyan y puedad armonizarse, al punto de desarrollar su proyecto de vida y su personalidad en condicionrd de dignidad y libertad, pues históricamente el estado de gravidez ha constituido un motivo de exclusión de la mujer en el trabajo, en el que es epreciso “impedir la discriminación constituida por el despido, la terminación o la no renovación del contrato por causa o con ocasión del embarazo o la lactancia”</w:t>
      </w:r>
      <w:r w:rsidRPr="007E6FC1">
        <w:rPr>
          <w:rFonts w:ascii="Arial" w:hAnsi="Arial" w:eastAsia="Calibri" w:cs="Arial"/>
          <w:bCs/>
          <w:vertAlign w:val="superscript"/>
        </w:rPr>
        <w:t xml:space="preserve"> </w:t>
      </w:r>
      <w:r w:rsidRPr="007E6FC1">
        <w:rPr>
          <w:rFonts w:ascii="Arial" w:hAnsi="Arial" w:eastAsia="Calibri" w:cs="Arial"/>
          <w:bCs/>
          <w:vertAlign w:val="superscript"/>
        </w:rPr>
        <w:footnoteReference w:id="23"/>
      </w:r>
      <w:r w:rsidRPr="007E6FC1">
        <w:rPr>
          <w:rFonts w:ascii="Arial" w:hAnsi="Arial" w:eastAsia="Calibri" w:cs="Arial"/>
          <w:bCs/>
        </w:rPr>
        <w:t>.</w:t>
      </w:r>
    </w:p>
    <w:p w:rsidRPr="007E6FC1" w:rsidR="00DD0575" w:rsidP="00DD0575" w:rsidRDefault="00DD0575" w14:paraId="39953136" w14:textId="77777777">
      <w:pPr>
        <w:spacing w:before="120" w:after="120"/>
        <w:ind w:firstLine="708"/>
        <w:jc w:val="both"/>
        <w:rPr>
          <w:rFonts w:ascii="Century Gothic" w:hAnsi="Century Gothic"/>
        </w:rPr>
      </w:pPr>
      <w:r w:rsidRPr="007E6FC1">
        <w:rPr>
          <w:rFonts w:ascii="Century Gothic" w:hAnsi="Century Gothic"/>
        </w:rPr>
        <w:t xml:space="preserve">Con el fin de aclarar el objeto bajo consulta, se explicarán las dos (2) posiciones que ha definido al Corte Constitucional para proteger el fuero de maternidad a una mujer que está vinculada a través de un contrato de prestación </w:t>
      </w:r>
      <w:r w:rsidRPr="007E6FC1">
        <w:rPr>
          <w:rFonts w:ascii="Century Gothic" w:hAnsi="Century Gothic"/>
        </w:rPr>
        <w:t>de servicios. Lo anterior, pa</w:t>
      </w:r>
      <w:bookmarkEnd w:id="5"/>
      <w:r w:rsidRPr="007E6FC1">
        <w:rPr>
          <w:rFonts w:ascii="Century Gothic" w:hAnsi="Century Gothic"/>
        </w:rPr>
        <w:t xml:space="preserve">ra determinar cuál es la posición del Alto Tribunal Constitucional en la defensa del derecho a la estabilidad laboral reforzada. </w:t>
      </w:r>
    </w:p>
    <w:p w:rsidRPr="007E6FC1" w:rsidR="00DD0575" w:rsidP="00DD0575" w:rsidRDefault="00DD0575" w14:paraId="2B8DC07B" w14:textId="77777777">
      <w:pPr>
        <w:tabs>
          <w:tab w:val="left" w:pos="0"/>
        </w:tabs>
        <w:spacing w:after="120" w:line="276" w:lineRule="auto"/>
        <w:jc w:val="both"/>
        <w:rPr>
          <w:rFonts w:ascii="Century Gothic" w:hAnsi="Century Gothic" w:cs="Arial"/>
        </w:rPr>
      </w:pPr>
      <w:r w:rsidRPr="007E6FC1">
        <w:rPr>
          <w:rFonts w:ascii="Century Gothic" w:hAnsi="Century Gothic" w:eastAsia="Arial" w:cs="Arial"/>
          <w:color w:val="000000"/>
        </w:rPr>
        <w:tab/>
      </w:r>
      <w:r w:rsidRPr="007E6FC1">
        <w:rPr>
          <w:rFonts w:ascii="Century Gothic" w:hAnsi="Century Gothic" w:eastAsia="Arial" w:cs="Arial"/>
          <w:color w:val="000000"/>
        </w:rPr>
        <w:t>La Corte Constitucional, en la Sentencia SU-070 de 2013, con ponencia de la Magistrada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7E6FC1">
        <w:rPr>
          <w:rFonts w:ascii="Century Gothic" w:hAnsi="Century Gothic" w:cs="Arial"/>
          <w:vertAlign w:val="superscript"/>
        </w:rPr>
        <w:footnoteReference w:id="24"/>
      </w:r>
      <w:r w:rsidRPr="007E6FC1">
        <w:rPr>
          <w:rFonts w:ascii="Century Gothic" w:hAnsi="Century Gothic" w:cs="Arial"/>
        </w:rPr>
        <w:t xml:space="preserve">. De esta forma, la protección a la estabilidad laboral reforzada de mujeres vinculadas a través de un contrato de prestación de servicios sólo procede frente aquellos casos donde se verifique la concurrencia de los tres (3) elementos del contrato de trabajo. </w:t>
      </w:r>
    </w:p>
    <w:p w:rsidRPr="007E6FC1" w:rsidR="00DD0575" w:rsidP="00DD0575" w:rsidRDefault="00DD0575" w14:paraId="781DFCAE" w14:textId="77777777">
      <w:pPr>
        <w:tabs>
          <w:tab w:val="left" w:pos="0"/>
        </w:tabs>
        <w:spacing w:after="120" w:line="276" w:lineRule="auto"/>
        <w:jc w:val="both"/>
        <w:rPr>
          <w:rFonts w:ascii="Century Gothic" w:hAnsi="Century Gothic" w:cs="Arial"/>
        </w:rPr>
      </w:pPr>
      <w:r w:rsidRPr="007E6FC1">
        <w:rPr>
          <w:rFonts w:ascii="Century Gothic" w:hAnsi="Century Gothic" w:cs="Arial"/>
        </w:rPr>
        <w:tab/>
      </w:r>
      <w:r w:rsidRPr="007E6FC1">
        <w:rPr>
          <w:rFonts w:ascii="Century Gothic" w:hAnsi="Century Gothic" w:cs="Arial"/>
        </w:rPr>
        <w:t>De acuerdo con la sentencia T-564 de 2017, a pesar de no probarse la configuración del contrato realidad se debe proteger a la mujer en estado embarazo, vinculada a través de un contrato de prestación de servicios, porque a pesar de que la trabajadora informó al empleador de su estado de gestación, éste terminó anticipadamente su contrato, configurándose una terminación por motivos discriminatorios. Por su parte, la sentencia T-102 de 2016, si bien reconoce la existencia del contrato realidad, reitera que el empleador no demostró ningún motivo objetivo que justificara la terminación del contrato, ya sea porque la actividad que venía realizando ya no era necesaria, o porque no probó que las causas que originaron la contratación desaparecieron, entre otros.</w:t>
      </w:r>
    </w:p>
    <w:p w:rsidRPr="007E6FC1" w:rsidR="00DD0575" w:rsidP="00DD0575" w:rsidRDefault="00DD0575" w14:paraId="3173A2C9" w14:textId="77777777">
      <w:pPr>
        <w:spacing w:after="0" w:line="276" w:lineRule="auto"/>
        <w:ind w:firstLine="708"/>
        <w:jc w:val="both"/>
        <w:rPr>
          <w:rFonts w:ascii="Century Gothic" w:hAnsi="Century Gothic" w:cs="Arial" w:eastAsiaTheme="minorEastAsia"/>
          <w:lang w:eastAsia="es-CO"/>
        </w:rPr>
      </w:pPr>
      <w:r w:rsidRPr="007E6FC1">
        <w:rPr>
          <w:rFonts w:ascii="Century Gothic" w:hAnsi="Century Gothic" w:cs="Arial" w:eastAsiaTheme="minorEastAsia"/>
          <w:lang w:eastAsia="es-CO"/>
        </w:rPr>
        <w:t xml:space="preserve">En el mismo sentido, en el salvamento de voto a la sentencia T-743 de 2017, se reiteró que la protección a la mujer en estado de embarazo, vinculada por un </w:t>
      </w:r>
      <w:r w:rsidRPr="007E6FC1">
        <w:rPr>
          <w:rFonts w:ascii="Century Gothic" w:hAnsi="Century Gothic" w:cs="Arial" w:eastAsiaTheme="minorEastAsia"/>
          <w:lang w:eastAsia="es-CO"/>
        </w:rPr>
        <w:t>contrato de prestación de servicios, no sólo se realiza cuando se prueba la configuración de contrato realidad, sino, además, cuando se demuestre que la decisión de la terminación es discriminatoria y no atiende a un motivo objetivo:</w:t>
      </w:r>
    </w:p>
    <w:p w:rsidRPr="007E6FC1" w:rsidR="00DD0575" w:rsidP="00DD0575" w:rsidRDefault="00DD0575" w14:paraId="3C38D15C" w14:textId="77777777">
      <w:pPr>
        <w:spacing w:after="0" w:line="276" w:lineRule="auto"/>
        <w:ind w:left="709" w:right="709"/>
        <w:jc w:val="both"/>
        <w:rPr>
          <w:rFonts w:ascii="Century Gothic" w:hAnsi="Century Gothic" w:cs="Arial"/>
        </w:rPr>
      </w:pPr>
    </w:p>
    <w:p w:rsidRPr="007E6FC1" w:rsidR="00DD0575" w:rsidP="00DD0575" w:rsidRDefault="00DD0575" w14:paraId="6AC4962E" w14:textId="77777777">
      <w:pPr>
        <w:spacing w:line="240" w:lineRule="auto"/>
        <w:ind w:left="709" w:right="709"/>
        <w:contextualSpacing/>
        <w:jc w:val="both"/>
        <w:rPr>
          <w:rFonts w:ascii="Century Gothic" w:hAnsi="Century Gothic" w:cs="Arial"/>
          <w:i/>
          <w:sz w:val="21"/>
        </w:rPr>
      </w:pPr>
      <w:r w:rsidRPr="007E6FC1">
        <w:rPr>
          <w:rFonts w:ascii="Century Gothic" w:hAnsi="Century Gothic" w:eastAsia="Yu Gothic UI Semibold" w:cs="Arial"/>
          <w:iCs/>
          <w:sz w:val="21"/>
          <w:szCs w:val="21"/>
          <w:lang w:eastAsia="es-MX"/>
        </w:rPr>
        <w:t>“</w:t>
      </w:r>
      <w:r w:rsidRPr="007E6FC1">
        <w:rPr>
          <w:rFonts w:ascii="Century Gothic" w:hAnsi="Century Gothic" w:cs="Arial"/>
          <w:sz w:val="21"/>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7E6FC1">
        <w:rPr>
          <w:rFonts w:ascii="Century Gothic" w:hAnsi="Century Gothic" w:cs="Arial"/>
          <w:i/>
          <w:sz w:val="21"/>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7E6FC1">
        <w:rPr>
          <w:rFonts w:ascii="Century Gothic" w:hAnsi="Century Gothic" w:cs="Arial"/>
          <w:i/>
          <w:spacing w:val="-5"/>
          <w:sz w:val="21"/>
        </w:rPr>
        <w:t xml:space="preserve"> </w:t>
      </w:r>
      <w:r w:rsidRPr="007E6FC1">
        <w:rPr>
          <w:rFonts w:ascii="Century Gothic" w:hAnsi="Century Gothic" w:cs="Arial"/>
          <w:i/>
          <w:sz w:val="21"/>
        </w:rPr>
        <w:t>objetivo.</w:t>
      </w:r>
    </w:p>
    <w:p w:rsidRPr="007E6FC1" w:rsidR="00DD0575" w:rsidP="00DD0575" w:rsidRDefault="00DD0575" w14:paraId="12C241CC" w14:textId="77777777">
      <w:pPr>
        <w:spacing w:line="240" w:lineRule="auto"/>
        <w:ind w:left="709" w:right="709"/>
        <w:contextualSpacing/>
        <w:jc w:val="both"/>
        <w:rPr>
          <w:rFonts w:ascii="Century Gothic" w:hAnsi="Century Gothic" w:cs="Arial"/>
          <w:i/>
          <w:sz w:val="12"/>
          <w:szCs w:val="12"/>
        </w:rPr>
      </w:pPr>
    </w:p>
    <w:p w:rsidRPr="007E6FC1" w:rsidR="00DD0575" w:rsidP="00DD0575" w:rsidRDefault="00DD0575" w14:paraId="4162F5EB" w14:textId="77777777">
      <w:pPr>
        <w:spacing w:after="0" w:line="240" w:lineRule="auto"/>
        <w:ind w:left="709" w:right="709"/>
        <w:contextualSpacing/>
        <w:jc w:val="both"/>
        <w:rPr>
          <w:rFonts w:ascii="Century Gothic" w:hAnsi="Century Gothic" w:cs="Arial"/>
          <w:sz w:val="21"/>
        </w:rPr>
      </w:pPr>
      <w:r w:rsidRPr="007E6FC1">
        <w:rPr>
          <w:rFonts w:ascii="Century Gothic" w:hAnsi="Century Gothic" w:cs="Arial"/>
          <w:sz w:val="21"/>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7E6FC1">
        <w:rPr>
          <w:rFonts w:ascii="Century Gothic" w:hAnsi="Century Gothic" w:cs="Arial"/>
          <w:noProof/>
          <w:sz w:val="21"/>
          <w:szCs w:val="21"/>
          <w:lang w:val="es-ES_tradnl"/>
        </w:rPr>
        <w:t>”</w:t>
      </w:r>
      <w:r w:rsidRPr="007E6FC1">
        <w:rPr>
          <w:rFonts w:ascii="Century Gothic" w:hAnsi="Century Gothic" w:cs="Arial"/>
          <w:sz w:val="21"/>
        </w:rPr>
        <w:t>. (Énfasis fuera del</w:t>
      </w:r>
      <w:r w:rsidRPr="007E6FC1">
        <w:rPr>
          <w:rFonts w:ascii="Century Gothic" w:hAnsi="Century Gothic" w:cs="Arial"/>
          <w:spacing w:val="-16"/>
          <w:sz w:val="21"/>
        </w:rPr>
        <w:t xml:space="preserve"> </w:t>
      </w:r>
      <w:r w:rsidRPr="007E6FC1">
        <w:rPr>
          <w:rFonts w:ascii="Century Gothic" w:hAnsi="Century Gothic" w:cs="Arial"/>
          <w:sz w:val="21"/>
        </w:rPr>
        <w:t>texto).</w:t>
      </w:r>
    </w:p>
    <w:p w:rsidRPr="007E6FC1" w:rsidR="00DD0575" w:rsidP="00DD0575" w:rsidRDefault="00DD0575" w14:paraId="0C8104CD" w14:textId="77777777">
      <w:pPr>
        <w:spacing w:after="0" w:line="276" w:lineRule="auto"/>
        <w:ind w:right="709"/>
        <w:contextualSpacing/>
        <w:rPr>
          <w:rFonts w:ascii="Century Gothic" w:hAnsi="Century Gothic" w:eastAsia="Yu Gothic UI Semibold" w:cs="Arial"/>
          <w:b/>
          <w:lang w:eastAsia="es-CO"/>
        </w:rPr>
      </w:pPr>
    </w:p>
    <w:p w:rsidRPr="007E6FC1" w:rsidR="00DD0575" w:rsidP="00DD0575" w:rsidRDefault="00DD0575" w14:paraId="4CA1EA70" w14:textId="77777777">
      <w:pPr>
        <w:spacing w:after="0" w:line="276" w:lineRule="auto"/>
        <w:ind w:right="108"/>
        <w:jc w:val="both"/>
        <w:rPr>
          <w:rFonts w:ascii="Century Gothic" w:hAnsi="Century Gothic" w:eastAsia="Yu Gothic UI Semibold" w:cs="Arial"/>
          <w:lang w:eastAsia="es-CO"/>
        </w:rPr>
      </w:pPr>
      <w:r w:rsidRPr="007E6FC1">
        <w:rPr>
          <w:rFonts w:ascii="Century Gothic" w:hAnsi="Century Gothic" w:eastAsia="Yu Gothic UI Semibold" w:cs="Arial"/>
          <w:lang w:eastAsia="es-CO"/>
        </w:rPr>
        <w:tab/>
      </w:r>
      <w:r w:rsidRPr="007E6FC1">
        <w:rPr>
          <w:rFonts w:ascii="Century Gothic" w:hAnsi="Century Gothic" w:eastAsia="Yu Gothic UI Semibold" w:cs="Arial"/>
          <w:lang w:eastAsia="es-CO"/>
        </w:rPr>
        <w:t>Finalmente,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7E6FC1">
        <w:rPr>
          <w:rFonts w:ascii="Century Gothic" w:hAnsi="Century Gothic" w:eastAsia="Yu Gothic UI Semibold" w:cs="Arial"/>
          <w:i/>
          <w:lang w:eastAsia="es-CO"/>
        </w:rPr>
        <w:t xml:space="preserve"> </w:t>
      </w:r>
      <w:r w:rsidRPr="007E6FC1">
        <w:rPr>
          <w:rFonts w:ascii="Century Gothic" w:hAnsi="Century Gothic" w:eastAsia="Yu Gothic UI Semibold" w:cs="Arial"/>
          <w:i/>
          <w:lang w:eastAsia="es-MX"/>
        </w:rPr>
        <w:t>“</w:t>
      </w:r>
      <w:r w:rsidRPr="007E6FC1">
        <w:rPr>
          <w:rFonts w:ascii="Century Gothic" w:hAnsi="Century Gothic" w:eastAsia="Yu Gothic UI Semibold" w:cs="Arial"/>
          <w:i/>
          <w:lang w:eastAsia="es-CO"/>
        </w:rPr>
        <w:t>fuero de maternidad</w:t>
      </w:r>
      <w:r w:rsidRPr="007E6FC1">
        <w:rPr>
          <w:rFonts w:ascii="Century Gothic" w:hAnsi="Century Gothic" w:eastAsia="Yu Gothic UI Semibold" w:cs="Arial"/>
          <w:i/>
          <w:lang w:eastAsia="es-MX"/>
        </w:rPr>
        <w:t>”</w:t>
      </w:r>
      <w:r w:rsidRPr="007E6FC1">
        <w:rPr>
          <w:rFonts w:ascii="Century Gothic" w:hAnsi="Century Gothic" w:eastAsia="Yu Gothic UI Semibold" w:cs="Arial"/>
          <w:i/>
          <w:lang w:eastAsia="es-CO"/>
        </w:rPr>
        <w:t>,</w:t>
      </w:r>
      <w:r w:rsidRPr="007E6FC1">
        <w:rPr>
          <w:rFonts w:ascii="Century Gothic" w:hAnsi="Century Gothic" w:eastAsia="Yu Gothic UI Semibold" w:cs="Arial"/>
          <w:lang w:eastAsia="es-CO"/>
        </w:rPr>
        <w:t xml:space="preserve"> encuentra también su sustento en la cláusula general de igualdad de la Constitución </w:t>
      </w:r>
      <w:r w:rsidRPr="007E6FC1">
        <w:rPr>
          <w:rFonts w:ascii="Century Gothic" w:hAnsi="Century Gothic" w:eastAsia="Yu Gothic UI Semibold" w:cs="Arial"/>
          <w:i/>
          <w:lang w:eastAsia="es-MX"/>
        </w:rPr>
        <w:t>“</w:t>
      </w:r>
      <w:r w:rsidRPr="007E6FC1">
        <w:rPr>
          <w:rFonts w:ascii="Century Gothic" w:hAnsi="Century Gothic" w:eastAsia="Yu Gothic UI Semibold" w:cs="Arial"/>
          <w:i/>
          <w:lang w:eastAsia="es-CO"/>
        </w:rPr>
        <w:t>que proscribe la discriminación por razones de sexo, así como en el ya mencionado artículo 43 Superior, que dispone la igualdad de derechos y oportunidades entre hombres y mujeres</w:t>
      </w:r>
      <w:r w:rsidRPr="007E6FC1">
        <w:rPr>
          <w:rFonts w:ascii="Century Gothic" w:hAnsi="Century Gothic" w:eastAsia="Yu Gothic UI Semibold" w:cs="Arial"/>
          <w:i/>
          <w:lang w:eastAsia="es-MX"/>
        </w:rPr>
        <w:t>”</w:t>
      </w:r>
      <w:r w:rsidRPr="007E6FC1">
        <w:rPr>
          <w:rFonts w:ascii="Century Gothic" w:hAnsi="Century Gothic" w:eastAsia="Yu Gothic UI Semibold" w:cs="Arial"/>
          <w:i/>
          <w:vertAlign w:val="superscript"/>
          <w:lang w:eastAsia="es-MX"/>
        </w:rPr>
        <w:footnoteReference w:id="25"/>
      </w:r>
      <w:r w:rsidRPr="007E6FC1">
        <w:rPr>
          <w:rFonts w:ascii="Century Gothic" w:hAnsi="Century Gothic" w:eastAsia="Yu Gothic UI Semibold" w:cs="Arial"/>
          <w:i/>
          <w:lang w:eastAsia="es-MX"/>
        </w:rPr>
        <w:t xml:space="preserve">. </w:t>
      </w:r>
      <w:r w:rsidRPr="007E6FC1">
        <w:rPr>
          <w:rFonts w:ascii="Century Gothic" w:hAnsi="Century Gothic" w:eastAsia="Yu Gothic UI Semibold" w:cs="Arial"/>
          <w:lang w:eastAsia="es-CO"/>
        </w:rPr>
        <w:t xml:space="preserve">La sentencia citada determina el tratamiento que deberían darles las entidades a sus trabajadoras o contratistas </w:t>
      </w:r>
      <w:r w:rsidRPr="007E6FC1">
        <w:rPr>
          <w:rFonts w:ascii="Century Gothic" w:hAnsi="Century Gothic" w:eastAsia="Yu Gothic UI Semibold" w:cs="Arial"/>
          <w:lang w:eastAsia="es-CO"/>
        </w:rPr>
        <w:t xml:space="preserve">cuando se encuentren en estado de embarazo o lactancia, estableciendo su procedencia en los siguientes términos: </w:t>
      </w:r>
    </w:p>
    <w:p w:rsidRPr="007E6FC1" w:rsidR="00DD0575" w:rsidP="00DD0575" w:rsidRDefault="00DD0575" w14:paraId="7AABACD7" w14:textId="77777777">
      <w:pPr>
        <w:shd w:val="clear" w:color="auto" w:fill="FFFFFF"/>
        <w:spacing w:after="120" w:line="276" w:lineRule="auto"/>
        <w:ind w:left="709" w:right="709"/>
        <w:contextualSpacing/>
        <w:jc w:val="both"/>
        <w:rPr>
          <w:rFonts w:ascii="Century Gothic" w:hAnsi="Century Gothic" w:eastAsia="Yu Gothic UI Semibold" w:cs="Arial"/>
          <w:highlight w:val="red"/>
          <w:lang w:eastAsia="es-CO"/>
        </w:rPr>
      </w:pPr>
    </w:p>
    <w:p w:rsidRPr="007E6FC1" w:rsidR="00DD0575" w:rsidP="00DD0575" w:rsidRDefault="00DD0575" w14:paraId="2712B25D" w14:textId="77777777">
      <w:pPr>
        <w:shd w:val="clear" w:color="auto" w:fill="FFFFFF"/>
        <w:spacing w:line="240" w:lineRule="auto"/>
        <w:ind w:left="709" w:right="709"/>
        <w:contextualSpacing/>
        <w:jc w:val="both"/>
        <w:rPr>
          <w:rFonts w:ascii="Century Gothic" w:hAnsi="Century Gothic" w:eastAsia="Yu Gothic UI Semibold" w:cs="Arial"/>
          <w:sz w:val="21"/>
          <w:szCs w:val="21"/>
          <w:lang w:eastAsia="es-CO"/>
        </w:rPr>
      </w:pPr>
      <w:r w:rsidRPr="007E6FC1">
        <w:rPr>
          <w:rFonts w:ascii="Century Gothic" w:hAnsi="Century Gothic" w:eastAsia="Yu Gothic UI Semibold" w:cs="Arial"/>
          <w:iCs/>
          <w:sz w:val="21"/>
          <w:szCs w:val="21"/>
          <w:lang w:eastAsia="es-MX"/>
        </w:rPr>
        <w:t>“</w:t>
      </w:r>
      <w:r w:rsidRPr="007E6FC1">
        <w:rPr>
          <w:rFonts w:ascii="Century Gothic" w:hAnsi="Century Gothic" w:eastAsia="Yu Gothic UI Semibold" w:cs="Arial"/>
          <w:sz w:val="21"/>
          <w:szCs w:val="21"/>
          <w:lang w:eastAsia="es-CO"/>
        </w:rPr>
        <w:t>La protección reforzada a la maternidad y la lactancia en el ámbito del trabajo procede cuando se demuestre, sin ninguna otra exigencia adicional, lo siguiente: </w:t>
      </w:r>
    </w:p>
    <w:p w:rsidRPr="007E6FC1" w:rsidR="00DD0575" w:rsidP="00DD0575" w:rsidRDefault="00DD0575" w14:paraId="13514FD0" w14:textId="77777777">
      <w:pPr>
        <w:shd w:val="clear" w:color="auto" w:fill="FFFFFF"/>
        <w:spacing w:line="240" w:lineRule="auto"/>
        <w:ind w:left="709" w:right="709"/>
        <w:contextualSpacing/>
        <w:jc w:val="both"/>
        <w:rPr>
          <w:rFonts w:ascii="Century Gothic" w:hAnsi="Century Gothic" w:eastAsia="Yu Gothic UI Semibold" w:cs="Arial"/>
          <w:sz w:val="12"/>
          <w:szCs w:val="12"/>
          <w:lang w:eastAsia="es-CO"/>
        </w:rPr>
      </w:pPr>
      <w:r w:rsidRPr="007E6FC1">
        <w:rPr>
          <w:rFonts w:ascii="Century Gothic" w:hAnsi="Century Gothic" w:eastAsia="Yu Gothic UI Semibold" w:cs="Arial"/>
          <w:sz w:val="12"/>
          <w:szCs w:val="12"/>
          <w:lang w:eastAsia="es-CO"/>
        </w:rPr>
        <w:t> </w:t>
      </w:r>
    </w:p>
    <w:p w:rsidRPr="007E6FC1" w:rsidR="00DD0575" w:rsidP="00DD0575" w:rsidRDefault="00DD0575" w14:paraId="316F909E" w14:textId="77777777">
      <w:pPr>
        <w:shd w:val="clear" w:color="auto" w:fill="FFFFFF"/>
        <w:spacing w:line="240" w:lineRule="auto"/>
        <w:ind w:left="709" w:right="709"/>
        <w:contextualSpacing/>
        <w:jc w:val="both"/>
        <w:rPr>
          <w:rFonts w:ascii="Century Gothic" w:hAnsi="Century Gothic" w:eastAsia="Yu Gothic UI Semibold" w:cs="Arial"/>
          <w:sz w:val="21"/>
          <w:szCs w:val="21"/>
          <w:lang w:eastAsia="es-CO"/>
        </w:rPr>
      </w:pPr>
      <w:r w:rsidRPr="007E6FC1">
        <w:rPr>
          <w:rFonts w:ascii="Century Gothic" w:hAnsi="Century Gothic" w:eastAsia="Yu Gothic UI Semibold" w:cs="Arial"/>
          <w:sz w:val="21"/>
          <w:szCs w:val="21"/>
          <w:lang w:eastAsia="es-CO"/>
        </w:rPr>
        <w:t>(a) La existencia de una relación laboral o de prestación de servicios y; </w:t>
      </w:r>
    </w:p>
    <w:p w:rsidRPr="007E6FC1" w:rsidR="00DD0575" w:rsidP="00DD0575" w:rsidRDefault="00DD0575" w14:paraId="200BBDC4" w14:textId="77777777">
      <w:pPr>
        <w:shd w:val="clear" w:color="auto" w:fill="FFFFFF"/>
        <w:spacing w:line="240" w:lineRule="auto"/>
        <w:ind w:left="709" w:right="709"/>
        <w:contextualSpacing/>
        <w:jc w:val="both"/>
        <w:rPr>
          <w:rFonts w:ascii="Century Gothic" w:hAnsi="Century Gothic" w:eastAsia="Yu Gothic UI Semibold" w:cs="Arial"/>
          <w:sz w:val="12"/>
          <w:szCs w:val="12"/>
          <w:lang w:eastAsia="es-CO"/>
        </w:rPr>
      </w:pPr>
      <w:r w:rsidRPr="007E6FC1">
        <w:rPr>
          <w:rFonts w:ascii="Century Gothic" w:hAnsi="Century Gothic" w:eastAsia="Yu Gothic UI Semibold" w:cs="Arial"/>
          <w:sz w:val="12"/>
          <w:szCs w:val="12"/>
          <w:lang w:eastAsia="es-CO"/>
        </w:rPr>
        <w:t> </w:t>
      </w:r>
    </w:p>
    <w:p w:rsidRPr="007E6FC1" w:rsidR="00DD0575" w:rsidP="00DD0575" w:rsidRDefault="00DD0575" w14:paraId="7D7BBCCD" w14:textId="77777777">
      <w:pPr>
        <w:shd w:val="clear" w:color="auto" w:fill="FFFFFF"/>
        <w:spacing w:line="240" w:lineRule="auto"/>
        <w:ind w:left="709" w:right="709"/>
        <w:contextualSpacing/>
        <w:jc w:val="both"/>
        <w:rPr>
          <w:rFonts w:ascii="Century Gothic" w:hAnsi="Century Gothic" w:eastAsia="Yu Gothic UI Semibold" w:cs="Arial"/>
          <w:sz w:val="21"/>
          <w:szCs w:val="21"/>
          <w:lang w:eastAsia="es-CO"/>
        </w:rPr>
      </w:pPr>
      <w:r w:rsidRPr="007E6FC1">
        <w:rPr>
          <w:rFonts w:ascii="Century Gothic" w:hAnsi="Century Gothic" w:eastAsia="Yu Gothic UI Semibold" w:cs="Arial"/>
          <w:sz w:val="21"/>
          <w:szCs w:val="21"/>
          <w:lang w:eastAsia="es-CO"/>
        </w:rPr>
        <w:t>(b) Que la mujer se encuentra en estado de embarazo o dentro de los tres meses siguientes al parto, en vigencia de dicha relación laboral o de prestación.</w:t>
      </w:r>
    </w:p>
    <w:p w:rsidRPr="007E6FC1" w:rsidR="00DD0575" w:rsidP="00DD0575" w:rsidRDefault="00DD0575" w14:paraId="0F06F1F2" w14:textId="77777777">
      <w:pPr>
        <w:shd w:val="clear" w:color="auto" w:fill="FFFFFF"/>
        <w:spacing w:line="240" w:lineRule="auto"/>
        <w:ind w:left="709" w:right="709"/>
        <w:contextualSpacing/>
        <w:jc w:val="both"/>
        <w:rPr>
          <w:rFonts w:ascii="Century Gothic" w:hAnsi="Century Gothic" w:eastAsia="Yu Gothic UI Semibold" w:cs="Arial"/>
          <w:sz w:val="12"/>
          <w:szCs w:val="12"/>
          <w:lang w:eastAsia="es-CO"/>
        </w:rPr>
      </w:pPr>
      <w:r w:rsidRPr="007E6FC1">
        <w:rPr>
          <w:rFonts w:ascii="Century Gothic" w:hAnsi="Century Gothic" w:eastAsia="Yu Gothic UI Semibold" w:cs="Arial"/>
          <w:sz w:val="12"/>
          <w:szCs w:val="12"/>
          <w:lang w:eastAsia="es-CO"/>
        </w:rPr>
        <w:t> </w:t>
      </w:r>
    </w:p>
    <w:p w:rsidRPr="007E6FC1" w:rsidR="00DD0575" w:rsidP="00DD0575" w:rsidRDefault="00DD0575" w14:paraId="187C92EE" w14:textId="77777777">
      <w:pPr>
        <w:shd w:val="clear" w:color="auto" w:fill="FFFFFF"/>
        <w:spacing w:line="240" w:lineRule="auto"/>
        <w:ind w:left="709" w:right="709"/>
        <w:contextualSpacing/>
        <w:jc w:val="both"/>
        <w:rPr>
          <w:rFonts w:ascii="Century Gothic" w:hAnsi="Century Gothic" w:eastAsia="Yu Gothic UI Semibold" w:cs="Arial"/>
          <w:sz w:val="21"/>
          <w:szCs w:val="21"/>
          <w:lang w:eastAsia="es-CO"/>
        </w:rPr>
      </w:pPr>
      <w:r w:rsidRPr="007E6FC1">
        <w:rPr>
          <w:rFonts w:ascii="Century Gothic" w:hAnsi="Century Gothic" w:eastAsia="Yu Gothic UI Semibold" w:cs="Arial"/>
          <w:sz w:val="21"/>
          <w:szCs w:val="21"/>
          <w:lang w:eastAsia="es-CO"/>
        </w:rPr>
        <w:t>No obstante, el alcance de la protección se debe determinar a partir de dos factores:</w:t>
      </w:r>
    </w:p>
    <w:p w:rsidRPr="007E6FC1" w:rsidR="00DD0575" w:rsidP="00DD0575" w:rsidRDefault="00DD0575" w14:paraId="7E1D68E8" w14:textId="77777777">
      <w:pPr>
        <w:shd w:val="clear" w:color="auto" w:fill="FFFFFF"/>
        <w:spacing w:line="240" w:lineRule="auto"/>
        <w:ind w:left="709" w:right="709"/>
        <w:contextualSpacing/>
        <w:jc w:val="both"/>
        <w:rPr>
          <w:rFonts w:ascii="Century Gothic" w:hAnsi="Century Gothic" w:eastAsia="Yu Gothic UI Semibold" w:cs="Arial"/>
          <w:sz w:val="12"/>
          <w:szCs w:val="12"/>
          <w:lang w:eastAsia="es-CO"/>
        </w:rPr>
      </w:pPr>
      <w:r w:rsidRPr="007E6FC1">
        <w:rPr>
          <w:rFonts w:ascii="Century Gothic" w:hAnsi="Century Gothic" w:eastAsia="Yu Gothic UI Semibold" w:cs="Arial"/>
          <w:sz w:val="12"/>
          <w:szCs w:val="12"/>
          <w:lang w:eastAsia="es-CO"/>
        </w:rPr>
        <w:t> </w:t>
      </w:r>
    </w:p>
    <w:p w:rsidRPr="007E6FC1" w:rsidR="00DD0575" w:rsidP="00DD0575" w:rsidRDefault="00DD0575" w14:paraId="494E922E" w14:textId="77777777">
      <w:pPr>
        <w:shd w:val="clear" w:color="auto" w:fill="FFFFFF"/>
        <w:spacing w:line="240" w:lineRule="auto"/>
        <w:ind w:left="709" w:right="709"/>
        <w:contextualSpacing/>
        <w:jc w:val="both"/>
        <w:rPr>
          <w:rFonts w:ascii="Century Gothic" w:hAnsi="Century Gothic" w:eastAsia="Yu Gothic UI Semibold" w:cs="Arial"/>
          <w:sz w:val="21"/>
          <w:szCs w:val="21"/>
          <w:lang w:eastAsia="es-CO"/>
        </w:rPr>
      </w:pPr>
      <w:r w:rsidRPr="007E6FC1">
        <w:rPr>
          <w:rFonts w:ascii="Century Gothic" w:hAnsi="Century Gothic" w:eastAsia="Yu Gothic UI Semibold" w:cs="Arial"/>
          <w:sz w:val="21"/>
          <w:szCs w:val="21"/>
          <w:lang w:eastAsia="es-CO"/>
        </w:rPr>
        <w:t>(a) El conocimiento del embarazo por parte del empleador; y</w:t>
      </w:r>
    </w:p>
    <w:p w:rsidRPr="007E6FC1" w:rsidR="00DD0575" w:rsidP="00DD0575" w:rsidRDefault="00DD0575" w14:paraId="664AB8F6" w14:textId="77777777">
      <w:pPr>
        <w:shd w:val="clear" w:color="auto" w:fill="FFFFFF"/>
        <w:spacing w:line="240" w:lineRule="auto"/>
        <w:ind w:left="709" w:right="709"/>
        <w:contextualSpacing/>
        <w:jc w:val="both"/>
        <w:rPr>
          <w:rFonts w:ascii="Century Gothic" w:hAnsi="Century Gothic" w:eastAsia="Yu Gothic UI Semibold" w:cs="Arial"/>
          <w:sz w:val="12"/>
          <w:szCs w:val="12"/>
          <w:lang w:eastAsia="es-CO"/>
        </w:rPr>
      </w:pPr>
      <w:r w:rsidRPr="007E6FC1">
        <w:rPr>
          <w:rFonts w:ascii="Century Gothic" w:hAnsi="Century Gothic" w:eastAsia="Yu Gothic UI Semibold" w:cs="Arial"/>
          <w:sz w:val="12"/>
          <w:szCs w:val="12"/>
          <w:lang w:eastAsia="es-CO"/>
        </w:rPr>
        <w:t> </w:t>
      </w:r>
    </w:p>
    <w:p w:rsidRPr="007E6FC1" w:rsidR="00DD0575" w:rsidP="00DD0575" w:rsidRDefault="00DD0575" w14:paraId="5BA6B5CB" w14:textId="77777777">
      <w:pPr>
        <w:shd w:val="clear" w:color="auto" w:fill="FFFFFF"/>
        <w:spacing w:line="240" w:lineRule="auto"/>
        <w:ind w:left="709" w:right="709"/>
        <w:contextualSpacing/>
        <w:jc w:val="both"/>
        <w:rPr>
          <w:rFonts w:ascii="Century Gothic" w:hAnsi="Century Gothic" w:eastAsia="Yu Gothic UI Semibold" w:cs="Arial"/>
          <w:sz w:val="21"/>
          <w:szCs w:val="21"/>
          <w:lang w:eastAsia="es-CO"/>
        </w:rPr>
      </w:pPr>
      <w:r w:rsidRPr="007E6FC1">
        <w:rPr>
          <w:rFonts w:ascii="Century Gothic" w:hAnsi="Century Gothic" w:eastAsia="Yu Gothic UI Semibold" w:cs="Arial"/>
          <w:sz w:val="21"/>
          <w:szCs w:val="21"/>
          <w:lang w:eastAsia="es-CO"/>
        </w:rPr>
        <w:t>(b) La alternativa laboral mediante la cual se encontraba vinculada la mujer embarazada</w:t>
      </w:r>
      <w:r w:rsidRPr="007E6FC1">
        <w:rPr>
          <w:rFonts w:ascii="Century Gothic" w:hAnsi="Century Gothic" w:cs="Arial"/>
          <w:noProof/>
          <w:sz w:val="21"/>
          <w:szCs w:val="21"/>
          <w:lang w:val="es-ES_tradnl"/>
        </w:rPr>
        <w:t>”.</w:t>
      </w:r>
    </w:p>
    <w:p w:rsidRPr="007E6FC1" w:rsidR="00DD0575" w:rsidP="00DD0575" w:rsidRDefault="00DD0575" w14:paraId="25991353" w14:textId="77777777">
      <w:pPr>
        <w:shd w:val="clear" w:color="auto" w:fill="FFFFFF"/>
        <w:spacing w:after="0" w:line="276" w:lineRule="auto"/>
        <w:ind w:right="49" w:firstLine="708"/>
        <w:jc w:val="both"/>
        <w:rPr>
          <w:rFonts w:ascii="Century Gothic" w:hAnsi="Century Gothic" w:eastAsia="Yu Gothic UI Semibold" w:cs="Arial"/>
          <w:lang w:eastAsia="es-CO"/>
        </w:rPr>
      </w:pPr>
    </w:p>
    <w:p w:rsidRPr="007E6FC1" w:rsidR="00DD0575" w:rsidP="00DD0575" w:rsidRDefault="00DD0575" w14:paraId="7C87242D" w14:textId="77777777">
      <w:pPr>
        <w:shd w:val="clear" w:color="auto" w:fill="FFFFFF"/>
        <w:spacing w:after="0" w:line="276" w:lineRule="auto"/>
        <w:ind w:right="51" w:firstLine="709"/>
        <w:jc w:val="both"/>
        <w:rPr>
          <w:rFonts w:ascii="Century Gothic" w:hAnsi="Century Gothic" w:eastAsia="Yu Gothic UI Semibold" w:cs="Arial"/>
          <w:lang w:eastAsia="es-CO"/>
        </w:rPr>
      </w:pPr>
      <w:r w:rsidRPr="007E6FC1">
        <w:rPr>
          <w:rFonts w:ascii="Century Gothic" w:hAnsi="Century Gothic" w:eastAsia="Yu Gothic UI Semibold"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   </w:t>
      </w:r>
    </w:p>
    <w:p w:rsidRPr="007E6FC1" w:rsidR="00DD0575" w:rsidP="00DD0575" w:rsidRDefault="00DD0575" w14:paraId="6783C80F" w14:textId="77777777">
      <w:pPr>
        <w:shd w:val="clear" w:color="auto" w:fill="FFFFFF"/>
        <w:spacing w:after="0" w:line="276" w:lineRule="auto"/>
        <w:ind w:left="709" w:right="49"/>
        <w:jc w:val="both"/>
        <w:rPr>
          <w:rFonts w:ascii="Century Gothic" w:hAnsi="Century Gothic" w:eastAsia="Yu Gothic UI Semibold" w:cs="Arial"/>
          <w:lang w:eastAsia="es-CO"/>
        </w:rPr>
      </w:pPr>
    </w:p>
    <w:p w:rsidRPr="007E6FC1" w:rsidR="00DD0575" w:rsidP="00DD0575" w:rsidRDefault="00DD0575" w14:paraId="459ECF13" w14:textId="77777777">
      <w:pPr>
        <w:shd w:val="clear" w:color="auto" w:fill="FFFFFF"/>
        <w:spacing w:line="240" w:lineRule="auto"/>
        <w:ind w:left="709" w:right="709"/>
        <w:contextualSpacing/>
        <w:jc w:val="both"/>
        <w:rPr>
          <w:rFonts w:ascii="Century Gothic" w:hAnsi="Century Gothic" w:cs="Arial"/>
          <w:noProof/>
          <w:sz w:val="21"/>
          <w:szCs w:val="21"/>
          <w:lang w:val="es-ES_tradnl"/>
        </w:rPr>
      </w:pPr>
      <w:r w:rsidRPr="007E6FC1">
        <w:rPr>
          <w:rFonts w:ascii="Century Gothic" w:hAnsi="Century Gothic" w:eastAsia="Yu Gothic UI Semibold" w:cs="Arial"/>
          <w:iCs/>
          <w:sz w:val="21"/>
          <w:szCs w:val="21"/>
          <w:lang w:eastAsia="es-MX"/>
        </w:rPr>
        <w:t>“</w:t>
      </w:r>
      <w:r w:rsidRPr="007E6FC1">
        <w:rPr>
          <w:rFonts w:ascii="Century Gothic" w:hAnsi="Century Gothic" w:eastAsia="Yu Gothic UI Semibold" w:cs="Arial"/>
          <w:sz w:val="21"/>
          <w:szCs w:val="21"/>
          <w:lang w:eastAsia="es-CO"/>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7E6FC1">
        <w:rPr>
          <w:rFonts w:ascii="Century Gothic" w:hAnsi="Century Gothic" w:cs="Arial"/>
          <w:noProof/>
          <w:sz w:val="21"/>
          <w:szCs w:val="21"/>
          <w:lang w:val="es-ES_tradnl"/>
        </w:rPr>
        <w:t>”.</w:t>
      </w:r>
    </w:p>
    <w:p w:rsidRPr="007E6FC1" w:rsidR="00DD0575" w:rsidP="00DD0575" w:rsidRDefault="00DD0575" w14:paraId="787AEDC1" w14:textId="77777777">
      <w:pPr>
        <w:shd w:val="clear" w:color="auto" w:fill="FFFFFF"/>
        <w:spacing w:line="240" w:lineRule="auto"/>
        <w:ind w:right="709"/>
        <w:contextualSpacing/>
        <w:jc w:val="both"/>
        <w:rPr>
          <w:rFonts w:ascii="Century Gothic" w:hAnsi="Century Gothic" w:cs="Arial"/>
          <w:noProof/>
          <w:sz w:val="21"/>
          <w:szCs w:val="21"/>
          <w:lang w:val="es-ES_tradnl"/>
        </w:rPr>
      </w:pPr>
    </w:p>
    <w:p w:rsidRPr="007E6FC1" w:rsidR="00DD0575" w:rsidP="00DD0575" w:rsidRDefault="00DD0575" w14:paraId="1F000DDC" w14:textId="77777777">
      <w:pPr>
        <w:shd w:val="clear" w:color="auto" w:fill="FFFFFF"/>
        <w:spacing w:before="288" w:beforeLines="120" w:line="276" w:lineRule="auto"/>
        <w:contextualSpacing/>
        <w:jc w:val="both"/>
        <w:rPr>
          <w:rFonts w:ascii="Century Gothic" w:hAnsi="Century Gothic" w:eastAsia="Yu Gothic UI Semibold" w:cs="Arial"/>
          <w:lang w:eastAsia="es-CO"/>
        </w:rPr>
      </w:pPr>
      <w:r w:rsidRPr="007E6FC1">
        <w:rPr>
          <w:rFonts w:ascii="Century Gothic" w:hAnsi="Century Gothic" w:cs="Arial"/>
          <w:noProof/>
          <w:lang w:val="es-ES_tradnl"/>
        </w:rPr>
        <w:tab/>
      </w:r>
      <w:r w:rsidRPr="007E6FC1">
        <w:rPr>
          <w:rFonts w:ascii="Century Gothic" w:hAnsi="Century Gothic" w:cs="Arial"/>
          <w:noProof/>
          <w:lang w:val="es-ES_tradnl"/>
        </w:rPr>
        <w:t xml:space="preserve">Conforme a lo anterior, la Corte Constitucional ha expuesto dos (2) posiciones frente a los cuales opera la protección del denominado fuero de maternidad de mujeres vinculadas por medio de un contrato de prestación de servicios: i) cuando el juez prueba la configurción de un contrato realidad en el contrato de prestación de servicios, porque concurren los siguientes elementos: a) el salario, b) la continua subordinación o dependencia y c) la prestación personal </w:t>
      </w:r>
      <w:r w:rsidRPr="007E6FC1">
        <w:rPr>
          <w:rFonts w:ascii="Century Gothic" w:hAnsi="Century Gothic" w:cs="Arial"/>
          <w:noProof/>
          <w:lang w:val="es-ES_tradnl"/>
        </w:rPr>
        <w:t>del servicio; y además, ii) cuando a pesar de no probarse la configuración de un contrato realidad la terminación del contrato de prestación de servicios se fundamenta en criterios discriminatorios, y no en motivos objetivos.</w:t>
      </w:r>
    </w:p>
    <w:p w:rsidRPr="007E6FC1" w:rsidR="00DD0575" w:rsidP="00DD0575" w:rsidRDefault="00DD0575" w14:paraId="6020776E" w14:textId="77777777">
      <w:pPr>
        <w:tabs>
          <w:tab w:val="left" w:pos="0"/>
        </w:tabs>
        <w:spacing w:before="288" w:beforeLines="120" w:after="120" w:line="276" w:lineRule="auto"/>
        <w:jc w:val="both"/>
        <w:rPr>
          <w:rFonts w:ascii="Century Gothic" w:hAnsi="Century Gothic" w:cs="Arial"/>
        </w:rPr>
      </w:pPr>
      <w:r w:rsidRPr="007E6FC1">
        <w:rPr>
          <w:rFonts w:ascii="Century Gothic" w:hAnsi="Century Gothic" w:cs="Arial"/>
        </w:rPr>
        <w:tab/>
      </w:r>
      <w:r w:rsidRPr="007E6FC1">
        <w:rPr>
          <w:rFonts w:ascii="Century Gothic" w:hAnsi="Century Gothic" w:cs="Arial"/>
        </w:rPr>
        <w:t xml:space="preserve">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w:t>
      </w:r>
      <w:proofErr w:type="spellStart"/>
      <w:r w:rsidRPr="007E6FC1">
        <w:rPr>
          <w:rFonts w:ascii="Century Gothic" w:hAnsi="Century Gothic" w:cs="Arial"/>
        </w:rPr>
        <w:t>ii</w:t>
      </w:r>
      <w:proofErr w:type="spellEnd"/>
      <w:r w:rsidRPr="007E6FC1">
        <w:rPr>
          <w:rFonts w:ascii="Century Gothic" w:hAnsi="Century Gothic" w:cs="Arial"/>
        </w:rPr>
        <w:t xml:space="preserve">) la contención de prácticas discriminatorias en el escenario laboral contra la mujer con ocasión del estado de embarazo, </w:t>
      </w:r>
      <w:proofErr w:type="spellStart"/>
      <w:r w:rsidRPr="007E6FC1">
        <w:rPr>
          <w:rFonts w:ascii="Century Gothic" w:hAnsi="Century Gothic" w:cs="Arial"/>
        </w:rPr>
        <w:t>iii</w:t>
      </w:r>
      <w:proofErr w:type="spellEnd"/>
      <w:r w:rsidRPr="007E6FC1">
        <w:rPr>
          <w:rFonts w:ascii="Century Gothic" w:hAnsi="Century Gothic" w:cs="Arial"/>
        </w:rPr>
        <w:t xml:space="preserve">) la protección a la vida y a la mujer como su gestora y </w:t>
      </w:r>
      <w:proofErr w:type="spellStart"/>
      <w:r w:rsidRPr="007E6FC1">
        <w:rPr>
          <w:rFonts w:ascii="Century Gothic" w:hAnsi="Century Gothic" w:cs="Arial"/>
        </w:rPr>
        <w:t>iv</w:t>
      </w:r>
      <w:proofErr w:type="spellEnd"/>
      <w:r w:rsidRPr="007E6FC1">
        <w:rPr>
          <w:rFonts w:ascii="Century Gothic" w:hAnsi="Century Gothic" w:cs="Arial"/>
        </w:rPr>
        <w:t>) la relevancia de la familia en el ordenamiento social colombiano.</w:t>
      </w:r>
    </w:p>
    <w:p w:rsidRPr="007E6FC1" w:rsidR="00DD0575" w:rsidP="00DD0575" w:rsidRDefault="00DD0575" w14:paraId="58928DE0" w14:textId="77777777">
      <w:pPr>
        <w:widowControl w:val="0"/>
        <w:autoSpaceDE w:val="0"/>
        <w:autoSpaceDN w:val="0"/>
        <w:spacing w:after="0" w:line="276" w:lineRule="auto"/>
        <w:ind w:firstLine="709"/>
        <w:jc w:val="both"/>
        <w:rPr>
          <w:rFonts w:ascii="Century Gothic" w:hAnsi="Century Gothic" w:eastAsia="Arial" w:cs="Arial"/>
          <w:lang w:val="es-ES"/>
        </w:rPr>
      </w:pPr>
      <w:r w:rsidRPr="007E6FC1">
        <w:rPr>
          <w:rFonts w:ascii="Century Gothic" w:hAnsi="Century Gothic" w:eastAsia="Arial" w:cs="Arial"/>
          <w:lang w:val="es-ES"/>
        </w:rPr>
        <w:t xml:space="preserve">Adicionalmente, la Corte Constitucional profirió la sentencia T-329 de 2022, con ponencia de la magistrada </w:t>
      </w:r>
      <w:r w:rsidRPr="007E6FC1">
        <w:rPr>
          <w:rFonts w:ascii="Century Gothic" w:hAnsi="Century Gothic" w:cs="Arial"/>
        </w:rPr>
        <w:t>Natalia Ángel Cabo</w:t>
      </w:r>
      <w:r w:rsidRPr="007E6FC1">
        <w:rPr>
          <w:rFonts w:ascii="Century Gothic" w:hAnsi="Century Gothic" w:eastAsia="Arial" w:cs="Arial"/>
          <w:lang w:val="es-ES"/>
        </w:rPr>
        <w:t xml:space="preserve">, en la cual reiteró el precedente sobre </w:t>
      </w:r>
      <w:bookmarkStart w:name="_Hlk108422441" w:id="6"/>
      <w:r w:rsidRPr="007E6FC1">
        <w:rPr>
          <w:rFonts w:ascii="Century Gothic" w:hAnsi="Century Gothic" w:eastAsia="Arial" w:cs="Arial"/>
          <w:lang w:val="es-ES"/>
        </w:rPr>
        <w:t>la protección de la mujer embarazada y en período de lactancia en contratos de prestación de servicios</w:t>
      </w:r>
      <w:bookmarkEnd w:id="6"/>
      <w:r w:rsidRPr="007E6FC1">
        <w:rPr>
          <w:rFonts w:ascii="Century Gothic" w:hAnsi="Century Gothic" w:eastAsia="Arial" w:cs="Arial"/>
          <w:lang w:val="es-ES"/>
        </w:rPr>
        <w:t xml:space="preserve"> establecido en la Sentencia S-070 de 2013, al indicar lo siguiente: </w:t>
      </w:r>
    </w:p>
    <w:p w:rsidRPr="007E6FC1" w:rsidR="00DD0575" w:rsidP="00DD0575" w:rsidRDefault="00DD0575" w14:paraId="0959BF31" w14:textId="77777777">
      <w:pPr>
        <w:widowControl w:val="0"/>
        <w:autoSpaceDE w:val="0"/>
        <w:autoSpaceDN w:val="0"/>
        <w:spacing w:after="0" w:line="276" w:lineRule="auto"/>
        <w:ind w:firstLine="709"/>
        <w:contextualSpacing/>
        <w:jc w:val="both"/>
        <w:rPr>
          <w:rFonts w:ascii="Century Gothic" w:hAnsi="Century Gothic" w:eastAsia="Arial" w:cs="Arial"/>
          <w:lang w:val="es-ES"/>
        </w:rPr>
      </w:pPr>
    </w:p>
    <w:p w:rsidRPr="007E6FC1" w:rsidR="00DD0575" w:rsidP="00DD0575" w:rsidRDefault="00DD0575" w14:paraId="53087518" w14:textId="77777777">
      <w:pPr>
        <w:spacing w:after="0" w:line="240" w:lineRule="auto"/>
        <w:ind w:left="709" w:right="709"/>
        <w:contextualSpacing/>
        <w:jc w:val="both"/>
        <w:rPr>
          <w:rFonts w:ascii="Century Gothic" w:hAnsi="Century Gothic" w:eastAsia="Times New Roman" w:cs="Arial"/>
          <w:sz w:val="21"/>
          <w:szCs w:val="21"/>
          <w:lang w:eastAsia="es-ES"/>
        </w:rPr>
      </w:pPr>
      <w:r w:rsidRPr="007E6FC1">
        <w:rPr>
          <w:rFonts w:ascii="Century Gothic" w:hAnsi="Century Gothic" w:eastAsia="Yu Gothic UI Semibold" w:cs="Arial"/>
          <w:iCs/>
          <w:sz w:val="21"/>
          <w:szCs w:val="21"/>
          <w:lang w:eastAsia="es-MX"/>
        </w:rPr>
        <w:t>“</w:t>
      </w:r>
      <w:r w:rsidRPr="007E6FC1">
        <w:rPr>
          <w:rFonts w:ascii="Century Gothic" w:hAnsi="Century Gothic" w:eastAsia="Yu Gothic UI Semibold" w:cs="Arial"/>
          <w:sz w:val="21"/>
          <w:szCs w:val="21"/>
          <w:lang w:eastAsia="es-CO"/>
        </w:rPr>
        <w:t xml:space="preserve">[…] </w:t>
      </w:r>
      <w:r w:rsidRPr="007E6FC1">
        <w:rPr>
          <w:rFonts w:ascii="Century Gothic" w:hAnsi="Century Gothic" w:eastAsia="Times New Roman" w:cs="Arial"/>
          <w:sz w:val="21"/>
          <w:szCs w:val="21"/>
          <w:lang w:eastAsia="es-ES"/>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sidRPr="007E6FC1">
        <w:rPr>
          <w:rFonts w:ascii="Century Gothic" w:hAnsi="Century Gothic" w:eastAsia="Times New Roman" w:cs="Arial"/>
          <w:noProof/>
          <w:sz w:val="21"/>
          <w:szCs w:val="21"/>
          <w:lang w:val="es-ES_tradnl" w:eastAsia="es-ES"/>
        </w:rPr>
        <w:t>”.</w:t>
      </w:r>
    </w:p>
    <w:p w:rsidRPr="007E6FC1" w:rsidR="00DD0575" w:rsidP="00DD0575" w:rsidRDefault="00DD0575" w14:paraId="0680FFB3" w14:textId="77777777">
      <w:pPr>
        <w:widowControl w:val="0"/>
        <w:autoSpaceDE w:val="0"/>
        <w:autoSpaceDN w:val="0"/>
        <w:spacing w:after="0" w:line="276" w:lineRule="auto"/>
        <w:ind w:firstLine="709"/>
        <w:jc w:val="both"/>
        <w:rPr>
          <w:rFonts w:ascii="Century Gothic" w:hAnsi="Century Gothic" w:eastAsia="Arial" w:cs="Arial"/>
          <w:lang w:val="es-ES"/>
        </w:rPr>
      </w:pPr>
    </w:p>
    <w:p w:rsidRPr="007E6FC1" w:rsidR="00DD0575" w:rsidP="00DD0575" w:rsidRDefault="00DD0575" w14:paraId="1DDE31AC" w14:textId="77777777">
      <w:pPr>
        <w:widowControl w:val="0"/>
        <w:autoSpaceDE w:val="0"/>
        <w:autoSpaceDN w:val="0"/>
        <w:spacing w:after="120" w:line="276" w:lineRule="auto"/>
        <w:ind w:firstLine="709"/>
        <w:jc w:val="both"/>
        <w:rPr>
          <w:rFonts w:ascii="Century Gothic" w:hAnsi="Century Gothic" w:cs="Arial"/>
          <w:shd w:val="clear" w:color="auto" w:fill="FFFFFF"/>
        </w:rPr>
      </w:pPr>
      <w:r w:rsidRPr="007E6FC1">
        <w:rPr>
          <w:rFonts w:ascii="Century Gothic" w:hAnsi="Century Gothic" w:eastAsia="Arial" w:cs="Arial"/>
          <w:lang w:val="es-ES"/>
        </w:rPr>
        <w:t xml:space="preserve">En dicha providencia la Corte consideró que, en los casos de </w:t>
      </w:r>
      <w:r w:rsidRPr="007E6FC1">
        <w:rPr>
          <w:rFonts w:ascii="Century Gothic" w:hAnsi="Century Gothic" w:cs="Arial"/>
        </w:rPr>
        <w:t xml:space="preserve">en los casos de vinculación mediante contrato de prestación de servicios, aun cuando en el trámite de tutela no se logren acreditar los elementos del contrato realidad, hay lugar a la protección derivada de del fuero de maternidad. Lo anterior, en palabras de la Corte encuentra sustento en las siguientes razones: </w:t>
      </w:r>
      <w:r w:rsidRPr="007E6FC1">
        <w:rPr>
          <w:rFonts w:ascii="Century Gothic" w:hAnsi="Century Gothic" w:eastAsia="Yu Gothic UI Semibold" w:cs="Arial"/>
          <w:iCs/>
          <w:lang w:eastAsia="es-MX"/>
        </w:rPr>
        <w:t>“</w:t>
      </w:r>
      <w:r w:rsidRPr="007E6FC1">
        <w:rPr>
          <w:rFonts w:ascii="Century Gothic" w:hAnsi="Century Gothic" w:cs="Arial"/>
        </w:rPr>
        <w:t>(i) la protección de la mujer gestante o en periodo de lactancia se deriva de, entre otros, los artículos 43, 53 y 13 de la Constitución Nacional; (</w:t>
      </w:r>
      <w:proofErr w:type="spellStart"/>
      <w:r w:rsidRPr="007E6FC1">
        <w:rPr>
          <w:rFonts w:ascii="Century Gothic" w:hAnsi="Century Gothic" w:cs="Arial"/>
        </w:rPr>
        <w:t>ii</w:t>
      </w:r>
      <w:proofErr w:type="spellEnd"/>
      <w:r w:rsidRPr="007E6FC1">
        <w:rPr>
          <w:rFonts w:ascii="Century Gothic" w:hAnsi="Century Gothic" w:cs="Arial"/>
        </w:rPr>
        <w:t>) la Sentencia SU-070 de 2013 reiteró la protección a la mujer embarazada en todas las alternativas laborales o de trabajo en las que se incluye el contrato de prestación de servicios; (</w:t>
      </w:r>
      <w:proofErr w:type="spellStart"/>
      <w:r w:rsidRPr="007E6FC1">
        <w:rPr>
          <w:rFonts w:ascii="Century Gothic" w:hAnsi="Century Gothic" w:cs="Arial"/>
        </w:rPr>
        <w:t>iii</w:t>
      </w:r>
      <w:proofErr w:type="spellEnd"/>
      <w:r w:rsidRPr="007E6FC1">
        <w:rPr>
          <w:rFonts w:ascii="Century Gothic" w:hAnsi="Century Gothic" w:cs="Arial"/>
        </w:rPr>
        <w:t xml:space="preserve">) la Sentencia SU-075 de 2018 reiteró que las condiciones para la protección de la mujer embarazada son la existencia de una relación laboral o de prestación de servicios y que </w:t>
      </w:r>
      <w:r w:rsidRPr="007E6FC1">
        <w:rPr>
          <w:rFonts w:ascii="Century Gothic" w:hAnsi="Century Gothic" w:cs="Arial"/>
          <w:shd w:val="clear" w:color="auto" w:fill="FFFFFF"/>
        </w:rPr>
        <w:t xml:space="preserve">la mujer </w:t>
      </w:r>
      <w:r w:rsidRPr="007E6FC1">
        <w:rPr>
          <w:rFonts w:ascii="Century Gothic" w:hAnsi="Century Gothic" w:cs="Arial"/>
          <w:shd w:val="clear" w:color="auto" w:fill="FFFFFF"/>
        </w:rPr>
        <w:t>se encuentre en estado de embarazo o dentro de los tres meses siguientes al parto, en vigencia de dicha relación laboral o de prestación de servicios</w:t>
      </w:r>
      <w:r w:rsidRPr="007E6FC1">
        <w:rPr>
          <w:rFonts w:ascii="Century Gothic" w:hAnsi="Century Gothic" w:cs="Arial"/>
        </w:rPr>
        <w:t>; y (</w:t>
      </w:r>
      <w:proofErr w:type="spellStart"/>
      <w:r w:rsidRPr="007E6FC1">
        <w:rPr>
          <w:rFonts w:ascii="Century Gothic" w:hAnsi="Century Gothic" w:cs="Arial"/>
        </w:rPr>
        <w:t>iv</w:t>
      </w:r>
      <w:proofErr w:type="spellEnd"/>
      <w:r w:rsidRPr="007E6FC1">
        <w:rPr>
          <w:rFonts w:ascii="Century Gothic" w:hAnsi="Century Gothic" w:cs="Arial"/>
        </w:rPr>
        <w:t xml:space="preserve">) las salas de revisión de la Corte Constitucional </w:t>
      </w:r>
      <w:r w:rsidRPr="007E6FC1">
        <w:rPr>
          <w:rFonts w:ascii="Century Gothic" w:hAnsi="Century Gothic" w:cs="Arial"/>
          <w:shd w:val="clear" w:color="auto" w:fill="FFFFFF"/>
        </w:rPr>
        <w:t>reconocen la protección derivada del fuero de maternidad en los contratos de prestación de servicios</w:t>
      </w:r>
      <w:r w:rsidRPr="007E6FC1">
        <w:rPr>
          <w:rFonts w:ascii="Century Gothic" w:hAnsi="Century Gothic" w:cs="Arial"/>
          <w:noProof/>
          <w:lang w:val="es-ES_tradnl"/>
        </w:rPr>
        <w:t>”</w:t>
      </w:r>
      <w:r w:rsidRPr="007E6FC1">
        <w:rPr>
          <w:rFonts w:ascii="Century Gothic" w:hAnsi="Century Gothic" w:cs="Arial"/>
          <w:noProof/>
          <w:vertAlign w:val="superscript"/>
          <w:lang w:val="es-ES_tradnl"/>
        </w:rPr>
        <w:footnoteReference w:id="26"/>
      </w:r>
      <w:r w:rsidRPr="007E6FC1">
        <w:rPr>
          <w:rFonts w:ascii="Century Gothic" w:hAnsi="Century Gothic" w:cs="Arial"/>
          <w:shd w:val="clear" w:color="auto" w:fill="FFFFFF"/>
        </w:rPr>
        <w:t xml:space="preserve">. </w:t>
      </w:r>
    </w:p>
    <w:p w:rsidRPr="007E6FC1" w:rsidR="00DD0575" w:rsidP="00DD0575" w:rsidRDefault="00DD0575" w14:paraId="70245D70" w14:textId="77777777">
      <w:pPr>
        <w:widowControl w:val="0"/>
        <w:autoSpaceDE w:val="0"/>
        <w:autoSpaceDN w:val="0"/>
        <w:spacing w:after="120" w:line="276" w:lineRule="auto"/>
        <w:ind w:firstLine="709"/>
        <w:jc w:val="both"/>
        <w:rPr>
          <w:rFonts w:ascii="Century Gothic" w:hAnsi="Century Gothic" w:cs="Arial"/>
          <w:shd w:val="clear" w:color="auto" w:fill="FFFFFF"/>
        </w:rPr>
      </w:pPr>
      <w:r w:rsidRPr="007E6FC1">
        <w:rPr>
          <w:rFonts w:ascii="Century Gothic" w:hAnsi="Century Gothic" w:cs="Arial"/>
          <w:shd w:val="clear" w:color="auto" w:fill="FFFFFF"/>
        </w:rPr>
        <w:t xml:space="preserve">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lactancia: </w:t>
      </w:r>
    </w:p>
    <w:p w:rsidRPr="007E6FC1" w:rsidR="00DD0575" w:rsidP="00DD0575" w:rsidRDefault="00DD0575" w14:paraId="3E21763E" w14:textId="77777777">
      <w:pPr>
        <w:widowControl w:val="0"/>
        <w:autoSpaceDE w:val="0"/>
        <w:autoSpaceDN w:val="0"/>
        <w:spacing w:after="120" w:line="276" w:lineRule="auto"/>
        <w:ind w:firstLine="709"/>
        <w:jc w:val="both"/>
        <w:rPr>
          <w:rFonts w:ascii="Century Gothic" w:hAnsi="Century Gothic" w:cs="Arial"/>
          <w:shd w:val="clear" w:color="auto" w:fill="FFFFFF"/>
        </w:rPr>
      </w:pPr>
    </w:p>
    <w:tbl>
      <w:tblPr>
        <w:tblStyle w:val="Tablaconcuadrcula"/>
        <w:tblW w:w="5000" w:type="pct"/>
        <w:tblLook w:val="04A0" w:firstRow="1" w:lastRow="0" w:firstColumn="1" w:lastColumn="0" w:noHBand="0" w:noVBand="1"/>
      </w:tblPr>
      <w:tblGrid>
        <w:gridCol w:w="1813"/>
        <w:gridCol w:w="7015"/>
      </w:tblGrid>
      <w:tr w:rsidRPr="007E6FC1" w:rsidR="00DD0575" w:rsidTr="008369E7" w14:paraId="51486E03" w14:textId="77777777">
        <w:tc>
          <w:tcPr>
            <w:tcW w:w="1027" w:type="pct"/>
            <w:shd w:val="clear" w:color="auto" w:fill="D9E2F3" w:themeFill="accent1" w:themeFillTint="33"/>
            <w:vAlign w:val="center"/>
          </w:tcPr>
          <w:p w:rsidRPr="007E6FC1" w:rsidR="00DD0575" w:rsidP="008369E7" w:rsidRDefault="00DD0575" w14:paraId="24C1F960" w14:textId="77777777">
            <w:pPr>
              <w:jc w:val="center"/>
              <w:rPr>
                <w:rFonts w:ascii="Century Gothic" w:hAnsi="Century Gothic" w:cs="Arial"/>
                <w:b/>
                <w:bCs/>
                <w:sz w:val="21"/>
                <w:szCs w:val="21"/>
                <w:lang w:val="es-MX"/>
              </w:rPr>
            </w:pPr>
            <w:r w:rsidRPr="007E6FC1">
              <w:rPr>
                <w:rFonts w:ascii="Century Gothic" w:hAnsi="Century Gothic" w:cs="Arial"/>
                <w:b/>
                <w:bCs/>
                <w:sz w:val="21"/>
                <w:szCs w:val="21"/>
                <w:lang w:val="es-MX"/>
              </w:rPr>
              <w:t>Tipo de relación material</w:t>
            </w:r>
          </w:p>
        </w:tc>
        <w:tc>
          <w:tcPr>
            <w:tcW w:w="3973" w:type="pct"/>
            <w:shd w:val="clear" w:color="auto" w:fill="D9E2F3" w:themeFill="accent1" w:themeFillTint="33"/>
            <w:vAlign w:val="center"/>
          </w:tcPr>
          <w:p w:rsidRPr="007E6FC1" w:rsidR="00DD0575" w:rsidP="008369E7" w:rsidRDefault="00DD0575" w14:paraId="40888AFA" w14:textId="77777777">
            <w:pPr>
              <w:jc w:val="center"/>
              <w:rPr>
                <w:rFonts w:ascii="Century Gothic" w:hAnsi="Century Gothic" w:cs="Arial"/>
                <w:b/>
                <w:bCs/>
                <w:sz w:val="21"/>
                <w:szCs w:val="21"/>
                <w:lang w:val="es-MX"/>
              </w:rPr>
            </w:pPr>
            <w:r w:rsidRPr="007E6FC1">
              <w:rPr>
                <w:rFonts w:ascii="Century Gothic" w:hAnsi="Century Gothic" w:cs="Arial"/>
                <w:b/>
                <w:bCs/>
                <w:sz w:val="21"/>
                <w:szCs w:val="21"/>
                <w:lang w:val="es-MX"/>
              </w:rPr>
              <w:t>Alcance de la protección</w:t>
            </w:r>
          </w:p>
        </w:tc>
      </w:tr>
      <w:tr w:rsidRPr="007E6FC1" w:rsidR="00DD0575" w:rsidTr="008369E7" w14:paraId="26FB1455" w14:textId="77777777">
        <w:tc>
          <w:tcPr>
            <w:tcW w:w="1027" w:type="pct"/>
            <w:tcBorders>
              <w:bottom w:val="single" w:color="auto" w:sz="4" w:space="0"/>
            </w:tcBorders>
            <w:vAlign w:val="center"/>
          </w:tcPr>
          <w:p w:rsidRPr="007E6FC1" w:rsidR="00DD0575" w:rsidP="008369E7" w:rsidRDefault="00DD0575" w14:paraId="62B15715" w14:textId="77777777">
            <w:pPr>
              <w:jc w:val="center"/>
              <w:rPr>
                <w:rFonts w:ascii="Century Gothic" w:hAnsi="Century Gothic" w:cs="Arial"/>
                <w:b/>
                <w:bCs/>
                <w:sz w:val="21"/>
                <w:szCs w:val="21"/>
                <w:lang w:val="es-MX"/>
              </w:rPr>
            </w:pPr>
            <w:r w:rsidRPr="007E6FC1">
              <w:rPr>
                <w:rFonts w:ascii="Century Gothic" w:hAnsi="Century Gothic" w:cs="Arial"/>
                <w:b/>
                <w:bCs/>
                <w:sz w:val="21"/>
                <w:szCs w:val="21"/>
                <w:lang w:val="es-MX"/>
              </w:rPr>
              <w:t>Se configura un contrato realidad</w:t>
            </w:r>
          </w:p>
        </w:tc>
        <w:tc>
          <w:tcPr>
            <w:tcW w:w="3973" w:type="pct"/>
          </w:tcPr>
          <w:p w:rsidRPr="007E6FC1" w:rsidR="00DD0575" w:rsidP="008369E7" w:rsidRDefault="00DD0575" w14:paraId="4866B358" w14:textId="77777777">
            <w:pPr>
              <w:jc w:val="both"/>
              <w:rPr>
                <w:rFonts w:ascii="Century Gothic" w:hAnsi="Century Gothic" w:cs="Arial"/>
                <w:sz w:val="21"/>
                <w:szCs w:val="21"/>
                <w:lang w:val="es-MX"/>
              </w:rPr>
            </w:pPr>
            <w:r w:rsidRPr="007E6FC1">
              <w:rPr>
                <w:rFonts w:ascii="Century Gothic" w:hAnsi="Century Gothic" w:cs="Arial"/>
                <w:sz w:val="21"/>
                <w:szCs w:val="21"/>
                <w:lang w:val="es-MX"/>
              </w:rPr>
              <w:t>El juez de tutela deberá aplicar las reglas establecidas para el contrato laboral a término fijo, debido a que este contrato, por sus características de temporalidad, es el que mejor se asemeja al contrato de prestación de servicios</w:t>
            </w:r>
            <w:r w:rsidRPr="007E6FC1">
              <w:rPr>
                <w:rFonts w:ascii="Century Gothic" w:hAnsi="Century Gothic" w:cs="Arial"/>
                <w:sz w:val="21"/>
                <w:szCs w:val="21"/>
                <w:vertAlign w:val="superscript"/>
                <w:lang w:val="es-MX"/>
              </w:rPr>
              <w:t xml:space="preserve"> </w:t>
            </w:r>
            <w:r w:rsidRPr="007E6FC1">
              <w:rPr>
                <w:rFonts w:ascii="Century Gothic" w:hAnsi="Century Gothic" w:cs="Arial"/>
                <w:sz w:val="21"/>
                <w:szCs w:val="21"/>
                <w:vertAlign w:val="superscript"/>
                <w:lang w:val="es-MX"/>
              </w:rPr>
              <w:footnoteReference w:id="27"/>
            </w:r>
            <w:r w:rsidRPr="007E6FC1">
              <w:rPr>
                <w:rFonts w:ascii="Century Gothic" w:hAnsi="Century Gothic" w:cs="Arial"/>
                <w:sz w:val="21"/>
                <w:szCs w:val="21"/>
                <w:lang w:val="es-MX"/>
              </w:rPr>
              <w:t>.</w:t>
            </w:r>
          </w:p>
        </w:tc>
      </w:tr>
      <w:tr w:rsidRPr="007E6FC1" w:rsidR="00DD0575" w:rsidTr="008369E7" w14:paraId="49925C2E" w14:textId="77777777">
        <w:trPr>
          <w:trHeight w:val="269"/>
        </w:trPr>
        <w:tc>
          <w:tcPr>
            <w:tcW w:w="1027" w:type="pct"/>
            <w:tcBorders>
              <w:top w:val="single" w:color="auto" w:sz="4" w:space="0"/>
              <w:left w:val="single" w:color="auto" w:sz="4" w:space="0"/>
              <w:bottom w:val="single" w:color="auto" w:sz="4" w:space="0"/>
              <w:right w:val="single" w:color="auto" w:sz="4" w:space="0"/>
            </w:tcBorders>
            <w:vAlign w:val="center"/>
          </w:tcPr>
          <w:p w:rsidRPr="007E6FC1" w:rsidR="00DD0575" w:rsidP="008369E7" w:rsidRDefault="00DD0575" w14:paraId="0947C0CC" w14:textId="77777777">
            <w:pPr>
              <w:jc w:val="center"/>
              <w:rPr>
                <w:rFonts w:ascii="Century Gothic" w:hAnsi="Century Gothic" w:cs="Arial"/>
                <w:b/>
                <w:bCs/>
                <w:sz w:val="21"/>
                <w:szCs w:val="21"/>
                <w:lang w:val="es-MX"/>
              </w:rPr>
            </w:pPr>
            <w:r w:rsidRPr="007E6FC1">
              <w:rPr>
                <w:rFonts w:ascii="Century Gothic" w:hAnsi="Century Gothic" w:cs="Arial"/>
                <w:b/>
                <w:bCs/>
                <w:sz w:val="21"/>
                <w:szCs w:val="21"/>
                <w:lang w:val="es-MX"/>
              </w:rPr>
              <w:t>No se configura un contrato realidad</w:t>
            </w:r>
          </w:p>
        </w:tc>
        <w:tc>
          <w:tcPr>
            <w:tcW w:w="3973" w:type="pct"/>
            <w:tcBorders>
              <w:left w:val="single" w:color="auto" w:sz="4" w:space="0"/>
            </w:tcBorders>
            <w:vAlign w:val="center"/>
          </w:tcPr>
          <w:p w:rsidRPr="007E6FC1" w:rsidR="00DD0575" w:rsidP="008369E7" w:rsidRDefault="00DD0575" w14:paraId="20BC0344" w14:textId="77777777">
            <w:pPr>
              <w:jc w:val="both"/>
              <w:rPr>
                <w:rFonts w:ascii="Century Gothic" w:hAnsi="Century Gothic" w:cs="Arial"/>
                <w:sz w:val="21"/>
                <w:szCs w:val="21"/>
                <w:lang w:val="es-MX"/>
              </w:rPr>
            </w:pPr>
            <w:r w:rsidRPr="007E6FC1">
              <w:rPr>
                <w:rFonts w:ascii="Century Gothic" w:hAnsi="Century Gothic" w:cs="Arial"/>
                <w:sz w:val="21"/>
                <w:szCs w:val="21"/>
                <w:lang w:val="es-MX"/>
              </w:rPr>
              <w:t>Si (i) el contratante conoce el estado de embarazo de la contratista, (</w:t>
            </w:r>
            <w:proofErr w:type="spellStart"/>
            <w:r w:rsidRPr="007E6FC1">
              <w:rPr>
                <w:rFonts w:ascii="Century Gothic" w:hAnsi="Century Gothic" w:cs="Arial"/>
                <w:sz w:val="21"/>
                <w:szCs w:val="21"/>
                <w:lang w:val="es-MX"/>
              </w:rPr>
              <w:t>ii</w:t>
            </w:r>
            <w:proofErr w:type="spellEnd"/>
            <w:r w:rsidRPr="007E6FC1">
              <w:rPr>
                <w:rFonts w:ascii="Century Gothic" w:hAnsi="Century Gothic" w:cs="Arial"/>
                <w:sz w:val="21"/>
                <w:szCs w:val="21"/>
                <w:lang w:val="es-MX"/>
              </w:rPr>
              <w:t>) subsiste la causa del contrato y (</w:t>
            </w:r>
            <w:proofErr w:type="spellStart"/>
            <w:r w:rsidRPr="007E6FC1">
              <w:rPr>
                <w:rFonts w:ascii="Century Gothic" w:hAnsi="Century Gothic" w:cs="Arial"/>
                <w:sz w:val="21"/>
                <w:szCs w:val="21"/>
                <w:lang w:val="es-MX"/>
              </w:rPr>
              <w:t>iii</w:t>
            </w:r>
            <w:proofErr w:type="spellEnd"/>
            <w:r w:rsidRPr="007E6FC1">
              <w:rPr>
                <w:rFonts w:ascii="Century Gothic" w:hAnsi="Century Gothic" w:cs="Arial"/>
                <w:sz w:val="21"/>
                <w:szCs w:val="21"/>
                <w:lang w:val="es-MX"/>
              </w:rPr>
              <w:t>) no cuenta con permiso del inspector del trabajo para terminar el contrato, el juez deberá ordenar:</w:t>
            </w:r>
          </w:p>
          <w:p w:rsidRPr="007E6FC1" w:rsidR="00DD0575" w:rsidP="008369E7" w:rsidRDefault="00DD0575" w14:paraId="67D6012C" w14:textId="77777777">
            <w:pPr>
              <w:rPr>
                <w:rFonts w:ascii="Century Gothic" w:hAnsi="Century Gothic" w:cs="Arial"/>
                <w:sz w:val="21"/>
                <w:szCs w:val="21"/>
                <w:lang w:val="es-MX"/>
              </w:rPr>
            </w:pPr>
          </w:p>
          <w:p w:rsidRPr="007E6FC1" w:rsidR="00DD0575" w:rsidP="00DD0575" w:rsidRDefault="00DD0575" w14:paraId="17F7DB0A" w14:textId="77777777">
            <w:pPr>
              <w:numPr>
                <w:ilvl w:val="0"/>
                <w:numId w:val="2"/>
              </w:numPr>
              <w:jc w:val="both"/>
              <w:rPr>
                <w:rFonts w:ascii="Century Gothic" w:hAnsi="Century Gothic" w:cs="Arial"/>
                <w:sz w:val="21"/>
                <w:szCs w:val="21"/>
                <w:lang w:val="es-MX"/>
              </w:rPr>
            </w:pPr>
            <w:r w:rsidRPr="007E6FC1">
              <w:rPr>
                <w:rFonts w:ascii="Century Gothic" w:hAnsi="Century Gothic" w:cs="Arial"/>
                <w:sz w:val="21"/>
                <w:szCs w:val="21"/>
                <w:lang w:val="es-MX"/>
              </w:rPr>
              <w:t xml:space="preserve">La renovación de la relación contractual, la </w:t>
            </w:r>
            <w:proofErr w:type="spellStart"/>
            <w:r w:rsidRPr="007E6FC1">
              <w:rPr>
                <w:rFonts w:ascii="Century Gothic" w:hAnsi="Century Gothic" w:cs="Arial"/>
                <w:sz w:val="21"/>
                <w:szCs w:val="21"/>
                <w:lang w:val="es-MX"/>
              </w:rPr>
              <w:t>cuál</w:t>
            </w:r>
            <w:proofErr w:type="spellEnd"/>
            <w:r w:rsidRPr="007E6FC1">
              <w:rPr>
                <w:rFonts w:ascii="Century Gothic" w:hAnsi="Century Gothic" w:cs="Arial"/>
                <w:sz w:val="21"/>
                <w:szCs w:val="21"/>
                <w:lang w:val="es-MX"/>
              </w:rPr>
              <w:t xml:space="preserve"> se dará hasta por el término del periodo de lactancia. </w:t>
            </w:r>
          </w:p>
          <w:p w:rsidRPr="007E6FC1" w:rsidR="00DD0575" w:rsidP="00DD0575" w:rsidRDefault="00DD0575" w14:paraId="1A9AD13F" w14:textId="77777777">
            <w:pPr>
              <w:numPr>
                <w:ilvl w:val="0"/>
                <w:numId w:val="2"/>
              </w:numPr>
              <w:jc w:val="both"/>
              <w:rPr>
                <w:rFonts w:ascii="Century Gothic" w:hAnsi="Century Gothic" w:cs="Arial"/>
                <w:sz w:val="21"/>
                <w:szCs w:val="21"/>
                <w:lang w:val="es-MX"/>
              </w:rPr>
            </w:pPr>
            <w:r w:rsidRPr="007E6FC1">
              <w:rPr>
                <w:rFonts w:ascii="Century Gothic" w:hAnsi="Century Gothic" w:cs="Arial"/>
                <w:sz w:val="21"/>
                <w:szCs w:val="21"/>
                <w:lang w:val="es-MX"/>
              </w:rPr>
              <w:t>El pago de los honorarios dejados de percibir desde la fecha de no renovación del contrato, hasta la renovación del mismo;</w:t>
            </w:r>
          </w:p>
          <w:p w:rsidRPr="007E6FC1" w:rsidR="00DD0575" w:rsidP="00DD0575" w:rsidRDefault="00DD0575" w14:paraId="405A23B8" w14:textId="77777777">
            <w:pPr>
              <w:numPr>
                <w:ilvl w:val="0"/>
                <w:numId w:val="2"/>
              </w:numPr>
              <w:jc w:val="both"/>
              <w:rPr>
                <w:rFonts w:ascii="Century Gothic" w:hAnsi="Century Gothic" w:cs="Arial"/>
                <w:sz w:val="21"/>
                <w:szCs w:val="21"/>
                <w:lang w:val="es-MX"/>
              </w:rPr>
            </w:pPr>
            <w:r w:rsidRPr="007E6FC1">
              <w:rPr>
                <w:rFonts w:ascii="Century Gothic" w:hAnsi="Century Gothic" w:cs="Arial"/>
                <w:sz w:val="21"/>
                <w:szCs w:val="21"/>
                <w:lang w:val="es-MX"/>
              </w:rPr>
              <w:t>El pago por concepto de la indemnización por despido discriminatorio</w:t>
            </w:r>
            <w:r w:rsidRPr="007E6FC1">
              <w:rPr>
                <w:rFonts w:ascii="Century Gothic" w:hAnsi="Century Gothic" w:cs="Arial"/>
                <w:sz w:val="21"/>
                <w:szCs w:val="21"/>
                <w:vertAlign w:val="superscript"/>
                <w:lang w:val="es-MX"/>
              </w:rPr>
              <w:footnoteReference w:id="28"/>
            </w:r>
            <w:r w:rsidRPr="007E6FC1">
              <w:rPr>
                <w:rFonts w:ascii="Century Gothic" w:hAnsi="Century Gothic" w:cs="Arial"/>
                <w:sz w:val="21"/>
                <w:szCs w:val="21"/>
                <w:lang w:val="es-MX"/>
              </w:rPr>
              <w:t>; y</w:t>
            </w:r>
          </w:p>
          <w:p w:rsidRPr="007E6FC1" w:rsidR="00DD0575" w:rsidP="00DD0575" w:rsidRDefault="00DD0575" w14:paraId="5D192EC5" w14:textId="77777777">
            <w:pPr>
              <w:numPr>
                <w:ilvl w:val="0"/>
                <w:numId w:val="2"/>
              </w:numPr>
              <w:jc w:val="both"/>
              <w:rPr>
                <w:rFonts w:ascii="Century Gothic" w:hAnsi="Century Gothic" w:cs="Arial"/>
                <w:sz w:val="21"/>
                <w:szCs w:val="21"/>
                <w:lang w:val="es-MX"/>
              </w:rPr>
            </w:pPr>
            <w:r w:rsidRPr="007E6FC1">
              <w:rPr>
                <w:rFonts w:ascii="Century Gothic" w:hAnsi="Century Gothic" w:cs="Arial"/>
                <w:sz w:val="21"/>
                <w:szCs w:val="21"/>
                <w:lang w:val="es-MX"/>
              </w:rPr>
              <w:t>El pago de la licencia de maternidad. Este pago no se realizará si en el caso se acredita que la madre disfrutó de la licencia de maternidad</w:t>
            </w:r>
            <w:r w:rsidRPr="007E6FC1">
              <w:rPr>
                <w:rFonts w:ascii="Century Gothic" w:hAnsi="Century Gothic" w:cs="Arial"/>
                <w:sz w:val="21"/>
                <w:szCs w:val="21"/>
                <w:vertAlign w:val="superscript"/>
                <w:lang w:val="es-MX"/>
              </w:rPr>
              <w:footnoteReference w:id="29"/>
            </w:r>
            <w:r w:rsidRPr="007E6FC1">
              <w:rPr>
                <w:rFonts w:ascii="Century Gothic" w:hAnsi="Century Gothic" w:cs="Arial"/>
                <w:sz w:val="21"/>
                <w:szCs w:val="21"/>
                <w:lang w:val="es-MX"/>
              </w:rPr>
              <w:t>.</w:t>
            </w:r>
          </w:p>
          <w:p w:rsidRPr="007E6FC1" w:rsidR="00DD0575" w:rsidP="00DD0575" w:rsidRDefault="00DD0575" w14:paraId="2A242F1C" w14:textId="77777777">
            <w:pPr>
              <w:numPr>
                <w:ilvl w:val="0"/>
                <w:numId w:val="2"/>
              </w:numPr>
              <w:jc w:val="both"/>
              <w:rPr>
                <w:rFonts w:ascii="Century Gothic" w:hAnsi="Century Gothic" w:cs="Arial"/>
                <w:sz w:val="21"/>
                <w:szCs w:val="21"/>
                <w:lang w:val="es-MX"/>
              </w:rPr>
            </w:pPr>
            <w:r w:rsidRPr="007E6FC1">
              <w:rPr>
                <w:rFonts w:ascii="Century Gothic" w:hAnsi="Century Gothic" w:cs="Arial"/>
                <w:sz w:val="21"/>
                <w:szCs w:val="21"/>
                <w:lang w:val="es-MX"/>
              </w:rPr>
              <w:t>En el evento en el que el término del periodo de lactancia ya haya terminado, procederá el reconocimiento de los honorarios dejados de percibir hasta la terminación de periodo de lactancia</w:t>
            </w:r>
            <w:r w:rsidRPr="007E6FC1">
              <w:rPr>
                <w:rFonts w:ascii="Century Gothic" w:hAnsi="Century Gothic" w:cs="Arial"/>
                <w:sz w:val="21"/>
                <w:szCs w:val="21"/>
                <w:vertAlign w:val="superscript"/>
                <w:lang w:val="es-MX"/>
              </w:rPr>
              <w:footnoteReference w:id="30"/>
            </w:r>
            <w:r w:rsidRPr="007E6FC1">
              <w:rPr>
                <w:rFonts w:ascii="Century Gothic" w:hAnsi="Century Gothic" w:cs="Arial"/>
                <w:sz w:val="21"/>
                <w:szCs w:val="21"/>
                <w:lang w:val="es-MX"/>
              </w:rPr>
              <w:t>.</w:t>
            </w:r>
          </w:p>
          <w:p w:rsidRPr="007E6FC1" w:rsidR="00DD0575" w:rsidP="008369E7" w:rsidRDefault="00DD0575" w14:paraId="492FFC18" w14:textId="77777777">
            <w:pPr>
              <w:rPr>
                <w:rFonts w:ascii="Century Gothic" w:hAnsi="Century Gothic" w:cs="Arial"/>
                <w:sz w:val="21"/>
                <w:szCs w:val="21"/>
                <w:lang w:val="es-MX"/>
              </w:rPr>
            </w:pPr>
          </w:p>
          <w:p w:rsidRPr="007E6FC1" w:rsidR="00DD0575" w:rsidP="008369E7" w:rsidRDefault="00DD0575" w14:paraId="50E70407" w14:textId="77777777">
            <w:pPr>
              <w:keepNext/>
              <w:rPr>
                <w:rFonts w:ascii="Century Gothic" w:hAnsi="Century Gothic" w:cs="Arial"/>
                <w:sz w:val="21"/>
                <w:szCs w:val="21"/>
                <w:lang w:val="es-MX"/>
              </w:rPr>
            </w:pPr>
            <w:r w:rsidRPr="007E6FC1">
              <w:rPr>
                <w:rFonts w:ascii="Century Gothic" w:hAnsi="Century Gothic" w:cs="Arial"/>
                <w:sz w:val="21"/>
                <w:szCs w:val="21"/>
                <w:lang w:val="es-MX"/>
              </w:rPr>
              <w:t>En todo caso, el juez deberá estudiar la procedencia de cada una de estas medidas de protección para lo cual tendrá en cuenta las particularidades del caso</w:t>
            </w:r>
            <w:r w:rsidRPr="007E6FC1">
              <w:rPr>
                <w:rFonts w:ascii="Century Gothic" w:hAnsi="Century Gothic" w:cs="Arial"/>
                <w:sz w:val="21"/>
                <w:szCs w:val="21"/>
                <w:vertAlign w:val="superscript"/>
                <w:lang w:val="es-MX"/>
              </w:rPr>
              <w:footnoteReference w:id="31"/>
            </w:r>
            <w:r w:rsidRPr="007E6FC1">
              <w:rPr>
                <w:rFonts w:ascii="Century Gothic" w:hAnsi="Century Gothic" w:cs="Arial"/>
                <w:sz w:val="21"/>
                <w:szCs w:val="21"/>
                <w:lang w:val="es-MX"/>
              </w:rPr>
              <w:t>.</w:t>
            </w:r>
          </w:p>
        </w:tc>
      </w:tr>
    </w:tbl>
    <w:p w:rsidRPr="007E6FC1" w:rsidR="00DD0575" w:rsidP="00DD0575" w:rsidRDefault="00DD0575" w14:paraId="0EE7302C" w14:textId="77777777">
      <w:pPr>
        <w:spacing w:after="0" w:line="240" w:lineRule="auto"/>
        <w:jc w:val="center"/>
        <w:rPr>
          <w:rFonts w:ascii="Century Gothic" w:hAnsi="Century Gothic" w:eastAsia="Times New Roman" w:cs="Arial"/>
          <w:b/>
          <w:bCs/>
          <w:iCs/>
          <w:sz w:val="21"/>
          <w:szCs w:val="21"/>
        </w:rPr>
      </w:pPr>
      <w:r w:rsidRPr="007E6FC1">
        <w:rPr>
          <w:rFonts w:ascii="Century Gothic" w:hAnsi="Century Gothic" w:eastAsia="Times New Roman" w:cs="Arial"/>
          <w:b/>
          <w:bCs/>
          <w:iCs/>
          <w:sz w:val="21"/>
          <w:szCs w:val="21"/>
        </w:rPr>
        <w:t xml:space="preserve">Tabla: Reglas para la protección de la mujer embarazada en contratos de prestación de servicios. – Tomada de la Sentencia T-329 de 2022. </w:t>
      </w:r>
    </w:p>
    <w:p w:rsidRPr="007E6FC1" w:rsidR="00DD0575" w:rsidP="00DD0575" w:rsidRDefault="00DD0575" w14:paraId="562FCB32" w14:textId="77777777">
      <w:pPr>
        <w:tabs>
          <w:tab w:val="left" w:pos="0"/>
        </w:tabs>
        <w:spacing w:after="120" w:line="276" w:lineRule="auto"/>
        <w:jc w:val="both"/>
        <w:rPr>
          <w:rFonts w:ascii="Century Gothic" w:hAnsi="Century Gothic" w:cs="Arial"/>
        </w:rPr>
      </w:pPr>
    </w:p>
    <w:p w:rsidRPr="007E6FC1" w:rsidR="00DD0575" w:rsidP="00DD0575" w:rsidRDefault="00DD0575" w14:paraId="02931462" w14:textId="77777777">
      <w:pPr>
        <w:tabs>
          <w:tab w:val="left" w:pos="0"/>
        </w:tabs>
        <w:spacing w:after="120" w:line="276" w:lineRule="auto"/>
        <w:jc w:val="both"/>
        <w:rPr>
          <w:rFonts w:ascii="Century Gothic" w:hAnsi="Century Gothic" w:cs="Arial"/>
        </w:rPr>
      </w:pPr>
      <w:r w:rsidRPr="007E6FC1">
        <w:rPr>
          <w:rFonts w:ascii="Century Gothic" w:hAnsi="Century Gothic" w:cs="Arial"/>
        </w:rPr>
        <w:tab/>
      </w:r>
      <w:r w:rsidRPr="007E6FC1">
        <w:rPr>
          <w:rFonts w:ascii="Century Gothic" w:hAnsi="Century Gothic" w:eastAsia="Arial" w:cs="Arial"/>
          <w:lang w:val="es-ES"/>
        </w:rPr>
        <w:t>En conclusión,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bookmarkEnd w:id="4"/>
    <w:p w:rsidRPr="007E6FC1" w:rsidR="00DD0575" w:rsidP="00DD0575" w:rsidRDefault="00DD0575" w14:paraId="5F81B78F" w14:textId="77777777">
      <w:pPr>
        <w:tabs>
          <w:tab w:val="left" w:pos="709"/>
        </w:tabs>
        <w:spacing w:after="0" w:line="276" w:lineRule="auto"/>
        <w:jc w:val="both"/>
        <w:rPr>
          <w:rFonts w:ascii="Century Gothic" w:hAnsi="Century Gothic" w:eastAsia="Calibri" w:cs="Arial"/>
          <w:bCs/>
          <w:color w:val="000000" w:themeColor="text1"/>
        </w:rPr>
      </w:pPr>
    </w:p>
    <w:p w:rsidRPr="007E6FC1" w:rsidR="00DD0575" w:rsidP="00DD0575" w:rsidRDefault="00DD0575" w14:paraId="0E6BDF7E" w14:textId="77777777">
      <w:pPr>
        <w:tabs>
          <w:tab w:val="left" w:pos="0"/>
        </w:tabs>
        <w:spacing w:after="0"/>
        <w:jc w:val="both"/>
        <w:rPr>
          <w:rFonts w:ascii="Century Gothic" w:hAnsi="Century Gothic" w:eastAsia="Calibri" w:cs="Arial"/>
          <w:b/>
          <w:color w:val="000000" w:themeColor="text1"/>
          <w:lang w:val="es-ES_tradnl"/>
        </w:rPr>
      </w:pPr>
      <w:r w:rsidRPr="007E6FC1">
        <w:rPr>
          <w:rFonts w:ascii="Century Gothic" w:hAnsi="Century Gothic" w:eastAsia="Calibri" w:cs="Arial"/>
          <w:b/>
          <w:color w:val="000000" w:themeColor="text1"/>
          <w:lang w:val="es-ES_tradnl"/>
        </w:rPr>
        <w:t>3. Respuestas</w:t>
      </w:r>
    </w:p>
    <w:p w:rsidRPr="007E6FC1" w:rsidR="00DD0575" w:rsidP="00DD0575" w:rsidRDefault="00DD0575" w14:paraId="5B699686" w14:textId="77777777">
      <w:pPr>
        <w:spacing w:after="0" w:line="276" w:lineRule="auto"/>
        <w:jc w:val="both"/>
        <w:rPr>
          <w:rFonts w:ascii="Century Gothic" w:hAnsi="Century Gothic" w:cs="Arial"/>
          <w:color w:val="000000" w:themeColor="text1"/>
          <w:lang w:val="es-ES_tradnl"/>
        </w:rPr>
      </w:pPr>
    </w:p>
    <w:p w:rsidRPr="007E6FC1" w:rsidR="00DD0575" w:rsidP="00DD0575" w:rsidRDefault="00DD0575" w14:paraId="7CC083E5" w14:textId="77777777">
      <w:pPr>
        <w:spacing w:before="120" w:after="120" w:line="240" w:lineRule="auto"/>
        <w:ind w:left="709" w:right="709"/>
        <w:jc w:val="both"/>
        <w:rPr>
          <w:rFonts w:ascii="Century Gothic" w:hAnsi="Century Gothic" w:cs="Arial"/>
          <w:color w:val="000000" w:themeColor="text1"/>
          <w:sz w:val="21"/>
          <w:szCs w:val="21"/>
          <w:lang w:val="es-ES_tradnl"/>
        </w:rPr>
      </w:pPr>
      <w:r w:rsidRPr="007E6FC1">
        <w:rPr>
          <w:rFonts w:ascii="Century Gothic" w:hAnsi="Century Gothic" w:cs="Arial"/>
          <w:color w:val="000000" w:themeColor="text1"/>
          <w:sz w:val="21"/>
          <w:szCs w:val="21"/>
          <w:lang w:val="es-ES_tradnl"/>
        </w:rPr>
        <w:t>“1. ¿para garantizar la calidad reforzada de la licencia de maternidad, la entidad puede superar la adición de más del 50% del valor del contrato hasta que se cumpla la licencia de maternidad?</w:t>
      </w:r>
    </w:p>
    <w:p w:rsidRPr="007E6FC1" w:rsidR="00DD0575" w:rsidP="00DD0575" w:rsidRDefault="00DD0575" w14:paraId="0090D3A5" w14:textId="77777777">
      <w:pPr>
        <w:spacing w:after="0" w:line="240" w:lineRule="auto"/>
        <w:ind w:left="709" w:right="709"/>
        <w:jc w:val="both"/>
        <w:rPr>
          <w:rFonts w:ascii="Century Gothic" w:hAnsi="Century Gothic" w:cs="Arial"/>
          <w:color w:val="000000" w:themeColor="text1"/>
          <w:sz w:val="21"/>
          <w:szCs w:val="21"/>
          <w:lang w:val="es-ES_tradnl"/>
        </w:rPr>
      </w:pPr>
      <w:r w:rsidRPr="007E6FC1">
        <w:rPr>
          <w:rFonts w:ascii="Century Gothic" w:hAnsi="Century Gothic" w:cs="Arial"/>
          <w:color w:val="000000" w:themeColor="text1"/>
          <w:sz w:val="21"/>
          <w:szCs w:val="21"/>
          <w:lang w:val="es-ES_tradnl"/>
        </w:rPr>
        <w:t>2. Caso contrario ¿para garantizar la calidad reforzada de la licencia de maternidad, la entidad debe dejar terminar el plazo del contrato y realizar un contrato nuevo?” [sic]</w:t>
      </w:r>
    </w:p>
    <w:p w:rsidRPr="007E6FC1" w:rsidR="00DD0575" w:rsidP="00DD0575" w:rsidRDefault="00DD0575" w14:paraId="4F140056" w14:textId="77777777">
      <w:pPr>
        <w:spacing w:after="0" w:line="240" w:lineRule="auto"/>
        <w:ind w:left="709" w:right="709"/>
        <w:jc w:val="both"/>
        <w:rPr>
          <w:rFonts w:ascii="Century Gothic" w:hAnsi="Century Gothic" w:cs="Arial"/>
          <w:color w:val="000000" w:themeColor="text1"/>
          <w:sz w:val="21"/>
          <w:szCs w:val="21"/>
          <w:lang w:val="es-ES_tradnl"/>
        </w:rPr>
      </w:pPr>
      <w:r w:rsidRPr="007E6FC1">
        <w:rPr>
          <w:rFonts w:ascii="Century Gothic" w:hAnsi="Century Gothic" w:cs="Arial"/>
          <w:color w:val="000000" w:themeColor="text1"/>
          <w:sz w:val="21"/>
          <w:szCs w:val="21"/>
          <w:lang w:val="es-ES_tradnl"/>
        </w:rPr>
        <w:t>[sic]</w:t>
      </w:r>
    </w:p>
    <w:p w:rsidRPr="007E6FC1" w:rsidR="00DD0575" w:rsidP="00DD0575" w:rsidRDefault="00DD0575" w14:paraId="4D5DC134" w14:textId="77777777">
      <w:pPr>
        <w:spacing w:after="0" w:line="276" w:lineRule="auto"/>
        <w:jc w:val="both"/>
        <w:rPr>
          <w:rFonts w:ascii="Century Gothic" w:hAnsi="Century Gothic" w:cs="Arial"/>
          <w:color w:val="000000" w:themeColor="text1"/>
          <w:sz w:val="21"/>
          <w:szCs w:val="21"/>
        </w:rPr>
      </w:pPr>
      <w:r w:rsidRPr="007E6FC1">
        <w:rPr>
          <w:rFonts w:ascii="Century Gothic" w:hAnsi="Century Gothic" w:cs="Arial"/>
          <w:color w:val="000000" w:themeColor="text1"/>
          <w:sz w:val="21"/>
          <w:szCs w:val="21"/>
        </w:rPr>
        <w:t xml:space="preserve"> </w:t>
      </w:r>
    </w:p>
    <w:p w:rsidRPr="007E6FC1" w:rsidR="00DD0575" w:rsidP="00DD0575" w:rsidRDefault="00DD0575" w14:paraId="20C9C4A7" w14:textId="77777777">
      <w:pPr>
        <w:spacing w:after="0" w:line="276" w:lineRule="auto"/>
        <w:jc w:val="both"/>
        <w:rPr>
          <w:rFonts w:ascii="Century Gothic" w:hAnsi="Century Gothic" w:eastAsia="Calibri" w:cs="Arial"/>
          <w:color w:val="000000" w:themeColor="text1"/>
          <w:lang w:val="es-MX"/>
        </w:rPr>
      </w:pPr>
      <w:r w:rsidRPr="007E6FC1">
        <w:rPr>
          <w:rFonts w:ascii="Century Gothic" w:hAnsi="Century Gothic" w:eastAsia="Calibri" w:cs="Arial"/>
          <w:color w:val="000000" w:themeColor="text1"/>
          <w:lang w:val="es-MX"/>
        </w:rPr>
        <w:t xml:space="preserve">Conforme lo expuesto a lo largo de este concepto, la Corte Constitucional ha expuesto dos (2) posiciones para proteger el fuero de maternidad de las mujeres vinculadas mediante un contrato de prestación de servicios y que se encuentren en estado de embarazo y/o en periodo de lactancia: i) cuando el juez prueba la </w:t>
      </w:r>
      <w:r w:rsidRPr="007E6FC1">
        <w:rPr>
          <w:rFonts w:ascii="Century Gothic" w:hAnsi="Century Gothic" w:eastAsia="Calibri" w:cs="Arial"/>
          <w:color w:val="000000" w:themeColor="text1"/>
          <w:lang w:val="es-MX"/>
        </w:rPr>
        <w:t xml:space="preserve">configuración de un contrato realidad en el contrato de prestación de servicios, porque concurren los siguientes elementos: a) el salario, b) la continua subordinación o dependencia y c) la prestación personal del servicio; y además, </w:t>
      </w:r>
      <w:proofErr w:type="spellStart"/>
      <w:r w:rsidRPr="007E6FC1">
        <w:rPr>
          <w:rFonts w:ascii="Century Gothic" w:hAnsi="Century Gothic" w:eastAsia="Calibri" w:cs="Arial"/>
          <w:color w:val="000000" w:themeColor="text1"/>
          <w:lang w:val="es-MX"/>
        </w:rPr>
        <w:t>ii</w:t>
      </w:r>
      <w:proofErr w:type="spellEnd"/>
      <w:r w:rsidRPr="007E6FC1">
        <w:rPr>
          <w:rFonts w:ascii="Century Gothic" w:hAnsi="Century Gothic" w:eastAsia="Calibri" w:cs="Arial"/>
          <w:color w:val="000000" w:themeColor="text1"/>
          <w:lang w:val="es-MX"/>
        </w:rPr>
        <w:t>) cuando a pesar de no probarse la configuración de un contrato realidad, la terminación del contrato de prestación de servicios se fundamente en criterios discriminatorios y no, en motivos objetivos.</w:t>
      </w:r>
    </w:p>
    <w:p w:rsidR="00DD0575" w:rsidP="00DD0575" w:rsidRDefault="00DD0575" w14:paraId="778A0F8F" w14:textId="77777777">
      <w:pPr>
        <w:spacing w:before="120" w:after="0" w:line="276" w:lineRule="auto"/>
        <w:ind w:firstLine="708"/>
        <w:jc w:val="both"/>
        <w:rPr>
          <w:rFonts w:ascii="Century Gothic" w:hAnsi="Century Gothic" w:eastAsia="Calibri" w:cs="Arial"/>
          <w:bCs/>
          <w:lang w:val="es-MX" w:eastAsia="es-ES_tradnl"/>
        </w:rPr>
      </w:pPr>
      <w:r w:rsidRPr="007E6FC1">
        <w:rPr>
          <w:rFonts w:ascii="Century Gothic" w:hAnsi="Century Gothic" w:cs="Arial"/>
        </w:rPr>
        <w:t xml:space="preserve">En este sentido, la Corte Constitucional reconoce la protección al derecho a la estabilidad laboral reforzada a las mujeres que celebren contratos de prestación de servicios. </w:t>
      </w:r>
      <w:r w:rsidRPr="007E6FC1">
        <w:rPr>
          <w:rFonts w:ascii="Century Gothic" w:hAnsi="Century Gothic" w:eastAsia="Calibri" w:cs="Arial"/>
          <w:color w:val="000000" w:themeColor="text1"/>
          <w:lang w:val="es-MX"/>
        </w:rPr>
        <w:t>Así pues, si se</w:t>
      </w:r>
      <w:r w:rsidRPr="007E6FC1">
        <w:rPr>
          <w:rFonts w:ascii="Century Gothic" w:hAnsi="Century Gothic" w:cs="Arial"/>
        </w:rPr>
        <w:t xml:space="preserve"> configura alguna de las dos posiciones desarrolladas por el Alto Tribunal Constitucional para la protección del derecho a la estabilidad laboral reforzada, la entidad estatal deberá dilucidar la forma más adecuada para garantizar dicho derecho a la contratista y su seguridad social, pues lo que se pretende es </w:t>
      </w:r>
      <w:r w:rsidRPr="007E6FC1">
        <w:rPr>
          <w:rFonts w:ascii="Century Gothic" w:hAnsi="Century Gothic" w:eastAsia="Calibri" w:cs="Arial"/>
          <w:bCs/>
          <w:lang w:val="es-MX" w:eastAsia="es-ES_tradnl"/>
        </w:rPr>
        <w:t>impedir la discriminación materializada por la terminación o la no renovación del contrato por causa o con ocasión del embarazo o la lactancia.</w:t>
      </w:r>
    </w:p>
    <w:p w:rsidRPr="007E6FC1" w:rsidR="00DD0575" w:rsidP="00DD0575" w:rsidRDefault="00DD0575" w14:paraId="0683D970" w14:textId="77777777">
      <w:pPr>
        <w:spacing w:before="120" w:after="0" w:line="276" w:lineRule="auto"/>
        <w:jc w:val="both"/>
        <w:rPr>
          <w:rFonts w:ascii="Century Gothic" w:hAnsi="Century Gothic" w:eastAsia="Calibri" w:cs="Arial"/>
          <w:strike/>
          <w:color w:val="000000" w:themeColor="text1"/>
          <w:lang w:val="es-MX"/>
        </w:rPr>
      </w:pPr>
      <w:r w:rsidRPr="005934F8">
        <w:rPr>
          <w:rFonts w:ascii="Century Gothic" w:hAnsi="Century Gothic" w:eastAsia="Calibri" w:cs="Arial"/>
          <w:lang w:val="es-MX" w:eastAsia="es-ES"/>
        </w:rPr>
        <w:t xml:space="preserve">En este sentido, les corresponde a las entidades estatales, en virtud de su autonomía, y de acuerdo con los lineamientos de la Corte Constitucional, las normas consagradas en El Estatuto General de Contratación para la Administración Pública – EGCAP , los principios legales y  demás normas que regulen la materia,  determinar la mejor forma para garantizar la estabilidad laboral reforzada de las mujeres embarazadas y en periodo de lactancia vinculadas mediante contratos de prestación de servicios. </w:t>
      </w:r>
    </w:p>
    <w:p w:rsidRPr="007E6FC1" w:rsidR="00DD0575" w:rsidP="00DD0575" w:rsidRDefault="00DD0575" w14:paraId="0B39542A" w14:textId="77777777">
      <w:pPr>
        <w:spacing w:after="0" w:line="276" w:lineRule="auto"/>
        <w:jc w:val="both"/>
        <w:rPr>
          <w:rFonts w:ascii="Century Gothic" w:hAnsi="Century Gothic" w:cs="Arial"/>
          <w:lang w:val="es-ES"/>
        </w:rPr>
      </w:pPr>
    </w:p>
    <w:p w:rsidRPr="007E6FC1" w:rsidR="00DD0575" w:rsidP="00DD0575" w:rsidRDefault="00DD0575" w14:paraId="315E84C2" w14:textId="77777777">
      <w:pPr>
        <w:widowControl w:val="0"/>
        <w:autoSpaceDE w:val="0"/>
        <w:autoSpaceDN w:val="0"/>
        <w:spacing w:after="0" w:line="276" w:lineRule="auto"/>
        <w:jc w:val="both"/>
        <w:rPr>
          <w:rFonts w:ascii="Century Gothic" w:hAnsi="Century Gothic" w:cs="Arial"/>
          <w:color w:val="000000" w:themeColor="text1"/>
          <w:lang w:val="es-ES_tradnl" w:bidi="es-ES"/>
        </w:rPr>
      </w:pPr>
      <w:r w:rsidRPr="007E6FC1">
        <w:rPr>
          <w:rFonts w:ascii="Century Gothic" w:hAnsi="Century Gothic" w:cs="Arial"/>
          <w:color w:val="000000" w:themeColor="text1"/>
          <w:lang w:val="es-ES_tradnl"/>
        </w:rPr>
        <w:t>Este concepto tiene el alcance previsto en el artículo 28 del Código de Procedimiento Administrativo y de lo Contencioso Administrativo.</w:t>
      </w:r>
    </w:p>
    <w:p w:rsidRPr="007E6FC1" w:rsidR="00DD0575" w:rsidP="00DD0575" w:rsidRDefault="00DD0575" w14:paraId="1217D47B" w14:textId="77777777">
      <w:pPr>
        <w:widowControl w:val="0"/>
        <w:autoSpaceDE w:val="0"/>
        <w:autoSpaceDN w:val="0"/>
        <w:spacing w:after="0" w:line="276" w:lineRule="auto"/>
        <w:jc w:val="both"/>
        <w:rPr>
          <w:rFonts w:ascii="Century Gothic" w:hAnsi="Century Gothic" w:cs="Arial"/>
          <w:color w:val="000000" w:themeColor="text1"/>
          <w:lang w:val="es-ES_tradnl" w:bidi="es-ES"/>
        </w:rPr>
      </w:pPr>
    </w:p>
    <w:p w:rsidRPr="007E6FC1" w:rsidR="00DD0575" w:rsidP="00DD0575" w:rsidRDefault="00DD0575" w14:paraId="373F2988" w14:textId="77777777">
      <w:pPr>
        <w:tabs>
          <w:tab w:val="left" w:pos="426"/>
        </w:tabs>
        <w:spacing w:line="276" w:lineRule="auto"/>
        <w:jc w:val="both"/>
        <w:rPr>
          <w:rFonts w:ascii="Century Gothic" w:hAnsi="Century Gothic" w:eastAsia="Times New Roman" w:cs="Arial"/>
          <w:color w:val="000000" w:themeColor="text1"/>
        </w:rPr>
      </w:pPr>
      <w:r w:rsidRPr="007E6FC1">
        <w:rPr>
          <w:rFonts w:ascii="Century Gothic" w:hAnsi="Century Gothic" w:eastAsia="Times New Roman" w:cs="Arial"/>
          <w:color w:val="000000" w:themeColor="text1"/>
        </w:rPr>
        <w:t>Atentamente,</w:t>
      </w:r>
    </w:p>
    <w:p w:rsidRPr="007E6FC1" w:rsidR="00DD0575" w:rsidP="00DD0575" w:rsidRDefault="003E7788" w14:paraId="0D291EC0" w14:textId="7402DFD4">
      <w:pPr>
        <w:jc w:val="center"/>
        <w:rPr>
          <w:rFonts w:ascii="Century Gothic" w:hAnsi="Century Gothic" w:eastAsia="Times New Roman" w:cs="Arial"/>
          <w:lang w:eastAsia="es-CO"/>
        </w:rPr>
      </w:pPr>
      <w:r>
        <w:rPr>
          <w:rStyle w:val="wacimagecontainer"/>
          <w:rFonts w:ascii="Segoe UI" w:hAnsi="Segoe UI" w:cs="Segoe UI"/>
          <w:noProof/>
          <w:color w:val="000000"/>
          <w:sz w:val="18"/>
          <w:szCs w:val="18"/>
          <w:shd w:val="clear" w:color="auto" w:fill="FFFFFF"/>
        </w:rPr>
        <w:drawing>
          <wp:inline distT="0" distB="0" distL="0" distR="0" wp14:anchorId="3D56B4DE" wp14:editId="7ECD42FD">
            <wp:extent cx="3152775" cy="1207770"/>
            <wp:effectExtent l="0" t="0" r="9525" b="0"/>
            <wp:docPr id="42214671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7770"/>
                    </a:xfrm>
                    <a:prstGeom prst="rect">
                      <a:avLst/>
                    </a:prstGeom>
                    <a:noFill/>
                    <a:ln>
                      <a:noFill/>
                    </a:ln>
                  </pic:spPr>
                </pic:pic>
              </a:graphicData>
            </a:graphic>
          </wp:inline>
        </w:drawing>
      </w:r>
      <w:r w:rsidRPr="007E6FC1" w:rsidR="00DD0575">
        <w:rPr>
          <w:rFonts w:ascii="Calibri" w:hAnsi="Calibri" w:cs="Calibri"/>
          <w:color w:val="000000"/>
          <w:shd w:val="clear" w:color="auto" w:fill="FFFFFF"/>
        </w:rPr>
        <w:br/>
      </w: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7E6FC1" w:rsidR="00DD0575" w:rsidTr="008369E7" w14:paraId="75B3079F" w14:textId="77777777">
        <w:trPr>
          <w:trHeight w:val="409"/>
        </w:trPr>
        <w:tc>
          <w:tcPr>
            <w:tcW w:w="817" w:type="dxa"/>
            <w:tcBorders>
              <w:top w:val="nil"/>
              <w:left w:val="nil"/>
              <w:bottom w:val="nil"/>
              <w:right w:val="nil"/>
            </w:tcBorders>
            <w:vAlign w:val="center"/>
            <w:hideMark/>
          </w:tcPr>
          <w:p w:rsidRPr="007E6FC1" w:rsidR="00DD0575" w:rsidP="008369E7" w:rsidRDefault="00DD0575" w14:paraId="7D8D6524" w14:textId="77777777">
            <w:pPr>
              <w:spacing w:after="0" w:line="240" w:lineRule="auto"/>
              <w:jc w:val="both"/>
              <w:rPr>
                <w:rFonts w:ascii="Century Gothic" w:hAnsi="Century Gothic" w:cs="Arial"/>
                <w:sz w:val="16"/>
                <w:szCs w:val="16"/>
              </w:rPr>
            </w:pPr>
            <w:r w:rsidRPr="007E6FC1">
              <w:rPr>
                <w:rFonts w:ascii="Century Gothic" w:hAnsi="Century Gothic"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7E6FC1" w:rsidR="00DD0575" w:rsidP="008369E7" w:rsidRDefault="00DD0575" w14:paraId="346E1B87" w14:textId="77777777">
            <w:pPr>
              <w:spacing w:after="0" w:line="240" w:lineRule="auto"/>
              <w:jc w:val="both"/>
              <w:rPr>
                <w:rFonts w:ascii="Century Gothic" w:hAnsi="Century Gothic" w:cs="Arial"/>
                <w:sz w:val="16"/>
                <w:szCs w:val="16"/>
              </w:rPr>
            </w:pPr>
            <w:r w:rsidRPr="007E6FC1">
              <w:rPr>
                <w:rFonts w:ascii="Century Gothic" w:hAnsi="Century Gothic" w:cs="Arial"/>
                <w:sz w:val="16"/>
                <w:szCs w:val="16"/>
              </w:rPr>
              <w:t>Nasly Yeana Mosquera Rivas</w:t>
            </w:r>
          </w:p>
          <w:p w:rsidRPr="007E6FC1" w:rsidR="00DD0575" w:rsidP="008369E7" w:rsidRDefault="00DD0575" w14:paraId="7F22D0D9" w14:textId="77777777">
            <w:pPr>
              <w:spacing w:after="0" w:line="240" w:lineRule="auto"/>
              <w:jc w:val="both"/>
              <w:rPr>
                <w:rFonts w:ascii="Century Gothic" w:hAnsi="Century Gothic" w:cs="Arial"/>
                <w:sz w:val="16"/>
                <w:szCs w:val="16"/>
              </w:rPr>
            </w:pPr>
            <w:r w:rsidRPr="007E6FC1">
              <w:rPr>
                <w:rFonts w:ascii="Century Gothic" w:hAnsi="Century Gothic" w:cs="Arial"/>
                <w:sz w:val="16"/>
                <w:szCs w:val="16"/>
              </w:rPr>
              <w:t>Analista T2 – 06 de la Subdirección de Gestión Contractual</w:t>
            </w:r>
          </w:p>
        </w:tc>
      </w:tr>
      <w:tr w:rsidRPr="007E6FC1" w:rsidR="00DD0575" w:rsidTr="008369E7" w14:paraId="3F84F1CA" w14:textId="77777777">
        <w:trPr>
          <w:trHeight w:val="409"/>
        </w:trPr>
        <w:tc>
          <w:tcPr>
            <w:tcW w:w="817" w:type="dxa"/>
            <w:tcBorders>
              <w:top w:val="nil"/>
              <w:left w:val="nil"/>
              <w:right w:val="nil"/>
            </w:tcBorders>
            <w:vAlign w:val="center"/>
          </w:tcPr>
          <w:p w:rsidRPr="007E6FC1" w:rsidR="00DD0575" w:rsidP="008369E7" w:rsidRDefault="00DD0575" w14:paraId="70384317" w14:textId="77777777">
            <w:pPr>
              <w:jc w:val="both"/>
              <w:rPr>
                <w:rFonts w:ascii="Century Gothic" w:hAnsi="Century Gothic" w:cs="Arial"/>
                <w:sz w:val="16"/>
                <w:szCs w:val="16"/>
              </w:rPr>
            </w:pPr>
            <w:r w:rsidRPr="007E6FC1">
              <w:rPr>
                <w:rFonts w:ascii="Century Gothic" w:hAnsi="Century Gothic"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Pr="007E6FC1" w:rsidR="00DD0575" w:rsidP="008369E7" w:rsidRDefault="00DD0575" w14:paraId="3972AB96" w14:textId="77777777">
            <w:pPr>
              <w:spacing w:after="0" w:line="240" w:lineRule="auto"/>
              <w:jc w:val="both"/>
              <w:rPr>
                <w:rFonts w:ascii="Century Gothic" w:hAnsi="Century Gothic" w:cs="Arial"/>
                <w:sz w:val="16"/>
                <w:szCs w:val="16"/>
              </w:rPr>
            </w:pPr>
            <w:r w:rsidRPr="007E6FC1">
              <w:rPr>
                <w:rFonts w:ascii="Century Gothic" w:hAnsi="Century Gothic" w:cs="Arial"/>
                <w:sz w:val="16"/>
                <w:szCs w:val="16"/>
              </w:rPr>
              <w:t xml:space="preserve">Adriana </w:t>
            </w:r>
            <w:proofErr w:type="spellStart"/>
            <w:r w:rsidRPr="007E6FC1">
              <w:rPr>
                <w:rFonts w:ascii="Century Gothic" w:hAnsi="Century Gothic" w:cs="Arial"/>
                <w:sz w:val="16"/>
                <w:szCs w:val="16"/>
              </w:rPr>
              <w:t>Katerine</w:t>
            </w:r>
            <w:proofErr w:type="spellEnd"/>
            <w:r w:rsidRPr="007E6FC1">
              <w:rPr>
                <w:rFonts w:ascii="Century Gothic" w:hAnsi="Century Gothic" w:cs="Arial"/>
                <w:sz w:val="16"/>
                <w:szCs w:val="16"/>
              </w:rPr>
              <w:t xml:space="preserve"> López Rodríguez</w:t>
            </w:r>
          </w:p>
          <w:p w:rsidR="00DD0575" w:rsidP="008369E7" w:rsidRDefault="00DD0575" w14:paraId="7F2D786C" w14:textId="77777777">
            <w:pPr>
              <w:spacing w:after="0" w:line="240" w:lineRule="auto"/>
              <w:jc w:val="both"/>
              <w:rPr>
                <w:rFonts w:ascii="Century Gothic" w:hAnsi="Century Gothic" w:cs="Arial"/>
                <w:sz w:val="16"/>
                <w:szCs w:val="16"/>
              </w:rPr>
            </w:pPr>
            <w:r w:rsidRPr="007E6FC1">
              <w:rPr>
                <w:rFonts w:ascii="Century Gothic" w:hAnsi="Century Gothic" w:cs="Arial"/>
                <w:sz w:val="16"/>
                <w:szCs w:val="16"/>
              </w:rPr>
              <w:t>Contratista de la Subdirección de Gestión Contractual</w:t>
            </w:r>
          </w:p>
          <w:p w:rsidR="00DD0575" w:rsidP="008369E7" w:rsidRDefault="00DD0575" w14:paraId="0E71CCC3" w14:textId="77777777">
            <w:pPr>
              <w:spacing w:after="0" w:line="240" w:lineRule="auto"/>
              <w:jc w:val="both"/>
              <w:rPr>
                <w:rFonts w:ascii="Century Gothic" w:hAnsi="Century Gothic" w:cs="Arial"/>
                <w:sz w:val="16"/>
                <w:szCs w:val="16"/>
              </w:rPr>
            </w:pPr>
            <w:r w:rsidRPr="19063021">
              <w:rPr>
                <w:rFonts w:ascii="Century Gothic" w:hAnsi="Century Gothic" w:cs="Arial"/>
                <w:sz w:val="16"/>
                <w:szCs w:val="16"/>
              </w:rPr>
              <w:t>Gabriel Mendoza</w:t>
            </w:r>
          </w:p>
          <w:p w:rsidRPr="007E6FC1" w:rsidR="00DD0575" w:rsidP="008369E7" w:rsidRDefault="00DD0575" w14:paraId="3EC8FC54" w14:textId="77777777">
            <w:pPr>
              <w:spacing w:after="0" w:line="240" w:lineRule="auto"/>
              <w:jc w:val="both"/>
              <w:rPr>
                <w:rFonts w:ascii="Century Gothic" w:hAnsi="Century Gothic" w:cs="Arial"/>
                <w:sz w:val="16"/>
                <w:szCs w:val="16"/>
              </w:rPr>
            </w:pPr>
            <w:r w:rsidRPr="19063021">
              <w:rPr>
                <w:rFonts w:ascii="Century Gothic" w:hAnsi="Century Gothic" w:cs="Arial"/>
                <w:sz w:val="16"/>
                <w:szCs w:val="16"/>
              </w:rPr>
              <w:t>Contratista de la Subdirección de Gestión Contractual</w:t>
            </w:r>
          </w:p>
        </w:tc>
      </w:tr>
      <w:tr w:rsidRPr="007E6FC1" w:rsidR="00DD0575" w:rsidTr="008369E7" w14:paraId="17B852F7" w14:textId="77777777">
        <w:trPr>
          <w:trHeight w:val="389"/>
        </w:trPr>
        <w:tc>
          <w:tcPr>
            <w:tcW w:w="817" w:type="dxa"/>
            <w:tcBorders>
              <w:top w:val="nil"/>
              <w:left w:val="nil"/>
              <w:bottom w:val="nil"/>
              <w:right w:val="nil"/>
            </w:tcBorders>
            <w:vAlign w:val="center"/>
            <w:hideMark/>
          </w:tcPr>
          <w:p w:rsidRPr="007E6FC1" w:rsidR="00DD0575" w:rsidP="008369E7" w:rsidRDefault="00DD0575" w14:paraId="6A3CB2F7" w14:textId="77777777">
            <w:pPr>
              <w:spacing w:after="0" w:line="240" w:lineRule="auto"/>
              <w:jc w:val="both"/>
              <w:rPr>
                <w:rFonts w:ascii="Century Gothic" w:hAnsi="Century Gothic" w:cs="Arial"/>
                <w:sz w:val="16"/>
                <w:szCs w:val="16"/>
              </w:rPr>
            </w:pPr>
            <w:r w:rsidRPr="007E6FC1">
              <w:rPr>
                <w:rFonts w:ascii="Century Gothic" w:hAnsi="Century Gothic"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7E6FC1" w:rsidR="00DD0575" w:rsidP="008369E7" w:rsidRDefault="00DD0575" w14:paraId="35AA8CBE" w14:textId="77777777">
            <w:pPr>
              <w:spacing w:after="0" w:line="240" w:lineRule="auto"/>
              <w:jc w:val="both"/>
              <w:rPr>
                <w:rFonts w:ascii="Century Gothic" w:hAnsi="Century Gothic" w:cs="Arial"/>
                <w:sz w:val="16"/>
                <w:szCs w:val="16"/>
              </w:rPr>
            </w:pPr>
            <w:r w:rsidRPr="007E6FC1">
              <w:rPr>
                <w:rFonts w:ascii="Century Gothic" w:hAnsi="Century Gothic" w:cs="Arial"/>
                <w:sz w:val="16"/>
                <w:szCs w:val="16"/>
              </w:rPr>
              <w:t xml:space="preserve">Nohelia del Carmen </w:t>
            </w:r>
            <w:proofErr w:type="spellStart"/>
            <w:r w:rsidRPr="007E6FC1">
              <w:rPr>
                <w:rFonts w:ascii="Century Gothic" w:hAnsi="Century Gothic" w:cs="Arial"/>
                <w:sz w:val="16"/>
                <w:szCs w:val="16"/>
              </w:rPr>
              <w:t>Zawady</w:t>
            </w:r>
            <w:proofErr w:type="spellEnd"/>
            <w:r w:rsidRPr="007E6FC1">
              <w:rPr>
                <w:rFonts w:ascii="Century Gothic" w:hAnsi="Century Gothic" w:cs="Arial"/>
                <w:sz w:val="16"/>
                <w:szCs w:val="16"/>
              </w:rPr>
              <w:t xml:space="preserve"> Palacio</w:t>
            </w:r>
          </w:p>
          <w:p w:rsidRPr="007E6FC1" w:rsidR="00DD0575" w:rsidP="008369E7" w:rsidRDefault="00DD0575" w14:paraId="6AE614C9" w14:textId="77777777">
            <w:pPr>
              <w:spacing w:after="0" w:line="240" w:lineRule="auto"/>
              <w:jc w:val="both"/>
              <w:rPr>
                <w:rFonts w:ascii="Century Gothic" w:hAnsi="Century Gothic" w:cs="Arial"/>
                <w:sz w:val="16"/>
                <w:szCs w:val="16"/>
              </w:rPr>
            </w:pPr>
            <w:r w:rsidRPr="007E6FC1">
              <w:rPr>
                <w:rFonts w:ascii="Century Gothic" w:hAnsi="Century Gothic" w:cs="Arial"/>
                <w:sz w:val="16"/>
                <w:szCs w:val="16"/>
              </w:rPr>
              <w:t>Subdirectora de Gestión Contractual ANCP - CCE</w:t>
            </w:r>
          </w:p>
        </w:tc>
      </w:tr>
      <w:bookmarkEnd w:id="2"/>
    </w:tbl>
    <w:p w:rsidRPr="007E6FC1" w:rsidR="00DD0575" w:rsidP="00DD0575" w:rsidRDefault="00DD0575" w14:paraId="15538F98" w14:textId="77777777"/>
    <w:p w:rsidRPr="007E6FC1" w:rsidR="00DD0575" w:rsidP="00DD0575" w:rsidRDefault="00DD0575" w14:paraId="41B88718" w14:textId="77777777"/>
    <w:p w:rsidR="008E5C2E" w:rsidRDefault="008E5C2E" w14:paraId="400664F7" w14:textId="77777777"/>
    <w:sectPr w:rsidR="008E5C2E" w:rsidSect="002E4FD9">
      <w:headerReference w:type="default" r:id="rId13"/>
      <w:footerReference w:type="default" r:id="rId14"/>
      <w:pgSz w:w="12240" w:h="15840" w:orient="portrait"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D0575" w:rsidP="00DD0575" w:rsidRDefault="00DD0575" w14:paraId="626474E2" w14:textId="77777777">
      <w:pPr>
        <w:spacing w:after="0" w:line="240" w:lineRule="auto"/>
      </w:pPr>
      <w:r>
        <w:separator/>
      </w:r>
    </w:p>
  </w:endnote>
  <w:endnote w:type="continuationSeparator" w:id="0">
    <w:p w:rsidR="00DD0575" w:rsidP="00DD0575" w:rsidRDefault="00DD0575" w14:paraId="58E64B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419E1" w:rsidRDefault="00F419E1" w14:paraId="6335D418" w14:textId="77777777">
    <w:pPr>
      <w:pStyle w:val="Piedepgina"/>
    </w:pPr>
    <w:r>
      <w:rPr>
        <w:noProof/>
      </w:rPr>
      <w:drawing>
        <wp:inline distT="0" distB="0" distL="0" distR="0" wp14:anchorId="5E95C397" wp14:editId="327D6088">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0EED11BC" wp14:editId="37CE01FC">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256E4EAD"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419E1" w:rsidP="00322A85" w:rsidRDefault="00F419E1" w14:paraId="23169475" w14:textId="77777777">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419E1" w:rsidP="006219F8" w:rsidRDefault="00F419E1" w14:paraId="344A0A05" w14:textId="77777777">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Pr>
              <w:rFonts w:ascii="Century Gothic" w:hAnsi="Century Gothic" w:eastAsia="Geo" w:cs="Geo"/>
              <w:b/>
              <w:color w:val="000000"/>
              <w:sz w:val="16"/>
              <w:szCs w:val="16"/>
              <w:lang w:eastAsia="es-CO"/>
            </w:rPr>
            <w:t>1</w:t>
          </w:r>
          <w:r>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419E1" w:rsidP="00FC2B5D" w:rsidRDefault="00F419E1" w14:paraId="176F4087" w14:textId="77777777">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419E1" w:rsidP="00820278" w:rsidRDefault="00F419E1" w14:paraId="220B454D" w14:textId="77777777">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rsidR="00F419E1" w:rsidP="003E0499" w:rsidRDefault="00F419E1" w14:paraId="13CD031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D0575" w:rsidP="00DD0575" w:rsidRDefault="00DD0575" w14:paraId="5F18A183" w14:textId="77777777">
      <w:pPr>
        <w:spacing w:after="0" w:line="240" w:lineRule="auto"/>
      </w:pPr>
      <w:r>
        <w:separator/>
      </w:r>
    </w:p>
  </w:footnote>
  <w:footnote w:type="continuationSeparator" w:id="0">
    <w:p w:rsidR="00DD0575" w:rsidP="00DD0575" w:rsidRDefault="00DD0575" w14:paraId="3FF88D08" w14:textId="77777777">
      <w:pPr>
        <w:spacing w:after="0" w:line="240" w:lineRule="auto"/>
      </w:pPr>
      <w:r>
        <w:continuationSeparator/>
      </w:r>
    </w:p>
  </w:footnote>
  <w:footnote w:id="1">
    <w:p w:rsidRPr="00780800" w:rsidR="00DD0575" w:rsidP="00DD0575" w:rsidRDefault="00DD0575" w14:paraId="543EA4D0" w14:textId="77777777">
      <w:pPr>
        <w:pStyle w:val="Textonotapie"/>
        <w:ind w:firstLine="708"/>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La Agencia Nacional de Contratación Pública </w:t>
      </w:r>
      <w:r w:rsidRPr="00780800">
        <w:rPr>
          <w:rFonts w:ascii="Arial" w:hAnsi="Arial" w:cs="Arial"/>
          <w:sz w:val="18"/>
          <w:szCs w:val="18"/>
        </w:rPr>
        <w:t>‒</w:t>
      </w:r>
      <w:r w:rsidRPr="00780800">
        <w:rPr>
          <w:rFonts w:ascii="Century Gothic" w:hAnsi="Century Gothic" w:cs="Arial"/>
          <w:sz w:val="18"/>
          <w:szCs w:val="18"/>
        </w:rPr>
        <w:t xml:space="preserve"> Colombia Compra Eficiente fue creada por el Decreto Ley 4170 de 2011. Su objetivo es servir como ente rector de la pol</w:t>
      </w:r>
      <w:r w:rsidRPr="00780800">
        <w:rPr>
          <w:rFonts w:ascii="Century Gothic" w:hAnsi="Century Gothic" w:cs="Century Gothic"/>
          <w:sz w:val="18"/>
          <w:szCs w:val="18"/>
        </w:rPr>
        <w:t>í</w:t>
      </w:r>
      <w:r w:rsidRPr="00780800">
        <w:rPr>
          <w:rFonts w:ascii="Century Gothic" w:hAnsi="Century Gothic" w:cs="Arial"/>
          <w:sz w:val="18"/>
          <w:szCs w:val="18"/>
        </w:rPr>
        <w:t>tica de compras y contrataci</w:t>
      </w:r>
      <w:r w:rsidRPr="00780800">
        <w:rPr>
          <w:rFonts w:ascii="Century Gothic" w:hAnsi="Century Gothic" w:cs="Century Gothic"/>
          <w:sz w:val="18"/>
          <w:szCs w:val="18"/>
        </w:rPr>
        <w:t>ó</w:t>
      </w:r>
      <w:r w:rsidRPr="00780800">
        <w:rPr>
          <w:rFonts w:ascii="Century Gothic" w:hAnsi="Century Gothic" w:cs="Arial"/>
          <w:sz w:val="18"/>
          <w:szCs w:val="18"/>
        </w:rPr>
        <w:t xml:space="preserve">n del Estado. Para tales fines, como </w:t>
      </w:r>
      <w:r w:rsidRPr="00780800">
        <w:rPr>
          <w:rFonts w:ascii="Century Gothic" w:hAnsi="Century Gothic" w:cs="Century Gothic"/>
          <w:sz w:val="18"/>
          <w:szCs w:val="18"/>
        </w:rPr>
        <w:t>ó</w:t>
      </w:r>
      <w:r w:rsidRPr="00780800">
        <w:rPr>
          <w:rFonts w:ascii="Century Gothic" w:hAnsi="Century Gothic" w:cs="Arial"/>
          <w:sz w:val="18"/>
          <w:szCs w:val="18"/>
        </w:rPr>
        <w:t>rgano t</w:t>
      </w:r>
      <w:r w:rsidRPr="00780800">
        <w:rPr>
          <w:rFonts w:ascii="Century Gothic" w:hAnsi="Century Gothic" w:cs="Century Gothic"/>
          <w:sz w:val="18"/>
          <w:szCs w:val="18"/>
        </w:rPr>
        <w:t>é</w:t>
      </w:r>
      <w:r w:rsidRPr="00780800">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780800">
        <w:rPr>
          <w:rFonts w:ascii="Century Gothic" w:hAnsi="Century Gothic" w:cs="Arial"/>
          <w:i/>
          <w:iCs/>
          <w:sz w:val="18"/>
          <w:szCs w:val="18"/>
        </w:rPr>
        <w:t xml:space="preserve">ibidem </w:t>
      </w:r>
      <w:r w:rsidRPr="00780800">
        <w:rPr>
          <w:rFonts w:ascii="Century Gothic" w:hAnsi="Century Gothic" w:cs="Arial"/>
          <w:sz w:val="18"/>
          <w:szCs w:val="18"/>
        </w:rPr>
        <w:t>señala, de manera precisa, las funciones de Colombia Compra Eficiente. Concretamente, el numeral 5º de este artículo establece que le corresponde a esta entidad: “[a]</w:t>
      </w:r>
      <w:proofErr w:type="spellStart"/>
      <w:r w:rsidRPr="00780800">
        <w:rPr>
          <w:rFonts w:ascii="Century Gothic" w:hAnsi="Century Gothic" w:cs="Arial"/>
          <w:sz w:val="18"/>
          <w:szCs w:val="18"/>
        </w:rPr>
        <w:t>bsolver</w:t>
      </w:r>
      <w:proofErr w:type="spellEnd"/>
      <w:r w:rsidRPr="00780800">
        <w:rPr>
          <w:rFonts w:ascii="Century Gothic" w:hAnsi="Century Gothic"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80800">
        <w:rPr>
          <w:rFonts w:ascii="Century Gothic" w:hAnsi="Century Gothic" w:cs="Arial"/>
          <w:sz w:val="18"/>
          <w:szCs w:val="18"/>
        </w:rPr>
        <w:t>bsolver</w:t>
      </w:r>
      <w:proofErr w:type="spellEnd"/>
      <w:r w:rsidRPr="00780800">
        <w:rPr>
          <w:rFonts w:ascii="Century Gothic" w:hAnsi="Century Gothic" w:cs="Arial"/>
          <w:sz w:val="18"/>
          <w:szCs w:val="18"/>
        </w:rPr>
        <w:t xml:space="preserve"> consultas sobre la aplicación de normas de carácter general”.</w:t>
      </w:r>
    </w:p>
  </w:footnote>
  <w:footnote w:id="2">
    <w:p w:rsidRPr="00C1491F" w:rsidR="00DD0575" w:rsidP="00DD0575" w:rsidRDefault="00DD0575" w14:paraId="0245AD30" w14:textId="77777777">
      <w:pPr>
        <w:pStyle w:val="Textonotapie"/>
        <w:ind w:firstLine="708"/>
        <w:jc w:val="both"/>
        <w:rPr>
          <w:rFonts w:ascii="Century Gothic" w:hAnsi="Century Gothic"/>
          <w:sz w:val="18"/>
          <w:szCs w:val="18"/>
          <w:lang w:val="es-CO"/>
        </w:rPr>
      </w:pPr>
      <w:r w:rsidRPr="00C1491F">
        <w:rPr>
          <w:rStyle w:val="Refdenotaalpie"/>
          <w:rFonts w:ascii="Century Gothic" w:hAnsi="Century Gothic"/>
          <w:sz w:val="18"/>
          <w:szCs w:val="18"/>
        </w:rPr>
        <w:footnoteRef/>
      </w:r>
      <w:r w:rsidRPr="00C1491F">
        <w:rPr>
          <w:rFonts w:ascii="Century Gothic" w:hAnsi="Century Gothic"/>
          <w:sz w:val="18"/>
          <w:szCs w:val="18"/>
        </w:rPr>
        <w:t xml:space="preserve"> Los conceptos referenciados, así como otros expedidos por la Subdirección se encuentran disponibles para consulta pública en el portal de relatoría de la Agencia, al cual se puede acceder a través del siguiente enlace: https://relatoria.colombiacompra.gov.co/busqueda/conceptos.  </w:t>
      </w:r>
    </w:p>
  </w:footnote>
  <w:footnote w:id="3">
    <w:p w:rsidRPr="00780800" w:rsidR="00DD0575" w:rsidP="00DD0575" w:rsidRDefault="00DD0575" w14:paraId="4611B3F3" w14:textId="77777777">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Consejo de Estado. Sección Segunda. Sentencia del 9 de septiembre de 2021. Expediente No. 05001-23-33-000-2013-01143-01(1317-16). M.P. Dra. Sandra Lisset Ibarra Vélez.</w:t>
      </w:r>
    </w:p>
    <w:p w:rsidRPr="00780800" w:rsidR="00DD0575" w:rsidP="00DD0575" w:rsidRDefault="00DD0575" w14:paraId="30313CE2" w14:textId="77777777">
      <w:pPr>
        <w:pStyle w:val="Textonotapie"/>
        <w:ind w:firstLine="708"/>
        <w:contextualSpacing/>
        <w:jc w:val="both"/>
        <w:rPr>
          <w:rFonts w:ascii="Century Gothic" w:hAnsi="Century Gothic" w:cs="Arial"/>
          <w:sz w:val="18"/>
          <w:szCs w:val="18"/>
        </w:rPr>
      </w:pPr>
    </w:p>
  </w:footnote>
  <w:footnote w:id="4">
    <w:p w:rsidRPr="00780800" w:rsidR="00DD0575" w:rsidP="00DD0575" w:rsidRDefault="00DD0575" w14:paraId="6BF97F25" w14:textId="77777777">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rsidRPr="00780800" w:rsidR="00DD0575" w:rsidP="00DD0575" w:rsidRDefault="00DD0575" w14:paraId="5D8F8E7F" w14:textId="77777777">
      <w:pPr>
        <w:pStyle w:val="Textonotapie"/>
        <w:ind w:firstLine="708"/>
        <w:contextualSpacing/>
        <w:jc w:val="both"/>
        <w:rPr>
          <w:rFonts w:ascii="Century Gothic" w:hAnsi="Century Gothic" w:cs="Arial"/>
          <w:sz w:val="18"/>
          <w:szCs w:val="18"/>
          <w:lang w:val="es-ES_tradnl"/>
        </w:rPr>
      </w:pPr>
    </w:p>
  </w:footnote>
  <w:footnote w:id="5">
    <w:p w:rsidRPr="00780800" w:rsidR="00DD0575" w:rsidP="00DD0575" w:rsidRDefault="00DD0575" w14:paraId="675A993E" w14:textId="77777777">
      <w:pPr>
        <w:pStyle w:val="Textonotapie"/>
        <w:ind w:firstLine="708"/>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rsidRPr="00780800" w:rsidR="00DD0575" w:rsidP="00DD0575" w:rsidRDefault="00DD0575" w14:paraId="19B5CA13" w14:textId="77777777">
      <w:pPr>
        <w:pStyle w:val="Textonotapie"/>
        <w:ind w:firstLine="709"/>
        <w:contextualSpacing/>
        <w:jc w:val="both"/>
        <w:rPr>
          <w:rFonts w:ascii="Century Gothic" w:hAnsi="Century Gothic" w:cs="Arial"/>
          <w:sz w:val="18"/>
          <w:szCs w:val="18"/>
          <w:lang w:val="es-ES"/>
        </w:rPr>
      </w:pPr>
    </w:p>
  </w:footnote>
  <w:footnote w:id="6">
    <w:p w:rsidRPr="00780800" w:rsidR="00DD0575" w:rsidP="00DD0575" w:rsidRDefault="00DD0575" w14:paraId="6E15F99D" w14:textId="77777777">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780800" w:rsidR="00DD0575" w:rsidP="00DD0575" w:rsidRDefault="00DD0575" w14:paraId="5C15FD83"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780800" w:rsidR="00DD0575" w:rsidP="00DD0575" w:rsidRDefault="00DD0575" w14:paraId="52AB5FA2"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El Gobierno nacional reglamentará el mecanismo para realizar la mensualización de que trata el presente artículo.</w:t>
      </w:r>
    </w:p>
    <w:p w:rsidRPr="00780800" w:rsidR="00DD0575" w:rsidP="00DD0575" w:rsidRDefault="00DD0575" w14:paraId="1380A9EA" w14:textId="77777777">
      <w:pPr>
        <w:pStyle w:val="Textonotapie"/>
        <w:ind w:firstLine="709"/>
        <w:contextualSpacing/>
        <w:jc w:val="both"/>
        <w:rPr>
          <w:rFonts w:ascii="Century Gothic" w:hAnsi="Century Gothic" w:cs="Arial"/>
          <w:sz w:val="18"/>
          <w:szCs w:val="18"/>
          <w:lang w:val="pt-BR"/>
        </w:rPr>
      </w:pPr>
      <w:r w:rsidRPr="00780800">
        <w:rPr>
          <w:rFonts w:ascii="Century Gothic" w:hAnsi="Century Gothic" w:cs="Arial"/>
          <w:sz w:val="18"/>
          <w:szCs w:val="18"/>
          <w:lang w:val="pt-BR"/>
        </w:rPr>
        <w:t>[…]”.</w:t>
      </w:r>
    </w:p>
    <w:p w:rsidRPr="00780800" w:rsidR="00DD0575" w:rsidP="00DD0575" w:rsidRDefault="00DD0575" w14:paraId="4A03243D" w14:textId="77777777">
      <w:pPr>
        <w:pStyle w:val="Textonotapie"/>
        <w:ind w:firstLine="709"/>
        <w:contextualSpacing/>
        <w:jc w:val="both"/>
        <w:rPr>
          <w:rFonts w:ascii="Century Gothic" w:hAnsi="Century Gothic" w:cs="Arial"/>
          <w:sz w:val="18"/>
          <w:szCs w:val="18"/>
          <w:lang w:val="pt-BR"/>
        </w:rPr>
      </w:pPr>
    </w:p>
  </w:footnote>
  <w:footnote w:id="7">
    <w:p w:rsidRPr="00780800" w:rsidR="00DD0575" w:rsidP="00DD0575" w:rsidRDefault="00DD0575" w14:paraId="759214C5" w14:textId="77777777">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lang w:val="pt-BR"/>
        </w:rPr>
        <w:t xml:space="preserve"> Corte Constitucional. Sentencia C-154 de 1997. </w:t>
      </w:r>
      <w:r w:rsidRPr="00780800">
        <w:rPr>
          <w:rFonts w:ascii="Century Gothic" w:hAnsi="Century Gothic" w:cs="Arial"/>
          <w:sz w:val="18"/>
          <w:szCs w:val="18"/>
          <w:lang w:val="es-ES"/>
        </w:rPr>
        <w:t>MP: Hernando Herrera Vergara.</w:t>
      </w:r>
    </w:p>
    <w:p w:rsidRPr="00780800" w:rsidR="00DD0575" w:rsidP="00DD0575" w:rsidRDefault="00DD0575" w14:paraId="0033B6E4" w14:textId="77777777">
      <w:pPr>
        <w:pStyle w:val="Textonotapie"/>
        <w:ind w:firstLine="709"/>
        <w:contextualSpacing/>
        <w:jc w:val="both"/>
        <w:rPr>
          <w:rFonts w:ascii="Century Gothic" w:hAnsi="Century Gothic" w:cs="Arial"/>
          <w:sz w:val="18"/>
          <w:szCs w:val="18"/>
          <w:lang w:val="es-ES"/>
        </w:rPr>
      </w:pPr>
    </w:p>
  </w:footnote>
  <w:footnote w:id="8">
    <w:p w:rsidRPr="00780800" w:rsidR="00DD0575" w:rsidP="00DD0575" w:rsidRDefault="00DD0575" w14:paraId="5AFBFCE7" w14:textId="77777777">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proofErr w:type="spellStart"/>
      <w:r w:rsidRPr="00780800">
        <w:rPr>
          <w:rFonts w:ascii="Century Gothic" w:hAnsi="Century Gothic" w:cs="Arial"/>
          <w:sz w:val="18"/>
          <w:szCs w:val="18"/>
          <w:lang w:val="es-ES"/>
        </w:rPr>
        <w:t>Ibíd</w:t>
      </w:r>
      <w:proofErr w:type="spellEnd"/>
      <w:r w:rsidRPr="00780800">
        <w:rPr>
          <w:rFonts w:ascii="Century Gothic" w:hAnsi="Century Gothic" w:cs="Arial"/>
          <w:sz w:val="18"/>
          <w:szCs w:val="18"/>
          <w:lang w:val="es-ES"/>
        </w:rPr>
        <w:t>.</w:t>
      </w:r>
    </w:p>
    <w:p w:rsidRPr="00780800" w:rsidR="00DD0575" w:rsidP="00DD0575" w:rsidRDefault="00DD0575" w14:paraId="10220CFA" w14:textId="77777777">
      <w:pPr>
        <w:pStyle w:val="Textonotapie"/>
        <w:ind w:firstLine="709"/>
        <w:contextualSpacing/>
        <w:jc w:val="both"/>
        <w:rPr>
          <w:rFonts w:ascii="Century Gothic" w:hAnsi="Century Gothic" w:cs="Arial"/>
          <w:sz w:val="18"/>
          <w:szCs w:val="18"/>
          <w:lang w:val="es-ES"/>
        </w:rPr>
      </w:pPr>
    </w:p>
  </w:footnote>
  <w:footnote w:id="9">
    <w:p w:rsidRPr="00780800" w:rsidR="00DD0575" w:rsidP="00DD0575" w:rsidRDefault="00DD0575" w14:paraId="055899A2" w14:textId="77777777">
      <w:pPr>
        <w:pStyle w:val="Textonotapie"/>
        <w:ind w:firstLine="709"/>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 xml:space="preserve">CONSEJO DE ESTADO. Sección Tercera. Subsección C. Sentencia de Unificación del 2 de diciembre de 2013. </w:t>
      </w:r>
      <w:proofErr w:type="spellStart"/>
      <w:r w:rsidRPr="00780800">
        <w:rPr>
          <w:rFonts w:ascii="Century Gothic" w:hAnsi="Century Gothic" w:cs="Arial"/>
          <w:sz w:val="18"/>
          <w:szCs w:val="18"/>
          <w:lang w:val="es-ES"/>
        </w:rPr>
        <w:t>Exp</w:t>
      </w:r>
      <w:proofErr w:type="spellEnd"/>
      <w:r w:rsidRPr="00780800">
        <w:rPr>
          <w:rFonts w:ascii="Century Gothic" w:hAnsi="Century Gothic" w:cs="Arial"/>
          <w:sz w:val="18"/>
          <w:szCs w:val="18"/>
          <w:lang w:val="es-ES"/>
        </w:rPr>
        <w:t>. 41.719. C.P. Jaime Orlando Santofimio Gamboa.</w:t>
      </w:r>
      <w:r w:rsidRPr="00780800">
        <w:rPr>
          <w:rFonts w:ascii="Century Gothic" w:hAnsi="Century Gothic" w:cs="Arial"/>
          <w:sz w:val="18"/>
          <w:szCs w:val="18"/>
        </w:rPr>
        <w:t xml:space="preserve"> </w:t>
      </w:r>
    </w:p>
    <w:p w:rsidRPr="00780800" w:rsidR="00DD0575" w:rsidP="00DD0575" w:rsidRDefault="00DD0575" w14:paraId="330A81EB"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rsidRPr="00780800" w:rsidR="00DD0575" w:rsidP="00DD0575" w:rsidRDefault="00DD0575" w14:paraId="3526D256"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Son también contratos de consultoría los que tienen por objeto la interventoría, asesoría, gerencia de obra o de proyectos, dirección, programación y la ejecución de diseños, planos, anteproyectos y proyectos.</w:t>
      </w:r>
    </w:p>
    <w:p w:rsidRPr="00780800" w:rsidR="00DD0575" w:rsidP="00DD0575" w:rsidRDefault="00DD0575" w14:paraId="2D600F66"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 xml:space="preserve">Ninguna orden del interventor de una obra podrá darse verbalmente. Es obligatorio para el interventor entregar por escrito sus órdenes o sugerencias y ellas deben </w:t>
      </w:r>
      <w:proofErr w:type="gramStart"/>
      <w:r w:rsidRPr="00780800">
        <w:rPr>
          <w:rFonts w:ascii="Century Gothic" w:hAnsi="Century Gothic" w:cs="Arial"/>
          <w:sz w:val="18"/>
          <w:szCs w:val="18"/>
          <w:lang w:val="es-ES"/>
        </w:rPr>
        <w:t>enmarcarse dentro de</w:t>
      </w:r>
      <w:proofErr w:type="gramEnd"/>
      <w:r w:rsidRPr="00780800">
        <w:rPr>
          <w:rFonts w:ascii="Century Gothic" w:hAnsi="Century Gothic" w:cs="Arial"/>
          <w:sz w:val="18"/>
          <w:szCs w:val="18"/>
          <w:lang w:val="es-ES"/>
        </w:rPr>
        <w:t xml:space="preserve"> los términos del respectivo contrato”.</w:t>
      </w:r>
    </w:p>
    <w:p w:rsidRPr="00780800" w:rsidR="00DD0575" w:rsidP="00DD0575" w:rsidRDefault="00DD0575" w14:paraId="593B93F2" w14:textId="77777777">
      <w:pPr>
        <w:pStyle w:val="Textonotapie"/>
        <w:ind w:firstLine="709"/>
        <w:contextualSpacing/>
        <w:jc w:val="both"/>
        <w:rPr>
          <w:rFonts w:ascii="Century Gothic" w:hAnsi="Century Gothic" w:cs="Arial"/>
          <w:sz w:val="18"/>
          <w:szCs w:val="18"/>
          <w:lang w:val="es-ES"/>
        </w:rPr>
      </w:pPr>
    </w:p>
  </w:footnote>
  <w:footnote w:id="10">
    <w:p w:rsidRPr="00780800" w:rsidR="00DD0575" w:rsidP="00DD0575" w:rsidRDefault="00DD0575" w14:paraId="5DA78739" w14:textId="77777777">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Así lo dispone el artículo 2.2.1.2.1.4.1. del Decreto 1082 de 2015: “La Entidad Estatal debe señalar en un acto administrativo la justificación para contratar bajo la modalidad de contratación directa, el cual debe contener:</w:t>
      </w:r>
    </w:p>
    <w:p w:rsidRPr="00780800" w:rsidR="00DD0575" w:rsidP="00DD0575" w:rsidRDefault="00DD0575" w14:paraId="7EFB8D84"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1. La causal que invoca para contratar directamente.</w:t>
      </w:r>
    </w:p>
    <w:p w:rsidRPr="00780800" w:rsidR="00DD0575" w:rsidP="00DD0575" w:rsidRDefault="00DD0575" w14:paraId="1370EBCE"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2. El objeto del contrato.</w:t>
      </w:r>
    </w:p>
    <w:p w:rsidRPr="00780800" w:rsidR="00DD0575" w:rsidP="00DD0575" w:rsidRDefault="00DD0575" w14:paraId="6E12F235"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3. El presupuesto para la contratación y las condiciones que exigirá al contratista.</w:t>
      </w:r>
    </w:p>
    <w:p w:rsidRPr="00780800" w:rsidR="00DD0575" w:rsidP="00DD0575" w:rsidRDefault="00DD0575" w14:paraId="67E2DA2E"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4. El lugar en el cual los interesados pueden consultar los estudios y documentos previos.</w:t>
      </w:r>
    </w:p>
    <w:p w:rsidRPr="00780800" w:rsidR="00DD0575" w:rsidP="00DD0575" w:rsidRDefault="00DD0575" w14:paraId="04D90B87"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rsidRPr="00780800" w:rsidR="00DD0575" w:rsidP="00DD0575" w:rsidRDefault="00DD0575" w14:paraId="159BF457" w14:textId="77777777">
      <w:pPr>
        <w:pStyle w:val="Textonotapie"/>
        <w:contextualSpacing/>
        <w:jc w:val="both"/>
        <w:rPr>
          <w:rFonts w:ascii="Century Gothic" w:hAnsi="Century Gothic" w:cs="Arial"/>
          <w:sz w:val="18"/>
          <w:szCs w:val="18"/>
        </w:rPr>
      </w:pPr>
    </w:p>
    <w:p w:rsidRPr="00780800" w:rsidR="00DD0575" w:rsidP="00DD0575" w:rsidRDefault="00DD0575" w14:paraId="1AF96D39" w14:textId="77777777">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 xml:space="preserve">La norma expresa: “Art. 14. </w:t>
      </w:r>
      <w:r w:rsidRPr="00780800">
        <w:rPr>
          <w:rFonts w:ascii="Century Gothic" w:hAnsi="Century Gothic" w:cs="Arial"/>
          <w:sz w:val="18"/>
          <w:szCs w:val="18"/>
        </w:rPr>
        <w:t>P</w:t>
      </w:r>
      <w:r w:rsidRPr="00780800">
        <w:rPr>
          <w:rFonts w:ascii="Century Gothic" w:hAnsi="Century Gothic" w:cs="Arial"/>
          <w:sz w:val="18"/>
          <w:szCs w:val="18"/>
          <w:lang w:val="es-ES"/>
        </w:rPr>
        <w:t>ara el cumplimiento de los fines de la contratación, las entidades estatales al celebrar un contrato:</w:t>
      </w:r>
    </w:p>
    <w:p w:rsidRPr="00780800" w:rsidR="00DD0575" w:rsidP="00DD0575" w:rsidRDefault="00DD0575" w14:paraId="6DDFDF59"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w:t>
      </w:r>
    </w:p>
    <w:p w:rsidRPr="00780800" w:rsidR="00DD0575" w:rsidP="00DD0575" w:rsidRDefault="00DD0575" w14:paraId="408849A6"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rsidRPr="00780800" w:rsidR="00DD0575" w:rsidP="00DD0575" w:rsidRDefault="00DD0575" w14:paraId="477E49EF"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Las entidades estatales podrán pactar estas cláusulas en los contratos de suministro y de prestación de servicios.</w:t>
      </w:r>
    </w:p>
    <w:p w:rsidRPr="00780800" w:rsidR="00DD0575" w:rsidP="00DD0575" w:rsidRDefault="00DD0575" w14:paraId="52E72D7D"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w:t>
      </w:r>
    </w:p>
    <w:p w:rsidRPr="00780800" w:rsidR="00DD0575" w:rsidP="00DD0575" w:rsidRDefault="00DD0575" w14:paraId="09C9022F" w14:textId="77777777">
      <w:pPr>
        <w:pStyle w:val="Textonotapie"/>
        <w:ind w:firstLine="709"/>
        <w:contextualSpacing/>
        <w:jc w:val="both"/>
        <w:rPr>
          <w:rFonts w:ascii="Century Gothic" w:hAnsi="Century Gothic" w:cs="Arial"/>
          <w:sz w:val="18"/>
          <w:szCs w:val="18"/>
          <w:lang w:val="es-ES"/>
        </w:rPr>
      </w:pPr>
    </w:p>
  </w:footnote>
  <w:footnote w:id="12">
    <w:p w:rsidRPr="00780800" w:rsidR="00DD0575" w:rsidP="00DD0575" w:rsidRDefault="00DD0575" w14:paraId="7F657C85" w14:textId="77777777">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La norma dispone: “La liquidación a que se refiere el presente artículo no será obligatoria en los contratos de prestación de servicios profesionales y de apoyo a la gestión”.</w:t>
      </w:r>
    </w:p>
    <w:p w:rsidRPr="00780800" w:rsidR="00DD0575" w:rsidP="00DD0575" w:rsidRDefault="00DD0575" w14:paraId="7366E40A" w14:textId="77777777">
      <w:pPr>
        <w:pStyle w:val="Textonotapie"/>
        <w:ind w:firstLine="709"/>
        <w:contextualSpacing/>
        <w:jc w:val="both"/>
        <w:rPr>
          <w:rFonts w:ascii="Century Gothic" w:hAnsi="Century Gothic" w:cs="Arial"/>
          <w:sz w:val="18"/>
          <w:szCs w:val="18"/>
          <w:lang w:val="es-ES"/>
        </w:rPr>
      </w:pPr>
    </w:p>
  </w:footnote>
  <w:footnote w:id="13">
    <w:p w:rsidRPr="00780800" w:rsidR="00DD0575" w:rsidP="00DD0575" w:rsidRDefault="00DD0575" w14:paraId="4D4738DC" w14:textId="77777777">
      <w:pPr>
        <w:pStyle w:val="Textonotapie"/>
        <w:ind w:firstLine="709"/>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780800" w:rsidR="00DD0575" w:rsidP="00DD0575" w:rsidRDefault="00DD0575" w14:paraId="405D390C" w14:textId="77777777">
      <w:pPr>
        <w:pStyle w:val="Textonotapie"/>
        <w:ind w:firstLine="709"/>
        <w:contextualSpacing/>
        <w:jc w:val="both"/>
        <w:rPr>
          <w:rFonts w:ascii="Century Gothic" w:hAnsi="Century Gothic" w:cs="Arial"/>
          <w:sz w:val="18"/>
          <w:szCs w:val="18"/>
        </w:rPr>
      </w:pPr>
      <w:r w:rsidRPr="00780800">
        <w:rPr>
          <w:rFonts w:ascii="Century Gothic" w:hAnsi="Century Gothic"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780800" w:rsidR="00DD0575" w:rsidP="00DD0575" w:rsidRDefault="00DD0575" w14:paraId="53625521" w14:textId="77777777">
      <w:pPr>
        <w:pStyle w:val="Textonotapie"/>
        <w:ind w:firstLine="709"/>
        <w:contextualSpacing/>
        <w:jc w:val="both"/>
        <w:rPr>
          <w:rFonts w:ascii="Century Gothic" w:hAnsi="Century Gothic" w:cs="Arial"/>
          <w:sz w:val="18"/>
          <w:szCs w:val="18"/>
        </w:rPr>
      </w:pPr>
      <w:r w:rsidRPr="00780800">
        <w:rPr>
          <w:rFonts w:ascii="Century Gothic" w:hAnsi="Century Gothic" w:cs="Arial"/>
          <w:sz w:val="18"/>
          <w:szCs w:val="18"/>
        </w:rPr>
        <w:t>[…]”.</w:t>
      </w:r>
    </w:p>
    <w:p w:rsidRPr="00780800" w:rsidR="00DD0575" w:rsidP="00DD0575" w:rsidRDefault="00DD0575" w14:paraId="7E68AFAC" w14:textId="77777777">
      <w:pPr>
        <w:pStyle w:val="Textonotapie"/>
        <w:ind w:firstLine="709"/>
        <w:contextualSpacing/>
        <w:jc w:val="both"/>
        <w:rPr>
          <w:rFonts w:ascii="Century Gothic" w:hAnsi="Century Gothic" w:cs="Arial"/>
          <w:sz w:val="18"/>
          <w:szCs w:val="18"/>
          <w:lang w:val="es-ES"/>
        </w:rPr>
      </w:pPr>
    </w:p>
  </w:footnote>
  <w:footnote w:id="14">
    <w:p w:rsidRPr="00780800" w:rsidR="00DD0575" w:rsidP="00DD0575" w:rsidRDefault="00DD0575" w14:paraId="11284DC7" w14:textId="77777777">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rsidRPr="00780800" w:rsidR="00DD0575" w:rsidP="00DD0575" w:rsidRDefault="00DD0575" w14:paraId="523C7B2C" w14:textId="77777777">
      <w:pPr>
        <w:pStyle w:val="Textonotapie"/>
        <w:ind w:firstLine="709"/>
        <w:contextualSpacing/>
        <w:jc w:val="both"/>
        <w:rPr>
          <w:rFonts w:ascii="Century Gothic" w:hAnsi="Century Gothic" w:cs="Arial"/>
          <w:sz w:val="18"/>
          <w:szCs w:val="18"/>
          <w:lang w:val="es-ES"/>
        </w:rPr>
      </w:pPr>
    </w:p>
  </w:footnote>
  <w:footnote w:id="15">
    <w:p w:rsidRPr="00780800" w:rsidR="00DD0575" w:rsidP="00DD0575" w:rsidRDefault="00DD0575" w14:paraId="754E2371" w14:textId="77777777">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780800" w:rsidR="00DD0575" w:rsidP="00DD0575" w:rsidRDefault="00DD0575" w14:paraId="51B2ABCC"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Pr="00780800" w:rsidR="00DD0575" w:rsidP="00DD0575" w:rsidRDefault="00DD0575" w14:paraId="4E7593CA" w14:textId="77777777">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La Entidad Estatal, para la contratación de trabajos artísticos que solamente puedan en</w:t>
      </w:r>
      <w:r w:rsidRPr="00780800">
        <w:rPr>
          <w:rFonts w:ascii="Century Gothic" w:hAnsi="Century Gothic" w:cs="Arial"/>
          <w:sz w:val="18"/>
          <w:szCs w:val="18"/>
          <w:lang w:val="es-ES"/>
        </w:rPr>
        <w:softHyphen/>
        <w:t>comendarse a determinadas personas naturales, debe justificar esta situación en los estudios y documentos previos”.</w:t>
      </w:r>
    </w:p>
    <w:p w:rsidRPr="00780800" w:rsidR="00DD0575" w:rsidP="00DD0575" w:rsidRDefault="00DD0575" w14:paraId="0FB38EB1" w14:textId="77777777">
      <w:pPr>
        <w:pStyle w:val="Textonotapie"/>
        <w:ind w:firstLine="709"/>
        <w:contextualSpacing/>
        <w:jc w:val="both"/>
        <w:rPr>
          <w:rFonts w:ascii="Century Gothic" w:hAnsi="Century Gothic" w:cs="Arial"/>
          <w:sz w:val="18"/>
          <w:szCs w:val="18"/>
          <w:lang w:val="es-ES"/>
        </w:rPr>
      </w:pPr>
    </w:p>
  </w:footnote>
  <w:footnote w:id="16">
    <w:p w:rsidRPr="00780800" w:rsidR="00DD0575" w:rsidP="00DD0575" w:rsidRDefault="00DD0575" w14:paraId="7675DBC3" w14:textId="77777777">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 xml:space="preserve">CONSEJO DE ESTADO. Sección Tercera. Subsección C. Sentencia de Unificación del 2 de diciembre de 2013. </w:t>
      </w:r>
      <w:proofErr w:type="spellStart"/>
      <w:r w:rsidRPr="00780800">
        <w:rPr>
          <w:rFonts w:ascii="Century Gothic" w:hAnsi="Century Gothic" w:cs="Arial"/>
          <w:sz w:val="18"/>
          <w:szCs w:val="18"/>
          <w:lang w:val="es-ES"/>
        </w:rPr>
        <w:t>Exp</w:t>
      </w:r>
      <w:proofErr w:type="spellEnd"/>
      <w:r w:rsidRPr="00780800">
        <w:rPr>
          <w:rFonts w:ascii="Century Gothic" w:hAnsi="Century Gothic" w:cs="Arial"/>
          <w:sz w:val="18"/>
          <w:szCs w:val="18"/>
          <w:lang w:val="es-ES"/>
        </w:rPr>
        <w:t>. 41.719. C.P. Jaime Orlando Santofimio Gamboa.</w:t>
      </w:r>
    </w:p>
    <w:p w:rsidRPr="00780800" w:rsidR="00DD0575" w:rsidP="00DD0575" w:rsidRDefault="00DD0575" w14:paraId="227CC246" w14:textId="77777777">
      <w:pPr>
        <w:pStyle w:val="Textonotapie"/>
        <w:ind w:firstLine="709"/>
        <w:contextualSpacing/>
        <w:jc w:val="both"/>
        <w:rPr>
          <w:rFonts w:ascii="Century Gothic" w:hAnsi="Century Gothic" w:cs="Arial"/>
          <w:sz w:val="18"/>
          <w:szCs w:val="18"/>
          <w:lang w:val="es-ES"/>
        </w:rPr>
      </w:pPr>
    </w:p>
  </w:footnote>
  <w:footnote w:id="17">
    <w:p w:rsidRPr="00780800" w:rsidR="00DD0575" w:rsidP="00DD0575" w:rsidRDefault="00DD0575" w14:paraId="2735C9C7" w14:textId="77777777">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proofErr w:type="spellStart"/>
      <w:r w:rsidRPr="00780800">
        <w:rPr>
          <w:rFonts w:ascii="Century Gothic" w:hAnsi="Century Gothic" w:cs="Arial"/>
          <w:i/>
          <w:iCs/>
          <w:sz w:val="18"/>
          <w:szCs w:val="18"/>
          <w:lang w:val="es-ES"/>
        </w:rPr>
        <w:t>Ibíd</w:t>
      </w:r>
      <w:proofErr w:type="spellEnd"/>
      <w:r w:rsidRPr="00780800">
        <w:rPr>
          <w:rFonts w:ascii="Century Gothic" w:hAnsi="Century Gothic" w:cs="Arial"/>
          <w:sz w:val="18"/>
          <w:szCs w:val="18"/>
          <w:lang w:val="es-ES"/>
        </w:rPr>
        <w:t>.</w:t>
      </w:r>
    </w:p>
    <w:p w:rsidRPr="00780800" w:rsidR="00DD0575" w:rsidP="00DD0575" w:rsidRDefault="00DD0575" w14:paraId="558AA2AB" w14:textId="77777777">
      <w:pPr>
        <w:pStyle w:val="Textonotapie"/>
        <w:ind w:firstLine="709"/>
        <w:contextualSpacing/>
        <w:jc w:val="both"/>
        <w:rPr>
          <w:rFonts w:ascii="Century Gothic" w:hAnsi="Century Gothic" w:cs="Arial"/>
          <w:sz w:val="18"/>
          <w:szCs w:val="18"/>
          <w:lang w:val="es-ES"/>
        </w:rPr>
      </w:pPr>
    </w:p>
  </w:footnote>
  <w:footnote w:id="18">
    <w:p w:rsidRPr="00780800" w:rsidR="00DD0575" w:rsidP="00DD0575" w:rsidRDefault="00DD0575" w14:paraId="428F6FFC" w14:textId="77777777">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proofErr w:type="spellStart"/>
      <w:r w:rsidRPr="00780800">
        <w:rPr>
          <w:rFonts w:ascii="Century Gothic" w:hAnsi="Century Gothic" w:cs="Arial"/>
          <w:i/>
          <w:iCs/>
          <w:sz w:val="18"/>
          <w:szCs w:val="18"/>
          <w:lang w:val="es-ES"/>
        </w:rPr>
        <w:t>Ibíd</w:t>
      </w:r>
      <w:proofErr w:type="spellEnd"/>
      <w:r w:rsidRPr="00780800">
        <w:rPr>
          <w:rFonts w:ascii="Century Gothic" w:hAnsi="Century Gothic" w:cs="Arial"/>
          <w:sz w:val="18"/>
          <w:szCs w:val="18"/>
          <w:lang w:val="es-ES"/>
        </w:rPr>
        <w:t>.</w:t>
      </w:r>
    </w:p>
  </w:footnote>
  <w:footnote w:id="19">
    <w:p w:rsidRPr="00D6701A" w:rsidR="00DD0575" w:rsidP="00DD0575" w:rsidRDefault="00DD0575" w14:paraId="13C7E5AD" w14:textId="77777777">
      <w:pPr>
        <w:pStyle w:val="Textonotapie"/>
        <w:ind w:firstLine="709"/>
        <w:jc w:val="both"/>
        <w:rPr>
          <w:rFonts w:ascii="Century Gothic" w:hAnsi="Century Gothic" w:cs="Arial"/>
          <w:color w:val="000000" w:themeColor="text1"/>
          <w:sz w:val="14"/>
          <w:szCs w:val="14"/>
        </w:rPr>
      </w:pPr>
      <w:r w:rsidRPr="00D6701A">
        <w:rPr>
          <w:rStyle w:val="Refdenotaalpie"/>
          <w:rFonts w:ascii="Century Gothic" w:hAnsi="Century Gothic" w:cs="Arial"/>
          <w:sz w:val="14"/>
          <w:szCs w:val="14"/>
        </w:rPr>
        <w:footnoteRef/>
      </w:r>
      <w:r w:rsidRPr="00D6701A">
        <w:rPr>
          <w:rFonts w:ascii="Century Gothic" w:hAnsi="Century Gothic" w:cs="Arial"/>
          <w:sz w:val="14"/>
          <w:szCs w:val="14"/>
        </w:rPr>
        <w:t xml:space="preserve"> </w:t>
      </w:r>
      <w:r w:rsidRPr="00D6701A">
        <w:rPr>
          <w:rFonts w:ascii="Century Gothic" w:hAnsi="Century Gothic" w:cs="Arial"/>
          <w:sz w:val="14"/>
          <w:szCs w:val="14"/>
          <w:lang w:val="es-ES"/>
        </w:rPr>
        <w:t>“</w:t>
      </w:r>
      <w:r w:rsidRPr="00D6701A">
        <w:rPr>
          <w:rFonts w:ascii="Century Gothic" w:hAnsi="Century Gothic" w:cs="Arial"/>
          <w:color w:val="000000" w:themeColor="text1"/>
          <w:sz w:val="14"/>
          <w:szCs w:val="14"/>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rsidRPr="00D6701A" w:rsidR="00DD0575" w:rsidP="00DD0575" w:rsidRDefault="00DD0575" w14:paraId="76C2CA21" w14:textId="77777777">
      <w:pPr>
        <w:pStyle w:val="Textonotapie"/>
        <w:ind w:firstLine="709"/>
        <w:jc w:val="both"/>
        <w:rPr>
          <w:rFonts w:ascii="Century Gothic" w:hAnsi="Century Gothic" w:cs="Arial"/>
          <w:sz w:val="14"/>
          <w:szCs w:val="14"/>
          <w:lang w:val="es-ES"/>
        </w:rPr>
      </w:pPr>
      <w:r w:rsidRPr="00D6701A">
        <w:rPr>
          <w:rFonts w:ascii="Century Gothic" w:hAnsi="Century Gothic" w:cs="Arial"/>
          <w:color w:val="000000" w:themeColor="text1"/>
          <w:sz w:val="14"/>
          <w:szCs w:val="14"/>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20">
    <w:p w:rsidRPr="00D6701A" w:rsidR="00DD0575" w:rsidP="00DD0575" w:rsidRDefault="00DD0575" w14:paraId="29D13B3E" w14:textId="77777777">
      <w:pPr>
        <w:pStyle w:val="Textonotapie"/>
        <w:spacing w:after="60"/>
        <w:ind w:firstLine="709"/>
        <w:jc w:val="both"/>
        <w:rPr>
          <w:rFonts w:ascii="Century Gothic" w:hAnsi="Century Gothic" w:cs="Arial"/>
          <w:sz w:val="14"/>
          <w:szCs w:val="14"/>
        </w:rPr>
      </w:pPr>
      <w:r w:rsidRPr="00D6701A">
        <w:rPr>
          <w:rStyle w:val="Refdenotaalpie"/>
          <w:rFonts w:ascii="Century Gothic" w:hAnsi="Century Gothic" w:cs="Arial"/>
          <w:sz w:val="14"/>
          <w:szCs w:val="14"/>
        </w:rPr>
        <w:footnoteRef/>
      </w:r>
      <w:r w:rsidRPr="00D6701A">
        <w:rPr>
          <w:rFonts w:ascii="Century Gothic" w:hAnsi="Century Gothic" w:cs="Arial"/>
          <w:sz w:val="14"/>
          <w:szCs w:val="14"/>
        </w:rPr>
        <w:t xml:space="preserve"> Decreto ley 222 de 1983: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rsidRPr="00D6701A" w:rsidR="00DD0575" w:rsidP="00DD0575" w:rsidRDefault="00DD0575" w14:paraId="5ADA78B0" w14:textId="77777777">
      <w:pPr>
        <w:pStyle w:val="Textonotapie"/>
        <w:spacing w:after="60"/>
        <w:ind w:firstLine="709"/>
        <w:jc w:val="both"/>
        <w:rPr>
          <w:rFonts w:ascii="Century Gothic" w:hAnsi="Century Gothic" w:cs="Arial"/>
          <w:sz w:val="14"/>
          <w:szCs w:val="14"/>
        </w:rPr>
      </w:pPr>
      <w:r w:rsidRPr="00D6701A">
        <w:rPr>
          <w:rFonts w:ascii="Century Gothic" w:hAnsi="Century Gothic" w:cs="Arial"/>
          <w:sz w:val="14"/>
          <w:szCs w:val="14"/>
        </w:rPr>
        <w:t xml:space="preserve">“Las adiciones relacionadas con el valor quedarán perfeccionadas una vez suscrito el contrato y efectuado el registro presupuestal. Las relaciones con el plazo sólo requerirán firma del jefe de la entidad contratante y prórroga de las garantías. </w:t>
      </w:r>
    </w:p>
    <w:p w:rsidRPr="00D6701A" w:rsidR="00DD0575" w:rsidP="00DD0575" w:rsidRDefault="00DD0575" w14:paraId="0A54D680" w14:textId="77777777">
      <w:pPr>
        <w:pStyle w:val="Textonotapie"/>
        <w:spacing w:after="60"/>
        <w:ind w:firstLine="709"/>
        <w:jc w:val="both"/>
        <w:rPr>
          <w:rFonts w:ascii="Century Gothic" w:hAnsi="Century Gothic" w:cs="Arial"/>
          <w:sz w:val="14"/>
          <w:szCs w:val="14"/>
        </w:rPr>
      </w:pPr>
      <w:r w:rsidRPr="00D6701A">
        <w:rPr>
          <w:rFonts w:ascii="Century Gothic" w:hAnsi="Century Gothic" w:cs="Arial"/>
          <w:sz w:val="14"/>
          <w:szCs w:val="14"/>
        </w:rPr>
        <w:t xml:space="preserve">“Serán requisitos para que pueda iniciarse la ejecución del contrato, la adición y prórroga de las garantías y el pago de los impuestos correspondientes. </w:t>
      </w:r>
    </w:p>
    <w:p w:rsidRPr="00D6701A" w:rsidR="00DD0575" w:rsidP="00DD0575" w:rsidRDefault="00DD0575" w14:paraId="73B5A8D0" w14:textId="77777777">
      <w:pPr>
        <w:pStyle w:val="Textonotapie"/>
        <w:spacing w:after="60"/>
        <w:ind w:firstLine="709"/>
        <w:jc w:val="both"/>
        <w:rPr>
          <w:rFonts w:ascii="Century Gothic" w:hAnsi="Century Gothic" w:cs="Arial"/>
          <w:sz w:val="14"/>
          <w:szCs w:val="14"/>
        </w:rPr>
      </w:pPr>
      <w:r w:rsidRPr="00D6701A">
        <w:rPr>
          <w:rFonts w:ascii="Century Gothic" w:hAnsi="Century Gothic" w:cs="Arial"/>
          <w:sz w:val="14"/>
          <w:szCs w:val="14"/>
        </w:rPr>
        <w:t xml:space="preserve">“Los contratos de interventoría, administración delegada, y consultoría previstos en este estatuto, podrán adicionarse sin el límite fijado en el presente artículo. </w:t>
      </w:r>
    </w:p>
    <w:p w:rsidRPr="00D6701A" w:rsidR="00DD0575" w:rsidP="00DD0575" w:rsidRDefault="00DD0575" w14:paraId="1B1A3C3C" w14:textId="77777777">
      <w:pPr>
        <w:pStyle w:val="Textonotapie"/>
        <w:spacing w:after="60"/>
        <w:ind w:firstLine="709"/>
        <w:jc w:val="both"/>
        <w:rPr>
          <w:rFonts w:ascii="Century Gothic" w:hAnsi="Century Gothic" w:cs="Arial"/>
          <w:sz w:val="14"/>
          <w:szCs w:val="14"/>
        </w:rPr>
      </w:pPr>
      <w:r w:rsidRPr="00D6701A">
        <w:rPr>
          <w:rFonts w:ascii="Century Gothic" w:hAnsi="Century Gothic" w:cs="Arial"/>
          <w:sz w:val="14"/>
          <w:szCs w:val="14"/>
        </w:rPr>
        <w:t xml:space="preserve">“Las adiciones deberán publicarse en el Diario oficial. </w:t>
      </w:r>
    </w:p>
    <w:p w:rsidRPr="00D6701A" w:rsidR="00DD0575" w:rsidP="00DD0575" w:rsidRDefault="00DD0575" w14:paraId="58858943" w14:textId="77777777">
      <w:pPr>
        <w:pStyle w:val="Textonotapie"/>
        <w:spacing w:after="60"/>
        <w:ind w:firstLine="709"/>
        <w:jc w:val="both"/>
        <w:rPr>
          <w:rFonts w:ascii="Century Gothic" w:hAnsi="Century Gothic" w:cs="Arial"/>
          <w:sz w:val="14"/>
          <w:szCs w:val="14"/>
        </w:rPr>
      </w:pPr>
      <w:r w:rsidRPr="00D6701A">
        <w:rPr>
          <w:rFonts w:ascii="Century Gothic" w:hAnsi="Century Gothic" w:cs="Arial"/>
          <w:sz w:val="14"/>
          <w:szCs w:val="14"/>
        </w:rPr>
        <w:t xml:space="preserve">“En ningún caso podrá modificarse el objeto de los contratos, ni prorrogarse su plazo si estuviere vencido, so pretexto de la celebración de contratos adicionales, ni pactarse prórrogas automáticas. </w:t>
      </w:r>
    </w:p>
    <w:p w:rsidRPr="00D6701A" w:rsidR="00DD0575" w:rsidP="00DD0575" w:rsidRDefault="00DD0575" w14:paraId="15EFA36A" w14:textId="77777777">
      <w:pPr>
        <w:pStyle w:val="Textonotapie"/>
        <w:ind w:firstLine="708"/>
        <w:jc w:val="both"/>
        <w:rPr>
          <w:rFonts w:ascii="Century Gothic" w:hAnsi="Century Gothic" w:cs="Arial"/>
          <w:sz w:val="14"/>
          <w:szCs w:val="14"/>
        </w:rPr>
      </w:pPr>
      <w:r w:rsidRPr="00D6701A">
        <w:rPr>
          <w:rFonts w:ascii="Century Gothic" w:hAnsi="Century Gothic" w:cs="Arial"/>
          <w:sz w:val="14"/>
          <w:szCs w:val="14"/>
        </w:rPr>
        <w:t>“Parágrafo. Los contratos de empréstito distintos a los créditos de proveedores, no se someterán a lo dispuesto en este artículo”.</w:t>
      </w:r>
    </w:p>
    <w:p w:rsidRPr="00D6701A" w:rsidR="00DD0575" w:rsidP="00DD0575" w:rsidRDefault="00DD0575" w14:paraId="255CC558" w14:textId="77777777">
      <w:pPr>
        <w:pStyle w:val="Textonotapie"/>
        <w:ind w:firstLine="708"/>
        <w:jc w:val="both"/>
        <w:rPr>
          <w:rFonts w:ascii="Century Gothic" w:hAnsi="Century Gothic"/>
          <w:sz w:val="14"/>
          <w:szCs w:val="14"/>
        </w:rPr>
      </w:pPr>
      <w:r w:rsidRPr="00D6701A">
        <w:rPr>
          <w:rFonts w:ascii="Century Gothic" w:hAnsi="Century Gothic"/>
          <w:sz w:val="14"/>
          <w:szCs w:val="14"/>
        </w:rPr>
        <w:t xml:space="preserve">  </w:t>
      </w:r>
    </w:p>
  </w:footnote>
  <w:footnote w:id="21">
    <w:p w:rsidRPr="00D6701A" w:rsidR="00DD0575" w:rsidP="00DD0575" w:rsidRDefault="00DD0575" w14:paraId="730B7E68" w14:textId="77777777">
      <w:pPr>
        <w:pStyle w:val="Textonotapie"/>
        <w:ind w:firstLine="708"/>
        <w:jc w:val="both"/>
        <w:rPr>
          <w:rFonts w:ascii="Century Gothic" w:hAnsi="Century Gothic" w:cs="Arial"/>
          <w:sz w:val="14"/>
          <w:szCs w:val="14"/>
        </w:rPr>
      </w:pPr>
      <w:r w:rsidRPr="00D6701A">
        <w:rPr>
          <w:rStyle w:val="Refdenotaalpie"/>
          <w:rFonts w:ascii="Century Gothic" w:hAnsi="Century Gothic" w:cs="Arial"/>
          <w:sz w:val="14"/>
          <w:szCs w:val="14"/>
        </w:rPr>
        <w:footnoteRef/>
      </w:r>
      <w:r w:rsidRPr="00D6701A">
        <w:rPr>
          <w:rFonts w:ascii="Century Gothic" w:hAnsi="Century Gothic" w:cs="Arial"/>
          <w:sz w:val="14"/>
          <w:szCs w:val="14"/>
        </w:rPr>
        <w:t xml:space="preserve"> La Sala de Consulta y Servicio Civil del Consejo de Estado ha explicado que: “[…] son diferentes el contrato adicional y la adición de contratos. Aquel es un nuevo contrato, mientras esta es una modificación de un contrato en ejecución. La Ley 80 de 1993 abandonó el concepto de contrato adicional e introdujo el de “adición de los contratos”, sin especificar los elementos sobre los cuales puede hacerse la adición, mantuvo sí un </w:t>
      </w:r>
      <w:proofErr w:type="spellStart"/>
      <w:r w:rsidRPr="00D6701A">
        <w:rPr>
          <w:rFonts w:ascii="Century Gothic" w:hAnsi="Century Gothic" w:cs="Arial"/>
          <w:sz w:val="14"/>
          <w:szCs w:val="14"/>
        </w:rPr>
        <w:t>limite</w:t>
      </w:r>
      <w:proofErr w:type="spellEnd"/>
      <w:r w:rsidRPr="00D6701A">
        <w:rPr>
          <w:rFonts w:ascii="Century Gothic" w:hAnsi="Century Gothic" w:cs="Arial"/>
          <w:sz w:val="14"/>
          <w:szCs w:val="14"/>
        </w:rPr>
        <w:t xml:space="preserve">: no más del cincuenta por ciento (50%) de su valor inicial, expresado este en salarios mínimos legales mensuales […]”.  Concepto 1128 del 26 de agosto de 1998, C.P. César Hoyos Salazar. </w:t>
      </w:r>
    </w:p>
    <w:p w:rsidRPr="00D6701A" w:rsidR="00DD0575" w:rsidP="00DD0575" w:rsidRDefault="00DD0575" w14:paraId="1AFD59E3" w14:textId="77777777">
      <w:pPr>
        <w:pStyle w:val="Textonotapie"/>
        <w:ind w:firstLine="708"/>
        <w:rPr>
          <w:rFonts w:ascii="Century Gothic" w:hAnsi="Century Gothic"/>
          <w:sz w:val="14"/>
          <w:szCs w:val="14"/>
        </w:rPr>
      </w:pPr>
      <w:r w:rsidRPr="00D6701A">
        <w:rPr>
          <w:rFonts w:ascii="Century Gothic" w:hAnsi="Century Gothic"/>
          <w:sz w:val="14"/>
          <w:szCs w:val="14"/>
        </w:rPr>
        <w:t xml:space="preserve">  </w:t>
      </w:r>
    </w:p>
  </w:footnote>
  <w:footnote w:id="22">
    <w:p w:rsidRPr="00D6701A" w:rsidR="00DD0575" w:rsidP="00DD0575" w:rsidRDefault="00DD0575" w14:paraId="046E27EB" w14:textId="77777777">
      <w:pPr>
        <w:pStyle w:val="Textonotapie"/>
        <w:ind w:firstLine="708"/>
        <w:jc w:val="both"/>
        <w:rPr>
          <w:rFonts w:ascii="Century Gothic" w:hAnsi="Century Gothic" w:cs="Arial"/>
          <w:color w:val="000000" w:themeColor="text1"/>
          <w:sz w:val="14"/>
          <w:szCs w:val="14"/>
          <w:lang w:val="es-CO"/>
        </w:rPr>
      </w:pPr>
      <w:r w:rsidRPr="00D6701A">
        <w:rPr>
          <w:rStyle w:val="Refdenotaalpie"/>
          <w:rFonts w:ascii="Century Gothic" w:hAnsi="Century Gothic" w:cs="Arial"/>
          <w:color w:val="000000" w:themeColor="text1"/>
          <w:sz w:val="14"/>
          <w:szCs w:val="14"/>
        </w:rPr>
        <w:footnoteRef/>
      </w:r>
      <w:r w:rsidRPr="00D6701A">
        <w:rPr>
          <w:rFonts w:ascii="Century Gothic" w:hAnsi="Century Gothic" w:cs="Arial"/>
          <w:color w:val="000000" w:themeColor="text1"/>
          <w:sz w:val="14"/>
          <w:szCs w:val="14"/>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 w:id="23">
    <w:p w:rsidRPr="00780800" w:rsidR="00DD0575" w:rsidP="00DD0575" w:rsidRDefault="00DD0575" w14:paraId="10FE1CAB" w14:textId="77777777">
      <w:pPr>
        <w:pStyle w:val="Textonotapie"/>
        <w:ind w:firstLine="709"/>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Corte Constitucional, sentencia T-743 de 2017, </w:t>
      </w:r>
      <w:proofErr w:type="spellStart"/>
      <w:r w:rsidRPr="00780800">
        <w:rPr>
          <w:rFonts w:ascii="Century Gothic" w:hAnsi="Century Gothic" w:cs="Arial"/>
          <w:sz w:val="18"/>
          <w:szCs w:val="18"/>
        </w:rPr>
        <w:t>Exp</w:t>
      </w:r>
      <w:proofErr w:type="spellEnd"/>
      <w:r w:rsidRPr="00780800">
        <w:rPr>
          <w:rFonts w:ascii="Century Gothic" w:hAnsi="Century Gothic" w:cs="Arial"/>
          <w:sz w:val="18"/>
          <w:szCs w:val="18"/>
        </w:rPr>
        <w:t>. T-6.366.648 Magistrada Ponente Cristina Pardo Schlesinger.</w:t>
      </w:r>
    </w:p>
    <w:p w:rsidRPr="00780800" w:rsidR="00DD0575" w:rsidP="00DD0575" w:rsidRDefault="00DD0575" w14:paraId="7F9E8BBB" w14:textId="77777777">
      <w:pPr>
        <w:pStyle w:val="Textonotapie"/>
        <w:ind w:firstLine="709"/>
        <w:contextualSpacing/>
        <w:jc w:val="both"/>
        <w:rPr>
          <w:rFonts w:ascii="Century Gothic" w:hAnsi="Century Gothic" w:cs="Arial"/>
          <w:sz w:val="18"/>
          <w:szCs w:val="18"/>
        </w:rPr>
      </w:pPr>
    </w:p>
  </w:footnote>
  <w:footnote w:id="24">
    <w:p w:rsidRPr="00780800" w:rsidR="00DD0575" w:rsidP="00DD0575" w:rsidRDefault="00DD0575" w14:paraId="00638D4F" w14:textId="77777777">
      <w:pPr>
        <w:ind w:firstLine="709"/>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La sentencia explica lo siguiente: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rsidRPr="00780800" w:rsidR="00DD0575" w:rsidP="00DD0575" w:rsidRDefault="00DD0575" w14:paraId="0630B34B" w14:textId="77777777">
      <w:pPr>
        <w:ind w:firstLine="709"/>
        <w:contextualSpacing/>
        <w:jc w:val="both"/>
        <w:rPr>
          <w:rFonts w:ascii="Century Gothic" w:hAnsi="Century Gothic" w:cs="Arial"/>
          <w:sz w:val="18"/>
          <w:szCs w:val="18"/>
        </w:rPr>
      </w:pPr>
      <w:r w:rsidRPr="00780800">
        <w:rPr>
          <w:rFonts w:ascii="Century Gothic" w:hAnsi="Century Gothic" w:cs="Arial"/>
          <w:sz w:val="18"/>
          <w:szCs w:val="18"/>
        </w:rPr>
        <w:t>[…]</w:t>
      </w:r>
    </w:p>
    <w:p w:rsidRPr="00780800" w:rsidR="00DD0575" w:rsidP="00DD0575" w:rsidRDefault="00DD0575" w14:paraId="155B0271" w14:textId="77777777">
      <w:pPr>
        <w:ind w:firstLine="709"/>
        <w:contextualSpacing/>
        <w:jc w:val="both"/>
        <w:rPr>
          <w:rFonts w:ascii="Century Gothic" w:hAnsi="Century Gothic" w:cs="Arial"/>
          <w:sz w:val="18"/>
          <w:szCs w:val="18"/>
        </w:rPr>
      </w:pPr>
      <w:r w:rsidRPr="00780800">
        <w:rPr>
          <w:rFonts w:ascii="Century Gothic" w:hAnsi="Century Gothic" w:cs="Arial"/>
          <w:sz w:val="18"/>
          <w:szCs w:val="18"/>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w:t>
      </w:r>
      <w:proofErr w:type="spellStart"/>
      <w:r w:rsidRPr="00780800">
        <w:rPr>
          <w:rFonts w:ascii="Century Gothic" w:hAnsi="Century Gothic" w:cs="Arial"/>
          <w:sz w:val="18"/>
          <w:szCs w:val="18"/>
        </w:rPr>
        <w:t>ii</w:t>
      </w:r>
      <w:proofErr w:type="spellEnd"/>
      <w:r w:rsidRPr="00780800">
        <w:rPr>
          <w:rFonts w:ascii="Century Gothic" w:hAnsi="Century Gothic" w:cs="Arial"/>
          <w:sz w:val="18"/>
          <w:szCs w:val="18"/>
        </w:rPr>
        <w:t>) la continua subordinación o dependencia y (</w:t>
      </w:r>
      <w:proofErr w:type="spellStart"/>
      <w:r w:rsidRPr="00780800">
        <w:rPr>
          <w:rFonts w:ascii="Century Gothic" w:hAnsi="Century Gothic" w:cs="Arial"/>
          <w:sz w:val="18"/>
          <w:szCs w:val="18"/>
        </w:rPr>
        <w:t>iii</w:t>
      </w:r>
      <w:proofErr w:type="spellEnd"/>
      <w:r w:rsidRPr="00780800">
        <w:rPr>
          <w:rFonts w:ascii="Century Gothic" w:hAnsi="Century Gothic" w:cs="Arial"/>
          <w:sz w:val="18"/>
          <w:szCs w:val="18"/>
        </w:rPr>
        <w:t>)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780800">
        <w:rPr>
          <w:rFonts w:ascii="Century Gothic" w:hAnsi="Century Gothic" w:cs="Arial"/>
          <w:spacing w:val="-17"/>
          <w:sz w:val="18"/>
          <w:szCs w:val="18"/>
        </w:rPr>
        <w:t xml:space="preserve"> </w:t>
      </w:r>
      <w:r w:rsidRPr="00780800">
        <w:rPr>
          <w:rFonts w:ascii="Century Gothic" w:hAnsi="Century Gothic" w:cs="Arial"/>
          <w:sz w:val="18"/>
          <w:szCs w:val="18"/>
        </w:rPr>
        <w:t>trabajo”.</w:t>
      </w:r>
    </w:p>
    <w:p w:rsidRPr="00780800" w:rsidR="00DD0575" w:rsidP="00DD0575" w:rsidRDefault="00DD0575" w14:paraId="5F7961C1" w14:textId="77777777">
      <w:pPr>
        <w:pStyle w:val="Textonotapie"/>
        <w:ind w:left="300" w:right="306"/>
        <w:contextualSpacing/>
        <w:jc w:val="both"/>
        <w:rPr>
          <w:rFonts w:ascii="Century Gothic" w:hAnsi="Century Gothic" w:cs="Arial"/>
          <w:sz w:val="18"/>
          <w:szCs w:val="18"/>
        </w:rPr>
      </w:pPr>
    </w:p>
  </w:footnote>
  <w:footnote w:id="25">
    <w:p w:rsidRPr="00780800" w:rsidR="00DD0575" w:rsidP="00DD0575" w:rsidRDefault="00DD0575" w14:paraId="4EA825AE" w14:textId="77777777">
      <w:pPr>
        <w:pStyle w:val="Textonotapie"/>
        <w:ind w:firstLine="708"/>
        <w:contextualSpacing/>
        <w:jc w:val="both"/>
        <w:rPr>
          <w:rFonts w:ascii="Century Gothic" w:hAnsi="Century Gothic" w:cs="Arial"/>
          <w:sz w:val="18"/>
          <w:szCs w:val="18"/>
          <w:lang w:val="es-CO"/>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Corte Constitucional. Sentencia SU-075 de 2018. Magistrado Ponente: Gloria Stella Ortiz Delgado</w:t>
      </w:r>
    </w:p>
  </w:footnote>
  <w:footnote w:id="26">
    <w:p w:rsidRPr="00780800" w:rsidR="00DD0575" w:rsidP="00DD0575" w:rsidRDefault="00DD0575" w14:paraId="23BA7069" w14:textId="77777777">
      <w:pPr>
        <w:pStyle w:val="Sinespaciado"/>
        <w:ind w:left="26" w:firstLine="682"/>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Corte Constitucional. Sentencia T-329 del 19 de septiembre de 2022. Expediente </w:t>
      </w:r>
      <w:bookmarkStart w:name="_Hlk113364075" w:id="7"/>
      <w:r w:rsidRPr="00780800">
        <w:rPr>
          <w:rFonts w:ascii="Century Gothic" w:hAnsi="Century Gothic" w:cs="Arial"/>
          <w:sz w:val="18"/>
          <w:szCs w:val="18"/>
        </w:rPr>
        <w:t>T-8.517.984</w:t>
      </w:r>
      <w:bookmarkEnd w:id="7"/>
      <w:r w:rsidRPr="00780800">
        <w:rPr>
          <w:rFonts w:ascii="Century Gothic" w:hAnsi="Century Gothic" w:cs="Arial"/>
          <w:sz w:val="18"/>
          <w:szCs w:val="18"/>
        </w:rPr>
        <w:t>. Magistrada Ponente: Natalia Ángel Cabo</w:t>
      </w:r>
    </w:p>
    <w:p w:rsidRPr="00780800" w:rsidR="00DD0575" w:rsidP="00DD0575" w:rsidRDefault="00DD0575" w14:paraId="42772AB6" w14:textId="77777777">
      <w:pPr>
        <w:pStyle w:val="Textonotapie"/>
        <w:contextualSpacing/>
        <w:jc w:val="both"/>
        <w:rPr>
          <w:rFonts w:ascii="Century Gothic" w:hAnsi="Century Gothic" w:cs="Arial"/>
          <w:sz w:val="18"/>
          <w:szCs w:val="18"/>
        </w:rPr>
      </w:pPr>
    </w:p>
  </w:footnote>
  <w:footnote w:id="27">
    <w:p w:rsidRPr="00780800" w:rsidR="00DD0575" w:rsidP="00DD0575" w:rsidRDefault="00DD0575" w14:paraId="70AE554A" w14:textId="77777777">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Sentencia SU-070 de 2013. </w:t>
      </w:r>
      <w:proofErr w:type="spellStart"/>
      <w:r w:rsidRPr="00780800">
        <w:rPr>
          <w:rFonts w:ascii="Century Gothic" w:hAnsi="Century Gothic" w:cs="Arial"/>
          <w:sz w:val="18"/>
          <w:szCs w:val="18"/>
        </w:rPr>
        <w:t>Fund</w:t>
      </w:r>
      <w:proofErr w:type="spellEnd"/>
      <w:r w:rsidRPr="00780800">
        <w:rPr>
          <w:rFonts w:ascii="Century Gothic" w:hAnsi="Century Gothic" w:cs="Arial"/>
          <w:sz w:val="18"/>
          <w:szCs w:val="18"/>
        </w:rPr>
        <w:t>. 6. Reiterado en las</w:t>
      </w:r>
      <w:r w:rsidRPr="00780800">
        <w:rPr>
          <w:rFonts w:ascii="Century Gothic" w:hAnsi="Century Gothic" w:cs="Arial"/>
          <w:sz w:val="18"/>
          <w:szCs w:val="18"/>
          <w:lang w:val="es-ES_tradnl"/>
        </w:rPr>
        <w:t xml:space="preserve"> sentencias SU-040 de 2018 y SU-075 de 2018.</w:t>
      </w:r>
    </w:p>
  </w:footnote>
  <w:footnote w:id="28">
    <w:p w:rsidRPr="00780800" w:rsidR="00DD0575" w:rsidP="00DD0575" w:rsidRDefault="00DD0575" w14:paraId="6B0AFB88" w14:textId="77777777">
      <w:pPr>
        <w:pStyle w:val="Textonotapie"/>
        <w:contextualSpacing/>
        <w:jc w:val="both"/>
        <w:rPr>
          <w:rFonts w:ascii="Century Gothic" w:hAnsi="Century Gothic" w:cs="Arial"/>
          <w:sz w:val="18"/>
          <w:szCs w:val="18"/>
        </w:rPr>
      </w:pPr>
    </w:p>
    <w:p w:rsidRPr="00780800" w:rsidR="00DD0575" w:rsidP="00DD0575" w:rsidRDefault="00DD0575" w14:paraId="1F606FCB" w14:textId="77777777">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Esta indemnización se ha reconocido en contratos de prestación de servicios, entre otras, en las sentencias T-564 de 2017, T-350 de 2016, 316 de 2016, T-102 de 2016 y T-346 de 2013.</w:t>
      </w:r>
    </w:p>
  </w:footnote>
  <w:footnote w:id="29">
    <w:p w:rsidRPr="00780800" w:rsidR="00DD0575" w:rsidP="00DD0575" w:rsidRDefault="00DD0575" w14:paraId="51AD7B10" w14:textId="77777777">
      <w:pPr>
        <w:pStyle w:val="Textonotapie"/>
        <w:contextualSpacing/>
        <w:jc w:val="both"/>
        <w:rPr>
          <w:rFonts w:ascii="Century Gothic" w:hAnsi="Century Gothic" w:cs="Arial"/>
          <w:sz w:val="18"/>
          <w:szCs w:val="18"/>
        </w:rPr>
      </w:pPr>
    </w:p>
    <w:p w:rsidRPr="00780800" w:rsidR="00DD0575" w:rsidP="00DD0575" w:rsidRDefault="00DD0575" w14:paraId="0756F71F" w14:textId="77777777">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En las sentencias T-238 de 2015 y T-350 de 2016 la Corte determinó que no procede el pago de la licencia de maternidad cuando en el caso se observe que la licencia de maternidad ya fue disfrutada. </w:t>
      </w:r>
    </w:p>
  </w:footnote>
  <w:footnote w:id="30">
    <w:p w:rsidRPr="00780800" w:rsidR="00DD0575" w:rsidP="00DD0575" w:rsidRDefault="00DD0575" w14:paraId="2E531FBA" w14:textId="77777777">
      <w:pPr>
        <w:pStyle w:val="Textonotapie"/>
        <w:ind w:firstLine="708"/>
        <w:contextualSpacing/>
        <w:jc w:val="both"/>
        <w:rPr>
          <w:rFonts w:ascii="Century Gothic" w:hAnsi="Century Gothic" w:cs="Arial"/>
          <w:sz w:val="18"/>
          <w:szCs w:val="18"/>
        </w:rPr>
      </w:pPr>
    </w:p>
    <w:p w:rsidRPr="00780800" w:rsidR="00DD0575" w:rsidP="00DD0575" w:rsidRDefault="00DD0575" w14:paraId="45F4F6A4" w14:textId="77777777">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Esta media fue aplicada en la Sentencia T-030 de 2018 respecto del caso estudiado bajo el expediente T-6.425.691.</w:t>
      </w:r>
    </w:p>
  </w:footnote>
  <w:footnote w:id="31">
    <w:p w:rsidRPr="00780800" w:rsidR="00DD0575" w:rsidP="00DD0575" w:rsidRDefault="00DD0575" w14:paraId="61A6C3C6" w14:textId="77777777">
      <w:pPr>
        <w:pStyle w:val="Textonotapie"/>
        <w:ind w:firstLine="708"/>
        <w:contextualSpacing/>
        <w:jc w:val="both"/>
        <w:rPr>
          <w:rFonts w:ascii="Century Gothic" w:hAnsi="Century Gothic" w:cs="Arial"/>
          <w:sz w:val="18"/>
          <w:szCs w:val="18"/>
        </w:rPr>
      </w:pPr>
    </w:p>
    <w:p w:rsidRPr="00780800" w:rsidR="00DD0575" w:rsidP="00DD0575" w:rsidRDefault="00DD0575" w14:paraId="55B166BC" w14:textId="77777777">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En algunas oportunidades las salas de revisión han reconocido el pago de las prestaciones en materia de seguridad social en salud. Sentencia T-102 de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419E1" w:rsidRDefault="00F419E1" w14:paraId="11BF120B" w14:textId="77777777">
    <w:pPr>
      <w:pStyle w:val="Encabezado"/>
    </w:pPr>
    <w:r>
      <w:rPr>
        <w:noProof/>
      </w:rPr>
      <w:drawing>
        <wp:anchor distT="0" distB="0" distL="114300" distR="114300" simplePos="0" relativeHeight="251659264" behindDoc="1" locked="0" layoutInCell="1" allowOverlap="1" wp14:anchorId="554C8C74" wp14:editId="74B525B0">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6473D230" wp14:editId="4A536204">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7BE4007A" wp14:editId="74F33E0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329FA089" wp14:editId="30DE6357">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F419E1" w:rsidRDefault="00F419E1" w14:paraId="6A23D801" w14:textId="77777777">
    <w:pPr>
      <w:pStyle w:val="Encabezado"/>
    </w:pPr>
  </w:p>
  <w:p w:rsidR="00F419E1" w:rsidRDefault="00F419E1" w14:paraId="7C229E6A" w14:textId="77777777">
    <w:pPr>
      <w:pStyle w:val="Encabezado"/>
    </w:pPr>
  </w:p>
  <w:p w:rsidRPr="004A305D" w:rsidR="00F419E1" w:rsidP="004A305D" w:rsidRDefault="00F419E1" w14:paraId="5724329B"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F419E1" w:rsidP="004A305D" w:rsidRDefault="00F419E1" w14:paraId="22B645F1" w14:textId="7777777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Pr>
        <w:rFonts w:ascii="Century Gothic" w:hAnsi="Century Gothic" w:eastAsia="Geo" w:cs="Geo"/>
        <w:bCs/>
        <w:color w:val="000000"/>
        <w:sz w:val="16"/>
        <w:szCs w:val="16"/>
        <w:lang w:eastAsia="es-CO"/>
      </w:rPr>
      <w:t>1</w:t>
    </w:r>
    <w:r>
      <w:rPr>
        <w:rFonts w:ascii="Century Gothic" w:hAnsi="Century Gothic" w:eastAsia="Geo" w:cs="Geo"/>
        <w:bCs/>
        <w:color w:val="000000"/>
        <w:sz w:val="16"/>
        <w:szCs w:val="16"/>
        <w:lang w:eastAsia="es-CO"/>
      </w:rPr>
      <w:t>7</w:t>
    </w:r>
  </w:p>
  <w:p w:rsidRPr="004A305D" w:rsidR="00F419E1" w:rsidP="004A305D" w:rsidRDefault="00F419E1" w14:paraId="45A5FC07" w14:textId="77777777">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Pr>
        <w:rFonts w:ascii="Century Gothic" w:hAnsi="Century Gothic" w:eastAsia="Geo" w:cs="Geo"/>
        <w:sz w:val="16"/>
        <w:szCs w:val="16"/>
        <w:lang w:eastAsia="es-CO"/>
      </w:rPr>
      <w:t>2</w:t>
    </w:r>
    <w:r w:rsidRPr="004A305D">
      <w:rPr>
        <w:rFonts w:ascii="Century Gothic" w:hAnsi="Century Gothic" w:eastAsia="Geo" w:cs="Geo"/>
        <w:sz w:val="16"/>
        <w:szCs w:val="16"/>
        <w:lang w:eastAsia="es-CO"/>
      </w:rPr>
      <w:t xml:space="preserve"> DEL </w:t>
    </w:r>
    <w:r>
      <w:rPr>
        <w:rFonts w:ascii="Century Gothic" w:hAnsi="Century Gothic" w:eastAsia="Geo" w:cs="Geo"/>
        <w:sz w:val="16"/>
        <w:szCs w:val="16"/>
        <w:lang w:eastAsia="es-CO"/>
      </w:rPr>
      <w:t>31</w:t>
    </w:r>
    <w:r>
      <w:rPr>
        <w:rFonts w:ascii="Century Gothic" w:hAnsi="Century Gothic" w:eastAsia="Geo" w:cs="Geo"/>
        <w:sz w:val="16"/>
        <w:szCs w:val="16"/>
        <w:lang w:eastAsia="es-CO"/>
      </w:rPr>
      <w:t xml:space="preserve"> </w:t>
    </w:r>
    <w:r w:rsidRPr="004A305D">
      <w:rPr>
        <w:rFonts w:ascii="Century Gothic" w:hAnsi="Century Gothic" w:eastAsia="Geo" w:cs="Geo"/>
        <w:sz w:val="16"/>
        <w:szCs w:val="16"/>
        <w:lang w:eastAsia="es-CO"/>
      </w:rPr>
      <w:t xml:space="preserve">DE </w:t>
    </w:r>
    <w:r>
      <w:rPr>
        <w:rFonts w:ascii="Century Gothic" w:hAnsi="Century Gothic" w:eastAsia="Geo" w:cs="Geo"/>
        <w:sz w:val="16"/>
        <w:szCs w:val="16"/>
        <w:lang w:eastAsia="es-CO"/>
      </w:rPr>
      <w:t>AGOSTO</w:t>
    </w:r>
    <w:r w:rsidRPr="004A305D">
      <w:rPr>
        <w:rFonts w:ascii="Century Gothic" w:hAnsi="Century Gothic" w:eastAsia="Geo" w:cs="Geo"/>
        <w:sz w:val="16"/>
        <w:szCs w:val="16"/>
        <w:lang w:eastAsia="es-CO"/>
      </w:rPr>
      <w:t xml:space="preserve"> DE 202</w:t>
    </w:r>
    <w:r>
      <w:rPr>
        <w:rFonts w:ascii="Century Gothic" w:hAnsi="Century Gothic" w:eastAsia="Geo" w:cs="Geo"/>
        <w:sz w:val="16"/>
        <w:szCs w:val="16"/>
        <w:lang w:eastAsia="es-CO"/>
      </w:rPr>
      <w:t>3</w:t>
    </w:r>
  </w:p>
  <w:p w:rsidR="00F419E1" w:rsidP="00061B2A" w:rsidRDefault="00F419E1" w14:paraId="0BC26B58" w14:textId="77777777">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8855506">
    <w:abstractNumId w:val="0"/>
  </w:num>
  <w:num w:numId="2" w16cid:durableId="77706551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575"/>
    <w:rsid w:val="003E7788"/>
    <w:rsid w:val="005818E2"/>
    <w:rsid w:val="008E5C2E"/>
    <w:rsid w:val="00DD0575"/>
    <w:rsid w:val="00E6620D"/>
    <w:rsid w:val="575904A3"/>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9A60B"/>
  <w15:chartTrackingRefBased/>
  <w15:docId w15:val="{BB7046DC-E9F1-4B47-976A-01A56522DA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D0575"/>
    <w:rPr>
      <w:kern w:val="0"/>
      <w14:ligatures w14:val="non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DD057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DD0575"/>
    <w:rPr>
      <w:kern w:val="0"/>
      <w14:ligatures w14:val="none"/>
    </w:rPr>
  </w:style>
  <w:style w:type="paragraph" w:styleId="Piedepgina">
    <w:name w:val="footer"/>
    <w:basedOn w:val="Normal"/>
    <w:link w:val="PiedepginaCar"/>
    <w:uiPriority w:val="99"/>
    <w:unhideWhenUsed/>
    <w:rsid w:val="00DD057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DD0575"/>
    <w:rPr>
      <w:kern w:val="0"/>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D057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DD0575"/>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DD057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DD0575"/>
    <w:rPr>
      <w:vertAlign w:val="superscript"/>
    </w:rPr>
  </w:style>
  <w:style w:type="table" w:styleId="Tablaconcuadrcula">
    <w:name w:val="Table Grid"/>
    <w:basedOn w:val="Tablanormal"/>
    <w:uiPriority w:val="39"/>
    <w:rsid w:val="00DD0575"/>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inespaciado">
    <w:name w:val="No Spacing"/>
    <w:uiPriority w:val="1"/>
    <w:qFormat/>
    <w:rsid w:val="00DD0575"/>
    <w:pPr>
      <w:spacing w:after="0" w:line="240" w:lineRule="auto"/>
    </w:pPr>
    <w:rPr>
      <w:kern w:val="0"/>
      <w14:ligatures w14:val="none"/>
    </w:rPr>
  </w:style>
  <w:style w:type="paragraph" w:styleId="Appelnotedebasde" w:customStyle="1">
    <w:name w:val="Appel note de bas de..."/>
    <w:basedOn w:val="Normal"/>
    <w:link w:val="Refdenotaalpie"/>
    <w:uiPriority w:val="99"/>
    <w:rsid w:val="00DD0575"/>
    <w:pPr>
      <w:spacing w:line="240" w:lineRule="exact"/>
    </w:pPr>
    <w:rPr>
      <w:kern w:val="2"/>
      <w:vertAlign w:val="superscript"/>
      <w14:ligatures w14:val="standardContextual"/>
    </w:rPr>
  </w:style>
  <w:style w:type="character" w:styleId="wacimagecontainer" w:customStyle="1">
    <w:name w:val="wacimagecontainer"/>
    <w:basedOn w:val="Fuentedeprrafopredeter"/>
    <w:rsid w:val="003E7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vanegas.leins@gmail.com"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CCE4A6-3E16-4A2A-8E28-4942019E9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DE02B7-B32B-4189-AE99-AB8F5F8BEBA5}">
  <ds:schemaRefs>
    <ds:schemaRef ds:uri="http://schemas.microsoft.com/sharepoint/v3/contenttype/forms"/>
  </ds:schemaRefs>
</ds:datastoreItem>
</file>

<file path=customXml/itemProps3.xml><?xml version="1.0" encoding="utf-8"?>
<ds:datastoreItem xmlns:ds="http://schemas.openxmlformats.org/officeDocument/2006/customXml" ds:itemID="{0740B03B-64AC-4FB8-B814-F349E728A5E7}">
  <ds:schemaRefs>
    <ds:schemaRef ds:uri="http://purl.org/dc/dcmitype/"/>
    <ds:schemaRef ds:uri="http://www.w3.org/XML/1998/namespace"/>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a6cb9e4b-f1d1-4245-83ec-6cad768d538a"/>
    <ds:schemaRef ds:uri="9d85dbaf-23eb-4e57-a637-93dcacc8b1a1"/>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3</cp:revision>
  <dcterms:created xsi:type="dcterms:W3CDTF">2023-11-22T23:31:00Z</dcterms:created>
  <dcterms:modified xsi:type="dcterms:W3CDTF">2023-11-23T13:03:32Z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