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E6CD52" w14:textId="77777777" w:rsidR="008C5EF6" w:rsidRPr="008C5EF6" w:rsidRDefault="008C5EF6" w:rsidP="008C5EF6">
      <w:pPr>
        <w:spacing w:after="0" w:line="240" w:lineRule="auto"/>
        <w:contextualSpacing/>
        <w:jc w:val="both"/>
        <w:rPr>
          <w:rFonts w:ascii="Verdana" w:eastAsia="Calibri" w:hAnsi="Verdana" w:cs="Arial"/>
          <w:b/>
          <w:noProof/>
          <w:lang w:val="es-ES_tradnl" w:eastAsia="es-ES_tradnl"/>
        </w:rPr>
      </w:pPr>
      <w:bookmarkStart w:id="0" w:name="_Hlk143780582"/>
      <w:r w:rsidRPr="008C5EF6">
        <w:rPr>
          <w:rFonts w:ascii="Verdana" w:eastAsia="Calibri" w:hAnsi="Verdana" w:cs="Arial"/>
          <w:b/>
          <w:noProof/>
          <w:lang w:val="es-ES_tradnl" w:eastAsia="es-ES_tradnl"/>
        </w:rPr>
        <w:t xml:space="preserve">PLANEACIÓN CONTRACTUAL – Noción </w:t>
      </w:r>
    </w:p>
    <w:p w14:paraId="6F5FA192" w14:textId="77777777" w:rsidR="008C5EF6" w:rsidRPr="008C5EF6" w:rsidRDefault="008C5EF6" w:rsidP="008C5EF6">
      <w:pPr>
        <w:spacing w:after="0" w:line="240" w:lineRule="auto"/>
        <w:contextualSpacing/>
        <w:jc w:val="both"/>
        <w:rPr>
          <w:rFonts w:ascii="Verdana" w:eastAsia="Calibri" w:hAnsi="Verdana" w:cs="Arial"/>
          <w:b/>
          <w:noProof/>
          <w:sz w:val="20"/>
          <w:szCs w:val="20"/>
          <w:lang w:val="es-ES_tradnl" w:eastAsia="es-ES_tradnl"/>
        </w:rPr>
      </w:pPr>
    </w:p>
    <w:p w14:paraId="42C655A0" w14:textId="77777777" w:rsidR="008C5EF6" w:rsidRPr="008C5EF6" w:rsidRDefault="008C5EF6" w:rsidP="008C5EF6">
      <w:pPr>
        <w:spacing w:after="0" w:line="240" w:lineRule="auto"/>
        <w:contextualSpacing/>
        <w:jc w:val="both"/>
        <w:rPr>
          <w:rFonts w:ascii="Verdana" w:eastAsia="Calibri" w:hAnsi="Verdana" w:cs="Arial"/>
          <w:bCs/>
          <w:sz w:val="20"/>
          <w:szCs w:val="20"/>
          <w:lang w:val="es-ES_tradnl" w:eastAsia="es-MX"/>
        </w:rPr>
      </w:pPr>
      <w:r w:rsidRPr="008C5EF6">
        <w:rPr>
          <w:rFonts w:ascii="Verdana" w:eastAsia="Calibri" w:hAnsi="Verdana" w:cs="Arial"/>
          <w:bCs/>
          <w:sz w:val="20"/>
          <w:szCs w:val="20"/>
          <w:lang w:val="es-ES_tradnl" w:eastAsia="es-MX"/>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4DCFB111" w14:textId="77777777" w:rsidR="008C5EF6" w:rsidRPr="008C5EF6" w:rsidRDefault="008C5EF6" w:rsidP="008C5EF6">
      <w:pPr>
        <w:spacing w:after="0" w:line="240" w:lineRule="auto"/>
        <w:contextualSpacing/>
        <w:jc w:val="both"/>
        <w:rPr>
          <w:rFonts w:ascii="Verdana" w:eastAsia="Times New Roman" w:hAnsi="Verdana" w:cs="Arial"/>
          <w:sz w:val="20"/>
          <w:szCs w:val="20"/>
          <w:lang w:val="es-ES_tradnl" w:eastAsia="es-MX"/>
        </w:rPr>
      </w:pPr>
    </w:p>
    <w:p w14:paraId="33C8C021" w14:textId="77777777" w:rsidR="008C5EF6" w:rsidRPr="008C5EF6" w:rsidRDefault="008C5EF6" w:rsidP="008C5EF6">
      <w:pPr>
        <w:spacing w:after="0" w:line="240" w:lineRule="auto"/>
        <w:contextualSpacing/>
        <w:jc w:val="both"/>
        <w:rPr>
          <w:rFonts w:ascii="Verdana" w:eastAsia="Calibri" w:hAnsi="Verdana" w:cs="Arial"/>
          <w:bCs/>
          <w:sz w:val="20"/>
          <w:szCs w:val="20"/>
          <w:lang w:val="es-MX" w:eastAsia="es-ES_tradnl"/>
        </w:rPr>
      </w:pPr>
      <w:r w:rsidRPr="008C5EF6">
        <w:rPr>
          <w:rFonts w:ascii="Verdana" w:eastAsia="Calibri" w:hAnsi="Verdana" w:cs="Arial"/>
          <w:bCs/>
          <w:sz w:val="20"/>
          <w:szCs w:val="20"/>
          <w:lang w:val="es-MX" w:eastAsia="es-ES_tradnl"/>
        </w:rPr>
        <w:t>El Estatuto General de Contratación de la Administración Pública – EGCAP –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w:t>
      </w:r>
    </w:p>
    <w:p w14:paraId="377F7B7E" w14:textId="77777777" w:rsidR="008C5EF6" w:rsidRPr="008C5EF6" w:rsidRDefault="008C5EF6" w:rsidP="008C5EF6">
      <w:pPr>
        <w:spacing w:after="0" w:line="240" w:lineRule="auto"/>
        <w:contextualSpacing/>
        <w:jc w:val="both"/>
        <w:rPr>
          <w:rFonts w:ascii="Verdana" w:eastAsia="Calibri" w:hAnsi="Verdana" w:cs="Arial"/>
          <w:b/>
          <w:noProof/>
          <w:sz w:val="20"/>
          <w:szCs w:val="20"/>
          <w:lang w:val="es-ES_tradnl" w:eastAsia="es-ES_tradnl"/>
        </w:rPr>
      </w:pPr>
    </w:p>
    <w:p w14:paraId="30B171E2" w14:textId="77777777" w:rsidR="008C5EF6" w:rsidRPr="008C5EF6" w:rsidRDefault="008C5EF6" w:rsidP="008C5EF6">
      <w:pPr>
        <w:spacing w:after="0" w:line="240" w:lineRule="auto"/>
        <w:contextualSpacing/>
        <w:jc w:val="both"/>
        <w:rPr>
          <w:rFonts w:ascii="Verdana" w:eastAsia="Times New Roman" w:hAnsi="Verdana" w:cs="Arial"/>
          <w:b/>
          <w:bCs/>
          <w:lang w:eastAsia="es-ES_tradnl"/>
        </w:rPr>
      </w:pPr>
      <w:r w:rsidRPr="008C5EF6">
        <w:rPr>
          <w:rFonts w:ascii="Verdana" w:eastAsia="Times New Roman" w:hAnsi="Verdana" w:cs="Arial"/>
          <w:b/>
          <w:bCs/>
          <w:lang w:eastAsia="es-ES_tradnl"/>
        </w:rPr>
        <w:t>ESTUDIOS PREVIOS – Análisis del sector – Planeación en los procesos de contratación pública</w:t>
      </w:r>
    </w:p>
    <w:p w14:paraId="226AAE2A" w14:textId="77777777" w:rsidR="008C5EF6" w:rsidRPr="008C5EF6" w:rsidRDefault="008C5EF6" w:rsidP="008C5EF6">
      <w:pPr>
        <w:spacing w:after="0" w:line="240" w:lineRule="auto"/>
        <w:contextualSpacing/>
        <w:jc w:val="both"/>
        <w:rPr>
          <w:rFonts w:ascii="Verdana" w:eastAsia="Times New Roman" w:hAnsi="Verdana" w:cs="Arial"/>
          <w:sz w:val="20"/>
          <w:szCs w:val="20"/>
          <w:lang w:eastAsia="es-ES_tradnl"/>
        </w:rPr>
      </w:pPr>
    </w:p>
    <w:p w14:paraId="71A84A89" w14:textId="77777777" w:rsidR="008C5EF6" w:rsidRPr="008C5EF6" w:rsidRDefault="008C5EF6" w:rsidP="008C5EF6">
      <w:pPr>
        <w:spacing w:after="0" w:line="240" w:lineRule="auto"/>
        <w:contextualSpacing/>
        <w:jc w:val="both"/>
        <w:rPr>
          <w:rFonts w:ascii="Verdana" w:eastAsia="Times New Roman" w:hAnsi="Verdana" w:cs="Arial"/>
          <w:sz w:val="20"/>
          <w:szCs w:val="20"/>
          <w:lang w:val="es-ES_tradnl" w:eastAsia="es-MX"/>
        </w:rPr>
      </w:pPr>
      <w:r w:rsidRPr="008C5EF6">
        <w:rPr>
          <w:rFonts w:ascii="Verdana" w:eastAsia="Calibri" w:hAnsi="Verdana" w:cs="Arial"/>
          <w:sz w:val="20"/>
          <w:szCs w:val="20"/>
          <w:lang w:eastAsia="es-ES_tradnl"/>
        </w:rPr>
        <w:t xml:space="preserve">[…] </w:t>
      </w:r>
      <w:r w:rsidRPr="008C5EF6">
        <w:rPr>
          <w:rFonts w:ascii="Verdana" w:eastAsia="Times New Roman" w:hAnsi="Verdana" w:cs="Arial"/>
          <w:sz w:val="20"/>
          <w:szCs w:val="20"/>
          <w:lang w:val="es-ES_tradnl" w:eastAsia="es-MX"/>
        </w:rPr>
        <w:t xml:space="preserve">antes de iniciar un procedimiento de selección, la Entidad Estatal podrá determinar con los estudios previos: i) la verdadera necesidad de la celebración del contrato; ii) las modalidades existentes para satisfacer esa necesidad y las razones que justifiquen la modalidad o tipo contractual que se escoja; iii) las calidades, especificaciones, cantidades y demás características que puedan o deban reunir los bienes, las obras o los servicios cuya contratación se haya determinado necesaria, iv)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8C5EF6">
        <w:rPr>
          <w:rFonts w:ascii="Verdana" w:eastAsia="Times New Roman" w:hAnsi="Verdana" w:cs="Arial"/>
          <w:sz w:val="20"/>
          <w:szCs w:val="20"/>
          <w:lang w:val="es-ES_tradnl" w:eastAsia="es-MX"/>
        </w:rPr>
        <w:t>vii</w:t>
      </w:r>
      <w:proofErr w:type="spellEnd"/>
      <w:r w:rsidRPr="008C5EF6">
        <w:rPr>
          <w:rFonts w:ascii="Verdana" w:eastAsia="Times New Roman" w:hAnsi="Verdana" w:cs="Arial"/>
          <w:sz w:val="20"/>
          <w:szCs w:val="20"/>
          <w:lang w:val="es-ES_tradnl" w:eastAsia="es-MX"/>
        </w:rPr>
        <w:t xml:space="preserve">) los procedimientos, trámites y requisitos que deban satisfacerse, reunirse u obtenerse para llevar a cabo la selección del respectivo contratista y la celebración del contrato que se pretenda celebrar. La consideración de todos estos aspectos </w:t>
      </w:r>
      <w:r w:rsidRPr="008C5EF6">
        <w:rPr>
          <w:rFonts w:ascii="Verdana" w:eastAsia="Calibri" w:hAnsi="Verdana" w:cs="Arial"/>
          <w:bCs/>
          <w:sz w:val="20"/>
          <w:szCs w:val="20"/>
          <w:lang w:val="es-ES_tradnl" w:eastAsia="es-MX"/>
        </w:rPr>
        <w:t xml:space="preserve">permite que los contratos resultantes de la planeación cuenten con el sustento técnico, económico y jurídico que incidirá </w:t>
      </w:r>
      <w:r w:rsidRPr="008C5EF6">
        <w:rPr>
          <w:rFonts w:ascii="Verdana" w:eastAsia="Times New Roman" w:hAnsi="Verdana" w:cs="Arial"/>
          <w:sz w:val="20"/>
          <w:szCs w:val="20"/>
          <w:lang w:val="es-ES_tradnl" w:eastAsia="es-MX"/>
        </w:rPr>
        <w:t>en una adecuada ejecución.</w:t>
      </w:r>
    </w:p>
    <w:p w14:paraId="60405C55" w14:textId="77777777" w:rsidR="008C5EF6" w:rsidRPr="008C5EF6" w:rsidRDefault="008C5EF6" w:rsidP="008C5EF6">
      <w:pPr>
        <w:spacing w:after="0" w:line="240" w:lineRule="auto"/>
        <w:jc w:val="both"/>
        <w:rPr>
          <w:rFonts w:ascii="Verdana" w:hAnsi="Verdana" w:cs="Arial"/>
          <w:sz w:val="20"/>
          <w:szCs w:val="20"/>
          <w:lang w:val="es-ES_tradnl" w:eastAsia="es-ES"/>
        </w:rPr>
      </w:pPr>
    </w:p>
    <w:p w14:paraId="20231EBE" w14:textId="77777777" w:rsidR="008C5EF6" w:rsidRPr="008C5EF6" w:rsidRDefault="008C5EF6" w:rsidP="008C5EF6">
      <w:pPr>
        <w:spacing w:after="0"/>
        <w:jc w:val="both"/>
        <w:rPr>
          <w:rFonts w:ascii="Verdana" w:hAnsi="Verdana" w:cs="Arial"/>
          <w:b/>
        </w:rPr>
      </w:pPr>
      <w:r w:rsidRPr="008C5EF6">
        <w:rPr>
          <w:rFonts w:ascii="Verdana" w:hAnsi="Verdana" w:cs="Arial"/>
          <w:b/>
        </w:rPr>
        <w:t>EXPERIENCIA – Noción – Concepto</w:t>
      </w:r>
    </w:p>
    <w:p w14:paraId="7E5F2E25" w14:textId="77777777" w:rsidR="008C5EF6" w:rsidRPr="008C5EF6" w:rsidRDefault="008C5EF6" w:rsidP="008C5EF6">
      <w:pPr>
        <w:spacing w:after="0"/>
        <w:jc w:val="both"/>
        <w:rPr>
          <w:rFonts w:ascii="Verdana" w:hAnsi="Verdana" w:cs="Arial"/>
          <w:sz w:val="20"/>
          <w:szCs w:val="20"/>
        </w:rPr>
      </w:pPr>
    </w:p>
    <w:p w14:paraId="247A3A74" w14:textId="77777777" w:rsidR="008C5EF6" w:rsidRPr="008C5EF6" w:rsidRDefault="008C5EF6" w:rsidP="008C5EF6">
      <w:pPr>
        <w:spacing w:after="0" w:line="240" w:lineRule="auto"/>
        <w:jc w:val="both"/>
        <w:rPr>
          <w:rFonts w:ascii="Verdana" w:hAnsi="Verdana" w:cs="Arial"/>
          <w:sz w:val="20"/>
          <w:szCs w:val="20"/>
        </w:rPr>
      </w:pPr>
      <w:r w:rsidRPr="008C5EF6">
        <w:rPr>
          <w:rFonts w:ascii="Verdana" w:hAnsi="Verdana" w:cs="Arial"/>
          <w:sz w:val="20"/>
          <w:szCs w:val="20"/>
        </w:rPr>
        <w:t xml:space="preserve">La Ley 1150 de 2007, en el artículo 5, dispone que la capacidad jurídica y las condiciones de experiencia, así como la capacidad financiera y de organización de los proponentes, serán objeto de verificación por parte de las entidades como requisitos habilitantes para participar en los procesos de selección y no otorgarán puntaje. </w:t>
      </w:r>
    </w:p>
    <w:p w14:paraId="0021351C" w14:textId="77777777" w:rsidR="008C5EF6" w:rsidRPr="008C5EF6" w:rsidRDefault="008C5EF6" w:rsidP="008C5EF6">
      <w:pPr>
        <w:spacing w:after="0" w:line="240" w:lineRule="auto"/>
        <w:jc w:val="both"/>
        <w:rPr>
          <w:rFonts w:ascii="Verdana" w:hAnsi="Verdana" w:cs="Arial"/>
          <w:sz w:val="20"/>
          <w:szCs w:val="20"/>
        </w:rPr>
      </w:pPr>
    </w:p>
    <w:p w14:paraId="14FF12CB" w14:textId="77777777" w:rsidR="008C5EF6" w:rsidRPr="008C5EF6" w:rsidRDefault="008C5EF6" w:rsidP="008C5EF6">
      <w:pPr>
        <w:spacing w:after="0" w:line="240" w:lineRule="auto"/>
        <w:jc w:val="both"/>
        <w:rPr>
          <w:rFonts w:ascii="Verdana" w:hAnsi="Verdana" w:cs="Arial"/>
          <w:sz w:val="20"/>
          <w:szCs w:val="20"/>
        </w:rPr>
      </w:pPr>
      <w:r w:rsidRPr="008C5EF6">
        <w:rPr>
          <w:rFonts w:ascii="Verdana" w:hAnsi="Verdana" w:cs="Arial"/>
          <w:sz w:val="20"/>
          <w:szCs w:val="20"/>
        </w:rPr>
        <w:t xml:space="preserve">Para ello, el artículo 6 de la Ley 1150 de 2007 señala que todas las personas naturales o jurídicas, nacionales o extranjeras, domiciliadas o con sucursal en Colombia, que </w:t>
      </w:r>
      <w:r w:rsidRPr="008C5EF6">
        <w:rPr>
          <w:rFonts w:ascii="Verdana" w:hAnsi="Verdana" w:cs="Arial"/>
          <w:sz w:val="20"/>
          <w:szCs w:val="20"/>
        </w:rPr>
        <w:lastRenderedPageBreak/>
        <w:t>aspiren celebrar contratos con las entidades estatales deberán estar inscritas en el Registro Único de Proponentes. En dicho registro constará la información relacionada con la experiencia, la capacidad jurídica, financiera y de organización del proponente y su clasificación. En este registro constan los requisitos habilitantes que se evalúan exclusivamente con este documento, que es plena prueba, sin que la entidad o el proponente puedan, en principio, solicitar o aportar otra documentación.</w:t>
      </w:r>
    </w:p>
    <w:p w14:paraId="1880C241" w14:textId="77777777" w:rsidR="008C5EF6" w:rsidRPr="008C5EF6" w:rsidRDefault="008C5EF6" w:rsidP="008C5EF6">
      <w:pPr>
        <w:spacing w:after="0" w:line="240" w:lineRule="auto"/>
        <w:jc w:val="both"/>
        <w:rPr>
          <w:rFonts w:ascii="Verdana" w:hAnsi="Verdana" w:cs="Arial"/>
          <w:sz w:val="20"/>
          <w:szCs w:val="20"/>
        </w:rPr>
      </w:pPr>
    </w:p>
    <w:p w14:paraId="1EA8E48E" w14:textId="77777777" w:rsidR="008C5EF6" w:rsidRPr="008C5EF6" w:rsidRDefault="008C5EF6" w:rsidP="008C5EF6">
      <w:pPr>
        <w:spacing w:after="0" w:line="240" w:lineRule="auto"/>
        <w:jc w:val="both"/>
        <w:rPr>
          <w:rFonts w:ascii="Verdana" w:hAnsi="Verdana" w:cs="Arial"/>
          <w:sz w:val="20"/>
          <w:szCs w:val="20"/>
        </w:rPr>
      </w:pPr>
      <w:r w:rsidRPr="008C5EF6">
        <w:rPr>
          <w:rFonts w:ascii="Verdana" w:hAnsi="Verdana" w:cs="Arial"/>
          <w:sz w:val="20"/>
          <w:szCs w:val="20"/>
        </w:rPr>
        <w:t>En relación con el requisito habilitante de experiencia, la Agencia Nacional de Contratación Pública – Colombia Compra Eficiente puso a disposición de los interesados del Sistema de Compra Pública el “Manual para determinar y verificar requisitos habilitantes en los Procesos de Contratación”. Allí se indica que la experiencia tiene un carácter personal, lo cual significa que esta se obtiene por la participación, con anterioridad, en actividades que le permitieron a alguien conocer cómo ejecutar determinado objeto contractual que la entidad ahora pretende desarrollar.</w:t>
      </w:r>
    </w:p>
    <w:p w14:paraId="5054D64F" w14:textId="77777777" w:rsidR="008C5EF6" w:rsidRPr="008C5EF6" w:rsidRDefault="008C5EF6" w:rsidP="008C5EF6">
      <w:pPr>
        <w:spacing w:after="0" w:line="240" w:lineRule="auto"/>
        <w:jc w:val="both"/>
        <w:rPr>
          <w:rFonts w:ascii="Verdana" w:hAnsi="Verdana" w:cs="Arial"/>
          <w:sz w:val="20"/>
          <w:szCs w:val="20"/>
        </w:rPr>
      </w:pPr>
    </w:p>
    <w:p w14:paraId="61AE85FD" w14:textId="77777777" w:rsidR="008C5EF6" w:rsidRPr="008C5EF6" w:rsidRDefault="008C5EF6" w:rsidP="008C5EF6">
      <w:pPr>
        <w:spacing w:after="0" w:line="240" w:lineRule="auto"/>
        <w:jc w:val="both"/>
        <w:rPr>
          <w:rFonts w:ascii="Verdana" w:hAnsi="Verdana" w:cs="Arial"/>
          <w:sz w:val="20"/>
          <w:szCs w:val="20"/>
        </w:rPr>
      </w:pPr>
      <w:r w:rsidRPr="008C5EF6">
        <w:rPr>
          <w:rFonts w:ascii="Verdana" w:hAnsi="Verdana" w:cs="Arial"/>
          <w:sz w:val="20"/>
          <w:szCs w:val="20"/>
        </w:rPr>
        <w:t>[…] no es posible adquirir la experiencia si en la práctica no se han ejecutado actividades previas. Precisamente, de la experiencia se deriva el conocimiento del proponente, lo cual es importante para la contratación pública, pues ello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Por otra parte, la Agencia recomienda que la experiencia que se solicite sea proporcional y no igual al objeto que se va a contratar, ya que esto puede limitar la participación de los proveedores por no haber ejecutado un objeto igual pero sí similar, de manera que se ayude a que exista pluralidad de oferentes.</w:t>
      </w:r>
    </w:p>
    <w:p w14:paraId="7F572D52" w14:textId="77777777" w:rsidR="008C5EF6" w:rsidRPr="008C5EF6" w:rsidRDefault="008C5EF6" w:rsidP="008C5EF6">
      <w:pPr>
        <w:spacing w:after="0" w:line="240" w:lineRule="auto"/>
        <w:jc w:val="both"/>
        <w:rPr>
          <w:rFonts w:ascii="Verdana" w:hAnsi="Verdana" w:cs="Arial"/>
          <w:sz w:val="20"/>
          <w:szCs w:val="20"/>
          <w:lang w:eastAsia="es-ES"/>
        </w:rPr>
      </w:pPr>
    </w:p>
    <w:p w14:paraId="4E72B101" w14:textId="77777777" w:rsidR="008C5EF6" w:rsidRPr="008C5EF6" w:rsidRDefault="008C5EF6" w:rsidP="008C5EF6">
      <w:pPr>
        <w:spacing w:after="0" w:line="240" w:lineRule="auto"/>
        <w:jc w:val="both"/>
        <w:rPr>
          <w:rFonts w:ascii="Verdana" w:hAnsi="Verdana" w:cs="Arial"/>
          <w:sz w:val="20"/>
          <w:szCs w:val="20"/>
          <w:lang w:val="es-ES_tradnl" w:eastAsia="es-ES"/>
        </w:rPr>
      </w:pPr>
    </w:p>
    <w:p w14:paraId="20FD43EA" w14:textId="77777777" w:rsidR="008C5EF6" w:rsidRPr="008C5EF6" w:rsidRDefault="008C5EF6" w:rsidP="008C5EF6">
      <w:pPr>
        <w:spacing w:after="0" w:line="240" w:lineRule="auto"/>
        <w:jc w:val="both"/>
        <w:rPr>
          <w:rFonts w:ascii="Verdana" w:hAnsi="Verdana" w:cs="Arial"/>
          <w:sz w:val="20"/>
          <w:szCs w:val="20"/>
          <w:lang w:val="es-ES_tradnl" w:eastAsia="es-ES"/>
        </w:rPr>
      </w:pPr>
    </w:p>
    <w:p w14:paraId="2F23259A" w14:textId="77777777" w:rsidR="008C5EF6" w:rsidRPr="008C5EF6" w:rsidRDefault="008C5EF6" w:rsidP="008C5EF6">
      <w:pPr>
        <w:spacing w:after="0" w:line="240" w:lineRule="auto"/>
        <w:jc w:val="both"/>
        <w:rPr>
          <w:rFonts w:ascii="Verdana" w:hAnsi="Verdana" w:cs="Arial"/>
          <w:sz w:val="20"/>
          <w:szCs w:val="20"/>
          <w:lang w:val="es-ES_tradnl" w:eastAsia="es-ES"/>
        </w:rPr>
      </w:pPr>
    </w:p>
    <w:p w14:paraId="72664442" w14:textId="77777777" w:rsidR="008C5EF6" w:rsidRPr="008C5EF6" w:rsidRDefault="008C5EF6" w:rsidP="008C5EF6">
      <w:pPr>
        <w:spacing w:after="0" w:line="240" w:lineRule="auto"/>
        <w:jc w:val="both"/>
        <w:rPr>
          <w:rFonts w:ascii="Verdana" w:hAnsi="Verdana" w:cs="Arial"/>
          <w:sz w:val="20"/>
          <w:szCs w:val="20"/>
          <w:lang w:val="es-ES_tradnl" w:eastAsia="es-ES"/>
        </w:rPr>
      </w:pPr>
    </w:p>
    <w:p w14:paraId="58558479" w14:textId="77777777" w:rsidR="008C5EF6" w:rsidRPr="008C5EF6" w:rsidRDefault="008C5EF6" w:rsidP="008C5EF6">
      <w:pPr>
        <w:spacing w:after="0" w:line="240" w:lineRule="auto"/>
        <w:jc w:val="both"/>
        <w:rPr>
          <w:rFonts w:ascii="Verdana" w:hAnsi="Verdana" w:cs="Arial"/>
          <w:sz w:val="20"/>
          <w:szCs w:val="20"/>
          <w:lang w:val="es-ES_tradnl" w:eastAsia="es-ES"/>
        </w:rPr>
      </w:pPr>
    </w:p>
    <w:p w14:paraId="63C7F065" w14:textId="77777777" w:rsidR="008C5EF6" w:rsidRPr="008C5EF6" w:rsidRDefault="008C5EF6" w:rsidP="008C5EF6">
      <w:pPr>
        <w:spacing w:after="0" w:line="240" w:lineRule="auto"/>
        <w:jc w:val="both"/>
        <w:rPr>
          <w:rFonts w:ascii="Verdana" w:hAnsi="Verdana" w:cs="Arial"/>
          <w:sz w:val="20"/>
          <w:szCs w:val="20"/>
          <w:lang w:val="es-ES_tradnl" w:eastAsia="es-ES"/>
        </w:rPr>
      </w:pPr>
    </w:p>
    <w:p w14:paraId="085E35C0" w14:textId="77777777" w:rsidR="008C5EF6" w:rsidRPr="008C5EF6" w:rsidRDefault="008C5EF6" w:rsidP="008C5EF6">
      <w:pPr>
        <w:spacing w:after="0" w:line="240" w:lineRule="auto"/>
        <w:jc w:val="both"/>
        <w:rPr>
          <w:rFonts w:ascii="Verdana" w:hAnsi="Verdana" w:cs="Arial"/>
          <w:sz w:val="20"/>
          <w:szCs w:val="20"/>
          <w:lang w:val="es-ES_tradnl" w:eastAsia="es-ES"/>
        </w:rPr>
      </w:pPr>
    </w:p>
    <w:p w14:paraId="2140BF2C" w14:textId="77777777" w:rsidR="008C5EF6" w:rsidRPr="008C5EF6" w:rsidRDefault="008C5EF6" w:rsidP="008C5EF6">
      <w:pPr>
        <w:spacing w:after="0" w:line="240" w:lineRule="auto"/>
        <w:jc w:val="both"/>
        <w:rPr>
          <w:rFonts w:ascii="Verdana" w:hAnsi="Verdana" w:cs="Arial"/>
          <w:sz w:val="20"/>
          <w:szCs w:val="20"/>
          <w:lang w:val="es-ES_tradnl" w:eastAsia="es-ES"/>
        </w:rPr>
      </w:pPr>
    </w:p>
    <w:p w14:paraId="4BF2CC35" w14:textId="77777777" w:rsidR="008C5EF6" w:rsidRPr="008C5EF6" w:rsidRDefault="008C5EF6" w:rsidP="008C5EF6">
      <w:pPr>
        <w:spacing w:after="0" w:line="240" w:lineRule="auto"/>
        <w:jc w:val="both"/>
        <w:rPr>
          <w:rFonts w:ascii="Verdana" w:hAnsi="Verdana" w:cs="Arial"/>
          <w:sz w:val="20"/>
          <w:szCs w:val="20"/>
          <w:lang w:val="es-ES_tradnl" w:eastAsia="es-ES"/>
        </w:rPr>
      </w:pPr>
    </w:p>
    <w:p w14:paraId="3C90E332" w14:textId="77777777" w:rsidR="008C5EF6" w:rsidRPr="008C5EF6" w:rsidRDefault="008C5EF6" w:rsidP="008C5EF6">
      <w:pPr>
        <w:spacing w:after="0" w:line="240" w:lineRule="auto"/>
        <w:jc w:val="both"/>
        <w:rPr>
          <w:rFonts w:ascii="Verdana" w:hAnsi="Verdana" w:cs="Arial"/>
          <w:sz w:val="20"/>
          <w:szCs w:val="20"/>
          <w:lang w:val="es-ES_tradnl" w:eastAsia="es-ES"/>
        </w:rPr>
      </w:pPr>
    </w:p>
    <w:p w14:paraId="1D68DC1E" w14:textId="77777777" w:rsidR="008C5EF6" w:rsidRPr="008C5EF6" w:rsidRDefault="008C5EF6" w:rsidP="008C5EF6">
      <w:pPr>
        <w:spacing w:after="0" w:line="240" w:lineRule="auto"/>
        <w:jc w:val="both"/>
        <w:rPr>
          <w:rFonts w:ascii="Verdana" w:hAnsi="Verdana" w:cs="Arial"/>
          <w:sz w:val="20"/>
          <w:szCs w:val="20"/>
          <w:lang w:val="es-ES_tradnl" w:eastAsia="es-ES"/>
        </w:rPr>
      </w:pPr>
    </w:p>
    <w:p w14:paraId="5AD13467" w14:textId="77777777" w:rsidR="008C5EF6" w:rsidRPr="008C5EF6" w:rsidRDefault="008C5EF6" w:rsidP="008C5EF6">
      <w:pPr>
        <w:spacing w:after="0" w:line="240" w:lineRule="auto"/>
        <w:jc w:val="both"/>
        <w:rPr>
          <w:rFonts w:ascii="Verdana" w:hAnsi="Verdana" w:cs="Arial"/>
          <w:sz w:val="20"/>
          <w:szCs w:val="20"/>
          <w:lang w:val="es-ES_tradnl" w:eastAsia="es-ES"/>
        </w:rPr>
      </w:pPr>
    </w:p>
    <w:p w14:paraId="26D43487" w14:textId="77777777" w:rsidR="008C5EF6" w:rsidRPr="008C5EF6" w:rsidRDefault="008C5EF6" w:rsidP="008C5EF6">
      <w:pPr>
        <w:spacing w:after="0" w:line="240" w:lineRule="auto"/>
        <w:jc w:val="both"/>
        <w:rPr>
          <w:rFonts w:ascii="Verdana" w:hAnsi="Verdana" w:cs="Arial"/>
          <w:sz w:val="20"/>
          <w:szCs w:val="20"/>
          <w:lang w:val="es-ES_tradnl" w:eastAsia="es-ES"/>
        </w:rPr>
      </w:pPr>
    </w:p>
    <w:p w14:paraId="35EFE21B" w14:textId="77777777" w:rsidR="008C5EF6" w:rsidRPr="008C5EF6" w:rsidRDefault="008C5EF6" w:rsidP="008C5EF6">
      <w:pPr>
        <w:spacing w:after="0" w:line="240" w:lineRule="auto"/>
        <w:jc w:val="both"/>
        <w:rPr>
          <w:rFonts w:ascii="Verdana" w:hAnsi="Verdana" w:cs="Arial"/>
          <w:sz w:val="20"/>
          <w:szCs w:val="20"/>
          <w:lang w:val="es-ES_tradnl" w:eastAsia="es-ES"/>
        </w:rPr>
      </w:pPr>
    </w:p>
    <w:p w14:paraId="4EC1EF16" w14:textId="77777777" w:rsidR="008C5EF6" w:rsidRPr="008C5EF6" w:rsidRDefault="008C5EF6" w:rsidP="008C5EF6">
      <w:pPr>
        <w:spacing w:after="0" w:line="240" w:lineRule="auto"/>
        <w:jc w:val="both"/>
        <w:rPr>
          <w:rFonts w:ascii="Verdana" w:hAnsi="Verdana" w:cs="Arial"/>
          <w:sz w:val="20"/>
          <w:szCs w:val="20"/>
          <w:lang w:val="es-ES_tradnl" w:eastAsia="es-ES"/>
        </w:rPr>
      </w:pPr>
    </w:p>
    <w:p w14:paraId="00FE1190" w14:textId="77777777" w:rsidR="008C5EF6" w:rsidRPr="008C5EF6" w:rsidRDefault="008C5EF6" w:rsidP="008C5EF6">
      <w:pPr>
        <w:spacing w:after="0" w:line="240" w:lineRule="auto"/>
        <w:jc w:val="both"/>
        <w:rPr>
          <w:rFonts w:ascii="Verdana" w:hAnsi="Verdana" w:cs="Arial"/>
          <w:sz w:val="20"/>
          <w:szCs w:val="20"/>
          <w:lang w:val="es-ES_tradnl" w:eastAsia="es-ES"/>
        </w:rPr>
      </w:pPr>
    </w:p>
    <w:p w14:paraId="2DF46A60" w14:textId="77777777" w:rsidR="008C5EF6" w:rsidRPr="008C5EF6" w:rsidRDefault="008C5EF6" w:rsidP="008C5EF6">
      <w:pPr>
        <w:spacing w:after="0" w:line="240" w:lineRule="auto"/>
        <w:jc w:val="both"/>
        <w:rPr>
          <w:rFonts w:ascii="Verdana" w:hAnsi="Verdana" w:cs="Arial"/>
          <w:sz w:val="20"/>
          <w:szCs w:val="20"/>
          <w:lang w:val="es-ES_tradnl" w:eastAsia="es-ES"/>
        </w:rPr>
      </w:pPr>
    </w:p>
    <w:p w14:paraId="14A1AD09" w14:textId="77777777" w:rsidR="008C5EF6" w:rsidRPr="008C5EF6" w:rsidRDefault="008C5EF6" w:rsidP="008C5EF6">
      <w:pPr>
        <w:spacing w:after="0" w:line="240" w:lineRule="auto"/>
        <w:jc w:val="both"/>
        <w:rPr>
          <w:rFonts w:ascii="Verdana" w:hAnsi="Verdana" w:cs="Arial"/>
          <w:sz w:val="20"/>
          <w:szCs w:val="20"/>
          <w:lang w:val="es-ES_tradnl" w:eastAsia="es-ES"/>
        </w:rPr>
      </w:pPr>
    </w:p>
    <w:p w14:paraId="1977EE2D" w14:textId="77777777" w:rsidR="008C5EF6" w:rsidRPr="008C5EF6" w:rsidRDefault="008C5EF6" w:rsidP="008C5EF6">
      <w:pPr>
        <w:spacing w:after="0" w:line="240" w:lineRule="auto"/>
        <w:jc w:val="both"/>
        <w:rPr>
          <w:rFonts w:ascii="Verdana" w:hAnsi="Verdana" w:cs="Arial"/>
          <w:sz w:val="20"/>
          <w:szCs w:val="20"/>
          <w:lang w:val="es-ES_tradnl" w:eastAsia="es-ES"/>
        </w:rPr>
      </w:pPr>
    </w:p>
    <w:p w14:paraId="559B38F0" w14:textId="77777777" w:rsidR="005B7E3A" w:rsidRDefault="005B7E3A" w:rsidP="008C5EF6">
      <w:pPr>
        <w:spacing w:after="0" w:line="240" w:lineRule="auto"/>
        <w:jc w:val="both"/>
        <w:rPr>
          <w:rFonts w:ascii="Verdana" w:eastAsia="Times New Roman" w:hAnsi="Verdana" w:cs="Arial"/>
          <w:noProof/>
          <w:lang w:val="es-ES_tradnl" w:eastAsia="es-ES_tradnl"/>
        </w:rPr>
      </w:pPr>
    </w:p>
    <w:p w14:paraId="50ADD2BC" w14:textId="77777777" w:rsidR="005B7E3A" w:rsidRDefault="005B7E3A" w:rsidP="008C5EF6">
      <w:pPr>
        <w:spacing w:after="0" w:line="240" w:lineRule="auto"/>
        <w:jc w:val="both"/>
        <w:rPr>
          <w:rFonts w:ascii="Verdana" w:eastAsia="Times New Roman" w:hAnsi="Verdana" w:cs="Arial"/>
          <w:noProof/>
          <w:lang w:val="es-ES_tradnl" w:eastAsia="es-ES_tradnl"/>
        </w:rPr>
      </w:pPr>
    </w:p>
    <w:p w14:paraId="69AEE867" w14:textId="77777777" w:rsidR="005B7E3A" w:rsidRDefault="005B7E3A" w:rsidP="008C5EF6">
      <w:pPr>
        <w:spacing w:after="0" w:line="240" w:lineRule="auto"/>
        <w:jc w:val="both"/>
        <w:rPr>
          <w:rFonts w:ascii="Verdana" w:eastAsia="Times New Roman" w:hAnsi="Verdana" w:cs="Arial"/>
          <w:noProof/>
          <w:lang w:val="es-ES_tradnl" w:eastAsia="es-ES_tradnl"/>
        </w:rPr>
      </w:pPr>
    </w:p>
    <w:p w14:paraId="28F90383" w14:textId="31A3A774" w:rsidR="008C5EF6" w:rsidRDefault="008C5EF6" w:rsidP="008C5EF6">
      <w:pPr>
        <w:spacing w:after="0" w:line="240" w:lineRule="auto"/>
        <w:jc w:val="both"/>
        <w:rPr>
          <w:rFonts w:ascii="Verdana" w:eastAsia="Times New Roman" w:hAnsi="Verdana" w:cs="Arial"/>
          <w:noProof/>
          <w:lang w:val="es-ES_tradnl" w:eastAsia="es-ES_tradnl"/>
        </w:rPr>
      </w:pPr>
      <w:r w:rsidRPr="008C5EF6">
        <w:rPr>
          <w:rFonts w:ascii="Verdana" w:eastAsia="Times New Roman" w:hAnsi="Verdana" w:cs="Arial"/>
          <w:noProof/>
          <w:lang w:val="es-ES_tradnl" w:eastAsia="es-ES_tradnl"/>
        </w:rPr>
        <w:lastRenderedPageBreak/>
        <w:t xml:space="preserve">Bogotá D.C., </w:t>
      </w:r>
      <w:r w:rsidR="005B7E3A">
        <w:rPr>
          <w:rFonts w:ascii="Verdana" w:eastAsia="Times New Roman" w:hAnsi="Verdana" w:cs="Arial"/>
          <w:noProof/>
          <w:lang w:val="es-ES_tradnl" w:eastAsia="es-ES_tradnl"/>
        </w:rPr>
        <w:t>4 de septiembre de 2024</w:t>
      </w:r>
    </w:p>
    <w:p w14:paraId="74087B89" w14:textId="5F3A87A0" w:rsidR="008C5EF6" w:rsidRPr="008C5EF6" w:rsidRDefault="00192217" w:rsidP="008C5EF6">
      <w:pPr>
        <w:spacing w:after="0" w:line="240" w:lineRule="auto"/>
        <w:jc w:val="both"/>
        <w:rPr>
          <w:rFonts w:ascii="Verdana" w:eastAsia="Times New Roman" w:hAnsi="Verdana" w:cs="Arial"/>
          <w:noProof/>
          <w:lang w:val="es-ES_tradnl" w:eastAsia="es-ES_tradnl"/>
        </w:rPr>
      </w:pPr>
      <w:r w:rsidRPr="005B7E3A">
        <w:rPr>
          <w:rFonts w:ascii="Verdana" w:eastAsia="Times New Roman" w:hAnsi="Verdana" w:cs="Arial"/>
          <w:noProof/>
          <w:lang w:val="es-ES_tradnl" w:eastAsia="es-ES_tradnl"/>
        </w:rPr>
        <w:drawing>
          <wp:anchor distT="0" distB="0" distL="114300" distR="114300" simplePos="0" relativeHeight="251658240" behindDoc="0" locked="0" layoutInCell="1" allowOverlap="1" wp14:anchorId="7DDBCAB4" wp14:editId="70979D65">
            <wp:simplePos x="0" y="0"/>
            <wp:positionH relativeFrom="margin">
              <wp:align>right</wp:align>
            </wp:positionH>
            <wp:positionV relativeFrom="paragraph">
              <wp:posOffset>165735</wp:posOffset>
            </wp:positionV>
            <wp:extent cx="3248026" cy="890995"/>
            <wp:effectExtent l="0" t="0" r="0" b="4445"/>
            <wp:wrapNone/>
            <wp:docPr id="58367411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674112"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248026" cy="890995"/>
                    </a:xfrm>
                    <a:prstGeom prst="rect">
                      <a:avLst/>
                    </a:prstGeom>
                  </pic:spPr>
                </pic:pic>
              </a:graphicData>
            </a:graphic>
            <wp14:sizeRelH relativeFrom="margin">
              <wp14:pctWidth>0</wp14:pctWidth>
            </wp14:sizeRelH>
            <wp14:sizeRelV relativeFrom="margin">
              <wp14:pctHeight>0</wp14:pctHeight>
            </wp14:sizeRelV>
          </wp:anchor>
        </w:drawing>
      </w:r>
    </w:p>
    <w:p w14:paraId="04782F25" w14:textId="77777777" w:rsidR="008C5EF6" w:rsidRPr="008C5EF6" w:rsidRDefault="008C5EF6" w:rsidP="008C5EF6">
      <w:pPr>
        <w:spacing w:after="0" w:line="240" w:lineRule="auto"/>
        <w:jc w:val="right"/>
        <w:rPr>
          <w:rFonts w:ascii="Verdana" w:eastAsia="Times New Roman" w:hAnsi="Verdana" w:cs="Arial"/>
          <w:noProof/>
          <w:lang w:val="es-ES_tradnl" w:eastAsia="es-ES_tradnl"/>
        </w:rPr>
      </w:pPr>
    </w:p>
    <w:p w14:paraId="11B55DC2" w14:textId="77777777" w:rsidR="008C5EF6" w:rsidRPr="008C5EF6" w:rsidRDefault="008C5EF6" w:rsidP="008C5EF6">
      <w:pPr>
        <w:spacing w:after="0" w:line="240" w:lineRule="auto"/>
        <w:jc w:val="both"/>
        <w:rPr>
          <w:rFonts w:ascii="Verdana" w:eastAsia="Calibri" w:hAnsi="Verdana" w:cs="Arial"/>
          <w:lang w:val="es-ES" w:eastAsia="es-ES_tradnl"/>
        </w:rPr>
      </w:pPr>
      <w:r w:rsidRPr="008C5EF6">
        <w:rPr>
          <w:rFonts w:ascii="Verdana" w:eastAsia="Calibri" w:hAnsi="Verdana" w:cs="Arial"/>
          <w:lang w:val="es-ES" w:eastAsia="es-ES_tradnl"/>
        </w:rPr>
        <w:t>Señor</w:t>
      </w:r>
    </w:p>
    <w:p w14:paraId="75DAA19B" w14:textId="77777777" w:rsidR="008C5EF6" w:rsidRPr="008C5EF6" w:rsidRDefault="008C5EF6" w:rsidP="008C5EF6">
      <w:pPr>
        <w:spacing w:after="0" w:line="240" w:lineRule="auto"/>
        <w:rPr>
          <w:rFonts w:ascii="Verdana" w:eastAsia="Calibri" w:hAnsi="Verdana" w:cs="Arial"/>
          <w:b/>
          <w:bCs/>
          <w:lang w:val="es-ES" w:eastAsia="es-ES_tradnl"/>
        </w:rPr>
      </w:pPr>
      <w:r w:rsidRPr="008C5EF6">
        <w:rPr>
          <w:rFonts w:ascii="Verdana" w:eastAsia="Calibri" w:hAnsi="Verdana" w:cs="Arial"/>
          <w:b/>
          <w:bCs/>
          <w:lang w:val="es-ES" w:eastAsia="es-ES_tradnl"/>
        </w:rPr>
        <w:t>Gildardo Arias Vidales</w:t>
      </w:r>
    </w:p>
    <w:p w14:paraId="5F76B81C" w14:textId="77777777" w:rsidR="008C5EF6" w:rsidRPr="008C5EF6" w:rsidRDefault="008C5EF6" w:rsidP="008C5EF6">
      <w:pPr>
        <w:spacing w:after="0" w:line="240" w:lineRule="auto"/>
        <w:rPr>
          <w:rFonts w:ascii="Verdana" w:eastAsia="Calibri" w:hAnsi="Verdana" w:cs="Arial"/>
          <w:lang w:val="es-ES_tradnl" w:eastAsia="es-ES_tradnl"/>
        </w:rPr>
      </w:pPr>
      <w:r w:rsidRPr="008C5EF6">
        <w:rPr>
          <w:rFonts w:ascii="Verdana" w:eastAsia="Calibri" w:hAnsi="Verdana" w:cs="Arial"/>
          <w:bCs/>
          <w:lang w:val="es-ES_tradnl" w:eastAsia="es-ES_tradnl"/>
        </w:rPr>
        <w:t>Ciudad</w:t>
      </w:r>
    </w:p>
    <w:p w14:paraId="6881ED4D" w14:textId="77777777" w:rsidR="008C5EF6" w:rsidRPr="008C5EF6" w:rsidRDefault="008C5EF6" w:rsidP="008C5EF6">
      <w:pPr>
        <w:spacing w:after="0" w:line="240" w:lineRule="auto"/>
        <w:rPr>
          <w:rFonts w:ascii="Verdana" w:eastAsia="Calibri" w:hAnsi="Verdana" w:cs="Arial"/>
          <w:lang w:val="es-ES_tradnl" w:eastAsia="es-ES_tradnl"/>
        </w:rPr>
      </w:pPr>
    </w:p>
    <w:p w14:paraId="5B7988B9" w14:textId="77777777" w:rsidR="008C5EF6" w:rsidRPr="008C5EF6" w:rsidRDefault="008C5EF6" w:rsidP="008C5EF6">
      <w:pPr>
        <w:spacing w:after="0" w:line="240" w:lineRule="auto"/>
        <w:rPr>
          <w:rFonts w:ascii="Verdana" w:eastAsia="Calibri" w:hAnsi="Verdana" w:cs="Arial"/>
          <w:lang w:val="es-ES_tradnl" w:eastAsia="es-ES_tradnl"/>
        </w:rPr>
      </w:pPr>
    </w:p>
    <w:p w14:paraId="607F14AB" w14:textId="77777777" w:rsidR="008C5EF6" w:rsidRPr="008C5EF6" w:rsidRDefault="008C5EF6" w:rsidP="008C5EF6">
      <w:pPr>
        <w:spacing w:after="0" w:line="240" w:lineRule="auto"/>
        <w:ind w:left="2694"/>
        <w:rPr>
          <w:rFonts w:ascii="Verdana" w:eastAsia="Calibri" w:hAnsi="Verdana" w:cs="Arial"/>
          <w:b/>
          <w:bCs/>
          <w:lang w:val="es-ES" w:eastAsia="es-ES_tradnl"/>
        </w:rPr>
      </w:pPr>
      <w:r w:rsidRPr="008C5EF6">
        <w:rPr>
          <w:rFonts w:ascii="Verdana" w:eastAsia="Calibri" w:hAnsi="Verdana" w:cs="Arial"/>
          <w:b/>
          <w:bCs/>
          <w:lang w:val="es-ES" w:eastAsia="es-ES_tradnl"/>
        </w:rPr>
        <w:t>Concepto C-463 de 2024</w:t>
      </w:r>
    </w:p>
    <w:p w14:paraId="0648E0CE" w14:textId="77777777" w:rsidR="008C5EF6" w:rsidRPr="008C5EF6" w:rsidRDefault="008C5EF6" w:rsidP="008C5EF6">
      <w:pPr>
        <w:spacing w:after="0" w:line="240" w:lineRule="auto"/>
        <w:jc w:val="both"/>
        <w:rPr>
          <w:rFonts w:ascii="Verdana" w:eastAsia="Calibri" w:hAnsi="Verdana" w:cs="Arial"/>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8C5EF6" w:rsidRPr="008C5EF6" w14:paraId="6160CFB1" w14:textId="77777777" w:rsidTr="003521F9">
        <w:trPr>
          <w:jc w:val="right"/>
        </w:trPr>
        <w:tc>
          <w:tcPr>
            <w:tcW w:w="1838" w:type="dxa"/>
          </w:tcPr>
          <w:p w14:paraId="34E4FBE7" w14:textId="77777777" w:rsidR="008C5EF6" w:rsidRPr="008C5EF6" w:rsidRDefault="008C5EF6" w:rsidP="008C5EF6">
            <w:pPr>
              <w:jc w:val="center"/>
              <w:rPr>
                <w:rFonts w:ascii="Verdana" w:eastAsia="Calibri" w:hAnsi="Verdana" w:cs="Arial"/>
                <w:lang w:val="es-ES_tradnl" w:eastAsia="es-ES_tradnl"/>
              </w:rPr>
            </w:pPr>
            <w:r w:rsidRPr="008C5EF6">
              <w:rPr>
                <w:rFonts w:ascii="Verdana" w:eastAsia="Calibri" w:hAnsi="Verdana" w:cs="Arial"/>
                <w:b/>
                <w:lang w:val="es-ES_tradnl" w:eastAsia="es-ES_tradnl"/>
              </w:rPr>
              <w:t>Temas:</w:t>
            </w:r>
          </w:p>
        </w:tc>
        <w:tc>
          <w:tcPr>
            <w:tcW w:w="6237" w:type="dxa"/>
          </w:tcPr>
          <w:p w14:paraId="4FA0A82E" w14:textId="77777777" w:rsidR="008C5EF6" w:rsidRPr="008C5EF6" w:rsidRDefault="008C5EF6" w:rsidP="008C5EF6">
            <w:pPr>
              <w:jc w:val="both"/>
              <w:textAlignment w:val="baseline"/>
              <w:rPr>
                <w:rFonts w:ascii="Verdana" w:eastAsia="Times New Roman" w:hAnsi="Verdana" w:cs="Arial"/>
                <w:lang w:eastAsia="es-ES_tradnl"/>
              </w:rPr>
            </w:pPr>
            <w:r w:rsidRPr="008C5EF6">
              <w:rPr>
                <w:rFonts w:ascii="Verdana" w:eastAsia="Times New Roman" w:hAnsi="Verdana" w:cs="Arial"/>
                <w:lang w:eastAsia="es-ES_tradnl"/>
              </w:rPr>
              <w:t>PLANEACIÓN CONTRACTUAL – Noción / ESTUDIOS PREVIOS – Análisis del sector – Planeación en los procesos de contratación pública / EXPERIENCIA – Noción – Concepto</w:t>
            </w:r>
          </w:p>
        </w:tc>
      </w:tr>
      <w:tr w:rsidR="008C5EF6" w:rsidRPr="008C5EF6" w14:paraId="2CC47D18" w14:textId="77777777" w:rsidTr="003521F9">
        <w:trPr>
          <w:jc w:val="right"/>
        </w:trPr>
        <w:tc>
          <w:tcPr>
            <w:tcW w:w="1838" w:type="dxa"/>
          </w:tcPr>
          <w:p w14:paraId="5A0C911E" w14:textId="77777777" w:rsidR="008C5EF6" w:rsidRPr="008C5EF6" w:rsidRDefault="008C5EF6" w:rsidP="008C5EF6">
            <w:pPr>
              <w:jc w:val="center"/>
              <w:rPr>
                <w:rFonts w:ascii="Verdana" w:eastAsia="Calibri" w:hAnsi="Verdana" w:cs="Arial"/>
                <w:b/>
                <w:lang w:val="es-ES" w:eastAsia="es-ES_tradnl"/>
              </w:rPr>
            </w:pPr>
            <w:r w:rsidRPr="008C5EF6">
              <w:rPr>
                <w:rFonts w:ascii="Verdana" w:eastAsia="Calibri" w:hAnsi="Verdana" w:cs="Arial"/>
                <w:b/>
                <w:lang w:val="es-ES" w:eastAsia="es-ES_tradnl"/>
              </w:rPr>
              <w:t>Radicación:</w:t>
            </w:r>
          </w:p>
        </w:tc>
        <w:tc>
          <w:tcPr>
            <w:tcW w:w="6237" w:type="dxa"/>
          </w:tcPr>
          <w:p w14:paraId="2F28013E" w14:textId="77777777" w:rsidR="008C5EF6" w:rsidRPr="008C5EF6" w:rsidRDefault="008C5EF6" w:rsidP="008C5EF6">
            <w:pPr>
              <w:jc w:val="both"/>
              <w:rPr>
                <w:rFonts w:ascii="Verdana" w:eastAsia="Calibri" w:hAnsi="Verdana" w:cs="Arial"/>
                <w:lang w:val="es-ES" w:eastAsia="es-ES_tradnl"/>
              </w:rPr>
            </w:pPr>
            <w:r w:rsidRPr="008C5EF6">
              <w:rPr>
                <w:rFonts w:ascii="Verdana" w:eastAsia="Calibri" w:hAnsi="Verdana" w:cs="Arial"/>
                <w:lang w:val="es-ES" w:eastAsia="es-ES_tradnl"/>
              </w:rPr>
              <w:t xml:space="preserve">Respuesta a consulta radicado No. </w:t>
            </w:r>
            <w:r w:rsidRPr="008C5EF6">
              <w:rPr>
                <w:rFonts w:ascii="Verdana" w:eastAsia="Times New Roman" w:hAnsi="Verdana" w:cs="Arial"/>
                <w:lang w:eastAsia="es-ES_tradnl"/>
              </w:rPr>
              <w:t>P20240808008148</w:t>
            </w:r>
          </w:p>
        </w:tc>
      </w:tr>
    </w:tbl>
    <w:p w14:paraId="08FFC5D5" w14:textId="77777777" w:rsidR="008C5EF6" w:rsidRPr="008C5EF6" w:rsidRDefault="008C5EF6" w:rsidP="008C5EF6">
      <w:pPr>
        <w:spacing w:after="0" w:line="240" w:lineRule="auto"/>
        <w:jc w:val="both"/>
        <w:rPr>
          <w:rFonts w:ascii="Verdana" w:eastAsia="Calibri" w:hAnsi="Verdana" w:cs="Arial"/>
          <w:lang w:val="es-ES_tradnl" w:eastAsia="es-ES_tradnl"/>
        </w:rPr>
      </w:pPr>
    </w:p>
    <w:p w14:paraId="57553420" w14:textId="77777777" w:rsidR="008C5EF6" w:rsidRPr="008C5EF6" w:rsidRDefault="008C5EF6" w:rsidP="008C5EF6">
      <w:pPr>
        <w:spacing w:after="0" w:line="240" w:lineRule="auto"/>
        <w:jc w:val="both"/>
        <w:rPr>
          <w:rFonts w:ascii="Verdana" w:eastAsia="Calibri" w:hAnsi="Verdana" w:cs="Arial"/>
          <w:lang w:val="es-ES_tradnl" w:eastAsia="es-ES_tradnl"/>
        </w:rPr>
      </w:pPr>
    </w:p>
    <w:p w14:paraId="7ABD8EDB" w14:textId="77777777" w:rsidR="008C5EF6" w:rsidRPr="008C5EF6" w:rsidRDefault="008C5EF6" w:rsidP="008C5EF6">
      <w:pPr>
        <w:spacing w:after="0" w:line="276" w:lineRule="auto"/>
        <w:contextualSpacing/>
        <w:jc w:val="both"/>
        <w:rPr>
          <w:rFonts w:ascii="Verdana" w:eastAsia="Calibri" w:hAnsi="Verdana" w:cs="Arial"/>
          <w:bCs/>
          <w:lang w:val="es-ES_tradnl" w:eastAsia="es-ES_tradnl"/>
        </w:rPr>
      </w:pPr>
      <w:r w:rsidRPr="008C5EF6">
        <w:rPr>
          <w:rFonts w:ascii="Verdana" w:eastAsia="Calibri" w:hAnsi="Verdana" w:cs="Arial"/>
          <w:lang w:val="es-ES_tradnl" w:eastAsia="es-ES_tradnl"/>
        </w:rPr>
        <w:t>Estimado señor Arias</w:t>
      </w:r>
      <w:r w:rsidRPr="008C5EF6">
        <w:rPr>
          <w:rFonts w:ascii="Verdana" w:eastAsia="Calibri" w:hAnsi="Verdana" w:cs="Arial"/>
          <w:bCs/>
          <w:lang w:val="es-ES_tradnl" w:eastAsia="es-ES_tradnl"/>
        </w:rPr>
        <w:t>:</w:t>
      </w:r>
    </w:p>
    <w:p w14:paraId="551E6297" w14:textId="77777777" w:rsidR="008C5EF6" w:rsidRPr="008C5EF6" w:rsidRDefault="008C5EF6" w:rsidP="008C5EF6">
      <w:pPr>
        <w:spacing w:after="0" w:line="276" w:lineRule="auto"/>
        <w:contextualSpacing/>
        <w:jc w:val="both"/>
        <w:rPr>
          <w:rFonts w:ascii="Verdana" w:eastAsia="Calibri" w:hAnsi="Verdana" w:cs="Arial"/>
          <w:lang w:val="es-ES_tradnl" w:eastAsia="es-ES_tradnl"/>
        </w:rPr>
      </w:pPr>
    </w:p>
    <w:p w14:paraId="09B91E97" w14:textId="77777777" w:rsidR="008C5EF6" w:rsidRPr="008C5EF6" w:rsidRDefault="008C5EF6" w:rsidP="008C5EF6">
      <w:pPr>
        <w:spacing w:after="0" w:line="276" w:lineRule="auto"/>
        <w:contextualSpacing/>
        <w:jc w:val="both"/>
        <w:rPr>
          <w:rFonts w:ascii="Verdana" w:eastAsia="Calibri" w:hAnsi="Verdana" w:cs="Arial"/>
          <w:lang w:val="es-ES" w:eastAsia="es-ES_tradnl"/>
        </w:rPr>
      </w:pPr>
      <w:r w:rsidRPr="008C5EF6">
        <w:rPr>
          <w:rFonts w:ascii="Verdana" w:eastAsia="Calibri" w:hAnsi="Verdana" w:cs="Arial"/>
          <w:lang w:val="es-ES"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8 de agosto de 2024, en la cual manifiesta lo siguiente:</w:t>
      </w:r>
    </w:p>
    <w:p w14:paraId="1DD73144" w14:textId="77777777" w:rsidR="008C5EF6" w:rsidRPr="008C5EF6" w:rsidRDefault="008C5EF6" w:rsidP="008C5EF6">
      <w:pPr>
        <w:spacing w:after="0" w:line="276" w:lineRule="auto"/>
        <w:contextualSpacing/>
        <w:jc w:val="both"/>
        <w:rPr>
          <w:rFonts w:ascii="Verdana" w:eastAsia="Calibri" w:hAnsi="Verdana" w:cs="Arial"/>
          <w:b/>
          <w:szCs w:val="24"/>
          <w:lang w:val="es-ES_tradnl" w:eastAsia="es-ES_tradnl"/>
        </w:rPr>
      </w:pPr>
    </w:p>
    <w:p w14:paraId="6389D033"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eastAsia="es-ES_tradnl"/>
        </w:rPr>
      </w:pPr>
      <w:r w:rsidRPr="008C5EF6">
        <w:rPr>
          <w:rFonts w:ascii="Verdana" w:eastAsia="Times New Roman" w:hAnsi="Verdana" w:cs="Arial"/>
          <w:sz w:val="21"/>
          <w:szCs w:val="21"/>
          <w:lang w:eastAsia="es-ES_tradnl"/>
        </w:rPr>
        <w:t>“En cuanto a la experiencia especifica, es legal que las entidades limiten la participación a empresas que tengan por lo menos cinco años de constituida, igualmente que limiten las experiencias válidas a los tres últimos años y que su valor sea el 200% del presupuesto oficial”.</w:t>
      </w:r>
    </w:p>
    <w:p w14:paraId="39050DD8"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eastAsia="es-ES_tradnl"/>
        </w:rPr>
      </w:pPr>
    </w:p>
    <w:p w14:paraId="11F0DEBB" w14:textId="77777777" w:rsidR="008C5EF6" w:rsidRPr="008C5EF6" w:rsidRDefault="008C5EF6" w:rsidP="008C5EF6">
      <w:pPr>
        <w:spacing w:after="120" w:line="276" w:lineRule="auto"/>
        <w:ind w:firstLine="709"/>
        <w:jc w:val="both"/>
        <w:rPr>
          <w:rFonts w:ascii="Verdana" w:eastAsia="Calibri" w:hAnsi="Verdana" w:cs="Arial"/>
          <w:color w:val="000000"/>
          <w:szCs w:val="24"/>
          <w:lang w:val="es-ES_tradnl" w:eastAsia="es-ES_tradnl"/>
        </w:rPr>
      </w:pPr>
      <w:r w:rsidRPr="008C5EF6">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8C5EF6">
        <w:rPr>
          <w:rFonts w:ascii="Verdana" w:eastAsia="Calibri" w:hAnsi="Verdana" w:cs="Arial"/>
          <w:color w:val="000000"/>
          <w:lang w:val="es-ES" w:eastAsia="es-ES"/>
        </w:rPr>
        <w:lastRenderedPageBreak/>
        <w:t xml:space="preserve">interpretación de normas generales, por definición, no puede extenderse a la resolución de controversias, ni a brindar asesorías sobre casos puntuales. </w:t>
      </w:r>
      <w:r w:rsidRPr="008C5EF6">
        <w:rPr>
          <w:rFonts w:ascii="Verdana" w:eastAsia="Calibri" w:hAnsi="Verdana" w:cs="Arial"/>
          <w:color w:val="000000"/>
          <w:szCs w:val="24"/>
          <w:lang w:val="es-ES_tradnl" w:eastAsia="es-ES_tradnl"/>
        </w:rPr>
        <w:tab/>
      </w:r>
    </w:p>
    <w:p w14:paraId="609D5571" w14:textId="77777777" w:rsidR="008C5EF6" w:rsidRPr="008C5EF6" w:rsidRDefault="008C5EF6" w:rsidP="008C5EF6">
      <w:pPr>
        <w:spacing w:after="0" w:line="276" w:lineRule="auto"/>
        <w:ind w:firstLine="709"/>
        <w:jc w:val="both"/>
        <w:rPr>
          <w:rFonts w:ascii="Verdana" w:eastAsia="Calibri" w:hAnsi="Verdana" w:cs="Arial"/>
          <w:lang w:val="es-ES" w:eastAsia="es-ES"/>
        </w:rPr>
      </w:pPr>
      <w:r w:rsidRPr="008C5EF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EE3C205" w14:textId="77777777" w:rsidR="008C5EF6" w:rsidRPr="008C5EF6" w:rsidRDefault="008C5EF6" w:rsidP="008C5EF6">
      <w:pPr>
        <w:spacing w:after="0" w:line="276" w:lineRule="auto"/>
        <w:contextualSpacing/>
        <w:jc w:val="both"/>
        <w:rPr>
          <w:rFonts w:ascii="Verdana" w:eastAsia="Times New Roman" w:hAnsi="Verdana" w:cs="Arial"/>
          <w:szCs w:val="24"/>
          <w:lang w:val="es-ES_tradnl" w:eastAsia="es-ES_tradnl"/>
        </w:rPr>
      </w:pPr>
    </w:p>
    <w:p w14:paraId="5296F7DB" w14:textId="77777777" w:rsidR="008C5EF6" w:rsidRPr="008C5EF6" w:rsidRDefault="008C5EF6" w:rsidP="008C5EF6">
      <w:pPr>
        <w:tabs>
          <w:tab w:val="left" w:pos="0"/>
          <w:tab w:val="left" w:pos="284"/>
        </w:tabs>
        <w:spacing w:after="0" w:line="276" w:lineRule="auto"/>
        <w:contextualSpacing/>
        <w:jc w:val="both"/>
        <w:rPr>
          <w:rFonts w:ascii="Verdana" w:eastAsia="Calibri" w:hAnsi="Verdana" w:cs="Arial"/>
          <w:b/>
          <w:lang w:val="es-ES_tradnl"/>
        </w:rPr>
      </w:pPr>
      <w:r w:rsidRPr="008C5EF6">
        <w:rPr>
          <w:rFonts w:ascii="Verdana" w:eastAsia="Calibri" w:hAnsi="Verdana" w:cs="Arial"/>
          <w:b/>
          <w:lang w:val="es-ES_tradnl"/>
        </w:rPr>
        <w:t>1. Problema planteado:</w:t>
      </w:r>
    </w:p>
    <w:p w14:paraId="04AF75B0" w14:textId="77777777" w:rsidR="008C5EF6" w:rsidRPr="008C5EF6" w:rsidRDefault="008C5EF6" w:rsidP="008C5EF6">
      <w:pPr>
        <w:tabs>
          <w:tab w:val="left" w:pos="0"/>
          <w:tab w:val="left" w:pos="284"/>
        </w:tabs>
        <w:spacing w:after="0" w:line="276" w:lineRule="auto"/>
        <w:contextualSpacing/>
        <w:jc w:val="both"/>
        <w:rPr>
          <w:rFonts w:ascii="Verdana" w:eastAsia="Calibri" w:hAnsi="Verdana" w:cs="Arial"/>
          <w:b/>
          <w:lang w:val="es-ES_tradnl"/>
        </w:rPr>
      </w:pPr>
    </w:p>
    <w:p w14:paraId="5A428E58" w14:textId="77777777" w:rsidR="008C5EF6" w:rsidRPr="008C5EF6" w:rsidRDefault="008C5EF6" w:rsidP="008C5EF6">
      <w:pPr>
        <w:spacing w:after="0" w:line="276" w:lineRule="auto"/>
        <w:jc w:val="both"/>
        <w:rPr>
          <w:rFonts w:ascii="Verdana" w:eastAsia="Century Gothic" w:hAnsi="Verdana" w:cs="Century Gothic"/>
        </w:rPr>
      </w:pPr>
      <w:r w:rsidRPr="008C5EF6">
        <w:rPr>
          <w:rFonts w:ascii="Verdana" w:eastAsia="Century Gothic" w:hAnsi="Verdana" w:cs="Century Gothic"/>
        </w:rPr>
        <w:t xml:space="preserve">De acuerdo con el contenido de su solicitud, esta Agencia resolverá el siguiente problema jurídico: ¿Una entidad puede exigir más de 5 años de constitución de una persona jurídica, y que se acredite experiencia de los últimos 3 años y del 200% del presupuesto oficial para participar en un proceso de contratación? </w:t>
      </w:r>
    </w:p>
    <w:p w14:paraId="465BA2A8" w14:textId="77777777" w:rsidR="008C5EF6" w:rsidRPr="008C5EF6" w:rsidRDefault="008C5EF6" w:rsidP="008C5EF6">
      <w:pPr>
        <w:spacing w:after="0" w:line="276" w:lineRule="auto"/>
        <w:jc w:val="both"/>
        <w:rPr>
          <w:rFonts w:ascii="Verdana" w:eastAsia="Calibri" w:hAnsi="Verdana" w:cs="Arial"/>
          <w:lang w:val="es-ES" w:eastAsia="es-ES_tradnl"/>
        </w:rPr>
      </w:pPr>
    </w:p>
    <w:p w14:paraId="447BD4F5" w14:textId="77777777" w:rsidR="008C5EF6" w:rsidRPr="008C5EF6" w:rsidRDefault="008C5EF6" w:rsidP="008C5EF6">
      <w:pPr>
        <w:tabs>
          <w:tab w:val="left" w:pos="142"/>
          <w:tab w:val="left" w:pos="284"/>
        </w:tabs>
        <w:spacing w:after="0" w:line="276" w:lineRule="auto"/>
        <w:jc w:val="both"/>
        <w:rPr>
          <w:rFonts w:ascii="Verdana" w:eastAsia="Century Gothic" w:hAnsi="Verdana" w:cs="Century Gothic"/>
          <w:b/>
          <w:bCs/>
        </w:rPr>
      </w:pPr>
      <w:r w:rsidRPr="008C5EF6">
        <w:rPr>
          <w:rFonts w:ascii="Verdana" w:eastAsia="Century Gothic" w:hAnsi="Verdana" w:cs="Century Gothic"/>
          <w:b/>
          <w:bCs/>
        </w:rPr>
        <w:t>2. Respuesta:</w:t>
      </w:r>
    </w:p>
    <w:p w14:paraId="5DA5913F" w14:textId="77777777" w:rsidR="008C5EF6" w:rsidRPr="008C5EF6" w:rsidRDefault="008C5EF6" w:rsidP="008C5EF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C5EF6" w:rsidRPr="008C5EF6" w14:paraId="366ADA16" w14:textId="77777777" w:rsidTr="003521F9">
        <w:tc>
          <w:tcPr>
            <w:tcW w:w="8828" w:type="dxa"/>
            <w:shd w:val="clear" w:color="auto" w:fill="auto"/>
          </w:tcPr>
          <w:p w14:paraId="33C1FA59" w14:textId="77777777" w:rsidR="008C5EF6" w:rsidRPr="008C5EF6" w:rsidRDefault="008C5EF6" w:rsidP="008C5EF6">
            <w:pPr>
              <w:spacing w:after="120" w:line="276" w:lineRule="auto"/>
              <w:jc w:val="both"/>
              <w:rPr>
                <w:rFonts w:ascii="Verdana" w:hAnsi="Verdana" w:cs="Arial"/>
              </w:rPr>
            </w:pPr>
            <w:r w:rsidRPr="008C5EF6">
              <w:rPr>
                <w:rFonts w:ascii="Verdana" w:hAnsi="Verdana" w:cs="Arial"/>
              </w:rPr>
              <w:t>La experiencia que solicita la entidad estatal en un proceso de contratación debe corresponder a los estudios y documentos previos como resultado del estudio del sector, donde se analiza la necesidad, quién puede satisfacerla y las aptitudes que requiere el proponente para cumplir con el contrato. Por tanto, de acuerdo con la planeación que realice la entidad estatal de su proceso contractual, debe justificar la exigencia de determinados requisitos los cuales no deben ir en contravía de los principios de libre competencia, libre concurrencia y selección objetiva.</w:t>
            </w:r>
          </w:p>
          <w:p w14:paraId="33AE07B8" w14:textId="77777777" w:rsidR="008C5EF6" w:rsidRPr="008C5EF6" w:rsidRDefault="008C5EF6" w:rsidP="008C5EF6">
            <w:pPr>
              <w:spacing w:after="120" w:line="276" w:lineRule="auto"/>
              <w:ind w:firstLine="708"/>
              <w:jc w:val="both"/>
              <w:rPr>
                <w:rFonts w:ascii="Verdana" w:eastAsia="Calibri" w:hAnsi="Verdana" w:cs="Arial"/>
                <w:color w:val="7030A0"/>
              </w:rPr>
            </w:pPr>
            <w:r w:rsidRPr="008C5EF6">
              <w:rPr>
                <w:rFonts w:ascii="Verdana" w:eastAsia="Times New Roman" w:hAnsi="Verdana" w:cs="Arial"/>
                <w:color w:val="000000" w:themeColor="text1"/>
                <w:lang w:eastAsia="es-CO"/>
              </w:rPr>
              <w:t xml:space="preserve">No obstante, al tratarse de un análisis que debe realizarse en cada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uno de ellos definirá la forma de adelantar su gestión contractual, sin que sea atribución de Colombia Compra Eficiente validar sus actuaciones. </w:t>
            </w:r>
          </w:p>
        </w:tc>
      </w:tr>
    </w:tbl>
    <w:p w14:paraId="3C3D5955" w14:textId="77777777" w:rsidR="008C5EF6" w:rsidRPr="008C5EF6" w:rsidRDefault="008C5EF6" w:rsidP="008C5EF6">
      <w:pPr>
        <w:spacing w:after="0" w:line="276" w:lineRule="auto"/>
        <w:contextualSpacing/>
        <w:jc w:val="both"/>
        <w:rPr>
          <w:rFonts w:ascii="Verdana" w:eastAsia="Times New Roman" w:hAnsi="Verdana" w:cs="Arial"/>
          <w:lang w:eastAsia="es-ES_tradnl"/>
        </w:rPr>
      </w:pPr>
    </w:p>
    <w:p w14:paraId="1898D578" w14:textId="77777777" w:rsidR="008C5EF6" w:rsidRPr="008C5EF6" w:rsidRDefault="008C5EF6" w:rsidP="008C5EF6">
      <w:pPr>
        <w:tabs>
          <w:tab w:val="left" w:pos="142"/>
          <w:tab w:val="left" w:pos="284"/>
        </w:tabs>
        <w:spacing w:after="0" w:line="276" w:lineRule="auto"/>
        <w:jc w:val="both"/>
        <w:rPr>
          <w:rFonts w:ascii="Verdana" w:eastAsia="Century Gothic" w:hAnsi="Verdana" w:cs="Century Gothic"/>
          <w:b/>
          <w:bCs/>
          <w:lang w:val="es-ES"/>
        </w:rPr>
      </w:pPr>
      <w:r w:rsidRPr="008C5EF6">
        <w:rPr>
          <w:rFonts w:ascii="Verdana" w:eastAsia="Century Gothic" w:hAnsi="Verdana" w:cs="Century Gothic"/>
          <w:b/>
          <w:bCs/>
          <w:lang w:val="es-ES"/>
        </w:rPr>
        <w:t>3. Razones de la respuesta:</w:t>
      </w:r>
    </w:p>
    <w:p w14:paraId="3A4209ED" w14:textId="77777777" w:rsidR="008C5EF6" w:rsidRPr="008C5EF6" w:rsidRDefault="008C5EF6" w:rsidP="008C5EF6">
      <w:pPr>
        <w:spacing w:after="0" w:line="276" w:lineRule="auto"/>
        <w:jc w:val="both"/>
        <w:rPr>
          <w:rFonts w:ascii="Verdana" w:eastAsia="Calibri" w:hAnsi="Verdana" w:cs="Arial"/>
          <w:color w:val="7030A0"/>
          <w:lang w:val="es-ES"/>
        </w:rPr>
      </w:pPr>
    </w:p>
    <w:p w14:paraId="12839ED2" w14:textId="77777777" w:rsidR="008C5EF6" w:rsidRPr="008C5EF6" w:rsidRDefault="008C5EF6" w:rsidP="008C5EF6">
      <w:pPr>
        <w:spacing w:after="0" w:line="276" w:lineRule="auto"/>
        <w:jc w:val="both"/>
        <w:rPr>
          <w:rFonts w:ascii="Verdana" w:eastAsia="Calibri" w:hAnsi="Verdana" w:cs="Arial"/>
          <w:lang w:val="es-ES"/>
        </w:rPr>
      </w:pPr>
      <w:r w:rsidRPr="008C5EF6">
        <w:rPr>
          <w:rFonts w:ascii="Verdana" w:eastAsia="Calibri" w:hAnsi="Verdana" w:cs="Arial"/>
          <w:lang w:val="es-ES"/>
        </w:rPr>
        <w:lastRenderedPageBreak/>
        <w:t xml:space="preserve">Lo anterior se sustenta en las siguientes consideraciones: </w:t>
      </w:r>
    </w:p>
    <w:p w14:paraId="5E7089F9" w14:textId="77777777" w:rsidR="008C5EF6" w:rsidRPr="008C5EF6" w:rsidRDefault="008C5EF6" w:rsidP="008C5EF6">
      <w:pPr>
        <w:spacing w:after="0" w:line="276" w:lineRule="auto"/>
        <w:jc w:val="both"/>
        <w:rPr>
          <w:rFonts w:ascii="Verdana" w:eastAsia="Calibri" w:hAnsi="Verdana" w:cs="Arial"/>
          <w:lang w:val="es-ES"/>
        </w:rPr>
      </w:pPr>
    </w:p>
    <w:p w14:paraId="1E69EB54" w14:textId="77777777" w:rsidR="008C5EF6" w:rsidRPr="008C5EF6" w:rsidRDefault="008C5EF6" w:rsidP="008C5EF6">
      <w:pPr>
        <w:numPr>
          <w:ilvl w:val="0"/>
          <w:numId w:val="17"/>
        </w:numPr>
        <w:spacing w:after="120" w:line="276" w:lineRule="auto"/>
        <w:contextualSpacing/>
        <w:jc w:val="both"/>
        <w:rPr>
          <w:rFonts w:ascii="Verdana" w:eastAsia="Times New Roman" w:hAnsi="Verdana" w:cs="Arial"/>
          <w:lang w:val="es-ES_tradnl" w:eastAsia="es-MX"/>
        </w:rPr>
      </w:pPr>
      <w:bookmarkStart w:id="1" w:name="_Hlk54011258"/>
      <w:r w:rsidRPr="008C5EF6">
        <w:rPr>
          <w:rFonts w:ascii="Verdana" w:eastAsia="Calibri" w:hAnsi="Verdana" w:cs="Arial"/>
          <w:bCs/>
          <w:lang w:val="es-ES_tradnl" w:eastAsia="es-MX"/>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bookmarkEnd w:id="1"/>
      <w:r w:rsidRPr="008C5EF6">
        <w:rPr>
          <w:rFonts w:ascii="Verdana" w:eastAsia="Calibri" w:hAnsi="Verdana" w:cs="Arial"/>
          <w:bCs/>
          <w:lang w:val="es-ES_tradnl" w:eastAsia="es-MX"/>
        </w:rPr>
        <w:t>.</w:t>
      </w:r>
    </w:p>
    <w:p w14:paraId="6075AF22" w14:textId="77777777" w:rsidR="008C5EF6" w:rsidRPr="008C5EF6" w:rsidRDefault="008C5EF6" w:rsidP="008C5EF6">
      <w:pPr>
        <w:spacing w:after="120" w:line="276" w:lineRule="auto"/>
        <w:ind w:left="720"/>
        <w:contextualSpacing/>
        <w:jc w:val="both"/>
        <w:rPr>
          <w:rFonts w:ascii="Verdana" w:eastAsia="Times New Roman" w:hAnsi="Verdana" w:cs="Arial"/>
          <w:lang w:val="es-ES_tradnl" w:eastAsia="es-MX"/>
        </w:rPr>
      </w:pPr>
    </w:p>
    <w:p w14:paraId="1DCC9F58" w14:textId="77777777" w:rsidR="008C5EF6" w:rsidRPr="008C5EF6" w:rsidRDefault="008C5EF6" w:rsidP="008C5EF6">
      <w:pPr>
        <w:numPr>
          <w:ilvl w:val="0"/>
          <w:numId w:val="17"/>
        </w:numPr>
        <w:spacing w:before="120" w:after="0" w:line="276" w:lineRule="auto"/>
        <w:contextualSpacing/>
        <w:jc w:val="both"/>
        <w:rPr>
          <w:rFonts w:ascii="Verdana" w:eastAsia="Calibri" w:hAnsi="Verdana" w:cs="Arial"/>
          <w:bCs/>
          <w:lang w:val="es-ES" w:eastAsia="es-ES_tradnl"/>
        </w:rPr>
      </w:pPr>
      <w:r w:rsidRPr="008C5EF6">
        <w:rPr>
          <w:rFonts w:ascii="Verdana" w:eastAsia="Calibri" w:hAnsi="Verdana" w:cs="Arial"/>
          <w:bCs/>
          <w:lang w:val="es-MX" w:eastAsia="es-ES_tradnl"/>
        </w:rPr>
        <w:t xml:space="preserve">El Estatuto General de Contratación de la Administración Pública – EGCAP –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4E09AD56" w14:textId="77777777" w:rsidR="008C5EF6" w:rsidRPr="008C5EF6" w:rsidRDefault="008C5EF6" w:rsidP="008C5EF6">
      <w:pPr>
        <w:spacing w:after="0" w:line="276" w:lineRule="auto"/>
        <w:ind w:firstLine="709"/>
        <w:jc w:val="both"/>
        <w:rPr>
          <w:rFonts w:ascii="Verdana" w:eastAsia="Calibri" w:hAnsi="Verdana" w:cs="Arial"/>
          <w:bCs/>
          <w:lang w:val="es-ES" w:eastAsia="es-ES_tradnl"/>
        </w:rPr>
      </w:pPr>
    </w:p>
    <w:p w14:paraId="644BA930" w14:textId="77777777" w:rsidR="008C5EF6" w:rsidRPr="008C5EF6" w:rsidRDefault="008C5EF6" w:rsidP="008C5EF6">
      <w:pPr>
        <w:spacing w:after="0" w:line="240" w:lineRule="auto"/>
        <w:ind w:left="709" w:right="709"/>
        <w:contextualSpacing/>
        <w:jc w:val="both"/>
        <w:rPr>
          <w:rFonts w:ascii="Verdana" w:eastAsia="Calibri" w:hAnsi="Verdana" w:cs="Arial"/>
          <w:sz w:val="21"/>
          <w:szCs w:val="21"/>
          <w:lang w:val="es-MX" w:eastAsia="es-ES_tradnl"/>
        </w:rPr>
      </w:pPr>
      <w:r w:rsidRPr="008C5EF6">
        <w:rPr>
          <w:rFonts w:ascii="Verdana" w:eastAsia="Calibri" w:hAnsi="Verdana" w:cs="Arial"/>
          <w:sz w:val="21"/>
          <w:szCs w:val="21"/>
          <w:lang w:val="es-MX" w:eastAsia="es-ES_tradnl"/>
        </w:rPr>
        <w:t>“7o. La conveniencia o inconveniencia del objeto a contratar y las autorizaciones y aprobaciones para ello, se analizarán o impartirán con antelación al inicio del proceso de selección del contratista o al de la firma del contrato, según el caso.</w:t>
      </w:r>
    </w:p>
    <w:p w14:paraId="45A67453" w14:textId="77777777" w:rsidR="008C5EF6" w:rsidRPr="008C5EF6" w:rsidRDefault="008C5EF6" w:rsidP="008C5EF6">
      <w:pPr>
        <w:spacing w:after="0" w:line="240" w:lineRule="auto"/>
        <w:ind w:left="709" w:right="709"/>
        <w:contextualSpacing/>
        <w:jc w:val="both"/>
        <w:rPr>
          <w:rFonts w:ascii="Verdana" w:eastAsia="Calibri" w:hAnsi="Verdana" w:cs="Arial"/>
          <w:sz w:val="21"/>
          <w:szCs w:val="21"/>
          <w:lang w:val="es-MX" w:eastAsia="es-ES_tradnl"/>
        </w:rPr>
      </w:pPr>
    </w:p>
    <w:p w14:paraId="1DC95E7C" w14:textId="77777777" w:rsidR="008C5EF6" w:rsidRPr="008C5EF6" w:rsidRDefault="008C5EF6" w:rsidP="008C5EF6">
      <w:pPr>
        <w:spacing w:after="0" w:line="240" w:lineRule="auto"/>
        <w:ind w:left="709" w:right="709"/>
        <w:contextualSpacing/>
        <w:jc w:val="both"/>
        <w:rPr>
          <w:rFonts w:ascii="Verdana" w:eastAsia="Calibri" w:hAnsi="Verdana" w:cs="Arial"/>
          <w:sz w:val="21"/>
          <w:szCs w:val="21"/>
          <w:lang w:val="es-MX" w:eastAsia="es-ES_tradnl"/>
        </w:rPr>
      </w:pPr>
      <w:r w:rsidRPr="008C5EF6">
        <w:rPr>
          <w:rFonts w:ascii="Verdana" w:eastAsia="Calibri" w:hAnsi="Verdana" w:cs="Arial"/>
          <w:sz w:val="21"/>
          <w:szCs w:val="21"/>
          <w:lang w:val="es-MX" w:eastAsia="es-ES_tradnl"/>
        </w:rPr>
        <w:t>[…]</w:t>
      </w:r>
    </w:p>
    <w:p w14:paraId="513A75B7" w14:textId="77777777" w:rsidR="008C5EF6" w:rsidRPr="008C5EF6" w:rsidRDefault="008C5EF6" w:rsidP="008C5EF6">
      <w:pPr>
        <w:spacing w:after="0" w:line="240" w:lineRule="auto"/>
        <w:ind w:left="709" w:right="709"/>
        <w:contextualSpacing/>
        <w:jc w:val="both"/>
        <w:rPr>
          <w:rFonts w:ascii="Verdana" w:eastAsia="Calibri" w:hAnsi="Verdana" w:cs="Arial"/>
          <w:sz w:val="21"/>
          <w:szCs w:val="21"/>
          <w:lang w:val="es-MX" w:eastAsia="es-ES_tradnl"/>
        </w:rPr>
      </w:pPr>
    </w:p>
    <w:p w14:paraId="4AC2CFF0" w14:textId="77777777" w:rsidR="008C5EF6" w:rsidRPr="008C5EF6" w:rsidRDefault="008C5EF6" w:rsidP="008C5EF6">
      <w:pPr>
        <w:spacing w:after="0" w:line="240" w:lineRule="auto"/>
        <w:ind w:left="709" w:right="709"/>
        <w:contextualSpacing/>
        <w:jc w:val="both"/>
        <w:rPr>
          <w:rFonts w:ascii="Verdana" w:eastAsia="Calibri" w:hAnsi="Verdana" w:cs="Arial"/>
          <w:sz w:val="21"/>
          <w:szCs w:val="21"/>
          <w:lang w:val="es-MX" w:eastAsia="es-ES_tradnl"/>
        </w:rPr>
      </w:pPr>
      <w:r w:rsidRPr="008C5EF6">
        <w:rPr>
          <w:rFonts w:ascii="Verdana" w:eastAsia="Calibri" w:hAnsi="Verdana" w:cs="Arial"/>
          <w:sz w:val="21"/>
          <w:szCs w:val="21"/>
          <w:lang w:val="es-MX" w:eastAsia="es-ES_tradnl"/>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2EAFF797" w14:textId="77777777" w:rsidR="008C5EF6" w:rsidRPr="008C5EF6" w:rsidRDefault="008C5EF6" w:rsidP="008C5EF6">
      <w:pPr>
        <w:spacing w:after="0" w:line="240" w:lineRule="auto"/>
        <w:ind w:left="709" w:right="709"/>
        <w:contextualSpacing/>
        <w:jc w:val="both"/>
        <w:rPr>
          <w:rFonts w:ascii="Verdana" w:eastAsia="Calibri" w:hAnsi="Verdana" w:cs="Arial"/>
          <w:sz w:val="21"/>
          <w:szCs w:val="21"/>
          <w:lang w:val="es-MX" w:eastAsia="es-ES_tradnl"/>
        </w:rPr>
      </w:pPr>
    </w:p>
    <w:p w14:paraId="2FBA27AF" w14:textId="77777777" w:rsidR="008C5EF6" w:rsidRPr="008C5EF6" w:rsidRDefault="008C5EF6" w:rsidP="008C5EF6">
      <w:pPr>
        <w:spacing w:after="0" w:line="240" w:lineRule="auto"/>
        <w:ind w:left="709" w:right="709"/>
        <w:contextualSpacing/>
        <w:jc w:val="both"/>
        <w:rPr>
          <w:rFonts w:ascii="Verdana" w:eastAsia="Calibri" w:hAnsi="Verdana" w:cs="Arial"/>
          <w:sz w:val="21"/>
          <w:szCs w:val="21"/>
          <w:lang w:val="es-MX" w:eastAsia="es-ES_tradnl"/>
        </w:rPr>
      </w:pPr>
      <w:r w:rsidRPr="008C5EF6">
        <w:rPr>
          <w:rFonts w:ascii="Verdana" w:eastAsia="Calibri" w:hAnsi="Verdana" w:cs="Arial"/>
          <w:sz w:val="21"/>
          <w:szCs w:val="21"/>
          <w:lang w:val="es-MX" w:eastAsia="es-ES_tradnl"/>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13913786" w14:textId="77777777" w:rsidR="008C5EF6" w:rsidRPr="008C5EF6" w:rsidRDefault="008C5EF6" w:rsidP="008C5EF6">
      <w:pPr>
        <w:spacing w:after="0" w:line="240" w:lineRule="auto"/>
        <w:ind w:left="709" w:right="709"/>
        <w:contextualSpacing/>
        <w:jc w:val="both"/>
        <w:rPr>
          <w:rFonts w:ascii="Verdana" w:eastAsia="Calibri" w:hAnsi="Verdana" w:cs="Arial"/>
          <w:sz w:val="21"/>
          <w:szCs w:val="21"/>
          <w:lang w:val="es-MX" w:eastAsia="es-ES_tradnl"/>
        </w:rPr>
      </w:pPr>
    </w:p>
    <w:p w14:paraId="450BC614"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val="es-ES_tradnl" w:eastAsia="es-MX"/>
        </w:rPr>
      </w:pPr>
      <w:r w:rsidRPr="008C5EF6">
        <w:rPr>
          <w:rFonts w:ascii="Verdana" w:eastAsia="Times New Roman" w:hAnsi="Verdana" w:cs="Arial"/>
          <w:sz w:val="21"/>
          <w:szCs w:val="21"/>
          <w:lang w:val="es-ES_tradnl" w:eastAsia="es-MX"/>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6FBAC228"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val="es-ES_tradnl" w:eastAsia="es-MX"/>
        </w:rPr>
      </w:pPr>
    </w:p>
    <w:p w14:paraId="6AB77103"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val="es-ES_tradnl" w:eastAsia="es-MX"/>
        </w:rPr>
      </w:pPr>
      <w:r w:rsidRPr="008C5EF6">
        <w:rPr>
          <w:rFonts w:ascii="Verdana" w:eastAsia="Times New Roman" w:hAnsi="Verdana" w:cs="Arial"/>
          <w:sz w:val="21"/>
          <w:szCs w:val="21"/>
          <w:lang w:val="es-ES_tradnl" w:eastAsia="es-MX"/>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p>
    <w:p w14:paraId="1A77834B" w14:textId="77777777" w:rsidR="008C5EF6" w:rsidRPr="008C5EF6" w:rsidRDefault="008C5EF6" w:rsidP="008C5EF6">
      <w:pPr>
        <w:spacing w:after="0" w:line="276" w:lineRule="auto"/>
        <w:jc w:val="both"/>
        <w:rPr>
          <w:rFonts w:ascii="Verdana" w:eastAsia="Times New Roman" w:hAnsi="Verdana" w:cs="Arial"/>
          <w:lang w:val="es-ES_tradnl" w:eastAsia="es-MX"/>
        </w:rPr>
      </w:pPr>
    </w:p>
    <w:p w14:paraId="75F489BE" w14:textId="77777777" w:rsidR="008C5EF6" w:rsidRPr="008C5EF6" w:rsidRDefault="008C5EF6" w:rsidP="008C5EF6">
      <w:pPr>
        <w:numPr>
          <w:ilvl w:val="0"/>
          <w:numId w:val="18"/>
        </w:numPr>
        <w:spacing w:after="0" w:line="276" w:lineRule="auto"/>
        <w:contextualSpacing/>
        <w:jc w:val="both"/>
        <w:rPr>
          <w:rFonts w:ascii="Verdana" w:eastAsia="Times New Roman" w:hAnsi="Verdana" w:cs="Arial"/>
          <w:lang w:val="es-ES_tradnl" w:eastAsia="es-MX"/>
        </w:rPr>
      </w:pPr>
      <w:r w:rsidRPr="008C5EF6">
        <w:rPr>
          <w:rFonts w:ascii="Verdana" w:eastAsia="Times New Roman" w:hAnsi="Verdana" w:cs="Arial"/>
          <w:lang w:val="es-ES_tradnl" w:eastAsia="es-MX"/>
        </w:rPr>
        <w:t>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8C5EF6">
        <w:rPr>
          <w:rFonts w:ascii="Geomanist Light" w:hAnsi="Geomanist Light"/>
          <w:vertAlign w:val="superscript"/>
          <w:lang w:val="es-ES" w:eastAsia="es-MX"/>
        </w:rPr>
        <w:footnoteReference w:id="2"/>
      </w:r>
      <w:r w:rsidRPr="008C5EF6">
        <w:rPr>
          <w:rFonts w:ascii="Verdana" w:eastAsia="Times New Roman" w:hAnsi="Verdana" w:cs="Arial"/>
          <w:lang w:val="es-ES_tradnl" w:eastAsia="es-MX"/>
        </w:rPr>
        <w:t>. En congruencia con el artículo 25 de la Ley 80 de 1993, el Decreto Único Reglamentario del Sector Administrativo de Planeación Nacional –Decreto 1082 de 2015–, dispone en el artículo 2.2.1.1.2.1.1 el contenido mínimo de los estudios y documentos previos:</w:t>
      </w:r>
    </w:p>
    <w:p w14:paraId="41553263" w14:textId="77777777" w:rsidR="008C5EF6" w:rsidRPr="008C5EF6" w:rsidRDefault="008C5EF6" w:rsidP="008C5EF6">
      <w:pPr>
        <w:spacing w:after="0" w:line="276" w:lineRule="auto"/>
        <w:rPr>
          <w:rFonts w:ascii="Verdana" w:eastAsia="Times New Roman" w:hAnsi="Verdana" w:cs="Arial"/>
          <w:lang w:val="es-ES_tradnl" w:eastAsia="es-CO"/>
        </w:rPr>
      </w:pPr>
    </w:p>
    <w:p w14:paraId="7C7ADD3F"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val="es-ES_tradnl" w:eastAsia="es-MX"/>
        </w:rPr>
      </w:pPr>
      <w:r w:rsidRPr="008C5EF6">
        <w:rPr>
          <w:rFonts w:ascii="Verdana" w:eastAsia="Times New Roman" w:hAnsi="Verdana" w:cs="Arial"/>
          <w:sz w:val="21"/>
          <w:szCs w:val="21"/>
          <w:lang w:val="es-ES_tradnl" w:eastAsia="es-MX"/>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1086BF90"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val="es-ES_tradnl" w:eastAsia="es-MX"/>
        </w:rPr>
      </w:pPr>
    </w:p>
    <w:p w14:paraId="1C6FAC97"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val="es-ES_tradnl" w:eastAsia="es-MX"/>
        </w:rPr>
      </w:pPr>
      <w:r w:rsidRPr="008C5EF6">
        <w:rPr>
          <w:rFonts w:ascii="Verdana" w:eastAsia="Times New Roman" w:hAnsi="Verdana" w:cs="Arial"/>
          <w:sz w:val="21"/>
          <w:szCs w:val="21"/>
          <w:lang w:val="es-ES_tradnl" w:eastAsia="es-MX"/>
        </w:rPr>
        <w:t xml:space="preserve">1. La descripción de la necesidad que la Entidad Estatal pretende satisfacer con el Proceso de Contratación. </w:t>
      </w:r>
      <w:r w:rsidRPr="008C5EF6">
        <w:rPr>
          <w:rFonts w:ascii="Arial" w:eastAsia="Times New Roman" w:hAnsi="Arial" w:cs="Arial"/>
          <w:sz w:val="21"/>
          <w:szCs w:val="21"/>
          <w:lang w:val="es-ES_tradnl" w:eastAsia="es-MX"/>
        </w:rPr>
        <w:t>​</w:t>
      </w:r>
    </w:p>
    <w:p w14:paraId="033CD5F4"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val="es-ES_tradnl" w:eastAsia="es-MX"/>
        </w:rPr>
      </w:pPr>
    </w:p>
    <w:p w14:paraId="4FE8B4DA"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val="es-ES_tradnl" w:eastAsia="es-MX"/>
        </w:rPr>
      </w:pPr>
      <w:r w:rsidRPr="008C5EF6">
        <w:rPr>
          <w:rFonts w:ascii="Verdana" w:eastAsia="Times New Roman" w:hAnsi="Verdana" w:cs="Arial"/>
          <w:sz w:val="21"/>
          <w:szCs w:val="21"/>
          <w:lang w:val="es-ES_tradnl" w:eastAsia="es-MX"/>
        </w:rPr>
        <w:t xml:space="preserve">2. El objeto a contratar, con sus especificaciones, las autorizaciones, permisos y licencias requeridos para su ejecución, y cuando el contrato </w:t>
      </w:r>
      <w:r w:rsidRPr="008C5EF6">
        <w:rPr>
          <w:rFonts w:ascii="Verdana" w:eastAsia="Times New Roman" w:hAnsi="Verdana" w:cs="Arial"/>
          <w:sz w:val="21"/>
          <w:szCs w:val="21"/>
          <w:lang w:val="es-ES_tradnl" w:eastAsia="es-MX"/>
        </w:rPr>
        <w:lastRenderedPageBreak/>
        <w:t xml:space="preserve">incluye diseño y construcción, los documentos técnicos para el desarrollo del proyecto. </w:t>
      </w:r>
    </w:p>
    <w:p w14:paraId="2D6EE66A"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val="es-ES_tradnl" w:eastAsia="es-MX"/>
        </w:rPr>
      </w:pPr>
    </w:p>
    <w:p w14:paraId="128A4B79"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val="es-ES_tradnl" w:eastAsia="es-MX"/>
        </w:rPr>
      </w:pPr>
      <w:r w:rsidRPr="008C5EF6">
        <w:rPr>
          <w:rFonts w:ascii="Verdana" w:eastAsia="Times New Roman" w:hAnsi="Verdana" w:cs="Arial"/>
          <w:sz w:val="21"/>
          <w:szCs w:val="21"/>
          <w:lang w:val="es-ES_tradnl" w:eastAsia="es-MX"/>
        </w:rPr>
        <w:t xml:space="preserve">3. La modalidad de selección del contratista y su justificación, incluyendo los fundamentos jurídicos. </w:t>
      </w:r>
    </w:p>
    <w:p w14:paraId="5E7E2810"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val="es-ES_tradnl" w:eastAsia="es-MX"/>
        </w:rPr>
      </w:pPr>
    </w:p>
    <w:p w14:paraId="28D3D61D"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val="es-ES" w:eastAsia="es-MX"/>
        </w:rPr>
      </w:pPr>
      <w:r w:rsidRPr="0916376F">
        <w:rPr>
          <w:rFonts w:ascii="Verdana" w:eastAsia="Times New Roman" w:hAnsi="Verdana" w:cs="Arial"/>
          <w:sz w:val="21"/>
          <w:szCs w:val="21"/>
          <w:lang w:val="es-ES" w:eastAsia="es-MX"/>
        </w:rPr>
        <w:t xml:space="preserve">4. El valor estimado del contrato y la justificación del mismo.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61C9EA61"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val="es-ES_tradnl" w:eastAsia="es-MX"/>
        </w:rPr>
      </w:pPr>
    </w:p>
    <w:p w14:paraId="1A316EE5"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val="es-ES_tradnl" w:eastAsia="es-MX"/>
        </w:rPr>
      </w:pPr>
      <w:r w:rsidRPr="008C5EF6">
        <w:rPr>
          <w:rFonts w:ascii="Verdana" w:eastAsia="Times New Roman" w:hAnsi="Verdana" w:cs="Arial"/>
          <w:sz w:val="21"/>
          <w:szCs w:val="21"/>
          <w:lang w:val="es-ES_tradnl" w:eastAsia="es-MX"/>
        </w:rPr>
        <w:t xml:space="preserve">5. Los criterios para seleccionar la oferta más favorable. </w:t>
      </w:r>
    </w:p>
    <w:p w14:paraId="757810FE"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val="es-ES_tradnl" w:eastAsia="es-MX"/>
        </w:rPr>
      </w:pPr>
    </w:p>
    <w:p w14:paraId="1A30DD42"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val="es-ES_tradnl" w:eastAsia="es-MX"/>
        </w:rPr>
      </w:pPr>
      <w:r w:rsidRPr="008C5EF6">
        <w:rPr>
          <w:rFonts w:ascii="Verdana" w:eastAsia="Times New Roman" w:hAnsi="Verdana" w:cs="Arial"/>
          <w:sz w:val="21"/>
          <w:szCs w:val="21"/>
          <w:lang w:val="es-ES_tradnl" w:eastAsia="es-MX"/>
        </w:rPr>
        <w:t xml:space="preserve">6. El análisis de Riesgo y la forma de mitigarlo. </w:t>
      </w:r>
    </w:p>
    <w:p w14:paraId="5FA4DF8D"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val="es-ES_tradnl" w:eastAsia="es-MX"/>
        </w:rPr>
      </w:pPr>
    </w:p>
    <w:p w14:paraId="5321155D"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val="es-ES_tradnl" w:eastAsia="es-MX"/>
        </w:rPr>
      </w:pPr>
      <w:r w:rsidRPr="008C5EF6">
        <w:rPr>
          <w:rFonts w:ascii="Verdana" w:eastAsia="Times New Roman" w:hAnsi="Verdana" w:cs="Arial"/>
          <w:sz w:val="21"/>
          <w:szCs w:val="21"/>
          <w:lang w:val="es-ES_tradnl" w:eastAsia="es-MX"/>
        </w:rPr>
        <w:t xml:space="preserve">7. Las garantías que la Entidad Estatal contempla exigir en el proceso de contratación. </w:t>
      </w:r>
    </w:p>
    <w:p w14:paraId="373D7544"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val="es-ES_tradnl" w:eastAsia="es-MX"/>
        </w:rPr>
      </w:pPr>
    </w:p>
    <w:p w14:paraId="4BC87B6F"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val="es-ES_tradnl" w:eastAsia="es-MX"/>
        </w:rPr>
      </w:pPr>
      <w:r w:rsidRPr="008C5EF6">
        <w:rPr>
          <w:rFonts w:ascii="Verdana" w:eastAsia="Times New Roman" w:hAnsi="Verdana" w:cs="Arial"/>
          <w:sz w:val="21"/>
          <w:szCs w:val="21"/>
          <w:lang w:val="es-ES_tradnl" w:eastAsia="es-MX"/>
        </w:rPr>
        <w:t xml:space="preserve">8. La indicación de si el proceso de contratación está cobijado por un acuerdo comercial. </w:t>
      </w:r>
    </w:p>
    <w:p w14:paraId="653420F9"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val="es-ES_tradnl" w:eastAsia="es-MX"/>
        </w:rPr>
      </w:pPr>
    </w:p>
    <w:p w14:paraId="1BE1CD85"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val="es-ES_tradnl" w:eastAsia="es-MX"/>
        </w:rPr>
      </w:pPr>
      <w:r w:rsidRPr="008C5EF6">
        <w:rPr>
          <w:rFonts w:ascii="Verdana" w:eastAsia="Times New Roman" w:hAnsi="Verdana" w:cs="Arial"/>
          <w:sz w:val="21"/>
          <w:szCs w:val="21"/>
          <w:lang w:val="es-ES_tradnl" w:eastAsia="es-MX"/>
        </w:rPr>
        <w:t>El presente artículo no es aplicable a la contratación por mínima cuantía”.</w:t>
      </w:r>
    </w:p>
    <w:p w14:paraId="409631B8" w14:textId="77777777" w:rsidR="008C5EF6" w:rsidRPr="008C5EF6" w:rsidRDefault="008C5EF6" w:rsidP="008C5EF6">
      <w:pPr>
        <w:widowControl w:val="0"/>
        <w:tabs>
          <w:tab w:val="left" w:pos="1305"/>
        </w:tabs>
        <w:autoSpaceDE w:val="0"/>
        <w:autoSpaceDN w:val="0"/>
        <w:spacing w:after="0" w:line="276" w:lineRule="auto"/>
        <w:ind w:left="828" w:right="822"/>
        <w:rPr>
          <w:rFonts w:ascii="Verdana" w:eastAsia="Calibri" w:hAnsi="Verdana" w:cs="Arial"/>
          <w:lang w:val="es-MX" w:eastAsia="es-ES_tradnl"/>
        </w:rPr>
      </w:pPr>
    </w:p>
    <w:p w14:paraId="5CFE47D8" w14:textId="77777777" w:rsidR="008C5EF6" w:rsidRPr="008C5EF6" w:rsidRDefault="008C5EF6" w:rsidP="008C5EF6">
      <w:pPr>
        <w:numPr>
          <w:ilvl w:val="0"/>
          <w:numId w:val="18"/>
        </w:numPr>
        <w:spacing w:after="120" w:line="276" w:lineRule="auto"/>
        <w:contextualSpacing/>
        <w:jc w:val="both"/>
        <w:rPr>
          <w:rFonts w:ascii="Verdana" w:eastAsia="Times New Roman" w:hAnsi="Verdana" w:cs="Arial"/>
          <w:lang w:val="es-ES" w:eastAsia="es-MX"/>
        </w:rPr>
      </w:pPr>
      <w:bookmarkStart w:id="2" w:name="_Hlk54011351"/>
      <w:r w:rsidRPr="0916376F">
        <w:rPr>
          <w:rFonts w:ascii="Verdana" w:eastAsia="Times New Roman" w:hAnsi="Verdana" w:cs="Arial"/>
          <w:lang w:val="es-ES" w:eastAsia="es-MX"/>
        </w:rPr>
        <w:t xml:space="preserve">De esta manera, antes de iniciar un procedimiento de selección, la Entidad Estatal podrá determinar con los estudios previos: i) la verdadera necesidad de la celebración del contrato; ii) las modalidades existentes para satisfacer esa necesidad y las razones que justifiquen la modalidad o tipo contractual que se escoja; iii) las calidades, especificaciones, cantidades y demás características que puedan o deban reunir los bienes, las obras o los servicios cuya contratación se haya determinado necesaria, iv)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916376F">
        <w:rPr>
          <w:rFonts w:ascii="Verdana" w:eastAsia="Times New Roman" w:hAnsi="Verdana" w:cs="Arial"/>
          <w:lang w:val="es-ES" w:eastAsia="es-MX"/>
        </w:rPr>
        <w:t>vii</w:t>
      </w:r>
      <w:proofErr w:type="spellEnd"/>
      <w:r w:rsidRPr="0916376F">
        <w:rPr>
          <w:rFonts w:ascii="Verdana" w:eastAsia="Times New Roman" w:hAnsi="Verdana" w:cs="Arial"/>
          <w:lang w:val="es-ES" w:eastAsia="es-MX"/>
        </w:rPr>
        <w:t xml:space="preserve">) los procedimientos, trámites y requisitos que deban satisfacerse, reunirse u obtenerse para llevar a cabo la </w:t>
      </w:r>
      <w:r w:rsidRPr="0916376F">
        <w:rPr>
          <w:rFonts w:ascii="Verdana" w:eastAsia="Times New Roman" w:hAnsi="Verdana" w:cs="Arial"/>
          <w:lang w:val="es-ES" w:eastAsia="es-MX"/>
        </w:rPr>
        <w:lastRenderedPageBreak/>
        <w:t xml:space="preserve">selección del respectivo contratista y la celebración del contrato que se pretenda celebrar. La consideración de todos estos aspectos </w:t>
      </w:r>
      <w:bookmarkEnd w:id="2"/>
      <w:r w:rsidRPr="0916376F">
        <w:rPr>
          <w:rFonts w:ascii="Verdana" w:eastAsia="Calibri" w:hAnsi="Verdana" w:cs="Arial"/>
          <w:lang w:val="es-ES" w:eastAsia="es-MX"/>
        </w:rPr>
        <w:t xml:space="preserve">permite que los contratos resultantes de la planeación cuenten con el sustento técnico, económico y jurídico que incidirá </w:t>
      </w:r>
      <w:r w:rsidRPr="0916376F">
        <w:rPr>
          <w:rFonts w:ascii="Verdana" w:eastAsia="Times New Roman" w:hAnsi="Verdana" w:cs="Arial"/>
          <w:lang w:val="es-ES" w:eastAsia="es-MX"/>
        </w:rPr>
        <w:t>en una adecuada ejecución.</w:t>
      </w:r>
    </w:p>
    <w:p w14:paraId="221707CE" w14:textId="77777777" w:rsidR="008C5EF6" w:rsidRPr="008C5EF6" w:rsidRDefault="008C5EF6" w:rsidP="008C5EF6">
      <w:pPr>
        <w:spacing w:after="120" w:line="276" w:lineRule="auto"/>
        <w:ind w:left="720"/>
        <w:contextualSpacing/>
        <w:jc w:val="both"/>
        <w:rPr>
          <w:rFonts w:ascii="Verdana" w:eastAsia="Times New Roman" w:hAnsi="Verdana" w:cs="Arial"/>
          <w:lang w:val="es-ES_tradnl" w:eastAsia="es-MX"/>
        </w:rPr>
      </w:pPr>
    </w:p>
    <w:p w14:paraId="6893379C" w14:textId="77777777" w:rsidR="008C5EF6" w:rsidRPr="008C5EF6" w:rsidRDefault="008C5EF6" w:rsidP="008C5EF6">
      <w:pPr>
        <w:numPr>
          <w:ilvl w:val="0"/>
          <w:numId w:val="18"/>
        </w:numPr>
        <w:spacing w:after="120" w:line="276" w:lineRule="auto"/>
        <w:ind w:right="102"/>
        <w:contextualSpacing/>
        <w:jc w:val="both"/>
        <w:rPr>
          <w:rFonts w:ascii="Verdana" w:eastAsia="Times New Roman" w:hAnsi="Verdana" w:cs="Arial"/>
          <w:lang w:val="es-ES_tradnl" w:eastAsia="es-MX"/>
        </w:rPr>
      </w:pPr>
      <w:r w:rsidRPr="008C5EF6">
        <w:rPr>
          <w:rFonts w:ascii="Verdana" w:eastAsia="Times New Roman" w:hAnsi="Verdana" w:cs="Arial"/>
          <w:lang w:val="es-ES_tradnl" w:eastAsia="es-MX"/>
        </w:rPr>
        <w:t>Más allá del cumplimiento de la normativa, “los estudios y documentos previos son el soporte para elaborar el proyecto de pliegos, los pliegos de condiciones, y el contrato”</w:t>
      </w:r>
      <w:r w:rsidRPr="008C5EF6">
        <w:rPr>
          <w:rFonts w:ascii="Geomanist Light" w:hAnsi="Geomanist Light"/>
          <w:vertAlign w:val="superscript"/>
          <w:lang w:val="es-ES" w:eastAsia="es-MX"/>
        </w:rPr>
        <w:footnoteReference w:id="3"/>
      </w:r>
      <w:r w:rsidRPr="008C5EF6">
        <w:rPr>
          <w:rFonts w:ascii="Verdana" w:eastAsia="Times New Roman" w:hAnsi="Verdana" w:cs="Arial"/>
          <w:lang w:val="es-ES_tradnl" w:eastAsia="es-MX"/>
        </w:rPr>
        <w:t xml:space="preserve">, por lo que deben publicarse en la etapa precontractual y sirven de motivación para los documentos expedidos unilateralmente por la Entidad Estatal tales como el acto administrativo de apertura, los pliegos de condiciones y el acto de adjudicación, entre otros. En ese sentido, </w:t>
      </w:r>
      <w:bookmarkStart w:id="4" w:name="_Hlk54011438"/>
      <w:r w:rsidRPr="008C5EF6">
        <w:rPr>
          <w:rFonts w:ascii="Verdana" w:eastAsia="Times New Roman" w:hAnsi="Verdana" w:cs="Arial"/>
          <w:lang w:val="es-ES_tradnl" w:eastAsia="es-MX"/>
        </w:rPr>
        <w:t>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pactado</w:t>
      </w:r>
      <w:bookmarkEnd w:id="4"/>
      <w:r w:rsidRPr="008C5EF6">
        <w:rPr>
          <w:rFonts w:ascii="Geomanist Light" w:hAnsi="Geomanist Light"/>
          <w:vertAlign w:val="superscript"/>
          <w:lang w:val="es-ES" w:eastAsia="es-MX"/>
        </w:rPr>
        <w:footnoteReference w:id="4"/>
      </w:r>
      <w:r w:rsidRPr="008C5EF6">
        <w:rPr>
          <w:rFonts w:ascii="Verdana" w:eastAsia="Times New Roman" w:hAnsi="Verdana" w:cs="Arial"/>
          <w:lang w:val="es-ES_tradnl" w:eastAsia="es-MX"/>
        </w:rPr>
        <w:t>.</w:t>
      </w:r>
    </w:p>
    <w:p w14:paraId="72C94A57" w14:textId="77777777" w:rsidR="008C5EF6" w:rsidRPr="008C5EF6" w:rsidRDefault="008C5EF6" w:rsidP="008C5EF6">
      <w:pPr>
        <w:ind w:left="720"/>
        <w:contextualSpacing/>
        <w:rPr>
          <w:rFonts w:ascii="Verdana" w:eastAsia="Times New Roman" w:hAnsi="Verdana" w:cs="Arial"/>
          <w:lang w:val="es-ES_tradnl" w:eastAsia="es-MX"/>
        </w:rPr>
      </w:pPr>
    </w:p>
    <w:p w14:paraId="2F35D04F" w14:textId="77777777" w:rsidR="008C5EF6" w:rsidRPr="008C5EF6" w:rsidRDefault="008C5EF6" w:rsidP="008C5EF6">
      <w:pPr>
        <w:numPr>
          <w:ilvl w:val="0"/>
          <w:numId w:val="18"/>
        </w:numPr>
        <w:spacing w:after="120" w:line="276" w:lineRule="auto"/>
        <w:contextualSpacing/>
        <w:jc w:val="both"/>
        <w:rPr>
          <w:rFonts w:ascii="Verdana" w:eastAsia="Times New Roman" w:hAnsi="Verdana" w:cs="Arial"/>
          <w:szCs w:val="24"/>
          <w:lang w:val="es-ES" w:eastAsia="es-ES_tradnl"/>
        </w:rPr>
      </w:pPr>
      <w:r w:rsidRPr="008C5EF6">
        <w:rPr>
          <w:rFonts w:ascii="Verdana" w:eastAsia="Times New Roman" w:hAnsi="Verdana" w:cs="Arial"/>
          <w:szCs w:val="24"/>
          <w:lang w:val="es-ES" w:eastAsia="es-ES_tradnl"/>
        </w:rPr>
        <w:t xml:space="preserve">Ahora bien, el numeral 12 del artículo 25 de la Ley 80 de 1993, antes citado, establece el deber de las entidades de realizar estudios previos en dos (2) momentos específicos: i) previo a la apertura de un proceso de selección y ii) previo a la firma del contrato en el caso en que la modalidad de selección sea contratación directa. </w:t>
      </w:r>
    </w:p>
    <w:p w14:paraId="3E854556" w14:textId="77777777" w:rsidR="008C5EF6" w:rsidRPr="008C5EF6" w:rsidRDefault="008C5EF6" w:rsidP="008C5EF6">
      <w:pPr>
        <w:ind w:left="720"/>
        <w:contextualSpacing/>
        <w:rPr>
          <w:rFonts w:ascii="Verdana" w:eastAsia="Times New Roman" w:hAnsi="Verdana" w:cs="Arial"/>
          <w:szCs w:val="24"/>
          <w:lang w:val="es-ES" w:eastAsia="es-ES_tradnl"/>
        </w:rPr>
      </w:pPr>
    </w:p>
    <w:p w14:paraId="19C1B788" w14:textId="77777777" w:rsidR="008C5EF6" w:rsidRPr="008C5EF6" w:rsidRDefault="008C5EF6" w:rsidP="008C5EF6">
      <w:pPr>
        <w:numPr>
          <w:ilvl w:val="0"/>
          <w:numId w:val="18"/>
        </w:numPr>
        <w:spacing w:after="120" w:line="276" w:lineRule="auto"/>
        <w:contextualSpacing/>
        <w:jc w:val="both"/>
        <w:rPr>
          <w:rFonts w:ascii="Verdana" w:eastAsia="Calibri" w:hAnsi="Verdana" w:cs="Arial"/>
          <w:bCs/>
          <w:lang w:val="es-ES_tradnl" w:eastAsia="es-MX"/>
        </w:rPr>
      </w:pPr>
      <w:r w:rsidRPr="008C5EF6">
        <w:rPr>
          <w:rFonts w:ascii="Verdana" w:eastAsia="Times New Roman" w:hAnsi="Verdana" w:cs="Arial"/>
          <w:lang w:val="es-ES_tradnl" w:eastAsia="es-MX"/>
        </w:rPr>
        <w:t xml:space="preserve">Por otra parte, conforme se desprende de los numerales 2 y 4 del artículo 2.2.1.1.2.1.1 del Decreto 1082 de 2015, uno de los aspectos principales que deben abarcar los estudios previos es la determinación del objeto a contratar con sus especificaciones y el valor estimado del contrato aparejado de su respectiva justificación. </w:t>
      </w:r>
      <w:r w:rsidRPr="008C5EF6">
        <w:rPr>
          <w:rFonts w:ascii="Verdana" w:eastAsia="Calibri" w:hAnsi="Verdana" w:cs="Arial"/>
          <w:bCs/>
          <w:lang w:val="es-ES_tradnl" w:eastAsia="es-MX"/>
        </w:rPr>
        <w:t xml:space="preserve">Para estos efectos resulta relevante </w:t>
      </w:r>
      <w:bookmarkStart w:id="5" w:name="_Hlk139465916"/>
      <w:r w:rsidRPr="008C5EF6">
        <w:rPr>
          <w:rFonts w:ascii="Verdana" w:eastAsia="Calibri" w:hAnsi="Verdana" w:cs="Arial"/>
          <w:bCs/>
          <w:lang w:val="es-ES_tradnl" w:eastAsia="es-MX"/>
        </w:rPr>
        <w:t xml:space="preserve">la información recolectada en el marco del </w:t>
      </w:r>
      <w:r w:rsidRPr="008C5EF6">
        <w:rPr>
          <w:rFonts w:ascii="Verdana" w:eastAsia="Calibri" w:hAnsi="Verdana" w:cs="Arial"/>
          <w:bCs/>
          <w:i/>
          <w:iCs/>
          <w:lang w:val="es-ES_tradnl" w:eastAsia="es-MX"/>
        </w:rPr>
        <w:t>estudio del mercado</w:t>
      </w:r>
      <w:r w:rsidRPr="008C5EF6">
        <w:rPr>
          <w:rFonts w:ascii="Verdana" w:eastAsia="Calibri" w:hAnsi="Verdana" w:cs="Arial"/>
          <w:bCs/>
          <w:lang w:val="es-ES_tradnl" w:eastAsia="es-MX"/>
        </w:rPr>
        <w:t xml:space="preserve"> y el análisis del sector económico y de los potenciales oferentes, actividades de planeación previa que sirven para identificar aspectos concretos del mercado que pueden afectar el proceso de selección o las condiciones del negocio a realizar mediante el proceso de contratación. </w:t>
      </w:r>
      <w:r w:rsidRPr="008C5EF6">
        <w:rPr>
          <w:rFonts w:ascii="Verdana" w:eastAsia="Calibri" w:hAnsi="Verdana" w:cs="Arial"/>
          <w:bCs/>
          <w:lang w:val="es-ES_tradnl" w:eastAsia="es-MX"/>
        </w:rPr>
        <w:lastRenderedPageBreak/>
        <w:t xml:space="preserve">En este sentido, el análisis del sector de las perspectivas legal, comercial, financiera, organizacional, técnica, y de análisis de Riesgo, al que se refiere el artículo </w:t>
      </w:r>
      <w:bookmarkStart w:id="6" w:name="_Hlk36117416"/>
      <w:r w:rsidRPr="008C5EF6">
        <w:rPr>
          <w:rFonts w:ascii="Verdana" w:eastAsia="Calibri" w:hAnsi="Verdana" w:cs="Arial"/>
          <w:bCs/>
          <w:lang w:val="es-ES_tradnl" w:eastAsia="es-MX"/>
        </w:rPr>
        <w:t>2.2.1.1.1.6.1 del Decreto 1082 de 2015</w:t>
      </w:r>
      <w:bookmarkEnd w:id="6"/>
      <w:r w:rsidRPr="008C5EF6">
        <w:rPr>
          <w:rFonts w:ascii="Verdana" w:eastAsia="Calibri" w:hAnsi="Verdana" w:cs="Arial"/>
          <w:bCs/>
          <w:lang w:val="es-ES_tradnl" w:eastAsia="es-MX"/>
        </w:rPr>
        <w:t>, constituye un insumo importante para determinar factores que pudieran determinar el valor del contrato y orientar a la entidad en torno al monto de la disponibilidad presupuestal que requiere para realizar la contratación</w:t>
      </w:r>
      <w:bookmarkEnd w:id="5"/>
      <w:r w:rsidRPr="008C5EF6">
        <w:rPr>
          <w:rFonts w:ascii="Geomanist Light" w:eastAsia="Calibri" w:hAnsi="Geomanist Light"/>
          <w:bCs/>
          <w:vertAlign w:val="superscript"/>
          <w:lang w:val="es-ES" w:eastAsia="es-MX"/>
        </w:rPr>
        <w:footnoteReference w:id="5"/>
      </w:r>
      <w:r w:rsidRPr="008C5EF6">
        <w:rPr>
          <w:rFonts w:ascii="Verdana" w:eastAsia="Calibri" w:hAnsi="Verdana" w:cs="Arial"/>
          <w:bCs/>
          <w:lang w:val="es-ES_tradnl" w:eastAsia="es-MX"/>
        </w:rPr>
        <w:t xml:space="preserve">. </w:t>
      </w:r>
    </w:p>
    <w:p w14:paraId="37AA943B" w14:textId="77777777" w:rsidR="008C5EF6" w:rsidRPr="008C5EF6" w:rsidRDefault="008C5EF6" w:rsidP="008C5EF6">
      <w:pPr>
        <w:spacing w:after="120" w:line="276" w:lineRule="auto"/>
        <w:ind w:left="720"/>
        <w:contextualSpacing/>
        <w:jc w:val="both"/>
        <w:rPr>
          <w:rFonts w:ascii="Verdana" w:eastAsia="Calibri" w:hAnsi="Verdana" w:cs="Arial"/>
          <w:bCs/>
          <w:lang w:val="es-ES_tradnl" w:eastAsia="es-MX"/>
        </w:rPr>
      </w:pPr>
      <w:r w:rsidRPr="008C5EF6">
        <w:rPr>
          <w:rFonts w:ascii="Verdana" w:eastAsia="Calibri" w:hAnsi="Verdana" w:cs="Arial"/>
          <w:bCs/>
          <w:lang w:val="es-ES_tradnl" w:eastAsia="es-MX"/>
        </w:rPr>
        <w:t xml:space="preserve"> </w:t>
      </w:r>
    </w:p>
    <w:p w14:paraId="26055B46" w14:textId="77777777" w:rsidR="008C5EF6" w:rsidRPr="008C5EF6" w:rsidRDefault="008C5EF6" w:rsidP="008C5EF6">
      <w:pPr>
        <w:numPr>
          <w:ilvl w:val="0"/>
          <w:numId w:val="18"/>
        </w:numPr>
        <w:spacing w:after="120" w:line="276" w:lineRule="auto"/>
        <w:contextualSpacing/>
        <w:jc w:val="both"/>
        <w:rPr>
          <w:rFonts w:ascii="Verdana" w:eastAsia="Calibri" w:hAnsi="Verdana" w:cs="Arial"/>
          <w:lang w:val="es-ES" w:eastAsia="es-MX"/>
        </w:rPr>
      </w:pPr>
      <w:r w:rsidRPr="008C5EF6">
        <w:rPr>
          <w:rFonts w:ascii="Verdana" w:eastAsia="Calibri" w:hAnsi="Verdana" w:cs="Arial"/>
          <w:lang w:val="es-ES" w:eastAsia="es-MX"/>
        </w:rPr>
        <w:t xml:space="preserve">De acuerdo con la norma citada, </w:t>
      </w:r>
      <w:bookmarkStart w:id="7" w:name="_Hlk36140682"/>
      <w:r w:rsidRPr="008C5EF6">
        <w:rPr>
          <w:rFonts w:ascii="Verdana" w:eastAsia="Calibri" w:hAnsi="Verdana" w:cs="Arial"/>
          <w:lang w:val="es-ES" w:eastAsia="es-MX"/>
        </w:rPr>
        <w:t>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368B5CFA" w14:textId="77777777" w:rsidR="008C5EF6" w:rsidRPr="008C5EF6" w:rsidRDefault="008C5EF6" w:rsidP="008C5EF6">
      <w:pPr>
        <w:ind w:left="720"/>
        <w:contextualSpacing/>
        <w:rPr>
          <w:rFonts w:ascii="Verdana" w:eastAsia="Calibri" w:hAnsi="Verdana" w:cs="Arial"/>
          <w:bCs/>
          <w:lang w:val="es-ES_tradnl" w:eastAsia="es-MX"/>
        </w:rPr>
      </w:pPr>
    </w:p>
    <w:p w14:paraId="1B7AC6C7" w14:textId="77777777" w:rsidR="008C5EF6" w:rsidRPr="008C5EF6" w:rsidRDefault="008C5EF6" w:rsidP="008C5EF6">
      <w:pPr>
        <w:numPr>
          <w:ilvl w:val="0"/>
          <w:numId w:val="18"/>
        </w:numPr>
        <w:spacing w:after="120" w:line="276" w:lineRule="auto"/>
        <w:contextualSpacing/>
        <w:jc w:val="both"/>
        <w:rPr>
          <w:rFonts w:ascii="Verdana" w:eastAsia="Calibri" w:hAnsi="Verdana" w:cs="Arial"/>
          <w:bCs/>
          <w:lang w:val="es-ES_tradnl" w:eastAsia="es-MX"/>
        </w:rPr>
      </w:pPr>
      <w:r w:rsidRPr="008C5EF6">
        <w:rPr>
          <w:rFonts w:ascii="Verdana" w:eastAsia="Calibri" w:hAnsi="Verdana" w:cs="Arial"/>
          <w:bCs/>
          <w:lang w:val="es-ES_tradnl" w:eastAsia="es-MX"/>
        </w:rPr>
        <w:t>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50287F9B" w14:textId="77777777" w:rsidR="008C5EF6" w:rsidRPr="008C5EF6" w:rsidRDefault="008C5EF6" w:rsidP="008C5EF6">
      <w:pPr>
        <w:ind w:left="720"/>
        <w:contextualSpacing/>
        <w:rPr>
          <w:rFonts w:ascii="Verdana" w:eastAsia="Calibri" w:hAnsi="Verdana" w:cs="Arial"/>
          <w:bCs/>
          <w:lang w:val="es-ES_tradnl" w:eastAsia="es-MX"/>
        </w:rPr>
      </w:pPr>
    </w:p>
    <w:p w14:paraId="3CB449CE" w14:textId="77777777" w:rsidR="008C5EF6" w:rsidRPr="008C5EF6" w:rsidRDefault="008C5EF6" w:rsidP="008C5EF6">
      <w:pPr>
        <w:numPr>
          <w:ilvl w:val="0"/>
          <w:numId w:val="18"/>
        </w:numPr>
        <w:spacing w:after="120" w:line="276" w:lineRule="auto"/>
        <w:contextualSpacing/>
        <w:jc w:val="both"/>
        <w:rPr>
          <w:rFonts w:ascii="Verdana" w:eastAsia="Calibri" w:hAnsi="Verdana" w:cs="Arial"/>
          <w:bCs/>
          <w:lang w:val="es-ES_tradnl" w:eastAsia="es-MX"/>
        </w:rPr>
      </w:pPr>
      <w:r w:rsidRPr="008C5EF6">
        <w:rPr>
          <w:rFonts w:ascii="Verdana" w:eastAsia="Calibri" w:hAnsi="Verdana" w:cs="Arial"/>
          <w:bCs/>
          <w:lang w:val="es-ES_tradnl" w:eastAsia="es-MX"/>
        </w:rPr>
        <w:t xml:space="preserve">Dicho análisis facilita tanto el conocimiento del sector, desde una perspectiva multidisciplinaria, como de los proveedores disponibles en el mercado para satisfacer la necesidad de la entidad contratante. </w:t>
      </w:r>
      <w:r w:rsidRPr="008C5EF6">
        <w:rPr>
          <w:rFonts w:ascii="Verdana" w:eastAsia="Calibri" w:hAnsi="Verdana" w:cs="Arial"/>
          <w:bCs/>
          <w:lang w:val="es-ES_tradnl" w:eastAsia="es-MX"/>
        </w:rPr>
        <w:lastRenderedPageBreak/>
        <w:t xml:space="preserve">Igualmente, el análisis del sector implica un estudio de la oferta, lo que permitirá identificar qué proveedores existen en el mercado y cómo intervienen en la cadena de producción, comercialización y distribución de los bienes, obras o servicios. De igual manera, podrá estudiar la demanda para determinar cómo las Entidades Estatales y los particulares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14:paraId="6B803E46" w14:textId="77777777" w:rsidR="008C5EF6" w:rsidRPr="008C5EF6" w:rsidRDefault="008C5EF6" w:rsidP="008C5EF6">
      <w:pPr>
        <w:ind w:left="720"/>
        <w:contextualSpacing/>
        <w:rPr>
          <w:rFonts w:ascii="Verdana" w:eastAsia="Calibri" w:hAnsi="Verdana" w:cs="Arial"/>
          <w:bCs/>
          <w:lang w:val="es-ES_tradnl" w:eastAsia="es-MX"/>
        </w:rPr>
      </w:pPr>
    </w:p>
    <w:p w14:paraId="31E1E67C" w14:textId="77777777" w:rsidR="008C5EF6" w:rsidRPr="008C5EF6" w:rsidRDefault="008C5EF6" w:rsidP="008C5EF6">
      <w:pPr>
        <w:numPr>
          <w:ilvl w:val="0"/>
          <w:numId w:val="18"/>
        </w:numPr>
        <w:spacing w:after="120" w:line="276" w:lineRule="auto"/>
        <w:contextualSpacing/>
        <w:jc w:val="both"/>
        <w:rPr>
          <w:rFonts w:ascii="Verdana" w:eastAsia="Calibri" w:hAnsi="Verdana" w:cs="Arial"/>
          <w:bCs/>
          <w:lang w:val="es-ES_tradnl" w:eastAsia="es-MX"/>
        </w:rPr>
      </w:pPr>
      <w:r w:rsidRPr="008C5EF6">
        <w:rPr>
          <w:rFonts w:ascii="Verdana" w:eastAsia="Calibri" w:hAnsi="Verdana" w:cs="Arial"/>
          <w:bCs/>
          <w:lang w:val="es-ES_tradnl" w:eastAsia="es-MX"/>
        </w:rPr>
        <w:t xml:space="preserve">Si bien la normativa en materia de contratación estatal establece la obligatoriedad de realizar el análisis necesario para conocer el sector relativo al objeto del Proceso de Contratación, no determinan un procedimiento específico para efectuar dicho análisis por lo que las entidades </w:t>
      </w:r>
      <w:r w:rsidRPr="008C5EF6">
        <w:rPr>
          <w:rFonts w:ascii="Verdana" w:eastAsia="Times New Roman" w:hAnsi="Verdana" w:cs="Arial"/>
          <w:lang w:val="es-ES_tradnl" w:eastAsia="es-CO"/>
        </w:rPr>
        <w:t xml:space="preserve">son autónomas para estructurarlo, para lo cual deberán cumplir lo dispuesto en el artículo </w:t>
      </w:r>
      <w:r w:rsidRPr="008C5EF6">
        <w:rPr>
          <w:rFonts w:ascii="Verdana" w:eastAsia="Calibri" w:hAnsi="Verdana" w:cs="Arial"/>
          <w:bCs/>
          <w:lang w:val="es-ES_tradnl" w:eastAsia="es-MX"/>
        </w:rPr>
        <w:t xml:space="preserve">2.2.1.1.1.6.1 del Decreto 1082 de 2015 y realizar un análisis integral de planeación que </w:t>
      </w:r>
      <w:r w:rsidRPr="008C5EF6">
        <w:rPr>
          <w:rFonts w:ascii="Verdana" w:eastAsia="Times New Roman" w:hAnsi="Verdana" w:cs="Arial"/>
          <w:lang w:val="es-ES_tradnl" w:eastAsia="es-MX"/>
        </w:rPr>
        <w:t xml:space="preserve">sirva de sustento a la decisión de </w:t>
      </w:r>
      <w:r w:rsidRPr="008C5EF6">
        <w:rPr>
          <w:rFonts w:ascii="Verdana" w:eastAsia="Times New Roman" w:hAnsi="Verdana" w:cs="Arial"/>
          <w:bCs/>
          <w:lang w:val="es-ES_tradnl" w:eastAsia="es-MX"/>
        </w:rPr>
        <w:t>realizar un Proceso de Contratación.</w:t>
      </w:r>
    </w:p>
    <w:p w14:paraId="425401FB" w14:textId="77777777" w:rsidR="008C5EF6" w:rsidRPr="008C5EF6" w:rsidRDefault="008C5EF6" w:rsidP="008C5EF6">
      <w:pPr>
        <w:ind w:left="720"/>
        <w:contextualSpacing/>
        <w:rPr>
          <w:rFonts w:ascii="Verdana" w:eastAsia="Calibri" w:hAnsi="Verdana" w:cs="Arial"/>
          <w:bCs/>
          <w:lang w:val="es-ES_tradnl" w:eastAsia="es-MX"/>
        </w:rPr>
      </w:pPr>
    </w:p>
    <w:p w14:paraId="2BDCD958" w14:textId="77777777" w:rsidR="008C5EF6" w:rsidRPr="008C5EF6" w:rsidRDefault="008C5EF6" w:rsidP="008C5EF6">
      <w:pPr>
        <w:numPr>
          <w:ilvl w:val="0"/>
          <w:numId w:val="18"/>
        </w:numPr>
        <w:spacing w:after="120" w:line="276" w:lineRule="auto"/>
        <w:contextualSpacing/>
        <w:jc w:val="both"/>
        <w:rPr>
          <w:rFonts w:ascii="Verdana" w:eastAsia="Calibri" w:hAnsi="Verdana" w:cs="Arial"/>
          <w:bCs/>
          <w:szCs w:val="24"/>
          <w:lang w:val="es-ES" w:eastAsia="es-ES_tradnl"/>
        </w:rPr>
      </w:pPr>
      <w:bookmarkStart w:id="8" w:name="_Hlk139466113"/>
      <w:bookmarkEnd w:id="7"/>
      <w:r w:rsidRPr="008C5EF6">
        <w:rPr>
          <w:rFonts w:ascii="Verdana" w:eastAsia="Calibri" w:hAnsi="Verdana" w:cs="Arial"/>
          <w:bCs/>
          <w:lang w:val="es-ES_tradnl" w:eastAsia="es-MX"/>
        </w:rPr>
        <w:t>La Agencia Nacional de Contratación Pública – Colombia Compra Eficiente dispone de una “Guía para la Elaboración de Estudios del Sector”</w:t>
      </w:r>
      <w:r w:rsidRPr="008C5EF6">
        <w:rPr>
          <w:rFonts w:ascii="Verdana" w:eastAsia="Times New Roman" w:hAnsi="Verdana" w:cs="Arial"/>
          <w:vertAlign w:val="superscript"/>
          <w:lang w:val="es-ES_tradnl" w:eastAsia="es-CO"/>
        </w:rPr>
        <w:t xml:space="preserve"> </w:t>
      </w:r>
      <w:r w:rsidRPr="008C5EF6">
        <w:rPr>
          <w:rFonts w:ascii="Geomanist Light" w:eastAsia="Times New Roman" w:hAnsi="Geomanist Light"/>
          <w:vertAlign w:val="superscript"/>
          <w:lang w:val="es-ES" w:eastAsia="es-CO"/>
        </w:rPr>
        <w:footnoteReference w:id="6"/>
      </w:r>
      <w:r w:rsidRPr="008C5EF6">
        <w:rPr>
          <w:rFonts w:ascii="Verdana" w:eastAsia="Calibri" w:hAnsi="Verdana" w:cs="Arial"/>
          <w:bCs/>
          <w:lang w:val="es-ES_tradnl" w:eastAsia="es-MX"/>
        </w:rPr>
        <w:t>,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w:t>
      </w:r>
      <w:bookmarkEnd w:id="8"/>
      <w:r w:rsidRPr="008C5EF6">
        <w:rPr>
          <w:rFonts w:ascii="Verdana" w:eastAsia="Calibri" w:hAnsi="Verdana" w:cs="Arial"/>
          <w:bCs/>
          <w:lang w:val="es-ES_tradnl" w:eastAsia="es-MX"/>
        </w:rPr>
        <w:t xml:space="preserve"> </w:t>
      </w:r>
      <w:r w:rsidRPr="008C5EF6">
        <w:rPr>
          <w:rFonts w:ascii="Verdana" w:eastAsia="Calibri" w:hAnsi="Verdana" w:cs="Arial"/>
          <w:bCs/>
          <w:szCs w:val="24"/>
          <w:lang w:val="es-ES_tradnl" w:eastAsia="es-ES_tradnl"/>
        </w:rPr>
        <w:t>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De este modo, la Guía contiene</w:t>
      </w:r>
      <w:r w:rsidRPr="008C5EF6">
        <w:rPr>
          <w:rFonts w:ascii="Verdana" w:eastAsia="Calibri" w:hAnsi="Verdana" w:cs="Arial"/>
          <w:bCs/>
          <w:szCs w:val="24"/>
          <w:lang w:val="es-ES" w:eastAsia="es-ES_tradnl"/>
        </w:rPr>
        <w:t xml:space="preserve"> recomendaciones generales por lo que no debe aplicarse de manera mecánica, pues la </w:t>
      </w:r>
      <w:r w:rsidRPr="008C5EF6">
        <w:rPr>
          <w:rFonts w:ascii="Verdana" w:eastAsia="Calibri" w:hAnsi="Verdana" w:cs="Arial"/>
          <w:bCs/>
          <w:szCs w:val="24"/>
          <w:lang w:val="es-ES" w:eastAsia="es-ES_tradnl"/>
        </w:rPr>
        <w:lastRenderedPageBreak/>
        <w:t xml:space="preserve">profundidad del estudio del sector depende de la complejidad y particularidades de cada Proceso de Contratación. </w:t>
      </w:r>
    </w:p>
    <w:p w14:paraId="528AD2AB" w14:textId="77777777" w:rsidR="008C5EF6" w:rsidRPr="008C5EF6" w:rsidRDefault="008C5EF6" w:rsidP="008C5EF6">
      <w:pPr>
        <w:spacing w:after="120" w:line="276" w:lineRule="auto"/>
        <w:ind w:left="720"/>
        <w:contextualSpacing/>
        <w:jc w:val="both"/>
        <w:rPr>
          <w:rFonts w:ascii="Verdana" w:eastAsia="Calibri" w:hAnsi="Verdana" w:cs="Arial"/>
          <w:bCs/>
          <w:szCs w:val="24"/>
          <w:lang w:val="es-ES" w:eastAsia="es-ES_tradnl"/>
        </w:rPr>
      </w:pPr>
    </w:p>
    <w:p w14:paraId="32C0D1D3" w14:textId="77777777" w:rsidR="008C5EF6" w:rsidRPr="008C5EF6" w:rsidRDefault="008C5EF6" w:rsidP="008C5EF6">
      <w:pPr>
        <w:numPr>
          <w:ilvl w:val="0"/>
          <w:numId w:val="18"/>
        </w:numPr>
        <w:spacing w:after="120" w:line="276" w:lineRule="auto"/>
        <w:contextualSpacing/>
        <w:jc w:val="both"/>
        <w:rPr>
          <w:rFonts w:ascii="Verdana" w:eastAsia="Calibri" w:hAnsi="Verdana" w:cs="Arial"/>
          <w:bCs/>
          <w:szCs w:val="24"/>
          <w:lang w:val="es-ES" w:eastAsia="es-ES_tradnl"/>
        </w:rPr>
      </w:pPr>
      <w:r w:rsidRPr="008C5EF6">
        <w:rPr>
          <w:rFonts w:ascii="Verdana" w:eastAsia="Calibri" w:hAnsi="Verdana" w:cs="Arial"/>
          <w:bCs/>
          <w:szCs w:val="24"/>
          <w:lang w:val="es-ES" w:eastAsia="es-ES_tradnl"/>
        </w:rPr>
        <w:t xml:space="preserve">Una vez se ha realizado el estudio del sector y se ha consignado en los estudios y documentos previos, esta es la base para expedir los pliegos de condiciones, cuyo contenido, de acuerdo con el artículo 2.2.1.1.2.1.3. indica que se deben definir los </w:t>
      </w:r>
      <w:r w:rsidRPr="008C5EF6">
        <w:rPr>
          <w:rFonts w:ascii="Verdana" w:eastAsia="Calibri" w:hAnsi="Verdana" w:cs="Arial"/>
          <w:bCs/>
          <w:szCs w:val="24"/>
          <w:lang w:eastAsia="es-ES_tradnl"/>
        </w:rPr>
        <w:t>criterios de selección, relacionados con diferentes aspectos del proponente y de la oferta como la experiencia, entre otros.</w:t>
      </w:r>
    </w:p>
    <w:p w14:paraId="2A3E4E1E" w14:textId="77777777" w:rsidR="008C5EF6" w:rsidRPr="008C5EF6" w:rsidRDefault="008C5EF6" w:rsidP="008C5EF6">
      <w:pPr>
        <w:spacing w:after="120" w:line="276" w:lineRule="auto"/>
        <w:ind w:left="720"/>
        <w:contextualSpacing/>
        <w:jc w:val="both"/>
        <w:rPr>
          <w:rFonts w:ascii="Verdana" w:eastAsia="Calibri" w:hAnsi="Verdana" w:cs="Arial"/>
          <w:bCs/>
          <w:szCs w:val="24"/>
          <w:lang w:val="es-ES" w:eastAsia="es-ES_tradnl"/>
        </w:rPr>
      </w:pPr>
    </w:p>
    <w:p w14:paraId="33478CCC" w14:textId="77777777" w:rsidR="008C5EF6" w:rsidRPr="008C5EF6" w:rsidRDefault="008C5EF6" w:rsidP="008C5EF6">
      <w:pPr>
        <w:numPr>
          <w:ilvl w:val="0"/>
          <w:numId w:val="18"/>
        </w:numPr>
        <w:spacing w:after="120" w:line="276" w:lineRule="auto"/>
        <w:contextualSpacing/>
        <w:jc w:val="both"/>
        <w:rPr>
          <w:rFonts w:ascii="Verdana" w:eastAsia="Calibri" w:hAnsi="Verdana" w:cs="Arial"/>
          <w:bCs/>
          <w:szCs w:val="24"/>
          <w:lang w:val="es-ES" w:eastAsia="es-ES_tradnl"/>
        </w:rPr>
      </w:pPr>
      <w:r w:rsidRPr="008C5EF6">
        <w:rPr>
          <w:rFonts w:ascii="Verdana" w:eastAsia="Calibri" w:hAnsi="Verdana" w:cs="Arial"/>
        </w:rPr>
        <w:t>La Ley 1150 de 2007, en el artículo 5,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8C5EF6">
        <w:rPr>
          <w:vertAlign w:val="superscript"/>
        </w:rPr>
        <w:footnoteReference w:id="7"/>
      </w:r>
      <w:r w:rsidRPr="008C5EF6">
        <w:rPr>
          <w:rFonts w:ascii="Verdana" w:eastAsia="Calibri" w:hAnsi="Verdana" w:cs="Arial"/>
        </w:rPr>
        <w:t>. En ese sentido,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así como el mercado y precio del bien, obra o servicio a contratar</w:t>
      </w:r>
      <w:r w:rsidRPr="008C5EF6">
        <w:rPr>
          <w:vertAlign w:val="superscript"/>
        </w:rPr>
        <w:footnoteReference w:id="8"/>
      </w:r>
      <w:r w:rsidRPr="008C5EF6">
        <w:rPr>
          <w:rFonts w:ascii="Verdana" w:eastAsia="Calibri" w:hAnsi="Verdana" w:cs="Arial"/>
        </w:rPr>
        <w:t>.</w:t>
      </w:r>
    </w:p>
    <w:p w14:paraId="5AF134EA" w14:textId="77777777" w:rsidR="008C5EF6" w:rsidRPr="008C5EF6" w:rsidRDefault="008C5EF6" w:rsidP="008C5EF6">
      <w:pPr>
        <w:spacing w:after="120" w:line="276" w:lineRule="auto"/>
        <w:ind w:left="720"/>
        <w:contextualSpacing/>
        <w:jc w:val="both"/>
        <w:rPr>
          <w:rFonts w:ascii="Verdana" w:eastAsia="Calibri" w:hAnsi="Verdana" w:cs="Arial"/>
          <w:bCs/>
          <w:szCs w:val="24"/>
          <w:lang w:eastAsia="es-ES_tradnl"/>
        </w:rPr>
      </w:pPr>
    </w:p>
    <w:p w14:paraId="7287E7CC" w14:textId="77777777" w:rsidR="008C5EF6" w:rsidRPr="008C5EF6" w:rsidRDefault="008C5EF6" w:rsidP="008C5EF6">
      <w:pPr>
        <w:numPr>
          <w:ilvl w:val="0"/>
          <w:numId w:val="18"/>
        </w:numPr>
        <w:spacing w:before="120" w:after="0"/>
        <w:contextualSpacing/>
        <w:jc w:val="both"/>
        <w:rPr>
          <w:rFonts w:ascii="Verdana" w:eastAsia="Calibri" w:hAnsi="Verdana" w:cs="Arial"/>
          <w:lang w:val="es-ES"/>
        </w:rPr>
      </w:pPr>
      <w:r w:rsidRPr="008C5EF6">
        <w:rPr>
          <w:rFonts w:ascii="Verdana" w:eastAsia="Calibri" w:hAnsi="Verdana" w:cs="Arial"/>
          <w:lang w:val="es-ES"/>
        </w:rPr>
        <w:t>La experiencia que se deriva de los contratos que el proponente ha celebrado y ejecutado con diferentes contratantes, sin importar la naturaleza de estos, se verifica con el Registro Único de Proponentes – RUP</w:t>
      </w:r>
      <w:r w:rsidRPr="008C5EF6">
        <w:rPr>
          <w:rFonts w:ascii="Geomanist Light" w:hAnsi="Geomanist Light"/>
          <w:vertAlign w:val="superscript"/>
          <w:lang w:val="es-ES"/>
        </w:rPr>
        <w:footnoteReference w:id="9"/>
      </w:r>
      <w:r w:rsidRPr="008C5EF6">
        <w:rPr>
          <w:rFonts w:ascii="Verdana" w:eastAsia="Calibri" w:hAnsi="Verdana" w:cs="Arial"/>
          <w:lang w:val="es-ES"/>
        </w:rPr>
        <w:t xml:space="preserve">, cuando este certificado sea exigible de acuerdo con la ley. En el RUP constan los requisitos habilitantes que se evalúan exclusivamente con </w:t>
      </w:r>
      <w:r w:rsidRPr="008C5EF6">
        <w:rPr>
          <w:rFonts w:ascii="Verdana" w:eastAsia="Calibri" w:hAnsi="Verdana" w:cs="Arial"/>
          <w:lang w:val="es-ES"/>
        </w:rPr>
        <w:lastRenderedPageBreak/>
        <w:t>este documento, que es su plena prueba, sin que la entidad o el proponente puedan solicitar o aportar otra documentación</w:t>
      </w:r>
      <w:r w:rsidRPr="008C5EF6">
        <w:rPr>
          <w:rFonts w:ascii="Geomanist Light" w:hAnsi="Geomanist Light"/>
          <w:vertAlign w:val="superscript"/>
          <w:lang w:val="es-ES"/>
        </w:rPr>
        <w:footnoteReference w:id="10"/>
      </w:r>
      <w:r w:rsidRPr="008C5EF6">
        <w:rPr>
          <w:rFonts w:ascii="Verdana" w:eastAsia="Calibri" w:hAnsi="Verdana" w:cs="Arial"/>
          <w:lang w:val="es-ES"/>
        </w:rPr>
        <w:t>.</w:t>
      </w:r>
    </w:p>
    <w:p w14:paraId="62D46170" w14:textId="77777777" w:rsidR="008C5EF6" w:rsidRPr="008C5EF6" w:rsidRDefault="008C5EF6" w:rsidP="008C5EF6">
      <w:pPr>
        <w:spacing w:after="0"/>
        <w:ind w:left="720"/>
        <w:contextualSpacing/>
        <w:jc w:val="both"/>
        <w:rPr>
          <w:rFonts w:ascii="Verdana" w:eastAsia="Calibri" w:hAnsi="Verdana" w:cs="Arial"/>
          <w:lang w:val="es-ES"/>
        </w:rPr>
      </w:pPr>
    </w:p>
    <w:p w14:paraId="08AAE7EC" w14:textId="77777777" w:rsidR="008C5EF6" w:rsidRPr="008C5EF6" w:rsidRDefault="008C5EF6" w:rsidP="008C5EF6">
      <w:pPr>
        <w:numPr>
          <w:ilvl w:val="0"/>
          <w:numId w:val="18"/>
        </w:numPr>
        <w:spacing w:after="0"/>
        <w:contextualSpacing/>
        <w:jc w:val="both"/>
        <w:rPr>
          <w:rFonts w:ascii="Verdana" w:eastAsia="Calibri" w:hAnsi="Verdana" w:cs="Arial"/>
          <w:lang w:val="es-ES"/>
        </w:rPr>
      </w:pPr>
      <w:r w:rsidRPr="008C5EF6">
        <w:rPr>
          <w:rFonts w:ascii="Verdana" w:eastAsia="Calibri" w:hAnsi="Verdana" w:cs="Arial"/>
          <w:lang w:val="es-ES"/>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Tales documentos deben codificarse con el clasificador de bienes y servicios en el tercer nivel</w:t>
      </w:r>
      <w:r w:rsidRPr="008C5EF6">
        <w:rPr>
          <w:rFonts w:ascii="Geomanist Light" w:hAnsi="Geomanist Light"/>
          <w:vertAlign w:val="superscript"/>
          <w:lang w:val="es-ES"/>
        </w:rPr>
        <w:footnoteReference w:id="11"/>
      </w:r>
      <w:r w:rsidRPr="008C5EF6">
        <w:rPr>
          <w:rFonts w:ascii="Verdana" w:eastAsia="Calibri" w:hAnsi="Verdana" w:cs="Arial"/>
          <w:lang w:val="es-ES"/>
        </w:rPr>
        <w:t>.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Por lo anterior, es pertinente aclarar que los códigos del clasificador de bienes y servicios ayudan a que exista un lenguaje común en la denominación de los bienes, obras o servicios que los proveedores ofrecen y que las entidades solicitan, sin que la entidad los evalúe, ya que lo que es objeto de evaluación es la experiencia clasificada de esta forma.</w:t>
      </w:r>
    </w:p>
    <w:p w14:paraId="1F90013C" w14:textId="77777777" w:rsidR="008C5EF6" w:rsidRPr="008C5EF6" w:rsidRDefault="008C5EF6" w:rsidP="008C5EF6">
      <w:pPr>
        <w:spacing w:before="120" w:after="0"/>
        <w:ind w:left="720"/>
        <w:contextualSpacing/>
        <w:jc w:val="both"/>
        <w:rPr>
          <w:rFonts w:ascii="Verdana" w:eastAsia="Calibri" w:hAnsi="Verdana" w:cs="Arial"/>
          <w:lang w:val="es-ES"/>
        </w:rPr>
      </w:pPr>
    </w:p>
    <w:p w14:paraId="728C0C9F" w14:textId="77777777" w:rsidR="008C5EF6" w:rsidRPr="008C5EF6" w:rsidRDefault="008C5EF6" w:rsidP="008C5EF6">
      <w:pPr>
        <w:numPr>
          <w:ilvl w:val="0"/>
          <w:numId w:val="18"/>
        </w:numPr>
        <w:spacing w:before="120" w:after="0"/>
        <w:contextualSpacing/>
        <w:jc w:val="both"/>
        <w:rPr>
          <w:rFonts w:ascii="Verdana" w:eastAsia="Calibri" w:hAnsi="Verdana" w:cs="Arial"/>
          <w:lang w:val="es-ES"/>
        </w:rPr>
      </w:pPr>
      <w:r w:rsidRPr="008C5EF6">
        <w:rPr>
          <w:rFonts w:ascii="Verdana" w:eastAsia="Calibri" w:hAnsi="Verdana" w:cs="Arial"/>
          <w:lang w:val="es-ES"/>
        </w:rPr>
        <w:t xml:space="preserve">La Agencia Nacional de Contratación Pública - Colombia Compra Eficiente puso a disposición de los interesados del Sistema de Compra Pública el </w:t>
      </w:r>
      <w:r w:rsidRPr="008C5EF6">
        <w:rPr>
          <w:rFonts w:ascii="Verdana" w:eastAsia="Calibri" w:hAnsi="Verdana" w:cs="Arial"/>
          <w:i/>
          <w:iCs/>
          <w:lang w:val="es-ES"/>
        </w:rPr>
        <w:t>Manual para determinar y verificar requisitos habilitantes en los procesos de contratación</w:t>
      </w:r>
      <w:r w:rsidRPr="008C5EF6">
        <w:rPr>
          <w:rFonts w:ascii="Verdana" w:eastAsia="Calibri" w:hAnsi="Verdana" w:cs="Arial"/>
          <w:i/>
          <w:iCs/>
          <w:vertAlign w:val="superscript"/>
          <w:lang w:val="es-ES"/>
        </w:rPr>
        <w:footnoteReference w:id="12"/>
      </w:r>
      <w:r w:rsidRPr="008C5EF6">
        <w:rPr>
          <w:rFonts w:ascii="Verdana" w:eastAsia="Calibri" w:hAnsi="Verdana" w:cs="Arial"/>
          <w:lang w:val="es-ES"/>
        </w:rPr>
        <w:t xml:space="preserve">. En dicho Manual se establecen las definiciones de cada requisito habilitante y se dan lineamientos orientadores sobre lo que las entidades pueden hacer para configurarlos. Sobre el particular, para la experiencia como requisito habilitante el Manual se centra en una de sus cualidades y es que es personal, lo cual significa que quien tiene la experiencia lo hace en razón de su participación, con anterioridad, en </w:t>
      </w:r>
      <w:r w:rsidRPr="008C5EF6">
        <w:rPr>
          <w:rFonts w:ascii="Verdana" w:eastAsia="Calibri" w:hAnsi="Verdana" w:cs="Arial"/>
          <w:lang w:val="es-ES"/>
        </w:rPr>
        <w:lastRenderedPageBreak/>
        <w:t>actividades que le permitieron conocer cómo ejecutar el objeto contractual que la entidad pretende satisfacer ahora</w:t>
      </w:r>
      <w:r w:rsidRPr="008C5EF6">
        <w:rPr>
          <w:rFonts w:ascii="Geomanist Light" w:hAnsi="Geomanist Light"/>
          <w:vertAlign w:val="superscript"/>
          <w:lang w:val="es-ES"/>
        </w:rPr>
        <w:footnoteReference w:id="13"/>
      </w:r>
      <w:r w:rsidRPr="008C5EF6">
        <w:rPr>
          <w:rFonts w:ascii="Verdana" w:eastAsia="Calibri" w:hAnsi="Verdana" w:cs="Arial"/>
          <w:lang w:val="es-ES"/>
        </w:rPr>
        <w:t>.</w:t>
      </w:r>
    </w:p>
    <w:p w14:paraId="01CD27F3" w14:textId="77777777" w:rsidR="008C5EF6" w:rsidRPr="008C5EF6" w:rsidRDefault="008C5EF6" w:rsidP="008C5EF6">
      <w:pPr>
        <w:spacing w:before="120" w:after="0"/>
        <w:ind w:left="720"/>
        <w:contextualSpacing/>
        <w:jc w:val="both"/>
        <w:rPr>
          <w:rFonts w:ascii="Verdana" w:eastAsia="Calibri" w:hAnsi="Verdana" w:cs="Arial"/>
          <w:lang w:val="es-ES"/>
        </w:rPr>
      </w:pPr>
    </w:p>
    <w:p w14:paraId="3682563E" w14:textId="77777777" w:rsidR="008C5EF6" w:rsidRPr="008C5EF6" w:rsidRDefault="008C5EF6" w:rsidP="008C5EF6">
      <w:pPr>
        <w:numPr>
          <w:ilvl w:val="0"/>
          <w:numId w:val="18"/>
        </w:numPr>
        <w:spacing w:before="120" w:after="0"/>
        <w:contextualSpacing/>
        <w:jc w:val="both"/>
        <w:rPr>
          <w:rFonts w:ascii="Verdana" w:eastAsia="Calibri" w:hAnsi="Verdana" w:cs="Arial"/>
          <w:lang w:val="es-ES"/>
        </w:rPr>
      </w:pPr>
      <w:r w:rsidRPr="008C5EF6">
        <w:rPr>
          <w:rFonts w:ascii="Verdana" w:eastAsia="Calibri" w:hAnsi="Verdana" w:cs="Arial"/>
          <w:lang w:val="es-ES"/>
        </w:rPr>
        <w:t xml:space="preserve">Lo anterior es determinante porque no es posible tener experiencia si en la práctica no se han ejecutado actividades similares previas. Precisamente, de la experiencia se deriva el conocimiento del proponente, y para la contratación pública es importante, ya que garantiza que no habrá improvisación ni mayores costos por errores o dificultades originadas en realizar una actividad por primera vez. </w:t>
      </w:r>
      <w:bookmarkStart w:id="11" w:name="_Hlk113212591"/>
      <w:r w:rsidRPr="008C5EF6">
        <w:rPr>
          <w:rFonts w:ascii="Verdana" w:eastAsia="Calibri" w:hAnsi="Verdana" w:cs="Arial"/>
          <w:lang w:val="es-ES"/>
        </w:rPr>
        <w:t xml:space="preserve">Al respecto, la jurisprudencia ha señalado que la experiencia acreditable </w:t>
      </w:r>
      <w:r w:rsidRPr="008C5EF6">
        <w:rPr>
          <w:rFonts w:ascii="Verdana" w:hAnsi="Verdana" w:cs="Arial"/>
          <w:lang w:val="es-ES"/>
        </w:rPr>
        <w:t>“</w:t>
      </w:r>
      <w:r w:rsidRPr="008C5EF6">
        <w:rPr>
          <w:rFonts w:ascii="Verdana" w:eastAsia="Calibri" w:hAnsi="Verdana" w:cs="Arial"/>
          <w:lang w:val="es-ES"/>
        </w:rPr>
        <w:t>no es más que un valor agregado para el contratista en consideración al registro documentado del hecho de haberlo ejecutado, es decir de haber cumplido las consideraciones pactadas, asunto que alude a un estado adquirido por el contratante en función de la real ejecución que han hecho del contrato. La experiencia predicada de un sujeto comprende unas competencias o habilidades que este obtuvo, como consecuencia de la ejecución del contrato […]</w:t>
      </w:r>
      <w:r w:rsidRPr="008C5EF6">
        <w:rPr>
          <w:rFonts w:ascii="Verdana" w:hAnsi="Verdana" w:cs="Arial"/>
          <w:lang w:val="es-ES"/>
        </w:rPr>
        <w:t>”</w:t>
      </w:r>
      <w:r w:rsidRPr="008C5EF6">
        <w:rPr>
          <w:rFonts w:ascii="Verdana" w:hAnsi="Verdana" w:cs="Arial"/>
          <w:vertAlign w:val="superscript"/>
          <w:lang w:val="es-ES"/>
        </w:rPr>
        <w:footnoteReference w:id="14"/>
      </w:r>
      <w:r w:rsidRPr="008C5EF6">
        <w:rPr>
          <w:rFonts w:ascii="Verdana" w:hAnsi="Verdana" w:cs="Arial"/>
          <w:lang w:val="es-ES"/>
        </w:rPr>
        <w:t xml:space="preserve">. En tal sentido, la ejecución del contrato “se revela como un aspecto inherente a la persona que lo ejecutó”, por lo que es en virtud de dicha ejecución que se obtiene las habilidades y competencias que califican al proponente. </w:t>
      </w:r>
      <w:bookmarkEnd w:id="11"/>
    </w:p>
    <w:p w14:paraId="41334E82" w14:textId="77777777" w:rsidR="008C5EF6" w:rsidRPr="008C5EF6" w:rsidRDefault="008C5EF6" w:rsidP="008C5EF6">
      <w:pPr>
        <w:spacing w:before="120" w:after="0"/>
        <w:ind w:left="720"/>
        <w:contextualSpacing/>
        <w:jc w:val="both"/>
        <w:rPr>
          <w:rFonts w:ascii="Verdana" w:eastAsia="Calibri" w:hAnsi="Verdana" w:cs="Arial"/>
          <w:lang w:val="es-ES"/>
        </w:rPr>
      </w:pPr>
    </w:p>
    <w:p w14:paraId="6857B4BB" w14:textId="77777777" w:rsidR="008C5EF6" w:rsidRPr="008C5EF6" w:rsidRDefault="008C5EF6" w:rsidP="008C5EF6">
      <w:pPr>
        <w:numPr>
          <w:ilvl w:val="0"/>
          <w:numId w:val="18"/>
        </w:numPr>
        <w:spacing w:before="120" w:after="0"/>
        <w:contextualSpacing/>
        <w:jc w:val="both"/>
        <w:rPr>
          <w:rFonts w:ascii="Verdana" w:eastAsia="Calibri" w:hAnsi="Verdana" w:cs="Arial"/>
          <w:lang w:val="es-ES"/>
        </w:rPr>
      </w:pPr>
      <w:r w:rsidRPr="008C5EF6">
        <w:rPr>
          <w:rFonts w:ascii="Verdana" w:eastAsia="Calibri" w:hAnsi="Verdana" w:cs="Arial"/>
          <w:lang w:val="es-ES"/>
        </w:rPr>
        <w:t>Finalmente,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evento en el cual, por tratarse de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que puede funcionar para las exigencias de la entidad ayudando a que exista pluralidad de oferentes. También recomienda que la experiencia no se limite en el tiempo, “</w:t>
      </w:r>
      <w:r w:rsidRPr="008C5EF6">
        <w:rPr>
          <w:rFonts w:ascii="Verdana" w:eastAsia="Times New Roman" w:hAnsi="Verdana" w:cs="Arial"/>
          <w:sz w:val="21"/>
          <w:szCs w:val="21"/>
          <w:lang w:val="es-ES_tradnl" w:eastAsia="es-MX"/>
        </w:rPr>
        <w:t>lo anterior, en la medida que la experiencia no se agota con el paso del tiempo y, por el contrario, ello supone que los proponentes adquieren mayor experiencia siempre que continúen con el desarrollo de sus actividades”</w:t>
      </w:r>
      <w:r w:rsidRPr="008C5EF6">
        <w:rPr>
          <w:rFonts w:ascii="Verdana" w:eastAsia="Calibri" w:hAnsi="Verdana" w:cs="Arial"/>
          <w:lang w:val="es-ES"/>
        </w:rPr>
        <w:t>:</w:t>
      </w:r>
    </w:p>
    <w:p w14:paraId="07BD4C2B" w14:textId="77777777" w:rsidR="008C5EF6" w:rsidRPr="008C5EF6" w:rsidRDefault="008C5EF6" w:rsidP="008C5EF6">
      <w:pPr>
        <w:ind w:left="720"/>
        <w:contextualSpacing/>
        <w:rPr>
          <w:rFonts w:ascii="Verdana" w:eastAsia="Calibri" w:hAnsi="Verdana" w:cs="Arial"/>
          <w:lang w:val="es-ES"/>
        </w:rPr>
      </w:pPr>
    </w:p>
    <w:p w14:paraId="041FC61F"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val="es-ES_tradnl" w:eastAsia="es-MX"/>
        </w:rPr>
      </w:pPr>
      <w:r w:rsidRPr="008C5EF6">
        <w:rPr>
          <w:rFonts w:ascii="Verdana" w:eastAsia="Times New Roman" w:hAnsi="Verdana" w:cs="Arial"/>
          <w:sz w:val="21"/>
          <w:szCs w:val="21"/>
          <w:lang w:val="es-ES_tradnl" w:eastAsia="es-MX"/>
        </w:rPr>
        <w:lastRenderedPageBreak/>
        <w:t xml:space="preserve">De otra parte, la experiencia es proporcional cuando tiene relación con el alcance, la cuantía, riesgo y la complejidad del negocio a celebrar. Por ejemplo, en una obra pública con un presupuesto oficial de 100 SMMLV, la experiencia exigida es proporcional si se exige que los proponentes hayan participado en Procesos de Contratación con cuantías similares.  </w:t>
      </w:r>
    </w:p>
    <w:p w14:paraId="52004517"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val="es-ES_tradnl" w:eastAsia="es-MX"/>
        </w:rPr>
      </w:pPr>
      <w:r w:rsidRPr="008C5EF6">
        <w:rPr>
          <w:rFonts w:ascii="Verdana" w:eastAsia="Times New Roman" w:hAnsi="Verdana" w:cs="Arial"/>
          <w:sz w:val="21"/>
          <w:szCs w:val="21"/>
          <w:lang w:val="es-ES_tradnl" w:eastAsia="es-MX"/>
        </w:rPr>
        <w:t>(…)</w:t>
      </w:r>
    </w:p>
    <w:p w14:paraId="6F67552D"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val="es-ES_tradnl" w:eastAsia="es-MX"/>
        </w:rPr>
      </w:pPr>
      <w:r w:rsidRPr="008C5EF6">
        <w:rPr>
          <w:rFonts w:ascii="Verdana" w:eastAsia="Times New Roman" w:hAnsi="Verdana" w:cs="Arial"/>
          <w:sz w:val="21"/>
          <w:szCs w:val="21"/>
          <w:lang w:val="es-ES_tradnl" w:eastAsia="es-MX"/>
        </w:rPr>
        <w:t>Los proponentes deben registrar en el RUP, sin restricción alguna de cantidad o fecha de suscripción, los contratos que hayan celebrado para suministrar bienes, obras y/o servicios, identificándolos con el Clasificador de Bienes y Servicios en el tercer nivel17 y expresar el valor del acuerdo de voluntades respectivo en SMMLV. Lo anterior, en la medida que la experiencia no se agota con el paso del tiempo y, por el contrario, ello supone que los proponentes adquieren mayor experiencia siempre que continúen con el desarrollo de sus actividades</w:t>
      </w:r>
      <w:r w:rsidRPr="008C5EF6">
        <w:rPr>
          <w:rFonts w:ascii="Verdana" w:eastAsia="Times New Roman" w:hAnsi="Verdana" w:cs="Arial"/>
          <w:sz w:val="21"/>
          <w:szCs w:val="21"/>
          <w:vertAlign w:val="superscript"/>
          <w:lang w:val="es-ES_tradnl" w:eastAsia="es-MX"/>
        </w:rPr>
        <w:footnoteReference w:id="15"/>
      </w:r>
      <w:r w:rsidRPr="008C5EF6">
        <w:rPr>
          <w:rFonts w:ascii="Verdana" w:eastAsia="Times New Roman" w:hAnsi="Verdana" w:cs="Arial"/>
          <w:sz w:val="21"/>
          <w:szCs w:val="21"/>
          <w:lang w:val="es-ES_tradnl" w:eastAsia="es-MX"/>
        </w:rPr>
        <w:t>.</w:t>
      </w:r>
    </w:p>
    <w:p w14:paraId="6A3B86AC" w14:textId="77777777" w:rsidR="008C5EF6" w:rsidRPr="008C5EF6" w:rsidRDefault="008C5EF6" w:rsidP="008C5EF6">
      <w:pPr>
        <w:spacing w:after="0" w:line="240" w:lineRule="auto"/>
        <w:ind w:left="709" w:right="709"/>
        <w:contextualSpacing/>
        <w:jc w:val="both"/>
        <w:rPr>
          <w:rFonts w:ascii="Verdana" w:eastAsia="Times New Roman" w:hAnsi="Verdana" w:cs="Arial"/>
          <w:sz w:val="21"/>
          <w:szCs w:val="21"/>
          <w:lang w:val="es-ES_tradnl" w:eastAsia="es-MX"/>
        </w:rPr>
      </w:pPr>
    </w:p>
    <w:p w14:paraId="08AA60E9" w14:textId="77777777" w:rsidR="008C5EF6" w:rsidRPr="008C5EF6" w:rsidRDefault="008C5EF6" w:rsidP="008C5EF6">
      <w:pPr>
        <w:numPr>
          <w:ilvl w:val="0"/>
          <w:numId w:val="18"/>
        </w:numPr>
        <w:spacing w:before="120" w:after="0"/>
        <w:contextualSpacing/>
        <w:jc w:val="both"/>
        <w:rPr>
          <w:rFonts w:ascii="Verdana" w:eastAsia="Calibri" w:hAnsi="Verdana" w:cs="Arial"/>
          <w:lang w:val="es-ES"/>
        </w:rPr>
      </w:pPr>
      <w:r w:rsidRPr="008C5EF6">
        <w:rPr>
          <w:rFonts w:ascii="Verdana" w:eastAsia="Calibri" w:hAnsi="Verdana" w:cs="Arial"/>
          <w:lang w:val="es-ES"/>
        </w:rPr>
        <w:t xml:space="preserve">En todo caso, se resalta que las entidades estatales son autónomas en la estructuración de sus procedimientos contractuales, por lo cual en sus pliegos de condiciones pueden establecer las reglas de acreditación de la experiencia de los proponentes, siempre que esta sea proporcional, de acuerdo con los estudios y documentos previos.   </w:t>
      </w:r>
    </w:p>
    <w:p w14:paraId="0B5477C1" w14:textId="77777777" w:rsidR="008C5EF6" w:rsidRPr="008C5EF6" w:rsidRDefault="008C5EF6" w:rsidP="008C5EF6">
      <w:pPr>
        <w:ind w:left="720"/>
        <w:contextualSpacing/>
        <w:rPr>
          <w:rFonts w:ascii="Verdana" w:eastAsia="Calibri" w:hAnsi="Verdana" w:cs="Arial"/>
          <w:bCs/>
          <w:szCs w:val="24"/>
          <w:lang w:val="es-ES" w:eastAsia="es-ES_tradnl"/>
        </w:rPr>
      </w:pPr>
    </w:p>
    <w:p w14:paraId="4282E7ED" w14:textId="77777777" w:rsidR="008C5EF6" w:rsidRPr="008C5EF6" w:rsidRDefault="008C5EF6" w:rsidP="008C5EF6">
      <w:pPr>
        <w:spacing w:after="0" w:line="276" w:lineRule="auto"/>
        <w:ind w:left="709" w:right="709"/>
        <w:contextualSpacing/>
        <w:jc w:val="both"/>
        <w:rPr>
          <w:rFonts w:ascii="Verdana" w:eastAsia="Times New Roman" w:hAnsi="Verdana" w:cs="Arial"/>
          <w:sz w:val="21"/>
          <w:szCs w:val="21"/>
          <w:lang w:val="es-MX" w:eastAsia="es-ES_tradnl"/>
        </w:rPr>
      </w:pPr>
    </w:p>
    <w:p w14:paraId="33084D82" w14:textId="77777777" w:rsidR="008C5EF6" w:rsidRPr="008C5EF6" w:rsidRDefault="008C5EF6" w:rsidP="008C5EF6">
      <w:pPr>
        <w:tabs>
          <w:tab w:val="left" w:pos="142"/>
          <w:tab w:val="left" w:pos="284"/>
        </w:tabs>
        <w:spacing w:after="0" w:line="276" w:lineRule="auto"/>
        <w:jc w:val="both"/>
        <w:rPr>
          <w:rFonts w:ascii="Verdana" w:eastAsia="Century Gothic" w:hAnsi="Verdana" w:cs="Century Gothic"/>
          <w:b/>
          <w:bCs/>
        </w:rPr>
      </w:pPr>
      <w:r w:rsidRPr="008C5EF6">
        <w:rPr>
          <w:rFonts w:ascii="Verdana" w:eastAsia="Century Gothic" w:hAnsi="Verdana" w:cs="Century Gothic"/>
          <w:b/>
          <w:bCs/>
        </w:rPr>
        <w:t>4. Referencias normativas, jurisprudenciales y otras fuentes:</w:t>
      </w:r>
    </w:p>
    <w:p w14:paraId="609248F8" w14:textId="77777777" w:rsidR="008C5EF6" w:rsidRPr="008C5EF6" w:rsidRDefault="008C5EF6" w:rsidP="008C5EF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C5EF6" w:rsidRPr="008C5EF6" w14:paraId="6499DB0D" w14:textId="77777777" w:rsidTr="003521F9">
        <w:trPr>
          <w:trHeight w:val="870"/>
        </w:trPr>
        <w:tc>
          <w:tcPr>
            <w:tcW w:w="8647" w:type="dxa"/>
          </w:tcPr>
          <w:p w14:paraId="67063CA4" w14:textId="77777777" w:rsidR="008C5EF6" w:rsidRPr="008C5EF6" w:rsidRDefault="008C5EF6" w:rsidP="008C5EF6">
            <w:pPr>
              <w:widowControl w:val="0"/>
              <w:numPr>
                <w:ilvl w:val="0"/>
                <w:numId w:val="16"/>
              </w:numPr>
              <w:autoSpaceDE w:val="0"/>
              <w:autoSpaceDN w:val="0"/>
              <w:spacing w:after="120" w:line="276" w:lineRule="auto"/>
              <w:contextualSpacing/>
              <w:jc w:val="both"/>
              <w:rPr>
                <w:rFonts w:ascii="Verdana" w:hAnsi="Verdana" w:cs="Arial"/>
                <w:lang w:val="es-ES"/>
              </w:rPr>
            </w:pPr>
            <w:r w:rsidRPr="008C5EF6">
              <w:rPr>
                <w:rFonts w:ascii="Verdana" w:hAnsi="Verdana" w:cs="Arial"/>
                <w:lang w:val="es-ES"/>
              </w:rPr>
              <w:t xml:space="preserve">Ley 80 de 1993, artículo 25. </w:t>
            </w:r>
          </w:p>
          <w:p w14:paraId="755144A7" w14:textId="77777777" w:rsidR="008C5EF6" w:rsidRPr="008C5EF6" w:rsidRDefault="008C5EF6" w:rsidP="008C5EF6">
            <w:pPr>
              <w:widowControl w:val="0"/>
              <w:numPr>
                <w:ilvl w:val="0"/>
                <w:numId w:val="16"/>
              </w:numPr>
              <w:autoSpaceDE w:val="0"/>
              <w:autoSpaceDN w:val="0"/>
              <w:spacing w:after="120" w:line="276" w:lineRule="auto"/>
              <w:contextualSpacing/>
              <w:jc w:val="both"/>
              <w:rPr>
                <w:rFonts w:ascii="Verdana" w:hAnsi="Verdana" w:cs="Arial"/>
                <w:lang w:val="es-ES"/>
              </w:rPr>
            </w:pPr>
            <w:r w:rsidRPr="008C5EF6">
              <w:rPr>
                <w:rFonts w:ascii="Verdana" w:hAnsi="Verdana" w:cs="Arial"/>
                <w:lang w:val="es-ES"/>
              </w:rPr>
              <w:t>Ley 1150 de 2007, artículo 5 y 6.</w:t>
            </w:r>
          </w:p>
          <w:p w14:paraId="49C3BC25" w14:textId="77777777" w:rsidR="008C5EF6" w:rsidRPr="008C5EF6" w:rsidRDefault="008C5EF6" w:rsidP="008C5EF6">
            <w:pPr>
              <w:widowControl w:val="0"/>
              <w:numPr>
                <w:ilvl w:val="0"/>
                <w:numId w:val="16"/>
              </w:numPr>
              <w:autoSpaceDE w:val="0"/>
              <w:autoSpaceDN w:val="0"/>
              <w:spacing w:after="120" w:line="276" w:lineRule="auto"/>
              <w:contextualSpacing/>
              <w:jc w:val="both"/>
              <w:rPr>
                <w:rFonts w:ascii="Verdana" w:hAnsi="Verdana" w:cs="Arial"/>
                <w:lang w:val="es-ES"/>
              </w:rPr>
            </w:pPr>
            <w:r w:rsidRPr="008C5EF6">
              <w:rPr>
                <w:rFonts w:ascii="Verdana" w:hAnsi="Verdana" w:cs="Arial"/>
                <w:lang w:val="es-ES"/>
              </w:rPr>
              <w:t xml:space="preserve">Decreto 1082 de 2015, artículos 2.2.1.1.2.1.1., </w:t>
            </w:r>
            <w:r w:rsidRPr="008C5EF6">
              <w:rPr>
                <w:rFonts w:ascii="Verdana" w:eastAsia="Calibri" w:hAnsi="Verdana" w:cs="Arial"/>
                <w:bCs/>
                <w:szCs w:val="24"/>
                <w:lang w:val="es-ES" w:eastAsia="es-ES_tradnl"/>
              </w:rPr>
              <w:t>2.2.1.1.2.1.3.,</w:t>
            </w:r>
            <w:r w:rsidRPr="008C5EF6">
              <w:rPr>
                <w:rFonts w:ascii="Verdana" w:hAnsi="Verdana" w:cs="Arial"/>
                <w:lang w:val="es-ES"/>
              </w:rPr>
              <w:t xml:space="preserve"> 2.2.1.1.1.6.1., 2.2.1.1.1.5.2. y 2.2.1.1.1.5.3.</w:t>
            </w:r>
          </w:p>
          <w:p w14:paraId="7515AC7B" w14:textId="77777777" w:rsidR="008C5EF6" w:rsidRPr="008C5EF6" w:rsidRDefault="008C5EF6" w:rsidP="008C5EF6">
            <w:pPr>
              <w:widowControl w:val="0"/>
              <w:numPr>
                <w:ilvl w:val="0"/>
                <w:numId w:val="16"/>
              </w:numPr>
              <w:autoSpaceDE w:val="0"/>
              <w:autoSpaceDN w:val="0"/>
              <w:spacing w:after="120" w:line="276" w:lineRule="auto"/>
              <w:contextualSpacing/>
              <w:jc w:val="both"/>
              <w:rPr>
                <w:rFonts w:ascii="Verdana" w:hAnsi="Verdana" w:cs="Arial"/>
                <w:lang w:val="es-ES"/>
              </w:rPr>
            </w:pPr>
            <w:r w:rsidRPr="008C5EF6">
              <w:rPr>
                <w:rFonts w:ascii="Verdana" w:hAnsi="Verdana" w:cs="Arial"/>
              </w:rPr>
              <w:t>Consejo de Estado. Sección Tercera. Subsección B. Sentencia del 31 de agosto de 2011. Exp. 18.080.</w:t>
            </w:r>
          </w:p>
          <w:p w14:paraId="5B86F11B" w14:textId="77777777" w:rsidR="008C5EF6" w:rsidRPr="008C5EF6" w:rsidRDefault="008C5EF6" w:rsidP="008C5EF6">
            <w:pPr>
              <w:widowControl w:val="0"/>
              <w:numPr>
                <w:ilvl w:val="0"/>
                <w:numId w:val="16"/>
              </w:numPr>
              <w:autoSpaceDE w:val="0"/>
              <w:autoSpaceDN w:val="0"/>
              <w:spacing w:after="120" w:line="276" w:lineRule="auto"/>
              <w:contextualSpacing/>
              <w:jc w:val="both"/>
              <w:rPr>
                <w:rFonts w:ascii="Verdana" w:hAnsi="Verdana" w:cs="Arial"/>
                <w:lang w:val="es-ES"/>
              </w:rPr>
            </w:pPr>
            <w:r w:rsidRPr="008C5EF6">
              <w:rPr>
                <w:rFonts w:ascii="Verdana" w:hAnsi="Verdana" w:cs="Arial"/>
                <w:lang w:val="es-ES"/>
              </w:rPr>
              <w:t>Consejo de Estado. Sección Tercera. Sentencia del 20 de abril del 2022. Radicación Nro. 54482. C.P.: Jaime Enrique Rodríguez Navas.</w:t>
            </w:r>
          </w:p>
          <w:p w14:paraId="62DC6D8D" w14:textId="77777777" w:rsidR="008C5EF6" w:rsidRPr="008C5EF6" w:rsidRDefault="008C5EF6" w:rsidP="008C5EF6">
            <w:pPr>
              <w:widowControl w:val="0"/>
              <w:numPr>
                <w:ilvl w:val="0"/>
                <w:numId w:val="16"/>
              </w:numPr>
              <w:tabs>
                <w:tab w:val="left" w:pos="8419"/>
              </w:tabs>
              <w:autoSpaceDE w:val="0"/>
              <w:autoSpaceDN w:val="0"/>
              <w:spacing w:after="120" w:line="276" w:lineRule="auto"/>
              <w:jc w:val="both"/>
              <w:rPr>
                <w:rFonts w:ascii="Verdana" w:hAnsi="Verdana" w:cs="Arial"/>
                <w:lang w:val="es-ES"/>
              </w:rPr>
            </w:pPr>
            <w:r w:rsidRPr="008C5EF6">
              <w:rPr>
                <w:rFonts w:ascii="Verdana" w:hAnsi="Verdana" w:cs="Arial"/>
                <w:lang w:val="es-ES"/>
              </w:rPr>
              <w:t xml:space="preserve">Colombia Compra Eficiente, Guía de Elaboración de Estudios de Sector - GEES del 24 de junio de 2022. Disponible en: </w:t>
            </w:r>
            <w:r w:rsidRPr="008C5EF6">
              <w:rPr>
                <w:rFonts w:ascii="Geomanist Light" w:hAnsi="Geomanist Light"/>
                <w:lang w:val="es-ES"/>
              </w:rPr>
              <w:t xml:space="preserve"> </w:t>
            </w:r>
            <w:r w:rsidRPr="008C5EF6">
              <w:rPr>
                <w:rFonts w:ascii="Verdana" w:hAnsi="Verdana" w:cs="Arial"/>
                <w:lang w:val="es-ES"/>
              </w:rPr>
              <w:t>chrome-extension://efaidnbmnnnibpcajpcglclefindmkaj/https://www.colombiacompra.gov.co/sites/cce_public/files/cce_documentos/cce-eicp-gi-18._gees_v.2_2.pdf</w:t>
            </w:r>
          </w:p>
          <w:p w14:paraId="3D63A4C5" w14:textId="77777777" w:rsidR="008C5EF6" w:rsidRPr="008C5EF6" w:rsidRDefault="008C5EF6" w:rsidP="008C5EF6">
            <w:pPr>
              <w:widowControl w:val="0"/>
              <w:numPr>
                <w:ilvl w:val="0"/>
                <w:numId w:val="16"/>
              </w:numPr>
              <w:tabs>
                <w:tab w:val="left" w:pos="8419"/>
              </w:tabs>
              <w:autoSpaceDE w:val="0"/>
              <w:autoSpaceDN w:val="0"/>
              <w:spacing w:after="120" w:line="276" w:lineRule="auto"/>
              <w:jc w:val="both"/>
              <w:rPr>
                <w:rFonts w:ascii="Verdana" w:hAnsi="Verdana" w:cs="Arial"/>
                <w:lang w:val="es-ES"/>
              </w:rPr>
            </w:pPr>
            <w:r w:rsidRPr="008C5EF6">
              <w:rPr>
                <w:rFonts w:ascii="Verdana" w:hAnsi="Verdana" w:cs="Arial"/>
                <w:lang w:val="es-ES"/>
              </w:rPr>
              <w:lastRenderedPageBreak/>
              <w:t xml:space="preserve">Colombia Compra Eficiente, Manual para determinar y verificar requisitos habilitantes en los procesos de contratación V3. Disponible en: chrome-extension://efaidnbmnnnibpcajpcglclefindmkaj/https://colombiacompra.gov.co/sites/cce_public/files/cce_documents/cce-eicp-ma-04._manual_requisitos_habilitantes_v3_29-09-2023.pdf </w:t>
            </w:r>
          </w:p>
          <w:p w14:paraId="32B4FEA5" w14:textId="77777777" w:rsidR="008C5EF6" w:rsidRPr="008C5EF6" w:rsidRDefault="008C5EF6" w:rsidP="008C5EF6">
            <w:pPr>
              <w:widowControl w:val="0"/>
              <w:numPr>
                <w:ilvl w:val="0"/>
                <w:numId w:val="16"/>
              </w:numPr>
              <w:tabs>
                <w:tab w:val="left" w:pos="8419"/>
              </w:tabs>
              <w:autoSpaceDE w:val="0"/>
              <w:autoSpaceDN w:val="0"/>
              <w:spacing w:line="276" w:lineRule="auto"/>
              <w:contextualSpacing/>
              <w:jc w:val="both"/>
              <w:rPr>
                <w:rFonts w:ascii="Verdana" w:hAnsi="Verdana" w:cs="Arial"/>
                <w:lang w:val="es-ES"/>
              </w:rPr>
            </w:pPr>
            <w:r w:rsidRPr="008C5EF6">
              <w:rPr>
                <w:rFonts w:ascii="Verdana" w:hAnsi="Verdana" w:cs="Arial"/>
                <w:lang w:val="es-ES"/>
              </w:rPr>
              <w:t>DEIK ACOSTAMADIEDO, Carolina, Guía de Contratación Estatal: Deber de planeación y modalidades de selección, Buenos Aires, 2015.</w:t>
            </w:r>
          </w:p>
        </w:tc>
      </w:tr>
    </w:tbl>
    <w:p w14:paraId="7D757D20" w14:textId="77777777" w:rsidR="008C5EF6" w:rsidRPr="008C5EF6" w:rsidRDefault="008C5EF6" w:rsidP="008C5EF6">
      <w:pPr>
        <w:tabs>
          <w:tab w:val="left" w:pos="142"/>
          <w:tab w:val="left" w:pos="284"/>
        </w:tabs>
        <w:spacing w:after="0" w:line="276" w:lineRule="auto"/>
        <w:jc w:val="both"/>
        <w:rPr>
          <w:rFonts w:ascii="Verdana" w:eastAsia="Century Gothic" w:hAnsi="Verdana" w:cs="Century Gothic"/>
          <w:b/>
          <w:bCs/>
        </w:rPr>
      </w:pPr>
    </w:p>
    <w:p w14:paraId="1F4E3B0C" w14:textId="77777777" w:rsidR="008C5EF6" w:rsidRPr="008C5EF6" w:rsidRDefault="008C5EF6" w:rsidP="008C5EF6">
      <w:pPr>
        <w:tabs>
          <w:tab w:val="left" w:pos="142"/>
          <w:tab w:val="left" w:pos="284"/>
        </w:tabs>
        <w:spacing w:after="0" w:line="276" w:lineRule="auto"/>
        <w:jc w:val="both"/>
        <w:rPr>
          <w:rFonts w:ascii="Verdana" w:eastAsia="Century Gothic" w:hAnsi="Verdana" w:cs="Century Gothic"/>
          <w:b/>
          <w:bCs/>
          <w:lang w:val="es-ES"/>
        </w:rPr>
      </w:pPr>
      <w:r w:rsidRPr="008C5EF6">
        <w:rPr>
          <w:rFonts w:ascii="Verdana" w:eastAsia="Century Gothic" w:hAnsi="Verdana" w:cs="Century Gothic"/>
          <w:b/>
          <w:bCs/>
        </w:rPr>
        <w:t xml:space="preserve">5. </w:t>
      </w:r>
      <w:r w:rsidRPr="008C5EF6">
        <w:rPr>
          <w:rFonts w:ascii="Verdana" w:eastAsia="Century Gothic" w:hAnsi="Verdana" w:cs="Century Gothic"/>
          <w:b/>
          <w:bCs/>
          <w:lang w:val="es-ES"/>
        </w:rPr>
        <w:t>Doctrina de la Agencia Nacional de Contratación Pública:</w:t>
      </w:r>
    </w:p>
    <w:p w14:paraId="173C101B" w14:textId="77777777" w:rsidR="008C5EF6" w:rsidRPr="008C5EF6" w:rsidRDefault="008C5EF6" w:rsidP="008C5EF6">
      <w:pPr>
        <w:spacing w:after="0" w:line="276" w:lineRule="auto"/>
        <w:ind w:firstLine="709"/>
        <w:jc w:val="both"/>
        <w:rPr>
          <w:rFonts w:ascii="Verdana" w:eastAsia="Times New Roman" w:hAnsi="Verdana" w:cs="Arial"/>
          <w:szCs w:val="24"/>
          <w:lang w:val="es-ES" w:eastAsia="es-ES_tradnl"/>
        </w:rPr>
      </w:pPr>
    </w:p>
    <w:p w14:paraId="76429FFE" w14:textId="77777777" w:rsidR="008C5EF6" w:rsidRPr="008C5EF6" w:rsidRDefault="008C5EF6" w:rsidP="008C5EF6">
      <w:pPr>
        <w:widowControl w:val="0"/>
        <w:autoSpaceDE w:val="0"/>
        <w:autoSpaceDN w:val="0"/>
        <w:spacing w:after="0" w:line="276" w:lineRule="auto"/>
        <w:jc w:val="both"/>
        <w:rPr>
          <w:rFonts w:ascii="Verdana" w:hAnsi="Verdana" w:cs="Arial"/>
          <w:color w:val="FF0000"/>
          <w:shd w:val="clear" w:color="auto" w:fill="FFFFFF"/>
          <w:lang w:val="es-ES"/>
        </w:rPr>
      </w:pPr>
      <w:r w:rsidRPr="008C5EF6">
        <w:rPr>
          <w:rFonts w:ascii="Verdana" w:eastAsia="Calibri" w:hAnsi="Verdana" w:cs="Arial"/>
          <w:lang w:val="es-ES_tradnl" w:eastAsia="es-ES_tradnl"/>
        </w:rPr>
        <w:t xml:space="preserve">Sobre la experiencia se pronunció esta Subdirección en los conceptos </w:t>
      </w:r>
      <w:r w:rsidRPr="008C5EF6">
        <w:rPr>
          <w:rFonts w:ascii="Verdana" w:eastAsia="Calibri" w:hAnsi="Verdana" w:cs="Arial"/>
          <w:lang w:val="es-MX"/>
        </w:rPr>
        <w:t>No.      4201913000006471 del 28 de octubre de 2019, 4201912000006711 del 12 de noviembre de 2019 y 4201912000006496 del 15 de noviembre de 2019, las cuales se unificaron en el Concepto CU–060 del 24 de febrero de 2020, que se reitera, entre otros, en los conceptos: C-121 del 3 de marzo de 2020, C-160 del 3 de abril de 2020,  C-013 del 17 de abril de 2020,  C-465 del 27 de julio de 2020,  C-557 del 21 de agosto de 2020, C-573 del 27 de agosto de 2020, C-595 del 21 de septiembre de 2020, C-634 de 21 de noviembre de 2020, C–779 del 18 de enero de 2021, C–802 del 1 de febrero de 2021, C–010 del 16 de febrero de 2021, C–217 del 14 de mayo de 2021, C–250 del 2 de junio de 2021, C-728 de 26 de enero de 2022, C-285 del 20 de mayo de 2022, C-785 del 21 de noviembre de 2022, C-882 del 21 de diciembre de 2022 y C-319 del 13 de agosto de 2024</w:t>
      </w:r>
      <w:r w:rsidRPr="008C5EF6">
        <w:rPr>
          <w:rFonts w:ascii="Verdana" w:eastAsia="Calibri" w:hAnsi="Verdana" w:cs="Arial"/>
          <w:lang w:val="es-ES" w:eastAsia="es-ES_tradnl"/>
        </w:rPr>
        <w:t xml:space="preserve">. </w:t>
      </w:r>
      <w:r w:rsidRPr="008C5EF6">
        <w:rPr>
          <w:rFonts w:ascii="Verdana" w:eastAsia="Calibri" w:hAnsi="Verdana" w:cs="Arial"/>
          <w:lang w:eastAsia="es-ES_tradnl"/>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1" w:tgtFrame="_blank" w:tooltip="Dirección URL original: https://relatoria.colombiacompra.gov.co/. Haga clic o pulse si confía en este vínculo." w:history="1">
        <w:r w:rsidRPr="008C5EF6">
          <w:rPr>
            <w:rFonts w:ascii="Verdana" w:eastAsia="Calibri" w:hAnsi="Verdana" w:cs="Arial"/>
            <w:color w:val="0563C1" w:themeColor="hyperlink"/>
            <w:u w:val="single"/>
            <w:lang w:eastAsia="es-ES_tradnl"/>
          </w:rPr>
          <w:t>https://relatoria.colombiacompra.gov.co/</w:t>
        </w:r>
      </w:hyperlink>
      <w:r w:rsidRPr="008C5EF6">
        <w:rPr>
          <w:rFonts w:ascii="Verdana" w:eastAsia="Calibri" w:hAnsi="Verdana" w:cs="Arial"/>
          <w:lang w:eastAsia="es-ES_tradnl"/>
        </w:rPr>
        <w:t> . Te invitamos también a revisar la tercera edición del  Boletín de Relatoría de 2024 en el cual podrás consultar en detalle el marco normativo de documentos tipo: </w:t>
      </w:r>
      <w:hyperlink r:id="rId12" w:tgtFrame="_blank" w:tooltip="Dirección URL original: https://www.colombiacompra.gov.co/sites/cce_public/files/files_2020/boletin_de_realtoria_iii.pdf. Haga clic o pulse si confía en este vínculo." w:history="1">
        <w:r w:rsidRPr="008C5EF6">
          <w:rPr>
            <w:rFonts w:ascii="Verdana" w:eastAsia="Calibri" w:hAnsi="Verdana" w:cs="Arial"/>
            <w:color w:val="0563C1" w:themeColor="hyperlink"/>
            <w:u w:val="single"/>
            <w:lang w:eastAsia="es-ES_tradnl"/>
          </w:rPr>
          <w:t>https://www.colombiacompra.gov.co/sites/cce_public/files/files_2020/boletin_de_realtoria_iii.pdf</w:t>
        </w:r>
      </w:hyperlink>
    </w:p>
    <w:p w14:paraId="7500B859" w14:textId="77777777" w:rsidR="008C5EF6" w:rsidRPr="008C5EF6" w:rsidRDefault="008C5EF6" w:rsidP="008C5EF6">
      <w:pPr>
        <w:widowControl w:val="0"/>
        <w:autoSpaceDE w:val="0"/>
        <w:autoSpaceDN w:val="0"/>
        <w:spacing w:after="0" w:line="276" w:lineRule="auto"/>
        <w:jc w:val="both"/>
        <w:rPr>
          <w:rFonts w:ascii="Verdana" w:hAnsi="Verdana" w:cs="Arial"/>
          <w:color w:val="000000" w:themeColor="text1"/>
          <w:shd w:val="clear" w:color="auto" w:fill="FFFFFF"/>
          <w:lang w:val="es-ES"/>
        </w:rPr>
      </w:pPr>
    </w:p>
    <w:p w14:paraId="37AD2FE2" w14:textId="77777777" w:rsidR="008C5EF6" w:rsidRPr="008C5EF6" w:rsidRDefault="008C5EF6" w:rsidP="008C5EF6">
      <w:pPr>
        <w:spacing w:after="0" w:line="240" w:lineRule="auto"/>
        <w:jc w:val="both"/>
        <w:rPr>
          <w:rFonts w:ascii="Verdana" w:hAnsi="Verdana"/>
        </w:rPr>
      </w:pPr>
      <w:r w:rsidRPr="008C5EF6">
        <w:rPr>
          <w:rFonts w:ascii="Verdana" w:hAnsi="Verdana"/>
        </w:rPr>
        <w:t xml:space="preserve">Por último, lo invitamos a seguirnos en las redes sociales en las cuales se difunde información institucional: </w:t>
      </w:r>
    </w:p>
    <w:p w14:paraId="0A12CD31" w14:textId="77777777" w:rsidR="008C5EF6" w:rsidRPr="008C5EF6" w:rsidRDefault="008C5EF6" w:rsidP="008C5EF6">
      <w:pPr>
        <w:spacing w:after="0" w:line="240" w:lineRule="auto"/>
        <w:jc w:val="both"/>
        <w:rPr>
          <w:rFonts w:ascii="Verdana" w:hAnsi="Verdana"/>
        </w:rPr>
      </w:pPr>
    </w:p>
    <w:p w14:paraId="0E568D59" w14:textId="77777777" w:rsidR="008C5EF6" w:rsidRPr="008C5EF6" w:rsidRDefault="008C5EF6" w:rsidP="008C5EF6">
      <w:pPr>
        <w:spacing w:after="0" w:line="240" w:lineRule="auto"/>
        <w:jc w:val="both"/>
        <w:rPr>
          <w:rFonts w:ascii="Verdana" w:hAnsi="Verdana"/>
        </w:rPr>
      </w:pPr>
      <w:r w:rsidRPr="008C5EF6">
        <w:rPr>
          <w:rFonts w:ascii="Verdana" w:hAnsi="Verdana"/>
        </w:rPr>
        <w:t xml:space="preserve">Twitter: </w:t>
      </w:r>
      <w:r w:rsidRPr="008C5EF6">
        <w:rPr>
          <w:rFonts w:ascii="Verdana" w:hAnsi="Verdana"/>
          <w:color w:val="4472C4" w:themeColor="accent1"/>
          <w:u w:val="single"/>
        </w:rPr>
        <w:t>@colombiacompra</w:t>
      </w:r>
      <w:r w:rsidRPr="008C5EF6">
        <w:rPr>
          <w:rFonts w:ascii="Verdana" w:hAnsi="Verdana"/>
          <w:color w:val="4472C4" w:themeColor="accent1"/>
        </w:rPr>
        <w:t xml:space="preserve"> </w:t>
      </w:r>
    </w:p>
    <w:p w14:paraId="297939D1" w14:textId="77777777" w:rsidR="008C5EF6" w:rsidRPr="008C5EF6" w:rsidRDefault="008C5EF6" w:rsidP="008C5EF6">
      <w:pPr>
        <w:spacing w:after="0" w:line="240" w:lineRule="auto"/>
        <w:jc w:val="both"/>
        <w:rPr>
          <w:rFonts w:ascii="Verdana" w:hAnsi="Verdana"/>
        </w:rPr>
      </w:pPr>
      <w:r w:rsidRPr="008C5EF6">
        <w:rPr>
          <w:rFonts w:ascii="Verdana" w:hAnsi="Verdana"/>
        </w:rPr>
        <w:lastRenderedPageBreak/>
        <w:t xml:space="preserve">Facebook: </w:t>
      </w:r>
      <w:r w:rsidRPr="008C5EF6">
        <w:rPr>
          <w:rFonts w:ascii="Verdana" w:hAnsi="Verdana"/>
          <w:color w:val="4472C4" w:themeColor="accent1"/>
          <w:u w:val="single"/>
        </w:rPr>
        <w:t>ColombiaCompraEficiente</w:t>
      </w:r>
    </w:p>
    <w:p w14:paraId="2AABE064" w14:textId="77777777" w:rsidR="008C5EF6" w:rsidRPr="008C5EF6" w:rsidRDefault="008C5EF6" w:rsidP="008C5EF6">
      <w:pPr>
        <w:spacing w:after="0" w:line="240" w:lineRule="auto"/>
        <w:jc w:val="both"/>
        <w:rPr>
          <w:rFonts w:ascii="Verdana" w:hAnsi="Verdana"/>
        </w:rPr>
      </w:pPr>
      <w:r w:rsidRPr="008C5EF6">
        <w:rPr>
          <w:rFonts w:ascii="Verdana" w:hAnsi="Verdana"/>
        </w:rPr>
        <w:t xml:space="preserve">LinkedIn: </w:t>
      </w:r>
      <w:r w:rsidRPr="008C5EF6">
        <w:rPr>
          <w:rFonts w:ascii="Verdana" w:hAnsi="Verdana"/>
          <w:color w:val="4472C4" w:themeColor="accent1"/>
          <w:u w:val="single"/>
        </w:rPr>
        <w:t>Agencia Nacional de Contratación Pública - Colombia Compra Eficiente</w:t>
      </w:r>
      <w:r w:rsidRPr="008C5EF6">
        <w:rPr>
          <w:rFonts w:ascii="Verdana" w:hAnsi="Verdana"/>
          <w:color w:val="4472C4" w:themeColor="accent1"/>
        </w:rPr>
        <w:t xml:space="preserve"> </w:t>
      </w:r>
      <w:r w:rsidRPr="008C5EF6">
        <w:rPr>
          <w:rFonts w:ascii="Verdana" w:hAnsi="Verdana"/>
        </w:rPr>
        <w:t xml:space="preserve">Instagram: </w:t>
      </w:r>
      <w:r w:rsidRPr="008C5EF6">
        <w:rPr>
          <w:rFonts w:ascii="Verdana" w:hAnsi="Verdana"/>
          <w:color w:val="4472C4" w:themeColor="accent1"/>
          <w:u w:val="single"/>
        </w:rPr>
        <w:t>@colombiacompraeficiente_cce</w:t>
      </w:r>
    </w:p>
    <w:p w14:paraId="1ECC3186" w14:textId="77777777" w:rsidR="008C5EF6" w:rsidRPr="008C5EF6" w:rsidRDefault="008C5EF6" w:rsidP="008C5EF6">
      <w:pPr>
        <w:widowControl w:val="0"/>
        <w:autoSpaceDE w:val="0"/>
        <w:autoSpaceDN w:val="0"/>
        <w:spacing w:after="0" w:line="276" w:lineRule="auto"/>
        <w:jc w:val="both"/>
        <w:rPr>
          <w:rFonts w:ascii="Verdana" w:hAnsi="Verdana" w:cs="Arial"/>
        </w:rPr>
      </w:pPr>
    </w:p>
    <w:p w14:paraId="1A94A950" w14:textId="77777777" w:rsidR="008C5EF6" w:rsidRPr="008C5EF6" w:rsidRDefault="008C5EF6" w:rsidP="008C5EF6">
      <w:pPr>
        <w:widowControl w:val="0"/>
        <w:autoSpaceDE w:val="0"/>
        <w:autoSpaceDN w:val="0"/>
        <w:spacing w:after="0" w:line="276" w:lineRule="auto"/>
        <w:jc w:val="both"/>
        <w:rPr>
          <w:rFonts w:ascii="Verdana" w:hAnsi="Verdana" w:cs="Arial"/>
          <w:lang w:val="es-ES_tradnl"/>
        </w:rPr>
      </w:pPr>
      <w:r w:rsidRPr="008C5EF6">
        <w:rPr>
          <w:rFonts w:ascii="Verdana" w:hAnsi="Verdana" w:cs="Arial"/>
        </w:rPr>
        <w:t xml:space="preserve">Este concepto tiene el alcance previsto en el artículo 28 del Código de Procedimiento Administrativo y de lo Contencioso Administrativo </w:t>
      </w:r>
      <w:r w:rsidRPr="008C5EF6">
        <w:rPr>
          <w:rFonts w:ascii="Verdana" w:hAnsi="Verdana" w:cs="Arial"/>
          <w:lang w:val="es-ES_tradnl"/>
        </w:rPr>
        <w:t>y las expresiones aquí utilizadas con mayúscula inicial deben ser entendidas con el significado que les otorga el artículo 2.2.1.1.1.3.1. del Decreto 1082 de 2015.</w:t>
      </w:r>
    </w:p>
    <w:p w14:paraId="54302E6A" w14:textId="77777777" w:rsidR="008C5EF6" w:rsidRPr="008C5EF6" w:rsidRDefault="008C5EF6" w:rsidP="008C5EF6">
      <w:pPr>
        <w:spacing w:after="0" w:line="276" w:lineRule="auto"/>
        <w:ind w:firstLine="709"/>
        <w:jc w:val="both"/>
        <w:rPr>
          <w:rFonts w:ascii="Verdana" w:eastAsia="Times New Roman" w:hAnsi="Verdana" w:cs="Arial"/>
          <w:szCs w:val="24"/>
          <w:lang w:val="es-ES_tradnl" w:eastAsia="es-ES_tradnl"/>
        </w:rPr>
      </w:pPr>
    </w:p>
    <w:p w14:paraId="577175DE" w14:textId="77777777" w:rsidR="008C5EF6" w:rsidRPr="008C5EF6" w:rsidRDefault="008C5EF6" w:rsidP="008C5EF6">
      <w:pPr>
        <w:spacing w:after="0" w:line="276" w:lineRule="auto"/>
        <w:jc w:val="both"/>
        <w:rPr>
          <w:rFonts w:ascii="Verdana" w:eastAsia="Times New Roman" w:hAnsi="Verdana" w:cs="Arial"/>
          <w:lang w:val="es-ES_tradnl" w:eastAsia="es-CO"/>
        </w:rPr>
      </w:pPr>
      <w:bookmarkStart w:id="12" w:name="_Hlk117695077"/>
      <w:r w:rsidRPr="008C5EF6">
        <w:rPr>
          <w:rFonts w:ascii="Verdana" w:eastAsia="Times New Roman" w:hAnsi="Verdana" w:cs="Arial"/>
          <w:lang w:val="es-ES_tradnl" w:eastAsia="es-CO"/>
        </w:rPr>
        <w:t>Atentamente,</w:t>
      </w:r>
    </w:p>
    <w:bookmarkEnd w:id="12"/>
    <w:p w14:paraId="36C3ABED" w14:textId="2E76C368" w:rsidR="008C5EF6" w:rsidRPr="008C5EF6" w:rsidRDefault="00655D8F" w:rsidP="008C5EF6">
      <w:pPr>
        <w:spacing w:after="18" w:line="240" w:lineRule="auto"/>
        <w:jc w:val="center"/>
        <w:rPr>
          <w:rFonts w:ascii="Verdana" w:eastAsia="Times New Roman" w:hAnsi="Verdana" w:cs="Arial"/>
          <w:sz w:val="24"/>
          <w:szCs w:val="24"/>
          <w:lang w:eastAsia="es-CO"/>
        </w:rPr>
      </w:pPr>
      <w:r w:rsidRPr="002C3AD6">
        <w:rPr>
          <w:rFonts w:ascii="Century Gothic" w:hAnsi="Century Gothic"/>
          <w:noProof/>
        </w:rPr>
        <w:drawing>
          <wp:inline distT="0" distB="0" distL="0" distR="0" wp14:anchorId="1D3335C4" wp14:editId="50A25088">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stretch>
                      <a:fillRect/>
                    </a:stretch>
                  </pic:blipFill>
                  <pic:spPr>
                    <a:xfrm>
                      <a:off x="0" y="0"/>
                      <a:ext cx="3772426" cy="1400370"/>
                    </a:xfrm>
                    <a:prstGeom prst="rect">
                      <a:avLst/>
                    </a:prstGeom>
                  </pic:spPr>
                </pic:pic>
              </a:graphicData>
            </a:graphic>
          </wp:inline>
        </w:drawing>
      </w:r>
    </w:p>
    <w:p w14:paraId="0BA77A9E" w14:textId="77777777" w:rsidR="008C5EF6" w:rsidRPr="008C5EF6" w:rsidRDefault="008C5EF6" w:rsidP="008C5EF6">
      <w:pPr>
        <w:spacing w:after="18" w:line="240" w:lineRule="auto"/>
        <w:jc w:val="center"/>
        <w:rPr>
          <w:rFonts w:ascii="Verdana" w:eastAsia="Times New Roman" w:hAnsi="Verdana" w:cs="Arial"/>
          <w:sz w:val="24"/>
          <w:szCs w:val="24"/>
          <w:lang w:eastAsia="es-CO"/>
        </w:rPr>
      </w:pP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8C5EF6" w:rsidRPr="008C5EF6" w14:paraId="4FDBCA32" w14:textId="77777777" w:rsidTr="000642D5">
        <w:trPr>
          <w:trHeight w:val="286"/>
        </w:trPr>
        <w:tc>
          <w:tcPr>
            <w:tcW w:w="893" w:type="dxa"/>
            <w:vAlign w:val="center"/>
            <w:hideMark/>
          </w:tcPr>
          <w:p w14:paraId="3317B8DF" w14:textId="77777777" w:rsidR="008C5EF6" w:rsidRPr="008C5EF6" w:rsidRDefault="008C5EF6" w:rsidP="008C5EF6">
            <w:pPr>
              <w:rPr>
                <w:rFonts w:ascii="Verdana" w:hAnsi="Verdana" w:cs="Arial"/>
                <w:sz w:val="14"/>
                <w:szCs w:val="14"/>
                <w:lang w:eastAsia="es-ES"/>
              </w:rPr>
            </w:pPr>
            <w:r w:rsidRPr="008C5EF6">
              <w:rPr>
                <w:rFonts w:ascii="Verdana"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301C02B4" w14:textId="77777777" w:rsidR="008C5EF6" w:rsidRPr="008C5EF6" w:rsidRDefault="008C5EF6" w:rsidP="008C5EF6">
            <w:pPr>
              <w:rPr>
                <w:rFonts w:ascii="Verdana" w:hAnsi="Verdana" w:cs="Arial"/>
                <w:sz w:val="16"/>
                <w:szCs w:val="16"/>
                <w:lang w:val="es-ES_tradnl" w:eastAsia="es-ES"/>
              </w:rPr>
            </w:pPr>
            <w:r w:rsidRPr="008C5EF6">
              <w:rPr>
                <w:rFonts w:ascii="Verdana" w:hAnsi="Verdana" w:cs="Arial"/>
                <w:sz w:val="16"/>
                <w:szCs w:val="16"/>
                <w:lang w:val="es-ES_tradnl" w:eastAsia="es-ES"/>
              </w:rPr>
              <w:t>Ximena Ríos López</w:t>
            </w:r>
          </w:p>
          <w:p w14:paraId="3DA07601" w14:textId="77777777" w:rsidR="008C5EF6" w:rsidRPr="008C5EF6" w:rsidRDefault="008C5EF6" w:rsidP="008C5EF6">
            <w:pPr>
              <w:rPr>
                <w:rFonts w:ascii="Verdana" w:hAnsi="Verdana" w:cs="Arial"/>
                <w:sz w:val="14"/>
                <w:szCs w:val="14"/>
                <w:lang w:eastAsia="es-ES"/>
              </w:rPr>
            </w:pPr>
            <w:r w:rsidRPr="008C5EF6">
              <w:rPr>
                <w:rFonts w:ascii="Verdana" w:hAnsi="Verdana" w:cs="Arial"/>
                <w:sz w:val="16"/>
                <w:szCs w:val="16"/>
                <w:lang w:eastAsia="es-ES"/>
              </w:rPr>
              <w:t>Gestor T1-11 de la Subdirección de Gestión Contractual</w:t>
            </w:r>
          </w:p>
        </w:tc>
      </w:tr>
      <w:tr w:rsidR="008C5EF6" w:rsidRPr="008C5EF6" w14:paraId="1FFB03A2" w14:textId="77777777" w:rsidTr="000642D5">
        <w:trPr>
          <w:trHeight w:val="299"/>
        </w:trPr>
        <w:tc>
          <w:tcPr>
            <w:tcW w:w="893" w:type="dxa"/>
            <w:vAlign w:val="center"/>
            <w:hideMark/>
          </w:tcPr>
          <w:p w14:paraId="3DE8C518" w14:textId="77777777" w:rsidR="008C5EF6" w:rsidRPr="008C5EF6" w:rsidRDefault="008C5EF6" w:rsidP="008C5EF6">
            <w:pPr>
              <w:rPr>
                <w:rFonts w:ascii="Verdana" w:hAnsi="Verdana" w:cs="Arial"/>
                <w:sz w:val="14"/>
                <w:szCs w:val="14"/>
                <w:lang w:eastAsia="es-ES"/>
              </w:rPr>
            </w:pPr>
            <w:r w:rsidRPr="008C5EF6">
              <w:rPr>
                <w:rFonts w:ascii="Verdana"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25DDF6E6" w14:textId="77777777" w:rsidR="008C5EF6" w:rsidRPr="008C5EF6" w:rsidRDefault="008C5EF6" w:rsidP="008C5EF6">
            <w:pPr>
              <w:rPr>
                <w:rFonts w:ascii="Verdana" w:hAnsi="Verdana" w:cs="Arial"/>
                <w:sz w:val="16"/>
                <w:szCs w:val="16"/>
                <w:lang w:val="es-ES_tradnl" w:eastAsia="es-ES"/>
              </w:rPr>
            </w:pPr>
            <w:r w:rsidRPr="008C5EF6">
              <w:rPr>
                <w:rFonts w:ascii="Verdana" w:hAnsi="Verdana" w:cs="Arial"/>
                <w:sz w:val="16"/>
                <w:szCs w:val="16"/>
                <w:lang w:val="es-ES_tradnl" w:eastAsia="es-ES"/>
              </w:rPr>
              <w:t>Cielo González</w:t>
            </w:r>
          </w:p>
          <w:p w14:paraId="4F558C7A" w14:textId="77777777" w:rsidR="008C5EF6" w:rsidRPr="008C5EF6" w:rsidRDefault="008C5EF6" w:rsidP="008C5EF6">
            <w:pPr>
              <w:rPr>
                <w:rFonts w:ascii="Verdana" w:hAnsi="Verdana" w:cs="Arial"/>
                <w:sz w:val="14"/>
                <w:szCs w:val="14"/>
                <w:lang w:eastAsia="es-ES"/>
              </w:rPr>
            </w:pPr>
            <w:r w:rsidRPr="008C5EF6">
              <w:rPr>
                <w:rFonts w:ascii="Verdana" w:hAnsi="Verdana" w:cs="Arial"/>
                <w:sz w:val="16"/>
                <w:szCs w:val="16"/>
                <w:lang w:eastAsia="es-ES"/>
              </w:rPr>
              <w:t>Contratista de la Subdirección de Gestión Contractual</w:t>
            </w:r>
          </w:p>
        </w:tc>
      </w:tr>
      <w:tr w:rsidR="008C5EF6" w:rsidRPr="008C5EF6" w14:paraId="4E0376D9" w14:textId="77777777" w:rsidTr="000642D5">
        <w:trPr>
          <w:trHeight w:val="272"/>
        </w:trPr>
        <w:tc>
          <w:tcPr>
            <w:tcW w:w="893" w:type="dxa"/>
            <w:vAlign w:val="center"/>
            <w:hideMark/>
          </w:tcPr>
          <w:p w14:paraId="7BC7131F" w14:textId="77777777" w:rsidR="008C5EF6" w:rsidRPr="008C5EF6" w:rsidRDefault="008C5EF6" w:rsidP="008C5EF6">
            <w:pPr>
              <w:rPr>
                <w:rFonts w:ascii="Verdana" w:hAnsi="Verdana" w:cs="Arial"/>
                <w:sz w:val="14"/>
                <w:szCs w:val="14"/>
                <w:lang w:eastAsia="es-ES"/>
              </w:rPr>
            </w:pPr>
            <w:r w:rsidRPr="008C5EF6">
              <w:rPr>
                <w:rFonts w:ascii="Verdana"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1F359216" w14:textId="77777777" w:rsidR="008C5EF6" w:rsidRPr="008C5EF6" w:rsidRDefault="008C5EF6" w:rsidP="008C5EF6">
            <w:pPr>
              <w:rPr>
                <w:rFonts w:ascii="Verdana" w:hAnsi="Verdana" w:cs="Arial"/>
                <w:sz w:val="16"/>
                <w:szCs w:val="16"/>
                <w:lang w:eastAsia="es-ES"/>
              </w:rPr>
            </w:pPr>
            <w:r w:rsidRPr="008C5EF6">
              <w:rPr>
                <w:rFonts w:ascii="Verdana" w:hAnsi="Verdana" w:cs="Arial"/>
                <w:sz w:val="16"/>
                <w:szCs w:val="16"/>
                <w:lang w:eastAsia="es-ES"/>
              </w:rPr>
              <w:t>Carolina Quintero Gacharná</w:t>
            </w:r>
          </w:p>
          <w:p w14:paraId="6532195A" w14:textId="77777777" w:rsidR="008C5EF6" w:rsidRPr="008C5EF6" w:rsidRDefault="008C5EF6" w:rsidP="008C5EF6">
            <w:pPr>
              <w:rPr>
                <w:rFonts w:ascii="Verdana" w:hAnsi="Verdana" w:cs="Arial"/>
                <w:sz w:val="14"/>
                <w:szCs w:val="14"/>
                <w:lang w:eastAsia="es-ES"/>
              </w:rPr>
            </w:pPr>
            <w:r w:rsidRPr="008C5EF6">
              <w:rPr>
                <w:rFonts w:ascii="Verdana" w:hAnsi="Verdana" w:cs="Arial"/>
                <w:sz w:val="16"/>
                <w:szCs w:val="16"/>
                <w:lang w:eastAsia="es-ES"/>
              </w:rPr>
              <w:t>Subdirectora de Gestión Contractual ANCP – CCE</w:t>
            </w:r>
          </w:p>
        </w:tc>
      </w:tr>
    </w:tbl>
    <w:p w14:paraId="75F344E9" w14:textId="77777777" w:rsidR="008C5EF6" w:rsidRPr="008C5EF6" w:rsidRDefault="008C5EF6" w:rsidP="008C5EF6">
      <w:pPr>
        <w:spacing w:after="0" w:line="276" w:lineRule="auto"/>
        <w:jc w:val="both"/>
        <w:rPr>
          <w:rFonts w:ascii="Verdana" w:eastAsia="Times New Roman" w:hAnsi="Verdana" w:cs="Arial"/>
          <w:lang w:val="es-ES_tradnl"/>
        </w:rPr>
      </w:pPr>
    </w:p>
    <w:p w14:paraId="10A795EF" w14:textId="77777777" w:rsidR="008C5EF6" w:rsidRPr="008C5EF6" w:rsidRDefault="008C5EF6" w:rsidP="008C5EF6">
      <w:pPr>
        <w:spacing w:after="0" w:line="240" w:lineRule="auto"/>
        <w:rPr>
          <w:rFonts w:ascii="Verdana" w:eastAsia="Times New Roman" w:hAnsi="Verdana" w:cs="Arial"/>
          <w:sz w:val="24"/>
          <w:szCs w:val="24"/>
          <w:lang w:eastAsia="es-ES_tradnl"/>
        </w:rPr>
      </w:pPr>
    </w:p>
    <w:p w14:paraId="082FABE6" w14:textId="77777777" w:rsidR="008C5EF6" w:rsidRPr="008C5EF6" w:rsidRDefault="008C5EF6" w:rsidP="008C5EF6">
      <w:pPr>
        <w:rPr>
          <w:rFonts w:ascii="Verdana" w:hAnsi="Verdana"/>
        </w:rPr>
      </w:pPr>
    </w:p>
    <w:p w14:paraId="71450DB7" w14:textId="77777777" w:rsidR="00322A85" w:rsidRPr="0044528D" w:rsidRDefault="00322A85" w:rsidP="00E245AB">
      <w:pPr>
        <w:spacing w:after="0"/>
        <w:jc w:val="both"/>
        <w:rPr>
          <w:rStyle w:val="Hipervnculo"/>
          <w:rFonts w:ascii="Verdana" w:hAnsi="Verdana"/>
        </w:rPr>
      </w:pPr>
    </w:p>
    <w:p w14:paraId="48A1EFE8" w14:textId="77777777" w:rsidR="002707A2" w:rsidRPr="0044528D" w:rsidRDefault="002707A2" w:rsidP="00E245AB">
      <w:pPr>
        <w:spacing w:after="0"/>
        <w:jc w:val="both"/>
        <w:rPr>
          <w:rStyle w:val="Hipervnculo"/>
          <w:rFonts w:ascii="Verdana" w:hAnsi="Verdana"/>
        </w:rPr>
      </w:pPr>
    </w:p>
    <w:bookmarkEnd w:id="0"/>
    <w:p w14:paraId="62357DF3" w14:textId="77777777" w:rsidR="002707A2" w:rsidRPr="0044528D" w:rsidRDefault="002707A2" w:rsidP="00E245AB">
      <w:pPr>
        <w:spacing w:after="0"/>
        <w:jc w:val="both"/>
        <w:rPr>
          <w:rStyle w:val="Hipervnculo"/>
          <w:rFonts w:ascii="Verdana" w:hAnsi="Verdana"/>
        </w:rPr>
      </w:pPr>
    </w:p>
    <w:sectPr w:rsidR="002707A2" w:rsidRPr="0044528D"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B2CB3A" w14:textId="77777777" w:rsidR="00573B13" w:rsidRDefault="00573B13" w:rsidP="004A1847">
      <w:pPr>
        <w:spacing w:after="0" w:line="240" w:lineRule="auto"/>
      </w:pPr>
      <w:r>
        <w:separator/>
      </w:r>
    </w:p>
  </w:endnote>
  <w:endnote w:type="continuationSeparator" w:id="0">
    <w:p w14:paraId="1AF2D37B" w14:textId="77777777" w:rsidR="00573B13" w:rsidRDefault="00573B13" w:rsidP="004A1847">
      <w:pPr>
        <w:spacing w:after="0" w:line="240" w:lineRule="auto"/>
      </w:pPr>
      <w:r>
        <w:continuationSeparator/>
      </w:r>
    </w:p>
  </w:endnote>
  <w:endnote w:type="continuationNotice" w:id="1">
    <w:p w14:paraId="72B43AD8" w14:textId="77777777" w:rsidR="00573B13" w:rsidRDefault="00573B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D1186C" w14:textId="77777777" w:rsidR="00573B13" w:rsidRDefault="00573B13" w:rsidP="004A1847">
      <w:pPr>
        <w:spacing w:after="0" w:line="240" w:lineRule="auto"/>
      </w:pPr>
      <w:r>
        <w:separator/>
      </w:r>
    </w:p>
  </w:footnote>
  <w:footnote w:type="continuationSeparator" w:id="0">
    <w:p w14:paraId="7129D1DC" w14:textId="77777777" w:rsidR="00573B13" w:rsidRDefault="00573B13" w:rsidP="004A1847">
      <w:pPr>
        <w:spacing w:after="0" w:line="240" w:lineRule="auto"/>
      </w:pPr>
      <w:r>
        <w:continuationSeparator/>
      </w:r>
    </w:p>
  </w:footnote>
  <w:footnote w:type="continuationNotice" w:id="1">
    <w:p w14:paraId="7663469C" w14:textId="77777777" w:rsidR="00573B13" w:rsidRDefault="00573B13">
      <w:pPr>
        <w:spacing w:after="0" w:line="240" w:lineRule="auto"/>
      </w:pPr>
    </w:p>
  </w:footnote>
  <w:footnote w:id="2">
    <w:p w14:paraId="34F22FF3" w14:textId="77777777" w:rsidR="008C5EF6" w:rsidRPr="00E26A5B" w:rsidRDefault="008C5EF6" w:rsidP="008C5EF6">
      <w:pPr>
        <w:spacing w:after="0" w:line="240" w:lineRule="auto"/>
        <w:ind w:firstLine="707"/>
        <w:contextualSpacing/>
        <w:jc w:val="both"/>
        <w:rPr>
          <w:rFonts w:ascii="Verdana" w:hAnsi="Verdana" w:cs="Arial"/>
          <w:sz w:val="10"/>
          <w:szCs w:val="10"/>
        </w:rPr>
      </w:pPr>
      <w:r w:rsidRPr="00E26A5B">
        <w:rPr>
          <w:rStyle w:val="Refdenotaalpie"/>
          <w:rFonts w:ascii="Verdana" w:hAnsi="Verdana" w:cs="Arial"/>
          <w:sz w:val="10"/>
          <w:szCs w:val="10"/>
        </w:rPr>
        <w:footnoteRef/>
      </w:r>
      <w:r w:rsidRPr="00E26A5B">
        <w:rPr>
          <w:rFonts w:ascii="Verdana" w:hAnsi="Verdana" w:cs="Arial"/>
          <w:position w:val="6"/>
          <w:sz w:val="10"/>
          <w:szCs w:val="10"/>
        </w:rPr>
        <w:t xml:space="preserve"> </w:t>
      </w:r>
      <w:r w:rsidRPr="00E26A5B">
        <w:rPr>
          <w:rFonts w:ascii="Verdana" w:hAnsi="Verdana" w:cs="Arial"/>
          <w:sz w:val="10"/>
          <w:szCs w:val="10"/>
        </w:rPr>
        <w:t>DEIK ACOSTAMADIEDO, Carolina, Guía de Contratación Estatal: Deber de planeación y modalidades de selección, Buenos Aires, 2015, p. 59.</w:t>
      </w:r>
    </w:p>
    <w:p w14:paraId="4A264608" w14:textId="77777777" w:rsidR="008C5EF6" w:rsidRPr="00E26A5B" w:rsidRDefault="008C5EF6" w:rsidP="008C5EF6">
      <w:pPr>
        <w:pStyle w:val="Textonotapie"/>
        <w:contextualSpacing/>
        <w:jc w:val="both"/>
        <w:rPr>
          <w:rFonts w:ascii="Verdana" w:hAnsi="Verdana" w:cs="Arial"/>
          <w:sz w:val="10"/>
          <w:szCs w:val="10"/>
        </w:rPr>
      </w:pPr>
    </w:p>
  </w:footnote>
  <w:footnote w:id="3">
    <w:p w14:paraId="3959890F" w14:textId="77777777" w:rsidR="008C5EF6" w:rsidRPr="00E26A5B" w:rsidRDefault="008C5EF6" w:rsidP="008C5EF6">
      <w:pPr>
        <w:pStyle w:val="Textoindependiente"/>
        <w:spacing w:after="0" w:line="240" w:lineRule="auto"/>
        <w:ind w:firstLine="709"/>
        <w:contextualSpacing/>
        <w:jc w:val="both"/>
        <w:rPr>
          <w:rFonts w:ascii="Verdana" w:hAnsi="Verdana" w:cs="Arial"/>
          <w:sz w:val="10"/>
          <w:szCs w:val="10"/>
        </w:rPr>
      </w:pPr>
      <w:r w:rsidRPr="00E26A5B">
        <w:rPr>
          <w:rStyle w:val="Refdenotaalpie"/>
          <w:rFonts w:ascii="Verdana" w:hAnsi="Verdana" w:cs="Arial"/>
          <w:sz w:val="10"/>
          <w:szCs w:val="10"/>
        </w:rPr>
        <w:footnoteRef/>
      </w:r>
      <w:r w:rsidRPr="00E26A5B">
        <w:rPr>
          <w:rFonts w:ascii="Verdana" w:hAnsi="Verdana" w:cs="Arial"/>
          <w:sz w:val="10"/>
          <w:szCs w:val="10"/>
        </w:rPr>
        <w:t xml:space="preserve"> “Artículo </w:t>
      </w:r>
      <w:bookmarkStart w:id="3" w:name="_Hlk54173885"/>
      <w:r w:rsidRPr="00E26A5B">
        <w:rPr>
          <w:rFonts w:ascii="Verdana" w:hAnsi="Verdana" w:cs="Arial"/>
          <w:sz w:val="10"/>
          <w:szCs w:val="10"/>
        </w:rPr>
        <w:t>2.2.1.1.2.1.1</w:t>
      </w:r>
      <w:bookmarkEnd w:id="3"/>
      <w:r w:rsidRPr="00E26A5B">
        <w:rPr>
          <w:rFonts w:ascii="Verdana" w:hAnsi="Verdana" w:cs="Arial"/>
          <w:sz w:val="10"/>
          <w:szCs w:val="10"/>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3AEBCA5C" w14:textId="77777777" w:rsidR="008C5EF6" w:rsidRPr="00E26A5B" w:rsidRDefault="008C5EF6" w:rsidP="008C5EF6">
      <w:pPr>
        <w:pStyle w:val="Textoindependiente"/>
        <w:spacing w:after="0" w:line="240" w:lineRule="auto"/>
        <w:ind w:firstLine="709"/>
        <w:contextualSpacing/>
        <w:jc w:val="both"/>
        <w:rPr>
          <w:rFonts w:ascii="Verdana" w:hAnsi="Verdana" w:cs="Arial"/>
          <w:sz w:val="10"/>
          <w:szCs w:val="10"/>
        </w:rPr>
      </w:pPr>
    </w:p>
    <w:p w14:paraId="02BEF0F6" w14:textId="77777777" w:rsidR="008C5EF6" w:rsidRPr="00E26A5B" w:rsidRDefault="008C5EF6" w:rsidP="008C5EF6">
      <w:pPr>
        <w:pStyle w:val="Textonotapie"/>
        <w:ind w:firstLine="709"/>
        <w:contextualSpacing/>
        <w:jc w:val="both"/>
        <w:rPr>
          <w:rFonts w:ascii="Verdana" w:hAnsi="Verdana" w:cs="Arial"/>
          <w:sz w:val="10"/>
          <w:szCs w:val="10"/>
        </w:rPr>
      </w:pPr>
    </w:p>
  </w:footnote>
  <w:footnote w:id="4">
    <w:p w14:paraId="722EB00E" w14:textId="77777777" w:rsidR="008C5EF6" w:rsidRPr="00E26A5B" w:rsidRDefault="008C5EF6" w:rsidP="008C5EF6">
      <w:pPr>
        <w:pStyle w:val="Textoindependiente"/>
        <w:spacing w:after="0" w:line="240" w:lineRule="auto"/>
        <w:ind w:firstLine="709"/>
        <w:contextualSpacing/>
        <w:jc w:val="both"/>
        <w:rPr>
          <w:rFonts w:ascii="Verdana" w:hAnsi="Verdana" w:cs="Arial"/>
          <w:sz w:val="10"/>
          <w:szCs w:val="10"/>
        </w:rPr>
      </w:pPr>
      <w:r w:rsidRPr="00E26A5B">
        <w:rPr>
          <w:rStyle w:val="Refdenotaalpie"/>
          <w:rFonts w:ascii="Verdana" w:hAnsi="Verdana" w:cs="Arial"/>
          <w:sz w:val="10"/>
          <w:szCs w:val="10"/>
        </w:rPr>
        <w:footnoteRef/>
      </w:r>
      <w:r w:rsidRPr="00E26A5B">
        <w:rPr>
          <w:rFonts w:ascii="Verdana" w:hAnsi="Verdana" w:cs="Arial"/>
          <w:sz w:val="10"/>
          <w:szCs w:val="10"/>
        </w:rPr>
        <w:t xml:space="preserve"> Consejo de Estado. Sección Tercera. Subsección B. Sentencia del 31 de agosto de 2011. Exp.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p w14:paraId="04250D1E" w14:textId="77777777" w:rsidR="008C5EF6" w:rsidRPr="00E26A5B" w:rsidRDefault="008C5EF6" w:rsidP="008C5EF6">
      <w:pPr>
        <w:pStyle w:val="Textonotapie"/>
        <w:contextualSpacing/>
        <w:jc w:val="both"/>
        <w:rPr>
          <w:rFonts w:ascii="Verdana" w:hAnsi="Verdana" w:cs="Arial"/>
          <w:sz w:val="10"/>
          <w:szCs w:val="10"/>
        </w:rPr>
      </w:pPr>
    </w:p>
  </w:footnote>
  <w:footnote w:id="5">
    <w:p w14:paraId="1C74DE0A" w14:textId="77777777" w:rsidR="008C5EF6" w:rsidRPr="00E26A5B" w:rsidRDefault="008C5EF6" w:rsidP="008C5EF6">
      <w:pPr>
        <w:pStyle w:val="Textonotapie"/>
        <w:ind w:firstLine="708"/>
        <w:contextualSpacing/>
        <w:jc w:val="both"/>
        <w:rPr>
          <w:rFonts w:ascii="Verdana" w:hAnsi="Verdana" w:cs="Arial"/>
          <w:sz w:val="10"/>
          <w:szCs w:val="10"/>
        </w:rPr>
      </w:pPr>
      <w:r w:rsidRPr="00E26A5B">
        <w:rPr>
          <w:rStyle w:val="Refdenotaalpie"/>
          <w:rFonts w:ascii="Verdana" w:hAnsi="Verdana" w:cs="Arial"/>
          <w:sz w:val="10"/>
          <w:szCs w:val="10"/>
        </w:rPr>
        <w:footnoteRef/>
      </w:r>
      <w:r w:rsidRPr="00E26A5B">
        <w:rPr>
          <w:rFonts w:ascii="Verdana" w:hAnsi="Verdana" w:cs="Arial"/>
          <w:sz w:val="10"/>
          <w:szCs w:val="10"/>
        </w:rPr>
        <w:t xml:space="preserve"> Decreto 1082 de 2015: “Artículo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footnote>
  <w:footnote w:id="6">
    <w:p w14:paraId="4A76EA91" w14:textId="77777777" w:rsidR="008C5EF6" w:rsidRPr="00E26A5B" w:rsidRDefault="008C5EF6" w:rsidP="008C5EF6">
      <w:pPr>
        <w:pStyle w:val="Textonotapie"/>
        <w:ind w:firstLine="708"/>
        <w:contextualSpacing/>
        <w:jc w:val="both"/>
        <w:rPr>
          <w:rFonts w:ascii="Verdana" w:hAnsi="Verdana" w:cs="Arial"/>
          <w:sz w:val="10"/>
          <w:szCs w:val="10"/>
        </w:rPr>
      </w:pPr>
      <w:r w:rsidRPr="00E26A5B">
        <w:rPr>
          <w:rStyle w:val="Refdenotaalpie"/>
          <w:rFonts w:ascii="Verdana" w:hAnsi="Verdana" w:cs="Arial"/>
          <w:sz w:val="10"/>
          <w:szCs w:val="10"/>
        </w:rPr>
        <w:footnoteRef/>
      </w:r>
      <w:r w:rsidRPr="00E26A5B">
        <w:rPr>
          <w:rFonts w:ascii="Verdana" w:hAnsi="Verdana" w:cs="Arial"/>
          <w:sz w:val="10"/>
          <w:szCs w:val="10"/>
        </w:rPr>
        <w:t xml:space="preserve"> Colombia Compra Eficiente. </w:t>
      </w:r>
      <w:r w:rsidRPr="00E26A5B">
        <w:rPr>
          <w:rFonts w:ascii="Verdana" w:eastAsia="Calibri" w:hAnsi="Verdana" w:cs="Arial"/>
          <w:bCs/>
          <w:sz w:val="10"/>
          <w:szCs w:val="10"/>
          <w:lang w:val="es-ES_tradnl" w:eastAsia="es-ES_tradnl"/>
        </w:rPr>
        <w:t>Guía de Elaboración de Estudios del Sector</w:t>
      </w:r>
      <w:r w:rsidRPr="00E26A5B">
        <w:rPr>
          <w:rFonts w:ascii="Verdana" w:hAnsi="Verdana" w:cs="Arial"/>
          <w:sz w:val="10"/>
          <w:szCs w:val="10"/>
        </w:rPr>
        <w:t xml:space="preserve">. Disponible en: </w:t>
      </w:r>
      <w:hyperlink r:id="rId1" w:history="1">
        <w:r w:rsidRPr="00E26A5B">
          <w:rPr>
            <w:rStyle w:val="Hipervnculo"/>
            <w:rFonts w:ascii="Verdana" w:hAnsi="Verdana" w:cs="Arial"/>
            <w:sz w:val="10"/>
            <w:szCs w:val="10"/>
          </w:rPr>
          <w:t>https://www.colombiacompra.gov.co/manuales-guias-y-pliegos-tipo/manuales-y-guias</w:t>
        </w:r>
      </w:hyperlink>
      <w:r w:rsidRPr="00E26A5B">
        <w:rPr>
          <w:rFonts w:ascii="Verdana" w:hAnsi="Verdana" w:cs="Arial"/>
          <w:sz w:val="10"/>
          <w:szCs w:val="10"/>
        </w:rPr>
        <w:t xml:space="preserve"> </w:t>
      </w:r>
    </w:p>
    <w:p w14:paraId="4F119AB6" w14:textId="77777777" w:rsidR="008C5EF6" w:rsidRPr="00E26A5B" w:rsidRDefault="008C5EF6" w:rsidP="008C5EF6">
      <w:pPr>
        <w:pStyle w:val="Textonotapie"/>
        <w:ind w:firstLine="708"/>
        <w:contextualSpacing/>
        <w:jc w:val="both"/>
        <w:rPr>
          <w:rFonts w:ascii="Verdana" w:hAnsi="Verdana" w:cs="Arial"/>
          <w:sz w:val="10"/>
          <w:szCs w:val="10"/>
          <w:lang w:val="es-CO"/>
        </w:rPr>
      </w:pPr>
    </w:p>
  </w:footnote>
  <w:footnote w:id="7">
    <w:p w14:paraId="71691061" w14:textId="77777777" w:rsidR="008C5EF6" w:rsidRPr="00E26A5B" w:rsidRDefault="008C5EF6" w:rsidP="008C5EF6">
      <w:pPr>
        <w:pStyle w:val="Textonotapie"/>
        <w:ind w:firstLine="708"/>
        <w:jc w:val="both"/>
        <w:rPr>
          <w:rFonts w:ascii="Verdana" w:hAnsi="Verdana" w:cs="Arial"/>
          <w:sz w:val="10"/>
          <w:szCs w:val="10"/>
        </w:rPr>
      </w:pPr>
      <w:r w:rsidRPr="00E26A5B">
        <w:rPr>
          <w:rStyle w:val="Refdenotaalpie"/>
          <w:rFonts w:ascii="Verdana" w:hAnsi="Verdana" w:cs="Arial"/>
          <w:sz w:val="10"/>
          <w:szCs w:val="10"/>
        </w:rPr>
        <w:footnoteRef/>
      </w:r>
      <w:r w:rsidRPr="00E26A5B">
        <w:rPr>
          <w:rFonts w:ascii="Verdana" w:hAnsi="Verdana" w:cs="Arial"/>
          <w:sz w:val="10"/>
          <w:szCs w:val="10"/>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66A65864" w14:textId="77777777" w:rsidR="008C5EF6" w:rsidRPr="00E26A5B" w:rsidRDefault="008C5EF6" w:rsidP="008C5EF6">
      <w:pPr>
        <w:pStyle w:val="Textonotapie"/>
        <w:ind w:firstLine="708"/>
        <w:jc w:val="both"/>
        <w:rPr>
          <w:rFonts w:ascii="Verdana" w:hAnsi="Verdana" w:cs="Arial"/>
          <w:sz w:val="10"/>
          <w:szCs w:val="10"/>
        </w:rPr>
      </w:pPr>
      <w:r w:rsidRPr="00E26A5B">
        <w:rPr>
          <w:rFonts w:ascii="Verdana" w:hAnsi="Verdana" w:cs="Arial"/>
          <w:sz w:val="10"/>
          <w:szCs w:val="10"/>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1699D79C" w14:textId="77777777" w:rsidR="008C5EF6" w:rsidRPr="00E26A5B" w:rsidRDefault="008C5EF6" w:rsidP="008C5EF6">
      <w:pPr>
        <w:pStyle w:val="Textonotapie"/>
        <w:jc w:val="both"/>
        <w:rPr>
          <w:rFonts w:ascii="Verdana" w:hAnsi="Verdana" w:cs="Arial"/>
          <w:sz w:val="10"/>
          <w:szCs w:val="10"/>
          <w:lang w:val="es-ES"/>
        </w:rPr>
      </w:pPr>
    </w:p>
  </w:footnote>
  <w:footnote w:id="8">
    <w:p w14:paraId="26F14900" w14:textId="77777777" w:rsidR="008C5EF6" w:rsidRPr="00E26A5B" w:rsidRDefault="008C5EF6" w:rsidP="008C5EF6">
      <w:pPr>
        <w:pStyle w:val="Textonotapie"/>
        <w:ind w:firstLine="708"/>
        <w:jc w:val="both"/>
        <w:rPr>
          <w:rFonts w:ascii="Verdana" w:hAnsi="Verdana" w:cs="Arial"/>
          <w:sz w:val="10"/>
          <w:szCs w:val="10"/>
        </w:rPr>
      </w:pPr>
      <w:r w:rsidRPr="00E26A5B">
        <w:rPr>
          <w:rStyle w:val="Refdenotaalpie"/>
          <w:rFonts w:ascii="Verdana" w:hAnsi="Verdana" w:cs="Arial"/>
          <w:sz w:val="10"/>
          <w:szCs w:val="10"/>
        </w:rPr>
        <w:footnoteRef/>
      </w:r>
      <w:r w:rsidRPr="00E26A5B">
        <w:rPr>
          <w:rFonts w:ascii="Verdana" w:hAnsi="Verdana" w:cs="Arial"/>
          <w:sz w:val="10"/>
          <w:szCs w:val="10"/>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118A49DD" w14:textId="77777777" w:rsidR="008C5EF6" w:rsidRPr="00E26A5B" w:rsidRDefault="008C5EF6" w:rsidP="008C5EF6">
      <w:pPr>
        <w:pStyle w:val="Textonotapie"/>
        <w:ind w:firstLine="708"/>
        <w:jc w:val="both"/>
        <w:rPr>
          <w:rFonts w:ascii="Verdana" w:hAnsi="Verdana" w:cs="Arial"/>
          <w:sz w:val="10"/>
          <w:szCs w:val="10"/>
          <w:lang w:val="es-ES"/>
        </w:rPr>
      </w:pPr>
    </w:p>
  </w:footnote>
  <w:footnote w:id="9">
    <w:p w14:paraId="014053FE" w14:textId="77777777" w:rsidR="008C5EF6" w:rsidRPr="00E26A5B" w:rsidRDefault="008C5EF6" w:rsidP="008C5EF6">
      <w:pPr>
        <w:pStyle w:val="Textonotapie"/>
        <w:ind w:firstLine="708"/>
        <w:jc w:val="both"/>
        <w:rPr>
          <w:rFonts w:ascii="Verdana" w:hAnsi="Verdana" w:cs="Arial"/>
          <w:sz w:val="10"/>
          <w:szCs w:val="10"/>
        </w:rPr>
      </w:pPr>
      <w:r w:rsidRPr="00E26A5B">
        <w:rPr>
          <w:rStyle w:val="Refdenotaalpie"/>
          <w:rFonts w:ascii="Verdana" w:hAnsi="Verdana" w:cs="Arial"/>
          <w:sz w:val="10"/>
          <w:szCs w:val="10"/>
        </w:rPr>
        <w:footnoteRef/>
      </w:r>
      <w:r w:rsidRPr="00E26A5B">
        <w:rPr>
          <w:rFonts w:ascii="Verdana" w:hAnsi="Verdana" w:cs="Arial"/>
          <w:sz w:val="10"/>
          <w:szCs w:val="10"/>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1BE2ED4D" w14:textId="77777777" w:rsidR="008C5EF6" w:rsidRPr="00E26A5B" w:rsidRDefault="008C5EF6" w:rsidP="008C5EF6">
      <w:pPr>
        <w:pStyle w:val="Textonotapie"/>
        <w:ind w:firstLine="708"/>
        <w:jc w:val="both"/>
        <w:rPr>
          <w:rFonts w:ascii="Verdana" w:hAnsi="Verdana" w:cs="Arial"/>
          <w:sz w:val="10"/>
          <w:szCs w:val="10"/>
        </w:rPr>
      </w:pPr>
      <w:r w:rsidRPr="00E26A5B">
        <w:rPr>
          <w:rFonts w:ascii="Verdana" w:hAnsi="Verdana" w:cs="Arial"/>
          <w:sz w:val="10"/>
          <w:szCs w:val="10"/>
        </w:rPr>
        <w:t>1. Experiencia – Los contratos celebrados por el interesado para cada uno de los bienes, obras y servicios que ofrecerá a las Entidades Estatales, identificados con el Clasificador de Bienes y Servicios en el tercer nivel y su valor expresado en SMMLV.</w:t>
      </w:r>
    </w:p>
    <w:p w14:paraId="6BB65506" w14:textId="77777777" w:rsidR="008C5EF6" w:rsidRPr="00E26A5B" w:rsidRDefault="008C5EF6" w:rsidP="008C5EF6">
      <w:pPr>
        <w:pStyle w:val="Textonotapie"/>
        <w:ind w:firstLine="708"/>
        <w:jc w:val="both"/>
        <w:rPr>
          <w:rFonts w:ascii="Verdana" w:hAnsi="Verdana" w:cs="Arial"/>
          <w:sz w:val="10"/>
          <w:szCs w:val="10"/>
        </w:rPr>
      </w:pPr>
      <w:r w:rsidRPr="00E26A5B">
        <w:rPr>
          <w:rFonts w:ascii="Verdana" w:hAnsi="Verdana" w:cs="Arial"/>
          <w:sz w:val="10"/>
          <w:szCs w:val="10"/>
        </w:rPr>
        <w:t>[...]”.</w:t>
      </w:r>
    </w:p>
    <w:p w14:paraId="4CE8B968" w14:textId="77777777" w:rsidR="008C5EF6" w:rsidRPr="00E26A5B" w:rsidRDefault="008C5EF6" w:rsidP="008C5EF6">
      <w:pPr>
        <w:pStyle w:val="Textonotapie"/>
        <w:ind w:firstLine="708"/>
        <w:jc w:val="both"/>
        <w:rPr>
          <w:rFonts w:ascii="Verdana" w:hAnsi="Verdana" w:cs="Arial"/>
          <w:sz w:val="10"/>
          <w:szCs w:val="10"/>
          <w:lang w:val="es-ES"/>
        </w:rPr>
      </w:pPr>
    </w:p>
  </w:footnote>
  <w:footnote w:id="10">
    <w:p w14:paraId="171DB482" w14:textId="77777777" w:rsidR="008C5EF6" w:rsidRPr="00E26A5B" w:rsidRDefault="008C5EF6" w:rsidP="008C5EF6">
      <w:pPr>
        <w:pStyle w:val="Textonotapie"/>
        <w:ind w:firstLine="708"/>
        <w:jc w:val="both"/>
        <w:rPr>
          <w:rFonts w:ascii="Verdana" w:hAnsi="Verdana" w:cs="Arial"/>
          <w:sz w:val="10"/>
          <w:szCs w:val="10"/>
        </w:rPr>
      </w:pPr>
      <w:r w:rsidRPr="00E26A5B">
        <w:rPr>
          <w:rStyle w:val="Refdenotaalpie"/>
          <w:rFonts w:ascii="Verdana" w:hAnsi="Verdana" w:cs="Arial"/>
          <w:sz w:val="10"/>
          <w:szCs w:val="10"/>
        </w:rPr>
        <w:footnoteRef/>
      </w:r>
      <w:r w:rsidRPr="00E26A5B">
        <w:rPr>
          <w:rFonts w:ascii="Verdana" w:hAnsi="Verdana" w:cs="Arial"/>
          <w:sz w:val="10"/>
          <w:szCs w:val="10"/>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9A29E04" w14:textId="77777777" w:rsidR="008C5EF6" w:rsidRPr="00E26A5B" w:rsidRDefault="008C5EF6" w:rsidP="008C5EF6">
      <w:pPr>
        <w:pStyle w:val="Textonotapie"/>
        <w:ind w:firstLine="708"/>
        <w:jc w:val="both"/>
        <w:rPr>
          <w:rFonts w:ascii="Verdana" w:hAnsi="Verdana" w:cs="Arial"/>
          <w:sz w:val="10"/>
          <w:szCs w:val="10"/>
        </w:rPr>
      </w:pPr>
      <w:r w:rsidRPr="00E26A5B">
        <w:rPr>
          <w:rFonts w:ascii="Verdana" w:hAnsi="Verdana" w:cs="Arial"/>
          <w:sz w:val="10"/>
          <w:szCs w:val="10"/>
        </w:rPr>
        <w:t>[...]</w:t>
      </w:r>
    </w:p>
    <w:p w14:paraId="1E94E189" w14:textId="77777777" w:rsidR="008C5EF6" w:rsidRPr="00E26A5B" w:rsidRDefault="008C5EF6" w:rsidP="008C5EF6">
      <w:pPr>
        <w:pStyle w:val="Textonotapie"/>
        <w:ind w:firstLine="708"/>
        <w:jc w:val="both"/>
        <w:rPr>
          <w:rFonts w:ascii="Verdana" w:hAnsi="Verdana" w:cs="Arial"/>
          <w:sz w:val="10"/>
          <w:szCs w:val="10"/>
        </w:rPr>
      </w:pPr>
      <w:r w:rsidRPr="00E26A5B">
        <w:rPr>
          <w:rFonts w:ascii="Verdana" w:hAnsi="Verdana" w:cs="Arial"/>
          <w:sz w:val="10"/>
          <w:szCs w:val="10"/>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509D15B1" w14:textId="77777777" w:rsidR="008C5EF6" w:rsidRPr="00E26A5B" w:rsidRDefault="008C5EF6" w:rsidP="008C5EF6">
      <w:pPr>
        <w:pStyle w:val="Textonotapie"/>
        <w:ind w:firstLine="708"/>
        <w:jc w:val="both"/>
        <w:rPr>
          <w:rFonts w:ascii="Verdana" w:hAnsi="Verdana" w:cs="Arial"/>
          <w:sz w:val="10"/>
          <w:szCs w:val="10"/>
        </w:rPr>
      </w:pPr>
      <w:r w:rsidRPr="00E26A5B">
        <w:rPr>
          <w:rFonts w:ascii="Verdana" w:hAnsi="Verdana" w:cs="Arial"/>
          <w:sz w:val="10"/>
          <w:szCs w:val="10"/>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355607BC" w14:textId="77777777" w:rsidR="008C5EF6" w:rsidRPr="00E26A5B" w:rsidRDefault="008C5EF6" w:rsidP="008C5EF6">
      <w:pPr>
        <w:pStyle w:val="Textonotapie"/>
        <w:jc w:val="both"/>
        <w:rPr>
          <w:rFonts w:ascii="Verdana" w:hAnsi="Verdana" w:cs="Arial"/>
          <w:sz w:val="10"/>
          <w:szCs w:val="10"/>
          <w:lang w:val="es-ES"/>
        </w:rPr>
      </w:pPr>
    </w:p>
  </w:footnote>
  <w:footnote w:id="11">
    <w:p w14:paraId="4073885F" w14:textId="77777777" w:rsidR="008C5EF6" w:rsidRPr="00E26A5B" w:rsidRDefault="008C5EF6" w:rsidP="008C5EF6">
      <w:pPr>
        <w:pStyle w:val="Textonotapie"/>
        <w:ind w:firstLine="708"/>
        <w:jc w:val="both"/>
        <w:rPr>
          <w:rFonts w:ascii="Verdana" w:hAnsi="Verdana" w:cs="Arial"/>
          <w:sz w:val="10"/>
          <w:szCs w:val="10"/>
        </w:rPr>
      </w:pPr>
      <w:r w:rsidRPr="00E26A5B">
        <w:rPr>
          <w:rStyle w:val="Refdenotaalpie"/>
          <w:rFonts w:ascii="Verdana" w:hAnsi="Verdana" w:cs="Arial"/>
          <w:sz w:val="10"/>
          <w:szCs w:val="10"/>
        </w:rPr>
        <w:footnoteRef/>
      </w:r>
      <w:r w:rsidRPr="00E26A5B">
        <w:rPr>
          <w:rFonts w:ascii="Verdana" w:hAnsi="Verdana" w:cs="Arial"/>
          <w:sz w:val="10"/>
          <w:szCs w:val="10"/>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B436C85" w14:textId="77777777" w:rsidR="008C5EF6" w:rsidRPr="00E26A5B" w:rsidRDefault="008C5EF6" w:rsidP="008C5EF6">
      <w:pPr>
        <w:pStyle w:val="Textonotapie"/>
        <w:ind w:firstLine="708"/>
        <w:jc w:val="both"/>
        <w:rPr>
          <w:rFonts w:ascii="Verdana" w:hAnsi="Verdana" w:cs="Arial"/>
          <w:sz w:val="10"/>
          <w:szCs w:val="10"/>
        </w:rPr>
      </w:pPr>
      <w:r w:rsidRPr="00E26A5B">
        <w:rPr>
          <w:rFonts w:ascii="Verdana" w:hAnsi="Verdana" w:cs="Arial"/>
          <w:sz w:val="10"/>
          <w:szCs w:val="10"/>
        </w:rPr>
        <w:t>1.    Si es una persona natural:</w:t>
      </w:r>
    </w:p>
    <w:p w14:paraId="54A6F325" w14:textId="77777777" w:rsidR="008C5EF6" w:rsidRPr="00E26A5B" w:rsidRDefault="008C5EF6" w:rsidP="008C5EF6">
      <w:pPr>
        <w:pStyle w:val="Textonotapie"/>
        <w:ind w:firstLine="708"/>
        <w:jc w:val="both"/>
        <w:rPr>
          <w:rFonts w:ascii="Verdana" w:hAnsi="Verdana" w:cs="Arial"/>
          <w:sz w:val="10"/>
          <w:szCs w:val="10"/>
        </w:rPr>
      </w:pPr>
      <w:r w:rsidRPr="00E26A5B">
        <w:rPr>
          <w:rFonts w:ascii="Verdana" w:hAnsi="Verdana" w:cs="Arial"/>
          <w:sz w:val="10"/>
          <w:szCs w:val="10"/>
        </w:rPr>
        <w:t>1.1. Bienes, obras y servicios que ofrecerá a las Entidades Estatales, identificados con el Clasificador de Bienes y Servicios en el tercer nivel.</w:t>
      </w:r>
    </w:p>
    <w:p w14:paraId="23CAC190" w14:textId="77777777" w:rsidR="008C5EF6" w:rsidRPr="00E26A5B" w:rsidRDefault="008C5EF6" w:rsidP="008C5EF6">
      <w:pPr>
        <w:pStyle w:val="Textonotapie"/>
        <w:ind w:firstLine="708"/>
        <w:jc w:val="both"/>
        <w:rPr>
          <w:rFonts w:ascii="Verdana" w:hAnsi="Verdana" w:cs="Arial"/>
          <w:sz w:val="10"/>
          <w:szCs w:val="10"/>
        </w:rPr>
      </w:pPr>
      <w:r w:rsidRPr="00E26A5B">
        <w:rPr>
          <w:rFonts w:ascii="Verdana" w:hAnsi="Verdana" w:cs="Arial"/>
          <w:sz w:val="10"/>
          <w:szCs w:val="10"/>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3470731A" w14:textId="77777777" w:rsidR="008C5EF6" w:rsidRPr="00E26A5B" w:rsidRDefault="008C5EF6" w:rsidP="008C5EF6">
      <w:pPr>
        <w:pStyle w:val="Textonotapie"/>
        <w:ind w:firstLine="708"/>
        <w:jc w:val="both"/>
        <w:rPr>
          <w:rFonts w:ascii="Verdana" w:hAnsi="Verdana" w:cs="Arial"/>
          <w:sz w:val="10"/>
          <w:szCs w:val="10"/>
          <w:lang w:val="es-ES"/>
        </w:rPr>
      </w:pPr>
    </w:p>
  </w:footnote>
  <w:footnote w:id="12">
    <w:p w14:paraId="58FC725A" w14:textId="77777777" w:rsidR="008C5EF6" w:rsidRPr="00E26A5B" w:rsidRDefault="008C5EF6" w:rsidP="008C5EF6">
      <w:pPr>
        <w:pStyle w:val="Textonotapie"/>
        <w:ind w:firstLine="709"/>
        <w:jc w:val="both"/>
        <w:rPr>
          <w:rFonts w:ascii="Verdana" w:hAnsi="Verdana" w:cs="Arial"/>
          <w:sz w:val="10"/>
          <w:szCs w:val="10"/>
        </w:rPr>
      </w:pPr>
      <w:r w:rsidRPr="00E26A5B">
        <w:rPr>
          <w:rStyle w:val="Refdenotaalpie"/>
          <w:rFonts w:ascii="Verdana" w:hAnsi="Verdana"/>
          <w:sz w:val="10"/>
          <w:szCs w:val="10"/>
        </w:rPr>
        <w:footnoteRef/>
      </w:r>
      <w:r w:rsidRPr="00E26A5B">
        <w:rPr>
          <w:rFonts w:ascii="Verdana" w:hAnsi="Verdana"/>
          <w:sz w:val="10"/>
          <w:szCs w:val="10"/>
        </w:rPr>
        <w:t xml:space="preserve"> </w:t>
      </w:r>
      <w:bookmarkStart w:id="9" w:name="_Hlk110954603"/>
      <w:r w:rsidRPr="00E26A5B">
        <w:rPr>
          <w:rFonts w:ascii="Verdana" w:hAnsi="Verdana" w:cs="Arial"/>
          <w:sz w:val="10"/>
          <w:szCs w:val="10"/>
        </w:rPr>
        <w:t xml:space="preserve">La versión actualizada puede ser consultada en: </w:t>
      </w:r>
      <w:r w:rsidRPr="00E26A5B">
        <w:rPr>
          <w:rFonts w:ascii="Verdana" w:hAnsi="Verdana"/>
          <w:sz w:val="10"/>
          <w:szCs w:val="10"/>
        </w:rPr>
        <w:t>chrome-extension://efaidnbmnnnibpcajpcglclefindmkaj/https://colombiacompra.gov.co/sites/cce_public/files/cce_documents/cce-eicp-ma-04._manual_requisitos_habilitantes_v3_29-09-2023.pdf</w:t>
      </w:r>
    </w:p>
    <w:bookmarkEnd w:id="9"/>
    <w:p w14:paraId="67BBD297" w14:textId="77777777" w:rsidR="008C5EF6" w:rsidRPr="00E26A5B" w:rsidRDefault="008C5EF6" w:rsidP="008C5EF6">
      <w:pPr>
        <w:pStyle w:val="Textonotapie"/>
        <w:jc w:val="both"/>
        <w:rPr>
          <w:rFonts w:ascii="Verdana" w:hAnsi="Verdana"/>
          <w:sz w:val="10"/>
          <w:szCs w:val="10"/>
          <w:lang w:val="es-CO"/>
        </w:rPr>
      </w:pPr>
    </w:p>
  </w:footnote>
  <w:footnote w:id="13">
    <w:p w14:paraId="2B8ADA47" w14:textId="77777777" w:rsidR="008C5EF6" w:rsidRPr="00E26A5B" w:rsidRDefault="008C5EF6" w:rsidP="008C5EF6">
      <w:pPr>
        <w:pStyle w:val="Textonotapie"/>
        <w:ind w:firstLine="708"/>
        <w:jc w:val="both"/>
        <w:rPr>
          <w:rFonts w:ascii="Verdana" w:hAnsi="Verdana" w:cs="Arial"/>
          <w:sz w:val="10"/>
          <w:szCs w:val="10"/>
        </w:rPr>
      </w:pPr>
      <w:r w:rsidRPr="00E26A5B">
        <w:rPr>
          <w:rStyle w:val="Refdenotaalpie"/>
          <w:rFonts w:ascii="Verdana" w:hAnsi="Verdana" w:cs="Arial"/>
          <w:sz w:val="10"/>
          <w:szCs w:val="10"/>
        </w:rPr>
        <w:footnoteRef/>
      </w:r>
      <w:r w:rsidRPr="00E26A5B">
        <w:rPr>
          <w:rFonts w:ascii="Verdana" w:hAnsi="Verdana" w:cs="Arial"/>
          <w:sz w:val="10"/>
          <w:szCs w:val="10"/>
        </w:rPr>
        <w:t xml:space="preserve"> Colombia Compra Eficiente, Manual para determinar y verificar requisitos habilitantes en los procesos de contratación V</w:t>
      </w:r>
      <w:r>
        <w:rPr>
          <w:rFonts w:ascii="Verdana" w:hAnsi="Verdana" w:cs="Arial"/>
          <w:sz w:val="10"/>
          <w:szCs w:val="10"/>
        </w:rPr>
        <w:t>3</w:t>
      </w:r>
      <w:bookmarkStart w:id="10" w:name="_Hlk110954624"/>
      <w:r>
        <w:rPr>
          <w:rFonts w:ascii="Verdana" w:hAnsi="Verdana" w:cs="Arial"/>
          <w:sz w:val="10"/>
          <w:szCs w:val="10"/>
        </w:rPr>
        <w:t>. Págs. 15 a 17.</w:t>
      </w:r>
    </w:p>
    <w:p w14:paraId="08E48D18" w14:textId="77777777" w:rsidR="008C5EF6" w:rsidRPr="00E26A5B" w:rsidRDefault="008C5EF6" w:rsidP="008C5EF6">
      <w:pPr>
        <w:pStyle w:val="Textonotapie"/>
        <w:ind w:firstLine="708"/>
        <w:jc w:val="both"/>
        <w:rPr>
          <w:rFonts w:ascii="Verdana" w:hAnsi="Verdana" w:cs="Arial"/>
          <w:sz w:val="10"/>
          <w:szCs w:val="10"/>
        </w:rPr>
      </w:pPr>
    </w:p>
    <w:p w14:paraId="43058725" w14:textId="77777777" w:rsidR="008C5EF6" w:rsidRPr="00E26A5B" w:rsidRDefault="008C5EF6" w:rsidP="008C5EF6">
      <w:pPr>
        <w:pStyle w:val="Textonotapie"/>
        <w:jc w:val="both"/>
        <w:rPr>
          <w:rFonts w:ascii="Verdana" w:hAnsi="Verdana" w:cs="Arial"/>
          <w:sz w:val="10"/>
          <w:szCs w:val="10"/>
        </w:rPr>
      </w:pPr>
    </w:p>
    <w:bookmarkEnd w:id="10"/>
  </w:footnote>
  <w:footnote w:id="14">
    <w:p w14:paraId="461E5D79" w14:textId="77777777" w:rsidR="008C5EF6" w:rsidRPr="00E26A5B" w:rsidRDefault="008C5EF6" w:rsidP="008C5EF6">
      <w:pPr>
        <w:pStyle w:val="Textonotapie"/>
        <w:ind w:firstLine="709"/>
        <w:jc w:val="both"/>
        <w:rPr>
          <w:rFonts w:ascii="Verdana" w:hAnsi="Verdana"/>
          <w:sz w:val="10"/>
          <w:szCs w:val="10"/>
          <w:lang w:val="es-CO"/>
        </w:rPr>
      </w:pPr>
      <w:r w:rsidRPr="00E26A5B">
        <w:rPr>
          <w:rStyle w:val="Refdenotaalpie"/>
          <w:rFonts w:ascii="Verdana" w:hAnsi="Verdana"/>
          <w:sz w:val="10"/>
          <w:szCs w:val="10"/>
        </w:rPr>
        <w:footnoteRef/>
      </w:r>
      <w:r w:rsidRPr="00E26A5B">
        <w:rPr>
          <w:rFonts w:ascii="Verdana" w:hAnsi="Verdana"/>
          <w:sz w:val="10"/>
          <w:szCs w:val="10"/>
        </w:rPr>
        <w:t xml:space="preserve"> </w:t>
      </w:r>
      <w:r w:rsidRPr="00E26A5B">
        <w:rPr>
          <w:rFonts w:ascii="Verdana" w:hAnsi="Verdana" w:cs="Arial"/>
          <w:sz w:val="10"/>
          <w:szCs w:val="10"/>
          <w:lang w:val="es-CO"/>
        </w:rPr>
        <w:t>Consejo de Estado. Sección Tercera. Sentencia del 20 de abril del 2022. Radicación Nro. 54482. C.P.: Jaime Enrique Rodríguez Navas.</w:t>
      </w:r>
    </w:p>
  </w:footnote>
  <w:footnote w:id="15">
    <w:p w14:paraId="15F4CC4B" w14:textId="77777777" w:rsidR="008C5EF6" w:rsidRPr="000E3E2D" w:rsidRDefault="008C5EF6" w:rsidP="008C5EF6">
      <w:pPr>
        <w:pStyle w:val="Textonotapie"/>
        <w:ind w:firstLine="708"/>
        <w:rPr>
          <w:lang w:val="es-CO"/>
        </w:rPr>
      </w:pPr>
      <w:r>
        <w:rPr>
          <w:rStyle w:val="Refdenotaalpie"/>
        </w:rPr>
        <w:footnoteRef/>
      </w:r>
      <w:r>
        <w:t xml:space="preserve"> </w:t>
      </w:r>
      <w:r w:rsidRPr="00E26A5B">
        <w:rPr>
          <w:rFonts w:ascii="Verdana" w:hAnsi="Verdana" w:cs="Arial"/>
          <w:sz w:val="10"/>
          <w:szCs w:val="10"/>
        </w:rPr>
        <w:t>Colombia Compra Eficiente, Manual para determinar y verificar requisitos habilitantes en los procesos de contratación V</w:t>
      </w:r>
      <w:r>
        <w:rPr>
          <w:rFonts w:ascii="Verdana" w:hAnsi="Verdana" w:cs="Arial"/>
          <w:sz w:val="10"/>
          <w:szCs w:val="10"/>
        </w:rPr>
        <w:t>3. Pág. 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70F4636"/>
    <w:multiLevelType w:val="hybridMultilevel"/>
    <w:tmpl w:val="203032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3D97B18"/>
    <w:multiLevelType w:val="hybridMultilevel"/>
    <w:tmpl w:val="874AA1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0"/>
  </w:num>
  <w:num w:numId="13" w16cid:durableId="1512908409">
    <w:abstractNumId w:val="3"/>
  </w:num>
  <w:num w:numId="14" w16cid:durableId="895897244">
    <w:abstractNumId w:val="15"/>
  </w:num>
  <w:num w:numId="15" w16cid:durableId="390349800">
    <w:abstractNumId w:val="11"/>
  </w:num>
  <w:num w:numId="16" w16cid:durableId="679089576">
    <w:abstractNumId w:val="9"/>
  </w:num>
  <w:num w:numId="17" w16cid:durableId="986321315">
    <w:abstractNumId w:val="10"/>
  </w:num>
  <w:num w:numId="18" w16cid:durableId="8945880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642D5"/>
    <w:rsid w:val="00082362"/>
    <w:rsid w:val="000A683E"/>
    <w:rsid w:val="000B19B9"/>
    <w:rsid w:val="000D0334"/>
    <w:rsid w:val="000F6486"/>
    <w:rsid w:val="00125105"/>
    <w:rsid w:val="00127233"/>
    <w:rsid w:val="00192217"/>
    <w:rsid w:val="001E4177"/>
    <w:rsid w:val="001E6A21"/>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32A4A"/>
    <w:rsid w:val="003448F4"/>
    <w:rsid w:val="00374F5E"/>
    <w:rsid w:val="00377E3E"/>
    <w:rsid w:val="003A26D1"/>
    <w:rsid w:val="003A779E"/>
    <w:rsid w:val="003D0F4D"/>
    <w:rsid w:val="003D5B0D"/>
    <w:rsid w:val="003E0499"/>
    <w:rsid w:val="003F3941"/>
    <w:rsid w:val="00406575"/>
    <w:rsid w:val="0042722E"/>
    <w:rsid w:val="0044528D"/>
    <w:rsid w:val="004A1847"/>
    <w:rsid w:val="004A305D"/>
    <w:rsid w:val="004F21C4"/>
    <w:rsid w:val="004F685F"/>
    <w:rsid w:val="005566E8"/>
    <w:rsid w:val="00563AEF"/>
    <w:rsid w:val="00573B13"/>
    <w:rsid w:val="00574867"/>
    <w:rsid w:val="005841E0"/>
    <w:rsid w:val="00591460"/>
    <w:rsid w:val="00591E18"/>
    <w:rsid w:val="00592628"/>
    <w:rsid w:val="005B7E3A"/>
    <w:rsid w:val="005C3777"/>
    <w:rsid w:val="005C5CDC"/>
    <w:rsid w:val="005D476C"/>
    <w:rsid w:val="00610812"/>
    <w:rsid w:val="006219F8"/>
    <w:rsid w:val="00650FF7"/>
    <w:rsid w:val="00655D8F"/>
    <w:rsid w:val="00665D70"/>
    <w:rsid w:val="00671DAC"/>
    <w:rsid w:val="006900D9"/>
    <w:rsid w:val="006A5BCD"/>
    <w:rsid w:val="006D0E5D"/>
    <w:rsid w:val="006D12F8"/>
    <w:rsid w:val="00706C16"/>
    <w:rsid w:val="00756841"/>
    <w:rsid w:val="00757B01"/>
    <w:rsid w:val="007649AB"/>
    <w:rsid w:val="00771D0C"/>
    <w:rsid w:val="007833AC"/>
    <w:rsid w:val="007B1674"/>
    <w:rsid w:val="007B268C"/>
    <w:rsid w:val="007B7171"/>
    <w:rsid w:val="007C0C0F"/>
    <w:rsid w:val="007C3DC2"/>
    <w:rsid w:val="007E5497"/>
    <w:rsid w:val="00806F5F"/>
    <w:rsid w:val="00820278"/>
    <w:rsid w:val="008843B6"/>
    <w:rsid w:val="00885130"/>
    <w:rsid w:val="00891928"/>
    <w:rsid w:val="008A446D"/>
    <w:rsid w:val="008C5EF6"/>
    <w:rsid w:val="008D180B"/>
    <w:rsid w:val="008F0EA7"/>
    <w:rsid w:val="00915DAC"/>
    <w:rsid w:val="00923EEF"/>
    <w:rsid w:val="009419F9"/>
    <w:rsid w:val="0095685E"/>
    <w:rsid w:val="00961B09"/>
    <w:rsid w:val="00965334"/>
    <w:rsid w:val="0097093E"/>
    <w:rsid w:val="009A0DFA"/>
    <w:rsid w:val="009B2D26"/>
    <w:rsid w:val="009C71FA"/>
    <w:rsid w:val="009C72E7"/>
    <w:rsid w:val="009D3058"/>
    <w:rsid w:val="009F3A13"/>
    <w:rsid w:val="00A10DCF"/>
    <w:rsid w:val="00A122D3"/>
    <w:rsid w:val="00A17F13"/>
    <w:rsid w:val="00A20739"/>
    <w:rsid w:val="00A33C78"/>
    <w:rsid w:val="00A57C73"/>
    <w:rsid w:val="00AB0ADB"/>
    <w:rsid w:val="00B01B1A"/>
    <w:rsid w:val="00B72CD3"/>
    <w:rsid w:val="00B72FFF"/>
    <w:rsid w:val="00B83925"/>
    <w:rsid w:val="00BC3D36"/>
    <w:rsid w:val="00BC4BC1"/>
    <w:rsid w:val="00BD7F72"/>
    <w:rsid w:val="00C04FB3"/>
    <w:rsid w:val="00C1745C"/>
    <w:rsid w:val="00C330EB"/>
    <w:rsid w:val="00C754BE"/>
    <w:rsid w:val="00C76B1C"/>
    <w:rsid w:val="00CB6357"/>
    <w:rsid w:val="00CC1B26"/>
    <w:rsid w:val="00CE775D"/>
    <w:rsid w:val="00D423A2"/>
    <w:rsid w:val="00D520D8"/>
    <w:rsid w:val="00D63AC2"/>
    <w:rsid w:val="00D7383B"/>
    <w:rsid w:val="00DA231B"/>
    <w:rsid w:val="00DA23A0"/>
    <w:rsid w:val="00DC39FC"/>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1AA8"/>
    <w:rsid w:val="00F31EDC"/>
    <w:rsid w:val="00F462B3"/>
    <w:rsid w:val="00F5664F"/>
    <w:rsid w:val="00F666C4"/>
    <w:rsid w:val="00F76AFC"/>
    <w:rsid w:val="00F77F41"/>
    <w:rsid w:val="00F92E14"/>
    <w:rsid w:val="00FA47C0"/>
    <w:rsid w:val="00FB5DD1"/>
    <w:rsid w:val="00FC2B5D"/>
    <w:rsid w:val="00FF1449"/>
    <w:rsid w:val="0916376F"/>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Textoindependiente">
    <w:name w:val="Body Text"/>
    <w:basedOn w:val="Normal"/>
    <w:link w:val="TextoindependienteCar"/>
    <w:uiPriority w:val="99"/>
    <w:unhideWhenUsed/>
    <w:rsid w:val="008C5EF6"/>
    <w:pPr>
      <w:spacing w:after="120"/>
    </w:pPr>
  </w:style>
  <w:style w:type="character" w:customStyle="1" w:styleId="TextoindependienteCar">
    <w:name w:val="Texto independiente Car"/>
    <w:basedOn w:val="Fuentedeprrafopredeter"/>
    <w:link w:val="Textoindependiente"/>
    <w:uiPriority w:val="99"/>
    <w:rsid w:val="008C5EF6"/>
  </w:style>
  <w:style w:type="table" w:customStyle="1" w:styleId="Tablaconcuadrcula1">
    <w:name w:val="Tabla con cuadrícula1"/>
    <w:basedOn w:val="Tablanormal"/>
    <w:next w:val="Tablaconcuadrcula"/>
    <w:uiPriority w:val="59"/>
    <w:rsid w:val="008C5EF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8C5EF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sites%2Fcce_public%2Ffiles%2Ffiles_2020%2Fboletin_de_realtoria_iii.pdf&amp;data=05%7C02%7Cximena.rios%40colombiacompra.gov.co%7C5aad36a736844ec87b2108dcc1fa4639%7C7b09041e245149d08cb179d5e3d8c1be%7C0%7C0%7C638598527920859300%7CUnknown%7CTWFpbGZsb3d8eyJWIjoiMC4wLjAwMDAiLCJQIjoiV2luMzIiLCJBTiI6Ik1haWwiLCJXVCI6Mn0%3D%7C0%7C%7C%7C&amp;sdata=Oi37u0RkFX1Tk96a6YJC52o3NQ4eUPop3eLCtIkNXoY%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2.safelinks.protection.outlook.com/?url=https%3A%2F%2Frelatoria.colombiacompra.gov.co%2F&amp;data=05%7C02%7Cximena.rios%40colombiacompra.gov.co%7C5aad36a736844ec87b2108dcc1fa4639%7C7b09041e245149d08cb179d5e3d8c1be%7C0%7C0%7C638598527920846788%7CUnknown%7CTWFpbGZsb3d8eyJWIjoiMC4wLjAwMDAiLCJQIjoiV2luMzIiLCJBTiI6Ik1haWwiLCJXVCI6Mn0%3D%7C0%7C%7C%7C&amp;sdata=x9HfgIQDqThN8nZ%2BJKFf349PkXKRLtZBuiv0LPhfyyo%3D&amp;reserved=0"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170B94-419B-488D-9E26-501A65C02C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5318</Words>
  <Characters>29254</Characters>
  <Application>Microsoft Office Word</Application>
  <DocSecurity>0</DocSecurity>
  <Lines>243</Lines>
  <Paragraphs>69</Paragraphs>
  <ScaleCrop>false</ScaleCrop>
  <Company/>
  <LinksUpToDate>false</LinksUpToDate>
  <CharactersWithSpaces>34503</CharactersWithSpaces>
  <SharedDoc>false</SharedDoc>
  <HLinks>
    <vt:vector size="18" baseType="variant">
      <vt:variant>
        <vt:i4>6881304</vt:i4>
      </vt:variant>
      <vt:variant>
        <vt:i4>3</vt:i4>
      </vt:variant>
      <vt:variant>
        <vt:i4>0</vt:i4>
      </vt:variant>
      <vt:variant>
        <vt:i4>5</vt:i4>
      </vt:variant>
      <vt:variant>
        <vt:lpwstr>https://nam02.safelinks.protection.outlook.com/?url=https%3A%2F%2Fwww.colombiacompra.gov.co%2Fsites%2Fcce_public%2Ffiles%2Ffiles_2020%2Fboletin_de_realtoria_iii.pdf&amp;data=05%7C02%7Cximena.rios%40colombiacompra.gov.co%7C5aad36a736844ec87b2108dcc1fa4639%7C7b09041e245149d08cb179d5e3d8c1be%7C0%7C0%7C638598527920859300%7CUnknown%7CTWFpbGZsb3d8eyJWIjoiMC4wLjAwMDAiLCJQIjoiV2luMzIiLCJBTiI6Ik1haWwiLCJXVCI6Mn0%3D%7C0%7C%7C%7C&amp;sdata=Oi37u0RkFX1Tk96a6YJC52o3NQ4eUPop3eLCtIkNXoY%3D&amp;reserved=0</vt:lpwstr>
      </vt:variant>
      <vt:variant>
        <vt:lpwstr/>
      </vt:variant>
      <vt:variant>
        <vt:i4>3670060</vt:i4>
      </vt:variant>
      <vt:variant>
        <vt:i4>0</vt:i4>
      </vt:variant>
      <vt:variant>
        <vt:i4>0</vt:i4>
      </vt:variant>
      <vt:variant>
        <vt:i4>5</vt:i4>
      </vt:variant>
      <vt:variant>
        <vt:lpwstr>https://nam02.safelinks.protection.outlook.com/?url=https%3A%2F%2Frelatoria.colombiacompra.gov.co%2F&amp;data=05%7C02%7Cximena.rios%40colombiacompra.gov.co%7C5aad36a736844ec87b2108dcc1fa4639%7C7b09041e245149d08cb179d5e3d8c1be%7C0%7C0%7C638598527920846788%7CUnknown%7CTWFpbGZsb3d8eyJWIjoiMC4wLjAwMDAiLCJQIjoiV2luMzIiLCJBTiI6Ik1haWwiLCJXVCI6Mn0%3D%7C0%7C%7C%7C&amp;sdata=x9HfgIQDqThN8nZ%2BJKFf349PkXKRLtZBuiv0LPhfyyo%3D&amp;reserved=0</vt:lpwstr>
      </vt:variant>
      <vt:variant>
        <vt:lpwstr/>
      </vt:variant>
      <vt:variant>
        <vt:i4>5111895</vt:i4>
      </vt:variant>
      <vt:variant>
        <vt:i4>0</vt:i4>
      </vt:variant>
      <vt:variant>
        <vt:i4>0</vt:i4>
      </vt:variant>
      <vt:variant>
        <vt:i4>5</vt:i4>
      </vt:variant>
      <vt:variant>
        <vt:lpwstr>https://www.colombiacompra.gov.co/manuales-guias-y-pliegos-tipo/manuales-y-guias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6</cp:revision>
  <cp:lastPrinted>2023-01-10T21:18:00Z</cp:lastPrinted>
  <dcterms:created xsi:type="dcterms:W3CDTF">2024-09-04T21:20:00Z</dcterms:created>
  <dcterms:modified xsi:type="dcterms:W3CDTF">2024-10-17T16:57:00Z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