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74A2" w14:textId="77777777" w:rsidR="00BB7937" w:rsidRDefault="00BB7937" w:rsidP="00BB7937">
      <w:pPr>
        <w:spacing w:after="0" w:line="240" w:lineRule="auto"/>
        <w:jc w:val="both"/>
        <w:rPr>
          <w:rFonts w:ascii="Verdana" w:hAnsi="Verdana" w:cs="Arial"/>
          <w:b/>
          <w:bCs/>
          <w:color w:val="000000" w:themeColor="text1"/>
          <w:lang w:val="es-ES"/>
        </w:rPr>
      </w:pPr>
      <w:bookmarkStart w:id="0" w:name="_Hlk143780582"/>
      <w:r w:rsidRPr="00EA62AD">
        <w:rPr>
          <w:rFonts w:ascii="Verdana" w:hAnsi="Verdana" w:cs="Arial"/>
          <w:b/>
          <w:bCs/>
          <w:color w:val="000000" w:themeColor="text1"/>
          <w:lang w:val="es-ES"/>
        </w:rPr>
        <w:t xml:space="preserve">LIQUIDACIÓN DEL CONTRATO – Concepto </w:t>
      </w:r>
    </w:p>
    <w:p w14:paraId="068F1364" w14:textId="77777777" w:rsidR="00BB7937" w:rsidRDefault="00BB7937" w:rsidP="00BB7937">
      <w:pPr>
        <w:spacing w:after="0" w:line="240" w:lineRule="auto"/>
        <w:jc w:val="both"/>
        <w:rPr>
          <w:rFonts w:ascii="Verdana" w:eastAsia="Calibri" w:hAnsi="Verdana" w:cs="Arial"/>
          <w:sz w:val="20"/>
          <w:szCs w:val="20"/>
          <w:lang w:val="es-ES"/>
        </w:rPr>
      </w:pPr>
    </w:p>
    <w:p w14:paraId="39E7A112" w14:textId="77777777" w:rsidR="00BB7937" w:rsidRDefault="00BB7937" w:rsidP="00BB7937">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La liquidación del contrato estatal es el momento en el cual, una vez concluido el contrato las partes efectúan el ajuste de cuentas para determinar el balance económico, técnico y jurídico del negocio.</w:t>
      </w:r>
    </w:p>
    <w:p w14:paraId="061AFCCB" w14:textId="77777777" w:rsidR="00BB7937" w:rsidRDefault="00BB7937" w:rsidP="00BB7937">
      <w:pPr>
        <w:spacing w:after="0" w:line="240" w:lineRule="auto"/>
        <w:jc w:val="both"/>
        <w:rPr>
          <w:rFonts w:ascii="Verdana" w:hAnsi="Verdana" w:cs="Arial"/>
          <w:b/>
          <w:bCs/>
          <w:color w:val="000000" w:themeColor="text1"/>
          <w:lang w:val="es-ES"/>
        </w:rPr>
      </w:pPr>
    </w:p>
    <w:p w14:paraId="5460B5A3" w14:textId="77777777" w:rsidR="00BB7937" w:rsidRDefault="00BB7937" w:rsidP="00BB7937">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t xml:space="preserve">LIQUIDACIÓN DEL CONTRATO – Normatividad </w:t>
      </w:r>
    </w:p>
    <w:p w14:paraId="1D250968" w14:textId="77777777" w:rsidR="00BB7937" w:rsidRDefault="00BB7937" w:rsidP="00BB7937">
      <w:pPr>
        <w:spacing w:after="0" w:line="240" w:lineRule="auto"/>
        <w:jc w:val="both"/>
        <w:rPr>
          <w:rFonts w:ascii="Verdana" w:eastAsia="Times New Roman" w:hAnsi="Verdana" w:cs="Arial"/>
          <w:sz w:val="20"/>
          <w:szCs w:val="20"/>
          <w:lang w:val="es-ES_tradnl" w:eastAsia="es-ES"/>
        </w:rPr>
      </w:pPr>
    </w:p>
    <w:p w14:paraId="30E6906E" w14:textId="77777777" w:rsidR="00BB7937" w:rsidRDefault="00BB7937" w:rsidP="00BB7937">
      <w:pPr>
        <w:spacing w:after="0" w:line="240" w:lineRule="auto"/>
        <w:jc w:val="both"/>
        <w:rPr>
          <w:rFonts w:ascii="Verdana" w:hAnsi="Verdana" w:cs="Arial"/>
          <w:b/>
          <w:bCs/>
          <w:color w:val="000000" w:themeColor="text1"/>
          <w:lang w:val="es-ES"/>
        </w:rPr>
      </w:pPr>
      <w:r w:rsidRPr="00344805">
        <w:rPr>
          <w:rFonts w:ascii="Verdana" w:eastAsia="Times New Roman" w:hAnsi="Verdana"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2007 contiene las reglas de tipo procedimental para liquidar los contratos estatales, que se pasan a explicar. </w:t>
      </w:r>
    </w:p>
    <w:p w14:paraId="183FA7E7" w14:textId="77777777" w:rsidR="00BB7937" w:rsidRDefault="00BB7937" w:rsidP="00BB7937">
      <w:pPr>
        <w:spacing w:after="0" w:line="240" w:lineRule="auto"/>
        <w:jc w:val="both"/>
        <w:rPr>
          <w:rFonts w:ascii="Verdana" w:hAnsi="Verdana" w:cs="Arial"/>
          <w:b/>
          <w:bCs/>
          <w:color w:val="000000" w:themeColor="text1"/>
          <w:lang w:val="es-ES"/>
        </w:rPr>
      </w:pPr>
    </w:p>
    <w:p w14:paraId="5D18F786" w14:textId="466E885D" w:rsidR="00BB7937" w:rsidRDefault="00BB7937" w:rsidP="00BB7937">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t xml:space="preserve">LIQUIDACIÓN DEL CONTRATO – Bilateral – </w:t>
      </w:r>
      <w:r>
        <w:rPr>
          <w:rFonts w:ascii="Verdana" w:hAnsi="Verdana" w:cs="Arial"/>
          <w:b/>
          <w:bCs/>
          <w:color w:val="000000" w:themeColor="text1"/>
          <w:lang w:val="es-ES"/>
        </w:rPr>
        <w:t>Mutuo acuerdo</w:t>
      </w:r>
    </w:p>
    <w:p w14:paraId="21DCA8C6" w14:textId="77777777" w:rsidR="00BB7937" w:rsidRDefault="00BB7937" w:rsidP="00BB7937">
      <w:pPr>
        <w:spacing w:after="0" w:line="240" w:lineRule="auto"/>
        <w:jc w:val="both"/>
        <w:rPr>
          <w:rFonts w:ascii="Verdana" w:eastAsia="Calibri" w:hAnsi="Verdana" w:cs="Arial"/>
          <w:sz w:val="20"/>
          <w:szCs w:val="20"/>
          <w:lang w:val="es-ES"/>
        </w:rPr>
      </w:pPr>
    </w:p>
    <w:p w14:paraId="29436649" w14:textId="77777777" w:rsidR="00BB7937" w:rsidRDefault="00BB7937" w:rsidP="00BB7937">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por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19B7B465" w14:textId="77777777" w:rsidR="00BB7937" w:rsidRDefault="00BB7937" w:rsidP="00BB7937">
      <w:pPr>
        <w:spacing w:after="0" w:line="240" w:lineRule="auto"/>
        <w:jc w:val="both"/>
        <w:rPr>
          <w:rFonts w:ascii="Verdana" w:eastAsia="Calibri" w:hAnsi="Verdana" w:cs="Arial"/>
          <w:sz w:val="20"/>
          <w:szCs w:val="20"/>
          <w:lang w:val="es-ES"/>
        </w:rPr>
      </w:pPr>
    </w:p>
    <w:p w14:paraId="3790512C" w14:textId="77777777" w:rsidR="00BB7937" w:rsidRDefault="00BB7937" w:rsidP="00BB7937">
      <w:pPr>
        <w:spacing w:after="0" w:line="240" w:lineRule="auto"/>
        <w:jc w:val="both"/>
        <w:rPr>
          <w:rFonts w:ascii="Verdana" w:hAnsi="Verdana" w:cs="Arial"/>
          <w:b/>
          <w:bCs/>
          <w:color w:val="000000" w:themeColor="text1"/>
          <w:lang w:val="es-ES"/>
        </w:rPr>
      </w:pPr>
      <w:r w:rsidRPr="00344805">
        <w:rPr>
          <w:rFonts w:ascii="Verdana" w:eastAsia="Calibri" w:hAnsi="Verdana" w:cs="Arial"/>
          <w:sz w:val="20"/>
          <w:szCs w:val="20"/>
          <w:lang w:val="es-ES"/>
        </w:rPr>
        <w:t>En segundo lugar, en ausencia de pacto, el artículo 11 de la Ley 1150 de 2007 dispone un término supletivo de cuatro (4) meses contados desde: i) el vencimiento del plazo previsto para la ejecución del contrato, ii) la expedición del acto administrativo que ordene la terminación del contrato o iii) la fecha del acuerdo que disponga la terminación del contrato. Ahora bien, el término de cuatro (4) meses previstos en el artículo 11 de la Ley 1150 de 2007, dado su carácter supletivo, solo resulta aplicable ante la ausencia de regulación de este en el pliego de condiciones –documento equivalente– y ante la falta de acuerdo entre las partes en torno al plazo de liquidación bilateral. Durante este término el contratista puede solicitar que se adelante el trámite de liquidación</w:t>
      </w:r>
      <w:r>
        <w:rPr>
          <w:rFonts w:ascii="Verdana" w:eastAsia="Calibri" w:hAnsi="Verdana" w:cs="Arial"/>
          <w:sz w:val="20"/>
          <w:szCs w:val="20"/>
          <w:lang w:val="es-ES"/>
        </w:rPr>
        <w:t>.</w:t>
      </w:r>
    </w:p>
    <w:p w14:paraId="3686CD97" w14:textId="77777777" w:rsidR="00BB7937" w:rsidRDefault="00BB7937" w:rsidP="00BB7937">
      <w:pPr>
        <w:spacing w:after="0" w:line="240" w:lineRule="auto"/>
        <w:jc w:val="both"/>
        <w:rPr>
          <w:rFonts w:ascii="Verdana" w:hAnsi="Verdana" w:cs="Arial"/>
          <w:b/>
          <w:bCs/>
          <w:color w:val="000000" w:themeColor="text1"/>
          <w:lang w:val="es-ES"/>
        </w:rPr>
      </w:pPr>
    </w:p>
    <w:p w14:paraId="6C89F411" w14:textId="77777777" w:rsidR="00BB7937" w:rsidRPr="00344805" w:rsidRDefault="00BB7937" w:rsidP="00BB7937">
      <w:pPr>
        <w:spacing w:after="0" w:line="240" w:lineRule="auto"/>
        <w:jc w:val="both"/>
        <w:rPr>
          <w:rFonts w:ascii="Verdana" w:hAnsi="Verdana" w:cs="Arial"/>
          <w:b/>
          <w:bCs/>
          <w:color w:val="000000" w:themeColor="text1"/>
          <w:lang w:val="es-ES"/>
        </w:rPr>
      </w:pPr>
      <w:r w:rsidRPr="00EA62AD">
        <w:rPr>
          <w:rFonts w:ascii="Verdana" w:hAnsi="Verdana" w:cs="Arial"/>
          <w:b/>
          <w:bCs/>
          <w:color w:val="000000" w:themeColor="text1"/>
          <w:lang w:val="es-ES"/>
        </w:rPr>
        <w:lastRenderedPageBreak/>
        <w:t xml:space="preserve">LIQUIDACIÓN DEL CONTRATO – Liquidación unilateral </w:t>
      </w:r>
    </w:p>
    <w:p w14:paraId="036524B1" w14:textId="77777777" w:rsidR="00BB7937" w:rsidRDefault="00BB7937" w:rsidP="00BB7937">
      <w:pPr>
        <w:spacing w:after="0" w:line="240" w:lineRule="auto"/>
        <w:jc w:val="both"/>
        <w:rPr>
          <w:rFonts w:ascii="Verdana" w:eastAsia="Times New Roman" w:hAnsi="Verdana" w:cs="Arial"/>
          <w:sz w:val="20"/>
          <w:szCs w:val="20"/>
          <w:lang w:val="es-ES" w:eastAsia="es-ES"/>
        </w:rPr>
      </w:pPr>
    </w:p>
    <w:p w14:paraId="5A3D5F29" w14:textId="3D5005E8" w:rsidR="00BB7937" w:rsidRDefault="00BB7937" w:rsidP="00BB7937">
      <w:pPr>
        <w:spacing w:after="0" w:line="240" w:lineRule="auto"/>
        <w:jc w:val="both"/>
        <w:rPr>
          <w:rFonts w:ascii="Verdana" w:hAnsi="Verdana" w:cs="Arial"/>
          <w:b/>
          <w:bCs/>
          <w:color w:val="000000" w:themeColor="text1"/>
          <w:sz w:val="20"/>
          <w:szCs w:val="20"/>
          <w:lang w:val="es-ES"/>
        </w:rPr>
      </w:pPr>
      <w:r w:rsidRPr="00344805">
        <w:rPr>
          <w:rFonts w:ascii="Verdana" w:eastAsia="Times New Roman" w:hAnsi="Verdana" w:cs="Arial"/>
          <w:sz w:val="20"/>
          <w:szCs w:val="20"/>
          <w:lang w:val="es-ES" w:eastAsia="es-ES"/>
        </w:rPr>
        <w:t>Por lo tanto, si no se logra la liquidación bilateral del contrato en el término convencional o subsidiario, la entidad estatal tiene la facultad de liquidarlo unilateralmente durante el término de dos (2) meses contados a partir del vencimiento del plazo que acuerden las partes para liquidar bilateralmente, o ante el silencio de estas, del vencimiento de los cuatro (4) meses establecidos por la ley.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w:t>
      </w:r>
      <w:r w:rsidR="00AD4898">
        <w:rPr>
          <w:rFonts w:ascii="Verdana" w:eastAsia="Times New Roman" w:hAnsi="Verdana" w:cs="Arial"/>
          <w:sz w:val="20"/>
          <w:szCs w:val="20"/>
          <w:lang w:val="es-ES" w:eastAsia="es-ES"/>
        </w:rPr>
        <w:t xml:space="preserve">e. </w:t>
      </w:r>
    </w:p>
    <w:p w14:paraId="7F787EF5" w14:textId="77777777" w:rsidR="00BB7937" w:rsidRDefault="00BB7937" w:rsidP="00BB7937">
      <w:pPr>
        <w:spacing w:after="0" w:line="240" w:lineRule="auto"/>
        <w:jc w:val="both"/>
        <w:rPr>
          <w:rFonts w:ascii="Verdana" w:hAnsi="Verdana" w:cs="Arial"/>
          <w:b/>
          <w:bCs/>
          <w:color w:val="000000" w:themeColor="text1"/>
          <w:lang w:val="es-ES"/>
        </w:rPr>
      </w:pPr>
    </w:p>
    <w:p w14:paraId="6623A155" w14:textId="77777777" w:rsidR="00AE48E1" w:rsidRPr="00BB7937" w:rsidRDefault="00AE48E1">
      <w:pPr>
        <w:rPr>
          <w:rFonts w:ascii="Verdana" w:eastAsia="Verdana" w:hAnsi="Verdana" w:cs="Verdana"/>
          <w:lang w:val="es-ES"/>
        </w:rPr>
      </w:pPr>
    </w:p>
    <w:p w14:paraId="609973FA" w14:textId="77777777" w:rsidR="00AE48E1" w:rsidRDefault="00AE48E1">
      <w:pPr>
        <w:rPr>
          <w:rFonts w:ascii="Verdana" w:eastAsia="Verdana" w:hAnsi="Verdana" w:cs="Verdana"/>
        </w:rPr>
      </w:pPr>
    </w:p>
    <w:p w14:paraId="66336318" w14:textId="77777777" w:rsidR="00AE48E1" w:rsidRDefault="00AE48E1">
      <w:pPr>
        <w:rPr>
          <w:rFonts w:ascii="Verdana" w:eastAsia="Verdana" w:hAnsi="Verdana" w:cs="Verdana"/>
        </w:rPr>
      </w:pPr>
    </w:p>
    <w:p w14:paraId="71CFA70F" w14:textId="77777777" w:rsidR="00AE48E1" w:rsidRDefault="00AE48E1">
      <w:pPr>
        <w:rPr>
          <w:rFonts w:ascii="Verdana" w:eastAsia="Verdana" w:hAnsi="Verdana" w:cs="Verdana"/>
        </w:rPr>
      </w:pPr>
    </w:p>
    <w:p w14:paraId="758A23FB" w14:textId="77777777" w:rsidR="00AE48E1" w:rsidRDefault="00AE48E1">
      <w:pPr>
        <w:rPr>
          <w:rFonts w:ascii="Verdana" w:eastAsia="Verdana" w:hAnsi="Verdana" w:cs="Verdana"/>
        </w:rPr>
      </w:pPr>
    </w:p>
    <w:p w14:paraId="62C883BF" w14:textId="77777777" w:rsidR="00AE48E1" w:rsidRDefault="00AE48E1">
      <w:pPr>
        <w:rPr>
          <w:rFonts w:ascii="Verdana" w:eastAsia="Verdana" w:hAnsi="Verdana" w:cs="Verdana"/>
        </w:rPr>
      </w:pPr>
    </w:p>
    <w:p w14:paraId="78C355E6" w14:textId="77777777" w:rsidR="00AE48E1" w:rsidRDefault="00AE48E1">
      <w:pPr>
        <w:rPr>
          <w:rFonts w:ascii="Verdana" w:eastAsia="Verdana" w:hAnsi="Verdana" w:cs="Verdana"/>
        </w:rPr>
      </w:pPr>
    </w:p>
    <w:p w14:paraId="7961B9F2" w14:textId="77777777" w:rsidR="00AE48E1" w:rsidRDefault="00AE48E1">
      <w:pPr>
        <w:rPr>
          <w:rFonts w:ascii="Verdana" w:eastAsia="Verdana" w:hAnsi="Verdana" w:cs="Verdana"/>
        </w:rPr>
      </w:pPr>
    </w:p>
    <w:p w14:paraId="759CC41B" w14:textId="77777777" w:rsidR="00AE48E1" w:rsidRDefault="00AE48E1">
      <w:pPr>
        <w:rPr>
          <w:rFonts w:ascii="Verdana" w:eastAsia="Verdana" w:hAnsi="Verdana" w:cs="Verdana"/>
        </w:rPr>
      </w:pPr>
    </w:p>
    <w:p w14:paraId="36105A54" w14:textId="77777777" w:rsidR="00AE48E1" w:rsidRDefault="00AE48E1">
      <w:pPr>
        <w:rPr>
          <w:rFonts w:ascii="Verdana" w:eastAsia="Verdana" w:hAnsi="Verdana" w:cs="Verdana"/>
        </w:rPr>
      </w:pPr>
    </w:p>
    <w:p w14:paraId="663DC359" w14:textId="77777777" w:rsidR="00AE48E1" w:rsidRDefault="00AE48E1">
      <w:pPr>
        <w:rPr>
          <w:rFonts w:ascii="Verdana" w:eastAsia="Verdana" w:hAnsi="Verdana" w:cs="Verdana"/>
        </w:rPr>
      </w:pPr>
    </w:p>
    <w:p w14:paraId="363F9139" w14:textId="77777777" w:rsidR="00AE48E1" w:rsidRDefault="00AE48E1">
      <w:pPr>
        <w:rPr>
          <w:rFonts w:ascii="Verdana" w:eastAsia="Verdana" w:hAnsi="Verdana" w:cs="Verdana"/>
        </w:rPr>
      </w:pPr>
    </w:p>
    <w:p w14:paraId="51259704" w14:textId="77777777" w:rsidR="00AE48E1" w:rsidRDefault="00AE48E1">
      <w:pPr>
        <w:rPr>
          <w:rFonts w:ascii="Verdana" w:eastAsia="Verdana" w:hAnsi="Verdana" w:cs="Verdana"/>
        </w:rPr>
      </w:pPr>
    </w:p>
    <w:p w14:paraId="10CE851B" w14:textId="77777777" w:rsidR="00AE48E1" w:rsidRDefault="00AE48E1">
      <w:pPr>
        <w:rPr>
          <w:rFonts w:ascii="Verdana" w:eastAsia="Verdana" w:hAnsi="Verdana" w:cs="Verdana"/>
        </w:rPr>
      </w:pPr>
    </w:p>
    <w:p w14:paraId="551A6CF2" w14:textId="77777777" w:rsidR="00AE48E1" w:rsidRDefault="00AE48E1">
      <w:pPr>
        <w:rPr>
          <w:rFonts w:ascii="Verdana" w:eastAsia="Verdana" w:hAnsi="Verdana" w:cs="Verdana"/>
        </w:rPr>
      </w:pPr>
    </w:p>
    <w:p w14:paraId="2E14CF6D" w14:textId="77777777" w:rsidR="00AE48E1" w:rsidRDefault="00AE48E1">
      <w:pPr>
        <w:rPr>
          <w:rFonts w:ascii="Verdana" w:eastAsia="Verdana" w:hAnsi="Verdana" w:cs="Verdana"/>
        </w:rPr>
      </w:pPr>
    </w:p>
    <w:p w14:paraId="413AE9A4" w14:textId="77777777" w:rsidR="00AE48E1" w:rsidRDefault="00AE48E1">
      <w:pPr>
        <w:rPr>
          <w:rFonts w:ascii="Verdana" w:eastAsia="Verdana" w:hAnsi="Verdana" w:cs="Verdana"/>
        </w:rPr>
      </w:pPr>
    </w:p>
    <w:p w14:paraId="3327E3FD" w14:textId="77777777" w:rsidR="00AE48E1" w:rsidRDefault="00AE48E1">
      <w:pPr>
        <w:rPr>
          <w:rFonts w:ascii="Verdana" w:eastAsia="Verdana" w:hAnsi="Verdana" w:cs="Verdana"/>
        </w:rPr>
      </w:pPr>
    </w:p>
    <w:p w14:paraId="1468C46D" w14:textId="6F7074A7" w:rsidR="00C15139" w:rsidRPr="0024624F" w:rsidRDefault="009D5148" w:rsidP="30821638">
      <w:pPr>
        <w:spacing w:after="0"/>
        <w:rPr>
          <w:rFonts w:ascii="Verdana" w:eastAsia="Verdana" w:hAnsi="Verdana" w:cs="Verdana"/>
        </w:rPr>
      </w:pPr>
      <w:r w:rsidRPr="009D5148">
        <w:rPr>
          <w:rFonts w:ascii="Verdana" w:eastAsia="Verdana" w:hAnsi="Verdana" w:cs="Verdana"/>
          <w:noProof/>
        </w:rPr>
        <w:lastRenderedPageBreak/>
        <w:drawing>
          <wp:anchor distT="0" distB="0" distL="114300" distR="114300" simplePos="0" relativeHeight="251659265" behindDoc="1" locked="0" layoutInCell="1" allowOverlap="1" wp14:anchorId="517D4D0A" wp14:editId="230C87F0">
            <wp:simplePos x="0" y="0"/>
            <wp:positionH relativeFrom="column">
              <wp:posOffset>3353435</wp:posOffset>
            </wp:positionH>
            <wp:positionV relativeFrom="paragraph">
              <wp:posOffset>0</wp:posOffset>
            </wp:positionV>
            <wp:extent cx="2153285" cy="798830"/>
            <wp:effectExtent l="0" t="0" r="0" b="1270"/>
            <wp:wrapTight wrapText="bothSides">
              <wp:wrapPolygon edited="0">
                <wp:start x="0" y="0"/>
                <wp:lineTo x="0" y="21119"/>
                <wp:lineTo x="21403" y="21119"/>
                <wp:lineTo x="21403" y="0"/>
                <wp:lineTo x="0" y="0"/>
              </wp:wrapPolygon>
            </wp:wrapTight>
            <wp:docPr id="2939810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3285" cy="798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05</w:t>
      </w:r>
      <w:r w:rsidR="009123B5">
        <w:rPr>
          <w:rFonts w:ascii="Verdana" w:eastAsia="Verdana" w:hAnsi="Verdana" w:cs="Verdana"/>
        </w:rPr>
        <w:t xml:space="preserve"> mayo de</w:t>
      </w:r>
      <w:r>
        <w:rPr>
          <w:rFonts w:ascii="Verdana" w:eastAsia="Verdana" w:hAnsi="Verdana" w:cs="Verdana"/>
        </w:rPr>
        <w:t xml:space="preserve"> 2026</w:t>
      </w:r>
      <w:r w:rsidR="00C15139">
        <w:tab/>
      </w:r>
      <w:r w:rsidR="00C15139">
        <w:br/>
      </w:r>
      <w:r w:rsidR="00C15139">
        <w:tab/>
      </w:r>
    </w:p>
    <w:p w14:paraId="7C9026E2" w14:textId="15B1E304" w:rsidR="002A0DD0" w:rsidRDefault="00B74ADD" w:rsidP="30821638">
      <w:pPr>
        <w:spacing w:after="0" w:line="240" w:lineRule="auto"/>
        <w:jc w:val="both"/>
        <w:rPr>
          <w:rFonts w:ascii="Verdana" w:eastAsia="Verdana" w:hAnsi="Verdana" w:cs="Verdana"/>
        </w:rPr>
      </w:pPr>
      <w:r>
        <w:rPr>
          <w:rFonts w:ascii="Verdana" w:eastAsia="Verdana" w:hAnsi="Verdana" w:cs="Verdana"/>
        </w:rPr>
        <w:t xml:space="preserve">Señor </w:t>
      </w:r>
    </w:p>
    <w:p w14:paraId="25335816" w14:textId="333C864E" w:rsidR="00B74ADD" w:rsidRPr="009B7DB2" w:rsidRDefault="00B74ADD" w:rsidP="30821638">
      <w:pPr>
        <w:spacing w:after="0" w:line="240" w:lineRule="auto"/>
        <w:jc w:val="both"/>
        <w:rPr>
          <w:rFonts w:ascii="Verdana" w:eastAsia="Verdana" w:hAnsi="Verdana" w:cs="Verdana"/>
          <w:b/>
          <w:bCs/>
        </w:rPr>
      </w:pPr>
      <w:r w:rsidRPr="009B7DB2">
        <w:rPr>
          <w:rFonts w:ascii="Verdana" w:eastAsia="Verdana" w:hAnsi="Verdana" w:cs="Verdana"/>
          <w:b/>
          <w:bCs/>
        </w:rPr>
        <w:t>Hanner Palacios Cañizales</w:t>
      </w:r>
    </w:p>
    <w:p w14:paraId="7843A6AB" w14:textId="55BC23CD" w:rsidR="00B74ADD" w:rsidRDefault="009B7DB2" w:rsidP="30821638">
      <w:pPr>
        <w:spacing w:after="0" w:line="240" w:lineRule="auto"/>
        <w:jc w:val="both"/>
        <w:rPr>
          <w:rFonts w:ascii="Verdana" w:eastAsia="Verdana" w:hAnsi="Verdana" w:cs="Verdana"/>
          <w:lang w:val="es-MX"/>
        </w:rPr>
      </w:pPr>
      <w:hyperlink r:id="rId11" w:history="1">
        <w:r w:rsidRPr="009B7DB2">
          <w:rPr>
            <w:rStyle w:val="Hipervnculo"/>
            <w:rFonts w:ascii="Verdana" w:eastAsia="Verdana" w:hAnsi="Verdana" w:cs="Verdana"/>
            <w:lang w:val="es-MX"/>
          </w:rPr>
          <w:t>hannerpcanizales@gmail.com</w:t>
        </w:r>
      </w:hyperlink>
      <w:r w:rsidRPr="009B7DB2">
        <w:rPr>
          <w:rFonts w:ascii="Verdana" w:eastAsia="Verdana" w:hAnsi="Verdana" w:cs="Verdana"/>
          <w:lang w:val="es-MX"/>
        </w:rPr>
        <w:t xml:space="preserve"> </w:t>
      </w:r>
    </w:p>
    <w:p w14:paraId="28BA35F9" w14:textId="37E5B9D7" w:rsidR="009B7DB2" w:rsidRDefault="009B7DB2" w:rsidP="30821638">
      <w:pPr>
        <w:spacing w:after="0" w:line="240" w:lineRule="auto"/>
        <w:jc w:val="both"/>
        <w:rPr>
          <w:rFonts w:ascii="Verdana" w:eastAsia="Verdana" w:hAnsi="Verdana" w:cs="Verdana"/>
          <w:lang w:val="es-MX"/>
        </w:rPr>
      </w:pPr>
      <w:r>
        <w:rPr>
          <w:rFonts w:ascii="Verdana" w:eastAsia="Verdana" w:hAnsi="Verdana" w:cs="Verdana"/>
          <w:lang w:val="es-MX"/>
        </w:rPr>
        <w:t xml:space="preserve">Apartadó, Antioquia </w:t>
      </w:r>
    </w:p>
    <w:p w14:paraId="2B468EE9" w14:textId="77777777" w:rsidR="009B7DB2" w:rsidRDefault="009B7DB2" w:rsidP="30821638">
      <w:pPr>
        <w:spacing w:after="0" w:line="240" w:lineRule="auto"/>
        <w:jc w:val="both"/>
        <w:rPr>
          <w:rFonts w:ascii="Verdana" w:eastAsia="Verdana" w:hAnsi="Verdana" w:cs="Verdana"/>
          <w:lang w:val="es-MX"/>
        </w:rPr>
      </w:pPr>
    </w:p>
    <w:p w14:paraId="463C283D" w14:textId="77777777" w:rsidR="00E32B1C" w:rsidRPr="00FF007A" w:rsidRDefault="00E32B1C" w:rsidP="00E32B1C">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528"/>
      </w:tblGrid>
      <w:tr w:rsidR="00936D5F" w:rsidRPr="00FF007A" w14:paraId="15FC4B14" w14:textId="77777777" w:rsidTr="00F92770">
        <w:trPr>
          <w:trHeight w:val="162"/>
        </w:trPr>
        <w:tc>
          <w:tcPr>
            <w:tcW w:w="3261" w:type="dxa"/>
          </w:tcPr>
          <w:p w14:paraId="0CE09849" w14:textId="77777777" w:rsidR="00E32B1C" w:rsidRPr="00FF007A" w:rsidRDefault="00E32B1C">
            <w:pPr>
              <w:jc w:val="both"/>
              <w:rPr>
                <w:rFonts w:ascii="Verdana" w:eastAsia="Calibri" w:hAnsi="Verdana" w:cs="Arial"/>
                <w:b/>
                <w:bCs/>
                <w:color w:val="7030A0"/>
                <w:lang w:eastAsia="es-ES_tradnl"/>
              </w:rPr>
            </w:pPr>
          </w:p>
        </w:tc>
        <w:tc>
          <w:tcPr>
            <w:tcW w:w="5528" w:type="dxa"/>
          </w:tcPr>
          <w:p w14:paraId="1F3EE01E" w14:textId="5AFC9B23" w:rsidR="00E32B1C" w:rsidRPr="00FF007A" w:rsidRDefault="00E32B1C">
            <w:pPr>
              <w:jc w:val="both"/>
              <w:rPr>
                <w:rFonts w:ascii="Verdana" w:eastAsia="Calibri" w:hAnsi="Verdana" w:cs="Arial"/>
                <w:b/>
                <w:bCs/>
                <w:lang w:eastAsia="es-ES"/>
              </w:rPr>
            </w:pPr>
            <w:r w:rsidRPr="00FF007A">
              <w:rPr>
                <w:rFonts w:ascii="Verdana" w:eastAsia="Calibri" w:hAnsi="Verdana" w:cs="Arial"/>
                <w:b/>
                <w:bCs/>
                <w:lang w:eastAsia="es-ES"/>
              </w:rPr>
              <w:t>Concepto C-</w:t>
            </w:r>
            <w:r>
              <w:rPr>
                <w:rFonts w:ascii="Verdana" w:eastAsia="Calibri" w:hAnsi="Verdana" w:cs="Arial"/>
                <w:b/>
                <w:bCs/>
                <w:lang w:eastAsia="es-ES"/>
              </w:rPr>
              <w:t>4</w:t>
            </w:r>
            <w:r w:rsidR="00862D8D">
              <w:rPr>
                <w:rFonts w:ascii="Verdana" w:eastAsia="Calibri" w:hAnsi="Verdana" w:cs="Arial"/>
                <w:b/>
                <w:bCs/>
                <w:lang w:eastAsia="es-ES"/>
              </w:rPr>
              <w:t>6</w:t>
            </w:r>
            <w:r>
              <w:rPr>
                <w:rFonts w:ascii="Verdana" w:eastAsia="Calibri" w:hAnsi="Verdana" w:cs="Arial"/>
                <w:b/>
                <w:bCs/>
                <w:lang w:eastAsia="es-ES"/>
              </w:rPr>
              <w:t>3</w:t>
            </w:r>
            <w:r w:rsidRPr="00FF007A">
              <w:rPr>
                <w:rFonts w:ascii="Verdana" w:eastAsia="Calibri" w:hAnsi="Verdana" w:cs="Arial"/>
                <w:b/>
                <w:bCs/>
                <w:lang w:eastAsia="es-ES"/>
              </w:rPr>
              <w:t xml:space="preserve"> de 202</w:t>
            </w:r>
            <w:r w:rsidR="00862D8D">
              <w:rPr>
                <w:rFonts w:ascii="Verdana" w:eastAsia="Calibri" w:hAnsi="Verdana" w:cs="Arial"/>
                <w:b/>
                <w:bCs/>
                <w:lang w:eastAsia="es-ES"/>
              </w:rPr>
              <w:t>6</w:t>
            </w:r>
          </w:p>
          <w:p w14:paraId="4A28B032" w14:textId="77777777" w:rsidR="00E32B1C" w:rsidRPr="00FF007A" w:rsidRDefault="00E32B1C">
            <w:pPr>
              <w:jc w:val="both"/>
              <w:rPr>
                <w:rFonts w:ascii="Verdana" w:eastAsia="Calibri" w:hAnsi="Verdana" w:cs="Arial"/>
                <w:b/>
                <w:bCs/>
                <w:color w:val="7030A0"/>
                <w:lang w:eastAsia="es-ES"/>
              </w:rPr>
            </w:pPr>
          </w:p>
        </w:tc>
      </w:tr>
      <w:tr w:rsidR="00936D5F" w:rsidRPr="00FF007A" w14:paraId="3CA5FCA5" w14:textId="77777777" w:rsidTr="00F92770">
        <w:trPr>
          <w:trHeight w:val="884"/>
        </w:trPr>
        <w:tc>
          <w:tcPr>
            <w:tcW w:w="3261" w:type="dxa"/>
          </w:tcPr>
          <w:p w14:paraId="0AD8FABD" w14:textId="77777777" w:rsidR="00E32B1C" w:rsidRPr="00FF007A" w:rsidRDefault="00E32B1C">
            <w:pPr>
              <w:jc w:val="both"/>
              <w:rPr>
                <w:rFonts w:ascii="Verdana" w:eastAsia="Calibri" w:hAnsi="Verdana" w:cs="Arial"/>
                <w:color w:val="000000"/>
                <w:lang w:eastAsia="es-ES_tradnl"/>
              </w:rPr>
            </w:pPr>
            <w:r w:rsidRPr="00FF007A">
              <w:rPr>
                <w:rFonts w:ascii="Verdana" w:eastAsia="Calibri" w:hAnsi="Verdana" w:cs="Arial"/>
                <w:b/>
                <w:color w:val="000000"/>
                <w:lang w:eastAsia="es-ES_tradnl"/>
              </w:rPr>
              <w:t>Temas:</w:t>
            </w:r>
            <w:r w:rsidRPr="00FF007A">
              <w:rPr>
                <w:rFonts w:ascii="Verdana" w:eastAsia="Calibri" w:hAnsi="Verdana" w:cs="Arial"/>
                <w:color w:val="000000"/>
                <w:lang w:eastAsia="es-ES_tradnl"/>
              </w:rPr>
              <w:t xml:space="preserve">                   </w:t>
            </w:r>
          </w:p>
        </w:tc>
        <w:tc>
          <w:tcPr>
            <w:tcW w:w="5528" w:type="dxa"/>
          </w:tcPr>
          <w:p w14:paraId="0A2AA203" w14:textId="77AF3790" w:rsidR="00E47422" w:rsidRPr="006B17A7" w:rsidRDefault="00C00FB1" w:rsidP="00E47422">
            <w:pPr>
              <w:spacing w:line="276" w:lineRule="auto"/>
              <w:jc w:val="both"/>
              <w:rPr>
                <w:rFonts w:ascii="Verdana" w:eastAsia="Calibri" w:hAnsi="Verdana" w:cs="Arial"/>
                <w:lang w:val="es-ES" w:eastAsia="es-ES"/>
              </w:rPr>
            </w:pPr>
            <w:r w:rsidRPr="006B17A7">
              <w:rPr>
                <w:rFonts w:ascii="Verdana" w:eastAsia="Calibri" w:hAnsi="Verdana" w:cs="Arial"/>
                <w:lang w:val="es-ES" w:eastAsia="es-ES"/>
              </w:rPr>
              <w:t xml:space="preserve">LIQUIDACIÓN </w:t>
            </w:r>
            <w:r>
              <w:rPr>
                <w:rFonts w:ascii="Verdana" w:eastAsia="Calibri" w:hAnsi="Verdana" w:cs="Arial"/>
                <w:lang w:val="es-ES" w:eastAsia="es-ES"/>
              </w:rPr>
              <w:t>DEL</w:t>
            </w:r>
            <w:r w:rsidR="009C3712">
              <w:rPr>
                <w:rFonts w:ascii="Verdana" w:eastAsia="Calibri" w:hAnsi="Verdana" w:cs="Arial"/>
                <w:lang w:val="es-ES" w:eastAsia="es-ES"/>
              </w:rPr>
              <w:t xml:space="preserve"> CONTRATO – Concepto / LIQUIDACIÓN DEL CONTRATO – Normatividad / LIQUIDACIÓN DEL CONTRATO – Bilateral – </w:t>
            </w:r>
            <w:r w:rsidR="00754133">
              <w:rPr>
                <w:rFonts w:ascii="Verdana" w:eastAsia="Calibri" w:hAnsi="Verdana" w:cs="Arial"/>
                <w:lang w:val="es-ES" w:eastAsia="es-ES"/>
              </w:rPr>
              <w:t xml:space="preserve">Mutuo acuerdo </w:t>
            </w:r>
            <w:r w:rsidR="00CB2709">
              <w:rPr>
                <w:rFonts w:ascii="Verdana" w:eastAsia="Calibri" w:hAnsi="Verdana" w:cs="Arial"/>
                <w:lang w:val="es-ES" w:eastAsia="es-ES"/>
              </w:rPr>
              <w:t>–</w:t>
            </w:r>
            <w:r w:rsidR="00754133">
              <w:rPr>
                <w:rFonts w:ascii="Verdana" w:eastAsia="Calibri" w:hAnsi="Verdana" w:cs="Arial"/>
                <w:lang w:val="es-ES" w:eastAsia="es-ES"/>
              </w:rPr>
              <w:t xml:space="preserve"> </w:t>
            </w:r>
            <w:r w:rsidR="00CB2709">
              <w:rPr>
                <w:rFonts w:ascii="Verdana" w:eastAsia="Calibri" w:hAnsi="Verdana" w:cs="Arial"/>
                <w:lang w:val="es-ES" w:eastAsia="es-ES"/>
              </w:rPr>
              <w:t xml:space="preserve">Términos </w:t>
            </w:r>
            <w:r w:rsidR="00BE39E8">
              <w:rPr>
                <w:rFonts w:ascii="Verdana" w:eastAsia="Calibri" w:hAnsi="Verdana" w:cs="Arial"/>
                <w:lang w:val="es-ES" w:eastAsia="es-ES"/>
              </w:rPr>
              <w:t xml:space="preserve">/ </w:t>
            </w:r>
            <w:r w:rsidR="003A1CB2">
              <w:rPr>
                <w:rFonts w:ascii="Verdana" w:hAnsi="Verdana" w:cs="Arial"/>
                <w:color w:val="000000" w:themeColor="text1"/>
                <w:lang w:val="es-ES"/>
              </w:rPr>
              <w:t>LIQUIDACIÓN DEL CONTRATO – Liquidación unilateral</w:t>
            </w:r>
          </w:p>
          <w:p w14:paraId="486743EF" w14:textId="515252B1" w:rsidR="00E32B1C" w:rsidRPr="00051F33" w:rsidRDefault="00E32B1C" w:rsidP="007221C8">
            <w:pPr>
              <w:jc w:val="both"/>
              <w:rPr>
                <w:rFonts w:ascii="Verdana" w:hAnsi="Verdana" w:cs="Arial"/>
                <w:color w:val="000000" w:themeColor="text1"/>
                <w:lang w:val="es-ES"/>
              </w:rPr>
            </w:pPr>
          </w:p>
        </w:tc>
      </w:tr>
      <w:tr w:rsidR="00936D5F" w:rsidRPr="00FF007A" w14:paraId="30DD1656" w14:textId="77777777" w:rsidTr="009D5148">
        <w:trPr>
          <w:trHeight w:val="382"/>
        </w:trPr>
        <w:tc>
          <w:tcPr>
            <w:tcW w:w="3261" w:type="dxa"/>
          </w:tcPr>
          <w:p w14:paraId="46DA1118" w14:textId="77777777" w:rsidR="00E32B1C" w:rsidRPr="00FF007A" w:rsidRDefault="00E32B1C">
            <w:pPr>
              <w:jc w:val="both"/>
              <w:rPr>
                <w:rFonts w:ascii="Verdana" w:eastAsia="Calibri" w:hAnsi="Verdana" w:cs="Arial"/>
                <w:b/>
                <w:lang w:eastAsia="es-ES_tradnl"/>
              </w:rPr>
            </w:pPr>
            <w:r w:rsidRPr="00FF007A">
              <w:rPr>
                <w:rFonts w:ascii="Verdana" w:eastAsia="Calibri" w:hAnsi="Verdana" w:cs="Arial"/>
                <w:b/>
                <w:lang w:eastAsia="es-ES_tradnl"/>
              </w:rPr>
              <w:t>Radicación:</w:t>
            </w:r>
            <w:r w:rsidRPr="00FF007A">
              <w:rPr>
                <w:rFonts w:ascii="Verdana" w:eastAsia="Calibri" w:hAnsi="Verdana" w:cs="Arial"/>
                <w:lang w:eastAsia="es-ES_tradnl"/>
              </w:rPr>
              <w:t xml:space="preserve">               </w:t>
            </w:r>
          </w:p>
        </w:tc>
        <w:tc>
          <w:tcPr>
            <w:tcW w:w="5528" w:type="dxa"/>
          </w:tcPr>
          <w:p w14:paraId="36CEA6AD" w14:textId="7E89EED0" w:rsidR="00E32B1C" w:rsidRPr="00FF007A" w:rsidRDefault="00E32B1C">
            <w:pPr>
              <w:jc w:val="both"/>
              <w:rPr>
                <w:rFonts w:ascii="Verdana" w:eastAsia="Calibri" w:hAnsi="Verdana" w:cs="Arial"/>
                <w:lang w:eastAsia="es-ES_tradnl"/>
              </w:rPr>
            </w:pPr>
            <w:r w:rsidRPr="00FF007A">
              <w:rPr>
                <w:rFonts w:ascii="Verdana" w:eastAsia="Calibri" w:hAnsi="Verdana" w:cs="Arial"/>
                <w:lang w:eastAsia="es-ES_tradnl"/>
              </w:rPr>
              <w:t xml:space="preserve">Respuesta a consulta con radicado </w:t>
            </w:r>
            <w:r w:rsidR="009368AB" w:rsidRPr="009368AB">
              <w:rPr>
                <w:rFonts w:ascii="Verdana" w:eastAsia="Calibri" w:hAnsi="Verdana" w:cs="Arial"/>
                <w:lang w:eastAsia="es-ES_tradnl"/>
              </w:rPr>
              <w:t>1_2026_03_20_003904</w:t>
            </w:r>
          </w:p>
        </w:tc>
      </w:tr>
    </w:tbl>
    <w:p w14:paraId="2CAEB2C4" w14:textId="77777777" w:rsidR="00E32B1C" w:rsidRPr="00FF007A" w:rsidRDefault="00E32B1C" w:rsidP="00E32B1C">
      <w:pPr>
        <w:spacing w:after="0" w:line="276" w:lineRule="auto"/>
        <w:jc w:val="both"/>
        <w:rPr>
          <w:rFonts w:ascii="Verdana" w:eastAsia="Calibri" w:hAnsi="Verdana" w:cs="Arial"/>
          <w:lang w:eastAsia="es-ES_tradnl"/>
        </w:rPr>
      </w:pPr>
    </w:p>
    <w:p w14:paraId="450CD4A8" w14:textId="7099BD17" w:rsidR="00E32B1C" w:rsidRPr="00FF007A" w:rsidRDefault="00E32B1C" w:rsidP="00E32B1C">
      <w:pPr>
        <w:spacing w:after="0" w:line="276" w:lineRule="auto"/>
        <w:jc w:val="both"/>
        <w:rPr>
          <w:rFonts w:ascii="Verdana" w:eastAsia="Calibri" w:hAnsi="Verdana" w:cs="Arial"/>
          <w:lang w:eastAsia="es-ES"/>
        </w:rPr>
      </w:pPr>
      <w:r w:rsidRPr="00FF007A">
        <w:rPr>
          <w:rFonts w:ascii="Verdana" w:eastAsia="Calibri" w:hAnsi="Verdana" w:cs="Arial"/>
          <w:lang w:eastAsia="es-ES"/>
        </w:rPr>
        <w:t>Estimad</w:t>
      </w:r>
      <w:r>
        <w:rPr>
          <w:rFonts w:ascii="Verdana" w:eastAsia="Calibri" w:hAnsi="Verdana" w:cs="Arial"/>
          <w:lang w:eastAsia="es-ES"/>
        </w:rPr>
        <w:t>o señor Palacios:</w:t>
      </w:r>
    </w:p>
    <w:p w14:paraId="18470780" w14:textId="77777777" w:rsidR="00E32B1C" w:rsidRPr="00FF007A" w:rsidRDefault="00E32B1C" w:rsidP="00E32B1C">
      <w:pPr>
        <w:tabs>
          <w:tab w:val="left" w:pos="3768"/>
        </w:tabs>
        <w:spacing w:after="0" w:line="240" w:lineRule="auto"/>
        <w:jc w:val="both"/>
        <w:rPr>
          <w:rFonts w:ascii="Verdana" w:eastAsia="Calibri" w:hAnsi="Verdana" w:cs="Arial"/>
          <w:lang w:eastAsia="es-ES"/>
        </w:rPr>
      </w:pPr>
    </w:p>
    <w:p w14:paraId="77F78480" w14:textId="71A9011A" w:rsidR="00E32B1C" w:rsidRPr="0046402E" w:rsidRDefault="00E32B1C" w:rsidP="00E32B1C">
      <w:pPr>
        <w:tabs>
          <w:tab w:val="left" w:pos="3768"/>
        </w:tabs>
        <w:spacing w:after="12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w:t>
      </w:r>
      <w:r w:rsidRPr="00046329">
        <w:rPr>
          <w:rFonts w:ascii="Verdana" w:eastAsia="Calibri" w:hAnsi="Verdana" w:cs="Arial"/>
          <w:lang w:eastAsia="es-ES"/>
        </w:rPr>
        <w:t>Pública – Colombia Compra Eficiente– responde su solicitud de consulta de fecha</w:t>
      </w:r>
      <w:r w:rsidR="00A47446">
        <w:rPr>
          <w:rFonts w:ascii="Verdana" w:eastAsia="Calibri" w:hAnsi="Verdana" w:cs="Arial"/>
          <w:lang w:eastAsia="es-ES"/>
        </w:rPr>
        <w:t xml:space="preserve"> </w:t>
      </w:r>
      <w:r w:rsidR="005C09E3">
        <w:rPr>
          <w:rFonts w:ascii="Verdana" w:eastAsia="Calibri" w:hAnsi="Verdana" w:cs="Arial"/>
          <w:lang w:eastAsia="es-ES"/>
        </w:rPr>
        <w:t>20 de marzo de 2026</w:t>
      </w:r>
      <w:r w:rsidRPr="00046329">
        <w:rPr>
          <w:rFonts w:ascii="Verdana" w:eastAsia="Calibri" w:hAnsi="Verdana" w:cs="Arial"/>
          <w:lang w:eastAsia="es-ES"/>
        </w:rPr>
        <w:t xml:space="preserve">, </w:t>
      </w:r>
      <w:r w:rsidRPr="00E05649">
        <w:rPr>
          <w:rFonts w:ascii="Verdana" w:eastAsia="Calibri" w:hAnsi="Verdana" w:cs="Arial"/>
          <w:lang w:eastAsia="es-ES"/>
        </w:rPr>
        <w:t xml:space="preserve">en la cual manifiesta lo siguiente: </w:t>
      </w:r>
    </w:p>
    <w:p w14:paraId="10CE0C3B" w14:textId="11EA3D8F" w:rsidR="00E32B1C" w:rsidRPr="00E13E65" w:rsidRDefault="00E32B1C" w:rsidP="009368AB">
      <w:pPr>
        <w:spacing w:after="0" w:line="240" w:lineRule="auto"/>
        <w:ind w:left="709" w:right="709"/>
        <w:jc w:val="both"/>
        <w:rPr>
          <w:rFonts w:ascii="Verdana" w:eastAsia="Century Gothic" w:hAnsi="Verdana" w:cs="Century Gothic"/>
          <w:sz w:val="21"/>
          <w:szCs w:val="21"/>
        </w:rPr>
      </w:pPr>
      <w:bookmarkStart w:id="1" w:name="_Hlk192699624"/>
      <w:bookmarkStart w:id="2" w:name="_Hlk199394899"/>
      <w:r w:rsidRPr="00E13E65">
        <w:rPr>
          <w:rFonts w:ascii="Verdana" w:eastAsia="Century Gothic" w:hAnsi="Verdana" w:cs="Century Gothic"/>
          <w:sz w:val="21"/>
          <w:szCs w:val="21"/>
        </w:rPr>
        <w:t>“</w:t>
      </w:r>
      <w:bookmarkEnd w:id="1"/>
      <w:bookmarkEnd w:id="2"/>
      <w:r w:rsidR="006F0D11" w:rsidRPr="00E13E65">
        <w:rPr>
          <w:rFonts w:ascii="Verdana" w:eastAsia="Century Gothic" w:hAnsi="Verdana" w:cs="Century Gothic"/>
          <w:sz w:val="21"/>
          <w:szCs w:val="21"/>
        </w:rPr>
        <w:t xml:space="preserve">[…] </w:t>
      </w:r>
    </w:p>
    <w:p w14:paraId="0E473C23" w14:textId="69D2E22F" w:rsidR="006F0D11" w:rsidRPr="00E13E65" w:rsidRDefault="00B61E8F" w:rsidP="009368AB">
      <w:pPr>
        <w:spacing w:after="0" w:line="240" w:lineRule="auto"/>
        <w:ind w:left="709" w:right="709"/>
        <w:jc w:val="both"/>
        <w:rPr>
          <w:rFonts w:ascii="Verdana" w:eastAsia="Century Gothic" w:hAnsi="Verdana" w:cs="Century Gothic"/>
          <w:sz w:val="21"/>
          <w:szCs w:val="21"/>
        </w:rPr>
      </w:pPr>
      <w:r w:rsidRPr="00E13E65">
        <w:rPr>
          <w:rFonts w:ascii="Verdana" w:eastAsia="Century Gothic" w:hAnsi="Verdana" w:cs="Century Gothic"/>
          <w:sz w:val="21"/>
          <w:szCs w:val="21"/>
        </w:rPr>
        <w:t xml:space="preserve">1. </w:t>
      </w:r>
      <w:r w:rsidR="006F0D11" w:rsidRPr="00E13E65">
        <w:rPr>
          <w:rFonts w:ascii="Verdana" w:eastAsia="Century Gothic" w:hAnsi="Verdana" w:cs="Century Gothic"/>
          <w:sz w:val="21"/>
          <w:szCs w:val="21"/>
        </w:rPr>
        <w:t xml:space="preserve">¿Tiene competencia la entidad pública para liquidar de forma unilateral su antes de que transcurran los 4 meses de los que habla el artículo 11 de la </w:t>
      </w:r>
      <w:r w:rsidR="006B18F3" w:rsidRPr="00E13E65">
        <w:rPr>
          <w:rFonts w:ascii="Verdana" w:eastAsia="Century Gothic" w:hAnsi="Verdana" w:cs="Century Gothic"/>
          <w:sz w:val="21"/>
          <w:szCs w:val="21"/>
        </w:rPr>
        <w:t>l</w:t>
      </w:r>
      <w:r w:rsidR="006F0D11" w:rsidRPr="00E13E65">
        <w:rPr>
          <w:rFonts w:ascii="Verdana" w:eastAsia="Century Gothic" w:hAnsi="Verdana" w:cs="Century Gothic"/>
          <w:sz w:val="21"/>
          <w:szCs w:val="21"/>
        </w:rPr>
        <w:t>ey 1150 de 2007, las partes no se ponen de acuerdo?</w:t>
      </w:r>
    </w:p>
    <w:p w14:paraId="51FB2407" w14:textId="77777777" w:rsidR="00573099" w:rsidRPr="00E13E65" w:rsidRDefault="00573099" w:rsidP="009368AB">
      <w:pPr>
        <w:spacing w:after="0" w:line="240" w:lineRule="auto"/>
        <w:ind w:left="709" w:right="709"/>
        <w:jc w:val="both"/>
        <w:rPr>
          <w:rFonts w:ascii="Verdana" w:eastAsia="Century Gothic" w:hAnsi="Verdana" w:cs="Century Gothic"/>
          <w:sz w:val="21"/>
          <w:szCs w:val="21"/>
        </w:rPr>
      </w:pPr>
    </w:p>
    <w:p w14:paraId="4B19DED4" w14:textId="070579C7" w:rsidR="00B61E8F" w:rsidRPr="00E13E65" w:rsidRDefault="00B61E8F" w:rsidP="009368AB">
      <w:pPr>
        <w:spacing w:after="0" w:line="240" w:lineRule="auto"/>
        <w:ind w:left="709" w:right="709"/>
        <w:jc w:val="both"/>
        <w:rPr>
          <w:rFonts w:ascii="Verdana" w:eastAsia="Century Gothic" w:hAnsi="Verdana" w:cs="Century Gothic"/>
          <w:sz w:val="21"/>
          <w:szCs w:val="21"/>
        </w:rPr>
      </w:pPr>
      <w:r w:rsidRPr="00E13E65">
        <w:rPr>
          <w:rFonts w:ascii="Verdana" w:eastAsia="Century Gothic" w:hAnsi="Verdana" w:cs="Century Gothic"/>
          <w:sz w:val="21"/>
          <w:szCs w:val="21"/>
        </w:rPr>
        <w:t>2. ¿</w:t>
      </w:r>
      <w:r w:rsidR="00573099" w:rsidRPr="00E13E65">
        <w:rPr>
          <w:rFonts w:ascii="Verdana" w:eastAsia="Century Gothic" w:hAnsi="Verdana" w:cs="Century Gothic"/>
          <w:sz w:val="21"/>
          <w:szCs w:val="21"/>
        </w:rPr>
        <w:t>Si el contratista manifiesta no querer asistir a las reuniones o diligencias con el objetivo de liquidar de común acuerdo</w:t>
      </w:r>
      <w:r w:rsidR="00FC4AD4" w:rsidRPr="00E13E65">
        <w:rPr>
          <w:rFonts w:ascii="Verdana" w:eastAsia="Century Gothic" w:hAnsi="Verdana" w:cs="Century Gothic"/>
          <w:sz w:val="21"/>
          <w:szCs w:val="21"/>
        </w:rPr>
        <w:t xml:space="preserve"> durante los 4 meses de los que habla el artículo 11 de la ley </w:t>
      </w:r>
      <w:r w:rsidR="003B4D77" w:rsidRPr="00E13E65">
        <w:rPr>
          <w:rFonts w:ascii="Verdana" w:eastAsia="Century Gothic" w:hAnsi="Verdana" w:cs="Century Gothic"/>
          <w:sz w:val="21"/>
          <w:szCs w:val="21"/>
        </w:rPr>
        <w:t>1150 de 2007 o no se presentan ni asiste a las distintas invitaciones a liquidar de común acuerdo, es imperativo a la entidad esperar que transcurra ese lapso para liquidar unilateralmente?</w:t>
      </w:r>
    </w:p>
    <w:p w14:paraId="200F7151" w14:textId="77777777" w:rsidR="003B4D77" w:rsidRPr="00E13E65" w:rsidRDefault="003B4D77" w:rsidP="009368AB">
      <w:pPr>
        <w:spacing w:after="0" w:line="240" w:lineRule="auto"/>
        <w:ind w:left="709" w:right="709"/>
        <w:jc w:val="both"/>
        <w:rPr>
          <w:rFonts w:ascii="Verdana" w:eastAsia="Century Gothic" w:hAnsi="Verdana" w:cs="Century Gothic"/>
          <w:sz w:val="21"/>
          <w:szCs w:val="21"/>
        </w:rPr>
      </w:pPr>
    </w:p>
    <w:p w14:paraId="05325ED6" w14:textId="6C360405" w:rsidR="003B4D77" w:rsidRPr="00E13E65" w:rsidRDefault="003B4D77" w:rsidP="009368AB">
      <w:pPr>
        <w:spacing w:after="0" w:line="240" w:lineRule="auto"/>
        <w:ind w:left="709" w:right="709"/>
        <w:jc w:val="both"/>
        <w:rPr>
          <w:rFonts w:ascii="Verdana" w:eastAsia="Century Gothic" w:hAnsi="Verdana" w:cs="Century Gothic"/>
          <w:sz w:val="21"/>
          <w:szCs w:val="21"/>
        </w:rPr>
      </w:pPr>
      <w:r w:rsidRPr="00E13E65">
        <w:rPr>
          <w:rFonts w:ascii="Verdana" w:eastAsia="Century Gothic" w:hAnsi="Verdana" w:cs="Century Gothic"/>
          <w:sz w:val="21"/>
          <w:szCs w:val="21"/>
        </w:rPr>
        <w:lastRenderedPageBreak/>
        <w:t xml:space="preserve">3. </w:t>
      </w:r>
      <w:r w:rsidR="00335F89" w:rsidRPr="00E13E65">
        <w:rPr>
          <w:rFonts w:ascii="Verdana" w:eastAsia="Century Gothic" w:hAnsi="Verdana" w:cs="Century Gothic"/>
          <w:sz w:val="21"/>
          <w:szCs w:val="21"/>
        </w:rPr>
        <w:t xml:space="preserve">¿Es competente la entidad pública para liquidar de común acuerdo aun dentro del lapso de los 2 meses de los que habla el artículo 11 de la </w:t>
      </w:r>
      <w:r w:rsidR="008523E8" w:rsidRPr="00E13E65">
        <w:rPr>
          <w:rFonts w:ascii="Verdana" w:eastAsia="Century Gothic" w:hAnsi="Verdana" w:cs="Century Gothic"/>
          <w:sz w:val="21"/>
          <w:szCs w:val="21"/>
        </w:rPr>
        <w:t>ley 1150 de 2007 para liquidar de forma unilateral?” (SIC).</w:t>
      </w:r>
    </w:p>
    <w:p w14:paraId="49014E0B" w14:textId="77777777" w:rsidR="00FB3E49" w:rsidRDefault="00FB3E49" w:rsidP="00FB3E49">
      <w:pPr>
        <w:spacing w:before="240" w:after="0" w:line="240" w:lineRule="auto"/>
        <w:ind w:right="709"/>
        <w:jc w:val="both"/>
        <w:rPr>
          <w:rFonts w:ascii="Verdana" w:eastAsia="Century Gothic" w:hAnsi="Verdana" w:cs="Century Gothic"/>
          <w:sz w:val="20"/>
          <w:szCs w:val="20"/>
        </w:rPr>
      </w:pPr>
    </w:p>
    <w:p w14:paraId="368AD657" w14:textId="77777777" w:rsidR="00FB3E49" w:rsidRPr="009037F6" w:rsidRDefault="00FB3E49" w:rsidP="00FB3E49">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4D8EB7" w14:textId="77777777" w:rsidR="00FB3E49" w:rsidRPr="009037F6" w:rsidRDefault="00FB3E49" w:rsidP="00FB3E49">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4568C46B" w14:textId="77777777" w:rsidR="00FB3E49" w:rsidRDefault="00FB3E49" w:rsidP="00FB3E49">
      <w:pPr>
        <w:spacing w:after="0" w:line="276" w:lineRule="auto"/>
        <w:rPr>
          <w:rFonts w:ascii="Verdana" w:eastAsia="Calibri" w:hAnsi="Verdana" w:cs="Times New Roman"/>
          <w:lang w:val="es-ES"/>
        </w:rPr>
      </w:pPr>
    </w:p>
    <w:p w14:paraId="7DC981F0" w14:textId="77777777" w:rsidR="00FB3E49" w:rsidRPr="00FB3E49" w:rsidRDefault="00FB3E49" w:rsidP="009368AB">
      <w:pPr>
        <w:spacing w:after="0" w:line="240" w:lineRule="auto"/>
        <w:ind w:left="709" w:right="709"/>
        <w:jc w:val="both"/>
        <w:rPr>
          <w:rFonts w:ascii="Verdana" w:eastAsia="Century Gothic" w:hAnsi="Verdana" w:cs="Century Gothic"/>
          <w:sz w:val="20"/>
          <w:szCs w:val="20"/>
          <w:lang w:val="es-ES"/>
        </w:rPr>
      </w:pPr>
    </w:p>
    <w:p w14:paraId="6FFC71B9" w14:textId="77777777" w:rsidR="000C614C" w:rsidRPr="00E13E65" w:rsidRDefault="000C614C" w:rsidP="00C03C6E">
      <w:pPr>
        <w:spacing w:after="0" w:line="240" w:lineRule="auto"/>
        <w:ind w:right="709"/>
        <w:jc w:val="both"/>
        <w:rPr>
          <w:rFonts w:ascii="Verdana" w:eastAsia="Century Gothic" w:hAnsi="Verdana" w:cs="Century Gothic"/>
          <w:b/>
          <w:bCs/>
        </w:rPr>
      </w:pPr>
      <w:r w:rsidRPr="00E13E65">
        <w:rPr>
          <w:rFonts w:ascii="Verdana" w:eastAsia="Century Gothic" w:hAnsi="Verdana" w:cs="Century Gothic"/>
          <w:b/>
          <w:bCs/>
        </w:rPr>
        <w:t xml:space="preserve">1. Problema planteado </w:t>
      </w:r>
    </w:p>
    <w:p w14:paraId="71BD3564" w14:textId="77777777" w:rsidR="00FB3E49" w:rsidRDefault="00FB3E49" w:rsidP="009368AB">
      <w:pPr>
        <w:spacing w:after="0" w:line="240" w:lineRule="auto"/>
        <w:ind w:left="709" w:right="709"/>
        <w:jc w:val="both"/>
        <w:rPr>
          <w:rFonts w:ascii="Verdana" w:eastAsia="Century Gothic" w:hAnsi="Verdana" w:cs="Century Gothic"/>
          <w:b/>
          <w:bCs/>
          <w:sz w:val="20"/>
          <w:szCs w:val="20"/>
        </w:rPr>
      </w:pPr>
    </w:p>
    <w:p w14:paraId="596E782B" w14:textId="629A516F" w:rsidR="002A1D79" w:rsidRPr="00EA6D0E" w:rsidRDefault="002A1D79" w:rsidP="002A1D79">
      <w:pPr>
        <w:spacing w:after="12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i)</w:t>
      </w:r>
      <w:r w:rsidR="009A1840">
        <w:rPr>
          <w:rFonts w:ascii="Verdana" w:eastAsia="Calibri" w:hAnsi="Verdana" w:cs="Times New Roman"/>
        </w:rPr>
        <w:t xml:space="preserve"> ¿</w:t>
      </w:r>
      <w:r w:rsidR="009A1840" w:rsidRPr="009A1840">
        <w:rPr>
          <w:rFonts w:ascii="Verdana" w:eastAsia="Calibri" w:hAnsi="Verdana" w:cs="Times New Roman"/>
        </w:rPr>
        <w:t>Puede la entidad estatal liquidar unilateralmente un contrato antes del plazo legal cuando no es posible la liquidación bilateral?</w:t>
      </w:r>
      <w:r w:rsidR="00C10466">
        <w:rPr>
          <w:rFonts w:ascii="Verdana" w:eastAsia="Calibri" w:hAnsi="Verdana" w:cs="Times New Roman"/>
        </w:rPr>
        <w:t>;</w:t>
      </w:r>
      <w:r w:rsidR="00EF5131">
        <w:rPr>
          <w:rFonts w:ascii="Verdana" w:eastAsia="Calibri" w:hAnsi="Verdana" w:cs="Times New Roman"/>
        </w:rPr>
        <w:t xml:space="preserve"> ii) </w:t>
      </w:r>
      <w:r w:rsidR="00C10466" w:rsidRPr="00C10466">
        <w:rPr>
          <w:rFonts w:ascii="Verdana" w:eastAsia="Calibri" w:hAnsi="Verdana" w:cs="Times New Roman"/>
        </w:rPr>
        <w:t>¿Puede la entidad estatal liquidar de común acuerdo un contrato dentro del término previsto para la liquidación unilateral?</w:t>
      </w:r>
      <w:r w:rsidR="00C10466">
        <w:rPr>
          <w:rFonts w:ascii="Verdana" w:eastAsia="Calibri" w:hAnsi="Verdana" w:cs="Times New Roman"/>
        </w:rPr>
        <w:t xml:space="preserve"> </w:t>
      </w:r>
      <w:r w:rsidR="00FE136D">
        <w:rPr>
          <w:rFonts w:ascii="Verdana" w:eastAsia="Calibri" w:hAnsi="Verdana" w:cs="Times New Roman"/>
        </w:rPr>
        <w:t>Y iii)</w:t>
      </w:r>
      <w:r w:rsidR="00C10466" w:rsidRPr="00C10466">
        <w:rPr>
          <w:rFonts w:ascii="Verdana" w:eastAsia="Calibri" w:hAnsi="Verdana" w:cs="Times New Roman"/>
        </w:rPr>
        <w:t xml:space="preserve"> </w:t>
      </w:r>
      <w:r w:rsidR="00F96957">
        <w:rPr>
          <w:rFonts w:ascii="Verdana" w:eastAsia="Calibri" w:hAnsi="Verdana" w:cs="Times New Roman"/>
        </w:rPr>
        <w:t>¿Cuáles</w:t>
      </w:r>
      <w:r w:rsidR="00EF5131">
        <w:rPr>
          <w:rFonts w:ascii="Verdana" w:eastAsia="Calibri" w:hAnsi="Verdana" w:cs="Times New Roman"/>
        </w:rPr>
        <w:t xml:space="preserve"> son los tipos de liquidación</w:t>
      </w:r>
      <w:r w:rsidR="00764B41">
        <w:rPr>
          <w:rFonts w:ascii="Verdana" w:eastAsia="Calibri" w:hAnsi="Verdana" w:cs="Times New Roman"/>
        </w:rPr>
        <w:t xml:space="preserve"> del contrato y en que oportunidad pueden adelantarse?</w:t>
      </w:r>
    </w:p>
    <w:p w14:paraId="6985D7D1" w14:textId="77777777" w:rsidR="000C614C" w:rsidRDefault="000C614C" w:rsidP="00C03C6E">
      <w:pPr>
        <w:spacing w:after="0" w:line="276" w:lineRule="auto"/>
        <w:jc w:val="both"/>
        <w:rPr>
          <w:rFonts w:ascii="Verdana" w:eastAsia="Century Gothic" w:hAnsi="Verdana" w:cs="Century Gothic"/>
          <w:sz w:val="20"/>
          <w:szCs w:val="20"/>
        </w:rPr>
      </w:pPr>
    </w:p>
    <w:p w14:paraId="0D77E9AD" w14:textId="7C15C079" w:rsidR="005B56FE" w:rsidRDefault="000C614C" w:rsidP="00C03C6E">
      <w:pPr>
        <w:spacing w:after="0" w:line="276" w:lineRule="auto"/>
        <w:jc w:val="both"/>
        <w:rPr>
          <w:rFonts w:ascii="Verdana" w:eastAsia="Century Gothic" w:hAnsi="Verdana" w:cs="Century Gothic"/>
          <w:b/>
          <w:bCs/>
        </w:rPr>
      </w:pPr>
      <w:r w:rsidRPr="00E13E65">
        <w:rPr>
          <w:rFonts w:ascii="Verdana" w:eastAsia="Century Gothic" w:hAnsi="Verdana" w:cs="Century Gothic"/>
          <w:b/>
          <w:bCs/>
        </w:rPr>
        <w:lastRenderedPageBreak/>
        <w:t xml:space="preserve">2. Respuesta: </w:t>
      </w:r>
    </w:p>
    <w:p w14:paraId="31065A2E" w14:textId="77777777" w:rsidR="00CA1065" w:rsidRDefault="00CA1065" w:rsidP="00C03C6E">
      <w:pPr>
        <w:spacing w:after="0" w:line="276" w:lineRule="auto"/>
        <w:jc w:val="both"/>
        <w:rPr>
          <w:rFonts w:ascii="Verdana" w:eastAsia="Century Gothic" w:hAnsi="Verdana" w:cs="Century Gothic"/>
          <w:b/>
          <w:bCs/>
        </w:rPr>
      </w:pPr>
    </w:p>
    <w:p w14:paraId="186DFD6C" w14:textId="52DBCED3" w:rsidR="00D33BF0" w:rsidRDefault="00934552"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sidRPr="00934552">
        <w:rPr>
          <w:rFonts w:ascii="Verdana" w:eastAsia="Century Gothic" w:hAnsi="Verdana" w:cs="Century Gothic"/>
        </w:rPr>
        <w:t xml:space="preserve">i) La </w:t>
      </w:r>
      <w:r w:rsidR="00D32979">
        <w:rPr>
          <w:rFonts w:ascii="Verdana" w:eastAsia="Century Gothic" w:hAnsi="Verdana" w:cs="Century Gothic"/>
        </w:rPr>
        <w:t xml:space="preserve">Entidad Estatal tiene la facultad </w:t>
      </w:r>
      <w:r w:rsidR="00B647F0">
        <w:rPr>
          <w:rFonts w:ascii="Verdana" w:eastAsia="Century Gothic" w:hAnsi="Verdana" w:cs="Century Gothic"/>
        </w:rPr>
        <w:t xml:space="preserve">de liquidar unilateralmente el contrato, para lo cual dispone de un plazo de dos meses contados a partir del vencimiento </w:t>
      </w:r>
      <w:r w:rsidR="00A228BD">
        <w:rPr>
          <w:rFonts w:ascii="Verdana" w:eastAsia="Century Gothic" w:hAnsi="Verdana" w:cs="Century Gothic"/>
        </w:rPr>
        <w:t>del plazo convenido por las partes para practicarla o en su defecto, de los cuatro (4) meses siguientes previstos por la ley para efectuar la liquidación vo</w:t>
      </w:r>
      <w:r w:rsidR="00233209">
        <w:rPr>
          <w:rFonts w:ascii="Verdana" w:eastAsia="Century Gothic" w:hAnsi="Verdana" w:cs="Century Gothic"/>
        </w:rPr>
        <w:t>l</w:t>
      </w:r>
      <w:r w:rsidR="00A228BD">
        <w:rPr>
          <w:rFonts w:ascii="Verdana" w:eastAsia="Century Gothic" w:hAnsi="Verdana" w:cs="Century Gothic"/>
        </w:rPr>
        <w:t>untaria o de común acuerdo</w:t>
      </w:r>
      <w:r w:rsidR="00233209">
        <w:rPr>
          <w:rFonts w:ascii="Verdana" w:eastAsia="Century Gothic" w:hAnsi="Verdana" w:cs="Century Gothic"/>
        </w:rPr>
        <w:t xml:space="preserve">. Para que proceda la liquidación unilateral, es necesario que se presente una de las siguientes situaciones: i) que el contratista no se haya presentado al </w:t>
      </w:r>
      <w:r w:rsidR="00C03C6E">
        <w:rPr>
          <w:rFonts w:ascii="Verdana" w:eastAsia="Century Gothic" w:hAnsi="Verdana" w:cs="Century Gothic"/>
        </w:rPr>
        <w:t>trámite</w:t>
      </w:r>
      <w:r w:rsidR="00233209">
        <w:rPr>
          <w:rFonts w:ascii="Verdana" w:eastAsia="Century Gothic" w:hAnsi="Verdana" w:cs="Century Gothic"/>
        </w:rPr>
        <w:t xml:space="preserve"> de liquidación </w:t>
      </w:r>
      <w:r w:rsidR="00D5343A">
        <w:rPr>
          <w:rFonts w:ascii="Verdana" w:eastAsia="Century Gothic" w:hAnsi="Verdana" w:cs="Century Gothic"/>
        </w:rPr>
        <w:t xml:space="preserve">por mutuo acuerdo, a pesar de haber </w:t>
      </w:r>
      <w:r w:rsidR="0000474A">
        <w:rPr>
          <w:rFonts w:ascii="Verdana" w:eastAsia="Century Gothic" w:hAnsi="Verdana" w:cs="Century Gothic"/>
        </w:rPr>
        <w:t>sido convocado o notificado o; ii) si las partes intentan liquidar el contrato de común acuerdo, pero no llegan a un acuerdo.</w:t>
      </w:r>
    </w:p>
    <w:p w14:paraId="62978804" w14:textId="40A21398" w:rsidR="006F5F0D" w:rsidRDefault="006F5F0D"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Por último, una vez vencido el plazo para liquidar unilateralmente del contrato, la ley permite que el contrato </w:t>
      </w:r>
      <w:r w:rsidR="00A66355">
        <w:rPr>
          <w:rFonts w:ascii="Verdana" w:eastAsia="Century Gothic" w:hAnsi="Verdana" w:cs="Century Gothic"/>
        </w:rPr>
        <w:t xml:space="preserve">sea objeto de liquidación, dentro de los dos años siguientes al vencimiento de dicho plazo. Este </w:t>
      </w:r>
      <w:r w:rsidR="00B90FFB">
        <w:rPr>
          <w:rFonts w:ascii="Verdana" w:eastAsia="Century Gothic" w:hAnsi="Verdana" w:cs="Century Gothic"/>
        </w:rPr>
        <w:t>término</w:t>
      </w:r>
      <w:r w:rsidR="00A66355">
        <w:rPr>
          <w:rFonts w:ascii="Verdana" w:eastAsia="Century Gothic" w:hAnsi="Verdana" w:cs="Century Gothic"/>
        </w:rPr>
        <w:t xml:space="preserve"> corresponde a la posibilidad de interponer las acciones judiciales contra el contrato</w:t>
      </w:r>
      <w:r w:rsidR="00B90FFB">
        <w:rPr>
          <w:rFonts w:ascii="Verdana" w:eastAsia="Century Gothic" w:hAnsi="Verdana" w:cs="Century Gothic"/>
        </w:rPr>
        <w:t xml:space="preserve">. Esta liquidación puede darse de común acuerdo o de manera unilateral por la Entidad Estatal. </w:t>
      </w:r>
    </w:p>
    <w:p w14:paraId="36A4FAA3" w14:textId="03412250" w:rsidR="00EB1D1D" w:rsidRDefault="00EB1D1D"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Ahora bien, los plazos para llevar a cabo la liquidación son preclusivos, por lo cual si no tiene lugar en ellos, la Entidad Estatal pierde la competencia para liquidar el contrato. </w:t>
      </w:r>
    </w:p>
    <w:p w14:paraId="251E56B1" w14:textId="2ED219F5" w:rsidR="008808FC" w:rsidRDefault="008808FC"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 xml:space="preserve">Es importante precisar, que el </w:t>
      </w:r>
      <w:proofErr w:type="spellStart"/>
      <w:r>
        <w:rPr>
          <w:rFonts w:ascii="Verdana" w:eastAsia="Century Gothic" w:hAnsi="Verdana" w:cs="Century Gothic"/>
        </w:rPr>
        <w:t>tramite</w:t>
      </w:r>
      <w:proofErr w:type="spellEnd"/>
      <w:r>
        <w:rPr>
          <w:rFonts w:ascii="Verdana" w:eastAsia="Century Gothic" w:hAnsi="Verdana" w:cs="Century Gothic"/>
        </w:rPr>
        <w:t xml:space="preserve"> de liquidación que se realice por fuera de los términos legales para efectuarla por mutuo acuerdo </w:t>
      </w:r>
      <w:r w:rsidR="00072045">
        <w:rPr>
          <w:rFonts w:ascii="Verdana" w:eastAsia="Century Gothic" w:hAnsi="Verdana" w:cs="Century Gothic"/>
        </w:rPr>
        <w:t>o unilateralmente</w:t>
      </w:r>
      <w:r w:rsidR="007B3655">
        <w:rPr>
          <w:rFonts w:ascii="Verdana" w:eastAsia="Century Gothic" w:hAnsi="Verdana" w:cs="Century Gothic"/>
        </w:rPr>
        <w:t xml:space="preserve"> es ilegal por falta de competencia de la Entidad Estatal para realizarla, así como la petición de liquidación </w:t>
      </w:r>
      <w:r w:rsidR="004A2153">
        <w:rPr>
          <w:rFonts w:ascii="Verdana" w:eastAsia="Century Gothic" w:hAnsi="Verdana" w:cs="Century Gothic"/>
        </w:rPr>
        <w:t>judicial presentada por fuera de los términos previstos en el artículo 141 del Código de Procedimiento Administrativo y lo de lo Contencioso Administrativo</w:t>
      </w:r>
      <w:r w:rsidR="00F56303">
        <w:rPr>
          <w:rFonts w:ascii="Verdana" w:eastAsia="Century Gothic" w:hAnsi="Verdana" w:cs="Century Gothic"/>
        </w:rPr>
        <w:t xml:space="preserve"> del término de caducidad.</w:t>
      </w:r>
    </w:p>
    <w:p w14:paraId="5BD419D7" w14:textId="70E43A03" w:rsidR="00F56303" w:rsidRDefault="00F56303"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ii)</w:t>
      </w:r>
      <w:r w:rsidR="005534BD">
        <w:rPr>
          <w:rFonts w:ascii="Verdana" w:eastAsia="Century Gothic" w:hAnsi="Verdana" w:cs="Century Gothic"/>
        </w:rPr>
        <w:t xml:space="preserve">  La liquidación de los contratos puede llevarse a cabo de tres maneras i) bilateral, ii) unilateral o, iii) judicial</w:t>
      </w:r>
      <w:r w:rsidR="005977D1">
        <w:rPr>
          <w:rFonts w:ascii="Verdana" w:eastAsia="Century Gothic" w:hAnsi="Verdana" w:cs="Century Gothic"/>
        </w:rPr>
        <w:t xml:space="preserve">. Durante la liquidación la Entidad Estatal puede exigir </w:t>
      </w:r>
      <w:r w:rsidR="00451346">
        <w:rPr>
          <w:rFonts w:ascii="Verdana" w:eastAsia="Century Gothic" w:hAnsi="Verdana" w:cs="Century Gothic"/>
        </w:rPr>
        <w:t>o ampliación</w:t>
      </w:r>
      <w:r w:rsidR="00A253DA">
        <w:rPr>
          <w:rFonts w:ascii="Verdana" w:eastAsia="Century Gothic" w:hAnsi="Verdana" w:cs="Century Gothic"/>
        </w:rPr>
        <w:t xml:space="preserve">, si es del caso de la garantía del contrato para los amparos de cumplimiento, buen manejo e inversión del anticipo o pago anticipado y calidad del bien o servicio. </w:t>
      </w:r>
    </w:p>
    <w:p w14:paraId="54D42E38" w14:textId="098AE624" w:rsidR="00A253DA" w:rsidRDefault="003F1A25"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Pr>
          <w:rFonts w:ascii="Verdana" w:eastAsia="Century Gothic" w:hAnsi="Verdana" w:cs="Century Gothic"/>
        </w:rPr>
        <w:t>El procedimiento de la liquidación de mutuo acuerdo inicia con la finalización de la etapa de ejecuc</w:t>
      </w:r>
      <w:r w:rsidR="00E850EA">
        <w:rPr>
          <w:rFonts w:ascii="Verdana" w:eastAsia="Century Gothic" w:hAnsi="Verdana" w:cs="Century Gothic"/>
        </w:rPr>
        <w:t>ión</w:t>
      </w:r>
      <w:r w:rsidR="00412E5B">
        <w:rPr>
          <w:rFonts w:ascii="Verdana" w:eastAsia="Century Gothic" w:hAnsi="Verdana" w:cs="Century Gothic"/>
        </w:rPr>
        <w:t xml:space="preserve"> del contrato y puede terminar i) con la suscripción del acta de liquidación o que contenga salvedades; ii</w:t>
      </w:r>
      <w:r w:rsidR="00FA7A7C">
        <w:rPr>
          <w:rFonts w:ascii="Verdana" w:eastAsia="Century Gothic" w:hAnsi="Verdana" w:cs="Century Gothic"/>
        </w:rPr>
        <w:t xml:space="preserve">) con el </w:t>
      </w:r>
      <w:r w:rsidR="00FA7A7C">
        <w:rPr>
          <w:rFonts w:ascii="Verdana" w:eastAsia="Century Gothic" w:hAnsi="Verdana" w:cs="Century Gothic"/>
        </w:rPr>
        <w:lastRenderedPageBreak/>
        <w:t xml:space="preserve">documento donde conste que no fue posible llegar a un acuerdo acerca del contenido o iii) con el documento donde conste que el contratista no se presentó tras la convocatoria o notificación. </w:t>
      </w:r>
    </w:p>
    <w:p w14:paraId="31014617" w14:textId="77777777" w:rsidR="004D65FF" w:rsidRPr="006B17A7" w:rsidRDefault="00F56303" w:rsidP="004D65FF">
      <w:pPr>
        <w:pBdr>
          <w:top w:val="single" w:sz="4" w:space="1" w:color="auto"/>
          <w:left w:val="single" w:sz="4" w:space="4" w:color="auto"/>
          <w:bottom w:val="single" w:sz="4" w:space="1" w:color="auto"/>
          <w:right w:val="single" w:sz="4" w:space="4" w:color="auto"/>
        </w:pBdr>
        <w:spacing w:line="276" w:lineRule="auto"/>
        <w:jc w:val="both"/>
        <w:rPr>
          <w:rFonts w:ascii="Verdana" w:eastAsia="Century Gothic" w:hAnsi="Verdana" w:cs="Century Gothic"/>
        </w:rPr>
      </w:pPr>
      <w:r>
        <w:rPr>
          <w:rFonts w:ascii="Verdana" w:eastAsia="Century Gothic" w:hAnsi="Verdana" w:cs="Century Gothic"/>
        </w:rPr>
        <w:t xml:space="preserve">iii) </w:t>
      </w:r>
      <w:r w:rsidR="004D65FF" w:rsidRPr="006B17A7">
        <w:rPr>
          <w:rFonts w:ascii="Verdana" w:eastAsia="Century Gothic" w:hAnsi="Verdana" w:cs="Century Gothic"/>
        </w:rPr>
        <w:t>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18EAA392" w14:textId="77777777" w:rsidR="004D65FF" w:rsidRPr="006B17A7" w:rsidRDefault="004D65FF" w:rsidP="004D65FF">
      <w:pPr>
        <w:pBdr>
          <w:top w:val="single" w:sz="4" w:space="1" w:color="auto"/>
          <w:left w:val="single" w:sz="4" w:space="4" w:color="auto"/>
          <w:bottom w:val="single" w:sz="4" w:space="1" w:color="auto"/>
          <w:right w:val="single" w:sz="4" w:space="4" w:color="auto"/>
        </w:pBdr>
        <w:spacing w:before="120" w:line="276" w:lineRule="auto"/>
        <w:ind w:firstLine="708"/>
        <w:jc w:val="both"/>
        <w:rPr>
          <w:rFonts w:ascii="Verdana" w:eastAsia="Century Gothic" w:hAnsi="Verdana" w:cs="Century Gothic"/>
        </w:rPr>
      </w:pPr>
      <w:r w:rsidRPr="006B17A7">
        <w:rPr>
          <w:rFonts w:ascii="Verdana" w:eastAsia="Century Gothic" w:hAnsi="Verdana" w:cs="Century Gothic"/>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w:t>
      </w:r>
    </w:p>
    <w:p w14:paraId="7C91C8E4" w14:textId="77777777" w:rsidR="004D65FF" w:rsidRPr="006B17A7" w:rsidRDefault="004D65FF" w:rsidP="004D65FF">
      <w:pPr>
        <w:pBdr>
          <w:top w:val="single" w:sz="4" w:space="1" w:color="auto"/>
          <w:left w:val="single" w:sz="4" w:space="4" w:color="auto"/>
          <w:bottom w:val="single" w:sz="4" w:space="1" w:color="auto"/>
          <w:right w:val="single" w:sz="4" w:space="4" w:color="auto"/>
        </w:pBdr>
        <w:jc w:val="both"/>
        <w:rPr>
          <w:rFonts w:ascii="Aptos" w:eastAsia="Aptos" w:hAnsi="Aptos" w:cs="Arial"/>
        </w:rPr>
      </w:pPr>
    </w:p>
    <w:p w14:paraId="04FB6218" w14:textId="70895D79" w:rsidR="00F56303" w:rsidRPr="00934552" w:rsidRDefault="004D65FF" w:rsidP="004D65FF">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Century Gothic" w:hAnsi="Verdana" w:cs="Century Gothic"/>
        </w:rPr>
      </w:pPr>
      <w:r w:rsidRPr="006B17A7">
        <w:rPr>
          <w:rFonts w:ascii="Verdana" w:eastAsia="Calibri" w:hAnsi="Verdana" w:cs="Arial"/>
        </w:rPr>
        <w:t xml:space="preserve">Finalmente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w:t>
      </w:r>
      <w:r w:rsidRPr="006B17A7">
        <w:rPr>
          <w:rFonts w:ascii="Verdana" w:eastAsia="Calibri" w:hAnsi="Verdana" w:cs="Arial"/>
        </w:rPr>
        <w:lastRenderedPageBreak/>
        <w:t>particulares corresponde a los interesados de adoptar la decisión y, en caso de conflicto, a las autoridades judiciales, fiscales y disciplinarias.</w:t>
      </w:r>
    </w:p>
    <w:p w14:paraId="131E4CB5" w14:textId="77777777" w:rsidR="00F96957" w:rsidRPr="00E13E65" w:rsidRDefault="00F96957" w:rsidP="009368AB">
      <w:pPr>
        <w:spacing w:after="0" w:line="240" w:lineRule="auto"/>
        <w:ind w:left="709" w:right="709"/>
        <w:jc w:val="both"/>
        <w:rPr>
          <w:rFonts w:ascii="Verdana" w:eastAsia="Century Gothic" w:hAnsi="Verdana" w:cs="Century Gothic"/>
          <w:b/>
          <w:bCs/>
        </w:rPr>
      </w:pPr>
    </w:p>
    <w:p w14:paraId="7A14F5F3" w14:textId="77777777" w:rsidR="00F96957" w:rsidRPr="00E13E65" w:rsidRDefault="00F96957" w:rsidP="009368AB">
      <w:pPr>
        <w:spacing w:after="0" w:line="240" w:lineRule="auto"/>
        <w:ind w:left="709" w:right="709"/>
        <w:jc w:val="both"/>
        <w:rPr>
          <w:rFonts w:ascii="Verdana" w:eastAsia="Century Gothic" w:hAnsi="Verdana" w:cs="Century Gothic"/>
          <w:b/>
          <w:bCs/>
        </w:rPr>
      </w:pPr>
    </w:p>
    <w:p w14:paraId="08F46A4E" w14:textId="77777777" w:rsidR="007D322E" w:rsidRPr="00E13E65" w:rsidRDefault="00D313F2" w:rsidP="00C03C6E">
      <w:pPr>
        <w:spacing w:after="0" w:line="240" w:lineRule="auto"/>
        <w:ind w:right="709"/>
        <w:jc w:val="both"/>
        <w:rPr>
          <w:rFonts w:ascii="Verdana" w:eastAsia="Century Gothic" w:hAnsi="Verdana" w:cs="Century Gothic"/>
          <w:b/>
          <w:bCs/>
        </w:rPr>
      </w:pPr>
      <w:r w:rsidRPr="00E13E65">
        <w:rPr>
          <w:rFonts w:ascii="Verdana" w:eastAsia="Century Gothic" w:hAnsi="Verdana" w:cs="Century Gothic"/>
          <w:b/>
          <w:bCs/>
        </w:rPr>
        <w:t xml:space="preserve">3. Razones de la respuesta: </w:t>
      </w:r>
    </w:p>
    <w:p w14:paraId="4C264BCA" w14:textId="77777777" w:rsidR="00E7253B" w:rsidRDefault="00E7253B" w:rsidP="007D322E">
      <w:pPr>
        <w:spacing w:after="0" w:line="240" w:lineRule="auto"/>
        <w:ind w:left="709" w:right="709"/>
        <w:jc w:val="both"/>
        <w:rPr>
          <w:rFonts w:ascii="Verdana" w:eastAsia="Century Gothic" w:hAnsi="Verdana" w:cs="Century Gothic"/>
          <w:b/>
          <w:bCs/>
          <w:sz w:val="20"/>
          <w:szCs w:val="20"/>
        </w:rPr>
      </w:pPr>
    </w:p>
    <w:p w14:paraId="520245E7" w14:textId="77777777" w:rsidR="00C03C6E" w:rsidRDefault="00204B34" w:rsidP="00C03C6E">
      <w:pPr>
        <w:spacing w:after="120" w:line="276" w:lineRule="auto"/>
        <w:jc w:val="both"/>
        <w:rPr>
          <w:rFonts w:ascii="Verdana" w:eastAsia="Century Gothic" w:hAnsi="Verdana" w:cs="Century Gothic"/>
          <w:b/>
          <w:bCs/>
        </w:rPr>
      </w:pPr>
      <w:r w:rsidRPr="00E13E65">
        <w:rPr>
          <w:rFonts w:ascii="Verdana" w:eastAsia="Century Gothic" w:hAnsi="Verdana" w:cs="Century Gothic"/>
        </w:rPr>
        <w:t xml:space="preserve">Lo anterior se sustenta en las siguientes consideraciones: </w:t>
      </w:r>
    </w:p>
    <w:p w14:paraId="57C6160C" w14:textId="5FEAFC0C" w:rsidR="00D741B9" w:rsidRPr="00D741B9" w:rsidRDefault="00C03C6E" w:rsidP="00C03C6E">
      <w:pPr>
        <w:spacing w:after="120" w:line="276" w:lineRule="auto"/>
        <w:jc w:val="both"/>
        <w:rPr>
          <w:rFonts w:ascii="Verdana" w:eastAsia="Century Gothic" w:hAnsi="Verdana" w:cs="Century Gothic"/>
          <w:b/>
          <w:bCs/>
        </w:rPr>
      </w:pPr>
      <w:r>
        <w:rPr>
          <w:rFonts w:ascii="Verdana" w:eastAsia="Calibri" w:hAnsi="Verdana" w:cs="Arial"/>
          <w:lang w:val="es-MX"/>
        </w:rPr>
        <w:t xml:space="preserve">i) </w:t>
      </w:r>
      <w:r w:rsidR="00D741B9" w:rsidRPr="00D741B9">
        <w:rPr>
          <w:rFonts w:ascii="Verdana" w:eastAsia="Calibri" w:hAnsi="Verdana" w:cs="Arial"/>
          <w:lang w:val="es-MX"/>
        </w:rPr>
        <w:t>Desde el punto de vista jurídico, se tiene que, 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00D741B9" w:rsidRPr="00D741B9">
        <w:rPr>
          <w:rFonts w:ascii="Verdana" w:eastAsia="Aptos" w:hAnsi="Verdana" w:cs="Times New Roman"/>
          <w:color w:val="000000"/>
          <w:vertAlign w:val="superscript"/>
          <w:lang w:val="es-ES_tradnl"/>
        </w:rPr>
        <w:footnoteReference w:id="1"/>
      </w:r>
      <w:r w:rsidR="00D741B9" w:rsidRPr="00D741B9">
        <w:rPr>
          <w:rFonts w:ascii="Verdana" w:eastAsia="Calibri" w:hAnsi="Verdana" w:cs="Arial"/>
          <w:color w:val="000000"/>
          <w:lang w:val="es-ES_tradnl"/>
        </w:rPr>
        <w:t xml:space="preserve">. En armonía con lo anterior, la doctrina ha definido la liquidación de la siguiente manera: </w:t>
      </w:r>
    </w:p>
    <w:p w14:paraId="6548A818" w14:textId="77777777" w:rsidR="00D741B9" w:rsidRPr="00D741B9" w:rsidRDefault="00D741B9" w:rsidP="00D741B9">
      <w:pPr>
        <w:spacing w:after="0" w:line="276" w:lineRule="auto"/>
        <w:ind w:left="720"/>
        <w:contextualSpacing/>
        <w:jc w:val="both"/>
        <w:rPr>
          <w:rFonts w:ascii="Verdana" w:eastAsia="Calibri" w:hAnsi="Verdana" w:cs="Arial"/>
          <w:lang w:val="es-MX"/>
        </w:rPr>
      </w:pPr>
    </w:p>
    <w:p w14:paraId="2F65837A" w14:textId="77777777" w:rsidR="00D741B9" w:rsidRPr="00D741B9" w:rsidRDefault="00D741B9" w:rsidP="00E13E65">
      <w:pPr>
        <w:spacing w:after="0" w:line="240" w:lineRule="auto"/>
        <w:ind w:left="709" w:right="709"/>
        <w:contextualSpacing/>
        <w:jc w:val="both"/>
        <w:rPr>
          <w:rFonts w:ascii="Verdana" w:eastAsia="Calibri" w:hAnsi="Verdana" w:cs="Arial"/>
          <w:sz w:val="21"/>
          <w:szCs w:val="21"/>
          <w:lang w:val="es-MX"/>
        </w:rPr>
      </w:pPr>
      <w:r w:rsidRPr="00D741B9">
        <w:rPr>
          <w:rFonts w:ascii="Verdana" w:eastAsia="Calibri" w:hAnsi="Verdana" w:cs="Arial"/>
          <w:i/>
          <w:iCs/>
          <w:color w:val="000000"/>
          <w:sz w:val="21"/>
          <w:szCs w:val="21"/>
          <w:lang w:val="es-ES_tradnl"/>
        </w:rPr>
        <w:t>“</w:t>
      </w:r>
      <w:r w:rsidRPr="00D741B9">
        <w:rPr>
          <w:rFonts w:ascii="Verdana" w:eastAsia="Calibri" w:hAnsi="Verdana" w:cs="Arial"/>
          <w:sz w:val="21"/>
          <w:szCs w:val="21"/>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w:t>
      </w:r>
      <w:r w:rsidRPr="00D741B9">
        <w:rPr>
          <w:rFonts w:ascii="Verdana" w:eastAsia="Calibri" w:hAnsi="Verdana" w:cs="Arial"/>
          <w:sz w:val="21"/>
          <w:szCs w:val="21"/>
          <w:lang w:val="es-MX"/>
        </w:rPr>
        <w:lastRenderedPageBreak/>
        <w:t>partes, estableciendo si pueden constituirse o no a paz y salvo; lo que exige, en la práctica, que los negociantes dialoguen e intenten ponerse de acuerdo (aspecto subjetivo)”</w:t>
      </w:r>
      <w:r w:rsidRPr="00D741B9">
        <w:rPr>
          <w:rFonts w:ascii="Verdana" w:eastAsia="Aptos" w:hAnsi="Verdana" w:cs="Times New Roman"/>
          <w:sz w:val="21"/>
          <w:szCs w:val="21"/>
          <w:vertAlign w:val="superscript"/>
          <w:lang w:val="es-MX"/>
        </w:rPr>
        <w:footnoteReference w:id="2"/>
      </w:r>
      <w:r w:rsidRPr="00D741B9">
        <w:rPr>
          <w:rFonts w:ascii="Verdana" w:eastAsia="Calibri" w:hAnsi="Verdana" w:cs="Arial"/>
          <w:sz w:val="21"/>
          <w:szCs w:val="21"/>
          <w:lang w:val="es-MX"/>
        </w:rPr>
        <w:t>.</w:t>
      </w:r>
    </w:p>
    <w:p w14:paraId="6471A23B" w14:textId="77777777" w:rsidR="00D741B9" w:rsidRPr="00D741B9" w:rsidRDefault="00D741B9" w:rsidP="00D741B9">
      <w:pPr>
        <w:spacing w:after="0" w:line="276" w:lineRule="auto"/>
        <w:ind w:left="720"/>
        <w:contextualSpacing/>
        <w:jc w:val="both"/>
        <w:rPr>
          <w:rFonts w:ascii="Verdana" w:eastAsia="Calibri" w:hAnsi="Verdana" w:cs="Arial"/>
          <w:lang w:val="es-MX"/>
        </w:rPr>
      </w:pPr>
    </w:p>
    <w:p w14:paraId="76699323" w14:textId="77777777" w:rsidR="00D741B9" w:rsidRPr="00D741B9" w:rsidRDefault="00D741B9" w:rsidP="00C03C6E">
      <w:pPr>
        <w:spacing w:after="120" w:line="276" w:lineRule="auto"/>
        <w:ind w:firstLine="709"/>
        <w:jc w:val="both"/>
        <w:rPr>
          <w:rFonts w:ascii="Verdana" w:eastAsia="Calibri" w:hAnsi="Verdana" w:cs="Arial"/>
          <w:lang w:val="es-MX"/>
        </w:rPr>
      </w:pPr>
      <w:r w:rsidRPr="00D741B9">
        <w:rPr>
          <w:rFonts w:ascii="Verdana" w:eastAsia="Calibri" w:hAnsi="Verdana" w:cs="Arial"/>
          <w:lang w:val="es-MX"/>
        </w:rPr>
        <w:t>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D741B9">
        <w:rPr>
          <w:rFonts w:ascii="Verdana" w:eastAsia="Times New Roman" w:hAnsi="Verdana" w:cs="Times New Roman"/>
          <w:color w:val="000000"/>
          <w:szCs w:val="24"/>
          <w:vertAlign w:val="superscript"/>
          <w:lang w:val="es-ES_tradnl" w:eastAsia="es-ES_tradnl"/>
        </w:rPr>
        <w:footnoteReference w:id="3"/>
      </w:r>
      <w:r w:rsidRPr="00D741B9">
        <w:rPr>
          <w:rFonts w:ascii="Verdana" w:eastAsia="Times New Roman" w:hAnsi="Verdana" w:cs="Arial"/>
          <w:color w:val="000000"/>
          <w:szCs w:val="24"/>
          <w:lang w:val="es-ES_tradnl" w:eastAsia="es-ES_tradnl"/>
        </w:rPr>
        <w:t>.</w:t>
      </w:r>
      <w:r w:rsidRPr="00D741B9">
        <w:rPr>
          <w:rFonts w:ascii="Verdana" w:eastAsia="Calibri" w:hAnsi="Verdana" w:cs="Arial"/>
          <w:lang w:val="es-MX"/>
        </w:rPr>
        <w:t xml:space="preserve"> En ese sentido, el artículo 60 de la Ley 80 de 1993 dispone que en la etapa de liquidación del contrato estatal las partes acordarán los ajustes, revisiones y reconocimientos a que haya lugar. Por lo que, la misma norma, señala que será en el acta de liquidación el documento donde “constarán los acuerdos, conciliaciones y transacciones a que llegaren las partes para poner fin a las divergencias presentadas y poder declarase a paz y salvo”.</w:t>
      </w:r>
    </w:p>
    <w:p w14:paraId="4B3EA086" w14:textId="77777777" w:rsidR="00D741B9" w:rsidRPr="00D741B9" w:rsidRDefault="00D741B9" w:rsidP="00D741B9">
      <w:pPr>
        <w:spacing w:after="120" w:line="276" w:lineRule="auto"/>
        <w:ind w:firstLine="709"/>
        <w:jc w:val="both"/>
        <w:rPr>
          <w:rFonts w:ascii="Verdana" w:eastAsia="Calibri" w:hAnsi="Verdana" w:cs="Arial"/>
          <w:lang w:val="es-MX"/>
        </w:rPr>
      </w:pPr>
      <w:r w:rsidRPr="00D741B9">
        <w:rPr>
          <w:rFonts w:ascii="Verdana" w:eastAsia="Calibri" w:hAnsi="Verdana" w:cs="Arial"/>
          <w:lang w:val="es-MX"/>
        </w:rPr>
        <w:t xml:space="preserve">El Estatuto General de Contratación de la Administración Pública –Ley 80 de 1993, Ley 1150 de 2007, Decreto 1082 de 2015 y demás normas que lo modifiquen o complementen–, aplicable para las Entidades Estatales sujetas a este, establece las disposiciones legales que regulan la etapa de liquidación de los contratos estatales, particularmente en el artículo 60 de la Ley 80 de 1993, modificado por el artículo 217 del Decreto 019 de 2012, y el artículo 11 de la Ley 1150 de 2007. El primero de estos artículos regula el alcance sustantivo de la liquidación y los contratos en que procede, mientras que el segundo señala las reglas procedimentales para su realización. </w:t>
      </w:r>
    </w:p>
    <w:p w14:paraId="3CA1036E" w14:textId="77777777" w:rsidR="00D741B9" w:rsidRPr="00D741B9" w:rsidRDefault="00D741B9" w:rsidP="00D741B9">
      <w:pPr>
        <w:spacing w:after="120" w:line="276" w:lineRule="auto"/>
        <w:ind w:firstLine="709"/>
        <w:jc w:val="both"/>
        <w:rPr>
          <w:rFonts w:ascii="Verdana" w:eastAsia="Calibri" w:hAnsi="Verdana" w:cs="Arial"/>
          <w:lang w:val="es-MX"/>
        </w:rPr>
      </w:pPr>
      <w:r w:rsidRPr="00D741B9">
        <w:rPr>
          <w:rFonts w:ascii="Verdana" w:eastAsia="Calibri" w:hAnsi="Verdana" w:cs="Arial"/>
          <w:lang w:val="es-MX"/>
        </w:rPr>
        <w:lastRenderedPageBreak/>
        <w:t xml:space="preserve">De esta forma, se tiene que, las Entidades Estatales sujetas al Estatuto General de Contratación de la Administración Pública, deben liquidar, conforme al artículo 60 de la Ley 80 de 1993: a) los contratos de tracto sucesivo, esto es aquellos cuyas obligaciones se ejecuten de manera periódica o difieren en el tiempo o sucesivamente a medida que se van causando; b) aquellos contratos cuya ejecución o cumplimiento se prolonguen en el tiempo, ya sea por la naturaleza periódica de las prestaciones o por las vicisitudes que se presenten en su ejecución que lo dilaten o prorroguen y; c) los demás que lo requieran, con fundamento en su naturaleza, objeto y plazo, así como su importancia o relevancia o por la eventualidad de discrepancias y controversias en torno a su ejecución; salvo, en los contratos de prestación de servicios profesionales y de apoyo a la gestión, pues en estos no es obligatoria la liquidación. </w:t>
      </w:r>
    </w:p>
    <w:p w14:paraId="080D6922" w14:textId="77777777" w:rsidR="00D741B9" w:rsidRPr="00D741B9" w:rsidRDefault="00D741B9" w:rsidP="00D741B9">
      <w:pPr>
        <w:spacing w:after="120" w:line="276" w:lineRule="auto"/>
        <w:ind w:firstLine="709"/>
        <w:jc w:val="both"/>
        <w:rPr>
          <w:rFonts w:ascii="Verdana" w:eastAsia="Calibri" w:hAnsi="Verdana" w:cs="Arial"/>
          <w:lang w:val="es-MX"/>
        </w:rPr>
      </w:pPr>
      <w:r w:rsidRPr="00D741B9">
        <w:rPr>
          <w:rFonts w:ascii="Verdana" w:eastAsia="Calibri" w:hAnsi="Verdana" w:cs="Arial"/>
          <w:lang w:val="es-MX"/>
        </w:rPr>
        <w:t xml:space="preserve">De esta forma, se aclara que, si se cumplen con las condiciones antes señaladas, la entidad contratante deberá determinar sobre cada caso particular y concreto, si procede la liquidación y la forma en la que la adelantará, obedeciendo claramente, a las reglas procedimentales señaladas en el artículo 11 de la Ley 1150 de 2007. Con fundamento en lo estableciendo en el artículo 11 </w:t>
      </w:r>
      <w:r w:rsidRPr="00D741B9">
        <w:rPr>
          <w:rFonts w:ascii="Verdana" w:eastAsia="Calibri" w:hAnsi="Verdana" w:cs="Arial"/>
          <w:i/>
          <w:iCs/>
          <w:lang w:val="es-MX"/>
        </w:rPr>
        <w:t>ibidem</w:t>
      </w:r>
      <w:r w:rsidRPr="00D741B9">
        <w:rPr>
          <w:rFonts w:ascii="Verdana" w:eastAsia="Calibri" w:hAnsi="Verdana" w:cs="Arial"/>
          <w:lang w:val="es-MX"/>
        </w:rPr>
        <w:t>, las Entidades Estatales en el ejercicio de la autonomía de la voluntad y de conformidad con los criterios de la naturaleza, objeto y plazo del contrato, podrán definir en el pliego de condiciones o en el contrato el plazo para efectuar la liquidación de mutuo acuerdo. Sin embargo, en ausencia de pacto contractual, la referida norma prevé un término supletivo de cuatro (4) meses contados desde: i) el vencimiento del plazo previsto para la ejecución del contrato; ii) la expedición del acto administrativo que ordene la terminación del contrato; o iii) la fecha del acuerdo que disponga la terminación del contrato.</w:t>
      </w:r>
    </w:p>
    <w:p w14:paraId="0586EC7C" w14:textId="77777777" w:rsidR="00D741B9" w:rsidRPr="00D741B9" w:rsidRDefault="00D741B9" w:rsidP="00D741B9">
      <w:pPr>
        <w:spacing w:after="120" w:line="276" w:lineRule="auto"/>
        <w:ind w:firstLine="709"/>
        <w:jc w:val="both"/>
        <w:rPr>
          <w:rFonts w:ascii="Verdana" w:eastAsia="Calibri" w:hAnsi="Verdana" w:cs="Arial"/>
          <w:lang w:val="es-MX"/>
        </w:rPr>
      </w:pPr>
      <w:r w:rsidRPr="00D741B9">
        <w:rPr>
          <w:rFonts w:ascii="Verdana" w:eastAsia="Calibri" w:hAnsi="Verdana" w:cs="Arial"/>
          <w:lang w:val="es-MX"/>
        </w:rPr>
        <w:t>Durante dichos términos, el contratista puede solicitar que se adelante el trámite de liquidación. Sin embargo, es responsabilidad de la Entidad Estatal convocarlo para adelantar la liquidación de común acuerdo o notificarlo para que se presente a realizarla</w:t>
      </w:r>
      <w:r w:rsidRPr="00D741B9">
        <w:rPr>
          <w:rFonts w:ascii="Verdana" w:eastAsia="Aptos" w:hAnsi="Verdana" w:cs="Times New Roman"/>
          <w:color w:val="000000"/>
          <w:vertAlign w:val="superscript"/>
          <w:lang w:val="es-ES_tradnl"/>
        </w:rPr>
        <w:footnoteReference w:id="4"/>
      </w:r>
      <w:r w:rsidRPr="00D741B9">
        <w:rPr>
          <w:rFonts w:ascii="Verdana" w:eastAsia="Calibri" w:hAnsi="Verdana" w:cs="Arial"/>
          <w:color w:val="000000"/>
          <w:lang w:val="es-ES_tradnl"/>
        </w:rPr>
        <w:t xml:space="preserve">, de manera que el contrato pueda ser liquidado bilateralmente, bien sea en el plazo previsto en el pliego de condiciones, el acordado por las partes, o el supletivo de cuatro (4) meses señalados en la ley, </w:t>
      </w:r>
      <w:r w:rsidRPr="00D741B9">
        <w:rPr>
          <w:rFonts w:ascii="Verdana" w:eastAsia="Calibri" w:hAnsi="Verdana" w:cs="Arial"/>
          <w:color w:val="000000"/>
          <w:lang w:val="es-ES_tradnl"/>
        </w:rPr>
        <w:lastRenderedPageBreak/>
        <w:t>según corresponda. Esta liquidación bilateral puede ser total o parcial</w:t>
      </w:r>
      <w:r w:rsidRPr="00D741B9">
        <w:rPr>
          <w:rFonts w:ascii="Verdana" w:eastAsia="Aptos" w:hAnsi="Verdana" w:cs="Times New Roman"/>
          <w:iCs/>
          <w:color w:val="000000"/>
          <w:vertAlign w:val="superscript"/>
          <w:lang w:val="es-ES_tradnl"/>
        </w:rPr>
        <w:footnoteReference w:id="5"/>
      </w:r>
      <w:r w:rsidRPr="00D741B9">
        <w:rPr>
          <w:rFonts w:ascii="Verdana" w:eastAsia="Calibri" w:hAnsi="Verdana" w:cs="Arial"/>
          <w:color w:val="000000"/>
          <w:lang w:val="es-ES_tradnl"/>
        </w:rPr>
        <w:t>, y el documento que la contiene presta mérito ejecutivo, siempre que se satisfagan los elementos para considerarlo como tal. Si no es posible efectuar la liquidación de manera bilateral, el ordenamiento jurídico prevé de facultad, de manera subsidiaria, a la Entidad Estatal para que realice la liquidación unilateralmente.</w:t>
      </w:r>
    </w:p>
    <w:p w14:paraId="242B0E31" w14:textId="77777777" w:rsidR="00D741B9" w:rsidRPr="00D741B9" w:rsidRDefault="00D741B9" w:rsidP="00D741B9">
      <w:pPr>
        <w:spacing w:after="120" w:line="276" w:lineRule="auto"/>
        <w:ind w:firstLine="709"/>
        <w:jc w:val="both"/>
        <w:rPr>
          <w:rFonts w:ascii="Verdana" w:eastAsia="Times New Roman" w:hAnsi="Verdana" w:cs="Arial"/>
          <w:color w:val="000000"/>
          <w:lang w:eastAsia="es-ES_tradnl"/>
        </w:rPr>
      </w:pPr>
      <w:r w:rsidRPr="00D741B9">
        <w:rPr>
          <w:rFonts w:ascii="Verdana" w:eastAsia="Calibri" w:hAnsi="Verdana" w:cs="Arial"/>
          <w:lang w:val="es-MX"/>
        </w:rPr>
        <w:t xml:space="preserve">Si no es posible efectuar la liquidación </w:t>
      </w:r>
      <w:r w:rsidRPr="00D741B9">
        <w:rPr>
          <w:rFonts w:ascii="Verdana" w:eastAsia="Times New Roman" w:hAnsi="Verdana" w:cs="Arial"/>
          <w:color w:val="000000"/>
          <w:bdr w:val="none" w:sz="0" w:space="0" w:color="auto" w:frame="1"/>
          <w:shd w:val="clear" w:color="auto" w:fill="FFFFFF"/>
          <w:lang w:val="es-ES" w:eastAsia="es-ES_tradnl"/>
        </w:rPr>
        <w:t xml:space="preserve">de manera bilateral, el ordenamiento jurídico prevé una facultad, de carácter subsidiario, para que la Entidad Estatal realice la liquidación unilateralmente. En relación con este aspecto, la </w:t>
      </w:r>
      <w:r w:rsidRPr="00D741B9">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D741B9">
        <w:rPr>
          <w:rFonts w:ascii="Verdana" w:eastAsia="Times New Roman" w:hAnsi="Verdana" w:cs="Arial"/>
          <w:color w:val="000000"/>
          <w:bdr w:val="none" w:sz="0" w:space="0" w:color="auto" w:frame="1"/>
          <w:shd w:val="clear" w:color="auto" w:fill="FFFFFF"/>
          <w:lang w:val="es-ES" w:eastAsia="es-ES_tradnl"/>
        </w:rPr>
        <w:t>Consejo de Estado</w:t>
      </w:r>
      <w:r w:rsidRPr="00D741B9">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22CC29AC" w14:textId="77777777" w:rsidR="00D741B9" w:rsidRPr="00D741B9" w:rsidRDefault="00D741B9" w:rsidP="00D741B9">
      <w:pPr>
        <w:spacing w:after="0" w:line="240" w:lineRule="auto"/>
        <w:ind w:left="709" w:right="709"/>
        <w:jc w:val="both"/>
        <w:rPr>
          <w:rFonts w:ascii="Verdana" w:eastAsia="Times New Roman" w:hAnsi="Verdana" w:cs="Arial"/>
          <w:color w:val="000000"/>
          <w:sz w:val="21"/>
          <w:szCs w:val="21"/>
          <w:lang w:eastAsia="es-ES_tradnl"/>
        </w:rPr>
      </w:pPr>
    </w:p>
    <w:p w14:paraId="0D6763FC" w14:textId="77777777" w:rsidR="00D741B9" w:rsidRPr="00D741B9" w:rsidRDefault="00D741B9" w:rsidP="00D741B9">
      <w:pPr>
        <w:spacing w:after="0" w:line="240" w:lineRule="auto"/>
        <w:ind w:left="709" w:right="709"/>
        <w:jc w:val="both"/>
        <w:rPr>
          <w:rFonts w:ascii="Verdana" w:eastAsia="Times New Roman" w:hAnsi="Verdana" w:cs="Arial"/>
          <w:color w:val="000000"/>
          <w:sz w:val="21"/>
          <w:szCs w:val="21"/>
          <w:lang w:eastAsia="es-ES_tradnl"/>
        </w:rPr>
      </w:pPr>
      <w:r w:rsidRPr="00D741B9">
        <w:rPr>
          <w:rFonts w:ascii="Verdana" w:eastAsia="Times New Roman" w:hAnsi="Verdana" w:cs="Arial"/>
          <w:i/>
          <w:iCs/>
          <w:sz w:val="21"/>
          <w:szCs w:val="21"/>
          <w:lang w:val="es-ES_tradnl" w:eastAsia="es-ES_tradnl"/>
        </w:rPr>
        <w:t>“</w:t>
      </w:r>
      <w:r w:rsidRPr="00D741B9">
        <w:rPr>
          <w:rFonts w:ascii="Verdana" w:eastAsia="Calibri" w:hAnsi="Verdana" w:cs="Arial"/>
          <w:color w:val="000000"/>
          <w:sz w:val="21"/>
          <w:szCs w:val="21"/>
          <w:lang w:val="es-ES" w:eastAsia="es-ES_tradnl"/>
        </w:rPr>
        <w:t>[</w:t>
      </w:r>
      <w:r w:rsidRPr="00D741B9">
        <w:rPr>
          <w:rFonts w:ascii="Verdana" w:eastAsia="Times New Roman" w:hAnsi="Verdana" w:cs="Arial"/>
          <w:color w:val="000000"/>
          <w:sz w:val="21"/>
          <w:szCs w:val="21"/>
          <w:bdr w:val="none" w:sz="0" w:space="0" w:color="auto" w:frame="1"/>
          <w:shd w:val="clear" w:color="auto" w:fill="FFFFFF"/>
          <w:lang w:eastAsia="es-ES_tradnl"/>
        </w:rPr>
        <w:t xml:space="preserve">…] </w:t>
      </w:r>
      <w:r w:rsidRPr="00D741B9">
        <w:rPr>
          <w:rFonts w:ascii="Verdana" w:eastAsia="Times New Roman" w:hAnsi="Verdana" w:cs="Arial"/>
          <w:color w:val="000000"/>
          <w:sz w:val="21"/>
          <w:szCs w:val="21"/>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D741B9">
        <w:rPr>
          <w:rFonts w:ascii="Verdana" w:eastAsia="Times New Roman" w:hAnsi="Verdana" w:cs="Arial"/>
          <w:color w:val="000000"/>
          <w:sz w:val="21"/>
          <w:szCs w:val="21"/>
          <w:bdr w:val="none" w:sz="0" w:space="0" w:color="auto" w:frame="1"/>
          <w:shd w:val="clear" w:color="auto" w:fill="FFFFFF"/>
          <w:vertAlign w:val="superscript"/>
          <w:lang w:val="es-MX" w:eastAsia="es-ES_tradnl"/>
        </w:rPr>
        <w:footnoteReference w:id="6"/>
      </w:r>
      <w:r w:rsidRPr="00D741B9">
        <w:rPr>
          <w:rFonts w:ascii="Verdana" w:eastAsia="Times New Roman" w:hAnsi="Verdana" w:cs="Arial"/>
          <w:color w:val="000000"/>
          <w:sz w:val="21"/>
          <w:szCs w:val="21"/>
          <w:bdr w:val="none" w:sz="0" w:space="0" w:color="auto" w:frame="1"/>
          <w:shd w:val="clear" w:color="auto" w:fill="FFFFFF"/>
          <w:lang w:val="es-ES" w:eastAsia="es-ES_tradnl"/>
        </w:rPr>
        <w:t>. </w:t>
      </w:r>
      <w:r w:rsidRPr="00D741B9">
        <w:rPr>
          <w:rFonts w:ascii="Verdana" w:eastAsia="Times New Roman" w:hAnsi="Verdana" w:cs="Arial"/>
          <w:color w:val="000000"/>
          <w:sz w:val="21"/>
          <w:szCs w:val="21"/>
          <w:bdr w:val="none" w:sz="0" w:space="0" w:color="auto" w:frame="1"/>
          <w:shd w:val="clear" w:color="auto" w:fill="FFFFFF"/>
          <w:lang w:eastAsia="es-ES_tradnl"/>
        </w:rPr>
        <w:t>  </w:t>
      </w:r>
    </w:p>
    <w:p w14:paraId="52736C60" w14:textId="77777777" w:rsidR="00D741B9" w:rsidRPr="00D741B9" w:rsidRDefault="00D741B9" w:rsidP="00D741B9">
      <w:pPr>
        <w:spacing w:after="0" w:line="276" w:lineRule="auto"/>
        <w:ind w:left="705" w:right="750"/>
        <w:jc w:val="both"/>
        <w:rPr>
          <w:rFonts w:ascii="Verdana" w:eastAsia="Times New Roman" w:hAnsi="Verdana" w:cs="Arial"/>
          <w:color w:val="000000"/>
          <w:lang w:eastAsia="es-ES_tradnl"/>
        </w:rPr>
      </w:pPr>
    </w:p>
    <w:p w14:paraId="311170B3" w14:textId="77777777" w:rsidR="00D741B9" w:rsidRPr="00D741B9" w:rsidRDefault="00D741B9" w:rsidP="00D741B9">
      <w:pPr>
        <w:spacing w:after="120" w:line="276" w:lineRule="auto"/>
        <w:ind w:firstLine="709"/>
        <w:jc w:val="both"/>
        <w:rPr>
          <w:rFonts w:ascii="Verdana" w:eastAsia="Times New Roman" w:hAnsi="Verdana" w:cs="Arial"/>
          <w:color w:val="000000"/>
          <w:lang w:eastAsia="es-ES_tradnl"/>
        </w:rPr>
      </w:pPr>
      <w:bookmarkStart w:id="3" w:name="_Hlk141851266"/>
      <w:r w:rsidRPr="00D741B9">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sidRPr="00D741B9">
        <w:rPr>
          <w:rFonts w:ascii="Verdana" w:eastAsia="Times New Roman" w:hAnsi="Verdana" w:cs="Arial"/>
          <w:color w:val="000000"/>
          <w:lang w:eastAsia="es-ES_tradnl"/>
        </w:rPr>
        <w:t xml:space="preserve"> </w:t>
      </w:r>
      <w:r w:rsidRPr="00D741B9">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w:t>
      </w:r>
      <w:r w:rsidRPr="00D741B9">
        <w:rPr>
          <w:rFonts w:ascii="Verdana" w:eastAsia="Times New Roman" w:hAnsi="Verdana" w:cs="Arial"/>
          <w:color w:val="000000"/>
          <w:bdr w:val="none" w:sz="0" w:space="0" w:color="auto" w:frame="1"/>
          <w:shd w:val="clear" w:color="auto" w:fill="FFFFFF"/>
          <w:lang w:val="es-ES" w:eastAsia="es-ES_tradnl"/>
        </w:rPr>
        <w:lastRenderedPageBreak/>
        <w:t xml:space="preserve">entidad, o podrá ser solicitada judicialmente por el interesado. </w:t>
      </w:r>
      <w:bookmarkEnd w:id="3"/>
      <w:r w:rsidRPr="00D741B9">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D741B9">
        <w:rPr>
          <w:rFonts w:ascii="Verdana" w:eastAsia="Times New Roman" w:hAnsi="Verdana" w:cs="Arial"/>
          <w:color w:val="000000"/>
          <w:bdr w:val="none" w:sz="0" w:space="0" w:color="auto" w:frame="1"/>
          <w:shd w:val="clear" w:color="auto" w:fill="FFFFFF"/>
          <w:lang w:val="es-MX" w:eastAsia="es-ES_tradnl"/>
        </w:rPr>
        <w:t>Sección Tercera</w:t>
      </w:r>
      <w:r w:rsidRPr="00D741B9">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D741B9">
        <w:rPr>
          <w:rFonts w:ascii="Verdana" w:eastAsia="Times New Roman" w:hAnsi="Verdana" w:cs="Arial"/>
          <w:color w:val="000000"/>
          <w:bdr w:val="none" w:sz="0" w:space="0" w:color="auto" w:frame="1"/>
          <w:shd w:val="clear" w:color="auto" w:fill="FFFFFF"/>
          <w:lang w:val="es-MX" w:eastAsia="es-ES_tradnl"/>
        </w:rPr>
        <w:t> </w:t>
      </w:r>
      <w:r w:rsidRPr="00D741B9">
        <w:rPr>
          <w:rFonts w:ascii="Verdana" w:eastAsia="Times New Roman" w:hAnsi="Verdana" w:cs="Arial"/>
          <w:color w:val="000000"/>
          <w:bdr w:val="none" w:sz="0" w:space="0" w:color="auto" w:frame="1"/>
          <w:shd w:val="clear" w:color="auto" w:fill="FFFFFF"/>
          <w:lang w:eastAsia="es-ES_tradnl"/>
        </w:rPr>
        <w:t>1 de agosto de 2019, se expresó: </w:t>
      </w:r>
    </w:p>
    <w:p w14:paraId="051D43FE" w14:textId="77777777" w:rsidR="00D741B9" w:rsidRPr="00D741B9" w:rsidRDefault="00D741B9" w:rsidP="00D741B9">
      <w:pPr>
        <w:spacing w:after="0" w:line="276" w:lineRule="auto"/>
        <w:ind w:firstLine="705"/>
        <w:jc w:val="both"/>
        <w:rPr>
          <w:rFonts w:ascii="Verdana" w:eastAsia="Times New Roman" w:hAnsi="Verdana" w:cs="Arial"/>
          <w:color w:val="000000"/>
          <w:lang w:eastAsia="es-ES_tradnl"/>
        </w:rPr>
      </w:pPr>
    </w:p>
    <w:p w14:paraId="4EC62D42" w14:textId="77777777" w:rsidR="00D741B9" w:rsidRPr="00D741B9" w:rsidRDefault="00D741B9" w:rsidP="00D741B9">
      <w:pPr>
        <w:spacing w:after="0" w:line="240" w:lineRule="auto"/>
        <w:ind w:left="709" w:right="709"/>
        <w:jc w:val="both"/>
        <w:rPr>
          <w:rFonts w:ascii="Verdana" w:eastAsia="Times New Roman" w:hAnsi="Verdana" w:cs="Arial"/>
          <w:color w:val="000000"/>
          <w:sz w:val="21"/>
          <w:szCs w:val="21"/>
          <w:lang w:eastAsia="es-ES_tradnl"/>
        </w:rPr>
      </w:pPr>
      <w:r w:rsidRPr="00D741B9">
        <w:rPr>
          <w:rFonts w:ascii="Verdana" w:eastAsia="Times New Roman" w:hAnsi="Verdana" w:cs="Arial"/>
          <w:sz w:val="21"/>
          <w:szCs w:val="21"/>
          <w:lang w:val="es-ES_tradnl" w:eastAsia="es-ES_tradnl"/>
        </w:rPr>
        <w:t>“</w:t>
      </w:r>
      <w:r w:rsidRPr="00D741B9">
        <w:rPr>
          <w:rFonts w:ascii="Verdana" w:eastAsia="Times New Roman" w:hAnsi="Verdana" w:cs="Arial"/>
          <w:color w:val="000000"/>
          <w:sz w:val="21"/>
          <w:szCs w:val="21"/>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w:t>
      </w:r>
      <w:r w:rsidRPr="00D741B9">
        <w:rPr>
          <w:rFonts w:ascii="Verdana" w:eastAsia="Times New Roman" w:hAnsi="Verdana" w:cs="Arial"/>
          <w:sz w:val="21"/>
          <w:szCs w:val="21"/>
          <w:lang w:val="es-ES_tradnl" w:eastAsia="es-ES_tradnl"/>
        </w:rPr>
        <w:t>”</w:t>
      </w:r>
      <w:r w:rsidRPr="00D741B9">
        <w:rPr>
          <w:rFonts w:ascii="Verdana" w:eastAsia="Times New Roman" w:hAnsi="Verdana" w:cs="Arial"/>
          <w:color w:val="000000"/>
          <w:sz w:val="21"/>
          <w:szCs w:val="21"/>
          <w:bdr w:val="none" w:sz="0" w:space="0" w:color="auto" w:frame="1"/>
          <w:shd w:val="clear" w:color="auto" w:fill="FFFFFF"/>
          <w:vertAlign w:val="superscript"/>
          <w:lang w:eastAsia="es-ES_tradnl"/>
        </w:rPr>
        <w:t xml:space="preserve"> </w:t>
      </w:r>
      <w:r w:rsidRPr="00D741B9">
        <w:rPr>
          <w:rFonts w:ascii="Verdana" w:eastAsia="Times New Roman" w:hAnsi="Verdana" w:cs="Arial"/>
          <w:color w:val="000000"/>
          <w:sz w:val="21"/>
          <w:szCs w:val="21"/>
          <w:bdr w:val="none" w:sz="0" w:space="0" w:color="auto" w:frame="1"/>
          <w:shd w:val="clear" w:color="auto" w:fill="FFFFFF"/>
          <w:vertAlign w:val="superscript"/>
          <w:lang w:eastAsia="es-ES_tradnl"/>
        </w:rPr>
        <w:footnoteReference w:id="7"/>
      </w:r>
      <w:r w:rsidRPr="00D741B9">
        <w:rPr>
          <w:rFonts w:ascii="Verdana" w:eastAsia="Times New Roman" w:hAnsi="Verdana" w:cs="Arial"/>
          <w:sz w:val="21"/>
          <w:szCs w:val="21"/>
          <w:lang w:val="es-ES_tradnl" w:eastAsia="es-ES_tradnl"/>
        </w:rPr>
        <w:t>.</w:t>
      </w:r>
      <w:r w:rsidRPr="00D741B9">
        <w:rPr>
          <w:rFonts w:ascii="Verdana" w:eastAsia="Times New Roman" w:hAnsi="Verdana" w:cs="Arial"/>
          <w:color w:val="000000"/>
          <w:sz w:val="21"/>
          <w:szCs w:val="21"/>
          <w:bdr w:val="none" w:sz="0" w:space="0" w:color="auto" w:frame="1"/>
          <w:shd w:val="clear" w:color="auto" w:fill="FFFFFF"/>
          <w:lang w:val="es-ES" w:eastAsia="es-ES_tradnl"/>
        </w:rPr>
        <w:t> </w:t>
      </w:r>
    </w:p>
    <w:p w14:paraId="23C3097B" w14:textId="77777777" w:rsidR="00D741B9" w:rsidRPr="00D741B9" w:rsidRDefault="00D741B9" w:rsidP="00D741B9">
      <w:pPr>
        <w:spacing w:after="0" w:line="276" w:lineRule="auto"/>
        <w:ind w:firstLine="708"/>
        <w:jc w:val="both"/>
        <w:rPr>
          <w:rFonts w:ascii="Verdana" w:eastAsia="Times New Roman" w:hAnsi="Verdana" w:cs="Arial"/>
          <w:color w:val="000000"/>
          <w:lang w:eastAsia="es-ES_tradnl"/>
        </w:rPr>
      </w:pPr>
    </w:p>
    <w:p w14:paraId="0C4F789F" w14:textId="77777777" w:rsidR="00D741B9" w:rsidRPr="00D741B9" w:rsidRDefault="00D741B9" w:rsidP="00D741B9">
      <w:pPr>
        <w:tabs>
          <w:tab w:val="left" w:pos="709"/>
        </w:tabs>
        <w:spacing w:after="120" w:line="276" w:lineRule="auto"/>
        <w:ind w:firstLine="709"/>
        <w:jc w:val="both"/>
        <w:rPr>
          <w:rFonts w:ascii="Verdana" w:eastAsia="Times New Roman" w:hAnsi="Verdana" w:cs="Arial"/>
          <w:color w:val="000000"/>
          <w:bdr w:val="none" w:sz="0" w:space="0" w:color="auto" w:frame="1"/>
          <w:shd w:val="clear" w:color="auto" w:fill="FFFFFF"/>
          <w:lang w:eastAsia="es-ES_tradnl"/>
        </w:rPr>
      </w:pPr>
      <w:r w:rsidRPr="00D741B9">
        <w:rPr>
          <w:rFonts w:ascii="Verdana" w:eastAsia="Times New Roman" w:hAnsi="Verdana" w:cs="Arial"/>
          <w:color w:val="000000"/>
          <w:bdr w:val="none" w:sz="0" w:space="0" w:color="auto" w:frame="1"/>
          <w:shd w:val="clear" w:color="auto" w:fill="FFFFFF"/>
          <w:lang w:eastAsia="es-ES_tradnl"/>
        </w:rPr>
        <w:t xml:space="preserve">A su turno, la liquidación judicial hace parte de una de las pretensiones que admite el medio de control de controversias contractuales. Al respecto, el artículo 141 de la Ley 1437 de 2011 dispone que “[…] el interesado podrá </w:t>
      </w:r>
      <w:bookmarkStart w:id="4" w:name="_Hlk172560769"/>
      <w:r w:rsidRPr="00D741B9">
        <w:rPr>
          <w:rFonts w:ascii="Verdana" w:eastAsia="Times New Roman" w:hAnsi="Verdana" w:cs="Arial"/>
          <w:color w:val="000000"/>
          <w:bdr w:val="none" w:sz="0" w:space="0" w:color="auto" w:frame="1"/>
          <w:shd w:val="clear" w:color="auto" w:fill="FFFFFF"/>
          <w:lang w:eastAsia="es-ES_tradnl"/>
        </w:rPr>
        <w:t>solicitar la liquidación judicial</w:t>
      </w:r>
      <w:bookmarkEnd w:id="4"/>
      <w:r w:rsidRPr="00D741B9">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14:paraId="5FD3236F" w14:textId="77777777" w:rsidR="00D741B9" w:rsidRPr="00D741B9" w:rsidRDefault="00D741B9" w:rsidP="00D741B9">
      <w:pPr>
        <w:tabs>
          <w:tab w:val="left" w:pos="709"/>
        </w:tabs>
        <w:spacing w:after="120" w:line="276" w:lineRule="auto"/>
        <w:ind w:firstLine="709"/>
        <w:jc w:val="both"/>
        <w:rPr>
          <w:rFonts w:ascii="Verdana" w:eastAsia="Times New Roman" w:hAnsi="Verdana" w:cs="Arial"/>
          <w:color w:val="000000"/>
          <w:bdr w:val="none" w:sz="0" w:space="0" w:color="auto" w:frame="1"/>
          <w:shd w:val="clear" w:color="auto" w:fill="FFFFFF"/>
          <w:lang w:val="es-ES" w:eastAsia="es-ES"/>
        </w:rPr>
      </w:pPr>
      <w:r w:rsidRPr="00D741B9">
        <w:rPr>
          <w:rFonts w:ascii="Verdana" w:eastAsia="Times New Roman" w:hAnsi="Verdana" w:cs="Arial"/>
          <w:color w:val="000000"/>
          <w:bdr w:val="none" w:sz="0" w:space="0" w:color="auto" w:frame="1"/>
          <w:shd w:val="clear" w:color="auto" w:fill="FFFFFF"/>
          <w:lang w:eastAsia="es-ES_tradnl"/>
        </w:rPr>
        <w:tab/>
      </w:r>
      <w:r w:rsidRPr="00D741B9">
        <w:rPr>
          <w:rFonts w:ascii="Verdana" w:eastAsia="Times New Roman" w:hAnsi="Verdana" w:cs="Arial"/>
          <w:color w:val="000000"/>
          <w:bdr w:val="none" w:sz="0" w:space="0" w:color="auto" w:frame="1"/>
          <w:shd w:val="clear" w:color="auto" w:fill="FFFFFF"/>
          <w:lang w:val="es-ES" w:eastAsia="es-ES"/>
        </w:rPr>
        <w:t xml:space="preserve">En suma,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w:t>
      </w:r>
      <w:r w:rsidRPr="00D741B9">
        <w:rPr>
          <w:rFonts w:ascii="Verdana" w:eastAsia="Times New Roman" w:hAnsi="Verdana" w:cs="Arial"/>
          <w:color w:val="000000"/>
          <w:bdr w:val="none" w:sz="0" w:space="0" w:color="auto" w:frame="1"/>
          <w:shd w:val="clear" w:color="auto" w:fill="FFFFFF"/>
          <w:lang w:val="es-ES" w:eastAsia="es-ES"/>
        </w:rPr>
        <w:lastRenderedPageBreak/>
        <w:t>demanda del interesado solicitando dicha liquidación. Para ello, existe un plazo máximo de dos (2) años contados a partir de los dos meses establecidos en la Ley para realizar la liquidación unilateral.</w:t>
      </w:r>
    </w:p>
    <w:p w14:paraId="42033197" w14:textId="77777777" w:rsidR="00D741B9" w:rsidRPr="00D741B9" w:rsidRDefault="00D741B9" w:rsidP="00D741B9">
      <w:pPr>
        <w:spacing w:after="120" w:line="276" w:lineRule="auto"/>
        <w:ind w:firstLine="709"/>
        <w:jc w:val="both"/>
        <w:rPr>
          <w:rFonts w:ascii="Verdana" w:eastAsia="Times New Roman" w:hAnsi="Verdana" w:cs="Arial"/>
          <w:color w:val="000000"/>
          <w:lang w:eastAsia="es-CO"/>
        </w:rPr>
      </w:pPr>
      <w:r w:rsidRPr="00D741B9">
        <w:rPr>
          <w:rFonts w:ascii="Verdana" w:eastAsia="Times New Roman" w:hAnsi="Verdana" w:cs="Arial"/>
          <w:color w:val="000000"/>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0F9246A6" w14:textId="77777777" w:rsidR="00D741B9" w:rsidRPr="00D741B9" w:rsidRDefault="00D741B9" w:rsidP="00D741B9">
      <w:pPr>
        <w:spacing w:after="0" w:line="276" w:lineRule="auto"/>
        <w:jc w:val="both"/>
        <w:rPr>
          <w:rFonts w:ascii="Verdana" w:eastAsia="Times New Roman" w:hAnsi="Verdana" w:cs="Arial"/>
          <w:color w:val="000000"/>
          <w:lang w:eastAsia="es-CO"/>
        </w:rPr>
      </w:pPr>
    </w:p>
    <w:p w14:paraId="79AD0B25" w14:textId="77777777" w:rsidR="00D741B9" w:rsidRPr="00D741B9" w:rsidRDefault="00D741B9" w:rsidP="00D741B9">
      <w:pPr>
        <w:spacing w:after="0" w:line="240" w:lineRule="auto"/>
        <w:ind w:left="709" w:right="709"/>
        <w:jc w:val="both"/>
        <w:rPr>
          <w:rFonts w:ascii="Verdana" w:eastAsia="Times New Roman" w:hAnsi="Verdana" w:cs="Arial"/>
          <w:color w:val="000000"/>
          <w:sz w:val="21"/>
          <w:szCs w:val="21"/>
          <w:lang w:eastAsia="es-CO"/>
        </w:rPr>
      </w:pPr>
      <w:r w:rsidRPr="00D741B9">
        <w:rPr>
          <w:rFonts w:ascii="Verdana" w:eastAsia="Times New Roman" w:hAnsi="Verdana" w:cs="Arial"/>
          <w:color w:val="000000"/>
          <w:sz w:val="21"/>
          <w:szCs w:val="21"/>
          <w:lang w:eastAsia="es-CO"/>
        </w:rPr>
        <w:t>“Suele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D741B9">
        <w:rPr>
          <w:rFonts w:ascii="Verdana" w:eastAsia="Times New Roman" w:hAnsi="Verdana" w:cs="Arial"/>
          <w:color w:val="000000"/>
          <w:sz w:val="21"/>
          <w:szCs w:val="21"/>
          <w:vertAlign w:val="superscript"/>
          <w:lang w:eastAsia="es-CO"/>
        </w:rPr>
        <w:footnoteReference w:id="8"/>
      </w:r>
      <w:r w:rsidRPr="00D741B9">
        <w:rPr>
          <w:rFonts w:ascii="Verdana" w:eastAsia="Times New Roman" w:hAnsi="Verdana" w:cs="Arial"/>
          <w:color w:val="000000"/>
          <w:sz w:val="21"/>
          <w:szCs w:val="21"/>
          <w:lang w:eastAsia="es-CO"/>
        </w:rPr>
        <w:t xml:space="preserve">.   </w:t>
      </w:r>
    </w:p>
    <w:p w14:paraId="7E917729" w14:textId="77777777" w:rsidR="00D741B9" w:rsidRPr="00D741B9" w:rsidRDefault="00D741B9" w:rsidP="00D741B9">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2D954F50" w14:textId="77777777" w:rsidR="00D741B9" w:rsidRPr="00D741B9" w:rsidRDefault="00D741B9" w:rsidP="00D741B9">
      <w:pPr>
        <w:tabs>
          <w:tab w:val="left" w:pos="709"/>
        </w:tabs>
        <w:spacing w:after="0" w:line="276" w:lineRule="auto"/>
        <w:jc w:val="both"/>
        <w:rPr>
          <w:rFonts w:ascii="Verdana" w:eastAsia="Calibri" w:hAnsi="Verdana" w:cs="Arial"/>
          <w:color w:val="000000"/>
          <w:lang w:val="es-ES" w:eastAsia="es-ES"/>
        </w:rPr>
      </w:pPr>
      <w:r w:rsidRPr="00D741B9">
        <w:rPr>
          <w:rFonts w:ascii="Verdana" w:eastAsia="Calibri" w:hAnsi="Verdana" w:cs="Arial"/>
          <w:color w:val="000000"/>
          <w:lang w:val="es-ES" w:eastAsia="es-ES"/>
        </w:rPr>
        <w:t xml:space="preserve">En consecuencia, dentro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w:t>
      </w:r>
      <w:r w:rsidRPr="00D741B9">
        <w:rPr>
          <w:rFonts w:ascii="Verdana" w:eastAsia="Calibri" w:hAnsi="Verdana" w:cs="Arial"/>
          <w:color w:val="000000"/>
          <w:lang w:val="es-ES" w:eastAsia="es-ES"/>
        </w:rPr>
        <w:lastRenderedPageBreak/>
        <w:t xml:space="preserve">Cualquier liquidación efectuada después de la caducidad del medio de control implica la pérdida de competencia temporal, por lo que está viciada de nulidad. </w:t>
      </w:r>
    </w:p>
    <w:p w14:paraId="19301A96" w14:textId="5F923F48" w:rsidR="00D741B9" w:rsidRDefault="00D741B9" w:rsidP="00D741B9">
      <w:pPr>
        <w:spacing w:before="120" w:after="0" w:line="276" w:lineRule="auto"/>
        <w:ind w:firstLine="708"/>
        <w:jc w:val="both"/>
        <w:rPr>
          <w:rFonts w:ascii="Verdana" w:eastAsia="Calibri" w:hAnsi="Verdana" w:cs="Arial"/>
        </w:rPr>
      </w:pPr>
      <w:r w:rsidRPr="00D741B9">
        <w:rPr>
          <w:rFonts w:ascii="Verdana" w:eastAsia="Calibri" w:hAnsi="Verdana" w:cs="Arial"/>
        </w:rPr>
        <w:t xml:space="preserve">Finalmente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05A8B70" w14:textId="70A8DCEB" w:rsidR="007D322E" w:rsidRDefault="00D741B9" w:rsidP="00D741B9">
      <w:pPr>
        <w:spacing w:before="120" w:after="0" w:line="276" w:lineRule="auto"/>
        <w:ind w:firstLine="708"/>
        <w:jc w:val="both"/>
        <w:rPr>
          <w:rFonts w:ascii="Verdana" w:eastAsia="Calibri" w:hAnsi="Verdana" w:cs="Arial"/>
        </w:rPr>
      </w:pPr>
      <w:r w:rsidRPr="00D741B9">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C407030" w14:textId="77777777" w:rsidR="00CC12E8" w:rsidRDefault="00CC12E8" w:rsidP="00CC12E8">
      <w:pPr>
        <w:spacing w:before="120" w:after="0" w:line="276" w:lineRule="auto"/>
        <w:jc w:val="both"/>
        <w:rPr>
          <w:rFonts w:ascii="Verdana" w:eastAsia="Calibri" w:hAnsi="Verdana" w:cs="Arial"/>
        </w:rPr>
      </w:pPr>
    </w:p>
    <w:p w14:paraId="08E89359" w14:textId="54B827D2" w:rsidR="003B7EF8" w:rsidRPr="006B17A7" w:rsidRDefault="003B7EF8" w:rsidP="003B7EF8">
      <w:pPr>
        <w:widowControl w:val="0"/>
        <w:autoSpaceDE w:val="0"/>
        <w:autoSpaceDN w:val="0"/>
        <w:spacing w:before="1" w:after="0" w:line="240" w:lineRule="auto"/>
        <w:outlineLvl w:val="0"/>
        <w:rPr>
          <w:rFonts w:ascii="Arial" w:eastAsia="Arial" w:hAnsi="Arial" w:cs="Arial"/>
          <w:b/>
          <w:bCs/>
          <w:lang w:val="es-ES"/>
        </w:rPr>
      </w:pPr>
      <w:r>
        <w:rPr>
          <w:rFonts w:ascii="Verdana" w:eastAsia="Arial" w:hAnsi="Verdana" w:cs="Arial"/>
          <w:b/>
          <w:bCs/>
          <w:lang w:val="es-ES"/>
        </w:rPr>
        <w:t xml:space="preserve">4. </w:t>
      </w:r>
      <w:r w:rsidRPr="006B17A7">
        <w:rPr>
          <w:rFonts w:ascii="Verdana" w:eastAsia="Arial" w:hAnsi="Verdana" w:cs="Arial"/>
          <w:b/>
          <w:bCs/>
          <w:lang w:val="es-ES"/>
        </w:rPr>
        <w:t>Referencias normativas, jurisprudenciales y otras fuentes:</w:t>
      </w:r>
    </w:p>
    <w:p w14:paraId="5D69615F" w14:textId="77777777" w:rsidR="003B7EF8" w:rsidRPr="006B17A7" w:rsidRDefault="003B7EF8" w:rsidP="003B7EF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7EF8" w:rsidRPr="006B17A7" w14:paraId="3BE1C9A2" w14:textId="77777777">
        <w:trPr>
          <w:trHeight w:val="870"/>
        </w:trPr>
        <w:tc>
          <w:tcPr>
            <w:tcW w:w="8647" w:type="dxa"/>
          </w:tcPr>
          <w:p w14:paraId="2EC96183" w14:textId="77777777" w:rsidR="003B7EF8" w:rsidRPr="006B17A7" w:rsidRDefault="003B7EF8" w:rsidP="003B7EF8">
            <w:pPr>
              <w:widowControl w:val="0"/>
              <w:numPr>
                <w:ilvl w:val="0"/>
                <w:numId w:val="16"/>
              </w:numPr>
              <w:autoSpaceDE w:val="0"/>
              <w:autoSpaceDN w:val="0"/>
              <w:spacing w:after="120" w:line="276" w:lineRule="auto"/>
              <w:contextualSpacing/>
              <w:jc w:val="both"/>
              <w:rPr>
                <w:rFonts w:ascii="Verdana" w:eastAsia="Aptos" w:hAnsi="Verdana" w:cs="Arial"/>
              </w:rPr>
            </w:pPr>
            <w:r w:rsidRPr="006B17A7">
              <w:rPr>
                <w:rFonts w:ascii="Verdana" w:eastAsia="Calibri" w:hAnsi="Verdana" w:cs="Arial"/>
                <w:lang w:val="es-ES"/>
              </w:rPr>
              <w:t>Ley 80 de 1993. Artículo 60.</w:t>
            </w:r>
          </w:p>
          <w:p w14:paraId="7EAEBCEC" w14:textId="77777777" w:rsidR="003B7EF8" w:rsidRPr="006B17A7" w:rsidRDefault="003B7EF8" w:rsidP="003B7EF8">
            <w:pPr>
              <w:widowControl w:val="0"/>
              <w:numPr>
                <w:ilvl w:val="0"/>
                <w:numId w:val="16"/>
              </w:numPr>
              <w:autoSpaceDE w:val="0"/>
              <w:autoSpaceDN w:val="0"/>
              <w:spacing w:line="276" w:lineRule="auto"/>
              <w:contextualSpacing/>
              <w:jc w:val="both"/>
              <w:rPr>
                <w:rFonts w:ascii="Verdana" w:eastAsia="Aptos" w:hAnsi="Verdana" w:cs="Arial"/>
              </w:rPr>
            </w:pPr>
            <w:r w:rsidRPr="006B17A7">
              <w:rPr>
                <w:rFonts w:ascii="Verdana" w:eastAsia="Calibri" w:hAnsi="Verdana" w:cs="Arial"/>
                <w:lang w:val="es-ES"/>
              </w:rPr>
              <w:t>Ley 1150 de 2007. Artículo 11</w:t>
            </w:r>
          </w:p>
          <w:p w14:paraId="10929DE0" w14:textId="77777777" w:rsidR="003B7EF8" w:rsidRPr="006B17A7" w:rsidRDefault="003B7EF8" w:rsidP="003B7EF8">
            <w:pPr>
              <w:widowControl w:val="0"/>
              <w:numPr>
                <w:ilvl w:val="0"/>
                <w:numId w:val="16"/>
              </w:numPr>
              <w:autoSpaceDE w:val="0"/>
              <w:autoSpaceDN w:val="0"/>
              <w:spacing w:line="276" w:lineRule="auto"/>
              <w:contextualSpacing/>
              <w:jc w:val="both"/>
              <w:rPr>
                <w:rFonts w:ascii="Verdana" w:eastAsia="Aptos" w:hAnsi="Verdana" w:cs="Arial"/>
              </w:rPr>
            </w:pPr>
            <w:r w:rsidRPr="006B17A7">
              <w:rPr>
                <w:rFonts w:ascii="Verdana" w:eastAsia="Aptos" w:hAnsi="Verdana" w:cs="Arial"/>
              </w:rPr>
              <w:t>Decreto 19 de 2012. Artículo 217</w:t>
            </w:r>
          </w:p>
          <w:p w14:paraId="63BF62D4" w14:textId="77777777" w:rsidR="003B7EF8" w:rsidRPr="006B17A7" w:rsidRDefault="003B7EF8" w:rsidP="003B7EF8">
            <w:pPr>
              <w:widowControl w:val="0"/>
              <w:numPr>
                <w:ilvl w:val="0"/>
                <w:numId w:val="16"/>
              </w:numPr>
              <w:autoSpaceDE w:val="0"/>
              <w:autoSpaceDN w:val="0"/>
              <w:spacing w:line="276" w:lineRule="auto"/>
              <w:contextualSpacing/>
              <w:jc w:val="both"/>
              <w:rPr>
                <w:rFonts w:ascii="Verdana" w:eastAsia="Aptos" w:hAnsi="Verdana" w:cs="Arial"/>
              </w:rPr>
            </w:pPr>
            <w:r w:rsidRPr="006B17A7">
              <w:rPr>
                <w:rFonts w:ascii="Verdana" w:eastAsia="Aptos" w:hAnsi="Verdana" w:cs="Arial"/>
              </w:rPr>
              <w:t xml:space="preserve">Guía para la Liquidación de los Procesos de Contratación. Disponible </w:t>
            </w:r>
            <w:hyperlink r:id="rId12" w:history="1">
              <w:r w:rsidRPr="006B17A7">
                <w:rPr>
                  <w:rFonts w:ascii="Verdana" w:eastAsia="Aptos" w:hAnsi="Verdana" w:cs="Arial"/>
                  <w:color w:val="467886"/>
                  <w:u w:val="single"/>
                </w:rPr>
                <w:t>aquí</w:t>
              </w:r>
            </w:hyperlink>
          </w:p>
          <w:p w14:paraId="403F51A8" w14:textId="77777777" w:rsidR="003B7EF8" w:rsidRPr="006B17A7" w:rsidRDefault="003B7EF8" w:rsidP="003B7EF8">
            <w:pPr>
              <w:widowControl w:val="0"/>
              <w:numPr>
                <w:ilvl w:val="0"/>
                <w:numId w:val="16"/>
              </w:numPr>
              <w:autoSpaceDE w:val="0"/>
              <w:autoSpaceDN w:val="0"/>
              <w:spacing w:line="276" w:lineRule="auto"/>
              <w:contextualSpacing/>
              <w:jc w:val="both"/>
              <w:rPr>
                <w:rFonts w:ascii="Verdana" w:eastAsia="Aptos" w:hAnsi="Verdana" w:cs="Arial"/>
              </w:rPr>
            </w:pPr>
            <w:r w:rsidRPr="006B17A7">
              <w:rPr>
                <w:rFonts w:ascii="Verdana" w:eastAsia="Aptos" w:hAnsi="Verdana" w:cs="Arial"/>
              </w:rPr>
              <w:t>DÍAZ DÍEZ, Cristian Andrés. La liquidación. Serie: Las Cláusulas del Contrato Estatal. Medellín: Librería Jurídica Sánchez y Centro de Estudios de Derecho Administrativo –CEDA–, 2013. pp. 53-54.</w:t>
            </w:r>
          </w:p>
          <w:p w14:paraId="582C706C" w14:textId="77777777" w:rsidR="003B7EF8" w:rsidRPr="006B17A7" w:rsidRDefault="003B7EF8" w:rsidP="003B7EF8">
            <w:pPr>
              <w:widowControl w:val="0"/>
              <w:numPr>
                <w:ilvl w:val="0"/>
                <w:numId w:val="16"/>
              </w:numPr>
              <w:autoSpaceDE w:val="0"/>
              <w:autoSpaceDN w:val="0"/>
              <w:spacing w:line="276" w:lineRule="auto"/>
              <w:contextualSpacing/>
              <w:jc w:val="both"/>
              <w:rPr>
                <w:rFonts w:ascii="Verdana" w:eastAsia="Aptos" w:hAnsi="Verdana" w:cs="Arial"/>
              </w:rPr>
            </w:pPr>
            <w:r w:rsidRPr="006B17A7">
              <w:rPr>
                <w:rFonts w:ascii="Verdana" w:eastAsia="Aptos" w:hAnsi="Verdana" w:cs="Arial"/>
              </w:rPr>
              <w:t>Consejo de Estado. Sección Tercera. Subsección C. 20 de octubre de 2014, M.P: Enrique Gil Botero. Exp. 27.777.</w:t>
            </w:r>
          </w:p>
        </w:tc>
      </w:tr>
    </w:tbl>
    <w:p w14:paraId="600122FE" w14:textId="77777777" w:rsidR="003B7EF8" w:rsidRPr="006B17A7" w:rsidRDefault="003B7EF8" w:rsidP="003B7EF8">
      <w:pPr>
        <w:widowControl w:val="0"/>
        <w:autoSpaceDE w:val="0"/>
        <w:autoSpaceDN w:val="0"/>
        <w:spacing w:before="240" w:after="0" w:line="276" w:lineRule="auto"/>
        <w:jc w:val="both"/>
        <w:rPr>
          <w:rFonts w:ascii="Verdana" w:eastAsia="Aptos" w:hAnsi="Verdana" w:cs="Arial"/>
        </w:rPr>
      </w:pPr>
    </w:p>
    <w:p w14:paraId="26A84DA1" w14:textId="77777777" w:rsidR="003B7EF8" w:rsidRPr="006B17A7" w:rsidRDefault="003B7EF8" w:rsidP="003B7EF8">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21B6EDC9" w14:textId="77777777" w:rsidR="003B7EF8" w:rsidRPr="006B17A7" w:rsidRDefault="003B7EF8" w:rsidP="003B7EF8">
      <w:pPr>
        <w:widowControl w:val="0"/>
        <w:autoSpaceDE w:val="0"/>
        <w:autoSpaceDN w:val="0"/>
        <w:spacing w:after="0" w:line="276" w:lineRule="auto"/>
        <w:jc w:val="both"/>
        <w:rPr>
          <w:rFonts w:ascii="Verdana" w:eastAsia="Aptos" w:hAnsi="Verdana" w:cs="Arial"/>
        </w:rPr>
      </w:pPr>
    </w:p>
    <w:p w14:paraId="01CCF8C3" w14:textId="77777777" w:rsidR="003B7EF8" w:rsidRPr="003B7EF8" w:rsidRDefault="003B7EF8" w:rsidP="003B7EF8">
      <w:pPr>
        <w:widowControl w:val="0"/>
        <w:autoSpaceDE w:val="0"/>
        <w:autoSpaceDN w:val="0"/>
        <w:spacing w:after="0" w:line="276" w:lineRule="auto"/>
        <w:jc w:val="both"/>
        <w:rPr>
          <w:rFonts w:ascii="Verdana" w:eastAsia="Aptos" w:hAnsi="Verdana" w:cs="Arial"/>
          <w:shd w:val="clear" w:color="auto" w:fill="FFFFFF"/>
          <w:lang w:val="es-ES"/>
        </w:rPr>
      </w:pPr>
      <w:r w:rsidRPr="003B7EF8">
        <w:rPr>
          <w:rFonts w:ascii="Verdana" w:eastAsia="Aptos" w:hAnsi="Verdana" w:cs="Arial"/>
          <w:shd w:val="clear" w:color="auto" w:fill="FFFFFF"/>
          <w:lang w:val="es-ES"/>
        </w:rPr>
        <w:lastRenderedPageBreak/>
        <w:t xml:space="preserve">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septiembre de 2024, C-968 del 16 de diciembre de 2024, C-1865 del 01 de diciembre de 2025, C-1818 del 13 de enero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3B7EF8">
          <w:rPr>
            <w:rFonts w:ascii="Verdana" w:eastAsia="Aptos" w:hAnsi="Verdana" w:cs="Arial"/>
            <w:color w:val="467886"/>
            <w:u w:val="single"/>
            <w:shd w:val="clear" w:color="auto" w:fill="FFFFFF"/>
            <w:lang w:val="es-ES"/>
          </w:rPr>
          <w:t>https://relatoria.colombiacompra.gov.co/</w:t>
        </w:r>
      </w:hyperlink>
      <w:r w:rsidRPr="003B7EF8">
        <w:rPr>
          <w:rFonts w:ascii="Verdana" w:eastAsia="Aptos" w:hAnsi="Verdana" w:cs="Arial"/>
          <w:shd w:val="clear" w:color="auto" w:fill="FFFFFF"/>
          <w:lang w:val="es-ES"/>
        </w:rPr>
        <w:t xml:space="preserve">. </w:t>
      </w:r>
    </w:p>
    <w:p w14:paraId="2F7001EB" w14:textId="77777777" w:rsidR="003B7EF8" w:rsidRPr="006B17A7" w:rsidRDefault="003B7EF8" w:rsidP="003B7EF8">
      <w:pPr>
        <w:widowControl w:val="0"/>
        <w:autoSpaceDE w:val="0"/>
        <w:autoSpaceDN w:val="0"/>
        <w:spacing w:after="0" w:line="276" w:lineRule="auto"/>
        <w:jc w:val="both"/>
        <w:rPr>
          <w:rFonts w:ascii="Verdana" w:eastAsia="Aptos" w:hAnsi="Verdana" w:cs="Arial"/>
          <w:shd w:val="clear" w:color="auto" w:fill="FFFFFF"/>
          <w:lang w:val="es-ES"/>
        </w:rPr>
      </w:pPr>
    </w:p>
    <w:p w14:paraId="6FEECF42" w14:textId="77777777" w:rsidR="00617BDC" w:rsidRPr="009A385A" w:rsidRDefault="00617BDC" w:rsidP="00617BDC">
      <w:pPr>
        <w:spacing w:after="0"/>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37921621" w14:textId="77777777" w:rsidR="00617BDC" w:rsidRDefault="00617BDC" w:rsidP="00617BDC">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7A67D344" w14:textId="77777777" w:rsidR="00617BDC" w:rsidRDefault="00617BDC" w:rsidP="00617BDC">
      <w:pPr>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w:t>
      </w:r>
      <w:r w:rsidRPr="00797327">
        <w:rPr>
          <w:rFonts w:ascii="Verdana" w:hAnsi="Verdana"/>
        </w:rPr>
        <w:lastRenderedPageBreak/>
        <w:t>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C20CB64" w14:textId="77777777" w:rsidR="00617BDC" w:rsidRDefault="00617BDC" w:rsidP="00617BDC">
      <w:pPr>
        <w:jc w:val="both"/>
      </w:pPr>
    </w:p>
    <w:p w14:paraId="1127A68E" w14:textId="77777777" w:rsidR="00617BDC" w:rsidRPr="00B06915" w:rsidRDefault="00617BDC" w:rsidP="00617BDC">
      <w:pPr>
        <w:spacing w:after="0" w:line="254" w:lineRule="auto"/>
        <w:rPr>
          <w:rFonts w:ascii="Verdana" w:eastAsia="Calibri" w:hAnsi="Verdana" w:cs="Times New Roman"/>
        </w:rPr>
      </w:pPr>
      <w:r w:rsidRPr="00B06915">
        <w:rPr>
          <w:rFonts w:ascii="Verdana" w:eastAsia="Calibri" w:hAnsi="Verdana" w:cs="Times New Roman"/>
        </w:rPr>
        <w:t xml:space="preserve">Por último, lo invitamos a seguirnos en las redes sociales en las cuales se difunde información institucional: </w:t>
      </w:r>
    </w:p>
    <w:p w14:paraId="392D465D" w14:textId="77777777" w:rsidR="00617BDC" w:rsidRPr="00B06915" w:rsidRDefault="00617BDC" w:rsidP="00617BDC">
      <w:pPr>
        <w:spacing w:after="0" w:line="254" w:lineRule="auto"/>
        <w:rPr>
          <w:rFonts w:ascii="Verdana" w:eastAsia="Calibri" w:hAnsi="Verdana" w:cs="Times New Roman"/>
        </w:rPr>
      </w:pPr>
    </w:p>
    <w:p w14:paraId="18F14125" w14:textId="77777777" w:rsidR="00617BDC" w:rsidRPr="00B06915" w:rsidRDefault="00617BDC" w:rsidP="00617BDC">
      <w:pPr>
        <w:spacing w:after="0" w:line="254" w:lineRule="auto"/>
        <w:rPr>
          <w:rFonts w:ascii="Verdana" w:eastAsia="Calibri" w:hAnsi="Verdana" w:cs="Times New Roman"/>
        </w:rPr>
      </w:pPr>
      <w:r w:rsidRPr="00B06915">
        <w:rPr>
          <w:rFonts w:ascii="Verdana" w:eastAsia="Calibri" w:hAnsi="Verdana" w:cs="Times New Roman"/>
        </w:rPr>
        <w:t xml:space="preserve">Twitter: </w:t>
      </w:r>
      <w:r w:rsidRPr="00B06915">
        <w:rPr>
          <w:rFonts w:ascii="Verdana" w:eastAsia="Calibri" w:hAnsi="Verdana" w:cs="Times New Roman"/>
          <w:u w:val="single"/>
        </w:rPr>
        <w:t>@colombiacompra</w:t>
      </w:r>
      <w:r w:rsidRPr="00B06915">
        <w:rPr>
          <w:rFonts w:ascii="Verdana" w:eastAsia="Calibri" w:hAnsi="Verdana" w:cs="Times New Roman"/>
        </w:rPr>
        <w:t xml:space="preserve"> </w:t>
      </w:r>
    </w:p>
    <w:p w14:paraId="7A5CD65F" w14:textId="77777777" w:rsidR="00617BDC" w:rsidRPr="00B06915" w:rsidRDefault="00617BDC" w:rsidP="00617BDC">
      <w:pPr>
        <w:spacing w:after="0" w:line="254" w:lineRule="auto"/>
        <w:rPr>
          <w:rFonts w:ascii="Verdana" w:eastAsia="Calibri" w:hAnsi="Verdana" w:cs="Times New Roman"/>
        </w:rPr>
      </w:pPr>
      <w:r w:rsidRPr="00B06915">
        <w:rPr>
          <w:rFonts w:ascii="Verdana" w:eastAsia="Calibri" w:hAnsi="Verdana" w:cs="Times New Roman"/>
        </w:rPr>
        <w:t xml:space="preserve">Facebook: </w:t>
      </w:r>
      <w:proofErr w:type="spellStart"/>
      <w:r w:rsidRPr="00B06915">
        <w:rPr>
          <w:rFonts w:ascii="Verdana" w:eastAsia="Calibri" w:hAnsi="Verdana" w:cs="Times New Roman"/>
          <w:u w:val="single"/>
        </w:rPr>
        <w:t>ColombiaCompraEficiente</w:t>
      </w:r>
      <w:proofErr w:type="spellEnd"/>
    </w:p>
    <w:p w14:paraId="5698E19D" w14:textId="77777777" w:rsidR="00617BDC" w:rsidRPr="00B06915" w:rsidRDefault="00617BDC" w:rsidP="00617BDC">
      <w:pPr>
        <w:spacing w:after="0" w:line="254" w:lineRule="auto"/>
        <w:rPr>
          <w:rFonts w:ascii="Verdana" w:eastAsia="Calibri" w:hAnsi="Verdana" w:cs="Times New Roman"/>
          <w:u w:val="single"/>
        </w:rPr>
      </w:pPr>
      <w:r w:rsidRPr="00B06915">
        <w:rPr>
          <w:rFonts w:ascii="Verdana" w:eastAsia="Calibri" w:hAnsi="Verdana" w:cs="Times New Roman"/>
        </w:rPr>
        <w:t xml:space="preserve">LinkedIn: </w:t>
      </w:r>
      <w:r w:rsidRPr="00B06915">
        <w:rPr>
          <w:rFonts w:ascii="Verdana" w:eastAsia="Calibri" w:hAnsi="Verdana" w:cs="Times New Roman"/>
          <w:u w:val="single"/>
        </w:rPr>
        <w:t>Agencia Nacional de Contratación Pública - Colombia Compra Eficiente</w:t>
      </w:r>
      <w:r w:rsidRPr="00B06915">
        <w:rPr>
          <w:rFonts w:ascii="Verdana" w:eastAsia="Calibri" w:hAnsi="Verdana" w:cs="Times New Roman"/>
        </w:rPr>
        <w:t xml:space="preserve"> Instagram: </w:t>
      </w:r>
      <w:r w:rsidRPr="00B06915">
        <w:rPr>
          <w:rFonts w:ascii="Verdana" w:eastAsia="Calibri" w:hAnsi="Verdana" w:cs="Times New Roman"/>
          <w:u w:val="single"/>
        </w:rPr>
        <w:t>@colombiacompraeficiente_cce</w:t>
      </w:r>
    </w:p>
    <w:p w14:paraId="42141B7A" w14:textId="77777777" w:rsidR="00617BDC" w:rsidRPr="00B06915" w:rsidRDefault="00617BDC" w:rsidP="00617BDC">
      <w:pPr>
        <w:spacing w:after="0" w:line="254" w:lineRule="auto"/>
        <w:rPr>
          <w:rFonts w:ascii="Verdana" w:eastAsia="Calibri" w:hAnsi="Verdana" w:cs="Times New Roman"/>
          <w:u w:val="single"/>
        </w:rPr>
      </w:pPr>
    </w:p>
    <w:p w14:paraId="186EF030" w14:textId="77777777" w:rsidR="00617BDC" w:rsidRPr="00B06915" w:rsidRDefault="00617BDC" w:rsidP="00617BDC">
      <w:pPr>
        <w:spacing w:after="0" w:line="254" w:lineRule="auto"/>
        <w:jc w:val="both"/>
        <w:rPr>
          <w:rFonts w:ascii="Verdana" w:eastAsia="Calibri" w:hAnsi="Verdana" w:cs="Times New Roman"/>
          <w:bCs/>
          <w:lang w:val="es-ES_tradnl"/>
        </w:rPr>
      </w:pPr>
      <w:r w:rsidRPr="00B0691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301253F" w14:textId="77777777" w:rsidR="00617BDC" w:rsidRPr="00B06915" w:rsidRDefault="00617BDC" w:rsidP="00617BDC">
      <w:pPr>
        <w:spacing w:after="0" w:line="254" w:lineRule="auto"/>
        <w:jc w:val="both"/>
        <w:rPr>
          <w:rFonts w:ascii="Verdana" w:eastAsia="Calibri" w:hAnsi="Verdana" w:cs="Times New Roman"/>
        </w:rPr>
      </w:pPr>
    </w:p>
    <w:p w14:paraId="0DFECA7D" w14:textId="77777777" w:rsidR="00617BDC" w:rsidRDefault="00617BDC" w:rsidP="00617BDC">
      <w:pPr>
        <w:spacing w:after="0" w:line="254" w:lineRule="auto"/>
        <w:jc w:val="both"/>
        <w:rPr>
          <w:rFonts w:ascii="Verdana" w:eastAsia="Calibri" w:hAnsi="Verdana" w:cs="Times New Roman"/>
        </w:rPr>
      </w:pPr>
      <w:r w:rsidRPr="00B06915">
        <w:rPr>
          <w:rFonts w:ascii="Verdana" w:eastAsia="Calibri" w:hAnsi="Verdana" w:cs="Times New Roman"/>
        </w:rPr>
        <w:t>Atentamente,</w:t>
      </w:r>
    </w:p>
    <w:p w14:paraId="0E76AD31" w14:textId="391CC38D" w:rsidR="009D5148" w:rsidRDefault="009D5148" w:rsidP="00617BDC">
      <w:pPr>
        <w:jc w:val="both"/>
        <w:rPr>
          <w:rFonts w:ascii="Verdana" w:eastAsia="Times New Roman" w:hAnsi="Verdana" w:cs="Arial"/>
          <w:shd w:val="clear" w:color="auto" w:fill="FFFFFF"/>
        </w:rPr>
      </w:pPr>
      <w:r>
        <w:rPr>
          <w:noProof/>
        </w:rPr>
        <w:drawing>
          <wp:anchor distT="0" distB="0" distL="114300" distR="114300" simplePos="0" relativeHeight="251660289" behindDoc="1" locked="0" layoutInCell="1" allowOverlap="1" wp14:anchorId="787D973A" wp14:editId="22BDADE8">
            <wp:simplePos x="0" y="0"/>
            <wp:positionH relativeFrom="column">
              <wp:posOffset>1116965</wp:posOffset>
            </wp:positionH>
            <wp:positionV relativeFrom="paragraph">
              <wp:posOffset>37465</wp:posOffset>
            </wp:positionV>
            <wp:extent cx="3962400" cy="1321435"/>
            <wp:effectExtent l="0" t="0" r="0" b="0"/>
            <wp:wrapTight wrapText="bothSides">
              <wp:wrapPolygon edited="0">
                <wp:start x="0" y="0"/>
                <wp:lineTo x="0" y="21174"/>
                <wp:lineTo x="21496" y="21174"/>
                <wp:lineTo x="21496" y="0"/>
                <wp:lineTo x="0" y="0"/>
              </wp:wrapPolygon>
            </wp:wrapTight>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962400" cy="1321435"/>
                    </a:xfrm>
                    <a:prstGeom prst="rect">
                      <a:avLst/>
                    </a:prstGeom>
                  </pic:spPr>
                </pic:pic>
              </a:graphicData>
            </a:graphic>
            <wp14:sizeRelV relativeFrom="margin">
              <wp14:pctHeight>0</wp14:pctHeight>
            </wp14:sizeRelV>
          </wp:anchor>
        </w:drawing>
      </w:r>
      <w:r>
        <w:rPr>
          <w:rFonts w:ascii="Verdana" w:eastAsia="Times New Roman" w:hAnsi="Verdana" w:cs="Arial"/>
          <w:shd w:val="clear" w:color="auto" w:fill="FFFFFF"/>
        </w:rPr>
        <w:t xml:space="preserve"> </w:t>
      </w:r>
    </w:p>
    <w:p w14:paraId="02AAE6C5" w14:textId="7C67E72E" w:rsidR="00617BDC" w:rsidRDefault="00617BDC" w:rsidP="00617BDC">
      <w:pPr>
        <w:jc w:val="both"/>
        <w:rPr>
          <w:rFonts w:ascii="Verdana" w:eastAsia="Times New Roman" w:hAnsi="Verdana" w:cs="Arial"/>
          <w:shd w:val="clear" w:color="auto" w:fill="FFFFFF"/>
        </w:rPr>
      </w:pPr>
      <w:r>
        <w:rPr>
          <w:rFonts w:ascii="Verdana" w:eastAsia="Times New Roman" w:hAnsi="Verdana" w:cs="Arial"/>
          <w:shd w:val="clear" w:color="auto" w:fill="FFFFFF"/>
        </w:rPr>
        <w:t xml:space="preserve"> </w:t>
      </w:r>
    </w:p>
    <w:p w14:paraId="7163C05F" w14:textId="77777777" w:rsidR="00617BDC" w:rsidRDefault="00617BDC" w:rsidP="00617BDC">
      <w:pPr>
        <w:spacing w:after="0" w:line="240" w:lineRule="auto"/>
        <w:textAlignment w:val="baseline"/>
        <w:rPr>
          <w:rFonts w:ascii="Verdana" w:eastAsia="Times New Roman" w:hAnsi="Verdana" w:cs="Segoe UI"/>
          <w:lang w:val="es-MX" w:eastAsia="es-CO"/>
        </w:rPr>
      </w:pPr>
    </w:p>
    <w:p w14:paraId="1AD7EE2F" w14:textId="77777777" w:rsidR="00617BDC" w:rsidRDefault="00617BDC" w:rsidP="00617BDC">
      <w:pPr>
        <w:spacing w:after="0" w:line="240" w:lineRule="auto"/>
        <w:textAlignment w:val="baseline"/>
        <w:rPr>
          <w:rFonts w:ascii="Verdana" w:eastAsia="Times New Roman" w:hAnsi="Verdana" w:cs="Segoe UI"/>
          <w:lang w:val="es-MX" w:eastAsia="es-CO"/>
        </w:rPr>
      </w:pPr>
    </w:p>
    <w:p w14:paraId="68D93A3E" w14:textId="77777777" w:rsidR="00617BDC" w:rsidRDefault="00617BDC" w:rsidP="00617BDC">
      <w:pPr>
        <w:spacing w:after="0" w:line="240" w:lineRule="auto"/>
        <w:textAlignment w:val="baseline"/>
        <w:rPr>
          <w:rFonts w:ascii="Verdana" w:eastAsia="Times New Roman" w:hAnsi="Verdana" w:cs="Segoe UI"/>
          <w:lang w:val="es-MX" w:eastAsia="es-CO"/>
        </w:rPr>
      </w:pPr>
    </w:p>
    <w:p w14:paraId="709C4D10" w14:textId="77777777" w:rsidR="00617BDC" w:rsidRDefault="00617BDC" w:rsidP="00617BDC">
      <w:pPr>
        <w:spacing w:after="0" w:line="240" w:lineRule="auto"/>
        <w:textAlignment w:val="baseline"/>
        <w:rPr>
          <w:rFonts w:ascii="Verdana" w:eastAsia="Times New Roman" w:hAnsi="Verdana" w:cs="Segoe UI"/>
          <w:lang w:val="es-MX" w:eastAsia="es-CO"/>
        </w:rPr>
      </w:pPr>
    </w:p>
    <w:p w14:paraId="37455846" w14:textId="77777777" w:rsidR="00617BDC" w:rsidRDefault="00617BDC" w:rsidP="00617BDC">
      <w:pPr>
        <w:spacing w:after="0" w:line="240" w:lineRule="auto"/>
        <w:textAlignment w:val="baseline"/>
        <w:rPr>
          <w:rFonts w:ascii="Verdana" w:eastAsia="Times New Roman" w:hAnsi="Verdana" w:cs="Segoe UI"/>
          <w:lang w:val="es-MX" w:eastAsia="es-CO"/>
        </w:rPr>
      </w:pPr>
    </w:p>
    <w:p w14:paraId="7A5839D6" w14:textId="77777777" w:rsidR="00617BDC" w:rsidRDefault="00617BDC" w:rsidP="00617BDC">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617BDC" w:rsidRPr="004C0111" w14:paraId="088529D0" w14:textId="77777777">
        <w:trPr>
          <w:trHeight w:val="622"/>
        </w:trPr>
        <w:tc>
          <w:tcPr>
            <w:tcW w:w="893" w:type="dxa"/>
            <w:vAlign w:val="center"/>
            <w:hideMark/>
          </w:tcPr>
          <w:p w14:paraId="25AFC0BA" w14:textId="77777777" w:rsidR="00617BDC" w:rsidRPr="004C0111" w:rsidRDefault="00617BDC">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617BDC" w:rsidRPr="004C0111" w14:paraId="25C12D80" w14:textId="77777777">
              <w:trPr>
                <w:trHeight w:val="45"/>
              </w:trPr>
              <w:tc>
                <w:tcPr>
                  <w:tcW w:w="5091" w:type="dxa"/>
                  <w:tcBorders>
                    <w:top w:val="dotted" w:sz="6" w:space="0" w:color="7F7F7F"/>
                    <w:left w:val="nil"/>
                    <w:bottom w:val="dotted" w:sz="6" w:space="0" w:color="7F7F7F"/>
                    <w:right w:val="nil"/>
                  </w:tcBorders>
                  <w:vAlign w:val="center"/>
                  <w:hideMark/>
                </w:tcPr>
                <w:p w14:paraId="62816E51" w14:textId="77777777" w:rsidR="00617BDC" w:rsidRPr="004C0111" w:rsidRDefault="00617BDC">
                  <w:pPr>
                    <w:spacing w:after="0"/>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Kelmis Yirama Brugés Alvarado</w:t>
                  </w:r>
                </w:p>
                <w:p w14:paraId="1A7215F6" w14:textId="77777777" w:rsidR="00617BDC" w:rsidRPr="004C0111" w:rsidRDefault="00617BDC">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7EFB44A3" w14:textId="77777777" w:rsidR="00617BDC" w:rsidRPr="004C0111" w:rsidRDefault="00617BDC">
            <w:pPr>
              <w:spacing w:line="276" w:lineRule="auto"/>
              <w:contextualSpacing/>
              <w:rPr>
                <w:rFonts w:ascii="Verdana" w:eastAsia="Calibri" w:hAnsi="Verdana" w:cs="Arial"/>
                <w:sz w:val="16"/>
                <w:szCs w:val="16"/>
                <w:lang w:val="es-MX"/>
              </w:rPr>
            </w:pPr>
          </w:p>
        </w:tc>
      </w:tr>
      <w:tr w:rsidR="00617BDC" w:rsidRPr="004C0111" w14:paraId="7A06ED52" w14:textId="77777777">
        <w:trPr>
          <w:trHeight w:val="330"/>
        </w:trPr>
        <w:tc>
          <w:tcPr>
            <w:tcW w:w="893" w:type="dxa"/>
            <w:vAlign w:val="center"/>
            <w:hideMark/>
          </w:tcPr>
          <w:p w14:paraId="77A1C921" w14:textId="77777777" w:rsidR="00617BDC" w:rsidRPr="004C0111" w:rsidRDefault="00617BDC">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14ADFC83" w14:textId="77777777" w:rsidR="00617BDC" w:rsidRPr="004C0111" w:rsidRDefault="00617BDC">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Cabezas</w:t>
            </w:r>
          </w:p>
          <w:p w14:paraId="71BCFB70" w14:textId="77777777" w:rsidR="00617BDC" w:rsidRPr="004C0111" w:rsidRDefault="00617BDC">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617BDC" w:rsidRPr="004C0111" w14:paraId="2A8CB70E" w14:textId="77777777">
        <w:trPr>
          <w:trHeight w:val="77"/>
        </w:trPr>
        <w:tc>
          <w:tcPr>
            <w:tcW w:w="893" w:type="dxa"/>
            <w:vAlign w:val="center"/>
          </w:tcPr>
          <w:p w14:paraId="76CB69E2" w14:textId="77777777" w:rsidR="00617BDC" w:rsidRPr="004C0111" w:rsidRDefault="00617BDC">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74A9F01F" w14:textId="77777777" w:rsidR="00617BDC" w:rsidRPr="002F2853" w:rsidRDefault="00617BDC">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366DBA31" w14:textId="77777777" w:rsidR="00617BDC" w:rsidRPr="004C0111" w:rsidRDefault="00617BDC">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61C56DC1" w:rsidR="00C15139" w:rsidRPr="000E2B93" w:rsidRDefault="00C15139" w:rsidP="30821638">
      <w:pPr>
        <w:spacing w:after="0" w:line="240" w:lineRule="auto"/>
        <w:jc w:val="both"/>
        <w:textAlignment w:val="baseline"/>
        <w:rPr>
          <w:rFonts w:ascii="Verdana" w:eastAsia="Verdana" w:hAnsi="Verdana" w:cs="Verdana"/>
          <w:lang w:eastAsia="es-CO"/>
        </w:rPr>
      </w:pPr>
    </w:p>
    <w:bookmarkEnd w:id="0"/>
    <w:p w14:paraId="0F293BF4" w14:textId="13743CDF" w:rsidR="00127233" w:rsidRPr="0015699B" w:rsidRDefault="00127233" w:rsidP="009D5148">
      <w:pPr>
        <w:spacing w:after="0" w:line="240" w:lineRule="auto"/>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B0CB" w14:textId="77777777" w:rsidR="00CF53DB" w:rsidRDefault="00CF53DB" w:rsidP="004A1847">
      <w:pPr>
        <w:spacing w:after="0" w:line="240" w:lineRule="auto"/>
      </w:pPr>
      <w:r>
        <w:separator/>
      </w:r>
    </w:p>
  </w:endnote>
  <w:endnote w:type="continuationSeparator" w:id="0">
    <w:p w14:paraId="5E6D4492" w14:textId="77777777" w:rsidR="00CF53DB" w:rsidRDefault="00CF53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653A" w14:textId="77777777" w:rsidR="00CF53DB" w:rsidRDefault="00CF53DB" w:rsidP="004A1847">
      <w:pPr>
        <w:spacing w:after="0" w:line="240" w:lineRule="auto"/>
      </w:pPr>
      <w:r>
        <w:separator/>
      </w:r>
    </w:p>
  </w:footnote>
  <w:footnote w:type="continuationSeparator" w:id="0">
    <w:p w14:paraId="1CFD4011" w14:textId="77777777" w:rsidR="00CF53DB" w:rsidRDefault="00CF53DB" w:rsidP="004A1847">
      <w:pPr>
        <w:spacing w:after="0" w:line="240" w:lineRule="auto"/>
      </w:pPr>
      <w:r>
        <w:continuationSeparator/>
      </w:r>
    </w:p>
  </w:footnote>
  <w:footnote w:id="1">
    <w:p w14:paraId="5946E08F" w14:textId="77777777" w:rsidR="00D741B9" w:rsidRPr="0027107E" w:rsidRDefault="00D741B9" w:rsidP="00D741B9">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7107E">
        <w:rPr>
          <w:rFonts w:ascii="Verdana" w:hAnsi="Verdana" w:cs="Arial"/>
          <w:color w:val="000000"/>
          <w:sz w:val="16"/>
          <w:szCs w:val="16"/>
          <w:shd w:val="clear" w:color="auto" w:fill="FFFFFF"/>
        </w:rPr>
        <w:t>” (</w:t>
      </w:r>
      <w:r w:rsidRPr="0027107E">
        <w:rPr>
          <w:rFonts w:ascii="Verdana" w:hAnsi="Verdana" w:cs="Arial"/>
          <w:color w:val="000000"/>
          <w:sz w:val="16"/>
          <w:szCs w:val="16"/>
        </w:rPr>
        <w:t>EXPOSITO, Juan Carlos. Forma y contenido del contrato estatal. Bogotá: Universidad Externado de Colombia, p. 89 y 90).</w:t>
      </w:r>
    </w:p>
  </w:footnote>
  <w:footnote w:id="2">
    <w:p w14:paraId="0F21AFA9" w14:textId="77777777" w:rsidR="00D741B9" w:rsidRPr="0027107E" w:rsidRDefault="00D741B9" w:rsidP="00D741B9">
      <w:pPr>
        <w:pStyle w:val="Textonotapie"/>
        <w:ind w:firstLine="708"/>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3">
    <w:p w14:paraId="1A5C947A" w14:textId="77777777" w:rsidR="00D741B9" w:rsidRDefault="00D741B9" w:rsidP="00D741B9">
      <w:pPr>
        <w:spacing w:after="0"/>
        <w:ind w:firstLine="708"/>
        <w:jc w:val="both"/>
        <w:rPr>
          <w:rFonts w:ascii="Verdana" w:hAnsi="Verdana" w:cs="Arial"/>
          <w:color w:val="000000"/>
          <w:sz w:val="16"/>
          <w:szCs w:val="16"/>
        </w:rPr>
      </w:pPr>
    </w:p>
    <w:p w14:paraId="6CB8DAFE" w14:textId="77777777" w:rsidR="00D741B9" w:rsidRPr="0027107E" w:rsidRDefault="00D741B9" w:rsidP="00D741B9">
      <w:pPr>
        <w:spacing w:after="0"/>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4">
    <w:p w14:paraId="0AB637D7" w14:textId="77777777" w:rsidR="00D741B9" w:rsidRPr="0027107E" w:rsidRDefault="00D741B9" w:rsidP="00D741B9">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r:id="rId1" w:history="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5">
    <w:p w14:paraId="0B88E66F" w14:textId="77777777" w:rsidR="00D741B9" w:rsidRPr="0027107E" w:rsidRDefault="00D741B9" w:rsidP="00D741B9">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6">
    <w:p w14:paraId="1DFCF410" w14:textId="77777777" w:rsidR="00D741B9" w:rsidRPr="00224A89" w:rsidRDefault="00D741B9" w:rsidP="00D741B9">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Concepto de 28 de Junio de 2016. Radicación: 2253. C.P. Álvaro Namén Vargas. </w:t>
      </w:r>
    </w:p>
  </w:footnote>
  <w:footnote w:id="7">
    <w:p w14:paraId="0C2BC516" w14:textId="77777777" w:rsidR="00D741B9" w:rsidRPr="00224A89" w:rsidRDefault="00D741B9" w:rsidP="00D741B9">
      <w:pPr>
        <w:pStyle w:val="Textonotapie"/>
        <w:ind w:firstLine="708"/>
        <w:jc w:val="both"/>
        <w:rPr>
          <w:rFonts w:ascii="Verdana" w:hAnsi="Verdana"/>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w:t>
      </w:r>
      <w:r w:rsidRPr="00224A89">
        <w:rPr>
          <w:rFonts w:ascii="Verdana" w:hAnsi="Verdana" w:cs="Arial"/>
          <w:color w:val="000000"/>
          <w:sz w:val="16"/>
          <w:szCs w:val="16"/>
          <w:lang w:val="es-CO"/>
        </w:rPr>
        <w:t xml:space="preserve">Sala Plena. Auto del 1 de agosto de 2019. </w:t>
      </w:r>
      <w:r w:rsidRPr="00224A89">
        <w:rPr>
          <w:rFonts w:ascii="Verdana" w:hAnsi="Verdana" w:cs="Arial"/>
          <w:color w:val="000000"/>
          <w:sz w:val="16"/>
          <w:szCs w:val="16"/>
        </w:rPr>
        <w:t xml:space="preserve">Exp. 62009. C.P. Jaime Enrique Rodríguez Navas. </w:t>
      </w:r>
      <w:r w:rsidRPr="00224A89">
        <w:rPr>
          <w:rFonts w:ascii="Verdana" w:hAnsi="Verdana"/>
          <w:color w:val="000000"/>
          <w:sz w:val="16"/>
          <w:szCs w:val="16"/>
          <w:lang w:val="es-ES"/>
        </w:rPr>
        <w:t xml:space="preserve"> </w:t>
      </w:r>
    </w:p>
  </w:footnote>
  <w:footnote w:id="8">
    <w:p w14:paraId="0634841C" w14:textId="77777777" w:rsidR="00D741B9" w:rsidRPr="00224A89" w:rsidRDefault="00D741B9" w:rsidP="00D741B9">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DÍAZ DÍEZ, La liquidación… Op. cit., pp. 255-256.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21268018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2F1"/>
    <w:rsid w:val="0000474A"/>
    <w:rsid w:val="000061CF"/>
    <w:rsid w:val="00016F78"/>
    <w:rsid w:val="00020A06"/>
    <w:rsid w:val="00046945"/>
    <w:rsid w:val="00061B2A"/>
    <w:rsid w:val="00064955"/>
    <w:rsid w:val="00072045"/>
    <w:rsid w:val="00082362"/>
    <w:rsid w:val="000A683E"/>
    <w:rsid w:val="000B19B9"/>
    <w:rsid w:val="000C4B78"/>
    <w:rsid w:val="000C614C"/>
    <w:rsid w:val="000D0334"/>
    <w:rsid w:val="000D5DA7"/>
    <w:rsid w:val="000D7A43"/>
    <w:rsid w:val="000F37C3"/>
    <w:rsid w:val="000F6486"/>
    <w:rsid w:val="00102CC1"/>
    <w:rsid w:val="00116940"/>
    <w:rsid w:val="00122364"/>
    <w:rsid w:val="00125105"/>
    <w:rsid w:val="00127233"/>
    <w:rsid w:val="0015699B"/>
    <w:rsid w:val="001904EB"/>
    <w:rsid w:val="001A33BF"/>
    <w:rsid w:val="001A7432"/>
    <w:rsid w:val="001E4177"/>
    <w:rsid w:val="001F0B24"/>
    <w:rsid w:val="001F7DC6"/>
    <w:rsid w:val="00204B34"/>
    <w:rsid w:val="00214191"/>
    <w:rsid w:val="0022400B"/>
    <w:rsid w:val="00225775"/>
    <w:rsid w:val="00233209"/>
    <w:rsid w:val="00237689"/>
    <w:rsid w:val="00241CA1"/>
    <w:rsid w:val="002421BB"/>
    <w:rsid w:val="0025796E"/>
    <w:rsid w:val="002707A2"/>
    <w:rsid w:val="00281F2C"/>
    <w:rsid w:val="00285655"/>
    <w:rsid w:val="002947C8"/>
    <w:rsid w:val="002951A0"/>
    <w:rsid w:val="002962BC"/>
    <w:rsid w:val="002A093D"/>
    <w:rsid w:val="002A0DD0"/>
    <w:rsid w:val="002A1D79"/>
    <w:rsid w:val="002A49AC"/>
    <w:rsid w:val="002A64FD"/>
    <w:rsid w:val="002B0D0F"/>
    <w:rsid w:val="002C7A84"/>
    <w:rsid w:val="002D297D"/>
    <w:rsid w:val="002D512E"/>
    <w:rsid w:val="002E2BF8"/>
    <w:rsid w:val="002E4FD9"/>
    <w:rsid w:val="002F56A5"/>
    <w:rsid w:val="0030657A"/>
    <w:rsid w:val="00322A85"/>
    <w:rsid w:val="00324168"/>
    <w:rsid w:val="00330834"/>
    <w:rsid w:val="00335F89"/>
    <w:rsid w:val="003448F4"/>
    <w:rsid w:val="003536E7"/>
    <w:rsid w:val="00362980"/>
    <w:rsid w:val="00374F5E"/>
    <w:rsid w:val="00377E3E"/>
    <w:rsid w:val="00392099"/>
    <w:rsid w:val="003A1CB2"/>
    <w:rsid w:val="003A779E"/>
    <w:rsid w:val="003B4D77"/>
    <w:rsid w:val="003B7EF8"/>
    <w:rsid w:val="003D0F4D"/>
    <w:rsid w:val="003D5B0D"/>
    <w:rsid w:val="003E0499"/>
    <w:rsid w:val="003E4F80"/>
    <w:rsid w:val="003E6439"/>
    <w:rsid w:val="003F1A25"/>
    <w:rsid w:val="003F3941"/>
    <w:rsid w:val="003F50C6"/>
    <w:rsid w:val="00406575"/>
    <w:rsid w:val="00412E5B"/>
    <w:rsid w:val="00414C74"/>
    <w:rsid w:val="0042722E"/>
    <w:rsid w:val="00434C4B"/>
    <w:rsid w:val="0044528D"/>
    <w:rsid w:val="00451346"/>
    <w:rsid w:val="00466E39"/>
    <w:rsid w:val="004A1847"/>
    <w:rsid w:val="004A2153"/>
    <w:rsid w:val="004A305D"/>
    <w:rsid w:val="004D048B"/>
    <w:rsid w:val="004D65FF"/>
    <w:rsid w:val="004F186B"/>
    <w:rsid w:val="004F21C4"/>
    <w:rsid w:val="004F685F"/>
    <w:rsid w:val="00527324"/>
    <w:rsid w:val="0055273E"/>
    <w:rsid w:val="005534BD"/>
    <w:rsid w:val="005566E8"/>
    <w:rsid w:val="00573099"/>
    <w:rsid w:val="00574867"/>
    <w:rsid w:val="00591460"/>
    <w:rsid w:val="005977D1"/>
    <w:rsid w:val="005A65E0"/>
    <w:rsid w:val="005B56FE"/>
    <w:rsid w:val="005C09E3"/>
    <w:rsid w:val="005C3777"/>
    <w:rsid w:val="005C5CDC"/>
    <w:rsid w:val="005D1E03"/>
    <w:rsid w:val="005D476C"/>
    <w:rsid w:val="00613D1E"/>
    <w:rsid w:val="00617BDC"/>
    <w:rsid w:val="006200BF"/>
    <w:rsid w:val="006219F8"/>
    <w:rsid w:val="006302F7"/>
    <w:rsid w:val="00646B9F"/>
    <w:rsid w:val="00655CE2"/>
    <w:rsid w:val="00665D70"/>
    <w:rsid w:val="006900D9"/>
    <w:rsid w:val="006A4DCC"/>
    <w:rsid w:val="006B18F3"/>
    <w:rsid w:val="006D6CFD"/>
    <w:rsid w:val="006F0D11"/>
    <w:rsid w:val="006F5F0D"/>
    <w:rsid w:val="00706C16"/>
    <w:rsid w:val="007221C8"/>
    <w:rsid w:val="007312CA"/>
    <w:rsid w:val="007327A3"/>
    <w:rsid w:val="007340C3"/>
    <w:rsid w:val="00741562"/>
    <w:rsid w:val="0075235A"/>
    <w:rsid w:val="00754133"/>
    <w:rsid w:val="00756841"/>
    <w:rsid w:val="007649AB"/>
    <w:rsid w:val="00764B41"/>
    <w:rsid w:val="00771D0C"/>
    <w:rsid w:val="007833AC"/>
    <w:rsid w:val="00785521"/>
    <w:rsid w:val="00794AEE"/>
    <w:rsid w:val="007B268C"/>
    <w:rsid w:val="007B3655"/>
    <w:rsid w:val="007B7171"/>
    <w:rsid w:val="007C0C0F"/>
    <w:rsid w:val="007C3DC2"/>
    <w:rsid w:val="007D322E"/>
    <w:rsid w:val="007E5497"/>
    <w:rsid w:val="00806F5F"/>
    <w:rsid w:val="00820278"/>
    <w:rsid w:val="008258C9"/>
    <w:rsid w:val="00827BD4"/>
    <w:rsid w:val="00844AE9"/>
    <w:rsid w:val="008523E8"/>
    <w:rsid w:val="00862D8D"/>
    <w:rsid w:val="008670AE"/>
    <w:rsid w:val="00867F95"/>
    <w:rsid w:val="008754BB"/>
    <w:rsid w:val="008808FC"/>
    <w:rsid w:val="008843B6"/>
    <w:rsid w:val="00891928"/>
    <w:rsid w:val="008A446D"/>
    <w:rsid w:val="008A570D"/>
    <w:rsid w:val="008B25F1"/>
    <w:rsid w:val="008C080C"/>
    <w:rsid w:val="008D180B"/>
    <w:rsid w:val="008E47DA"/>
    <w:rsid w:val="008F0EA7"/>
    <w:rsid w:val="009123B5"/>
    <w:rsid w:val="00923EEF"/>
    <w:rsid w:val="00924BF0"/>
    <w:rsid w:val="00927CFC"/>
    <w:rsid w:val="00934552"/>
    <w:rsid w:val="009368AB"/>
    <w:rsid w:val="00936D5F"/>
    <w:rsid w:val="00937B87"/>
    <w:rsid w:val="009419F9"/>
    <w:rsid w:val="00947480"/>
    <w:rsid w:val="0095685E"/>
    <w:rsid w:val="00961B09"/>
    <w:rsid w:val="00963CF9"/>
    <w:rsid w:val="00964532"/>
    <w:rsid w:val="00965334"/>
    <w:rsid w:val="0097093E"/>
    <w:rsid w:val="00975DD3"/>
    <w:rsid w:val="00994EF7"/>
    <w:rsid w:val="009A0DFA"/>
    <w:rsid w:val="009A1840"/>
    <w:rsid w:val="009A1C6F"/>
    <w:rsid w:val="009B2D26"/>
    <w:rsid w:val="009B7DB2"/>
    <w:rsid w:val="009C3712"/>
    <w:rsid w:val="009C6588"/>
    <w:rsid w:val="009C71FA"/>
    <w:rsid w:val="009C72E7"/>
    <w:rsid w:val="009C7F7E"/>
    <w:rsid w:val="009D1841"/>
    <w:rsid w:val="009D3058"/>
    <w:rsid w:val="009D5148"/>
    <w:rsid w:val="009F3A13"/>
    <w:rsid w:val="00A122D3"/>
    <w:rsid w:val="00A14468"/>
    <w:rsid w:val="00A17F13"/>
    <w:rsid w:val="00A20739"/>
    <w:rsid w:val="00A228BD"/>
    <w:rsid w:val="00A23AF9"/>
    <w:rsid w:val="00A253DA"/>
    <w:rsid w:val="00A33C78"/>
    <w:rsid w:val="00A47446"/>
    <w:rsid w:val="00A66355"/>
    <w:rsid w:val="00A757F0"/>
    <w:rsid w:val="00AB0ADB"/>
    <w:rsid w:val="00AD4898"/>
    <w:rsid w:val="00AE48E1"/>
    <w:rsid w:val="00AF62B1"/>
    <w:rsid w:val="00B00C0E"/>
    <w:rsid w:val="00B01B1A"/>
    <w:rsid w:val="00B0381D"/>
    <w:rsid w:val="00B052D2"/>
    <w:rsid w:val="00B26CB7"/>
    <w:rsid w:val="00B37A3C"/>
    <w:rsid w:val="00B44A47"/>
    <w:rsid w:val="00B5292A"/>
    <w:rsid w:val="00B61D8D"/>
    <w:rsid w:val="00B61E8F"/>
    <w:rsid w:val="00B647F0"/>
    <w:rsid w:val="00B72224"/>
    <w:rsid w:val="00B72CD3"/>
    <w:rsid w:val="00B72FFF"/>
    <w:rsid w:val="00B74ADD"/>
    <w:rsid w:val="00B90FFB"/>
    <w:rsid w:val="00BB7937"/>
    <w:rsid w:val="00BC3D36"/>
    <w:rsid w:val="00BD54A6"/>
    <w:rsid w:val="00BD7F72"/>
    <w:rsid w:val="00BE39E8"/>
    <w:rsid w:val="00BF7425"/>
    <w:rsid w:val="00C00FB1"/>
    <w:rsid w:val="00C03C6E"/>
    <w:rsid w:val="00C04FB3"/>
    <w:rsid w:val="00C10466"/>
    <w:rsid w:val="00C11D8B"/>
    <w:rsid w:val="00C15139"/>
    <w:rsid w:val="00C17231"/>
    <w:rsid w:val="00C330EB"/>
    <w:rsid w:val="00C42574"/>
    <w:rsid w:val="00C50D69"/>
    <w:rsid w:val="00C5365C"/>
    <w:rsid w:val="00C64E91"/>
    <w:rsid w:val="00C754BE"/>
    <w:rsid w:val="00C76B1C"/>
    <w:rsid w:val="00C925AC"/>
    <w:rsid w:val="00CA1065"/>
    <w:rsid w:val="00CB2709"/>
    <w:rsid w:val="00CB6357"/>
    <w:rsid w:val="00CC12E8"/>
    <w:rsid w:val="00CC1B26"/>
    <w:rsid w:val="00CE11D6"/>
    <w:rsid w:val="00CE28AF"/>
    <w:rsid w:val="00CF53DB"/>
    <w:rsid w:val="00D313F2"/>
    <w:rsid w:val="00D32979"/>
    <w:rsid w:val="00D32E77"/>
    <w:rsid w:val="00D33BF0"/>
    <w:rsid w:val="00D35992"/>
    <w:rsid w:val="00D361FD"/>
    <w:rsid w:val="00D423A2"/>
    <w:rsid w:val="00D44E26"/>
    <w:rsid w:val="00D520D8"/>
    <w:rsid w:val="00D5343A"/>
    <w:rsid w:val="00D543CA"/>
    <w:rsid w:val="00D54582"/>
    <w:rsid w:val="00D5555F"/>
    <w:rsid w:val="00D57966"/>
    <w:rsid w:val="00D6235D"/>
    <w:rsid w:val="00D63AC2"/>
    <w:rsid w:val="00D7383B"/>
    <w:rsid w:val="00D741B9"/>
    <w:rsid w:val="00D7788A"/>
    <w:rsid w:val="00DA231B"/>
    <w:rsid w:val="00DC1758"/>
    <w:rsid w:val="00DC39FC"/>
    <w:rsid w:val="00DF5254"/>
    <w:rsid w:val="00E02524"/>
    <w:rsid w:val="00E13E65"/>
    <w:rsid w:val="00E16408"/>
    <w:rsid w:val="00E20894"/>
    <w:rsid w:val="00E245AB"/>
    <w:rsid w:val="00E2764C"/>
    <w:rsid w:val="00E27F2E"/>
    <w:rsid w:val="00E32B1C"/>
    <w:rsid w:val="00E47422"/>
    <w:rsid w:val="00E50AFE"/>
    <w:rsid w:val="00E7253B"/>
    <w:rsid w:val="00E75C92"/>
    <w:rsid w:val="00E771DC"/>
    <w:rsid w:val="00E77D6B"/>
    <w:rsid w:val="00E84AD8"/>
    <w:rsid w:val="00E850EA"/>
    <w:rsid w:val="00E8772A"/>
    <w:rsid w:val="00E90F6B"/>
    <w:rsid w:val="00E92C27"/>
    <w:rsid w:val="00E9505C"/>
    <w:rsid w:val="00EA0E3D"/>
    <w:rsid w:val="00EB1D1D"/>
    <w:rsid w:val="00EB6E74"/>
    <w:rsid w:val="00EC38A7"/>
    <w:rsid w:val="00EE0459"/>
    <w:rsid w:val="00EE14C0"/>
    <w:rsid w:val="00EE1AA8"/>
    <w:rsid w:val="00EF5131"/>
    <w:rsid w:val="00F00636"/>
    <w:rsid w:val="00F15DF0"/>
    <w:rsid w:val="00F23FEA"/>
    <w:rsid w:val="00F31EDC"/>
    <w:rsid w:val="00F462B3"/>
    <w:rsid w:val="00F56303"/>
    <w:rsid w:val="00F5664F"/>
    <w:rsid w:val="00F666C4"/>
    <w:rsid w:val="00F76AFC"/>
    <w:rsid w:val="00F92770"/>
    <w:rsid w:val="00F96957"/>
    <w:rsid w:val="00FA47C0"/>
    <w:rsid w:val="00FA7A7C"/>
    <w:rsid w:val="00FB3E49"/>
    <w:rsid w:val="00FB5DD1"/>
    <w:rsid w:val="00FC2B5D"/>
    <w:rsid w:val="00FC4AD4"/>
    <w:rsid w:val="00FE136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C46017D-770D-4C1A-9037-B1D15EA1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741B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liquidacion_procesos.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nnerpcanizales@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A8FC084-9F1C-4D0D-9F31-FC8746F99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4958</Words>
  <Characters>27270</Characters>
  <Application>Microsoft Office Word</Application>
  <DocSecurity>0</DocSecurity>
  <Lines>227</Lines>
  <Paragraphs>64</Paragraphs>
  <ScaleCrop>false</ScaleCrop>
  <Company/>
  <LinksUpToDate>false</LinksUpToDate>
  <CharactersWithSpaces>32164</CharactersWithSpaces>
  <SharedDoc>false</SharedDoc>
  <HLinks>
    <vt:vector size="42"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8257615</vt:i4>
      </vt:variant>
      <vt:variant>
        <vt:i4>3</vt:i4>
      </vt:variant>
      <vt:variant>
        <vt:i4>0</vt:i4>
      </vt:variant>
      <vt:variant>
        <vt:i4>5</vt:i4>
      </vt:variant>
      <vt:variant>
        <vt:lpwstr>https://www.colombiacompra.gov.co/sites/cce_public/files/cce_documents/cce_guia_liquidacion_procesos.pdf</vt:lpwstr>
      </vt:variant>
      <vt:variant>
        <vt:lpwstr/>
      </vt:variant>
      <vt:variant>
        <vt:i4>7864406</vt:i4>
      </vt:variant>
      <vt:variant>
        <vt:i4>0</vt:i4>
      </vt:variant>
      <vt:variant>
        <vt:i4>0</vt:i4>
      </vt:variant>
      <vt:variant>
        <vt:i4>5</vt:i4>
      </vt:variant>
      <vt:variant>
        <vt:lpwstr>mailto:hannerpcanizales@gmail.com</vt:lpwstr>
      </vt:variant>
      <vt:variant>
        <vt:lpwstr/>
      </vt:variant>
      <vt:variant>
        <vt:i4>458817</vt:i4>
      </vt:variant>
      <vt:variant>
        <vt:i4>0</vt:i4>
      </vt:variant>
      <vt:variant>
        <vt:i4>0</vt:i4>
      </vt:variant>
      <vt:variant>
        <vt:i4>5</vt:i4>
      </vt:variant>
      <vt:variant>
        <vt:lpwstr>https://cceficiente.sharepoint.com/sites/SGDEA/TRD_254/EXPEDIENTE_1668/DOCUMENTO_407171/DOCUMENTO_407171.docx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2023-01-11T00:18:00Z</cp:lastPrinted>
  <dcterms:created xsi:type="dcterms:W3CDTF">2026-05-08T20:33:00Z</dcterms:created>
  <dcterms:modified xsi:type="dcterms:W3CDTF">2026-05-14T13:11:00Z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