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BC2F0" w14:textId="77777777" w:rsidR="00266BF9" w:rsidRPr="000E1704" w:rsidRDefault="00266BF9" w:rsidP="00266BF9">
      <w:pPr>
        <w:spacing w:line="276" w:lineRule="auto"/>
        <w:jc w:val="both"/>
        <w:rPr>
          <w:rFonts w:ascii="Verdana" w:eastAsia="Calibri" w:hAnsi="Verdana" w:cs="Arial"/>
          <w:b/>
          <w:lang w:val="es-MX"/>
        </w:rPr>
      </w:pPr>
      <w:r w:rsidRPr="000E1704">
        <w:rPr>
          <w:rFonts w:ascii="Verdana" w:eastAsia="Calibri" w:hAnsi="Verdana" w:cs="Arial"/>
          <w:b/>
          <w:lang w:val="es-MX"/>
        </w:rPr>
        <w:t>REQUISITOS DE EJECUCIÓN – Diferencias entre requisitos de perfeccionamiento y ejecución – Requisitos de ejecución legales y convencionales.</w:t>
      </w:r>
    </w:p>
    <w:p w14:paraId="4DF26194" w14:textId="77777777" w:rsidR="00266BF9" w:rsidRPr="009A02D4" w:rsidRDefault="00266BF9" w:rsidP="00266BF9">
      <w:pPr>
        <w:spacing w:after="0"/>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 xml:space="preserve">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66965649" w14:textId="77777777" w:rsidR="00266BF9" w:rsidRPr="009A02D4" w:rsidRDefault="00266BF9" w:rsidP="00266BF9">
      <w:pPr>
        <w:spacing w:after="0"/>
        <w:jc w:val="both"/>
        <w:rPr>
          <w:rFonts w:ascii="Verdana" w:eastAsia="Calibri" w:hAnsi="Verdana" w:cs="Arial"/>
          <w:sz w:val="20"/>
          <w:szCs w:val="20"/>
          <w:lang w:val="es-ES" w:eastAsia="es-ES"/>
        </w:rPr>
      </w:pPr>
    </w:p>
    <w:p w14:paraId="22EC871C" w14:textId="2A614B0F" w:rsidR="00266BF9" w:rsidRDefault="00266BF9" w:rsidP="009A02D4">
      <w:pPr>
        <w:spacing w:after="0"/>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Además, el artículo 6 de la Constitución dispone que «Los particulares sólo son responsables ante las autoridades por infringir la Constitución y las leyes» y que «Los servidores públicos lo son por la misma causa y por omisión o extralimitación en el ejercicio de sus funciones».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3D1B3FE9" w14:textId="77777777" w:rsidR="009A02D4" w:rsidRPr="009A02D4" w:rsidRDefault="009A02D4" w:rsidP="009A02D4">
      <w:pPr>
        <w:spacing w:after="0"/>
        <w:jc w:val="both"/>
        <w:rPr>
          <w:rFonts w:ascii="Verdana" w:eastAsia="Calibri" w:hAnsi="Verdana" w:cs="Arial"/>
          <w:sz w:val="20"/>
          <w:szCs w:val="20"/>
          <w:lang w:val="es-ES" w:eastAsia="es-ES"/>
        </w:rPr>
      </w:pPr>
    </w:p>
    <w:p w14:paraId="6A9E0EB8" w14:textId="32C1BF60" w:rsidR="00F03C94" w:rsidRPr="009A02D4" w:rsidRDefault="00F03C94" w:rsidP="009A02D4">
      <w:pPr>
        <w:spacing w:line="276" w:lineRule="auto"/>
        <w:jc w:val="both"/>
        <w:rPr>
          <w:rFonts w:ascii="Verdana" w:eastAsia="Calibri" w:hAnsi="Verdana" w:cs="Arial"/>
          <w:b/>
          <w:lang w:val="es-MX"/>
        </w:rPr>
      </w:pPr>
      <w:r w:rsidRPr="000E1704">
        <w:rPr>
          <w:rFonts w:ascii="Verdana" w:eastAsia="Calibri" w:hAnsi="Verdana" w:cs="Arial"/>
          <w:b/>
          <w:lang w:val="es-MX"/>
        </w:rPr>
        <w:t>ACTA DE INICIO – Definición – Marco normativo</w:t>
      </w:r>
    </w:p>
    <w:p w14:paraId="4CA79EDB" w14:textId="77777777" w:rsidR="00F03C94" w:rsidRPr="009A02D4" w:rsidRDefault="00F03C94" w:rsidP="00F03C94">
      <w:pPr>
        <w:spacing w:line="276" w:lineRule="auto"/>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El acta de inicio constituye un requisito de ejecución convencional, que se pacta en la minuta del contrato o que el contratista acepta, adhiriéndose al clausulado del pliego de condiciones o documento equivalente. Sin embargo, en el lenguaje de la contratación estatal, el acta de inicio es un documento en el que se fija la fecha en la que comienza el cómputo del plazo 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El fundamento legal que habilita a las partes para establecer la suscripción del acta de inicio como un requisito de ejecución convencional, se encuentra en el segundo inciso del artículo 40 de la Ley 80 de 1993.</w:t>
      </w:r>
    </w:p>
    <w:p w14:paraId="5586149E" w14:textId="77777777" w:rsidR="00F03C94" w:rsidRPr="000E1704" w:rsidRDefault="00F03C94" w:rsidP="00F03C94">
      <w:pPr>
        <w:spacing w:after="0"/>
        <w:ind w:firstLine="708"/>
        <w:jc w:val="both"/>
        <w:rPr>
          <w:rFonts w:ascii="Verdana" w:eastAsia="Calibri" w:hAnsi="Verdana" w:cs="Arial"/>
          <w:b/>
          <w:lang w:val="es-ES" w:eastAsia="es-ES"/>
        </w:rPr>
      </w:pPr>
    </w:p>
    <w:p w14:paraId="5385BA6E" w14:textId="77777777" w:rsidR="00F03C94" w:rsidRPr="000E1704" w:rsidRDefault="00F03C94" w:rsidP="00515AC9">
      <w:pPr>
        <w:spacing w:after="0" w:line="240" w:lineRule="auto"/>
        <w:jc w:val="both"/>
        <w:rPr>
          <w:rFonts w:ascii="Verdana" w:eastAsia="Geomanist Light" w:hAnsi="Verdana" w:cs="Arial"/>
          <w:lang w:val="es-MX"/>
        </w:rPr>
      </w:pPr>
    </w:p>
    <w:p w14:paraId="4C4DF057" w14:textId="77777777" w:rsidR="00F03C94" w:rsidRPr="000E1704" w:rsidRDefault="00F03C94" w:rsidP="00515AC9">
      <w:pPr>
        <w:spacing w:after="0" w:line="240" w:lineRule="auto"/>
        <w:jc w:val="both"/>
        <w:rPr>
          <w:rFonts w:ascii="Verdana" w:eastAsia="Geomanist Light" w:hAnsi="Verdana" w:cs="Arial"/>
          <w:lang w:val="es-MX"/>
        </w:rPr>
      </w:pPr>
    </w:p>
    <w:p w14:paraId="057B4B2F" w14:textId="77777777" w:rsidR="009A02D4" w:rsidRDefault="009A02D4" w:rsidP="009A02D4">
      <w:pPr>
        <w:jc w:val="both"/>
        <w:rPr>
          <w:rFonts w:ascii="Verdana" w:eastAsia="Geomanist Light" w:hAnsi="Verdana" w:cs="Arial"/>
          <w:lang w:val="es-MX"/>
        </w:rPr>
      </w:pPr>
    </w:p>
    <w:p w14:paraId="30D16A49" w14:textId="77777777" w:rsidR="009A02D4" w:rsidRDefault="009A02D4" w:rsidP="009A02D4">
      <w:pPr>
        <w:jc w:val="both"/>
        <w:rPr>
          <w:rFonts w:ascii="Verdana" w:eastAsia="Geomanist Light" w:hAnsi="Verdana" w:cs="Arial"/>
          <w:lang w:val="es-MX"/>
        </w:rPr>
      </w:pPr>
    </w:p>
    <w:p w14:paraId="4FF1F020" w14:textId="61E888B5" w:rsidR="00F03C94" w:rsidRPr="000E1704" w:rsidRDefault="00F03C94" w:rsidP="009A02D4">
      <w:pPr>
        <w:jc w:val="both"/>
        <w:rPr>
          <w:rFonts w:ascii="Verdana" w:eastAsia="Geomanist Light" w:hAnsi="Verdana" w:cs="Arial"/>
          <w:lang w:val="es-MX"/>
        </w:rPr>
      </w:pPr>
      <w:r w:rsidRPr="000E1704">
        <w:rPr>
          <w:rFonts w:ascii="Verdana" w:eastAsia="Geomanist Light" w:hAnsi="Verdana" w:cs="Arial"/>
          <w:lang w:val="es-MX"/>
        </w:rPr>
        <w:lastRenderedPageBreak/>
        <w:t>Bogotá D.C., [Día] de [</w:t>
      </w:r>
      <w:proofErr w:type="spellStart"/>
      <w:r w:rsidRPr="000E1704">
        <w:rPr>
          <w:rFonts w:ascii="Verdana" w:eastAsia="Geomanist Light" w:hAnsi="Verdana" w:cs="Arial"/>
          <w:lang w:val="es-MX"/>
        </w:rPr>
        <w:t>Mes.NombreCapitalizado</w:t>
      </w:r>
      <w:proofErr w:type="spellEnd"/>
      <w:r w:rsidRPr="000E1704">
        <w:rPr>
          <w:rFonts w:ascii="Verdana" w:eastAsia="Geomanist Light" w:hAnsi="Verdana" w:cs="Arial"/>
          <w:lang w:val="es-MX"/>
        </w:rPr>
        <w:t>] de [Año]</w:t>
      </w:r>
    </w:p>
    <w:p w14:paraId="0F95E521" w14:textId="25310F45" w:rsidR="00F03C94" w:rsidRPr="000E1704" w:rsidRDefault="00386AC2" w:rsidP="00F03C94">
      <w:pPr>
        <w:spacing w:after="0" w:line="240" w:lineRule="auto"/>
        <w:jc w:val="both"/>
        <w:rPr>
          <w:rFonts w:ascii="Verdana" w:eastAsia="Calibri" w:hAnsi="Verdana" w:cs="Arial"/>
          <w:lang w:val="es-ES"/>
        </w:rPr>
      </w:pPr>
      <w:r w:rsidRPr="00386AC2">
        <w:rPr>
          <w:rFonts w:ascii="Verdana" w:eastAsia="Calibri" w:hAnsi="Verdana" w:cs="Arial"/>
          <w:b/>
          <w:noProof/>
          <w:lang w:val="es-ES_tradnl" w:eastAsia="es-ES_tradnl"/>
        </w:rPr>
        <w:drawing>
          <wp:anchor distT="0" distB="0" distL="114300" distR="114300" simplePos="0" relativeHeight="251658240" behindDoc="1" locked="0" layoutInCell="1" allowOverlap="1" wp14:anchorId="08FCF131" wp14:editId="45FED26A">
            <wp:simplePos x="0" y="0"/>
            <wp:positionH relativeFrom="margin">
              <wp:align>right</wp:align>
            </wp:positionH>
            <wp:positionV relativeFrom="paragraph">
              <wp:posOffset>119380</wp:posOffset>
            </wp:positionV>
            <wp:extent cx="2937510" cy="840740"/>
            <wp:effectExtent l="0" t="0" r="0" b="0"/>
            <wp:wrapSquare wrapText="bothSides"/>
            <wp:docPr id="2258350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3507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37510" cy="840740"/>
                    </a:xfrm>
                    <a:prstGeom prst="rect">
                      <a:avLst/>
                    </a:prstGeom>
                  </pic:spPr>
                </pic:pic>
              </a:graphicData>
            </a:graphic>
            <wp14:sizeRelH relativeFrom="page">
              <wp14:pctWidth>0</wp14:pctWidth>
            </wp14:sizeRelH>
            <wp14:sizeRelV relativeFrom="page">
              <wp14:pctHeight>0</wp14:pctHeight>
            </wp14:sizeRelV>
          </wp:anchor>
        </w:drawing>
      </w:r>
    </w:p>
    <w:p w14:paraId="0483CCE1" w14:textId="34A76DE1" w:rsidR="00F03C94" w:rsidRPr="000E1704" w:rsidRDefault="00F03C94" w:rsidP="00F03C94">
      <w:pPr>
        <w:spacing w:after="0" w:line="240" w:lineRule="auto"/>
        <w:jc w:val="both"/>
        <w:rPr>
          <w:rFonts w:ascii="Verdana" w:eastAsia="Calibri" w:hAnsi="Verdana" w:cs="Arial"/>
          <w:lang w:val="es-ES" w:eastAsia="es-ES"/>
        </w:rPr>
      </w:pPr>
      <w:r w:rsidRPr="000E1704">
        <w:rPr>
          <w:rFonts w:ascii="Verdana" w:eastAsia="Calibri" w:hAnsi="Verdana" w:cs="Arial"/>
          <w:lang w:val="es-ES" w:eastAsia="es-ES"/>
        </w:rPr>
        <w:t>Señora</w:t>
      </w:r>
    </w:p>
    <w:p w14:paraId="4F577575" w14:textId="1F0BDD2F" w:rsidR="00F03C94" w:rsidRPr="000E1704" w:rsidRDefault="00F03C94" w:rsidP="00515AC9">
      <w:pPr>
        <w:spacing w:after="0" w:line="240" w:lineRule="auto"/>
        <w:jc w:val="both"/>
        <w:rPr>
          <w:rFonts w:ascii="Verdana" w:eastAsia="Calibri" w:hAnsi="Verdana" w:cs="Arial"/>
          <w:b/>
          <w:lang w:val="es-ES_tradnl" w:eastAsia="es-ES_tradnl"/>
        </w:rPr>
      </w:pPr>
      <w:r w:rsidRPr="000E1704">
        <w:rPr>
          <w:rFonts w:ascii="Verdana" w:eastAsia="Calibri" w:hAnsi="Verdana" w:cs="Arial"/>
          <w:b/>
          <w:lang w:val="es-ES_tradnl" w:eastAsia="es-ES_tradnl"/>
        </w:rPr>
        <w:t xml:space="preserve">Marisol Muñoz </w:t>
      </w:r>
    </w:p>
    <w:p w14:paraId="6941D94D" w14:textId="19FC0911" w:rsidR="00F03C94" w:rsidRPr="000E1704" w:rsidRDefault="00ED4F61" w:rsidP="00515AC9">
      <w:pPr>
        <w:spacing w:after="0" w:line="240" w:lineRule="auto"/>
        <w:jc w:val="both"/>
        <w:rPr>
          <w:rFonts w:ascii="Verdana" w:eastAsia="Calibri" w:hAnsi="Verdana" w:cs="Arial"/>
          <w:u w:val="single"/>
          <w:lang w:val="es-ES" w:eastAsia="es-ES"/>
        </w:rPr>
      </w:pPr>
      <w:hyperlink r:id="rId11" w:history="1">
        <w:r w:rsidRPr="00515AC9">
          <w:rPr>
            <w:rStyle w:val="Hipervnculo"/>
            <w:rFonts w:ascii="Verdana" w:eastAsia="Calibri" w:hAnsi="Verdana" w:cs="Arial"/>
            <w:lang w:val="es-ES" w:eastAsia="es-ES"/>
          </w:rPr>
          <w:t>marisolmunoz@idsn.gov.co</w:t>
        </w:r>
      </w:hyperlink>
      <w:r w:rsidRPr="00515AC9">
        <w:rPr>
          <w:rFonts w:ascii="Verdana" w:eastAsia="Calibri" w:hAnsi="Verdana" w:cs="Arial"/>
          <w:u w:val="single"/>
          <w:lang w:val="es-ES" w:eastAsia="es-ES"/>
        </w:rPr>
        <w:t xml:space="preserve"> </w:t>
      </w:r>
    </w:p>
    <w:p w14:paraId="1E3A49F9" w14:textId="77777777" w:rsidR="00F03C94" w:rsidRPr="000E1704" w:rsidRDefault="00F03C94" w:rsidP="00515AC9">
      <w:pPr>
        <w:spacing w:after="0" w:line="240" w:lineRule="auto"/>
        <w:jc w:val="both"/>
        <w:rPr>
          <w:rFonts w:ascii="Verdana" w:eastAsia="Calibri" w:hAnsi="Verdana" w:cs="Arial"/>
          <w:b/>
          <w:bCs/>
          <w:lang w:val="es-ES" w:eastAsia="es-ES"/>
        </w:rPr>
      </w:pPr>
      <w:r w:rsidRPr="000E1704">
        <w:rPr>
          <w:rFonts w:ascii="Verdana" w:eastAsia="Calibri" w:hAnsi="Verdana" w:cs="Arial"/>
          <w:lang w:val="es-ES" w:eastAsia="es-ES"/>
        </w:rPr>
        <w:t>Pasto, Nariño</w:t>
      </w:r>
    </w:p>
    <w:p w14:paraId="3D34979F" w14:textId="77777777" w:rsidR="00F03C94" w:rsidRPr="000E1704" w:rsidRDefault="00F03C94" w:rsidP="00515AC9">
      <w:pPr>
        <w:spacing w:after="0" w:line="240" w:lineRule="auto"/>
        <w:jc w:val="both"/>
        <w:rPr>
          <w:rFonts w:ascii="Verdana" w:eastAsia="Calibri" w:hAnsi="Verdana" w:cs="Arial"/>
          <w:b/>
          <w:bCs/>
          <w:lang w:val="es-ES_tradnl" w:eastAsia="es-ES_tradnl"/>
        </w:rPr>
      </w:pPr>
    </w:p>
    <w:p w14:paraId="25A97126" w14:textId="77777777" w:rsidR="00F03C94" w:rsidRPr="000E1704" w:rsidRDefault="00F03C94" w:rsidP="00515AC9">
      <w:pPr>
        <w:spacing w:after="0" w:line="240" w:lineRule="auto"/>
        <w:jc w:val="both"/>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03C94" w:rsidRPr="000E1704" w14:paraId="4BD52724" w14:textId="77777777" w:rsidTr="00322184">
        <w:trPr>
          <w:trHeight w:val="204"/>
        </w:trPr>
        <w:tc>
          <w:tcPr>
            <w:tcW w:w="2689" w:type="dxa"/>
          </w:tcPr>
          <w:p w14:paraId="70669618" w14:textId="77777777" w:rsidR="00F03C94" w:rsidRPr="000E1704" w:rsidRDefault="00F03C94" w:rsidP="00F03C94">
            <w:pPr>
              <w:jc w:val="both"/>
              <w:rPr>
                <w:rFonts w:ascii="Verdana" w:eastAsia="Calibri" w:hAnsi="Verdana" w:cs="Arial"/>
                <w:b/>
                <w:bCs/>
                <w:lang w:val="es-ES_tradnl" w:eastAsia="es-ES_tradnl"/>
              </w:rPr>
            </w:pPr>
          </w:p>
        </w:tc>
        <w:tc>
          <w:tcPr>
            <w:tcW w:w="6100" w:type="dxa"/>
          </w:tcPr>
          <w:p w14:paraId="1A9BC764" w14:textId="77777777" w:rsidR="00F03C94" w:rsidRPr="00515AC9" w:rsidRDefault="00F03C94" w:rsidP="00515AC9">
            <w:pPr>
              <w:jc w:val="both"/>
              <w:rPr>
                <w:rFonts w:ascii="Verdana" w:eastAsia="Calibri" w:hAnsi="Verdana" w:cs="Arial"/>
                <w:b/>
                <w:bCs/>
                <w:lang w:val="es-ES" w:eastAsia="es-ES"/>
              </w:rPr>
            </w:pPr>
            <w:r w:rsidRPr="000E1704">
              <w:rPr>
                <w:rFonts w:ascii="Verdana" w:eastAsia="Calibri" w:hAnsi="Verdana" w:cs="Arial"/>
                <w:b/>
                <w:bCs/>
                <w:lang w:val="es-ES" w:eastAsia="es-ES"/>
              </w:rPr>
              <w:t>Concepto C- 464 de 2025</w:t>
            </w:r>
          </w:p>
          <w:p w14:paraId="2A990803" w14:textId="77777777" w:rsidR="00F03C94" w:rsidRPr="000E1704" w:rsidRDefault="00F03C94" w:rsidP="00F03C94">
            <w:pPr>
              <w:jc w:val="both"/>
              <w:rPr>
                <w:rFonts w:ascii="Verdana" w:eastAsia="Calibri" w:hAnsi="Verdana" w:cs="Arial"/>
                <w:b/>
                <w:bCs/>
                <w:lang w:val="es-ES" w:eastAsia="es-ES"/>
              </w:rPr>
            </w:pPr>
          </w:p>
        </w:tc>
      </w:tr>
      <w:tr w:rsidR="00F03C94" w:rsidRPr="000E1704" w14:paraId="72D57B1B" w14:textId="77777777" w:rsidTr="00F03C94">
        <w:trPr>
          <w:trHeight w:val="884"/>
        </w:trPr>
        <w:tc>
          <w:tcPr>
            <w:tcW w:w="2689" w:type="dxa"/>
          </w:tcPr>
          <w:p w14:paraId="4B4B77EE" w14:textId="77777777" w:rsidR="00F03C94" w:rsidRPr="000E1704" w:rsidRDefault="00F03C94" w:rsidP="00F03C94">
            <w:pPr>
              <w:jc w:val="both"/>
              <w:rPr>
                <w:rFonts w:ascii="Verdana" w:eastAsia="Calibri" w:hAnsi="Verdana" w:cs="Arial"/>
                <w:lang w:val="es-ES_tradnl" w:eastAsia="es-ES_tradnl"/>
              </w:rPr>
            </w:pPr>
            <w:r w:rsidRPr="000E1704">
              <w:rPr>
                <w:rFonts w:ascii="Verdana" w:eastAsia="Calibri" w:hAnsi="Verdana" w:cs="Arial"/>
                <w:b/>
                <w:lang w:val="es-ES_tradnl" w:eastAsia="es-ES_tradnl"/>
              </w:rPr>
              <w:t>Temas:</w:t>
            </w:r>
            <w:r w:rsidRPr="000E1704">
              <w:rPr>
                <w:rFonts w:ascii="Verdana" w:eastAsia="Calibri" w:hAnsi="Verdana" w:cs="Arial"/>
                <w:lang w:val="es-ES_tradnl" w:eastAsia="es-ES_tradnl"/>
              </w:rPr>
              <w:t xml:space="preserve">                   </w:t>
            </w:r>
          </w:p>
        </w:tc>
        <w:tc>
          <w:tcPr>
            <w:tcW w:w="6100" w:type="dxa"/>
          </w:tcPr>
          <w:p w14:paraId="4C018EF0" w14:textId="7CCE89B4" w:rsidR="00F03C94" w:rsidRPr="000E1704" w:rsidRDefault="000520E4" w:rsidP="00B41137">
            <w:pPr>
              <w:jc w:val="both"/>
              <w:rPr>
                <w:rFonts w:ascii="Verdana" w:eastAsia="Calibri" w:hAnsi="Verdana" w:cs="Arial"/>
                <w:lang w:val="es-ES" w:eastAsia="es-ES"/>
              </w:rPr>
            </w:pPr>
            <w:r w:rsidRPr="00515AC9">
              <w:rPr>
                <w:rFonts w:ascii="Verdana" w:eastAsia="Calibri" w:hAnsi="Verdana" w:cs="Arial"/>
                <w:lang w:val="es-MX"/>
              </w:rPr>
              <w:t xml:space="preserve">REQUISITOS DE EJECUCIÓN – Diferencias entre requisitos de perfeccionamiento y ejecución – Requisitos de ejecución legales y convencionales </w:t>
            </w:r>
            <w:r>
              <w:rPr>
                <w:rFonts w:ascii="Verdana" w:eastAsia="Calibri" w:hAnsi="Verdana" w:cs="Arial"/>
                <w:lang w:val="es-MX"/>
              </w:rPr>
              <w:t xml:space="preserve">/ </w:t>
            </w:r>
            <w:r w:rsidR="00F03C94" w:rsidRPr="000E1704">
              <w:rPr>
                <w:rFonts w:ascii="Verdana" w:eastAsia="Calibri" w:hAnsi="Verdana" w:cs="Arial"/>
                <w:lang w:val="es-MX"/>
              </w:rPr>
              <w:t>ACTA DE INICIO – Definición – Marco normativo</w:t>
            </w:r>
          </w:p>
        </w:tc>
      </w:tr>
      <w:tr w:rsidR="00F03C94" w:rsidRPr="000E1704" w14:paraId="7F846CD2" w14:textId="77777777" w:rsidTr="00F03C94">
        <w:tc>
          <w:tcPr>
            <w:tcW w:w="2689" w:type="dxa"/>
          </w:tcPr>
          <w:p w14:paraId="02E0A68F" w14:textId="77777777" w:rsidR="00F03C94" w:rsidRPr="000E1704" w:rsidRDefault="00F03C94" w:rsidP="00F03C94">
            <w:pPr>
              <w:jc w:val="both"/>
              <w:rPr>
                <w:rFonts w:ascii="Verdana" w:eastAsia="Calibri" w:hAnsi="Verdana" w:cs="Arial"/>
                <w:b/>
                <w:lang w:val="es-ES_tradnl" w:eastAsia="es-ES_tradnl"/>
              </w:rPr>
            </w:pPr>
            <w:r w:rsidRPr="000E1704">
              <w:rPr>
                <w:rFonts w:ascii="Verdana" w:eastAsia="Calibri" w:hAnsi="Verdana" w:cs="Arial"/>
                <w:b/>
                <w:lang w:val="es-ES_tradnl" w:eastAsia="es-ES_tradnl"/>
              </w:rPr>
              <w:t>Radicación:</w:t>
            </w:r>
            <w:r w:rsidRPr="000E1704">
              <w:rPr>
                <w:rFonts w:ascii="Verdana" w:eastAsia="Calibri" w:hAnsi="Verdana" w:cs="Arial"/>
                <w:lang w:val="es-ES_tradnl" w:eastAsia="es-ES_tradnl"/>
              </w:rPr>
              <w:t xml:space="preserve">               </w:t>
            </w:r>
          </w:p>
        </w:tc>
        <w:tc>
          <w:tcPr>
            <w:tcW w:w="6100" w:type="dxa"/>
          </w:tcPr>
          <w:p w14:paraId="7F627737" w14:textId="77777777" w:rsidR="00F03C94" w:rsidRPr="000E1704" w:rsidRDefault="00F03C94" w:rsidP="00F03C94">
            <w:pPr>
              <w:jc w:val="both"/>
              <w:rPr>
                <w:rFonts w:ascii="Verdana" w:eastAsia="Calibri" w:hAnsi="Verdana" w:cs="Arial"/>
                <w:lang w:val="es-ES_tradnl" w:eastAsia="es-ES_tradnl"/>
              </w:rPr>
            </w:pPr>
            <w:r w:rsidRPr="000E1704">
              <w:rPr>
                <w:rFonts w:ascii="Verdana" w:eastAsia="Calibri" w:hAnsi="Verdana" w:cs="Arial"/>
                <w:lang w:val="es-ES_tradnl" w:eastAsia="es-ES_tradnl"/>
              </w:rPr>
              <w:t xml:space="preserve">Respuesta a consulta con radicado No. </w:t>
            </w:r>
            <w:r w:rsidRPr="000E1704">
              <w:rPr>
                <w:rFonts w:ascii="Verdana" w:eastAsia="Calibri" w:hAnsi="Verdana" w:cs="Arial"/>
                <w:lang w:eastAsia="es-ES_tradnl"/>
              </w:rPr>
              <w:t xml:space="preserve">P20250410003490 </w:t>
            </w:r>
          </w:p>
        </w:tc>
      </w:tr>
    </w:tbl>
    <w:p w14:paraId="164F9E2A" w14:textId="77777777" w:rsidR="00F03C94" w:rsidRPr="000E1704" w:rsidRDefault="00F03C94" w:rsidP="00B41137">
      <w:pPr>
        <w:spacing w:after="0" w:line="276" w:lineRule="auto"/>
        <w:jc w:val="both"/>
        <w:rPr>
          <w:rFonts w:ascii="Verdana" w:eastAsia="Calibri" w:hAnsi="Verdana" w:cs="Arial"/>
          <w:lang w:val="es-ES_tradnl" w:eastAsia="es-ES_tradnl"/>
        </w:rPr>
      </w:pPr>
    </w:p>
    <w:p w14:paraId="07737E10" w14:textId="77777777" w:rsidR="00F03C94" w:rsidRPr="000E1704" w:rsidRDefault="00F03C94" w:rsidP="00B41137">
      <w:pPr>
        <w:spacing w:after="0" w:line="276" w:lineRule="auto"/>
        <w:jc w:val="both"/>
        <w:rPr>
          <w:rFonts w:ascii="Verdana" w:eastAsia="Calibri" w:hAnsi="Verdana" w:cs="Arial"/>
          <w:lang w:val="es-ES_tradnl" w:eastAsia="es-ES_tradnl"/>
        </w:rPr>
      </w:pPr>
    </w:p>
    <w:p w14:paraId="74B7E641" w14:textId="77777777" w:rsidR="00F03C94" w:rsidRPr="000E1704" w:rsidRDefault="00F03C94" w:rsidP="00F03C94">
      <w:pPr>
        <w:spacing w:after="0" w:line="276" w:lineRule="auto"/>
        <w:jc w:val="both"/>
        <w:rPr>
          <w:rFonts w:ascii="Verdana" w:eastAsia="Calibri" w:hAnsi="Verdana" w:cs="Arial"/>
          <w:lang w:val="es-ES" w:eastAsia="es-ES"/>
        </w:rPr>
      </w:pPr>
      <w:r w:rsidRPr="000E1704">
        <w:rPr>
          <w:rFonts w:ascii="Verdana" w:eastAsia="Calibri" w:hAnsi="Verdana" w:cs="Arial"/>
          <w:lang w:val="es-ES" w:eastAsia="es-ES"/>
        </w:rPr>
        <w:t>Estimad</w:t>
      </w:r>
      <w:r>
        <w:rPr>
          <w:rFonts w:ascii="Verdana" w:eastAsia="Calibri" w:hAnsi="Verdana" w:cs="Arial"/>
          <w:lang w:val="es-ES" w:eastAsia="es-ES"/>
        </w:rPr>
        <w:t>a</w:t>
      </w:r>
      <w:r w:rsidRPr="000E1704">
        <w:rPr>
          <w:rFonts w:ascii="Verdana" w:eastAsia="Calibri" w:hAnsi="Verdana" w:cs="Arial"/>
          <w:lang w:val="es-ES" w:eastAsia="es-ES"/>
        </w:rPr>
        <w:t xml:space="preserve"> señor</w:t>
      </w:r>
      <w:r>
        <w:rPr>
          <w:rFonts w:ascii="Verdana" w:eastAsia="Calibri" w:hAnsi="Verdana" w:cs="Arial"/>
          <w:lang w:val="es-ES" w:eastAsia="es-ES"/>
        </w:rPr>
        <w:t>a</w:t>
      </w:r>
      <w:r w:rsidRPr="000E1704">
        <w:rPr>
          <w:rFonts w:ascii="Verdana" w:eastAsia="Calibri" w:hAnsi="Verdana" w:cs="Arial"/>
          <w:lang w:val="es-ES" w:eastAsia="es-ES"/>
        </w:rPr>
        <w:t xml:space="preserve"> </w:t>
      </w:r>
      <w:r>
        <w:rPr>
          <w:rFonts w:ascii="Verdana" w:eastAsia="Calibri" w:hAnsi="Verdana" w:cs="Arial"/>
          <w:lang w:val="es-ES" w:eastAsia="es-ES"/>
        </w:rPr>
        <w:t>Muñoz</w:t>
      </w:r>
      <w:r w:rsidRPr="000E1704">
        <w:rPr>
          <w:rFonts w:ascii="Verdana" w:eastAsia="Calibri" w:hAnsi="Verdana" w:cs="Arial"/>
          <w:lang w:val="es-ES" w:eastAsia="es-ES"/>
        </w:rPr>
        <w:t xml:space="preserve">: </w:t>
      </w:r>
    </w:p>
    <w:p w14:paraId="4E093F87" w14:textId="77777777" w:rsidR="00F03C94" w:rsidRPr="000E1704" w:rsidRDefault="00F03C94" w:rsidP="00F03C94">
      <w:pPr>
        <w:tabs>
          <w:tab w:val="left" w:pos="3768"/>
        </w:tabs>
        <w:spacing w:after="0" w:line="276" w:lineRule="auto"/>
        <w:jc w:val="both"/>
        <w:rPr>
          <w:rFonts w:ascii="Verdana" w:eastAsia="Calibri" w:hAnsi="Verdana" w:cs="Arial"/>
          <w:lang w:val="es-ES" w:eastAsia="es-ES"/>
        </w:rPr>
      </w:pPr>
      <w:r w:rsidRPr="000E1704">
        <w:rPr>
          <w:rFonts w:ascii="Verdana" w:eastAsia="Calibri" w:hAnsi="Verdana" w:cs="Arial"/>
          <w:lang w:val="es-ES" w:eastAsia="es-ES"/>
        </w:rPr>
        <w:tab/>
      </w:r>
    </w:p>
    <w:p w14:paraId="53D6F7E2" w14:textId="77777777" w:rsidR="00F03C94" w:rsidRPr="000E1704" w:rsidRDefault="00F03C94" w:rsidP="00F03C94">
      <w:pPr>
        <w:spacing w:after="0" w:line="276" w:lineRule="auto"/>
        <w:jc w:val="both"/>
        <w:rPr>
          <w:rFonts w:ascii="Verdana" w:eastAsia="Calibri" w:hAnsi="Verdana" w:cs="Arial"/>
          <w:lang w:val="es-ES" w:eastAsia="es-ES"/>
        </w:rPr>
      </w:pPr>
      <w:r w:rsidRPr="000E1704">
        <w:rPr>
          <w:rFonts w:ascii="Verdana" w:eastAsia="Calibri" w:hAnsi="Verdana" w:cs="Arial"/>
          <w:lang w:val="es-ES" w:eastAsia="es-ES"/>
        </w:rPr>
        <w:t>En ejercicio de la competencia otorgada por los artículos 3, numeral 5º, y 11, numeral 8º, del Decreto Ley 4170 de 2011,</w:t>
      </w:r>
      <w:r w:rsidRPr="000E1704">
        <w:rPr>
          <w:rFonts w:ascii="Verdana" w:eastAsia="Arial MT" w:hAnsi="Verdana" w:cs="Arial MT"/>
          <w:lang w:val="es-ES" w:eastAsia="es-ES"/>
        </w:rPr>
        <w:t xml:space="preserve"> </w:t>
      </w:r>
      <w:r w:rsidRPr="000E1704">
        <w:rPr>
          <w:rFonts w:ascii="Verdana" w:hAnsi="Verdana" w:cs="Arial"/>
        </w:rPr>
        <w:t xml:space="preserve">así como lo establecido en el artículo 4 de la Resolución 1707 de 2018 expedida por esta Entidad, </w:t>
      </w:r>
      <w:r w:rsidRPr="000E1704">
        <w:rPr>
          <w:rFonts w:ascii="Verdana" w:eastAsia="Calibri" w:hAnsi="Verdana" w:cs="Arial"/>
          <w:lang w:val="es-ES" w:eastAsia="es-ES"/>
        </w:rPr>
        <w:t xml:space="preserve">la Agencia Nacional de Contratación Pública – Colombia Compra Eficiente– responde su solicitud de consulta de fecha 10 de abril de 2025, en la cual manifiesta lo siguiente: </w:t>
      </w:r>
    </w:p>
    <w:p w14:paraId="78F06AC5" w14:textId="77777777" w:rsidR="00F03C94" w:rsidRPr="000E1704" w:rsidRDefault="00F03C94" w:rsidP="00B4113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A3D0752" w14:textId="77777777" w:rsidR="00F03C94" w:rsidRPr="000E1704" w:rsidRDefault="00F03C94" w:rsidP="00F03C94">
      <w:pPr>
        <w:spacing w:after="0" w:line="240" w:lineRule="auto"/>
        <w:ind w:left="709" w:right="709"/>
        <w:jc w:val="both"/>
        <w:rPr>
          <w:rFonts w:ascii="Verdana" w:eastAsia="Century Gothic" w:hAnsi="Verdana" w:cs="Century Gothic"/>
          <w:sz w:val="20"/>
          <w:szCs w:val="20"/>
          <w:lang w:val="es-ES"/>
        </w:rPr>
      </w:pPr>
      <w:bookmarkStart w:id="0" w:name="_Hlk95313578"/>
      <w:r w:rsidRPr="000E1704">
        <w:rPr>
          <w:rFonts w:ascii="Verdana" w:eastAsia="Century Gothic" w:hAnsi="Verdana" w:cs="Century Gothic"/>
          <w:sz w:val="20"/>
          <w:szCs w:val="20"/>
          <w:lang w:val="es-ES"/>
        </w:rPr>
        <w:t>“</w:t>
      </w:r>
      <w:r w:rsidRPr="000E1704">
        <w:rPr>
          <w:rFonts w:ascii="Verdana" w:hAnsi="Verdana" w:cs="Arial"/>
          <w:sz w:val="20"/>
          <w:szCs w:val="20"/>
          <w:shd w:val="clear" w:color="auto" w:fill="FFFFFF"/>
        </w:rPr>
        <w:t>Solicito muy comedidamente se dé concepto jurídico sobre la obligatoriedad para el instituto Departamental de Salud de Nariño, entidad territorial descentralizada, que en materia de contratación se rige por los postulados de Ley 80 de 1993, ley 1150 de 2007 y decreto reglamentarios, respecto de la suscripción de acta de inicio como requisito para iniciar la ejecución de un contrato suscrito en el marco del cumplimiento del Plan de Intervenciones Colectivas, reglamentada por la resolución 518 de 2015, modificado por la resolución 0295 de 2023 en los artículos 3, 8, 11, 14 y 18 y que la Entidad ejecuta en cumplimiento de las funciones que se encuentran establecidas en la ley 715 de 2001</w:t>
      </w:r>
      <w:r w:rsidRPr="000E1704">
        <w:rPr>
          <w:rFonts w:ascii="Verdana" w:eastAsia="Century Gothic" w:hAnsi="Verdana" w:cs="Century Gothic"/>
          <w:sz w:val="20"/>
          <w:szCs w:val="20"/>
          <w:lang w:val="es-ES"/>
        </w:rPr>
        <w:t>”</w:t>
      </w:r>
      <w:bookmarkEnd w:id="0"/>
      <w:r w:rsidRPr="000E1704">
        <w:rPr>
          <w:rFonts w:ascii="Verdana" w:eastAsia="Century Gothic" w:hAnsi="Verdana" w:cs="Century Gothic"/>
          <w:sz w:val="20"/>
          <w:szCs w:val="20"/>
          <w:lang w:val="es-ES"/>
        </w:rPr>
        <w:t>.</w:t>
      </w:r>
    </w:p>
    <w:p w14:paraId="524EA317" w14:textId="77777777" w:rsidR="00F03C94" w:rsidRPr="000E1704" w:rsidRDefault="00F03C94" w:rsidP="00B4113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DD37C14" w14:textId="77777777" w:rsidR="00F03C94" w:rsidRPr="000E1704" w:rsidRDefault="00F03C94" w:rsidP="00F03C94">
      <w:pPr>
        <w:spacing w:after="120" w:line="276" w:lineRule="auto"/>
        <w:ind w:firstLine="709"/>
        <w:jc w:val="both"/>
        <w:rPr>
          <w:rFonts w:ascii="Verdana" w:eastAsia="Calibri" w:hAnsi="Verdana" w:cs="Arial"/>
          <w:szCs w:val="24"/>
          <w:lang w:val="es-ES_tradnl" w:eastAsia="es-ES_tradnl"/>
        </w:rPr>
      </w:pPr>
      <w:r w:rsidRPr="000E170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0E1704">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E1704">
        <w:rPr>
          <w:rFonts w:ascii="Verdana" w:eastAsia="Calibri" w:hAnsi="Verdana" w:cs="Arial"/>
          <w:szCs w:val="24"/>
          <w:lang w:val="es-ES_tradnl" w:eastAsia="es-ES_tradnl"/>
        </w:rPr>
        <w:tab/>
      </w:r>
    </w:p>
    <w:p w14:paraId="254BD320" w14:textId="2D53BFC6" w:rsidR="00F03C94" w:rsidRPr="000E1704" w:rsidRDefault="00F03C94" w:rsidP="00F03C94">
      <w:pPr>
        <w:spacing w:after="0" w:line="276" w:lineRule="auto"/>
        <w:ind w:firstLine="709"/>
        <w:jc w:val="both"/>
        <w:rPr>
          <w:rFonts w:ascii="Verdana" w:eastAsia="Calibri" w:hAnsi="Verdana" w:cs="Arial"/>
          <w:lang w:val="es-ES" w:eastAsia="es-ES"/>
        </w:rPr>
      </w:pPr>
      <w:r w:rsidRPr="000E170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A01E89" w:rsidRPr="00515AC9">
        <w:rPr>
          <w:rFonts w:ascii="Verdana" w:eastAsia="Calibri" w:hAnsi="Verdana" w:cs="Arial"/>
          <w:lang w:val="es-ES" w:eastAsia="es-ES"/>
        </w:rPr>
        <w:t>señalando alg</w:t>
      </w:r>
      <w:r w:rsidRPr="00515AC9">
        <w:rPr>
          <w:rFonts w:ascii="Verdana" w:eastAsia="Calibri" w:hAnsi="Verdana" w:cs="Arial"/>
          <w:lang w:val="es-ES" w:eastAsia="es-ES"/>
        </w:rPr>
        <w:t>unas</w:t>
      </w:r>
      <w:r w:rsidRPr="000E1704">
        <w:rPr>
          <w:rFonts w:ascii="Verdana" w:eastAsia="Calibri" w:hAnsi="Verdana" w:cs="Arial"/>
          <w:lang w:val="es-ES" w:eastAsia="es-ES"/>
        </w:rPr>
        <w:t xml:space="preserve"> consideraciones sobre las normas generales relacionadas con el problema jurídico de su consulta. </w:t>
      </w:r>
    </w:p>
    <w:p w14:paraId="68EF2D84" w14:textId="77777777" w:rsidR="00F03C94" w:rsidRPr="000E1704" w:rsidRDefault="00F03C94" w:rsidP="00F03C94">
      <w:pPr>
        <w:spacing w:after="0" w:line="276" w:lineRule="auto"/>
        <w:ind w:firstLine="709"/>
        <w:jc w:val="both"/>
        <w:rPr>
          <w:rFonts w:ascii="Verdana" w:eastAsia="Calibri" w:hAnsi="Verdana" w:cs="Arial"/>
          <w:lang w:val="es-ES" w:eastAsia="es-ES"/>
        </w:rPr>
      </w:pPr>
    </w:p>
    <w:p w14:paraId="3AB21851" w14:textId="77777777" w:rsidR="00F03C94" w:rsidRPr="000E1704" w:rsidRDefault="00F03C94" w:rsidP="00F03C9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E1704">
        <w:rPr>
          <w:rFonts w:ascii="Verdana" w:eastAsia="Century Gothic" w:hAnsi="Verdana" w:cs="Century Gothic"/>
          <w:b/>
          <w:bCs/>
        </w:rPr>
        <w:t>Problema planteado:</w:t>
      </w:r>
    </w:p>
    <w:p w14:paraId="5D5B9C76" w14:textId="77777777" w:rsidR="00F03C94" w:rsidRPr="000E1704" w:rsidRDefault="00F03C94" w:rsidP="00F03C94">
      <w:pPr>
        <w:tabs>
          <w:tab w:val="left" w:pos="426"/>
        </w:tabs>
        <w:spacing w:after="0" w:line="276" w:lineRule="auto"/>
        <w:jc w:val="both"/>
        <w:rPr>
          <w:rFonts w:ascii="Verdana" w:eastAsia="Century Gothic" w:hAnsi="Verdana" w:cs="Century Gothic"/>
          <w:lang w:val="es-ES"/>
        </w:rPr>
      </w:pPr>
    </w:p>
    <w:p w14:paraId="1E8E4E2F" w14:textId="348925F7" w:rsidR="00F03C94" w:rsidRPr="000E1704" w:rsidRDefault="00F03C94" w:rsidP="00F03C94">
      <w:pPr>
        <w:spacing w:after="0" w:line="276" w:lineRule="auto"/>
        <w:jc w:val="both"/>
        <w:rPr>
          <w:rFonts w:ascii="Verdana" w:eastAsia="Century Gothic" w:hAnsi="Verdana" w:cs="Century Gothic"/>
        </w:rPr>
      </w:pPr>
      <w:r w:rsidRPr="000E1704">
        <w:rPr>
          <w:rFonts w:ascii="Verdana" w:eastAsia="Century Gothic" w:hAnsi="Verdana" w:cs="Century Gothic"/>
        </w:rPr>
        <w:t xml:space="preserve">De acuerdo con el contenido de su solicitud, esta Agencia resolverá el siguiente problema jurídico: ¿El Instituto Departamental de Salud de Nariño, como entidad territorial descentralizada sometida a los presupuestos de la Ley 80 de 1993, </w:t>
      </w:r>
      <w:r w:rsidR="00BF1A68" w:rsidRPr="00515AC9">
        <w:rPr>
          <w:rFonts w:ascii="Verdana" w:eastAsia="Century Gothic" w:hAnsi="Verdana" w:cs="Century Gothic"/>
        </w:rPr>
        <w:t xml:space="preserve">está </w:t>
      </w:r>
      <w:r w:rsidRPr="000E1704">
        <w:rPr>
          <w:rFonts w:ascii="Verdana" w:eastAsia="Century Gothic" w:hAnsi="Verdana" w:cs="Century Gothic"/>
        </w:rPr>
        <w:t xml:space="preserve">obligado a suscribir acta de inicio como requisito de ejecución de los contratos suscritos? </w:t>
      </w:r>
    </w:p>
    <w:p w14:paraId="545A2974" w14:textId="77777777" w:rsidR="00F03C94" w:rsidRPr="000E1704" w:rsidRDefault="00F03C94" w:rsidP="00F03C94">
      <w:pPr>
        <w:spacing w:after="0" w:line="276" w:lineRule="auto"/>
        <w:jc w:val="both"/>
        <w:rPr>
          <w:rFonts w:ascii="Verdana" w:eastAsia="Calibri" w:hAnsi="Verdana" w:cs="Arial"/>
          <w:lang w:val="es-ES"/>
        </w:rPr>
      </w:pPr>
    </w:p>
    <w:p w14:paraId="21F532D1" w14:textId="77777777" w:rsidR="00F03C94" w:rsidRPr="000E1704" w:rsidRDefault="00F03C94" w:rsidP="00515AC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E1704">
        <w:rPr>
          <w:rFonts w:ascii="Verdana" w:eastAsia="Century Gothic" w:hAnsi="Verdana" w:cs="Century Gothic"/>
          <w:b/>
          <w:bCs/>
        </w:rPr>
        <w:t>Respuesta:</w:t>
      </w:r>
    </w:p>
    <w:p w14:paraId="56AB3013" w14:textId="77777777" w:rsidR="00F03C94" w:rsidRPr="000E1704" w:rsidRDefault="00F03C94" w:rsidP="00F03C9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03C94" w:rsidRPr="000E1704" w14:paraId="3D6832BF" w14:textId="77777777" w:rsidTr="00F03C94">
        <w:tc>
          <w:tcPr>
            <w:tcW w:w="8828" w:type="dxa"/>
            <w:shd w:val="clear" w:color="auto" w:fill="auto"/>
          </w:tcPr>
          <w:p w14:paraId="5EDF0A33" w14:textId="1B4961E7" w:rsidR="00CD6CEB" w:rsidRPr="009C5F2C" w:rsidRDefault="00F03C94" w:rsidP="00B41137">
            <w:pPr>
              <w:spacing w:after="120" w:line="276" w:lineRule="auto"/>
              <w:ind w:firstLine="709"/>
              <w:jc w:val="both"/>
              <w:rPr>
                <w:rFonts w:ascii="Verdana" w:eastAsia="Calibri" w:hAnsi="Verdana" w:cs="Arial"/>
                <w:lang w:val="es-ES" w:eastAsia="es-ES"/>
              </w:rPr>
            </w:pPr>
            <w:r w:rsidRPr="000E1704">
              <w:rPr>
                <w:rFonts w:ascii="Verdana" w:eastAsia="Calibri" w:hAnsi="Verdana" w:cs="Arial"/>
                <w:lang w:val="es-ES" w:eastAsia="es-ES"/>
              </w:rPr>
              <w:t xml:space="preserve">El acta de inicio constituye un requisito de ejecución convencional, que se pacta en la minuta del contrato o que el contratista acepta, adhiriéndose al clausulado del pliego de condiciones o documento equivalente. </w:t>
            </w:r>
            <w:r w:rsidR="00300664" w:rsidRPr="00B41137">
              <w:rPr>
                <w:rFonts w:ascii="Verdana" w:eastAsia="Calibri" w:hAnsi="Verdana" w:cs="Arial"/>
                <w:lang w:val="es-ES_tradnl" w:eastAsia="en-GB"/>
              </w:rPr>
              <w:t>Será de obligatorio cumplimiento en la medida en que se encuentre pactado en los mencionados documentos.</w:t>
            </w:r>
          </w:p>
          <w:p w14:paraId="006032EE" w14:textId="6ED7177D" w:rsidR="00F03C94" w:rsidRPr="000E1704" w:rsidRDefault="00300664" w:rsidP="00B41137">
            <w:pPr>
              <w:spacing w:after="120" w:line="276" w:lineRule="auto"/>
              <w:ind w:firstLine="709"/>
              <w:jc w:val="both"/>
              <w:rPr>
                <w:rFonts w:ascii="Verdana" w:eastAsia="Calibri" w:hAnsi="Verdana" w:cs="Arial"/>
                <w:lang w:val="es-ES" w:eastAsia="es-ES"/>
              </w:rPr>
            </w:pPr>
            <w:r w:rsidRPr="009C5F2C">
              <w:rPr>
                <w:rFonts w:ascii="Verdana" w:eastAsia="Calibri" w:hAnsi="Verdana" w:cs="Arial"/>
                <w:lang w:val="es-ES" w:eastAsia="es-ES"/>
              </w:rPr>
              <w:t>E</w:t>
            </w:r>
            <w:r w:rsidR="00F03C94" w:rsidRPr="009C5F2C">
              <w:rPr>
                <w:rFonts w:ascii="Verdana" w:eastAsia="Calibri" w:hAnsi="Verdana" w:cs="Arial"/>
                <w:lang w:val="es-ES" w:eastAsia="es-ES"/>
              </w:rPr>
              <w:t>n</w:t>
            </w:r>
            <w:r w:rsidR="00F03C94" w:rsidRPr="000E1704">
              <w:rPr>
                <w:rFonts w:ascii="Verdana" w:eastAsia="Calibri" w:hAnsi="Verdana" w:cs="Arial"/>
                <w:lang w:val="es-ES" w:eastAsia="es-ES"/>
              </w:rPr>
              <w:t xml:space="preserve"> el lenguaje de la contratación estatal, el acta de inicio es un documento en el que se fija la fecha en la que comienza el cómputo del plazo 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w:t>
            </w:r>
            <w:r w:rsidR="00F03C94" w:rsidRPr="000E1704">
              <w:rPr>
                <w:rFonts w:ascii="Verdana" w:eastAsia="Calibri" w:hAnsi="Verdana" w:cs="Arial"/>
                <w:lang w:val="es-ES" w:eastAsia="es-ES"/>
              </w:rPr>
              <w:lastRenderedPageBreak/>
              <w:t>comenzarán a contabilizarse los días, meses o años que se hayan estipulado como período para el cumplimiento del objeto del contrato.</w:t>
            </w:r>
          </w:p>
          <w:p w14:paraId="60CB7AF0" w14:textId="77777777" w:rsidR="00300664" w:rsidRPr="009C5F2C" w:rsidRDefault="00F03C94" w:rsidP="00B41137">
            <w:pPr>
              <w:spacing w:after="120" w:line="276" w:lineRule="auto"/>
              <w:ind w:firstLine="709"/>
              <w:jc w:val="both"/>
              <w:rPr>
                <w:rFonts w:ascii="Verdana" w:eastAsia="Calibri" w:hAnsi="Verdana" w:cs="Arial"/>
                <w:lang w:val="es-ES" w:eastAsia="es-ES"/>
              </w:rPr>
            </w:pPr>
            <w:r w:rsidRPr="000E1704">
              <w:rPr>
                <w:rFonts w:ascii="Verdana" w:eastAsia="Calibri" w:hAnsi="Verdana" w:cs="Arial"/>
                <w:lang w:val="es-ES" w:eastAsia="es-ES"/>
              </w:rPr>
              <w:tab/>
              <w:t xml:space="preserve">El fundamento legal que habilita a las partes para establecer la suscripción del acta de inicio como un requisito de ejecución convencional, se encuentra en el segundo inciso del artículo 40 de la Ley 80 de 1993, el cual indica que “Las entidades podrán celebrar los contratos y acuerdos que permitan la autonomía de la voluntad y requieran el cumplimiento de los fines estatales”. </w:t>
            </w:r>
          </w:p>
          <w:p w14:paraId="058E88C4" w14:textId="75A54816" w:rsidR="00F03C94" w:rsidRPr="000E1704" w:rsidRDefault="00F03C94" w:rsidP="00B41137">
            <w:pPr>
              <w:spacing w:after="120" w:line="276" w:lineRule="auto"/>
              <w:ind w:firstLine="709"/>
              <w:jc w:val="both"/>
              <w:rPr>
                <w:rFonts w:ascii="Verdana" w:eastAsia="Calibri" w:hAnsi="Verdana" w:cs="Arial"/>
                <w:lang w:val="es-ES" w:eastAsia="es-ES"/>
              </w:rPr>
            </w:pPr>
            <w:r w:rsidRPr="000E1704">
              <w:rPr>
                <w:rFonts w:ascii="Verdana" w:eastAsia="Calibri" w:hAnsi="Verdana" w:cs="Arial"/>
                <w:lang w:val="es-ES" w:eastAsia="es-ES"/>
              </w:rPr>
              <w:t xml:space="preserve">Sin embargo,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EGCAP. En tal sentido, teniendo en cuenta que el artículo 41 de la Ley 80 de 1993 establece que los requisitos legales de ejecución de los contratos estatales son i) la aprobación de las garantías, </w:t>
            </w:r>
            <w:proofErr w:type="spellStart"/>
            <w:r w:rsidRPr="000E1704">
              <w:rPr>
                <w:rFonts w:ascii="Verdana" w:eastAsia="Calibri" w:hAnsi="Verdana" w:cs="Arial"/>
                <w:lang w:val="es-ES" w:eastAsia="es-ES"/>
              </w:rPr>
              <w:t>ii</w:t>
            </w:r>
            <w:proofErr w:type="spellEnd"/>
            <w:r w:rsidRPr="000E1704">
              <w:rPr>
                <w:rFonts w:ascii="Verdana" w:eastAsia="Calibri" w:hAnsi="Verdana" w:cs="Arial"/>
                <w:lang w:val="es-ES" w:eastAsia="es-ES"/>
              </w:rPr>
              <w:t xml:space="preserve">) la apropiación presupuestal y </w:t>
            </w:r>
            <w:proofErr w:type="spellStart"/>
            <w:r w:rsidRPr="000E1704">
              <w:rPr>
                <w:rFonts w:ascii="Verdana" w:eastAsia="Calibri" w:hAnsi="Verdana" w:cs="Arial"/>
                <w:lang w:val="es-ES" w:eastAsia="es-ES"/>
              </w:rPr>
              <w:t>iii</w:t>
            </w:r>
            <w:proofErr w:type="spellEnd"/>
            <w:r w:rsidRPr="000E1704">
              <w:rPr>
                <w:rFonts w:ascii="Verdana" w:eastAsia="Calibri" w:hAnsi="Verdana" w:cs="Arial"/>
                <w:lang w:val="es-ES" w:eastAsia="es-ES"/>
              </w:rPr>
              <w:t>) la acreditación del cumplimiento de las obligaciones con el Sistema de Seguridad Social Integral, las partes no pueden establecer que el contrato estatal comenzará su ejecución cuando se firme el acta de inicio omitiendo las tres exigencias legales.</w:t>
            </w:r>
          </w:p>
          <w:p w14:paraId="4630137B" w14:textId="624A9927" w:rsidR="00F03C94" w:rsidRPr="000E1704" w:rsidRDefault="00F03C94" w:rsidP="00F03C94">
            <w:pPr>
              <w:spacing w:before="120" w:line="276" w:lineRule="auto"/>
              <w:jc w:val="both"/>
              <w:rPr>
                <w:rFonts w:ascii="Verdana" w:eastAsia="Calibri" w:hAnsi="Verdana" w:cs="Arial"/>
                <w:lang w:val="es-ES" w:eastAsia="es-ES"/>
              </w:rPr>
            </w:pPr>
            <w:r w:rsidRPr="000E1704">
              <w:rPr>
                <w:rFonts w:ascii="Verdana" w:eastAsia="Calibri" w:hAnsi="Verdana" w:cs="Arial"/>
                <w:lang w:val="es-ES" w:eastAsia="es-ES"/>
              </w:rPr>
              <w:tab/>
              <w:t>En consecuencia, si se cumplen los requisitos legales consagrados en el artículo 41 de la Ley 80 de 1993 y se inicia la ejecución sin firmar el acta de inicio, bajo una justa causa, nada obsta para que la entidad contratante determine según sean las circunstancias del caso concreto, omitir el requisito y continuar con la ejecución. Lo anterior, en atención a que se trata de un requisito que más que exigir una condición o calidad adicional por parte del contratista, sólo pretende dar claridad del momento en que inicia la ejecución del contrato, esto, respecto de sus efectos jurídicos y prácticos, lo cual también cuenta con otros medios de prueba.</w:t>
            </w:r>
            <w:r w:rsidRPr="000E1704">
              <w:rPr>
                <w:rFonts w:ascii="Verdana" w:eastAsia="Calibri" w:hAnsi="Verdana" w:cs="Arial"/>
                <w:lang w:val="es-ES"/>
              </w:rPr>
              <w:t xml:space="preserve"> </w:t>
            </w:r>
          </w:p>
        </w:tc>
      </w:tr>
    </w:tbl>
    <w:p w14:paraId="616F93CA" w14:textId="77777777" w:rsidR="00F03C94" w:rsidRPr="000E1704" w:rsidRDefault="00F03C94" w:rsidP="00F03C94">
      <w:pPr>
        <w:tabs>
          <w:tab w:val="left" w:pos="142"/>
          <w:tab w:val="left" w:pos="284"/>
        </w:tabs>
        <w:spacing w:after="0" w:line="276" w:lineRule="auto"/>
        <w:jc w:val="both"/>
        <w:rPr>
          <w:rFonts w:ascii="Verdana" w:eastAsia="Century Gothic" w:hAnsi="Verdana" w:cs="Century Gothic"/>
          <w:b/>
          <w:bCs/>
          <w:lang w:val="es-ES"/>
        </w:rPr>
      </w:pPr>
    </w:p>
    <w:p w14:paraId="10859463" w14:textId="77777777" w:rsidR="00F03C94" w:rsidRPr="000E1704" w:rsidRDefault="00F03C94" w:rsidP="00515AC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E1704">
        <w:rPr>
          <w:rFonts w:ascii="Verdana" w:eastAsia="Century Gothic" w:hAnsi="Verdana" w:cs="Century Gothic"/>
          <w:b/>
          <w:bCs/>
        </w:rPr>
        <w:t>Razones de la respuesta:</w:t>
      </w:r>
    </w:p>
    <w:p w14:paraId="6F9A51EF" w14:textId="77777777" w:rsidR="00F03C94" w:rsidRPr="000E1704" w:rsidRDefault="00F03C94" w:rsidP="00F03C94">
      <w:pPr>
        <w:spacing w:after="0" w:line="276" w:lineRule="auto"/>
        <w:jc w:val="both"/>
        <w:rPr>
          <w:rFonts w:ascii="Verdana" w:eastAsia="Calibri" w:hAnsi="Verdana" w:cs="Arial"/>
          <w:lang w:val="es-ES"/>
        </w:rPr>
      </w:pPr>
    </w:p>
    <w:p w14:paraId="0E4631F7" w14:textId="77777777" w:rsidR="00F03C94" w:rsidRPr="000E1704" w:rsidRDefault="00F03C94" w:rsidP="00F03C94">
      <w:pPr>
        <w:spacing w:after="0" w:line="276" w:lineRule="auto"/>
        <w:jc w:val="both"/>
        <w:rPr>
          <w:rFonts w:ascii="Verdana" w:eastAsia="Calibri" w:hAnsi="Verdana" w:cs="Arial"/>
          <w:lang w:val="es-ES"/>
        </w:rPr>
      </w:pPr>
      <w:r w:rsidRPr="000E1704">
        <w:rPr>
          <w:rFonts w:ascii="Verdana" w:eastAsia="Calibri" w:hAnsi="Verdana" w:cs="Arial"/>
          <w:lang w:val="es-ES"/>
        </w:rPr>
        <w:t xml:space="preserve">Lo anterior se sustenta en las siguientes consideraciones: </w:t>
      </w:r>
    </w:p>
    <w:p w14:paraId="35F79930" w14:textId="77777777" w:rsidR="00F03C94" w:rsidRPr="000E1704" w:rsidRDefault="00F03C94" w:rsidP="00F03C94">
      <w:pPr>
        <w:spacing w:after="0" w:line="276" w:lineRule="auto"/>
        <w:jc w:val="both"/>
        <w:rPr>
          <w:rFonts w:ascii="Verdana" w:eastAsia="Calibri" w:hAnsi="Verdana" w:cs="Arial"/>
          <w:lang w:val="es-ES"/>
        </w:rPr>
      </w:pPr>
    </w:p>
    <w:p w14:paraId="7BD70DA8" w14:textId="34D3D73B" w:rsidR="001D5A22" w:rsidRPr="00515AC9" w:rsidRDefault="001D5A22" w:rsidP="00B41137">
      <w:pPr>
        <w:spacing w:after="120" w:line="276" w:lineRule="auto"/>
        <w:jc w:val="both"/>
        <w:rPr>
          <w:rFonts w:ascii="Verdana" w:eastAsia="Calibri" w:hAnsi="Verdana" w:cs="Arial"/>
          <w:lang w:val="es-ES"/>
        </w:rPr>
      </w:pPr>
      <w:r w:rsidRPr="573DC269">
        <w:rPr>
          <w:rFonts w:ascii="Verdana" w:eastAsia="Calibri" w:hAnsi="Verdana" w:cs="Arial"/>
          <w:lang w:val="es-ES"/>
        </w:rPr>
        <w:t>El Estatuto General de Contratación de la Administración Pública</w:t>
      </w:r>
      <w:r w:rsidR="00515AC9" w:rsidRPr="573DC269">
        <w:rPr>
          <w:rFonts w:ascii="Verdana" w:eastAsia="Calibri" w:hAnsi="Verdana" w:cs="Arial"/>
          <w:lang w:val="es-ES"/>
        </w:rPr>
        <w:t xml:space="preserve"> – en adelante EGCAP –</w:t>
      </w:r>
      <w:r w:rsidRPr="573DC269">
        <w:rPr>
          <w:rFonts w:ascii="Verdana" w:eastAsia="Calibri" w:hAnsi="Verdana" w:cs="Arial"/>
          <w:lang w:val="es-ES"/>
        </w:rPr>
        <w:t xml:space="preserve"> prevé</w:t>
      </w:r>
      <w:r w:rsidR="00515AC9" w:rsidRPr="573DC269">
        <w:rPr>
          <w:rFonts w:ascii="Verdana" w:eastAsia="Calibri" w:hAnsi="Verdana" w:cs="Arial"/>
          <w:lang w:val="es-ES"/>
        </w:rPr>
        <w:t xml:space="preserve"> </w:t>
      </w:r>
      <w:r w:rsidRPr="573DC269">
        <w:rPr>
          <w:rFonts w:ascii="Verdana" w:eastAsia="Calibri" w:hAnsi="Verdana" w:cs="Arial"/>
          <w:lang w:val="es-ES"/>
        </w:rPr>
        <w:t>dos tipos de exigencias en relación con los contratos estatales: (i) las relacionadas con el perfeccionamiento y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xml:space="preserve">) las que tienen que ver con la </w:t>
      </w:r>
      <w:r w:rsidRPr="573DC269">
        <w:rPr>
          <w:rFonts w:ascii="Verdana" w:eastAsia="Calibri" w:hAnsi="Verdana" w:cs="Arial"/>
          <w:lang w:val="es-ES"/>
        </w:rPr>
        <w:lastRenderedPageBreak/>
        <w:t xml:space="preserve">ejecución. Si bien ambas se complementan y marcan el origen de la fase contractual –o de ejecución–, es importante distinguirlas, ya que las consecuencias jurídicas que generan son diferentes. </w:t>
      </w:r>
    </w:p>
    <w:p w14:paraId="6F20F05D" w14:textId="77777777" w:rsidR="004819BA" w:rsidRDefault="001D5A22" w:rsidP="00B4113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w:t>
      </w:r>
      <w:r w:rsidRPr="00515AC9">
        <w:rPr>
          <w:rFonts w:ascii="Verdana" w:eastAsia="Calibri" w:hAnsi="Verdana" w:cs="Arial"/>
          <w:i/>
          <w:iCs/>
          <w:lang w:val="es-ES_tradnl"/>
        </w:rPr>
        <w:t>requisitos de perfeccionamiento</w:t>
      </w:r>
      <w:r w:rsidRPr="00515AC9">
        <w:rPr>
          <w:rFonts w:ascii="Verdana" w:eastAsia="Calibri" w:hAnsi="Verdana" w:cs="Arial"/>
          <w:lang w:val="es-ES_tradnl"/>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0433D6A7" w14:textId="3052AF6F" w:rsidR="001D5A22" w:rsidRPr="00515AC9" w:rsidRDefault="001D5A22" w:rsidP="00B4113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contrato</w:t>
      </w:r>
      <w:r w:rsidRPr="00515AC9">
        <w:rPr>
          <w:rStyle w:val="Refdenotaalpie"/>
          <w:rFonts w:ascii="Verdana" w:hAnsi="Verdana" w:cs="Arial"/>
        </w:rPr>
        <w:footnoteReference w:id="2"/>
      </w:r>
      <w:r w:rsidRPr="00515AC9">
        <w:rPr>
          <w:rFonts w:ascii="Verdana" w:eastAsia="Calibri" w:hAnsi="Verdana" w:cs="Arial"/>
          <w:lang w:val="es-ES_tradnl"/>
        </w:rPr>
        <w:t>. Los requisitos de perfeccionamiento del contrato estatal ingresan dentro de los elementos de la esencia.</w:t>
      </w:r>
    </w:p>
    <w:p w14:paraId="53BE7871" w14:textId="7C1E10CC" w:rsidR="001D5A22" w:rsidRPr="00515AC9" w:rsidRDefault="001D5A22" w:rsidP="00B4113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Además, los contratos –en términos generales– pueden ser: consensuales, reales o solemnes. Son </w:t>
      </w:r>
      <w:r w:rsidRPr="00515AC9">
        <w:rPr>
          <w:rFonts w:ascii="Verdana" w:eastAsia="Calibri" w:hAnsi="Verdana" w:cs="Arial"/>
          <w:i/>
          <w:iCs/>
          <w:lang w:val="es-ES_tradnl"/>
        </w:rPr>
        <w:t>consensuales</w:t>
      </w:r>
      <w:r w:rsidRPr="00515AC9">
        <w:rPr>
          <w:rFonts w:ascii="Verdana" w:eastAsia="Calibri" w:hAnsi="Verdana" w:cs="Arial"/>
          <w:lang w:val="es-ES_tradnl"/>
        </w:rPr>
        <w:t xml:space="preserve"> los que se perfeccionan con el consentimiento informal, pues no requieren de formalidades especiales. Son </w:t>
      </w:r>
      <w:r w:rsidRPr="00515AC9">
        <w:rPr>
          <w:rFonts w:ascii="Verdana" w:eastAsia="Calibri" w:hAnsi="Verdana" w:cs="Arial"/>
          <w:i/>
          <w:iCs/>
          <w:lang w:val="es-ES_tradnl"/>
        </w:rPr>
        <w:t>reales</w:t>
      </w:r>
      <w:r w:rsidRPr="00515AC9">
        <w:rPr>
          <w:rFonts w:ascii="Verdana" w:eastAsia="Calibri" w:hAnsi="Verdana" w:cs="Arial"/>
          <w:lang w:val="es-ES_tradnl"/>
        </w:rPr>
        <w:t xml:space="preserve"> aquellos que existen solo con la tradición o entrega de una cosa. Por su parte, son </w:t>
      </w:r>
      <w:r w:rsidRPr="00515AC9">
        <w:rPr>
          <w:rFonts w:ascii="Verdana" w:eastAsia="Calibri" w:hAnsi="Verdana" w:cs="Arial"/>
          <w:i/>
          <w:iCs/>
          <w:lang w:val="es-ES_tradnl"/>
        </w:rPr>
        <w:t>solemnes</w:t>
      </w:r>
      <w:r w:rsidRPr="00515AC9">
        <w:rPr>
          <w:rFonts w:ascii="Verdana" w:eastAsia="Calibri" w:hAnsi="Verdana" w:cs="Arial"/>
          <w:lang w:val="es-ES_tradnl"/>
        </w:rPr>
        <w:t xml:space="preserve"> aquellos contratos cuyo perfeccionamiento está revestido del cumplimiento de exigencias formales o ritualidades específicas</w:t>
      </w:r>
      <w:r w:rsidRPr="00515AC9">
        <w:rPr>
          <w:rStyle w:val="Refdenotaalpie"/>
          <w:rFonts w:ascii="Verdana" w:hAnsi="Verdana" w:cs="Arial"/>
        </w:rPr>
        <w:footnoteReference w:id="3"/>
      </w:r>
      <w:r w:rsidRPr="00515AC9">
        <w:rPr>
          <w:rFonts w:ascii="Verdana" w:eastAsia="Calibri" w:hAnsi="Verdana" w:cs="Arial"/>
          <w:lang w:val="es-ES_tradnl"/>
        </w:rPr>
        <w:t xml:space="preserve">. Pues bien, los contratos estatales regulados por el </w:t>
      </w:r>
      <w:r w:rsidR="002A7EFC">
        <w:rPr>
          <w:rFonts w:ascii="Verdana" w:eastAsia="Calibri" w:hAnsi="Verdana" w:cs="Arial"/>
          <w:lang w:val="es-ES_tradnl"/>
        </w:rPr>
        <w:t>EGC</w:t>
      </w:r>
      <w:r w:rsidR="004819BA">
        <w:rPr>
          <w:rFonts w:ascii="Verdana" w:eastAsia="Calibri" w:hAnsi="Verdana" w:cs="Arial"/>
          <w:lang w:val="es-ES_tradnl"/>
        </w:rPr>
        <w:t>AP</w:t>
      </w:r>
      <w:r w:rsidRPr="00515AC9">
        <w:rPr>
          <w:rFonts w:ascii="Verdana" w:eastAsia="Calibri" w:hAnsi="Verdana" w:cs="Arial"/>
          <w:lang w:val="es-ES_tradnl"/>
        </w:rPr>
        <w:t>, por regla general, son solemnes, ya que solo se entienden celebrados si se cumplen ciertas formalidades. Esta regla general solo tiene una excepción, como se explicará.</w:t>
      </w:r>
    </w:p>
    <w:p w14:paraId="02544A94" w14:textId="77777777" w:rsidR="004819BA" w:rsidRDefault="001D5A22" w:rsidP="00B4113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En efecto, el primer inciso del artículo 41 de la Ley 80 de 1993 establece que </w:t>
      </w:r>
      <w:r w:rsidR="004819BA">
        <w:rPr>
          <w:rFonts w:ascii="Verdana" w:eastAsia="Calibri" w:hAnsi="Verdana" w:cs="Arial"/>
          <w:lang w:val="es-ES_tradnl"/>
        </w:rPr>
        <w:t>“</w:t>
      </w:r>
      <w:r w:rsidRPr="00515AC9">
        <w:rPr>
          <w:rFonts w:ascii="Verdana" w:eastAsia="Calibri" w:hAnsi="Verdana" w:cs="Arial"/>
          <w:i/>
          <w:iCs/>
          <w:lang w:val="es-ES_tradnl"/>
        </w:rPr>
        <w:t>Los contratos del Estado se perfeccionan cuando se logre acuerdo sobre el objeto y la contraprestación y éste se eleve a escrito</w:t>
      </w:r>
      <w:r w:rsidR="004819BA">
        <w:rPr>
          <w:rFonts w:ascii="Verdana" w:eastAsia="Calibri" w:hAnsi="Verdana" w:cs="Arial"/>
          <w:lang w:val="es-ES_tradnl"/>
        </w:rPr>
        <w:t>”</w:t>
      </w:r>
      <w:r w:rsidRPr="00515AC9">
        <w:rPr>
          <w:rFonts w:ascii="Verdana" w:eastAsia="Calibri" w:hAnsi="Verdana" w:cs="Arial"/>
          <w:lang w:val="es-ES_tradnl"/>
        </w:rPr>
        <w:t xml:space="preserve">. Como se advierte, el legislador dispuso que para que el contrato estatal exista, no solo debe haber </w:t>
      </w:r>
      <w:r w:rsidRPr="00515AC9">
        <w:rPr>
          <w:rFonts w:ascii="Verdana" w:eastAsia="Calibri" w:hAnsi="Verdana" w:cs="Arial"/>
          <w:lang w:val="es-ES_tradnl"/>
        </w:rPr>
        <w:lastRenderedPageBreak/>
        <w:t xml:space="preserve">un acuerdo sobre la obligación principal del negocio –es decir, sobre el </w:t>
      </w:r>
      <w:r w:rsidR="004819BA">
        <w:rPr>
          <w:rFonts w:ascii="Verdana" w:eastAsia="Calibri" w:hAnsi="Verdana" w:cs="Arial"/>
          <w:lang w:val="es-ES_tradnl"/>
        </w:rPr>
        <w:t>“</w:t>
      </w:r>
      <w:r w:rsidRPr="00515AC9">
        <w:rPr>
          <w:rFonts w:ascii="Verdana" w:eastAsia="Calibri" w:hAnsi="Verdana" w:cs="Arial"/>
          <w:lang w:val="es-ES_tradnl"/>
        </w:rPr>
        <w:t>objeto</w:t>
      </w:r>
      <w:r w:rsidR="004819BA">
        <w:rPr>
          <w:rFonts w:ascii="Verdana" w:eastAsia="Calibri" w:hAnsi="Verdana" w:cs="Arial"/>
          <w:lang w:val="es-ES_tradnl"/>
        </w:rPr>
        <w:t>”</w:t>
      </w:r>
      <w:r w:rsidRPr="00515AC9">
        <w:rPr>
          <w:rFonts w:ascii="Verdana" w:eastAsia="Calibri" w:hAnsi="Verdana" w:cs="Arial"/>
          <w:lang w:val="es-ES_tradnl"/>
        </w:rPr>
        <w:t xml:space="preserve">– y sobre la contraprestación, sino que se debe plasmar por escrito. </w:t>
      </w:r>
    </w:p>
    <w:p w14:paraId="4D1F7498" w14:textId="60F3C9D7" w:rsidR="001D5A22" w:rsidRPr="00515AC9" w:rsidRDefault="001D5A22" w:rsidP="00B4113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Tal circunstancia le ha permitido a la doctrina concluir que el contrato estatal regulado en el Estatuto General de Contratación de la Administración Pública es </w:t>
      </w:r>
      <w:r w:rsidR="003353CE">
        <w:rPr>
          <w:rFonts w:ascii="Verdana" w:eastAsia="Calibri" w:hAnsi="Verdana" w:cs="Arial"/>
          <w:lang w:val="es-ES_tradnl"/>
        </w:rPr>
        <w:t>“</w:t>
      </w:r>
      <w:r w:rsidRPr="00515AC9">
        <w:rPr>
          <w:rFonts w:ascii="Verdana" w:eastAsia="Calibri" w:hAnsi="Verdana" w:cs="Arial"/>
          <w:lang w:val="es-ES_tradnl"/>
        </w:rPr>
        <w:t xml:space="preserve">[…] </w:t>
      </w:r>
      <w:r w:rsidRPr="00515AC9">
        <w:rPr>
          <w:rFonts w:ascii="Verdana" w:eastAsia="Calibri" w:hAnsi="Verdana" w:cs="Arial"/>
          <w:i/>
          <w:iCs/>
          <w:lang w:val="es-ES_tradnl"/>
        </w:rPr>
        <w:t xml:space="preserve">principalmente, solemne, ya que la manifestación de voluntad, si no se expresa bajo la forma ad </w:t>
      </w:r>
      <w:proofErr w:type="spellStart"/>
      <w:r w:rsidRPr="00515AC9">
        <w:rPr>
          <w:rFonts w:ascii="Verdana" w:eastAsia="Calibri" w:hAnsi="Verdana" w:cs="Arial"/>
          <w:i/>
          <w:iCs/>
          <w:lang w:val="es-ES_tradnl"/>
        </w:rPr>
        <w:t>solemnitatem</w:t>
      </w:r>
      <w:proofErr w:type="spellEnd"/>
      <w:r w:rsidRPr="00515AC9">
        <w:rPr>
          <w:rFonts w:ascii="Verdana" w:eastAsia="Calibri" w:hAnsi="Verdana" w:cs="Arial"/>
          <w:i/>
          <w:iCs/>
          <w:lang w:val="es-ES_tradnl"/>
        </w:rPr>
        <w:t xml:space="preserve"> o ad </w:t>
      </w:r>
      <w:proofErr w:type="spellStart"/>
      <w:r w:rsidRPr="00515AC9">
        <w:rPr>
          <w:rFonts w:ascii="Verdana" w:eastAsia="Calibri" w:hAnsi="Verdana" w:cs="Arial"/>
          <w:i/>
          <w:iCs/>
          <w:lang w:val="es-ES_tradnl"/>
        </w:rPr>
        <w:t>substantiam</w:t>
      </w:r>
      <w:proofErr w:type="spellEnd"/>
      <w:r w:rsidRPr="00515AC9">
        <w:rPr>
          <w:rFonts w:ascii="Verdana" w:eastAsia="Calibri" w:hAnsi="Verdana" w:cs="Arial"/>
          <w:i/>
          <w:iCs/>
          <w:lang w:val="es-ES_tradnl"/>
        </w:rPr>
        <w:t xml:space="preserve"> </w:t>
      </w:r>
      <w:proofErr w:type="spellStart"/>
      <w:r w:rsidRPr="00515AC9">
        <w:rPr>
          <w:rFonts w:ascii="Verdana" w:eastAsia="Calibri" w:hAnsi="Verdana" w:cs="Arial"/>
          <w:i/>
          <w:iCs/>
          <w:lang w:val="es-ES_tradnl"/>
        </w:rPr>
        <w:t>actus</w:t>
      </w:r>
      <w:proofErr w:type="spellEnd"/>
      <w:r w:rsidRPr="00515AC9">
        <w:rPr>
          <w:rFonts w:ascii="Verdana" w:eastAsia="Calibri" w:hAnsi="Verdana" w:cs="Arial"/>
          <w:i/>
          <w:iCs/>
          <w:lang w:val="es-ES_tradnl"/>
        </w:rPr>
        <w:t xml:space="preserve"> exigida por la ley, es inexistente, es decir, se entiende que el contrato jamás ha sido creado para el mundo jurídico</w:t>
      </w:r>
      <w:r w:rsidR="004516EA">
        <w:rPr>
          <w:rFonts w:ascii="Verdana" w:eastAsia="Calibri" w:hAnsi="Verdana" w:cs="Arial"/>
          <w:i/>
          <w:iCs/>
          <w:lang w:val="es-ES_tradnl"/>
        </w:rPr>
        <w:t>”</w:t>
      </w:r>
      <w:r w:rsidRPr="00515AC9">
        <w:rPr>
          <w:rStyle w:val="Refdenotaalpie"/>
          <w:rFonts w:ascii="Verdana" w:hAnsi="Verdana" w:cs="Arial"/>
        </w:rPr>
        <w:footnoteReference w:id="4"/>
      </w:r>
      <w:r w:rsidRPr="00515AC9">
        <w:rPr>
          <w:rFonts w:ascii="Verdana" w:eastAsia="Calibri" w:hAnsi="Verdana" w:cs="Arial"/>
          <w:lang w:val="es-ES_tradnl"/>
        </w:rPr>
        <w:t xml:space="preserve">. </w:t>
      </w:r>
    </w:p>
    <w:p w14:paraId="4AC8DA7D" w14:textId="2C1894BD" w:rsidR="001D5A22" w:rsidRPr="00515AC9" w:rsidRDefault="001D5A22" w:rsidP="00B41137">
      <w:pPr>
        <w:spacing w:after="120" w:line="276" w:lineRule="auto"/>
        <w:ind w:firstLine="709"/>
        <w:jc w:val="both"/>
        <w:rPr>
          <w:rFonts w:ascii="Verdana" w:eastAsia="Calibri" w:hAnsi="Verdana" w:cs="Arial"/>
          <w:lang w:val="es-ES"/>
        </w:rPr>
      </w:pPr>
      <w:r w:rsidRPr="573DC269">
        <w:rPr>
          <w:rFonts w:ascii="Verdana" w:eastAsia="Calibri" w:hAnsi="Verdana" w:cs="Arial"/>
          <w:lang w:val="es-ES"/>
        </w:rPr>
        <w:t xml:space="preserve">La excepción a </w:t>
      </w:r>
      <w:r w:rsidR="004819BA" w:rsidRPr="573DC269">
        <w:rPr>
          <w:rFonts w:ascii="Verdana" w:eastAsia="Calibri" w:hAnsi="Verdana" w:cs="Arial"/>
          <w:lang w:val="es-ES"/>
        </w:rPr>
        <w:t xml:space="preserve">la anterior </w:t>
      </w:r>
      <w:r w:rsidRPr="573DC269">
        <w:rPr>
          <w:rFonts w:ascii="Verdana" w:eastAsia="Calibri" w:hAnsi="Verdana" w:cs="Arial"/>
          <w:lang w:val="es-ES"/>
        </w:rPr>
        <w:t xml:space="preserve">regla se encuentra en el cuarto inciso del mismo artículo, según el cual, </w:t>
      </w:r>
      <w:r w:rsidR="004819BA" w:rsidRPr="573DC269">
        <w:rPr>
          <w:rFonts w:ascii="Verdana" w:eastAsia="Calibri" w:hAnsi="Verdana" w:cs="Arial"/>
          <w:lang w:val="es-ES"/>
        </w:rPr>
        <w:t>“</w:t>
      </w:r>
      <w:r w:rsidRPr="573DC269">
        <w:rPr>
          <w:rFonts w:ascii="Verdana" w:eastAsia="Calibri" w:hAnsi="Verdana" w:cs="Arial"/>
          <w:i/>
          <w:iCs/>
          <w:lang w:val="es-ES"/>
        </w:rPr>
        <w:t>En caso de situaciones de urgencia manifiesta a que se refiere el artículo </w:t>
      </w:r>
      <w:hyperlink r:id="rId12" w:anchor="42" w:history="1">
        <w:r w:rsidRPr="00B41137">
          <w:rPr>
            <w:rStyle w:val="Hipervnculo"/>
            <w:rFonts w:ascii="Verdana" w:eastAsia="Calibri" w:hAnsi="Verdana" w:cs="Arial"/>
            <w:i/>
            <w:iCs/>
            <w:color w:val="auto"/>
            <w:u w:val="none"/>
            <w:lang w:val="es-ES"/>
          </w:rPr>
          <w:t>42</w:t>
        </w:r>
      </w:hyperlink>
      <w:r w:rsidRPr="573DC269">
        <w:rPr>
          <w:rFonts w:ascii="Verdana" w:eastAsia="Calibri" w:hAnsi="Verdana" w:cs="Arial"/>
          <w:i/>
          <w:iCs/>
          <w:lang w:val="es-ES"/>
        </w:rPr>
        <w:t> de esta ley que no permitan la suscripción de contrato escrito, se prescindirá de éste y aún del acuerdo acerca de la remuneración, no obstante, deberá dejarse constancia escrita de la autorización impartida por la entidad estatal contratante</w:t>
      </w:r>
      <w:r w:rsidR="004819BA" w:rsidRPr="573DC269">
        <w:rPr>
          <w:rFonts w:ascii="Verdana" w:eastAsia="Calibri" w:hAnsi="Verdana" w:cs="Arial"/>
          <w:lang w:val="es-ES"/>
        </w:rPr>
        <w:t>”</w:t>
      </w:r>
      <w:r w:rsidRPr="573DC269">
        <w:rPr>
          <w:rFonts w:ascii="Verdana" w:eastAsia="Calibri" w:hAnsi="Verdana" w:cs="Arial"/>
          <w:lang w:val="es-ES"/>
        </w:rPr>
        <w:t>. En otras palabras, por regla general, los contratos estatales deben constar por escrito, salvo que se presente una situación de urgencia manifiesta en la que no haya tiempo de cumplir con esta formalidad.</w:t>
      </w:r>
    </w:p>
    <w:p w14:paraId="74AB66E2" w14:textId="20074C12" w:rsidR="001D5A22" w:rsidRPr="00515AC9" w:rsidRDefault="00C978AE" w:rsidP="00B41137">
      <w:pPr>
        <w:spacing w:after="0"/>
        <w:ind w:firstLine="708"/>
        <w:jc w:val="both"/>
        <w:rPr>
          <w:rFonts w:ascii="Verdana" w:eastAsia="Calibri" w:hAnsi="Verdana" w:cs="Arial"/>
        </w:rPr>
      </w:pPr>
      <w:r>
        <w:rPr>
          <w:rFonts w:ascii="Verdana" w:eastAsia="Calibri" w:hAnsi="Verdana" w:cs="Arial"/>
          <w:lang w:val="es-ES_tradnl"/>
        </w:rPr>
        <w:t>Ahora bien, en relación con</w:t>
      </w:r>
      <w:r w:rsidR="001D5A22" w:rsidRPr="00515AC9">
        <w:rPr>
          <w:rFonts w:ascii="Verdana" w:eastAsia="Calibri" w:hAnsi="Verdana" w:cs="Arial"/>
          <w:lang w:val="es-ES_tradnl"/>
        </w:rPr>
        <w:t xml:space="preserve"> los </w:t>
      </w:r>
      <w:r w:rsidR="001D5A22" w:rsidRPr="00515AC9">
        <w:rPr>
          <w:rFonts w:ascii="Verdana" w:eastAsia="Calibri" w:hAnsi="Verdana" w:cs="Arial"/>
          <w:i/>
          <w:iCs/>
          <w:lang w:val="es-ES_tradnl"/>
        </w:rPr>
        <w:t>requisitos de ejecución</w:t>
      </w:r>
      <w:r>
        <w:rPr>
          <w:rFonts w:ascii="Verdana" w:eastAsia="Calibri" w:hAnsi="Verdana" w:cs="Arial"/>
          <w:lang w:val="es-ES_tradnl"/>
        </w:rPr>
        <w:t xml:space="preserve"> debe señalarse que</w:t>
      </w:r>
      <w:r w:rsidR="000A0056">
        <w:rPr>
          <w:rFonts w:ascii="Verdana" w:eastAsia="Calibri" w:hAnsi="Verdana" w:cs="Arial"/>
          <w:lang w:val="es-ES_tradnl"/>
        </w:rPr>
        <w:t>,</w:t>
      </w:r>
      <w:r>
        <w:rPr>
          <w:rFonts w:ascii="Verdana" w:eastAsia="Calibri" w:hAnsi="Verdana" w:cs="Arial"/>
          <w:lang w:val="es-ES_tradnl"/>
        </w:rPr>
        <w:t xml:space="preserve"> </w:t>
      </w:r>
      <w:r w:rsidR="000A0B07">
        <w:rPr>
          <w:rFonts w:ascii="Verdana" w:eastAsia="Calibri" w:hAnsi="Verdana" w:cs="Arial"/>
          <w:lang w:val="es-ES_tradnl"/>
        </w:rPr>
        <w:t>estos</w:t>
      </w:r>
      <w:r w:rsidR="000A0B07" w:rsidRPr="00515AC9">
        <w:rPr>
          <w:rFonts w:ascii="Verdana" w:eastAsia="Calibri" w:hAnsi="Verdana" w:cs="Arial"/>
          <w:lang w:val="es-ES_tradnl"/>
        </w:rPr>
        <w:t xml:space="preserve"> posibilitan</w:t>
      </w:r>
      <w:r w:rsidR="001D5A22" w:rsidRPr="00515AC9">
        <w:rPr>
          <w:rFonts w:ascii="Verdana" w:eastAsia="Calibri" w:hAnsi="Verdana" w:cs="Arial"/>
          <w:lang w:val="es-ES_tradnl"/>
        </w:rPr>
        <w:t xml:space="preserve">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r w:rsidR="000A0B07">
        <w:rPr>
          <w:rFonts w:ascii="Verdana" w:eastAsia="Calibri" w:hAnsi="Verdana" w:cs="Arial"/>
          <w:lang w:val="es-ES_tradnl"/>
        </w:rPr>
        <w:t xml:space="preserve">. </w:t>
      </w:r>
      <w:r w:rsidR="001D5A22" w:rsidRPr="00515AC9">
        <w:rPr>
          <w:rFonts w:ascii="Verdana" w:eastAsia="Calibri" w:hAnsi="Verdana" w:cs="Arial"/>
          <w:lang w:val="es-ES_tradnl"/>
        </w:rPr>
        <w:t xml:space="preserve">Sobre el particular, </w:t>
      </w:r>
      <w:r w:rsidR="001D5A22" w:rsidRPr="00515AC9">
        <w:rPr>
          <w:rFonts w:ascii="Verdana" w:eastAsia="Calibri" w:hAnsi="Verdana" w:cs="Arial"/>
        </w:rPr>
        <w:t>el Consejo de Estado aclaró la diferencia entre el perfeccionamiento y la ejecución del contrato, de la siguiente manera:</w:t>
      </w:r>
    </w:p>
    <w:p w14:paraId="6E96D479" w14:textId="77777777" w:rsidR="001D5A22" w:rsidRPr="00515AC9" w:rsidRDefault="001D5A22" w:rsidP="00515AC9">
      <w:pPr>
        <w:spacing w:after="0"/>
        <w:jc w:val="both"/>
        <w:rPr>
          <w:rFonts w:ascii="Verdana" w:eastAsia="Calibri" w:hAnsi="Verdana" w:cs="Arial"/>
        </w:rPr>
      </w:pPr>
    </w:p>
    <w:p w14:paraId="2B622736" w14:textId="3B81CFB4" w:rsidR="001D5A22" w:rsidRPr="00B41137" w:rsidRDefault="004516EA" w:rsidP="00515AC9">
      <w:pPr>
        <w:spacing w:after="0"/>
        <w:ind w:left="708" w:right="709"/>
        <w:jc w:val="both"/>
        <w:rPr>
          <w:rFonts w:ascii="Verdana" w:eastAsia="Calibri" w:hAnsi="Verdana" w:cs="Arial"/>
          <w:sz w:val="20"/>
          <w:szCs w:val="20"/>
          <w:lang w:val="es-ES_tradnl"/>
        </w:rPr>
      </w:pPr>
      <w:r w:rsidRPr="00B41137">
        <w:rPr>
          <w:rFonts w:ascii="Verdana" w:eastAsia="Calibri" w:hAnsi="Verdana" w:cs="Arial"/>
          <w:sz w:val="20"/>
          <w:szCs w:val="20"/>
          <w:lang w:val="es-ES_tradnl"/>
        </w:rPr>
        <w:t>“</w:t>
      </w:r>
      <w:r w:rsidR="001D5A22" w:rsidRPr="00B41137">
        <w:rPr>
          <w:rFonts w:ascii="Verdana" w:eastAsia="Calibri" w:hAnsi="Verdana" w:cs="Arial"/>
          <w:i/>
          <w:iCs/>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001D5A22" w:rsidRPr="00B41137">
        <w:rPr>
          <w:rFonts w:ascii="Verdana" w:eastAsia="Calibri" w:hAnsi="Verdana" w:cs="Arial"/>
          <w:i/>
          <w:iCs/>
          <w:sz w:val="20"/>
          <w:szCs w:val="20"/>
        </w:rPr>
        <w:t>ii</w:t>
      </w:r>
      <w:proofErr w:type="spellEnd"/>
      <w:r w:rsidR="001D5A22" w:rsidRPr="00B41137">
        <w:rPr>
          <w:rFonts w:ascii="Verdana" w:eastAsia="Calibri" w:hAnsi="Verdana" w:cs="Arial"/>
          <w:i/>
          <w:iCs/>
          <w:sz w:val="20"/>
          <w:szCs w:val="20"/>
        </w:rPr>
        <w:t xml:space="preserve">) por virtud de lo dispuesto en la Ley 80 de 1993 el contrato estatal existe, esto es, “se perfecciona” cuando “se logra acuerdo sobre el objeto y la contraprestación y éste se eleve a escrito”; </w:t>
      </w:r>
      <w:proofErr w:type="spellStart"/>
      <w:r w:rsidR="001D5A22" w:rsidRPr="00B41137">
        <w:rPr>
          <w:rFonts w:ascii="Verdana" w:eastAsia="Calibri" w:hAnsi="Verdana" w:cs="Arial"/>
          <w:i/>
          <w:iCs/>
          <w:sz w:val="20"/>
          <w:szCs w:val="20"/>
        </w:rPr>
        <w:t>iii</w:t>
      </w:r>
      <w:proofErr w:type="spellEnd"/>
      <w:r w:rsidR="001D5A22" w:rsidRPr="00B41137">
        <w:rPr>
          <w:rFonts w:ascii="Verdana" w:eastAsia="Calibri" w:hAnsi="Verdana" w:cs="Arial"/>
          <w:i/>
          <w:iCs/>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001D5A22" w:rsidRPr="00B41137">
        <w:rPr>
          <w:rFonts w:ascii="Verdana" w:eastAsia="Calibri" w:hAnsi="Verdana" w:cs="Arial"/>
          <w:i/>
          <w:iCs/>
          <w:sz w:val="20"/>
          <w:szCs w:val="20"/>
        </w:rPr>
        <w:t>iv</w:t>
      </w:r>
      <w:proofErr w:type="spellEnd"/>
      <w:r w:rsidR="001D5A22" w:rsidRPr="00B41137">
        <w:rPr>
          <w:rFonts w:ascii="Verdana" w:eastAsia="Calibri" w:hAnsi="Verdana" w:cs="Arial"/>
          <w:i/>
          <w:iCs/>
          <w:sz w:val="20"/>
          <w:szCs w:val="20"/>
        </w:rPr>
        <w:t xml:space="preserve">) el requisito relativo al </w:t>
      </w:r>
      <w:r w:rsidR="001D5A22" w:rsidRPr="00B41137">
        <w:rPr>
          <w:rFonts w:ascii="Verdana" w:eastAsia="Calibri" w:hAnsi="Verdana" w:cs="Arial"/>
          <w:i/>
          <w:iCs/>
          <w:sz w:val="20"/>
          <w:szCs w:val="20"/>
        </w:rPr>
        <w:lastRenderedPageBreak/>
        <w:t>registro presupuestal no es una condición de existencia del contrato estatal, es un requisito de ejecución</w:t>
      </w:r>
      <w:r w:rsidRPr="00B41137">
        <w:rPr>
          <w:rFonts w:ascii="Verdana" w:eastAsia="Calibri" w:hAnsi="Verdana" w:cs="Arial"/>
          <w:sz w:val="20"/>
          <w:szCs w:val="20"/>
        </w:rPr>
        <w:t>”</w:t>
      </w:r>
      <w:r w:rsidR="001D5A22" w:rsidRPr="00B41137">
        <w:rPr>
          <w:rStyle w:val="Refdenotaalpie"/>
          <w:rFonts w:ascii="Verdana" w:hAnsi="Verdana" w:cs="Arial"/>
          <w:sz w:val="20"/>
          <w:szCs w:val="20"/>
        </w:rPr>
        <w:footnoteReference w:id="5"/>
      </w:r>
      <w:r w:rsidR="001D5A22" w:rsidRPr="00B41137">
        <w:rPr>
          <w:rFonts w:ascii="Verdana" w:eastAsia="Calibri" w:hAnsi="Verdana" w:cs="Arial"/>
          <w:i/>
          <w:iCs/>
          <w:sz w:val="20"/>
          <w:szCs w:val="20"/>
        </w:rPr>
        <w:t>.</w:t>
      </w:r>
    </w:p>
    <w:p w14:paraId="6F8702D4" w14:textId="77777777" w:rsidR="001D5A22" w:rsidRPr="00515AC9" w:rsidRDefault="001D5A22" w:rsidP="00B41137">
      <w:pPr>
        <w:spacing w:after="0" w:line="276" w:lineRule="auto"/>
        <w:ind w:left="708"/>
        <w:jc w:val="both"/>
        <w:rPr>
          <w:rFonts w:ascii="Verdana" w:eastAsia="Calibri" w:hAnsi="Verdana" w:cs="Arial"/>
          <w:i/>
          <w:iCs/>
        </w:rPr>
      </w:pPr>
    </w:p>
    <w:p w14:paraId="29847268" w14:textId="665BD729" w:rsidR="001D5A22" w:rsidRPr="00515AC9" w:rsidRDefault="001D5A22" w:rsidP="00B41137">
      <w:pPr>
        <w:spacing w:after="120"/>
        <w:ind w:firstLine="708"/>
        <w:jc w:val="both"/>
        <w:rPr>
          <w:rFonts w:ascii="Verdana" w:eastAsia="Calibri" w:hAnsi="Verdana" w:cs="Arial"/>
          <w:lang w:val="es-ES"/>
        </w:rPr>
      </w:pPr>
      <w:r w:rsidRPr="00B41137">
        <w:rPr>
          <w:rFonts w:ascii="Verdana" w:eastAsia="Calibri" w:hAnsi="Verdana" w:cs="Arial"/>
          <w:lang w:val="es-ES"/>
        </w:rPr>
        <w:t>En</w:t>
      </w:r>
      <w:r w:rsidRPr="573DC269">
        <w:rPr>
          <w:rFonts w:ascii="Verdana" w:eastAsia="Calibri" w:hAnsi="Verdana" w:cs="Arial"/>
          <w:lang w:val="es-ES"/>
        </w:rPr>
        <w:t xml:space="preserve"> ese orden, los requisitos de ejecución de los contratos estatales pueden ser </w:t>
      </w:r>
      <w:r w:rsidR="00456536" w:rsidRPr="573DC269">
        <w:rPr>
          <w:rFonts w:ascii="Verdana" w:eastAsia="Calibri" w:hAnsi="Verdana" w:cs="Arial"/>
          <w:lang w:val="es-ES"/>
        </w:rPr>
        <w:t>“</w:t>
      </w:r>
      <w:r w:rsidRPr="573DC269">
        <w:rPr>
          <w:rFonts w:ascii="Verdana" w:eastAsia="Calibri" w:hAnsi="Verdana" w:cs="Arial"/>
          <w:lang w:val="es-ES"/>
        </w:rPr>
        <w:t>legales</w:t>
      </w:r>
      <w:r w:rsidR="00456536" w:rsidRPr="573DC269">
        <w:rPr>
          <w:rFonts w:ascii="Verdana" w:eastAsia="Calibri" w:hAnsi="Verdana" w:cs="Arial"/>
          <w:lang w:val="es-ES"/>
        </w:rPr>
        <w:t>”</w:t>
      </w:r>
      <w:r w:rsidRPr="573DC269">
        <w:rPr>
          <w:rFonts w:ascii="Verdana" w:eastAsia="Calibri" w:hAnsi="Verdana" w:cs="Arial"/>
          <w:lang w:val="es-ES"/>
        </w:rPr>
        <w:t xml:space="preserve"> o </w:t>
      </w:r>
      <w:r w:rsidR="00456536" w:rsidRPr="573DC269">
        <w:rPr>
          <w:rFonts w:ascii="Verdana" w:eastAsia="Calibri" w:hAnsi="Verdana" w:cs="Arial"/>
          <w:lang w:val="es-ES"/>
        </w:rPr>
        <w:t>“</w:t>
      </w:r>
      <w:r w:rsidRPr="573DC269">
        <w:rPr>
          <w:rFonts w:ascii="Verdana" w:eastAsia="Calibri" w:hAnsi="Verdana" w:cs="Arial"/>
          <w:lang w:val="es-ES"/>
        </w:rPr>
        <w:t>convencionales</w:t>
      </w:r>
      <w:r w:rsidR="00456536" w:rsidRPr="573DC269">
        <w:rPr>
          <w:rFonts w:ascii="Verdana" w:eastAsia="Calibri" w:hAnsi="Verdana" w:cs="Arial"/>
          <w:lang w:val="es-ES"/>
        </w:rPr>
        <w:t>”</w:t>
      </w:r>
      <w:r w:rsidRPr="573DC269">
        <w:rPr>
          <w:rFonts w:ascii="Verdana" w:eastAsia="Calibri" w:hAnsi="Verdana" w:cs="Arial"/>
          <w:lang w:val="es-ES"/>
        </w:rPr>
        <w:t xml:space="preserve">.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Teniendo en cuenta que en la consulta se indaga por el acta de inicio, es importante precisar si se trata de </w:t>
      </w:r>
      <w:r w:rsidR="000B7EF7" w:rsidRPr="573DC269">
        <w:rPr>
          <w:rFonts w:ascii="Verdana" w:eastAsia="Calibri" w:hAnsi="Verdana" w:cs="Arial"/>
          <w:lang w:val="es-ES"/>
        </w:rPr>
        <w:t xml:space="preserve">un </w:t>
      </w:r>
      <w:r w:rsidRPr="573DC269">
        <w:rPr>
          <w:rFonts w:ascii="Verdana" w:eastAsia="Calibri" w:hAnsi="Verdana" w:cs="Arial"/>
          <w:lang w:val="es-ES"/>
        </w:rPr>
        <w:t xml:space="preserve">requisito de ejecución legal o convencional. </w:t>
      </w:r>
    </w:p>
    <w:p w14:paraId="1A880C8B" w14:textId="77777777" w:rsidR="001D5A22" w:rsidRPr="00515AC9" w:rsidRDefault="001D5A22" w:rsidP="00515AC9">
      <w:pPr>
        <w:spacing w:after="0"/>
        <w:ind w:firstLine="708"/>
        <w:jc w:val="both"/>
        <w:rPr>
          <w:rFonts w:ascii="Verdana" w:eastAsia="Calibri" w:hAnsi="Verdana" w:cs="Arial"/>
          <w:lang w:val="es-ES_tradnl"/>
        </w:rPr>
      </w:pPr>
      <w:r w:rsidRPr="00515AC9">
        <w:rPr>
          <w:rFonts w:ascii="Verdana" w:eastAsia="Calibri" w:hAnsi="Verdana" w:cs="Arial"/>
          <w:lang w:val="es-ES_tradnl"/>
        </w:rPr>
        <w:t>Para dilucidar lo anterior, conviene hacer referencia al segundo inciso del artículo 41 de la Ley 80 de 1993</w:t>
      </w:r>
      <w:r w:rsidRPr="00515AC9">
        <w:rPr>
          <w:rFonts w:ascii="Verdana" w:eastAsia="Calibri" w:hAnsi="Verdana" w:cs="Arial"/>
        </w:rPr>
        <w:t>, modificado por el artículo 23 de la Ley 1150 de 2007</w:t>
      </w:r>
      <w:r w:rsidRPr="00515AC9">
        <w:rPr>
          <w:rFonts w:ascii="Verdana" w:eastAsia="Calibri" w:hAnsi="Verdana" w:cs="Arial"/>
          <w:lang w:val="es-ES_tradnl"/>
        </w:rPr>
        <w:t xml:space="preserve">. Esta disposición normativa establece los requisitos </w:t>
      </w:r>
      <w:r w:rsidRPr="00515AC9">
        <w:rPr>
          <w:rFonts w:ascii="Verdana" w:eastAsia="Calibri" w:hAnsi="Verdana" w:cs="Arial"/>
          <w:i/>
          <w:iCs/>
          <w:lang w:val="es-ES_tradnl"/>
        </w:rPr>
        <w:t xml:space="preserve">legales </w:t>
      </w:r>
      <w:r w:rsidRPr="00515AC9">
        <w:rPr>
          <w:rFonts w:ascii="Verdana" w:eastAsia="Calibri" w:hAnsi="Verdana" w:cs="Arial"/>
          <w:lang w:val="es-ES_tradnl"/>
        </w:rPr>
        <w:t>de la siguiente manera:</w:t>
      </w:r>
    </w:p>
    <w:p w14:paraId="7055E505" w14:textId="77777777" w:rsidR="001D5A22" w:rsidRPr="00515AC9" w:rsidRDefault="001D5A22" w:rsidP="00B41137">
      <w:pPr>
        <w:spacing w:after="0" w:line="276" w:lineRule="auto"/>
        <w:jc w:val="both"/>
        <w:rPr>
          <w:rFonts w:ascii="Verdana" w:eastAsia="Calibri" w:hAnsi="Verdana" w:cs="Arial"/>
          <w:i/>
          <w:iCs/>
        </w:rPr>
      </w:pPr>
    </w:p>
    <w:p w14:paraId="2A3FD752" w14:textId="41A96C5C" w:rsidR="001D5A22" w:rsidRPr="00B41137" w:rsidRDefault="000B7EF7" w:rsidP="00B41137">
      <w:pPr>
        <w:spacing w:after="0" w:line="240" w:lineRule="auto"/>
        <w:ind w:left="709" w:right="709"/>
        <w:jc w:val="both"/>
        <w:rPr>
          <w:rFonts w:ascii="Verdana" w:eastAsia="Calibri" w:hAnsi="Verdana" w:cs="Arial"/>
          <w:sz w:val="20"/>
          <w:szCs w:val="20"/>
        </w:rPr>
      </w:pPr>
      <w:r w:rsidRPr="00B41137">
        <w:rPr>
          <w:rFonts w:ascii="Verdana" w:eastAsia="Calibri" w:hAnsi="Verdana" w:cs="Arial"/>
          <w:sz w:val="20"/>
          <w:szCs w:val="20"/>
        </w:rPr>
        <w:t>“</w:t>
      </w:r>
      <w:r w:rsidR="001D5A22" w:rsidRPr="00B41137">
        <w:rPr>
          <w:rFonts w:ascii="Verdana" w:eastAsia="Calibri" w:hAnsi="Verdana" w:cs="Arial"/>
          <w:sz w:val="20"/>
          <w:szCs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r w:rsidRPr="00B41137">
        <w:rPr>
          <w:rFonts w:ascii="Verdana" w:eastAsia="Calibri" w:hAnsi="Verdana" w:cs="Arial"/>
          <w:sz w:val="20"/>
          <w:szCs w:val="20"/>
        </w:rPr>
        <w:t xml:space="preserve">”. </w:t>
      </w:r>
    </w:p>
    <w:p w14:paraId="6E342AD8" w14:textId="77777777" w:rsidR="001D5A22" w:rsidRPr="00515AC9" w:rsidRDefault="001D5A22" w:rsidP="00B41137">
      <w:pPr>
        <w:spacing w:after="0" w:line="276" w:lineRule="auto"/>
        <w:jc w:val="both"/>
        <w:rPr>
          <w:rFonts w:ascii="Verdana" w:eastAsia="Calibri" w:hAnsi="Verdana" w:cs="Arial"/>
          <w:lang w:val="es-ES_tradnl"/>
        </w:rPr>
      </w:pPr>
    </w:p>
    <w:p w14:paraId="625C9A4D" w14:textId="77777777" w:rsidR="001D5A22" w:rsidRPr="00515AC9" w:rsidRDefault="001D5A22" w:rsidP="00B41137">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r>
        <w:tab/>
      </w:r>
    </w:p>
    <w:p w14:paraId="122646F5" w14:textId="3F42D849" w:rsidR="001D5A22" w:rsidRPr="00515AC9" w:rsidRDefault="001D5A22" w:rsidP="00B41137">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 xml:space="preserve">aquellos que no se encuentran consagrados en la </w:t>
      </w:r>
      <w:r w:rsidR="001735B9" w:rsidRPr="573DC269">
        <w:rPr>
          <w:rFonts w:ascii="Verdana" w:eastAsia="Calibri" w:hAnsi="Verdana" w:cs="Arial"/>
          <w:lang w:val="es-ES"/>
        </w:rPr>
        <w:t>ley,</w:t>
      </w:r>
      <w:r w:rsidRPr="573DC269">
        <w:rPr>
          <w:rFonts w:ascii="Verdana" w:eastAsia="Calibri" w:hAnsi="Verdana" w:cs="Arial"/>
          <w:lang w:val="es-ES"/>
        </w:rPr>
        <w:t xml:space="preserve"> sino que se pactan en la minuta del contrato o que el contratista acepta al momento de adherirse al clausulado del pliego de condiciones o documento equivalente.</w:t>
      </w:r>
    </w:p>
    <w:p w14:paraId="1149CD2A" w14:textId="77777777" w:rsidR="001D5A22" w:rsidRPr="00515AC9" w:rsidRDefault="001D5A22" w:rsidP="00B41137">
      <w:pPr>
        <w:spacing w:after="120" w:line="276" w:lineRule="auto"/>
        <w:ind w:firstLine="708"/>
        <w:jc w:val="both"/>
        <w:rPr>
          <w:rFonts w:ascii="Verdana" w:eastAsia="Calibri" w:hAnsi="Verdana" w:cs="Arial"/>
          <w:lang w:val="es-ES_tradnl"/>
        </w:rPr>
      </w:pPr>
      <w:r w:rsidRPr="00515AC9">
        <w:rPr>
          <w:rFonts w:ascii="Verdana" w:eastAsia="Calibri" w:hAnsi="Verdana" w:cs="Arial"/>
          <w:lang w:val="es-ES_tradnl"/>
        </w:rPr>
        <w:t xml:space="preserve">Lo que tienen en común tales requisitos es que deben cumplirse para que inicie la ejecución del contrato, sin que por ello puedan considerarse elementos de la esencia –de perfeccionamiento– del negocio jurídico, ni de su validez. En </w:t>
      </w:r>
      <w:r w:rsidRPr="00515AC9">
        <w:rPr>
          <w:rFonts w:ascii="Verdana" w:eastAsia="Calibri" w:hAnsi="Verdana" w:cs="Arial"/>
          <w:lang w:val="es-ES_tradnl"/>
        </w:rPr>
        <w:lastRenderedPageBreak/>
        <w:t>otras palabras, un contrato estatal existe, así no se haya aprobado las garantías, o expedido el registro presupuestal, o a pesar de que el contratista no esté al día en el cumplimiento de sus obligaciones con el Sistema de Seguridad Social Integral, pero no puede comenzar a ejecutarse. Si aun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r w:rsidRPr="00515AC9">
        <w:rPr>
          <w:rStyle w:val="Refdenotaalpie"/>
          <w:rFonts w:ascii="Verdana" w:hAnsi="Verdana" w:cs="Arial"/>
        </w:rPr>
        <w:footnoteReference w:id="6"/>
      </w:r>
      <w:r w:rsidRPr="00515AC9">
        <w:rPr>
          <w:rFonts w:ascii="Verdana" w:eastAsia="Calibri" w:hAnsi="Verdana" w:cs="Arial"/>
          <w:lang w:val="es-ES_tradnl"/>
        </w:rPr>
        <w:t>.</w:t>
      </w:r>
    </w:p>
    <w:p w14:paraId="3B554CE0" w14:textId="13C066EF" w:rsidR="00F03C94" w:rsidRPr="000E1704" w:rsidRDefault="00F03C94" w:rsidP="00B41137">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Al no ser un requisito legal de ejecución de los contratos estatales –pues no se encuentra consagrado en la ley–, el acta de inicio constituye un requisito de ejecución convencional, que se pacta en la minuta del contrato o que el contratista acepta, adhiriéndose al clausulado del pliego de condiciones o documento equivalente. </w:t>
      </w:r>
    </w:p>
    <w:p w14:paraId="1EA70029" w14:textId="5BD8E03D" w:rsidR="00F03C94" w:rsidRPr="000E1704" w:rsidRDefault="00F03C94" w:rsidP="00B41137">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w:t>
      </w:r>
      <w:proofErr w:type="gramStart"/>
      <w:r w:rsidRPr="000E1704">
        <w:rPr>
          <w:rFonts w:ascii="Verdana" w:eastAsia="Calibri" w:hAnsi="Verdana" w:cs="Arial"/>
          <w:lang w:val="es-ES"/>
        </w:rPr>
        <w:t>que</w:t>
      </w:r>
      <w:proofErr w:type="gramEnd"/>
      <w:r w:rsidR="000463A1">
        <w:rPr>
          <w:rFonts w:ascii="Verdana" w:eastAsia="Calibri" w:hAnsi="Verdana" w:cs="Arial"/>
          <w:lang w:val="es-ES"/>
        </w:rPr>
        <w:t>,</w:t>
      </w:r>
      <w:r w:rsidRPr="000E1704">
        <w:rPr>
          <w:rFonts w:ascii="Verdana" w:eastAsia="Calibri" w:hAnsi="Verdana" w:cs="Arial"/>
          <w:lang w:val="es-ES"/>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33F617F4" w14:textId="12CFFBDF" w:rsidR="000D359A" w:rsidRDefault="00F03C94" w:rsidP="001735B9">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El fundamento legal que habilita a las partes para establecer la suscripción del acta de inicio como un requisito de ejecución convencional se encuentra en el segundo inciso del artículo 40 de la Ley 80 de 1993, el cual indica que </w:t>
      </w:r>
      <w:r w:rsidR="000D359A">
        <w:rPr>
          <w:rFonts w:ascii="Verdana" w:eastAsia="Calibri" w:hAnsi="Verdana" w:cs="Arial"/>
          <w:lang w:val="es-ES"/>
        </w:rPr>
        <w:t>“</w:t>
      </w:r>
      <w:r w:rsidRPr="000E1704">
        <w:rPr>
          <w:rFonts w:ascii="Verdana" w:eastAsia="Calibri" w:hAnsi="Verdana" w:cs="Arial"/>
          <w:lang w:val="es-ES"/>
        </w:rPr>
        <w:t>Las entidades podrán celebrar los contratos y acuerdos que permitan la autonomía de la voluntad y requieran el cumplimiento de los fines estatales</w:t>
      </w:r>
      <w:r w:rsidR="000D359A">
        <w:rPr>
          <w:rFonts w:ascii="Verdana" w:eastAsia="Calibri" w:hAnsi="Verdana" w:cs="Arial"/>
          <w:lang w:val="es-ES"/>
        </w:rPr>
        <w:t>”</w:t>
      </w:r>
      <w:r w:rsidRPr="00515AC9">
        <w:rPr>
          <w:rFonts w:ascii="Verdana" w:eastAsia="Calibri" w:hAnsi="Verdana" w:cs="Arial"/>
          <w:lang w:val="es-ES"/>
        </w:rPr>
        <w:t xml:space="preserve">. </w:t>
      </w:r>
    </w:p>
    <w:p w14:paraId="19F17CE0" w14:textId="17502BE4" w:rsidR="00F03C94" w:rsidRPr="000E1704" w:rsidRDefault="00F03C94" w:rsidP="00B41137">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Sin embargo, en el ejercicio de la autonomía de la voluntad las partes del contrato deben respetar las normas de orden público. En consecuencia, a pesar </w:t>
      </w:r>
      <w:r w:rsidRPr="000E1704">
        <w:rPr>
          <w:rFonts w:ascii="Verdana" w:eastAsia="Calibri" w:hAnsi="Verdana" w:cs="Arial"/>
          <w:lang w:val="es-ES"/>
        </w:rPr>
        <w:lastRenderedPageBreak/>
        <w:t xml:space="preserve">de que están facultadas para acordar cláusulas accidentales en el negocio jurídico, estas no pueden ir en contra de los mandatos contenidos en el </w:t>
      </w:r>
      <w:r w:rsidR="000D359A">
        <w:rPr>
          <w:rFonts w:ascii="Verdana" w:eastAsia="Calibri" w:hAnsi="Verdana" w:cs="Arial"/>
          <w:lang w:val="es-ES"/>
        </w:rPr>
        <w:t>EGCAP</w:t>
      </w:r>
      <w:r w:rsidRPr="00515AC9">
        <w:rPr>
          <w:rFonts w:ascii="Verdana" w:eastAsia="Calibri" w:hAnsi="Verdana" w:cs="Arial"/>
          <w:lang w:val="es-ES"/>
        </w:rPr>
        <w:t>.</w:t>
      </w:r>
      <w:r w:rsidRPr="000E1704">
        <w:rPr>
          <w:rFonts w:ascii="Verdana" w:eastAsia="Calibri" w:hAnsi="Verdana" w:cs="Arial"/>
          <w:lang w:val="es-ES"/>
        </w:rPr>
        <w:t xml:space="preserve">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05B03C0F" w14:textId="75604AD8" w:rsidR="00F03C94" w:rsidRPr="000E1704" w:rsidRDefault="00F03C94" w:rsidP="00B41137">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7F57DA37" w14:textId="171C924C" w:rsidR="00F03C94" w:rsidRPr="000E1704" w:rsidRDefault="00F03C94" w:rsidP="00B41137">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Además, el artículo 6 de la Constitución dispone que «Los particulares sólo son responsables ante las autoridades por infringir la Constitución y las leyes» y que </w:t>
      </w:r>
      <w:r w:rsidR="009A6AD4">
        <w:rPr>
          <w:rFonts w:ascii="Verdana" w:eastAsia="Calibri" w:hAnsi="Verdana" w:cs="Arial"/>
          <w:lang w:val="es-ES"/>
        </w:rPr>
        <w:t>“</w:t>
      </w:r>
      <w:r w:rsidRPr="000E1704">
        <w:rPr>
          <w:rFonts w:ascii="Verdana" w:eastAsia="Calibri" w:hAnsi="Verdana" w:cs="Arial"/>
          <w:lang w:val="es-ES"/>
        </w:rPr>
        <w:t>Los servidores públicos lo son por la misma causa y por omisión o extralimitación en el ejercicio de sus funciones</w:t>
      </w:r>
      <w:r w:rsidR="009A6AD4">
        <w:rPr>
          <w:rFonts w:ascii="Verdana" w:eastAsia="Calibri" w:hAnsi="Verdana" w:cs="Arial"/>
          <w:lang w:val="es-ES"/>
        </w:rPr>
        <w:t>”</w:t>
      </w:r>
      <w:r w:rsidRPr="000E1704">
        <w:rPr>
          <w:rFonts w:ascii="Verdana" w:eastAsia="Calibri" w:hAnsi="Verdana" w:cs="Arial"/>
          <w:lang w:val="es-ES"/>
        </w:rPr>
        <w:t>.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685B64A4" w14:textId="3E253E75" w:rsidR="00F03C94" w:rsidRPr="000E1704" w:rsidRDefault="00F03C94" w:rsidP="00F03C94">
      <w:pPr>
        <w:widowControl w:val="0"/>
        <w:autoSpaceDE w:val="0"/>
        <w:autoSpaceDN w:val="0"/>
        <w:spacing w:after="0" w:line="276" w:lineRule="auto"/>
        <w:ind w:firstLine="708"/>
        <w:jc w:val="both"/>
        <w:rPr>
          <w:rFonts w:ascii="Verdana" w:eastAsia="Calibri" w:hAnsi="Verdana" w:cs="Arial"/>
          <w:lang w:val="es-ES"/>
        </w:rPr>
      </w:pPr>
      <w:r w:rsidRPr="000E1704">
        <w:rPr>
          <w:rFonts w:ascii="Verdana" w:eastAsia="Calibri" w:hAnsi="Verdana" w:cs="Arial"/>
          <w:lang w:val="es-ES"/>
        </w:rPr>
        <w:t>Finalmente, a juicio del Consejo de Estado, una vez se pacte el acta de inicio como requisito de ejecución del contrato, su ausencia tiene como consecuencia la falta de autorización para desplegar cualquier actividad contractual. Por ende, concluye el alto tribunal en sentencia del 3 de abril de 2020</w:t>
      </w:r>
      <w:r w:rsidRPr="000E1704">
        <w:rPr>
          <w:rStyle w:val="Refdenotaalpie"/>
          <w:rFonts w:ascii="Verdana" w:eastAsia="Calibri" w:hAnsi="Verdana" w:cs="Arial"/>
          <w:lang w:val="es-ES"/>
        </w:rPr>
        <w:footnoteReference w:id="7"/>
      </w:r>
      <w:r w:rsidRPr="000E1704">
        <w:rPr>
          <w:rFonts w:ascii="Verdana" w:eastAsia="Calibri" w:hAnsi="Verdana" w:cs="Arial"/>
          <w:lang w:val="es-ES"/>
        </w:rPr>
        <w:t>, la eventual ejecución del contrato en estos casos no merecería reconocimiento pecuniario:</w:t>
      </w:r>
    </w:p>
    <w:p w14:paraId="1530E0BD" w14:textId="77777777" w:rsidR="00F03C94" w:rsidRPr="000E1704" w:rsidRDefault="00F03C94" w:rsidP="00F03C94">
      <w:pPr>
        <w:widowControl w:val="0"/>
        <w:autoSpaceDE w:val="0"/>
        <w:autoSpaceDN w:val="0"/>
        <w:spacing w:after="0" w:line="276" w:lineRule="auto"/>
        <w:jc w:val="both"/>
        <w:rPr>
          <w:rFonts w:ascii="Verdana" w:eastAsia="Calibri" w:hAnsi="Verdana" w:cs="Arial"/>
          <w:lang w:val="es-ES"/>
        </w:rPr>
      </w:pPr>
    </w:p>
    <w:p w14:paraId="0F2A817D" w14:textId="03A4EA4B" w:rsidR="00F03C94" w:rsidRPr="00B41137" w:rsidRDefault="009A6AD4" w:rsidP="00B41137">
      <w:pPr>
        <w:widowControl w:val="0"/>
        <w:autoSpaceDE w:val="0"/>
        <w:autoSpaceDN w:val="0"/>
        <w:spacing w:after="0" w:line="240" w:lineRule="auto"/>
        <w:ind w:left="709" w:right="709"/>
        <w:jc w:val="both"/>
        <w:rPr>
          <w:rFonts w:ascii="Verdana" w:eastAsia="Calibri" w:hAnsi="Verdana" w:cs="Arial"/>
          <w:sz w:val="20"/>
          <w:szCs w:val="20"/>
          <w:lang w:val="es-ES"/>
        </w:rPr>
      </w:pPr>
      <w:r w:rsidRPr="00B41137">
        <w:rPr>
          <w:rFonts w:ascii="Verdana" w:eastAsia="Calibri" w:hAnsi="Verdana" w:cs="Arial"/>
          <w:sz w:val="20"/>
          <w:szCs w:val="20"/>
          <w:lang w:val="es-ES"/>
        </w:rPr>
        <w:t>“</w:t>
      </w:r>
      <w:r w:rsidR="00F03C94" w:rsidRPr="00B41137">
        <w:rPr>
          <w:rFonts w:ascii="Verdana" w:eastAsia="Calibri" w:hAnsi="Verdana" w:cs="Arial"/>
          <w:sz w:val="20"/>
          <w:szCs w:val="20"/>
          <w:lang w:val="es-ES"/>
        </w:rPr>
        <w:t xml:space="preserve">Pese a declararse en esta oportunidad la nulidad del acto de terminación </w:t>
      </w:r>
      <w:r w:rsidR="00F03C94" w:rsidRPr="00B41137">
        <w:rPr>
          <w:rFonts w:ascii="Verdana" w:eastAsia="Calibri" w:hAnsi="Verdana" w:cs="Arial"/>
          <w:sz w:val="20"/>
          <w:szCs w:val="20"/>
          <w:lang w:val="es-ES"/>
        </w:rPr>
        <w:lastRenderedPageBreak/>
        <w:t xml:space="preserve">unilateral del convenio, la Sala encuentra que no está llamada a prosperar la pretensión de incumplimiento ni el consecuencial reconocimiento de los perjuicios reclamados por la parte demandante […] [L]as partes no suscribieron el acta para dar inicio a la ejecución del convenio y la entidad demandada no impartió autorización que avalara las actividades de la fundación cooperante encaminadas a la ejecución prematura de sus obligaciones. </w:t>
      </w:r>
      <w:proofErr w:type="gramStart"/>
      <w:r w:rsidR="00F03C94" w:rsidRPr="00B41137">
        <w:rPr>
          <w:rFonts w:ascii="Verdana" w:eastAsia="Calibri" w:hAnsi="Verdana" w:cs="Arial"/>
          <w:sz w:val="20"/>
          <w:szCs w:val="20"/>
          <w:lang w:val="es-ES"/>
        </w:rPr>
        <w:t>En razón de</w:t>
      </w:r>
      <w:proofErr w:type="gramEnd"/>
      <w:r w:rsidR="00F03C94" w:rsidRPr="00B41137">
        <w:rPr>
          <w:rFonts w:ascii="Verdana" w:eastAsia="Calibri" w:hAnsi="Verdana" w:cs="Arial"/>
          <w:sz w:val="20"/>
          <w:szCs w:val="20"/>
          <w:lang w:val="es-ES"/>
        </w:rPr>
        <w:t xml:space="preserve"> lo anterior, pese a la declaratoria de nulidad del acta de terminación unilateral del convenio 497 de 2007, no es dable acceder a la pretensión de incumplimiento, en tanto no se suscribió el acta de inicio convenida por las partes como requisito para su ejecución, lo cual significa </w:t>
      </w:r>
      <w:proofErr w:type="gramStart"/>
      <w:r w:rsidR="00F03C94" w:rsidRPr="00B41137">
        <w:rPr>
          <w:rFonts w:ascii="Verdana" w:eastAsia="Calibri" w:hAnsi="Verdana" w:cs="Arial"/>
          <w:sz w:val="20"/>
          <w:szCs w:val="20"/>
          <w:lang w:val="es-ES"/>
        </w:rPr>
        <w:t>que</w:t>
      </w:r>
      <w:proofErr w:type="gramEnd"/>
      <w:r w:rsidR="00F03C94" w:rsidRPr="00B41137">
        <w:rPr>
          <w:rFonts w:ascii="Verdana" w:eastAsia="Calibri" w:hAnsi="Verdana" w:cs="Arial"/>
          <w:sz w:val="20"/>
          <w:szCs w:val="20"/>
          <w:lang w:val="es-ES"/>
        </w:rPr>
        <w:t xml:space="preserv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r w:rsidRPr="00B41137">
        <w:rPr>
          <w:rFonts w:ascii="Verdana" w:eastAsia="Calibri" w:hAnsi="Verdana" w:cs="Arial"/>
          <w:sz w:val="20"/>
          <w:szCs w:val="20"/>
          <w:lang w:val="es-ES"/>
        </w:rPr>
        <w:t>”.</w:t>
      </w:r>
    </w:p>
    <w:p w14:paraId="6CB64F2E" w14:textId="77777777" w:rsidR="00F03C94" w:rsidRPr="000E1704" w:rsidRDefault="00F03C94" w:rsidP="00F03C94">
      <w:pPr>
        <w:widowControl w:val="0"/>
        <w:autoSpaceDE w:val="0"/>
        <w:autoSpaceDN w:val="0"/>
        <w:spacing w:after="0" w:line="276" w:lineRule="auto"/>
        <w:jc w:val="both"/>
        <w:rPr>
          <w:rFonts w:ascii="Verdana" w:eastAsia="Calibri" w:hAnsi="Verdana" w:cs="Arial"/>
          <w:lang w:val="es-ES"/>
        </w:rPr>
      </w:pPr>
    </w:p>
    <w:p w14:paraId="4873EC71" w14:textId="199231B3" w:rsidR="00F03C94" w:rsidRDefault="00F03C94" w:rsidP="00B41137">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No obstante, lo anterior, si se cumplen los requisitos legales consagrados en el mencionado el artículo 41 y se inicia la ejecución sin firmar el acta de inicio, bajo una justa causa, nada obsta para que la entidad contratante determine según sean las circunstancias del caso concreto, omitir el requisito y continuar con la ejecución. Lo anterior, en atención a que se trata de un requisito que más que exigir una condición o calidad adicional por parte del contratista, solo pretende dar claridad del momento en que inicia la ejecución del contrato de cara a sus efectos jurídicos y prácticos, lo cual también cuenta con otros medios de prueba. Será la Entidad Estatal entonces la que en principio defina, conforme a las circunstancias del caso en concreto, si el incumplimiento es relevante y si es susceptible de alguna medida sancionatoria que se encuentre previamente pactada.</w:t>
      </w:r>
    </w:p>
    <w:p w14:paraId="224297B3" w14:textId="485C0E74" w:rsidR="00F03C94" w:rsidRDefault="00F03C94" w:rsidP="00F03C94">
      <w:pPr>
        <w:widowControl w:val="0"/>
        <w:autoSpaceDE w:val="0"/>
        <w:autoSpaceDN w:val="0"/>
        <w:spacing w:after="0" w:line="276" w:lineRule="auto"/>
        <w:ind w:firstLine="708"/>
        <w:jc w:val="both"/>
        <w:rPr>
          <w:rFonts w:ascii="Verdana" w:eastAsia="Calibri" w:hAnsi="Verdana" w:cs="Arial"/>
        </w:rPr>
      </w:pPr>
      <w:r w:rsidRPr="00BE1034">
        <w:rPr>
          <w:rFonts w:ascii="Verdana" w:eastAsia="Calibri" w:hAnsi="Verdana" w:cs="Arial"/>
        </w:rPr>
        <w:t xml:space="preserve">Así, para el caso de los contratos </w:t>
      </w:r>
      <w:r>
        <w:rPr>
          <w:rFonts w:ascii="Verdana" w:eastAsia="Calibri" w:hAnsi="Verdana" w:cs="Arial"/>
        </w:rPr>
        <w:t>indicados en el problema jurídico planteado</w:t>
      </w:r>
      <w:r w:rsidRPr="00BE1034">
        <w:rPr>
          <w:rFonts w:ascii="Verdana" w:eastAsia="Calibri" w:hAnsi="Verdana" w:cs="Arial"/>
        </w:rPr>
        <w:t xml:space="preserve">, si se </w:t>
      </w:r>
      <w:r>
        <w:rPr>
          <w:rFonts w:ascii="Verdana" w:eastAsia="Calibri" w:hAnsi="Verdana" w:cs="Arial"/>
        </w:rPr>
        <w:t>pactó</w:t>
      </w:r>
      <w:r w:rsidRPr="00BE1034">
        <w:rPr>
          <w:rFonts w:ascii="Verdana" w:eastAsia="Calibri" w:hAnsi="Verdana" w:cs="Arial"/>
        </w:rPr>
        <w:t xml:space="preserve"> expresamente </w:t>
      </w:r>
      <w:r w:rsidR="00B45E74">
        <w:rPr>
          <w:rFonts w:ascii="Verdana" w:eastAsia="Calibri" w:hAnsi="Verdana" w:cs="Arial"/>
        </w:rPr>
        <w:t>en la minuta del contrato o en los documentos del proceso</w:t>
      </w:r>
      <w:r w:rsidRPr="00515AC9">
        <w:rPr>
          <w:rFonts w:ascii="Verdana" w:eastAsia="Calibri" w:hAnsi="Verdana" w:cs="Arial"/>
        </w:rPr>
        <w:t xml:space="preserve"> </w:t>
      </w:r>
      <w:r w:rsidRPr="00BE1034">
        <w:rPr>
          <w:rFonts w:ascii="Verdana" w:eastAsia="Calibri" w:hAnsi="Verdana" w:cs="Arial"/>
        </w:rPr>
        <w:t>el acta de inicio como requisito convencional de ejecución, la entidad deberá suscribirla antes de permitir cualquier actuación contractual. No obstante, si por causas justificadas no se suscribe el acta</w:t>
      </w:r>
      <w:r>
        <w:rPr>
          <w:rFonts w:ascii="Verdana" w:eastAsia="Calibri" w:hAnsi="Verdana" w:cs="Arial"/>
        </w:rPr>
        <w:t>,</w:t>
      </w:r>
      <w:r w:rsidRPr="00BE1034">
        <w:rPr>
          <w:rFonts w:ascii="Verdana" w:eastAsia="Calibri" w:hAnsi="Verdana" w:cs="Arial"/>
        </w:rPr>
        <w:t xml:space="preserve"> pero existen medios de prueba suficientes sobre el cumplimiento de los requisitos legales y el inicio material de la ejecución, no se configura una</w:t>
      </w:r>
      <w:r>
        <w:rPr>
          <w:rFonts w:ascii="Verdana" w:eastAsia="Calibri" w:hAnsi="Verdana" w:cs="Arial"/>
        </w:rPr>
        <w:t xml:space="preserve"> omisión a los requisitos de ejecución del contrato</w:t>
      </w:r>
      <w:r w:rsidRPr="00BE1034">
        <w:rPr>
          <w:rFonts w:ascii="Verdana" w:eastAsia="Calibri" w:hAnsi="Verdana" w:cs="Arial"/>
        </w:rPr>
        <w:t xml:space="preserve">. </w:t>
      </w:r>
    </w:p>
    <w:p w14:paraId="21C405C0" w14:textId="77777777" w:rsidR="00F03C94" w:rsidRPr="000E1704" w:rsidRDefault="00F03C94" w:rsidP="00F03C94">
      <w:pPr>
        <w:widowControl w:val="0"/>
        <w:autoSpaceDE w:val="0"/>
        <w:autoSpaceDN w:val="0"/>
        <w:spacing w:after="0" w:line="276" w:lineRule="auto"/>
        <w:jc w:val="both"/>
        <w:rPr>
          <w:rFonts w:ascii="Verdana" w:eastAsia="Calibri" w:hAnsi="Verdana" w:cs="Arial"/>
          <w:lang w:val="es-ES"/>
        </w:rPr>
      </w:pPr>
    </w:p>
    <w:p w14:paraId="781D6905" w14:textId="77777777" w:rsidR="00F03C94" w:rsidRPr="000E1704" w:rsidRDefault="00F03C94" w:rsidP="00B4113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15AC9">
        <w:rPr>
          <w:rFonts w:ascii="Verdana" w:eastAsia="Century Gothic" w:hAnsi="Verdana" w:cs="Century Gothic"/>
          <w:b/>
        </w:rPr>
        <w:t>Referencias normativas, jurisprudenciales y otras fuentes:</w:t>
      </w:r>
    </w:p>
    <w:p w14:paraId="1B52CF97" w14:textId="77777777" w:rsidR="00F03C94" w:rsidRPr="000E1704" w:rsidRDefault="00F03C94" w:rsidP="00F03C9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03C94" w:rsidRPr="000E1704" w14:paraId="5FDB6C98" w14:textId="77777777" w:rsidTr="00F03C94">
        <w:trPr>
          <w:trHeight w:val="224"/>
        </w:trPr>
        <w:tc>
          <w:tcPr>
            <w:tcW w:w="8647" w:type="dxa"/>
          </w:tcPr>
          <w:p w14:paraId="1DA8E270" w14:textId="6A0579EB" w:rsidR="00B45E74" w:rsidRPr="00B41137" w:rsidRDefault="00B45E7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5E74">
              <w:rPr>
                <w:rFonts w:ascii="Verdana" w:hAnsi="Verdana" w:cs="Arial"/>
              </w:rPr>
              <w:t xml:space="preserve">Código Civil: Artículo 1.500. </w:t>
            </w:r>
          </w:p>
          <w:p w14:paraId="52F2A78D" w14:textId="63924995" w:rsidR="00F03C94" w:rsidRPr="000E1704" w:rsidRDefault="00F03C9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0E1704">
              <w:rPr>
                <w:rFonts w:ascii="Verdana" w:eastAsia="Times New Roman" w:hAnsi="Verdana" w:cs="Arial"/>
                <w:lang w:eastAsia="es-ES_tradnl"/>
              </w:rPr>
              <w:lastRenderedPageBreak/>
              <w:t>Ley 1150 de 2007.</w:t>
            </w:r>
            <w:r w:rsidRPr="000E1704">
              <w:rPr>
                <w:rFonts w:ascii="Verdana" w:eastAsia="Times New Roman" w:hAnsi="Verdana" w:cs="Arial"/>
                <w:lang w:val="es-ES_tradnl" w:eastAsia="es-ES_tradnl"/>
              </w:rPr>
              <w:t xml:space="preserve"> </w:t>
            </w:r>
            <w:r w:rsidRPr="000E1704">
              <w:rPr>
                <w:rFonts w:ascii="Verdana" w:eastAsia="Times New Roman" w:hAnsi="Verdana" w:cs="Arial"/>
                <w:lang w:eastAsia="es-ES_tradnl"/>
              </w:rPr>
              <w:t xml:space="preserve">Artículo 23. </w:t>
            </w:r>
          </w:p>
          <w:p w14:paraId="4533B31B" w14:textId="77777777" w:rsidR="00B45E74" w:rsidRPr="00B41137" w:rsidRDefault="00F03C9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0E1704">
              <w:rPr>
                <w:rFonts w:ascii="Verdana" w:eastAsia="Times New Roman" w:hAnsi="Verdana" w:cs="Arial"/>
                <w:lang w:val="es-ES_tradnl" w:eastAsia="es-ES_tradnl"/>
              </w:rPr>
              <w:t xml:space="preserve">Ley 80 de 1993.Articulo 40 y 41. </w:t>
            </w:r>
          </w:p>
          <w:p w14:paraId="206C1F98" w14:textId="54ACA2A9" w:rsidR="00B45E74" w:rsidRPr="00B45E74" w:rsidRDefault="00B45E7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color w:val="000000" w:themeColor="text1"/>
              </w:rPr>
              <w:t xml:space="preserve">Consejo de Estado. Sección tercera. Sentencia del 10 de mayo de 2018. </w:t>
            </w:r>
            <w:proofErr w:type="spellStart"/>
            <w:r w:rsidRPr="00B41137">
              <w:rPr>
                <w:rFonts w:ascii="Verdana" w:hAnsi="Verdana" w:cs="Arial"/>
                <w:color w:val="000000" w:themeColor="text1"/>
              </w:rPr>
              <w:t>Exp</w:t>
            </w:r>
            <w:proofErr w:type="spellEnd"/>
            <w:r w:rsidRPr="00B41137">
              <w:rPr>
                <w:rFonts w:ascii="Verdana" w:hAnsi="Verdana" w:cs="Arial"/>
                <w:color w:val="000000" w:themeColor="text1"/>
              </w:rPr>
              <w:t>. 41.186. C.P. Stella Conto Díaz del Castillo.</w:t>
            </w:r>
          </w:p>
          <w:p w14:paraId="48BD856B" w14:textId="77777777" w:rsidR="00B45E74" w:rsidRPr="00B41137" w:rsidRDefault="00B45E7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 xml:space="preserve">Consejo de Estado. Sección Tercera. Subsección C. Sentencia del 12 de agosto de 2014. Consejero Ponente: Enrique Gil Botero. Expediente: </w:t>
            </w:r>
            <w:r w:rsidRPr="00B41137">
              <w:rPr>
                <w:rFonts w:ascii="Verdana" w:hAnsi="Verdana" w:cs="Arial"/>
                <w:iCs/>
              </w:rPr>
              <w:t>28.565.</w:t>
            </w:r>
          </w:p>
          <w:p w14:paraId="33E40CE6" w14:textId="77777777" w:rsidR="00B45E74" w:rsidRPr="00B41137" w:rsidRDefault="00B45E7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 xml:space="preserve">Consejo de Estado. Sección Tercera. Subsección B. Sentencia del 3 de abril de 2020. Consejero Ponente: Ramiro Pazos Guerrero. Expediente: 46.963. </w:t>
            </w:r>
          </w:p>
          <w:p w14:paraId="4212A1F1" w14:textId="325612E4" w:rsidR="00F03C94" w:rsidRPr="000E1704" w:rsidRDefault="00B45E74" w:rsidP="00B41137">
            <w:pPr>
              <w:pStyle w:val="Textoindependiente"/>
              <w:widowControl w:val="0"/>
              <w:numPr>
                <w:ilvl w:val="0"/>
                <w:numId w:val="17"/>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EXPÓSITO VÉLEZ, Juan Carlos. Forma y contenido del contrato estatal. Bogotá: Universidad Externado de Colombia, 2013. pp. 28-29.</w:t>
            </w:r>
          </w:p>
        </w:tc>
      </w:tr>
    </w:tbl>
    <w:p w14:paraId="6FD00C8A" w14:textId="77777777" w:rsidR="00F03C94" w:rsidRPr="000E1704" w:rsidRDefault="00F03C94" w:rsidP="00F03C94">
      <w:pPr>
        <w:widowControl w:val="0"/>
        <w:autoSpaceDE w:val="0"/>
        <w:autoSpaceDN w:val="0"/>
        <w:spacing w:after="0" w:line="276" w:lineRule="auto"/>
        <w:jc w:val="both"/>
        <w:rPr>
          <w:rFonts w:ascii="Verdana" w:eastAsia="Calibri" w:hAnsi="Verdana" w:cs="Arial"/>
          <w:lang w:val="es-ES"/>
        </w:rPr>
      </w:pPr>
    </w:p>
    <w:p w14:paraId="1B7DF1D6" w14:textId="77777777" w:rsidR="00F03C94" w:rsidRPr="000E1704" w:rsidRDefault="00F03C94" w:rsidP="00B41137">
      <w:pPr>
        <w:pStyle w:val="Prrafodelista"/>
        <w:numPr>
          <w:ilvl w:val="0"/>
          <w:numId w:val="16"/>
        </w:numPr>
        <w:tabs>
          <w:tab w:val="left" w:pos="142"/>
          <w:tab w:val="left" w:pos="284"/>
        </w:tabs>
        <w:spacing w:after="0" w:line="276" w:lineRule="auto"/>
        <w:ind w:left="0" w:firstLine="0"/>
        <w:contextualSpacing w:val="0"/>
        <w:jc w:val="both"/>
        <w:rPr>
          <w:rFonts w:ascii="Verdana" w:eastAsia="Calibri" w:hAnsi="Verdana" w:cs="Arial"/>
          <w:b/>
          <w:bCs/>
        </w:rPr>
      </w:pPr>
      <w:r w:rsidRPr="00B41137">
        <w:rPr>
          <w:rFonts w:ascii="Verdana" w:eastAsia="Century Gothic" w:hAnsi="Verdana" w:cs="Century Gothic"/>
          <w:b/>
        </w:rPr>
        <w:t>Doctrina de la Agencia Nacional de Contratación Pública:</w:t>
      </w:r>
    </w:p>
    <w:p w14:paraId="49B36134" w14:textId="77777777" w:rsidR="00F03C94" w:rsidRPr="000E1704" w:rsidRDefault="00F03C94" w:rsidP="00F03C94">
      <w:pPr>
        <w:widowControl w:val="0"/>
        <w:autoSpaceDE w:val="0"/>
        <w:autoSpaceDN w:val="0"/>
        <w:spacing w:after="0" w:line="276" w:lineRule="auto"/>
        <w:jc w:val="both"/>
        <w:rPr>
          <w:rFonts w:ascii="Verdana" w:eastAsia="Calibri" w:hAnsi="Verdana" w:cs="Arial"/>
          <w:lang w:val="es-ES"/>
        </w:rPr>
      </w:pPr>
    </w:p>
    <w:p w14:paraId="01A4E628" w14:textId="77777777" w:rsidR="00F03C94" w:rsidRPr="000E1704" w:rsidRDefault="00F03C94" w:rsidP="00F03C94">
      <w:pPr>
        <w:widowControl w:val="0"/>
        <w:autoSpaceDE w:val="0"/>
        <w:autoSpaceDN w:val="0"/>
        <w:spacing w:after="0" w:line="276" w:lineRule="auto"/>
        <w:jc w:val="both"/>
        <w:rPr>
          <w:rFonts w:ascii="Verdana" w:eastAsia="Calibri" w:hAnsi="Verdana" w:cs="Arial"/>
          <w:lang w:val="es-ES"/>
        </w:rPr>
      </w:pPr>
      <w:r w:rsidRPr="000E1704">
        <w:rPr>
          <w:rFonts w:ascii="Verdana" w:eastAsia="Calibri" w:hAnsi="Verdana" w:cs="Arial"/>
          <w:lang w:val="es-ES"/>
        </w:rPr>
        <w:t xml:space="preserve">La Agencia Nacional de Contratación Pública – Colombia Compra Eficiente analizó el acta de inicio como requisito de ejecución convencional del contrato Estatal en los conceptos C- 053 del 7 de mayo de 2024, C – 638 de 2022, C-797 del 22 de enero de 2021, C-797 de 2020 638 de 10 de octubre de 2022, 053 del 13 de mayo de </w:t>
      </w:r>
      <w:proofErr w:type="gramStart"/>
      <w:r w:rsidRPr="000E1704">
        <w:rPr>
          <w:rFonts w:ascii="Verdana" w:eastAsia="Calibri" w:hAnsi="Verdana" w:cs="Arial"/>
          <w:lang w:val="es-ES"/>
        </w:rPr>
        <w:t>2024 .</w:t>
      </w:r>
      <w:proofErr w:type="gramEnd"/>
      <w:r w:rsidRPr="000E1704">
        <w:rPr>
          <w:rFonts w:ascii="Verdana" w:eastAsia="Calibri" w:hAnsi="Verdana" w:cs="Arial"/>
          <w:lang w:val="es-ES"/>
        </w:rPr>
        <w:t xml:space="preserve"> Estos y otros conceptos se encuentran disponibles para consulta en el Sistema de relatoría de la Agencia, al cual se puede acceder a través del siguiente enlace: https://relatoria.colombiacompra.gov.co/busqueda/conceptos.</w:t>
      </w:r>
    </w:p>
    <w:p w14:paraId="6DEF4191" w14:textId="77777777" w:rsidR="00F03C94" w:rsidRDefault="00F03C94" w:rsidP="00B41137">
      <w:pPr>
        <w:spacing w:after="0" w:line="276" w:lineRule="auto"/>
        <w:jc w:val="both"/>
        <w:rPr>
          <w:rFonts w:ascii="Verdana" w:hAnsi="Verdana"/>
        </w:rPr>
      </w:pPr>
    </w:p>
    <w:p w14:paraId="2DFF8948" w14:textId="091BC035" w:rsidR="00F03C94" w:rsidRPr="000E1704" w:rsidRDefault="00F03C94" w:rsidP="00B41137">
      <w:pPr>
        <w:spacing w:after="0" w:line="276" w:lineRule="auto"/>
        <w:jc w:val="both"/>
        <w:rPr>
          <w:rFonts w:ascii="Verdana" w:hAnsi="Verdana"/>
        </w:rPr>
      </w:pPr>
      <w:r w:rsidRPr="000E1704">
        <w:rPr>
          <w:rFonts w:ascii="Verdana" w:hAnsi="Verdana"/>
        </w:rPr>
        <w:t xml:space="preserve">Por último, lo invitamos a seguirnos en las redes sociales en las cuales se difunde información institucional: </w:t>
      </w:r>
    </w:p>
    <w:p w14:paraId="3F42646D" w14:textId="77777777" w:rsidR="00F03C94" w:rsidRPr="000E1704" w:rsidRDefault="00F03C94" w:rsidP="00B41137">
      <w:pPr>
        <w:spacing w:after="0" w:line="276" w:lineRule="auto"/>
        <w:jc w:val="both"/>
        <w:rPr>
          <w:rFonts w:ascii="Verdana" w:hAnsi="Verdana"/>
        </w:rPr>
      </w:pPr>
    </w:p>
    <w:p w14:paraId="71137832" w14:textId="77777777" w:rsidR="00F03C94" w:rsidRPr="000E1704" w:rsidRDefault="00F03C94" w:rsidP="00B41137">
      <w:pPr>
        <w:spacing w:after="0" w:line="276" w:lineRule="auto"/>
        <w:jc w:val="both"/>
        <w:rPr>
          <w:rFonts w:ascii="Verdana" w:hAnsi="Verdana"/>
        </w:rPr>
      </w:pPr>
      <w:r w:rsidRPr="000E1704">
        <w:rPr>
          <w:rFonts w:ascii="Verdana" w:hAnsi="Verdana"/>
        </w:rPr>
        <w:t xml:space="preserve">Twitter: </w:t>
      </w:r>
      <w:r w:rsidRPr="000E1704">
        <w:rPr>
          <w:rStyle w:val="Hipervnculo"/>
          <w:rFonts w:ascii="Verdana" w:hAnsi="Verdana"/>
          <w:color w:val="auto"/>
        </w:rPr>
        <w:t>@colombiacompra</w:t>
      </w:r>
      <w:r w:rsidRPr="000E1704">
        <w:rPr>
          <w:rFonts w:ascii="Verdana" w:hAnsi="Verdana"/>
        </w:rPr>
        <w:t xml:space="preserve"> </w:t>
      </w:r>
    </w:p>
    <w:p w14:paraId="12F704C3" w14:textId="77777777" w:rsidR="00F03C94" w:rsidRPr="000E1704" w:rsidRDefault="00F03C94" w:rsidP="00B41137">
      <w:pPr>
        <w:spacing w:after="0" w:line="276" w:lineRule="auto"/>
        <w:jc w:val="both"/>
        <w:rPr>
          <w:rFonts w:ascii="Verdana" w:hAnsi="Verdana"/>
        </w:rPr>
      </w:pPr>
      <w:r w:rsidRPr="000E1704">
        <w:rPr>
          <w:rFonts w:ascii="Verdana" w:hAnsi="Verdana"/>
        </w:rPr>
        <w:t xml:space="preserve">Facebook: </w:t>
      </w:r>
      <w:proofErr w:type="spellStart"/>
      <w:r w:rsidRPr="000E1704">
        <w:rPr>
          <w:rStyle w:val="Hipervnculo"/>
          <w:rFonts w:ascii="Verdana" w:hAnsi="Verdana"/>
          <w:color w:val="auto"/>
        </w:rPr>
        <w:t>ColombiaCompraEficiente</w:t>
      </w:r>
      <w:proofErr w:type="spellEnd"/>
    </w:p>
    <w:p w14:paraId="297E6437" w14:textId="77777777" w:rsidR="00F03C94" w:rsidRPr="000E1704" w:rsidRDefault="00F03C94" w:rsidP="00B41137">
      <w:pPr>
        <w:spacing w:after="0" w:line="276" w:lineRule="auto"/>
        <w:jc w:val="both"/>
        <w:rPr>
          <w:rFonts w:ascii="Verdana" w:hAnsi="Verdana"/>
        </w:rPr>
      </w:pPr>
      <w:r w:rsidRPr="000E1704">
        <w:rPr>
          <w:rFonts w:ascii="Verdana" w:hAnsi="Verdana"/>
        </w:rPr>
        <w:t xml:space="preserve">LinkedIn: </w:t>
      </w:r>
      <w:r w:rsidRPr="000E1704">
        <w:rPr>
          <w:rStyle w:val="Hipervnculo"/>
          <w:rFonts w:ascii="Verdana" w:hAnsi="Verdana"/>
          <w:color w:val="auto"/>
        </w:rPr>
        <w:t>Agencia Nacional de Contratación Pública - Colombia Compra Eficiente</w:t>
      </w:r>
      <w:r w:rsidRPr="000E1704">
        <w:rPr>
          <w:rFonts w:ascii="Verdana" w:hAnsi="Verdana"/>
        </w:rPr>
        <w:t xml:space="preserve"> Instagram: </w:t>
      </w:r>
      <w:r w:rsidRPr="000E1704">
        <w:rPr>
          <w:rStyle w:val="Hipervnculo"/>
          <w:rFonts w:ascii="Verdana" w:hAnsi="Verdana"/>
          <w:color w:val="auto"/>
        </w:rPr>
        <w:t>@colombiacompraeficiente_cce</w:t>
      </w:r>
    </w:p>
    <w:p w14:paraId="70D74E5F" w14:textId="77777777" w:rsidR="00F03C94" w:rsidRPr="0044528D" w:rsidRDefault="00F03C94" w:rsidP="00F03C94">
      <w:pPr>
        <w:widowControl w:val="0"/>
        <w:autoSpaceDE w:val="0"/>
        <w:autoSpaceDN w:val="0"/>
        <w:spacing w:after="0" w:line="276" w:lineRule="auto"/>
        <w:jc w:val="both"/>
        <w:rPr>
          <w:rFonts w:ascii="Verdana" w:hAnsi="Verdana"/>
        </w:rPr>
      </w:pPr>
    </w:p>
    <w:p w14:paraId="4E774C0A" w14:textId="77777777" w:rsidR="00F03C94" w:rsidRPr="000E1704" w:rsidRDefault="00F03C94" w:rsidP="00F03C94">
      <w:pPr>
        <w:widowControl w:val="0"/>
        <w:autoSpaceDE w:val="0"/>
        <w:autoSpaceDN w:val="0"/>
        <w:spacing w:after="0" w:line="276" w:lineRule="auto"/>
        <w:jc w:val="both"/>
        <w:rPr>
          <w:rFonts w:ascii="Verdana" w:hAnsi="Verdana" w:cs="Arial"/>
          <w:lang w:val="es-ES_tradnl"/>
        </w:rPr>
      </w:pPr>
      <w:r w:rsidRPr="000E1704">
        <w:rPr>
          <w:rFonts w:ascii="Verdana" w:hAnsi="Verdana" w:cs="Arial"/>
        </w:rPr>
        <w:t xml:space="preserve">Este concepto tiene el alcance previsto en el artículo 28 del Código de Procedimiento Administrativo y de lo Contencioso Administrativo </w:t>
      </w:r>
      <w:r w:rsidRPr="000E1704">
        <w:rPr>
          <w:rFonts w:ascii="Verdana" w:hAnsi="Verdana" w:cs="Arial"/>
          <w:lang w:val="es-ES_tradnl"/>
        </w:rPr>
        <w:t>y las expresiones aquí utilizadas con mayúscula inicial deben ser entendidas con el significado que les otorga el artículo 2.2.1.1.1.3.1. del Decreto 1082 de 2015.</w:t>
      </w:r>
    </w:p>
    <w:p w14:paraId="51AD056E" w14:textId="77777777" w:rsidR="00F03C94" w:rsidRPr="000E1704" w:rsidRDefault="00F03C94" w:rsidP="00F03C94">
      <w:pPr>
        <w:widowControl w:val="0"/>
        <w:autoSpaceDE w:val="0"/>
        <w:autoSpaceDN w:val="0"/>
        <w:spacing w:after="0" w:line="276" w:lineRule="auto"/>
        <w:jc w:val="both"/>
        <w:rPr>
          <w:rFonts w:ascii="Verdana" w:hAnsi="Verdana" w:cs="Arial"/>
        </w:rPr>
      </w:pPr>
    </w:p>
    <w:p w14:paraId="75B63914" w14:textId="77777777" w:rsidR="00F03C94" w:rsidRPr="000E1704" w:rsidRDefault="00F03C94" w:rsidP="00B41137">
      <w:pPr>
        <w:spacing w:after="0" w:line="276" w:lineRule="auto"/>
        <w:jc w:val="both"/>
        <w:rPr>
          <w:rFonts w:ascii="Verdana" w:hAnsi="Verdana" w:cs="Arial"/>
          <w:lang w:eastAsia="es-CO"/>
        </w:rPr>
      </w:pPr>
      <w:r w:rsidRPr="000E1704">
        <w:rPr>
          <w:rFonts w:ascii="Verdana" w:eastAsia="Times New Roman" w:hAnsi="Verdana" w:cs="Arial"/>
          <w:lang w:eastAsia="es-CO"/>
        </w:rPr>
        <w:lastRenderedPageBreak/>
        <w:t>Atentamente,</w:t>
      </w:r>
      <w:r w:rsidRPr="000E1704">
        <w:rPr>
          <w:rFonts w:ascii="Verdana" w:hAnsi="Verdana" w:cs="Arial"/>
          <w:lang w:eastAsia="es-CO"/>
        </w:rPr>
        <w:t xml:space="preserve"> </w:t>
      </w:r>
    </w:p>
    <w:p w14:paraId="6AB8B896" w14:textId="18934F02" w:rsidR="00F03C94" w:rsidRPr="000E1704" w:rsidRDefault="00386AC2" w:rsidP="00835016">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664ACF27" wp14:editId="5D57CE87">
            <wp:extent cx="3639058" cy="1343212"/>
            <wp:effectExtent l="0" t="0" r="0" b="0"/>
            <wp:docPr id="83140467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467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03C94" w:rsidRPr="008557D1" w14:paraId="7C463C9E" w14:textId="77777777" w:rsidTr="00F03C94">
        <w:trPr>
          <w:trHeight w:val="315"/>
        </w:trPr>
        <w:tc>
          <w:tcPr>
            <w:tcW w:w="893" w:type="dxa"/>
            <w:vAlign w:val="center"/>
            <w:hideMark/>
          </w:tcPr>
          <w:p w14:paraId="4B8E4A4D" w14:textId="77777777" w:rsidR="00F03C94" w:rsidRPr="008557D1" w:rsidRDefault="00F03C94" w:rsidP="00515AC9">
            <w:pPr>
              <w:contextualSpacing/>
              <w:jc w:val="both"/>
              <w:rPr>
                <w:rFonts w:ascii="Verdana" w:hAnsi="Verdana" w:cs="Arial"/>
                <w:sz w:val="16"/>
                <w:szCs w:val="16"/>
                <w:lang w:val="es-ES" w:eastAsia="es-ES"/>
              </w:rPr>
            </w:pPr>
          </w:p>
          <w:p w14:paraId="2CC556D2" w14:textId="77777777" w:rsidR="00F03C94" w:rsidRPr="008557D1" w:rsidRDefault="00F03C94" w:rsidP="00515AC9">
            <w:pPr>
              <w:contextualSpacing/>
              <w:jc w:val="both"/>
              <w:rPr>
                <w:rFonts w:ascii="Verdana" w:hAnsi="Verdana" w:cs="Arial"/>
                <w:sz w:val="16"/>
                <w:szCs w:val="16"/>
                <w:lang w:val="es-ES" w:eastAsia="es-ES"/>
              </w:rPr>
            </w:pPr>
          </w:p>
          <w:p w14:paraId="29A090E1" w14:textId="77777777" w:rsidR="00F03C94" w:rsidRPr="008557D1" w:rsidRDefault="00F03C94" w:rsidP="00515AC9">
            <w:pPr>
              <w:contextualSpacing/>
              <w:jc w:val="both"/>
              <w:rPr>
                <w:rFonts w:ascii="Verdana" w:hAnsi="Verdana" w:cs="Arial"/>
                <w:sz w:val="16"/>
                <w:szCs w:val="16"/>
                <w:lang w:val="es-ES" w:eastAsia="es-ES"/>
              </w:rPr>
            </w:pPr>
          </w:p>
          <w:p w14:paraId="0FE2D25F" w14:textId="77777777" w:rsidR="00F03C94" w:rsidRPr="008557D1" w:rsidRDefault="00F03C94" w:rsidP="00515AC9">
            <w:pPr>
              <w:contextualSpacing/>
              <w:jc w:val="both"/>
              <w:rPr>
                <w:rFonts w:ascii="Verdana" w:hAnsi="Verdana" w:cs="Arial"/>
                <w:sz w:val="16"/>
                <w:szCs w:val="16"/>
                <w:lang w:val="es-ES" w:eastAsia="es-ES"/>
              </w:rPr>
            </w:pPr>
            <w:r w:rsidRPr="008557D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17F647" w14:textId="77777777" w:rsidR="00F03C94" w:rsidRPr="008557D1" w:rsidRDefault="00F03C94" w:rsidP="00515AC9">
            <w:pPr>
              <w:contextualSpacing/>
              <w:jc w:val="both"/>
              <w:rPr>
                <w:rFonts w:ascii="Verdana" w:eastAsia="Arial" w:hAnsi="Verdana" w:cs="Arial"/>
                <w:sz w:val="16"/>
                <w:szCs w:val="16"/>
              </w:rPr>
            </w:pPr>
            <w:r w:rsidRPr="008557D1">
              <w:rPr>
                <w:rFonts w:ascii="Verdana" w:eastAsia="Arial" w:hAnsi="Verdana" w:cs="Arial"/>
                <w:sz w:val="16"/>
                <w:szCs w:val="16"/>
              </w:rPr>
              <w:t>Gloria Elizabeth Arango Builes</w:t>
            </w:r>
          </w:p>
          <w:p w14:paraId="254FAA55" w14:textId="77777777" w:rsidR="00F03C94" w:rsidRPr="008557D1" w:rsidRDefault="00F03C94" w:rsidP="00515AC9">
            <w:pPr>
              <w:contextualSpacing/>
              <w:jc w:val="both"/>
              <w:rPr>
                <w:rFonts w:ascii="Verdana" w:eastAsia="Arial" w:hAnsi="Verdana" w:cs="Arial"/>
                <w:sz w:val="16"/>
                <w:szCs w:val="16"/>
              </w:rPr>
            </w:pPr>
            <w:r w:rsidRPr="008557D1">
              <w:rPr>
                <w:rStyle w:val="normaltextrun"/>
                <w:rFonts w:ascii="Verdana" w:eastAsia="Arial" w:hAnsi="Verdana" w:cs="Arial"/>
                <w:sz w:val="16"/>
                <w:szCs w:val="16"/>
              </w:rPr>
              <w:t>Contratista de la Subdirección de Gestión Contractual</w:t>
            </w:r>
          </w:p>
        </w:tc>
      </w:tr>
      <w:tr w:rsidR="00F03C94" w:rsidRPr="008557D1" w14:paraId="4F1FB36F" w14:textId="77777777" w:rsidTr="00F03C94">
        <w:trPr>
          <w:trHeight w:val="330"/>
        </w:trPr>
        <w:tc>
          <w:tcPr>
            <w:tcW w:w="893" w:type="dxa"/>
            <w:vAlign w:val="center"/>
            <w:hideMark/>
          </w:tcPr>
          <w:p w14:paraId="2D906D04" w14:textId="77777777" w:rsidR="00F03C94" w:rsidRPr="008557D1" w:rsidRDefault="00F03C94" w:rsidP="00515AC9">
            <w:pPr>
              <w:contextualSpacing/>
              <w:jc w:val="both"/>
              <w:rPr>
                <w:rFonts w:ascii="Verdana" w:hAnsi="Verdana" w:cs="Arial"/>
                <w:sz w:val="16"/>
                <w:szCs w:val="16"/>
                <w:lang w:val="es-ES" w:eastAsia="es-ES"/>
              </w:rPr>
            </w:pPr>
            <w:r w:rsidRPr="008557D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8B2F06C" w14:textId="77777777" w:rsidR="00F03C94" w:rsidRPr="008557D1" w:rsidRDefault="00F03C94" w:rsidP="00515AC9">
            <w:pPr>
              <w:pStyle w:val="paragraph"/>
              <w:spacing w:before="0" w:beforeAutospacing="0" w:after="0" w:afterAutospacing="0"/>
              <w:contextualSpacing/>
              <w:jc w:val="both"/>
              <w:textAlignment w:val="baseline"/>
              <w:rPr>
                <w:rFonts w:ascii="Verdana" w:hAnsi="Verdana" w:cs="Segoe UI"/>
                <w:sz w:val="16"/>
                <w:szCs w:val="16"/>
              </w:rPr>
            </w:pPr>
            <w:r w:rsidRPr="008557D1">
              <w:rPr>
                <w:rFonts w:ascii="Verdana" w:hAnsi="Verdana" w:cs="Segoe UI"/>
                <w:sz w:val="16"/>
                <w:szCs w:val="16"/>
              </w:rPr>
              <w:t xml:space="preserve">Diana </w:t>
            </w:r>
            <w:r>
              <w:rPr>
                <w:rFonts w:ascii="Verdana" w:hAnsi="Verdana" w:cs="Segoe UI"/>
                <w:sz w:val="16"/>
                <w:szCs w:val="16"/>
              </w:rPr>
              <w:t xml:space="preserve">Lucía </w:t>
            </w:r>
            <w:r w:rsidRPr="008557D1">
              <w:rPr>
                <w:rFonts w:ascii="Verdana" w:hAnsi="Verdana" w:cs="Segoe UI"/>
                <w:sz w:val="16"/>
                <w:szCs w:val="16"/>
              </w:rPr>
              <w:t>Saavedra</w:t>
            </w:r>
            <w:r>
              <w:rPr>
                <w:rFonts w:ascii="Verdana" w:hAnsi="Verdana" w:cs="Segoe UI"/>
                <w:sz w:val="16"/>
                <w:szCs w:val="16"/>
              </w:rPr>
              <w:t xml:space="preserve"> Castañeda</w:t>
            </w:r>
          </w:p>
          <w:p w14:paraId="23BE1B07" w14:textId="77777777" w:rsidR="00F03C94" w:rsidRPr="008557D1" w:rsidRDefault="00F03C94" w:rsidP="00515AC9">
            <w:pPr>
              <w:pStyle w:val="paragraph"/>
              <w:spacing w:before="0" w:beforeAutospacing="0" w:after="0" w:afterAutospacing="0"/>
              <w:contextualSpacing/>
              <w:jc w:val="both"/>
              <w:textAlignment w:val="baseline"/>
              <w:rPr>
                <w:rFonts w:ascii="Verdana" w:hAnsi="Verdana" w:cs="Segoe UI"/>
                <w:sz w:val="16"/>
                <w:szCs w:val="16"/>
              </w:rPr>
            </w:pPr>
            <w:r w:rsidRPr="008557D1">
              <w:rPr>
                <w:rStyle w:val="normaltextrun"/>
                <w:rFonts w:ascii="Verdana" w:hAnsi="Verdana" w:cs="Arial"/>
                <w:sz w:val="16"/>
                <w:szCs w:val="16"/>
                <w:lang w:val="es-ES"/>
              </w:rPr>
              <w:t>Contratista de la Subdirección de Gestión Contractual</w:t>
            </w:r>
            <w:r w:rsidRPr="008557D1">
              <w:rPr>
                <w:rStyle w:val="eop"/>
                <w:rFonts w:ascii="Verdana" w:hAnsi="Verdana" w:cs="Arial"/>
                <w:sz w:val="16"/>
                <w:szCs w:val="16"/>
              </w:rPr>
              <w:t> </w:t>
            </w:r>
          </w:p>
        </w:tc>
      </w:tr>
      <w:tr w:rsidR="00F03C94" w:rsidRPr="008557D1" w14:paraId="5C1BF21C" w14:textId="77777777" w:rsidTr="00F03C94">
        <w:trPr>
          <w:trHeight w:val="300"/>
        </w:trPr>
        <w:tc>
          <w:tcPr>
            <w:tcW w:w="893" w:type="dxa"/>
            <w:vAlign w:val="center"/>
          </w:tcPr>
          <w:p w14:paraId="0E3385A4" w14:textId="77777777" w:rsidR="00F03C94" w:rsidRPr="008557D1" w:rsidRDefault="00F03C94" w:rsidP="00515AC9">
            <w:pPr>
              <w:contextualSpacing/>
              <w:jc w:val="both"/>
              <w:rPr>
                <w:rFonts w:ascii="Verdana" w:hAnsi="Verdana" w:cs="Arial"/>
                <w:sz w:val="16"/>
                <w:szCs w:val="16"/>
                <w:lang w:val="es-ES" w:eastAsia="es-ES"/>
              </w:rPr>
            </w:pPr>
            <w:r w:rsidRPr="008557D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99A8FA9" w14:textId="77777777" w:rsidR="00F03C94" w:rsidRPr="008557D1" w:rsidRDefault="00F03C94" w:rsidP="00515AC9">
            <w:pPr>
              <w:contextualSpacing/>
              <w:jc w:val="both"/>
              <w:rPr>
                <w:rFonts w:ascii="Verdana" w:eastAsia="Calibri" w:hAnsi="Verdana" w:cs="Arial"/>
                <w:sz w:val="16"/>
                <w:szCs w:val="16"/>
                <w:lang w:val="pt-BR" w:eastAsia="es-ES"/>
              </w:rPr>
            </w:pPr>
            <w:r w:rsidRPr="008557D1">
              <w:rPr>
                <w:rFonts w:ascii="Verdana" w:eastAsia="Calibri" w:hAnsi="Verdana" w:cs="Arial"/>
                <w:sz w:val="16"/>
                <w:szCs w:val="16"/>
                <w:lang w:val="pt-BR" w:eastAsia="es-ES"/>
              </w:rPr>
              <w:t xml:space="preserve">Carolina Quintero </w:t>
            </w:r>
            <w:proofErr w:type="spellStart"/>
            <w:r w:rsidRPr="008557D1">
              <w:rPr>
                <w:rFonts w:ascii="Verdana" w:eastAsia="Calibri" w:hAnsi="Verdana" w:cs="Arial"/>
                <w:sz w:val="16"/>
                <w:szCs w:val="16"/>
                <w:lang w:val="pt-BR" w:eastAsia="es-ES"/>
              </w:rPr>
              <w:t>Gacharná</w:t>
            </w:r>
            <w:proofErr w:type="spellEnd"/>
          </w:p>
          <w:p w14:paraId="6986313D" w14:textId="77777777" w:rsidR="00F03C94" w:rsidRPr="008557D1" w:rsidRDefault="00F03C94" w:rsidP="00515AC9">
            <w:pPr>
              <w:contextualSpacing/>
              <w:jc w:val="both"/>
              <w:rPr>
                <w:rFonts w:ascii="Verdana" w:eastAsia="Calibri" w:hAnsi="Verdana" w:cs="Arial"/>
                <w:sz w:val="16"/>
                <w:szCs w:val="16"/>
                <w:lang w:val="pt-BR" w:eastAsia="es-ES"/>
              </w:rPr>
            </w:pPr>
            <w:r w:rsidRPr="008557D1">
              <w:rPr>
                <w:rFonts w:ascii="Verdana" w:eastAsia="Calibri" w:hAnsi="Verdana" w:cs="Arial"/>
                <w:sz w:val="16"/>
                <w:szCs w:val="16"/>
                <w:lang w:eastAsia="es-ES"/>
              </w:rPr>
              <w:t>Subdirectora</w:t>
            </w:r>
            <w:r w:rsidRPr="008557D1">
              <w:rPr>
                <w:rFonts w:ascii="Verdana" w:eastAsia="Calibri" w:hAnsi="Verdana" w:cs="Arial"/>
                <w:sz w:val="16"/>
                <w:szCs w:val="16"/>
                <w:lang w:val="pt-BR" w:eastAsia="es-ES"/>
              </w:rPr>
              <w:t xml:space="preserve"> de Gestión </w:t>
            </w:r>
            <w:proofErr w:type="spellStart"/>
            <w:r w:rsidRPr="008557D1">
              <w:rPr>
                <w:rFonts w:ascii="Verdana" w:eastAsia="Calibri" w:hAnsi="Verdana" w:cs="Arial"/>
                <w:sz w:val="16"/>
                <w:szCs w:val="16"/>
                <w:lang w:val="pt-BR" w:eastAsia="es-ES"/>
              </w:rPr>
              <w:t>Contractual</w:t>
            </w:r>
            <w:proofErr w:type="spellEnd"/>
            <w:r w:rsidRPr="008557D1">
              <w:rPr>
                <w:rFonts w:ascii="Verdana" w:eastAsia="Calibri" w:hAnsi="Verdana" w:cs="Arial"/>
                <w:sz w:val="16"/>
                <w:szCs w:val="16"/>
                <w:lang w:val="pt-BR" w:eastAsia="es-ES"/>
              </w:rPr>
              <w:t xml:space="preserve"> ANCP – CCE</w:t>
            </w:r>
          </w:p>
        </w:tc>
      </w:tr>
    </w:tbl>
    <w:p w14:paraId="6FAF0BCA" w14:textId="77777777" w:rsidR="00F03C94" w:rsidRPr="000E1704" w:rsidRDefault="00F03C94" w:rsidP="00515AC9">
      <w:pPr>
        <w:spacing w:after="0" w:line="240" w:lineRule="auto"/>
        <w:jc w:val="both"/>
        <w:rPr>
          <w:rFonts w:ascii="Verdana" w:eastAsia="Times New Roman" w:hAnsi="Verdana" w:cs="Arial"/>
          <w:sz w:val="24"/>
          <w:szCs w:val="24"/>
          <w:lang w:eastAsia="es-ES"/>
        </w:rPr>
      </w:pPr>
    </w:p>
    <w:p w14:paraId="67DD3F8C" w14:textId="77777777" w:rsidR="00F03C94" w:rsidRPr="00515AC9" w:rsidRDefault="00F03C94" w:rsidP="00515AC9">
      <w:pPr>
        <w:jc w:val="both"/>
        <w:rPr>
          <w:rFonts w:ascii="Verdana" w:hAnsi="Verdana"/>
        </w:rPr>
      </w:pPr>
    </w:p>
    <w:p w14:paraId="3900974D" w14:textId="77777777" w:rsidR="003D5B0D" w:rsidRPr="00515AC9" w:rsidRDefault="003D5B0D" w:rsidP="00515AC9">
      <w:pPr>
        <w:jc w:val="both"/>
        <w:rPr>
          <w:rFonts w:ascii="Verdana" w:hAnsi="Verdana"/>
        </w:rPr>
      </w:pPr>
    </w:p>
    <w:sectPr w:rsidR="003D5B0D" w:rsidRPr="00515AC9"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14CFD" w14:textId="77777777" w:rsidR="00C4549F" w:rsidRDefault="00C4549F" w:rsidP="004A1847">
      <w:pPr>
        <w:spacing w:after="0" w:line="240" w:lineRule="auto"/>
      </w:pPr>
      <w:r>
        <w:separator/>
      </w:r>
    </w:p>
  </w:endnote>
  <w:endnote w:type="continuationSeparator" w:id="0">
    <w:p w14:paraId="7CFB1419" w14:textId="77777777" w:rsidR="00C4549F" w:rsidRDefault="00C4549F" w:rsidP="004A1847">
      <w:pPr>
        <w:spacing w:after="0" w:line="240" w:lineRule="auto"/>
      </w:pPr>
      <w:r>
        <w:continuationSeparator/>
      </w:r>
    </w:p>
  </w:endnote>
  <w:endnote w:type="continuationNotice" w:id="1">
    <w:p w14:paraId="56D85FFD" w14:textId="77777777" w:rsidR="00C4549F" w:rsidRDefault="00C454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A441E" w14:textId="77777777" w:rsidR="00C4549F" w:rsidRDefault="00C4549F" w:rsidP="004A1847">
      <w:pPr>
        <w:spacing w:after="0" w:line="240" w:lineRule="auto"/>
      </w:pPr>
      <w:r>
        <w:separator/>
      </w:r>
    </w:p>
  </w:footnote>
  <w:footnote w:type="continuationSeparator" w:id="0">
    <w:p w14:paraId="08D857D1" w14:textId="77777777" w:rsidR="00C4549F" w:rsidRDefault="00C4549F" w:rsidP="004A1847">
      <w:pPr>
        <w:spacing w:after="0" w:line="240" w:lineRule="auto"/>
      </w:pPr>
      <w:r>
        <w:continuationSeparator/>
      </w:r>
    </w:p>
  </w:footnote>
  <w:footnote w:type="continuationNotice" w:id="1">
    <w:p w14:paraId="1659BC4F" w14:textId="77777777" w:rsidR="00C4549F" w:rsidRDefault="00C4549F">
      <w:pPr>
        <w:spacing w:after="0" w:line="240" w:lineRule="auto"/>
      </w:pPr>
    </w:p>
  </w:footnote>
  <w:footnote w:id="2">
    <w:p w14:paraId="45AF31BA" w14:textId="4B375E2A" w:rsidR="001D5A22" w:rsidRDefault="001D5A22" w:rsidP="004516EA">
      <w:pPr>
        <w:spacing w:after="0" w:line="240" w:lineRule="auto"/>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 xml:space="preserve">En efecto, este enunciado normativo establece: </w:t>
      </w:r>
      <w:r w:rsidR="00B45E74">
        <w:rPr>
          <w:rFonts w:ascii="Verdana" w:hAnsi="Verdana" w:cs="Arial"/>
          <w:sz w:val="14"/>
          <w:szCs w:val="14"/>
          <w:lang w:val="es-ES"/>
        </w:rPr>
        <w:t>“</w:t>
      </w:r>
      <w:r w:rsidRPr="00B41137">
        <w:rPr>
          <w:rFonts w:ascii="Verdana" w:hAnsi="Verdana" w:cs="Arial"/>
          <w:sz w:val="14"/>
          <w:szCs w:val="14"/>
          <w:lang w:val="es-ES"/>
        </w:rPr>
        <w:t>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r w:rsidR="00B45E74">
        <w:rPr>
          <w:rFonts w:ascii="Verdana" w:hAnsi="Verdana" w:cs="Arial"/>
          <w:sz w:val="14"/>
          <w:szCs w:val="14"/>
          <w:lang w:val="es-ES"/>
        </w:rPr>
        <w:t>”</w:t>
      </w:r>
      <w:r w:rsidRPr="00B41137">
        <w:rPr>
          <w:rFonts w:ascii="Verdana" w:hAnsi="Verdana" w:cs="Arial"/>
          <w:sz w:val="14"/>
          <w:szCs w:val="14"/>
          <w:lang w:val="es-ES"/>
        </w:rPr>
        <w:t>.</w:t>
      </w:r>
    </w:p>
    <w:p w14:paraId="42A1FE62" w14:textId="77777777" w:rsidR="00B45E74" w:rsidRPr="00B41137" w:rsidRDefault="00B45E74" w:rsidP="00B41137">
      <w:pPr>
        <w:spacing w:after="0" w:line="240" w:lineRule="auto"/>
        <w:ind w:firstLine="709"/>
        <w:jc w:val="both"/>
        <w:rPr>
          <w:rFonts w:ascii="Verdana" w:hAnsi="Verdana" w:cs="Arial"/>
          <w:sz w:val="14"/>
          <w:szCs w:val="14"/>
          <w:lang w:val="es-ES"/>
        </w:rPr>
      </w:pPr>
    </w:p>
  </w:footnote>
  <w:footnote w:id="3">
    <w:p w14:paraId="6D13855C" w14:textId="02EDF51B" w:rsidR="001D5A22" w:rsidRDefault="001D5A22" w:rsidP="004516EA">
      <w:pPr>
        <w:spacing w:after="0" w:line="240" w:lineRule="auto"/>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 xml:space="preserve">En efecto, el artículo 1.500 del Código Civil expresa: </w:t>
      </w:r>
      <w:r w:rsidR="00B45E74">
        <w:rPr>
          <w:rFonts w:ascii="Verdana" w:hAnsi="Verdana" w:cs="Arial"/>
          <w:sz w:val="14"/>
          <w:szCs w:val="14"/>
          <w:lang w:val="es-ES"/>
        </w:rPr>
        <w:t>“</w:t>
      </w:r>
      <w:r w:rsidRPr="00B41137">
        <w:rPr>
          <w:rFonts w:ascii="Verdana" w:hAnsi="Verdana" w:cs="Arial"/>
          <w:sz w:val="14"/>
          <w:szCs w:val="14"/>
          <w:lang w:val="es-ES"/>
        </w:rPr>
        <w:t>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r w:rsidR="00B45E74">
        <w:rPr>
          <w:rFonts w:ascii="Verdana" w:hAnsi="Verdana" w:cs="Arial"/>
          <w:sz w:val="14"/>
          <w:szCs w:val="14"/>
          <w:lang w:val="es-ES"/>
        </w:rPr>
        <w:t>”</w:t>
      </w:r>
      <w:r w:rsidRPr="00B41137">
        <w:rPr>
          <w:rFonts w:ascii="Verdana" w:hAnsi="Verdana" w:cs="Arial"/>
          <w:sz w:val="14"/>
          <w:szCs w:val="14"/>
          <w:lang w:val="es-ES"/>
        </w:rPr>
        <w:t>.</w:t>
      </w:r>
    </w:p>
    <w:p w14:paraId="4E7CAD3A" w14:textId="77777777" w:rsidR="00B45E74" w:rsidRPr="00B41137" w:rsidRDefault="00B45E74" w:rsidP="00B41137">
      <w:pPr>
        <w:spacing w:after="0" w:line="240" w:lineRule="auto"/>
        <w:ind w:firstLine="709"/>
        <w:jc w:val="both"/>
        <w:rPr>
          <w:rFonts w:ascii="Verdana" w:hAnsi="Verdana" w:cs="Arial"/>
          <w:sz w:val="14"/>
          <w:szCs w:val="14"/>
          <w:lang w:val="es-ES"/>
        </w:rPr>
      </w:pPr>
    </w:p>
  </w:footnote>
  <w:footnote w:id="4">
    <w:p w14:paraId="20EFFDA1" w14:textId="77777777" w:rsidR="001D5A22" w:rsidRDefault="001D5A22" w:rsidP="004516EA">
      <w:pPr>
        <w:pStyle w:val="Textonotapie"/>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EXPÓSITO VÉLEZ, Juan Carlos. Forma y contenido del contrato estatal. Bogotá: Universidad Externado de Colombia, 2013. pp. 28-29.</w:t>
      </w:r>
    </w:p>
    <w:p w14:paraId="786D6F65" w14:textId="77777777" w:rsidR="00B45E74" w:rsidRPr="00B41137" w:rsidRDefault="00B45E74" w:rsidP="00B41137">
      <w:pPr>
        <w:pStyle w:val="Textonotapie"/>
        <w:ind w:firstLine="709"/>
        <w:jc w:val="both"/>
        <w:rPr>
          <w:rFonts w:ascii="Verdana" w:hAnsi="Verdana" w:cs="Arial"/>
          <w:sz w:val="14"/>
          <w:szCs w:val="14"/>
          <w:lang w:val="es-ES"/>
        </w:rPr>
      </w:pPr>
    </w:p>
  </w:footnote>
  <w:footnote w:id="5">
    <w:p w14:paraId="31E1CFD9" w14:textId="77777777" w:rsidR="001D5A22" w:rsidRDefault="001D5A22" w:rsidP="004516EA">
      <w:pPr>
        <w:pStyle w:val="Textonotapie"/>
        <w:ind w:firstLine="709"/>
        <w:jc w:val="both"/>
        <w:rPr>
          <w:rFonts w:ascii="Verdana" w:hAnsi="Verdana" w:cs="Arial"/>
          <w:color w:val="000000" w:themeColor="text1"/>
          <w:sz w:val="14"/>
          <w:szCs w:val="14"/>
        </w:rPr>
      </w:pPr>
      <w:r w:rsidRPr="00B41137">
        <w:rPr>
          <w:rStyle w:val="Refdenotaalpie"/>
          <w:rFonts w:ascii="Verdana" w:hAnsi="Verdana" w:cs="Arial"/>
          <w:sz w:val="14"/>
          <w:szCs w:val="14"/>
        </w:rPr>
        <w:footnoteRef/>
      </w:r>
      <w:r w:rsidRPr="00B41137">
        <w:rPr>
          <w:rFonts w:ascii="Verdana" w:hAnsi="Verdana" w:cs="Arial"/>
          <w:color w:val="000000" w:themeColor="text1"/>
          <w:sz w:val="14"/>
          <w:szCs w:val="14"/>
        </w:rPr>
        <w:t xml:space="preserve"> Consejo de Estado. Sección tercera. Sentencia del 10 de mayo de 2018. </w:t>
      </w:r>
      <w:proofErr w:type="spellStart"/>
      <w:r w:rsidRPr="00B41137">
        <w:rPr>
          <w:rFonts w:ascii="Verdana" w:hAnsi="Verdana" w:cs="Arial"/>
          <w:color w:val="000000" w:themeColor="text1"/>
          <w:sz w:val="14"/>
          <w:szCs w:val="14"/>
        </w:rPr>
        <w:t>Exp</w:t>
      </w:r>
      <w:proofErr w:type="spellEnd"/>
      <w:r w:rsidRPr="00B41137">
        <w:rPr>
          <w:rFonts w:ascii="Verdana" w:hAnsi="Verdana" w:cs="Arial"/>
          <w:color w:val="000000" w:themeColor="text1"/>
          <w:sz w:val="14"/>
          <w:szCs w:val="14"/>
        </w:rPr>
        <w:t>. 41.186. C.P. Stella Conto Díaz del Castillo.</w:t>
      </w:r>
    </w:p>
    <w:p w14:paraId="2E4418EE" w14:textId="77777777" w:rsidR="00B45E74" w:rsidRPr="00B41137" w:rsidRDefault="00B45E74" w:rsidP="00B41137">
      <w:pPr>
        <w:pStyle w:val="Textonotapie"/>
        <w:ind w:firstLine="709"/>
        <w:jc w:val="both"/>
        <w:rPr>
          <w:rFonts w:ascii="Verdana" w:hAnsi="Verdana" w:cs="Arial"/>
          <w:color w:val="000000" w:themeColor="text1"/>
          <w:sz w:val="14"/>
          <w:szCs w:val="14"/>
          <w:lang w:val="es-ES"/>
        </w:rPr>
      </w:pPr>
    </w:p>
  </w:footnote>
  <w:footnote w:id="6">
    <w:p w14:paraId="3EEF80D0" w14:textId="77777777" w:rsidR="001D5A22" w:rsidRDefault="001D5A22" w:rsidP="004516EA">
      <w:pPr>
        <w:pStyle w:val="Textonotapie"/>
        <w:ind w:firstLine="709"/>
        <w:jc w:val="both"/>
        <w:rPr>
          <w:rFonts w:ascii="Verdana" w:hAnsi="Verdana" w:cs="Arial"/>
          <w:iCs/>
          <w:sz w:val="14"/>
          <w:szCs w:val="14"/>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eastAsia="Calibri" w:hAnsi="Verdana" w:cs="Arial"/>
          <w:color w:val="000000"/>
          <w:sz w:val="14"/>
          <w:szCs w:val="14"/>
          <w:lang w:val="es-ES_tradnl" w:eastAsia="en-GB"/>
        </w:rPr>
        <w:t xml:space="preserve">A esta conclusión llegó la Sección Tercera del Consejo de Estado 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un contrato de prestación de servicios profesionales se considerara inexistente o viciado de nulidad absoluta. La respuesta del alto tribunal es que no se genera inexistencia ni vicio de nulidad absoluta, sino una eventual responsabilidad en los servidores públicos que incumplieron tal requisito presupuestal. </w:t>
      </w:r>
      <w:r w:rsidRPr="00B41137">
        <w:rPr>
          <w:rFonts w:ascii="Verdana" w:hAnsi="Verdana" w:cs="Arial"/>
          <w:sz w:val="14"/>
          <w:szCs w:val="14"/>
          <w:lang w:val="es-ES"/>
        </w:rPr>
        <w:t xml:space="preserve">Consejo de Estado. Sección Tercera. Subsección C. Sentencia del 12 de agosto de 2014. Consejero Ponente: Enrique Gil Botero. Expediente: </w:t>
      </w:r>
      <w:r w:rsidRPr="00B41137">
        <w:rPr>
          <w:rFonts w:ascii="Verdana" w:hAnsi="Verdana" w:cs="Arial"/>
          <w:iCs/>
          <w:sz w:val="14"/>
          <w:szCs w:val="14"/>
        </w:rPr>
        <w:t>28.565.</w:t>
      </w:r>
    </w:p>
    <w:p w14:paraId="40FDA9D5" w14:textId="77777777" w:rsidR="00B45E74" w:rsidRPr="00B41137" w:rsidRDefault="00B45E74" w:rsidP="00B41137">
      <w:pPr>
        <w:pStyle w:val="Textonotapie"/>
        <w:ind w:firstLine="709"/>
        <w:jc w:val="both"/>
        <w:rPr>
          <w:rFonts w:ascii="Verdana" w:hAnsi="Verdana" w:cs="Arial"/>
          <w:sz w:val="14"/>
          <w:szCs w:val="14"/>
          <w:lang w:val="es-ES"/>
        </w:rPr>
      </w:pPr>
    </w:p>
  </w:footnote>
  <w:footnote w:id="7">
    <w:p w14:paraId="26B510E9" w14:textId="77777777" w:rsidR="00F03C94" w:rsidRPr="00B41137" w:rsidRDefault="00F03C94" w:rsidP="00B41137">
      <w:pPr>
        <w:pStyle w:val="Textonotapie"/>
        <w:ind w:firstLine="709"/>
        <w:jc w:val="both"/>
        <w:rPr>
          <w:rFonts w:ascii="Verdana" w:hAnsi="Verdana" w:cs="Arial"/>
          <w:sz w:val="14"/>
          <w:szCs w:val="14"/>
          <w:lang w:val="es-ES"/>
        </w:rPr>
      </w:pPr>
      <w:r w:rsidRPr="00B41137">
        <w:rPr>
          <w:rStyle w:val="Refdenotaalpie"/>
          <w:rFonts w:ascii="Verdana" w:hAnsi="Verdana"/>
          <w:sz w:val="14"/>
          <w:szCs w:val="14"/>
        </w:rPr>
        <w:footnoteRef/>
      </w:r>
      <w:r w:rsidRPr="00B41137">
        <w:rPr>
          <w:rFonts w:ascii="Verdana" w:hAnsi="Verdana"/>
          <w:sz w:val="14"/>
          <w:szCs w:val="14"/>
        </w:rPr>
        <w:t xml:space="preserve"> </w:t>
      </w:r>
      <w:r w:rsidRPr="00B41137">
        <w:rPr>
          <w:rFonts w:ascii="Verdana" w:hAnsi="Verdana" w:cs="Arial"/>
          <w:sz w:val="14"/>
          <w:szCs w:val="14"/>
          <w:lang w:val="es-ES"/>
        </w:rPr>
        <w:t>Consejo de Estado. Sección Tercera. Subsección B. Sentencia del 3 de abril de 2020. Consejero Ponente: Ramiro Pazos Guerrero. Expediente: 46.963.</w:t>
      </w:r>
    </w:p>
    <w:p w14:paraId="0B567FA8" w14:textId="77777777" w:rsidR="00F03C94" w:rsidRPr="00B41137" w:rsidRDefault="00F03C94" w:rsidP="00B41137">
      <w:pPr>
        <w:pStyle w:val="Textonotapie"/>
        <w:jc w:val="both"/>
        <w:rPr>
          <w:rFonts w:ascii="Verdana" w:hAnsi="Verdana"/>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D2C"/>
    <w:multiLevelType w:val="hybridMultilevel"/>
    <w:tmpl w:val="2954F268"/>
    <w:lvl w:ilvl="0" w:tplc="1644B04E">
      <w:numFmt w:val="bullet"/>
      <w:lvlText w:val=""/>
      <w:lvlJc w:val="left"/>
      <w:pPr>
        <w:ind w:left="357" w:hanging="357"/>
      </w:pPr>
      <w:rPr>
        <w:rFonts w:ascii="Symbol" w:eastAsia="Symbol" w:hAnsi="Symbol" w:cs="Symbol" w:hint="default"/>
        <w:b w:val="0"/>
        <w:bCs w:val="0"/>
        <w:i w:val="0"/>
        <w:iCs w:val="0"/>
        <w:spacing w:val="0"/>
        <w:w w:val="99"/>
        <w:sz w:val="22"/>
        <w:szCs w:val="22"/>
        <w:lang w:val="es-ES" w:eastAsia="en-US" w:bidi="ar-SA"/>
      </w:rPr>
    </w:lvl>
    <w:lvl w:ilvl="1" w:tplc="38965FC0">
      <w:numFmt w:val="bullet"/>
      <w:lvlText w:val="•"/>
      <w:lvlJc w:val="left"/>
      <w:pPr>
        <w:ind w:left="1168" w:hanging="357"/>
      </w:pPr>
      <w:rPr>
        <w:rFonts w:hint="default"/>
        <w:lang w:val="es-ES" w:eastAsia="en-US" w:bidi="ar-SA"/>
      </w:rPr>
    </w:lvl>
    <w:lvl w:ilvl="2" w:tplc="E6422182">
      <w:numFmt w:val="bullet"/>
      <w:lvlText w:val="•"/>
      <w:lvlJc w:val="left"/>
      <w:pPr>
        <w:ind w:left="1976" w:hanging="357"/>
      </w:pPr>
      <w:rPr>
        <w:rFonts w:hint="default"/>
        <w:lang w:val="es-ES" w:eastAsia="en-US" w:bidi="ar-SA"/>
      </w:rPr>
    </w:lvl>
    <w:lvl w:ilvl="3" w:tplc="E67E1574">
      <w:numFmt w:val="bullet"/>
      <w:lvlText w:val="•"/>
      <w:lvlJc w:val="left"/>
      <w:pPr>
        <w:ind w:left="2785" w:hanging="357"/>
      </w:pPr>
      <w:rPr>
        <w:rFonts w:hint="default"/>
        <w:lang w:val="es-ES" w:eastAsia="en-US" w:bidi="ar-SA"/>
      </w:rPr>
    </w:lvl>
    <w:lvl w:ilvl="4" w:tplc="6CD49046">
      <w:numFmt w:val="bullet"/>
      <w:lvlText w:val="•"/>
      <w:lvlJc w:val="left"/>
      <w:pPr>
        <w:ind w:left="3593" w:hanging="357"/>
      </w:pPr>
      <w:rPr>
        <w:rFonts w:hint="default"/>
        <w:lang w:val="es-ES" w:eastAsia="en-US" w:bidi="ar-SA"/>
      </w:rPr>
    </w:lvl>
    <w:lvl w:ilvl="5" w:tplc="6BDEBFF2">
      <w:numFmt w:val="bullet"/>
      <w:lvlText w:val="•"/>
      <w:lvlJc w:val="left"/>
      <w:pPr>
        <w:ind w:left="4402" w:hanging="357"/>
      </w:pPr>
      <w:rPr>
        <w:rFonts w:hint="default"/>
        <w:lang w:val="es-ES" w:eastAsia="en-US" w:bidi="ar-SA"/>
      </w:rPr>
    </w:lvl>
    <w:lvl w:ilvl="6" w:tplc="21CA8784">
      <w:numFmt w:val="bullet"/>
      <w:lvlText w:val="•"/>
      <w:lvlJc w:val="left"/>
      <w:pPr>
        <w:ind w:left="5210" w:hanging="357"/>
      </w:pPr>
      <w:rPr>
        <w:rFonts w:hint="default"/>
        <w:lang w:val="es-ES" w:eastAsia="en-US" w:bidi="ar-SA"/>
      </w:rPr>
    </w:lvl>
    <w:lvl w:ilvl="7" w:tplc="6FB03E80">
      <w:numFmt w:val="bullet"/>
      <w:lvlText w:val="•"/>
      <w:lvlJc w:val="left"/>
      <w:pPr>
        <w:ind w:left="6018" w:hanging="357"/>
      </w:pPr>
      <w:rPr>
        <w:rFonts w:hint="default"/>
        <w:lang w:val="es-ES" w:eastAsia="en-US" w:bidi="ar-SA"/>
      </w:rPr>
    </w:lvl>
    <w:lvl w:ilvl="8" w:tplc="3A60D3AC">
      <w:numFmt w:val="bullet"/>
      <w:lvlText w:val="•"/>
      <w:lvlJc w:val="left"/>
      <w:pPr>
        <w:ind w:left="6827" w:hanging="357"/>
      </w:pPr>
      <w:rPr>
        <w:rFonts w:hint="default"/>
        <w:lang w:val="es-ES" w:eastAsia="en-US" w:bidi="ar-SA"/>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2"/>
  </w:num>
  <w:num w:numId="13" w16cid:durableId="1512908409">
    <w:abstractNumId w:val="4"/>
  </w:num>
  <w:num w:numId="14" w16cid:durableId="895897244">
    <w:abstractNumId w:val="14"/>
  </w:num>
  <w:num w:numId="15" w16cid:durableId="390349800">
    <w:abstractNumId w:val="10"/>
  </w:num>
  <w:num w:numId="16" w16cid:durableId="341274352">
    <w:abstractNumId w:val="1"/>
  </w:num>
  <w:num w:numId="17" w16cid:durableId="961032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3A1"/>
    <w:rsid w:val="00046945"/>
    <w:rsid w:val="000520E4"/>
    <w:rsid w:val="00061B2A"/>
    <w:rsid w:val="00065AAB"/>
    <w:rsid w:val="00074FA9"/>
    <w:rsid w:val="00082362"/>
    <w:rsid w:val="000A0056"/>
    <w:rsid w:val="000A0B07"/>
    <w:rsid w:val="000A683E"/>
    <w:rsid w:val="000B19B9"/>
    <w:rsid w:val="000B7EF7"/>
    <w:rsid w:val="000D0334"/>
    <w:rsid w:val="000D2D49"/>
    <w:rsid w:val="000D359A"/>
    <w:rsid w:val="000F6486"/>
    <w:rsid w:val="00125105"/>
    <w:rsid w:val="00127233"/>
    <w:rsid w:val="001511A0"/>
    <w:rsid w:val="001735B9"/>
    <w:rsid w:val="001D14E6"/>
    <w:rsid w:val="001D5A22"/>
    <w:rsid w:val="001E4177"/>
    <w:rsid w:val="001F7DC6"/>
    <w:rsid w:val="00236C3F"/>
    <w:rsid w:val="002421BB"/>
    <w:rsid w:val="0025796E"/>
    <w:rsid w:val="00266BF9"/>
    <w:rsid w:val="002707A2"/>
    <w:rsid w:val="002951A0"/>
    <w:rsid w:val="002962BC"/>
    <w:rsid w:val="002A093D"/>
    <w:rsid w:val="002A0DD0"/>
    <w:rsid w:val="002A49AC"/>
    <w:rsid w:val="002A64FD"/>
    <w:rsid w:val="002A7EFC"/>
    <w:rsid w:val="002C7A84"/>
    <w:rsid w:val="002E4FD9"/>
    <w:rsid w:val="00300664"/>
    <w:rsid w:val="00322184"/>
    <w:rsid w:val="00322A85"/>
    <w:rsid w:val="00324168"/>
    <w:rsid w:val="003353CE"/>
    <w:rsid w:val="003448F4"/>
    <w:rsid w:val="00374F5E"/>
    <w:rsid w:val="00377E3E"/>
    <w:rsid w:val="00386AC2"/>
    <w:rsid w:val="00387343"/>
    <w:rsid w:val="003A779E"/>
    <w:rsid w:val="003B6E49"/>
    <w:rsid w:val="003D0F4D"/>
    <w:rsid w:val="003D4C96"/>
    <w:rsid w:val="003D5B0D"/>
    <w:rsid w:val="003E0499"/>
    <w:rsid w:val="003F3941"/>
    <w:rsid w:val="003F5766"/>
    <w:rsid w:val="00406575"/>
    <w:rsid w:val="00414C74"/>
    <w:rsid w:val="0042722E"/>
    <w:rsid w:val="0042743C"/>
    <w:rsid w:val="00441CE3"/>
    <w:rsid w:val="0044528D"/>
    <w:rsid w:val="004516EA"/>
    <w:rsid w:val="004549B8"/>
    <w:rsid w:val="00456536"/>
    <w:rsid w:val="004819BA"/>
    <w:rsid w:val="004A1847"/>
    <w:rsid w:val="004A305D"/>
    <w:rsid w:val="004C1A98"/>
    <w:rsid w:val="004F21C4"/>
    <w:rsid w:val="004F685F"/>
    <w:rsid w:val="00515AC9"/>
    <w:rsid w:val="005566E8"/>
    <w:rsid w:val="0055798A"/>
    <w:rsid w:val="00560948"/>
    <w:rsid w:val="00574867"/>
    <w:rsid w:val="00591460"/>
    <w:rsid w:val="005B3816"/>
    <w:rsid w:val="005C3777"/>
    <w:rsid w:val="005C5CDC"/>
    <w:rsid w:val="005D476C"/>
    <w:rsid w:val="00620FA8"/>
    <w:rsid w:val="006219F8"/>
    <w:rsid w:val="006423A1"/>
    <w:rsid w:val="0066127C"/>
    <w:rsid w:val="00665D70"/>
    <w:rsid w:val="0067058A"/>
    <w:rsid w:val="006719D6"/>
    <w:rsid w:val="006900D9"/>
    <w:rsid w:val="00706C16"/>
    <w:rsid w:val="00744683"/>
    <w:rsid w:val="00756841"/>
    <w:rsid w:val="007649AB"/>
    <w:rsid w:val="00771D0C"/>
    <w:rsid w:val="007833AC"/>
    <w:rsid w:val="007B268C"/>
    <w:rsid w:val="007B7171"/>
    <w:rsid w:val="007C0C0F"/>
    <w:rsid w:val="007C3DC2"/>
    <w:rsid w:val="007E5497"/>
    <w:rsid w:val="00802E23"/>
    <w:rsid w:val="00806F5F"/>
    <w:rsid w:val="00820278"/>
    <w:rsid w:val="00835016"/>
    <w:rsid w:val="00867F95"/>
    <w:rsid w:val="008843B6"/>
    <w:rsid w:val="00886C5A"/>
    <w:rsid w:val="00891928"/>
    <w:rsid w:val="008A446D"/>
    <w:rsid w:val="008D180B"/>
    <w:rsid w:val="008F0EA7"/>
    <w:rsid w:val="00920FB1"/>
    <w:rsid w:val="00923EEF"/>
    <w:rsid w:val="00941942"/>
    <w:rsid w:val="009419F9"/>
    <w:rsid w:val="0095685E"/>
    <w:rsid w:val="00961B09"/>
    <w:rsid w:val="00965334"/>
    <w:rsid w:val="0097093E"/>
    <w:rsid w:val="00986AC5"/>
    <w:rsid w:val="009A02D4"/>
    <w:rsid w:val="009A0DFA"/>
    <w:rsid w:val="009A6AD4"/>
    <w:rsid w:val="009B2D26"/>
    <w:rsid w:val="009C5CE6"/>
    <w:rsid w:val="009C5F2C"/>
    <w:rsid w:val="009C71FA"/>
    <w:rsid w:val="009C72E7"/>
    <w:rsid w:val="009D3058"/>
    <w:rsid w:val="009F3A13"/>
    <w:rsid w:val="00A01E89"/>
    <w:rsid w:val="00A122D3"/>
    <w:rsid w:val="00A17F13"/>
    <w:rsid w:val="00A20739"/>
    <w:rsid w:val="00A33856"/>
    <w:rsid w:val="00A33C78"/>
    <w:rsid w:val="00AA36EA"/>
    <w:rsid w:val="00AB09BB"/>
    <w:rsid w:val="00AB0ADB"/>
    <w:rsid w:val="00AF3466"/>
    <w:rsid w:val="00B01B1A"/>
    <w:rsid w:val="00B3469A"/>
    <w:rsid w:val="00B41137"/>
    <w:rsid w:val="00B45E74"/>
    <w:rsid w:val="00B66319"/>
    <w:rsid w:val="00B71254"/>
    <w:rsid w:val="00B72CD3"/>
    <w:rsid w:val="00B72FFF"/>
    <w:rsid w:val="00BC3D36"/>
    <w:rsid w:val="00BD759C"/>
    <w:rsid w:val="00BD7F72"/>
    <w:rsid w:val="00BF1A68"/>
    <w:rsid w:val="00C04FB3"/>
    <w:rsid w:val="00C330EB"/>
    <w:rsid w:val="00C41061"/>
    <w:rsid w:val="00C4549F"/>
    <w:rsid w:val="00C754BE"/>
    <w:rsid w:val="00C76B1C"/>
    <w:rsid w:val="00C978AE"/>
    <w:rsid w:val="00CB6357"/>
    <w:rsid w:val="00CC1B26"/>
    <w:rsid w:val="00CD6CEB"/>
    <w:rsid w:val="00D423A2"/>
    <w:rsid w:val="00D520D8"/>
    <w:rsid w:val="00D63AC2"/>
    <w:rsid w:val="00D7383B"/>
    <w:rsid w:val="00D73DB2"/>
    <w:rsid w:val="00D9635F"/>
    <w:rsid w:val="00DA231B"/>
    <w:rsid w:val="00DC32F1"/>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4F6"/>
    <w:rsid w:val="00EC38A7"/>
    <w:rsid w:val="00ED4F61"/>
    <w:rsid w:val="00ED7384"/>
    <w:rsid w:val="00EE1AA8"/>
    <w:rsid w:val="00F03C94"/>
    <w:rsid w:val="00F20087"/>
    <w:rsid w:val="00F31EDC"/>
    <w:rsid w:val="00F462B3"/>
    <w:rsid w:val="00F55157"/>
    <w:rsid w:val="00F5664F"/>
    <w:rsid w:val="00F647DF"/>
    <w:rsid w:val="00F666C4"/>
    <w:rsid w:val="00F76AFC"/>
    <w:rsid w:val="00FA47C0"/>
    <w:rsid w:val="00FB5DD1"/>
    <w:rsid w:val="00FC2B5D"/>
    <w:rsid w:val="00FF1449"/>
    <w:rsid w:val="573DC2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0D86D3B-C89E-41D9-974F-C43CEE6E6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03C94"/>
    <w:pPr>
      <w:spacing w:line="240" w:lineRule="exact"/>
    </w:pPr>
    <w:rPr>
      <w:vertAlign w:val="superscript"/>
    </w:rPr>
  </w:style>
  <w:style w:type="paragraph" w:styleId="Textoindependiente">
    <w:name w:val="Body Text"/>
    <w:basedOn w:val="Normal"/>
    <w:link w:val="TextoindependienteCar"/>
    <w:uiPriority w:val="1"/>
    <w:unhideWhenUsed/>
    <w:qFormat/>
    <w:rsid w:val="00F03C94"/>
    <w:pPr>
      <w:spacing w:after="120"/>
    </w:pPr>
  </w:style>
  <w:style w:type="character" w:customStyle="1" w:styleId="TextoindependienteCar">
    <w:name w:val="Texto independiente Car"/>
    <w:basedOn w:val="Fuentedeprrafopredeter"/>
    <w:link w:val="Textoindependiente"/>
    <w:uiPriority w:val="1"/>
    <w:rsid w:val="00F03C9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03C94"/>
    <w:rPr>
      <w:rFonts w:ascii="Geomanist Light" w:hAnsi="Geomanist Light"/>
      <w:lang w:val="es-ES"/>
    </w:rPr>
  </w:style>
  <w:style w:type="character" w:styleId="Refdecomentario">
    <w:name w:val="annotation reference"/>
    <w:basedOn w:val="Fuentedeprrafopredeter"/>
    <w:uiPriority w:val="99"/>
    <w:semiHidden/>
    <w:unhideWhenUsed/>
    <w:rsid w:val="00835016"/>
    <w:rPr>
      <w:sz w:val="16"/>
      <w:szCs w:val="16"/>
    </w:rPr>
  </w:style>
  <w:style w:type="paragraph" w:styleId="Textocomentario">
    <w:name w:val="annotation text"/>
    <w:basedOn w:val="Normal"/>
    <w:link w:val="TextocomentarioCar"/>
    <w:uiPriority w:val="99"/>
    <w:unhideWhenUsed/>
    <w:rsid w:val="00835016"/>
    <w:pPr>
      <w:spacing w:line="240" w:lineRule="auto"/>
    </w:pPr>
    <w:rPr>
      <w:sz w:val="20"/>
      <w:szCs w:val="20"/>
    </w:rPr>
  </w:style>
  <w:style w:type="character" w:customStyle="1" w:styleId="TextocomentarioCar">
    <w:name w:val="Texto comentario Car"/>
    <w:basedOn w:val="Fuentedeprrafopredeter"/>
    <w:link w:val="Textocomentario"/>
    <w:uiPriority w:val="99"/>
    <w:rsid w:val="00835016"/>
    <w:rPr>
      <w:sz w:val="20"/>
      <w:szCs w:val="20"/>
    </w:rPr>
  </w:style>
  <w:style w:type="paragraph" w:styleId="Asuntodelcomentario">
    <w:name w:val="annotation subject"/>
    <w:basedOn w:val="Textocomentario"/>
    <w:next w:val="Textocomentario"/>
    <w:link w:val="AsuntodelcomentarioCar"/>
    <w:uiPriority w:val="99"/>
    <w:semiHidden/>
    <w:unhideWhenUsed/>
    <w:rsid w:val="00835016"/>
    <w:rPr>
      <w:b/>
      <w:bCs/>
    </w:rPr>
  </w:style>
  <w:style w:type="character" w:customStyle="1" w:styleId="AsuntodelcomentarioCar">
    <w:name w:val="Asunto del comentario Car"/>
    <w:basedOn w:val="TextocomentarioCar"/>
    <w:link w:val="Asuntodelcomentario"/>
    <w:uiPriority w:val="99"/>
    <w:semiHidden/>
    <w:rsid w:val="008350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solmunoz@idsn.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E959628-9402-4189-A888-F9F168E58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3866</Words>
  <Characters>21269</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25085</CharactersWithSpaces>
  <SharedDoc>false</SharedDoc>
  <HLinks>
    <vt:vector size="12" baseType="variant">
      <vt:variant>
        <vt:i4>720914</vt:i4>
      </vt:variant>
      <vt:variant>
        <vt:i4>3</vt:i4>
      </vt:variant>
      <vt:variant>
        <vt:i4>0</vt:i4>
      </vt:variant>
      <vt:variant>
        <vt:i4>5</vt:i4>
      </vt:variant>
      <vt:variant>
        <vt:lpwstr>http://www.secretariasenado.gov.co/senado/basedoc/ley_0080_1993.html</vt:lpwstr>
      </vt:variant>
      <vt:variant>
        <vt:lpwstr>42</vt:lpwstr>
      </vt:variant>
      <vt:variant>
        <vt:i4>4194337</vt:i4>
      </vt:variant>
      <vt:variant>
        <vt:i4>0</vt:i4>
      </vt:variant>
      <vt:variant>
        <vt:i4>0</vt:i4>
      </vt:variant>
      <vt:variant>
        <vt:i4>5</vt:i4>
      </vt:variant>
      <vt:variant>
        <vt:lpwstr>mailto:marisolmunoz@idsn.gov.co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2025-05-19T17:15:00Z</dcterms:created>
  <dcterms:modified xsi:type="dcterms:W3CDTF">2025-05-19T17:15:00Z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