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77F77" w14:textId="77777777" w:rsidR="00AE69B9" w:rsidRPr="005B2D93" w:rsidRDefault="00AE69B9" w:rsidP="00AE69B9">
      <w:pPr>
        <w:spacing w:after="0" w:line="240" w:lineRule="auto"/>
        <w:jc w:val="both"/>
        <w:rPr>
          <w:rFonts w:ascii="Verdana" w:hAnsi="Verdana"/>
          <w:b/>
          <w:lang w:val="es-MX"/>
        </w:rPr>
      </w:pPr>
      <w:bookmarkStart w:id="0" w:name="_Hlk143780582"/>
      <w:r w:rsidRPr="005B2D93">
        <w:rPr>
          <w:rFonts w:ascii="Verdana" w:hAnsi="Verdana"/>
          <w:b/>
          <w:lang w:val="es-MX"/>
        </w:rPr>
        <w:t>ADICIÓN – Concepto – Distintos supuestos – Prohibición – Adición en más del 50%</w:t>
      </w:r>
    </w:p>
    <w:p w14:paraId="71B1B1B3" w14:textId="77777777" w:rsidR="00AE69B9" w:rsidRPr="005B2D93" w:rsidRDefault="00AE69B9" w:rsidP="00AE69B9">
      <w:pPr>
        <w:spacing w:after="0" w:line="240" w:lineRule="auto"/>
        <w:jc w:val="both"/>
        <w:rPr>
          <w:rFonts w:ascii="Verdana" w:hAnsi="Verdana"/>
          <w:b/>
          <w:sz w:val="20"/>
          <w:szCs w:val="20"/>
          <w:lang w:val="es-MX"/>
        </w:rPr>
      </w:pPr>
    </w:p>
    <w:p w14:paraId="48FB0614" w14:textId="77777777" w:rsidR="00AE69B9" w:rsidRPr="005B2D93" w:rsidRDefault="00AE69B9" w:rsidP="00AE69B9">
      <w:pPr>
        <w:spacing w:after="0" w:line="240" w:lineRule="auto"/>
        <w:jc w:val="both"/>
        <w:rPr>
          <w:rFonts w:ascii="Verdana" w:hAnsi="Verdana" w:cs="Arial"/>
          <w:sz w:val="20"/>
          <w:szCs w:val="20"/>
          <w:lang w:eastAsia="es-ES"/>
        </w:rPr>
      </w:pPr>
      <w:r w:rsidRPr="005B2D93">
        <w:rPr>
          <w:rFonts w:ascii="Verdana" w:hAnsi="Verdana"/>
          <w:sz w:val="20"/>
          <w:szCs w:val="20"/>
          <w:lang w:val="es-ES"/>
        </w:rPr>
        <w:t xml:space="preserve">[…] </w:t>
      </w:r>
      <w:r w:rsidRPr="005B2D93">
        <w:rPr>
          <w:rFonts w:ascii="Verdana" w:hAnsi="Verdana" w:cs="Arial"/>
          <w:sz w:val="20"/>
          <w:szCs w:val="20"/>
          <w:lang w:eastAsia="es-ES"/>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w:t>
      </w:r>
      <w:proofErr w:type="spellStart"/>
      <w:r w:rsidRPr="005B2D93">
        <w:rPr>
          <w:rFonts w:ascii="Verdana" w:hAnsi="Verdana" w:cs="Arial"/>
          <w:sz w:val="20"/>
          <w:szCs w:val="20"/>
          <w:lang w:eastAsia="es-ES"/>
        </w:rPr>
        <w:t>ii</w:t>
      </w:r>
      <w:proofErr w:type="spellEnd"/>
      <w:r w:rsidRPr="005B2D93">
        <w:rPr>
          <w:rFonts w:ascii="Verdana" w:hAnsi="Verdana" w:cs="Arial"/>
          <w:sz w:val="20"/>
          <w:szCs w:val="20"/>
          <w:lang w:eastAsia="es-ES"/>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61251663" w14:textId="77777777" w:rsidR="00AE69B9" w:rsidRPr="005B2D93" w:rsidRDefault="00AE69B9" w:rsidP="00AE69B9">
      <w:pPr>
        <w:spacing w:after="0" w:line="240" w:lineRule="auto"/>
        <w:jc w:val="both"/>
        <w:rPr>
          <w:rFonts w:ascii="Verdana" w:hAnsi="Verdana"/>
          <w:sz w:val="20"/>
          <w:szCs w:val="20"/>
          <w:lang w:val="es-ES"/>
        </w:rPr>
      </w:pPr>
    </w:p>
    <w:p w14:paraId="66D8CE19" w14:textId="77777777" w:rsidR="00AE69B9" w:rsidRPr="005B2D93" w:rsidRDefault="00AE69B9" w:rsidP="00AE69B9">
      <w:pPr>
        <w:spacing w:after="0" w:line="240" w:lineRule="auto"/>
        <w:jc w:val="both"/>
        <w:rPr>
          <w:rFonts w:ascii="Verdana" w:hAnsi="Verdana"/>
          <w:sz w:val="20"/>
          <w:szCs w:val="20"/>
          <w:lang w:val="es-ES"/>
        </w:rPr>
      </w:pPr>
      <w:r w:rsidRPr="005B2D93">
        <w:rPr>
          <w:rFonts w:ascii="Verdana" w:hAnsi="Verdana"/>
          <w:sz w:val="20"/>
          <w:szCs w:val="20"/>
          <w:lang w:val="es-ES"/>
        </w:rPr>
        <w:t>[…]</w:t>
      </w:r>
    </w:p>
    <w:p w14:paraId="266771C5" w14:textId="77777777" w:rsidR="00AE69B9" w:rsidRPr="005B2D93" w:rsidRDefault="00AE69B9" w:rsidP="00AE69B9">
      <w:pPr>
        <w:spacing w:after="0" w:line="240" w:lineRule="auto"/>
        <w:jc w:val="both"/>
        <w:rPr>
          <w:rFonts w:ascii="Verdana" w:hAnsi="Verdana"/>
          <w:bCs/>
          <w:sz w:val="20"/>
          <w:szCs w:val="20"/>
          <w:lang w:val="es-ES_tradnl"/>
        </w:rPr>
      </w:pPr>
    </w:p>
    <w:p w14:paraId="6984607D" w14:textId="77777777" w:rsidR="00AE69B9" w:rsidRPr="005B2D93" w:rsidRDefault="00AE69B9" w:rsidP="00AE69B9">
      <w:pPr>
        <w:spacing w:after="0" w:line="240" w:lineRule="auto"/>
        <w:jc w:val="both"/>
        <w:rPr>
          <w:rFonts w:ascii="Verdana" w:hAnsi="Verdana" w:cs="Arial"/>
          <w:sz w:val="20"/>
          <w:szCs w:val="20"/>
          <w:lang w:eastAsia="es-ES"/>
        </w:rPr>
      </w:pPr>
      <w:r w:rsidRPr="005B2D93">
        <w:rPr>
          <w:rFonts w:ascii="Verdana" w:hAnsi="Verdana" w:cs="Arial"/>
          <w:sz w:val="20"/>
          <w:szCs w:val="20"/>
          <w:lang w:eastAsia="es-ES_tradnl"/>
        </w:rPr>
        <w:t>No obstante, la expresión “contrato adicional” al igual que las otras nociones doctrinarias y jurisprudenciales arriba señaladas entre comillas son de uso común en la práctica contractual por las Entidades Estatales.</w:t>
      </w:r>
      <w:r w:rsidRPr="005B2D93">
        <w:rPr>
          <w:rFonts w:ascii="Verdana" w:hAnsi="Verdana" w:cs="Arial"/>
          <w:sz w:val="20"/>
          <w:szCs w:val="20"/>
          <w:lang w:eastAsia="es-ES"/>
        </w:rPr>
        <w:t xml:space="preserve"> </w:t>
      </w:r>
      <w:r w:rsidRPr="005B2D93">
        <w:rPr>
          <w:rFonts w:ascii="Verdana" w:hAnsi="Verdana" w:cs="Arial"/>
          <w:sz w:val="20"/>
          <w:szCs w:val="20"/>
          <w:lang w:eastAsia="es-ES_tradnl"/>
        </w:rPr>
        <w:t xml:space="preserve">En ese sentido, </w:t>
      </w:r>
      <w:r w:rsidRPr="005B2D93">
        <w:rPr>
          <w:rFonts w:ascii="Verdana" w:hAnsi="Verdana"/>
          <w:sz w:val="20"/>
          <w:szCs w:val="20"/>
        </w:rPr>
        <w:t>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juridica, tal y como se procede a explicar. Mientras que las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14:paraId="16769805" w14:textId="77777777" w:rsidR="00AE69B9" w:rsidRPr="005B2D93" w:rsidRDefault="00AE69B9" w:rsidP="00AE69B9">
      <w:pPr>
        <w:spacing w:after="0" w:line="240" w:lineRule="auto"/>
        <w:jc w:val="both"/>
        <w:rPr>
          <w:rFonts w:ascii="Verdana" w:hAnsi="Verdana"/>
          <w:b/>
          <w:sz w:val="20"/>
          <w:szCs w:val="20"/>
        </w:rPr>
      </w:pPr>
    </w:p>
    <w:p w14:paraId="5EB2ADEA" w14:textId="77777777" w:rsidR="00AE69B9" w:rsidRPr="005B2D93" w:rsidRDefault="00AE69B9" w:rsidP="00AE69B9">
      <w:pPr>
        <w:spacing w:after="0" w:line="240" w:lineRule="auto"/>
        <w:jc w:val="both"/>
        <w:rPr>
          <w:rFonts w:ascii="Verdana" w:hAnsi="Verdana"/>
          <w:b/>
          <w:bCs/>
          <w:lang w:val="es-MX"/>
        </w:rPr>
      </w:pPr>
      <w:r w:rsidRPr="005B2D93">
        <w:rPr>
          <w:rFonts w:ascii="Verdana" w:hAnsi="Verdana"/>
          <w:b/>
          <w:bCs/>
          <w:lang w:val="es-MX"/>
        </w:rPr>
        <w:t xml:space="preserve">ADICIÓN – Prohibición – Monto – Cálculo – Parágrafo artículo 40 – Ley 80 de 1993 </w:t>
      </w:r>
    </w:p>
    <w:p w14:paraId="07C6C965" w14:textId="77777777" w:rsidR="00AE69B9" w:rsidRPr="005B2D93" w:rsidRDefault="00AE69B9" w:rsidP="00AE69B9">
      <w:pPr>
        <w:spacing w:after="0" w:line="240" w:lineRule="auto"/>
        <w:jc w:val="both"/>
        <w:rPr>
          <w:rFonts w:ascii="Verdana" w:hAnsi="Verdana"/>
          <w:b/>
          <w:sz w:val="20"/>
          <w:szCs w:val="20"/>
          <w:lang w:val="es-MX"/>
        </w:rPr>
      </w:pPr>
    </w:p>
    <w:p w14:paraId="7028E3EE" w14:textId="77777777" w:rsidR="00AE69B9" w:rsidRPr="005B2D93" w:rsidRDefault="00AE69B9" w:rsidP="00AE69B9">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En la doctrina expuesta en dichos conceptos esta Agencia ha sostenido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6BBD2329" w14:textId="77777777" w:rsidR="00AE69B9" w:rsidRPr="005B2D93" w:rsidRDefault="00AE69B9" w:rsidP="00AE69B9">
      <w:pPr>
        <w:spacing w:after="0" w:line="240" w:lineRule="auto"/>
        <w:ind w:left="709" w:right="709"/>
        <w:jc w:val="both"/>
        <w:rPr>
          <w:rFonts w:ascii="Verdana" w:hAnsi="Verdana" w:cs="Arial"/>
          <w:sz w:val="20"/>
          <w:szCs w:val="20"/>
          <w:lang w:eastAsia="es-ES_tradnl"/>
        </w:rPr>
      </w:pPr>
      <w:r w:rsidRPr="005B2D93">
        <w:rPr>
          <w:rFonts w:ascii="Verdana" w:hAnsi="Verdana" w:cs="Arial"/>
          <w:sz w:val="20"/>
          <w:szCs w:val="20"/>
          <w:lang w:eastAsia="es-ES_tradnl"/>
        </w:rPr>
        <w:t xml:space="preserve"> </w:t>
      </w:r>
    </w:p>
    <w:p w14:paraId="51FAC5EB" w14:textId="77777777" w:rsidR="00AE69B9" w:rsidRPr="005B2D93" w:rsidRDefault="00AE69B9" w:rsidP="00AE69B9">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 xml:space="preserve">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a efectos de atender la consulta planteada exponer las diferentes posturas en relación con el tope establecido para adicionar los contratos, especialmente, frente a aquellos en los que el precio se ha pactado bajo la modalidad de precios unitarios. Dicha exposición se realiza con el fin de explicar las </w:t>
      </w:r>
      <w:r w:rsidRPr="005B2D93">
        <w:rPr>
          <w:rFonts w:ascii="Verdana" w:hAnsi="Verdana" w:cs="Arial"/>
          <w:sz w:val="20"/>
          <w:szCs w:val="20"/>
          <w:lang w:eastAsia="es-ES_tradnl"/>
        </w:rPr>
        <w:lastRenderedPageBreak/>
        <w:t xml:space="preserve">razones por las cuales esta Agencia considera necesario hacer un cambio en su línea doctrinal sobre el tema analizado en los contratos cuya estructuración y pago se realiza por precios unitarios. </w:t>
      </w:r>
    </w:p>
    <w:p w14:paraId="1C87A31D" w14:textId="77777777" w:rsidR="00AE69B9" w:rsidRPr="005B2D93" w:rsidRDefault="00AE69B9" w:rsidP="00AE69B9">
      <w:pPr>
        <w:spacing w:after="0" w:line="240" w:lineRule="auto"/>
        <w:jc w:val="both"/>
        <w:rPr>
          <w:rFonts w:ascii="Verdana" w:hAnsi="Verdana"/>
          <w:bCs/>
          <w:sz w:val="20"/>
          <w:szCs w:val="20"/>
        </w:rPr>
      </w:pPr>
    </w:p>
    <w:p w14:paraId="1A8941BD" w14:textId="77777777" w:rsidR="00AE69B9" w:rsidRPr="005B2D93" w:rsidRDefault="00AE69B9" w:rsidP="00AE69B9">
      <w:pPr>
        <w:spacing w:after="0" w:line="240" w:lineRule="auto"/>
        <w:jc w:val="both"/>
        <w:rPr>
          <w:rFonts w:ascii="Verdana" w:hAnsi="Verdana"/>
          <w:b/>
          <w:bCs/>
          <w:lang w:val="es-MX"/>
        </w:rPr>
      </w:pPr>
      <w:r w:rsidRPr="005B2D93">
        <w:rPr>
          <w:rFonts w:ascii="Verdana" w:hAnsi="Verdana"/>
          <w:b/>
          <w:bCs/>
          <w:lang w:val="es-MX"/>
        </w:rPr>
        <w:t xml:space="preserve">ADICIÓN – Mayores cantidades – Límites – Posturas </w:t>
      </w:r>
    </w:p>
    <w:p w14:paraId="1EABBDF6" w14:textId="77777777" w:rsidR="00AE69B9" w:rsidRPr="005B2D93" w:rsidRDefault="00AE69B9" w:rsidP="00AE69B9">
      <w:pPr>
        <w:spacing w:after="0" w:line="240" w:lineRule="auto"/>
        <w:jc w:val="both"/>
        <w:rPr>
          <w:rFonts w:ascii="Verdana" w:hAnsi="Verdana"/>
          <w:b/>
          <w:bCs/>
          <w:sz w:val="20"/>
          <w:szCs w:val="20"/>
          <w:lang w:val="es-MX"/>
        </w:rPr>
      </w:pPr>
    </w:p>
    <w:p w14:paraId="3DA35917" w14:textId="77777777" w:rsidR="00AE69B9" w:rsidRPr="005B2D93" w:rsidRDefault="00AE69B9" w:rsidP="00AE69B9">
      <w:pPr>
        <w:spacing w:after="0" w:line="240" w:lineRule="auto"/>
        <w:jc w:val="both"/>
        <w:rPr>
          <w:rFonts w:ascii="Verdana" w:hAnsi="Verdana" w:cs="Arial"/>
          <w:sz w:val="20"/>
          <w:szCs w:val="20"/>
          <w:lang w:eastAsia="es-ES_tradnl"/>
        </w:rPr>
      </w:pPr>
      <w:r w:rsidRPr="005B2D93">
        <w:rPr>
          <w:rFonts w:ascii="Verdana" w:hAnsi="Verdana"/>
          <w:sz w:val="20"/>
          <w:szCs w:val="20"/>
          <w:lang w:val="es-MX"/>
        </w:rPr>
        <w:t xml:space="preserve">La primera postura, que fue señalada por la Sala de Consulta y Servicio Civil del Consejo </w:t>
      </w:r>
      <w:r w:rsidRPr="005B2D93">
        <w:rPr>
          <w:rFonts w:ascii="Verdana" w:hAnsi="Verdana" w:cs="Arial"/>
          <w:sz w:val="20"/>
          <w:szCs w:val="20"/>
          <w:lang w:eastAsia="es-ES_tradnl"/>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3E9D8F36" w14:textId="77777777" w:rsidR="00AE69B9" w:rsidRPr="005B2D93" w:rsidRDefault="00AE69B9" w:rsidP="00AE69B9">
      <w:pPr>
        <w:spacing w:after="0" w:line="240" w:lineRule="auto"/>
        <w:jc w:val="both"/>
        <w:rPr>
          <w:rFonts w:ascii="Verdana" w:hAnsi="Verdana" w:cs="Arial"/>
          <w:sz w:val="20"/>
          <w:szCs w:val="20"/>
          <w:lang w:eastAsia="es-ES_tradnl"/>
        </w:rPr>
      </w:pPr>
    </w:p>
    <w:p w14:paraId="3D8BEBE0" w14:textId="77777777" w:rsidR="00AE69B9" w:rsidRPr="005B2D93" w:rsidRDefault="00AE69B9" w:rsidP="00AE69B9">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3BE4C160" w14:textId="77777777" w:rsidR="00AE69B9" w:rsidRPr="005B2D93" w:rsidRDefault="00AE69B9" w:rsidP="00AE69B9">
      <w:pPr>
        <w:spacing w:after="0" w:line="240" w:lineRule="auto"/>
        <w:jc w:val="both"/>
        <w:rPr>
          <w:rFonts w:ascii="Verdana" w:hAnsi="Verdana"/>
          <w:sz w:val="20"/>
          <w:szCs w:val="20"/>
        </w:rPr>
      </w:pPr>
    </w:p>
    <w:p w14:paraId="51DB40E9" w14:textId="77777777" w:rsidR="00AE69B9" w:rsidRPr="005B2D93" w:rsidRDefault="00AE69B9" w:rsidP="00AE69B9">
      <w:pPr>
        <w:spacing w:after="0" w:line="240" w:lineRule="auto"/>
        <w:jc w:val="both"/>
        <w:rPr>
          <w:rFonts w:ascii="Verdana" w:hAnsi="Verdana"/>
          <w:sz w:val="20"/>
          <w:szCs w:val="20"/>
          <w:lang w:val="es-ES_tradnl"/>
        </w:rPr>
      </w:pPr>
      <w:r w:rsidRPr="005B2D93">
        <w:rPr>
          <w:rFonts w:ascii="Verdana" w:hAnsi="Verdana"/>
          <w:sz w:val="20"/>
          <w:szCs w:val="20"/>
          <w:lang w:val="es-ES_tradnl"/>
        </w:rPr>
        <w:t>[…]</w:t>
      </w:r>
    </w:p>
    <w:p w14:paraId="63561DF5" w14:textId="77777777" w:rsidR="00AE69B9" w:rsidRPr="005B2D93" w:rsidRDefault="00AE69B9" w:rsidP="00AE69B9">
      <w:pPr>
        <w:spacing w:after="0" w:line="240" w:lineRule="auto"/>
        <w:jc w:val="both"/>
        <w:rPr>
          <w:rFonts w:ascii="Verdana" w:hAnsi="Verdana"/>
          <w:sz w:val="20"/>
          <w:szCs w:val="20"/>
          <w:lang w:val="es-ES_tradnl"/>
        </w:rPr>
      </w:pPr>
    </w:p>
    <w:p w14:paraId="79C82EBF" w14:textId="77777777" w:rsidR="00AE69B9" w:rsidRPr="005B2D93" w:rsidRDefault="00AE69B9" w:rsidP="00AE69B9">
      <w:pPr>
        <w:spacing w:after="0" w:line="240" w:lineRule="auto"/>
        <w:jc w:val="both"/>
        <w:rPr>
          <w:rFonts w:ascii="Verdana" w:hAnsi="Verdana"/>
          <w:sz w:val="20"/>
          <w:szCs w:val="20"/>
          <w:lang w:val="es-MX"/>
        </w:rPr>
      </w:pPr>
      <w:r w:rsidRPr="005B2D93">
        <w:rPr>
          <w:rFonts w:ascii="Verdana" w:hAnsi="Verdana" w:cs="Arial"/>
          <w:sz w:val="20"/>
          <w:szCs w:val="20"/>
          <w:lang w:eastAsia="es-ES_tradnl"/>
        </w:rPr>
        <w:t>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w:t>
      </w:r>
      <w:r w:rsidRPr="005B2D93">
        <w:rPr>
          <w:rFonts w:ascii="Verdana" w:hAnsi="Verdana"/>
          <w:sz w:val="20"/>
          <w:szCs w:val="20"/>
          <w:lang w:val="es-MX"/>
        </w:rPr>
        <w:t xml:space="preserve">. </w:t>
      </w:r>
    </w:p>
    <w:p w14:paraId="0FB64110" w14:textId="77777777" w:rsidR="00AE69B9" w:rsidRPr="005B2D93" w:rsidRDefault="00AE69B9" w:rsidP="00AE69B9">
      <w:pPr>
        <w:spacing w:after="0" w:line="240" w:lineRule="auto"/>
        <w:jc w:val="both"/>
        <w:rPr>
          <w:rFonts w:ascii="Verdana" w:hAnsi="Verdana"/>
          <w:b/>
          <w:sz w:val="20"/>
          <w:szCs w:val="20"/>
          <w:lang w:val="es-ES_tradnl"/>
        </w:rPr>
      </w:pPr>
    </w:p>
    <w:p w14:paraId="5DEAB709" w14:textId="77777777" w:rsidR="00AE69B9" w:rsidRPr="005B2D93" w:rsidRDefault="00AE69B9" w:rsidP="00AE69B9">
      <w:pPr>
        <w:spacing w:after="0" w:line="240" w:lineRule="auto"/>
        <w:jc w:val="both"/>
        <w:rPr>
          <w:rFonts w:ascii="Verdana" w:hAnsi="Verdana"/>
          <w:b/>
          <w:lang w:val="es-ES_tradnl"/>
        </w:rPr>
      </w:pPr>
      <w:r w:rsidRPr="005B2D93">
        <w:rPr>
          <w:rFonts w:ascii="Verdana" w:hAnsi="Verdana"/>
          <w:b/>
          <w:lang w:val="es-ES_tradnl"/>
        </w:rPr>
        <w:t>MODIFICACION DE LOS CONTRATOS ESTATALES – Procedencia – Límites</w:t>
      </w:r>
    </w:p>
    <w:p w14:paraId="107CC544" w14:textId="77777777" w:rsidR="00AE69B9" w:rsidRPr="005B2D93" w:rsidRDefault="00AE69B9" w:rsidP="00AE69B9">
      <w:pPr>
        <w:spacing w:after="0" w:line="240" w:lineRule="auto"/>
        <w:jc w:val="both"/>
        <w:rPr>
          <w:rFonts w:ascii="Verdana" w:hAnsi="Verdana"/>
          <w:b/>
          <w:sz w:val="20"/>
          <w:szCs w:val="20"/>
          <w:lang w:val="es-MX"/>
        </w:rPr>
      </w:pPr>
    </w:p>
    <w:p w14:paraId="1DA871E2" w14:textId="77777777" w:rsidR="00AE69B9" w:rsidRPr="005B2D93" w:rsidRDefault="00AE69B9" w:rsidP="00AE69B9">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14:paraId="6225BD12" w14:textId="77777777" w:rsidR="00AE69B9" w:rsidRPr="005B2D93" w:rsidRDefault="00AE69B9" w:rsidP="00AE69B9">
      <w:pPr>
        <w:spacing w:after="0" w:line="240" w:lineRule="auto"/>
        <w:jc w:val="both"/>
        <w:rPr>
          <w:rFonts w:ascii="Verdana" w:hAnsi="Verdana"/>
          <w:bCs/>
          <w:sz w:val="20"/>
          <w:szCs w:val="20"/>
          <w:lang w:val="es-MX"/>
        </w:rPr>
      </w:pPr>
    </w:p>
    <w:p w14:paraId="5CD350CD" w14:textId="77777777" w:rsidR="00AE69B9" w:rsidRPr="005B2D93" w:rsidRDefault="00AE69B9" w:rsidP="00AE69B9">
      <w:pPr>
        <w:spacing w:after="0" w:line="240" w:lineRule="auto"/>
        <w:jc w:val="both"/>
        <w:rPr>
          <w:rFonts w:ascii="Verdana" w:hAnsi="Verdana"/>
          <w:bCs/>
          <w:sz w:val="20"/>
          <w:szCs w:val="20"/>
          <w:lang w:val="es-MX"/>
        </w:rPr>
      </w:pPr>
      <w:r w:rsidRPr="005B2D93">
        <w:rPr>
          <w:rFonts w:ascii="Verdana" w:hAnsi="Verdana"/>
          <w:bCs/>
          <w:sz w:val="20"/>
          <w:szCs w:val="20"/>
          <w:lang w:val="es-MX"/>
        </w:rPr>
        <w:t>[…]</w:t>
      </w:r>
    </w:p>
    <w:p w14:paraId="31CFAC94" w14:textId="77777777" w:rsidR="00AE69B9" w:rsidRPr="005B2D93" w:rsidRDefault="00AE69B9" w:rsidP="00AE69B9">
      <w:pPr>
        <w:spacing w:after="0" w:line="240" w:lineRule="auto"/>
        <w:jc w:val="both"/>
        <w:rPr>
          <w:rFonts w:ascii="Verdana" w:hAnsi="Verdana"/>
          <w:b/>
          <w:sz w:val="20"/>
          <w:szCs w:val="20"/>
          <w:lang w:val="es-ES_tradnl"/>
        </w:rPr>
      </w:pPr>
    </w:p>
    <w:p w14:paraId="071C7705" w14:textId="77777777" w:rsidR="00AE69B9" w:rsidRPr="005B2D93" w:rsidRDefault="00AE69B9" w:rsidP="00AE69B9">
      <w:pPr>
        <w:spacing w:after="0" w:line="240" w:lineRule="auto"/>
        <w:jc w:val="both"/>
        <w:rPr>
          <w:rFonts w:ascii="Verdana" w:eastAsia="Calibri" w:hAnsi="Verdana" w:cs="Arial"/>
          <w:sz w:val="20"/>
          <w:szCs w:val="20"/>
        </w:rPr>
      </w:pPr>
      <w:r w:rsidRPr="005B2D93">
        <w:rPr>
          <w:rFonts w:ascii="Verdana" w:eastAsia="Calibri" w:hAnsi="Verdana" w:cs="Arial"/>
          <w:sz w:val="20"/>
          <w:szCs w:val="20"/>
        </w:rPr>
        <w:lastRenderedPageBreak/>
        <w:t>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w:t>
      </w:r>
    </w:p>
    <w:p w14:paraId="6A0EB8B4" w14:textId="77777777" w:rsidR="00AE69B9" w:rsidRPr="005B2D93" w:rsidRDefault="00AE69B9" w:rsidP="00AE69B9">
      <w:pPr>
        <w:spacing w:after="0" w:line="240" w:lineRule="auto"/>
        <w:jc w:val="both"/>
        <w:rPr>
          <w:rFonts w:ascii="Verdana" w:hAnsi="Verdana"/>
          <w:bCs/>
          <w:sz w:val="20"/>
          <w:szCs w:val="20"/>
          <w:lang w:val="es-ES_tradnl"/>
        </w:rPr>
      </w:pPr>
    </w:p>
    <w:p w14:paraId="51D0D2F1" w14:textId="77777777" w:rsidR="00AE69B9" w:rsidRPr="005B2D93" w:rsidRDefault="00AE69B9" w:rsidP="00AE69B9">
      <w:pPr>
        <w:spacing w:after="0" w:line="240" w:lineRule="auto"/>
        <w:jc w:val="both"/>
        <w:rPr>
          <w:rFonts w:ascii="Verdana" w:hAnsi="Verdana"/>
          <w:b/>
          <w:lang w:val="es-ES_tradnl"/>
        </w:rPr>
      </w:pPr>
      <w:r w:rsidRPr="005B2D93">
        <w:rPr>
          <w:rFonts w:ascii="Verdana" w:hAnsi="Verdana"/>
          <w:b/>
          <w:lang w:val="es-ES_tradnl"/>
        </w:rPr>
        <w:t>MODIFICACION DE LOS CONTRATOS ESTATALES – Procedencia – Límites – Principio de planeación</w:t>
      </w:r>
    </w:p>
    <w:p w14:paraId="53394390" w14:textId="77777777" w:rsidR="00AE69B9" w:rsidRPr="005B2D93" w:rsidRDefault="00AE69B9" w:rsidP="00AE69B9">
      <w:pPr>
        <w:spacing w:after="0" w:line="240" w:lineRule="auto"/>
        <w:jc w:val="both"/>
        <w:rPr>
          <w:rFonts w:ascii="Verdana" w:hAnsi="Verdana"/>
          <w:b/>
          <w:sz w:val="20"/>
          <w:szCs w:val="20"/>
          <w:lang w:val="es-ES_tradnl"/>
        </w:rPr>
      </w:pPr>
    </w:p>
    <w:p w14:paraId="56E1C740" w14:textId="77777777" w:rsidR="00AE69B9" w:rsidRPr="005B2D93" w:rsidRDefault="00AE69B9" w:rsidP="00AE69B9">
      <w:pPr>
        <w:spacing w:after="0" w:line="240" w:lineRule="auto"/>
        <w:jc w:val="both"/>
        <w:rPr>
          <w:rFonts w:ascii="Verdana" w:hAnsi="Verdana"/>
          <w:sz w:val="20"/>
          <w:szCs w:val="20"/>
        </w:rPr>
      </w:pPr>
      <w:r w:rsidRPr="005B2D93">
        <w:rPr>
          <w:rFonts w:ascii="Verdana" w:eastAsia="Calibri" w:hAnsi="Verdana" w:cs="Arial"/>
          <w:sz w:val="20"/>
          <w:szCs w:val="20"/>
        </w:rPr>
        <w:t xml:space="preserve">Sin perjuicio de lo expuesto, </w:t>
      </w:r>
      <w:r w:rsidRPr="005B2D93">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2EA5B738" w14:textId="77777777" w:rsidR="00AE69B9" w:rsidRPr="005B2D93" w:rsidRDefault="00AE69B9" w:rsidP="00AE69B9">
      <w:pPr>
        <w:spacing w:after="0" w:line="240" w:lineRule="auto"/>
        <w:jc w:val="both"/>
        <w:rPr>
          <w:rFonts w:ascii="Verdana" w:hAnsi="Verdana"/>
          <w:sz w:val="20"/>
          <w:szCs w:val="20"/>
        </w:rPr>
      </w:pPr>
    </w:p>
    <w:p w14:paraId="2672B86F" w14:textId="77777777" w:rsidR="00AE69B9" w:rsidRPr="005B2D93" w:rsidRDefault="00AE69B9" w:rsidP="00AE69B9">
      <w:pPr>
        <w:spacing w:after="0" w:line="240" w:lineRule="auto"/>
        <w:jc w:val="both"/>
        <w:rPr>
          <w:rFonts w:ascii="Verdana" w:hAnsi="Verdana"/>
          <w:sz w:val="20"/>
          <w:szCs w:val="20"/>
        </w:rPr>
      </w:pPr>
      <w:r w:rsidRPr="005B2D93">
        <w:rPr>
          <w:rFonts w:ascii="Verdana" w:hAnsi="Verdana"/>
          <w:sz w:val="20"/>
          <w:szCs w:val="20"/>
        </w:rPr>
        <w:t>[…]</w:t>
      </w:r>
    </w:p>
    <w:p w14:paraId="1A1A530B" w14:textId="77777777" w:rsidR="00AE69B9" w:rsidRDefault="00AE69B9" w:rsidP="00AE69B9">
      <w:pPr>
        <w:widowControl w:val="0"/>
        <w:autoSpaceDE w:val="0"/>
        <w:autoSpaceDN w:val="0"/>
        <w:spacing w:after="0" w:line="240" w:lineRule="auto"/>
        <w:jc w:val="both"/>
        <w:rPr>
          <w:rFonts w:ascii="Verdana" w:eastAsia="Calibri" w:hAnsi="Verdana" w:cs="Arial"/>
          <w:sz w:val="20"/>
          <w:szCs w:val="20"/>
        </w:rPr>
      </w:pPr>
    </w:p>
    <w:p w14:paraId="7EF082DE" w14:textId="77777777" w:rsidR="00AE69B9" w:rsidRPr="005B2D93" w:rsidRDefault="00AE69B9" w:rsidP="00AE69B9">
      <w:pPr>
        <w:widowControl w:val="0"/>
        <w:autoSpaceDE w:val="0"/>
        <w:autoSpaceDN w:val="0"/>
        <w:spacing w:after="0" w:line="240" w:lineRule="auto"/>
        <w:jc w:val="both"/>
        <w:rPr>
          <w:rFonts w:ascii="Verdana" w:hAnsi="Verdana"/>
          <w:sz w:val="20"/>
          <w:szCs w:val="20"/>
        </w:rPr>
      </w:pPr>
      <w:r w:rsidRPr="005B2D93">
        <w:rPr>
          <w:rFonts w:ascii="Verdana" w:eastAsia="Calibri" w:hAnsi="Verdana" w:cs="Arial"/>
          <w:sz w:val="20"/>
          <w:szCs w:val="20"/>
        </w:rPr>
        <w:t>Por consiguiente, pese a la posibilidad de que se varíen de las cantidades de obra, los contratos a precios unitarios tienen un valor inicial que obedece a la estructuración y planificación que los procede. En ese sentido, aun cuando el Consejo de Estado ha considerado la posibilidad de ejecutar incluso en valores mayores al cincuenta por ciento (50%) en el sistema de precios unitarios, lo cierto es que, situaciones en las que se ejecuta de manera desproporcionada el valor inicial de un contrato estatal, pueden ser sintomáticas de falencias en la planeación del contrato.</w:t>
      </w:r>
    </w:p>
    <w:p w14:paraId="1790A49B" w14:textId="77777777" w:rsidR="00AE69B9" w:rsidRDefault="00AE69B9">
      <w:pPr>
        <w:rPr>
          <w:rFonts w:ascii="Verdana" w:hAnsi="Verdana"/>
        </w:rPr>
      </w:pPr>
      <w:r>
        <w:rPr>
          <w:rFonts w:ascii="Verdana" w:hAnsi="Verdana"/>
        </w:rPr>
        <w:br w:type="page"/>
      </w:r>
    </w:p>
    <w:p w14:paraId="55DDCAE9" w14:textId="7CCA96E4" w:rsidR="00497F91" w:rsidRPr="00661F0B" w:rsidRDefault="006E7B3F" w:rsidP="008C412B">
      <w:pPr>
        <w:spacing w:after="0" w:line="240" w:lineRule="auto"/>
        <w:jc w:val="both"/>
        <w:rPr>
          <w:rFonts w:ascii="Verdana" w:hAnsi="Verdana"/>
        </w:rPr>
      </w:pPr>
      <w:r w:rsidRPr="00661F0B">
        <w:rPr>
          <w:rFonts w:ascii="Verdana" w:hAnsi="Verdana"/>
        </w:rPr>
        <w:lastRenderedPageBreak/>
        <w:t xml:space="preserve">Bogotá D.C., </w:t>
      </w:r>
      <w:r w:rsidR="00497F91">
        <w:rPr>
          <w:rFonts w:ascii="Verdana" w:hAnsi="Verdana"/>
        </w:rPr>
        <w:t>23 de septiembre de 2024.</w:t>
      </w:r>
    </w:p>
    <w:p w14:paraId="224DE6AB" w14:textId="61C102C4" w:rsidR="006E7B3F" w:rsidRDefault="006E7B3F" w:rsidP="000324EB">
      <w:pPr>
        <w:spacing w:after="0" w:line="240" w:lineRule="auto"/>
        <w:jc w:val="right"/>
        <w:rPr>
          <w:rFonts w:ascii="Verdana" w:hAnsi="Verdana"/>
        </w:rPr>
      </w:pPr>
      <w:r w:rsidRPr="00661F0B">
        <w:rPr>
          <w:rFonts w:ascii="Verdana" w:hAnsi="Verdana"/>
        </w:rPr>
        <w:tab/>
      </w:r>
      <w:bookmarkEnd w:id="0"/>
      <w:r w:rsidR="000324EB" w:rsidRPr="000324EB">
        <w:rPr>
          <w:rFonts w:ascii="Verdana" w:hAnsi="Verdana"/>
        </w:rPr>
        <w:drawing>
          <wp:inline distT="0" distB="0" distL="0" distR="0" wp14:anchorId="44940194" wp14:editId="1582BCC7">
            <wp:extent cx="2981324" cy="891712"/>
            <wp:effectExtent l="0" t="0" r="0" b="3810"/>
            <wp:docPr id="1731880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80536" name=""/>
                    <pic:cNvPicPr/>
                  </pic:nvPicPr>
                  <pic:blipFill>
                    <a:blip r:embed="rId11"/>
                    <a:stretch>
                      <a:fillRect/>
                    </a:stretch>
                  </pic:blipFill>
                  <pic:spPr>
                    <a:xfrm>
                      <a:off x="0" y="0"/>
                      <a:ext cx="2985238" cy="892883"/>
                    </a:xfrm>
                    <a:prstGeom prst="rect">
                      <a:avLst/>
                    </a:prstGeom>
                  </pic:spPr>
                </pic:pic>
              </a:graphicData>
            </a:graphic>
          </wp:inline>
        </w:drawing>
      </w:r>
    </w:p>
    <w:p w14:paraId="16FDC7A6" w14:textId="239C9601" w:rsidR="000324EB" w:rsidRDefault="00497F91" w:rsidP="00255F0C">
      <w:pPr>
        <w:spacing w:after="0" w:line="240" w:lineRule="auto"/>
        <w:jc w:val="right"/>
        <w:rPr>
          <w:rFonts w:ascii="Verdana" w:hAnsi="Verdana"/>
        </w:rPr>
      </w:pPr>
      <w:r w:rsidRPr="00497F91">
        <w:rPr>
          <w:rFonts w:ascii="Verdana" w:hAnsi="Verdana"/>
        </w:rPr>
        <w:drawing>
          <wp:inline distT="0" distB="0" distL="0" distR="0" wp14:anchorId="76E323E9" wp14:editId="45F1F462">
            <wp:extent cx="2949868" cy="852382"/>
            <wp:effectExtent l="0" t="0" r="3175" b="5080"/>
            <wp:docPr id="16643105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10513" name="Imagen 1" descr="Texto&#10;&#10;Descripción generada automáticamente"/>
                    <pic:cNvPicPr/>
                  </pic:nvPicPr>
                  <pic:blipFill>
                    <a:blip r:embed="rId12"/>
                    <a:stretch>
                      <a:fillRect/>
                    </a:stretch>
                  </pic:blipFill>
                  <pic:spPr>
                    <a:xfrm>
                      <a:off x="0" y="0"/>
                      <a:ext cx="2983203" cy="862014"/>
                    </a:xfrm>
                    <a:prstGeom prst="rect">
                      <a:avLst/>
                    </a:prstGeom>
                  </pic:spPr>
                </pic:pic>
              </a:graphicData>
            </a:graphic>
          </wp:inline>
        </w:drawing>
      </w:r>
    </w:p>
    <w:p w14:paraId="2196EFD6" w14:textId="77777777" w:rsidR="006E7B3F" w:rsidRPr="00661F0B" w:rsidRDefault="006E7B3F" w:rsidP="008C412B">
      <w:pPr>
        <w:spacing w:after="0" w:line="240" w:lineRule="auto"/>
        <w:jc w:val="both"/>
        <w:rPr>
          <w:rFonts w:ascii="Verdana" w:eastAsia="Calibri" w:hAnsi="Verdana" w:cs="Arial"/>
          <w:lang w:eastAsia="es-ES"/>
        </w:rPr>
      </w:pPr>
      <w:r w:rsidRPr="00661F0B">
        <w:rPr>
          <w:rFonts w:ascii="Verdana" w:eastAsia="Calibri" w:hAnsi="Verdana" w:cs="Arial"/>
          <w:lang w:eastAsia="es-ES"/>
        </w:rPr>
        <w:t>Señor</w:t>
      </w:r>
    </w:p>
    <w:p w14:paraId="7403224C" w14:textId="5500CE49" w:rsidR="00524E0A" w:rsidRPr="00661F0B" w:rsidRDefault="00524E0A" w:rsidP="008C412B">
      <w:pPr>
        <w:spacing w:after="0" w:line="240" w:lineRule="auto"/>
        <w:jc w:val="both"/>
        <w:rPr>
          <w:rFonts w:ascii="Verdana" w:eastAsia="Calibri" w:hAnsi="Verdana" w:cs="Arial"/>
          <w:b/>
          <w:lang w:eastAsia="es-ES_tradnl"/>
        </w:rPr>
      </w:pPr>
      <w:r w:rsidRPr="00661F0B">
        <w:rPr>
          <w:rFonts w:ascii="Verdana" w:eastAsia="Calibri" w:hAnsi="Verdana" w:cs="Arial"/>
          <w:b/>
          <w:lang w:eastAsia="es-ES_tradnl"/>
        </w:rPr>
        <w:t xml:space="preserve">Pedro Orlando Molano Pérez </w:t>
      </w:r>
    </w:p>
    <w:p w14:paraId="6E1DB21D" w14:textId="56938286" w:rsidR="006E7B3F" w:rsidRPr="00236B36" w:rsidRDefault="00524E0A" w:rsidP="008C412B">
      <w:pPr>
        <w:spacing w:after="0" w:line="240" w:lineRule="auto"/>
        <w:jc w:val="both"/>
        <w:rPr>
          <w:rFonts w:ascii="Verdana" w:eastAsia="Calibri" w:hAnsi="Verdana" w:cs="Arial"/>
          <w:b/>
          <w:lang w:eastAsia="es-ES_tradnl"/>
        </w:rPr>
      </w:pPr>
      <w:r w:rsidRPr="00236B36">
        <w:rPr>
          <w:rFonts w:ascii="Verdana" w:eastAsia="Calibri" w:hAnsi="Verdana" w:cs="Arial"/>
          <w:b/>
          <w:lang w:eastAsia="es-ES_tradnl"/>
        </w:rPr>
        <w:t>Director General</w:t>
      </w:r>
    </w:p>
    <w:p w14:paraId="54A03973" w14:textId="1EF92EEF" w:rsidR="00524E0A" w:rsidRPr="00661F0B" w:rsidRDefault="00524E0A" w:rsidP="008C412B">
      <w:pPr>
        <w:spacing w:after="0" w:line="240" w:lineRule="auto"/>
        <w:jc w:val="both"/>
        <w:rPr>
          <w:rFonts w:ascii="Verdana" w:eastAsia="Calibri" w:hAnsi="Verdana" w:cs="Arial"/>
          <w:b/>
          <w:bCs/>
          <w:lang w:eastAsia="es-ES_tradnl"/>
        </w:rPr>
      </w:pPr>
      <w:r w:rsidRPr="00661F0B">
        <w:rPr>
          <w:rFonts w:ascii="Verdana" w:eastAsia="Calibri" w:hAnsi="Verdana" w:cs="Arial"/>
          <w:b/>
          <w:bCs/>
          <w:lang w:eastAsia="es-ES_tradnl"/>
        </w:rPr>
        <w:t xml:space="preserve">Instituto de Desarrollo Urbano – IDU </w:t>
      </w:r>
    </w:p>
    <w:p w14:paraId="010E7452" w14:textId="4B7AFBAB" w:rsidR="00524E0A" w:rsidRPr="00661F0B" w:rsidRDefault="00524E0A" w:rsidP="008C412B">
      <w:pPr>
        <w:spacing w:after="0" w:line="240" w:lineRule="auto"/>
        <w:jc w:val="both"/>
        <w:rPr>
          <w:rFonts w:ascii="Verdana" w:eastAsia="Calibri" w:hAnsi="Verdana" w:cs="Arial"/>
          <w:lang w:eastAsia="es-ES_tradnl"/>
        </w:rPr>
      </w:pPr>
      <w:r w:rsidRPr="00661F0B">
        <w:rPr>
          <w:rFonts w:ascii="Verdana" w:eastAsia="Calibri" w:hAnsi="Verdana" w:cs="Arial"/>
          <w:lang w:eastAsia="es-ES_tradnl"/>
        </w:rPr>
        <w:t xml:space="preserve">Bogotá D.C. </w:t>
      </w:r>
    </w:p>
    <w:p w14:paraId="1AFA6DE8" w14:textId="77777777" w:rsidR="00524E0A" w:rsidRPr="00661F0B" w:rsidRDefault="00524E0A" w:rsidP="008C412B">
      <w:pPr>
        <w:spacing w:after="0" w:line="240" w:lineRule="auto"/>
        <w:jc w:val="both"/>
        <w:rPr>
          <w:rFonts w:ascii="Verdana" w:eastAsia="Calibri" w:hAnsi="Verdana" w:cs="Arial"/>
          <w:b/>
          <w:bCs/>
          <w:lang w:eastAsia="es-ES_tradnl"/>
        </w:rPr>
      </w:pPr>
    </w:p>
    <w:p w14:paraId="6B221489" w14:textId="77777777" w:rsidR="00524E0A" w:rsidRPr="00661F0B" w:rsidRDefault="00524E0A" w:rsidP="008C412B">
      <w:pPr>
        <w:spacing w:after="0" w:line="240" w:lineRule="auto"/>
        <w:jc w:val="both"/>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7B3F" w:rsidRPr="00661F0B" w14:paraId="1C57A73D" w14:textId="77777777">
        <w:trPr>
          <w:trHeight w:val="230"/>
        </w:trPr>
        <w:tc>
          <w:tcPr>
            <w:tcW w:w="2689" w:type="dxa"/>
          </w:tcPr>
          <w:p w14:paraId="0446E3B9" w14:textId="77777777" w:rsidR="006E7B3F" w:rsidRPr="00661F0B" w:rsidRDefault="006E7B3F" w:rsidP="008C412B">
            <w:pPr>
              <w:jc w:val="both"/>
              <w:rPr>
                <w:rFonts w:ascii="Verdana" w:eastAsia="Calibri" w:hAnsi="Verdana" w:cs="Arial"/>
                <w:b/>
                <w:bCs/>
                <w:lang w:eastAsia="es-ES_tradnl"/>
              </w:rPr>
            </w:pPr>
          </w:p>
        </w:tc>
        <w:tc>
          <w:tcPr>
            <w:tcW w:w="6100" w:type="dxa"/>
          </w:tcPr>
          <w:p w14:paraId="2E9AD3F3" w14:textId="77777777" w:rsidR="006E7B3F" w:rsidRPr="00661F0B" w:rsidRDefault="006E7B3F" w:rsidP="008C412B">
            <w:pPr>
              <w:jc w:val="both"/>
              <w:rPr>
                <w:rFonts w:ascii="Verdana" w:eastAsia="Calibri" w:hAnsi="Verdana" w:cs="Arial"/>
                <w:b/>
                <w:bCs/>
                <w:lang w:eastAsia="es-ES"/>
              </w:rPr>
            </w:pPr>
            <w:r w:rsidRPr="00661F0B">
              <w:rPr>
                <w:rFonts w:ascii="Verdana" w:eastAsia="Calibri" w:hAnsi="Verdana" w:cs="Arial"/>
                <w:b/>
                <w:bCs/>
                <w:lang w:eastAsia="es-ES"/>
              </w:rPr>
              <w:t>Concepto C- 465 de 2024</w:t>
            </w:r>
          </w:p>
          <w:p w14:paraId="04C1DD69" w14:textId="77777777" w:rsidR="006E7B3F" w:rsidRPr="00661F0B" w:rsidRDefault="006E7B3F" w:rsidP="008C412B">
            <w:pPr>
              <w:jc w:val="both"/>
              <w:rPr>
                <w:rFonts w:ascii="Verdana" w:eastAsia="Calibri" w:hAnsi="Verdana" w:cs="Arial"/>
                <w:b/>
                <w:bCs/>
                <w:lang w:eastAsia="es-ES"/>
              </w:rPr>
            </w:pPr>
          </w:p>
        </w:tc>
      </w:tr>
      <w:tr w:rsidR="006E7B3F" w:rsidRPr="00661F0B" w14:paraId="58D6D3E6" w14:textId="77777777">
        <w:trPr>
          <w:trHeight w:val="884"/>
        </w:trPr>
        <w:tc>
          <w:tcPr>
            <w:tcW w:w="2689" w:type="dxa"/>
          </w:tcPr>
          <w:p w14:paraId="69B79B6F" w14:textId="77777777" w:rsidR="006E7B3F" w:rsidRPr="00661F0B" w:rsidRDefault="006E7B3F" w:rsidP="008C412B">
            <w:pPr>
              <w:jc w:val="both"/>
              <w:rPr>
                <w:rFonts w:ascii="Verdana" w:eastAsia="Calibri" w:hAnsi="Verdana" w:cs="Arial"/>
                <w:lang w:eastAsia="es-ES_tradnl"/>
              </w:rPr>
            </w:pPr>
            <w:r w:rsidRPr="00661F0B">
              <w:rPr>
                <w:rFonts w:ascii="Verdana" w:eastAsia="Calibri" w:hAnsi="Verdana" w:cs="Arial"/>
                <w:b/>
                <w:lang w:eastAsia="es-ES_tradnl"/>
              </w:rPr>
              <w:t>Temas:</w:t>
            </w:r>
            <w:r w:rsidRPr="00661F0B">
              <w:rPr>
                <w:rFonts w:ascii="Verdana" w:eastAsia="Calibri" w:hAnsi="Verdana" w:cs="Arial"/>
                <w:lang w:eastAsia="es-ES_tradnl"/>
              </w:rPr>
              <w:t xml:space="preserve">                   </w:t>
            </w:r>
          </w:p>
        </w:tc>
        <w:tc>
          <w:tcPr>
            <w:tcW w:w="6100" w:type="dxa"/>
          </w:tcPr>
          <w:p w14:paraId="43D2EE14" w14:textId="77777777" w:rsidR="006E7B3F" w:rsidRPr="00661F0B" w:rsidRDefault="006E7B3F" w:rsidP="008C412B">
            <w:pPr>
              <w:jc w:val="both"/>
              <w:rPr>
                <w:rFonts w:ascii="Verdana" w:hAnsi="Verdana"/>
                <w:bCs/>
              </w:rPr>
            </w:pPr>
            <w:r w:rsidRPr="00FB088A">
              <w:rPr>
                <w:rFonts w:ascii="Verdana" w:hAnsi="Verdana" w:cs="Arial"/>
                <w:bCs/>
                <w:szCs w:val="24"/>
                <w:lang w:eastAsia="es-ES_tradnl"/>
              </w:rPr>
              <w:t>ADICIÓN – Concepto – Distintos supuestos – Prohibición – Adición en más del 50% / ADICIÓN – Prohibición – Monto – Cálculo – Parágrafo artículo 40 – Ley 80 de 1993 / ADICIÓN – Mayores cantidades – Límites – Posturas /</w:t>
            </w:r>
            <w:r w:rsidRPr="00FB088A">
              <w:rPr>
                <w:rFonts w:ascii="Verdana" w:hAnsi="Verdana" w:cs="Arial"/>
                <w:bCs/>
                <w:szCs w:val="24"/>
                <w:lang w:eastAsia="es-ES_tradnl" w:bidi="es-ES"/>
              </w:rPr>
              <w:t xml:space="preserve"> MODIFICACION DE LOS CONTRATOS ESTATALES – Procedencia – Límites</w:t>
            </w:r>
            <w:r w:rsidRPr="00FB088A">
              <w:rPr>
                <w:rFonts w:ascii="Verdana" w:hAnsi="Verdana" w:cs="Arial"/>
                <w:bCs/>
                <w:szCs w:val="24"/>
                <w:lang w:eastAsia="es-ES_tradnl"/>
              </w:rPr>
              <w:t xml:space="preserve"> / </w:t>
            </w:r>
            <w:r w:rsidRPr="00FB088A">
              <w:rPr>
                <w:rFonts w:ascii="Verdana" w:hAnsi="Verdana"/>
                <w:bCs/>
              </w:rPr>
              <w:t>MODIFICACION DE LOS CONTRATOS ESTATALES – Procedencia – Límites – Principio de planeación</w:t>
            </w:r>
          </w:p>
          <w:p w14:paraId="0E045FAB" w14:textId="77777777" w:rsidR="006E7B3F" w:rsidRPr="00661F0B" w:rsidRDefault="006E7B3F" w:rsidP="008C412B">
            <w:pPr>
              <w:jc w:val="both"/>
              <w:rPr>
                <w:rFonts w:ascii="Verdana" w:eastAsia="Calibri" w:hAnsi="Verdana" w:cs="Arial"/>
                <w:bCs/>
                <w:lang w:eastAsia="es-ES"/>
              </w:rPr>
            </w:pPr>
          </w:p>
        </w:tc>
      </w:tr>
      <w:tr w:rsidR="006E7B3F" w:rsidRPr="00661F0B" w14:paraId="7F66AD49" w14:textId="77777777">
        <w:tc>
          <w:tcPr>
            <w:tcW w:w="2689" w:type="dxa"/>
          </w:tcPr>
          <w:p w14:paraId="448C01E9" w14:textId="77777777" w:rsidR="006E7B3F" w:rsidRPr="00661F0B" w:rsidRDefault="006E7B3F" w:rsidP="008C412B">
            <w:pPr>
              <w:jc w:val="both"/>
              <w:rPr>
                <w:rFonts w:ascii="Verdana" w:eastAsia="Calibri" w:hAnsi="Verdana" w:cs="Arial"/>
                <w:b/>
                <w:lang w:eastAsia="es-ES_tradnl"/>
              </w:rPr>
            </w:pPr>
            <w:r w:rsidRPr="00661F0B">
              <w:rPr>
                <w:rFonts w:ascii="Verdana" w:eastAsia="Calibri" w:hAnsi="Verdana" w:cs="Arial"/>
                <w:b/>
                <w:lang w:eastAsia="es-ES_tradnl"/>
              </w:rPr>
              <w:t>Radicación:</w:t>
            </w:r>
            <w:r w:rsidRPr="00661F0B">
              <w:rPr>
                <w:rFonts w:ascii="Verdana" w:eastAsia="Calibri" w:hAnsi="Verdana" w:cs="Arial"/>
                <w:lang w:eastAsia="es-ES_tradnl"/>
              </w:rPr>
              <w:t xml:space="preserve">               </w:t>
            </w:r>
          </w:p>
        </w:tc>
        <w:tc>
          <w:tcPr>
            <w:tcW w:w="6100" w:type="dxa"/>
          </w:tcPr>
          <w:p w14:paraId="4A321BF0" w14:textId="0D323824" w:rsidR="006E7B3F" w:rsidRPr="00661F0B" w:rsidRDefault="006E7B3F" w:rsidP="008C412B">
            <w:pPr>
              <w:jc w:val="both"/>
              <w:rPr>
                <w:rFonts w:ascii="Verdana" w:eastAsia="Calibri" w:hAnsi="Verdana" w:cs="Arial"/>
                <w:lang w:eastAsia="es-ES_tradnl"/>
              </w:rPr>
            </w:pPr>
            <w:r w:rsidRPr="00661F0B">
              <w:rPr>
                <w:rFonts w:ascii="Verdana" w:eastAsia="Calibri" w:hAnsi="Verdana" w:cs="Arial"/>
                <w:lang w:eastAsia="es-ES_tradnl"/>
              </w:rPr>
              <w:t xml:space="preserve">Respuesta a consulta con radicado No. </w:t>
            </w:r>
            <w:r w:rsidRPr="00661F0B">
              <w:rPr>
                <w:rFonts w:ascii="Verdana" w:hAnsi="Verdana" w:cs="Calibri"/>
                <w:color w:val="000000"/>
              </w:rPr>
              <w:t>P20240809008174</w:t>
            </w:r>
            <w:r w:rsidR="00616E84">
              <w:rPr>
                <w:rFonts w:ascii="Verdana" w:hAnsi="Verdana" w:cs="Calibri"/>
                <w:color w:val="000000"/>
              </w:rPr>
              <w:t xml:space="preserve"> – Acumulada </w:t>
            </w:r>
            <w:r w:rsidR="00616E84" w:rsidRPr="00616E84">
              <w:rPr>
                <w:rFonts w:ascii="Verdana" w:hAnsi="Verdana" w:cs="Calibri"/>
                <w:color w:val="000000"/>
              </w:rPr>
              <w:t>P20240812008226</w:t>
            </w:r>
          </w:p>
        </w:tc>
      </w:tr>
    </w:tbl>
    <w:p w14:paraId="2112C754" w14:textId="77777777" w:rsidR="006E7B3F" w:rsidRPr="00661F0B" w:rsidRDefault="006E7B3F" w:rsidP="008C412B">
      <w:pPr>
        <w:spacing w:after="0" w:line="240" w:lineRule="auto"/>
        <w:jc w:val="both"/>
        <w:rPr>
          <w:rFonts w:ascii="Verdana" w:eastAsia="Calibri" w:hAnsi="Verdana" w:cs="Arial"/>
          <w:lang w:eastAsia="es-ES_tradnl"/>
        </w:rPr>
      </w:pPr>
    </w:p>
    <w:p w14:paraId="68759417" w14:textId="77777777" w:rsidR="006E7B3F" w:rsidRPr="00661F0B" w:rsidRDefault="006E7B3F" w:rsidP="008C412B">
      <w:pPr>
        <w:spacing w:after="0" w:line="240" w:lineRule="auto"/>
        <w:jc w:val="both"/>
        <w:rPr>
          <w:rFonts w:ascii="Verdana" w:eastAsia="Calibri" w:hAnsi="Verdana" w:cs="Arial"/>
          <w:lang w:eastAsia="es-ES_tradnl"/>
        </w:rPr>
      </w:pPr>
    </w:p>
    <w:p w14:paraId="01BF2780" w14:textId="1023B4E0" w:rsidR="006E7B3F" w:rsidRPr="00661F0B" w:rsidRDefault="006E7B3F" w:rsidP="008C412B">
      <w:pPr>
        <w:spacing w:after="0" w:line="276" w:lineRule="auto"/>
        <w:jc w:val="both"/>
        <w:rPr>
          <w:rFonts w:ascii="Verdana" w:eastAsia="Calibri" w:hAnsi="Verdana" w:cs="Arial"/>
          <w:lang w:eastAsia="es-ES"/>
        </w:rPr>
      </w:pPr>
      <w:r w:rsidRPr="00661F0B">
        <w:rPr>
          <w:rFonts w:ascii="Verdana" w:eastAsia="Calibri" w:hAnsi="Verdana" w:cs="Arial"/>
          <w:lang w:eastAsia="es-ES"/>
        </w:rPr>
        <w:t xml:space="preserve">Estimado </w:t>
      </w:r>
      <w:r w:rsidR="00676997" w:rsidRPr="00661F0B">
        <w:rPr>
          <w:rFonts w:ascii="Verdana" w:eastAsia="Calibri" w:hAnsi="Verdana" w:cs="Arial"/>
          <w:lang w:eastAsia="es-ES"/>
        </w:rPr>
        <w:t>Doctor Molano Perez</w:t>
      </w:r>
      <w:r w:rsidRPr="00661F0B">
        <w:rPr>
          <w:rFonts w:ascii="Verdana" w:eastAsia="Calibri" w:hAnsi="Verdana" w:cs="Arial"/>
          <w:lang w:eastAsia="es-ES"/>
        </w:rPr>
        <w:t xml:space="preserve">: </w:t>
      </w:r>
    </w:p>
    <w:p w14:paraId="1D5B179E" w14:textId="77777777" w:rsidR="006E7B3F" w:rsidRPr="00661F0B" w:rsidRDefault="006E7B3F" w:rsidP="008C412B">
      <w:pPr>
        <w:tabs>
          <w:tab w:val="left" w:pos="3768"/>
        </w:tabs>
        <w:spacing w:after="0" w:line="276" w:lineRule="auto"/>
        <w:jc w:val="both"/>
        <w:rPr>
          <w:rFonts w:ascii="Verdana" w:eastAsia="Calibri" w:hAnsi="Verdana" w:cs="Arial"/>
          <w:lang w:eastAsia="es-ES"/>
        </w:rPr>
      </w:pPr>
    </w:p>
    <w:p w14:paraId="4AA5D221" w14:textId="77777777" w:rsidR="006E7B3F" w:rsidRPr="00661F0B" w:rsidRDefault="006E7B3F" w:rsidP="008C412B">
      <w:pPr>
        <w:spacing w:after="0" w:line="276" w:lineRule="auto"/>
        <w:jc w:val="both"/>
        <w:rPr>
          <w:rFonts w:ascii="Verdana" w:eastAsia="Calibri" w:hAnsi="Verdana" w:cs="Arial"/>
          <w:lang w:eastAsia="es-ES"/>
        </w:rPr>
      </w:pPr>
      <w:r w:rsidRPr="00661F0B">
        <w:rPr>
          <w:rFonts w:ascii="Verdana" w:eastAsia="Calibri" w:hAnsi="Verdana" w:cs="Arial"/>
          <w:lang w:eastAsia="es-ES"/>
        </w:rPr>
        <w:t>En ejercicio de la competencia otorgada por los artículos 3, numeral 5º, y 11, numeral 8º, del Decreto Ley 4170 de 2011,</w:t>
      </w:r>
      <w:r w:rsidRPr="00661F0B">
        <w:rPr>
          <w:rFonts w:ascii="Verdana" w:eastAsia="Arial MT" w:hAnsi="Verdana" w:cs="Arial MT"/>
          <w:lang w:eastAsia="es-ES"/>
        </w:rPr>
        <w:t xml:space="preserve"> </w:t>
      </w:r>
      <w:r w:rsidRPr="00661F0B">
        <w:rPr>
          <w:rFonts w:ascii="Verdana" w:hAnsi="Verdana" w:cs="Arial"/>
        </w:rPr>
        <w:t xml:space="preserve">así como lo establecido en el artículo 4 de la Resolución 1707 de 2018 expedida por esta Entidad, </w:t>
      </w:r>
      <w:r w:rsidRPr="00661F0B">
        <w:rPr>
          <w:rFonts w:ascii="Verdana" w:eastAsia="Calibri" w:hAnsi="Verdana" w:cs="Arial"/>
          <w:lang w:eastAsia="es-ES"/>
        </w:rPr>
        <w:t xml:space="preserve">la Agencia Nacional de Contratación Pública – Colombia Compra Eficiente– responde su solicitud de consulta, del 9 de agosto de 2024, en la cual manifiesta lo siguiente: </w:t>
      </w:r>
    </w:p>
    <w:p w14:paraId="567B22A4" w14:textId="77777777" w:rsidR="006E7B3F" w:rsidRPr="00661F0B" w:rsidRDefault="006E7B3F" w:rsidP="008C412B">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7066F3C" w14:textId="1F5187E0" w:rsidR="0072580A" w:rsidRPr="00661F0B" w:rsidRDefault="006E7B3F" w:rsidP="0082691E">
      <w:pPr>
        <w:spacing w:after="0" w:line="240" w:lineRule="auto"/>
        <w:ind w:left="709" w:right="709"/>
        <w:jc w:val="both"/>
        <w:rPr>
          <w:rFonts w:ascii="Verdana" w:eastAsia="Century Gothic" w:hAnsi="Verdana" w:cs="Century Gothic"/>
          <w:sz w:val="20"/>
          <w:szCs w:val="20"/>
        </w:rPr>
      </w:pPr>
      <w:bookmarkStart w:id="1" w:name="_Hlk95313578"/>
      <w:r w:rsidRPr="00661F0B">
        <w:rPr>
          <w:rFonts w:ascii="Verdana" w:eastAsia="Century Gothic" w:hAnsi="Verdana" w:cs="Century Gothic"/>
          <w:sz w:val="20"/>
          <w:szCs w:val="20"/>
        </w:rPr>
        <w:lastRenderedPageBreak/>
        <w:t>“</w:t>
      </w:r>
      <w:r w:rsidR="0072580A" w:rsidRPr="00661F0B">
        <w:rPr>
          <w:rFonts w:ascii="Verdana" w:eastAsia="Century Gothic" w:hAnsi="Verdana" w:cs="Century Gothic"/>
          <w:sz w:val="20"/>
          <w:szCs w:val="20"/>
        </w:rPr>
        <w:t>En mi calidad de Director General del Instituto de Desarrollo Urbano – IDU y de conformidad con el insumo elaborado por la Subdirección General Jurídica, me permito solicitar alcance al concepto C-784 del 21 de noviembre de 2022, respecto de la improcedencia de aplicar el límite de adición del 50% del valor inicial del contrato a precios unitarios, establecido en el artículo 40 de la Ley 80 de 1993, cuando se trata de mayores cantidades de obra a diferencia de las obras adicionales o extras, en cuyo caso si aplica dicho límite.</w:t>
      </w:r>
    </w:p>
    <w:p w14:paraId="4F5E61AE" w14:textId="77777777" w:rsidR="0072580A" w:rsidRPr="00661F0B" w:rsidRDefault="0072580A" w:rsidP="0082691E">
      <w:pPr>
        <w:spacing w:after="0" w:line="240" w:lineRule="auto"/>
        <w:ind w:left="709" w:right="709"/>
        <w:jc w:val="both"/>
        <w:rPr>
          <w:rFonts w:ascii="Verdana" w:eastAsia="Century Gothic" w:hAnsi="Verdana" w:cs="Century Gothic"/>
          <w:sz w:val="20"/>
          <w:szCs w:val="20"/>
        </w:rPr>
      </w:pPr>
    </w:p>
    <w:p w14:paraId="003DBE50" w14:textId="6CE60518" w:rsidR="00BB01ED" w:rsidRPr="00661F0B" w:rsidRDefault="00BB01ED" w:rsidP="0082691E">
      <w:pPr>
        <w:spacing w:after="0" w:line="240" w:lineRule="auto"/>
        <w:ind w:left="709" w:right="709"/>
        <w:jc w:val="both"/>
        <w:rPr>
          <w:rFonts w:ascii="Verdana" w:eastAsia="Century Gothic" w:hAnsi="Verdana" w:cs="Century Gothic"/>
          <w:sz w:val="20"/>
          <w:szCs w:val="20"/>
        </w:rPr>
      </w:pPr>
      <w:r w:rsidRPr="00661F0B">
        <w:rPr>
          <w:rFonts w:ascii="Verdana" w:eastAsia="Century Gothic" w:hAnsi="Verdana" w:cs="Century Gothic"/>
          <w:sz w:val="20"/>
          <w:szCs w:val="20"/>
        </w:rPr>
        <w:t xml:space="preserve">[…] </w:t>
      </w:r>
    </w:p>
    <w:p w14:paraId="252A7B9C" w14:textId="77777777" w:rsidR="00BB01ED" w:rsidRPr="00661F0B" w:rsidRDefault="00BB01ED" w:rsidP="0082691E">
      <w:pPr>
        <w:spacing w:after="0" w:line="240" w:lineRule="auto"/>
        <w:ind w:left="709" w:right="709"/>
        <w:jc w:val="both"/>
        <w:rPr>
          <w:rFonts w:ascii="Verdana" w:eastAsia="Century Gothic" w:hAnsi="Verdana" w:cs="Century Gothic"/>
          <w:sz w:val="20"/>
          <w:szCs w:val="20"/>
        </w:rPr>
      </w:pPr>
    </w:p>
    <w:p w14:paraId="4CECC193" w14:textId="4A6EFDE9" w:rsidR="006E7B3F" w:rsidRPr="00661F0B" w:rsidRDefault="006E7B3F" w:rsidP="0082691E">
      <w:pPr>
        <w:spacing w:after="0" w:line="240" w:lineRule="auto"/>
        <w:ind w:left="709" w:right="709"/>
        <w:jc w:val="both"/>
        <w:rPr>
          <w:rFonts w:ascii="Verdana" w:eastAsia="Century Gothic" w:hAnsi="Verdana" w:cs="Century Gothic"/>
          <w:sz w:val="20"/>
          <w:szCs w:val="20"/>
        </w:rPr>
      </w:pPr>
      <w:r w:rsidRPr="00661F0B">
        <w:rPr>
          <w:rFonts w:ascii="Verdana" w:hAnsi="Verdana" w:cs="Arial"/>
          <w:sz w:val="20"/>
          <w:szCs w:val="20"/>
          <w:shd w:val="clear" w:color="auto" w:fill="FFFFFF"/>
        </w:rPr>
        <w:t>En los anteriores términos, de manera respetuosa solicitamos se de alcance del concepto C-950 del 21 de noviembre de 2022 emitido por Colombia Compra Eficiente, realizando la diferencia referida con relación a mayores cantidades de obra y obra adicional o extra, recogiendo la tesis jurisprudencial vigente, de acuerdo con todo lo citado y referido en el presente documento, lo cual resulta de importancia estratégica para los operadores jurídicos y los entes de control, toda vez que sin perjuicio de que los conceptos no sean vinculantes, los conceptos de Colombia Compra Eficiente como ente rector son relevantes para la gestión de todas las entidades públicas cuya competencia es la ejecución de infraestructura pública</w:t>
      </w:r>
      <w:r w:rsidRPr="00661F0B">
        <w:rPr>
          <w:rFonts w:ascii="Verdana" w:eastAsia="Century Gothic" w:hAnsi="Verdana" w:cs="Century Gothic"/>
          <w:sz w:val="20"/>
          <w:szCs w:val="20"/>
        </w:rPr>
        <w:t>”</w:t>
      </w:r>
      <w:bookmarkEnd w:id="1"/>
      <w:r w:rsidRPr="00661F0B">
        <w:rPr>
          <w:rFonts w:ascii="Verdana" w:eastAsia="Century Gothic" w:hAnsi="Verdana" w:cs="Century Gothic"/>
          <w:sz w:val="20"/>
          <w:szCs w:val="20"/>
        </w:rPr>
        <w:t>.</w:t>
      </w:r>
    </w:p>
    <w:p w14:paraId="31CAEFA2" w14:textId="77777777" w:rsidR="006E7B3F" w:rsidRPr="00661F0B" w:rsidRDefault="006E7B3F" w:rsidP="0082691E">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157DB6A" w14:textId="77777777" w:rsidR="006E7B3F" w:rsidRPr="00661F0B" w:rsidRDefault="006E7B3F" w:rsidP="00CE7DFF">
      <w:pPr>
        <w:spacing w:after="120" w:line="276" w:lineRule="auto"/>
        <w:jc w:val="both"/>
        <w:rPr>
          <w:rFonts w:ascii="Verdana" w:eastAsia="Calibri" w:hAnsi="Verdana" w:cs="Arial"/>
          <w:color w:val="000000"/>
          <w:lang w:eastAsia="es-ES_tradnl"/>
        </w:rPr>
      </w:pPr>
      <w:r w:rsidRPr="00661F0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61F0B">
        <w:rPr>
          <w:rFonts w:ascii="Verdana" w:eastAsia="Calibri" w:hAnsi="Verdana" w:cs="Arial"/>
          <w:color w:val="000000"/>
          <w:lang w:eastAsia="es-ES_tradnl"/>
        </w:rPr>
        <w:tab/>
      </w:r>
    </w:p>
    <w:p w14:paraId="328948E0" w14:textId="77777777" w:rsidR="006E7B3F" w:rsidRPr="00661F0B" w:rsidRDefault="006E7B3F" w:rsidP="006E7B3F">
      <w:pPr>
        <w:spacing w:after="0" w:line="276" w:lineRule="auto"/>
        <w:ind w:firstLine="709"/>
        <w:jc w:val="both"/>
        <w:rPr>
          <w:rFonts w:ascii="Verdana" w:eastAsia="Calibri" w:hAnsi="Verdana" w:cs="Arial"/>
          <w:color w:val="000000"/>
          <w:lang w:eastAsia="es-ES"/>
        </w:rPr>
      </w:pPr>
      <w:r w:rsidRPr="00661F0B">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661F0B">
        <w:rPr>
          <w:rFonts w:ascii="Verdana" w:eastAsia="Calibri" w:hAnsi="Verdana" w:cs="Arial"/>
          <w:color w:val="7030A0"/>
          <w:lang w:eastAsia="es-ES"/>
        </w:rPr>
        <w:t xml:space="preserve"> </w:t>
      </w:r>
      <w:r w:rsidRPr="00661F0B">
        <w:rPr>
          <w:rFonts w:ascii="Verdana" w:eastAsia="Calibri" w:hAnsi="Verdana" w:cs="Arial"/>
          <w:color w:val="000000"/>
          <w:lang w:eastAsia="es-ES"/>
        </w:rPr>
        <w:t>jurídico</w:t>
      </w:r>
      <w:r w:rsidRPr="00661F0B">
        <w:rPr>
          <w:rFonts w:ascii="Verdana" w:eastAsia="Calibri" w:hAnsi="Verdana" w:cs="Arial"/>
          <w:color w:val="7030A0"/>
          <w:lang w:eastAsia="es-ES"/>
        </w:rPr>
        <w:t xml:space="preserve"> </w:t>
      </w:r>
      <w:r w:rsidRPr="00661F0B">
        <w:rPr>
          <w:rFonts w:ascii="Verdana" w:eastAsia="Calibri" w:hAnsi="Verdana" w:cs="Arial"/>
          <w:color w:val="000000"/>
          <w:lang w:eastAsia="es-ES"/>
        </w:rPr>
        <w:t xml:space="preserve">de su consulta. </w:t>
      </w:r>
    </w:p>
    <w:p w14:paraId="57BD8B45" w14:textId="77777777" w:rsidR="006E7B3F" w:rsidRPr="00661F0B" w:rsidRDefault="006E7B3F" w:rsidP="00D3558D">
      <w:pPr>
        <w:spacing w:after="0" w:line="276" w:lineRule="auto"/>
        <w:ind w:firstLine="709"/>
        <w:jc w:val="both"/>
        <w:rPr>
          <w:rFonts w:ascii="Verdana" w:eastAsia="Calibri" w:hAnsi="Verdana" w:cs="Arial"/>
          <w:color w:val="000000"/>
          <w:lang w:eastAsia="es-ES"/>
        </w:rPr>
      </w:pPr>
    </w:p>
    <w:p w14:paraId="1D94C45D" w14:textId="77777777" w:rsidR="006E7B3F" w:rsidRPr="00661F0B" w:rsidRDefault="006E7B3F" w:rsidP="00D355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61F0B">
        <w:rPr>
          <w:rFonts w:ascii="Verdana" w:eastAsia="Century Gothic" w:hAnsi="Verdana" w:cs="Century Gothic"/>
          <w:b/>
          <w:bCs/>
          <w:lang w:val="es-CO"/>
        </w:rPr>
        <w:t>Problema planteado:</w:t>
      </w:r>
    </w:p>
    <w:p w14:paraId="6F3DE5A5" w14:textId="77777777" w:rsidR="006E7B3F" w:rsidRPr="00661F0B" w:rsidRDefault="006E7B3F" w:rsidP="00D3558D">
      <w:pPr>
        <w:tabs>
          <w:tab w:val="left" w:pos="426"/>
        </w:tabs>
        <w:spacing w:after="0" w:line="276" w:lineRule="auto"/>
        <w:jc w:val="both"/>
        <w:rPr>
          <w:rFonts w:ascii="Verdana" w:eastAsia="Century Gothic" w:hAnsi="Verdana" w:cs="Century Gothic"/>
        </w:rPr>
      </w:pPr>
    </w:p>
    <w:p w14:paraId="349FDE2F" w14:textId="4894BE3E" w:rsidR="006E7B3F" w:rsidRPr="00661F0B" w:rsidRDefault="006E7B3F" w:rsidP="00D3558D">
      <w:pPr>
        <w:spacing w:after="0" w:line="276" w:lineRule="auto"/>
        <w:jc w:val="both"/>
        <w:rPr>
          <w:rFonts w:ascii="Verdana" w:hAnsi="Verdana" w:cs="Arial"/>
          <w:shd w:val="clear" w:color="auto" w:fill="FFFFFF"/>
        </w:rPr>
      </w:pPr>
      <w:r w:rsidRPr="00661F0B">
        <w:rPr>
          <w:rFonts w:ascii="Verdana" w:eastAsia="Century Gothic" w:hAnsi="Verdana" w:cs="Century Gothic"/>
        </w:rPr>
        <w:t xml:space="preserve">De acuerdo con el contenido de su solicitud, esta Agencia resolverá el siguiente problema jurídico: </w:t>
      </w:r>
      <w:r w:rsidRPr="00661F0B">
        <w:rPr>
          <w:rFonts w:ascii="Verdana" w:hAnsi="Verdana" w:cs="Arial"/>
          <w:shd w:val="clear" w:color="auto" w:fill="FFFFFF"/>
        </w:rPr>
        <w:t>¿</w:t>
      </w:r>
      <w:r w:rsidR="00161B00">
        <w:rPr>
          <w:rFonts w:ascii="Verdana" w:hAnsi="Verdana" w:cs="Arial"/>
          <w:shd w:val="clear" w:color="auto" w:fill="FFFFFF"/>
        </w:rPr>
        <w:t xml:space="preserve">El límite </w:t>
      </w:r>
      <w:r w:rsidR="00EE5196">
        <w:rPr>
          <w:rFonts w:ascii="Verdana" w:hAnsi="Verdana" w:cs="Arial"/>
          <w:shd w:val="clear" w:color="auto" w:fill="FFFFFF"/>
        </w:rPr>
        <w:t xml:space="preserve">del </w:t>
      </w:r>
      <w:r w:rsidR="0092114E">
        <w:rPr>
          <w:rFonts w:ascii="Verdana" w:hAnsi="Verdana" w:cs="Arial"/>
          <w:shd w:val="clear" w:color="auto" w:fill="FFFFFF"/>
        </w:rPr>
        <w:t>cincuenta por ciento (</w:t>
      </w:r>
      <w:r w:rsidR="00EE5196">
        <w:rPr>
          <w:rFonts w:ascii="Verdana" w:hAnsi="Verdana" w:cs="Arial"/>
          <w:shd w:val="clear" w:color="auto" w:fill="FFFFFF"/>
        </w:rPr>
        <w:t>50%</w:t>
      </w:r>
      <w:r w:rsidR="0092114E">
        <w:rPr>
          <w:rFonts w:ascii="Verdana" w:hAnsi="Verdana" w:cs="Arial"/>
          <w:shd w:val="clear" w:color="auto" w:fill="FFFFFF"/>
        </w:rPr>
        <w:t>)</w:t>
      </w:r>
      <w:r w:rsidR="00EE5196">
        <w:rPr>
          <w:rFonts w:ascii="Verdana" w:hAnsi="Verdana" w:cs="Arial"/>
          <w:shd w:val="clear" w:color="auto" w:fill="FFFFFF"/>
        </w:rPr>
        <w:t xml:space="preserve"> a</w:t>
      </w:r>
      <w:r w:rsidR="001E63FD">
        <w:rPr>
          <w:rFonts w:ascii="Verdana" w:hAnsi="Verdana" w:cs="Arial"/>
          <w:shd w:val="clear" w:color="auto" w:fill="FFFFFF"/>
        </w:rPr>
        <w:t xml:space="preserve"> la adici</w:t>
      </w:r>
      <w:r w:rsidR="00EE5196">
        <w:rPr>
          <w:rFonts w:ascii="Verdana" w:hAnsi="Verdana" w:cs="Arial"/>
          <w:shd w:val="clear" w:color="auto" w:fill="FFFFFF"/>
        </w:rPr>
        <w:t xml:space="preserve">ón del valor inicial del </w:t>
      </w:r>
      <w:r w:rsidR="00781B0D">
        <w:rPr>
          <w:rFonts w:ascii="Verdana" w:hAnsi="Verdana" w:cs="Arial"/>
          <w:shd w:val="clear" w:color="auto" w:fill="FFFFFF"/>
        </w:rPr>
        <w:t>contrato es</w:t>
      </w:r>
      <w:r w:rsidR="00677840">
        <w:rPr>
          <w:rFonts w:ascii="Verdana" w:hAnsi="Verdana" w:cs="Arial"/>
          <w:shd w:val="clear" w:color="auto" w:fill="FFFFFF"/>
        </w:rPr>
        <w:t xml:space="preserve"> aplicable</w:t>
      </w:r>
      <w:r w:rsidRPr="00661F0B">
        <w:rPr>
          <w:rFonts w:ascii="Verdana" w:hAnsi="Verdana" w:cs="Arial"/>
          <w:shd w:val="clear" w:color="auto" w:fill="FFFFFF"/>
        </w:rPr>
        <w:t xml:space="preserve"> </w:t>
      </w:r>
      <w:r w:rsidR="00677840">
        <w:rPr>
          <w:rFonts w:ascii="Verdana" w:hAnsi="Verdana" w:cs="Arial"/>
          <w:shd w:val="clear" w:color="auto" w:fill="FFFFFF"/>
        </w:rPr>
        <w:t xml:space="preserve">a los contratos estructurados </w:t>
      </w:r>
      <w:r w:rsidR="006C4B64">
        <w:rPr>
          <w:rFonts w:ascii="Verdana" w:hAnsi="Verdana" w:cs="Arial"/>
          <w:shd w:val="clear" w:color="auto" w:fill="FFFFFF"/>
        </w:rPr>
        <w:t>bajo el sistema</w:t>
      </w:r>
      <w:r w:rsidRPr="00661F0B">
        <w:rPr>
          <w:rFonts w:ascii="Verdana" w:hAnsi="Verdana" w:cs="Arial"/>
          <w:shd w:val="clear" w:color="auto" w:fill="FFFFFF"/>
        </w:rPr>
        <w:t xml:space="preserve"> de precios unitarios?</w:t>
      </w:r>
    </w:p>
    <w:p w14:paraId="741B72A2" w14:textId="77777777" w:rsidR="006E7B3F" w:rsidRPr="00661F0B" w:rsidRDefault="006E7B3F" w:rsidP="00D3558D">
      <w:pPr>
        <w:spacing w:after="0" w:line="276" w:lineRule="auto"/>
        <w:jc w:val="both"/>
        <w:rPr>
          <w:rFonts w:ascii="Verdana" w:eastAsia="Calibri" w:hAnsi="Verdana" w:cs="Arial"/>
          <w:color w:val="7030A0"/>
        </w:rPr>
      </w:pPr>
    </w:p>
    <w:p w14:paraId="5C09AE94" w14:textId="77777777" w:rsidR="006E7B3F" w:rsidRPr="00661F0B" w:rsidRDefault="006E7B3F" w:rsidP="00D355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61F0B">
        <w:rPr>
          <w:rFonts w:ascii="Verdana" w:eastAsia="Century Gothic" w:hAnsi="Verdana" w:cs="Century Gothic"/>
          <w:b/>
          <w:bCs/>
          <w:lang w:val="es-CO"/>
        </w:rPr>
        <w:t>Respuesta:</w:t>
      </w:r>
    </w:p>
    <w:p w14:paraId="7A7B5C2C" w14:textId="77777777" w:rsidR="006E7B3F" w:rsidRPr="00661F0B" w:rsidRDefault="006E7B3F" w:rsidP="00D3558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7B3F" w:rsidRPr="00661F0B" w14:paraId="4F1D1A19" w14:textId="77777777">
        <w:tc>
          <w:tcPr>
            <w:tcW w:w="8828" w:type="dxa"/>
            <w:shd w:val="clear" w:color="auto" w:fill="auto"/>
          </w:tcPr>
          <w:p w14:paraId="698C0037" w14:textId="25BC1266" w:rsidR="006E7B3F" w:rsidRPr="00FB088A" w:rsidRDefault="006E7B3F">
            <w:pPr>
              <w:spacing w:after="120" w:line="276" w:lineRule="auto"/>
              <w:jc w:val="both"/>
              <w:rPr>
                <w:rFonts w:ascii="Verdana" w:hAnsi="Verdana" w:cs="Arial"/>
                <w:lang w:eastAsia="es-ES_tradnl"/>
              </w:rPr>
            </w:pPr>
            <w:r w:rsidRPr="00FB088A">
              <w:rPr>
                <w:rFonts w:ascii="Verdana" w:hAnsi="Verdana" w:cs="Arial"/>
                <w:lang w:eastAsia="es-ES_tradnl"/>
              </w:rPr>
              <w:t>Si bien, el artículo 40 de la Ley 80 de 1993 establece un límite cuantitativo a la adición del valor de los contratos estatales, según el cual no podrán adicionarse por encima del cincuenta por ciento (50%) de</w:t>
            </w:r>
            <w:r w:rsidR="00064A46">
              <w:rPr>
                <w:rFonts w:ascii="Verdana" w:hAnsi="Verdana" w:cs="Arial"/>
                <w:lang w:eastAsia="es-ES_tradnl"/>
              </w:rPr>
              <w:t>l</w:t>
            </w:r>
            <w:r w:rsidRPr="00FB088A">
              <w:rPr>
                <w:rFonts w:ascii="Verdana" w:hAnsi="Verdana" w:cs="Arial"/>
                <w:lang w:eastAsia="es-ES_tradnl"/>
              </w:rPr>
              <w:t xml:space="preserve"> valor inicial del contrato expresado en SMLMV, dicho límite no aplica respecto de las mayores cantidades de obra que deban ejecutarse en el marco de contratos cuya contraprestación se haya pactado bajo la modalidad de precios unitarios. </w:t>
            </w:r>
            <w:r w:rsidRPr="00FB088A">
              <w:rPr>
                <w:rFonts w:ascii="Verdana" w:eastAsia="Calibri" w:hAnsi="Verdana" w:cs="Arial"/>
              </w:rPr>
              <w:t xml:space="preserve">De acuerdo con la jurisprudencia reciente del Consejo de Estado, esta limitación no es aplicable a dichos contratos, </w:t>
            </w:r>
            <w:r w:rsidRPr="00FB088A">
              <w:rPr>
                <w:rFonts w:ascii="Verdana" w:hAnsi="Verdana" w:cs="Arial"/>
                <w:lang w:eastAsia="es-ES_tradnl"/>
              </w:rPr>
              <w:t>por cuanto en estos el valor estipulado es estimativo y está sujeto a multiplicar las cantidades de obra ejecutadas por el precio de cada una de ellas.</w:t>
            </w:r>
          </w:p>
          <w:p w14:paraId="218C01ED" w14:textId="62892C7A" w:rsidR="006132F2" w:rsidRDefault="006E7B3F" w:rsidP="00236B36">
            <w:pPr>
              <w:widowControl w:val="0"/>
              <w:autoSpaceDE w:val="0"/>
              <w:autoSpaceDN w:val="0"/>
              <w:spacing w:after="120" w:line="276" w:lineRule="auto"/>
              <w:ind w:firstLine="708"/>
              <w:jc w:val="both"/>
              <w:rPr>
                <w:rFonts w:ascii="Verdana" w:eastAsia="Arial" w:hAnsi="Verdana" w:cs="Arial"/>
                <w:color w:val="000000" w:themeColor="text1"/>
                <w:lang w:eastAsia="es-ES" w:bidi="es-ES"/>
              </w:rPr>
            </w:pPr>
            <w:r w:rsidRPr="00FB088A">
              <w:rPr>
                <w:rFonts w:ascii="Verdana" w:hAnsi="Verdana" w:cs="Arial"/>
                <w:lang w:eastAsia="es-ES_tradnl"/>
              </w:rPr>
              <w:t>No obstante,</w:t>
            </w:r>
            <w:r w:rsidRPr="00FB088A">
              <w:rPr>
                <w:rFonts w:ascii="Verdana" w:eastAsia="Calibri" w:hAnsi="Verdana" w:cs="Arial"/>
              </w:rPr>
              <w:t xml:space="preserve"> la concepción de mayores cantidades de obra, como expresión del contrato original sin valor determinado, aunque determinable, no puede dar lugar a una ampliación ilimitada de estos contratos, pues</w:t>
            </w:r>
            <w:r w:rsidR="000E49E3">
              <w:rPr>
                <w:rFonts w:ascii="Verdana" w:eastAsia="Calibri" w:hAnsi="Verdana" w:cs="Arial"/>
              </w:rPr>
              <w:t xml:space="preserve"> estas</w:t>
            </w:r>
            <w:r w:rsidRPr="00FB088A">
              <w:rPr>
                <w:rFonts w:ascii="Verdana" w:eastAsia="Calibri" w:hAnsi="Verdana" w:cs="Arial"/>
              </w:rPr>
              <w:t xml:space="preserve"> no se encuentran exent</w:t>
            </w:r>
            <w:r w:rsidR="0017144C">
              <w:rPr>
                <w:rFonts w:ascii="Verdana" w:eastAsia="Calibri" w:hAnsi="Verdana" w:cs="Arial"/>
              </w:rPr>
              <w:t>a</w:t>
            </w:r>
            <w:r w:rsidRPr="00FB088A">
              <w:rPr>
                <w:rFonts w:ascii="Verdana" w:eastAsia="Calibri" w:hAnsi="Verdana" w:cs="Arial"/>
              </w:rPr>
              <w:t xml:space="preserve">s de la aplicación </w:t>
            </w:r>
            <w:r w:rsidR="00FB088A" w:rsidRPr="00FB088A">
              <w:rPr>
                <w:rFonts w:ascii="Verdana" w:eastAsia="Calibri" w:hAnsi="Verdana" w:cs="Arial"/>
              </w:rPr>
              <w:t>de los principios que rigen la contratación estatal.</w:t>
            </w:r>
            <w:r w:rsidR="0032693F">
              <w:rPr>
                <w:rFonts w:ascii="Verdana" w:eastAsia="Calibri" w:hAnsi="Verdana" w:cs="Arial"/>
              </w:rPr>
              <w:t xml:space="preserve"> </w:t>
            </w:r>
            <w:r w:rsidR="0032693F">
              <w:rPr>
                <w:rFonts w:ascii="Verdana" w:eastAsia="Arial" w:hAnsi="Verdana" w:cs="Arial"/>
                <w:color w:val="000000" w:themeColor="text1"/>
                <w:lang w:eastAsia="es-ES" w:bidi="es-ES"/>
              </w:rPr>
              <w:t>Es por esto por lo que,</w:t>
            </w:r>
            <w:r w:rsidR="0032693F" w:rsidRPr="00661F0B">
              <w:rPr>
                <w:rFonts w:ascii="Verdana" w:eastAsia="Arial" w:hAnsi="Verdana" w:cs="Arial"/>
                <w:color w:val="000000" w:themeColor="text1"/>
                <w:lang w:eastAsia="es-ES" w:bidi="es-ES"/>
              </w:rPr>
              <w:t xml:space="preserve"> cada Entidad Estatal </w:t>
            </w:r>
            <w:r w:rsidR="0032693F">
              <w:rPr>
                <w:rFonts w:ascii="Verdana" w:eastAsia="Arial" w:hAnsi="Verdana" w:cs="Arial"/>
                <w:color w:val="000000" w:themeColor="text1"/>
                <w:lang w:eastAsia="es-ES" w:bidi="es-ES"/>
              </w:rPr>
              <w:t>de</w:t>
            </w:r>
            <w:r w:rsidR="0067510B">
              <w:rPr>
                <w:rFonts w:ascii="Verdana" w:eastAsia="Arial" w:hAnsi="Verdana" w:cs="Arial"/>
                <w:color w:val="000000" w:themeColor="text1"/>
                <w:lang w:eastAsia="es-ES" w:bidi="es-ES"/>
              </w:rPr>
              <w:t>be</w:t>
            </w:r>
            <w:r w:rsidR="0036515C">
              <w:rPr>
                <w:rFonts w:ascii="Verdana" w:eastAsia="Arial" w:hAnsi="Verdana" w:cs="Arial"/>
                <w:color w:val="000000" w:themeColor="text1"/>
                <w:lang w:eastAsia="es-ES" w:bidi="es-ES"/>
              </w:rPr>
              <w:t>,</w:t>
            </w:r>
            <w:r w:rsidR="0032693F">
              <w:rPr>
                <w:rFonts w:ascii="Verdana" w:eastAsia="Arial" w:hAnsi="Verdana" w:cs="Arial"/>
                <w:color w:val="000000" w:themeColor="text1"/>
                <w:lang w:eastAsia="es-ES" w:bidi="es-ES"/>
              </w:rPr>
              <w:t xml:space="preserve"> </w:t>
            </w:r>
            <w:r w:rsidR="00D461C1">
              <w:rPr>
                <w:rFonts w:ascii="Verdana" w:eastAsia="Arial" w:hAnsi="Verdana" w:cs="Arial"/>
                <w:color w:val="000000" w:themeColor="text1"/>
                <w:lang w:eastAsia="es-ES" w:bidi="es-ES"/>
              </w:rPr>
              <w:t xml:space="preserve">en la fase de planeación de </w:t>
            </w:r>
            <w:r w:rsidR="00AB21E2">
              <w:rPr>
                <w:rFonts w:ascii="Verdana" w:eastAsia="Arial" w:hAnsi="Verdana" w:cs="Arial"/>
                <w:color w:val="000000" w:themeColor="text1"/>
                <w:lang w:eastAsia="es-ES" w:bidi="es-ES"/>
              </w:rPr>
              <w:t>cada negocio jurídico relacionado con este objeto,</w:t>
            </w:r>
            <w:r w:rsidR="002D0A14">
              <w:rPr>
                <w:rFonts w:ascii="Verdana" w:eastAsia="Arial" w:hAnsi="Verdana" w:cs="Arial"/>
                <w:color w:val="000000" w:themeColor="text1"/>
                <w:lang w:eastAsia="es-ES" w:bidi="es-ES"/>
              </w:rPr>
              <w:t xml:space="preserve"> contar con unos estudios y diseños </w:t>
            </w:r>
            <w:r w:rsidR="0048100D">
              <w:rPr>
                <w:rFonts w:ascii="Verdana" w:eastAsia="Arial" w:hAnsi="Verdana" w:cs="Arial"/>
                <w:color w:val="000000" w:themeColor="text1"/>
                <w:lang w:eastAsia="es-ES" w:bidi="es-ES"/>
              </w:rPr>
              <w:t>lo suficientemente robustos, que permitan una tasación adecuada de cada proyecto,</w:t>
            </w:r>
            <w:r w:rsidR="00B014AB">
              <w:rPr>
                <w:rFonts w:ascii="Verdana" w:eastAsia="Arial" w:hAnsi="Verdana" w:cs="Arial"/>
                <w:color w:val="000000" w:themeColor="text1"/>
                <w:lang w:eastAsia="es-ES" w:bidi="es-ES"/>
              </w:rPr>
              <w:t xml:space="preserve"> </w:t>
            </w:r>
            <w:r w:rsidR="004D1C12">
              <w:rPr>
                <w:rFonts w:ascii="Verdana" w:eastAsia="Arial" w:hAnsi="Verdana" w:cs="Arial"/>
                <w:color w:val="000000" w:themeColor="text1"/>
                <w:lang w:eastAsia="es-ES" w:bidi="es-ES"/>
              </w:rPr>
              <w:t xml:space="preserve">a efecto de garantizar que </w:t>
            </w:r>
            <w:r w:rsidR="0040731D">
              <w:rPr>
                <w:rFonts w:ascii="Verdana" w:eastAsia="Arial" w:hAnsi="Verdana" w:cs="Arial"/>
                <w:color w:val="000000" w:themeColor="text1"/>
                <w:lang w:eastAsia="es-ES" w:bidi="es-ES"/>
              </w:rPr>
              <w:t xml:space="preserve">el recurso </w:t>
            </w:r>
            <w:r w:rsidR="00667A33">
              <w:rPr>
                <w:rFonts w:ascii="Verdana" w:eastAsia="Arial" w:hAnsi="Verdana" w:cs="Arial"/>
                <w:color w:val="000000" w:themeColor="text1"/>
                <w:lang w:eastAsia="es-ES" w:bidi="es-ES"/>
              </w:rPr>
              <w:t xml:space="preserve">comprometido afecto al proyecto sea </w:t>
            </w:r>
            <w:r w:rsidR="009C78BA">
              <w:rPr>
                <w:rFonts w:ascii="Verdana" w:eastAsia="Arial" w:hAnsi="Verdana" w:cs="Arial"/>
                <w:color w:val="000000" w:themeColor="text1"/>
                <w:lang w:eastAsia="es-ES" w:bidi="es-ES"/>
              </w:rPr>
              <w:t xml:space="preserve">suficiente </w:t>
            </w:r>
            <w:r w:rsidR="001B074D">
              <w:rPr>
                <w:rFonts w:ascii="Verdana" w:eastAsia="Arial" w:hAnsi="Verdana" w:cs="Arial"/>
                <w:color w:val="000000" w:themeColor="text1"/>
                <w:lang w:eastAsia="es-ES" w:bidi="es-ES"/>
              </w:rPr>
              <w:t xml:space="preserve">para su </w:t>
            </w:r>
            <w:r w:rsidR="00410B9C">
              <w:rPr>
                <w:rFonts w:ascii="Verdana" w:eastAsia="Arial" w:hAnsi="Verdana" w:cs="Arial"/>
                <w:color w:val="000000" w:themeColor="text1"/>
                <w:lang w:eastAsia="es-ES" w:bidi="es-ES"/>
              </w:rPr>
              <w:t>financiación</w:t>
            </w:r>
            <w:r w:rsidR="00597D03">
              <w:rPr>
                <w:rFonts w:ascii="Verdana" w:eastAsia="Arial" w:hAnsi="Verdana" w:cs="Arial"/>
                <w:color w:val="000000" w:themeColor="text1"/>
                <w:lang w:eastAsia="es-ES" w:bidi="es-ES"/>
              </w:rPr>
              <w:t>. Por esta razón,</w:t>
            </w:r>
            <w:r w:rsidR="001A6AB6">
              <w:rPr>
                <w:rFonts w:ascii="Verdana" w:eastAsia="Arial" w:hAnsi="Verdana" w:cs="Arial"/>
                <w:color w:val="000000" w:themeColor="text1"/>
                <w:lang w:eastAsia="es-ES" w:bidi="es-ES"/>
              </w:rPr>
              <w:t xml:space="preserve"> </w:t>
            </w:r>
            <w:r w:rsidR="00BD2175">
              <w:rPr>
                <w:rFonts w:ascii="Verdana" w:eastAsia="Arial" w:hAnsi="Verdana" w:cs="Arial"/>
                <w:color w:val="000000" w:themeColor="text1"/>
                <w:lang w:eastAsia="es-ES" w:bidi="es-ES"/>
              </w:rPr>
              <w:t>la entidad contratante debe</w:t>
            </w:r>
            <w:r w:rsidR="00AB21E2">
              <w:rPr>
                <w:rFonts w:ascii="Verdana" w:eastAsia="Arial" w:hAnsi="Verdana" w:cs="Arial"/>
                <w:color w:val="000000" w:themeColor="text1"/>
                <w:lang w:eastAsia="es-ES" w:bidi="es-ES"/>
              </w:rPr>
              <w:t xml:space="preserve"> </w:t>
            </w:r>
            <w:r w:rsidR="0032693F" w:rsidRPr="00661F0B">
              <w:rPr>
                <w:rFonts w:ascii="Verdana" w:eastAsia="Arial" w:hAnsi="Verdana" w:cs="Arial"/>
                <w:color w:val="000000" w:themeColor="text1"/>
                <w:lang w:eastAsia="es-ES" w:bidi="es-ES"/>
              </w:rPr>
              <w:t xml:space="preserve">realizar </w:t>
            </w:r>
            <w:r w:rsidR="0032693F">
              <w:rPr>
                <w:rFonts w:ascii="Verdana" w:eastAsia="Arial" w:hAnsi="Verdana" w:cs="Arial"/>
                <w:color w:val="000000" w:themeColor="text1"/>
                <w:lang w:eastAsia="es-ES" w:bidi="es-ES"/>
              </w:rPr>
              <w:t>un</w:t>
            </w:r>
            <w:r w:rsidR="0032693F" w:rsidRPr="00661F0B">
              <w:rPr>
                <w:rFonts w:ascii="Verdana" w:eastAsia="Arial" w:hAnsi="Verdana" w:cs="Arial"/>
                <w:color w:val="000000" w:themeColor="text1"/>
                <w:lang w:eastAsia="es-ES" w:bidi="es-ES"/>
              </w:rPr>
              <w:t xml:space="preserve"> análisis </w:t>
            </w:r>
            <w:r w:rsidR="0032693F">
              <w:rPr>
                <w:rFonts w:ascii="Verdana" w:eastAsia="Arial" w:hAnsi="Verdana" w:cs="Arial"/>
                <w:color w:val="000000" w:themeColor="text1"/>
                <w:lang w:eastAsia="es-ES" w:bidi="es-ES"/>
              </w:rPr>
              <w:t>detallado</w:t>
            </w:r>
            <w:r w:rsidR="0067510B">
              <w:rPr>
                <w:rFonts w:ascii="Verdana" w:eastAsia="Arial" w:hAnsi="Verdana" w:cs="Arial"/>
                <w:color w:val="000000" w:themeColor="text1"/>
                <w:lang w:eastAsia="es-ES" w:bidi="es-ES"/>
              </w:rPr>
              <w:t xml:space="preserve"> para</w:t>
            </w:r>
            <w:r w:rsidR="004C3647">
              <w:rPr>
                <w:rFonts w:ascii="Verdana" w:eastAsia="Arial" w:hAnsi="Verdana" w:cs="Arial"/>
                <w:color w:val="000000" w:themeColor="text1"/>
                <w:lang w:eastAsia="es-ES" w:bidi="es-ES"/>
              </w:rPr>
              <w:t xml:space="preserve"> autorizar la ejecución de mayores cantidades de obra</w:t>
            </w:r>
            <w:r w:rsidR="0032693F">
              <w:rPr>
                <w:rFonts w:ascii="Verdana" w:eastAsia="Arial" w:hAnsi="Verdana" w:cs="Arial"/>
                <w:color w:val="000000" w:themeColor="text1"/>
                <w:lang w:eastAsia="es-ES" w:bidi="es-ES"/>
              </w:rPr>
              <w:t>,</w:t>
            </w:r>
            <w:r w:rsidR="0032693F" w:rsidRPr="00661F0B">
              <w:rPr>
                <w:rFonts w:ascii="Verdana" w:eastAsia="Arial" w:hAnsi="Verdana" w:cs="Arial"/>
                <w:color w:val="000000" w:themeColor="text1"/>
                <w:lang w:eastAsia="es-ES" w:bidi="es-ES"/>
              </w:rPr>
              <w:t xml:space="preserve"> </w:t>
            </w:r>
            <w:r w:rsidR="0067510B">
              <w:rPr>
                <w:rFonts w:ascii="Verdana" w:eastAsia="Arial" w:hAnsi="Verdana" w:cs="Arial"/>
                <w:color w:val="000000" w:themeColor="text1"/>
                <w:lang w:eastAsia="es-ES" w:bidi="es-ES"/>
              </w:rPr>
              <w:t xml:space="preserve">estableciendo su procedencia </w:t>
            </w:r>
            <w:r w:rsidR="0032693F" w:rsidRPr="00661F0B">
              <w:rPr>
                <w:rFonts w:ascii="Verdana" w:eastAsia="Arial" w:hAnsi="Verdana" w:cs="Arial"/>
                <w:color w:val="000000" w:themeColor="text1"/>
                <w:lang w:eastAsia="es-ES" w:bidi="es-ES"/>
              </w:rPr>
              <w:t>desde la perspectiva jurídica, técnica y financiera</w:t>
            </w:r>
            <w:r w:rsidR="00C264A2">
              <w:rPr>
                <w:rFonts w:ascii="Verdana" w:eastAsia="Arial" w:hAnsi="Verdana" w:cs="Arial"/>
                <w:color w:val="000000" w:themeColor="text1"/>
                <w:lang w:eastAsia="es-ES" w:bidi="es-ES"/>
              </w:rPr>
              <w:t>, sin que se varie el alcance del proyecto</w:t>
            </w:r>
            <w:r w:rsidR="0032693F" w:rsidRPr="00661F0B">
              <w:rPr>
                <w:rFonts w:ascii="Verdana" w:eastAsia="Arial" w:hAnsi="Verdana" w:cs="Arial"/>
                <w:color w:val="000000" w:themeColor="text1"/>
                <w:lang w:eastAsia="es-ES" w:bidi="es-ES"/>
              </w:rPr>
              <w:t xml:space="preserve">. </w:t>
            </w:r>
          </w:p>
          <w:p w14:paraId="3AF11E1D" w14:textId="0E38BE91" w:rsidR="0032693F" w:rsidRPr="00661F0B" w:rsidRDefault="0067510B" w:rsidP="00236B36">
            <w:pPr>
              <w:widowControl w:val="0"/>
              <w:autoSpaceDE w:val="0"/>
              <w:autoSpaceDN w:val="0"/>
              <w:spacing w:line="276" w:lineRule="auto"/>
              <w:ind w:firstLine="708"/>
              <w:jc w:val="both"/>
              <w:rPr>
                <w:rFonts w:ascii="Verdana" w:hAnsi="Verdana"/>
              </w:rPr>
            </w:pPr>
            <w:r>
              <w:rPr>
                <w:rFonts w:ascii="Verdana" w:eastAsia="Arial" w:hAnsi="Verdana" w:cs="Arial"/>
                <w:color w:val="000000" w:themeColor="text1"/>
                <w:lang w:eastAsia="es-ES" w:bidi="es-ES"/>
              </w:rPr>
              <w:t>De cualquier modo</w:t>
            </w:r>
            <w:r w:rsidR="0032693F">
              <w:rPr>
                <w:rFonts w:ascii="Verdana" w:eastAsia="Arial" w:hAnsi="Verdana" w:cs="Arial"/>
                <w:color w:val="000000" w:themeColor="text1"/>
                <w:lang w:eastAsia="es-ES" w:bidi="es-ES"/>
              </w:rPr>
              <w:t xml:space="preserve">, el hecho de que, según la jurisprudencia reciente del Consejo de Estado, el valor inicial de los contratos por precios unitarios sea indicativo, no puede ser interpretado como una patente de corso para ejecutar de manera desproporcionada e irrazonable los contratos estatales vigentes, ya que ello no solo puede evidenciar infracciones  al deber de planeación y al principio de selección objetiva, sino que también puede atentar </w:t>
            </w:r>
            <w:r w:rsidR="0032693F">
              <w:rPr>
                <w:rFonts w:ascii="Verdana" w:eastAsia="Arial" w:hAnsi="Verdana" w:cs="Arial"/>
                <w:color w:val="000000" w:themeColor="text1"/>
                <w:lang w:eastAsia="es-ES" w:bidi="es-ES"/>
              </w:rPr>
              <w:lastRenderedPageBreak/>
              <w:t>contra los principios de la gestión administrativa conduciendo a detrimentos del recurso público.</w:t>
            </w:r>
          </w:p>
        </w:tc>
      </w:tr>
    </w:tbl>
    <w:p w14:paraId="2A7F0993" w14:textId="77777777" w:rsidR="006E7B3F" w:rsidRPr="00661F0B" w:rsidRDefault="006E7B3F" w:rsidP="006E7B3F">
      <w:pPr>
        <w:tabs>
          <w:tab w:val="left" w:pos="142"/>
          <w:tab w:val="left" w:pos="284"/>
        </w:tabs>
        <w:spacing w:after="0" w:line="276" w:lineRule="auto"/>
        <w:jc w:val="both"/>
        <w:rPr>
          <w:rFonts w:ascii="Verdana" w:eastAsia="Century Gothic" w:hAnsi="Verdana" w:cs="Century Gothic"/>
          <w:b/>
          <w:bCs/>
        </w:rPr>
      </w:pPr>
    </w:p>
    <w:p w14:paraId="669F13BB" w14:textId="77777777" w:rsidR="006E7B3F" w:rsidRPr="00661F0B" w:rsidRDefault="006E7B3F" w:rsidP="006E7B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61F0B">
        <w:rPr>
          <w:rFonts w:ascii="Verdana" w:eastAsia="Century Gothic" w:hAnsi="Verdana" w:cs="Century Gothic"/>
          <w:b/>
          <w:bCs/>
          <w:lang w:val="es-CO"/>
        </w:rPr>
        <w:t>Razones de la respuesta:</w:t>
      </w:r>
    </w:p>
    <w:p w14:paraId="7FC4EA23" w14:textId="77777777" w:rsidR="006E7B3F" w:rsidRPr="00661F0B" w:rsidRDefault="006E7B3F" w:rsidP="006E7B3F">
      <w:pPr>
        <w:spacing w:after="0" w:line="276" w:lineRule="auto"/>
        <w:jc w:val="both"/>
        <w:rPr>
          <w:rFonts w:ascii="Verdana" w:eastAsia="Calibri" w:hAnsi="Verdana" w:cs="Arial"/>
          <w:color w:val="7030A0"/>
        </w:rPr>
      </w:pPr>
    </w:p>
    <w:p w14:paraId="40572E8F" w14:textId="77777777" w:rsidR="006E7B3F" w:rsidRPr="00661F0B" w:rsidRDefault="006E7B3F" w:rsidP="006E7B3F">
      <w:pPr>
        <w:spacing w:after="0" w:line="276" w:lineRule="auto"/>
        <w:jc w:val="both"/>
        <w:rPr>
          <w:rFonts w:ascii="Verdana" w:eastAsia="Calibri" w:hAnsi="Verdana" w:cs="Arial"/>
        </w:rPr>
      </w:pPr>
      <w:r w:rsidRPr="00661F0B">
        <w:rPr>
          <w:rFonts w:ascii="Verdana" w:eastAsia="Calibri" w:hAnsi="Verdana" w:cs="Arial"/>
        </w:rPr>
        <w:t xml:space="preserve">Lo anterior se sustenta en las siguientes consideraciones: </w:t>
      </w:r>
    </w:p>
    <w:p w14:paraId="6BA208E0" w14:textId="77777777" w:rsidR="006E7B3F" w:rsidRPr="00661F0B" w:rsidRDefault="006E7B3F" w:rsidP="006E7B3F">
      <w:pPr>
        <w:widowControl w:val="0"/>
        <w:autoSpaceDE w:val="0"/>
        <w:autoSpaceDN w:val="0"/>
        <w:spacing w:after="0" w:line="276" w:lineRule="auto"/>
        <w:jc w:val="both"/>
        <w:rPr>
          <w:rFonts w:ascii="Verdana" w:eastAsia="Calibri" w:hAnsi="Verdana" w:cs="Arial"/>
          <w:color w:val="7030A0"/>
        </w:rPr>
      </w:pPr>
    </w:p>
    <w:p w14:paraId="423B6CEA" w14:textId="31F376B3" w:rsidR="006E7B3F" w:rsidRPr="00661F0B" w:rsidRDefault="006E7B3F" w:rsidP="00CB7FE3">
      <w:pPr>
        <w:spacing w:after="120" w:line="276" w:lineRule="auto"/>
        <w:jc w:val="both"/>
        <w:rPr>
          <w:rFonts w:ascii="Verdana" w:hAnsi="Verdana" w:cs="Arial"/>
          <w:bCs/>
          <w:szCs w:val="24"/>
          <w:lang w:eastAsia="es-ES_tradnl"/>
        </w:rPr>
      </w:pPr>
      <w:r w:rsidRPr="00661F0B">
        <w:rPr>
          <w:rFonts w:ascii="Verdana" w:hAnsi="Verdana" w:cs="Arial"/>
          <w:bCs/>
          <w:szCs w:val="24"/>
          <w:lang w:eastAsia="es-ES_tradnl"/>
        </w:rPr>
        <w:t xml:space="preserve">Como es sabido, uno de los elementos más </w:t>
      </w:r>
      <w:r w:rsidR="009965EB">
        <w:rPr>
          <w:rFonts w:ascii="Verdana" w:hAnsi="Verdana" w:cs="Arial"/>
          <w:bCs/>
          <w:szCs w:val="24"/>
          <w:lang w:eastAsia="es-ES_tradnl"/>
        </w:rPr>
        <w:t>relevantes</w:t>
      </w:r>
      <w:r w:rsidRPr="00661F0B">
        <w:rPr>
          <w:rFonts w:ascii="Verdana" w:hAnsi="Verdana" w:cs="Arial"/>
          <w:bCs/>
          <w:szCs w:val="24"/>
          <w:lang w:eastAsia="es-ES_tradnl"/>
        </w:rPr>
        <w:t xml:space="preserve"> en los contratos estatales es el </w:t>
      </w:r>
      <w:r w:rsidRPr="00661F0B">
        <w:rPr>
          <w:rFonts w:ascii="Verdana" w:hAnsi="Verdana" w:cs="Arial"/>
          <w:bCs/>
          <w:i/>
          <w:iCs/>
          <w:szCs w:val="24"/>
          <w:lang w:eastAsia="es-ES_tradnl"/>
        </w:rPr>
        <w:t>precio</w:t>
      </w:r>
      <w:r w:rsidRPr="00661F0B">
        <w:rPr>
          <w:rFonts w:ascii="Verdana" w:hAnsi="Verdana" w:cs="Arial"/>
          <w:bCs/>
          <w:szCs w:val="24"/>
          <w:lang w:eastAsia="es-ES_tradnl"/>
        </w:rPr>
        <w:t>, también conocido como valor. Adicionalmente, el precio suele ser el elemento más importante para el contratista, porque equivale a la remuneración que la entidad contratante le pagará por la ejecución del objeto contractual.</w:t>
      </w:r>
    </w:p>
    <w:p w14:paraId="7CCE2A71" w14:textId="7EBA1888" w:rsidR="006E7B3F" w:rsidRPr="00661F0B" w:rsidRDefault="006E7B3F" w:rsidP="00CB7FE3">
      <w:pPr>
        <w:spacing w:after="120" w:line="276" w:lineRule="auto"/>
        <w:ind w:firstLine="709"/>
        <w:jc w:val="both"/>
        <w:rPr>
          <w:rFonts w:ascii="Verdana" w:hAnsi="Verdana" w:cs="Arial"/>
          <w:bCs/>
          <w:szCs w:val="24"/>
          <w:lang w:eastAsia="es-ES_tradnl"/>
        </w:rPr>
      </w:pPr>
      <w:r w:rsidRPr="00661F0B">
        <w:rPr>
          <w:rFonts w:ascii="Verdana" w:hAnsi="Verdana" w:cs="Arial"/>
          <w:bCs/>
          <w:szCs w:val="24"/>
          <w:lang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w:t>
      </w:r>
      <w:r w:rsidR="00E24117" w:rsidRPr="00661F0B">
        <w:rPr>
          <w:rFonts w:ascii="Verdana" w:hAnsi="Verdana" w:cs="Arial"/>
          <w:bCs/>
          <w:szCs w:val="24"/>
          <w:lang w:eastAsia="es-ES_tradnl"/>
        </w:rPr>
        <w:t xml:space="preserve"> del contrato</w:t>
      </w:r>
      <w:r w:rsidRPr="00661F0B">
        <w:rPr>
          <w:rFonts w:ascii="Verdana" w:hAnsi="Verdana" w:cs="Arial"/>
          <w:bCs/>
          <w:szCs w:val="24"/>
          <w:lang w:eastAsia="es-ES_tradnl"/>
        </w:rPr>
        <w:t>. Tal metodología generalmente depende del tipo de contrato, pues hay algunas modalidades más comunes en los de obra pública; otras más utilizadas en los de prestación de servicios y</w:t>
      </w:r>
      <w:r w:rsidR="002F6A83" w:rsidRPr="00661F0B">
        <w:rPr>
          <w:rFonts w:ascii="Verdana" w:hAnsi="Verdana" w:cs="Arial"/>
          <w:bCs/>
          <w:szCs w:val="24"/>
          <w:lang w:eastAsia="es-ES_tradnl"/>
        </w:rPr>
        <w:t>;</w:t>
      </w:r>
      <w:r w:rsidRPr="00661F0B">
        <w:rPr>
          <w:rFonts w:ascii="Verdana" w:hAnsi="Verdana" w:cs="Arial"/>
          <w:bCs/>
          <w:szCs w:val="24"/>
          <w:lang w:eastAsia="es-ES_tradnl"/>
        </w:rPr>
        <w:t xml:space="preserve"> otras más indicadas para los de concesión, por mencionar algunos ejemplos</w:t>
      </w:r>
      <w:r w:rsidRPr="00661F0B">
        <w:rPr>
          <w:rFonts w:ascii="Verdana" w:hAnsi="Verdana" w:cs="Arial"/>
          <w:bCs/>
          <w:szCs w:val="24"/>
          <w:vertAlign w:val="superscript"/>
          <w:lang w:eastAsia="es-ES_tradnl"/>
        </w:rPr>
        <w:footnoteReference w:id="2"/>
      </w:r>
      <w:r w:rsidRPr="00661F0B">
        <w:rPr>
          <w:rFonts w:ascii="Verdana" w:hAnsi="Verdana" w:cs="Arial"/>
          <w:bCs/>
          <w:szCs w:val="24"/>
          <w:lang w:eastAsia="es-ES_tradnl"/>
        </w:rPr>
        <w:t>.</w:t>
      </w:r>
    </w:p>
    <w:p w14:paraId="0C3F1E4D" w14:textId="77777777" w:rsidR="006E7B3F" w:rsidRPr="00661F0B" w:rsidRDefault="006E7B3F" w:rsidP="00CB7FE3">
      <w:pPr>
        <w:spacing w:after="120" w:line="276" w:lineRule="auto"/>
        <w:ind w:firstLine="709"/>
        <w:jc w:val="both"/>
        <w:rPr>
          <w:rFonts w:ascii="Verdana" w:hAnsi="Verdana" w:cs="Arial"/>
          <w:lang w:eastAsia="es-ES"/>
        </w:rPr>
      </w:pPr>
      <w:r w:rsidRPr="00661F0B">
        <w:rPr>
          <w:rFonts w:ascii="Verdana" w:hAnsi="Verdana" w:cs="Arial"/>
          <w:lang w:eastAsia="es-ES"/>
        </w:rPr>
        <w:t xml:space="preserve">No hay una sola metodología para pactar el precio y, en gran medida, la manera de hacerlo ha obedecido a la costumbre mercantil y a la influencia de disciplinas técnicas, como la ingeniería o la administración de empresas, en la </w:t>
      </w:r>
      <w:r w:rsidRPr="00661F0B">
        <w:rPr>
          <w:rFonts w:ascii="Verdana" w:hAnsi="Verdana" w:cs="Arial"/>
          <w:lang w:eastAsia="es-ES"/>
        </w:rPr>
        <w:lastRenderedPageBreak/>
        <w:t xml:space="preserve">contratación estatal. Dentro de tales esquemas de establecimiento del precio pueden citarse, entre otros: i) los precios unitarios –calculados de acuerdo con las unidades que componen el objeto del contrato–; </w:t>
      </w:r>
      <w:proofErr w:type="spellStart"/>
      <w:r w:rsidRPr="00661F0B">
        <w:rPr>
          <w:rFonts w:ascii="Verdana" w:hAnsi="Verdana" w:cs="Arial"/>
          <w:lang w:eastAsia="es-ES"/>
        </w:rPr>
        <w:t>ii</w:t>
      </w:r>
      <w:proofErr w:type="spellEnd"/>
      <w:r w:rsidRPr="00661F0B">
        <w:rPr>
          <w:rFonts w:ascii="Verdana" w:hAnsi="Verdana" w:cs="Arial"/>
          <w:lang w:eastAsia="es-ES"/>
        </w:rPr>
        <w:t xml:space="preserve">) el precio global –que equivale al monto total, sin discriminar unidades–; y </w:t>
      </w:r>
      <w:proofErr w:type="spellStart"/>
      <w:r w:rsidRPr="00661F0B">
        <w:rPr>
          <w:rFonts w:ascii="Verdana" w:hAnsi="Verdana" w:cs="Arial"/>
          <w:lang w:eastAsia="es-ES"/>
        </w:rPr>
        <w:t>iii</w:t>
      </w:r>
      <w:proofErr w:type="spellEnd"/>
      <w:r w:rsidRPr="00661F0B">
        <w:rPr>
          <w:rFonts w:ascii="Verdana" w:hAnsi="Verdana" w:cs="Arial"/>
          <w:lang w:eastAsia="es-ES"/>
        </w:rPr>
        <w:t>) la administración delegada de recursos –en la que se distinguen los costos de inversión de los honorarios del administrador–.</w:t>
      </w:r>
    </w:p>
    <w:p w14:paraId="6C7A1D27" w14:textId="77777777" w:rsidR="006E7B3F" w:rsidRPr="00661F0B" w:rsidRDefault="006E7B3F" w:rsidP="00CB7FE3">
      <w:pPr>
        <w:spacing w:after="120" w:line="276" w:lineRule="auto"/>
        <w:ind w:firstLine="709"/>
        <w:jc w:val="both"/>
        <w:rPr>
          <w:rFonts w:ascii="Verdana" w:hAnsi="Verdana" w:cs="Arial"/>
          <w:szCs w:val="24"/>
          <w:lang w:eastAsia="es-ES_tradnl"/>
        </w:rPr>
      </w:pPr>
      <w:r w:rsidRPr="00236B36">
        <w:rPr>
          <w:rFonts w:ascii="Verdana" w:hAnsi="Verdana"/>
        </w:rPr>
        <w:t>El contrato cuyo precio es pactado a precios unitarios, que es el que llama la atención en el presente concepto, dado el objeto de la consulta,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etc.). Por lo mismo, el precio será el resultado de multiplicar la cantidad finalmente ejecutada por el valor unitario respectivo</w:t>
      </w:r>
      <w:r w:rsidRPr="00236B36">
        <w:rPr>
          <w:rStyle w:val="Refdenotaalpie"/>
          <w:rFonts w:ascii="Verdana" w:hAnsi="Verdana"/>
        </w:rPr>
        <w:footnoteReference w:id="3"/>
      </w:r>
      <w:r w:rsidRPr="00236B36">
        <w:rPr>
          <w:rFonts w:ascii="Verdana" w:hAnsi="Verdana"/>
        </w:rPr>
        <w:t>.</w:t>
      </w:r>
    </w:p>
    <w:p w14:paraId="23BD4F51" w14:textId="4AE3B0CF" w:rsidR="006E7B3F" w:rsidRPr="00661F0B" w:rsidRDefault="006E7B3F" w:rsidP="00CB7FE3">
      <w:pPr>
        <w:spacing w:after="120" w:line="276" w:lineRule="auto"/>
        <w:ind w:firstLine="709"/>
        <w:jc w:val="both"/>
        <w:rPr>
          <w:rFonts w:ascii="Verdana" w:hAnsi="Verdana" w:cs="Arial"/>
          <w:bCs/>
          <w:szCs w:val="24"/>
          <w:lang w:eastAsia="es-ES_tradnl"/>
        </w:rPr>
      </w:pPr>
      <w:r w:rsidRPr="00661F0B">
        <w:rPr>
          <w:rFonts w:ascii="Verdana" w:hAnsi="Verdana" w:cs="Arial"/>
          <w:bCs/>
          <w:szCs w:val="24"/>
          <w:lang w:eastAsia="es-ES_tradnl"/>
        </w:rPr>
        <w:t>En esta modalidad</w:t>
      </w:r>
      <w:r w:rsidR="00A20793" w:rsidRPr="00661F0B">
        <w:rPr>
          <w:rFonts w:ascii="Verdana" w:hAnsi="Verdana" w:cs="Arial"/>
          <w:bCs/>
          <w:szCs w:val="24"/>
          <w:lang w:eastAsia="es-ES_tradnl"/>
        </w:rPr>
        <w:t xml:space="preserve"> de establecimiento del precio</w:t>
      </w:r>
      <w:r w:rsidRPr="00661F0B">
        <w:rPr>
          <w:rFonts w:ascii="Verdana" w:hAnsi="Verdana" w:cs="Arial"/>
          <w:bCs/>
          <w:szCs w:val="24"/>
          <w:lang w:eastAsia="es-ES_tradnl"/>
        </w:rPr>
        <w:t xml:space="preserve">, y por la misma naturaleza del contrato que impide definir con certeza su valor real, se establecen unas estimaciones de cantidades de obra, según los estudios </w:t>
      </w:r>
      <w:r w:rsidR="000843DE" w:rsidRPr="005E4249">
        <w:rPr>
          <w:rFonts w:ascii="Verdana" w:hAnsi="Verdana" w:cs="Arial"/>
          <w:bCs/>
          <w:szCs w:val="24"/>
          <w:lang w:eastAsia="es-ES_tradnl"/>
        </w:rPr>
        <w:t xml:space="preserve">y diseños, los </w:t>
      </w:r>
      <w:r w:rsidRPr="005E4249">
        <w:rPr>
          <w:rFonts w:ascii="Verdana" w:hAnsi="Verdana" w:cs="Arial"/>
          <w:bCs/>
          <w:szCs w:val="24"/>
          <w:lang w:eastAsia="es-ES_tradnl"/>
        </w:rPr>
        <w:t xml:space="preserve">estudios </w:t>
      </w:r>
      <w:r w:rsidRPr="00661F0B">
        <w:rPr>
          <w:rFonts w:ascii="Verdana" w:hAnsi="Verdana" w:cs="Arial"/>
          <w:bCs/>
          <w:szCs w:val="24"/>
          <w:lang w:eastAsia="es-ES_tradnl"/>
        </w:rPr>
        <w:t>previos y unos precios unitarios de los respectivos ítems de obra</w:t>
      </w:r>
      <w:r w:rsidRPr="00661F0B">
        <w:rPr>
          <w:rStyle w:val="Refdenotaalpie"/>
          <w:rFonts w:ascii="Verdana" w:hAnsi="Verdana" w:cs="Arial"/>
          <w:bCs/>
          <w:szCs w:val="24"/>
          <w:lang w:eastAsia="es-ES_tradnl"/>
        </w:rPr>
        <w:footnoteReference w:id="4"/>
      </w:r>
      <w:r w:rsidRPr="00661F0B">
        <w:rPr>
          <w:rFonts w:ascii="Verdana" w:hAnsi="Verdana" w:cs="Arial"/>
          <w:bCs/>
          <w:szCs w:val="24"/>
          <w:lang w:eastAsia="es-ES_tradnl"/>
        </w:rPr>
        <w:t xml:space="preserve">. </w:t>
      </w:r>
      <w:r w:rsidRPr="00236B36">
        <w:rPr>
          <w:rFonts w:ascii="Verdana" w:hAnsi="Verdana"/>
        </w:rPr>
        <w:t xml:space="preserve">Al respecto, la jurisprudencia de la Sección Tercera del Consejo de Estado ha explicado que, en los contratos </w:t>
      </w:r>
      <w:r w:rsidR="005C1DD8">
        <w:rPr>
          <w:rFonts w:ascii="Verdana" w:hAnsi="Verdana"/>
        </w:rPr>
        <w:t>pactados mediante</w:t>
      </w:r>
      <w:r w:rsidR="005C1DD8" w:rsidRPr="00236B36">
        <w:rPr>
          <w:rFonts w:ascii="Verdana" w:hAnsi="Verdana"/>
        </w:rPr>
        <w:t xml:space="preserve"> </w:t>
      </w:r>
      <w:r w:rsidRPr="00236B36">
        <w:rPr>
          <w:rFonts w:ascii="Verdana" w:hAnsi="Verdana"/>
        </w:rPr>
        <w:t xml:space="preserve">precios unitarios, ante la imposibilidad de establecer con exactitud los montos totales que resultarán de realizar la obra contratada, </w:t>
      </w:r>
      <w:r w:rsidR="00283517" w:rsidRPr="00236B36">
        <w:rPr>
          <w:rFonts w:ascii="Verdana" w:hAnsi="Verdana"/>
        </w:rPr>
        <w:t>previ</w:t>
      </w:r>
      <w:r w:rsidR="00662836" w:rsidRPr="00236B36">
        <w:rPr>
          <w:rFonts w:ascii="Verdana" w:hAnsi="Verdana"/>
        </w:rPr>
        <w:t>o</w:t>
      </w:r>
      <w:r w:rsidR="00283517" w:rsidRPr="00236B36">
        <w:rPr>
          <w:rFonts w:ascii="Verdana" w:hAnsi="Verdana"/>
        </w:rPr>
        <w:t xml:space="preserve"> a la ejecución del negocio jurídico, </w:t>
      </w:r>
      <w:r w:rsidRPr="00236B36">
        <w:rPr>
          <w:rFonts w:ascii="Verdana" w:hAnsi="Verdana"/>
        </w:rPr>
        <w:t>la entidad</w:t>
      </w:r>
      <w:r w:rsidR="00106C47" w:rsidRPr="00236B36">
        <w:rPr>
          <w:rFonts w:ascii="Verdana" w:hAnsi="Verdana"/>
        </w:rPr>
        <w:t>,</w:t>
      </w:r>
      <w:r w:rsidRPr="00236B36">
        <w:rPr>
          <w:rFonts w:ascii="Verdana" w:hAnsi="Verdana"/>
        </w:rPr>
        <w:t xml:space="preserve"> tanto en los </w:t>
      </w:r>
      <w:r w:rsidR="00216189" w:rsidRPr="00236B36">
        <w:rPr>
          <w:rFonts w:ascii="Verdana" w:hAnsi="Verdana"/>
        </w:rPr>
        <w:t xml:space="preserve">Pliegos de Condiciones o documento equivalente, </w:t>
      </w:r>
      <w:r w:rsidRPr="00236B36">
        <w:rPr>
          <w:rFonts w:ascii="Verdana" w:hAnsi="Verdana"/>
        </w:rPr>
        <w:t>como en el contrato</w:t>
      </w:r>
      <w:r w:rsidR="00106C47" w:rsidRPr="00236B36">
        <w:rPr>
          <w:rFonts w:ascii="Verdana" w:hAnsi="Verdana"/>
        </w:rPr>
        <w:t>,</w:t>
      </w:r>
      <w:r w:rsidRPr="00236B36">
        <w:rPr>
          <w:rFonts w:ascii="Verdana" w:hAnsi="Verdana"/>
        </w:rPr>
        <w:t xml:space="preserve"> aproxima un cálculo estimado de la cantidad o unidades de obra que se requerirá ejecutar</w:t>
      </w:r>
      <w:r w:rsidR="00106C47" w:rsidRPr="00236B36">
        <w:rPr>
          <w:rFonts w:ascii="Verdana" w:hAnsi="Verdana"/>
        </w:rPr>
        <w:t>. Esto</w:t>
      </w:r>
      <w:r w:rsidR="006F759F" w:rsidRPr="00236B36">
        <w:rPr>
          <w:rFonts w:ascii="Verdana" w:hAnsi="Verdana"/>
        </w:rPr>
        <w:t>,</w:t>
      </w:r>
      <w:r w:rsidR="00106C47" w:rsidRPr="00236B36">
        <w:rPr>
          <w:rFonts w:ascii="Verdana" w:hAnsi="Verdana"/>
        </w:rPr>
        <w:t xml:space="preserve"> con el propósito de que </w:t>
      </w:r>
      <w:r w:rsidRPr="00236B36">
        <w:rPr>
          <w:rFonts w:ascii="Verdana" w:hAnsi="Verdana"/>
        </w:rPr>
        <w:t>el proponente establezca en su propuesta unos valores unitarios respecto de cada unidad de obra prevista por el ente contratante</w:t>
      </w:r>
      <w:r w:rsidRPr="00236B36">
        <w:rPr>
          <w:rStyle w:val="Refdenotaalpie"/>
          <w:rFonts w:ascii="Verdana" w:hAnsi="Verdana"/>
        </w:rPr>
        <w:footnoteReference w:id="5"/>
      </w:r>
      <w:r w:rsidRPr="00236B36">
        <w:rPr>
          <w:rFonts w:ascii="Verdana" w:hAnsi="Verdana"/>
        </w:rPr>
        <w:t>.</w:t>
      </w:r>
    </w:p>
    <w:p w14:paraId="30988A81" w14:textId="08162495" w:rsidR="006E7B3F" w:rsidRPr="00661F0B" w:rsidRDefault="00046DA4" w:rsidP="00CB7FE3">
      <w:pPr>
        <w:spacing w:after="120" w:line="276" w:lineRule="auto"/>
        <w:ind w:firstLine="709"/>
        <w:jc w:val="both"/>
        <w:rPr>
          <w:rFonts w:ascii="Verdana" w:hAnsi="Verdana" w:cs="Arial"/>
          <w:bCs/>
          <w:szCs w:val="24"/>
          <w:lang w:eastAsia="es-ES_tradnl"/>
        </w:rPr>
      </w:pPr>
      <w:r w:rsidRPr="00236B36">
        <w:rPr>
          <w:rFonts w:ascii="Verdana" w:hAnsi="Verdana" w:cs="Arial"/>
          <w:szCs w:val="24"/>
          <w:lang w:eastAsia="es-ES_tradnl"/>
        </w:rPr>
        <w:t>Así las cosas</w:t>
      </w:r>
      <w:r w:rsidR="006E7B3F" w:rsidRPr="00236B36">
        <w:rPr>
          <w:rFonts w:ascii="Verdana" w:hAnsi="Verdana" w:cs="Arial"/>
          <w:szCs w:val="24"/>
          <w:lang w:eastAsia="es-ES_tradnl"/>
        </w:rPr>
        <w:t xml:space="preserve">, uno es el valor estimado del contrato y otro el valor real, según las mayores o menores cantidades de obra que efectivamente ejecute el </w:t>
      </w:r>
      <w:r w:rsidR="006E7B3F" w:rsidRPr="00236B36">
        <w:rPr>
          <w:rFonts w:ascii="Verdana" w:hAnsi="Verdana" w:cs="Arial"/>
          <w:szCs w:val="24"/>
          <w:lang w:eastAsia="es-ES_tradnl"/>
        </w:rPr>
        <w:lastRenderedPageBreak/>
        <w:t>contratista para cumplir el objeto pactado.</w:t>
      </w:r>
      <w:r w:rsidR="006E7B3F" w:rsidRPr="00236B36">
        <w:rPr>
          <w:rFonts w:ascii="Verdana" w:hAnsi="Verdana"/>
          <w:i/>
        </w:rPr>
        <w:t xml:space="preserve"> </w:t>
      </w:r>
      <w:r w:rsidR="006E7B3F" w:rsidRPr="00236B36">
        <w:rPr>
          <w:rFonts w:ascii="Verdana" w:hAnsi="Verdana"/>
        </w:rPr>
        <w:t xml:space="preserve">De esta manera, </w:t>
      </w:r>
      <w:r w:rsidR="006E7B3F" w:rsidRPr="00661F0B">
        <w:rPr>
          <w:rFonts w:ascii="Verdana" w:hAnsi="Verdana" w:cs="Arial"/>
          <w:bCs/>
          <w:szCs w:val="24"/>
          <w:lang w:eastAsia="es-ES_tradnl"/>
        </w:rPr>
        <w:t>en los contratos de obra pública con pago pactado a precios unitarios, el valor del contrato es el que resulta de multiplicar las cantidades de obra efectivamente ejecutadas por sus precios unitarios</w:t>
      </w:r>
      <w:r w:rsidR="00DD2F9A" w:rsidRPr="00661F0B">
        <w:rPr>
          <w:rFonts w:ascii="Verdana" w:hAnsi="Verdana" w:cs="Arial"/>
          <w:bCs/>
          <w:szCs w:val="24"/>
          <w:lang w:eastAsia="es-ES_tradnl"/>
        </w:rPr>
        <w:t xml:space="preserve">. No obstante, </w:t>
      </w:r>
      <w:r w:rsidR="006E7B3F" w:rsidRPr="00661F0B">
        <w:rPr>
          <w:rFonts w:ascii="Verdana" w:hAnsi="Verdana" w:cs="Arial"/>
          <w:bCs/>
          <w:szCs w:val="24"/>
          <w:lang w:eastAsia="es-ES_tradnl"/>
        </w:rPr>
        <w:t xml:space="preserve">para </w:t>
      </w:r>
      <w:r w:rsidR="00934901" w:rsidRPr="00661F0B">
        <w:rPr>
          <w:rFonts w:ascii="Verdana" w:hAnsi="Verdana" w:cs="Arial"/>
          <w:bCs/>
          <w:szCs w:val="24"/>
          <w:lang w:eastAsia="es-ES_tradnl"/>
        </w:rPr>
        <w:t>la celebración de este tipo de contratos</w:t>
      </w:r>
      <w:r w:rsidR="006E7B3F" w:rsidRPr="00661F0B">
        <w:rPr>
          <w:rFonts w:ascii="Verdana" w:hAnsi="Verdana" w:cs="Arial"/>
          <w:bCs/>
          <w:szCs w:val="24"/>
          <w:lang w:eastAsia="es-ES_tradnl"/>
        </w:rPr>
        <w:t>, el precio se expresa en un valor estimado, que corresponde a un valor inicial, y que está dado por las cantidades de obra y los precios unitarios por los cuales se hizo la respectiva adjudicación.</w:t>
      </w:r>
    </w:p>
    <w:p w14:paraId="6706338E" w14:textId="08A9EB4F" w:rsidR="006E7B3F" w:rsidRPr="00661F0B" w:rsidRDefault="0022128E" w:rsidP="00CB7FE3">
      <w:pPr>
        <w:spacing w:after="120" w:line="276" w:lineRule="auto"/>
        <w:ind w:firstLine="709"/>
        <w:jc w:val="both"/>
        <w:rPr>
          <w:rFonts w:ascii="Verdana" w:hAnsi="Verdana" w:cs="Arial"/>
          <w:szCs w:val="24"/>
          <w:lang w:eastAsia="es-ES_tradnl"/>
        </w:rPr>
      </w:pPr>
      <w:r w:rsidRPr="00661F0B">
        <w:rPr>
          <w:rFonts w:ascii="Verdana" w:hAnsi="Verdana" w:cs="Arial"/>
          <w:bCs/>
          <w:szCs w:val="24"/>
          <w:lang w:eastAsia="es-ES_tradnl"/>
        </w:rPr>
        <w:t xml:space="preserve">Otro aspecto importante a tener en cuenta </w:t>
      </w:r>
      <w:r w:rsidR="00480AF3" w:rsidRPr="00661F0B">
        <w:rPr>
          <w:rFonts w:ascii="Verdana" w:hAnsi="Verdana" w:cs="Arial"/>
          <w:bCs/>
          <w:szCs w:val="24"/>
          <w:lang w:eastAsia="es-ES_tradnl"/>
        </w:rPr>
        <w:t xml:space="preserve">respecto a los </w:t>
      </w:r>
      <w:r w:rsidR="006E7B3F" w:rsidRPr="00661F0B">
        <w:rPr>
          <w:rFonts w:ascii="Verdana" w:hAnsi="Verdana" w:cs="Arial"/>
          <w:bCs/>
          <w:szCs w:val="24"/>
          <w:lang w:eastAsia="es-ES_tradnl"/>
        </w:rPr>
        <w:t>contratos cuyo precio se estructura a partir del sistema de precios unitarios</w:t>
      </w:r>
      <w:r w:rsidR="007E0304" w:rsidRPr="00661F0B">
        <w:rPr>
          <w:rFonts w:ascii="Verdana" w:hAnsi="Verdana" w:cs="Arial"/>
          <w:bCs/>
          <w:szCs w:val="24"/>
          <w:lang w:eastAsia="es-ES_tradnl"/>
        </w:rPr>
        <w:t xml:space="preserve"> es que,</w:t>
      </w:r>
      <w:r w:rsidR="006E7B3F" w:rsidRPr="00661F0B">
        <w:rPr>
          <w:rFonts w:ascii="Verdana" w:hAnsi="Verdana" w:cs="Arial"/>
          <w:bCs/>
          <w:szCs w:val="24"/>
          <w:lang w:eastAsia="es-ES_tradnl"/>
        </w:rPr>
        <w:t xml:space="preserve">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006E7B3F" w:rsidRPr="00661F0B">
        <w:rPr>
          <w:rFonts w:ascii="Verdana" w:hAnsi="Verdana" w:cs="Arial"/>
          <w:bCs/>
          <w:i/>
          <w:iCs/>
          <w:szCs w:val="24"/>
          <w:lang w:eastAsia="es-ES_tradnl"/>
        </w:rPr>
        <w:t>ítems</w:t>
      </w:r>
      <w:r w:rsidR="006E7B3F" w:rsidRPr="00661F0B">
        <w:rPr>
          <w:rFonts w:ascii="Verdana" w:hAnsi="Verdana" w:cs="Arial"/>
          <w:bCs/>
          <w:szCs w:val="24"/>
          <w:lang w:eastAsia="es-ES_tradnl"/>
        </w:rPr>
        <w:t xml:space="preserve"> según su unidad de medida, los costos indirectos se suelen abreviar en las variables que integran el acrónimo AIU –Administración, Imprevistos y Utilidad–, que se calcula como un porcentaje aplicado a los costos indirectos</w:t>
      </w:r>
      <w:r w:rsidR="006E7B3F" w:rsidRPr="00661F0B">
        <w:rPr>
          <w:rFonts w:ascii="Verdana" w:hAnsi="Verdana" w:cs="Arial"/>
          <w:szCs w:val="24"/>
          <w:vertAlign w:val="superscript"/>
          <w:lang w:eastAsia="es-ES_tradnl"/>
        </w:rPr>
        <w:footnoteReference w:id="6"/>
      </w:r>
      <w:r w:rsidR="006E7B3F" w:rsidRPr="00661F0B">
        <w:rPr>
          <w:rFonts w:ascii="Verdana" w:hAnsi="Verdana" w:cs="Arial"/>
          <w:szCs w:val="24"/>
          <w:lang w:eastAsia="es-ES_tradnl"/>
        </w:rPr>
        <w:t>.</w:t>
      </w:r>
    </w:p>
    <w:p w14:paraId="14355877" w14:textId="77777777" w:rsidR="00742C4C" w:rsidRPr="00236B36" w:rsidRDefault="00742C4C" w:rsidP="00CB7FE3">
      <w:pPr>
        <w:spacing w:after="120" w:line="276" w:lineRule="auto"/>
        <w:ind w:firstLine="708"/>
        <w:jc w:val="both"/>
        <w:rPr>
          <w:rFonts w:ascii="Verdana" w:hAnsi="Verdana"/>
          <w:i/>
        </w:rPr>
      </w:pPr>
      <w:r w:rsidRPr="00236B36">
        <w:rPr>
          <w:rFonts w:ascii="Verdana" w:hAnsi="Verdana"/>
        </w:rPr>
        <w:t>Conforme a lo expuesto en líneas precedentes, el valor del contrato en el sistema a precios unitarios es indicativo o estimativo, motivo por el cual el valor real dependerá de las cantidades que final y efectivamente sean ejecutadas, multiplicadas por los precios unitarios que hayan sido pactados. Por lo mismo, en principio, el reconocimiento de las mayores cantidades de obra no es más que la aplicación de la forma de precio y pago estipuladas en el contrato, es decir, la implementación del procedimiento convenido por las partes para calcular el valor final del negocio jurídico: cantidades ejecutadas por valor de ítem acordado.</w:t>
      </w:r>
    </w:p>
    <w:p w14:paraId="5D8F8619" w14:textId="77777777" w:rsidR="00742C4C" w:rsidRPr="00236B36" w:rsidRDefault="00742C4C" w:rsidP="00CB7FE3">
      <w:pPr>
        <w:spacing w:after="120" w:line="276" w:lineRule="auto"/>
        <w:ind w:firstLine="708"/>
        <w:jc w:val="both"/>
        <w:rPr>
          <w:rFonts w:ascii="Verdana" w:hAnsi="Verdana"/>
          <w:i/>
        </w:rPr>
      </w:pPr>
      <w:r w:rsidRPr="00236B36">
        <w:rPr>
          <w:rFonts w:ascii="Verdana" w:hAnsi="Verdana"/>
        </w:rPr>
        <w:t xml:space="preserve">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w:t>
      </w:r>
      <w:r w:rsidRPr="00236B36">
        <w:rPr>
          <w:rFonts w:ascii="Verdana" w:hAnsi="Verdana"/>
        </w:rPr>
        <w:lastRenderedPageBreak/>
        <w:t>casos no sea propiamente el valor total inicialmente estimado, ni las cantidades inicialmente previstas, sino los valores unitarios que las partes acordaron aplicar a cada uno de los ítems.</w:t>
      </w:r>
    </w:p>
    <w:p w14:paraId="6618681D" w14:textId="1C02C813" w:rsidR="00742C4C" w:rsidRPr="00236B36" w:rsidRDefault="00742C4C" w:rsidP="00CB7FE3">
      <w:pPr>
        <w:spacing w:after="120" w:line="276" w:lineRule="auto"/>
        <w:ind w:firstLine="708"/>
        <w:jc w:val="both"/>
        <w:rPr>
          <w:rFonts w:ascii="Verdana" w:hAnsi="Verdana"/>
          <w:i/>
        </w:rPr>
      </w:pPr>
      <w:r w:rsidRPr="00236B36">
        <w:rPr>
          <w:rFonts w:ascii="Verdana" w:hAnsi="Verdana"/>
        </w:rPr>
        <w:t>Lo anterior, no significa que el contratista pueda adelantar cualquier mayor cantidad de obra sin ningún tipo de límite, debido a que solamente podrá construir aquello que sea imprescindible para cumplir con el objeto. En estos casos, la entidad deberá ejercer un riguroso control, en atención a las cantidades que se están ejecutando, puesto que deberá verificar, antes de proceder con el pago, que las mismas sí eran indispensables para finiquitar o culminar con las obligaciones a cargo del contratista. De cualquier manera, las partes podrán estructurar, en ejercicio de la autonomía de la voluntad, mecanismos de control adicionales, como autorizaciones con requisitos especiales</w:t>
      </w:r>
      <w:r w:rsidR="00D85971" w:rsidRPr="00236B36">
        <w:rPr>
          <w:rFonts w:ascii="Verdana" w:hAnsi="Verdana"/>
        </w:rPr>
        <w:t>, en aquellos eventos</w:t>
      </w:r>
      <w:r w:rsidR="00051E26" w:rsidRPr="00236B36">
        <w:rPr>
          <w:rFonts w:ascii="Verdana" w:hAnsi="Verdana"/>
        </w:rPr>
        <w:t xml:space="preserve"> en que</w:t>
      </w:r>
      <w:r w:rsidRPr="00236B36">
        <w:rPr>
          <w:rFonts w:ascii="Verdana" w:hAnsi="Verdana"/>
        </w:rPr>
        <w:t>, por ejemplo, las cantidades superen el valor inicialmente estimado.</w:t>
      </w:r>
    </w:p>
    <w:p w14:paraId="73F4AD5E" w14:textId="4C6E8D89" w:rsidR="006E7B3F" w:rsidRPr="00661F0B" w:rsidRDefault="006E7B3F" w:rsidP="00CB7FE3">
      <w:pPr>
        <w:spacing w:after="120" w:line="276" w:lineRule="auto"/>
        <w:ind w:firstLine="709"/>
        <w:jc w:val="both"/>
        <w:rPr>
          <w:rFonts w:ascii="Verdana" w:hAnsi="Verdana" w:cs="Arial"/>
          <w:lang w:eastAsia="es-ES"/>
        </w:rPr>
      </w:pPr>
      <w:r w:rsidRPr="00661F0B">
        <w:rPr>
          <w:rFonts w:ascii="Verdana" w:hAnsi="Verdana" w:cs="Arial"/>
          <w:lang w:eastAsia="es-ES"/>
        </w:rPr>
        <w:t>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w:t>
      </w:r>
      <w:r w:rsidR="00473432" w:rsidRPr="00661F0B">
        <w:rPr>
          <w:rFonts w:ascii="Verdana" w:hAnsi="Verdana" w:cs="Arial"/>
          <w:lang w:eastAsia="es-ES"/>
        </w:rPr>
        <w:t xml:space="preserve"> pueden</w:t>
      </w:r>
      <w:r w:rsidRPr="00661F0B">
        <w:rPr>
          <w:rFonts w:ascii="Verdana" w:hAnsi="Verdana" w:cs="Arial"/>
          <w:lang w:eastAsia="es-ES"/>
        </w:rPr>
        <w:t xml:space="preserve"> identifica</w:t>
      </w:r>
      <w:r w:rsidR="00473432" w:rsidRPr="00661F0B">
        <w:rPr>
          <w:rFonts w:ascii="Verdana" w:hAnsi="Verdana" w:cs="Arial"/>
          <w:lang w:eastAsia="es-ES"/>
        </w:rPr>
        <w:t>r</w:t>
      </w:r>
      <w:r w:rsidRPr="00661F0B">
        <w:rPr>
          <w:rFonts w:ascii="Verdana" w:hAnsi="Verdana" w:cs="Arial"/>
          <w:lang w:eastAsia="es-ES"/>
        </w:rPr>
        <w:t xml:space="preserve"> alguna de las siguientes situaciones: i) la necesidad de mayores cantidades de bienes o actividades</w:t>
      </w:r>
      <w:r w:rsidR="00313F64" w:rsidRPr="00661F0B">
        <w:rPr>
          <w:rFonts w:ascii="Verdana" w:hAnsi="Verdana" w:cs="Arial"/>
          <w:lang w:eastAsia="es-ES"/>
        </w:rPr>
        <w:t xml:space="preserve"> a las</w:t>
      </w:r>
      <w:r w:rsidRPr="00661F0B">
        <w:rPr>
          <w:rFonts w:ascii="Verdana" w:hAnsi="Verdana" w:cs="Arial"/>
          <w:lang w:eastAsia="es-ES"/>
        </w:rPr>
        <w:t xml:space="preserve"> inicialmente previst</w:t>
      </w:r>
      <w:r w:rsidR="00313F64" w:rsidRPr="00661F0B">
        <w:rPr>
          <w:rFonts w:ascii="Verdana" w:hAnsi="Verdana" w:cs="Arial"/>
          <w:lang w:eastAsia="es-ES"/>
        </w:rPr>
        <w:t>a</w:t>
      </w:r>
      <w:r w:rsidRPr="00661F0B">
        <w:rPr>
          <w:rFonts w:ascii="Verdana" w:hAnsi="Verdana" w:cs="Arial"/>
          <w:lang w:eastAsia="es-ES"/>
        </w:rPr>
        <w:t xml:space="preserve">s, a lo que se le conoce como “mayores cantidades de obra”, “obras adicionales” o adición de “ítems contractuales”; y </w:t>
      </w:r>
      <w:proofErr w:type="spellStart"/>
      <w:r w:rsidRPr="00661F0B">
        <w:rPr>
          <w:rFonts w:ascii="Verdana" w:hAnsi="Verdana" w:cs="Arial"/>
          <w:lang w:eastAsia="es-ES"/>
        </w:rPr>
        <w:t>ii</w:t>
      </w:r>
      <w:proofErr w:type="spellEnd"/>
      <w:r w:rsidRPr="00661F0B">
        <w:rPr>
          <w:rFonts w:ascii="Verdana" w:hAnsi="Verdana" w:cs="Arial"/>
          <w:lang w:eastAsia="es-E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0CABE6BD" w14:textId="77777777" w:rsidR="006E7B3F" w:rsidRPr="00661F0B" w:rsidRDefault="006E7B3F" w:rsidP="00CB7FE3">
      <w:pPr>
        <w:spacing w:after="120" w:line="276" w:lineRule="auto"/>
        <w:ind w:firstLine="709"/>
        <w:jc w:val="both"/>
        <w:rPr>
          <w:rFonts w:ascii="Verdana" w:hAnsi="Verdana" w:cs="Arial"/>
          <w:lang w:eastAsia="es-ES_tradnl"/>
        </w:rPr>
      </w:pPr>
      <w:r w:rsidRPr="00661F0B">
        <w:rPr>
          <w:rFonts w:ascii="Verdana" w:hAnsi="Verdana" w:cs="Arial"/>
          <w:lang w:eastAsia="es-ES_tradnl"/>
        </w:rPr>
        <w:t>Este último término tiene origen en el artículo 58 del Decreto-Ley 222 de 1983</w:t>
      </w:r>
      <w:r w:rsidRPr="00661F0B">
        <w:rPr>
          <w:rStyle w:val="Refdenotaalpie"/>
          <w:rFonts w:ascii="Verdana" w:hAnsi="Verdana" w:cs="Arial"/>
          <w:lang w:eastAsia="es-ES_tradnl"/>
        </w:rPr>
        <w:footnoteReference w:id="7"/>
      </w:r>
      <w:r w:rsidRPr="00661F0B">
        <w:rPr>
          <w:rFonts w:ascii="Verdana" w:hAnsi="Verdana" w:cs="Arial"/>
          <w:lang w:eastAsia="es-ES_tradnl"/>
        </w:rPr>
        <w:t xml:space="preserve">, el cual establecía el “contrato adicional” como el mecanismo a utilizar </w:t>
      </w:r>
      <w:r w:rsidRPr="00661F0B">
        <w:rPr>
          <w:rFonts w:ascii="Verdana" w:hAnsi="Verdana" w:cs="Arial"/>
          <w:lang w:eastAsia="es-ES_tradnl"/>
        </w:rPr>
        <w:lastRenderedPageBreak/>
        <w:t xml:space="preserve">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w:t>
      </w:r>
      <w:bookmarkStart w:id="2" w:name="_Hlk176963734"/>
      <w:r w:rsidRPr="00661F0B">
        <w:rPr>
          <w:rFonts w:ascii="Verdana" w:hAnsi="Verdana" w:cs="Arial"/>
          <w:lang w:eastAsia="es-ES_tradnl"/>
        </w:rPr>
        <w:t>la posibilidad de adicionar valor de los contratos estatales dentro de un límite dado por el cincuenta por ciento (50%) de su valor inicial expresado</w:t>
      </w:r>
      <w:bookmarkEnd w:id="2"/>
      <w:r w:rsidRPr="00661F0B">
        <w:rPr>
          <w:rFonts w:ascii="Verdana" w:hAnsi="Verdana" w:cs="Arial"/>
          <w:lang w:eastAsia="es-ES_tradnl"/>
        </w:rPr>
        <w:t>, pero sin establecer una limitación expresa sobre otros elementos sobre los que recae la adición</w:t>
      </w:r>
      <w:r w:rsidRPr="00661F0B">
        <w:rPr>
          <w:rStyle w:val="Refdenotaalpie"/>
          <w:rFonts w:ascii="Verdana" w:hAnsi="Verdana" w:cs="Arial"/>
          <w:lang w:eastAsia="es-ES_tradnl"/>
        </w:rPr>
        <w:footnoteReference w:id="8"/>
      </w:r>
      <w:r w:rsidRPr="00661F0B">
        <w:rPr>
          <w:rFonts w:ascii="Verdana" w:hAnsi="Verdana" w:cs="Arial"/>
          <w:lang w:eastAsia="es-ES_tradnl"/>
        </w:rPr>
        <w:t>.</w:t>
      </w:r>
    </w:p>
    <w:p w14:paraId="39BF903E" w14:textId="01C505E6" w:rsidR="006E7B3F" w:rsidRPr="00661F0B" w:rsidRDefault="006E7B3F" w:rsidP="00CB7FE3">
      <w:pPr>
        <w:spacing w:after="120" w:line="276" w:lineRule="auto"/>
        <w:ind w:firstLine="709"/>
        <w:jc w:val="both"/>
        <w:rPr>
          <w:rFonts w:ascii="Verdana" w:hAnsi="Verdana" w:cs="Arial"/>
          <w:lang w:eastAsia="es-ES"/>
        </w:rPr>
      </w:pPr>
      <w:r w:rsidRPr="00661F0B">
        <w:rPr>
          <w:rFonts w:ascii="Verdana" w:hAnsi="Verdana" w:cs="Arial"/>
          <w:szCs w:val="24"/>
          <w:lang w:eastAsia="es-ES_tradnl"/>
        </w:rPr>
        <w:t>No obstante, la expresión “contrato adicional” al igual que las otras nociones doctrinarias y jurisprudenciales arriba señaladas entre comillas son de uso común en la práctica contractual por las Entidades Estatales.</w:t>
      </w:r>
      <w:r w:rsidRPr="00661F0B">
        <w:rPr>
          <w:rFonts w:ascii="Verdana" w:hAnsi="Verdana" w:cs="Arial"/>
          <w:lang w:eastAsia="es-ES"/>
        </w:rPr>
        <w:t xml:space="preserve"> </w:t>
      </w:r>
      <w:r w:rsidR="00830F1D" w:rsidRPr="00236B36">
        <w:rPr>
          <w:rFonts w:ascii="Verdana" w:hAnsi="Verdana" w:cs="Arial"/>
          <w:szCs w:val="24"/>
          <w:lang w:eastAsia="es-ES_tradnl"/>
        </w:rPr>
        <w:t>En ese sentido</w:t>
      </w:r>
      <w:r w:rsidRPr="00236B36">
        <w:rPr>
          <w:rFonts w:ascii="Verdana" w:hAnsi="Verdana" w:cs="Arial"/>
          <w:szCs w:val="24"/>
          <w:lang w:eastAsia="es-ES_tradnl"/>
        </w:rPr>
        <w:t xml:space="preserve">, </w:t>
      </w:r>
      <w:r w:rsidRPr="00236B36">
        <w:rPr>
          <w:rFonts w:ascii="Verdana" w:hAnsi="Verdana"/>
        </w:rPr>
        <w:t xml:space="preserve">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juridica, tal y como se procede a explicar. </w:t>
      </w:r>
      <w:r w:rsidR="005C4E19" w:rsidRPr="0092546F">
        <w:rPr>
          <w:rFonts w:ascii="Verdana" w:hAnsi="Verdana"/>
        </w:rPr>
        <w:t xml:space="preserve">Mientras que </w:t>
      </w:r>
      <w:r w:rsidR="005C4E19">
        <w:rPr>
          <w:rFonts w:ascii="Verdana" w:hAnsi="Verdana"/>
        </w:rPr>
        <w:t>l</w:t>
      </w:r>
      <w:r w:rsidRPr="00236B36">
        <w:rPr>
          <w:rFonts w:ascii="Verdana" w:hAnsi="Verdana"/>
        </w:rPr>
        <w:t>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14:paraId="050D5B1E" w14:textId="77777777" w:rsidR="006E7B3F" w:rsidRPr="00236B36" w:rsidRDefault="006E7B3F" w:rsidP="00CB7FE3">
      <w:pPr>
        <w:spacing w:after="120" w:line="276" w:lineRule="auto"/>
        <w:ind w:firstLine="709"/>
        <w:jc w:val="both"/>
        <w:rPr>
          <w:rFonts w:ascii="Verdana" w:hAnsi="Verdana"/>
        </w:rPr>
      </w:pPr>
      <w:r w:rsidRPr="00236B36">
        <w:rPr>
          <w:rFonts w:ascii="Verdana" w:hAnsi="Verdana"/>
        </w:rPr>
        <w:t>Por un lado, las mayores cantidades de obra se presentan cuando las partes deben aumentar las cantidades de algunos ítems que sí estaban contemplados en el contrato, pero que su cálculo preliminar resultó insuficiente. Así, por ejemplo, si en un contrato de obra se habían previsto y contratado cien metros cúbicos (100</w:t>
      </w:r>
      <w:r w:rsidRPr="00236B36">
        <w:rPr>
          <w:rFonts w:ascii="Verdana" w:hAnsi="Verdana"/>
          <w:vertAlign w:val="superscript"/>
        </w:rPr>
        <w:t>3</w:t>
      </w:r>
      <w:r w:rsidRPr="00236B36">
        <w:rPr>
          <w:rFonts w:ascii="Verdana" w:hAnsi="Verdana"/>
        </w:rPr>
        <w:t xml:space="preserve">) de excavación, pero, en la etapa de ejecución, se determinó que este número no era suficiente, las partes pueden incrementar los </w:t>
      </w:r>
      <w:r w:rsidRPr="00236B36">
        <w:rPr>
          <w:rFonts w:ascii="Verdana" w:hAnsi="Verdana"/>
        </w:rPr>
        <w:lastRenderedPageBreak/>
        <w:t>metros que deberán excavarse, en atención a que dicho aumento resulta esencial para cumplir la finalidad pública que se perseguía con la contratación</w:t>
      </w:r>
      <w:r w:rsidRPr="00236B36">
        <w:rPr>
          <w:rStyle w:val="Refdenotaalpie"/>
          <w:rFonts w:ascii="Verdana" w:hAnsi="Verdana"/>
        </w:rPr>
        <w:footnoteReference w:id="9"/>
      </w:r>
      <w:r w:rsidRPr="00236B36">
        <w:rPr>
          <w:rFonts w:ascii="Verdana" w:hAnsi="Verdana"/>
        </w:rPr>
        <w:t xml:space="preserve">. </w:t>
      </w:r>
    </w:p>
    <w:p w14:paraId="6C6D310A" w14:textId="0307482D" w:rsidR="006E7B3F" w:rsidRPr="00236B36" w:rsidRDefault="006E7B3F" w:rsidP="00CB7FE3">
      <w:pPr>
        <w:spacing w:after="120" w:line="276" w:lineRule="auto"/>
        <w:ind w:firstLine="708"/>
        <w:jc w:val="both"/>
        <w:rPr>
          <w:rFonts w:ascii="Verdana" w:hAnsi="Verdana"/>
        </w:rPr>
      </w:pPr>
      <w:r w:rsidRPr="00236B36">
        <w:rPr>
          <w:rFonts w:ascii="Verdana" w:hAnsi="Verdana"/>
        </w:rPr>
        <w:t xml:space="preserve">Por otro lado, las obras adicionales </w:t>
      </w:r>
      <w:r w:rsidR="003E6C71" w:rsidRPr="00236B36">
        <w:rPr>
          <w:rFonts w:ascii="Verdana" w:hAnsi="Verdana"/>
        </w:rPr>
        <w:t xml:space="preserve">o extras </w:t>
      </w:r>
      <w:r w:rsidRPr="00236B36">
        <w:rPr>
          <w:rFonts w:ascii="Verdana" w:hAnsi="Verdana"/>
        </w:rPr>
        <w:t xml:space="preserve">son aquellas que no estaban convenidas en el contrato, y que, por lo tanto, implican una modificación </w:t>
      </w:r>
      <w:proofErr w:type="gramStart"/>
      <w:r w:rsidRPr="00236B36">
        <w:rPr>
          <w:rFonts w:ascii="Verdana" w:hAnsi="Verdana"/>
        </w:rPr>
        <w:t>del mismo</w:t>
      </w:r>
      <w:proofErr w:type="gramEnd"/>
      <w:r w:rsidRPr="00236B36">
        <w:rPr>
          <w:rFonts w:ascii="Verdana" w:hAnsi="Verdana"/>
        </w:rPr>
        <w:t>, que debe ser pactada por las partes</w:t>
      </w:r>
      <w:r w:rsidR="005C0823" w:rsidRPr="00236B36">
        <w:rPr>
          <w:rFonts w:ascii="Verdana" w:hAnsi="Verdana"/>
        </w:rPr>
        <w:t>.</w:t>
      </w:r>
      <w:r w:rsidRPr="00236B36">
        <w:rPr>
          <w:rFonts w:ascii="Verdana" w:hAnsi="Verdana"/>
        </w:rPr>
        <w:t xml:space="preserve"> El Consejo de Estado ha definido las obras adicionales como</w:t>
      </w:r>
      <w:r w:rsidRPr="00236B36">
        <w:rPr>
          <w:rFonts w:ascii="Verdana" w:hAnsi="Verdana"/>
          <w:i/>
        </w:rPr>
        <w:t xml:space="preserve"> </w:t>
      </w:r>
      <w:r w:rsidR="0021564B" w:rsidRPr="00236B36">
        <w:rPr>
          <w:rFonts w:ascii="Verdana" w:hAnsi="Verdana"/>
          <w:i/>
        </w:rPr>
        <w:t>“</w:t>
      </w:r>
      <w:r w:rsidRPr="00236B36">
        <w:rPr>
          <w:rFonts w:ascii="Verdana" w:hAnsi="Verdana"/>
          <w:i/>
        </w:rPr>
        <w:t>aquellas obras distintas de las inicialmente previstas en el objeto contractual, o ítems no previstos pero cuya ejecución se torna necesaria para cumplirlo a cabalidad, en tal sentido su reconocimiento implica variación del contrato</w:t>
      </w:r>
      <w:r w:rsidR="0021564B" w:rsidRPr="00236B36">
        <w:rPr>
          <w:rFonts w:ascii="Verdana" w:hAnsi="Verdana"/>
          <w:i/>
        </w:rPr>
        <w:t>”</w:t>
      </w:r>
      <w:r w:rsidRPr="00236B36">
        <w:rPr>
          <w:rStyle w:val="Refdenotaalpie"/>
          <w:rFonts w:ascii="Verdana" w:hAnsi="Verdana"/>
        </w:rPr>
        <w:footnoteReference w:id="10"/>
      </w:r>
      <w:r w:rsidRPr="00236B36">
        <w:rPr>
          <w:rFonts w:ascii="Verdana" w:hAnsi="Verdana"/>
          <w:i/>
        </w:rPr>
        <w:t xml:space="preserve">. </w:t>
      </w:r>
      <w:r w:rsidR="00C13E80" w:rsidRPr="00236B36">
        <w:rPr>
          <w:rFonts w:ascii="Verdana" w:hAnsi="Verdana"/>
        </w:rPr>
        <w:t>Igualmente</w:t>
      </w:r>
      <w:r w:rsidRPr="00236B36">
        <w:rPr>
          <w:rFonts w:ascii="Verdana" w:hAnsi="Verdana"/>
        </w:rPr>
        <w:t xml:space="preserve">, </w:t>
      </w:r>
      <w:r w:rsidR="00AB3441" w:rsidRPr="00236B36">
        <w:rPr>
          <w:rFonts w:ascii="Verdana" w:hAnsi="Verdana"/>
        </w:rPr>
        <w:t>l</w:t>
      </w:r>
      <w:r w:rsidRPr="00236B36">
        <w:rPr>
          <w:rFonts w:ascii="Verdana" w:hAnsi="Verdana"/>
        </w:rPr>
        <w:t>a</w:t>
      </w:r>
      <w:r w:rsidR="00AB3441" w:rsidRPr="00236B36">
        <w:rPr>
          <w:rFonts w:ascii="Verdana" w:hAnsi="Verdana"/>
        </w:rPr>
        <w:t xml:space="preserve"> mencionada</w:t>
      </w:r>
      <w:r w:rsidRPr="00236B36">
        <w:rPr>
          <w:rFonts w:ascii="Verdana" w:hAnsi="Verdana"/>
        </w:rPr>
        <w:t xml:space="preserve"> Corporación ha señalado que</w:t>
      </w:r>
      <w:r w:rsidR="00AB3441" w:rsidRPr="00236B36">
        <w:rPr>
          <w:rFonts w:ascii="Verdana" w:hAnsi="Verdana"/>
        </w:rPr>
        <w:t>,</w:t>
      </w:r>
      <w:r w:rsidRPr="00236B36">
        <w:rPr>
          <w:rFonts w:ascii="Verdana" w:hAnsi="Verdana"/>
        </w:rPr>
        <w:t xml:space="preserve"> cuando las partes estimen necesario incluir una obra </w:t>
      </w:r>
      <w:r w:rsidR="00C13E80" w:rsidRPr="00236B36">
        <w:rPr>
          <w:rFonts w:ascii="Verdana" w:hAnsi="Verdana"/>
        </w:rPr>
        <w:t xml:space="preserve">adicional o </w:t>
      </w:r>
      <w:r w:rsidRPr="00236B36">
        <w:rPr>
          <w:rFonts w:ascii="Verdana" w:hAnsi="Verdana"/>
        </w:rPr>
        <w:t>extra que comprenda aumentar el valor del contrato, se deberá suscribir un contrato adicional, que formalice tal modificación, dado que, de lo contrario, no podrá reconocerse su pago.</w:t>
      </w:r>
      <w:r w:rsidRPr="00236B36">
        <w:rPr>
          <w:rStyle w:val="Refdenotaalpie"/>
          <w:rFonts w:ascii="Verdana" w:hAnsi="Verdana"/>
        </w:rPr>
        <w:footnoteReference w:id="11"/>
      </w:r>
    </w:p>
    <w:p w14:paraId="139E14EA" w14:textId="77777777" w:rsidR="004913D9" w:rsidRPr="00661F0B" w:rsidRDefault="00D22DAC" w:rsidP="00CB7FE3">
      <w:pPr>
        <w:spacing w:after="120" w:line="276" w:lineRule="auto"/>
        <w:ind w:firstLine="708"/>
        <w:jc w:val="both"/>
        <w:rPr>
          <w:rFonts w:ascii="Verdana" w:eastAsia="Arial" w:hAnsi="Verdana" w:cs="Arial"/>
          <w:lang w:val="es-ES" w:eastAsia="es-ES" w:bidi="es-ES"/>
        </w:rPr>
      </w:pPr>
      <w:r w:rsidRPr="00236B36">
        <w:rPr>
          <w:rFonts w:ascii="Verdana" w:hAnsi="Verdana"/>
        </w:rPr>
        <w:t>Una vez expuestas las diferencias entre las nociones de “mayores cantidades de obra” y de “obras extras o adicionales”, es necesario adentrarse a</w:t>
      </w:r>
      <w:r w:rsidR="0025589E" w:rsidRPr="00236B36">
        <w:rPr>
          <w:rFonts w:ascii="Verdana" w:hAnsi="Verdana"/>
        </w:rPr>
        <w:t xml:space="preserve">l estudio sobre la posibilidad de introducir modificación a los contratos estatales y el límite dicha posibilidad. </w:t>
      </w:r>
      <w:r w:rsidR="006D70FE" w:rsidRPr="00236B36">
        <w:rPr>
          <w:rFonts w:ascii="Verdana" w:hAnsi="Verdana"/>
        </w:rPr>
        <w:t>Al respecto, debe señalarse que, e</w:t>
      </w:r>
      <w:r w:rsidR="004F6917" w:rsidRPr="00236B36">
        <w:rPr>
          <w:rFonts w:ascii="Verdana" w:eastAsia="Arial" w:hAnsi="Verdana" w:cs="Arial"/>
          <w:lang w:val="es-ES" w:eastAsia="es-ES" w:bidi="es-ES"/>
        </w:rPr>
        <w:t xml:space="preserve">n principio, los contratos deben ejecutarse en las condiciones pactadas inicialmente, pues tales condiciones fueron convenidas luego de que la </w:t>
      </w:r>
      <w:r w:rsidR="006D70FE" w:rsidRPr="00236B36">
        <w:rPr>
          <w:rFonts w:ascii="Verdana" w:eastAsia="Arial" w:hAnsi="Verdana" w:cs="Arial"/>
          <w:lang w:val="es-ES" w:eastAsia="es-ES" w:bidi="es-ES"/>
        </w:rPr>
        <w:t xml:space="preserve">Entidad Pública </w:t>
      </w:r>
      <w:r w:rsidR="004F6917" w:rsidRPr="00236B36">
        <w:rPr>
          <w:rFonts w:ascii="Verdana" w:eastAsia="Arial" w:hAnsi="Verdana" w:cs="Arial"/>
          <w:lang w:val="es-ES" w:eastAsia="es-ES" w:bidi="es-ES"/>
        </w:rPr>
        <w:t>surtiera todos los procedimientos previstos para la selección de su contratista y definiera los aspectos, técnicos, legales y financieros propios de cada caso</w:t>
      </w:r>
      <w:r w:rsidR="00CC6655" w:rsidRPr="00236B36">
        <w:rPr>
          <w:rFonts w:ascii="Verdana" w:eastAsia="Arial" w:hAnsi="Verdana" w:cs="Arial"/>
          <w:lang w:val="es-ES" w:eastAsia="es-ES" w:bidi="es-ES"/>
        </w:rPr>
        <w:t xml:space="preserve">. </w:t>
      </w:r>
      <w:r w:rsidR="004F6917" w:rsidRPr="00236B36">
        <w:rPr>
          <w:rFonts w:ascii="Verdana" w:eastAsia="Arial" w:hAnsi="Verdana" w:cs="Arial"/>
          <w:lang w:val="es-ES" w:eastAsia="es-ES" w:bidi="es-ES"/>
        </w:rPr>
        <w:t xml:space="preserve">No obstante, </w:t>
      </w:r>
      <w:r w:rsidR="00CC6655" w:rsidRPr="00236B36">
        <w:rPr>
          <w:rFonts w:ascii="Verdana" w:eastAsia="Arial" w:hAnsi="Verdana" w:cs="Arial"/>
          <w:lang w:val="es-ES" w:eastAsia="es-ES" w:bidi="es-ES"/>
        </w:rPr>
        <w:t>es posible que, durante la ejecución del contrato, se evidencie</w:t>
      </w:r>
      <w:r w:rsidR="004F6917" w:rsidRPr="00236B36">
        <w:rPr>
          <w:rFonts w:ascii="Verdana" w:eastAsia="Arial" w:hAnsi="Verdana" w:cs="Arial"/>
          <w:lang w:val="es-ES" w:eastAsia="es-ES" w:bidi="es-ES"/>
        </w:rPr>
        <w:t xml:space="preserve"> la necesidad de suscribir documentos de modificación en los cuales se cambie parte de las estipulaciones pactadas en un comienz</w:t>
      </w:r>
      <w:r w:rsidR="00C31EA7" w:rsidRPr="00236B36">
        <w:rPr>
          <w:rFonts w:ascii="Verdana" w:eastAsia="Arial" w:hAnsi="Verdana" w:cs="Arial"/>
          <w:lang w:val="es-ES" w:eastAsia="es-ES" w:bidi="es-ES"/>
        </w:rPr>
        <w:t>o, para lograr su finalidad y en aras de la realización de los fines del Estado, a los cuales sirve el contrato.</w:t>
      </w:r>
    </w:p>
    <w:p w14:paraId="2ED86C14" w14:textId="4612BA20" w:rsidR="004913D9" w:rsidRPr="00661F0B" w:rsidRDefault="004913D9" w:rsidP="00CB7FE3">
      <w:pPr>
        <w:spacing w:after="120" w:line="276" w:lineRule="auto"/>
        <w:ind w:firstLine="708"/>
        <w:jc w:val="both"/>
        <w:rPr>
          <w:rFonts w:ascii="Verdana" w:eastAsia="Arial" w:hAnsi="Verdana" w:cs="Arial"/>
          <w:lang w:val="es-ES" w:eastAsia="es-ES" w:bidi="es-ES"/>
        </w:rPr>
      </w:pPr>
      <w:r w:rsidRPr="00236B36">
        <w:rPr>
          <w:rFonts w:ascii="Verdana" w:eastAsia="Arial" w:hAnsi="Verdana" w:cs="Arial"/>
          <w:lang w:val="es-ES" w:eastAsia="es-ES" w:bidi="es-ES"/>
        </w:rPr>
        <w:t xml:space="preserve">El Estatuto General de Contratación de la Administración Pública – en adelante EGCAP –, contenido en las Leyes 80 de 1993, 1150 de 2007 y 1474 de 2011, así como en las normas que las han modificado y las reglamentan, no </w:t>
      </w:r>
      <w:r w:rsidRPr="00236B36">
        <w:rPr>
          <w:rFonts w:ascii="Verdana" w:eastAsia="Arial" w:hAnsi="Verdana" w:cs="Arial"/>
          <w:lang w:val="es-ES" w:eastAsia="es-ES" w:bidi="es-ES"/>
        </w:rPr>
        <w:lastRenderedPageBreak/>
        <w:t>consagr</w:t>
      </w:r>
      <w:r w:rsidR="000C6C58" w:rsidRPr="00236B36">
        <w:rPr>
          <w:rFonts w:ascii="Verdana" w:eastAsia="Arial" w:hAnsi="Verdana" w:cs="Arial"/>
          <w:lang w:val="es-ES" w:eastAsia="es-ES" w:bidi="es-ES"/>
        </w:rPr>
        <w:t>a</w:t>
      </w:r>
      <w:r w:rsidRPr="00236B36">
        <w:rPr>
          <w:rFonts w:ascii="Verdana" w:eastAsia="Arial" w:hAnsi="Verdana" w:cs="Arial"/>
          <w:lang w:val="es-ES" w:eastAsia="es-ES" w:bidi="es-ES"/>
        </w:rPr>
        <w:t xml:space="preserve"> una regulación expresa sobre la posibilidad de modificar los contratos celebrados por las </w:t>
      </w:r>
      <w:r w:rsidR="000C6C58" w:rsidRPr="00236B36">
        <w:rPr>
          <w:rFonts w:ascii="Verdana" w:eastAsia="Arial" w:hAnsi="Verdana" w:cs="Arial"/>
          <w:lang w:val="es-ES" w:eastAsia="es-ES" w:bidi="es-ES"/>
        </w:rPr>
        <w:t>Entidades Estatales</w:t>
      </w:r>
      <w:r w:rsidRPr="00236B36">
        <w:rPr>
          <w:rFonts w:ascii="Verdana" w:eastAsia="Arial" w:hAnsi="Verdana" w:cs="Arial"/>
          <w:lang w:val="es-ES" w:eastAsia="es-ES" w:bidi="es-ES"/>
        </w:rPr>
        <w:t xml:space="preserve">. </w:t>
      </w:r>
      <w:r w:rsidR="008A5E28" w:rsidRPr="00236B36">
        <w:rPr>
          <w:rFonts w:ascii="Verdana" w:eastAsia="Arial" w:hAnsi="Verdana" w:cs="Arial"/>
          <w:lang w:val="es-ES" w:eastAsia="es-ES" w:bidi="es-ES"/>
        </w:rPr>
        <w:t>De igual forma</w:t>
      </w:r>
      <w:r w:rsidRPr="00236B36">
        <w:rPr>
          <w:rFonts w:ascii="Verdana" w:eastAsia="Arial" w:hAnsi="Verdana" w:cs="Arial"/>
          <w:lang w:val="es-ES" w:eastAsia="es-ES" w:bidi="es-ES"/>
        </w:rPr>
        <w:t xml:space="preserve">, </w:t>
      </w:r>
      <w:r w:rsidR="008A5E28" w:rsidRPr="00236B36">
        <w:rPr>
          <w:rFonts w:ascii="Verdana" w:eastAsia="Arial" w:hAnsi="Verdana" w:cs="Arial"/>
          <w:lang w:val="es-ES" w:eastAsia="es-ES" w:bidi="es-ES"/>
        </w:rPr>
        <w:t xml:space="preserve">tampoco </w:t>
      </w:r>
      <w:r w:rsidRPr="00236B36">
        <w:rPr>
          <w:rFonts w:ascii="Verdana" w:eastAsia="Arial" w:hAnsi="Verdana" w:cs="Arial"/>
          <w:lang w:val="es-ES" w:eastAsia="es-ES" w:bidi="es-ES"/>
        </w:rPr>
        <w:t>existe ninguna restricción expresa para modificar los contratos estatales</w:t>
      </w:r>
      <w:r w:rsidR="000C6C58" w:rsidRPr="00236B36">
        <w:rPr>
          <w:rFonts w:ascii="Verdana" w:eastAsia="Arial" w:hAnsi="Verdana" w:cs="Arial"/>
          <w:lang w:val="es-ES" w:eastAsia="es-ES" w:bidi="es-ES"/>
        </w:rPr>
        <w:t xml:space="preserve">. </w:t>
      </w:r>
      <w:r w:rsidRPr="00236B36">
        <w:rPr>
          <w:rFonts w:ascii="Verdana" w:eastAsia="Arial" w:hAnsi="Verdana" w:cs="Arial"/>
          <w:lang w:val="es-ES" w:eastAsia="es-ES" w:bidi="es-ES"/>
        </w:rPr>
        <w:t xml:space="preserve">La regulación expresa contenida en </w:t>
      </w:r>
      <w:r w:rsidR="008A5E28" w:rsidRPr="00236B36">
        <w:rPr>
          <w:rFonts w:ascii="Verdana" w:eastAsia="Arial" w:hAnsi="Verdana" w:cs="Arial"/>
          <w:lang w:val="es-ES" w:eastAsia="es-ES" w:bidi="es-ES"/>
        </w:rPr>
        <w:t>el ordenamiento jurídico</w:t>
      </w:r>
      <w:r w:rsidRPr="00236B36">
        <w:rPr>
          <w:rFonts w:ascii="Verdana" w:eastAsia="Arial" w:hAnsi="Verdana" w:cs="Arial"/>
          <w:lang w:val="es-ES" w:eastAsia="es-ES" w:bidi="es-ES"/>
        </w:rPr>
        <w:t xml:space="preserve"> se limita a fijar los porcentajes límite para adicionar los valores inicialmente pactados, como lo hace el artículo 40 de la Ley 80 de 199</w:t>
      </w:r>
      <w:r w:rsidR="00E91CF1" w:rsidRPr="00236B36">
        <w:rPr>
          <w:rFonts w:ascii="Verdana" w:eastAsia="Arial" w:hAnsi="Verdana" w:cs="Arial"/>
          <w:lang w:val="es-ES" w:eastAsia="es-ES" w:bidi="es-ES"/>
        </w:rPr>
        <w:t xml:space="preserve">3, el cual dispone que, </w:t>
      </w:r>
      <w:r w:rsidRPr="00236B36">
        <w:rPr>
          <w:rFonts w:ascii="Verdana" w:hAnsi="Verdana" w:cs="Arial"/>
        </w:rPr>
        <w:t xml:space="preserve">los contratos no podrán adicionarse en más del </w:t>
      </w:r>
      <w:r w:rsidR="00E91CF1" w:rsidRPr="00236B36">
        <w:rPr>
          <w:rFonts w:ascii="Verdana" w:hAnsi="Verdana" w:cs="Arial"/>
        </w:rPr>
        <w:t>cincuenta por ciento (</w:t>
      </w:r>
      <w:r w:rsidRPr="00236B36">
        <w:rPr>
          <w:rFonts w:ascii="Verdana" w:hAnsi="Verdana" w:cs="Arial"/>
        </w:rPr>
        <w:t>50%</w:t>
      </w:r>
      <w:r w:rsidR="00E91CF1" w:rsidRPr="00236B36">
        <w:rPr>
          <w:rFonts w:ascii="Verdana" w:hAnsi="Verdana" w:cs="Arial"/>
        </w:rPr>
        <w:t>)</w:t>
      </w:r>
      <w:r w:rsidRPr="00236B36">
        <w:rPr>
          <w:rFonts w:ascii="Verdana" w:hAnsi="Verdana" w:cs="Arial"/>
        </w:rPr>
        <w:t xml:space="preserve"> de su valor inicial, expresado en SMLMV.</w:t>
      </w:r>
    </w:p>
    <w:p w14:paraId="22AF0147" w14:textId="0C401B7D" w:rsidR="006E7B3F" w:rsidRPr="00661F0B" w:rsidRDefault="006E7B3F" w:rsidP="006E7B3F">
      <w:pPr>
        <w:spacing w:before="120"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La Agencia Nacional de Contratación Pública – Colombia Compra Eficiente, en conceptos como el C-062 del 25 de marzo de 2020, C-100 del 27 de marzo de 2020, C-318 del 28 de mayo de 2020, C–452 del 28 de julio de 2020,</w:t>
      </w:r>
      <w:r w:rsidRPr="00661F0B">
        <w:rPr>
          <w:rFonts w:ascii="Verdana" w:hAnsi="Verdana" w:cs="Arial"/>
          <w:bCs/>
          <w:szCs w:val="24"/>
          <w:lang w:eastAsia="es-ES_tradnl"/>
        </w:rPr>
        <w:t xml:space="preserve"> C-560 del 24 de agosto de 2020, C-628 del 23 de septiembre del 2020,</w:t>
      </w:r>
      <w:r w:rsidRPr="00661F0B">
        <w:rPr>
          <w:rFonts w:ascii="Verdana" w:hAnsi="Verdana" w:cs="Arial"/>
          <w:szCs w:val="24"/>
          <w:lang w:eastAsia="es-ES_tradnl"/>
        </w:rPr>
        <w:t xml:space="preserve"> C-750 del 21 de diciembre de 2020,</w:t>
      </w:r>
      <w:r w:rsidRPr="00661F0B">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y C-784 del 21 de noviembre de 2022</w:t>
      </w:r>
      <w:r w:rsidR="00DF5B8E" w:rsidRPr="00661F0B">
        <w:rPr>
          <w:rFonts w:ascii="Verdana" w:hAnsi="Verdana" w:cs="Arial"/>
          <w:bCs/>
          <w:szCs w:val="24"/>
          <w:lang w:eastAsia="es-ES_tradnl"/>
        </w:rPr>
        <w:t xml:space="preserve"> – este último al cual se refiere en su petición –</w:t>
      </w:r>
      <w:r w:rsidRPr="00661F0B">
        <w:rPr>
          <w:rFonts w:ascii="Verdana" w:hAnsi="Verdana" w:cs="Arial"/>
          <w:bCs/>
          <w:szCs w:val="24"/>
          <w:lang w:eastAsia="es-ES_tradnl"/>
        </w:rPr>
        <w:t>,</w:t>
      </w:r>
      <w:r w:rsidRPr="00661F0B">
        <w:rPr>
          <w:rFonts w:ascii="Verdana" w:hAnsi="Verdana" w:cs="Arial"/>
          <w:szCs w:val="24"/>
          <w:lang w:eastAsia="es-ES_tradnl"/>
        </w:rPr>
        <w:t xml:space="preserve"> estudió asuntos relacionados con la adición de los contratos estatales. En la doctrina expuesta en dichos conceptos esta Agencia ha sostenido respecto del artículo 40 de la Ley 50 de 1993 lo siguiente: </w:t>
      </w:r>
    </w:p>
    <w:p w14:paraId="2ED0C8F3"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1AB9E90C"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692E31DF" w14:textId="77777777" w:rsidR="006E7B3F" w:rsidRPr="00781B0D" w:rsidRDefault="006E7B3F" w:rsidP="006E7B3F">
      <w:pPr>
        <w:spacing w:after="0" w:line="276" w:lineRule="auto"/>
        <w:ind w:left="709" w:right="709"/>
        <w:jc w:val="both"/>
        <w:rPr>
          <w:rFonts w:ascii="Verdana" w:hAnsi="Verdana" w:cs="Arial"/>
          <w:lang w:eastAsia="es-ES_tradnl"/>
        </w:rPr>
      </w:pPr>
      <w:r w:rsidRPr="00661F0B">
        <w:rPr>
          <w:rFonts w:ascii="Verdana" w:hAnsi="Verdana" w:cs="Arial"/>
          <w:sz w:val="20"/>
          <w:szCs w:val="20"/>
          <w:lang w:eastAsia="es-ES_tradnl"/>
        </w:rPr>
        <w:t xml:space="preserve"> </w:t>
      </w:r>
    </w:p>
    <w:p w14:paraId="2C3C20EA" w14:textId="0DBE1E8D" w:rsidR="006E7B3F" w:rsidRPr="00661F0B" w:rsidRDefault="006E7B3F"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 </w:t>
      </w:r>
      <w:r w:rsidR="00136293" w:rsidRPr="00236B36">
        <w:rPr>
          <w:rFonts w:ascii="Verdana" w:hAnsi="Verdana" w:cs="Arial"/>
          <w:szCs w:val="24"/>
          <w:lang w:eastAsia="es-ES_tradnl"/>
        </w:rPr>
        <w:t>L</w:t>
      </w:r>
      <w:r w:rsidRPr="00236B36">
        <w:rPr>
          <w:rFonts w:ascii="Verdana" w:hAnsi="Verdana" w:cs="Arial"/>
          <w:szCs w:val="24"/>
          <w:lang w:eastAsia="es-ES_tradnl"/>
        </w:rPr>
        <w:t xml:space="preserve">a postura expuesta previamente por la Subdirección de Gestión Contractual, en torno al tope de la adición de los contratos, no ha sido pacifica, por el contrario, </w:t>
      </w:r>
      <w:r w:rsidR="007169BE" w:rsidRPr="00236B36">
        <w:rPr>
          <w:rFonts w:ascii="Verdana" w:hAnsi="Verdana" w:cs="Arial"/>
          <w:szCs w:val="24"/>
          <w:lang w:eastAsia="es-ES_tradnl"/>
        </w:rPr>
        <w:t xml:space="preserve">ni </w:t>
      </w:r>
      <w:r w:rsidRPr="00236B36">
        <w:rPr>
          <w:rFonts w:ascii="Verdana" w:hAnsi="Verdana" w:cs="Arial"/>
          <w:szCs w:val="24"/>
          <w:lang w:eastAsia="es-ES_tradnl"/>
        </w:rPr>
        <w:t xml:space="preserve">la doctrina </w:t>
      </w:r>
      <w:r w:rsidR="007169BE" w:rsidRPr="00236B36">
        <w:rPr>
          <w:rFonts w:ascii="Verdana" w:hAnsi="Verdana" w:cs="Arial"/>
          <w:szCs w:val="24"/>
          <w:lang w:eastAsia="es-ES_tradnl"/>
        </w:rPr>
        <w:t>ni</w:t>
      </w:r>
      <w:r w:rsidRPr="00236B36">
        <w:rPr>
          <w:rFonts w:ascii="Verdana" w:hAnsi="Verdana" w:cs="Arial"/>
          <w:szCs w:val="24"/>
          <w:lang w:eastAsia="es-ES_tradnl"/>
        </w:rPr>
        <w:t xml:space="preserve"> la jurisprudencia del Consejo de Estado han sido uniformes en la caracterización de las figuras. </w:t>
      </w:r>
      <w:r w:rsidR="0049569E">
        <w:rPr>
          <w:rFonts w:ascii="Verdana" w:hAnsi="Verdana" w:cs="Arial"/>
          <w:szCs w:val="24"/>
          <w:lang w:eastAsia="es-ES_tradnl"/>
        </w:rPr>
        <w:t>En razón a ello</w:t>
      </w:r>
      <w:r w:rsidRPr="00236B36">
        <w:rPr>
          <w:rFonts w:ascii="Verdana" w:hAnsi="Verdana" w:cs="Arial"/>
          <w:szCs w:val="24"/>
          <w:lang w:eastAsia="es-ES_tradnl"/>
        </w:rPr>
        <w:t xml:space="preserve">, resulta relevante, a efectos de atender la consulta planteada exponer </w:t>
      </w:r>
      <w:r w:rsidR="008437DD" w:rsidRPr="00236B36">
        <w:rPr>
          <w:rFonts w:ascii="Verdana" w:hAnsi="Verdana" w:cs="Arial"/>
          <w:szCs w:val="24"/>
          <w:lang w:eastAsia="es-ES_tradnl"/>
        </w:rPr>
        <w:t>las diferentes posturas</w:t>
      </w:r>
      <w:r w:rsidR="00577F98" w:rsidRPr="00236B36">
        <w:rPr>
          <w:rFonts w:ascii="Verdana" w:hAnsi="Verdana" w:cs="Arial"/>
          <w:szCs w:val="24"/>
          <w:lang w:eastAsia="es-ES_tradnl"/>
        </w:rPr>
        <w:t xml:space="preserve"> en relación con el tope establecido </w:t>
      </w:r>
      <w:r w:rsidR="00CD268C" w:rsidRPr="00236B36">
        <w:rPr>
          <w:rFonts w:ascii="Verdana" w:hAnsi="Verdana" w:cs="Arial"/>
          <w:szCs w:val="24"/>
          <w:lang w:eastAsia="es-ES_tradnl"/>
        </w:rPr>
        <w:t>para adicionar los contratos, especialmente</w:t>
      </w:r>
      <w:r w:rsidR="00140735" w:rsidRPr="00236B36">
        <w:rPr>
          <w:rFonts w:ascii="Verdana" w:hAnsi="Verdana" w:cs="Arial"/>
          <w:szCs w:val="24"/>
          <w:lang w:eastAsia="es-ES_tradnl"/>
        </w:rPr>
        <w:t>, frente a</w:t>
      </w:r>
      <w:r w:rsidR="00CD268C" w:rsidRPr="00236B36">
        <w:rPr>
          <w:rFonts w:ascii="Verdana" w:hAnsi="Verdana" w:cs="Arial"/>
          <w:szCs w:val="24"/>
          <w:lang w:eastAsia="es-ES_tradnl"/>
        </w:rPr>
        <w:t xml:space="preserve"> aquellos en los que el precio se ha pactado bajo la modalidad de precios unitarios. Dicha </w:t>
      </w:r>
      <w:r w:rsidR="008278D7" w:rsidRPr="00236B36">
        <w:rPr>
          <w:rFonts w:ascii="Verdana" w:hAnsi="Verdana" w:cs="Arial"/>
          <w:szCs w:val="24"/>
          <w:lang w:eastAsia="es-ES_tradnl"/>
        </w:rPr>
        <w:t>exposición se realiza c</w:t>
      </w:r>
      <w:r w:rsidRPr="00236B36">
        <w:rPr>
          <w:rFonts w:ascii="Verdana" w:hAnsi="Verdana" w:cs="Arial"/>
          <w:szCs w:val="24"/>
          <w:lang w:eastAsia="es-ES_tradnl"/>
        </w:rPr>
        <w:t xml:space="preserve">on el fin de </w:t>
      </w:r>
      <w:r w:rsidR="008278D7" w:rsidRPr="00236B36">
        <w:rPr>
          <w:rFonts w:ascii="Verdana" w:hAnsi="Verdana" w:cs="Arial"/>
          <w:szCs w:val="24"/>
          <w:lang w:eastAsia="es-ES_tradnl"/>
        </w:rPr>
        <w:t xml:space="preserve">explicar </w:t>
      </w:r>
      <w:r w:rsidRPr="00236B36">
        <w:rPr>
          <w:rFonts w:ascii="Verdana" w:hAnsi="Verdana" w:cs="Arial"/>
          <w:szCs w:val="24"/>
          <w:lang w:eastAsia="es-ES_tradnl"/>
        </w:rPr>
        <w:t xml:space="preserve">las razones por las cuales esta Agencia considera necesario hacer un cambio en </w:t>
      </w:r>
      <w:r w:rsidRPr="00236B36">
        <w:rPr>
          <w:rFonts w:ascii="Verdana" w:hAnsi="Verdana" w:cs="Arial"/>
          <w:szCs w:val="24"/>
          <w:lang w:eastAsia="es-ES_tradnl"/>
        </w:rPr>
        <w:lastRenderedPageBreak/>
        <w:t>su línea doctrinal sobre el tema analizado en los contratos cuya estructuración y pago se realiza por precios unitarios.</w:t>
      </w:r>
      <w:r w:rsidRPr="00661F0B">
        <w:rPr>
          <w:rFonts w:ascii="Verdana" w:hAnsi="Verdana" w:cs="Arial"/>
          <w:szCs w:val="24"/>
          <w:lang w:eastAsia="es-ES_tradnl"/>
        </w:rPr>
        <w:t xml:space="preserve"> </w:t>
      </w:r>
    </w:p>
    <w:p w14:paraId="19C76FE0" w14:textId="0B344F80" w:rsidR="006E7B3F" w:rsidRPr="00661F0B" w:rsidRDefault="006E7B3F"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La primera postura, que fue señalada por la Sala de Consulta y Servicio Civil del Consejo de Estado, y adoptada por el Consejo de Estado en otros pronunciamientos, parte de considerar que solo hay lugar a la celebración de un contrato adicional y</w:t>
      </w:r>
      <w:r w:rsidR="00C627C2" w:rsidRPr="00661F0B">
        <w:rPr>
          <w:rFonts w:ascii="Verdana" w:hAnsi="Verdana" w:cs="Arial"/>
          <w:szCs w:val="24"/>
          <w:lang w:eastAsia="es-ES_tradnl"/>
        </w:rPr>
        <w:t>,</w:t>
      </w:r>
      <w:r w:rsidRPr="00661F0B">
        <w:rPr>
          <w:rFonts w:ascii="Verdana" w:hAnsi="Verdana" w:cs="Arial"/>
          <w:szCs w:val="24"/>
          <w:lang w:eastAsia="es-ES_tradnl"/>
        </w:rPr>
        <w:t xml:space="preserve"> por tanto</w:t>
      </w:r>
      <w:r w:rsidR="00C627C2" w:rsidRPr="00661F0B">
        <w:rPr>
          <w:rFonts w:ascii="Verdana" w:hAnsi="Verdana" w:cs="Arial"/>
          <w:szCs w:val="24"/>
          <w:lang w:eastAsia="es-ES_tradnl"/>
        </w:rPr>
        <w:t>,</w:t>
      </w:r>
      <w:r w:rsidRPr="00661F0B">
        <w:rPr>
          <w:rFonts w:ascii="Verdana" w:hAnsi="Verdana" w:cs="Arial"/>
          <w:szCs w:val="24"/>
          <w:lang w:eastAsia="es-ES_tradnl"/>
        </w:rPr>
        <w:t xml:space="preserve"> que se encuentre sometido al parágrafo del artículo 40 de la Ley 80 de 1993, cuando se trate de adicionar una obra u actividad que no estaba contemplada en el alcance inicial del contrato.</w:t>
      </w:r>
    </w:p>
    <w:p w14:paraId="131BA710" w14:textId="77777777" w:rsidR="006E7B3F" w:rsidRPr="00661F0B" w:rsidRDefault="006E7B3F"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26E4DD9E" w14:textId="77777777" w:rsidR="006E7B3F" w:rsidRPr="00661F0B" w:rsidRDefault="006E7B3F" w:rsidP="006E7B3F">
      <w:pPr>
        <w:spacing w:before="120"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La postura anterior se sintetiza en el siguiente concepto de la Sala de Consulta y Servicio Civil del Consejo de Estado:</w:t>
      </w:r>
    </w:p>
    <w:p w14:paraId="3516B0D8"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428B1C05"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6DBEC594"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4AAEAFD5"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Por lo mismo, no se trata de que exista un «cambio» o «adición» en el contrato, sino de la aplicación de las reglas contractuales previamente determinadas en el contrato original. Es una operación matemática y no más.</w:t>
      </w:r>
    </w:p>
    <w:p w14:paraId="2A9C5BF7"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4B80E78D"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Es preciso, entonces, entender que solamente habrá verdadera «adición» a un contrato cuando se agrega al alcance físico inicial del contrato algo nuevo, es decir, cuando existe una verdadera ampliación del objeto </w:t>
      </w:r>
      <w:r w:rsidRPr="00661F0B">
        <w:rPr>
          <w:rFonts w:ascii="Verdana" w:hAnsi="Verdana" w:cs="Arial"/>
          <w:sz w:val="20"/>
          <w:szCs w:val="20"/>
          <w:lang w:eastAsia="es-ES_tradnl"/>
        </w:rPr>
        <w:lastRenderedPageBreak/>
        <w:t>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661F0B">
        <w:rPr>
          <w:rFonts w:ascii="Verdana" w:hAnsi="Verdana" w:cs="Arial"/>
          <w:sz w:val="20"/>
          <w:szCs w:val="20"/>
          <w:vertAlign w:val="superscript"/>
          <w:lang w:eastAsia="es-ES_tradnl"/>
        </w:rPr>
        <w:footnoteReference w:id="12"/>
      </w:r>
      <w:r w:rsidRPr="00661F0B">
        <w:rPr>
          <w:rFonts w:ascii="Verdana" w:hAnsi="Verdana" w:cs="Arial"/>
          <w:sz w:val="20"/>
          <w:szCs w:val="20"/>
          <w:lang w:eastAsia="es-ES_tradnl"/>
        </w:rPr>
        <w:t>.</w:t>
      </w:r>
    </w:p>
    <w:p w14:paraId="2B3FD761"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4B365ED5" w14:textId="3061FF93" w:rsidR="006E7B3F" w:rsidRPr="00661F0B" w:rsidRDefault="006E7B3F" w:rsidP="006E7B3F">
      <w:pPr>
        <w:spacing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La postura anterior también es defendida por cierto sector de la doctrina</w:t>
      </w:r>
      <w:r w:rsidRPr="00661F0B">
        <w:rPr>
          <w:rFonts w:ascii="Verdana" w:hAnsi="Verdana" w:cs="Arial"/>
          <w:szCs w:val="24"/>
          <w:vertAlign w:val="superscript"/>
          <w:lang w:eastAsia="es-ES_tradnl"/>
        </w:rPr>
        <w:footnoteReference w:id="13"/>
      </w:r>
      <w:r w:rsidRPr="00661F0B">
        <w:rPr>
          <w:rFonts w:ascii="Verdana" w:hAnsi="Verdana" w:cs="Arial"/>
          <w:szCs w:val="24"/>
          <w:lang w:eastAsia="es-ES_tradnl"/>
        </w:rPr>
        <w:t>. Bajo ella</w:t>
      </w:r>
      <w:r w:rsidR="004E462F" w:rsidRPr="00661F0B">
        <w:rPr>
          <w:rFonts w:ascii="Verdana" w:hAnsi="Verdana" w:cs="Arial"/>
          <w:szCs w:val="24"/>
          <w:lang w:eastAsia="es-ES_tradnl"/>
        </w:rPr>
        <w:t>,</w:t>
      </w:r>
      <w:r w:rsidRPr="00661F0B">
        <w:rPr>
          <w:rFonts w:ascii="Verdana" w:hAnsi="Verdana" w:cs="Arial"/>
          <w:szCs w:val="24"/>
          <w:lang w:eastAsia="es-ES_tradnl"/>
        </w:rPr>
        <w:t xml:space="preserve"> se amplía el límite establecido por el legislador en el artículo 40, ya que este tipo de modificaciones, para ejecutar más de un mismo ítem o actividad pactada en el contrato ―estas posturas las considerarían “precisiones” o “determinaciones del valor final” ―, no se tendrían en cuenta para señalar en qué porcentaje se ha adicionado un contrato, ya que ellas no son adiciones:</w:t>
      </w:r>
    </w:p>
    <w:p w14:paraId="7FE0ECDD"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72EBD22B"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sidRPr="00661F0B">
        <w:rPr>
          <w:rFonts w:ascii="Verdana" w:hAnsi="Verdana" w:cs="Arial"/>
          <w:sz w:val="20"/>
          <w:szCs w:val="20"/>
          <w:lang w:eastAsia="es-ES_tradnl"/>
        </w:rPr>
        <w:t>unitarios,</w:t>
      </w:r>
      <w:proofErr w:type="gramEnd"/>
      <w:r w:rsidRPr="00661F0B">
        <w:rPr>
          <w:rFonts w:ascii="Verdana" w:hAnsi="Verdana" w:cs="Arial"/>
          <w:sz w:val="20"/>
          <w:szCs w:val="20"/>
          <w:lang w:eastAsia="es-ES_tradnl"/>
        </w:rPr>
        <w:t xml:space="preserve"> debe ampararse bajo el ropaje de un contrato adicional y, en consecuencia aplicando el límite del 50%.</w:t>
      </w:r>
    </w:p>
    <w:p w14:paraId="5BEAAD70"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550C783B"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Insistimos que no podemos compartir este planteamiento por lo siguiente:</w:t>
      </w:r>
    </w:p>
    <w:p w14:paraId="5A6D4167"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2C7301AF"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53145450"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4DF374AD"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0FCFF51B"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37FAC1A2"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29E33FDD"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0E15DD3A"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La inyección de los nuevos recursos no se hace al ampro de un contrato adicional sino como parte de un trámite interno oficial, con información al contratista para que pueda seguir avanzando en la obra”</w:t>
      </w:r>
      <w:r w:rsidRPr="00661F0B">
        <w:rPr>
          <w:rFonts w:ascii="Verdana" w:hAnsi="Verdana" w:cs="Arial"/>
          <w:sz w:val="20"/>
          <w:szCs w:val="20"/>
          <w:vertAlign w:val="superscript"/>
          <w:lang w:eastAsia="es-ES_tradnl"/>
        </w:rPr>
        <w:footnoteReference w:id="14"/>
      </w:r>
      <w:r w:rsidRPr="00661F0B">
        <w:rPr>
          <w:rFonts w:ascii="Verdana" w:hAnsi="Verdana" w:cs="Arial"/>
          <w:sz w:val="20"/>
          <w:szCs w:val="20"/>
          <w:vertAlign w:val="superscript"/>
          <w:lang w:eastAsia="es-ES_tradnl"/>
        </w:rPr>
        <w:t>.</w:t>
      </w:r>
    </w:p>
    <w:p w14:paraId="77D4A8AC" w14:textId="77777777" w:rsidR="006E7B3F" w:rsidRPr="00661F0B" w:rsidRDefault="006E7B3F" w:rsidP="006E7B3F">
      <w:pPr>
        <w:spacing w:after="0" w:line="276" w:lineRule="auto"/>
        <w:ind w:left="709" w:right="709"/>
        <w:jc w:val="both"/>
        <w:rPr>
          <w:rFonts w:ascii="Verdana" w:hAnsi="Verdana" w:cs="Arial"/>
          <w:lang w:eastAsia="es-ES_tradnl"/>
        </w:rPr>
      </w:pPr>
    </w:p>
    <w:p w14:paraId="3457CDF0" w14:textId="69E448C9" w:rsidR="006E7B3F" w:rsidRPr="00661F0B" w:rsidRDefault="006E7B3F"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Esta </w:t>
      </w:r>
      <w:r w:rsidR="00450CE0" w:rsidRPr="00661F0B">
        <w:rPr>
          <w:rFonts w:ascii="Verdana" w:hAnsi="Verdana" w:cs="Arial"/>
          <w:szCs w:val="24"/>
          <w:lang w:eastAsia="es-ES_tradnl"/>
        </w:rPr>
        <w:t>posición</w:t>
      </w:r>
      <w:r w:rsidRPr="00661F0B">
        <w:rPr>
          <w:rFonts w:ascii="Verdana" w:hAnsi="Verdana" w:cs="Arial"/>
          <w:szCs w:val="24"/>
          <w:lang w:eastAsia="es-ES_tradnl"/>
        </w:rPr>
        <w:t xml:space="preserve"> también es sostenida por el Consejo de Estado en otras providencias, donde reitera el criterio desarrollado en el concepto de la Sala de Consulta y Servicio de Civil del Consejo de Estado citado previamente</w:t>
      </w:r>
      <w:r w:rsidRPr="00661F0B">
        <w:rPr>
          <w:rFonts w:ascii="Verdana" w:hAnsi="Verdana" w:cs="Arial"/>
          <w:szCs w:val="24"/>
          <w:vertAlign w:val="superscript"/>
          <w:lang w:eastAsia="es-ES_tradnl"/>
        </w:rPr>
        <w:footnoteReference w:id="15"/>
      </w:r>
      <w:r w:rsidRPr="00661F0B">
        <w:rPr>
          <w:rFonts w:ascii="Verdana" w:hAnsi="Verdana" w:cs="Arial"/>
          <w:szCs w:val="24"/>
          <w:lang w:eastAsia="es-ES_tradnl"/>
        </w:rPr>
        <w:t xml:space="preserve">. </w:t>
      </w:r>
    </w:p>
    <w:p w14:paraId="278448FB" w14:textId="77777777" w:rsidR="006E7B3F" w:rsidRPr="00661F0B" w:rsidRDefault="006E7B3F" w:rsidP="006E7B3F">
      <w:pPr>
        <w:spacing w:before="120"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18F08207"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5DB90CE6"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w:t>
      </w:r>
      <w:r w:rsidRPr="00661F0B">
        <w:rPr>
          <w:rFonts w:ascii="Verdana" w:hAnsi="Verdana" w:cs="Arial"/>
          <w:b/>
          <w:bCs/>
          <w:sz w:val="20"/>
          <w:szCs w:val="20"/>
          <w:lang w:eastAsia="es-ES_tradnl"/>
        </w:rPr>
        <w:t>sin duda alguna una ampliación de las cantidades de obra denominada obra adicional conduce a una adición del contrato, luego debe tener como límite el 50% analizado</w:t>
      </w:r>
      <w:r w:rsidRPr="00661F0B">
        <w:rPr>
          <w:rFonts w:ascii="Verdana" w:hAnsi="Verdana" w:cs="Arial"/>
          <w:sz w:val="20"/>
          <w:szCs w:val="20"/>
          <w:lang w:eastAsia="es-ES_tradnl"/>
        </w:rPr>
        <w:t>.</w:t>
      </w:r>
    </w:p>
    <w:p w14:paraId="1F30C2E7"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w:t>
      </w:r>
    </w:p>
    <w:p w14:paraId="2CB1C840"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3B5BF8CC"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w:t>
      </w:r>
      <w:r w:rsidRPr="00661F0B">
        <w:rPr>
          <w:rFonts w:ascii="Verdana" w:hAnsi="Verdana" w:cs="Arial"/>
          <w:sz w:val="20"/>
          <w:szCs w:val="20"/>
          <w:lang w:eastAsia="es-ES_tradnl"/>
        </w:rPr>
        <w:lastRenderedPageBreak/>
        <w:t>legal no es posible ejecutarlo”</w:t>
      </w:r>
      <w:r w:rsidRPr="00661F0B">
        <w:rPr>
          <w:rFonts w:ascii="Verdana" w:hAnsi="Verdana" w:cs="Arial"/>
          <w:sz w:val="20"/>
          <w:szCs w:val="20"/>
          <w:vertAlign w:val="superscript"/>
          <w:lang w:eastAsia="es-ES_tradnl"/>
        </w:rPr>
        <w:footnoteReference w:id="16"/>
      </w:r>
      <w:r w:rsidRPr="00661F0B">
        <w:rPr>
          <w:rFonts w:ascii="Verdana" w:hAnsi="Verdana" w:cs="Arial"/>
          <w:sz w:val="20"/>
          <w:szCs w:val="20"/>
          <w:lang w:eastAsia="es-ES_tradnl"/>
        </w:rPr>
        <w:t xml:space="preserve">. (Aparte en corchetes y negrilla fuera del original). </w:t>
      </w:r>
    </w:p>
    <w:p w14:paraId="526470C4" w14:textId="77777777" w:rsidR="006E7B3F" w:rsidRPr="00661F0B" w:rsidRDefault="006E7B3F" w:rsidP="00CD1B8D">
      <w:pPr>
        <w:spacing w:after="0" w:line="276" w:lineRule="auto"/>
        <w:ind w:left="709" w:right="709"/>
        <w:jc w:val="both"/>
        <w:rPr>
          <w:rFonts w:ascii="Verdana" w:hAnsi="Verdana" w:cs="Arial"/>
          <w:sz w:val="21"/>
          <w:szCs w:val="21"/>
          <w:lang w:eastAsia="es-ES_tradnl"/>
        </w:rPr>
      </w:pPr>
    </w:p>
    <w:p w14:paraId="7246F40E" w14:textId="77777777" w:rsidR="006E7B3F" w:rsidRPr="00661F0B" w:rsidRDefault="006E7B3F" w:rsidP="00CD1B8D">
      <w:pPr>
        <w:spacing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En concordancia con lo expuesto, la doctrina ha definido dos modalidades de limitación a las adiciones contractuales desde una perspectiva cualitativa y cuantitativa que buscan preservar la esencia de este: </w:t>
      </w:r>
    </w:p>
    <w:p w14:paraId="270DA9A9" w14:textId="77777777" w:rsidR="006E7B3F" w:rsidRPr="00661F0B" w:rsidRDefault="006E7B3F" w:rsidP="00CD1B8D">
      <w:pPr>
        <w:spacing w:after="0" w:line="276" w:lineRule="auto"/>
        <w:ind w:left="709" w:right="709"/>
        <w:jc w:val="both"/>
        <w:rPr>
          <w:rFonts w:ascii="Verdana" w:hAnsi="Verdana" w:cs="Arial"/>
          <w:szCs w:val="24"/>
          <w:lang w:eastAsia="es-ES_tradnl"/>
        </w:rPr>
      </w:pPr>
    </w:p>
    <w:p w14:paraId="52327383"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“Desde el punto de vista </w:t>
      </w:r>
      <w:r w:rsidRPr="00661F0B">
        <w:rPr>
          <w:rFonts w:ascii="Verdana" w:hAnsi="Verdana" w:cs="Arial"/>
          <w:i/>
          <w:iCs/>
          <w:sz w:val="20"/>
          <w:szCs w:val="20"/>
          <w:lang w:eastAsia="es-ES_tradnl"/>
        </w:rPr>
        <w:t>cuantitativo,</w:t>
      </w:r>
      <w:r w:rsidRPr="00661F0B">
        <w:rPr>
          <w:rFonts w:ascii="Verdana" w:hAnsi="Verdana" w:cs="Arial"/>
          <w:sz w:val="20"/>
          <w:szCs w:val="20"/>
          <w:lang w:eastAsia="es-ES_tradnl"/>
        </w:rPr>
        <w:t xml:space="preserve"> </w:t>
      </w:r>
      <w:r w:rsidRPr="00661F0B">
        <w:rPr>
          <w:rFonts w:ascii="Verdana" w:hAnsi="Verdana" w:cs="Arial"/>
          <w:b/>
          <w:bCs/>
          <w:sz w:val="20"/>
          <w:szCs w:val="20"/>
          <w:lang w:eastAsia="es-ES_tradnl"/>
        </w:rPr>
        <w:t>toda modificación que aumente el presupuesto destinado al contrato cuenta, independientemente de las modalidades contractuales y de la forma de pago o de la remuneración del contratista</w:t>
      </w:r>
      <w:r w:rsidRPr="00661F0B">
        <w:rPr>
          <w:rFonts w:ascii="Verdana" w:hAnsi="Verdana" w:cs="Arial"/>
          <w:sz w:val="20"/>
          <w:szCs w:val="20"/>
          <w:lang w:eastAsia="es-ES_tradnl"/>
        </w:rPr>
        <w:t>. El límite significativo del 50% de su valor inicialmente calculado es determinante del umbral a partir del cual el contrato original ha de considerarse cambiado en su esencia. […]</w:t>
      </w:r>
    </w:p>
    <w:p w14:paraId="74864E7D"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5F7E12CF"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Y, desde el punto de vista</w:t>
      </w:r>
      <w:r w:rsidRPr="00661F0B">
        <w:rPr>
          <w:rFonts w:ascii="Verdana" w:hAnsi="Verdana" w:cs="Arial"/>
          <w:i/>
          <w:iCs/>
          <w:sz w:val="20"/>
          <w:szCs w:val="20"/>
          <w:lang w:eastAsia="es-ES_tradnl"/>
        </w:rPr>
        <w:t xml:space="preserve"> cualitativo</w:t>
      </w:r>
      <w:r w:rsidRPr="00661F0B">
        <w:rPr>
          <w:rFonts w:ascii="Verdana" w:hAnsi="Verdana" w:cs="Arial"/>
          <w:sz w:val="20"/>
          <w:szCs w:val="20"/>
          <w:lang w:eastAsia="es-ES_tradnl"/>
        </w:rPr>
        <w:t>, una adición que desnaturaliza el objeto inicial del contrato constituye en realidad una modificación esencial del contrato, lo que daría al traste con todo el proceso previo de selección de contratista para un objeto determinado y aniquilaría toda la estructuración técnica que procedió al proceso de selección. […]</w:t>
      </w:r>
    </w:p>
    <w:p w14:paraId="02A483B7"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7C5DC843"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Puede entonces apreciarse que la limitación </w:t>
      </w:r>
      <w:r w:rsidRPr="00661F0B">
        <w:rPr>
          <w:rFonts w:ascii="Verdana" w:hAnsi="Verdana" w:cs="Arial"/>
          <w:i/>
          <w:iCs/>
          <w:sz w:val="20"/>
          <w:szCs w:val="20"/>
          <w:lang w:eastAsia="es-ES_tradnl"/>
        </w:rPr>
        <w:t>cuantitativa</w:t>
      </w:r>
      <w:r w:rsidRPr="00661F0B">
        <w:rPr>
          <w:rFonts w:ascii="Verdana" w:hAnsi="Verdana" w:cs="Arial"/>
          <w:sz w:val="20"/>
          <w:szCs w:val="20"/>
          <w:lang w:eastAsia="es-ES_tradnl"/>
        </w:rPr>
        <w:t xml:space="preserve"> de las adiciones contractuales es simple de apreciar. Una vez superada la distinción entre contrato estatal y adición del contrato y la consecuente particularidad de los contratos a precios unitarios, </w:t>
      </w:r>
      <w:r w:rsidRPr="00661F0B">
        <w:rPr>
          <w:rFonts w:ascii="Verdana" w:hAnsi="Verdana" w:cs="Arial"/>
          <w:b/>
          <w:bCs/>
          <w:sz w:val="20"/>
          <w:szCs w:val="20"/>
          <w:lang w:eastAsia="es-ES_tradnl"/>
        </w:rPr>
        <w:t xml:space="preserve">las </w:t>
      </w:r>
      <w:r w:rsidRPr="00661F0B">
        <w:rPr>
          <w:rFonts w:ascii="Verdana" w:hAnsi="Verdana" w:cs="Arial"/>
          <w:b/>
          <w:bCs/>
          <w:i/>
          <w:iCs/>
          <w:sz w:val="20"/>
          <w:szCs w:val="20"/>
          <w:lang w:eastAsia="es-ES_tradnl"/>
        </w:rPr>
        <w:t>adiciones</w:t>
      </w:r>
      <w:r w:rsidRPr="00661F0B">
        <w:rPr>
          <w:rFonts w:ascii="Verdana" w:hAnsi="Verdana" w:cs="Arial"/>
          <w:b/>
          <w:bCs/>
          <w:sz w:val="20"/>
          <w:szCs w:val="20"/>
          <w:lang w:eastAsia="es-ES_tradnl"/>
        </w:rPr>
        <w:t xml:space="preserve"> del parágrafo del artículo 40 de la Ley 80/93 comprenden cualquier aumento del valor o costo del contrato”</w:t>
      </w:r>
      <w:r w:rsidRPr="00661F0B">
        <w:rPr>
          <w:rStyle w:val="Refdenotaalpie"/>
          <w:rFonts w:ascii="Verdana" w:hAnsi="Verdana" w:cs="Arial"/>
          <w:sz w:val="20"/>
          <w:szCs w:val="20"/>
          <w:lang w:eastAsia="es-ES_tradnl"/>
        </w:rPr>
        <w:footnoteReference w:id="17"/>
      </w:r>
      <w:r w:rsidRPr="00661F0B">
        <w:rPr>
          <w:rFonts w:ascii="Verdana" w:hAnsi="Verdana" w:cs="Arial"/>
          <w:sz w:val="20"/>
          <w:szCs w:val="20"/>
          <w:lang w:eastAsia="es-ES_tradnl"/>
        </w:rPr>
        <w:t>. (Negrilla por fuera de texto)</w:t>
      </w:r>
    </w:p>
    <w:p w14:paraId="34D8A8CE" w14:textId="77777777" w:rsidR="006E7B3F" w:rsidRPr="00661F0B" w:rsidRDefault="006E7B3F" w:rsidP="0037018C">
      <w:pPr>
        <w:spacing w:after="0" w:line="276" w:lineRule="auto"/>
        <w:ind w:firstLine="709"/>
        <w:jc w:val="both"/>
        <w:rPr>
          <w:rFonts w:ascii="Verdana" w:hAnsi="Verdana" w:cs="Arial"/>
          <w:lang w:eastAsia="es-ES_tradnl"/>
        </w:rPr>
      </w:pPr>
    </w:p>
    <w:p w14:paraId="76D0B7FB" w14:textId="00850B97" w:rsidR="006E7B3F" w:rsidRPr="00661F0B" w:rsidRDefault="006E7B3F" w:rsidP="0037018C">
      <w:pPr>
        <w:spacing w:after="0" w:line="276" w:lineRule="auto"/>
        <w:ind w:firstLine="709"/>
        <w:jc w:val="both"/>
        <w:rPr>
          <w:rFonts w:ascii="Verdana" w:hAnsi="Verdana" w:cs="Arial"/>
          <w:lang w:eastAsia="es-ES_tradnl"/>
        </w:rPr>
      </w:pPr>
      <w:r w:rsidRPr="00661F0B">
        <w:rPr>
          <w:rFonts w:ascii="Verdana" w:hAnsi="Verdana" w:cs="Arial"/>
          <w:lang w:eastAsia="es-ES_tradnl"/>
        </w:rPr>
        <w:t xml:space="preserve">La postura anterior también fue defendida por la Sección Tercera del Consejo de Estado, que, en el año 2010, se pronunció al respecto al resolver sobre la legalidad del artículo 73 del Decreto 2474 de 2008, que autorizaba la adición de algunos contratos por encima del </w:t>
      </w:r>
      <w:r w:rsidR="00B64BAD" w:rsidRPr="00661F0B">
        <w:rPr>
          <w:rFonts w:ascii="Verdana" w:hAnsi="Verdana" w:cs="Arial"/>
          <w:lang w:eastAsia="es-ES_tradnl"/>
        </w:rPr>
        <w:t>cincuenta por ciento (</w:t>
      </w:r>
      <w:r w:rsidRPr="00661F0B">
        <w:rPr>
          <w:rFonts w:ascii="Verdana" w:hAnsi="Verdana" w:cs="Arial"/>
          <w:lang w:eastAsia="es-ES_tradnl"/>
        </w:rPr>
        <w:t>50%</w:t>
      </w:r>
      <w:r w:rsidR="00B64BAD" w:rsidRPr="00661F0B">
        <w:rPr>
          <w:rFonts w:ascii="Verdana" w:hAnsi="Verdana" w:cs="Arial"/>
          <w:lang w:eastAsia="es-ES_tradnl"/>
        </w:rPr>
        <w:t>)</w:t>
      </w:r>
      <w:r w:rsidRPr="00661F0B">
        <w:rPr>
          <w:rFonts w:ascii="Verdana" w:hAnsi="Verdana" w:cs="Arial"/>
          <w:lang w:eastAsia="es-ES_tradnl"/>
        </w:rPr>
        <w:t xml:space="preserve">. La Sección Tercera declaró </w:t>
      </w:r>
      <w:r w:rsidR="00C6159E" w:rsidRPr="00661F0B">
        <w:rPr>
          <w:rFonts w:ascii="Verdana" w:hAnsi="Verdana" w:cs="Arial"/>
          <w:lang w:eastAsia="es-ES_tradnl"/>
        </w:rPr>
        <w:t>la</w:t>
      </w:r>
      <w:r w:rsidRPr="00661F0B">
        <w:rPr>
          <w:rFonts w:ascii="Verdana" w:hAnsi="Verdana" w:cs="Arial"/>
          <w:lang w:eastAsia="es-ES_tradnl"/>
        </w:rPr>
        <w:t xml:space="preserve"> nulidad de dicha norma en la sentencia del 14 de abril de 2010, exponiendo los siguientes argumentos:</w:t>
      </w:r>
    </w:p>
    <w:p w14:paraId="402F0D86" w14:textId="77777777" w:rsidR="006E7B3F" w:rsidRPr="00661F0B" w:rsidRDefault="006E7B3F" w:rsidP="0037018C">
      <w:pPr>
        <w:spacing w:after="0" w:line="276" w:lineRule="auto"/>
        <w:jc w:val="both"/>
        <w:rPr>
          <w:rFonts w:ascii="Verdana" w:hAnsi="Verdana" w:cs="Arial"/>
          <w:lang w:eastAsia="es-ES_tradnl"/>
        </w:rPr>
      </w:pPr>
    </w:p>
    <w:p w14:paraId="68269289"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w:t>
      </w:r>
      <w:r w:rsidRPr="00661F0B">
        <w:rPr>
          <w:rFonts w:ascii="Verdana" w:hAnsi="Verdana" w:cs="Arial"/>
          <w:sz w:val="20"/>
          <w:szCs w:val="20"/>
          <w:lang w:eastAsia="es-ES_tradnl"/>
        </w:rPr>
        <w:lastRenderedPageBreak/>
        <w:t xml:space="preserve">distintas indispensables para alcanzar la finalidad perseguida con el acuerdo de voluntades. No </w:t>
      </w:r>
      <w:proofErr w:type="gramStart"/>
      <w:r w:rsidRPr="00661F0B">
        <w:rPr>
          <w:rFonts w:ascii="Verdana" w:hAnsi="Verdana" w:cs="Arial"/>
          <w:sz w:val="20"/>
          <w:szCs w:val="20"/>
          <w:lang w:eastAsia="es-ES_tradnl"/>
        </w:rPr>
        <w:t>obstante</w:t>
      </w:r>
      <w:proofErr w:type="gramEnd"/>
      <w:r w:rsidRPr="00661F0B">
        <w:rPr>
          <w:rFonts w:ascii="Verdana" w:hAnsi="Verdana" w:cs="Arial"/>
          <w:sz w:val="20"/>
          <w:szCs w:val="20"/>
          <w:lang w:eastAsia="es-ES_tradnl"/>
        </w:rPr>
        <w:t xml:space="preserve"> lo anterior, </w:t>
      </w:r>
      <w:r w:rsidRPr="00661F0B">
        <w:rPr>
          <w:rFonts w:ascii="Verdana" w:hAnsi="Verdana" w:cs="Arial"/>
          <w:b/>
          <w:bCs/>
          <w:sz w:val="20"/>
          <w:szCs w:val="20"/>
          <w:lang w:eastAsia="es-ES_tradnl"/>
        </w:rPr>
        <w:t>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r w:rsidRPr="00661F0B">
        <w:rPr>
          <w:rFonts w:ascii="Verdana" w:hAnsi="Verdana" w:cs="Arial"/>
          <w:sz w:val="20"/>
          <w:szCs w:val="20"/>
          <w:lang w:eastAsia="es-ES_tradnl"/>
        </w:rPr>
        <w:t>.</w:t>
      </w:r>
    </w:p>
    <w:p w14:paraId="2AD08F33"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1E1273EB"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661F0B">
        <w:rPr>
          <w:rFonts w:ascii="Verdana" w:hAnsi="Verdana" w:cs="Arial"/>
          <w:sz w:val="20"/>
          <w:szCs w:val="20"/>
          <w:vertAlign w:val="superscript"/>
          <w:lang w:eastAsia="es-ES_tradnl"/>
        </w:rPr>
        <w:footnoteReference w:id="18"/>
      </w:r>
      <w:r w:rsidRPr="00661F0B">
        <w:rPr>
          <w:rFonts w:ascii="Verdana" w:hAnsi="Verdana" w:cs="Arial"/>
          <w:sz w:val="20"/>
          <w:szCs w:val="20"/>
          <w:vertAlign w:val="superscript"/>
          <w:lang w:eastAsia="es-ES_tradnl"/>
        </w:rPr>
        <w:t>.</w:t>
      </w:r>
      <w:r w:rsidRPr="00661F0B">
        <w:rPr>
          <w:rFonts w:ascii="Verdana" w:hAnsi="Verdana" w:cs="Arial"/>
          <w:sz w:val="20"/>
          <w:szCs w:val="20"/>
          <w:lang w:eastAsia="es-ES_tradnl"/>
        </w:rPr>
        <w:t>(Negrilla por fuera de texto).</w:t>
      </w:r>
    </w:p>
    <w:p w14:paraId="44F5B06C" w14:textId="77777777" w:rsidR="006E7B3F" w:rsidRPr="00661F0B" w:rsidRDefault="006E7B3F" w:rsidP="00541539">
      <w:pPr>
        <w:spacing w:after="0" w:line="276" w:lineRule="auto"/>
        <w:ind w:left="709" w:right="709"/>
        <w:jc w:val="both"/>
        <w:rPr>
          <w:rFonts w:ascii="Verdana" w:hAnsi="Verdana" w:cs="Arial"/>
          <w:szCs w:val="24"/>
          <w:lang w:eastAsia="es-ES_tradnl"/>
        </w:rPr>
      </w:pPr>
    </w:p>
    <w:p w14:paraId="207E05F7" w14:textId="42273267" w:rsidR="006E7B3F" w:rsidRPr="00661F0B" w:rsidRDefault="006E7B3F" w:rsidP="00541539">
      <w:pPr>
        <w:spacing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As</w:t>
      </w:r>
      <w:r w:rsidR="00E742DB" w:rsidRPr="00661F0B">
        <w:rPr>
          <w:rFonts w:ascii="Verdana" w:hAnsi="Verdana" w:cs="Arial"/>
          <w:szCs w:val="24"/>
          <w:lang w:eastAsia="es-ES_tradnl"/>
        </w:rPr>
        <w:t xml:space="preserve">í </w:t>
      </w:r>
      <w:r w:rsidRPr="00661F0B">
        <w:rPr>
          <w:rFonts w:ascii="Verdana" w:hAnsi="Verdana" w:cs="Arial"/>
          <w:szCs w:val="24"/>
          <w:lang w:eastAsia="es-ES_tradnl"/>
        </w:rPr>
        <w:t xml:space="preserve">mismo, esta </w:t>
      </w:r>
      <w:r w:rsidR="006F2B4D" w:rsidRPr="00661F0B">
        <w:rPr>
          <w:rFonts w:ascii="Verdana" w:hAnsi="Verdana" w:cs="Arial"/>
          <w:szCs w:val="24"/>
          <w:lang w:eastAsia="es-ES_tradnl"/>
        </w:rPr>
        <w:t>forma de interpretación</w:t>
      </w:r>
      <w:r w:rsidRPr="00661F0B">
        <w:rPr>
          <w:rFonts w:ascii="Verdana" w:hAnsi="Verdana" w:cs="Arial"/>
          <w:szCs w:val="24"/>
          <w:lang w:eastAsia="es-ES_tradnl"/>
        </w:rPr>
        <w:t xml:space="preserve"> </w:t>
      </w:r>
      <w:r w:rsidR="00F10EAA" w:rsidRPr="00661F0B">
        <w:rPr>
          <w:rFonts w:ascii="Verdana" w:hAnsi="Verdana" w:cs="Arial"/>
          <w:szCs w:val="24"/>
          <w:lang w:eastAsia="es-ES_tradnl"/>
        </w:rPr>
        <w:t xml:space="preserve">ha sido </w:t>
      </w:r>
      <w:r w:rsidRPr="00661F0B">
        <w:rPr>
          <w:rFonts w:ascii="Verdana" w:hAnsi="Verdana" w:cs="Arial"/>
          <w:szCs w:val="24"/>
          <w:lang w:eastAsia="es-ES_tradnl"/>
        </w:rPr>
        <w:t xml:space="preserve">es sostenida por el Consejo de Estado en otras providencias en las que se indica que en el evento de mayores cantidades de obra se puede proceder acudiendo a la compensación o, en su defecto, a la suscripción de un contrato adicional sujeto a la verificación de la disponibilidad presupuestal: </w:t>
      </w:r>
    </w:p>
    <w:p w14:paraId="1DB78955" w14:textId="77777777" w:rsidR="006E7B3F" w:rsidRPr="00661F0B" w:rsidRDefault="006E7B3F" w:rsidP="00541539">
      <w:pPr>
        <w:spacing w:after="0" w:line="276" w:lineRule="auto"/>
        <w:ind w:firstLine="709"/>
        <w:jc w:val="both"/>
        <w:rPr>
          <w:rFonts w:ascii="Verdana" w:hAnsi="Verdana" w:cs="Arial"/>
          <w:szCs w:val="24"/>
          <w:lang w:eastAsia="es-ES_tradnl"/>
        </w:rPr>
      </w:pPr>
    </w:p>
    <w:p w14:paraId="251C48FD" w14:textId="77777777" w:rsidR="006E7B3F" w:rsidRPr="00661F0B" w:rsidRDefault="006E7B3F" w:rsidP="00541539">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“En el contrato de obra suscrito bajo la modalidad de pago por precios unitarios, el reconocimiento de las mayores cantidades de obra, cuando ellas resulten necesarias para cumplir con el objeto contractual, bien puede realizarse por vía de compensación con otros ítems cuyas cantidades se hayan ejecutado por debajo de la proporción estimada, lo cual deberá constar en un acta suscrita entre el contratista y el interventor autorizado o, en su defecto, por el representante legal de la entidad; o, cuando ello no sea posible, por sobrepasar el estimativo inicial a través de la suscripción de un contrato adicional (en el valor) sujeto a la previa verificación de la existencia de disponibilidad presupuestal para atender el compromiso y luego reflejadas en las actas de recibo firmadas por las partes, o a más tardar en el acta de liquidación del contrato, respaldadas con las respectiva disponibilidad presupuestal y siempre que hayan sido autorizadas”</w:t>
      </w:r>
      <w:r w:rsidRPr="00661F0B">
        <w:rPr>
          <w:rStyle w:val="Refdenotaalpie"/>
          <w:rFonts w:ascii="Verdana" w:hAnsi="Verdana" w:cs="Arial"/>
          <w:sz w:val="20"/>
          <w:szCs w:val="20"/>
          <w:lang w:eastAsia="es-ES_tradnl"/>
        </w:rPr>
        <w:footnoteReference w:id="19"/>
      </w:r>
      <w:r w:rsidRPr="00661F0B">
        <w:rPr>
          <w:rFonts w:ascii="Verdana" w:hAnsi="Verdana" w:cs="Arial"/>
          <w:sz w:val="20"/>
          <w:szCs w:val="20"/>
          <w:lang w:eastAsia="es-ES_tradnl"/>
        </w:rPr>
        <w:t>.</w:t>
      </w:r>
    </w:p>
    <w:p w14:paraId="4928D3D9" w14:textId="77777777" w:rsidR="006E7B3F" w:rsidRPr="00661F0B" w:rsidRDefault="006E7B3F" w:rsidP="006E7B3F">
      <w:pPr>
        <w:spacing w:after="0" w:line="276" w:lineRule="auto"/>
        <w:ind w:left="709" w:right="709"/>
        <w:jc w:val="both"/>
        <w:rPr>
          <w:rFonts w:ascii="Verdana" w:hAnsi="Verdana" w:cs="Arial"/>
          <w:lang w:eastAsia="es-ES_tradnl"/>
        </w:rPr>
      </w:pPr>
    </w:p>
    <w:p w14:paraId="3E53FFAD" w14:textId="5A9C06FC" w:rsidR="006E7B3F" w:rsidRPr="00661F0B" w:rsidRDefault="006E7B3F"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En sentencia del 9 de julio de 2021 del Consejo de Estado, se realizó una aclaración de voto, en cuanto reitera esta postura en relación con la limitación de la adición del contrato. En esta oportunidad se indicó que</w:t>
      </w:r>
      <w:r w:rsidR="00541539">
        <w:rPr>
          <w:rFonts w:ascii="Verdana" w:hAnsi="Verdana" w:cs="Arial"/>
          <w:szCs w:val="24"/>
          <w:lang w:eastAsia="es-ES_tradnl"/>
        </w:rPr>
        <w:t>:</w:t>
      </w:r>
      <w:r w:rsidRPr="00661F0B">
        <w:rPr>
          <w:rFonts w:ascii="Verdana" w:hAnsi="Verdana" w:cs="Arial"/>
          <w:szCs w:val="24"/>
          <w:lang w:eastAsia="es-ES_tradnl"/>
        </w:rPr>
        <w:t xml:space="preserve"> “</w:t>
      </w:r>
      <w:r w:rsidRPr="00661F0B">
        <w:rPr>
          <w:rFonts w:ascii="Verdana" w:hAnsi="Verdana" w:cs="Arial"/>
          <w:bCs/>
          <w:szCs w:val="24"/>
          <w:lang w:eastAsia="es-ES_tradnl"/>
        </w:rPr>
        <w:t xml:space="preserve">En el párrafo 34 de la sentencia se señaló que, en contratos a precios unitarios, la cláusula de valor es “meramente indicativa”.  </w:t>
      </w:r>
      <w:r w:rsidRPr="00661F0B">
        <w:rPr>
          <w:rFonts w:ascii="Verdana" w:hAnsi="Verdana" w:cs="Arial"/>
          <w:bCs/>
          <w:i/>
          <w:iCs/>
          <w:szCs w:val="24"/>
          <w:lang w:eastAsia="es-ES_tradnl"/>
        </w:rPr>
        <w:t>Al respecto estimo que el precio no puede fluctuar libremente al arbitrio de las partes, en tanto la ley</w:t>
      </w:r>
      <w:r w:rsidRPr="00661F0B">
        <w:rPr>
          <w:rFonts w:ascii="Verdana" w:hAnsi="Verdana" w:cs="Arial"/>
          <w:bCs/>
          <w:i/>
          <w:iCs/>
          <w:szCs w:val="24"/>
          <w:vertAlign w:val="superscript"/>
          <w:lang w:eastAsia="es-ES_tradnl"/>
        </w:rPr>
        <w:footnoteRef/>
      </w:r>
      <w:r w:rsidRPr="00661F0B">
        <w:rPr>
          <w:rFonts w:ascii="Verdana" w:hAnsi="Verdana" w:cs="Arial"/>
          <w:bCs/>
          <w:i/>
          <w:iCs/>
          <w:szCs w:val="24"/>
          <w:lang w:eastAsia="es-ES_tradnl"/>
        </w:rPr>
        <w:t xml:space="preserve"> impone restricciones a la posibilidad de adicionarlo, sin atención a la modalidad pactada en el contrato</w:t>
      </w:r>
      <w:r w:rsidRPr="00661F0B">
        <w:rPr>
          <w:rFonts w:ascii="Verdana" w:hAnsi="Verdana" w:cs="Arial"/>
          <w:bCs/>
          <w:szCs w:val="24"/>
          <w:lang w:eastAsia="es-ES_tradnl"/>
        </w:rPr>
        <w:t>. A juicio del suscrito, el deber de planeación a cargo de las entidades estatales impone determinar, en forma previa, el alcance del objeto contractual, de modo que, de antemano, se conozca con alto grado de aproximación, el alcance de los trabajos. El máximo margen de desfase admisible está previsto en la ley como límite a la posibilidad de adicionar los contratos, insisto, con independencia de si los precios fueron globales o unitarios</w:t>
      </w:r>
      <w:r w:rsidRPr="00661F0B">
        <w:rPr>
          <w:rFonts w:ascii="Verdana" w:hAnsi="Verdana" w:cs="Arial"/>
          <w:szCs w:val="24"/>
          <w:lang w:eastAsia="es-ES_tradnl"/>
        </w:rPr>
        <w:t>”</w:t>
      </w:r>
      <w:r w:rsidRPr="00661F0B">
        <w:rPr>
          <w:rStyle w:val="Refdenotaalpie"/>
          <w:rFonts w:ascii="Verdana" w:hAnsi="Verdana" w:cs="Arial"/>
          <w:szCs w:val="24"/>
          <w:lang w:eastAsia="es-ES_tradnl"/>
        </w:rPr>
        <w:footnoteReference w:id="20"/>
      </w:r>
      <w:r w:rsidRPr="00661F0B">
        <w:rPr>
          <w:rFonts w:ascii="Verdana" w:hAnsi="Verdana" w:cs="Arial"/>
          <w:bCs/>
          <w:szCs w:val="24"/>
          <w:lang w:eastAsia="es-ES_tradnl"/>
        </w:rPr>
        <w:t xml:space="preserve">. (Énfasis por fuera de texto). </w:t>
      </w:r>
    </w:p>
    <w:p w14:paraId="37847381" w14:textId="2061F982" w:rsidR="006E7B3F" w:rsidRPr="00661F0B" w:rsidRDefault="00CB733E" w:rsidP="006E7B3F">
      <w:pPr>
        <w:spacing w:after="120" w:line="276" w:lineRule="auto"/>
        <w:ind w:firstLine="709"/>
        <w:jc w:val="both"/>
        <w:rPr>
          <w:rFonts w:ascii="Verdana" w:hAnsi="Verdana" w:cs="Arial"/>
          <w:szCs w:val="24"/>
          <w:lang w:eastAsia="es-ES_tradnl"/>
        </w:rPr>
      </w:pPr>
      <w:r w:rsidRPr="00661F0B">
        <w:rPr>
          <w:rFonts w:ascii="Verdana" w:hAnsi="Verdana" w:cs="Arial"/>
          <w:szCs w:val="24"/>
          <w:lang w:eastAsia="es-ES_tradnl"/>
        </w:rPr>
        <w:t>Bajo el</w:t>
      </w:r>
      <w:r w:rsidR="006E7B3F" w:rsidRPr="00661F0B">
        <w:rPr>
          <w:rFonts w:ascii="Verdana" w:hAnsi="Verdana" w:cs="Arial"/>
          <w:szCs w:val="24"/>
          <w:lang w:eastAsia="es-ES_tradnl"/>
        </w:rPr>
        <w:t xml:space="preserve"> contexto</w:t>
      </w:r>
      <w:r w:rsidRPr="00661F0B">
        <w:rPr>
          <w:rFonts w:ascii="Verdana" w:hAnsi="Verdana" w:cs="Arial"/>
          <w:szCs w:val="24"/>
          <w:lang w:eastAsia="es-ES_tradnl"/>
        </w:rPr>
        <w:t xml:space="preserve"> expuesto en relación con las posturas jurisprudenciales y doctrinales</w:t>
      </w:r>
      <w:r w:rsidR="006E7B3F" w:rsidRPr="00661F0B">
        <w:rPr>
          <w:rFonts w:ascii="Verdana" w:hAnsi="Verdana" w:cs="Arial"/>
          <w:szCs w:val="24"/>
          <w:lang w:eastAsia="es-ES_tradnl"/>
        </w:rPr>
        <w:t xml:space="preserve">, esta Agencia </w:t>
      </w:r>
      <w:r w:rsidR="00421266" w:rsidRPr="00661F0B">
        <w:rPr>
          <w:rFonts w:ascii="Verdana" w:hAnsi="Verdana" w:cs="Arial"/>
          <w:szCs w:val="24"/>
          <w:lang w:eastAsia="es-ES_tradnl"/>
        </w:rPr>
        <w:t>ajusta</w:t>
      </w:r>
      <w:r w:rsidR="006E7B3F" w:rsidRPr="00661F0B">
        <w:rPr>
          <w:rFonts w:ascii="Verdana" w:hAnsi="Verdana" w:cs="Arial"/>
          <w:szCs w:val="24"/>
          <w:lang w:eastAsia="es-ES_tradnl"/>
        </w:rPr>
        <w:t xml:space="preserve"> la línea doctrinal, en el sentido de adecuarla a pronunciamientos más recientes del Consejo de Estado y a la doctrina, conforme se procede a exponer.  </w:t>
      </w:r>
    </w:p>
    <w:p w14:paraId="6F4FE5AA" w14:textId="77777777" w:rsidR="006E7B3F" w:rsidRPr="00661F0B" w:rsidRDefault="006E7B3F" w:rsidP="006E7B3F">
      <w:pPr>
        <w:spacing w:before="120"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 En este sentido, la Sección Tercera de la Corporación explicó: </w:t>
      </w:r>
    </w:p>
    <w:p w14:paraId="672AA7BC"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6A71D699"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“La mayor cantidad de obra que resulte por encima del estimativo inicial en los contratos de obras celebrados a precios unitarios, no implica, en principio, en forma </w:t>
      </w:r>
      <w:proofErr w:type="gramStart"/>
      <w:r w:rsidRPr="00661F0B">
        <w:rPr>
          <w:rFonts w:ascii="Verdana" w:hAnsi="Verdana" w:cs="Arial"/>
          <w:sz w:val="20"/>
          <w:szCs w:val="20"/>
          <w:lang w:eastAsia="es-ES_tradnl"/>
        </w:rPr>
        <w:t>alguna cambio</w:t>
      </w:r>
      <w:proofErr w:type="gramEnd"/>
      <w:r w:rsidRPr="00661F0B">
        <w:rPr>
          <w:rFonts w:ascii="Verdana" w:hAnsi="Verdana" w:cs="Arial"/>
          <w:sz w:val="20"/>
          <w:szCs w:val="20"/>
          <w:lang w:eastAsia="es-ES_tradnl"/>
        </w:rPr>
        <w:t xml:space="preserve"> de objeto ni cambio en su valor, porque en este tipo de contrato solo podrá hablarse de este último cambio, cuando </w:t>
      </w:r>
      <w:r w:rsidRPr="00661F0B">
        <w:rPr>
          <w:rFonts w:ascii="Verdana" w:hAnsi="Verdana" w:cs="Arial"/>
          <w:sz w:val="20"/>
          <w:szCs w:val="20"/>
          <w:lang w:eastAsia="es-ES_tradnl"/>
        </w:rPr>
        <w:lastRenderedPageBreak/>
        <w:t>la modificación se hace en alguno o algunos de los precios unitarios convenidos. Sucede algo diferente a lo que se observa en los contratos a precio alzado, en los que la variación en su valor tiene en cuenta el valor global del mismo”</w:t>
      </w:r>
      <w:r w:rsidRPr="00661F0B">
        <w:rPr>
          <w:rStyle w:val="Refdenotaalpie"/>
          <w:rFonts w:ascii="Verdana" w:hAnsi="Verdana" w:cs="Arial"/>
          <w:sz w:val="20"/>
          <w:szCs w:val="20"/>
          <w:lang w:eastAsia="es-ES_tradnl"/>
        </w:rPr>
        <w:footnoteReference w:id="21"/>
      </w:r>
      <w:r w:rsidRPr="00661F0B">
        <w:rPr>
          <w:rFonts w:ascii="Verdana" w:hAnsi="Verdana" w:cs="Arial"/>
          <w:sz w:val="20"/>
          <w:szCs w:val="20"/>
          <w:lang w:eastAsia="es-ES_tradnl"/>
        </w:rPr>
        <w:t xml:space="preserve">.  </w:t>
      </w:r>
    </w:p>
    <w:p w14:paraId="2C429CBA" w14:textId="77777777" w:rsidR="006E7B3F" w:rsidRPr="00661F0B" w:rsidRDefault="006E7B3F" w:rsidP="006E7B3F">
      <w:pPr>
        <w:spacing w:after="0" w:line="276" w:lineRule="auto"/>
        <w:ind w:firstLine="709"/>
        <w:jc w:val="both"/>
        <w:rPr>
          <w:rFonts w:ascii="Verdana" w:hAnsi="Verdana" w:cs="Arial"/>
          <w:szCs w:val="24"/>
          <w:lang w:eastAsia="es-ES_tradnl"/>
        </w:rPr>
      </w:pPr>
    </w:p>
    <w:p w14:paraId="128349B0" w14:textId="77777777" w:rsidR="006E7B3F" w:rsidRPr="00661F0B" w:rsidRDefault="006E7B3F" w:rsidP="006E7B3F">
      <w:pPr>
        <w:spacing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Más recientemente, ya bajo la vigencia de la Ley 80 de 1993, </w:t>
      </w:r>
      <w:bookmarkStart w:id="3" w:name="_Hlk176963652"/>
      <w:r w:rsidRPr="00661F0B">
        <w:rPr>
          <w:rFonts w:ascii="Verdana" w:hAnsi="Verdana" w:cs="Arial"/>
          <w:szCs w:val="24"/>
          <w:lang w:eastAsia="es-ES_tradnl"/>
        </w:rPr>
        <w:t>el Consejo de Estado explicó como en la adición de unidades no había modificación alguna del contrato por cuanto esta eventualidad está contemplada desde el inicio del contrato y es inherente a esta modalidad de pago. En ese sentido manifestó que:</w:t>
      </w:r>
    </w:p>
    <w:p w14:paraId="51AEAEAB" w14:textId="77777777" w:rsidR="006E7B3F" w:rsidRPr="00661F0B" w:rsidRDefault="006E7B3F" w:rsidP="006E7B3F">
      <w:pPr>
        <w:spacing w:after="0" w:line="276" w:lineRule="auto"/>
        <w:ind w:firstLine="709"/>
        <w:jc w:val="both"/>
        <w:rPr>
          <w:rFonts w:ascii="Verdana" w:hAnsi="Verdana" w:cs="Arial"/>
          <w:szCs w:val="24"/>
          <w:lang w:eastAsia="es-ES_tradnl"/>
        </w:rPr>
      </w:pPr>
      <w:r w:rsidRPr="00661F0B">
        <w:rPr>
          <w:rFonts w:ascii="Verdana" w:hAnsi="Verdana" w:cs="Arial"/>
          <w:szCs w:val="24"/>
          <w:lang w:eastAsia="es-ES_tradnl"/>
        </w:rPr>
        <w:t xml:space="preserve"> </w:t>
      </w:r>
    </w:p>
    <w:p w14:paraId="356FA5C5"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 en los contratos de obra suscritos a precios unitarios, la mayor cantidad de obra ejecutada supone que ésta fue contratada pero que su estimado inicial fue sobrepasado durante la ejecución del contrato, surgiendo así una “prolongación de la prestación debida”, sin que ello implique modificación alguna al objeto contractual. </w:t>
      </w:r>
    </w:p>
    <w:p w14:paraId="173753A1"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409011E4"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w:t>
      </w:r>
    </w:p>
    <w:p w14:paraId="720B3FD3"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p>
    <w:p w14:paraId="349C865A" w14:textId="77777777" w:rsidR="006E7B3F" w:rsidRPr="00661F0B" w:rsidRDefault="006E7B3F" w:rsidP="006E7B3F">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En cambio, la realización de obras adicionales supone que éstas no fueron parte del objeto del contrato principal, y por lo tanto implican una variación </w:t>
      </w:r>
      <w:proofErr w:type="gramStart"/>
      <w:r w:rsidRPr="00661F0B">
        <w:rPr>
          <w:rFonts w:ascii="Verdana" w:hAnsi="Verdana" w:cs="Arial"/>
          <w:sz w:val="20"/>
          <w:szCs w:val="20"/>
          <w:lang w:eastAsia="es-ES_tradnl"/>
        </w:rPr>
        <w:t>del mismo</w:t>
      </w:r>
      <w:proofErr w:type="gramEnd"/>
      <w:r w:rsidRPr="00661F0B">
        <w:rPr>
          <w:rFonts w:ascii="Verdana" w:hAnsi="Verdana" w:cs="Arial"/>
          <w:sz w:val="20"/>
          <w:szCs w:val="20"/>
          <w:lang w:eastAsia="es-ES_tradnl"/>
        </w:rPr>
        <w:t>; se trata entonces de obras nuevas, distintas a las contratadas, o de ítems no previstos, pero que su ejecución, en determinadas circunstancias resultas necesaria”</w:t>
      </w:r>
      <w:bookmarkEnd w:id="3"/>
      <w:r w:rsidRPr="00661F0B">
        <w:rPr>
          <w:rStyle w:val="Refdenotaalpie"/>
          <w:rFonts w:ascii="Verdana" w:hAnsi="Verdana" w:cs="Arial"/>
          <w:sz w:val="20"/>
          <w:szCs w:val="20"/>
          <w:lang w:eastAsia="es-ES_tradnl"/>
        </w:rPr>
        <w:footnoteReference w:id="22"/>
      </w:r>
      <w:r w:rsidRPr="00661F0B">
        <w:rPr>
          <w:rFonts w:ascii="Verdana" w:hAnsi="Verdana" w:cs="Arial"/>
          <w:sz w:val="20"/>
          <w:szCs w:val="20"/>
          <w:lang w:eastAsia="es-ES_tradnl"/>
        </w:rPr>
        <w:t>.</w:t>
      </w:r>
    </w:p>
    <w:p w14:paraId="73DAF88B" w14:textId="77777777" w:rsidR="006E7B3F" w:rsidRPr="00661F0B" w:rsidRDefault="006E7B3F" w:rsidP="006E7B3F">
      <w:pPr>
        <w:spacing w:after="0" w:line="276" w:lineRule="auto"/>
        <w:ind w:firstLine="709"/>
        <w:jc w:val="both"/>
        <w:rPr>
          <w:rFonts w:ascii="Verdana" w:hAnsi="Verdana" w:cs="Arial"/>
          <w:lang w:eastAsia="es-ES_tradnl"/>
        </w:rPr>
      </w:pPr>
    </w:p>
    <w:p w14:paraId="327DE222" w14:textId="77777777" w:rsidR="006E7B3F" w:rsidRPr="00661F0B" w:rsidRDefault="006E7B3F" w:rsidP="006E7B3F">
      <w:pPr>
        <w:spacing w:after="0" w:line="276" w:lineRule="auto"/>
        <w:ind w:firstLine="709"/>
        <w:jc w:val="both"/>
        <w:rPr>
          <w:rFonts w:ascii="Verdana" w:hAnsi="Verdana" w:cs="Arial"/>
          <w:lang w:eastAsia="es-ES_tradnl"/>
        </w:rPr>
      </w:pPr>
      <w:r w:rsidRPr="00661F0B">
        <w:rPr>
          <w:rFonts w:ascii="Verdana" w:hAnsi="Verdana" w:cs="Arial"/>
          <w:lang w:eastAsia="es-ES_tradnl"/>
        </w:rPr>
        <w:t xml:space="preserve">Así mismo, la Sala de Consulta y del Servicio Civil de la Corporación consideró que los contratos a precios unitarios tenían un precio indeterminado, aunque determinable al final del contrato: </w:t>
      </w:r>
    </w:p>
    <w:p w14:paraId="22591316" w14:textId="77777777" w:rsidR="006E7B3F" w:rsidRPr="00661F0B" w:rsidRDefault="006E7B3F" w:rsidP="006E7B3F">
      <w:pPr>
        <w:spacing w:after="0" w:line="276" w:lineRule="auto"/>
        <w:ind w:left="709" w:right="709"/>
        <w:jc w:val="both"/>
        <w:rPr>
          <w:rFonts w:ascii="Verdana" w:hAnsi="Verdana" w:cs="Arial"/>
          <w:lang w:eastAsia="es-ES_tradnl"/>
        </w:rPr>
      </w:pPr>
    </w:p>
    <w:p w14:paraId="4E3DF993" w14:textId="77777777" w:rsidR="006E7B3F" w:rsidRPr="00661F0B" w:rsidRDefault="006E7B3F" w:rsidP="00FF169D">
      <w:pPr>
        <w:spacing w:after="0" w:line="240" w:lineRule="auto"/>
        <w:ind w:left="709" w:right="709"/>
        <w:jc w:val="both"/>
        <w:rPr>
          <w:rFonts w:ascii="Verdana" w:hAnsi="Verdana" w:cs="Arial"/>
          <w:sz w:val="20"/>
          <w:szCs w:val="20"/>
          <w:lang w:eastAsia="es-ES_tradnl"/>
        </w:rPr>
      </w:pPr>
      <w:r w:rsidRPr="00661F0B">
        <w:rPr>
          <w:rFonts w:ascii="Verdana" w:hAnsi="Verdana" w:cs="Arial"/>
          <w:sz w:val="20"/>
          <w:szCs w:val="20"/>
          <w:lang w:eastAsia="es-ES_tradnl"/>
        </w:rPr>
        <w:t xml:space="preserve">“Por el contrario, en los contratos a precio indeterminado pero determinable por el procedimiento establecido en el mismo contrato (precios unitarios, administración delegada o reembolso de gastos), la cláusula del valor en el mismo apenas sirve como indicativo del monto estimado hecho por las partes, pero no tiene valor vinculante u obligacional, pues el verdadero valor del contrato se establecerá una vez se concluya su objeto. En estos eventos, tal clausula sólo cumple la función de realizar un cálculo estimado del costo probable, esto es, ese estimativo necesario para elaborar el presupuesto o para efectos fiscales; pero el valor real del contrato que genera obligaciones mutuas sólo se </w:t>
      </w:r>
      <w:r w:rsidRPr="00661F0B">
        <w:rPr>
          <w:rFonts w:ascii="Verdana" w:hAnsi="Verdana" w:cs="Arial"/>
          <w:sz w:val="20"/>
          <w:szCs w:val="20"/>
          <w:lang w:eastAsia="es-ES_tradnl"/>
        </w:rPr>
        <w:lastRenderedPageBreak/>
        <w:t>determinará cuando el procedimiento establecido, se establezca tal costo”</w:t>
      </w:r>
      <w:r w:rsidRPr="00661F0B">
        <w:rPr>
          <w:rStyle w:val="Refdenotaalpie"/>
          <w:rFonts w:ascii="Verdana" w:hAnsi="Verdana" w:cs="Arial"/>
          <w:sz w:val="20"/>
          <w:szCs w:val="20"/>
          <w:lang w:eastAsia="es-ES_tradnl"/>
        </w:rPr>
        <w:footnoteReference w:id="23"/>
      </w:r>
      <w:r w:rsidRPr="00661F0B">
        <w:rPr>
          <w:rFonts w:ascii="Verdana" w:hAnsi="Verdana" w:cs="Arial"/>
          <w:sz w:val="20"/>
          <w:szCs w:val="20"/>
          <w:lang w:eastAsia="es-ES_tradnl"/>
        </w:rPr>
        <w:t xml:space="preserve">.  </w:t>
      </w:r>
    </w:p>
    <w:p w14:paraId="485021AF" w14:textId="77777777" w:rsidR="00FF169D" w:rsidRPr="00661F0B" w:rsidRDefault="00FF169D" w:rsidP="00FF169D">
      <w:pPr>
        <w:spacing w:after="0" w:line="276" w:lineRule="auto"/>
        <w:ind w:left="709" w:right="709"/>
        <w:jc w:val="both"/>
        <w:rPr>
          <w:rFonts w:ascii="Verdana" w:hAnsi="Verdana" w:cs="Arial"/>
          <w:lang w:eastAsia="es-ES_tradnl"/>
        </w:rPr>
      </w:pPr>
    </w:p>
    <w:p w14:paraId="6D20C042" w14:textId="51A6C20A" w:rsidR="00FF169D" w:rsidRPr="00661F0B" w:rsidRDefault="00FF169D" w:rsidP="00FF169D">
      <w:pPr>
        <w:widowControl w:val="0"/>
        <w:autoSpaceDE w:val="0"/>
        <w:autoSpaceDN w:val="0"/>
        <w:spacing w:after="0" w:line="276" w:lineRule="auto"/>
        <w:ind w:firstLine="709"/>
        <w:jc w:val="both"/>
        <w:rPr>
          <w:rFonts w:ascii="Verdana" w:eastAsia="Calibri" w:hAnsi="Verdana" w:cs="Arial"/>
        </w:rPr>
      </w:pPr>
      <w:r w:rsidRPr="00661F0B">
        <w:rPr>
          <w:rFonts w:ascii="Verdana" w:eastAsia="Calibri" w:hAnsi="Verdana" w:cs="Arial"/>
        </w:rPr>
        <w:t xml:space="preserve">En el mismo sentido, el Consejo de Estado, en sentencia del 19 de septiembre de 2022 señalo que: </w:t>
      </w:r>
    </w:p>
    <w:p w14:paraId="1C7C9A84" w14:textId="77777777" w:rsidR="00FF169D" w:rsidRPr="00661F0B" w:rsidRDefault="00FF169D" w:rsidP="00FF169D">
      <w:pPr>
        <w:widowControl w:val="0"/>
        <w:autoSpaceDE w:val="0"/>
        <w:autoSpaceDN w:val="0"/>
        <w:spacing w:after="0" w:line="276" w:lineRule="auto"/>
        <w:ind w:firstLine="709"/>
        <w:jc w:val="both"/>
        <w:rPr>
          <w:rFonts w:ascii="Verdana" w:eastAsia="Calibri" w:hAnsi="Verdana" w:cs="Arial"/>
        </w:rPr>
      </w:pPr>
    </w:p>
    <w:p w14:paraId="73407B36" w14:textId="05DF943D" w:rsidR="00FF169D" w:rsidRPr="00661F0B" w:rsidRDefault="00FF169D" w:rsidP="00FF169D">
      <w:pPr>
        <w:widowControl w:val="0"/>
        <w:autoSpaceDE w:val="0"/>
        <w:autoSpaceDN w:val="0"/>
        <w:spacing w:after="0" w:line="240" w:lineRule="auto"/>
        <w:ind w:left="709" w:right="709"/>
        <w:jc w:val="both"/>
        <w:rPr>
          <w:rFonts w:ascii="Verdana" w:hAnsi="Verdana"/>
          <w:sz w:val="20"/>
          <w:szCs w:val="20"/>
        </w:rPr>
      </w:pPr>
      <w:r w:rsidRPr="00661F0B">
        <w:rPr>
          <w:rFonts w:ascii="Verdana" w:hAnsi="Verdana"/>
          <w:sz w:val="20"/>
          <w:szCs w:val="20"/>
        </w:rPr>
        <w:t>“[…] la referencia a las adiciones al contrato supone una modificación, en la que son agregados al objeto, elementos o metas físicas no previstas inicialmente por las partes, y que resultan indispensables para la consecución de los intereses inmersos en el negocio, sin que ello pueda derivar en la mutación del tipo de contrato. Bajo estos supuestos, las actas o acuerdos sobre mayores cantidades de obra en contratos celebrados a precios unitarios, en los que el valor indicado en el contrato supone apenas un estimativo de lo que será el precio final de la obra cuando esta concluya, no serían propiamente una adición sino una inyección de recursos presupuestales prevista para sortear las imprecisiones que haya podido tener la formulación inicial del precio. Por el contrario, en contratos pactados bajo la modalidad de precio global o alzado, el incremento del precio del contrato siempre supondrá la modificación del objeto contractual y, por lo tanto, adición, toda vez que en este escenario la estimación inicial del costo de la obra en su totalidad es vinculante a lo largo del acuerdo de voluntades como el precio determinado que el contratista percibirá como contraprestación por su labor.</w:t>
      </w:r>
    </w:p>
    <w:p w14:paraId="0BC3CED7" w14:textId="77777777" w:rsidR="00FF169D" w:rsidRPr="00661F0B" w:rsidRDefault="00FF169D" w:rsidP="00FF169D">
      <w:pPr>
        <w:widowControl w:val="0"/>
        <w:autoSpaceDE w:val="0"/>
        <w:autoSpaceDN w:val="0"/>
        <w:spacing w:after="0" w:line="240" w:lineRule="auto"/>
        <w:ind w:left="709" w:right="709"/>
        <w:jc w:val="both"/>
        <w:rPr>
          <w:rFonts w:ascii="Verdana" w:hAnsi="Verdana"/>
          <w:sz w:val="20"/>
          <w:szCs w:val="20"/>
        </w:rPr>
      </w:pPr>
    </w:p>
    <w:p w14:paraId="71E2CA45" w14:textId="77777777" w:rsidR="00FF169D" w:rsidRPr="00661F0B" w:rsidRDefault="00FF169D" w:rsidP="00FF169D">
      <w:pPr>
        <w:widowControl w:val="0"/>
        <w:autoSpaceDE w:val="0"/>
        <w:autoSpaceDN w:val="0"/>
        <w:spacing w:after="0" w:line="240" w:lineRule="auto"/>
        <w:ind w:left="709" w:right="709"/>
        <w:jc w:val="both"/>
        <w:rPr>
          <w:rFonts w:ascii="Verdana" w:eastAsia="Calibri" w:hAnsi="Verdana" w:cs="Arial"/>
          <w:sz w:val="20"/>
          <w:szCs w:val="20"/>
        </w:rPr>
      </w:pPr>
      <w:r w:rsidRPr="00661F0B">
        <w:rPr>
          <w:rFonts w:ascii="Verdana" w:hAnsi="Verdana"/>
          <w:sz w:val="20"/>
          <w:szCs w:val="20"/>
        </w:rPr>
        <w:t>En estas palabras lo ha dicho esta Sección: “La mayor cantidad de obra que resulte por encima del estimativo inicial en los contratos de obras celebrados a precios unitarios, no implica, en principio, en forma alguna, cambio de objeto ni cambio en su valor, porque en este tipo de contrato sólo podrá hablarse de este último cambio, cuando la modificación se hace en alguno o algunos de los precios unitarios convenidos. Sucede en esto algo diferente a lo que se observa en los contratos a precio alzado, en los que la variación en su valor tiene en cuenta el valor global del mismo”</w:t>
      </w:r>
      <w:r w:rsidRPr="00661F0B">
        <w:rPr>
          <w:rStyle w:val="Refdenotaalpie"/>
          <w:rFonts w:ascii="Verdana" w:hAnsi="Verdana"/>
          <w:sz w:val="20"/>
          <w:szCs w:val="20"/>
        </w:rPr>
        <w:footnoteReference w:id="24"/>
      </w:r>
    </w:p>
    <w:p w14:paraId="3A9C5A4A" w14:textId="78DC8753" w:rsidR="006E7B3F" w:rsidRPr="00661F0B" w:rsidRDefault="006E7B3F" w:rsidP="006E7B3F">
      <w:pPr>
        <w:widowControl w:val="0"/>
        <w:autoSpaceDE w:val="0"/>
        <w:autoSpaceDN w:val="0"/>
        <w:spacing w:after="0" w:line="276" w:lineRule="auto"/>
        <w:jc w:val="both"/>
        <w:rPr>
          <w:rFonts w:ascii="Verdana" w:eastAsia="Calibri" w:hAnsi="Verdana" w:cs="Arial"/>
        </w:rPr>
      </w:pPr>
    </w:p>
    <w:p w14:paraId="1B409337" w14:textId="77777777" w:rsidR="006E7B3F" w:rsidRPr="00236B36" w:rsidRDefault="006E7B3F" w:rsidP="006E7B3F">
      <w:pPr>
        <w:widowControl w:val="0"/>
        <w:autoSpaceDE w:val="0"/>
        <w:autoSpaceDN w:val="0"/>
        <w:spacing w:after="0" w:line="276" w:lineRule="auto"/>
        <w:ind w:firstLine="708"/>
        <w:jc w:val="both"/>
        <w:rPr>
          <w:rFonts w:ascii="Verdana" w:eastAsia="Calibri" w:hAnsi="Verdana" w:cs="Arial"/>
        </w:rPr>
      </w:pPr>
      <w:bookmarkStart w:id="4" w:name="_Hlk176963676"/>
      <w:r w:rsidRPr="00236B36">
        <w:rPr>
          <w:rFonts w:ascii="Verdana" w:eastAsia="Calibri" w:hAnsi="Verdana" w:cs="Arial"/>
        </w:rPr>
        <w:t>Esta postura ha sido acogida por la jurisprudencia reciente de la Sección Tercera del Consejo de Estado, instancia desde donde se ha explicado que:</w:t>
      </w:r>
    </w:p>
    <w:p w14:paraId="175C5FA7" w14:textId="77777777" w:rsidR="006E7B3F" w:rsidRPr="00236B36" w:rsidRDefault="006E7B3F" w:rsidP="006E7B3F">
      <w:pPr>
        <w:widowControl w:val="0"/>
        <w:autoSpaceDE w:val="0"/>
        <w:autoSpaceDN w:val="0"/>
        <w:spacing w:after="0" w:line="276" w:lineRule="auto"/>
        <w:ind w:firstLine="708"/>
        <w:jc w:val="both"/>
        <w:rPr>
          <w:rFonts w:ascii="Verdana" w:eastAsia="Calibri" w:hAnsi="Verdana" w:cs="Arial"/>
        </w:rPr>
      </w:pPr>
    </w:p>
    <w:p w14:paraId="4DCE45C3" w14:textId="77777777" w:rsidR="006E7B3F" w:rsidRPr="00236B36"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r w:rsidRPr="00236B36">
        <w:rPr>
          <w:rFonts w:ascii="Verdana" w:eastAsia="Calibri" w:hAnsi="Verdana" w:cs="Arial"/>
          <w:sz w:val="20"/>
          <w:szCs w:val="20"/>
        </w:rPr>
        <w:t xml:space="preserve">“[…] el valor del contrato en el sistema a precios unitarios es indicativo o estimativo, motivo por el cual el valor real dependerá de las cantidades que final y efectivamente sean ejecutadas, multiplicadas por los precios unitarios que hayan sido pactados. Por lo mismo, en principio, el </w:t>
      </w:r>
      <w:r w:rsidRPr="00236B36">
        <w:rPr>
          <w:rFonts w:ascii="Verdana" w:eastAsia="Calibri" w:hAnsi="Verdana" w:cs="Arial"/>
          <w:sz w:val="20"/>
          <w:szCs w:val="20"/>
        </w:rPr>
        <w:lastRenderedPageBreak/>
        <w:t xml:space="preserve">reconocimiento de las mayores cantidades de obra no es más que la aplicación de la forma de precio y pago estipuladas en el contrato, es decir, la implementación del procedimiento convenido por las partes para calcular el valor final del negocio jurídico: cantidades ejecutadas por valor de ítem acordado. </w:t>
      </w:r>
    </w:p>
    <w:p w14:paraId="7D57173D" w14:textId="77777777" w:rsidR="006E7B3F" w:rsidRPr="00236B36"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p>
    <w:p w14:paraId="1123715B" w14:textId="77777777" w:rsidR="006E7B3F" w:rsidRPr="00236B36"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r w:rsidRPr="00236B36">
        <w:rPr>
          <w:rFonts w:ascii="Verdana" w:eastAsia="Calibri" w:hAnsi="Verdana" w:cs="Arial"/>
          <w:sz w:val="20"/>
          <w:szCs w:val="20"/>
        </w:rPr>
        <w:t xml:space="preserve">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 </w:t>
      </w:r>
    </w:p>
    <w:p w14:paraId="17C05CA5" w14:textId="77777777" w:rsidR="006E7B3F" w:rsidRPr="00236B36"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p>
    <w:p w14:paraId="49AEDC57" w14:textId="77777777" w:rsidR="006E7B3F" w:rsidRPr="00661F0B"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r w:rsidRPr="00236B36">
        <w:rPr>
          <w:rFonts w:ascii="Verdana" w:eastAsia="Calibri" w:hAnsi="Verdana" w:cs="Arial"/>
          <w:sz w:val="20"/>
          <w:szCs w:val="20"/>
        </w:rPr>
        <w:t>A diferencia de lo que ocurre con los contratos a precio global, en los que el precio se delimita al margen de las cantidades que se ejecuten y de su valor unitario, en el sistema de precios unitarios el contratista no asume el riesgo de las mayores cantidades de obra, ni la entidad el de las menores, pues lo que deberá pagarse o cancelarse se desprenderá de lo que indiscutiblemente se haya ejecutado”</w:t>
      </w:r>
      <w:r w:rsidRPr="00236B36">
        <w:rPr>
          <w:rStyle w:val="Refdenotaalpie"/>
          <w:rFonts w:ascii="Verdana" w:eastAsia="Calibri" w:hAnsi="Verdana" w:cs="Arial"/>
          <w:sz w:val="20"/>
          <w:szCs w:val="20"/>
        </w:rPr>
        <w:footnoteReference w:id="25"/>
      </w:r>
      <w:r w:rsidRPr="00236B36">
        <w:rPr>
          <w:rFonts w:ascii="Verdana" w:eastAsia="Calibri" w:hAnsi="Verdana" w:cs="Arial"/>
          <w:sz w:val="20"/>
          <w:szCs w:val="20"/>
        </w:rPr>
        <w:t>.</w:t>
      </w:r>
    </w:p>
    <w:p w14:paraId="5447CA80" w14:textId="77777777" w:rsidR="006E7B3F" w:rsidRPr="00661F0B" w:rsidRDefault="006E7B3F" w:rsidP="00550F4E">
      <w:pPr>
        <w:widowControl w:val="0"/>
        <w:autoSpaceDE w:val="0"/>
        <w:autoSpaceDN w:val="0"/>
        <w:spacing w:after="0" w:line="276" w:lineRule="auto"/>
        <w:ind w:firstLine="709"/>
        <w:jc w:val="both"/>
        <w:rPr>
          <w:rFonts w:ascii="Verdana" w:eastAsia="Calibri" w:hAnsi="Verdana" w:cs="Arial"/>
        </w:rPr>
      </w:pPr>
    </w:p>
    <w:p w14:paraId="6130629F" w14:textId="6538206A" w:rsidR="006E7B3F" w:rsidRPr="00661F0B" w:rsidRDefault="006E7B3F" w:rsidP="006E7B3F">
      <w:pPr>
        <w:widowControl w:val="0"/>
        <w:autoSpaceDE w:val="0"/>
        <w:autoSpaceDN w:val="0"/>
        <w:spacing w:after="0" w:line="276" w:lineRule="auto"/>
        <w:ind w:firstLine="708"/>
        <w:jc w:val="both"/>
        <w:rPr>
          <w:rFonts w:ascii="Verdana" w:eastAsia="Calibri" w:hAnsi="Verdana" w:cs="Arial"/>
        </w:rPr>
      </w:pPr>
      <w:r w:rsidRPr="00661F0B">
        <w:rPr>
          <w:rFonts w:ascii="Verdana" w:eastAsia="Calibri" w:hAnsi="Verdana" w:cs="Arial"/>
        </w:rPr>
        <w:t xml:space="preserve">Con sustento en estas precisiones sobre la modalidad de pago por precios unitarios, la jurisprudencia de la Sección Tercera ha determinado que el límite a la adición de contratos estatales, previsto en el artículo 40 de la Ley 80 de 1993 no es aplicable a los contratos pactados con precios unitarios. </w:t>
      </w:r>
      <w:bookmarkEnd w:id="4"/>
      <w:r w:rsidRPr="00661F0B">
        <w:rPr>
          <w:rFonts w:ascii="Verdana" w:eastAsia="Calibri" w:hAnsi="Verdana" w:cs="Arial"/>
        </w:rPr>
        <w:t xml:space="preserve">Al respecto, se ha señalado que: </w:t>
      </w:r>
    </w:p>
    <w:p w14:paraId="18444A9A" w14:textId="77777777" w:rsidR="006E7B3F" w:rsidRPr="00661F0B" w:rsidRDefault="006E7B3F" w:rsidP="009A4862">
      <w:pPr>
        <w:widowControl w:val="0"/>
        <w:autoSpaceDE w:val="0"/>
        <w:autoSpaceDN w:val="0"/>
        <w:spacing w:after="0" w:line="276" w:lineRule="auto"/>
        <w:jc w:val="both"/>
        <w:rPr>
          <w:rFonts w:ascii="Verdana" w:eastAsia="Calibri" w:hAnsi="Verdana" w:cs="Arial"/>
        </w:rPr>
      </w:pPr>
    </w:p>
    <w:p w14:paraId="0EEEAB73" w14:textId="77777777" w:rsidR="006E7B3F" w:rsidRPr="00661F0B"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r w:rsidRPr="00661F0B">
        <w:rPr>
          <w:rFonts w:ascii="Verdana" w:eastAsia="Calibri" w:hAnsi="Verdana" w:cs="Arial"/>
          <w:sz w:val="20"/>
          <w:szCs w:val="20"/>
        </w:rPr>
        <w:t xml:space="preserve">“[..]se considera que le asiste razón al demandante en cuanto al argumento de que el límite de adiciones del artículo 40 de la Ley 80 de 1993 no es extensible al </w:t>
      </w:r>
      <w:proofErr w:type="gramStart"/>
      <w:r w:rsidRPr="00661F0B">
        <w:rPr>
          <w:rFonts w:ascii="Verdana" w:eastAsia="Calibri" w:hAnsi="Verdana" w:cs="Arial"/>
          <w:sz w:val="20"/>
          <w:szCs w:val="20"/>
        </w:rPr>
        <w:t>sub lite</w:t>
      </w:r>
      <w:proofErr w:type="gramEnd"/>
      <w:r w:rsidRPr="00661F0B">
        <w:rPr>
          <w:rFonts w:ascii="Verdana" w:eastAsia="Calibri" w:hAnsi="Verdana" w:cs="Arial"/>
          <w:sz w:val="20"/>
          <w:szCs w:val="20"/>
        </w:rPr>
        <w:t>, debido a que la reforma de los pavimentos hacía parte de la etapa de construcción y, al haberse pactado su pago en la modalidad de precios unitarios, el valor estipulado era estimativo y estaba sujeto a multiplicar las cantidades de obra ejecutadas por el precio de cada una de ellas”.</w:t>
      </w:r>
    </w:p>
    <w:p w14:paraId="75340269" w14:textId="77777777" w:rsidR="006E7B3F" w:rsidRPr="00661F0B" w:rsidRDefault="006E7B3F" w:rsidP="006E7B3F">
      <w:pPr>
        <w:widowControl w:val="0"/>
        <w:autoSpaceDE w:val="0"/>
        <w:autoSpaceDN w:val="0"/>
        <w:spacing w:after="0" w:line="240" w:lineRule="auto"/>
        <w:jc w:val="both"/>
        <w:rPr>
          <w:rFonts w:ascii="Verdana" w:eastAsia="Calibri" w:hAnsi="Verdana" w:cs="Arial"/>
        </w:rPr>
      </w:pPr>
    </w:p>
    <w:p w14:paraId="674D79B7" w14:textId="7721E1ED" w:rsidR="006E7B3F" w:rsidRPr="00661F0B" w:rsidRDefault="006E7B3F" w:rsidP="006E7B3F">
      <w:pPr>
        <w:widowControl w:val="0"/>
        <w:autoSpaceDE w:val="0"/>
        <w:autoSpaceDN w:val="0"/>
        <w:spacing w:after="0" w:line="240" w:lineRule="auto"/>
        <w:ind w:left="709" w:right="709"/>
        <w:jc w:val="both"/>
        <w:rPr>
          <w:rFonts w:ascii="Verdana" w:eastAsia="Calibri" w:hAnsi="Verdana" w:cs="Arial"/>
          <w:sz w:val="20"/>
          <w:szCs w:val="20"/>
        </w:rPr>
      </w:pPr>
      <w:r w:rsidRPr="00661F0B">
        <w:rPr>
          <w:rFonts w:ascii="Verdana" w:eastAsia="Calibri" w:hAnsi="Verdana" w:cs="Arial"/>
          <w:sz w:val="20"/>
          <w:szCs w:val="20"/>
        </w:rPr>
        <w:t>Sobre el particular, esta Corporación ha considerado que el límite de adiciones de que trata el artículo 40 de la Ley 80 de 1993, en virtud del cual no es posible</w:t>
      </w:r>
      <w:r w:rsidRPr="00661F0B">
        <w:rPr>
          <w:rFonts w:ascii="Verdana" w:hAnsi="Verdana"/>
          <w:sz w:val="20"/>
          <w:szCs w:val="20"/>
        </w:rPr>
        <w:t xml:space="preserve"> </w:t>
      </w:r>
      <w:r w:rsidRPr="00661F0B">
        <w:rPr>
          <w:rFonts w:ascii="Verdana" w:eastAsia="Calibri" w:hAnsi="Verdana" w:cs="Arial"/>
          <w:sz w:val="20"/>
          <w:szCs w:val="20"/>
        </w:rPr>
        <w:t xml:space="preserve">incrementar el valor del contrato en más de un 50%, es aplicable a acuerdos de voluntades sometidos al pago como precio global, pues en esos casos la suma que se fija desde un inicio es definitiva para los sujetos negociales, mientras que en los contratos cuyo pago es a precios unitarios no es aplicable, dado que el valor del negocio jurídico es provisional y el valor definitivo se determina al finalizarse el objeto </w:t>
      </w:r>
      <w:r w:rsidRPr="00661F0B">
        <w:rPr>
          <w:rFonts w:ascii="Verdana" w:eastAsia="Calibri" w:hAnsi="Verdana" w:cs="Arial"/>
          <w:sz w:val="20"/>
          <w:szCs w:val="20"/>
        </w:rPr>
        <w:lastRenderedPageBreak/>
        <w:t>contractual</w:t>
      </w:r>
      <w:r w:rsidR="00402CEF">
        <w:rPr>
          <w:rFonts w:ascii="Verdana" w:eastAsia="Calibri" w:hAnsi="Verdana" w:cs="Arial"/>
          <w:sz w:val="20"/>
          <w:szCs w:val="20"/>
        </w:rPr>
        <w:t>”</w:t>
      </w:r>
      <w:r w:rsidRPr="00661F0B">
        <w:rPr>
          <w:rStyle w:val="Refdenotaalpie"/>
          <w:rFonts w:ascii="Verdana" w:eastAsia="Calibri" w:hAnsi="Verdana" w:cs="Arial"/>
          <w:sz w:val="20"/>
          <w:szCs w:val="20"/>
        </w:rPr>
        <w:footnoteReference w:id="26"/>
      </w:r>
      <w:r w:rsidR="00402CEF" w:rsidRPr="00236B36">
        <w:rPr>
          <w:rFonts w:ascii="Verdana" w:eastAsia="Calibri" w:hAnsi="Verdana" w:cs="Arial"/>
          <w:sz w:val="20"/>
          <w:szCs w:val="20"/>
          <w:vertAlign w:val="superscript"/>
        </w:rPr>
        <w:t>-</w:t>
      </w:r>
      <w:r w:rsidRPr="00661F0B">
        <w:rPr>
          <w:rStyle w:val="Refdenotaalpie"/>
          <w:rFonts w:ascii="Verdana" w:eastAsia="Calibri" w:hAnsi="Verdana" w:cs="Arial"/>
          <w:sz w:val="20"/>
          <w:szCs w:val="20"/>
        </w:rPr>
        <w:footnoteReference w:id="27"/>
      </w:r>
      <w:r w:rsidRPr="00661F0B">
        <w:rPr>
          <w:rFonts w:ascii="Verdana" w:eastAsia="Calibri" w:hAnsi="Verdana" w:cs="Arial"/>
          <w:sz w:val="20"/>
          <w:szCs w:val="20"/>
        </w:rPr>
        <w:t>.</w:t>
      </w:r>
    </w:p>
    <w:p w14:paraId="22436030" w14:textId="77777777" w:rsidR="006E7B3F" w:rsidRPr="00661F0B" w:rsidRDefault="006E7B3F" w:rsidP="006E7B3F">
      <w:pPr>
        <w:widowControl w:val="0"/>
        <w:autoSpaceDE w:val="0"/>
        <w:autoSpaceDN w:val="0"/>
        <w:spacing w:after="0" w:line="276" w:lineRule="auto"/>
        <w:ind w:left="709" w:right="709"/>
        <w:jc w:val="both"/>
        <w:rPr>
          <w:rFonts w:ascii="Verdana" w:eastAsia="Calibri" w:hAnsi="Verdana" w:cs="Arial"/>
        </w:rPr>
      </w:pPr>
    </w:p>
    <w:p w14:paraId="0DCDCAD6" w14:textId="21BC2E8C" w:rsidR="006E7B3F" w:rsidRPr="00661F0B" w:rsidRDefault="006E7B3F" w:rsidP="00781B0D">
      <w:pPr>
        <w:widowControl w:val="0"/>
        <w:autoSpaceDE w:val="0"/>
        <w:autoSpaceDN w:val="0"/>
        <w:spacing w:after="120" w:line="276" w:lineRule="auto"/>
        <w:jc w:val="both"/>
        <w:rPr>
          <w:rFonts w:ascii="Verdana" w:eastAsia="Calibri" w:hAnsi="Verdana" w:cs="Arial"/>
        </w:rPr>
      </w:pPr>
      <w:r w:rsidRPr="00661F0B">
        <w:rPr>
          <w:rFonts w:ascii="Verdana" w:eastAsia="Calibri" w:hAnsi="Verdana" w:cs="Arial"/>
        </w:rPr>
        <w:tab/>
        <w:t xml:space="preserve">Visto el desarrollo jurisprudencial del tema, si bien, no </w:t>
      </w:r>
      <w:r w:rsidR="0086579A" w:rsidRPr="00661F0B">
        <w:rPr>
          <w:rFonts w:ascii="Verdana" w:eastAsia="Calibri" w:hAnsi="Verdana" w:cs="Arial"/>
        </w:rPr>
        <w:t>se evidencia</w:t>
      </w:r>
      <w:r w:rsidRPr="00661F0B">
        <w:rPr>
          <w:rFonts w:ascii="Verdana" w:eastAsia="Calibri" w:hAnsi="Verdana" w:cs="Arial"/>
        </w:rPr>
        <w:t xml:space="preserve">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w:t>
      </w:r>
      <w:r w:rsidR="007532E8" w:rsidRPr="00661F0B">
        <w:rPr>
          <w:rFonts w:ascii="Verdana" w:eastAsia="Calibri" w:hAnsi="Verdana" w:cs="Arial"/>
        </w:rPr>
        <w:t>cincuenta por ciento (</w:t>
      </w:r>
      <w:r w:rsidRPr="00661F0B">
        <w:rPr>
          <w:rFonts w:ascii="Verdana" w:eastAsia="Calibri" w:hAnsi="Verdana" w:cs="Arial"/>
        </w:rPr>
        <w:t>50%</w:t>
      </w:r>
      <w:r w:rsidR="007532E8" w:rsidRPr="00661F0B">
        <w:rPr>
          <w:rFonts w:ascii="Verdana" w:eastAsia="Calibri" w:hAnsi="Verdana" w:cs="Arial"/>
        </w:rPr>
        <w:t>)</w:t>
      </w:r>
      <w:r w:rsidRPr="00661F0B">
        <w:rPr>
          <w:rFonts w:ascii="Verdana" w:eastAsia="Calibri" w:hAnsi="Verdana" w:cs="Arial"/>
        </w:rPr>
        <w:t xml:space="preserve"> del valor estimado al inicio de la ejecución, siempre que hayan sido autorizadas por la entidad contratante. En atención a esto, esta Subdirección acoge la postura asumida por la Sentencia del 24 de abril de 2024,  y abandona la expuesta en los conceptos </w:t>
      </w:r>
      <w:r w:rsidRPr="00661F0B">
        <w:rPr>
          <w:rFonts w:ascii="Verdana" w:hAnsi="Verdana" w:cs="Arial"/>
          <w:szCs w:val="24"/>
          <w:lang w:eastAsia="es-ES_tradnl"/>
        </w:rPr>
        <w:t>C-062 del 25 de marzo de 2020, C-100 del 27 de marzo de 2020, C-318 del 28 de mayo de 2020, C–452 del 28 de julio de 2020,</w:t>
      </w:r>
      <w:r w:rsidRPr="00661F0B">
        <w:rPr>
          <w:rFonts w:ascii="Verdana" w:hAnsi="Verdana" w:cs="Arial"/>
          <w:bCs/>
          <w:szCs w:val="24"/>
          <w:lang w:eastAsia="es-ES_tradnl"/>
        </w:rPr>
        <w:t xml:space="preserve"> C-560 del 24 de agosto de 2020, C-628 del 23 de septiembre del 2020,</w:t>
      </w:r>
      <w:r w:rsidRPr="00661F0B">
        <w:rPr>
          <w:rFonts w:ascii="Verdana" w:hAnsi="Verdana" w:cs="Arial"/>
          <w:szCs w:val="24"/>
          <w:lang w:eastAsia="es-ES_tradnl"/>
        </w:rPr>
        <w:t xml:space="preserve"> C-750 del 21 de diciembre de 2020,</w:t>
      </w:r>
      <w:r w:rsidRPr="00661F0B">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C-784 del 21 de noviembre de 2022, entre otros. </w:t>
      </w:r>
      <w:r w:rsidRPr="00661F0B">
        <w:rPr>
          <w:rFonts w:ascii="Verdana" w:hAnsi="Verdana" w:cs="Arial"/>
          <w:szCs w:val="24"/>
          <w:lang w:eastAsia="es-ES_tradnl"/>
        </w:rPr>
        <w:t xml:space="preserve"> </w:t>
      </w:r>
      <w:r w:rsidRPr="00661F0B">
        <w:rPr>
          <w:rFonts w:ascii="Verdana" w:eastAsia="Calibri" w:hAnsi="Verdana" w:cs="Arial"/>
        </w:rPr>
        <w:t xml:space="preserve">  </w:t>
      </w:r>
      <w:r w:rsidRPr="00661F0B">
        <w:rPr>
          <w:rFonts w:ascii="Verdana" w:eastAsia="Calibri" w:hAnsi="Verdana" w:cs="Arial"/>
        </w:rPr>
        <w:tab/>
      </w:r>
      <w:bookmarkStart w:id="6" w:name="_Hlk176963691"/>
    </w:p>
    <w:p w14:paraId="7F0B908C" w14:textId="1970EE97" w:rsidR="00FE0C7C" w:rsidRPr="00236B36" w:rsidRDefault="00110352" w:rsidP="00781B0D">
      <w:pPr>
        <w:widowControl w:val="0"/>
        <w:autoSpaceDE w:val="0"/>
        <w:autoSpaceDN w:val="0"/>
        <w:spacing w:after="120" w:line="276" w:lineRule="auto"/>
        <w:jc w:val="both"/>
        <w:rPr>
          <w:rFonts w:ascii="Verdana" w:hAnsi="Verdana"/>
        </w:rPr>
      </w:pPr>
      <w:r w:rsidRPr="00661F0B">
        <w:rPr>
          <w:rFonts w:ascii="Verdana" w:eastAsia="Calibri" w:hAnsi="Verdana" w:cs="Arial"/>
          <w:i/>
          <w:iCs/>
        </w:rPr>
        <w:tab/>
      </w:r>
      <w:r w:rsidR="000922FD" w:rsidRPr="00236B36">
        <w:rPr>
          <w:rFonts w:ascii="Verdana" w:eastAsia="Calibri" w:hAnsi="Verdana" w:cs="Arial"/>
        </w:rPr>
        <w:t>En consideraci</w:t>
      </w:r>
      <w:r w:rsidR="004B70E2" w:rsidRPr="00236B36">
        <w:rPr>
          <w:rFonts w:ascii="Verdana" w:eastAsia="Calibri" w:hAnsi="Verdana" w:cs="Arial"/>
        </w:rPr>
        <w:t xml:space="preserve">ón, </w:t>
      </w:r>
      <w:r w:rsidR="00104705" w:rsidRPr="00236B36">
        <w:rPr>
          <w:rFonts w:ascii="Verdana" w:eastAsia="Calibri" w:hAnsi="Verdana" w:cs="Arial"/>
        </w:rPr>
        <w:t xml:space="preserve">podemos entonces concluir </w:t>
      </w:r>
      <w:r w:rsidR="001A4E3F" w:rsidRPr="00236B36">
        <w:rPr>
          <w:rFonts w:ascii="Verdana" w:eastAsia="Calibri" w:hAnsi="Verdana" w:cs="Arial"/>
        </w:rPr>
        <w:t>que,</w:t>
      </w:r>
      <w:r w:rsidR="0091782E" w:rsidRPr="00236B36">
        <w:rPr>
          <w:rFonts w:ascii="Verdana" w:hAnsi="Verdana"/>
        </w:rPr>
        <w:t xml:space="preserve"> en los contratos de obra suscritos a precios unitarios, la mayor cantidad de obra ejecutada consiste en </w:t>
      </w:r>
      <w:r w:rsidR="00B86307" w:rsidRPr="00236B36">
        <w:rPr>
          <w:rFonts w:ascii="Verdana" w:hAnsi="Verdana"/>
        </w:rPr>
        <w:t>a</w:t>
      </w:r>
      <w:r w:rsidR="0091782E" w:rsidRPr="00236B36">
        <w:rPr>
          <w:rFonts w:ascii="Verdana" w:hAnsi="Verdana"/>
        </w:rPr>
        <w:t>quella</w:t>
      </w:r>
      <w:r w:rsidR="00B86307" w:rsidRPr="00236B36">
        <w:rPr>
          <w:rFonts w:ascii="Verdana" w:hAnsi="Verdana"/>
        </w:rPr>
        <w:t xml:space="preserve"> que</w:t>
      </w:r>
      <w:r w:rsidR="0091782E" w:rsidRPr="00236B36">
        <w:rPr>
          <w:rFonts w:ascii="Verdana" w:hAnsi="Verdana"/>
        </w:rPr>
        <w:t xml:space="preserve"> fue contratada pero que su estimativo inicial fue sobrepasado durante la ejecución del contrato. La</w:t>
      </w:r>
      <w:r w:rsidR="001A4E3F" w:rsidRPr="00236B36">
        <w:rPr>
          <w:rFonts w:ascii="Verdana" w:hAnsi="Verdana"/>
        </w:rPr>
        <w:t xml:space="preserve"> mayor cantidad de obra por encima del</w:t>
      </w:r>
      <w:r w:rsidR="00BE05A0" w:rsidRPr="00236B36">
        <w:rPr>
          <w:rFonts w:ascii="Verdana" w:hAnsi="Verdana"/>
        </w:rPr>
        <w:t xml:space="preserve"> valor</w:t>
      </w:r>
      <w:r w:rsidR="001A4E3F" w:rsidRPr="00236B36">
        <w:rPr>
          <w:rFonts w:ascii="Verdana" w:hAnsi="Verdana"/>
        </w:rPr>
        <w:t xml:space="preserve"> estimativo inicial en los contratos a precios unitarios no implica en forma alguna </w:t>
      </w:r>
      <w:r w:rsidR="00FC4059" w:rsidRPr="00236B36">
        <w:rPr>
          <w:rFonts w:ascii="Verdana" w:hAnsi="Verdana"/>
        </w:rPr>
        <w:t xml:space="preserve">un </w:t>
      </w:r>
      <w:r w:rsidR="001A4E3F" w:rsidRPr="00236B36">
        <w:rPr>
          <w:rFonts w:ascii="Verdana" w:hAnsi="Verdana"/>
        </w:rPr>
        <w:t>cambio de objeto</w:t>
      </w:r>
      <w:r w:rsidR="00FC4059" w:rsidRPr="00236B36">
        <w:rPr>
          <w:rFonts w:ascii="Verdana" w:hAnsi="Verdana"/>
        </w:rPr>
        <w:t xml:space="preserve"> o</w:t>
      </w:r>
      <w:r w:rsidR="001A4E3F" w:rsidRPr="00236B36">
        <w:rPr>
          <w:rFonts w:ascii="Verdana" w:hAnsi="Verdana"/>
        </w:rPr>
        <w:t xml:space="preserve"> en su valor. Por tal razón, </w:t>
      </w:r>
      <w:r w:rsidR="00A318DD" w:rsidRPr="00236B36">
        <w:rPr>
          <w:rFonts w:ascii="Verdana" w:hAnsi="Verdana"/>
        </w:rPr>
        <w:t>el reconocimiento de mayores cantidades de obra, previamente autorizadas y recibidas por la entidad contratante, realmente no se está adicionando el contrato, sino procediendo, conforme a lo previsto en el mismo</w:t>
      </w:r>
      <w:r w:rsidR="00EA4361" w:rsidRPr="00236B36">
        <w:rPr>
          <w:rFonts w:ascii="Verdana" w:hAnsi="Verdana"/>
        </w:rPr>
        <w:t>. E</w:t>
      </w:r>
      <w:r w:rsidR="00A318DD" w:rsidRPr="00236B36">
        <w:rPr>
          <w:rFonts w:ascii="Verdana" w:hAnsi="Verdana"/>
        </w:rPr>
        <w:t xml:space="preserve">n consecuencia, </w:t>
      </w:r>
      <w:r w:rsidR="001A4E3F" w:rsidRPr="00236B36">
        <w:rPr>
          <w:rFonts w:ascii="Verdana" w:hAnsi="Verdana"/>
        </w:rPr>
        <w:t xml:space="preserve">las cantidades de obra que resulten de las mediciones de los ítems de obra pertinentes no requiere </w:t>
      </w:r>
      <w:r w:rsidR="001A4E3F" w:rsidRPr="00236B36">
        <w:rPr>
          <w:rFonts w:ascii="Verdana" w:hAnsi="Verdana"/>
        </w:rPr>
        <w:lastRenderedPageBreak/>
        <w:t>contrato adicional</w:t>
      </w:r>
      <w:r w:rsidR="00EA4177" w:rsidRPr="00236B36">
        <w:rPr>
          <w:rFonts w:ascii="Verdana" w:hAnsi="Verdana"/>
        </w:rPr>
        <w:t xml:space="preserve"> y, </w:t>
      </w:r>
      <w:r w:rsidR="00EA4361" w:rsidRPr="00236B36">
        <w:rPr>
          <w:rFonts w:ascii="Verdana" w:hAnsi="Verdana"/>
        </w:rPr>
        <w:t>por tanto</w:t>
      </w:r>
      <w:r w:rsidR="00EA4177" w:rsidRPr="00236B36">
        <w:rPr>
          <w:rFonts w:ascii="Verdana" w:hAnsi="Verdana"/>
        </w:rPr>
        <w:t xml:space="preserve">, no les aplica el límite </w:t>
      </w:r>
      <w:r w:rsidR="00356719" w:rsidRPr="00236B36">
        <w:rPr>
          <w:rFonts w:ascii="Verdana" w:hAnsi="Verdana"/>
        </w:rPr>
        <w:t>cuantitativo establecido en el artículo 40 de la Ley 80 de 1993</w:t>
      </w:r>
      <w:r w:rsidR="001A4E3F" w:rsidRPr="00236B36">
        <w:rPr>
          <w:rFonts w:ascii="Verdana" w:hAnsi="Verdana"/>
        </w:rPr>
        <w:t xml:space="preserve">. </w:t>
      </w:r>
      <w:r w:rsidR="00BD32C0" w:rsidRPr="00236B36">
        <w:rPr>
          <w:rFonts w:ascii="Verdana" w:hAnsi="Verdana"/>
        </w:rPr>
        <w:t>En este contexto, para el reconocimiento de mayores cantidades de obra u obras adicionales o complementarias, las mismas deben haber sido previamente autorizadas y recibidas a satisfacción por la entidad contratante</w:t>
      </w:r>
      <w:r w:rsidR="00974260" w:rsidRPr="00236B36">
        <w:rPr>
          <w:rStyle w:val="Refdenotaalpie"/>
          <w:rFonts w:ascii="Verdana" w:hAnsi="Verdana"/>
        </w:rPr>
        <w:footnoteReference w:id="28"/>
      </w:r>
      <w:r w:rsidR="00974260" w:rsidRPr="00236B36">
        <w:rPr>
          <w:rFonts w:ascii="Verdana" w:hAnsi="Verdana"/>
        </w:rPr>
        <w:t>.</w:t>
      </w:r>
    </w:p>
    <w:p w14:paraId="0A03AD1B" w14:textId="4DF48F91" w:rsidR="00FE0C7C" w:rsidRPr="00661F0B" w:rsidRDefault="006019E4" w:rsidP="00781B0D">
      <w:pPr>
        <w:widowControl w:val="0"/>
        <w:autoSpaceDE w:val="0"/>
        <w:autoSpaceDN w:val="0"/>
        <w:spacing w:after="120" w:line="276" w:lineRule="auto"/>
        <w:ind w:firstLine="708"/>
        <w:jc w:val="both"/>
        <w:rPr>
          <w:rFonts w:ascii="Verdana" w:hAnsi="Verdana"/>
        </w:rPr>
      </w:pPr>
      <w:r w:rsidRPr="00236B36">
        <w:rPr>
          <w:rFonts w:ascii="Verdana" w:hAnsi="Verdana"/>
        </w:rPr>
        <w:t xml:space="preserve">Por el contrario, </w:t>
      </w:r>
      <w:r w:rsidR="00BD32C0" w:rsidRPr="00236B36">
        <w:rPr>
          <w:rFonts w:ascii="Verdana" w:hAnsi="Verdana"/>
        </w:rPr>
        <w:t>l</w:t>
      </w:r>
      <w:r w:rsidR="007E1DA3" w:rsidRPr="00236B36">
        <w:rPr>
          <w:rFonts w:ascii="Verdana" w:hAnsi="Verdana"/>
        </w:rPr>
        <w:t>as adiciones</w:t>
      </w:r>
      <w:r w:rsidR="00B855A3" w:rsidRPr="00236B36">
        <w:rPr>
          <w:rFonts w:ascii="Verdana" w:hAnsi="Verdana"/>
        </w:rPr>
        <w:t xml:space="preserve"> </w:t>
      </w:r>
      <w:r w:rsidR="00C340F6" w:rsidRPr="00236B36">
        <w:rPr>
          <w:rFonts w:ascii="Verdana" w:hAnsi="Verdana"/>
        </w:rPr>
        <w:t>hace</w:t>
      </w:r>
      <w:r w:rsidR="00B855A3" w:rsidRPr="00236B36">
        <w:rPr>
          <w:rFonts w:ascii="Verdana" w:hAnsi="Verdana"/>
        </w:rPr>
        <w:t>n</w:t>
      </w:r>
      <w:r w:rsidR="00C340F6" w:rsidRPr="00236B36">
        <w:rPr>
          <w:rFonts w:ascii="Verdana" w:hAnsi="Verdana"/>
        </w:rPr>
        <w:t xml:space="preserve"> referencia</w:t>
      </w:r>
      <w:r w:rsidR="00B855A3" w:rsidRPr="00236B36">
        <w:rPr>
          <w:rFonts w:ascii="Verdana" w:hAnsi="Verdana"/>
        </w:rPr>
        <w:t xml:space="preserve"> a aumentos en el valor del contrato relacionadas</w:t>
      </w:r>
      <w:r w:rsidR="00C340F6" w:rsidRPr="00236B36">
        <w:rPr>
          <w:rFonts w:ascii="Verdana" w:hAnsi="Verdana"/>
        </w:rPr>
        <w:t xml:space="preserve"> </w:t>
      </w:r>
      <w:r w:rsidR="00B855A3" w:rsidRPr="00236B36">
        <w:rPr>
          <w:rFonts w:ascii="Verdana" w:hAnsi="Verdana"/>
        </w:rPr>
        <w:t>con</w:t>
      </w:r>
      <w:r w:rsidR="00C340F6" w:rsidRPr="00236B36">
        <w:rPr>
          <w:rFonts w:ascii="Verdana" w:hAnsi="Verdana"/>
        </w:rPr>
        <w:t xml:space="preserve"> ítems o actividades no contempladas o previstas dentro del contrato que requieren ser ejecutadas para la obtención y cumplimiento del objeto contractual, por tal motivo, para su reconocimiento se requiere de la suscripción de un contrato adicional o modificatorio del contrato inicial.</w:t>
      </w:r>
      <w:r w:rsidR="00F44A6F" w:rsidRPr="00236B36">
        <w:rPr>
          <w:rFonts w:ascii="Verdana" w:hAnsi="Verdana"/>
        </w:rPr>
        <w:t xml:space="preserve"> </w:t>
      </w:r>
      <w:r w:rsidR="007F7C27" w:rsidRPr="00236B36">
        <w:rPr>
          <w:rFonts w:ascii="Verdana" w:hAnsi="Verdana"/>
        </w:rPr>
        <w:t>En ese sentido</w:t>
      </w:r>
      <w:r w:rsidR="00FE0C7C" w:rsidRPr="00236B36">
        <w:rPr>
          <w:rFonts w:ascii="Verdana" w:hAnsi="Verdana"/>
        </w:rPr>
        <w:t xml:space="preserve">, comoquiera que esta obra implica modificación al </w:t>
      </w:r>
      <w:r w:rsidR="00877D6F" w:rsidRPr="00236B36">
        <w:rPr>
          <w:rFonts w:ascii="Verdana" w:hAnsi="Verdana"/>
        </w:rPr>
        <w:t>contrato</w:t>
      </w:r>
      <w:r w:rsidR="00FE0C7C" w:rsidRPr="00236B36">
        <w:rPr>
          <w:rFonts w:ascii="Verdana" w:hAnsi="Verdana"/>
        </w:rPr>
        <w:t>, será necesario, en forma previa, el perfeccionamiento</w:t>
      </w:r>
      <w:r w:rsidR="00503869" w:rsidRPr="00236B36">
        <w:rPr>
          <w:rFonts w:ascii="Verdana" w:hAnsi="Verdana"/>
        </w:rPr>
        <w:t xml:space="preserve"> de</w:t>
      </w:r>
      <w:r w:rsidR="0038082D" w:rsidRPr="00236B36">
        <w:rPr>
          <w:rFonts w:ascii="Verdana" w:hAnsi="Verdana"/>
        </w:rPr>
        <w:t xml:space="preserve"> </w:t>
      </w:r>
      <w:r w:rsidR="00F0553E" w:rsidRPr="00236B36">
        <w:rPr>
          <w:rFonts w:ascii="Verdana" w:hAnsi="Verdana"/>
        </w:rPr>
        <w:t>contrato adicional o modific</w:t>
      </w:r>
      <w:r w:rsidR="00AD3A34" w:rsidRPr="00236B36">
        <w:rPr>
          <w:rFonts w:ascii="Verdana" w:hAnsi="Verdana"/>
        </w:rPr>
        <w:t>atorio</w:t>
      </w:r>
      <w:r w:rsidR="00FE0C7C" w:rsidRPr="00236B36">
        <w:rPr>
          <w:rFonts w:ascii="Verdana" w:hAnsi="Verdana"/>
        </w:rPr>
        <w:t xml:space="preserve">. En este caso, </w:t>
      </w:r>
      <w:r w:rsidR="00AD3A34" w:rsidRPr="00236B36">
        <w:rPr>
          <w:rFonts w:ascii="Verdana" w:hAnsi="Verdana"/>
        </w:rPr>
        <w:t xml:space="preserve">si se torna </w:t>
      </w:r>
      <w:r w:rsidR="00FE0C7C" w:rsidRPr="00236B36">
        <w:rPr>
          <w:rFonts w:ascii="Verdana" w:hAnsi="Verdana"/>
        </w:rPr>
        <w:t xml:space="preserve">aplicable el límite establecido en el parágrafo del artículo 40 de la Ley 80 de 1993, lo cual indica que </w:t>
      </w:r>
      <w:r w:rsidR="00DE6C42" w:rsidRPr="00236B36">
        <w:rPr>
          <w:rFonts w:ascii="Verdana" w:hAnsi="Verdana"/>
        </w:rPr>
        <w:t>estos</w:t>
      </w:r>
      <w:r w:rsidR="00FE0C7C" w:rsidRPr="00236B36">
        <w:rPr>
          <w:rFonts w:ascii="Verdana" w:hAnsi="Verdana"/>
        </w:rPr>
        <w:t xml:space="preserve"> negocios jurídicos no podrán adicionarse en más del cincuenta por ciento (50%) de su valor inicial, expresado en salarios mínimos legales mensuales</w:t>
      </w:r>
      <w:r w:rsidR="00DE6C42" w:rsidRPr="00236B36">
        <w:rPr>
          <w:rFonts w:ascii="Verdana" w:hAnsi="Verdana"/>
        </w:rPr>
        <w:t>.</w:t>
      </w:r>
    </w:p>
    <w:p w14:paraId="512BD4AD" w14:textId="3A348498" w:rsidR="000E1281" w:rsidRPr="00236B36" w:rsidRDefault="006E7B3F" w:rsidP="00781B0D">
      <w:pPr>
        <w:widowControl w:val="0"/>
        <w:autoSpaceDE w:val="0"/>
        <w:autoSpaceDN w:val="0"/>
        <w:spacing w:after="120" w:line="276" w:lineRule="auto"/>
        <w:ind w:firstLine="708"/>
        <w:jc w:val="both"/>
        <w:rPr>
          <w:rFonts w:ascii="Verdana" w:hAnsi="Verdana"/>
        </w:rPr>
      </w:pPr>
      <w:r w:rsidRPr="00236B36">
        <w:rPr>
          <w:rFonts w:ascii="Verdana" w:eastAsia="Calibri" w:hAnsi="Verdana" w:cs="Arial"/>
        </w:rPr>
        <w:t xml:space="preserve">Sin perjuicio de lo </w:t>
      </w:r>
      <w:r w:rsidR="00FE0C7C" w:rsidRPr="00236B36">
        <w:rPr>
          <w:rFonts w:ascii="Verdana" w:eastAsia="Calibri" w:hAnsi="Verdana" w:cs="Arial"/>
        </w:rPr>
        <w:t>expuesto</w:t>
      </w:r>
      <w:r w:rsidRPr="00236B36">
        <w:rPr>
          <w:rFonts w:ascii="Verdana" w:eastAsia="Calibri" w:hAnsi="Verdana" w:cs="Arial"/>
        </w:rPr>
        <w:t xml:space="preserve">, </w:t>
      </w:r>
      <w:r w:rsidR="004A0796" w:rsidRPr="00236B36">
        <w:rPr>
          <w:rFonts w:ascii="Verdana" w:hAnsi="Verdana"/>
        </w:rPr>
        <w:t>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w:t>
      </w:r>
      <w:r w:rsidR="00335029" w:rsidRPr="00236B36">
        <w:rPr>
          <w:rFonts w:ascii="Verdana" w:hAnsi="Verdana"/>
        </w:rPr>
        <w:t>,</w:t>
      </w:r>
      <w:r w:rsidR="004A0796" w:rsidRPr="00236B36">
        <w:rPr>
          <w:rFonts w:ascii="Verdana" w:hAnsi="Verdana"/>
        </w:rPr>
        <w:t xml:space="preserve"> y de la doctrina comparada, los que han permitido estructurar los límites y requisitos de orden temporal, formal</w:t>
      </w:r>
      <w:r w:rsidR="00E80AB2">
        <w:rPr>
          <w:rFonts w:ascii="Verdana" w:hAnsi="Verdana"/>
        </w:rPr>
        <w:t>,</w:t>
      </w:r>
      <w:r w:rsidR="004A0796" w:rsidRPr="00236B36">
        <w:rPr>
          <w:rFonts w:ascii="Verdana" w:hAnsi="Verdana"/>
        </w:rPr>
        <w:t xml:space="preserve"> material</w:t>
      </w:r>
      <w:r w:rsidR="00E80AB2">
        <w:rPr>
          <w:rFonts w:ascii="Verdana" w:hAnsi="Verdana"/>
        </w:rPr>
        <w:t xml:space="preserve"> y axiológico</w:t>
      </w:r>
      <w:r w:rsidR="004A0796" w:rsidRPr="00236B36">
        <w:rPr>
          <w:rFonts w:ascii="Verdana" w:hAnsi="Verdana"/>
        </w:rPr>
        <w:t xml:space="preserve"> para la modificación de un contrato estatal. Estos </w:t>
      </w:r>
      <w:r w:rsidR="0055655C" w:rsidRPr="00236B36">
        <w:rPr>
          <w:rFonts w:ascii="Verdana" w:hAnsi="Verdana"/>
        </w:rPr>
        <w:t xml:space="preserve">límites </w:t>
      </w:r>
      <w:r w:rsidR="004A0796" w:rsidRPr="00236B36">
        <w:rPr>
          <w:rFonts w:ascii="Verdana" w:hAnsi="Verdana"/>
        </w:rPr>
        <w:t>deben ser respetados por la entidad contratante a preservar los principios de origen legal como es el principio de planeación</w:t>
      </w:r>
      <w:r w:rsidR="0055655C" w:rsidRPr="00236B36">
        <w:rPr>
          <w:rFonts w:ascii="Verdana" w:hAnsi="Verdana"/>
        </w:rPr>
        <w:t xml:space="preserve">, </w:t>
      </w:r>
      <w:r w:rsidR="004A0796" w:rsidRPr="00236B36">
        <w:rPr>
          <w:rFonts w:ascii="Verdana" w:hAnsi="Verdana"/>
        </w:rPr>
        <w:t>de selección objetiva de libertad de concurrencia, de transparencia</w:t>
      </w:r>
      <w:r w:rsidR="0055655C" w:rsidRPr="00236B36">
        <w:rPr>
          <w:rFonts w:ascii="Verdana" w:hAnsi="Verdana"/>
        </w:rPr>
        <w:t xml:space="preserve">, </w:t>
      </w:r>
      <w:r w:rsidR="004A0796" w:rsidRPr="00236B36">
        <w:rPr>
          <w:rFonts w:ascii="Verdana" w:hAnsi="Verdana"/>
        </w:rPr>
        <w:t>de igualdad, entre otros</w:t>
      </w:r>
      <w:r w:rsidR="0055655C" w:rsidRPr="00236B36">
        <w:rPr>
          <w:rFonts w:ascii="Verdana" w:hAnsi="Verdana"/>
        </w:rPr>
        <w:t xml:space="preserve">, tal y como se </w:t>
      </w:r>
      <w:r w:rsidR="00A938D3" w:rsidRPr="00236B36">
        <w:rPr>
          <w:rFonts w:ascii="Verdana" w:hAnsi="Verdana"/>
        </w:rPr>
        <w:t>explicará</w:t>
      </w:r>
      <w:r w:rsidR="0055655C" w:rsidRPr="00236B36">
        <w:rPr>
          <w:rFonts w:ascii="Verdana" w:hAnsi="Verdana"/>
        </w:rPr>
        <w:t xml:space="preserve"> a continuación</w:t>
      </w:r>
      <w:r w:rsidR="00A938D3" w:rsidRPr="00236B36">
        <w:rPr>
          <w:rStyle w:val="Refdenotaalpie"/>
          <w:rFonts w:ascii="Verdana" w:hAnsi="Verdana"/>
        </w:rPr>
        <w:footnoteReference w:id="29"/>
      </w:r>
      <w:r w:rsidR="004A0796" w:rsidRPr="00236B36">
        <w:rPr>
          <w:rFonts w:ascii="Verdana" w:hAnsi="Verdana"/>
        </w:rPr>
        <w:t xml:space="preserve">. </w:t>
      </w:r>
    </w:p>
    <w:p w14:paraId="5665C651" w14:textId="4D2213FB" w:rsidR="000E1281" w:rsidRPr="00661F0B" w:rsidRDefault="004931AC" w:rsidP="00781B0D">
      <w:pPr>
        <w:widowControl w:val="0"/>
        <w:autoSpaceDE w:val="0"/>
        <w:autoSpaceDN w:val="0"/>
        <w:spacing w:after="120" w:line="276" w:lineRule="auto"/>
        <w:ind w:firstLine="708"/>
        <w:jc w:val="both"/>
        <w:rPr>
          <w:rFonts w:ascii="Verdana" w:hAnsi="Verdana"/>
        </w:rPr>
      </w:pPr>
      <w:r w:rsidRPr="00236B36">
        <w:rPr>
          <w:rFonts w:ascii="Verdana" w:hAnsi="Verdana"/>
        </w:rPr>
        <w:t>Dentro de</w:t>
      </w:r>
      <w:r w:rsidR="00C25861" w:rsidRPr="00236B36">
        <w:rPr>
          <w:rFonts w:ascii="Verdana" w:hAnsi="Verdana"/>
        </w:rPr>
        <w:t xml:space="preserve"> los </w:t>
      </w:r>
      <w:r w:rsidR="00354F6B" w:rsidRPr="00236B36">
        <w:rPr>
          <w:rFonts w:ascii="Verdana" w:hAnsi="Verdana"/>
        </w:rPr>
        <w:t>límites</w:t>
      </w:r>
      <w:r w:rsidR="00C25861" w:rsidRPr="00236B36">
        <w:rPr>
          <w:rFonts w:ascii="Verdana" w:hAnsi="Verdana"/>
        </w:rPr>
        <w:t xml:space="preserve"> de orden temporal están comprendidos</w:t>
      </w:r>
      <w:r w:rsidR="000E1281" w:rsidRPr="00236B36">
        <w:rPr>
          <w:rFonts w:ascii="Verdana" w:hAnsi="Verdana"/>
        </w:rPr>
        <w:t xml:space="preserve">: </w:t>
      </w:r>
      <w:r w:rsidR="000E1281" w:rsidRPr="00236B36">
        <w:rPr>
          <w:rFonts w:ascii="Verdana" w:eastAsia="Arial" w:hAnsi="Verdana" w:cs="Arial"/>
          <w:lang w:val="es-MX" w:eastAsia="es-ES" w:bidi="es-ES"/>
        </w:rPr>
        <w:t>i) la vigencia del contrato, pues no podría modificarse un contrato cuyo plazo ha culminado y</w:t>
      </w:r>
      <w:r w:rsidR="00661F0B" w:rsidRPr="00236B36">
        <w:rPr>
          <w:rFonts w:ascii="Verdana" w:eastAsia="Arial" w:hAnsi="Verdana" w:cs="Arial"/>
          <w:lang w:val="es-MX" w:eastAsia="es-ES" w:bidi="es-ES"/>
        </w:rPr>
        <w:t xml:space="preserve">; </w:t>
      </w:r>
      <w:proofErr w:type="spellStart"/>
      <w:r w:rsidR="000E1281" w:rsidRPr="00236B36">
        <w:rPr>
          <w:rFonts w:ascii="Verdana" w:eastAsia="Arial" w:hAnsi="Verdana" w:cs="Arial"/>
          <w:lang w:val="es-MX" w:eastAsia="es-ES" w:bidi="es-ES"/>
        </w:rPr>
        <w:t>ii</w:t>
      </w:r>
      <w:proofErr w:type="spellEnd"/>
      <w:r w:rsidR="000E1281" w:rsidRPr="00236B36">
        <w:rPr>
          <w:rFonts w:ascii="Verdana" w:eastAsia="Arial" w:hAnsi="Verdana" w:cs="Arial"/>
          <w:lang w:val="es-MX" w:eastAsia="es-ES" w:bidi="es-ES"/>
        </w:rPr>
        <w:t>) la prohibición de consagrar prórrogas automáticas, sucesivas o indefinidas, en tanto resultan contrarias al derecho esencial de la libertad de competencia.</w:t>
      </w:r>
    </w:p>
    <w:p w14:paraId="2A1C8624" w14:textId="4CDA16DF" w:rsidR="004A0796" w:rsidRPr="00236B36" w:rsidRDefault="004A0796" w:rsidP="00781B0D">
      <w:pPr>
        <w:widowControl w:val="0"/>
        <w:autoSpaceDE w:val="0"/>
        <w:autoSpaceDN w:val="0"/>
        <w:spacing w:after="0" w:line="276" w:lineRule="auto"/>
        <w:ind w:firstLine="709"/>
        <w:jc w:val="both"/>
        <w:rPr>
          <w:rFonts w:ascii="Verdana" w:hAnsi="Verdana"/>
          <w:b/>
          <w:i/>
        </w:rPr>
      </w:pPr>
      <w:r w:rsidRPr="00236B36">
        <w:rPr>
          <w:rFonts w:ascii="Verdana" w:eastAsia="Calibri" w:hAnsi="Verdana" w:cs="Arial"/>
        </w:rPr>
        <w:lastRenderedPageBreak/>
        <w:t xml:space="preserve">Dentro de los límites de orden formal, </w:t>
      </w:r>
      <w:r w:rsidR="00680037" w:rsidRPr="00236B36">
        <w:rPr>
          <w:rFonts w:ascii="Verdana" w:eastAsia="Calibri" w:hAnsi="Verdana" w:cs="Arial"/>
        </w:rPr>
        <w:t>se debe señalar que, por un lado,</w:t>
      </w:r>
      <w:r w:rsidRPr="00236B36">
        <w:rPr>
          <w:rFonts w:ascii="Verdana" w:eastAsia="Calibri" w:hAnsi="Verdana" w:cs="Arial"/>
        </w:rPr>
        <w:t xml:space="preserve"> es necesario que</w:t>
      </w:r>
      <w:r w:rsidR="00A464ED" w:rsidRPr="00236B36">
        <w:rPr>
          <w:rFonts w:ascii="Verdana" w:eastAsia="Calibri" w:hAnsi="Verdana" w:cs="Arial"/>
        </w:rPr>
        <w:t xml:space="preserve">, la </w:t>
      </w:r>
      <w:r w:rsidR="00A464ED" w:rsidRPr="00236B36">
        <w:rPr>
          <w:rFonts w:ascii="Verdana" w:eastAsia="Arial" w:hAnsi="Verdana" w:cs="Arial"/>
          <w:lang w:val="es-MX" w:eastAsia="es-ES" w:bidi="es-ES"/>
        </w:rPr>
        <w:t>modificación de los contratos conste por escrito</w:t>
      </w:r>
      <w:r w:rsidR="00C4165D" w:rsidRPr="00236B36">
        <w:rPr>
          <w:rFonts w:ascii="Verdana" w:eastAsia="Arial" w:hAnsi="Verdana" w:cs="Arial"/>
          <w:lang w:val="es-MX" w:eastAsia="es-ES" w:bidi="es-ES"/>
        </w:rPr>
        <w:t>, dado el carácter solemne del contrato estatal</w:t>
      </w:r>
      <w:r w:rsidR="00AE5BF9" w:rsidRPr="00236B36">
        <w:rPr>
          <w:rFonts w:ascii="Verdana" w:eastAsia="Arial" w:hAnsi="Verdana" w:cs="Arial"/>
          <w:lang w:val="es-MX" w:eastAsia="es-ES" w:bidi="es-ES"/>
        </w:rPr>
        <w:t xml:space="preserve">. Por otro lado, </w:t>
      </w:r>
      <w:r w:rsidRPr="00236B36">
        <w:rPr>
          <w:rFonts w:ascii="Verdana" w:eastAsia="Calibri" w:hAnsi="Verdana" w:cs="Arial"/>
        </w:rPr>
        <w:t xml:space="preserve">la entidad </w:t>
      </w:r>
      <w:r w:rsidR="00AE5BF9" w:rsidRPr="00236B36">
        <w:rPr>
          <w:rFonts w:ascii="Verdana" w:eastAsia="Calibri" w:hAnsi="Verdana" w:cs="Arial"/>
        </w:rPr>
        <w:t xml:space="preserve">debe </w:t>
      </w:r>
      <w:r w:rsidRPr="00236B36">
        <w:rPr>
          <w:rFonts w:ascii="Verdana" w:eastAsia="Calibri" w:hAnsi="Verdana" w:cs="Arial"/>
        </w:rPr>
        <w:t>motiv</w:t>
      </w:r>
      <w:r w:rsidR="00AE5BF9" w:rsidRPr="00236B36">
        <w:rPr>
          <w:rFonts w:ascii="Verdana" w:eastAsia="Calibri" w:hAnsi="Verdana" w:cs="Arial"/>
        </w:rPr>
        <w:t>ar</w:t>
      </w:r>
      <w:r w:rsidRPr="00236B36">
        <w:rPr>
          <w:rFonts w:ascii="Verdana" w:eastAsia="Calibri" w:hAnsi="Verdana" w:cs="Arial"/>
        </w:rPr>
        <w:t xml:space="preserve"> y justifi</w:t>
      </w:r>
      <w:r w:rsidR="00AE5BF9" w:rsidRPr="00236B36">
        <w:rPr>
          <w:rFonts w:ascii="Verdana" w:eastAsia="Calibri" w:hAnsi="Verdana" w:cs="Arial"/>
        </w:rPr>
        <w:t>car</w:t>
      </w:r>
      <w:r w:rsidRPr="00236B36">
        <w:rPr>
          <w:rFonts w:ascii="Verdana" w:eastAsia="Calibri" w:hAnsi="Verdana" w:cs="Arial"/>
        </w:rPr>
        <w:t xml:space="preserve"> la modificación. Al respecto el Concejo de Estado ha señalado:</w:t>
      </w:r>
    </w:p>
    <w:p w14:paraId="2352CF06" w14:textId="77777777" w:rsidR="004A0796" w:rsidRPr="00236B36" w:rsidRDefault="004A0796" w:rsidP="00781B0D">
      <w:pPr>
        <w:spacing w:after="0" w:line="276" w:lineRule="auto"/>
        <w:jc w:val="both"/>
        <w:rPr>
          <w:rFonts w:ascii="Verdana" w:hAnsi="Verdana"/>
          <w:i/>
        </w:rPr>
      </w:pPr>
    </w:p>
    <w:p w14:paraId="3ADCEFA6" w14:textId="29C77904" w:rsidR="004A0796" w:rsidRPr="00236B36" w:rsidRDefault="0069146C" w:rsidP="0069146C">
      <w:pPr>
        <w:spacing w:after="0" w:line="240" w:lineRule="auto"/>
        <w:ind w:left="709" w:right="709"/>
        <w:jc w:val="both"/>
        <w:rPr>
          <w:rFonts w:ascii="Verdana" w:hAnsi="Verdana"/>
          <w:sz w:val="20"/>
          <w:szCs w:val="20"/>
        </w:rPr>
      </w:pPr>
      <w:r w:rsidRPr="00236B36">
        <w:rPr>
          <w:rFonts w:ascii="Verdana" w:hAnsi="Verdana"/>
          <w:sz w:val="20"/>
          <w:szCs w:val="20"/>
        </w:rPr>
        <w:t>“</w:t>
      </w:r>
      <w:r w:rsidR="004A0796" w:rsidRPr="00236B36">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48E27E4F" w14:textId="77777777" w:rsidR="004A0796" w:rsidRPr="00236B36" w:rsidRDefault="004A0796" w:rsidP="0069146C">
      <w:pPr>
        <w:spacing w:after="0" w:line="240" w:lineRule="auto"/>
        <w:ind w:left="709" w:right="709"/>
        <w:jc w:val="both"/>
        <w:rPr>
          <w:rFonts w:ascii="Verdana" w:hAnsi="Verdana"/>
          <w:sz w:val="20"/>
          <w:szCs w:val="20"/>
        </w:rPr>
      </w:pPr>
    </w:p>
    <w:p w14:paraId="34146FB9" w14:textId="77777777" w:rsidR="004A0796" w:rsidRPr="00236B36" w:rsidRDefault="004A0796" w:rsidP="0069146C">
      <w:pPr>
        <w:spacing w:after="0" w:line="240" w:lineRule="auto"/>
        <w:ind w:left="709" w:right="709"/>
        <w:jc w:val="both"/>
        <w:rPr>
          <w:rFonts w:ascii="Verdana" w:hAnsi="Verdana"/>
          <w:sz w:val="20"/>
          <w:szCs w:val="20"/>
        </w:rPr>
      </w:pPr>
      <w:r w:rsidRPr="00236B36">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0F0EC994" w14:textId="77777777" w:rsidR="004A0796" w:rsidRPr="00236B36" w:rsidRDefault="004A0796" w:rsidP="0069146C">
      <w:pPr>
        <w:spacing w:after="0" w:line="240" w:lineRule="auto"/>
        <w:ind w:left="709" w:right="709"/>
        <w:jc w:val="both"/>
        <w:rPr>
          <w:rFonts w:ascii="Verdana" w:hAnsi="Verdana"/>
          <w:sz w:val="20"/>
          <w:szCs w:val="20"/>
        </w:rPr>
      </w:pPr>
    </w:p>
    <w:p w14:paraId="4557DD2D" w14:textId="54D8CDB2" w:rsidR="004A0796" w:rsidRPr="0069146C" w:rsidRDefault="004A0796" w:rsidP="0069146C">
      <w:pPr>
        <w:spacing w:after="0" w:line="240" w:lineRule="auto"/>
        <w:ind w:left="709" w:right="709"/>
        <w:jc w:val="both"/>
        <w:rPr>
          <w:rFonts w:ascii="Verdana" w:hAnsi="Verdana"/>
          <w:sz w:val="20"/>
          <w:szCs w:val="20"/>
        </w:rPr>
      </w:pPr>
      <w:r w:rsidRPr="00236B36">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0069146C" w:rsidRPr="00236B36">
        <w:rPr>
          <w:rFonts w:ascii="Verdana" w:hAnsi="Verdana"/>
          <w:sz w:val="20"/>
          <w:szCs w:val="20"/>
        </w:rPr>
        <w:t>”</w:t>
      </w:r>
      <w:r w:rsidR="00AE5BF9" w:rsidRPr="00236B36">
        <w:rPr>
          <w:rStyle w:val="Refdenotaalpie"/>
          <w:rFonts w:ascii="Verdana" w:hAnsi="Verdana"/>
          <w:sz w:val="20"/>
          <w:szCs w:val="20"/>
        </w:rPr>
        <w:footnoteReference w:id="30"/>
      </w:r>
      <w:r w:rsidRPr="00236B36">
        <w:rPr>
          <w:rFonts w:ascii="Verdana" w:hAnsi="Verdana"/>
          <w:sz w:val="20"/>
          <w:szCs w:val="20"/>
        </w:rPr>
        <w:t>.</w:t>
      </w:r>
    </w:p>
    <w:bookmarkEnd w:id="6"/>
    <w:p w14:paraId="7FD44B58" w14:textId="13600843" w:rsidR="00FB3293" w:rsidRPr="00236B36" w:rsidRDefault="006E7B3F" w:rsidP="00E751B9">
      <w:pPr>
        <w:widowControl w:val="0"/>
        <w:autoSpaceDE w:val="0"/>
        <w:autoSpaceDN w:val="0"/>
        <w:spacing w:after="0" w:line="276" w:lineRule="auto"/>
        <w:jc w:val="both"/>
        <w:rPr>
          <w:rFonts w:ascii="Verdana" w:eastAsia="Calibri" w:hAnsi="Verdana" w:cs="Arial"/>
        </w:rPr>
      </w:pPr>
      <w:r w:rsidRPr="00236B36">
        <w:rPr>
          <w:rFonts w:ascii="Verdana" w:eastAsia="Calibri" w:hAnsi="Verdana" w:cs="Arial"/>
        </w:rPr>
        <w:t xml:space="preserve"> </w:t>
      </w:r>
    </w:p>
    <w:p w14:paraId="6F51724D" w14:textId="4D1D8373" w:rsidR="00FB3293" w:rsidRPr="00236B36" w:rsidRDefault="00AE7DE9" w:rsidP="00C330DD">
      <w:pPr>
        <w:widowControl w:val="0"/>
        <w:autoSpaceDE w:val="0"/>
        <w:autoSpaceDN w:val="0"/>
        <w:spacing w:after="120" w:line="276" w:lineRule="auto"/>
        <w:ind w:firstLine="708"/>
        <w:jc w:val="both"/>
        <w:rPr>
          <w:rFonts w:ascii="Verdana" w:eastAsia="Arial" w:hAnsi="Verdana" w:cs="Arial"/>
          <w:i/>
          <w:lang w:val="es-MX" w:eastAsia="es-ES" w:bidi="es-ES"/>
        </w:rPr>
      </w:pPr>
      <w:r w:rsidRPr="00236B36">
        <w:rPr>
          <w:rFonts w:ascii="Verdana" w:eastAsia="Calibri" w:hAnsi="Verdana" w:cs="Arial"/>
        </w:rPr>
        <w:t>L</w:t>
      </w:r>
      <w:r w:rsidR="004931AC" w:rsidRPr="00236B36">
        <w:rPr>
          <w:rFonts w:ascii="Verdana" w:eastAsia="Calibri" w:hAnsi="Verdana" w:cs="Arial"/>
        </w:rPr>
        <w:t xml:space="preserve">os límites </w:t>
      </w:r>
      <w:r w:rsidR="005E369F" w:rsidRPr="00236B36">
        <w:rPr>
          <w:rFonts w:ascii="Verdana" w:eastAsia="Calibri" w:hAnsi="Verdana" w:cs="Arial"/>
        </w:rPr>
        <w:t xml:space="preserve">materiales </w:t>
      </w:r>
      <w:r w:rsidR="00FB3293" w:rsidRPr="00236B36">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00FB3293" w:rsidRPr="00236B36">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002B12A7" w:rsidRPr="00236B36">
        <w:rPr>
          <w:rStyle w:val="Refdenotaalpie"/>
          <w:rFonts w:ascii="Verdana" w:eastAsia="Arial" w:hAnsi="Verdana" w:cs="Arial"/>
          <w:i/>
          <w:lang w:val="es-MX" w:eastAsia="es-ES" w:bidi="es-ES"/>
        </w:rPr>
        <w:footnoteReference w:id="31"/>
      </w:r>
      <w:r w:rsidR="00FB3293" w:rsidRPr="00236B36">
        <w:rPr>
          <w:rFonts w:ascii="Verdana" w:eastAsia="Arial" w:hAnsi="Verdana" w:cs="Arial"/>
          <w:i/>
          <w:lang w:val="es-MX" w:eastAsia="es-ES" w:bidi="es-ES"/>
        </w:rPr>
        <w:t xml:space="preserve">. </w:t>
      </w:r>
    </w:p>
    <w:p w14:paraId="38336210" w14:textId="1365BEA1" w:rsidR="00496663" w:rsidRPr="00661F0B" w:rsidRDefault="00FB3293" w:rsidP="00C330DD">
      <w:pPr>
        <w:widowControl w:val="0"/>
        <w:autoSpaceDE w:val="0"/>
        <w:autoSpaceDN w:val="0"/>
        <w:spacing w:after="120" w:line="276" w:lineRule="auto"/>
        <w:ind w:firstLine="708"/>
        <w:jc w:val="both"/>
        <w:rPr>
          <w:rFonts w:ascii="Verdana" w:eastAsia="Calibri" w:hAnsi="Verdana" w:cs="Arial"/>
        </w:rPr>
      </w:pPr>
      <w:r w:rsidRPr="00236B36">
        <w:rPr>
          <w:rFonts w:ascii="Verdana" w:eastAsia="Arial" w:hAnsi="Verdana" w:cs="Arial"/>
          <w:lang w:val="es-MX" w:eastAsia="es-ES" w:bidi="es-ES"/>
        </w:rPr>
        <w:t>Finalmente</w:t>
      </w:r>
      <w:r w:rsidR="009C2AA7" w:rsidRPr="00236B36">
        <w:rPr>
          <w:rFonts w:ascii="Verdana" w:eastAsia="Arial" w:hAnsi="Verdana" w:cs="Arial"/>
          <w:lang w:val="es-MX" w:eastAsia="es-ES" w:bidi="es-ES"/>
        </w:rPr>
        <w:t xml:space="preserve">, se encuentran los </w:t>
      </w:r>
      <w:r w:rsidR="00E30CC6" w:rsidRPr="00236B36">
        <w:rPr>
          <w:rFonts w:ascii="Verdana" w:eastAsia="Arial" w:hAnsi="Verdana" w:cs="Arial"/>
          <w:lang w:val="es-MX" w:eastAsia="es-ES" w:bidi="es-ES"/>
        </w:rPr>
        <w:t>límites axiológicos</w:t>
      </w:r>
      <w:r w:rsidR="009C2AA7" w:rsidRPr="00236B36">
        <w:rPr>
          <w:rFonts w:ascii="Verdana" w:eastAsia="Arial" w:hAnsi="Verdana" w:cs="Arial"/>
          <w:lang w:val="es-MX" w:eastAsia="es-ES" w:bidi="es-ES"/>
        </w:rPr>
        <w:t>, los cuales atienen a la necesidad de preservar los principios de igualdad, transparencia, libertad de concurrencia</w:t>
      </w:r>
      <w:r w:rsidR="00156533" w:rsidRPr="00236B36">
        <w:rPr>
          <w:rFonts w:ascii="Verdana" w:eastAsia="Arial" w:hAnsi="Verdana" w:cs="Arial"/>
          <w:lang w:val="es-MX" w:eastAsia="es-ES" w:bidi="es-ES"/>
        </w:rPr>
        <w:t>, selección objetiva</w:t>
      </w:r>
      <w:r w:rsidR="009C2AA7" w:rsidRPr="00236B36">
        <w:rPr>
          <w:rFonts w:ascii="Verdana" w:eastAsia="Arial" w:hAnsi="Verdana" w:cs="Arial"/>
          <w:lang w:val="es-MX" w:eastAsia="es-ES" w:bidi="es-ES"/>
        </w:rPr>
        <w:t xml:space="preserve"> y planeación</w:t>
      </w:r>
      <w:r w:rsidR="00E30CC6" w:rsidRPr="00236B36">
        <w:rPr>
          <w:rFonts w:ascii="Verdana" w:eastAsia="Arial" w:hAnsi="Verdana" w:cs="Arial"/>
          <w:lang w:val="es-MX" w:eastAsia="es-ES" w:bidi="es-ES"/>
        </w:rPr>
        <w:t xml:space="preserve">. </w:t>
      </w:r>
      <w:r w:rsidR="00496663" w:rsidRPr="00236B36">
        <w:rPr>
          <w:rFonts w:ascii="Verdana" w:eastAsia="Calibri" w:hAnsi="Verdana" w:cs="Arial"/>
          <w:lang w:eastAsia="es-ES_tradnl"/>
        </w:rPr>
        <w:t>Lo anterior</w:t>
      </w:r>
      <w:r w:rsidR="005B4392">
        <w:rPr>
          <w:rFonts w:ascii="Verdana" w:eastAsia="Calibri" w:hAnsi="Verdana" w:cs="Arial"/>
          <w:lang w:eastAsia="es-ES_tradnl"/>
        </w:rPr>
        <w:t>,</w:t>
      </w:r>
      <w:r w:rsidR="00496663" w:rsidRPr="00236B36">
        <w:rPr>
          <w:rFonts w:ascii="Verdana" w:eastAsia="Calibri" w:hAnsi="Verdana" w:cs="Arial"/>
          <w:lang w:eastAsia="es-ES_tradnl"/>
        </w:rPr>
        <w:t xml:space="preserve"> con la finalidad de realizar la escogencia diligente de la mejor oferta, para beneficiar los intereses y fines públicos inmersos en la contratación de las Entidades Estatales. Así las cosas, l</w:t>
      </w:r>
      <w:r w:rsidR="00496663" w:rsidRPr="00236B36">
        <w:rPr>
          <w:rFonts w:ascii="Verdana" w:eastAsia="Calibri" w:hAnsi="Verdana" w:cs="Arial"/>
        </w:rPr>
        <w:t xml:space="preserve">a concepción de mayores cantidades de obra, como expresión del </w:t>
      </w:r>
      <w:r w:rsidR="00496663" w:rsidRPr="00236B36">
        <w:rPr>
          <w:rFonts w:ascii="Verdana" w:eastAsia="Calibri" w:hAnsi="Verdana" w:cs="Arial"/>
        </w:rPr>
        <w:lastRenderedPageBreak/>
        <w:t>contrato original sin valor determinado, aunque determinable, no puede dar lugar a una ampliación ilimitada de estos contratos, pues no se encuentran exentos de la aplicación de los principios de la contratación estatal.</w:t>
      </w:r>
      <w:r w:rsidR="00496663" w:rsidRPr="00661F0B">
        <w:rPr>
          <w:rFonts w:ascii="Verdana" w:eastAsia="Calibri" w:hAnsi="Verdana" w:cs="Arial"/>
        </w:rPr>
        <w:t xml:space="preserve"> </w:t>
      </w:r>
    </w:p>
    <w:p w14:paraId="4924A641" w14:textId="084B2DB4" w:rsidR="00B06E12" w:rsidRDefault="00774652" w:rsidP="00C330DD">
      <w:pPr>
        <w:widowControl w:val="0"/>
        <w:autoSpaceDE w:val="0"/>
        <w:autoSpaceDN w:val="0"/>
        <w:spacing w:after="120" w:line="276" w:lineRule="auto"/>
        <w:ind w:firstLine="708"/>
        <w:jc w:val="both"/>
        <w:rPr>
          <w:rFonts w:ascii="Verdana" w:eastAsia="Calibri" w:hAnsi="Verdana" w:cs="Arial"/>
          <w:lang w:val="es-MX" w:eastAsia="es-ES_tradnl"/>
        </w:rPr>
      </w:pPr>
      <w:r w:rsidRPr="00236B36">
        <w:rPr>
          <w:rFonts w:ascii="Verdana" w:eastAsia="Arial" w:hAnsi="Verdana" w:cs="Arial"/>
          <w:lang w:val="es-MX" w:eastAsia="es-ES" w:bidi="es-ES"/>
        </w:rPr>
        <w:t xml:space="preserve">Este límite encuentra sustento en el hecho de que, para celebrar contratos estatales las </w:t>
      </w:r>
      <w:r w:rsidR="00F6283E" w:rsidRPr="00236B36">
        <w:rPr>
          <w:rFonts w:ascii="Verdana" w:eastAsia="Arial" w:hAnsi="Verdana" w:cs="Arial"/>
          <w:lang w:val="es-MX" w:eastAsia="es-ES" w:bidi="es-ES"/>
        </w:rPr>
        <w:t xml:space="preserve">Entidades Públicas </w:t>
      </w:r>
      <w:r w:rsidRPr="00236B36">
        <w:rPr>
          <w:rFonts w:ascii="Verdana" w:eastAsia="Arial" w:hAnsi="Verdana" w:cs="Arial"/>
          <w:lang w:val="es-MX" w:eastAsia="es-ES" w:bidi="es-ES"/>
        </w:rPr>
        <w:t xml:space="preserve">eligen, dentro de un </w:t>
      </w:r>
      <w:r w:rsidR="00F6283E" w:rsidRPr="00236B36">
        <w:rPr>
          <w:rFonts w:ascii="Verdana" w:eastAsia="Arial" w:hAnsi="Verdana" w:cs="Arial"/>
          <w:lang w:val="es-MX" w:eastAsia="es-ES" w:bidi="es-ES"/>
        </w:rPr>
        <w:t>“</w:t>
      </w:r>
      <w:r w:rsidRPr="00236B36">
        <w:rPr>
          <w:rFonts w:ascii="Verdana" w:eastAsia="Arial" w:hAnsi="Verdana" w:cs="Arial"/>
          <w:lang w:val="es-MX" w:eastAsia="es-ES" w:bidi="es-ES"/>
        </w:rPr>
        <w:t>régimen de concurrencia y de igualdad, las mejores condiciones de costo, calidad e idoneidad de la prestación requerida</w:t>
      </w:r>
      <w:r w:rsidR="00F6283E" w:rsidRPr="00236B36">
        <w:rPr>
          <w:rFonts w:ascii="Verdana" w:eastAsia="Arial" w:hAnsi="Verdana" w:cs="Arial"/>
          <w:lang w:val="es-ES_tradnl" w:eastAsia="es-ES" w:bidi="es-ES"/>
        </w:rPr>
        <w:t>”</w:t>
      </w:r>
      <w:r w:rsidR="00BA5E7F">
        <w:rPr>
          <w:rFonts w:ascii="Verdana" w:eastAsia="Arial" w:hAnsi="Verdana" w:cs="Arial"/>
          <w:lang w:val="es-MX" w:eastAsia="es-ES" w:bidi="es-ES"/>
        </w:rPr>
        <w:t>.</w:t>
      </w:r>
      <w:r w:rsidRPr="00236B36">
        <w:rPr>
          <w:rFonts w:ascii="Verdana" w:eastAsia="Arial" w:hAnsi="Verdana" w:cs="Arial"/>
          <w:lang w:val="es-MX" w:eastAsia="es-ES" w:bidi="es-ES"/>
        </w:rPr>
        <w:t xml:space="preserve"> </w:t>
      </w:r>
      <w:r w:rsidR="00BA5E7F">
        <w:rPr>
          <w:rFonts w:ascii="Verdana" w:eastAsia="Arial" w:hAnsi="Verdana" w:cs="Arial"/>
          <w:lang w:val="es-MX" w:eastAsia="es-ES" w:bidi="es-ES"/>
        </w:rPr>
        <w:t>Esto</w:t>
      </w:r>
      <w:r w:rsidRPr="00236B36">
        <w:rPr>
          <w:rFonts w:ascii="Verdana" w:eastAsia="Arial" w:hAnsi="Verdana" w:cs="Arial"/>
          <w:lang w:val="es-MX" w:eastAsia="es-ES" w:bidi="es-ES"/>
        </w:rPr>
        <w:t xml:space="preserv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00DC26EE" w:rsidRPr="00236B36">
        <w:rPr>
          <w:rFonts w:ascii="Verdana" w:eastAsia="Calibri" w:hAnsi="Verdana" w:cs="Arial"/>
          <w:lang w:val="es-MX" w:eastAsia="es-ES_tradnl"/>
        </w:rPr>
        <w:t xml:space="preserve"> </w:t>
      </w:r>
    </w:p>
    <w:p w14:paraId="0B0E2821" w14:textId="4DC7B0B8" w:rsidR="00306D08" w:rsidRPr="00B34BB1" w:rsidRDefault="001F4CB6" w:rsidP="00C330DD">
      <w:pPr>
        <w:widowControl w:val="0"/>
        <w:autoSpaceDE w:val="0"/>
        <w:autoSpaceDN w:val="0"/>
        <w:spacing w:after="120" w:line="276" w:lineRule="auto"/>
        <w:ind w:firstLine="708"/>
        <w:jc w:val="both"/>
        <w:rPr>
          <w:rFonts w:ascii="Verdana" w:eastAsia="Calibri" w:hAnsi="Verdana" w:cs="Arial"/>
          <w:bCs/>
          <w:lang w:val="es-MX" w:eastAsia="es-ES_tradnl"/>
        </w:rPr>
      </w:pPr>
      <w:r w:rsidRPr="00236B36">
        <w:rPr>
          <w:rFonts w:ascii="Verdana" w:eastAsia="Calibri" w:hAnsi="Verdana" w:cs="Arial"/>
          <w:lang w:val="es-MX" w:eastAsia="es-ES_tradnl"/>
        </w:rPr>
        <w:t>E</w:t>
      </w:r>
      <w:r w:rsidR="00DC26EE" w:rsidRPr="00236B36">
        <w:rPr>
          <w:rFonts w:ascii="Verdana" w:eastAsia="Arial" w:hAnsi="Verdana" w:cs="Arial"/>
          <w:lang w:val="es-MX" w:eastAsia="es-ES" w:bidi="es-ES"/>
        </w:rPr>
        <w:t xml:space="preserve">n virtud de </w:t>
      </w:r>
      <w:r w:rsidR="00774652" w:rsidRPr="00236B36">
        <w:rPr>
          <w:rFonts w:ascii="Verdana" w:eastAsia="Arial" w:hAnsi="Verdana" w:cs="Arial"/>
          <w:lang w:val="es-MX" w:eastAsia="es-ES" w:bidi="es-ES"/>
        </w:rPr>
        <w:t>la aplicación de los principios de transparencia, libertad de concurrencia</w:t>
      </w:r>
      <w:r w:rsidR="00FA20EC" w:rsidRPr="00236B36">
        <w:rPr>
          <w:rFonts w:ascii="Verdana" w:eastAsia="Arial" w:hAnsi="Verdana" w:cs="Arial"/>
          <w:lang w:val="es-MX" w:eastAsia="es-ES" w:bidi="es-ES"/>
        </w:rPr>
        <w:t xml:space="preserve"> e</w:t>
      </w:r>
      <w:r w:rsidR="00774652" w:rsidRPr="00236B36">
        <w:rPr>
          <w:rFonts w:ascii="Verdana" w:eastAsia="Arial" w:hAnsi="Verdana" w:cs="Arial"/>
          <w:lang w:val="es-MX" w:eastAsia="es-ES" w:bidi="es-ES"/>
        </w:rPr>
        <w:t xml:space="preserve"> igualdad, consagrados en el </w:t>
      </w:r>
      <w:r w:rsidR="00B34BB1" w:rsidRPr="00236B36">
        <w:rPr>
          <w:rFonts w:ascii="Verdana" w:eastAsia="Arial" w:hAnsi="Verdana" w:cs="Arial"/>
          <w:lang w:val="es-MX" w:eastAsia="es-ES" w:bidi="es-ES"/>
        </w:rPr>
        <w:t>EGCAP</w:t>
      </w:r>
      <w:r w:rsidR="00774652" w:rsidRPr="00236B36">
        <w:rPr>
          <w:rFonts w:ascii="Verdana" w:eastAsia="Arial" w:hAnsi="Verdana" w:cs="Arial"/>
          <w:lang w:val="es-MX" w:eastAsia="es-ES" w:bidi="es-ES"/>
        </w:rPr>
        <w:t xml:space="preserve">, y las reglas sustanciales del </w:t>
      </w:r>
      <w:r w:rsidR="009B3FD9" w:rsidRPr="009B3FD9">
        <w:rPr>
          <w:rFonts w:ascii="Verdana" w:eastAsia="Arial" w:hAnsi="Verdana" w:cs="Arial"/>
          <w:lang w:val="es-MX" w:eastAsia="es-ES" w:bidi="es-ES"/>
        </w:rPr>
        <w:t xml:space="preserve">Pliego </w:t>
      </w:r>
      <w:r w:rsidR="00774652" w:rsidRPr="00236B36">
        <w:rPr>
          <w:rFonts w:ascii="Verdana" w:eastAsia="Arial" w:hAnsi="Verdana" w:cs="Arial"/>
          <w:lang w:val="es-MX" w:eastAsia="es-ES" w:bidi="es-ES"/>
        </w:rPr>
        <w:t xml:space="preserve">de </w:t>
      </w:r>
      <w:r w:rsidR="009B3FD9" w:rsidRPr="009B3FD9">
        <w:rPr>
          <w:rFonts w:ascii="Verdana" w:eastAsia="Arial" w:hAnsi="Verdana" w:cs="Arial"/>
          <w:lang w:val="es-MX" w:eastAsia="es-ES" w:bidi="es-ES"/>
        </w:rPr>
        <w:t>Condiciones</w:t>
      </w:r>
      <w:r w:rsidR="00774652" w:rsidRPr="00236B36">
        <w:rPr>
          <w:rFonts w:ascii="Verdana" w:eastAsia="Arial" w:hAnsi="Verdana" w:cs="Arial"/>
          <w:lang w:val="es-MX" w:eastAsia="es-ES" w:bidi="es-ES"/>
        </w:rPr>
        <w:t xml:space="preserve">, que permitieron elegir la mejor oferta, previo cumplimiento de </w:t>
      </w:r>
      <w:r w:rsidR="00FA20EC" w:rsidRPr="00236B36">
        <w:rPr>
          <w:rFonts w:ascii="Verdana" w:eastAsia="Arial" w:hAnsi="Verdana" w:cs="Arial"/>
          <w:lang w:val="es-MX" w:eastAsia="es-ES" w:bidi="es-ES"/>
        </w:rPr>
        <w:t xml:space="preserve">unos </w:t>
      </w:r>
      <w:r w:rsidR="00774652" w:rsidRPr="00236B36">
        <w:rPr>
          <w:rFonts w:ascii="Verdana" w:eastAsia="Arial" w:hAnsi="Verdana" w:cs="Arial"/>
          <w:lang w:val="es-MX" w:eastAsia="es-ES" w:bidi="es-ES"/>
        </w:rPr>
        <w:t>requisitos</w:t>
      </w:r>
      <w:r w:rsidR="007A55FC" w:rsidRPr="00236B36">
        <w:rPr>
          <w:rFonts w:ascii="Verdana" w:eastAsia="Arial" w:hAnsi="Verdana" w:cs="Arial"/>
          <w:lang w:val="es-MX" w:eastAsia="es-ES" w:bidi="es-ES"/>
        </w:rPr>
        <w:t xml:space="preserve"> </w:t>
      </w:r>
      <w:r w:rsidR="003609A4">
        <w:rPr>
          <w:rFonts w:ascii="Verdana" w:eastAsia="Arial" w:hAnsi="Verdana" w:cs="Arial"/>
          <w:lang w:val="es-MX" w:eastAsia="es-ES" w:bidi="es-ES"/>
        </w:rPr>
        <w:t>con base en</w:t>
      </w:r>
      <w:r w:rsidR="007A55FC" w:rsidRPr="00236B36">
        <w:rPr>
          <w:rFonts w:ascii="Verdana" w:eastAsia="Arial" w:hAnsi="Verdana" w:cs="Arial"/>
          <w:lang w:val="es-MX" w:eastAsia="es-ES" w:bidi="es-ES"/>
        </w:rPr>
        <w:t xml:space="preserve"> los cuales la oferta del contratista fue considera</w:t>
      </w:r>
      <w:r w:rsidR="003609A4">
        <w:rPr>
          <w:rFonts w:ascii="Verdana" w:eastAsia="Arial" w:hAnsi="Verdana" w:cs="Arial"/>
          <w:lang w:val="es-MX" w:eastAsia="es-ES" w:bidi="es-ES"/>
        </w:rPr>
        <w:t>da</w:t>
      </w:r>
      <w:r w:rsidR="007A55FC" w:rsidRPr="00236B36">
        <w:rPr>
          <w:rFonts w:ascii="Verdana" w:eastAsia="Arial" w:hAnsi="Verdana" w:cs="Arial"/>
          <w:lang w:val="es-MX" w:eastAsia="es-ES" w:bidi="es-ES"/>
        </w:rPr>
        <w:t xml:space="preserve"> la más favorable</w:t>
      </w:r>
      <w:r w:rsidR="00774652" w:rsidRPr="00236B36">
        <w:rPr>
          <w:rFonts w:ascii="Verdana" w:eastAsia="Arial" w:hAnsi="Verdana" w:cs="Arial"/>
          <w:lang w:val="es-MX" w:eastAsia="es-ES" w:bidi="es-ES"/>
        </w:rPr>
        <w:t>,</w:t>
      </w:r>
      <w:r w:rsidR="00C07C66" w:rsidRPr="00236B36">
        <w:rPr>
          <w:rFonts w:ascii="Verdana" w:eastAsia="Arial" w:hAnsi="Verdana" w:cs="Arial"/>
          <w:lang w:val="es-MX" w:eastAsia="es-ES" w:bidi="es-ES"/>
        </w:rPr>
        <w:t xml:space="preserve"> estos</w:t>
      </w:r>
      <w:r w:rsidR="00774652" w:rsidRPr="00236B36">
        <w:rPr>
          <w:rFonts w:ascii="Verdana" w:eastAsia="Arial" w:hAnsi="Verdana" w:cs="Arial"/>
          <w:lang w:val="es-MX" w:eastAsia="es-ES" w:bidi="es-ES"/>
        </w:rPr>
        <w:t xml:space="preserve"> deben ser de estricta observancia </w:t>
      </w:r>
      <w:r w:rsidR="00C07C66" w:rsidRPr="00236B36">
        <w:rPr>
          <w:rFonts w:ascii="Verdana" w:eastAsia="Arial" w:hAnsi="Verdana" w:cs="Arial"/>
          <w:lang w:val="es-MX" w:eastAsia="es-ES" w:bidi="es-ES"/>
        </w:rPr>
        <w:t xml:space="preserve">y deben mantenerse </w:t>
      </w:r>
      <w:r w:rsidR="00774652" w:rsidRPr="00236B36">
        <w:rPr>
          <w:rFonts w:ascii="Verdana" w:eastAsia="Arial" w:hAnsi="Verdana" w:cs="Arial"/>
          <w:lang w:val="es-MX" w:eastAsia="es-ES" w:bidi="es-ES"/>
        </w:rPr>
        <w:t>durante la ejecución del contrato y en su liquidación, como garantía de inalterabilidad de lo pactado y de acatamiento a la legalidad de las reglas aplicadas en la actuación previa</w:t>
      </w:r>
      <w:r w:rsidR="00774652" w:rsidRPr="00236B36">
        <w:rPr>
          <w:rFonts w:ascii="Verdana" w:eastAsia="Arial" w:hAnsi="Verdana" w:cs="Arial"/>
          <w:lang w:val="es-ES_tradnl" w:eastAsia="es-ES" w:bidi="es-ES"/>
        </w:rPr>
        <w:t>.</w:t>
      </w:r>
      <w:r w:rsidR="00306D08" w:rsidRPr="00B34BB1">
        <w:rPr>
          <w:rFonts w:ascii="Verdana" w:eastAsia="Calibri" w:hAnsi="Verdana" w:cs="Arial"/>
          <w:bCs/>
          <w:lang w:eastAsia="es-ES_tradnl"/>
        </w:rPr>
        <w:t xml:space="preserve"> </w:t>
      </w:r>
    </w:p>
    <w:p w14:paraId="3CC6F8AD" w14:textId="1E192EE9" w:rsidR="00774652" w:rsidRPr="00236B36" w:rsidRDefault="00306D08" w:rsidP="00C330DD">
      <w:pPr>
        <w:widowControl w:val="0"/>
        <w:tabs>
          <w:tab w:val="left" w:pos="709"/>
        </w:tabs>
        <w:autoSpaceDE w:val="0"/>
        <w:autoSpaceDN w:val="0"/>
        <w:spacing w:after="120" w:line="276" w:lineRule="auto"/>
        <w:jc w:val="both"/>
        <w:rPr>
          <w:rFonts w:ascii="Verdana" w:eastAsia="Calibri" w:hAnsi="Verdana" w:cs="Arial"/>
          <w:lang w:eastAsia="es-ES_tradnl"/>
        </w:rPr>
      </w:pPr>
      <w:r w:rsidRPr="00661F0B">
        <w:rPr>
          <w:rFonts w:ascii="Verdana" w:eastAsia="Calibri" w:hAnsi="Verdana" w:cs="Arial"/>
          <w:bCs/>
          <w:lang w:eastAsia="es-ES_tradnl"/>
        </w:rPr>
        <w:tab/>
      </w:r>
      <w:r w:rsidRPr="00236B36">
        <w:rPr>
          <w:rFonts w:ascii="Verdana" w:eastAsia="Calibri" w:hAnsi="Verdana" w:cs="Arial"/>
          <w:lang w:eastAsia="es-ES_tradnl"/>
        </w:rPr>
        <w:t xml:space="preserve">Sumado a lo anterior, la posibilidad de </w:t>
      </w:r>
      <w:r w:rsidR="00697249" w:rsidRPr="00236B36">
        <w:rPr>
          <w:rFonts w:ascii="Verdana" w:eastAsia="Calibri" w:hAnsi="Verdana" w:cs="Arial"/>
          <w:lang w:eastAsia="es-ES_tradnl"/>
        </w:rPr>
        <w:t>ejecutar</w:t>
      </w:r>
      <w:r w:rsidR="00121C8D" w:rsidRPr="00236B36">
        <w:rPr>
          <w:rFonts w:ascii="Verdana" w:eastAsia="Calibri" w:hAnsi="Verdana" w:cs="Arial"/>
          <w:lang w:eastAsia="es-ES_tradnl"/>
        </w:rPr>
        <w:t xml:space="preserve"> por encima del valor inicialmente estimado</w:t>
      </w:r>
      <w:r w:rsidR="00697249" w:rsidRPr="00236B36">
        <w:rPr>
          <w:rFonts w:ascii="Verdana" w:eastAsia="Calibri" w:hAnsi="Verdana" w:cs="Arial"/>
          <w:lang w:eastAsia="es-ES_tradnl"/>
        </w:rPr>
        <w:t xml:space="preserve"> </w:t>
      </w:r>
      <w:r w:rsidRPr="00236B36">
        <w:rPr>
          <w:rFonts w:ascii="Verdana" w:eastAsia="Calibri" w:hAnsi="Verdana" w:cs="Arial"/>
          <w:lang w:eastAsia="es-ES_tradnl"/>
        </w:rPr>
        <w:t xml:space="preserve">un contrato </w:t>
      </w:r>
      <w:r w:rsidR="00121C8D" w:rsidRPr="00236B36">
        <w:rPr>
          <w:rFonts w:ascii="Verdana" w:eastAsia="Calibri" w:hAnsi="Verdana" w:cs="Arial"/>
          <w:lang w:eastAsia="es-ES_tradnl"/>
        </w:rPr>
        <w:t xml:space="preserve">estructurado en el marco del sistema </w:t>
      </w:r>
      <w:r w:rsidRPr="00236B36">
        <w:rPr>
          <w:rFonts w:ascii="Verdana" w:eastAsia="Calibri" w:hAnsi="Verdana" w:cs="Arial"/>
          <w:lang w:eastAsia="es-ES_tradnl"/>
        </w:rPr>
        <w:t>precios unitarios no puede usarse para inaplicar o desconocer la modalidad de selección aplicable al caso, de acuerdo con la cuantía del Proceso de Contratación, con miras a garantizar la transparencia, la selección objetiva y el principio de planeación en la actividad contractual.</w:t>
      </w:r>
    </w:p>
    <w:p w14:paraId="58FC0F48" w14:textId="400FD765" w:rsidR="006651EC" w:rsidRPr="00236B36" w:rsidRDefault="00121C8D" w:rsidP="00C330DD">
      <w:pPr>
        <w:widowControl w:val="0"/>
        <w:autoSpaceDE w:val="0"/>
        <w:autoSpaceDN w:val="0"/>
        <w:spacing w:after="120" w:line="276" w:lineRule="auto"/>
        <w:ind w:firstLine="708"/>
        <w:jc w:val="both"/>
        <w:rPr>
          <w:rFonts w:ascii="Verdana" w:hAnsi="Verdana"/>
        </w:rPr>
      </w:pPr>
      <w:r w:rsidRPr="00236B36">
        <w:rPr>
          <w:rFonts w:ascii="Verdana" w:eastAsia="Calibri" w:hAnsi="Verdana" w:cs="Arial"/>
        </w:rPr>
        <w:t>Lo anterior además considerando</w:t>
      </w:r>
      <w:r w:rsidR="0087088F" w:rsidRPr="00236B36">
        <w:rPr>
          <w:rFonts w:ascii="Verdana" w:eastAsia="Calibri" w:hAnsi="Verdana" w:cs="Arial"/>
        </w:rPr>
        <w:t xml:space="preserve"> </w:t>
      </w:r>
      <w:r w:rsidRPr="00236B36">
        <w:rPr>
          <w:rFonts w:ascii="Verdana" w:eastAsia="Calibri" w:hAnsi="Verdana" w:cs="Arial"/>
        </w:rPr>
        <w:t>qu</w:t>
      </w:r>
      <w:r w:rsidR="001B2EB1" w:rsidRPr="00236B36">
        <w:rPr>
          <w:rFonts w:ascii="Verdana" w:eastAsia="Calibri" w:hAnsi="Verdana" w:cs="Arial"/>
        </w:rPr>
        <w:t>e,</w:t>
      </w:r>
      <w:r w:rsidR="0052087F" w:rsidRPr="00236B36">
        <w:rPr>
          <w:rFonts w:ascii="Verdana" w:eastAsia="Calibri" w:hAnsi="Verdana" w:cs="Arial"/>
        </w:rPr>
        <w:t xml:space="preserve"> si bien</w:t>
      </w:r>
      <w:r w:rsidR="001B2EB1" w:rsidRPr="00236B36">
        <w:rPr>
          <w:rFonts w:ascii="Verdana" w:eastAsia="Calibri" w:hAnsi="Verdana" w:cs="Arial"/>
        </w:rPr>
        <w:t xml:space="preserve"> </w:t>
      </w:r>
      <w:r w:rsidR="0052087F" w:rsidRPr="00236B36">
        <w:rPr>
          <w:rFonts w:ascii="Verdana" w:eastAsia="Calibri" w:hAnsi="Verdana" w:cs="Arial"/>
        </w:rPr>
        <w:t xml:space="preserve">en </w:t>
      </w:r>
      <w:r w:rsidRPr="00236B36">
        <w:rPr>
          <w:rFonts w:ascii="Verdana" w:eastAsia="Calibri" w:hAnsi="Verdana" w:cs="Arial"/>
        </w:rPr>
        <w:t xml:space="preserve">los </w:t>
      </w:r>
      <w:r w:rsidR="0087088F" w:rsidRPr="00236B36">
        <w:rPr>
          <w:rFonts w:ascii="Verdana" w:eastAsia="Calibri" w:hAnsi="Verdana" w:cs="Arial"/>
        </w:rPr>
        <w:t xml:space="preserve">contratos </w:t>
      </w:r>
      <w:r w:rsidR="0052087F" w:rsidRPr="00236B36">
        <w:rPr>
          <w:rFonts w:ascii="Verdana" w:eastAsia="Calibri" w:hAnsi="Verdana" w:cs="Arial"/>
        </w:rPr>
        <w:t xml:space="preserve">pactados en la </w:t>
      </w:r>
      <w:r w:rsidR="0087088F" w:rsidRPr="00236B36">
        <w:rPr>
          <w:rFonts w:ascii="Verdana" w:hAnsi="Verdana"/>
        </w:rPr>
        <w:t xml:space="preserve">modalidad de precios unitarios el valor </w:t>
      </w:r>
      <w:r w:rsidR="0052087F" w:rsidRPr="00236B36">
        <w:rPr>
          <w:rFonts w:ascii="Verdana" w:hAnsi="Verdana"/>
        </w:rPr>
        <w:t xml:space="preserve">inicial </w:t>
      </w:r>
      <w:r w:rsidR="007A1A1B">
        <w:rPr>
          <w:rFonts w:ascii="Verdana" w:hAnsi="Verdana"/>
        </w:rPr>
        <w:t xml:space="preserve">es </w:t>
      </w:r>
      <w:r w:rsidR="0087088F" w:rsidRPr="00236B36">
        <w:rPr>
          <w:rFonts w:ascii="Verdana" w:hAnsi="Verdana"/>
        </w:rPr>
        <w:t xml:space="preserve">estimativo, mientras que el valor real es el que resulta una vez se ha terminado la ejecución del contrato, lo cierto es que el valor estimado debe obedecer a estudios previos que determinen de la manera más exacta posible las cantidades de obra. </w:t>
      </w:r>
      <w:r w:rsidR="0093401A" w:rsidRPr="00236B36">
        <w:rPr>
          <w:rFonts w:ascii="Verdana" w:hAnsi="Verdana"/>
        </w:rPr>
        <w:t xml:space="preserve">Esto además es el presupuesto </w:t>
      </w:r>
      <w:r w:rsidR="005C42D4" w:rsidRPr="00236B36">
        <w:rPr>
          <w:rFonts w:ascii="Verdana" w:hAnsi="Verdana"/>
        </w:rPr>
        <w:t xml:space="preserve">sobre el cual la Entidad Estatal contratante genera las apropiaciones presupuestales para </w:t>
      </w:r>
      <w:r w:rsidR="003149CC" w:rsidRPr="00236B36">
        <w:rPr>
          <w:rFonts w:ascii="Verdana" w:hAnsi="Verdana"/>
        </w:rPr>
        <w:t xml:space="preserve">ejecutar el contrato. </w:t>
      </w:r>
    </w:p>
    <w:p w14:paraId="7C89C153" w14:textId="047BD0F7" w:rsidR="006A5EAB" w:rsidRPr="00236B36" w:rsidRDefault="000359CD" w:rsidP="00C330DD">
      <w:pPr>
        <w:widowControl w:val="0"/>
        <w:autoSpaceDE w:val="0"/>
        <w:autoSpaceDN w:val="0"/>
        <w:spacing w:after="120" w:line="276" w:lineRule="auto"/>
        <w:ind w:firstLine="708"/>
        <w:jc w:val="both"/>
        <w:rPr>
          <w:rFonts w:ascii="Verdana" w:hAnsi="Verdana"/>
        </w:rPr>
      </w:pPr>
      <w:r w:rsidRPr="00236B36">
        <w:rPr>
          <w:rFonts w:ascii="Verdana" w:hAnsi="Verdana"/>
        </w:rPr>
        <w:t xml:space="preserve">En consideración a lo anterior, y </w:t>
      </w:r>
      <w:r w:rsidR="0087088F" w:rsidRPr="00236B36">
        <w:rPr>
          <w:rFonts w:ascii="Verdana" w:hAnsi="Verdana"/>
        </w:rPr>
        <w:t>en atención a los principios que rigen la contratación estatal,</w:t>
      </w:r>
      <w:r w:rsidRPr="00236B36">
        <w:rPr>
          <w:rFonts w:ascii="Verdana" w:hAnsi="Verdana"/>
        </w:rPr>
        <w:t xml:space="preserve"> estima esta Subdirección que</w:t>
      </w:r>
      <w:r w:rsidR="0087088F" w:rsidRPr="00236B36">
        <w:rPr>
          <w:rFonts w:ascii="Verdana" w:hAnsi="Verdana"/>
        </w:rPr>
        <w:t xml:space="preserve"> no pueden pactarse cantidades de obra de manera indeterminada</w:t>
      </w:r>
      <w:r w:rsidRPr="00236B36">
        <w:rPr>
          <w:rFonts w:ascii="Verdana" w:hAnsi="Verdana"/>
        </w:rPr>
        <w:t>s</w:t>
      </w:r>
      <w:r w:rsidR="0087088F" w:rsidRPr="00236B36">
        <w:rPr>
          <w:rFonts w:ascii="Verdana" w:hAnsi="Verdana"/>
        </w:rPr>
        <w:t xml:space="preserve"> sin fijar las reglas claras para determinarl</w:t>
      </w:r>
      <w:r w:rsidRPr="00236B36">
        <w:rPr>
          <w:rFonts w:ascii="Verdana" w:hAnsi="Verdana"/>
        </w:rPr>
        <w:t>as</w:t>
      </w:r>
      <w:r w:rsidR="0087088F" w:rsidRPr="00236B36">
        <w:rPr>
          <w:rFonts w:ascii="Verdana" w:hAnsi="Verdana"/>
        </w:rPr>
        <w:t xml:space="preserve">. Además, las variaciones del valor estimado respecto del valor </w:t>
      </w:r>
      <w:r w:rsidR="0087088F" w:rsidRPr="00236B36">
        <w:rPr>
          <w:rFonts w:ascii="Verdana" w:hAnsi="Verdana"/>
        </w:rPr>
        <w:lastRenderedPageBreak/>
        <w:t>final deben ser mínimas.</w:t>
      </w:r>
      <w:r w:rsidR="006651EC" w:rsidRPr="00236B36">
        <w:rPr>
          <w:rFonts w:ascii="Verdana" w:eastAsia="Calibri" w:hAnsi="Verdana" w:cs="Arial"/>
        </w:rPr>
        <w:t xml:space="preserve"> </w:t>
      </w:r>
      <w:r w:rsidR="0087088F" w:rsidRPr="00236B36">
        <w:rPr>
          <w:rFonts w:ascii="Verdana" w:eastAsia="Calibri" w:hAnsi="Verdana" w:cs="Arial"/>
        </w:rPr>
        <w:t>Al respecto, l</w:t>
      </w:r>
      <w:r w:rsidR="0087088F" w:rsidRPr="00236B36">
        <w:rPr>
          <w:rFonts w:ascii="Verdana" w:hAnsi="Verdana"/>
        </w:rPr>
        <w:t>a doctrina ha señalado respecto a los contratos de obra a precios unitarios que, el número de unidades debe estar dentro de ciertos límites, porque de lo contrario el contrato quedaría de valor indeterminado</w:t>
      </w:r>
      <w:r w:rsidR="0087088F" w:rsidRPr="00236B36">
        <w:rPr>
          <w:rStyle w:val="Refdenotaalpie"/>
          <w:rFonts w:ascii="Verdana" w:hAnsi="Verdana"/>
        </w:rPr>
        <w:footnoteReference w:id="32"/>
      </w:r>
      <w:r w:rsidR="0087088F" w:rsidRPr="00236B36">
        <w:rPr>
          <w:rFonts w:ascii="Verdana" w:hAnsi="Verdana"/>
        </w:rPr>
        <w:t>. En el mismo sentido, el Consejo de Estado ha señalado que, el hecho de no fijar reglas claras dentro del contrato estatal que permitan de forma cierta y concreta definir el valor final del contrato, violaría el deber de planeación y los principios de la contratación administrativa de transparencia, selección objetiva, igualdad, imparcialidad, economía, libre concurrencia, pues se estaría permitiendo el aumento del valor inicial del contrato sin criterios objetivos. Además, se transgrediría la obligación legal de tener estudios previos definidos, claros y objetivos</w:t>
      </w:r>
      <w:r w:rsidR="0087088F" w:rsidRPr="00236B36">
        <w:rPr>
          <w:rStyle w:val="Refdenotaalpie"/>
          <w:rFonts w:ascii="Verdana" w:hAnsi="Verdana"/>
        </w:rPr>
        <w:footnoteReference w:id="33"/>
      </w:r>
      <w:r w:rsidR="0087088F" w:rsidRPr="00236B36">
        <w:rPr>
          <w:rFonts w:ascii="Verdana" w:hAnsi="Verdana"/>
        </w:rPr>
        <w:t>.</w:t>
      </w:r>
    </w:p>
    <w:p w14:paraId="5D5CD678" w14:textId="50AECF7B" w:rsidR="0087088F" w:rsidRPr="00236B36" w:rsidRDefault="0087088F" w:rsidP="00C330DD">
      <w:pPr>
        <w:widowControl w:val="0"/>
        <w:autoSpaceDE w:val="0"/>
        <w:autoSpaceDN w:val="0"/>
        <w:spacing w:after="120" w:line="276" w:lineRule="auto"/>
        <w:ind w:firstLine="708"/>
        <w:jc w:val="both"/>
        <w:rPr>
          <w:rFonts w:ascii="Verdana" w:hAnsi="Verdana"/>
        </w:rPr>
      </w:pPr>
      <w:r w:rsidRPr="00236B36">
        <w:rPr>
          <w:rFonts w:ascii="Verdana" w:eastAsia="Calibri" w:hAnsi="Verdana" w:cs="Arial"/>
        </w:rPr>
        <w:t>Por consiguiente, pese a la posibilidad de que se varíen de las cantidades de obra, los contratos a precios unitarios tienen un valor inicial que obedece a la estructuración y planificación que los procede</w:t>
      </w:r>
      <w:r w:rsidRPr="00236B36">
        <w:rPr>
          <w:rStyle w:val="Refdenotaalpie"/>
          <w:rFonts w:ascii="Verdana" w:eastAsia="Calibri" w:hAnsi="Verdana" w:cs="Arial"/>
        </w:rPr>
        <w:footnoteReference w:id="34"/>
      </w:r>
      <w:r w:rsidRPr="00236B36">
        <w:rPr>
          <w:rFonts w:ascii="Verdana" w:eastAsia="Calibri" w:hAnsi="Verdana" w:cs="Arial"/>
        </w:rPr>
        <w:t>. En ese sentido, aun cuando el Consejo de Estado ha considerado la posibilidad de ejecutar incluso en valores mayores al cincuenta por ciento (50%) en el sistema de precios unitarios, lo cierto es que</w:t>
      </w:r>
      <w:r w:rsidR="00996933" w:rsidRPr="00236B36">
        <w:rPr>
          <w:rFonts w:ascii="Verdana" w:eastAsia="Calibri" w:hAnsi="Verdana" w:cs="Arial"/>
        </w:rPr>
        <w:t>,</w:t>
      </w:r>
      <w:r w:rsidRPr="00236B36">
        <w:rPr>
          <w:rFonts w:ascii="Verdana" w:eastAsia="Calibri" w:hAnsi="Verdana" w:cs="Arial"/>
        </w:rPr>
        <w:t xml:space="preserve"> </w:t>
      </w:r>
      <w:r w:rsidR="00996933" w:rsidRPr="00236B36">
        <w:rPr>
          <w:rFonts w:ascii="Verdana" w:eastAsia="Calibri" w:hAnsi="Verdana" w:cs="Arial"/>
        </w:rPr>
        <w:t xml:space="preserve">situaciones en las que se </w:t>
      </w:r>
      <w:r w:rsidR="009C3DB7" w:rsidRPr="00236B36">
        <w:rPr>
          <w:rFonts w:ascii="Verdana" w:eastAsia="Calibri" w:hAnsi="Verdana" w:cs="Arial"/>
        </w:rPr>
        <w:t>ejecuta de manera desproporcionada el valor</w:t>
      </w:r>
      <w:r w:rsidR="00623541" w:rsidRPr="00236B36">
        <w:rPr>
          <w:rFonts w:ascii="Verdana" w:eastAsia="Calibri" w:hAnsi="Verdana" w:cs="Arial"/>
        </w:rPr>
        <w:t xml:space="preserve"> inicial de un</w:t>
      </w:r>
      <w:r w:rsidR="009C3DB7" w:rsidRPr="00236B36">
        <w:rPr>
          <w:rFonts w:ascii="Verdana" w:eastAsia="Calibri" w:hAnsi="Verdana" w:cs="Arial"/>
        </w:rPr>
        <w:t xml:space="preserve"> con</w:t>
      </w:r>
      <w:r w:rsidR="00623541" w:rsidRPr="00236B36">
        <w:rPr>
          <w:rFonts w:ascii="Verdana" w:eastAsia="Calibri" w:hAnsi="Verdana" w:cs="Arial"/>
        </w:rPr>
        <w:t>trato</w:t>
      </w:r>
      <w:r w:rsidR="009C3DB7" w:rsidRPr="00236B36">
        <w:rPr>
          <w:rFonts w:ascii="Verdana" w:eastAsia="Calibri" w:hAnsi="Verdana" w:cs="Arial"/>
        </w:rPr>
        <w:t xml:space="preserve"> estatal</w:t>
      </w:r>
      <w:r w:rsidR="00623541" w:rsidRPr="00236B36">
        <w:rPr>
          <w:rFonts w:ascii="Verdana" w:eastAsia="Calibri" w:hAnsi="Verdana" w:cs="Arial"/>
        </w:rPr>
        <w:t>, pueden</w:t>
      </w:r>
      <w:r w:rsidRPr="00236B36">
        <w:rPr>
          <w:rFonts w:ascii="Verdana" w:eastAsia="Calibri" w:hAnsi="Verdana" w:cs="Arial"/>
        </w:rPr>
        <w:t xml:space="preserve"> </w:t>
      </w:r>
      <w:r w:rsidR="005C2CB4" w:rsidRPr="00236B36">
        <w:rPr>
          <w:rFonts w:ascii="Verdana" w:eastAsia="Calibri" w:hAnsi="Verdana" w:cs="Arial"/>
        </w:rPr>
        <w:t>s</w:t>
      </w:r>
      <w:r w:rsidR="00031D8C" w:rsidRPr="00236B36">
        <w:rPr>
          <w:rFonts w:ascii="Verdana" w:eastAsia="Calibri" w:hAnsi="Verdana" w:cs="Arial"/>
        </w:rPr>
        <w:t>er</w:t>
      </w:r>
      <w:r w:rsidRPr="00236B36">
        <w:rPr>
          <w:rFonts w:ascii="Verdana" w:eastAsia="Calibri" w:hAnsi="Verdana" w:cs="Arial"/>
        </w:rPr>
        <w:t xml:space="preserve"> </w:t>
      </w:r>
      <w:r w:rsidR="00031D8C" w:rsidRPr="00236B36">
        <w:rPr>
          <w:rFonts w:ascii="Verdana" w:eastAsia="Calibri" w:hAnsi="Verdana" w:cs="Arial"/>
        </w:rPr>
        <w:t>sintomáticas</w:t>
      </w:r>
      <w:r w:rsidRPr="00236B36">
        <w:rPr>
          <w:rFonts w:ascii="Verdana" w:eastAsia="Calibri" w:hAnsi="Verdana" w:cs="Arial"/>
        </w:rPr>
        <w:t xml:space="preserve"> </w:t>
      </w:r>
      <w:r w:rsidR="00031D8C" w:rsidRPr="00236B36">
        <w:rPr>
          <w:rFonts w:ascii="Verdana" w:eastAsia="Calibri" w:hAnsi="Verdana" w:cs="Arial"/>
        </w:rPr>
        <w:t xml:space="preserve">de </w:t>
      </w:r>
      <w:r w:rsidRPr="00236B36">
        <w:rPr>
          <w:rFonts w:ascii="Verdana" w:eastAsia="Calibri" w:hAnsi="Verdana" w:cs="Arial"/>
        </w:rPr>
        <w:t xml:space="preserve">falencias en la planeación </w:t>
      </w:r>
      <w:r w:rsidR="00031D8C" w:rsidRPr="00236B36">
        <w:rPr>
          <w:rFonts w:ascii="Verdana" w:eastAsia="Calibri" w:hAnsi="Verdana" w:cs="Arial"/>
        </w:rPr>
        <w:t>del contrat</w:t>
      </w:r>
      <w:r w:rsidR="00681ECF" w:rsidRPr="00236B36">
        <w:rPr>
          <w:rFonts w:ascii="Verdana" w:eastAsia="Calibri" w:hAnsi="Verdana" w:cs="Arial"/>
        </w:rPr>
        <w:t>o.</w:t>
      </w:r>
    </w:p>
    <w:p w14:paraId="2A1420D6" w14:textId="42C72FC8" w:rsidR="006E7B3F" w:rsidRPr="00236B36" w:rsidRDefault="000D3A2B" w:rsidP="00C330DD">
      <w:pPr>
        <w:widowControl w:val="0"/>
        <w:autoSpaceDE w:val="0"/>
        <w:autoSpaceDN w:val="0"/>
        <w:spacing w:after="120" w:line="276" w:lineRule="auto"/>
        <w:ind w:firstLine="708"/>
        <w:jc w:val="both"/>
        <w:rPr>
          <w:rFonts w:ascii="Verdana" w:eastAsia="Calibri" w:hAnsi="Verdana" w:cs="Arial"/>
        </w:rPr>
      </w:pPr>
      <w:r w:rsidRPr="00236B36">
        <w:rPr>
          <w:rFonts w:ascii="Verdana" w:eastAsia="Calibri" w:hAnsi="Verdana" w:cs="Arial"/>
        </w:rPr>
        <w:t xml:space="preserve"> </w:t>
      </w:r>
      <w:r w:rsidR="006E7B3F" w:rsidRPr="00236B36">
        <w:rPr>
          <w:rFonts w:ascii="Verdana" w:eastAsia="Calibri" w:hAnsi="Verdana" w:cs="Arial"/>
        </w:rPr>
        <w:t xml:space="preserve">El principio de planeación exige a las entidades </w:t>
      </w:r>
      <w:r w:rsidR="006E7B3F" w:rsidRPr="00236B36">
        <w:rPr>
          <w:rFonts w:ascii="Verdana" w:eastAsia="Calibri" w:hAnsi="Verdana" w:cs="Arial"/>
          <w:lang w:eastAsia="es-ES_tradnl"/>
        </w:rPr>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006E7B3F" w:rsidRPr="00236B36">
        <w:rPr>
          <w:rFonts w:ascii="Verdana" w:eastAsia="Calibri" w:hAnsi="Verdana" w:cs="Arial"/>
          <w:i/>
          <w:lang w:eastAsia="es-ES_tradnl"/>
        </w:rPr>
        <w:t>precios</w:t>
      </w:r>
      <w:r w:rsidR="006E7B3F" w:rsidRPr="00236B36">
        <w:rPr>
          <w:rFonts w:ascii="Verdana" w:eastAsia="Calibri" w:hAnsi="Verdana" w:cs="Arial"/>
          <w:lang w:eastAsia="es-ES_tradnl"/>
        </w:rPr>
        <w:t xml:space="preserve">, costos, riesgos, garantías, disponibilidad, oferentes, etc. </w:t>
      </w:r>
      <w:r w:rsidR="0065374D" w:rsidRPr="00236B36">
        <w:rPr>
          <w:rFonts w:ascii="Verdana" w:eastAsia="Calibri" w:hAnsi="Verdana" w:cs="Arial"/>
        </w:rPr>
        <w:t xml:space="preserve"> </w:t>
      </w:r>
      <w:r w:rsidR="006E7B3F" w:rsidRPr="00236B36">
        <w:rPr>
          <w:rFonts w:ascii="Verdana" w:eastAsia="Calibri" w:hAnsi="Verdana" w:cs="Arial"/>
        </w:rPr>
        <w:t>La planeación del contrato estatal se configura como un presupuesto</w:t>
      </w:r>
      <w:r w:rsidR="0065374D" w:rsidRPr="00236B36">
        <w:rPr>
          <w:rFonts w:ascii="Verdana" w:eastAsia="Calibri" w:hAnsi="Verdana" w:cs="Arial"/>
        </w:rPr>
        <w:t xml:space="preserve"> esencial</w:t>
      </w:r>
      <w:r w:rsidR="006E7B3F" w:rsidRPr="00236B36">
        <w:rPr>
          <w:rFonts w:ascii="Verdana" w:eastAsia="Calibri" w:hAnsi="Verdana" w:cs="Arial"/>
        </w:rPr>
        <w:t xml:space="preserve">, según el cual la selección de contratistas, la celebración de contratos, la ejecución y liquidación de </w:t>
      </w:r>
      <w:proofErr w:type="gramStart"/>
      <w:r w:rsidR="006E7B3F" w:rsidRPr="00236B36">
        <w:rPr>
          <w:rFonts w:ascii="Verdana" w:eastAsia="Calibri" w:hAnsi="Verdana" w:cs="Arial"/>
        </w:rPr>
        <w:t>los mismos</w:t>
      </w:r>
      <w:proofErr w:type="gramEnd"/>
      <w:r w:rsidR="006E7B3F" w:rsidRPr="00236B36">
        <w:rPr>
          <w:rFonts w:ascii="Verdana" w:eastAsia="Calibri" w:hAnsi="Verdana" w:cs="Arial"/>
        </w:rPr>
        <w:t xml:space="preserve"> no pueden ser, de ninguna manera, producto de la improvisación</w:t>
      </w:r>
      <w:r w:rsidR="006E7B3F" w:rsidRPr="00236B36">
        <w:rPr>
          <w:rStyle w:val="Refdenotaalpie"/>
          <w:rFonts w:ascii="Verdana" w:eastAsia="Calibri" w:hAnsi="Verdana" w:cs="Arial"/>
        </w:rPr>
        <w:footnoteReference w:id="35"/>
      </w:r>
      <w:r w:rsidR="006E7B3F" w:rsidRPr="00236B36">
        <w:rPr>
          <w:rFonts w:ascii="Verdana" w:eastAsia="Calibri" w:hAnsi="Verdana" w:cs="Arial"/>
        </w:rPr>
        <w:t xml:space="preserve">. En </w:t>
      </w:r>
      <w:r w:rsidR="001B1C31">
        <w:rPr>
          <w:rFonts w:ascii="Verdana" w:eastAsia="Calibri" w:hAnsi="Verdana" w:cs="Arial"/>
        </w:rPr>
        <w:t>consecuencia</w:t>
      </w:r>
      <w:r w:rsidR="006E7B3F" w:rsidRPr="00236B36">
        <w:rPr>
          <w:rFonts w:ascii="Verdana" w:eastAsia="Calibri" w:hAnsi="Verdana" w:cs="Arial"/>
        </w:rPr>
        <w:t xml:space="preserve">, debe hacerse un plan detallado de lo que se quiere contratar y de </w:t>
      </w:r>
      <w:r w:rsidR="006E7B3F" w:rsidRPr="00236B36">
        <w:rPr>
          <w:rFonts w:ascii="Verdana" w:eastAsia="Calibri" w:hAnsi="Verdana" w:cs="Arial"/>
        </w:rPr>
        <w:lastRenderedPageBreak/>
        <w:t xml:space="preserve">los medios técnicos y económicos con los que se cuenta para alcanzarlo, para con base en ello realizar un procedimiento legalmente idóneo a fin de escoger al particular o </w:t>
      </w:r>
      <w:r w:rsidR="00C338F2" w:rsidRPr="00C338F2">
        <w:rPr>
          <w:rFonts w:ascii="Verdana" w:eastAsia="Calibri" w:hAnsi="Verdana" w:cs="Arial"/>
        </w:rPr>
        <w:t xml:space="preserve">Entidad Pública </w:t>
      </w:r>
      <w:r w:rsidR="006E7B3F" w:rsidRPr="00236B36">
        <w:rPr>
          <w:rFonts w:ascii="Verdana" w:eastAsia="Calibri" w:hAnsi="Verdana" w:cs="Arial"/>
        </w:rPr>
        <w:t>que colaborara en la consecución de la obra, bien o servicio determinado, realizar las previsiones técnicas, legales y económicas a que haya lugar para afrontar las contingencias previsibles que puedan afectar el desarrollo del contrato, y contar con elementos en lo posible suficientes para actuar ante situaciones inesperadas.</w:t>
      </w:r>
    </w:p>
    <w:p w14:paraId="613C75C6" w14:textId="77777777" w:rsidR="006E7B3F" w:rsidRPr="00236B36" w:rsidRDefault="006E7B3F" w:rsidP="00C330DD">
      <w:pPr>
        <w:widowControl w:val="0"/>
        <w:autoSpaceDE w:val="0"/>
        <w:autoSpaceDN w:val="0"/>
        <w:spacing w:after="120" w:line="276" w:lineRule="auto"/>
        <w:ind w:firstLine="708"/>
        <w:jc w:val="both"/>
        <w:rPr>
          <w:rFonts w:ascii="Verdana" w:eastAsia="Calibri" w:hAnsi="Verdana" w:cs="Arial"/>
        </w:rPr>
      </w:pPr>
      <w:r w:rsidRPr="00236B36">
        <w:rPr>
          <w:rFonts w:ascii="Verdana" w:eastAsia="Calibri" w:hAnsi="Verdana" w:cs="Arial"/>
        </w:rPr>
        <w:t>Por otro lado, también es importante señalar que la planeación, como herramienta para la gestión contractual pública, implica que todo proyecto que pretenda adelantar las Entidades Estatales esté precedido de estudios encaminados a determinar su viabilidad económica, con ello se pretende dar racionalidad del gasto público, en concordancia con las necesidades públicas en un momento determinado, razón por la cual, previo a la ejecución del contrato, la Administración debe realizar los estudios del valor aproximado, de acuerdo con la fluctuación y estado del mercado</w:t>
      </w:r>
      <w:r w:rsidRPr="00236B36">
        <w:rPr>
          <w:rStyle w:val="Refdenotaalpie"/>
          <w:rFonts w:ascii="Verdana" w:eastAsia="Calibri" w:hAnsi="Verdana" w:cs="Arial"/>
        </w:rPr>
        <w:footnoteReference w:id="36"/>
      </w:r>
      <w:r w:rsidRPr="00236B36">
        <w:rPr>
          <w:rFonts w:ascii="Verdana" w:eastAsia="Calibri" w:hAnsi="Verdana" w:cs="Arial"/>
        </w:rPr>
        <w:t xml:space="preserve">.  </w:t>
      </w:r>
    </w:p>
    <w:p w14:paraId="677F2A6F" w14:textId="36D22BFD" w:rsidR="006E7B3F" w:rsidRPr="00C330DD" w:rsidRDefault="006E7B3F" w:rsidP="00C330DD">
      <w:pPr>
        <w:widowControl w:val="0"/>
        <w:autoSpaceDE w:val="0"/>
        <w:autoSpaceDN w:val="0"/>
        <w:spacing w:after="120" w:line="276" w:lineRule="auto"/>
        <w:ind w:firstLine="708"/>
        <w:jc w:val="both"/>
        <w:rPr>
          <w:rFonts w:ascii="Verdana" w:eastAsia="Calibri" w:hAnsi="Verdana" w:cs="Arial"/>
        </w:rPr>
      </w:pPr>
      <w:r w:rsidRPr="00236B36">
        <w:rPr>
          <w:rFonts w:ascii="Verdana" w:eastAsia="Calibri" w:hAnsi="Verdana" w:cs="Arial"/>
        </w:rPr>
        <w:t>Las omisiones o errores que cometan las Entidades Públicas en esta etapa podrán verse reflejadas en la ejecución del contrato, provocando incluso la nulidad absoluta del mismo o la necesidad de ajustar el contrato a la realidad del bien, obra o servicio, contratada, el reconocimiento de mayores costos en los eventos en los que haya lugar y, en el caso más extremo, el rompimiento del equilibrio económico.</w:t>
      </w:r>
      <w:r w:rsidR="002050E0" w:rsidRPr="00236B36">
        <w:rPr>
          <w:rFonts w:ascii="Verdana" w:eastAsia="Calibri" w:hAnsi="Verdana" w:cs="Arial"/>
        </w:rPr>
        <w:t xml:space="preserve"> Así mismo, las omisiones o errores pueden conllevar a un detrimento patrimonial, que incluso implique la responsabilidad fiscal del funcionario.</w:t>
      </w:r>
      <w:r w:rsidR="002050E0" w:rsidRPr="00C330DD">
        <w:rPr>
          <w:rFonts w:ascii="Verdana" w:eastAsia="Calibri" w:hAnsi="Verdana" w:cs="Arial"/>
        </w:rPr>
        <w:t xml:space="preserve"> </w:t>
      </w:r>
    </w:p>
    <w:p w14:paraId="7F1BFE44" w14:textId="6E80E69E" w:rsidR="00981B9A" w:rsidRPr="00C330DD" w:rsidRDefault="00981B9A" w:rsidP="00C330DD">
      <w:pPr>
        <w:widowControl w:val="0"/>
        <w:autoSpaceDE w:val="0"/>
        <w:autoSpaceDN w:val="0"/>
        <w:spacing w:after="120" w:line="276" w:lineRule="auto"/>
        <w:ind w:firstLine="708"/>
        <w:jc w:val="both"/>
        <w:rPr>
          <w:rFonts w:ascii="Verdana" w:eastAsia="Calibri" w:hAnsi="Verdana" w:cs="Arial"/>
        </w:rPr>
      </w:pPr>
      <w:r w:rsidRPr="00236B36">
        <w:rPr>
          <w:rFonts w:ascii="Verdana" w:eastAsia="Calibri" w:hAnsi="Verdana" w:cs="Arial"/>
        </w:rPr>
        <w:t>Conforme a lo expuesto,</w:t>
      </w:r>
      <w:r w:rsidR="00AD777B" w:rsidRPr="00236B36">
        <w:rPr>
          <w:rFonts w:ascii="Verdana" w:eastAsia="Calibri" w:hAnsi="Verdana" w:cs="Arial"/>
        </w:rPr>
        <w:t xml:space="preserve"> es posible extraer los siguientes lineamientos orientadores para determinar si es o no procedente modificar un contrato y los </w:t>
      </w:r>
      <w:r w:rsidR="00063B66" w:rsidRPr="00063B66">
        <w:rPr>
          <w:rFonts w:ascii="Verdana" w:eastAsia="Calibri" w:hAnsi="Verdana" w:cs="Arial"/>
        </w:rPr>
        <w:t>límites</w:t>
      </w:r>
      <w:r w:rsidR="00AD777B" w:rsidRPr="00236B36">
        <w:rPr>
          <w:rFonts w:ascii="Verdana" w:eastAsia="Calibri" w:hAnsi="Verdana" w:cs="Arial"/>
        </w:rPr>
        <w:t xml:space="preserve"> que se deben respetar:</w:t>
      </w:r>
      <w:r w:rsidR="00AD777B" w:rsidRPr="00C330DD">
        <w:rPr>
          <w:rFonts w:ascii="Verdana" w:eastAsia="Calibri" w:hAnsi="Verdana" w:cs="Arial"/>
        </w:rPr>
        <w:t xml:space="preserve"> </w:t>
      </w:r>
    </w:p>
    <w:p w14:paraId="5F692B7F" w14:textId="5D765358" w:rsidR="00C330DD" w:rsidRPr="00236B36" w:rsidRDefault="00D05025" w:rsidP="00236B36">
      <w:pPr>
        <w:widowControl w:val="0"/>
        <w:autoSpaceDE w:val="0"/>
        <w:autoSpaceDN w:val="0"/>
        <w:spacing w:after="120" w:line="276" w:lineRule="auto"/>
        <w:ind w:firstLine="708"/>
        <w:jc w:val="both"/>
        <w:rPr>
          <w:rFonts w:ascii="Verdana" w:hAnsi="Verdana"/>
        </w:rPr>
      </w:pPr>
      <w:r w:rsidRPr="00236B36">
        <w:rPr>
          <w:rFonts w:ascii="Verdana" w:hAnsi="Verdana"/>
          <w:i/>
        </w:rPr>
        <w:t>i)</w:t>
      </w:r>
      <w:r w:rsidRPr="00236B36">
        <w:rPr>
          <w:rFonts w:ascii="Verdana" w:hAnsi="Verdana"/>
        </w:rPr>
        <w:t xml:space="preserve"> </w:t>
      </w:r>
      <w:r w:rsidR="005D27E1" w:rsidRPr="00236B36">
        <w:rPr>
          <w:rFonts w:ascii="Verdana" w:hAnsi="Verdana"/>
        </w:rPr>
        <w:t>A</w:t>
      </w:r>
      <w:r w:rsidR="00142165" w:rsidRPr="00236B36">
        <w:rPr>
          <w:rFonts w:ascii="Verdana" w:hAnsi="Verdana"/>
        </w:rPr>
        <w:t xml:space="preserve"> los contratos de obra suscritos a precios unitarios, la mayor cantidad de obra ejecutada por encima del valor estimativo inicial en los contratos a precios unitarios no implica en forma alguna un cambio de objeto o en su valor. Por tal razón, el reconocimiento de mayores cantidades de obra, previamente autorizadas y recibidas por la entidad contratante, </w:t>
      </w:r>
      <w:r w:rsidR="00C330DD" w:rsidRPr="00236B36">
        <w:rPr>
          <w:rFonts w:ascii="Verdana" w:hAnsi="Verdana"/>
        </w:rPr>
        <w:t>no está sometida a</w:t>
      </w:r>
      <w:r w:rsidR="00142165" w:rsidRPr="00236B36">
        <w:rPr>
          <w:rFonts w:ascii="Verdana" w:hAnsi="Verdana"/>
        </w:rPr>
        <w:t xml:space="preserve">l límite cuantitativo establecido en el artículo 40 de la Ley 80 de 1993. </w:t>
      </w:r>
    </w:p>
    <w:p w14:paraId="4FC68B65" w14:textId="5CB69B34" w:rsidR="00FD4E36" w:rsidRPr="00236B36" w:rsidRDefault="007076AD" w:rsidP="00236B36">
      <w:pPr>
        <w:widowControl w:val="0"/>
        <w:autoSpaceDE w:val="0"/>
        <w:autoSpaceDN w:val="0"/>
        <w:spacing w:after="120" w:line="276" w:lineRule="auto"/>
        <w:ind w:firstLine="708"/>
        <w:jc w:val="both"/>
        <w:rPr>
          <w:rFonts w:ascii="Verdana" w:hAnsi="Verdana"/>
        </w:rPr>
      </w:pPr>
      <w:proofErr w:type="spellStart"/>
      <w:r w:rsidRPr="00236B36">
        <w:rPr>
          <w:rFonts w:ascii="Verdana" w:hAnsi="Verdana"/>
          <w:i/>
        </w:rPr>
        <w:t>ii</w:t>
      </w:r>
      <w:proofErr w:type="spellEnd"/>
      <w:r w:rsidRPr="00236B36">
        <w:rPr>
          <w:rFonts w:ascii="Verdana" w:hAnsi="Verdana"/>
          <w:i/>
        </w:rPr>
        <w:t>)</w:t>
      </w:r>
      <w:r w:rsidRPr="00236B36">
        <w:rPr>
          <w:rFonts w:ascii="Verdana" w:hAnsi="Verdana"/>
        </w:rPr>
        <w:t xml:space="preserve"> </w:t>
      </w:r>
      <w:r w:rsidR="00142165" w:rsidRPr="00236B36">
        <w:rPr>
          <w:rFonts w:ascii="Verdana" w:hAnsi="Verdana"/>
        </w:rPr>
        <w:t>Por el contrario, l</w:t>
      </w:r>
      <w:r w:rsidR="00612E80">
        <w:rPr>
          <w:rFonts w:ascii="Verdana" w:hAnsi="Verdana"/>
        </w:rPr>
        <w:t>a</w:t>
      </w:r>
      <w:r w:rsidR="00C330DD" w:rsidRPr="00236B36">
        <w:rPr>
          <w:rFonts w:ascii="Verdana" w:hAnsi="Verdana"/>
        </w:rPr>
        <w:t>s</w:t>
      </w:r>
      <w:r w:rsidR="00142165" w:rsidRPr="00236B36">
        <w:rPr>
          <w:rFonts w:ascii="Verdana" w:hAnsi="Verdana"/>
        </w:rPr>
        <w:t xml:space="preserve"> </w:t>
      </w:r>
      <w:r w:rsidR="001B7AC2" w:rsidRPr="00236B36">
        <w:rPr>
          <w:rFonts w:ascii="Verdana" w:hAnsi="Verdana"/>
        </w:rPr>
        <w:t>adiciones</w:t>
      </w:r>
      <w:r w:rsidR="00142165" w:rsidRPr="00236B36">
        <w:rPr>
          <w:rFonts w:ascii="Verdana" w:hAnsi="Verdana"/>
        </w:rPr>
        <w:t xml:space="preserve"> requiere</w:t>
      </w:r>
      <w:r w:rsidR="00C330DD" w:rsidRPr="00236B36">
        <w:rPr>
          <w:rFonts w:ascii="Verdana" w:hAnsi="Verdana"/>
        </w:rPr>
        <w:t>n</w:t>
      </w:r>
      <w:r w:rsidR="00142165" w:rsidRPr="00236B36">
        <w:rPr>
          <w:rFonts w:ascii="Verdana" w:hAnsi="Verdana"/>
        </w:rPr>
        <w:t xml:space="preserve"> de la suscripción de </w:t>
      </w:r>
      <w:r w:rsidR="001B7AC2" w:rsidRPr="00236B36">
        <w:rPr>
          <w:rFonts w:ascii="Verdana" w:hAnsi="Verdana"/>
        </w:rPr>
        <w:t xml:space="preserve">otrosíes, </w:t>
      </w:r>
      <w:r w:rsidR="00142165" w:rsidRPr="00236B36">
        <w:rPr>
          <w:rFonts w:ascii="Verdana" w:hAnsi="Verdana"/>
        </w:rPr>
        <w:lastRenderedPageBreak/>
        <w:t>contrato</w:t>
      </w:r>
      <w:r w:rsidR="001B7AC2" w:rsidRPr="00236B36">
        <w:rPr>
          <w:rFonts w:ascii="Verdana" w:hAnsi="Verdana"/>
        </w:rPr>
        <w:t>s</w:t>
      </w:r>
      <w:r w:rsidR="00142165" w:rsidRPr="00236B36">
        <w:rPr>
          <w:rFonts w:ascii="Verdana" w:hAnsi="Verdana"/>
        </w:rPr>
        <w:t xml:space="preserve"> adicional</w:t>
      </w:r>
      <w:r w:rsidR="001B7AC2" w:rsidRPr="00236B36">
        <w:rPr>
          <w:rFonts w:ascii="Verdana" w:hAnsi="Verdana"/>
        </w:rPr>
        <w:t>es</w:t>
      </w:r>
      <w:r w:rsidR="00142165" w:rsidRPr="00236B36">
        <w:rPr>
          <w:rFonts w:ascii="Verdana" w:hAnsi="Verdana"/>
        </w:rPr>
        <w:t xml:space="preserve"> o modificatorio</w:t>
      </w:r>
      <w:r w:rsidR="001B7AC2" w:rsidRPr="00236B36">
        <w:rPr>
          <w:rFonts w:ascii="Verdana" w:hAnsi="Verdana"/>
        </w:rPr>
        <w:t>s</w:t>
      </w:r>
      <w:r w:rsidR="00142165" w:rsidRPr="00236B36">
        <w:rPr>
          <w:rFonts w:ascii="Verdana" w:hAnsi="Verdana"/>
        </w:rPr>
        <w:t xml:space="preserve"> del contrato inicial</w:t>
      </w:r>
      <w:r w:rsidR="00C330DD" w:rsidRPr="00236B36">
        <w:rPr>
          <w:rFonts w:ascii="Verdana" w:hAnsi="Verdana"/>
        </w:rPr>
        <w:t xml:space="preserve">, por lo cual les </w:t>
      </w:r>
      <w:r w:rsidR="00142165" w:rsidRPr="00236B36">
        <w:rPr>
          <w:rFonts w:ascii="Verdana" w:hAnsi="Verdana"/>
        </w:rPr>
        <w:t>será aplicable el límite establecido en el parágrafo del artículo 40 de la Ley 80 de 1993, lo cual indica que aquellos negocios jurídicos no podrán adicionarse en más del cincuenta por ciento (50%) de su valor inicial, expresado en salarios mínimos legales mensuales.</w:t>
      </w:r>
    </w:p>
    <w:p w14:paraId="1C4FE2A4" w14:textId="62F764D6" w:rsidR="00FD4E36" w:rsidRPr="00236B36" w:rsidRDefault="00ED7E3D" w:rsidP="00236B36">
      <w:pPr>
        <w:widowControl w:val="0"/>
        <w:autoSpaceDE w:val="0"/>
        <w:autoSpaceDN w:val="0"/>
        <w:spacing w:after="120" w:line="276" w:lineRule="auto"/>
        <w:ind w:firstLine="708"/>
        <w:jc w:val="both"/>
        <w:rPr>
          <w:rFonts w:ascii="Verdana" w:hAnsi="Verdana"/>
        </w:rPr>
      </w:pPr>
      <w:proofErr w:type="spellStart"/>
      <w:r w:rsidRPr="00236B36">
        <w:rPr>
          <w:rFonts w:ascii="Verdana" w:eastAsia="Calibri" w:hAnsi="Verdana" w:cs="Arial"/>
          <w:i/>
        </w:rPr>
        <w:t>iii</w:t>
      </w:r>
      <w:proofErr w:type="spellEnd"/>
      <w:r w:rsidRPr="00236B36">
        <w:rPr>
          <w:rFonts w:ascii="Verdana" w:eastAsia="Calibri" w:hAnsi="Verdana" w:cs="Arial"/>
          <w:i/>
        </w:rPr>
        <w:t>)</w:t>
      </w:r>
      <w:r w:rsidRPr="00236B36">
        <w:rPr>
          <w:rFonts w:ascii="Verdana" w:eastAsia="Calibri" w:hAnsi="Verdana" w:cs="Arial"/>
        </w:rPr>
        <w:t xml:space="preserve"> </w:t>
      </w:r>
      <w:r w:rsidR="00142165" w:rsidRPr="00236B36">
        <w:rPr>
          <w:rFonts w:ascii="Verdana" w:eastAsia="Calibri" w:hAnsi="Verdana" w:cs="Arial"/>
        </w:rPr>
        <w:t xml:space="preserve">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24BEEAC9" w14:textId="044FE139" w:rsidR="00C0000E" w:rsidRPr="00236B36" w:rsidRDefault="00ED7E3D" w:rsidP="00236B36">
      <w:pPr>
        <w:widowControl w:val="0"/>
        <w:autoSpaceDE w:val="0"/>
        <w:autoSpaceDN w:val="0"/>
        <w:spacing w:after="120" w:line="276" w:lineRule="auto"/>
        <w:ind w:firstLine="708"/>
        <w:jc w:val="both"/>
        <w:rPr>
          <w:rFonts w:ascii="Verdana" w:hAnsi="Verdana"/>
        </w:rPr>
      </w:pPr>
      <w:proofErr w:type="spellStart"/>
      <w:r w:rsidRPr="00236B36">
        <w:rPr>
          <w:rFonts w:ascii="Verdana" w:eastAsia="Calibri" w:hAnsi="Verdana" w:cs="Arial"/>
          <w:i/>
        </w:rPr>
        <w:t>iv</w:t>
      </w:r>
      <w:proofErr w:type="spellEnd"/>
      <w:r w:rsidRPr="00236B36">
        <w:rPr>
          <w:rFonts w:ascii="Verdana" w:eastAsia="Calibri" w:hAnsi="Verdana" w:cs="Arial"/>
          <w:i/>
        </w:rPr>
        <w:t>)</w:t>
      </w:r>
      <w:r w:rsidRPr="00236B36">
        <w:rPr>
          <w:rFonts w:ascii="Verdana" w:eastAsia="Calibri" w:hAnsi="Verdana" w:cs="Arial"/>
        </w:rPr>
        <w:t xml:space="preserve"> </w:t>
      </w:r>
      <w:r w:rsidR="00142165" w:rsidRPr="00236B36">
        <w:rPr>
          <w:rFonts w:ascii="Verdana" w:eastAsia="Calibri" w:hAnsi="Verdana" w:cs="Arial"/>
        </w:rPr>
        <w:t xml:space="preserve">Si bien en los contratos </w:t>
      </w:r>
      <w:r w:rsidR="00142165" w:rsidRPr="00236B36">
        <w:rPr>
          <w:rFonts w:ascii="Verdana" w:hAnsi="Verdana"/>
        </w:rPr>
        <w:t>en los cuales se pacta como forma de pago del valor del contrato la modalidad de precios unitarios el valor pactado es un estimativo, mientras que el valor real es el que resulta una vez se ha terminado la ejecución del contrato, lo cierto es que el valor estimado debe obedecer a estudios previos que determinen de la manera más exacta posible las cantidades de obra</w:t>
      </w:r>
      <w:r w:rsidR="00C0000E" w:rsidRPr="00236B36">
        <w:rPr>
          <w:rFonts w:ascii="Verdana" w:hAnsi="Verdana"/>
        </w:rPr>
        <w:t xml:space="preserve">. </w:t>
      </w:r>
    </w:p>
    <w:p w14:paraId="10F9F156" w14:textId="54D766FE" w:rsidR="00683584" w:rsidRPr="00236B36" w:rsidRDefault="004148AE" w:rsidP="00236B36">
      <w:pPr>
        <w:widowControl w:val="0"/>
        <w:autoSpaceDE w:val="0"/>
        <w:autoSpaceDN w:val="0"/>
        <w:spacing w:after="120" w:line="276" w:lineRule="auto"/>
        <w:ind w:firstLine="708"/>
        <w:jc w:val="both"/>
        <w:rPr>
          <w:rFonts w:ascii="Verdana" w:hAnsi="Verdana"/>
        </w:rPr>
      </w:pPr>
      <w:r w:rsidRPr="00236B36">
        <w:rPr>
          <w:rFonts w:ascii="Verdana" w:hAnsi="Verdana"/>
          <w:i/>
        </w:rPr>
        <w:t>v)</w:t>
      </w:r>
      <w:r w:rsidRPr="00236B36">
        <w:rPr>
          <w:rFonts w:ascii="Verdana" w:hAnsi="Verdana"/>
        </w:rPr>
        <w:t xml:space="preserve"> </w:t>
      </w:r>
      <w:r w:rsidR="00FD4E36" w:rsidRPr="00236B36">
        <w:rPr>
          <w:rFonts w:ascii="Verdana" w:hAnsi="Verdana"/>
        </w:rPr>
        <w:t>E</w:t>
      </w:r>
      <w:r w:rsidR="00142165" w:rsidRPr="00236B36">
        <w:rPr>
          <w:rFonts w:ascii="Verdana" w:hAnsi="Verdana"/>
        </w:rPr>
        <w:t>n atención a los principios que rigen la contratación estatal, no pueden pactarse cantidades de obra de manera indeterminada sin fijar las reglas claras para determinarlo.</w:t>
      </w:r>
      <w:r w:rsidR="00A1710A" w:rsidRPr="00236B36">
        <w:rPr>
          <w:rFonts w:ascii="Verdana" w:hAnsi="Verdana"/>
        </w:rPr>
        <w:t xml:space="preserve"> </w:t>
      </w:r>
      <w:r w:rsidR="00142165" w:rsidRPr="00236B36">
        <w:rPr>
          <w:rFonts w:ascii="Verdana" w:hAnsi="Verdana"/>
        </w:rPr>
        <w:t>Además, las variaciones del valor estimado respecto del valor final deben ser mínimas.</w:t>
      </w:r>
      <w:r w:rsidR="00683584" w:rsidRPr="00236B36">
        <w:rPr>
          <w:rFonts w:ascii="Verdana" w:hAnsi="Verdana"/>
        </w:rPr>
        <w:t xml:space="preserve"> </w:t>
      </w:r>
    </w:p>
    <w:p w14:paraId="57EE20BF" w14:textId="158B6606" w:rsidR="00683584" w:rsidRPr="00236B36" w:rsidRDefault="004148AE" w:rsidP="00236B36">
      <w:pPr>
        <w:widowControl w:val="0"/>
        <w:autoSpaceDE w:val="0"/>
        <w:autoSpaceDN w:val="0"/>
        <w:spacing w:after="120" w:line="276" w:lineRule="auto"/>
        <w:ind w:firstLine="708"/>
        <w:jc w:val="both"/>
        <w:rPr>
          <w:rFonts w:ascii="Verdana" w:hAnsi="Verdana"/>
        </w:rPr>
      </w:pPr>
      <w:r w:rsidRPr="00236B36">
        <w:rPr>
          <w:rFonts w:ascii="Verdana" w:hAnsi="Verdana"/>
          <w:i/>
        </w:rPr>
        <w:t>vi)</w:t>
      </w:r>
      <w:r w:rsidRPr="00236B36">
        <w:rPr>
          <w:rFonts w:ascii="Verdana" w:hAnsi="Verdana"/>
        </w:rPr>
        <w:t xml:space="preserve"> </w:t>
      </w:r>
      <w:r w:rsidR="00683584" w:rsidRPr="00236B36">
        <w:rPr>
          <w:rFonts w:ascii="Verdana" w:hAnsi="Verdana"/>
        </w:rPr>
        <w:t xml:space="preserve">Pese a que el límite </w:t>
      </w:r>
      <w:r w:rsidR="00A440FC" w:rsidRPr="00236B36">
        <w:rPr>
          <w:rFonts w:ascii="Verdana" w:hAnsi="Verdana"/>
        </w:rPr>
        <w:t>cuantitativo</w:t>
      </w:r>
      <w:r w:rsidR="00683584" w:rsidRPr="00236B36">
        <w:rPr>
          <w:rFonts w:ascii="Verdana" w:hAnsi="Verdana"/>
        </w:rPr>
        <w:t xml:space="preserve"> para la adición de </w:t>
      </w:r>
      <w:r w:rsidR="00A440FC" w:rsidRPr="00236B36">
        <w:rPr>
          <w:rFonts w:ascii="Verdana" w:hAnsi="Verdana"/>
        </w:rPr>
        <w:t>los contratos no aplica para mayores cantidades de obra s</w:t>
      </w:r>
      <w:r w:rsidR="00683584" w:rsidRPr="00236B36">
        <w:rPr>
          <w:rFonts w:ascii="Verdana" w:hAnsi="Verdana"/>
        </w:rPr>
        <w:t>e debe respetar el principio de planeación, así como tampoco puede</w:t>
      </w:r>
      <w:r w:rsidR="00A440FC" w:rsidRPr="00236B36">
        <w:rPr>
          <w:rFonts w:ascii="Verdana" w:hAnsi="Verdana"/>
        </w:rPr>
        <w:t xml:space="preserve"> utilizarse este mecanismo inaplicar la modalidad de selección aplicable. </w:t>
      </w:r>
    </w:p>
    <w:p w14:paraId="17265CB9" w14:textId="7BE0C4BC" w:rsidR="001A540B" w:rsidRPr="00236B36" w:rsidRDefault="007E018C" w:rsidP="00236B36">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781B0D">
        <w:rPr>
          <w:rFonts w:ascii="Verdana" w:eastAsia="Arial" w:hAnsi="Verdana" w:cs="Arial"/>
          <w:i/>
          <w:iCs/>
          <w:lang w:eastAsia="es-ES" w:bidi="es-ES"/>
        </w:rPr>
        <w:t>vii</w:t>
      </w:r>
      <w:proofErr w:type="spellEnd"/>
      <w:r w:rsidRPr="00781B0D">
        <w:rPr>
          <w:rFonts w:ascii="Verdana" w:eastAsia="Arial" w:hAnsi="Verdana" w:cs="Arial"/>
          <w:i/>
          <w:iCs/>
          <w:lang w:eastAsia="es-ES" w:bidi="es-ES"/>
        </w:rPr>
        <w:t>)</w:t>
      </w:r>
      <w:r w:rsidRPr="00236B36">
        <w:rPr>
          <w:rFonts w:ascii="Verdana" w:eastAsia="Arial" w:hAnsi="Verdana" w:cs="Arial"/>
          <w:lang w:eastAsia="es-ES" w:bidi="es-ES"/>
        </w:rPr>
        <w:t xml:space="preserve"> </w:t>
      </w:r>
      <w:r w:rsidR="001A540B" w:rsidRPr="00236B36">
        <w:rPr>
          <w:rFonts w:ascii="Verdana" w:eastAsia="Arial" w:hAnsi="Verdana" w:cs="Arial"/>
          <w:lang w:eastAsia="es-ES" w:bidi="es-ES"/>
        </w:rPr>
        <w:t>Las modificaciones t</w:t>
      </w:r>
      <w:r w:rsidR="006E7B3F" w:rsidRPr="00236B36">
        <w:rPr>
          <w:rFonts w:ascii="Verdana" w:eastAsia="Arial" w:hAnsi="Verdana" w:cs="Arial"/>
          <w:lang w:eastAsia="es-ES" w:bidi="es-ES"/>
        </w:rPr>
        <w:t>ienen carácter excepcional y solo procede cuando con ella se pretenda garantizar el interés público, cuando la entidad haya verificado y así pueda constatarse por cualquier que la causa de la modificación es real y cierta</w:t>
      </w:r>
      <w:r w:rsidR="001A540B" w:rsidRPr="00236B36">
        <w:rPr>
          <w:rFonts w:ascii="Verdana" w:eastAsia="Arial" w:hAnsi="Verdana" w:cs="Arial"/>
          <w:lang w:eastAsia="es-ES" w:bidi="es-ES"/>
        </w:rPr>
        <w:t xml:space="preserve">. </w:t>
      </w:r>
    </w:p>
    <w:p w14:paraId="32C0D701" w14:textId="4D9495CC" w:rsidR="006E7B3F" w:rsidRPr="00236B36" w:rsidRDefault="007E018C" w:rsidP="00236B36">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781B0D">
        <w:rPr>
          <w:rFonts w:ascii="Verdana" w:eastAsia="Arial" w:hAnsi="Verdana" w:cs="Arial"/>
          <w:i/>
          <w:iCs/>
          <w:color w:val="000000" w:themeColor="text1"/>
          <w:lang w:eastAsia="es-ES" w:bidi="es-ES"/>
        </w:rPr>
        <w:t>viii</w:t>
      </w:r>
      <w:proofErr w:type="spellEnd"/>
      <w:r w:rsidRPr="00781B0D">
        <w:rPr>
          <w:rFonts w:ascii="Verdana" w:eastAsia="Arial" w:hAnsi="Verdana" w:cs="Arial"/>
          <w:i/>
          <w:iCs/>
          <w:color w:val="000000" w:themeColor="text1"/>
          <w:lang w:eastAsia="es-ES" w:bidi="es-ES"/>
        </w:rPr>
        <w:t>)</w:t>
      </w:r>
      <w:r w:rsidRPr="00236B36">
        <w:rPr>
          <w:rFonts w:ascii="Verdana" w:eastAsia="Arial" w:hAnsi="Verdana" w:cs="Arial"/>
          <w:color w:val="000000" w:themeColor="text1"/>
          <w:lang w:eastAsia="es-ES" w:bidi="es-ES"/>
        </w:rPr>
        <w:t xml:space="preserve"> </w:t>
      </w:r>
      <w:r w:rsidR="00F164E0" w:rsidRPr="00236B36">
        <w:rPr>
          <w:rFonts w:ascii="Verdana" w:eastAsia="Arial" w:hAnsi="Verdana" w:cs="Arial"/>
          <w:color w:val="000000" w:themeColor="text1"/>
          <w:lang w:eastAsia="es-ES" w:bidi="es-ES"/>
        </w:rPr>
        <w:t>L</w:t>
      </w:r>
      <w:r w:rsidR="006E7B3F" w:rsidRPr="00236B36">
        <w:rPr>
          <w:rFonts w:ascii="Verdana" w:eastAsia="Arial" w:hAnsi="Verdana" w:cs="Arial"/>
          <w:color w:val="000000" w:themeColor="text1"/>
          <w:lang w:eastAsia="es-ES" w:bidi="es-ES"/>
        </w:rPr>
        <w:t>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7" w:name="_ftnref22"/>
      <w:r w:rsidR="006E7B3F" w:rsidRPr="00236B36">
        <w:rPr>
          <w:rFonts w:ascii="Verdana" w:eastAsia="Arial" w:hAnsi="Verdana" w:cs="Arial"/>
          <w:color w:val="000000" w:themeColor="text1"/>
          <w:lang w:eastAsia="es-ES" w:bidi="es-ES"/>
        </w:rPr>
        <w:t xml:space="preserve"> </w:t>
      </w:r>
    </w:p>
    <w:bookmarkEnd w:id="7"/>
    <w:p w14:paraId="07FA44D6" w14:textId="0AA7FED9" w:rsidR="006E7B3F" w:rsidRPr="00661F0B" w:rsidRDefault="004E4901" w:rsidP="00236B36">
      <w:pPr>
        <w:widowControl w:val="0"/>
        <w:autoSpaceDE w:val="0"/>
        <w:autoSpaceDN w:val="0"/>
        <w:spacing w:after="0" w:line="276" w:lineRule="auto"/>
        <w:ind w:firstLine="708"/>
        <w:jc w:val="both"/>
        <w:rPr>
          <w:rFonts w:ascii="Verdana" w:eastAsia="Arial" w:hAnsi="Verdana" w:cs="Arial"/>
          <w:color w:val="000000" w:themeColor="text1"/>
          <w:lang w:eastAsia="es-ES" w:bidi="es-ES"/>
        </w:rPr>
      </w:pPr>
      <w:r>
        <w:rPr>
          <w:rFonts w:ascii="Verdana" w:eastAsia="Arial" w:hAnsi="Verdana" w:cs="Arial"/>
          <w:color w:val="000000" w:themeColor="text1"/>
          <w:lang w:eastAsia="es-ES" w:bidi="es-ES"/>
        </w:rPr>
        <w:t>De cualquier modo</w:t>
      </w:r>
      <w:r w:rsidR="006E7B3F" w:rsidRPr="00661F0B">
        <w:rPr>
          <w:rFonts w:ascii="Verdana" w:eastAsia="Arial" w:hAnsi="Verdana" w:cs="Arial"/>
          <w:color w:val="000000" w:themeColor="text1"/>
          <w:lang w:eastAsia="es-ES" w:bidi="es-ES"/>
        </w:rPr>
        <w:t xml:space="preserve">, corresponderá a cada </w:t>
      </w:r>
      <w:r w:rsidR="00FB088A" w:rsidRPr="00661F0B">
        <w:rPr>
          <w:rFonts w:ascii="Verdana" w:eastAsia="Arial" w:hAnsi="Verdana" w:cs="Arial"/>
          <w:color w:val="000000" w:themeColor="text1"/>
          <w:lang w:eastAsia="es-ES" w:bidi="es-ES"/>
        </w:rPr>
        <w:t xml:space="preserve">Entidad Estatal </w:t>
      </w:r>
      <w:r w:rsidR="006E7B3F" w:rsidRPr="00661F0B">
        <w:rPr>
          <w:rFonts w:ascii="Verdana" w:eastAsia="Arial" w:hAnsi="Verdana" w:cs="Arial"/>
          <w:color w:val="000000" w:themeColor="text1"/>
          <w:lang w:eastAsia="es-ES" w:bidi="es-ES"/>
        </w:rPr>
        <w:t>realizar el análisis respecto a la precedencia de modificar determinado contrato estatal,</w:t>
      </w:r>
      <w:r w:rsidR="00340348">
        <w:rPr>
          <w:rFonts w:ascii="Verdana" w:eastAsia="Arial" w:hAnsi="Verdana" w:cs="Arial"/>
          <w:color w:val="000000" w:themeColor="text1"/>
          <w:lang w:eastAsia="es-ES" w:bidi="es-ES"/>
        </w:rPr>
        <w:t xml:space="preserve"> o ejecutarlo por encima del valor inicial estimado,</w:t>
      </w:r>
      <w:r w:rsidR="006E7B3F" w:rsidRPr="00661F0B">
        <w:rPr>
          <w:rFonts w:ascii="Verdana" w:eastAsia="Arial" w:hAnsi="Verdana" w:cs="Arial"/>
          <w:color w:val="000000" w:themeColor="text1"/>
          <w:lang w:eastAsia="es-ES" w:bidi="es-ES"/>
        </w:rPr>
        <w:t xml:space="preserve"> en el entendido que se respeten las reglas establecidas en el ordenamiento jurídico, de acuerdo con lo expuesto </w:t>
      </w:r>
      <w:r w:rsidR="006E7B3F" w:rsidRPr="00661F0B">
        <w:rPr>
          <w:rFonts w:ascii="Verdana" w:eastAsia="Arial" w:hAnsi="Verdana" w:cs="Arial"/>
          <w:color w:val="000000" w:themeColor="text1"/>
          <w:lang w:eastAsia="es-ES" w:bidi="es-ES"/>
        </w:rPr>
        <w:lastRenderedPageBreak/>
        <w:t xml:space="preserve">anteriormente, además de definir previamente su procedencia desde la perspectiva jurídica, técnica y financiera. </w:t>
      </w:r>
      <w:r w:rsidR="007E018C">
        <w:rPr>
          <w:rFonts w:ascii="Verdana" w:eastAsia="Arial" w:hAnsi="Verdana" w:cs="Arial"/>
          <w:color w:val="000000" w:themeColor="text1"/>
          <w:lang w:eastAsia="es-ES" w:bidi="es-ES"/>
        </w:rPr>
        <w:t>Con todo,</w:t>
      </w:r>
      <w:r w:rsidR="0003071C">
        <w:rPr>
          <w:rFonts w:ascii="Verdana" w:eastAsia="Arial" w:hAnsi="Verdana" w:cs="Arial"/>
          <w:color w:val="000000" w:themeColor="text1"/>
          <w:lang w:eastAsia="es-ES" w:bidi="es-ES"/>
        </w:rPr>
        <w:t xml:space="preserve"> el hecho de que</w:t>
      </w:r>
      <w:r w:rsidR="00EA1ACD">
        <w:rPr>
          <w:rFonts w:ascii="Verdana" w:eastAsia="Arial" w:hAnsi="Verdana" w:cs="Arial"/>
          <w:color w:val="000000" w:themeColor="text1"/>
          <w:lang w:eastAsia="es-ES" w:bidi="es-ES"/>
        </w:rPr>
        <w:t>,</w:t>
      </w:r>
      <w:r w:rsidR="0003071C">
        <w:rPr>
          <w:rFonts w:ascii="Verdana" w:eastAsia="Arial" w:hAnsi="Verdana" w:cs="Arial"/>
          <w:color w:val="000000" w:themeColor="text1"/>
          <w:lang w:eastAsia="es-ES" w:bidi="es-ES"/>
        </w:rPr>
        <w:t xml:space="preserve"> </w:t>
      </w:r>
      <w:r w:rsidR="00440360">
        <w:rPr>
          <w:rFonts w:ascii="Verdana" w:eastAsia="Arial" w:hAnsi="Verdana" w:cs="Arial"/>
          <w:color w:val="000000" w:themeColor="text1"/>
          <w:lang w:eastAsia="es-ES" w:bidi="es-ES"/>
        </w:rPr>
        <w:t xml:space="preserve">según </w:t>
      </w:r>
      <w:r w:rsidR="0003071C">
        <w:rPr>
          <w:rFonts w:ascii="Verdana" w:eastAsia="Arial" w:hAnsi="Verdana" w:cs="Arial"/>
          <w:color w:val="000000" w:themeColor="text1"/>
          <w:lang w:eastAsia="es-ES" w:bidi="es-ES"/>
        </w:rPr>
        <w:t>la jurisprudencia reciente del Consejo de Estado</w:t>
      </w:r>
      <w:r w:rsidR="00712625">
        <w:rPr>
          <w:rFonts w:ascii="Verdana" w:eastAsia="Arial" w:hAnsi="Verdana" w:cs="Arial"/>
          <w:color w:val="000000" w:themeColor="text1"/>
          <w:lang w:eastAsia="es-ES" w:bidi="es-ES"/>
        </w:rPr>
        <w:t>,</w:t>
      </w:r>
      <w:r w:rsidR="0003071C">
        <w:rPr>
          <w:rFonts w:ascii="Verdana" w:eastAsia="Arial" w:hAnsi="Verdana" w:cs="Arial"/>
          <w:color w:val="000000" w:themeColor="text1"/>
          <w:lang w:eastAsia="es-ES" w:bidi="es-ES"/>
        </w:rPr>
        <w:t xml:space="preserve"> el valor inicial de los contratos por precios unitarios sea indicativo</w:t>
      </w:r>
      <w:r w:rsidR="00712625">
        <w:rPr>
          <w:rFonts w:ascii="Verdana" w:eastAsia="Arial" w:hAnsi="Verdana" w:cs="Arial"/>
          <w:color w:val="000000" w:themeColor="text1"/>
          <w:lang w:eastAsia="es-ES" w:bidi="es-ES"/>
        </w:rPr>
        <w:t>,</w:t>
      </w:r>
      <w:r w:rsidR="0003071C">
        <w:rPr>
          <w:rFonts w:ascii="Verdana" w:eastAsia="Arial" w:hAnsi="Verdana" w:cs="Arial"/>
          <w:color w:val="000000" w:themeColor="text1"/>
          <w:lang w:eastAsia="es-ES" w:bidi="es-ES"/>
        </w:rPr>
        <w:t xml:space="preserve"> no puede ser interpretado </w:t>
      </w:r>
      <w:r w:rsidR="00EA1ACD">
        <w:rPr>
          <w:rFonts w:ascii="Verdana" w:eastAsia="Arial" w:hAnsi="Verdana" w:cs="Arial"/>
          <w:color w:val="000000" w:themeColor="text1"/>
          <w:lang w:eastAsia="es-ES" w:bidi="es-ES"/>
        </w:rPr>
        <w:t>como una patente de corso para ejecutar de manera despropor</w:t>
      </w:r>
      <w:r w:rsidR="00E047D1">
        <w:rPr>
          <w:rFonts w:ascii="Verdana" w:eastAsia="Arial" w:hAnsi="Verdana" w:cs="Arial"/>
          <w:color w:val="000000" w:themeColor="text1"/>
          <w:lang w:eastAsia="es-ES" w:bidi="es-ES"/>
        </w:rPr>
        <w:t xml:space="preserve">cionada e irrazonable los contratos estatales vigentes, </w:t>
      </w:r>
      <w:r w:rsidR="00741093">
        <w:rPr>
          <w:rFonts w:ascii="Verdana" w:eastAsia="Arial" w:hAnsi="Verdana" w:cs="Arial"/>
          <w:color w:val="000000" w:themeColor="text1"/>
          <w:lang w:eastAsia="es-ES" w:bidi="es-ES"/>
        </w:rPr>
        <w:t xml:space="preserve">ya que de acuerdo con lo aquí explicado, ello </w:t>
      </w:r>
      <w:r w:rsidR="005F0BE3">
        <w:rPr>
          <w:rFonts w:ascii="Verdana" w:eastAsia="Arial" w:hAnsi="Verdana" w:cs="Arial"/>
          <w:color w:val="000000" w:themeColor="text1"/>
          <w:lang w:eastAsia="es-ES" w:bidi="es-ES"/>
        </w:rPr>
        <w:t xml:space="preserve">no solo puede ser evidenciar </w:t>
      </w:r>
      <w:r w:rsidR="004E5F22">
        <w:rPr>
          <w:rFonts w:ascii="Verdana" w:eastAsia="Arial" w:hAnsi="Verdana" w:cs="Arial"/>
          <w:color w:val="000000" w:themeColor="text1"/>
          <w:lang w:eastAsia="es-ES" w:bidi="es-ES"/>
        </w:rPr>
        <w:t xml:space="preserve">infracciones a al deber de planeación y al principio de </w:t>
      </w:r>
      <w:r w:rsidR="006476BA">
        <w:rPr>
          <w:rFonts w:ascii="Verdana" w:eastAsia="Arial" w:hAnsi="Verdana" w:cs="Arial"/>
          <w:color w:val="000000" w:themeColor="text1"/>
          <w:lang w:eastAsia="es-ES" w:bidi="es-ES"/>
        </w:rPr>
        <w:t xml:space="preserve">selección objetiva, sino que también puede atentar contra los principios de la gestión administrativa conduciendo a detrimentos </w:t>
      </w:r>
      <w:r w:rsidR="00340348">
        <w:rPr>
          <w:rFonts w:ascii="Verdana" w:eastAsia="Arial" w:hAnsi="Verdana" w:cs="Arial"/>
          <w:color w:val="000000" w:themeColor="text1"/>
          <w:lang w:eastAsia="es-ES" w:bidi="es-ES"/>
        </w:rPr>
        <w:t>del recurso público.</w:t>
      </w:r>
      <w:r>
        <w:rPr>
          <w:rFonts w:ascii="Verdana" w:eastAsia="Arial" w:hAnsi="Verdana" w:cs="Arial"/>
          <w:color w:val="000000" w:themeColor="text1"/>
          <w:lang w:eastAsia="es-ES" w:bidi="es-ES"/>
        </w:rPr>
        <w:t xml:space="preserve"> </w:t>
      </w:r>
      <w:r w:rsidR="006476BA">
        <w:rPr>
          <w:rFonts w:ascii="Verdana" w:eastAsia="Arial" w:hAnsi="Verdana" w:cs="Arial"/>
          <w:color w:val="000000" w:themeColor="text1"/>
          <w:lang w:eastAsia="es-ES" w:bidi="es-ES"/>
        </w:rPr>
        <w:t xml:space="preserve"> </w:t>
      </w:r>
    </w:p>
    <w:p w14:paraId="6CEAA1D7" w14:textId="77777777" w:rsidR="006E7B3F" w:rsidRPr="00661F0B" w:rsidRDefault="006E7B3F" w:rsidP="006E7B3F">
      <w:pPr>
        <w:widowControl w:val="0"/>
        <w:autoSpaceDE w:val="0"/>
        <w:autoSpaceDN w:val="0"/>
        <w:spacing w:after="0" w:line="276" w:lineRule="auto"/>
        <w:ind w:firstLine="709"/>
        <w:jc w:val="both"/>
        <w:rPr>
          <w:rFonts w:ascii="Verdana" w:hAnsi="Verdana" w:cs="Arial"/>
        </w:rPr>
      </w:pPr>
    </w:p>
    <w:p w14:paraId="004FB430" w14:textId="77777777" w:rsidR="006E7B3F" w:rsidRPr="00661F0B" w:rsidRDefault="006E7B3F" w:rsidP="006E7B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61F0B">
        <w:rPr>
          <w:rFonts w:ascii="Verdana" w:eastAsia="Century Gothic" w:hAnsi="Verdana" w:cs="Century Gothic"/>
          <w:b/>
          <w:bCs/>
          <w:lang w:val="es-CO"/>
        </w:rPr>
        <w:t>Referencias normativas, jurisprudenciales y otras fuentes:</w:t>
      </w:r>
    </w:p>
    <w:p w14:paraId="0CC04B50" w14:textId="77777777" w:rsidR="006E7B3F" w:rsidRPr="00661F0B" w:rsidRDefault="006E7B3F" w:rsidP="006E7B3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7B3F" w:rsidRPr="00661F0B" w14:paraId="0EA2F433" w14:textId="77777777">
        <w:trPr>
          <w:trHeight w:val="870"/>
        </w:trPr>
        <w:tc>
          <w:tcPr>
            <w:tcW w:w="8647" w:type="dxa"/>
          </w:tcPr>
          <w:p w14:paraId="496FC6D7" w14:textId="77777777" w:rsidR="00C54E79" w:rsidRDefault="006E7B3F" w:rsidP="00C54E79">
            <w:pPr>
              <w:pStyle w:val="Prrafodelista"/>
              <w:widowControl w:val="0"/>
              <w:numPr>
                <w:ilvl w:val="0"/>
                <w:numId w:val="17"/>
              </w:numPr>
              <w:autoSpaceDE w:val="0"/>
              <w:autoSpaceDN w:val="0"/>
              <w:spacing w:line="276" w:lineRule="auto"/>
              <w:contextualSpacing w:val="0"/>
              <w:jc w:val="both"/>
              <w:rPr>
                <w:rFonts w:ascii="Verdana" w:hAnsi="Verdana" w:cs="Arial"/>
                <w:lang w:val="es-CO"/>
              </w:rPr>
            </w:pPr>
            <w:r w:rsidRPr="00661F0B">
              <w:rPr>
                <w:rFonts w:ascii="Verdana" w:hAnsi="Verdana" w:cs="Arial"/>
                <w:lang w:val="es-CO"/>
              </w:rPr>
              <w:t xml:space="preserve">Ley 80 de 1993: Artículo 40. </w:t>
            </w:r>
          </w:p>
          <w:p w14:paraId="148DA700" w14:textId="77777777" w:rsidR="00C54E79" w:rsidRDefault="00C54E79" w:rsidP="00C54E79">
            <w:pPr>
              <w:pStyle w:val="Prrafodelista"/>
              <w:widowControl w:val="0"/>
              <w:autoSpaceDE w:val="0"/>
              <w:autoSpaceDN w:val="0"/>
              <w:spacing w:line="276" w:lineRule="auto"/>
              <w:ind w:left="360"/>
              <w:contextualSpacing w:val="0"/>
              <w:jc w:val="both"/>
              <w:rPr>
                <w:rFonts w:ascii="Verdana" w:hAnsi="Verdana" w:cs="Arial"/>
                <w:lang w:val="es-CO"/>
              </w:rPr>
            </w:pPr>
          </w:p>
          <w:p w14:paraId="63267CC7" w14:textId="77777777" w:rsidR="00C54E79" w:rsidRPr="00C54E79" w:rsidRDefault="00C54E79" w:rsidP="00C54E79">
            <w:pPr>
              <w:pStyle w:val="Prrafodelista"/>
              <w:widowControl w:val="0"/>
              <w:numPr>
                <w:ilvl w:val="0"/>
                <w:numId w:val="17"/>
              </w:numPr>
              <w:autoSpaceDE w:val="0"/>
              <w:autoSpaceDN w:val="0"/>
              <w:spacing w:line="276" w:lineRule="auto"/>
              <w:contextualSpacing w:val="0"/>
              <w:jc w:val="both"/>
              <w:rPr>
                <w:rFonts w:ascii="Verdana" w:hAnsi="Verdana" w:cs="Arial"/>
                <w:lang w:val="es-CO"/>
              </w:rPr>
            </w:pPr>
            <w:r w:rsidRPr="00C54E79">
              <w:rPr>
                <w:rFonts w:ascii="Verdana" w:hAnsi="Verdana"/>
              </w:rPr>
              <w:t>CONSEJO DE ESTADO. Sala de lo Contencioso Administrativo Sección Tercera. Sentencia del 6 de agosto de 1987. Expediente 3886.</w:t>
            </w:r>
          </w:p>
          <w:p w14:paraId="568DD2A8" w14:textId="77777777" w:rsidR="00C54E79" w:rsidRPr="00C54E79" w:rsidRDefault="00C54E79" w:rsidP="00C54E79">
            <w:pPr>
              <w:pStyle w:val="Prrafodelista"/>
              <w:rPr>
                <w:rFonts w:ascii="Verdana" w:hAnsi="Verdana"/>
              </w:rPr>
            </w:pPr>
          </w:p>
          <w:p w14:paraId="5EDD58C2" w14:textId="3FFCDFE7" w:rsidR="00C54E79" w:rsidRPr="00C54E79" w:rsidRDefault="00C54E79" w:rsidP="00C54E79">
            <w:pPr>
              <w:pStyle w:val="Prrafodelista"/>
              <w:widowControl w:val="0"/>
              <w:numPr>
                <w:ilvl w:val="0"/>
                <w:numId w:val="17"/>
              </w:numPr>
              <w:autoSpaceDE w:val="0"/>
              <w:autoSpaceDN w:val="0"/>
              <w:spacing w:line="276" w:lineRule="auto"/>
              <w:contextualSpacing w:val="0"/>
              <w:jc w:val="both"/>
              <w:rPr>
                <w:rFonts w:ascii="Verdana" w:hAnsi="Verdana" w:cs="Arial"/>
                <w:lang w:val="es-CO"/>
              </w:rPr>
            </w:pPr>
            <w:r w:rsidRPr="00C54E79">
              <w:rPr>
                <w:rFonts w:ascii="Verdana" w:hAnsi="Verdana"/>
              </w:rPr>
              <w:t>CONSEJO DE ESTADO. Sala de lo Contencioso Administrativo. Sección Tercera. Sentencia del 18 de julio de 2002. Expediente 22178.</w:t>
            </w:r>
          </w:p>
          <w:p w14:paraId="6CA2EAC2" w14:textId="77777777" w:rsidR="00C54E79" w:rsidRDefault="00C54E79" w:rsidP="00C54E79">
            <w:pPr>
              <w:pStyle w:val="Textonotapie"/>
              <w:spacing w:line="276" w:lineRule="auto"/>
              <w:jc w:val="both"/>
              <w:rPr>
                <w:rFonts w:ascii="Verdana" w:hAnsi="Verdana" w:cs="Arial"/>
                <w:color w:val="000000" w:themeColor="text1"/>
                <w:sz w:val="22"/>
                <w:szCs w:val="22"/>
              </w:rPr>
            </w:pPr>
          </w:p>
          <w:p w14:paraId="4114FDFA" w14:textId="77777777" w:rsidR="00C54E79"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Sección Tercera. C.</w:t>
            </w:r>
            <w:r w:rsidRPr="005517BE">
              <w:rPr>
                <w:rFonts w:ascii="Verdana" w:hAnsi="Verdana"/>
                <w:sz w:val="22"/>
                <w:szCs w:val="22"/>
                <w:lang w:val="es-CO"/>
              </w:rPr>
              <w:t xml:space="preserve">P. </w:t>
            </w:r>
            <w:r w:rsidRPr="005517BE">
              <w:rPr>
                <w:rFonts w:ascii="Verdana" w:hAnsi="Verdana" w:cs="Arial"/>
                <w:color w:val="000000" w:themeColor="text1"/>
                <w:sz w:val="22"/>
                <w:szCs w:val="22"/>
              </w:rPr>
              <w:t xml:space="preserve">Ramiro Saavedra Becerra. Sentencia 18 de septiembre de 2003. Expediente: 15.119. </w:t>
            </w:r>
          </w:p>
          <w:p w14:paraId="5D603011" w14:textId="77777777" w:rsidR="00C54E79" w:rsidRDefault="00C54E79" w:rsidP="00C54E79">
            <w:pPr>
              <w:pStyle w:val="Textonotapie"/>
              <w:spacing w:line="276" w:lineRule="auto"/>
              <w:jc w:val="both"/>
              <w:rPr>
                <w:rFonts w:ascii="Verdana" w:hAnsi="Verdana" w:cs="Arial"/>
                <w:color w:val="000000" w:themeColor="text1"/>
                <w:sz w:val="22"/>
                <w:szCs w:val="22"/>
              </w:rPr>
            </w:pPr>
          </w:p>
          <w:p w14:paraId="4E20EA9F" w14:textId="77777777" w:rsidR="00C54E79" w:rsidRPr="005517BE"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Sección Tercera. Sentencia del 22 de abril de 2004. Expediente: 22.178 y en la Sentencia de la misma Sección del 15 de julio de 2004. Expediente AP-1164-02.</w:t>
            </w:r>
          </w:p>
          <w:p w14:paraId="5FD5A58F" w14:textId="77777777" w:rsidR="00C54E79" w:rsidRDefault="00C54E79" w:rsidP="00C54E79">
            <w:pPr>
              <w:pStyle w:val="Textonotapie"/>
              <w:spacing w:line="276" w:lineRule="auto"/>
              <w:jc w:val="both"/>
              <w:rPr>
                <w:rFonts w:ascii="Verdana" w:hAnsi="Verdana" w:cs="Arial"/>
                <w:color w:val="000000" w:themeColor="text1"/>
                <w:sz w:val="22"/>
                <w:szCs w:val="22"/>
              </w:rPr>
            </w:pPr>
          </w:p>
          <w:p w14:paraId="223D49F3" w14:textId="77777777" w:rsidR="00C54E79"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 xml:space="preserve">Sección Tercera. </w:t>
            </w:r>
            <w:r w:rsidRPr="005517BE">
              <w:rPr>
                <w:rFonts w:ascii="Verdana" w:hAnsi="Verdana"/>
                <w:sz w:val="22"/>
                <w:szCs w:val="22"/>
                <w:lang w:val="es-CO"/>
              </w:rPr>
              <w:t>C.P.</w:t>
            </w:r>
            <w:r w:rsidRPr="005517BE">
              <w:rPr>
                <w:rFonts w:ascii="Verdana" w:hAnsi="Verdana" w:cs="Arial"/>
                <w:color w:val="000000" w:themeColor="text1"/>
                <w:sz w:val="22"/>
                <w:szCs w:val="22"/>
              </w:rPr>
              <w:t xml:space="preserve"> Ruth Stella Correa Palacio. Sentencia del 20 de noviembre de 2008. Expediente: 17.031. </w:t>
            </w:r>
          </w:p>
          <w:p w14:paraId="244AB171" w14:textId="77777777" w:rsidR="00C54E79" w:rsidRPr="005517BE" w:rsidRDefault="00C54E79" w:rsidP="00C54E79">
            <w:pPr>
              <w:pStyle w:val="Textonotapie"/>
              <w:spacing w:line="276" w:lineRule="auto"/>
              <w:ind w:left="-360"/>
              <w:jc w:val="both"/>
              <w:rPr>
                <w:rFonts w:ascii="Verdana" w:hAnsi="Verdana" w:cs="Arial"/>
                <w:color w:val="000000" w:themeColor="text1"/>
                <w:sz w:val="22"/>
                <w:szCs w:val="22"/>
              </w:rPr>
            </w:pPr>
          </w:p>
          <w:p w14:paraId="6085FE70" w14:textId="77777777" w:rsidR="00C54E79" w:rsidRPr="005517BE"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 xml:space="preserve">Sección Tercera. </w:t>
            </w:r>
            <w:r w:rsidRPr="005517BE">
              <w:rPr>
                <w:rFonts w:ascii="Verdana" w:hAnsi="Verdana"/>
                <w:sz w:val="22"/>
                <w:szCs w:val="22"/>
                <w:lang w:val="es-CO"/>
              </w:rPr>
              <w:t>C.P.</w:t>
            </w:r>
            <w:r w:rsidRPr="005517BE">
              <w:rPr>
                <w:rFonts w:ascii="Verdana" w:hAnsi="Verdana" w:cs="Arial"/>
                <w:color w:val="000000" w:themeColor="text1"/>
                <w:sz w:val="22"/>
                <w:szCs w:val="22"/>
              </w:rPr>
              <w:t xml:space="preserve"> Enrique Gil Botero. Sentencia del 14 de abril de 2010. Expediente: 36.054. </w:t>
            </w:r>
          </w:p>
          <w:p w14:paraId="0F7EE5FB" w14:textId="77777777" w:rsidR="00C54E79" w:rsidRPr="005517BE" w:rsidRDefault="00C54E79" w:rsidP="00C54E79">
            <w:pPr>
              <w:pStyle w:val="Textonotapie"/>
              <w:spacing w:line="276" w:lineRule="auto"/>
              <w:ind w:firstLine="709"/>
              <w:jc w:val="both"/>
              <w:rPr>
                <w:rFonts w:ascii="Verdana" w:hAnsi="Verdana" w:cs="Arial"/>
                <w:sz w:val="22"/>
                <w:szCs w:val="22"/>
                <w:lang w:val="es-ES"/>
              </w:rPr>
            </w:pPr>
          </w:p>
          <w:p w14:paraId="1249991D" w14:textId="77777777" w:rsidR="00C54E79"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lastRenderedPageBreak/>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 xml:space="preserve">Sección Tercera. Subsección B. </w:t>
            </w:r>
            <w:r w:rsidRPr="005517BE">
              <w:rPr>
                <w:rFonts w:ascii="Verdana" w:hAnsi="Verdana"/>
                <w:sz w:val="22"/>
                <w:szCs w:val="22"/>
                <w:lang w:val="es-CO"/>
              </w:rPr>
              <w:t xml:space="preserve">C.P: </w:t>
            </w:r>
            <w:r w:rsidRPr="005517BE">
              <w:rPr>
                <w:rFonts w:ascii="Verdana" w:hAnsi="Verdana" w:cs="Arial"/>
                <w:color w:val="000000" w:themeColor="text1"/>
                <w:sz w:val="22"/>
                <w:szCs w:val="22"/>
              </w:rPr>
              <w:t>Ruth Stella Correa Palacio. Sentencia del 14 de octubre de 2011. Expediente: 20811.</w:t>
            </w:r>
          </w:p>
          <w:p w14:paraId="2C83B997" w14:textId="77777777" w:rsidR="00C54E79" w:rsidRPr="005517BE" w:rsidRDefault="00C54E79" w:rsidP="00C54E79">
            <w:pPr>
              <w:pStyle w:val="Textonotapie"/>
              <w:spacing w:line="276" w:lineRule="auto"/>
              <w:ind w:left="-360"/>
              <w:jc w:val="both"/>
              <w:rPr>
                <w:rFonts w:ascii="Verdana" w:hAnsi="Verdana" w:cs="Arial"/>
                <w:color w:val="000000" w:themeColor="text1"/>
                <w:sz w:val="22"/>
                <w:szCs w:val="22"/>
              </w:rPr>
            </w:pPr>
          </w:p>
          <w:p w14:paraId="54739758" w14:textId="77777777" w:rsidR="00C54E79"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CONSEJO DE ESTADO. Sala de lo Contencioso Administrativo. Sección Tercera. Subsección A. C.P.: Hernán Andrade Rincón (E). Sentencia del 29 de julio de 2015. Radicación número: 68001-23-31-000-2002-02796-01 (41.008).</w:t>
            </w:r>
          </w:p>
          <w:p w14:paraId="7181DB5D" w14:textId="77777777" w:rsidR="00C54E79" w:rsidRDefault="00C54E79" w:rsidP="00C54E79">
            <w:pPr>
              <w:pStyle w:val="Textonotapie"/>
              <w:spacing w:line="276" w:lineRule="auto"/>
              <w:jc w:val="both"/>
              <w:rPr>
                <w:rFonts w:ascii="Verdana" w:hAnsi="Verdana"/>
                <w:sz w:val="22"/>
                <w:szCs w:val="22"/>
              </w:rPr>
            </w:pPr>
          </w:p>
          <w:p w14:paraId="1DC97B2B" w14:textId="77777777" w:rsidR="00C54E79" w:rsidRPr="00C54E79" w:rsidRDefault="00C54E79" w:rsidP="00C54E79">
            <w:pPr>
              <w:pStyle w:val="Prrafodelista"/>
              <w:numPr>
                <w:ilvl w:val="0"/>
                <w:numId w:val="24"/>
              </w:numPr>
              <w:spacing w:line="276" w:lineRule="auto"/>
              <w:ind w:left="360"/>
              <w:jc w:val="both"/>
              <w:rPr>
                <w:rFonts w:ascii="Verdana" w:hAnsi="Verdana"/>
              </w:rPr>
            </w:pPr>
            <w:r w:rsidRPr="00C54E79">
              <w:rPr>
                <w:rFonts w:ascii="Verdana" w:hAnsi="Verdana"/>
              </w:rPr>
              <w:t>CONSEJO DE ESTADO. Sala de Consulta y Servicio Civil.</w:t>
            </w:r>
            <w:r w:rsidRPr="00C54E79">
              <w:rPr>
                <w:rFonts w:ascii="Verdana" w:hAnsi="Verdana"/>
                <w:i/>
                <w:iCs/>
              </w:rPr>
              <w:t xml:space="preserve"> </w:t>
            </w:r>
            <w:r w:rsidRPr="00C54E79">
              <w:rPr>
                <w:rFonts w:ascii="Verdana" w:hAnsi="Verdana"/>
              </w:rPr>
              <w:t>C.P.: Óscar Daría Amaya Navas. Concepto del 06 de junio 2018. Radicación número: 2369.</w:t>
            </w:r>
          </w:p>
          <w:p w14:paraId="5586E82D" w14:textId="77777777" w:rsidR="00C54E79" w:rsidRPr="005517BE" w:rsidRDefault="00C54E79" w:rsidP="00C54E79">
            <w:pPr>
              <w:pStyle w:val="Textonotapie"/>
              <w:spacing w:line="276" w:lineRule="auto"/>
              <w:ind w:left="-360"/>
              <w:jc w:val="both"/>
              <w:rPr>
                <w:rFonts w:ascii="Verdana" w:hAnsi="Verdana"/>
                <w:sz w:val="22"/>
                <w:szCs w:val="22"/>
              </w:rPr>
            </w:pPr>
          </w:p>
          <w:p w14:paraId="3385F218" w14:textId="77777777" w:rsidR="00C54E79" w:rsidRDefault="00C54E79" w:rsidP="00C54E79">
            <w:pPr>
              <w:pStyle w:val="Textonotapie"/>
              <w:numPr>
                <w:ilvl w:val="0"/>
                <w:numId w:val="24"/>
              </w:numPr>
              <w:spacing w:line="276" w:lineRule="auto"/>
              <w:ind w:left="360"/>
              <w:jc w:val="both"/>
              <w:rPr>
                <w:rFonts w:ascii="Verdana" w:hAnsi="Verdana"/>
                <w:sz w:val="22"/>
                <w:szCs w:val="22"/>
                <w:lang w:val="es-CO"/>
              </w:rPr>
            </w:pPr>
            <w:r w:rsidRPr="005517BE">
              <w:rPr>
                <w:rFonts w:ascii="Verdana" w:hAnsi="Verdana"/>
                <w:sz w:val="22"/>
                <w:szCs w:val="22"/>
                <w:lang w:val="es-CO"/>
              </w:rPr>
              <w:t xml:space="preserve">CONSEJO DE ESTADO. Sala de Consulta y Servicio Civil. C.P: Édgar González López. Sentencia del 5 de septiembre de 2018. Expediente: 2386. </w:t>
            </w:r>
          </w:p>
          <w:p w14:paraId="34A56434" w14:textId="77777777" w:rsidR="00C54E79" w:rsidRDefault="00C54E79" w:rsidP="00C54E79">
            <w:pPr>
              <w:pStyle w:val="Textonotapie"/>
              <w:spacing w:line="276" w:lineRule="auto"/>
              <w:jc w:val="both"/>
              <w:rPr>
                <w:rFonts w:ascii="Verdana" w:hAnsi="Verdana"/>
                <w:sz w:val="22"/>
                <w:szCs w:val="22"/>
              </w:rPr>
            </w:pPr>
          </w:p>
          <w:p w14:paraId="4801DE6E" w14:textId="77777777" w:rsidR="00C54E79" w:rsidRPr="005517BE"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CONSEJO DE ESTADO. Sala de lo Contencioso Administrativo. Sección Tercera. Subsección B. C.P.: Ramiro Pazos Guerrero. Sentencia del 4 de junio de 2019. Radicación número: 73001-23-31-000-2008-00741-01 (39.974).</w:t>
            </w:r>
          </w:p>
          <w:p w14:paraId="0ABEFD01" w14:textId="77777777" w:rsidR="00C54E79" w:rsidRDefault="00C54E79" w:rsidP="00C54E79">
            <w:pPr>
              <w:pStyle w:val="Textonotapie"/>
              <w:spacing w:line="276" w:lineRule="auto"/>
              <w:jc w:val="both"/>
              <w:rPr>
                <w:rFonts w:ascii="Verdana" w:hAnsi="Verdana" w:cs="Arial"/>
                <w:color w:val="000000" w:themeColor="text1"/>
                <w:sz w:val="22"/>
                <w:szCs w:val="22"/>
              </w:rPr>
            </w:pPr>
          </w:p>
          <w:p w14:paraId="5BFCB713" w14:textId="77777777" w:rsidR="00C54E79" w:rsidRPr="005517BE"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CONSEJO DE ESTADO. </w:t>
            </w:r>
            <w:r w:rsidRPr="005517BE">
              <w:rPr>
                <w:rFonts w:ascii="Verdana" w:hAnsi="Verdana"/>
                <w:sz w:val="22"/>
                <w:szCs w:val="22"/>
              </w:rPr>
              <w:t xml:space="preserve">Sala de lo Contencioso Administrativo. </w:t>
            </w:r>
            <w:r w:rsidRPr="005517BE">
              <w:rPr>
                <w:rFonts w:ascii="Verdana" w:hAnsi="Verdana" w:cs="Arial"/>
                <w:color w:val="000000" w:themeColor="text1"/>
                <w:sz w:val="22"/>
                <w:szCs w:val="22"/>
              </w:rPr>
              <w:t xml:space="preserve">Sección tercera. </w:t>
            </w:r>
            <w:r w:rsidRPr="005517BE">
              <w:rPr>
                <w:rFonts w:ascii="Verdana" w:hAnsi="Verdana"/>
                <w:sz w:val="22"/>
                <w:szCs w:val="22"/>
                <w:lang w:val="es-CO"/>
              </w:rPr>
              <w:t xml:space="preserve">C.P. </w:t>
            </w:r>
            <w:r w:rsidRPr="005517BE">
              <w:rPr>
                <w:rFonts w:ascii="Verdana" w:hAnsi="Verdana" w:cs="Arial"/>
                <w:color w:val="000000" w:themeColor="text1"/>
                <w:sz w:val="22"/>
                <w:szCs w:val="22"/>
              </w:rPr>
              <w:t>Alberto Montaña Plata. Sentencia del 9 de julio de 2021. Radicación número: 52045.</w:t>
            </w:r>
            <w:r w:rsidRPr="005517BE">
              <w:rPr>
                <w:rFonts w:ascii="Verdana" w:hAnsi="Verdana"/>
                <w:sz w:val="22"/>
                <w:szCs w:val="22"/>
                <w:lang w:val="es-CO"/>
              </w:rPr>
              <w:t xml:space="preserve"> </w:t>
            </w:r>
            <w:r w:rsidRPr="005517BE">
              <w:rPr>
                <w:rFonts w:ascii="Verdana" w:hAnsi="Verdana" w:cs="Arial"/>
                <w:color w:val="000000" w:themeColor="text1"/>
                <w:sz w:val="22"/>
                <w:szCs w:val="22"/>
              </w:rPr>
              <w:t>Aclaración de voto: Alexander Jojoa Bolaños.</w:t>
            </w:r>
          </w:p>
          <w:p w14:paraId="09083816" w14:textId="77777777" w:rsidR="00C54E79" w:rsidRDefault="00C54E79" w:rsidP="00C54E79">
            <w:pPr>
              <w:pStyle w:val="Textonotapie"/>
              <w:spacing w:line="276" w:lineRule="auto"/>
              <w:jc w:val="both"/>
              <w:rPr>
                <w:rFonts w:ascii="Verdana" w:hAnsi="Verdana"/>
                <w:sz w:val="22"/>
                <w:szCs w:val="22"/>
              </w:rPr>
            </w:pPr>
          </w:p>
          <w:p w14:paraId="1B5C51DA" w14:textId="77777777" w:rsidR="00C54E79"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CONSEJO DE ESTADO. Sala de lo Contencioso Administrativo. Sección Tercera. Subsección B. C.P.: Alberto Montaña Plata. Sentencia del 18 de noviembre de 2021. Radicación número.: 47001-23-33-001-2013-00363-01 (61.641).</w:t>
            </w:r>
          </w:p>
          <w:p w14:paraId="3FBCD1F7" w14:textId="77777777" w:rsidR="00C54E79" w:rsidRPr="005517BE" w:rsidRDefault="00C54E79" w:rsidP="00C54E79">
            <w:pPr>
              <w:pStyle w:val="Textonotapie"/>
              <w:numPr>
                <w:ilvl w:val="0"/>
                <w:numId w:val="24"/>
              </w:numPr>
              <w:spacing w:line="276" w:lineRule="auto"/>
              <w:ind w:left="360"/>
              <w:jc w:val="both"/>
              <w:rPr>
                <w:rFonts w:ascii="Verdana" w:hAnsi="Verdana"/>
                <w:sz w:val="22"/>
                <w:szCs w:val="22"/>
                <w:lang w:val="es-CO"/>
              </w:rPr>
            </w:pPr>
            <w:r w:rsidRPr="005517BE">
              <w:rPr>
                <w:rFonts w:ascii="Verdana" w:hAnsi="Verdana"/>
                <w:sz w:val="22"/>
                <w:szCs w:val="22"/>
              </w:rPr>
              <w:t xml:space="preserve">CONSEJO DE ESTADO. Sala de Consulta y del Servicio Civil. </w:t>
            </w:r>
            <w:r w:rsidRPr="005517BE">
              <w:rPr>
                <w:rFonts w:ascii="Verdana" w:hAnsi="Verdana"/>
                <w:sz w:val="22"/>
                <w:szCs w:val="22"/>
                <w:lang w:val="es-CO"/>
              </w:rPr>
              <w:t>C.P.: Dra. Susana Montes de Echeverri.</w:t>
            </w:r>
            <w:r w:rsidRPr="005517BE">
              <w:rPr>
                <w:rFonts w:ascii="Verdana" w:hAnsi="Verdana"/>
                <w:sz w:val="22"/>
                <w:szCs w:val="22"/>
              </w:rPr>
              <w:t xml:space="preserve">Concepto del 18 de julio de 2022. Expediente 1439. </w:t>
            </w:r>
          </w:p>
          <w:p w14:paraId="49CFCC4B" w14:textId="77777777" w:rsidR="00C54E79" w:rsidRDefault="00C54E79" w:rsidP="00C54E79">
            <w:pPr>
              <w:pStyle w:val="Textonotapie"/>
              <w:spacing w:line="276" w:lineRule="auto"/>
              <w:jc w:val="both"/>
              <w:rPr>
                <w:rFonts w:ascii="Verdana" w:hAnsi="Verdana"/>
                <w:sz w:val="22"/>
                <w:szCs w:val="22"/>
              </w:rPr>
            </w:pPr>
          </w:p>
          <w:p w14:paraId="43DD31BD" w14:textId="77777777" w:rsidR="00C54E79" w:rsidRPr="005517BE"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CONSEJO DE ESTADO. Sala de lo Contencioso Administrativo. Sección Tercera. C.P. Dr. Jaime Enrique Rodríguez. Sentencia del 19 de septiembre de 2022. Expediente No. 54.714.</w:t>
            </w:r>
          </w:p>
          <w:p w14:paraId="17C9E6FF" w14:textId="77777777" w:rsidR="00C54E79" w:rsidRPr="005517BE" w:rsidRDefault="00C54E79" w:rsidP="00C54E79">
            <w:pPr>
              <w:pStyle w:val="Textonotapie"/>
              <w:spacing w:line="276" w:lineRule="auto"/>
              <w:ind w:left="-360"/>
              <w:jc w:val="both"/>
              <w:rPr>
                <w:rFonts w:ascii="Verdana" w:hAnsi="Verdana"/>
                <w:sz w:val="22"/>
                <w:szCs w:val="22"/>
                <w:lang w:val="es-CO"/>
              </w:rPr>
            </w:pPr>
          </w:p>
          <w:p w14:paraId="37AF751E" w14:textId="77777777" w:rsidR="00C54E79" w:rsidRPr="00C54E79" w:rsidRDefault="00C54E79" w:rsidP="00C54E79">
            <w:pPr>
              <w:pStyle w:val="Prrafodelista"/>
              <w:numPr>
                <w:ilvl w:val="0"/>
                <w:numId w:val="24"/>
              </w:numPr>
              <w:spacing w:line="276" w:lineRule="auto"/>
              <w:ind w:left="360"/>
              <w:jc w:val="both"/>
              <w:rPr>
                <w:rFonts w:ascii="Verdana" w:hAnsi="Verdana"/>
              </w:rPr>
            </w:pPr>
            <w:r w:rsidRPr="00C54E79">
              <w:rPr>
                <w:rFonts w:ascii="Verdana" w:hAnsi="Verdana"/>
              </w:rPr>
              <w:lastRenderedPageBreak/>
              <w:t xml:space="preserve">CONSEJO DE ESTADO. Sala de lo Contencioso Administrativo. Sección Tercera Subsección A. C.P.: María Adriana Marín. Sentencia del 22 de agosto de 2023. Radicación número: 85001-23-33-000-2015-00211-01 (58.634). </w:t>
            </w:r>
          </w:p>
          <w:p w14:paraId="612CC761" w14:textId="77777777" w:rsidR="00C54E79" w:rsidRPr="005517BE" w:rsidRDefault="00C54E79" w:rsidP="00C54E79">
            <w:pPr>
              <w:pStyle w:val="Textonotapie"/>
              <w:spacing w:line="276" w:lineRule="auto"/>
              <w:ind w:firstLine="708"/>
              <w:jc w:val="both"/>
              <w:rPr>
                <w:rFonts w:ascii="Verdana" w:hAnsi="Verdana"/>
                <w:sz w:val="22"/>
                <w:szCs w:val="22"/>
                <w:lang w:val="es-CO"/>
              </w:rPr>
            </w:pPr>
          </w:p>
          <w:p w14:paraId="0DE9B905" w14:textId="77777777" w:rsidR="00C54E79" w:rsidRPr="005517BE" w:rsidRDefault="00C54E79" w:rsidP="00C54E79">
            <w:pPr>
              <w:pStyle w:val="Textonotapie"/>
              <w:numPr>
                <w:ilvl w:val="0"/>
                <w:numId w:val="24"/>
              </w:numPr>
              <w:spacing w:line="276" w:lineRule="auto"/>
              <w:ind w:left="360"/>
              <w:jc w:val="both"/>
              <w:rPr>
                <w:rFonts w:ascii="Verdana" w:hAnsi="Verdana"/>
                <w:sz w:val="22"/>
                <w:szCs w:val="22"/>
                <w:lang w:val="es-CO"/>
              </w:rPr>
            </w:pPr>
            <w:r w:rsidRPr="005517BE">
              <w:rPr>
                <w:rFonts w:ascii="Verdana" w:hAnsi="Verdana"/>
                <w:sz w:val="22"/>
                <w:szCs w:val="22"/>
              </w:rPr>
              <w:t xml:space="preserve">CONSEJO DE ESTADO. Sala de lo Contencioso Administrativo. Sección Tercera. Subsección C. </w:t>
            </w:r>
            <w:r w:rsidRPr="005517BE">
              <w:rPr>
                <w:rFonts w:ascii="Verdana" w:hAnsi="Verdana"/>
                <w:sz w:val="22"/>
                <w:szCs w:val="22"/>
                <w:lang w:val="es-CO"/>
              </w:rPr>
              <w:t>C.P.: Nicolás Yepes Corrales.</w:t>
            </w:r>
            <w:r w:rsidRPr="005517BE">
              <w:rPr>
                <w:rFonts w:ascii="Verdana" w:hAnsi="Verdana"/>
                <w:sz w:val="22"/>
                <w:szCs w:val="22"/>
              </w:rPr>
              <w:t xml:space="preserve"> Sentencia del 24 de abril de 2024. Expediente No. 67095. </w:t>
            </w:r>
          </w:p>
          <w:p w14:paraId="5A6BB40E" w14:textId="77777777" w:rsidR="00C54E79" w:rsidRDefault="00C54E79" w:rsidP="00C54E79">
            <w:pPr>
              <w:spacing w:line="276" w:lineRule="auto"/>
              <w:rPr>
                <w:rFonts w:ascii="Verdana" w:hAnsi="Verdana"/>
              </w:rPr>
            </w:pPr>
          </w:p>
          <w:p w14:paraId="70E7629C" w14:textId="77777777" w:rsidR="00C54E79" w:rsidRPr="00C54E79" w:rsidRDefault="00C54E79" w:rsidP="00C54E79">
            <w:pPr>
              <w:pStyle w:val="Prrafodelista"/>
              <w:numPr>
                <w:ilvl w:val="0"/>
                <w:numId w:val="24"/>
              </w:numPr>
              <w:spacing w:line="276" w:lineRule="auto"/>
              <w:ind w:left="360"/>
              <w:rPr>
                <w:rFonts w:ascii="Verdana" w:hAnsi="Verdana"/>
              </w:rPr>
            </w:pPr>
            <w:r w:rsidRPr="00C54E79">
              <w:rPr>
                <w:rFonts w:ascii="Verdana" w:hAnsi="Verdana"/>
              </w:rPr>
              <w:t xml:space="preserve">FRANCO GUTIÉRREZ, Omar. La Contratación Administrativa. Quinta Ed. Bogotá. Leyer. 2010. </w:t>
            </w:r>
          </w:p>
          <w:p w14:paraId="77BEFF97" w14:textId="77777777" w:rsidR="00C54E79" w:rsidRDefault="00C54E79" w:rsidP="00C54E79">
            <w:pPr>
              <w:pStyle w:val="Textonotapie"/>
              <w:spacing w:line="276" w:lineRule="auto"/>
              <w:jc w:val="both"/>
              <w:rPr>
                <w:rFonts w:ascii="Verdana" w:hAnsi="Verdana" w:cs="Arial"/>
                <w:color w:val="000000" w:themeColor="text1"/>
                <w:sz w:val="22"/>
                <w:szCs w:val="22"/>
              </w:rPr>
            </w:pPr>
          </w:p>
          <w:p w14:paraId="75604D0C" w14:textId="77777777" w:rsidR="00C54E79" w:rsidRPr="005517BE"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MARÍN CORTÉS. Fabián G. El precio. Serie: Las Cláusulas del Contrato Estatal. Medellín: Centro de Estudios de Derecho Administrativo ― CEDA y Librería Jurídica Sánchez. 2012. </w:t>
            </w:r>
          </w:p>
          <w:p w14:paraId="0A78B5AE" w14:textId="77777777" w:rsidR="00C54E79" w:rsidRPr="005517BE" w:rsidRDefault="00C54E79" w:rsidP="00C54E79">
            <w:pPr>
              <w:spacing w:line="276" w:lineRule="auto"/>
              <w:ind w:firstLine="708"/>
              <w:jc w:val="both"/>
              <w:rPr>
                <w:rFonts w:ascii="Verdana" w:hAnsi="Verdana"/>
                <w:i/>
                <w:iCs/>
              </w:rPr>
            </w:pPr>
          </w:p>
          <w:p w14:paraId="53DE927A" w14:textId="77777777" w:rsidR="00C54E79"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BENAVIDES, José Luis. Contratos Públicos. Estudios. Temas de Derecho Administrativo No. 5. Universidad Externado de Colombia. 2014.</w:t>
            </w:r>
          </w:p>
          <w:p w14:paraId="1CA629FD" w14:textId="77777777" w:rsidR="00C54E79" w:rsidRPr="005517BE" w:rsidRDefault="00C54E79" w:rsidP="00C54E79">
            <w:pPr>
              <w:pStyle w:val="Textonotapie"/>
              <w:spacing w:line="276" w:lineRule="auto"/>
              <w:ind w:left="-360"/>
              <w:jc w:val="both"/>
              <w:rPr>
                <w:rFonts w:ascii="Verdana" w:hAnsi="Verdana"/>
                <w:sz w:val="22"/>
                <w:szCs w:val="22"/>
              </w:rPr>
            </w:pPr>
          </w:p>
          <w:p w14:paraId="2DA59651" w14:textId="77777777" w:rsidR="00C54E79" w:rsidRDefault="00C54E79" w:rsidP="00C54E79">
            <w:pPr>
              <w:pStyle w:val="Textonotapie"/>
              <w:numPr>
                <w:ilvl w:val="0"/>
                <w:numId w:val="24"/>
              </w:numPr>
              <w:spacing w:line="276" w:lineRule="auto"/>
              <w:ind w:left="360"/>
              <w:jc w:val="both"/>
              <w:rPr>
                <w:rFonts w:ascii="Verdana" w:hAnsi="Verdana" w:cs="Arial"/>
                <w:color w:val="000000" w:themeColor="text1"/>
                <w:sz w:val="22"/>
                <w:szCs w:val="22"/>
              </w:rPr>
            </w:pPr>
            <w:r w:rsidRPr="005517BE">
              <w:rPr>
                <w:rFonts w:ascii="Verdana" w:hAnsi="Verdana" w:cs="Arial"/>
                <w:color w:val="000000" w:themeColor="text1"/>
                <w:sz w:val="22"/>
                <w:szCs w:val="22"/>
              </w:rPr>
              <w:t xml:space="preserve">DÁVILA VINUEZA, Luis Guillermo. Régimen jurídico de la contratación estatal. Tercera edición, Bogotá: Legis. 2016. </w:t>
            </w:r>
          </w:p>
          <w:p w14:paraId="44847F3C" w14:textId="77777777" w:rsidR="00C54E79" w:rsidRPr="005517BE" w:rsidRDefault="00C54E79" w:rsidP="00C54E79">
            <w:pPr>
              <w:pStyle w:val="Textonotapie"/>
              <w:spacing w:line="276" w:lineRule="auto"/>
              <w:ind w:left="-360"/>
              <w:jc w:val="both"/>
              <w:rPr>
                <w:rFonts w:ascii="Verdana" w:hAnsi="Verdana"/>
                <w:sz w:val="22"/>
                <w:szCs w:val="22"/>
              </w:rPr>
            </w:pPr>
          </w:p>
          <w:p w14:paraId="7389F5AD" w14:textId="68C18BDF" w:rsidR="006E7B3F" w:rsidRPr="00C54E79" w:rsidRDefault="00C54E79" w:rsidP="00C54E79">
            <w:pPr>
              <w:pStyle w:val="Textonotapie"/>
              <w:numPr>
                <w:ilvl w:val="0"/>
                <w:numId w:val="24"/>
              </w:numPr>
              <w:spacing w:line="276" w:lineRule="auto"/>
              <w:ind w:left="360"/>
              <w:jc w:val="both"/>
              <w:rPr>
                <w:rFonts w:ascii="Verdana" w:hAnsi="Verdana"/>
                <w:sz w:val="22"/>
                <w:szCs w:val="22"/>
              </w:rPr>
            </w:pPr>
            <w:r w:rsidRPr="005517BE">
              <w:rPr>
                <w:rFonts w:ascii="Verdana" w:hAnsi="Verdana"/>
                <w:sz w:val="22"/>
                <w:szCs w:val="22"/>
              </w:rPr>
              <w:t xml:space="preserve">EXPOSITO Velez, Juan Carlos. La planeación y validez del contrato estatal. En: Contratos Públicos: Problemas, perspectivas y prospectivas. XVIII Jornadas Internacionales de Derecho Administrativo, Universidad Externado de Colombia. Agosto. 2017. </w:t>
            </w:r>
          </w:p>
        </w:tc>
      </w:tr>
    </w:tbl>
    <w:p w14:paraId="1C7EEFDE" w14:textId="77777777" w:rsidR="006E7B3F" w:rsidRPr="00661F0B" w:rsidRDefault="006E7B3F" w:rsidP="006E7B3F">
      <w:pPr>
        <w:widowControl w:val="0"/>
        <w:autoSpaceDE w:val="0"/>
        <w:autoSpaceDN w:val="0"/>
        <w:spacing w:after="0" w:line="276" w:lineRule="auto"/>
        <w:jc w:val="both"/>
        <w:rPr>
          <w:rFonts w:ascii="Verdana" w:hAnsi="Verdana" w:cs="Arial"/>
        </w:rPr>
      </w:pPr>
    </w:p>
    <w:p w14:paraId="4CC4D8FC" w14:textId="77777777" w:rsidR="006E7B3F" w:rsidRPr="00661F0B" w:rsidRDefault="006E7B3F" w:rsidP="006E7B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661F0B">
        <w:rPr>
          <w:rFonts w:ascii="Verdana" w:eastAsia="Century Gothic" w:hAnsi="Verdana" w:cs="Century Gothic"/>
          <w:b/>
          <w:bCs/>
          <w:lang w:val="es-CO"/>
        </w:rPr>
        <w:t>Doctrina de la Agencia Nacional de Contratación Pública:</w:t>
      </w:r>
    </w:p>
    <w:p w14:paraId="36C5245F" w14:textId="77777777" w:rsidR="006E7B3F" w:rsidRPr="00661F0B" w:rsidRDefault="006E7B3F" w:rsidP="006E7B3F">
      <w:pPr>
        <w:widowControl w:val="0"/>
        <w:autoSpaceDE w:val="0"/>
        <w:autoSpaceDN w:val="0"/>
        <w:spacing w:after="0" w:line="276" w:lineRule="auto"/>
        <w:jc w:val="both"/>
        <w:rPr>
          <w:rFonts w:ascii="Verdana" w:hAnsi="Verdana" w:cs="Arial"/>
        </w:rPr>
      </w:pPr>
    </w:p>
    <w:p w14:paraId="44112EC6" w14:textId="77777777" w:rsidR="006E7B3F" w:rsidRPr="00661F0B" w:rsidRDefault="006E7B3F" w:rsidP="006E7B3F">
      <w:pPr>
        <w:widowControl w:val="0"/>
        <w:autoSpaceDE w:val="0"/>
        <w:autoSpaceDN w:val="0"/>
        <w:spacing w:after="0" w:line="276" w:lineRule="auto"/>
        <w:jc w:val="both"/>
        <w:rPr>
          <w:rFonts w:ascii="Verdana" w:hAnsi="Verdana"/>
        </w:rPr>
      </w:pPr>
      <w:r w:rsidRPr="00661F0B">
        <w:rPr>
          <w:rFonts w:ascii="Verdana" w:hAnsi="Verdana" w:cs="Arial"/>
          <w:lang w:eastAsia="es-ES_tradnl"/>
        </w:rPr>
        <w:t>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C-318 del 28 de mayo de 2020, C–452 del 28 de julio de 2020,</w:t>
      </w:r>
      <w:r w:rsidRPr="00661F0B">
        <w:rPr>
          <w:rFonts w:ascii="Verdana" w:hAnsi="Verdana" w:cs="Arial"/>
          <w:bCs/>
          <w:lang w:eastAsia="es-ES_tradnl"/>
        </w:rPr>
        <w:t xml:space="preserve"> C-560 del 24 de agosto de 2020, C-628 del 23 de septiembre del 2020,</w:t>
      </w:r>
      <w:r w:rsidRPr="00661F0B">
        <w:rPr>
          <w:rFonts w:ascii="Verdana" w:hAnsi="Verdana" w:cs="Arial"/>
          <w:lang w:eastAsia="es-ES_tradnl"/>
        </w:rPr>
        <w:t xml:space="preserve"> C-750 del 21 de diciembre de 2020,</w:t>
      </w:r>
      <w:r w:rsidRPr="00661F0B">
        <w:rPr>
          <w:rFonts w:ascii="Verdana" w:hAnsi="Verdana" w:cs="Arial"/>
          <w:bCs/>
          <w:lang w:eastAsia="es-ES_tradnl"/>
        </w:rPr>
        <w:t xml:space="preserve"> C-073 de 16 de marzo de 2021, C-277 de 21 de junio de 2021, C-644 de 18 de noviembre de 2021, C-755 de 21 de enero de 2022, C-152 de 1 de abril de 2022, C-267 de 5 de mayo de 2022 y C-432 de 13 de julio de 2022 y C-630 del 29 de </w:t>
      </w:r>
      <w:r w:rsidRPr="00661F0B">
        <w:rPr>
          <w:rFonts w:ascii="Verdana" w:hAnsi="Verdana" w:cs="Arial"/>
          <w:bCs/>
          <w:lang w:eastAsia="es-ES_tradnl"/>
        </w:rPr>
        <w:lastRenderedPageBreak/>
        <w:t>septiembre de 2022,</w:t>
      </w:r>
      <w:r w:rsidRPr="00661F0B">
        <w:rPr>
          <w:rFonts w:ascii="Verdana" w:hAnsi="Verdana" w:cs="Arial"/>
          <w:lang w:eastAsia="es-ES_tradnl"/>
        </w:rPr>
        <w:t xml:space="preserve"> </w:t>
      </w:r>
      <w:r w:rsidRPr="00661F0B">
        <w:rPr>
          <w:rFonts w:ascii="Verdana" w:hAnsi="Verdana" w:cs="Arial"/>
          <w:bCs/>
          <w:szCs w:val="24"/>
          <w:lang w:eastAsia="es-ES_tradnl"/>
        </w:rPr>
        <w:t xml:space="preserve">C-784 del 21 de noviembre de 2022, entre otros, </w:t>
      </w:r>
      <w:r w:rsidRPr="00661F0B">
        <w:rPr>
          <w:rFonts w:ascii="Verdana" w:hAnsi="Verdana" w:cs="Arial"/>
          <w:lang w:eastAsia="es-ES_tradnl"/>
        </w:rPr>
        <w:t>estudió asuntos relacionados con la adición de los contratos estatales, no obstante, en los términos antes explicados el presente concepto se aparta de la sostenida en los anteriormente señalados</w:t>
      </w:r>
      <w:r w:rsidRPr="00661F0B">
        <w:rPr>
          <w:rStyle w:val="normaltextrun"/>
          <w:rFonts w:ascii="Verdana" w:hAnsi="Verdana" w:cs="Arial"/>
          <w:color w:val="7030A0"/>
          <w:shd w:val="clear" w:color="auto" w:fill="FFFFFF"/>
        </w:rPr>
        <w:t xml:space="preserve">. </w:t>
      </w:r>
      <w:r w:rsidRPr="00661F0B">
        <w:rPr>
          <w:rStyle w:val="normaltextrun"/>
          <w:rFonts w:ascii="Verdana" w:hAnsi="Verdana" w:cs="Arial"/>
          <w:shd w:val="clear" w:color="auto" w:fill="FFFFFF"/>
        </w:rPr>
        <w:t>En todo caso,</w:t>
      </w:r>
      <w:r w:rsidRPr="00661F0B">
        <w:rPr>
          <w:rFonts w:ascii="Verdana" w:hAnsi="Verdana"/>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history="1">
        <w:r w:rsidRPr="00661F0B">
          <w:rPr>
            <w:rStyle w:val="Hipervnculo"/>
            <w:rFonts w:ascii="Verdana" w:hAnsi="Verdana"/>
          </w:rPr>
          <w:t>https://relatoria.colombiacompra.gov.co/</w:t>
        </w:r>
      </w:hyperlink>
      <w:r w:rsidRPr="00661F0B">
        <w:rPr>
          <w:rFonts w:ascii="Verdana" w:hAnsi="Verdana"/>
        </w:rPr>
        <w:t>.  </w:t>
      </w:r>
    </w:p>
    <w:p w14:paraId="623C28BC" w14:textId="77777777" w:rsidR="006E7B3F" w:rsidRPr="00661F0B" w:rsidRDefault="006E7B3F" w:rsidP="006E7B3F">
      <w:pPr>
        <w:widowControl w:val="0"/>
        <w:autoSpaceDE w:val="0"/>
        <w:autoSpaceDN w:val="0"/>
        <w:spacing w:after="0" w:line="276" w:lineRule="auto"/>
        <w:jc w:val="both"/>
        <w:rPr>
          <w:rFonts w:ascii="Verdana" w:hAnsi="Verdana"/>
        </w:rPr>
      </w:pPr>
      <w:r w:rsidRPr="00661F0B">
        <w:rPr>
          <w:rFonts w:ascii="Verdana" w:hAnsi="Verdana"/>
        </w:rPr>
        <w:t> </w:t>
      </w:r>
    </w:p>
    <w:p w14:paraId="38F3A716" w14:textId="77777777" w:rsidR="006E7B3F" w:rsidRPr="00661F0B" w:rsidRDefault="006E7B3F" w:rsidP="006E7B3F">
      <w:pPr>
        <w:widowControl w:val="0"/>
        <w:autoSpaceDE w:val="0"/>
        <w:autoSpaceDN w:val="0"/>
        <w:spacing w:after="0" w:line="276" w:lineRule="auto"/>
        <w:jc w:val="both"/>
        <w:rPr>
          <w:rFonts w:ascii="Verdana" w:hAnsi="Verdana"/>
        </w:rPr>
      </w:pPr>
      <w:r w:rsidRPr="00661F0B">
        <w:rPr>
          <w:rFonts w:ascii="Verdana" w:hAnsi="Verdana"/>
        </w:rPr>
        <w:t xml:space="preserve">Te invitamos también a revisar la tercera edición del Boletín de Relatoría de 2024 en el cual podrás consultar en detalle el marco normativo de documentos tipo: </w:t>
      </w:r>
      <w:hyperlink r:id="rId14" w:tgtFrame="_blank" w:history="1">
        <w:r w:rsidRPr="00661F0B">
          <w:rPr>
            <w:rStyle w:val="Hipervnculo"/>
            <w:rFonts w:ascii="Verdana" w:hAnsi="Verdana"/>
          </w:rPr>
          <w:t>https://www.colombiacompra.gov.co/sites/cce_public/files/files_2020/boletin_de_realtoria_iii.pdf</w:t>
        </w:r>
      </w:hyperlink>
      <w:r w:rsidRPr="00661F0B">
        <w:rPr>
          <w:rFonts w:ascii="Verdana" w:hAnsi="Verdana"/>
        </w:rPr>
        <w:t>.  </w:t>
      </w:r>
    </w:p>
    <w:p w14:paraId="765DDB51" w14:textId="77777777" w:rsidR="006E7B3F" w:rsidRPr="00661F0B" w:rsidRDefault="006E7B3F" w:rsidP="006E7B3F">
      <w:pPr>
        <w:widowControl w:val="0"/>
        <w:autoSpaceDE w:val="0"/>
        <w:autoSpaceDN w:val="0"/>
        <w:spacing w:after="0" w:line="276" w:lineRule="auto"/>
        <w:jc w:val="both"/>
        <w:rPr>
          <w:rFonts w:ascii="Verdana" w:hAnsi="Verdana" w:cs="Arial"/>
        </w:rPr>
      </w:pPr>
    </w:p>
    <w:p w14:paraId="09B3BAF3" w14:textId="77777777" w:rsidR="006E7B3F" w:rsidRPr="00661F0B" w:rsidRDefault="006E7B3F" w:rsidP="006E7B3F">
      <w:pPr>
        <w:widowControl w:val="0"/>
        <w:autoSpaceDE w:val="0"/>
        <w:autoSpaceDN w:val="0"/>
        <w:spacing w:after="0" w:line="276" w:lineRule="auto"/>
        <w:jc w:val="both"/>
        <w:rPr>
          <w:rFonts w:ascii="Verdana" w:hAnsi="Verdana" w:cs="Arial"/>
        </w:rPr>
      </w:pPr>
      <w:r w:rsidRPr="00661F0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17ADF4" w14:textId="77777777" w:rsidR="006E7B3F" w:rsidRPr="00661F0B" w:rsidRDefault="006E7B3F" w:rsidP="006E7B3F">
      <w:pPr>
        <w:widowControl w:val="0"/>
        <w:autoSpaceDE w:val="0"/>
        <w:autoSpaceDN w:val="0"/>
        <w:spacing w:after="0" w:line="276" w:lineRule="auto"/>
        <w:jc w:val="both"/>
        <w:rPr>
          <w:rFonts w:ascii="Verdana" w:hAnsi="Verdana" w:cs="Arial"/>
        </w:rPr>
      </w:pPr>
    </w:p>
    <w:p w14:paraId="5A7953E3" w14:textId="77777777" w:rsidR="006E7B3F" w:rsidRDefault="006E7B3F" w:rsidP="006E7B3F">
      <w:pPr>
        <w:spacing w:after="0" w:line="240" w:lineRule="auto"/>
        <w:jc w:val="both"/>
        <w:rPr>
          <w:rFonts w:ascii="Verdana" w:hAnsi="Verdana" w:cs="Arial"/>
          <w:lang w:eastAsia="es-CO"/>
        </w:rPr>
      </w:pPr>
      <w:r w:rsidRPr="00661F0B">
        <w:rPr>
          <w:rFonts w:ascii="Verdana" w:eastAsia="Times New Roman" w:hAnsi="Verdana" w:cs="Arial"/>
          <w:lang w:eastAsia="es-CO"/>
        </w:rPr>
        <w:t>Atentamente,</w:t>
      </w:r>
      <w:r w:rsidRPr="00661F0B">
        <w:rPr>
          <w:rFonts w:ascii="Verdana" w:hAnsi="Verdana" w:cs="Arial"/>
          <w:lang w:eastAsia="es-CO"/>
        </w:rPr>
        <w:t xml:space="preserve"> </w:t>
      </w:r>
    </w:p>
    <w:p w14:paraId="4691CF46" w14:textId="452ED796" w:rsidR="00BC3EBE" w:rsidRPr="00661F0B" w:rsidRDefault="00A46F58" w:rsidP="00A46F58">
      <w:pPr>
        <w:spacing w:after="0" w:line="240" w:lineRule="auto"/>
        <w:jc w:val="center"/>
        <w:rPr>
          <w:rFonts w:ascii="Verdana" w:hAnsi="Verdana" w:cs="Arial"/>
          <w:lang w:eastAsia="es-CO"/>
        </w:rPr>
      </w:pPr>
      <w:r w:rsidRPr="004D5C25">
        <w:rPr>
          <w:rFonts w:ascii="Century Gothic" w:hAnsi="Century Gothic"/>
          <w:noProof/>
        </w:rPr>
        <w:drawing>
          <wp:inline distT="0" distB="0" distL="0" distR="0" wp14:anchorId="31116E6F" wp14:editId="58B45185">
            <wp:extent cx="4268955" cy="120015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rotWithShape="1">
                    <a:blip r:embed="rId15"/>
                    <a:srcRect t="20995" b="13519"/>
                    <a:stretch/>
                  </pic:blipFill>
                  <pic:spPr bwMode="auto">
                    <a:xfrm>
                      <a:off x="0" y="0"/>
                      <a:ext cx="4294327" cy="120728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6E7B3F" w:rsidRPr="00661F0B" w14:paraId="3545DE42" w14:textId="77777777" w:rsidTr="00A46F58">
        <w:trPr>
          <w:trHeight w:val="315"/>
        </w:trPr>
        <w:tc>
          <w:tcPr>
            <w:tcW w:w="893" w:type="dxa"/>
            <w:vAlign w:val="center"/>
            <w:hideMark/>
          </w:tcPr>
          <w:p w14:paraId="7BDDED80" w14:textId="77777777" w:rsidR="006E7B3F" w:rsidRPr="00661F0B" w:rsidRDefault="006E7B3F">
            <w:pPr>
              <w:contextualSpacing/>
              <w:jc w:val="both"/>
              <w:rPr>
                <w:rFonts w:ascii="Verdana" w:hAnsi="Verdana" w:cs="Arial"/>
                <w:sz w:val="16"/>
                <w:szCs w:val="16"/>
                <w:lang w:eastAsia="es-ES"/>
              </w:rPr>
            </w:pPr>
            <w:r w:rsidRPr="00661F0B">
              <w:rPr>
                <w:rFonts w:ascii="Verdana" w:hAnsi="Verdana" w:cs="Arial"/>
                <w:sz w:val="16"/>
                <w:szCs w:val="16"/>
                <w:lang w:eastAsia="es-ES"/>
              </w:rPr>
              <w:t>Elaboró:</w:t>
            </w:r>
          </w:p>
        </w:tc>
        <w:tc>
          <w:tcPr>
            <w:tcW w:w="6564" w:type="dxa"/>
            <w:tcBorders>
              <w:top w:val="nil"/>
              <w:left w:val="nil"/>
              <w:bottom w:val="dotted" w:sz="4" w:space="0" w:color="7F7F7F" w:themeColor="text1" w:themeTint="80"/>
              <w:right w:val="nil"/>
            </w:tcBorders>
            <w:vAlign w:val="center"/>
            <w:hideMark/>
          </w:tcPr>
          <w:p w14:paraId="0BED4169" w14:textId="77777777" w:rsidR="006E7B3F" w:rsidRPr="00661F0B" w:rsidRDefault="006E7B3F">
            <w:pPr>
              <w:contextualSpacing/>
              <w:jc w:val="both"/>
              <w:rPr>
                <w:rFonts w:ascii="Verdana" w:eastAsia="Arial" w:hAnsi="Verdana" w:cs="Arial"/>
                <w:sz w:val="16"/>
                <w:szCs w:val="16"/>
              </w:rPr>
            </w:pPr>
            <w:r w:rsidRPr="00661F0B">
              <w:rPr>
                <w:rStyle w:val="normaltextrun"/>
                <w:rFonts w:ascii="Verdana" w:eastAsia="Arial" w:hAnsi="Verdana" w:cs="Arial"/>
                <w:sz w:val="16"/>
                <w:szCs w:val="16"/>
              </w:rPr>
              <w:t>Diana Lucia Saavedra Castañeda</w:t>
            </w:r>
          </w:p>
          <w:p w14:paraId="27F32101" w14:textId="77777777" w:rsidR="006E7B3F" w:rsidRPr="00661F0B" w:rsidRDefault="006E7B3F">
            <w:pPr>
              <w:contextualSpacing/>
              <w:jc w:val="both"/>
              <w:rPr>
                <w:rFonts w:ascii="Verdana" w:eastAsia="Arial" w:hAnsi="Verdana" w:cs="Arial"/>
                <w:sz w:val="16"/>
                <w:szCs w:val="16"/>
              </w:rPr>
            </w:pPr>
            <w:r w:rsidRPr="00661F0B">
              <w:rPr>
                <w:rStyle w:val="normaltextrun"/>
                <w:rFonts w:ascii="Verdana" w:eastAsia="Arial" w:hAnsi="Verdana" w:cs="Arial"/>
                <w:sz w:val="16"/>
                <w:szCs w:val="16"/>
              </w:rPr>
              <w:t>Contratista de la Subdirección de Gestión Contractual</w:t>
            </w:r>
          </w:p>
        </w:tc>
      </w:tr>
      <w:tr w:rsidR="006E7B3F" w:rsidRPr="00661F0B" w14:paraId="365C7EC2" w14:textId="77777777" w:rsidTr="00A46F58">
        <w:trPr>
          <w:trHeight w:val="330"/>
        </w:trPr>
        <w:tc>
          <w:tcPr>
            <w:tcW w:w="893" w:type="dxa"/>
            <w:vAlign w:val="center"/>
            <w:hideMark/>
          </w:tcPr>
          <w:p w14:paraId="546C5AF9" w14:textId="77777777" w:rsidR="006E7B3F" w:rsidRPr="00661F0B" w:rsidRDefault="006E7B3F">
            <w:pPr>
              <w:contextualSpacing/>
              <w:jc w:val="both"/>
              <w:rPr>
                <w:rFonts w:ascii="Verdana" w:hAnsi="Verdana" w:cs="Arial"/>
                <w:sz w:val="16"/>
                <w:szCs w:val="16"/>
                <w:lang w:eastAsia="es-ES"/>
              </w:rPr>
            </w:pPr>
            <w:r w:rsidRPr="00661F0B">
              <w:rPr>
                <w:rFonts w:ascii="Verdana" w:hAnsi="Verdana" w:cs="Arial"/>
                <w:sz w:val="16"/>
                <w:szCs w:val="16"/>
                <w:lang w:eastAsia="es-ES"/>
              </w:rPr>
              <w:t>Revisó: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5BEAE9DB" w14:textId="77777777" w:rsidR="006E7B3F" w:rsidRPr="00661F0B" w:rsidRDefault="006E7B3F">
            <w:pPr>
              <w:pStyle w:val="paragraph"/>
              <w:spacing w:before="0" w:beforeAutospacing="0" w:after="0" w:afterAutospacing="0"/>
              <w:contextualSpacing/>
              <w:jc w:val="both"/>
              <w:textAlignment w:val="baseline"/>
              <w:rPr>
                <w:rFonts w:ascii="Verdana" w:hAnsi="Verdana" w:cs="Segoe UI"/>
                <w:sz w:val="16"/>
                <w:szCs w:val="16"/>
              </w:rPr>
            </w:pPr>
            <w:r w:rsidRPr="00661F0B">
              <w:rPr>
                <w:rStyle w:val="normaltextrun"/>
                <w:rFonts w:ascii="Verdana" w:hAnsi="Verdana" w:cs="Arial"/>
                <w:sz w:val="16"/>
                <w:szCs w:val="16"/>
              </w:rPr>
              <w:t>Alejandro Raúl Sarmiento Cantillo</w:t>
            </w:r>
          </w:p>
          <w:p w14:paraId="5E1A69DF" w14:textId="77777777" w:rsidR="006E7B3F" w:rsidRPr="00661F0B" w:rsidRDefault="006E7B3F">
            <w:pPr>
              <w:pStyle w:val="paragraph"/>
              <w:spacing w:before="0" w:beforeAutospacing="0" w:after="0" w:afterAutospacing="0"/>
              <w:contextualSpacing/>
              <w:jc w:val="both"/>
              <w:textAlignment w:val="baseline"/>
              <w:rPr>
                <w:rFonts w:ascii="Verdana" w:hAnsi="Verdana" w:cs="Segoe UI"/>
                <w:sz w:val="16"/>
                <w:szCs w:val="16"/>
              </w:rPr>
            </w:pPr>
            <w:r w:rsidRPr="00661F0B">
              <w:rPr>
                <w:rStyle w:val="normaltextrun"/>
                <w:rFonts w:ascii="Verdana" w:hAnsi="Verdana" w:cs="Arial"/>
                <w:color w:val="000000"/>
                <w:sz w:val="16"/>
                <w:szCs w:val="16"/>
              </w:rPr>
              <w:t xml:space="preserve">Gestor T1-15 </w:t>
            </w:r>
            <w:r w:rsidRPr="00661F0B">
              <w:rPr>
                <w:rStyle w:val="normaltextrun"/>
                <w:rFonts w:ascii="Verdana" w:hAnsi="Verdana" w:cs="Arial"/>
                <w:sz w:val="16"/>
                <w:szCs w:val="16"/>
              </w:rPr>
              <w:t>de la Subdirección de Gestión Contractual</w:t>
            </w:r>
            <w:r w:rsidRPr="00661F0B">
              <w:rPr>
                <w:rStyle w:val="eop"/>
                <w:rFonts w:ascii="Verdana" w:hAnsi="Verdana" w:cs="Arial"/>
                <w:sz w:val="16"/>
                <w:szCs w:val="16"/>
              </w:rPr>
              <w:t> </w:t>
            </w:r>
          </w:p>
        </w:tc>
      </w:tr>
      <w:tr w:rsidR="006E7B3F" w:rsidRPr="00661F0B" w14:paraId="01E827A1" w14:textId="77777777" w:rsidTr="00A46F58">
        <w:trPr>
          <w:trHeight w:val="300"/>
        </w:trPr>
        <w:tc>
          <w:tcPr>
            <w:tcW w:w="893" w:type="dxa"/>
            <w:vAlign w:val="center"/>
          </w:tcPr>
          <w:p w14:paraId="15779DCA" w14:textId="77777777" w:rsidR="006E7B3F" w:rsidRPr="00661F0B" w:rsidRDefault="006E7B3F">
            <w:pPr>
              <w:contextualSpacing/>
              <w:jc w:val="both"/>
              <w:rPr>
                <w:rFonts w:ascii="Verdana" w:hAnsi="Verdana" w:cs="Arial"/>
                <w:sz w:val="16"/>
                <w:szCs w:val="16"/>
                <w:lang w:eastAsia="es-ES"/>
              </w:rPr>
            </w:pPr>
            <w:r w:rsidRPr="00661F0B">
              <w:rPr>
                <w:rFonts w:ascii="Verdana" w:hAnsi="Verdana" w:cs="Arial"/>
                <w:sz w:val="16"/>
                <w:szCs w:val="16"/>
                <w:lang w:eastAsia="es-ES"/>
              </w:rPr>
              <w:t>Aprobó:</w:t>
            </w:r>
          </w:p>
        </w:tc>
        <w:tc>
          <w:tcPr>
            <w:tcW w:w="6564" w:type="dxa"/>
            <w:tcBorders>
              <w:top w:val="dotted" w:sz="4" w:space="0" w:color="7F7F7F" w:themeColor="text1" w:themeTint="80"/>
              <w:left w:val="nil"/>
              <w:bottom w:val="dotted" w:sz="4" w:space="0" w:color="7F7F7F" w:themeColor="text1" w:themeTint="80"/>
              <w:right w:val="nil"/>
            </w:tcBorders>
            <w:vAlign w:val="center"/>
          </w:tcPr>
          <w:p w14:paraId="28ED0289" w14:textId="77777777" w:rsidR="006E7B3F" w:rsidRPr="00661F0B" w:rsidRDefault="006E7B3F">
            <w:pPr>
              <w:contextualSpacing/>
              <w:jc w:val="both"/>
              <w:rPr>
                <w:rFonts w:ascii="Verdana" w:eastAsia="Calibri" w:hAnsi="Verdana" w:cs="Arial"/>
                <w:sz w:val="16"/>
                <w:szCs w:val="16"/>
                <w:lang w:eastAsia="es-ES"/>
              </w:rPr>
            </w:pPr>
            <w:r w:rsidRPr="00661F0B">
              <w:rPr>
                <w:rFonts w:ascii="Verdana" w:eastAsia="Calibri" w:hAnsi="Verdana" w:cs="Arial"/>
                <w:sz w:val="16"/>
                <w:szCs w:val="16"/>
                <w:lang w:eastAsia="es-ES"/>
              </w:rPr>
              <w:t>Carolina Quintero Gacharná</w:t>
            </w:r>
          </w:p>
          <w:p w14:paraId="2787056E" w14:textId="77777777" w:rsidR="006E7B3F" w:rsidRPr="00661F0B" w:rsidRDefault="006E7B3F">
            <w:pPr>
              <w:contextualSpacing/>
              <w:jc w:val="both"/>
              <w:rPr>
                <w:rFonts w:ascii="Verdana" w:eastAsia="Calibri" w:hAnsi="Verdana" w:cs="Arial"/>
                <w:sz w:val="16"/>
                <w:szCs w:val="16"/>
                <w:lang w:eastAsia="es-ES"/>
              </w:rPr>
            </w:pPr>
            <w:r w:rsidRPr="00661F0B">
              <w:rPr>
                <w:rFonts w:ascii="Verdana" w:eastAsia="Calibri" w:hAnsi="Verdana" w:cs="Arial"/>
                <w:sz w:val="16"/>
                <w:szCs w:val="16"/>
                <w:lang w:eastAsia="es-ES"/>
              </w:rPr>
              <w:t>Subdirectora de Gestión Contractual ANCP – CCE</w:t>
            </w:r>
          </w:p>
        </w:tc>
      </w:tr>
    </w:tbl>
    <w:p w14:paraId="4244F6B9" w14:textId="77777777" w:rsidR="006E7B3F" w:rsidRPr="00661F0B" w:rsidRDefault="006E7B3F" w:rsidP="006E7B3F">
      <w:pPr>
        <w:spacing w:after="0"/>
        <w:jc w:val="both"/>
        <w:rPr>
          <w:rFonts w:ascii="Verdana" w:hAnsi="Verdana"/>
        </w:rPr>
      </w:pPr>
    </w:p>
    <w:p w14:paraId="6AB9E9A1" w14:textId="77777777" w:rsidR="006E7B3F" w:rsidRPr="00661F0B" w:rsidRDefault="006E7B3F" w:rsidP="006E7B3F">
      <w:pPr>
        <w:jc w:val="both"/>
        <w:rPr>
          <w:rFonts w:ascii="Verdana" w:hAnsi="Verdana"/>
        </w:rPr>
      </w:pPr>
    </w:p>
    <w:p w14:paraId="0F293BF4" w14:textId="7BBFAB11" w:rsidR="00127233" w:rsidRPr="00661F0B" w:rsidRDefault="00127233" w:rsidP="003E59E7">
      <w:pPr>
        <w:rPr>
          <w:rFonts w:ascii="Verdana" w:hAnsi="Verdana"/>
        </w:rPr>
      </w:pPr>
    </w:p>
    <w:sectPr w:rsidR="00127233" w:rsidRPr="00661F0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FA9B3" w14:textId="77777777" w:rsidR="00067376" w:rsidRDefault="00067376" w:rsidP="004A1847">
      <w:pPr>
        <w:spacing w:after="0" w:line="240" w:lineRule="auto"/>
      </w:pPr>
      <w:r>
        <w:separator/>
      </w:r>
    </w:p>
  </w:endnote>
  <w:endnote w:type="continuationSeparator" w:id="0">
    <w:p w14:paraId="7E107B22" w14:textId="77777777" w:rsidR="00067376" w:rsidRDefault="00067376" w:rsidP="004A1847">
      <w:pPr>
        <w:spacing w:after="0" w:line="240" w:lineRule="auto"/>
      </w:pPr>
      <w:r>
        <w:continuationSeparator/>
      </w:r>
    </w:p>
  </w:endnote>
  <w:endnote w:type="continuationNotice" w:id="1">
    <w:p w14:paraId="084CC3A2" w14:textId="77777777" w:rsidR="00067376" w:rsidRDefault="000673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383DD4" w14:textId="77777777" w:rsidR="00067376" w:rsidRDefault="00067376" w:rsidP="004A1847">
      <w:pPr>
        <w:spacing w:after="0" w:line="240" w:lineRule="auto"/>
      </w:pPr>
      <w:r>
        <w:separator/>
      </w:r>
    </w:p>
  </w:footnote>
  <w:footnote w:type="continuationSeparator" w:id="0">
    <w:p w14:paraId="421C38D6" w14:textId="77777777" w:rsidR="00067376" w:rsidRDefault="00067376" w:rsidP="004A1847">
      <w:pPr>
        <w:spacing w:after="0" w:line="240" w:lineRule="auto"/>
      </w:pPr>
      <w:r>
        <w:continuationSeparator/>
      </w:r>
    </w:p>
  </w:footnote>
  <w:footnote w:type="continuationNotice" w:id="1">
    <w:p w14:paraId="29AB95B7" w14:textId="77777777" w:rsidR="00067376" w:rsidRDefault="00067376">
      <w:pPr>
        <w:spacing w:after="0" w:line="240" w:lineRule="auto"/>
      </w:pPr>
    </w:p>
  </w:footnote>
  <w:footnote w:id="2">
    <w:p w14:paraId="3DF1B216"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sz w:val="16"/>
          <w:szCs w:val="16"/>
          <w:lang w:val="es-ES"/>
        </w:rPr>
        <w:t>“</w:t>
      </w:r>
      <w:r w:rsidRPr="00803210">
        <w:rPr>
          <w:rFonts w:ascii="Verdana" w:hAnsi="Verdana"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C49BD8C"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Fonts w:ascii="Verdana" w:hAnsi="Verdana"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33F98F9B" w14:textId="77777777" w:rsidR="006E7B3F" w:rsidRPr="00803210" w:rsidRDefault="006E7B3F" w:rsidP="00954B01">
      <w:pPr>
        <w:pStyle w:val="Textonotapie"/>
        <w:ind w:firstLine="709"/>
        <w:contextualSpacing/>
        <w:jc w:val="both"/>
        <w:rPr>
          <w:rFonts w:ascii="Verdana" w:hAnsi="Verdana" w:cs="Arial"/>
          <w:sz w:val="16"/>
          <w:szCs w:val="16"/>
          <w:lang w:val="es-ES"/>
        </w:rPr>
      </w:pPr>
    </w:p>
  </w:footnote>
  <w:footnote w:id="3">
    <w:p w14:paraId="08070EF2" w14:textId="0BA52E2D" w:rsidR="006E7B3F" w:rsidRDefault="006E7B3F" w:rsidP="00954B01">
      <w:pPr>
        <w:spacing w:after="0" w:line="240" w:lineRule="auto"/>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CONSEJO DE ESTADO</w:t>
      </w:r>
      <w:r w:rsidR="00CA5A33">
        <w:rPr>
          <w:rFonts w:ascii="Verdana" w:hAnsi="Verdana"/>
          <w:sz w:val="16"/>
          <w:szCs w:val="16"/>
        </w:rPr>
        <w:t xml:space="preserve">. </w:t>
      </w:r>
      <w:r w:rsidR="00CA5A33" w:rsidRPr="00803210">
        <w:rPr>
          <w:rFonts w:ascii="Verdana" w:hAnsi="Verdana"/>
          <w:sz w:val="16"/>
          <w:szCs w:val="16"/>
        </w:rPr>
        <w:t>Sala de lo Contencioso Administrativo</w:t>
      </w:r>
      <w:r w:rsidR="00CA5A33">
        <w:rPr>
          <w:rFonts w:ascii="Verdana" w:hAnsi="Verdana"/>
          <w:sz w:val="16"/>
          <w:szCs w:val="16"/>
        </w:rPr>
        <w:t>.</w:t>
      </w:r>
      <w:r w:rsidR="00CA5A33" w:rsidRPr="00803210">
        <w:rPr>
          <w:rFonts w:ascii="Verdana" w:hAnsi="Verdana"/>
          <w:sz w:val="16"/>
          <w:szCs w:val="16"/>
        </w:rPr>
        <w:t xml:space="preserve"> Sección Tercera Subsección</w:t>
      </w:r>
      <w:r w:rsidRPr="00803210">
        <w:rPr>
          <w:rFonts w:ascii="Verdana" w:hAnsi="Verdana"/>
          <w:sz w:val="16"/>
          <w:szCs w:val="16"/>
        </w:rPr>
        <w:t xml:space="preserve"> A</w:t>
      </w:r>
      <w:r w:rsidR="00CA5A33">
        <w:rPr>
          <w:rFonts w:ascii="Verdana" w:hAnsi="Verdana"/>
          <w:sz w:val="16"/>
          <w:szCs w:val="16"/>
        </w:rPr>
        <w:t>.</w:t>
      </w:r>
      <w:r w:rsidRPr="00803210">
        <w:rPr>
          <w:rFonts w:ascii="Verdana" w:hAnsi="Verdana"/>
          <w:sz w:val="16"/>
          <w:szCs w:val="16"/>
        </w:rPr>
        <w:t xml:space="preserve"> </w:t>
      </w:r>
      <w:r w:rsidR="00CA5A33">
        <w:rPr>
          <w:rFonts w:ascii="Verdana" w:hAnsi="Verdana"/>
          <w:sz w:val="16"/>
          <w:szCs w:val="16"/>
        </w:rPr>
        <w:t>C.P.</w:t>
      </w:r>
      <w:r w:rsidRPr="00803210">
        <w:rPr>
          <w:rFonts w:ascii="Verdana" w:hAnsi="Verdana"/>
          <w:sz w:val="16"/>
          <w:szCs w:val="16"/>
        </w:rPr>
        <w:t xml:space="preserve">: </w:t>
      </w:r>
      <w:r w:rsidR="00CA5A33" w:rsidRPr="00803210">
        <w:rPr>
          <w:rFonts w:ascii="Verdana" w:hAnsi="Verdana"/>
          <w:sz w:val="16"/>
          <w:szCs w:val="16"/>
        </w:rPr>
        <w:t>María Adriana Marín</w:t>
      </w:r>
      <w:r w:rsidR="00CA5A33">
        <w:rPr>
          <w:rFonts w:ascii="Verdana" w:hAnsi="Verdana"/>
          <w:sz w:val="16"/>
          <w:szCs w:val="16"/>
        </w:rPr>
        <w:t>.</w:t>
      </w:r>
      <w:r w:rsidR="00954B01">
        <w:rPr>
          <w:rFonts w:ascii="Verdana" w:hAnsi="Verdana"/>
          <w:sz w:val="16"/>
          <w:szCs w:val="16"/>
        </w:rPr>
        <w:t xml:space="preserve"> </w:t>
      </w:r>
      <w:r w:rsidR="0059136F">
        <w:rPr>
          <w:rFonts w:ascii="Verdana" w:hAnsi="Verdana"/>
          <w:sz w:val="16"/>
          <w:szCs w:val="16"/>
        </w:rPr>
        <w:t xml:space="preserve">Sentencia del </w:t>
      </w:r>
      <w:r w:rsidRPr="00803210">
        <w:rPr>
          <w:rFonts w:ascii="Verdana" w:hAnsi="Verdana"/>
          <w:sz w:val="16"/>
          <w:szCs w:val="16"/>
        </w:rPr>
        <w:t>22 de agosto de 2023</w:t>
      </w:r>
      <w:r w:rsidR="00CA5A33">
        <w:rPr>
          <w:rFonts w:ascii="Verdana" w:hAnsi="Verdana"/>
          <w:sz w:val="16"/>
          <w:szCs w:val="16"/>
        </w:rPr>
        <w:t>.</w:t>
      </w:r>
      <w:r w:rsidRPr="00803210">
        <w:rPr>
          <w:rFonts w:ascii="Verdana" w:hAnsi="Verdana"/>
          <w:sz w:val="16"/>
          <w:szCs w:val="16"/>
        </w:rPr>
        <w:t xml:space="preserve"> Radicación número: 85001-23-33-000-2015-00211-01 (58.634)</w:t>
      </w:r>
      <w:r w:rsidR="00CA5A33">
        <w:rPr>
          <w:rFonts w:ascii="Verdana" w:hAnsi="Verdana"/>
          <w:sz w:val="16"/>
          <w:szCs w:val="16"/>
        </w:rPr>
        <w:t xml:space="preserve">. </w:t>
      </w:r>
    </w:p>
    <w:p w14:paraId="6D5E5FF1" w14:textId="77777777" w:rsidR="00CA5A33" w:rsidRPr="00803210" w:rsidRDefault="00CA5A33" w:rsidP="00954B01">
      <w:pPr>
        <w:spacing w:after="0" w:line="240" w:lineRule="auto"/>
        <w:ind w:firstLine="708"/>
        <w:contextualSpacing/>
        <w:jc w:val="both"/>
        <w:rPr>
          <w:rFonts w:ascii="Verdana" w:hAnsi="Verdana"/>
          <w:sz w:val="16"/>
          <w:szCs w:val="16"/>
        </w:rPr>
      </w:pPr>
    </w:p>
  </w:footnote>
  <w:footnote w:id="4">
    <w:p w14:paraId="11D50108" w14:textId="3F0E0B4A" w:rsidR="006E7B3F" w:rsidRPr="00803210" w:rsidRDefault="006E7B3F" w:rsidP="00954B01">
      <w:pPr>
        <w:pStyle w:val="Textonotapie"/>
        <w:ind w:firstLine="708"/>
        <w:contextualSpacing/>
        <w:jc w:val="both"/>
        <w:rPr>
          <w:rFonts w:ascii="Verdana" w:hAnsi="Verdana"/>
          <w:sz w:val="16"/>
          <w:szCs w:val="16"/>
          <w:lang w:val="es-CO"/>
        </w:rPr>
      </w:pPr>
      <w:r w:rsidRPr="00803210">
        <w:rPr>
          <w:rStyle w:val="Refdenotaalpie"/>
          <w:rFonts w:ascii="Verdana" w:hAnsi="Verdana"/>
          <w:sz w:val="16"/>
          <w:szCs w:val="16"/>
        </w:rPr>
        <w:footnoteRef/>
      </w:r>
      <w:r w:rsidRPr="00803210">
        <w:rPr>
          <w:rFonts w:ascii="Verdana" w:hAnsi="Verdana"/>
          <w:sz w:val="16"/>
          <w:szCs w:val="16"/>
        </w:rPr>
        <w:t xml:space="preserve"> </w:t>
      </w:r>
      <w:r w:rsidRPr="00803210">
        <w:rPr>
          <w:rFonts w:ascii="Verdana" w:hAnsi="Verdana"/>
          <w:sz w:val="16"/>
          <w:szCs w:val="16"/>
          <w:lang w:val="es-CO"/>
        </w:rPr>
        <w:t>CONSEJO DE ESTADO</w:t>
      </w:r>
      <w:r w:rsidR="00954B01">
        <w:rPr>
          <w:rFonts w:ascii="Verdana" w:hAnsi="Verdana"/>
          <w:sz w:val="16"/>
          <w:szCs w:val="16"/>
          <w:lang w:val="es-CO"/>
        </w:rPr>
        <w:t>.</w:t>
      </w:r>
      <w:r w:rsidRPr="00803210">
        <w:rPr>
          <w:rFonts w:ascii="Verdana" w:hAnsi="Verdana"/>
          <w:sz w:val="16"/>
          <w:szCs w:val="16"/>
          <w:lang w:val="es-CO"/>
        </w:rPr>
        <w:t xml:space="preserve"> Sala </w:t>
      </w:r>
      <w:r w:rsidR="00954B01" w:rsidRPr="00803210">
        <w:rPr>
          <w:rFonts w:ascii="Verdana" w:hAnsi="Verdana"/>
          <w:sz w:val="16"/>
          <w:szCs w:val="16"/>
          <w:lang w:val="es-CO"/>
        </w:rPr>
        <w:t xml:space="preserve">de </w:t>
      </w:r>
      <w:r w:rsidRPr="00803210">
        <w:rPr>
          <w:rFonts w:ascii="Verdana" w:hAnsi="Verdana"/>
          <w:sz w:val="16"/>
          <w:szCs w:val="16"/>
          <w:lang w:val="es-CO"/>
        </w:rPr>
        <w:t xml:space="preserve">Consulta </w:t>
      </w:r>
      <w:r w:rsidR="00954B01" w:rsidRPr="00803210">
        <w:rPr>
          <w:rFonts w:ascii="Verdana" w:hAnsi="Verdana"/>
          <w:sz w:val="16"/>
          <w:szCs w:val="16"/>
          <w:lang w:val="es-CO"/>
        </w:rPr>
        <w:t>y</w:t>
      </w:r>
      <w:r w:rsidRPr="00803210">
        <w:rPr>
          <w:rFonts w:ascii="Verdana" w:hAnsi="Verdana"/>
          <w:sz w:val="16"/>
          <w:szCs w:val="16"/>
          <w:lang w:val="es-CO"/>
        </w:rPr>
        <w:t xml:space="preserve"> Servicio Civil. </w:t>
      </w:r>
      <w:proofErr w:type="gramStart"/>
      <w:r w:rsidRPr="00803210">
        <w:rPr>
          <w:rFonts w:ascii="Verdana" w:hAnsi="Verdana"/>
          <w:sz w:val="16"/>
          <w:szCs w:val="16"/>
          <w:lang w:val="es-CO"/>
        </w:rPr>
        <w:t>C</w:t>
      </w:r>
      <w:r w:rsidR="00954B01">
        <w:rPr>
          <w:rFonts w:ascii="Verdana" w:hAnsi="Verdana"/>
          <w:sz w:val="16"/>
          <w:szCs w:val="16"/>
          <w:lang w:val="es-CO"/>
        </w:rPr>
        <w:t>..P</w:t>
      </w:r>
      <w:proofErr w:type="gramEnd"/>
      <w:r w:rsidRPr="00803210">
        <w:rPr>
          <w:rFonts w:ascii="Verdana" w:hAnsi="Verdana"/>
          <w:sz w:val="16"/>
          <w:szCs w:val="16"/>
          <w:lang w:val="es-CO"/>
        </w:rPr>
        <w:t xml:space="preserve">: Édgar González López. </w:t>
      </w:r>
      <w:r w:rsidR="0059136F">
        <w:rPr>
          <w:rFonts w:ascii="Verdana" w:hAnsi="Verdana"/>
          <w:sz w:val="16"/>
          <w:szCs w:val="16"/>
          <w:lang w:val="es-CO"/>
        </w:rPr>
        <w:t xml:space="preserve">Sentencia del </w:t>
      </w:r>
      <w:r w:rsidRPr="00803210">
        <w:rPr>
          <w:rFonts w:ascii="Verdana" w:hAnsi="Verdana"/>
          <w:sz w:val="16"/>
          <w:szCs w:val="16"/>
          <w:lang w:val="es-CO"/>
        </w:rPr>
        <w:t xml:space="preserve">5 de septiembre de 2018. Expediente: 2386. </w:t>
      </w:r>
    </w:p>
    <w:p w14:paraId="33953C57" w14:textId="77777777" w:rsidR="006E7B3F" w:rsidRPr="00803210" w:rsidRDefault="006E7B3F" w:rsidP="00954B01">
      <w:pPr>
        <w:pStyle w:val="Textonotapie"/>
        <w:ind w:firstLine="708"/>
        <w:contextualSpacing/>
        <w:jc w:val="both"/>
        <w:rPr>
          <w:rFonts w:ascii="Verdana" w:hAnsi="Verdana"/>
          <w:sz w:val="16"/>
          <w:szCs w:val="16"/>
          <w:lang w:val="es-CO"/>
        </w:rPr>
      </w:pPr>
    </w:p>
  </w:footnote>
  <w:footnote w:id="5">
    <w:p w14:paraId="3B08ED19" w14:textId="06A40701" w:rsidR="006E7B3F" w:rsidRPr="00803210" w:rsidRDefault="006E7B3F" w:rsidP="00236B36">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00954B01" w:rsidRPr="00803210">
        <w:rPr>
          <w:rFonts w:ascii="Verdana" w:hAnsi="Verdana"/>
          <w:sz w:val="16"/>
          <w:szCs w:val="16"/>
        </w:rPr>
        <w:t>CONSEJO DE ESTADO</w:t>
      </w:r>
      <w:r w:rsidR="00954B01">
        <w:rPr>
          <w:rFonts w:ascii="Verdana" w:hAnsi="Verdana"/>
          <w:sz w:val="16"/>
          <w:szCs w:val="16"/>
        </w:rPr>
        <w:t>.</w:t>
      </w:r>
      <w:r w:rsidRPr="00803210">
        <w:rPr>
          <w:rFonts w:ascii="Verdana" w:hAnsi="Verdana"/>
          <w:sz w:val="16"/>
          <w:szCs w:val="16"/>
        </w:rPr>
        <w:t xml:space="preserve"> </w:t>
      </w:r>
      <w:r w:rsidR="00DE13E6" w:rsidRPr="00803210">
        <w:rPr>
          <w:rFonts w:ascii="Verdana" w:hAnsi="Verdana"/>
          <w:sz w:val="16"/>
          <w:szCs w:val="16"/>
        </w:rPr>
        <w:t>Sala de lo Contencioso Administrativo</w:t>
      </w:r>
      <w:r w:rsidR="00DE13E6">
        <w:rPr>
          <w:rFonts w:ascii="Verdana" w:hAnsi="Verdana"/>
          <w:sz w:val="16"/>
          <w:szCs w:val="16"/>
        </w:rPr>
        <w:t>.</w:t>
      </w:r>
      <w:r w:rsidR="00DE13E6" w:rsidRPr="00803210">
        <w:rPr>
          <w:rFonts w:ascii="Verdana" w:hAnsi="Verdana"/>
          <w:sz w:val="16"/>
          <w:szCs w:val="16"/>
        </w:rPr>
        <w:t xml:space="preserve"> </w:t>
      </w:r>
      <w:r w:rsidRPr="00803210">
        <w:rPr>
          <w:rFonts w:ascii="Verdana" w:hAnsi="Verdana"/>
          <w:sz w:val="16"/>
          <w:szCs w:val="16"/>
        </w:rPr>
        <w:t>Sección Tercera</w:t>
      </w:r>
      <w:r w:rsidR="0059136F">
        <w:rPr>
          <w:rFonts w:ascii="Verdana" w:hAnsi="Verdana"/>
          <w:sz w:val="16"/>
          <w:szCs w:val="16"/>
        </w:rPr>
        <w:t>.</w:t>
      </w:r>
      <w:r w:rsidRPr="00803210">
        <w:rPr>
          <w:rFonts w:ascii="Verdana" w:hAnsi="Verdana"/>
          <w:sz w:val="16"/>
          <w:szCs w:val="16"/>
        </w:rPr>
        <w:t xml:space="preserve"> Subsección A. C.P.:</w:t>
      </w:r>
      <w:r w:rsidR="00954B01">
        <w:rPr>
          <w:rFonts w:ascii="Verdana" w:hAnsi="Verdana"/>
          <w:sz w:val="16"/>
          <w:szCs w:val="16"/>
        </w:rPr>
        <w:t xml:space="preserve"> </w:t>
      </w:r>
      <w:r w:rsidRPr="00803210">
        <w:rPr>
          <w:rFonts w:ascii="Verdana" w:hAnsi="Verdana"/>
          <w:sz w:val="16"/>
          <w:szCs w:val="16"/>
        </w:rPr>
        <w:t xml:space="preserve">Hernán Andrade Rincón (E). </w:t>
      </w:r>
      <w:r w:rsidR="00DE13E6" w:rsidRPr="00803210">
        <w:rPr>
          <w:rFonts w:ascii="Verdana" w:hAnsi="Verdana"/>
          <w:sz w:val="16"/>
          <w:szCs w:val="16"/>
        </w:rPr>
        <w:t>Sentencia del 29 de julio de 2015</w:t>
      </w:r>
      <w:r w:rsidR="00DE13E6">
        <w:rPr>
          <w:rFonts w:ascii="Verdana" w:hAnsi="Verdana"/>
          <w:sz w:val="16"/>
          <w:szCs w:val="16"/>
        </w:rPr>
        <w:t xml:space="preserve">. </w:t>
      </w:r>
      <w:r w:rsidRPr="00803210">
        <w:rPr>
          <w:rFonts w:ascii="Verdana" w:hAnsi="Verdana"/>
          <w:sz w:val="16"/>
          <w:szCs w:val="16"/>
        </w:rPr>
        <w:t>Rad</w:t>
      </w:r>
      <w:r w:rsidR="00DE13E6">
        <w:rPr>
          <w:rFonts w:ascii="Verdana" w:hAnsi="Verdana"/>
          <w:sz w:val="16"/>
          <w:szCs w:val="16"/>
        </w:rPr>
        <w:t>icación número</w:t>
      </w:r>
      <w:r w:rsidR="00DE13E6" w:rsidRPr="00803210">
        <w:rPr>
          <w:rFonts w:ascii="Verdana" w:hAnsi="Verdana"/>
          <w:sz w:val="16"/>
          <w:szCs w:val="16"/>
        </w:rPr>
        <w:t xml:space="preserve">: </w:t>
      </w:r>
      <w:r w:rsidRPr="00803210">
        <w:rPr>
          <w:rFonts w:ascii="Verdana" w:hAnsi="Verdana"/>
          <w:sz w:val="16"/>
          <w:szCs w:val="16"/>
        </w:rPr>
        <w:t>68001-23-31-000-2002-02796-01 (41.008).</w:t>
      </w:r>
    </w:p>
    <w:p w14:paraId="32A41D7A" w14:textId="77777777" w:rsidR="00004E53" w:rsidRPr="00803210" w:rsidRDefault="00004E53" w:rsidP="00954B01">
      <w:pPr>
        <w:pStyle w:val="Textonotapie"/>
        <w:contextualSpacing/>
        <w:jc w:val="both"/>
        <w:rPr>
          <w:rFonts w:ascii="Verdana" w:hAnsi="Verdana"/>
          <w:sz w:val="16"/>
          <w:szCs w:val="16"/>
        </w:rPr>
      </w:pPr>
    </w:p>
  </w:footnote>
  <w:footnote w:id="6">
    <w:p w14:paraId="607CA987" w14:textId="6E06897A"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color w:val="000000" w:themeColor="text1"/>
          <w:sz w:val="16"/>
          <w:szCs w:val="16"/>
        </w:rPr>
        <w:t xml:space="preserve">CONSEJO DE ESTADO. </w:t>
      </w:r>
      <w:r w:rsidR="00DE13E6" w:rsidRPr="00803210">
        <w:rPr>
          <w:rFonts w:ascii="Verdana" w:hAnsi="Verdana"/>
          <w:sz w:val="16"/>
          <w:szCs w:val="16"/>
        </w:rPr>
        <w:t>Sala de lo Contencioso Administrativo</w:t>
      </w:r>
      <w:r w:rsidR="00DE13E6">
        <w:rPr>
          <w:rFonts w:ascii="Verdana" w:hAnsi="Verdana"/>
          <w:sz w:val="16"/>
          <w:szCs w:val="16"/>
        </w:rPr>
        <w:t>.</w:t>
      </w:r>
      <w:r w:rsidR="00DE13E6" w:rsidRPr="00803210">
        <w:rPr>
          <w:rFonts w:ascii="Verdana" w:hAnsi="Verdana"/>
          <w:sz w:val="16"/>
          <w:szCs w:val="16"/>
        </w:rPr>
        <w:t xml:space="preserve"> </w:t>
      </w:r>
      <w:r w:rsidRPr="00803210">
        <w:rPr>
          <w:rFonts w:ascii="Verdana" w:hAnsi="Verdana" w:cs="Arial"/>
          <w:color w:val="000000" w:themeColor="text1"/>
          <w:sz w:val="16"/>
          <w:szCs w:val="16"/>
        </w:rPr>
        <w:t xml:space="preserve">Sección Tercera. Subsección B. </w:t>
      </w:r>
      <w:r w:rsidR="00DE13E6" w:rsidRPr="00803210">
        <w:rPr>
          <w:rFonts w:ascii="Verdana" w:hAnsi="Verdana"/>
          <w:sz w:val="16"/>
          <w:szCs w:val="16"/>
          <w:lang w:val="es-CO"/>
        </w:rPr>
        <w:t>C</w:t>
      </w:r>
      <w:r w:rsidR="00DE13E6">
        <w:rPr>
          <w:rFonts w:ascii="Verdana" w:hAnsi="Verdana"/>
          <w:sz w:val="16"/>
          <w:szCs w:val="16"/>
          <w:lang w:val="es-CO"/>
        </w:rPr>
        <w:t>.P</w:t>
      </w:r>
      <w:r w:rsidRPr="00803210">
        <w:rPr>
          <w:rFonts w:ascii="Verdana" w:hAnsi="Verdana"/>
          <w:sz w:val="16"/>
          <w:szCs w:val="16"/>
          <w:lang w:val="es-CO"/>
        </w:rPr>
        <w:t xml:space="preserve">: </w:t>
      </w:r>
      <w:r w:rsidRPr="00803210">
        <w:rPr>
          <w:rFonts w:ascii="Verdana" w:hAnsi="Verdana" w:cs="Arial"/>
          <w:color w:val="000000" w:themeColor="text1"/>
          <w:sz w:val="16"/>
          <w:szCs w:val="16"/>
        </w:rPr>
        <w:t>Ruth Stella Correa Palacio.</w:t>
      </w:r>
      <w:r w:rsidR="00DE13E6">
        <w:rPr>
          <w:rFonts w:ascii="Verdana" w:hAnsi="Verdana" w:cs="Arial"/>
          <w:color w:val="000000" w:themeColor="text1"/>
          <w:sz w:val="16"/>
          <w:szCs w:val="16"/>
        </w:rPr>
        <w:t xml:space="preserve"> </w:t>
      </w:r>
      <w:r w:rsidR="00DE13E6" w:rsidRPr="00803210">
        <w:rPr>
          <w:rFonts w:ascii="Verdana" w:hAnsi="Verdana" w:cs="Arial"/>
          <w:color w:val="000000" w:themeColor="text1"/>
          <w:sz w:val="16"/>
          <w:szCs w:val="16"/>
        </w:rPr>
        <w:t>Sentencia del 14 de octubre de 2011. Exp</w:t>
      </w:r>
      <w:r w:rsidR="008E783F">
        <w:rPr>
          <w:rFonts w:ascii="Verdana" w:hAnsi="Verdana" w:cs="Arial"/>
          <w:color w:val="000000" w:themeColor="text1"/>
          <w:sz w:val="16"/>
          <w:szCs w:val="16"/>
        </w:rPr>
        <w:t>ediente:</w:t>
      </w:r>
      <w:r w:rsidR="00DE13E6" w:rsidRPr="00803210">
        <w:rPr>
          <w:rFonts w:ascii="Verdana" w:hAnsi="Verdana" w:cs="Arial"/>
          <w:color w:val="000000" w:themeColor="text1"/>
          <w:sz w:val="16"/>
          <w:szCs w:val="16"/>
        </w:rPr>
        <w:t xml:space="preserve"> 20811.</w:t>
      </w:r>
    </w:p>
    <w:p w14:paraId="29808AE4"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p>
  </w:footnote>
  <w:footnote w:id="7">
    <w:p w14:paraId="435D276B"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67BDFE7F"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7ED94B0A"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Serán requisitos para que pueda iniciarse la ejecución del contrato, la adición y prórroga de las garantías y el pago de los impuestos correspondientes. </w:t>
      </w:r>
    </w:p>
    <w:p w14:paraId="7120B6F7"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Los contratos de interventoría, administración delegada, y consultoría previstos en este estatuto, podrán adicionarse sin el límite fijado en el presente artículo. </w:t>
      </w:r>
    </w:p>
    <w:p w14:paraId="0F181725"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Las adiciones deberán publicarse en el Diario oficial. </w:t>
      </w:r>
    </w:p>
    <w:p w14:paraId="2A3CB232" w14:textId="77777777" w:rsidR="006E7B3F" w:rsidRPr="00803210" w:rsidRDefault="006E7B3F" w:rsidP="00954B01">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En ningún caso podrá modificarse el objeto de los contratos, ni prorrogarse su plazo si estuviere vencido, so pretexto de la celebración de contratos adicionales, ni pactarse prórrogas automáticas. </w:t>
      </w:r>
    </w:p>
    <w:p w14:paraId="758CF423" w14:textId="77777777" w:rsidR="006E7B3F" w:rsidRPr="00803210" w:rsidRDefault="006E7B3F" w:rsidP="00954B01">
      <w:pPr>
        <w:pStyle w:val="Textonotapie"/>
        <w:ind w:firstLine="708"/>
        <w:contextualSpacing/>
        <w:jc w:val="both"/>
        <w:rPr>
          <w:rFonts w:ascii="Verdana" w:hAnsi="Verdana" w:cs="Arial"/>
          <w:sz w:val="16"/>
          <w:szCs w:val="16"/>
        </w:rPr>
      </w:pPr>
      <w:r w:rsidRPr="00803210">
        <w:rPr>
          <w:rFonts w:ascii="Verdana" w:hAnsi="Verdana" w:cs="Arial"/>
          <w:sz w:val="16"/>
          <w:szCs w:val="16"/>
        </w:rPr>
        <w:t>Parágrafo. Los contratos de empréstito distintos a los créditos de proveedores, no se someterán a lo dispuesto en este artículo”.</w:t>
      </w:r>
    </w:p>
    <w:p w14:paraId="3B7EE9F6" w14:textId="77777777" w:rsidR="006E7B3F" w:rsidRPr="00803210" w:rsidRDefault="006E7B3F" w:rsidP="00954B01">
      <w:pPr>
        <w:pStyle w:val="Textonotapie"/>
        <w:ind w:firstLine="708"/>
        <w:contextualSpacing/>
        <w:jc w:val="both"/>
        <w:rPr>
          <w:rFonts w:ascii="Verdana" w:hAnsi="Verdana" w:cs="Arial"/>
          <w:sz w:val="16"/>
          <w:szCs w:val="16"/>
        </w:rPr>
      </w:pPr>
    </w:p>
  </w:footnote>
  <w:footnote w:id="8">
    <w:p w14:paraId="0EE256F7" w14:textId="0BD50CA1" w:rsidR="006E7B3F" w:rsidRPr="00803210" w:rsidRDefault="006E7B3F" w:rsidP="00954B01">
      <w:pPr>
        <w:pStyle w:val="Textonotapie"/>
        <w:ind w:firstLine="708"/>
        <w:contextualSpacing/>
        <w:jc w:val="both"/>
        <w:rPr>
          <w:rFonts w:ascii="Verdana" w:hAnsi="Verdana" w:cs="Arial"/>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r w:rsidR="00C52D40" w:rsidRPr="00803210">
        <w:rPr>
          <w:rFonts w:ascii="Verdana" w:hAnsi="Verdana" w:cs="Arial"/>
          <w:sz w:val="16"/>
          <w:szCs w:val="16"/>
        </w:rPr>
        <w:t>límite</w:t>
      </w:r>
      <w:r w:rsidRPr="00803210">
        <w:rPr>
          <w:rFonts w:ascii="Verdana" w:hAnsi="Verdana" w:cs="Arial"/>
          <w:sz w:val="16"/>
          <w:szCs w:val="16"/>
        </w:rPr>
        <w:t xml:space="preserve">: no más del cincuenta por ciento (50%) de su valor inicial, expresado este en salarios mínimos legales mensuales […]”.  Concepto 1128 del 26 de agosto de 1998, C.P. César Hoyos Salazar. </w:t>
      </w:r>
    </w:p>
    <w:p w14:paraId="1C2EF7FB" w14:textId="77777777" w:rsidR="006E7B3F" w:rsidRPr="00803210" w:rsidRDefault="006E7B3F" w:rsidP="00954B01">
      <w:pPr>
        <w:pStyle w:val="Textonotapie"/>
        <w:ind w:firstLine="708"/>
        <w:contextualSpacing/>
        <w:jc w:val="both"/>
        <w:rPr>
          <w:rFonts w:ascii="Verdana" w:hAnsi="Verdana" w:cs="Arial"/>
          <w:sz w:val="16"/>
          <w:szCs w:val="16"/>
        </w:rPr>
      </w:pPr>
    </w:p>
  </w:footnote>
  <w:footnote w:id="9">
    <w:p w14:paraId="50EC1F24" w14:textId="2EEFE547" w:rsidR="006E7B3F" w:rsidRPr="00803210" w:rsidRDefault="006E7B3F" w:rsidP="00954B01">
      <w:pPr>
        <w:spacing w:after="0" w:line="240" w:lineRule="auto"/>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CONSEJO DE ESTADO</w:t>
      </w:r>
      <w:r w:rsidR="00D577A5">
        <w:rPr>
          <w:rFonts w:ascii="Verdana" w:hAnsi="Verdana"/>
          <w:sz w:val="16"/>
          <w:szCs w:val="16"/>
        </w:rPr>
        <w:t>.</w:t>
      </w:r>
      <w:r w:rsidRPr="00803210">
        <w:rPr>
          <w:rFonts w:ascii="Verdana" w:hAnsi="Verdana"/>
          <w:sz w:val="16"/>
          <w:szCs w:val="16"/>
        </w:rPr>
        <w:t xml:space="preserve"> </w:t>
      </w:r>
      <w:r w:rsidR="00D577A5" w:rsidRPr="00803210">
        <w:rPr>
          <w:rFonts w:ascii="Verdana" w:hAnsi="Verdana"/>
          <w:sz w:val="16"/>
          <w:szCs w:val="16"/>
        </w:rPr>
        <w:t>Sala de lo Contencioso Administrativo</w:t>
      </w:r>
      <w:r w:rsidR="00D577A5">
        <w:rPr>
          <w:rFonts w:ascii="Verdana" w:hAnsi="Verdana"/>
          <w:sz w:val="16"/>
          <w:szCs w:val="16"/>
        </w:rPr>
        <w:t>.</w:t>
      </w:r>
      <w:r w:rsidR="00D577A5" w:rsidRPr="00803210">
        <w:rPr>
          <w:rFonts w:ascii="Verdana" w:hAnsi="Verdana"/>
          <w:sz w:val="16"/>
          <w:szCs w:val="16"/>
        </w:rPr>
        <w:t xml:space="preserve"> Sección Tercera</w:t>
      </w:r>
      <w:r w:rsidR="00D577A5">
        <w:rPr>
          <w:rFonts w:ascii="Verdana" w:hAnsi="Verdana"/>
          <w:sz w:val="16"/>
          <w:szCs w:val="16"/>
        </w:rPr>
        <w:t>.</w:t>
      </w:r>
      <w:r w:rsidR="00D577A5" w:rsidRPr="00803210">
        <w:rPr>
          <w:rFonts w:ascii="Verdana" w:hAnsi="Verdana"/>
          <w:sz w:val="16"/>
          <w:szCs w:val="16"/>
        </w:rPr>
        <w:t xml:space="preserve"> Subsección </w:t>
      </w:r>
      <w:r w:rsidRPr="00803210">
        <w:rPr>
          <w:rFonts w:ascii="Verdana" w:hAnsi="Verdana"/>
          <w:sz w:val="16"/>
          <w:szCs w:val="16"/>
        </w:rPr>
        <w:t>A</w:t>
      </w:r>
      <w:r w:rsidR="00D577A5">
        <w:rPr>
          <w:rFonts w:ascii="Verdana" w:hAnsi="Verdana"/>
          <w:sz w:val="16"/>
          <w:szCs w:val="16"/>
        </w:rPr>
        <w:t>.</w:t>
      </w:r>
      <w:r w:rsidRPr="00803210">
        <w:rPr>
          <w:rFonts w:ascii="Verdana" w:hAnsi="Verdana"/>
          <w:sz w:val="16"/>
          <w:szCs w:val="16"/>
        </w:rPr>
        <w:t xml:space="preserve"> </w:t>
      </w:r>
      <w:r w:rsidR="00D577A5">
        <w:rPr>
          <w:rFonts w:ascii="Verdana" w:hAnsi="Verdana"/>
          <w:sz w:val="16"/>
          <w:szCs w:val="16"/>
        </w:rPr>
        <w:t>C.P.</w:t>
      </w:r>
      <w:r w:rsidRPr="00803210">
        <w:rPr>
          <w:rFonts w:ascii="Verdana" w:hAnsi="Verdana"/>
          <w:sz w:val="16"/>
          <w:szCs w:val="16"/>
        </w:rPr>
        <w:t xml:space="preserve">: </w:t>
      </w:r>
      <w:r w:rsidR="00D577A5" w:rsidRPr="00803210">
        <w:rPr>
          <w:rFonts w:ascii="Verdana" w:hAnsi="Verdana"/>
          <w:sz w:val="16"/>
          <w:szCs w:val="16"/>
        </w:rPr>
        <w:t>María Adriana Marín</w:t>
      </w:r>
      <w:r w:rsidR="00110C15">
        <w:rPr>
          <w:rFonts w:ascii="Verdana" w:hAnsi="Verdana"/>
          <w:sz w:val="16"/>
          <w:szCs w:val="16"/>
        </w:rPr>
        <w:t xml:space="preserve">. Sentencia del </w:t>
      </w:r>
      <w:r w:rsidRPr="00803210">
        <w:rPr>
          <w:rFonts w:ascii="Verdana" w:hAnsi="Verdana"/>
          <w:sz w:val="16"/>
          <w:szCs w:val="16"/>
        </w:rPr>
        <w:t>2</w:t>
      </w:r>
      <w:r w:rsidR="00110C15">
        <w:rPr>
          <w:rFonts w:ascii="Verdana" w:hAnsi="Verdana"/>
          <w:sz w:val="16"/>
          <w:szCs w:val="16"/>
        </w:rPr>
        <w:t>2</w:t>
      </w:r>
      <w:r w:rsidRPr="00803210">
        <w:rPr>
          <w:rFonts w:ascii="Verdana" w:hAnsi="Verdana"/>
          <w:sz w:val="16"/>
          <w:szCs w:val="16"/>
        </w:rPr>
        <w:t xml:space="preserve"> de agosto de 2023</w:t>
      </w:r>
      <w:r w:rsidR="00110C15">
        <w:rPr>
          <w:rFonts w:ascii="Verdana" w:hAnsi="Verdana"/>
          <w:sz w:val="16"/>
          <w:szCs w:val="16"/>
        </w:rPr>
        <w:t>.</w:t>
      </w:r>
      <w:r w:rsidRPr="00803210">
        <w:rPr>
          <w:rFonts w:ascii="Verdana" w:hAnsi="Verdana"/>
          <w:sz w:val="16"/>
          <w:szCs w:val="16"/>
        </w:rPr>
        <w:t xml:space="preserve"> Radicación número: 85001-23-33-000-2015-00211-01 (58.634)</w:t>
      </w:r>
    </w:p>
    <w:p w14:paraId="0D738272" w14:textId="77777777" w:rsidR="006E7B3F" w:rsidRPr="00803210" w:rsidRDefault="006E7B3F" w:rsidP="00954B01">
      <w:pPr>
        <w:pStyle w:val="Textonotapie"/>
        <w:contextualSpacing/>
        <w:jc w:val="both"/>
        <w:rPr>
          <w:rFonts w:ascii="Verdana" w:hAnsi="Verdana"/>
          <w:sz w:val="16"/>
          <w:szCs w:val="16"/>
          <w:lang w:val="es-CO"/>
        </w:rPr>
      </w:pPr>
    </w:p>
  </w:footnote>
  <w:footnote w:id="10">
    <w:p w14:paraId="23600524" w14:textId="21682E58" w:rsidR="006E7B3F" w:rsidRPr="00803210" w:rsidRDefault="006E7B3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00C52D40" w:rsidRPr="00803210">
        <w:rPr>
          <w:rFonts w:ascii="Verdana" w:hAnsi="Verdana"/>
          <w:sz w:val="16"/>
          <w:szCs w:val="16"/>
        </w:rPr>
        <w:t>CONSEJO DE ESTADO</w:t>
      </w:r>
      <w:r w:rsidR="00C52D40">
        <w:rPr>
          <w:rFonts w:ascii="Verdana" w:hAnsi="Verdana"/>
          <w:sz w:val="16"/>
          <w:szCs w:val="16"/>
        </w:rPr>
        <w:t>.</w:t>
      </w:r>
      <w:r w:rsidRPr="00803210">
        <w:rPr>
          <w:rFonts w:ascii="Verdana" w:hAnsi="Verdana"/>
          <w:sz w:val="16"/>
          <w:szCs w:val="16"/>
        </w:rPr>
        <w:t xml:space="preserve"> </w:t>
      </w:r>
      <w:r w:rsidR="008E783F" w:rsidRPr="00803210">
        <w:rPr>
          <w:rFonts w:ascii="Verdana" w:hAnsi="Verdana"/>
          <w:sz w:val="16"/>
          <w:szCs w:val="16"/>
        </w:rPr>
        <w:t>Sala de lo Contencioso Administrativo</w:t>
      </w:r>
      <w:r w:rsidR="008E783F">
        <w:rPr>
          <w:rFonts w:ascii="Verdana" w:hAnsi="Verdana"/>
          <w:sz w:val="16"/>
          <w:szCs w:val="16"/>
        </w:rPr>
        <w:t>.</w:t>
      </w:r>
      <w:r w:rsidR="008E783F" w:rsidRPr="00803210">
        <w:rPr>
          <w:rFonts w:ascii="Verdana" w:hAnsi="Verdana"/>
          <w:sz w:val="16"/>
          <w:szCs w:val="16"/>
        </w:rPr>
        <w:t xml:space="preserve"> </w:t>
      </w:r>
      <w:r w:rsidRPr="00803210">
        <w:rPr>
          <w:rFonts w:ascii="Verdana" w:hAnsi="Verdana"/>
          <w:sz w:val="16"/>
          <w:szCs w:val="16"/>
        </w:rPr>
        <w:t>Sección Tercera</w:t>
      </w:r>
      <w:r w:rsidR="00C52D40">
        <w:rPr>
          <w:rFonts w:ascii="Verdana" w:hAnsi="Verdana"/>
          <w:sz w:val="16"/>
          <w:szCs w:val="16"/>
        </w:rPr>
        <w:t>.</w:t>
      </w:r>
      <w:r w:rsidRPr="00803210">
        <w:rPr>
          <w:rFonts w:ascii="Verdana" w:hAnsi="Verdana"/>
          <w:sz w:val="16"/>
          <w:szCs w:val="16"/>
        </w:rPr>
        <w:t xml:space="preserve"> Subsección B. </w:t>
      </w:r>
      <w:r w:rsidR="00C52D40" w:rsidRPr="00803210">
        <w:rPr>
          <w:rFonts w:ascii="Verdana" w:hAnsi="Verdana"/>
          <w:sz w:val="16"/>
          <w:szCs w:val="16"/>
        </w:rPr>
        <w:t>C.P.: Ramiro Pazos Guerrero</w:t>
      </w:r>
      <w:r w:rsidR="00C52D40">
        <w:rPr>
          <w:rFonts w:ascii="Verdana" w:hAnsi="Verdana"/>
          <w:sz w:val="16"/>
          <w:szCs w:val="16"/>
        </w:rPr>
        <w:t>.</w:t>
      </w:r>
      <w:r w:rsidR="00C52D40" w:rsidRPr="00803210">
        <w:rPr>
          <w:rFonts w:ascii="Verdana" w:hAnsi="Verdana"/>
          <w:sz w:val="16"/>
          <w:szCs w:val="16"/>
        </w:rPr>
        <w:t xml:space="preserve"> </w:t>
      </w:r>
      <w:r w:rsidRPr="00803210">
        <w:rPr>
          <w:rFonts w:ascii="Verdana" w:hAnsi="Verdana"/>
          <w:sz w:val="16"/>
          <w:szCs w:val="16"/>
        </w:rPr>
        <w:t>Sentencia del 4 de junio de 2019</w:t>
      </w:r>
      <w:r w:rsidR="00781B0D">
        <w:rPr>
          <w:rFonts w:ascii="Verdana" w:hAnsi="Verdana"/>
          <w:sz w:val="16"/>
          <w:szCs w:val="16"/>
        </w:rPr>
        <w:t>.</w:t>
      </w:r>
      <w:r w:rsidRPr="00803210">
        <w:rPr>
          <w:rFonts w:ascii="Verdana" w:hAnsi="Verdana"/>
          <w:sz w:val="16"/>
          <w:szCs w:val="16"/>
        </w:rPr>
        <w:t xml:space="preserve"> Rad</w:t>
      </w:r>
      <w:r w:rsidR="008E783F">
        <w:rPr>
          <w:rFonts w:ascii="Verdana" w:hAnsi="Verdana"/>
          <w:sz w:val="16"/>
          <w:szCs w:val="16"/>
        </w:rPr>
        <w:t>icación número</w:t>
      </w:r>
      <w:r w:rsidRPr="00803210">
        <w:rPr>
          <w:rFonts w:ascii="Verdana" w:hAnsi="Verdana"/>
          <w:sz w:val="16"/>
          <w:szCs w:val="16"/>
        </w:rPr>
        <w:t>: 73001-23-31-000-2008-00741-01 (39.974).</w:t>
      </w:r>
    </w:p>
  </w:footnote>
  <w:footnote w:id="11">
    <w:p w14:paraId="012C72A5" w14:textId="77777777" w:rsidR="0016067C" w:rsidRPr="00803210" w:rsidRDefault="0016067C" w:rsidP="00954B01">
      <w:pPr>
        <w:pStyle w:val="Textonotapie"/>
        <w:ind w:firstLine="708"/>
        <w:contextualSpacing/>
        <w:jc w:val="both"/>
        <w:rPr>
          <w:rFonts w:ascii="Verdana" w:hAnsi="Verdana"/>
          <w:sz w:val="16"/>
          <w:szCs w:val="16"/>
        </w:rPr>
      </w:pPr>
    </w:p>
    <w:p w14:paraId="35B1F29F" w14:textId="37C8943A" w:rsidR="006E7B3F" w:rsidRDefault="006E7B3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008E783F" w:rsidRPr="00803210">
        <w:rPr>
          <w:rFonts w:ascii="Verdana" w:hAnsi="Verdana"/>
          <w:sz w:val="16"/>
          <w:szCs w:val="16"/>
        </w:rPr>
        <w:t>CONSEJO DE ESTADO</w:t>
      </w:r>
      <w:r w:rsidR="008E783F">
        <w:rPr>
          <w:rFonts w:ascii="Verdana" w:hAnsi="Verdana"/>
          <w:sz w:val="16"/>
          <w:szCs w:val="16"/>
        </w:rPr>
        <w:t xml:space="preserve">. </w:t>
      </w:r>
      <w:r w:rsidR="008E783F" w:rsidRPr="00803210">
        <w:rPr>
          <w:rFonts w:ascii="Verdana" w:hAnsi="Verdana"/>
          <w:sz w:val="16"/>
          <w:szCs w:val="16"/>
        </w:rPr>
        <w:t>Sala de lo Contencioso Administrativo</w:t>
      </w:r>
      <w:r w:rsidR="008E783F">
        <w:rPr>
          <w:rFonts w:ascii="Verdana" w:hAnsi="Verdana"/>
          <w:sz w:val="16"/>
          <w:szCs w:val="16"/>
        </w:rPr>
        <w:t xml:space="preserve">. </w:t>
      </w:r>
      <w:r w:rsidRPr="00803210">
        <w:rPr>
          <w:rFonts w:ascii="Verdana" w:hAnsi="Verdana"/>
          <w:sz w:val="16"/>
          <w:szCs w:val="16"/>
        </w:rPr>
        <w:t>Sección Tercera</w:t>
      </w:r>
      <w:r w:rsidR="008E783F">
        <w:rPr>
          <w:rFonts w:ascii="Verdana" w:hAnsi="Verdana"/>
          <w:sz w:val="16"/>
          <w:szCs w:val="16"/>
        </w:rPr>
        <w:t>.</w:t>
      </w:r>
      <w:r w:rsidRPr="00803210">
        <w:rPr>
          <w:rFonts w:ascii="Verdana" w:hAnsi="Verdana"/>
          <w:sz w:val="16"/>
          <w:szCs w:val="16"/>
        </w:rPr>
        <w:t xml:space="preserve"> Subsección B. C.P.: Alberto Montaña Plata. </w:t>
      </w:r>
      <w:r w:rsidR="008E783F" w:rsidRPr="00803210">
        <w:rPr>
          <w:rFonts w:ascii="Verdana" w:hAnsi="Verdana"/>
          <w:sz w:val="16"/>
          <w:szCs w:val="16"/>
        </w:rPr>
        <w:t>Sentencia del 18 de noviembre de 2021</w:t>
      </w:r>
      <w:r w:rsidR="008E783F">
        <w:rPr>
          <w:rFonts w:ascii="Verdana" w:hAnsi="Verdana"/>
          <w:sz w:val="16"/>
          <w:szCs w:val="16"/>
        </w:rPr>
        <w:t xml:space="preserve">. </w:t>
      </w:r>
      <w:r w:rsidRPr="00803210">
        <w:rPr>
          <w:rFonts w:ascii="Verdana" w:hAnsi="Verdana"/>
          <w:sz w:val="16"/>
          <w:szCs w:val="16"/>
        </w:rPr>
        <w:t>Rad</w:t>
      </w:r>
      <w:r w:rsidR="008E783F">
        <w:rPr>
          <w:rFonts w:ascii="Verdana" w:hAnsi="Verdana"/>
          <w:sz w:val="16"/>
          <w:szCs w:val="16"/>
        </w:rPr>
        <w:t>icación número</w:t>
      </w:r>
      <w:r w:rsidRPr="00803210">
        <w:rPr>
          <w:rFonts w:ascii="Verdana" w:hAnsi="Verdana"/>
          <w:sz w:val="16"/>
          <w:szCs w:val="16"/>
        </w:rPr>
        <w:t>.: 47001-23-33-001-2013-00363-01 (61.641).</w:t>
      </w:r>
    </w:p>
    <w:p w14:paraId="323597D8" w14:textId="77777777" w:rsidR="008E783F" w:rsidRPr="00803210" w:rsidRDefault="008E783F" w:rsidP="00954B01">
      <w:pPr>
        <w:pStyle w:val="Textonotapie"/>
        <w:ind w:firstLine="708"/>
        <w:contextualSpacing/>
        <w:jc w:val="both"/>
        <w:rPr>
          <w:rFonts w:ascii="Verdana" w:hAnsi="Verdana"/>
          <w:sz w:val="16"/>
          <w:szCs w:val="16"/>
        </w:rPr>
      </w:pPr>
    </w:p>
  </w:footnote>
  <w:footnote w:id="12">
    <w:p w14:paraId="1839A3E9" w14:textId="24EB458C"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w:t>
      </w:r>
      <w:proofErr w:type="spellStart"/>
      <w:r w:rsidRPr="00803210">
        <w:rPr>
          <w:rFonts w:ascii="Verdana" w:hAnsi="Verdana" w:cs="Arial"/>
          <w:color w:val="000000" w:themeColor="text1"/>
          <w:sz w:val="16"/>
          <w:szCs w:val="16"/>
        </w:rPr>
        <w:t>Ibíd</w:t>
      </w:r>
      <w:r w:rsidR="00B5338C">
        <w:rPr>
          <w:rFonts w:ascii="Verdana" w:hAnsi="Verdana" w:cs="Arial"/>
          <w:color w:val="000000" w:themeColor="text1"/>
          <w:sz w:val="16"/>
          <w:szCs w:val="16"/>
        </w:rPr>
        <w:t>em</w:t>
      </w:r>
      <w:proofErr w:type="spellEnd"/>
      <w:r w:rsidR="00B5338C">
        <w:rPr>
          <w:rFonts w:ascii="Verdana" w:hAnsi="Verdana" w:cs="Arial"/>
          <w:color w:val="000000" w:themeColor="text1"/>
          <w:sz w:val="16"/>
          <w:szCs w:val="16"/>
        </w:rPr>
        <w:t>.</w:t>
      </w:r>
    </w:p>
    <w:p w14:paraId="7651E959"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3">
    <w:p w14:paraId="3F71F504" w14:textId="5E4650CB"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DÁVILA VINUEZA, Luis Guillermo. Régimen jurídico de la contratación estatal. Tercera edición, Bogotá: Legis</w:t>
      </w:r>
      <w:r w:rsidR="00B5338C">
        <w:rPr>
          <w:rFonts w:ascii="Verdana" w:hAnsi="Verdana" w:cs="Arial"/>
          <w:color w:val="000000" w:themeColor="text1"/>
          <w:sz w:val="16"/>
          <w:szCs w:val="16"/>
        </w:rPr>
        <w:t>.</w:t>
      </w:r>
      <w:r w:rsidRPr="00803210">
        <w:rPr>
          <w:rFonts w:ascii="Verdana" w:hAnsi="Verdana" w:cs="Arial"/>
          <w:color w:val="000000" w:themeColor="text1"/>
          <w:sz w:val="16"/>
          <w:szCs w:val="16"/>
        </w:rPr>
        <w:t xml:space="preserve"> 2016</w:t>
      </w:r>
      <w:r w:rsidR="00B5338C">
        <w:rPr>
          <w:rFonts w:ascii="Verdana" w:hAnsi="Verdana" w:cs="Arial"/>
          <w:color w:val="000000" w:themeColor="text1"/>
          <w:sz w:val="16"/>
          <w:szCs w:val="16"/>
        </w:rPr>
        <w:t>.</w:t>
      </w:r>
      <w:r w:rsidRPr="00803210">
        <w:rPr>
          <w:rFonts w:ascii="Verdana" w:hAnsi="Verdana" w:cs="Arial"/>
          <w:color w:val="000000" w:themeColor="text1"/>
          <w:sz w:val="16"/>
          <w:szCs w:val="16"/>
        </w:rPr>
        <w:t xml:space="preserve"> </w:t>
      </w:r>
      <w:r w:rsidR="00B5338C">
        <w:rPr>
          <w:rFonts w:ascii="Verdana" w:hAnsi="Verdana" w:cs="Arial"/>
          <w:color w:val="000000" w:themeColor="text1"/>
          <w:sz w:val="16"/>
          <w:szCs w:val="16"/>
        </w:rPr>
        <w:t>Páginas</w:t>
      </w:r>
      <w:r w:rsidRPr="00803210">
        <w:rPr>
          <w:rFonts w:ascii="Verdana" w:hAnsi="Verdana" w:cs="Arial"/>
          <w:color w:val="000000" w:themeColor="text1"/>
          <w:sz w:val="16"/>
          <w:szCs w:val="16"/>
        </w:rPr>
        <w:t xml:space="preserve"> 635 y 636.</w:t>
      </w:r>
    </w:p>
    <w:p w14:paraId="11D173B2"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4">
    <w:p w14:paraId="2B5033F4" w14:textId="4A967368"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w:t>
      </w:r>
      <w:r w:rsidR="00B5338C">
        <w:rPr>
          <w:rFonts w:ascii="Verdana" w:hAnsi="Verdana" w:cs="Arial"/>
          <w:color w:val="000000" w:themeColor="text1"/>
          <w:sz w:val="16"/>
          <w:szCs w:val="16"/>
        </w:rPr>
        <w:t>Ibidem. Página</w:t>
      </w:r>
      <w:r w:rsidRPr="00803210">
        <w:rPr>
          <w:rFonts w:ascii="Verdana" w:hAnsi="Verdana" w:cs="Arial"/>
          <w:color w:val="000000" w:themeColor="text1"/>
          <w:sz w:val="16"/>
          <w:szCs w:val="16"/>
        </w:rPr>
        <w:t xml:space="preserve"> 592.</w:t>
      </w:r>
    </w:p>
    <w:p w14:paraId="3EE5EBA3"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5">
    <w:p w14:paraId="158D9772" w14:textId="1D701E22"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Cfr. CONSEJO DE ESTADO. </w:t>
      </w:r>
      <w:r w:rsidR="00DB37E3" w:rsidRPr="00803210">
        <w:rPr>
          <w:rFonts w:ascii="Verdana" w:hAnsi="Verdana"/>
          <w:sz w:val="16"/>
          <w:szCs w:val="16"/>
        </w:rPr>
        <w:t>Sala de lo Contencioso Administrativo</w:t>
      </w:r>
      <w:r w:rsidR="00DB37E3">
        <w:rPr>
          <w:rFonts w:ascii="Verdana" w:hAnsi="Verdana"/>
          <w:sz w:val="16"/>
          <w:szCs w:val="16"/>
        </w:rPr>
        <w:t>.</w:t>
      </w:r>
      <w:r w:rsidR="00DB37E3" w:rsidRPr="00803210">
        <w:rPr>
          <w:rFonts w:ascii="Verdana" w:hAnsi="Verdana"/>
          <w:sz w:val="16"/>
          <w:szCs w:val="16"/>
        </w:rPr>
        <w:t xml:space="preserve"> </w:t>
      </w:r>
      <w:r w:rsidRPr="00803210">
        <w:rPr>
          <w:rFonts w:ascii="Verdana" w:hAnsi="Verdana" w:cs="Arial"/>
          <w:color w:val="000000" w:themeColor="text1"/>
          <w:sz w:val="16"/>
          <w:szCs w:val="16"/>
        </w:rPr>
        <w:t>Sección Tercera. Sentencia del 22 de abril de 2004. Exp</w:t>
      </w:r>
      <w:r w:rsidR="00427AF2">
        <w:rPr>
          <w:rFonts w:ascii="Verdana" w:hAnsi="Verdana" w:cs="Arial"/>
          <w:color w:val="000000" w:themeColor="text1"/>
          <w:sz w:val="16"/>
          <w:szCs w:val="16"/>
        </w:rPr>
        <w:t>ediente:</w:t>
      </w:r>
      <w:r w:rsidRPr="00803210">
        <w:rPr>
          <w:rFonts w:ascii="Verdana" w:hAnsi="Verdana" w:cs="Arial"/>
          <w:color w:val="000000" w:themeColor="text1"/>
          <w:sz w:val="16"/>
          <w:szCs w:val="16"/>
        </w:rPr>
        <w:t xml:space="preserve"> 22.178 y en la Sentencia de la misma Sección del 15 de julio de 2004. Exp</w:t>
      </w:r>
      <w:r w:rsidR="00427AF2">
        <w:rPr>
          <w:rFonts w:ascii="Verdana" w:hAnsi="Verdana" w:cs="Arial"/>
          <w:color w:val="000000" w:themeColor="text1"/>
          <w:sz w:val="16"/>
          <w:szCs w:val="16"/>
        </w:rPr>
        <w:t>ediente</w:t>
      </w:r>
      <w:r w:rsidRPr="00803210">
        <w:rPr>
          <w:rFonts w:ascii="Verdana" w:hAnsi="Verdana" w:cs="Arial"/>
          <w:color w:val="000000" w:themeColor="text1"/>
          <w:sz w:val="16"/>
          <w:szCs w:val="16"/>
        </w:rPr>
        <w:t xml:space="preserve"> AP-1164-02. Esta postura fue reiterada por la Sala de Consulta Civil y Servicio Civil en Concepto del 6 de julio de 2018- Radicación Nro. 239. C.P.: Osar Darío Amaya Navas. </w:t>
      </w:r>
    </w:p>
    <w:p w14:paraId="73F7B1F9"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6">
    <w:p w14:paraId="00739B31" w14:textId="5D4E5D04"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MARÍN CORTÉS. Fabián G. El precio. Serie: Las Cláusulas del Contrato Estatal. Medellín: Centro de Estudios de Derecho Administrativo ― CEDA y Librería Jurídica Sánchez</w:t>
      </w:r>
      <w:r w:rsidR="00427AF2">
        <w:rPr>
          <w:rFonts w:ascii="Verdana" w:hAnsi="Verdana" w:cs="Arial"/>
          <w:color w:val="000000" w:themeColor="text1"/>
          <w:sz w:val="16"/>
          <w:szCs w:val="16"/>
        </w:rPr>
        <w:t>.</w:t>
      </w:r>
      <w:r w:rsidRPr="00803210">
        <w:rPr>
          <w:rFonts w:ascii="Verdana" w:hAnsi="Verdana" w:cs="Arial"/>
          <w:color w:val="000000" w:themeColor="text1"/>
          <w:sz w:val="16"/>
          <w:szCs w:val="16"/>
        </w:rPr>
        <w:t xml:space="preserve"> 2012. </w:t>
      </w:r>
      <w:r w:rsidR="00427AF2">
        <w:rPr>
          <w:rFonts w:ascii="Verdana" w:hAnsi="Verdana" w:cs="Arial"/>
          <w:color w:val="000000" w:themeColor="text1"/>
          <w:sz w:val="16"/>
          <w:szCs w:val="16"/>
        </w:rPr>
        <w:t>Páginas</w:t>
      </w:r>
      <w:r w:rsidRPr="00803210">
        <w:rPr>
          <w:rFonts w:ascii="Verdana" w:hAnsi="Verdana" w:cs="Arial"/>
          <w:color w:val="000000" w:themeColor="text1"/>
          <w:sz w:val="16"/>
          <w:szCs w:val="16"/>
        </w:rPr>
        <w:t xml:space="preserve"> 220 y 221.</w:t>
      </w:r>
    </w:p>
    <w:p w14:paraId="6E15527B"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7">
    <w:p w14:paraId="430A34EA" w14:textId="733EE13C"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color w:val="000000" w:themeColor="text1"/>
          <w:sz w:val="16"/>
          <w:szCs w:val="16"/>
        </w:rPr>
        <w:t>BENAVIDES, José Luis. Contratos Públicos: Estudios. Primera edición. Bogotá: Universidad Externado de Colombia</w:t>
      </w:r>
      <w:r w:rsidR="00427AF2">
        <w:rPr>
          <w:rFonts w:ascii="Verdana" w:hAnsi="Verdana" w:cs="Arial"/>
          <w:color w:val="000000" w:themeColor="text1"/>
          <w:sz w:val="16"/>
          <w:szCs w:val="16"/>
        </w:rPr>
        <w:t>.</w:t>
      </w:r>
      <w:r w:rsidRPr="00803210">
        <w:rPr>
          <w:rFonts w:ascii="Verdana" w:hAnsi="Verdana" w:cs="Arial"/>
          <w:color w:val="000000" w:themeColor="text1"/>
          <w:sz w:val="16"/>
          <w:szCs w:val="16"/>
        </w:rPr>
        <w:t xml:space="preserve"> 2014. </w:t>
      </w:r>
      <w:r w:rsidR="00427AF2">
        <w:rPr>
          <w:rFonts w:ascii="Verdana" w:hAnsi="Verdana" w:cs="Arial"/>
          <w:color w:val="000000" w:themeColor="text1"/>
          <w:sz w:val="16"/>
          <w:szCs w:val="16"/>
        </w:rPr>
        <w:t>Página</w:t>
      </w:r>
      <w:r w:rsidRPr="00803210">
        <w:rPr>
          <w:rFonts w:ascii="Verdana" w:hAnsi="Verdana" w:cs="Arial"/>
          <w:color w:val="000000" w:themeColor="text1"/>
          <w:sz w:val="16"/>
          <w:szCs w:val="16"/>
        </w:rPr>
        <w:t xml:space="preserve"> 386.</w:t>
      </w:r>
    </w:p>
    <w:p w14:paraId="799CE087"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p>
  </w:footnote>
  <w:footnote w:id="18">
    <w:p w14:paraId="125E8DFC" w14:textId="2F60B067" w:rsidR="006E7B3F" w:rsidRPr="00803210" w:rsidRDefault="006E7B3F" w:rsidP="00954B01">
      <w:pPr>
        <w:pStyle w:val="Textonotapie"/>
        <w:ind w:firstLine="708"/>
        <w:contextualSpacing/>
        <w:jc w:val="both"/>
        <w:rPr>
          <w:rFonts w:ascii="Verdana" w:hAnsi="Verdana" w:cs="Arial"/>
          <w:color w:val="000000" w:themeColor="text1"/>
          <w:sz w:val="16"/>
          <w:szCs w:val="16"/>
        </w:rPr>
      </w:pPr>
      <w:r w:rsidRPr="00803210">
        <w:rPr>
          <w:rStyle w:val="Refdenotaalpie"/>
          <w:rFonts w:ascii="Verdana" w:hAnsi="Verdana" w:cs="Arial"/>
          <w:color w:val="000000" w:themeColor="text1"/>
          <w:sz w:val="16"/>
          <w:szCs w:val="16"/>
        </w:rPr>
        <w:footnoteRef/>
      </w:r>
      <w:r w:rsidRPr="00803210">
        <w:rPr>
          <w:rFonts w:ascii="Verdana" w:hAnsi="Verdana" w:cs="Arial"/>
          <w:color w:val="000000" w:themeColor="text1"/>
          <w:sz w:val="16"/>
          <w:szCs w:val="16"/>
        </w:rPr>
        <w:t xml:space="preserve"> CONSEJO DE ESTADO. </w:t>
      </w:r>
      <w:r w:rsidR="006D01C6" w:rsidRPr="00803210">
        <w:rPr>
          <w:rFonts w:ascii="Verdana" w:hAnsi="Verdana"/>
          <w:sz w:val="16"/>
          <w:szCs w:val="16"/>
        </w:rPr>
        <w:t>Sala de lo Contencioso Administrativo</w:t>
      </w:r>
      <w:r w:rsidR="006D01C6">
        <w:rPr>
          <w:rFonts w:ascii="Verdana" w:hAnsi="Verdana"/>
          <w:sz w:val="16"/>
          <w:szCs w:val="16"/>
        </w:rPr>
        <w:t>.</w:t>
      </w:r>
      <w:r w:rsidR="006D01C6" w:rsidRPr="00803210">
        <w:rPr>
          <w:rFonts w:ascii="Verdana" w:hAnsi="Verdana"/>
          <w:sz w:val="16"/>
          <w:szCs w:val="16"/>
        </w:rPr>
        <w:t xml:space="preserve"> </w:t>
      </w:r>
      <w:r w:rsidRPr="00803210">
        <w:rPr>
          <w:rFonts w:ascii="Verdana" w:hAnsi="Verdana" w:cs="Arial"/>
          <w:color w:val="000000" w:themeColor="text1"/>
          <w:sz w:val="16"/>
          <w:szCs w:val="16"/>
        </w:rPr>
        <w:t xml:space="preserve">Sección Tercera. </w:t>
      </w:r>
      <w:r w:rsidR="006D01C6" w:rsidRPr="00803210">
        <w:rPr>
          <w:rFonts w:ascii="Verdana" w:hAnsi="Verdana"/>
          <w:sz w:val="16"/>
          <w:szCs w:val="16"/>
          <w:lang w:val="es-CO"/>
        </w:rPr>
        <w:t>C.P.</w:t>
      </w:r>
      <w:r w:rsidR="006D01C6" w:rsidRPr="00803210">
        <w:rPr>
          <w:rFonts w:ascii="Verdana" w:hAnsi="Verdana" w:cs="Arial"/>
          <w:color w:val="000000" w:themeColor="text1"/>
          <w:sz w:val="16"/>
          <w:szCs w:val="16"/>
        </w:rPr>
        <w:t xml:space="preserve"> Enrique Gil Botero.</w:t>
      </w:r>
      <w:r w:rsidR="006D01C6">
        <w:rPr>
          <w:rFonts w:ascii="Verdana" w:hAnsi="Verdana" w:cs="Arial"/>
          <w:color w:val="000000" w:themeColor="text1"/>
          <w:sz w:val="16"/>
          <w:szCs w:val="16"/>
        </w:rPr>
        <w:t xml:space="preserve"> </w:t>
      </w:r>
      <w:r w:rsidRPr="00803210">
        <w:rPr>
          <w:rFonts w:ascii="Verdana" w:hAnsi="Verdana" w:cs="Arial"/>
          <w:color w:val="000000" w:themeColor="text1"/>
          <w:sz w:val="16"/>
          <w:szCs w:val="16"/>
        </w:rPr>
        <w:t>Sentencia del 14 de abril de 2010. Exp</w:t>
      </w:r>
      <w:r w:rsidR="006D01C6">
        <w:rPr>
          <w:rFonts w:ascii="Verdana" w:hAnsi="Verdana" w:cs="Arial"/>
          <w:color w:val="000000" w:themeColor="text1"/>
          <w:sz w:val="16"/>
          <w:szCs w:val="16"/>
        </w:rPr>
        <w:t>ediente:</w:t>
      </w:r>
      <w:r w:rsidRPr="00803210">
        <w:rPr>
          <w:rFonts w:ascii="Verdana" w:hAnsi="Verdana" w:cs="Arial"/>
          <w:color w:val="000000" w:themeColor="text1"/>
          <w:sz w:val="16"/>
          <w:szCs w:val="16"/>
        </w:rPr>
        <w:t xml:space="preserve"> 36.054. </w:t>
      </w:r>
    </w:p>
    <w:p w14:paraId="5079C899" w14:textId="77777777" w:rsidR="006E7B3F" w:rsidRPr="00803210" w:rsidRDefault="006E7B3F" w:rsidP="00954B01">
      <w:pPr>
        <w:pStyle w:val="Textonotapie"/>
        <w:ind w:firstLine="708"/>
        <w:contextualSpacing/>
        <w:jc w:val="both"/>
        <w:rPr>
          <w:rFonts w:ascii="Verdana" w:hAnsi="Verdana" w:cs="Arial"/>
          <w:color w:val="000000" w:themeColor="text1"/>
          <w:sz w:val="16"/>
          <w:szCs w:val="16"/>
        </w:rPr>
      </w:pPr>
    </w:p>
  </w:footnote>
  <w:footnote w:id="19">
    <w:p w14:paraId="6B117D6E" w14:textId="33F228D3"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color w:val="000000" w:themeColor="text1"/>
          <w:sz w:val="16"/>
          <w:szCs w:val="16"/>
        </w:rPr>
        <w:t xml:space="preserve">CONSEJO DE ESTADO. </w:t>
      </w:r>
      <w:r w:rsidR="006D01C6" w:rsidRPr="00803210">
        <w:rPr>
          <w:rFonts w:ascii="Verdana" w:hAnsi="Verdana"/>
          <w:sz w:val="16"/>
          <w:szCs w:val="16"/>
        </w:rPr>
        <w:t>Sala de lo Contencioso Administrativo</w:t>
      </w:r>
      <w:r w:rsidR="006D01C6">
        <w:rPr>
          <w:rFonts w:ascii="Verdana" w:hAnsi="Verdana"/>
          <w:sz w:val="16"/>
          <w:szCs w:val="16"/>
        </w:rPr>
        <w:t>.</w:t>
      </w:r>
      <w:r w:rsidR="006D01C6" w:rsidRPr="00803210">
        <w:rPr>
          <w:rFonts w:ascii="Verdana" w:hAnsi="Verdana"/>
          <w:sz w:val="16"/>
          <w:szCs w:val="16"/>
        </w:rPr>
        <w:t xml:space="preserve"> </w:t>
      </w:r>
      <w:r w:rsidRPr="00803210">
        <w:rPr>
          <w:rFonts w:ascii="Verdana" w:hAnsi="Verdana" w:cs="Arial"/>
          <w:color w:val="000000" w:themeColor="text1"/>
          <w:sz w:val="16"/>
          <w:szCs w:val="16"/>
        </w:rPr>
        <w:t xml:space="preserve">Sección Tercera. </w:t>
      </w:r>
      <w:r w:rsidR="006D01C6" w:rsidRPr="00803210">
        <w:rPr>
          <w:rFonts w:ascii="Verdana" w:hAnsi="Verdana"/>
          <w:sz w:val="16"/>
          <w:szCs w:val="16"/>
          <w:lang w:val="es-CO"/>
        </w:rPr>
        <w:t>C.P.</w:t>
      </w:r>
      <w:r w:rsidR="006D01C6" w:rsidRPr="00803210">
        <w:rPr>
          <w:rFonts w:ascii="Verdana" w:hAnsi="Verdana" w:cs="Arial"/>
          <w:color w:val="000000" w:themeColor="text1"/>
          <w:sz w:val="16"/>
          <w:szCs w:val="16"/>
        </w:rPr>
        <w:t xml:space="preserve"> Ruth Stella Correa Palacio. </w:t>
      </w:r>
      <w:r w:rsidRPr="00803210">
        <w:rPr>
          <w:rFonts w:ascii="Verdana" w:hAnsi="Verdana" w:cs="Arial"/>
          <w:color w:val="000000" w:themeColor="text1"/>
          <w:sz w:val="16"/>
          <w:szCs w:val="16"/>
        </w:rPr>
        <w:t>Sentencia del 20 de noviembre de 2008. Exp</w:t>
      </w:r>
      <w:r w:rsidR="006D01C6">
        <w:rPr>
          <w:rFonts w:ascii="Verdana" w:hAnsi="Verdana" w:cs="Arial"/>
          <w:color w:val="000000" w:themeColor="text1"/>
          <w:sz w:val="16"/>
          <w:szCs w:val="16"/>
        </w:rPr>
        <w:t>ediente:</w:t>
      </w:r>
      <w:r w:rsidRPr="00803210">
        <w:rPr>
          <w:rFonts w:ascii="Verdana" w:hAnsi="Verdana" w:cs="Arial"/>
          <w:color w:val="000000" w:themeColor="text1"/>
          <w:sz w:val="16"/>
          <w:szCs w:val="16"/>
        </w:rPr>
        <w:t xml:space="preserve"> 17.031. Ver también: Consejo de Estado</w:t>
      </w:r>
      <w:r w:rsidR="006D01C6">
        <w:rPr>
          <w:rFonts w:ascii="Verdana" w:hAnsi="Verdana" w:cs="Arial"/>
          <w:color w:val="000000" w:themeColor="text1"/>
          <w:sz w:val="16"/>
          <w:szCs w:val="16"/>
        </w:rPr>
        <w:t xml:space="preserve">. </w:t>
      </w:r>
      <w:r w:rsidR="006D01C6" w:rsidRPr="00803210">
        <w:rPr>
          <w:rFonts w:ascii="Verdana" w:hAnsi="Verdana"/>
          <w:sz w:val="16"/>
          <w:szCs w:val="16"/>
        </w:rPr>
        <w:t>Sala de lo Contencioso Administrativo</w:t>
      </w:r>
      <w:r w:rsidR="006D01C6">
        <w:rPr>
          <w:rFonts w:ascii="Verdana" w:hAnsi="Verdana"/>
          <w:sz w:val="16"/>
          <w:szCs w:val="16"/>
        </w:rPr>
        <w:t xml:space="preserve">. </w:t>
      </w:r>
      <w:r w:rsidRPr="00803210">
        <w:rPr>
          <w:rFonts w:ascii="Verdana" w:hAnsi="Verdana" w:cs="Arial"/>
          <w:color w:val="000000" w:themeColor="text1"/>
          <w:sz w:val="16"/>
          <w:szCs w:val="16"/>
        </w:rPr>
        <w:t>Sección Tercera</w:t>
      </w:r>
      <w:r w:rsidR="006D01C6">
        <w:rPr>
          <w:rFonts w:ascii="Verdana" w:hAnsi="Verdana" w:cs="Arial"/>
          <w:color w:val="000000" w:themeColor="text1"/>
          <w:sz w:val="16"/>
          <w:szCs w:val="16"/>
        </w:rPr>
        <w:t xml:space="preserve">. </w:t>
      </w:r>
      <w:r w:rsidR="006D01C6" w:rsidRPr="00803210">
        <w:rPr>
          <w:rFonts w:ascii="Verdana" w:hAnsi="Verdana"/>
          <w:sz w:val="16"/>
          <w:szCs w:val="16"/>
          <w:lang w:val="es-CO"/>
        </w:rPr>
        <w:t>C.P.</w:t>
      </w:r>
      <w:r w:rsidR="006D01C6" w:rsidRPr="00803210">
        <w:rPr>
          <w:rFonts w:ascii="Verdana" w:hAnsi="Verdana" w:cs="Arial"/>
          <w:color w:val="000000" w:themeColor="text1"/>
          <w:sz w:val="16"/>
          <w:szCs w:val="16"/>
        </w:rPr>
        <w:t xml:space="preserve"> Ruth Stella Correa Palacio.</w:t>
      </w:r>
      <w:r w:rsidR="006D01C6">
        <w:rPr>
          <w:rFonts w:ascii="Verdana" w:hAnsi="Verdana" w:cs="Arial"/>
          <w:color w:val="000000" w:themeColor="text1"/>
          <w:sz w:val="16"/>
          <w:szCs w:val="16"/>
        </w:rPr>
        <w:t xml:space="preserve"> </w:t>
      </w:r>
      <w:r w:rsidR="006D01C6" w:rsidRPr="00803210">
        <w:rPr>
          <w:rFonts w:ascii="Verdana" w:hAnsi="Verdana" w:cs="Arial"/>
          <w:color w:val="000000" w:themeColor="text1"/>
          <w:sz w:val="16"/>
          <w:szCs w:val="16"/>
        </w:rPr>
        <w:t>C.</w:t>
      </w:r>
      <w:r w:rsidR="006D01C6" w:rsidRPr="00803210">
        <w:rPr>
          <w:rFonts w:ascii="Verdana" w:hAnsi="Verdana"/>
          <w:sz w:val="16"/>
          <w:szCs w:val="16"/>
          <w:lang w:val="es-CO"/>
        </w:rPr>
        <w:t xml:space="preserve">P. </w:t>
      </w:r>
      <w:r w:rsidR="006D01C6" w:rsidRPr="00803210">
        <w:rPr>
          <w:rFonts w:ascii="Verdana" w:hAnsi="Verdana" w:cs="Arial"/>
          <w:color w:val="000000" w:themeColor="text1"/>
          <w:sz w:val="16"/>
          <w:szCs w:val="16"/>
        </w:rPr>
        <w:t>Ramiro Saavedra Becerra.</w:t>
      </w:r>
      <w:r w:rsidR="006D01C6">
        <w:rPr>
          <w:rFonts w:ascii="Verdana" w:hAnsi="Verdana" w:cs="Arial"/>
          <w:color w:val="000000" w:themeColor="text1"/>
          <w:sz w:val="16"/>
          <w:szCs w:val="16"/>
        </w:rPr>
        <w:t xml:space="preserve"> S</w:t>
      </w:r>
      <w:r w:rsidRPr="00803210">
        <w:rPr>
          <w:rFonts w:ascii="Verdana" w:hAnsi="Verdana" w:cs="Arial"/>
          <w:color w:val="000000" w:themeColor="text1"/>
          <w:sz w:val="16"/>
          <w:szCs w:val="16"/>
        </w:rPr>
        <w:t>entencia 18 de septiembre de 2003</w:t>
      </w:r>
      <w:r w:rsidR="006D01C6">
        <w:rPr>
          <w:rFonts w:ascii="Verdana" w:hAnsi="Verdana" w:cs="Arial"/>
          <w:color w:val="000000" w:themeColor="text1"/>
          <w:sz w:val="16"/>
          <w:szCs w:val="16"/>
        </w:rPr>
        <w:t>.</w:t>
      </w:r>
      <w:r w:rsidRPr="00803210">
        <w:rPr>
          <w:rFonts w:ascii="Verdana" w:hAnsi="Verdana" w:cs="Arial"/>
          <w:color w:val="000000" w:themeColor="text1"/>
          <w:sz w:val="16"/>
          <w:szCs w:val="16"/>
        </w:rPr>
        <w:t xml:space="preserve"> </w:t>
      </w:r>
      <w:r w:rsidR="006D01C6" w:rsidRPr="00803210">
        <w:rPr>
          <w:rFonts w:ascii="Verdana" w:hAnsi="Verdana" w:cs="Arial"/>
          <w:color w:val="000000" w:themeColor="text1"/>
          <w:sz w:val="16"/>
          <w:szCs w:val="16"/>
        </w:rPr>
        <w:t>Exp</w:t>
      </w:r>
      <w:r w:rsidR="006D01C6">
        <w:rPr>
          <w:rFonts w:ascii="Verdana" w:hAnsi="Verdana" w:cs="Arial"/>
          <w:color w:val="000000" w:themeColor="text1"/>
          <w:sz w:val="16"/>
          <w:szCs w:val="16"/>
        </w:rPr>
        <w:t>ediente:</w:t>
      </w:r>
      <w:r w:rsidRPr="00803210">
        <w:rPr>
          <w:rFonts w:ascii="Verdana" w:hAnsi="Verdana" w:cs="Arial"/>
          <w:color w:val="000000" w:themeColor="text1"/>
          <w:sz w:val="16"/>
          <w:szCs w:val="16"/>
        </w:rPr>
        <w:t xml:space="preserve"> 15.119. </w:t>
      </w:r>
    </w:p>
    <w:p w14:paraId="1905DBBA"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p>
  </w:footnote>
  <w:footnote w:id="20">
    <w:p w14:paraId="10CB1E4E" w14:textId="3B356131" w:rsidR="006E7B3F" w:rsidRPr="00803210" w:rsidRDefault="006E7B3F" w:rsidP="00954B01">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color w:val="000000" w:themeColor="text1"/>
          <w:sz w:val="16"/>
          <w:szCs w:val="16"/>
        </w:rPr>
        <w:t xml:space="preserve">CONSEJO DE ESTADO. </w:t>
      </w:r>
      <w:r w:rsidR="006D01C6" w:rsidRPr="00803210">
        <w:rPr>
          <w:rFonts w:ascii="Verdana" w:hAnsi="Verdana"/>
          <w:sz w:val="16"/>
          <w:szCs w:val="16"/>
        </w:rPr>
        <w:t>Sala de lo Contencioso Administrativo</w:t>
      </w:r>
      <w:r w:rsidR="006D01C6">
        <w:rPr>
          <w:rFonts w:ascii="Verdana" w:hAnsi="Verdana"/>
          <w:sz w:val="16"/>
          <w:szCs w:val="16"/>
        </w:rPr>
        <w:t>.</w:t>
      </w:r>
      <w:r w:rsidR="006D01C6" w:rsidRPr="00803210">
        <w:rPr>
          <w:rFonts w:ascii="Verdana" w:hAnsi="Verdana"/>
          <w:sz w:val="16"/>
          <w:szCs w:val="16"/>
        </w:rPr>
        <w:t xml:space="preserve"> </w:t>
      </w:r>
      <w:r w:rsidRPr="00803210">
        <w:rPr>
          <w:rFonts w:ascii="Verdana" w:hAnsi="Verdana" w:cs="Arial"/>
          <w:color w:val="000000" w:themeColor="text1"/>
          <w:sz w:val="16"/>
          <w:szCs w:val="16"/>
        </w:rPr>
        <w:t xml:space="preserve">Sección tercera. </w:t>
      </w:r>
      <w:r w:rsidR="00025DE7" w:rsidRPr="00803210">
        <w:rPr>
          <w:rFonts w:ascii="Verdana" w:hAnsi="Verdana"/>
          <w:sz w:val="16"/>
          <w:szCs w:val="16"/>
          <w:lang w:val="es-CO"/>
        </w:rPr>
        <w:t xml:space="preserve">C.P. </w:t>
      </w:r>
      <w:r w:rsidR="00025DE7" w:rsidRPr="00803210">
        <w:rPr>
          <w:rFonts w:ascii="Verdana" w:hAnsi="Verdana" w:cs="Arial"/>
          <w:color w:val="000000" w:themeColor="text1"/>
          <w:sz w:val="16"/>
          <w:szCs w:val="16"/>
        </w:rPr>
        <w:t xml:space="preserve">Alberto Montaña Plata. </w:t>
      </w:r>
      <w:r w:rsidRPr="00803210">
        <w:rPr>
          <w:rFonts w:ascii="Verdana" w:hAnsi="Verdana" w:cs="Arial"/>
          <w:color w:val="000000" w:themeColor="text1"/>
          <w:sz w:val="16"/>
          <w:szCs w:val="16"/>
        </w:rPr>
        <w:t>Sentencia del 9 de julio de 2021. Rad</w:t>
      </w:r>
      <w:r w:rsidR="00DA3D59">
        <w:rPr>
          <w:rFonts w:ascii="Verdana" w:hAnsi="Verdana" w:cs="Arial"/>
          <w:color w:val="000000" w:themeColor="text1"/>
          <w:sz w:val="16"/>
          <w:szCs w:val="16"/>
        </w:rPr>
        <w:t>icación</w:t>
      </w:r>
      <w:r w:rsidR="00553D5E">
        <w:rPr>
          <w:rFonts w:ascii="Verdana" w:hAnsi="Verdana" w:cs="Arial"/>
          <w:color w:val="000000" w:themeColor="text1"/>
          <w:sz w:val="16"/>
          <w:szCs w:val="16"/>
        </w:rPr>
        <w:t xml:space="preserve"> número</w:t>
      </w:r>
      <w:r w:rsidR="00DA3D59">
        <w:rPr>
          <w:rFonts w:ascii="Verdana" w:hAnsi="Verdana" w:cs="Arial"/>
          <w:color w:val="000000" w:themeColor="text1"/>
          <w:sz w:val="16"/>
          <w:szCs w:val="16"/>
        </w:rPr>
        <w:t>:</w:t>
      </w:r>
      <w:r w:rsidR="00865674" w:rsidRPr="00803210">
        <w:rPr>
          <w:rFonts w:ascii="Verdana" w:hAnsi="Verdana" w:cs="Arial"/>
          <w:color w:val="000000" w:themeColor="text1"/>
          <w:sz w:val="16"/>
          <w:szCs w:val="16"/>
        </w:rPr>
        <w:t xml:space="preserve"> </w:t>
      </w:r>
      <w:r w:rsidRPr="00803210">
        <w:rPr>
          <w:rFonts w:ascii="Verdana" w:hAnsi="Verdana" w:cs="Arial"/>
          <w:color w:val="000000" w:themeColor="text1"/>
          <w:sz w:val="16"/>
          <w:szCs w:val="16"/>
        </w:rPr>
        <w:t>52045.</w:t>
      </w:r>
      <w:r w:rsidRPr="00803210">
        <w:rPr>
          <w:rFonts w:ascii="Verdana" w:hAnsi="Verdana"/>
          <w:sz w:val="16"/>
          <w:szCs w:val="16"/>
          <w:lang w:val="es-CO"/>
        </w:rPr>
        <w:t xml:space="preserve"> </w:t>
      </w:r>
      <w:r w:rsidRPr="00803210">
        <w:rPr>
          <w:rFonts w:ascii="Verdana" w:hAnsi="Verdana" w:cs="Arial"/>
          <w:color w:val="000000" w:themeColor="text1"/>
          <w:sz w:val="16"/>
          <w:szCs w:val="16"/>
        </w:rPr>
        <w:t>Aclaración de voto: Alexander Jojoa Bolaños.</w:t>
      </w:r>
    </w:p>
    <w:p w14:paraId="5B563E7F" w14:textId="77777777" w:rsidR="006E7B3F" w:rsidRPr="00803210" w:rsidRDefault="006E7B3F" w:rsidP="00954B01">
      <w:pPr>
        <w:pStyle w:val="Textonotapie"/>
        <w:ind w:firstLine="709"/>
        <w:contextualSpacing/>
        <w:jc w:val="both"/>
        <w:rPr>
          <w:rFonts w:ascii="Verdana" w:hAnsi="Verdana" w:cs="Arial"/>
          <w:color w:val="000000" w:themeColor="text1"/>
          <w:sz w:val="16"/>
          <w:szCs w:val="16"/>
        </w:rPr>
      </w:pPr>
    </w:p>
  </w:footnote>
  <w:footnote w:id="21">
    <w:p w14:paraId="16A875C4" w14:textId="4EF6DC31" w:rsidR="006E7B3F" w:rsidRPr="00803210" w:rsidRDefault="006E7B3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CONSEJO DE ESTADO. </w:t>
      </w:r>
      <w:r w:rsidR="00553D5E" w:rsidRPr="00803210">
        <w:rPr>
          <w:rFonts w:ascii="Verdana" w:hAnsi="Verdana"/>
          <w:sz w:val="16"/>
          <w:szCs w:val="16"/>
        </w:rPr>
        <w:t xml:space="preserve">Sala de lo Contencioso Administrativo </w:t>
      </w:r>
      <w:r w:rsidRPr="00803210">
        <w:rPr>
          <w:rFonts w:ascii="Verdana" w:hAnsi="Verdana"/>
          <w:sz w:val="16"/>
          <w:szCs w:val="16"/>
        </w:rPr>
        <w:t>Sección Tercera. Sentencia del 6 de agosto de 1987. Expediente 3886.</w:t>
      </w:r>
    </w:p>
    <w:p w14:paraId="57BA9BB2" w14:textId="77777777" w:rsidR="006E7B3F" w:rsidRPr="00411FF0" w:rsidRDefault="006E7B3F" w:rsidP="00954B01">
      <w:pPr>
        <w:pStyle w:val="Textonotapie"/>
        <w:ind w:firstLine="708"/>
        <w:contextualSpacing/>
        <w:jc w:val="both"/>
        <w:rPr>
          <w:rFonts w:ascii="Verdana" w:hAnsi="Verdana"/>
          <w:sz w:val="16"/>
          <w:szCs w:val="16"/>
        </w:rPr>
      </w:pPr>
    </w:p>
  </w:footnote>
  <w:footnote w:id="22">
    <w:p w14:paraId="2CF3DE0C" w14:textId="43646849" w:rsidR="006E7B3F" w:rsidRPr="00411FF0" w:rsidRDefault="006E7B3F" w:rsidP="00954B01">
      <w:pPr>
        <w:pStyle w:val="Textonotapie"/>
        <w:ind w:firstLine="708"/>
        <w:contextualSpacing/>
        <w:jc w:val="both"/>
        <w:rPr>
          <w:rFonts w:ascii="Verdana" w:hAnsi="Verdana"/>
          <w:sz w:val="16"/>
          <w:szCs w:val="16"/>
        </w:rPr>
      </w:pPr>
      <w:r w:rsidRPr="00411FF0">
        <w:rPr>
          <w:rStyle w:val="Refdenotaalpie"/>
          <w:rFonts w:ascii="Verdana" w:hAnsi="Verdana"/>
          <w:sz w:val="16"/>
          <w:szCs w:val="16"/>
        </w:rPr>
        <w:footnoteRef/>
      </w:r>
      <w:r w:rsidRPr="00411FF0">
        <w:rPr>
          <w:rFonts w:ascii="Verdana" w:hAnsi="Verdana"/>
          <w:sz w:val="16"/>
          <w:szCs w:val="16"/>
        </w:rPr>
        <w:t xml:space="preserve"> CONSEJO DE ESTADO. </w:t>
      </w:r>
      <w:r w:rsidR="00B8620A" w:rsidRPr="00411FF0">
        <w:rPr>
          <w:rFonts w:ascii="Verdana" w:hAnsi="Verdana"/>
          <w:sz w:val="16"/>
          <w:szCs w:val="16"/>
        </w:rPr>
        <w:t xml:space="preserve">Sala de lo Contencioso Administrativo. </w:t>
      </w:r>
      <w:r w:rsidRPr="00411FF0">
        <w:rPr>
          <w:rFonts w:ascii="Verdana" w:hAnsi="Verdana"/>
          <w:sz w:val="16"/>
          <w:szCs w:val="16"/>
        </w:rPr>
        <w:t>Sección Tercera. Sentencia del 18 de julio de 2002. Expediente 22178.</w:t>
      </w:r>
    </w:p>
    <w:p w14:paraId="229A38CB" w14:textId="77777777" w:rsidR="006E7B3F" w:rsidRPr="00411FF0" w:rsidRDefault="006E7B3F" w:rsidP="00954B01">
      <w:pPr>
        <w:pStyle w:val="Textonotapie"/>
        <w:ind w:firstLine="708"/>
        <w:contextualSpacing/>
        <w:jc w:val="both"/>
        <w:rPr>
          <w:rFonts w:ascii="Verdana" w:hAnsi="Verdana"/>
          <w:sz w:val="16"/>
          <w:szCs w:val="16"/>
        </w:rPr>
      </w:pPr>
    </w:p>
  </w:footnote>
  <w:footnote w:id="23">
    <w:p w14:paraId="118193B3" w14:textId="4EC213AA" w:rsidR="006E7B3F" w:rsidRPr="00411FF0" w:rsidRDefault="006E7B3F" w:rsidP="00954B01">
      <w:pPr>
        <w:pStyle w:val="Textonotapie"/>
        <w:ind w:firstLine="708"/>
        <w:contextualSpacing/>
        <w:jc w:val="both"/>
        <w:rPr>
          <w:rFonts w:ascii="Verdana" w:hAnsi="Verdana"/>
          <w:sz w:val="16"/>
          <w:szCs w:val="16"/>
          <w:lang w:val="es-CO"/>
        </w:rPr>
      </w:pPr>
      <w:r w:rsidRPr="00411FF0">
        <w:rPr>
          <w:rStyle w:val="Refdenotaalpie"/>
          <w:rFonts w:ascii="Verdana" w:hAnsi="Verdana"/>
          <w:sz w:val="16"/>
          <w:szCs w:val="16"/>
        </w:rPr>
        <w:footnoteRef/>
      </w:r>
      <w:r w:rsidRPr="00411FF0">
        <w:rPr>
          <w:rFonts w:ascii="Verdana" w:hAnsi="Verdana"/>
          <w:sz w:val="16"/>
          <w:szCs w:val="16"/>
        </w:rPr>
        <w:t xml:space="preserve"> CONSEJO DE ESTADO. Sala de Consulta y del Servicio Civil.</w:t>
      </w:r>
      <w:r w:rsidR="00B8620A" w:rsidRPr="00411FF0">
        <w:rPr>
          <w:rFonts w:ascii="Verdana" w:hAnsi="Verdana"/>
          <w:sz w:val="16"/>
          <w:szCs w:val="16"/>
        </w:rPr>
        <w:t xml:space="preserve"> </w:t>
      </w:r>
      <w:r w:rsidR="00B8620A" w:rsidRPr="00411FF0">
        <w:rPr>
          <w:rFonts w:ascii="Verdana" w:hAnsi="Verdana"/>
          <w:sz w:val="16"/>
          <w:szCs w:val="16"/>
          <w:lang w:val="es-CO"/>
        </w:rPr>
        <w:t>C.P.: Dra. Susana Montes de Echeverri.</w:t>
      </w:r>
      <w:r w:rsidRPr="00411FF0">
        <w:rPr>
          <w:rFonts w:ascii="Verdana" w:hAnsi="Verdana"/>
          <w:sz w:val="16"/>
          <w:szCs w:val="16"/>
        </w:rPr>
        <w:t xml:space="preserve">Concepto del 18 de julio de 2022. Expediente 1439. </w:t>
      </w:r>
    </w:p>
    <w:p w14:paraId="4C2BE71C" w14:textId="77777777" w:rsidR="00FF169D" w:rsidRPr="00411FF0" w:rsidRDefault="00FF169D" w:rsidP="00954B01">
      <w:pPr>
        <w:pStyle w:val="Textonotapie"/>
        <w:ind w:firstLine="708"/>
        <w:contextualSpacing/>
        <w:jc w:val="both"/>
        <w:rPr>
          <w:rFonts w:ascii="Verdana" w:hAnsi="Verdana"/>
          <w:sz w:val="16"/>
          <w:szCs w:val="16"/>
          <w:lang w:val="es-CO"/>
        </w:rPr>
      </w:pPr>
    </w:p>
  </w:footnote>
  <w:footnote w:id="24">
    <w:p w14:paraId="3F4082C6" w14:textId="43679D97" w:rsidR="00FF169D" w:rsidRDefault="00FF169D" w:rsidP="00B8620A">
      <w:pPr>
        <w:pStyle w:val="Textonotapie"/>
        <w:ind w:firstLine="708"/>
        <w:contextualSpacing/>
        <w:jc w:val="both"/>
        <w:rPr>
          <w:rFonts w:ascii="Verdana" w:hAnsi="Verdana"/>
          <w:sz w:val="16"/>
          <w:szCs w:val="16"/>
        </w:rPr>
      </w:pPr>
      <w:r w:rsidRPr="00411FF0">
        <w:rPr>
          <w:rStyle w:val="Refdenotaalpie"/>
          <w:rFonts w:ascii="Verdana" w:hAnsi="Verdana"/>
          <w:sz w:val="16"/>
          <w:szCs w:val="16"/>
        </w:rPr>
        <w:footnoteRef/>
      </w:r>
      <w:r w:rsidRPr="00411FF0">
        <w:rPr>
          <w:rFonts w:ascii="Verdana" w:hAnsi="Verdana"/>
          <w:sz w:val="16"/>
          <w:szCs w:val="16"/>
        </w:rPr>
        <w:t xml:space="preserve"> </w:t>
      </w:r>
      <w:r w:rsidR="00855DD2" w:rsidRPr="00411FF0">
        <w:rPr>
          <w:rFonts w:ascii="Verdana" w:hAnsi="Verdana"/>
          <w:sz w:val="16"/>
          <w:szCs w:val="16"/>
        </w:rPr>
        <w:t xml:space="preserve">CONSEJO DE ESTADO. Sala de lo Contencioso Administrativo. Sección Tercera. </w:t>
      </w:r>
      <w:r w:rsidR="00855DD2" w:rsidRPr="00236B36">
        <w:rPr>
          <w:rFonts w:ascii="Verdana" w:hAnsi="Verdana"/>
          <w:sz w:val="16"/>
          <w:szCs w:val="16"/>
        </w:rPr>
        <w:t>C.P. Dr. Jaime Enrique Rodríguez.</w:t>
      </w:r>
      <w:r w:rsidR="00855DD2" w:rsidRPr="00411FF0">
        <w:rPr>
          <w:rFonts w:ascii="Verdana" w:hAnsi="Verdana"/>
          <w:sz w:val="16"/>
          <w:szCs w:val="16"/>
        </w:rPr>
        <w:t xml:space="preserve"> </w:t>
      </w:r>
      <w:r w:rsidR="00411FF0" w:rsidRPr="00236B36">
        <w:rPr>
          <w:rFonts w:ascii="Verdana" w:hAnsi="Verdana"/>
          <w:sz w:val="16"/>
          <w:szCs w:val="16"/>
        </w:rPr>
        <w:t xml:space="preserve">Sentencia </w:t>
      </w:r>
      <w:r w:rsidRPr="00236B36">
        <w:rPr>
          <w:rFonts w:ascii="Verdana" w:hAnsi="Verdana"/>
          <w:sz w:val="16"/>
          <w:szCs w:val="16"/>
        </w:rPr>
        <w:t>del 19 de septiembre de 2022</w:t>
      </w:r>
      <w:r w:rsidR="00411FF0" w:rsidRPr="00236B36">
        <w:rPr>
          <w:rFonts w:ascii="Verdana" w:hAnsi="Verdana"/>
          <w:sz w:val="16"/>
          <w:szCs w:val="16"/>
        </w:rPr>
        <w:t xml:space="preserve">. </w:t>
      </w:r>
      <w:r w:rsidRPr="00236B36">
        <w:rPr>
          <w:rFonts w:ascii="Verdana" w:hAnsi="Verdana"/>
          <w:sz w:val="16"/>
          <w:szCs w:val="16"/>
        </w:rPr>
        <w:t>Expediente No. 54.714</w:t>
      </w:r>
      <w:r w:rsidR="00411FF0">
        <w:rPr>
          <w:rFonts w:ascii="Verdana" w:hAnsi="Verdana"/>
          <w:sz w:val="16"/>
          <w:szCs w:val="16"/>
        </w:rPr>
        <w:t>.</w:t>
      </w:r>
    </w:p>
    <w:p w14:paraId="19816493" w14:textId="77777777" w:rsidR="00411FF0" w:rsidRPr="00803210" w:rsidRDefault="00411FF0" w:rsidP="00236B36">
      <w:pPr>
        <w:pStyle w:val="Textonotapie"/>
        <w:ind w:firstLine="708"/>
        <w:contextualSpacing/>
        <w:jc w:val="both"/>
        <w:rPr>
          <w:rFonts w:ascii="Verdana" w:hAnsi="Verdana"/>
          <w:sz w:val="16"/>
          <w:szCs w:val="16"/>
        </w:rPr>
      </w:pPr>
    </w:p>
  </w:footnote>
  <w:footnote w:id="25">
    <w:p w14:paraId="330BE63C" w14:textId="191F1763" w:rsidR="006E7B3F" w:rsidRPr="00803210" w:rsidRDefault="006E7B3F" w:rsidP="00954B01">
      <w:pPr>
        <w:pStyle w:val="Textonotapie"/>
        <w:ind w:firstLine="708"/>
        <w:contextualSpacing/>
        <w:jc w:val="both"/>
        <w:rPr>
          <w:rFonts w:ascii="Verdana" w:hAnsi="Verdana"/>
          <w:sz w:val="16"/>
          <w:szCs w:val="16"/>
          <w:lang w:val="es-CO"/>
        </w:rPr>
      </w:pPr>
      <w:r w:rsidRPr="00803210">
        <w:rPr>
          <w:rStyle w:val="Refdenotaalpie"/>
          <w:rFonts w:ascii="Verdana" w:hAnsi="Verdana"/>
          <w:sz w:val="16"/>
          <w:szCs w:val="16"/>
        </w:rPr>
        <w:footnoteRef/>
      </w:r>
      <w:r w:rsidRPr="00803210">
        <w:rPr>
          <w:rFonts w:ascii="Verdana" w:hAnsi="Verdana"/>
          <w:sz w:val="16"/>
          <w:szCs w:val="16"/>
        </w:rPr>
        <w:t xml:space="preserve"> CONSEJO DE ESTADO</w:t>
      </w:r>
      <w:r w:rsidR="00FE565A">
        <w:rPr>
          <w:rFonts w:ascii="Verdana" w:hAnsi="Verdana"/>
          <w:sz w:val="16"/>
          <w:szCs w:val="16"/>
        </w:rPr>
        <w:t xml:space="preserve">. </w:t>
      </w:r>
      <w:r w:rsidR="00FE565A" w:rsidRPr="00411FF0">
        <w:rPr>
          <w:rFonts w:ascii="Verdana" w:hAnsi="Verdana"/>
          <w:sz w:val="16"/>
          <w:szCs w:val="16"/>
        </w:rPr>
        <w:t>Sala de lo Contencioso Administrativo.</w:t>
      </w:r>
      <w:r w:rsidR="00FE565A">
        <w:rPr>
          <w:rFonts w:ascii="Verdana" w:hAnsi="Verdana"/>
          <w:sz w:val="16"/>
          <w:szCs w:val="16"/>
        </w:rPr>
        <w:t xml:space="preserve"> </w:t>
      </w:r>
      <w:r w:rsidRPr="00803210">
        <w:rPr>
          <w:rFonts w:ascii="Verdana" w:hAnsi="Verdana"/>
          <w:sz w:val="16"/>
          <w:szCs w:val="16"/>
        </w:rPr>
        <w:t>Sección Tercera, Subsección A</w:t>
      </w:r>
      <w:r w:rsidR="00FE565A">
        <w:rPr>
          <w:rFonts w:ascii="Verdana" w:hAnsi="Verdana"/>
          <w:sz w:val="16"/>
          <w:szCs w:val="16"/>
        </w:rPr>
        <w:t xml:space="preserve">. C.P.: </w:t>
      </w:r>
      <w:r w:rsidR="00FE565A" w:rsidRPr="00803210">
        <w:rPr>
          <w:rFonts w:ascii="Verdana" w:hAnsi="Verdana"/>
          <w:sz w:val="16"/>
          <w:szCs w:val="16"/>
          <w:lang w:val="es-CO"/>
        </w:rPr>
        <w:t>María Adriana Marín.</w:t>
      </w:r>
      <w:r w:rsidR="00FE565A">
        <w:rPr>
          <w:rFonts w:ascii="Verdana" w:hAnsi="Verdana"/>
          <w:sz w:val="16"/>
          <w:szCs w:val="16"/>
          <w:lang w:val="es-CO"/>
        </w:rPr>
        <w:t xml:space="preserve"> </w:t>
      </w:r>
      <w:r w:rsidRPr="00803210">
        <w:rPr>
          <w:rFonts w:ascii="Verdana" w:hAnsi="Verdana"/>
          <w:sz w:val="16"/>
          <w:szCs w:val="16"/>
        </w:rPr>
        <w:t>Sentencia del 22 de agosto de 2023. Exp</w:t>
      </w:r>
      <w:r w:rsidR="00FE565A">
        <w:rPr>
          <w:rFonts w:ascii="Verdana" w:hAnsi="Verdana"/>
          <w:sz w:val="16"/>
          <w:szCs w:val="16"/>
        </w:rPr>
        <w:t>ediente:</w:t>
      </w:r>
      <w:r w:rsidRPr="00803210">
        <w:rPr>
          <w:rFonts w:ascii="Verdana" w:hAnsi="Verdana"/>
          <w:sz w:val="16"/>
          <w:szCs w:val="16"/>
        </w:rPr>
        <w:t xml:space="preserve"> 58634.</w:t>
      </w:r>
      <w:r w:rsidRPr="00803210">
        <w:rPr>
          <w:rFonts w:ascii="Verdana" w:hAnsi="Verdana"/>
          <w:sz w:val="16"/>
          <w:szCs w:val="16"/>
          <w:lang w:val="es-CO"/>
        </w:rPr>
        <w:t xml:space="preserve"> </w:t>
      </w:r>
    </w:p>
    <w:p w14:paraId="6A8C6C14" w14:textId="77777777" w:rsidR="006E7B3F" w:rsidRPr="00803210" w:rsidRDefault="006E7B3F" w:rsidP="00954B01">
      <w:pPr>
        <w:pStyle w:val="Textonotapie"/>
        <w:ind w:firstLine="708"/>
        <w:contextualSpacing/>
        <w:jc w:val="both"/>
        <w:rPr>
          <w:rFonts w:ascii="Verdana" w:hAnsi="Verdana"/>
          <w:sz w:val="16"/>
          <w:szCs w:val="16"/>
        </w:rPr>
      </w:pPr>
    </w:p>
  </w:footnote>
  <w:footnote w:id="26">
    <w:p w14:paraId="281B24C4" w14:textId="40896EF2" w:rsidR="006E7B3F" w:rsidRPr="00803210" w:rsidRDefault="006E7B3F" w:rsidP="00EE3A9C">
      <w:pPr>
        <w:pStyle w:val="Textonotapie"/>
        <w:ind w:firstLine="708"/>
        <w:contextualSpacing/>
        <w:jc w:val="both"/>
        <w:rPr>
          <w:rFonts w:ascii="Verdana" w:hAnsi="Verdana"/>
          <w:sz w:val="16"/>
          <w:szCs w:val="16"/>
          <w:lang w:val="es-CO"/>
        </w:rPr>
      </w:pPr>
      <w:r w:rsidRPr="00803210">
        <w:rPr>
          <w:rFonts w:ascii="Verdana" w:hAnsi="Verdana"/>
          <w:sz w:val="16"/>
          <w:szCs w:val="16"/>
        </w:rPr>
        <w:t xml:space="preserve"> </w:t>
      </w:r>
      <w:r w:rsidRPr="00803210">
        <w:rPr>
          <w:rStyle w:val="Refdenotaalpie"/>
          <w:rFonts w:ascii="Verdana" w:hAnsi="Verdana"/>
          <w:sz w:val="16"/>
          <w:szCs w:val="16"/>
        </w:rPr>
        <w:footnoteRef/>
      </w:r>
      <w:r w:rsidRPr="00803210">
        <w:rPr>
          <w:rFonts w:ascii="Verdana" w:hAnsi="Verdana"/>
          <w:sz w:val="16"/>
          <w:szCs w:val="16"/>
        </w:rPr>
        <w:t xml:space="preserve"> </w:t>
      </w:r>
      <w:r w:rsidRPr="00803210">
        <w:rPr>
          <w:rFonts w:ascii="Verdana" w:hAnsi="Verdana"/>
          <w:sz w:val="16"/>
          <w:szCs w:val="16"/>
          <w:lang w:val="es-CO"/>
        </w:rPr>
        <w:t>CONSEJO DE ESTADO</w:t>
      </w:r>
      <w:r w:rsidR="00EE3A9C">
        <w:rPr>
          <w:rFonts w:ascii="Verdana" w:hAnsi="Verdana"/>
          <w:sz w:val="16"/>
          <w:szCs w:val="16"/>
          <w:lang w:val="es-CO"/>
        </w:rPr>
        <w:t>.</w:t>
      </w:r>
      <w:r w:rsidRPr="00803210">
        <w:rPr>
          <w:rFonts w:ascii="Verdana" w:hAnsi="Verdana"/>
          <w:sz w:val="16"/>
          <w:szCs w:val="16"/>
          <w:lang w:val="es-CO"/>
        </w:rPr>
        <w:t xml:space="preserve"> </w:t>
      </w:r>
      <w:r w:rsidR="00EE3A9C" w:rsidRPr="00411FF0">
        <w:rPr>
          <w:rFonts w:ascii="Verdana" w:hAnsi="Verdana"/>
          <w:sz w:val="16"/>
          <w:szCs w:val="16"/>
        </w:rPr>
        <w:t>Sala de lo Contencioso Administrativo.</w:t>
      </w:r>
      <w:r w:rsidR="00CC4AB2">
        <w:rPr>
          <w:rFonts w:ascii="Verdana" w:hAnsi="Verdana"/>
          <w:sz w:val="16"/>
          <w:szCs w:val="16"/>
        </w:rPr>
        <w:t xml:space="preserve"> </w:t>
      </w:r>
      <w:r w:rsidRPr="00803210">
        <w:rPr>
          <w:rFonts w:ascii="Verdana" w:hAnsi="Verdana"/>
          <w:sz w:val="16"/>
          <w:szCs w:val="16"/>
          <w:lang w:val="es-CO"/>
        </w:rPr>
        <w:t>Sección Tercera</w:t>
      </w:r>
      <w:r w:rsidR="00EE3A9C">
        <w:rPr>
          <w:rFonts w:ascii="Verdana" w:hAnsi="Verdana"/>
          <w:sz w:val="16"/>
          <w:szCs w:val="16"/>
          <w:lang w:val="es-CO"/>
        </w:rPr>
        <w:t>.</w:t>
      </w:r>
      <w:r w:rsidRPr="00803210">
        <w:rPr>
          <w:rFonts w:ascii="Verdana" w:hAnsi="Verdana"/>
          <w:sz w:val="16"/>
          <w:szCs w:val="16"/>
          <w:lang w:val="es-CO"/>
        </w:rPr>
        <w:t xml:space="preserve"> C.</w:t>
      </w:r>
      <w:r w:rsidR="00DD24D4">
        <w:rPr>
          <w:rFonts w:ascii="Verdana" w:hAnsi="Verdana"/>
          <w:sz w:val="16"/>
          <w:szCs w:val="16"/>
          <w:lang w:val="es-CO"/>
        </w:rPr>
        <w:t>P.</w:t>
      </w:r>
      <w:r w:rsidR="00EE3A9C" w:rsidRPr="00803210">
        <w:rPr>
          <w:rFonts w:ascii="Verdana" w:hAnsi="Verdana"/>
          <w:sz w:val="16"/>
          <w:szCs w:val="16"/>
          <w:lang w:val="es-CO"/>
        </w:rPr>
        <w:t>: Jaime Enrique Rodríguez Navas.</w:t>
      </w:r>
      <w:r w:rsidR="00EE3A9C">
        <w:rPr>
          <w:rFonts w:ascii="Verdana" w:hAnsi="Verdana"/>
          <w:sz w:val="16"/>
          <w:szCs w:val="16"/>
          <w:lang w:val="es-CO"/>
        </w:rPr>
        <w:t xml:space="preserve"> </w:t>
      </w:r>
      <w:r w:rsidRPr="00803210">
        <w:rPr>
          <w:rFonts w:ascii="Verdana" w:hAnsi="Verdana"/>
          <w:sz w:val="16"/>
          <w:szCs w:val="16"/>
          <w:lang w:val="es-CO"/>
        </w:rPr>
        <w:t>Sentencia del 19 de septiembre de 2022. Exp</w:t>
      </w:r>
      <w:r w:rsidR="00DD24D4">
        <w:rPr>
          <w:rFonts w:ascii="Verdana" w:hAnsi="Verdana"/>
          <w:sz w:val="16"/>
          <w:szCs w:val="16"/>
          <w:lang w:val="es-CO"/>
        </w:rPr>
        <w:t>ediente</w:t>
      </w:r>
      <w:r w:rsidRPr="00803210">
        <w:rPr>
          <w:rFonts w:ascii="Verdana" w:hAnsi="Verdana"/>
          <w:sz w:val="16"/>
          <w:szCs w:val="16"/>
          <w:lang w:val="es-CO"/>
        </w:rPr>
        <w:t xml:space="preserve"> No. 54714. </w:t>
      </w:r>
    </w:p>
    <w:p w14:paraId="345E4374" w14:textId="77777777" w:rsidR="006E7B3F" w:rsidRPr="00803210" w:rsidRDefault="006E7B3F" w:rsidP="00954B01">
      <w:pPr>
        <w:pStyle w:val="Textonotapie"/>
        <w:ind w:firstLine="708"/>
        <w:contextualSpacing/>
        <w:jc w:val="both"/>
        <w:rPr>
          <w:rFonts w:ascii="Verdana" w:hAnsi="Verdana"/>
          <w:sz w:val="16"/>
          <w:szCs w:val="16"/>
          <w:lang w:val="es-CO"/>
        </w:rPr>
      </w:pPr>
    </w:p>
  </w:footnote>
  <w:footnote w:id="27">
    <w:p w14:paraId="1F4E8139" w14:textId="485E76B2" w:rsidR="006E7B3F" w:rsidRPr="00803210" w:rsidRDefault="006E7B3F" w:rsidP="00AF16CE">
      <w:pPr>
        <w:pStyle w:val="Textonotapie"/>
        <w:ind w:firstLine="708"/>
        <w:contextualSpacing/>
        <w:jc w:val="both"/>
        <w:rPr>
          <w:rFonts w:ascii="Verdana" w:hAnsi="Verdana"/>
          <w:sz w:val="16"/>
          <w:szCs w:val="16"/>
          <w:lang w:val="es-CO"/>
        </w:rPr>
      </w:pPr>
      <w:r w:rsidRPr="00803210">
        <w:rPr>
          <w:rStyle w:val="Refdenotaalpie"/>
          <w:rFonts w:ascii="Verdana" w:hAnsi="Verdana"/>
          <w:sz w:val="16"/>
          <w:szCs w:val="16"/>
        </w:rPr>
        <w:footnoteRef/>
      </w:r>
      <w:r w:rsidRPr="00803210">
        <w:rPr>
          <w:rFonts w:ascii="Verdana" w:hAnsi="Verdana"/>
          <w:sz w:val="16"/>
          <w:szCs w:val="16"/>
        </w:rPr>
        <w:t xml:space="preserve"> CONSEJO DE ESTADO</w:t>
      </w:r>
      <w:r w:rsidR="00AF16CE">
        <w:rPr>
          <w:rFonts w:ascii="Verdana" w:hAnsi="Verdana"/>
          <w:sz w:val="16"/>
          <w:szCs w:val="16"/>
        </w:rPr>
        <w:t xml:space="preserve">. </w:t>
      </w:r>
      <w:r w:rsidR="00CC4AB2" w:rsidRPr="00411FF0">
        <w:rPr>
          <w:rFonts w:ascii="Verdana" w:hAnsi="Verdana"/>
          <w:sz w:val="16"/>
          <w:szCs w:val="16"/>
        </w:rPr>
        <w:t>Sala de lo Contencioso Administrativo.</w:t>
      </w:r>
      <w:r w:rsidR="00CC4AB2">
        <w:rPr>
          <w:rFonts w:ascii="Verdana" w:hAnsi="Verdana"/>
          <w:sz w:val="16"/>
          <w:szCs w:val="16"/>
        </w:rPr>
        <w:t xml:space="preserve"> </w:t>
      </w:r>
      <w:r w:rsidR="00CC4AB2" w:rsidRPr="00803210">
        <w:rPr>
          <w:rFonts w:ascii="Verdana" w:hAnsi="Verdana"/>
          <w:sz w:val="16"/>
          <w:szCs w:val="16"/>
        </w:rPr>
        <w:t>Sección Tercera</w:t>
      </w:r>
      <w:r w:rsidR="00CC4AB2">
        <w:rPr>
          <w:rFonts w:ascii="Verdana" w:hAnsi="Verdana"/>
          <w:sz w:val="16"/>
          <w:szCs w:val="16"/>
        </w:rPr>
        <w:t xml:space="preserve">. </w:t>
      </w:r>
      <w:r w:rsidR="00CC4AB2" w:rsidRPr="00803210">
        <w:rPr>
          <w:rFonts w:ascii="Verdana" w:hAnsi="Verdana"/>
          <w:sz w:val="16"/>
          <w:szCs w:val="16"/>
        </w:rPr>
        <w:t>Subsección C</w:t>
      </w:r>
      <w:r w:rsidR="00CC4AB2">
        <w:rPr>
          <w:rFonts w:ascii="Verdana" w:hAnsi="Verdana"/>
          <w:sz w:val="16"/>
          <w:szCs w:val="16"/>
        </w:rPr>
        <w:t xml:space="preserve">. </w:t>
      </w:r>
      <w:bookmarkStart w:id="5" w:name="_Hlk176969946"/>
      <w:r w:rsidR="00AF16CE">
        <w:rPr>
          <w:rFonts w:ascii="Verdana" w:hAnsi="Verdana"/>
          <w:sz w:val="16"/>
          <w:szCs w:val="16"/>
          <w:lang w:val="es-CO"/>
        </w:rPr>
        <w:t>C.P.</w:t>
      </w:r>
      <w:r w:rsidR="00AF16CE" w:rsidRPr="00803210">
        <w:rPr>
          <w:rFonts w:ascii="Verdana" w:hAnsi="Verdana"/>
          <w:sz w:val="16"/>
          <w:szCs w:val="16"/>
          <w:lang w:val="es-CO"/>
        </w:rPr>
        <w:t>: Nicolás Yepes Corrales.</w:t>
      </w:r>
      <w:r w:rsidRPr="00803210">
        <w:rPr>
          <w:rFonts w:ascii="Verdana" w:hAnsi="Verdana"/>
          <w:sz w:val="16"/>
          <w:szCs w:val="16"/>
        </w:rPr>
        <w:t xml:space="preserve"> Sentencia del 24 de abril de 2024</w:t>
      </w:r>
      <w:bookmarkEnd w:id="5"/>
      <w:r w:rsidRPr="00803210">
        <w:rPr>
          <w:rFonts w:ascii="Verdana" w:hAnsi="Verdana"/>
          <w:sz w:val="16"/>
          <w:szCs w:val="16"/>
        </w:rPr>
        <w:t>. Exp</w:t>
      </w:r>
      <w:r w:rsidR="00AF16CE">
        <w:rPr>
          <w:rFonts w:ascii="Verdana" w:hAnsi="Verdana"/>
          <w:sz w:val="16"/>
          <w:szCs w:val="16"/>
        </w:rPr>
        <w:t xml:space="preserve">ediente </w:t>
      </w:r>
      <w:r w:rsidRPr="00803210">
        <w:rPr>
          <w:rFonts w:ascii="Verdana" w:hAnsi="Verdana"/>
          <w:sz w:val="16"/>
          <w:szCs w:val="16"/>
        </w:rPr>
        <w:t xml:space="preserve">No. 67095. </w:t>
      </w:r>
    </w:p>
    <w:p w14:paraId="21C03782" w14:textId="77777777" w:rsidR="006E7B3F" w:rsidRPr="00803210" w:rsidRDefault="006E7B3F" w:rsidP="00954B01">
      <w:pPr>
        <w:pStyle w:val="Textonotapie"/>
        <w:ind w:firstLine="708"/>
        <w:contextualSpacing/>
        <w:jc w:val="both"/>
        <w:rPr>
          <w:rFonts w:ascii="Verdana" w:hAnsi="Verdana"/>
          <w:sz w:val="16"/>
          <w:szCs w:val="16"/>
        </w:rPr>
      </w:pPr>
    </w:p>
  </w:footnote>
  <w:footnote w:id="28">
    <w:p w14:paraId="711BBC6B" w14:textId="673EA320" w:rsidR="00974260" w:rsidRPr="00803210" w:rsidRDefault="00974260" w:rsidP="00236B36">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Pr="00236B36">
        <w:rPr>
          <w:rFonts w:ascii="Verdana" w:hAnsi="Verdana"/>
          <w:sz w:val="16"/>
          <w:szCs w:val="16"/>
        </w:rPr>
        <w:t>Al respecto puede confrontarse la sentencia del 31 agosto de 2011, proferida por la Subsección B de la Sección Tercera de la Sala de lo Contencioso Administrativo del Consejo de Estado. C.P. Dra. Ruth Stella Correa. Expediente No. 18.080.</w:t>
      </w:r>
    </w:p>
  </w:footnote>
  <w:footnote w:id="29">
    <w:p w14:paraId="7B6F86A5" w14:textId="77777777" w:rsidR="00CC4AB2" w:rsidRPr="00CC4AB2" w:rsidRDefault="00CC4AB2" w:rsidP="00CC4AB2">
      <w:pPr>
        <w:spacing w:after="0" w:line="240" w:lineRule="auto"/>
        <w:ind w:firstLine="708"/>
        <w:contextualSpacing/>
        <w:jc w:val="both"/>
        <w:rPr>
          <w:rFonts w:ascii="Verdana" w:hAnsi="Verdana"/>
          <w:sz w:val="16"/>
          <w:szCs w:val="16"/>
        </w:rPr>
      </w:pPr>
    </w:p>
    <w:p w14:paraId="0D560FAB" w14:textId="0637582C" w:rsidR="00A938D3" w:rsidRDefault="00A938D3" w:rsidP="00CC4AB2">
      <w:pPr>
        <w:spacing w:after="0" w:line="240" w:lineRule="auto"/>
        <w:ind w:firstLine="708"/>
        <w:contextualSpacing/>
        <w:jc w:val="both"/>
        <w:rPr>
          <w:rFonts w:ascii="Verdana" w:hAnsi="Verdana"/>
          <w:sz w:val="16"/>
          <w:szCs w:val="16"/>
        </w:rPr>
      </w:pPr>
      <w:r w:rsidRPr="00CC4AB2">
        <w:rPr>
          <w:rStyle w:val="Refdenotaalpie"/>
          <w:rFonts w:ascii="Verdana" w:hAnsi="Verdana"/>
          <w:sz w:val="16"/>
          <w:szCs w:val="16"/>
        </w:rPr>
        <w:footnoteRef/>
      </w:r>
      <w:r w:rsidRPr="00CC4AB2">
        <w:rPr>
          <w:rFonts w:ascii="Verdana" w:hAnsi="Verdana"/>
          <w:sz w:val="16"/>
          <w:szCs w:val="16"/>
        </w:rPr>
        <w:t xml:space="preserve"> </w:t>
      </w:r>
      <w:r w:rsidR="00CC4AB2" w:rsidRPr="00CC4AB2">
        <w:rPr>
          <w:rFonts w:ascii="Verdana" w:hAnsi="Verdana"/>
          <w:sz w:val="16"/>
          <w:szCs w:val="16"/>
        </w:rPr>
        <w:t xml:space="preserve">CONSEJO DE ESTADO. </w:t>
      </w:r>
      <w:r w:rsidR="00CC4AB2" w:rsidRPr="00236B36">
        <w:rPr>
          <w:rFonts w:ascii="Verdana" w:hAnsi="Verdana"/>
          <w:sz w:val="16"/>
          <w:szCs w:val="16"/>
        </w:rPr>
        <w:t>Sala de Consulta y Servicio Civil.</w:t>
      </w:r>
      <w:r w:rsidRPr="00803210">
        <w:rPr>
          <w:rFonts w:ascii="Verdana" w:hAnsi="Verdana"/>
          <w:i/>
          <w:iCs/>
          <w:sz w:val="16"/>
          <w:szCs w:val="16"/>
        </w:rPr>
        <w:t xml:space="preserve"> </w:t>
      </w:r>
      <w:r w:rsidR="00CC4AB2" w:rsidRPr="00236B36">
        <w:rPr>
          <w:rFonts w:ascii="Verdana" w:hAnsi="Verdana"/>
          <w:sz w:val="16"/>
          <w:szCs w:val="16"/>
        </w:rPr>
        <w:t>C.P.</w:t>
      </w:r>
      <w:r w:rsidRPr="00236B36">
        <w:rPr>
          <w:rFonts w:ascii="Verdana" w:hAnsi="Verdana"/>
          <w:sz w:val="16"/>
          <w:szCs w:val="16"/>
        </w:rPr>
        <w:t xml:space="preserve">: </w:t>
      </w:r>
      <w:r w:rsidR="00CC4AB2" w:rsidRPr="00236B36">
        <w:rPr>
          <w:rFonts w:ascii="Verdana" w:hAnsi="Verdana"/>
          <w:sz w:val="16"/>
          <w:szCs w:val="16"/>
        </w:rPr>
        <w:t xml:space="preserve">Óscar </w:t>
      </w:r>
      <w:r w:rsidRPr="00236B36">
        <w:rPr>
          <w:rFonts w:ascii="Verdana" w:hAnsi="Verdana"/>
          <w:sz w:val="16"/>
          <w:szCs w:val="16"/>
        </w:rPr>
        <w:t>Daría Amaya Navas</w:t>
      </w:r>
      <w:r w:rsidR="00CC4AB2" w:rsidRPr="00CC4AB2">
        <w:rPr>
          <w:rFonts w:ascii="Verdana" w:hAnsi="Verdana"/>
          <w:sz w:val="16"/>
          <w:szCs w:val="16"/>
        </w:rPr>
        <w:t xml:space="preserve">. Concepto del </w:t>
      </w:r>
      <w:r w:rsidRPr="00236B36">
        <w:rPr>
          <w:rFonts w:ascii="Verdana" w:hAnsi="Verdana"/>
          <w:sz w:val="16"/>
          <w:szCs w:val="16"/>
        </w:rPr>
        <w:t>06 de junio 2018</w:t>
      </w:r>
      <w:r w:rsidR="00CC4AB2" w:rsidRPr="00236B36">
        <w:rPr>
          <w:rFonts w:ascii="Verdana" w:hAnsi="Verdana"/>
          <w:sz w:val="16"/>
          <w:szCs w:val="16"/>
        </w:rPr>
        <w:t>. Radicación n</w:t>
      </w:r>
      <w:r w:rsidRPr="00236B36">
        <w:rPr>
          <w:rFonts w:ascii="Verdana" w:hAnsi="Verdana"/>
          <w:sz w:val="16"/>
          <w:szCs w:val="16"/>
        </w:rPr>
        <w:t>úmero: 2369.</w:t>
      </w:r>
    </w:p>
    <w:p w14:paraId="75D71B84" w14:textId="77777777" w:rsidR="00CC4AB2" w:rsidRPr="00803210" w:rsidRDefault="00CC4AB2" w:rsidP="00236B36">
      <w:pPr>
        <w:spacing w:after="0" w:line="240" w:lineRule="auto"/>
        <w:ind w:firstLine="708"/>
        <w:contextualSpacing/>
        <w:jc w:val="both"/>
        <w:rPr>
          <w:rFonts w:ascii="Verdana" w:hAnsi="Verdana"/>
          <w:i/>
          <w:iCs/>
          <w:sz w:val="16"/>
          <w:szCs w:val="16"/>
        </w:rPr>
      </w:pPr>
    </w:p>
  </w:footnote>
  <w:footnote w:id="30">
    <w:p w14:paraId="03D622B7" w14:textId="5643F2E3" w:rsidR="00AE5BF9" w:rsidRPr="00236B36" w:rsidRDefault="00AE5BF9" w:rsidP="00954B01">
      <w:pPr>
        <w:spacing w:after="0" w:line="240" w:lineRule="auto"/>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Pr="00236B36">
        <w:rPr>
          <w:rFonts w:ascii="Verdana" w:hAnsi="Verdana"/>
          <w:sz w:val="16"/>
          <w:szCs w:val="16"/>
        </w:rPr>
        <w:t>CONSEJO DE ESTADO</w:t>
      </w:r>
      <w:r w:rsidR="00FB2D98">
        <w:rPr>
          <w:rFonts w:ascii="Verdana" w:hAnsi="Verdana"/>
          <w:sz w:val="16"/>
          <w:szCs w:val="16"/>
        </w:rPr>
        <w:t>.</w:t>
      </w:r>
      <w:r w:rsidRPr="00236B36">
        <w:rPr>
          <w:rFonts w:ascii="Verdana" w:hAnsi="Verdana"/>
          <w:sz w:val="16"/>
          <w:szCs w:val="16"/>
        </w:rPr>
        <w:t xml:space="preserve"> </w:t>
      </w:r>
      <w:r w:rsidR="0023572B" w:rsidRPr="00236B36">
        <w:rPr>
          <w:rFonts w:ascii="Verdana" w:hAnsi="Verdana"/>
          <w:sz w:val="16"/>
          <w:szCs w:val="16"/>
        </w:rPr>
        <w:t>Sala de Consulta y Servicio Civil</w:t>
      </w:r>
      <w:r w:rsidRPr="00236B36">
        <w:rPr>
          <w:rFonts w:ascii="Verdana" w:hAnsi="Verdana"/>
          <w:sz w:val="16"/>
          <w:szCs w:val="16"/>
        </w:rPr>
        <w:t xml:space="preserve">. </w:t>
      </w:r>
      <w:r w:rsidR="00FB2D98" w:rsidRPr="0046138B">
        <w:rPr>
          <w:rFonts w:ascii="Verdana" w:hAnsi="Verdana"/>
          <w:sz w:val="16"/>
          <w:szCs w:val="16"/>
        </w:rPr>
        <w:t>C.P.</w:t>
      </w:r>
      <w:r w:rsidR="00FB2D98">
        <w:rPr>
          <w:rFonts w:ascii="Verdana" w:hAnsi="Verdana"/>
          <w:sz w:val="16"/>
          <w:szCs w:val="16"/>
        </w:rPr>
        <w:t>:</w:t>
      </w:r>
      <w:r w:rsidR="00FB2D98" w:rsidRPr="0046138B">
        <w:rPr>
          <w:rFonts w:ascii="Verdana" w:hAnsi="Verdana"/>
          <w:sz w:val="16"/>
          <w:szCs w:val="16"/>
        </w:rPr>
        <w:t xml:space="preserve"> Óscar Daría Amaya Navas.</w:t>
      </w:r>
      <w:r w:rsidR="00FB2D98">
        <w:rPr>
          <w:rFonts w:ascii="Verdana" w:hAnsi="Verdana"/>
          <w:sz w:val="16"/>
          <w:szCs w:val="16"/>
        </w:rPr>
        <w:t xml:space="preserve"> </w:t>
      </w:r>
      <w:r w:rsidR="0023572B" w:rsidRPr="00236B36">
        <w:rPr>
          <w:rFonts w:ascii="Verdana" w:hAnsi="Verdana"/>
          <w:sz w:val="16"/>
          <w:szCs w:val="16"/>
        </w:rPr>
        <w:t xml:space="preserve">Concepto </w:t>
      </w:r>
      <w:r w:rsidR="004F1315" w:rsidRPr="00236B36">
        <w:rPr>
          <w:rFonts w:ascii="Verdana" w:hAnsi="Verdana"/>
          <w:sz w:val="16"/>
          <w:szCs w:val="16"/>
        </w:rPr>
        <w:t>del 6</w:t>
      </w:r>
      <w:r w:rsidRPr="00236B36">
        <w:rPr>
          <w:rFonts w:ascii="Verdana" w:hAnsi="Verdana"/>
          <w:sz w:val="16"/>
          <w:szCs w:val="16"/>
        </w:rPr>
        <w:t xml:space="preserve"> de junio de 201</w:t>
      </w:r>
      <w:r w:rsidR="00227EB8" w:rsidRPr="00236B36">
        <w:rPr>
          <w:rFonts w:ascii="Verdana" w:hAnsi="Verdana"/>
          <w:sz w:val="16"/>
          <w:szCs w:val="16"/>
        </w:rPr>
        <w:t>8</w:t>
      </w:r>
      <w:r w:rsidR="004F1315" w:rsidRPr="00236B36">
        <w:rPr>
          <w:rFonts w:ascii="Verdana" w:hAnsi="Verdana"/>
          <w:sz w:val="16"/>
          <w:szCs w:val="16"/>
        </w:rPr>
        <w:t>.</w:t>
      </w:r>
      <w:r w:rsidRPr="00236B36">
        <w:rPr>
          <w:rFonts w:ascii="Verdana" w:hAnsi="Verdana"/>
          <w:sz w:val="16"/>
          <w:szCs w:val="16"/>
        </w:rPr>
        <w:t xml:space="preserve"> Rad</w:t>
      </w:r>
      <w:r w:rsidR="00FB2D98">
        <w:rPr>
          <w:rFonts w:ascii="Verdana" w:hAnsi="Verdana"/>
          <w:sz w:val="16"/>
          <w:szCs w:val="16"/>
        </w:rPr>
        <w:t>icación número:</w:t>
      </w:r>
      <w:r w:rsidRPr="00236B36">
        <w:rPr>
          <w:rFonts w:ascii="Verdana" w:hAnsi="Verdana"/>
          <w:sz w:val="16"/>
          <w:szCs w:val="16"/>
        </w:rPr>
        <w:t xml:space="preserve"> 2369</w:t>
      </w:r>
      <w:r w:rsidR="00FB2D98">
        <w:rPr>
          <w:rFonts w:ascii="Verdana" w:hAnsi="Verdana"/>
          <w:sz w:val="16"/>
          <w:szCs w:val="16"/>
        </w:rPr>
        <w:t>.</w:t>
      </w:r>
    </w:p>
    <w:p w14:paraId="48FE8439" w14:textId="77777777" w:rsidR="00AE5BF9" w:rsidRPr="00803210" w:rsidRDefault="00AE5BF9" w:rsidP="00954B01">
      <w:pPr>
        <w:pStyle w:val="Textonotapie"/>
        <w:contextualSpacing/>
        <w:jc w:val="both"/>
        <w:rPr>
          <w:rFonts w:ascii="Verdana" w:hAnsi="Verdana"/>
          <w:sz w:val="16"/>
          <w:szCs w:val="16"/>
        </w:rPr>
      </w:pPr>
    </w:p>
  </w:footnote>
  <w:footnote w:id="31">
    <w:p w14:paraId="0048B157" w14:textId="616DD1D6" w:rsidR="002B12A7" w:rsidRDefault="002B12A7"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Ibidem. </w:t>
      </w:r>
    </w:p>
    <w:p w14:paraId="253DED89" w14:textId="77777777" w:rsidR="00FB2D98" w:rsidRPr="00803210" w:rsidRDefault="00FB2D98" w:rsidP="00236B36">
      <w:pPr>
        <w:pStyle w:val="Textonotapie"/>
        <w:ind w:firstLine="708"/>
        <w:contextualSpacing/>
        <w:jc w:val="both"/>
        <w:rPr>
          <w:rFonts w:ascii="Verdana" w:hAnsi="Verdana"/>
          <w:sz w:val="16"/>
          <w:szCs w:val="16"/>
        </w:rPr>
      </w:pPr>
    </w:p>
  </w:footnote>
  <w:footnote w:id="32">
    <w:p w14:paraId="7FAE3664" w14:textId="1C98964E" w:rsidR="0087088F" w:rsidRDefault="0087088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FRANCO GUTIÉRREZ, O</w:t>
      </w:r>
      <w:r w:rsidR="0065374D" w:rsidRPr="00803210">
        <w:rPr>
          <w:rFonts w:ascii="Verdana" w:hAnsi="Verdana"/>
          <w:sz w:val="16"/>
          <w:szCs w:val="16"/>
        </w:rPr>
        <w:t>m</w:t>
      </w:r>
      <w:r w:rsidRPr="00803210">
        <w:rPr>
          <w:rFonts w:ascii="Verdana" w:hAnsi="Verdana"/>
          <w:sz w:val="16"/>
          <w:szCs w:val="16"/>
        </w:rPr>
        <w:t>ar. La Contratación Administrativa. Quinta Ed. Bogotá. Leyer, 201</w:t>
      </w:r>
      <w:r w:rsidR="0065374D" w:rsidRPr="00803210">
        <w:rPr>
          <w:rFonts w:ascii="Verdana" w:hAnsi="Verdana"/>
          <w:sz w:val="16"/>
          <w:szCs w:val="16"/>
        </w:rPr>
        <w:t>0</w:t>
      </w:r>
      <w:r w:rsidR="00FB2D98">
        <w:rPr>
          <w:rFonts w:ascii="Verdana" w:hAnsi="Verdana"/>
          <w:sz w:val="16"/>
          <w:szCs w:val="16"/>
        </w:rPr>
        <w:t>. Páginas</w:t>
      </w:r>
      <w:r w:rsidR="0065374D" w:rsidRPr="00803210">
        <w:rPr>
          <w:rFonts w:ascii="Verdana" w:hAnsi="Verdana"/>
          <w:sz w:val="16"/>
          <w:szCs w:val="16"/>
        </w:rPr>
        <w:t xml:space="preserve"> </w:t>
      </w:r>
      <w:r w:rsidRPr="00803210">
        <w:rPr>
          <w:rFonts w:ascii="Verdana" w:hAnsi="Verdana"/>
          <w:sz w:val="16"/>
          <w:szCs w:val="16"/>
        </w:rPr>
        <w:t>552-553.</w:t>
      </w:r>
    </w:p>
    <w:p w14:paraId="27B131BE" w14:textId="77777777" w:rsidR="00411FF0" w:rsidRPr="00803210" w:rsidRDefault="00411FF0" w:rsidP="00236B36">
      <w:pPr>
        <w:pStyle w:val="Textonotapie"/>
        <w:ind w:firstLine="708"/>
        <w:contextualSpacing/>
        <w:jc w:val="both"/>
        <w:rPr>
          <w:rFonts w:ascii="Verdana" w:hAnsi="Verdana"/>
          <w:sz w:val="16"/>
          <w:szCs w:val="16"/>
        </w:rPr>
      </w:pPr>
    </w:p>
  </w:footnote>
  <w:footnote w:id="33">
    <w:p w14:paraId="59698CF8" w14:textId="4994109D" w:rsidR="0087088F" w:rsidRDefault="0087088F" w:rsidP="00954B01">
      <w:pPr>
        <w:spacing w:after="0" w:line="240" w:lineRule="auto"/>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w:t>
      </w:r>
      <w:r w:rsidRPr="00236B36">
        <w:rPr>
          <w:rFonts w:ascii="Verdana" w:hAnsi="Verdana"/>
          <w:sz w:val="16"/>
          <w:szCs w:val="16"/>
        </w:rPr>
        <w:t>CONSEJO DE ESTADO</w:t>
      </w:r>
      <w:r w:rsidR="00344F69">
        <w:rPr>
          <w:rFonts w:ascii="Verdana" w:hAnsi="Verdana"/>
          <w:sz w:val="16"/>
          <w:szCs w:val="16"/>
        </w:rPr>
        <w:t>.</w:t>
      </w:r>
      <w:r w:rsidRPr="00236B36">
        <w:rPr>
          <w:rFonts w:ascii="Verdana" w:hAnsi="Verdana"/>
          <w:sz w:val="16"/>
          <w:szCs w:val="16"/>
        </w:rPr>
        <w:t xml:space="preserve"> </w:t>
      </w:r>
      <w:r w:rsidR="0065374D" w:rsidRPr="00236B36">
        <w:rPr>
          <w:rFonts w:ascii="Verdana" w:hAnsi="Verdana"/>
          <w:sz w:val="16"/>
          <w:szCs w:val="16"/>
        </w:rPr>
        <w:t xml:space="preserve">Sala </w:t>
      </w:r>
      <w:r w:rsidR="00894A43" w:rsidRPr="00803210">
        <w:rPr>
          <w:rFonts w:ascii="Verdana" w:hAnsi="Verdana"/>
          <w:sz w:val="16"/>
          <w:szCs w:val="16"/>
        </w:rPr>
        <w:t>d</w:t>
      </w:r>
      <w:r w:rsidR="0065374D" w:rsidRPr="00236B36">
        <w:rPr>
          <w:rFonts w:ascii="Verdana" w:hAnsi="Verdana"/>
          <w:sz w:val="16"/>
          <w:szCs w:val="16"/>
        </w:rPr>
        <w:t xml:space="preserve">e Consulta </w:t>
      </w:r>
      <w:r w:rsidR="00E46A86">
        <w:rPr>
          <w:rFonts w:ascii="Verdana" w:hAnsi="Verdana"/>
          <w:sz w:val="16"/>
          <w:szCs w:val="16"/>
        </w:rPr>
        <w:t>y del</w:t>
      </w:r>
      <w:r w:rsidR="0065374D" w:rsidRPr="00236B36">
        <w:rPr>
          <w:rFonts w:ascii="Verdana" w:hAnsi="Verdana"/>
          <w:sz w:val="16"/>
          <w:szCs w:val="16"/>
        </w:rPr>
        <w:t xml:space="preserve"> Servicio Civil</w:t>
      </w:r>
      <w:r w:rsidRPr="00236B36">
        <w:rPr>
          <w:rFonts w:ascii="Verdana" w:hAnsi="Verdana"/>
          <w:sz w:val="16"/>
          <w:szCs w:val="16"/>
        </w:rPr>
        <w:t xml:space="preserve">. Consejero Ponente: </w:t>
      </w:r>
      <w:r w:rsidR="008C7788" w:rsidRPr="008C7788">
        <w:rPr>
          <w:rFonts w:ascii="Verdana" w:hAnsi="Verdana"/>
          <w:sz w:val="16"/>
          <w:szCs w:val="16"/>
        </w:rPr>
        <w:t xml:space="preserve">Óscar </w:t>
      </w:r>
      <w:r w:rsidRPr="00236B36">
        <w:rPr>
          <w:rFonts w:ascii="Verdana" w:hAnsi="Verdana"/>
          <w:sz w:val="16"/>
          <w:szCs w:val="16"/>
        </w:rPr>
        <w:t>Daría Amaya Navas</w:t>
      </w:r>
      <w:r w:rsidR="008C7788">
        <w:rPr>
          <w:rFonts w:ascii="Verdana" w:hAnsi="Verdana"/>
          <w:sz w:val="16"/>
          <w:szCs w:val="16"/>
        </w:rPr>
        <w:t>. Concepto del</w:t>
      </w:r>
      <w:r w:rsidRPr="00236B36">
        <w:rPr>
          <w:rFonts w:ascii="Verdana" w:hAnsi="Verdana"/>
          <w:sz w:val="16"/>
          <w:szCs w:val="16"/>
        </w:rPr>
        <w:t xml:space="preserve"> 06 de junio de2018</w:t>
      </w:r>
      <w:r w:rsidR="008C7788">
        <w:rPr>
          <w:rFonts w:ascii="Verdana" w:hAnsi="Verdana"/>
          <w:sz w:val="16"/>
          <w:szCs w:val="16"/>
        </w:rPr>
        <w:t>.</w:t>
      </w:r>
      <w:r w:rsidRPr="00236B36">
        <w:rPr>
          <w:rFonts w:ascii="Verdana" w:hAnsi="Verdana"/>
          <w:sz w:val="16"/>
          <w:szCs w:val="16"/>
        </w:rPr>
        <w:t xml:space="preserve"> Radicación</w:t>
      </w:r>
      <w:r w:rsidR="008C7788">
        <w:rPr>
          <w:rFonts w:ascii="Verdana" w:hAnsi="Verdana"/>
          <w:sz w:val="16"/>
          <w:szCs w:val="16"/>
        </w:rPr>
        <w:t xml:space="preserve"> número</w:t>
      </w:r>
      <w:r w:rsidRPr="00236B36">
        <w:rPr>
          <w:rFonts w:ascii="Verdana" w:hAnsi="Verdana"/>
          <w:sz w:val="16"/>
          <w:szCs w:val="16"/>
        </w:rPr>
        <w:t>: 2369</w:t>
      </w:r>
    </w:p>
    <w:p w14:paraId="69DF0E6D" w14:textId="77777777" w:rsidR="00411FF0" w:rsidRPr="00803210" w:rsidRDefault="00411FF0" w:rsidP="00954B01">
      <w:pPr>
        <w:spacing w:after="0" w:line="240" w:lineRule="auto"/>
        <w:ind w:firstLine="708"/>
        <w:contextualSpacing/>
        <w:jc w:val="both"/>
        <w:rPr>
          <w:rFonts w:ascii="Verdana" w:hAnsi="Verdana"/>
          <w:i/>
          <w:iCs/>
          <w:sz w:val="16"/>
          <w:szCs w:val="16"/>
        </w:rPr>
      </w:pPr>
    </w:p>
  </w:footnote>
  <w:footnote w:id="34">
    <w:p w14:paraId="4151DCA3" w14:textId="77777777" w:rsidR="0087088F" w:rsidRDefault="0087088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BENAVIDES, José Luis. Contratos Públicos. Estudios. Temas de Derecho Administrativo No. 5. Universidad Externado de Colombia. 2014.</w:t>
      </w:r>
    </w:p>
    <w:p w14:paraId="1B90AD8F" w14:textId="77777777" w:rsidR="00411FF0" w:rsidRPr="00803210" w:rsidRDefault="00411FF0" w:rsidP="00954B01">
      <w:pPr>
        <w:pStyle w:val="Textonotapie"/>
        <w:ind w:firstLine="708"/>
        <w:contextualSpacing/>
        <w:jc w:val="both"/>
        <w:rPr>
          <w:rFonts w:ascii="Verdana" w:hAnsi="Verdana"/>
          <w:sz w:val="16"/>
          <w:szCs w:val="16"/>
        </w:rPr>
      </w:pPr>
    </w:p>
  </w:footnote>
  <w:footnote w:id="35">
    <w:p w14:paraId="5DBA9A38" w14:textId="77777777" w:rsidR="006E7B3F" w:rsidRPr="00803210" w:rsidRDefault="006E7B3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EXPOSITO Velez, Juan Carlos. La planeación y validez del contrato estatal. En: Contratos Públicos: Problemas, perspectivas y prospectivas. XVIII Jornadas Internacionales de Derecho Administrativo, Universidad Externado de Colombia. Agosto. 2017. </w:t>
      </w:r>
    </w:p>
  </w:footnote>
  <w:footnote w:id="36">
    <w:p w14:paraId="5ABB3E32" w14:textId="77777777" w:rsidR="006E7B3F" w:rsidRPr="00803210" w:rsidRDefault="006E7B3F" w:rsidP="00954B01">
      <w:pPr>
        <w:pStyle w:val="Textonotapie"/>
        <w:ind w:firstLine="708"/>
        <w:contextualSpacing/>
        <w:jc w:val="both"/>
        <w:rPr>
          <w:rFonts w:ascii="Verdana" w:hAnsi="Verdana"/>
          <w:sz w:val="16"/>
          <w:szCs w:val="16"/>
        </w:rPr>
      </w:pPr>
    </w:p>
    <w:p w14:paraId="5C4DE2F2" w14:textId="77777777" w:rsidR="006E7B3F" w:rsidRDefault="006E7B3F" w:rsidP="00954B01">
      <w:pPr>
        <w:pStyle w:val="Textonotapie"/>
        <w:ind w:firstLine="708"/>
        <w:contextualSpacing/>
        <w:jc w:val="both"/>
        <w:rPr>
          <w:rFonts w:ascii="Verdana" w:hAnsi="Verdana"/>
          <w:sz w:val="16"/>
          <w:szCs w:val="16"/>
        </w:rPr>
      </w:pPr>
      <w:r w:rsidRPr="00803210">
        <w:rPr>
          <w:rStyle w:val="Refdenotaalpie"/>
          <w:rFonts w:ascii="Verdana" w:hAnsi="Verdana"/>
          <w:sz w:val="16"/>
          <w:szCs w:val="16"/>
        </w:rPr>
        <w:footnoteRef/>
      </w:r>
      <w:r w:rsidRPr="00803210">
        <w:rPr>
          <w:rFonts w:ascii="Verdana" w:hAnsi="Verdana"/>
          <w:sz w:val="16"/>
          <w:szCs w:val="16"/>
        </w:rPr>
        <w:t xml:space="preserve"> Ibidem. </w:t>
      </w:r>
    </w:p>
    <w:p w14:paraId="4482C04D" w14:textId="77777777" w:rsidR="008C7788" w:rsidRPr="00803210" w:rsidRDefault="008C7788" w:rsidP="00954B01">
      <w:pPr>
        <w:pStyle w:val="Textonotapie"/>
        <w:ind w:firstLine="708"/>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05C7EAA"/>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244106A"/>
    <w:multiLevelType w:val="hybridMultilevel"/>
    <w:tmpl w:val="E4E007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86811E1"/>
    <w:multiLevelType w:val="hybridMultilevel"/>
    <w:tmpl w:val="0D3026A4"/>
    <w:lvl w:ilvl="0" w:tplc="D054E0DC">
      <w:start w:val="8"/>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48EA7E88"/>
    <w:multiLevelType w:val="hybridMultilevel"/>
    <w:tmpl w:val="4CA6CADC"/>
    <w:lvl w:ilvl="0" w:tplc="E4262D72">
      <w:start w:val="1"/>
      <w:numFmt w:val="decimal"/>
      <w:lvlText w:val="%1."/>
      <w:lvlJc w:val="left"/>
      <w:pPr>
        <w:ind w:left="708" w:hanging="360"/>
      </w:pPr>
      <w:rPr>
        <w:rFonts w:eastAsia="Arial" w:cs="Arial" w:hint="default"/>
        <w:i w:val="0"/>
        <w:iCs/>
      </w:rPr>
    </w:lvl>
    <w:lvl w:ilvl="1" w:tplc="240A0019" w:tentative="1">
      <w:start w:val="1"/>
      <w:numFmt w:val="lowerLetter"/>
      <w:lvlText w:val="%2."/>
      <w:lvlJc w:val="left"/>
      <w:pPr>
        <w:ind w:left="1428" w:hanging="360"/>
      </w:pPr>
    </w:lvl>
    <w:lvl w:ilvl="2" w:tplc="240A001B" w:tentative="1">
      <w:start w:val="1"/>
      <w:numFmt w:val="lowerRoman"/>
      <w:lvlText w:val="%3."/>
      <w:lvlJc w:val="right"/>
      <w:pPr>
        <w:ind w:left="2148" w:hanging="180"/>
      </w:pPr>
    </w:lvl>
    <w:lvl w:ilvl="3" w:tplc="240A000F" w:tentative="1">
      <w:start w:val="1"/>
      <w:numFmt w:val="decimal"/>
      <w:lvlText w:val="%4."/>
      <w:lvlJc w:val="left"/>
      <w:pPr>
        <w:ind w:left="2868" w:hanging="360"/>
      </w:pPr>
    </w:lvl>
    <w:lvl w:ilvl="4" w:tplc="240A0019" w:tentative="1">
      <w:start w:val="1"/>
      <w:numFmt w:val="lowerLetter"/>
      <w:lvlText w:val="%5."/>
      <w:lvlJc w:val="left"/>
      <w:pPr>
        <w:ind w:left="3588" w:hanging="360"/>
      </w:pPr>
    </w:lvl>
    <w:lvl w:ilvl="5" w:tplc="240A001B" w:tentative="1">
      <w:start w:val="1"/>
      <w:numFmt w:val="lowerRoman"/>
      <w:lvlText w:val="%6."/>
      <w:lvlJc w:val="right"/>
      <w:pPr>
        <w:ind w:left="4308" w:hanging="180"/>
      </w:pPr>
    </w:lvl>
    <w:lvl w:ilvl="6" w:tplc="240A000F" w:tentative="1">
      <w:start w:val="1"/>
      <w:numFmt w:val="decimal"/>
      <w:lvlText w:val="%7."/>
      <w:lvlJc w:val="left"/>
      <w:pPr>
        <w:ind w:left="5028" w:hanging="360"/>
      </w:pPr>
    </w:lvl>
    <w:lvl w:ilvl="7" w:tplc="240A0019" w:tentative="1">
      <w:start w:val="1"/>
      <w:numFmt w:val="lowerLetter"/>
      <w:lvlText w:val="%8."/>
      <w:lvlJc w:val="left"/>
      <w:pPr>
        <w:ind w:left="5748" w:hanging="360"/>
      </w:pPr>
    </w:lvl>
    <w:lvl w:ilvl="8" w:tplc="240A001B" w:tentative="1">
      <w:start w:val="1"/>
      <w:numFmt w:val="lowerRoman"/>
      <w:lvlText w:val="%9."/>
      <w:lvlJc w:val="right"/>
      <w:pPr>
        <w:ind w:left="6468" w:hanging="180"/>
      </w:pPr>
    </w:lvl>
  </w:abstractNum>
  <w:abstractNum w:abstractNumId="13" w15:restartNumberingAfterBreak="0">
    <w:nsid w:val="635A3784"/>
    <w:multiLevelType w:val="hybridMultilevel"/>
    <w:tmpl w:val="6FFC8B4E"/>
    <w:lvl w:ilvl="0" w:tplc="7360C74E">
      <w:start w:val="3"/>
      <w:numFmt w:val="lowerRoman"/>
      <w:lvlText w:val="%1)"/>
      <w:lvlJc w:val="left"/>
      <w:pPr>
        <w:ind w:left="1080" w:hanging="720"/>
      </w:pPr>
      <w:rPr>
        <w:rFonts w:eastAsia="Calibri"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877629D"/>
    <w:multiLevelType w:val="hybridMultilevel"/>
    <w:tmpl w:val="25C2F546"/>
    <w:lvl w:ilvl="0" w:tplc="5ABC49EA">
      <w:start w:val="5"/>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2539FE"/>
    <w:multiLevelType w:val="hybridMultilevel"/>
    <w:tmpl w:val="40849A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A821B70"/>
    <w:multiLevelType w:val="multilevel"/>
    <w:tmpl w:val="AF6063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2"/>
  </w:num>
  <w:num w:numId="13" w16cid:durableId="1512908409">
    <w:abstractNumId w:val="5"/>
  </w:num>
  <w:num w:numId="14" w16cid:durableId="895897244">
    <w:abstractNumId w:val="19"/>
  </w:num>
  <w:num w:numId="15" w16cid:durableId="390349800">
    <w:abstractNumId w:val="14"/>
  </w:num>
  <w:num w:numId="16" w16cid:durableId="1330140246">
    <w:abstractNumId w:val="0"/>
  </w:num>
  <w:num w:numId="17" w16cid:durableId="679089576">
    <w:abstractNumId w:val="11"/>
  </w:num>
  <w:num w:numId="18" w16cid:durableId="1147164498">
    <w:abstractNumId w:val="21"/>
  </w:num>
  <w:num w:numId="19" w16cid:durableId="11498336">
    <w:abstractNumId w:val="1"/>
  </w:num>
  <w:num w:numId="20" w16cid:durableId="718482096">
    <w:abstractNumId w:val="12"/>
  </w:num>
  <w:num w:numId="21" w16cid:durableId="2037541192">
    <w:abstractNumId w:val="13"/>
  </w:num>
  <w:num w:numId="22" w16cid:durableId="1180580388">
    <w:abstractNumId w:val="15"/>
  </w:num>
  <w:num w:numId="23" w16cid:durableId="976497438">
    <w:abstractNumId w:val="4"/>
  </w:num>
  <w:num w:numId="24" w16cid:durableId="15201978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53"/>
    <w:rsid w:val="00013414"/>
    <w:rsid w:val="00025311"/>
    <w:rsid w:val="00025DE7"/>
    <w:rsid w:val="0003071C"/>
    <w:rsid w:val="00031D8C"/>
    <w:rsid w:val="000324EB"/>
    <w:rsid w:val="000359CD"/>
    <w:rsid w:val="00046DA4"/>
    <w:rsid w:val="00051E26"/>
    <w:rsid w:val="00061B2A"/>
    <w:rsid w:val="00062D49"/>
    <w:rsid w:val="00063B66"/>
    <w:rsid w:val="00064A46"/>
    <w:rsid w:val="00067376"/>
    <w:rsid w:val="00082362"/>
    <w:rsid w:val="000843DE"/>
    <w:rsid w:val="000922FD"/>
    <w:rsid w:val="000938A9"/>
    <w:rsid w:val="000A683E"/>
    <w:rsid w:val="000B19B9"/>
    <w:rsid w:val="000C6C58"/>
    <w:rsid w:val="000D0334"/>
    <w:rsid w:val="000D3A2B"/>
    <w:rsid w:val="000E0726"/>
    <w:rsid w:val="000E1281"/>
    <w:rsid w:val="000E49E3"/>
    <w:rsid w:val="000F6486"/>
    <w:rsid w:val="00104705"/>
    <w:rsid w:val="00106C47"/>
    <w:rsid w:val="00110352"/>
    <w:rsid w:val="00110C15"/>
    <w:rsid w:val="00121C8D"/>
    <w:rsid w:val="00125105"/>
    <w:rsid w:val="00127233"/>
    <w:rsid w:val="00136293"/>
    <w:rsid w:val="00140735"/>
    <w:rsid w:val="00142165"/>
    <w:rsid w:val="001504C8"/>
    <w:rsid w:val="00156533"/>
    <w:rsid w:val="0016067C"/>
    <w:rsid w:val="00161B00"/>
    <w:rsid w:val="0017144C"/>
    <w:rsid w:val="00181D62"/>
    <w:rsid w:val="001A4E3F"/>
    <w:rsid w:val="001A540B"/>
    <w:rsid w:val="001A6AB6"/>
    <w:rsid w:val="001B074D"/>
    <w:rsid w:val="001B1C31"/>
    <w:rsid w:val="001B2C99"/>
    <w:rsid w:val="001B2EB1"/>
    <w:rsid w:val="001B4CF9"/>
    <w:rsid w:val="001B7AC2"/>
    <w:rsid w:val="001B7CD7"/>
    <w:rsid w:val="001C25B5"/>
    <w:rsid w:val="001E0F9C"/>
    <w:rsid w:val="001E4177"/>
    <w:rsid w:val="001E57C9"/>
    <w:rsid w:val="001E63FD"/>
    <w:rsid w:val="001F4CB6"/>
    <w:rsid w:val="001F7DC6"/>
    <w:rsid w:val="002047E8"/>
    <w:rsid w:val="00204B12"/>
    <w:rsid w:val="002050E0"/>
    <w:rsid w:val="00206B23"/>
    <w:rsid w:val="0021443D"/>
    <w:rsid w:val="0021564B"/>
    <w:rsid w:val="00216189"/>
    <w:rsid w:val="0022128E"/>
    <w:rsid w:val="00226593"/>
    <w:rsid w:val="00227EB8"/>
    <w:rsid w:val="0023572B"/>
    <w:rsid w:val="00236B36"/>
    <w:rsid w:val="00240600"/>
    <w:rsid w:val="002421BB"/>
    <w:rsid w:val="00252E69"/>
    <w:rsid w:val="0025589E"/>
    <w:rsid w:val="00255F0C"/>
    <w:rsid w:val="0025796E"/>
    <w:rsid w:val="002672A1"/>
    <w:rsid w:val="002707A2"/>
    <w:rsid w:val="002707F8"/>
    <w:rsid w:val="00283517"/>
    <w:rsid w:val="00291B17"/>
    <w:rsid w:val="002951A0"/>
    <w:rsid w:val="002962BC"/>
    <w:rsid w:val="002A093D"/>
    <w:rsid w:val="002A0DD0"/>
    <w:rsid w:val="002A49AC"/>
    <w:rsid w:val="002A64FD"/>
    <w:rsid w:val="002A68A6"/>
    <w:rsid w:val="002B12A7"/>
    <w:rsid w:val="002C7A84"/>
    <w:rsid w:val="002D0A14"/>
    <w:rsid w:val="002E229E"/>
    <w:rsid w:val="002E4842"/>
    <w:rsid w:val="002E4FD9"/>
    <w:rsid w:val="002F42D2"/>
    <w:rsid w:val="002F6A83"/>
    <w:rsid w:val="00306D08"/>
    <w:rsid w:val="00313F64"/>
    <w:rsid w:val="003149CC"/>
    <w:rsid w:val="00317258"/>
    <w:rsid w:val="00322A85"/>
    <w:rsid w:val="00324168"/>
    <w:rsid w:val="0032693F"/>
    <w:rsid w:val="00335029"/>
    <w:rsid w:val="00340348"/>
    <w:rsid w:val="003448F4"/>
    <w:rsid w:val="00344F69"/>
    <w:rsid w:val="00354F6B"/>
    <w:rsid w:val="00356719"/>
    <w:rsid w:val="003609A4"/>
    <w:rsid w:val="0036515C"/>
    <w:rsid w:val="0037018C"/>
    <w:rsid w:val="00370F89"/>
    <w:rsid w:val="00374F5E"/>
    <w:rsid w:val="00377E3E"/>
    <w:rsid w:val="0038082D"/>
    <w:rsid w:val="003A26D1"/>
    <w:rsid w:val="003A6476"/>
    <w:rsid w:val="003A779E"/>
    <w:rsid w:val="003B3CC6"/>
    <w:rsid w:val="003C4003"/>
    <w:rsid w:val="003D0F4D"/>
    <w:rsid w:val="003D5B0D"/>
    <w:rsid w:val="003D5FE7"/>
    <w:rsid w:val="003E0499"/>
    <w:rsid w:val="003E59E7"/>
    <w:rsid w:val="003E6C71"/>
    <w:rsid w:val="003F3492"/>
    <w:rsid w:val="003F3941"/>
    <w:rsid w:val="00402CEF"/>
    <w:rsid w:val="00406575"/>
    <w:rsid w:val="0040731D"/>
    <w:rsid w:val="00410B9C"/>
    <w:rsid w:val="00411FF0"/>
    <w:rsid w:val="004148AE"/>
    <w:rsid w:val="00420E2E"/>
    <w:rsid w:val="00421266"/>
    <w:rsid w:val="0042318A"/>
    <w:rsid w:val="00423F21"/>
    <w:rsid w:val="00424F04"/>
    <w:rsid w:val="0042722E"/>
    <w:rsid w:val="00427AF2"/>
    <w:rsid w:val="00440360"/>
    <w:rsid w:val="0044528D"/>
    <w:rsid w:val="00450CE0"/>
    <w:rsid w:val="00461A6A"/>
    <w:rsid w:val="00473432"/>
    <w:rsid w:val="004805C6"/>
    <w:rsid w:val="00480AF3"/>
    <w:rsid w:val="0048100D"/>
    <w:rsid w:val="004913D9"/>
    <w:rsid w:val="004931AC"/>
    <w:rsid w:val="0049569E"/>
    <w:rsid w:val="00496663"/>
    <w:rsid w:val="00497F91"/>
    <w:rsid w:val="004A0796"/>
    <w:rsid w:val="004A1847"/>
    <w:rsid w:val="004A1C73"/>
    <w:rsid w:val="004A305D"/>
    <w:rsid w:val="004A6309"/>
    <w:rsid w:val="004B70E2"/>
    <w:rsid w:val="004C3647"/>
    <w:rsid w:val="004D1C12"/>
    <w:rsid w:val="004E3167"/>
    <w:rsid w:val="004E38D0"/>
    <w:rsid w:val="004E462F"/>
    <w:rsid w:val="004E4901"/>
    <w:rsid w:val="004E5F22"/>
    <w:rsid w:val="004F1315"/>
    <w:rsid w:val="004F21C4"/>
    <w:rsid w:val="004F685F"/>
    <w:rsid w:val="004F6917"/>
    <w:rsid w:val="00503869"/>
    <w:rsid w:val="00516789"/>
    <w:rsid w:val="0052087F"/>
    <w:rsid w:val="00524E0A"/>
    <w:rsid w:val="00541539"/>
    <w:rsid w:val="00542F1D"/>
    <w:rsid w:val="00550F4E"/>
    <w:rsid w:val="00553D5E"/>
    <w:rsid w:val="0055655C"/>
    <w:rsid w:val="005566E8"/>
    <w:rsid w:val="00574867"/>
    <w:rsid w:val="00575067"/>
    <w:rsid w:val="00577F98"/>
    <w:rsid w:val="0059136F"/>
    <w:rsid w:val="00591460"/>
    <w:rsid w:val="00592628"/>
    <w:rsid w:val="00597D03"/>
    <w:rsid w:val="005A0EBE"/>
    <w:rsid w:val="005B4392"/>
    <w:rsid w:val="005B740E"/>
    <w:rsid w:val="005C0823"/>
    <w:rsid w:val="005C1DD8"/>
    <w:rsid w:val="005C2CB4"/>
    <w:rsid w:val="005C3777"/>
    <w:rsid w:val="005C42D4"/>
    <w:rsid w:val="005C4E19"/>
    <w:rsid w:val="005C5CDC"/>
    <w:rsid w:val="005C79B5"/>
    <w:rsid w:val="005D27E1"/>
    <w:rsid w:val="005D476C"/>
    <w:rsid w:val="005E33C6"/>
    <w:rsid w:val="005E369F"/>
    <w:rsid w:val="005E4249"/>
    <w:rsid w:val="005E6184"/>
    <w:rsid w:val="005E745C"/>
    <w:rsid w:val="005F0BE3"/>
    <w:rsid w:val="006019E4"/>
    <w:rsid w:val="0060754B"/>
    <w:rsid w:val="00610812"/>
    <w:rsid w:val="00612E80"/>
    <w:rsid w:val="006132F2"/>
    <w:rsid w:val="00616E84"/>
    <w:rsid w:val="006219F8"/>
    <w:rsid w:val="00621F29"/>
    <w:rsid w:val="00623541"/>
    <w:rsid w:val="006476BA"/>
    <w:rsid w:val="00650FF7"/>
    <w:rsid w:val="0065374D"/>
    <w:rsid w:val="00661F0B"/>
    <w:rsid w:val="00662836"/>
    <w:rsid w:val="006651EC"/>
    <w:rsid w:val="00665D70"/>
    <w:rsid w:val="00667A33"/>
    <w:rsid w:val="00671DAC"/>
    <w:rsid w:val="0067510B"/>
    <w:rsid w:val="00676997"/>
    <w:rsid w:val="00676BF0"/>
    <w:rsid w:val="00677840"/>
    <w:rsid w:val="00680037"/>
    <w:rsid w:val="00681ECF"/>
    <w:rsid w:val="00683584"/>
    <w:rsid w:val="006900D9"/>
    <w:rsid w:val="0069146C"/>
    <w:rsid w:val="0069533E"/>
    <w:rsid w:val="00697249"/>
    <w:rsid w:val="006A5EAB"/>
    <w:rsid w:val="006C4B64"/>
    <w:rsid w:val="006D01C6"/>
    <w:rsid w:val="006D12F8"/>
    <w:rsid w:val="006D70FE"/>
    <w:rsid w:val="006E42C5"/>
    <w:rsid w:val="006E5377"/>
    <w:rsid w:val="006E573F"/>
    <w:rsid w:val="006E7B3F"/>
    <w:rsid w:val="006F0E07"/>
    <w:rsid w:val="006F2B4D"/>
    <w:rsid w:val="006F4748"/>
    <w:rsid w:val="006F57C0"/>
    <w:rsid w:val="006F759F"/>
    <w:rsid w:val="00706C16"/>
    <w:rsid w:val="007076AD"/>
    <w:rsid w:val="00707D6F"/>
    <w:rsid w:val="0071006D"/>
    <w:rsid w:val="00712625"/>
    <w:rsid w:val="007169BE"/>
    <w:rsid w:val="0072580A"/>
    <w:rsid w:val="00741093"/>
    <w:rsid w:val="00742C4C"/>
    <w:rsid w:val="0075281C"/>
    <w:rsid w:val="007532E8"/>
    <w:rsid w:val="007557F8"/>
    <w:rsid w:val="00756841"/>
    <w:rsid w:val="007649AB"/>
    <w:rsid w:val="007664A0"/>
    <w:rsid w:val="00771D0C"/>
    <w:rsid w:val="00774652"/>
    <w:rsid w:val="00781B0D"/>
    <w:rsid w:val="007833AC"/>
    <w:rsid w:val="007A1A1B"/>
    <w:rsid w:val="007A55FC"/>
    <w:rsid w:val="007B268C"/>
    <w:rsid w:val="007B3194"/>
    <w:rsid w:val="007B7171"/>
    <w:rsid w:val="007C0C0F"/>
    <w:rsid w:val="007C3DC2"/>
    <w:rsid w:val="007E018C"/>
    <w:rsid w:val="007E0304"/>
    <w:rsid w:val="007E1DA3"/>
    <w:rsid w:val="007E3C81"/>
    <w:rsid w:val="007E5497"/>
    <w:rsid w:val="007F0D6D"/>
    <w:rsid w:val="007F75D5"/>
    <w:rsid w:val="007F7C27"/>
    <w:rsid w:val="00803210"/>
    <w:rsid w:val="00806F5F"/>
    <w:rsid w:val="00816720"/>
    <w:rsid w:val="00820278"/>
    <w:rsid w:val="0082691E"/>
    <w:rsid w:val="008278D7"/>
    <w:rsid w:val="00830F1D"/>
    <w:rsid w:val="00836BB6"/>
    <w:rsid w:val="008437DD"/>
    <w:rsid w:val="00855DD2"/>
    <w:rsid w:val="00865674"/>
    <w:rsid w:val="0086579A"/>
    <w:rsid w:val="00867CFC"/>
    <w:rsid w:val="0087088F"/>
    <w:rsid w:val="00877D6F"/>
    <w:rsid w:val="008838A2"/>
    <w:rsid w:val="008843B6"/>
    <w:rsid w:val="00891928"/>
    <w:rsid w:val="0089286B"/>
    <w:rsid w:val="00894A43"/>
    <w:rsid w:val="008A1807"/>
    <w:rsid w:val="008A446D"/>
    <w:rsid w:val="008A5E28"/>
    <w:rsid w:val="008A7EBA"/>
    <w:rsid w:val="008B0EDD"/>
    <w:rsid w:val="008C412B"/>
    <w:rsid w:val="008C7788"/>
    <w:rsid w:val="008D1250"/>
    <w:rsid w:val="008D180B"/>
    <w:rsid w:val="008E783F"/>
    <w:rsid w:val="008F0EA7"/>
    <w:rsid w:val="008F4A69"/>
    <w:rsid w:val="009000D4"/>
    <w:rsid w:val="009173D6"/>
    <w:rsid w:val="0091782E"/>
    <w:rsid w:val="0092114E"/>
    <w:rsid w:val="00923EEF"/>
    <w:rsid w:val="0093401A"/>
    <w:rsid w:val="00934901"/>
    <w:rsid w:val="009419F9"/>
    <w:rsid w:val="00941F97"/>
    <w:rsid w:val="009472DA"/>
    <w:rsid w:val="00954B01"/>
    <w:rsid w:val="0095685E"/>
    <w:rsid w:val="00961B09"/>
    <w:rsid w:val="00965334"/>
    <w:rsid w:val="0097093E"/>
    <w:rsid w:val="00974260"/>
    <w:rsid w:val="00981B9A"/>
    <w:rsid w:val="009965EB"/>
    <w:rsid w:val="00996933"/>
    <w:rsid w:val="009A0DFA"/>
    <w:rsid w:val="009A4862"/>
    <w:rsid w:val="009A79EE"/>
    <w:rsid w:val="009B2D26"/>
    <w:rsid w:val="009B3FD9"/>
    <w:rsid w:val="009B7AD6"/>
    <w:rsid w:val="009C2AA7"/>
    <w:rsid w:val="009C3DB7"/>
    <w:rsid w:val="009C71FA"/>
    <w:rsid w:val="009C72E7"/>
    <w:rsid w:val="009C78BA"/>
    <w:rsid w:val="009C7CC4"/>
    <w:rsid w:val="009D3058"/>
    <w:rsid w:val="009F346B"/>
    <w:rsid w:val="009F3A13"/>
    <w:rsid w:val="00A07636"/>
    <w:rsid w:val="00A122D3"/>
    <w:rsid w:val="00A1710A"/>
    <w:rsid w:val="00A17F13"/>
    <w:rsid w:val="00A20739"/>
    <w:rsid w:val="00A20793"/>
    <w:rsid w:val="00A22176"/>
    <w:rsid w:val="00A318DD"/>
    <w:rsid w:val="00A31F70"/>
    <w:rsid w:val="00A32542"/>
    <w:rsid w:val="00A33C78"/>
    <w:rsid w:val="00A440FC"/>
    <w:rsid w:val="00A464ED"/>
    <w:rsid w:val="00A46F58"/>
    <w:rsid w:val="00A51746"/>
    <w:rsid w:val="00A62DBC"/>
    <w:rsid w:val="00A81631"/>
    <w:rsid w:val="00A85EC8"/>
    <w:rsid w:val="00A938D3"/>
    <w:rsid w:val="00A949EB"/>
    <w:rsid w:val="00AA1234"/>
    <w:rsid w:val="00AA3708"/>
    <w:rsid w:val="00AB0ADB"/>
    <w:rsid w:val="00AB21E2"/>
    <w:rsid w:val="00AB3441"/>
    <w:rsid w:val="00AD3A34"/>
    <w:rsid w:val="00AD777B"/>
    <w:rsid w:val="00AE5BF9"/>
    <w:rsid w:val="00AE69B9"/>
    <w:rsid w:val="00AE7DE9"/>
    <w:rsid w:val="00AF16CE"/>
    <w:rsid w:val="00AF3110"/>
    <w:rsid w:val="00B014AB"/>
    <w:rsid w:val="00B01B1A"/>
    <w:rsid w:val="00B06E12"/>
    <w:rsid w:val="00B14781"/>
    <w:rsid w:val="00B14DBD"/>
    <w:rsid w:val="00B163A4"/>
    <w:rsid w:val="00B22D77"/>
    <w:rsid w:val="00B32E7A"/>
    <w:rsid w:val="00B34BB1"/>
    <w:rsid w:val="00B44E1C"/>
    <w:rsid w:val="00B5338C"/>
    <w:rsid w:val="00B64BAD"/>
    <w:rsid w:val="00B70D22"/>
    <w:rsid w:val="00B72CD3"/>
    <w:rsid w:val="00B72FFF"/>
    <w:rsid w:val="00B855A3"/>
    <w:rsid w:val="00B8620A"/>
    <w:rsid w:val="00B86307"/>
    <w:rsid w:val="00BA5E7F"/>
    <w:rsid w:val="00BB01ED"/>
    <w:rsid w:val="00BC3D36"/>
    <w:rsid w:val="00BC3EBE"/>
    <w:rsid w:val="00BC6338"/>
    <w:rsid w:val="00BD2175"/>
    <w:rsid w:val="00BD32C0"/>
    <w:rsid w:val="00BD674B"/>
    <w:rsid w:val="00BD7F72"/>
    <w:rsid w:val="00BE05A0"/>
    <w:rsid w:val="00BE5D10"/>
    <w:rsid w:val="00C0000E"/>
    <w:rsid w:val="00C04FB3"/>
    <w:rsid w:val="00C07C66"/>
    <w:rsid w:val="00C13E80"/>
    <w:rsid w:val="00C2073F"/>
    <w:rsid w:val="00C25861"/>
    <w:rsid w:val="00C264A2"/>
    <w:rsid w:val="00C31EA7"/>
    <w:rsid w:val="00C330DD"/>
    <w:rsid w:val="00C330EB"/>
    <w:rsid w:val="00C333C4"/>
    <w:rsid w:val="00C338F2"/>
    <w:rsid w:val="00C340F6"/>
    <w:rsid w:val="00C4165D"/>
    <w:rsid w:val="00C52D40"/>
    <w:rsid w:val="00C54E79"/>
    <w:rsid w:val="00C6159E"/>
    <w:rsid w:val="00C627C2"/>
    <w:rsid w:val="00C72D15"/>
    <w:rsid w:val="00C754BE"/>
    <w:rsid w:val="00C76B1C"/>
    <w:rsid w:val="00C95758"/>
    <w:rsid w:val="00CA5A33"/>
    <w:rsid w:val="00CA7740"/>
    <w:rsid w:val="00CB6357"/>
    <w:rsid w:val="00CB733E"/>
    <w:rsid w:val="00CB7FE3"/>
    <w:rsid w:val="00CC1B26"/>
    <w:rsid w:val="00CC2C09"/>
    <w:rsid w:val="00CC4AB2"/>
    <w:rsid w:val="00CC6655"/>
    <w:rsid w:val="00CC6745"/>
    <w:rsid w:val="00CD1B8D"/>
    <w:rsid w:val="00CD268C"/>
    <w:rsid w:val="00CE7DFF"/>
    <w:rsid w:val="00CE7F0F"/>
    <w:rsid w:val="00CF7560"/>
    <w:rsid w:val="00D05025"/>
    <w:rsid w:val="00D11BE7"/>
    <w:rsid w:val="00D22DAC"/>
    <w:rsid w:val="00D2376F"/>
    <w:rsid w:val="00D3558D"/>
    <w:rsid w:val="00D423A2"/>
    <w:rsid w:val="00D461C1"/>
    <w:rsid w:val="00D520D8"/>
    <w:rsid w:val="00D577A5"/>
    <w:rsid w:val="00D63AC2"/>
    <w:rsid w:val="00D7383B"/>
    <w:rsid w:val="00D8422D"/>
    <w:rsid w:val="00D85971"/>
    <w:rsid w:val="00DA231B"/>
    <w:rsid w:val="00DA23A0"/>
    <w:rsid w:val="00DA2C52"/>
    <w:rsid w:val="00DA3D59"/>
    <w:rsid w:val="00DA731A"/>
    <w:rsid w:val="00DB37E3"/>
    <w:rsid w:val="00DC26EE"/>
    <w:rsid w:val="00DC39FC"/>
    <w:rsid w:val="00DC4D39"/>
    <w:rsid w:val="00DD0967"/>
    <w:rsid w:val="00DD24D4"/>
    <w:rsid w:val="00DD2F9A"/>
    <w:rsid w:val="00DE13E6"/>
    <w:rsid w:val="00DE6C42"/>
    <w:rsid w:val="00DF5254"/>
    <w:rsid w:val="00DF5B8E"/>
    <w:rsid w:val="00E047D1"/>
    <w:rsid w:val="00E16408"/>
    <w:rsid w:val="00E20894"/>
    <w:rsid w:val="00E23A74"/>
    <w:rsid w:val="00E24117"/>
    <w:rsid w:val="00E245AB"/>
    <w:rsid w:val="00E2764C"/>
    <w:rsid w:val="00E27F2E"/>
    <w:rsid w:val="00E30CC6"/>
    <w:rsid w:val="00E36E8C"/>
    <w:rsid w:val="00E413EA"/>
    <w:rsid w:val="00E46A86"/>
    <w:rsid w:val="00E50AFE"/>
    <w:rsid w:val="00E742DB"/>
    <w:rsid w:val="00E751B9"/>
    <w:rsid w:val="00E75C92"/>
    <w:rsid w:val="00E771DC"/>
    <w:rsid w:val="00E80AB2"/>
    <w:rsid w:val="00E83C67"/>
    <w:rsid w:val="00E8772A"/>
    <w:rsid w:val="00E90F6B"/>
    <w:rsid w:val="00E91CF1"/>
    <w:rsid w:val="00E92C27"/>
    <w:rsid w:val="00EA0E3D"/>
    <w:rsid w:val="00EA1ACD"/>
    <w:rsid w:val="00EA4177"/>
    <w:rsid w:val="00EA4361"/>
    <w:rsid w:val="00EC38A7"/>
    <w:rsid w:val="00ED7E3D"/>
    <w:rsid w:val="00EE1AA8"/>
    <w:rsid w:val="00EE3A9C"/>
    <w:rsid w:val="00EE5196"/>
    <w:rsid w:val="00F0553E"/>
    <w:rsid w:val="00F10EAA"/>
    <w:rsid w:val="00F139CB"/>
    <w:rsid w:val="00F164E0"/>
    <w:rsid w:val="00F178A2"/>
    <w:rsid w:val="00F31EDC"/>
    <w:rsid w:val="00F40AD9"/>
    <w:rsid w:val="00F44A6F"/>
    <w:rsid w:val="00F462B3"/>
    <w:rsid w:val="00F5664F"/>
    <w:rsid w:val="00F6283E"/>
    <w:rsid w:val="00F666C4"/>
    <w:rsid w:val="00F73DAE"/>
    <w:rsid w:val="00F76AFC"/>
    <w:rsid w:val="00F95CF6"/>
    <w:rsid w:val="00FA20EC"/>
    <w:rsid w:val="00FA47C0"/>
    <w:rsid w:val="00FB088A"/>
    <w:rsid w:val="00FB2D98"/>
    <w:rsid w:val="00FB3293"/>
    <w:rsid w:val="00FB5DD1"/>
    <w:rsid w:val="00FB7D50"/>
    <w:rsid w:val="00FC20F6"/>
    <w:rsid w:val="00FC2B5D"/>
    <w:rsid w:val="00FC4059"/>
    <w:rsid w:val="00FD0861"/>
    <w:rsid w:val="00FD4E36"/>
    <w:rsid w:val="00FE0C7C"/>
    <w:rsid w:val="00FE565A"/>
    <w:rsid w:val="00FF1449"/>
    <w:rsid w:val="00FF169D"/>
    <w:rsid w:val="00FF2C84"/>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325F51D-362A-4B73-B577-A167C820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E7B3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E7B3F"/>
    <w:rPr>
      <w:rFonts w:ascii="Geomanist Light" w:hAnsi="Geomanist Light"/>
      <w:lang w:val="es-ES"/>
    </w:rPr>
  </w:style>
  <w:style w:type="character" w:styleId="Refdecomentario">
    <w:name w:val="annotation reference"/>
    <w:basedOn w:val="Fuentedeprrafopredeter"/>
    <w:uiPriority w:val="99"/>
    <w:semiHidden/>
    <w:unhideWhenUsed/>
    <w:rsid w:val="006E7B3F"/>
    <w:rPr>
      <w:sz w:val="16"/>
      <w:szCs w:val="16"/>
    </w:rPr>
  </w:style>
  <w:style w:type="paragraph" w:styleId="Textocomentario">
    <w:name w:val="annotation text"/>
    <w:basedOn w:val="Normal"/>
    <w:link w:val="TextocomentarioCar"/>
    <w:uiPriority w:val="99"/>
    <w:unhideWhenUsed/>
    <w:rsid w:val="006E7B3F"/>
    <w:pPr>
      <w:spacing w:line="240" w:lineRule="auto"/>
    </w:pPr>
    <w:rPr>
      <w:sz w:val="20"/>
      <w:szCs w:val="20"/>
    </w:rPr>
  </w:style>
  <w:style w:type="character" w:customStyle="1" w:styleId="TextocomentarioCar">
    <w:name w:val="Texto comentario Car"/>
    <w:basedOn w:val="Fuentedeprrafopredeter"/>
    <w:link w:val="Textocomentario"/>
    <w:uiPriority w:val="99"/>
    <w:rsid w:val="006E7B3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boletin_de_realtoria_iii.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BA5DF3C4-1A97-4FA2-B9E5-242142516F08}">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3071267-218F-4EBB-98E4-453EA54B115E}"/>
</file>

<file path=docProps/app.xml><?xml version="1.0" encoding="utf-8"?>
<Properties xmlns="http://schemas.openxmlformats.org/officeDocument/2006/extended-properties" xmlns:vt="http://schemas.openxmlformats.org/officeDocument/2006/docPropsVTypes">
  <Template>Normal</Template>
  <TotalTime>49</TotalTime>
  <Pages>33</Pages>
  <Words>11426</Words>
  <Characters>62844</Characters>
  <Application>Microsoft Office Word</Application>
  <DocSecurity>0</DocSecurity>
  <Lines>523</Lines>
  <Paragraphs>148</Paragraphs>
  <ScaleCrop>false</ScaleCrop>
  <Company/>
  <LinksUpToDate>false</LinksUpToDate>
  <CharactersWithSpaces>74122</CharactersWithSpaces>
  <SharedDoc>false</SharedDoc>
  <HLinks>
    <vt:vector size="12" baseType="variant">
      <vt:variant>
        <vt:i4>1638461</vt:i4>
      </vt:variant>
      <vt:variant>
        <vt:i4>3</vt:i4>
      </vt:variant>
      <vt:variant>
        <vt:i4>0</vt:i4>
      </vt:variant>
      <vt:variant>
        <vt:i4>5</vt:i4>
      </vt:variant>
      <vt:variant>
        <vt:lpwstr>https://www.colombiacompra.gov.co/sites/cce_public/files/files_2020/boletin_de_realtoria_iii.pdf</vt:lpwstr>
      </vt:variant>
      <vt:variant>
        <vt:lpwstr/>
      </vt:variant>
      <vt:variant>
        <vt:i4>1900622</vt:i4>
      </vt:variant>
      <vt:variant>
        <vt:i4>0</vt:i4>
      </vt:variant>
      <vt:variant>
        <vt:i4>0</vt:i4>
      </vt:variant>
      <vt:variant>
        <vt:i4>5</vt:i4>
      </vt:variant>
      <vt:variant>
        <vt:lpwstr>https://relatoria.colombiacompra.gov.co/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9</cp:revision>
  <cp:lastPrinted>2023-01-10T21:18:00Z</cp:lastPrinted>
  <dcterms:created xsi:type="dcterms:W3CDTF">2024-09-23T23:45:00Z</dcterms:created>
  <dcterms:modified xsi:type="dcterms:W3CDTF">2024-09-28T05:20:00Z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