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7A3A45" w14:textId="77777777" w:rsidR="00115293" w:rsidRPr="00827FDB" w:rsidRDefault="00115293" w:rsidP="00115293">
      <w:pPr>
        <w:spacing w:after="0" w:line="240" w:lineRule="auto"/>
        <w:jc w:val="both"/>
        <w:rPr>
          <w:rFonts w:ascii="Verdana" w:eastAsia="Aptos" w:hAnsi="Verdana" w:cs="Times New Roman"/>
          <w:b/>
          <w:bCs/>
          <w:kern w:val="2"/>
          <w14:ligatures w14:val="standardContextual"/>
        </w:rPr>
      </w:pPr>
      <w:r w:rsidRPr="00827FDB">
        <w:rPr>
          <w:rFonts w:ascii="Verdana" w:eastAsia="Aptos" w:hAnsi="Verdana" w:cs="Times New Roman"/>
          <w:b/>
          <w:bCs/>
          <w:kern w:val="2"/>
          <w14:ligatures w14:val="standardContextual"/>
        </w:rPr>
        <w:t>ACTIVIDADES DE CIENCIA, TECNOLOGÍA E INNOVACIÓN – Marco jurídico – Actividades – Tipo de contratos o convenios</w:t>
      </w:r>
    </w:p>
    <w:p w14:paraId="4E1A4F31" w14:textId="77777777" w:rsidR="00115293" w:rsidRPr="00827FDB" w:rsidRDefault="00115293" w:rsidP="00115293">
      <w:pPr>
        <w:spacing w:after="0" w:line="278" w:lineRule="auto"/>
        <w:jc w:val="both"/>
        <w:rPr>
          <w:rFonts w:ascii="Verdana" w:eastAsia="Aptos" w:hAnsi="Verdana" w:cs="Times New Roman"/>
          <w:b/>
          <w:bCs/>
          <w:kern w:val="2"/>
          <w:sz w:val="20"/>
          <w:szCs w:val="20"/>
          <w:highlight w:val="yellow"/>
          <w14:ligatures w14:val="standardContextual"/>
        </w:rPr>
      </w:pPr>
    </w:p>
    <w:p w14:paraId="625CFABE" w14:textId="77777777" w:rsidR="00115293" w:rsidRPr="00827FDB" w:rsidRDefault="00115293" w:rsidP="00115293">
      <w:pPr>
        <w:spacing w:after="0" w:line="278" w:lineRule="auto"/>
        <w:jc w:val="both"/>
        <w:rPr>
          <w:rFonts w:ascii="Verdana" w:eastAsia="Aptos" w:hAnsi="Verdana" w:cs="Times New Roman"/>
          <w:kern w:val="2"/>
          <w:sz w:val="20"/>
          <w:szCs w:val="20"/>
          <w14:ligatures w14:val="standardContextual"/>
        </w:rPr>
      </w:pPr>
      <w:r w:rsidRPr="00827FDB">
        <w:rPr>
          <w:rFonts w:ascii="Verdana" w:eastAsia="Aptos" w:hAnsi="Verdana" w:cs="Times New Roman"/>
          <w:kern w:val="2"/>
          <w:sz w:val="20"/>
          <w:szCs w:val="20"/>
          <w14:ligatures w14:val="standardContextual"/>
        </w:rPr>
        <w:t xml:space="preserve">[…] 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827FDB">
        <w:rPr>
          <w:rFonts w:ascii="Verdana" w:eastAsia="Aptos" w:hAnsi="Verdana" w:cs="Times New Roman"/>
          <w:kern w:val="2"/>
          <w:sz w:val="20"/>
          <w:szCs w:val="20"/>
          <w14:ligatures w14:val="standardContextual"/>
        </w:rPr>
        <w:t>ii</w:t>
      </w:r>
      <w:proofErr w:type="spellEnd"/>
      <w:r w:rsidRPr="00827FDB">
        <w:rPr>
          <w:rFonts w:ascii="Verdana" w:eastAsia="Aptos" w:hAnsi="Verdana" w:cs="Times New Roman"/>
          <w:kern w:val="2"/>
          <w:sz w:val="20"/>
          <w:szCs w:val="20"/>
          <w14:ligatures w14:val="standardContextual"/>
        </w:rPr>
        <w:t xml:space="preserve">) el Decreto Ley 591 de 1991, que enlista actividades científicas y tecnológicas y, a pesar de que su propósito principal era regular las modalidades específicas de contratos de fomento de esas actividades, individualizó las siguientes modalidades de contratos para el fomento de las actividades científicas, tecnológicas y de innovación: los contratos de financiamiento, los de administración de proyectos; los contratos de fiducia; los de prestación de servicios científicos y tecnológicos; los contratos de consultoría científica o tecnológica; los contratos de obra pública, los contratos de consultoría e interventoría en obra pública; los contratos de arrendamiento, los contratos de compraventa y permuta y suministro de bienes muebles; los contratos de donación, y por último, los convenios especiales de contratación ya previstos por el Decreto 393 de 1991; posteriormente, la Ley 80 de 1993 derogó las disposiciones del Decreto 591 Ibidem, con excepción de las normas que individualizan y caracterizan los contratos de financiamiento (artículo 8°), los de administración de proyectos (artículo 9) y los convenios especiales de cooperación (artículo 7); </w:t>
      </w:r>
      <w:proofErr w:type="spellStart"/>
      <w:r w:rsidRPr="00827FDB">
        <w:rPr>
          <w:rFonts w:ascii="Verdana" w:eastAsia="Aptos" w:hAnsi="Verdana" w:cs="Times New Roman"/>
          <w:kern w:val="2"/>
          <w:sz w:val="20"/>
          <w:szCs w:val="20"/>
          <w14:ligatures w14:val="standardContextual"/>
        </w:rPr>
        <w:t>iii</w:t>
      </w:r>
      <w:proofErr w:type="spellEnd"/>
      <w:r w:rsidRPr="00827FDB">
        <w:rPr>
          <w:rFonts w:ascii="Verdana" w:eastAsia="Aptos" w:hAnsi="Verdana" w:cs="Times New Roman"/>
          <w:kern w:val="2"/>
          <w:sz w:val="20"/>
          <w:szCs w:val="20"/>
          <w14:ligatures w14:val="standardContextual"/>
        </w:rPr>
        <w:t xml:space="preserve">) artículo 33 de la Ley 1286 de 2009 ; y </w:t>
      </w:r>
      <w:proofErr w:type="spellStart"/>
      <w:r w:rsidRPr="00827FDB">
        <w:rPr>
          <w:rFonts w:ascii="Verdana" w:eastAsia="Aptos" w:hAnsi="Verdana" w:cs="Times New Roman"/>
          <w:kern w:val="2"/>
          <w:sz w:val="20"/>
          <w:szCs w:val="20"/>
          <w14:ligatures w14:val="standardContextual"/>
        </w:rPr>
        <w:t>iv</w:t>
      </w:r>
      <w:proofErr w:type="spellEnd"/>
      <w:r w:rsidRPr="00827FDB">
        <w:rPr>
          <w:rFonts w:ascii="Verdana" w:eastAsia="Aptos" w:hAnsi="Verdana" w:cs="Times New Roman"/>
          <w:kern w:val="2"/>
          <w:sz w:val="20"/>
          <w:szCs w:val="20"/>
          <w14:ligatures w14:val="standardContextual"/>
        </w:rPr>
        <w:t>) el Documento CONPES 4069 de 2021, donde se definen cuáles son estas actividades de los actores del Sistema Nacional de Ciencia, Tecnología e Innovación.</w:t>
      </w:r>
    </w:p>
    <w:p w14:paraId="240C331A" w14:textId="77777777" w:rsidR="00115293" w:rsidRPr="00827FDB" w:rsidRDefault="00115293" w:rsidP="00115293">
      <w:pPr>
        <w:spacing w:after="0" w:line="240" w:lineRule="auto"/>
        <w:jc w:val="both"/>
        <w:rPr>
          <w:rFonts w:ascii="Verdana" w:eastAsia="Aptos" w:hAnsi="Verdana" w:cs="Times New Roman"/>
          <w:b/>
          <w:bCs/>
          <w:kern w:val="2"/>
          <w14:ligatures w14:val="standardContextual"/>
        </w:rPr>
      </w:pPr>
    </w:p>
    <w:p w14:paraId="03112B64" w14:textId="77777777" w:rsidR="00115293" w:rsidRPr="00827FDB" w:rsidRDefault="00115293" w:rsidP="00115293">
      <w:pPr>
        <w:spacing w:after="0" w:line="240" w:lineRule="auto"/>
        <w:jc w:val="both"/>
        <w:rPr>
          <w:rFonts w:ascii="Verdana" w:eastAsia="Aptos" w:hAnsi="Verdana" w:cs="Times New Roman"/>
          <w:b/>
          <w:bCs/>
          <w:kern w:val="2"/>
          <w14:ligatures w14:val="standardContextual"/>
        </w:rPr>
      </w:pPr>
      <w:r w:rsidRPr="00827FDB">
        <w:rPr>
          <w:rFonts w:ascii="Verdana" w:eastAsia="Aptos" w:hAnsi="Verdana" w:cs="Times New Roman"/>
          <w:b/>
          <w:bCs/>
          <w:kern w:val="2"/>
          <w14:ligatures w14:val="standardContextual"/>
        </w:rPr>
        <w:t>CONTRATACIÓN DIRECTA – Actividades de ciencia, tecnología e innovación – Circular externa única – Determinación de la entidad</w:t>
      </w:r>
    </w:p>
    <w:p w14:paraId="44BA3E9F" w14:textId="77777777" w:rsidR="00115293" w:rsidRPr="00827FDB" w:rsidRDefault="00115293" w:rsidP="00115293">
      <w:pPr>
        <w:spacing w:after="0" w:line="278" w:lineRule="auto"/>
        <w:jc w:val="both"/>
        <w:rPr>
          <w:rFonts w:ascii="Verdana" w:eastAsia="Aptos" w:hAnsi="Verdana" w:cs="Times New Roman"/>
          <w:b/>
          <w:bCs/>
          <w:kern w:val="2"/>
          <w:highlight w:val="yellow"/>
          <w14:ligatures w14:val="standardContextual"/>
        </w:rPr>
      </w:pPr>
    </w:p>
    <w:p w14:paraId="38012272" w14:textId="77777777" w:rsidR="00115293" w:rsidRPr="00827FDB" w:rsidRDefault="00115293" w:rsidP="00115293">
      <w:pPr>
        <w:spacing w:after="0" w:line="240" w:lineRule="auto"/>
        <w:jc w:val="both"/>
        <w:rPr>
          <w:rFonts w:ascii="Verdana" w:eastAsia="Aptos" w:hAnsi="Verdana" w:cs="Times New Roman"/>
          <w:sz w:val="20"/>
          <w:szCs w:val="20"/>
        </w:rPr>
      </w:pPr>
      <w:r w:rsidRPr="00827FDB">
        <w:rPr>
          <w:rFonts w:ascii="Verdana" w:eastAsia="Aptos" w:hAnsi="Verdana" w:cs="Times New Roman"/>
          <w:kern w:val="2"/>
          <w:sz w:val="20"/>
          <w:szCs w:val="20"/>
          <w14:ligatures w14:val="standardContextual"/>
        </w:rPr>
        <w:t>[…] la Ley 1150 de 2007, en el artículo 2, numeral 4, literal e), señala como causal de contratación directa de la siguiente manera: “Los contratos para el desarrollo de actividades científicas y tecnológicas”. Por su parte, la Agencia Nacional de Contratación Pública ‒ Colombia Compra Eficiente, teniendo en cuenta las normas mencionadas, expidió la Circular Externa Única, que además de derogar las Circulares Externas anteriores, en el numeral 15, señala la normativa de la contratación de actividades de ciencia, tecnología e innovación y dispone algunas consideraciones sobre las tipologías contractuales aplicables, y el régimen de supervisión e interventoría aplicable para dichas actividades.</w:t>
      </w:r>
    </w:p>
    <w:p w14:paraId="1E93413D" w14:textId="77777777" w:rsidR="00115293" w:rsidRPr="00827FDB" w:rsidRDefault="00115293" w:rsidP="00115293">
      <w:pPr>
        <w:spacing w:after="0" w:line="240" w:lineRule="auto"/>
        <w:rPr>
          <w:rFonts w:ascii="Verdana" w:eastAsia="Aptos" w:hAnsi="Verdana" w:cs="Times New Roman"/>
          <w:sz w:val="20"/>
          <w:szCs w:val="20"/>
        </w:rPr>
      </w:pPr>
      <w:r w:rsidRPr="00827FDB">
        <w:rPr>
          <w:rFonts w:ascii="Verdana" w:eastAsia="Aptos" w:hAnsi="Verdana" w:cs="Times New Roman"/>
          <w:sz w:val="20"/>
          <w:szCs w:val="20"/>
        </w:rPr>
        <w:t>[…]</w:t>
      </w:r>
    </w:p>
    <w:p w14:paraId="123A8220" w14:textId="77777777" w:rsidR="00115293" w:rsidRPr="00827FDB" w:rsidRDefault="00115293" w:rsidP="00115293">
      <w:pPr>
        <w:spacing w:after="0" w:line="240" w:lineRule="auto"/>
        <w:jc w:val="both"/>
        <w:rPr>
          <w:rFonts w:ascii="Verdana" w:eastAsia="Aptos" w:hAnsi="Verdana" w:cs="Times New Roman"/>
          <w:sz w:val="20"/>
          <w:szCs w:val="20"/>
        </w:rPr>
      </w:pPr>
      <w:r w:rsidRPr="00827FDB">
        <w:rPr>
          <w:rFonts w:ascii="Verdana" w:eastAsia="Aptos" w:hAnsi="Verdana" w:cs="Times New Roman"/>
          <w:sz w:val="20"/>
          <w:szCs w:val="20"/>
        </w:rPr>
        <w:t xml:space="preserve">[…] las entidades, como responsables de estructurar sus procedimientos de selección, deben definir si el objeto a contratar se encuadra en aquellas actividades consideradas de ciencia, tecnología e innovación, y podrán aplicar la modalidad de selección de contratación directa para celebrar alguno de los tipos de contrato previstos en la ley, salvo que el contrato se rija por el derecho privado. En todo caso, se resalta que el régimen de las actividades de ciencia, tecnología e innovación se define a partir de las </w:t>
      </w:r>
      <w:r w:rsidRPr="00827FDB">
        <w:rPr>
          <w:rFonts w:ascii="Verdana" w:eastAsia="Aptos" w:hAnsi="Verdana" w:cs="Times New Roman"/>
          <w:sz w:val="20"/>
          <w:szCs w:val="20"/>
        </w:rPr>
        <w:lastRenderedPageBreak/>
        <w:t>normas citadas, pero le corresponde al Ministerio de Ciencia, Tecnología e Innovación, como autoridad competente, catalogar las actividades cuando las entidades presenten dudas respecto de un objeto contractual que pretendan satisfacer.</w:t>
      </w:r>
    </w:p>
    <w:p w14:paraId="699ECB9B" w14:textId="77777777" w:rsidR="00115293" w:rsidRPr="00827FDB" w:rsidRDefault="00115293" w:rsidP="00115293">
      <w:pPr>
        <w:spacing w:after="0" w:line="240" w:lineRule="auto"/>
        <w:rPr>
          <w:rFonts w:ascii="Verdana" w:eastAsia="Aptos" w:hAnsi="Verdana" w:cs="Times New Roman"/>
          <w:sz w:val="20"/>
          <w:szCs w:val="20"/>
        </w:rPr>
      </w:pPr>
    </w:p>
    <w:p w14:paraId="0BF5EC2D" w14:textId="77777777" w:rsidR="00115293" w:rsidRPr="00827FDB" w:rsidRDefault="00115293" w:rsidP="00115293">
      <w:pPr>
        <w:spacing w:after="0" w:line="240" w:lineRule="auto"/>
        <w:rPr>
          <w:rFonts w:ascii="Verdana" w:eastAsia="Aptos" w:hAnsi="Verdana" w:cs="Times New Roman"/>
          <w:sz w:val="20"/>
          <w:szCs w:val="20"/>
        </w:rPr>
      </w:pPr>
    </w:p>
    <w:p w14:paraId="74723F47" w14:textId="77777777" w:rsidR="00115293" w:rsidRPr="00827FDB" w:rsidRDefault="00115293" w:rsidP="00115293">
      <w:pPr>
        <w:spacing w:after="0" w:line="240" w:lineRule="auto"/>
        <w:rPr>
          <w:rFonts w:ascii="Verdana" w:eastAsia="Aptos" w:hAnsi="Verdana" w:cs="Times New Roman"/>
          <w:sz w:val="20"/>
          <w:szCs w:val="20"/>
        </w:rPr>
      </w:pPr>
    </w:p>
    <w:p w14:paraId="5DF28B31" w14:textId="77777777" w:rsidR="00115293" w:rsidRPr="00827FDB" w:rsidRDefault="00115293" w:rsidP="00115293">
      <w:pPr>
        <w:spacing w:after="0" w:line="240" w:lineRule="auto"/>
        <w:rPr>
          <w:rFonts w:ascii="Verdana" w:eastAsia="Aptos" w:hAnsi="Verdana" w:cs="Times New Roman"/>
          <w:sz w:val="20"/>
          <w:szCs w:val="20"/>
        </w:rPr>
      </w:pPr>
    </w:p>
    <w:p w14:paraId="3CD2AF24" w14:textId="77777777" w:rsidR="00115293" w:rsidRPr="00827FDB" w:rsidRDefault="00115293" w:rsidP="00115293">
      <w:pPr>
        <w:spacing w:after="0" w:line="240" w:lineRule="auto"/>
        <w:rPr>
          <w:rFonts w:ascii="Verdana" w:eastAsia="Aptos" w:hAnsi="Verdana" w:cs="Times New Roman"/>
          <w:sz w:val="20"/>
          <w:szCs w:val="20"/>
        </w:rPr>
      </w:pPr>
    </w:p>
    <w:p w14:paraId="7995D7D5" w14:textId="77777777" w:rsidR="00115293" w:rsidRPr="00827FDB" w:rsidRDefault="00115293" w:rsidP="00115293">
      <w:pPr>
        <w:spacing w:after="0" w:line="240" w:lineRule="auto"/>
        <w:rPr>
          <w:rFonts w:ascii="Verdana" w:eastAsia="Aptos" w:hAnsi="Verdana" w:cs="Times New Roman"/>
          <w:sz w:val="20"/>
          <w:szCs w:val="20"/>
        </w:rPr>
      </w:pPr>
    </w:p>
    <w:p w14:paraId="04860BD5" w14:textId="77777777" w:rsidR="00115293" w:rsidRPr="00827FDB" w:rsidRDefault="00115293" w:rsidP="00115293">
      <w:pPr>
        <w:spacing w:after="0" w:line="240" w:lineRule="auto"/>
        <w:rPr>
          <w:rFonts w:ascii="Verdana" w:eastAsia="Aptos" w:hAnsi="Verdana" w:cs="Times New Roman"/>
          <w:sz w:val="20"/>
          <w:szCs w:val="20"/>
        </w:rPr>
      </w:pPr>
    </w:p>
    <w:p w14:paraId="25808AD3" w14:textId="77777777" w:rsidR="00115293" w:rsidRPr="00827FDB" w:rsidRDefault="00115293" w:rsidP="00115293">
      <w:pPr>
        <w:spacing w:after="0" w:line="240" w:lineRule="auto"/>
        <w:rPr>
          <w:rFonts w:ascii="Verdana" w:eastAsia="Aptos" w:hAnsi="Verdana" w:cs="Times New Roman"/>
          <w:sz w:val="20"/>
          <w:szCs w:val="20"/>
        </w:rPr>
      </w:pPr>
    </w:p>
    <w:p w14:paraId="4F5A8D14" w14:textId="77777777" w:rsidR="00115293" w:rsidRPr="00827FDB" w:rsidRDefault="00115293" w:rsidP="00115293">
      <w:pPr>
        <w:spacing w:after="0" w:line="240" w:lineRule="auto"/>
        <w:rPr>
          <w:rFonts w:ascii="Verdana" w:eastAsia="Aptos" w:hAnsi="Verdana" w:cs="Times New Roman"/>
          <w:sz w:val="20"/>
          <w:szCs w:val="20"/>
        </w:rPr>
      </w:pPr>
    </w:p>
    <w:p w14:paraId="5FE31C98" w14:textId="77777777" w:rsidR="00115293" w:rsidRPr="00827FDB" w:rsidRDefault="00115293" w:rsidP="00115293">
      <w:pPr>
        <w:spacing w:after="0" w:line="240" w:lineRule="auto"/>
        <w:rPr>
          <w:rFonts w:ascii="Verdana" w:eastAsia="Aptos" w:hAnsi="Verdana" w:cs="Times New Roman"/>
          <w:sz w:val="20"/>
          <w:szCs w:val="20"/>
        </w:rPr>
      </w:pPr>
    </w:p>
    <w:p w14:paraId="26CCD560" w14:textId="77777777" w:rsidR="00115293" w:rsidRPr="00827FDB" w:rsidRDefault="00115293" w:rsidP="00115293">
      <w:pPr>
        <w:spacing w:after="0" w:line="240" w:lineRule="auto"/>
        <w:rPr>
          <w:rFonts w:ascii="Verdana" w:eastAsia="Aptos" w:hAnsi="Verdana" w:cs="Times New Roman"/>
          <w:sz w:val="20"/>
          <w:szCs w:val="20"/>
        </w:rPr>
      </w:pPr>
    </w:p>
    <w:p w14:paraId="1B229BC5" w14:textId="77777777" w:rsidR="00115293" w:rsidRPr="00827FDB" w:rsidRDefault="00115293" w:rsidP="00115293">
      <w:pPr>
        <w:spacing w:after="0" w:line="240" w:lineRule="auto"/>
        <w:rPr>
          <w:rFonts w:ascii="Verdana" w:eastAsia="Aptos" w:hAnsi="Verdana" w:cs="Times New Roman"/>
          <w:sz w:val="20"/>
          <w:szCs w:val="20"/>
        </w:rPr>
      </w:pPr>
    </w:p>
    <w:p w14:paraId="19BE8A84" w14:textId="77777777" w:rsidR="00115293" w:rsidRPr="00827FDB" w:rsidRDefault="00115293" w:rsidP="00115293">
      <w:pPr>
        <w:spacing w:after="0" w:line="240" w:lineRule="auto"/>
        <w:rPr>
          <w:rFonts w:ascii="Verdana" w:eastAsia="Aptos" w:hAnsi="Verdana" w:cs="Times New Roman"/>
          <w:sz w:val="20"/>
          <w:szCs w:val="20"/>
        </w:rPr>
      </w:pPr>
    </w:p>
    <w:p w14:paraId="3DD4BB67" w14:textId="77777777" w:rsidR="00115293" w:rsidRPr="00827FDB" w:rsidRDefault="00115293" w:rsidP="00115293">
      <w:pPr>
        <w:spacing w:after="0" w:line="240" w:lineRule="auto"/>
        <w:rPr>
          <w:rFonts w:ascii="Verdana" w:eastAsia="Aptos" w:hAnsi="Verdana" w:cs="Times New Roman"/>
          <w:sz w:val="20"/>
          <w:szCs w:val="20"/>
        </w:rPr>
      </w:pPr>
    </w:p>
    <w:p w14:paraId="252622E8" w14:textId="77777777" w:rsidR="00115293" w:rsidRPr="00827FDB" w:rsidRDefault="00115293" w:rsidP="00115293">
      <w:pPr>
        <w:spacing w:after="0" w:line="240" w:lineRule="auto"/>
        <w:rPr>
          <w:rFonts w:ascii="Verdana" w:eastAsia="Aptos" w:hAnsi="Verdana" w:cs="Times New Roman"/>
          <w:sz w:val="20"/>
          <w:szCs w:val="20"/>
        </w:rPr>
      </w:pPr>
    </w:p>
    <w:p w14:paraId="4315D282" w14:textId="77777777" w:rsidR="00115293" w:rsidRPr="00827FDB" w:rsidRDefault="00115293" w:rsidP="00115293">
      <w:pPr>
        <w:spacing w:after="0" w:line="240" w:lineRule="auto"/>
        <w:rPr>
          <w:rFonts w:ascii="Verdana" w:eastAsia="Aptos" w:hAnsi="Verdana" w:cs="Times New Roman"/>
          <w:sz w:val="20"/>
          <w:szCs w:val="20"/>
        </w:rPr>
      </w:pPr>
    </w:p>
    <w:p w14:paraId="37398FDB" w14:textId="77777777" w:rsidR="00115293" w:rsidRPr="00827FDB" w:rsidRDefault="00115293" w:rsidP="00115293">
      <w:pPr>
        <w:spacing w:after="0" w:line="240" w:lineRule="auto"/>
        <w:rPr>
          <w:rFonts w:ascii="Verdana" w:eastAsia="Aptos" w:hAnsi="Verdana" w:cs="Times New Roman"/>
          <w:sz w:val="20"/>
          <w:szCs w:val="20"/>
        </w:rPr>
      </w:pPr>
    </w:p>
    <w:p w14:paraId="36509B1A" w14:textId="77777777" w:rsidR="00115293" w:rsidRPr="00827FDB" w:rsidRDefault="00115293" w:rsidP="00115293">
      <w:pPr>
        <w:spacing w:after="0" w:line="240" w:lineRule="auto"/>
        <w:rPr>
          <w:rFonts w:ascii="Verdana" w:eastAsia="Aptos" w:hAnsi="Verdana" w:cs="Times New Roman"/>
          <w:sz w:val="20"/>
          <w:szCs w:val="20"/>
        </w:rPr>
      </w:pPr>
    </w:p>
    <w:p w14:paraId="4D5B066B" w14:textId="77777777" w:rsidR="00115293" w:rsidRPr="00827FDB" w:rsidRDefault="00115293" w:rsidP="00115293">
      <w:pPr>
        <w:spacing w:after="0" w:line="240" w:lineRule="auto"/>
        <w:rPr>
          <w:rFonts w:ascii="Verdana" w:eastAsia="Aptos" w:hAnsi="Verdana" w:cs="Times New Roman"/>
          <w:sz w:val="20"/>
          <w:szCs w:val="20"/>
        </w:rPr>
      </w:pPr>
    </w:p>
    <w:p w14:paraId="381205C5" w14:textId="77777777" w:rsidR="00115293" w:rsidRPr="00827FDB" w:rsidRDefault="00115293" w:rsidP="00115293">
      <w:pPr>
        <w:spacing w:after="0" w:line="240" w:lineRule="auto"/>
        <w:rPr>
          <w:rFonts w:ascii="Verdana" w:eastAsia="Aptos" w:hAnsi="Verdana" w:cs="Times New Roman"/>
          <w:sz w:val="20"/>
          <w:szCs w:val="20"/>
        </w:rPr>
      </w:pPr>
    </w:p>
    <w:p w14:paraId="26743AAC" w14:textId="77777777" w:rsidR="00115293" w:rsidRPr="00827FDB" w:rsidRDefault="00115293" w:rsidP="00115293">
      <w:pPr>
        <w:spacing w:after="0" w:line="240" w:lineRule="auto"/>
        <w:rPr>
          <w:rFonts w:ascii="Verdana" w:eastAsia="Aptos" w:hAnsi="Verdana" w:cs="Times New Roman"/>
          <w:sz w:val="20"/>
          <w:szCs w:val="20"/>
        </w:rPr>
      </w:pPr>
    </w:p>
    <w:p w14:paraId="53FBA5BC" w14:textId="77777777" w:rsidR="00115293" w:rsidRPr="00827FDB" w:rsidRDefault="00115293" w:rsidP="00115293">
      <w:pPr>
        <w:spacing w:after="0" w:line="240" w:lineRule="auto"/>
        <w:rPr>
          <w:rFonts w:ascii="Verdana" w:eastAsia="Aptos" w:hAnsi="Verdana" w:cs="Times New Roman"/>
          <w:sz w:val="20"/>
          <w:szCs w:val="20"/>
        </w:rPr>
      </w:pPr>
    </w:p>
    <w:p w14:paraId="7812018C" w14:textId="77777777" w:rsidR="00115293" w:rsidRPr="00827FDB" w:rsidRDefault="00115293" w:rsidP="00115293">
      <w:pPr>
        <w:spacing w:after="0" w:line="240" w:lineRule="auto"/>
        <w:rPr>
          <w:rFonts w:ascii="Verdana" w:eastAsia="Aptos" w:hAnsi="Verdana" w:cs="Times New Roman"/>
          <w:sz w:val="20"/>
          <w:szCs w:val="20"/>
        </w:rPr>
      </w:pPr>
    </w:p>
    <w:p w14:paraId="65D25969" w14:textId="77777777" w:rsidR="00115293" w:rsidRPr="00827FDB" w:rsidRDefault="00115293" w:rsidP="00115293">
      <w:pPr>
        <w:spacing w:after="0" w:line="240" w:lineRule="auto"/>
        <w:rPr>
          <w:rFonts w:ascii="Verdana" w:eastAsia="Aptos" w:hAnsi="Verdana" w:cs="Times New Roman"/>
          <w:sz w:val="20"/>
          <w:szCs w:val="20"/>
        </w:rPr>
      </w:pPr>
    </w:p>
    <w:p w14:paraId="51BCED3B" w14:textId="77777777" w:rsidR="00115293" w:rsidRPr="00827FDB" w:rsidRDefault="00115293" w:rsidP="00115293">
      <w:pPr>
        <w:spacing w:after="0" w:line="240" w:lineRule="auto"/>
        <w:rPr>
          <w:rFonts w:ascii="Verdana" w:eastAsia="Aptos" w:hAnsi="Verdana" w:cs="Times New Roman"/>
          <w:sz w:val="20"/>
          <w:szCs w:val="20"/>
        </w:rPr>
      </w:pPr>
    </w:p>
    <w:p w14:paraId="57E5D356" w14:textId="77777777" w:rsidR="00115293" w:rsidRPr="00827FDB" w:rsidRDefault="00115293" w:rsidP="00115293">
      <w:pPr>
        <w:spacing w:after="0" w:line="240" w:lineRule="auto"/>
        <w:rPr>
          <w:rFonts w:ascii="Verdana" w:eastAsia="Aptos" w:hAnsi="Verdana" w:cs="Times New Roman"/>
          <w:sz w:val="20"/>
          <w:szCs w:val="20"/>
        </w:rPr>
      </w:pPr>
    </w:p>
    <w:p w14:paraId="26E98174" w14:textId="77777777" w:rsidR="00115293" w:rsidRPr="00827FDB" w:rsidRDefault="00115293" w:rsidP="00115293">
      <w:pPr>
        <w:spacing w:after="0" w:line="240" w:lineRule="auto"/>
        <w:rPr>
          <w:rFonts w:ascii="Verdana" w:eastAsia="Aptos" w:hAnsi="Verdana" w:cs="Times New Roman"/>
          <w:sz w:val="20"/>
          <w:szCs w:val="20"/>
        </w:rPr>
      </w:pPr>
    </w:p>
    <w:p w14:paraId="6718189A" w14:textId="77777777" w:rsidR="00115293" w:rsidRPr="00827FDB" w:rsidRDefault="00115293" w:rsidP="00115293">
      <w:pPr>
        <w:spacing w:after="0" w:line="240" w:lineRule="auto"/>
        <w:rPr>
          <w:rFonts w:ascii="Verdana" w:eastAsia="Aptos" w:hAnsi="Verdana" w:cs="Times New Roman"/>
          <w:sz w:val="20"/>
          <w:szCs w:val="20"/>
        </w:rPr>
      </w:pPr>
    </w:p>
    <w:p w14:paraId="2274C781" w14:textId="77777777" w:rsidR="00115293" w:rsidRPr="00827FDB" w:rsidRDefault="00115293" w:rsidP="00115293">
      <w:pPr>
        <w:spacing w:after="0" w:line="240" w:lineRule="auto"/>
        <w:rPr>
          <w:rFonts w:ascii="Verdana" w:eastAsia="Aptos" w:hAnsi="Verdana" w:cs="Times New Roman"/>
          <w:sz w:val="20"/>
          <w:szCs w:val="20"/>
        </w:rPr>
      </w:pPr>
    </w:p>
    <w:p w14:paraId="7516677E" w14:textId="77777777" w:rsidR="00115293" w:rsidRPr="00827FDB" w:rsidRDefault="00115293" w:rsidP="00115293">
      <w:pPr>
        <w:spacing w:after="0" w:line="240" w:lineRule="auto"/>
        <w:rPr>
          <w:rFonts w:ascii="Verdana" w:eastAsia="Aptos" w:hAnsi="Verdana" w:cs="Times New Roman"/>
          <w:sz w:val="20"/>
          <w:szCs w:val="20"/>
        </w:rPr>
      </w:pPr>
    </w:p>
    <w:p w14:paraId="778D3F7C" w14:textId="77777777" w:rsidR="00115293" w:rsidRPr="00827FDB" w:rsidRDefault="00115293" w:rsidP="00115293">
      <w:pPr>
        <w:spacing w:after="0" w:line="240" w:lineRule="auto"/>
        <w:rPr>
          <w:rFonts w:ascii="Verdana" w:eastAsia="Aptos" w:hAnsi="Verdana" w:cs="Times New Roman"/>
          <w:sz w:val="20"/>
          <w:szCs w:val="20"/>
        </w:rPr>
      </w:pPr>
    </w:p>
    <w:p w14:paraId="00C97BDA" w14:textId="77777777" w:rsidR="00115293" w:rsidRPr="00827FDB" w:rsidRDefault="00115293" w:rsidP="00115293">
      <w:pPr>
        <w:spacing w:after="0" w:line="240" w:lineRule="auto"/>
        <w:rPr>
          <w:rFonts w:ascii="Verdana" w:eastAsia="Aptos" w:hAnsi="Verdana" w:cs="Times New Roman"/>
          <w:sz w:val="20"/>
          <w:szCs w:val="20"/>
        </w:rPr>
      </w:pPr>
    </w:p>
    <w:p w14:paraId="4CA0FACA" w14:textId="77777777" w:rsidR="00115293" w:rsidRPr="00827FDB" w:rsidRDefault="00115293" w:rsidP="00115293">
      <w:pPr>
        <w:spacing w:after="0" w:line="240" w:lineRule="auto"/>
        <w:rPr>
          <w:rFonts w:ascii="Verdana" w:eastAsia="Aptos" w:hAnsi="Verdana" w:cs="Times New Roman"/>
          <w:sz w:val="20"/>
          <w:szCs w:val="20"/>
        </w:rPr>
      </w:pPr>
    </w:p>
    <w:p w14:paraId="56C1F1BF" w14:textId="77777777" w:rsidR="00115293" w:rsidRPr="00827FDB" w:rsidRDefault="00115293" w:rsidP="00115293">
      <w:pPr>
        <w:spacing w:after="0" w:line="240" w:lineRule="auto"/>
        <w:rPr>
          <w:rFonts w:ascii="Verdana" w:eastAsia="Aptos" w:hAnsi="Verdana" w:cs="Times New Roman"/>
          <w:sz w:val="20"/>
          <w:szCs w:val="20"/>
        </w:rPr>
      </w:pPr>
    </w:p>
    <w:p w14:paraId="696413EF" w14:textId="77777777" w:rsidR="00115293" w:rsidRPr="00827FDB" w:rsidRDefault="00115293" w:rsidP="00115293">
      <w:pPr>
        <w:spacing w:after="0" w:line="240" w:lineRule="auto"/>
        <w:rPr>
          <w:rFonts w:ascii="Verdana" w:eastAsia="Aptos" w:hAnsi="Verdana" w:cs="Times New Roman"/>
          <w:sz w:val="20"/>
          <w:szCs w:val="20"/>
        </w:rPr>
      </w:pPr>
    </w:p>
    <w:p w14:paraId="3F5DB913" w14:textId="77777777" w:rsidR="00115293" w:rsidRPr="00827FDB" w:rsidRDefault="00115293" w:rsidP="00115293">
      <w:pPr>
        <w:spacing w:after="0" w:line="240" w:lineRule="auto"/>
        <w:rPr>
          <w:rFonts w:ascii="Verdana" w:eastAsia="Aptos" w:hAnsi="Verdana" w:cs="Times New Roman"/>
          <w:sz w:val="20"/>
          <w:szCs w:val="20"/>
        </w:rPr>
      </w:pPr>
    </w:p>
    <w:p w14:paraId="0991F468" w14:textId="77777777" w:rsidR="00115293" w:rsidRPr="00827FDB" w:rsidRDefault="00115293" w:rsidP="00115293">
      <w:pPr>
        <w:spacing w:after="0" w:line="240" w:lineRule="auto"/>
        <w:rPr>
          <w:rFonts w:ascii="Verdana" w:eastAsia="Aptos" w:hAnsi="Verdana" w:cs="Times New Roman"/>
          <w:sz w:val="20"/>
          <w:szCs w:val="20"/>
        </w:rPr>
      </w:pPr>
    </w:p>
    <w:p w14:paraId="3F59FFD7" w14:textId="77777777" w:rsidR="00115293" w:rsidRPr="00827FDB" w:rsidRDefault="00115293" w:rsidP="00115293">
      <w:pPr>
        <w:spacing w:after="0" w:line="240" w:lineRule="auto"/>
        <w:rPr>
          <w:rFonts w:ascii="Verdana" w:eastAsia="Aptos" w:hAnsi="Verdana" w:cs="Times New Roman"/>
          <w:sz w:val="20"/>
          <w:szCs w:val="20"/>
        </w:rPr>
      </w:pPr>
    </w:p>
    <w:p w14:paraId="7AB8AE93" w14:textId="77777777" w:rsidR="00115293" w:rsidRPr="00827FDB" w:rsidRDefault="00115293" w:rsidP="00115293">
      <w:pPr>
        <w:spacing w:after="0" w:line="240" w:lineRule="auto"/>
        <w:rPr>
          <w:rFonts w:ascii="Verdana" w:eastAsia="Aptos" w:hAnsi="Verdana" w:cs="Times New Roman"/>
          <w:sz w:val="20"/>
          <w:szCs w:val="20"/>
        </w:rPr>
      </w:pPr>
    </w:p>
    <w:p w14:paraId="1A0E2495" w14:textId="77777777" w:rsidR="00115293" w:rsidRPr="00827FDB" w:rsidRDefault="00115293" w:rsidP="00115293">
      <w:pPr>
        <w:spacing w:after="0" w:line="240" w:lineRule="auto"/>
        <w:rPr>
          <w:rFonts w:ascii="Verdana" w:eastAsia="Aptos" w:hAnsi="Verdana" w:cs="Times New Roman"/>
          <w:sz w:val="20"/>
          <w:szCs w:val="20"/>
        </w:rPr>
      </w:pPr>
    </w:p>
    <w:p w14:paraId="2B9E2040" w14:textId="77777777" w:rsidR="00115293" w:rsidRPr="00827FDB" w:rsidRDefault="00115293" w:rsidP="00115293">
      <w:pPr>
        <w:spacing w:after="0" w:line="240" w:lineRule="auto"/>
        <w:rPr>
          <w:rFonts w:ascii="Verdana" w:eastAsia="Aptos" w:hAnsi="Verdana" w:cs="Times New Roman"/>
          <w:sz w:val="20"/>
          <w:szCs w:val="20"/>
        </w:rPr>
      </w:pPr>
    </w:p>
    <w:p w14:paraId="6C4812F6" w14:textId="77777777" w:rsidR="00115293" w:rsidRPr="00827FDB" w:rsidRDefault="00115293" w:rsidP="00115293">
      <w:pPr>
        <w:spacing w:after="0" w:line="240" w:lineRule="auto"/>
        <w:rPr>
          <w:rFonts w:ascii="Verdana" w:eastAsia="Aptos" w:hAnsi="Verdana" w:cs="Times New Roman"/>
          <w:sz w:val="20"/>
          <w:szCs w:val="20"/>
        </w:rPr>
      </w:pPr>
    </w:p>
    <w:p w14:paraId="240C4DCC" w14:textId="77777777" w:rsidR="00115293" w:rsidRPr="00827FDB" w:rsidRDefault="00115293" w:rsidP="00115293">
      <w:pPr>
        <w:spacing w:after="0" w:line="240" w:lineRule="auto"/>
        <w:rPr>
          <w:rFonts w:ascii="Verdana" w:eastAsia="Aptos" w:hAnsi="Verdana" w:cs="Times New Roman"/>
          <w:sz w:val="20"/>
          <w:szCs w:val="20"/>
        </w:rPr>
      </w:pPr>
    </w:p>
    <w:p w14:paraId="07114A47" w14:textId="77777777" w:rsidR="00115293" w:rsidRPr="00827FDB" w:rsidRDefault="00115293" w:rsidP="00115293">
      <w:pPr>
        <w:spacing w:after="0" w:line="240" w:lineRule="auto"/>
        <w:rPr>
          <w:rFonts w:ascii="Verdana" w:eastAsia="Aptos" w:hAnsi="Verdana" w:cs="Times New Roman"/>
          <w:sz w:val="20"/>
          <w:szCs w:val="20"/>
        </w:rPr>
      </w:pPr>
    </w:p>
    <w:p w14:paraId="3D5B3DFD" w14:textId="77777777" w:rsidR="00115293" w:rsidRPr="00827FDB" w:rsidRDefault="00115293" w:rsidP="00115293">
      <w:pPr>
        <w:spacing w:after="0" w:line="240" w:lineRule="auto"/>
        <w:rPr>
          <w:rFonts w:ascii="Verdana" w:eastAsia="Aptos" w:hAnsi="Verdana" w:cs="Times New Roman"/>
          <w:sz w:val="20"/>
          <w:szCs w:val="20"/>
        </w:rPr>
      </w:pPr>
    </w:p>
    <w:p w14:paraId="7065F597" w14:textId="77777777" w:rsidR="00115293" w:rsidRPr="00827FDB" w:rsidRDefault="00115293" w:rsidP="00115293">
      <w:pPr>
        <w:spacing w:after="0" w:line="240" w:lineRule="auto"/>
        <w:rPr>
          <w:rFonts w:ascii="Verdana" w:eastAsia="Geomanist Light" w:hAnsi="Verdana" w:cs="Arial"/>
          <w:lang w:val="es-MX"/>
        </w:rPr>
      </w:pPr>
      <w:r w:rsidRPr="00827FDB">
        <w:rPr>
          <w:rFonts w:ascii="Verdana" w:eastAsia="Geomanist Light" w:hAnsi="Verdana" w:cs="Arial"/>
          <w:lang w:val="es-MX"/>
        </w:rPr>
        <w:lastRenderedPageBreak/>
        <w:t>Bogotá D.C., [Día] de [</w:t>
      </w:r>
      <w:proofErr w:type="spellStart"/>
      <w:r w:rsidRPr="00827FDB">
        <w:rPr>
          <w:rFonts w:ascii="Verdana" w:eastAsia="Geomanist Light" w:hAnsi="Verdana" w:cs="Arial"/>
          <w:lang w:val="es-MX"/>
        </w:rPr>
        <w:t>Mes.NombreCapitalizado</w:t>
      </w:r>
      <w:proofErr w:type="spellEnd"/>
      <w:r w:rsidRPr="00827FDB">
        <w:rPr>
          <w:rFonts w:ascii="Verdana" w:eastAsia="Geomanist Light" w:hAnsi="Verdana" w:cs="Arial"/>
          <w:lang w:val="es-MX"/>
        </w:rPr>
        <w:t>] de [Año]</w:t>
      </w:r>
    </w:p>
    <w:p w14:paraId="128B842A" w14:textId="77777777" w:rsidR="00115293" w:rsidRDefault="00115293" w:rsidP="00115293">
      <w:pPr>
        <w:spacing w:after="0" w:line="240" w:lineRule="auto"/>
        <w:jc w:val="both"/>
        <w:rPr>
          <w:rFonts w:ascii="Verdana" w:eastAsia="Calibri" w:hAnsi="Verdana" w:cs="Arial"/>
          <w:lang w:val="es-ES"/>
        </w:rPr>
      </w:pPr>
    </w:p>
    <w:p w14:paraId="2B1BECC0" w14:textId="7395FA20" w:rsidR="002E368B" w:rsidRDefault="002E368B" w:rsidP="002E368B">
      <w:pPr>
        <w:spacing w:after="0" w:line="240" w:lineRule="auto"/>
        <w:jc w:val="right"/>
        <w:rPr>
          <w:rFonts w:ascii="Verdana" w:eastAsia="Calibri" w:hAnsi="Verdana" w:cs="Arial"/>
          <w:lang w:val="es-ES"/>
        </w:rPr>
      </w:pPr>
      <w:r w:rsidRPr="002E368B">
        <w:rPr>
          <w:rFonts w:ascii="Verdana" w:eastAsia="Calibri" w:hAnsi="Verdana" w:cs="Arial"/>
          <w:noProof/>
          <w:lang w:val="es-ES"/>
        </w:rPr>
        <w:drawing>
          <wp:inline distT="0" distB="0" distL="0" distR="0" wp14:anchorId="5BA9A53E" wp14:editId="11F3AF3F">
            <wp:extent cx="3277057" cy="962159"/>
            <wp:effectExtent l="0" t="0" r="0" b="9525"/>
            <wp:docPr id="1357245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4533" name="Imagen 1" descr="Texto&#10;&#10;Descripción generada automáticamente"/>
                    <pic:cNvPicPr/>
                  </pic:nvPicPr>
                  <pic:blipFill>
                    <a:blip r:embed="rId10"/>
                    <a:stretch>
                      <a:fillRect/>
                    </a:stretch>
                  </pic:blipFill>
                  <pic:spPr>
                    <a:xfrm>
                      <a:off x="0" y="0"/>
                      <a:ext cx="3277057" cy="962159"/>
                    </a:xfrm>
                    <a:prstGeom prst="rect">
                      <a:avLst/>
                    </a:prstGeom>
                  </pic:spPr>
                </pic:pic>
              </a:graphicData>
            </a:graphic>
          </wp:inline>
        </w:drawing>
      </w:r>
    </w:p>
    <w:p w14:paraId="2CDFD140" w14:textId="77777777" w:rsidR="002E368B" w:rsidRPr="00827FDB" w:rsidRDefault="002E368B" w:rsidP="00115293">
      <w:pPr>
        <w:spacing w:after="0" w:line="240" w:lineRule="auto"/>
        <w:jc w:val="both"/>
        <w:rPr>
          <w:rFonts w:ascii="Verdana" w:eastAsia="Calibri" w:hAnsi="Verdana" w:cs="Arial"/>
          <w:lang w:val="es-ES"/>
        </w:rPr>
      </w:pPr>
    </w:p>
    <w:p w14:paraId="0D59FEBA" w14:textId="77777777" w:rsidR="00115293" w:rsidRPr="00827FDB" w:rsidRDefault="00115293" w:rsidP="00115293">
      <w:pPr>
        <w:spacing w:after="0" w:line="240" w:lineRule="auto"/>
        <w:jc w:val="right"/>
        <w:rPr>
          <w:rFonts w:ascii="Verdana" w:eastAsia="Calibri" w:hAnsi="Verdana" w:cs="Arial"/>
          <w:lang w:val="es-ES"/>
        </w:rPr>
      </w:pPr>
    </w:p>
    <w:p w14:paraId="508DD347" w14:textId="77777777" w:rsidR="00115293" w:rsidRPr="00827FDB" w:rsidRDefault="00115293" w:rsidP="00115293">
      <w:pPr>
        <w:spacing w:after="0" w:line="240" w:lineRule="auto"/>
        <w:jc w:val="both"/>
        <w:rPr>
          <w:rFonts w:ascii="Verdana" w:eastAsia="Calibri" w:hAnsi="Verdana" w:cs="Arial"/>
          <w:lang w:val="es-ES" w:eastAsia="es-ES"/>
        </w:rPr>
      </w:pPr>
      <w:r w:rsidRPr="00827FDB">
        <w:rPr>
          <w:rFonts w:ascii="Verdana" w:eastAsia="Calibri" w:hAnsi="Verdana" w:cs="Arial"/>
          <w:lang w:val="es-ES" w:eastAsia="es-ES"/>
        </w:rPr>
        <w:t>Señora</w:t>
      </w:r>
    </w:p>
    <w:p w14:paraId="6BEF1CFD" w14:textId="77777777" w:rsidR="00115293" w:rsidRPr="00827FDB" w:rsidRDefault="00115293" w:rsidP="00115293">
      <w:pPr>
        <w:spacing w:after="0" w:line="240" w:lineRule="auto"/>
        <w:rPr>
          <w:rFonts w:ascii="Verdana" w:eastAsia="Calibri" w:hAnsi="Verdana" w:cs="Arial"/>
          <w:b/>
          <w:lang w:val="es-ES" w:eastAsia="es-ES"/>
        </w:rPr>
      </w:pPr>
      <w:r w:rsidRPr="191EF39D">
        <w:rPr>
          <w:rFonts w:ascii="Verdana" w:eastAsia="Calibri" w:hAnsi="Verdana" w:cs="Arial"/>
          <w:b/>
          <w:lang w:val="es-ES" w:eastAsia="es-ES"/>
        </w:rPr>
        <w:t xml:space="preserve">Eliana Marcela </w:t>
      </w:r>
      <w:proofErr w:type="spellStart"/>
      <w:r w:rsidRPr="191EF39D">
        <w:rPr>
          <w:rFonts w:ascii="Verdana" w:eastAsia="Calibri" w:hAnsi="Verdana" w:cs="Arial"/>
          <w:b/>
          <w:lang w:val="es-ES" w:eastAsia="es-ES"/>
        </w:rPr>
        <w:t>Noy</w:t>
      </w:r>
      <w:proofErr w:type="spellEnd"/>
      <w:r w:rsidRPr="191EF39D">
        <w:rPr>
          <w:rFonts w:ascii="Verdana" w:eastAsia="Calibri" w:hAnsi="Verdana" w:cs="Arial"/>
          <w:b/>
          <w:lang w:val="es-ES" w:eastAsia="es-ES"/>
        </w:rPr>
        <w:t xml:space="preserve"> </w:t>
      </w:r>
      <w:proofErr w:type="spellStart"/>
      <w:r w:rsidRPr="191EF39D">
        <w:rPr>
          <w:rFonts w:ascii="Verdana" w:eastAsia="Calibri" w:hAnsi="Verdana" w:cs="Arial"/>
          <w:b/>
          <w:lang w:val="es-ES" w:eastAsia="es-ES"/>
        </w:rPr>
        <w:t>Guiérrez</w:t>
      </w:r>
      <w:proofErr w:type="spellEnd"/>
    </w:p>
    <w:p w14:paraId="4F37F9B7" w14:textId="77777777" w:rsidR="00115293" w:rsidRPr="00827FDB" w:rsidRDefault="008914E3" w:rsidP="00115293">
      <w:pPr>
        <w:spacing w:after="0" w:line="240" w:lineRule="auto"/>
        <w:rPr>
          <w:rFonts w:ascii="Verdana" w:eastAsia="Aptos" w:hAnsi="Verdana" w:cs="Times New Roman"/>
        </w:rPr>
      </w:pPr>
      <w:hyperlink r:id="rId11" w:history="1">
        <w:r w:rsidR="00115293" w:rsidRPr="00827FDB">
          <w:rPr>
            <w:rFonts w:ascii="Verdana" w:eastAsia="Aptos" w:hAnsi="Verdana" w:cs="Times New Roman"/>
            <w:color w:val="467886"/>
            <w:u w:val="single"/>
          </w:rPr>
          <w:t>eliananoy@hotmail.com</w:t>
        </w:r>
      </w:hyperlink>
      <w:r w:rsidR="00115293" w:rsidRPr="00827FDB">
        <w:rPr>
          <w:rFonts w:ascii="Verdana" w:eastAsia="Aptos" w:hAnsi="Verdana" w:cs="Times New Roman"/>
        </w:rPr>
        <w:t xml:space="preserve"> </w:t>
      </w:r>
    </w:p>
    <w:p w14:paraId="3173B939" w14:textId="77777777" w:rsidR="00115293" w:rsidRPr="00827FDB" w:rsidRDefault="00115293" w:rsidP="00115293">
      <w:pPr>
        <w:spacing w:after="0" w:line="240" w:lineRule="auto"/>
        <w:rPr>
          <w:rFonts w:ascii="Verdana" w:eastAsia="Calibri" w:hAnsi="Verdana" w:cs="Arial"/>
          <w:b/>
          <w:bCs/>
          <w:lang w:val="es-ES" w:eastAsia="es-ES"/>
        </w:rPr>
      </w:pPr>
      <w:r w:rsidRPr="00827FDB">
        <w:rPr>
          <w:rFonts w:ascii="Verdana" w:eastAsia="Calibri" w:hAnsi="Verdana" w:cs="Arial"/>
          <w:lang w:val="es-ES" w:eastAsia="es-ES"/>
        </w:rPr>
        <w:t>Tibasosa, Boyacá</w:t>
      </w:r>
    </w:p>
    <w:p w14:paraId="3F958E15" w14:textId="77777777" w:rsidR="00115293" w:rsidRPr="00827FDB" w:rsidRDefault="00115293" w:rsidP="00115293">
      <w:pPr>
        <w:spacing w:after="0" w:line="240" w:lineRule="auto"/>
        <w:rPr>
          <w:rFonts w:ascii="Verdana" w:eastAsia="Calibri" w:hAnsi="Verdana" w:cs="Arial"/>
          <w:b/>
          <w:bCs/>
          <w:lang w:val="es-ES_tradnl" w:eastAsia="es-ES_tradnl"/>
        </w:rPr>
      </w:pPr>
    </w:p>
    <w:p w14:paraId="67789551" w14:textId="77777777" w:rsidR="00115293" w:rsidRPr="00827FDB" w:rsidRDefault="00115293" w:rsidP="0011529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15293" w:rsidRPr="00827FDB" w14:paraId="5B9D4689" w14:textId="77777777" w:rsidTr="00450DAF">
        <w:trPr>
          <w:trHeight w:val="884"/>
        </w:trPr>
        <w:tc>
          <w:tcPr>
            <w:tcW w:w="2689" w:type="dxa"/>
          </w:tcPr>
          <w:p w14:paraId="18052E87" w14:textId="77777777" w:rsidR="00115293" w:rsidRPr="00827FDB" w:rsidRDefault="00115293" w:rsidP="00450DAF">
            <w:pPr>
              <w:jc w:val="both"/>
              <w:rPr>
                <w:rFonts w:ascii="Verdana" w:eastAsia="Calibri" w:hAnsi="Verdana" w:cs="Arial"/>
                <w:b/>
                <w:bCs/>
                <w:lang w:val="es-ES_tradnl" w:eastAsia="es-ES_tradnl"/>
              </w:rPr>
            </w:pPr>
          </w:p>
        </w:tc>
        <w:tc>
          <w:tcPr>
            <w:tcW w:w="6100" w:type="dxa"/>
          </w:tcPr>
          <w:p w14:paraId="19D6AC50" w14:textId="77777777" w:rsidR="00115293" w:rsidRPr="00827FDB" w:rsidRDefault="00115293" w:rsidP="00450DAF">
            <w:pPr>
              <w:jc w:val="both"/>
              <w:rPr>
                <w:rFonts w:ascii="Verdana" w:eastAsia="Calibri" w:hAnsi="Verdana" w:cs="Arial"/>
                <w:b/>
                <w:bCs/>
                <w:lang w:val="es-ES" w:eastAsia="es-ES"/>
              </w:rPr>
            </w:pPr>
            <w:r w:rsidRPr="00827FDB">
              <w:rPr>
                <w:rFonts w:ascii="Verdana" w:eastAsia="Calibri" w:hAnsi="Verdana" w:cs="Arial"/>
                <w:b/>
                <w:bCs/>
                <w:lang w:val="es-ES" w:eastAsia="es-ES"/>
              </w:rPr>
              <w:t>Concepto C-467 de 2024</w:t>
            </w:r>
          </w:p>
        </w:tc>
      </w:tr>
      <w:tr w:rsidR="00115293" w:rsidRPr="00827FDB" w14:paraId="6AD51E67" w14:textId="77777777" w:rsidTr="00450DAF">
        <w:trPr>
          <w:trHeight w:val="884"/>
        </w:trPr>
        <w:tc>
          <w:tcPr>
            <w:tcW w:w="2689" w:type="dxa"/>
          </w:tcPr>
          <w:p w14:paraId="3BA7EEEE" w14:textId="77777777" w:rsidR="00115293" w:rsidRPr="00827FDB" w:rsidRDefault="00115293" w:rsidP="00450DAF">
            <w:pPr>
              <w:jc w:val="both"/>
              <w:rPr>
                <w:rFonts w:ascii="Verdana" w:eastAsia="Calibri" w:hAnsi="Verdana" w:cs="Arial"/>
                <w:highlight w:val="yellow"/>
                <w:lang w:val="es-ES_tradnl" w:eastAsia="es-ES_tradnl"/>
              </w:rPr>
            </w:pPr>
            <w:r w:rsidRPr="00827FDB">
              <w:rPr>
                <w:rFonts w:ascii="Verdana" w:eastAsia="Calibri" w:hAnsi="Verdana" w:cs="Arial"/>
                <w:b/>
                <w:lang w:val="es-ES_tradnl" w:eastAsia="es-ES_tradnl"/>
              </w:rPr>
              <w:t>Temas:</w:t>
            </w:r>
            <w:r w:rsidRPr="00827FDB">
              <w:rPr>
                <w:rFonts w:ascii="Verdana" w:eastAsia="Calibri" w:hAnsi="Verdana" w:cs="Arial"/>
                <w:lang w:val="es-ES_tradnl" w:eastAsia="es-ES_tradnl"/>
              </w:rPr>
              <w:t xml:space="preserve">                   </w:t>
            </w:r>
          </w:p>
        </w:tc>
        <w:tc>
          <w:tcPr>
            <w:tcW w:w="6100" w:type="dxa"/>
          </w:tcPr>
          <w:p w14:paraId="3485EF49" w14:textId="77777777" w:rsidR="00115293" w:rsidRPr="00827FDB" w:rsidRDefault="00115293" w:rsidP="00450DAF">
            <w:pPr>
              <w:spacing w:line="276" w:lineRule="auto"/>
              <w:jc w:val="both"/>
              <w:rPr>
                <w:rFonts w:ascii="Verdana" w:eastAsia="Calibri" w:hAnsi="Verdana" w:cs="Arial"/>
                <w:highlight w:val="yellow"/>
                <w:lang w:val="es-ES" w:eastAsia="es-ES"/>
              </w:rPr>
            </w:pPr>
            <w:r w:rsidRPr="00827FDB">
              <w:rPr>
                <w:rFonts w:ascii="Verdana" w:eastAsia="Calibri" w:hAnsi="Verdana" w:cs="Arial"/>
                <w:lang w:val="es-ES" w:eastAsia="es-ES"/>
              </w:rPr>
              <w:t>ACTIVIDADES DE CIENCIA, TECNOLOGÍA E INNOVACIÓN – Marco jurídico – Actividades – Tipo de contratos o convenios / CONTRATACIÓN DIRECTA – Actividades de ciencia, tecnología e innovación – Circular externa única – Determinación de la entidad</w:t>
            </w:r>
          </w:p>
          <w:p w14:paraId="1139A0A9" w14:textId="77777777" w:rsidR="00115293" w:rsidRPr="00827FDB" w:rsidRDefault="00115293" w:rsidP="00450DAF">
            <w:pPr>
              <w:spacing w:line="276" w:lineRule="auto"/>
              <w:jc w:val="both"/>
              <w:rPr>
                <w:rFonts w:ascii="Verdana" w:eastAsia="Calibri" w:hAnsi="Verdana" w:cs="Arial"/>
                <w:highlight w:val="yellow"/>
                <w:lang w:val="es-ES" w:eastAsia="es-ES"/>
              </w:rPr>
            </w:pPr>
          </w:p>
        </w:tc>
      </w:tr>
      <w:tr w:rsidR="00115293" w:rsidRPr="00827FDB" w14:paraId="7BD5AEE9" w14:textId="77777777" w:rsidTr="00450DAF">
        <w:tc>
          <w:tcPr>
            <w:tcW w:w="2689" w:type="dxa"/>
          </w:tcPr>
          <w:p w14:paraId="0CFC394D" w14:textId="77777777" w:rsidR="00115293" w:rsidRPr="00827FDB" w:rsidRDefault="00115293" w:rsidP="00450DAF">
            <w:pPr>
              <w:jc w:val="both"/>
              <w:rPr>
                <w:rFonts w:ascii="Verdana" w:eastAsia="Calibri" w:hAnsi="Verdana" w:cs="Arial"/>
                <w:b/>
                <w:lang w:val="es-ES_tradnl" w:eastAsia="es-ES_tradnl"/>
              </w:rPr>
            </w:pPr>
            <w:r w:rsidRPr="00827FDB">
              <w:rPr>
                <w:rFonts w:ascii="Verdana" w:eastAsia="Calibri" w:hAnsi="Verdana" w:cs="Arial"/>
                <w:b/>
                <w:lang w:val="es-ES_tradnl" w:eastAsia="es-ES_tradnl"/>
              </w:rPr>
              <w:t>Radicación:</w:t>
            </w:r>
            <w:r w:rsidRPr="00827FDB">
              <w:rPr>
                <w:rFonts w:ascii="Verdana" w:eastAsia="Calibri" w:hAnsi="Verdana" w:cs="Arial"/>
                <w:lang w:val="es-ES_tradnl" w:eastAsia="es-ES_tradnl"/>
              </w:rPr>
              <w:t xml:space="preserve">               </w:t>
            </w:r>
          </w:p>
        </w:tc>
        <w:tc>
          <w:tcPr>
            <w:tcW w:w="6100" w:type="dxa"/>
          </w:tcPr>
          <w:p w14:paraId="432EF765" w14:textId="77777777" w:rsidR="00115293" w:rsidRPr="00827FDB" w:rsidRDefault="00115293" w:rsidP="00450DAF">
            <w:pPr>
              <w:jc w:val="both"/>
              <w:rPr>
                <w:rFonts w:ascii="Verdana" w:eastAsia="Calibri" w:hAnsi="Verdana" w:cs="Arial"/>
                <w:lang w:val="es-ES_tradnl" w:eastAsia="es-ES_tradnl"/>
              </w:rPr>
            </w:pPr>
            <w:r w:rsidRPr="00827FDB">
              <w:rPr>
                <w:rFonts w:ascii="Verdana" w:eastAsia="Calibri" w:hAnsi="Verdana" w:cs="Arial"/>
                <w:lang w:val="es-ES_tradnl" w:eastAsia="es-ES_tradnl"/>
              </w:rPr>
              <w:t>Respuesta a consulta con radicado No.  </w:t>
            </w:r>
            <w:bookmarkStart w:id="0" w:name="_GoBack"/>
            <w:r w:rsidRPr="00827FDB">
              <w:rPr>
                <w:rFonts w:ascii="Verdana" w:eastAsia="Calibri" w:hAnsi="Verdana" w:cs="Arial"/>
                <w:lang w:val="es-ES_tradnl" w:eastAsia="es-ES_tradnl"/>
              </w:rPr>
              <w:t>P20240913009368</w:t>
            </w:r>
            <w:bookmarkEnd w:id="0"/>
          </w:p>
        </w:tc>
      </w:tr>
    </w:tbl>
    <w:p w14:paraId="4FA41CF3" w14:textId="77777777" w:rsidR="00115293" w:rsidRPr="00827FDB" w:rsidRDefault="00115293" w:rsidP="00115293">
      <w:pPr>
        <w:spacing w:after="0" w:line="240" w:lineRule="auto"/>
        <w:jc w:val="both"/>
        <w:rPr>
          <w:rFonts w:ascii="Verdana" w:eastAsia="Calibri" w:hAnsi="Verdana" w:cs="Arial"/>
          <w:lang w:val="es-ES_tradnl" w:eastAsia="es-ES_tradnl"/>
        </w:rPr>
      </w:pPr>
    </w:p>
    <w:p w14:paraId="65F77D4D" w14:textId="77777777" w:rsidR="00115293" w:rsidRPr="00827FDB" w:rsidRDefault="00115293" w:rsidP="00115293">
      <w:pPr>
        <w:spacing w:after="0" w:line="240" w:lineRule="auto"/>
        <w:jc w:val="both"/>
        <w:rPr>
          <w:rFonts w:ascii="Verdana" w:eastAsia="Calibri" w:hAnsi="Verdana" w:cs="Arial"/>
          <w:lang w:val="es-ES_tradnl" w:eastAsia="es-ES_tradnl"/>
        </w:rPr>
      </w:pPr>
    </w:p>
    <w:p w14:paraId="628EE9CF" w14:textId="77777777" w:rsidR="00115293" w:rsidRPr="00827FDB" w:rsidRDefault="00115293" w:rsidP="00115293">
      <w:pPr>
        <w:spacing w:after="0" w:line="276" w:lineRule="auto"/>
        <w:jc w:val="both"/>
        <w:rPr>
          <w:rFonts w:ascii="Verdana" w:eastAsia="Calibri" w:hAnsi="Verdana" w:cs="Arial"/>
          <w:lang w:val="es-ES" w:eastAsia="es-ES"/>
        </w:rPr>
      </w:pPr>
      <w:r w:rsidRPr="00827FDB">
        <w:rPr>
          <w:rFonts w:ascii="Verdana" w:eastAsia="Calibri" w:hAnsi="Verdana" w:cs="Arial"/>
          <w:lang w:val="es-ES" w:eastAsia="es-ES"/>
        </w:rPr>
        <w:t xml:space="preserve">Estimada señora </w:t>
      </w:r>
      <w:proofErr w:type="spellStart"/>
      <w:r w:rsidRPr="00827FDB">
        <w:rPr>
          <w:rFonts w:ascii="Verdana" w:eastAsia="Calibri" w:hAnsi="Verdana" w:cs="Arial"/>
          <w:lang w:val="es-ES" w:eastAsia="es-ES"/>
        </w:rPr>
        <w:t>Noy</w:t>
      </w:r>
      <w:proofErr w:type="spellEnd"/>
      <w:r w:rsidRPr="00827FDB">
        <w:rPr>
          <w:rFonts w:ascii="Verdana" w:eastAsia="Calibri" w:hAnsi="Verdana" w:cs="Arial"/>
          <w:lang w:val="es-ES" w:eastAsia="es-ES"/>
        </w:rPr>
        <w:t xml:space="preserve">: </w:t>
      </w:r>
    </w:p>
    <w:p w14:paraId="1FAC8730" w14:textId="77777777" w:rsidR="00115293" w:rsidRPr="00827FDB" w:rsidRDefault="00115293" w:rsidP="00115293">
      <w:pPr>
        <w:tabs>
          <w:tab w:val="left" w:pos="3768"/>
        </w:tabs>
        <w:spacing w:after="0" w:line="276" w:lineRule="auto"/>
        <w:jc w:val="both"/>
        <w:rPr>
          <w:rFonts w:ascii="Verdana" w:eastAsia="Calibri" w:hAnsi="Verdana" w:cs="Arial"/>
          <w:lang w:val="es-ES" w:eastAsia="es-ES"/>
        </w:rPr>
      </w:pPr>
    </w:p>
    <w:p w14:paraId="38CAFFE0" w14:textId="77777777" w:rsidR="00115293" w:rsidRPr="00827FDB" w:rsidRDefault="00115293" w:rsidP="00115293">
      <w:pPr>
        <w:spacing w:after="0" w:line="276" w:lineRule="auto"/>
        <w:jc w:val="both"/>
        <w:rPr>
          <w:rFonts w:ascii="Verdana" w:eastAsia="Calibri" w:hAnsi="Verdana" w:cs="Arial"/>
          <w:lang w:val="es-ES" w:eastAsia="es-ES"/>
        </w:rPr>
      </w:pPr>
      <w:r w:rsidRPr="00827FDB">
        <w:rPr>
          <w:rFonts w:ascii="Verdana" w:eastAsia="Calibri" w:hAnsi="Verdana" w:cs="Arial"/>
          <w:lang w:val="es-ES" w:eastAsia="es-ES"/>
        </w:rPr>
        <w:t>En ejercicio de la competencia otorgada por los artículos 3, numeral 5º, y 11, numeral 8º, del Decreto Ley 4170 de 2011,</w:t>
      </w:r>
      <w:r w:rsidRPr="00827FDB">
        <w:rPr>
          <w:rFonts w:ascii="Verdana" w:eastAsia="Arial MT" w:hAnsi="Verdana" w:cs="Arial MT"/>
          <w:lang w:val="es-ES" w:eastAsia="es-ES"/>
        </w:rPr>
        <w:t xml:space="preserve"> </w:t>
      </w:r>
      <w:r w:rsidRPr="00827FDB">
        <w:rPr>
          <w:rFonts w:ascii="Verdana" w:eastAsia="Aptos" w:hAnsi="Verdana" w:cs="Arial"/>
        </w:rPr>
        <w:t xml:space="preserve">así como lo establecido en el artículo 4 de la Resolución 1707 de 2018 expedida por esta Entidad, </w:t>
      </w:r>
      <w:r w:rsidRPr="00827FDB">
        <w:rPr>
          <w:rFonts w:ascii="Verdana" w:eastAsia="Calibri" w:hAnsi="Verdana" w:cs="Arial"/>
          <w:lang w:val="es-ES" w:eastAsia="es-ES"/>
        </w:rPr>
        <w:t xml:space="preserve">la Agencia Nacional de Contratación Pública – Colombia Compra Eficiente– responde su solicitud de petición de fecha del 13 de septiembre de 2024, en la que realiza la siguiente consulta: </w:t>
      </w:r>
    </w:p>
    <w:p w14:paraId="5EC6FA22" w14:textId="77777777" w:rsidR="00115293" w:rsidRPr="00827FDB" w:rsidRDefault="00115293" w:rsidP="00115293">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1276C851" w14:textId="77777777" w:rsidR="00115293" w:rsidRPr="00827FDB" w:rsidRDefault="00115293" w:rsidP="00115293">
      <w:pPr>
        <w:tabs>
          <w:tab w:val="left" w:pos="709"/>
        </w:tabs>
        <w:spacing w:after="0" w:line="240" w:lineRule="auto"/>
        <w:ind w:left="709" w:right="709"/>
        <w:jc w:val="both"/>
        <w:rPr>
          <w:rFonts w:ascii="Verdana" w:eastAsia="Calibri" w:hAnsi="Verdana" w:cs="Arial"/>
          <w:sz w:val="21"/>
          <w:szCs w:val="21"/>
          <w:lang w:val="es-MX"/>
        </w:rPr>
      </w:pPr>
      <w:r w:rsidRPr="00827FDB">
        <w:rPr>
          <w:rFonts w:ascii="Verdana" w:eastAsia="Calibri" w:hAnsi="Verdana" w:cs="Arial"/>
          <w:sz w:val="21"/>
          <w:szCs w:val="21"/>
          <w:lang w:val="es-MX"/>
        </w:rPr>
        <w:t xml:space="preserve">“¿Se pueden celebrar convenios y/o contratos bajo las modalidades de contratación directa sobre las actividades de Ciencia, Tecnológica e innovación con RECURSOS PROPIOS de una entidad, o estos procesos </w:t>
      </w:r>
      <w:r w:rsidRPr="00827FDB">
        <w:rPr>
          <w:rFonts w:ascii="Verdana" w:eastAsia="Calibri" w:hAnsi="Verdana" w:cs="Arial"/>
          <w:sz w:val="21"/>
          <w:szCs w:val="21"/>
          <w:lang w:val="es-MX"/>
        </w:rPr>
        <w:lastRenderedPageBreak/>
        <w:t>solo se pueden celebrar con los recursos financiados con el sistema general de regalías</w:t>
      </w:r>
      <w:r w:rsidRPr="00827FDB">
        <w:rPr>
          <w:rFonts w:ascii="Verdana" w:eastAsia="Calibri" w:hAnsi="Verdana" w:cs="Arial"/>
          <w:sz w:val="21"/>
          <w:szCs w:val="21"/>
        </w:rPr>
        <w:t>?” [sic]</w:t>
      </w:r>
    </w:p>
    <w:p w14:paraId="71EF765B" w14:textId="77777777" w:rsidR="00115293" w:rsidRPr="00827FDB" w:rsidRDefault="00115293" w:rsidP="00115293">
      <w:pPr>
        <w:tabs>
          <w:tab w:val="left" w:pos="142"/>
          <w:tab w:val="left" w:pos="284"/>
        </w:tabs>
        <w:spacing w:line="276" w:lineRule="auto"/>
        <w:contextualSpacing/>
        <w:jc w:val="both"/>
        <w:rPr>
          <w:rFonts w:ascii="Verdana" w:eastAsia="Century Gothic" w:hAnsi="Verdana" w:cs="Century Gothic"/>
          <w:b/>
          <w:bCs/>
          <w:lang w:val="es-ES"/>
        </w:rPr>
      </w:pPr>
    </w:p>
    <w:p w14:paraId="0A9C8456" w14:textId="77777777" w:rsidR="00115293" w:rsidRPr="00827FDB" w:rsidRDefault="00115293" w:rsidP="00115293">
      <w:pPr>
        <w:spacing w:after="120" w:line="276" w:lineRule="auto"/>
        <w:ind w:firstLine="709"/>
        <w:jc w:val="both"/>
        <w:rPr>
          <w:rFonts w:ascii="Verdana" w:eastAsia="Calibri" w:hAnsi="Verdana" w:cs="Arial"/>
          <w:szCs w:val="24"/>
          <w:lang w:val="es-ES_tradnl" w:eastAsia="es-ES_tradnl"/>
        </w:rPr>
      </w:pPr>
      <w:r w:rsidRPr="00827FD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18D93B6" w14:textId="77777777" w:rsidR="00115293" w:rsidRPr="00827FDB" w:rsidRDefault="00115293" w:rsidP="00115293">
      <w:pPr>
        <w:spacing w:after="0" w:line="276" w:lineRule="auto"/>
        <w:ind w:firstLine="709"/>
        <w:jc w:val="both"/>
        <w:rPr>
          <w:rFonts w:ascii="Verdana" w:eastAsia="Calibri" w:hAnsi="Verdana" w:cs="Arial"/>
          <w:lang w:val="es-ES" w:eastAsia="es-ES"/>
        </w:rPr>
      </w:pPr>
      <w:r w:rsidRPr="00827FD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F687700" w14:textId="77777777" w:rsidR="00115293" w:rsidRPr="00827FDB" w:rsidRDefault="00115293" w:rsidP="00115293">
      <w:pPr>
        <w:spacing w:after="0" w:line="276" w:lineRule="auto"/>
        <w:ind w:firstLine="709"/>
        <w:jc w:val="both"/>
        <w:rPr>
          <w:rFonts w:ascii="Verdana" w:eastAsia="Calibri" w:hAnsi="Verdana" w:cs="Arial"/>
          <w:lang w:val="es-ES" w:eastAsia="es-ES"/>
        </w:rPr>
      </w:pPr>
    </w:p>
    <w:p w14:paraId="05A9F23A" w14:textId="77777777" w:rsidR="00115293" w:rsidRPr="00827FDB" w:rsidRDefault="00115293" w:rsidP="00115293">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827FDB">
        <w:rPr>
          <w:rFonts w:ascii="Verdana" w:eastAsia="Arial" w:hAnsi="Verdana" w:cs="Arial"/>
          <w:b/>
          <w:bCs/>
          <w:lang w:val="es-ES"/>
        </w:rPr>
        <w:t>1. Problema planteado:</w:t>
      </w:r>
    </w:p>
    <w:p w14:paraId="63BE4986" w14:textId="77777777" w:rsidR="00115293" w:rsidRPr="00827FDB" w:rsidRDefault="00115293" w:rsidP="00115293">
      <w:pPr>
        <w:tabs>
          <w:tab w:val="left" w:pos="426"/>
        </w:tabs>
        <w:spacing w:after="0" w:line="276" w:lineRule="auto"/>
        <w:jc w:val="both"/>
        <w:rPr>
          <w:rFonts w:ascii="Verdana" w:eastAsia="Century Gothic" w:hAnsi="Verdana" w:cs="Century Gothic"/>
          <w:lang w:val="es-ES"/>
        </w:rPr>
      </w:pPr>
    </w:p>
    <w:p w14:paraId="16178B33" w14:textId="77777777" w:rsidR="00115293" w:rsidRPr="00827FDB" w:rsidRDefault="00115293" w:rsidP="00115293">
      <w:pPr>
        <w:spacing w:after="0" w:line="276" w:lineRule="auto"/>
        <w:jc w:val="both"/>
        <w:rPr>
          <w:rFonts w:ascii="Verdana" w:eastAsia="Century Gothic" w:hAnsi="Verdana" w:cs="Century Gothic"/>
        </w:rPr>
      </w:pPr>
      <w:r w:rsidRPr="00827FDB">
        <w:rPr>
          <w:rFonts w:ascii="Verdana" w:eastAsia="Century Gothic" w:hAnsi="Verdana" w:cs="Century Gothic"/>
        </w:rPr>
        <w:t>De acuerdo con el contenido de su solicitud, le informamos que la misma se resolverá desde el siguiente problema jurídico:</w:t>
      </w:r>
      <w:bookmarkStart w:id="1" w:name="_Hlk171070029"/>
      <w:r w:rsidRPr="00827FDB">
        <w:rPr>
          <w:rFonts w:ascii="Verdana" w:eastAsia="Century Gothic" w:hAnsi="Verdana" w:cs="Century Gothic"/>
        </w:rPr>
        <w:t xml:space="preserve"> ¿qué actividades de ciencia, tecnología e innovación, pueden contratarse mediante la modalidad de selección de contratación directa?</w:t>
      </w:r>
    </w:p>
    <w:p w14:paraId="2043DE20" w14:textId="77777777" w:rsidR="00115293" w:rsidRPr="00827FDB" w:rsidRDefault="00115293" w:rsidP="00115293">
      <w:pPr>
        <w:spacing w:after="0" w:line="276" w:lineRule="auto"/>
        <w:jc w:val="both"/>
        <w:rPr>
          <w:rFonts w:ascii="Verdana" w:eastAsia="Calibri" w:hAnsi="Verdana" w:cs="Arial"/>
          <w:lang w:val="es-ES"/>
        </w:rPr>
      </w:pPr>
    </w:p>
    <w:bookmarkEnd w:id="1"/>
    <w:p w14:paraId="66AD26BF" w14:textId="77777777" w:rsidR="00115293" w:rsidRPr="00827FDB" w:rsidRDefault="00115293" w:rsidP="00115293">
      <w:pPr>
        <w:widowControl w:val="0"/>
        <w:autoSpaceDE w:val="0"/>
        <w:autoSpaceDN w:val="0"/>
        <w:spacing w:before="1" w:after="0" w:line="240" w:lineRule="auto"/>
        <w:jc w:val="both"/>
        <w:outlineLvl w:val="0"/>
        <w:rPr>
          <w:rFonts w:ascii="Verdana" w:eastAsia="Arial" w:hAnsi="Verdana" w:cs="Arial"/>
          <w:b/>
          <w:bCs/>
          <w:lang w:val="es-ES"/>
        </w:rPr>
      </w:pPr>
      <w:r w:rsidRPr="00827FDB">
        <w:rPr>
          <w:rFonts w:ascii="Verdana" w:eastAsia="Arial" w:hAnsi="Verdana" w:cs="Arial"/>
          <w:b/>
          <w:bCs/>
          <w:lang w:val="es-ES"/>
        </w:rPr>
        <w:t>2. Respuesta:</w:t>
      </w:r>
    </w:p>
    <w:p w14:paraId="1BB46546" w14:textId="77777777" w:rsidR="00115293" w:rsidRPr="00827FDB" w:rsidRDefault="00115293" w:rsidP="00115293">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15293" w:rsidRPr="00827FDB" w14:paraId="1D61E5C3" w14:textId="77777777" w:rsidTr="00450DAF">
        <w:tc>
          <w:tcPr>
            <w:tcW w:w="8828" w:type="dxa"/>
            <w:shd w:val="clear" w:color="auto" w:fill="auto"/>
          </w:tcPr>
          <w:p w14:paraId="729DF9E1" w14:textId="77777777" w:rsidR="00115293" w:rsidRDefault="00115293" w:rsidP="00450DAF">
            <w:pPr>
              <w:spacing w:line="276" w:lineRule="auto"/>
              <w:jc w:val="both"/>
              <w:rPr>
                <w:rFonts w:ascii="Verdana" w:eastAsia="Calibri" w:hAnsi="Verdana" w:cs="Arial"/>
                <w:lang w:val="es-ES"/>
              </w:rPr>
            </w:pPr>
            <w:bookmarkStart w:id="2" w:name="_Hlk171067516"/>
            <w:r w:rsidRPr="00827FDB">
              <w:rPr>
                <w:rFonts w:ascii="Verdana" w:eastAsia="Calibri" w:hAnsi="Verdana" w:cs="Arial"/>
                <w:lang w:val="es-ES"/>
              </w:rPr>
              <w:t xml:space="preserve">De acuerdo con lo indicado en la Circular Externa Única de esta Agencia, para que proceda la modalidad de selección de contratación directa, es necesario que la Entidad Estatal conforme a su necesidad, ejecute actividades de ciencia, tecnología e innovación por medio de la celebración de alguno de los siguientes contratos: </w:t>
            </w:r>
            <w:r w:rsidRPr="00827FDB">
              <w:rPr>
                <w:rFonts w:ascii="Verdana" w:eastAsia="Calibri" w:hAnsi="Verdana" w:cs="Arial"/>
                <w:i/>
                <w:iCs/>
                <w:lang w:val="es-ES"/>
              </w:rPr>
              <w:t>a) Convenios especiales de cooperación:</w:t>
            </w:r>
            <w:r w:rsidRPr="00827FDB">
              <w:rPr>
                <w:rFonts w:ascii="Verdana" w:eastAsia="Calibri" w:hAnsi="Verdana" w:cs="Arial"/>
                <w:lang w:val="es-ES"/>
              </w:rPr>
              <w:t xml:space="preserve"> este es celebrado para asociar recursos, capacitaciones y competencias interinstitucionales, y puede incluir el financiamiento y administración de proyectos. Este convenio se </w:t>
            </w:r>
            <w:r w:rsidRPr="00827FDB">
              <w:rPr>
                <w:rFonts w:ascii="Verdana" w:eastAsia="Calibri" w:hAnsi="Verdana" w:cs="Arial"/>
                <w:lang w:val="es-ES"/>
              </w:rPr>
              <w:lastRenderedPageBreak/>
              <w:t xml:space="preserve">encuentra regulado en los artículos 6, 7 y 8 del Decreto-Ley 393 de 1991 y en el artículo 17 del Decreto-Ley 591 de 1991; </w:t>
            </w:r>
            <w:r w:rsidRPr="00827FDB">
              <w:rPr>
                <w:rFonts w:ascii="Verdana" w:eastAsia="Calibri" w:hAnsi="Verdana" w:cs="Arial"/>
                <w:i/>
                <w:iCs/>
                <w:lang w:val="es-ES"/>
              </w:rPr>
              <w:t>b) Contratos de financiamiento:</w:t>
            </w:r>
            <w:r w:rsidRPr="00827FDB">
              <w:rPr>
                <w:rFonts w:ascii="Verdana" w:eastAsia="Calibri" w:hAnsi="Verdana" w:cs="Arial"/>
                <w:lang w:val="es-ES"/>
              </w:rPr>
              <w:t xml:space="preserve"> se celebra para financiar actividades científicas, tecnológicas y de innovación, con los alcances definidos en el artículo 8 del Decreto-Ley 591 de 1991; </w:t>
            </w:r>
            <w:r w:rsidRPr="00827FDB">
              <w:rPr>
                <w:rFonts w:ascii="Verdana" w:eastAsia="Calibri" w:hAnsi="Verdana" w:cs="Arial"/>
                <w:i/>
                <w:iCs/>
                <w:lang w:val="es-ES"/>
              </w:rPr>
              <w:t xml:space="preserve">c) Contratos de administración de proyectos: </w:t>
            </w:r>
            <w:r w:rsidRPr="00827FDB">
              <w:rPr>
                <w:rFonts w:ascii="Verdana" w:eastAsia="Calibri" w:hAnsi="Verdana" w:cs="Arial"/>
                <w:lang w:val="es-ES"/>
              </w:rPr>
              <w:t>están reguladas en el artículo 9 del Decreto-Ley 591 de 1991, y tienen como propósito encargar a un tercero idóneo para llevar a cabo actividades de ciencia, tecnología e innovación para la gestión y ejecución de un proyecto en estas materias.</w:t>
            </w:r>
          </w:p>
          <w:p w14:paraId="31882992" w14:textId="77777777" w:rsidR="00115293" w:rsidRPr="00941CAD" w:rsidRDefault="00115293" w:rsidP="00450DAF">
            <w:pPr>
              <w:spacing w:after="120" w:line="276" w:lineRule="auto"/>
              <w:ind w:firstLine="708"/>
              <w:jc w:val="both"/>
              <w:rPr>
                <w:rFonts w:ascii="Verdana" w:eastAsia="Calibri" w:hAnsi="Verdana" w:cs="Arial"/>
                <w:lang w:val="es-ES"/>
              </w:rPr>
            </w:pPr>
            <w:r w:rsidRPr="00941CAD">
              <w:rPr>
                <w:rFonts w:ascii="Verdana" w:eastAsia="Calibri" w:hAnsi="Verdana" w:cs="Arial"/>
                <w:lang w:val="es-ES"/>
              </w:rPr>
              <w:t>Con base en lo anterior, se establece que los contratos que se celebren con el objeto de fomentar la ciencia y tecnología se encuentran regulados en sus aspectos sustantivos por las normas especiales de los Decretos – leyes 393 y 591 de 1991</w:t>
            </w:r>
            <w:r w:rsidRPr="00941CAD">
              <w:rPr>
                <w:rFonts w:ascii="Verdana" w:eastAsia="Calibri" w:hAnsi="Verdana" w:cs="Arial"/>
                <w:lang w:val="es-ES"/>
              </w:rPr>
              <w:footnoteReference w:id="1"/>
            </w:r>
            <w:r w:rsidRPr="00941CAD">
              <w:rPr>
                <w:rFonts w:ascii="Verdana" w:eastAsia="Calibri" w:hAnsi="Verdana" w:cs="Arial"/>
                <w:lang w:val="es-ES"/>
              </w:rPr>
              <w:t xml:space="preserve">, y están sujetos a la Ley 80 de 1993, Ley 1150 de 2007 y </w:t>
            </w:r>
            <w:proofErr w:type="spellStart"/>
            <w:r w:rsidRPr="00941CAD">
              <w:rPr>
                <w:rFonts w:ascii="Verdana" w:eastAsia="Calibri" w:hAnsi="Verdana" w:cs="Arial"/>
                <w:lang w:val="es-ES"/>
              </w:rPr>
              <w:t>demas</w:t>
            </w:r>
            <w:proofErr w:type="spellEnd"/>
            <w:r w:rsidRPr="00941CAD">
              <w:rPr>
                <w:rFonts w:ascii="Verdana" w:eastAsia="Calibri" w:hAnsi="Verdana" w:cs="Arial"/>
                <w:lang w:val="es-ES"/>
              </w:rPr>
              <w:t xml:space="preserve"> normas del EGACP.</w:t>
            </w:r>
          </w:p>
          <w:p w14:paraId="4FAF9131" w14:textId="77777777" w:rsidR="00115293" w:rsidRPr="00827FDB" w:rsidRDefault="00115293" w:rsidP="00450DAF">
            <w:pPr>
              <w:spacing w:line="276" w:lineRule="auto"/>
              <w:jc w:val="both"/>
              <w:rPr>
                <w:rFonts w:ascii="Verdana" w:eastAsia="Calibri" w:hAnsi="Verdana" w:cs="Arial"/>
                <w:lang w:val="es-ES"/>
              </w:rPr>
            </w:pPr>
          </w:p>
        </w:tc>
      </w:tr>
      <w:bookmarkEnd w:id="2"/>
    </w:tbl>
    <w:p w14:paraId="4FB81EF7" w14:textId="77777777" w:rsidR="00115293" w:rsidRPr="00827FDB" w:rsidRDefault="00115293" w:rsidP="00115293">
      <w:pPr>
        <w:widowControl w:val="0"/>
        <w:autoSpaceDE w:val="0"/>
        <w:autoSpaceDN w:val="0"/>
        <w:spacing w:before="1" w:after="0" w:line="240" w:lineRule="auto"/>
        <w:ind w:left="360" w:hanging="360"/>
        <w:outlineLvl w:val="0"/>
        <w:rPr>
          <w:rFonts w:ascii="Verdana" w:eastAsia="Arial" w:hAnsi="Verdana" w:cs="Arial"/>
          <w:b/>
          <w:bCs/>
          <w:lang w:val="es-ES"/>
        </w:rPr>
      </w:pPr>
    </w:p>
    <w:p w14:paraId="6588BB40" w14:textId="77777777" w:rsidR="00115293" w:rsidRPr="00827FDB" w:rsidRDefault="00115293" w:rsidP="00115293">
      <w:pPr>
        <w:widowControl w:val="0"/>
        <w:autoSpaceDE w:val="0"/>
        <w:autoSpaceDN w:val="0"/>
        <w:spacing w:before="1" w:after="0" w:line="240" w:lineRule="auto"/>
        <w:ind w:left="360" w:hanging="360"/>
        <w:outlineLvl w:val="0"/>
        <w:rPr>
          <w:rFonts w:ascii="Verdana" w:eastAsia="Arial" w:hAnsi="Verdana" w:cs="Arial"/>
          <w:b/>
          <w:bCs/>
          <w:lang w:val="es-ES"/>
        </w:rPr>
      </w:pPr>
      <w:r w:rsidRPr="00827FDB">
        <w:rPr>
          <w:rFonts w:ascii="Verdana" w:eastAsia="Arial" w:hAnsi="Verdana" w:cs="Arial"/>
          <w:b/>
          <w:bCs/>
          <w:lang w:val="es-ES"/>
        </w:rPr>
        <w:t>3. Razones de la respuesta</w:t>
      </w:r>
    </w:p>
    <w:p w14:paraId="49847811" w14:textId="77777777" w:rsidR="00115293" w:rsidRPr="00827FDB" w:rsidRDefault="00115293" w:rsidP="00115293">
      <w:pPr>
        <w:spacing w:after="0" w:line="276" w:lineRule="auto"/>
        <w:jc w:val="both"/>
        <w:rPr>
          <w:rFonts w:ascii="Verdana" w:eastAsia="Calibri" w:hAnsi="Verdana" w:cs="Arial"/>
          <w:lang w:val="es-ES"/>
        </w:rPr>
      </w:pPr>
    </w:p>
    <w:p w14:paraId="79FEFAA4" w14:textId="77777777" w:rsidR="00115293" w:rsidRPr="00827FDB" w:rsidRDefault="00115293" w:rsidP="00115293">
      <w:pPr>
        <w:spacing w:after="0" w:line="276" w:lineRule="auto"/>
        <w:jc w:val="both"/>
        <w:rPr>
          <w:rFonts w:ascii="Verdana" w:eastAsia="Calibri" w:hAnsi="Verdana" w:cs="Arial"/>
          <w:lang w:val="es-ES"/>
        </w:rPr>
      </w:pPr>
      <w:r w:rsidRPr="00827FDB">
        <w:rPr>
          <w:rFonts w:ascii="Verdana" w:eastAsia="Calibri" w:hAnsi="Verdana" w:cs="Arial"/>
          <w:lang w:val="es-ES"/>
        </w:rPr>
        <w:t xml:space="preserve">La respuesta anterior se sustenta en las siguientes consideraciones: </w:t>
      </w:r>
    </w:p>
    <w:p w14:paraId="45E256F2" w14:textId="77777777" w:rsidR="00115293" w:rsidRPr="00827FDB" w:rsidRDefault="00115293" w:rsidP="00115293">
      <w:pPr>
        <w:spacing w:after="0" w:line="276" w:lineRule="auto"/>
        <w:contextualSpacing/>
        <w:jc w:val="both"/>
        <w:rPr>
          <w:rFonts w:ascii="Verdana" w:eastAsia="Calibri" w:hAnsi="Verdana" w:cs="Arial"/>
          <w:lang w:val="es-ES"/>
        </w:rPr>
      </w:pPr>
    </w:p>
    <w:p w14:paraId="172E5503" w14:textId="77777777" w:rsidR="00115293" w:rsidRPr="00827FDB" w:rsidRDefault="00115293" w:rsidP="00115293">
      <w:pPr>
        <w:pStyle w:val="Prrafodelista"/>
        <w:numPr>
          <w:ilvl w:val="0"/>
          <w:numId w:val="4"/>
        </w:numPr>
        <w:spacing w:line="276" w:lineRule="auto"/>
        <w:jc w:val="both"/>
        <w:rPr>
          <w:rFonts w:ascii="Verdana" w:eastAsia="Calibri" w:hAnsi="Verdana" w:cs="Arial"/>
          <w:shd w:val="clear" w:color="auto" w:fill="FFFFFF"/>
        </w:rPr>
      </w:pPr>
      <w:bookmarkStart w:id="3" w:name="_Hlk173311098"/>
      <w:r w:rsidRPr="00827FDB">
        <w:rPr>
          <w:rFonts w:ascii="Verdana" w:eastAsia="Calibri" w:hAnsi="Verdana" w:cs="Arial"/>
          <w:shd w:val="clear" w:color="auto" w:fill="FFFFFF"/>
        </w:rPr>
        <w:t>De manera inicial es conveniente realizar algunas precisiones conceptuales y de regulación normativa referente a las actividades de ciencia, tecnología e innovación. Lo primero es destacar que, desde antes de la Constitución Política de 1991 ya existía un marco legislativo que regulaba la especial naturaleza de las materias relacionadas con la ciencia y tecnología. En particular, la Ley 29 de 1990 “por la cual se dictan disposiciones para el fomento de la investigación científica y el desarrollo tecnológico y se otorgan facultades extraordinarias”, estableció en el artículo 1° que:</w:t>
      </w:r>
    </w:p>
    <w:p w14:paraId="6780186C" w14:textId="77777777" w:rsidR="00115293" w:rsidRPr="00827FDB" w:rsidRDefault="00115293" w:rsidP="00115293">
      <w:pPr>
        <w:spacing w:line="276" w:lineRule="auto"/>
        <w:ind w:left="720"/>
        <w:contextualSpacing/>
        <w:jc w:val="both"/>
        <w:rPr>
          <w:rFonts w:ascii="Verdana" w:eastAsia="Calibri" w:hAnsi="Verdana" w:cs="Arial"/>
          <w:shd w:val="clear" w:color="auto" w:fill="FFFFFF"/>
        </w:rPr>
      </w:pPr>
    </w:p>
    <w:p w14:paraId="3835DA40" w14:textId="77777777" w:rsidR="00115293" w:rsidRPr="00827FDB" w:rsidRDefault="00115293" w:rsidP="00115293">
      <w:pPr>
        <w:spacing w:line="240" w:lineRule="auto"/>
        <w:ind w:left="1416" w:right="1417"/>
        <w:contextualSpacing/>
        <w:jc w:val="both"/>
        <w:rPr>
          <w:rFonts w:ascii="Verdana" w:eastAsia="Calibri" w:hAnsi="Verdana" w:cs="Arial"/>
          <w:sz w:val="20"/>
          <w:szCs w:val="20"/>
          <w:shd w:val="clear" w:color="auto" w:fill="FFFFFF"/>
        </w:rPr>
      </w:pPr>
      <w:r w:rsidRPr="00827FDB">
        <w:rPr>
          <w:rFonts w:ascii="Verdana" w:eastAsia="Calibri" w:hAnsi="Verdana" w:cs="Arial"/>
          <w:sz w:val="20"/>
          <w:szCs w:val="20"/>
          <w:shd w:val="clear" w:color="auto" w:fill="FFFFFF"/>
        </w:rPr>
        <w:t xml:space="preserve">“corresponde al Estado promover y orientar el adelanto científico y tecnológico y, por lo mismo, está obligado a incorporar la ciencia y tecnología a los planes y programas de desarrollo económico y social del país y a formular planes de ciencia y tecnología tanto para el mediano como para el largo plazo. Así mismo, deberá establecer los mecanismos </w:t>
      </w:r>
      <w:r w:rsidRPr="00827FDB">
        <w:rPr>
          <w:rFonts w:ascii="Verdana" w:eastAsia="Calibri" w:hAnsi="Verdana" w:cs="Arial"/>
          <w:sz w:val="20"/>
          <w:szCs w:val="20"/>
          <w:shd w:val="clear" w:color="auto" w:fill="FFFFFF"/>
        </w:rPr>
        <w:lastRenderedPageBreak/>
        <w:t>de relación entre sus actividades de desarrollo científico y tecnológico y las que, en los mismos campos, adelanten la universidad, la comunidad científica y el sector privado colombianos”.</w:t>
      </w:r>
    </w:p>
    <w:p w14:paraId="05029C20" w14:textId="77777777" w:rsidR="00115293" w:rsidRPr="00827FDB" w:rsidRDefault="00115293" w:rsidP="00115293">
      <w:pPr>
        <w:spacing w:line="276" w:lineRule="auto"/>
        <w:ind w:left="720"/>
        <w:contextualSpacing/>
        <w:jc w:val="both"/>
        <w:rPr>
          <w:rFonts w:ascii="Verdana" w:eastAsia="Aptos" w:hAnsi="Verdana" w:cs="Arial"/>
          <w:lang w:val="es-ES_tradnl" w:eastAsia="es-MX"/>
        </w:rPr>
      </w:pPr>
    </w:p>
    <w:p w14:paraId="502C270E" w14:textId="77777777" w:rsidR="00115293" w:rsidRPr="00827FDB" w:rsidRDefault="00115293" w:rsidP="00115293">
      <w:pPr>
        <w:numPr>
          <w:ilvl w:val="0"/>
          <w:numId w:val="3"/>
        </w:numPr>
        <w:contextualSpacing/>
        <w:jc w:val="both"/>
        <w:rPr>
          <w:rFonts w:ascii="Verdana" w:eastAsia="Aptos" w:hAnsi="Verdana" w:cs="Arial"/>
          <w:lang w:val="es-ES" w:eastAsia="es-MX"/>
        </w:rPr>
      </w:pPr>
      <w:r w:rsidRPr="191EF39D">
        <w:rPr>
          <w:rFonts w:ascii="Verdana" w:eastAsia="Aptos" w:hAnsi="Verdana" w:cs="Arial"/>
          <w:lang w:val="es-ES" w:eastAsia="es-MX"/>
        </w:rPr>
        <w:t>De tal manera, la ley en cita otorgó facultades extraordinarias dictadas que le permitirían al Gobierno Nacional dictar una serie de normas que debían ser acatadas por las entidades de orden nacional y aquellas entidades descentralizadas, con el fin de que pudieran asociarse con particulares para desarrollar actividades científicas y tecnológicas, avanzar en proyectos de investigación y creación de nuevas tecnologías. En un segundo plano, las normas a expedir debían regular las modalidades específicas de los contratos mediante los cuales fuera posible el fomento de actividades científicas y tecnológicas.</w:t>
      </w:r>
    </w:p>
    <w:p w14:paraId="48E31D1A" w14:textId="77777777" w:rsidR="00115293" w:rsidRPr="00827FDB" w:rsidRDefault="00115293" w:rsidP="00115293">
      <w:pPr>
        <w:ind w:left="720"/>
        <w:contextualSpacing/>
        <w:rPr>
          <w:rFonts w:ascii="Verdana" w:eastAsia="Aptos" w:hAnsi="Verdana" w:cs="Arial"/>
          <w:lang w:val="es-ES_tradnl" w:eastAsia="es-MX"/>
        </w:rPr>
      </w:pPr>
    </w:p>
    <w:p w14:paraId="4BE04031" w14:textId="77777777" w:rsidR="00115293" w:rsidRPr="00827FDB" w:rsidRDefault="00115293" w:rsidP="00115293">
      <w:pPr>
        <w:numPr>
          <w:ilvl w:val="0"/>
          <w:numId w:val="3"/>
        </w:numPr>
        <w:contextualSpacing/>
        <w:jc w:val="both"/>
        <w:rPr>
          <w:rFonts w:ascii="Verdana" w:eastAsia="Aptos" w:hAnsi="Verdana" w:cs="Arial"/>
          <w:lang w:val="es-ES_tradnl" w:eastAsia="es-MX"/>
        </w:rPr>
      </w:pPr>
      <w:r w:rsidRPr="00827FDB">
        <w:rPr>
          <w:rFonts w:ascii="Verdana" w:eastAsia="Aptos" w:hAnsi="Verdana" w:cs="Arial"/>
          <w:lang w:val="es-ES_tradnl" w:eastAsia="es-MX"/>
        </w:rPr>
        <w:t>En ese sentido, haciendo uso de las facultades extraordinarias otorgadas en la Ley 29 de 1990 el Gobierno Nacional expidió el Decreto 393 de 1991 “Por el cual se dictan normas sobre asociación para actividades científicas y tecnológicas, proyectos de investigación y creación de tecnologías”, y el Decreto 591 de la misma anualidad “por el cual se regulan las modalidades específicas de contratos de fomento de actividades científicas y tecnológicas”. Ambos vigentes parcialmente a la fecha, con la regulación de manera sustancial sobre los contratos para desarrollar dichas actividades, incluido el convenio especial de cooperación que nos ocupa en esta respuesta y del que se profundizará con posterioridad.</w:t>
      </w:r>
    </w:p>
    <w:p w14:paraId="750B7828" w14:textId="77777777" w:rsidR="00115293" w:rsidRPr="00827FDB" w:rsidRDefault="00115293" w:rsidP="00115293">
      <w:pPr>
        <w:ind w:left="720"/>
        <w:contextualSpacing/>
        <w:rPr>
          <w:rFonts w:ascii="Verdana" w:eastAsia="Aptos" w:hAnsi="Verdana" w:cs="Arial"/>
          <w:lang w:val="es-ES_tradnl" w:eastAsia="es-MX"/>
        </w:rPr>
      </w:pPr>
    </w:p>
    <w:p w14:paraId="540D86FF" w14:textId="77777777" w:rsidR="00115293" w:rsidRPr="00827FDB" w:rsidRDefault="00115293" w:rsidP="00115293">
      <w:pPr>
        <w:numPr>
          <w:ilvl w:val="0"/>
          <w:numId w:val="3"/>
        </w:numPr>
        <w:spacing w:before="120" w:after="0" w:line="276" w:lineRule="auto"/>
        <w:contextualSpacing/>
        <w:jc w:val="both"/>
        <w:textAlignment w:val="baseline"/>
        <w:rPr>
          <w:rFonts w:ascii="Verdana" w:eastAsia="Aptos" w:hAnsi="Verdana" w:cs="Arial"/>
          <w:lang w:val="es-ES" w:eastAsia="es-MX"/>
        </w:rPr>
      </w:pPr>
      <w:r w:rsidRPr="00827FDB">
        <w:rPr>
          <w:rFonts w:ascii="Verdana" w:eastAsia="Aptos" w:hAnsi="Verdana" w:cs="Arial"/>
          <w:lang w:val="es-ES" w:eastAsia="es-MX"/>
        </w:rPr>
        <w:t xml:space="preserve">Ahora bien, 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827FDB">
        <w:rPr>
          <w:rFonts w:ascii="Verdana" w:eastAsia="Aptos" w:hAnsi="Verdana" w:cs="Arial"/>
          <w:lang w:val="es-ES" w:eastAsia="es-MX"/>
        </w:rPr>
        <w:t>ii</w:t>
      </w:r>
      <w:proofErr w:type="spellEnd"/>
      <w:r w:rsidRPr="00827FDB">
        <w:rPr>
          <w:rFonts w:ascii="Verdana" w:eastAsia="Aptos" w:hAnsi="Verdana" w:cs="Arial"/>
          <w:lang w:val="es-ES" w:eastAsia="es-MX"/>
        </w:rPr>
        <w:t xml:space="preserve">) el Decreto Ley 591 de 1991, que enlista actividades científicas y tecnológicas y, a pesar de que su propósito principal era regular las modalidades específicas de contratos de fomento de esas actividades, individualizó las siguientes modalidades de contratos para el fomento de las actividades científicas, tecnológicas y de innovación: los contratos de financiamiento, los de administración de proyectos; los contratos de fiducia; los de prestación de servicios científicos y tecnológicos; los contratos de consultoría científica o tecnológica; los contratos de obra </w:t>
      </w:r>
      <w:r w:rsidRPr="00827FDB">
        <w:rPr>
          <w:rFonts w:ascii="Verdana" w:eastAsia="Aptos" w:hAnsi="Verdana" w:cs="Arial"/>
          <w:lang w:val="es-ES" w:eastAsia="es-MX"/>
        </w:rPr>
        <w:lastRenderedPageBreak/>
        <w:t xml:space="preserve">pública, los contratos de consultoría e interventoría en obra pública; los contratos de arrendamiento, los contratos de compraventa y permuta y suministro de bienes muebles; los contratos de donación, y por último, los convenios especiales de contratación ya previstos por el Decreto 393 de 1991; posteriormente, la Ley 80 de 1993 derogó las disposiciones del Decreto 591 Ibidem, con excepción de las normas que individualizan y caracterizan los contratos de financiamiento (artículo 8°), los de administración de proyectos (artículo 9) y los convenios especiales de cooperación (artículo 7); </w:t>
      </w:r>
      <w:proofErr w:type="spellStart"/>
      <w:r w:rsidRPr="00827FDB">
        <w:rPr>
          <w:rFonts w:ascii="Verdana" w:eastAsia="Aptos" w:hAnsi="Verdana" w:cs="Arial"/>
          <w:lang w:val="es-ES" w:eastAsia="es-MX"/>
        </w:rPr>
        <w:t>iii</w:t>
      </w:r>
      <w:proofErr w:type="spellEnd"/>
      <w:r w:rsidRPr="00827FDB">
        <w:rPr>
          <w:rFonts w:ascii="Verdana" w:eastAsia="Aptos" w:hAnsi="Verdana" w:cs="Arial"/>
          <w:lang w:val="es-ES" w:eastAsia="es-MX"/>
        </w:rPr>
        <w:t xml:space="preserve">) artículo 33 de la Ley 1286 de 2009 ; y </w:t>
      </w:r>
      <w:proofErr w:type="spellStart"/>
      <w:r w:rsidRPr="00827FDB">
        <w:rPr>
          <w:rFonts w:ascii="Verdana" w:eastAsia="Aptos" w:hAnsi="Verdana" w:cs="Arial"/>
          <w:lang w:val="es-ES" w:eastAsia="es-MX"/>
        </w:rPr>
        <w:t>iv</w:t>
      </w:r>
      <w:proofErr w:type="spellEnd"/>
      <w:r w:rsidRPr="00827FDB">
        <w:rPr>
          <w:rFonts w:ascii="Verdana" w:eastAsia="Aptos" w:hAnsi="Verdana" w:cs="Arial"/>
          <w:lang w:val="es-ES" w:eastAsia="es-MX"/>
        </w:rPr>
        <w:t>) el Documento CONPES 4069 de 2021, donde se definen cuáles son estas actividades de los actores del Sistema Nacional de Ciencia, Tecnología e Innovación.</w:t>
      </w:r>
    </w:p>
    <w:p w14:paraId="2600D734" w14:textId="77777777" w:rsidR="00115293" w:rsidRPr="00827FDB" w:rsidRDefault="00115293" w:rsidP="00115293">
      <w:pPr>
        <w:spacing w:before="120" w:after="0" w:line="276" w:lineRule="auto"/>
        <w:ind w:left="720"/>
        <w:contextualSpacing/>
        <w:jc w:val="both"/>
        <w:textAlignment w:val="baseline"/>
        <w:rPr>
          <w:rFonts w:ascii="Verdana" w:eastAsia="Aptos" w:hAnsi="Verdana" w:cs="Arial"/>
          <w:lang w:val="es-ES" w:eastAsia="es-MX"/>
        </w:rPr>
      </w:pPr>
    </w:p>
    <w:p w14:paraId="094CB551" w14:textId="77777777" w:rsidR="00115293" w:rsidRPr="00827FDB" w:rsidRDefault="00115293" w:rsidP="00115293">
      <w:pPr>
        <w:numPr>
          <w:ilvl w:val="0"/>
          <w:numId w:val="2"/>
        </w:numPr>
        <w:tabs>
          <w:tab w:val="left" w:pos="709"/>
        </w:tabs>
        <w:spacing w:before="120" w:after="120" w:line="276" w:lineRule="auto"/>
        <w:contextualSpacing/>
        <w:jc w:val="both"/>
        <w:rPr>
          <w:rFonts w:ascii="Verdana" w:eastAsia="Calibri" w:hAnsi="Verdana" w:cs="Arial"/>
          <w:shd w:val="clear" w:color="auto" w:fill="FFFFFF"/>
        </w:rPr>
      </w:pPr>
      <w:r w:rsidRPr="00827FDB">
        <w:rPr>
          <w:rFonts w:ascii="Verdana" w:eastAsia="Aptos" w:hAnsi="Verdana" w:cs="Arial"/>
          <w:bCs/>
        </w:rPr>
        <w:t>Así las cosas, para contratar las actividades de ciencia, tecnología e innovación las normas prevén tipos de contrato cuya aplicación depende de las características del objeto que se ejecutará.</w:t>
      </w:r>
      <w:r w:rsidRPr="00827FDB">
        <w:rPr>
          <w:rFonts w:ascii="Aptos" w:eastAsia="Aptos" w:hAnsi="Aptos" w:cs="Times New Roman"/>
        </w:rPr>
        <w:t xml:space="preserve"> </w:t>
      </w:r>
      <w:r w:rsidRPr="00827FDB">
        <w:rPr>
          <w:rFonts w:ascii="Verdana" w:eastAsia="Aptos" w:hAnsi="Verdana" w:cs="Arial"/>
          <w:bCs/>
        </w:rPr>
        <w:t>Como se aprecia de su lectura, la ley especial prevé dos formas de asociación que tienen las entidades públicas con los particulares para la realización de las actividades de ciencia y tecnología: la creación de nuevas personas jurídicas, y la simple asociación convencional mediante acuerdos de cooperación. Cabe mencionar la correspondencia que existe entre las reglas transcritas y la ley 489 de 1998, que autoriza a las entidades públicas para asociarse con los particulares bajo las mismas modalidades, con el fin de desarrollar en forma conjunta “actividades en relación con los cometidos y funciones que les asigna a aquellas la ley.”, precisando que en estos casos, el término convenio lo utiliza la ley para resaltar la cooperación o colaboración entre entidades públicas y entre éstas y los particulares, de lo cual permite definir el uso de la misma expresión para referirse a los acuerdos de colaboración en esta materia, con el fin de distinguirlos de los contratos que serían aquellos estrictamente conmutativos.</w:t>
      </w:r>
    </w:p>
    <w:p w14:paraId="5ED4AC95" w14:textId="77777777" w:rsidR="00115293" w:rsidRPr="00827FDB" w:rsidRDefault="00115293" w:rsidP="00115293">
      <w:pPr>
        <w:ind w:left="720"/>
        <w:contextualSpacing/>
        <w:rPr>
          <w:rFonts w:ascii="Verdana" w:eastAsia="Calibri" w:hAnsi="Verdana" w:cs="Arial"/>
          <w:shd w:val="clear" w:color="auto" w:fill="FFFFFF"/>
        </w:rPr>
      </w:pPr>
    </w:p>
    <w:p w14:paraId="1FEDA6E6" w14:textId="77777777" w:rsidR="00115293" w:rsidRPr="00827FDB" w:rsidRDefault="00115293" w:rsidP="00115293">
      <w:pPr>
        <w:numPr>
          <w:ilvl w:val="0"/>
          <w:numId w:val="2"/>
        </w:numPr>
        <w:spacing w:before="120" w:line="276" w:lineRule="auto"/>
        <w:contextualSpacing/>
        <w:jc w:val="both"/>
        <w:rPr>
          <w:rFonts w:ascii="Verdana" w:eastAsia="Calibri" w:hAnsi="Verdana" w:cs="Arial"/>
          <w:shd w:val="clear" w:color="auto" w:fill="FFFFFF"/>
        </w:rPr>
      </w:pPr>
      <w:r w:rsidRPr="00827FDB">
        <w:rPr>
          <w:rFonts w:ascii="Verdana" w:eastAsia="Calibri" w:hAnsi="Verdana" w:cs="Arial"/>
          <w:shd w:val="clear" w:color="auto" w:fill="FFFFFF"/>
        </w:rPr>
        <w:t>También es necesario tener en cuenta que la Ley 1150 de 2007, en el artículo 2, numeral 4, literal e), señala como causal de contratación directa de la siguiente manera: “Los contratos para el desarrollo de actividades científicas y tecnológicas”.</w:t>
      </w:r>
      <w:r w:rsidRPr="00827FDB">
        <w:rPr>
          <w:rFonts w:ascii="Aptos" w:eastAsia="Aptos" w:hAnsi="Aptos" w:cs="Times New Roman"/>
        </w:rPr>
        <w:t xml:space="preserve"> </w:t>
      </w:r>
      <w:r w:rsidRPr="00827FDB">
        <w:rPr>
          <w:rFonts w:ascii="Verdana" w:eastAsia="Calibri" w:hAnsi="Verdana" w:cs="Arial"/>
          <w:shd w:val="clear" w:color="auto" w:fill="FFFFFF"/>
        </w:rPr>
        <w:t xml:space="preserve">Por su parte, la Agencia Nacional de Contratación Pública ‒ Colombia Compra Eficiente, teniendo en cuenta las normas mencionadas, expidió la Circular Externa Única, que además </w:t>
      </w:r>
      <w:r w:rsidRPr="00827FDB">
        <w:rPr>
          <w:rFonts w:ascii="Verdana" w:eastAsia="Calibri" w:hAnsi="Verdana" w:cs="Arial"/>
          <w:shd w:val="clear" w:color="auto" w:fill="FFFFFF"/>
        </w:rPr>
        <w:lastRenderedPageBreak/>
        <w:t>de derogar las Circulares Externas anteriores, en el numeral 15, señala la normativa de la contratación de actividades de ciencia, tecnología e innovación y dispone algunas consideraciones sobre las tipologías contractuales aplicables, y el régimen de supervisión e interventoría aplicable para dichas actividades.</w:t>
      </w:r>
    </w:p>
    <w:p w14:paraId="7B288611" w14:textId="77777777" w:rsidR="00115293" w:rsidRPr="00827FDB" w:rsidRDefault="00115293" w:rsidP="00115293">
      <w:pPr>
        <w:ind w:left="720"/>
        <w:contextualSpacing/>
        <w:rPr>
          <w:rFonts w:ascii="Verdana" w:eastAsia="Calibri" w:hAnsi="Verdana" w:cs="Arial"/>
          <w:shd w:val="clear" w:color="auto" w:fill="FFFFFF"/>
        </w:rPr>
      </w:pPr>
    </w:p>
    <w:p w14:paraId="5CAC2313" w14:textId="77777777" w:rsidR="00115293" w:rsidRPr="00827FDB" w:rsidRDefault="00115293" w:rsidP="00115293">
      <w:pPr>
        <w:numPr>
          <w:ilvl w:val="0"/>
          <w:numId w:val="2"/>
        </w:numPr>
        <w:spacing w:before="120" w:line="276" w:lineRule="auto"/>
        <w:contextualSpacing/>
        <w:jc w:val="both"/>
        <w:rPr>
          <w:rFonts w:ascii="Verdana" w:eastAsia="Century Gothic" w:hAnsi="Verdana" w:cs="Century Gothic"/>
        </w:rPr>
      </w:pPr>
      <w:r w:rsidRPr="00827FDB">
        <w:rPr>
          <w:rFonts w:ascii="Verdana" w:eastAsia="Calibri" w:hAnsi="Verdana" w:cs="Arial"/>
          <w:shd w:val="clear" w:color="auto" w:fill="FFFFFF"/>
        </w:rPr>
        <w:t xml:space="preserve">Particularmente, sobre las </w:t>
      </w:r>
      <w:r w:rsidRPr="00827FDB">
        <w:rPr>
          <w:rFonts w:ascii="Verdana" w:eastAsia="Century Gothic" w:hAnsi="Verdana" w:cs="Century Gothic"/>
        </w:rPr>
        <w:t>actividades de ciencia, tecnología e innovación, pueden contratarse mediante la modalidad de selección de contratación directa, precisó que la Entidad Estatal conforme a su necesidad, ejecute actividades de ciencia, tecnología e innovación por medio de la celebración de alguno de los siguientes contratos:</w:t>
      </w:r>
    </w:p>
    <w:p w14:paraId="52CA7521" w14:textId="77777777" w:rsidR="00115293" w:rsidRPr="00827FDB" w:rsidRDefault="00115293" w:rsidP="00115293">
      <w:pPr>
        <w:ind w:left="720"/>
        <w:contextualSpacing/>
        <w:rPr>
          <w:rFonts w:ascii="Verdana" w:eastAsia="Century Gothic" w:hAnsi="Verdana" w:cs="Century Gothic"/>
        </w:rPr>
      </w:pPr>
    </w:p>
    <w:p w14:paraId="3BFC5C0A" w14:textId="77777777" w:rsidR="00115293" w:rsidRPr="00827FDB" w:rsidRDefault="00115293" w:rsidP="00115293">
      <w:pPr>
        <w:numPr>
          <w:ilvl w:val="1"/>
          <w:numId w:val="2"/>
        </w:numPr>
        <w:spacing w:before="120" w:line="276" w:lineRule="auto"/>
        <w:contextualSpacing/>
        <w:jc w:val="both"/>
        <w:rPr>
          <w:rFonts w:ascii="Verdana" w:eastAsia="Century Gothic" w:hAnsi="Verdana" w:cs="Century Gothic"/>
        </w:rPr>
      </w:pPr>
      <w:r w:rsidRPr="00827FDB">
        <w:rPr>
          <w:rFonts w:ascii="Verdana" w:eastAsia="Century Gothic" w:hAnsi="Verdana" w:cs="Century Gothic"/>
        </w:rPr>
        <w:t>Convenios especiales de cooperación: este es celebrado para asociar recursos, capacitaciones y competencias interinstitucionales, y puede incluir el financiamiento y administración de proyectos. Este convenio se encuentra regulado en los artículos 6, 7 y 8 del Decreto-Ley 393 de 1991 y en el artículo 17 de Decreto Decreto-Ley 591 de 1991.</w:t>
      </w:r>
    </w:p>
    <w:p w14:paraId="5B63B86F" w14:textId="77777777" w:rsidR="00115293" w:rsidRPr="00827FDB" w:rsidRDefault="00115293" w:rsidP="00115293">
      <w:pPr>
        <w:spacing w:before="120" w:line="276" w:lineRule="auto"/>
        <w:ind w:left="1440"/>
        <w:contextualSpacing/>
        <w:jc w:val="both"/>
        <w:rPr>
          <w:rFonts w:ascii="Verdana" w:eastAsia="Century Gothic" w:hAnsi="Verdana" w:cs="Century Gothic"/>
        </w:rPr>
      </w:pPr>
    </w:p>
    <w:p w14:paraId="1BA75B22" w14:textId="77777777" w:rsidR="00115293" w:rsidRPr="00827FDB" w:rsidRDefault="00115293" w:rsidP="00115293">
      <w:pPr>
        <w:numPr>
          <w:ilvl w:val="1"/>
          <w:numId w:val="2"/>
        </w:numPr>
        <w:spacing w:before="120" w:line="276" w:lineRule="auto"/>
        <w:contextualSpacing/>
        <w:jc w:val="both"/>
        <w:rPr>
          <w:rFonts w:ascii="Verdana" w:eastAsia="Century Gothic" w:hAnsi="Verdana" w:cs="Century Gothic"/>
        </w:rPr>
      </w:pPr>
      <w:r w:rsidRPr="00827FDB">
        <w:rPr>
          <w:rFonts w:ascii="Verdana" w:eastAsia="Century Gothic" w:hAnsi="Verdana" w:cs="Century Gothic"/>
        </w:rPr>
        <w:t>Contratos de financiamiento: se celebra para financiar actividades científicas, tecnológicas y de innovación, con los alcances definidos en el artículo 8 del Decreto-Ley 591 de 1991.</w:t>
      </w:r>
    </w:p>
    <w:p w14:paraId="7E5FF4E6" w14:textId="77777777" w:rsidR="00115293" w:rsidRPr="00827FDB" w:rsidRDefault="00115293" w:rsidP="00115293">
      <w:pPr>
        <w:spacing w:before="120" w:line="276" w:lineRule="auto"/>
        <w:ind w:left="1440"/>
        <w:contextualSpacing/>
        <w:jc w:val="both"/>
        <w:rPr>
          <w:rFonts w:ascii="Verdana" w:eastAsia="Century Gothic" w:hAnsi="Verdana" w:cs="Century Gothic"/>
        </w:rPr>
      </w:pPr>
    </w:p>
    <w:p w14:paraId="42431BAF" w14:textId="77777777" w:rsidR="00115293" w:rsidRPr="00827FDB" w:rsidRDefault="00115293" w:rsidP="00115293">
      <w:pPr>
        <w:numPr>
          <w:ilvl w:val="1"/>
          <w:numId w:val="2"/>
        </w:numPr>
        <w:spacing w:before="120" w:line="276" w:lineRule="auto"/>
        <w:contextualSpacing/>
        <w:jc w:val="both"/>
        <w:rPr>
          <w:rFonts w:ascii="Verdana" w:eastAsia="Calibri" w:hAnsi="Verdana" w:cs="Arial"/>
          <w:shd w:val="clear" w:color="auto" w:fill="FFFFFF"/>
        </w:rPr>
      </w:pPr>
      <w:r w:rsidRPr="00827FDB">
        <w:rPr>
          <w:rFonts w:ascii="Verdana" w:eastAsia="Century Gothic" w:hAnsi="Verdana" w:cs="Century Gothic"/>
        </w:rPr>
        <w:t>Contratos de administración de proyectos: están reguladas en el artículo 9 del Decreto-Ley 591 de 1991, y tienen como propósito encargar a un tercero idóneo para llevar a cabo actividades de ciencia, tecnología e innovación para la gestión y ejecución de un proyecto en estas materias.</w:t>
      </w:r>
    </w:p>
    <w:p w14:paraId="2389D36E" w14:textId="77777777" w:rsidR="00115293" w:rsidRPr="00827FDB" w:rsidRDefault="00115293" w:rsidP="00115293">
      <w:pPr>
        <w:spacing w:before="120" w:line="276" w:lineRule="auto"/>
        <w:ind w:left="720"/>
        <w:contextualSpacing/>
        <w:jc w:val="both"/>
        <w:rPr>
          <w:rFonts w:ascii="Verdana" w:eastAsia="Calibri" w:hAnsi="Verdana" w:cs="Arial"/>
          <w:color w:val="000000"/>
          <w:lang w:val="es-ES_tradnl"/>
        </w:rPr>
      </w:pPr>
    </w:p>
    <w:p w14:paraId="7980E80B" w14:textId="77777777" w:rsidR="00115293" w:rsidRPr="00827FDB" w:rsidRDefault="00115293" w:rsidP="00115293">
      <w:pPr>
        <w:numPr>
          <w:ilvl w:val="0"/>
          <w:numId w:val="2"/>
        </w:numPr>
        <w:contextualSpacing/>
        <w:jc w:val="both"/>
        <w:rPr>
          <w:rFonts w:ascii="Verdana" w:eastAsia="Times New Roman" w:hAnsi="Verdana" w:cs="Arial"/>
          <w:color w:val="000000"/>
          <w:szCs w:val="24"/>
          <w:lang w:val="es-ES_tradnl" w:eastAsia="es-ES_tradnl"/>
        </w:rPr>
      </w:pPr>
      <w:r w:rsidRPr="00827FDB">
        <w:rPr>
          <w:rFonts w:ascii="Verdana" w:eastAsia="Times New Roman" w:hAnsi="Verdana" w:cs="Arial"/>
          <w:color w:val="000000"/>
          <w:szCs w:val="24"/>
          <w:lang w:val="es-ES_tradnl" w:eastAsia="es-ES_tradnl"/>
        </w:rPr>
        <w:t>De conformidad con lo anterior, las entidades, como responsables de estructurar sus procedimientos de selección, deben definir si el objeto a contratar se encuadra en aquellas actividades consideradas de ciencia, tecnología e innovación, y podrán aplicar la modalidad de selección de contratación directa para celebrar alguno de los tipos de contrato previstos en la ley, salvo que el contrato se rija por el derecho privado.</w:t>
      </w:r>
      <w:r w:rsidRPr="00827FDB">
        <w:rPr>
          <w:rFonts w:ascii="Aptos" w:eastAsia="Aptos" w:hAnsi="Aptos" w:cs="Times New Roman"/>
        </w:rPr>
        <w:t xml:space="preserve"> </w:t>
      </w:r>
      <w:r w:rsidRPr="00827FDB">
        <w:rPr>
          <w:rFonts w:ascii="Verdana" w:eastAsia="Times New Roman" w:hAnsi="Verdana" w:cs="Arial"/>
          <w:color w:val="000000"/>
          <w:szCs w:val="24"/>
          <w:lang w:val="es-ES_tradnl" w:eastAsia="es-ES_tradnl"/>
        </w:rPr>
        <w:t xml:space="preserve">En todo caso, se resalta que el régimen de las actividades de ciencia, tecnología e innovación se define a partir de las normas citadas, pero le corresponde al Ministerio de Ciencia, Tecnología e Innovación, como autoridad competente, catalogar las actividades cuando las entidades </w:t>
      </w:r>
      <w:r w:rsidRPr="00827FDB">
        <w:rPr>
          <w:rFonts w:ascii="Verdana" w:eastAsia="Times New Roman" w:hAnsi="Verdana" w:cs="Arial"/>
          <w:color w:val="000000"/>
          <w:szCs w:val="24"/>
          <w:lang w:val="es-ES_tradnl" w:eastAsia="es-ES_tradnl"/>
        </w:rPr>
        <w:lastRenderedPageBreak/>
        <w:t>presenten dudas respecto de un objeto contractual que pretendan satisfacer.</w:t>
      </w:r>
    </w:p>
    <w:p w14:paraId="6152D9F7" w14:textId="77777777" w:rsidR="00115293" w:rsidRPr="00827FDB" w:rsidRDefault="00115293" w:rsidP="00115293">
      <w:pPr>
        <w:ind w:left="720"/>
        <w:contextualSpacing/>
        <w:jc w:val="both"/>
        <w:rPr>
          <w:rFonts w:ascii="Verdana" w:eastAsia="Times New Roman" w:hAnsi="Verdana" w:cs="Arial"/>
          <w:color w:val="000000"/>
          <w:szCs w:val="24"/>
          <w:lang w:val="es-ES_tradnl" w:eastAsia="es-ES_tradnl"/>
        </w:rPr>
      </w:pPr>
    </w:p>
    <w:p w14:paraId="4280CF31" w14:textId="77777777" w:rsidR="00115293" w:rsidRPr="00827FDB" w:rsidRDefault="00115293" w:rsidP="00115293">
      <w:pPr>
        <w:numPr>
          <w:ilvl w:val="0"/>
          <w:numId w:val="2"/>
        </w:numPr>
        <w:contextualSpacing/>
        <w:jc w:val="both"/>
        <w:rPr>
          <w:rFonts w:ascii="Verdana" w:eastAsia="Times New Roman" w:hAnsi="Verdana" w:cs="Arial"/>
          <w:color w:val="000000"/>
          <w:szCs w:val="24"/>
          <w:lang w:val="es-ES_tradnl" w:eastAsia="es-ES_tradnl"/>
        </w:rPr>
      </w:pPr>
      <w:r w:rsidRPr="00827FDB">
        <w:rPr>
          <w:rFonts w:ascii="Verdana" w:eastAsia="Aptos" w:hAnsi="Verdana" w:cs="Times New Roman"/>
          <w:color w:val="000000"/>
          <w:shd w:val="clear" w:color="auto" w:fill="FFFFFF"/>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62996B4E" w14:textId="77777777" w:rsidR="00115293" w:rsidRPr="00827FDB" w:rsidRDefault="00115293" w:rsidP="00115293">
      <w:pPr>
        <w:spacing w:after="0"/>
        <w:ind w:left="720"/>
        <w:contextualSpacing/>
        <w:rPr>
          <w:rFonts w:ascii="Verdana" w:eastAsia="Times New Roman" w:hAnsi="Verdana" w:cs="Arial"/>
          <w:color w:val="000000"/>
          <w:szCs w:val="24"/>
          <w:lang w:val="es-ES_tradnl" w:eastAsia="es-ES_tradnl"/>
        </w:rPr>
      </w:pPr>
    </w:p>
    <w:bookmarkEnd w:id="3"/>
    <w:p w14:paraId="32B68DBE" w14:textId="77777777" w:rsidR="00115293" w:rsidRPr="00827FDB" w:rsidRDefault="00115293" w:rsidP="00115293">
      <w:pPr>
        <w:widowControl w:val="0"/>
        <w:autoSpaceDE w:val="0"/>
        <w:autoSpaceDN w:val="0"/>
        <w:spacing w:before="1" w:after="0" w:line="240" w:lineRule="auto"/>
        <w:outlineLvl w:val="0"/>
        <w:rPr>
          <w:rFonts w:ascii="Verdana" w:eastAsia="Arial" w:hAnsi="Verdana" w:cs="Arial"/>
          <w:b/>
          <w:bCs/>
          <w:lang w:val="es-ES"/>
        </w:rPr>
      </w:pPr>
      <w:r w:rsidRPr="00827FDB">
        <w:rPr>
          <w:rFonts w:ascii="Verdana" w:eastAsia="Arial" w:hAnsi="Verdana" w:cs="Arial"/>
          <w:b/>
          <w:bCs/>
          <w:lang w:val="es-ES"/>
        </w:rPr>
        <w:t>4.Referencias normativas, jurisprudenciales y otras fuentes:</w:t>
      </w:r>
    </w:p>
    <w:p w14:paraId="206875E9" w14:textId="77777777" w:rsidR="00115293" w:rsidRPr="00827FDB" w:rsidRDefault="00115293" w:rsidP="00115293">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15293" w:rsidRPr="00827FDB" w14:paraId="1D03D478" w14:textId="77777777" w:rsidTr="00450DAF">
        <w:trPr>
          <w:trHeight w:val="870"/>
        </w:trPr>
        <w:tc>
          <w:tcPr>
            <w:tcW w:w="8647" w:type="dxa"/>
          </w:tcPr>
          <w:p w14:paraId="628034D9" w14:textId="77777777" w:rsidR="00115293" w:rsidRPr="00827FDB" w:rsidRDefault="00115293" w:rsidP="00115293">
            <w:pPr>
              <w:widowControl w:val="0"/>
              <w:numPr>
                <w:ilvl w:val="0"/>
                <w:numId w:val="1"/>
              </w:numPr>
              <w:autoSpaceDE w:val="0"/>
              <w:autoSpaceDN w:val="0"/>
              <w:spacing w:line="276" w:lineRule="auto"/>
              <w:contextualSpacing/>
              <w:jc w:val="both"/>
              <w:rPr>
                <w:rFonts w:ascii="Verdana" w:eastAsia="Calibri" w:hAnsi="Verdana" w:cs="Arial"/>
                <w:lang w:val="es-ES"/>
              </w:rPr>
            </w:pPr>
            <w:r w:rsidRPr="00827FDB">
              <w:rPr>
                <w:rFonts w:ascii="Verdana" w:eastAsia="Calibri" w:hAnsi="Verdana" w:cs="Arial"/>
                <w:lang w:val="es-ES"/>
              </w:rPr>
              <w:t>Constitución Política de 1991</w:t>
            </w:r>
          </w:p>
          <w:p w14:paraId="6B78546D" w14:textId="77777777" w:rsidR="00115293" w:rsidRPr="00827FDB" w:rsidRDefault="00115293" w:rsidP="00115293">
            <w:pPr>
              <w:numPr>
                <w:ilvl w:val="0"/>
                <w:numId w:val="1"/>
              </w:numPr>
              <w:spacing w:line="240" w:lineRule="auto"/>
              <w:contextualSpacing/>
              <w:rPr>
                <w:rFonts w:ascii="Verdana" w:eastAsia="Calibri" w:hAnsi="Verdana" w:cs="Arial"/>
                <w:lang w:val="es-ES"/>
              </w:rPr>
            </w:pPr>
            <w:r w:rsidRPr="00827FDB">
              <w:rPr>
                <w:rFonts w:ascii="Verdana" w:eastAsia="Calibri" w:hAnsi="Verdana" w:cs="Arial"/>
                <w:lang w:val="es-ES"/>
              </w:rPr>
              <w:t>Decreto-Ley 393 de 1991. Artículos 6, 7 y 8</w:t>
            </w:r>
          </w:p>
          <w:p w14:paraId="024BD383" w14:textId="77777777" w:rsidR="00115293" w:rsidRPr="00827FDB" w:rsidRDefault="00115293" w:rsidP="00115293">
            <w:pPr>
              <w:numPr>
                <w:ilvl w:val="0"/>
                <w:numId w:val="1"/>
              </w:numPr>
              <w:spacing w:line="240" w:lineRule="auto"/>
              <w:contextualSpacing/>
              <w:rPr>
                <w:rFonts w:ascii="Verdana" w:eastAsia="Calibri" w:hAnsi="Verdana" w:cs="Arial"/>
                <w:lang w:val="es-ES"/>
              </w:rPr>
            </w:pPr>
            <w:r w:rsidRPr="00827FDB">
              <w:rPr>
                <w:rFonts w:ascii="Verdana" w:eastAsia="Calibri" w:hAnsi="Verdana" w:cs="Arial"/>
                <w:lang w:val="es-ES"/>
              </w:rPr>
              <w:t xml:space="preserve">Decreto-Ley 591 de 1991. Artículo 17 </w:t>
            </w:r>
          </w:p>
          <w:p w14:paraId="31FDEA15" w14:textId="77777777" w:rsidR="00115293" w:rsidRPr="00827FDB" w:rsidRDefault="00115293" w:rsidP="0011529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827FDB">
              <w:rPr>
                <w:rFonts w:ascii="Verdana" w:eastAsia="Calibri" w:hAnsi="Verdana" w:cs="Arial"/>
                <w:lang w:val="es-ES"/>
              </w:rPr>
              <w:t>Ley 1150 de 2007. Artículo 2, numeral 4, literal e)</w:t>
            </w:r>
          </w:p>
          <w:p w14:paraId="750A08E3" w14:textId="77777777" w:rsidR="00115293" w:rsidRPr="00827FDB" w:rsidRDefault="00115293" w:rsidP="00115293">
            <w:pPr>
              <w:widowControl w:val="0"/>
              <w:numPr>
                <w:ilvl w:val="0"/>
                <w:numId w:val="1"/>
              </w:numPr>
              <w:autoSpaceDE w:val="0"/>
              <w:autoSpaceDN w:val="0"/>
              <w:spacing w:line="276" w:lineRule="auto"/>
              <w:contextualSpacing/>
              <w:jc w:val="both"/>
              <w:rPr>
                <w:rFonts w:ascii="Verdana" w:eastAsia="Aptos" w:hAnsi="Verdana" w:cs="Arial"/>
              </w:rPr>
            </w:pPr>
            <w:r w:rsidRPr="00827FDB">
              <w:rPr>
                <w:rFonts w:ascii="Verdana" w:eastAsia="Calibri" w:hAnsi="Verdana" w:cs="Arial"/>
                <w:lang w:val="es-ES"/>
              </w:rPr>
              <w:t xml:space="preserve">Circular Externa Única, disponible </w:t>
            </w:r>
            <w:hyperlink r:id="rId12" w:history="1">
              <w:r w:rsidRPr="00827FDB">
                <w:rPr>
                  <w:rFonts w:ascii="Verdana" w:eastAsia="Calibri" w:hAnsi="Verdana" w:cs="Arial"/>
                  <w:color w:val="467886"/>
                  <w:u w:val="single"/>
                  <w:lang w:val="es-ES"/>
                </w:rPr>
                <w:t>aquí</w:t>
              </w:r>
            </w:hyperlink>
          </w:p>
        </w:tc>
      </w:tr>
    </w:tbl>
    <w:p w14:paraId="36FAB791" w14:textId="77777777" w:rsidR="00115293" w:rsidRPr="00827FDB" w:rsidRDefault="00115293" w:rsidP="00115293">
      <w:pPr>
        <w:widowControl w:val="0"/>
        <w:autoSpaceDE w:val="0"/>
        <w:autoSpaceDN w:val="0"/>
        <w:spacing w:after="0" w:line="276" w:lineRule="auto"/>
        <w:jc w:val="both"/>
        <w:rPr>
          <w:rFonts w:ascii="Verdana" w:eastAsia="Aptos" w:hAnsi="Verdana" w:cs="Arial"/>
        </w:rPr>
      </w:pPr>
    </w:p>
    <w:p w14:paraId="4B610373" w14:textId="77777777" w:rsidR="00115293" w:rsidRPr="00827FDB" w:rsidRDefault="00115293" w:rsidP="00115293">
      <w:pPr>
        <w:widowControl w:val="0"/>
        <w:autoSpaceDE w:val="0"/>
        <w:autoSpaceDN w:val="0"/>
        <w:spacing w:before="1" w:after="0" w:line="240" w:lineRule="auto"/>
        <w:outlineLvl w:val="0"/>
        <w:rPr>
          <w:rFonts w:ascii="Verdana" w:eastAsia="Arial" w:hAnsi="Verdana" w:cs="Arial"/>
          <w:b/>
          <w:bCs/>
          <w:lang w:val="es-ES"/>
        </w:rPr>
      </w:pPr>
      <w:r w:rsidRPr="00827FDB">
        <w:rPr>
          <w:rFonts w:ascii="Verdana" w:eastAsia="Arial" w:hAnsi="Verdana" w:cs="Arial"/>
          <w:b/>
          <w:bCs/>
          <w:lang w:val="es-ES"/>
        </w:rPr>
        <w:t>5. Doctrina de la Agencia Nacional de Contratación Pública:</w:t>
      </w:r>
    </w:p>
    <w:p w14:paraId="63CE4172" w14:textId="77777777" w:rsidR="00115293" w:rsidRPr="00827FDB" w:rsidRDefault="00115293" w:rsidP="00115293">
      <w:pPr>
        <w:widowControl w:val="0"/>
        <w:autoSpaceDE w:val="0"/>
        <w:autoSpaceDN w:val="0"/>
        <w:spacing w:after="0" w:line="276" w:lineRule="auto"/>
        <w:jc w:val="both"/>
        <w:rPr>
          <w:rFonts w:ascii="Verdana" w:eastAsia="Aptos" w:hAnsi="Verdana" w:cs="Arial"/>
        </w:rPr>
      </w:pPr>
    </w:p>
    <w:p w14:paraId="7AB1971D" w14:textId="77777777" w:rsidR="00115293" w:rsidRPr="00827FDB" w:rsidRDefault="00115293" w:rsidP="00115293">
      <w:pPr>
        <w:widowControl w:val="0"/>
        <w:autoSpaceDE w:val="0"/>
        <w:autoSpaceDN w:val="0"/>
        <w:spacing w:after="0" w:line="276" w:lineRule="auto"/>
        <w:jc w:val="both"/>
        <w:rPr>
          <w:rFonts w:ascii="Verdana" w:eastAsia="Aptos" w:hAnsi="Verdana" w:cs="Arial"/>
          <w:shd w:val="clear" w:color="auto" w:fill="FFFFFF"/>
          <w:lang w:val="es-ES"/>
        </w:rPr>
      </w:pPr>
      <w:r w:rsidRPr="00827FDB">
        <w:rPr>
          <w:rFonts w:ascii="Verdana" w:eastAsia="Aptos" w:hAnsi="Verdana" w:cs="Arial"/>
          <w:shd w:val="clear" w:color="auto" w:fill="FFFFFF"/>
          <w:lang w:val="es-ES"/>
        </w:rPr>
        <w:t xml:space="preserve">Sobre las actividades relacionadas con ciencia, tecnología e innovación y los contratos y convenios para contratarlas en los conceptos C-066 del 3 de marzo de 2020, C-084 del 11 de marzo de 2020, C-236 del 6 de abril de 2020, C-036 del 1 de marzo de 2021, C-656 del 30 de noviembre de 2021, C-164 del 22 de marzo de 2022, C-131 del 28 de marzo de 2022, C-207 del 19 de abril de 2022, C-049 del 9 de mayo de 2024, C-097 del 28 de junio de 2024,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827FDB">
          <w:rPr>
            <w:rFonts w:ascii="Verdana" w:eastAsia="Aptos" w:hAnsi="Verdana" w:cs="Arial"/>
            <w:color w:val="467886"/>
            <w:u w:val="single"/>
            <w:shd w:val="clear" w:color="auto" w:fill="FFFFFF"/>
            <w:lang w:val="es-ES"/>
          </w:rPr>
          <w:t>https://relatoria.colombiacompra.gov.co/</w:t>
        </w:r>
      </w:hyperlink>
      <w:r w:rsidRPr="00827FDB">
        <w:rPr>
          <w:rFonts w:ascii="Verdana" w:eastAsia="Aptos" w:hAnsi="Verdana" w:cs="Arial"/>
          <w:shd w:val="clear" w:color="auto" w:fill="FFFFFF"/>
          <w:lang w:val="es-ES"/>
        </w:rPr>
        <w:t xml:space="preserve">. </w:t>
      </w:r>
    </w:p>
    <w:p w14:paraId="09FF3889" w14:textId="77777777" w:rsidR="00115293" w:rsidRPr="00827FDB" w:rsidRDefault="00115293" w:rsidP="00115293">
      <w:pPr>
        <w:widowControl w:val="0"/>
        <w:autoSpaceDE w:val="0"/>
        <w:autoSpaceDN w:val="0"/>
        <w:spacing w:after="0" w:line="276" w:lineRule="auto"/>
        <w:jc w:val="both"/>
        <w:rPr>
          <w:rFonts w:ascii="Verdana" w:eastAsia="Aptos" w:hAnsi="Verdana" w:cs="Arial"/>
          <w:shd w:val="clear" w:color="auto" w:fill="FFFFFF"/>
          <w:lang w:val="es-ES"/>
        </w:rPr>
      </w:pPr>
    </w:p>
    <w:p w14:paraId="1F28A322" w14:textId="77777777" w:rsidR="00115293" w:rsidRPr="00827FDB" w:rsidRDefault="00115293" w:rsidP="00115293">
      <w:pPr>
        <w:widowControl w:val="0"/>
        <w:autoSpaceDE w:val="0"/>
        <w:autoSpaceDN w:val="0"/>
        <w:spacing w:after="0" w:line="276" w:lineRule="auto"/>
        <w:jc w:val="both"/>
        <w:rPr>
          <w:rFonts w:ascii="Verdana" w:eastAsia="Aptos" w:hAnsi="Verdana" w:cs="Arial"/>
          <w:shd w:val="clear" w:color="auto" w:fill="FFFFFF"/>
          <w:lang w:val="es-ES"/>
        </w:rPr>
      </w:pPr>
      <w:r w:rsidRPr="00827FDB">
        <w:rPr>
          <w:rFonts w:ascii="Verdana" w:eastAsia="Aptos" w:hAnsi="Verdana" w:cs="Arial"/>
          <w:shd w:val="clear" w:color="auto" w:fill="FFFFFF"/>
          <w:lang w:val="es-ES"/>
        </w:rPr>
        <w:t xml:space="preserve">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p>
    <w:p w14:paraId="75070E23" w14:textId="77777777" w:rsidR="00115293" w:rsidRPr="00827FDB" w:rsidRDefault="008914E3" w:rsidP="00115293">
      <w:pPr>
        <w:widowControl w:val="0"/>
        <w:autoSpaceDE w:val="0"/>
        <w:autoSpaceDN w:val="0"/>
        <w:spacing w:after="0" w:line="276" w:lineRule="auto"/>
        <w:jc w:val="both"/>
        <w:rPr>
          <w:rFonts w:ascii="Verdana" w:eastAsia="Aptos" w:hAnsi="Verdana" w:cs="Arial"/>
          <w:shd w:val="clear" w:color="auto" w:fill="FFFFFF"/>
          <w:lang w:val="es-ES"/>
        </w:rPr>
      </w:pPr>
      <w:hyperlink r:id="rId14" w:history="1">
        <w:r w:rsidR="00115293" w:rsidRPr="00827FDB">
          <w:rPr>
            <w:rFonts w:ascii="Verdana" w:eastAsia="Aptos" w:hAnsi="Verdana" w:cs="Arial"/>
            <w:color w:val="467886"/>
            <w:u w:val="single"/>
            <w:shd w:val="clear" w:color="auto" w:fill="FFFFFF"/>
            <w:lang w:val="es-ES"/>
          </w:rPr>
          <w:t>https://www.colombiacompra.gov.co/sala-de-prensa/boletin-digital/boletin-de-relatoria-2024-iv</w:t>
        </w:r>
      </w:hyperlink>
      <w:r w:rsidR="00115293" w:rsidRPr="00827FDB">
        <w:rPr>
          <w:rFonts w:ascii="Verdana" w:eastAsia="Aptos" w:hAnsi="Verdana" w:cs="Arial"/>
          <w:shd w:val="clear" w:color="auto" w:fill="FFFFFF"/>
          <w:lang w:val="es-ES"/>
        </w:rPr>
        <w:t xml:space="preserve"> </w:t>
      </w:r>
    </w:p>
    <w:p w14:paraId="2AB65D29" w14:textId="77777777" w:rsidR="00115293" w:rsidRPr="00827FDB" w:rsidRDefault="00115293" w:rsidP="00115293">
      <w:pPr>
        <w:widowControl w:val="0"/>
        <w:autoSpaceDE w:val="0"/>
        <w:autoSpaceDN w:val="0"/>
        <w:spacing w:after="0" w:line="276" w:lineRule="auto"/>
        <w:jc w:val="both"/>
        <w:rPr>
          <w:rFonts w:ascii="Verdana" w:eastAsia="Aptos" w:hAnsi="Verdana" w:cs="Arial"/>
          <w:shd w:val="clear" w:color="auto" w:fill="FFFFFF"/>
          <w:lang w:val="es-ES"/>
        </w:rPr>
      </w:pPr>
    </w:p>
    <w:p w14:paraId="3120BEE5" w14:textId="77777777" w:rsidR="00115293" w:rsidRPr="00827FDB" w:rsidRDefault="00115293" w:rsidP="00115293">
      <w:pPr>
        <w:spacing w:after="0" w:line="240" w:lineRule="auto"/>
        <w:jc w:val="both"/>
        <w:rPr>
          <w:rFonts w:ascii="Verdana" w:eastAsia="Aptos" w:hAnsi="Verdana" w:cs="Times New Roman"/>
        </w:rPr>
      </w:pPr>
      <w:r w:rsidRPr="00827FDB">
        <w:rPr>
          <w:rFonts w:ascii="Verdana" w:eastAsia="Aptos" w:hAnsi="Verdana" w:cs="Times New Roman"/>
        </w:rPr>
        <w:t xml:space="preserve">Por último, lo invitamos a seguirnos en las redes sociales en las cuales se difunde información institucional: </w:t>
      </w:r>
    </w:p>
    <w:p w14:paraId="5048183A" w14:textId="77777777" w:rsidR="00115293" w:rsidRPr="00827FDB" w:rsidRDefault="00115293" w:rsidP="00115293">
      <w:pPr>
        <w:spacing w:after="0" w:line="240" w:lineRule="auto"/>
        <w:jc w:val="both"/>
        <w:rPr>
          <w:rFonts w:ascii="Verdana" w:eastAsia="Aptos" w:hAnsi="Verdana" w:cs="Times New Roman"/>
        </w:rPr>
      </w:pPr>
    </w:p>
    <w:p w14:paraId="78D65C62" w14:textId="77777777" w:rsidR="00115293" w:rsidRPr="00827FDB" w:rsidRDefault="00115293" w:rsidP="00115293">
      <w:pPr>
        <w:spacing w:after="0" w:line="240" w:lineRule="auto"/>
        <w:jc w:val="both"/>
        <w:rPr>
          <w:rFonts w:ascii="Verdana" w:eastAsia="Aptos" w:hAnsi="Verdana" w:cs="Times New Roman"/>
        </w:rPr>
      </w:pPr>
      <w:r w:rsidRPr="00827FDB">
        <w:rPr>
          <w:rFonts w:ascii="Verdana" w:eastAsia="Aptos" w:hAnsi="Verdana" w:cs="Times New Roman"/>
        </w:rPr>
        <w:t xml:space="preserve">Twitter: </w:t>
      </w:r>
      <w:r w:rsidRPr="00827FDB">
        <w:rPr>
          <w:rFonts w:ascii="Verdana" w:eastAsia="Aptos" w:hAnsi="Verdana" w:cs="Arial"/>
          <w:color w:val="467886"/>
          <w:u w:val="single"/>
          <w:shd w:val="clear" w:color="auto" w:fill="FFFFFF"/>
          <w:lang w:val="es-ES"/>
        </w:rPr>
        <w:t>@colombiacompra</w:t>
      </w:r>
      <w:r w:rsidRPr="00827FDB">
        <w:rPr>
          <w:rFonts w:ascii="Verdana" w:eastAsia="Aptos" w:hAnsi="Verdana" w:cs="Times New Roman"/>
          <w:color w:val="156082"/>
        </w:rPr>
        <w:t xml:space="preserve"> </w:t>
      </w:r>
    </w:p>
    <w:p w14:paraId="52A30A58" w14:textId="77777777" w:rsidR="00115293" w:rsidRPr="00827FDB" w:rsidRDefault="00115293" w:rsidP="00115293">
      <w:pPr>
        <w:spacing w:after="0" w:line="240" w:lineRule="auto"/>
        <w:jc w:val="both"/>
        <w:rPr>
          <w:rFonts w:ascii="Verdana" w:eastAsia="Aptos" w:hAnsi="Verdana" w:cs="Times New Roman"/>
        </w:rPr>
      </w:pPr>
      <w:r w:rsidRPr="00827FDB">
        <w:rPr>
          <w:rFonts w:ascii="Verdana" w:eastAsia="Aptos" w:hAnsi="Verdana" w:cs="Times New Roman"/>
        </w:rPr>
        <w:t xml:space="preserve">Facebook: </w:t>
      </w:r>
      <w:proofErr w:type="spellStart"/>
      <w:r w:rsidRPr="00827FDB">
        <w:rPr>
          <w:rFonts w:ascii="Verdana" w:eastAsia="Aptos" w:hAnsi="Verdana" w:cs="Arial"/>
          <w:color w:val="467886"/>
          <w:u w:val="single"/>
          <w:shd w:val="clear" w:color="auto" w:fill="FFFFFF"/>
          <w:lang w:val="es-ES"/>
        </w:rPr>
        <w:t>ColombiaCompraEficiente</w:t>
      </w:r>
      <w:proofErr w:type="spellEnd"/>
    </w:p>
    <w:p w14:paraId="53D0BDCA" w14:textId="77777777" w:rsidR="00115293" w:rsidRPr="00827FDB" w:rsidRDefault="00115293" w:rsidP="00115293">
      <w:pPr>
        <w:spacing w:after="0" w:line="240" w:lineRule="auto"/>
        <w:jc w:val="both"/>
        <w:rPr>
          <w:rFonts w:ascii="Verdana" w:eastAsia="Aptos" w:hAnsi="Verdana" w:cs="Times New Roman"/>
        </w:rPr>
      </w:pPr>
      <w:r w:rsidRPr="00827FDB">
        <w:rPr>
          <w:rFonts w:ascii="Verdana" w:eastAsia="Aptos" w:hAnsi="Verdana" w:cs="Times New Roman"/>
        </w:rPr>
        <w:t xml:space="preserve">LinkedIn: </w:t>
      </w:r>
      <w:r w:rsidRPr="00827FDB">
        <w:rPr>
          <w:rFonts w:ascii="Verdana" w:eastAsia="Aptos" w:hAnsi="Verdana" w:cs="Arial"/>
          <w:color w:val="467886"/>
          <w:u w:val="single"/>
          <w:shd w:val="clear" w:color="auto" w:fill="FFFFFF"/>
          <w:lang w:val="es-ES"/>
        </w:rPr>
        <w:t>Agencia Nacional de Contratación Pública - Colombia Compra Eficiente</w:t>
      </w:r>
      <w:r w:rsidRPr="00827FDB">
        <w:rPr>
          <w:rFonts w:ascii="Verdana" w:eastAsia="Aptos" w:hAnsi="Verdana" w:cs="Times New Roman"/>
          <w:color w:val="156082"/>
        </w:rPr>
        <w:t xml:space="preserve"> </w:t>
      </w:r>
      <w:r w:rsidRPr="00827FDB">
        <w:rPr>
          <w:rFonts w:ascii="Verdana" w:eastAsia="Aptos" w:hAnsi="Verdana" w:cs="Times New Roman"/>
        </w:rPr>
        <w:t xml:space="preserve">Instagram: </w:t>
      </w:r>
      <w:r w:rsidRPr="00827FDB">
        <w:rPr>
          <w:rFonts w:ascii="Verdana" w:eastAsia="Aptos" w:hAnsi="Verdana" w:cs="Arial"/>
          <w:color w:val="467886"/>
          <w:u w:val="single"/>
          <w:shd w:val="clear" w:color="auto" w:fill="FFFFFF"/>
          <w:lang w:val="es-ES"/>
        </w:rPr>
        <w:t>@colombiacompraeficiente_cce</w:t>
      </w:r>
    </w:p>
    <w:p w14:paraId="0A0DD6D6" w14:textId="77777777" w:rsidR="00115293" w:rsidRPr="00827FDB" w:rsidRDefault="00115293" w:rsidP="00115293">
      <w:pPr>
        <w:widowControl w:val="0"/>
        <w:autoSpaceDE w:val="0"/>
        <w:autoSpaceDN w:val="0"/>
        <w:spacing w:after="0" w:line="276" w:lineRule="auto"/>
        <w:jc w:val="both"/>
        <w:rPr>
          <w:rFonts w:ascii="Verdana" w:eastAsia="Aptos" w:hAnsi="Verdana" w:cs="Arial"/>
        </w:rPr>
      </w:pPr>
    </w:p>
    <w:p w14:paraId="4FF78B29" w14:textId="77777777" w:rsidR="00115293" w:rsidRPr="00827FDB" w:rsidRDefault="00115293" w:rsidP="00115293">
      <w:pPr>
        <w:widowControl w:val="0"/>
        <w:autoSpaceDE w:val="0"/>
        <w:autoSpaceDN w:val="0"/>
        <w:spacing w:after="0" w:line="276" w:lineRule="auto"/>
        <w:jc w:val="both"/>
        <w:rPr>
          <w:rFonts w:ascii="Verdana" w:eastAsia="Aptos" w:hAnsi="Verdana" w:cs="Arial"/>
          <w:lang w:val="es-ES_tradnl"/>
        </w:rPr>
      </w:pPr>
      <w:r w:rsidRPr="00827FDB">
        <w:rPr>
          <w:rFonts w:ascii="Verdana" w:eastAsia="Aptos" w:hAnsi="Verdana" w:cs="Arial"/>
        </w:rPr>
        <w:t xml:space="preserve">Este concepto tiene el alcance previsto en el artículo 28 del Código de Procedimiento Administrativo y de lo Contencioso Administrativo </w:t>
      </w:r>
      <w:r w:rsidRPr="00827FDB">
        <w:rPr>
          <w:rFonts w:ascii="Verdana" w:eastAsia="Aptos" w:hAnsi="Verdana" w:cs="Arial"/>
          <w:lang w:val="es-ES_tradnl"/>
        </w:rPr>
        <w:t>y las expresiones aquí utilizadas con mayúscula inicial deben ser entendidas con el significado que les otorga el artículo 2.2.1.1.1.3.1. del Decreto 1082 de 2015.</w:t>
      </w:r>
    </w:p>
    <w:p w14:paraId="66A27F4E" w14:textId="77777777" w:rsidR="00115293" w:rsidRPr="00827FDB" w:rsidRDefault="00115293" w:rsidP="00115293">
      <w:pPr>
        <w:widowControl w:val="0"/>
        <w:autoSpaceDE w:val="0"/>
        <w:autoSpaceDN w:val="0"/>
        <w:spacing w:after="0" w:line="276" w:lineRule="auto"/>
        <w:jc w:val="both"/>
        <w:rPr>
          <w:rFonts w:ascii="Verdana" w:eastAsia="Aptos" w:hAnsi="Verdana" w:cs="Arial"/>
        </w:rPr>
      </w:pPr>
    </w:p>
    <w:p w14:paraId="02FAC442" w14:textId="77777777" w:rsidR="00115293" w:rsidRPr="00827FDB" w:rsidRDefault="00115293" w:rsidP="00115293">
      <w:pPr>
        <w:spacing w:after="0" w:line="240" w:lineRule="auto"/>
        <w:rPr>
          <w:rFonts w:ascii="Verdana" w:eastAsia="Aptos" w:hAnsi="Verdana" w:cs="Arial"/>
          <w:lang w:eastAsia="es-CO"/>
        </w:rPr>
      </w:pPr>
      <w:r w:rsidRPr="00827FDB">
        <w:rPr>
          <w:rFonts w:ascii="Verdana" w:eastAsia="Times New Roman" w:hAnsi="Verdana" w:cs="Arial"/>
          <w:lang w:eastAsia="es-CO"/>
        </w:rPr>
        <w:t>Atentamente,</w:t>
      </w:r>
      <w:r w:rsidRPr="00827FDB">
        <w:rPr>
          <w:rFonts w:ascii="Verdana" w:eastAsia="Aptos" w:hAnsi="Verdana" w:cs="Arial"/>
          <w:lang w:eastAsia="es-CO"/>
        </w:rPr>
        <w:t xml:space="preserve"> </w:t>
      </w:r>
    </w:p>
    <w:p w14:paraId="6947C12F" w14:textId="3C53C157" w:rsidR="00115293" w:rsidRPr="00827FDB" w:rsidRDefault="0083558D" w:rsidP="00115293">
      <w:pPr>
        <w:spacing w:line="276" w:lineRule="auto"/>
        <w:jc w:val="center"/>
        <w:rPr>
          <w:rFonts w:ascii="Verdana" w:eastAsia="Aptos" w:hAnsi="Verdana" w:cs="Arial"/>
          <w:lang w:val="es-ES_tradnl" w:eastAsia="es-CO"/>
        </w:rPr>
      </w:pPr>
      <w:r w:rsidRPr="0083558D">
        <w:rPr>
          <w:rFonts w:ascii="Verdana" w:eastAsia="Aptos" w:hAnsi="Verdana" w:cs="Arial"/>
          <w:noProof/>
          <w:lang w:eastAsia="es-CO"/>
        </w:rPr>
        <w:drawing>
          <wp:inline distT="0" distB="0" distL="0" distR="0" wp14:anchorId="09A9D54E" wp14:editId="2C0C842A">
            <wp:extent cx="3771900" cy="1400175"/>
            <wp:effectExtent l="0" t="0" r="0" b="9525"/>
            <wp:docPr id="131418663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83558D">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115293" w:rsidRPr="00827FDB" w14:paraId="31AADAC9" w14:textId="77777777" w:rsidTr="00450DAF">
        <w:trPr>
          <w:trHeight w:val="286"/>
        </w:trPr>
        <w:tc>
          <w:tcPr>
            <w:tcW w:w="901" w:type="dxa"/>
            <w:vAlign w:val="center"/>
            <w:hideMark/>
          </w:tcPr>
          <w:p w14:paraId="00CB2489"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C455AF0"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Nasly Yeana Mosquera Rivas</w:t>
            </w:r>
          </w:p>
          <w:p w14:paraId="5BBE6162"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Analista T2–06 de la Subdirección de Gestión Contractual</w:t>
            </w:r>
          </w:p>
        </w:tc>
      </w:tr>
      <w:tr w:rsidR="00115293" w:rsidRPr="00827FDB" w14:paraId="4A726FBD" w14:textId="77777777" w:rsidTr="00450DAF">
        <w:trPr>
          <w:trHeight w:val="299"/>
        </w:trPr>
        <w:tc>
          <w:tcPr>
            <w:tcW w:w="901" w:type="dxa"/>
            <w:vAlign w:val="center"/>
          </w:tcPr>
          <w:p w14:paraId="02981BA7"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06985D9"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 xml:space="preserve">Adriana </w:t>
            </w:r>
            <w:proofErr w:type="spellStart"/>
            <w:r w:rsidRPr="00827FDB">
              <w:rPr>
                <w:rFonts w:ascii="Verdana" w:eastAsia="Aptos" w:hAnsi="Verdana" w:cs="Arial"/>
                <w:sz w:val="14"/>
                <w:szCs w:val="14"/>
                <w:lang w:eastAsia="es-ES"/>
              </w:rPr>
              <w:t>Katerine</w:t>
            </w:r>
            <w:proofErr w:type="spellEnd"/>
            <w:r w:rsidRPr="00827FDB">
              <w:rPr>
                <w:rFonts w:ascii="Verdana" w:eastAsia="Aptos" w:hAnsi="Verdana" w:cs="Arial"/>
                <w:sz w:val="14"/>
                <w:szCs w:val="14"/>
                <w:lang w:eastAsia="es-ES"/>
              </w:rPr>
              <w:t xml:space="preserve"> López Rodríguez</w:t>
            </w:r>
          </w:p>
          <w:p w14:paraId="0B40A7CF"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Contratista de la Subdirección de Gestión Contractual</w:t>
            </w:r>
          </w:p>
        </w:tc>
      </w:tr>
      <w:tr w:rsidR="00115293" w:rsidRPr="00827FDB" w14:paraId="1D19BC59" w14:textId="77777777" w:rsidTr="00450DAF">
        <w:trPr>
          <w:trHeight w:val="272"/>
        </w:trPr>
        <w:tc>
          <w:tcPr>
            <w:tcW w:w="901" w:type="dxa"/>
            <w:vAlign w:val="center"/>
            <w:hideMark/>
          </w:tcPr>
          <w:p w14:paraId="233580B3"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697211A"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Carolina Quintero Gacharná</w:t>
            </w:r>
          </w:p>
          <w:p w14:paraId="7EDDC69F" w14:textId="77777777" w:rsidR="00115293" w:rsidRPr="00827FDB" w:rsidRDefault="00115293" w:rsidP="00450DAF">
            <w:pPr>
              <w:rPr>
                <w:rFonts w:ascii="Verdana" w:eastAsia="Aptos" w:hAnsi="Verdana" w:cs="Arial"/>
                <w:sz w:val="14"/>
                <w:szCs w:val="14"/>
                <w:lang w:eastAsia="es-ES"/>
              </w:rPr>
            </w:pPr>
            <w:r w:rsidRPr="00827FDB">
              <w:rPr>
                <w:rFonts w:ascii="Verdana" w:eastAsia="Aptos" w:hAnsi="Verdana" w:cs="Arial"/>
                <w:sz w:val="14"/>
                <w:szCs w:val="14"/>
                <w:lang w:eastAsia="es-ES"/>
              </w:rPr>
              <w:t>Subdirectora de Gestión Contractual ANCP – CCE</w:t>
            </w:r>
          </w:p>
        </w:tc>
      </w:tr>
    </w:tbl>
    <w:p w14:paraId="7F5B5C19" w14:textId="77777777" w:rsidR="00115293" w:rsidRPr="00827FDB" w:rsidRDefault="00115293" w:rsidP="00115293">
      <w:pPr>
        <w:spacing w:after="0" w:line="240" w:lineRule="auto"/>
        <w:rPr>
          <w:rFonts w:ascii="Verdana" w:eastAsia="Times New Roman" w:hAnsi="Verdana" w:cs="Arial"/>
          <w:sz w:val="24"/>
          <w:szCs w:val="24"/>
          <w:lang w:eastAsia="es-ES"/>
        </w:rPr>
      </w:pPr>
    </w:p>
    <w:p w14:paraId="6EE92D01" w14:textId="77777777" w:rsidR="00115293" w:rsidRPr="00827FDB" w:rsidRDefault="00115293" w:rsidP="00115293">
      <w:pPr>
        <w:rPr>
          <w:rFonts w:ascii="Verdana" w:eastAsia="Aptos" w:hAnsi="Verdana" w:cs="Times New Roman"/>
        </w:rPr>
      </w:pPr>
    </w:p>
    <w:p w14:paraId="02707E5F" w14:textId="77777777" w:rsidR="00115293" w:rsidRPr="00827FDB" w:rsidRDefault="00115293" w:rsidP="00115293">
      <w:pPr>
        <w:rPr>
          <w:rFonts w:ascii="Verdana" w:eastAsia="Aptos" w:hAnsi="Verdana" w:cs="Times New Roman"/>
        </w:rPr>
      </w:pPr>
    </w:p>
    <w:p w14:paraId="30ACB17E" w14:textId="77777777" w:rsidR="00115293" w:rsidRPr="00827FDB" w:rsidRDefault="00115293" w:rsidP="00115293">
      <w:pPr>
        <w:rPr>
          <w:rFonts w:ascii="Verdana" w:eastAsia="Aptos" w:hAnsi="Verdana" w:cs="Times New Roman"/>
        </w:rPr>
      </w:pPr>
    </w:p>
    <w:p w14:paraId="6C220457" w14:textId="77777777" w:rsidR="00115293" w:rsidRPr="00827FDB" w:rsidRDefault="00115293" w:rsidP="00115293">
      <w:pPr>
        <w:rPr>
          <w:rFonts w:ascii="Verdana" w:eastAsia="Aptos" w:hAnsi="Verdana" w:cs="Times New Roman"/>
        </w:rPr>
      </w:pPr>
    </w:p>
    <w:p w14:paraId="700D7F14" w14:textId="77777777" w:rsidR="00115293" w:rsidRPr="00827FDB" w:rsidRDefault="00115293" w:rsidP="00115293">
      <w:pPr>
        <w:rPr>
          <w:rFonts w:ascii="Verdana" w:eastAsia="Aptos" w:hAnsi="Verdana" w:cs="Times New Roman"/>
        </w:rPr>
      </w:pPr>
    </w:p>
    <w:p w14:paraId="50D11DAC" w14:textId="77777777" w:rsidR="00115293" w:rsidRPr="00827FDB" w:rsidRDefault="00115293" w:rsidP="00115293">
      <w:pPr>
        <w:rPr>
          <w:rFonts w:ascii="Verdana" w:eastAsia="Aptos" w:hAnsi="Verdana" w:cs="Times New Roman"/>
        </w:rPr>
      </w:pPr>
    </w:p>
    <w:p w14:paraId="016C2F9F" w14:textId="77777777" w:rsidR="00115293" w:rsidRPr="00827FDB" w:rsidRDefault="00115293" w:rsidP="00115293"/>
    <w:p w14:paraId="4B62519E" w14:textId="77777777" w:rsidR="00115293" w:rsidRDefault="00115293"/>
    <w:sectPr w:rsidR="00115293" w:rsidSect="00115293">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82F14B" w14:textId="77777777" w:rsidR="00115293" w:rsidRDefault="00115293" w:rsidP="00115293">
      <w:pPr>
        <w:spacing w:after="0" w:line="240" w:lineRule="auto"/>
      </w:pPr>
      <w:r>
        <w:separator/>
      </w:r>
    </w:p>
  </w:endnote>
  <w:endnote w:type="continuationSeparator" w:id="0">
    <w:p w14:paraId="61775712" w14:textId="77777777" w:rsidR="00115293" w:rsidRDefault="00115293" w:rsidP="00115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3D42B" w14:textId="77777777" w:rsidR="00765985" w:rsidRDefault="00765985">
    <w:pPr>
      <w:pStyle w:val="Piedepgina"/>
    </w:pPr>
  </w:p>
  <w:p w14:paraId="052F4520" w14:textId="77777777" w:rsidR="00765985" w:rsidRPr="00174B77" w:rsidRDefault="0076598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827FDB">
      <w:rPr>
        <w:rFonts w:ascii="Verdana" w:eastAsia="Times New Roman" w:hAnsi="Verdana" w:cs="Times New Roman"/>
        <w:b/>
        <w:bCs/>
        <w:sz w:val="16"/>
        <w:szCs w:val="16"/>
        <w:lang w:val="es-ES"/>
      </w:rPr>
      <w:t xml:space="preserve">pág. </w:t>
    </w:r>
    <w:r w:rsidRPr="00827FDB">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827FDB">
      <w:rPr>
        <w:rFonts w:ascii="Verdana" w:eastAsia="Times New Roman" w:hAnsi="Verdana"/>
        <w:b/>
        <w:bCs/>
        <w:sz w:val="16"/>
        <w:szCs w:val="16"/>
      </w:rPr>
      <w:fldChar w:fldCharType="separate"/>
    </w:r>
    <w:r w:rsidRPr="00827FDB">
      <w:rPr>
        <w:rFonts w:ascii="Verdana" w:eastAsia="Times New Roman" w:hAnsi="Verdana"/>
        <w:b/>
        <w:bCs/>
        <w:sz w:val="16"/>
        <w:szCs w:val="16"/>
      </w:rPr>
      <w:t>1</w:t>
    </w:r>
    <w:r w:rsidRPr="00827FDB">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17B8564" w14:textId="77777777" w:rsidR="00765985" w:rsidRDefault="0076598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AB8F99C" w14:textId="77777777" w:rsidR="00765985" w:rsidRPr="00E41027" w:rsidRDefault="00765985" w:rsidP="00D520D8">
    <w:pPr>
      <w:spacing w:after="0"/>
      <w:jc w:val="both"/>
      <w:rPr>
        <w:rFonts w:ascii="Verdana" w:hAnsi="Verdana"/>
        <w:sz w:val="18"/>
        <w:szCs w:val="18"/>
      </w:rPr>
    </w:pPr>
    <w:r w:rsidRPr="00E41027">
      <w:rPr>
        <w:rFonts w:ascii="Verdana" w:hAnsi="Verdana"/>
        <w:sz w:val="18"/>
        <w:szCs w:val="18"/>
      </w:rPr>
      <w:t>Mesa de servicio: (+57) 601 7456788</w:t>
    </w:r>
  </w:p>
  <w:p w14:paraId="254CBCED" w14:textId="77777777" w:rsidR="00765985" w:rsidRDefault="0076598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734B01" w14:textId="77777777" w:rsidR="00115293" w:rsidRDefault="00115293" w:rsidP="00115293">
      <w:pPr>
        <w:spacing w:after="0" w:line="240" w:lineRule="auto"/>
      </w:pPr>
      <w:r>
        <w:separator/>
      </w:r>
    </w:p>
  </w:footnote>
  <w:footnote w:type="continuationSeparator" w:id="0">
    <w:p w14:paraId="189E9AE6" w14:textId="77777777" w:rsidR="00115293" w:rsidRDefault="00115293" w:rsidP="00115293">
      <w:pPr>
        <w:spacing w:after="0" w:line="240" w:lineRule="auto"/>
      </w:pPr>
      <w:r>
        <w:continuationSeparator/>
      </w:r>
    </w:p>
  </w:footnote>
  <w:footnote w:id="1">
    <w:p w14:paraId="66063EC1" w14:textId="77777777" w:rsidR="00115293" w:rsidRPr="00115293" w:rsidRDefault="00115293" w:rsidP="00115293">
      <w:pPr>
        <w:pStyle w:val="Textonotapie"/>
        <w:ind w:firstLine="708"/>
        <w:jc w:val="both"/>
        <w:rPr>
          <w:rFonts w:ascii="Verdana" w:hAnsi="Verdana"/>
          <w:sz w:val="12"/>
          <w:szCs w:val="12"/>
        </w:rPr>
      </w:pPr>
      <w:r w:rsidRPr="00115293">
        <w:rPr>
          <w:rStyle w:val="Refdenotaalpie"/>
          <w:rFonts w:ascii="Verdana" w:hAnsi="Verdana"/>
          <w:sz w:val="12"/>
          <w:szCs w:val="12"/>
        </w:rPr>
        <w:footnoteRef/>
      </w:r>
      <w:r w:rsidRPr="00115293">
        <w:rPr>
          <w:rFonts w:ascii="Verdana" w:hAnsi="Verdana"/>
          <w:sz w:val="12"/>
          <w:szCs w:val="12"/>
        </w:rPr>
        <w:t xml:space="preserve"> En este mismo sentido se ha pronunciado la Sección Tercera, de esta Corporación, en el siguiente párrafo: “los contratos que se celebren con el objeto de fomentar la ciencia y tecnología se encuentran sujetos a la Ley 80 de 1993, en todo aquello que no esté expresamente regulado en las normas especiales del Decreto ley 591 de 1991 y del Decreto ley 393 de 1991, que mantuvo vigentes dicho Estatuto General de la Contratación de la Administración Pública”. Providencia del 11 de febrero de 2009. Exp. 16.653. M.P. Dr. Ruth Stella Correa Palacio.</w:t>
      </w:r>
    </w:p>
    <w:p w14:paraId="18A257A5" w14:textId="77777777" w:rsidR="00115293" w:rsidRPr="00115293" w:rsidRDefault="00115293" w:rsidP="00115293">
      <w:pPr>
        <w:pStyle w:val="Textonotapie"/>
        <w:ind w:firstLine="708"/>
        <w:jc w:val="both"/>
        <w:rPr>
          <w:rFonts w:ascii="Verdana" w:hAnsi="Verdana"/>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90D24" w14:textId="77777777" w:rsidR="00765985" w:rsidRDefault="0076598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B51C83E" wp14:editId="6B7BC89D">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6CC23ED" wp14:editId="608AFC5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149DA66" w14:textId="77777777" w:rsidR="00765985" w:rsidRDefault="00765985">
    <w:pPr>
      <w:pStyle w:val="Encabezado"/>
    </w:pPr>
  </w:p>
  <w:p w14:paraId="294C3700" w14:textId="77777777" w:rsidR="00765985" w:rsidRDefault="00765985" w:rsidP="004A305D">
    <w:pPr>
      <w:spacing w:after="0"/>
      <w:rPr>
        <w:rFonts w:ascii="Verdana" w:hAnsi="Verdana"/>
        <w:b/>
        <w:bCs/>
      </w:rPr>
    </w:pPr>
  </w:p>
  <w:p w14:paraId="6BE6BA76" w14:textId="77777777" w:rsidR="00765985" w:rsidRPr="004A305D" w:rsidRDefault="00765985" w:rsidP="00B01B1A">
    <w:pPr>
      <w:spacing w:after="0" w:line="120" w:lineRule="auto"/>
      <w:rPr>
        <w:rFonts w:ascii="Century Gothic" w:eastAsia="Geo" w:hAnsi="Century Gothic" w:cs="Geo"/>
        <w:sz w:val="16"/>
        <w:szCs w:val="16"/>
        <w:lang w:eastAsia="es-CO"/>
      </w:rPr>
    </w:pPr>
  </w:p>
  <w:p w14:paraId="0D8C3B4E" w14:textId="77777777" w:rsidR="00765985" w:rsidRDefault="0076598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A4850"/>
    <w:multiLevelType w:val="hybridMultilevel"/>
    <w:tmpl w:val="C9C4F4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F880DA9"/>
    <w:multiLevelType w:val="hybridMultilevel"/>
    <w:tmpl w:val="C4E4EE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BCD33FF"/>
    <w:multiLevelType w:val="hybridMultilevel"/>
    <w:tmpl w:val="2966AF4A"/>
    <w:lvl w:ilvl="0" w:tplc="240A0001">
      <w:start w:val="1"/>
      <w:numFmt w:val="bullet"/>
      <w:lvlText w:val=""/>
      <w:lvlJc w:val="left"/>
      <w:pPr>
        <w:ind w:left="720" w:hanging="360"/>
      </w:pPr>
      <w:rPr>
        <w:rFonts w:ascii="Symbol" w:hAnsi="Symbol" w:hint="default"/>
      </w:rPr>
    </w:lvl>
    <w:lvl w:ilvl="1" w:tplc="240A0017">
      <w:start w:val="1"/>
      <w:numFmt w:val="lowerLetter"/>
      <w:lvlText w:val="%2)"/>
      <w:lvlJc w:val="left"/>
      <w:pPr>
        <w:ind w:left="1440" w:hanging="360"/>
      </w:p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293"/>
    <w:rsid w:val="00115293"/>
    <w:rsid w:val="002E368B"/>
    <w:rsid w:val="00303427"/>
    <w:rsid w:val="006F4E4B"/>
    <w:rsid w:val="00765985"/>
    <w:rsid w:val="0083558D"/>
    <w:rsid w:val="008914E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1B10A"/>
  <w15:chartTrackingRefBased/>
  <w15:docId w15:val="{0AF151C3-5291-4D03-A19D-D3B2CB3B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293"/>
    <w:pPr>
      <w:spacing w:line="259" w:lineRule="auto"/>
    </w:pPr>
    <w:rPr>
      <w:kern w:val="0"/>
      <w:sz w:val="22"/>
      <w:szCs w:val="22"/>
      <w14:ligatures w14:val="none"/>
    </w:rPr>
  </w:style>
  <w:style w:type="paragraph" w:styleId="Ttulo1">
    <w:name w:val="heading 1"/>
    <w:basedOn w:val="Normal"/>
    <w:next w:val="Normal"/>
    <w:link w:val="Ttulo1Car"/>
    <w:uiPriority w:val="9"/>
    <w:qFormat/>
    <w:rsid w:val="00115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15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152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152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152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152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152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152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152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52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152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152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152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152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152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152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152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15293"/>
    <w:rPr>
      <w:rFonts w:eastAsiaTheme="majorEastAsia" w:cstheme="majorBidi"/>
      <w:color w:val="272727" w:themeColor="text1" w:themeTint="D8"/>
    </w:rPr>
  </w:style>
  <w:style w:type="paragraph" w:styleId="Ttulo">
    <w:name w:val="Title"/>
    <w:basedOn w:val="Normal"/>
    <w:next w:val="Normal"/>
    <w:link w:val="TtuloCar"/>
    <w:uiPriority w:val="10"/>
    <w:qFormat/>
    <w:rsid w:val="00115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152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152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152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15293"/>
    <w:pPr>
      <w:spacing w:before="160"/>
      <w:jc w:val="center"/>
    </w:pPr>
    <w:rPr>
      <w:i/>
      <w:iCs/>
      <w:color w:val="404040" w:themeColor="text1" w:themeTint="BF"/>
    </w:rPr>
  </w:style>
  <w:style w:type="character" w:customStyle="1" w:styleId="CitaCar">
    <w:name w:val="Cita Car"/>
    <w:basedOn w:val="Fuentedeprrafopredeter"/>
    <w:link w:val="Cita"/>
    <w:uiPriority w:val="29"/>
    <w:rsid w:val="00115293"/>
    <w:rPr>
      <w:i/>
      <w:iCs/>
      <w:color w:val="404040" w:themeColor="text1" w:themeTint="BF"/>
    </w:rPr>
  </w:style>
  <w:style w:type="paragraph" w:styleId="Prrafodelista">
    <w:name w:val="List Paragraph"/>
    <w:basedOn w:val="Normal"/>
    <w:uiPriority w:val="34"/>
    <w:qFormat/>
    <w:rsid w:val="00115293"/>
    <w:pPr>
      <w:ind w:left="720"/>
      <w:contextualSpacing/>
    </w:pPr>
  </w:style>
  <w:style w:type="character" w:styleId="nfasisintenso">
    <w:name w:val="Intense Emphasis"/>
    <w:basedOn w:val="Fuentedeprrafopredeter"/>
    <w:uiPriority w:val="21"/>
    <w:qFormat/>
    <w:rsid w:val="00115293"/>
    <w:rPr>
      <w:i/>
      <w:iCs/>
      <w:color w:val="0F4761" w:themeColor="accent1" w:themeShade="BF"/>
    </w:rPr>
  </w:style>
  <w:style w:type="paragraph" w:styleId="Citadestacada">
    <w:name w:val="Intense Quote"/>
    <w:basedOn w:val="Normal"/>
    <w:next w:val="Normal"/>
    <w:link w:val="CitadestacadaCar"/>
    <w:uiPriority w:val="30"/>
    <w:qFormat/>
    <w:rsid w:val="00115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15293"/>
    <w:rPr>
      <w:i/>
      <w:iCs/>
      <w:color w:val="0F4761" w:themeColor="accent1" w:themeShade="BF"/>
    </w:rPr>
  </w:style>
  <w:style w:type="character" w:styleId="Referenciaintensa">
    <w:name w:val="Intense Reference"/>
    <w:basedOn w:val="Fuentedeprrafopredeter"/>
    <w:uiPriority w:val="32"/>
    <w:qFormat/>
    <w:rsid w:val="00115293"/>
    <w:rPr>
      <w:b/>
      <w:bCs/>
      <w:smallCaps/>
      <w:color w:val="0F4761" w:themeColor="accent1" w:themeShade="BF"/>
      <w:spacing w:val="5"/>
    </w:rPr>
  </w:style>
  <w:style w:type="paragraph" w:styleId="Encabezado">
    <w:name w:val="header"/>
    <w:basedOn w:val="Normal"/>
    <w:link w:val="EncabezadoCar"/>
    <w:uiPriority w:val="99"/>
    <w:unhideWhenUsed/>
    <w:rsid w:val="001152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5293"/>
    <w:rPr>
      <w:kern w:val="0"/>
      <w:sz w:val="22"/>
      <w:szCs w:val="22"/>
      <w14:ligatures w14:val="none"/>
    </w:rPr>
  </w:style>
  <w:style w:type="paragraph" w:styleId="Piedepgina">
    <w:name w:val="footer"/>
    <w:basedOn w:val="Normal"/>
    <w:link w:val="PiedepginaCar"/>
    <w:uiPriority w:val="99"/>
    <w:unhideWhenUsed/>
    <w:rsid w:val="001152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5293"/>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1529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1529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1529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15293"/>
    <w:rPr>
      <w:vertAlign w:val="superscript"/>
    </w:rPr>
  </w:style>
  <w:style w:type="table" w:styleId="Tablaconcuadrcula">
    <w:name w:val="Table Grid"/>
    <w:basedOn w:val="Tablanormal"/>
    <w:uiPriority w:val="39"/>
    <w:qFormat/>
    <w:rsid w:val="0011529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qFormat/>
    <w:rsid w:val="0011529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15293"/>
    <w:pPr>
      <w:spacing w:line="240" w:lineRule="exact"/>
    </w:pPr>
    <w:rPr>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chrome-extension://efaidnbmnnnibpcajpcglclefindmkaj/https:/www.colombiacompra.gov.co/sites/cce_public/files/cce_circulares/circular_externa_unica_version_3_vf49.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ananoy@hotmail.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boletin-de-relatoria-2024-i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8ECC97-13F4-46BB-98E8-11819CCEE08D}">
  <ds:schemaRefs>
    <ds:schemaRef ds:uri="http://schemas.microsoft.com/sharepoint/v3/contenttype/forms"/>
  </ds:schemaRefs>
</ds:datastoreItem>
</file>

<file path=customXml/itemProps2.xml><?xml version="1.0" encoding="utf-8"?>
<ds:datastoreItem xmlns:ds="http://schemas.openxmlformats.org/officeDocument/2006/customXml" ds:itemID="{95A7D058-2D9E-44A7-ACF0-0C8FE1599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553D94-A5E8-4955-A4E1-E5AB9F8B3236}">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2987</Words>
  <Characters>16430</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2024-10-28T22:08:00Z</dcterms:created>
  <dcterms:modified xsi:type="dcterms:W3CDTF">2024-10-28T22:08:00Z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