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783664" w14:textId="302460E3" w:rsidR="00E6788C" w:rsidRPr="00CB71E4" w:rsidRDefault="00E6788C" w:rsidP="00E6788C">
      <w:pPr>
        <w:spacing w:after="0" w:line="240" w:lineRule="auto"/>
        <w:jc w:val="both"/>
        <w:rPr>
          <w:rStyle w:val="eop"/>
          <w:rFonts w:ascii="Verdana" w:hAnsi="Verdana" w:cs="Arial"/>
          <w:color w:val="000000"/>
          <w:sz w:val="20"/>
          <w:szCs w:val="20"/>
          <w:shd w:val="clear" w:color="auto" w:fill="FFFFFF"/>
        </w:rPr>
      </w:pPr>
      <w:bookmarkStart w:id="0" w:name="_Hlk143780582"/>
    </w:p>
    <w:p w14:paraId="0F6DDA4B" w14:textId="7F3A36F7" w:rsidR="00CB71E4" w:rsidRPr="00CB71E4" w:rsidRDefault="00CB71E4" w:rsidP="00CB71E4">
      <w:pPr>
        <w:spacing w:after="120" w:line="276" w:lineRule="auto"/>
        <w:jc w:val="both"/>
        <w:rPr>
          <w:rFonts w:ascii="Verdana" w:hAnsi="Verdana" w:cs="Arial"/>
          <w:b/>
          <w:lang w:val="es-ES_tradnl"/>
        </w:rPr>
      </w:pPr>
      <w:r w:rsidRPr="00CB71E4">
        <w:rPr>
          <w:rFonts w:ascii="Verdana" w:hAnsi="Verdana" w:cs="Arial"/>
          <w:b/>
          <w:lang w:val="es-ES_tradnl"/>
        </w:rPr>
        <w:t xml:space="preserve">INHABILIDADES E INCOMPATIBILIDADES – Concepto – Principio de legalidad – Interpretación restrictiva  </w:t>
      </w:r>
    </w:p>
    <w:p w14:paraId="5CAD1063" w14:textId="4301970D" w:rsidR="00CB71E4" w:rsidRPr="00CB71E4" w:rsidRDefault="00CB71E4" w:rsidP="00CB71E4">
      <w:pPr>
        <w:spacing w:after="120" w:line="276" w:lineRule="auto"/>
        <w:jc w:val="both"/>
        <w:rPr>
          <w:rFonts w:ascii="Verdana" w:hAnsi="Verdana" w:cs="Arial"/>
          <w:b/>
          <w:lang w:val="es-ES_tradnl"/>
        </w:rPr>
      </w:pPr>
    </w:p>
    <w:p w14:paraId="2F0C9B93" w14:textId="39ABD6E3" w:rsidR="00CB71E4" w:rsidRPr="00CB71E4" w:rsidRDefault="00CB71E4" w:rsidP="00CB71E4">
      <w:pPr>
        <w:spacing w:after="120" w:line="276" w:lineRule="auto"/>
        <w:jc w:val="both"/>
        <w:rPr>
          <w:rFonts w:ascii="Verdana" w:hAnsi="Verdana" w:cs="Arial"/>
          <w:b/>
          <w:sz w:val="20"/>
          <w:lang w:val="es-ES_tradnl"/>
        </w:rPr>
      </w:pPr>
      <w:r w:rsidRPr="00CB71E4">
        <w:rPr>
          <w:rFonts w:ascii="Verdana" w:hAnsi="Verdana"/>
          <w:sz w:val="20"/>
        </w:rPr>
        <w:t>Ahora bien, las inhabilidades e incompatibilidades, al ser restricciones o límites especiales a la capacidad para presentar ofertas y celebrar contratos estatales, solo pueden tipificarse en la ley y su interpretación debe ser restrictiva. De admitirse una interpretación extensiva, tales enunciados normativos podrían contemplar múltiples supuestos indeterminados, adquiriendo un cariz subjetivo, según el parecer o el sentido común de los operadores jurídicos, poniendo en riesgo principios como la igualdad, el debido proceso, la libre concurrencia y el ejercicio de la profesión u oficio.</w:t>
      </w:r>
    </w:p>
    <w:p w14:paraId="0C0D8F2C" w14:textId="77777777" w:rsidR="00CB71E4" w:rsidRPr="00CB71E4" w:rsidRDefault="00CB71E4" w:rsidP="00CB71E4">
      <w:pPr>
        <w:spacing w:after="120" w:line="276" w:lineRule="auto"/>
        <w:jc w:val="both"/>
        <w:rPr>
          <w:rFonts w:ascii="Verdana" w:hAnsi="Verdana" w:cs="Arial"/>
          <w:b/>
          <w:lang w:val="es-ES_tradnl"/>
        </w:rPr>
      </w:pPr>
    </w:p>
    <w:p w14:paraId="1941C796" w14:textId="73EB3548" w:rsidR="00CB71E4" w:rsidRDefault="00CB71E4" w:rsidP="00CB71E4">
      <w:pPr>
        <w:spacing w:after="120" w:line="276" w:lineRule="auto"/>
        <w:jc w:val="both"/>
        <w:rPr>
          <w:rFonts w:ascii="Verdana" w:hAnsi="Verdana" w:cs="Arial"/>
          <w:b/>
          <w:lang w:val="es-ES_tradnl"/>
        </w:rPr>
      </w:pPr>
      <w:r w:rsidRPr="00CB71E4">
        <w:rPr>
          <w:rFonts w:ascii="Verdana" w:hAnsi="Verdana" w:cs="Arial"/>
          <w:b/>
          <w:lang w:val="es-ES_tradnl"/>
        </w:rPr>
        <w:t>INCOMPATIBILIDAD – Ley 80 de 1993 – Artículo 8, numeral 2, literal b) – Relaciones de parentesco</w:t>
      </w:r>
    </w:p>
    <w:p w14:paraId="216812C7" w14:textId="77777777" w:rsidR="00CB71E4" w:rsidRPr="00CB71E4" w:rsidRDefault="00CB71E4" w:rsidP="00CB71E4">
      <w:pPr>
        <w:spacing w:after="120" w:line="276" w:lineRule="auto"/>
        <w:jc w:val="both"/>
        <w:rPr>
          <w:rFonts w:ascii="Verdana" w:eastAsia="Calibri" w:hAnsi="Verdana" w:cs="Arial"/>
          <w:b/>
          <w:bCs/>
          <w:color w:val="000000"/>
          <w:kern w:val="2"/>
          <w:lang w:val="es-ES_tradnl"/>
          <w14:ligatures w14:val="standardContextual"/>
        </w:rPr>
      </w:pPr>
    </w:p>
    <w:p w14:paraId="10048A7E" w14:textId="59567F61" w:rsidR="00CB71E4" w:rsidRPr="00CB71E4" w:rsidRDefault="00CB71E4" w:rsidP="00CB71E4">
      <w:pPr>
        <w:jc w:val="both"/>
        <w:rPr>
          <w:rFonts w:ascii="Verdana" w:hAnsi="Verdana"/>
        </w:rPr>
      </w:pPr>
      <w:r w:rsidRPr="00CB71E4">
        <w:rPr>
          <w:rFonts w:ascii="Verdana" w:hAnsi="Verdana"/>
          <w:sz w:val="20"/>
        </w:rPr>
        <w:t>(…) En relación con el supuesto de hecho materia de consulta resulta relevante analizar si se configura la incompatibilidad establecida en el literal b del numeral 2 artículo 8 de la Ley 80 de 1993, en virtud de la cual no pueden celebrar contratos estatales “(…) 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w:t>
      </w:r>
      <w:r w:rsidRPr="00CB71E4">
        <w:rPr>
          <w:rFonts w:ascii="Verdana" w:hAnsi="Verdana"/>
        </w:rPr>
        <w:br w:type="page"/>
      </w:r>
    </w:p>
    <w:p w14:paraId="4B8023D1" w14:textId="3EF31F4C" w:rsidR="00C07952" w:rsidRPr="00CB71E4" w:rsidRDefault="00102B2A" w:rsidP="00102B2A">
      <w:pPr>
        <w:spacing w:after="0"/>
        <w:jc w:val="both"/>
        <w:rPr>
          <w:rFonts w:ascii="Verdana" w:hAnsi="Verdana"/>
        </w:rPr>
      </w:pPr>
      <w:r w:rsidRPr="00CB71E4">
        <w:rPr>
          <w:rFonts w:ascii="Verdana" w:hAnsi="Verdana"/>
        </w:rPr>
        <w:lastRenderedPageBreak/>
        <w:t>Bogotá D.C.</w:t>
      </w:r>
      <w:r w:rsidR="00C07952" w:rsidRPr="00CB71E4">
        <w:rPr>
          <w:rFonts w:ascii="Verdana" w:hAnsi="Verdana"/>
        </w:rPr>
        <w:t>, 23 de septiembre de 2024</w:t>
      </w:r>
    </w:p>
    <w:p w14:paraId="08BC575A" w14:textId="77777777" w:rsidR="00C07952" w:rsidRPr="00CB71E4" w:rsidRDefault="00C07952" w:rsidP="00102B2A">
      <w:pPr>
        <w:spacing w:after="0"/>
        <w:jc w:val="both"/>
        <w:rPr>
          <w:rFonts w:ascii="Verdana" w:hAnsi="Verdana"/>
        </w:rPr>
      </w:pPr>
    </w:p>
    <w:p w14:paraId="3EAC5982" w14:textId="017DEF2C" w:rsidR="00102B2A" w:rsidRPr="00CB71E4" w:rsidRDefault="00102B2A" w:rsidP="00C07952">
      <w:pPr>
        <w:spacing w:after="0"/>
        <w:jc w:val="right"/>
        <w:rPr>
          <w:rFonts w:ascii="Verdana" w:hAnsi="Verdana"/>
        </w:rPr>
      </w:pPr>
      <w:r w:rsidRPr="00CB71E4">
        <w:rPr>
          <w:rFonts w:ascii="Verdana" w:hAnsi="Verdana"/>
        </w:rPr>
        <w:tab/>
      </w:r>
      <w:r w:rsidR="00C07952" w:rsidRPr="00CB71E4">
        <w:rPr>
          <w:rFonts w:ascii="Verdana" w:hAnsi="Verdana"/>
          <w:noProof/>
        </w:rPr>
        <w:drawing>
          <wp:inline distT="0" distB="0" distL="0" distR="0" wp14:anchorId="574D1D2F" wp14:editId="7A99C6FD">
            <wp:extent cx="3105148" cy="872586"/>
            <wp:effectExtent l="0" t="0" r="635"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14296" cy="875157"/>
                    </a:xfrm>
                    <a:prstGeom prst="rect">
                      <a:avLst/>
                    </a:prstGeom>
                  </pic:spPr>
                </pic:pic>
              </a:graphicData>
            </a:graphic>
          </wp:inline>
        </w:drawing>
      </w:r>
    </w:p>
    <w:p w14:paraId="74F294B5" w14:textId="77777777" w:rsidR="00102B2A" w:rsidRPr="00CB71E4" w:rsidRDefault="00102B2A" w:rsidP="00102B2A">
      <w:pPr>
        <w:spacing w:after="0"/>
        <w:jc w:val="both"/>
        <w:rPr>
          <w:rFonts w:ascii="Verdana" w:hAnsi="Verdana"/>
        </w:rPr>
      </w:pPr>
    </w:p>
    <w:p w14:paraId="193FE4B5" w14:textId="77777777" w:rsidR="00102B2A" w:rsidRPr="00CB71E4" w:rsidRDefault="00102B2A" w:rsidP="00102B2A">
      <w:pPr>
        <w:spacing w:after="0"/>
        <w:jc w:val="both"/>
        <w:rPr>
          <w:rFonts w:ascii="Verdana" w:hAnsi="Verdana"/>
          <w:lang w:val="es-MX"/>
        </w:rPr>
      </w:pPr>
      <w:r w:rsidRPr="00CB71E4">
        <w:rPr>
          <w:rFonts w:ascii="Verdana" w:hAnsi="Verdana"/>
          <w:lang w:val="es-MX"/>
        </w:rPr>
        <w:t>Señora</w:t>
      </w:r>
    </w:p>
    <w:p w14:paraId="7FD86C03" w14:textId="55F2D49E" w:rsidR="00102B2A" w:rsidRPr="00CB71E4" w:rsidRDefault="00AC2B48" w:rsidP="00102B2A">
      <w:pPr>
        <w:spacing w:after="0"/>
        <w:jc w:val="both"/>
        <w:rPr>
          <w:rFonts w:ascii="Verdana" w:hAnsi="Verdana"/>
        </w:rPr>
      </w:pPr>
      <w:r w:rsidRPr="00CB71E4">
        <w:rPr>
          <w:rFonts w:ascii="Verdana" w:hAnsi="Verdana"/>
          <w:b/>
        </w:rPr>
        <w:t>Angie Daniela Benítez Velandia</w:t>
      </w:r>
      <w:r w:rsidR="00102B2A" w:rsidRPr="00CB71E4">
        <w:rPr>
          <w:rFonts w:ascii="Verdana" w:hAnsi="Verdana"/>
          <w:b/>
        </w:rPr>
        <w:tab/>
      </w:r>
      <w:r w:rsidR="00102B2A" w:rsidRPr="00CB71E4">
        <w:rPr>
          <w:rFonts w:ascii="Verdana" w:hAnsi="Verdana"/>
          <w:bCs/>
        </w:rPr>
        <w:br/>
      </w:r>
      <w:hyperlink r:id="rId12" w:history="1">
        <w:r w:rsidR="00102B2A" w:rsidRPr="00CB71E4">
          <w:rPr>
            <w:rStyle w:val="Hipervnculo"/>
            <w:rFonts w:ascii="Verdana" w:hAnsi="Verdana"/>
          </w:rPr>
          <w:t>danielabenitezv09@gmail.com</w:t>
        </w:r>
      </w:hyperlink>
    </w:p>
    <w:p w14:paraId="2CB4A34E" w14:textId="77777777" w:rsidR="00102B2A" w:rsidRPr="00CB71E4" w:rsidRDefault="00102B2A" w:rsidP="00102B2A">
      <w:pPr>
        <w:spacing w:after="0"/>
        <w:jc w:val="both"/>
        <w:rPr>
          <w:rFonts w:ascii="Verdana" w:hAnsi="Verdana"/>
        </w:rPr>
      </w:pPr>
      <w:r w:rsidRPr="00CB71E4">
        <w:rPr>
          <w:rFonts w:ascii="Verdana" w:hAnsi="Verdana"/>
        </w:rPr>
        <w:t>Bogotá D.C</w:t>
      </w:r>
    </w:p>
    <w:p w14:paraId="28E9B6B0" w14:textId="77777777" w:rsidR="00102B2A" w:rsidRPr="00CB71E4" w:rsidRDefault="00102B2A" w:rsidP="00102B2A">
      <w:pPr>
        <w:spacing w:after="0"/>
        <w:jc w:val="both"/>
        <w:rPr>
          <w:rFonts w:ascii="Verdana" w:hAnsi="Verdana"/>
        </w:rPr>
      </w:pPr>
    </w:p>
    <w:p w14:paraId="29123F20" w14:textId="63DC55FE" w:rsidR="00102B2A" w:rsidRPr="00CB71E4" w:rsidRDefault="00102B2A" w:rsidP="00102B2A">
      <w:pPr>
        <w:spacing w:after="0" w:line="240" w:lineRule="auto"/>
        <w:ind w:left="2694"/>
        <w:jc w:val="both"/>
        <w:rPr>
          <w:rFonts w:ascii="Verdana" w:eastAsia="Calibri" w:hAnsi="Verdana" w:cs="Arial"/>
          <w:b/>
          <w:bCs/>
          <w:lang w:val="es-ES" w:eastAsia="es-ES"/>
        </w:rPr>
      </w:pPr>
      <w:r w:rsidRPr="00CB71E4">
        <w:rPr>
          <w:rFonts w:ascii="Verdana" w:eastAsia="Calibri" w:hAnsi="Verdana" w:cs="Arial"/>
          <w:b/>
          <w:bCs/>
          <w:lang w:val="es-ES" w:eastAsia="es-ES"/>
        </w:rPr>
        <w:t>Concepto C–470 de 2024</w:t>
      </w:r>
    </w:p>
    <w:p w14:paraId="3C0C8983" w14:textId="77777777" w:rsidR="00102B2A" w:rsidRPr="00CB71E4" w:rsidRDefault="00102B2A" w:rsidP="00102B2A">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102B2A" w:rsidRPr="00CB71E4" w14:paraId="00A36005" w14:textId="77777777" w:rsidTr="004043DA">
        <w:trPr>
          <w:trHeight w:val="884"/>
        </w:trPr>
        <w:tc>
          <w:tcPr>
            <w:tcW w:w="2685" w:type="dxa"/>
            <w:hideMark/>
          </w:tcPr>
          <w:p w14:paraId="48044D17" w14:textId="77777777" w:rsidR="00102B2A" w:rsidRPr="00CB71E4" w:rsidRDefault="00102B2A" w:rsidP="004043DA">
            <w:pPr>
              <w:jc w:val="both"/>
              <w:rPr>
                <w:rFonts w:ascii="Verdana" w:eastAsia="Calibri" w:hAnsi="Verdana" w:cs="Arial"/>
                <w:b/>
                <w:szCs w:val="24"/>
                <w:lang w:val="es-ES_tradnl" w:eastAsia="es-ES_tradnl"/>
              </w:rPr>
            </w:pPr>
            <w:r w:rsidRPr="00CB71E4">
              <w:rPr>
                <w:rFonts w:ascii="Verdana" w:eastAsia="Calibri" w:hAnsi="Verdana" w:cs="Arial"/>
                <w:b/>
                <w:szCs w:val="24"/>
                <w:lang w:val="es-ES_tradnl" w:eastAsia="es-ES_tradnl"/>
              </w:rPr>
              <w:t xml:space="preserve">Temas:                   </w:t>
            </w:r>
          </w:p>
        </w:tc>
        <w:tc>
          <w:tcPr>
            <w:tcW w:w="6241" w:type="dxa"/>
            <w:hideMark/>
          </w:tcPr>
          <w:p w14:paraId="51A7AF81" w14:textId="71333B93" w:rsidR="006617E3" w:rsidRPr="00CB71E4" w:rsidRDefault="006617E3" w:rsidP="00AC2B48">
            <w:pPr>
              <w:spacing w:after="120" w:line="276" w:lineRule="auto"/>
              <w:jc w:val="both"/>
              <w:rPr>
                <w:rFonts w:ascii="Verdana" w:eastAsia="Calibri" w:hAnsi="Verdana" w:cs="Arial"/>
                <w:b/>
                <w:bCs/>
                <w:color w:val="000000"/>
                <w:kern w:val="2"/>
                <w:lang w:val="es-ES_tradnl"/>
                <w14:ligatures w14:val="standardContextual"/>
              </w:rPr>
            </w:pPr>
            <w:r w:rsidRPr="00CB71E4">
              <w:rPr>
                <w:rFonts w:ascii="Verdana" w:hAnsi="Verdana" w:cs="Arial"/>
                <w:lang w:val="es-ES_tradnl"/>
              </w:rPr>
              <w:t>INHABILIDADES E INCOMPATIBILIDADES – Concepto – Principio de legalidad – Interpretación restrictiva</w:t>
            </w:r>
            <w:r w:rsidR="00CE499B" w:rsidRPr="00CB71E4">
              <w:rPr>
                <w:rFonts w:ascii="Verdana" w:hAnsi="Verdana" w:cs="Arial"/>
                <w:lang w:val="es-ES_tradnl"/>
              </w:rPr>
              <w:t xml:space="preserve"> / INCOMPATIBILIDAD – Ley 80 de 1993 – Artículo 8, numeral 2, literal b) – Relaciones de parentesco</w:t>
            </w:r>
          </w:p>
          <w:p w14:paraId="6C1F3652" w14:textId="21B7E0A2" w:rsidR="00E6788C" w:rsidRPr="00CB71E4" w:rsidRDefault="00E6788C" w:rsidP="00AC2B48">
            <w:pPr>
              <w:spacing w:after="120" w:line="276" w:lineRule="auto"/>
              <w:jc w:val="both"/>
              <w:rPr>
                <w:rFonts w:ascii="Verdana" w:eastAsia="Calibri" w:hAnsi="Verdana" w:cs="Arial"/>
                <w:lang w:eastAsia="es-ES"/>
              </w:rPr>
            </w:pPr>
          </w:p>
          <w:p w14:paraId="680E57C6" w14:textId="6D658EAB" w:rsidR="00102B2A" w:rsidRPr="00CB71E4" w:rsidRDefault="00102B2A" w:rsidP="00AC2B48">
            <w:pPr>
              <w:spacing w:after="120" w:line="276" w:lineRule="auto"/>
              <w:jc w:val="both"/>
              <w:rPr>
                <w:rFonts w:ascii="Verdana" w:hAnsi="Verdana"/>
              </w:rPr>
            </w:pPr>
          </w:p>
        </w:tc>
        <w:tc>
          <w:tcPr>
            <w:tcW w:w="6237" w:type="dxa"/>
          </w:tcPr>
          <w:p w14:paraId="094A40C4" w14:textId="77777777" w:rsidR="00102B2A" w:rsidRPr="00CB71E4" w:rsidRDefault="00102B2A" w:rsidP="004043DA">
            <w:pPr>
              <w:jc w:val="both"/>
              <w:rPr>
                <w:rFonts w:ascii="Verdana" w:hAnsi="Verdana" w:cs="Arial"/>
                <w:lang w:val="es-ES"/>
              </w:rPr>
            </w:pPr>
          </w:p>
        </w:tc>
      </w:tr>
      <w:tr w:rsidR="00102B2A" w:rsidRPr="00CB71E4" w14:paraId="763DCC94" w14:textId="77777777" w:rsidTr="004043DA">
        <w:tc>
          <w:tcPr>
            <w:tcW w:w="2685" w:type="dxa"/>
            <w:hideMark/>
          </w:tcPr>
          <w:p w14:paraId="16A757DE" w14:textId="77777777" w:rsidR="00102B2A" w:rsidRPr="00CB71E4" w:rsidRDefault="00102B2A" w:rsidP="004043DA">
            <w:pPr>
              <w:spacing w:before="120"/>
              <w:jc w:val="both"/>
              <w:rPr>
                <w:rFonts w:ascii="Verdana" w:eastAsia="Calibri" w:hAnsi="Verdana" w:cs="Arial"/>
                <w:b/>
                <w:szCs w:val="24"/>
                <w:lang w:val="es-ES_tradnl" w:eastAsia="es-ES_tradnl"/>
              </w:rPr>
            </w:pPr>
            <w:r w:rsidRPr="00CB71E4">
              <w:rPr>
                <w:rFonts w:ascii="Verdana" w:eastAsia="Calibri" w:hAnsi="Verdana" w:cs="Arial"/>
                <w:b/>
                <w:szCs w:val="24"/>
                <w:lang w:val="es-ES_tradnl" w:eastAsia="es-ES_tradnl"/>
              </w:rPr>
              <w:t xml:space="preserve">Radicación:               </w:t>
            </w:r>
          </w:p>
        </w:tc>
        <w:tc>
          <w:tcPr>
            <w:tcW w:w="6241" w:type="dxa"/>
            <w:hideMark/>
          </w:tcPr>
          <w:p w14:paraId="2CE28E08" w14:textId="704ADF39" w:rsidR="00102B2A" w:rsidRPr="00CB71E4" w:rsidRDefault="00102B2A" w:rsidP="004043DA">
            <w:pPr>
              <w:spacing w:before="120" w:line="276" w:lineRule="auto"/>
              <w:jc w:val="both"/>
              <w:rPr>
                <w:rFonts w:ascii="Verdana" w:eastAsia="Calibri" w:hAnsi="Verdana" w:cs="Arial"/>
                <w:szCs w:val="24"/>
                <w:lang w:val="es-ES_tradnl" w:eastAsia="es-ES_tradnl"/>
              </w:rPr>
            </w:pPr>
            <w:r w:rsidRPr="00CB71E4">
              <w:rPr>
                <w:rFonts w:ascii="Verdana" w:eastAsia="Calibri" w:hAnsi="Verdana" w:cs="Arial"/>
                <w:szCs w:val="24"/>
                <w:lang w:val="es-ES_tradnl" w:eastAsia="es-ES_tradnl"/>
              </w:rPr>
              <w:t>Respuesta a consulta con radicado No. P20240809008187</w:t>
            </w:r>
          </w:p>
        </w:tc>
        <w:tc>
          <w:tcPr>
            <w:tcW w:w="6237" w:type="dxa"/>
          </w:tcPr>
          <w:p w14:paraId="0A6F9899" w14:textId="77777777" w:rsidR="00102B2A" w:rsidRPr="00CB71E4" w:rsidRDefault="00102B2A" w:rsidP="004043DA">
            <w:pPr>
              <w:spacing w:before="120"/>
              <w:jc w:val="both"/>
              <w:rPr>
                <w:rFonts w:ascii="Verdana" w:eastAsia="Calibri" w:hAnsi="Verdana" w:cs="Arial"/>
                <w:szCs w:val="24"/>
                <w:lang w:val="es-ES_tradnl" w:eastAsia="es-ES_tradnl"/>
              </w:rPr>
            </w:pPr>
          </w:p>
        </w:tc>
      </w:tr>
    </w:tbl>
    <w:p w14:paraId="3BDE4BA8" w14:textId="77777777" w:rsidR="00102B2A" w:rsidRPr="00CB71E4" w:rsidRDefault="00102B2A" w:rsidP="00102B2A">
      <w:pPr>
        <w:spacing w:after="0" w:line="240" w:lineRule="auto"/>
        <w:jc w:val="both"/>
        <w:rPr>
          <w:rFonts w:ascii="Verdana" w:eastAsia="Calibri" w:hAnsi="Verdana" w:cs="Arial"/>
          <w:szCs w:val="24"/>
          <w:lang w:val="es-ES_tradnl" w:eastAsia="es-ES_tradnl"/>
        </w:rPr>
      </w:pPr>
    </w:p>
    <w:p w14:paraId="5A092DE4" w14:textId="1D986CB0" w:rsidR="00102B2A" w:rsidRPr="00CB71E4" w:rsidRDefault="00102B2A" w:rsidP="00102B2A">
      <w:pPr>
        <w:spacing w:after="0" w:line="240" w:lineRule="auto"/>
        <w:jc w:val="both"/>
        <w:rPr>
          <w:rFonts w:ascii="Verdana" w:eastAsia="Calibri" w:hAnsi="Verdana" w:cs="Arial"/>
          <w:lang w:val="es-ES" w:eastAsia="es-ES"/>
        </w:rPr>
      </w:pPr>
      <w:r w:rsidRPr="00CB71E4">
        <w:rPr>
          <w:rFonts w:ascii="Verdana" w:eastAsia="Calibri" w:hAnsi="Verdana" w:cs="Arial"/>
          <w:lang w:val="es-ES" w:eastAsia="es-ES"/>
        </w:rPr>
        <w:t xml:space="preserve">Estimada señora Angie: </w:t>
      </w:r>
    </w:p>
    <w:p w14:paraId="2D327712" w14:textId="77777777" w:rsidR="00102B2A" w:rsidRPr="00CB71E4" w:rsidRDefault="00102B2A" w:rsidP="00102B2A">
      <w:pPr>
        <w:spacing w:after="0" w:line="240" w:lineRule="auto"/>
        <w:jc w:val="both"/>
        <w:rPr>
          <w:rFonts w:ascii="Verdana" w:eastAsia="Calibri" w:hAnsi="Verdana" w:cs="Arial"/>
          <w:lang w:val="es-ES" w:eastAsia="es-ES"/>
        </w:rPr>
      </w:pPr>
    </w:p>
    <w:p w14:paraId="040EAEF5" w14:textId="02B1D2AC" w:rsidR="00102B2A" w:rsidRPr="00CB71E4" w:rsidRDefault="00102B2A" w:rsidP="00102B2A">
      <w:pPr>
        <w:spacing w:after="120" w:line="276" w:lineRule="auto"/>
        <w:jc w:val="both"/>
        <w:rPr>
          <w:rFonts w:ascii="Verdana" w:eastAsia="Calibri" w:hAnsi="Verdana" w:cs="Arial"/>
          <w:lang w:val="es-ES" w:eastAsia="es-ES"/>
        </w:rPr>
      </w:pPr>
      <w:r w:rsidRPr="00CB71E4">
        <w:rPr>
          <w:rFonts w:ascii="Verdana" w:eastAsia="Calibri" w:hAnsi="Verdana" w:cs="Arial"/>
          <w:lang w:val="es-ES" w:eastAsia="es-ES"/>
        </w:rPr>
        <w:t>En ejercicio de la competencia otorgada por los artículos 3, numeral 5º, y 11, numeral 8º, del Decreto Ley 4170 de 2011,</w:t>
      </w:r>
      <w:r w:rsidRPr="00CB71E4">
        <w:rPr>
          <w:rFonts w:ascii="Verdana" w:eastAsia="Arial MT" w:hAnsi="Verdana" w:cs="Arial MT"/>
          <w:lang w:val="es-ES" w:eastAsia="es-ES"/>
        </w:rPr>
        <w:t xml:space="preserve"> </w:t>
      </w:r>
      <w:r w:rsidRPr="00CB71E4">
        <w:rPr>
          <w:rFonts w:ascii="Verdana" w:eastAsia="Calibri" w:hAnsi="Verdana" w:cs="Arial"/>
          <w:lang w:val="es-ES" w:eastAsia="es-ES"/>
        </w:rPr>
        <w:t xml:space="preserve">la Agencia Nacional de Contratación Pública – Colombia Compra Eficiente– responde las solicitudes de consulta del remitida por parte del Departamento Administrativo de la Función Pública mediante memorando </w:t>
      </w:r>
      <w:r w:rsidRPr="00CB71E4">
        <w:rPr>
          <w:rFonts w:ascii="Verdana" w:hAnsi="Verdana"/>
        </w:rPr>
        <w:t xml:space="preserve">20242040486871 del 26 julio de 2024 y radicada el 09 de agosto de 2024. </w:t>
      </w:r>
      <w:r w:rsidRPr="00CB71E4">
        <w:rPr>
          <w:rFonts w:ascii="Verdana" w:eastAsia="Calibri" w:hAnsi="Verdana" w:cs="Arial"/>
          <w:lang w:val="es-ES" w:eastAsia="es-ES"/>
        </w:rPr>
        <w:t>En la cual manifiesta lo siguiente:</w:t>
      </w:r>
    </w:p>
    <w:p w14:paraId="23FFC665" w14:textId="35B9C2FF" w:rsidR="00102B2A" w:rsidRPr="00CB71E4" w:rsidRDefault="00102B2A" w:rsidP="00102B2A">
      <w:pPr>
        <w:spacing w:after="0" w:line="240" w:lineRule="auto"/>
        <w:ind w:left="709" w:right="709"/>
        <w:jc w:val="both"/>
        <w:rPr>
          <w:rFonts w:ascii="Verdana" w:hAnsi="Verdana"/>
          <w:sz w:val="20"/>
        </w:rPr>
      </w:pPr>
      <w:r w:rsidRPr="00CB71E4">
        <w:rPr>
          <w:rFonts w:ascii="Verdana" w:eastAsia="Calibri" w:hAnsi="Verdana" w:cs="Arial"/>
          <w:sz w:val="20"/>
          <w:szCs w:val="20"/>
          <w:lang w:val="es-ES" w:eastAsia="es-ES"/>
        </w:rPr>
        <w:t>“(…)</w:t>
      </w:r>
      <w:r w:rsidR="002E437A" w:rsidRPr="00CB71E4">
        <w:rPr>
          <w:rFonts w:ascii="Verdana" w:eastAsia="Calibri" w:hAnsi="Verdana" w:cs="Arial"/>
          <w:sz w:val="20"/>
          <w:lang w:val="es-ES" w:eastAsia="es-ES"/>
        </w:rPr>
        <w:t>Con el fin de resolver cuestionamientos jurídicos respecto a la contratación de profesionales en la administración municipal, nos planteamos el siguiente interrogante, esperando que nos puedan brindar orientación para la toma de decisiones: ¿Es factible firmar contrato de prestación de servicios profesionales con una persona que es hermana de la gestora social “primera dama” del municipio? Lo anterior, teniendo en cuenta el parentesco y que la gestora social es pareja sentimental del alcalde, pero con ausencia de vínculo matrimonial y no ostentan unión marital de hecho vigente</w:t>
      </w:r>
      <w:r w:rsidR="0054619A" w:rsidRPr="00CB71E4">
        <w:rPr>
          <w:rFonts w:ascii="Verdana" w:eastAsia="Calibri" w:hAnsi="Verdana" w:cs="Arial"/>
          <w:sz w:val="20"/>
          <w:lang w:val="es-ES" w:eastAsia="es-ES"/>
        </w:rPr>
        <w:t xml:space="preserve"> </w:t>
      </w:r>
      <w:r w:rsidRPr="00CB71E4">
        <w:rPr>
          <w:rFonts w:ascii="Verdana" w:eastAsia="Calibri" w:hAnsi="Verdana" w:cs="Arial"/>
          <w:sz w:val="20"/>
          <w:szCs w:val="20"/>
          <w:lang w:eastAsia="es-ES"/>
        </w:rPr>
        <w:t>(…)</w:t>
      </w:r>
      <w:r w:rsidR="0054619A" w:rsidRPr="00CB71E4">
        <w:rPr>
          <w:rFonts w:ascii="Verdana" w:eastAsia="Calibri" w:hAnsi="Verdana" w:cs="Arial"/>
          <w:sz w:val="20"/>
          <w:szCs w:val="20"/>
          <w:lang w:eastAsia="es-ES"/>
        </w:rPr>
        <w:t>”</w:t>
      </w:r>
    </w:p>
    <w:p w14:paraId="266AD999" w14:textId="77777777" w:rsidR="00102B2A" w:rsidRPr="00CB71E4" w:rsidRDefault="00102B2A" w:rsidP="00102B2A">
      <w:pPr>
        <w:spacing w:after="0" w:line="240" w:lineRule="auto"/>
        <w:ind w:left="709" w:right="709"/>
        <w:jc w:val="both"/>
        <w:rPr>
          <w:rFonts w:ascii="Verdana" w:eastAsia="Calibri" w:hAnsi="Verdana" w:cs="Arial"/>
          <w:sz w:val="20"/>
          <w:szCs w:val="20"/>
          <w:lang w:val="es-ES" w:eastAsia="es-ES"/>
        </w:rPr>
      </w:pPr>
    </w:p>
    <w:p w14:paraId="6C2A924E" w14:textId="77777777" w:rsidR="00102B2A" w:rsidRPr="00CB71E4" w:rsidRDefault="00102B2A" w:rsidP="00102B2A">
      <w:pPr>
        <w:spacing w:after="120" w:line="276" w:lineRule="auto"/>
        <w:jc w:val="both"/>
        <w:rPr>
          <w:rFonts w:ascii="Verdana" w:eastAsia="Calibri" w:hAnsi="Verdana" w:cs="Arial"/>
          <w:lang w:val="es-ES" w:eastAsia="es-ES"/>
        </w:rPr>
      </w:pPr>
      <w:r w:rsidRPr="00CB71E4">
        <w:rPr>
          <w:rFonts w:ascii="Verdana" w:eastAsia="Calibri" w:hAnsi="Verdana" w:cs="Arial"/>
          <w:lang w:val="es-ES_tradnl" w:eastAsia="es-ES_tradnl"/>
        </w:rPr>
        <w:tab/>
      </w:r>
      <w:r w:rsidRPr="00CB71E4">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383B9E5E" w14:textId="77777777" w:rsidR="00102B2A" w:rsidRPr="00CB71E4" w:rsidRDefault="00102B2A" w:rsidP="00102B2A">
      <w:pPr>
        <w:spacing w:after="0" w:line="276" w:lineRule="auto"/>
        <w:jc w:val="both"/>
        <w:rPr>
          <w:rFonts w:ascii="Verdana" w:eastAsia="Calibri" w:hAnsi="Verdana" w:cs="Arial"/>
          <w:lang w:val="es-ES" w:eastAsia="es-ES"/>
        </w:rPr>
      </w:pPr>
      <w:r w:rsidRPr="00CB71E4">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2374281" w14:textId="77777777" w:rsidR="00102B2A" w:rsidRPr="00CB71E4" w:rsidRDefault="00102B2A" w:rsidP="00102B2A">
      <w:pPr>
        <w:spacing w:after="0" w:line="276" w:lineRule="auto"/>
        <w:jc w:val="both"/>
        <w:rPr>
          <w:rFonts w:ascii="Verdana" w:eastAsia="Calibri" w:hAnsi="Verdana" w:cs="Arial"/>
          <w:lang w:val="es-ES" w:eastAsia="es-ES"/>
        </w:rPr>
      </w:pPr>
    </w:p>
    <w:p w14:paraId="7CFF3E34" w14:textId="77777777" w:rsidR="00102B2A" w:rsidRPr="00CB71E4" w:rsidRDefault="00102B2A" w:rsidP="00102B2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B71E4">
        <w:rPr>
          <w:rFonts w:ascii="Verdana" w:eastAsia="Century Gothic" w:hAnsi="Verdana" w:cs="Century Gothic"/>
          <w:b/>
          <w:bCs/>
        </w:rPr>
        <w:t>Problema planteado:</w:t>
      </w:r>
    </w:p>
    <w:p w14:paraId="67024DF2" w14:textId="77777777" w:rsidR="00102B2A" w:rsidRPr="00CB71E4" w:rsidRDefault="00102B2A" w:rsidP="00102B2A">
      <w:pPr>
        <w:spacing w:after="0" w:line="240" w:lineRule="auto"/>
        <w:jc w:val="both"/>
        <w:rPr>
          <w:rFonts w:ascii="Verdana" w:eastAsia="Century Gothic" w:hAnsi="Verdana" w:cs="Century Gothic"/>
        </w:rPr>
      </w:pPr>
    </w:p>
    <w:p w14:paraId="5E751CE5" w14:textId="6DA245A7" w:rsidR="00102B2A" w:rsidRPr="00CB71E4" w:rsidRDefault="00102B2A" w:rsidP="00102B2A">
      <w:pPr>
        <w:spacing w:after="0" w:line="276" w:lineRule="auto"/>
        <w:jc w:val="both"/>
        <w:rPr>
          <w:rFonts w:ascii="Verdana" w:eastAsia="Century Gothic" w:hAnsi="Verdana" w:cs="Century Gothic"/>
        </w:rPr>
      </w:pPr>
      <w:r w:rsidRPr="00CB71E4">
        <w:rPr>
          <w:rFonts w:ascii="Verdana" w:eastAsia="Century Gothic" w:hAnsi="Verdana" w:cs="Century Gothic"/>
        </w:rPr>
        <w:t xml:space="preserve">De acuerdo con el contenido de su solicitud, esta Agencia </w:t>
      </w:r>
      <w:r w:rsidR="00B60843" w:rsidRPr="00CB71E4">
        <w:rPr>
          <w:rFonts w:ascii="Verdana" w:eastAsia="Century Gothic" w:hAnsi="Verdana" w:cs="Century Gothic"/>
        </w:rPr>
        <w:t>el</w:t>
      </w:r>
      <w:r w:rsidRPr="00CB71E4">
        <w:rPr>
          <w:rFonts w:ascii="Verdana" w:eastAsia="Century Gothic" w:hAnsi="Verdana" w:cs="Century Gothic"/>
        </w:rPr>
        <w:t xml:space="preserve"> siguiente problema jurídico</w:t>
      </w:r>
      <w:r w:rsidR="00B60843" w:rsidRPr="00CB71E4">
        <w:rPr>
          <w:rFonts w:ascii="Verdana" w:eastAsia="Century Gothic" w:hAnsi="Verdana" w:cs="Century Gothic"/>
        </w:rPr>
        <w:t xml:space="preserve"> </w:t>
      </w:r>
      <w:r w:rsidRPr="00CB71E4">
        <w:rPr>
          <w:rFonts w:ascii="Verdana" w:eastAsia="Century Gothic" w:hAnsi="Verdana" w:cs="Century Gothic"/>
        </w:rPr>
        <w:t>¿</w:t>
      </w:r>
      <w:r w:rsidR="00B60843" w:rsidRPr="00CB71E4">
        <w:rPr>
          <w:rFonts w:ascii="Verdana" w:eastAsia="Century Gothic" w:hAnsi="Verdana" w:cs="Century Gothic"/>
        </w:rPr>
        <w:t xml:space="preserve">se </w:t>
      </w:r>
      <w:r w:rsidR="0054619A" w:rsidRPr="00CB71E4">
        <w:rPr>
          <w:rFonts w:ascii="Verdana" w:eastAsia="Century Gothic" w:hAnsi="Verdana" w:cs="Century Gothic"/>
        </w:rPr>
        <w:t xml:space="preserve">configura inhabilidad </w:t>
      </w:r>
      <w:r w:rsidR="0034653C" w:rsidRPr="00CB71E4">
        <w:rPr>
          <w:rFonts w:ascii="Verdana" w:eastAsia="Century Gothic" w:hAnsi="Verdana" w:cs="Century Gothic"/>
        </w:rPr>
        <w:t>para contratar</w:t>
      </w:r>
      <w:r w:rsidR="00522920" w:rsidRPr="00CB71E4">
        <w:rPr>
          <w:rFonts w:ascii="Verdana" w:eastAsia="Century Gothic" w:hAnsi="Verdana" w:cs="Century Gothic"/>
        </w:rPr>
        <w:t xml:space="preserve"> </w:t>
      </w:r>
      <w:r w:rsidR="00162BF7" w:rsidRPr="00CB71E4">
        <w:rPr>
          <w:rFonts w:ascii="Verdana" w:eastAsia="Century Gothic" w:hAnsi="Verdana" w:cs="Century Gothic"/>
        </w:rPr>
        <w:t>en</w:t>
      </w:r>
      <w:r w:rsidR="00B60843" w:rsidRPr="00CB71E4">
        <w:rPr>
          <w:rFonts w:ascii="Verdana" w:eastAsia="Century Gothic" w:hAnsi="Verdana" w:cs="Century Gothic"/>
        </w:rPr>
        <w:t xml:space="preserve"> </w:t>
      </w:r>
      <w:r w:rsidR="009F2452" w:rsidRPr="00CB71E4">
        <w:rPr>
          <w:rFonts w:ascii="Verdana" w:eastAsia="Century Gothic" w:hAnsi="Verdana" w:cs="Century Gothic"/>
        </w:rPr>
        <w:t xml:space="preserve">la hermana de la </w:t>
      </w:r>
      <w:r w:rsidR="004603C6" w:rsidRPr="00CB71E4">
        <w:rPr>
          <w:rFonts w:ascii="Verdana" w:eastAsia="Century Gothic" w:hAnsi="Verdana" w:cs="Century Gothic"/>
        </w:rPr>
        <w:t>novia</w:t>
      </w:r>
      <w:r w:rsidR="00B60843" w:rsidRPr="00CB71E4">
        <w:rPr>
          <w:rFonts w:ascii="Verdana" w:eastAsia="Century Gothic" w:hAnsi="Verdana" w:cs="Century Gothic"/>
        </w:rPr>
        <w:t xml:space="preserve"> del representante legal de la entidad</w:t>
      </w:r>
      <w:r w:rsidR="004603C6" w:rsidRPr="00CB71E4">
        <w:rPr>
          <w:rFonts w:ascii="Verdana" w:eastAsia="Century Gothic" w:hAnsi="Verdana" w:cs="Century Gothic"/>
        </w:rPr>
        <w:t xml:space="preserve"> estatal de la entidad en </w:t>
      </w:r>
      <w:r w:rsidR="008438AC" w:rsidRPr="00CB71E4">
        <w:rPr>
          <w:rFonts w:ascii="Verdana" w:eastAsia="Century Gothic" w:hAnsi="Verdana" w:cs="Century Gothic"/>
        </w:rPr>
        <w:t xml:space="preserve">virtud </w:t>
      </w:r>
      <w:r w:rsidR="004603C6" w:rsidRPr="00CB71E4">
        <w:rPr>
          <w:rFonts w:ascii="Verdana" w:eastAsia="Century Gothic" w:hAnsi="Verdana" w:cs="Century Gothic"/>
        </w:rPr>
        <w:t>de dicho vinculo</w:t>
      </w:r>
      <w:r w:rsidRPr="00CB71E4">
        <w:rPr>
          <w:rFonts w:ascii="Verdana" w:eastAsia="Century Gothic" w:hAnsi="Verdana" w:cs="Century Gothic"/>
        </w:rPr>
        <w:t xml:space="preserve">? </w:t>
      </w:r>
    </w:p>
    <w:p w14:paraId="4DE2712E" w14:textId="77777777" w:rsidR="00102B2A" w:rsidRPr="00CB71E4" w:rsidRDefault="00102B2A" w:rsidP="00102B2A">
      <w:pPr>
        <w:spacing w:after="0" w:line="276" w:lineRule="auto"/>
        <w:jc w:val="both"/>
        <w:rPr>
          <w:rFonts w:ascii="Verdana" w:eastAsia="Century Gothic" w:hAnsi="Verdana" w:cs="Century Gothic"/>
        </w:rPr>
      </w:pPr>
    </w:p>
    <w:p w14:paraId="2D203819" w14:textId="6802DCD1" w:rsidR="00B60843" w:rsidRPr="00CB71E4" w:rsidRDefault="00102B2A" w:rsidP="00B6084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B71E4">
        <w:rPr>
          <w:rFonts w:ascii="Verdana" w:eastAsia="Century Gothic" w:hAnsi="Verdana" w:cs="Century Gothic"/>
          <w:b/>
          <w:bCs/>
        </w:rPr>
        <w:t>Respuesta:</w:t>
      </w:r>
    </w:p>
    <w:p w14:paraId="50DE3F40" w14:textId="54852A03" w:rsidR="00B60843" w:rsidRPr="00CB71E4" w:rsidRDefault="00B60843" w:rsidP="00B60843">
      <w:pPr>
        <w:pStyle w:val="Prrafodelista"/>
        <w:tabs>
          <w:tab w:val="left" w:pos="142"/>
          <w:tab w:val="left" w:pos="284"/>
        </w:tabs>
        <w:spacing w:after="0" w:line="276" w:lineRule="auto"/>
        <w:ind w:left="0"/>
        <w:jc w:val="both"/>
        <w:rPr>
          <w:rFonts w:ascii="Verdana" w:eastAsia="Century Gothic" w:hAnsi="Verdana" w:cs="Century Gothic"/>
          <w:b/>
          <w:bCs/>
        </w:rPr>
      </w:pPr>
    </w:p>
    <w:p w14:paraId="2B553C91" w14:textId="7ABA917A" w:rsidR="004218F5" w:rsidRPr="00CB71E4" w:rsidRDefault="00761626" w:rsidP="007821FE">
      <w:pPr>
        <w:pStyle w:val="Prrafodelista"/>
        <w:tabs>
          <w:tab w:val="left" w:pos="142"/>
          <w:tab w:val="left" w:pos="284"/>
        </w:tabs>
        <w:spacing w:after="120" w:line="276" w:lineRule="auto"/>
        <w:ind w:left="0"/>
        <w:contextualSpacing w:val="0"/>
        <w:jc w:val="both"/>
        <w:rPr>
          <w:rFonts w:ascii="Verdana" w:eastAsia="Century Gothic" w:hAnsi="Verdana" w:cs="Century Gothic"/>
          <w:bCs/>
        </w:rPr>
      </w:pPr>
      <w:r w:rsidRPr="00CB71E4">
        <w:rPr>
          <w:rFonts w:ascii="Verdana" w:eastAsia="Century Gothic" w:hAnsi="Verdana" w:cs="Century Gothic"/>
          <w:bCs/>
        </w:rPr>
        <w:t>De acuerdo con el criterio de interpretación restrictiva aplicable a</w:t>
      </w:r>
      <w:r w:rsidR="008438AC" w:rsidRPr="00CB71E4">
        <w:rPr>
          <w:rFonts w:ascii="Verdana" w:eastAsia="Century Gothic" w:hAnsi="Verdana" w:cs="Century Gothic"/>
          <w:bCs/>
        </w:rPr>
        <w:t xml:space="preserve"> las disposiciones del régimen de inhabilidades e incompatibilidades, </w:t>
      </w:r>
      <w:r w:rsidR="004218F5" w:rsidRPr="00CB71E4">
        <w:rPr>
          <w:rFonts w:ascii="Verdana" w:eastAsia="Century Gothic" w:hAnsi="Verdana" w:cs="Century Gothic"/>
          <w:bCs/>
        </w:rPr>
        <w:t xml:space="preserve">no se advierte que se configure inhabilidad para celebrar contratos estatales </w:t>
      </w:r>
      <w:r w:rsidR="00A24961" w:rsidRPr="00CB71E4">
        <w:rPr>
          <w:rFonts w:ascii="Verdana" w:eastAsia="Century Gothic" w:hAnsi="Verdana" w:cs="Century Gothic"/>
          <w:bCs/>
        </w:rPr>
        <w:t>con</w:t>
      </w:r>
      <w:r w:rsidR="004218F5" w:rsidRPr="00CB71E4">
        <w:rPr>
          <w:rFonts w:ascii="Verdana" w:eastAsia="Century Gothic" w:hAnsi="Verdana" w:cs="Century Gothic"/>
          <w:bCs/>
        </w:rPr>
        <w:t xml:space="preserve"> </w:t>
      </w:r>
      <w:r w:rsidR="00961415" w:rsidRPr="00CB71E4">
        <w:rPr>
          <w:rFonts w:ascii="Verdana" w:eastAsia="Century Gothic" w:hAnsi="Verdana" w:cs="Century Gothic"/>
          <w:bCs/>
        </w:rPr>
        <w:t>personas que</w:t>
      </w:r>
      <w:r w:rsidR="00A24961" w:rsidRPr="00CB71E4">
        <w:rPr>
          <w:rFonts w:ascii="Verdana" w:eastAsia="Century Gothic" w:hAnsi="Verdana" w:cs="Century Gothic"/>
          <w:bCs/>
        </w:rPr>
        <w:t xml:space="preserve"> tengan relaciones de </w:t>
      </w:r>
      <w:r w:rsidR="009B0477" w:rsidRPr="00CB71E4">
        <w:rPr>
          <w:rFonts w:ascii="Verdana" w:eastAsia="Century Gothic" w:hAnsi="Verdana" w:cs="Century Gothic"/>
          <w:bCs/>
        </w:rPr>
        <w:t>parentesco en segundo grado de consanguinidad con la pareja sentimental</w:t>
      </w:r>
      <w:r w:rsidR="00A24961" w:rsidRPr="00CB71E4">
        <w:rPr>
          <w:rFonts w:ascii="Verdana" w:eastAsia="Century Gothic" w:hAnsi="Verdana" w:cs="Century Gothic"/>
          <w:bCs/>
        </w:rPr>
        <w:t xml:space="preserve"> </w:t>
      </w:r>
      <w:r w:rsidR="009B0477" w:rsidRPr="00CB71E4">
        <w:rPr>
          <w:rFonts w:ascii="Verdana" w:eastAsia="Century Gothic" w:hAnsi="Verdana" w:cs="Century Gothic"/>
          <w:bCs/>
        </w:rPr>
        <w:t xml:space="preserve">del representante legal </w:t>
      </w:r>
      <w:r w:rsidR="00A24961" w:rsidRPr="00CB71E4">
        <w:rPr>
          <w:rFonts w:ascii="Verdana" w:eastAsia="Century Gothic" w:hAnsi="Verdana" w:cs="Century Gothic"/>
          <w:bCs/>
        </w:rPr>
        <w:t xml:space="preserve">de la entidad estatal contratante. </w:t>
      </w:r>
      <w:r w:rsidR="004218F5" w:rsidRPr="00CB71E4">
        <w:rPr>
          <w:rFonts w:ascii="Verdana" w:eastAsia="Century Gothic" w:hAnsi="Verdana" w:cs="Century Gothic"/>
          <w:bCs/>
        </w:rPr>
        <w:t xml:space="preserve"> </w:t>
      </w:r>
      <w:r w:rsidR="009E1BEB" w:rsidRPr="00CB71E4">
        <w:rPr>
          <w:rFonts w:ascii="Verdana" w:eastAsia="Century Gothic" w:hAnsi="Verdana" w:cs="Century Gothic"/>
          <w:bCs/>
        </w:rPr>
        <w:t xml:space="preserve">En este </w:t>
      </w:r>
      <w:r w:rsidR="006832EB" w:rsidRPr="00CB71E4">
        <w:rPr>
          <w:rFonts w:ascii="Verdana" w:eastAsia="Century Gothic" w:hAnsi="Verdana" w:cs="Century Gothic"/>
          <w:bCs/>
        </w:rPr>
        <w:t>evento</w:t>
      </w:r>
      <w:r w:rsidR="009E1BEB" w:rsidRPr="00CB71E4">
        <w:rPr>
          <w:rFonts w:ascii="Verdana" w:eastAsia="Century Gothic" w:hAnsi="Verdana" w:cs="Century Gothic"/>
          <w:bCs/>
        </w:rPr>
        <w:t xml:space="preserve">, </w:t>
      </w:r>
      <w:r w:rsidR="006832EB" w:rsidRPr="00CB71E4">
        <w:rPr>
          <w:rFonts w:ascii="Verdana" w:eastAsia="Century Gothic" w:hAnsi="Verdana" w:cs="Century Gothic"/>
          <w:bCs/>
        </w:rPr>
        <w:t>no hay lugar a</w:t>
      </w:r>
      <w:r w:rsidR="00937B97" w:rsidRPr="00CB71E4">
        <w:rPr>
          <w:rFonts w:ascii="Verdana" w:eastAsia="Century Gothic" w:hAnsi="Verdana" w:cs="Century Gothic"/>
          <w:bCs/>
        </w:rPr>
        <w:t xml:space="preserve"> la aplicación de la incompatibilidad prevista en el literal b) del numeral 2 </w:t>
      </w:r>
      <w:r w:rsidR="00673613" w:rsidRPr="00CB71E4">
        <w:rPr>
          <w:rFonts w:ascii="Verdana" w:eastAsia="Century Gothic" w:hAnsi="Verdana" w:cs="Century Gothic"/>
          <w:bCs/>
        </w:rPr>
        <w:t>del artículo 8 de la Ley 80 de 1993, como</w:t>
      </w:r>
      <w:r w:rsidR="00B33737" w:rsidRPr="00CB71E4">
        <w:rPr>
          <w:rFonts w:ascii="Verdana" w:eastAsia="Century Gothic" w:hAnsi="Verdana" w:cs="Century Gothic"/>
          <w:bCs/>
        </w:rPr>
        <w:t xml:space="preserve"> </w:t>
      </w:r>
      <w:r w:rsidR="00673613" w:rsidRPr="00CB71E4">
        <w:rPr>
          <w:rFonts w:ascii="Verdana" w:eastAsia="Century Gothic" w:hAnsi="Verdana" w:cs="Century Gothic"/>
          <w:bCs/>
        </w:rPr>
        <w:t>quiera que</w:t>
      </w:r>
      <w:r w:rsidR="0028173A" w:rsidRPr="00CB71E4">
        <w:rPr>
          <w:rFonts w:ascii="Verdana" w:eastAsia="Century Gothic" w:hAnsi="Verdana" w:cs="Century Gothic"/>
          <w:bCs/>
        </w:rPr>
        <w:t xml:space="preserve">, la inexistencia de </w:t>
      </w:r>
      <w:r w:rsidR="00DD5B43" w:rsidRPr="00CB71E4">
        <w:rPr>
          <w:rFonts w:ascii="Verdana" w:eastAsia="Century Gothic" w:hAnsi="Verdana" w:cs="Century Gothic"/>
          <w:bCs/>
        </w:rPr>
        <w:t>vínculo</w:t>
      </w:r>
      <w:r w:rsidR="0028173A" w:rsidRPr="00CB71E4">
        <w:rPr>
          <w:rFonts w:ascii="Verdana" w:eastAsia="Century Gothic" w:hAnsi="Verdana" w:cs="Century Gothic"/>
          <w:bCs/>
        </w:rPr>
        <w:t xml:space="preserve"> matrimonial o marital de </w:t>
      </w:r>
      <w:r w:rsidR="00CB1BBB" w:rsidRPr="00CB71E4">
        <w:rPr>
          <w:rFonts w:ascii="Verdana" w:eastAsia="Century Gothic" w:hAnsi="Verdana" w:cs="Century Gothic"/>
          <w:bCs/>
        </w:rPr>
        <w:t>hecho</w:t>
      </w:r>
      <w:r w:rsidR="0028173A" w:rsidRPr="00CB71E4">
        <w:rPr>
          <w:rFonts w:ascii="Verdana" w:eastAsia="Century Gothic" w:hAnsi="Verdana" w:cs="Century Gothic"/>
          <w:bCs/>
        </w:rPr>
        <w:t xml:space="preserve"> </w:t>
      </w:r>
      <w:r w:rsidR="006832EB" w:rsidRPr="00CB71E4">
        <w:rPr>
          <w:rFonts w:ascii="Verdana" w:eastAsia="Century Gothic" w:hAnsi="Verdana" w:cs="Century Gothic"/>
          <w:bCs/>
        </w:rPr>
        <w:t xml:space="preserve">descarta la configuración del supuesto de hecho previsto en dicho literal. </w:t>
      </w:r>
    </w:p>
    <w:p w14:paraId="14AC2604" w14:textId="1B6D79C2" w:rsidR="004218F5" w:rsidRPr="00CB71E4" w:rsidRDefault="0011709A" w:rsidP="008438AC">
      <w:pPr>
        <w:pStyle w:val="Prrafodelista"/>
        <w:tabs>
          <w:tab w:val="left" w:pos="142"/>
          <w:tab w:val="left" w:pos="284"/>
        </w:tabs>
        <w:spacing w:after="0" w:line="276" w:lineRule="auto"/>
        <w:ind w:left="0"/>
        <w:jc w:val="both"/>
        <w:rPr>
          <w:rFonts w:ascii="Verdana" w:eastAsia="Century Gothic" w:hAnsi="Verdana" w:cs="Century Gothic"/>
          <w:bCs/>
        </w:rPr>
      </w:pPr>
      <w:r w:rsidRPr="00CB71E4">
        <w:rPr>
          <w:rFonts w:ascii="Verdana" w:eastAsia="Century Gothic" w:hAnsi="Verdana" w:cs="Century Gothic"/>
          <w:bCs/>
        </w:rPr>
        <w:lastRenderedPageBreak/>
        <w:tab/>
      </w:r>
      <w:r w:rsidRPr="00CB71E4">
        <w:rPr>
          <w:rFonts w:ascii="Verdana" w:eastAsia="Century Gothic" w:hAnsi="Verdana" w:cs="Century Gothic"/>
          <w:bCs/>
        </w:rPr>
        <w:tab/>
      </w:r>
      <w:r w:rsidRPr="00CB71E4">
        <w:rPr>
          <w:rFonts w:ascii="Verdana" w:eastAsia="Century Gothic" w:hAnsi="Verdana" w:cs="Century Gothic"/>
          <w:bCs/>
        </w:rPr>
        <w:tab/>
        <w:t>Sin perjuicio de lo anterior, corresponde a las Entidades Estatales</w:t>
      </w:r>
      <w:r w:rsidR="008C5060" w:rsidRPr="00CB71E4">
        <w:rPr>
          <w:rFonts w:ascii="Verdana" w:eastAsia="Century Gothic" w:hAnsi="Verdana" w:cs="Century Gothic"/>
          <w:bCs/>
        </w:rPr>
        <w:t xml:space="preserve">, al verificar la capacidad jurídica de </w:t>
      </w:r>
      <w:r w:rsidR="00E07EA1" w:rsidRPr="00CB71E4">
        <w:rPr>
          <w:rFonts w:ascii="Verdana" w:eastAsia="Century Gothic" w:hAnsi="Verdana" w:cs="Century Gothic"/>
          <w:bCs/>
        </w:rPr>
        <w:t xml:space="preserve">las personas con quienes pretenden suscribir contratos, determinar en cada caso concreto si se configura alguna </w:t>
      </w:r>
      <w:r w:rsidR="00F1078A" w:rsidRPr="00CB71E4">
        <w:rPr>
          <w:rFonts w:ascii="Verdana" w:eastAsia="Century Gothic" w:hAnsi="Verdana" w:cs="Century Gothic"/>
          <w:bCs/>
        </w:rPr>
        <w:t>inhabilidad, incompatibilidad</w:t>
      </w:r>
      <w:r w:rsidR="00F45AE6" w:rsidRPr="00CB71E4">
        <w:rPr>
          <w:rFonts w:ascii="Verdana" w:eastAsia="Century Gothic" w:hAnsi="Verdana" w:cs="Century Gothic"/>
          <w:bCs/>
        </w:rPr>
        <w:t xml:space="preserve"> o </w:t>
      </w:r>
      <w:r w:rsidR="00FD2486" w:rsidRPr="00CB71E4">
        <w:rPr>
          <w:rFonts w:ascii="Verdana" w:eastAsia="Century Gothic" w:hAnsi="Verdana" w:cs="Century Gothic"/>
          <w:bCs/>
        </w:rPr>
        <w:t xml:space="preserve">conflicto de interés. </w:t>
      </w:r>
    </w:p>
    <w:p w14:paraId="62E4C2C4" w14:textId="77777777" w:rsidR="00102B2A" w:rsidRPr="00CB71E4" w:rsidRDefault="00102B2A" w:rsidP="00102B2A">
      <w:pPr>
        <w:pStyle w:val="Prrafodelista"/>
        <w:tabs>
          <w:tab w:val="left" w:pos="142"/>
          <w:tab w:val="left" w:pos="284"/>
        </w:tabs>
        <w:spacing w:after="0" w:line="276" w:lineRule="auto"/>
        <w:ind w:left="0"/>
        <w:jc w:val="both"/>
        <w:rPr>
          <w:rFonts w:ascii="Verdana" w:eastAsia="Century Gothic" w:hAnsi="Verdana" w:cs="Century Gothic"/>
        </w:rPr>
      </w:pPr>
    </w:p>
    <w:p w14:paraId="7D10B596" w14:textId="77777777" w:rsidR="00102B2A" w:rsidRPr="00CB71E4" w:rsidRDefault="00102B2A" w:rsidP="00102B2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B71E4">
        <w:rPr>
          <w:rFonts w:ascii="Verdana" w:eastAsia="Century Gothic" w:hAnsi="Verdana" w:cs="Century Gothic"/>
          <w:b/>
          <w:bCs/>
        </w:rPr>
        <w:t>Razones de la respuesta:</w:t>
      </w:r>
    </w:p>
    <w:p w14:paraId="05133A46" w14:textId="6042D352" w:rsidR="00102B2A" w:rsidRPr="00CB71E4" w:rsidRDefault="00102B2A" w:rsidP="00102B2A">
      <w:pPr>
        <w:pStyle w:val="Prrafodelista"/>
        <w:tabs>
          <w:tab w:val="left" w:pos="142"/>
          <w:tab w:val="left" w:pos="284"/>
        </w:tabs>
        <w:spacing w:after="0" w:line="276" w:lineRule="auto"/>
        <w:ind w:left="0"/>
        <w:jc w:val="both"/>
        <w:rPr>
          <w:rFonts w:ascii="Verdana" w:eastAsia="Century Gothic" w:hAnsi="Verdana" w:cs="Century Gothic"/>
          <w:b/>
          <w:bCs/>
        </w:rPr>
      </w:pPr>
    </w:p>
    <w:p w14:paraId="0897330E" w14:textId="77777777" w:rsidR="007B3B96" w:rsidRPr="00CB71E4" w:rsidRDefault="007B3B96" w:rsidP="007B3B96">
      <w:pPr>
        <w:spacing w:after="0" w:line="276" w:lineRule="auto"/>
        <w:jc w:val="both"/>
        <w:rPr>
          <w:rFonts w:ascii="Verdana" w:eastAsia="Calibri" w:hAnsi="Verdana" w:cs="Arial"/>
          <w:lang w:val="es-ES"/>
        </w:rPr>
      </w:pPr>
      <w:r w:rsidRPr="00CB71E4">
        <w:rPr>
          <w:rFonts w:ascii="Verdana" w:eastAsia="Calibri" w:hAnsi="Verdana" w:cs="Arial"/>
          <w:lang w:val="es-ES"/>
        </w:rPr>
        <w:t xml:space="preserve">Lo anterior se sustenta en las siguientes consideraciones: </w:t>
      </w:r>
    </w:p>
    <w:p w14:paraId="2B8E6672" w14:textId="77777777" w:rsidR="007B3B96" w:rsidRPr="00CB71E4" w:rsidRDefault="007B3B96" w:rsidP="007B3B96">
      <w:pPr>
        <w:spacing w:after="0" w:line="276" w:lineRule="auto"/>
        <w:jc w:val="both"/>
        <w:rPr>
          <w:rFonts w:ascii="Verdana" w:eastAsia="Calibri" w:hAnsi="Verdana" w:cs="Arial"/>
          <w:color w:val="7030A0"/>
          <w:lang w:val="es-ES"/>
        </w:rPr>
      </w:pPr>
    </w:p>
    <w:p w14:paraId="666CB82C" w14:textId="4BA054F1" w:rsidR="007B3B96" w:rsidRPr="00CB71E4" w:rsidRDefault="00F1078A" w:rsidP="007821FE">
      <w:pPr>
        <w:spacing w:after="120" w:line="276" w:lineRule="auto"/>
        <w:jc w:val="both"/>
        <w:rPr>
          <w:rFonts w:ascii="Verdana" w:hAnsi="Verdana" w:cs="Arial"/>
          <w:lang w:eastAsia="es-ES_tradnl"/>
        </w:rPr>
      </w:pPr>
      <w:r w:rsidRPr="00CB71E4">
        <w:rPr>
          <w:rFonts w:ascii="Verdana" w:eastAsia="Calibri" w:hAnsi="Verdana" w:cs="Arial"/>
        </w:rPr>
        <w:t>L</w:t>
      </w:r>
      <w:r w:rsidR="007B3B96" w:rsidRPr="00CB71E4">
        <w:rPr>
          <w:rFonts w:ascii="Verdana" w:hAnsi="Verdana" w:cs="Arial"/>
          <w:lang w:eastAsia="es-ES_tradnl"/>
        </w:rPr>
        <w:t>a Ley 80 de 1993 facultó de manera expresa a las entidades estatales para celebrar contratos y los demás acuerdos que permitan la autonomía de la voluntad y requieran el cumplimiento de los fines estatales, así como la continua y eficiente prestación de servicios públicos</w:t>
      </w:r>
      <w:r w:rsidR="007B3B96" w:rsidRPr="00CB71E4">
        <w:rPr>
          <w:rStyle w:val="Refdenotaalpie"/>
          <w:rFonts w:ascii="Verdana" w:hAnsi="Verdana" w:cs="Arial"/>
          <w:lang w:eastAsia="es-ES_tradnl"/>
        </w:rPr>
        <w:footnoteReference w:id="2"/>
      </w:r>
      <w:r w:rsidR="007B3B96" w:rsidRPr="00CB71E4">
        <w:rPr>
          <w:rFonts w:ascii="Verdana" w:hAnsi="Verdana" w:cs="Arial"/>
          <w:lang w:eastAsia="es-ES_tradnl"/>
        </w:rPr>
        <w:t>. Esto significa que las entidades estatales que se rigen por la Ley 80 de 1993, en virtud de la reseñada autonomía de la voluntad, pueden celebrar todos los acuerdos, indistintamente de su denominación como contratos o convenios, etc., que requieran para el cumplimiento de sus objetivos misionales y la consecuente realización de los fines estatales. No en vano, la función administrativa está al servicio de los intereses generales y para ello las autoridades administrativas tienen la obligación de coordinar sus actuaciones con el objetivo de lograr el adecuado cumplimiento de los fines del Estado</w:t>
      </w:r>
      <w:r w:rsidR="007B3B96" w:rsidRPr="00CB71E4">
        <w:rPr>
          <w:rStyle w:val="Refdenotaalpie"/>
          <w:rFonts w:ascii="Verdana" w:hAnsi="Verdana" w:cs="Arial"/>
          <w:lang w:eastAsia="es-ES_tradnl"/>
        </w:rPr>
        <w:footnoteReference w:id="3"/>
      </w:r>
      <w:r w:rsidR="007B3B96" w:rsidRPr="00CB71E4">
        <w:rPr>
          <w:rFonts w:ascii="Verdana" w:hAnsi="Verdana" w:cs="Arial"/>
          <w:lang w:eastAsia="es-ES_tradnl"/>
        </w:rPr>
        <w:t>.</w:t>
      </w:r>
    </w:p>
    <w:p w14:paraId="7829658F" w14:textId="24AD96BE" w:rsidR="001C62B4" w:rsidRPr="00CB71E4" w:rsidRDefault="00F1078A" w:rsidP="00214BFC">
      <w:pPr>
        <w:widowControl w:val="0"/>
        <w:autoSpaceDE w:val="0"/>
        <w:autoSpaceDN w:val="0"/>
        <w:spacing w:after="0" w:line="276" w:lineRule="auto"/>
        <w:ind w:right="68" w:firstLine="708"/>
        <w:jc w:val="both"/>
        <w:rPr>
          <w:rFonts w:ascii="Verdana" w:eastAsia="Arial MT" w:hAnsi="Verdana" w:cs="Arial"/>
          <w:u w:val="single"/>
          <w:lang w:val="es-ES"/>
        </w:rPr>
      </w:pPr>
      <w:r w:rsidRPr="00CB71E4">
        <w:rPr>
          <w:rFonts w:ascii="Verdana" w:eastAsia="Calibri" w:hAnsi="Verdana" w:cs="Arial"/>
          <w:lang w:val="es-ES"/>
        </w:rPr>
        <w:t xml:space="preserve">Ahora bien, </w:t>
      </w:r>
      <w:r w:rsidRPr="00CB71E4">
        <w:rPr>
          <w:rFonts w:ascii="Verdana" w:eastAsia="Arial MT" w:hAnsi="Verdana" w:cs="Arial"/>
          <w:lang w:val="es-ES"/>
        </w:rPr>
        <w:t>e</w:t>
      </w:r>
      <w:r w:rsidR="001C62B4" w:rsidRPr="00CB71E4">
        <w:rPr>
          <w:rFonts w:ascii="Verdana" w:eastAsia="Arial MT" w:hAnsi="Verdana" w:cs="Arial"/>
          <w:lang w:val="es-ES"/>
        </w:rPr>
        <w:t>l régimen de inhabilidades e incompatibilidades en la contratación pública</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 xml:space="preserve">responde al propósito de asegurar que la actividad de adquisición y provisión </w:t>
      </w:r>
      <w:r w:rsidR="00DD5B43" w:rsidRPr="00CB71E4">
        <w:rPr>
          <w:rFonts w:ascii="Verdana" w:eastAsia="Arial MT" w:hAnsi="Verdana" w:cs="Arial"/>
          <w:lang w:val="es-ES"/>
        </w:rPr>
        <w:t xml:space="preserve">de </w:t>
      </w:r>
      <w:r w:rsidR="00DD5B43" w:rsidRPr="00CB71E4">
        <w:rPr>
          <w:rFonts w:ascii="Verdana" w:eastAsia="Arial MT" w:hAnsi="Verdana" w:cs="Arial"/>
          <w:spacing w:val="1"/>
          <w:lang w:val="es-ES"/>
        </w:rPr>
        <w:t>bienes</w:t>
      </w:r>
      <w:r w:rsidR="001C62B4" w:rsidRPr="00CB71E4">
        <w:rPr>
          <w:rFonts w:ascii="Verdana" w:eastAsia="Arial MT" w:hAnsi="Verdana" w:cs="Arial"/>
          <w:lang w:val="es-ES"/>
        </w:rPr>
        <w:t xml:space="preserve"> y servicios por parte de las entidades estatales se efectúe cumpliendo con los</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principios</w:t>
      </w:r>
      <w:r w:rsidR="001C62B4" w:rsidRPr="00CB71E4">
        <w:rPr>
          <w:rFonts w:ascii="Verdana" w:eastAsia="Arial MT" w:hAnsi="Verdana" w:cs="Arial"/>
          <w:spacing w:val="-11"/>
          <w:lang w:val="es-ES"/>
        </w:rPr>
        <w:t xml:space="preserve"> </w:t>
      </w:r>
      <w:r w:rsidR="001C62B4" w:rsidRPr="00CB71E4">
        <w:rPr>
          <w:rFonts w:ascii="Verdana" w:eastAsia="Arial MT" w:hAnsi="Verdana" w:cs="Arial"/>
          <w:lang w:val="es-ES"/>
        </w:rPr>
        <w:t>de</w:t>
      </w:r>
      <w:r w:rsidR="001C62B4" w:rsidRPr="00CB71E4">
        <w:rPr>
          <w:rFonts w:ascii="Verdana" w:eastAsia="Arial MT" w:hAnsi="Verdana" w:cs="Arial"/>
          <w:spacing w:val="-11"/>
          <w:lang w:val="es-ES"/>
        </w:rPr>
        <w:t xml:space="preserve"> </w:t>
      </w:r>
      <w:r w:rsidR="001C62B4" w:rsidRPr="00CB71E4">
        <w:rPr>
          <w:rFonts w:ascii="Verdana" w:eastAsia="Arial MT" w:hAnsi="Verdana" w:cs="Arial"/>
          <w:lang w:val="es-ES"/>
        </w:rPr>
        <w:t>la</w:t>
      </w:r>
      <w:r w:rsidR="001C62B4" w:rsidRPr="00CB71E4">
        <w:rPr>
          <w:rFonts w:ascii="Verdana" w:eastAsia="Arial MT" w:hAnsi="Verdana" w:cs="Arial"/>
          <w:spacing w:val="-11"/>
          <w:lang w:val="es-ES"/>
        </w:rPr>
        <w:t xml:space="preserve"> </w:t>
      </w:r>
      <w:r w:rsidR="001C62B4" w:rsidRPr="00CB71E4">
        <w:rPr>
          <w:rFonts w:ascii="Verdana" w:eastAsia="Arial MT" w:hAnsi="Verdana" w:cs="Arial"/>
          <w:lang w:val="es-ES"/>
        </w:rPr>
        <w:t>función</w:t>
      </w:r>
      <w:r w:rsidR="001C62B4" w:rsidRPr="00CB71E4">
        <w:rPr>
          <w:rFonts w:ascii="Verdana" w:eastAsia="Arial MT" w:hAnsi="Verdana" w:cs="Arial"/>
          <w:spacing w:val="-10"/>
          <w:lang w:val="es-ES"/>
        </w:rPr>
        <w:t xml:space="preserve"> </w:t>
      </w:r>
      <w:r w:rsidR="001C62B4" w:rsidRPr="00CB71E4">
        <w:rPr>
          <w:rFonts w:ascii="Verdana" w:eastAsia="Arial MT" w:hAnsi="Verdana" w:cs="Arial"/>
          <w:lang w:val="es-ES"/>
        </w:rPr>
        <w:t>administrativa</w:t>
      </w:r>
      <w:r w:rsidR="001C62B4" w:rsidRPr="00CB71E4">
        <w:rPr>
          <w:rFonts w:ascii="Verdana" w:eastAsia="Arial MT" w:hAnsi="Verdana" w:cs="Arial"/>
          <w:spacing w:val="-11"/>
          <w:lang w:val="es-ES"/>
        </w:rPr>
        <w:t xml:space="preserve"> </w:t>
      </w:r>
      <w:r w:rsidR="001C62B4" w:rsidRPr="00CB71E4">
        <w:rPr>
          <w:rFonts w:ascii="Verdana" w:eastAsia="Arial MT" w:hAnsi="Verdana" w:cs="Arial"/>
          <w:lang w:val="es-ES"/>
        </w:rPr>
        <w:t>y</w:t>
      </w:r>
      <w:r w:rsidR="001C62B4" w:rsidRPr="00CB71E4">
        <w:rPr>
          <w:rFonts w:ascii="Verdana" w:eastAsia="Arial MT" w:hAnsi="Verdana" w:cs="Arial"/>
          <w:spacing w:val="-10"/>
          <w:lang w:val="es-ES"/>
        </w:rPr>
        <w:t xml:space="preserve"> </w:t>
      </w:r>
      <w:r w:rsidR="001C62B4" w:rsidRPr="00CB71E4">
        <w:rPr>
          <w:rFonts w:ascii="Verdana" w:eastAsia="Arial MT" w:hAnsi="Verdana" w:cs="Arial"/>
          <w:lang w:val="es-ES"/>
        </w:rPr>
        <w:t>de</w:t>
      </w:r>
      <w:r w:rsidR="001C62B4" w:rsidRPr="00CB71E4">
        <w:rPr>
          <w:rFonts w:ascii="Verdana" w:eastAsia="Arial MT" w:hAnsi="Verdana" w:cs="Arial"/>
          <w:spacing w:val="-11"/>
          <w:lang w:val="es-ES"/>
        </w:rPr>
        <w:t xml:space="preserve"> </w:t>
      </w:r>
      <w:r w:rsidR="001C62B4" w:rsidRPr="00CB71E4">
        <w:rPr>
          <w:rFonts w:ascii="Verdana" w:eastAsia="Arial MT" w:hAnsi="Verdana" w:cs="Arial"/>
          <w:lang w:val="es-ES"/>
        </w:rPr>
        <w:t>la</w:t>
      </w:r>
      <w:r w:rsidR="001C62B4" w:rsidRPr="00CB71E4">
        <w:rPr>
          <w:rFonts w:ascii="Verdana" w:eastAsia="Arial MT" w:hAnsi="Verdana" w:cs="Arial"/>
          <w:spacing w:val="-11"/>
          <w:lang w:val="es-ES"/>
        </w:rPr>
        <w:t xml:space="preserve"> </w:t>
      </w:r>
      <w:r w:rsidR="001C62B4" w:rsidRPr="00CB71E4">
        <w:rPr>
          <w:rFonts w:ascii="Verdana" w:eastAsia="Arial MT" w:hAnsi="Verdana" w:cs="Arial"/>
          <w:lang w:val="es-ES"/>
        </w:rPr>
        <w:t>gestión</w:t>
      </w:r>
      <w:r w:rsidR="001C62B4" w:rsidRPr="00CB71E4">
        <w:rPr>
          <w:rFonts w:ascii="Verdana" w:eastAsia="Arial MT" w:hAnsi="Verdana" w:cs="Arial"/>
          <w:spacing w:val="-11"/>
          <w:lang w:val="es-ES"/>
        </w:rPr>
        <w:t xml:space="preserve"> </w:t>
      </w:r>
      <w:r w:rsidR="001C62B4" w:rsidRPr="00CB71E4">
        <w:rPr>
          <w:rFonts w:ascii="Verdana" w:eastAsia="Arial MT" w:hAnsi="Verdana" w:cs="Arial"/>
          <w:lang w:val="es-ES"/>
        </w:rPr>
        <w:t>fiscal,</w:t>
      </w:r>
      <w:r w:rsidR="001C62B4" w:rsidRPr="00CB71E4">
        <w:rPr>
          <w:rFonts w:ascii="Verdana" w:eastAsia="Arial MT" w:hAnsi="Verdana" w:cs="Arial"/>
          <w:spacing w:val="-10"/>
          <w:lang w:val="es-ES"/>
        </w:rPr>
        <w:t xml:space="preserve"> </w:t>
      </w:r>
      <w:r w:rsidR="001C62B4" w:rsidRPr="00CB71E4">
        <w:rPr>
          <w:rFonts w:ascii="Verdana" w:eastAsia="Arial MT" w:hAnsi="Verdana" w:cs="Arial"/>
          <w:lang w:val="es-ES"/>
        </w:rPr>
        <w:t>especialmente</w:t>
      </w:r>
      <w:r w:rsidR="001C62B4" w:rsidRPr="00CB71E4">
        <w:rPr>
          <w:rFonts w:ascii="Verdana" w:eastAsia="Arial MT" w:hAnsi="Verdana" w:cs="Arial"/>
          <w:spacing w:val="-11"/>
          <w:lang w:val="es-ES"/>
        </w:rPr>
        <w:t xml:space="preserve"> </w:t>
      </w:r>
      <w:r w:rsidR="001C62B4" w:rsidRPr="00CB71E4">
        <w:rPr>
          <w:rFonts w:ascii="Verdana" w:eastAsia="Arial MT" w:hAnsi="Verdana" w:cs="Arial"/>
          <w:lang w:val="es-ES"/>
        </w:rPr>
        <w:t>con</w:t>
      </w:r>
      <w:r w:rsidR="001C62B4" w:rsidRPr="00CB71E4">
        <w:rPr>
          <w:rFonts w:ascii="Verdana" w:eastAsia="Arial MT" w:hAnsi="Verdana" w:cs="Arial"/>
          <w:spacing w:val="-11"/>
          <w:lang w:val="es-ES"/>
        </w:rPr>
        <w:t xml:space="preserve"> </w:t>
      </w:r>
      <w:r w:rsidR="001C62B4" w:rsidRPr="00CB71E4">
        <w:rPr>
          <w:rFonts w:ascii="Verdana" w:eastAsia="Arial MT" w:hAnsi="Verdana" w:cs="Arial"/>
          <w:lang w:val="es-ES"/>
        </w:rPr>
        <w:t>probidad</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y</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transparencia.</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Por</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ello,</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como</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lo</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ha</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destacado</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la</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doctrina,</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las</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inhabilidades</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e</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incompatibilidades se han convertido en herramientas en la lucha contra la corrupción,</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adoptando</w:t>
      </w:r>
      <w:r w:rsidR="001C62B4" w:rsidRPr="00CB71E4">
        <w:rPr>
          <w:rFonts w:ascii="Verdana" w:eastAsia="Arial MT" w:hAnsi="Verdana" w:cs="Arial"/>
          <w:spacing w:val="-14"/>
          <w:lang w:val="es-ES"/>
        </w:rPr>
        <w:t xml:space="preserve"> </w:t>
      </w:r>
      <w:r w:rsidR="001C62B4" w:rsidRPr="00CB71E4">
        <w:rPr>
          <w:rFonts w:ascii="Verdana" w:eastAsia="Arial MT" w:hAnsi="Verdana" w:cs="Arial"/>
          <w:lang w:val="es-ES"/>
        </w:rPr>
        <w:t>paulatinamente</w:t>
      </w:r>
      <w:r w:rsidR="001C62B4" w:rsidRPr="00CB71E4">
        <w:rPr>
          <w:rFonts w:ascii="Verdana" w:eastAsia="Arial MT" w:hAnsi="Verdana" w:cs="Arial"/>
          <w:spacing w:val="-14"/>
          <w:lang w:val="es-ES"/>
        </w:rPr>
        <w:t xml:space="preserve"> </w:t>
      </w:r>
      <w:r w:rsidR="001C62B4" w:rsidRPr="00CB71E4">
        <w:rPr>
          <w:rFonts w:ascii="Verdana" w:eastAsia="Arial MT" w:hAnsi="Verdana" w:cs="Arial"/>
          <w:lang w:val="es-ES"/>
        </w:rPr>
        <w:t>un</w:t>
      </w:r>
      <w:r w:rsidR="001C62B4" w:rsidRPr="00CB71E4">
        <w:rPr>
          <w:rFonts w:ascii="Verdana" w:eastAsia="Arial MT" w:hAnsi="Verdana" w:cs="Arial"/>
          <w:spacing w:val="-14"/>
          <w:lang w:val="es-ES"/>
        </w:rPr>
        <w:t xml:space="preserve"> </w:t>
      </w:r>
      <w:r w:rsidR="001C62B4" w:rsidRPr="00CB71E4">
        <w:rPr>
          <w:rFonts w:ascii="Verdana" w:eastAsia="Arial MT" w:hAnsi="Verdana" w:cs="Arial"/>
          <w:lang w:val="es-ES"/>
        </w:rPr>
        <w:t>carácter</w:t>
      </w:r>
      <w:r w:rsidR="001C62B4" w:rsidRPr="00CB71E4">
        <w:rPr>
          <w:rFonts w:ascii="Verdana" w:eastAsia="Arial MT" w:hAnsi="Verdana" w:cs="Arial"/>
          <w:spacing w:val="-15"/>
          <w:lang w:val="es-ES"/>
        </w:rPr>
        <w:t xml:space="preserve"> </w:t>
      </w:r>
      <w:r w:rsidR="001C62B4" w:rsidRPr="00CB71E4">
        <w:rPr>
          <w:rFonts w:ascii="Verdana" w:eastAsia="Arial MT" w:hAnsi="Verdana" w:cs="Arial"/>
          <w:lang w:val="es-ES"/>
        </w:rPr>
        <w:t>sancionatorio</w:t>
      </w:r>
      <w:r w:rsidR="001C62B4" w:rsidRPr="00CB71E4">
        <w:rPr>
          <w:rFonts w:ascii="Verdana" w:eastAsia="Arial MT" w:hAnsi="Verdana" w:cs="Arial"/>
          <w:spacing w:val="-14"/>
          <w:lang w:val="es-ES"/>
        </w:rPr>
        <w:t xml:space="preserve"> </w:t>
      </w:r>
      <w:r w:rsidR="001C62B4" w:rsidRPr="00CB71E4">
        <w:rPr>
          <w:rFonts w:ascii="Verdana" w:eastAsia="Arial MT" w:hAnsi="Verdana" w:cs="Arial"/>
          <w:lang w:val="es-ES"/>
        </w:rPr>
        <w:t>o</w:t>
      </w:r>
      <w:r w:rsidR="001C62B4" w:rsidRPr="00CB71E4">
        <w:rPr>
          <w:rFonts w:ascii="Verdana" w:eastAsia="Arial MT" w:hAnsi="Verdana" w:cs="Arial"/>
          <w:spacing w:val="-15"/>
          <w:lang w:val="es-ES"/>
        </w:rPr>
        <w:t xml:space="preserve"> </w:t>
      </w:r>
      <w:r w:rsidR="001C62B4" w:rsidRPr="00CB71E4">
        <w:rPr>
          <w:rFonts w:ascii="Verdana" w:eastAsia="Arial MT" w:hAnsi="Verdana" w:cs="Arial"/>
          <w:lang w:val="es-ES"/>
        </w:rPr>
        <w:t>“</w:t>
      </w:r>
      <w:proofErr w:type="spellStart"/>
      <w:r w:rsidR="001C62B4" w:rsidRPr="00CB71E4">
        <w:rPr>
          <w:rFonts w:ascii="Verdana" w:eastAsia="Arial MT" w:hAnsi="Verdana" w:cs="Arial"/>
          <w:lang w:val="es-ES"/>
        </w:rPr>
        <w:t>neopunitivo</w:t>
      </w:r>
      <w:proofErr w:type="spellEnd"/>
      <w:r w:rsidR="001C62B4" w:rsidRPr="00CB71E4">
        <w:rPr>
          <w:rFonts w:ascii="Verdana" w:eastAsia="Arial MT" w:hAnsi="Verdana" w:cs="Arial"/>
          <w:lang w:val="es-ES"/>
        </w:rPr>
        <w:t>”</w:t>
      </w:r>
      <w:r w:rsidR="001C62B4" w:rsidRPr="00CB71E4">
        <w:rPr>
          <w:rFonts w:ascii="Verdana" w:eastAsia="Arial MT" w:hAnsi="Verdana" w:cs="Arial"/>
          <w:vertAlign w:val="superscript"/>
          <w:lang w:val="es-ES"/>
        </w:rPr>
        <w:footnoteReference w:id="4"/>
      </w:r>
      <w:r w:rsidR="001C62B4" w:rsidRPr="00CB71E4">
        <w:rPr>
          <w:rFonts w:ascii="Verdana" w:eastAsia="Arial MT" w:hAnsi="Verdana" w:cs="Arial"/>
          <w:lang w:val="es-ES"/>
        </w:rPr>
        <w:t>.</w:t>
      </w:r>
      <w:r w:rsidR="001C62B4" w:rsidRPr="00CB71E4">
        <w:rPr>
          <w:rFonts w:ascii="Verdana" w:eastAsia="Arial MT" w:hAnsi="Verdana" w:cs="Arial"/>
          <w:spacing w:val="-14"/>
          <w:lang w:val="es-ES"/>
        </w:rPr>
        <w:t xml:space="preserve"> </w:t>
      </w:r>
      <w:r w:rsidR="001C62B4" w:rsidRPr="00CB71E4">
        <w:rPr>
          <w:rFonts w:ascii="Verdana" w:eastAsia="Arial MT" w:hAnsi="Verdana" w:cs="Arial"/>
          <w:lang w:val="es-ES"/>
        </w:rPr>
        <w:t>Si</w:t>
      </w:r>
      <w:r w:rsidR="001C62B4" w:rsidRPr="00CB71E4">
        <w:rPr>
          <w:rFonts w:ascii="Verdana" w:eastAsia="Arial MT" w:hAnsi="Verdana" w:cs="Arial"/>
          <w:spacing w:val="-14"/>
          <w:lang w:val="es-ES"/>
        </w:rPr>
        <w:t xml:space="preserve"> </w:t>
      </w:r>
      <w:r w:rsidR="001C62B4" w:rsidRPr="00CB71E4">
        <w:rPr>
          <w:rFonts w:ascii="Verdana" w:eastAsia="Arial MT" w:hAnsi="Verdana" w:cs="Arial"/>
          <w:lang w:val="es-ES"/>
        </w:rPr>
        <w:t>bien</w:t>
      </w:r>
      <w:r w:rsidR="001C62B4" w:rsidRPr="00CB71E4">
        <w:rPr>
          <w:rFonts w:ascii="Verdana" w:eastAsia="Arial MT" w:hAnsi="Verdana" w:cs="Arial"/>
          <w:spacing w:val="-14"/>
          <w:lang w:val="es-ES"/>
        </w:rPr>
        <w:t xml:space="preserve"> </w:t>
      </w:r>
      <w:r w:rsidR="001C62B4" w:rsidRPr="00CB71E4">
        <w:rPr>
          <w:rFonts w:ascii="Verdana" w:eastAsia="Arial MT" w:hAnsi="Verdana" w:cs="Arial"/>
          <w:lang w:val="es-ES"/>
        </w:rPr>
        <w:t>no</w:t>
      </w:r>
      <w:r w:rsidR="001C62B4" w:rsidRPr="00CB71E4">
        <w:rPr>
          <w:rFonts w:ascii="Verdana" w:eastAsia="Arial MT" w:hAnsi="Verdana" w:cs="Arial"/>
          <w:spacing w:val="-14"/>
          <w:lang w:val="es-ES"/>
        </w:rPr>
        <w:t xml:space="preserve"> </w:t>
      </w:r>
      <w:r w:rsidR="001C62B4" w:rsidRPr="00CB71E4">
        <w:rPr>
          <w:rFonts w:ascii="Verdana" w:eastAsia="Arial MT" w:hAnsi="Verdana" w:cs="Arial"/>
          <w:lang w:val="es-ES"/>
        </w:rPr>
        <w:t>todas las causales de inhabilidad y de incompatibilidad son consecuencia de una medida de</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reproche</w:t>
      </w:r>
      <w:r w:rsidR="001C62B4" w:rsidRPr="00CB71E4">
        <w:rPr>
          <w:rFonts w:ascii="Verdana" w:eastAsia="Arial MT" w:hAnsi="Verdana" w:cs="Arial"/>
          <w:spacing w:val="2"/>
          <w:lang w:val="es-ES"/>
        </w:rPr>
        <w:t xml:space="preserve"> </w:t>
      </w:r>
      <w:r w:rsidR="001C62B4" w:rsidRPr="00CB71E4">
        <w:rPr>
          <w:rFonts w:ascii="Verdana" w:eastAsia="Arial MT" w:hAnsi="Verdana" w:cs="Arial"/>
          <w:lang w:val="es-ES"/>
        </w:rPr>
        <w:t>ni</w:t>
      </w:r>
      <w:r w:rsidR="001C62B4" w:rsidRPr="00CB71E4">
        <w:rPr>
          <w:rFonts w:ascii="Verdana" w:eastAsia="Arial MT" w:hAnsi="Verdana" w:cs="Arial"/>
          <w:spacing w:val="3"/>
          <w:lang w:val="es-ES"/>
        </w:rPr>
        <w:t xml:space="preserve"> </w:t>
      </w:r>
      <w:r w:rsidR="001C62B4" w:rsidRPr="00CB71E4">
        <w:rPr>
          <w:rFonts w:ascii="Verdana" w:eastAsia="Arial MT" w:hAnsi="Verdana" w:cs="Arial"/>
          <w:lang w:val="es-ES"/>
        </w:rPr>
        <w:t>de</w:t>
      </w:r>
      <w:r w:rsidR="001C62B4" w:rsidRPr="00CB71E4">
        <w:rPr>
          <w:rFonts w:ascii="Verdana" w:eastAsia="Arial MT" w:hAnsi="Verdana" w:cs="Arial"/>
          <w:spacing w:val="2"/>
          <w:lang w:val="es-ES"/>
        </w:rPr>
        <w:t xml:space="preserve"> </w:t>
      </w:r>
      <w:r w:rsidR="001C62B4" w:rsidRPr="00CB71E4">
        <w:rPr>
          <w:rFonts w:ascii="Verdana" w:eastAsia="Arial MT" w:hAnsi="Verdana" w:cs="Arial"/>
          <w:lang w:val="es-ES"/>
        </w:rPr>
        <w:t>una</w:t>
      </w:r>
      <w:r w:rsidR="001C62B4" w:rsidRPr="00CB71E4">
        <w:rPr>
          <w:rFonts w:ascii="Verdana" w:eastAsia="Arial MT" w:hAnsi="Verdana" w:cs="Arial"/>
          <w:spacing w:val="3"/>
          <w:lang w:val="es-ES"/>
        </w:rPr>
        <w:t xml:space="preserve"> </w:t>
      </w:r>
      <w:r w:rsidR="001C62B4" w:rsidRPr="00CB71E4">
        <w:rPr>
          <w:rFonts w:ascii="Verdana" w:eastAsia="Arial MT" w:hAnsi="Verdana" w:cs="Arial"/>
          <w:lang w:val="es-ES"/>
        </w:rPr>
        <w:t>sanción</w:t>
      </w:r>
      <w:r w:rsidR="001C62B4" w:rsidRPr="00CB71E4">
        <w:rPr>
          <w:rFonts w:ascii="Verdana" w:eastAsia="Arial MT" w:hAnsi="Verdana" w:cs="Arial"/>
          <w:spacing w:val="2"/>
          <w:lang w:val="es-ES"/>
        </w:rPr>
        <w:t xml:space="preserve"> </w:t>
      </w:r>
      <w:r w:rsidR="001C62B4" w:rsidRPr="00CB71E4">
        <w:rPr>
          <w:rFonts w:ascii="Verdana" w:eastAsia="Arial MT" w:hAnsi="Verdana" w:cs="Arial"/>
          <w:lang w:val="es-ES"/>
        </w:rPr>
        <w:t>previa,</w:t>
      </w:r>
      <w:r w:rsidR="001C62B4" w:rsidRPr="00CB71E4">
        <w:rPr>
          <w:rFonts w:ascii="Verdana" w:eastAsia="Arial MT" w:hAnsi="Verdana" w:cs="Arial"/>
          <w:spacing w:val="3"/>
          <w:lang w:val="es-ES"/>
        </w:rPr>
        <w:t xml:space="preserve"> </w:t>
      </w:r>
      <w:r w:rsidR="001C62B4" w:rsidRPr="00CB71E4">
        <w:rPr>
          <w:rFonts w:ascii="Verdana" w:eastAsia="Arial MT" w:hAnsi="Verdana" w:cs="Arial"/>
          <w:lang w:val="es-ES"/>
        </w:rPr>
        <w:t>es</w:t>
      </w:r>
      <w:r w:rsidR="001C62B4" w:rsidRPr="00CB71E4">
        <w:rPr>
          <w:rFonts w:ascii="Verdana" w:eastAsia="Arial MT" w:hAnsi="Verdana" w:cs="Arial"/>
          <w:spacing w:val="3"/>
          <w:lang w:val="es-ES"/>
        </w:rPr>
        <w:t xml:space="preserve"> </w:t>
      </w:r>
      <w:r w:rsidR="001C62B4" w:rsidRPr="00CB71E4">
        <w:rPr>
          <w:rFonts w:ascii="Verdana" w:eastAsia="Arial MT" w:hAnsi="Verdana" w:cs="Arial"/>
          <w:lang w:val="es-ES"/>
        </w:rPr>
        <w:t>indiscutible</w:t>
      </w:r>
      <w:r w:rsidR="001C62B4" w:rsidRPr="00CB71E4">
        <w:rPr>
          <w:rFonts w:ascii="Verdana" w:eastAsia="Arial MT" w:hAnsi="Verdana" w:cs="Arial"/>
          <w:spacing w:val="2"/>
          <w:lang w:val="es-ES"/>
        </w:rPr>
        <w:t xml:space="preserve"> </w:t>
      </w:r>
      <w:r w:rsidR="001C62B4" w:rsidRPr="00CB71E4">
        <w:rPr>
          <w:rFonts w:ascii="Verdana" w:eastAsia="Arial MT" w:hAnsi="Verdana" w:cs="Arial"/>
          <w:lang w:val="es-ES"/>
        </w:rPr>
        <w:t>que</w:t>
      </w:r>
      <w:r w:rsidR="001C62B4" w:rsidRPr="00CB71E4">
        <w:rPr>
          <w:rFonts w:ascii="Verdana" w:eastAsia="Arial MT" w:hAnsi="Verdana" w:cs="Arial"/>
          <w:spacing w:val="3"/>
          <w:lang w:val="es-ES"/>
        </w:rPr>
        <w:t xml:space="preserve"> </w:t>
      </w:r>
      <w:r w:rsidR="001C62B4" w:rsidRPr="00CB71E4">
        <w:rPr>
          <w:rFonts w:ascii="Verdana" w:eastAsia="Arial MT" w:hAnsi="Verdana" w:cs="Arial"/>
          <w:lang w:val="es-ES"/>
        </w:rPr>
        <w:t>en</w:t>
      </w:r>
      <w:r w:rsidR="001C62B4" w:rsidRPr="00CB71E4">
        <w:rPr>
          <w:rFonts w:ascii="Verdana" w:eastAsia="Arial MT" w:hAnsi="Verdana" w:cs="Arial"/>
          <w:spacing w:val="3"/>
          <w:lang w:val="es-ES"/>
        </w:rPr>
        <w:t xml:space="preserve"> </w:t>
      </w:r>
      <w:r w:rsidR="001C62B4" w:rsidRPr="00CB71E4">
        <w:rPr>
          <w:rFonts w:ascii="Verdana" w:eastAsia="Arial MT" w:hAnsi="Verdana" w:cs="Arial"/>
          <w:lang w:val="es-ES"/>
        </w:rPr>
        <w:t>los</w:t>
      </w:r>
      <w:r w:rsidR="001C62B4" w:rsidRPr="00CB71E4">
        <w:rPr>
          <w:rFonts w:ascii="Verdana" w:eastAsia="Arial MT" w:hAnsi="Verdana" w:cs="Arial"/>
          <w:spacing w:val="2"/>
          <w:lang w:val="es-ES"/>
        </w:rPr>
        <w:t xml:space="preserve"> </w:t>
      </w:r>
      <w:r w:rsidR="001C62B4" w:rsidRPr="00CB71E4">
        <w:rPr>
          <w:rFonts w:ascii="Verdana" w:eastAsia="Arial MT" w:hAnsi="Verdana" w:cs="Arial"/>
          <w:lang w:val="es-ES"/>
        </w:rPr>
        <w:t>años más recientes los lamentables hechos de corrupción han generado como respuesta</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del legislador, un incremento de las restricciones a la capacidad contractual, dirigidas a</w:t>
      </w:r>
      <w:r w:rsidR="001C62B4" w:rsidRPr="00CB71E4">
        <w:rPr>
          <w:rFonts w:ascii="Verdana" w:eastAsia="Arial MT" w:hAnsi="Verdana" w:cs="Arial"/>
          <w:spacing w:val="-59"/>
          <w:lang w:val="es-ES"/>
        </w:rPr>
        <w:t xml:space="preserve"> </w:t>
      </w:r>
      <w:r w:rsidR="001C62B4" w:rsidRPr="00CB71E4">
        <w:rPr>
          <w:rFonts w:ascii="Verdana" w:eastAsia="Arial MT" w:hAnsi="Verdana" w:cs="Arial"/>
          <w:lang w:val="es-ES"/>
        </w:rPr>
        <w:lastRenderedPageBreak/>
        <w:t>prevenir</w:t>
      </w:r>
      <w:r w:rsidR="001C62B4" w:rsidRPr="00CB71E4">
        <w:rPr>
          <w:rFonts w:ascii="Verdana" w:eastAsia="Arial MT" w:hAnsi="Verdana" w:cs="Arial"/>
          <w:spacing w:val="-2"/>
          <w:lang w:val="es-ES"/>
        </w:rPr>
        <w:t xml:space="preserve"> </w:t>
      </w:r>
      <w:r w:rsidR="001C62B4" w:rsidRPr="00CB71E4">
        <w:rPr>
          <w:rFonts w:ascii="Verdana" w:eastAsia="Arial MT" w:hAnsi="Verdana" w:cs="Arial"/>
          <w:lang w:val="es-ES"/>
        </w:rPr>
        <w:t>este</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tipo</w:t>
      </w:r>
      <w:r w:rsidR="001C62B4" w:rsidRPr="00CB71E4">
        <w:rPr>
          <w:rFonts w:ascii="Verdana" w:eastAsia="Arial MT" w:hAnsi="Verdana" w:cs="Arial"/>
          <w:spacing w:val="-2"/>
          <w:lang w:val="es-ES"/>
        </w:rPr>
        <w:t xml:space="preserve"> </w:t>
      </w:r>
      <w:r w:rsidR="001C62B4" w:rsidRPr="00CB71E4">
        <w:rPr>
          <w:rFonts w:ascii="Verdana" w:eastAsia="Arial MT" w:hAnsi="Verdana" w:cs="Arial"/>
          <w:lang w:val="es-ES"/>
        </w:rPr>
        <w:t>de</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situaciones</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o</w:t>
      </w:r>
      <w:r w:rsidR="001C62B4" w:rsidRPr="00CB71E4">
        <w:rPr>
          <w:rFonts w:ascii="Verdana" w:eastAsia="Arial MT" w:hAnsi="Verdana" w:cs="Arial"/>
          <w:spacing w:val="-2"/>
          <w:lang w:val="es-ES"/>
        </w:rPr>
        <w:t xml:space="preserve"> </w:t>
      </w:r>
      <w:r w:rsidR="001C62B4" w:rsidRPr="00CB71E4">
        <w:rPr>
          <w:rFonts w:ascii="Verdana" w:eastAsia="Arial MT" w:hAnsi="Verdana" w:cs="Arial"/>
          <w:lang w:val="es-ES"/>
        </w:rPr>
        <w:t>a</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sancionar</w:t>
      </w:r>
      <w:r w:rsidR="001C62B4" w:rsidRPr="00CB71E4">
        <w:rPr>
          <w:rFonts w:ascii="Verdana" w:eastAsia="Arial MT" w:hAnsi="Verdana" w:cs="Arial"/>
          <w:spacing w:val="-1"/>
          <w:lang w:val="es-ES"/>
        </w:rPr>
        <w:t xml:space="preserve"> </w:t>
      </w:r>
      <w:r w:rsidR="001C62B4" w:rsidRPr="00CB71E4">
        <w:rPr>
          <w:rFonts w:ascii="Verdana" w:eastAsia="Arial MT" w:hAnsi="Verdana" w:cs="Arial"/>
          <w:lang w:val="es-ES"/>
        </w:rPr>
        <w:t>tales</w:t>
      </w:r>
      <w:r w:rsidR="001C62B4" w:rsidRPr="00CB71E4">
        <w:rPr>
          <w:rFonts w:ascii="Verdana" w:eastAsia="Arial MT" w:hAnsi="Verdana" w:cs="Arial"/>
          <w:spacing w:val="-2"/>
          <w:lang w:val="es-ES"/>
        </w:rPr>
        <w:t xml:space="preserve"> </w:t>
      </w:r>
      <w:r w:rsidR="001C62B4" w:rsidRPr="00CB71E4">
        <w:rPr>
          <w:rFonts w:ascii="Verdana" w:eastAsia="Arial MT" w:hAnsi="Verdana" w:cs="Arial"/>
          <w:lang w:val="es-ES"/>
        </w:rPr>
        <w:t>conductas.</w:t>
      </w:r>
    </w:p>
    <w:p w14:paraId="672A1F99" w14:textId="293E5FB5" w:rsidR="001C62B4" w:rsidRPr="00CB71E4" w:rsidRDefault="001C62B4" w:rsidP="001C62B4">
      <w:pPr>
        <w:widowControl w:val="0"/>
        <w:autoSpaceDE w:val="0"/>
        <w:autoSpaceDN w:val="0"/>
        <w:spacing w:before="120" w:after="0" w:line="276" w:lineRule="auto"/>
        <w:ind w:firstLine="709"/>
        <w:jc w:val="both"/>
        <w:rPr>
          <w:rFonts w:ascii="Verdana" w:eastAsia="Arial MT" w:hAnsi="Verdana" w:cs="Arial"/>
          <w:lang w:val="es-ES"/>
        </w:rPr>
      </w:pPr>
      <w:r w:rsidRPr="00CB71E4">
        <w:rPr>
          <w:rFonts w:ascii="Verdana" w:eastAsia="Arial MT" w:hAnsi="Verdana" w:cs="Arial"/>
          <w:lang w:val="es-ES"/>
        </w:rPr>
        <w:t>Ahora bien, las inhabilidades e incompatibilidades, al ser</w:t>
      </w:r>
      <w:r w:rsidRPr="00CB71E4">
        <w:rPr>
          <w:rFonts w:ascii="Verdana" w:eastAsia="Arial MT" w:hAnsi="Verdana" w:cs="Arial"/>
          <w:spacing w:val="1"/>
          <w:lang w:val="es-ES"/>
        </w:rPr>
        <w:t xml:space="preserve"> </w:t>
      </w:r>
      <w:r w:rsidRPr="00CB71E4">
        <w:rPr>
          <w:rFonts w:ascii="Verdana" w:eastAsia="Arial MT" w:hAnsi="Verdana" w:cs="Arial"/>
          <w:lang w:val="es-ES"/>
        </w:rPr>
        <w:t>restricciones o límites especiales a la capacidad para presentar ofertas y celebrar</w:t>
      </w:r>
      <w:r w:rsidRPr="00CB71E4">
        <w:rPr>
          <w:rFonts w:ascii="Verdana" w:eastAsia="Arial MT" w:hAnsi="Verdana" w:cs="Arial"/>
          <w:spacing w:val="1"/>
          <w:lang w:val="es-ES"/>
        </w:rPr>
        <w:t xml:space="preserve"> </w:t>
      </w:r>
      <w:r w:rsidRPr="00CB71E4">
        <w:rPr>
          <w:rFonts w:ascii="Verdana" w:eastAsia="Arial MT" w:hAnsi="Verdana" w:cs="Arial"/>
          <w:lang w:val="es-ES"/>
        </w:rPr>
        <w:t>contratos</w:t>
      </w:r>
      <w:r w:rsidRPr="00CB71E4">
        <w:rPr>
          <w:rFonts w:ascii="Verdana" w:eastAsia="Arial MT" w:hAnsi="Verdana" w:cs="Arial"/>
          <w:spacing w:val="-12"/>
          <w:lang w:val="es-ES"/>
        </w:rPr>
        <w:t xml:space="preserve"> </w:t>
      </w:r>
      <w:r w:rsidRPr="00CB71E4">
        <w:rPr>
          <w:rFonts w:ascii="Verdana" w:eastAsia="Arial MT" w:hAnsi="Verdana" w:cs="Arial"/>
          <w:lang w:val="es-ES"/>
        </w:rPr>
        <w:t>estatales,</w:t>
      </w:r>
      <w:r w:rsidRPr="00CB71E4">
        <w:rPr>
          <w:rFonts w:ascii="Verdana" w:eastAsia="Arial MT" w:hAnsi="Verdana" w:cs="Arial"/>
          <w:spacing w:val="-12"/>
          <w:lang w:val="es-ES"/>
        </w:rPr>
        <w:t xml:space="preserve"> </w:t>
      </w:r>
      <w:r w:rsidRPr="00CB71E4">
        <w:rPr>
          <w:rFonts w:ascii="Verdana" w:eastAsia="Arial MT" w:hAnsi="Verdana" w:cs="Arial"/>
          <w:lang w:val="es-ES"/>
        </w:rPr>
        <w:t>solo</w:t>
      </w:r>
      <w:r w:rsidRPr="00CB71E4">
        <w:rPr>
          <w:rFonts w:ascii="Verdana" w:eastAsia="Arial MT" w:hAnsi="Verdana" w:cs="Arial"/>
          <w:spacing w:val="-12"/>
          <w:lang w:val="es-ES"/>
        </w:rPr>
        <w:t xml:space="preserve"> </w:t>
      </w:r>
      <w:r w:rsidRPr="00CB71E4">
        <w:rPr>
          <w:rFonts w:ascii="Verdana" w:eastAsia="Arial MT" w:hAnsi="Verdana" w:cs="Arial"/>
          <w:lang w:val="es-ES"/>
        </w:rPr>
        <w:t>pueden</w:t>
      </w:r>
      <w:r w:rsidRPr="00CB71E4">
        <w:rPr>
          <w:rFonts w:ascii="Verdana" w:eastAsia="Arial MT" w:hAnsi="Verdana" w:cs="Arial"/>
          <w:spacing w:val="-11"/>
          <w:lang w:val="es-ES"/>
        </w:rPr>
        <w:t xml:space="preserve"> </w:t>
      </w:r>
      <w:r w:rsidRPr="00CB71E4">
        <w:rPr>
          <w:rFonts w:ascii="Verdana" w:eastAsia="Arial MT" w:hAnsi="Verdana" w:cs="Arial"/>
          <w:lang w:val="es-ES"/>
        </w:rPr>
        <w:t>tipificarse</w:t>
      </w:r>
      <w:r w:rsidRPr="00CB71E4">
        <w:rPr>
          <w:rFonts w:ascii="Verdana" w:eastAsia="Arial MT" w:hAnsi="Verdana" w:cs="Arial"/>
          <w:spacing w:val="-10"/>
          <w:lang w:val="es-ES"/>
        </w:rPr>
        <w:t xml:space="preserve"> </w:t>
      </w:r>
      <w:r w:rsidRPr="00CB71E4">
        <w:rPr>
          <w:rFonts w:ascii="Verdana" w:eastAsia="Arial MT" w:hAnsi="Verdana" w:cs="Arial"/>
          <w:lang w:val="es-ES"/>
        </w:rPr>
        <w:t>en</w:t>
      </w:r>
      <w:r w:rsidRPr="00CB71E4">
        <w:rPr>
          <w:rFonts w:ascii="Verdana" w:eastAsia="Arial MT" w:hAnsi="Verdana" w:cs="Arial"/>
          <w:spacing w:val="-12"/>
          <w:lang w:val="es-ES"/>
        </w:rPr>
        <w:t xml:space="preserve"> </w:t>
      </w:r>
      <w:r w:rsidRPr="00CB71E4">
        <w:rPr>
          <w:rFonts w:ascii="Verdana" w:eastAsia="Arial MT" w:hAnsi="Verdana" w:cs="Arial"/>
          <w:lang w:val="es-ES"/>
        </w:rPr>
        <w:t>la</w:t>
      </w:r>
      <w:r w:rsidRPr="00CB71E4">
        <w:rPr>
          <w:rFonts w:ascii="Verdana" w:eastAsia="Arial MT" w:hAnsi="Verdana" w:cs="Arial"/>
          <w:spacing w:val="-12"/>
          <w:lang w:val="es-ES"/>
        </w:rPr>
        <w:t xml:space="preserve"> </w:t>
      </w:r>
      <w:r w:rsidRPr="00CB71E4">
        <w:rPr>
          <w:rFonts w:ascii="Verdana" w:eastAsia="Arial MT" w:hAnsi="Verdana" w:cs="Arial"/>
          <w:lang w:val="es-ES"/>
        </w:rPr>
        <w:t>ley</w:t>
      </w:r>
      <w:r w:rsidRPr="00CB71E4">
        <w:rPr>
          <w:rFonts w:ascii="Verdana" w:eastAsia="Arial MT" w:hAnsi="Verdana" w:cs="Arial"/>
          <w:spacing w:val="-12"/>
          <w:lang w:val="es-ES"/>
        </w:rPr>
        <w:t xml:space="preserve"> </w:t>
      </w:r>
      <w:r w:rsidRPr="00CB71E4">
        <w:rPr>
          <w:rFonts w:ascii="Verdana" w:eastAsia="Arial MT" w:hAnsi="Verdana" w:cs="Arial"/>
          <w:lang w:val="es-ES"/>
        </w:rPr>
        <w:t xml:space="preserve">y su interpretación debe ser </w:t>
      </w:r>
      <w:r w:rsidRPr="00CB71E4">
        <w:rPr>
          <w:rFonts w:ascii="Verdana" w:eastAsia="Arial MT" w:hAnsi="Verdana" w:cs="Arial"/>
          <w:i/>
          <w:lang w:val="es-ES"/>
        </w:rPr>
        <w:t>restrictiva</w:t>
      </w:r>
      <w:r w:rsidRPr="00CB71E4">
        <w:rPr>
          <w:rFonts w:ascii="Verdana" w:eastAsia="Arial MT" w:hAnsi="Verdana" w:cs="Arial"/>
          <w:i/>
          <w:vertAlign w:val="superscript"/>
          <w:lang w:val="es-ES"/>
        </w:rPr>
        <w:footnoteReference w:id="5"/>
      </w:r>
      <w:r w:rsidRPr="00CB71E4">
        <w:rPr>
          <w:rFonts w:ascii="Verdana" w:eastAsia="Arial MT" w:hAnsi="Verdana" w:cs="Arial"/>
          <w:lang w:val="es-ES"/>
        </w:rPr>
        <w:t>. De admitirse una interpretación</w:t>
      </w:r>
      <w:r w:rsidRPr="00CB71E4">
        <w:rPr>
          <w:rFonts w:ascii="Verdana" w:eastAsia="Arial MT" w:hAnsi="Verdana" w:cs="Arial"/>
          <w:spacing w:val="1"/>
          <w:lang w:val="es-ES"/>
        </w:rPr>
        <w:t xml:space="preserve"> </w:t>
      </w:r>
      <w:r w:rsidRPr="00CB71E4">
        <w:rPr>
          <w:rFonts w:ascii="Verdana" w:eastAsia="Arial MT" w:hAnsi="Verdana" w:cs="Arial"/>
          <w:lang w:val="es-ES"/>
        </w:rPr>
        <w:t>extensiva,</w:t>
      </w:r>
      <w:r w:rsidRPr="00CB71E4">
        <w:rPr>
          <w:rFonts w:ascii="Verdana" w:eastAsia="Arial MT" w:hAnsi="Verdana" w:cs="Arial"/>
          <w:spacing w:val="1"/>
          <w:lang w:val="es-ES"/>
        </w:rPr>
        <w:t xml:space="preserve"> </w:t>
      </w:r>
      <w:r w:rsidRPr="00CB71E4">
        <w:rPr>
          <w:rFonts w:ascii="Verdana" w:eastAsia="Arial MT" w:hAnsi="Verdana" w:cs="Arial"/>
          <w:lang w:val="es-ES"/>
        </w:rPr>
        <w:t>tales</w:t>
      </w:r>
      <w:r w:rsidRPr="00CB71E4">
        <w:rPr>
          <w:rFonts w:ascii="Verdana" w:eastAsia="Arial MT" w:hAnsi="Verdana" w:cs="Arial"/>
          <w:spacing w:val="1"/>
          <w:lang w:val="es-ES"/>
        </w:rPr>
        <w:t xml:space="preserve"> </w:t>
      </w:r>
      <w:r w:rsidRPr="00CB71E4">
        <w:rPr>
          <w:rFonts w:ascii="Verdana" w:eastAsia="Arial MT" w:hAnsi="Verdana" w:cs="Arial"/>
          <w:lang w:val="es-ES"/>
        </w:rPr>
        <w:t>enunciados</w:t>
      </w:r>
      <w:r w:rsidRPr="00CB71E4">
        <w:rPr>
          <w:rFonts w:ascii="Verdana" w:eastAsia="Arial MT" w:hAnsi="Verdana" w:cs="Arial"/>
          <w:spacing w:val="1"/>
          <w:lang w:val="es-ES"/>
        </w:rPr>
        <w:t xml:space="preserve"> </w:t>
      </w:r>
      <w:r w:rsidRPr="00CB71E4">
        <w:rPr>
          <w:rFonts w:ascii="Verdana" w:eastAsia="Arial MT" w:hAnsi="Verdana" w:cs="Arial"/>
          <w:lang w:val="es-ES"/>
        </w:rPr>
        <w:t>normativos</w:t>
      </w:r>
      <w:r w:rsidRPr="00CB71E4">
        <w:rPr>
          <w:rFonts w:ascii="Verdana" w:eastAsia="Arial MT" w:hAnsi="Verdana" w:cs="Arial"/>
          <w:spacing w:val="1"/>
          <w:lang w:val="es-ES"/>
        </w:rPr>
        <w:t xml:space="preserve"> </w:t>
      </w:r>
      <w:r w:rsidRPr="00CB71E4">
        <w:rPr>
          <w:rFonts w:ascii="Verdana" w:eastAsia="Arial MT" w:hAnsi="Verdana" w:cs="Arial"/>
          <w:lang w:val="es-ES"/>
        </w:rPr>
        <w:t>podrían</w:t>
      </w:r>
      <w:r w:rsidRPr="00CB71E4">
        <w:rPr>
          <w:rFonts w:ascii="Verdana" w:eastAsia="Arial MT" w:hAnsi="Verdana" w:cs="Arial"/>
          <w:spacing w:val="1"/>
          <w:lang w:val="es-ES"/>
        </w:rPr>
        <w:t xml:space="preserve"> </w:t>
      </w:r>
      <w:r w:rsidRPr="00CB71E4">
        <w:rPr>
          <w:rFonts w:ascii="Verdana" w:eastAsia="Arial MT" w:hAnsi="Verdana" w:cs="Arial"/>
          <w:lang w:val="es-ES"/>
        </w:rPr>
        <w:t>contemplar</w:t>
      </w:r>
      <w:r w:rsidRPr="00CB71E4">
        <w:rPr>
          <w:rFonts w:ascii="Verdana" w:eastAsia="Arial MT" w:hAnsi="Verdana" w:cs="Arial"/>
          <w:spacing w:val="1"/>
          <w:lang w:val="es-ES"/>
        </w:rPr>
        <w:t xml:space="preserve"> </w:t>
      </w:r>
      <w:r w:rsidRPr="00CB71E4">
        <w:rPr>
          <w:rFonts w:ascii="Verdana" w:eastAsia="Arial MT" w:hAnsi="Verdana" w:cs="Arial"/>
          <w:lang w:val="es-ES"/>
        </w:rPr>
        <w:t>múltiples</w:t>
      </w:r>
      <w:r w:rsidRPr="00CB71E4">
        <w:rPr>
          <w:rFonts w:ascii="Verdana" w:eastAsia="Arial MT" w:hAnsi="Verdana" w:cs="Arial"/>
          <w:spacing w:val="1"/>
          <w:lang w:val="es-ES"/>
        </w:rPr>
        <w:t xml:space="preserve"> </w:t>
      </w:r>
      <w:r w:rsidRPr="00CB71E4">
        <w:rPr>
          <w:rFonts w:ascii="Verdana" w:eastAsia="Arial MT" w:hAnsi="Verdana" w:cs="Arial"/>
          <w:lang w:val="es-ES"/>
        </w:rPr>
        <w:t>supuestos</w:t>
      </w:r>
      <w:r w:rsidRPr="00CB71E4">
        <w:rPr>
          <w:rFonts w:ascii="Verdana" w:eastAsia="Arial MT" w:hAnsi="Verdana" w:cs="Arial"/>
          <w:spacing w:val="1"/>
          <w:lang w:val="es-ES"/>
        </w:rPr>
        <w:t xml:space="preserve"> </w:t>
      </w:r>
      <w:r w:rsidRPr="00CB71E4">
        <w:rPr>
          <w:rFonts w:ascii="Verdana" w:eastAsia="Arial MT" w:hAnsi="Verdana" w:cs="Arial"/>
          <w:lang w:val="es-ES"/>
        </w:rPr>
        <w:t>indeterminados,</w:t>
      </w:r>
      <w:r w:rsidRPr="00CB71E4">
        <w:rPr>
          <w:rFonts w:ascii="Verdana" w:eastAsia="Arial MT" w:hAnsi="Verdana" w:cs="Arial"/>
          <w:spacing w:val="-4"/>
          <w:lang w:val="es-ES"/>
        </w:rPr>
        <w:t xml:space="preserve"> </w:t>
      </w:r>
      <w:r w:rsidRPr="00CB71E4">
        <w:rPr>
          <w:rFonts w:ascii="Verdana" w:eastAsia="Arial MT" w:hAnsi="Verdana" w:cs="Arial"/>
          <w:lang w:val="es-ES"/>
        </w:rPr>
        <w:t>adquiriendo</w:t>
      </w:r>
      <w:r w:rsidRPr="00CB71E4">
        <w:rPr>
          <w:rFonts w:ascii="Verdana" w:eastAsia="Arial MT" w:hAnsi="Verdana" w:cs="Arial"/>
          <w:spacing w:val="-4"/>
          <w:lang w:val="es-ES"/>
        </w:rPr>
        <w:t xml:space="preserve"> </w:t>
      </w:r>
      <w:r w:rsidRPr="00CB71E4">
        <w:rPr>
          <w:rFonts w:ascii="Verdana" w:eastAsia="Arial MT" w:hAnsi="Verdana" w:cs="Arial"/>
          <w:lang w:val="es-ES"/>
        </w:rPr>
        <w:t>un</w:t>
      </w:r>
      <w:r w:rsidRPr="00CB71E4">
        <w:rPr>
          <w:rFonts w:ascii="Verdana" w:eastAsia="Arial MT" w:hAnsi="Verdana" w:cs="Arial"/>
          <w:spacing w:val="-4"/>
          <w:lang w:val="es-ES"/>
        </w:rPr>
        <w:t xml:space="preserve"> </w:t>
      </w:r>
      <w:r w:rsidRPr="00CB71E4">
        <w:rPr>
          <w:rFonts w:ascii="Verdana" w:eastAsia="Arial MT" w:hAnsi="Verdana" w:cs="Arial"/>
          <w:lang w:val="es-ES"/>
        </w:rPr>
        <w:t>cariz</w:t>
      </w:r>
      <w:r w:rsidRPr="00CB71E4">
        <w:rPr>
          <w:rFonts w:ascii="Verdana" w:eastAsia="Arial MT" w:hAnsi="Verdana" w:cs="Arial"/>
          <w:spacing w:val="-4"/>
          <w:lang w:val="es-ES"/>
        </w:rPr>
        <w:t xml:space="preserve"> </w:t>
      </w:r>
      <w:r w:rsidRPr="00CB71E4">
        <w:rPr>
          <w:rFonts w:ascii="Verdana" w:eastAsia="Arial MT" w:hAnsi="Verdana" w:cs="Arial"/>
          <w:lang w:val="es-ES"/>
        </w:rPr>
        <w:t>subjetivo,</w:t>
      </w:r>
      <w:r w:rsidRPr="00CB71E4">
        <w:rPr>
          <w:rFonts w:ascii="Verdana" w:eastAsia="Arial MT" w:hAnsi="Verdana" w:cs="Arial"/>
          <w:spacing w:val="-3"/>
          <w:lang w:val="es-ES"/>
        </w:rPr>
        <w:t xml:space="preserve"> </w:t>
      </w:r>
      <w:r w:rsidRPr="00CB71E4">
        <w:rPr>
          <w:rFonts w:ascii="Verdana" w:eastAsia="Arial MT" w:hAnsi="Verdana" w:cs="Arial"/>
          <w:lang w:val="es-ES"/>
        </w:rPr>
        <w:t>según</w:t>
      </w:r>
      <w:r w:rsidRPr="00CB71E4">
        <w:rPr>
          <w:rFonts w:ascii="Verdana" w:eastAsia="Arial MT" w:hAnsi="Verdana" w:cs="Arial"/>
          <w:spacing w:val="-4"/>
          <w:lang w:val="es-ES"/>
        </w:rPr>
        <w:t xml:space="preserve"> </w:t>
      </w:r>
      <w:r w:rsidRPr="00CB71E4">
        <w:rPr>
          <w:rFonts w:ascii="Verdana" w:eastAsia="Arial MT" w:hAnsi="Verdana" w:cs="Arial"/>
          <w:lang w:val="es-ES"/>
        </w:rPr>
        <w:t>el</w:t>
      </w:r>
      <w:r w:rsidRPr="00CB71E4">
        <w:rPr>
          <w:rFonts w:ascii="Verdana" w:eastAsia="Arial MT" w:hAnsi="Verdana" w:cs="Arial"/>
          <w:spacing w:val="-4"/>
          <w:lang w:val="es-ES"/>
        </w:rPr>
        <w:t xml:space="preserve"> </w:t>
      </w:r>
      <w:r w:rsidRPr="00CB71E4">
        <w:rPr>
          <w:rFonts w:ascii="Verdana" w:eastAsia="Arial MT" w:hAnsi="Verdana" w:cs="Arial"/>
          <w:lang w:val="es-ES"/>
        </w:rPr>
        <w:t>parecer</w:t>
      </w:r>
      <w:r w:rsidRPr="00CB71E4">
        <w:rPr>
          <w:rFonts w:ascii="Verdana" w:eastAsia="Arial MT" w:hAnsi="Verdana" w:cs="Arial"/>
          <w:spacing w:val="-4"/>
          <w:lang w:val="es-ES"/>
        </w:rPr>
        <w:t xml:space="preserve"> </w:t>
      </w:r>
      <w:r w:rsidRPr="00CB71E4">
        <w:rPr>
          <w:rFonts w:ascii="Verdana" w:eastAsia="Arial MT" w:hAnsi="Verdana" w:cs="Arial"/>
          <w:lang w:val="es-ES"/>
        </w:rPr>
        <w:t>o</w:t>
      </w:r>
      <w:r w:rsidRPr="00CB71E4">
        <w:rPr>
          <w:rFonts w:ascii="Verdana" w:eastAsia="Arial MT" w:hAnsi="Verdana" w:cs="Arial"/>
          <w:spacing w:val="-3"/>
          <w:lang w:val="es-ES"/>
        </w:rPr>
        <w:t xml:space="preserve"> </w:t>
      </w:r>
      <w:r w:rsidRPr="00CB71E4">
        <w:rPr>
          <w:rFonts w:ascii="Verdana" w:eastAsia="Arial MT" w:hAnsi="Verdana" w:cs="Arial"/>
          <w:lang w:val="es-ES"/>
        </w:rPr>
        <w:t>el</w:t>
      </w:r>
      <w:r w:rsidRPr="00CB71E4">
        <w:rPr>
          <w:rFonts w:ascii="Verdana" w:eastAsia="Arial MT" w:hAnsi="Verdana" w:cs="Arial"/>
          <w:spacing w:val="-4"/>
          <w:lang w:val="es-ES"/>
        </w:rPr>
        <w:t xml:space="preserve"> </w:t>
      </w:r>
      <w:r w:rsidRPr="00CB71E4">
        <w:rPr>
          <w:rFonts w:ascii="Verdana" w:eastAsia="Arial MT" w:hAnsi="Verdana" w:cs="Arial"/>
          <w:lang w:val="es-ES"/>
        </w:rPr>
        <w:t>sentido</w:t>
      </w:r>
      <w:r w:rsidRPr="00CB71E4">
        <w:rPr>
          <w:rFonts w:ascii="Verdana" w:eastAsia="Arial MT" w:hAnsi="Verdana" w:cs="Arial"/>
          <w:spacing w:val="-4"/>
          <w:lang w:val="es-ES"/>
        </w:rPr>
        <w:t xml:space="preserve"> </w:t>
      </w:r>
      <w:r w:rsidRPr="00CB71E4">
        <w:rPr>
          <w:rFonts w:ascii="Verdana" w:eastAsia="Arial MT" w:hAnsi="Verdana" w:cs="Arial"/>
          <w:lang w:val="es-ES"/>
        </w:rPr>
        <w:t>común</w:t>
      </w:r>
      <w:r w:rsidRPr="00CB71E4">
        <w:rPr>
          <w:rFonts w:ascii="Verdana" w:eastAsia="Arial MT" w:hAnsi="Verdana" w:cs="Arial"/>
          <w:spacing w:val="-4"/>
          <w:lang w:val="es-ES"/>
        </w:rPr>
        <w:t xml:space="preserve"> </w:t>
      </w:r>
      <w:r w:rsidRPr="00CB71E4">
        <w:rPr>
          <w:rFonts w:ascii="Verdana" w:eastAsia="Arial MT" w:hAnsi="Verdana" w:cs="Arial"/>
          <w:lang w:val="es-ES"/>
        </w:rPr>
        <w:t>de los operadores jurídicos, poniendo en riesgo principios como la igualdad, el debido</w:t>
      </w:r>
      <w:r w:rsidRPr="00CB71E4">
        <w:rPr>
          <w:rFonts w:ascii="Verdana" w:eastAsia="Arial MT" w:hAnsi="Verdana" w:cs="Arial"/>
          <w:spacing w:val="1"/>
          <w:lang w:val="es-ES"/>
        </w:rPr>
        <w:t xml:space="preserve"> </w:t>
      </w:r>
      <w:r w:rsidRPr="00CB71E4">
        <w:rPr>
          <w:rFonts w:ascii="Verdana" w:eastAsia="Arial MT" w:hAnsi="Verdana" w:cs="Arial"/>
          <w:lang w:val="es-ES"/>
        </w:rPr>
        <w:t>proceso,</w:t>
      </w:r>
      <w:r w:rsidRPr="00CB71E4">
        <w:rPr>
          <w:rFonts w:ascii="Verdana" w:eastAsia="Arial MT" w:hAnsi="Verdana" w:cs="Arial"/>
          <w:spacing w:val="-11"/>
          <w:lang w:val="es-ES"/>
        </w:rPr>
        <w:t xml:space="preserve"> </w:t>
      </w:r>
      <w:r w:rsidRPr="00CB71E4">
        <w:rPr>
          <w:rFonts w:ascii="Verdana" w:eastAsia="Arial MT" w:hAnsi="Verdana" w:cs="Arial"/>
          <w:lang w:val="es-ES"/>
        </w:rPr>
        <w:t>la</w:t>
      </w:r>
      <w:r w:rsidRPr="00CB71E4">
        <w:rPr>
          <w:rFonts w:ascii="Verdana" w:eastAsia="Arial MT" w:hAnsi="Verdana" w:cs="Arial"/>
          <w:spacing w:val="-12"/>
          <w:lang w:val="es-ES"/>
        </w:rPr>
        <w:t xml:space="preserve"> </w:t>
      </w:r>
      <w:r w:rsidRPr="00CB71E4">
        <w:rPr>
          <w:rFonts w:ascii="Verdana" w:eastAsia="Arial MT" w:hAnsi="Verdana" w:cs="Arial"/>
          <w:lang w:val="es-ES"/>
        </w:rPr>
        <w:t>libre</w:t>
      </w:r>
      <w:r w:rsidRPr="00CB71E4">
        <w:rPr>
          <w:rFonts w:ascii="Verdana" w:eastAsia="Arial MT" w:hAnsi="Verdana" w:cs="Arial"/>
          <w:spacing w:val="-11"/>
          <w:lang w:val="es-ES"/>
        </w:rPr>
        <w:t xml:space="preserve"> </w:t>
      </w:r>
      <w:r w:rsidRPr="00CB71E4">
        <w:rPr>
          <w:rFonts w:ascii="Verdana" w:eastAsia="Arial MT" w:hAnsi="Verdana" w:cs="Arial"/>
          <w:lang w:val="es-ES"/>
        </w:rPr>
        <w:t>concurrencia</w:t>
      </w:r>
      <w:r w:rsidRPr="00CB71E4">
        <w:rPr>
          <w:rFonts w:ascii="Verdana" w:eastAsia="Arial MT" w:hAnsi="Verdana" w:cs="Arial"/>
          <w:spacing w:val="-12"/>
          <w:lang w:val="es-ES"/>
        </w:rPr>
        <w:t xml:space="preserve"> </w:t>
      </w:r>
      <w:r w:rsidRPr="00CB71E4">
        <w:rPr>
          <w:rFonts w:ascii="Verdana" w:eastAsia="Arial MT" w:hAnsi="Verdana" w:cs="Arial"/>
          <w:lang w:val="es-ES"/>
        </w:rPr>
        <w:t>y</w:t>
      </w:r>
      <w:r w:rsidRPr="00CB71E4">
        <w:rPr>
          <w:rFonts w:ascii="Verdana" w:eastAsia="Arial MT" w:hAnsi="Verdana" w:cs="Arial"/>
          <w:spacing w:val="-12"/>
          <w:lang w:val="es-ES"/>
        </w:rPr>
        <w:t xml:space="preserve"> </w:t>
      </w:r>
      <w:r w:rsidRPr="00CB71E4">
        <w:rPr>
          <w:rFonts w:ascii="Verdana" w:eastAsia="Arial MT" w:hAnsi="Verdana" w:cs="Arial"/>
          <w:lang w:val="es-ES"/>
        </w:rPr>
        <w:t>el</w:t>
      </w:r>
      <w:r w:rsidRPr="00CB71E4">
        <w:rPr>
          <w:rFonts w:ascii="Verdana" w:eastAsia="Arial MT" w:hAnsi="Verdana" w:cs="Arial"/>
          <w:spacing w:val="-11"/>
          <w:lang w:val="es-ES"/>
        </w:rPr>
        <w:t xml:space="preserve"> </w:t>
      </w:r>
      <w:r w:rsidRPr="00CB71E4">
        <w:rPr>
          <w:rFonts w:ascii="Verdana" w:eastAsia="Arial MT" w:hAnsi="Verdana" w:cs="Arial"/>
          <w:lang w:val="es-ES"/>
        </w:rPr>
        <w:t>ejercicio</w:t>
      </w:r>
      <w:r w:rsidRPr="00CB71E4">
        <w:rPr>
          <w:rFonts w:ascii="Verdana" w:eastAsia="Arial MT" w:hAnsi="Verdana" w:cs="Arial"/>
          <w:spacing w:val="-11"/>
          <w:lang w:val="es-ES"/>
        </w:rPr>
        <w:t xml:space="preserve"> </w:t>
      </w:r>
      <w:r w:rsidRPr="00CB71E4">
        <w:rPr>
          <w:rFonts w:ascii="Verdana" w:eastAsia="Arial MT" w:hAnsi="Verdana" w:cs="Arial"/>
          <w:lang w:val="es-ES"/>
        </w:rPr>
        <w:t>de</w:t>
      </w:r>
      <w:r w:rsidRPr="00CB71E4">
        <w:rPr>
          <w:rFonts w:ascii="Verdana" w:eastAsia="Arial MT" w:hAnsi="Verdana" w:cs="Arial"/>
          <w:spacing w:val="-12"/>
          <w:lang w:val="es-ES"/>
        </w:rPr>
        <w:t xml:space="preserve"> </w:t>
      </w:r>
      <w:r w:rsidRPr="00CB71E4">
        <w:rPr>
          <w:rFonts w:ascii="Verdana" w:eastAsia="Arial MT" w:hAnsi="Verdana" w:cs="Arial"/>
          <w:lang w:val="es-ES"/>
        </w:rPr>
        <w:t>la</w:t>
      </w:r>
      <w:r w:rsidRPr="00CB71E4">
        <w:rPr>
          <w:rFonts w:ascii="Verdana" w:eastAsia="Arial MT" w:hAnsi="Verdana" w:cs="Arial"/>
          <w:spacing w:val="-12"/>
          <w:lang w:val="es-ES"/>
        </w:rPr>
        <w:t xml:space="preserve"> </w:t>
      </w:r>
      <w:r w:rsidRPr="00CB71E4">
        <w:rPr>
          <w:rFonts w:ascii="Verdana" w:eastAsia="Arial MT" w:hAnsi="Verdana" w:cs="Arial"/>
          <w:lang w:val="es-ES"/>
        </w:rPr>
        <w:t>profesión</w:t>
      </w:r>
      <w:r w:rsidRPr="00CB71E4">
        <w:rPr>
          <w:rFonts w:ascii="Verdana" w:eastAsia="Arial MT" w:hAnsi="Verdana" w:cs="Arial"/>
          <w:spacing w:val="-11"/>
          <w:lang w:val="es-ES"/>
        </w:rPr>
        <w:t xml:space="preserve"> </w:t>
      </w:r>
      <w:r w:rsidRPr="00CB71E4">
        <w:rPr>
          <w:rFonts w:ascii="Verdana" w:eastAsia="Arial MT" w:hAnsi="Verdana" w:cs="Arial"/>
          <w:lang w:val="es-ES"/>
        </w:rPr>
        <w:t>u</w:t>
      </w:r>
      <w:r w:rsidRPr="00CB71E4">
        <w:rPr>
          <w:rFonts w:ascii="Verdana" w:eastAsia="Arial MT" w:hAnsi="Verdana" w:cs="Arial"/>
          <w:spacing w:val="-11"/>
          <w:lang w:val="es-ES"/>
        </w:rPr>
        <w:t xml:space="preserve"> </w:t>
      </w:r>
      <w:r w:rsidRPr="00CB71E4">
        <w:rPr>
          <w:rFonts w:ascii="Verdana" w:eastAsia="Arial MT" w:hAnsi="Verdana" w:cs="Arial"/>
          <w:lang w:val="es-ES"/>
        </w:rPr>
        <w:t>oficio.</w:t>
      </w:r>
      <w:r w:rsidRPr="00CB71E4">
        <w:rPr>
          <w:rFonts w:ascii="Verdana" w:eastAsia="Arial MT" w:hAnsi="Verdana" w:cs="Arial"/>
          <w:spacing w:val="-11"/>
          <w:lang w:val="es-ES"/>
        </w:rPr>
        <w:t xml:space="preserve"> </w:t>
      </w:r>
      <w:r w:rsidRPr="00CB71E4">
        <w:rPr>
          <w:rFonts w:ascii="Verdana" w:eastAsia="Arial MT" w:hAnsi="Verdana" w:cs="Arial"/>
          <w:lang w:val="es-ES"/>
        </w:rPr>
        <w:t>Tal</w:t>
      </w:r>
      <w:r w:rsidRPr="00CB71E4">
        <w:rPr>
          <w:rFonts w:ascii="Verdana" w:eastAsia="Arial MT" w:hAnsi="Verdana" w:cs="Arial"/>
          <w:spacing w:val="-11"/>
          <w:lang w:val="es-ES"/>
        </w:rPr>
        <w:t xml:space="preserve"> </w:t>
      </w:r>
      <w:r w:rsidRPr="00CB71E4">
        <w:rPr>
          <w:rFonts w:ascii="Verdana" w:eastAsia="Arial MT" w:hAnsi="Verdana" w:cs="Arial"/>
          <w:lang w:val="es-ES"/>
        </w:rPr>
        <w:t>ha</w:t>
      </w:r>
      <w:r w:rsidRPr="00CB71E4">
        <w:rPr>
          <w:rFonts w:ascii="Verdana" w:eastAsia="Arial MT" w:hAnsi="Verdana" w:cs="Arial"/>
          <w:spacing w:val="-12"/>
          <w:lang w:val="es-ES"/>
        </w:rPr>
        <w:t xml:space="preserve"> </w:t>
      </w:r>
      <w:r w:rsidRPr="00CB71E4">
        <w:rPr>
          <w:rFonts w:ascii="Verdana" w:eastAsia="Arial MT" w:hAnsi="Verdana" w:cs="Arial"/>
          <w:lang w:val="es-ES"/>
        </w:rPr>
        <w:t>sido</w:t>
      </w:r>
      <w:r w:rsidRPr="00CB71E4">
        <w:rPr>
          <w:rFonts w:ascii="Verdana" w:eastAsia="Arial MT" w:hAnsi="Verdana" w:cs="Arial"/>
          <w:spacing w:val="-12"/>
          <w:lang w:val="es-ES"/>
        </w:rPr>
        <w:t xml:space="preserve"> </w:t>
      </w:r>
      <w:r w:rsidRPr="00CB71E4">
        <w:rPr>
          <w:rFonts w:ascii="Verdana" w:eastAsia="Arial MT" w:hAnsi="Verdana" w:cs="Arial"/>
          <w:lang w:val="es-ES"/>
        </w:rPr>
        <w:t>la</w:t>
      </w:r>
      <w:r w:rsidRPr="00CB71E4">
        <w:rPr>
          <w:rFonts w:ascii="Verdana" w:eastAsia="Arial MT" w:hAnsi="Verdana" w:cs="Arial"/>
          <w:spacing w:val="-11"/>
          <w:lang w:val="es-ES"/>
        </w:rPr>
        <w:t xml:space="preserve"> </w:t>
      </w:r>
      <w:r w:rsidR="00DD5B43" w:rsidRPr="00CB71E4">
        <w:rPr>
          <w:rFonts w:ascii="Verdana" w:eastAsia="Arial MT" w:hAnsi="Verdana" w:cs="Arial"/>
          <w:lang w:val="es-ES"/>
        </w:rPr>
        <w:t xml:space="preserve">postura </w:t>
      </w:r>
      <w:r w:rsidR="00DD5B43" w:rsidRPr="00CB71E4">
        <w:rPr>
          <w:rFonts w:ascii="Verdana" w:eastAsia="Arial MT" w:hAnsi="Verdana" w:cs="Arial"/>
          <w:spacing w:val="-59"/>
          <w:lang w:val="es-ES"/>
        </w:rPr>
        <w:t>al</w:t>
      </w:r>
      <w:r w:rsidRPr="00CB71E4">
        <w:rPr>
          <w:rFonts w:ascii="Verdana" w:eastAsia="Arial MT" w:hAnsi="Verdana" w:cs="Arial"/>
          <w:lang w:val="es-ES"/>
        </w:rPr>
        <w:t xml:space="preserve"> interior de la jurisprudencia, tanto de la Corte Constitucional como de la Sección</w:t>
      </w:r>
      <w:r w:rsidRPr="00CB71E4">
        <w:rPr>
          <w:rFonts w:ascii="Verdana" w:eastAsia="Arial MT" w:hAnsi="Verdana" w:cs="Arial"/>
          <w:spacing w:val="1"/>
          <w:lang w:val="es-ES"/>
        </w:rPr>
        <w:t xml:space="preserve"> </w:t>
      </w:r>
      <w:r w:rsidRPr="00CB71E4">
        <w:rPr>
          <w:rFonts w:ascii="Verdana" w:eastAsia="Arial MT" w:hAnsi="Verdana" w:cs="Arial"/>
          <w:lang w:val="es-ES"/>
        </w:rPr>
        <w:t>Tercera</w:t>
      </w:r>
      <w:r w:rsidRPr="00CB71E4">
        <w:rPr>
          <w:rFonts w:ascii="Verdana" w:eastAsia="Arial MT" w:hAnsi="Verdana" w:cs="Arial"/>
          <w:spacing w:val="-2"/>
          <w:lang w:val="es-ES"/>
        </w:rPr>
        <w:t xml:space="preserve"> </w:t>
      </w:r>
      <w:r w:rsidRPr="00CB71E4">
        <w:rPr>
          <w:rFonts w:ascii="Verdana" w:eastAsia="Arial MT" w:hAnsi="Verdana" w:cs="Arial"/>
          <w:lang w:val="es-ES"/>
        </w:rPr>
        <w:t>del</w:t>
      </w:r>
      <w:r w:rsidRPr="00CB71E4">
        <w:rPr>
          <w:rFonts w:ascii="Verdana" w:eastAsia="Arial MT" w:hAnsi="Verdana" w:cs="Arial"/>
          <w:spacing w:val="-1"/>
          <w:lang w:val="es-ES"/>
        </w:rPr>
        <w:t xml:space="preserve"> </w:t>
      </w:r>
      <w:r w:rsidRPr="00CB71E4">
        <w:rPr>
          <w:rFonts w:ascii="Verdana" w:eastAsia="Arial MT" w:hAnsi="Verdana" w:cs="Arial"/>
          <w:lang w:val="es-ES"/>
        </w:rPr>
        <w:t>Consejo</w:t>
      </w:r>
      <w:r w:rsidRPr="00CB71E4">
        <w:rPr>
          <w:rFonts w:ascii="Verdana" w:eastAsia="Arial MT" w:hAnsi="Verdana" w:cs="Arial"/>
          <w:spacing w:val="-1"/>
          <w:lang w:val="es-ES"/>
        </w:rPr>
        <w:t xml:space="preserve"> </w:t>
      </w:r>
      <w:r w:rsidRPr="00CB71E4">
        <w:rPr>
          <w:rFonts w:ascii="Verdana" w:eastAsia="Arial MT" w:hAnsi="Verdana" w:cs="Arial"/>
          <w:lang w:val="es-ES"/>
        </w:rPr>
        <w:t>de</w:t>
      </w:r>
      <w:r w:rsidRPr="00CB71E4">
        <w:rPr>
          <w:rFonts w:ascii="Verdana" w:eastAsia="Arial MT" w:hAnsi="Verdana" w:cs="Arial"/>
          <w:spacing w:val="-1"/>
          <w:lang w:val="es-ES"/>
        </w:rPr>
        <w:t xml:space="preserve"> </w:t>
      </w:r>
      <w:r w:rsidRPr="00CB71E4">
        <w:rPr>
          <w:rFonts w:ascii="Verdana" w:eastAsia="Arial MT" w:hAnsi="Verdana" w:cs="Arial"/>
          <w:lang w:val="es-ES"/>
        </w:rPr>
        <w:t>Estado.</w:t>
      </w:r>
    </w:p>
    <w:p w14:paraId="560B2C23" w14:textId="2FBCFDBA" w:rsidR="001C62B4" w:rsidRPr="00CB71E4" w:rsidRDefault="001C62B4" w:rsidP="001C62B4">
      <w:pPr>
        <w:widowControl w:val="0"/>
        <w:autoSpaceDE w:val="0"/>
        <w:autoSpaceDN w:val="0"/>
        <w:spacing w:before="120" w:after="0" w:line="276" w:lineRule="auto"/>
        <w:ind w:right="68" w:firstLine="820"/>
        <w:jc w:val="both"/>
        <w:rPr>
          <w:rFonts w:ascii="Verdana" w:eastAsia="Arial MT" w:hAnsi="Verdana" w:cs="Arial"/>
          <w:lang w:val="es-ES"/>
        </w:rPr>
      </w:pPr>
      <w:r w:rsidRPr="00CB71E4">
        <w:rPr>
          <w:rFonts w:ascii="Verdana" w:eastAsia="Arial MT" w:hAnsi="Verdana" w:cs="Arial"/>
          <w:lang w:val="es-ES"/>
        </w:rPr>
        <w:t>En</w:t>
      </w:r>
      <w:r w:rsidRPr="00CB71E4">
        <w:rPr>
          <w:rFonts w:ascii="Verdana" w:eastAsia="Arial MT" w:hAnsi="Verdana" w:cs="Arial"/>
          <w:spacing w:val="-11"/>
          <w:lang w:val="es-ES"/>
        </w:rPr>
        <w:t xml:space="preserve"> </w:t>
      </w:r>
      <w:r w:rsidRPr="00CB71E4">
        <w:rPr>
          <w:rFonts w:ascii="Verdana" w:eastAsia="Arial MT" w:hAnsi="Verdana" w:cs="Arial"/>
          <w:lang w:val="es-ES"/>
        </w:rPr>
        <w:t>efecto,</w:t>
      </w:r>
      <w:r w:rsidRPr="00CB71E4">
        <w:rPr>
          <w:rFonts w:ascii="Verdana" w:eastAsia="Arial MT" w:hAnsi="Verdana" w:cs="Arial"/>
          <w:spacing w:val="-10"/>
          <w:lang w:val="es-ES"/>
        </w:rPr>
        <w:t xml:space="preserve"> </w:t>
      </w:r>
      <w:r w:rsidRPr="00CB71E4">
        <w:rPr>
          <w:rFonts w:ascii="Verdana" w:eastAsia="Arial MT" w:hAnsi="Verdana" w:cs="Arial"/>
          <w:lang w:val="es-ES"/>
        </w:rPr>
        <w:t>el</w:t>
      </w:r>
      <w:r w:rsidRPr="00CB71E4">
        <w:rPr>
          <w:rFonts w:ascii="Verdana" w:eastAsia="Arial MT" w:hAnsi="Verdana" w:cs="Arial"/>
          <w:spacing w:val="-10"/>
          <w:lang w:val="es-ES"/>
        </w:rPr>
        <w:t xml:space="preserve"> </w:t>
      </w:r>
      <w:r w:rsidRPr="00CB71E4">
        <w:rPr>
          <w:rFonts w:ascii="Verdana" w:eastAsia="Arial MT" w:hAnsi="Verdana" w:cs="Arial"/>
          <w:lang w:val="es-ES"/>
        </w:rPr>
        <w:t>máximo</w:t>
      </w:r>
      <w:r w:rsidRPr="00CB71E4">
        <w:rPr>
          <w:rFonts w:ascii="Verdana" w:eastAsia="Arial MT" w:hAnsi="Verdana" w:cs="Arial"/>
          <w:spacing w:val="-10"/>
          <w:lang w:val="es-ES"/>
        </w:rPr>
        <w:t xml:space="preserve"> </w:t>
      </w:r>
      <w:r w:rsidRPr="00CB71E4">
        <w:rPr>
          <w:rFonts w:ascii="Verdana" w:eastAsia="Arial MT" w:hAnsi="Verdana" w:cs="Arial"/>
          <w:lang w:val="es-ES"/>
        </w:rPr>
        <w:t>tribunal</w:t>
      </w:r>
      <w:r w:rsidRPr="00CB71E4">
        <w:rPr>
          <w:rFonts w:ascii="Verdana" w:eastAsia="Arial MT" w:hAnsi="Verdana" w:cs="Arial"/>
          <w:spacing w:val="-9"/>
          <w:lang w:val="es-ES"/>
        </w:rPr>
        <w:t xml:space="preserve"> </w:t>
      </w:r>
      <w:r w:rsidRPr="00CB71E4">
        <w:rPr>
          <w:rFonts w:ascii="Verdana" w:eastAsia="Arial MT" w:hAnsi="Verdana" w:cs="Arial"/>
          <w:lang w:val="es-ES"/>
        </w:rPr>
        <w:t>constitucional</w:t>
      </w:r>
      <w:r w:rsidRPr="00CB71E4">
        <w:rPr>
          <w:rFonts w:ascii="Verdana" w:eastAsia="Arial MT" w:hAnsi="Verdana" w:cs="Arial"/>
          <w:spacing w:val="-11"/>
          <w:lang w:val="es-ES"/>
        </w:rPr>
        <w:t xml:space="preserve"> </w:t>
      </w:r>
      <w:r w:rsidRPr="00CB71E4">
        <w:rPr>
          <w:rFonts w:ascii="Verdana" w:eastAsia="Arial MT" w:hAnsi="Verdana" w:cs="Arial"/>
          <w:lang w:val="es-ES"/>
        </w:rPr>
        <w:t>ha</w:t>
      </w:r>
      <w:r w:rsidRPr="00CB71E4">
        <w:rPr>
          <w:rFonts w:ascii="Verdana" w:eastAsia="Arial MT" w:hAnsi="Verdana" w:cs="Arial"/>
          <w:spacing w:val="-10"/>
          <w:lang w:val="es-ES"/>
        </w:rPr>
        <w:t xml:space="preserve"> </w:t>
      </w:r>
      <w:r w:rsidRPr="00CB71E4">
        <w:rPr>
          <w:rFonts w:ascii="Verdana" w:eastAsia="Arial MT" w:hAnsi="Verdana" w:cs="Arial"/>
          <w:lang w:val="es-ES"/>
        </w:rPr>
        <w:t>indicado</w:t>
      </w:r>
      <w:r w:rsidRPr="00CB71E4">
        <w:rPr>
          <w:rFonts w:ascii="Verdana" w:eastAsia="Arial MT" w:hAnsi="Verdana" w:cs="Arial"/>
          <w:spacing w:val="-10"/>
          <w:lang w:val="es-ES"/>
        </w:rPr>
        <w:t xml:space="preserve"> </w:t>
      </w:r>
      <w:r w:rsidRPr="00CB71E4">
        <w:rPr>
          <w:rFonts w:ascii="Verdana" w:eastAsia="Arial MT" w:hAnsi="Verdana" w:cs="Arial"/>
          <w:lang w:val="es-ES"/>
        </w:rPr>
        <w:t>que,</w:t>
      </w:r>
      <w:r w:rsidRPr="00CB71E4">
        <w:rPr>
          <w:rFonts w:ascii="Verdana" w:eastAsia="Arial MT" w:hAnsi="Verdana" w:cs="Arial"/>
          <w:spacing w:val="-10"/>
          <w:lang w:val="es-ES"/>
        </w:rPr>
        <w:t xml:space="preserve"> </w:t>
      </w:r>
      <w:r w:rsidRPr="00CB71E4">
        <w:rPr>
          <w:rFonts w:ascii="Verdana" w:eastAsia="Arial MT" w:hAnsi="Verdana" w:cs="Arial"/>
          <w:lang w:val="es-ES"/>
        </w:rPr>
        <w:t>al</w:t>
      </w:r>
      <w:r w:rsidRPr="00CB71E4">
        <w:rPr>
          <w:rFonts w:ascii="Verdana" w:eastAsia="Arial MT" w:hAnsi="Verdana" w:cs="Arial"/>
          <w:spacing w:val="-10"/>
          <w:lang w:val="es-ES"/>
        </w:rPr>
        <w:t xml:space="preserve"> </w:t>
      </w:r>
      <w:r w:rsidRPr="00CB71E4">
        <w:rPr>
          <w:rFonts w:ascii="Verdana" w:eastAsia="Arial MT" w:hAnsi="Verdana" w:cs="Arial"/>
          <w:lang w:val="es-ES"/>
        </w:rPr>
        <w:t>tratar</w:t>
      </w:r>
      <w:r w:rsidRPr="00CB71E4">
        <w:rPr>
          <w:rFonts w:ascii="Verdana" w:eastAsia="Arial MT" w:hAnsi="Verdana" w:cs="Arial"/>
          <w:spacing w:val="-10"/>
          <w:lang w:val="es-ES"/>
        </w:rPr>
        <w:t xml:space="preserve"> </w:t>
      </w:r>
      <w:r w:rsidRPr="00CB71E4">
        <w:rPr>
          <w:rFonts w:ascii="Verdana" w:eastAsia="Arial MT" w:hAnsi="Verdana" w:cs="Arial"/>
          <w:lang w:val="es-ES"/>
        </w:rPr>
        <w:t>de</w:t>
      </w:r>
      <w:r w:rsidRPr="00CB71E4">
        <w:rPr>
          <w:rFonts w:ascii="Verdana" w:eastAsia="Arial MT" w:hAnsi="Verdana" w:cs="Arial"/>
          <w:spacing w:val="-10"/>
          <w:lang w:val="es-ES"/>
        </w:rPr>
        <w:t xml:space="preserve"> </w:t>
      </w:r>
      <w:r w:rsidR="00DD5B43" w:rsidRPr="00CB71E4">
        <w:rPr>
          <w:rFonts w:ascii="Verdana" w:eastAsia="Arial MT" w:hAnsi="Verdana" w:cs="Arial"/>
          <w:lang w:val="es-ES"/>
        </w:rPr>
        <w:t xml:space="preserve">precisar </w:t>
      </w:r>
      <w:r w:rsidR="00DD5B43" w:rsidRPr="00CB71E4">
        <w:rPr>
          <w:rFonts w:ascii="Verdana" w:eastAsia="Arial MT" w:hAnsi="Verdana" w:cs="Arial"/>
          <w:spacing w:val="-58"/>
          <w:lang w:val="es-ES"/>
        </w:rPr>
        <w:t>el</w:t>
      </w:r>
      <w:r w:rsidRPr="00CB71E4">
        <w:rPr>
          <w:rFonts w:ascii="Verdana" w:eastAsia="Arial MT" w:hAnsi="Verdana" w:cs="Arial"/>
          <w:spacing w:val="-6"/>
          <w:lang w:val="es-ES"/>
        </w:rPr>
        <w:t xml:space="preserve"> </w:t>
      </w:r>
      <w:r w:rsidRPr="00CB71E4">
        <w:rPr>
          <w:rFonts w:ascii="Verdana" w:eastAsia="Arial MT" w:hAnsi="Verdana" w:cs="Arial"/>
          <w:lang w:val="es-ES"/>
        </w:rPr>
        <w:t>sentido</w:t>
      </w:r>
      <w:r w:rsidRPr="00CB71E4">
        <w:rPr>
          <w:rFonts w:ascii="Verdana" w:eastAsia="Arial MT" w:hAnsi="Verdana" w:cs="Arial"/>
          <w:spacing w:val="-6"/>
          <w:lang w:val="es-ES"/>
        </w:rPr>
        <w:t xml:space="preserve"> </w:t>
      </w:r>
      <w:r w:rsidRPr="00CB71E4">
        <w:rPr>
          <w:rFonts w:ascii="Verdana" w:eastAsia="Arial MT" w:hAnsi="Verdana" w:cs="Arial"/>
          <w:lang w:val="es-ES"/>
        </w:rPr>
        <w:t>de</w:t>
      </w:r>
      <w:r w:rsidRPr="00CB71E4">
        <w:rPr>
          <w:rFonts w:ascii="Verdana" w:eastAsia="Arial MT" w:hAnsi="Verdana" w:cs="Arial"/>
          <w:spacing w:val="-5"/>
          <w:lang w:val="es-ES"/>
        </w:rPr>
        <w:t xml:space="preserve"> </w:t>
      </w:r>
      <w:r w:rsidRPr="00CB71E4">
        <w:rPr>
          <w:rFonts w:ascii="Verdana" w:eastAsia="Arial MT" w:hAnsi="Verdana" w:cs="Arial"/>
          <w:lang w:val="es-ES"/>
        </w:rPr>
        <w:t>este</w:t>
      </w:r>
      <w:r w:rsidRPr="00CB71E4">
        <w:rPr>
          <w:rFonts w:ascii="Verdana" w:eastAsia="Arial MT" w:hAnsi="Verdana" w:cs="Arial"/>
          <w:spacing w:val="-6"/>
          <w:lang w:val="es-ES"/>
        </w:rPr>
        <w:t xml:space="preserve"> </w:t>
      </w:r>
      <w:r w:rsidRPr="00CB71E4">
        <w:rPr>
          <w:rFonts w:ascii="Verdana" w:eastAsia="Arial MT" w:hAnsi="Verdana" w:cs="Arial"/>
          <w:lang w:val="es-ES"/>
        </w:rPr>
        <w:t>tipo</w:t>
      </w:r>
      <w:r w:rsidRPr="00CB71E4">
        <w:rPr>
          <w:rFonts w:ascii="Verdana" w:eastAsia="Arial MT" w:hAnsi="Verdana" w:cs="Arial"/>
          <w:spacing w:val="-4"/>
          <w:lang w:val="es-ES"/>
        </w:rPr>
        <w:t xml:space="preserve"> </w:t>
      </w:r>
      <w:r w:rsidRPr="00CB71E4">
        <w:rPr>
          <w:rFonts w:ascii="Verdana" w:eastAsia="Arial MT" w:hAnsi="Verdana" w:cs="Arial"/>
          <w:lang w:val="es-ES"/>
        </w:rPr>
        <w:t>de</w:t>
      </w:r>
      <w:r w:rsidRPr="00CB71E4">
        <w:rPr>
          <w:rFonts w:ascii="Verdana" w:eastAsia="Arial MT" w:hAnsi="Verdana" w:cs="Arial"/>
          <w:spacing w:val="-6"/>
          <w:lang w:val="es-ES"/>
        </w:rPr>
        <w:t xml:space="preserve"> </w:t>
      </w:r>
      <w:r w:rsidRPr="00CB71E4">
        <w:rPr>
          <w:rFonts w:ascii="Verdana" w:eastAsia="Arial MT" w:hAnsi="Verdana" w:cs="Arial"/>
          <w:lang w:val="es-ES"/>
        </w:rPr>
        <w:t>normas,</w:t>
      </w:r>
      <w:r w:rsidRPr="00CB71E4">
        <w:rPr>
          <w:rFonts w:ascii="Verdana" w:eastAsia="Arial MT" w:hAnsi="Verdana" w:cs="Arial"/>
          <w:spacing w:val="-6"/>
          <w:lang w:val="es-ES"/>
        </w:rPr>
        <w:t xml:space="preserve"> </w:t>
      </w:r>
      <w:r w:rsidRPr="00CB71E4">
        <w:rPr>
          <w:rFonts w:ascii="Verdana" w:eastAsia="Arial MT" w:hAnsi="Verdana" w:cs="Arial"/>
          <w:lang w:val="es-ES"/>
        </w:rPr>
        <w:t>“[…]</w:t>
      </w:r>
      <w:r w:rsidRPr="00CB71E4">
        <w:rPr>
          <w:rFonts w:ascii="Verdana" w:eastAsia="Arial MT" w:hAnsi="Verdana" w:cs="Arial"/>
          <w:spacing w:val="-5"/>
          <w:lang w:val="es-ES"/>
        </w:rPr>
        <w:t xml:space="preserve"> </w:t>
      </w:r>
      <w:r w:rsidRPr="00CB71E4">
        <w:rPr>
          <w:rFonts w:ascii="Verdana" w:eastAsia="Arial MT" w:hAnsi="Verdana" w:cs="Arial"/>
          <w:lang w:val="es-ES"/>
        </w:rPr>
        <w:t>el</w:t>
      </w:r>
      <w:r w:rsidRPr="00CB71E4">
        <w:rPr>
          <w:rFonts w:ascii="Verdana" w:eastAsia="Arial MT" w:hAnsi="Verdana" w:cs="Arial"/>
          <w:spacing w:val="-6"/>
          <w:lang w:val="es-ES"/>
        </w:rPr>
        <w:t xml:space="preserve"> </w:t>
      </w:r>
      <w:r w:rsidRPr="00CB71E4">
        <w:rPr>
          <w:rFonts w:ascii="Verdana" w:eastAsia="Arial MT" w:hAnsi="Verdana" w:cs="Arial"/>
          <w:lang w:val="es-ES"/>
        </w:rPr>
        <w:t>intérprete</w:t>
      </w:r>
      <w:r w:rsidRPr="00CB71E4">
        <w:rPr>
          <w:rFonts w:ascii="Verdana" w:eastAsia="Arial MT" w:hAnsi="Verdana" w:cs="Arial"/>
          <w:spacing w:val="-5"/>
          <w:lang w:val="es-ES"/>
        </w:rPr>
        <w:t xml:space="preserve"> </w:t>
      </w:r>
      <w:r w:rsidRPr="00CB71E4">
        <w:rPr>
          <w:rFonts w:ascii="Verdana" w:eastAsia="Arial MT" w:hAnsi="Verdana" w:cs="Arial"/>
          <w:lang w:val="es-ES"/>
        </w:rPr>
        <w:t>de</w:t>
      </w:r>
      <w:r w:rsidRPr="00CB71E4">
        <w:rPr>
          <w:rFonts w:ascii="Verdana" w:eastAsia="Arial MT" w:hAnsi="Verdana" w:cs="Arial"/>
          <w:spacing w:val="-6"/>
          <w:lang w:val="es-ES"/>
        </w:rPr>
        <w:t xml:space="preserve"> </w:t>
      </w:r>
      <w:r w:rsidRPr="00CB71E4">
        <w:rPr>
          <w:rFonts w:ascii="Verdana" w:eastAsia="Arial MT" w:hAnsi="Verdana" w:cs="Arial"/>
          <w:lang w:val="es-ES"/>
        </w:rPr>
        <w:t>las</w:t>
      </w:r>
      <w:r w:rsidRPr="00CB71E4">
        <w:rPr>
          <w:rFonts w:ascii="Verdana" w:eastAsia="Arial MT" w:hAnsi="Verdana" w:cs="Arial"/>
          <w:spacing w:val="-5"/>
          <w:lang w:val="es-ES"/>
        </w:rPr>
        <w:t xml:space="preserve"> </w:t>
      </w:r>
      <w:r w:rsidRPr="00CB71E4">
        <w:rPr>
          <w:rFonts w:ascii="Verdana" w:eastAsia="Arial MT" w:hAnsi="Verdana" w:cs="Arial"/>
          <w:lang w:val="es-ES"/>
        </w:rPr>
        <w:t>disposiciones</w:t>
      </w:r>
      <w:r w:rsidRPr="00CB71E4">
        <w:rPr>
          <w:rFonts w:ascii="Verdana" w:eastAsia="Arial MT" w:hAnsi="Verdana" w:cs="Arial"/>
          <w:spacing w:val="-5"/>
          <w:lang w:val="es-ES"/>
        </w:rPr>
        <w:t xml:space="preserve"> </w:t>
      </w:r>
      <w:r w:rsidRPr="00CB71E4">
        <w:rPr>
          <w:rFonts w:ascii="Verdana" w:eastAsia="Arial MT" w:hAnsi="Verdana" w:cs="Arial"/>
          <w:lang w:val="es-ES"/>
        </w:rPr>
        <w:t>legislativas</w:t>
      </w:r>
      <w:r w:rsidRPr="00CB71E4">
        <w:rPr>
          <w:rFonts w:ascii="Verdana" w:eastAsia="Arial MT" w:hAnsi="Verdana" w:cs="Arial"/>
          <w:spacing w:val="-5"/>
          <w:lang w:val="es-ES"/>
        </w:rPr>
        <w:t xml:space="preserve"> </w:t>
      </w:r>
      <w:r w:rsidRPr="00CB71E4">
        <w:rPr>
          <w:rFonts w:ascii="Verdana" w:eastAsia="Arial MT" w:hAnsi="Verdana" w:cs="Arial"/>
          <w:lang w:val="es-ES"/>
        </w:rPr>
        <w:t>en</w:t>
      </w:r>
      <w:r w:rsidRPr="00CB71E4">
        <w:rPr>
          <w:rFonts w:ascii="Verdana" w:eastAsia="Arial MT" w:hAnsi="Verdana" w:cs="Arial"/>
          <w:spacing w:val="-58"/>
          <w:lang w:val="es-ES"/>
        </w:rPr>
        <w:t xml:space="preserve">    </w:t>
      </w:r>
      <w:r w:rsidRPr="00CB71E4">
        <w:rPr>
          <w:rFonts w:ascii="Verdana" w:eastAsia="Arial MT" w:hAnsi="Verdana" w:cs="Arial"/>
          <w:lang w:val="es-ES"/>
        </w:rPr>
        <w:t xml:space="preserve"> la materia ha de ceñirse en la mayor medida posible al tenor literal y gramatical de los</w:t>
      </w:r>
      <w:r w:rsidRPr="00CB71E4">
        <w:rPr>
          <w:rFonts w:ascii="Verdana" w:eastAsia="Arial MT" w:hAnsi="Verdana" w:cs="Arial"/>
          <w:spacing w:val="1"/>
          <w:lang w:val="es-ES"/>
        </w:rPr>
        <w:t xml:space="preserve"> </w:t>
      </w:r>
      <w:r w:rsidRPr="00CB71E4">
        <w:rPr>
          <w:rFonts w:ascii="Verdana" w:eastAsia="Arial MT" w:hAnsi="Verdana" w:cs="Arial"/>
          <w:lang w:val="es-ES"/>
        </w:rPr>
        <w:t>enunciados</w:t>
      </w:r>
      <w:r w:rsidRPr="00CB71E4">
        <w:rPr>
          <w:rFonts w:ascii="Verdana" w:eastAsia="Arial MT" w:hAnsi="Verdana" w:cs="Arial"/>
          <w:spacing w:val="-9"/>
          <w:lang w:val="es-ES"/>
        </w:rPr>
        <w:t xml:space="preserve"> </w:t>
      </w:r>
      <w:r w:rsidRPr="00CB71E4">
        <w:rPr>
          <w:rFonts w:ascii="Verdana" w:eastAsia="Arial MT" w:hAnsi="Verdana" w:cs="Arial"/>
          <w:lang w:val="es-ES"/>
        </w:rPr>
        <w:t>normativos,</w:t>
      </w:r>
      <w:r w:rsidRPr="00CB71E4">
        <w:rPr>
          <w:rFonts w:ascii="Verdana" w:eastAsia="Arial MT" w:hAnsi="Verdana" w:cs="Arial"/>
          <w:spacing w:val="-9"/>
          <w:lang w:val="es-ES"/>
        </w:rPr>
        <w:t xml:space="preserve"> </w:t>
      </w:r>
      <w:r w:rsidRPr="00CB71E4">
        <w:rPr>
          <w:rFonts w:ascii="Verdana" w:eastAsia="Arial MT" w:hAnsi="Verdana" w:cs="Arial"/>
          <w:lang w:val="es-ES"/>
        </w:rPr>
        <w:t>sin</w:t>
      </w:r>
      <w:r w:rsidRPr="00CB71E4">
        <w:rPr>
          <w:rFonts w:ascii="Verdana" w:eastAsia="Arial MT" w:hAnsi="Verdana" w:cs="Arial"/>
          <w:spacing w:val="-9"/>
          <w:lang w:val="es-ES"/>
        </w:rPr>
        <w:t xml:space="preserve"> </w:t>
      </w:r>
      <w:r w:rsidRPr="00CB71E4">
        <w:rPr>
          <w:rFonts w:ascii="Verdana" w:eastAsia="Arial MT" w:hAnsi="Verdana" w:cs="Arial"/>
          <w:lang w:val="es-ES"/>
        </w:rPr>
        <w:t>que</w:t>
      </w:r>
      <w:r w:rsidRPr="00CB71E4">
        <w:rPr>
          <w:rFonts w:ascii="Verdana" w:eastAsia="Arial MT" w:hAnsi="Verdana" w:cs="Arial"/>
          <w:spacing w:val="-8"/>
          <w:lang w:val="es-ES"/>
        </w:rPr>
        <w:t xml:space="preserve"> </w:t>
      </w:r>
      <w:r w:rsidRPr="00CB71E4">
        <w:rPr>
          <w:rFonts w:ascii="Verdana" w:eastAsia="Arial MT" w:hAnsi="Verdana" w:cs="Arial"/>
          <w:lang w:val="es-ES"/>
        </w:rPr>
        <w:t>pueda</w:t>
      </w:r>
      <w:r w:rsidRPr="00CB71E4">
        <w:rPr>
          <w:rFonts w:ascii="Verdana" w:eastAsia="Arial MT" w:hAnsi="Verdana" w:cs="Arial"/>
          <w:spacing w:val="-9"/>
          <w:lang w:val="es-ES"/>
        </w:rPr>
        <w:t xml:space="preserve"> </w:t>
      </w:r>
      <w:r w:rsidRPr="00CB71E4">
        <w:rPr>
          <w:rFonts w:ascii="Verdana" w:eastAsia="Arial MT" w:hAnsi="Verdana" w:cs="Arial"/>
          <w:lang w:val="es-ES"/>
        </w:rPr>
        <w:t>acudir</w:t>
      </w:r>
      <w:r w:rsidRPr="00CB71E4">
        <w:rPr>
          <w:rFonts w:ascii="Verdana" w:eastAsia="Arial MT" w:hAnsi="Verdana" w:cs="Arial"/>
          <w:spacing w:val="-9"/>
          <w:lang w:val="es-ES"/>
        </w:rPr>
        <w:t xml:space="preserve"> </w:t>
      </w:r>
      <w:r w:rsidRPr="00CB71E4">
        <w:rPr>
          <w:rFonts w:ascii="Verdana" w:eastAsia="Arial MT" w:hAnsi="Verdana" w:cs="Arial"/>
          <w:lang w:val="es-ES"/>
        </w:rPr>
        <w:t>prima</w:t>
      </w:r>
      <w:r w:rsidRPr="00CB71E4">
        <w:rPr>
          <w:rFonts w:ascii="Verdana" w:eastAsia="Arial MT" w:hAnsi="Verdana" w:cs="Arial"/>
          <w:spacing w:val="-9"/>
          <w:lang w:val="es-ES"/>
        </w:rPr>
        <w:t xml:space="preserve"> </w:t>
      </w:r>
      <w:r w:rsidRPr="00CB71E4">
        <w:rPr>
          <w:rFonts w:ascii="Verdana" w:eastAsia="Arial MT" w:hAnsi="Verdana" w:cs="Arial"/>
          <w:lang w:val="es-ES"/>
        </w:rPr>
        <w:t>facie</w:t>
      </w:r>
      <w:r w:rsidRPr="00CB71E4">
        <w:rPr>
          <w:rFonts w:ascii="Verdana" w:eastAsia="Arial MT" w:hAnsi="Verdana" w:cs="Arial"/>
          <w:spacing w:val="-8"/>
          <w:lang w:val="es-ES"/>
        </w:rPr>
        <w:t xml:space="preserve"> </w:t>
      </w:r>
      <w:r w:rsidRPr="00CB71E4">
        <w:rPr>
          <w:rFonts w:ascii="Verdana" w:eastAsia="Arial MT" w:hAnsi="Verdana" w:cs="Arial"/>
          <w:lang w:val="es-ES"/>
        </w:rPr>
        <w:t>a</w:t>
      </w:r>
      <w:r w:rsidRPr="00CB71E4">
        <w:rPr>
          <w:rFonts w:ascii="Verdana" w:eastAsia="Arial MT" w:hAnsi="Verdana" w:cs="Arial"/>
          <w:spacing w:val="-9"/>
          <w:lang w:val="es-ES"/>
        </w:rPr>
        <w:t xml:space="preserve"> </w:t>
      </w:r>
      <w:r w:rsidRPr="00CB71E4">
        <w:rPr>
          <w:rFonts w:ascii="Verdana" w:eastAsia="Arial MT" w:hAnsi="Verdana" w:cs="Arial"/>
          <w:lang w:val="es-ES"/>
        </w:rPr>
        <w:t>criterios</w:t>
      </w:r>
      <w:r w:rsidRPr="00CB71E4">
        <w:rPr>
          <w:rFonts w:ascii="Verdana" w:eastAsia="Arial MT" w:hAnsi="Verdana" w:cs="Arial"/>
          <w:spacing w:val="-9"/>
          <w:lang w:val="es-ES"/>
        </w:rPr>
        <w:t xml:space="preserve"> </w:t>
      </w:r>
      <w:r w:rsidRPr="00CB71E4">
        <w:rPr>
          <w:rFonts w:ascii="Verdana" w:eastAsia="Arial MT" w:hAnsi="Verdana" w:cs="Arial"/>
          <w:lang w:val="es-ES"/>
        </w:rPr>
        <w:t>interpretativos</w:t>
      </w:r>
      <w:r w:rsidRPr="00CB71E4">
        <w:rPr>
          <w:rFonts w:ascii="Verdana" w:eastAsia="Arial MT" w:hAnsi="Verdana" w:cs="Arial"/>
          <w:spacing w:val="-9"/>
          <w:lang w:val="es-ES"/>
        </w:rPr>
        <w:t xml:space="preserve"> </w:t>
      </w:r>
      <w:r w:rsidRPr="00CB71E4">
        <w:rPr>
          <w:rFonts w:ascii="Verdana" w:eastAsia="Arial MT" w:hAnsi="Verdana" w:cs="Arial"/>
          <w:lang w:val="es-ES"/>
        </w:rPr>
        <w:t>tales</w:t>
      </w:r>
      <w:r w:rsidRPr="00CB71E4">
        <w:rPr>
          <w:rFonts w:ascii="Verdana" w:eastAsia="Arial MT" w:hAnsi="Verdana" w:cs="Arial"/>
          <w:spacing w:val="-58"/>
          <w:lang w:val="es-ES"/>
        </w:rPr>
        <w:t xml:space="preserve"> </w:t>
      </w:r>
      <w:r w:rsidRPr="00CB71E4">
        <w:rPr>
          <w:rFonts w:ascii="Verdana" w:eastAsia="Arial MT" w:hAnsi="Verdana" w:cs="Arial"/>
          <w:lang w:val="es-ES"/>
        </w:rPr>
        <w:t>como la analogía, la interpretación extensiva para ampliar el alcance de las causales</w:t>
      </w:r>
      <w:r w:rsidRPr="00CB71E4">
        <w:rPr>
          <w:rFonts w:ascii="Verdana" w:eastAsia="Arial MT" w:hAnsi="Verdana" w:cs="Arial"/>
          <w:spacing w:val="1"/>
          <w:lang w:val="es-ES"/>
        </w:rPr>
        <w:t xml:space="preserve"> </w:t>
      </w:r>
      <w:r w:rsidRPr="00CB71E4">
        <w:rPr>
          <w:rFonts w:ascii="Verdana" w:eastAsia="Arial MT" w:hAnsi="Verdana" w:cs="Arial"/>
          <w:lang w:val="es-ES"/>
        </w:rPr>
        <w:t>legalmente fijadas”</w:t>
      </w:r>
      <w:r w:rsidRPr="00CB71E4">
        <w:rPr>
          <w:rFonts w:ascii="Verdana" w:eastAsia="Arial MT" w:hAnsi="Verdana" w:cs="Arial"/>
          <w:vertAlign w:val="superscript"/>
          <w:lang w:val="es-ES"/>
        </w:rPr>
        <w:footnoteReference w:id="6"/>
      </w:r>
      <w:r w:rsidRPr="00CB71E4">
        <w:rPr>
          <w:rFonts w:ascii="Verdana" w:eastAsia="Arial MT" w:hAnsi="Verdana" w:cs="Arial"/>
          <w:lang w:val="es-ES"/>
        </w:rPr>
        <w:t>. Por su parte, el Consejo de Estado también ha acogido este</w:t>
      </w:r>
      <w:r w:rsidRPr="00CB71E4">
        <w:rPr>
          <w:rFonts w:ascii="Verdana" w:eastAsia="Arial MT" w:hAnsi="Verdana" w:cs="Arial"/>
          <w:spacing w:val="1"/>
          <w:lang w:val="es-ES"/>
        </w:rPr>
        <w:t xml:space="preserve"> </w:t>
      </w:r>
      <w:r w:rsidRPr="00CB71E4">
        <w:rPr>
          <w:rFonts w:ascii="Verdana" w:eastAsia="Arial MT" w:hAnsi="Verdana" w:cs="Arial"/>
          <w:lang w:val="es-ES"/>
        </w:rPr>
        <w:t>criterio, considerando –como expresa la Sala de Consulta y Servicio Civil–, que “La</w:t>
      </w:r>
      <w:r w:rsidRPr="00CB71E4">
        <w:rPr>
          <w:rFonts w:ascii="Verdana" w:eastAsia="Arial MT" w:hAnsi="Verdana" w:cs="Arial"/>
          <w:spacing w:val="1"/>
          <w:lang w:val="es-ES"/>
        </w:rPr>
        <w:t xml:space="preserve"> </w:t>
      </w:r>
      <w:r w:rsidRPr="00CB71E4">
        <w:rPr>
          <w:rFonts w:ascii="Verdana" w:eastAsia="Arial MT" w:hAnsi="Verdana" w:cs="Arial"/>
          <w:lang w:val="es-ES"/>
        </w:rPr>
        <w:t>interpretación restrictiva de las normas que establecen inhabilidades constituye una</w:t>
      </w:r>
      <w:r w:rsidRPr="00CB71E4">
        <w:rPr>
          <w:rFonts w:ascii="Verdana" w:eastAsia="Arial MT" w:hAnsi="Verdana" w:cs="Arial"/>
          <w:spacing w:val="1"/>
          <w:lang w:val="es-ES"/>
        </w:rPr>
        <w:t xml:space="preserve"> </w:t>
      </w:r>
      <w:r w:rsidRPr="00CB71E4">
        <w:rPr>
          <w:rFonts w:ascii="Verdana" w:eastAsia="Arial MT" w:hAnsi="Verdana" w:cs="Arial"/>
          <w:lang w:val="es-ES"/>
        </w:rPr>
        <w:t>aplicación</w:t>
      </w:r>
      <w:r w:rsidRPr="00CB71E4">
        <w:rPr>
          <w:rFonts w:ascii="Verdana" w:eastAsia="Arial MT" w:hAnsi="Verdana" w:cs="Arial"/>
          <w:spacing w:val="1"/>
          <w:lang w:val="es-ES"/>
        </w:rPr>
        <w:t xml:space="preserve"> </w:t>
      </w:r>
      <w:r w:rsidRPr="00CB71E4">
        <w:rPr>
          <w:rFonts w:ascii="Verdana" w:eastAsia="Arial MT" w:hAnsi="Verdana" w:cs="Arial"/>
          <w:lang w:val="es-ES"/>
        </w:rPr>
        <w:t>del</w:t>
      </w:r>
      <w:r w:rsidRPr="00CB71E4">
        <w:rPr>
          <w:rFonts w:ascii="Verdana" w:eastAsia="Arial MT" w:hAnsi="Verdana" w:cs="Arial"/>
          <w:spacing w:val="1"/>
          <w:lang w:val="es-ES"/>
        </w:rPr>
        <w:t xml:space="preserve"> </w:t>
      </w:r>
      <w:r w:rsidRPr="00CB71E4">
        <w:rPr>
          <w:rFonts w:ascii="Verdana" w:eastAsia="Arial MT" w:hAnsi="Verdana" w:cs="Arial"/>
          <w:lang w:val="es-ES"/>
        </w:rPr>
        <w:t>principio</w:t>
      </w:r>
      <w:r w:rsidRPr="00CB71E4">
        <w:rPr>
          <w:rFonts w:ascii="Verdana" w:eastAsia="Arial MT" w:hAnsi="Verdana" w:cs="Arial"/>
          <w:spacing w:val="1"/>
          <w:lang w:val="es-ES"/>
        </w:rPr>
        <w:t xml:space="preserve"> </w:t>
      </w:r>
      <w:r w:rsidRPr="00CB71E4">
        <w:rPr>
          <w:rFonts w:ascii="Verdana" w:eastAsia="Arial MT" w:hAnsi="Verdana" w:cs="Arial"/>
          <w:lang w:val="es-ES"/>
        </w:rPr>
        <w:t>del</w:t>
      </w:r>
      <w:r w:rsidRPr="00CB71E4">
        <w:rPr>
          <w:rFonts w:ascii="Verdana" w:eastAsia="Arial MT" w:hAnsi="Verdana" w:cs="Arial"/>
          <w:spacing w:val="1"/>
          <w:lang w:val="es-ES"/>
        </w:rPr>
        <w:t xml:space="preserve"> </w:t>
      </w:r>
      <w:r w:rsidRPr="00CB71E4">
        <w:rPr>
          <w:rFonts w:ascii="Verdana" w:eastAsia="Arial MT" w:hAnsi="Verdana" w:cs="Arial"/>
          <w:lang w:val="es-ES"/>
        </w:rPr>
        <w:t>Estado</w:t>
      </w:r>
      <w:r w:rsidRPr="00CB71E4">
        <w:rPr>
          <w:rFonts w:ascii="Verdana" w:eastAsia="Arial MT" w:hAnsi="Verdana" w:cs="Arial"/>
          <w:spacing w:val="1"/>
          <w:lang w:val="es-ES"/>
        </w:rPr>
        <w:t xml:space="preserve"> </w:t>
      </w:r>
      <w:r w:rsidRPr="00CB71E4">
        <w:rPr>
          <w:rFonts w:ascii="Verdana" w:eastAsia="Arial MT" w:hAnsi="Verdana" w:cs="Arial"/>
          <w:lang w:val="es-ES"/>
        </w:rPr>
        <w:t>de</w:t>
      </w:r>
      <w:r w:rsidRPr="00CB71E4">
        <w:rPr>
          <w:rFonts w:ascii="Verdana" w:eastAsia="Arial MT" w:hAnsi="Verdana" w:cs="Arial"/>
          <w:spacing w:val="1"/>
          <w:lang w:val="es-ES"/>
        </w:rPr>
        <w:t xml:space="preserve"> </w:t>
      </w:r>
      <w:r w:rsidRPr="00CB71E4">
        <w:rPr>
          <w:rFonts w:ascii="Verdana" w:eastAsia="Arial MT" w:hAnsi="Verdana" w:cs="Arial"/>
          <w:lang w:val="es-ES"/>
        </w:rPr>
        <w:t>Derecho</w:t>
      </w:r>
      <w:r w:rsidRPr="00CB71E4">
        <w:rPr>
          <w:rFonts w:ascii="Verdana" w:eastAsia="Arial MT" w:hAnsi="Verdana" w:cs="Arial"/>
          <w:spacing w:val="1"/>
          <w:lang w:val="es-ES"/>
        </w:rPr>
        <w:t xml:space="preserve"> </w:t>
      </w:r>
      <w:r w:rsidRPr="00CB71E4">
        <w:rPr>
          <w:rFonts w:ascii="Verdana" w:eastAsia="Arial MT" w:hAnsi="Verdana" w:cs="Arial"/>
          <w:lang w:val="es-ES"/>
        </w:rPr>
        <w:t>previsto</w:t>
      </w:r>
      <w:r w:rsidRPr="00CB71E4">
        <w:rPr>
          <w:rFonts w:ascii="Verdana" w:eastAsia="Arial MT" w:hAnsi="Verdana" w:cs="Arial"/>
          <w:spacing w:val="1"/>
          <w:lang w:val="es-ES"/>
        </w:rPr>
        <w:t xml:space="preserve"> </w:t>
      </w:r>
      <w:r w:rsidRPr="00CB71E4">
        <w:rPr>
          <w:rFonts w:ascii="Verdana" w:eastAsia="Arial MT" w:hAnsi="Verdana" w:cs="Arial"/>
          <w:lang w:val="es-ES"/>
        </w:rPr>
        <w:t>en</w:t>
      </w:r>
      <w:r w:rsidRPr="00CB71E4">
        <w:rPr>
          <w:rFonts w:ascii="Verdana" w:eastAsia="Arial MT" w:hAnsi="Verdana" w:cs="Arial"/>
          <w:spacing w:val="1"/>
          <w:lang w:val="es-ES"/>
        </w:rPr>
        <w:t xml:space="preserve"> </w:t>
      </w:r>
      <w:r w:rsidRPr="00CB71E4">
        <w:rPr>
          <w:rFonts w:ascii="Verdana" w:eastAsia="Arial MT" w:hAnsi="Verdana" w:cs="Arial"/>
          <w:lang w:val="es-ES"/>
        </w:rPr>
        <w:t>el</w:t>
      </w:r>
      <w:r w:rsidRPr="00CB71E4">
        <w:rPr>
          <w:rFonts w:ascii="Verdana" w:eastAsia="Arial MT" w:hAnsi="Verdana" w:cs="Arial"/>
          <w:spacing w:val="1"/>
          <w:lang w:val="es-ES"/>
        </w:rPr>
        <w:t xml:space="preserve"> </w:t>
      </w:r>
      <w:r w:rsidRPr="00CB71E4">
        <w:rPr>
          <w:rFonts w:ascii="Verdana" w:eastAsia="Arial MT" w:hAnsi="Verdana" w:cs="Arial"/>
          <w:lang w:val="es-ES"/>
        </w:rPr>
        <w:t>artículo</w:t>
      </w:r>
      <w:r w:rsidRPr="00CB71E4">
        <w:rPr>
          <w:rFonts w:ascii="Verdana" w:eastAsia="Arial MT" w:hAnsi="Verdana" w:cs="Arial"/>
          <w:spacing w:val="1"/>
          <w:lang w:val="es-ES"/>
        </w:rPr>
        <w:t xml:space="preserve"> </w:t>
      </w:r>
      <w:r w:rsidRPr="00CB71E4">
        <w:rPr>
          <w:rFonts w:ascii="Verdana" w:eastAsia="Arial MT" w:hAnsi="Verdana" w:cs="Arial"/>
          <w:lang w:val="es-ES"/>
        </w:rPr>
        <w:t>6º</w:t>
      </w:r>
      <w:r w:rsidRPr="00CB71E4">
        <w:rPr>
          <w:rFonts w:ascii="Verdana" w:eastAsia="Arial MT" w:hAnsi="Verdana" w:cs="Arial"/>
          <w:spacing w:val="1"/>
          <w:lang w:val="es-ES"/>
        </w:rPr>
        <w:t xml:space="preserve"> </w:t>
      </w:r>
      <w:r w:rsidRPr="00CB71E4">
        <w:rPr>
          <w:rFonts w:ascii="Verdana" w:eastAsia="Arial MT" w:hAnsi="Verdana" w:cs="Arial"/>
          <w:lang w:val="es-ES"/>
        </w:rPr>
        <w:t>de</w:t>
      </w:r>
      <w:r w:rsidRPr="00CB71E4">
        <w:rPr>
          <w:rFonts w:ascii="Verdana" w:eastAsia="Arial MT" w:hAnsi="Verdana" w:cs="Arial"/>
          <w:spacing w:val="1"/>
          <w:lang w:val="es-ES"/>
        </w:rPr>
        <w:t xml:space="preserve"> </w:t>
      </w:r>
      <w:r w:rsidRPr="00CB71E4">
        <w:rPr>
          <w:rFonts w:ascii="Verdana" w:eastAsia="Arial MT" w:hAnsi="Verdana" w:cs="Arial"/>
          <w:lang w:val="es-ES"/>
        </w:rPr>
        <w:t>la</w:t>
      </w:r>
      <w:r w:rsidRPr="00CB71E4">
        <w:rPr>
          <w:rFonts w:ascii="Verdana" w:eastAsia="Arial MT" w:hAnsi="Verdana" w:cs="Arial"/>
          <w:spacing w:val="1"/>
          <w:lang w:val="es-ES"/>
        </w:rPr>
        <w:t xml:space="preserve"> </w:t>
      </w:r>
      <w:r w:rsidRPr="00CB71E4">
        <w:rPr>
          <w:rFonts w:ascii="Verdana" w:eastAsia="Arial MT" w:hAnsi="Verdana" w:cs="Arial"/>
          <w:lang w:val="es-ES"/>
        </w:rPr>
        <w:t>Constitución,</w:t>
      </w:r>
      <w:r w:rsidRPr="00CB71E4">
        <w:rPr>
          <w:rFonts w:ascii="Verdana" w:eastAsia="Arial MT" w:hAnsi="Verdana" w:cs="Arial"/>
          <w:spacing w:val="-14"/>
          <w:lang w:val="es-ES"/>
        </w:rPr>
        <w:t xml:space="preserve"> </w:t>
      </w:r>
      <w:r w:rsidRPr="00CB71E4">
        <w:rPr>
          <w:rFonts w:ascii="Verdana" w:eastAsia="Arial MT" w:hAnsi="Verdana" w:cs="Arial"/>
          <w:lang w:val="es-ES"/>
        </w:rPr>
        <w:t>según</w:t>
      </w:r>
      <w:r w:rsidRPr="00CB71E4">
        <w:rPr>
          <w:rFonts w:ascii="Verdana" w:eastAsia="Arial MT" w:hAnsi="Verdana" w:cs="Arial"/>
          <w:spacing w:val="-14"/>
          <w:lang w:val="es-ES"/>
        </w:rPr>
        <w:t xml:space="preserve"> </w:t>
      </w:r>
      <w:r w:rsidRPr="00CB71E4">
        <w:rPr>
          <w:rFonts w:ascii="Verdana" w:eastAsia="Arial MT" w:hAnsi="Verdana" w:cs="Arial"/>
          <w:lang w:val="es-ES"/>
        </w:rPr>
        <w:t>el</w:t>
      </w:r>
      <w:r w:rsidRPr="00CB71E4">
        <w:rPr>
          <w:rFonts w:ascii="Verdana" w:eastAsia="Arial MT" w:hAnsi="Verdana" w:cs="Arial"/>
          <w:spacing w:val="-13"/>
          <w:lang w:val="es-ES"/>
        </w:rPr>
        <w:t xml:space="preserve"> </w:t>
      </w:r>
      <w:r w:rsidRPr="00CB71E4">
        <w:rPr>
          <w:rFonts w:ascii="Verdana" w:eastAsia="Arial MT" w:hAnsi="Verdana" w:cs="Arial"/>
          <w:lang w:val="es-ES"/>
        </w:rPr>
        <w:t>cual</w:t>
      </w:r>
      <w:r w:rsidRPr="00CB71E4">
        <w:rPr>
          <w:rFonts w:ascii="Verdana" w:eastAsia="Arial MT" w:hAnsi="Verdana" w:cs="Arial"/>
          <w:spacing w:val="-14"/>
          <w:lang w:val="es-ES"/>
        </w:rPr>
        <w:t xml:space="preserve"> </w:t>
      </w:r>
      <w:r w:rsidRPr="00CB71E4">
        <w:rPr>
          <w:rFonts w:ascii="Verdana" w:eastAsia="Arial MT" w:hAnsi="Verdana" w:cs="Arial"/>
          <w:lang w:val="es-ES"/>
        </w:rPr>
        <w:t>“Los</w:t>
      </w:r>
      <w:r w:rsidRPr="00CB71E4">
        <w:rPr>
          <w:rFonts w:ascii="Verdana" w:eastAsia="Arial MT" w:hAnsi="Verdana" w:cs="Arial"/>
          <w:spacing w:val="-13"/>
          <w:lang w:val="es-ES"/>
        </w:rPr>
        <w:t xml:space="preserve"> </w:t>
      </w:r>
      <w:r w:rsidRPr="00CB71E4">
        <w:rPr>
          <w:rFonts w:ascii="Verdana" w:eastAsia="Arial MT" w:hAnsi="Verdana" w:cs="Arial"/>
          <w:lang w:val="es-ES"/>
        </w:rPr>
        <w:t>particulares</w:t>
      </w:r>
      <w:r w:rsidRPr="00CB71E4">
        <w:rPr>
          <w:rFonts w:ascii="Verdana" w:eastAsia="Arial MT" w:hAnsi="Verdana" w:cs="Arial"/>
          <w:spacing w:val="-14"/>
          <w:lang w:val="es-ES"/>
        </w:rPr>
        <w:t xml:space="preserve"> </w:t>
      </w:r>
      <w:r w:rsidRPr="00CB71E4">
        <w:rPr>
          <w:rFonts w:ascii="Verdana" w:eastAsia="Arial MT" w:hAnsi="Verdana" w:cs="Arial"/>
          <w:lang w:val="es-ES"/>
        </w:rPr>
        <w:t>sólo</w:t>
      </w:r>
      <w:r w:rsidRPr="00CB71E4">
        <w:rPr>
          <w:rFonts w:ascii="Verdana" w:eastAsia="Arial MT" w:hAnsi="Verdana" w:cs="Arial"/>
          <w:spacing w:val="-13"/>
          <w:lang w:val="es-ES"/>
        </w:rPr>
        <w:t xml:space="preserve"> </w:t>
      </w:r>
      <w:r w:rsidRPr="00CB71E4">
        <w:rPr>
          <w:rFonts w:ascii="Verdana" w:eastAsia="Arial MT" w:hAnsi="Verdana" w:cs="Arial"/>
          <w:lang w:val="es-ES"/>
        </w:rPr>
        <w:t>son</w:t>
      </w:r>
      <w:r w:rsidRPr="00CB71E4">
        <w:rPr>
          <w:rFonts w:ascii="Verdana" w:eastAsia="Arial MT" w:hAnsi="Verdana" w:cs="Arial"/>
          <w:spacing w:val="-14"/>
          <w:lang w:val="es-ES"/>
        </w:rPr>
        <w:t xml:space="preserve"> </w:t>
      </w:r>
      <w:r w:rsidRPr="00CB71E4">
        <w:rPr>
          <w:rFonts w:ascii="Verdana" w:eastAsia="Arial MT" w:hAnsi="Verdana" w:cs="Arial"/>
          <w:lang w:val="es-ES"/>
        </w:rPr>
        <w:t>responsables</w:t>
      </w:r>
      <w:r w:rsidRPr="00CB71E4">
        <w:rPr>
          <w:rFonts w:ascii="Verdana" w:eastAsia="Arial MT" w:hAnsi="Verdana" w:cs="Arial"/>
          <w:spacing w:val="-13"/>
          <w:lang w:val="es-ES"/>
        </w:rPr>
        <w:t xml:space="preserve"> </w:t>
      </w:r>
      <w:r w:rsidRPr="00CB71E4">
        <w:rPr>
          <w:rFonts w:ascii="Verdana" w:eastAsia="Arial MT" w:hAnsi="Verdana" w:cs="Arial"/>
          <w:lang w:val="es-ES"/>
        </w:rPr>
        <w:t>ante</w:t>
      </w:r>
      <w:r w:rsidRPr="00CB71E4">
        <w:rPr>
          <w:rFonts w:ascii="Verdana" w:eastAsia="Arial MT" w:hAnsi="Verdana" w:cs="Arial"/>
          <w:spacing w:val="-14"/>
          <w:lang w:val="es-ES"/>
        </w:rPr>
        <w:t xml:space="preserve"> </w:t>
      </w:r>
      <w:r w:rsidRPr="00CB71E4">
        <w:rPr>
          <w:rFonts w:ascii="Verdana" w:eastAsia="Arial MT" w:hAnsi="Verdana" w:cs="Arial"/>
          <w:lang w:val="es-ES"/>
        </w:rPr>
        <w:t>las</w:t>
      </w:r>
      <w:r w:rsidRPr="00CB71E4">
        <w:rPr>
          <w:rFonts w:ascii="Verdana" w:eastAsia="Arial MT" w:hAnsi="Verdana" w:cs="Arial"/>
          <w:spacing w:val="-13"/>
          <w:lang w:val="es-ES"/>
        </w:rPr>
        <w:t xml:space="preserve"> </w:t>
      </w:r>
      <w:r w:rsidRPr="00CB71E4">
        <w:rPr>
          <w:rFonts w:ascii="Verdana" w:eastAsia="Arial MT" w:hAnsi="Verdana" w:cs="Arial"/>
          <w:lang w:val="es-ES"/>
        </w:rPr>
        <w:t>autoridades</w:t>
      </w:r>
      <w:r w:rsidRPr="00CB71E4">
        <w:rPr>
          <w:rFonts w:ascii="Verdana" w:eastAsia="Arial MT" w:hAnsi="Verdana" w:cs="Arial"/>
          <w:spacing w:val="-59"/>
          <w:lang w:val="es-ES"/>
        </w:rPr>
        <w:t xml:space="preserve"> </w:t>
      </w:r>
      <w:r w:rsidRPr="00CB71E4">
        <w:rPr>
          <w:rFonts w:ascii="Verdana" w:eastAsia="Arial MT" w:hAnsi="Verdana" w:cs="Arial"/>
          <w:lang w:val="es-ES"/>
        </w:rPr>
        <w:t>por infringir la Constitución y las leyes” lo que se traduce en que pueden hacer todo</w:t>
      </w:r>
      <w:r w:rsidRPr="00CB71E4">
        <w:rPr>
          <w:rFonts w:ascii="Verdana" w:eastAsia="Arial MT" w:hAnsi="Verdana" w:cs="Arial"/>
          <w:spacing w:val="1"/>
          <w:lang w:val="es-ES"/>
        </w:rPr>
        <w:t xml:space="preserve"> </w:t>
      </w:r>
      <w:r w:rsidRPr="00CB71E4">
        <w:rPr>
          <w:rFonts w:ascii="Verdana" w:eastAsia="Arial MT" w:hAnsi="Verdana" w:cs="Arial"/>
          <w:lang w:val="es-ES"/>
        </w:rPr>
        <w:t>aquello que no les esté expresamente prohibido”</w:t>
      </w:r>
      <w:r w:rsidRPr="00CB71E4">
        <w:rPr>
          <w:rFonts w:ascii="Verdana" w:eastAsia="Arial MT" w:hAnsi="Verdana" w:cs="Arial"/>
          <w:vertAlign w:val="superscript"/>
          <w:lang w:val="es-ES"/>
        </w:rPr>
        <w:footnoteReference w:id="7"/>
      </w:r>
      <w:r w:rsidRPr="00CB71E4">
        <w:rPr>
          <w:rFonts w:ascii="Verdana" w:eastAsia="Arial MT" w:hAnsi="Verdana" w:cs="Arial"/>
          <w:lang w:val="es-ES"/>
        </w:rPr>
        <w:t>. En tal sentido, la Sección Tercera</w:t>
      </w:r>
      <w:r w:rsidRPr="00CB71E4">
        <w:rPr>
          <w:rFonts w:ascii="Verdana" w:eastAsia="Arial MT" w:hAnsi="Verdana" w:cs="Arial"/>
          <w:spacing w:val="1"/>
          <w:lang w:val="es-ES"/>
        </w:rPr>
        <w:t xml:space="preserve"> </w:t>
      </w:r>
      <w:r w:rsidRPr="00CB71E4">
        <w:rPr>
          <w:rFonts w:ascii="Verdana" w:eastAsia="Arial MT" w:hAnsi="Verdana" w:cs="Arial"/>
          <w:lang w:val="es-ES"/>
        </w:rPr>
        <w:t>ha</w:t>
      </w:r>
      <w:r w:rsidRPr="00CB71E4">
        <w:rPr>
          <w:rFonts w:ascii="Verdana" w:eastAsia="Arial MT" w:hAnsi="Verdana" w:cs="Arial"/>
          <w:spacing w:val="-2"/>
          <w:lang w:val="es-ES"/>
        </w:rPr>
        <w:t xml:space="preserve"> </w:t>
      </w:r>
      <w:r w:rsidRPr="00CB71E4">
        <w:rPr>
          <w:rFonts w:ascii="Verdana" w:eastAsia="Arial MT" w:hAnsi="Verdana" w:cs="Arial"/>
          <w:lang w:val="es-ES"/>
        </w:rPr>
        <w:t>señalado</w:t>
      </w:r>
      <w:r w:rsidRPr="00CB71E4">
        <w:rPr>
          <w:rFonts w:ascii="Verdana" w:eastAsia="Arial MT" w:hAnsi="Verdana" w:cs="Arial"/>
          <w:spacing w:val="-1"/>
          <w:lang w:val="es-ES"/>
        </w:rPr>
        <w:t xml:space="preserve"> </w:t>
      </w:r>
      <w:r w:rsidRPr="00CB71E4">
        <w:rPr>
          <w:rFonts w:ascii="Verdana" w:eastAsia="Arial MT" w:hAnsi="Verdana" w:cs="Arial"/>
          <w:lang w:val="es-ES"/>
        </w:rPr>
        <w:t>que:</w:t>
      </w:r>
    </w:p>
    <w:p w14:paraId="05A928B7" w14:textId="77777777" w:rsidR="001C62B4" w:rsidRPr="00CB71E4" w:rsidRDefault="001C62B4" w:rsidP="001C62B4">
      <w:pPr>
        <w:widowControl w:val="0"/>
        <w:autoSpaceDE w:val="0"/>
        <w:autoSpaceDN w:val="0"/>
        <w:spacing w:before="3" w:after="0" w:line="240" w:lineRule="auto"/>
        <w:rPr>
          <w:rFonts w:ascii="Verdana" w:eastAsia="Arial MT" w:hAnsi="Verdana" w:cs="Arial"/>
          <w:sz w:val="25"/>
          <w:lang w:val="es-ES"/>
        </w:rPr>
      </w:pPr>
    </w:p>
    <w:p w14:paraId="458B9A78" w14:textId="49ACF0BA" w:rsidR="001C62B4" w:rsidRPr="00CB71E4" w:rsidRDefault="00F1078A" w:rsidP="001C62B4">
      <w:pPr>
        <w:widowControl w:val="0"/>
        <w:autoSpaceDE w:val="0"/>
        <w:autoSpaceDN w:val="0"/>
        <w:spacing w:after="0" w:line="240" w:lineRule="auto"/>
        <w:ind w:left="709" w:right="709"/>
        <w:jc w:val="both"/>
        <w:rPr>
          <w:rFonts w:ascii="Verdana" w:eastAsia="Calibri" w:hAnsi="Verdana" w:cs="Arial"/>
          <w:sz w:val="21"/>
          <w:lang w:val="es-MX"/>
        </w:rPr>
      </w:pPr>
      <w:r w:rsidRPr="00CB71E4">
        <w:rPr>
          <w:rFonts w:ascii="Verdana" w:eastAsia="Arial MT" w:hAnsi="Verdana" w:cs="Arial"/>
          <w:sz w:val="21"/>
          <w:lang w:val="es-ES"/>
        </w:rPr>
        <w:t>“</w:t>
      </w:r>
      <w:r w:rsidR="00CE6BE4" w:rsidRPr="00CB71E4">
        <w:rPr>
          <w:rFonts w:ascii="Verdana" w:eastAsia="Arial MT" w:hAnsi="Verdana" w:cs="Arial"/>
          <w:sz w:val="21"/>
          <w:lang w:val="es-ES"/>
        </w:rPr>
        <w:t>(</w:t>
      </w:r>
      <w:r w:rsidR="001C62B4" w:rsidRPr="00CB71E4">
        <w:rPr>
          <w:rFonts w:ascii="Verdana" w:eastAsia="Arial MT" w:hAnsi="Verdana" w:cs="Arial"/>
          <w:sz w:val="21"/>
          <w:lang w:val="es-ES"/>
        </w:rPr>
        <w:t>…</w:t>
      </w:r>
      <w:r w:rsidR="00CE6BE4" w:rsidRPr="00CB71E4">
        <w:rPr>
          <w:rFonts w:ascii="Verdana" w:eastAsia="Arial MT" w:hAnsi="Verdana" w:cs="Arial"/>
          <w:sz w:val="21"/>
          <w:lang w:val="es-ES"/>
        </w:rPr>
        <w:t>)</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de</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conformidad</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con</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la</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jurisprudencia</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uniforme</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y</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reiterada</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de</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esta</w:t>
      </w:r>
      <w:r w:rsidR="001C62B4" w:rsidRPr="00CB71E4">
        <w:rPr>
          <w:rFonts w:ascii="Verdana" w:eastAsia="Arial MT" w:hAnsi="Verdana" w:cs="Arial"/>
          <w:spacing w:val="-56"/>
          <w:sz w:val="21"/>
          <w:lang w:val="es-ES"/>
        </w:rPr>
        <w:t xml:space="preserve"> </w:t>
      </w:r>
      <w:r w:rsidR="001C62B4" w:rsidRPr="00CB71E4">
        <w:rPr>
          <w:rFonts w:ascii="Verdana" w:eastAsia="Arial MT" w:hAnsi="Verdana" w:cs="Arial"/>
          <w:sz w:val="21"/>
          <w:lang w:val="es-ES"/>
        </w:rPr>
        <w:t>Corporación, la aplicación de las normas que contemplan inhabilidades e</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incompatibilidades,</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como</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en</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general</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de</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todas</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aquellas</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que</w:t>
      </w:r>
      <w:r w:rsidR="001C62B4" w:rsidRPr="00CB71E4">
        <w:rPr>
          <w:rFonts w:ascii="Verdana" w:eastAsia="Arial MT" w:hAnsi="Verdana" w:cs="Arial"/>
          <w:spacing w:val="1"/>
          <w:sz w:val="21"/>
          <w:lang w:val="es-ES"/>
        </w:rPr>
        <w:t xml:space="preserve"> </w:t>
      </w:r>
      <w:r w:rsidR="001C62B4" w:rsidRPr="00CB71E4">
        <w:rPr>
          <w:rFonts w:ascii="Verdana" w:eastAsia="Arial MT" w:hAnsi="Verdana" w:cs="Arial"/>
          <w:sz w:val="21"/>
          <w:lang w:val="es-ES"/>
        </w:rPr>
        <w:t>comportan</w:t>
      </w:r>
      <w:r w:rsidR="001C62B4" w:rsidRPr="00CB71E4">
        <w:rPr>
          <w:rFonts w:ascii="Verdana" w:eastAsia="Arial MT" w:hAnsi="Verdana" w:cs="Arial"/>
          <w:spacing w:val="-56"/>
          <w:sz w:val="21"/>
          <w:lang w:val="es-ES"/>
        </w:rPr>
        <w:t xml:space="preserve"> </w:t>
      </w:r>
      <w:r w:rsidR="001C62B4" w:rsidRPr="00CB71E4">
        <w:rPr>
          <w:rFonts w:ascii="Verdana" w:eastAsia="Arial MT" w:hAnsi="Verdana" w:cs="Arial"/>
          <w:sz w:val="21"/>
          <w:lang w:val="es-ES"/>
        </w:rPr>
        <w:t>prohibiciones</w:t>
      </w:r>
      <w:r w:rsidR="001C62B4" w:rsidRPr="00CB71E4">
        <w:rPr>
          <w:rFonts w:ascii="Verdana" w:eastAsia="Arial MT" w:hAnsi="Verdana" w:cs="Arial"/>
          <w:spacing w:val="-12"/>
          <w:sz w:val="21"/>
          <w:lang w:val="es-ES"/>
        </w:rPr>
        <w:t xml:space="preserve"> </w:t>
      </w:r>
      <w:r w:rsidR="001C62B4" w:rsidRPr="00CB71E4">
        <w:rPr>
          <w:rFonts w:ascii="Verdana" w:eastAsia="Arial MT" w:hAnsi="Verdana" w:cs="Arial"/>
          <w:sz w:val="21"/>
          <w:lang w:val="es-ES"/>
        </w:rPr>
        <w:t>o</w:t>
      </w:r>
      <w:r w:rsidR="001C62B4" w:rsidRPr="00CB71E4">
        <w:rPr>
          <w:rFonts w:ascii="Verdana" w:eastAsia="Arial MT" w:hAnsi="Verdana" w:cs="Arial"/>
          <w:spacing w:val="-13"/>
          <w:sz w:val="21"/>
          <w:lang w:val="es-ES"/>
        </w:rPr>
        <w:t xml:space="preserve"> </w:t>
      </w:r>
      <w:r w:rsidR="001C62B4" w:rsidRPr="00CB71E4">
        <w:rPr>
          <w:rFonts w:ascii="Verdana" w:eastAsia="Arial MT" w:hAnsi="Verdana" w:cs="Arial"/>
          <w:sz w:val="21"/>
          <w:lang w:val="es-ES"/>
        </w:rPr>
        <w:t>limitaciones,</w:t>
      </w:r>
      <w:r w:rsidR="001C62B4" w:rsidRPr="00CB71E4">
        <w:rPr>
          <w:rFonts w:ascii="Verdana" w:eastAsia="Arial MT" w:hAnsi="Verdana" w:cs="Arial"/>
          <w:spacing w:val="-12"/>
          <w:sz w:val="21"/>
          <w:lang w:val="es-ES"/>
        </w:rPr>
        <w:t xml:space="preserve"> </w:t>
      </w:r>
      <w:r w:rsidR="001C62B4" w:rsidRPr="00CB71E4">
        <w:rPr>
          <w:rFonts w:ascii="Verdana" w:eastAsia="Arial MT" w:hAnsi="Verdana" w:cs="Arial"/>
          <w:sz w:val="21"/>
          <w:lang w:val="es-ES"/>
        </w:rPr>
        <w:t>deben</w:t>
      </w:r>
      <w:r w:rsidR="001C62B4" w:rsidRPr="00CB71E4">
        <w:rPr>
          <w:rFonts w:ascii="Verdana" w:eastAsia="Arial MT" w:hAnsi="Verdana" w:cs="Arial"/>
          <w:spacing w:val="-13"/>
          <w:sz w:val="21"/>
          <w:lang w:val="es-ES"/>
        </w:rPr>
        <w:t xml:space="preserve"> </w:t>
      </w:r>
      <w:r w:rsidR="001C62B4" w:rsidRPr="00CB71E4">
        <w:rPr>
          <w:rFonts w:ascii="Verdana" w:eastAsia="Arial MT" w:hAnsi="Verdana" w:cs="Arial"/>
          <w:sz w:val="21"/>
          <w:lang w:val="es-ES"/>
        </w:rPr>
        <w:t>responder</w:t>
      </w:r>
      <w:r w:rsidR="001C62B4" w:rsidRPr="00CB71E4">
        <w:rPr>
          <w:rFonts w:ascii="Verdana" w:eastAsia="Arial MT" w:hAnsi="Verdana" w:cs="Arial"/>
          <w:spacing w:val="-13"/>
          <w:sz w:val="21"/>
          <w:lang w:val="es-ES"/>
        </w:rPr>
        <w:t xml:space="preserve"> </w:t>
      </w:r>
      <w:r w:rsidR="001C62B4" w:rsidRPr="00CB71E4">
        <w:rPr>
          <w:rFonts w:ascii="Verdana" w:eastAsia="Arial MT" w:hAnsi="Verdana" w:cs="Arial"/>
          <w:sz w:val="21"/>
          <w:lang w:val="es-ES"/>
        </w:rPr>
        <w:t>a</w:t>
      </w:r>
      <w:r w:rsidR="001C62B4" w:rsidRPr="00CB71E4">
        <w:rPr>
          <w:rFonts w:ascii="Verdana" w:eastAsia="Arial MT" w:hAnsi="Verdana" w:cs="Arial"/>
          <w:spacing w:val="-12"/>
          <w:sz w:val="21"/>
          <w:lang w:val="es-ES"/>
        </w:rPr>
        <w:t xml:space="preserve"> </w:t>
      </w:r>
      <w:r w:rsidR="001C62B4" w:rsidRPr="00CB71E4">
        <w:rPr>
          <w:rFonts w:ascii="Verdana" w:eastAsia="Arial MT" w:hAnsi="Verdana" w:cs="Arial"/>
          <w:sz w:val="21"/>
          <w:lang w:val="es-ES"/>
        </w:rPr>
        <w:t>una</w:t>
      </w:r>
      <w:r w:rsidR="001C62B4" w:rsidRPr="00CB71E4">
        <w:rPr>
          <w:rFonts w:ascii="Verdana" w:eastAsia="Arial MT" w:hAnsi="Verdana" w:cs="Arial"/>
          <w:spacing w:val="-13"/>
          <w:sz w:val="21"/>
          <w:lang w:val="es-ES"/>
        </w:rPr>
        <w:t xml:space="preserve"> </w:t>
      </w:r>
      <w:r w:rsidR="001C62B4" w:rsidRPr="00CB71E4">
        <w:rPr>
          <w:rFonts w:ascii="Verdana" w:eastAsia="Arial MT" w:hAnsi="Verdana" w:cs="Arial"/>
          <w:sz w:val="21"/>
          <w:lang w:val="es-ES"/>
        </w:rPr>
        <w:t>interpretación</w:t>
      </w:r>
      <w:r w:rsidR="001C62B4" w:rsidRPr="00CB71E4">
        <w:rPr>
          <w:rFonts w:ascii="Verdana" w:eastAsia="Arial MT" w:hAnsi="Verdana" w:cs="Arial"/>
          <w:spacing w:val="-12"/>
          <w:sz w:val="21"/>
          <w:lang w:val="es-ES"/>
        </w:rPr>
        <w:t xml:space="preserve"> </w:t>
      </w:r>
      <w:r w:rsidR="001C62B4" w:rsidRPr="00CB71E4">
        <w:rPr>
          <w:rFonts w:ascii="Verdana" w:eastAsia="Arial MT" w:hAnsi="Verdana" w:cs="Arial"/>
          <w:sz w:val="21"/>
          <w:lang w:val="es-ES"/>
        </w:rPr>
        <w:t xml:space="preserve">restrictiva </w:t>
      </w:r>
      <w:r w:rsidR="001C62B4" w:rsidRPr="00CB71E4">
        <w:rPr>
          <w:rFonts w:ascii="Verdana" w:eastAsia="Calibri" w:hAnsi="Verdana" w:cs="Arial"/>
          <w:sz w:val="21"/>
          <w:lang w:val="es-MX"/>
        </w:rPr>
        <w:t>que</w:t>
      </w:r>
      <w:r w:rsidR="001C62B4" w:rsidRPr="00CB71E4">
        <w:rPr>
          <w:rFonts w:ascii="Verdana" w:eastAsia="Calibri" w:hAnsi="Verdana" w:cs="Arial"/>
          <w:spacing w:val="-6"/>
          <w:sz w:val="21"/>
          <w:lang w:val="es-MX"/>
        </w:rPr>
        <w:t xml:space="preserve"> </w:t>
      </w:r>
      <w:r w:rsidR="001C62B4" w:rsidRPr="00CB71E4">
        <w:rPr>
          <w:rFonts w:ascii="Verdana" w:eastAsia="Calibri" w:hAnsi="Verdana" w:cs="Arial"/>
          <w:sz w:val="21"/>
          <w:lang w:val="es-MX"/>
        </w:rPr>
        <w:t>no</w:t>
      </w:r>
      <w:r w:rsidR="001C62B4" w:rsidRPr="00CB71E4">
        <w:rPr>
          <w:rFonts w:ascii="Verdana" w:eastAsia="Calibri" w:hAnsi="Verdana" w:cs="Arial"/>
          <w:spacing w:val="-5"/>
          <w:sz w:val="21"/>
          <w:lang w:val="es-MX"/>
        </w:rPr>
        <w:t xml:space="preserve"> </w:t>
      </w:r>
      <w:r w:rsidR="001C62B4" w:rsidRPr="00CB71E4">
        <w:rPr>
          <w:rFonts w:ascii="Verdana" w:eastAsia="Calibri" w:hAnsi="Verdana" w:cs="Arial"/>
          <w:sz w:val="21"/>
          <w:lang w:val="es-MX"/>
        </w:rPr>
        <w:t>permite</w:t>
      </w:r>
      <w:r w:rsidR="001C62B4" w:rsidRPr="00CB71E4">
        <w:rPr>
          <w:rFonts w:ascii="Verdana" w:eastAsia="Calibri" w:hAnsi="Verdana" w:cs="Arial"/>
          <w:spacing w:val="-6"/>
          <w:sz w:val="21"/>
          <w:lang w:val="es-MX"/>
        </w:rPr>
        <w:t xml:space="preserve"> </w:t>
      </w:r>
      <w:r w:rsidR="001C62B4" w:rsidRPr="00CB71E4">
        <w:rPr>
          <w:rFonts w:ascii="Verdana" w:eastAsia="Calibri" w:hAnsi="Verdana" w:cs="Arial"/>
          <w:sz w:val="21"/>
          <w:lang w:val="es-MX"/>
        </w:rPr>
        <w:t>su</w:t>
      </w:r>
      <w:r w:rsidR="001C62B4" w:rsidRPr="00CB71E4">
        <w:rPr>
          <w:rFonts w:ascii="Verdana" w:eastAsia="Calibri" w:hAnsi="Verdana" w:cs="Arial"/>
          <w:spacing w:val="-5"/>
          <w:sz w:val="21"/>
          <w:lang w:val="es-MX"/>
        </w:rPr>
        <w:t xml:space="preserve"> </w:t>
      </w:r>
      <w:r w:rsidR="001C62B4" w:rsidRPr="00CB71E4">
        <w:rPr>
          <w:rFonts w:ascii="Verdana" w:eastAsia="Calibri" w:hAnsi="Verdana" w:cs="Arial"/>
          <w:sz w:val="21"/>
          <w:lang w:val="es-MX"/>
        </w:rPr>
        <w:t>extensión,</w:t>
      </w:r>
      <w:r w:rsidR="001C62B4" w:rsidRPr="00CB71E4">
        <w:rPr>
          <w:rFonts w:ascii="Verdana" w:eastAsia="Calibri" w:hAnsi="Verdana" w:cs="Arial"/>
          <w:spacing w:val="-6"/>
          <w:sz w:val="21"/>
          <w:lang w:val="es-MX"/>
        </w:rPr>
        <w:t xml:space="preserve"> </w:t>
      </w:r>
      <w:r w:rsidR="001C62B4" w:rsidRPr="00CB71E4">
        <w:rPr>
          <w:rFonts w:ascii="Verdana" w:eastAsia="Calibri" w:hAnsi="Verdana" w:cs="Arial"/>
          <w:sz w:val="21"/>
          <w:lang w:val="es-MX"/>
        </w:rPr>
        <w:t>por</w:t>
      </w:r>
      <w:r w:rsidR="001C62B4" w:rsidRPr="00CB71E4">
        <w:rPr>
          <w:rFonts w:ascii="Verdana" w:eastAsia="Calibri" w:hAnsi="Verdana" w:cs="Arial"/>
          <w:spacing w:val="-5"/>
          <w:sz w:val="21"/>
          <w:lang w:val="es-MX"/>
        </w:rPr>
        <w:t xml:space="preserve"> </w:t>
      </w:r>
      <w:r w:rsidR="001C62B4" w:rsidRPr="00CB71E4">
        <w:rPr>
          <w:rFonts w:ascii="Verdana" w:eastAsia="Calibri" w:hAnsi="Verdana" w:cs="Arial"/>
          <w:sz w:val="21"/>
          <w:lang w:val="es-MX"/>
        </w:rPr>
        <w:t>vía</w:t>
      </w:r>
      <w:r w:rsidR="001C62B4" w:rsidRPr="00CB71E4">
        <w:rPr>
          <w:rFonts w:ascii="Verdana" w:eastAsia="Calibri" w:hAnsi="Verdana" w:cs="Arial"/>
          <w:spacing w:val="-6"/>
          <w:sz w:val="21"/>
          <w:lang w:val="es-MX"/>
        </w:rPr>
        <w:t xml:space="preserve"> </w:t>
      </w:r>
      <w:r w:rsidR="001C62B4" w:rsidRPr="00CB71E4">
        <w:rPr>
          <w:rFonts w:ascii="Verdana" w:eastAsia="Calibri" w:hAnsi="Verdana" w:cs="Arial"/>
          <w:sz w:val="21"/>
          <w:lang w:val="es-MX"/>
        </w:rPr>
        <w:t>de</w:t>
      </w:r>
      <w:r w:rsidR="001C62B4" w:rsidRPr="00CB71E4">
        <w:rPr>
          <w:rFonts w:ascii="Verdana" w:eastAsia="Calibri" w:hAnsi="Verdana" w:cs="Arial"/>
          <w:spacing w:val="-5"/>
          <w:sz w:val="21"/>
          <w:lang w:val="es-MX"/>
        </w:rPr>
        <w:t xml:space="preserve"> </w:t>
      </w:r>
      <w:r w:rsidR="001C62B4" w:rsidRPr="00CB71E4">
        <w:rPr>
          <w:rFonts w:ascii="Verdana" w:eastAsia="Calibri" w:hAnsi="Verdana" w:cs="Arial"/>
          <w:sz w:val="21"/>
          <w:lang w:val="es-MX"/>
        </w:rPr>
        <w:t>la</w:t>
      </w:r>
      <w:r w:rsidR="001C62B4" w:rsidRPr="00CB71E4">
        <w:rPr>
          <w:rFonts w:ascii="Verdana" w:eastAsia="Calibri" w:hAnsi="Verdana" w:cs="Arial"/>
          <w:spacing w:val="-6"/>
          <w:sz w:val="21"/>
          <w:lang w:val="es-MX"/>
        </w:rPr>
        <w:t xml:space="preserve"> </w:t>
      </w:r>
      <w:r w:rsidR="001C62B4" w:rsidRPr="00CB71E4">
        <w:rPr>
          <w:rFonts w:ascii="Verdana" w:eastAsia="Calibri" w:hAnsi="Verdana" w:cs="Arial"/>
          <w:sz w:val="21"/>
          <w:lang w:val="es-MX"/>
        </w:rPr>
        <w:t>figura</w:t>
      </w:r>
      <w:r w:rsidR="001C62B4" w:rsidRPr="00CB71E4">
        <w:rPr>
          <w:rFonts w:ascii="Verdana" w:eastAsia="Calibri" w:hAnsi="Verdana" w:cs="Arial"/>
          <w:spacing w:val="-4"/>
          <w:sz w:val="21"/>
          <w:lang w:val="es-MX"/>
        </w:rPr>
        <w:t xml:space="preserve"> </w:t>
      </w:r>
      <w:r w:rsidR="001C62B4" w:rsidRPr="00CB71E4">
        <w:rPr>
          <w:rFonts w:ascii="Verdana" w:eastAsia="Calibri" w:hAnsi="Verdana" w:cs="Arial"/>
          <w:sz w:val="21"/>
          <w:lang w:val="es-MX"/>
        </w:rPr>
        <w:t>de</w:t>
      </w:r>
      <w:r w:rsidR="001C62B4" w:rsidRPr="00CB71E4">
        <w:rPr>
          <w:rFonts w:ascii="Verdana" w:eastAsia="Calibri" w:hAnsi="Verdana" w:cs="Arial"/>
          <w:spacing w:val="-6"/>
          <w:sz w:val="21"/>
          <w:lang w:val="es-MX"/>
        </w:rPr>
        <w:t xml:space="preserve"> </w:t>
      </w:r>
      <w:r w:rsidR="001C62B4" w:rsidRPr="00CB71E4">
        <w:rPr>
          <w:rFonts w:ascii="Verdana" w:eastAsia="Calibri" w:hAnsi="Verdana" w:cs="Arial"/>
          <w:sz w:val="21"/>
          <w:lang w:val="es-MX"/>
        </w:rPr>
        <w:t>la</w:t>
      </w:r>
      <w:r w:rsidR="001C62B4" w:rsidRPr="00CB71E4">
        <w:rPr>
          <w:rFonts w:ascii="Verdana" w:eastAsia="Calibri" w:hAnsi="Verdana" w:cs="Arial"/>
          <w:spacing w:val="-5"/>
          <w:sz w:val="21"/>
          <w:lang w:val="es-MX"/>
        </w:rPr>
        <w:t xml:space="preserve"> </w:t>
      </w:r>
      <w:r w:rsidR="001C62B4" w:rsidRPr="00CB71E4">
        <w:rPr>
          <w:rFonts w:ascii="Verdana" w:eastAsia="Calibri" w:hAnsi="Verdana" w:cs="Arial"/>
          <w:sz w:val="21"/>
          <w:lang w:val="es-MX"/>
        </w:rPr>
        <w:t>analogía,</w:t>
      </w:r>
      <w:r w:rsidR="001C62B4" w:rsidRPr="00CB71E4">
        <w:rPr>
          <w:rFonts w:ascii="Verdana" w:eastAsia="Calibri" w:hAnsi="Verdana" w:cs="Arial"/>
          <w:spacing w:val="-6"/>
          <w:sz w:val="21"/>
          <w:lang w:val="es-MX"/>
        </w:rPr>
        <w:t xml:space="preserve"> </w:t>
      </w:r>
      <w:r w:rsidR="001C62B4" w:rsidRPr="00CB71E4">
        <w:rPr>
          <w:rFonts w:ascii="Verdana" w:eastAsia="Calibri" w:hAnsi="Verdana" w:cs="Arial"/>
          <w:sz w:val="21"/>
          <w:lang w:val="es-MX"/>
        </w:rPr>
        <w:t>a</w:t>
      </w:r>
      <w:r w:rsidR="001C62B4" w:rsidRPr="00CB71E4">
        <w:rPr>
          <w:rFonts w:ascii="Verdana" w:eastAsia="Calibri" w:hAnsi="Verdana" w:cs="Arial"/>
          <w:spacing w:val="-5"/>
          <w:sz w:val="21"/>
          <w:lang w:val="es-MX"/>
        </w:rPr>
        <w:t xml:space="preserve"> </w:t>
      </w:r>
      <w:r w:rsidR="001C62B4" w:rsidRPr="00CB71E4">
        <w:rPr>
          <w:rFonts w:ascii="Verdana" w:eastAsia="Calibri" w:hAnsi="Verdana" w:cs="Arial"/>
          <w:sz w:val="21"/>
          <w:lang w:val="es-MX"/>
        </w:rPr>
        <w:t>supuestos</w:t>
      </w:r>
      <w:r w:rsidR="001C62B4" w:rsidRPr="00CB71E4">
        <w:rPr>
          <w:rFonts w:ascii="Verdana" w:eastAsia="Calibri" w:hAnsi="Verdana" w:cs="Arial"/>
          <w:spacing w:val="-56"/>
          <w:sz w:val="21"/>
          <w:lang w:val="es-MX"/>
        </w:rPr>
        <w:t xml:space="preserve"> </w:t>
      </w:r>
      <w:r w:rsidR="001C62B4" w:rsidRPr="00CB71E4">
        <w:rPr>
          <w:rFonts w:ascii="Verdana" w:eastAsia="Calibri" w:hAnsi="Verdana" w:cs="Arial"/>
          <w:sz w:val="21"/>
          <w:lang w:val="es-MX"/>
        </w:rPr>
        <w:t>no</w:t>
      </w:r>
      <w:r w:rsidR="001C62B4" w:rsidRPr="00CB71E4">
        <w:rPr>
          <w:rFonts w:ascii="Verdana" w:eastAsia="Calibri" w:hAnsi="Verdana" w:cs="Arial"/>
          <w:spacing w:val="-2"/>
          <w:sz w:val="21"/>
          <w:lang w:val="es-MX"/>
        </w:rPr>
        <w:t xml:space="preserve"> </w:t>
      </w:r>
      <w:r w:rsidR="001C62B4" w:rsidRPr="00CB71E4">
        <w:rPr>
          <w:rFonts w:ascii="Verdana" w:eastAsia="Calibri" w:hAnsi="Verdana" w:cs="Arial"/>
          <w:sz w:val="21"/>
          <w:lang w:val="es-MX"/>
        </w:rPr>
        <w:t>contemplados</w:t>
      </w:r>
      <w:r w:rsidR="001C62B4" w:rsidRPr="00CB71E4">
        <w:rPr>
          <w:rFonts w:ascii="Verdana" w:eastAsia="Calibri" w:hAnsi="Verdana" w:cs="Arial"/>
          <w:spacing w:val="-1"/>
          <w:sz w:val="21"/>
          <w:lang w:val="es-MX"/>
        </w:rPr>
        <w:t xml:space="preserve"> </w:t>
      </w:r>
      <w:r w:rsidR="001C62B4" w:rsidRPr="00CB71E4">
        <w:rPr>
          <w:rFonts w:ascii="Verdana" w:eastAsia="Calibri" w:hAnsi="Verdana" w:cs="Arial"/>
          <w:sz w:val="21"/>
          <w:lang w:val="es-MX"/>
        </w:rPr>
        <w:t>por</w:t>
      </w:r>
      <w:r w:rsidR="001C62B4" w:rsidRPr="00CB71E4">
        <w:rPr>
          <w:rFonts w:ascii="Verdana" w:eastAsia="Calibri" w:hAnsi="Verdana" w:cs="Arial"/>
          <w:spacing w:val="-1"/>
          <w:sz w:val="21"/>
          <w:lang w:val="es-MX"/>
        </w:rPr>
        <w:t xml:space="preserve"> </w:t>
      </w:r>
      <w:r w:rsidR="001C62B4" w:rsidRPr="00CB71E4">
        <w:rPr>
          <w:rFonts w:ascii="Verdana" w:eastAsia="Calibri" w:hAnsi="Verdana" w:cs="Arial"/>
          <w:sz w:val="21"/>
          <w:lang w:val="es-MX"/>
        </w:rPr>
        <w:t>el</w:t>
      </w:r>
      <w:r w:rsidR="001C62B4" w:rsidRPr="00CB71E4">
        <w:rPr>
          <w:rFonts w:ascii="Verdana" w:eastAsia="Calibri" w:hAnsi="Verdana" w:cs="Arial"/>
          <w:spacing w:val="-1"/>
          <w:sz w:val="21"/>
          <w:lang w:val="es-MX"/>
        </w:rPr>
        <w:t xml:space="preserve"> </w:t>
      </w:r>
      <w:r w:rsidR="001C62B4" w:rsidRPr="00CB71E4">
        <w:rPr>
          <w:rFonts w:ascii="Verdana" w:eastAsia="Calibri" w:hAnsi="Verdana" w:cs="Arial"/>
          <w:sz w:val="21"/>
          <w:lang w:val="es-MX"/>
        </w:rPr>
        <w:lastRenderedPageBreak/>
        <w:t>ordenamiento</w:t>
      </w:r>
      <w:r w:rsidRPr="00CB71E4">
        <w:rPr>
          <w:rFonts w:ascii="Verdana" w:eastAsia="Calibri" w:hAnsi="Verdana" w:cs="Arial"/>
          <w:sz w:val="21"/>
          <w:lang w:val="es-MX"/>
        </w:rPr>
        <w:t>”</w:t>
      </w:r>
      <w:r w:rsidR="001C62B4" w:rsidRPr="00CB71E4">
        <w:rPr>
          <w:rFonts w:ascii="Verdana" w:eastAsia="Calibri" w:hAnsi="Verdana" w:cs="Arial"/>
          <w:sz w:val="21"/>
          <w:vertAlign w:val="superscript"/>
          <w:lang w:val="es-MX"/>
        </w:rPr>
        <w:footnoteReference w:id="8"/>
      </w:r>
      <w:r w:rsidR="001C62B4" w:rsidRPr="00CB71E4">
        <w:rPr>
          <w:rFonts w:ascii="Verdana" w:eastAsia="Calibri" w:hAnsi="Verdana" w:cs="Arial"/>
          <w:sz w:val="21"/>
          <w:lang w:val="es-MX"/>
        </w:rPr>
        <w:t>.</w:t>
      </w:r>
    </w:p>
    <w:p w14:paraId="7B900C5A" w14:textId="77777777" w:rsidR="00CE6BE4" w:rsidRPr="00CB71E4" w:rsidRDefault="00CE6BE4" w:rsidP="001C62B4">
      <w:pPr>
        <w:widowControl w:val="0"/>
        <w:autoSpaceDE w:val="0"/>
        <w:autoSpaceDN w:val="0"/>
        <w:spacing w:after="0" w:line="240" w:lineRule="auto"/>
        <w:ind w:left="709" w:right="709"/>
        <w:jc w:val="both"/>
        <w:rPr>
          <w:rFonts w:ascii="Verdana" w:eastAsia="Calibri" w:hAnsi="Verdana" w:cs="Arial"/>
          <w:sz w:val="21"/>
          <w:lang w:val="es-MX"/>
        </w:rPr>
      </w:pPr>
    </w:p>
    <w:p w14:paraId="0884DE89" w14:textId="68D748C0" w:rsidR="00E87577" w:rsidRPr="00CB71E4" w:rsidRDefault="00F1078A" w:rsidP="007821FE">
      <w:pPr>
        <w:spacing w:after="120" w:line="276" w:lineRule="auto"/>
        <w:ind w:firstLine="709"/>
        <w:jc w:val="both"/>
        <w:rPr>
          <w:rFonts w:ascii="Verdana" w:hAnsi="Verdana" w:cs="Arial"/>
          <w:color w:val="000000"/>
        </w:rPr>
      </w:pPr>
      <w:r w:rsidRPr="00CB71E4">
        <w:rPr>
          <w:rFonts w:ascii="Verdana" w:eastAsia="Calibri" w:hAnsi="Verdana" w:cs="Arial"/>
          <w:lang w:val="es-ES"/>
        </w:rPr>
        <w:t>En relación con el supuesto de hecho materia de consulta</w:t>
      </w:r>
      <w:r w:rsidR="006D7EA4" w:rsidRPr="00CB71E4">
        <w:rPr>
          <w:rFonts w:ascii="Verdana" w:eastAsia="Calibri" w:hAnsi="Verdana" w:cs="Arial"/>
          <w:lang w:val="es-ES"/>
        </w:rPr>
        <w:t xml:space="preserve"> </w:t>
      </w:r>
      <w:r w:rsidR="00D66B10" w:rsidRPr="00CB71E4">
        <w:rPr>
          <w:rFonts w:ascii="Verdana" w:eastAsia="Calibri" w:hAnsi="Verdana" w:cs="Arial"/>
          <w:lang w:val="es-ES"/>
        </w:rPr>
        <w:t>resulta relevante</w:t>
      </w:r>
      <w:r w:rsidR="006D7EA4" w:rsidRPr="00CB71E4">
        <w:rPr>
          <w:rFonts w:ascii="Verdana" w:eastAsia="Calibri" w:hAnsi="Verdana" w:cs="Arial"/>
          <w:lang w:val="es-ES"/>
        </w:rPr>
        <w:t xml:space="preserve"> analizar si se configura la</w:t>
      </w:r>
      <w:r w:rsidR="00D66B10" w:rsidRPr="00CB71E4">
        <w:rPr>
          <w:rFonts w:ascii="Verdana" w:eastAsia="Calibri" w:hAnsi="Verdana" w:cs="Arial"/>
          <w:lang w:val="es-ES"/>
        </w:rPr>
        <w:t xml:space="preserve"> incompatibilidad </w:t>
      </w:r>
      <w:r w:rsidR="00E87577" w:rsidRPr="00CB71E4">
        <w:rPr>
          <w:rFonts w:ascii="Verdana" w:eastAsia="Calibri" w:hAnsi="Verdana" w:cs="Arial"/>
          <w:lang w:val="es-ES"/>
        </w:rPr>
        <w:t>establecid</w:t>
      </w:r>
      <w:r w:rsidR="006D7EA4" w:rsidRPr="00CB71E4">
        <w:rPr>
          <w:rFonts w:ascii="Verdana" w:eastAsia="Calibri" w:hAnsi="Verdana" w:cs="Arial"/>
          <w:lang w:val="es-ES"/>
        </w:rPr>
        <w:t>a</w:t>
      </w:r>
      <w:r w:rsidR="00E87577" w:rsidRPr="00CB71E4">
        <w:rPr>
          <w:rFonts w:ascii="Verdana" w:eastAsia="Calibri" w:hAnsi="Verdana" w:cs="Arial"/>
          <w:lang w:val="es-ES"/>
        </w:rPr>
        <w:t xml:space="preserve"> en el literal b del numeral 2 artículo 8</w:t>
      </w:r>
      <w:r w:rsidR="006D7EA4" w:rsidRPr="00CB71E4">
        <w:rPr>
          <w:rFonts w:ascii="Verdana" w:eastAsia="Calibri" w:hAnsi="Verdana" w:cs="Arial"/>
          <w:lang w:val="es-ES"/>
        </w:rPr>
        <w:t xml:space="preserve"> de la Ley 80 de 1993,</w:t>
      </w:r>
      <w:r w:rsidR="00E87577" w:rsidRPr="00CB71E4">
        <w:rPr>
          <w:rFonts w:ascii="Verdana" w:eastAsia="Calibri" w:hAnsi="Verdana" w:cs="Arial"/>
          <w:lang w:val="es-ES"/>
        </w:rPr>
        <w:t xml:space="preserve"> </w:t>
      </w:r>
      <w:r w:rsidR="006D7EA4" w:rsidRPr="00CB71E4">
        <w:rPr>
          <w:rFonts w:ascii="Verdana" w:eastAsia="Calibri" w:hAnsi="Verdana" w:cs="Arial"/>
          <w:lang w:val="es-ES"/>
        </w:rPr>
        <w:t xml:space="preserve">en virtud de la cual no pueden celebrar contratos estatales </w:t>
      </w:r>
      <w:r w:rsidR="00493563" w:rsidRPr="00CB71E4">
        <w:rPr>
          <w:rFonts w:ascii="Verdana" w:eastAsia="Calibri" w:hAnsi="Verdana" w:cs="Arial"/>
          <w:i/>
          <w:iCs/>
          <w:lang w:val="es-ES"/>
        </w:rPr>
        <w:t>“</w:t>
      </w:r>
      <w:r w:rsidR="00493563" w:rsidRPr="00CB71E4">
        <w:rPr>
          <w:rFonts w:ascii="Verdana" w:hAnsi="Verdana" w:cs="Arial"/>
          <w:i/>
          <w:iCs/>
          <w:color w:val="000000"/>
        </w:rPr>
        <w:t>(</w:t>
      </w:r>
      <w:r w:rsidR="00E87577" w:rsidRPr="00CB71E4">
        <w:rPr>
          <w:rFonts w:ascii="Verdana" w:hAnsi="Verdana" w:cs="Arial"/>
          <w:i/>
          <w:iCs/>
          <w:color w:val="000000"/>
        </w:rPr>
        <w:t xml:space="preserve">…) b) Las personas que tengan vínculos de parentesco, </w:t>
      </w:r>
      <w:r w:rsidR="00E87577" w:rsidRPr="00CB71E4">
        <w:rPr>
          <w:rFonts w:ascii="Verdana" w:hAnsi="Verdana" w:cs="Arial"/>
          <w:i/>
          <w:iCs/>
          <w:color w:val="000000"/>
          <w:u w:val="single"/>
        </w:rPr>
        <w:t>hasta el segundo grado de consanguinidad, segundo de afinidad o primero civil con los servidores públicos de los niveles directivo, asesor, ejecutivo</w:t>
      </w:r>
      <w:r w:rsidR="00E87577" w:rsidRPr="00CB71E4">
        <w:rPr>
          <w:rFonts w:ascii="Verdana" w:hAnsi="Verdana" w:cs="Arial"/>
          <w:i/>
          <w:iCs/>
          <w:color w:val="000000"/>
        </w:rPr>
        <w:t xml:space="preserve"> o con los miembros de la junta o consejo directivo, o con las personas que ejerzan el control interno o fiscal de la entidad contratante (…)</w:t>
      </w:r>
      <w:r w:rsidR="00493563" w:rsidRPr="00CB71E4">
        <w:rPr>
          <w:rFonts w:ascii="Verdana" w:hAnsi="Verdana" w:cs="Arial"/>
          <w:i/>
          <w:iCs/>
          <w:color w:val="000000"/>
        </w:rPr>
        <w:t>”.</w:t>
      </w:r>
      <w:r w:rsidR="00344284" w:rsidRPr="00CB71E4">
        <w:rPr>
          <w:rFonts w:ascii="Verdana" w:hAnsi="Verdana" w:cs="Arial"/>
          <w:i/>
          <w:iCs/>
          <w:color w:val="000000"/>
        </w:rPr>
        <w:t xml:space="preserve"> </w:t>
      </w:r>
      <w:r w:rsidR="00344284" w:rsidRPr="00CB71E4">
        <w:rPr>
          <w:rFonts w:ascii="Verdana" w:hAnsi="Verdana" w:cs="Arial"/>
          <w:color w:val="000000"/>
        </w:rPr>
        <w:t>[Énfasis fuera de texto].</w:t>
      </w:r>
    </w:p>
    <w:p w14:paraId="234F1CF4" w14:textId="4DA3CFB2" w:rsidR="00C14CA2" w:rsidRPr="00CB71E4" w:rsidRDefault="0051187A" w:rsidP="35D8E67A">
      <w:pPr>
        <w:spacing w:after="0" w:line="276" w:lineRule="auto"/>
        <w:jc w:val="both"/>
        <w:rPr>
          <w:rFonts w:ascii="Verdana" w:eastAsia="Calibri" w:hAnsi="Verdana" w:cs="Arial"/>
          <w:lang w:val="es-ES"/>
        </w:rPr>
      </w:pPr>
      <w:r w:rsidRPr="00CB71E4">
        <w:rPr>
          <w:rFonts w:ascii="Verdana" w:eastAsia="Calibri" w:hAnsi="Verdana" w:cs="Arial"/>
        </w:rPr>
        <w:tab/>
      </w:r>
      <w:r w:rsidRPr="00CB71E4">
        <w:rPr>
          <w:rFonts w:ascii="Verdana" w:eastAsia="Calibri" w:hAnsi="Verdana" w:cs="Arial"/>
          <w:lang w:val="es-ES"/>
        </w:rPr>
        <w:t>E</w:t>
      </w:r>
      <w:r w:rsidR="00C14CA2" w:rsidRPr="00CB71E4">
        <w:rPr>
          <w:rFonts w:ascii="Verdana" w:eastAsia="Calibri" w:hAnsi="Verdana" w:cs="Arial"/>
          <w:lang w:val="es-ES"/>
        </w:rPr>
        <w:t>n relación con el parentesco, conforme al Código Civil, este se clasifica en parentesco de consanguinidad o parentesco de afinidad. El parentesco de consanguinidad corresponde a la “</w:t>
      </w:r>
      <w:r w:rsidR="006953BB" w:rsidRPr="00CB71E4">
        <w:rPr>
          <w:rFonts w:ascii="Verdana" w:eastAsia="Calibri" w:hAnsi="Verdana" w:cs="Arial"/>
          <w:lang w:val="es-ES"/>
        </w:rPr>
        <w:t>(</w:t>
      </w:r>
      <w:r w:rsidR="00C14CA2" w:rsidRPr="00CB71E4">
        <w:rPr>
          <w:rFonts w:ascii="Verdana" w:eastAsia="Calibri" w:hAnsi="Verdana" w:cs="Arial"/>
          <w:lang w:val="es-ES"/>
        </w:rPr>
        <w:t>…</w:t>
      </w:r>
      <w:r w:rsidR="006953BB" w:rsidRPr="00CB71E4">
        <w:rPr>
          <w:rFonts w:ascii="Verdana" w:eastAsia="Calibri" w:hAnsi="Verdana" w:cs="Arial"/>
          <w:lang w:val="es-ES"/>
        </w:rPr>
        <w:t>)</w:t>
      </w:r>
      <w:r w:rsidR="00C14CA2" w:rsidRPr="00CB71E4">
        <w:rPr>
          <w:rFonts w:ascii="Verdana" w:eastAsia="Calibri" w:hAnsi="Verdana" w:cs="Arial"/>
          <w:lang w:val="es-ES"/>
        </w:rPr>
        <w:t xml:space="preserve"> relación o conexión que existe entre las personas que descienden de un mismo tronco o raíz, o que están unidas por los vínculos de la sangre” </w:t>
      </w:r>
      <w:r w:rsidR="00C14CA2" w:rsidRPr="00CB71E4">
        <w:rPr>
          <w:rFonts w:ascii="Verdana" w:eastAsia="Calibri" w:hAnsi="Verdana" w:cs="Arial"/>
          <w:vertAlign w:val="superscript"/>
          <w:lang w:val="es-ES"/>
        </w:rPr>
        <w:footnoteReference w:id="9"/>
      </w:r>
      <w:r w:rsidR="00C14CA2" w:rsidRPr="00CB71E4">
        <w:rPr>
          <w:rFonts w:ascii="Verdana" w:eastAsia="Calibri" w:hAnsi="Verdana" w:cs="Arial"/>
          <w:lang w:val="es-ES"/>
        </w:rPr>
        <w:t>. El parentesco de afinidad se refiere a la relación surgida entre una persona y los consanguíneos de su esposo, esposa o compañeros permanentes, según el caso</w:t>
      </w:r>
      <w:r w:rsidR="00C14CA2" w:rsidRPr="00CB71E4">
        <w:rPr>
          <w:rFonts w:ascii="Verdana" w:eastAsia="Calibri" w:hAnsi="Verdana" w:cs="Arial"/>
          <w:vertAlign w:val="superscript"/>
          <w:lang w:val="es-ES"/>
        </w:rPr>
        <w:footnoteReference w:id="10"/>
      </w:r>
      <w:r w:rsidR="00C14CA2" w:rsidRPr="00CB71E4">
        <w:rPr>
          <w:rFonts w:ascii="Verdana" w:eastAsia="Calibri" w:hAnsi="Verdana" w:cs="Arial"/>
          <w:lang w:val="es-ES"/>
        </w:rPr>
        <w:t xml:space="preserve">. Es precio señalar que la Corte Constitucional si bien declaró la </w:t>
      </w:r>
      <w:proofErr w:type="spellStart"/>
      <w:r w:rsidR="00C14CA2" w:rsidRPr="00CB71E4">
        <w:rPr>
          <w:rFonts w:ascii="Verdana" w:eastAsia="Calibri" w:hAnsi="Verdana" w:cs="Arial"/>
          <w:lang w:val="es-ES"/>
        </w:rPr>
        <w:t>inexequibilidad</w:t>
      </w:r>
      <w:proofErr w:type="spellEnd"/>
      <w:r w:rsidR="00C14CA2" w:rsidRPr="00CB71E4">
        <w:rPr>
          <w:rFonts w:ascii="Verdana" w:eastAsia="Calibri" w:hAnsi="Verdana" w:cs="Arial"/>
          <w:lang w:val="es-ES"/>
        </w:rPr>
        <w:t xml:space="preserve"> del parentesco de afinidad ilegítima, reconoció la vigencia de la denominada afinidad extramatrimonial. Para estos efectos, sostuvo:</w:t>
      </w:r>
    </w:p>
    <w:p w14:paraId="2D168E17" w14:textId="77777777" w:rsidR="00C14CA2" w:rsidRPr="00CB71E4" w:rsidRDefault="00C14CA2" w:rsidP="00C14CA2">
      <w:pPr>
        <w:spacing w:after="0" w:line="276" w:lineRule="auto"/>
        <w:jc w:val="both"/>
        <w:rPr>
          <w:rFonts w:ascii="Verdana" w:eastAsia="Calibri" w:hAnsi="Verdana" w:cs="Arial"/>
          <w:lang w:val="es-ES_tradnl"/>
        </w:rPr>
      </w:pPr>
    </w:p>
    <w:p w14:paraId="5555CCD7" w14:textId="77777777" w:rsidR="00C14CA2" w:rsidRPr="00CB71E4" w:rsidRDefault="00C14CA2" w:rsidP="00C14CA2">
      <w:pPr>
        <w:spacing w:after="0" w:line="240" w:lineRule="auto"/>
        <w:ind w:left="709" w:right="709"/>
        <w:jc w:val="both"/>
        <w:rPr>
          <w:rFonts w:ascii="Verdana" w:eastAsia="Calibri" w:hAnsi="Verdana" w:cs="Arial"/>
          <w:sz w:val="20"/>
          <w:szCs w:val="20"/>
          <w:lang w:val="es-ES_tradnl"/>
        </w:rPr>
      </w:pPr>
      <w:r w:rsidRPr="00CB71E4">
        <w:rPr>
          <w:rFonts w:ascii="Verdana" w:eastAsia="Calibri" w:hAnsi="Verdana" w:cs="Arial"/>
          <w:sz w:val="20"/>
          <w:szCs w:val="20"/>
          <w:lang w:val="es-ES_tradnl"/>
        </w:rPr>
        <w:t>“En primer lugar, si el inciso primero del artículo 42 de la Constitución reconoce, en un pie de igualdad, la familia constituida por vínculos "naturales o jurídicos", no se ve cómo la inexistencia del matrimonio origine una "consanguinidad ilegítima", entendiéndose ésta como ilícita.</w:t>
      </w:r>
    </w:p>
    <w:p w14:paraId="57A02EB1" w14:textId="77777777" w:rsidR="00C14CA2" w:rsidRPr="00CB71E4" w:rsidRDefault="00C14CA2" w:rsidP="00C14CA2">
      <w:pPr>
        <w:spacing w:before="120" w:after="120" w:line="240" w:lineRule="auto"/>
        <w:ind w:left="709" w:right="709"/>
        <w:jc w:val="both"/>
        <w:rPr>
          <w:rFonts w:ascii="Verdana" w:eastAsia="Calibri" w:hAnsi="Verdana" w:cs="Arial"/>
          <w:sz w:val="20"/>
          <w:szCs w:val="20"/>
          <w:lang w:val="es-ES_tradnl"/>
        </w:rPr>
      </w:pPr>
      <w:r w:rsidRPr="00CB71E4">
        <w:rPr>
          <w:rFonts w:ascii="Verdana" w:eastAsia="Calibri" w:hAnsi="Verdana" w:cs="Arial"/>
          <w:sz w:val="20"/>
          <w:szCs w:val="20"/>
          <w:lang w:val="es-ES_tradnl"/>
        </w:rPr>
        <w:t>[…]</w:t>
      </w:r>
    </w:p>
    <w:p w14:paraId="372C2D4B" w14:textId="77777777" w:rsidR="00C14CA2" w:rsidRPr="00CB71E4" w:rsidRDefault="00C14CA2" w:rsidP="35D8E67A">
      <w:pPr>
        <w:spacing w:after="0" w:line="240" w:lineRule="auto"/>
        <w:ind w:left="709" w:right="709"/>
        <w:jc w:val="both"/>
        <w:rPr>
          <w:rFonts w:ascii="Verdana" w:eastAsia="Calibri" w:hAnsi="Verdana" w:cs="Arial"/>
          <w:sz w:val="20"/>
          <w:szCs w:val="20"/>
          <w:lang w:val="es-ES"/>
        </w:rPr>
      </w:pPr>
      <w:r w:rsidRPr="00CB71E4">
        <w:rPr>
          <w:rFonts w:ascii="Verdana" w:eastAsia="Calibri" w:hAnsi="Verdana" w:cs="Arial"/>
          <w:sz w:val="20"/>
          <w:szCs w:val="20"/>
          <w:lang w:val="es-ES"/>
        </w:rPr>
        <w:t xml:space="preserve">Expresamente se advierte que la declaración de </w:t>
      </w:r>
      <w:proofErr w:type="spellStart"/>
      <w:r w:rsidRPr="00CB71E4">
        <w:rPr>
          <w:rFonts w:ascii="Verdana" w:eastAsia="Calibri" w:hAnsi="Verdana" w:cs="Arial"/>
          <w:sz w:val="20"/>
          <w:szCs w:val="20"/>
          <w:lang w:val="es-ES"/>
        </w:rPr>
        <w:t>inexequibilidad</w:t>
      </w:r>
      <w:proofErr w:type="spellEnd"/>
      <w:r w:rsidRPr="00CB71E4">
        <w:rPr>
          <w:rFonts w:ascii="Verdana" w:eastAsia="Calibri" w:hAnsi="Verdana" w:cs="Arial"/>
          <w:sz w:val="20"/>
          <w:szCs w:val="20"/>
          <w:lang w:val="es-ES"/>
        </w:rPr>
        <w:t xml:space="preserve"> de los artículos 39 y 48 no implica la desaparición de la afinidad extramatrimonial, es decir, la originada en la unión permanente a que se refieren los artículos 126 y 179 de la Constitución, entre otros. Para todos los efectos legales, la afinidad extramatrimonial sigue existiendo</w:t>
      </w:r>
      <w:r w:rsidRPr="00CB71E4">
        <w:rPr>
          <w:rFonts w:ascii="Verdana" w:eastAsia="Calibri" w:hAnsi="Verdana" w:cs="Arial"/>
          <w:sz w:val="20"/>
          <w:szCs w:val="20"/>
          <w:vertAlign w:val="superscript"/>
          <w:lang w:val="es-ES"/>
        </w:rPr>
        <w:footnoteReference w:id="11"/>
      </w:r>
      <w:r w:rsidRPr="00CB71E4">
        <w:rPr>
          <w:rFonts w:ascii="Verdana" w:eastAsia="Calibri" w:hAnsi="Verdana" w:cs="Arial"/>
          <w:sz w:val="20"/>
          <w:szCs w:val="20"/>
          <w:lang w:val="es-ES"/>
        </w:rPr>
        <w:t>”.</w:t>
      </w:r>
    </w:p>
    <w:p w14:paraId="34D26CCA" w14:textId="77777777" w:rsidR="00C14CA2" w:rsidRPr="00CB71E4" w:rsidRDefault="00C14CA2" w:rsidP="00C14CA2">
      <w:pPr>
        <w:spacing w:after="0" w:line="276" w:lineRule="auto"/>
        <w:ind w:left="709" w:right="709"/>
        <w:jc w:val="both"/>
        <w:rPr>
          <w:rFonts w:ascii="Verdana" w:eastAsia="Calibri" w:hAnsi="Verdana" w:cs="Arial"/>
          <w:lang w:val="es-ES_tradnl"/>
        </w:rPr>
      </w:pPr>
    </w:p>
    <w:p w14:paraId="0B1103D1" w14:textId="641E6199" w:rsidR="000F6EBC" w:rsidRPr="00CB71E4" w:rsidRDefault="000F6EBC" w:rsidP="000F6EBC">
      <w:pPr>
        <w:pStyle w:val="Prrafodelista"/>
        <w:tabs>
          <w:tab w:val="left" w:pos="142"/>
          <w:tab w:val="left" w:pos="284"/>
        </w:tabs>
        <w:spacing w:after="120" w:line="276" w:lineRule="auto"/>
        <w:ind w:left="0"/>
        <w:contextualSpacing w:val="0"/>
        <w:jc w:val="both"/>
        <w:rPr>
          <w:rFonts w:ascii="Verdana" w:eastAsia="Calibri" w:hAnsi="Verdana" w:cs="Arial"/>
        </w:rPr>
      </w:pPr>
      <w:r w:rsidRPr="00CB71E4">
        <w:rPr>
          <w:rFonts w:ascii="Verdana" w:eastAsia="Century Gothic" w:hAnsi="Verdana" w:cs="Century Gothic"/>
          <w:bCs/>
        </w:rPr>
        <w:lastRenderedPageBreak/>
        <w:tab/>
      </w:r>
      <w:r w:rsidRPr="00CB71E4">
        <w:rPr>
          <w:rFonts w:ascii="Verdana" w:eastAsia="Century Gothic" w:hAnsi="Verdana" w:cs="Century Gothic"/>
          <w:bCs/>
        </w:rPr>
        <w:tab/>
      </w:r>
      <w:r w:rsidRPr="00CB71E4">
        <w:rPr>
          <w:rFonts w:ascii="Verdana" w:eastAsia="Century Gothic" w:hAnsi="Verdana" w:cs="Century Gothic"/>
          <w:bCs/>
        </w:rPr>
        <w:tab/>
        <w:t xml:space="preserve">Ahora bien, analizada la referida </w:t>
      </w:r>
      <w:r w:rsidRPr="00CB71E4">
        <w:rPr>
          <w:rFonts w:ascii="Verdana" w:eastAsia="Calibri" w:hAnsi="Verdana" w:cs="Arial"/>
        </w:rPr>
        <w:t xml:space="preserve">incompatibilidad, se advierte que esta configura en quienes tienen relaciones de parentesco por consanguinidad o afinidad hasta el segundo grado, o primero civil, con los servidores públicos del nivel directivo, asesor o ejecutivo. En virtud de esta causal tienen entonces restringida la capacidad contractual personas como los padres, hijos, abuelos, hermanos, suegros, hermanos, yernos y/o nueras, de los servidores públicos del nivel directivo o asesor –como podemos razonablemente presumir que son los servidores públicos que fungen como representante legal–, de la entidad contratante. </w:t>
      </w:r>
    </w:p>
    <w:p w14:paraId="17B7827C" w14:textId="77777777" w:rsidR="000F6EBC" w:rsidRPr="00CB71E4" w:rsidRDefault="005D071B" w:rsidP="007821FE">
      <w:pPr>
        <w:spacing w:after="120" w:line="276" w:lineRule="auto"/>
        <w:ind w:firstLine="709"/>
        <w:jc w:val="both"/>
        <w:rPr>
          <w:rFonts w:ascii="Verdana" w:eastAsia="Century Gothic" w:hAnsi="Verdana" w:cs="Century Gothic"/>
          <w:bCs/>
        </w:rPr>
      </w:pPr>
      <w:r w:rsidRPr="00CB71E4">
        <w:rPr>
          <w:rFonts w:ascii="Verdana" w:eastAsia="Century Gothic" w:hAnsi="Verdana" w:cs="Century Gothic"/>
          <w:bCs/>
        </w:rPr>
        <w:t xml:space="preserve">De cualquier modo, de acuerdo con el criterio de interpretación restrictiva aplicable a las disposiciones del régimen de inhabilidades e incompatibilidades, no se advierte que se configure alguna restricción a la capacidad para celebrar contratos estatales en las personas que tengan relaciones de parentesco en segundo grado de consanguinidad con la pareja sentimental del representante legal de la entidad estatal contratante.  En este evento, no hay lugar a la aplicación de la incompatibilidad prevista en el literal b) del numeral 2 del artículo 8 de la Ley 80 de 1993, comoquiera que, la inexistencia de vínculo matrimonial o marital de hecho descarta la configuración del supuesto de hecho previsto en el literal en comento.  </w:t>
      </w:r>
    </w:p>
    <w:p w14:paraId="3B1566BF" w14:textId="1958A156" w:rsidR="000F6EBC" w:rsidRPr="00CB71E4" w:rsidRDefault="000F6EBC" w:rsidP="00B01B59">
      <w:pPr>
        <w:spacing w:after="0" w:line="276" w:lineRule="auto"/>
        <w:jc w:val="both"/>
        <w:rPr>
          <w:rFonts w:ascii="Verdana" w:eastAsia="Century Gothic" w:hAnsi="Verdana" w:cs="Century Gothic"/>
          <w:bCs/>
          <w:lang w:val="es-ES"/>
        </w:rPr>
      </w:pPr>
      <w:r w:rsidRPr="00CB71E4">
        <w:rPr>
          <w:rFonts w:ascii="Verdana" w:eastAsia="Century Gothic" w:hAnsi="Verdana" w:cs="Century Gothic"/>
          <w:bCs/>
        </w:rPr>
        <w:t xml:space="preserve">En todo caso, debe advertirse que, corresponde a las Entidades Estatales, al verificar la capacidad jurídica de las personas con quienes pretenden suscribir contratos, determinar en cada caso concreto si se configura alguna inhabilidad, incompatibilidad o conflicto de interés. En ese sentido, la conclusión aquí expuesta no </w:t>
      </w:r>
      <w:r w:rsidR="00BB4397" w:rsidRPr="00CB71E4">
        <w:rPr>
          <w:rFonts w:ascii="Verdana" w:eastAsia="Century Gothic" w:hAnsi="Verdana" w:cs="Century Gothic"/>
          <w:bCs/>
        </w:rPr>
        <w:t xml:space="preserve">remplaza </w:t>
      </w:r>
      <w:r w:rsidR="00CE499B" w:rsidRPr="00CB71E4">
        <w:rPr>
          <w:rFonts w:ascii="Verdana" w:eastAsia="Century Gothic" w:hAnsi="Verdana" w:cs="Century Gothic"/>
          <w:bCs/>
        </w:rPr>
        <w:t xml:space="preserve">el deber de verificación de las Entidades Estatales, ni puede ser tomada como un juicio de valor sobre alguna situación de orden particular. </w:t>
      </w:r>
    </w:p>
    <w:p w14:paraId="3F24B2C5" w14:textId="77777777" w:rsidR="00B60843" w:rsidRPr="00CB71E4" w:rsidRDefault="00B60843" w:rsidP="007821FE">
      <w:pPr>
        <w:spacing w:after="0" w:line="276" w:lineRule="auto"/>
        <w:ind w:firstLine="708"/>
        <w:jc w:val="both"/>
        <w:rPr>
          <w:rFonts w:ascii="Verdana" w:eastAsia="Calibri" w:hAnsi="Verdana" w:cs="Arial"/>
          <w:lang w:val="es-ES"/>
        </w:rPr>
      </w:pPr>
    </w:p>
    <w:p w14:paraId="63FFB8D2" w14:textId="77777777" w:rsidR="00102B2A" w:rsidRPr="00CB71E4" w:rsidRDefault="00102B2A" w:rsidP="00102B2A">
      <w:pPr>
        <w:numPr>
          <w:ilvl w:val="0"/>
          <w:numId w:val="20"/>
        </w:numPr>
        <w:tabs>
          <w:tab w:val="left" w:pos="142"/>
          <w:tab w:val="left" w:pos="284"/>
        </w:tabs>
        <w:spacing w:after="0" w:line="276" w:lineRule="auto"/>
        <w:ind w:left="0" w:firstLine="0"/>
        <w:jc w:val="both"/>
        <w:rPr>
          <w:rFonts w:ascii="Verdana" w:eastAsia="Century Gothic" w:hAnsi="Verdana" w:cs="Century Gothic"/>
          <w:b/>
          <w:bCs/>
          <w:lang w:val="es-ES"/>
        </w:rPr>
      </w:pPr>
      <w:r w:rsidRPr="00CB71E4">
        <w:rPr>
          <w:rFonts w:ascii="Verdana" w:eastAsia="Century Gothic" w:hAnsi="Verdana" w:cs="Century Gothic"/>
          <w:b/>
          <w:bCs/>
          <w:lang w:val="es-ES"/>
        </w:rPr>
        <w:t>Referencias normativas, jurisprudenciales y otras fuentes:</w:t>
      </w:r>
    </w:p>
    <w:p w14:paraId="64623AE9" w14:textId="77777777" w:rsidR="00102B2A" w:rsidRPr="00CB71E4" w:rsidRDefault="00102B2A" w:rsidP="00102B2A">
      <w:pPr>
        <w:pStyle w:val="Prrafodelista"/>
        <w:tabs>
          <w:tab w:val="left" w:pos="142"/>
          <w:tab w:val="left" w:pos="284"/>
        </w:tabs>
        <w:jc w:val="both"/>
        <w:rPr>
          <w:rFonts w:ascii="Verdana" w:eastAsia="Century Gothic" w:hAnsi="Verdana" w:cs="Century Gothic"/>
          <w:bCs/>
          <w:lang w:val="es-ES_tradnl"/>
        </w:rPr>
      </w:pPr>
    </w:p>
    <w:p w14:paraId="494D7061" w14:textId="751C5EBC" w:rsidR="006953BB" w:rsidRPr="00CB71E4" w:rsidRDefault="00BC0B24" w:rsidP="35D8E67A">
      <w:pPr>
        <w:pStyle w:val="Prrafodelista"/>
        <w:numPr>
          <w:ilvl w:val="0"/>
          <w:numId w:val="17"/>
        </w:numPr>
        <w:tabs>
          <w:tab w:val="left" w:pos="142"/>
          <w:tab w:val="left" w:pos="284"/>
        </w:tabs>
        <w:spacing w:after="0"/>
        <w:jc w:val="both"/>
        <w:rPr>
          <w:rFonts w:ascii="Verdana" w:eastAsia="Century Gothic" w:hAnsi="Verdana" w:cs="Century Gothic"/>
        </w:rPr>
      </w:pPr>
      <w:r w:rsidRPr="00CB71E4">
        <w:rPr>
          <w:rFonts w:ascii="Verdana" w:eastAsia="Century Gothic" w:hAnsi="Verdana" w:cs="Century Gothic"/>
        </w:rPr>
        <w:t xml:space="preserve">Ley 80 de 1993, </w:t>
      </w:r>
      <w:r w:rsidR="006953BB" w:rsidRPr="00CB71E4">
        <w:rPr>
          <w:rFonts w:ascii="Verdana" w:eastAsia="Century Gothic" w:hAnsi="Verdana" w:cs="Century Gothic"/>
        </w:rPr>
        <w:t>artículo 8 numeral 2 literal b,</w:t>
      </w:r>
      <w:r w:rsidR="00CE499B" w:rsidRPr="00CB71E4">
        <w:rPr>
          <w:rFonts w:ascii="Verdana" w:eastAsia="Century Gothic" w:hAnsi="Verdana" w:cs="Century Gothic"/>
        </w:rPr>
        <w:t xml:space="preserve"> </w:t>
      </w:r>
      <w:r w:rsidRPr="00CB71E4">
        <w:rPr>
          <w:rFonts w:ascii="Verdana" w:eastAsia="Century Gothic" w:hAnsi="Verdana" w:cs="Century Gothic"/>
        </w:rPr>
        <w:t>artículo 32 numeral 3</w:t>
      </w:r>
      <w:r w:rsidR="006953BB" w:rsidRPr="00CB71E4">
        <w:rPr>
          <w:rFonts w:ascii="Verdana" w:eastAsia="Century Gothic" w:hAnsi="Verdana" w:cs="Century Gothic"/>
        </w:rPr>
        <w:t>, artículo 40</w:t>
      </w:r>
      <w:r w:rsidRPr="00CB71E4">
        <w:rPr>
          <w:rFonts w:ascii="Verdana" w:eastAsia="Century Gothic" w:hAnsi="Verdana" w:cs="Century Gothic"/>
        </w:rPr>
        <w:t>. Disponible en:</w:t>
      </w:r>
    </w:p>
    <w:p w14:paraId="38D02BC0" w14:textId="1E26951D" w:rsidR="00BC0B24" w:rsidRPr="00CB71E4" w:rsidRDefault="006953BB" w:rsidP="006953BB">
      <w:pPr>
        <w:tabs>
          <w:tab w:val="left" w:pos="142"/>
          <w:tab w:val="left" w:pos="284"/>
        </w:tabs>
        <w:spacing w:after="0"/>
        <w:jc w:val="both"/>
        <w:rPr>
          <w:rFonts w:ascii="Verdana" w:eastAsia="Century Gothic" w:hAnsi="Verdana" w:cs="Century Gothic"/>
          <w:bCs/>
          <w:lang w:val="es-ES_tradnl"/>
        </w:rPr>
      </w:pPr>
      <w:r w:rsidRPr="00CB71E4">
        <w:rPr>
          <w:rFonts w:ascii="Verdana" w:eastAsia="Century Gothic" w:hAnsi="Verdana" w:cs="Century Gothic"/>
          <w:bCs/>
          <w:lang w:val="es-ES_tradnl"/>
        </w:rPr>
        <w:tab/>
      </w:r>
      <w:r w:rsidRPr="00CB71E4">
        <w:rPr>
          <w:rFonts w:ascii="Verdana" w:eastAsia="Century Gothic" w:hAnsi="Verdana" w:cs="Century Gothic"/>
          <w:bCs/>
          <w:lang w:val="es-ES_tradnl"/>
        </w:rPr>
        <w:tab/>
      </w:r>
      <w:r w:rsidRPr="00CB71E4">
        <w:rPr>
          <w:rFonts w:ascii="Verdana" w:eastAsia="Century Gothic" w:hAnsi="Verdana" w:cs="Century Gothic"/>
          <w:bCs/>
          <w:lang w:val="es-ES_tradnl"/>
        </w:rPr>
        <w:tab/>
      </w:r>
      <w:hyperlink r:id="rId13" w:history="1">
        <w:r w:rsidRPr="00CB71E4">
          <w:rPr>
            <w:rStyle w:val="Hipervnculo"/>
            <w:rFonts w:ascii="Verdana" w:eastAsia="Century Gothic" w:hAnsi="Verdana" w:cs="Century Gothic"/>
            <w:bCs/>
            <w:lang w:val="es-ES_tradnl"/>
          </w:rPr>
          <w:t>https://relatoria.colombiacompra.gov.co/normativa/ley-80-de-1993/</w:t>
        </w:r>
      </w:hyperlink>
    </w:p>
    <w:p w14:paraId="4A0BB7E5" w14:textId="77777777" w:rsidR="006953BB" w:rsidRPr="00CB71E4" w:rsidRDefault="006953BB" w:rsidP="006953BB">
      <w:pPr>
        <w:pStyle w:val="Prrafodelista"/>
        <w:rPr>
          <w:rFonts w:ascii="Verdana" w:eastAsia="Century Gothic" w:hAnsi="Verdana" w:cs="Century Gothic"/>
          <w:bCs/>
          <w:lang w:val="es-ES_tradnl"/>
        </w:rPr>
      </w:pPr>
    </w:p>
    <w:p w14:paraId="6092A4EA" w14:textId="2CCAFB32" w:rsidR="009A1113" w:rsidRPr="00CB71E4" w:rsidRDefault="009A1113" w:rsidP="35D8E67A">
      <w:pPr>
        <w:pStyle w:val="Prrafodelista"/>
        <w:numPr>
          <w:ilvl w:val="0"/>
          <w:numId w:val="17"/>
        </w:numPr>
        <w:tabs>
          <w:tab w:val="left" w:pos="142"/>
          <w:tab w:val="left" w:pos="284"/>
        </w:tabs>
        <w:spacing w:after="0"/>
        <w:jc w:val="both"/>
        <w:rPr>
          <w:rFonts w:ascii="Verdana" w:eastAsia="Century Gothic" w:hAnsi="Verdana" w:cs="Century Gothic"/>
        </w:rPr>
      </w:pPr>
      <w:r w:rsidRPr="00CB71E4">
        <w:rPr>
          <w:rFonts w:ascii="Verdana" w:eastAsia="Century Gothic" w:hAnsi="Verdana" w:cs="Century Gothic"/>
        </w:rPr>
        <w:t>Código Civil Colombi</w:t>
      </w:r>
      <w:r w:rsidR="00A74E45" w:rsidRPr="00CB71E4">
        <w:rPr>
          <w:rFonts w:ascii="Verdana" w:eastAsia="Century Gothic" w:hAnsi="Verdana" w:cs="Century Gothic"/>
        </w:rPr>
        <w:t xml:space="preserve">ano. Artículo 36. Disponible en: </w:t>
      </w:r>
    </w:p>
    <w:p w14:paraId="3EDF0930" w14:textId="3EB34965" w:rsidR="00A74E45" w:rsidRPr="00CB71E4" w:rsidRDefault="003B0238" w:rsidP="00A74E45">
      <w:pPr>
        <w:pStyle w:val="Prrafodelista"/>
        <w:tabs>
          <w:tab w:val="left" w:pos="142"/>
          <w:tab w:val="left" w:pos="284"/>
        </w:tabs>
        <w:spacing w:after="0"/>
        <w:jc w:val="both"/>
        <w:rPr>
          <w:rFonts w:ascii="Verdana" w:eastAsia="Century Gothic" w:hAnsi="Verdana" w:cs="Century Gothic"/>
        </w:rPr>
      </w:pPr>
      <w:hyperlink r:id="rId14" w:history="1">
        <w:r w:rsidRPr="00CB71E4">
          <w:rPr>
            <w:rStyle w:val="Hipervnculo"/>
            <w:rFonts w:ascii="Verdana" w:eastAsia="Century Gothic" w:hAnsi="Verdana" w:cs="Century Gothic"/>
          </w:rPr>
          <w:t>https://relatoria.colombiacompra.gov.co/normativa/codigo-civil-ley-84-de-1873/</w:t>
        </w:r>
      </w:hyperlink>
    </w:p>
    <w:p w14:paraId="7661D90D" w14:textId="77777777" w:rsidR="003B0238" w:rsidRPr="00CB71E4" w:rsidRDefault="003B0238" w:rsidP="00A74E45">
      <w:pPr>
        <w:pStyle w:val="Prrafodelista"/>
        <w:tabs>
          <w:tab w:val="left" w:pos="142"/>
          <w:tab w:val="left" w:pos="284"/>
        </w:tabs>
        <w:spacing w:after="0"/>
        <w:jc w:val="both"/>
        <w:rPr>
          <w:rFonts w:ascii="Verdana" w:eastAsia="Century Gothic" w:hAnsi="Verdana" w:cs="Century Gothic"/>
        </w:rPr>
      </w:pPr>
    </w:p>
    <w:p w14:paraId="38407925" w14:textId="49FBEBD2" w:rsidR="00264AE1" w:rsidRPr="00CB71E4" w:rsidRDefault="00F65165" w:rsidP="35D8E67A">
      <w:pPr>
        <w:pStyle w:val="Prrafodelista"/>
        <w:numPr>
          <w:ilvl w:val="0"/>
          <w:numId w:val="17"/>
        </w:numPr>
        <w:tabs>
          <w:tab w:val="left" w:pos="142"/>
          <w:tab w:val="left" w:pos="284"/>
        </w:tabs>
        <w:spacing w:after="0"/>
        <w:jc w:val="both"/>
        <w:rPr>
          <w:rFonts w:ascii="Verdana" w:eastAsia="Century Gothic" w:hAnsi="Verdana" w:cs="Century Gothic"/>
        </w:rPr>
      </w:pPr>
      <w:r w:rsidRPr="00CB71E4">
        <w:rPr>
          <w:rFonts w:ascii="Verdana" w:eastAsia="Century Gothic" w:hAnsi="Verdana" w:cs="Century Gothic"/>
        </w:rPr>
        <w:lastRenderedPageBreak/>
        <w:t xml:space="preserve">Consejo de Estado. Sección Segunda. Sentencia del 9 de septiembre de 2021. Expediente No. 05001-23-33-000-2013-01143-01(1317-16). M.P. </w:t>
      </w:r>
      <w:proofErr w:type="spellStart"/>
      <w:r w:rsidR="006953BB" w:rsidRPr="00CB71E4">
        <w:rPr>
          <w:rFonts w:ascii="Verdana" w:eastAsia="Century Gothic" w:hAnsi="Verdana" w:cs="Century Gothic"/>
        </w:rPr>
        <w:t>Dr</w:t>
      </w:r>
      <w:proofErr w:type="spellEnd"/>
      <w:r w:rsidR="006953BB" w:rsidRPr="00CB71E4">
        <w:rPr>
          <w:rFonts w:ascii="Verdana" w:eastAsia="Century Gothic" w:hAnsi="Verdana" w:cs="Century Gothic"/>
        </w:rPr>
        <w:t xml:space="preserve"> Rafael Francisco Suárez Vargas</w:t>
      </w:r>
      <w:r w:rsidRPr="00CB71E4">
        <w:rPr>
          <w:rFonts w:ascii="Verdana" w:eastAsia="Century Gothic" w:hAnsi="Verdana" w:cs="Century Gothic"/>
        </w:rPr>
        <w:t>. Disponible en:</w:t>
      </w:r>
    </w:p>
    <w:p w14:paraId="1C74532A" w14:textId="77777777" w:rsidR="00264AE1" w:rsidRPr="00CB71E4" w:rsidRDefault="00264AE1" w:rsidP="00264AE1">
      <w:pPr>
        <w:pStyle w:val="Prrafodelista"/>
        <w:rPr>
          <w:rFonts w:ascii="Verdana" w:eastAsia="Century Gothic" w:hAnsi="Verdana" w:cs="Century Gothic"/>
          <w:bCs/>
          <w:lang w:val="es-ES_tradnl"/>
        </w:rPr>
      </w:pPr>
    </w:p>
    <w:p w14:paraId="3CD5157A" w14:textId="0585747F" w:rsidR="00F65165" w:rsidRPr="00CB71E4" w:rsidRDefault="006953BB" w:rsidP="00264AE1">
      <w:pPr>
        <w:pStyle w:val="Prrafodelista"/>
        <w:tabs>
          <w:tab w:val="left" w:pos="142"/>
          <w:tab w:val="left" w:pos="284"/>
        </w:tabs>
        <w:spacing w:after="0"/>
        <w:jc w:val="both"/>
        <w:rPr>
          <w:rFonts w:ascii="Verdana" w:eastAsia="Century Gothic" w:hAnsi="Verdana" w:cs="Century Gothic"/>
          <w:bCs/>
          <w:lang w:val="es-ES_tradnl"/>
        </w:rPr>
      </w:pPr>
      <w:hyperlink r:id="rId15" w:history="1">
        <w:r w:rsidRPr="00CB71E4">
          <w:rPr>
            <w:rStyle w:val="Hipervnculo"/>
            <w:rFonts w:ascii="Verdana" w:eastAsia="Century Gothic" w:hAnsi="Verdana" w:cs="Century Gothic"/>
            <w:bCs/>
            <w:lang w:val="es-ES_tradnl"/>
          </w:rPr>
          <w:t>https://relatoria.colombiacompra.gov.co/providencias/05001-23-33-000-2013-01143-01_1317-16_ce-suj2-025-21/</w:t>
        </w:r>
      </w:hyperlink>
    </w:p>
    <w:p w14:paraId="6B7DB71E" w14:textId="77777777" w:rsidR="00EA6B1D" w:rsidRPr="00CB71E4" w:rsidRDefault="00EA6B1D" w:rsidP="00EA6B1D">
      <w:pPr>
        <w:pStyle w:val="Prrafodelista"/>
        <w:tabs>
          <w:tab w:val="left" w:pos="142"/>
          <w:tab w:val="left" w:pos="284"/>
        </w:tabs>
        <w:spacing w:after="0"/>
        <w:jc w:val="both"/>
        <w:rPr>
          <w:rFonts w:ascii="Verdana" w:eastAsia="Century Gothic" w:hAnsi="Verdana" w:cs="Century Gothic"/>
          <w:bCs/>
          <w:lang w:val="es-ES_tradnl"/>
        </w:rPr>
      </w:pPr>
    </w:p>
    <w:p w14:paraId="0D6959CD" w14:textId="77777777" w:rsidR="00264AE1" w:rsidRPr="00CB71E4" w:rsidRDefault="00264AE1" w:rsidP="00102B2A">
      <w:pPr>
        <w:pStyle w:val="Prrafodelista"/>
        <w:numPr>
          <w:ilvl w:val="0"/>
          <w:numId w:val="17"/>
        </w:numPr>
        <w:tabs>
          <w:tab w:val="left" w:pos="142"/>
          <w:tab w:val="left" w:pos="284"/>
        </w:tabs>
        <w:spacing w:after="0"/>
        <w:jc w:val="both"/>
        <w:rPr>
          <w:rFonts w:ascii="Verdana" w:eastAsia="Century Gothic" w:hAnsi="Verdana" w:cs="Century Gothic"/>
        </w:rPr>
      </w:pPr>
      <w:r w:rsidRPr="00CB71E4">
        <w:rPr>
          <w:rFonts w:ascii="Verdana" w:eastAsia="Century Gothic" w:hAnsi="Verdana" w:cs="Century Gothic"/>
        </w:rPr>
        <w:t xml:space="preserve">Consejo De Estado. Sección Tercera. Subsección C. Sentencia de Unificación del 2 de diciembre de 2013. </w:t>
      </w:r>
      <w:proofErr w:type="spellStart"/>
      <w:r w:rsidRPr="00CB71E4">
        <w:rPr>
          <w:rFonts w:ascii="Verdana" w:eastAsia="Century Gothic" w:hAnsi="Verdana" w:cs="Century Gothic"/>
        </w:rPr>
        <w:t>Exp</w:t>
      </w:r>
      <w:proofErr w:type="spellEnd"/>
      <w:r w:rsidRPr="00CB71E4">
        <w:rPr>
          <w:rFonts w:ascii="Verdana" w:eastAsia="Century Gothic" w:hAnsi="Verdana" w:cs="Century Gothic"/>
        </w:rPr>
        <w:t>. 41.719. C.P. Jaime Orlando Santofimio Gamboa. Disponible en:</w:t>
      </w:r>
    </w:p>
    <w:p w14:paraId="0FD462C1" w14:textId="1DA6B7BC" w:rsidR="00264AE1" w:rsidRPr="00CB71E4" w:rsidRDefault="00264AE1" w:rsidP="00264AE1">
      <w:pPr>
        <w:pStyle w:val="Prrafodelista"/>
        <w:tabs>
          <w:tab w:val="left" w:pos="142"/>
          <w:tab w:val="left" w:pos="284"/>
        </w:tabs>
        <w:spacing w:after="0"/>
        <w:jc w:val="both"/>
        <w:rPr>
          <w:rFonts w:ascii="Verdana" w:eastAsia="Century Gothic" w:hAnsi="Verdana" w:cs="Century Gothic"/>
          <w:bCs/>
          <w:lang w:val="es-ES_tradnl"/>
        </w:rPr>
      </w:pPr>
      <w:hyperlink r:id="rId16" w:history="1">
        <w:r w:rsidRPr="00CB71E4">
          <w:rPr>
            <w:rStyle w:val="Hipervnculo"/>
            <w:rFonts w:ascii="Verdana" w:eastAsia="Century Gothic" w:hAnsi="Verdana" w:cs="Century Gothic"/>
            <w:bCs/>
            <w:lang w:val="es-ES_tradnl"/>
          </w:rPr>
          <w:t>https://relatoria.colombiacompra.gov.co/providencias/11001-03-26-000-2011-00039-00_41719/</w:t>
        </w:r>
      </w:hyperlink>
    </w:p>
    <w:p w14:paraId="783BB84A" w14:textId="77777777" w:rsidR="00264AE1" w:rsidRPr="00CB71E4" w:rsidRDefault="00264AE1" w:rsidP="00264AE1">
      <w:pPr>
        <w:pStyle w:val="Prrafodelista"/>
        <w:tabs>
          <w:tab w:val="left" w:pos="142"/>
          <w:tab w:val="left" w:pos="284"/>
        </w:tabs>
        <w:spacing w:after="0"/>
        <w:jc w:val="both"/>
        <w:rPr>
          <w:rFonts w:ascii="Verdana" w:eastAsia="Century Gothic" w:hAnsi="Verdana" w:cs="Century Gothic"/>
          <w:bCs/>
          <w:lang w:val="es-ES_tradnl"/>
        </w:rPr>
      </w:pPr>
    </w:p>
    <w:p w14:paraId="61DD44E7" w14:textId="77777777" w:rsidR="00264AE1" w:rsidRPr="00CB71E4" w:rsidRDefault="00264AE1" w:rsidP="00264AE1">
      <w:pPr>
        <w:pStyle w:val="Prrafodelista"/>
        <w:rPr>
          <w:rFonts w:ascii="Verdana" w:hAnsi="Verdana" w:cs="Arial"/>
          <w:sz w:val="12"/>
          <w:szCs w:val="12"/>
          <w:lang w:val="es-MX"/>
        </w:rPr>
      </w:pPr>
    </w:p>
    <w:p w14:paraId="6E718269" w14:textId="59F6E655" w:rsidR="00EA6B1D" w:rsidRPr="00CB71E4" w:rsidRDefault="00EA6B1D" w:rsidP="00102B2A">
      <w:pPr>
        <w:pStyle w:val="Prrafodelista"/>
        <w:numPr>
          <w:ilvl w:val="0"/>
          <w:numId w:val="17"/>
        </w:numPr>
        <w:tabs>
          <w:tab w:val="left" w:pos="142"/>
          <w:tab w:val="left" w:pos="284"/>
        </w:tabs>
        <w:spacing w:after="0"/>
        <w:jc w:val="both"/>
        <w:rPr>
          <w:rFonts w:ascii="Verdana" w:eastAsia="Century Gothic" w:hAnsi="Verdana" w:cs="Century Gothic"/>
        </w:rPr>
      </w:pPr>
      <w:r w:rsidRPr="00CB71E4">
        <w:rPr>
          <w:rFonts w:ascii="Verdana" w:eastAsia="Century Gothic" w:hAnsi="Verdana" w:cs="Century Gothic"/>
        </w:rPr>
        <w:t xml:space="preserve">Consejo de Estado. Sección Tercera. Subsección A. Sentencia del 24 de junio de 2015. </w:t>
      </w:r>
      <w:proofErr w:type="spellStart"/>
      <w:r w:rsidRPr="00CB71E4">
        <w:rPr>
          <w:rFonts w:ascii="Verdana" w:eastAsia="Century Gothic" w:hAnsi="Verdana" w:cs="Century Gothic"/>
        </w:rPr>
        <w:t>Exp</w:t>
      </w:r>
      <w:proofErr w:type="spellEnd"/>
      <w:r w:rsidRPr="00CB71E4">
        <w:rPr>
          <w:rFonts w:ascii="Verdana" w:eastAsia="Century Gothic" w:hAnsi="Verdana" w:cs="Century Gothic"/>
        </w:rPr>
        <w:t>. 40.635. Consejero Ponente: Hernán Andrade Rincón (E).</w:t>
      </w:r>
      <w:r w:rsidR="00264AE1" w:rsidRPr="00CB71E4">
        <w:rPr>
          <w:rFonts w:ascii="Verdana" w:eastAsia="Century Gothic" w:hAnsi="Verdana" w:cs="Century Gothic"/>
        </w:rPr>
        <w:t xml:space="preserve"> Disponible en:</w:t>
      </w:r>
    </w:p>
    <w:p w14:paraId="6FEF43E3" w14:textId="08F38517" w:rsidR="00264AE1" w:rsidRPr="00CB71E4" w:rsidRDefault="00264AE1" w:rsidP="00264AE1">
      <w:pPr>
        <w:pStyle w:val="Prrafodelista"/>
        <w:tabs>
          <w:tab w:val="left" w:pos="142"/>
          <w:tab w:val="left" w:pos="284"/>
        </w:tabs>
        <w:spacing w:after="0"/>
        <w:jc w:val="both"/>
        <w:rPr>
          <w:rFonts w:ascii="Verdana" w:eastAsia="Century Gothic" w:hAnsi="Verdana" w:cs="Century Gothic"/>
          <w:bCs/>
          <w:lang w:val="es-ES_tradnl"/>
        </w:rPr>
      </w:pPr>
      <w:hyperlink r:id="rId17" w:history="1">
        <w:r w:rsidRPr="00CB71E4">
          <w:rPr>
            <w:rStyle w:val="Hipervnculo"/>
            <w:rFonts w:ascii="Verdana" w:eastAsia="Century Gothic" w:hAnsi="Verdana" w:cs="Century Gothic"/>
            <w:bCs/>
            <w:lang w:val="es-ES_tradnl"/>
          </w:rPr>
          <w:t>https://relatoria.colombiacompra.gov.co/providencias/05001-23-31-000-1997-02636-01_40635/</w:t>
        </w:r>
      </w:hyperlink>
    </w:p>
    <w:p w14:paraId="0110095D" w14:textId="77777777" w:rsidR="00264AE1" w:rsidRPr="00CB71E4" w:rsidRDefault="00264AE1" w:rsidP="006953BB">
      <w:pPr>
        <w:pStyle w:val="Prrafodelista"/>
        <w:rPr>
          <w:rFonts w:ascii="Verdana" w:eastAsia="Century Gothic" w:hAnsi="Verdana" w:cs="Century Gothic"/>
          <w:bCs/>
          <w:lang w:val="es-ES_tradnl"/>
        </w:rPr>
      </w:pPr>
    </w:p>
    <w:p w14:paraId="699CEACE" w14:textId="77777777" w:rsidR="00264AE1" w:rsidRPr="00CB71E4" w:rsidRDefault="006953BB" w:rsidP="00102B2A">
      <w:pPr>
        <w:pStyle w:val="Prrafodelista"/>
        <w:numPr>
          <w:ilvl w:val="0"/>
          <w:numId w:val="17"/>
        </w:numPr>
        <w:tabs>
          <w:tab w:val="left" w:pos="142"/>
          <w:tab w:val="left" w:pos="284"/>
        </w:tabs>
        <w:spacing w:after="0"/>
        <w:jc w:val="both"/>
        <w:rPr>
          <w:rFonts w:ascii="Verdana" w:eastAsia="Century Gothic" w:hAnsi="Verdana" w:cs="Century Gothic"/>
          <w:bCs/>
          <w:lang w:val="es-ES_tradnl"/>
        </w:rPr>
      </w:pPr>
      <w:r w:rsidRPr="00CB71E4">
        <w:rPr>
          <w:rFonts w:ascii="Verdana" w:eastAsia="Century Gothic" w:hAnsi="Verdana" w:cs="Century Gothic"/>
          <w:bCs/>
          <w:lang w:val="es-ES_tradnl"/>
        </w:rPr>
        <w:t>CORTE CONSTITUCIONAL. Sentencia C‒595 de 1996. M.P. Jorge Arango Mejía. Disponible en:</w:t>
      </w:r>
    </w:p>
    <w:p w14:paraId="7C2FE18A" w14:textId="5062AADD" w:rsidR="006953BB" w:rsidRPr="00CB71E4" w:rsidRDefault="00264AE1" w:rsidP="00264AE1">
      <w:pPr>
        <w:pStyle w:val="Prrafodelista"/>
        <w:tabs>
          <w:tab w:val="left" w:pos="142"/>
          <w:tab w:val="left" w:pos="284"/>
        </w:tabs>
        <w:spacing w:after="0"/>
        <w:jc w:val="both"/>
        <w:rPr>
          <w:rFonts w:ascii="Verdana" w:eastAsia="Century Gothic" w:hAnsi="Verdana" w:cs="Century Gothic"/>
          <w:bCs/>
          <w:lang w:val="es-ES_tradnl"/>
        </w:rPr>
      </w:pPr>
      <w:hyperlink r:id="rId18" w:history="1">
        <w:r w:rsidRPr="00CB71E4">
          <w:rPr>
            <w:rStyle w:val="Hipervnculo"/>
            <w:rFonts w:ascii="Verdana" w:eastAsia="Century Gothic" w:hAnsi="Verdana" w:cs="Century Gothic"/>
            <w:bCs/>
            <w:lang w:val="es-ES_tradnl"/>
          </w:rPr>
          <w:t>https://www.corteconstitucional.gov.co/relatoria/1996/C-595-96.htm</w:t>
        </w:r>
      </w:hyperlink>
    </w:p>
    <w:p w14:paraId="59152DE4" w14:textId="77777777" w:rsidR="00102B2A" w:rsidRPr="00CB71E4" w:rsidRDefault="00102B2A" w:rsidP="00102B2A">
      <w:pPr>
        <w:pStyle w:val="Prrafodelista"/>
        <w:tabs>
          <w:tab w:val="left" w:pos="142"/>
          <w:tab w:val="left" w:pos="284"/>
        </w:tabs>
        <w:spacing w:after="0" w:line="276" w:lineRule="auto"/>
        <w:ind w:left="0"/>
        <w:jc w:val="both"/>
        <w:rPr>
          <w:rFonts w:ascii="Verdana" w:eastAsia="Century Gothic" w:hAnsi="Verdana" w:cs="Century Gothic"/>
          <w:bCs/>
          <w:lang w:val="es-ES_tradnl"/>
        </w:rPr>
      </w:pPr>
    </w:p>
    <w:p w14:paraId="1C8E6949" w14:textId="77777777" w:rsidR="00102B2A" w:rsidRPr="00CB71E4" w:rsidRDefault="00102B2A" w:rsidP="00102B2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CB71E4">
        <w:rPr>
          <w:rFonts w:ascii="Verdana" w:eastAsia="Century Gothic" w:hAnsi="Verdana" w:cs="Century Gothic"/>
          <w:b/>
          <w:bCs/>
        </w:rPr>
        <w:t>Doctrina de la Agencia Nacional de Contratación Pública:</w:t>
      </w:r>
    </w:p>
    <w:p w14:paraId="1E69C6C0" w14:textId="77777777" w:rsidR="00102B2A" w:rsidRPr="00CB71E4" w:rsidRDefault="00102B2A" w:rsidP="00102B2A">
      <w:pPr>
        <w:widowControl w:val="0"/>
        <w:autoSpaceDE w:val="0"/>
        <w:autoSpaceDN w:val="0"/>
        <w:spacing w:after="0" w:line="276" w:lineRule="auto"/>
        <w:jc w:val="both"/>
        <w:rPr>
          <w:rFonts w:ascii="Verdana" w:eastAsia="Calibri" w:hAnsi="Verdana" w:cs="Arial"/>
          <w:lang w:val="es-ES" w:eastAsia="es-ES"/>
        </w:rPr>
      </w:pPr>
    </w:p>
    <w:p w14:paraId="7357C5A3" w14:textId="77777777" w:rsidR="00EE1F6D" w:rsidRPr="00CB71E4" w:rsidRDefault="00F9719C" w:rsidP="00102B2A">
      <w:pPr>
        <w:widowControl w:val="0"/>
        <w:autoSpaceDE w:val="0"/>
        <w:autoSpaceDN w:val="0"/>
        <w:spacing w:after="0" w:line="276" w:lineRule="auto"/>
        <w:jc w:val="both"/>
        <w:rPr>
          <w:rFonts w:ascii="Verdana" w:hAnsi="Verdana"/>
        </w:rPr>
      </w:pPr>
      <w:r w:rsidRPr="00CB71E4">
        <w:rPr>
          <w:rFonts w:ascii="Verdana" w:eastAsia="Calibri" w:hAnsi="Verdana" w:cs="Arial"/>
          <w:lang w:val="es-ES_tradnl" w:eastAsia="es-ES_tradnl"/>
        </w:rPr>
        <w:t>L</w:t>
      </w:r>
      <w:r w:rsidRPr="00CB71E4">
        <w:rPr>
          <w:rFonts w:ascii="Verdana" w:eastAsia="Times New Roman" w:hAnsi="Verdana" w:cs="Arial"/>
          <w:lang w:val="es-ES_tradnl" w:eastAsia="es-ES_tradnl"/>
        </w:rPr>
        <w:t xml:space="preserve">a Agencia Nacional de Contratación Pública ― Colombia Compra Eficiente analizó el régimen de inhabilidades e incompatibilidades en la contratación pública, sus criterios de interpretación –restrictivo y </w:t>
      </w:r>
      <w:r w:rsidRPr="00CB71E4">
        <w:rPr>
          <w:rFonts w:ascii="Verdana" w:eastAsia="Times New Roman" w:hAnsi="Verdana" w:cs="Arial"/>
          <w:i/>
          <w:lang w:val="es-ES_tradnl" w:eastAsia="es-ES_tradnl"/>
        </w:rPr>
        <w:t xml:space="preserve">pro </w:t>
      </w:r>
      <w:proofErr w:type="spellStart"/>
      <w:r w:rsidRPr="00CB71E4">
        <w:rPr>
          <w:rFonts w:ascii="Verdana" w:eastAsia="Times New Roman" w:hAnsi="Verdana" w:cs="Arial"/>
          <w:i/>
          <w:lang w:val="es-ES_tradnl" w:eastAsia="es-ES_tradnl"/>
        </w:rPr>
        <w:t>libertate</w:t>
      </w:r>
      <w:proofErr w:type="spellEnd"/>
      <w:r w:rsidRPr="00CB71E4">
        <w:rPr>
          <w:rFonts w:ascii="Verdana" w:eastAsia="Times New Roman" w:hAnsi="Verdana" w:cs="Arial"/>
          <w:lang w:val="es-ES_tradnl" w:eastAsia="es-ES_tradnl"/>
        </w:rPr>
        <w:t xml:space="preserve">– y sus efectos en la capacidad contractual, entre otros, en los conceptos: 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 C-449 del 31 de agosto de 2021, C-028 del 28 de febrero de 2022, C-318 del 18 de mayo de 2022, C-252 del 30 de mayo de 2022, C-619 del 27 de septiembre de 2022, </w:t>
      </w:r>
      <w:r w:rsidRPr="00CB71E4">
        <w:rPr>
          <w:rFonts w:ascii="Verdana" w:eastAsia="Calibri" w:hAnsi="Verdana" w:cs="Arial"/>
          <w:lang w:val="es-ES"/>
        </w:rPr>
        <w:t xml:space="preserve">C-731 de 10 de noviembre de 2022, C-059 de 13 de junio de 2023, C-289 del 15 de agosto de 2023 y </w:t>
      </w:r>
      <w:r w:rsidR="00BB7ED8" w:rsidRPr="00CB71E4">
        <w:rPr>
          <w:rFonts w:ascii="Verdana" w:eastAsia="Calibri" w:hAnsi="Verdana" w:cs="Arial"/>
          <w:lang w:val="es-ES"/>
        </w:rPr>
        <w:t xml:space="preserve">C-136 del </w:t>
      </w:r>
      <w:r w:rsidR="00EE1F6D" w:rsidRPr="00CB71E4">
        <w:rPr>
          <w:rFonts w:ascii="Verdana" w:eastAsia="Calibri" w:hAnsi="Verdana" w:cs="Arial"/>
          <w:lang w:val="es-ES"/>
        </w:rPr>
        <w:t xml:space="preserve">06 de agosto de 2024, </w:t>
      </w:r>
      <w:r w:rsidRPr="00CB71E4">
        <w:rPr>
          <w:rFonts w:ascii="Verdana" w:eastAsia="Times New Roman" w:hAnsi="Verdana" w:cs="Arial"/>
          <w:lang w:val="es-ES_tradnl" w:eastAsia="es-ES_tradnl"/>
        </w:rPr>
        <w:t>entre otros</w:t>
      </w:r>
      <w:r w:rsidRPr="00CB71E4">
        <w:rPr>
          <w:rStyle w:val="normaltextrun"/>
          <w:rFonts w:ascii="Verdana" w:hAnsi="Verdana" w:cs="Arial"/>
          <w:color w:val="7030A0"/>
          <w:shd w:val="clear" w:color="auto" w:fill="FFFFFF"/>
          <w:lang w:val="es-ES"/>
        </w:rPr>
        <w:t>.</w:t>
      </w:r>
      <w:r w:rsidR="00102B2A" w:rsidRPr="00CB71E4">
        <w:rPr>
          <w:rFonts w:ascii="Verdana" w:hAnsi="Verdana" w:cs="Arial"/>
          <w:shd w:val="clear" w:color="auto" w:fill="FFFFFF"/>
        </w:rPr>
        <w:t xml:space="preserve">Estos y otros conceptos se encuentran disponibles para consulta en el Sistema de Relatoría de la Agencia, en el cual también podrás encontrar jurisprudencia del </w:t>
      </w:r>
      <w:r w:rsidR="00102B2A" w:rsidRPr="00CB71E4">
        <w:rPr>
          <w:rFonts w:ascii="Verdana" w:hAnsi="Verdana" w:cs="Arial"/>
          <w:shd w:val="clear" w:color="auto" w:fill="FFFFFF"/>
        </w:rPr>
        <w:lastRenderedPageBreak/>
        <w:t>Consejo de Estado, laudos arbitrales y la normativa de la contratación concordada con la doctrina de la Subdirección de Gestión Contractual</w:t>
      </w:r>
      <w:r w:rsidR="00102B2A" w:rsidRPr="00CB71E4">
        <w:rPr>
          <w:rFonts w:ascii="Verdana" w:hAnsi="Verdana"/>
        </w:rPr>
        <w:t xml:space="preserve">, accede a través del siguiente enlace: </w:t>
      </w:r>
    </w:p>
    <w:p w14:paraId="5AFA7430" w14:textId="7D6F6B8D" w:rsidR="00102B2A" w:rsidRPr="00CB71E4" w:rsidRDefault="004F24F5" w:rsidP="00102B2A">
      <w:pPr>
        <w:widowControl w:val="0"/>
        <w:autoSpaceDE w:val="0"/>
        <w:autoSpaceDN w:val="0"/>
        <w:spacing w:after="0" w:line="276" w:lineRule="auto"/>
        <w:jc w:val="both"/>
        <w:rPr>
          <w:rStyle w:val="normaltextrun"/>
          <w:rFonts w:ascii="Verdana" w:hAnsi="Verdana"/>
          <w:shd w:val="clear" w:color="auto" w:fill="FFFFFF"/>
        </w:rPr>
      </w:pPr>
      <w:hyperlink r:id="rId19" w:history="1">
        <w:r w:rsidRPr="00CB71E4">
          <w:rPr>
            <w:rStyle w:val="Hipervnculo"/>
            <w:rFonts w:ascii="Verdana" w:hAnsi="Verdana" w:cs="Arial"/>
            <w:shd w:val="clear" w:color="auto" w:fill="FFFFFF"/>
            <w:lang w:val="es-ES"/>
          </w:rPr>
          <w:t>https://relatoria.colombiacompra.gov.co/busqueda/conceptos</w:t>
        </w:r>
      </w:hyperlink>
      <w:r w:rsidR="00102B2A" w:rsidRPr="00CB71E4">
        <w:rPr>
          <w:rStyle w:val="normaltextrun"/>
          <w:rFonts w:ascii="Verdana" w:hAnsi="Verdana" w:cs="Arial"/>
          <w:shd w:val="clear" w:color="auto" w:fill="FFFFFF"/>
        </w:rPr>
        <w:t xml:space="preserve">. </w:t>
      </w:r>
    </w:p>
    <w:p w14:paraId="5548375E" w14:textId="77777777" w:rsidR="00102B2A" w:rsidRPr="00CB71E4" w:rsidRDefault="00102B2A" w:rsidP="00102B2A">
      <w:pPr>
        <w:widowControl w:val="0"/>
        <w:autoSpaceDE w:val="0"/>
        <w:autoSpaceDN w:val="0"/>
        <w:spacing w:after="0" w:line="276" w:lineRule="auto"/>
        <w:jc w:val="both"/>
        <w:rPr>
          <w:rStyle w:val="normaltextrun"/>
          <w:rFonts w:ascii="Verdana" w:hAnsi="Verdana" w:cs="Arial"/>
          <w:shd w:val="clear" w:color="auto" w:fill="FFFFFF"/>
        </w:rPr>
      </w:pPr>
    </w:p>
    <w:p w14:paraId="4E80FA7F" w14:textId="77777777" w:rsidR="00102B2A" w:rsidRPr="00CB71E4" w:rsidRDefault="00102B2A" w:rsidP="00102B2A">
      <w:pPr>
        <w:widowControl w:val="0"/>
        <w:autoSpaceDE w:val="0"/>
        <w:autoSpaceDN w:val="0"/>
        <w:spacing w:after="0" w:line="276" w:lineRule="auto"/>
        <w:jc w:val="both"/>
        <w:rPr>
          <w:rStyle w:val="normaltextrun"/>
          <w:rFonts w:ascii="Verdana" w:hAnsi="Verdana"/>
          <w:shd w:val="clear" w:color="auto" w:fill="FFFFFF"/>
        </w:rPr>
      </w:pPr>
      <w:r w:rsidRPr="00CB71E4">
        <w:rPr>
          <w:rStyle w:val="normaltextrun"/>
          <w:rFonts w:ascii="Verdana" w:hAnsi="Verdana" w:cs="Arial"/>
          <w:shd w:val="clear" w:color="auto" w:fill="FFFFFF"/>
        </w:rPr>
        <w:t xml:space="preserve">También te </w:t>
      </w:r>
      <w:r w:rsidRPr="00CB71E4">
        <w:rPr>
          <w:rFonts w:ascii="Verdana" w:hAnsi="Verdana" w:cs="Arial"/>
          <w:shd w:val="clear" w:color="auto" w:fill="FFFFFF"/>
        </w:rPr>
        <w:t>invitamos a revisar la tercera edición del  Boletín de Relatoría de 2024 en el cual podrás consultar en detalle el marco normativo de documentos tipo: </w:t>
      </w:r>
      <w:hyperlink r:id="rId20" w:tgtFrame="_blank" w:tooltip="Dirección URL original: https://www.colombiacompra.gov.co/sites/cce_public/files/files_2020/boletin_de_realtoria_iii.pdf. Haga clic o pulse si confía en este vínculo." w:history="1">
        <w:r w:rsidRPr="00CB71E4">
          <w:rPr>
            <w:rStyle w:val="Hipervnculo"/>
            <w:rFonts w:ascii="Verdana" w:hAnsi="Verdana" w:cs="Arial"/>
            <w:shd w:val="clear" w:color="auto" w:fill="FFFFFF"/>
          </w:rPr>
          <w:t>https://www.colombiacompra.gov.co/sites/cce_public/files/files_2020/boletin_de_realtoria_iii.pdf</w:t>
        </w:r>
      </w:hyperlink>
      <w:r w:rsidRPr="00CB71E4">
        <w:rPr>
          <w:rFonts w:ascii="Verdana" w:hAnsi="Verdana" w:cs="Arial"/>
          <w:shd w:val="clear" w:color="auto" w:fill="FFFFFF"/>
        </w:rPr>
        <w:t> ".  </w:t>
      </w:r>
    </w:p>
    <w:p w14:paraId="4516C2D0" w14:textId="77777777" w:rsidR="00102B2A" w:rsidRPr="00CB71E4" w:rsidRDefault="00102B2A" w:rsidP="00102B2A">
      <w:pPr>
        <w:widowControl w:val="0"/>
        <w:autoSpaceDE w:val="0"/>
        <w:autoSpaceDN w:val="0"/>
        <w:spacing w:after="0" w:line="276" w:lineRule="auto"/>
        <w:jc w:val="both"/>
        <w:rPr>
          <w:rFonts w:ascii="Verdana" w:hAnsi="Verdana" w:cs="Arial"/>
          <w:shd w:val="clear" w:color="auto" w:fill="FFFFFF"/>
          <w:lang w:val="es-ES"/>
        </w:rPr>
      </w:pPr>
    </w:p>
    <w:p w14:paraId="153C75E3" w14:textId="77777777" w:rsidR="00102B2A" w:rsidRPr="00CB71E4" w:rsidRDefault="00102B2A" w:rsidP="00102B2A">
      <w:pPr>
        <w:spacing w:after="0" w:line="240" w:lineRule="auto"/>
        <w:jc w:val="both"/>
        <w:rPr>
          <w:rFonts w:ascii="Verdana" w:hAnsi="Verdana"/>
        </w:rPr>
      </w:pPr>
      <w:r w:rsidRPr="00CB71E4">
        <w:rPr>
          <w:rFonts w:ascii="Verdana" w:hAnsi="Verdana"/>
        </w:rPr>
        <w:t xml:space="preserve">Por último, lo invitamos a seguirnos en las redes sociales en las cuales se difunde información institucional: </w:t>
      </w:r>
    </w:p>
    <w:p w14:paraId="4B835484" w14:textId="77777777" w:rsidR="00102B2A" w:rsidRPr="00CB71E4" w:rsidRDefault="00102B2A" w:rsidP="00102B2A">
      <w:pPr>
        <w:spacing w:after="0" w:line="240" w:lineRule="auto"/>
        <w:jc w:val="both"/>
        <w:rPr>
          <w:rFonts w:ascii="Verdana" w:hAnsi="Verdana"/>
        </w:rPr>
      </w:pPr>
    </w:p>
    <w:p w14:paraId="084E17A2" w14:textId="77777777" w:rsidR="00102B2A" w:rsidRPr="00CB71E4" w:rsidRDefault="00102B2A" w:rsidP="00102B2A">
      <w:pPr>
        <w:spacing w:after="0" w:line="240" w:lineRule="auto"/>
        <w:jc w:val="both"/>
        <w:rPr>
          <w:rFonts w:ascii="Verdana" w:hAnsi="Verdana"/>
        </w:rPr>
      </w:pPr>
      <w:r w:rsidRPr="00CB71E4">
        <w:rPr>
          <w:rFonts w:ascii="Verdana" w:hAnsi="Verdana"/>
        </w:rPr>
        <w:t xml:space="preserve">Twitter: </w:t>
      </w:r>
      <w:r w:rsidRPr="00CB71E4">
        <w:rPr>
          <w:rFonts w:ascii="Verdana" w:hAnsi="Verdana"/>
          <w:u w:val="single"/>
        </w:rPr>
        <w:t>@colombiacompra</w:t>
      </w:r>
      <w:r w:rsidRPr="00CB71E4">
        <w:rPr>
          <w:rFonts w:ascii="Verdana" w:hAnsi="Verdana"/>
        </w:rPr>
        <w:t xml:space="preserve"> </w:t>
      </w:r>
    </w:p>
    <w:p w14:paraId="36ED66DD" w14:textId="77777777" w:rsidR="00102B2A" w:rsidRPr="00CB71E4" w:rsidRDefault="00102B2A" w:rsidP="00102B2A">
      <w:pPr>
        <w:spacing w:after="0" w:line="240" w:lineRule="auto"/>
        <w:jc w:val="both"/>
        <w:rPr>
          <w:rFonts w:ascii="Verdana" w:hAnsi="Verdana"/>
        </w:rPr>
      </w:pPr>
      <w:r w:rsidRPr="00CB71E4">
        <w:rPr>
          <w:rFonts w:ascii="Verdana" w:hAnsi="Verdana"/>
        </w:rPr>
        <w:t xml:space="preserve">Facebook: </w:t>
      </w:r>
      <w:proofErr w:type="spellStart"/>
      <w:r w:rsidRPr="00CB71E4">
        <w:rPr>
          <w:rFonts w:ascii="Verdana" w:hAnsi="Verdana"/>
          <w:u w:val="single"/>
        </w:rPr>
        <w:t>ColombiaCompraEficiente</w:t>
      </w:r>
      <w:proofErr w:type="spellEnd"/>
    </w:p>
    <w:p w14:paraId="4C8FEAED" w14:textId="77777777" w:rsidR="00102B2A" w:rsidRPr="00CB71E4" w:rsidRDefault="00102B2A" w:rsidP="00102B2A">
      <w:pPr>
        <w:spacing w:after="0" w:line="240" w:lineRule="auto"/>
        <w:jc w:val="both"/>
        <w:rPr>
          <w:rFonts w:ascii="Verdana" w:hAnsi="Verdana"/>
        </w:rPr>
      </w:pPr>
      <w:r w:rsidRPr="00CB71E4">
        <w:rPr>
          <w:rFonts w:ascii="Verdana" w:hAnsi="Verdana"/>
        </w:rPr>
        <w:t xml:space="preserve">LinkedIn: </w:t>
      </w:r>
      <w:r w:rsidRPr="00CB71E4">
        <w:rPr>
          <w:rFonts w:ascii="Verdana" w:hAnsi="Verdana"/>
          <w:u w:val="single"/>
        </w:rPr>
        <w:t>Agencia Nacional de Contratación Pública - Colombia Compra Eficiente</w:t>
      </w:r>
      <w:r w:rsidRPr="00CB71E4">
        <w:rPr>
          <w:rFonts w:ascii="Verdana" w:hAnsi="Verdana"/>
        </w:rPr>
        <w:t xml:space="preserve"> Instagram: </w:t>
      </w:r>
      <w:r w:rsidRPr="00CB71E4">
        <w:rPr>
          <w:rFonts w:ascii="Verdana" w:hAnsi="Verdana"/>
          <w:u w:val="single"/>
        </w:rPr>
        <w:t>@colombiacompraeficiente_cce</w:t>
      </w:r>
    </w:p>
    <w:p w14:paraId="48345A3E" w14:textId="77777777" w:rsidR="00102B2A" w:rsidRPr="00CB71E4" w:rsidRDefault="00102B2A" w:rsidP="00102B2A">
      <w:pPr>
        <w:spacing w:before="120" w:after="0" w:line="276" w:lineRule="auto"/>
        <w:jc w:val="both"/>
        <w:textAlignment w:val="baseline"/>
        <w:rPr>
          <w:rFonts w:ascii="Verdana" w:eastAsia="Times New Roman" w:hAnsi="Verdana"/>
          <w:bCs/>
          <w:lang w:val="es-ES_tradnl" w:eastAsia="es-CO"/>
        </w:rPr>
      </w:pPr>
      <w:r w:rsidRPr="00CB71E4">
        <w:rPr>
          <w:rFonts w:ascii="Verdana" w:hAnsi="Verdana" w:cs="Arial"/>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B76D5B1" w14:textId="77777777" w:rsidR="00102B2A" w:rsidRPr="00CB71E4" w:rsidRDefault="00102B2A" w:rsidP="00102B2A">
      <w:pPr>
        <w:spacing w:after="0" w:line="240" w:lineRule="auto"/>
        <w:jc w:val="both"/>
        <w:rPr>
          <w:rFonts w:ascii="Verdana" w:eastAsia="Calibri" w:hAnsi="Verdana"/>
        </w:rPr>
      </w:pPr>
    </w:p>
    <w:p w14:paraId="38F0A09F" w14:textId="77777777" w:rsidR="00102B2A" w:rsidRPr="00CB71E4" w:rsidRDefault="00102B2A" w:rsidP="00102B2A">
      <w:pPr>
        <w:spacing w:after="0" w:line="240" w:lineRule="auto"/>
        <w:jc w:val="both"/>
        <w:rPr>
          <w:rFonts w:ascii="Verdana" w:hAnsi="Verdana"/>
          <w:noProof/>
        </w:rPr>
      </w:pPr>
      <w:r w:rsidRPr="00CB71E4">
        <w:rPr>
          <w:rFonts w:ascii="Verdana" w:eastAsia="Times New Roman" w:hAnsi="Verdana" w:cs="Arial"/>
          <w:lang w:eastAsia="es-CO"/>
        </w:rPr>
        <w:t>Atentamente,</w:t>
      </w:r>
    </w:p>
    <w:p w14:paraId="024ECBE2" w14:textId="318112F6" w:rsidR="00102B2A" w:rsidRPr="00CB71E4" w:rsidRDefault="00C07952" w:rsidP="00102B2A">
      <w:pPr>
        <w:spacing w:after="0" w:line="276" w:lineRule="auto"/>
        <w:jc w:val="center"/>
        <w:rPr>
          <w:rFonts w:ascii="Verdana" w:eastAsia="Times New Roman" w:hAnsi="Verdana" w:cs="Arial"/>
          <w:sz w:val="18"/>
          <w:szCs w:val="18"/>
          <w:lang w:val="es-ES" w:eastAsia="es-CO"/>
        </w:rPr>
      </w:pPr>
      <w:r w:rsidRPr="00CB71E4">
        <w:rPr>
          <w:rFonts w:ascii="Verdana" w:hAnsi="Verdana"/>
          <w:noProof/>
        </w:rPr>
        <w:drawing>
          <wp:inline distT="0" distB="0" distL="0" distR="0" wp14:anchorId="3FC13C69" wp14:editId="73376833">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102B2A" w:rsidRPr="00CB71E4" w14:paraId="12A23E3D" w14:textId="77777777" w:rsidTr="004043DA">
        <w:trPr>
          <w:trHeight w:val="409"/>
        </w:trPr>
        <w:tc>
          <w:tcPr>
            <w:tcW w:w="817" w:type="dxa"/>
            <w:tcBorders>
              <w:top w:val="nil"/>
              <w:left w:val="nil"/>
              <w:bottom w:val="nil"/>
              <w:right w:val="nil"/>
            </w:tcBorders>
            <w:vAlign w:val="center"/>
            <w:hideMark/>
          </w:tcPr>
          <w:p w14:paraId="23F04198" w14:textId="77777777" w:rsidR="00102B2A" w:rsidRPr="00CB71E4" w:rsidRDefault="00102B2A" w:rsidP="004043DA">
            <w:pPr>
              <w:spacing w:after="0" w:line="240" w:lineRule="auto"/>
              <w:jc w:val="both"/>
              <w:rPr>
                <w:rFonts w:ascii="Verdana" w:hAnsi="Verdana" w:cs="Arial"/>
                <w:sz w:val="16"/>
                <w:szCs w:val="16"/>
              </w:rPr>
            </w:pPr>
            <w:r w:rsidRPr="00CB71E4">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5311294E" w14:textId="77777777" w:rsidR="00102B2A" w:rsidRPr="00CB71E4" w:rsidRDefault="00102B2A" w:rsidP="004043DA">
            <w:pPr>
              <w:spacing w:after="0" w:line="240" w:lineRule="auto"/>
              <w:jc w:val="both"/>
              <w:rPr>
                <w:rFonts w:ascii="Verdana" w:hAnsi="Verdana" w:cs="Arial"/>
                <w:sz w:val="16"/>
                <w:szCs w:val="16"/>
              </w:rPr>
            </w:pPr>
            <w:r w:rsidRPr="00CB71E4">
              <w:rPr>
                <w:rFonts w:ascii="Verdana" w:hAnsi="Verdana" w:cs="Arial"/>
                <w:sz w:val="16"/>
                <w:szCs w:val="16"/>
              </w:rPr>
              <w:t>Gustavo Hinestroza Martínez</w:t>
            </w:r>
          </w:p>
          <w:p w14:paraId="546A71F2" w14:textId="77777777" w:rsidR="00102B2A" w:rsidRPr="00CB71E4" w:rsidRDefault="00102B2A" w:rsidP="004043DA">
            <w:pPr>
              <w:spacing w:after="0" w:line="240" w:lineRule="auto"/>
              <w:jc w:val="both"/>
              <w:rPr>
                <w:rFonts w:ascii="Verdana" w:hAnsi="Verdana" w:cs="Arial"/>
                <w:sz w:val="16"/>
                <w:szCs w:val="16"/>
              </w:rPr>
            </w:pPr>
            <w:r w:rsidRPr="00CB71E4">
              <w:rPr>
                <w:rFonts w:ascii="Verdana" w:hAnsi="Verdana" w:cs="Arial"/>
                <w:sz w:val="16"/>
                <w:szCs w:val="16"/>
              </w:rPr>
              <w:t>Contratista de la Subdirección de Gestión Contractual</w:t>
            </w:r>
          </w:p>
        </w:tc>
      </w:tr>
      <w:tr w:rsidR="00102B2A" w:rsidRPr="00CB71E4" w14:paraId="21EA7913" w14:textId="77777777" w:rsidTr="004043DA">
        <w:trPr>
          <w:trHeight w:val="409"/>
        </w:trPr>
        <w:tc>
          <w:tcPr>
            <w:tcW w:w="817" w:type="dxa"/>
            <w:tcBorders>
              <w:top w:val="nil"/>
              <w:left w:val="nil"/>
              <w:bottom w:val="nil"/>
              <w:right w:val="nil"/>
            </w:tcBorders>
            <w:vAlign w:val="center"/>
            <w:hideMark/>
          </w:tcPr>
          <w:p w14:paraId="753A5E28" w14:textId="77777777" w:rsidR="00102B2A" w:rsidRPr="00CB71E4" w:rsidRDefault="00102B2A" w:rsidP="004043DA">
            <w:pPr>
              <w:spacing w:after="0"/>
              <w:jc w:val="both"/>
              <w:rPr>
                <w:rFonts w:ascii="Verdana" w:hAnsi="Verdana" w:cs="Arial"/>
                <w:sz w:val="16"/>
                <w:szCs w:val="16"/>
              </w:rPr>
            </w:pPr>
            <w:r w:rsidRPr="00CB71E4">
              <w:rPr>
                <w:rStyle w:val="normaltextrun"/>
                <w:rFonts w:ascii="Verdana" w:hAnsi="Verdana" w:cs="Segoe UI"/>
                <w:sz w:val="16"/>
                <w:szCs w:val="16"/>
              </w:rPr>
              <w:t>Revisó</w:t>
            </w:r>
            <w:r w:rsidRPr="00CB71E4">
              <w:rPr>
                <w:rStyle w:val="eop"/>
                <w:rFonts w:ascii="Verdana" w:hAnsi="Verdana" w:cs="Segoe UI"/>
                <w:sz w:val="16"/>
                <w:szCs w:val="16"/>
              </w:rPr>
              <w:t>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B3B26FB" w14:textId="1A7AF94C" w:rsidR="00102B2A" w:rsidRPr="00CB71E4" w:rsidRDefault="00102B2A" w:rsidP="004043DA">
            <w:pPr>
              <w:pStyle w:val="paragraph"/>
              <w:spacing w:before="0" w:beforeAutospacing="0" w:after="0" w:afterAutospacing="0"/>
              <w:textAlignment w:val="baseline"/>
              <w:rPr>
                <w:rFonts w:ascii="Verdana" w:hAnsi="Verdana" w:cs="Segoe UI"/>
                <w:sz w:val="18"/>
                <w:szCs w:val="18"/>
              </w:rPr>
            </w:pPr>
            <w:r w:rsidRPr="00CB71E4">
              <w:rPr>
                <w:rStyle w:val="normaltextrun"/>
                <w:rFonts w:ascii="Verdana" w:hAnsi="Verdana" w:cs="Segoe UI"/>
                <w:sz w:val="16"/>
                <w:szCs w:val="16"/>
              </w:rPr>
              <w:t>Alejandro Sarmiento</w:t>
            </w:r>
            <w:r w:rsidRPr="00CB71E4">
              <w:rPr>
                <w:rStyle w:val="eop"/>
                <w:rFonts w:ascii="Verdana" w:hAnsi="Verdana" w:cs="Segoe UI"/>
                <w:sz w:val="16"/>
                <w:szCs w:val="16"/>
              </w:rPr>
              <w:t> </w:t>
            </w:r>
            <w:r w:rsidR="00B33737" w:rsidRPr="00CB71E4">
              <w:rPr>
                <w:rStyle w:val="eop"/>
                <w:rFonts w:ascii="Verdana" w:hAnsi="Verdana" w:cs="Segoe UI"/>
                <w:sz w:val="16"/>
                <w:szCs w:val="16"/>
              </w:rPr>
              <w:t>Cantillo</w:t>
            </w:r>
          </w:p>
          <w:p w14:paraId="07534E2B" w14:textId="4A8B972F" w:rsidR="00102B2A" w:rsidRPr="00CB71E4" w:rsidRDefault="00102B2A" w:rsidP="004043DA">
            <w:pPr>
              <w:spacing w:after="0" w:line="240" w:lineRule="auto"/>
              <w:jc w:val="both"/>
              <w:rPr>
                <w:rFonts w:ascii="Verdana" w:hAnsi="Verdana" w:cs="Arial"/>
                <w:sz w:val="16"/>
                <w:szCs w:val="16"/>
              </w:rPr>
            </w:pPr>
            <w:r w:rsidRPr="00CB71E4">
              <w:rPr>
                <w:rStyle w:val="normaltextrun"/>
                <w:rFonts w:ascii="Verdana" w:hAnsi="Verdana" w:cs="Segoe UI"/>
                <w:sz w:val="16"/>
                <w:szCs w:val="16"/>
              </w:rPr>
              <w:t>Gestor T1</w:t>
            </w:r>
            <w:r w:rsidR="00A21045" w:rsidRPr="00CB71E4">
              <w:rPr>
                <w:rStyle w:val="normaltextrun"/>
                <w:rFonts w:ascii="Verdana" w:hAnsi="Verdana" w:cs="Segoe UI"/>
                <w:sz w:val="16"/>
                <w:szCs w:val="16"/>
              </w:rPr>
              <w:t>-</w:t>
            </w:r>
            <w:r w:rsidRPr="00CB71E4">
              <w:rPr>
                <w:rStyle w:val="normaltextrun"/>
                <w:rFonts w:ascii="Verdana" w:hAnsi="Verdana" w:cs="Segoe UI"/>
                <w:sz w:val="16"/>
                <w:szCs w:val="16"/>
              </w:rPr>
              <w:t>15 Subdirección de Gestión Contractual</w:t>
            </w:r>
            <w:r w:rsidRPr="00CB71E4">
              <w:rPr>
                <w:rStyle w:val="eop"/>
                <w:rFonts w:ascii="Verdana" w:hAnsi="Verdana" w:cs="Segoe UI"/>
                <w:sz w:val="16"/>
                <w:szCs w:val="16"/>
              </w:rPr>
              <w:t> </w:t>
            </w:r>
          </w:p>
        </w:tc>
      </w:tr>
      <w:tr w:rsidR="00102B2A" w:rsidRPr="00CB71E4" w14:paraId="3CF32625" w14:textId="77777777" w:rsidTr="004043DA">
        <w:trPr>
          <w:trHeight w:val="389"/>
        </w:trPr>
        <w:tc>
          <w:tcPr>
            <w:tcW w:w="817" w:type="dxa"/>
            <w:tcBorders>
              <w:top w:val="nil"/>
              <w:left w:val="nil"/>
              <w:bottom w:val="nil"/>
              <w:right w:val="nil"/>
            </w:tcBorders>
            <w:vAlign w:val="center"/>
            <w:hideMark/>
          </w:tcPr>
          <w:p w14:paraId="3B33A33F" w14:textId="77777777" w:rsidR="00102B2A" w:rsidRPr="00CB71E4" w:rsidRDefault="00102B2A" w:rsidP="004043DA">
            <w:pPr>
              <w:spacing w:after="0" w:line="240" w:lineRule="auto"/>
              <w:jc w:val="both"/>
              <w:rPr>
                <w:rFonts w:ascii="Verdana" w:hAnsi="Verdana" w:cs="Arial"/>
                <w:sz w:val="16"/>
                <w:szCs w:val="16"/>
              </w:rPr>
            </w:pPr>
            <w:r w:rsidRPr="00CB71E4">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70A7D74" w14:textId="77777777" w:rsidR="00102B2A" w:rsidRPr="00CB71E4" w:rsidRDefault="00102B2A" w:rsidP="004043DA">
            <w:pPr>
              <w:spacing w:after="0"/>
              <w:jc w:val="both"/>
              <w:rPr>
                <w:rFonts w:ascii="Verdana" w:eastAsia="Calibri" w:hAnsi="Verdana" w:cs="Arial"/>
                <w:sz w:val="16"/>
                <w:szCs w:val="16"/>
                <w:lang w:val="pt-BR" w:eastAsia="es-ES"/>
              </w:rPr>
            </w:pPr>
            <w:r w:rsidRPr="00CB71E4">
              <w:rPr>
                <w:rFonts w:ascii="Verdana" w:eastAsia="Calibri" w:hAnsi="Verdana" w:cs="Arial"/>
                <w:sz w:val="16"/>
                <w:szCs w:val="16"/>
                <w:lang w:val="pt-BR" w:eastAsia="es-ES"/>
              </w:rPr>
              <w:t>Carolina Quintero Gacharná</w:t>
            </w:r>
          </w:p>
          <w:p w14:paraId="787BB59C" w14:textId="77777777" w:rsidR="00102B2A" w:rsidRPr="00CB71E4" w:rsidRDefault="00102B2A" w:rsidP="004043DA">
            <w:pPr>
              <w:spacing w:after="0" w:line="240" w:lineRule="auto"/>
              <w:jc w:val="both"/>
              <w:rPr>
                <w:rFonts w:ascii="Verdana" w:hAnsi="Verdana" w:cs="Arial"/>
                <w:sz w:val="16"/>
                <w:szCs w:val="16"/>
              </w:rPr>
            </w:pPr>
            <w:r w:rsidRPr="00CB71E4">
              <w:rPr>
                <w:rFonts w:ascii="Verdana" w:hAnsi="Verdana" w:cs="Arial"/>
                <w:sz w:val="16"/>
                <w:szCs w:val="16"/>
              </w:rPr>
              <w:t>Subdirectora de Gestión Contractual ANCP – CCE</w:t>
            </w:r>
          </w:p>
        </w:tc>
      </w:tr>
    </w:tbl>
    <w:p w14:paraId="570B38AD" w14:textId="77777777" w:rsidR="00102B2A" w:rsidRPr="00CB71E4" w:rsidRDefault="00102B2A" w:rsidP="00102B2A">
      <w:pPr>
        <w:spacing w:after="0" w:line="240" w:lineRule="auto"/>
        <w:jc w:val="both"/>
        <w:textAlignment w:val="baseline"/>
        <w:rPr>
          <w:rFonts w:ascii="Verdana" w:eastAsia="Times New Roman" w:hAnsi="Verdana" w:cs="Segoe UI"/>
          <w:sz w:val="18"/>
          <w:szCs w:val="18"/>
          <w:lang w:eastAsia="es-CO"/>
        </w:rPr>
      </w:pPr>
    </w:p>
    <w:bookmarkEnd w:id="0"/>
    <w:p w14:paraId="648A1984" w14:textId="77777777" w:rsidR="00102B2A" w:rsidRPr="00CB71E4" w:rsidRDefault="00102B2A" w:rsidP="00102B2A">
      <w:pPr>
        <w:jc w:val="both"/>
        <w:rPr>
          <w:rFonts w:ascii="Verdana" w:hAnsi="Verdana"/>
        </w:rPr>
      </w:pPr>
    </w:p>
    <w:p w14:paraId="0F293BF4" w14:textId="7BBFAB11" w:rsidR="00127233" w:rsidRPr="00CB71E4" w:rsidRDefault="00127233" w:rsidP="00102B2A">
      <w:pPr>
        <w:rPr>
          <w:rFonts w:ascii="Verdana" w:hAnsi="Verdana"/>
        </w:rPr>
      </w:pPr>
    </w:p>
    <w:sectPr w:rsidR="00127233" w:rsidRPr="00CB71E4"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FFE95F" w14:textId="77777777" w:rsidR="00335317" w:rsidRDefault="00335317" w:rsidP="004A1847">
      <w:pPr>
        <w:spacing w:after="0" w:line="240" w:lineRule="auto"/>
      </w:pPr>
      <w:r>
        <w:separator/>
      </w:r>
    </w:p>
  </w:endnote>
  <w:endnote w:type="continuationSeparator" w:id="0">
    <w:p w14:paraId="7EDBFCEF" w14:textId="77777777" w:rsidR="00335317" w:rsidRDefault="00335317" w:rsidP="004A1847">
      <w:pPr>
        <w:spacing w:after="0" w:line="240" w:lineRule="auto"/>
      </w:pPr>
      <w:r>
        <w:continuationSeparator/>
      </w:r>
    </w:p>
  </w:endnote>
  <w:endnote w:type="continuationNotice" w:id="1">
    <w:p w14:paraId="44BC8E76" w14:textId="77777777" w:rsidR="00335317" w:rsidRDefault="003353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0"/>
    <w:family w:val="auto"/>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585F42" w14:textId="77777777" w:rsidR="00335317" w:rsidRDefault="00335317" w:rsidP="004A1847">
      <w:pPr>
        <w:spacing w:after="0" w:line="240" w:lineRule="auto"/>
      </w:pPr>
      <w:r>
        <w:separator/>
      </w:r>
    </w:p>
  </w:footnote>
  <w:footnote w:type="continuationSeparator" w:id="0">
    <w:p w14:paraId="51B47012" w14:textId="77777777" w:rsidR="00335317" w:rsidRDefault="00335317" w:rsidP="004A1847">
      <w:pPr>
        <w:spacing w:after="0" w:line="240" w:lineRule="auto"/>
      </w:pPr>
      <w:r>
        <w:continuationSeparator/>
      </w:r>
    </w:p>
  </w:footnote>
  <w:footnote w:type="continuationNotice" w:id="1">
    <w:p w14:paraId="2A8F164D" w14:textId="77777777" w:rsidR="00335317" w:rsidRDefault="00335317">
      <w:pPr>
        <w:spacing w:after="0" w:line="240" w:lineRule="auto"/>
      </w:pPr>
    </w:p>
  </w:footnote>
  <w:footnote w:id="2">
    <w:p w14:paraId="47102879" w14:textId="77777777" w:rsidR="007B3B96" w:rsidRPr="00264AE1" w:rsidRDefault="007B3B96" w:rsidP="007B3B96">
      <w:pPr>
        <w:pStyle w:val="Textonotapie"/>
        <w:ind w:firstLine="708"/>
        <w:rPr>
          <w:rFonts w:ascii="Verdana" w:hAnsi="Verdana" w:cs="Arial"/>
          <w:sz w:val="14"/>
          <w:szCs w:val="14"/>
        </w:rPr>
      </w:pPr>
      <w:r w:rsidRPr="00264AE1">
        <w:rPr>
          <w:rStyle w:val="Refdenotaalpie"/>
          <w:rFonts w:ascii="Verdana" w:hAnsi="Verdana" w:cs="Arial"/>
          <w:sz w:val="14"/>
          <w:szCs w:val="14"/>
        </w:rPr>
        <w:footnoteRef/>
      </w:r>
      <w:r w:rsidRPr="00264AE1">
        <w:rPr>
          <w:rFonts w:ascii="Verdana" w:hAnsi="Verdana" w:cs="Arial"/>
          <w:sz w:val="14"/>
          <w:szCs w:val="14"/>
        </w:rPr>
        <w:t xml:space="preserve"> Artículos 3 y 40 de la Ley 80 de 1993.</w:t>
      </w:r>
    </w:p>
  </w:footnote>
  <w:footnote w:id="3">
    <w:p w14:paraId="51ED8AFD" w14:textId="77777777" w:rsidR="007B3B96" w:rsidRPr="00264AE1" w:rsidRDefault="007B3B96" w:rsidP="007B3B96">
      <w:pPr>
        <w:pStyle w:val="Textonotapie"/>
        <w:ind w:firstLine="708"/>
        <w:rPr>
          <w:rFonts w:ascii="Verdana" w:hAnsi="Verdana"/>
          <w:sz w:val="14"/>
          <w:szCs w:val="14"/>
        </w:rPr>
      </w:pPr>
      <w:r w:rsidRPr="00264AE1">
        <w:rPr>
          <w:rStyle w:val="Refdenotaalpie"/>
          <w:rFonts w:ascii="Verdana" w:hAnsi="Verdana" w:cs="Arial"/>
          <w:sz w:val="14"/>
          <w:szCs w:val="14"/>
        </w:rPr>
        <w:footnoteRef/>
      </w:r>
      <w:r w:rsidRPr="00264AE1">
        <w:rPr>
          <w:rFonts w:ascii="Verdana" w:hAnsi="Verdana" w:cs="Arial"/>
          <w:sz w:val="14"/>
          <w:szCs w:val="14"/>
        </w:rPr>
        <w:t xml:space="preserve"> Artículo 209 de la Constitución Política de 1991.</w:t>
      </w:r>
    </w:p>
  </w:footnote>
  <w:footnote w:id="4">
    <w:p w14:paraId="73BDF3D1" w14:textId="567FE025" w:rsidR="001C62B4" w:rsidRPr="00264AE1" w:rsidRDefault="001C62B4" w:rsidP="001C62B4">
      <w:pPr>
        <w:spacing w:after="0" w:line="240" w:lineRule="auto"/>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BARRETO MORENO, Antonio Alejandro. Inhabilidades de la contratación estatal, efectos y neopunitivismo en el Estatuto Anticorrupción. En: ALVIAR GARCÍA, Helena (Coordinadora). Nuevas tendencias del Derecho administrativo. Bogotá: Universidad de los Andes; Temis, 2016. pp. 63-99.</w:t>
      </w:r>
    </w:p>
    <w:p w14:paraId="02C6C98E" w14:textId="77777777" w:rsidR="00264AE1" w:rsidRPr="00264AE1" w:rsidRDefault="00264AE1" w:rsidP="001C62B4">
      <w:pPr>
        <w:spacing w:after="0" w:line="240" w:lineRule="auto"/>
        <w:ind w:firstLine="709"/>
        <w:jc w:val="both"/>
        <w:rPr>
          <w:rFonts w:ascii="Verdana" w:hAnsi="Verdana" w:cs="Arial"/>
          <w:color w:val="000000"/>
          <w:sz w:val="14"/>
          <w:szCs w:val="14"/>
        </w:rPr>
      </w:pPr>
    </w:p>
  </w:footnote>
  <w:footnote w:id="5">
    <w:p w14:paraId="593F86FF" w14:textId="77777777" w:rsidR="001C62B4" w:rsidRPr="00264AE1" w:rsidRDefault="001C62B4" w:rsidP="001C62B4">
      <w:pPr>
        <w:pStyle w:val="Textonotapie"/>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Ibíd., p. 69</w:t>
      </w:r>
    </w:p>
    <w:p w14:paraId="752AB807" w14:textId="77777777" w:rsidR="001C62B4" w:rsidRPr="00264AE1" w:rsidRDefault="001C62B4" w:rsidP="001C62B4">
      <w:pPr>
        <w:pStyle w:val="Textonotapie"/>
        <w:ind w:firstLine="709"/>
        <w:jc w:val="both"/>
        <w:rPr>
          <w:rFonts w:ascii="Verdana" w:hAnsi="Verdana" w:cs="Arial"/>
          <w:color w:val="000000"/>
          <w:sz w:val="14"/>
          <w:szCs w:val="14"/>
        </w:rPr>
      </w:pPr>
    </w:p>
  </w:footnote>
  <w:footnote w:id="6">
    <w:p w14:paraId="02E2EB1E" w14:textId="77777777" w:rsidR="001C62B4" w:rsidRPr="00264AE1" w:rsidRDefault="001C62B4" w:rsidP="001C62B4">
      <w:pPr>
        <w:pStyle w:val="Textonotapie"/>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56629A11" w14:textId="77777777" w:rsidR="001C62B4" w:rsidRPr="00264AE1" w:rsidRDefault="001C62B4" w:rsidP="001C62B4">
      <w:pPr>
        <w:pStyle w:val="Textonotapie"/>
        <w:ind w:firstLine="709"/>
        <w:jc w:val="both"/>
        <w:rPr>
          <w:rFonts w:ascii="Verdana" w:hAnsi="Verdana" w:cs="Arial"/>
          <w:color w:val="000000"/>
          <w:sz w:val="14"/>
          <w:szCs w:val="14"/>
        </w:rPr>
      </w:pPr>
    </w:p>
  </w:footnote>
  <w:footnote w:id="7">
    <w:p w14:paraId="1FBD528D" w14:textId="77777777" w:rsidR="001C62B4" w:rsidRPr="00264AE1" w:rsidRDefault="001C62B4" w:rsidP="001C62B4">
      <w:pPr>
        <w:pStyle w:val="Textonotapie"/>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Consejo de Estado. Sala de Consulta y Servicio Civil. Concepto del 30 de abril de 2015. Expediente: 2251. Consejero Ponente: Álvaro Namén Vargas.</w:t>
      </w:r>
    </w:p>
    <w:p w14:paraId="3D14A392" w14:textId="77777777" w:rsidR="001C62B4" w:rsidRPr="00264AE1" w:rsidRDefault="001C62B4" w:rsidP="001C62B4">
      <w:pPr>
        <w:pStyle w:val="Textonotapie"/>
        <w:ind w:firstLine="709"/>
        <w:jc w:val="both"/>
        <w:rPr>
          <w:rFonts w:ascii="Verdana" w:hAnsi="Verdana" w:cs="Arial"/>
          <w:color w:val="000000"/>
          <w:sz w:val="14"/>
          <w:szCs w:val="14"/>
        </w:rPr>
      </w:pPr>
    </w:p>
  </w:footnote>
  <w:footnote w:id="8">
    <w:p w14:paraId="5BD3E24B" w14:textId="77777777" w:rsidR="001C62B4" w:rsidRPr="00264AE1" w:rsidRDefault="001C62B4" w:rsidP="001C62B4">
      <w:pPr>
        <w:spacing w:after="0" w:line="240" w:lineRule="auto"/>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w:t>
      </w:r>
      <w:r w:rsidRPr="00264AE1">
        <w:rPr>
          <w:rFonts w:ascii="Verdana" w:hAnsi="Verdana" w:cs="Arial"/>
          <w:sz w:val="14"/>
          <w:szCs w:val="14"/>
          <w:lang w:val="es-MX"/>
        </w:rPr>
        <w:t>Consejo de Estado. Sección Tercera. Subsección A. Sentencia del 24 de junio de 2015. Exp. 40.635. Consejero Ponente: Hernán Andrade Rincón (E).</w:t>
      </w:r>
    </w:p>
    <w:p w14:paraId="6A9D314F" w14:textId="77777777" w:rsidR="001C62B4" w:rsidRPr="00264AE1" w:rsidRDefault="001C62B4" w:rsidP="001C62B4">
      <w:pPr>
        <w:pStyle w:val="Textonotapie"/>
        <w:ind w:firstLine="709"/>
        <w:jc w:val="both"/>
        <w:rPr>
          <w:rFonts w:ascii="Verdana" w:hAnsi="Verdana" w:cs="Arial"/>
          <w:color w:val="000000"/>
          <w:sz w:val="14"/>
          <w:szCs w:val="14"/>
        </w:rPr>
      </w:pPr>
    </w:p>
  </w:footnote>
  <w:footnote w:id="9">
    <w:p w14:paraId="0916FA81" w14:textId="77777777" w:rsidR="00C14CA2" w:rsidRPr="00264AE1" w:rsidRDefault="00C14CA2" w:rsidP="00C14CA2">
      <w:pPr>
        <w:pStyle w:val="Textonotapie"/>
        <w:ind w:firstLine="709"/>
        <w:jc w:val="both"/>
        <w:rPr>
          <w:rFonts w:ascii="Verdana" w:hAnsi="Verdana" w:cs="Arial"/>
          <w:sz w:val="14"/>
          <w:szCs w:val="14"/>
        </w:rPr>
      </w:pPr>
      <w:r w:rsidRPr="00264AE1">
        <w:rPr>
          <w:rStyle w:val="Refdenotaalpie"/>
          <w:rFonts w:ascii="Verdana" w:hAnsi="Verdana" w:cs="Arial"/>
          <w:sz w:val="14"/>
          <w:szCs w:val="14"/>
        </w:rPr>
        <w:footnoteRef/>
      </w:r>
      <w:r w:rsidRPr="00264AE1">
        <w:rPr>
          <w:rFonts w:ascii="Verdana" w:hAnsi="Verdana" w:cs="Arial"/>
          <w:sz w:val="14"/>
          <w:szCs w:val="14"/>
        </w:rPr>
        <w:t xml:space="preserve"> Código Civil: “Artículo 36”.</w:t>
      </w:r>
    </w:p>
    <w:p w14:paraId="5194D997" w14:textId="77777777" w:rsidR="00C14CA2" w:rsidRPr="00264AE1" w:rsidRDefault="00C14CA2" w:rsidP="00C14CA2">
      <w:pPr>
        <w:pStyle w:val="Textonotapie"/>
        <w:ind w:firstLine="709"/>
        <w:jc w:val="both"/>
        <w:rPr>
          <w:rFonts w:ascii="Verdana" w:hAnsi="Verdana" w:cs="Arial"/>
          <w:sz w:val="14"/>
          <w:szCs w:val="14"/>
          <w:lang w:val="es-CO"/>
        </w:rPr>
      </w:pPr>
    </w:p>
  </w:footnote>
  <w:footnote w:id="10">
    <w:p w14:paraId="566C4E92" w14:textId="77777777" w:rsidR="00C14CA2" w:rsidRPr="00264AE1" w:rsidRDefault="00C14CA2" w:rsidP="00C14CA2">
      <w:pPr>
        <w:pStyle w:val="Textonotapie"/>
        <w:ind w:firstLine="709"/>
        <w:jc w:val="both"/>
        <w:rPr>
          <w:rFonts w:ascii="Verdana" w:hAnsi="Verdana" w:cs="Arial"/>
          <w:sz w:val="14"/>
          <w:szCs w:val="14"/>
        </w:rPr>
      </w:pPr>
      <w:r w:rsidRPr="00264AE1">
        <w:rPr>
          <w:rStyle w:val="Refdenotaalpie"/>
          <w:rFonts w:ascii="Verdana" w:hAnsi="Verdana" w:cs="Arial"/>
          <w:sz w:val="14"/>
          <w:szCs w:val="14"/>
        </w:rPr>
        <w:footnoteRef/>
      </w:r>
      <w:r w:rsidRPr="00264AE1">
        <w:rPr>
          <w:rFonts w:ascii="Verdana" w:hAnsi="Verdana" w:cs="Arial"/>
          <w:sz w:val="14"/>
          <w:szCs w:val="14"/>
        </w:rPr>
        <w:t xml:space="preserve"> Código Civil: “Artículo 36”.</w:t>
      </w:r>
    </w:p>
    <w:p w14:paraId="140F1347" w14:textId="77777777" w:rsidR="00C14CA2" w:rsidRPr="00264AE1" w:rsidRDefault="00C14CA2" w:rsidP="00C14CA2">
      <w:pPr>
        <w:pStyle w:val="Textonotapie"/>
        <w:ind w:firstLine="709"/>
        <w:jc w:val="both"/>
        <w:rPr>
          <w:rFonts w:ascii="Verdana" w:hAnsi="Verdana" w:cs="Arial"/>
          <w:sz w:val="14"/>
          <w:szCs w:val="14"/>
          <w:lang w:val="es-CO"/>
        </w:rPr>
      </w:pPr>
    </w:p>
  </w:footnote>
  <w:footnote w:id="11">
    <w:p w14:paraId="21635546" w14:textId="10C6414B" w:rsidR="00C14CA2" w:rsidRPr="00264AE1" w:rsidRDefault="00C14CA2" w:rsidP="00C14CA2">
      <w:pPr>
        <w:pStyle w:val="Textonotapie"/>
        <w:ind w:firstLine="709"/>
        <w:jc w:val="both"/>
        <w:rPr>
          <w:rFonts w:ascii="Verdana" w:hAnsi="Verdana" w:cs="Arial"/>
          <w:sz w:val="14"/>
          <w:szCs w:val="14"/>
        </w:rPr>
      </w:pPr>
      <w:r w:rsidRPr="00264AE1">
        <w:rPr>
          <w:rStyle w:val="Refdenotaalpie"/>
          <w:rFonts w:ascii="Verdana" w:hAnsi="Verdana" w:cs="Arial"/>
          <w:sz w:val="14"/>
          <w:szCs w:val="14"/>
        </w:rPr>
        <w:footnoteRef/>
      </w:r>
      <w:r w:rsidRPr="00264AE1">
        <w:rPr>
          <w:rFonts w:ascii="Verdana" w:hAnsi="Verdana" w:cs="Arial"/>
          <w:sz w:val="14"/>
          <w:szCs w:val="14"/>
        </w:rPr>
        <w:t xml:space="preserve"> </w:t>
      </w:r>
      <w:r w:rsidR="00264AE1" w:rsidRPr="00264AE1">
        <w:rPr>
          <w:rFonts w:ascii="Verdana" w:hAnsi="Verdana" w:cs="Arial"/>
          <w:sz w:val="14"/>
          <w:szCs w:val="14"/>
        </w:rPr>
        <w:t>Corte Constitucional</w:t>
      </w:r>
      <w:r w:rsidRPr="00264AE1">
        <w:rPr>
          <w:rFonts w:ascii="Verdana" w:hAnsi="Verdana" w:cs="Arial"/>
          <w:sz w:val="14"/>
          <w:szCs w:val="14"/>
        </w:rPr>
        <w:t>. Sentencia C ‒ 595 de 1996. M.P. Jorge Arango Mejía.</w:t>
      </w:r>
    </w:p>
    <w:p w14:paraId="7ACB2708" w14:textId="77777777" w:rsidR="00C14CA2" w:rsidRPr="00264AE1" w:rsidRDefault="00C14CA2" w:rsidP="00C14CA2">
      <w:pPr>
        <w:pStyle w:val="Textonotapie"/>
        <w:ind w:firstLine="709"/>
        <w:jc w:val="both"/>
        <w:rPr>
          <w:rFonts w:ascii="Verdana" w:hAnsi="Verdana" w:cs="Arial"/>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60275B"/>
    <w:multiLevelType w:val="hybridMultilevel"/>
    <w:tmpl w:val="140A00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48A74AE"/>
    <w:multiLevelType w:val="hybridMultilevel"/>
    <w:tmpl w:val="223E270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1709744">
    <w:abstractNumId w:val="7"/>
  </w:num>
  <w:num w:numId="2" w16cid:durableId="150604139">
    <w:abstractNumId w:val="2"/>
  </w:num>
  <w:num w:numId="3" w16cid:durableId="535653309">
    <w:abstractNumId w:val="4"/>
  </w:num>
  <w:num w:numId="4" w16cid:durableId="7496973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4936994">
    <w:abstractNumId w:val="2"/>
  </w:num>
  <w:num w:numId="6" w16cid:durableId="93331238">
    <w:abstractNumId w:val="15"/>
  </w:num>
  <w:num w:numId="7" w16cid:durableId="1659338119">
    <w:abstractNumId w:val="6"/>
  </w:num>
  <w:num w:numId="8" w16cid:durableId="1330213097">
    <w:abstractNumId w:val="14"/>
  </w:num>
  <w:num w:numId="9" w16cid:durableId="916211859">
    <w:abstractNumId w:val="8"/>
  </w:num>
  <w:num w:numId="10" w16cid:durableId="1380321198">
    <w:abstractNumId w:val="13"/>
  </w:num>
  <w:num w:numId="11" w16cid:durableId="1720667848">
    <w:abstractNumId w:val="9"/>
  </w:num>
  <w:num w:numId="12" w16cid:durableId="1849055734">
    <w:abstractNumId w:val="1"/>
  </w:num>
  <w:num w:numId="13" w16cid:durableId="795607978">
    <w:abstractNumId w:val="3"/>
  </w:num>
  <w:num w:numId="14" w16cid:durableId="1484466881">
    <w:abstractNumId w:val="16"/>
  </w:num>
  <w:num w:numId="15" w16cid:durableId="248544865">
    <w:abstractNumId w:val="12"/>
  </w:num>
  <w:num w:numId="16" w16cid:durableId="88332512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5272433">
    <w:abstractNumId w:val="11"/>
  </w:num>
  <w:num w:numId="18" w16cid:durableId="145097589">
    <w:abstractNumId w:val="5"/>
  </w:num>
  <w:num w:numId="19" w16cid:durableId="704714458">
    <w:abstractNumId w:val="10"/>
  </w:num>
  <w:num w:numId="20" w16cid:durableId="567421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4C2E"/>
    <w:rsid w:val="00054404"/>
    <w:rsid w:val="000560F2"/>
    <w:rsid w:val="00061B2A"/>
    <w:rsid w:val="00067770"/>
    <w:rsid w:val="00082362"/>
    <w:rsid w:val="00095A5D"/>
    <w:rsid w:val="000A683E"/>
    <w:rsid w:val="000B19B9"/>
    <w:rsid w:val="000D0334"/>
    <w:rsid w:val="000F0114"/>
    <w:rsid w:val="000F6486"/>
    <w:rsid w:val="000F6EBC"/>
    <w:rsid w:val="00102B2A"/>
    <w:rsid w:val="0011709A"/>
    <w:rsid w:val="00125105"/>
    <w:rsid w:val="00127233"/>
    <w:rsid w:val="00162BF7"/>
    <w:rsid w:val="001A28C9"/>
    <w:rsid w:val="001C62B4"/>
    <w:rsid w:val="001D130F"/>
    <w:rsid w:val="001E4177"/>
    <w:rsid w:val="001F7DC6"/>
    <w:rsid w:val="00203E92"/>
    <w:rsid w:val="002116DD"/>
    <w:rsid w:val="00214BFC"/>
    <w:rsid w:val="002421BB"/>
    <w:rsid w:val="00242503"/>
    <w:rsid w:val="0025796E"/>
    <w:rsid w:val="00264AE1"/>
    <w:rsid w:val="002707A2"/>
    <w:rsid w:val="0028173A"/>
    <w:rsid w:val="002951A0"/>
    <w:rsid w:val="002962BC"/>
    <w:rsid w:val="002A093D"/>
    <w:rsid w:val="002A0DD0"/>
    <w:rsid w:val="002A49AC"/>
    <w:rsid w:val="002A64FD"/>
    <w:rsid w:val="002B1563"/>
    <w:rsid w:val="002C7A84"/>
    <w:rsid w:val="002E2F47"/>
    <w:rsid w:val="002E437A"/>
    <w:rsid w:val="002E4FD9"/>
    <w:rsid w:val="002E7B8B"/>
    <w:rsid w:val="00322A85"/>
    <w:rsid w:val="00324168"/>
    <w:rsid w:val="00335317"/>
    <w:rsid w:val="00344284"/>
    <w:rsid w:val="003448F4"/>
    <w:rsid w:val="0034653C"/>
    <w:rsid w:val="00374F5E"/>
    <w:rsid w:val="00377E3E"/>
    <w:rsid w:val="003A26D1"/>
    <w:rsid w:val="003A779E"/>
    <w:rsid w:val="003B0238"/>
    <w:rsid w:val="003D0F4D"/>
    <w:rsid w:val="003D5B0D"/>
    <w:rsid w:val="003E0499"/>
    <w:rsid w:val="003E6915"/>
    <w:rsid w:val="003E7E0C"/>
    <w:rsid w:val="003F3941"/>
    <w:rsid w:val="00406575"/>
    <w:rsid w:val="004218F5"/>
    <w:rsid w:val="0042722E"/>
    <w:rsid w:val="0044528D"/>
    <w:rsid w:val="004603C6"/>
    <w:rsid w:val="00461A6A"/>
    <w:rsid w:val="004770CF"/>
    <w:rsid w:val="00493563"/>
    <w:rsid w:val="004A1847"/>
    <w:rsid w:val="004A305D"/>
    <w:rsid w:val="004B57CC"/>
    <w:rsid w:val="004D487D"/>
    <w:rsid w:val="004E7D30"/>
    <w:rsid w:val="004F1669"/>
    <w:rsid w:val="004F21C4"/>
    <w:rsid w:val="004F24F5"/>
    <w:rsid w:val="004F685F"/>
    <w:rsid w:val="0051187A"/>
    <w:rsid w:val="00512A22"/>
    <w:rsid w:val="00522920"/>
    <w:rsid w:val="005334D6"/>
    <w:rsid w:val="00533D05"/>
    <w:rsid w:val="0054619A"/>
    <w:rsid w:val="005566E8"/>
    <w:rsid w:val="00574867"/>
    <w:rsid w:val="00591460"/>
    <w:rsid w:val="00592628"/>
    <w:rsid w:val="005C3777"/>
    <w:rsid w:val="005C5CDC"/>
    <w:rsid w:val="005C6872"/>
    <w:rsid w:val="005D071B"/>
    <w:rsid w:val="005D2269"/>
    <w:rsid w:val="005D476C"/>
    <w:rsid w:val="00610292"/>
    <w:rsid w:val="00610812"/>
    <w:rsid w:val="006219F8"/>
    <w:rsid w:val="00650FF7"/>
    <w:rsid w:val="006617E3"/>
    <w:rsid w:val="00665D70"/>
    <w:rsid w:val="00671DAC"/>
    <w:rsid w:val="00673613"/>
    <w:rsid w:val="00676279"/>
    <w:rsid w:val="006832EB"/>
    <w:rsid w:val="006900D9"/>
    <w:rsid w:val="006953BB"/>
    <w:rsid w:val="006B056E"/>
    <w:rsid w:val="006D12F8"/>
    <w:rsid w:val="006D7EA4"/>
    <w:rsid w:val="00700B84"/>
    <w:rsid w:val="00706C16"/>
    <w:rsid w:val="00752539"/>
    <w:rsid w:val="00756841"/>
    <w:rsid w:val="00761626"/>
    <w:rsid w:val="007649AB"/>
    <w:rsid w:val="00771D0C"/>
    <w:rsid w:val="007821FE"/>
    <w:rsid w:val="007833AC"/>
    <w:rsid w:val="00784BFE"/>
    <w:rsid w:val="007B268C"/>
    <w:rsid w:val="007B2F10"/>
    <w:rsid w:val="007B3B96"/>
    <w:rsid w:val="007B7171"/>
    <w:rsid w:val="007C0C0F"/>
    <w:rsid w:val="007C3DC2"/>
    <w:rsid w:val="007E5497"/>
    <w:rsid w:val="00806F5F"/>
    <w:rsid w:val="00820278"/>
    <w:rsid w:val="008438AC"/>
    <w:rsid w:val="00843A21"/>
    <w:rsid w:val="008574E2"/>
    <w:rsid w:val="00871588"/>
    <w:rsid w:val="008843B6"/>
    <w:rsid w:val="00884D50"/>
    <w:rsid w:val="00891928"/>
    <w:rsid w:val="008A446D"/>
    <w:rsid w:val="008C5060"/>
    <w:rsid w:val="008D180B"/>
    <w:rsid w:val="008F0EA7"/>
    <w:rsid w:val="008F15C1"/>
    <w:rsid w:val="00917A22"/>
    <w:rsid w:val="0092042B"/>
    <w:rsid w:val="00923EEF"/>
    <w:rsid w:val="00934A17"/>
    <w:rsid w:val="00937B97"/>
    <w:rsid w:val="009419F9"/>
    <w:rsid w:val="0095685E"/>
    <w:rsid w:val="00961415"/>
    <w:rsid w:val="00961B09"/>
    <w:rsid w:val="00965334"/>
    <w:rsid w:val="00966DEB"/>
    <w:rsid w:val="0097093E"/>
    <w:rsid w:val="00972806"/>
    <w:rsid w:val="00975D2C"/>
    <w:rsid w:val="00986E3C"/>
    <w:rsid w:val="00993867"/>
    <w:rsid w:val="009A0DFA"/>
    <w:rsid w:val="009A1113"/>
    <w:rsid w:val="009B0477"/>
    <w:rsid w:val="009B2D26"/>
    <w:rsid w:val="009C71FA"/>
    <w:rsid w:val="009C72E7"/>
    <w:rsid w:val="009D3058"/>
    <w:rsid w:val="009E1BEB"/>
    <w:rsid w:val="009F2452"/>
    <w:rsid w:val="009F3A13"/>
    <w:rsid w:val="00A122D3"/>
    <w:rsid w:val="00A13F6E"/>
    <w:rsid w:val="00A17F13"/>
    <w:rsid w:val="00A20739"/>
    <w:rsid w:val="00A21045"/>
    <w:rsid w:val="00A24961"/>
    <w:rsid w:val="00A33C78"/>
    <w:rsid w:val="00A56C2E"/>
    <w:rsid w:val="00A74E45"/>
    <w:rsid w:val="00AA6DF4"/>
    <w:rsid w:val="00AB0ADB"/>
    <w:rsid w:val="00AC2B48"/>
    <w:rsid w:val="00AC2E5E"/>
    <w:rsid w:val="00B01B1A"/>
    <w:rsid w:val="00B01B59"/>
    <w:rsid w:val="00B112B0"/>
    <w:rsid w:val="00B11628"/>
    <w:rsid w:val="00B33737"/>
    <w:rsid w:val="00B60843"/>
    <w:rsid w:val="00B72CD3"/>
    <w:rsid w:val="00B72FFF"/>
    <w:rsid w:val="00BA29FF"/>
    <w:rsid w:val="00BA5CF8"/>
    <w:rsid w:val="00BB4397"/>
    <w:rsid w:val="00BB6B8E"/>
    <w:rsid w:val="00BB7ED8"/>
    <w:rsid w:val="00BC0B24"/>
    <w:rsid w:val="00BC3D36"/>
    <w:rsid w:val="00BD7F72"/>
    <w:rsid w:val="00BF3B63"/>
    <w:rsid w:val="00BF75CD"/>
    <w:rsid w:val="00C00669"/>
    <w:rsid w:val="00C04FB3"/>
    <w:rsid w:val="00C07952"/>
    <w:rsid w:val="00C14CA2"/>
    <w:rsid w:val="00C330EB"/>
    <w:rsid w:val="00C56294"/>
    <w:rsid w:val="00C754BE"/>
    <w:rsid w:val="00C76B1C"/>
    <w:rsid w:val="00CB1BBB"/>
    <w:rsid w:val="00CB6357"/>
    <w:rsid w:val="00CB71E4"/>
    <w:rsid w:val="00CC1B26"/>
    <w:rsid w:val="00CE499B"/>
    <w:rsid w:val="00CE6BE4"/>
    <w:rsid w:val="00D34964"/>
    <w:rsid w:val="00D423A2"/>
    <w:rsid w:val="00D520D8"/>
    <w:rsid w:val="00D63AC2"/>
    <w:rsid w:val="00D66B10"/>
    <w:rsid w:val="00D7383B"/>
    <w:rsid w:val="00DA231B"/>
    <w:rsid w:val="00DA23A0"/>
    <w:rsid w:val="00DC39FC"/>
    <w:rsid w:val="00DD5B43"/>
    <w:rsid w:val="00DF5254"/>
    <w:rsid w:val="00E07EA1"/>
    <w:rsid w:val="00E16408"/>
    <w:rsid w:val="00E20894"/>
    <w:rsid w:val="00E245AB"/>
    <w:rsid w:val="00E2764C"/>
    <w:rsid w:val="00E27F2E"/>
    <w:rsid w:val="00E37CC4"/>
    <w:rsid w:val="00E413EA"/>
    <w:rsid w:val="00E441B9"/>
    <w:rsid w:val="00E444B5"/>
    <w:rsid w:val="00E50AFE"/>
    <w:rsid w:val="00E6788C"/>
    <w:rsid w:val="00E75C92"/>
    <w:rsid w:val="00E771DC"/>
    <w:rsid w:val="00E87577"/>
    <w:rsid w:val="00E8772A"/>
    <w:rsid w:val="00E90F6B"/>
    <w:rsid w:val="00E92C27"/>
    <w:rsid w:val="00E965DC"/>
    <w:rsid w:val="00EA0E3D"/>
    <w:rsid w:val="00EA5D47"/>
    <w:rsid w:val="00EA6B1D"/>
    <w:rsid w:val="00EC38A7"/>
    <w:rsid w:val="00EC5FFE"/>
    <w:rsid w:val="00EE1AA8"/>
    <w:rsid w:val="00EE1F6D"/>
    <w:rsid w:val="00EF595C"/>
    <w:rsid w:val="00F1078A"/>
    <w:rsid w:val="00F13C09"/>
    <w:rsid w:val="00F31EDC"/>
    <w:rsid w:val="00F45AE6"/>
    <w:rsid w:val="00F462B3"/>
    <w:rsid w:val="00F5664F"/>
    <w:rsid w:val="00F65165"/>
    <w:rsid w:val="00F666C4"/>
    <w:rsid w:val="00F76AFC"/>
    <w:rsid w:val="00F831BC"/>
    <w:rsid w:val="00F9719C"/>
    <w:rsid w:val="00FA47C0"/>
    <w:rsid w:val="00FB5DD1"/>
    <w:rsid w:val="00FC2B5D"/>
    <w:rsid w:val="00FD2486"/>
    <w:rsid w:val="00FF1449"/>
    <w:rsid w:val="35D8E67A"/>
    <w:rsid w:val="5CEADB7B"/>
    <w:rsid w:val="5F3BA8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B2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1"/>
    <w:qFormat/>
    <w:rsid w:val="00102B2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102B2A"/>
    <w:rPr>
      <w:rFonts w:ascii="Arial" w:eastAsia="Arial" w:hAnsi="Arial" w:cs="Arial"/>
      <w:lang w:val="es-ES"/>
    </w:rPr>
  </w:style>
  <w:style w:type="paragraph" w:customStyle="1" w:styleId="Appelnotedebasde">
    <w:name w:val="Appel note de bas de..."/>
    <w:basedOn w:val="Normal"/>
    <w:link w:val="Refdenotaalpie"/>
    <w:uiPriority w:val="99"/>
    <w:rsid w:val="00102B2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02B2A"/>
    <w:rPr>
      <w:rFonts w:ascii="Geomanist Light" w:hAnsi="Geomanist Light"/>
      <w:lang w:val="es-ES"/>
    </w:rPr>
  </w:style>
  <w:style w:type="character" w:styleId="Textoennegrita">
    <w:name w:val="Strong"/>
    <w:basedOn w:val="Fuentedeprrafopredeter"/>
    <w:uiPriority w:val="22"/>
    <w:qFormat/>
    <w:rsid w:val="00102B2A"/>
    <w:rPr>
      <w:b/>
      <w:bCs/>
    </w:rPr>
  </w:style>
  <w:style w:type="character" w:styleId="nfasis">
    <w:name w:val="Emphasis"/>
    <w:basedOn w:val="Fuentedeprrafopredeter"/>
    <w:uiPriority w:val="20"/>
    <w:qFormat/>
    <w:rsid w:val="00102B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80-de-1993/" TargetMode="External"/><Relationship Id="rId18" Type="http://schemas.openxmlformats.org/officeDocument/2006/relationships/hyperlink" Target="https://www.corteconstitucional.gov.co/relatoria/1996/C-595-96.htm"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danielabenitezv09@gmail.com" TargetMode="External"/><Relationship Id="rId17" Type="http://schemas.openxmlformats.org/officeDocument/2006/relationships/hyperlink" Target="https://relatoria.colombiacompra.gov.co/providencias/05001-23-31-000-1997-02636-01_4063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latoria.colombiacompra.gov.co/providencias/11001-03-26-000-2011-00039-00_41719/" TargetMode="External"/><Relationship Id="rId20" Type="http://schemas.openxmlformats.org/officeDocument/2006/relationships/hyperlink" Target="https://nam02.safelinks.protection.outlook.com/?url=https%3A%2F%2Fwww.colombiacompra.gov.co%2Fsites%2Fcce_public%2Ffiles%2Ffiles_2020%2Fboletin_de_realtoria_iii.pdf&amp;data=05%7C02%7Calejandro.sarmiento%40colombiacompra.gov.co%7C992f1c9609394a8da8fe08dcc1676546%7C7b09041e245149d08cb179d5e3d8c1be%7C0%7C0%7C638597897037980144%7CUnknown%7CTWFpbGZsb3d8eyJWIjoiMC4wLjAwMDAiLCJQIjoiV2luMzIiLCJBTiI6Ik1haWwiLCJXVCI6Mn0%3D%7C0%7C%7C%7C&amp;sdata=zmwE0pC9EMKgoLR223JSTOgy8SOuAWIn7%2BB%2BWxC8tVw%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relatoria.colombiacompra.gov.co/providencias/05001-23-33-000-2013-01143-01_1317-16_ce-suj2-025-21/"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relatoria.colombiacompra.gov.co/busqueda/concepto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codigo-civil-ley-84-de-1873/"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http://purl.org/dc/dcmitype/"/>
    <ds:schemaRef ds:uri="a6cb9e4b-f1d1-4245-83ec-6cad768d538a"/>
    <ds:schemaRef ds:uri="http://purl.org/dc/terms/"/>
    <ds:schemaRef ds:uri="9d85dbaf-23eb-4e57-a637-93dcacc8b1a1"/>
    <ds:schemaRef ds:uri="http://www.w3.org/XML/1998/namespace"/>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5CCE47FA-2725-4D15-B221-BB7FB61755F4}">
  <ds:schemaRefs>
    <ds:schemaRef ds:uri="http://schemas.openxmlformats.org/officeDocument/2006/bibliography"/>
  </ds:schemaRefs>
</ds:datastoreItem>
</file>

<file path=customXml/itemProps4.xml><?xml version="1.0" encoding="utf-8"?>
<ds:datastoreItem xmlns:ds="http://schemas.openxmlformats.org/officeDocument/2006/customXml" ds:itemID="{C8BAC33F-7F46-473B-B4EA-4ABAF8037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9</Pages>
  <Words>2889</Words>
  <Characters>15895</Characters>
  <Application>Microsoft Office Word</Application>
  <DocSecurity>0</DocSecurity>
  <Lines>132</Lines>
  <Paragraphs>37</Paragraphs>
  <ScaleCrop>false</ScaleCrop>
  <Company/>
  <LinksUpToDate>false</LinksUpToDate>
  <CharactersWithSpaces>18747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2</cp:revision>
  <cp:lastPrinted>2023-01-10T21:18:00Z</cp:lastPrinted>
  <dcterms:created xsi:type="dcterms:W3CDTF">2024-10-01T16:30:00Z</dcterms:created>
  <dcterms:modified xsi:type="dcterms:W3CDTF">2024-10-01T16:30:00Z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