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8F0D42" w14:textId="77777777" w:rsidR="00162CB2" w:rsidRDefault="00162CB2" w:rsidP="00162CB2">
      <w:pPr>
        <w:spacing w:before="120" w:after="0" w:line="276" w:lineRule="auto"/>
        <w:jc w:val="both"/>
        <w:textAlignment w:val="baseline"/>
        <w:rPr>
          <w:rFonts w:ascii="Verdana" w:hAnsi="Verdana"/>
          <w:b/>
          <w:bCs/>
        </w:rPr>
      </w:pPr>
      <w:r w:rsidRPr="00E26368">
        <w:rPr>
          <w:rFonts w:ascii="Verdana" w:hAnsi="Verdana"/>
          <w:b/>
          <w:bCs/>
        </w:rPr>
        <w:t xml:space="preserve">CESIÓN DEL CONTRATO ESTATAL – Noción  </w:t>
      </w:r>
    </w:p>
    <w:p w14:paraId="4FFC4583" w14:textId="77777777" w:rsidR="00162CB2" w:rsidRPr="00E26368" w:rsidRDefault="00162CB2" w:rsidP="00162CB2">
      <w:pPr>
        <w:spacing w:before="120" w:after="0" w:line="276" w:lineRule="auto"/>
        <w:jc w:val="both"/>
        <w:textAlignment w:val="baseline"/>
        <w:rPr>
          <w:rFonts w:ascii="Verdana" w:hAnsi="Verdana"/>
          <w:b/>
          <w:bCs/>
        </w:rPr>
      </w:pPr>
    </w:p>
    <w:p w14:paraId="1C0396B2" w14:textId="77777777" w:rsidR="00162CB2" w:rsidRPr="00E26368" w:rsidRDefault="00162CB2" w:rsidP="00162CB2">
      <w:pPr>
        <w:spacing w:after="20" w:line="276" w:lineRule="auto"/>
        <w:jc w:val="both"/>
        <w:rPr>
          <w:rFonts w:ascii="Verdana" w:eastAsia="Calibri" w:hAnsi="Verdana" w:cs="Arial"/>
          <w:color w:val="000000" w:themeColor="text1"/>
          <w:sz w:val="20"/>
          <w:szCs w:val="20"/>
          <w:lang w:val="es-ES"/>
        </w:rPr>
      </w:pPr>
      <w:r w:rsidRPr="00E26368">
        <w:rPr>
          <w:rFonts w:ascii="Verdana" w:eastAsia="Calibri" w:hAnsi="Verdana" w:cs="Arial"/>
          <w:color w:val="000000" w:themeColor="text1"/>
          <w:sz w:val="20"/>
          <w:szCs w:val="20"/>
          <w:lang w:val="es-ES"/>
        </w:rPr>
        <w:t xml:space="preserve">La cesión de la posición contractual puede entenderse como un acto y como un efecto. Por un lado, “(…) es el contrato con el cual el cedente, parte de otro contrato ya en curso con otro sujeto (cedido), transfiere la relativa posición contractual (en sus componentes activos y pasivos) al cesionario, el cual le encuentra en la relación con el cedido (…)”. Por otro, “(…) es la transferencia de la posición contractual de un contratante a otro sujeto, que le encuentra en la relación con la contraparte (…)”. De esta manera, concurren tres (3) sujetos: i) el cedente, esto es, el contratista inicial; </w:t>
      </w:r>
      <w:proofErr w:type="spellStart"/>
      <w:r w:rsidRPr="00E26368">
        <w:rPr>
          <w:rFonts w:ascii="Verdana" w:eastAsia="Calibri" w:hAnsi="Verdana" w:cs="Arial"/>
          <w:color w:val="000000" w:themeColor="text1"/>
          <w:sz w:val="20"/>
          <w:szCs w:val="20"/>
          <w:lang w:val="es-ES"/>
        </w:rPr>
        <w:t>ii</w:t>
      </w:r>
      <w:proofErr w:type="spellEnd"/>
      <w:r w:rsidRPr="00E26368">
        <w:rPr>
          <w:rFonts w:ascii="Verdana" w:eastAsia="Calibri" w:hAnsi="Verdana" w:cs="Arial"/>
          <w:color w:val="000000" w:themeColor="text1"/>
          <w:sz w:val="20"/>
          <w:szCs w:val="20"/>
          <w:lang w:val="es-ES"/>
        </w:rPr>
        <w:t xml:space="preserve">) el cesionario, es decir, quien asume total o parcialmente los derechos y obligaciones de este último; y </w:t>
      </w:r>
      <w:proofErr w:type="spellStart"/>
      <w:r w:rsidRPr="00E26368">
        <w:rPr>
          <w:rFonts w:ascii="Verdana" w:eastAsia="Calibri" w:hAnsi="Verdana" w:cs="Arial"/>
          <w:color w:val="000000" w:themeColor="text1"/>
          <w:sz w:val="20"/>
          <w:szCs w:val="20"/>
          <w:lang w:val="es-ES"/>
        </w:rPr>
        <w:t>iii</w:t>
      </w:r>
      <w:proofErr w:type="spellEnd"/>
      <w:r w:rsidRPr="00E26368">
        <w:rPr>
          <w:rFonts w:ascii="Verdana" w:eastAsia="Calibri" w:hAnsi="Verdana" w:cs="Arial"/>
          <w:color w:val="000000" w:themeColor="text1"/>
          <w:sz w:val="20"/>
          <w:szCs w:val="20"/>
          <w:lang w:val="es-ES"/>
        </w:rPr>
        <w:t>) el cedido que, en el caso de los contratos estatales, sería la entidad suscribiente. Por tanto, la cesión de contrato es una figura jurídica por la que terceros ajenos a los contratantes iniciales participan en negocios que están ejecutando cuando no se hayan cumplido la totalidad de las obligaciones, permitiendo que sean éstos quienes realicen las prestaciones faltantes.</w:t>
      </w:r>
    </w:p>
    <w:p w14:paraId="50B8F7EA" w14:textId="77777777" w:rsidR="00162CB2" w:rsidRPr="00E26368" w:rsidRDefault="00162CB2" w:rsidP="00162CB2">
      <w:pPr>
        <w:spacing w:after="20"/>
        <w:jc w:val="both"/>
        <w:rPr>
          <w:rFonts w:ascii="Verdana" w:hAnsi="Verdana"/>
          <w:lang w:val="es-ES"/>
        </w:rPr>
      </w:pPr>
    </w:p>
    <w:p w14:paraId="630BB043" w14:textId="77777777" w:rsidR="00162CB2" w:rsidRPr="00E26368" w:rsidRDefault="00162CB2" w:rsidP="00162CB2">
      <w:pPr>
        <w:spacing w:after="20"/>
        <w:jc w:val="both"/>
        <w:rPr>
          <w:rFonts w:ascii="Verdana" w:eastAsia="Calibri" w:hAnsi="Verdana" w:cs="Arial"/>
          <w:b/>
          <w:bCs/>
          <w:lang w:val="es-ES" w:eastAsia="es-ES"/>
        </w:rPr>
      </w:pPr>
      <w:r w:rsidRPr="00E26368">
        <w:rPr>
          <w:rFonts w:ascii="Verdana" w:eastAsia="Calibri" w:hAnsi="Verdana" w:cs="Arial"/>
          <w:b/>
          <w:bCs/>
          <w:lang w:val="es-ES" w:eastAsia="es-ES"/>
        </w:rPr>
        <w:t>CESIÓN DEL CONTRATO ESTATAL – Requisitos – Restricciones</w:t>
      </w:r>
    </w:p>
    <w:p w14:paraId="5275D587" w14:textId="77777777" w:rsidR="00162CB2" w:rsidRPr="00E26368" w:rsidRDefault="00162CB2" w:rsidP="00162CB2">
      <w:pPr>
        <w:spacing w:after="20"/>
        <w:jc w:val="both"/>
        <w:rPr>
          <w:rFonts w:ascii="Verdana" w:eastAsia="Calibri" w:hAnsi="Verdana" w:cs="Arial"/>
          <w:b/>
          <w:bCs/>
          <w:lang w:val="es-ES" w:eastAsia="es-ES"/>
        </w:rPr>
      </w:pPr>
    </w:p>
    <w:p w14:paraId="0D8D780F" w14:textId="77777777" w:rsidR="00162CB2" w:rsidRPr="00CB60C9" w:rsidRDefault="00162CB2" w:rsidP="00162CB2">
      <w:pPr>
        <w:jc w:val="both"/>
        <w:rPr>
          <w:rFonts w:ascii="Verdana" w:eastAsia="Calibri" w:hAnsi="Verdana" w:cs="Arial"/>
          <w:b/>
          <w:bCs/>
          <w:color w:val="000000" w:themeColor="text1"/>
          <w:sz w:val="20"/>
          <w:szCs w:val="20"/>
          <w:lang w:val="es-ES"/>
        </w:rPr>
      </w:pPr>
      <w:r w:rsidRPr="00E26368">
        <w:rPr>
          <w:rFonts w:ascii="Verdana" w:eastAsia="Calibri" w:hAnsi="Verdana" w:cs="Arial"/>
          <w:color w:val="000000" w:themeColor="text1"/>
          <w:sz w:val="20"/>
          <w:szCs w:val="20"/>
          <w:lang w:val="es-ES"/>
        </w:rPr>
        <w:t xml:space="preserve">Por lo demás, el Consejo de Estado ha precisado como requisitos de la cesión del contrato estatal los siguientes: i) debe recaer en un tercero; </w:t>
      </w:r>
      <w:proofErr w:type="spellStart"/>
      <w:r w:rsidRPr="00E26368">
        <w:rPr>
          <w:rFonts w:ascii="Verdana" w:eastAsia="Calibri" w:hAnsi="Verdana" w:cs="Arial"/>
          <w:color w:val="000000" w:themeColor="text1"/>
          <w:sz w:val="20"/>
          <w:szCs w:val="20"/>
          <w:lang w:val="es-ES"/>
        </w:rPr>
        <w:t>ii</w:t>
      </w:r>
      <w:proofErr w:type="spellEnd"/>
      <w:r w:rsidRPr="00E26368">
        <w:rPr>
          <w:rFonts w:ascii="Verdana" w:eastAsia="Calibri" w:hAnsi="Verdana" w:cs="Arial"/>
          <w:color w:val="000000" w:themeColor="text1"/>
          <w:sz w:val="20"/>
          <w:szCs w:val="20"/>
          <w:lang w:val="es-ES"/>
        </w:rPr>
        <w:t xml:space="preserve">) el cesionario debe tener capacidad jurídica para continuar con la ejecución del objeto contractual y no estar incurso en causales de inhabilidad e incompatibilidad para contratar; y </w:t>
      </w:r>
      <w:proofErr w:type="spellStart"/>
      <w:r w:rsidRPr="00E26368">
        <w:rPr>
          <w:rFonts w:ascii="Verdana" w:eastAsia="Calibri" w:hAnsi="Verdana" w:cs="Arial"/>
          <w:color w:val="000000" w:themeColor="text1"/>
          <w:sz w:val="20"/>
          <w:szCs w:val="20"/>
          <w:lang w:val="es-ES"/>
        </w:rPr>
        <w:t>iii</w:t>
      </w:r>
      <w:proofErr w:type="spellEnd"/>
      <w:r w:rsidRPr="00E26368">
        <w:rPr>
          <w:rFonts w:ascii="Verdana" w:eastAsia="Calibri" w:hAnsi="Verdana" w:cs="Arial"/>
          <w:color w:val="000000" w:themeColor="text1"/>
          <w:sz w:val="20"/>
          <w:szCs w:val="20"/>
          <w:lang w:val="es-ES"/>
        </w:rPr>
        <w:t>) el cesionario debe contar con capacidad técnica, económica y financiera suficientes para el cumplimiento de las obligaciones emanadas del contrato cedido.</w:t>
      </w:r>
    </w:p>
    <w:p w14:paraId="16F32634" w14:textId="6679B77E" w:rsidR="006F64D7" w:rsidRPr="00CB60C9" w:rsidRDefault="006F64D7" w:rsidP="00162CB2">
      <w:pPr>
        <w:jc w:val="both"/>
        <w:rPr>
          <w:rFonts w:ascii="Verdana" w:eastAsia="Calibri" w:hAnsi="Verdana" w:cs="Arial"/>
          <w:b/>
          <w:bCs/>
          <w:color w:val="000000" w:themeColor="text1"/>
          <w:sz w:val="20"/>
          <w:szCs w:val="20"/>
          <w:lang w:val="es-ES"/>
        </w:rPr>
      </w:pPr>
      <w:r w:rsidRPr="00CB60C9">
        <w:rPr>
          <w:rFonts w:ascii="Verdana" w:eastAsia="Calibri" w:hAnsi="Verdana" w:cs="Arial"/>
          <w:b/>
          <w:bCs/>
          <w:color w:val="000000" w:themeColor="text1"/>
          <w:sz w:val="20"/>
          <w:szCs w:val="20"/>
          <w:lang w:val="es-ES"/>
        </w:rPr>
        <w:t>CAPACIDAD JURÍDICA</w:t>
      </w:r>
      <w:r w:rsidR="00CB60C9" w:rsidRPr="00CB60C9">
        <w:rPr>
          <w:rFonts w:ascii="Verdana" w:eastAsia="Calibri" w:hAnsi="Verdana" w:cs="Arial"/>
          <w:b/>
          <w:bCs/>
          <w:color w:val="000000" w:themeColor="text1"/>
          <w:sz w:val="20"/>
          <w:szCs w:val="20"/>
          <w:lang w:val="es-ES"/>
        </w:rPr>
        <w:t xml:space="preserve"> – Generalidades </w:t>
      </w:r>
    </w:p>
    <w:p w14:paraId="314CBFE8" w14:textId="77777777" w:rsidR="00CB60C9" w:rsidRPr="00CB60C9" w:rsidRDefault="00CB60C9" w:rsidP="00CB60C9">
      <w:pPr>
        <w:jc w:val="both"/>
        <w:rPr>
          <w:rFonts w:ascii="Verdana" w:eastAsia="Calibri" w:hAnsi="Verdana" w:cs="Arial"/>
          <w:color w:val="000000" w:themeColor="text1"/>
          <w:sz w:val="20"/>
          <w:szCs w:val="20"/>
          <w:lang w:val="es-ES"/>
        </w:rPr>
      </w:pPr>
      <w:r w:rsidRPr="00CB60C9">
        <w:rPr>
          <w:rFonts w:ascii="Verdana" w:eastAsia="Calibri" w:hAnsi="Verdana" w:cs="Arial"/>
          <w:color w:val="000000" w:themeColor="text1"/>
          <w:sz w:val="20"/>
          <w:szCs w:val="20"/>
          <w:lang w:val="es-ES"/>
        </w:rPr>
        <w:t>La capacidad jurídica es la aptitud que tiene una persona para ser titular de derechos y obligaciones en el ámbito del derecho. Se divide en dos tipos:</w:t>
      </w:r>
    </w:p>
    <w:p w14:paraId="686AE911" w14:textId="77777777" w:rsidR="00CB60C9" w:rsidRPr="00CB60C9" w:rsidRDefault="00CB60C9" w:rsidP="00CB60C9">
      <w:pPr>
        <w:tabs>
          <w:tab w:val="num" w:pos="720"/>
        </w:tabs>
        <w:jc w:val="both"/>
        <w:rPr>
          <w:rFonts w:ascii="Verdana" w:eastAsia="Calibri" w:hAnsi="Verdana" w:cs="Arial"/>
          <w:color w:val="000000" w:themeColor="text1"/>
          <w:sz w:val="20"/>
          <w:szCs w:val="20"/>
          <w:lang w:val="es-ES"/>
        </w:rPr>
      </w:pPr>
      <w:r w:rsidRPr="00CB60C9">
        <w:rPr>
          <w:rFonts w:ascii="Verdana" w:eastAsia="Calibri" w:hAnsi="Verdana" w:cs="Arial"/>
          <w:b/>
          <w:bCs/>
          <w:color w:val="000000" w:themeColor="text1"/>
          <w:sz w:val="20"/>
          <w:szCs w:val="20"/>
          <w:lang w:val="es-ES"/>
        </w:rPr>
        <w:t>Capacidad de goce:</w:t>
      </w:r>
      <w:r w:rsidRPr="00CB60C9">
        <w:rPr>
          <w:rFonts w:ascii="Verdana" w:eastAsia="Calibri" w:hAnsi="Verdana" w:cs="Arial"/>
          <w:color w:val="000000" w:themeColor="text1"/>
          <w:sz w:val="20"/>
          <w:szCs w:val="20"/>
          <w:lang w:val="es-ES"/>
        </w:rPr>
        <w:t xml:space="preserve"> Es la habilidad de ser sujeto de derechos y obligaciones. Todos los seres humanos la tienen desde su nacimiento, aunque hay ciertas limitaciones para algunas personas, como los menores de edad o aquellos con incapacidades legales.</w:t>
      </w:r>
    </w:p>
    <w:p w14:paraId="687C1D72" w14:textId="77777777" w:rsidR="00CB60C9" w:rsidRPr="00CB60C9" w:rsidRDefault="00CB60C9" w:rsidP="00CB60C9">
      <w:pPr>
        <w:tabs>
          <w:tab w:val="num" w:pos="720"/>
        </w:tabs>
        <w:jc w:val="both"/>
        <w:rPr>
          <w:rFonts w:ascii="Verdana" w:eastAsia="Calibri" w:hAnsi="Verdana" w:cs="Arial"/>
          <w:color w:val="000000" w:themeColor="text1"/>
          <w:sz w:val="20"/>
          <w:szCs w:val="20"/>
          <w:lang w:val="es-ES"/>
        </w:rPr>
      </w:pPr>
      <w:r w:rsidRPr="00CB60C9">
        <w:rPr>
          <w:rFonts w:ascii="Verdana" w:eastAsia="Calibri" w:hAnsi="Verdana" w:cs="Arial"/>
          <w:b/>
          <w:bCs/>
          <w:color w:val="000000" w:themeColor="text1"/>
          <w:sz w:val="20"/>
          <w:szCs w:val="20"/>
          <w:lang w:val="es-ES"/>
        </w:rPr>
        <w:t>Capacidad de ejercicio:</w:t>
      </w:r>
      <w:r w:rsidRPr="00CB60C9">
        <w:rPr>
          <w:rFonts w:ascii="Verdana" w:eastAsia="Calibri" w:hAnsi="Verdana" w:cs="Arial"/>
          <w:color w:val="000000" w:themeColor="text1"/>
          <w:sz w:val="20"/>
          <w:szCs w:val="20"/>
          <w:lang w:val="es-ES"/>
        </w:rPr>
        <w:t xml:space="preserve"> Es la capacidad para ejercer esos derechos y cumplir con obligaciones. Esta capacidad puede variar según la edad, estado mental y otras circunstancias. Por ejemplo, los menores de edad generalmente no tienen plena capacidad de ejercicio y necesitan la representación de un adulto para realizar ciertos actos jurídicos.</w:t>
      </w:r>
    </w:p>
    <w:p w14:paraId="466D2A8A" w14:textId="77777777" w:rsidR="00162CB2" w:rsidRDefault="00162CB2" w:rsidP="00EF3F1E">
      <w:pPr>
        <w:spacing w:after="0" w:line="240" w:lineRule="auto"/>
        <w:jc w:val="both"/>
        <w:rPr>
          <w:rFonts w:ascii="Verdana" w:eastAsia="Geomanist Light" w:hAnsi="Verdana" w:cs="Arial"/>
          <w:color w:val="000000" w:themeColor="text1"/>
        </w:rPr>
      </w:pPr>
    </w:p>
    <w:p w14:paraId="2C6F6C9E" w14:textId="77777777" w:rsidR="00162CB2" w:rsidRDefault="00162CB2" w:rsidP="00EF3F1E">
      <w:pPr>
        <w:spacing w:after="0" w:line="240" w:lineRule="auto"/>
        <w:jc w:val="both"/>
        <w:rPr>
          <w:rFonts w:ascii="Verdana" w:eastAsia="Geomanist Light" w:hAnsi="Verdana" w:cs="Arial"/>
          <w:color w:val="000000" w:themeColor="text1"/>
        </w:rPr>
      </w:pPr>
    </w:p>
    <w:p w14:paraId="3F519537" w14:textId="6505D955" w:rsidR="009D16CB" w:rsidRPr="00EF3F1E" w:rsidRDefault="00EF3F1E" w:rsidP="00EF3F1E">
      <w:pPr>
        <w:spacing w:after="0" w:line="240" w:lineRule="auto"/>
        <w:jc w:val="both"/>
        <w:rPr>
          <w:rFonts w:ascii="Verdana" w:eastAsia="Geomanist Light" w:hAnsi="Verdana" w:cs="Arial"/>
          <w:color w:val="000000" w:themeColor="text1"/>
          <w:lang w:val="es-MX"/>
        </w:rPr>
      </w:pPr>
      <w:r w:rsidRPr="00EF3F1E">
        <w:rPr>
          <w:rFonts w:ascii="Verdana" w:eastAsia="Geomanist Light" w:hAnsi="Verdana" w:cs="Arial"/>
          <w:color w:val="000000" w:themeColor="text1"/>
          <w:lang w:val="es-MX"/>
        </w:rPr>
        <w:t xml:space="preserve">Bogotá D.C., 24 de </w:t>
      </w:r>
      <w:proofErr w:type="gramStart"/>
      <w:r w:rsidRPr="00EF3F1E">
        <w:rPr>
          <w:rFonts w:ascii="Verdana" w:eastAsia="Geomanist Light" w:hAnsi="Verdana" w:cs="Arial"/>
          <w:color w:val="000000" w:themeColor="text1"/>
          <w:lang w:val="es-MX"/>
        </w:rPr>
        <w:t>Septiembre</w:t>
      </w:r>
      <w:proofErr w:type="gramEnd"/>
      <w:r w:rsidRPr="00EF3F1E">
        <w:rPr>
          <w:rFonts w:ascii="Verdana" w:eastAsia="Geomanist Light" w:hAnsi="Verdana" w:cs="Arial"/>
          <w:color w:val="000000" w:themeColor="text1"/>
          <w:lang w:val="es-MX"/>
        </w:rPr>
        <w:t xml:space="preserve"> de</w:t>
      </w:r>
      <w:r>
        <w:rPr>
          <w:rFonts w:ascii="Verdana" w:eastAsia="Geomanist Light" w:hAnsi="Verdana" w:cs="Arial"/>
          <w:color w:val="000000" w:themeColor="text1"/>
          <w:lang w:val="es-MX"/>
        </w:rPr>
        <w:t xml:space="preserve"> </w:t>
      </w:r>
      <w:r w:rsidRPr="00EF3F1E">
        <w:rPr>
          <w:rFonts w:ascii="Verdana" w:eastAsia="Geomanist Light" w:hAnsi="Verdana" w:cs="Arial"/>
          <w:color w:val="000000" w:themeColor="text1"/>
          <w:lang w:val="es-MX"/>
        </w:rPr>
        <w:t>2024</w:t>
      </w:r>
    </w:p>
    <w:p w14:paraId="37D62C28" w14:textId="77777777" w:rsidR="009D16CB" w:rsidRPr="00115E3D" w:rsidRDefault="009D16CB" w:rsidP="009D16CB">
      <w:pPr>
        <w:spacing w:after="0" w:line="240" w:lineRule="auto"/>
        <w:jc w:val="both"/>
        <w:rPr>
          <w:rFonts w:ascii="Verdana" w:eastAsia="Calibri" w:hAnsi="Verdana" w:cs="Arial"/>
          <w:color w:val="000000" w:themeColor="text1"/>
          <w:lang w:val="es-ES"/>
        </w:rPr>
      </w:pPr>
    </w:p>
    <w:p w14:paraId="2E68D7D2" w14:textId="77777777" w:rsidR="009D16CB" w:rsidRPr="00115E3D" w:rsidRDefault="009D16CB" w:rsidP="009D16CB">
      <w:pPr>
        <w:spacing w:after="0" w:line="240"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Señor</w:t>
      </w:r>
    </w:p>
    <w:p w14:paraId="072C4C3D" w14:textId="4048B129" w:rsidR="009D16CB" w:rsidRDefault="00F61433" w:rsidP="009D16CB">
      <w:pPr>
        <w:spacing w:after="0" w:line="240" w:lineRule="auto"/>
        <w:rPr>
          <w:rFonts w:ascii="Verdana" w:eastAsia="Calibri" w:hAnsi="Verdana" w:cs="Arial"/>
          <w:b/>
          <w:color w:val="000000" w:themeColor="text1"/>
          <w:lang w:val="es-ES_tradnl" w:eastAsia="es-ES_tradnl"/>
        </w:rPr>
      </w:pPr>
      <w:r w:rsidRPr="00F61433">
        <w:rPr>
          <w:rFonts w:ascii="Verdana" w:eastAsia="Calibri" w:hAnsi="Verdana" w:cs="Arial"/>
          <w:b/>
          <w:bCs/>
          <w:noProof/>
          <w:color w:val="000000" w:themeColor="text1"/>
          <w:lang w:val="es-ES_tradnl" w:eastAsia="es-ES_tradnl"/>
        </w:rPr>
        <w:drawing>
          <wp:anchor distT="0" distB="0" distL="114300" distR="114300" simplePos="0" relativeHeight="251658240" behindDoc="1" locked="0" layoutInCell="1" allowOverlap="1" wp14:anchorId="12952567" wp14:editId="4454B915">
            <wp:simplePos x="0" y="0"/>
            <wp:positionH relativeFrom="column">
              <wp:posOffset>3594223</wp:posOffset>
            </wp:positionH>
            <wp:positionV relativeFrom="paragraph">
              <wp:posOffset>132734</wp:posOffset>
            </wp:positionV>
            <wp:extent cx="2300994" cy="660799"/>
            <wp:effectExtent l="0" t="0" r="4445" b="6350"/>
            <wp:wrapNone/>
            <wp:docPr id="43677624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776245" name="Imagen 1" descr="Texto&#10;&#10;Descripción generada automáticamente"/>
                    <pic:cNvPicPr/>
                  </pic:nvPicPr>
                  <pic:blipFill>
                    <a:blip r:embed="rId7">
                      <a:extLst>
                        <a:ext uri="{28A0092B-C50C-407E-A947-70E740481C1C}">
                          <a14:useLocalDpi xmlns:a14="http://schemas.microsoft.com/office/drawing/2010/main" val="0"/>
                        </a:ext>
                      </a:extLst>
                    </a:blip>
                    <a:stretch>
                      <a:fillRect/>
                    </a:stretch>
                  </pic:blipFill>
                  <pic:spPr>
                    <a:xfrm>
                      <a:off x="0" y="0"/>
                      <a:ext cx="2309541" cy="663253"/>
                    </a:xfrm>
                    <a:prstGeom prst="rect">
                      <a:avLst/>
                    </a:prstGeom>
                  </pic:spPr>
                </pic:pic>
              </a:graphicData>
            </a:graphic>
            <wp14:sizeRelH relativeFrom="margin">
              <wp14:pctWidth>0</wp14:pctWidth>
            </wp14:sizeRelH>
            <wp14:sizeRelV relativeFrom="margin">
              <wp14:pctHeight>0</wp14:pctHeight>
            </wp14:sizeRelV>
          </wp:anchor>
        </w:drawing>
      </w:r>
      <w:r w:rsidR="009D16CB" w:rsidRPr="00595B60">
        <w:rPr>
          <w:rFonts w:ascii="Verdana" w:eastAsia="Calibri" w:hAnsi="Verdana" w:cs="Arial"/>
          <w:b/>
          <w:color w:val="000000" w:themeColor="text1"/>
          <w:lang w:val="es-ES_tradnl" w:eastAsia="es-ES_tradnl"/>
        </w:rPr>
        <w:t>DIEGO ALEJANDRO RODRIGUEZ GORDILLO</w:t>
      </w:r>
    </w:p>
    <w:p w14:paraId="4975756F" w14:textId="7D0A8BCD" w:rsidR="009D16CB" w:rsidRDefault="009D16CB" w:rsidP="009D16CB">
      <w:pPr>
        <w:spacing w:after="0" w:line="240" w:lineRule="auto"/>
      </w:pPr>
      <w:hyperlink r:id="rId8" w:history="1">
        <w:r w:rsidRPr="00A17740">
          <w:rPr>
            <w:rStyle w:val="Hipervnculo"/>
          </w:rPr>
          <w:t>diegoalejandrorodriguez39@gmail.com</w:t>
        </w:r>
      </w:hyperlink>
    </w:p>
    <w:p w14:paraId="3A2702C9" w14:textId="7D3DA0A4" w:rsidR="009D16CB" w:rsidRPr="00115E3D" w:rsidRDefault="009D16CB" w:rsidP="009D16CB">
      <w:pPr>
        <w:spacing w:after="0" w:line="240" w:lineRule="auto"/>
        <w:rPr>
          <w:rFonts w:ascii="Verdana" w:eastAsia="Calibri" w:hAnsi="Verdana" w:cs="Arial"/>
          <w:b/>
          <w:bCs/>
          <w:color w:val="000000" w:themeColor="text1"/>
          <w:lang w:val="es-ES" w:eastAsia="es-ES"/>
        </w:rPr>
      </w:pPr>
      <w:r>
        <w:rPr>
          <w:rFonts w:ascii="Verdana" w:eastAsia="Calibri" w:hAnsi="Verdana" w:cs="Arial"/>
          <w:color w:val="000000" w:themeColor="text1"/>
          <w:lang w:val="es-ES" w:eastAsia="es-ES"/>
        </w:rPr>
        <w:t>Bogotá, D.C</w:t>
      </w:r>
    </w:p>
    <w:p w14:paraId="05A29C3C" w14:textId="74B60C76" w:rsidR="009D16CB" w:rsidRPr="00115E3D" w:rsidRDefault="009D16CB" w:rsidP="009D16CB">
      <w:pPr>
        <w:spacing w:after="0" w:line="240" w:lineRule="auto"/>
        <w:rPr>
          <w:rFonts w:ascii="Verdana" w:eastAsia="Calibri" w:hAnsi="Verdana" w:cs="Arial"/>
          <w:b/>
          <w:bCs/>
          <w:color w:val="000000" w:themeColor="text1"/>
          <w:lang w:val="es-ES_tradnl" w:eastAsia="es-ES_tradnl"/>
        </w:rPr>
      </w:pPr>
    </w:p>
    <w:p w14:paraId="4A505AA6" w14:textId="77777777" w:rsidR="009D16CB" w:rsidRPr="00115E3D" w:rsidRDefault="009D16CB" w:rsidP="009D16CB">
      <w:pPr>
        <w:spacing w:after="0" w:line="240" w:lineRule="auto"/>
        <w:rPr>
          <w:rFonts w:ascii="Verdana" w:eastAsia="Calibri" w:hAnsi="Verdana" w:cs="Arial"/>
          <w:b/>
          <w:bCs/>
          <w:color w:val="000000" w:themeColor="text1"/>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D16CB" w:rsidRPr="00115E3D" w14:paraId="47E0C6DF" w14:textId="77777777" w:rsidTr="00F62388">
        <w:trPr>
          <w:trHeight w:val="884"/>
        </w:trPr>
        <w:tc>
          <w:tcPr>
            <w:tcW w:w="2689" w:type="dxa"/>
          </w:tcPr>
          <w:p w14:paraId="07B27CA2" w14:textId="77777777" w:rsidR="009D16CB" w:rsidRPr="00115E3D" w:rsidRDefault="009D16CB" w:rsidP="00F62388">
            <w:pPr>
              <w:jc w:val="both"/>
              <w:rPr>
                <w:rFonts w:ascii="Verdana" w:eastAsia="Calibri" w:hAnsi="Verdana" w:cs="Arial"/>
                <w:b/>
                <w:bCs/>
                <w:color w:val="000000" w:themeColor="text1"/>
                <w:lang w:val="es-ES_tradnl" w:eastAsia="es-ES_tradnl"/>
              </w:rPr>
            </w:pPr>
          </w:p>
        </w:tc>
        <w:tc>
          <w:tcPr>
            <w:tcW w:w="6100" w:type="dxa"/>
          </w:tcPr>
          <w:p w14:paraId="6563FCA9" w14:textId="77777777" w:rsidR="009D16CB" w:rsidRPr="00115E3D" w:rsidRDefault="009D16CB" w:rsidP="00F62388">
            <w:pPr>
              <w:jc w:val="both"/>
              <w:rPr>
                <w:rFonts w:ascii="Verdana" w:eastAsia="Calibri" w:hAnsi="Verdana" w:cs="Arial"/>
                <w:b/>
                <w:bCs/>
                <w:color w:val="000000" w:themeColor="text1"/>
                <w:lang w:val="es-ES" w:eastAsia="es-ES"/>
              </w:rPr>
            </w:pPr>
            <w:r w:rsidRPr="00115E3D">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473</w:t>
            </w:r>
            <w:r w:rsidRPr="00115E3D">
              <w:rPr>
                <w:rFonts w:ascii="Verdana" w:eastAsia="Calibri" w:hAnsi="Verdana" w:cs="Arial"/>
                <w:b/>
                <w:bCs/>
                <w:color w:val="000000" w:themeColor="text1"/>
                <w:lang w:val="es-ES" w:eastAsia="es-ES"/>
              </w:rPr>
              <w:t xml:space="preserve"> de 2024</w:t>
            </w:r>
          </w:p>
        </w:tc>
      </w:tr>
      <w:tr w:rsidR="009D16CB" w:rsidRPr="00115E3D" w14:paraId="0BF0D245" w14:textId="77777777" w:rsidTr="00F62388">
        <w:trPr>
          <w:trHeight w:val="884"/>
        </w:trPr>
        <w:tc>
          <w:tcPr>
            <w:tcW w:w="2689" w:type="dxa"/>
          </w:tcPr>
          <w:p w14:paraId="153A2CEF" w14:textId="77777777" w:rsidR="009D16CB" w:rsidRPr="00115E3D" w:rsidRDefault="009D16CB" w:rsidP="00F62388">
            <w:pPr>
              <w:jc w:val="both"/>
              <w:rPr>
                <w:rFonts w:ascii="Verdana" w:eastAsia="Calibri" w:hAnsi="Verdana" w:cs="Arial"/>
                <w:color w:val="000000" w:themeColor="text1"/>
                <w:lang w:val="es-ES_tradnl" w:eastAsia="es-ES_tradnl"/>
              </w:rPr>
            </w:pPr>
            <w:r w:rsidRPr="00115E3D">
              <w:rPr>
                <w:rFonts w:ascii="Verdana" w:eastAsia="Calibri" w:hAnsi="Verdana" w:cs="Arial"/>
                <w:b/>
                <w:color w:val="000000" w:themeColor="text1"/>
                <w:lang w:val="es-ES_tradnl" w:eastAsia="es-ES_tradnl"/>
              </w:rPr>
              <w:t>Temas:</w:t>
            </w:r>
            <w:r w:rsidRPr="00115E3D">
              <w:rPr>
                <w:rFonts w:ascii="Verdana" w:eastAsia="Calibri" w:hAnsi="Verdana" w:cs="Arial"/>
                <w:color w:val="000000" w:themeColor="text1"/>
                <w:lang w:val="es-ES_tradnl" w:eastAsia="es-ES_tradnl"/>
              </w:rPr>
              <w:t xml:space="preserve">                   </w:t>
            </w:r>
          </w:p>
        </w:tc>
        <w:tc>
          <w:tcPr>
            <w:tcW w:w="6100" w:type="dxa"/>
          </w:tcPr>
          <w:p w14:paraId="73DA9115" w14:textId="77777777" w:rsidR="009D16CB" w:rsidRDefault="009D16CB" w:rsidP="00F62388">
            <w:pPr>
              <w:spacing w:line="276" w:lineRule="auto"/>
              <w:jc w:val="both"/>
              <w:rPr>
                <w:rFonts w:ascii="Verdana" w:eastAsia="Calibri" w:hAnsi="Verdana" w:cs="Arial"/>
                <w:color w:val="000000" w:themeColor="text1"/>
                <w:lang w:val="es-ES" w:eastAsia="es-ES"/>
              </w:rPr>
            </w:pPr>
            <w:r w:rsidRPr="00E26368">
              <w:rPr>
                <w:rFonts w:ascii="Verdana" w:eastAsia="Calibri" w:hAnsi="Verdana" w:cs="Arial"/>
                <w:lang w:eastAsia="es-ES"/>
              </w:rPr>
              <w:t>CESIÓN DEL CONTRATO ESTATAL – Noción</w:t>
            </w:r>
            <w:r>
              <w:rPr>
                <w:rFonts w:ascii="Verdana" w:eastAsia="Calibri" w:hAnsi="Verdana" w:cs="Arial"/>
                <w:lang w:eastAsia="es-ES"/>
              </w:rPr>
              <w:t xml:space="preserve"> </w:t>
            </w:r>
            <w:r w:rsidRPr="00E26368">
              <w:rPr>
                <w:rFonts w:ascii="Verdana" w:eastAsia="Calibri" w:hAnsi="Verdana" w:cs="Arial"/>
                <w:lang w:eastAsia="es-ES"/>
              </w:rPr>
              <w:t>– Requisitos – Restricciones</w:t>
            </w:r>
            <w:r w:rsidRPr="0050095A">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 CAPACIDAD JURÍDICA – Generalidades</w:t>
            </w:r>
          </w:p>
          <w:p w14:paraId="22FCBEAD" w14:textId="77777777" w:rsidR="009D16CB" w:rsidRDefault="009D16CB" w:rsidP="00F62388">
            <w:pPr>
              <w:spacing w:line="276" w:lineRule="auto"/>
              <w:jc w:val="both"/>
              <w:rPr>
                <w:rFonts w:ascii="Verdana" w:eastAsia="Calibri" w:hAnsi="Verdana" w:cs="Arial"/>
                <w:color w:val="000000" w:themeColor="text1"/>
                <w:lang w:val="es-ES" w:eastAsia="es-ES"/>
              </w:rPr>
            </w:pPr>
          </w:p>
          <w:p w14:paraId="552BC9FD" w14:textId="77777777" w:rsidR="009D16CB" w:rsidRPr="0050095A" w:rsidRDefault="009D16CB" w:rsidP="00F62388">
            <w:pPr>
              <w:spacing w:line="276" w:lineRule="auto"/>
              <w:jc w:val="both"/>
              <w:rPr>
                <w:rFonts w:ascii="Verdana" w:eastAsia="Calibri" w:hAnsi="Verdana" w:cs="Arial"/>
                <w:color w:val="000000" w:themeColor="text1"/>
                <w:lang w:val="es-ES" w:eastAsia="es-ES"/>
              </w:rPr>
            </w:pPr>
          </w:p>
        </w:tc>
      </w:tr>
      <w:tr w:rsidR="009D16CB" w:rsidRPr="00115E3D" w14:paraId="47D2F11A" w14:textId="77777777" w:rsidTr="00F62388">
        <w:tc>
          <w:tcPr>
            <w:tcW w:w="2689" w:type="dxa"/>
          </w:tcPr>
          <w:p w14:paraId="30BF4F00" w14:textId="77777777" w:rsidR="009D16CB" w:rsidRPr="00115E3D" w:rsidRDefault="009D16CB" w:rsidP="00F62388">
            <w:pPr>
              <w:jc w:val="both"/>
              <w:rPr>
                <w:rFonts w:ascii="Verdana" w:eastAsia="Calibri" w:hAnsi="Verdana" w:cs="Arial"/>
                <w:b/>
                <w:color w:val="000000" w:themeColor="text1"/>
                <w:lang w:val="es-ES_tradnl" w:eastAsia="es-ES_tradnl"/>
              </w:rPr>
            </w:pPr>
            <w:r w:rsidRPr="00115E3D">
              <w:rPr>
                <w:rFonts w:ascii="Verdana" w:eastAsia="Calibri" w:hAnsi="Verdana" w:cs="Arial"/>
                <w:b/>
                <w:color w:val="000000" w:themeColor="text1"/>
                <w:lang w:val="es-ES_tradnl" w:eastAsia="es-ES_tradnl"/>
              </w:rPr>
              <w:t>Radicación:</w:t>
            </w:r>
            <w:r w:rsidRPr="00115E3D">
              <w:rPr>
                <w:rFonts w:ascii="Verdana" w:eastAsia="Calibri" w:hAnsi="Verdana" w:cs="Arial"/>
                <w:color w:val="000000" w:themeColor="text1"/>
                <w:lang w:val="es-ES_tradnl" w:eastAsia="es-ES_tradnl"/>
              </w:rPr>
              <w:t xml:space="preserve">               </w:t>
            </w:r>
          </w:p>
        </w:tc>
        <w:tc>
          <w:tcPr>
            <w:tcW w:w="6100" w:type="dxa"/>
          </w:tcPr>
          <w:p w14:paraId="364673BD" w14:textId="77777777" w:rsidR="009D16CB" w:rsidRPr="00115E3D" w:rsidRDefault="009D16CB" w:rsidP="00F62388">
            <w:pPr>
              <w:jc w:val="both"/>
              <w:rPr>
                <w:rFonts w:ascii="Verdana" w:eastAsia="Calibri" w:hAnsi="Verdana" w:cs="Arial"/>
                <w:color w:val="000000" w:themeColor="text1"/>
                <w:lang w:val="es-ES_tradnl" w:eastAsia="es-ES_tradnl"/>
              </w:rPr>
            </w:pPr>
            <w:r w:rsidRPr="00115E3D">
              <w:rPr>
                <w:rFonts w:ascii="Verdana" w:eastAsia="Calibri" w:hAnsi="Verdana" w:cs="Arial"/>
                <w:color w:val="000000" w:themeColor="text1"/>
                <w:lang w:val="es-ES_tradnl" w:eastAsia="es-ES_tradnl"/>
              </w:rPr>
              <w:t xml:space="preserve">Respuesta a consulta con radicado No. </w:t>
            </w:r>
            <w:r w:rsidRPr="00E81A5F">
              <w:rPr>
                <w:rFonts w:ascii="Verdana" w:eastAsia="Calibri" w:hAnsi="Verdana" w:cs="Arial"/>
                <w:lang w:val="es-ES_tradnl" w:eastAsia="es-ES_tradnl"/>
              </w:rPr>
              <w:t>P20240812008225</w:t>
            </w:r>
          </w:p>
        </w:tc>
      </w:tr>
    </w:tbl>
    <w:p w14:paraId="02784B50" w14:textId="77777777" w:rsidR="009D16CB" w:rsidRPr="00115E3D" w:rsidRDefault="009D16CB" w:rsidP="009D16CB">
      <w:pPr>
        <w:spacing w:after="0" w:line="240" w:lineRule="auto"/>
        <w:jc w:val="both"/>
        <w:rPr>
          <w:rFonts w:ascii="Verdana" w:eastAsia="Calibri" w:hAnsi="Verdana" w:cs="Arial"/>
          <w:color w:val="000000" w:themeColor="text1"/>
          <w:lang w:val="es-ES_tradnl" w:eastAsia="es-ES_tradnl"/>
        </w:rPr>
      </w:pPr>
    </w:p>
    <w:p w14:paraId="5BEDFFDF" w14:textId="77777777" w:rsidR="009D16CB" w:rsidRPr="00115E3D" w:rsidRDefault="009D16CB" w:rsidP="009D16CB">
      <w:pPr>
        <w:spacing w:after="0" w:line="240" w:lineRule="auto"/>
        <w:jc w:val="both"/>
        <w:rPr>
          <w:rFonts w:ascii="Verdana" w:eastAsia="Calibri" w:hAnsi="Verdana" w:cs="Arial"/>
          <w:color w:val="000000" w:themeColor="text1"/>
          <w:lang w:val="es-ES_tradnl" w:eastAsia="es-ES_tradnl"/>
        </w:rPr>
      </w:pPr>
    </w:p>
    <w:p w14:paraId="547DF69D" w14:textId="77777777" w:rsidR="009D16CB" w:rsidRPr="00115E3D" w:rsidRDefault="009D16CB" w:rsidP="009D16CB">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o</w:t>
      </w:r>
      <w:r w:rsidRPr="00115E3D">
        <w:rPr>
          <w:rFonts w:ascii="Verdana" w:eastAsia="Calibri" w:hAnsi="Verdana" w:cs="Arial"/>
          <w:color w:val="000000" w:themeColor="text1"/>
          <w:lang w:val="es-ES" w:eastAsia="es-ES"/>
        </w:rPr>
        <w:t xml:space="preserve"> seño</w:t>
      </w:r>
      <w:r>
        <w:rPr>
          <w:rFonts w:ascii="Verdana" w:eastAsia="Calibri" w:hAnsi="Verdana" w:cs="Arial"/>
          <w:color w:val="000000" w:themeColor="text1"/>
          <w:lang w:val="es-ES" w:eastAsia="es-ES"/>
        </w:rPr>
        <w:t>r Rodríguez</w:t>
      </w:r>
      <w:r w:rsidRPr="00115E3D">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 xml:space="preserve"> </w:t>
      </w:r>
    </w:p>
    <w:p w14:paraId="7F6AC564" w14:textId="77777777" w:rsidR="009D16CB" w:rsidRPr="00115E3D" w:rsidRDefault="009D16CB" w:rsidP="009D16CB">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3E237DCC" w14:textId="77777777" w:rsidR="009D16CB" w:rsidRDefault="009D16CB" w:rsidP="009D16CB">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12 de agosto</w:t>
      </w:r>
      <w:r w:rsidRPr="00115E3D">
        <w:rPr>
          <w:rFonts w:ascii="Verdana" w:eastAsia="Calibri" w:hAnsi="Verdana" w:cs="Arial"/>
          <w:color w:val="000000" w:themeColor="text1"/>
          <w:lang w:val="es-ES" w:eastAsia="es-ES"/>
        </w:rPr>
        <w:t xml:space="preserve"> de 20</w:t>
      </w:r>
      <w:r>
        <w:rPr>
          <w:rFonts w:ascii="Verdana" w:eastAsia="Calibri" w:hAnsi="Verdana" w:cs="Arial"/>
          <w:color w:val="000000" w:themeColor="text1"/>
          <w:lang w:val="es-ES" w:eastAsia="es-ES"/>
        </w:rPr>
        <w:t>24</w:t>
      </w:r>
      <w:r w:rsidRPr="00115E3D">
        <w:rPr>
          <w:rFonts w:ascii="Verdana" w:eastAsia="Calibri" w:hAnsi="Verdana" w:cs="Arial"/>
          <w:color w:val="000000" w:themeColor="text1"/>
          <w:lang w:val="es-ES" w:eastAsia="es-ES"/>
        </w:rPr>
        <w:t xml:space="preserve">, en la cual manifiesta lo siguiente: </w:t>
      </w:r>
    </w:p>
    <w:p w14:paraId="729DC74F" w14:textId="77777777" w:rsidR="009D16CB" w:rsidRPr="00934C26" w:rsidRDefault="009D16CB" w:rsidP="009D16CB">
      <w:pPr>
        <w:spacing w:after="0" w:line="276" w:lineRule="auto"/>
        <w:jc w:val="both"/>
        <w:rPr>
          <w:rFonts w:ascii="Verdana" w:eastAsia="Calibri" w:hAnsi="Verdana" w:cs="Arial"/>
          <w:color w:val="000000" w:themeColor="text1"/>
          <w:lang w:val="es-ES" w:eastAsia="es-ES"/>
        </w:rPr>
      </w:pPr>
    </w:p>
    <w:p w14:paraId="29F4177D" w14:textId="77777777" w:rsidR="009D16CB" w:rsidRPr="00312696" w:rsidRDefault="009D16CB" w:rsidP="009D16CB">
      <w:pPr>
        <w:spacing w:after="0" w:line="240" w:lineRule="auto"/>
        <w:ind w:left="709" w:right="709"/>
        <w:jc w:val="both"/>
        <w:rPr>
          <w:rFonts w:ascii="Verdana" w:eastAsia="Century Gothic" w:hAnsi="Verdana" w:cs="Century Gothic"/>
          <w:i/>
          <w:iCs/>
          <w:color w:val="000000" w:themeColor="text1"/>
          <w:sz w:val="20"/>
          <w:szCs w:val="20"/>
          <w:lang w:val="es-ES"/>
        </w:rPr>
      </w:pPr>
      <w:bookmarkStart w:id="0" w:name="_Hlk177060891"/>
      <w:r>
        <w:rPr>
          <w:rFonts w:ascii="Verdana" w:eastAsia="Century Gothic" w:hAnsi="Verdana" w:cs="Century Gothic"/>
          <w:i/>
          <w:iCs/>
          <w:color w:val="000000" w:themeColor="text1"/>
          <w:sz w:val="20"/>
          <w:szCs w:val="20"/>
        </w:rPr>
        <w:t>“</w:t>
      </w:r>
      <w:proofErr w:type="gramStart"/>
      <w:r w:rsidRPr="00E52E8F">
        <w:rPr>
          <w:rFonts w:ascii="Verdana" w:eastAsia="Century Gothic" w:hAnsi="Verdana" w:cs="Century Gothic"/>
          <w:i/>
          <w:iCs/>
          <w:color w:val="000000" w:themeColor="text1"/>
          <w:sz w:val="20"/>
          <w:szCs w:val="20"/>
        </w:rPr>
        <w:t>Yo siendo Contratista (persona natural)</w:t>
      </w:r>
      <w:r>
        <w:rPr>
          <w:rFonts w:ascii="Verdana" w:eastAsia="Century Gothic" w:hAnsi="Verdana" w:cs="Century Gothic"/>
          <w:i/>
          <w:iCs/>
          <w:color w:val="000000" w:themeColor="text1"/>
          <w:sz w:val="20"/>
          <w:szCs w:val="20"/>
        </w:rPr>
        <w:t xml:space="preserve"> </w:t>
      </w:r>
      <w:r w:rsidRPr="00E52E8F">
        <w:rPr>
          <w:rFonts w:ascii="Verdana" w:eastAsia="Century Gothic" w:hAnsi="Verdana" w:cs="Century Gothic"/>
          <w:i/>
          <w:iCs/>
          <w:color w:val="000000" w:themeColor="text1"/>
          <w:sz w:val="20"/>
          <w:szCs w:val="20"/>
        </w:rPr>
        <w:t>de una entidad pública, puedo ceder mi contrato a mi empresa (persona jurídica)?</w:t>
      </w:r>
      <w:proofErr w:type="gramEnd"/>
      <w:r w:rsidRPr="00E52E8F">
        <w:rPr>
          <w:rFonts w:ascii="Verdana" w:eastAsia="Century Gothic" w:hAnsi="Verdana" w:cs="Century Gothic"/>
          <w:i/>
          <w:iCs/>
          <w:color w:val="000000" w:themeColor="text1"/>
          <w:sz w:val="20"/>
          <w:szCs w:val="20"/>
        </w:rPr>
        <w:t xml:space="preserve"> O debe configurarse terminación </w:t>
      </w:r>
      <w:proofErr w:type="gramStart"/>
      <w:r w:rsidRPr="00E52E8F">
        <w:rPr>
          <w:rFonts w:ascii="Verdana" w:eastAsia="Century Gothic" w:hAnsi="Verdana" w:cs="Century Gothic"/>
          <w:i/>
          <w:iCs/>
          <w:color w:val="000000" w:themeColor="text1"/>
          <w:sz w:val="20"/>
          <w:szCs w:val="20"/>
        </w:rPr>
        <w:t>anticipada ?</w:t>
      </w:r>
      <w:proofErr w:type="gramEnd"/>
      <w:r w:rsidRPr="00E52E8F">
        <w:rPr>
          <w:rFonts w:ascii="Verdana" w:eastAsia="Century Gothic" w:hAnsi="Verdana" w:cs="Century Gothic"/>
          <w:i/>
          <w:iCs/>
          <w:color w:val="000000" w:themeColor="text1"/>
          <w:sz w:val="20"/>
          <w:szCs w:val="20"/>
        </w:rPr>
        <w:t xml:space="preserve"> </w:t>
      </w:r>
      <w:proofErr w:type="gramStart"/>
      <w:r>
        <w:rPr>
          <w:rFonts w:ascii="Verdana" w:eastAsia="Century Gothic" w:hAnsi="Verdana" w:cs="Century Gothic"/>
          <w:i/>
          <w:iCs/>
          <w:color w:val="000000" w:themeColor="text1"/>
          <w:sz w:val="20"/>
          <w:szCs w:val="20"/>
        </w:rPr>
        <w:t>“</w:t>
      </w:r>
      <w:r w:rsidRPr="00312696">
        <w:rPr>
          <w:rFonts w:ascii="Verdana" w:eastAsia="Century Gothic" w:hAnsi="Verdana" w:cs="Century Gothic"/>
          <w:i/>
          <w:iCs/>
          <w:color w:val="000000" w:themeColor="text1"/>
          <w:sz w:val="20"/>
          <w:szCs w:val="20"/>
          <w:lang w:val="es-ES"/>
        </w:rPr>
        <w:t xml:space="preserve"> (</w:t>
      </w:r>
      <w:proofErr w:type="gramEnd"/>
      <w:r w:rsidRPr="00312696">
        <w:rPr>
          <w:rFonts w:ascii="Verdana" w:eastAsia="Century Gothic" w:hAnsi="Verdana" w:cs="Century Gothic"/>
          <w:i/>
          <w:iCs/>
          <w:color w:val="000000" w:themeColor="text1"/>
          <w:sz w:val="20"/>
          <w:szCs w:val="20"/>
          <w:lang w:val="es-ES"/>
        </w:rPr>
        <w:t>SIC)</w:t>
      </w:r>
    </w:p>
    <w:bookmarkEnd w:id="0"/>
    <w:p w14:paraId="1435DE92" w14:textId="77777777" w:rsidR="009D16CB" w:rsidRPr="00312696" w:rsidRDefault="009D16CB" w:rsidP="009D16CB">
      <w:pPr>
        <w:spacing w:after="0" w:line="276" w:lineRule="auto"/>
        <w:jc w:val="both"/>
        <w:rPr>
          <w:rFonts w:ascii="Verdana" w:eastAsia="Century Gothic" w:hAnsi="Verdana" w:cs="Century Gothic"/>
          <w:i/>
          <w:color w:val="000000" w:themeColor="text1"/>
          <w:sz w:val="20"/>
          <w:szCs w:val="20"/>
          <w:lang w:val="es-ES"/>
        </w:rPr>
      </w:pPr>
    </w:p>
    <w:p w14:paraId="71A83771" w14:textId="77777777" w:rsidR="009D16CB" w:rsidRPr="00115E3D" w:rsidRDefault="009D16CB" w:rsidP="009D16CB">
      <w:pPr>
        <w:spacing w:after="120" w:line="276" w:lineRule="auto"/>
        <w:ind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115E3D">
        <w:rPr>
          <w:rFonts w:ascii="Verdana" w:eastAsia="Calibri" w:hAnsi="Verdana" w:cs="Arial"/>
          <w:color w:val="000000" w:themeColor="text1"/>
          <w:lang w:val="es-ES"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5D63D0ED" w14:textId="77777777" w:rsidR="009D16CB" w:rsidRPr="00115E3D" w:rsidRDefault="009D16CB" w:rsidP="009D16CB">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Arial"/>
          <w:color w:val="000000" w:themeColor="text1"/>
          <w:lang w:val="es-ES" w:eastAsia="es-ES"/>
        </w:rPr>
        <w:t>los</w:t>
      </w:r>
      <w:r w:rsidRPr="00115E3D">
        <w:rPr>
          <w:rFonts w:ascii="Verdana" w:eastAsia="Calibri" w:hAnsi="Verdana" w:cs="Arial"/>
          <w:color w:val="000000" w:themeColor="text1"/>
          <w:lang w:val="es-ES" w:eastAsia="es-ES"/>
        </w:rPr>
        <w:t xml:space="preserve"> problema</w:t>
      </w:r>
      <w:r>
        <w:rPr>
          <w:rFonts w:ascii="Verdana" w:eastAsia="Calibri" w:hAnsi="Verdana" w:cs="Arial"/>
          <w:color w:val="000000" w:themeColor="text1"/>
          <w:lang w:val="es-ES" w:eastAsia="es-ES"/>
        </w:rPr>
        <w:t>s</w:t>
      </w:r>
      <w:r w:rsidRPr="00115E3D">
        <w:rPr>
          <w:rFonts w:ascii="Verdana" w:eastAsia="Calibri" w:hAnsi="Verdana" w:cs="Arial"/>
          <w:color w:val="000000" w:themeColor="text1"/>
          <w:lang w:val="es-ES" w:eastAsia="es-ES"/>
        </w:rPr>
        <w:t xml:space="preserve"> jurídico de su consulta. </w:t>
      </w:r>
    </w:p>
    <w:p w14:paraId="5952FD12" w14:textId="77777777" w:rsidR="009D16CB" w:rsidRPr="00115E3D" w:rsidRDefault="009D16CB" w:rsidP="009D16CB">
      <w:pPr>
        <w:spacing w:after="0" w:line="276" w:lineRule="auto"/>
        <w:ind w:firstLine="709"/>
        <w:jc w:val="both"/>
        <w:rPr>
          <w:rFonts w:ascii="Verdana" w:eastAsia="Calibri" w:hAnsi="Verdana" w:cs="Arial"/>
          <w:color w:val="000000" w:themeColor="text1"/>
          <w:lang w:val="es-ES" w:eastAsia="es-ES"/>
        </w:rPr>
      </w:pPr>
    </w:p>
    <w:p w14:paraId="5FC387BC" w14:textId="77777777" w:rsidR="009D16CB" w:rsidRPr="00115E3D" w:rsidRDefault="009D16CB" w:rsidP="009D16CB">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6B3B1C39" w14:textId="77777777" w:rsidR="009D16CB" w:rsidRPr="00115E3D" w:rsidRDefault="009D16CB" w:rsidP="009D16CB">
      <w:pPr>
        <w:tabs>
          <w:tab w:val="left" w:pos="426"/>
        </w:tabs>
        <w:spacing w:after="0" w:line="276" w:lineRule="auto"/>
        <w:jc w:val="both"/>
        <w:rPr>
          <w:rFonts w:ascii="Verdana" w:eastAsia="Century Gothic" w:hAnsi="Verdana" w:cs="Century Gothic"/>
          <w:color w:val="000000" w:themeColor="text1"/>
          <w:lang w:val="es-ES"/>
        </w:rPr>
      </w:pPr>
    </w:p>
    <w:p w14:paraId="55B6AA3F" w14:textId="77777777" w:rsidR="009D16CB" w:rsidRDefault="009D16CB" w:rsidP="009D16CB">
      <w:pPr>
        <w:spacing w:after="0" w:line="276" w:lineRule="auto"/>
        <w:jc w:val="both"/>
        <w:rPr>
          <w:rFonts w:ascii="Verdana" w:eastAsia="Century Gothic" w:hAnsi="Verdana" w:cs="Century Gothic"/>
          <w:color w:val="000000" w:themeColor="text1"/>
        </w:rPr>
      </w:pPr>
      <w:r w:rsidRPr="00115E3D">
        <w:rPr>
          <w:rFonts w:ascii="Verdana" w:eastAsia="Century Gothic" w:hAnsi="Verdana" w:cs="Century Gothic"/>
          <w:color w:val="000000" w:themeColor="text1"/>
        </w:rPr>
        <w:t xml:space="preserve">De acuerdo con el contenido de su solicitud, esta Agencia resolverá </w:t>
      </w:r>
      <w:r>
        <w:rPr>
          <w:rFonts w:ascii="Verdana" w:eastAsia="Century Gothic" w:hAnsi="Verdana" w:cs="Century Gothic"/>
          <w:color w:val="000000" w:themeColor="text1"/>
        </w:rPr>
        <w:t xml:space="preserve">el </w:t>
      </w:r>
      <w:r w:rsidRPr="00115E3D">
        <w:rPr>
          <w:rFonts w:ascii="Verdana" w:eastAsia="Century Gothic" w:hAnsi="Verdana" w:cs="Century Gothic"/>
          <w:color w:val="000000" w:themeColor="text1"/>
        </w:rPr>
        <w:t xml:space="preserve">siguiente problema jurídico: </w:t>
      </w:r>
    </w:p>
    <w:p w14:paraId="5BAE1052" w14:textId="77777777" w:rsidR="009D16CB" w:rsidRDefault="009D16CB" w:rsidP="009D16CB">
      <w:pPr>
        <w:spacing w:after="0" w:line="276" w:lineRule="auto"/>
        <w:jc w:val="both"/>
        <w:rPr>
          <w:rFonts w:ascii="Verdana" w:eastAsia="Century Gothic" w:hAnsi="Verdana" w:cs="Century Gothic"/>
          <w:color w:val="000000" w:themeColor="text1"/>
        </w:rPr>
      </w:pPr>
      <w:r w:rsidRPr="00115E3D">
        <w:rPr>
          <w:rFonts w:ascii="Verdana" w:eastAsia="Century Gothic" w:hAnsi="Verdana" w:cs="Century Gothic"/>
          <w:color w:val="000000" w:themeColor="text1"/>
        </w:rPr>
        <w:t xml:space="preserve"> </w:t>
      </w:r>
    </w:p>
    <w:p w14:paraId="3FB50709" w14:textId="77777777" w:rsidR="009D16CB" w:rsidRPr="0054097F" w:rsidRDefault="009D16CB" w:rsidP="009D16CB">
      <w:pPr>
        <w:spacing w:after="0" w:line="276" w:lineRule="auto"/>
        <w:contextualSpacing/>
        <w:jc w:val="both"/>
        <w:rPr>
          <w:rFonts w:ascii="Verdana" w:hAnsi="Verdana" w:cs="Arial"/>
          <w:lang w:val="es-ES_tradnl"/>
        </w:rPr>
      </w:pPr>
      <w:r w:rsidRPr="0054097F">
        <w:rPr>
          <w:rFonts w:ascii="Verdana" w:hAnsi="Verdana" w:cs="Arial"/>
        </w:rPr>
        <w:t>¿Puede una persona natural ceder un contrato con una Entidad Pública a una persona jurídica?</w:t>
      </w:r>
    </w:p>
    <w:p w14:paraId="1EDBB7AB" w14:textId="77777777" w:rsidR="009D16CB" w:rsidRPr="00573BAA" w:rsidRDefault="009D16CB" w:rsidP="009D16CB">
      <w:pPr>
        <w:spacing w:after="0" w:line="276" w:lineRule="auto"/>
        <w:jc w:val="both"/>
        <w:rPr>
          <w:rFonts w:ascii="Verdana" w:eastAsia="Calibri" w:hAnsi="Verdana" w:cs="Arial"/>
          <w:color w:val="000000" w:themeColor="text1"/>
        </w:rPr>
      </w:pPr>
    </w:p>
    <w:p w14:paraId="6E21D4F7" w14:textId="77777777" w:rsidR="009D16CB" w:rsidRPr="00115E3D" w:rsidRDefault="009D16CB" w:rsidP="009D16CB">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22F3EA43" w14:textId="77777777" w:rsidR="009D16CB" w:rsidRPr="00115E3D" w:rsidRDefault="009D16CB" w:rsidP="009D16CB">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D16CB" w:rsidRPr="00115E3D" w14:paraId="3D5B74DE" w14:textId="77777777" w:rsidTr="00F62388">
        <w:tc>
          <w:tcPr>
            <w:tcW w:w="8828" w:type="dxa"/>
            <w:shd w:val="clear" w:color="auto" w:fill="auto"/>
          </w:tcPr>
          <w:p w14:paraId="026EE0CA" w14:textId="77777777" w:rsidR="009D16CB" w:rsidRDefault="009D16CB" w:rsidP="00F62388">
            <w:pPr>
              <w:spacing w:after="120" w:line="276" w:lineRule="auto"/>
              <w:contextualSpacing/>
              <w:jc w:val="both"/>
              <w:rPr>
                <w:rFonts w:ascii="Verdana" w:hAnsi="Verdana" w:cs="Arial"/>
                <w:lang w:val="es-MX" w:eastAsia="es-MX"/>
              </w:rPr>
            </w:pPr>
            <w:r w:rsidRPr="0054097F">
              <w:rPr>
                <w:rFonts w:ascii="Verdana" w:hAnsi="Verdana" w:cs="Arial"/>
                <w:lang w:val="es-MX" w:eastAsia="es-MX"/>
              </w:rPr>
              <w:t xml:space="preserve">En términos estrictos, no existe una disposición legal que prohíba la cesión de un contrato de una persona natural a una persona jurídica. Sin embargo, es fundamental que dicha cesión cumpla con ciertos requisitos legales, especialmente en lo que respecta a la capacidad jurídica y la autorización de la </w:t>
            </w:r>
            <w:r>
              <w:rPr>
                <w:rFonts w:ascii="Verdana" w:hAnsi="Verdana" w:cs="Arial"/>
                <w:lang w:val="es-MX" w:eastAsia="es-MX"/>
              </w:rPr>
              <w:t>Entidad</w:t>
            </w:r>
            <w:r w:rsidRPr="0054097F">
              <w:rPr>
                <w:rFonts w:ascii="Verdana" w:hAnsi="Verdana" w:cs="Arial"/>
                <w:lang w:val="es-MX" w:eastAsia="es-MX"/>
              </w:rPr>
              <w:t xml:space="preserve"> Estatal co</w:t>
            </w:r>
            <w:r>
              <w:rPr>
                <w:rFonts w:ascii="Verdana" w:hAnsi="Verdana" w:cs="Arial"/>
                <w:lang w:val="es-MX" w:eastAsia="es-MX"/>
              </w:rPr>
              <w:t>ntratante</w:t>
            </w:r>
            <w:r w:rsidRPr="0054097F">
              <w:rPr>
                <w:rFonts w:ascii="Verdana" w:hAnsi="Verdana" w:cs="Arial"/>
                <w:lang w:val="es-MX" w:eastAsia="es-MX"/>
              </w:rPr>
              <w:t>.</w:t>
            </w:r>
          </w:p>
          <w:p w14:paraId="72B24DB1" w14:textId="77777777" w:rsidR="009D16CB" w:rsidRPr="007F47C4" w:rsidRDefault="009D16CB" w:rsidP="00F62388">
            <w:pPr>
              <w:spacing w:after="120" w:line="276" w:lineRule="auto"/>
              <w:ind w:firstLine="709"/>
              <w:contextualSpacing/>
              <w:jc w:val="both"/>
              <w:rPr>
                <w:rFonts w:ascii="Verdana" w:hAnsi="Verdana"/>
                <w:lang w:val="es-MX"/>
              </w:rPr>
            </w:pPr>
            <w:r w:rsidRPr="0054097F">
              <w:rPr>
                <w:rFonts w:ascii="Verdana" w:hAnsi="Verdana" w:cs="Arial"/>
                <w:lang w:val="es-MX" w:eastAsia="es-MX"/>
              </w:rPr>
              <w:t xml:space="preserve">La </w:t>
            </w:r>
            <w:r>
              <w:rPr>
                <w:rFonts w:ascii="Verdana" w:hAnsi="Verdana" w:cs="Arial"/>
                <w:lang w:val="es-MX" w:eastAsia="es-MX"/>
              </w:rPr>
              <w:t>Entidad</w:t>
            </w:r>
            <w:r w:rsidRPr="0054097F">
              <w:rPr>
                <w:rFonts w:ascii="Verdana" w:hAnsi="Verdana" w:cs="Arial"/>
                <w:lang w:val="es-MX" w:eastAsia="es-MX"/>
              </w:rPr>
              <w:t xml:space="preserve"> Estatal debe verificar que la persona jurídica destinataria de la cesión cuente con plena capacidad jurídica para asumir las obligaciones derivadas del contrato y que no esté afectada por ninguna inhabilidad o limitación que impida su correcta ejecución.</w:t>
            </w:r>
            <w:r>
              <w:rPr>
                <w:rFonts w:ascii="Verdana" w:hAnsi="Verdana" w:cs="Arial"/>
                <w:lang w:val="es-MX" w:eastAsia="es-MX"/>
              </w:rPr>
              <w:t xml:space="preserve"> Además, e</w:t>
            </w:r>
            <w:r w:rsidRPr="0054097F">
              <w:rPr>
                <w:rFonts w:ascii="Verdana" w:hAnsi="Verdana" w:cs="Arial"/>
                <w:lang w:val="es-MX" w:eastAsia="es-MX"/>
              </w:rPr>
              <w:t xml:space="preserve">s imperativo que se obtenga la autorización correspondiente de la </w:t>
            </w:r>
            <w:r>
              <w:rPr>
                <w:rFonts w:ascii="Verdana" w:hAnsi="Verdana" w:cs="Arial"/>
                <w:lang w:val="es-MX" w:eastAsia="es-MX"/>
              </w:rPr>
              <w:t xml:space="preserve">Entidad </w:t>
            </w:r>
            <w:r w:rsidRPr="0054097F">
              <w:rPr>
                <w:rFonts w:ascii="Verdana" w:hAnsi="Verdana" w:cs="Arial"/>
                <w:lang w:val="es-MX" w:eastAsia="es-MX"/>
              </w:rPr>
              <w:t xml:space="preserve">Estatal para garantizar que la persona jurídica cumple con todos los requisitos legales y contractuales </w:t>
            </w:r>
            <w:r w:rsidRPr="0054097F">
              <w:rPr>
                <w:rFonts w:ascii="Verdana" w:hAnsi="Verdana" w:cs="Arial"/>
                <w:lang w:val="es-MX" w:eastAsia="es-MX"/>
              </w:rPr>
              <w:lastRenderedPageBreak/>
              <w:t>necesarios.</w:t>
            </w:r>
            <w:r>
              <w:rPr>
                <w:rFonts w:ascii="Verdana" w:hAnsi="Verdana" w:cs="Arial"/>
                <w:lang w:val="es-MX" w:eastAsia="es-MX"/>
              </w:rPr>
              <w:t xml:space="preserve"> De</w:t>
            </w:r>
            <w:r w:rsidRPr="0054097F">
              <w:rPr>
                <w:rFonts w:ascii="Verdana" w:hAnsi="Verdana" w:cs="Arial"/>
                <w:lang w:val="es-MX" w:eastAsia="es-MX"/>
              </w:rPr>
              <w:t xml:space="preserve"> no cumplir con los requisitos</w:t>
            </w:r>
            <w:r>
              <w:rPr>
                <w:rFonts w:ascii="Verdana" w:hAnsi="Verdana" w:cs="Arial"/>
                <w:lang w:val="es-MX" w:eastAsia="es-MX"/>
              </w:rPr>
              <w:t>, las partes, en virtud de la autonomía de la voluntad, deberán determinar si se realiza la cesión a quien cumpla con los requisitos o si se debe terminar el contrato, de acuerdo con las causales de terminación estipuladas en este.</w:t>
            </w:r>
          </w:p>
        </w:tc>
      </w:tr>
    </w:tbl>
    <w:p w14:paraId="789F32E6" w14:textId="77777777" w:rsidR="009D16CB" w:rsidRPr="00115E3D" w:rsidRDefault="009D16CB" w:rsidP="009D16CB">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0E70A1FC" w14:textId="77777777" w:rsidR="009D16CB" w:rsidRPr="00115E3D" w:rsidRDefault="009D16CB" w:rsidP="009D16CB">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120300EA" w14:textId="77777777" w:rsidR="009D16CB" w:rsidRPr="00115E3D" w:rsidRDefault="009D16CB" w:rsidP="009D16CB">
      <w:pPr>
        <w:spacing w:after="0" w:line="276" w:lineRule="auto"/>
        <w:jc w:val="both"/>
        <w:rPr>
          <w:rFonts w:ascii="Verdana" w:eastAsia="Calibri" w:hAnsi="Verdana" w:cs="Arial"/>
          <w:color w:val="000000" w:themeColor="text1"/>
          <w:lang w:val="es-ES"/>
        </w:rPr>
      </w:pPr>
    </w:p>
    <w:p w14:paraId="1846C59C" w14:textId="77777777" w:rsidR="009D16CB" w:rsidRDefault="009D16CB" w:rsidP="009D16CB">
      <w:pPr>
        <w:spacing w:after="0" w:line="276" w:lineRule="auto"/>
        <w:jc w:val="both"/>
        <w:rPr>
          <w:rFonts w:ascii="Verdana" w:eastAsia="Calibri" w:hAnsi="Verdana" w:cs="Arial"/>
          <w:color w:val="000000" w:themeColor="text1"/>
          <w:lang w:val="es-ES"/>
        </w:rPr>
      </w:pPr>
      <w:r w:rsidRPr="00115E3D">
        <w:rPr>
          <w:rFonts w:ascii="Verdana" w:eastAsia="Calibri" w:hAnsi="Verdana" w:cs="Arial"/>
          <w:color w:val="000000" w:themeColor="text1"/>
          <w:lang w:val="es-ES"/>
        </w:rPr>
        <w:t xml:space="preserve">Lo anterior se sustenta en las siguientes consideraciones: </w:t>
      </w:r>
    </w:p>
    <w:p w14:paraId="6E17B8C7" w14:textId="77777777" w:rsidR="009D16CB" w:rsidRDefault="009D16CB" w:rsidP="009D16CB">
      <w:pPr>
        <w:spacing w:after="0" w:line="276" w:lineRule="auto"/>
        <w:jc w:val="both"/>
        <w:rPr>
          <w:rFonts w:ascii="Verdana" w:eastAsia="Calibri" w:hAnsi="Verdana" w:cs="Arial"/>
          <w:color w:val="000000" w:themeColor="text1"/>
          <w:lang w:val="es-ES"/>
        </w:rPr>
      </w:pPr>
    </w:p>
    <w:p w14:paraId="1F189298" w14:textId="77777777" w:rsidR="009D16CB" w:rsidRDefault="009D16CB" w:rsidP="009D16CB">
      <w:pPr>
        <w:pStyle w:val="NormalWeb"/>
        <w:numPr>
          <w:ilvl w:val="0"/>
          <w:numId w:val="6"/>
        </w:numPr>
        <w:spacing w:before="100" w:beforeAutospacing="1" w:after="100" w:afterAutospacing="1" w:line="276" w:lineRule="auto"/>
        <w:jc w:val="both"/>
        <w:rPr>
          <w:rFonts w:ascii="Verdana" w:hAnsi="Verdana"/>
          <w:sz w:val="22"/>
          <w:szCs w:val="22"/>
        </w:rPr>
      </w:pPr>
      <w:r w:rsidRPr="0054097F">
        <w:rPr>
          <w:rFonts w:ascii="Verdana" w:hAnsi="Verdana"/>
          <w:sz w:val="22"/>
          <w:szCs w:val="22"/>
        </w:rPr>
        <w:t>La cesión de contrato es la figura jurídica que permite el traspaso de los derechos y obligaciones que emanan de un contrato; de tal manera que, un tercero ajeno a la relación inicial ocupa el lugar del contratista y se obliga a continuar dando cumplimiento a la totalidad de las obligaciones derivadas del contrato. Es decir, un tercero, se subroga en los derechos y obligaciones del cedente, por medio de la modificación del contrato estatal originario.</w:t>
      </w:r>
    </w:p>
    <w:p w14:paraId="0CBCA511" w14:textId="77777777" w:rsidR="009D16CB" w:rsidRPr="0054097F" w:rsidRDefault="009D16CB" w:rsidP="009D16CB">
      <w:pPr>
        <w:pStyle w:val="NormalWeb"/>
        <w:numPr>
          <w:ilvl w:val="0"/>
          <w:numId w:val="6"/>
        </w:numPr>
        <w:spacing w:before="100" w:beforeAutospacing="1" w:after="100" w:afterAutospacing="1" w:line="276" w:lineRule="auto"/>
        <w:jc w:val="both"/>
        <w:rPr>
          <w:rFonts w:ascii="Verdana" w:hAnsi="Verdana"/>
          <w:sz w:val="22"/>
          <w:szCs w:val="22"/>
        </w:rPr>
      </w:pPr>
      <w:r w:rsidRPr="0054097F">
        <w:rPr>
          <w:rFonts w:ascii="Verdana" w:hAnsi="Verdana"/>
          <w:sz w:val="22"/>
          <w:szCs w:val="22"/>
        </w:rPr>
        <w:t>La cesión de la posición contractual puede entenderse como un acto y como un efecto. Por un lado, “(...) es el contrato con el cual el cedente, parte de otro contrato ya en curso con otro sujeto (cedido), transfiere la relativa posición contractual (en sus componentes activos y pasivos) al cesionario, el cual le encuentra en la relación con el cedido (...)”</w:t>
      </w:r>
      <w:r w:rsidRPr="0054097F">
        <w:rPr>
          <w:rStyle w:val="Refdenotaalpie"/>
          <w:rFonts w:ascii="Verdana" w:hAnsi="Verdana"/>
          <w:sz w:val="22"/>
          <w:szCs w:val="22"/>
        </w:rPr>
        <w:footnoteReference w:id="1"/>
      </w:r>
      <w:r>
        <w:rPr>
          <w:rFonts w:ascii="Verdana" w:hAnsi="Verdana"/>
          <w:sz w:val="22"/>
          <w:szCs w:val="22"/>
        </w:rPr>
        <w:t xml:space="preserve">. </w:t>
      </w:r>
      <w:r w:rsidRPr="0054097F">
        <w:rPr>
          <w:rFonts w:ascii="Verdana" w:hAnsi="Verdana"/>
          <w:sz w:val="22"/>
          <w:szCs w:val="22"/>
        </w:rPr>
        <w:t>Por otro, “(...) es la transferencia de la posición contractual de un contratante a otro sujeto, que le encuentra en la relación con la contraparte (...)”</w:t>
      </w:r>
      <w:r w:rsidRPr="0054097F">
        <w:rPr>
          <w:rStyle w:val="Refdenotaalpie"/>
          <w:rFonts w:ascii="Verdana" w:hAnsi="Verdana"/>
          <w:sz w:val="22"/>
          <w:szCs w:val="22"/>
        </w:rPr>
        <w:footnoteReference w:id="2"/>
      </w:r>
      <w:r w:rsidRPr="0054097F">
        <w:rPr>
          <w:rFonts w:ascii="Verdana" w:hAnsi="Verdana"/>
          <w:sz w:val="22"/>
          <w:szCs w:val="22"/>
        </w:rPr>
        <w:t xml:space="preserve">. </w:t>
      </w:r>
    </w:p>
    <w:p w14:paraId="3C153A78" w14:textId="77777777" w:rsidR="009D16CB" w:rsidRPr="0054097F" w:rsidRDefault="009D16CB" w:rsidP="009D16CB">
      <w:pPr>
        <w:pStyle w:val="NormalWeb"/>
        <w:numPr>
          <w:ilvl w:val="0"/>
          <w:numId w:val="6"/>
        </w:numPr>
        <w:spacing w:before="100" w:beforeAutospacing="1" w:after="100" w:afterAutospacing="1" w:line="276" w:lineRule="auto"/>
        <w:jc w:val="both"/>
        <w:rPr>
          <w:rFonts w:ascii="Verdana" w:hAnsi="Verdana"/>
          <w:sz w:val="22"/>
          <w:szCs w:val="22"/>
        </w:rPr>
      </w:pPr>
      <w:r w:rsidRPr="0054097F">
        <w:rPr>
          <w:rFonts w:ascii="Verdana" w:hAnsi="Verdana"/>
          <w:sz w:val="22"/>
          <w:szCs w:val="22"/>
        </w:rPr>
        <w:t xml:space="preserve">En la </w:t>
      </w:r>
      <w:r>
        <w:rPr>
          <w:rFonts w:ascii="Verdana" w:hAnsi="Verdana"/>
          <w:sz w:val="22"/>
          <w:szCs w:val="22"/>
        </w:rPr>
        <w:t>c</w:t>
      </w:r>
      <w:r w:rsidRPr="0054097F">
        <w:rPr>
          <w:rFonts w:ascii="Verdana" w:hAnsi="Verdana"/>
          <w:sz w:val="22"/>
          <w:szCs w:val="22"/>
        </w:rPr>
        <w:t xml:space="preserve">esión de los contratos, concurren tres (3) sujetos: i) el cedente, esto es, el contratista inicial; </w:t>
      </w:r>
      <w:proofErr w:type="spellStart"/>
      <w:r w:rsidRPr="0054097F">
        <w:rPr>
          <w:rFonts w:ascii="Verdana" w:hAnsi="Verdana"/>
          <w:sz w:val="22"/>
          <w:szCs w:val="22"/>
        </w:rPr>
        <w:t>ii</w:t>
      </w:r>
      <w:proofErr w:type="spellEnd"/>
      <w:r w:rsidRPr="0054097F">
        <w:rPr>
          <w:rFonts w:ascii="Verdana" w:hAnsi="Verdana"/>
          <w:sz w:val="22"/>
          <w:szCs w:val="22"/>
        </w:rPr>
        <w:t xml:space="preserve">) el cesionario, es decir, quien asume total o parcialmente los derechos y obligaciones de este </w:t>
      </w:r>
      <w:proofErr w:type="spellStart"/>
      <w:r w:rsidRPr="0054097F">
        <w:rPr>
          <w:rFonts w:ascii="Verdana" w:hAnsi="Verdana"/>
          <w:sz w:val="22"/>
          <w:szCs w:val="22"/>
        </w:rPr>
        <w:t>último</w:t>
      </w:r>
      <w:proofErr w:type="spellEnd"/>
      <w:r w:rsidRPr="0054097F">
        <w:rPr>
          <w:rFonts w:ascii="Verdana" w:hAnsi="Verdana"/>
          <w:sz w:val="22"/>
          <w:szCs w:val="22"/>
        </w:rPr>
        <w:t xml:space="preserve">; y </w:t>
      </w:r>
      <w:proofErr w:type="spellStart"/>
      <w:r w:rsidRPr="0054097F">
        <w:rPr>
          <w:rFonts w:ascii="Verdana" w:hAnsi="Verdana"/>
          <w:sz w:val="22"/>
          <w:szCs w:val="22"/>
        </w:rPr>
        <w:t>iii</w:t>
      </w:r>
      <w:proofErr w:type="spellEnd"/>
      <w:r w:rsidRPr="0054097F">
        <w:rPr>
          <w:rFonts w:ascii="Verdana" w:hAnsi="Verdana"/>
          <w:sz w:val="22"/>
          <w:szCs w:val="22"/>
        </w:rPr>
        <w:t xml:space="preserve">) el cedido que, en el caso de los contratos estatales, </w:t>
      </w:r>
      <w:proofErr w:type="spellStart"/>
      <w:r w:rsidRPr="0054097F">
        <w:rPr>
          <w:rFonts w:ascii="Verdana" w:hAnsi="Verdana"/>
          <w:sz w:val="22"/>
          <w:szCs w:val="22"/>
        </w:rPr>
        <w:t>sería</w:t>
      </w:r>
      <w:proofErr w:type="spellEnd"/>
      <w:r w:rsidRPr="0054097F">
        <w:rPr>
          <w:rFonts w:ascii="Verdana" w:hAnsi="Verdana"/>
          <w:sz w:val="22"/>
          <w:szCs w:val="22"/>
        </w:rPr>
        <w:t xml:space="preserve"> la entidad suscribiente. </w:t>
      </w:r>
    </w:p>
    <w:p w14:paraId="1570D767" w14:textId="77777777" w:rsidR="009D16CB" w:rsidRPr="0054097F" w:rsidRDefault="009D16CB" w:rsidP="009D16CB">
      <w:pPr>
        <w:pStyle w:val="NormalWeb"/>
        <w:numPr>
          <w:ilvl w:val="0"/>
          <w:numId w:val="6"/>
        </w:numPr>
        <w:spacing w:before="100" w:beforeAutospacing="1" w:after="100" w:afterAutospacing="1" w:line="276" w:lineRule="auto"/>
        <w:jc w:val="both"/>
        <w:rPr>
          <w:rFonts w:ascii="Verdana" w:hAnsi="Verdana"/>
          <w:sz w:val="22"/>
          <w:szCs w:val="22"/>
        </w:rPr>
      </w:pPr>
      <w:r w:rsidRPr="0054097F">
        <w:rPr>
          <w:rFonts w:ascii="Verdana" w:hAnsi="Verdana"/>
          <w:sz w:val="22"/>
          <w:szCs w:val="22"/>
        </w:rPr>
        <w:lastRenderedPageBreak/>
        <w:t xml:space="preserve">Tratándose de la cesión de contratos estatales, conforme a la </w:t>
      </w:r>
      <w:proofErr w:type="spellStart"/>
      <w:r w:rsidRPr="0054097F">
        <w:rPr>
          <w:rFonts w:ascii="Verdana" w:hAnsi="Verdana"/>
          <w:sz w:val="22"/>
          <w:szCs w:val="22"/>
        </w:rPr>
        <w:t>regulación</w:t>
      </w:r>
      <w:proofErr w:type="spellEnd"/>
      <w:r w:rsidRPr="0054097F">
        <w:rPr>
          <w:rFonts w:ascii="Verdana" w:hAnsi="Verdana"/>
          <w:sz w:val="22"/>
          <w:szCs w:val="22"/>
        </w:rPr>
        <w:t xml:space="preserve"> del EGCAP, confluyen una mixtura entre el derecho </w:t>
      </w:r>
      <w:proofErr w:type="spellStart"/>
      <w:r w:rsidRPr="0054097F">
        <w:rPr>
          <w:rFonts w:ascii="Verdana" w:hAnsi="Verdana"/>
          <w:sz w:val="22"/>
          <w:szCs w:val="22"/>
        </w:rPr>
        <w:t>público</w:t>
      </w:r>
      <w:proofErr w:type="spellEnd"/>
      <w:r w:rsidRPr="0054097F">
        <w:rPr>
          <w:rFonts w:ascii="Verdana" w:hAnsi="Verdana"/>
          <w:sz w:val="22"/>
          <w:szCs w:val="22"/>
        </w:rPr>
        <w:t xml:space="preserve"> y privado en su regulación. En efecto</w:t>
      </w:r>
      <w:r w:rsidRPr="0054097F">
        <w:rPr>
          <w:rStyle w:val="Refdenotaalpie"/>
          <w:rFonts w:ascii="Verdana" w:hAnsi="Verdana"/>
          <w:sz w:val="22"/>
          <w:szCs w:val="22"/>
        </w:rPr>
        <w:footnoteReference w:id="3"/>
      </w:r>
      <w:r w:rsidRPr="0054097F">
        <w:rPr>
          <w:rFonts w:ascii="Verdana" w:hAnsi="Verdana"/>
          <w:sz w:val="22"/>
          <w:szCs w:val="22"/>
        </w:rPr>
        <w:t>:</w:t>
      </w:r>
    </w:p>
    <w:p w14:paraId="25043AAC" w14:textId="77777777" w:rsidR="009D16CB" w:rsidRPr="0054097F" w:rsidRDefault="009D16CB" w:rsidP="009D16CB">
      <w:pPr>
        <w:pStyle w:val="NormalWeb"/>
        <w:numPr>
          <w:ilvl w:val="0"/>
          <w:numId w:val="9"/>
        </w:numPr>
        <w:spacing w:before="100" w:beforeAutospacing="1" w:after="100" w:afterAutospacing="1" w:line="276" w:lineRule="auto"/>
        <w:jc w:val="both"/>
        <w:rPr>
          <w:rFonts w:ascii="Verdana" w:hAnsi="Verdana"/>
          <w:sz w:val="22"/>
          <w:szCs w:val="22"/>
        </w:rPr>
      </w:pPr>
      <w:r>
        <w:rPr>
          <w:rFonts w:ascii="Verdana" w:hAnsi="Verdana"/>
          <w:sz w:val="22"/>
          <w:szCs w:val="22"/>
        </w:rPr>
        <w:t>L</w:t>
      </w:r>
      <w:r w:rsidRPr="0054097F">
        <w:rPr>
          <w:rFonts w:ascii="Verdana" w:hAnsi="Verdana"/>
          <w:sz w:val="22"/>
          <w:szCs w:val="22"/>
        </w:rPr>
        <w:t xml:space="preserve">os contratos estatales se </w:t>
      </w:r>
      <w:proofErr w:type="spellStart"/>
      <w:r w:rsidRPr="0054097F">
        <w:rPr>
          <w:rFonts w:ascii="Verdana" w:hAnsi="Verdana"/>
          <w:sz w:val="22"/>
          <w:szCs w:val="22"/>
        </w:rPr>
        <w:t>regirán</w:t>
      </w:r>
      <w:proofErr w:type="spellEnd"/>
      <w:r w:rsidRPr="0054097F">
        <w:rPr>
          <w:rFonts w:ascii="Verdana" w:hAnsi="Verdana"/>
          <w:sz w:val="22"/>
          <w:szCs w:val="22"/>
        </w:rPr>
        <w:t xml:space="preserve"> por las normas comerciales y civiles pertinentes, salvo en lo concerniente a las materias particularmente reguladas en dicha ley, de acuerdo con lo prescrito en el inciso primero del </w:t>
      </w:r>
      <w:proofErr w:type="spellStart"/>
      <w:r w:rsidRPr="0054097F">
        <w:rPr>
          <w:rFonts w:ascii="Verdana" w:hAnsi="Verdana"/>
          <w:sz w:val="22"/>
          <w:szCs w:val="22"/>
        </w:rPr>
        <w:t>artículo</w:t>
      </w:r>
      <w:proofErr w:type="spellEnd"/>
      <w:r w:rsidRPr="0054097F">
        <w:rPr>
          <w:rFonts w:ascii="Verdana" w:hAnsi="Verdana"/>
          <w:sz w:val="22"/>
          <w:szCs w:val="22"/>
        </w:rPr>
        <w:t xml:space="preserve"> 13 de la Ley 80 de 1993</w:t>
      </w:r>
      <w:r>
        <w:rPr>
          <w:rStyle w:val="Refdenotaalpie"/>
          <w:rFonts w:ascii="Verdana" w:hAnsi="Verdana"/>
          <w:sz w:val="22"/>
          <w:szCs w:val="22"/>
        </w:rPr>
        <w:footnoteReference w:id="4"/>
      </w:r>
      <w:r w:rsidRPr="0054097F">
        <w:rPr>
          <w:rFonts w:ascii="Verdana" w:hAnsi="Verdana"/>
          <w:sz w:val="22"/>
          <w:szCs w:val="22"/>
        </w:rPr>
        <w:t xml:space="preserve">, por lo que deben observarse en primer </w:t>
      </w:r>
      <w:proofErr w:type="spellStart"/>
      <w:r w:rsidRPr="0054097F">
        <w:rPr>
          <w:rFonts w:ascii="Verdana" w:hAnsi="Verdana"/>
          <w:sz w:val="22"/>
          <w:szCs w:val="22"/>
        </w:rPr>
        <w:t>término</w:t>
      </w:r>
      <w:proofErr w:type="spellEnd"/>
      <w:r w:rsidRPr="0054097F">
        <w:rPr>
          <w:rFonts w:ascii="Verdana" w:hAnsi="Verdana"/>
          <w:sz w:val="22"/>
          <w:szCs w:val="22"/>
        </w:rPr>
        <w:t xml:space="preserve"> las disposiciones establecidas en el EGCAP; </w:t>
      </w:r>
    </w:p>
    <w:p w14:paraId="2E4BB16D" w14:textId="77777777" w:rsidR="009D16CB" w:rsidRPr="0054097F" w:rsidRDefault="009D16CB" w:rsidP="009D16CB">
      <w:pPr>
        <w:pStyle w:val="NormalWeb"/>
        <w:numPr>
          <w:ilvl w:val="0"/>
          <w:numId w:val="9"/>
        </w:numPr>
        <w:spacing w:before="100" w:beforeAutospacing="1" w:after="100" w:afterAutospacing="1" w:line="276" w:lineRule="auto"/>
        <w:jc w:val="both"/>
        <w:rPr>
          <w:rFonts w:ascii="Verdana" w:hAnsi="Verdana"/>
          <w:sz w:val="22"/>
          <w:szCs w:val="22"/>
        </w:rPr>
      </w:pPr>
      <w:proofErr w:type="spellStart"/>
      <w:r>
        <w:rPr>
          <w:rFonts w:ascii="Verdana" w:hAnsi="Verdana"/>
          <w:sz w:val="22"/>
          <w:szCs w:val="22"/>
        </w:rPr>
        <w:t>C</w:t>
      </w:r>
      <w:r w:rsidRPr="0054097F">
        <w:rPr>
          <w:rFonts w:ascii="Verdana" w:hAnsi="Verdana"/>
          <w:sz w:val="22"/>
          <w:szCs w:val="22"/>
        </w:rPr>
        <w:t>orresponderán</w:t>
      </w:r>
      <w:proofErr w:type="spellEnd"/>
      <w:r w:rsidRPr="0054097F">
        <w:rPr>
          <w:rFonts w:ascii="Verdana" w:hAnsi="Verdana"/>
          <w:sz w:val="22"/>
          <w:szCs w:val="22"/>
        </w:rPr>
        <w:t xml:space="preserve"> como actos </w:t>
      </w:r>
      <w:proofErr w:type="spellStart"/>
      <w:r w:rsidRPr="0054097F">
        <w:rPr>
          <w:rFonts w:ascii="Verdana" w:hAnsi="Verdana"/>
          <w:sz w:val="22"/>
          <w:szCs w:val="22"/>
        </w:rPr>
        <w:t>jurídicos</w:t>
      </w:r>
      <w:proofErr w:type="spellEnd"/>
      <w:r w:rsidRPr="0054097F">
        <w:rPr>
          <w:rFonts w:ascii="Verdana" w:hAnsi="Verdana"/>
          <w:sz w:val="22"/>
          <w:szCs w:val="22"/>
        </w:rPr>
        <w:t xml:space="preserve"> bilaterales generadores de obligaciones, entre otros, a los previstos en el derecho privado, en los </w:t>
      </w:r>
      <w:proofErr w:type="spellStart"/>
      <w:r w:rsidRPr="0054097F">
        <w:rPr>
          <w:rFonts w:ascii="Verdana" w:hAnsi="Verdana"/>
          <w:sz w:val="22"/>
          <w:szCs w:val="22"/>
        </w:rPr>
        <w:t>términos</w:t>
      </w:r>
      <w:proofErr w:type="spellEnd"/>
      <w:r w:rsidRPr="0054097F">
        <w:rPr>
          <w:rFonts w:ascii="Verdana" w:hAnsi="Verdana"/>
          <w:sz w:val="22"/>
          <w:szCs w:val="22"/>
        </w:rPr>
        <w:t xml:space="preserve"> del </w:t>
      </w:r>
      <w:proofErr w:type="spellStart"/>
      <w:r w:rsidRPr="0054097F">
        <w:rPr>
          <w:rFonts w:ascii="Verdana" w:hAnsi="Verdana"/>
          <w:sz w:val="22"/>
          <w:szCs w:val="22"/>
        </w:rPr>
        <w:t>artículo</w:t>
      </w:r>
      <w:proofErr w:type="spellEnd"/>
      <w:r w:rsidRPr="0054097F">
        <w:rPr>
          <w:rFonts w:ascii="Verdana" w:hAnsi="Verdana"/>
          <w:sz w:val="22"/>
          <w:szCs w:val="22"/>
        </w:rPr>
        <w:t xml:space="preserve"> 32 </w:t>
      </w:r>
      <w:r w:rsidRPr="0054097F">
        <w:rPr>
          <w:rFonts w:ascii="Verdana" w:hAnsi="Verdana"/>
          <w:i/>
          <w:iCs/>
          <w:sz w:val="22"/>
          <w:szCs w:val="22"/>
        </w:rPr>
        <w:t>ibidem</w:t>
      </w:r>
      <w:r w:rsidRPr="0054097F">
        <w:rPr>
          <w:rFonts w:ascii="Verdana" w:hAnsi="Verdana"/>
          <w:sz w:val="22"/>
          <w:szCs w:val="22"/>
        </w:rPr>
        <w:t>; y</w:t>
      </w:r>
    </w:p>
    <w:p w14:paraId="28E26D61" w14:textId="77777777" w:rsidR="009D16CB" w:rsidRPr="0054097F" w:rsidRDefault="009D16CB" w:rsidP="009D16CB">
      <w:pPr>
        <w:pStyle w:val="NormalWeb"/>
        <w:numPr>
          <w:ilvl w:val="0"/>
          <w:numId w:val="9"/>
        </w:numPr>
        <w:spacing w:before="100" w:beforeAutospacing="1" w:after="100" w:afterAutospacing="1" w:line="276" w:lineRule="auto"/>
        <w:jc w:val="both"/>
        <w:rPr>
          <w:rFonts w:ascii="Verdana" w:hAnsi="Verdana"/>
          <w:sz w:val="22"/>
          <w:szCs w:val="22"/>
        </w:rPr>
      </w:pPr>
      <w:proofErr w:type="spellStart"/>
      <w:r>
        <w:rPr>
          <w:rFonts w:ascii="Verdana" w:hAnsi="Verdana"/>
          <w:sz w:val="22"/>
          <w:szCs w:val="22"/>
        </w:rPr>
        <w:t>C</w:t>
      </w:r>
      <w:r w:rsidRPr="0054097F">
        <w:rPr>
          <w:rFonts w:ascii="Verdana" w:hAnsi="Verdana"/>
          <w:sz w:val="22"/>
          <w:szCs w:val="22"/>
        </w:rPr>
        <w:t>ontendrán</w:t>
      </w:r>
      <w:proofErr w:type="spellEnd"/>
      <w:r w:rsidRPr="0054097F">
        <w:rPr>
          <w:rFonts w:ascii="Verdana" w:hAnsi="Verdana"/>
          <w:sz w:val="22"/>
          <w:szCs w:val="22"/>
        </w:rPr>
        <w:t xml:space="preserve"> las estipulaciones que, de acuerdo con las normas civiles, comerciales y las previstas en esta ley, correspondan a su esencia y naturaleza, conforme a lo dispuesto por el </w:t>
      </w:r>
      <w:proofErr w:type="spellStart"/>
      <w:r w:rsidRPr="0054097F">
        <w:rPr>
          <w:rFonts w:ascii="Verdana" w:hAnsi="Verdana"/>
          <w:sz w:val="22"/>
          <w:szCs w:val="22"/>
        </w:rPr>
        <w:t>artículo</w:t>
      </w:r>
      <w:proofErr w:type="spellEnd"/>
      <w:r w:rsidRPr="0054097F">
        <w:rPr>
          <w:rFonts w:ascii="Verdana" w:hAnsi="Verdana"/>
          <w:sz w:val="22"/>
          <w:szCs w:val="22"/>
        </w:rPr>
        <w:t xml:space="preserve"> 40 </w:t>
      </w:r>
      <w:r w:rsidRPr="0054097F">
        <w:rPr>
          <w:rFonts w:ascii="Verdana" w:hAnsi="Verdana"/>
          <w:i/>
          <w:iCs/>
          <w:sz w:val="22"/>
          <w:szCs w:val="22"/>
        </w:rPr>
        <w:t>ibidem</w:t>
      </w:r>
      <w:r w:rsidRPr="0054097F">
        <w:rPr>
          <w:rFonts w:ascii="Verdana" w:hAnsi="Verdana"/>
          <w:sz w:val="22"/>
          <w:szCs w:val="22"/>
        </w:rPr>
        <w:t xml:space="preserve">. </w:t>
      </w:r>
    </w:p>
    <w:p w14:paraId="118AE05B" w14:textId="77777777" w:rsidR="009D16CB" w:rsidRPr="003253C0" w:rsidRDefault="009D16CB" w:rsidP="009D16CB">
      <w:pPr>
        <w:pStyle w:val="NormalWeb"/>
        <w:numPr>
          <w:ilvl w:val="0"/>
          <w:numId w:val="6"/>
        </w:numPr>
        <w:spacing w:before="100" w:beforeAutospacing="1" w:after="100" w:afterAutospacing="1" w:line="276" w:lineRule="auto"/>
        <w:jc w:val="both"/>
        <w:rPr>
          <w:rFonts w:ascii="Verdana" w:hAnsi="Verdana"/>
          <w:sz w:val="22"/>
          <w:szCs w:val="22"/>
        </w:rPr>
      </w:pPr>
      <w:r w:rsidRPr="0054097F">
        <w:rPr>
          <w:rFonts w:ascii="Verdana" w:hAnsi="Verdana"/>
          <w:sz w:val="22"/>
          <w:szCs w:val="22"/>
        </w:rPr>
        <w:t xml:space="preserve">En ese sentido, es pertinente indicar que cuando no se encuentren en la Ley 80 de 1993 disposiciones que permitan desarrollar la </w:t>
      </w:r>
      <w:proofErr w:type="spellStart"/>
      <w:r w:rsidRPr="0054097F">
        <w:rPr>
          <w:rFonts w:ascii="Verdana" w:hAnsi="Verdana"/>
          <w:sz w:val="22"/>
          <w:szCs w:val="22"/>
        </w:rPr>
        <w:t>cesión</w:t>
      </w:r>
      <w:proofErr w:type="spellEnd"/>
      <w:r w:rsidRPr="0054097F">
        <w:rPr>
          <w:rFonts w:ascii="Verdana" w:hAnsi="Verdana"/>
          <w:sz w:val="22"/>
          <w:szCs w:val="22"/>
        </w:rPr>
        <w:t xml:space="preserve"> del contrato estatal, se aplicará el Decreto Ley 410 de 1971 </w:t>
      </w:r>
      <w:r>
        <w:rPr>
          <w:rFonts w:ascii="Verdana" w:hAnsi="Verdana"/>
          <w:sz w:val="22"/>
          <w:szCs w:val="22"/>
        </w:rPr>
        <w:t>(Código de Comercio)</w:t>
      </w:r>
      <w:r w:rsidRPr="0054097F">
        <w:rPr>
          <w:rFonts w:ascii="Verdana" w:hAnsi="Verdana"/>
          <w:sz w:val="22"/>
          <w:szCs w:val="22"/>
        </w:rPr>
        <w:t xml:space="preserve"> en las normas que rigen la </w:t>
      </w:r>
      <w:proofErr w:type="spellStart"/>
      <w:r w:rsidRPr="0054097F">
        <w:rPr>
          <w:rFonts w:ascii="Verdana" w:hAnsi="Verdana"/>
          <w:sz w:val="22"/>
          <w:szCs w:val="22"/>
        </w:rPr>
        <w:t>cesión</w:t>
      </w:r>
      <w:proofErr w:type="spellEnd"/>
      <w:r w:rsidRPr="0054097F">
        <w:rPr>
          <w:rFonts w:ascii="Verdana" w:hAnsi="Verdana"/>
          <w:sz w:val="22"/>
          <w:szCs w:val="22"/>
        </w:rPr>
        <w:t xml:space="preserve"> del contrato contenidas en sus </w:t>
      </w:r>
      <w:proofErr w:type="spellStart"/>
      <w:r w:rsidRPr="0054097F">
        <w:rPr>
          <w:rFonts w:ascii="Verdana" w:hAnsi="Verdana"/>
          <w:sz w:val="22"/>
          <w:szCs w:val="22"/>
        </w:rPr>
        <w:t>artículos</w:t>
      </w:r>
      <w:proofErr w:type="spellEnd"/>
      <w:r w:rsidRPr="0054097F">
        <w:rPr>
          <w:rFonts w:ascii="Verdana" w:hAnsi="Verdana"/>
          <w:sz w:val="22"/>
          <w:szCs w:val="22"/>
        </w:rPr>
        <w:t xml:space="preserve"> 887 y siguientes. </w:t>
      </w:r>
    </w:p>
    <w:p w14:paraId="17CDCCCA" w14:textId="77777777" w:rsidR="009D16CB" w:rsidRPr="00D31EB1" w:rsidRDefault="009D16CB" w:rsidP="009D16CB">
      <w:pPr>
        <w:pStyle w:val="Prrafodelista"/>
        <w:numPr>
          <w:ilvl w:val="0"/>
          <w:numId w:val="6"/>
        </w:numPr>
        <w:spacing w:after="120" w:line="276" w:lineRule="auto"/>
        <w:jc w:val="both"/>
        <w:rPr>
          <w:rFonts w:ascii="Verdana" w:eastAsia="Calibri" w:hAnsi="Verdana" w:cs="Arial"/>
          <w:color w:val="000000" w:themeColor="text1"/>
        </w:rPr>
      </w:pPr>
      <w:r w:rsidRPr="00D31EB1">
        <w:rPr>
          <w:rFonts w:ascii="Verdana" w:eastAsia="Calibri" w:hAnsi="Verdana" w:cs="Arial"/>
          <w:bCs/>
          <w:color w:val="000000" w:themeColor="text1"/>
        </w:rPr>
        <w:t>Conforme a los artículos 887 y siguientes del Código de Comercio, la cesión de los contratos juega un papel importante en la gestión de los intereses patrimoniales de los sujetos de derecho privado, ya que –a diferencia de la regulada en los artículos 1959 y siguientes del Código Civil– facilita el tráfico jurídico tanto de los derechos como de las obligaciones surgidos con ocasión del acuerdo de voluntades, lo que permite su transferencia total o parcial a terceros como negocio generador de riqueza</w:t>
      </w:r>
      <w:r w:rsidRPr="0054097F">
        <w:rPr>
          <w:rStyle w:val="Refdenotaalpie"/>
          <w:rFonts w:ascii="Verdana" w:eastAsia="Calibri" w:hAnsi="Verdana" w:cs="Arial"/>
          <w:bCs/>
          <w:color w:val="000000" w:themeColor="text1"/>
        </w:rPr>
        <w:footnoteReference w:id="5"/>
      </w:r>
      <w:r w:rsidRPr="00D31EB1">
        <w:rPr>
          <w:rFonts w:ascii="Verdana" w:eastAsia="Calibri" w:hAnsi="Verdana" w:cs="Arial"/>
          <w:bCs/>
          <w:color w:val="000000" w:themeColor="text1"/>
        </w:rPr>
        <w:t>.</w:t>
      </w:r>
      <w:r w:rsidRPr="00D31EB1">
        <w:rPr>
          <w:rFonts w:ascii="Verdana" w:eastAsia="Calibri" w:hAnsi="Verdana" w:cs="Arial"/>
          <w:color w:val="000000" w:themeColor="text1"/>
        </w:rPr>
        <w:t xml:space="preserve"> </w:t>
      </w:r>
      <w:r w:rsidRPr="00D31EB1">
        <w:rPr>
          <w:rFonts w:ascii="Verdana" w:hAnsi="Verdana" w:cs="Arial"/>
        </w:rPr>
        <w:t xml:space="preserve">Para la doctrina, “La cesión del contrato sirve para hacer </w:t>
      </w:r>
      <w:r w:rsidRPr="00D31EB1">
        <w:rPr>
          <w:rFonts w:ascii="Verdana" w:hAnsi="Verdana" w:cs="Arial"/>
        </w:rPr>
        <w:lastRenderedPageBreak/>
        <w:t xml:space="preserve">posible la </w:t>
      </w:r>
      <w:r w:rsidRPr="00D31EB1">
        <w:rPr>
          <w:rFonts w:ascii="Verdana" w:hAnsi="Verdana" w:cs="Arial"/>
          <w:i/>
          <w:iCs/>
        </w:rPr>
        <w:t>circulación del contrato en su integridad</w:t>
      </w:r>
      <w:r w:rsidRPr="00D31EB1">
        <w:rPr>
          <w:rFonts w:ascii="Verdana" w:hAnsi="Verdana" w:cs="Arial"/>
        </w:rPr>
        <w:t xml:space="preserve">, es decir, para hacer </w:t>
      </w:r>
      <w:r w:rsidRPr="00D31EB1">
        <w:rPr>
          <w:rFonts w:ascii="Verdana" w:hAnsi="Verdana" w:cs="Arial"/>
          <w:i/>
          <w:iCs/>
        </w:rPr>
        <w:t>subintrar</w:t>
      </w:r>
      <w:r w:rsidRPr="00D31EB1">
        <w:rPr>
          <w:rFonts w:ascii="Verdana" w:hAnsi="Verdana" w:cs="Arial"/>
        </w:rPr>
        <w:t xml:space="preserve"> un extraño en la categoría de parte contractual, en </w:t>
      </w:r>
      <w:r w:rsidRPr="00D31EB1">
        <w:rPr>
          <w:rFonts w:ascii="Verdana" w:hAnsi="Verdana" w:cs="Arial"/>
          <w:i/>
          <w:iCs/>
        </w:rPr>
        <w:t>lugar</w:t>
      </w:r>
      <w:r w:rsidRPr="00D31EB1">
        <w:rPr>
          <w:rFonts w:ascii="Verdana" w:hAnsi="Verdana" w:cs="Arial"/>
        </w:rPr>
        <w:t xml:space="preserve"> de uno de los contratantes originarios”</w:t>
      </w:r>
      <w:r w:rsidRPr="0054097F">
        <w:rPr>
          <w:rStyle w:val="Refdenotaalpie"/>
          <w:rFonts w:ascii="Verdana" w:hAnsi="Verdana" w:cs="Arial"/>
          <w:color w:val="000000" w:themeColor="text1"/>
        </w:rPr>
        <w:footnoteReference w:id="6"/>
      </w:r>
      <w:r w:rsidRPr="00D31EB1">
        <w:rPr>
          <w:rFonts w:ascii="Verdana" w:hAnsi="Verdana" w:cs="Arial"/>
        </w:rPr>
        <w:t>.</w:t>
      </w:r>
    </w:p>
    <w:p w14:paraId="4D363108" w14:textId="77777777" w:rsidR="009D16CB" w:rsidRPr="0054097F" w:rsidRDefault="009D16CB" w:rsidP="009D16CB">
      <w:pPr>
        <w:pStyle w:val="Prrafodelista"/>
        <w:spacing w:after="120" w:line="276" w:lineRule="auto"/>
        <w:jc w:val="both"/>
        <w:rPr>
          <w:rFonts w:ascii="Verdana" w:eastAsia="Calibri" w:hAnsi="Verdana" w:cs="Arial"/>
          <w:color w:val="000000" w:themeColor="text1"/>
        </w:rPr>
      </w:pPr>
    </w:p>
    <w:p w14:paraId="3303DCF8" w14:textId="77777777" w:rsidR="009D16CB" w:rsidRPr="0054097F" w:rsidRDefault="009D16CB" w:rsidP="009D16CB">
      <w:pPr>
        <w:pStyle w:val="Prrafodelista"/>
        <w:numPr>
          <w:ilvl w:val="0"/>
          <w:numId w:val="7"/>
        </w:numPr>
        <w:spacing w:after="120" w:line="276" w:lineRule="auto"/>
        <w:jc w:val="both"/>
        <w:rPr>
          <w:rFonts w:ascii="Verdana" w:eastAsia="Calibri" w:hAnsi="Verdana" w:cs="Arial"/>
          <w:color w:val="000000" w:themeColor="text1"/>
        </w:rPr>
      </w:pPr>
      <w:r w:rsidRPr="0054097F">
        <w:rPr>
          <w:rFonts w:ascii="Verdana" w:eastAsia="Calibri" w:hAnsi="Verdana" w:cs="Arial"/>
          <w:color w:val="000000" w:themeColor="text1"/>
        </w:rPr>
        <w:t>En este sentido, el Estatuto General de Contratación de la Administración Pública establece disposiciones específicas relativas a la figura de la cesión contractual, de tal manera que, las normas relativas a la cesión del contrato contenidas en sus artículos 887 y siguientes del Código de Comercio, serán procedentes ante la ausencia de norma que de manera particular que regula el asunto frente a la categoría especial del contrato estatal.</w:t>
      </w:r>
    </w:p>
    <w:p w14:paraId="3640E080" w14:textId="77777777" w:rsidR="009D16CB" w:rsidRPr="0054097F" w:rsidRDefault="009D16CB" w:rsidP="009D16CB">
      <w:pPr>
        <w:pStyle w:val="Prrafodelista"/>
        <w:tabs>
          <w:tab w:val="left" w:pos="709"/>
        </w:tabs>
        <w:spacing w:after="120" w:line="276" w:lineRule="auto"/>
        <w:jc w:val="both"/>
        <w:rPr>
          <w:rFonts w:ascii="Verdana" w:eastAsia="Calibri" w:hAnsi="Verdana" w:cs="Arial"/>
          <w:color w:val="000000" w:themeColor="text1"/>
        </w:rPr>
      </w:pPr>
    </w:p>
    <w:p w14:paraId="71F15022" w14:textId="77777777" w:rsidR="009D16CB" w:rsidRPr="0054097F" w:rsidRDefault="009D16CB" w:rsidP="009D16CB">
      <w:pPr>
        <w:pStyle w:val="Prrafodelista"/>
        <w:numPr>
          <w:ilvl w:val="0"/>
          <w:numId w:val="7"/>
        </w:numPr>
        <w:tabs>
          <w:tab w:val="left" w:pos="709"/>
        </w:tabs>
        <w:spacing w:after="120" w:line="276" w:lineRule="auto"/>
        <w:jc w:val="both"/>
        <w:rPr>
          <w:rFonts w:ascii="Verdana" w:eastAsia="Calibri" w:hAnsi="Verdana" w:cs="Arial"/>
          <w:color w:val="000000" w:themeColor="text1"/>
        </w:rPr>
      </w:pPr>
      <w:r w:rsidRPr="0054097F">
        <w:rPr>
          <w:rFonts w:ascii="Verdana" w:eastAsia="Calibri" w:hAnsi="Verdana" w:cs="Arial"/>
          <w:color w:val="000000" w:themeColor="text1"/>
        </w:rPr>
        <w:t xml:space="preserve">Ahora bien, </w:t>
      </w:r>
      <w:bookmarkStart w:id="1" w:name="_Hlk79822251"/>
      <w:r w:rsidRPr="0054097F">
        <w:rPr>
          <w:rFonts w:ascii="Verdana" w:eastAsia="Calibri" w:hAnsi="Verdana" w:cs="Arial"/>
          <w:color w:val="000000" w:themeColor="text1"/>
        </w:rPr>
        <w:t xml:space="preserve">el inciso tercero del artículo 41 </w:t>
      </w:r>
      <w:bookmarkEnd w:id="1"/>
      <w:r w:rsidRPr="0054097F">
        <w:rPr>
          <w:rFonts w:ascii="Verdana" w:eastAsia="Calibri" w:hAnsi="Verdana" w:cs="Arial"/>
          <w:color w:val="000000" w:themeColor="text1"/>
        </w:rPr>
        <w:t xml:space="preserve">del EGCAP prescribe que “Los contratos estatales son </w:t>
      </w:r>
      <w:r w:rsidRPr="0054097F">
        <w:rPr>
          <w:rFonts w:ascii="Verdana" w:eastAsia="Calibri" w:hAnsi="Verdana" w:cs="Arial"/>
          <w:i/>
          <w:iCs/>
          <w:color w:val="000000" w:themeColor="text1"/>
        </w:rPr>
        <w:t xml:space="preserve">intuito </w:t>
      </w:r>
      <w:proofErr w:type="spellStart"/>
      <w:r w:rsidRPr="0054097F">
        <w:rPr>
          <w:rFonts w:ascii="Verdana" w:eastAsia="Calibri" w:hAnsi="Verdana" w:cs="Arial"/>
          <w:i/>
          <w:iCs/>
          <w:color w:val="000000" w:themeColor="text1"/>
        </w:rPr>
        <w:t>personae</w:t>
      </w:r>
      <w:proofErr w:type="spellEnd"/>
      <w:r w:rsidRPr="0054097F">
        <w:rPr>
          <w:rFonts w:ascii="Verdana" w:eastAsia="Calibri" w:hAnsi="Verdana" w:cs="Arial"/>
          <w:color w:val="000000" w:themeColor="text1"/>
        </w:rPr>
        <w:t xml:space="preserve"> y, en consecuencia, una vez celebrados no podrán cederse sin previa autorización escrita de la entidad contratante”. Esta norma contiene una prohibición general –</w:t>
      </w:r>
      <w:r w:rsidRPr="0054097F">
        <w:rPr>
          <w:rFonts w:ascii="Verdana" w:eastAsia="Calibri" w:hAnsi="Verdana" w:cs="Arial"/>
          <w:i/>
          <w:iCs/>
          <w:color w:val="000000" w:themeColor="text1"/>
        </w:rPr>
        <w:t>faceta negativa</w:t>
      </w:r>
      <w:r w:rsidRPr="0054097F">
        <w:rPr>
          <w:rFonts w:ascii="Verdana" w:eastAsia="Calibri" w:hAnsi="Verdana" w:cs="Arial"/>
          <w:color w:val="000000" w:themeColor="text1"/>
        </w:rPr>
        <w:t>– y una autorización excepcional –</w:t>
      </w:r>
      <w:r w:rsidRPr="0054097F">
        <w:rPr>
          <w:rFonts w:ascii="Verdana" w:eastAsia="Calibri" w:hAnsi="Verdana" w:cs="Arial"/>
          <w:i/>
          <w:iCs/>
          <w:color w:val="000000" w:themeColor="text1"/>
        </w:rPr>
        <w:t>faceta positiva</w:t>
      </w:r>
      <w:r w:rsidRPr="0054097F">
        <w:rPr>
          <w:rFonts w:ascii="Verdana" w:eastAsia="Calibri" w:hAnsi="Verdana" w:cs="Arial"/>
          <w:color w:val="000000" w:themeColor="text1"/>
        </w:rPr>
        <w:t>–.</w:t>
      </w:r>
    </w:p>
    <w:p w14:paraId="519C2D0C" w14:textId="77777777" w:rsidR="009D16CB" w:rsidRPr="0054097F" w:rsidRDefault="009D16CB" w:rsidP="009D16CB">
      <w:pPr>
        <w:pStyle w:val="Prrafodelista"/>
        <w:tabs>
          <w:tab w:val="left" w:pos="709"/>
        </w:tabs>
        <w:spacing w:after="120" w:line="276" w:lineRule="auto"/>
        <w:jc w:val="both"/>
        <w:rPr>
          <w:rFonts w:ascii="Verdana" w:eastAsia="Calibri" w:hAnsi="Verdana" w:cs="Arial"/>
          <w:bCs/>
          <w:color w:val="000000" w:themeColor="text1"/>
        </w:rPr>
      </w:pPr>
    </w:p>
    <w:p w14:paraId="6F791992" w14:textId="77777777" w:rsidR="009D16CB" w:rsidRPr="0054097F" w:rsidRDefault="009D16CB" w:rsidP="009D16CB">
      <w:pPr>
        <w:pStyle w:val="Prrafodelista"/>
        <w:numPr>
          <w:ilvl w:val="0"/>
          <w:numId w:val="7"/>
        </w:numPr>
        <w:tabs>
          <w:tab w:val="left" w:pos="709"/>
          <w:tab w:val="left" w:pos="1843"/>
        </w:tabs>
        <w:spacing w:after="120" w:line="276" w:lineRule="auto"/>
        <w:jc w:val="both"/>
        <w:rPr>
          <w:rFonts w:ascii="Verdana" w:eastAsia="Calibri" w:hAnsi="Verdana" w:cs="Arial"/>
          <w:bCs/>
          <w:color w:val="000000" w:themeColor="text1"/>
        </w:rPr>
      </w:pPr>
      <w:r w:rsidRPr="0054097F">
        <w:rPr>
          <w:rFonts w:ascii="Verdana" w:eastAsia="Calibri" w:hAnsi="Verdana" w:cs="Arial"/>
          <w:bCs/>
          <w:color w:val="000000" w:themeColor="text1"/>
        </w:rPr>
        <w:t xml:space="preserve">En lo que respecta a la </w:t>
      </w:r>
      <w:r w:rsidRPr="0054097F">
        <w:rPr>
          <w:rFonts w:ascii="Verdana" w:eastAsia="Calibri" w:hAnsi="Verdana" w:cs="Arial"/>
          <w:bCs/>
          <w:i/>
          <w:iCs/>
          <w:color w:val="000000" w:themeColor="text1"/>
        </w:rPr>
        <w:t>faceta negativa</w:t>
      </w:r>
      <w:r w:rsidRPr="0054097F">
        <w:rPr>
          <w:rFonts w:ascii="Verdana" w:eastAsia="Calibri" w:hAnsi="Verdana" w:cs="Arial"/>
          <w:bCs/>
          <w:color w:val="000000" w:themeColor="text1"/>
        </w:rPr>
        <w:t>, el artículo 41 del Estatuto General ordena que el contrato se ejecute con quien inicialmente se celebró el acuerdo de voluntades, pues es la persona que –de acuerdo con los criterios definidos por la entidad para la selección del contratista– resulta idónea para cumplir con las obligaciones. De esta manera, la prohibición contenida en la norma citada es uno de los elementos de la naturaleza del contrato estatal, pues –conforme a lo previsto en el artículo 1501 del Código Civil– es de aquellos “[…] que, no siendo esenciales en él, se entienden pertenecerle, sin necesidad de una cláusula especial […]”</w:t>
      </w:r>
      <w:r w:rsidRPr="0054097F">
        <w:rPr>
          <w:rStyle w:val="Refdenotaalpie"/>
          <w:rFonts w:ascii="Verdana" w:eastAsia="Calibri" w:hAnsi="Verdana" w:cs="Arial"/>
          <w:bCs/>
          <w:color w:val="000000" w:themeColor="text1"/>
        </w:rPr>
        <w:footnoteReference w:id="7"/>
      </w:r>
      <w:r w:rsidRPr="0054097F">
        <w:rPr>
          <w:rFonts w:ascii="Verdana" w:eastAsia="Calibri" w:hAnsi="Verdana" w:cs="Arial"/>
          <w:bCs/>
          <w:color w:val="000000" w:themeColor="text1"/>
        </w:rPr>
        <w:t xml:space="preserve">.  </w:t>
      </w:r>
    </w:p>
    <w:p w14:paraId="13D6EBAE" w14:textId="77777777" w:rsidR="009D16CB" w:rsidRPr="0054097F" w:rsidRDefault="009D16CB" w:rsidP="009D16CB">
      <w:pPr>
        <w:pStyle w:val="Prrafodelista"/>
        <w:spacing w:line="276" w:lineRule="auto"/>
        <w:jc w:val="both"/>
        <w:rPr>
          <w:rFonts w:ascii="Verdana" w:eastAsia="Calibri" w:hAnsi="Verdana" w:cs="Arial"/>
          <w:bCs/>
          <w:color w:val="000000" w:themeColor="text1"/>
        </w:rPr>
      </w:pPr>
    </w:p>
    <w:p w14:paraId="371C2C95" w14:textId="77777777" w:rsidR="009D16CB" w:rsidRPr="0054097F" w:rsidRDefault="009D16CB" w:rsidP="009D16CB">
      <w:pPr>
        <w:pStyle w:val="Prrafodelista"/>
        <w:numPr>
          <w:ilvl w:val="0"/>
          <w:numId w:val="7"/>
        </w:numPr>
        <w:spacing w:after="0" w:line="276" w:lineRule="auto"/>
        <w:jc w:val="both"/>
        <w:rPr>
          <w:rFonts w:ascii="Verdana" w:eastAsia="Calibri" w:hAnsi="Verdana" w:cs="Arial"/>
          <w:bCs/>
          <w:color w:val="000000" w:themeColor="text1"/>
        </w:rPr>
      </w:pPr>
      <w:r w:rsidRPr="0054097F">
        <w:rPr>
          <w:rFonts w:ascii="Verdana" w:eastAsia="Calibri" w:hAnsi="Verdana" w:cs="Arial"/>
          <w:bCs/>
          <w:color w:val="000000" w:themeColor="text1"/>
        </w:rPr>
        <w:t xml:space="preserve">En su </w:t>
      </w:r>
      <w:r w:rsidRPr="0054097F">
        <w:rPr>
          <w:rFonts w:ascii="Verdana" w:eastAsia="Calibri" w:hAnsi="Verdana" w:cs="Arial"/>
          <w:bCs/>
          <w:i/>
          <w:iCs/>
          <w:color w:val="000000" w:themeColor="text1"/>
        </w:rPr>
        <w:t>faceta positiva</w:t>
      </w:r>
      <w:r w:rsidRPr="0054097F">
        <w:rPr>
          <w:rFonts w:ascii="Verdana" w:eastAsia="Calibri" w:hAnsi="Verdana" w:cs="Arial"/>
          <w:bCs/>
          <w:color w:val="000000" w:themeColor="text1"/>
        </w:rPr>
        <w:t>, la Ley 80 de 1993 permite excepcionalmente la cesión del contrato estatal siempre que exista autorización previa escrita de la entidad contratante. Por ello, “[…] El cocontratante que ‘</w:t>
      </w:r>
      <w:r w:rsidRPr="0054097F">
        <w:rPr>
          <w:rFonts w:ascii="Verdana" w:eastAsia="Calibri" w:hAnsi="Verdana" w:cs="Arial"/>
          <w:bCs/>
          <w:i/>
          <w:iCs/>
          <w:color w:val="000000" w:themeColor="text1"/>
        </w:rPr>
        <w:t>ceda</w:t>
      </w:r>
      <w:r w:rsidRPr="0054097F">
        <w:rPr>
          <w:rFonts w:ascii="Verdana" w:eastAsia="Calibri" w:hAnsi="Verdana" w:cs="Arial"/>
          <w:bCs/>
          <w:color w:val="000000" w:themeColor="text1"/>
        </w:rPr>
        <w:t>’ el contrato sin estar autorizado para ello incurre en grave responsabilidad: su actitud implica ‘</w:t>
      </w:r>
      <w:r w:rsidRPr="0054097F">
        <w:rPr>
          <w:rFonts w:ascii="Verdana" w:eastAsia="Calibri" w:hAnsi="Verdana" w:cs="Arial"/>
          <w:bCs/>
          <w:i/>
          <w:iCs/>
          <w:color w:val="000000" w:themeColor="text1"/>
        </w:rPr>
        <w:t>incumplimiento</w:t>
      </w:r>
      <w:r w:rsidRPr="0054097F">
        <w:rPr>
          <w:rFonts w:ascii="Verdana" w:eastAsia="Calibri" w:hAnsi="Verdana" w:cs="Arial"/>
          <w:bCs/>
          <w:color w:val="000000" w:themeColor="text1"/>
        </w:rPr>
        <w:t>’ del contrato; de ahí que esa cesión ilícita no resulte oponible a la Administración Pública […]”</w:t>
      </w:r>
      <w:r w:rsidRPr="0054097F">
        <w:rPr>
          <w:rStyle w:val="Refdenotaalpie"/>
          <w:rFonts w:ascii="Verdana" w:eastAsia="Calibri" w:hAnsi="Verdana" w:cs="Arial"/>
          <w:bCs/>
          <w:color w:val="000000" w:themeColor="text1"/>
        </w:rPr>
        <w:footnoteReference w:id="8"/>
      </w:r>
      <w:r w:rsidRPr="0054097F">
        <w:rPr>
          <w:rFonts w:ascii="Verdana" w:eastAsia="Calibri" w:hAnsi="Verdana" w:cs="Arial"/>
          <w:bCs/>
          <w:color w:val="000000" w:themeColor="text1"/>
        </w:rPr>
        <w:t xml:space="preserve">. Este requisito introduce un elemento especial que no está previsto en el Código de Comercio, pues en el derecho privado –salvo las excepciones previstas en la ley– la cesión requiere el acuerdo de voluntades entre el cedente y el cesionario, sin que medie la aceptación del contratante cedido. </w:t>
      </w:r>
    </w:p>
    <w:p w14:paraId="4EE716B6" w14:textId="77777777" w:rsidR="009D16CB" w:rsidRPr="0054097F" w:rsidRDefault="009D16CB" w:rsidP="009D16CB">
      <w:pPr>
        <w:pStyle w:val="Prrafodelista"/>
        <w:spacing w:line="276" w:lineRule="auto"/>
        <w:rPr>
          <w:rFonts w:ascii="Verdana" w:eastAsia="Calibri" w:hAnsi="Verdana" w:cs="Arial"/>
          <w:color w:val="000000" w:themeColor="text1"/>
        </w:rPr>
      </w:pPr>
    </w:p>
    <w:p w14:paraId="125F2201" w14:textId="77777777" w:rsidR="009D16CB" w:rsidRPr="0054097F" w:rsidRDefault="009D16CB" w:rsidP="009D16CB">
      <w:pPr>
        <w:pStyle w:val="Prrafodelista"/>
        <w:numPr>
          <w:ilvl w:val="0"/>
          <w:numId w:val="7"/>
        </w:numPr>
        <w:spacing w:after="0" w:line="276" w:lineRule="auto"/>
        <w:jc w:val="both"/>
        <w:rPr>
          <w:rFonts w:ascii="Verdana" w:eastAsia="Calibri" w:hAnsi="Verdana" w:cs="Arial"/>
          <w:bCs/>
          <w:color w:val="000000" w:themeColor="text1"/>
        </w:rPr>
      </w:pPr>
      <w:r w:rsidRPr="0054097F">
        <w:rPr>
          <w:rFonts w:ascii="Verdana" w:eastAsia="Calibri" w:hAnsi="Verdana" w:cs="Arial"/>
          <w:color w:val="000000" w:themeColor="text1"/>
        </w:rPr>
        <w:t>En relación con lo anterior la doctrina define la cesión en los contratos estatales de la siguiente manera:</w:t>
      </w:r>
    </w:p>
    <w:p w14:paraId="66A84AB1" w14:textId="77777777" w:rsidR="009D16CB" w:rsidRPr="0054097F" w:rsidRDefault="009D16CB" w:rsidP="009D16CB">
      <w:pPr>
        <w:spacing w:after="0" w:line="276" w:lineRule="auto"/>
        <w:ind w:firstLine="708"/>
        <w:jc w:val="both"/>
        <w:rPr>
          <w:rFonts w:ascii="Verdana" w:eastAsia="Calibri" w:hAnsi="Verdana" w:cs="Arial"/>
          <w:color w:val="000000" w:themeColor="text1"/>
        </w:rPr>
      </w:pPr>
      <w:r w:rsidRPr="0054097F">
        <w:rPr>
          <w:rFonts w:ascii="Verdana" w:eastAsia="Calibri" w:hAnsi="Verdana" w:cs="Arial"/>
          <w:color w:val="000000" w:themeColor="text1"/>
        </w:rPr>
        <w:t xml:space="preserve"> </w:t>
      </w:r>
    </w:p>
    <w:p w14:paraId="61464955" w14:textId="77777777" w:rsidR="009D16CB" w:rsidRPr="0054097F" w:rsidRDefault="009D16CB" w:rsidP="009D16CB">
      <w:pPr>
        <w:spacing w:after="0" w:line="276" w:lineRule="auto"/>
        <w:ind w:left="709" w:right="709"/>
        <w:jc w:val="both"/>
        <w:rPr>
          <w:rFonts w:ascii="Verdana" w:eastAsia="Calibri" w:hAnsi="Verdana" w:cs="Arial"/>
          <w:color w:val="000000" w:themeColor="text1"/>
        </w:rPr>
      </w:pPr>
      <w:r w:rsidRPr="0054097F">
        <w:rPr>
          <w:rFonts w:ascii="Verdana" w:eastAsia="Calibri" w:hAnsi="Verdana" w:cs="Arial"/>
          <w:color w:val="000000" w:themeColor="text1"/>
        </w:rPr>
        <w:t xml:space="preserve">“La cesión en la contratación estatal supone, previa autorización de la entidad contratante, la sustitución </w:t>
      </w:r>
      <w:r w:rsidRPr="0054097F">
        <w:rPr>
          <w:rFonts w:ascii="Verdana" w:eastAsia="Calibri" w:hAnsi="Verdana" w:cs="Arial"/>
          <w:i/>
          <w:iCs/>
          <w:color w:val="000000" w:themeColor="text1"/>
        </w:rPr>
        <w:t>in genere</w:t>
      </w:r>
      <w:r w:rsidRPr="0054097F">
        <w:rPr>
          <w:rFonts w:ascii="Verdana" w:eastAsia="Calibri" w:hAnsi="Verdana" w:cs="Arial"/>
          <w:color w:val="000000" w:themeColor="text1"/>
        </w:rPr>
        <w:t>, total o parcial, de una de las partes de la relación jurídica (contratante o contratista) por un tercero, que se subroga en los derechos y obligaciones de aquella, por medio de la modificación del contrato estatal originario. La cesión posibilita el reemplazo total o parcial de una parte en su posición contractual originaria, sin que sea precisa la transferencia individual de cuantos derechos y obligaciones conforman la universalidad jurídica a ceder […]”</w:t>
      </w:r>
      <w:r w:rsidRPr="0054097F">
        <w:rPr>
          <w:rStyle w:val="Refdenotaalpie"/>
          <w:rFonts w:ascii="Verdana" w:hAnsi="Verdana" w:cs="Arial"/>
          <w:color w:val="000000" w:themeColor="text1"/>
        </w:rPr>
        <w:footnoteReference w:id="9"/>
      </w:r>
      <w:r w:rsidRPr="0054097F">
        <w:rPr>
          <w:rFonts w:ascii="Verdana" w:eastAsia="Calibri" w:hAnsi="Verdana" w:cs="Arial"/>
          <w:color w:val="000000" w:themeColor="text1"/>
        </w:rPr>
        <w:t>.</w:t>
      </w:r>
    </w:p>
    <w:p w14:paraId="60782455" w14:textId="77777777" w:rsidR="009D16CB" w:rsidRPr="0054097F" w:rsidRDefault="009D16CB" w:rsidP="009D16CB">
      <w:pPr>
        <w:spacing w:after="0" w:line="276" w:lineRule="auto"/>
        <w:jc w:val="both"/>
        <w:rPr>
          <w:rFonts w:ascii="Verdana" w:eastAsia="Calibri" w:hAnsi="Verdana" w:cs="Arial"/>
          <w:color w:val="000000" w:themeColor="text1"/>
        </w:rPr>
      </w:pPr>
    </w:p>
    <w:p w14:paraId="7C16C4A4" w14:textId="77777777" w:rsidR="009D16CB" w:rsidRPr="0054097F" w:rsidRDefault="009D16CB" w:rsidP="009D16CB">
      <w:pPr>
        <w:pStyle w:val="Prrafodelista"/>
        <w:numPr>
          <w:ilvl w:val="0"/>
          <w:numId w:val="8"/>
        </w:numPr>
        <w:spacing w:after="120" w:line="276" w:lineRule="auto"/>
        <w:jc w:val="both"/>
        <w:rPr>
          <w:rFonts w:ascii="Verdana" w:eastAsia="Calibri" w:hAnsi="Verdana" w:cs="Arial"/>
          <w:bCs/>
          <w:color w:val="000000" w:themeColor="text1"/>
        </w:rPr>
      </w:pPr>
      <w:r w:rsidRPr="0054097F">
        <w:rPr>
          <w:rFonts w:ascii="Verdana" w:eastAsia="Calibri" w:hAnsi="Verdana" w:cs="Arial"/>
          <w:bCs/>
          <w:color w:val="000000" w:themeColor="text1"/>
        </w:rPr>
        <w:t xml:space="preserve">Autorizada previamente por la entidad cedida, esta forma de cesión requiere la suscripción de un contrato entre el cedente y el cesionario, por lo que es bilateral en la medida en que requiere un acuerdo voluntades. Con fundamento en el mismo, el cesionario reemplaza –en todo o en </w:t>
      </w:r>
      <w:r w:rsidRPr="0054097F">
        <w:rPr>
          <w:rFonts w:ascii="Verdana" w:eastAsia="Calibri" w:hAnsi="Verdana" w:cs="Arial"/>
          <w:bCs/>
          <w:color w:val="000000" w:themeColor="text1"/>
        </w:rPr>
        <w:lastRenderedPageBreak/>
        <w:t>parte– al contratista cedente en la ejecución del contrato estatal, respondiendo por el cumplimiento de las obligaciones frente a la Administración.</w:t>
      </w:r>
      <w:r w:rsidRPr="0054097F">
        <w:rPr>
          <w:rFonts w:ascii="Verdana" w:hAnsi="Verdana"/>
        </w:rPr>
        <w:t xml:space="preserve"> </w:t>
      </w:r>
      <w:r w:rsidRPr="0054097F">
        <w:rPr>
          <w:rFonts w:ascii="Verdana" w:eastAsia="Calibri" w:hAnsi="Verdana" w:cs="Arial"/>
          <w:bCs/>
          <w:color w:val="000000" w:themeColor="text1"/>
        </w:rPr>
        <w:t>El inciso primero del artículo 888 del Código de Comercio señala que “La sustitución podrá hacerse por escrito o verbalmente, según que el contrato conste o no por escrito”. Como el contrato estatal es solemne en los términos de los artículos 39 y 41 de la Ley 80 de 1993, se impone la forma escrita para cederlo</w:t>
      </w:r>
      <w:r w:rsidRPr="0054097F">
        <w:rPr>
          <w:rFonts w:ascii="Verdana" w:eastAsia="Calibri" w:hAnsi="Verdana" w:cs="Arial"/>
          <w:color w:val="000000" w:themeColor="text1"/>
        </w:rPr>
        <w:t xml:space="preserve">. </w:t>
      </w:r>
    </w:p>
    <w:p w14:paraId="1082B9C6" w14:textId="77777777" w:rsidR="009D16CB" w:rsidRPr="0054097F" w:rsidRDefault="009D16CB" w:rsidP="009D16CB">
      <w:pPr>
        <w:pStyle w:val="Prrafodelista"/>
        <w:tabs>
          <w:tab w:val="left" w:pos="709"/>
        </w:tabs>
        <w:spacing w:after="120" w:line="276" w:lineRule="auto"/>
        <w:jc w:val="both"/>
        <w:rPr>
          <w:rFonts w:ascii="Verdana" w:eastAsia="Calibri" w:hAnsi="Verdana" w:cs="Arial"/>
          <w:color w:val="000000" w:themeColor="text1"/>
        </w:rPr>
      </w:pPr>
      <w:bookmarkStart w:id="2" w:name="_Hlk80369799"/>
    </w:p>
    <w:p w14:paraId="021D8D84" w14:textId="77777777" w:rsidR="009D16CB" w:rsidRPr="0054097F" w:rsidRDefault="009D16CB" w:rsidP="009D16CB">
      <w:pPr>
        <w:pStyle w:val="Prrafodelista"/>
        <w:numPr>
          <w:ilvl w:val="0"/>
          <w:numId w:val="8"/>
        </w:numPr>
        <w:tabs>
          <w:tab w:val="left" w:pos="709"/>
        </w:tabs>
        <w:spacing w:after="120" w:line="276" w:lineRule="auto"/>
        <w:jc w:val="both"/>
        <w:rPr>
          <w:rFonts w:ascii="Verdana" w:eastAsia="Calibri" w:hAnsi="Verdana" w:cs="Arial"/>
          <w:color w:val="000000" w:themeColor="text1"/>
        </w:rPr>
      </w:pPr>
      <w:r w:rsidRPr="0054097F">
        <w:rPr>
          <w:rFonts w:ascii="Verdana" w:eastAsia="Calibri" w:hAnsi="Verdana" w:cs="Arial"/>
          <w:color w:val="000000" w:themeColor="text1"/>
        </w:rPr>
        <w:t xml:space="preserve">Por lo demás, el Consejo de Estado ha precisado como requisitos de la cesión del contrato estatal los siguientes: i) debe recaer en un tercero; </w:t>
      </w:r>
      <w:proofErr w:type="spellStart"/>
      <w:r w:rsidRPr="0054097F">
        <w:rPr>
          <w:rFonts w:ascii="Verdana" w:eastAsia="Calibri" w:hAnsi="Verdana" w:cs="Arial"/>
          <w:color w:val="000000" w:themeColor="text1"/>
        </w:rPr>
        <w:t>ii</w:t>
      </w:r>
      <w:proofErr w:type="spellEnd"/>
      <w:r w:rsidRPr="0054097F">
        <w:rPr>
          <w:rFonts w:ascii="Verdana" w:eastAsia="Calibri" w:hAnsi="Verdana" w:cs="Arial"/>
          <w:color w:val="000000" w:themeColor="text1"/>
        </w:rPr>
        <w:t xml:space="preserve">) el cesionario debe tener capacidad jurídica para continuar con la ejecución del objeto contractual y no estar incurso en causales de inhabilidad e incompatibilidad para contratar; y </w:t>
      </w:r>
      <w:proofErr w:type="spellStart"/>
      <w:r w:rsidRPr="0054097F">
        <w:rPr>
          <w:rFonts w:ascii="Verdana" w:eastAsia="Calibri" w:hAnsi="Verdana" w:cs="Arial"/>
          <w:color w:val="000000" w:themeColor="text1"/>
        </w:rPr>
        <w:t>iii</w:t>
      </w:r>
      <w:proofErr w:type="spellEnd"/>
      <w:r w:rsidRPr="0054097F">
        <w:rPr>
          <w:rFonts w:ascii="Verdana" w:eastAsia="Calibri" w:hAnsi="Verdana" w:cs="Arial"/>
          <w:color w:val="000000" w:themeColor="text1"/>
        </w:rPr>
        <w:t xml:space="preserve">) el cesionario debe contar con capacidad técnica, económica y financiera suficientes para el cumplimiento de las obligaciones emanadas del contrato cedido. </w:t>
      </w:r>
    </w:p>
    <w:p w14:paraId="42CAB75A" w14:textId="77777777" w:rsidR="009D16CB" w:rsidRPr="0054097F" w:rsidRDefault="009D16CB" w:rsidP="009D16CB">
      <w:pPr>
        <w:pStyle w:val="Prrafodelista"/>
        <w:spacing w:line="276" w:lineRule="auto"/>
        <w:rPr>
          <w:rFonts w:ascii="Verdana" w:eastAsia="Calibri" w:hAnsi="Verdana" w:cs="Arial"/>
          <w:color w:val="000000" w:themeColor="text1"/>
        </w:rPr>
      </w:pPr>
    </w:p>
    <w:p w14:paraId="75E8CC97" w14:textId="77777777" w:rsidR="009D16CB" w:rsidRPr="0054097F" w:rsidRDefault="009D16CB" w:rsidP="009D16CB">
      <w:pPr>
        <w:pStyle w:val="Prrafodelista"/>
        <w:numPr>
          <w:ilvl w:val="0"/>
          <w:numId w:val="8"/>
        </w:numPr>
        <w:tabs>
          <w:tab w:val="left" w:pos="709"/>
        </w:tabs>
        <w:spacing w:after="120" w:line="276" w:lineRule="auto"/>
        <w:jc w:val="both"/>
        <w:rPr>
          <w:rFonts w:ascii="Verdana" w:eastAsia="Calibri" w:hAnsi="Verdana" w:cs="Arial"/>
          <w:color w:val="000000" w:themeColor="text1"/>
        </w:rPr>
      </w:pPr>
      <w:r w:rsidRPr="0054097F">
        <w:rPr>
          <w:rFonts w:ascii="Verdana" w:eastAsia="Calibri" w:hAnsi="Verdana" w:cs="Arial"/>
          <w:color w:val="000000" w:themeColor="text1"/>
        </w:rPr>
        <w:t>En ese sentido, la Sección Tercera del Consejo de Estado ha explicado que, en la medida que el tercero cesionario asume la posición contractual del contratista cedente, las disposiciones, los pliegos de condiciones y el contrato mismo serán aplicables a quien asuma la nueva posición contractual. De esta manera, la capacidad jurídica, económica y técnica del contratista cedente se exigirá también al cesionario</w:t>
      </w:r>
      <w:bookmarkStart w:id="3" w:name="_Hlk80369829"/>
      <w:bookmarkEnd w:id="2"/>
      <w:r w:rsidRPr="0054097F">
        <w:rPr>
          <w:rFonts w:ascii="Verdana" w:eastAsia="Calibri" w:hAnsi="Verdana" w:cs="Arial"/>
          <w:color w:val="000000" w:themeColor="text1"/>
        </w:rPr>
        <w:t>, ya que “[…] el proceso cesión del contrato y las exigencias que se le impongan al tercero, no pueden alterar ni burlar los procedimientos de selección del contratista, en otras palabras, la figura de la cesión de contrato no puede servir como instrumento para desviar las obligaciones que tiene la entidad contratante de cumplimiento de los parámetros de la selección objetiva</w:t>
      </w:r>
      <w:bookmarkEnd w:id="3"/>
      <w:r w:rsidRPr="0054097F">
        <w:rPr>
          <w:rFonts w:ascii="Verdana" w:eastAsia="Calibri" w:hAnsi="Verdana" w:cs="Arial"/>
          <w:color w:val="000000" w:themeColor="text1"/>
        </w:rPr>
        <w:t>”</w:t>
      </w:r>
      <w:r w:rsidRPr="0054097F">
        <w:rPr>
          <w:rStyle w:val="Refdenotaalpie"/>
          <w:rFonts w:ascii="Verdana" w:eastAsia="Calibri" w:hAnsi="Verdana" w:cs="Arial"/>
          <w:color w:val="000000" w:themeColor="text1"/>
        </w:rPr>
        <w:footnoteReference w:id="10"/>
      </w:r>
      <w:r w:rsidRPr="0054097F">
        <w:rPr>
          <w:rFonts w:ascii="Verdana" w:eastAsia="Calibri" w:hAnsi="Verdana" w:cs="Arial"/>
          <w:color w:val="000000" w:themeColor="text1"/>
        </w:rPr>
        <w:t>.</w:t>
      </w:r>
      <w:bookmarkStart w:id="4" w:name="_Hlk80369857"/>
    </w:p>
    <w:p w14:paraId="7EFDA5FA" w14:textId="77777777" w:rsidR="009D16CB" w:rsidRDefault="009D16CB" w:rsidP="009D16CB">
      <w:pPr>
        <w:pStyle w:val="NormalWeb"/>
        <w:numPr>
          <w:ilvl w:val="0"/>
          <w:numId w:val="8"/>
        </w:numPr>
        <w:spacing w:before="100" w:beforeAutospacing="1" w:after="0" w:line="276" w:lineRule="auto"/>
        <w:jc w:val="both"/>
        <w:rPr>
          <w:rFonts w:ascii="Verdana" w:hAnsi="Verdana"/>
          <w:sz w:val="22"/>
          <w:szCs w:val="22"/>
        </w:rPr>
      </w:pPr>
      <w:r w:rsidRPr="0054097F">
        <w:rPr>
          <w:rFonts w:ascii="Verdana" w:hAnsi="Verdana"/>
          <w:sz w:val="22"/>
          <w:szCs w:val="22"/>
        </w:rPr>
        <w:t xml:space="preserve">Es por eso </w:t>
      </w:r>
      <w:proofErr w:type="gramStart"/>
      <w:r w:rsidRPr="0054097F">
        <w:rPr>
          <w:rFonts w:ascii="Verdana" w:hAnsi="Verdana"/>
          <w:sz w:val="22"/>
          <w:szCs w:val="22"/>
        </w:rPr>
        <w:t>que</w:t>
      </w:r>
      <w:proofErr w:type="gramEnd"/>
      <w:r w:rsidRPr="0054097F">
        <w:rPr>
          <w:rFonts w:ascii="Verdana" w:hAnsi="Verdana"/>
          <w:sz w:val="22"/>
          <w:szCs w:val="22"/>
        </w:rPr>
        <w:t xml:space="preserve">, en el contrato de cesión, el cesionario reemplaza –en todo o en parte– al contratista cedente en la ejecución del contrato estatal, respondiendo por el cumplimiento de las obligaciones frente a la Administración. En consecuencia, es deber tanto de las entidades estatales como del contratista cedente y cesionario garantizar que la aseguradora actualice la nueva información con el fin de mantener los </w:t>
      </w:r>
      <w:r w:rsidRPr="0054097F">
        <w:rPr>
          <w:rFonts w:ascii="Verdana" w:hAnsi="Verdana"/>
          <w:sz w:val="22"/>
          <w:szCs w:val="22"/>
        </w:rPr>
        <w:lastRenderedPageBreak/>
        <w:t>amparos, coberturas y suficiencias requeridas en la etapa precontractual, por tanto, una vez actualizada requerirá́ aprobación de la entidad estatal.</w:t>
      </w:r>
      <w:bookmarkEnd w:id="4"/>
    </w:p>
    <w:p w14:paraId="63D56207" w14:textId="77777777" w:rsidR="009D16CB" w:rsidRPr="00E51F1A" w:rsidRDefault="009D16CB" w:rsidP="009D16CB">
      <w:pPr>
        <w:pStyle w:val="NormalWeb"/>
        <w:spacing w:line="276" w:lineRule="auto"/>
        <w:ind w:left="720"/>
        <w:jc w:val="both"/>
        <w:rPr>
          <w:rFonts w:ascii="Verdana" w:hAnsi="Verdana"/>
          <w:sz w:val="22"/>
          <w:szCs w:val="22"/>
        </w:rPr>
      </w:pPr>
    </w:p>
    <w:p w14:paraId="0C1E8A47" w14:textId="77777777" w:rsidR="009D16CB" w:rsidRPr="00842F9C" w:rsidRDefault="009D16CB" w:rsidP="009D16CB">
      <w:pPr>
        <w:pStyle w:val="Prrafodelista"/>
        <w:numPr>
          <w:ilvl w:val="0"/>
          <w:numId w:val="8"/>
        </w:numPr>
        <w:tabs>
          <w:tab w:val="left" w:pos="709"/>
        </w:tabs>
        <w:spacing w:after="0" w:line="276" w:lineRule="auto"/>
        <w:jc w:val="both"/>
        <w:rPr>
          <w:rFonts w:ascii="Verdana" w:eastAsia="Calibri" w:hAnsi="Verdana" w:cs="Arial"/>
          <w:color w:val="000000" w:themeColor="text1"/>
        </w:rPr>
      </w:pPr>
      <w:r w:rsidRPr="0054097F">
        <w:rPr>
          <w:rFonts w:ascii="Verdana" w:eastAsia="Calibri" w:hAnsi="Verdana" w:cs="Arial"/>
          <w:color w:val="000000" w:themeColor="text1"/>
        </w:rPr>
        <w:t>En conclusión, la entidad estatal en el trámite de autorización de una cesión está obligada a respetar los criterios normativos que resulten aplicables al proceso de contratación, entre otros, los principios de transparencia, selección objetiva e igualdad, a fin de evitar la afectación del erario público por aprobar una cesión sin el cumplimiento de los requisitos de idoneidad del cesionario, para lo cual deberá exigir lo estipulado en los documentos precontractuales y contractuales del proceso de contratación. En otros términos, so pretexto de una cesión contractual, no pueden vulnerarse las reglas y principios de la contratación estatal.</w:t>
      </w:r>
    </w:p>
    <w:p w14:paraId="0AAB7035" w14:textId="77777777" w:rsidR="009D16CB" w:rsidRPr="00EC01EF" w:rsidRDefault="009D16CB" w:rsidP="009D16CB">
      <w:pPr>
        <w:tabs>
          <w:tab w:val="left" w:pos="709"/>
        </w:tabs>
        <w:spacing w:after="0" w:line="276" w:lineRule="auto"/>
        <w:jc w:val="both"/>
        <w:rPr>
          <w:rFonts w:ascii="Verdana" w:eastAsia="Calibri" w:hAnsi="Verdana" w:cs="Arial"/>
          <w:color w:val="000000" w:themeColor="text1"/>
        </w:rPr>
      </w:pPr>
    </w:p>
    <w:p w14:paraId="6DFC4D62" w14:textId="77777777" w:rsidR="009D16CB" w:rsidRPr="00115E3D" w:rsidRDefault="009D16CB" w:rsidP="009D16CB">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Referencias normativas, jurisprudenciales y otras fuentes:</w:t>
      </w:r>
    </w:p>
    <w:p w14:paraId="0331A849" w14:textId="77777777" w:rsidR="009D16CB" w:rsidRPr="00115E3D" w:rsidRDefault="009D16CB" w:rsidP="009D16CB">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D16CB" w:rsidRPr="00115E3D" w14:paraId="014C1B7B" w14:textId="77777777" w:rsidTr="00F62388">
        <w:trPr>
          <w:trHeight w:val="870"/>
        </w:trPr>
        <w:tc>
          <w:tcPr>
            <w:tcW w:w="8647" w:type="dxa"/>
          </w:tcPr>
          <w:p w14:paraId="2311996A" w14:textId="77777777" w:rsidR="009D16CB" w:rsidRPr="001D18E6" w:rsidRDefault="009D16CB" w:rsidP="009D16CB">
            <w:pPr>
              <w:pStyle w:val="Textonotapie"/>
              <w:numPr>
                <w:ilvl w:val="0"/>
                <w:numId w:val="3"/>
              </w:numPr>
              <w:rPr>
                <w:rFonts w:ascii="Verdana" w:hAnsi="Verdana"/>
                <w:sz w:val="22"/>
                <w:szCs w:val="22"/>
                <w:lang w:val="es-CO"/>
              </w:rPr>
            </w:pPr>
            <w:r w:rsidRPr="001D18E6">
              <w:rPr>
                <w:rFonts w:ascii="Verdana" w:hAnsi="Verdana"/>
                <w:sz w:val="22"/>
                <w:szCs w:val="22"/>
                <w:lang w:val="es-CO"/>
              </w:rPr>
              <w:t>Ley 80 de 1993, artículos 9, 13, 32, 39, 40 y 41.</w:t>
            </w:r>
          </w:p>
          <w:p w14:paraId="75374761" w14:textId="77777777" w:rsidR="009D16CB" w:rsidRPr="001D18E6" w:rsidRDefault="009D16CB" w:rsidP="009D16CB">
            <w:pPr>
              <w:pStyle w:val="Textonotapie"/>
              <w:numPr>
                <w:ilvl w:val="0"/>
                <w:numId w:val="3"/>
              </w:numPr>
              <w:rPr>
                <w:rFonts w:ascii="Verdana" w:hAnsi="Verdana"/>
                <w:sz w:val="22"/>
                <w:szCs w:val="22"/>
                <w:lang w:val="es-CO"/>
              </w:rPr>
            </w:pPr>
            <w:r w:rsidRPr="001D18E6">
              <w:rPr>
                <w:rFonts w:ascii="Verdana" w:hAnsi="Verdana"/>
                <w:sz w:val="22"/>
                <w:szCs w:val="22"/>
                <w:lang w:val="es-CO"/>
              </w:rPr>
              <w:t>Código de Comercio, artículos 887 y siguientes.</w:t>
            </w:r>
          </w:p>
          <w:p w14:paraId="64BA5D35" w14:textId="77777777" w:rsidR="009D16CB" w:rsidRPr="001D18E6" w:rsidRDefault="009D16CB" w:rsidP="009D16CB">
            <w:pPr>
              <w:pStyle w:val="Textonotapie"/>
              <w:numPr>
                <w:ilvl w:val="0"/>
                <w:numId w:val="3"/>
              </w:numPr>
              <w:rPr>
                <w:rFonts w:ascii="Verdana" w:hAnsi="Verdana"/>
                <w:sz w:val="22"/>
                <w:szCs w:val="22"/>
                <w:lang w:val="es-CO"/>
              </w:rPr>
            </w:pPr>
            <w:r w:rsidRPr="001D18E6">
              <w:rPr>
                <w:rFonts w:ascii="Verdana" w:hAnsi="Verdana"/>
                <w:sz w:val="22"/>
                <w:szCs w:val="22"/>
                <w:lang w:val="es-CO"/>
              </w:rPr>
              <w:t>Código Civil, artículo 1501, 1959 y siguientes.</w:t>
            </w:r>
          </w:p>
          <w:p w14:paraId="5C969597" w14:textId="77777777" w:rsidR="009D16CB" w:rsidRPr="001D18E6" w:rsidRDefault="009D16CB" w:rsidP="009D16CB">
            <w:pPr>
              <w:pStyle w:val="Textonotapie"/>
              <w:numPr>
                <w:ilvl w:val="0"/>
                <w:numId w:val="3"/>
              </w:numPr>
              <w:rPr>
                <w:rFonts w:ascii="Verdana" w:hAnsi="Verdana"/>
                <w:sz w:val="22"/>
                <w:szCs w:val="22"/>
                <w:lang w:val="es-CO"/>
              </w:rPr>
            </w:pPr>
            <w:r w:rsidRPr="001D18E6">
              <w:rPr>
                <w:rFonts w:ascii="Verdana" w:hAnsi="Verdana"/>
                <w:sz w:val="22"/>
                <w:szCs w:val="22"/>
                <w:lang w:val="es-CO"/>
              </w:rPr>
              <w:t>Consejo de Estado, Sección Tercera, Sentencia del 16 de marzo de 2015, Rad. 1999-03028, M.P. Jaime Orlando Santofimio Gamboa.</w:t>
            </w:r>
          </w:p>
          <w:p w14:paraId="17F5ABCF" w14:textId="77777777" w:rsidR="009D16CB" w:rsidRPr="001D18E6" w:rsidRDefault="009D16CB" w:rsidP="009D16CB">
            <w:pPr>
              <w:pStyle w:val="Textonotapie"/>
              <w:numPr>
                <w:ilvl w:val="0"/>
                <w:numId w:val="3"/>
              </w:numPr>
              <w:rPr>
                <w:rFonts w:ascii="Verdana" w:hAnsi="Verdana"/>
                <w:sz w:val="22"/>
                <w:szCs w:val="22"/>
                <w:lang w:val="es-CO"/>
              </w:rPr>
            </w:pPr>
            <w:r w:rsidRPr="001D18E6">
              <w:rPr>
                <w:rFonts w:ascii="Verdana" w:hAnsi="Verdana"/>
                <w:sz w:val="22"/>
                <w:szCs w:val="22"/>
                <w:lang w:val="es-CO"/>
              </w:rPr>
              <w:t xml:space="preserve">MESSINEO, Francesco. Doctrina general del contrato. Santiago: </w:t>
            </w:r>
            <w:proofErr w:type="spellStart"/>
            <w:r w:rsidRPr="001D18E6">
              <w:rPr>
                <w:rFonts w:ascii="Verdana" w:hAnsi="Verdana"/>
                <w:sz w:val="22"/>
                <w:szCs w:val="22"/>
                <w:lang w:val="es-CO"/>
              </w:rPr>
              <w:t>Olejnik</w:t>
            </w:r>
            <w:proofErr w:type="spellEnd"/>
            <w:r w:rsidRPr="001D18E6">
              <w:rPr>
                <w:rFonts w:ascii="Verdana" w:hAnsi="Verdana"/>
                <w:sz w:val="22"/>
                <w:szCs w:val="22"/>
                <w:lang w:val="es-CO"/>
              </w:rPr>
              <w:t>, 2018.</w:t>
            </w:r>
          </w:p>
          <w:p w14:paraId="46CCD188" w14:textId="77777777" w:rsidR="009D16CB" w:rsidRPr="001D18E6" w:rsidRDefault="009D16CB" w:rsidP="009D16CB">
            <w:pPr>
              <w:pStyle w:val="Textonotapie"/>
              <w:numPr>
                <w:ilvl w:val="0"/>
                <w:numId w:val="3"/>
              </w:numPr>
              <w:rPr>
                <w:rFonts w:ascii="Verdana" w:hAnsi="Verdana"/>
                <w:sz w:val="22"/>
                <w:szCs w:val="22"/>
                <w:lang w:val="es-CO"/>
              </w:rPr>
            </w:pPr>
            <w:r w:rsidRPr="001D18E6">
              <w:rPr>
                <w:rFonts w:ascii="Verdana" w:hAnsi="Verdana"/>
                <w:sz w:val="22"/>
                <w:szCs w:val="22"/>
                <w:lang w:val="es-CO"/>
              </w:rPr>
              <w:t xml:space="preserve">ROPPO, </w:t>
            </w:r>
            <w:proofErr w:type="spellStart"/>
            <w:r w:rsidRPr="001D18E6">
              <w:rPr>
                <w:rFonts w:ascii="Verdana" w:hAnsi="Verdana"/>
                <w:sz w:val="22"/>
                <w:szCs w:val="22"/>
                <w:lang w:val="es-CO"/>
              </w:rPr>
              <w:t>Vincenzo</w:t>
            </w:r>
            <w:proofErr w:type="spellEnd"/>
            <w:r w:rsidRPr="001D18E6">
              <w:rPr>
                <w:rFonts w:ascii="Verdana" w:hAnsi="Verdana"/>
                <w:sz w:val="22"/>
                <w:szCs w:val="22"/>
                <w:lang w:val="es-CO"/>
              </w:rPr>
              <w:t>. El contrato. Lima: Gaceta Jurídica, 2009.</w:t>
            </w:r>
          </w:p>
          <w:p w14:paraId="3A8F2420" w14:textId="77777777" w:rsidR="009D16CB" w:rsidRPr="001D18E6" w:rsidRDefault="009D16CB" w:rsidP="009D16CB">
            <w:pPr>
              <w:pStyle w:val="Textonotapie"/>
              <w:numPr>
                <w:ilvl w:val="0"/>
                <w:numId w:val="3"/>
              </w:numPr>
              <w:rPr>
                <w:rFonts w:ascii="Verdana" w:hAnsi="Verdana"/>
                <w:sz w:val="22"/>
                <w:szCs w:val="22"/>
                <w:lang w:val="es-CO"/>
              </w:rPr>
            </w:pPr>
            <w:r w:rsidRPr="001D18E6">
              <w:rPr>
                <w:rFonts w:ascii="Verdana" w:hAnsi="Verdana"/>
                <w:sz w:val="22"/>
                <w:szCs w:val="22"/>
                <w:lang w:val="es-CO"/>
              </w:rPr>
              <w:t>HINESTROSA, Fernando. Tratado de las obligaciones: concepto, estructura y vicisitudes. Tercera Edición. Bogotá: Universidad Externado de Colombia, 2007. Libro en formato EPUB.</w:t>
            </w:r>
          </w:p>
          <w:p w14:paraId="2069B1AC" w14:textId="77777777" w:rsidR="009D16CB" w:rsidRPr="001D18E6" w:rsidRDefault="009D16CB" w:rsidP="009D16CB">
            <w:pPr>
              <w:pStyle w:val="Textonotapie"/>
              <w:numPr>
                <w:ilvl w:val="0"/>
                <w:numId w:val="3"/>
              </w:numPr>
              <w:rPr>
                <w:rFonts w:ascii="Verdana" w:hAnsi="Verdana"/>
                <w:sz w:val="22"/>
                <w:szCs w:val="22"/>
                <w:lang w:val="es-CO"/>
              </w:rPr>
            </w:pPr>
            <w:r w:rsidRPr="001D18E6">
              <w:rPr>
                <w:rFonts w:ascii="Verdana" w:hAnsi="Verdana"/>
                <w:sz w:val="22"/>
                <w:szCs w:val="22"/>
                <w:lang w:val="es-CO"/>
              </w:rPr>
              <w:t>ARRUBLA PAUCAR, Jaime Alberto. Contratos mercantiles: teoría general del negocio mercantil. Decimocuarta Edición. Bogotá: Legis, 2021.</w:t>
            </w:r>
          </w:p>
          <w:p w14:paraId="11D1E95B" w14:textId="77777777" w:rsidR="009D16CB" w:rsidRPr="001D18E6" w:rsidRDefault="009D16CB" w:rsidP="009D16CB">
            <w:pPr>
              <w:pStyle w:val="Textonotapie"/>
              <w:numPr>
                <w:ilvl w:val="0"/>
                <w:numId w:val="3"/>
              </w:numPr>
              <w:rPr>
                <w:rFonts w:ascii="Verdana" w:hAnsi="Verdana"/>
                <w:sz w:val="22"/>
                <w:szCs w:val="22"/>
                <w:lang w:val="es-CO"/>
              </w:rPr>
            </w:pPr>
            <w:r w:rsidRPr="001D18E6">
              <w:rPr>
                <w:rFonts w:ascii="Verdana" w:hAnsi="Verdana"/>
                <w:sz w:val="22"/>
                <w:szCs w:val="22"/>
                <w:lang w:val="es-CO"/>
              </w:rPr>
              <w:t xml:space="preserve">ESCOLA, Jorge. Tratado integral de los contratos administrativos. Volumen I. Buenos Aires: </w:t>
            </w:r>
            <w:proofErr w:type="spellStart"/>
            <w:r w:rsidRPr="001D18E6">
              <w:rPr>
                <w:rFonts w:ascii="Verdana" w:hAnsi="Verdana"/>
                <w:sz w:val="22"/>
                <w:szCs w:val="22"/>
                <w:lang w:val="es-CO"/>
              </w:rPr>
              <w:t>Depalma</w:t>
            </w:r>
            <w:proofErr w:type="spellEnd"/>
            <w:r w:rsidRPr="001D18E6">
              <w:rPr>
                <w:rFonts w:ascii="Verdana" w:hAnsi="Verdana"/>
                <w:sz w:val="22"/>
                <w:szCs w:val="22"/>
                <w:lang w:val="es-CO"/>
              </w:rPr>
              <w:t>, 2012.</w:t>
            </w:r>
          </w:p>
          <w:p w14:paraId="3CF201AE" w14:textId="77777777" w:rsidR="009D16CB" w:rsidRPr="001D18E6" w:rsidRDefault="009D16CB" w:rsidP="009D16CB">
            <w:pPr>
              <w:pStyle w:val="Textonotapie"/>
              <w:numPr>
                <w:ilvl w:val="0"/>
                <w:numId w:val="3"/>
              </w:numPr>
              <w:rPr>
                <w:rFonts w:ascii="Verdana" w:hAnsi="Verdana"/>
                <w:sz w:val="22"/>
                <w:szCs w:val="22"/>
                <w:lang w:val="es-CO"/>
              </w:rPr>
            </w:pPr>
            <w:r w:rsidRPr="001D18E6">
              <w:rPr>
                <w:rFonts w:ascii="Verdana" w:hAnsi="Verdana"/>
                <w:sz w:val="22"/>
                <w:szCs w:val="22"/>
                <w:lang w:val="es-CO"/>
              </w:rPr>
              <w:t>MARIENHOFF, Miguel S. Tratado de derecho administrativo. Tomo IIIA. Cuarta Edición. Buenos Aires: Abeledo Perrot, 1998.</w:t>
            </w:r>
          </w:p>
          <w:p w14:paraId="2B373DD7" w14:textId="77777777" w:rsidR="009D16CB" w:rsidRPr="008F1419" w:rsidRDefault="009D16CB" w:rsidP="00F62388">
            <w:pPr>
              <w:pStyle w:val="Textonotapie"/>
              <w:spacing w:line="276" w:lineRule="auto"/>
              <w:ind w:left="720"/>
              <w:jc w:val="both"/>
              <w:rPr>
                <w:rFonts w:ascii="Verdana" w:hAnsi="Verdana"/>
                <w:sz w:val="22"/>
                <w:szCs w:val="22"/>
              </w:rPr>
            </w:pPr>
            <w:r w:rsidRPr="001D18E6">
              <w:rPr>
                <w:rFonts w:ascii="Verdana" w:hAnsi="Verdana"/>
                <w:sz w:val="22"/>
                <w:szCs w:val="22"/>
                <w:lang w:val="es-CO"/>
              </w:rPr>
              <w:t>RAMÍREZ GRISALES, Richard. La cesión. Serie: Las cláusulas del contrato estatal. Medellín: Centro de Estudios de Derecho Administrativo –CEDA– y Librería Jurídica Sánchez R., 2014.</w:t>
            </w:r>
          </w:p>
        </w:tc>
      </w:tr>
      <w:tr w:rsidR="009D16CB" w:rsidRPr="00115E3D" w14:paraId="6B3BC4CD" w14:textId="77777777" w:rsidTr="00F62388">
        <w:trPr>
          <w:trHeight w:val="58"/>
        </w:trPr>
        <w:tc>
          <w:tcPr>
            <w:tcW w:w="8647" w:type="dxa"/>
          </w:tcPr>
          <w:p w14:paraId="5FC6DDE7" w14:textId="77777777" w:rsidR="009D16CB" w:rsidRPr="008B585F" w:rsidRDefault="009D16CB" w:rsidP="00F62388">
            <w:pPr>
              <w:spacing w:line="276" w:lineRule="auto"/>
              <w:rPr>
                <w:rFonts w:ascii="Verdana" w:hAnsi="Verdana"/>
                <w:highlight w:val="yellow"/>
              </w:rPr>
            </w:pPr>
          </w:p>
        </w:tc>
      </w:tr>
    </w:tbl>
    <w:p w14:paraId="6EF9E8A0" w14:textId="77777777" w:rsidR="009D16CB" w:rsidRPr="00115E3D" w:rsidRDefault="009D16CB" w:rsidP="009D16CB">
      <w:pPr>
        <w:widowControl w:val="0"/>
        <w:autoSpaceDE w:val="0"/>
        <w:autoSpaceDN w:val="0"/>
        <w:spacing w:after="0" w:line="276" w:lineRule="auto"/>
        <w:jc w:val="both"/>
        <w:rPr>
          <w:rFonts w:ascii="Verdana" w:hAnsi="Verdana" w:cs="Arial"/>
          <w:color w:val="000000" w:themeColor="text1"/>
        </w:rPr>
      </w:pPr>
    </w:p>
    <w:p w14:paraId="045E4195" w14:textId="77777777" w:rsidR="009D16CB" w:rsidRPr="00115E3D" w:rsidRDefault="009D16CB" w:rsidP="009D16CB">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Doctrina de la Agencia Nacional de Contratación Pública:</w:t>
      </w:r>
    </w:p>
    <w:p w14:paraId="2F06A38F" w14:textId="77777777" w:rsidR="009D16CB" w:rsidRDefault="009D16CB" w:rsidP="009D16CB">
      <w:pPr>
        <w:widowControl w:val="0"/>
        <w:autoSpaceDE w:val="0"/>
        <w:autoSpaceDN w:val="0"/>
        <w:spacing w:after="0" w:line="276" w:lineRule="auto"/>
        <w:jc w:val="both"/>
        <w:rPr>
          <w:rFonts w:ascii="Verdana" w:hAnsi="Verdana" w:cs="Arial"/>
          <w:color w:val="000000" w:themeColor="text1"/>
        </w:rPr>
      </w:pPr>
    </w:p>
    <w:p w14:paraId="2CBD61CB" w14:textId="77777777" w:rsidR="009D16CB" w:rsidRPr="00213717" w:rsidRDefault="009D16CB" w:rsidP="009D16CB">
      <w:pPr>
        <w:widowControl w:val="0"/>
        <w:autoSpaceDE w:val="0"/>
        <w:autoSpaceDN w:val="0"/>
        <w:spacing w:after="0" w:line="276" w:lineRule="auto"/>
        <w:jc w:val="both"/>
        <w:rPr>
          <w:rStyle w:val="normaltextrun"/>
          <w:rFonts w:ascii="Verdana" w:eastAsia="Calibri" w:hAnsi="Verdana" w:cs="Arial"/>
          <w:lang w:eastAsia="es-ES_tradnl"/>
        </w:rPr>
      </w:pPr>
      <w:r w:rsidRPr="00E26368">
        <w:rPr>
          <w:rFonts w:ascii="Verdana" w:eastAsia="Calibri" w:hAnsi="Verdana" w:cs="Arial"/>
          <w:lang w:val="es-ES_tradnl" w:eastAsia="es-ES_tradnl"/>
        </w:rPr>
        <w:t xml:space="preserve">Sobre la cesión del contrato estatal se pronunció esta Subdirección en los conceptos 4201913000007643 y 4201913000007669 del 26 de diciembre de 2019, así como en los Conceptos C-551 del 24 de septiembre de 2020, C-572 del 27 de agosto de 2020, C-582 del 28 de agosto de 2020, C-385 del 20 de agosto de 2021, C-069 del 24 de abril de 2023 y </w:t>
      </w:r>
      <w:r w:rsidRPr="00E26368">
        <w:rPr>
          <w:rFonts w:ascii="Verdana" w:eastAsia="Calibri" w:hAnsi="Verdana" w:cs="Arial"/>
          <w:lang w:eastAsia="es-ES_tradnl"/>
        </w:rPr>
        <w:t>C –157 de 2024, C-172 del 6 de junio de 2023, C-032 del 16 de abril de 2024, </w:t>
      </w:r>
      <w:r w:rsidRPr="00E26368">
        <w:rPr>
          <w:rFonts w:ascii="Verdana" w:eastAsia="Calibri" w:hAnsi="Verdana" w:cs="Arial"/>
          <w:lang w:val="es-ES_tradnl" w:eastAsia="es-ES_tradnl"/>
        </w:rPr>
        <w:t>C-100 del 12 de junio de 2024</w:t>
      </w:r>
      <w:r>
        <w:rPr>
          <w:rFonts w:ascii="Verdana" w:eastAsia="Calibri" w:hAnsi="Verdana" w:cs="Arial"/>
          <w:lang w:val="es-ES_tradnl" w:eastAsia="es-ES_tradnl"/>
        </w:rPr>
        <w:t xml:space="preserve">, </w:t>
      </w:r>
      <w:r w:rsidRPr="00E26368">
        <w:rPr>
          <w:rFonts w:ascii="Verdana" w:eastAsia="Calibri" w:hAnsi="Verdana" w:cs="Arial"/>
          <w:lang w:val="es-ES_tradnl" w:eastAsia="es-ES_tradnl"/>
        </w:rPr>
        <w:t>C-325 del 06 de agosto de 2024</w:t>
      </w:r>
      <w:r>
        <w:rPr>
          <w:rFonts w:ascii="Verdana" w:eastAsia="Calibri" w:hAnsi="Verdana" w:cs="Arial"/>
          <w:lang w:val="es-ES" w:eastAsia="es-ES_tradnl"/>
        </w:rPr>
        <w:t xml:space="preserve"> y C-366 del 29 de agosto de 2024, </w:t>
      </w:r>
      <w:r w:rsidRPr="00535747">
        <w:rPr>
          <w:rFonts w:ascii="Verdana" w:eastAsia="Calibri" w:hAnsi="Verdana" w:cs="Arial"/>
          <w:lang w:val="es-ES" w:eastAsia="es-ES_tradnl"/>
        </w:rPr>
        <w:t>entre otros.</w:t>
      </w:r>
      <w:r>
        <w:rPr>
          <w:rFonts w:ascii="Verdana" w:eastAsia="Calibri" w:hAnsi="Verdana" w:cs="Arial"/>
          <w:lang w:val="es-ES" w:eastAsia="es-ES_tradnl"/>
        </w:rPr>
        <w:t xml:space="preserve"> </w:t>
      </w:r>
      <w:r w:rsidRPr="00E406E8">
        <w:rPr>
          <w:rFonts w:ascii="Verdana" w:eastAsia="Calibri" w:hAnsi="Verdana" w:cs="Arial"/>
          <w:lang w:val="es-ES" w:eastAsia="es-ES_tradnl"/>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r>
        <w:rPr>
          <w:rFonts w:ascii="Verdana" w:eastAsia="Calibri" w:hAnsi="Verdana" w:cs="Arial"/>
          <w:lang w:val="es-ES" w:eastAsia="es-ES_tradnl"/>
        </w:rPr>
        <w:t xml:space="preserve"> </w:t>
      </w:r>
      <w:hyperlink r:id="rId9" w:history="1">
        <w:r w:rsidRPr="00413FE0">
          <w:rPr>
            <w:rStyle w:val="Hipervnculo"/>
            <w:rFonts w:ascii="Verdana" w:eastAsia="Calibri" w:hAnsi="Verdana" w:cs="Arial"/>
            <w:lang w:val="es-ES" w:eastAsia="es-ES_tradnl"/>
          </w:rPr>
          <w:t>https://relatoria.colombiacompra.gov.co/</w:t>
        </w:r>
      </w:hyperlink>
      <w:r w:rsidRPr="00E406E8">
        <w:rPr>
          <w:rFonts w:ascii="Verdana" w:eastAsia="Calibri" w:hAnsi="Verdana" w:cs="Arial"/>
          <w:lang w:val="es-ES" w:eastAsia="es-ES_tradnl"/>
        </w:rPr>
        <w:t>.</w:t>
      </w:r>
      <w:r>
        <w:rPr>
          <w:rFonts w:ascii="Verdana" w:eastAsia="Calibri" w:hAnsi="Verdana" w:cs="Arial"/>
          <w:lang w:val="es-ES" w:eastAsia="es-ES_tradnl"/>
        </w:rPr>
        <w:t xml:space="preserve"> </w:t>
      </w:r>
      <w:r w:rsidRPr="00E406E8">
        <w:rPr>
          <w:rFonts w:ascii="Verdana" w:eastAsia="Calibri" w:hAnsi="Verdana" w:cs="Arial"/>
          <w:lang w:val="es-ES" w:eastAsia="es-ES_tradnl"/>
        </w:rPr>
        <w:t xml:space="preserve">Te invitamos también a revisar la tercera edición </w:t>
      </w:r>
      <w:proofErr w:type="gramStart"/>
      <w:r w:rsidRPr="00E406E8">
        <w:rPr>
          <w:rFonts w:ascii="Verdana" w:eastAsia="Calibri" w:hAnsi="Verdana" w:cs="Arial"/>
          <w:lang w:val="es-ES" w:eastAsia="es-ES_tradnl"/>
        </w:rPr>
        <w:t>del  Boletín</w:t>
      </w:r>
      <w:proofErr w:type="gramEnd"/>
      <w:r w:rsidRPr="00E406E8">
        <w:rPr>
          <w:rFonts w:ascii="Verdana" w:eastAsia="Calibri" w:hAnsi="Verdana" w:cs="Arial"/>
          <w:lang w:val="es-ES" w:eastAsia="es-ES_tradnl"/>
        </w:rPr>
        <w:t xml:space="preserve"> de Relatoría de 2024 en el cual podrás consultar en detalle el marco normativo de documentos tipo: </w:t>
      </w:r>
      <w:hyperlink r:id="rId10" w:history="1">
        <w:r w:rsidRPr="003A4DDF">
          <w:rPr>
            <w:rStyle w:val="Hipervnculo"/>
            <w:rFonts w:ascii="Verdana" w:eastAsia="Calibri" w:hAnsi="Verdana" w:cs="Arial"/>
            <w:lang w:val="es-ES" w:eastAsia="es-ES_tradnl"/>
          </w:rPr>
          <w:t>https://www.colombiacompra.gov.co/sites/cce_public/files/files_2020/boletin_de_realtoria_iii.pdf</w:t>
        </w:r>
      </w:hyperlink>
      <w:r>
        <w:rPr>
          <w:rFonts w:ascii="Verdana" w:eastAsia="Calibri" w:hAnsi="Verdana" w:cs="Arial"/>
          <w:lang w:val="es-ES" w:eastAsia="es-ES_tradnl"/>
        </w:rPr>
        <w:t xml:space="preserve"> </w:t>
      </w:r>
    </w:p>
    <w:p w14:paraId="785D6F1A" w14:textId="77777777" w:rsidR="009D16CB" w:rsidRPr="00545C00" w:rsidRDefault="009D16CB" w:rsidP="009D16CB">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337C27CA" w14:textId="77777777" w:rsidR="009D16CB" w:rsidRPr="00545C00" w:rsidRDefault="009D16CB" w:rsidP="009D16CB">
      <w:pPr>
        <w:spacing w:after="0" w:line="276" w:lineRule="auto"/>
        <w:jc w:val="both"/>
        <w:rPr>
          <w:rFonts w:ascii="Verdana" w:hAnsi="Verdana"/>
        </w:rPr>
      </w:pPr>
      <w:r w:rsidRPr="00545C00">
        <w:rPr>
          <w:rFonts w:ascii="Verdana" w:hAnsi="Verdana"/>
        </w:rPr>
        <w:t xml:space="preserve">Por último, lo invitamos a seguirnos en las redes sociales en las cuales se difunde información institucional: </w:t>
      </w:r>
    </w:p>
    <w:p w14:paraId="3D0F473A" w14:textId="77777777" w:rsidR="009D16CB" w:rsidRPr="00545C00" w:rsidRDefault="009D16CB" w:rsidP="009D16CB">
      <w:pPr>
        <w:spacing w:after="0" w:line="276" w:lineRule="auto"/>
        <w:jc w:val="both"/>
        <w:rPr>
          <w:rFonts w:ascii="Verdana" w:hAnsi="Verdana"/>
        </w:rPr>
      </w:pPr>
      <w:r w:rsidRPr="00545C00">
        <w:rPr>
          <w:rFonts w:ascii="Verdana" w:hAnsi="Verdana"/>
        </w:rPr>
        <w:t xml:space="preserve">Twitter: </w:t>
      </w:r>
      <w:r w:rsidRPr="00545C00">
        <w:rPr>
          <w:rStyle w:val="Hipervnculo"/>
          <w:rFonts w:ascii="Verdana" w:hAnsi="Verdana"/>
          <w:color w:val="156082" w:themeColor="accent1"/>
        </w:rPr>
        <w:t>@colombiacompra</w:t>
      </w:r>
      <w:r w:rsidRPr="00545C00">
        <w:rPr>
          <w:rFonts w:ascii="Verdana" w:hAnsi="Verdana"/>
          <w:color w:val="156082" w:themeColor="accent1"/>
        </w:rPr>
        <w:t xml:space="preserve"> </w:t>
      </w:r>
    </w:p>
    <w:p w14:paraId="0E2C438E" w14:textId="77777777" w:rsidR="009D16CB" w:rsidRPr="00545C00" w:rsidRDefault="009D16CB" w:rsidP="009D16CB">
      <w:pPr>
        <w:spacing w:after="0" w:line="276" w:lineRule="auto"/>
        <w:jc w:val="both"/>
        <w:rPr>
          <w:rFonts w:ascii="Verdana" w:hAnsi="Verdana"/>
        </w:rPr>
      </w:pPr>
      <w:r w:rsidRPr="00545C00">
        <w:rPr>
          <w:rFonts w:ascii="Verdana" w:hAnsi="Verdana"/>
        </w:rPr>
        <w:t xml:space="preserve">Facebook: </w:t>
      </w:r>
      <w:r w:rsidRPr="00545C00">
        <w:rPr>
          <w:rStyle w:val="Hipervnculo"/>
          <w:rFonts w:ascii="Verdana" w:hAnsi="Verdana"/>
          <w:color w:val="156082" w:themeColor="accent1"/>
        </w:rPr>
        <w:t>ColombiaCompraEficiente</w:t>
      </w:r>
    </w:p>
    <w:p w14:paraId="53285D00" w14:textId="77777777" w:rsidR="009D16CB" w:rsidRPr="00545C00" w:rsidRDefault="009D16CB" w:rsidP="009D16CB">
      <w:pPr>
        <w:spacing w:after="0" w:line="276" w:lineRule="auto"/>
        <w:jc w:val="both"/>
        <w:rPr>
          <w:rFonts w:ascii="Verdana" w:hAnsi="Verdana"/>
        </w:rPr>
      </w:pPr>
      <w:r w:rsidRPr="00545C00">
        <w:rPr>
          <w:rFonts w:ascii="Verdana" w:hAnsi="Verdana"/>
        </w:rPr>
        <w:t xml:space="preserve">LinkedIn: </w:t>
      </w:r>
      <w:r w:rsidRPr="00545C00">
        <w:rPr>
          <w:rStyle w:val="Hipervnculo"/>
          <w:rFonts w:ascii="Verdana" w:hAnsi="Verdana"/>
          <w:color w:val="156082" w:themeColor="accent1"/>
        </w:rPr>
        <w:t>Agencia Nacional de Contratación Pública - Colombia Compra Eficiente</w:t>
      </w:r>
      <w:r w:rsidRPr="00545C00">
        <w:rPr>
          <w:rFonts w:ascii="Verdana" w:hAnsi="Verdana"/>
          <w:color w:val="156082" w:themeColor="accent1"/>
        </w:rPr>
        <w:t xml:space="preserve"> </w:t>
      </w:r>
      <w:r w:rsidRPr="00545C00">
        <w:rPr>
          <w:rFonts w:ascii="Verdana" w:hAnsi="Verdana"/>
        </w:rPr>
        <w:t xml:space="preserve">Instagram: </w:t>
      </w:r>
      <w:r w:rsidRPr="00545C00">
        <w:rPr>
          <w:rStyle w:val="Hipervnculo"/>
          <w:rFonts w:ascii="Verdana" w:hAnsi="Verdana"/>
          <w:color w:val="156082" w:themeColor="accent1"/>
        </w:rPr>
        <w:t>@colombiacompraeficiente_cce</w:t>
      </w:r>
    </w:p>
    <w:p w14:paraId="4E84AE9A" w14:textId="77777777" w:rsidR="009D16CB" w:rsidRPr="00545C00" w:rsidRDefault="009D16CB" w:rsidP="009D16CB">
      <w:pPr>
        <w:widowControl w:val="0"/>
        <w:autoSpaceDE w:val="0"/>
        <w:autoSpaceDN w:val="0"/>
        <w:spacing w:after="0" w:line="276" w:lineRule="auto"/>
        <w:jc w:val="both"/>
        <w:rPr>
          <w:rFonts w:ascii="Verdana" w:hAnsi="Verdana"/>
        </w:rPr>
      </w:pPr>
    </w:p>
    <w:p w14:paraId="532B2F79" w14:textId="77777777" w:rsidR="009D16CB" w:rsidRPr="00545C00" w:rsidRDefault="009D16CB" w:rsidP="009D16CB">
      <w:pPr>
        <w:widowControl w:val="0"/>
        <w:autoSpaceDE w:val="0"/>
        <w:autoSpaceDN w:val="0"/>
        <w:spacing w:after="0" w:line="276" w:lineRule="auto"/>
        <w:jc w:val="both"/>
        <w:rPr>
          <w:rFonts w:ascii="Verdana" w:hAnsi="Verdana" w:cs="Arial"/>
          <w:lang w:val="es-ES_tradnl"/>
        </w:rPr>
      </w:pPr>
      <w:r w:rsidRPr="00545C00">
        <w:rPr>
          <w:rFonts w:ascii="Verdana" w:hAnsi="Verdana" w:cs="Arial"/>
        </w:rPr>
        <w:t xml:space="preserve">Este concepto tiene el alcance previsto en el artículo 28 del Código de Procedimiento Administrativo y de lo Contencioso Administrativo </w:t>
      </w:r>
      <w:r w:rsidRPr="00545C00">
        <w:rPr>
          <w:rFonts w:ascii="Verdana" w:hAnsi="Verdana" w:cs="Arial"/>
          <w:lang w:val="es-ES_tradnl"/>
        </w:rPr>
        <w:t>y las expresiones aquí utilizadas con mayúscula inicial deben ser entendidas con el significado que les otorga el artículo 2.2.1.1.1.3.1. del Decreto 1082 de 2015.</w:t>
      </w:r>
    </w:p>
    <w:p w14:paraId="3AC91384" w14:textId="77777777" w:rsidR="009D16CB" w:rsidRPr="00545C00" w:rsidRDefault="009D16CB" w:rsidP="009D16CB">
      <w:pPr>
        <w:widowControl w:val="0"/>
        <w:autoSpaceDE w:val="0"/>
        <w:autoSpaceDN w:val="0"/>
        <w:spacing w:after="0" w:line="276" w:lineRule="auto"/>
        <w:jc w:val="both"/>
        <w:rPr>
          <w:rFonts w:ascii="Verdana" w:hAnsi="Verdana" w:cs="Arial"/>
        </w:rPr>
      </w:pPr>
    </w:p>
    <w:p w14:paraId="4EFE91A2" w14:textId="77777777" w:rsidR="009D16CB" w:rsidRPr="00545C00" w:rsidRDefault="009D16CB" w:rsidP="009D16CB">
      <w:pPr>
        <w:spacing w:after="0" w:line="240" w:lineRule="auto"/>
        <w:rPr>
          <w:rFonts w:ascii="Verdana" w:hAnsi="Verdana" w:cs="Arial"/>
          <w:lang w:eastAsia="es-CO"/>
        </w:rPr>
      </w:pPr>
      <w:r w:rsidRPr="00545C00">
        <w:rPr>
          <w:rFonts w:ascii="Verdana" w:eastAsia="Times New Roman" w:hAnsi="Verdana" w:cs="Arial"/>
          <w:lang w:eastAsia="es-CO"/>
        </w:rPr>
        <w:t>Atentamente,</w:t>
      </w:r>
      <w:r w:rsidRPr="00545C00">
        <w:rPr>
          <w:rFonts w:ascii="Verdana" w:hAnsi="Verdana" w:cs="Arial"/>
          <w:lang w:eastAsia="es-CO"/>
        </w:rPr>
        <w:t xml:space="preserve"> </w:t>
      </w:r>
    </w:p>
    <w:p w14:paraId="1725D629" w14:textId="3435C15B" w:rsidR="009D16CB" w:rsidRPr="00545C00" w:rsidRDefault="00B526B4" w:rsidP="009D16CB">
      <w:pPr>
        <w:spacing w:line="276" w:lineRule="auto"/>
        <w:jc w:val="center"/>
        <w:rPr>
          <w:rFonts w:ascii="Verdana" w:hAnsi="Verdana" w:cs="Arial"/>
          <w:lang w:val="es-ES_tradnl" w:eastAsia="es-CO"/>
        </w:rPr>
      </w:pPr>
      <w:r w:rsidRPr="00B526B4">
        <w:rPr>
          <w:rFonts w:ascii="Verdana" w:hAnsi="Verdana" w:cs="Arial"/>
          <w:noProof/>
          <w:lang w:eastAsia="es-CO"/>
        </w:rPr>
        <w:lastRenderedPageBreak/>
        <w:drawing>
          <wp:inline distT="0" distB="0" distL="0" distR="0" wp14:anchorId="48F6A8E0" wp14:editId="55262A68">
            <wp:extent cx="3771900" cy="1400175"/>
            <wp:effectExtent l="0" t="0" r="0" b="9525"/>
            <wp:docPr id="1238352569"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r w:rsidRPr="00B526B4">
        <w:rPr>
          <w:rFonts w:ascii="Verdana" w:hAnsi="Verdana" w:cs="Arial"/>
          <w:lang w:val="es-ES" w:eastAsia="es-CO"/>
        </w:rPr>
        <w:br/>
      </w:r>
    </w:p>
    <w:tbl>
      <w:tblPr>
        <w:tblStyle w:val="Tablaconcuadrcula"/>
        <w:tblW w:w="58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919"/>
      </w:tblGrid>
      <w:tr w:rsidR="009D16CB" w:rsidRPr="00545C00" w14:paraId="4F9283E6" w14:textId="77777777" w:rsidTr="00F62388">
        <w:trPr>
          <w:trHeight w:val="315"/>
        </w:trPr>
        <w:tc>
          <w:tcPr>
            <w:tcW w:w="893" w:type="dxa"/>
            <w:vAlign w:val="center"/>
            <w:hideMark/>
          </w:tcPr>
          <w:p w14:paraId="2195A25C" w14:textId="77777777" w:rsidR="009D16CB" w:rsidRPr="00545C00" w:rsidRDefault="009D16CB" w:rsidP="00F62388">
            <w:pPr>
              <w:spacing w:after="255"/>
              <w:contextualSpacing/>
              <w:rPr>
                <w:rFonts w:ascii="Verdana" w:hAnsi="Verdana" w:cs="Arial"/>
                <w:sz w:val="16"/>
                <w:szCs w:val="16"/>
                <w:lang w:val="es-ES" w:eastAsia="es-ES"/>
              </w:rPr>
            </w:pPr>
            <w:r w:rsidRPr="00545C00">
              <w:rPr>
                <w:rFonts w:ascii="Verdana" w:hAnsi="Verdana" w:cs="Arial"/>
                <w:sz w:val="16"/>
                <w:szCs w:val="16"/>
                <w:lang w:val="es-ES" w:eastAsia="es-ES"/>
              </w:rPr>
              <w:t>Elaboró:</w:t>
            </w:r>
          </w:p>
        </w:tc>
        <w:tc>
          <w:tcPr>
            <w:tcW w:w="4919" w:type="dxa"/>
            <w:tcBorders>
              <w:top w:val="nil"/>
              <w:left w:val="nil"/>
              <w:bottom w:val="dotted" w:sz="4" w:space="0" w:color="7F7F7F" w:themeColor="text1" w:themeTint="80"/>
              <w:right w:val="nil"/>
            </w:tcBorders>
            <w:vAlign w:val="center"/>
            <w:hideMark/>
          </w:tcPr>
          <w:p w14:paraId="0482777F" w14:textId="77777777" w:rsidR="009D16CB" w:rsidRPr="00545C00" w:rsidRDefault="009D16CB" w:rsidP="00F62388">
            <w:pPr>
              <w:spacing w:after="255"/>
              <w:contextualSpacing/>
              <w:rPr>
                <w:rFonts w:ascii="Verdana" w:eastAsia="Arial" w:hAnsi="Verdana" w:cs="Arial"/>
                <w:sz w:val="16"/>
                <w:szCs w:val="16"/>
              </w:rPr>
            </w:pPr>
            <w:r w:rsidRPr="00545C00">
              <w:rPr>
                <w:rStyle w:val="normaltextrun"/>
                <w:rFonts w:ascii="Verdana" w:hAnsi="Verdana"/>
                <w:sz w:val="16"/>
                <w:szCs w:val="16"/>
              </w:rPr>
              <w:t>Gloria Ximena Moreno Guio</w:t>
            </w:r>
          </w:p>
          <w:p w14:paraId="1C2EEEF9" w14:textId="77777777" w:rsidR="009D16CB" w:rsidRPr="00545C00" w:rsidRDefault="009D16CB" w:rsidP="00F62388">
            <w:pPr>
              <w:spacing w:after="255"/>
              <w:contextualSpacing/>
              <w:rPr>
                <w:rFonts w:ascii="Verdana" w:eastAsia="Arial" w:hAnsi="Verdana" w:cs="Arial"/>
                <w:sz w:val="16"/>
                <w:szCs w:val="16"/>
              </w:rPr>
            </w:pPr>
            <w:r w:rsidRPr="00545C00">
              <w:rPr>
                <w:rStyle w:val="normaltextrun"/>
                <w:rFonts w:ascii="Verdana" w:eastAsia="Arial" w:hAnsi="Verdana" w:cs="Arial"/>
                <w:sz w:val="16"/>
                <w:szCs w:val="16"/>
              </w:rPr>
              <w:t>Contratista de la Subdirección de Gestión Contractual</w:t>
            </w:r>
          </w:p>
        </w:tc>
      </w:tr>
      <w:tr w:rsidR="009D16CB" w:rsidRPr="00545C00" w14:paraId="14E8E7E6" w14:textId="77777777" w:rsidTr="00F62388">
        <w:trPr>
          <w:trHeight w:val="330"/>
        </w:trPr>
        <w:tc>
          <w:tcPr>
            <w:tcW w:w="893" w:type="dxa"/>
            <w:vAlign w:val="center"/>
            <w:hideMark/>
          </w:tcPr>
          <w:p w14:paraId="42DAE64C" w14:textId="77777777" w:rsidR="009D16CB" w:rsidRPr="00545C00" w:rsidRDefault="009D16CB" w:rsidP="00F62388">
            <w:pPr>
              <w:spacing w:after="255"/>
              <w:contextualSpacing/>
              <w:rPr>
                <w:rFonts w:ascii="Verdana" w:hAnsi="Verdana" w:cs="Arial"/>
                <w:sz w:val="16"/>
                <w:szCs w:val="16"/>
                <w:lang w:val="es-ES" w:eastAsia="es-ES"/>
              </w:rPr>
            </w:pPr>
            <w:r w:rsidRPr="00545C00">
              <w:rPr>
                <w:rFonts w:ascii="Verdana" w:hAnsi="Verdana" w:cs="Arial"/>
                <w:sz w:val="16"/>
                <w:szCs w:val="16"/>
                <w:lang w:val="es-ES" w:eastAsia="es-ES"/>
              </w:rPr>
              <w:t>Revisó:</w:t>
            </w:r>
          </w:p>
        </w:tc>
        <w:tc>
          <w:tcPr>
            <w:tcW w:w="4919" w:type="dxa"/>
            <w:tcBorders>
              <w:top w:val="dotted" w:sz="4" w:space="0" w:color="7F7F7F" w:themeColor="text1" w:themeTint="80"/>
              <w:left w:val="nil"/>
              <w:bottom w:val="dotted" w:sz="4" w:space="0" w:color="7F7F7F" w:themeColor="text1" w:themeTint="80"/>
              <w:right w:val="nil"/>
            </w:tcBorders>
            <w:vAlign w:val="center"/>
            <w:hideMark/>
          </w:tcPr>
          <w:p w14:paraId="62C1BFFC" w14:textId="77777777" w:rsidR="009D16CB" w:rsidRPr="00545C00" w:rsidRDefault="009D16CB" w:rsidP="00F62388">
            <w:pPr>
              <w:pStyle w:val="paragraph"/>
              <w:spacing w:before="0" w:beforeAutospacing="0" w:after="0" w:afterAutospacing="0"/>
              <w:contextualSpacing/>
              <w:textAlignment w:val="baseline"/>
              <w:rPr>
                <w:rStyle w:val="normaltextrun"/>
                <w:rFonts w:ascii="Verdana" w:hAnsi="Verdana" w:cs="Arial"/>
                <w:sz w:val="16"/>
                <w:szCs w:val="16"/>
                <w:lang w:val="es-ES"/>
              </w:rPr>
            </w:pPr>
            <w:r w:rsidRPr="00545C00">
              <w:rPr>
                <w:rStyle w:val="normaltextrun"/>
                <w:rFonts w:ascii="Verdana" w:hAnsi="Verdana" w:cs="Arial"/>
                <w:sz w:val="16"/>
                <w:szCs w:val="16"/>
                <w:lang w:val="es-ES"/>
              </w:rPr>
              <w:t>Ximena Ríos López</w:t>
            </w:r>
          </w:p>
          <w:p w14:paraId="3DEF003D" w14:textId="77777777" w:rsidR="009D16CB" w:rsidRPr="00545C00" w:rsidRDefault="009D16CB" w:rsidP="00F62388">
            <w:pPr>
              <w:pStyle w:val="paragraph"/>
              <w:spacing w:after="0"/>
              <w:contextualSpacing/>
              <w:textAlignment w:val="baseline"/>
              <w:rPr>
                <w:rFonts w:ascii="Verdana" w:hAnsi="Verdana" w:cs="Arial"/>
                <w:sz w:val="16"/>
                <w:szCs w:val="16"/>
                <w:lang w:val="es-ES"/>
              </w:rPr>
            </w:pPr>
            <w:r w:rsidRPr="00545C00">
              <w:rPr>
                <w:rStyle w:val="normaltextrun"/>
                <w:rFonts w:ascii="Verdana" w:hAnsi="Verdana" w:cs="Arial"/>
                <w:sz w:val="16"/>
                <w:szCs w:val="16"/>
                <w:lang w:val="es-ES"/>
              </w:rPr>
              <w:t>Gestor T1</w:t>
            </w:r>
            <w:r>
              <w:rPr>
                <w:rStyle w:val="normaltextrun"/>
                <w:rFonts w:ascii="Verdana" w:hAnsi="Verdana" w:cs="Arial"/>
                <w:sz w:val="16"/>
                <w:szCs w:val="16"/>
                <w:lang w:val="es-ES"/>
              </w:rPr>
              <w:t>-</w:t>
            </w:r>
            <w:r w:rsidRPr="00545C00">
              <w:rPr>
                <w:rStyle w:val="normaltextrun"/>
                <w:rFonts w:ascii="Verdana" w:hAnsi="Verdana" w:cs="Arial"/>
                <w:sz w:val="16"/>
                <w:szCs w:val="16"/>
                <w:lang w:val="es-ES"/>
              </w:rPr>
              <w:t>11 Subdirección de Gestión Contractual</w:t>
            </w:r>
          </w:p>
        </w:tc>
      </w:tr>
      <w:tr w:rsidR="009D16CB" w:rsidRPr="00545C00" w14:paraId="0D657ED9" w14:textId="77777777" w:rsidTr="00F62388">
        <w:trPr>
          <w:trHeight w:val="300"/>
        </w:trPr>
        <w:tc>
          <w:tcPr>
            <w:tcW w:w="893" w:type="dxa"/>
            <w:vAlign w:val="center"/>
            <w:hideMark/>
          </w:tcPr>
          <w:p w14:paraId="46151DD3" w14:textId="77777777" w:rsidR="009D16CB" w:rsidRPr="00545C00" w:rsidRDefault="009D16CB" w:rsidP="00F62388">
            <w:pPr>
              <w:spacing w:after="255"/>
              <w:contextualSpacing/>
              <w:rPr>
                <w:rFonts w:ascii="Verdana" w:hAnsi="Verdana" w:cs="Arial"/>
                <w:sz w:val="16"/>
                <w:szCs w:val="16"/>
                <w:lang w:val="es-ES" w:eastAsia="es-ES"/>
              </w:rPr>
            </w:pPr>
            <w:r w:rsidRPr="00545C00">
              <w:rPr>
                <w:rFonts w:ascii="Verdana" w:hAnsi="Verdana" w:cs="Arial"/>
                <w:sz w:val="16"/>
                <w:szCs w:val="16"/>
                <w:lang w:val="es-ES" w:eastAsia="es-ES"/>
              </w:rPr>
              <w:t>Aprobó:</w:t>
            </w:r>
          </w:p>
        </w:tc>
        <w:tc>
          <w:tcPr>
            <w:tcW w:w="4919" w:type="dxa"/>
            <w:tcBorders>
              <w:top w:val="dotted" w:sz="4" w:space="0" w:color="7F7F7F" w:themeColor="text1" w:themeTint="80"/>
              <w:left w:val="nil"/>
              <w:bottom w:val="dotted" w:sz="4" w:space="0" w:color="7F7F7F" w:themeColor="text1" w:themeTint="80"/>
              <w:right w:val="nil"/>
            </w:tcBorders>
            <w:vAlign w:val="center"/>
            <w:hideMark/>
          </w:tcPr>
          <w:p w14:paraId="3325F521" w14:textId="77777777" w:rsidR="009D16CB" w:rsidRPr="00545C00" w:rsidRDefault="009D16CB" w:rsidP="00F62388">
            <w:pPr>
              <w:spacing w:after="255"/>
              <w:contextualSpacing/>
              <w:rPr>
                <w:rFonts w:ascii="Verdana" w:eastAsia="Calibri" w:hAnsi="Verdana" w:cs="Arial"/>
                <w:sz w:val="16"/>
                <w:szCs w:val="16"/>
                <w:lang w:val="pt-BR" w:eastAsia="es-ES"/>
              </w:rPr>
            </w:pPr>
            <w:r w:rsidRPr="00545C00">
              <w:rPr>
                <w:rFonts w:ascii="Verdana" w:eastAsia="Calibri" w:hAnsi="Verdana" w:cs="Arial"/>
                <w:sz w:val="16"/>
                <w:szCs w:val="16"/>
                <w:lang w:val="pt-BR" w:eastAsia="es-ES"/>
              </w:rPr>
              <w:t>Carolina Quintero Gacharná</w:t>
            </w:r>
          </w:p>
          <w:p w14:paraId="5239C5C9" w14:textId="77777777" w:rsidR="009D16CB" w:rsidRPr="00545C00" w:rsidRDefault="009D16CB" w:rsidP="00F62388">
            <w:pPr>
              <w:spacing w:after="255"/>
              <w:contextualSpacing/>
              <w:rPr>
                <w:rFonts w:ascii="Verdana" w:eastAsia="Calibri" w:hAnsi="Verdana" w:cs="Arial"/>
                <w:sz w:val="16"/>
                <w:szCs w:val="16"/>
                <w:lang w:val="pt-BR" w:eastAsia="es-ES"/>
              </w:rPr>
            </w:pPr>
            <w:r w:rsidRPr="00545C00">
              <w:rPr>
                <w:rFonts w:ascii="Verdana" w:eastAsia="Calibri" w:hAnsi="Verdana" w:cs="Arial"/>
                <w:sz w:val="16"/>
                <w:szCs w:val="16"/>
                <w:lang w:eastAsia="es-ES"/>
              </w:rPr>
              <w:t>Subdirectora</w:t>
            </w:r>
            <w:r w:rsidRPr="00545C00">
              <w:rPr>
                <w:rFonts w:ascii="Verdana" w:eastAsia="Calibri" w:hAnsi="Verdana" w:cs="Arial"/>
                <w:sz w:val="16"/>
                <w:szCs w:val="16"/>
                <w:lang w:val="pt-BR" w:eastAsia="es-ES"/>
              </w:rPr>
              <w:t xml:space="preserve"> de Gestión Contratual ANCP – CCE</w:t>
            </w:r>
          </w:p>
        </w:tc>
      </w:tr>
    </w:tbl>
    <w:p w14:paraId="09C0019C" w14:textId="77777777" w:rsidR="009D16CB" w:rsidRPr="00115E3D" w:rsidRDefault="009D16CB" w:rsidP="009D16CB">
      <w:pPr>
        <w:widowControl w:val="0"/>
        <w:autoSpaceDE w:val="0"/>
        <w:autoSpaceDN w:val="0"/>
        <w:spacing w:after="0" w:line="276" w:lineRule="auto"/>
        <w:jc w:val="both"/>
        <w:rPr>
          <w:rFonts w:ascii="Verdana" w:hAnsi="Verdana" w:cs="Arial"/>
          <w:color w:val="000000" w:themeColor="text1"/>
        </w:rPr>
      </w:pPr>
    </w:p>
    <w:p w14:paraId="260A68AF" w14:textId="77777777" w:rsidR="009D16CB" w:rsidRPr="00EB76E1" w:rsidRDefault="009D16CB" w:rsidP="009D16CB"/>
    <w:p w14:paraId="785EBF16" w14:textId="77777777" w:rsidR="009D16CB" w:rsidRPr="00C9747A" w:rsidRDefault="009D16CB" w:rsidP="009D16CB"/>
    <w:p w14:paraId="65D5B410" w14:textId="77777777" w:rsidR="009D16CB" w:rsidRPr="004C6C1E" w:rsidRDefault="009D16CB" w:rsidP="009D16CB"/>
    <w:p w14:paraId="4AA3E949" w14:textId="77777777" w:rsidR="00312696" w:rsidRPr="009D16CB" w:rsidRDefault="00312696" w:rsidP="009D16CB"/>
    <w:sectPr w:rsidR="00312696" w:rsidRPr="009D16CB" w:rsidSect="00BD02CA">
      <w:headerReference w:type="default" r:id="rId12"/>
      <w:footerReference w:type="default" r:id="rId13"/>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AEF7CD" w14:textId="77777777" w:rsidR="00285542" w:rsidRDefault="00285542" w:rsidP="00BD02CA">
      <w:pPr>
        <w:spacing w:after="0" w:line="240" w:lineRule="auto"/>
      </w:pPr>
      <w:r>
        <w:separator/>
      </w:r>
    </w:p>
  </w:endnote>
  <w:endnote w:type="continuationSeparator" w:id="0">
    <w:p w14:paraId="6872B845" w14:textId="77777777" w:rsidR="00285542" w:rsidRDefault="00285542" w:rsidP="00BD02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F7E6D2" w14:textId="77777777" w:rsidR="006B369E" w:rsidRDefault="006B369E" w:rsidP="000849D5">
    <w:pPr>
      <w:spacing w:after="0"/>
      <w:rPr>
        <w:rFonts w:ascii="Verdana" w:hAnsi="Verdana"/>
        <w:b/>
        <w:bCs/>
        <w:sz w:val="20"/>
        <w:szCs w:val="20"/>
      </w:rPr>
    </w:pPr>
  </w:p>
  <w:p w14:paraId="475EDBC8" w14:textId="77777777" w:rsidR="006B369E" w:rsidRPr="00174B77" w:rsidRDefault="006B369E"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1D226B2A" w14:textId="77777777" w:rsidR="006B369E" w:rsidRDefault="006B369E"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4C75E620" w14:textId="77777777" w:rsidR="006B369E" w:rsidRPr="00E41027" w:rsidRDefault="006B369E" w:rsidP="000849D5">
    <w:pPr>
      <w:spacing w:after="0"/>
      <w:jc w:val="both"/>
      <w:rPr>
        <w:rFonts w:ascii="Verdana" w:hAnsi="Verdana"/>
        <w:sz w:val="18"/>
        <w:szCs w:val="18"/>
      </w:rPr>
    </w:pPr>
    <w:r w:rsidRPr="00E41027">
      <w:rPr>
        <w:rFonts w:ascii="Verdana" w:hAnsi="Verdana"/>
        <w:sz w:val="18"/>
        <w:szCs w:val="18"/>
      </w:rPr>
      <w:t>Mesa de servicio: (+57) 601 7456788</w:t>
    </w:r>
  </w:p>
  <w:p w14:paraId="620A387C" w14:textId="77777777" w:rsidR="006B369E" w:rsidRDefault="006B369E"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D25C53D" w14:textId="77777777" w:rsidR="006B369E" w:rsidRPr="007D04B2" w:rsidRDefault="006B369E" w:rsidP="000849D5">
    <w:pPr>
      <w:pStyle w:val="Piedepgina"/>
    </w:pPr>
  </w:p>
  <w:p w14:paraId="6D0C86FB" w14:textId="77777777" w:rsidR="006B369E" w:rsidRPr="000849D5" w:rsidRDefault="006B369E"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F065D7" w14:textId="77777777" w:rsidR="00285542" w:rsidRDefault="00285542" w:rsidP="00BD02CA">
      <w:pPr>
        <w:spacing w:after="0" w:line="240" w:lineRule="auto"/>
      </w:pPr>
      <w:r>
        <w:separator/>
      </w:r>
    </w:p>
  </w:footnote>
  <w:footnote w:type="continuationSeparator" w:id="0">
    <w:p w14:paraId="7EB5882C" w14:textId="77777777" w:rsidR="00285542" w:rsidRDefault="00285542" w:rsidP="00BD02CA">
      <w:pPr>
        <w:spacing w:after="0" w:line="240" w:lineRule="auto"/>
      </w:pPr>
      <w:r>
        <w:continuationSeparator/>
      </w:r>
    </w:p>
  </w:footnote>
  <w:footnote w:id="1">
    <w:p w14:paraId="58CF14C1" w14:textId="77777777" w:rsidR="009D16CB" w:rsidRPr="00715F3F" w:rsidRDefault="009D16CB" w:rsidP="009D16CB">
      <w:pPr>
        <w:pStyle w:val="Textonotapie"/>
        <w:ind w:firstLine="708"/>
        <w:jc w:val="both"/>
        <w:rPr>
          <w:rFonts w:ascii="Verdana" w:hAnsi="Verdana"/>
          <w:sz w:val="14"/>
          <w:szCs w:val="14"/>
          <w:lang w:val="es-CO"/>
        </w:rPr>
      </w:pPr>
      <w:r w:rsidRPr="00715F3F">
        <w:rPr>
          <w:rStyle w:val="Refdenotaalpie"/>
          <w:rFonts w:ascii="Verdana" w:hAnsi="Verdana"/>
          <w:sz w:val="14"/>
          <w:szCs w:val="14"/>
        </w:rPr>
        <w:footnoteRef/>
      </w:r>
      <w:r w:rsidRPr="00715F3F">
        <w:rPr>
          <w:rFonts w:ascii="Verdana" w:hAnsi="Verdana"/>
          <w:sz w:val="14"/>
          <w:szCs w:val="14"/>
        </w:rPr>
        <w:t xml:space="preserve"> </w:t>
      </w:r>
      <w:r w:rsidRPr="00715F3F">
        <w:rPr>
          <w:rFonts w:ascii="Verdana" w:hAnsi="Verdana"/>
          <w:sz w:val="14"/>
          <w:szCs w:val="14"/>
          <w:lang w:val="es-CO"/>
        </w:rPr>
        <w:t>ROPPO, Vincenzo. El contrato. Lima: Gaceta Jurídica, 2009. p. 547.</w:t>
      </w:r>
    </w:p>
    <w:p w14:paraId="1B5C2381" w14:textId="77777777" w:rsidR="009D16CB" w:rsidRPr="00715F3F" w:rsidRDefault="009D16CB" w:rsidP="009D16CB">
      <w:pPr>
        <w:pStyle w:val="Textonotapie"/>
        <w:ind w:firstLine="708"/>
        <w:jc w:val="both"/>
        <w:rPr>
          <w:rFonts w:ascii="Verdana" w:hAnsi="Verdana"/>
          <w:sz w:val="14"/>
          <w:szCs w:val="14"/>
          <w:lang w:val="es-CO"/>
        </w:rPr>
      </w:pPr>
    </w:p>
  </w:footnote>
  <w:footnote w:id="2">
    <w:p w14:paraId="38CADB37" w14:textId="77777777" w:rsidR="009D16CB" w:rsidRPr="00715F3F" w:rsidRDefault="009D16CB" w:rsidP="009D16CB">
      <w:pPr>
        <w:pStyle w:val="Textonotapie"/>
        <w:ind w:firstLine="708"/>
        <w:jc w:val="both"/>
        <w:rPr>
          <w:rFonts w:ascii="Verdana" w:hAnsi="Verdana"/>
          <w:sz w:val="14"/>
          <w:szCs w:val="14"/>
        </w:rPr>
      </w:pPr>
      <w:r w:rsidRPr="00715F3F">
        <w:rPr>
          <w:rStyle w:val="Refdenotaalpie"/>
          <w:rFonts w:ascii="Verdana" w:hAnsi="Verdana"/>
          <w:sz w:val="14"/>
          <w:szCs w:val="14"/>
        </w:rPr>
        <w:footnoteRef/>
      </w:r>
      <w:r w:rsidRPr="00715F3F">
        <w:rPr>
          <w:rFonts w:ascii="Verdana" w:hAnsi="Verdana"/>
          <w:sz w:val="14"/>
          <w:szCs w:val="14"/>
        </w:rPr>
        <w:t xml:space="preserve"> Ibidem</w:t>
      </w:r>
    </w:p>
    <w:p w14:paraId="59488E2B" w14:textId="77777777" w:rsidR="009D16CB" w:rsidRPr="00715F3F" w:rsidRDefault="009D16CB" w:rsidP="009D16CB">
      <w:pPr>
        <w:pStyle w:val="Textonotapie"/>
        <w:ind w:firstLine="708"/>
        <w:jc w:val="both"/>
        <w:rPr>
          <w:rFonts w:ascii="Verdana" w:hAnsi="Verdana"/>
          <w:sz w:val="14"/>
          <w:szCs w:val="14"/>
        </w:rPr>
      </w:pPr>
    </w:p>
  </w:footnote>
  <w:footnote w:id="3">
    <w:p w14:paraId="4F82E282" w14:textId="77777777" w:rsidR="009D16CB" w:rsidRPr="00715F3F" w:rsidRDefault="009D16CB" w:rsidP="009D16CB">
      <w:pPr>
        <w:pStyle w:val="Textonotapie"/>
        <w:ind w:firstLine="708"/>
        <w:jc w:val="both"/>
        <w:rPr>
          <w:rFonts w:ascii="Verdana" w:hAnsi="Verdana"/>
          <w:sz w:val="14"/>
          <w:szCs w:val="14"/>
          <w:lang w:val="es-CO"/>
        </w:rPr>
      </w:pPr>
      <w:r w:rsidRPr="00715F3F">
        <w:rPr>
          <w:rStyle w:val="Refdenotaalpie"/>
          <w:rFonts w:ascii="Verdana" w:hAnsi="Verdana"/>
          <w:sz w:val="14"/>
          <w:szCs w:val="14"/>
        </w:rPr>
        <w:footnoteRef/>
      </w:r>
      <w:r w:rsidRPr="00715F3F">
        <w:rPr>
          <w:rFonts w:ascii="Verdana" w:hAnsi="Verdana"/>
          <w:sz w:val="14"/>
          <w:szCs w:val="14"/>
        </w:rPr>
        <w:t xml:space="preserve"> </w:t>
      </w:r>
      <w:r w:rsidRPr="00715F3F">
        <w:rPr>
          <w:rFonts w:ascii="Verdana" w:hAnsi="Verdana"/>
          <w:sz w:val="14"/>
          <w:szCs w:val="14"/>
          <w:lang w:val="es-CO"/>
        </w:rPr>
        <w:t xml:space="preserve">Concepto C-100 de 2024 Expedido por la Agencia Nacional de Compra Pública - Colombia Compra Eficiente, el cual puede ser consultado en https://relatoria.colombiacompra.gov.co/ </w:t>
      </w:r>
    </w:p>
    <w:p w14:paraId="6B387BBA" w14:textId="77777777" w:rsidR="009D16CB" w:rsidRPr="00715F3F" w:rsidRDefault="009D16CB" w:rsidP="009D16CB">
      <w:pPr>
        <w:pStyle w:val="Textonotapie"/>
        <w:jc w:val="both"/>
        <w:rPr>
          <w:rFonts w:ascii="Verdana" w:hAnsi="Verdana"/>
          <w:sz w:val="14"/>
          <w:szCs w:val="14"/>
          <w:lang w:val="es-CO"/>
        </w:rPr>
      </w:pPr>
    </w:p>
  </w:footnote>
  <w:footnote w:id="4">
    <w:p w14:paraId="70EF7AFD" w14:textId="77777777" w:rsidR="009D16CB" w:rsidRPr="00715F3F" w:rsidRDefault="009D16CB" w:rsidP="009D16CB">
      <w:pPr>
        <w:pStyle w:val="Textonotapie"/>
        <w:ind w:firstLine="708"/>
        <w:rPr>
          <w:rFonts w:ascii="Verdana" w:hAnsi="Verdana"/>
          <w:sz w:val="14"/>
          <w:szCs w:val="14"/>
        </w:rPr>
      </w:pPr>
      <w:r w:rsidRPr="00715F3F">
        <w:rPr>
          <w:rStyle w:val="Refdenotaalpie"/>
          <w:rFonts w:ascii="Verdana" w:hAnsi="Verdana"/>
          <w:sz w:val="14"/>
          <w:szCs w:val="14"/>
        </w:rPr>
        <w:footnoteRef/>
      </w:r>
      <w:r w:rsidRPr="00715F3F">
        <w:rPr>
          <w:rFonts w:ascii="Verdana" w:hAnsi="Verdana"/>
          <w:sz w:val="14"/>
          <w:szCs w:val="14"/>
        </w:rPr>
        <w:t xml:space="preserve"> Ley 80 de 1993, artículo 13.</w:t>
      </w:r>
    </w:p>
  </w:footnote>
  <w:footnote w:id="5">
    <w:p w14:paraId="2E4E35D2" w14:textId="77777777" w:rsidR="009D16CB" w:rsidRPr="00715F3F" w:rsidRDefault="009D16CB" w:rsidP="009D16CB">
      <w:pPr>
        <w:pStyle w:val="Textonotapie"/>
        <w:ind w:firstLine="708"/>
        <w:jc w:val="both"/>
        <w:rPr>
          <w:rFonts w:ascii="Verdana" w:hAnsi="Verdana" w:cs="Arial"/>
          <w:sz w:val="14"/>
          <w:szCs w:val="14"/>
        </w:rPr>
      </w:pPr>
      <w:r w:rsidRPr="00715F3F">
        <w:rPr>
          <w:rStyle w:val="Refdenotaalpie"/>
          <w:rFonts w:ascii="Verdana" w:hAnsi="Verdana" w:cs="Arial"/>
          <w:sz w:val="14"/>
          <w:szCs w:val="14"/>
        </w:rPr>
        <w:footnoteRef/>
      </w:r>
      <w:r w:rsidRPr="00715F3F">
        <w:rPr>
          <w:rFonts w:ascii="Verdana" w:hAnsi="Verdana" w:cs="Arial"/>
          <w:sz w:val="14"/>
          <w:szCs w:val="14"/>
        </w:rPr>
        <w:t xml:space="preserve"> Al respecto, el artículo 887 del Código de Comercio dispone lo siguiente: “En los contratos mercantiles de ejecución periódica o sucesiva cada una de las partes podrá hacerse sustituir por un tercero, en la totalidad o en parte de las relaciones derivadas del contrato, sin necesidad de aceptación expresa del contratante cedido, si por la ley o por estipulación de las mismas partes no se ha prohibido o limitado dicha sustitución.</w:t>
      </w:r>
    </w:p>
    <w:p w14:paraId="09738126" w14:textId="77777777" w:rsidR="009D16CB" w:rsidRPr="00715F3F" w:rsidRDefault="009D16CB" w:rsidP="009D16CB">
      <w:pPr>
        <w:pStyle w:val="Textonotapie"/>
        <w:ind w:firstLine="708"/>
        <w:jc w:val="both"/>
        <w:rPr>
          <w:rFonts w:ascii="Verdana" w:hAnsi="Verdana" w:cs="Arial"/>
          <w:sz w:val="14"/>
          <w:szCs w:val="14"/>
        </w:rPr>
      </w:pPr>
      <w:r w:rsidRPr="00715F3F">
        <w:rPr>
          <w:rFonts w:ascii="Verdana" w:hAnsi="Verdana" w:cs="Arial"/>
          <w:sz w:val="14"/>
          <w:szCs w:val="14"/>
        </w:rPr>
        <w:t xml:space="preserve">La misma sustitución podrá hacerse en los contratos mercantiles de ejecución instantánea que aún no hayan sido cumplidos en todo o en parte, y en los celebrados </w:t>
      </w:r>
      <w:r w:rsidRPr="00715F3F">
        <w:rPr>
          <w:rFonts w:ascii="Verdana" w:hAnsi="Verdana" w:cs="Arial"/>
          <w:i/>
          <w:sz w:val="14"/>
          <w:szCs w:val="14"/>
        </w:rPr>
        <w:t>intuitu personae</w:t>
      </w:r>
      <w:r w:rsidRPr="00715F3F">
        <w:rPr>
          <w:rFonts w:ascii="Verdana" w:hAnsi="Verdana" w:cs="Arial"/>
          <w:sz w:val="14"/>
          <w:szCs w:val="14"/>
        </w:rPr>
        <w:t>, pero en estos casos será necesaria la aceptación del contratante cedido”.</w:t>
      </w:r>
    </w:p>
    <w:p w14:paraId="2F2E49B3" w14:textId="77777777" w:rsidR="009D16CB" w:rsidRPr="00715F3F" w:rsidRDefault="009D16CB" w:rsidP="009D16CB">
      <w:pPr>
        <w:pStyle w:val="Textonotapie"/>
        <w:ind w:firstLine="708"/>
        <w:jc w:val="both"/>
        <w:rPr>
          <w:rFonts w:ascii="Verdana" w:hAnsi="Verdana" w:cs="Arial"/>
          <w:sz w:val="14"/>
          <w:szCs w:val="14"/>
        </w:rPr>
      </w:pPr>
      <w:r w:rsidRPr="00715F3F">
        <w:rPr>
          <w:rFonts w:ascii="Verdana" w:hAnsi="Verdana" w:cs="Arial"/>
          <w:sz w:val="14"/>
          <w:szCs w:val="14"/>
        </w:rPr>
        <w:t>En contraste, el artículo 1959 del Código Civil prescribe que “La cesión de un crédito, a cualquier título que se haga, no tendrá efecto entre el cedente y el cesionario sino en virtud de la entrega del título. Pero si el crédito que se cede no consta en documento, la cesión puede hacerse otorgándose uno por el cedente al cesionario, y en este caso la notificación de que trata el artículo 1961 debe hacerse con exhibición de dicho documento”.</w:t>
      </w:r>
    </w:p>
    <w:p w14:paraId="1DCE2907" w14:textId="77777777" w:rsidR="009D16CB" w:rsidRPr="00715F3F" w:rsidRDefault="009D16CB" w:rsidP="009D16CB">
      <w:pPr>
        <w:pStyle w:val="Textonotapie"/>
        <w:ind w:firstLine="708"/>
        <w:jc w:val="both"/>
        <w:rPr>
          <w:rFonts w:ascii="Verdana" w:hAnsi="Verdana" w:cs="Arial"/>
          <w:sz w:val="14"/>
          <w:szCs w:val="14"/>
        </w:rPr>
      </w:pPr>
    </w:p>
  </w:footnote>
  <w:footnote w:id="6">
    <w:p w14:paraId="0908B296" w14:textId="77777777" w:rsidR="009D16CB" w:rsidRPr="00715F3F" w:rsidRDefault="009D16CB" w:rsidP="009D16CB">
      <w:pPr>
        <w:pStyle w:val="Textonotapie"/>
        <w:ind w:firstLine="708"/>
        <w:jc w:val="both"/>
        <w:rPr>
          <w:rFonts w:ascii="Verdana" w:hAnsi="Verdana" w:cs="Arial"/>
          <w:sz w:val="14"/>
          <w:szCs w:val="14"/>
        </w:rPr>
      </w:pPr>
      <w:r w:rsidRPr="00715F3F">
        <w:rPr>
          <w:rStyle w:val="Refdenotaalpie"/>
          <w:rFonts w:ascii="Verdana" w:hAnsi="Verdana" w:cs="Arial"/>
          <w:sz w:val="14"/>
          <w:szCs w:val="14"/>
        </w:rPr>
        <w:footnoteRef/>
      </w:r>
      <w:r w:rsidRPr="00715F3F">
        <w:rPr>
          <w:rFonts w:ascii="Verdana" w:hAnsi="Verdana" w:cs="Arial"/>
          <w:sz w:val="14"/>
          <w:szCs w:val="14"/>
        </w:rPr>
        <w:t xml:space="preserve"> MESSINEO, Francesco. Doctrina general del contrato. Santiago: Olejnik, 2018. p. 633. Énfasis dentro del texto).</w:t>
      </w:r>
    </w:p>
  </w:footnote>
  <w:footnote w:id="7">
    <w:p w14:paraId="2DB7CB15" w14:textId="77777777" w:rsidR="009D16CB" w:rsidRPr="00715F3F" w:rsidRDefault="009D16CB" w:rsidP="009D16CB">
      <w:pPr>
        <w:pStyle w:val="Textonotapie"/>
        <w:ind w:firstLine="708"/>
        <w:jc w:val="both"/>
        <w:rPr>
          <w:rFonts w:ascii="Verdana" w:hAnsi="Verdana" w:cs="Arial"/>
          <w:sz w:val="14"/>
          <w:szCs w:val="14"/>
        </w:rPr>
      </w:pPr>
      <w:r w:rsidRPr="00715F3F">
        <w:rPr>
          <w:rStyle w:val="Refdenotaalpie"/>
          <w:rFonts w:ascii="Verdana" w:hAnsi="Verdana" w:cs="Arial"/>
          <w:sz w:val="14"/>
          <w:szCs w:val="14"/>
        </w:rPr>
        <w:footnoteRef/>
      </w:r>
      <w:r w:rsidRPr="00715F3F">
        <w:rPr>
          <w:rFonts w:ascii="Verdana" w:hAnsi="Verdana" w:cs="Arial"/>
          <w:sz w:val="14"/>
          <w:szCs w:val="14"/>
        </w:rPr>
        <w:t xml:space="preserve"> No en vano, “Quien contrata con la administración debe reunir condiciones previas, acreditadas por muy distintos medios, relativas a su capacidad técnica, financiera e incluso moral. De esas personas se ha seleccionado aquella que resulta la más conveniente para el caso, y esa persona no puede ser reemplazada por otra, por la sola decisión de ese cocontratante.</w:t>
      </w:r>
    </w:p>
    <w:p w14:paraId="7EF6AD02" w14:textId="77777777" w:rsidR="009D16CB" w:rsidRPr="00715F3F" w:rsidRDefault="009D16CB" w:rsidP="009D16CB">
      <w:pPr>
        <w:pStyle w:val="Textonotapie"/>
        <w:ind w:firstLine="708"/>
        <w:jc w:val="both"/>
        <w:rPr>
          <w:rFonts w:ascii="Verdana" w:hAnsi="Verdana" w:cs="Arial"/>
          <w:sz w:val="14"/>
          <w:szCs w:val="14"/>
        </w:rPr>
      </w:pPr>
      <w:r w:rsidRPr="00715F3F">
        <w:rPr>
          <w:rFonts w:ascii="Verdana" w:hAnsi="Verdana" w:cs="Arial"/>
          <w:sz w:val="14"/>
          <w:szCs w:val="14"/>
        </w:rPr>
        <w:t>De ahí que el principio del cumplimiento personal de sus obligaciones por el cocontratante particular es una exigencia del contrato administrativo que resulta de su naturaleza, por lo que su aplicación es ineludible, aun en los casos en que no existen cláusulas expresas que impongan esa prestación personal o que prohíban la cesión o trasferencia del contrato o la subcontratación” (ESCOLA, Jorge. Tratado integral de los contratos administrativos. Volumen I. Buenos Aires: Depalma, 2012. p. 424).</w:t>
      </w:r>
    </w:p>
    <w:p w14:paraId="58581166" w14:textId="77777777" w:rsidR="009D16CB" w:rsidRPr="00715F3F" w:rsidRDefault="009D16CB" w:rsidP="009D16CB">
      <w:pPr>
        <w:pStyle w:val="Textonotapie"/>
        <w:ind w:firstLine="708"/>
        <w:jc w:val="both"/>
        <w:rPr>
          <w:rFonts w:ascii="Verdana" w:hAnsi="Verdana" w:cs="Arial"/>
          <w:sz w:val="14"/>
          <w:szCs w:val="14"/>
        </w:rPr>
      </w:pPr>
    </w:p>
  </w:footnote>
  <w:footnote w:id="8">
    <w:p w14:paraId="45A050A5" w14:textId="77777777" w:rsidR="009D16CB" w:rsidRPr="00715F3F" w:rsidRDefault="009D16CB" w:rsidP="009D16CB">
      <w:pPr>
        <w:pStyle w:val="Textonotapie"/>
        <w:ind w:firstLine="708"/>
        <w:jc w:val="both"/>
        <w:rPr>
          <w:rFonts w:ascii="Verdana" w:hAnsi="Verdana" w:cs="Arial"/>
          <w:sz w:val="14"/>
          <w:szCs w:val="14"/>
          <w:lang w:val="es-ES"/>
        </w:rPr>
      </w:pPr>
      <w:r w:rsidRPr="00715F3F">
        <w:rPr>
          <w:rStyle w:val="Refdenotaalpie"/>
          <w:rFonts w:ascii="Verdana" w:hAnsi="Verdana" w:cs="Arial"/>
          <w:sz w:val="14"/>
          <w:szCs w:val="14"/>
        </w:rPr>
        <w:footnoteRef/>
      </w:r>
      <w:r w:rsidRPr="00715F3F">
        <w:rPr>
          <w:rFonts w:ascii="Verdana" w:hAnsi="Verdana" w:cs="Arial"/>
          <w:sz w:val="14"/>
          <w:szCs w:val="14"/>
        </w:rPr>
        <w:t xml:space="preserve"> MARIENHOFF, Miguel S. Tratado de derecho administrativo. Tomo IIIA. Cuarta Edición. Buenos Aires: Abeledo Perrot, 1998. p. 318. Énfasis dentro del texto.</w:t>
      </w:r>
    </w:p>
  </w:footnote>
  <w:footnote w:id="9">
    <w:p w14:paraId="32429492" w14:textId="77777777" w:rsidR="009D16CB" w:rsidRPr="00715F3F" w:rsidRDefault="009D16CB" w:rsidP="009D16CB">
      <w:pPr>
        <w:pStyle w:val="Textonotapie"/>
        <w:ind w:firstLine="708"/>
        <w:jc w:val="both"/>
        <w:rPr>
          <w:rFonts w:ascii="Verdana" w:hAnsi="Verdana" w:cs="Arial"/>
          <w:sz w:val="14"/>
          <w:szCs w:val="14"/>
        </w:rPr>
      </w:pPr>
    </w:p>
    <w:p w14:paraId="3F4A7B95" w14:textId="77777777" w:rsidR="009D16CB" w:rsidRPr="00715F3F" w:rsidRDefault="009D16CB" w:rsidP="009D16CB">
      <w:pPr>
        <w:pStyle w:val="Textonotapie"/>
        <w:ind w:firstLine="708"/>
        <w:jc w:val="both"/>
        <w:rPr>
          <w:rFonts w:ascii="Verdana" w:hAnsi="Verdana" w:cs="Arial"/>
          <w:sz w:val="14"/>
          <w:szCs w:val="14"/>
        </w:rPr>
      </w:pPr>
      <w:r w:rsidRPr="00715F3F">
        <w:rPr>
          <w:rStyle w:val="Refdenotaalpie"/>
          <w:rFonts w:ascii="Verdana" w:hAnsi="Verdana" w:cs="Arial"/>
          <w:sz w:val="14"/>
          <w:szCs w:val="14"/>
        </w:rPr>
        <w:footnoteRef/>
      </w:r>
      <w:r w:rsidRPr="00715F3F">
        <w:rPr>
          <w:rFonts w:ascii="Verdana" w:hAnsi="Verdana" w:cs="Arial"/>
          <w:sz w:val="14"/>
          <w:szCs w:val="14"/>
        </w:rPr>
        <w:t xml:space="preserve"> RAMÍREZ GRISALES, Richard. La cesión. Serie: Las cláusulas del contrato estatal. Medellín: Centro de Estudios de Derecho Administrativo –CEDA– y Librería Jurídica Sánchez R., 2014. pp. 71-72.</w:t>
      </w:r>
    </w:p>
  </w:footnote>
  <w:footnote w:id="10">
    <w:p w14:paraId="2773D51A" w14:textId="77777777" w:rsidR="009D16CB" w:rsidRPr="00715F3F" w:rsidRDefault="009D16CB" w:rsidP="009D16CB">
      <w:pPr>
        <w:pStyle w:val="Textonotapie"/>
        <w:ind w:firstLine="709"/>
        <w:jc w:val="both"/>
        <w:rPr>
          <w:rFonts w:ascii="Verdana" w:hAnsi="Verdana" w:cs="Arial"/>
          <w:sz w:val="14"/>
          <w:szCs w:val="14"/>
          <w:lang w:val="es-ES"/>
        </w:rPr>
      </w:pPr>
      <w:r w:rsidRPr="00715F3F">
        <w:rPr>
          <w:rStyle w:val="Refdenotaalpie"/>
          <w:rFonts w:ascii="Verdana" w:hAnsi="Verdana" w:cs="Arial"/>
          <w:sz w:val="14"/>
          <w:szCs w:val="14"/>
        </w:rPr>
        <w:footnoteRef/>
      </w:r>
      <w:r w:rsidRPr="00715F3F">
        <w:rPr>
          <w:rFonts w:ascii="Verdana" w:hAnsi="Verdana" w:cs="Arial"/>
          <w:sz w:val="14"/>
          <w:szCs w:val="14"/>
        </w:rPr>
        <w:t xml:space="preserve"> </w:t>
      </w:r>
      <w:r w:rsidRPr="00715F3F">
        <w:rPr>
          <w:rFonts w:ascii="Verdana" w:hAnsi="Verdana" w:cs="Arial"/>
          <w:sz w:val="14"/>
          <w:szCs w:val="14"/>
          <w:lang w:val="es-ES"/>
        </w:rPr>
        <w:t>Consejo de Estado, Sección Tercera, Sentencia del 16 de marzo de 2015, Rad. 1999-03028, M.P. Jaime Orlando Santofimio Gamboa.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0D0DE8" w14:textId="77777777" w:rsidR="006B369E" w:rsidRDefault="006B369E" w:rsidP="00515FB5">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53D591A6" wp14:editId="434160C6">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E2A731B" wp14:editId="7D8EB1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9DB53AD" w14:textId="77777777" w:rsidR="006B369E" w:rsidRDefault="006B369E" w:rsidP="00515FB5">
    <w:pPr>
      <w:pStyle w:val="Encabezado"/>
    </w:pPr>
  </w:p>
  <w:p w14:paraId="2E25D7E2" w14:textId="77777777" w:rsidR="006B369E" w:rsidRDefault="006B369E" w:rsidP="00515FB5">
    <w:pPr>
      <w:pStyle w:val="Encabezado"/>
    </w:pPr>
  </w:p>
  <w:p w14:paraId="46ED352F" w14:textId="77777777" w:rsidR="006B369E" w:rsidRPr="00515FB5" w:rsidRDefault="006B369E"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D807785"/>
    <w:multiLevelType w:val="hybridMultilevel"/>
    <w:tmpl w:val="F956DF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2BB090C"/>
    <w:multiLevelType w:val="hybridMultilevel"/>
    <w:tmpl w:val="5E984C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CBC59B1"/>
    <w:multiLevelType w:val="hybridMultilevel"/>
    <w:tmpl w:val="9B9AECF8"/>
    <w:lvl w:ilvl="0" w:tplc="7AF69CD2">
      <w:start w:val="1"/>
      <w:numFmt w:val="lowerRoman"/>
      <w:lvlText w:val="%1)"/>
      <w:lvlJc w:val="left"/>
      <w:pPr>
        <w:ind w:left="1440" w:hanging="720"/>
      </w:pPr>
      <w:rPr>
        <w:rFonts w:ascii="Verdana" w:hAnsi="Verdana" w:hint="default"/>
        <w:sz w:val="22"/>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53DD0257"/>
    <w:multiLevelType w:val="hybridMultilevel"/>
    <w:tmpl w:val="5274A2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557C2DAC"/>
    <w:multiLevelType w:val="hybridMultilevel"/>
    <w:tmpl w:val="A120D2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5A3E3567"/>
    <w:multiLevelType w:val="multilevel"/>
    <w:tmpl w:val="E190DC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DC50FF7"/>
    <w:multiLevelType w:val="hybridMultilevel"/>
    <w:tmpl w:val="559E1A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1492209491">
    <w:abstractNumId w:val="4"/>
  </w:num>
  <w:num w:numId="3" w16cid:durableId="679089576">
    <w:abstractNumId w:val="5"/>
  </w:num>
  <w:num w:numId="4" w16cid:durableId="1681347082">
    <w:abstractNumId w:val="2"/>
  </w:num>
  <w:num w:numId="5" w16cid:durableId="2038961982">
    <w:abstractNumId w:val="7"/>
  </w:num>
  <w:num w:numId="6" w16cid:durableId="61874046">
    <w:abstractNumId w:val="9"/>
  </w:num>
  <w:num w:numId="7" w16cid:durableId="794831771">
    <w:abstractNumId w:val="1"/>
  </w:num>
  <w:num w:numId="8" w16cid:durableId="328875954">
    <w:abstractNumId w:val="6"/>
  </w:num>
  <w:num w:numId="9" w16cid:durableId="1942368513">
    <w:abstractNumId w:val="3"/>
  </w:num>
  <w:num w:numId="10" w16cid:durableId="15311397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2CA"/>
    <w:rsid w:val="00025D93"/>
    <w:rsid w:val="000339B3"/>
    <w:rsid w:val="00045F59"/>
    <w:rsid w:val="00070A06"/>
    <w:rsid w:val="000B0EC8"/>
    <w:rsid w:val="000D3CF0"/>
    <w:rsid w:val="000F3004"/>
    <w:rsid w:val="000F5A42"/>
    <w:rsid w:val="0010028D"/>
    <w:rsid w:val="0010140D"/>
    <w:rsid w:val="00146F1B"/>
    <w:rsid w:val="00162CB2"/>
    <w:rsid w:val="0017361E"/>
    <w:rsid w:val="001827DD"/>
    <w:rsid w:val="00193B29"/>
    <w:rsid w:val="001D0594"/>
    <w:rsid w:val="001D18E6"/>
    <w:rsid w:val="00213717"/>
    <w:rsid w:val="00220142"/>
    <w:rsid w:val="002240E2"/>
    <w:rsid w:val="002360D8"/>
    <w:rsid w:val="00285542"/>
    <w:rsid w:val="0029778F"/>
    <w:rsid w:val="002A6358"/>
    <w:rsid w:val="002F69E1"/>
    <w:rsid w:val="00312696"/>
    <w:rsid w:val="0032075B"/>
    <w:rsid w:val="003735DC"/>
    <w:rsid w:val="003C200A"/>
    <w:rsid w:val="00404F4B"/>
    <w:rsid w:val="00420884"/>
    <w:rsid w:val="0042217A"/>
    <w:rsid w:val="004703AA"/>
    <w:rsid w:val="0049106E"/>
    <w:rsid w:val="004A289C"/>
    <w:rsid w:val="004B7F53"/>
    <w:rsid w:val="004D574C"/>
    <w:rsid w:val="0050095A"/>
    <w:rsid w:val="00502DA4"/>
    <w:rsid w:val="00506921"/>
    <w:rsid w:val="0052296D"/>
    <w:rsid w:val="00535747"/>
    <w:rsid w:val="00542FD1"/>
    <w:rsid w:val="0054463E"/>
    <w:rsid w:val="00567E0C"/>
    <w:rsid w:val="00573BAA"/>
    <w:rsid w:val="00575EA1"/>
    <w:rsid w:val="00595B60"/>
    <w:rsid w:val="005A2D91"/>
    <w:rsid w:val="005A3533"/>
    <w:rsid w:val="005B73CB"/>
    <w:rsid w:val="006140AA"/>
    <w:rsid w:val="006144E8"/>
    <w:rsid w:val="00630B59"/>
    <w:rsid w:val="00636B4F"/>
    <w:rsid w:val="0066293B"/>
    <w:rsid w:val="00694650"/>
    <w:rsid w:val="00694E4A"/>
    <w:rsid w:val="006B369E"/>
    <w:rsid w:val="006E77C4"/>
    <w:rsid w:val="006F1F38"/>
    <w:rsid w:val="006F64D7"/>
    <w:rsid w:val="00702940"/>
    <w:rsid w:val="007400B8"/>
    <w:rsid w:val="007563D3"/>
    <w:rsid w:val="00756830"/>
    <w:rsid w:val="007574A5"/>
    <w:rsid w:val="007742A1"/>
    <w:rsid w:val="0079027A"/>
    <w:rsid w:val="0079471C"/>
    <w:rsid w:val="007975E2"/>
    <w:rsid w:val="00797D18"/>
    <w:rsid w:val="007A6FBD"/>
    <w:rsid w:val="007B7ABF"/>
    <w:rsid w:val="007C44FF"/>
    <w:rsid w:val="007F391D"/>
    <w:rsid w:val="007F47C4"/>
    <w:rsid w:val="00842B80"/>
    <w:rsid w:val="008662FA"/>
    <w:rsid w:val="00881E09"/>
    <w:rsid w:val="008B3389"/>
    <w:rsid w:val="008E40FE"/>
    <w:rsid w:val="008F1419"/>
    <w:rsid w:val="008F5F17"/>
    <w:rsid w:val="009332C6"/>
    <w:rsid w:val="0098556D"/>
    <w:rsid w:val="00996CFA"/>
    <w:rsid w:val="009B7E42"/>
    <w:rsid w:val="009D16CB"/>
    <w:rsid w:val="009D17D6"/>
    <w:rsid w:val="009F627A"/>
    <w:rsid w:val="009F750F"/>
    <w:rsid w:val="00A079D0"/>
    <w:rsid w:val="00A12218"/>
    <w:rsid w:val="00A5039D"/>
    <w:rsid w:val="00A563EA"/>
    <w:rsid w:val="00A67831"/>
    <w:rsid w:val="00A726F8"/>
    <w:rsid w:val="00A90678"/>
    <w:rsid w:val="00AC2DF7"/>
    <w:rsid w:val="00AD6C84"/>
    <w:rsid w:val="00B02B8C"/>
    <w:rsid w:val="00B15FA2"/>
    <w:rsid w:val="00B34A88"/>
    <w:rsid w:val="00B46951"/>
    <w:rsid w:val="00B526B4"/>
    <w:rsid w:val="00BC1529"/>
    <w:rsid w:val="00BC3FD0"/>
    <w:rsid w:val="00BD02CA"/>
    <w:rsid w:val="00BD7B66"/>
    <w:rsid w:val="00C001B0"/>
    <w:rsid w:val="00C1710A"/>
    <w:rsid w:val="00C252DD"/>
    <w:rsid w:val="00C70DF4"/>
    <w:rsid w:val="00C9747A"/>
    <w:rsid w:val="00CB0B99"/>
    <w:rsid w:val="00CB60C9"/>
    <w:rsid w:val="00CF5BCA"/>
    <w:rsid w:val="00D17AFC"/>
    <w:rsid w:val="00D47994"/>
    <w:rsid w:val="00D53438"/>
    <w:rsid w:val="00D5645C"/>
    <w:rsid w:val="00D6227E"/>
    <w:rsid w:val="00D9691B"/>
    <w:rsid w:val="00DD3AAB"/>
    <w:rsid w:val="00E11593"/>
    <w:rsid w:val="00E51F1A"/>
    <w:rsid w:val="00E52E8F"/>
    <w:rsid w:val="00E54C06"/>
    <w:rsid w:val="00E635D8"/>
    <w:rsid w:val="00E73863"/>
    <w:rsid w:val="00E81306"/>
    <w:rsid w:val="00E81A5F"/>
    <w:rsid w:val="00EB428C"/>
    <w:rsid w:val="00EB7330"/>
    <w:rsid w:val="00ED7666"/>
    <w:rsid w:val="00EF3F1E"/>
    <w:rsid w:val="00F114DE"/>
    <w:rsid w:val="00F61433"/>
    <w:rsid w:val="00F621D5"/>
    <w:rsid w:val="00F83DE4"/>
    <w:rsid w:val="00F86AAD"/>
    <w:rsid w:val="00F91D81"/>
    <w:rsid w:val="00FE1A78"/>
    <w:rsid w:val="00FE747F"/>
    <w:rsid w:val="00FF6B1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01ECA"/>
  <w15:chartTrackingRefBased/>
  <w15:docId w15:val="{504B3BCE-4F7A-4C18-84A2-563AEB20D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2CA"/>
    <w:rPr>
      <w:kern w:val="0"/>
      <w14:ligatures w14:val="none"/>
    </w:rPr>
  </w:style>
  <w:style w:type="paragraph" w:styleId="Ttulo1">
    <w:name w:val="heading 1"/>
    <w:basedOn w:val="Normal"/>
    <w:next w:val="Normal"/>
    <w:link w:val="Ttulo1Car"/>
    <w:uiPriority w:val="9"/>
    <w:qFormat/>
    <w:rsid w:val="00BD02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D02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D02C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D02C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D02C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D02C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D02C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D02C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D02C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D02C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D02C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D02C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D02C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D02C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D02C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D02C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D02C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D02CA"/>
    <w:rPr>
      <w:rFonts w:eastAsiaTheme="majorEastAsia" w:cstheme="majorBidi"/>
      <w:color w:val="272727" w:themeColor="text1" w:themeTint="D8"/>
    </w:rPr>
  </w:style>
  <w:style w:type="paragraph" w:styleId="Ttulo">
    <w:name w:val="Title"/>
    <w:basedOn w:val="Normal"/>
    <w:next w:val="Normal"/>
    <w:link w:val="TtuloCar"/>
    <w:uiPriority w:val="10"/>
    <w:qFormat/>
    <w:rsid w:val="00BD02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D02C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D02C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D02C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D02CA"/>
    <w:pPr>
      <w:spacing w:before="160"/>
      <w:jc w:val="center"/>
    </w:pPr>
    <w:rPr>
      <w:i/>
      <w:iCs/>
      <w:color w:val="404040" w:themeColor="text1" w:themeTint="BF"/>
    </w:rPr>
  </w:style>
  <w:style w:type="character" w:customStyle="1" w:styleId="CitaCar">
    <w:name w:val="Cita Car"/>
    <w:basedOn w:val="Fuentedeprrafopredeter"/>
    <w:link w:val="Cita"/>
    <w:uiPriority w:val="29"/>
    <w:rsid w:val="00BD02CA"/>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BD02CA"/>
    <w:pPr>
      <w:ind w:left="720"/>
      <w:contextualSpacing/>
    </w:pPr>
  </w:style>
  <w:style w:type="character" w:styleId="nfasisintenso">
    <w:name w:val="Intense Emphasis"/>
    <w:basedOn w:val="Fuentedeprrafopredeter"/>
    <w:uiPriority w:val="21"/>
    <w:qFormat/>
    <w:rsid w:val="00BD02CA"/>
    <w:rPr>
      <w:i/>
      <w:iCs/>
      <w:color w:val="0F4761" w:themeColor="accent1" w:themeShade="BF"/>
    </w:rPr>
  </w:style>
  <w:style w:type="paragraph" w:styleId="Citadestacada">
    <w:name w:val="Intense Quote"/>
    <w:basedOn w:val="Normal"/>
    <w:next w:val="Normal"/>
    <w:link w:val="CitadestacadaCar"/>
    <w:uiPriority w:val="30"/>
    <w:qFormat/>
    <w:rsid w:val="00BD02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D02CA"/>
    <w:rPr>
      <w:i/>
      <w:iCs/>
      <w:color w:val="0F4761" w:themeColor="accent1" w:themeShade="BF"/>
    </w:rPr>
  </w:style>
  <w:style w:type="character" w:styleId="Referenciaintensa">
    <w:name w:val="Intense Reference"/>
    <w:basedOn w:val="Fuentedeprrafopredeter"/>
    <w:uiPriority w:val="32"/>
    <w:qFormat/>
    <w:rsid w:val="00BD02CA"/>
    <w:rPr>
      <w:b/>
      <w:bCs/>
      <w:smallCaps/>
      <w:color w:val="0F4761" w:themeColor="accent1" w:themeShade="BF"/>
      <w:spacing w:val="5"/>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D02C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D02CA"/>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BD02CA"/>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D02CA"/>
    <w:rPr>
      <w:vertAlign w:val="superscript"/>
    </w:rPr>
  </w:style>
  <w:style w:type="paragraph" w:customStyle="1" w:styleId="Appelnotedebasde">
    <w:name w:val="Appel note de bas de..."/>
    <w:basedOn w:val="Normal"/>
    <w:link w:val="Refdenotaalpie"/>
    <w:uiPriority w:val="99"/>
    <w:rsid w:val="00BD02CA"/>
    <w:pPr>
      <w:spacing w:line="240" w:lineRule="exact"/>
    </w:pPr>
    <w:rPr>
      <w:kern w:val="2"/>
      <w:vertAlign w:val="superscript"/>
      <w14:ligatures w14:val="standardContextual"/>
    </w:rPr>
  </w:style>
  <w:style w:type="paragraph" w:styleId="Encabezado">
    <w:name w:val="header"/>
    <w:basedOn w:val="Normal"/>
    <w:link w:val="EncabezadoCar"/>
    <w:uiPriority w:val="99"/>
    <w:unhideWhenUsed/>
    <w:rsid w:val="00BD02C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D02CA"/>
    <w:rPr>
      <w:kern w:val="0"/>
      <w14:ligatures w14:val="none"/>
    </w:rPr>
  </w:style>
  <w:style w:type="paragraph" w:styleId="Piedepgina">
    <w:name w:val="footer"/>
    <w:basedOn w:val="Normal"/>
    <w:link w:val="PiedepginaCar"/>
    <w:uiPriority w:val="99"/>
    <w:unhideWhenUsed/>
    <w:rsid w:val="00BD02C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D02CA"/>
    <w:rPr>
      <w:kern w:val="0"/>
      <w14:ligatures w14:val="none"/>
    </w:rPr>
  </w:style>
  <w:style w:type="table" w:styleId="Tablaconcuadrcula">
    <w:name w:val="Table Grid"/>
    <w:basedOn w:val="Tablanormal"/>
    <w:uiPriority w:val="39"/>
    <w:qFormat/>
    <w:rsid w:val="00BD02C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D02CA"/>
    <w:rPr>
      <w:color w:val="467886" w:themeColor="hyperlink"/>
      <w:u w:val="single"/>
    </w:rPr>
  </w:style>
  <w:style w:type="character" w:styleId="Refdecomentario">
    <w:name w:val="annotation reference"/>
    <w:basedOn w:val="Fuentedeprrafopredeter"/>
    <w:uiPriority w:val="99"/>
    <w:semiHidden/>
    <w:unhideWhenUsed/>
    <w:rsid w:val="00BD02CA"/>
    <w:rPr>
      <w:sz w:val="16"/>
      <w:szCs w:val="16"/>
    </w:rPr>
  </w:style>
  <w:style w:type="paragraph" w:styleId="Textocomentario">
    <w:name w:val="annotation text"/>
    <w:basedOn w:val="Normal"/>
    <w:link w:val="TextocomentarioCar"/>
    <w:uiPriority w:val="99"/>
    <w:unhideWhenUsed/>
    <w:rsid w:val="00BD02CA"/>
    <w:pPr>
      <w:spacing w:line="240" w:lineRule="auto"/>
    </w:pPr>
    <w:rPr>
      <w:sz w:val="20"/>
      <w:szCs w:val="20"/>
    </w:rPr>
  </w:style>
  <w:style w:type="character" w:customStyle="1" w:styleId="TextocomentarioCar">
    <w:name w:val="Texto comentario Car"/>
    <w:basedOn w:val="Fuentedeprrafopredeter"/>
    <w:link w:val="Textocomentario"/>
    <w:uiPriority w:val="99"/>
    <w:rsid w:val="00BD02CA"/>
    <w:rPr>
      <w:kern w:val="0"/>
      <w:sz w:val="20"/>
      <w:szCs w:val="20"/>
      <w14:ligatures w14:val="none"/>
    </w:rPr>
  </w:style>
  <w:style w:type="character" w:customStyle="1" w:styleId="normaltextrun">
    <w:name w:val="normaltextrun"/>
    <w:basedOn w:val="Fuentedeprrafopredeter"/>
    <w:rsid w:val="00BD02CA"/>
  </w:style>
  <w:style w:type="character" w:customStyle="1" w:styleId="eop">
    <w:name w:val="eop"/>
    <w:basedOn w:val="Fuentedeprrafopredeter"/>
    <w:rsid w:val="00BD02CA"/>
  </w:style>
  <w:style w:type="paragraph" w:customStyle="1" w:styleId="paragraph">
    <w:name w:val="paragraph"/>
    <w:basedOn w:val="Normal"/>
    <w:rsid w:val="00BD02CA"/>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D02CA"/>
  </w:style>
  <w:style w:type="character" w:styleId="Mencinsinresolver">
    <w:name w:val="Unresolved Mention"/>
    <w:basedOn w:val="Fuentedeprrafopredeter"/>
    <w:uiPriority w:val="99"/>
    <w:semiHidden/>
    <w:unhideWhenUsed/>
    <w:rsid w:val="00BD02CA"/>
    <w:rPr>
      <w:color w:val="605E5C"/>
      <w:shd w:val="clear" w:color="auto" w:fill="E1DFDD"/>
    </w:rPr>
  </w:style>
  <w:style w:type="paragraph" w:styleId="Revisin">
    <w:name w:val="Revision"/>
    <w:hidden/>
    <w:uiPriority w:val="99"/>
    <w:semiHidden/>
    <w:rsid w:val="004A289C"/>
    <w:pPr>
      <w:spacing w:after="0" w:line="240" w:lineRule="auto"/>
    </w:pPr>
    <w:rPr>
      <w:kern w:val="0"/>
      <w14:ligatures w14:val="none"/>
    </w:rPr>
  </w:style>
  <w:style w:type="paragraph" w:styleId="Textoindependiente">
    <w:name w:val="Body Text"/>
    <w:basedOn w:val="Normal"/>
    <w:link w:val="TextoindependienteCar"/>
    <w:uiPriority w:val="1"/>
    <w:qFormat/>
    <w:rsid w:val="0050095A"/>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50095A"/>
    <w:rPr>
      <w:rFonts w:ascii="Arial MT" w:eastAsia="Arial MT" w:hAnsi="Arial MT" w:cs="Arial MT"/>
      <w:kern w:val="0"/>
      <w:lang w:val="es-ES"/>
      <w14:ligatures w14:val="none"/>
    </w:rPr>
  </w:style>
  <w:style w:type="character" w:styleId="Textoennegrita">
    <w:name w:val="Strong"/>
    <w:basedOn w:val="Fuentedeprrafopredeter"/>
    <w:uiPriority w:val="22"/>
    <w:qFormat/>
    <w:rsid w:val="00FE747F"/>
    <w:rPr>
      <w:b/>
      <w:bCs/>
    </w:rPr>
  </w:style>
  <w:style w:type="paragraph" w:customStyle="1" w:styleId="western">
    <w:name w:val="western"/>
    <w:basedOn w:val="Normal"/>
    <w:rsid w:val="00FE747F"/>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NormalWeb">
    <w:name w:val="Normal (Web)"/>
    <w:basedOn w:val="Normal"/>
    <w:link w:val="NormalWebCar"/>
    <w:uiPriority w:val="99"/>
    <w:unhideWhenUsed/>
    <w:rsid w:val="0032075B"/>
    <w:rPr>
      <w:rFonts w:ascii="Times New Roman" w:hAnsi="Times New Roman" w:cs="Times New Roman"/>
      <w:sz w:val="24"/>
      <w:szCs w:val="24"/>
    </w:rPr>
  </w:style>
  <w:style w:type="character" w:customStyle="1" w:styleId="NormalWebCar">
    <w:name w:val="Normal (Web) Car"/>
    <w:link w:val="NormalWeb"/>
    <w:uiPriority w:val="99"/>
    <w:rsid w:val="0032075B"/>
    <w:rPr>
      <w:rFonts w:ascii="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00050">
      <w:bodyDiv w:val="1"/>
      <w:marLeft w:val="0"/>
      <w:marRight w:val="0"/>
      <w:marTop w:val="0"/>
      <w:marBottom w:val="0"/>
      <w:divBdr>
        <w:top w:val="none" w:sz="0" w:space="0" w:color="auto"/>
        <w:left w:val="none" w:sz="0" w:space="0" w:color="auto"/>
        <w:bottom w:val="none" w:sz="0" w:space="0" w:color="auto"/>
        <w:right w:val="none" w:sz="0" w:space="0" w:color="auto"/>
      </w:divBdr>
    </w:div>
    <w:div w:id="337345512">
      <w:bodyDiv w:val="1"/>
      <w:marLeft w:val="0"/>
      <w:marRight w:val="0"/>
      <w:marTop w:val="0"/>
      <w:marBottom w:val="0"/>
      <w:divBdr>
        <w:top w:val="none" w:sz="0" w:space="0" w:color="auto"/>
        <w:left w:val="none" w:sz="0" w:space="0" w:color="auto"/>
        <w:bottom w:val="none" w:sz="0" w:space="0" w:color="auto"/>
        <w:right w:val="none" w:sz="0" w:space="0" w:color="auto"/>
      </w:divBdr>
    </w:div>
    <w:div w:id="512301586">
      <w:bodyDiv w:val="1"/>
      <w:marLeft w:val="0"/>
      <w:marRight w:val="0"/>
      <w:marTop w:val="0"/>
      <w:marBottom w:val="0"/>
      <w:divBdr>
        <w:top w:val="none" w:sz="0" w:space="0" w:color="auto"/>
        <w:left w:val="none" w:sz="0" w:space="0" w:color="auto"/>
        <w:bottom w:val="none" w:sz="0" w:space="0" w:color="auto"/>
        <w:right w:val="none" w:sz="0" w:space="0" w:color="auto"/>
      </w:divBdr>
    </w:div>
    <w:div w:id="529536187">
      <w:bodyDiv w:val="1"/>
      <w:marLeft w:val="0"/>
      <w:marRight w:val="0"/>
      <w:marTop w:val="0"/>
      <w:marBottom w:val="0"/>
      <w:divBdr>
        <w:top w:val="none" w:sz="0" w:space="0" w:color="auto"/>
        <w:left w:val="none" w:sz="0" w:space="0" w:color="auto"/>
        <w:bottom w:val="none" w:sz="0" w:space="0" w:color="auto"/>
        <w:right w:val="none" w:sz="0" w:space="0" w:color="auto"/>
      </w:divBdr>
    </w:div>
    <w:div w:id="1361124171">
      <w:bodyDiv w:val="1"/>
      <w:marLeft w:val="0"/>
      <w:marRight w:val="0"/>
      <w:marTop w:val="0"/>
      <w:marBottom w:val="0"/>
      <w:divBdr>
        <w:top w:val="none" w:sz="0" w:space="0" w:color="auto"/>
        <w:left w:val="none" w:sz="0" w:space="0" w:color="auto"/>
        <w:bottom w:val="none" w:sz="0" w:space="0" w:color="auto"/>
        <w:right w:val="none" w:sz="0" w:space="0" w:color="auto"/>
      </w:divBdr>
    </w:div>
    <w:div w:id="1837189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egoalejandrorodriguez39@gmail.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olombiacompra.gov.co/sites/cce_public/files/files_2020/boletin_de_realtoria_iii.pdf" TargetMode="External"/><Relationship Id="rId4" Type="http://schemas.openxmlformats.org/officeDocument/2006/relationships/webSettings" Target="webSettings.xml"/><Relationship Id="rId9" Type="http://schemas.openxmlformats.org/officeDocument/2006/relationships/hyperlink" Target="https://relatoria.colombiacompra.gov.c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11</Pages>
  <Words>2922</Words>
  <Characters>16072</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Gloria Ximena Moreno Guio</cp:lastModifiedBy>
  <cp:revision>43</cp:revision>
  <dcterms:created xsi:type="dcterms:W3CDTF">2024-09-13T19:03:00Z</dcterms:created>
  <dcterms:modified xsi:type="dcterms:W3CDTF">2024-10-23T16:54:00Z</dcterms:modified>
</cp:coreProperties>
</file>