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70885" w14:textId="77777777" w:rsidR="00FE0FB7" w:rsidRPr="00FE0FB7" w:rsidRDefault="00FE0FB7" w:rsidP="00FE0FB7">
      <w:pPr>
        <w:jc w:val="both"/>
        <w:rPr>
          <w:rFonts w:ascii="Verdana" w:hAnsi="Verdana" w:cs="Arial"/>
          <w:b/>
          <w:color w:val="000000"/>
          <w:kern w:val="2"/>
          <w:sz w:val="20"/>
          <w:szCs w:val="20"/>
          <w:lang w:val="es-MX"/>
          <w14:ligatures w14:val="standardContextual"/>
        </w:rPr>
      </w:pPr>
      <w:bookmarkStart w:id="0" w:name="_Hlk143780582"/>
      <w:r w:rsidRPr="00FE0FB7">
        <w:rPr>
          <w:rFonts w:ascii="Verdana" w:hAnsi="Verdana" w:cs="Arial"/>
          <w:b/>
          <w:color w:val="000000"/>
          <w:kern w:val="2"/>
          <w:sz w:val="20"/>
          <w:szCs w:val="20"/>
          <w:lang w:val="es-MX"/>
          <w14:ligatures w14:val="standardContextual"/>
        </w:rPr>
        <w:t>REGISTRO MERCANTIL – Obligatoriedad – Articulo 33 del Código de Comercio – disposición Legal</w:t>
      </w:r>
    </w:p>
    <w:p w14:paraId="64144700" w14:textId="77777777" w:rsidR="00FE0FB7" w:rsidRPr="00FE0FB7" w:rsidRDefault="00FE0FB7" w:rsidP="00FE0FB7">
      <w:pPr>
        <w:spacing w:line="276" w:lineRule="auto"/>
        <w:jc w:val="both"/>
        <w:rPr>
          <w:rFonts w:ascii="Verdana" w:hAnsi="Verdana" w:cs="Arial"/>
          <w:bCs/>
          <w:sz w:val="20"/>
          <w:szCs w:val="20"/>
        </w:rPr>
      </w:pPr>
      <w:r w:rsidRPr="00FE0FB7">
        <w:rPr>
          <w:rFonts w:ascii="Verdana" w:hAnsi="Verdana" w:cs="Arial"/>
          <w:bCs/>
          <w:sz w:val="20"/>
          <w:szCs w:val="20"/>
        </w:rPr>
        <w:t>El artículo 33 del Decreto 410 de 1971 (actual Código de Comercio) establece la obligación de renovar la matrícula mercantil dentro de los tres primeros meses del año, pero no contempla la cesación de los efectos de la matrícula en caso de no renovarse. Por el contrario, el Registro Único de Proponentes (RUP) sí contempla una cesación de efectos cuando no es renovado, conforme lo establece la normativa vigente.</w:t>
      </w:r>
    </w:p>
    <w:p w14:paraId="5F4D1C48" w14:textId="77777777" w:rsidR="00FE0FB7" w:rsidRPr="00FE0FB7" w:rsidRDefault="00FE0FB7" w:rsidP="00FE0FB7">
      <w:pPr>
        <w:spacing w:line="276" w:lineRule="auto"/>
        <w:jc w:val="both"/>
        <w:rPr>
          <w:rFonts w:ascii="Verdana" w:hAnsi="Verdana" w:cs="Arial"/>
          <w:bCs/>
          <w:sz w:val="20"/>
          <w:szCs w:val="20"/>
        </w:rPr>
      </w:pPr>
      <w:r w:rsidRPr="00FE0FB7">
        <w:rPr>
          <w:rFonts w:ascii="Verdana" w:hAnsi="Verdana" w:cs="Arial"/>
          <w:bCs/>
          <w:sz w:val="20"/>
          <w:szCs w:val="20"/>
        </w:rPr>
        <w:t>Por esta razón, si bien la no renovación de la matrícula mercantil puede acarrear sanciones, como multas, la matrícula sigue vigente, lo que permite al comerciante continuar operando y llevar a cabo todos los actos y/</w:t>
      </w:r>
      <w:proofErr w:type="spellStart"/>
      <w:r w:rsidRPr="00FE0FB7">
        <w:rPr>
          <w:rFonts w:ascii="Verdana" w:hAnsi="Verdana" w:cs="Arial"/>
          <w:bCs/>
          <w:sz w:val="20"/>
          <w:szCs w:val="20"/>
        </w:rPr>
        <w:t>o</w:t>
      </w:r>
      <w:proofErr w:type="spellEnd"/>
      <w:r w:rsidRPr="00FE0FB7">
        <w:rPr>
          <w:rFonts w:ascii="Verdana" w:hAnsi="Verdana" w:cs="Arial"/>
          <w:bCs/>
          <w:sz w:val="20"/>
          <w:szCs w:val="20"/>
        </w:rPr>
        <w:t xml:space="preserve"> operaciones mercantiles que correspondan.</w:t>
      </w:r>
    </w:p>
    <w:p w14:paraId="1B297030" w14:textId="77777777" w:rsidR="00FE0FB7" w:rsidRPr="00FE0FB7" w:rsidRDefault="00FE0FB7" w:rsidP="00FE0FB7">
      <w:pPr>
        <w:spacing w:line="276" w:lineRule="auto"/>
        <w:jc w:val="both"/>
        <w:rPr>
          <w:rFonts w:ascii="Verdana" w:hAnsi="Verdana" w:cs="Arial"/>
          <w:bCs/>
          <w:sz w:val="20"/>
          <w:szCs w:val="20"/>
        </w:rPr>
      </w:pPr>
      <w:r w:rsidRPr="00FE0FB7">
        <w:rPr>
          <w:rFonts w:ascii="Verdana" w:hAnsi="Verdana" w:cs="Arial"/>
          <w:bCs/>
          <w:sz w:val="20"/>
          <w:szCs w:val="20"/>
        </w:rPr>
        <w:t>Cabe destacar que el registro mercantil tiene como finalidad llevar la matrícula de los comerciantes y de los establecimientos de comercio, así como la inscripción de todos los actos, libros y documentos respecto de los cuales la ley exija dicha formalidad. En este sentido, la matrícula mercantil actúa como un medio de identificación que otorga publicidad a la condición de comerciante. Esta condición, de acuerdo con el artículo 10 del Código de Comercio, se adquiere por el ejercicio profesional de una o varias de las actividades que dicho código considera como comerciales o mercantiles, conforme a lo dispuesto en sus artículos 20 y 21.</w:t>
      </w:r>
    </w:p>
    <w:p w14:paraId="64CA7504" w14:textId="77777777" w:rsidR="00FE0FB7" w:rsidRPr="00FE0FB7" w:rsidRDefault="00FE0FB7" w:rsidP="00FE0FB7">
      <w:pPr>
        <w:spacing w:line="276" w:lineRule="auto"/>
        <w:jc w:val="both"/>
        <w:rPr>
          <w:rFonts w:ascii="Verdana" w:hAnsi="Verdana" w:cs="Arial"/>
          <w:bCs/>
          <w:sz w:val="20"/>
          <w:szCs w:val="20"/>
          <w:lang w:val="es-MX"/>
        </w:rPr>
      </w:pPr>
      <w:r w:rsidRPr="00FE0FB7">
        <w:rPr>
          <w:rFonts w:ascii="Verdana" w:hAnsi="Verdana" w:cs="Arial"/>
          <w:bCs/>
          <w:sz w:val="20"/>
          <w:szCs w:val="20"/>
          <w:lang w:val="es-MX"/>
        </w:rPr>
        <w:t>El artículo 20 del Código de Comercio, en el numeral 15, define como mercantil “Las empresas de obras o construcciones, reparaciones, montajes, instalaciones u ornamentaciones”. Por su parte, el artículo 11 del mismo estatuto dispone: “las personas que ejecuten ocasionalmente operaciones mercantiles no se considerarán comerciantes, pero estarán sujetas a las normas comerciales en cuanto a dichas operaciones”. Así mismo, el artículo 23 señala las actividades que no pueden considerarse mercantiles, y por lo tanto, no requiere que la persona se inscriba en el registro mercantil.</w:t>
      </w:r>
    </w:p>
    <w:p w14:paraId="70038281" w14:textId="58A24208" w:rsidR="00204425" w:rsidRPr="00FE0FB7" w:rsidRDefault="00FE0FB7" w:rsidP="00FE0FB7">
      <w:pPr>
        <w:spacing w:after="0"/>
        <w:jc w:val="both"/>
        <w:rPr>
          <w:rFonts w:ascii="Verdana" w:hAnsi="Verdana"/>
          <w:bCs/>
          <w:sz w:val="20"/>
          <w:szCs w:val="20"/>
          <w:lang w:val="es-MX"/>
        </w:rPr>
      </w:pPr>
      <w:r w:rsidRPr="00FE0FB7">
        <w:rPr>
          <w:rFonts w:ascii="Verdana" w:hAnsi="Verdana" w:cs="Arial"/>
          <w:bCs/>
          <w:sz w:val="20"/>
          <w:szCs w:val="20"/>
        </w:rPr>
        <w:t>En conclusión, y como respuesta a su consulta, es una obligación legal que los oferentes acrediten su inscripción en el Registro Mercantil para poder participar en procesos de contratación cuyo objeto implique el ejercicio de actividades mercantiles, conforme a lo dispuesto en el artículo 20 del Código de Comercio. Sin embargo, no constituye un requisito legal que la matrícula mercantil se encuentre renovada para efectos de dicha participación.</w:t>
      </w:r>
    </w:p>
    <w:p w14:paraId="723A31EE" w14:textId="77777777" w:rsidR="00FE0FB7" w:rsidRDefault="00FE0FB7" w:rsidP="00204425">
      <w:pPr>
        <w:spacing w:after="0" w:line="240" w:lineRule="auto"/>
        <w:rPr>
          <w:rFonts w:ascii="Verdana" w:eastAsia="Geomanist Light" w:hAnsi="Verdana" w:cs="Arial"/>
          <w:color w:val="000000" w:themeColor="text1"/>
          <w:lang w:val="es-MX"/>
        </w:rPr>
      </w:pPr>
    </w:p>
    <w:p w14:paraId="480FC2C7" w14:textId="77777777" w:rsidR="00FE0FB7" w:rsidRDefault="00FE0FB7" w:rsidP="00204425">
      <w:pPr>
        <w:spacing w:after="0" w:line="240" w:lineRule="auto"/>
        <w:rPr>
          <w:rFonts w:ascii="Verdana" w:eastAsia="Geomanist Light" w:hAnsi="Verdana" w:cs="Arial"/>
          <w:color w:val="000000" w:themeColor="text1"/>
          <w:lang w:val="es-MX"/>
        </w:rPr>
      </w:pPr>
    </w:p>
    <w:p w14:paraId="4593C26D" w14:textId="77777777" w:rsidR="00FE0FB7" w:rsidRDefault="00FE0FB7" w:rsidP="00204425">
      <w:pPr>
        <w:spacing w:after="0" w:line="240" w:lineRule="auto"/>
        <w:rPr>
          <w:rFonts w:ascii="Verdana" w:eastAsia="Geomanist Light" w:hAnsi="Verdana" w:cs="Arial"/>
          <w:color w:val="000000" w:themeColor="text1"/>
          <w:lang w:val="es-MX"/>
        </w:rPr>
      </w:pPr>
    </w:p>
    <w:p w14:paraId="3F36DC20" w14:textId="77777777" w:rsidR="00FE0FB7" w:rsidRDefault="00FE0FB7" w:rsidP="00204425">
      <w:pPr>
        <w:spacing w:after="0" w:line="240" w:lineRule="auto"/>
        <w:rPr>
          <w:rFonts w:ascii="Verdana" w:eastAsia="Geomanist Light" w:hAnsi="Verdana" w:cs="Arial"/>
          <w:color w:val="000000" w:themeColor="text1"/>
          <w:lang w:val="es-MX"/>
        </w:rPr>
      </w:pPr>
    </w:p>
    <w:p w14:paraId="5741DFDB" w14:textId="77777777" w:rsidR="00FE0FB7" w:rsidRDefault="00FE0FB7" w:rsidP="00204425">
      <w:pPr>
        <w:spacing w:after="0" w:line="240" w:lineRule="auto"/>
        <w:rPr>
          <w:rFonts w:ascii="Verdana" w:eastAsia="Geomanist Light" w:hAnsi="Verdana" w:cs="Arial"/>
          <w:color w:val="000000" w:themeColor="text1"/>
          <w:lang w:val="es-MX"/>
        </w:rPr>
      </w:pPr>
    </w:p>
    <w:p w14:paraId="49619A5A" w14:textId="77777777" w:rsidR="00FE0FB7" w:rsidRDefault="00FE0FB7" w:rsidP="00204425">
      <w:pPr>
        <w:spacing w:after="0" w:line="240" w:lineRule="auto"/>
        <w:rPr>
          <w:rFonts w:ascii="Verdana" w:eastAsia="Geomanist Light" w:hAnsi="Verdana" w:cs="Arial"/>
          <w:color w:val="000000" w:themeColor="text1"/>
          <w:lang w:val="es-MX"/>
        </w:rPr>
      </w:pPr>
    </w:p>
    <w:p w14:paraId="711D86AB" w14:textId="77777777" w:rsidR="00FE0FB7" w:rsidRDefault="00FE0FB7" w:rsidP="00204425">
      <w:pPr>
        <w:spacing w:after="0" w:line="240" w:lineRule="auto"/>
        <w:rPr>
          <w:rFonts w:ascii="Verdana" w:eastAsia="Geomanist Light" w:hAnsi="Verdana" w:cs="Arial"/>
          <w:color w:val="000000" w:themeColor="text1"/>
          <w:lang w:val="es-MX"/>
        </w:rPr>
      </w:pPr>
    </w:p>
    <w:p w14:paraId="51B292F6" w14:textId="5C0A6383" w:rsidR="00204425" w:rsidRPr="00CF64C0" w:rsidRDefault="00204425" w:rsidP="00204425">
      <w:pPr>
        <w:spacing w:after="0" w:line="240" w:lineRule="auto"/>
        <w:rPr>
          <w:rFonts w:ascii="Verdana" w:eastAsia="Geomanist Light" w:hAnsi="Verdana" w:cs="Arial"/>
          <w:color w:val="201F1E"/>
          <w:lang w:val="es-MX"/>
        </w:rPr>
      </w:pPr>
      <w:r w:rsidRPr="00CF64C0">
        <w:rPr>
          <w:rFonts w:ascii="Verdana" w:eastAsia="Geomanist Light" w:hAnsi="Verdana" w:cs="Arial"/>
          <w:color w:val="000000" w:themeColor="text1"/>
          <w:lang w:val="es-MX"/>
        </w:rPr>
        <w:lastRenderedPageBreak/>
        <w:t>Bogotá D.C., </w:t>
      </w:r>
      <w:r w:rsidR="00FE0FB7">
        <w:rPr>
          <w:rFonts w:ascii="Verdana" w:eastAsia="Geomanist Light" w:hAnsi="Verdana" w:cs="Arial"/>
          <w:color w:val="201F1E"/>
          <w:lang w:val="es-MX"/>
        </w:rPr>
        <w:t>22</w:t>
      </w:r>
      <w:r w:rsidRPr="00CF64C0">
        <w:rPr>
          <w:rFonts w:ascii="Verdana" w:eastAsia="Geomanist Light" w:hAnsi="Verdana" w:cs="Arial"/>
          <w:color w:val="201F1E"/>
          <w:lang w:val="es-MX"/>
        </w:rPr>
        <w:t xml:space="preserve"> de </w:t>
      </w:r>
      <w:r w:rsidR="00FE0FB7">
        <w:rPr>
          <w:rFonts w:ascii="Verdana" w:eastAsia="Geomanist Light" w:hAnsi="Verdana" w:cs="Arial"/>
          <w:color w:val="201F1E"/>
          <w:lang w:val="es-MX"/>
        </w:rPr>
        <w:t xml:space="preserve">mayo </w:t>
      </w:r>
      <w:r w:rsidRPr="00CF64C0">
        <w:rPr>
          <w:rFonts w:ascii="Verdana" w:eastAsia="Geomanist Light" w:hAnsi="Verdana" w:cs="Arial"/>
          <w:color w:val="201F1E"/>
          <w:lang w:val="es-MX"/>
        </w:rPr>
        <w:t xml:space="preserve">de </w:t>
      </w:r>
      <w:r w:rsidR="00FE0FB7">
        <w:rPr>
          <w:rFonts w:ascii="Verdana" w:eastAsia="Geomanist Light" w:hAnsi="Verdana" w:cs="Arial"/>
          <w:color w:val="201F1E"/>
          <w:lang w:val="es-MX"/>
        </w:rPr>
        <w:t>2025</w:t>
      </w:r>
    </w:p>
    <w:p w14:paraId="4ABCCA33" w14:textId="77777777" w:rsidR="00204425" w:rsidRPr="00104472" w:rsidRDefault="00204425" w:rsidP="00204425">
      <w:pPr>
        <w:spacing w:after="0" w:line="240" w:lineRule="auto"/>
        <w:rPr>
          <w:rFonts w:ascii="Verdana" w:hAnsi="Verdana"/>
          <w:lang w:val="es-MX"/>
        </w:rPr>
      </w:pPr>
    </w:p>
    <w:p w14:paraId="47A5D068" w14:textId="425F8564" w:rsidR="00204425" w:rsidRPr="00C323C8" w:rsidRDefault="00FE0FB7" w:rsidP="00FE0FB7">
      <w:pPr>
        <w:spacing w:after="0" w:line="240" w:lineRule="auto"/>
        <w:ind w:left="5664"/>
        <w:rPr>
          <w:rFonts w:ascii="Verdana" w:hAnsi="Verdana"/>
        </w:rPr>
      </w:pPr>
      <w:r w:rsidRPr="00FE0FB7">
        <w:rPr>
          <w:rFonts w:ascii="Verdana" w:hAnsi="Verdana"/>
        </w:rPr>
        <w:drawing>
          <wp:inline distT="0" distB="0" distL="0" distR="0" wp14:anchorId="658D36AD" wp14:editId="75777385">
            <wp:extent cx="2524477" cy="790685"/>
            <wp:effectExtent l="0" t="0" r="9525" b="9525"/>
            <wp:docPr id="21411941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194158" name=""/>
                    <pic:cNvPicPr/>
                  </pic:nvPicPr>
                  <pic:blipFill>
                    <a:blip r:embed="rId10"/>
                    <a:stretch>
                      <a:fillRect/>
                    </a:stretch>
                  </pic:blipFill>
                  <pic:spPr>
                    <a:xfrm>
                      <a:off x="0" y="0"/>
                      <a:ext cx="2524477" cy="790685"/>
                    </a:xfrm>
                    <a:prstGeom prst="rect">
                      <a:avLst/>
                    </a:prstGeom>
                  </pic:spPr>
                </pic:pic>
              </a:graphicData>
            </a:graphic>
          </wp:inline>
        </w:drawing>
      </w:r>
    </w:p>
    <w:p w14:paraId="0BC31F7C" w14:textId="77777777" w:rsidR="00FE0FB7" w:rsidRDefault="00FE0FB7" w:rsidP="00204425">
      <w:pPr>
        <w:spacing w:after="0" w:line="240" w:lineRule="auto"/>
        <w:rPr>
          <w:rFonts w:ascii="Verdana" w:eastAsia="Calibri" w:hAnsi="Verdana" w:cs="Times New Roman"/>
          <w:lang w:val="es-MX"/>
        </w:rPr>
      </w:pPr>
    </w:p>
    <w:p w14:paraId="3F39035E" w14:textId="5347FD09" w:rsidR="00204425" w:rsidRPr="00C323C8" w:rsidRDefault="005A4035" w:rsidP="00204425">
      <w:pPr>
        <w:spacing w:after="0" w:line="240" w:lineRule="auto"/>
        <w:rPr>
          <w:rFonts w:ascii="Verdana" w:eastAsia="Calibri" w:hAnsi="Verdana" w:cs="Times New Roman"/>
          <w:lang w:val="es-MX"/>
        </w:rPr>
      </w:pPr>
      <w:r>
        <w:rPr>
          <w:rFonts w:ascii="Verdana" w:eastAsia="Calibri" w:hAnsi="Verdana" w:cs="Times New Roman"/>
          <w:lang w:val="es-MX"/>
        </w:rPr>
        <w:t>Señora</w:t>
      </w:r>
    </w:p>
    <w:p w14:paraId="2C2A1AAE" w14:textId="0D1B4648" w:rsidR="005A4035" w:rsidRDefault="005A4035" w:rsidP="00204425">
      <w:pPr>
        <w:spacing w:after="0" w:line="240" w:lineRule="auto"/>
        <w:rPr>
          <w:rFonts w:ascii="Verdana" w:eastAsia="Calibri" w:hAnsi="Verdana" w:cs="Times New Roman"/>
          <w:b/>
        </w:rPr>
      </w:pPr>
      <w:r>
        <w:rPr>
          <w:rFonts w:ascii="Verdana" w:eastAsia="Calibri" w:hAnsi="Verdana" w:cs="Times New Roman"/>
          <w:b/>
        </w:rPr>
        <w:t>Laura Estefanía Lamprea Carvajal</w:t>
      </w:r>
    </w:p>
    <w:p w14:paraId="64D58798" w14:textId="0A868B40" w:rsidR="005A4035" w:rsidRPr="005A4035" w:rsidRDefault="005A4035" w:rsidP="00204425">
      <w:pPr>
        <w:spacing w:after="0" w:line="240" w:lineRule="auto"/>
        <w:rPr>
          <w:rFonts w:ascii="Verdana" w:eastAsia="Calibri" w:hAnsi="Verdana" w:cs="Times New Roman"/>
          <w:bCs/>
        </w:rPr>
      </w:pPr>
      <w:hyperlink r:id="rId11" w:history="1">
        <w:r w:rsidRPr="005A4035">
          <w:rPr>
            <w:rStyle w:val="Hipervnculo"/>
            <w:rFonts w:ascii="Verdana" w:eastAsia="Calibri" w:hAnsi="Verdana" w:cs="Times New Roman"/>
            <w:bCs/>
          </w:rPr>
          <w:t>Lauralamprea096@gmail.com</w:t>
        </w:r>
      </w:hyperlink>
      <w:r w:rsidRPr="005A4035">
        <w:rPr>
          <w:rFonts w:ascii="Verdana" w:eastAsia="Calibri" w:hAnsi="Verdana" w:cs="Times New Roman"/>
          <w:bCs/>
        </w:rPr>
        <w:t xml:space="preserve">; </w:t>
      </w:r>
    </w:p>
    <w:p w14:paraId="238008F5" w14:textId="39014379" w:rsidR="00204425" w:rsidRPr="005A4035" w:rsidRDefault="005A4035" w:rsidP="00204425">
      <w:pPr>
        <w:spacing w:after="0" w:line="240" w:lineRule="auto"/>
        <w:rPr>
          <w:rFonts w:ascii="Verdana" w:eastAsia="Calibri" w:hAnsi="Verdana" w:cs="Times New Roman"/>
        </w:rPr>
      </w:pPr>
      <w:r w:rsidRPr="005A4035">
        <w:rPr>
          <w:rFonts w:ascii="Verdana" w:eastAsia="Calibri" w:hAnsi="Verdana" w:cs="Times New Roman"/>
        </w:rPr>
        <w:t>Ciudad</w:t>
      </w:r>
    </w:p>
    <w:p w14:paraId="01E47088" w14:textId="77777777" w:rsidR="00204425" w:rsidRPr="005A4035" w:rsidRDefault="00204425" w:rsidP="00204425">
      <w:pPr>
        <w:spacing w:after="0" w:line="240" w:lineRule="auto"/>
        <w:rPr>
          <w:rFonts w:ascii="Verdana" w:eastAsia="Calibri" w:hAnsi="Verdana" w:cs="Times New Roman"/>
        </w:rPr>
      </w:pPr>
    </w:p>
    <w:p w14:paraId="33BDB67F" w14:textId="77777777" w:rsidR="00204425" w:rsidRPr="005A4035" w:rsidRDefault="00204425" w:rsidP="00204425">
      <w:pPr>
        <w:spacing w:after="0" w:line="240" w:lineRule="auto"/>
        <w:rPr>
          <w:rFonts w:ascii="Verdana" w:eastAsia="Calibri" w:hAnsi="Verdana" w:cs="Times New Roman"/>
        </w:rPr>
      </w:pPr>
    </w:p>
    <w:p w14:paraId="100EFC9C" w14:textId="402AB0B7" w:rsidR="00204425" w:rsidRPr="005A4035" w:rsidRDefault="00204425" w:rsidP="00204425">
      <w:pPr>
        <w:spacing w:after="0" w:line="240" w:lineRule="auto"/>
        <w:rPr>
          <w:rFonts w:ascii="Verdana" w:eastAsia="Calibri" w:hAnsi="Verdana" w:cs="Times New Roman"/>
          <w:b/>
          <w:bCs/>
        </w:rPr>
      </w:pPr>
      <w:r w:rsidRPr="005A4035">
        <w:rPr>
          <w:rFonts w:ascii="Verdana" w:eastAsia="Calibri" w:hAnsi="Verdana" w:cs="Times New Roman"/>
          <w:b/>
          <w:bCs/>
        </w:rPr>
        <w:t xml:space="preserve">                                    Concepto C–4</w:t>
      </w:r>
      <w:r w:rsidR="005A4035" w:rsidRPr="005A4035">
        <w:rPr>
          <w:rFonts w:ascii="Verdana" w:eastAsia="Calibri" w:hAnsi="Verdana" w:cs="Times New Roman"/>
          <w:b/>
          <w:bCs/>
        </w:rPr>
        <w:t>74</w:t>
      </w:r>
      <w:r w:rsidRPr="005A4035">
        <w:rPr>
          <w:rFonts w:ascii="Verdana" w:eastAsia="Calibri" w:hAnsi="Verdana" w:cs="Times New Roman"/>
          <w:b/>
          <w:bCs/>
        </w:rPr>
        <w:t xml:space="preserve"> de 2025</w:t>
      </w:r>
    </w:p>
    <w:p w14:paraId="29FDA851" w14:textId="77777777" w:rsidR="00204425" w:rsidRPr="005A4035" w:rsidRDefault="00204425" w:rsidP="00204425">
      <w:pPr>
        <w:spacing w:after="0" w:line="240" w:lineRule="auto"/>
        <w:rPr>
          <w:rFonts w:ascii="Verdana" w:eastAsia="Calibri" w:hAnsi="Verdana" w:cs="Times New Roman"/>
        </w:rPr>
      </w:pPr>
    </w:p>
    <w:tbl>
      <w:tblPr>
        <w:tblStyle w:val="Tablaconcuadrcula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204425" w:rsidRPr="00C323C8" w14:paraId="5596155B" w14:textId="77777777" w:rsidTr="00567D6A">
        <w:trPr>
          <w:trHeight w:val="80"/>
        </w:trPr>
        <w:tc>
          <w:tcPr>
            <w:tcW w:w="2685" w:type="dxa"/>
            <w:hideMark/>
          </w:tcPr>
          <w:p w14:paraId="032EF562" w14:textId="77777777" w:rsidR="00204425" w:rsidRPr="00C323C8" w:rsidRDefault="00204425" w:rsidP="00567D6A">
            <w:pPr>
              <w:rPr>
                <w:rFonts w:ascii="Verdana" w:hAnsi="Verdana"/>
                <w:b/>
                <w:bCs/>
                <w:lang w:val="es-ES_tradnl"/>
              </w:rPr>
            </w:pPr>
            <w:r w:rsidRPr="00C323C8">
              <w:rPr>
                <w:rFonts w:ascii="Verdana" w:hAnsi="Verdana"/>
                <w:b/>
                <w:bCs/>
                <w:lang w:val="es-ES_tradnl"/>
              </w:rPr>
              <w:t xml:space="preserve">Temas:                   </w:t>
            </w:r>
          </w:p>
        </w:tc>
        <w:tc>
          <w:tcPr>
            <w:tcW w:w="6241" w:type="dxa"/>
            <w:hideMark/>
          </w:tcPr>
          <w:p w14:paraId="3B886ECB" w14:textId="4FD830F9" w:rsidR="00204425" w:rsidRPr="001B6E58" w:rsidRDefault="005A4035" w:rsidP="00567D6A">
            <w:pPr>
              <w:jc w:val="both"/>
              <w:rPr>
                <w:rFonts w:ascii="Verdana" w:hAnsi="Verdana" w:cs="Arial"/>
                <w:bCs/>
                <w:color w:val="000000"/>
                <w:kern w:val="2"/>
                <w:lang w:val="es-MX"/>
                <w14:ligatures w14:val="standardContextual"/>
              </w:rPr>
            </w:pPr>
            <w:r>
              <w:rPr>
                <w:rFonts w:ascii="Verdana" w:hAnsi="Verdana" w:cs="Arial"/>
                <w:bCs/>
                <w:color w:val="000000"/>
                <w:kern w:val="2"/>
                <w:lang w:val="es-MX"/>
                <w14:ligatures w14:val="standardContextual"/>
              </w:rPr>
              <w:t>REGISTRO MERCANTIL – Obligatoriedad – Articulo 33 del Código de Comercio – disposición Legal</w:t>
            </w:r>
          </w:p>
          <w:p w14:paraId="7C0F3271" w14:textId="77777777" w:rsidR="00204425" w:rsidRPr="00104472" w:rsidRDefault="00204425" w:rsidP="00567D6A">
            <w:pPr>
              <w:jc w:val="both"/>
              <w:rPr>
                <w:rFonts w:ascii="Verdana" w:hAnsi="Verdana"/>
                <w:highlight w:val="yellow"/>
                <w:lang w:val="es-MX"/>
              </w:rPr>
            </w:pPr>
          </w:p>
        </w:tc>
        <w:tc>
          <w:tcPr>
            <w:tcW w:w="6237" w:type="dxa"/>
          </w:tcPr>
          <w:p w14:paraId="6E0F21F1" w14:textId="77777777" w:rsidR="00204425" w:rsidRPr="00C323C8" w:rsidRDefault="00204425" w:rsidP="00567D6A">
            <w:pPr>
              <w:rPr>
                <w:rFonts w:ascii="Verdana" w:hAnsi="Verdana"/>
              </w:rPr>
            </w:pPr>
          </w:p>
        </w:tc>
      </w:tr>
      <w:tr w:rsidR="00204425" w:rsidRPr="00C323C8" w14:paraId="66EFBAAA" w14:textId="77777777" w:rsidTr="00567D6A">
        <w:tc>
          <w:tcPr>
            <w:tcW w:w="2685" w:type="dxa"/>
          </w:tcPr>
          <w:p w14:paraId="79BE392B" w14:textId="77777777" w:rsidR="00204425" w:rsidRPr="00C323C8" w:rsidRDefault="00204425" w:rsidP="00567D6A">
            <w:pPr>
              <w:rPr>
                <w:rFonts w:ascii="Verdana" w:hAnsi="Verdana"/>
                <w:lang w:val="es-ES_tradnl"/>
              </w:rPr>
            </w:pPr>
          </w:p>
          <w:p w14:paraId="11A42328" w14:textId="77777777" w:rsidR="00204425" w:rsidRPr="00C323C8" w:rsidRDefault="00204425" w:rsidP="00567D6A">
            <w:pPr>
              <w:rPr>
                <w:rFonts w:ascii="Verdana" w:hAnsi="Verdana"/>
                <w:b/>
                <w:bCs/>
                <w:lang w:val="es-ES_tradnl"/>
              </w:rPr>
            </w:pPr>
            <w:r w:rsidRPr="00C323C8">
              <w:rPr>
                <w:rFonts w:ascii="Verdana" w:hAnsi="Verdana"/>
                <w:b/>
                <w:bCs/>
                <w:lang w:val="es-ES_tradnl"/>
              </w:rPr>
              <w:t xml:space="preserve">Radicación:               </w:t>
            </w:r>
          </w:p>
        </w:tc>
        <w:tc>
          <w:tcPr>
            <w:tcW w:w="6241" w:type="dxa"/>
          </w:tcPr>
          <w:p w14:paraId="60E564CF" w14:textId="77777777" w:rsidR="00204425" w:rsidRPr="00C323C8" w:rsidRDefault="00204425" w:rsidP="00567D6A">
            <w:pPr>
              <w:rPr>
                <w:rFonts w:ascii="Verdana" w:hAnsi="Verdana"/>
                <w:lang w:val="es-ES_tradnl"/>
              </w:rPr>
            </w:pPr>
          </w:p>
          <w:p w14:paraId="5B594AA4" w14:textId="2EAFDC6F" w:rsidR="00204425" w:rsidRPr="00C323C8" w:rsidRDefault="00204425" w:rsidP="00567D6A">
            <w:pPr>
              <w:jc w:val="both"/>
              <w:rPr>
                <w:rFonts w:ascii="Verdana" w:hAnsi="Verdana"/>
              </w:rPr>
            </w:pPr>
            <w:r w:rsidRPr="00C323C8">
              <w:rPr>
                <w:rFonts w:ascii="Verdana" w:hAnsi="Verdana"/>
                <w:lang w:val="es-ES_tradnl"/>
              </w:rPr>
              <w:t>Respuesta a consulta con radicado No.</w:t>
            </w:r>
            <w:r>
              <w:rPr>
                <w:rFonts w:ascii="Verdana" w:hAnsi="Verdana"/>
                <w:lang w:val="es-ES_tradnl"/>
              </w:rPr>
              <w:t xml:space="preserve"> </w:t>
            </w:r>
            <w:r w:rsidR="005A4035" w:rsidRPr="005A4035">
              <w:rPr>
                <w:rFonts w:ascii="Verdana" w:hAnsi="Verdana"/>
              </w:rPr>
              <w:t>P20250415003640</w:t>
            </w:r>
          </w:p>
          <w:p w14:paraId="0B914F92" w14:textId="77777777" w:rsidR="00204425" w:rsidRPr="00C323C8" w:rsidRDefault="00204425" w:rsidP="00567D6A">
            <w:pPr>
              <w:jc w:val="both"/>
              <w:rPr>
                <w:rFonts w:ascii="Verdana" w:hAnsi="Verdana"/>
              </w:rPr>
            </w:pPr>
          </w:p>
        </w:tc>
        <w:tc>
          <w:tcPr>
            <w:tcW w:w="6237" w:type="dxa"/>
          </w:tcPr>
          <w:p w14:paraId="60A64D48" w14:textId="77777777" w:rsidR="00204425" w:rsidRPr="00C323C8" w:rsidRDefault="00204425" w:rsidP="00567D6A">
            <w:pPr>
              <w:rPr>
                <w:rFonts w:ascii="Verdana" w:hAnsi="Verdana"/>
                <w:lang w:val="es-ES_tradnl"/>
              </w:rPr>
            </w:pPr>
          </w:p>
        </w:tc>
      </w:tr>
    </w:tbl>
    <w:p w14:paraId="15D90119" w14:textId="77777777" w:rsidR="00204425" w:rsidRPr="00C323C8" w:rsidRDefault="00204425" w:rsidP="00204425">
      <w:pPr>
        <w:spacing w:after="0" w:line="240" w:lineRule="auto"/>
        <w:rPr>
          <w:rFonts w:ascii="Verdana" w:eastAsia="Calibri" w:hAnsi="Verdana" w:cs="Times New Roman"/>
          <w:lang w:val="es-ES_tradnl"/>
        </w:rPr>
      </w:pPr>
    </w:p>
    <w:p w14:paraId="410BE0CB" w14:textId="707ED064" w:rsidR="00204425" w:rsidRPr="00A12CB6" w:rsidRDefault="00204425" w:rsidP="00204425">
      <w:pPr>
        <w:spacing w:after="0" w:line="256" w:lineRule="auto"/>
        <w:rPr>
          <w:rFonts w:ascii="Verdana" w:eastAsia="Calibri" w:hAnsi="Verdana" w:cs="Times New Roman"/>
          <w:lang w:val="es-ES"/>
        </w:rPr>
      </w:pPr>
      <w:r>
        <w:rPr>
          <w:rFonts w:ascii="Verdana" w:eastAsia="Calibri" w:hAnsi="Verdana" w:cs="Times New Roman"/>
          <w:lang w:val="es-ES"/>
        </w:rPr>
        <w:t>Estimad</w:t>
      </w:r>
      <w:r w:rsidR="005A4035">
        <w:rPr>
          <w:rFonts w:ascii="Verdana" w:eastAsia="Calibri" w:hAnsi="Verdana" w:cs="Times New Roman"/>
          <w:lang w:val="es-ES"/>
        </w:rPr>
        <w:t>a</w:t>
      </w:r>
      <w:r>
        <w:rPr>
          <w:rFonts w:ascii="Verdana" w:eastAsia="Calibri" w:hAnsi="Verdana" w:cs="Times New Roman"/>
          <w:lang w:val="es-ES"/>
        </w:rPr>
        <w:t xml:space="preserve"> Señor</w:t>
      </w:r>
      <w:r w:rsidR="005A4035">
        <w:rPr>
          <w:rFonts w:ascii="Verdana" w:eastAsia="Calibri" w:hAnsi="Verdana" w:cs="Times New Roman"/>
          <w:lang w:val="es-ES"/>
        </w:rPr>
        <w:t>a</w:t>
      </w:r>
      <w:r>
        <w:rPr>
          <w:rFonts w:ascii="Verdana" w:eastAsia="Calibri" w:hAnsi="Verdana" w:cs="Times New Roman"/>
          <w:lang w:val="es-ES"/>
        </w:rPr>
        <w:t xml:space="preserve"> </w:t>
      </w:r>
      <w:r w:rsidR="005A4035">
        <w:rPr>
          <w:rFonts w:ascii="Verdana" w:eastAsia="Calibri" w:hAnsi="Verdana" w:cs="Times New Roman"/>
          <w:lang w:val="es-ES"/>
        </w:rPr>
        <w:t>Lamprea</w:t>
      </w:r>
      <w:r w:rsidRPr="00A12CB6">
        <w:rPr>
          <w:rFonts w:ascii="Verdana" w:eastAsia="Calibri" w:hAnsi="Verdana" w:cs="Times New Roman"/>
          <w:lang w:val="es-ES"/>
        </w:rPr>
        <w:t xml:space="preserve">: </w:t>
      </w:r>
    </w:p>
    <w:p w14:paraId="7FBB94DF" w14:textId="77777777" w:rsidR="00204425" w:rsidRPr="00A12CB6" w:rsidRDefault="00204425" w:rsidP="00204425">
      <w:pPr>
        <w:spacing w:after="0" w:line="276" w:lineRule="auto"/>
        <w:rPr>
          <w:rFonts w:ascii="Verdana" w:eastAsia="Calibri" w:hAnsi="Verdana" w:cs="Times New Roman"/>
          <w:lang w:val="es-ES"/>
        </w:rPr>
      </w:pPr>
    </w:p>
    <w:p w14:paraId="5A4B3A01" w14:textId="621D671E" w:rsidR="00204425" w:rsidRPr="003C7B79" w:rsidRDefault="00204425" w:rsidP="005A4035">
      <w:pPr>
        <w:spacing w:after="0" w:line="276" w:lineRule="auto"/>
        <w:jc w:val="both"/>
        <w:rPr>
          <w:rFonts w:ascii="Verdana" w:eastAsia="Calibri" w:hAnsi="Verdana" w:cs="Times New Roman"/>
          <w:i/>
          <w:iCs/>
        </w:rPr>
      </w:pPr>
      <w:r w:rsidRPr="00A12061">
        <w:rPr>
          <w:rFonts w:ascii="Verdana" w:eastAsia="Calibri" w:hAnsi="Verdana" w:cs="Times New Roman"/>
          <w:lang w:val="es-ES"/>
        </w:rPr>
        <w:t xml:space="preserve">En ejercicio de la competencia otorgada por los artículos 3, numeral 5º, y 11, numeral 8º, del Decreto Ley 4170 de 2011, la Agencia Nacional de Contratación Pública – Colombia Compra Eficiente– responde la solicitud de consulta presentada el </w:t>
      </w:r>
      <w:r w:rsidR="005A4035">
        <w:rPr>
          <w:rFonts w:ascii="Verdana" w:eastAsia="Calibri" w:hAnsi="Verdana" w:cs="Times New Roman"/>
          <w:lang w:val="es-ES"/>
        </w:rPr>
        <w:t>15</w:t>
      </w:r>
      <w:r>
        <w:rPr>
          <w:rFonts w:ascii="Verdana" w:eastAsia="Calibri" w:hAnsi="Verdana" w:cs="Times New Roman"/>
          <w:lang w:val="es-ES"/>
        </w:rPr>
        <w:t xml:space="preserve"> de Abril </w:t>
      </w:r>
      <w:r w:rsidRPr="00A12061">
        <w:rPr>
          <w:rFonts w:ascii="Verdana" w:eastAsia="Calibri" w:hAnsi="Verdana" w:cs="Times New Roman"/>
          <w:lang w:val="es-ES"/>
        </w:rPr>
        <w:t>de 2025, en la cual manifiesta lo siguiente:</w:t>
      </w:r>
      <w:r w:rsidRPr="000D6D0E">
        <w:rPr>
          <w:rFonts w:ascii="Verdana" w:eastAsia="Calibri" w:hAnsi="Verdana" w:cs="Times New Roman"/>
        </w:rPr>
        <w:t xml:space="preserve"> </w:t>
      </w:r>
      <w:r w:rsidRPr="003C7B79">
        <w:rPr>
          <w:rFonts w:ascii="Verdana" w:eastAsia="Calibri" w:hAnsi="Verdana" w:cs="Times New Roman"/>
          <w:i/>
          <w:iCs/>
        </w:rPr>
        <w:t xml:space="preserve">“[…] </w:t>
      </w:r>
      <w:r w:rsidR="005A4035" w:rsidRPr="005A4035">
        <w:rPr>
          <w:rFonts w:ascii="Verdana" w:eastAsia="Calibri" w:hAnsi="Verdana" w:cs="Times New Roman"/>
          <w:i/>
          <w:iCs/>
        </w:rPr>
        <w:t>Si el certificado de existencia y representación legal y/o registro mercantil</w:t>
      </w:r>
      <w:r w:rsidR="005A4035">
        <w:rPr>
          <w:rFonts w:ascii="Verdana" w:eastAsia="Calibri" w:hAnsi="Verdana" w:cs="Times New Roman"/>
          <w:i/>
          <w:iCs/>
        </w:rPr>
        <w:t xml:space="preserve"> </w:t>
      </w:r>
      <w:r w:rsidR="005A4035" w:rsidRPr="005A4035">
        <w:rPr>
          <w:rFonts w:ascii="Verdana" w:eastAsia="Calibri" w:hAnsi="Verdana" w:cs="Times New Roman"/>
          <w:i/>
          <w:iCs/>
        </w:rPr>
        <w:t>aportados en las ofertas presentadas en los procesos de selección por parte de los</w:t>
      </w:r>
      <w:r w:rsidR="005A4035">
        <w:rPr>
          <w:rFonts w:ascii="Verdana" w:eastAsia="Calibri" w:hAnsi="Verdana" w:cs="Times New Roman"/>
          <w:i/>
          <w:iCs/>
        </w:rPr>
        <w:t xml:space="preserve"> </w:t>
      </w:r>
      <w:r w:rsidR="005A4035" w:rsidRPr="005A4035">
        <w:rPr>
          <w:rFonts w:ascii="Verdana" w:eastAsia="Calibri" w:hAnsi="Verdana" w:cs="Times New Roman"/>
          <w:i/>
          <w:iCs/>
        </w:rPr>
        <w:t>oferente, deberán cumplir con la obligación legal de la renovación anual del registro</w:t>
      </w:r>
      <w:r w:rsidR="005A4035">
        <w:rPr>
          <w:rFonts w:ascii="Verdana" w:eastAsia="Calibri" w:hAnsi="Verdana" w:cs="Times New Roman"/>
          <w:i/>
          <w:iCs/>
        </w:rPr>
        <w:t xml:space="preserve"> </w:t>
      </w:r>
      <w:r w:rsidR="005A4035" w:rsidRPr="005A4035">
        <w:rPr>
          <w:rFonts w:ascii="Verdana" w:eastAsia="Calibri" w:hAnsi="Verdana" w:cs="Times New Roman"/>
          <w:i/>
          <w:iCs/>
        </w:rPr>
        <w:t>mercantil establecida en el artículo 33 del Decreto 410 de 1971 “ La matrícula se</w:t>
      </w:r>
      <w:r w:rsidR="005A4035">
        <w:rPr>
          <w:rFonts w:ascii="Verdana" w:eastAsia="Calibri" w:hAnsi="Verdana" w:cs="Times New Roman"/>
          <w:i/>
          <w:iCs/>
        </w:rPr>
        <w:t xml:space="preserve"> </w:t>
      </w:r>
      <w:r w:rsidR="005A4035" w:rsidRPr="005A4035">
        <w:rPr>
          <w:rFonts w:ascii="Verdana" w:eastAsia="Calibri" w:hAnsi="Verdana" w:cs="Times New Roman"/>
          <w:i/>
          <w:iCs/>
        </w:rPr>
        <w:t>renovará anualmente, dentro de los tres primeros meses de cada año ” , superada</w:t>
      </w:r>
      <w:r w:rsidR="005A4035">
        <w:rPr>
          <w:rFonts w:ascii="Verdana" w:eastAsia="Calibri" w:hAnsi="Verdana" w:cs="Times New Roman"/>
          <w:i/>
          <w:iCs/>
        </w:rPr>
        <w:t xml:space="preserve"> </w:t>
      </w:r>
      <w:r w:rsidR="005A4035" w:rsidRPr="005A4035">
        <w:rPr>
          <w:rFonts w:ascii="Verdana" w:eastAsia="Calibri" w:hAnsi="Verdana" w:cs="Times New Roman"/>
          <w:i/>
          <w:iCs/>
        </w:rPr>
        <w:t>esta fecha, aunque no se encuentre detallado en los pliegos de condiciones o</w:t>
      </w:r>
      <w:r w:rsidR="005A4035">
        <w:rPr>
          <w:rFonts w:ascii="Verdana" w:eastAsia="Calibri" w:hAnsi="Verdana" w:cs="Times New Roman"/>
          <w:i/>
          <w:iCs/>
        </w:rPr>
        <w:t xml:space="preserve"> </w:t>
      </w:r>
      <w:r w:rsidR="005A4035" w:rsidRPr="005A4035">
        <w:rPr>
          <w:rFonts w:ascii="Verdana" w:eastAsia="Calibri" w:hAnsi="Verdana" w:cs="Times New Roman"/>
          <w:i/>
          <w:iCs/>
        </w:rPr>
        <w:t xml:space="preserve">invitación? </w:t>
      </w:r>
      <w:r w:rsidRPr="003C7B79">
        <w:rPr>
          <w:rFonts w:ascii="Verdana" w:eastAsia="Calibri" w:hAnsi="Verdana" w:cs="Times New Roman"/>
          <w:i/>
          <w:iCs/>
        </w:rPr>
        <w:t>[…]”</w:t>
      </w:r>
    </w:p>
    <w:p w14:paraId="12FD101B" w14:textId="77777777" w:rsidR="00204425" w:rsidRPr="0069492E" w:rsidRDefault="00204425" w:rsidP="00204425">
      <w:pPr>
        <w:spacing w:after="0" w:line="276" w:lineRule="auto"/>
        <w:ind w:right="709"/>
        <w:jc w:val="both"/>
        <w:rPr>
          <w:rFonts w:ascii="Verdana" w:eastAsia="Calibri" w:hAnsi="Verdana" w:cs="Times New Roman"/>
          <w:i/>
          <w:iCs/>
          <w:sz w:val="20"/>
          <w:szCs w:val="20"/>
        </w:rPr>
      </w:pPr>
    </w:p>
    <w:p w14:paraId="115FAA30" w14:textId="77777777" w:rsidR="00204425" w:rsidRPr="0069492E" w:rsidRDefault="00204425" w:rsidP="00204425">
      <w:pPr>
        <w:spacing w:after="0" w:line="240" w:lineRule="auto"/>
        <w:ind w:left="709" w:right="709"/>
        <w:jc w:val="both"/>
        <w:rPr>
          <w:rFonts w:ascii="Verdana" w:eastAsia="Calibri" w:hAnsi="Verdana" w:cs="Times New Roman"/>
          <w:i/>
          <w:iCs/>
          <w:sz w:val="20"/>
          <w:szCs w:val="20"/>
        </w:rPr>
      </w:pPr>
    </w:p>
    <w:p w14:paraId="1E10A6C4" w14:textId="77777777" w:rsidR="00204425" w:rsidRPr="00A12CB6" w:rsidRDefault="00204425" w:rsidP="00204425">
      <w:pPr>
        <w:spacing w:after="120" w:line="276" w:lineRule="auto"/>
        <w:ind w:firstLine="709"/>
        <w:jc w:val="both"/>
        <w:rPr>
          <w:rFonts w:ascii="Verdana" w:eastAsia="Calibri" w:hAnsi="Verdana" w:cs="Times New Roman"/>
          <w:lang w:val="es-ES"/>
        </w:rPr>
      </w:pPr>
      <w:r w:rsidRPr="00A12CB6">
        <w:rPr>
          <w:rFonts w:ascii="Verdana" w:eastAsia="Calibri" w:hAnsi="Verdana" w:cs="Times New Roman"/>
          <w:lang w:val="es-ES"/>
        </w:rPr>
        <w:t xml:space="preserve">De manera preliminar, resulta necesario acotar que esta entidad solo tiene competencia para responder consultas sobre la aplicación de normas de carácter general en materia de compras y contratación pública. En ese sentido, resolver </w:t>
      </w:r>
      <w:r w:rsidRPr="00A12CB6">
        <w:rPr>
          <w:rFonts w:ascii="Verdana" w:eastAsia="Calibri" w:hAnsi="Verdana" w:cs="Times New Roman"/>
          <w:lang w:val="es-ES"/>
        </w:rPr>
        <w:lastRenderedPageBreak/>
        <w:t>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7FDA70EF" w14:textId="77777777" w:rsidR="00204425" w:rsidRPr="00A12CB6" w:rsidRDefault="00204425" w:rsidP="00204425">
      <w:pPr>
        <w:spacing w:after="0" w:line="276" w:lineRule="auto"/>
        <w:ind w:firstLine="708"/>
        <w:jc w:val="both"/>
        <w:rPr>
          <w:rFonts w:ascii="Verdana" w:eastAsia="Calibri" w:hAnsi="Verdana" w:cs="Times New Roman"/>
          <w:lang w:val="es-ES"/>
        </w:rPr>
      </w:pPr>
      <w:r w:rsidRPr="00A12CB6">
        <w:rPr>
          <w:rFonts w:ascii="Verdana" w:eastAsia="Calibri" w:hAnsi="Verdana" w:cs="Times New Roman"/>
          <w:lang w:val="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w:t>
      </w:r>
      <w:r>
        <w:rPr>
          <w:rFonts w:ascii="Verdana" w:eastAsia="Calibri" w:hAnsi="Verdana" w:cs="Times New Roman"/>
          <w:lang w:val="es-ES"/>
        </w:rPr>
        <w:t>señalando</w:t>
      </w:r>
      <w:r w:rsidRPr="00A12CB6">
        <w:rPr>
          <w:rFonts w:ascii="Verdana" w:eastAsia="Calibri" w:hAnsi="Verdana" w:cs="Times New Roman"/>
          <w:lang w:val="es-ES"/>
        </w:rPr>
        <w:t xml:space="preserve"> </w:t>
      </w:r>
      <w:r>
        <w:rPr>
          <w:rFonts w:ascii="Verdana" w:eastAsia="Calibri" w:hAnsi="Verdana" w:cs="Times New Roman"/>
          <w:lang w:val="es-ES"/>
        </w:rPr>
        <w:t>algu</w:t>
      </w:r>
      <w:r w:rsidRPr="00A12CB6">
        <w:rPr>
          <w:rFonts w:ascii="Verdana" w:eastAsia="Calibri" w:hAnsi="Verdana" w:cs="Times New Roman"/>
          <w:lang w:val="es-ES"/>
        </w:rPr>
        <w:t>nas consideraciones sobre las normas generales relacionadas con l</w:t>
      </w:r>
      <w:r>
        <w:rPr>
          <w:rFonts w:ascii="Verdana" w:eastAsia="Calibri" w:hAnsi="Verdana" w:cs="Times New Roman"/>
          <w:lang w:val="es-ES"/>
        </w:rPr>
        <w:t>os</w:t>
      </w:r>
      <w:r w:rsidRPr="00A12CB6">
        <w:rPr>
          <w:rFonts w:ascii="Verdana" w:eastAsia="Calibri" w:hAnsi="Verdana" w:cs="Times New Roman"/>
          <w:lang w:val="es-ES"/>
        </w:rPr>
        <w:t xml:space="preserve"> problema</w:t>
      </w:r>
      <w:r>
        <w:rPr>
          <w:rFonts w:ascii="Verdana" w:eastAsia="Calibri" w:hAnsi="Verdana" w:cs="Times New Roman"/>
          <w:lang w:val="es-ES"/>
        </w:rPr>
        <w:t>s</w:t>
      </w:r>
      <w:r w:rsidRPr="00A12CB6">
        <w:rPr>
          <w:rFonts w:ascii="Verdana" w:eastAsia="Calibri" w:hAnsi="Verdana" w:cs="Times New Roman"/>
          <w:lang w:val="es-ES"/>
        </w:rPr>
        <w:t xml:space="preserve"> jurídico</w:t>
      </w:r>
      <w:r>
        <w:rPr>
          <w:rFonts w:ascii="Verdana" w:eastAsia="Calibri" w:hAnsi="Verdana" w:cs="Times New Roman"/>
          <w:lang w:val="es-ES"/>
        </w:rPr>
        <w:t>s</w:t>
      </w:r>
      <w:r w:rsidRPr="00A12CB6">
        <w:rPr>
          <w:rFonts w:ascii="Verdana" w:eastAsia="Calibri" w:hAnsi="Verdana" w:cs="Times New Roman"/>
          <w:lang w:val="es-ES"/>
        </w:rPr>
        <w:t xml:space="preserve"> de su consulta.</w:t>
      </w:r>
    </w:p>
    <w:p w14:paraId="7A2B88D1" w14:textId="77777777" w:rsidR="00204425" w:rsidRPr="00A12CB6" w:rsidRDefault="00204425" w:rsidP="00204425">
      <w:pPr>
        <w:spacing w:after="0" w:line="256" w:lineRule="auto"/>
        <w:rPr>
          <w:rFonts w:ascii="Verdana" w:eastAsia="Calibri" w:hAnsi="Verdana" w:cs="Times New Roman"/>
          <w:lang w:val="es-ES"/>
        </w:rPr>
      </w:pPr>
    </w:p>
    <w:p w14:paraId="732CADD6" w14:textId="77777777" w:rsidR="00204425" w:rsidRPr="00A12CB6" w:rsidRDefault="00204425" w:rsidP="00204425">
      <w:pPr>
        <w:numPr>
          <w:ilvl w:val="0"/>
          <w:numId w:val="16"/>
        </w:numPr>
        <w:spacing w:after="0" w:line="256" w:lineRule="auto"/>
        <w:contextualSpacing/>
        <w:rPr>
          <w:rFonts w:ascii="Verdana" w:eastAsia="Calibri" w:hAnsi="Verdana" w:cs="Times New Roman"/>
          <w:b/>
          <w:bCs/>
          <w:lang w:val="es-ES"/>
        </w:rPr>
      </w:pPr>
      <w:r w:rsidRPr="00A12CB6">
        <w:rPr>
          <w:rFonts w:ascii="Verdana" w:eastAsia="Calibri" w:hAnsi="Verdana" w:cs="Times New Roman"/>
          <w:b/>
          <w:bCs/>
          <w:lang w:val="es-ES"/>
        </w:rPr>
        <w:t>Problema planteado:</w:t>
      </w:r>
    </w:p>
    <w:p w14:paraId="1415EAF3" w14:textId="77777777" w:rsidR="00204425" w:rsidRPr="00A12CB6" w:rsidRDefault="00204425" w:rsidP="00204425">
      <w:pPr>
        <w:spacing w:after="0" w:line="256" w:lineRule="auto"/>
        <w:rPr>
          <w:rFonts w:ascii="Verdana" w:eastAsia="Calibri" w:hAnsi="Verdana" w:cs="Times New Roman"/>
        </w:rPr>
      </w:pPr>
    </w:p>
    <w:p w14:paraId="55ED48C9" w14:textId="1EAF6373" w:rsidR="005A4035" w:rsidRPr="005A4035" w:rsidRDefault="00204425" w:rsidP="005A4035">
      <w:pPr>
        <w:spacing w:after="0" w:line="276" w:lineRule="auto"/>
        <w:jc w:val="both"/>
        <w:rPr>
          <w:rFonts w:ascii="Verdana" w:eastAsia="Calibri" w:hAnsi="Verdana" w:cs="Times New Roman"/>
        </w:rPr>
      </w:pPr>
      <w:r w:rsidRPr="00800789">
        <w:rPr>
          <w:rFonts w:ascii="Verdana" w:eastAsia="Calibri" w:hAnsi="Verdana" w:cs="Times New Roman"/>
        </w:rPr>
        <w:t>De acuerdo con el contenido de su solicitud, esta Agencia procede</w:t>
      </w:r>
      <w:r>
        <w:rPr>
          <w:rFonts w:ascii="Verdana" w:eastAsia="Calibri" w:hAnsi="Verdana" w:cs="Times New Roman"/>
        </w:rPr>
        <w:t xml:space="preserve"> a condensar las preguntas presentadas por el peticionario los siguientes problemas jurídicos</w:t>
      </w:r>
      <w:r w:rsidRPr="00800789">
        <w:rPr>
          <w:rFonts w:ascii="Verdana" w:eastAsia="Calibri" w:hAnsi="Verdana" w:cs="Times New Roman"/>
        </w:rPr>
        <w:t>:</w:t>
      </w:r>
      <w:r>
        <w:rPr>
          <w:rFonts w:ascii="Verdana" w:eastAsia="Calibri" w:hAnsi="Verdana" w:cs="Times New Roman"/>
        </w:rPr>
        <w:t xml:space="preserve"> </w:t>
      </w:r>
      <w:r w:rsidR="00B85887" w:rsidRPr="00B85887">
        <w:rPr>
          <w:rFonts w:ascii="Verdana" w:eastAsia="Calibri" w:hAnsi="Verdana" w:cs="Times New Roman"/>
        </w:rPr>
        <w:t>¿Constituye un requisito habilitante para participar en un proceso de contratación que el oferente se encuentre inscrito y con la matrícula mercantil debidamente renovada conforme a las disposiciones legales vigentes?</w:t>
      </w:r>
    </w:p>
    <w:p w14:paraId="27E317AA" w14:textId="0B0E2180" w:rsidR="00204425" w:rsidRPr="00A12CB6" w:rsidRDefault="00204425" w:rsidP="00204425">
      <w:pPr>
        <w:spacing w:after="0" w:line="276" w:lineRule="auto"/>
        <w:jc w:val="both"/>
        <w:rPr>
          <w:rFonts w:ascii="Verdana" w:eastAsia="Calibri" w:hAnsi="Verdana" w:cs="Times New Roman"/>
        </w:rPr>
      </w:pPr>
    </w:p>
    <w:p w14:paraId="4E0F8EC0" w14:textId="77777777" w:rsidR="00204425" w:rsidRPr="00A12CB6" w:rsidRDefault="00204425" w:rsidP="00204425">
      <w:pPr>
        <w:spacing w:after="0" w:line="256" w:lineRule="auto"/>
        <w:rPr>
          <w:rFonts w:ascii="Verdana" w:eastAsia="Calibri" w:hAnsi="Verdana" w:cs="Times New Roman"/>
        </w:rPr>
      </w:pPr>
    </w:p>
    <w:p w14:paraId="45E44C38" w14:textId="77777777" w:rsidR="00204425" w:rsidRDefault="00204425" w:rsidP="00204425">
      <w:pPr>
        <w:numPr>
          <w:ilvl w:val="0"/>
          <w:numId w:val="16"/>
        </w:numPr>
        <w:spacing w:after="0" w:line="256" w:lineRule="auto"/>
        <w:contextualSpacing/>
        <w:rPr>
          <w:rFonts w:ascii="Verdana" w:eastAsia="Calibri" w:hAnsi="Verdana" w:cs="Times New Roman"/>
          <w:b/>
          <w:bCs/>
          <w:lang w:val="es-ES"/>
        </w:rPr>
      </w:pPr>
      <w:r w:rsidRPr="00A12CB6">
        <w:rPr>
          <w:rFonts w:ascii="Verdana" w:eastAsia="Calibri" w:hAnsi="Verdana" w:cs="Times New Roman"/>
          <w:b/>
          <w:bCs/>
          <w:lang w:val="es-ES"/>
        </w:rPr>
        <w:t>Respuesta:</w:t>
      </w:r>
    </w:p>
    <w:p w14:paraId="624CCC78" w14:textId="77777777" w:rsidR="00204425" w:rsidRPr="00A12CB6" w:rsidRDefault="00204425" w:rsidP="00204425">
      <w:pPr>
        <w:spacing w:after="0" w:line="276" w:lineRule="auto"/>
        <w:rPr>
          <w:rFonts w:ascii="Verdana" w:eastAsia="Calibri" w:hAnsi="Verdana" w:cs="Times New Roman"/>
          <w:b/>
          <w:bCs/>
          <w:lang w:val="es-ES"/>
        </w:rPr>
      </w:pPr>
    </w:p>
    <w:tbl>
      <w:tblPr>
        <w:tblStyle w:val="Tablaconcuadrcula"/>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204425" w:rsidRPr="001205D1" w14:paraId="4076C4FE" w14:textId="77777777" w:rsidTr="00567D6A">
        <w:trPr>
          <w:trHeight w:val="870"/>
          <w:jc w:val="center"/>
        </w:trPr>
        <w:tc>
          <w:tcPr>
            <w:tcW w:w="8784" w:type="dxa"/>
          </w:tcPr>
          <w:p w14:paraId="374D066A" w14:textId="77777777" w:rsidR="00204425" w:rsidRDefault="00204425" w:rsidP="00567D6A">
            <w:pPr>
              <w:spacing w:line="276" w:lineRule="auto"/>
              <w:jc w:val="both"/>
              <w:rPr>
                <w:rFonts w:ascii="Verdana" w:hAnsi="Verdana" w:cs="Arial"/>
                <w:bCs/>
              </w:rPr>
            </w:pPr>
            <w:r>
              <w:rPr>
                <w:rFonts w:ascii="Verdana" w:hAnsi="Verdana" w:cs="Arial"/>
                <w:bCs/>
              </w:rPr>
              <w:t>Para responder el problema jurídico, objeto de consulta, se precisa lo siguiente:</w:t>
            </w:r>
          </w:p>
          <w:p w14:paraId="20FBDCC9" w14:textId="77777777" w:rsidR="00204425" w:rsidRDefault="00204425" w:rsidP="00567D6A">
            <w:pPr>
              <w:spacing w:line="276" w:lineRule="auto"/>
              <w:jc w:val="both"/>
              <w:rPr>
                <w:rFonts w:ascii="Verdana" w:hAnsi="Verdana" w:cs="Arial"/>
                <w:bCs/>
              </w:rPr>
            </w:pPr>
          </w:p>
          <w:p w14:paraId="1A811F9D" w14:textId="77777777" w:rsidR="00006F9B" w:rsidRDefault="00006F9B" w:rsidP="00006F9B">
            <w:pPr>
              <w:spacing w:line="276" w:lineRule="auto"/>
              <w:jc w:val="both"/>
              <w:rPr>
                <w:rFonts w:ascii="Verdana" w:hAnsi="Verdana" w:cs="Arial"/>
                <w:bCs/>
              </w:rPr>
            </w:pPr>
            <w:r w:rsidRPr="00006F9B">
              <w:rPr>
                <w:rFonts w:ascii="Verdana" w:hAnsi="Verdana" w:cs="Arial"/>
                <w:bCs/>
              </w:rPr>
              <w:t xml:space="preserve">El artículo 33 del Decreto 410 de 1971 (actual Código de Comercio) establece la obligación de renovar la matrícula mercantil dentro de los tres primeros meses del año, pero no contempla la cesación de los efectos de la matrícula en caso de no renovarse. Por el contrario, el Registro Único de Proponentes </w:t>
            </w:r>
            <w:r w:rsidRPr="00006F9B">
              <w:rPr>
                <w:rFonts w:ascii="Verdana" w:hAnsi="Verdana" w:cs="Arial"/>
                <w:bCs/>
              </w:rPr>
              <w:lastRenderedPageBreak/>
              <w:t>(RUP) sí contempla una cesación de efectos cuando no es renovado, conforme lo establece la normativa vigente.</w:t>
            </w:r>
          </w:p>
          <w:p w14:paraId="50FEC67B" w14:textId="77777777" w:rsidR="00006F9B" w:rsidRPr="00006F9B" w:rsidRDefault="00006F9B" w:rsidP="00006F9B">
            <w:pPr>
              <w:spacing w:line="276" w:lineRule="auto"/>
              <w:jc w:val="both"/>
              <w:rPr>
                <w:rFonts w:ascii="Verdana" w:hAnsi="Verdana" w:cs="Arial"/>
                <w:bCs/>
              </w:rPr>
            </w:pPr>
          </w:p>
          <w:p w14:paraId="66A69736" w14:textId="77777777" w:rsidR="00006F9B" w:rsidRDefault="00006F9B" w:rsidP="00006F9B">
            <w:pPr>
              <w:spacing w:line="276" w:lineRule="auto"/>
              <w:jc w:val="both"/>
              <w:rPr>
                <w:rFonts w:ascii="Verdana" w:hAnsi="Verdana" w:cs="Arial"/>
                <w:bCs/>
              </w:rPr>
            </w:pPr>
            <w:r w:rsidRPr="00006F9B">
              <w:rPr>
                <w:rFonts w:ascii="Verdana" w:hAnsi="Verdana" w:cs="Arial"/>
                <w:bCs/>
              </w:rPr>
              <w:t xml:space="preserve">Por esta razón, si bien la no renovación de la matrícula mercantil puede acarrear sanciones, como multas, </w:t>
            </w:r>
            <w:r w:rsidRPr="00006F9B">
              <w:rPr>
                <w:rFonts w:ascii="Verdana" w:hAnsi="Verdana" w:cs="Arial"/>
                <w:b/>
                <w:bCs/>
              </w:rPr>
              <w:t>la matrícula sigue vigente</w:t>
            </w:r>
            <w:r w:rsidRPr="00006F9B">
              <w:rPr>
                <w:rFonts w:ascii="Verdana" w:hAnsi="Verdana" w:cs="Arial"/>
                <w:bCs/>
              </w:rPr>
              <w:t>, lo que permite al comerciante continuar operando y llevar a cabo todos los actos y/</w:t>
            </w:r>
            <w:proofErr w:type="spellStart"/>
            <w:r w:rsidRPr="00006F9B">
              <w:rPr>
                <w:rFonts w:ascii="Verdana" w:hAnsi="Verdana" w:cs="Arial"/>
                <w:bCs/>
              </w:rPr>
              <w:t>o</w:t>
            </w:r>
            <w:proofErr w:type="spellEnd"/>
            <w:r w:rsidRPr="00006F9B">
              <w:rPr>
                <w:rFonts w:ascii="Verdana" w:hAnsi="Verdana" w:cs="Arial"/>
                <w:bCs/>
              </w:rPr>
              <w:t xml:space="preserve"> operaciones mercantiles que correspondan.</w:t>
            </w:r>
          </w:p>
          <w:p w14:paraId="1406B139" w14:textId="77777777" w:rsidR="00006F9B" w:rsidRPr="00006F9B" w:rsidRDefault="00006F9B" w:rsidP="00006F9B">
            <w:pPr>
              <w:spacing w:line="276" w:lineRule="auto"/>
              <w:jc w:val="both"/>
              <w:rPr>
                <w:rFonts w:ascii="Verdana" w:hAnsi="Verdana" w:cs="Arial"/>
                <w:bCs/>
              </w:rPr>
            </w:pPr>
          </w:p>
          <w:p w14:paraId="2003CFE8" w14:textId="77777777" w:rsidR="00006F9B" w:rsidRPr="00006F9B" w:rsidRDefault="00006F9B" w:rsidP="00006F9B">
            <w:pPr>
              <w:spacing w:line="276" w:lineRule="auto"/>
              <w:jc w:val="both"/>
              <w:rPr>
                <w:rFonts w:ascii="Verdana" w:hAnsi="Verdana" w:cs="Arial"/>
                <w:bCs/>
              </w:rPr>
            </w:pPr>
            <w:r w:rsidRPr="00006F9B">
              <w:rPr>
                <w:rFonts w:ascii="Verdana" w:hAnsi="Verdana" w:cs="Arial"/>
                <w:bCs/>
              </w:rPr>
              <w:t>Cabe destacar que el registro mercantil tiene como finalidad llevar la matrícula de los comerciantes y de los establecimientos de comercio, así como la inscripción de todos los actos, libros y documentos respecto de los cuales la ley exija dicha formalidad. En este sentido, la matrícula mercantil actúa como un medio de identificación que otorga publicidad a la condición de comerciante. Esta condición, de acuerdo con el artículo 10 del Código de Comercio, se adquiere por el ejercicio profesional de una o varias de las actividades que dicho código considera como comerciales o mercantiles, conforme a lo dispuesto en sus artículos 20 y 21.</w:t>
            </w:r>
          </w:p>
          <w:p w14:paraId="0A5C86F1" w14:textId="77777777" w:rsidR="00003C87" w:rsidRPr="00006F9B" w:rsidRDefault="00003C87" w:rsidP="00567D6A">
            <w:pPr>
              <w:spacing w:line="276" w:lineRule="auto"/>
              <w:jc w:val="both"/>
              <w:rPr>
                <w:rFonts w:ascii="Verdana" w:hAnsi="Verdana" w:cs="Arial"/>
                <w:bCs/>
              </w:rPr>
            </w:pPr>
          </w:p>
          <w:p w14:paraId="299EDBF8" w14:textId="3E36C042" w:rsidR="00003C87" w:rsidRDefault="00003C87" w:rsidP="00567D6A">
            <w:pPr>
              <w:spacing w:line="276" w:lineRule="auto"/>
              <w:jc w:val="both"/>
              <w:rPr>
                <w:rFonts w:ascii="Verdana" w:hAnsi="Verdana" w:cs="Arial"/>
                <w:bCs/>
                <w:lang w:val="es-MX"/>
              </w:rPr>
            </w:pPr>
            <w:r w:rsidRPr="00003C87">
              <w:rPr>
                <w:rFonts w:ascii="Verdana" w:hAnsi="Verdana" w:cs="Arial"/>
                <w:bCs/>
                <w:lang w:val="es-MX"/>
              </w:rPr>
              <w:t xml:space="preserve">El artículo 20 del Código de Comercio, en el numeral 15, define como mercantil </w:t>
            </w:r>
            <w:r>
              <w:rPr>
                <w:rFonts w:ascii="Verdana" w:hAnsi="Verdana" w:cs="Arial"/>
                <w:bCs/>
                <w:lang w:val="es-MX"/>
              </w:rPr>
              <w:t>“</w:t>
            </w:r>
            <w:r w:rsidRPr="00003C87">
              <w:rPr>
                <w:rFonts w:ascii="Verdana" w:hAnsi="Verdana" w:cs="Arial"/>
                <w:bCs/>
                <w:lang w:val="es-MX"/>
              </w:rPr>
              <w:t>Las empresas de obras o construcciones, reparaciones, montajes, instalaciones u ornamentaciones</w:t>
            </w:r>
            <w:r>
              <w:rPr>
                <w:rFonts w:ascii="Verdana" w:hAnsi="Verdana" w:cs="Arial"/>
                <w:bCs/>
                <w:lang w:val="es-MX"/>
              </w:rPr>
              <w:t>”</w:t>
            </w:r>
            <w:r w:rsidRPr="00003C87">
              <w:rPr>
                <w:rFonts w:ascii="Verdana" w:hAnsi="Verdana" w:cs="Arial"/>
                <w:bCs/>
                <w:lang w:val="es-MX"/>
              </w:rPr>
              <w:t xml:space="preserve">. Por su parte, el artículo 11 del mismo estatuto dispone: </w:t>
            </w:r>
            <w:r>
              <w:rPr>
                <w:rFonts w:ascii="Verdana" w:hAnsi="Verdana" w:cs="Arial"/>
                <w:bCs/>
                <w:lang w:val="es-MX"/>
              </w:rPr>
              <w:t>“</w:t>
            </w:r>
            <w:r w:rsidRPr="00003C87">
              <w:rPr>
                <w:rFonts w:ascii="Verdana" w:hAnsi="Verdana" w:cs="Arial"/>
                <w:bCs/>
                <w:lang w:val="es-MX"/>
              </w:rPr>
              <w:t>las personas que ejecuten ocasionalmente operaciones mercantiles no se considerarán comerciantes, pero estarán sujetas a las normas comerciales en cuanto a dichas operaciones</w:t>
            </w:r>
            <w:r>
              <w:rPr>
                <w:rFonts w:ascii="Verdana" w:hAnsi="Verdana" w:cs="Arial"/>
                <w:bCs/>
                <w:lang w:val="es-MX"/>
              </w:rPr>
              <w:t>”</w:t>
            </w:r>
            <w:r w:rsidRPr="00003C87">
              <w:rPr>
                <w:rFonts w:ascii="Verdana" w:hAnsi="Verdana" w:cs="Arial"/>
                <w:bCs/>
                <w:lang w:val="es-MX"/>
              </w:rPr>
              <w:t>. Así mismo, el artículo 23 señala las actividades que no pueden considerarse mercantiles, y por lo tanto, no requiere que la persona se inscriba en el registro mercantil</w:t>
            </w:r>
            <w:r>
              <w:rPr>
                <w:rFonts w:ascii="Verdana" w:hAnsi="Verdana" w:cs="Arial"/>
                <w:bCs/>
                <w:lang w:val="es-MX"/>
              </w:rPr>
              <w:t>.</w:t>
            </w:r>
          </w:p>
          <w:p w14:paraId="56B8326B" w14:textId="77777777" w:rsidR="00003C87" w:rsidRDefault="00003C87" w:rsidP="00567D6A">
            <w:pPr>
              <w:spacing w:line="276" w:lineRule="auto"/>
              <w:jc w:val="both"/>
              <w:rPr>
                <w:rFonts w:ascii="Verdana" w:hAnsi="Verdana" w:cs="Arial"/>
                <w:bCs/>
                <w:lang w:val="es-MX"/>
              </w:rPr>
            </w:pPr>
          </w:p>
          <w:p w14:paraId="27569AA0" w14:textId="5CB80C52" w:rsidR="00204425" w:rsidRPr="00003C87" w:rsidRDefault="00006F9B" w:rsidP="00003C87">
            <w:pPr>
              <w:spacing w:line="276" w:lineRule="auto"/>
              <w:jc w:val="both"/>
              <w:rPr>
                <w:rFonts w:ascii="Verdana" w:hAnsi="Verdana" w:cs="Arial"/>
                <w:bCs/>
              </w:rPr>
            </w:pPr>
            <w:r w:rsidRPr="00006F9B">
              <w:rPr>
                <w:rFonts w:ascii="Verdana" w:hAnsi="Verdana" w:cs="Arial"/>
                <w:bCs/>
              </w:rPr>
              <w:t xml:space="preserve">En conclusión, y como respuesta a su consulta, es una obligación legal que los oferentes acrediten su inscripción en el Registro Mercantil para poder participar en procesos de contratación cuyo objeto implique el ejercicio de actividades mercantiles, conforme a lo dispuesto en el artículo 20 del Código de Comercio. Sin embargo, </w:t>
            </w:r>
            <w:r w:rsidRPr="00006F9B">
              <w:rPr>
                <w:rFonts w:ascii="Verdana" w:hAnsi="Verdana" w:cs="Arial"/>
                <w:b/>
                <w:bCs/>
              </w:rPr>
              <w:t>no constituye un requisito legal</w:t>
            </w:r>
            <w:r w:rsidRPr="00006F9B">
              <w:rPr>
                <w:rFonts w:ascii="Verdana" w:hAnsi="Verdana" w:cs="Arial"/>
                <w:bCs/>
              </w:rPr>
              <w:t xml:space="preserve"> que la matrícula mercantil se encuentre renovada para efectos de dicha participación.</w:t>
            </w:r>
          </w:p>
        </w:tc>
      </w:tr>
    </w:tbl>
    <w:p w14:paraId="27700816" w14:textId="77777777" w:rsidR="00204425" w:rsidRPr="00A12CB6" w:rsidRDefault="00204425" w:rsidP="00204425">
      <w:pPr>
        <w:spacing w:after="0" w:line="276" w:lineRule="auto"/>
        <w:jc w:val="both"/>
        <w:rPr>
          <w:rFonts w:ascii="Verdana" w:eastAsia="Calibri" w:hAnsi="Verdana" w:cs="Arial"/>
          <w:bCs/>
          <w:color w:val="000000" w:themeColor="text1"/>
        </w:rPr>
      </w:pPr>
    </w:p>
    <w:p w14:paraId="0FF2F63B" w14:textId="77777777" w:rsidR="00204425" w:rsidRPr="00A12CB6" w:rsidRDefault="00204425" w:rsidP="00204425">
      <w:pPr>
        <w:numPr>
          <w:ilvl w:val="0"/>
          <w:numId w:val="16"/>
        </w:numPr>
        <w:spacing w:after="0" w:line="256" w:lineRule="auto"/>
        <w:rPr>
          <w:rFonts w:ascii="Verdana" w:eastAsia="Calibri" w:hAnsi="Verdana" w:cs="Times New Roman"/>
          <w:b/>
          <w:bCs/>
          <w:lang w:val="es-ES"/>
        </w:rPr>
      </w:pPr>
      <w:r w:rsidRPr="00A12CB6">
        <w:rPr>
          <w:rFonts w:ascii="Verdana" w:eastAsia="Calibri" w:hAnsi="Verdana" w:cs="Times New Roman"/>
          <w:b/>
          <w:bCs/>
          <w:lang w:val="es-ES"/>
        </w:rPr>
        <w:t>Razones de la respuesta:</w:t>
      </w:r>
    </w:p>
    <w:p w14:paraId="76DCFEC9" w14:textId="77777777" w:rsidR="00204425" w:rsidRPr="00A12CB6" w:rsidRDefault="00204425" w:rsidP="00204425">
      <w:pPr>
        <w:spacing w:after="0" w:line="276" w:lineRule="auto"/>
        <w:rPr>
          <w:rFonts w:ascii="Verdana" w:eastAsia="Calibri" w:hAnsi="Verdana" w:cs="Times New Roman"/>
          <w:b/>
          <w:bCs/>
          <w:lang w:val="es-ES"/>
        </w:rPr>
      </w:pPr>
    </w:p>
    <w:p w14:paraId="17275E8E" w14:textId="77777777" w:rsidR="00204425" w:rsidRPr="00A12CB6" w:rsidRDefault="00204425" w:rsidP="00204425">
      <w:pPr>
        <w:spacing w:after="0" w:line="276" w:lineRule="auto"/>
        <w:jc w:val="both"/>
        <w:rPr>
          <w:rFonts w:ascii="Verdana" w:eastAsia="Calibri" w:hAnsi="Verdana" w:cs="Arial"/>
          <w:lang w:val="es-ES"/>
        </w:rPr>
      </w:pPr>
      <w:r w:rsidRPr="00A12CB6">
        <w:rPr>
          <w:rFonts w:ascii="Verdana" w:eastAsia="Calibri" w:hAnsi="Verdana" w:cs="Arial"/>
          <w:lang w:val="es-ES"/>
        </w:rPr>
        <w:lastRenderedPageBreak/>
        <w:t xml:space="preserve">Lo anterior se sustenta en las siguientes consideraciones: </w:t>
      </w:r>
    </w:p>
    <w:p w14:paraId="5C63390A" w14:textId="77777777" w:rsidR="00204425" w:rsidRPr="00A12CB6" w:rsidRDefault="00204425" w:rsidP="00204425">
      <w:pPr>
        <w:spacing w:after="0" w:line="276" w:lineRule="auto"/>
        <w:jc w:val="both"/>
        <w:rPr>
          <w:rFonts w:ascii="Verdana" w:eastAsia="Calibri" w:hAnsi="Verdana" w:cs="Arial"/>
          <w:color w:val="000000"/>
          <w:lang w:val="es-ES_tradnl" w:eastAsia="es-ES_tradnl"/>
        </w:rPr>
      </w:pPr>
    </w:p>
    <w:p w14:paraId="6D870FD4" w14:textId="53A3E597" w:rsidR="00003C87" w:rsidRPr="00003C87" w:rsidRDefault="00003C87" w:rsidP="00003C87">
      <w:pPr>
        <w:shd w:val="clear" w:color="auto" w:fill="FFFFFF"/>
        <w:spacing w:after="120" w:line="276" w:lineRule="auto"/>
        <w:ind w:firstLine="708"/>
        <w:jc w:val="both"/>
        <w:rPr>
          <w:rFonts w:ascii="Verdana" w:eastAsia="Calibri" w:hAnsi="Verdana" w:cs="Arial"/>
          <w:bCs/>
          <w:color w:val="000000"/>
          <w:lang w:val="es-MX"/>
        </w:rPr>
      </w:pPr>
      <w:bookmarkStart w:id="1" w:name="_Hlk35535746"/>
      <w:r w:rsidRPr="00003C87">
        <w:rPr>
          <w:rFonts w:ascii="Verdana" w:eastAsia="Calibri" w:hAnsi="Verdana" w:cs="Arial"/>
          <w:bCs/>
          <w:color w:val="000000"/>
          <w:lang w:val="es-MX"/>
        </w:rPr>
        <w:t xml:space="preserve">El registro mercantil tiene </w:t>
      </w:r>
      <w:r>
        <w:rPr>
          <w:rFonts w:ascii="Verdana" w:eastAsia="Calibri" w:hAnsi="Verdana" w:cs="Arial"/>
          <w:bCs/>
          <w:color w:val="000000"/>
          <w:lang w:val="es-MX"/>
        </w:rPr>
        <w:t>“</w:t>
      </w:r>
      <w:r w:rsidRPr="00003C87">
        <w:rPr>
          <w:rFonts w:ascii="Verdana" w:eastAsia="Calibri" w:hAnsi="Verdana" w:cs="Arial"/>
          <w:bCs/>
          <w:color w:val="000000"/>
          <w:lang w:val="es-MX"/>
        </w:rPr>
        <w:t>por objeto llevar la matrícula de los comerciantes y de los establecimientos de comercio, así como la inscripción de todos los actos, libros y documentos respecto de los cuales la ley exigiere esa formalidad</w:t>
      </w:r>
      <w:r>
        <w:rPr>
          <w:rFonts w:ascii="Verdana" w:eastAsia="Calibri" w:hAnsi="Verdana" w:cs="Arial"/>
          <w:bCs/>
          <w:color w:val="000000"/>
          <w:lang w:val="es-MX"/>
        </w:rPr>
        <w:t>”</w:t>
      </w:r>
      <w:r w:rsidRPr="00003C87">
        <w:rPr>
          <w:rFonts w:ascii="Verdana" w:eastAsia="Calibri" w:hAnsi="Verdana" w:cs="Arial"/>
          <w:bCs/>
          <w:color w:val="000000"/>
          <w:vertAlign w:val="superscript"/>
        </w:rPr>
        <w:footnoteReference w:id="1"/>
      </w:r>
      <w:r w:rsidRPr="00003C87">
        <w:rPr>
          <w:rFonts w:ascii="Verdana" w:eastAsia="Calibri" w:hAnsi="Verdana" w:cs="Arial"/>
          <w:bCs/>
          <w:color w:val="000000"/>
          <w:lang w:val="es-MX"/>
        </w:rPr>
        <w:t>. Así, la matrícula mercantil es un medio de identificación que da publicidad a la condición de comerciante, la cual, de acuerdo con el artículo 10 del Código de Comercio, se establece para aquellas personas que se ocupan profesionalmente de una o varias de las actividades que el mismo código considera como comerciales o mercantiles, según el artículo 20 y 21</w:t>
      </w:r>
      <w:r w:rsidRPr="00003C87">
        <w:rPr>
          <w:rFonts w:ascii="Verdana" w:eastAsia="Calibri" w:hAnsi="Verdana" w:cs="Arial"/>
          <w:bCs/>
          <w:color w:val="000000"/>
          <w:vertAlign w:val="superscript"/>
        </w:rPr>
        <w:footnoteReference w:id="2"/>
      </w:r>
      <w:r w:rsidRPr="00003C87">
        <w:rPr>
          <w:rFonts w:ascii="Verdana" w:eastAsia="Calibri" w:hAnsi="Verdana" w:cs="Arial"/>
          <w:bCs/>
          <w:color w:val="000000"/>
          <w:lang w:val="es-MX"/>
        </w:rPr>
        <w:t xml:space="preserve">. </w:t>
      </w:r>
    </w:p>
    <w:p w14:paraId="71773691" w14:textId="65510202" w:rsidR="00003C87" w:rsidRPr="00003C87" w:rsidRDefault="00003C87" w:rsidP="00003C87">
      <w:pPr>
        <w:shd w:val="clear" w:color="auto" w:fill="FFFFFF"/>
        <w:spacing w:after="120" w:line="276" w:lineRule="auto"/>
        <w:ind w:firstLine="708"/>
        <w:jc w:val="both"/>
        <w:rPr>
          <w:rFonts w:ascii="Verdana" w:eastAsia="Calibri" w:hAnsi="Verdana" w:cs="Arial"/>
          <w:bCs/>
          <w:color w:val="000000"/>
          <w:lang w:val="es-MX"/>
        </w:rPr>
      </w:pPr>
      <w:r w:rsidRPr="00003C87">
        <w:rPr>
          <w:rFonts w:ascii="Verdana" w:eastAsia="Calibri" w:hAnsi="Verdana" w:cs="Arial"/>
          <w:bCs/>
          <w:color w:val="000000"/>
          <w:lang w:val="es-MX"/>
        </w:rPr>
        <w:t xml:space="preserve">El artículo 20 del Código de Comercio, en el numeral 15, define como mercantil </w:t>
      </w:r>
      <w:r>
        <w:rPr>
          <w:rFonts w:ascii="Verdana" w:eastAsia="Calibri" w:hAnsi="Verdana" w:cs="Arial"/>
          <w:bCs/>
          <w:color w:val="000000"/>
          <w:lang w:val="es-MX"/>
        </w:rPr>
        <w:t>“</w:t>
      </w:r>
      <w:r w:rsidRPr="00003C87">
        <w:rPr>
          <w:rFonts w:ascii="Verdana" w:eastAsia="Calibri" w:hAnsi="Verdana" w:cs="Arial"/>
          <w:bCs/>
          <w:color w:val="000000"/>
          <w:lang w:val="es-MX"/>
        </w:rPr>
        <w:t>Las empresas de obras o construcciones, reparaciones, montajes, instalaciones u ornamentaciones</w:t>
      </w:r>
      <w:r>
        <w:rPr>
          <w:rFonts w:ascii="Verdana" w:eastAsia="Calibri" w:hAnsi="Verdana" w:cs="Arial"/>
          <w:bCs/>
          <w:color w:val="000000"/>
          <w:lang w:val="es-MX"/>
        </w:rPr>
        <w:t>”</w:t>
      </w:r>
      <w:r w:rsidRPr="00003C87">
        <w:rPr>
          <w:rFonts w:ascii="Verdana" w:eastAsia="Calibri" w:hAnsi="Verdana" w:cs="Arial"/>
          <w:bCs/>
          <w:color w:val="000000"/>
          <w:lang w:val="es-MX"/>
        </w:rPr>
        <w:t xml:space="preserve">. Por su parte, el artículo 11 del mismo estatuto dispone: </w:t>
      </w:r>
      <w:r>
        <w:rPr>
          <w:rFonts w:ascii="Verdana" w:eastAsia="Calibri" w:hAnsi="Verdana" w:cs="Arial"/>
          <w:bCs/>
          <w:color w:val="000000"/>
          <w:lang w:val="es-MX"/>
        </w:rPr>
        <w:t>“</w:t>
      </w:r>
      <w:r w:rsidRPr="00003C87">
        <w:rPr>
          <w:rFonts w:ascii="Verdana" w:eastAsia="Calibri" w:hAnsi="Verdana" w:cs="Arial"/>
          <w:bCs/>
          <w:color w:val="000000"/>
          <w:lang w:val="es-MX"/>
        </w:rPr>
        <w:t>las personas que ejecuten ocasionalmente operaciones mercantiles no se considerarán comerciantes, pero estarán sujetas a las normas comerciales en cuanto a dichas operaciones</w:t>
      </w:r>
      <w:r>
        <w:rPr>
          <w:rFonts w:ascii="Verdana" w:eastAsia="Calibri" w:hAnsi="Verdana" w:cs="Arial"/>
          <w:bCs/>
          <w:color w:val="000000"/>
          <w:lang w:val="es-MX"/>
        </w:rPr>
        <w:t>”</w:t>
      </w:r>
      <w:r w:rsidRPr="00003C87">
        <w:rPr>
          <w:rFonts w:ascii="Verdana" w:eastAsia="Calibri" w:hAnsi="Verdana" w:cs="Arial"/>
          <w:bCs/>
          <w:color w:val="000000"/>
          <w:lang w:val="es-MX"/>
        </w:rPr>
        <w:t>. Así mismo, el artículo 23 señala las actividades que no pueden considerarse mercantiles, y por lo tanto, no requiere que la persona se inscriba en el registro mercantil</w:t>
      </w:r>
      <w:r w:rsidRPr="00003C87">
        <w:rPr>
          <w:rFonts w:ascii="Verdana" w:eastAsia="Calibri" w:hAnsi="Verdana" w:cs="Arial"/>
          <w:bCs/>
          <w:color w:val="000000"/>
          <w:vertAlign w:val="superscript"/>
        </w:rPr>
        <w:footnoteReference w:id="3"/>
      </w:r>
      <w:r w:rsidRPr="00003C87">
        <w:rPr>
          <w:rFonts w:ascii="Verdana" w:eastAsia="Calibri" w:hAnsi="Verdana" w:cs="Arial"/>
          <w:bCs/>
          <w:color w:val="000000"/>
          <w:lang w:val="es-MX"/>
        </w:rPr>
        <w:t xml:space="preserve">.  </w:t>
      </w:r>
    </w:p>
    <w:p w14:paraId="00AECF33" w14:textId="51ABC0C0" w:rsidR="00003C87" w:rsidRPr="00003C87" w:rsidRDefault="00003C87" w:rsidP="00003C87">
      <w:pPr>
        <w:shd w:val="clear" w:color="auto" w:fill="FFFFFF"/>
        <w:spacing w:after="120" w:line="276" w:lineRule="auto"/>
        <w:ind w:firstLine="708"/>
        <w:jc w:val="both"/>
        <w:rPr>
          <w:rFonts w:ascii="Verdana" w:eastAsia="Calibri" w:hAnsi="Verdana" w:cs="Arial"/>
          <w:bCs/>
          <w:color w:val="000000"/>
          <w:lang w:val="es-MX"/>
        </w:rPr>
      </w:pPr>
      <w:r w:rsidRPr="00003C87">
        <w:rPr>
          <w:rFonts w:ascii="Verdana" w:eastAsia="Calibri" w:hAnsi="Verdana" w:cs="Arial"/>
          <w:bCs/>
          <w:color w:val="000000"/>
          <w:lang w:val="es-MX"/>
        </w:rPr>
        <w:t>Con relación al registro mercantil, el Consejo de Estado se ha pronunciado, estableciendo que la finalidad del registro es ser un instrumento que cuente con la información de las personas consideradas comerciantes:</w:t>
      </w:r>
    </w:p>
    <w:p w14:paraId="7D07F464" w14:textId="450E58FF" w:rsidR="00003C87" w:rsidRPr="00003C87" w:rsidRDefault="00003C87" w:rsidP="00003C87">
      <w:pPr>
        <w:shd w:val="clear" w:color="auto" w:fill="FFFFFF"/>
        <w:spacing w:after="120" w:line="276" w:lineRule="auto"/>
        <w:ind w:firstLine="708"/>
        <w:jc w:val="both"/>
        <w:rPr>
          <w:rFonts w:ascii="Verdana" w:eastAsia="Calibri" w:hAnsi="Verdana" w:cs="Arial"/>
          <w:bCs/>
          <w:color w:val="000000"/>
          <w:lang w:val="es-MX"/>
        </w:rPr>
      </w:pPr>
      <w:r w:rsidRPr="00003C87">
        <w:rPr>
          <w:rFonts w:ascii="Verdana" w:eastAsia="Calibri" w:hAnsi="Verdana" w:cs="Arial"/>
          <w:bCs/>
          <w:color w:val="000000"/>
          <w:lang w:val="es-MX"/>
        </w:rPr>
        <w:lastRenderedPageBreak/>
        <w:t>Regulado por el artículo 26 del Código de Comercio, se encuentra que tiene por objeto hacer la matrícula de los comerciantes y de los establecimientos de comercio, así como la inscripción de los actos, libros y documentos, de acuerdo con las disposiciones legales. De lo anterior se deduce que la matrícula es el registro a que están obligadas todas las personas que ejercen regularmente el comercio, lo mismo que en relación con sus establecimientos de comercio</w:t>
      </w:r>
      <w:r w:rsidRPr="00003C87">
        <w:rPr>
          <w:rFonts w:ascii="Verdana" w:eastAsia="Calibri" w:hAnsi="Verdana" w:cs="Arial"/>
          <w:bCs/>
          <w:color w:val="000000"/>
          <w:vertAlign w:val="superscript"/>
        </w:rPr>
        <w:footnoteReference w:id="4"/>
      </w:r>
      <w:r w:rsidRPr="00003C87">
        <w:rPr>
          <w:rFonts w:ascii="Verdana" w:eastAsia="Calibri" w:hAnsi="Verdana" w:cs="Arial"/>
          <w:bCs/>
          <w:color w:val="000000"/>
          <w:lang w:val="es-MX"/>
        </w:rPr>
        <w:t>.</w:t>
      </w:r>
      <w:bookmarkEnd w:id="1"/>
    </w:p>
    <w:p w14:paraId="303368E2" w14:textId="6FC6F3E5" w:rsidR="00003C87" w:rsidRPr="00003C87" w:rsidRDefault="00003C87" w:rsidP="00003C87">
      <w:pPr>
        <w:shd w:val="clear" w:color="auto" w:fill="FFFFFF"/>
        <w:spacing w:after="120" w:line="276" w:lineRule="auto"/>
        <w:ind w:firstLine="708"/>
        <w:jc w:val="both"/>
        <w:rPr>
          <w:rFonts w:ascii="Verdana" w:eastAsia="Calibri" w:hAnsi="Verdana" w:cs="Arial"/>
          <w:bCs/>
          <w:color w:val="000000"/>
          <w:lang w:val="es-MX"/>
        </w:rPr>
      </w:pPr>
      <w:bookmarkStart w:id="2" w:name="_Hlk35535931"/>
      <w:r w:rsidRPr="00003C87">
        <w:rPr>
          <w:rFonts w:ascii="Verdana" w:eastAsia="Calibri" w:hAnsi="Verdana" w:cs="Arial"/>
          <w:bCs/>
          <w:color w:val="000000"/>
          <w:lang w:val="es-MX"/>
        </w:rPr>
        <w:t xml:space="preserve">Por su parte, la Corte Constitucional se pronunció sobre la naturaleza jurídica del registro mercantil, señalando que este es un instrumento que le permite al público el conocimiento de datos relevantes del tráfico mercantil, la calidad de comerciante de una persona y las actividades propias. Así mismo, para la Corte el registro mercantil no es un requisito para la validez y existencia de los actos jurídicos, sino una herramienta de publicidad de estos y, por lo tanto, oponibles a terceros:  </w:t>
      </w:r>
      <w:bookmarkEnd w:id="2"/>
    </w:p>
    <w:p w14:paraId="49F76615" w14:textId="2A65420A" w:rsidR="00003C87" w:rsidRPr="00003C87" w:rsidRDefault="00003C87" w:rsidP="00003C87">
      <w:pPr>
        <w:shd w:val="clear" w:color="auto" w:fill="FFFFFF"/>
        <w:spacing w:after="120" w:line="276" w:lineRule="auto"/>
        <w:ind w:firstLine="708"/>
        <w:jc w:val="both"/>
        <w:rPr>
          <w:rFonts w:ascii="Verdana" w:eastAsia="Calibri" w:hAnsi="Verdana" w:cs="Arial"/>
          <w:bCs/>
          <w:color w:val="000000"/>
          <w:lang w:val="es-MX"/>
        </w:rPr>
      </w:pPr>
      <w:r w:rsidRPr="00003C87">
        <w:rPr>
          <w:rFonts w:ascii="Verdana" w:eastAsia="Calibri" w:hAnsi="Verdana" w:cs="Arial"/>
          <w:bCs/>
          <w:color w:val="000000"/>
          <w:lang w:val="es-MX"/>
        </w:rPr>
        <w:t xml:space="preserve">A diferencia de otros registros que son de naturaleza real, como el registro inmobiliario, el registro mercantil es de naturaleza personal porque lo inscrito es la persona misma en su condición de comerciante y los hechos y actos que a él lo afectan frente a terceros. Usualmente se le reconoce un carácter meramente declarativo, en cuanto es simplemente un mecanismo de publicidad de ciertos hechos o actos relevantes en el tráfico mercantil. Es decir, la inscripción en el registro no es un requisito de aquellos que son necesarios para la existencia o para la validez de los actos jurídicos inscritos, sino que únicamente los hace conocidos y por lo tanto </w:t>
      </w:r>
      <w:r>
        <w:rPr>
          <w:rFonts w:ascii="Verdana" w:eastAsia="Calibri" w:hAnsi="Verdana" w:cs="Arial"/>
          <w:bCs/>
          <w:color w:val="000000"/>
          <w:lang w:val="es-MX"/>
        </w:rPr>
        <w:t>“</w:t>
      </w:r>
      <w:r w:rsidRPr="00003C87">
        <w:rPr>
          <w:rFonts w:ascii="Verdana" w:eastAsia="Calibri" w:hAnsi="Verdana" w:cs="Arial"/>
          <w:bCs/>
          <w:color w:val="000000"/>
          <w:lang w:val="es-MX"/>
        </w:rPr>
        <w:t>oponibles</w:t>
      </w:r>
      <w:r>
        <w:rPr>
          <w:rFonts w:ascii="Verdana" w:eastAsia="Calibri" w:hAnsi="Verdana" w:cs="Arial"/>
          <w:bCs/>
          <w:color w:val="000000"/>
          <w:lang w:val="es-MX"/>
        </w:rPr>
        <w:t>”</w:t>
      </w:r>
      <w:r w:rsidRPr="00003C87">
        <w:rPr>
          <w:rFonts w:ascii="Verdana" w:eastAsia="Calibri" w:hAnsi="Verdana" w:cs="Arial"/>
          <w:bCs/>
          <w:color w:val="000000"/>
          <w:lang w:val="es-MX"/>
        </w:rPr>
        <w:t xml:space="preserve"> a los terceros. Así, una vez hecho el correspondiente registro, el acto tendrá efectos no sólo entre quienes participaron en él, sino erga omnes, por lo cual en adelante nadie podrá alegar su desconocimiento. Este es el principio que se conoce como de </w:t>
      </w:r>
      <w:r>
        <w:rPr>
          <w:rFonts w:ascii="Verdana" w:eastAsia="Calibri" w:hAnsi="Verdana" w:cs="Arial"/>
          <w:bCs/>
          <w:color w:val="000000"/>
          <w:lang w:val="es-MX"/>
        </w:rPr>
        <w:t>“</w:t>
      </w:r>
      <w:r w:rsidRPr="00003C87">
        <w:rPr>
          <w:rFonts w:ascii="Verdana" w:eastAsia="Calibri" w:hAnsi="Verdana" w:cs="Arial"/>
          <w:bCs/>
          <w:color w:val="000000"/>
          <w:lang w:val="es-MX"/>
        </w:rPr>
        <w:t>publicidad material del registro</w:t>
      </w:r>
      <w:r>
        <w:rPr>
          <w:rFonts w:ascii="Verdana" w:eastAsia="Calibri" w:hAnsi="Verdana" w:cs="Arial"/>
          <w:bCs/>
          <w:color w:val="000000"/>
          <w:lang w:val="es-MX"/>
        </w:rPr>
        <w:t>”</w:t>
      </w:r>
      <w:r w:rsidRPr="00003C87">
        <w:rPr>
          <w:rFonts w:ascii="Verdana" w:eastAsia="Calibri" w:hAnsi="Verdana" w:cs="Arial"/>
          <w:bCs/>
          <w:color w:val="000000"/>
          <w:lang w:val="es-MX"/>
        </w:rPr>
        <w:t>, en virtud del cual, una vez inscrito, el acto se supone conocido de todos. Por lo anterior, la doctrina señala que la finalidad inmediata del registro es dar seguridad a las relaciones que implican la responsabilidad jurídica del comerciante</w:t>
      </w:r>
      <w:r w:rsidRPr="00003C87">
        <w:rPr>
          <w:rFonts w:ascii="Verdana" w:eastAsia="Calibri" w:hAnsi="Verdana" w:cs="Arial"/>
          <w:bCs/>
          <w:color w:val="000000"/>
          <w:vertAlign w:val="superscript"/>
          <w:lang w:val="es-MX"/>
        </w:rPr>
        <w:footnoteReference w:id="5"/>
      </w:r>
      <w:r w:rsidRPr="00003C87">
        <w:rPr>
          <w:rFonts w:ascii="Verdana" w:eastAsia="Calibri" w:hAnsi="Verdana" w:cs="Arial"/>
          <w:bCs/>
          <w:color w:val="000000"/>
          <w:lang w:val="es-MX"/>
        </w:rPr>
        <w:t>.</w:t>
      </w:r>
    </w:p>
    <w:p w14:paraId="33140FF1" w14:textId="77777777" w:rsidR="00003C87" w:rsidRPr="00003C87" w:rsidRDefault="00003C87" w:rsidP="00003C87">
      <w:pPr>
        <w:shd w:val="clear" w:color="auto" w:fill="FFFFFF"/>
        <w:spacing w:after="120" w:line="276" w:lineRule="auto"/>
        <w:ind w:firstLine="708"/>
        <w:jc w:val="both"/>
        <w:rPr>
          <w:rFonts w:ascii="Verdana" w:eastAsia="Calibri" w:hAnsi="Verdana" w:cs="Arial"/>
          <w:bCs/>
          <w:color w:val="000000"/>
          <w:lang w:val="es-MX"/>
        </w:rPr>
      </w:pPr>
      <w:bookmarkStart w:id="3" w:name="_Hlk35536016"/>
      <w:r w:rsidRPr="00003C87">
        <w:rPr>
          <w:rFonts w:ascii="Verdana" w:eastAsia="Calibri" w:hAnsi="Verdana" w:cs="Arial"/>
          <w:bCs/>
          <w:color w:val="000000"/>
          <w:lang w:val="es-MX"/>
        </w:rPr>
        <w:t xml:space="preserve">Así las cosas, el artículo 28 del Código de Comercio señala que las personas que ejerzan profesionalmente el comercio y sus auxiliares, tales como </w:t>
      </w:r>
      <w:r w:rsidRPr="00003C87">
        <w:rPr>
          <w:rFonts w:ascii="Verdana" w:eastAsia="Calibri" w:hAnsi="Verdana" w:cs="Arial"/>
          <w:bCs/>
          <w:color w:val="000000"/>
          <w:lang w:val="es-MX"/>
        </w:rPr>
        <w:lastRenderedPageBreak/>
        <w:t xml:space="preserve">los comisionistas, corredores, agentes, representantes de firmas nacionales o extranjeras, deben inscribirse en el registro mercantil, al mes siguiente de que inicien sus actividades. De tal forma, deberán inscribirse en el registro mercantil, quienes realizan de manera habitual alguna actividad comercial de las definidas por el Código de Comercio, es decir, deben matricularse ante la Cámara de Comercio todas las personas naturales que realicen en forma permanente o habitual alguno de los actos u operaciones mercantiles, en caso contrario, a pesar de que sea un acto mercantil, la persona natural no debe estar inscrita en el registro. </w:t>
      </w:r>
    </w:p>
    <w:p w14:paraId="23B46200" w14:textId="77777777" w:rsidR="00003C87" w:rsidRPr="00003C87" w:rsidRDefault="00003C87" w:rsidP="00003C87">
      <w:pPr>
        <w:shd w:val="clear" w:color="auto" w:fill="FFFFFF"/>
        <w:spacing w:after="120" w:line="276" w:lineRule="auto"/>
        <w:ind w:firstLine="708"/>
        <w:jc w:val="both"/>
        <w:rPr>
          <w:rFonts w:ascii="Verdana" w:eastAsia="Calibri" w:hAnsi="Verdana" w:cs="Arial"/>
          <w:bCs/>
          <w:color w:val="000000"/>
          <w:lang w:val="es-MX"/>
        </w:rPr>
      </w:pPr>
      <w:r w:rsidRPr="00003C87">
        <w:rPr>
          <w:rFonts w:ascii="Verdana" w:eastAsia="Calibri" w:hAnsi="Verdana" w:cs="Arial"/>
          <w:bCs/>
          <w:color w:val="000000"/>
          <w:lang w:val="es-MX"/>
        </w:rPr>
        <w:t>De otro lado, el artículo 37 del Código de Comercio dispone, como sanción aplicable al comerciante que ejerce el comercio sin registro mercantil, la imposición de una multa:</w:t>
      </w:r>
    </w:p>
    <w:p w14:paraId="5A205E7C" w14:textId="77777777" w:rsidR="00003C87" w:rsidRPr="00003C87" w:rsidRDefault="00003C87" w:rsidP="00003C87">
      <w:pPr>
        <w:shd w:val="clear" w:color="auto" w:fill="FFFFFF"/>
        <w:spacing w:after="120" w:line="276" w:lineRule="auto"/>
        <w:ind w:firstLine="708"/>
        <w:jc w:val="both"/>
        <w:rPr>
          <w:rFonts w:ascii="Verdana" w:eastAsia="Calibri" w:hAnsi="Verdana" w:cs="Arial"/>
          <w:bCs/>
          <w:color w:val="000000"/>
          <w:lang w:val="es-MX"/>
        </w:rPr>
      </w:pPr>
    </w:p>
    <w:p w14:paraId="6ADA58D7" w14:textId="7EA58131" w:rsidR="00003C87" w:rsidRPr="00003C87" w:rsidRDefault="00003C87" w:rsidP="00003C87">
      <w:pPr>
        <w:shd w:val="clear" w:color="auto" w:fill="FFFFFF"/>
        <w:spacing w:after="120" w:line="276" w:lineRule="auto"/>
        <w:ind w:firstLine="708"/>
        <w:jc w:val="both"/>
        <w:rPr>
          <w:rFonts w:ascii="Verdana" w:eastAsia="Calibri" w:hAnsi="Verdana" w:cs="Arial"/>
          <w:bCs/>
          <w:color w:val="000000"/>
          <w:lang w:val="es-MX"/>
        </w:rPr>
      </w:pPr>
      <w:r w:rsidRPr="00003C87">
        <w:rPr>
          <w:rFonts w:ascii="Verdana" w:eastAsia="Calibri" w:hAnsi="Verdana" w:cs="Arial"/>
          <w:bCs/>
          <w:color w:val="000000"/>
          <w:lang w:val="es-MX"/>
        </w:rPr>
        <w:t>Artículo 37. La persona que ejerza profesionalmente el comercio sin estar inscrita en el registro mercantil incurrirá en multa hasta de diez mil pesos, que impondrá la Superintendencia de Industria y Comercio, sin perjuicio de las demás sanciones legales. La misma sanción se aplicará cuando se omita la inscripción o matrícula de un establecimiento de comercio.</w:t>
      </w:r>
    </w:p>
    <w:p w14:paraId="558F2D03" w14:textId="77777777" w:rsidR="00003C87" w:rsidRPr="00003C87" w:rsidRDefault="00003C87" w:rsidP="00003C87">
      <w:pPr>
        <w:shd w:val="clear" w:color="auto" w:fill="FFFFFF"/>
        <w:spacing w:after="120" w:line="276" w:lineRule="auto"/>
        <w:ind w:firstLine="708"/>
        <w:jc w:val="both"/>
        <w:rPr>
          <w:rFonts w:ascii="Verdana" w:eastAsia="Calibri" w:hAnsi="Verdana" w:cs="Arial"/>
          <w:bCs/>
          <w:color w:val="000000"/>
          <w:lang w:val="es-MX"/>
        </w:rPr>
      </w:pPr>
      <w:r w:rsidRPr="00003C87">
        <w:rPr>
          <w:rFonts w:ascii="Verdana" w:eastAsia="Calibri" w:hAnsi="Verdana" w:cs="Arial"/>
          <w:bCs/>
          <w:color w:val="000000"/>
          <w:lang w:val="es-MX"/>
        </w:rPr>
        <w:t xml:space="preserve">De la misma forma, el artículo 11 del Decreto 2153 de 1992, en el numeral 5, faculta al Superintendente </w:t>
      </w:r>
      <w:proofErr w:type="gramStart"/>
      <w:r w:rsidRPr="00003C87">
        <w:rPr>
          <w:rFonts w:ascii="Verdana" w:eastAsia="Calibri" w:hAnsi="Verdana" w:cs="Arial"/>
          <w:bCs/>
          <w:color w:val="000000"/>
          <w:lang w:val="es-MX"/>
        </w:rPr>
        <w:t>Delegado</w:t>
      </w:r>
      <w:proofErr w:type="gramEnd"/>
      <w:r w:rsidRPr="00003C87">
        <w:rPr>
          <w:rFonts w:ascii="Verdana" w:eastAsia="Calibri" w:hAnsi="Verdana" w:cs="Arial"/>
          <w:bCs/>
          <w:color w:val="000000"/>
          <w:lang w:val="es-MX"/>
        </w:rPr>
        <w:t xml:space="preserve"> para la Promoción de la Competencia para imponer multas de hasta diecisiete (17) salarios mínimos mensuales legales vigentes por ejercer profesionalmente el comercio sin estar matriculados en el registro</w:t>
      </w:r>
      <w:r w:rsidRPr="00003C87">
        <w:rPr>
          <w:rFonts w:ascii="Verdana" w:eastAsia="Calibri" w:hAnsi="Verdana" w:cs="Arial"/>
          <w:bCs/>
          <w:color w:val="000000"/>
          <w:vertAlign w:val="superscript"/>
        </w:rPr>
        <w:footnoteReference w:id="6"/>
      </w:r>
      <w:r w:rsidRPr="00003C87">
        <w:rPr>
          <w:rFonts w:ascii="Verdana" w:eastAsia="Calibri" w:hAnsi="Verdana" w:cs="Arial"/>
          <w:bCs/>
          <w:color w:val="000000"/>
          <w:lang w:val="es-MX"/>
        </w:rPr>
        <w:t>; disposición que también sería aplicable ante la falta de renovación de este instrumento.</w:t>
      </w:r>
    </w:p>
    <w:bookmarkEnd w:id="3"/>
    <w:p w14:paraId="5BC57A95" w14:textId="2E5A27E4" w:rsidR="00003C87" w:rsidRPr="00003C87" w:rsidRDefault="00003C87" w:rsidP="00003C87">
      <w:pPr>
        <w:shd w:val="clear" w:color="auto" w:fill="FFFFFF"/>
        <w:spacing w:after="120" w:line="276" w:lineRule="auto"/>
        <w:ind w:firstLine="708"/>
        <w:jc w:val="both"/>
        <w:rPr>
          <w:rFonts w:ascii="Verdana" w:eastAsia="Calibri" w:hAnsi="Verdana" w:cs="Arial"/>
          <w:bCs/>
          <w:color w:val="000000"/>
          <w:lang w:val="es-MX"/>
        </w:rPr>
      </w:pPr>
      <w:r w:rsidRPr="00003C87">
        <w:rPr>
          <w:rFonts w:ascii="Verdana" w:eastAsia="Calibri" w:hAnsi="Verdana" w:cs="Arial"/>
          <w:bCs/>
          <w:color w:val="000000"/>
          <w:lang w:val="es-MX"/>
        </w:rPr>
        <w:t xml:space="preserve">Por otro lado, </w:t>
      </w:r>
      <w:bookmarkStart w:id="4" w:name="_Hlk35536183"/>
      <w:r w:rsidRPr="00003C87">
        <w:rPr>
          <w:rFonts w:ascii="Verdana" w:eastAsia="Calibri" w:hAnsi="Verdana" w:cs="Arial"/>
          <w:bCs/>
          <w:color w:val="000000"/>
          <w:lang w:val="es-MX"/>
        </w:rPr>
        <w:t>debe tenerse en cuenta que la capacidad jurídica en la contratación estatal es la facultad legal que tiene una persona –natural o jurídica– para celebrar contratos con una entidad pública, sin perjuicio de que el legislador habilite a otros sujetos, como sucede con los consorcios u uniones temporales, a quienes les asigna capacidad contractual</w:t>
      </w:r>
      <w:r w:rsidRPr="00003C87">
        <w:rPr>
          <w:rFonts w:ascii="Verdana" w:eastAsia="Calibri" w:hAnsi="Verdana" w:cs="Arial"/>
          <w:bCs/>
          <w:color w:val="000000"/>
          <w:vertAlign w:val="superscript"/>
          <w:lang w:val="es-MX"/>
        </w:rPr>
        <w:footnoteReference w:id="7"/>
      </w:r>
      <w:r w:rsidRPr="00003C87">
        <w:rPr>
          <w:rFonts w:ascii="Verdana" w:eastAsia="Calibri" w:hAnsi="Verdana" w:cs="Arial"/>
          <w:bCs/>
          <w:color w:val="000000"/>
          <w:lang w:val="es-MX"/>
        </w:rPr>
        <w:t xml:space="preserve">. En el caso de las </w:t>
      </w:r>
      <w:r w:rsidRPr="00003C87">
        <w:rPr>
          <w:rFonts w:ascii="Verdana" w:eastAsia="Calibri" w:hAnsi="Verdana" w:cs="Arial"/>
          <w:bCs/>
          <w:color w:val="000000"/>
          <w:lang w:val="es-MX"/>
        </w:rPr>
        <w:lastRenderedPageBreak/>
        <w:t xml:space="preserve">personas naturales, son capaces jurídicamente a menos que estén expresamente inhabilitadas por decisión judicial o administrativa, como la interdicción judicial, y que no estén incursas en inhabilidades, incompatibilidades o prohibiciones para contratar derivadas de la ley. En referencia a la capacidad jurídica, la doctrina ha señalado: </w:t>
      </w:r>
    </w:p>
    <w:p w14:paraId="0FB793E8" w14:textId="79DFFCD9" w:rsidR="00003C87" w:rsidRPr="00003C87" w:rsidRDefault="00003C87" w:rsidP="00003C87">
      <w:pPr>
        <w:shd w:val="clear" w:color="auto" w:fill="FFFFFF"/>
        <w:spacing w:after="120" w:line="276" w:lineRule="auto"/>
        <w:ind w:firstLine="708"/>
        <w:jc w:val="both"/>
        <w:rPr>
          <w:rFonts w:ascii="Verdana" w:eastAsia="Calibri" w:hAnsi="Verdana" w:cs="Arial"/>
          <w:bCs/>
          <w:color w:val="000000"/>
          <w:lang w:val="es-MX"/>
        </w:rPr>
      </w:pPr>
      <w:r w:rsidRPr="00003C87">
        <w:rPr>
          <w:rFonts w:ascii="Verdana" w:eastAsia="Calibri" w:hAnsi="Verdana" w:cs="Arial"/>
          <w:bCs/>
          <w:color w:val="000000"/>
          <w:lang w:val="es-MX"/>
        </w:rPr>
        <w:t>La capacidad, de acuerdo con lo establecido por el Código Civil, se refiere a la facultad que legalmente se le confiere a la persona para poder ejercer sus derechos y contraer obligaciones, partiendo del supuesto de que todas las personas naturales son capaces, con excepción de aquellas que la ley expresamente excluye de tal presunción (arts. 1503 y 1504), y de que la capacidad de las personas jurídicas se circunscribe a lo expresado en su objeto social y su forma de creación. Así mismo, en cuanto a las formas especiales de asociación autorizadas por la Ley 80 de 1993, esto es, los consorcios y las uniones temporales, su capacidad igualmente dependerá del alcance dado a las mismas en el acuerdo consorcial o de conformación de la unión temporal</w:t>
      </w:r>
      <w:r w:rsidRPr="00003C87">
        <w:rPr>
          <w:rFonts w:ascii="Verdana" w:eastAsia="Calibri" w:hAnsi="Verdana" w:cs="Arial"/>
          <w:bCs/>
          <w:color w:val="000000"/>
          <w:vertAlign w:val="superscript"/>
          <w:lang w:val="es-MX"/>
        </w:rPr>
        <w:footnoteReference w:id="8"/>
      </w:r>
      <w:r w:rsidRPr="00003C87">
        <w:rPr>
          <w:rFonts w:ascii="Verdana" w:eastAsia="Calibri" w:hAnsi="Verdana" w:cs="Arial"/>
          <w:bCs/>
          <w:color w:val="000000"/>
          <w:lang w:val="es-MX"/>
        </w:rPr>
        <w:t xml:space="preserve">.  </w:t>
      </w:r>
    </w:p>
    <w:p w14:paraId="023E4F03" w14:textId="60AA4226" w:rsidR="00204425" w:rsidRDefault="00003C87" w:rsidP="00003C87">
      <w:pPr>
        <w:shd w:val="clear" w:color="auto" w:fill="FFFFFF"/>
        <w:spacing w:after="120" w:line="276" w:lineRule="auto"/>
        <w:ind w:firstLine="708"/>
        <w:jc w:val="both"/>
        <w:rPr>
          <w:rFonts w:ascii="Verdana" w:eastAsia="Calibri" w:hAnsi="Verdana" w:cs="Arial"/>
          <w:bCs/>
          <w:color w:val="000000"/>
          <w:lang w:val="es-MX"/>
        </w:rPr>
      </w:pPr>
      <w:r w:rsidRPr="00003C87">
        <w:rPr>
          <w:rFonts w:ascii="Verdana" w:eastAsia="Calibri" w:hAnsi="Verdana" w:cs="Arial"/>
          <w:bCs/>
          <w:color w:val="000000"/>
          <w:lang w:val="es-MX"/>
        </w:rPr>
        <w:t xml:space="preserve">De acuerdo con lo anterior, se evidencia que el registro mercantil es un deber legal de los comerciantes, pero no otorga o afecta la capacidad jurídica o contractual, aunque su ausencia, cuando se desarrollan actividades mercantiles de manera habitual y permanente, ocasiona la imposición de multas por el incumplimiento de un deber legal. En este sentido, </w:t>
      </w:r>
      <w:r w:rsidR="00ED150D">
        <w:rPr>
          <w:rFonts w:ascii="Verdana" w:eastAsia="Calibri" w:hAnsi="Verdana" w:cs="Arial"/>
          <w:bCs/>
          <w:color w:val="000000"/>
          <w:lang w:val="es-MX"/>
        </w:rPr>
        <w:t>un oferente</w:t>
      </w:r>
      <w:r w:rsidRPr="00003C87">
        <w:rPr>
          <w:rFonts w:ascii="Verdana" w:eastAsia="Calibri" w:hAnsi="Verdana" w:cs="Arial"/>
          <w:bCs/>
          <w:color w:val="000000"/>
          <w:lang w:val="es-MX"/>
        </w:rPr>
        <w:t xml:space="preserve"> solo deberá estar inscrita en el registro mercantil, en cumplimiento de un deber comercial, cuando realice alguna actividad comercial profesional de manera habitual, y no por el hecho de participar en un proceso de contratación.</w:t>
      </w:r>
      <w:bookmarkEnd w:id="4"/>
      <w:r w:rsidRPr="00003C87">
        <w:rPr>
          <w:rFonts w:ascii="Verdana" w:eastAsia="Calibri" w:hAnsi="Verdana" w:cs="Arial"/>
          <w:bCs/>
          <w:color w:val="000000"/>
          <w:lang w:val="es-MX"/>
        </w:rPr>
        <w:t xml:space="preserve"> </w:t>
      </w:r>
    </w:p>
    <w:p w14:paraId="52842058" w14:textId="77777777" w:rsidR="00003C87" w:rsidRPr="00003C87" w:rsidRDefault="00003C87" w:rsidP="00003C87">
      <w:pPr>
        <w:shd w:val="clear" w:color="auto" w:fill="FFFFFF"/>
        <w:spacing w:after="120" w:line="276" w:lineRule="auto"/>
        <w:ind w:firstLine="708"/>
        <w:jc w:val="both"/>
        <w:rPr>
          <w:rFonts w:ascii="Verdana" w:eastAsia="Calibri" w:hAnsi="Verdana" w:cs="Arial"/>
          <w:bCs/>
          <w:color w:val="000000"/>
          <w:lang w:val="es-MX"/>
        </w:rPr>
      </w:pPr>
    </w:p>
    <w:p w14:paraId="2B69E58E" w14:textId="77777777" w:rsidR="00204425" w:rsidRPr="00542CA3" w:rsidRDefault="00204425" w:rsidP="00204425">
      <w:pPr>
        <w:numPr>
          <w:ilvl w:val="0"/>
          <w:numId w:val="16"/>
        </w:numPr>
        <w:spacing w:after="0" w:line="276" w:lineRule="auto"/>
        <w:rPr>
          <w:rFonts w:ascii="Verdana" w:eastAsia="Calibri" w:hAnsi="Verdana" w:cs="Times New Roman"/>
          <w:b/>
          <w:bCs/>
          <w:lang w:val="es-ES"/>
        </w:rPr>
      </w:pPr>
      <w:r w:rsidRPr="00542CA3">
        <w:rPr>
          <w:rFonts w:ascii="Verdana" w:eastAsia="Calibri" w:hAnsi="Verdana" w:cs="Times New Roman"/>
          <w:b/>
          <w:bCs/>
          <w:lang w:val="es-ES"/>
        </w:rPr>
        <w:t>Referencias normativas</w:t>
      </w:r>
    </w:p>
    <w:p w14:paraId="18984CA9" w14:textId="77777777" w:rsidR="00204425" w:rsidRPr="00542CA3" w:rsidRDefault="00204425" w:rsidP="00204425">
      <w:pPr>
        <w:spacing w:after="0" w:line="276" w:lineRule="auto"/>
        <w:jc w:val="both"/>
        <w:rPr>
          <w:rFonts w:ascii="Verdana" w:eastAsia="Calibri" w:hAnsi="Verdana" w:cs="Arial"/>
          <w:color w:val="000000"/>
          <w:szCs w:val="24"/>
          <w:lang w:eastAsia="es-ES_tradnl"/>
        </w:rPr>
      </w:pPr>
      <w:r w:rsidRPr="00542CA3">
        <w:rPr>
          <w:rFonts w:ascii="Verdana" w:eastAsia="Calibri" w:hAnsi="Verdana" w:cs="Arial"/>
          <w:color w:val="000000"/>
          <w:lang w:eastAsia="es-ES_tradnl"/>
        </w:rPr>
        <w:t xml:space="preserve">   </w:t>
      </w: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04425" w:rsidRPr="00542CA3" w14:paraId="31295F3A" w14:textId="77777777" w:rsidTr="00567D6A">
        <w:trPr>
          <w:trHeight w:val="870"/>
          <w:jc w:val="center"/>
        </w:trPr>
        <w:tc>
          <w:tcPr>
            <w:tcW w:w="8647" w:type="dxa"/>
          </w:tcPr>
          <w:p w14:paraId="1189FFB1" w14:textId="652AC10D" w:rsidR="00204425" w:rsidRPr="000B3E8C" w:rsidRDefault="00003C87" w:rsidP="000B3E8C">
            <w:pPr>
              <w:pStyle w:val="Prrafodelista"/>
              <w:widowControl w:val="0"/>
              <w:numPr>
                <w:ilvl w:val="0"/>
                <w:numId w:val="18"/>
              </w:numPr>
              <w:autoSpaceDE w:val="0"/>
              <w:autoSpaceDN w:val="0"/>
              <w:spacing w:line="276" w:lineRule="auto"/>
              <w:ind w:left="873" w:hanging="426"/>
              <w:contextualSpacing w:val="0"/>
              <w:jc w:val="both"/>
              <w:rPr>
                <w:rFonts w:ascii="Verdana" w:eastAsia="Calibri" w:hAnsi="Verdana" w:cs="Arial"/>
                <w:color w:val="000000" w:themeColor="text1"/>
              </w:rPr>
            </w:pPr>
            <w:r w:rsidRPr="000B3E8C">
              <w:rPr>
                <w:rFonts w:ascii="Verdana" w:eastAsia="Calibri" w:hAnsi="Verdana" w:cs="Arial"/>
                <w:color w:val="000000" w:themeColor="text1"/>
              </w:rPr>
              <w:t>Decreto 2153 de 1992</w:t>
            </w:r>
          </w:p>
          <w:p w14:paraId="214EBA2D" w14:textId="644904B8" w:rsidR="00003C87" w:rsidRDefault="00003C87" w:rsidP="000B3E8C">
            <w:pPr>
              <w:pStyle w:val="Prrafodelista"/>
              <w:widowControl w:val="0"/>
              <w:numPr>
                <w:ilvl w:val="0"/>
                <w:numId w:val="18"/>
              </w:numPr>
              <w:autoSpaceDE w:val="0"/>
              <w:autoSpaceDN w:val="0"/>
              <w:spacing w:line="276" w:lineRule="auto"/>
              <w:ind w:left="873" w:hanging="426"/>
              <w:contextualSpacing w:val="0"/>
              <w:jc w:val="both"/>
              <w:rPr>
                <w:rFonts w:ascii="Verdana" w:eastAsia="Calibri" w:hAnsi="Verdana" w:cs="Arial"/>
                <w:color w:val="000000" w:themeColor="text1"/>
              </w:rPr>
            </w:pPr>
            <w:r w:rsidRPr="000B3E8C">
              <w:rPr>
                <w:rFonts w:ascii="Verdana" w:eastAsia="Calibri" w:hAnsi="Verdana" w:cs="Arial"/>
                <w:color w:val="000000" w:themeColor="text1"/>
              </w:rPr>
              <w:t>Ley 80 de 1993</w:t>
            </w:r>
          </w:p>
          <w:p w14:paraId="7BF7EBBB" w14:textId="39F3DA84" w:rsidR="000B3E8C" w:rsidRPr="000B3E8C" w:rsidRDefault="000B3E8C" w:rsidP="000B3E8C">
            <w:pPr>
              <w:pStyle w:val="Prrafodelista"/>
              <w:widowControl w:val="0"/>
              <w:numPr>
                <w:ilvl w:val="0"/>
                <w:numId w:val="18"/>
              </w:numPr>
              <w:autoSpaceDE w:val="0"/>
              <w:autoSpaceDN w:val="0"/>
              <w:spacing w:line="276" w:lineRule="auto"/>
              <w:ind w:left="873" w:hanging="426"/>
              <w:contextualSpacing w:val="0"/>
              <w:jc w:val="both"/>
              <w:rPr>
                <w:rFonts w:ascii="Verdana" w:eastAsia="Calibri" w:hAnsi="Verdana" w:cs="Arial"/>
                <w:color w:val="000000" w:themeColor="text1"/>
              </w:rPr>
            </w:pPr>
            <w:r w:rsidRPr="000B3E8C">
              <w:rPr>
                <w:rFonts w:ascii="Verdana" w:eastAsia="Calibri" w:hAnsi="Verdana" w:cs="Arial"/>
                <w:color w:val="000000" w:themeColor="text1"/>
                <w:lang w:val="es-CO"/>
              </w:rPr>
              <w:t>Código de Comercio, artículos 19 y 20</w:t>
            </w:r>
          </w:p>
          <w:p w14:paraId="5BE46B63" w14:textId="64F89638" w:rsidR="00003C87" w:rsidRPr="000B3E8C" w:rsidRDefault="00003C87" w:rsidP="000B3E8C">
            <w:pPr>
              <w:pStyle w:val="Prrafodelista"/>
              <w:widowControl w:val="0"/>
              <w:numPr>
                <w:ilvl w:val="0"/>
                <w:numId w:val="18"/>
              </w:numPr>
              <w:autoSpaceDE w:val="0"/>
              <w:autoSpaceDN w:val="0"/>
              <w:spacing w:line="276" w:lineRule="auto"/>
              <w:ind w:left="873" w:hanging="426"/>
              <w:contextualSpacing w:val="0"/>
              <w:jc w:val="both"/>
              <w:rPr>
                <w:rFonts w:ascii="Verdana" w:eastAsia="Calibri" w:hAnsi="Verdana" w:cs="Arial"/>
                <w:color w:val="000000" w:themeColor="text1"/>
              </w:rPr>
            </w:pPr>
            <w:r w:rsidRPr="000B3E8C">
              <w:rPr>
                <w:rFonts w:ascii="Verdana" w:eastAsia="Calibri" w:hAnsi="Verdana" w:cs="Arial"/>
                <w:color w:val="000000" w:themeColor="text1"/>
                <w:lang w:val="pt-PT"/>
              </w:rPr>
              <w:t xml:space="preserve">Corte Constitucional. Sentencia C-621 de 2003. </w:t>
            </w:r>
            <w:r w:rsidRPr="000B3E8C">
              <w:rPr>
                <w:rFonts w:ascii="Verdana" w:eastAsia="Calibri" w:hAnsi="Verdana" w:cs="Arial"/>
                <w:color w:val="000000" w:themeColor="text1"/>
              </w:rPr>
              <w:t>M.P. Marco Gerardo Monroy Cabra.</w:t>
            </w:r>
          </w:p>
          <w:p w14:paraId="7622D3EF" w14:textId="28E8361F" w:rsidR="00204425" w:rsidRPr="006A5470" w:rsidRDefault="000B3E8C" w:rsidP="000B3E8C">
            <w:pPr>
              <w:pStyle w:val="Prrafodelista"/>
              <w:widowControl w:val="0"/>
              <w:numPr>
                <w:ilvl w:val="0"/>
                <w:numId w:val="18"/>
              </w:numPr>
              <w:autoSpaceDE w:val="0"/>
              <w:autoSpaceDN w:val="0"/>
              <w:spacing w:line="276" w:lineRule="auto"/>
              <w:ind w:left="873" w:hanging="426"/>
              <w:contextualSpacing w:val="0"/>
              <w:jc w:val="both"/>
              <w:rPr>
                <w:rFonts w:ascii="Verdana" w:eastAsia="Calibri" w:hAnsi="Verdana"/>
                <w:color w:val="000000"/>
                <w:lang w:eastAsia="es-ES" w:bidi="es-ES"/>
              </w:rPr>
            </w:pPr>
            <w:r w:rsidRPr="000B3E8C">
              <w:rPr>
                <w:rFonts w:ascii="Verdana" w:eastAsia="Calibri" w:hAnsi="Verdana"/>
                <w:color w:val="000000"/>
                <w:lang w:val="es-CO" w:eastAsia="es-ES" w:bidi="es-ES"/>
              </w:rPr>
              <w:t xml:space="preserve">Manual Para Determinar y Verificar los Requisitos Habilitantes en los Procesos de Contratación: </w:t>
            </w:r>
            <w:hyperlink r:id="rId12" w:history="1">
              <w:r w:rsidRPr="000B3E8C">
                <w:rPr>
                  <w:rStyle w:val="Hipervnculo"/>
                  <w:rFonts w:ascii="Verdana" w:eastAsia="Calibri" w:hAnsi="Verdana"/>
                  <w:lang w:val="es-CO" w:eastAsia="es-ES" w:bidi="es-ES"/>
                </w:rPr>
                <w:t>https://www.colombiacompra.gov.co/sites/cce_public/files/cce_documents/cce-eicp-ma-04._manual_requisitos_habilitantes_v3_29-09-2023.pdf</w:t>
              </w:r>
            </w:hyperlink>
          </w:p>
        </w:tc>
      </w:tr>
    </w:tbl>
    <w:p w14:paraId="1B370106" w14:textId="77777777" w:rsidR="00204425" w:rsidRPr="00542CA3" w:rsidRDefault="00204425" w:rsidP="00204425">
      <w:pPr>
        <w:spacing w:after="0" w:line="276" w:lineRule="auto"/>
        <w:ind w:right="709"/>
        <w:jc w:val="both"/>
        <w:rPr>
          <w:rFonts w:ascii="Verdana" w:hAnsi="Verdana" w:cs="Arial"/>
          <w:color w:val="000000" w:themeColor="text1"/>
          <w:lang w:val="es-ES_tradnl"/>
        </w:rPr>
      </w:pPr>
    </w:p>
    <w:p w14:paraId="282F0B90" w14:textId="77777777" w:rsidR="00204425" w:rsidRPr="00542CA3" w:rsidRDefault="00204425" w:rsidP="00204425">
      <w:pPr>
        <w:numPr>
          <w:ilvl w:val="0"/>
          <w:numId w:val="16"/>
        </w:numPr>
        <w:spacing w:after="0" w:line="276" w:lineRule="auto"/>
        <w:rPr>
          <w:rFonts w:ascii="Verdana" w:eastAsia="Calibri" w:hAnsi="Verdana" w:cs="Times New Roman"/>
          <w:b/>
          <w:bCs/>
          <w:lang w:val="es-ES"/>
        </w:rPr>
      </w:pPr>
      <w:r w:rsidRPr="00542CA3">
        <w:rPr>
          <w:rFonts w:ascii="Verdana" w:eastAsia="Calibri" w:hAnsi="Verdana" w:cs="Times New Roman"/>
          <w:b/>
          <w:bCs/>
          <w:lang w:val="es-ES"/>
        </w:rPr>
        <w:t>Doctrina de la Agencia Nacional de Contratación Pública:</w:t>
      </w:r>
    </w:p>
    <w:p w14:paraId="2FDB589F" w14:textId="77777777" w:rsidR="00204425" w:rsidRPr="00542CA3" w:rsidRDefault="00204425" w:rsidP="00204425">
      <w:pPr>
        <w:spacing w:after="0" w:line="276" w:lineRule="auto"/>
        <w:rPr>
          <w:rFonts w:ascii="Verdana" w:eastAsia="Calibri" w:hAnsi="Verdana" w:cs="Times New Roman"/>
          <w:lang w:val="es-ES"/>
        </w:rPr>
      </w:pPr>
    </w:p>
    <w:p w14:paraId="0CE3A647" w14:textId="76B283F0" w:rsidR="00204425" w:rsidRPr="00542CA3" w:rsidRDefault="00204425" w:rsidP="00204425">
      <w:pPr>
        <w:widowControl w:val="0"/>
        <w:autoSpaceDE w:val="0"/>
        <w:autoSpaceDN w:val="0"/>
        <w:spacing w:after="0" w:line="276" w:lineRule="auto"/>
        <w:jc w:val="both"/>
        <w:rPr>
          <w:rFonts w:ascii="Verdana" w:hAnsi="Verdana" w:cs="Arial"/>
          <w:shd w:val="clear" w:color="auto" w:fill="FFFFFF"/>
        </w:rPr>
      </w:pPr>
      <w:r w:rsidRPr="007A40CC">
        <w:rPr>
          <w:rFonts w:ascii="Verdana" w:eastAsia="Calibri" w:hAnsi="Verdana" w:cs="Arial"/>
          <w:color w:val="000000"/>
          <w:lang w:val="es-ES"/>
        </w:rPr>
        <w:t>La Agencia Nacional de Contratación Pública – Colombia Compra Eficiente</w:t>
      </w:r>
      <w:proofErr w:type="gramStart"/>
      <w:r w:rsidRPr="007A40CC">
        <w:rPr>
          <w:rFonts w:ascii="Verdana" w:eastAsia="Calibri" w:hAnsi="Verdana" w:cs="Arial"/>
          <w:color w:val="000000"/>
          <w:lang w:val="es-ES"/>
        </w:rPr>
        <w:t xml:space="preserve">, </w:t>
      </w:r>
      <w:r w:rsidR="000B3E8C" w:rsidRPr="000B3E8C">
        <w:rPr>
          <w:rFonts w:ascii="Verdana" w:eastAsia="Calibri" w:hAnsi="Verdana" w:cs="Arial"/>
          <w:color w:val="000000"/>
          <w:lang w:val="es-MX"/>
        </w:rPr>
        <w:t>,</w:t>
      </w:r>
      <w:proofErr w:type="gramEnd"/>
      <w:r w:rsidR="000B3E8C" w:rsidRPr="000B3E8C">
        <w:rPr>
          <w:rFonts w:ascii="Verdana" w:eastAsia="Calibri" w:hAnsi="Verdana" w:cs="Arial"/>
          <w:color w:val="000000"/>
          <w:lang w:val="es-MX"/>
        </w:rPr>
        <w:t xml:space="preserve"> en el concepto con radicado No. 4201912000004782 del 30 de octubre de 2019, reiterado en los conceptos 4201912000005754 del 4 de octubre de 2019, 4201913000007896 del 25 de noviembre de 2019, 4201913000007962 del 28 de noviembre de 2019, C-054 de 2020 y C-184 de 2020, se pronunció sobre la exigencia del registro mercantil en los procesos de contratación</w:t>
      </w:r>
      <w:proofErr w:type="gramStart"/>
      <w:r>
        <w:rPr>
          <w:rFonts w:ascii="Verdana" w:eastAsia="Aptos" w:hAnsi="Verdana" w:cs="Arial"/>
          <w:shd w:val="clear" w:color="auto" w:fill="FFFFFF"/>
          <w:lang w:val="es-ES"/>
        </w:rPr>
        <w:t>, .</w:t>
      </w:r>
      <w:proofErr w:type="gramEnd"/>
      <w:r>
        <w:rPr>
          <w:rFonts w:ascii="Verdana" w:eastAsia="Aptos" w:hAnsi="Verdana" w:cs="Arial"/>
          <w:shd w:val="clear" w:color="auto" w:fill="FFFFFF"/>
          <w:lang w:val="es-ES"/>
        </w:rPr>
        <w:t xml:space="preserve"> </w:t>
      </w:r>
      <w:r w:rsidRPr="00542CA3">
        <w:rPr>
          <w:rFonts w:ascii="Verdana" w:hAnsi="Verdana" w:cs="Arial"/>
          <w:shd w:val="clear" w:color="auto" w:fill="FFFFFF"/>
        </w:rPr>
        <w:t xml:space="preserve">Estos y otros se encuentran disponibles para consulta en el Sistema de relatoría de la Agencia, al cual puede accederse a través del siguiente enlace: </w:t>
      </w:r>
      <w:hyperlink r:id="rId13" w:history="1">
        <w:r w:rsidRPr="00542CA3">
          <w:rPr>
            <w:rStyle w:val="Hipervnculo"/>
            <w:rFonts w:ascii="Verdana" w:hAnsi="Verdana" w:cs="Arial"/>
            <w:shd w:val="clear" w:color="auto" w:fill="FFFFFF"/>
          </w:rPr>
          <w:t>https://relatoria.colombiacompra.gov.co/busqueda/conceptos</w:t>
        </w:r>
      </w:hyperlink>
      <w:r w:rsidRPr="00542CA3">
        <w:rPr>
          <w:rFonts w:ascii="Verdana" w:hAnsi="Verdana" w:cs="Arial"/>
          <w:shd w:val="clear" w:color="auto" w:fill="FFFFFF"/>
        </w:rPr>
        <w:t xml:space="preserve">. </w:t>
      </w:r>
      <w:r w:rsidRPr="00542CA3">
        <w:rPr>
          <w:rFonts w:ascii="Verdana" w:hAnsi="Verdana" w:cs="Arial"/>
          <w:shd w:val="clear" w:color="auto" w:fill="FFFFFF"/>
          <w:lang w:val="es-ES"/>
        </w:rPr>
        <w:t xml:space="preserve"> </w:t>
      </w:r>
    </w:p>
    <w:p w14:paraId="146EB575" w14:textId="77777777" w:rsidR="00204425" w:rsidRPr="00542CA3" w:rsidRDefault="00204425" w:rsidP="00204425">
      <w:pPr>
        <w:widowControl w:val="0"/>
        <w:autoSpaceDE w:val="0"/>
        <w:autoSpaceDN w:val="0"/>
        <w:spacing w:after="0" w:line="276" w:lineRule="auto"/>
        <w:jc w:val="both"/>
        <w:rPr>
          <w:rFonts w:ascii="Verdana" w:hAnsi="Verdana" w:cs="Arial"/>
          <w:shd w:val="clear" w:color="auto" w:fill="FFFFFF"/>
          <w:lang w:val="es-ES"/>
        </w:rPr>
      </w:pPr>
    </w:p>
    <w:p w14:paraId="7633FDCD" w14:textId="77777777" w:rsidR="00204425" w:rsidRPr="00542CA3" w:rsidRDefault="00204425" w:rsidP="00204425">
      <w:pPr>
        <w:spacing w:after="0" w:line="276" w:lineRule="auto"/>
        <w:jc w:val="both"/>
        <w:rPr>
          <w:rFonts w:ascii="Verdana" w:eastAsia="Calibri" w:hAnsi="Verdana" w:cs="Times New Roman"/>
        </w:rPr>
      </w:pPr>
      <w:r w:rsidRPr="00542CA3">
        <w:rPr>
          <w:rFonts w:ascii="Verdana" w:eastAsia="Calibri" w:hAnsi="Verdana" w:cs="Times New Roman"/>
        </w:rPr>
        <w:t>Te informamos que ya se encuentra disponible la </w:t>
      </w:r>
      <w:r w:rsidRPr="00542CA3">
        <w:rPr>
          <w:rFonts w:ascii="Verdana" w:eastAsia="Calibri" w:hAnsi="Verdana" w:cs="Times New Roman"/>
          <w:b/>
          <w:bCs/>
        </w:rPr>
        <w:t>Cartilla para incentivar y fortalecer el acceso a las compras y contratación pública de los pueblos y comunidades étnicas en Colombia.</w:t>
      </w:r>
      <w:r w:rsidRPr="00542CA3">
        <w:rPr>
          <w:rFonts w:ascii="Verdana" w:eastAsia="Calibri" w:hAnsi="Verdana" w:cs="Times New Roman"/>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4" w:tgtFrame="_blank" w:tooltip="Dirección URL original: https://www.colombiacompra.gov.co/manuales-guias-y-pliegos-tipo/manuales-y-guias/cartilla-para-incentivar-y-fortalecer-el-acceso-las. Haga clic o pulse si confía en este vínculo." w:history="1">
        <w:r w:rsidRPr="00542CA3">
          <w:rPr>
            <w:rFonts w:ascii="Verdana" w:eastAsia="Calibri" w:hAnsi="Verdana" w:cs="Times New Roman"/>
            <w:color w:val="0000FF"/>
            <w:u w:val="single"/>
          </w:rPr>
          <w:t>Cartilla para incentivar y fortalecer el acceso a las compras y contratación pública de los pueblos y comunidades étnicas en Colombia | Colombia Compra Eficiente | Agencia Nacional de Contratación Pública</w:t>
        </w:r>
      </w:hyperlink>
    </w:p>
    <w:p w14:paraId="439C996F" w14:textId="77777777" w:rsidR="00204425" w:rsidRPr="00542CA3" w:rsidRDefault="00204425" w:rsidP="00204425">
      <w:pPr>
        <w:spacing w:after="0" w:line="276" w:lineRule="auto"/>
        <w:jc w:val="both"/>
        <w:rPr>
          <w:rFonts w:ascii="Verdana" w:eastAsia="Calibri" w:hAnsi="Verdana" w:cs="Times New Roman"/>
        </w:rPr>
      </w:pPr>
    </w:p>
    <w:p w14:paraId="69B709D1" w14:textId="77777777" w:rsidR="00204425" w:rsidRDefault="00204425" w:rsidP="00204425">
      <w:pPr>
        <w:spacing w:after="0" w:line="276" w:lineRule="auto"/>
        <w:jc w:val="both"/>
        <w:rPr>
          <w:rFonts w:ascii="Verdana" w:eastAsia="Calibri" w:hAnsi="Verdana" w:cs="Times New Roman"/>
        </w:rPr>
      </w:pPr>
      <w:r>
        <w:rPr>
          <w:rFonts w:ascii="Verdana" w:eastAsia="Calibri" w:hAnsi="Verdana" w:cs="Times New Roman"/>
        </w:rPr>
        <w:t>De igual forma, l</w:t>
      </w:r>
      <w:r w:rsidRPr="007A40CC">
        <w:rPr>
          <w:rFonts w:ascii="Verdana" w:eastAsia="Calibri" w:hAnsi="Verdana" w:cs="Times New Roman"/>
        </w:rPr>
        <w:t>e informamos que ya se encuentran disponibles los borradores de las nuevas versiones de documentos tipo del sector infraestructura social (Subsectores: institucional, vivienda, salud, educación, cultura y deporte) en las modalidades de licitación pública, selección abreviada de menor cuantía y mínima cuantía para comentarios. Dichos documentos estarán publicados hasta el próximo 16 de mayo de 2025.  Puede consultar la información en el siguiente enlace:</w:t>
      </w:r>
      <w:r w:rsidRPr="007A40CC">
        <w:rPr>
          <w:rFonts w:ascii="Verdana" w:eastAsia="Calibri" w:hAnsi="Verdana" w:cs="Times New Roman"/>
          <w:b/>
          <w:bCs/>
        </w:rPr>
        <w:t> </w:t>
      </w:r>
      <w:hyperlink r:id="rId15" w:tgtFrame="_blank" w:tooltip="Dirección URL original: https://www.colombiacompra.gov.co/normativa-y-relatoria/documentos-tipo. Haga clic o pulse si confía en este vínculo." w:history="1">
        <w:r w:rsidRPr="007A40CC">
          <w:rPr>
            <w:rStyle w:val="Hipervnculo"/>
            <w:rFonts w:ascii="Verdana" w:eastAsia="Calibri" w:hAnsi="Verdana" w:cs="Times New Roman"/>
            <w:b/>
            <w:bCs/>
          </w:rPr>
          <w:t>Documentos Tipo – ANCP Colombia Compra Eficiente</w:t>
        </w:r>
      </w:hyperlink>
      <w:r w:rsidRPr="007A40CC">
        <w:rPr>
          <w:rFonts w:ascii="Verdana" w:eastAsia="Calibri" w:hAnsi="Verdana" w:cs="Times New Roman"/>
          <w:u w:val="single"/>
        </w:rPr>
        <w:t> </w:t>
      </w:r>
      <w:r w:rsidRPr="007A40CC">
        <w:rPr>
          <w:rFonts w:ascii="Verdana" w:eastAsia="Calibri" w:hAnsi="Verdana" w:cs="Times New Roman"/>
        </w:rPr>
        <w:t>".</w:t>
      </w:r>
    </w:p>
    <w:p w14:paraId="2E00969B" w14:textId="77777777" w:rsidR="00204425" w:rsidRPr="00542CA3" w:rsidRDefault="00204425" w:rsidP="00204425">
      <w:pPr>
        <w:spacing w:after="0" w:line="276" w:lineRule="auto"/>
        <w:jc w:val="both"/>
        <w:rPr>
          <w:rFonts w:ascii="Verdana" w:eastAsia="Calibri" w:hAnsi="Verdana" w:cs="Times New Roman"/>
        </w:rPr>
      </w:pPr>
    </w:p>
    <w:p w14:paraId="679E7F90" w14:textId="77777777" w:rsidR="00204425" w:rsidRPr="00542CA3" w:rsidRDefault="00204425" w:rsidP="00204425">
      <w:pPr>
        <w:spacing w:after="0" w:line="276" w:lineRule="auto"/>
        <w:jc w:val="both"/>
        <w:rPr>
          <w:rFonts w:ascii="Verdana" w:eastAsia="Calibri" w:hAnsi="Verdana" w:cs="Times New Roman"/>
        </w:rPr>
      </w:pPr>
      <w:r w:rsidRPr="00542CA3">
        <w:rPr>
          <w:rFonts w:ascii="Verdana" w:eastAsia="Calibri" w:hAnsi="Verdana" w:cs="Times New Roman"/>
        </w:rPr>
        <w:t>También, te contamos que ya publicamos </w:t>
      </w:r>
      <w:r w:rsidRPr="00542CA3">
        <w:rPr>
          <w:rFonts w:ascii="Verdana" w:eastAsia="Calibri" w:hAnsi="Verdana" w:cs="Times New Roman"/>
          <w:b/>
          <w:bCs/>
        </w:rPr>
        <w:t>la nueva Guía de Contratación Pública Sostenible y Socialmente Responsable</w:t>
      </w:r>
      <w:r w:rsidRPr="00542CA3">
        <w:rPr>
          <w:rFonts w:ascii="Verdana" w:eastAsia="Calibri" w:hAnsi="Verdana" w:cs="Times New Roman"/>
        </w:rPr>
        <w:t xml:space="preserve">. Esta guía es un instrumento </w:t>
      </w:r>
      <w:r w:rsidRPr="00542CA3">
        <w:rPr>
          <w:rFonts w:ascii="Verdana" w:eastAsia="Calibri" w:hAnsi="Verdana" w:cs="Times New Roman"/>
        </w:rPr>
        <w:lastRenderedPageBreak/>
        <w:t>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6" w:tgtFrame="_blank" w:tooltip="Dirección URL original: https://www.colombiacompra.gov.co/manuales-guias-y-pliegos-tipo/manuales-y-guias/guia-de-contratacion-publica-sostenible-y-socialmente. Haga clic o pulse si confía en este vínculo." w:history="1">
        <w:r w:rsidRPr="00542CA3">
          <w:rPr>
            <w:rFonts w:ascii="Verdana" w:eastAsia="Calibri" w:hAnsi="Verdana" w:cs="Times New Roman"/>
            <w:color w:val="0000FF"/>
            <w:u w:val="single"/>
          </w:rPr>
          <w:t>Guía de Contratación Pública Sostenible y Socialmente Responsable | Colombia Compra Eficiente | Agencia Nacional de Contratación Pública</w:t>
        </w:r>
      </w:hyperlink>
    </w:p>
    <w:p w14:paraId="4690AD8D" w14:textId="77777777" w:rsidR="00204425" w:rsidRPr="00542CA3" w:rsidRDefault="00204425" w:rsidP="00204425">
      <w:pPr>
        <w:spacing w:after="0" w:line="276" w:lineRule="auto"/>
        <w:jc w:val="both"/>
        <w:rPr>
          <w:rFonts w:ascii="Verdana" w:eastAsia="Calibri" w:hAnsi="Verdana" w:cs="Times New Roman"/>
        </w:rPr>
      </w:pPr>
    </w:p>
    <w:p w14:paraId="375EC5D3" w14:textId="77777777" w:rsidR="00204425" w:rsidRPr="00542CA3" w:rsidRDefault="00204425" w:rsidP="00204425">
      <w:pPr>
        <w:spacing w:after="0" w:line="276" w:lineRule="auto"/>
        <w:jc w:val="both"/>
        <w:rPr>
          <w:rFonts w:ascii="Verdana" w:hAnsi="Verdana"/>
        </w:rPr>
      </w:pPr>
      <w:r w:rsidRPr="00542CA3">
        <w:rPr>
          <w:rFonts w:ascii="Verdana" w:hAnsi="Verdana"/>
        </w:rPr>
        <w:t xml:space="preserve">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49D8140E" w14:textId="77777777" w:rsidR="00204425" w:rsidRPr="00542CA3" w:rsidRDefault="00204425" w:rsidP="00204425">
      <w:pPr>
        <w:spacing w:after="0" w:line="276" w:lineRule="auto"/>
        <w:jc w:val="both"/>
        <w:rPr>
          <w:rFonts w:ascii="Verdana" w:hAnsi="Verdana"/>
        </w:rPr>
      </w:pPr>
    </w:p>
    <w:p w14:paraId="01864637" w14:textId="77777777" w:rsidR="00204425" w:rsidRPr="00542CA3" w:rsidRDefault="00204425" w:rsidP="00204425">
      <w:pPr>
        <w:pStyle w:val="Prrafodelista"/>
        <w:numPr>
          <w:ilvl w:val="0"/>
          <w:numId w:val="15"/>
        </w:numPr>
        <w:spacing w:after="0" w:line="276" w:lineRule="auto"/>
        <w:contextualSpacing w:val="0"/>
        <w:jc w:val="both"/>
        <w:rPr>
          <w:rFonts w:ascii="Verdana" w:hAnsi="Verdana"/>
        </w:rPr>
      </w:pPr>
      <w:r w:rsidRPr="00542CA3">
        <w:rPr>
          <w:rFonts w:ascii="Verdana" w:hAnsi="Verdana"/>
        </w:rPr>
        <w:t>Línea nacional gratuita o servicio a la ciudadanía: 01800 0520808</w:t>
      </w:r>
    </w:p>
    <w:p w14:paraId="17405964" w14:textId="77777777" w:rsidR="00204425" w:rsidRPr="00542CA3" w:rsidRDefault="00204425" w:rsidP="00204425">
      <w:pPr>
        <w:pStyle w:val="Prrafodelista"/>
        <w:numPr>
          <w:ilvl w:val="0"/>
          <w:numId w:val="15"/>
        </w:numPr>
        <w:spacing w:after="0" w:line="276" w:lineRule="auto"/>
        <w:contextualSpacing w:val="0"/>
        <w:jc w:val="both"/>
        <w:rPr>
          <w:rFonts w:ascii="Verdana" w:hAnsi="Verdana"/>
        </w:rPr>
      </w:pPr>
      <w:r w:rsidRPr="00542CA3">
        <w:rPr>
          <w:rFonts w:ascii="Verdana" w:hAnsi="Verdana"/>
        </w:rPr>
        <w:t>Línea en Bogotá (Mesa de servicio): +57 601 7456788</w:t>
      </w:r>
    </w:p>
    <w:p w14:paraId="1AB207A8" w14:textId="77777777" w:rsidR="00204425" w:rsidRPr="00542CA3" w:rsidRDefault="00204425" w:rsidP="00204425">
      <w:pPr>
        <w:pStyle w:val="Prrafodelista"/>
        <w:numPr>
          <w:ilvl w:val="0"/>
          <w:numId w:val="15"/>
        </w:numPr>
        <w:spacing w:after="0" w:line="276" w:lineRule="auto"/>
        <w:contextualSpacing w:val="0"/>
        <w:jc w:val="both"/>
        <w:rPr>
          <w:rFonts w:ascii="Verdana" w:hAnsi="Verdana"/>
        </w:rPr>
      </w:pPr>
      <w:r w:rsidRPr="00542CA3">
        <w:rPr>
          <w:rFonts w:ascii="Verdana" w:hAnsi="Verdana"/>
        </w:rPr>
        <w:t>Línea de servicio y atención al ciudadano: +57 601 7956600</w:t>
      </w:r>
    </w:p>
    <w:p w14:paraId="3ADC6B18" w14:textId="77777777" w:rsidR="00204425" w:rsidRPr="00542CA3" w:rsidRDefault="00204425" w:rsidP="00204425">
      <w:pPr>
        <w:pStyle w:val="Prrafodelista"/>
        <w:numPr>
          <w:ilvl w:val="0"/>
          <w:numId w:val="15"/>
        </w:numPr>
        <w:spacing w:after="0" w:line="276" w:lineRule="auto"/>
        <w:contextualSpacing w:val="0"/>
        <w:jc w:val="both"/>
        <w:rPr>
          <w:rFonts w:ascii="Verdana" w:hAnsi="Verdana"/>
        </w:rPr>
      </w:pPr>
      <w:r w:rsidRPr="00542CA3">
        <w:rPr>
          <w:rFonts w:ascii="Verdana" w:hAnsi="Verdana"/>
        </w:rPr>
        <w:t xml:space="preserve">Página web: </w:t>
      </w:r>
      <w:hyperlink r:id="rId17" w:history="1">
        <w:r w:rsidRPr="00542CA3">
          <w:rPr>
            <w:rStyle w:val="Hipervnculo"/>
            <w:rFonts w:ascii="Verdana" w:hAnsi="Verdana"/>
          </w:rPr>
          <w:t>www.colombiacompra.gov.co</w:t>
        </w:r>
      </w:hyperlink>
    </w:p>
    <w:p w14:paraId="35055C9C" w14:textId="77777777" w:rsidR="00204425" w:rsidRPr="00542CA3" w:rsidRDefault="00204425" w:rsidP="00204425">
      <w:pPr>
        <w:pStyle w:val="Prrafodelista"/>
        <w:spacing w:after="0" w:line="276" w:lineRule="auto"/>
        <w:ind w:left="785"/>
        <w:contextualSpacing w:val="0"/>
        <w:jc w:val="both"/>
        <w:rPr>
          <w:rFonts w:ascii="Verdana" w:hAnsi="Verdana"/>
        </w:rPr>
      </w:pPr>
    </w:p>
    <w:p w14:paraId="29BEA996" w14:textId="77777777" w:rsidR="00204425" w:rsidRPr="00542CA3" w:rsidRDefault="00204425" w:rsidP="00204425">
      <w:pPr>
        <w:spacing w:after="0" w:line="276" w:lineRule="auto"/>
        <w:jc w:val="both"/>
        <w:rPr>
          <w:rFonts w:ascii="Verdana" w:hAnsi="Verdana"/>
        </w:rPr>
      </w:pPr>
      <w:r w:rsidRPr="00542CA3">
        <w:rPr>
          <w:rFonts w:ascii="Verdana" w:hAnsi="Verdana"/>
        </w:rPr>
        <w:t xml:space="preserve">Por último, lo invitamos a seguirnos en las redes sociales en las cuales se difunde información institucional: </w:t>
      </w:r>
    </w:p>
    <w:p w14:paraId="127C9BF6" w14:textId="77777777" w:rsidR="00204425" w:rsidRPr="00542CA3" w:rsidRDefault="00204425" w:rsidP="00204425">
      <w:pPr>
        <w:spacing w:after="0" w:line="276" w:lineRule="auto"/>
        <w:jc w:val="both"/>
        <w:rPr>
          <w:rFonts w:ascii="Verdana" w:hAnsi="Verdana"/>
        </w:rPr>
      </w:pPr>
    </w:p>
    <w:p w14:paraId="5177F63F" w14:textId="77777777" w:rsidR="00204425" w:rsidRPr="00542CA3" w:rsidRDefault="00204425" w:rsidP="00204425">
      <w:pPr>
        <w:spacing w:after="0" w:line="276" w:lineRule="auto"/>
        <w:jc w:val="both"/>
        <w:rPr>
          <w:rFonts w:ascii="Verdana" w:hAnsi="Verdana"/>
        </w:rPr>
      </w:pPr>
      <w:r w:rsidRPr="00542CA3">
        <w:rPr>
          <w:rFonts w:ascii="Verdana" w:hAnsi="Verdana"/>
        </w:rPr>
        <w:t xml:space="preserve">Twitter: </w:t>
      </w:r>
      <w:r w:rsidRPr="00542CA3">
        <w:rPr>
          <w:rStyle w:val="Hipervnculo"/>
          <w:rFonts w:ascii="Verdana" w:hAnsi="Verdana"/>
        </w:rPr>
        <w:t>@colombiacompra</w:t>
      </w:r>
      <w:r w:rsidRPr="00542CA3">
        <w:rPr>
          <w:rFonts w:ascii="Verdana" w:hAnsi="Verdana"/>
        </w:rPr>
        <w:t xml:space="preserve"> </w:t>
      </w:r>
    </w:p>
    <w:p w14:paraId="022EAC7A" w14:textId="77777777" w:rsidR="00204425" w:rsidRPr="00542CA3" w:rsidRDefault="00204425" w:rsidP="00204425">
      <w:pPr>
        <w:spacing w:after="0" w:line="276" w:lineRule="auto"/>
        <w:jc w:val="both"/>
        <w:rPr>
          <w:rFonts w:ascii="Verdana" w:hAnsi="Verdana"/>
        </w:rPr>
      </w:pPr>
      <w:r w:rsidRPr="00542CA3">
        <w:rPr>
          <w:rFonts w:ascii="Verdana" w:hAnsi="Verdana"/>
        </w:rPr>
        <w:t xml:space="preserve">Facebook: </w:t>
      </w:r>
      <w:proofErr w:type="spellStart"/>
      <w:r w:rsidRPr="00542CA3">
        <w:rPr>
          <w:rStyle w:val="Hipervnculo"/>
          <w:rFonts w:ascii="Verdana" w:hAnsi="Verdana"/>
        </w:rPr>
        <w:t>ColombiaCompraEficiente</w:t>
      </w:r>
      <w:proofErr w:type="spellEnd"/>
    </w:p>
    <w:p w14:paraId="539B72C6" w14:textId="77777777" w:rsidR="00204425" w:rsidRPr="00542CA3" w:rsidRDefault="00204425" w:rsidP="00204425">
      <w:pPr>
        <w:spacing w:after="0" w:line="276" w:lineRule="auto"/>
        <w:jc w:val="both"/>
        <w:rPr>
          <w:rFonts w:ascii="Verdana" w:hAnsi="Verdana"/>
        </w:rPr>
      </w:pPr>
      <w:r w:rsidRPr="00542CA3">
        <w:rPr>
          <w:rFonts w:ascii="Verdana" w:hAnsi="Verdana"/>
        </w:rPr>
        <w:t xml:space="preserve">LinkedIn: </w:t>
      </w:r>
      <w:r w:rsidRPr="00542CA3">
        <w:rPr>
          <w:rStyle w:val="Hipervnculo"/>
          <w:rFonts w:ascii="Verdana" w:hAnsi="Verdana"/>
        </w:rPr>
        <w:t>Agencia Nacional de Contratación Pública - Colombia Compra Eficiente</w:t>
      </w:r>
      <w:r w:rsidRPr="00542CA3">
        <w:rPr>
          <w:rFonts w:ascii="Verdana" w:hAnsi="Verdana"/>
        </w:rPr>
        <w:t xml:space="preserve"> Instagram: </w:t>
      </w:r>
      <w:r w:rsidRPr="00542CA3">
        <w:rPr>
          <w:rStyle w:val="Hipervnculo"/>
          <w:rFonts w:ascii="Verdana" w:hAnsi="Verdana"/>
        </w:rPr>
        <w:t>@colombiacompraeficiente_cce</w:t>
      </w:r>
    </w:p>
    <w:p w14:paraId="0D8F0774" w14:textId="77777777" w:rsidR="00204425" w:rsidRPr="00542CA3" w:rsidRDefault="00204425" w:rsidP="00204425">
      <w:pPr>
        <w:spacing w:after="0" w:line="276" w:lineRule="auto"/>
        <w:jc w:val="both"/>
        <w:rPr>
          <w:rFonts w:ascii="Verdana" w:hAnsi="Verdana"/>
        </w:rPr>
      </w:pPr>
    </w:p>
    <w:p w14:paraId="431D9860" w14:textId="77777777" w:rsidR="00204425" w:rsidRPr="00542CA3" w:rsidRDefault="00204425" w:rsidP="00204425">
      <w:pPr>
        <w:spacing w:after="0" w:line="276" w:lineRule="auto"/>
        <w:jc w:val="both"/>
        <w:rPr>
          <w:rFonts w:ascii="Verdana" w:eastAsia="Calibri" w:hAnsi="Verdana" w:cs="Times New Roman"/>
          <w:bCs/>
          <w:lang w:val="es-ES_tradnl"/>
        </w:rPr>
      </w:pPr>
      <w:r w:rsidRPr="00542CA3">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616B6D4B" w14:textId="77777777" w:rsidR="00204425" w:rsidRPr="00542CA3" w:rsidRDefault="00204425" w:rsidP="00204425">
      <w:pPr>
        <w:spacing w:after="0" w:line="276" w:lineRule="auto"/>
        <w:jc w:val="both"/>
        <w:rPr>
          <w:rFonts w:ascii="Verdana" w:hAnsi="Verdana"/>
        </w:rPr>
      </w:pPr>
    </w:p>
    <w:p w14:paraId="714CCEF4" w14:textId="77777777" w:rsidR="00204425" w:rsidRDefault="00204425" w:rsidP="00204425">
      <w:pPr>
        <w:spacing w:after="0" w:line="276" w:lineRule="auto"/>
        <w:jc w:val="both"/>
        <w:rPr>
          <w:rFonts w:ascii="Verdana" w:hAnsi="Verdana"/>
          <w:lang w:val="es-MX"/>
        </w:rPr>
      </w:pPr>
      <w:r w:rsidRPr="00542CA3">
        <w:rPr>
          <w:rFonts w:ascii="Verdana" w:hAnsi="Verdana"/>
          <w:lang w:val="es-MX"/>
        </w:rPr>
        <w:t>Cordialmente,</w:t>
      </w:r>
    </w:p>
    <w:p w14:paraId="2AAC5862" w14:textId="77777777" w:rsidR="00204425" w:rsidRDefault="00204425" w:rsidP="00204425">
      <w:pPr>
        <w:spacing w:after="0" w:line="276" w:lineRule="auto"/>
        <w:jc w:val="both"/>
        <w:rPr>
          <w:rFonts w:ascii="Verdana" w:hAnsi="Verdana"/>
          <w:lang w:val="es-MX"/>
        </w:rPr>
      </w:pPr>
    </w:p>
    <w:p w14:paraId="30C77740" w14:textId="2D26AB69" w:rsidR="00204425" w:rsidRPr="009101E9" w:rsidRDefault="00FE0FB7" w:rsidP="00204425">
      <w:pPr>
        <w:spacing w:after="0" w:line="276" w:lineRule="auto"/>
        <w:jc w:val="center"/>
        <w:rPr>
          <w:rFonts w:ascii="Verdana" w:hAnsi="Verdana"/>
          <w:lang w:val="es-MX"/>
        </w:rPr>
      </w:pPr>
      <w:r w:rsidRPr="002C3AD6">
        <w:rPr>
          <w:rFonts w:ascii="Century Gothic" w:hAnsi="Century Gothic"/>
          <w:noProof/>
        </w:rPr>
        <w:lastRenderedPageBreak/>
        <w:drawing>
          <wp:inline distT="0" distB="0" distL="0" distR="0" wp14:anchorId="3F8AA83F" wp14:editId="45654F34">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8"/>
                    <a:stretch>
                      <a:fillRect/>
                    </a:stretch>
                  </pic:blipFill>
                  <pic:spPr>
                    <a:xfrm>
                      <a:off x="0" y="0"/>
                      <a:ext cx="3772426" cy="1400370"/>
                    </a:xfrm>
                    <a:prstGeom prst="rect">
                      <a:avLst/>
                    </a:prstGeom>
                  </pic:spPr>
                </pic:pic>
              </a:graphicData>
            </a:graphic>
          </wp:inline>
        </w:drawing>
      </w:r>
    </w:p>
    <w:p w14:paraId="6F36AF4F" w14:textId="77777777" w:rsidR="00204425" w:rsidRDefault="00204425" w:rsidP="00204425">
      <w:pPr>
        <w:spacing w:after="0" w:line="276" w:lineRule="auto"/>
        <w:jc w:val="center"/>
        <w:rPr>
          <w:rFonts w:ascii="Century Gothic" w:hAnsi="Century Gothic"/>
          <w:noProof/>
          <w:lang w:val="en-US"/>
        </w:rPr>
      </w:pPr>
    </w:p>
    <w:p w14:paraId="1FF05A78" w14:textId="77777777" w:rsidR="00204425" w:rsidRPr="002A3B6F" w:rsidRDefault="00204425" w:rsidP="00204425">
      <w:pPr>
        <w:spacing w:after="0" w:line="276" w:lineRule="auto"/>
        <w:jc w:val="center"/>
        <w:rPr>
          <w:rFonts w:ascii="Century Gothic" w:hAnsi="Century Gothic"/>
          <w:noProof/>
          <w:lang w:val="en-U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204425" w:rsidRPr="00A12CB6" w14:paraId="7475B779" w14:textId="77777777" w:rsidTr="00567D6A">
        <w:trPr>
          <w:trHeight w:val="409"/>
        </w:trPr>
        <w:tc>
          <w:tcPr>
            <w:tcW w:w="817" w:type="dxa"/>
            <w:tcBorders>
              <w:top w:val="nil"/>
              <w:left w:val="nil"/>
              <w:bottom w:val="nil"/>
              <w:right w:val="nil"/>
            </w:tcBorders>
            <w:vAlign w:val="center"/>
            <w:hideMark/>
          </w:tcPr>
          <w:p w14:paraId="62CB6F4E" w14:textId="77777777" w:rsidR="00204425" w:rsidRPr="00A12CB6" w:rsidRDefault="00204425" w:rsidP="00567D6A">
            <w:pPr>
              <w:spacing w:after="0" w:line="256" w:lineRule="auto"/>
              <w:rPr>
                <w:rFonts w:ascii="Verdana" w:eastAsia="Calibri" w:hAnsi="Verdana" w:cs="Times New Roman"/>
                <w:sz w:val="16"/>
                <w:szCs w:val="16"/>
              </w:rPr>
            </w:pPr>
            <w:r w:rsidRPr="00A12CB6">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3179E8A4" w14:textId="77777777" w:rsidR="00204425" w:rsidRPr="00A12CB6" w:rsidRDefault="00204425" w:rsidP="00567D6A">
            <w:pPr>
              <w:spacing w:after="0" w:line="256" w:lineRule="auto"/>
              <w:rPr>
                <w:rFonts w:ascii="Verdana" w:eastAsia="Calibri" w:hAnsi="Verdana" w:cs="Times New Roman"/>
                <w:sz w:val="16"/>
                <w:szCs w:val="16"/>
              </w:rPr>
            </w:pPr>
            <w:r>
              <w:rPr>
                <w:rFonts w:ascii="Verdana" w:eastAsia="Calibri" w:hAnsi="Verdana" w:cs="Times New Roman"/>
                <w:sz w:val="16"/>
                <w:szCs w:val="16"/>
              </w:rPr>
              <w:t>Richard Andrés Montenegro Siefken</w:t>
            </w:r>
          </w:p>
          <w:p w14:paraId="2CDEA53C" w14:textId="77777777" w:rsidR="00204425" w:rsidRPr="00A12CB6" w:rsidRDefault="00204425" w:rsidP="00567D6A">
            <w:pPr>
              <w:spacing w:after="0" w:line="256" w:lineRule="auto"/>
              <w:rPr>
                <w:rFonts w:ascii="Verdana" w:eastAsia="Calibri" w:hAnsi="Verdana" w:cs="Times New Roman"/>
                <w:sz w:val="16"/>
                <w:szCs w:val="16"/>
              </w:rPr>
            </w:pPr>
            <w:r w:rsidRPr="00A12CB6">
              <w:rPr>
                <w:rFonts w:ascii="Verdana" w:eastAsia="Calibri" w:hAnsi="Verdana" w:cs="Times New Roman"/>
                <w:sz w:val="16"/>
                <w:szCs w:val="16"/>
              </w:rPr>
              <w:t>Contratista de la Subdirección de Gestión Contractual</w:t>
            </w:r>
          </w:p>
        </w:tc>
      </w:tr>
      <w:tr w:rsidR="00204425" w:rsidRPr="00A12CB6" w14:paraId="467C732A" w14:textId="77777777" w:rsidTr="00567D6A">
        <w:trPr>
          <w:trHeight w:val="409"/>
        </w:trPr>
        <w:tc>
          <w:tcPr>
            <w:tcW w:w="817" w:type="dxa"/>
            <w:tcBorders>
              <w:top w:val="nil"/>
              <w:left w:val="nil"/>
              <w:bottom w:val="nil"/>
              <w:right w:val="nil"/>
            </w:tcBorders>
            <w:vAlign w:val="center"/>
            <w:hideMark/>
          </w:tcPr>
          <w:p w14:paraId="630CA480" w14:textId="77777777" w:rsidR="00204425" w:rsidRPr="00A12CB6" w:rsidRDefault="00204425" w:rsidP="00567D6A">
            <w:pPr>
              <w:spacing w:after="0" w:line="256" w:lineRule="auto"/>
              <w:rPr>
                <w:rFonts w:ascii="Verdana" w:eastAsia="Calibri" w:hAnsi="Verdana" w:cs="Times New Roman"/>
                <w:sz w:val="16"/>
                <w:szCs w:val="16"/>
              </w:rPr>
            </w:pPr>
            <w:r w:rsidRPr="00A12CB6">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770FB2F7" w14:textId="6BDC44F2" w:rsidR="00204425" w:rsidRPr="00A12CB6" w:rsidRDefault="000B3E8C" w:rsidP="00567D6A">
            <w:pPr>
              <w:spacing w:after="0" w:line="256" w:lineRule="auto"/>
              <w:rPr>
                <w:rFonts w:ascii="Verdana" w:eastAsia="Calibri" w:hAnsi="Verdana" w:cs="Times New Roman"/>
                <w:sz w:val="16"/>
                <w:szCs w:val="16"/>
              </w:rPr>
            </w:pPr>
            <w:r>
              <w:rPr>
                <w:rFonts w:ascii="Verdana" w:eastAsia="Calibri" w:hAnsi="Verdana" w:cs="Times New Roman"/>
                <w:sz w:val="16"/>
                <w:szCs w:val="16"/>
              </w:rPr>
              <w:t>Juan David Cárdenas Cabezas</w:t>
            </w:r>
          </w:p>
          <w:p w14:paraId="3051A039" w14:textId="77777777" w:rsidR="00204425" w:rsidRPr="00A12CB6" w:rsidRDefault="00204425" w:rsidP="00567D6A">
            <w:pPr>
              <w:spacing w:after="0" w:line="256" w:lineRule="auto"/>
              <w:rPr>
                <w:rFonts w:ascii="Verdana" w:eastAsia="Calibri" w:hAnsi="Verdana" w:cs="Times New Roman"/>
                <w:sz w:val="16"/>
                <w:szCs w:val="16"/>
              </w:rPr>
            </w:pPr>
            <w:r>
              <w:rPr>
                <w:rFonts w:ascii="Verdana" w:eastAsia="Calibri" w:hAnsi="Verdana" w:cs="Times New Roman"/>
                <w:sz w:val="16"/>
                <w:szCs w:val="16"/>
              </w:rPr>
              <w:t xml:space="preserve">Contratista </w:t>
            </w:r>
            <w:r w:rsidRPr="00A12CB6">
              <w:rPr>
                <w:rFonts w:ascii="Verdana" w:eastAsia="Calibri" w:hAnsi="Verdana" w:cs="Times New Roman"/>
                <w:sz w:val="16"/>
                <w:szCs w:val="16"/>
              </w:rPr>
              <w:t>de la Subdirección de Gestión Contractual </w:t>
            </w:r>
          </w:p>
        </w:tc>
      </w:tr>
      <w:tr w:rsidR="00204425" w:rsidRPr="00A12CB6" w14:paraId="3B0DAB63" w14:textId="77777777" w:rsidTr="00567D6A">
        <w:trPr>
          <w:trHeight w:val="389"/>
        </w:trPr>
        <w:tc>
          <w:tcPr>
            <w:tcW w:w="817" w:type="dxa"/>
            <w:tcBorders>
              <w:top w:val="nil"/>
              <w:left w:val="nil"/>
              <w:bottom w:val="nil"/>
              <w:right w:val="nil"/>
            </w:tcBorders>
            <w:vAlign w:val="center"/>
            <w:hideMark/>
          </w:tcPr>
          <w:p w14:paraId="2F5ADE89" w14:textId="77777777" w:rsidR="00204425" w:rsidRPr="00A12CB6" w:rsidRDefault="00204425" w:rsidP="00567D6A">
            <w:pPr>
              <w:spacing w:after="0" w:line="256" w:lineRule="auto"/>
              <w:rPr>
                <w:rFonts w:ascii="Verdana" w:eastAsia="Calibri" w:hAnsi="Verdana" w:cs="Times New Roman"/>
                <w:sz w:val="16"/>
                <w:szCs w:val="16"/>
              </w:rPr>
            </w:pPr>
            <w:r w:rsidRPr="00A12CB6">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4C180429" w14:textId="77777777" w:rsidR="00204425" w:rsidRPr="00A12CB6" w:rsidRDefault="00204425" w:rsidP="00567D6A">
            <w:pPr>
              <w:spacing w:after="0" w:line="256" w:lineRule="auto"/>
              <w:rPr>
                <w:rFonts w:ascii="Verdana" w:eastAsia="Calibri" w:hAnsi="Verdana" w:cs="Times New Roman"/>
                <w:sz w:val="16"/>
                <w:szCs w:val="16"/>
              </w:rPr>
            </w:pPr>
            <w:r w:rsidRPr="00A12CB6">
              <w:rPr>
                <w:rFonts w:ascii="Verdana" w:eastAsia="Calibri" w:hAnsi="Verdana" w:cs="Times New Roman"/>
                <w:sz w:val="16"/>
                <w:szCs w:val="16"/>
              </w:rPr>
              <w:t xml:space="preserve">Carolina Quintero </w:t>
            </w:r>
            <w:proofErr w:type="spellStart"/>
            <w:r w:rsidRPr="00A12CB6">
              <w:rPr>
                <w:rFonts w:ascii="Verdana" w:eastAsia="Calibri" w:hAnsi="Verdana" w:cs="Times New Roman"/>
                <w:sz w:val="16"/>
                <w:szCs w:val="16"/>
              </w:rPr>
              <w:t>Gacharná</w:t>
            </w:r>
            <w:proofErr w:type="spellEnd"/>
          </w:p>
          <w:p w14:paraId="5064834B" w14:textId="77777777" w:rsidR="00204425" w:rsidRPr="00A12CB6" w:rsidRDefault="00204425" w:rsidP="00567D6A">
            <w:pPr>
              <w:spacing w:after="0" w:line="256" w:lineRule="auto"/>
              <w:rPr>
                <w:rFonts w:ascii="Verdana" w:eastAsia="Calibri" w:hAnsi="Verdana" w:cs="Times New Roman"/>
                <w:sz w:val="16"/>
                <w:szCs w:val="16"/>
              </w:rPr>
            </w:pPr>
            <w:r w:rsidRPr="00A12CB6">
              <w:rPr>
                <w:rFonts w:ascii="Verdana" w:eastAsia="Calibri" w:hAnsi="Verdana" w:cs="Times New Roman"/>
                <w:sz w:val="16"/>
                <w:szCs w:val="16"/>
              </w:rPr>
              <w:t>Subdirectora de Gestión Contractual ANCP – CCE</w:t>
            </w:r>
          </w:p>
        </w:tc>
      </w:tr>
    </w:tbl>
    <w:p w14:paraId="1674D853" w14:textId="77777777" w:rsidR="00204425" w:rsidRPr="001617B7" w:rsidRDefault="00204425" w:rsidP="00204425">
      <w:pPr>
        <w:spacing w:after="0" w:line="240" w:lineRule="auto"/>
        <w:textAlignment w:val="baseline"/>
        <w:rPr>
          <w:rFonts w:ascii="Verdana" w:eastAsia="Times New Roman" w:hAnsi="Verdana" w:cs="Segoe UI"/>
          <w:b/>
          <w:bCs/>
          <w:color w:val="46589C"/>
          <w:lang w:val="es-MX" w:eastAsia="es-CO"/>
        </w:rPr>
      </w:pPr>
    </w:p>
    <w:bookmarkEnd w:id="0"/>
    <w:p w14:paraId="1B9B9616" w14:textId="77777777" w:rsidR="00204425" w:rsidRPr="000B0B05" w:rsidRDefault="00204425" w:rsidP="00204425">
      <w:pPr>
        <w:rPr>
          <w:lang w:val="es-MX"/>
        </w:rPr>
      </w:pPr>
    </w:p>
    <w:p w14:paraId="3900974D" w14:textId="77777777" w:rsidR="003D5B0D" w:rsidRPr="00C15A24" w:rsidRDefault="003D5B0D" w:rsidP="00C15A24"/>
    <w:sectPr w:rsidR="003D5B0D" w:rsidRPr="00C15A24"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928E19" w14:textId="77777777" w:rsidR="00DF7861" w:rsidRDefault="00DF7861" w:rsidP="004A1847">
      <w:pPr>
        <w:spacing w:after="0" w:line="240" w:lineRule="auto"/>
      </w:pPr>
      <w:r>
        <w:separator/>
      </w:r>
    </w:p>
  </w:endnote>
  <w:endnote w:type="continuationSeparator" w:id="0">
    <w:p w14:paraId="17B247CF" w14:textId="77777777" w:rsidR="00DF7861" w:rsidRDefault="00DF7861"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8AF37B" w14:textId="77777777" w:rsidR="00DF7861" w:rsidRDefault="00DF7861" w:rsidP="004A1847">
      <w:pPr>
        <w:spacing w:after="0" w:line="240" w:lineRule="auto"/>
      </w:pPr>
      <w:r>
        <w:separator/>
      </w:r>
    </w:p>
  </w:footnote>
  <w:footnote w:type="continuationSeparator" w:id="0">
    <w:p w14:paraId="010F3E03" w14:textId="77777777" w:rsidR="00DF7861" w:rsidRDefault="00DF7861" w:rsidP="004A1847">
      <w:pPr>
        <w:spacing w:after="0" w:line="240" w:lineRule="auto"/>
      </w:pPr>
      <w:r>
        <w:continuationSeparator/>
      </w:r>
    </w:p>
  </w:footnote>
  <w:footnote w:id="1">
    <w:p w14:paraId="1287CC7B" w14:textId="77777777" w:rsidR="00003C87" w:rsidRDefault="00003C87" w:rsidP="00003C87">
      <w:pPr>
        <w:pStyle w:val="Textonotapie"/>
        <w:ind w:firstLine="708"/>
        <w:jc w:val="both"/>
        <w:rPr>
          <w:rFonts w:ascii="Arial" w:eastAsia="Calibri" w:hAnsi="Arial" w:cs="Arial"/>
          <w:color w:val="000000" w:themeColor="text1"/>
          <w:sz w:val="19"/>
          <w:szCs w:val="19"/>
        </w:rPr>
      </w:pPr>
      <w:r>
        <w:rPr>
          <w:rStyle w:val="Refdenotaalpie"/>
          <w:rFonts w:ascii="Arial" w:hAnsi="Arial" w:cs="Arial"/>
          <w:color w:val="000000" w:themeColor="text1"/>
          <w:sz w:val="19"/>
          <w:szCs w:val="19"/>
        </w:rPr>
        <w:footnoteRef/>
      </w:r>
      <w:r>
        <w:rPr>
          <w:rFonts w:ascii="Arial" w:hAnsi="Arial" w:cs="Arial"/>
          <w:color w:val="000000" w:themeColor="text1"/>
          <w:sz w:val="19"/>
          <w:szCs w:val="19"/>
        </w:rPr>
        <w:t xml:space="preserve"> </w:t>
      </w:r>
      <w:r>
        <w:rPr>
          <w:rFonts w:ascii="Arial" w:eastAsia="Calibri" w:hAnsi="Arial" w:cs="Arial"/>
          <w:color w:val="000000" w:themeColor="text1"/>
          <w:sz w:val="19"/>
          <w:szCs w:val="19"/>
        </w:rPr>
        <w:t>Código de Comercio. «Artículo 26. El registro mercantil tendrá por objeto llevar la matrícula de los comerciantes y de los establecimientos de comercio, así como la inscripción de todos los actos, libros y documentos respecto de los cuales la ley exigiere esa formalidad».</w:t>
      </w:r>
    </w:p>
    <w:p w14:paraId="7EBC3B29" w14:textId="77777777" w:rsidR="00003C87" w:rsidRDefault="00003C87" w:rsidP="00003C87">
      <w:pPr>
        <w:pStyle w:val="Textonotapie"/>
        <w:ind w:firstLine="708"/>
        <w:jc w:val="both"/>
        <w:rPr>
          <w:rFonts w:ascii="Arial" w:eastAsia="Calibri" w:hAnsi="Arial" w:cs="Arial"/>
          <w:color w:val="000000" w:themeColor="text1"/>
          <w:sz w:val="19"/>
          <w:szCs w:val="19"/>
        </w:rPr>
      </w:pPr>
    </w:p>
  </w:footnote>
  <w:footnote w:id="2">
    <w:p w14:paraId="163681BE" w14:textId="77777777" w:rsidR="00003C87" w:rsidRDefault="00003C87" w:rsidP="00003C87">
      <w:pPr>
        <w:pStyle w:val="Textonotapie"/>
        <w:ind w:firstLine="708"/>
        <w:jc w:val="both"/>
        <w:rPr>
          <w:rFonts w:ascii="Arial" w:eastAsia="Calibri" w:hAnsi="Arial" w:cs="Arial"/>
          <w:color w:val="000000" w:themeColor="text1"/>
          <w:sz w:val="19"/>
          <w:szCs w:val="19"/>
        </w:rPr>
      </w:pPr>
      <w:r>
        <w:rPr>
          <w:rStyle w:val="Refdenotaalpie"/>
          <w:rFonts w:ascii="Arial" w:hAnsi="Arial" w:cs="Arial"/>
          <w:color w:val="000000" w:themeColor="text1"/>
          <w:sz w:val="19"/>
          <w:szCs w:val="19"/>
        </w:rPr>
        <w:footnoteRef/>
      </w:r>
      <w:r>
        <w:rPr>
          <w:rFonts w:ascii="Arial" w:hAnsi="Arial" w:cs="Arial"/>
          <w:color w:val="000000" w:themeColor="text1"/>
          <w:sz w:val="19"/>
          <w:szCs w:val="19"/>
        </w:rPr>
        <w:t xml:space="preserve"> </w:t>
      </w:r>
      <w:r>
        <w:rPr>
          <w:rFonts w:ascii="Arial" w:eastAsia="Calibri" w:hAnsi="Arial" w:cs="Arial"/>
          <w:color w:val="000000" w:themeColor="text1"/>
          <w:sz w:val="19"/>
          <w:szCs w:val="19"/>
        </w:rPr>
        <w:t>Código de Comercio: «Artículo 10. Son comerciantes las personas que profesionalmente se ocupan en alguna de las actividades que la ley considera mercantiles.</w:t>
      </w:r>
    </w:p>
    <w:p w14:paraId="441C1497" w14:textId="78A63F2F" w:rsidR="00003C87" w:rsidRDefault="00003C87" w:rsidP="00003C87">
      <w:pPr>
        <w:pStyle w:val="Textonotapie"/>
        <w:ind w:firstLine="708"/>
        <w:jc w:val="both"/>
        <w:rPr>
          <w:rFonts w:ascii="Arial" w:eastAsia="Calibri" w:hAnsi="Arial" w:cs="Arial"/>
          <w:color w:val="000000" w:themeColor="text1"/>
          <w:sz w:val="19"/>
          <w:szCs w:val="19"/>
        </w:rPr>
      </w:pPr>
      <w:r>
        <w:rPr>
          <w:rFonts w:ascii="Arial" w:eastAsia="Calibri" w:hAnsi="Arial" w:cs="Arial"/>
          <w:color w:val="000000" w:themeColor="text1"/>
          <w:sz w:val="19"/>
          <w:szCs w:val="19"/>
        </w:rPr>
        <w:t>La calidad de comerciante se adquiere aunque la actividad mercantil se ejerza por medio de apoderado, intermediario o interpuesta persona.</w:t>
      </w:r>
    </w:p>
    <w:p w14:paraId="044EB209" w14:textId="77777777" w:rsidR="00003C87" w:rsidRDefault="00003C87" w:rsidP="00003C87">
      <w:pPr>
        <w:pStyle w:val="Textonotapie"/>
        <w:jc w:val="both"/>
        <w:rPr>
          <w:rFonts w:ascii="Arial" w:hAnsi="Arial" w:cs="Arial"/>
          <w:color w:val="000000" w:themeColor="text1"/>
          <w:sz w:val="19"/>
          <w:szCs w:val="19"/>
          <w:lang w:val="es-ES"/>
        </w:rPr>
      </w:pPr>
    </w:p>
  </w:footnote>
  <w:footnote w:id="3">
    <w:p w14:paraId="5A10BA31" w14:textId="7436E2C3" w:rsidR="00003C87" w:rsidRDefault="00003C87" w:rsidP="00003C87">
      <w:pPr>
        <w:pStyle w:val="Textonotapie"/>
        <w:ind w:firstLine="708"/>
        <w:jc w:val="both"/>
        <w:rPr>
          <w:rFonts w:ascii="Arial" w:eastAsia="Calibri" w:hAnsi="Arial" w:cs="Arial"/>
          <w:color w:val="000000" w:themeColor="text1"/>
          <w:sz w:val="19"/>
          <w:szCs w:val="19"/>
        </w:rPr>
      </w:pPr>
      <w:r>
        <w:rPr>
          <w:rStyle w:val="Refdenotaalpie"/>
          <w:rFonts w:ascii="Arial" w:hAnsi="Arial" w:cs="Arial"/>
          <w:color w:val="000000" w:themeColor="text1"/>
          <w:sz w:val="19"/>
          <w:szCs w:val="19"/>
        </w:rPr>
        <w:footnoteRef/>
      </w:r>
      <w:r>
        <w:rPr>
          <w:rFonts w:ascii="Arial" w:hAnsi="Arial" w:cs="Arial"/>
          <w:color w:val="000000" w:themeColor="text1"/>
          <w:sz w:val="19"/>
          <w:szCs w:val="19"/>
        </w:rPr>
        <w:t xml:space="preserve"> </w:t>
      </w:r>
      <w:r>
        <w:rPr>
          <w:rFonts w:ascii="Arial" w:eastAsia="Calibri" w:hAnsi="Arial" w:cs="Arial"/>
          <w:color w:val="000000" w:themeColor="text1"/>
          <w:sz w:val="19"/>
          <w:szCs w:val="19"/>
        </w:rPr>
        <w:t>Código de Comercio: Artículo 23: No son mercantiles:</w:t>
      </w:r>
    </w:p>
    <w:p w14:paraId="4EC3C91C" w14:textId="52CDA231" w:rsidR="00003C87" w:rsidRDefault="00003C87" w:rsidP="00003C87">
      <w:pPr>
        <w:pStyle w:val="Textonotapie"/>
        <w:ind w:firstLine="708"/>
        <w:jc w:val="both"/>
        <w:rPr>
          <w:rFonts w:ascii="Arial" w:eastAsia="Calibri" w:hAnsi="Arial" w:cs="Arial"/>
          <w:color w:val="000000" w:themeColor="text1"/>
          <w:sz w:val="19"/>
          <w:szCs w:val="19"/>
        </w:rPr>
      </w:pPr>
      <w:r>
        <w:rPr>
          <w:rFonts w:ascii="Arial" w:eastAsia="Calibri" w:hAnsi="Arial" w:cs="Arial"/>
          <w:color w:val="000000" w:themeColor="text1"/>
          <w:sz w:val="19"/>
          <w:szCs w:val="19"/>
        </w:rPr>
        <w:t xml:space="preserve">1) La adquisición de bienes con destino al consumo doméstico o al uso del adquirente, y la enajenación de </w:t>
      </w:r>
      <w:proofErr w:type="gramStart"/>
      <w:r>
        <w:rPr>
          <w:rFonts w:ascii="Arial" w:eastAsia="Calibri" w:hAnsi="Arial" w:cs="Arial"/>
          <w:color w:val="000000" w:themeColor="text1"/>
          <w:sz w:val="19"/>
          <w:szCs w:val="19"/>
        </w:rPr>
        <w:t>los mismos</w:t>
      </w:r>
      <w:proofErr w:type="gramEnd"/>
      <w:r>
        <w:rPr>
          <w:rFonts w:ascii="Arial" w:eastAsia="Calibri" w:hAnsi="Arial" w:cs="Arial"/>
          <w:color w:val="000000" w:themeColor="text1"/>
          <w:sz w:val="19"/>
          <w:szCs w:val="19"/>
        </w:rPr>
        <w:t xml:space="preserve"> o de los sobrantes;</w:t>
      </w:r>
    </w:p>
    <w:p w14:paraId="480712CF" w14:textId="35D4154E" w:rsidR="00003C87" w:rsidRDefault="00003C87" w:rsidP="00003C87">
      <w:pPr>
        <w:pStyle w:val="Textonotapie"/>
        <w:ind w:firstLine="708"/>
        <w:jc w:val="both"/>
        <w:rPr>
          <w:rFonts w:ascii="Arial" w:eastAsia="Calibri" w:hAnsi="Arial" w:cs="Arial"/>
          <w:color w:val="000000" w:themeColor="text1"/>
          <w:sz w:val="19"/>
          <w:szCs w:val="19"/>
        </w:rPr>
      </w:pPr>
      <w:r>
        <w:rPr>
          <w:rFonts w:ascii="Arial" w:eastAsia="Calibri" w:hAnsi="Arial" w:cs="Arial"/>
          <w:color w:val="000000" w:themeColor="text1"/>
          <w:sz w:val="19"/>
          <w:szCs w:val="19"/>
        </w:rPr>
        <w:t>2) La adquisición de bienes para producir obras artísticas y la enajenación de éstas por su autor;</w:t>
      </w:r>
    </w:p>
    <w:p w14:paraId="52696EA8" w14:textId="24423392" w:rsidR="00003C87" w:rsidRDefault="00003C87" w:rsidP="00003C87">
      <w:pPr>
        <w:pStyle w:val="Textonotapie"/>
        <w:ind w:firstLine="708"/>
        <w:jc w:val="both"/>
        <w:rPr>
          <w:rFonts w:ascii="Arial" w:eastAsia="Calibri" w:hAnsi="Arial" w:cs="Arial"/>
          <w:color w:val="000000" w:themeColor="text1"/>
          <w:sz w:val="19"/>
          <w:szCs w:val="19"/>
        </w:rPr>
      </w:pPr>
      <w:r>
        <w:rPr>
          <w:rFonts w:ascii="Arial" w:eastAsia="Calibri" w:hAnsi="Arial" w:cs="Arial"/>
          <w:color w:val="000000" w:themeColor="text1"/>
          <w:sz w:val="19"/>
          <w:szCs w:val="19"/>
        </w:rPr>
        <w:t>3) Las adquisiciones hechas por funcionarios o empleados para fines de servicio público;</w:t>
      </w:r>
    </w:p>
    <w:p w14:paraId="31C70C9B" w14:textId="1AC1208A" w:rsidR="00003C87" w:rsidRDefault="00003C87" w:rsidP="00003C87">
      <w:pPr>
        <w:pStyle w:val="Textonotapie"/>
        <w:ind w:firstLine="708"/>
        <w:jc w:val="both"/>
        <w:rPr>
          <w:rFonts w:ascii="Arial" w:eastAsia="Calibri" w:hAnsi="Arial" w:cs="Arial"/>
          <w:color w:val="000000" w:themeColor="text1"/>
          <w:sz w:val="19"/>
          <w:szCs w:val="19"/>
        </w:rPr>
      </w:pPr>
      <w:r>
        <w:rPr>
          <w:rFonts w:ascii="Arial" w:eastAsia="Calibri" w:hAnsi="Arial" w:cs="Arial"/>
          <w:color w:val="000000" w:themeColor="text1"/>
          <w:sz w:val="19"/>
          <w:szCs w:val="19"/>
        </w:rPr>
        <w:t>4) Las enajenaciones que hagan directamente los agricultores o ganaderos de los frutos de sus cosechas o ganados, en su estado natural. Tampoco serán mercantiles las actividades de transformación de tales frutos que efectúen los agricultores o ganaderos, siempre y cuando que dicha transformación no constituya por sí misma una empresa, y</w:t>
      </w:r>
    </w:p>
    <w:p w14:paraId="3C3B6D87" w14:textId="0AEF20BD" w:rsidR="00003C87" w:rsidRDefault="00003C87" w:rsidP="00003C87">
      <w:pPr>
        <w:pStyle w:val="Textonotapie"/>
        <w:ind w:firstLine="708"/>
        <w:jc w:val="both"/>
        <w:rPr>
          <w:rFonts w:ascii="Arial" w:eastAsia="Calibri" w:hAnsi="Arial" w:cs="Arial"/>
          <w:color w:val="000000" w:themeColor="text1"/>
          <w:sz w:val="19"/>
          <w:szCs w:val="19"/>
        </w:rPr>
      </w:pPr>
      <w:r>
        <w:rPr>
          <w:rFonts w:ascii="Arial" w:eastAsia="Calibri" w:hAnsi="Arial" w:cs="Arial"/>
          <w:color w:val="000000" w:themeColor="text1"/>
          <w:sz w:val="19"/>
          <w:szCs w:val="19"/>
        </w:rPr>
        <w:t>5) La prestación de servicios inherentes a las profesiones liberales</w:t>
      </w:r>
      <w:r w:rsidR="000B3E8C">
        <w:rPr>
          <w:rFonts w:ascii="Arial" w:eastAsia="Calibri" w:hAnsi="Arial" w:cs="Arial"/>
          <w:color w:val="000000" w:themeColor="text1"/>
          <w:sz w:val="19"/>
          <w:szCs w:val="19"/>
        </w:rPr>
        <w:t>.</w:t>
      </w:r>
    </w:p>
    <w:p w14:paraId="4EE59801" w14:textId="77777777" w:rsidR="00003C87" w:rsidRDefault="00003C87" w:rsidP="00003C87">
      <w:pPr>
        <w:pStyle w:val="Textonotapie"/>
        <w:jc w:val="both"/>
        <w:rPr>
          <w:rFonts w:ascii="Arial" w:hAnsi="Arial" w:cs="Arial"/>
          <w:color w:val="000000" w:themeColor="text1"/>
          <w:sz w:val="19"/>
          <w:szCs w:val="19"/>
        </w:rPr>
      </w:pPr>
    </w:p>
  </w:footnote>
  <w:footnote w:id="4">
    <w:p w14:paraId="59052E89" w14:textId="77777777" w:rsidR="00003C87" w:rsidRDefault="00003C87" w:rsidP="00003C87">
      <w:pPr>
        <w:pStyle w:val="Textonotapie"/>
        <w:ind w:firstLine="708"/>
        <w:jc w:val="both"/>
        <w:rPr>
          <w:rFonts w:ascii="Arial" w:eastAsia="Calibri" w:hAnsi="Arial" w:cs="Arial"/>
          <w:color w:val="000000" w:themeColor="text1"/>
          <w:sz w:val="19"/>
          <w:szCs w:val="19"/>
        </w:rPr>
      </w:pPr>
      <w:r>
        <w:rPr>
          <w:rStyle w:val="Refdenotaalpie"/>
          <w:rFonts w:ascii="Arial" w:hAnsi="Arial" w:cs="Arial"/>
          <w:color w:val="000000" w:themeColor="text1"/>
          <w:sz w:val="19"/>
          <w:szCs w:val="19"/>
        </w:rPr>
        <w:footnoteRef/>
      </w:r>
      <w:r>
        <w:rPr>
          <w:rFonts w:ascii="Arial" w:hAnsi="Arial" w:cs="Arial"/>
          <w:color w:val="000000" w:themeColor="text1"/>
          <w:sz w:val="19"/>
          <w:szCs w:val="19"/>
        </w:rPr>
        <w:t xml:space="preserve"> </w:t>
      </w:r>
      <w:r>
        <w:rPr>
          <w:rFonts w:ascii="Arial" w:eastAsia="Calibri" w:hAnsi="Arial" w:cs="Arial"/>
          <w:color w:val="000000" w:themeColor="text1"/>
          <w:sz w:val="19"/>
          <w:szCs w:val="19"/>
        </w:rPr>
        <w:t xml:space="preserve">Consejo de Estado. Sección Cuarta. Sentencia del 2 de agosto de 2012. C. P. William Giraldo </w:t>
      </w:r>
      <w:proofErr w:type="spellStart"/>
      <w:r>
        <w:rPr>
          <w:rFonts w:ascii="Arial" w:eastAsia="Calibri" w:hAnsi="Arial" w:cs="Arial"/>
          <w:color w:val="000000" w:themeColor="text1"/>
          <w:sz w:val="19"/>
          <w:szCs w:val="19"/>
        </w:rPr>
        <w:t>Giraldo</w:t>
      </w:r>
      <w:proofErr w:type="spellEnd"/>
      <w:r>
        <w:rPr>
          <w:rFonts w:ascii="Arial" w:eastAsia="Calibri" w:hAnsi="Arial" w:cs="Arial"/>
          <w:color w:val="000000" w:themeColor="text1"/>
          <w:sz w:val="19"/>
          <w:szCs w:val="19"/>
        </w:rPr>
        <w:t xml:space="preserve">. </w:t>
      </w:r>
      <w:proofErr w:type="spellStart"/>
      <w:r>
        <w:rPr>
          <w:rFonts w:ascii="Arial" w:eastAsia="Calibri" w:hAnsi="Arial" w:cs="Arial"/>
          <w:color w:val="000000" w:themeColor="text1"/>
          <w:sz w:val="19"/>
          <w:szCs w:val="19"/>
        </w:rPr>
        <w:t>Exp</w:t>
      </w:r>
      <w:proofErr w:type="spellEnd"/>
      <w:r>
        <w:rPr>
          <w:rFonts w:ascii="Arial" w:eastAsia="Calibri" w:hAnsi="Arial" w:cs="Arial"/>
          <w:color w:val="000000" w:themeColor="text1"/>
          <w:sz w:val="19"/>
          <w:szCs w:val="19"/>
        </w:rPr>
        <w:t>. 18578.</w:t>
      </w:r>
    </w:p>
    <w:p w14:paraId="36D7253F" w14:textId="77777777" w:rsidR="00003C87" w:rsidRDefault="00003C87" w:rsidP="00003C87">
      <w:pPr>
        <w:pStyle w:val="Textonotapie"/>
        <w:ind w:firstLine="708"/>
        <w:jc w:val="both"/>
        <w:rPr>
          <w:rFonts w:ascii="Arial" w:hAnsi="Arial" w:cs="Arial"/>
          <w:color w:val="000000" w:themeColor="text1"/>
          <w:sz w:val="19"/>
          <w:szCs w:val="19"/>
          <w:lang w:val="es-ES"/>
        </w:rPr>
      </w:pPr>
    </w:p>
  </w:footnote>
  <w:footnote w:id="5">
    <w:p w14:paraId="76BCB5CE" w14:textId="77777777" w:rsidR="00003C87" w:rsidRDefault="00003C87" w:rsidP="00003C87">
      <w:pPr>
        <w:pStyle w:val="Textonotapie"/>
        <w:ind w:firstLine="708"/>
        <w:jc w:val="both"/>
        <w:rPr>
          <w:rFonts w:ascii="Arial" w:hAnsi="Arial" w:cs="Arial"/>
          <w:color w:val="000000" w:themeColor="text1"/>
          <w:sz w:val="19"/>
          <w:szCs w:val="19"/>
        </w:rPr>
      </w:pPr>
      <w:r>
        <w:rPr>
          <w:rStyle w:val="Refdenotaalpie"/>
          <w:rFonts w:ascii="Arial" w:hAnsi="Arial" w:cs="Arial"/>
          <w:color w:val="000000" w:themeColor="text1"/>
          <w:sz w:val="19"/>
          <w:szCs w:val="19"/>
        </w:rPr>
        <w:footnoteRef/>
      </w:r>
      <w:r>
        <w:rPr>
          <w:rFonts w:ascii="Arial" w:hAnsi="Arial" w:cs="Arial"/>
          <w:color w:val="000000" w:themeColor="text1"/>
          <w:sz w:val="19"/>
          <w:szCs w:val="19"/>
        </w:rPr>
        <w:t xml:space="preserve"> </w:t>
      </w:r>
      <w:r>
        <w:rPr>
          <w:rFonts w:ascii="Arial" w:eastAsia="Calibri" w:hAnsi="Arial" w:cs="Arial"/>
          <w:color w:val="000000" w:themeColor="text1"/>
          <w:sz w:val="19"/>
          <w:szCs w:val="19"/>
        </w:rPr>
        <w:t>Corte Constitucional. Sentencia C-621 de 2003. M.P. Marco Gerardo Monroy Cabra.</w:t>
      </w:r>
      <w:r>
        <w:rPr>
          <w:rFonts w:ascii="Arial" w:hAnsi="Arial" w:cs="Arial"/>
          <w:color w:val="000000" w:themeColor="text1"/>
          <w:sz w:val="19"/>
          <w:szCs w:val="19"/>
        </w:rPr>
        <w:t xml:space="preserve"> </w:t>
      </w:r>
    </w:p>
    <w:p w14:paraId="40978A76" w14:textId="77777777" w:rsidR="00003C87" w:rsidRDefault="00003C87" w:rsidP="00003C87">
      <w:pPr>
        <w:pStyle w:val="Textonotapie"/>
        <w:ind w:firstLine="708"/>
        <w:jc w:val="both"/>
        <w:rPr>
          <w:rFonts w:ascii="Arial" w:hAnsi="Arial" w:cs="Arial"/>
          <w:color w:val="000000" w:themeColor="text1"/>
          <w:sz w:val="19"/>
          <w:szCs w:val="19"/>
          <w:lang w:val="es-ES"/>
        </w:rPr>
      </w:pPr>
    </w:p>
  </w:footnote>
  <w:footnote w:id="6">
    <w:p w14:paraId="10A796A1" w14:textId="310E1E35" w:rsidR="00003C87" w:rsidRDefault="00003C87" w:rsidP="00003C87">
      <w:pPr>
        <w:pStyle w:val="Textonotapie"/>
        <w:ind w:firstLine="708"/>
        <w:jc w:val="both"/>
        <w:rPr>
          <w:rFonts w:ascii="Arial" w:eastAsia="Calibri" w:hAnsi="Arial" w:cs="Arial"/>
          <w:color w:val="000000" w:themeColor="text1"/>
          <w:sz w:val="19"/>
          <w:szCs w:val="19"/>
        </w:rPr>
      </w:pPr>
      <w:r>
        <w:rPr>
          <w:rStyle w:val="Refdenotaalpie"/>
          <w:rFonts w:ascii="Arial" w:hAnsi="Arial" w:cs="Arial"/>
          <w:color w:val="000000" w:themeColor="text1"/>
          <w:sz w:val="19"/>
          <w:szCs w:val="19"/>
        </w:rPr>
        <w:footnoteRef/>
      </w:r>
      <w:r>
        <w:rPr>
          <w:rFonts w:ascii="Arial" w:hAnsi="Arial" w:cs="Arial"/>
          <w:color w:val="000000" w:themeColor="text1"/>
          <w:sz w:val="19"/>
          <w:szCs w:val="19"/>
        </w:rPr>
        <w:t xml:space="preserve"> </w:t>
      </w:r>
      <w:r>
        <w:rPr>
          <w:rFonts w:ascii="Arial" w:eastAsia="Calibri" w:hAnsi="Arial" w:cs="Arial"/>
          <w:color w:val="000000" w:themeColor="text1"/>
          <w:sz w:val="19"/>
          <w:szCs w:val="19"/>
        </w:rPr>
        <w:t>Decreto 2153 de 1992, “Artículo 11. […] 5. Imponer a las personas que ejerzan profesionalmente el comercio, sin estar matriculadas en el registro mercantil, multas hasta el equivalente de diecisiete (17) salarios mínimos mensuales legales vigentes al momento de la imposición de la sanción”.</w:t>
      </w:r>
    </w:p>
    <w:p w14:paraId="084A5617" w14:textId="77777777" w:rsidR="00003C87" w:rsidRDefault="00003C87" w:rsidP="00003C87">
      <w:pPr>
        <w:pStyle w:val="Textonotapie"/>
        <w:ind w:firstLine="708"/>
        <w:jc w:val="both"/>
        <w:rPr>
          <w:rFonts w:ascii="Arial" w:hAnsi="Arial" w:cs="Arial"/>
          <w:color w:val="000000" w:themeColor="text1"/>
          <w:sz w:val="19"/>
          <w:szCs w:val="19"/>
          <w:lang w:val="es-ES"/>
        </w:rPr>
      </w:pPr>
    </w:p>
  </w:footnote>
  <w:footnote w:id="7">
    <w:p w14:paraId="26D55B4B" w14:textId="77CFCC5D" w:rsidR="00003C87" w:rsidRDefault="00003C87" w:rsidP="00003C87">
      <w:pPr>
        <w:pStyle w:val="Textonotapie"/>
        <w:ind w:firstLine="708"/>
        <w:jc w:val="both"/>
        <w:rPr>
          <w:rFonts w:ascii="Arial" w:hAnsi="Arial" w:cs="Arial"/>
          <w:color w:val="000000" w:themeColor="text1"/>
          <w:sz w:val="19"/>
          <w:szCs w:val="19"/>
        </w:rPr>
      </w:pPr>
      <w:r>
        <w:rPr>
          <w:rStyle w:val="Refdenotaalpie"/>
          <w:rFonts w:ascii="Arial" w:hAnsi="Arial" w:cs="Arial"/>
          <w:color w:val="000000" w:themeColor="text1"/>
          <w:sz w:val="19"/>
          <w:szCs w:val="19"/>
        </w:rPr>
        <w:footnoteRef/>
      </w:r>
      <w:r>
        <w:rPr>
          <w:rFonts w:ascii="Arial" w:hAnsi="Arial" w:cs="Arial"/>
          <w:color w:val="000000" w:themeColor="text1"/>
          <w:sz w:val="19"/>
          <w:szCs w:val="19"/>
        </w:rPr>
        <w:t xml:space="preserve"> </w:t>
      </w:r>
      <w:r>
        <w:rPr>
          <w:rFonts w:ascii="Arial" w:eastAsia="Calibri" w:hAnsi="Arial" w:cs="Arial"/>
          <w:color w:val="000000" w:themeColor="text1"/>
          <w:sz w:val="19"/>
          <w:szCs w:val="19"/>
        </w:rPr>
        <w:t xml:space="preserve">Ley 80 de 1993. </w:t>
      </w:r>
      <w:r>
        <w:rPr>
          <w:rFonts w:ascii="Arial" w:hAnsi="Arial" w:cs="Arial"/>
          <w:color w:val="000000" w:themeColor="text1"/>
          <w:sz w:val="19"/>
          <w:szCs w:val="19"/>
        </w:rPr>
        <w:t>“</w:t>
      </w:r>
      <w:r>
        <w:rPr>
          <w:rFonts w:ascii="Arial" w:eastAsia="Calibri" w:hAnsi="Arial" w:cs="Arial"/>
          <w:color w:val="000000" w:themeColor="text1"/>
          <w:sz w:val="19"/>
          <w:szCs w:val="19"/>
        </w:rPr>
        <w:t>Artículo 6. De la capacidad para contratar. Pueden celebrar contratos con las entidades estatales las personas consideradas legalmente capaces en las disposiciones vigentes. También podrán celebrar contratos con las entidades estatales, los consorcios y uniones temporales”.</w:t>
      </w:r>
    </w:p>
    <w:p w14:paraId="621C02CB" w14:textId="77777777" w:rsidR="00003C87" w:rsidRDefault="00003C87" w:rsidP="00003C87">
      <w:pPr>
        <w:pStyle w:val="Textonotapie"/>
        <w:jc w:val="both"/>
        <w:rPr>
          <w:rFonts w:ascii="Arial" w:hAnsi="Arial" w:cs="Arial"/>
          <w:color w:val="000000" w:themeColor="text1"/>
          <w:sz w:val="19"/>
          <w:szCs w:val="19"/>
        </w:rPr>
      </w:pPr>
      <w:r>
        <w:rPr>
          <w:rFonts w:ascii="Arial" w:hAnsi="Arial" w:cs="Arial"/>
          <w:color w:val="000000" w:themeColor="text1"/>
          <w:sz w:val="19"/>
          <w:szCs w:val="19"/>
        </w:rPr>
        <w:t xml:space="preserve"> </w:t>
      </w:r>
    </w:p>
  </w:footnote>
  <w:footnote w:id="8">
    <w:p w14:paraId="67A40893" w14:textId="77777777" w:rsidR="00003C87" w:rsidRDefault="00003C87" w:rsidP="00003C87">
      <w:pPr>
        <w:pStyle w:val="Textonotapie"/>
        <w:ind w:firstLine="708"/>
        <w:jc w:val="both"/>
        <w:rPr>
          <w:rFonts w:ascii="Arial" w:hAnsi="Arial" w:cs="Arial"/>
          <w:sz w:val="19"/>
          <w:szCs w:val="19"/>
          <w:lang w:val="es-CO"/>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sz w:val="19"/>
          <w:szCs w:val="19"/>
          <w:lang w:val="es-CO"/>
        </w:rPr>
        <w:t xml:space="preserve">EXPÓSITO VÉLEZ, Juan Carlos. Forma y contenido del contrato estatal. Bogotá: Universidad Externado de Colombia, 2013. p. 112.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0B2754A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289645006" o:spid="_x0000_i1025" type="#_x0000_t75" style="width:11.25pt;height:11.25pt;visibility:visible;mso-wrap-style:square">
            <v:imagedata r:id="rId1" o:title=""/>
          </v:shape>
        </w:pict>
      </mc:Choice>
      <mc:Fallback>
        <w:drawing>
          <wp:inline distT="0" distB="0" distL="0" distR="0" wp14:anchorId="7CE209FA" wp14:editId="06A5BCED">
            <wp:extent cx="142875" cy="142875"/>
            <wp:effectExtent l="0" t="0" r="0" b="0"/>
            <wp:docPr id="1289645006" name="Imagen 1289645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EF4B51"/>
    <w:multiLevelType w:val="hybridMultilevel"/>
    <w:tmpl w:val="8B70B36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89A233D"/>
    <w:multiLevelType w:val="hybridMultilevel"/>
    <w:tmpl w:val="1CDC8BE8"/>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1"/>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0"/>
  </w:num>
  <w:num w:numId="13" w16cid:durableId="1512908409">
    <w:abstractNumId w:val="2"/>
  </w:num>
  <w:num w:numId="14" w16cid:durableId="895897244">
    <w:abstractNumId w:val="15"/>
  </w:num>
  <w:num w:numId="15" w16cid:durableId="390349800">
    <w:abstractNumId w:val="10"/>
  </w:num>
  <w:num w:numId="16" w16cid:durableId="844517696">
    <w:abstractNumId w:val="3"/>
  </w:num>
  <w:num w:numId="17" w16cid:durableId="1510174945">
    <w:abstractNumId w:val="9"/>
  </w:num>
  <w:num w:numId="18" w16cid:durableId="249869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3C87"/>
    <w:rsid w:val="00006F9B"/>
    <w:rsid w:val="00016F78"/>
    <w:rsid w:val="00046945"/>
    <w:rsid w:val="00061B2A"/>
    <w:rsid w:val="00082362"/>
    <w:rsid w:val="0009030A"/>
    <w:rsid w:val="000A683E"/>
    <w:rsid w:val="000B19B9"/>
    <w:rsid w:val="000B3E8C"/>
    <w:rsid w:val="000D0334"/>
    <w:rsid w:val="000F6486"/>
    <w:rsid w:val="00125105"/>
    <w:rsid w:val="00127233"/>
    <w:rsid w:val="001511A0"/>
    <w:rsid w:val="001E4177"/>
    <w:rsid w:val="001F7DC6"/>
    <w:rsid w:val="00204425"/>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74F5E"/>
    <w:rsid w:val="00377E3E"/>
    <w:rsid w:val="003A779E"/>
    <w:rsid w:val="003D0F4D"/>
    <w:rsid w:val="003D5B0D"/>
    <w:rsid w:val="003E0499"/>
    <w:rsid w:val="003F3941"/>
    <w:rsid w:val="00406575"/>
    <w:rsid w:val="00414C74"/>
    <w:rsid w:val="0042722E"/>
    <w:rsid w:val="0044528D"/>
    <w:rsid w:val="004A1847"/>
    <w:rsid w:val="004A305D"/>
    <w:rsid w:val="004F21C4"/>
    <w:rsid w:val="004F685F"/>
    <w:rsid w:val="00501C7E"/>
    <w:rsid w:val="005318C9"/>
    <w:rsid w:val="005566E8"/>
    <w:rsid w:val="00574867"/>
    <w:rsid w:val="00591460"/>
    <w:rsid w:val="005A4035"/>
    <w:rsid w:val="005B3816"/>
    <w:rsid w:val="005C3777"/>
    <w:rsid w:val="005C5CDC"/>
    <w:rsid w:val="005D476C"/>
    <w:rsid w:val="006219F8"/>
    <w:rsid w:val="00665D70"/>
    <w:rsid w:val="006900D9"/>
    <w:rsid w:val="00696CD2"/>
    <w:rsid w:val="006E1772"/>
    <w:rsid w:val="00706C16"/>
    <w:rsid w:val="00756841"/>
    <w:rsid w:val="007649AB"/>
    <w:rsid w:val="00771D0C"/>
    <w:rsid w:val="00782F04"/>
    <w:rsid w:val="007833AC"/>
    <w:rsid w:val="007B268C"/>
    <w:rsid w:val="007B7171"/>
    <w:rsid w:val="007C0C0F"/>
    <w:rsid w:val="007C3DC2"/>
    <w:rsid w:val="007E5497"/>
    <w:rsid w:val="00806F5F"/>
    <w:rsid w:val="00820278"/>
    <w:rsid w:val="00854E8D"/>
    <w:rsid w:val="00867F95"/>
    <w:rsid w:val="008843B6"/>
    <w:rsid w:val="00891928"/>
    <w:rsid w:val="008A446D"/>
    <w:rsid w:val="008D180B"/>
    <w:rsid w:val="008F0EA7"/>
    <w:rsid w:val="00923EEF"/>
    <w:rsid w:val="009419F9"/>
    <w:rsid w:val="0095685E"/>
    <w:rsid w:val="00961B09"/>
    <w:rsid w:val="00965334"/>
    <w:rsid w:val="0097093E"/>
    <w:rsid w:val="00986AC5"/>
    <w:rsid w:val="009A0DFA"/>
    <w:rsid w:val="009B2D26"/>
    <w:rsid w:val="009C71FA"/>
    <w:rsid w:val="009C72E7"/>
    <w:rsid w:val="009D3058"/>
    <w:rsid w:val="009F3A13"/>
    <w:rsid w:val="009F4D01"/>
    <w:rsid w:val="00A122D3"/>
    <w:rsid w:val="00A17F13"/>
    <w:rsid w:val="00A20739"/>
    <w:rsid w:val="00A33C78"/>
    <w:rsid w:val="00AB0ADB"/>
    <w:rsid w:val="00AC6EDA"/>
    <w:rsid w:val="00AD1D6D"/>
    <w:rsid w:val="00B01B1A"/>
    <w:rsid w:val="00B31CE4"/>
    <w:rsid w:val="00B66319"/>
    <w:rsid w:val="00B72CD3"/>
    <w:rsid w:val="00B72FFF"/>
    <w:rsid w:val="00B85887"/>
    <w:rsid w:val="00BC3D36"/>
    <w:rsid w:val="00BD7F72"/>
    <w:rsid w:val="00C04FB3"/>
    <w:rsid w:val="00C07DDA"/>
    <w:rsid w:val="00C15A24"/>
    <w:rsid w:val="00C330EB"/>
    <w:rsid w:val="00C41061"/>
    <w:rsid w:val="00C754BE"/>
    <w:rsid w:val="00C76B1C"/>
    <w:rsid w:val="00CB6357"/>
    <w:rsid w:val="00CC1B26"/>
    <w:rsid w:val="00D014A7"/>
    <w:rsid w:val="00D423A2"/>
    <w:rsid w:val="00D520D8"/>
    <w:rsid w:val="00D63AC2"/>
    <w:rsid w:val="00D7383B"/>
    <w:rsid w:val="00DA231B"/>
    <w:rsid w:val="00DC39FC"/>
    <w:rsid w:val="00DF5254"/>
    <w:rsid w:val="00DF7055"/>
    <w:rsid w:val="00DF7861"/>
    <w:rsid w:val="00E16408"/>
    <w:rsid w:val="00E20894"/>
    <w:rsid w:val="00E245AB"/>
    <w:rsid w:val="00E2764C"/>
    <w:rsid w:val="00E27F2E"/>
    <w:rsid w:val="00E50AFE"/>
    <w:rsid w:val="00E75C92"/>
    <w:rsid w:val="00E771DC"/>
    <w:rsid w:val="00E8772A"/>
    <w:rsid w:val="00E90365"/>
    <w:rsid w:val="00E90F6B"/>
    <w:rsid w:val="00E92C27"/>
    <w:rsid w:val="00EA0E3D"/>
    <w:rsid w:val="00EC38A7"/>
    <w:rsid w:val="00ED150D"/>
    <w:rsid w:val="00ED7384"/>
    <w:rsid w:val="00EE1AA8"/>
    <w:rsid w:val="00F00483"/>
    <w:rsid w:val="00F31EDC"/>
    <w:rsid w:val="00F462B3"/>
    <w:rsid w:val="00F540A8"/>
    <w:rsid w:val="00F5664F"/>
    <w:rsid w:val="00F666C4"/>
    <w:rsid w:val="00F76AFC"/>
    <w:rsid w:val="00FA47C0"/>
    <w:rsid w:val="00FB5DD1"/>
    <w:rsid w:val="00FC2B5D"/>
    <w:rsid w:val="00FE0FB7"/>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20442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rsid w:val="00204425"/>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204425"/>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735263">
      <w:bodyDiv w:val="1"/>
      <w:marLeft w:val="0"/>
      <w:marRight w:val="0"/>
      <w:marTop w:val="0"/>
      <w:marBottom w:val="0"/>
      <w:divBdr>
        <w:top w:val="none" w:sz="0" w:space="0" w:color="auto"/>
        <w:left w:val="none" w:sz="0" w:space="0" w:color="auto"/>
        <w:bottom w:val="none" w:sz="0" w:space="0" w:color="auto"/>
        <w:right w:val="none" w:sz="0" w:space="0" w:color="auto"/>
      </w:divBdr>
    </w:div>
    <w:div w:id="495338124">
      <w:bodyDiv w:val="1"/>
      <w:marLeft w:val="0"/>
      <w:marRight w:val="0"/>
      <w:marTop w:val="0"/>
      <w:marBottom w:val="0"/>
      <w:divBdr>
        <w:top w:val="none" w:sz="0" w:space="0" w:color="auto"/>
        <w:left w:val="none" w:sz="0" w:space="0" w:color="auto"/>
        <w:bottom w:val="none" w:sz="0" w:space="0" w:color="auto"/>
        <w:right w:val="none" w:sz="0" w:space="0" w:color="auto"/>
      </w:divBdr>
    </w:div>
    <w:div w:id="587084309">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986710394">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10598196">
      <w:bodyDiv w:val="1"/>
      <w:marLeft w:val="0"/>
      <w:marRight w:val="0"/>
      <w:marTop w:val="0"/>
      <w:marBottom w:val="0"/>
      <w:divBdr>
        <w:top w:val="none" w:sz="0" w:space="0" w:color="auto"/>
        <w:left w:val="none" w:sz="0" w:space="0" w:color="auto"/>
        <w:bottom w:val="none" w:sz="0" w:space="0" w:color="auto"/>
        <w:right w:val="none" w:sz="0" w:space="0" w:color="auto"/>
      </w:divBdr>
    </w:div>
    <w:div w:id="1377318260">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colombiacompra.gov.co/sites/cce_public/files/cce_documents/cce-eicp-ma-04._manual_requisitos_habilitantes_v3_29-09-2023.pdf" TargetMode="External"/><Relationship Id="rId17" Type="http://schemas.openxmlformats.org/officeDocument/2006/relationships/hyperlink" Target="http://www.colombiacompra.gov.co"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manuales-guias-y-pliegos-tipo%2Fmanuales-y-guias%2Fguia-de-contratacion-publica-sostenible-y-socialmente&amp;data=05%7C02%7Cjose.sanchez%40colombiacompra.gov.co%7Ceb0fd05604104aa4d3bc08dd4c4ad35e%7C7b09041e245149d08cb179d5e3d8c1be%7C0%7C0%7C638750606444366227%7CUnknown%7CTWFpbGZsb3d8eyJFbXB0eU1hcGkiOnRydWUsIlYiOiIwLjAuMDAwMCIsIlAiOiJXaW4zMiIsIkFOIjoiTWFpbCIsIldUIjoyfQ%3D%3D%7C0%7C%7C%7C&amp;sdata=9QXP%2FtGRh4ksN9Mq7dwuAwwQbJmXMyhaLjy9ViNGST8%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auralamprea096@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normativa-y-relatoria%2Fdocumentos-tipo&amp;data=05%7C02%7Crichard.montenegro%40colombiacompra.gov.co%7C603e1a9f513d4811571608dd8e333a73%7C7b09041e245149d08cb179d5e3d8c1be%7C0%7C0%7C638823072860900795%7CUnknown%7CTWFpbGZsb3d8eyJFbXB0eU1hcGkiOnRydWUsIlYiOiIwLjAuMDAwMCIsIlAiOiJXaW4zMiIsIkFOIjoiTWFpbCIsIldUIjoyfQ%3D%3D%7C0%7C%7C%7C&amp;sdata=lnXaw2Q9qWCKITcTEN0G6dyJQjVTyn02xPZaTKjMTtQ%3D&amp;reserved=0" TargetMode="External"/><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manuales-guias-y-pliegos-tipo%2Fmanuales-y-guias%2Fcartilla-para-incentivar-y-fortalecer-el-acceso-las&amp;data=05%7C02%7Cjose.sanchez%40colombiacompra.gov.co%7Ceb0fd05604104aa4d3bc08dd4c4ad35e%7C7b09041e245149d08cb179d5e3d8c1be%7C0%7C0%7C638750606444331455%7CUnknown%7CTWFpbGZsb3d8eyJFbXB0eU1hcGkiOnRydWUsIlYiOiIwLjAuMDAwMCIsIlAiOiJXaW4zMiIsIkFOIjoiTWFpbCIsIldUIjoyfQ%3D%3D%7C0%7C%7C%7C&amp;sdata=A4Rv4yPieCEbMtJ98dk1C9ixhvowiB6rmJenmMv9Lbo%3D&amp;reserved=0"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9538B42A-0E1F-4C8E-B6A6-991DEE53B4E2}"/>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3437</Words>
  <Characters>18906</Characters>
  <Application>Microsoft Office Word</Application>
  <DocSecurity>0</DocSecurity>
  <Lines>157</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Richard Andrés Montenegro Siefken</cp:lastModifiedBy>
  <cp:revision>2</cp:revision>
  <cp:lastPrinted>2023-01-10T21:18:00Z</cp:lastPrinted>
  <dcterms:created xsi:type="dcterms:W3CDTF">2025-05-26T16:53:00Z</dcterms:created>
  <dcterms:modified xsi:type="dcterms:W3CDTF">2025-05-26T16:53:00Z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