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D84C48" w:rsidRDefault="00BE1E33" w:rsidP="00BE1E33">
      <w:pPr>
        <w:jc w:val="right"/>
        <w:rPr>
          <w:rFonts w:ascii="Arial" w:hAnsi="Arial" w:cs="Arial"/>
          <w:b/>
          <w:color w:val="000000" w:themeColor="text1"/>
          <w:sz w:val="16"/>
          <w:szCs w:val="16"/>
          <w:lang w:eastAsia="es-ES"/>
        </w:rPr>
      </w:pPr>
      <w:bookmarkStart w:id="0" w:name="_Hlk28946138"/>
      <w:bookmarkStart w:id="1" w:name="_Hlk29548183"/>
      <w:r w:rsidRPr="006C15D5">
        <w:rPr>
          <w:rFonts w:ascii="Arial" w:hAnsi="Arial" w:cs="Arial"/>
          <w:b/>
          <w:color w:val="000000" w:themeColor="text1"/>
          <w:sz w:val="16"/>
          <w:szCs w:val="16"/>
          <w:lang w:eastAsia="es-ES"/>
        </w:rPr>
        <w:tab/>
      </w:r>
      <w:r w:rsidRPr="00D84C48">
        <w:rPr>
          <w:rFonts w:ascii="Arial" w:hAnsi="Arial" w:cs="Arial"/>
          <w:b/>
          <w:color w:val="000000" w:themeColor="text1"/>
          <w:sz w:val="16"/>
          <w:szCs w:val="16"/>
          <w:lang w:eastAsia="es-ES"/>
        </w:rPr>
        <w:t>CCE-DES-FM-17</w:t>
      </w:r>
    </w:p>
    <w:p w14:paraId="25784C1D" w14:textId="77777777" w:rsidR="00BE1E33" w:rsidRPr="00D84C48" w:rsidRDefault="00BE1E33" w:rsidP="00BE1E33">
      <w:pPr>
        <w:jc w:val="both"/>
        <w:rPr>
          <w:rFonts w:ascii="Arial" w:eastAsia="Calibri" w:hAnsi="Arial" w:cs="Arial"/>
          <w:b/>
          <w:color w:val="000000" w:themeColor="text1"/>
          <w:sz w:val="16"/>
          <w:szCs w:val="16"/>
        </w:rPr>
      </w:pPr>
    </w:p>
    <w:p w14:paraId="5461E4A9" w14:textId="6F085346" w:rsidR="005C38A3" w:rsidRPr="00F666D0" w:rsidRDefault="001B0ACD" w:rsidP="005C38A3">
      <w:pPr>
        <w:jc w:val="both"/>
        <w:rPr>
          <w:rFonts w:ascii="Arial" w:eastAsia="Calibri" w:hAnsi="Arial" w:cs="Arial"/>
          <w:b/>
          <w:bCs/>
          <w:color w:val="000000" w:themeColor="text1"/>
          <w:sz w:val="22"/>
        </w:rPr>
      </w:pPr>
      <w:bookmarkStart w:id="2" w:name="_Hlk43657288"/>
      <w:r>
        <w:rPr>
          <w:rFonts w:ascii="Arial" w:eastAsia="Calibri" w:hAnsi="Arial" w:cs="Arial"/>
          <w:b/>
          <w:bCs/>
          <w:color w:val="000000" w:themeColor="text1"/>
          <w:sz w:val="22"/>
        </w:rPr>
        <w:t>COLOMBIA COMPRA EFICIENTE</w:t>
      </w:r>
      <w:r w:rsidR="005C38A3" w:rsidRPr="00F666D0">
        <w:rPr>
          <w:rFonts w:ascii="Arial" w:eastAsia="Calibri" w:hAnsi="Arial" w:cs="Arial"/>
          <w:b/>
          <w:bCs/>
          <w:color w:val="000000" w:themeColor="text1"/>
          <w:sz w:val="22"/>
        </w:rPr>
        <w:t xml:space="preserve"> </w:t>
      </w:r>
      <w:r w:rsidR="005C38A3" w:rsidRPr="006C15D5">
        <w:rPr>
          <w:rFonts w:ascii="Arial" w:eastAsia="Calibri" w:hAnsi="Arial" w:cs="Arial"/>
          <w:b/>
          <w:color w:val="000000" w:themeColor="text1"/>
          <w:sz w:val="22"/>
        </w:rPr>
        <w:t>–</w:t>
      </w:r>
      <w:r w:rsidR="005C38A3" w:rsidRPr="00F666D0">
        <w:rPr>
          <w:rFonts w:ascii="Arial" w:eastAsia="Calibri" w:hAnsi="Arial" w:cs="Arial"/>
          <w:b/>
          <w:bCs/>
          <w:color w:val="000000" w:themeColor="text1"/>
          <w:sz w:val="22"/>
        </w:rPr>
        <w:t xml:space="preserve"> </w:t>
      </w:r>
      <w:r>
        <w:rPr>
          <w:rFonts w:ascii="Arial" w:eastAsia="Calibri" w:hAnsi="Arial" w:cs="Arial"/>
          <w:b/>
          <w:bCs/>
          <w:color w:val="000000" w:themeColor="text1"/>
          <w:sz w:val="22"/>
        </w:rPr>
        <w:t>Competencia consultiva – Contratación estatal – Normas generales</w:t>
      </w:r>
    </w:p>
    <w:p w14:paraId="4A8E1CCF" w14:textId="77777777" w:rsidR="005C38A3" w:rsidRPr="00F666D0" w:rsidRDefault="005C38A3" w:rsidP="005C38A3">
      <w:pPr>
        <w:jc w:val="both"/>
        <w:rPr>
          <w:rFonts w:ascii="Arial" w:eastAsia="Calibri" w:hAnsi="Arial" w:cs="Arial"/>
          <w:b/>
          <w:bCs/>
          <w:color w:val="000000" w:themeColor="text1"/>
          <w:sz w:val="20"/>
          <w:szCs w:val="20"/>
        </w:rPr>
      </w:pPr>
    </w:p>
    <w:p w14:paraId="3E158703" w14:textId="519BE837" w:rsidR="001B0ACD" w:rsidRPr="001B0ACD" w:rsidRDefault="00ED1029" w:rsidP="001B0ACD">
      <w:pPr>
        <w:spacing w:after="120"/>
        <w:jc w:val="both"/>
        <w:rPr>
          <w:rFonts w:ascii="Arial" w:eastAsia="Calibri" w:hAnsi="Arial" w:cs="Arial"/>
          <w:color w:val="000000" w:themeColor="text1"/>
          <w:sz w:val="20"/>
          <w:szCs w:val="20"/>
          <w:lang w:val="es-ES"/>
        </w:rPr>
      </w:pPr>
      <w:r w:rsidRPr="00ED1029">
        <w:rPr>
          <w:rFonts w:ascii="Arial" w:eastAsia="Calibri" w:hAnsi="Arial" w:cs="Arial"/>
          <w:color w:val="000000" w:themeColor="text1"/>
          <w:sz w:val="20"/>
          <w:szCs w:val="20"/>
          <w:lang w:val="es-ES"/>
        </w:rPr>
        <w:t>De conformidad con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 . Esto significa que la entidad no puede pronunciarse sobre situaciones o casos particulares</w:t>
      </w:r>
      <w:r w:rsidR="001B0ACD" w:rsidRPr="001B0ACD">
        <w:rPr>
          <w:rFonts w:ascii="Arial" w:eastAsia="Calibri" w:hAnsi="Arial" w:cs="Arial"/>
          <w:color w:val="000000" w:themeColor="text1"/>
          <w:sz w:val="20"/>
          <w:szCs w:val="20"/>
          <w:lang w:val="es-ES"/>
        </w:rPr>
        <w:t xml:space="preserve">. </w:t>
      </w:r>
    </w:p>
    <w:p w14:paraId="48F3FCE0" w14:textId="455D9CE8" w:rsidR="005C38A3" w:rsidRPr="00F666D0" w:rsidRDefault="001B0ACD" w:rsidP="001B0ACD">
      <w:pPr>
        <w:jc w:val="both"/>
        <w:rPr>
          <w:rFonts w:ascii="Arial" w:eastAsia="Calibri" w:hAnsi="Arial" w:cs="Arial"/>
          <w:color w:val="000000" w:themeColor="text1"/>
          <w:sz w:val="20"/>
          <w:szCs w:val="20"/>
          <w:lang w:val="es-ES"/>
        </w:rPr>
      </w:pPr>
      <w:r w:rsidRPr="001B0ACD">
        <w:rPr>
          <w:rFonts w:ascii="Arial" w:eastAsia="Calibri" w:hAnsi="Arial" w:cs="Arial"/>
          <w:color w:val="000000" w:themeColor="text1"/>
          <w:sz w:val="20"/>
          <w:szCs w:val="20"/>
          <w:lang w:val="es-ES"/>
        </w:rPr>
        <w:t>La competencia de esta entidad se establece con límites claros con el objeto de evitar que los conceptos sean una instancia de validación de las actuaciones de las demás autoridades públicas. Por ello, mediante el Concepto 4201814000006095 del 5 de septiembre de 2018, la Subdirección de Gestión Contractual explicó que «Colombia Compra Eficiente no es competente para resolver consultas referidas a actividades contractuales específicas de las Entidades Estatales, ni para determinar si un oferente se constituye como único proponente»</w:t>
      </w:r>
      <w:r w:rsidR="005C38A3" w:rsidRPr="00F666D0">
        <w:rPr>
          <w:rFonts w:ascii="Arial" w:eastAsia="Calibri" w:hAnsi="Arial" w:cs="Arial"/>
          <w:color w:val="000000" w:themeColor="text1"/>
          <w:sz w:val="20"/>
          <w:szCs w:val="20"/>
          <w:lang w:val="es-ES"/>
        </w:rPr>
        <w:t>.</w:t>
      </w:r>
    </w:p>
    <w:p w14:paraId="533908BF" w14:textId="77777777" w:rsidR="005C38A3" w:rsidRPr="00F666D0" w:rsidRDefault="005C38A3" w:rsidP="005C38A3">
      <w:pPr>
        <w:jc w:val="both"/>
        <w:rPr>
          <w:rFonts w:ascii="Arial" w:eastAsia="Calibri" w:hAnsi="Arial" w:cs="Arial"/>
          <w:color w:val="000000" w:themeColor="text1"/>
          <w:sz w:val="20"/>
          <w:szCs w:val="20"/>
          <w:lang w:val="es-ES"/>
        </w:rPr>
      </w:pPr>
    </w:p>
    <w:p w14:paraId="4E116C64" w14:textId="537F5BF6" w:rsidR="005C38A3" w:rsidRPr="00F666D0" w:rsidRDefault="00A93829" w:rsidP="005C38A3">
      <w:pPr>
        <w:jc w:val="both"/>
        <w:rPr>
          <w:rFonts w:ascii="Arial" w:eastAsia="Calibri" w:hAnsi="Arial" w:cs="Arial"/>
          <w:b/>
          <w:bCs/>
          <w:color w:val="000000" w:themeColor="text1"/>
          <w:sz w:val="22"/>
        </w:rPr>
      </w:pPr>
      <w:bookmarkStart w:id="3" w:name="_Hlk45532005"/>
      <w:r>
        <w:rPr>
          <w:rFonts w:ascii="Arial" w:eastAsia="Calibri" w:hAnsi="Arial" w:cs="Arial"/>
          <w:b/>
          <w:bCs/>
          <w:color w:val="000000" w:themeColor="text1"/>
          <w:sz w:val="22"/>
        </w:rPr>
        <w:t>CONTRATACIÓN DIRECTA – Pluralidad de oferentes – Ausencia</w:t>
      </w:r>
      <w:bookmarkEnd w:id="3"/>
      <w:r>
        <w:rPr>
          <w:rFonts w:ascii="Arial" w:eastAsia="Calibri" w:hAnsi="Arial" w:cs="Arial"/>
          <w:b/>
          <w:bCs/>
          <w:color w:val="000000" w:themeColor="text1"/>
          <w:sz w:val="22"/>
        </w:rPr>
        <w:t xml:space="preserve"> – Reglamento – Integración</w:t>
      </w:r>
    </w:p>
    <w:p w14:paraId="0D780C7A" w14:textId="77777777" w:rsidR="005C38A3" w:rsidRPr="00F666D0" w:rsidRDefault="005C38A3" w:rsidP="005C38A3">
      <w:pPr>
        <w:jc w:val="both"/>
        <w:rPr>
          <w:rFonts w:ascii="Arial" w:eastAsia="Calibri" w:hAnsi="Arial" w:cs="Arial"/>
          <w:b/>
          <w:bCs/>
          <w:color w:val="000000" w:themeColor="text1"/>
          <w:sz w:val="20"/>
          <w:szCs w:val="20"/>
        </w:rPr>
      </w:pPr>
    </w:p>
    <w:p w14:paraId="5183571F" w14:textId="2D7CAA88" w:rsidR="005C38A3" w:rsidRDefault="00A93829" w:rsidP="00A93829">
      <w:pPr>
        <w:spacing w:after="120"/>
        <w:jc w:val="both"/>
        <w:rPr>
          <w:rFonts w:ascii="Arial" w:eastAsia="Calibri" w:hAnsi="Arial" w:cs="Arial"/>
          <w:color w:val="000000" w:themeColor="text1"/>
          <w:sz w:val="20"/>
          <w:szCs w:val="20"/>
          <w:lang w:val="es-ES"/>
        </w:rPr>
      </w:pPr>
      <w:r w:rsidRPr="00A93829">
        <w:rPr>
          <w:rFonts w:ascii="Arial" w:eastAsia="Calibri" w:hAnsi="Arial" w:cs="Arial"/>
          <w:color w:val="000000" w:themeColor="text1"/>
          <w:sz w:val="20"/>
          <w:szCs w:val="20"/>
          <w:lang w:val="es-ES"/>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r w:rsidR="005C38A3" w:rsidRPr="00F666D0">
        <w:rPr>
          <w:rFonts w:ascii="Arial" w:eastAsia="Calibri" w:hAnsi="Arial" w:cs="Arial"/>
          <w:color w:val="000000" w:themeColor="text1"/>
          <w:sz w:val="20"/>
          <w:szCs w:val="20"/>
          <w:lang w:val="es-ES"/>
        </w:rPr>
        <w:t>.</w:t>
      </w:r>
    </w:p>
    <w:p w14:paraId="22A6E1F9" w14:textId="77A61AEB" w:rsidR="00A93829" w:rsidRDefault="00A93829" w:rsidP="005C38A3">
      <w:pPr>
        <w:jc w:val="both"/>
        <w:rPr>
          <w:rFonts w:ascii="Arial" w:eastAsia="Calibri" w:hAnsi="Arial" w:cs="Arial"/>
          <w:color w:val="000000" w:themeColor="text1"/>
          <w:sz w:val="20"/>
          <w:szCs w:val="20"/>
          <w:lang w:val="es-ES"/>
        </w:rPr>
      </w:pPr>
      <w:r w:rsidRPr="00A93829">
        <w:rPr>
          <w:rFonts w:ascii="Arial" w:eastAsia="Calibri" w:hAnsi="Arial" w:cs="Arial"/>
          <w:color w:val="000000" w:themeColor="text1"/>
          <w:sz w:val="20"/>
          <w:szCs w:val="20"/>
          <w:lang w:val="es-ES"/>
        </w:rPr>
        <w:t>Cuando se interpreta aisladamente, la causal constituye un concepto jurídico indeterminado. Lo anterior en la medida que debe precisarse su contenido de acuerdo a las circunstancias, pues confiere una cierta facultad de apreciación interpretativa por la amplitud y abstracción del concepto. Sin embargo, teniendo en cuenta la competencia del artículo 189.11 superior para la debida ejecución de la ley, nada obsta para el reglamento determine los casos en que no existe pluralidad de oferentes, pues aunque el artículo 28 del Código Civil dispone que las palabras se entenderán en su sentido natural y obvio, es decir, de acuerdo a su sentido general, la norma también dispone que cuando se definan expresamente para ciertas materias, se les dará en éstas su significado legal.</w:t>
      </w:r>
    </w:p>
    <w:p w14:paraId="66729242" w14:textId="63B3B326" w:rsidR="005C38A3" w:rsidRDefault="005C38A3" w:rsidP="0061786E">
      <w:pPr>
        <w:jc w:val="both"/>
        <w:rPr>
          <w:rFonts w:ascii="Arial" w:eastAsia="Calibri" w:hAnsi="Arial" w:cs="Arial"/>
          <w:b/>
          <w:color w:val="000000" w:themeColor="text1"/>
          <w:sz w:val="22"/>
        </w:rPr>
      </w:pPr>
    </w:p>
    <w:p w14:paraId="32B12AE1" w14:textId="39752F5B" w:rsidR="005C38A3" w:rsidRPr="00F666D0" w:rsidRDefault="00A93829" w:rsidP="005C38A3">
      <w:pPr>
        <w:jc w:val="both"/>
        <w:rPr>
          <w:rFonts w:ascii="Arial" w:eastAsia="Calibri" w:hAnsi="Arial" w:cs="Arial"/>
          <w:b/>
          <w:bCs/>
          <w:color w:val="000000" w:themeColor="text1"/>
          <w:sz w:val="20"/>
          <w:szCs w:val="20"/>
        </w:rPr>
      </w:pPr>
      <w:r w:rsidRPr="00A93829">
        <w:rPr>
          <w:rFonts w:ascii="Arial" w:eastAsia="Calibri" w:hAnsi="Arial" w:cs="Arial"/>
          <w:b/>
          <w:bCs/>
          <w:color w:val="000000" w:themeColor="text1"/>
          <w:sz w:val="22"/>
        </w:rPr>
        <w:t>CONTRATACIÓN DIRECTA – Pluralidad de oferentes – Ausencia</w:t>
      </w:r>
      <w:r>
        <w:rPr>
          <w:rFonts w:ascii="Arial" w:eastAsia="Calibri" w:hAnsi="Arial" w:cs="Arial"/>
          <w:b/>
          <w:bCs/>
          <w:color w:val="000000" w:themeColor="text1"/>
          <w:sz w:val="22"/>
        </w:rPr>
        <w:t xml:space="preserve"> – Derechos de propiedad industrial – Derechos de autor – Titularidad</w:t>
      </w:r>
    </w:p>
    <w:p w14:paraId="51C6D66C" w14:textId="77777777" w:rsidR="005C38A3" w:rsidRPr="00F666D0" w:rsidRDefault="005C38A3" w:rsidP="005C38A3">
      <w:pPr>
        <w:jc w:val="both"/>
        <w:rPr>
          <w:rFonts w:ascii="Arial" w:eastAsia="Calibri" w:hAnsi="Arial" w:cs="Arial"/>
          <w:b/>
          <w:bCs/>
          <w:color w:val="000000" w:themeColor="text1"/>
          <w:sz w:val="20"/>
          <w:szCs w:val="20"/>
        </w:rPr>
      </w:pPr>
    </w:p>
    <w:p w14:paraId="5DB42996" w14:textId="47F516CD" w:rsidR="00293092" w:rsidRPr="00293092" w:rsidRDefault="00A93829" w:rsidP="00293092">
      <w:pPr>
        <w:spacing w:after="120"/>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[El </w:t>
      </w:r>
      <w:r w:rsidRPr="00A93829">
        <w:rPr>
          <w:rFonts w:ascii="Arial" w:eastAsia="Calibri" w:hAnsi="Arial" w:cs="Arial"/>
          <w:color w:val="000000" w:themeColor="text1"/>
          <w:sz w:val="20"/>
          <w:szCs w:val="20"/>
          <w:lang w:val="es-ES"/>
        </w:rPr>
        <w:t>artículo 2.2.1.2.1.4.8 del Decreto 1082 de 2015</w:t>
      </w:r>
      <w:r>
        <w:rPr>
          <w:rFonts w:ascii="Arial" w:eastAsia="Calibri" w:hAnsi="Arial" w:cs="Arial"/>
          <w:color w:val="000000" w:themeColor="text1"/>
          <w:sz w:val="20"/>
          <w:szCs w:val="20"/>
          <w:lang w:val="es-ES"/>
        </w:rPr>
        <w:t>]</w:t>
      </w:r>
      <w:r w:rsidRPr="00A93829">
        <w:rPr>
          <w:rFonts w:ascii="Arial" w:eastAsia="Calibri" w:hAnsi="Arial" w:cs="Arial"/>
          <w:color w:val="000000" w:themeColor="text1"/>
          <w:sz w:val="20"/>
          <w:szCs w:val="20"/>
          <w:lang w:val="es-ES"/>
        </w:rPr>
        <w:t xml:space="preserve"> consagra dos (2) hipótesis. </w:t>
      </w:r>
      <w:r w:rsidRPr="00A93829">
        <w:rPr>
          <w:rFonts w:ascii="Arial" w:eastAsia="Calibri" w:hAnsi="Arial" w:cs="Arial"/>
          <w:i/>
          <w:iCs/>
          <w:color w:val="000000" w:themeColor="text1"/>
          <w:sz w:val="20"/>
          <w:szCs w:val="20"/>
          <w:lang w:val="es-ES"/>
        </w:rPr>
        <w:t>En primer lugar</w:t>
      </w:r>
      <w:r w:rsidRPr="00A93829">
        <w:rPr>
          <w:rFonts w:ascii="Arial" w:eastAsia="Calibri" w:hAnsi="Arial" w:cs="Arial"/>
          <w:color w:val="000000" w:themeColor="text1"/>
          <w:sz w:val="20"/>
          <w:szCs w:val="20"/>
          <w:lang w:val="es-ES"/>
        </w:rPr>
        <w:t xml:space="preserve">, </w:t>
      </w:r>
      <w:r w:rsidR="00EA2E17" w:rsidRPr="00EA2E17">
        <w:rPr>
          <w:rFonts w:ascii="Arial" w:eastAsia="Calibri" w:hAnsi="Arial" w:cs="Arial"/>
          <w:color w:val="000000" w:themeColor="text1"/>
          <w:sz w:val="20"/>
          <w:szCs w:val="20"/>
        </w:rPr>
        <w:t>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w:t>
      </w:r>
      <w:r w:rsidR="00293092" w:rsidRPr="00293092">
        <w:rPr>
          <w:rFonts w:ascii="Arial" w:eastAsia="Calibri" w:hAnsi="Arial" w:cs="Arial"/>
          <w:color w:val="000000" w:themeColor="text1"/>
          <w:sz w:val="20"/>
          <w:szCs w:val="20"/>
          <w:lang w:val="es-ES"/>
        </w:rPr>
        <w:t xml:space="preserve">. </w:t>
      </w:r>
    </w:p>
    <w:p w14:paraId="7FEC98DC" w14:textId="66E84F5D" w:rsidR="005C38A3" w:rsidRDefault="00EA2E17" w:rsidP="00F94C89">
      <w:pPr>
        <w:jc w:val="both"/>
        <w:rPr>
          <w:rFonts w:ascii="Arial" w:eastAsia="Calibri" w:hAnsi="Arial" w:cs="Arial"/>
          <w:b/>
          <w:color w:val="000000" w:themeColor="text1"/>
          <w:sz w:val="22"/>
        </w:rPr>
      </w:pPr>
      <w:r w:rsidRPr="00EA2E17">
        <w:rPr>
          <w:rFonts w:ascii="Arial" w:eastAsia="Calibri" w:hAnsi="Arial" w:cs="Arial"/>
          <w:color w:val="000000" w:themeColor="text1"/>
          <w:sz w:val="20"/>
          <w:szCs w:val="20"/>
          <w:lang w:val="es-ES"/>
        </w:rPr>
        <w:t xml:space="preserve">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w:t>
      </w:r>
      <w:r w:rsidRPr="00EA2E17">
        <w:rPr>
          <w:rFonts w:ascii="Arial" w:eastAsia="Calibri" w:hAnsi="Arial" w:cs="Arial"/>
          <w:color w:val="000000" w:themeColor="text1"/>
          <w:sz w:val="20"/>
          <w:szCs w:val="20"/>
          <w:lang w:val="es-ES"/>
        </w:rPr>
        <w:lastRenderedPageBreak/>
        <w:t>doctrina, en ausencia de una barrera de entrada –como la que se concreta con los derechos de propiedad industrial o de autor– es necesario aplicar el principio de concurrencia</w:t>
      </w:r>
      <w:r w:rsidR="009464CF">
        <w:rPr>
          <w:rFonts w:ascii="Arial" w:eastAsia="Calibri" w:hAnsi="Arial" w:cs="Arial"/>
          <w:color w:val="000000" w:themeColor="text1"/>
          <w:sz w:val="20"/>
          <w:szCs w:val="20"/>
          <w:lang w:val="es-ES"/>
        </w:rPr>
        <w:t xml:space="preserve"> […]</w:t>
      </w:r>
      <w:r w:rsidR="005C38A3" w:rsidRPr="00F666D0">
        <w:rPr>
          <w:rFonts w:ascii="Arial" w:eastAsia="Calibri" w:hAnsi="Arial" w:cs="Arial"/>
          <w:color w:val="000000" w:themeColor="text1"/>
          <w:sz w:val="20"/>
          <w:szCs w:val="20"/>
          <w:lang w:val="es-ES"/>
        </w:rPr>
        <w:t>.</w:t>
      </w:r>
    </w:p>
    <w:p w14:paraId="0C2ADED8" w14:textId="77777777" w:rsidR="005C38A3" w:rsidRDefault="005C38A3" w:rsidP="0061786E">
      <w:pPr>
        <w:jc w:val="both"/>
        <w:rPr>
          <w:rFonts w:ascii="Arial" w:eastAsia="Calibri" w:hAnsi="Arial" w:cs="Arial"/>
          <w:b/>
          <w:color w:val="000000" w:themeColor="text1"/>
          <w:sz w:val="22"/>
        </w:rPr>
      </w:pPr>
    </w:p>
    <w:p w14:paraId="4A4251F8" w14:textId="3992C773" w:rsidR="0061786E" w:rsidRDefault="009464CF" w:rsidP="0061786E">
      <w:pPr>
        <w:jc w:val="both"/>
        <w:rPr>
          <w:rFonts w:ascii="Arial" w:eastAsia="Calibri" w:hAnsi="Arial" w:cs="Arial"/>
          <w:b/>
          <w:color w:val="000000" w:themeColor="text1"/>
          <w:sz w:val="22"/>
        </w:rPr>
      </w:pPr>
      <w:r w:rsidRPr="009464CF">
        <w:rPr>
          <w:rFonts w:ascii="Arial" w:eastAsia="Calibri" w:hAnsi="Arial" w:cs="Arial"/>
          <w:b/>
          <w:color w:val="000000" w:themeColor="text1"/>
          <w:sz w:val="22"/>
        </w:rPr>
        <w:t xml:space="preserve">CONTRATACIÓN DIRECTA – Pluralidad de oferentes – Ausencia – </w:t>
      </w:r>
      <w:r>
        <w:rPr>
          <w:rFonts w:ascii="Arial" w:eastAsia="Calibri" w:hAnsi="Arial" w:cs="Arial"/>
          <w:b/>
          <w:color w:val="000000" w:themeColor="text1"/>
          <w:sz w:val="22"/>
        </w:rPr>
        <w:t>Proveedor exclusivo</w:t>
      </w:r>
      <w:r w:rsidRPr="009464CF">
        <w:rPr>
          <w:rFonts w:ascii="Arial" w:eastAsia="Calibri" w:hAnsi="Arial" w:cs="Arial"/>
          <w:b/>
          <w:color w:val="000000" w:themeColor="text1"/>
          <w:sz w:val="22"/>
        </w:rPr>
        <w:t xml:space="preserve"> – </w:t>
      </w:r>
      <w:r>
        <w:rPr>
          <w:rFonts w:ascii="Arial" w:eastAsia="Calibri" w:hAnsi="Arial" w:cs="Arial"/>
          <w:b/>
          <w:color w:val="000000" w:themeColor="text1"/>
          <w:sz w:val="22"/>
        </w:rPr>
        <w:t>Alcance</w:t>
      </w:r>
    </w:p>
    <w:p w14:paraId="241D6A19" w14:textId="77777777" w:rsidR="009464CF" w:rsidRPr="006C15D5" w:rsidRDefault="009464CF" w:rsidP="0061786E">
      <w:pPr>
        <w:jc w:val="both"/>
        <w:rPr>
          <w:rFonts w:ascii="Arial" w:eastAsia="Calibri" w:hAnsi="Arial" w:cs="Arial"/>
          <w:color w:val="000000" w:themeColor="text1"/>
          <w:sz w:val="20"/>
          <w:szCs w:val="20"/>
        </w:rPr>
      </w:pPr>
    </w:p>
    <w:p w14:paraId="0D8CC9C9" w14:textId="135D650B" w:rsidR="00BA2BFE" w:rsidRPr="00BA2BFE" w:rsidRDefault="009464CF" w:rsidP="00BA2BFE">
      <w:pPr>
        <w:spacing w:after="120"/>
        <w:jc w:val="both"/>
        <w:rPr>
          <w:rFonts w:ascii="Arial" w:eastAsia="Calibri" w:hAnsi="Arial" w:cs="Arial"/>
          <w:bCs/>
          <w:color w:val="000000" w:themeColor="text1"/>
          <w:sz w:val="20"/>
          <w:szCs w:val="20"/>
        </w:rPr>
      </w:pPr>
      <w:r w:rsidRPr="009464CF">
        <w:rPr>
          <w:rFonts w:ascii="Arial" w:eastAsia="Calibri" w:hAnsi="Arial" w:cs="Arial"/>
          <w:bCs/>
          <w:i/>
          <w:iCs/>
          <w:color w:val="000000" w:themeColor="text1"/>
          <w:sz w:val="20"/>
          <w:szCs w:val="20"/>
        </w:rPr>
        <w:t>En segundo lugar</w:t>
      </w:r>
      <w:r w:rsidRPr="009464CF">
        <w:rPr>
          <w:rFonts w:ascii="Arial" w:eastAsia="Calibri" w:hAnsi="Arial" w:cs="Arial"/>
          <w:bCs/>
          <w:color w:val="000000" w:themeColor="text1"/>
          <w:sz w:val="20"/>
          <w:szCs w:val="20"/>
        </w:rPr>
        <w:t xml:space="preserve">, </w:t>
      </w:r>
      <w:r w:rsidR="00F94C89" w:rsidRPr="00F94C89">
        <w:rPr>
          <w:rFonts w:ascii="Arial" w:eastAsia="Calibri" w:hAnsi="Arial" w:cs="Arial"/>
          <w:bCs/>
          <w:color w:val="000000" w:themeColor="text1"/>
          <w:sz w:val="20"/>
          <w:szCs w:val="20"/>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r w:rsidR="00BA2BFE" w:rsidRPr="00BA2BFE">
        <w:rPr>
          <w:rFonts w:ascii="Arial" w:eastAsia="Calibri" w:hAnsi="Arial" w:cs="Arial"/>
          <w:bCs/>
          <w:color w:val="000000" w:themeColor="text1"/>
          <w:sz w:val="20"/>
          <w:szCs w:val="20"/>
        </w:rPr>
        <w:t xml:space="preserve">. </w:t>
      </w:r>
    </w:p>
    <w:p w14:paraId="4D4B857C" w14:textId="2CBE0476" w:rsidR="0061786E" w:rsidRDefault="00F94C89" w:rsidP="00BA2BFE">
      <w:pPr>
        <w:spacing w:after="120"/>
        <w:jc w:val="both"/>
        <w:rPr>
          <w:rFonts w:ascii="Arial" w:eastAsia="Calibri" w:hAnsi="Arial" w:cs="Arial"/>
          <w:bCs/>
          <w:color w:val="000000" w:themeColor="text1"/>
          <w:sz w:val="20"/>
          <w:szCs w:val="20"/>
        </w:rPr>
      </w:pPr>
      <w:r w:rsidRPr="00F94C89">
        <w:rPr>
          <w:rFonts w:ascii="Arial" w:eastAsia="Calibri" w:hAnsi="Arial" w:cs="Arial"/>
          <w:bCs/>
          <w:color w:val="000000" w:themeColor="text1"/>
          <w:sz w:val="20"/>
          <w:szCs w:val="20"/>
        </w:rPr>
        <w:t>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w:t>
      </w:r>
      <w:r w:rsidR="0061786E" w:rsidRPr="001B5E36">
        <w:rPr>
          <w:rFonts w:ascii="Arial" w:eastAsia="Calibri" w:hAnsi="Arial" w:cs="Arial"/>
          <w:bCs/>
          <w:color w:val="000000" w:themeColor="text1"/>
          <w:sz w:val="20"/>
          <w:szCs w:val="20"/>
        </w:rPr>
        <w:t>.</w:t>
      </w:r>
      <w:r w:rsidR="0061786E" w:rsidRPr="00DE3F87">
        <w:rPr>
          <w:rFonts w:ascii="Arial" w:eastAsia="Calibri" w:hAnsi="Arial" w:cs="Arial"/>
          <w:bCs/>
          <w:color w:val="000000" w:themeColor="text1"/>
          <w:sz w:val="20"/>
          <w:szCs w:val="20"/>
        </w:rPr>
        <w:t xml:space="preserve">  </w:t>
      </w:r>
    </w:p>
    <w:p w14:paraId="44EC201F" w14:textId="77777777" w:rsidR="0061786E" w:rsidRDefault="0061786E" w:rsidP="0061786E">
      <w:pPr>
        <w:jc w:val="both"/>
        <w:rPr>
          <w:rFonts w:ascii="Arial" w:eastAsia="Calibri" w:hAnsi="Arial" w:cs="Arial"/>
          <w:b/>
          <w:color w:val="000000" w:themeColor="text1"/>
          <w:sz w:val="22"/>
        </w:rPr>
      </w:pPr>
    </w:p>
    <w:bookmarkEnd w:id="2"/>
    <w:p w14:paraId="4E3E2389" w14:textId="09B9A6AF" w:rsidR="001A369A" w:rsidRDefault="00F32107" w:rsidP="726245B9">
      <w:pPr>
        <w:jc w:val="both"/>
        <w:rPr>
          <w:rFonts w:ascii="Arial" w:eastAsia="Calibri" w:hAnsi="Arial" w:cs="Arial"/>
          <w:b/>
          <w:bCs/>
          <w:color w:val="000000" w:themeColor="text1"/>
          <w:sz w:val="22"/>
        </w:rPr>
      </w:pPr>
      <w:r w:rsidRPr="726245B9">
        <w:rPr>
          <w:rFonts w:ascii="Arial" w:eastAsia="Calibri" w:hAnsi="Arial" w:cs="Arial"/>
          <w:b/>
          <w:bCs/>
          <w:color w:val="000000" w:themeColor="text1"/>
          <w:sz w:val="22"/>
        </w:rPr>
        <w:t xml:space="preserve">CONTRATACIÓN DIRECTA – Pluralidad de oferentes – Ausencia – </w:t>
      </w:r>
      <w:r w:rsidR="683EFD59" w:rsidRPr="726245B9">
        <w:rPr>
          <w:rFonts w:ascii="Arial" w:eastAsia="Calibri" w:hAnsi="Arial" w:cs="Arial"/>
          <w:b/>
          <w:bCs/>
          <w:color w:val="000000" w:themeColor="text1"/>
          <w:sz w:val="22"/>
        </w:rPr>
        <w:t>I</w:t>
      </w:r>
      <w:r w:rsidRPr="726245B9">
        <w:rPr>
          <w:rFonts w:ascii="Arial" w:eastAsia="Calibri" w:hAnsi="Arial" w:cs="Arial"/>
          <w:b/>
          <w:bCs/>
          <w:color w:val="000000" w:themeColor="text1"/>
          <w:sz w:val="22"/>
        </w:rPr>
        <w:t>nterpretación estricta</w:t>
      </w:r>
    </w:p>
    <w:p w14:paraId="76766E08" w14:textId="77777777" w:rsidR="00F32107" w:rsidRPr="006C15D5" w:rsidRDefault="00F32107" w:rsidP="001A369A">
      <w:pPr>
        <w:jc w:val="both"/>
        <w:rPr>
          <w:rFonts w:ascii="Arial" w:eastAsia="Calibri" w:hAnsi="Arial" w:cs="Arial"/>
          <w:color w:val="000000" w:themeColor="text1"/>
          <w:sz w:val="20"/>
          <w:szCs w:val="20"/>
        </w:rPr>
      </w:pPr>
    </w:p>
    <w:p w14:paraId="553CB680" w14:textId="21625FD7" w:rsidR="001A369A" w:rsidRPr="006C15D5" w:rsidRDefault="00576A2B" w:rsidP="001A369A">
      <w:pPr>
        <w:jc w:val="both"/>
        <w:rPr>
          <w:rFonts w:ascii="Arial" w:eastAsia="Calibri" w:hAnsi="Arial" w:cs="Arial"/>
          <w:bCs/>
          <w:color w:val="000000" w:themeColor="text1"/>
          <w:sz w:val="20"/>
          <w:szCs w:val="20"/>
        </w:rPr>
      </w:pPr>
      <w:r w:rsidRPr="00576A2B">
        <w:rPr>
          <w:rFonts w:ascii="Arial" w:eastAsia="Calibri" w:hAnsi="Arial" w:cs="Arial"/>
          <w:bCs/>
          <w:color w:val="000000" w:themeColor="text1"/>
          <w:sz w:val="20"/>
          <w:szCs w:val="20"/>
          <w:lang w:val="es-ES"/>
        </w:rPr>
        <w:t>Fuera de estas dos (2) situaciones, no es posible aplicar el artículo 2, numeral 4, literal g), de la Ley 1150 de 2007,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r w:rsidR="001A369A" w:rsidRPr="001B5E36">
        <w:rPr>
          <w:rFonts w:ascii="Arial" w:eastAsia="Calibri" w:hAnsi="Arial" w:cs="Arial"/>
          <w:bCs/>
          <w:color w:val="000000" w:themeColor="text1"/>
          <w:sz w:val="20"/>
          <w:szCs w:val="20"/>
        </w:rPr>
        <w:t>.</w:t>
      </w:r>
      <w:r w:rsidR="001A369A" w:rsidRPr="00DE3F87">
        <w:rPr>
          <w:rFonts w:ascii="Arial" w:eastAsia="Calibri" w:hAnsi="Arial" w:cs="Arial"/>
          <w:bCs/>
          <w:color w:val="000000" w:themeColor="text1"/>
          <w:sz w:val="20"/>
          <w:szCs w:val="20"/>
        </w:rPr>
        <w:t xml:space="preserve">  </w:t>
      </w:r>
    </w:p>
    <w:p w14:paraId="153229A4" w14:textId="77777777" w:rsidR="001A369A" w:rsidRPr="006C15D5" w:rsidRDefault="001A369A" w:rsidP="001A369A">
      <w:pPr>
        <w:jc w:val="both"/>
        <w:rPr>
          <w:rFonts w:ascii="Arial" w:eastAsia="Calibri" w:hAnsi="Arial" w:cs="Arial"/>
          <w:b/>
          <w:color w:val="000000" w:themeColor="text1"/>
          <w:sz w:val="20"/>
          <w:szCs w:val="20"/>
        </w:rPr>
      </w:pPr>
    </w:p>
    <w:p w14:paraId="40742396" w14:textId="4ED1E3F1" w:rsidR="001A369A" w:rsidRPr="006C15D5" w:rsidRDefault="004A5DAA" w:rsidP="001A369A">
      <w:pPr>
        <w:jc w:val="both"/>
        <w:rPr>
          <w:rFonts w:ascii="Arial" w:eastAsia="Calibri" w:hAnsi="Arial" w:cs="Arial"/>
          <w:b/>
          <w:color w:val="000000" w:themeColor="text1"/>
          <w:sz w:val="22"/>
        </w:rPr>
      </w:pPr>
      <w:bookmarkStart w:id="4" w:name="_Hlk43658371"/>
      <w:r>
        <w:rPr>
          <w:rFonts w:ascii="Arial" w:eastAsia="Calibri" w:hAnsi="Arial" w:cs="Arial"/>
          <w:b/>
          <w:color w:val="000000" w:themeColor="text1"/>
          <w:sz w:val="22"/>
        </w:rPr>
        <w:t>CONTRATO DE PRESTACIÓN DE SERVICIOS – Limitación – Honorarios – Decreto 1737 de 2018</w:t>
      </w:r>
      <w:r w:rsidR="00BA6C5D">
        <w:rPr>
          <w:rFonts w:ascii="Arial" w:eastAsia="Calibri" w:hAnsi="Arial" w:cs="Arial"/>
          <w:b/>
          <w:color w:val="000000" w:themeColor="text1"/>
          <w:sz w:val="22"/>
        </w:rPr>
        <w:t xml:space="preserve"> – Decreto 2209 de 2018</w:t>
      </w:r>
    </w:p>
    <w:bookmarkEnd w:id="4"/>
    <w:p w14:paraId="4286155F" w14:textId="77777777" w:rsidR="001A369A" w:rsidRPr="006C15D5" w:rsidRDefault="001A369A" w:rsidP="001A369A">
      <w:pPr>
        <w:jc w:val="both"/>
        <w:rPr>
          <w:rFonts w:ascii="Arial" w:eastAsia="Calibri" w:hAnsi="Arial" w:cs="Arial"/>
          <w:b/>
          <w:color w:val="000000" w:themeColor="text1"/>
          <w:sz w:val="20"/>
          <w:szCs w:val="20"/>
        </w:rPr>
      </w:pPr>
    </w:p>
    <w:p w14:paraId="3CF5B341" w14:textId="42B1FC1E" w:rsidR="00BA6C5D" w:rsidRDefault="00E862D2" w:rsidP="00D84C48">
      <w:pPr>
        <w:spacing w:after="120"/>
        <w:jc w:val="both"/>
        <w:rPr>
          <w:rFonts w:ascii="Arial" w:eastAsia="Calibri" w:hAnsi="Arial" w:cs="Arial"/>
          <w:color w:val="000000" w:themeColor="text1"/>
          <w:sz w:val="20"/>
          <w:szCs w:val="20"/>
        </w:rPr>
      </w:pPr>
      <w:r w:rsidRPr="00E862D2">
        <w:rPr>
          <w:rFonts w:ascii="Arial" w:eastAsia="Calibri" w:hAnsi="Arial" w:cs="Arial"/>
          <w:color w:val="000000" w:themeColor="text1"/>
          <w:sz w:val="20"/>
          <w:szCs w:val="20"/>
        </w:rPr>
        <w:t>En términos generales, el Estatuto General de Contratación de la Administración Pública y las normas que lo reglamentan no establecen límites en cuanto al valor de los contratos de prestación de servicios personales que se suscriban mediante la modalidad de contratación directa. No obstante, en 1998 se expidió el Decreto 1737, por medio del cual «Se expiden medidas de austeridad y eficiencia y se someten a condiciones especiales la asunción de compromisos por parte de las entidades públicas que manejan recursos del Tesoro Público». El artículo 4 prohibió pactar remuneraciones de servicios personales calificados, con personas naturales y jurídicas, cuando el valor excediera el total de la remuneración establecida para el jefe de la entidad, sin incluir factores prestacionales</w:t>
      </w:r>
      <w:r w:rsidR="00BA6C5D">
        <w:rPr>
          <w:rFonts w:ascii="Arial" w:eastAsia="Calibri" w:hAnsi="Arial" w:cs="Arial"/>
          <w:color w:val="000000" w:themeColor="text1"/>
          <w:sz w:val="20"/>
          <w:szCs w:val="20"/>
        </w:rPr>
        <w:t xml:space="preserve"> […]</w:t>
      </w:r>
      <w:r w:rsidR="001A369A" w:rsidRPr="0041784E">
        <w:rPr>
          <w:rFonts w:ascii="Arial" w:eastAsia="Calibri" w:hAnsi="Arial" w:cs="Arial"/>
          <w:color w:val="000000" w:themeColor="text1"/>
          <w:sz w:val="20"/>
          <w:szCs w:val="20"/>
        </w:rPr>
        <w:t>.</w:t>
      </w:r>
    </w:p>
    <w:p w14:paraId="0CF75CED" w14:textId="7D434EE9" w:rsidR="00BA6C5D" w:rsidRDefault="00BA6C5D" w:rsidP="00D84C48">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1A37462B" w14:textId="55BFD025" w:rsidR="00E862D2" w:rsidRDefault="00E862D2" w:rsidP="00D84C48">
      <w:pPr>
        <w:spacing w:after="120"/>
        <w:jc w:val="both"/>
        <w:rPr>
          <w:rFonts w:ascii="Arial" w:eastAsia="Calibri" w:hAnsi="Arial" w:cs="Arial"/>
          <w:color w:val="000000" w:themeColor="text1"/>
          <w:sz w:val="20"/>
          <w:szCs w:val="20"/>
        </w:rPr>
      </w:pPr>
      <w:r w:rsidRPr="00E862D2">
        <w:rPr>
          <w:rFonts w:ascii="Arial" w:eastAsia="Calibri" w:hAnsi="Arial" w:cs="Arial"/>
          <w:color w:val="000000" w:themeColor="text1"/>
          <w:sz w:val="20"/>
          <w:szCs w:val="20"/>
        </w:rPr>
        <w:t xml:space="preserve">Esta norma fue modificada, por imprecisiones que hicieron difícil su aplicación. En esta medida, </w:t>
      </w:r>
      <w:r>
        <w:rPr>
          <w:rFonts w:ascii="Arial" w:eastAsia="Calibri" w:hAnsi="Arial" w:cs="Arial"/>
          <w:color w:val="000000" w:themeColor="text1"/>
          <w:sz w:val="20"/>
          <w:szCs w:val="20"/>
        </w:rPr>
        <w:t>[</w:t>
      </w:r>
      <w:r w:rsidRPr="00E862D2">
        <w:rPr>
          <w:rFonts w:ascii="Arial" w:eastAsia="Calibri" w:hAnsi="Arial" w:cs="Arial"/>
          <w:bCs/>
          <w:color w:val="000000" w:themeColor="text1"/>
          <w:sz w:val="20"/>
          <w:szCs w:val="20"/>
          <w:lang w:val="es-ES"/>
        </w:rPr>
        <w:t>el artículo 2 del Decreto 2209 de 1998, que adicionó el parágrafo 2 al artículo 4 del Decreto 1737 de 1998,]</w:t>
      </w:r>
      <w:r w:rsidRPr="00E862D2">
        <w:rPr>
          <w:rFonts w:ascii="Arial" w:eastAsia="Calibri" w:hAnsi="Arial" w:cs="Arial"/>
          <w:color w:val="000000" w:themeColor="text1"/>
          <w:sz w:val="20"/>
          <w:szCs w:val="20"/>
        </w:rPr>
        <w:t xml:space="preserve"> identificó mejor los servicios a los que se refería el artículo, aclarando que eran los exclusivamente comprendidos en el concepto «remuneración servicios técnicos», desarrollado en el decreto de liquidación del presupuesto general de la nación</w:t>
      </w:r>
      <w:r>
        <w:rPr>
          <w:rFonts w:ascii="Arial" w:eastAsia="Calibri" w:hAnsi="Arial" w:cs="Arial"/>
          <w:color w:val="000000" w:themeColor="text1"/>
          <w:sz w:val="20"/>
          <w:szCs w:val="20"/>
        </w:rPr>
        <w:t xml:space="preserve"> […].</w:t>
      </w:r>
    </w:p>
    <w:p w14:paraId="63A37D89" w14:textId="77777777" w:rsidR="001A369A" w:rsidRDefault="001A369A" w:rsidP="001A369A">
      <w:pPr>
        <w:jc w:val="both"/>
        <w:rPr>
          <w:rFonts w:ascii="Arial" w:eastAsia="Calibri" w:hAnsi="Arial" w:cs="Arial"/>
          <w:bCs/>
          <w:color w:val="000000" w:themeColor="text1"/>
          <w:sz w:val="20"/>
          <w:szCs w:val="20"/>
          <w:lang w:val="es-ES"/>
        </w:rPr>
      </w:pPr>
    </w:p>
    <w:p w14:paraId="1213E42A" w14:textId="1D4DD1B9" w:rsidR="001A369A" w:rsidRDefault="00C930F3" w:rsidP="001A369A">
      <w:pPr>
        <w:jc w:val="both"/>
        <w:rPr>
          <w:rFonts w:ascii="Arial" w:eastAsia="Calibri" w:hAnsi="Arial" w:cs="Arial"/>
          <w:b/>
          <w:color w:val="000000" w:themeColor="text1"/>
          <w:sz w:val="22"/>
        </w:rPr>
      </w:pPr>
      <w:bookmarkStart w:id="5" w:name="_Hlk45627480"/>
      <w:r>
        <w:rPr>
          <w:rFonts w:ascii="Arial" w:eastAsia="Calibri" w:hAnsi="Arial" w:cs="Arial"/>
          <w:b/>
          <w:color w:val="000000" w:themeColor="text1"/>
          <w:sz w:val="22"/>
        </w:rPr>
        <w:lastRenderedPageBreak/>
        <w:t>CONTRATO DE PRESTACIÓN DE SERVICIOS – Limitación – Honorarios –</w:t>
      </w:r>
      <w:bookmarkEnd w:id="5"/>
      <w:r>
        <w:rPr>
          <w:rFonts w:ascii="Arial" w:eastAsia="Calibri" w:hAnsi="Arial" w:cs="Arial"/>
          <w:b/>
          <w:color w:val="000000" w:themeColor="text1"/>
          <w:sz w:val="22"/>
        </w:rPr>
        <w:t xml:space="preserve"> Decreto 2785 de 2011 – Decreto 1068 de 2015</w:t>
      </w:r>
    </w:p>
    <w:p w14:paraId="2024C83F" w14:textId="77777777" w:rsidR="001A369A" w:rsidRPr="006C15D5" w:rsidRDefault="001A369A" w:rsidP="001A369A">
      <w:pPr>
        <w:jc w:val="both"/>
        <w:rPr>
          <w:rFonts w:ascii="Arial" w:eastAsia="Calibri" w:hAnsi="Arial" w:cs="Arial"/>
          <w:b/>
          <w:color w:val="000000" w:themeColor="text1"/>
          <w:sz w:val="20"/>
          <w:szCs w:val="20"/>
        </w:rPr>
      </w:pPr>
    </w:p>
    <w:p w14:paraId="3E22DA13" w14:textId="13362FB2" w:rsidR="001A369A" w:rsidRDefault="00281C8B" w:rsidP="00D84C48">
      <w:pPr>
        <w:spacing w:after="120"/>
        <w:jc w:val="both"/>
        <w:rPr>
          <w:rFonts w:ascii="Arial" w:eastAsia="Calibri" w:hAnsi="Arial" w:cs="Arial"/>
          <w:bCs/>
          <w:color w:val="000000" w:themeColor="text1"/>
          <w:sz w:val="20"/>
          <w:szCs w:val="20"/>
          <w:lang w:val="es-ES"/>
        </w:rPr>
      </w:pPr>
      <w:r w:rsidRPr="00281C8B">
        <w:rPr>
          <w:rFonts w:ascii="Arial" w:eastAsia="Calibri" w:hAnsi="Arial" w:cs="Arial"/>
          <w:bCs/>
          <w:color w:val="000000" w:themeColor="text1"/>
          <w:sz w:val="20"/>
          <w:szCs w:val="20"/>
          <w:lang w:val="es-ES"/>
        </w:rPr>
        <w:t>Posteriormente, el artículo 1 del Decreto 2785 de 2011 modificó nuevamente el artículo 4 del Decreto 1737 de 1998, agregando los parágrafos 3 y 4, que introdujeron la noción de «servicios altamente calificados», y de qué manera aplicaban. La norma dispuso que excepcionalmente es posible contratar servicios «altamente calificados», superando la remuneración total establecida para el jefe de la entidad, incluidos los factores prestacionales y las contribuciones asociadas a la nómina, siempre que el representante legal de la entidad justifique la necesidad del servicio y sus características específicas, además de establecer las condiciones de los productos o servicios a obtener</w:t>
      </w:r>
      <w:r w:rsidR="00C930F3">
        <w:rPr>
          <w:rFonts w:ascii="Arial" w:eastAsia="Calibri" w:hAnsi="Arial" w:cs="Arial"/>
          <w:bCs/>
          <w:color w:val="000000" w:themeColor="text1"/>
          <w:sz w:val="20"/>
          <w:szCs w:val="20"/>
          <w:lang w:val="es-ES"/>
        </w:rPr>
        <w:t xml:space="preserve"> […]</w:t>
      </w:r>
    </w:p>
    <w:p w14:paraId="23056D94" w14:textId="6B1E02FF" w:rsidR="00C930F3" w:rsidRPr="00697A99" w:rsidRDefault="00C930F3" w:rsidP="00D84C48">
      <w:pPr>
        <w:spacing w:after="120"/>
        <w:jc w:val="both"/>
        <w:rPr>
          <w:rFonts w:ascii="Arial" w:eastAsia="Calibri" w:hAnsi="Arial" w:cs="Arial"/>
          <w:color w:val="000000" w:themeColor="text1"/>
          <w:sz w:val="20"/>
          <w:szCs w:val="20"/>
        </w:rPr>
      </w:pPr>
      <w:r>
        <w:rPr>
          <w:rFonts w:ascii="Arial" w:eastAsia="Calibri" w:hAnsi="Arial" w:cs="Arial"/>
          <w:bCs/>
          <w:color w:val="000000" w:themeColor="text1"/>
          <w:sz w:val="20"/>
          <w:szCs w:val="20"/>
          <w:lang w:val="es-ES"/>
        </w:rPr>
        <w:t>[…]</w:t>
      </w:r>
    </w:p>
    <w:p w14:paraId="1FCFEFA1" w14:textId="486B3A91" w:rsidR="00697A99" w:rsidRDefault="00281C8B" w:rsidP="00D84C48">
      <w:pPr>
        <w:spacing w:after="120"/>
        <w:jc w:val="both"/>
        <w:rPr>
          <w:rFonts w:ascii="Arial" w:eastAsia="Calibri" w:hAnsi="Arial" w:cs="Arial"/>
          <w:color w:val="000000" w:themeColor="text1"/>
          <w:sz w:val="20"/>
          <w:szCs w:val="20"/>
        </w:rPr>
      </w:pPr>
      <w:r w:rsidRPr="00281C8B">
        <w:rPr>
          <w:rFonts w:ascii="Arial" w:eastAsia="Calibri" w:hAnsi="Arial" w:cs="Arial"/>
          <w:color w:val="000000" w:themeColor="text1"/>
          <w:sz w:val="20"/>
          <w:szCs w:val="20"/>
        </w:rPr>
        <w:t>El Decreto 1068 de 2015 –por medio del cual se expidió el Decreto Único Reglamentario del Sector Hacienda y Crédito Público, en su Título 4, de las «Medidas de Austeridad del Gasto Público»– compiló el Decreto 1737 de 1998, incluidas las modificaciones del artículo 2 del Decreto 2209 de 1998, modificado por el artículo 1 del Decreto 2785 de 2011</w:t>
      </w:r>
      <w:r w:rsidR="00697A99" w:rsidRPr="00A40178">
        <w:rPr>
          <w:rFonts w:ascii="Arial" w:eastAsia="Calibri" w:hAnsi="Arial" w:cs="Arial"/>
          <w:color w:val="000000" w:themeColor="text1"/>
          <w:sz w:val="20"/>
          <w:szCs w:val="20"/>
        </w:rPr>
        <w:t xml:space="preserve">. </w:t>
      </w:r>
    </w:p>
    <w:p w14:paraId="15E55CCE" w14:textId="1B26062F" w:rsidR="00D3509A" w:rsidRDefault="00D3509A" w:rsidP="00697A99">
      <w:pPr>
        <w:jc w:val="both"/>
        <w:rPr>
          <w:rFonts w:ascii="Arial" w:eastAsia="Calibri" w:hAnsi="Arial" w:cs="Arial"/>
          <w:color w:val="000000" w:themeColor="text1"/>
          <w:sz w:val="20"/>
          <w:szCs w:val="20"/>
        </w:rPr>
      </w:pPr>
    </w:p>
    <w:p w14:paraId="3BFBB835" w14:textId="31FCD3A8" w:rsidR="00D3509A" w:rsidRDefault="00576A2B" w:rsidP="726245B9">
      <w:pPr>
        <w:jc w:val="both"/>
        <w:rPr>
          <w:rFonts w:ascii="Arial" w:eastAsia="Calibri" w:hAnsi="Arial" w:cs="Arial"/>
          <w:b/>
          <w:bCs/>
          <w:color w:val="000000" w:themeColor="text1"/>
          <w:sz w:val="22"/>
        </w:rPr>
      </w:pPr>
      <w:r w:rsidRPr="726245B9">
        <w:rPr>
          <w:rFonts w:ascii="Arial" w:eastAsia="Calibri" w:hAnsi="Arial" w:cs="Arial"/>
          <w:b/>
          <w:bCs/>
          <w:color w:val="000000" w:themeColor="text1"/>
          <w:sz w:val="22"/>
        </w:rPr>
        <w:t xml:space="preserve">CONTRATO DE PRESTACIÓN DE SERVICIOS – Limitación – Honorarios – </w:t>
      </w:r>
      <w:bookmarkStart w:id="6" w:name="_Hlk45627857"/>
      <w:r w:rsidRPr="726245B9">
        <w:rPr>
          <w:rFonts w:ascii="Arial" w:eastAsia="Calibri" w:hAnsi="Arial" w:cs="Arial"/>
          <w:b/>
          <w:bCs/>
          <w:color w:val="000000" w:themeColor="text1"/>
          <w:sz w:val="22"/>
        </w:rPr>
        <w:t>Decreto 1068</w:t>
      </w:r>
      <w:bookmarkEnd w:id="6"/>
      <w:r w:rsidRPr="726245B9">
        <w:rPr>
          <w:rFonts w:ascii="Arial" w:eastAsia="Calibri" w:hAnsi="Arial" w:cs="Arial"/>
          <w:b/>
          <w:bCs/>
          <w:color w:val="000000" w:themeColor="text1"/>
          <w:sz w:val="22"/>
        </w:rPr>
        <w:t xml:space="preserve"> de 2015 – </w:t>
      </w:r>
      <w:r w:rsidR="00AE74D6" w:rsidRPr="726245B9">
        <w:rPr>
          <w:rFonts w:ascii="Arial" w:eastAsia="Calibri" w:hAnsi="Arial" w:cs="Arial"/>
          <w:b/>
          <w:bCs/>
          <w:color w:val="000000" w:themeColor="text1"/>
          <w:sz w:val="22"/>
        </w:rPr>
        <w:t xml:space="preserve">Ámbito de aplicación – Tesoro público – Entidades territoriales – </w:t>
      </w:r>
      <w:r w:rsidR="50BE2925" w:rsidRPr="726245B9">
        <w:rPr>
          <w:rFonts w:ascii="Arial" w:eastAsia="Calibri" w:hAnsi="Arial" w:cs="Arial"/>
          <w:b/>
          <w:bCs/>
          <w:color w:val="000000" w:themeColor="text1"/>
          <w:sz w:val="22"/>
        </w:rPr>
        <w:t>A</w:t>
      </w:r>
      <w:r w:rsidR="00AE74D6" w:rsidRPr="726245B9">
        <w:rPr>
          <w:rFonts w:ascii="Arial" w:eastAsia="Calibri" w:hAnsi="Arial" w:cs="Arial"/>
          <w:b/>
          <w:bCs/>
          <w:color w:val="000000" w:themeColor="text1"/>
          <w:sz w:val="22"/>
        </w:rPr>
        <w:t>utonomía presu</w:t>
      </w:r>
      <w:r w:rsidR="00CB1CDD" w:rsidRPr="726245B9">
        <w:rPr>
          <w:rFonts w:ascii="Arial" w:eastAsia="Calibri" w:hAnsi="Arial" w:cs="Arial"/>
          <w:b/>
          <w:bCs/>
          <w:color w:val="000000" w:themeColor="text1"/>
          <w:sz w:val="22"/>
        </w:rPr>
        <w:t>puestal</w:t>
      </w:r>
      <w:r w:rsidR="00AE74D6" w:rsidRPr="726245B9">
        <w:rPr>
          <w:rFonts w:ascii="Arial" w:eastAsia="Calibri" w:hAnsi="Arial" w:cs="Arial"/>
          <w:b/>
          <w:bCs/>
          <w:color w:val="000000" w:themeColor="text1"/>
          <w:sz w:val="22"/>
        </w:rPr>
        <w:t xml:space="preserve"> </w:t>
      </w:r>
      <w:r w:rsidRPr="726245B9">
        <w:rPr>
          <w:rFonts w:ascii="Arial" w:eastAsia="Calibri" w:hAnsi="Arial" w:cs="Arial"/>
          <w:b/>
          <w:bCs/>
          <w:color w:val="000000" w:themeColor="text1"/>
          <w:sz w:val="22"/>
        </w:rPr>
        <w:t xml:space="preserve"> </w:t>
      </w:r>
    </w:p>
    <w:p w14:paraId="42D69874" w14:textId="77777777" w:rsidR="00D3509A" w:rsidRPr="006C15D5" w:rsidRDefault="00D3509A" w:rsidP="00D3509A">
      <w:pPr>
        <w:jc w:val="both"/>
        <w:rPr>
          <w:rFonts w:ascii="Arial" w:eastAsia="Calibri" w:hAnsi="Arial" w:cs="Arial"/>
          <w:b/>
          <w:color w:val="000000" w:themeColor="text1"/>
          <w:sz w:val="20"/>
          <w:szCs w:val="20"/>
        </w:rPr>
      </w:pPr>
    </w:p>
    <w:p w14:paraId="2BA73304" w14:textId="2700D207" w:rsidR="00CB1CDD" w:rsidRPr="00CB1CDD" w:rsidRDefault="00CB1CDD" w:rsidP="00CB1CDD">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[El </w:t>
      </w:r>
      <w:r w:rsidRPr="00CB1CDD">
        <w:rPr>
          <w:rFonts w:ascii="Arial" w:eastAsia="Calibri" w:hAnsi="Arial" w:cs="Arial"/>
          <w:bCs/>
          <w:color w:val="000000" w:themeColor="text1"/>
          <w:sz w:val="20"/>
          <w:szCs w:val="20"/>
          <w:lang w:val="es-ES"/>
        </w:rPr>
        <w:t>Decreto 1068</w:t>
      </w:r>
      <w:r>
        <w:rPr>
          <w:rFonts w:ascii="Arial" w:eastAsia="Calibri" w:hAnsi="Arial" w:cs="Arial"/>
          <w:bCs/>
          <w:color w:val="000000" w:themeColor="text1"/>
          <w:sz w:val="20"/>
          <w:szCs w:val="20"/>
          <w:lang w:val="es-ES"/>
        </w:rPr>
        <w:t xml:space="preserve"> de 2015]</w:t>
      </w:r>
      <w:r w:rsidRPr="00CB1CDD">
        <w:rPr>
          <w:rFonts w:ascii="Arial" w:eastAsia="Calibri" w:hAnsi="Arial" w:cs="Arial"/>
          <w:bCs/>
          <w:color w:val="000000" w:themeColor="text1"/>
          <w:sz w:val="20"/>
          <w:szCs w:val="20"/>
          <w:lang w:val="es-ES"/>
        </w:rPr>
        <w:t xml:space="preserve">, en el artículo 2.8.4.1.1., </w:t>
      </w:r>
      <w:r w:rsidR="00F1263B" w:rsidRPr="00F1263B">
        <w:rPr>
          <w:rFonts w:ascii="Arial" w:eastAsia="Calibri" w:hAnsi="Arial" w:cs="Arial"/>
          <w:bCs/>
          <w:color w:val="000000" w:themeColor="text1"/>
          <w:sz w:val="20"/>
          <w:szCs w:val="20"/>
          <w:lang w:val="es-ES"/>
        </w:rPr>
        <w:t>dispone que «Se sujetan a la regulación de este título, salvo en lo expresamente exceptuando, los organismos, entidades, entes públicos, y personas jurídicas que financien sus gastos con recursos del Tesoro Público. Art. 1 Decreto 1737 de 1998)». Aunque el inciso 2 del artículo 128 de la Constitución Política dispone que el tesoro público comprende el de la Nación, el de las entidades territoriales y el de las descentralizadas, es necesario considerar que –conforme al artículo 287.3 de la Constitución Política– las entidades territoriales son autónomas para administrar sus recursos . En esta medida, a las entidades territoriales no les aplica directamente el límite dispuesto en las normas citadas, pues depende de que lo incluyan en sus normas presupuestales</w:t>
      </w:r>
      <w:r w:rsidRPr="00CB1CDD">
        <w:rPr>
          <w:rFonts w:ascii="Arial" w:eastAsia="Calibri" w:hAnsi="Arial" w:cs="Arial"/>
          <w:bCs/>
          <w:color w:val="000000" w:themeColor="text1"/>
          <w:sz w:val="20"/>
          <w:szCs w:val="20"/>
          <w:lang w:val="es-ES"/>
        </w:rPr>
        <w:t xml:space="preserve">. </w:t>
      </w:r>
    </w:p>
    <w:p w14:paraId="1CC7E728" w14:textId="6BA164F2" w:rsidR="00D3509A" w:rsidRDefault="00F1263B" w:rsidP="00CB1CDD">
      <w:pPr>
        <w:jc w:val="both"/>
        <w:rPr>
          <w:rFonts w:ascii="Arial" w:eastAsia="Calibri" w:hAnsi="Arial" w:cs="Arial"/>
          <w:bCs/>
          <w:color w:val="000000" w:themeColor="text1"/>
          <w:sz w:val="20"/>
          <w:szCs w:val="20"/>
          <w:lang w:val="es-ES"/>
        </w:rPr>
      </w:pPr>
      <w:r w:rsidRPr="00F1263B">
        <w:rPr>
          <w:rFonts w:ascii="Arial" w:eastAsia="Calibri" w:hAnsi="Arial" w:cs="Arial"/>
          <w:bCs/>
          <w:color w:val="000000" w:themeColor="text1"/>
          <w:sz w:val="20"/>
          <w:szCs w:val="20"/>
          <w:lang w:val="es-ES"/>
        </w:rPr>
        <w:t>Por ello, el Decreto 1068 de 2015, en el artículo 2.8.4.1.2, dispone que «Las entidades territoriales adoptarán medidas equivalentes a las aquí dispuestas en sus organizaciones administrativas. (Art. 2 Decreto 1737 de 1998)». Esto implica que el Decreto 1068 de 2015 –es decir, el Decreto 1737 de 1998, con sus modificaciones– aplica a los organismos, entidades, entes públicos y personas jurídicas que financien sus gastos con recursos del tesoro público de la nación, sin incluir a las entidades territoriales</w:t>
      </w:r>
      <w:r w:rsidR="00CB1CDD" w:rsidRPr="00CB1CDD">
        <w:rPr>
          <w:rFonts w:ascii="Arial" w:eastAsia="Calibri" w:hAnsi="Arial" w:cs="Arial"/>
          <w:bCs/>
          <w:color w:val="000000" w:themeColor="text1"/>
          <w:sz w:val="20"/>
          <w:szCs w:val="20"/>
          <w:lang w:val="es-ES"/>
        </w:rPr>
        <w:t>.</w:t>
      </w:r>
    </w:p>
    <w:p w14:paraId="78AA793C" w14:textId="3EF9F8EB" w:rsidR="00AA7B10" w:rsidRDefault="00AA7B10" w:rsidP="00CB1CDD">
      <w:pPr>
        <w:jc w:val="both"/>
        <w:rPr>
          <w:rFonts w:ascii="Arial" w:eastAsia="Calibri" w:hAnsi="Arial" w:cs="Arial"/>
          <w:bCs/>
          <w:color w:val="000000" w:themeColor="text1"/>
          <w:sz w:val="20"/>
          <w:szCs w:val="20"/>
          <w:lang w:val="es-ES"/>
        </w:rPr>
      </w:pPr>
    </w:p>
    <w:p w14:paraId="16CF2E9C" w14:textId="76AAA61A" w:rsidR="00AA7B10" w:rsidRPr="00AA7B10" w:rsidRDefault="00AA7B10" w:rsidP="00CB1CDD">
      <w:pPr>
        <w:jc w:val="both"/>
        <w:rPr>
          <w:rFonts w:ascii="Arial" w:eastAsia="Calibri" w:hAnsi="Arial" w:cs="Arial"/>
          <w:b/>
          <w:color w:val="000000" w:themeColor="text1"/>
          <w:sz w:val="22"/>
          <w:lang w:val="es-ES"/>
        </w:rPr>
      </w:pPr>
      <w:r w:rsidRPr="00AA7B10">
        <w:rPr>
          <w:rFonts w:ascii="Arial" w:eastAsia="Calibri" w:hAnsi="Arial" w:cs="Arial"/>
          <w:b/>
          <w:color w:val="000000" w:themeColor="text1"/>
          <w:sz w:val="22"/>
          <w:lang w:val="es-ES"/>
        </w:rPr>
        <w:t xml:space="preserve">CONTRATO DE PRESTACIÓN DE SERVICIOS – Limitación – Honorarios </w:t>
      </w:r>
      <w:r>
        <w:rPr>
          <w:rFonts w:ascii="Arial" w:eastAsia="Calibri" w:hAnsi="Arial" w:cs="Arial"/>
          <w:b/>
          <w:color w:val="000000" w:themeColor="text1"/>
          <w:sz w:val="22"/>
          <w:lang w:val="es-ES"/>
        </w:rPr>
        <w:t>–</w:t>
      </w:r>
      <w:r w:rsidRPr="00AA7B10">
        <w:rPr>
          <w:rFonts w:ascii="Arial" w:eastAsia="Calibri" w:hAnsi="Arial" w:cs="Arial"/>
          <w:b/>
          <w:color w:val="000000" w:themeColor="text1"/>
          <w:sz w:val="22"/>
          <w:lang w:val="es-ES"/>
        </w:rPr>
        <w:t xml:space="preserve"> Remuneración servicios técnicos – Decreto </w:t>
      </w:r>
      <w:r w:rsidR="00EA4B35">
        <w:rPr>
          <w:rFonts w:ascii="Arial" w:eastAsia="Calibri" w:hAnsi="Arial" w:cs="Arial"/>
          <w:b/>
          <w:color w:val="000000" w:themeColor="text1"/>
          <w:sz w:val="22"/>
          <w:lang w:val="es-ES"/>
        </w:rPr>
        <w:t xml:space="preserve">2236 de 2017 </w:t>
      </w:r>
    </w:p>
    <w:p w14:paraId="53D24085" w14:textId="77777777" w:rsidR="00EA4B35" w:rsidRPr="006C15D5" w:rsidRDefault="00EA4B35" w:rsidP="00EA4B35">
      <w:pPr>
        <w:jc w:val="both"/>
        <w:rPr>
          <w:rFonts w:ascii="Arial" w:eastAsia="Calibri" w:hAnsi="Arial" w:cs="Arial"/>
          <w:b/>
          <w:color w:val="000000" w:themeColor="text1"/>
          <w:sz w:val="20"/>
          <w:szCs w:val="20"/>
        </w:rPr>
      </w:pPr>
    </w:p>
    <w:p w14:paraId="4C26AE9B" w14:textId="7221BB18" w:rsidR="00EA4B35" w:rsidRDefault="00EA4B35" w:rsidP="00EA4B35">
      <w:pPr>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977F64" w:rsidRPr="00977F64">
        <w:rPr>
          <w:rFonts w:ascii="Arial" w:eastAsia="Calibri" w:hAnsi="Arial" w:cs="Arial"/>
          <w:bCs/>
          <w:color w:val="000000" w:themeColor="text1"/>
          <w:sz w:val="20"/>
          <w:szCs w:val="20"/>
          <w:lang w:val="es-ES"/>
        </w:rPr>
        <w:t xml:space="preserve">el presupuesto de 2018 lo liquidó el Decreto 2236 de 2017. El artículo 37, numeral 1.2, dispuso que hacían parte de los gastos de funcionamiento los «servicios personales indirectos» . La norma citada agregó que la categoría de «servicios personales indirectos» incluía, entre otros gastos, la «remuneración servicios técnicos», definiéndola como el «Pago por servicios calificados a personas naturales o jurídicas que se prestan en forma continua para asuntos propios del órgano, los cuales no pueden ser atendidos con personal de planta o que se requieran conocimientos especializados y están sujetos al régimen contractual vigente». Con esta regulación se cumplió el requisito exigido en el parágrafo 2 del 2.8.4.4.6 del Decreto 1068 de 2015 para la limitar el pago de honorarios en los </w:t>
      </w:r>
      <w:r w:rsidR="00977F64" w:rsidRPr="00977F64">
        <w:rPr>
          <w:rFonts w:ascii="Arial" w:eastAsia="Calibri" w:hAnsi="Arial" w:cs="Arial"/>
          <w:bCs/>
          <w:color w:val="000000" w:themeColor="text1"/>
          <w:sz w:val="20"/>
          <w:szCs w:val="20"/>
          <w:lang w:val="es-ES"/>
        </w:rPr>
        <w:lastRenderedPageBreak/>
        <w:t>contratos de prestación servicios: es decir, con cargo a ese rubro los honorarios no podían exceder el valor indicado</w:t>
      </w:r>
      <w:r w:rsidRPr="00EA4B35">
        <w:rPr>
          <w:rFonts w:ascii="Arial" w:eastAsia="Calibri" w:hAnsi="Arial" w:cs="Arial"/>
          <w:bCs/>
          <w:color w:val="000000" w:themeColor="text1"/>
          <w:sz w:val="20"/>
          <w:szCs w:val="20"/>
          <w:lang w:val="es-ES"/>
        </w:rPr>
        <w:t>.</w:t>
      </w:r>
    </w:p>
    <w:p w14:paraId="387F7560" w14:textId="77777777" w:rsidR="00EA4B35" w:rsidRDefault="00EA4B35" w:rsidP="00EA4B35">
      <w:pPr>
        <w:jc w:val="both"/>
        <w:rPr>
          <w:rFonts w:ascii="Arial" w:eastAsia="Calibri" w:hAnsi="Arial" w:cs="Arial"/>
          <w:bCs/>
          <w:color w:val="000000" w:themeColor="text1"/>
          <w:sz w:val="20"/>
          <w:szCs w:val="20"/>
          <w:lang w:val="es-ES"/>
        </w:rPr>
      </w:pPr>
    </w:p>
    <w:p w14:paraId="03055D2F" w14:textId="2E7D2443" w:rsidR="00EA4B35" w:rsidRPr="00AA7B10" w:rsidRDefault="00EA4B35" w:rsidP="00EA4B35">
      <w:pPr>
        <w:jc w:val="both"/>
        <w:rPr>
          <w:rFonts w:ascii="Arial" w:eastAsia="Calibri" w:hAnsi="Arial" w:cs="Arial"/>
          <w:b/>
          <w:color w:val="000000" w:themeColor="text1"/>
          <w:sz w:val="22"/>
          <w:lang w:val="es-ES"/>
        </w:rPr>
      </w:pPr>
      <w:r w:rsidRPr="00AA7B10">
        <w:rPr>
          <w:rFonts w:ascii="Arial" w:eastAsia="Calibri" w:hAnsi="Arial" w:cs="Arial"/>
          <w:b/>
          <w:color w:val="000000" w:themeColor="text1"/>
          <w:sz w:val="22"/>
          <w:lang w:val="es-ES"/>
        </w:rPr>
        <w:t xml:space="preserve">CONTRATO DE PRESTACIÓN DE SERVICIOS – Limitación – Honorarios </w:t>
      </w:r>
      <w:r>
        <w:rPr>
          <w:rFonts w:ascii="Arial" w:eastAsia="Calibri" w:hAnsi="Arial" w:cs="Arial"/>
          <w:b/>
          <w:color w:val="000000" w:themeColor="text1"/>
          <w:sz w:val="22"/>
          <w:lang w:val="es-ES"/>
        </w:rPr>
        <w:t>–</w:t>
      </w:r>
      <w:r w:rsidRPr="00AA7B10">
        <w:rPr>
          <w:rFonts w:ascii="Arial" w:eastAsia="Calibri" w:hAnsi="Arial" w:cs="Arial"/>
          <w:b/>
          <w:color w:val="000000" w:themeColor="text1"/>
          <w:sz w:val="22"/>
          <w:lang w:val="es-ES"/>
        </w:rPr>
        <w:t xml:space="preserve"> Remuneración servicios técnicos – Decreto </w:t>
      </w:r>
      <w:r>
        <w:rPr>
          <w:rFonts w:ascii="Arial" w:eastAsia="Calibri" w:hAnsi="Arial" w:cs="Arial"/>
          <w:b/>
          <w:color w:val="000000" w:themeColor="text1"/>
          <w:sz w:val="22"/>
          <w:lang w:val="es-ES"/>
        </w:rPr>
        <w:t xml:space="preserve">2467 de 2018 </w:t>
      </w:r>
    </w:p>
    <w:p w14:paraId="7FD484A0" w14:textId="77777777" w:rsidR="00EA4B35" w:rsidRPr="006C15D5" w:rsidRDefault="00EA4B35" w:rsidP="00EA4B35">
      <w:pPr>
        <w:jc w:val="both"/>
        <w:rPr>
          <w:rFonts w:ascii="Arial" w:eastAsia="Calibri" w:hAnsi="Arial" w:cs="Arial"/>
          <w:b/>
          <w:color w:val="000000" w:themeColor="text1"/>
          <w:sz w:val="20"/>
          <w:szCs w:val="20"/>
        </w:rPr>
      </w:pPr>
    </w:p>
    <w:p w14:paraId="1CC110D7" w14:textId="7881A170" w:rsidR="00EA4B35" w:rsidRDefault="00977F64" w:rsidP="00D84C48">
      <w:pPr>
        <w:spacing w:after="120"/>
        <w:jc w:val="both"/>
        <w:rPr>
          <w:rFonts w:ascii="Arial" w:eastAsia="Calibri" w:hAnsi="Arial" w:cs="Arial"/>
          <w:bCs/>
          <w:color w:val="000000" w:themeColor="text1"/>
          <w:sz w:val="20"/>
          <w:szCs w:val="20"/>
          <w:lang w:val="es-ES"/>
        </w:rPr>
      </w:pPr>
      <w:r w:rsidRPr="00977F64">
        <w:rPr>
          <w:rFonts w:ascii="Arial" w:eastAsia="Calibri" w:hAnsi="Arial" w:cs="Arial"/>
          <w:bCs/>
          <w:color w:val="000000" w:themeColor="text1"/>
          <w:sz w:val="20"/>
          <w:szCs w:val="20"/>
          <w:lang w:val="es-ES"/>
        </w:rPr>
        <w:t>Teniendo en cuenta el principio de anualidad, el Decreto 2467 de 2018 liquidó el presupuesto de 2019. A diferencia de los rubros incluidos en el numeral 1.2 del artículo 37 del Decreto 2236 de 2017, no se incluyó entre los gastos de funcionamiento el concepto de «servicios personales indirectos» ni de «remuneración servicios técnicos». De hecho, conforme a los lineamientos técnicos del sistema integrado de información financiera, el artículo 37 del Decreto 2467 de 2018 creó una nueva categoría o clasificación, denominada «adquisición de bienes y servicios» que aparentemente subsumió los «servicios personales indirectos» en las «adquisiciones diferentes de activos»</w:t>
      </w:r>
      <w:r w:rsidR="00EA4B35">
        <w:rPr>
          <w:rFonts w:ascii="Arial" w:eastAsia="Calibri" w:hAnsi="Arial" w:cs="Arial"/>
          <w:bCs/>
          <w:color w:val="000000" w:themeColor="text1"/>
          <w:sz w:val="20"/>
          <w:szCs w:val="20"/>
          <w:lang w:val="es-ES"/>
        </w:rPr>
        <w:t xml:space="preserve"> […].</w:t>
      </w:r>
    </w:p>
    <w:p w14:paraId="64AE402F" w14:textId="77777777" w:rsidR="00EA4B35" w:rsidRDefault="00EA4B35" w:rsidP="00D84C48">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w:t>
      </w:r>
    </w:p>
    <w:p w14:paraId="576352C7" w14:textId="6EB4C69F" w:rsidR="00EA4B35" w:rsidRDefault="00BC780C" w:rsidP="00D84C48">
      <w:pPr>
        <w:spacing w:after="120"/>
        <w:jc w:val="both"/>
        <w:rPr>
          <w:rFonts w:ascii="Arial" w:eastAsia="Calibri" w:hAnsi="Arial" w:cs="Arial"/>
          <w:bCs/>
          <w:color w:val="000000" w:themeColor="text1"/>
          <w:sz w:val="20"/>
          <w:szCs w:val="20"/>
          <w:lang w:val="es-ES"/>
        </w:rPr>
      </w:pPr>
      <w:r w:rsidRPr="00BC780C">
        <w:rPr>
          <w:rFonts w:ascii="Arial" w:eastAsia="Calibri" w:hAnsi="Arial" w:cs="Arial"/>
          <w:bCs/>
          <w:color w:val="000000" w:themeColor="text1"/>
          <w:sz w:val="20"/>
          <w:szCs w:val="20"/>
          <w:lang w:val="es-ES"/>
        </w:rPr>
        <w:t>Como el Decreto 2467 de 2018 no incluyó el rubro presupuestal denominado «remuneración servicios técnicos», en la vigencia de 2019 no se cumplió el requisito o la condición que impuso el parágrafo 2 del 2.8.4.4.6 del Decreto 1068 de 2015, y por lo tanto en los contratos de prestación de servicios era posible pactar honorarios por un valor mayor a la remuneración mensual del jefe de la entidad. Vale la pena recordar, por claridad, que estas normas que se analizan no aplican directamente a las entidades territoriales, como se explicó antes.</w:t>
      </w:r>
      <w:r w:rsidR="00EA4B35" w:rsidRPr="00EA4B35">
        <w:rPr>
          <w:rFonts w:ascii="Arial" w:eastAsia="Calibri" w:hAnsi="Arial" w:cs="Arial"/>
          <w:bCs/>
          <w:color w:val="000000" w:themeColor="text1"/>
          <w:sz w:val="20"/>
          <w:szCs w:val="20"/>
          <w:lang w:val="es-ES"/>
        </w:rPr>
        <w:t xml:space="preserve"> </w:t>
      </w:r>
    </w:p>
    <w:p w14:paraId="186B6F64" w14:textId="77777777" w:rsidR="00EA4B35" w:rsidRDefault="00EA4B35" w:rsidP="00EA4B35">
      <w:pPr>
        <w:jc w:val="both"/>
        <w:rPr>
          <w:rFonts w:ascii="Arial" w:eastAsia="Calibri" w:hAnsi="Arial" w:cs="Arial"/>
          <w:bCs/>
          <w:color w:val="000000" w:themeColor="text1"/>
          <w:sz w:val="20"/>
          <w:szCs w:val="20"/>
          <w:lang w:val="es-ES"/>
        </w:rPr>
      </w:pPr>
    </w:p>
    <w:p w14:paraId="6C9D13A9" w14:textId="07272925" w:rsidR="00EA4B35" w:rsidRPr="00AA7B10" w:rsidRDefault="00EA4B35" w:rsidP="00EA4B35">
      <w:pPr>
        <w:jc w:val="both"/>
        <w:rPr>
          <w:rFonts w:ascii="Arial" w:eastAsia="Calibri" w:hAnsi="Arial" w:cs="Arial"/>
          <w:b/>
          <w:color w:val="000000" w:themeColor="text1"/>
          <w:sz w:val="22"/>
          <w:lang w:val="es-ES"/>
        </w:rPr>
      </w:pPr>
      <w:r w:rsidRPr="00AA7B10">
        <w:rPr>
          <w:rFonts w:ascii="Arial" w:eastAsia="Calibri" w:hAnsi="Arial" w:cs="Arial"/>
          <w:b/>
          <w:color w:val="000000" w:themeColor="text1"/>
          <w:sz w:val="22"/>
          <w:lang w:val="es-ES"/>
        </w:rPr>
        <w:t xml:space="preserve">CONTRATO DE PRESTACIÓN DE SERVICIOS – Limitación – Honorarios </w:t>
      </w:r>
      <w:r>
        <w:rPr>
          <w:rFonts w:ascii="Arial" w:eastAsia="Calibri" w:hAnsi="Arial" w:cs="Arial"/>
          <w:b/>
          <w:color w:val="000000" w:themeColor="text1"/>
          <w:sz w:val="22"/>
          <w:lang w:val="es-ES"/>
        </w:rPr>
        <w:t>–</w:t>
      </w:r>
      <w:r w:rsidRPr="00AA7B10">
        <w:rPr>
          <w:rFonts w:ascii="Arial" w:eastAsia="Calibri" w:hAnsi="Arial" w:cs="Arial"/>
          <w:b/>
          <w:color w:val="000000" w:themeColor="text1"/>
          <w:sz w:val="22"/>
          <w:lang w:val="es-ES"/>
        </w:rPr>
        <w:t xml:space="preserve"> Remuneración servicios técnicos – Decreto </w:t>
      </w:r>
      <w:r>
        <w:rPr>
          <w:rFonts w:ascii="Arial" w:eastAsia="Calibri" w:hAnsi="Arial" w:cs="Arial"/>
          <w:b/>
          <w:color w:val="000000" w:themeColor="text1"/>
          <w:sz w:val="22"/>
          <w:lang w:val="es-ES"/>
        </w:rPr>
        <w:t xml:space="preserve">2411 de 2019 </w:t>
      </w:r>
    </w:p>
    <w:p w14:paraId="61082D68" w14:textId="77777777" w:rsidR="00EA4B35" w:rsidRPr="006C15D5" w:rsidRDefault="00EA4B35" w:rsidP="00EA4B35">
      <w:pPr>
        <w:jc w:val="both"/>
        <w:rPr>
          <w:rFonts w:ascii="Arial" w:eastAsia="Calibri" w:hAnsi="Arial" w:cs="Arial"/>
          <w:b/>
          <w:color w:val="000000" w:themeColor="text1"/>
          <w:sz w:val="20"/>
          <w:szCs w:val="20"/>
        </w:rPr>
      </w:pPr>
    </w:p>
    <w:p w14:paraId="64EECA9D" w14:textId="6D332444" w:rsidR="00EA4B35" w:rsidRPr="00EA4B35" w:rsidRDefault="00EA4B35" w:rsidP="00EA4B35">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009C1B05" w:rsidRPr="009C1B05">
        <w:rPr>
          <w:rFonts w:ascii="Arial" w:eastAsia="Calibri" w:hAnsi="Arial" w:cs="Arial"/>
          <w:bCs/>
          <w:color w:val="000000" w:themeColor="text1"/>
          <w:sz w:val="20"/>
          <w:szCs w:val="20"/>
          <w:lang w:val="es-ES"/>
        </w:rPr>
        <w:t>para la vigencia fiscal de 2020, nuevamente aplica el límite del valor de los honorarios para los contratos de prestación de servicios, por dos (2) razones. Por un lado, porque el numeral «02» del artículo 35 del Decreto 2411 de 2019 prohíbe expresamente pactarlos por un valor mayor al de la remuneración mensual del jefe de la entidad, y por otra parte, porque el numeral «02 02» de la misma disposición lo ratifica, al remitirse expresamente al artículo 2.8.4.4.6 del Decreto 1068 de 2015</w:t>
      </w:r>
      <w:r w:rsidRPr="00EA4B35">
        <w:rPr>
          <w:rFonts w:ascii="Arial" w:eastAsia="Calibri" w:hAnsi="Arial" w:cs="Arial"/>
          <w:bCs/>
          <w:color w:val="000000" w:themeColor="text1"/>
          <w:sz w:val="20"/>
          <w:szCs w:val="20"/>
          <w:lang w:val="es-ES"/>
        </w:rPr>
        <w:t xml:space="preserve">. </w:t>
      </w:r>
    </w:p>
    <w:p w14:paraId="44021FC2" w14:textId="4F5FC191" w:rsidR="00EA4B35" w:rsidRPr="00CB1CDD" w:rsidRDefault="009C1B05" w:rsidP="00EA4B35">
      <w:pPr>
        <w:jc w:val="both"/>
        <w:rPr>
          <w:rFonts w:ascii="Arial" w:eastAsia="Calibri" w:hAnsi="Arial" w:cs="Arial"/>
          <w:bCs/>
          <w:color w:val="000000" w:themeColor="text1"/>
          <w:sz w:val="20"/>
          <w:szCs w:val="20"/>
          <w:lang w:val="es-ES"/>
        </w:rPr>
      </w:pPr>
      <w:r w:rsidRPr="009C1B05">
        <w:rPr>
          <w:rFonts w:ascii="Arial" w:eastAsia="Calibri" w:hAnsi="Arial" w:cs="Arial"/>
          <w:bCs/>
          <w:color w:val="000000" w:themeColor="text1"/>
          <w:sz w:val="20"/>
          <w:szCs w:val="20"/>
          <w:lang w:val="es-ES"/>
        </w:rPr>
        <w:t>Lo anterior implica que el Decreto 2411 de 2019 no tenía la intención de derogar el Decreto 1068 de 2015, pues aquel incluye el concepto «remuneración servicios técnicos» como un gasto relacionado con las «adquisiciones diferentes de activos». Por lo tanto, en los órganos y entidades que conforman el presupuesto general de la nación –no así en las entidades territoriales, salvo que sus propias normas presupuestales lo establezcan–, conforme al artículo 3 del Decreto 2411 de 2019, el límite de los honorarios para los contratos de prestación de servicios se fundamenta actualmente tanto en numeral «02» como en el «02 02» del artículo 35, y adicionalmente en el artículo 2.8.4.4.6 del Decreto 1068 de 2015</w:t>
      </w:r>
      <w:r w:rsidR="00EA4B35">
        <w:rPr>
          <w:rFonts w:ascii="Arial" w:eastAsia="Calibri" w:hAnsi="Arial" w:cs="Arial"/>
          <w:bCs/>
          <w:color w:val="000000" w:themeColor="text1"/>
          <w:sz w:val="20"/>
          <w:szCs w:val="20"/>
          <w:lang w:val="es-ES"/>
        </w:rPr>
        <w:t>.</w:t>
      </w:r>
      <w:r w:rsidR="00EA4B35" w:rsidRPr="00EA4B35">
        <w:rPr>
          <w:rFonts w:ascii="Arial" w:eastAsia="Calibri" w:hAnsi="Arial" w:cs="Arial"/>
          <w:bCs/>
          <w:color w:val="000000" w:themeColor="text1"/>
          <w:sz w:val="20"/>
          <w:szCs w:val="20"/>
          <w:lang w:val="es-ES"/>
        </w:rPr>
        <w:t xml:space="preserve"> </w:t>
      </w:r>
      <w:r w:rsidR="00EA4B35" w:rsidRPr="00CB1CDD">
        <w:rPr>
          <w:rFonts w:ascii="Arial" w:eastAsia="Calibri" w:hAnsi="Arial" w:cs="Arial"/>
          <w:bCs/>
          <w:color w:val="000000" w:themeColor="text1"/>
          <w:sz w:val="20"/>
          <w:szCs w:val="20"/>
          <w:lang w:val="es-ES"/>
        </w:rPr>
        <w:t xml:space="preserve"> </w:t>
      </w:r>
    </w:p>
    <w:p w14:paraId="37038558" w14:textId="7455F221" w:rsidR="00825FD3" w:rsidRPr="00D84C48" w:rsidRDefault="00825FD3" w:rsidP="005C5B7C">
      <w:pPr>
        <w:jc w:val="both"/>
        <w:rPr>
          <w:rFonts w:ascii="Arial" w:eastAsia="Calibri" w:hAnsi="Arial" w:cs="Arial"/>
          <w:color w:val="000000" w:themeColor="text1"/>
          <w:sz w:val="20"/>
          <w:szCs w:val="20"/>
        </w:rPr>
      </w:pPr>
    </w:p>
    <w:p w14:paraId="2036CB1C" w14:textId="77777777" w:rsidR="005C5B7C" w:rsidRPr="00D84C48" w:rsidRDefault="005C5B7C" w:rsidP="005C5B7C">
      <w:pPr>
        <w:jc w:val="both"/>
        <w:rPr>
          <w:rFonts w:ascii="Arial" w:eastAsia="Calibri" w:hAnsi="Arial" w:cs="Arial"/>
          <w:color w:val="000000" w:themeColor="text1"/>
          <w:sz w:val="20"/>
          <w:szCs w:val="20"/>
        </w:rPr>
      </w:pPr>
    </w:p>
    <w:p w14:paraId="6C2D1181" w14:textId="7CA21753" w:rsidR="00387D0F" w:rsidRDefault="00387D0F" w:rsidP="00387D0F">
      <w:pPr>
        <w:rPr>
          <w:rFonts w:ascii="Arial" w:hAnsi="Arial" w:cs="Arial"/>
          <w:b/>
          <w:sz w:val="22"/>
          <w:szCs w:val="20"/>
        </w:rPr>
      </w:pPr>
      <w:r w:rsidRPr="00387D0F">
        <w:rPr>
          <w:rFonts w:ascii="Arial" w:hAnsi="Arial" w:cs="Arial"/>
          <w:sz w:val="22"/>
          <w:szCs w:val="20"/>
        </w:rPr>
        <w:t xml:space="preserve">Bogotá D.C., </w:t>
      </w:r>
      <w:r w:rsidR="00C36534" w:rsidRPr="00C36534">
        <w:rPr>
          <w:rFonts w:ascii="Arial" w:hAnsi="Arial" w:cs="Arial"/>
          <w:b/>
          <w:sz w:val="22"/>
          <w:szCs w:val="20"/>
        </w:rPr>
        <w:t>22/07/2020 Hora 21:8:2s</w:t>
      </w:r>
    </w:p>
    <w:p w14:paraId="355C471E" w14:textId="77777777" w:rsidR="00387D0F" w:rsidRPr="00387D0F" w:rsidRDefault="00387D0F" w:rsidP="00387D0F">
      <w:pPr>
        <w:rPr>
          <w:rFonts w:ascii="Arial" w:hAnsi="Arial" w:cs="Arial"/>
          <w:b/>
          <w:sz w:val="22"/>
          <w:szCs w:val="20"/>
        </w:rPr>
      </w:pPr>
    </w:p>
    <w:p w14:paraId="18057FBF" w14:textId="7C224AA1" w:rsidR="00387D0F" w:rsidRPr="00387D0F" w:rsidRDefault="00387D0F" w:rsidP="00387D0F">
      <w:pPr>
        <w:jc w:val="right"/>
        <w:rPr>
          <w:rFonts w:ascii="Arial" w:hAnsi="Arial" w:cs="Arial"/>
          <w:b/>
          <w:sz w:val="22"/>
          <w:szCs w:val="20"/>
        </w:rPr>
      </w:pPr>
      <w:r w:rsidRPr="00387D0F">
        <w:rPr>
          <w:rFonts w:ascii="Arial" w:hAnsi="Arial" w:cs="Arial"/>
          <w:b/>
          <w:sz w:val="22"/>
          <w:szCs w:val="20"/>
        </w:rPr>
        <w:t xml:space="preserve">N° Radicado: </w:t>
      </w:r>
      <w:r w:rsidR="00C36534" w:rsidRPr="00C36534">
        <w:rPr>
          <w:rFonts w:ascii="Arial" w:hAnsi="Arial" w:cs="Arial"/>
          <w:b/>
          <w:sz w:val="22"/>
          <w:szCs w:val="20"/>
        </w:rPr>
        <w:t>2202013000006520</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4C0F51AD"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462FA0">
        <w:rPr>
          <w:rFonts w:ascii="Arial" w:eastAsia="Calibri" w:hAnsi="Arial" w:cs="Arial"/>
          <w:color w:val="000000" w:themeColor="text1"/>
          <w:sz w:val="22"/>
        </w:rPr>
        <w:t>a</w:t>
      </w:r>
    </w:p>
    <w:p w14:paraId="3E41476E" w14:textId="677A8526" w:rsidR="00755335" w:rsidRDefault="00755335" w:rsidP="00BE1E33">
      <w:pPr>
        <w:rPr>
          <w:rFonts w:ascii="Arial" w:eastAsia="Calibri" w:hAnsi="Arial" w:cs="Arial"/>
          <w:b/>
          <w:color w:val="000000" w:themeColor="text1"/>
          <w:sz w:val="22"/>
        </w:rPr>
      </w:pPr>
      <w:r w:rsidRPr="00755335">
        <w:rPr>
          <w:rFonts w:ascii="Arial" w:eastAsia="Calibri" w:hAnsi="Arial" w:cs="Arial"/>
          <w:b/>
          <w:color w:val="000000" w:themeColor="text1"/>
          <w:sz w:val="22"/>
        </w:rPr>
        <w:t>Luz Dary Cuevas</w:t>
      </w:r>
    </w:p>
    <w:p w14:paraId="095BF112" w14:textId="33722D51" w:rsidR="00BE1E33" w:rsidRPr="006C15D5" w:rsidRDefault="00EA62F1" w:rsidP="00BE1E33">
      <w:pPr>
        <w:rPr>
          <w:rFonts w:ascii="Arial" w:eastAsia="Calibri" w:hAnsi="Arial" w:cs="Arial"/>
          <w:color w:val="000000" w:themeColor="text1"/>
          <w:sz w:val="22"/>
        </w:rPr>
      </w:pPr>
      <w:r>
        <w:rPr>
          <w:rFonts w:ascii="Arial" w:eastAsia="Calibri" w:hAnsi="Arial" w:cs="Arial"/>
          <w:color w:val="000000" w:themeColor="text1"/>
          <w:sz w:val="22"/>
        </w:rPr>
        <w:t>Bogotá D.C.</w:t>
      </w:r>
      <w:r w:rsidR="00BE1E33" w:rsidRPr="006C15D5">
        <w:rPr>
          <w:rFonts w:ascii="Arial" w:eastAsia="Calibri" w:hAnsi="Arial" w:cs="Arial"/>
          <w:color w:val="000000" w:themeColor="text1"/>
          <w:sz w:val="22"/>
        </w:rPr>
        <w:t xml:space="preserve">, </w:t>
      </w:r>
      <w:r>
        <w:rPr>
          <w:rFonts w:ascii="Arial" w:eastAsia="Calibri" w:hAnsi="Arial" w:cs="Arial"/>
          <w:color w:val="000000" w:themeColor="text1"/>
          <w:sz w:val="22"/>
        </w:rPr>
        <w:t>Cundinamarca</w:t>
      </w:r>
    </w:p>
    <w:p w14:paraId="5CEA4ADF" w14:textId="1E2384BB"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714E42">
        <w:rPr>
          <w:rFonts w:ascii="Arial" w:eastAsia="Calibri" w:hAnsi="Arial" w:cs="Arial"/>
          <w:b/>
          <w:color w:val="000000" w:themeColor="text1"/>
          <w:sz w:val="22"/>
        </w:rPr>
        <w:t>475</w:t>
      </w:r>
      <w:r w:rsidRPr="006C15D5">
        <w:rPr>
          <w:rFonts w:ascii="Arial" w:eastAsia="Calibri" w:hAnsi="Arial" w:cs="Arial"/>
          <w:b/>
          <w:color w:val="000000" w:themeColor="text1"/>
          <w:sz w:val="22"/>
        </w:rPr>
        <w:t xml:space="preserve"> de 2020</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7E8B8EB0" w:rsidR="00BE1E33" w:rsidRPr="006C15D5" w:rsidRDefault="00843C86">
            <w:pPr>
              <w:jc w:val="both"/>
              <w:rPr>
                <w:rFonts w:ascii="Arial" w:eastAsia="Calibri" w:hAnsi="Arial" w:cs="Arial"/>
                <w:color w:val="000000" w:themeColor="text1"/>
                <w:sz w:val="22"/>
              </w:rPr>
            </w:pPr>
            <w:r w:rsidRPr="00843C86">
              <w:rPr>
                <w:rFonts w:ascii="Arial" w:eastAsia="Calibri" w:hAnsi="Arial" w:cs="Arial"/>
                <w:color w:val="000000" w:themeColor="text1"/>
                <w:sz w:val="22"/>
              </w:rPr>
              <w:t>COLOMBIA COMPRA EFICIENTE – Competencia consultiva – Contratación estatal – Normas generales</w:t>
            </w:r>
            <w:r w:rsidR="001E4EC1" w:rsidRPr="001E4EC1">
              <w:rPr>
                <w:rFonts w:ascii="Arial" w:eastAsia="Calibri" w:hAnsi="Arial" w:cs="Arial"/>
                <w:color w:val="000000" w:themeColor="text1"/>
                <w:sz w:val="22"/>
              </w:rPr>
              <w:t xml:space="preserve"> </w:t>
            </w:r>
            <w:r w:rsidR="001E4EC1">
              <w:rPr>
                <w:rFonts w:ascii="Arial" w:eastAsia="Calibri" w:hAnsi="Arial" w:cs="Arial"/>
                <w:color w:val="000000" w:themeColor="text1"/>
                <w:sz w:val="22"/>
              </w:rPr>
              <w:t xml:space="preserve">/ </w:t>
            </w:r>
            <w:r w:rsidRPr="00843C86">
              <w:rPr>
                <w:rFonts w:ascii="Arial" w:eastAsia="Calibri" w:hAnsi="Arial" w:cs="Arial"/>
                <w:color w:val="000000" w:themeColor="text1"/>
                <w:sz w:val="22"/>
              </w:rPr>
              <w:t>CONTRATACIÓN DIRECTA – Pluralidad de oferentes – Ausencia – Reglamento – Integración</w:t>
            </w:r>
            <w:r w:rsidR="001E4EC1">
              <w:rPr>
                <w:rFonts w:ascii="Arial" w:eastAsia="Calibri" w:hAnsi="Arial" w:cs="Arial"/>
                <w:color w:val="000000" w:themeColor="text1"/>
                <w:sz w:val="22"/>
              </w:rPr>
              <w:t xml:space="preserve"> / </w:t>
            </w:r>
            <w:r w:rsidRPr="00843C86">
              <w:rPr>
                <w:rFonts w:ascii="Arial" w:eastAsia="Calibri" w:hAnsi="Arial" w:cs="Arial"/>
                <w:color w:val="000000" w:themeColor="text1"/>
                <w:sz w:val="22"/>
              </w:rPr>
              <w:t>CONTRATACIÓN DIRECTA – Pluralidad de oferentes – Ausencia – Derechos de propiedad industrial – Derechos de autor – Titularidad</w:t>
            </w:r>
            <w:r w:rsidR="001E4EC1" w:rsidRPr="001E4EC1">
              <w:rPr>
                <w:rFonts w:ascii="Arial" w:eastAsia="Calibri" w:hAnsi="Arial" w:cs="Arial"/>
                <w:color w:val="000000" w:themeColor="text1"/>
                <w:sz w:val="22"/>
              </w:rPr>
              <w:t xml:space="preserve"> </w:t>
            </w:r>
            <w:r w:rsidR="001E4EC1">
              <w:rPr>
                <w:rFonts w:ascii="Arial" w:eastAsia="Calibri" w:hAnsi="Arial" w:cs="Arial"/>
                <w:color w:val="000000" w:themeColor="text1"/>
                <w:sz w:val="22"/>
              </w:rPr>
              <w:t xml:space="preserve">/ </w:t>
            </w:r>
            <w:r w:rsidRPr="00843C86">
              <w:rPr>
                <w:rFonts w:ascii="Arial" w:eastAsia="Calibri" w:hAnsi="Arial" w:cs="Arial"/>
                <w:color w:val="000000" w:themeColor="text1"/>
                <w:sz w:val="22"/>
              </w:rPr>
              <w:t>CONTRATACIÓN DIRECTA – Pluralidad de oferentes – Ausencia – Proveedor exclusivo – Alcance</w:t>
            </w:r>
            <w:r w:rsidR="00F52BC9" w:rsidRPr="00F52BC9">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843C86">
              <w:rPr>
                <w:rFonts w:ascii="Arial" w:eastAsia="Calibri" w:hAnsi="Arial" w:cs="Arial"/>
                <w:color w:val="000000" w:themeColor="text1"/>
                <w:sz w:val="22"/>
              </w:rPr>
              <w:t>CONTRATACIÓN DIRECTA – Pluralidad de oferentes – Ausencia – interpretación estricta</w:t>
            </w:r>
            <w:r>
              <w:rPr>
                <w:rFonts w:ascii="Arial" w:eastAsia="Calibri" w:hAnsi="Arial" w:cs="Arial"/>
                <w:color w:val="000000" w:themeColor="text1"/>
                <w:sz w:val="22"/>
              </w:rPr>
              <w:t xml:space="preserve"> </w:t>
            </w:r>
            <w:r w:rsidR="00BE1E33" w:rsidRPr="006C15D5">
              <w:rPr>
                <w:rFonts w:ascii="Arial" w:eastAsia="Calibri" w:hAnsi="Arial" w:cs="Arial"/>
                <w:color w:val="000000" w:themeColor="text1"/>
                <w:sz w:val="22"/>
              </w:rPr>
              <w:t xml:space="preserve">/ </w:t>
            </w:r>
            <w:r w:rsidRPr="00843C86">
              <w:rPr>
                <w:rFonts w:ascii="Arial" w:eastAsia="Calibri" w:hAnsi="Arial" w:cs="Arial"/>
                <w:color w:val="000000" w:themeColor="text1"/>
                <w:sz w:val="22"/>
              </w:rPr>
              <w:t>CONTRATO DE PRESTACIÓN DE SERVICIOS – Limitación – Honorarios – Decreto 1737 de 2018 – Decreto 2209 de 2018</w:t>
            </w:r>
            <w:r>
              <w:rPr>
                <w:rFonts w:ascii="Arial" w:eastAsia="Calibri" w:hAnsi="Arial" w:cs="Arial"/>
                <w:color w:val="000000" w:themeColor="text1"/>
                <w:sz w:val="22"/>
              </w:rPr>
              <w:t xml:space="preserve"> /</w:t>
            </w:r>
            <w:r w:rsidR="00EF567A">
              <w:rPr>
                <w:rFonts w:ascii="Arial" w:eastAsia="Calibri" w:hAnsi="Arial" w:cs="Arial"/>
                <w:color w:val="000000" w:themeColor="text1"/>
                <w:sz w:val="22"/>
              </w:rPr>
              <w:t xml:space="preserve"> </w:t>
            </w:r>
            <w:r w:rsidR="00EF567A" w:rsidRPr="00EF567A">
              <w:rPr>
                <w:rFonts w:ascii="Arial" w:eastAsia="Calibri" w:hAnsi="Arial" w:cs="Arial"/>
                <w:color w:val="000000" w:themeColor="text1"/>
                <w:sz w:val="22"/>
              </w:rPr>
              <w:t>CONTRATO DE PRESTACIÓN DE SERVICIOS – Limitación – Honorarios – Decreto 2785 de 2011 – Decreto 1068 de 2015</w:t>
            </w:r>
            <w:r w:rsidR="00EF567A">
              <w:rPr>
                <w:rFonts w:ascii="Arial" w:eastAsia="Calibri" w:hAnsi="Arial" w:cs="Arial"/>
                <w:color w:val="000000" w:themeColor="text1"/>
                <w:sz w:val="22"/>
              </w:rPr>
              <w:t xml:space="preserve"> / </w:t>
            </w:r>
            <w:r w:rsidR="00391F3F" w:rsidRPr="00391F3F">
              <w:rPr>
                <w:rFonts w:ascii="Arial" w:eastAsia="Calibri" w:hAnsi="Arial" w:cs="Arial"/>
                <w:color w:val="000000" w:themeColor="text1"/>
                <w:sz w:val="22"/>
              </w:rPr>
              <w:t>CONTRATO DE PRESTACIÓN DE SERVICIOS – Limitación – Honorarios – Decreto 1068 de 2015 – Ámbito de aplicación – Tesoro público – Entidades territoriales – autonomía presupuestal</w:t>
            </w:r>
            <w:r w:rsidR="00391F3F">
              <w:rPr>
                <w:rFonts w:ascii="Arial" w:eastAsia="Calibri" w:hAnsi="Arial" w:cs="Arial"/>
                <w:color w:val="000000" w:themeColor="text1"/>
                <w:sz w:val="22"/>
              </w:rPr>
              <w:t xml:space="preserve"> / </w:t>
            </w:r>
            <w:r w:rsidR="00391F3F" w:rsidRPr="00391F3F">
              <w:rPr>
                <w:rFonts w:ascii="Arial" w:eastAsia="Calibri" w:hAnsi="Arial" w:cs="Arial"/>
                <w:color w:val="000000" w:themeColor="text1"/>
                <w:sz w:val="22"/>
              </w:rPr>
              <w:t>CONTRATO DE PRESTACIÓN DE SERVICIOS – Limitación – Honorarios – Remuneración servicios técnicos – Decreto 2236 de 2017</w:t>
            </w:r>
            <w:r w:rsidR="00391F3F">
              <w:rPr>
                <w:rFonts w:ascii="Arial" w:eastAsia="Calibri" w:hAnsi="Arial" w:cs="Arial"/>
                <w:color w:val="000000" w:themeColor="text1"/>
                <w:sz w:val="22"/>
              </w:rPr>
              <w:t xml:space="preserve"> / </w:t>
            </w:r>
            <w:r w:rsidR="00391F3F" w:rsidRPr="00391F3F">
              <w:rPr>
                <w:rFonts w:ascii="Arial" w:eastAsia="Calibri" w:hAnsi="Arial" w:cs="Arial"/>
                <w:color w:val="000000" w:themeColor="text1"/>
                <w:sz w:val="22"/>
              </w:rPr>
              <w:t>CONTRATO DE PRESTACIÓN DE SERVICIOS – Limitación – Honorarios – Remuneración servicios técnicos – Decreto 2467 de 2018</w:t>
            </w:r>
            <w:r w:rsidR="00391F3F">
              <w:rPr>
                <w:rFonts w:ascii="Arial" w:eastAsia="Calibri" w:hAnsi="Arial" w:cs="Arial"/>
                <w:color w:val="000000" w:themeColor="text1"/>
                <w:sz w:val="22"/>
              </w:rPr>
              <w:t xml:space="preserve"> / </w:t>
            </w:r>
            <w:r w:rsidR="00391F3F" w:rsidRPr="00391F3F">
              <w:rPr>
                <w:rFonts w:ascii="Arial" w:eastAsia="Calibri" w:hAnsi="Arial" w:cs="Arial"/>
                <w:color w:val="000000" w:themeColor="text1"/>
                <w:sz w:val="22"/>
              </w:rPr>
              <w:t>CONTRATO DE PRESTACIÓN DE SERVICIOS – Limitación – Honorarios – Remuneración servicios técnicos – Decreto 2411 de 2019</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5BA7B1AE"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consulta </w:t>
            </w:r>
            <w:r w:rsidR="00110723" w:rsidRPr="00110723">
              <w:rPr>
                <w:rFonts w:ascii="Arial" w:eastAsia="Calibri" w:hAnsi="Arial" w:cs="Arial"/>
                <w:color w:val="000000" w:themeColor="text1"/>
                <w:sz w:val="22"/>
              </w:rPr>
              <w:t>4202013000005760</w:t>
            </w:r>
            <w:r w:rsidRPr="006C15D5">
              <w:rPr>
                <w:rFonts w:ascii="Arial" w:eastAsia="Calibri" w:hAnsi="Arial" w:cs="Arial"/>
                <w:color w:val="000000" w:themeColor="text1"/>
                <w:sz w:val="22"/>
              </w:rPr>
              <w:t xml:space="preserve"> </w:t>
            </w:r>
          </w:p>
        </w:tc>
      </w:tr>
      <w:tr w:rsidR="00770D7D" w:rsidRPr="003F6D32" w14:paraId="27C2F130" w14:textId="77777777" w:rsidTr="00AC43E7">
        <w:tc>
          <w:tcPr>
            <w:tcW w:w="2689" w:type="dxa"/>
          </w:tcPr>
          <w:p w14:paraId="2CAB0965" w14:textId="77777777" w:rsidR="00770D7D" w:rsidRPr="006C15D5" w:rsidRDefault="00770D7D" w:rsidP="00AC43E7">
            <w:pPr>
              <w:spacing w:before="120"/>
              <w:rPr>
                <w:rFonts w:ascii="Arial" w:eastAsia="Calibri" w:hAnsi="Arial" w:cs="Arial"/>
                <w:b/>
                <w:color w:val="000000" w:themeColor="text1"/>
                <w:sz w:val="22"/>
              </w:rPr>
            </w:pPr>
          </w:p>
        </w:tc>
        <w:tc>
          <w:tcPr>
            <w:tcW w:w="6237" w:type="dxa"/>
          </w:tcPr>
          <w:p w14:paraId="38942E59" w14:textId="77777777" w:rsidR="00770D7D" w:rsidRPr="006C15D5" w:rsidRDefault="00770D7D" w:rsidP="00AC43E7">
            <w:pPr>
              <w:spacing w:before="120"/>
              <w:jc w:val="both"/>
              <w:rPr>
                <w:rFonts w:ascii="Arial" w:eastAsia="Calibri" w:hAnsi="Arial" w:cs="Arial"/>
                <w:color w:val="000000" w:themeColor="text1"/>
                <w:sz w:val="22"/>
              </w:rPr>
            </w:pP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79B076D5"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0D7AC3">
        <w:rPr>
          <w:rFonts w:ascii="Arial" w:eastAsia="Calibri" w:hAnsi="Arial" w:cs="Arial"/>
          <w:color w:val="000000" w:themeColor="text1"/>
          <w:sz w:val="22"/>
        </w:rPr>
        <w:t>a</w:t>
      </w:r>
      <w:r w:rsidR="009C27A9">
        <w:rPr>
          <w:rFonts w:ascii="Arial" w:eastAsia="Calibri" w:hAnsi="Arial" w:cs="Arial"/>
          <w:color w:val="000000" w:themeColor="text1"/>
          <w:sz w:val="22"/>
        </w:rPr>
        <w:t xml:space="preserve"> </w:t>
      </w:r>
      <w:r w:rsidRPr="006C15D5">
        <w:rPr>
          <w:rFonts w:ascii="Arial" w:eastAsia="Calibri" w:hAnsi="Arial" w:cs="Arial"/>
          <w:color w:val="000000" w:themeColor="text1"/>
          <w:sz w:val="22"/>
        </w:rPr>
        <w:t>señor</w:t>
      </w:r>
      <w:r w:rsidR="000D7AC3">
        <w:rPr>
          <w:rFonts w:ascii="Arial" w:eastAsia="Calibri" w:hAnsi="Arial" w:cs="Arial"/>
          <w:color w:val="000000" w:themeColor="text1"/>
          <w:sz w:val="22"/>
        </w:rPr>
        <w:t>a</w:t>
      </w:r>
      <w:r w:rsidRPr="006C15D5">
        <w:rPr>
          <w:rFonts w:ascii="Arial" w:eastAsia="Calibri" w:hAnsi="Arial" w:cs="Arial"/>
          <w:color w:val="000000" w:themeColor="text1"/>
          <w:sz w:val="22"/>
        </w:rPr>
        <w:t xml:space="preserve"> </w:t>
      </w:r>
      <w:r w:rsidR="007F7C00">
        <w:rPr>
          <w:rFonts w:ascii="Arial" w:eastAsia="Calibri" w:hAnsi="Arial" w:cs="Arial"/>
          <w:color w:val="000000" w:themeColor="text1"/>
          <w:sz w:val="22"/>
        </w:rPr>
        <w:t>Cuevas</w:t>
      </w:r>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739B7E8B"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7F7C00">
        <w:rPr>
          <w:rFonts w:ascii="Arial" w:eastAsia="Calibri" w:hAnsi="Arial" w:cs="Arial"/>
          <w:color w:val="000000" w:themeColor="text1"/>
          <w:sz w:val="22"/>
        </w:rPr>
        <w:t>9 de julio</w:t>
      </w:r>
      <w:r w:rsidRPr="006C15D5">
        <w:rPr>
          <w:rFonts w:ascii="Arial" w:eastAsia="Calibri" w:hAnsi="Arial" w:cs="Arial"/>
          <w:color w:val="000000" w:themeColor="text1"/>
          <w:sz w:val="22"/>
        </w:rPr>
        <w:t xml:space="preserve"> de 2020.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741F3B6B" w14:textId="5E3BBED9" w:rsidR="00BE1E33" w:rsidRPr="006C15D5" w:rsidRDefault="00C07B5E" w:rsidP="00C07B5E">
      <w:pPr>
        <w:tabs>
          <w:tab w:val="left" w:pos="426"/>
        </w:tabs>
        <w:spacing w:line="276" w:lineRule="auto"/>
        <w:jc w:val="both"/>
        <w:rPr>
          <w:rFonts w:ascii="Arial" w:eastAsia="Calibri" w:hAnsi="Arial" w:cs="Arial"/>
          <w:color w:val="000000" w:themeColor="text1"/>
          <w:sz w:val="22"/>
        </w:rPr>
      </w:pPr>
      <w:bookmarkStart w:id="7" w:name="_Hlk41142281"/>
      <w:bookmarkStart w:id="8" w:name="_Hlk41043439"/>
      <w:r>
        <w:rPr>
          <w:rFonts w:ascii="Arial" w:eastAsia="Calibri" w:hAnsi="Arial" w:cs="Arial"/>
          <w:color w:val="000000" w:themeColor="text1"/>
          <w:sz w:val="22"/>
        </w:rPr>
        <w:t>U</w:t>
      </w:r>
      <w:r w:rsidR="00EA62F1">
        <w:rPr>
          <w:rFonts w:ascii="Arial" w:eastAsia="Calibri" w:hAnsi="Arial" w:cs="Arial"/>
          <w:color w:val="000000" w:themeColor="text1"/>
          <w:sz w:val="22"/>
        </w:rPr>
        <w:t>sted realiza la</w:t>
      </w:r>
      <w:r w:rsidR="007F7C00">
        <w:rPr>
          <w:rFonts w:ascii="Arial" w:eastAsia="Calibri" w:hAnsi="Arial" w:cs="Arial"/>
          <w:color w:val="000000" w:themeColor="text1"/>
          <w:sz w:val="22"/>
        </w:rPr>
        <w:t>s</w:t>
      </w:r>
      <w:r w:rsidR="00EA62F1">
        <w:rPr>
          <w:rFonts w:ascii="Arial" w:eastAsia="Calibri" w:hAnsi="Arial" w:cs="Arial"/>
          <w:color w:val="000000" w:themeColor="text1"/>
          <w:sz w:val="22"/>
        </w:rPr>
        <w:t xml:space="preserve"> siguiente</w:t>
      </w:r>
      <w:r w:rsidR="007F7C00">
        <w:rPr>
          <w:rFonts w:ascii="Arial" w:eastAsia="Calibri" w:hAnsi="Arial" w:cs="Arial"/>
          <w:color w:val="000000" w:themeColor="text1"/>
          <w:sz w:val="22"/>
        </w:rPr>
        <w:t>s</w:t>
      </w:r>
      <w:r w:rsidR="00EA62F1">
        <w:rPr>
          <w:rFonts w:ascii="Arial" w:eastAsia="Calibri" w:hAnsi="Arial" w:cs="Arial"/>
          <w:color w:val="000000" w:themeColor="text1"/>
          <w:sz w:val="22"/>
        </w:rPr>
        <w:t xml:space="preserve"> pregunta</w:t>
      </w:r>
      <w:r w:rsidR="007F7C00">
        <w:rPr>
          <w:rFonts w:ascii="Arial" w:eastAsia="Calibri" w:hAnsi="Arial" w:cs="Arial"/>
          <w:color w:val="000000" w:themeColor="text1"/>
          <w:sz w:val="22"/>
        </w:rPr>
        <w:t>s</w:t>
      </w:r>
      <w:r w:rsidR="00EA62F1">
        <w:rPr>
          <w:rFonts w:ascii="Arial" w:eastAsia="Calibri" w:hAnsi="Arial" w:cs="Arial"/>
          <w:color w:val="000000" w:themeColor="text1"/>
          <w:sz w:val="22"/>
        </w:rPr>
        <w:t>:</w:t>
      </w:r>
      <w:bookmarkEnd w:id="7"/>
      <w:bookmarkEnd w:id="8"/>
      <w:r w:rsidR="007F7C00">
        <w:rPr>
          <w:rFonts w:ascii="Arial" w:eastAsia="Calibri" w:hAnsi="Arial" w:cs="Arial"/>
          <w:color w:val="000000" w:themeColor="text1"/>
          <w:sz w:val="22"/>
        </w:rPr>
        <w:t xml:space="preserve"> </w:t>
      </w:r>
      <w:bookmarkStart w:id="9" w:name="_Hlk45528724"/>
      <w:r w:rsidR="007F7C00">
        <w:rPr>
          <w:rFonts w:ascii="Arial" w:eastAsia="Calibri" w:hAnsi="Arial" w:cs="Arial"/>
          <w:color w:val="000000" w:themeColor="text1"/>
          <w:sz w:val="22"/>
        </w:rPr>
        <w:t xml:space="preserve">i) «[…] </w:t>
      </w:r>
      <w:r w:rsidR="007F7C00" w:rsidRPr="007F7C00">
        <w:rPr>
          <w:rFonts w:ascii="Arial" w:eastAsia="Calibri" w:hAnsi="Arial" w:cs="Arial"/>
          <w:color w:val="000000" w:themeColor="text1"/>
          <w:sz w:val="22"/>
        </w:rPr>
        <w:t xml:space="preserve">¿una entidad puede celebrar un contrato mediante la modalidad de contratación directa por la causal de proveedor exclusivo, con el productor de un software (fábrica) realizado por encargo, es decir, de propiedad de la entidad estatal, para el mantenimiento, soporte evolutivo y actualización de versiones, cuando en el estudio previo la dependencia solicitante manifiesta que éste proveedor es el único que puede mantener en el territorio nacional la garantía de fábrica, y por tanto es </w:t>
      </w:r>
      <w:r w:rsidR="007F7C00" w:rsidRPr="007F7C00">
        <w:rPr>
          <w:rFonts w:ascii="Arial" w:eastAsia="Calibri" w:hAnsi="Arial" w:cs="Arial"/>
          <w:color w:val="000000" w:themeColor="text1"/>
          <w:sz w:val="22"/>
        </w:rPr>
        <w:lastRenderedPageBreak/>
        <w:t>proveedor exclusivo?</w:t>
      </w:r>
      <w:r w:rsidR="007F7C00">
        <w:rPr>
          <w:rFonts w:ascii="Arial" w:eastAsia="Calibri" w:hAnsi="Arial" w:cs="Arial"/>
          <w:color w:val="000000" w:themeColor="text1"/>
          <w:sz w:val="22"/>
        </w:rPr>
        <w:t>»</w:t>
      </w:r>
      <w:bookmarkEnd w:id="9"/>
      <w:r w:rsidR="007F7C00">
        <w:rPr>
          <w:rFonts w:ascii="Arial" w:eastAsia="Calibri" w:hAnsi="Arial" w:cs="Arial"/>
          <w:color w:val="000000" w:themeColor="text1"/>
          <w:sz w:val="22"/>
        </w:rPr>
        <w:t xml:space="preserve">, </w:t>
      </w:r>
      <w:bookmarkStart w:id="10" w:name="_Hlk45530245"/>
      <w:r w:rsidR="007F7C00">
        <w:rPr>
          <w:rFonts w:ascii="Arial" w:eastAsia="Calibri" w:hAnsi="Arial" w:cs="Arial"/>
          <w:color w:val="000000" w:themeColor="text1"/>
          <w:sz w:val="22"/>
        </w:rPr>
        <w:t>ii) «</w:t>
      </w:r>
      <w:r w:rsidR="007F7C00" w:rsidRPr="007F7C00">
        <w:rPr>
          <w:rFonts w:ascii="Arial" w:eastAsia="Calibri" w:hAnsi="Arial" w:cs="Arial"/>
          <w:color w:val="000000" w:themeColor="text1"/>
          <w:sz w:val="22"/>
        </w:rPr>
        <w:t xml:space="preserve">¿Conforme </w:t>
      </w:r>
      <w:r w:rsidR="007F7C00">
        <w:rPr>
          <w:rFonts w:ascii="Arial" w:eastAsia="Calibri" w:hAnsi="Arial" w:cs="Arial"/>
          <w:color w:val="000000" w:themeColor="text1"/>
          <w:sz w:val="22"/>
        </w:rPr>
        <w:t xml:space="preserve">[a los artículos </w:t>
      </w:r>
      <w:r w:rsidR="007F7C00" w:rsidRPr="007F7C00">
        <w:rPr>
          <w:rFonts w:ascii="Arial" w:eastAsia="Calibri" w:hAnsi="Arial" w:cs="Arial"/>
          <w:color w:val="000000" w:themeColor="text1"/>
          <w:sz w:val="22"/>
        </w:rPr>
        <w:t>2.2.1.2.1.4.9 del Decreto 1082 de 2015</w:t>
      </w:r>
      <w:r w:rsidR="007F7C00">
        <w:rPr>
          <w:rFonts w:ascii="Arial" w:eastAsia="Calibri" w:hAnsi="Arial" w:cs="Arial"/>
          <w:color w:val="000000" w:themeColor="text1"/>
          <w:sz w:val="22"/>
        </w:rPr>
        <w:t xml:space="preserve">, </w:t>
      </w:r>
      <w:r w:rsidR="007F7C00" w:rsidRPr="007F7C00">
        <w:rPr>
          <w:rFonts w:ascii="Arial" w:eastAsia="Calibri" w:hAnsi="Arial" w:cs="Arial"/>
          <w:color w:val="000000" w:themeColor="text1"/>
          <w:sz w:val="22"/>
        </w:rPr>
        <w:t xml:space="preserve">2.8.4.4.6 del Decreto 1068 de 2015 </w:t>
      </w:r>
      <w:r w:rsidR="007F7C00">
        <w:rPr>
          <w:rFonts w:ascii="Arial" w:eastAsia="Calibri" w:hAnsi="Arial" w:cs="Arial"/>
          <w:color w:val="000000" w:themeColor="text1"/>
          <w:sz w:val="22"/>
        </w:rPr>
        <w:t xml:space="preserve">y el artículo 35 del Decreto </w:t>
      </w:r>
      <w:r w:rsidR="007F7C00" w:rsidRPr="007F7C00">
        <w:rPr>
          <w:rFonts w:ascii="Arial" w:eastAsia="Calibri" w:hAnsi="Arial" w:cs="Arial"/>
          <w:color w:val="000000" w:themeColor="text1"/>
          <w:sz w:val="22"/>
        </w:rPr>
        <w:t>2411 de 2019</w:t>
      </w:r>
      <w:r w:rsidR="007F7C00">
        <w:rPr>
          <w:rFonts w:ascii="Arial" w:eastAsia="Calibri" w:hAnsi="Arial" w:cs="Arial"/>
          <w:color w:val="000000" w:themeColor="text1"/>
          <w:sz w:val="22"/>
        </w:rPr>
        <w:t>]</w:t>
      </w:r>
      <w:r w:rsidR="007F7C00" w:rsidRPr="007F7C00">
        <w:rPr>
          <w:rFonts w:ascii="Arial" w:eastAsia="Calibri" w:hAnsi="Arial" w:cs="Arial"/>
          <w:color w:val="000000" w:themeColor="text1"/>
          <w:sz w:val="22"/>
        </w:rPr>
        <w:t xml:space="preserve"> se puede contratar a través de la modalidad de contratación directa una prestación de servicios profesionales, por un valor mensual superior a la remuneración del jefe de la entidad incluidos los factores prestacionales, cuyo objeto sea un servicio que se requiere anualmente de soporte a un software, teniendo en cuenta que el proveedor es idóneo para ejecutar el contrato por ser el fabricante del software, pese a que la titularidad de los derechos de autor los tiene la entidad estatal?</w:t>
      </w:r>
      <w:r w:rsidR="007F7C00">
        <w:rPr>
          <w:rFonts w:ascii="Arial" w:eastAsia="Calibri" w:hAnsi="Arial" w:cs="Arial"/>
          <w:color w:val="000000" w:themeColor="text1"/>
          <w:sz w:val="22"/>
        </w:rPr>
        <w:t>» (Corchete fuera de texto)</w:t>
      </w:r>
      <w:bookmarkEnd w:id="10"/>
      <w:r w:rsidR="007F7C00">
        <w:rPr>
          <w:rFonts w:ascii="Arial" w:eastAsia="Calibri" w:hAnsi="Arial" w:cs="Arial"/>
          <w:color w:val="000000" w:themeColor="text1"/>
          <w:sz w:val="22"/>
        </w:rPr>
        <w:t xml:space="preserve"> y </w:t>
      </w:r>
      <w:bookmarkStart w:id="11" w:name="_Hlk45530757"/>
      <w:r w:rsidR="007F7C00">
        <w:rPr>
          <w:rFonts w:ascii="Arial" w:eastAsia="Calibri" w:hAnsi="Arial" w:cs="Arial"/>
          <w:color w:val="000000" w:themeColor="text1"/>
          <w:sz w:val="22"/>
        </w:rPr>
        <w:t>iii) «</w:t>
      </w:r>
      <w:r w:rsidR="007F7C00" w:rsidRPr="007F7C00">
        <w:rPr>
          <w:rFonts w:ascii="Arial" w:eastAsia="Calibri" w:hAnsi="Arial" w:cs="Arial"/>
          <w:color w:val="000000" w:themeColor="text1"/>
          <w:sz w:val="22"/>
        </w:rPr>
        <w:t>¿De acuerdo con las normas mencionadas los servicios de forma continua pueden entenderse como aquellas adquisiciones recurrentes de las entidades, por ejemplo un mantenimiento mensual que se requiera por varios años?</w:t>
      </w:r>
      <w:r w:rsidR="005848F0">
        <w:rPr>
          <w:rFonts w:ascii="Arial" w:eastAsia="Calibri" w:hAnsi="Arial" w:cs="Arial"/>
          <w:color w:val="000000" w:themeColor="text1"/>
          <w:sz w:val="22"/>
        </w:rPr>
        <w:t>»</w:t>
      </w:r>
      <w:bookmarkEnd w:id="11"/>
      <w:r w:rsidR="007564C1">
        <w:rPr>
          <w:rFonts w:ascii="Arial" w:eastAsia="Calibri" w:hAnsi="Arial" w:cs="Arial"/>
          <w:color w:val="000000" w:themeColor="text1"/>
          <w:sz w:val="22"/>
        </w:rPr>
        <w:t xml:space="preserve">. </w:t>
      </w:r>
    </w:p>
    <w:p w14:paraId="6D375D8C" w14:textId="77777777" w:rsidR="00BE1E33" w:rsidRPr="006C15D5" w:rsidRDefault="00BE1E33" w:rsidP="00CE35D5">
      <w:pPr>
        <w:tabs>
          <w:tab w:val="left" w:pos="709"/>
        </w:tabs>
        <w:spacing w:line="276" w:lineRule="auto"/>
        <w:jc w:val="both"/>
        <w:rPr>
          <w:rFonts w:ascii="Arial" w:eastAsia="Calibri" w:hAnsi="Arial" w:cs="Arial"/>
          <w:color w:val="000000" w:themeColor="text1"/>
          <w:sz w:val="22"/>
        </w:rPr>
      </w:pPr>
    </w:p>
    <w:p w14:paraId="000CB06F" w14:textId="77777777" w:rsidR="00BE1E33" w:rsidRPr="006C15D5"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01D94D72" w14:textId="056761A8" w:rsidR="00BE1E33" w:rsidRDefault="00BE1E33" w:rsidP="00BE1E33">
      <w:pPr>
        <w:spacing w:line="276" w:lineRule="auto"/>
        <w:jc w:val="both"/>
        <w:rPr>
          <w:rFonts w:ascii="Arial" w:eastAsia="Calibri" w:hAnsi="Arial" w:cs="Arial"/>
          <w:color w:val="000000" w:themeColor="text1"/>
          <w:sz w:val="22"/>
        </w:rPr>
      </w:pPr>
    </w:p>
    <w:p w14:paraId="13504730" w14:textId="2B19B3B6" w:rsidR="00811233" w:rsidRDefault="00811233" w:rsidP="00811233">
      <w:pPr>
        <w:spacing w:after="120" w:line="276" w:lineRule="auto"/>
        <w:jc w:val="both"/>
        <w:rPr>
          <w:rFonts w:ascii="Arial" w:hAnsi="Arial" w:cs="Arial"/>
          <w:sz w:val="22"/>
        </w:rPr>
      </w:pPr>
      <w:r>
        <w:rPr>
          <w:rFonts w:ascii="Arial" w:hAnsi="Arial" w:cs="Arial"/>
          <w:sz w:val="22"/>
        </w:rPr>
        <w:t>De conformidad con el numeral 5 del artículo 3 y el numeral 8 del artículo 11 del Decreto 4170 de 2011, la Agencia Nacional de Contratación Pública – Colombia Compra Eficiente tiene competencia para atender consultas relativas a temas contractuales, pero solo para «absolver consultas sobre la aplicación de normas de carácter general</w:t>
      </w:r>
      <w:r>
        <w:rPr>
          <w:rFonts w:ascii="Arial" w:eastAsia="Calibri" w:hAnsi="Arial" w:cs="Arial"/>
          <w:sz w:val="22"/>
        </w:rPr>
        <w:t>»</w:t>
      </w:r>
      <w:r>
        <w:rPr>
          <w:rStyle w:val="Refdenotaalpie"/>
          <w:rFonts w:ascii="Arial" w:hAnsi="Arial" w:cs="Arial"/>
          <w:sz w:val="22"/>
        </w:rPr>
        <w:footnoteReference w:id="1"/>
      </w:r>
      <w:r>
        <w:rPr>
          <w:rFonts w:ascii="Arial" w:hAnsi="Arial" w:cs="Arial"/>
          <w:sz w:val="22"/>
        </w:rPr>
        <w:t>. Esto significa que la entidad no puede pronunciarse sobre situaciones o casos particulares.</w:t>
      </w:r>
    </w:p>
    <w:p w14:paraId="2B4864D0" w14:textId="0C7D2023" w:rsidR="00811233" w:rsidRPr="00DE1C73" w:rsidRDefault="00811233" w:rsidP="00E666D5">
      <w:pPr>
        <w:spacing w:after="120" w:line="276" w:lineRule="auto"/>
        <w:jc w:val="both"/>
        <w:rPr>
          <w:rFonts w:ascii="Arial" w:hAnsi="Arial" w:cs="Arial"/>
          <w:sz w:val="22"/>
        </w:rPr>
      </w:pPr>
      <w:r>
        <w:rPr>
          <w:rFonts w:ascii="Arial" w:hAnsi="Arial" w:cs="Arial"/>
          <w:sz w:val="22"/>
        </w:rPr>
        <w:tab/>
      </w:r>
      <w:bookmarkStart w:id="12" w:name="_Hlk45531815"/>
      <w:r>
        <w:rPr>
          <w:rFonts w:ascii="Arial" w:eastAsia="Calibri" w:hAnsi="Arial" w:cs="Arial"/>
          <w:sz w:val="22"/>
          <w:lang w:val="es-ES"/>
        </w:rPr>
        <w:t xml:space="preserve">La competencia de esta entidad se establece con límites claros con el objeto de evitar que los conceptos sean una </w:t>
      </w:r>
      <w:bookmarkStart w:id="13" w:name="_Hlk45529370"/>
      <w:r>
        <w:rPr>
          <w:rFonts w:ascii="Arial" w:eastAsia="Calibri" w:hAnsi="Arial" w:cs="Arial"/>
          <w:sz w:val="22"/>
          <w:lang w:val="es-ES"/>
        </w:rPr>
        <w:t xml:space="preserve">instancia de validación de las actuaciones de las demás </w:t>
      </w:r>
      <w:r w:rsidR="00DE1C73">
        <w:rPr>
          <w:rFonts w:ascii="Arial" w:eastAsia="Calibri" w:hAnsi="Arial" w:cs="Arial"/>
          <w:sz w:val="22"/>
          <w:lang w:val="es-ES"/>
        </w:rPr>
        <w:t>autoridades públicas</w:t>
      </w:r>
      <w:bookmarkEnd w:id="13"/>
      <w:r>
        <w:rPr>
          <w:rFonts w:ascii="Arial" w:eastAsia="Calibri" w:hAnsi="Arial" w:cs="Arial"/>
          <w:sz w:val="22"/>
          <w:lang w:val="es-ES"/>
        </w:rPr>
        <w:t>.</w:t>
      </w:r>
      <w:r w:rsidR="00DE1C73">
        <w:rPr>
          <w:rFonts w:ascii="Arial" w:eastAsia="Calibri" w:hAnsi="Arial" w:cs="Arial"/>
          <w:sz w:val="22"/>
          <w:lang w:val="es-ES"/>
        </w:rPr>
        <w:t xml:space="preserve"> Por ello</w:t>
      </w:r>
      <w:r>
        <w:rPr>
          <w:rFonts w:ascii="Arial" w:eastAsia="Calibri" w:hAnsi="Arial" w:cs="Arial"/>
          <w:sz w:val="22"/>
          <w:lang w:val="es-ES"/>
        </w:rPr>
        <w:t xml:space="preserve">, mediante el Concepto </w:t>
      </w:r>
      <w:r w:rsidRPr="00BD2A28">
        <w:rPr>
          <w:rFonts w:ascii="Arial" w:eastAsia="Calibri" w:hAnsi="Arial" w:cs="Arial"/>
          <w:sz w:val="22"/>
          <w:lang w:val="es-ES"/>
        </w:rPr>
        <w:t>4201814000006095</w:t>
      </w:r>
      <w:r>
        <w:rPr>
          <w:rFonts w:ascii="Arial" w:eastAsia="Calibri" w:hAnsi="Arial" w:cs="Arial"/>
          <w:sz w:val="22"/>
          <w:lang w:val="es-ES"/>
        </w:rPr>
        <w:t xml:space="preserve"> del 5 de septiembre de 2018, la Subdirección de Gestión Contractual explicó que «</w:t>
      </w:r>
      <w:r w:rsidRPr="00811233">
        <w:rPr>
          <w:rFonts w:ascii="Arial" w:eastAsia="Calibri" w:hAnsi="Arial" w:cs="Arial"/>
          <w:sz w:val="22"/>
          <w:lang w:val="es-ES"/>
        </w:rPr>
        <w:t>Colombia Compra Eficiente no es competente para resolver consultas referidas a actividades</w:t>
      </w:r>
      <w:r>
        <w:rPr>
          <w:rFonts w:ascii="Arial" w:eastAsia="Calibri" w:hAnsi="Arial" w:cs="Arial"/>
          <w:sz w:val="22"/>
          <w:lang w:val="es-ES"/>
        </w:rPr>
        <w:t xml:space="preserve"> </w:t>
      </w:r>
      <w:r w:rsidRPr="00811233">
        <w:rPr>
          <w:rFonts w:ascii="Arial" w:eastAsia="Calibri" w:hAnsi="Arial" w:cs="Arial"/>
          <w:sz w:val="22"/>
          <w:lang w:val="es-ES"/>
        </w:rPr>
        <w:t>contractuales específicas de las Entidades Estatales, ni para determinar si un oferente se constituye</w:t>
      </w:r>
      <w:r>
        <w:rPr>
          <w:rFonts w:ascii="Arial" w:eastAsia="Calibri" w:hAnsi="Arial" w:cs="Arial"/>
          <w:sz w:val="22"/>
          <w:lang w:val="es-ES"/>
        </w:rPr>
        <w:t xml:space="preserve"> </w:t>
      </w:r>
      <w:r w:rsidRPr="00811233">
        <w:rPr>
          <w:rFonts w:ascii="Arial" w:eastAsia="Calibri" w:hAnsi="Arial" w:cs="Arial"/>
          <w:sz w:val="22"/>
          <w:lang w:val="es-ES"/>
        </w:rPr>
        <w:t>como único proponente</w:t>
      </w:r>
      <w:r>
        <w:rPr>
          <w:rFonts w:ascii="Arial" w:eastAsia="Calibri" w:hAnsi="Arial" w:cs="Arial"/>
          <w:sz w:val="22"/>
          <w:lang w:val="es-ES"/>
        </w:rPr>
        <w:t>»</w:t>
      </w:r>
      <w:r w:rsidRPr="00811233">
        <w:rPr>
          <w:rFonts w:ascii="Arial" w:eastAsia="Calibri" w:hAnsi="Arial" w:cs="Arial"/>
          <w:sz w:val="22"/>
          <w:lang w:val="es-ES"/>
        </w:rPr>
        <w:t>.</w:t>
      </w:r>
      <w:bookmarkEnd w:id="12"/>
      <w:r w:rsidR="00FB1251">
        <w:rPr>
          <w:rFonts w:ascii="Arial" w:eastAsia="Calibri" w:hAnsi="Arial" w:cs="Arial"/>
          <w:sz w:val="22"/>
          <w:lang w:val="es-ES"/>
        </w:rPr>
        <w:t xml:space="preserve">  </w:t>
      </w:r>
      <w:r>
        <w:rPr>
          <w:rFonts w:ascii="Arial" w:eastAsia="Calibri" w:hAnsi="Arial" w:cs="Arial"/>
          <w:sz w:val="22"/>
          <w:lang w:val="es-ES"/>
        </w:rPr>
        <w:t xml:space="preserve"> </w:t>
      </w:r>
    </w:p>
    <w:p w14:paraId="44A3BEFF" w14:textId="77777777" w:rsidR="003C5DF4" w:rsidRPr="00044350" w:rsidRDefault="00FB1251" w:rsidP="003C5DF4">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rPr>
        <w:t>Sin perjuicio de lo anterior</w:t>
      </w:r>
      <w:r w:rsidR="0025095A">
        <w:rPr>
          <w:rFonts w:ascii="Arial" w:eastAsia="Calibri" w:hAnsi="Arial" w:cs="Arial"/>
          <w:color w:val="000000" w:themeColor="text1"/>
          <w:sz w:val="22"/>
        </w:rPr>
        <w:t>,</w:t>
      </w:r>
      <w:r w:rsidR="00E172B2">
        <w:rPr>
          <w:rFonts w:ascii="Arial" w:eastAsia="Calibri" w:hAnsi="Arial" w:cs="Arial"/>
          <w:color w:val="000000" w:themeColor="text1"/>
          <w:sz w:val="22"/>
        </w:rPr>
        <w:t xml:space="preserve"> </w:t>
      </w:r>
      <w:r w:rsidR="003C5DF4" w:rsidRPr="00044350">
        <w:rPr>
          <w:rFonts w:ascii="Arial" w:eastAsia="Calibri" w:hAnsi="Arial" w:cs="Arial"/>
          <w:color w:val="000000" w:themeColor="text1"/>
          <w:sz w:val="22"/>
          <w:lang w:val="es-ES"/>
        </w:rPr>
        <w:t xml:space="preserve">la Subdirección –dentro de los límites de sus atribuciones– resolverá las solicitudes conforme a las normas generales de los contratos estatales. Con este objetivo se analizarán los siguientes temas: i) </w:t>
      </w:r>
      <w:bookmarkStart w:id="14" w:name="_Hlk45458461"/>
      <w:r w:rsidR="003C5DF4" w:rsidRPr="00044350">
        <w:rPr>
          <w:rFonts w:ascii="Arial" w:eastAsia="Calibri" w:hAnsi="Arial" w:cs="Arial"/>
          <w:color w:val="000000" w:themeColor="text1"/>
          <w:sz w:val="22"/>
          <w:lang w:val="es-ES"/>
        </w:rPr>
        <w:t xml:space="preserve">contratación directa </w:t>
      </w:r>
      <w:r w:rsidR="003C5DF4" w:rsidRPr="00044350">
        <w:rPr>
          <w:rFonts w:ascii="Arial" w:eastAsia="Calibri" w:hAnsi="Arial" w:cs="Arial"/>
          <w:color w:val="000000" w:themeColor="text1"/>
          <w:sz w:val="22"/>
          <w:lang w:val="es-ES"/>
        </w:rPr>
        <w:lastRenderedPageBreak/>
        <w:t>cuando no existe pluralidad de oferentes</w:t>
      </w:r>
      <w:bookmarkEnd w:id="14"/>
      <w:r w:rsidR="003C5DF4" w:rsidRPr="00044350">
        <w:rPr>
          <w:rFonts w:ascii="Arial" w:eastAsia="Calibri" w:hAnsi="Arial" w:cs="Arial"/>
          <w:color w:val="000000" w:themeColor="text1"/>
          <w:sz w:val="22"/>
          <w:lang w:val="es-ES"/>
        </w:rPr>
        <w:t xml:space="preserve"> y ii) </w:t>
      </w:r>
      <w:bookmarkStart w:id="15" w:name="_Hlk45523115"/>
      <w:r w:rsidR="003C5DF4" w:rsidRPr="00044350">
        <w:rPr>
          <w:rFonts w:ascii="Arial" w:eastAsia="Calibri" w:hAnsi="Arial" w:cs="Arial"/>
          <w:color w:val="000000" w:themeColor="text1"/>
          <w:sz w:val="22"/>
          <w:lang w:val="es-ES"/>
        </w:rPr>
        <w:t>limitación de honorarios en los contratos de prestación de servicios</w:t>
      </w:r>
      <w:bookmarkEnd w:id="15"/>
      <w:r w:rsidR="003C5DF4" w:rsidRPr="00044350">
        <w:rPr>
          <w:rFonts w:ascii="Arial" w:eastAsia="Calibri" w:hAnsi="Arial" w:cs="Arial"/>
          <w:color w:val="000000" w:themeColor="text1"/>
          <w:sz w:val="22"/>
          <w:lang w:val="es-ES"/>
        </w:rPr>
        <w:t>.</w:t>
      </w:r>
    </w:p>
    <w:p w14:paraId="59A62CC3" w14:textId="1491E208" w:rsidR="00571405" w:rsidRDefault="009B3856" w:rsidP="003E3BA9">
      <w:pPr>
        <w:spacing w:line="276" w:lineRule="auto"/>
        <w:ind w:firstLine="708"/>
        <w:jc w:val="both"/>
        <w:rPr>
          <w:rFonts w:ascii="Arial" w:eastAsia="Calibri" w:hAnsi="Arial" w:cs="Arial"/>
          <w:color w:val="000000" w:themeColor="text1"/>
          <w:sz w:val="22"/>
        </w:rPr>
      </w:pPr>
      <w:r w:rsidRPr="009B3856">
        <w:rPr>
          <w:rFonts w:ascii="Arial" w:eastAsia="Calibri" w:hAnsi="Arial" w:cs="Arial"/>
          <w:color w:val="000000" w:themeColor="text1"/>
          <w:sz w:val="22"/>
        </w:rPr>
        <w:t xml:space="preserve">La Agencia Nacional de Contratación Pública – </w:t>
      </w:r>
      <w:bookmarkStart w:id="16" w:name="_Hlk45452651"/>
      <w:r w:rsidRPr="009B3856">
        <w:rPr>
          <w:rFonts w:ascii="Arial" w:eastAsia="Calibri" w:hAnsi="Arial" w:cs="Arial"/>
          <w:color w:val="000000" w:themeColor="text1"/>
          <w:sz w:val="22"/>
        </w:rPr>
        <w:t>Colombia Compra Eficiente</w:t>
      </w:r>
      <w:bookmarkEnd w:id="16"/>
      <w:r w:rsidRPr="009B3856">
        <w:rPr>
          <w:rFonts w:ascii="Arial" w:eastAsia="Calibri" w:hAnsi="Arial" w:cs="Arial"/>
          <w:color w:val="000000" w:themeColor="text1"/>
          <w:sz w:val="22"/>
        </w:rPr>
        <w:t xml:space="preserve"> se pronunció sobre el </w:t>
      </w:r>
      <w:r w:rsidR="007832C9">
        <w:rPr>
          <w:rFonts w:ascii="Arial" w:eastAsia="Calibri" w:hAnsi="Arial" w:cs="Arial"/>
          <w:color w:val="000000" w:themeColor="text1"/>
          <w:sz w:val="22"/>
        </w:rPr>
        <w:t>límite de los honorarios en los</w:t>
      </w:r>
      <w:r w:rsidRPr="009B3856">
        <w:rPr>
          <w:rFonts w:ascii="Arial" w:eastAsia="Calibri" w:hAnsi="Arial" w:cs="Arial"/>
          <w:color w:val="000000" w:themeColor="text1"/>
          <w:sz w:val="22"/>
        </w:rPr>
        <w:t xml:space="preserve"> contrato</w:t>
      </w:r>
      <w:r w:rsidR="007832C9">
        <w:rPr>
          <w:rFonts w:ascii="Arial" w:eastAsia="Calibri" w:hAnsi="Arial" w:cs="Arial"/>
          <w:color w:val="000000" w:themeColor="text1"/>
          <w:sz w:val="22"/>
        </w:rPr>
        <w:t>s</w:t>
      </w:r>
      <w:r w:rsidRPr="009B3856">
        <w:rPr>
          <w:rFonts w:ascii="Arial" w:eastAsia="Calibri" w:hAnsi="Arial" w:cs="Arial"/>
          <w:color w:val="000000" w:themeColor="text1"/>
          <w:sz w:val="22"/>
        </w:rPr>
        <w:t xml:space="preserve"> de prestación de servicios profesionales</w:t>
      </w:r>
      <w:r>
        <w:rPr>
          <w:rFonts w:ascii="Arial" w:eastAsia="Calibri" w:hAnsi="Arial" w:cs="Arial"/>
          <w:color w:val="000000" w:themeColor="text1"/>
          <w:sz w:val="22"/>
        </w:rPr>
        <w:t xml:space="preserve"> en los Conceptos </w:t>
      </w:r>
      <w:r w:rsidRPr="009B3856">
        <w:rPr>
          <w:rFonts w:ascii="Arial" w:eastAsia="Calibri" w:hAnsi="Arial" w:cs="Arial"/>
          <w:color w:val="000000" w:themeColor="text1"/>
          <w:sz w:val="22"/>
        </w:rPr>
        <w:t>2201913000005631</w:t>
      </w:r>
      <w:r>
        <w:rPr>
          <w:rFonts w:ascii="Arial" w:eastAsia="Calibri" w:hAnsi="Arial" w:cs="Arial"/>
          <w:color w:val="000000" w:themeColor="text1"/>
          <w:sz w:val="22"/>
        </w:rPr>
        <w:t xml:space="preserve"> del 6 de agosto de 2019,</w:t>
      </w:r>
      <w:r w:rsidRPr="009B3856">
        <w:rPr>
          <w:rFonts w:ascii="Arial" w:eastAsia="Calibri" w:hAnsi="Arial" w:cs="Arial"/>
          <w:color w:val="000000" w:themeColor="text1"/>
          <w:sz w:val="22"/>
        </w:rPr>
        <w:t xml:space="preserve"> C-090 del 24 de febrero de 2020</w:t>
      </w:r>
      <w:r w:rsidR="007832C9">
        <w:rPr>
          <w:rFonts w:ascii="Arial" w:eastAsia="Calibri" w:hAnsi="Arial" w:cs="Arial"/>
          <w:color w:val="000000" w:themeColor="text1"/>
          <w:sz w:val="22"/>
        </w:rPr>
        <w:t xml:space="preserve"> </w:t>
      </w:r>
      <w:r>
        <w:rPr>
          <w:rFonts w:ascii="Arial" w:eastAsia="Calibri" w:hAnsi="Arial" w:cs="Arial"/>
          <w:color w:val="000000" w:themeColor="text1"/>
          <w:sz w:val="22"/>
        </w:rPr>
        <w:t>y C-359 del 4 de junio de 2020</w:t>
      </w:r>
      <w:r w:rsidR="005A2781" w:rsidRPr="005A2781">
        <w:rPr>
          <w:rFonts w:ascii="Arial" w:eastAsia="Calibri" w:hAnsi="Arial" w:cs="Arial"/>
          <w:color w:val="000000" w:themeColor="text1"/>
          <w:sz w:val="22"/>
        </w:rPr>
        <w:t xml:space="preserve">. </w:t>
      </w:r>
      <w:r>
        <w:rPr>
          <w:rFonts w:ascii="Arial" w:eastAsia="Calibri" w:hAnsi="Arial" w:cs="Arial"/>
          <w:color w:val="000000" w:themeColor="text1"/>
          <w:sz w:val="22"/>
        </w:rPr>
        <w:t>L</w:t>
      </w:r>
      <w:r w:rsidR="005A2781" w:rsidRPr="005A2781">
        <w:rPr>
          <w:rFonts w:ascii="Arial" w:eastAsia="Calibri" w:hAnsi="Arial" w:cs="Arial"/>
          <w:color w:val="000000" w:themeColor="text1"/>
          <w:sz w:val="22"/>
        </w:rPr>
        <w:t>a tesis propuesta en est</w:t>
      </w:r>
      <w:r>
        <w:rPr>
          <w:rFonts w:ascii="Arial" w:eastAsia="Calibri" w:hAnsi="Arial" w:cs="Arial"/>
          <w:color w:val="000000" w:themeColor="text1"/>
          <w:sz w:val="22"/>
        </w:rPr>
        <w:t>os</w:t>
      </w:r>
      <w:r w:rsidR="005A2781" w:rsidRPr="005A2781">
        <w:rPr>
          <w:rFonts w:ascii="Arial" w:eastAsia="Calibri" w:hAnsi="Arial" w:cs="Arial"/>
          <w:color w:val="000000" w:themeColor="text1"/>
          <w:sz w:val="22"/>
        </w:rPr>
        <w:t xml:space="preserve"> concepto</w:t>
      </w:r>
      <w:r>
        <w:rPr>
          <w:rFonts w:ascii="Arial" w:eastAsia="Calibri" w:hAnsi="Arial" w:cs="Arial"/>
          <w:color w:val="000000" w:themeColor="text1"/>
          <w:sz w:val="22"/>
        </w:rPr>
        <w:t>s</w:t>
      </w:r>
      <w:r w:rsidR="005A2781" w:rsidRPr="005A2781">
        <w:rPr>
          <w:rFonts w:ascii="Arial" w:eastAsia="Calibri" w:hAnsi="Arial" w:cs="Arial"/>
          <w:color w:val="000000" w:themeColor="text1"/>
          <w:sz w:val="22"/>
        </w:rPr>
        <w:t xml:space="preserve"> se expone </w:t>
      </w:r>
      <w:r w:rsidR="0016074F">
        <w:rPr>
          <w:rFonts w:ascii="Arial" w:eastAsia="Calibri" w:hAnsi="Arial" w:cs="Arial"/>
          <w:color w:val="000000" w:themeColor="text1"/>
          <w:sz w:val="22"/>
        </w:rPr>
        <w:t>en el apartado correspondiente</w:t>
      </w:r>
      <w:r w:rsidR="0096646C" w:rsidRPr="0096646C">
        <w:rPr>
          <w:rFonts w:ascii="Arial" w:eastAsia="Calibri" w:hAnsi="Arial" w:cs="Arial"/>
          <w:color w:val="000000" w:themeColor="text1"/>
          <w:sz w:val="22"/>
        </w:rPr>
        <w:t xml:space="preserve">: </w:t>
      </w:r>
    </w:p>
    <w:p w14:paraId="1ED09238" w14:textId="77777777" w:rsidR="00571405" w:rsidRDefault="00571405" w:rsidP="00431C20">
      <w:pPr>
        <w:spacing w:line="276" w:lineRule="auto"/>
        <w:jc w:val="both"/>
        <w:rPr>
          <w:rFonts w:ascii="Arial" w:eastAsia="Calibri" w:hAnsi="Arial" w:cs="Arial"/>
          <w:color w:val="000000" w:themeColor="text1"/>
          <w:sz w:val="22"/>
        </w:rPr>
      </w:pPr>
    </w:p>
    <w:p w14:paraId="5F31DB0A" w14:textId="082FC64F" w:rsidR="00431C20" w:rsidRDefault="00D44227" w:rsidP="00431C20">
      <w:pPr>
        <w:spacing w:line="276" w:lineRule="auto"/>
        <w:jc w:val="both"/>
        <w:rPr>
          <w:rFonts w:ascii="Arial" w:eastAsia="Calibri" w:hAnsi="Arial" w:cs="Arial"/>
          <w:b/>
          <w:bCs/>
          <w:color w:val="000000" w:themeColor="text1"/>
          <w:sz w:val="22"/>
        </w:rPr>
      </w:pPr>
      <w:r w:rsidRPr="00D44227">
        <w:rPr>
          <w:rFonts w:ascii="Arial" w:eastAsia="Calibri" w:hAnsi="Arial" w:cs="Arial"/>
          <w:b/>
          <w:bCs/>
          <w:color w:val="000000" w:themeColor="text1"/>
          <w:sz w:val="22"/>
        </w:rPr>
        <w:t xml:space="preserve">2.1. </w:t>
      </w:r>
      <w:r w:rsidR="00571405">
        <w:rPr>
          <w:rFonts w:ascii="Arial" w:eastAsia="Calibri" w:hAnsi="Arial" w:cs="Arial"/>
          <w:b/>
          <w:bCs/>
          <w:color w:val="000000" w:themeColor="text1"/>
          <w:sz w:val="22"/>
        </w:rPr>
        <w:t>A</w:t>
      </w:r>
      <w:r w:rsidR="00E172B2">
        <w:rPr>
          <w:rFonts w:ascii="Arial" w:eastAsia="Calibri" w:hAnsi="Arial" w:cs="Arial"/>
          <w:b/>
          <w:bCs/>
          <w:color w:val="000000" w:themeColor="text1"/>
          <w:sz w:val="22"/>
        </w:rPr>
        <w:t>usencia de</w:t>
      </w:r>
      <w:r w:rsidR="00E172B2" w:rsidRPr="00E172B2">
        <w:rPr>
          <w:rFonts w:ascii="Arial" w:eastAsia="Calibri" w:hAnsi="Arial" w:cs="Arial"/>
          <w:b/>
          <w:bCs/>
          <w:color w:val="000000" w:themeColor="text1"/>
          <w:sz w:val="22"/>
        </w:rPr>
        <w:t xml:space="preserve"> pluralidad de oferentes</w:t>
      </w:r>
      <w:r w:rsidR="00E172B2">
        <w:rPr>
          <w:rFonts w:ascii="Arial" w:eastAsia="Calibri" w:hAnsi="Arial" w:cs="Arial"/>
          <w:b/>
          <w:bCs/>
          <w:color w:val="000000" w:themeColor="text1"/>
          <w:sz w:val="22"/>
        </w:rPr>
        <w:t xml:space="preserve"> como causal de contratación directa</w:t>
      </w:r>
    </w:p>
    <w:p w14:paraId="034B758F" w14:textId="77777777" w:rsidR="00AA0C58" w:rsidRDefault="00AA0C58" w:rsidP="00450EB7">
      <w:pPr>
        <w:spacing w:line="276" w:lineRule="auto"/>
        <w:jc w:val="both"/>
        <w:rPr>
          <w:rFonts w:ascii="Arial" w:hAnsi="Arial" w:cs="Arial"/>
          <w:color w:val="000000" w:themeColor="text1"/>
          <w:sz w:val="22"/>
        </w:rPr>
      </w:pPr>
    </w:p>
    <w:p w14:paraId="35604143" w14:textId="574F1C59" w:rsidR="00013925" w:rsidRDefault="00571405" w:rsidP="00013925">
      <w:pPr>
        <w:spacing w:after="120" w:line="276" w:lineRule="auto"/>
        <w:jc w:val="both"/>
        <w:rPr>
          <w:rFonts w:ascii="Arial" w:hAnsi="Arial" w:cs="Arial"/>
          <w:color w:val="000000" w:themeColor="text1"/>
          <w:sz w:val="22"/>
        </w:rPr>
      </w:pPr>
      <w:bookmarkStart w:id="17" w:name="_Hlk45531972"/>
      <w:r w:rsidRPr="00571405">
        <w:rPr>
          <w:rFonts w:ascii="Arial" w:hAnsi="Arial" w:cs="Arial"/>
          <w:color w:val="000000" w:themeColor="text1"/>
          <w:sz w:val="22"/>
        </w:rPr>
        <w:t xml:space="preserve">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w:t>
      </w:r>
      <w:r>
        <w:rPr>
          <w:rFonts w:ascii="Arial" w:hAnsi="Arial" w:cs="Arial"/>
          <w:color w:val="000000" w:themeColor="text1"/>
          <w:sz w:val="22"/>
        </w:rPr>
        <w:t>g</w:t>
      </w:r>
      <w:r w:rsidRPr="00571405">
        <w:rPr>
          <w:rFonts w:ascii="Arial" w:hAnsi="Arial" w:cs="Arial"/>
          <w:color w:val="000000" w:themeColor="text1"/>
          <w:sz w:val="22"/>
        </w:rPr>
        <w:t>) del mencionado numeral</w:t>
      </w:r>
      <w:r w:rsidR="00013925">
        <w:rPr>
          <w:rFonts w:ascii="Arial" w:hAnsi="Arial" w:cs="Arial"/>
          <w:color w:val="000000" w:themeColor="text1"/>
          <w:sz w:val="22"/>
        </w:rPr>
        <w:t xml:space="preserve"> </w:t>
      </w:r>
      <w:r>
        <w:rPr>
          <w:rFonts w:ascii="Arial" w:hAnsi="Arial" w:cs="Arial"/>
          <w:color w:val="000000" w:themeColor="text1"/>
          <w:sz w:val="22"/>
        </w:rPr>
        <w:t>que se refiere a la ausencia de pluralidad de oferentes</w:t>
      </w:r>
      <w:r w:rsidR="00013925">
        <w:rPr>
          <w:rFonts w:ascii="Arial" w:hAnsi="Arial" w:cs="Arial"/>
          <w:color w:val="000000" w:themeColor="text1"/>
          <w:sz w:val="22"/>
        </w:rPr>
        <w:t>.</w:t>
      </w:r>
      <w:bookmarkEnd w:id="17"/>
    </w:p>
    <w:p w14:paraId="0FE1047B" w14:textId="54849D41" w:rsidR="00A67586" w:rsidRDefault="00013925" w:rsidP="00F36A41">
      <w:pPr>
        <w:spacing w:after="120" w:line="276" w:lineRule="auto"/>
        <w:jc w:val="both"/>
        <w:rPr>
          <w:rFonts w:ascii="Arial" w:eastAsia="Calibri" w:hAnsi="Arial" w:cs="Arial"/>
          <w:color w:val="000000" w:themeColor="text1"/>
          <w:sz w:val="22"/>
        </w:rPr>
      </w:pPr>
      <w:r>
        <w:rPr>
          <w:rFonts w:ascii="Arial" w:hAnsi="Arial" w:cs="Arial"/>
          <w:color w:val="000000" w:themeColor="text1"/>
          <w:sz w:val="22"/>
        </w:rPr>
        <w:tab/>
      </w:r>
      <w:r w:rsidR="00F36A41">
        <w:rPr>
          <w:rFonts w:ascii="Arial" w:hAnsi="Arial" w:cs="Arial"/>
          <w:color w:val="000000" w:themeColor="text1"/>
          <w:sz w:val="22"/>
        </w:rPr>
        <w:t xml:space="preserve">Cuando se interpreta aisladamente, la </w:t>
      </w:r>
      <w:r>
        <w:rPr>
          <w:rFonts w:ascii="Arial" w:hAnsi="Arial" w:cs="Arial"/>
          <w:color w:val="000000" w:themeColor="text1"/>
          <w:sz w:val="22"/>
        </w:rPr>
        <w:t xml:space="preserve">causal constituye un </w:t>
      </w:r>
      <w:r w:rsidRPr="007E34D1">
        <w:rPr>
          <w:rFonts w:ascii="Arial" w:hAnsi="Arial" w:cs="Arial"/>
          <w:i/>
          <w:iCs/>
          <w:color w:val="000000" w:themeColor="text1"/>
          <w:sz w:val="22"/>
        </w:rPr>
        <w:t>concepto jurídico indeterminado</w:t>
      </w:r>
      <w:r w:rsidR="00F36A41">
        <w:rPr>
          <w:rFonts w:ascii="Arial" w:hAnsi="Arial" w:cs="Arial"/>
          <w:color w:val="000000" w:themeColor="text1"/>
          <w:sz w:val="22"/>
        </w:rPr>
        <w:t xml:space="preserve">. Lo anterior en la medida que debe </w:t>
      </w:r>
      <w:r w:rsidR="00F36A41" w:rsidRPr="00F36A41">
        <w:rPr>
          <w:rFonts w:ascii="Arial" w:hAnsi="Arial" w:cs="Arial"/>
          <w:color w:val="000000" w:themeColor="text1"/>
          <w:sz w:val="22"/>
        </w:rPr>
        <w:t xml:space="preserve">precisarse </w:t>
      </w:r>
      <w:r w:rsidR="00F36A41">
        <w:rPr>
          <w:rFonts w:ascii="Arial" w:hAnsi="Arial" w:cs="Arial"/>
          <w:color w:val="000000" w:themeColor="text1"/>
          <w:sz w:val="22"/>
        </w:rPr>
        <w:t xml:space="preserve">su contenido </w:t>
      </w:r>
      <w:r w:rsidR="00F36A41" w:rsidRPr="00F36A41">
        <w:rPr>
          <w:rFonts w:ascii="Arial" w:hAnsi="Arial" w:cs="Arial"/>
          <w:color w:val="000000" w:themeColor="text1"/>
          <w:sz w:val="22"/>
        </w:rPr>
        <w:t>de acuerdo a las circunstancias, pues confiere una cierta facultad de apreciación interpretativa</w:t>
      </w:r>
      <w:r w:rsidR="00F36A41">
        <w:rPr>
          <w:rFonts w:ascii="Arial" w:hAnsi="Arial" w:cs="Arial"/>
          <w:color w:val="000000" w:themeColor="text1"/>
          <w:sz w:val="22"/>
        </w:rPr>
        <w:t xml:space="preserve"> por la amplitud y abstracción del concepto</w:t>
      </w:r>
      <w:r w:rsidR="00F36A41" w:rsidRPr="00F36A41">
        <w:rPr>
          <w:rStyle w:val="Refdenotaalpie"/>
          <w:rFonts w:ascii="Arial" w:eastAsia="Calibri" w:hAnsi="Arial" w:cs="Arial"/>
          <w:sz w:val="22"/>
        </w:rPr>
        <w:footnoteReference w:id="2"/>
      </w:r>
      <w:r w:rsidR="00F36A41">
        <w:rPr>
          <w:rFonts w:ascii="Arial" w:hAnsi="Arial" w:cs="Arial"/>
          <w:color w:val="000000" w:themeColor="text1"/>
          <w:sz w:val="22"/>
        </w:rPr>
        <w:t>. Sin embargo,</w:t>
      </w:r>
      <w:r w:rsidR="00ED6605">
        <w:rPr>
          <w:rFonts w:ascii="Arial" w:hAnsi="Arial" w:cs="Arial"/>
          <w:color w:val="000000" w:themeColor="text1"/>
          <w:sz w:val="22"/>
        </w:rPr>
        <w:t xml:space="preserve"> teniendo en cuenta la competencia del artículo 189.11 superior para la debida ejecución de la ley</w:t>
      </w:r>
      <w:r w:rsidR="0089646B">
        <w:rPr>
          <w:rFonts w:ascii="Arial" w:hAnsi="Arial" w:cs="Arial"/>
          <w:color w:val="000000" w:themeColor="text1"/>
          <w:sz w:val="22"/>
        </w:rPr>
        <w:t>,</w:t>
      </w:r>
      <w:r w:rsidR="00F36A41">
        <w:rPr>
          <w:rFonts w:ascii="Arial" w:hAnsi="Arial" w:cs="Arial"/>
          <w:color w:val="000000" w:themeColor="text1"/>
          <w:sz w:val="22"/>
        </w:rPr>
        <w:t xml:space="preserve"> </w:t>
      </w:r>
      <w:r w:rsidR="00356706">
        <w:rPr>
          <w:rFonts w:ascii="Arial" w:hAnsi="Arial" w:cs="Arial"/>
          <w:color w:val="000000" w:themeColor="text1"/>
          <w:sz w:val="22"/>
        </w:rPr>
        <w:t>nada</w:t>
      </w:r>
      <w:r w:rsidR="00F36A41">
        <w:rPr>
          <w:rFonts w:ascii="Arial" w:hAnsi="Arial" w:cs="Arial"/>
          <w:color w:val="000000" w:themeColor="text1"/>
          <w:sz w:val="22"/>
        </w:rPr>
        <w:t xml:space="preserve"> obsta para </w:t>
      </w:r>
      <w:r w:rsidR="00880963">
        <w:rPr>
          <w:rFonts w:ascii="Arial" w:hAnsi="Arial" w:cs="Arial"/>
          <w:color w:val="000000" w:themeColor="text1"/>
          <w:sz w:val="22"/>
        </w:rPr>
        <w:t xml:space="preserve">que </w:t>
      </w:r>
      <w:r w:rsidR="00F36A41">
        <w:rPr>
          <w:rFonts w:ascii="Arial" w:hAnsi="Arial" w:cs="Arial"/>
          <w:color w:val="000000" w:themeColor="text1"/>
          <w:sz w:val="22"/>
        </w:rPr>
        <w:t>el reglamento determine los casos en que no existe pluralidad de oferentes</w:t>
      </w:r>
      <w:r w:rsidR="004B1EB5">
        <w:rPr>
          <w:rFonts w:ascii="Arial" w:hAnsi="Arial" w:cs="Arial"/>
          <w:color w:val="000000" w:themeColor="text1"/>
          <w:sz w:val="22"/>
        </w:rPr>
        <w:t>, pues</w:t>
      </w:r>
      <w:r w:rsidR="00356706">
        <w:rPr>
          <w:rFonts w:ascii="Arial" w:hAnsi="Arial" w:cs="Arial"/>
          <w:color w:val="000000" w:themeColor="text1"/>
          <w:sz w:val="22"/>
        </w:rPr>
        <w:t xml:space="preserve"> </w:t>
      </w:r>
      <w:r w:rsidR="00356706">
        <w:rPr>
          <w:rFonts w:ascii="Arial" w:eastAsia="Calibri" w:hAnsi="Arial" w:cs="Arial"/>
          <w:color w:val="000000" w:themeColor="text1"/>
          <w:sz w:val="22"/>
        </w:rPr>
        <w:t>aunque el artículo 28 del Código Civil dispone que las palabras se entenderán en su sentido natural y obvio, es decir, de acuerdo a su sentido general, la norma también dispone que cuando se definan expresamente para ciertas materias, se les dará en éstas su significado legal.</w:t>
      </w:r>
      <w:r w:rsidR="00A67586">
        <w:rPr>
          <w:rFonts w:ascii="Arial" w:eastAsia="Calibri" w:hAnsi="Arial" w:cs="Arial"/>
          <w:color w:val="000000" w:themeColor="text1"/>
          <w:sz w:val="22"/>
        </w:rPr>
        <w:t xml:space="preserve"> </w:t>
      </w:r>
    </w:p>
    <w:p w14:paraId="5D08D6D2" w14:textId="291D3838" w:rsidR="00571405" w:rsidRDefault="000E5097" w:rsidP="00A67586">
      <w:pPr>
        <w:spacing w:after="120" w:line="276" w:lineRule="auto"/>
        <w:ind w:firstLine="708"/>
        <w:jc w:val="both"/>
        <w:rPr>
          <w:rFonts w:ascii="Arial" w:eastAsia="Calibri" w:hAnsi="Arial" w:cs="Arial"/>
          <w:color w:val="000000" w:themeColor="text1"/>
          <w:sz w:val="22"/>
        </w:rPr>
      </w:pPr>
      <w:r w:rsidRPr="000E5097">
        <w:rPr>
          <w:rFonts w:ascii="Arial" w:eastAsia="Calibri" w:hAnsi="Arial" w:cs="Arial"/>
          <w:color w:val="000000" w:themeColor="text1"/>
          <w:sz w:val="22"/>
        </w:rPr>
        <w:t>Históricamente</w:t>
      </w:r>
      <w:r w:rsidR="00A67586" w:rsidRPr="000E5097">
        <w:rPr>
          <w:rFonts w:ascii="Arial" w:eastAsia="Calibri" w:hAnsi="Arial" w:cs="Arial"/>
          <w:color w:val="000000" w:themeColor="text1"/>
          <w:sz w:val="22"/>
        </w:rPr>
        <w:t>, reglamentando la causal</w:t>
      </w:r>
      <w:r w:rsidR="00A67586">
        <w:rPr>
          <w:rFonts w:ascii="Arial" w:eastAsia="Calibri" w:hAnsi="Arial" w:cs="Arial"/>
          <w:color w:val="000000" w:themeColor="text1"/>
          <w:sz w:val="22"/>
        </w:rPr>
        <w:t xml:space="preserve"> de contratación directa prevista en el derogado numeral 1, literal j), del artículo 24 de la Ley 80 de 1993, el </w:t>
      </w:r>
      <w:r w:rsidR="008F57E8">
        <w:rPr>
          <w:rFonts w:ascii="Arial" w:eastAsia="Calibri" w:hAnsi="Arial" w:cs="Arial"/>
          <w:color w:val="000000" w:themeColor="text1"/>
          <w:sz w:val="22"/>
        </w:rPr>
        <w:t xml:space="preserve">derogado </w:t>
      </w:r>
      <w:r w:rsidR="00A67586">
        <w:rPr>
          <w:rFonts w:ascii="Arial" w:eastAsia="Calibri" w:hAnsi="Arial" w:cs="Arial"/>
          <w:color w:val="000000" w:themeColor="text1"/>
          <w:sz w:val="22"/>
        </w:rPr>
        <w:t>Decreto 855 de 1994</w:t>
      </w:r>
      <w:r w:rsidR="002F32AA">
        <w:rPr>
          <w:rFonts w:ascii="Arial" w:eastAsia="Calibri" w:hAnsi="Arial" w:cs="Arial"/>
          <w:color w:val="000000" w:themeColor="text1"/>
          <w:sz w:val="22"/>
        </w:rPr>
        <w:t>, en el artículo 12,</w:t>
      </w:r>
      <w:r w:rsidR="00A67586">
        <w:rPr>
          <w:rFonts w:ascii="Arial" w:eastAsia="Calibri" w:hAnsi="Arial" w:cs="Arial"/>
          <w:color w:val="000000" w:themeColor="text1"/>
          <w:sz w:val="22"/>
        </w:rPr>
        <w:t xml:space="preserve"> dispuso </w:t>
      </w:r>
      <w:r w:rsidR="00C35780">
        <w:rPr>
          <w:rFonts w:ascii="Arial" w:eastAsia="Calibri" w:hAnsi="Arial" w:cs="Arial"/>
          <w:color w:val="000000" w:themeColor="text1"/>
          <w:sz w:val="22"/>
        </w:rPr>
        <w:t xml:space="preserve">la contratación directa cuando la licitación o concurso se </w:t>
      </w:r>
      <w:r w:rsidR="00C35780">
        <w:rPr>
          <w:rFonts w:ascii="Arial" w:eastAsia="Calibri" w:hAnsi="Arial" w:cs="Arial"/>
          <w:color w:val="000000" w:themeColor="text1"/>
          <w:sz w:val="22"/>
        </w:rPr>
        <w:lastRenderedPageBreak/>
        <w:t xml:space="preserve">declaran desiertos por la ausencia de proponentes, por el incumplimiento de los requisitos del pliego por quienes se presentan y, en general, por la falta de voluntad de participación; además, </w:t>
      </w:r>
      <w:r w:rsidR="008F57E8">
        <w:rPr>
          <w:rFonts w:ascii="Arial" w:eastAsia="Calibri" w:hAnsi="Arial" w:cs="Arial"/>
          <w:color w:val="000000" w:themeColor="text1"/>
          <w:sz w:val="22"/>
        </w:rPr>
        <w:t>definía la ausencia de</w:t>
      </w:r>
      <w:r w:rsidR="00C35780">
        <w:rPr>
          <w:rFonts w:ascii="Arial" w:eastAsia="Calibri" w:hAnsi="Arial" w:cs="Arial"/>
          <w:color w:val="000000" w:themeColor="text1"/>
          <w:sz w:val="22"/>
        </w:rPr>
        <w:t xml:space="preserve"> pluralidad de ofertes cuando i) </w:t>
      </w:r>
      <w:r w:rsidR="008F57E8">
        <w:rPr>
          <w:rFonts w:ascii="Arial" w:eastAsia="Calibri" w:hAnsi="Arial" w:cs="Arial"/>
          <w:color w:val="000000" w:themeColor="text1"/>
          <w:sz w:val="22"/>
        </w:rPr>
        <w:t>no existe mas de una (1) persona inscrita en el registro único de proponentes</w:t>
      </w:r>
      <w:r w:rsidR="005813EA">
        <w:rPr>
          <w:rFonts w:ascii="Arial" w:eastAsia="Calibri" w:hAnsi="Arial" w:cs="Arial"/>
          <w:color w:val="000000" w:themeColor="text1"/>
          <w:sz w:val="22"/>
        </w:rPr>
        <w:t xml:space="preserve"> –RUP–</w:t>
      </w:r>
      <w:r w:rsidR="008F57E8">
        <w:rPr>
          <w:rFonts w:ascii="Arial" w:eastAsia="Calibri" w:hAnsi="Arial" w:cs="Arial"/>
          <w:color w:val="000000" w:themeColor="text1"/>
          <w:sz w:val="22"/>
        </w:rPr>
        <w:t xml:space="preserve"> en los contratos que requieren el cumplimiento de este requisito o ii) </w:t>
      </w:r>
      <w:r w:rsidR="008F57E8" w:rsidRPr="008F57E8">
        <w:rPr>
          <w:rFonts w:ascii="Arial" w:eastAsia="Calibri" w:hAnsi="Arial" w:cs="Arial"/>
          <w:color w:val="000000" w:themeColor="text1"/>
          <w:sz w:val="22"/>
        </w:rPr>
        <w:t>solo exist</w:t>
      </w:r>
      <w:r w:rsidR="005813EA">
        <w:rPr>
          <w:rFonts w:ascii="Arial" w:eastAsia="Calibri" w:hAnsi="Arial" w:cs="Arial"/>
          <w:color w:val="000000" w:themeColor="text1"/>
          <w:sz w:val="22"/>
        </w:rPr>
        <w:t>e</w:t>
      </w:r>
      <w:r w:rsidR="008F57E8" w:rsidRPr="008F57E8">
        <w:rPr>
          <w:rFonts w:ascii="Arial" w:eastAsia="Calibri" w:hAnsi="Arial" w:cs="Arial"/>
          <w:color w:val="000000" w:themeColor="text1"/>
          <w:sz w:val="22"/>
        </w:rPr>
        <w:t xml:space="preserve"> </w:t>
      </w:r>
      <w:r w:rsidR="008F57E8">
        <w:rPr>
          <w:rFonts w:ascii="Arial" w:eastAsia="Calibri" w:hAnsi="Arial" w:cs="Arial"/>
          <w:color w:val="000000" w:themeColor="text1"/>
          <w:sz w:val="22"/>
        </w:rPr>
        <w:t>un proveedor</w:t>
      </w:r>
      <w:r w:rsidR="008F57E8" w:rsidRPr="008F57E8">
        <w:rPr>
          <w:rFonts w:ascii="Arial" w:eastAsia="Calibri" w:hAnsi="Arial" w:cs="Arial"/>
          <w:color w:val="000000" w:themeColor="text1"/>
          <w:sz w:val="22"/>
        </w:rPr>
        <w:t xml:space="preserve"> el bien o el servicio por ser titular de los derechos de propiedad industrial o de los derechos de autor, o por ser, de acuerdo con la ley,</w:t>
      </w:r>
      <w:r w:rsidR="004D4F5A">
        <w:rPr>
          <w:rFonts w:ascii="Arial" w:eastAsia="Calibri" w:hAnsi="Arial" w:cs="Arial"/>
          <w:color w:val="000000" w:themeColor="text1"/>
          <w:sz w:val="22"/>
        </w:rPr>
        <w:t xml:space="preserve"> su</w:t>
      </w:r>
      <w:r w:rsidR="008F57E8" w:rsidRPr="008F57E8">
        <w:rPr>
          <w:rFonts w:ascii="Arial" w:eastAsia="Calibri" w:hAnsi="Arial" w:cs="Arial"/>
          <w:color w:val="000000" w:themeColor="text1"/>
          <w:sz w:val="22"/>
        </w:rPr>
        <w:t xml:space="preserve"> proveedor exclusivo</w:t>
      </w:r>
      <w:r w:rsidR="008F57E8">
        <w:rPr>
          <w:rStyle w:val="Refdenotaalpie"/>
          <w:rFonts w:ascii="Arial" w:eastAsia="Calibri" w:hAnsi="Arial" w:cs="Arial"/>
          <w:color w:val="000000" w:themeColor="text1"/>
          <w:sz w:val="22"/>
        </w:rPr>
        <w:footnoteReference w:id="3"/>
      </w:r>
      <w:r w:rsidR="008F57E8" w:rsidRPr="008F57E8">
        <w:rPr>
          <w:rFonts w:ascii="Arial" w:eastAsia="Calibri" w:hAnsi="Arial" w:cs="Arial"/>
          <w:color w:val="000000" w:themeColor="text1"/>
          <w:sz w:val="22"/>
        </w:rPr>
        <w:t>.</w:t>
      </w:r>
    </w:p>
    <w:p w14:paraId="31BF7B5E" w14:textId="1295B7FB" w:rsidR="00603998" w:rsidRDefault="000E5097" w:rsidP="00603998">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L</w:t>
      </w:r>
      <w:r w:rsidR="002F32AA" w:rsidRPr="000E5097">
        <w:rPr>
          <w:rFonts w:ascii="Arial" w:eastAsia="Calibri" w:hAnsi="Arial" w:cs="Arial"/>
          <w:color w:val="000000" w:themeColor="text1"/>
          <w:sz w:val="22"/>
        </w:rPr>
        <w:t>a falta</w:t>
      </w:r>
      <w:r w:rsidR="002F32AA">
        <w:rPr>
          <w:rFonts w:ascii="Arial" w:eastAsia="Calibri" w:hAnsi="Arial" w:cs="Arial"/>
          <w:color w:val="000000" w:themeColor="text1"/>
          <w:sz w:val="22"/>
        </w:rPr>
        <w:t xml:space="preserve"> de voluntad de participación y la inexistencia de pluralidad de oferentes son dos (2) eventos distintos. Aunque ambos suponen un conocimiento del </w:t>
      </w:r>
      <w:r w:rsidR="0035794A">
        <w:rPr>
          <w:rFonts w:ascii="Arial" w:eastAsia="Calibri" w:hAnsi="Arial" w:cs="Arial"/>
          <w:color w:val="000000" w:themeColor="text1"/>
          <w:sz w:val="22"/>
        </w:rPr>
        <w:t>mercado</w:t>
      </w:r>
      <w:r w:rsidR="002F32AA">
        <w:rPr>
          <w:rFonts w:ascii="Arial" w:eastAsia="Calibri" w:hAnsi="Arial" w:cs="Arial"/>
          <w:color w:val="000000" w:themeColor="text1"/>
          <w:sz w:val="22"/>
        </w:rPr>
        <w:t xml:space="preserve"> en</w:t>
      </w:r>
      <w:r w:rsidR="0035794A">
        <w:rPr>
          <w:rFonts w:ascii="Arial" w:eastAsia="Calibri" w:hAnsi="Arial" w:cs="Arial"/>
          <w:color w:val="000000" w:themeColor="text1"/>
          <w:sz w:val="22"/>
        </w:rPr>
        <w:t xml:space="preserve"> el</w:t>
      </w:r>
      <w:r w:rsidR="002F32AA">
        <w:rPr>
          <w:rFonts w:ascii="Arial" w:eastAsia="Calibri" w:hAnsi="Arial" w:cs="Arial"/>
          <w:color w:val="000000" w:themeColor="text1"/>
          <w:sz w:val="22"/>
        </w:rPr>
        <w:t xml:space="preserve"> que </w:t>
      </w:r>
      <w:r w:rsidR="0035794A">
        <w:rPr>
          <w:rFonts w:ascii="Arial" w:eastAsia="Calibri" w:hAnsi="Arial" w:cs="Arial"/>
          <w:color w:val="000000" w:themeColor="text1"/>
          <w:sz w:val="22"/>
        </w:rPr>
        <w:t>los proponentes desarrollan sus actividades, en el segundo escenario no es posible adelantar un proceso de selección abierto, pues no existe concurrencia de participantes. En est</w:t>
      </w:r>
      <w:r w:rsidR="005813EA">
        <w:rPr>
          <w:rFonts w:ascii="Arial" w:eastAsia="Calibri" w:hAnsi="Arial" w:cs="Arial"/>
          <w:color w:val="000000" w:themeColor="text1"/>
          <w:sz w:val="22"/>
        </w:rPr>
        <w:t>a</w:t>
      </w:r>
      <w:r w:rsidR="0035794A">
        <w:rPr>
          <w:rFonts w:ascii="Arial" w:eastAsia="Calibri" w:hAnsi="Arial" w:cs="Arial"/>
          <w:color w:val="000000" w:themeColor="text1"/>
          <w:sz w:val="22"/>
        </w:rPr>
        <w:t xml:space="preserve"> medida, </w:t>
      </w:r>
      <w:r w:rsidR="005813EA">
        <w:rPr>
          <w:rFonts w:ascii="Arial" w:eastAsia="Calibri" w:hAnsi="Arial" w:cs="Arial"/>
          <w:color w:val="000000" w:themeColor="text1"/>
          <w:sz w:val="22"/>
        </w:rPr>
        <w:t xml:space="preserve">conservando lo dispuesto en el </w:t>
      </w:r>
      <w:r w:rsidR="004D4F5A">
        <w:rPr>
          <w:rFonts w:ascii="Arial" w:eastAsia="Calibri" w:hAnsi="Arial" w:cs="Arial"/>
          <w:color w:val="000000" w:themeColor="text1"/>
          <w:sz w:val="22"/>
        </w:rPr>
        <w:t>citado</w:t>
      </w:r>
      <w:r w:rsidR="004D4F5A" w:rsidRPr="005813EA">
        <w:rPr>
          <w:rFonts w:ascii="Arial" w:eastAsia="Calibri" w:hAnsi="Arial" w:cs="Arial"/>
          <w:color w:val="000000" w:themeColor="text1"/>
          <w:sz w:val="22"/>
        </w:rPr>
        <w:t xml:space="preserve"> </w:t>
      </w:r>
      <w:r w:rsidR="005813EA" w:rsidRPr="005813EA">
        <w:rPr>
          <w:rFonts w:ascii="Arial" w:eastAsia="Calibri" w:hAnsi="Arial" w:cs="Arial"/>
          <w:color w:val="000000" w:themeColor="text1"/>
          <w:sz w:val="22"/>
        </w:rPr>
        <w:t>artículo 12</w:t>
      </w:r>
      <w:r w:rsidR="005813EA">
        <w:rPr>
          <w:rFonts w:ascii="Arial" w:eastAsia="Calibri" w:hAnsi="Arial" w:cs="Arial"/>
          <w:color w:val="000000" w:themeColor="text1"/>
          <w:sz w:val="22"/>
        </w:rPr>
        <w:t>, parágrafo 2,</w:t>
      </w:r>
      <w:r w:rsidR="005813EA" w:rsidRPr="005813EA">
        <w:rPr>
          <w:rFonts w:ascii="Arial" w:eastAsia="Calibri" w:hAnsi="Arial" w:cs="Arial"/>
          <w:color w:val="000000" w:themeColor="text1"/>
          <w:sz w:val="22"/>
        </w:rPr>
        <w:t xml:space="preserve"> del Decreto 855 de 1994</w:t>
      </w:r>
      <w:r w:rsidR="005813EA">
        <w:rPr>
          <w:rFonts w:ascii="Arial" w:eastAsia="Calibri" w:hAnsi="Arial" w:cs="Arial"/>
          <w:color w:val="000000" w:themeColor="text1"/>
          <w:sz w:val="22"/>
        </w:rPr>
        <w:t xml:space="preserve">, </w:t>
      </w:r>
      <w:r w:rsidR="0035794A">
        <w:rPr>
          <w:rFonts w:ascii="Arial" w:eastAsia="Calibri" w:hAnsi="Arial" w:cs="Arial"/>
          <w:color w:val="000000" w:themeColor="text1"/>
          <w:sz w:val="22"/>
        </w:rPr>
        <w:t>tanto el</w:t>
      </w:r>
      <w:r w:rsidR="005813EA">
        <w:rPr>
          <w:rFonts w:ascii="Arial" w:eastAsia="Calibri" w:hAnsi="Arial" w:cs="Arial"/>
          <w:color w:val="000000" w:themeColor="text1"/>
          <w:sz w:val="22"/>
        </w:rPr>
        <w:t xml:space="preserve"> artículo 17 del</w:t>
      </w:r>
      <w:r w:rsidR="0035794A">
        <w:rPr>
          <w:rFonts w:ascii="Arial" w:eastAsia="Calibri" w:hAnsi="Arial" w:cs="Arial"/>
          <w:color w:val="000000" w:themeColor="text1"/>
          <w:sz w:val="22"/>
        </w:rPr>
        <w:t xml:space="preserve"> Decreto 2170 de 2002 </w:t>
      </w:r>
      <w:r w:rsidR="005813EA">
        <w:rPr>
          <w:rFonts w:ascii="Arial" w:eastAsia="Calibri" w:hAnsi="Arial" w:cs="Arial"/>
          <w:color w:val="000000" w:themeColor="text1"/>
          <w:sz w:val="22"/>
        </w:rPr>
        <w:t xml:space="preserve">como el artículo 81 del Decreto </w:t>
      </w:r>
      <w:r w:rsidR="0035794A">
        <w:rPr>
          <w:rFonts w:ascii="Arial" w:eastAsia="Calibri" w:hAnsi="Arial" w:cs="Arial"/>
          <w:color w:val="000000" w:themeColor="text1"/>
          <w:sz w:val="22"/>
        </w:rPr>
        <w:t xml:space="preserve">2474 de 2008 </w:t>
      </w:r>
      <w:r w:rsidR="005813EA">
        <w:rPr>
          <w:rFonts w:ascii="Arial" w:eastAsia="Calibri" w:hAnsi="Arial" w:cs="Arial"/>
          <w:color w:val="000000" w:themeColor="text1"/>
          <w:sz w:val="22"/>
        </w:rPr>
        <w:t xml:space="preserve">limitaron la falta de pluralidad de oferentes en los casos donde i) no existe mas de una (1) persona inscrita en el RUP o ii) </w:t>
      </w:r>
      <w:r w:rsidR="005813EA" w:rsidRPr="008F57E8">
        <w:rPr>
          <w:rFonts w:ascii="Arial" w:eastAsia="Calibri" w:hAnsi="Arial" w:cs="Arial"/>
          <w:color w:val="000000" w:themeColor="text1"/>
          <w:sz w:val="22"/>
        </w:rPr>
        <w:t>solo exist</w:t>
      </w:r>
      <w:r w:rsidR="005813EA">
        <w:rPr>
          <w:rFonts w:ascii="Arial" w:eastAsia="Calibri" w:hAnsi="Arial" w:cs="Arial"/>
          <w:color w:val="000000" w:themeColor="text1"/>
          <w:sz w:val="22"/>
        </w:rPr>
        <w:t>e</w:t>
      </w:r>
      <w:r w:rsidR="005813EA" w:rsidRPr="008F57E8">
        <w:rPr>
          <w:rFonts w:ascii="Arial" w:eastAsia="Calibri" w:hAnsi="Arial" w:cs="Arial"/>
          <w:color w:val="000000" w:themeColor="text1"/>
          <w:sz w:val="22"/>
        </w:rPr>
        <w:t xml:space="preserve"> </w:t>
      </w:r>
      <w:r w:rsidR="005813EA">
        <w:rPr>
          <w:rFonts w:ascii="Arial" w:eastAsia="Calibri" w:hAnsi="Arial" w:cs="Arial"/>
          <w:color w:val="000000" w:themeColor="text1"/>
          <w:sz w:val="22"/>
        </w:rPr>
        <w:t>un proveedor</w:t>
      </w:r>
      <w:r w:rsidR="005813EA" w:rsidRPr="008F57E8">
        <w:rPr>
          <w:rFonts w:ascii="Arial" w:eastAsia="Calibri" w:hAnsi="Arial" w:cs="Arial"/>
          <w:color w:val="000000" w:themeColor="text1"/>
          <w:sz w:val="22"/>
        </w:rPr>
        <w:t xml:space="preserve"> </w:t>
      </w:r>
      <w:r w:rsidR="005813EA">
        <w:rPr>
          <w:rFonts w:ascii="Arial" w:eastAsia="Calibri" w:hAnsi="Arial" w:cs="Arial"/>
          <w:color w:val="000000" w:themeColor="text1"/>
          <w:sz w:val="22"/>
        </w:rPr>
        <w:t>d</w:t>
      </w:r>
      <w:r w:rsidR="005813EA" w:rsidRPr="008F57E8">
        <w:rPr>
          <w:rFonts w:ascii="Arial" w:eastAsia="Calibri" w:hAnsi="Arial" w:cs="Arial"/>
          <w:color w:val="000000" w:themeColor="text1"/>
          <w:sz w:val="22"/>
        </w:rPr>
        <w:t>el bien o el servicio por ser titular de los derechos de propiedad industrial o de los derechos de autor, o por ser proveedor exclusivo</w:t>
      </w:r>
      <w:r w:rsidR="005813EA">
        <w:rPr>
          <w:rFonts w:ascii="Arial" w:eastAsia="Calibri" w:hAnsi="Arial" w:cs="Arial"/>
          <w:color w:val="000000" w:themeColor="text1"/>
          <w:sz w:val="22"/>
        </w:rPr>
        <w:t xml:space="preserve"> de acuerdo con la ley.</w:t>
      </w:r>
    </w:p>
    <w:p w14:paraId="296516C1" w14:textId="77777777" w:rsidR="000E5097" w:rsidRDefault="000E5097" w:rsidP="000E5097">
      <w:pPr>
        <w:spacing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Continuando con la evolución histórica</w:t>
      </w:r>
      <w:r w:rsidR="0095227F">
        <w:rPr>
          <w:rFonts w:ascii="Arial" w:eastAsia="Calibri" w:hAnsi="Arial" w:cs="Arial"/>
          <w:color w:val="000000" w:themeColor="text1"/>
          <w:sz w:val="22"/>
        </w:rPr>
        <w:t>, el contenido del derogado Decreto 2474 de 2008 era mas acorde con los procedimientos de selección del artículo 2 de la Ley 1150 de 2007, ya que –conforme al numeral 2, literal d)– cuando se declara desierta una licitación pública, no es procedente la contratación directa sino la selección abreviada. Incluso a</w:t>
      </w:r>
      <w:r w:rsidR="00603998">
        <w:rPr>
          <w:rFonts w:ascii="Arial" w:eastAsia="Calibri" w:hAnsi="Arial" w:cs="Arial"/>
          <w:color w:val="000000" w:themeColor="text1"/>
          <w:sz w:val="22"/>
        </w:rPr>
        <w:t>unque</w:t>
      </w:r>
      <w:r w:rsidR="005411A6">
        <w:rPr>
          <w:rFonts w:ascii="Arial" w:eastAsia="Calibri" w:hAnsi="Arial" w:cs="Arial"/>
          <w:color w:val="000000" w:themeColor="text1"/>
          <w:sz w:val="22"/>
        </w:rPr>
        <w:t xml:space="preserve"> la</w:t>
      </w:r>
      <w:r w:rsidR="00603998">
        <w:rPr>
          <w:rFonts w:ascii="Arial" w:eastAsia="Calibri" w:hAnsi="Arial" w:cs="Arial"/>
          <w:color w:val="000000" w:themeColor="text1"/>
          <w:sz w:val="22"/>
        </w:rPr>
        <w:t xml:space="preserve"> orientación</w:t>
      </w:r>
      <w:r w:rsidR="0095227F">
        <w:rPr>
          <w:rFonts w:ascii="Arial" w:eastAsia="Calibri" w:hAnsi="Arial" w:cs="Arial"/>
          <w:color w:val="000000" w:themeColor="text1"/>
          <w:sz w:val="22"/>
        </w:rPr>
        <w:t xml:space="preserve"> del párrafo precedente</w:t>
      </w:r>
      <w:r w:rsidR="00603998">
        <w:rPr>
          <w:rFonts w:ascii="Arial" w:eastAsia="Calibri" w:hAnsi="Arial" w:cs="Arial"/>
          <w:color w:val="000000" w:themeColor="text1"/>
          <w:sz w:val="22"/>
        </w:rPr>
        <w:t xml:space="preserve"> también se conservó en el artículo </w:t>
      </w:r>
      <w:r w:rsidR="00603998" w:rsidRPr="00603998">
        <w:rPr>
          <w:rFonts w:ascii="Arial" w:eastAsia="Calibri" w:hAnsi="Arial" w:cs="Arial"/>
          <w:color w:val="000000" w:themeColor="text1"/>
          <w:sz w:val="22"/>
        </w:rPr>
        <w:t>3.4.2.4.1</w:t>
      </w:r>
      <w:r w:rsidR="00603998">
        <w:rPr>
          <w:rFonts w:ascii="Arial" w:eastAsia="Calibri" w:hAnsi="Arial" w:cs="Arial"/>
          <w:color w:val="000000" w:themeColor="text1"/>
          <w:sz w:val="22"/>
        </w:rPr>
        <w:t xml:space="preserve"> del Decreto 734 de 2012, el artículo 80 del Decreto 1510 de 2013 eliminó la ausencia de pluralidad de oferentes cuando no existe mas de una (1) persona inscrita en el RUP</w:t>
      </w:r>
      <w:r w:rsidR="0095227F">
        <w:rPr>
          <w:rFonts w:ascii="Arial" w:eastAsia="Calibri" w:hAnsi="Arial" w:cs="Arial"/>
          <w:color w:val="000000" w:themeColor="text1"/>
          <w:sz w:val="22"/>
        </w:rPr>
        <w:t>, así como</w:t>
      </w:r>
      <w:r w:rsidR="00603998">
        <w:rPr>
          <w:rFonts w:ascii="Arial" w:eastAsia="Calibri" w:hAnsi="Arial" w:cs="Arial"/>
          <w:color w:val="000000" w:themeColor="text1"/>
          <w:sz w:val="22"/>
        </w:rPr>
        <w:t xml:space="preserve"> la expresión «de acuerdo con la ley» al tratar los proveedores exclusivos. </w:t>
      </w:r>
    </w:p>
    <w:p w14:paraId="20EFD4D9" w14:textId="261C5E94" w:rsidR="0095227F" w:rsidRDefault="000E5097" w:rsidP="003444B1">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lastRenderedPageBreak/>
        <w:t>En la actualidad</w:t>
      </w:r>
      <w:r w:rsidR="00603998">
        <w:rPr>
          <w:rFonts w:ascii="Arial" w:eastAsia="Calibri" w:hAnsi="Arial" w:cs="Arial"/>
          <w:color w:val="000000" w:themeColor="text1"/>
          <w:sz w:val="22"/>
        </w:rPr>
        <w:t xml:space="preserve">, </w:t>
      </w:r>
      <w:r w:rsidR="0095227F">
        <w:rPr>
          <w:rFonts w:ascii="Arial" w:eastAsia="Calibri" w:hAnsi="Arial" w:cs="Arial"/>
          <w:color w:val="000000" w:themeColor="text1"/>
          <w:sz w:val="22"/>
        </w:rPr>
        <w:t xml:space="preserve">la norma vigente para interpretar el alcance de la causal de contratación directa dispuesta en el artículo 2, numeral 4, literal g), de la Ley 1150 de 2007 </w:t>
      </w:r>
      <w:r w:rsidR="00E16FB9">
        <w:rPr>
          <w:rFonts w:ascii="Arial" w:eastAsia="Calibri" w:hAnsi="Arial" w:cs="Arial"/>
          <w:color w:val="000000" w:themeColor="text1"/>
          <w:sz w:val="22"/>
        </w:rPr>
        <w:t xml:space="preserve">está compilada en el artículo </w:t>
      </w:r>
      <w:r w:rsidR="00E16FB9" w:rsidRPr="00603998">
        <w:rPr>
          <w:rFonts w:ascii="Arial" w:eastAsia="Calibri" w:hAnsi="Arial" w:cs="Arial"/>
          <w:color w:val="000000" w:themeColor="text1"/>
          <w:sz w:val="22"/>
        </w:rPr>
        <w:t>2.2.1.2.1.4.8</w:t>
      </w:r>
      <w:r w:rsidR="00E16FB9">
        <w:rPr>
          <w:rFonts w:ascii="Arial" w:eastAsia="Calibri" w:hAnsi="Arial" w:cs="Arial"/>
          <w:color w:val="000000" w:themeColor="text1"/>
          <w:sz w:val="22"/>
        </w:rPr>
        <w:t xml:space="preserve"> del Decreto 1082 de 2015, el cual dispone lo siguiente</w:t>
      </w:r>
      <w:r w:rsidR="0095227F">
        <w:rPr>
          <w:rFonts w:ascii="Arial" w:eastAsia="Calibri" w:hAnsi="Arial" w:cs="Arial"/>
          <w:color w:val="000000" w:themeColor="text1"/>
          <w:sz w:val="22"/>
        </w:rPr>
        <w:t>:</w:t>
      </w:r>
    </w:p>
    <w:p w14:paraId="5BEFC96A" w14:textId="77777777" w:rsidR="003444B1" w:rsidRDefault="003444B1" w:rsidP="003444B1">
      <w:pPr>
        <w:spacing w:line="276" w:lineRule="auto"/>
        <w:ind w:firstLine="708"/>
        <w:jc w:val="both"/>
        <w:rPr>
          <w:rFonts w:ascii="Arial" w:eastAsia="Calibri" w:hAnsi="Arial" w:cs="Arial"/>
          <w:color w:val="000000" w:themeColor="text1"/>
          <w:sz w:val="22"/>
        </w:rPr>
      </w:pPr>
    </w:p>
    <w:p w14:paraId="16A6930D" w14:textId="3E02D6D9" w:rsidR="00603998" w:rsidRPr="003444B1" w:rsidRDefault="0095227F" w:rsidP="003444B1">
      <w:pPr>
        <w:ind w:left="709" w:right="709"/>
        <w:jc w:val="both"/>
        <w:rPr>
          <w:rFonts w:ascii="Arial" w:eastAsia="Calibri" w:hAnsi="Arial" w:cs="Arial"/>
          <w:color w:val="000000" w:themeColor="text1"/>
          <w:sz w:val="21"/>
          <w:szCs w:val="21"/>
        </w:rPr>
      </w:pPr>
      <w:r w:rsidRPr="003444B1">
        <w:rPr>
          <w:rFonts w:ascii="Arial" w:eastAsia="Calibri" w:hAnsi="Arial" w:cs="Arial"/>
          <w:color w:val="000000" w:themeColor="text1"/>
          <w:sz w:val="21"/>
          <w:szCs w:val="21"/>
        </w:rPr>
        <w:t>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proveedor exclusivo en el territorio nacional. Estas circunstancias deben constar en el estudio previo que soporta la contratación.</w:t>
      </w:r>
      <w:r w:rsidR="00603998" w:rsidRPr="003444B1">
        <w:rPr>
          <w:rFonts w:ascii="Arial" w:eastAsia="Calibri" w:hAnsi="Arial" w:cs="Arial"/>
          <w:color w:val="000000" w:themeColor="text1"/>
          <w:sz w:val="21"/>
          <w:szCs w:val="21"/>
        </w:rPr>
        <w:t xml:space="preserve"> </w:t>
      </w:r>
    </w:p>
    <w:p w14:paraId="7641839E" w14:textId="77777777" w:rsidR="003444B1" w:rsidRDefault="003444B1" w:rsidP="003444B1">
      <w:pPr>
        <w:spacing w:line="276" w:lineRule="auto"/>
        <w:ind w:left="709" w:right="709"/>
        <w:jc w:val="both"/>
        <w:rPr>
          <w:rFonts w:ascii="Arial" w:eastAsia="Calibri" w:hAnsi="Arial" w:cs="Arial"/>
          <w:color w:val="000000" w:themeColor="text1"/>
          <w:sz w:val="22"/>
        </w:rPr>
      </w:pPr>
    </w:p>
    <w:p w14:paraId="3E130ACF" w14:textId="5E81F99C" w:rsidR="00E267B8" w:rsidRDefault="003444B1" w:rsidP="00E267B8">
      <w:pPr>
        <w:spacing w:after="120" w:line="276" w:lineRule="auto"/>
        <w:ind w:firstLine="708"/>
        <w:jc w:val="both"/>
        <w:rPr>
          <w:rFonts w:ascii="Arial" w:eastAsia="Calibri" w:hAnsi="Arial" w:cs="Arial"/>
          <w:color w:val="000000" w:themeColor="text1"/>
          <w:sz w:val="22"/>
        </w:rPr>
      </w:pPr>
      <w:bookmarkStart w:id="19" w:name="_Hlk45532127"/>
      <w:r>
        <w:rPr>
          <w:rFonts w:ascii="Arial" w:eastAsia="Calibri" w:hAnsi="Arial" w:cs="Arial"/>
          <w:color w:val="000000" w:themeColor="text1"/>
          <w:sz w:val="22"/>
        </w:rPr>
        <w:t>La norma consagra dos (2) hipótesis</w:t>
      </w:r>
      <w:r w:rsidR="00F649E4">
        <w:rPr>
          <w:rFonts w:ascii="Arial" w:eastAsia="Calibri" w:hAnsi="Arial" w:cs="Arial"/>
          <w:color w:val="000000" w:themeColor="text1"/>
          <w:sz w:val="22"/>
        </w:rPr>
        <w:t xml:space="preserve">. </w:t>
      </w:r>
      <w:r w:rsidR="00F649E4" w:rsidRPr="00F649E4">
        <w:rPr>
          <w:rFonts w:ascii="Arial" w:eastAsia="Calibri" w:hAnsi="Arial" w:cs="Arial"/>
          <w:i/>
          <w:iCs/>
          <w:color w:val="000000" w:themeColor="text1"/>
          <w:sz w:val="22"/>
        </w:rPr>
        <w:t>En primer lugar</w:t>
      </w:r>
      <w:r w:rsidR="00F649E4">
        <w:rPr>
          <w:rFonts w:ascii="Arial" w:eastAsia="Calibri" w:hAnsi="Arial" w:cs="Arial"/>
          <w:color w:val="000000" w:themeColor="text1"/>
          <w:sz w:val="22"/>
        </w:rPr>
        <w:t xml:space="preserve">, </w:t>
      </w:r>
      <w:bookmarkStart w:id="20" w:name="_Hlk45627093"/>
      <w:r w:rsidR="00F649E4">
        <w:rPr>
          <w:rFonts w:ascii="Arial" w:eastAsia="Calibri" w:hAnsi="Arial" w:cs="Arial"/>
          <w:color w:val="000000" w:themeColor="text1"/>
          <w:sz w:val="22"/>
        </w:rPr>
        <w:t xml:space="preserve">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w:t>
      </w:r>
      <w:r w:rsidR="00B605CB">
        <w:rPr>
          <w:rFonts w:ascii="Arial" w:eastAsia="Calibri" w:hAnsi="Arial" w:cs="Arial"/>
          <w:color w:val="000000" w:themeColor="text1"/>
          <w:sz w:val="22"/>
        </w:rPr>
        <w:t xml:space="preserve">que impida que </w:t>
      </w:r>
      <w:r w:rsidR="00F649E4">
        <w:rPr>
          <w:rFonts w:ascii="Arial" w:eastAsia="Calibri" w:hAnsi="Arial" w:cs="Arial"/>
          <w:color w:val="000000" w:themeColor="text1"/>
          <w:sz w:val="22"/>
        </w:rPr>
        <w:t xml:space="preserve">otra </w:t>
      </w:r>
      <w:r w:rsidR="00B605CB">
        <w:rPr>
          <w:rFonts w:ascii="Arial" w:eastAsia="Calibri" w:hAnsi="Arial" w:cs="Arial"/>
          <w:color w:val="000000" w:themeColor="text1"/>
          <w:sz w:val="22"/>
        </w:rPr>
        <w:t>lo haga</w:t>
      </w:r>
      <w:r w:rsidR="00F649E4">
        <w:rPr>
          <w:rFonts w:ascii="Arial" w:eastAsia="Calibri" w:hAnsi="Arial" w:cs="Arial"/>
          <w:color w:val="000000" w:themeColor="text1"/>
          <w:sz w:val="22"/>
        </w:rPr>
        <w:t xml:space="preserve"> </w:t>
      </w:r>
      <w:r w:rsidR="00EE40D5">
        <w:rPr>
          <w:rFonts w:ascii="Arial" w:eastAsia="Calibri" w:hAnsi="Arial" w:cs="Arial"/>
          <w:color w:val="000000" w:themeColor="text1"/>
          <w:sz w:val="22"/>
        </w:rPr>
        <w:t>de forma igual o similar</w:t>
      </w:r>
      <w:r w:rsidR="00B605CB">
        <w:rPr>
          <w:rFonts w:ascii="Arial" w:eastAsia="Calibri" w:hAnsi="Arial" w:cs="Arial"/>
          <w:color w:val="000000" w:themeColor="text1"/>
          <w:sz w:val="22"/>
        </w:rPr>
        <w:t xml:space="preserve">. </w:t>
      </w:r>
      <w:r w:rsidR="00EE40D5">
        <w:rPr>
          <w:rFonts w:ascii="Arial" w:eastAsia="Calibri" w:hAnsi="Arial" w:cs="Arial"/>
          <w:color w:val="000000" w:themeColor="text1"/>
          <w:sz w:val="22"/>
        </w:rPr>
        <w:t>Para los proponentes</w:t>
      </w:r>
      <w:r w:rsidR="00CB277A">
        <w:rPr>
          <w:rFonts w:ascii="Arial" w:eastAsia="Calibri" w:hAnsi="Arial" w:cs="Arial"/>
          <w:color w:val="000000" w:themeColor="text1"/>
          <w:sz w:val="22"/>
        </w:rPr>
        <w:t>,</w:t>
      </w:r>
      <w:r w:rsidR="00B605CB">
        <w:rPr>
          <w:rFonts w:ascii="Arial" w:eastAsia="Calibri" w:hAnsi="Arial" w:cs="Arial"/>
          <w:color w:val="000000" w:themeColor="text1"/>
          <w:sz w:val="22"/>
        </w:rPr>
        <w:t xml:space="preserve"> cada bien o servicio tiene características </w:t>
      </w:r>
      <w:r w:rsidR="00B605CB" w:rsidRPr="000E5097">
        <w:rPr>
          <w:rFonts w:ascii="Arial" w:eastAsia="Calibri" w:hAnsi="Arial" w:cs="Arial"/>
          <w:color w:val="000000" w:themeColor="text1"/>
          <w:sz w:val="22"/>
        </w:rPr>
        <w:t>únicas</w:t>
      </w:r>
      <w:r w:rsidR="00B605CB">
        <w:rPr>
          <w:rFonts w:ascii="Arial" w:eastAsia="Calibri" w:hAnsi="Arial" w:cs="Arial"/>
          <w:color w:val="000000" w:themeColor="text1"/>
          <w:sz w:val="22"/>
        </w:rPr>
        <w:t xml:space="preserve"> frente a los de la competencia; </w:t>
      </w:r>
      <w:r w:rsidR="00B605CB" w:rsidRPr="000E5097">
        <w:rPr>
          <w:rFonts w:ascii="Arial" w:eastAsia="Calibri" w:hAnsi="Arial" w:cs="Arial"/>
          <w:color w:val="000000" w:themeColor="text1"/>
          <w:sz w:val="22"/>
        </w:rPr>
        <w:t xml:space="preserve">sin embargo, </w:t>
      </w:r>
      <w:r w:rsidR="00EE40D5" w:rsidRPr="000E5097">
        <w:rPr>
          <w:rFonts w:ascii="Arial" w:eastAsia="Calibri" w:hAnsi="Arial" w:cs="Arial"/>
          <w:color w:val="000000" w:themeColor="text1"/>
          <w:sz w:val="22"/>
        </w:rPr>
        <w:t xml:space="preserve">desde el punto de vista del contratante, </w:t>
      </w:r>
      <w:r w:rsidR="000E5097" w:rsidRPr="000E5097">
        <w:rPr>
          <w:rFonts w:ascii="Arial" w:eastAsia="Calibri" w:hAnsi="Arial" w:cs="Arial"/>
          <w:color w:val="000000" w:themeColor="text1"/>
          <w:sz w:val="22"/>
        </w:rPr>
        <w:t xml:space="preserve">no existe mayor diferenciación entre </w:t>
      </w:r>
      <w:r w:rsidR="000E5097">
        <w:rPr>
          <w:rFonts w:ascii="Arial" w:eastAsia="Calibri" w:hAnsi="Arial" w:cs="Arial"/>
          <w:color w:val="000000" w:themeColor="text1"/>
          <w:sz w:val="22"/>
        </w:rPr>
        <w:t>los bienes y servicios</w:t>
      </w:r>
      <w:r w:rsidR="000E5097" w:rsidRPr="000E5097">
        <w:rPr>
          <w:rFonts w:ascii="Arial" w:eastAsia="Calibri" w:hAnsi="Arial" w:cs="Arial"/>
          <w:color w:val="000000" w:themeColor="text1"/>
          <w:sz w:val="22"/>
        </w:rPr>
        <w:t xml:space="preserve"> </w:t>
      </w:r>
      <w:r w:rsidR="00B605CB" w:rsidRPr="000E5097">
        <w:rPr>
          <w:rFonts w:ascii="Arial" w:eastAsia="Calibri" w:hAnsi="Arial" w:cs="Arial"/>
          <w:color w:val="000000" w:themeColor="text1"/>
          <w:sz w:val="22"/>
        </w:rPr>
        <w:t>cuando ninguno de los aspirantes tiene la titularidad de un derecho industrial o de autor</w:t>
      </w:r>
      <w:r w:rsidR="006B0A48">
        <w:rPr>
          <w:rFonts w:ascii="Arial" w:eastAsia="Calibri" w:hAnsi="Arial" w:cs="Arial"/>
          <w:color w:val="000000" w:themeColor="text1"/>
          <w:sz w:val="22"/>
        </w:rPr>
        <w:t xml:space="preserve">. </w:t>
      </w:r>
    </w:p>
    <w:p w14:paraId="6E8D5DA2" w14:textId="4D1EE696" w:rsidR="00D73F1F" w:rsidRDefault="006B0A48" w:rsidP="00E267B8">
      <w:pPr>
        <w:spacing w:line="276" w:lineRule="auto"/>
        <w:ind w:firstLine="708"/>
        <w:jc w:val="both"/>
        <w:rPr>
          <w:rFonts w:ascii="Arial" w:eastAsia="Calibri" w:hAnsi="Arial" w:cs="Arial"/>
          <w:color w:val="000000" w:themeColor="text1"/>
          <w:sz w:val="22"/>
        </w:rPr>
      </w:pPr>
      <w:bookmarkStart w:id="21" w:name="_Hlk45635593"/>
      <w:r>
        <w:rPr>
          <w:rFonts w:ascii="Arial" w:eastAsia="Calibri" w:hAnsi="Arial" w:cs="Arial"/>
          <w:color w:val="000000" w:themeColor="text1"/>
          <w:sz w:val="22"/>
        </w:rPr>
        <w:t>Por ello, en la medida que la prestación no est</w:t>
      </w:r>
      <w:r w:rsidR="00B349B5">
        <w:rPr>
          <w:rFonts w:ascii="Arial" w:eastAsia="Calibri" w:hAnsi="Arial" w:cs="Arial"/>
          <w:color w:val="000000" w:themeColor="text1"/>
          <w:sz w:val="22"/>
        </w:rPr>
        <w:t>é</w:t>
      </w:r>
      <w:r>
        <w:rPr>
          <w:rFonts w:ascii="Arial" w:eastAsia="Calibri" w:hAnsi="Arial" w:cs="Arial"/>
          <w:color w:val="000000" w:themeColor="text1"/>
          <w:sz w:val="22"/>
        </w:rPr>
        <w:t xml:space="preserve"> cubierta por </w:t>
      </w:r>
      <w:r w:rsidR="000E5097">
        <w:rPr>
          <w:rFonts w:ascii="Arial" w:eastAsia="Calibri" w:hAnsi="Arial" w:cs="Arial"/>
          <w:color w:val="000000" w:themeColor="text1"/>
          <w:sz w:val="22"/>
        </w:rPr>
        <w:t xml:space="preserve">derechos </w:t>
      </w:r>
      <w:r w:rsidR="00B349B5">
        <w:rPr>
          <w:rFonts w:ascii="Arial" w:eastAsia="Calibri" w:hAnsi="Arial" w:cs="Arial"/>
          <w:color w:val="000000" w:themeColor="text1"/>
          <w:sz w:val="22"/>
        </w:rPr>
        <w:t xml:space="preserve">de la naturaleza </w:t>
      </w:r>
      <w:r w:rsidR="000E5097">
        <w:rPr>
          <w:rFonts w:ascii="Arial" w:eastAsia="Calibri" w:hAnsi="Arial" w:cs="Arial"/>
          <w:color w:val="000000" w:themeColor="text1"/>
          <w:sz w:val="22"/>
        </w:rPr>
        <w:t>anteriormente señalad</w:t>
      </w:r>
      <w:r w:rsidR="00B349B5">
        <w:rPr>
          <w:rFonts w:ascii="Arial" w:eastAsia="Calibri" w:hAnsi="Arial" w:cs="Arial"/>
          <w:color w:val="000000" w:themeColor="text1"/>
          <w:sz w:val="22"/>
        </w:rPr>
        <w:t>a</w:t>
      </w:r>
      <w:r>
        <w:rPr>
          <w:rFonts w:ascii="Arial" w:eastAsia="Calibri" w:hAnsi="Arial" w:cs="Arial"/>
          <w:color w:val="000000" w:themeColor="text1"/>
          <w:sz w:val="22"/>
        </w:rPr>
        <w:t xml:space="preserve">, posibilita que la entidad </w:t>
      </w:r>
      <w:r w:rsidR="00EE40D5">
        <w:rPr>
          <w:rFonts w:ascii="Arial" w:eastAsia="Calibri" w:hAnsi="Arial" w:cs="Arial"/>
          <w:color w:val="000000" w:themeColor="text1"/>
          <w:sz w:val="22"/>
        </w:rPr>
        <w:t>satisfaga</w:t>
      </w:r>
      <w:r>
        <w:rPr>
          <w:rFonts w:ascii="Arial" w:eastAsia="Calibri" w:hAnsi="Arial" w:cs="Arial"/>
          <w:color w:val="000000" w:themeColor="text1"/>
          <w:sz w:val="22"/>
        </w:rPr>
        <w:t xml:space="preserve"> sus necesidades con equivalentes o sustitutos, ya que la presión de la competencia aumenta la oferta y disminuye los costos de adquisición</w:t>
      </w:r>
      <w:r w:rsidR="00EE40D5">
        <w:rPr>
          <w:rFonts w:ascii="Arial" w:eastAsia="Calibri" w:hAnsi="Arial" w:cs="Arial"/>
          <w:color w:val="000000" w:themeColor="text1"/>
          <w:sz w:val="22"/>
        </w:rPr>
        <w:t xml:space="preserve">. </w:t>
      </w:r>
      <w:r w:rsidR="00762F5B">
        <w:rPr>
          <w:rFonts w:ascii="Arial" w:eastAsia="Calibri" w:hAnsi="Arial" w:cs="Arial"/>
          <w:color w:val="000000" w:themeColor="text1"/>
          <w:sz w:val="22"/>
        </w:rPr>
        <w:t xml:space="preserve">Para la doctrina, </w:t>
      </w:r>
      <w:r w:rsidR="00D73F1F">
        <w:rPr>
          <w:rFonts w:ascii="Arial" w:eastAsia="Calibri" w:hAnsi="Arial" w:cs="Arial"/>
          <w:color w:val="000000" w:themeColor="text1"/>
          <w:sz w:val="22"/>
        </w:rPr>
        <w:t>en ausencia de</w:t>
      </w:r>
      <w:r w:rsidR="00762F5B">
        <w:rPr>
          <w:rFonts w:ascii="Arial" w:eastAsia="Calibri" w:hAnsi="Arial" w:cs="Arial"/>
          <w:color w:val="000000" w:themeColor="text1"/>
          <w:sz w:val="22"/>
        </w:rPr>
        <w:t xml:space="preserve"> una barrera de entrada –como la que se concreta con los derechos de propiedad industrial o de autor– es </w:t>
      </w:r>
      <w:r w:rsidR="00D73F1F">
        <w:rPr>
          <w:rFonts w:ascii="Arial" w:eastAsia="Calibri" w:hAnsi="Arial" w:cs="Arial"/>
          <w:color w:val="000000" w:themeColor="text1"/>
          <w:sz w:val="22"/>
        </w:rPr>
        <w:t>necesario aplicar el principio de concurrencia</w:t>
      </w:r>
      <w:bookmarkEnd w:id="20"/>
      <w:bookmarkEnd w:id="21"/>
      <w:r w:rsidR="00762F5B">
        <w:rPr>
          <w:rFonts w:ascii="Arial" w:eastAsia="Calibri" w:hAnsi="Arial" w:cs="Arial"/>
          <w:color w:val="000000" w:themeColor="text1"/>
          <w:sz w:val="22"/>
        </w:rPr>
        <w:t>.</w:t>
      </w:r>
      <w:bookmarkEnd w:id="19"/>
      <w:r w:rsidR="00762F5B">
        <w:rPr>
          <w:rFonts w:ascii="Arial" w:eastAsia="Calibri" w:hAnsi="Arial" w:cs="Arial"/>
          <w:color w:val="000000" w:themeColor="text1"/>
          <w:sz w:val="22"/>
        </w:rPr>
        <w:t xml:space="preserve"> Por ello, explica </w:t>
      </w:r>
      <w:r w:rsidR="00E267B8">
        <w:rPr>
          <w:rFonts w:ascii="Arial" w:eastAsia="Calibri" w:hAnsi="Arial" w:cs="Arial"/>
          <w:color w:val="000000" w:themeColor="text1"/>
          <w:sz w:val="22"/>
        </w:rPr>
        <w:t xml:space="preserve">que </w:t>
      </w:r>
      <w:r w:rsidR="00D73F1F">
        <w:rPr>
          <w:rFonts w:ascii="Arial" w:eastAsia="Calibri" w:hAnsi="Arial" w:cs="Arial"/>
          <w:color w:val="000000" w:themeColor="text1"/>
          <w:sz w:val="22"/>
        </w:rPr>
        <w:t>es posible la contratación directa con el oferente que es titular de una marca</w:t>
      </w:r>
      <w:r w:rsidR="008417D3">
        <w:rPr>
          <w:rFonts w:ascii="Arial" w:eastAsia="Calibri" w:hAnsi="Arial" w:cs="Arial"/>
          <w:color w:val="000000" w:themeColor="text1"/>
          <w:sz w:val="22"/>
        </w:rPr>
        <w:t xml:space="preserve"> o privilegio</w:t>
      </w:r>
      <w:r w:rsidR="00D73F1F">
        <w:rPr>
          <w:rFonts w:ascii="Arial" w:eastAsia="Calibri" w:hAnsi="Arial" w:cs="Arial"/>
          <w:color w:val="000000" w:themeColor="text1"/>
          <w:sz w:val="22"/>
        </w:rPr>
        <w:t>, agregando que:</w:t>
      </w:r>
    </w:p>
    <w:p w14:paraId="21DEAF59" w14:textId="77777777" w:rsidR="00E267B8" w:rsidRDefault="00E267B8" w:rsidP="00E267B8">
      <w:pPr>
        <w:spacing w:line="276" w:lineRule="auto"/>
        <w:ind w:firstLine="708"/>
        <w:jc w:val="both"/>
        <w:rPr>
          <w:rFonts w:ascii="Arial" w:eastAsia="Calibri" w:hAnsi="Arial" w:cs="Arial"/>
          <w:color w:val="000000" w:themeColor="text1"/>
          <w:sz w:val="22"/>
        </w:rPr>
      </w:pPr>
    </w:p>
    <w:p w14:paraId="61481EEA" w14:textId="04E74356" w:rsidR="008417D3" w:rsidRDefault="00D73F1F" w:rsidP="008417D3">
      <w:pPr>
        <w:ind w:left="709" w:right="709"/>
        <w:jc w:val="both"/>
        <w:rPr>
          <w:rFonts w:ascii="Arial" w:eastAsia="Calibri" w:hAnsi="Arial" w:cs="Arial"/>
          <w:color w:val="000000" w:themeColor="text1"/>
          <w:sz w:val="22"/>
        </w:rPr>
      </w:pPr>
      <w:r w:rsidRPr="00E267B8">
        <w:rPr>
          <w:rFonts w:ascii="Arial" w:eastAsia="Calibri" w:hAnsi="Arial" w:cs="Arial"/>
          <w:color w:val="000000" w:themeColor="text1"/>
          <w:sz w:val="21"/>
          <w:szCs w:val="21"/>
        </w:rPr>
        <w:t xml:space="preserve">La tutela de la propiedad intelectual del oferente o de un privilegio otorgado en modo expreso, vuelven imposible proceder por licitación, ya que solamente la persona, entidad o empresa que posee el privilegio de invención de invención o fabricación, podría presentarse formulando ofertas. </w:t>
      </w:r>
      <w:r w:rsidR="00E267B8" w:rsidRPr="00E267B8">
        <w:rPr>
          <w:rFonts w:ascii="Arial" w:eastAsia="Calibri" w:hAnsi="Arial" w:cs="Arial"/>
          <w:color w:val="000000" w:themeColor="text1"/>
          <w:sz w:val="21"/>
          <w:szCs w:val="21"/>
        </w:rPr>
        <w:t>Desde luego no habría pluralidad de concurrentes, ni puja que hiciera posible el cumplimiento de las finalidades básicas perseguidas por la licitación</w:t>
      </w:r>
      <w:r w:rsidR="00E267B8">
        <w:rPr>
          <w:rStyle w:val="Refdenotaalpie"/>
          <w:rFonts w:ascii="Arial" w:eastAsia="Calibri" w:hAnsi="Arial" w:cs="Arial"/>
          <w:color w:val="000000" w:themeColor="text1"/>
          <w:sz w:val="21"/>
          <w:szCs w:val="21"/>
        </w:rPr>
        <w:footnoteReference w:id="4"/>
      </w:r>
      <w:r w:rsidR="00196652">
        <w:rPr>
          <w:rFonts w:ascii="Arial" w:eastAsia="Calibri" w:hAnsi="Arial" w:cs="Arial"/>
          <w:color w:val="000000" w:themeColor="text1"/>
          <w:sz w:val="22"/>
        </w:rPr>
        <w:t>.</w:t>
      </w:r>
    </w:p>
    <w:p w14:paraId="0E56DF36" w14:textId="3776BD47" w:rsidR="00793178" w:rsidRPr="008417D3" w:rsidRDefault="00196652" w:rsidP="008417D3">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2"/>
        </w:rPr>
        <w:t xml:space="preserve"> </w:t>
      </w:r>
    </w:p>
    <w:p w14:paraId="6D904F46" w14:textId="10AB9281" w:rsidR="00505486" w:rsidRDefault="00793178" w:rsidP="00727166">
      <w:pPr>
        <w:spacing w:after="120" w:line="276" w:lineRule="auto"/>
        <w:ind w:firstLine="708"/>
        <w:jc w:val="both"/>
        <w:rPr>
          <w:rFonts w:ascii="Arial" w:eastAsia="Calibri" w:hAnsi="Arial" w:cs="Arial"/>
          <w:color w:val="000000" w:themeColor="text1"/>
          <w:sz w:val="22"/>
        </w:rPr>
      </w:pPr>
      <w:bookmarkStart w:id="22" w:name="_Hlk45532434"/>
      <w:r w:rsidRPr="00793178">
        <w:rPr>
          <w:rFonts w:ascii="Arial" w:eastAsia="Calibri" w:hAnsi="Arial" w:cs="Arial"/>
          <w:i/>
          <w:iCs/>
          <w:color w:val="000000" w:themeColor="text1"/>
          <w:sz w:val="22"/>
        </w:rPr>
        <w:lastRenderedPageBreak/>
        <w:t>En segundo lugar</w:t>
      </w:r>
      <w:r>
        <w:rPr>
          <w:rFonts w:ascii="Arial" w:eastAsia="Calibri" w:hAnsi="Arial" w:cs="Arial"/>
          <w:color w:val="000000" w:themeColor="text1"/>
          <w:sz w:val="22"/>
        </w:rPr>
        <w:t xml:space="preserve">, </w:t>
      </w:r>
      <w:bookmarkStart w:id="23" w:name="_Hlk45635630"/>
      <w:bookmarkStart w:id="24" w:name="_Hlk45627184"/>
      <w:r>
        <w:rPr>
          <w:rFonts w:ascii="Arial" w:eastAsia="Calibri" w:hAnsi="Arial" w:cs="Arial"/>
          <w:color w:val="000000" w:themeColor="text1"/>
          <w:sz w:val="22"/>
        </w:rPr>
        <w:t xml:space="preserve">el artículo </w:t>
      </w:r>
      <w:r w:rsidRPr="00603998">
        <w:rPr>
          <w:rFonts w:ascii="Arial" w:eastAsia="Calibri" w:hAnsi="Arial" w:cs="Arial"/>
          <w:color w:val="000000" w:themeColor="text1"/>
          <w:sz w:val="22"/>
        </w:rPr>
        <w:t>2.2.1.2.1.4.8</w:t>
      </w:r>
      <w:r>
        <w:rPr>
          <w:rFonts w:ascii="Arial" w:eastAsia="Calibri" w:hAnsi="Arial" w:cs="Arial"/>
          <w:color w:val="000000" w:themeColor="text1"/>
          <w:sz w:val="22"/>
        </w:rPr>
        <w:t xml:space="preserve"> del Decreto 1082 de 2015 dispone que tampoco existe pluralidad de oferentes cuando existe una sola persona que puede </w:t>
      </w:r>
      <w:r w:rsidR="00BA2BFE">
        <w:rPr>
          <w:rFonts w:ascii="Arial" w:eastAsia="Calibri" w:hAnsi="Arial" w:cs="Arial"/>
          <w:color w:val="000000" w:themeColor="text1"/>
          <w:sz w:val="22"/>
        </w:rPr>
        <w:t>celebrar</w:t>
      </w:r>
      <w:r w:rsidR="000B08EA">
        <w:rPr>
          <w:rFonts w:ascii="Arial" w:eastAsia="Calibri" w:hAnsi="Arial" w:cs="Arial"/>
          <w:color w:val="000000" w:themeColor="text1"/>
          <w:sz w:val="22"/>
        </w:rPr>
        <w:t xml:space="preserve"> el contrato</w:t>
      </w:r>
      <w:r>
        <w:rPr>
          <w:rFonts w:ascii="Arial" w:eastAsia="Calibri" w:hAnsi="Arial" w:cs="Arial"/>
          <w:color w:val="000000" w:themeColor="text1"/>
          <w:sz w:val="22"/>
        </w:rPr>
        <w:t xml:space="preserve"> por ser proveedor exclusivo en el territorio nacional. </w:t>
      </w:r>
      <w:r w:rsidR="00C567BA">
        <w:rPr>
          <w:rFonts w:ascii="Arial" w:eastAsia="Calibri" w:hAnsi="Arial" w:cs="Arial"/>
          <w:color w:val="000000" w:themeColor="text1"/>
          <w:sz w:val="22"/>
        </w:rPr>
        <w:t>A modo de ejemplo, e</w:t>
      </w:r>
      <w:r>
        <w:rPr>
          <w:rFonts w:ascii="Arial" w:eastAsia="Calibri" w:hAnsi="Arial" w:cs="Arial"/>
          <w:color w:val="000000" w:themeColor="text1"/>
          <w:sz w:val="22"/>
        </w:rPr>
        <w:t xml:space="preserve">sta causal se </w:t>
      </w:r>
      <w:r w:rsidR="00CC06A1">
        <w:rPr>
          <w:rFonts w:ascii="Arial" w:eastAsia="Calibri" w:hAnsi="Arial" w:cs="Arial"/>
          <w:color w:val="000000" w:themeColor="text1"/>
          <w:sz w:val="22"/>
        </w:rPr>
        <w:t>comprende</w:t>
      </w:r>
      <w:r w:rsidR="004A32DD">
        <w:rPr>
          <w:rFonts w:ascii="Arial" w:eastAsia="Calibri" w:hAnsi="Arial" w:cs="Arial"/>
          <w:color w:val="000000" w:themeColor="text1"/>
          <w:sz w:val="22"/>
        </w:rPr>
        <w:t xml:space="preserve"> en</w:t>
      </w:r>
      <w:r w:rsidR="00CC06A1">
        <w:rPr>
          <w:rFonts w:ascii="Arial" w:eastAsia="Calibri" w:hAnsi="Arial" w:cs="Arial"/>
          <w:color w:val="000000" w:themeColor="text1"/>
          <w:sz w:val="22"/>
        </w:rPr>
        <w:t xml:space="preserve"> el marco de los contratos de colaboración empresarial –agencia, distribución, franquicia concesión comercial, etc.– que celebran los</w:t>
      </w:r>
      <w:r>
        <w:rPr>
          <w:rFonts w:ascii="Arial" w:eastAsia="Calibri" w:hAnsi="Arial" w:cs="Arial"/>
          <w:color w:val="000000" w:themeColor="text1"/>
          <w:sz w:val="22"/>
        </w:rPr>
        <w:t xml:space="preserve"> productores</w:t>
      </w:r>
      <w:r w:rsidR="00727166">
        <w:rPr>
          <w:rFonts w:ascii="Arial" w:eastAsia="Calibri" w:hAnsi="Arial" w:cs="Arial"/>
          <w:color w:val="000000" w:themeColor="text1"/>
          <w:sz w:val="22"/>
        </w:rPr>
        <w:t xml:space="preserve"> extranjeros</w:t>
      </w:r>
      <w:r>
        <w:rPr>
          <w:rFonts w:ascii="Arial" w:eastAsia="Calibri" w:hAnsi="Arial" w:cs="Arial"/>
          <w:color w:val="000000" w:themeColor="text1"/>
          <w:sz w:val="22"/>
        </w:rPr>
        <w:t xml:space="preserve"> </w:t>
      </w:r>
      <w:r w:rsidR="00CC06A1">
        <w:rPr>
          <w:rFonts w:ascii="Arial" w:eastAsia="Calibri" w:hAnsi="Arial" w:cs="Arial"/>
          <w:color w:val="000000" w:themeColor="text1"/>
          <w:sz w:val="22"/>
        </w:rPr>
        <w:t>con los</w:t>
      </w:r>
      <w:r>
        <w:rPr>
          <w:rFonts w:ascii="Arial" w:eastAsia="Calibri" w:hAnsi="Arial" w:cs="Arial"/>
          <w:color w:val="000000" w:themeColor="text1"/>
          <w:sz w:val="22"/>
        </w:rPr>
        <w:t xml:space="preserve"> proveedores</w:t>
      </w:r>
      <w:r w:rsidR="00727166">
        <w:rPr>
          <w:rFonts w:ascii="Arial" w:eastAsia="Calibri" w:hAnsi="Arial" w:cs="Arial"/>
          <w:color w:val="000000" w:themeColor="text1"/>
          <w:sz w:val="22"/>
        </w:rPr>
        <w:t xml:space="preserve"> nacionales, los cuales contienen usualmente cláusulas de exclusividad como elemento accidental del negocio</w:t>
      </w:r>
      <w:bookmarkEnd w:id="23"/>
      <w:r w:rsidR="00727166">
        <w:rPr>
          <w:rFonts w:ascii="Arial" w:eastAsia="Calibri" w:hAnsi="Arial" w:cs="Arial"/>
          <w:color w:val="000000" w:themeColor="text1"/>
          <w:sz w:val="22"/>
        </w:rPr>
        <w:t xml:space="preserve">. </w:t>
      </w:r>
    </w:p>
    <w:p w14:paraId="0C26A4CB" w14:textId="159B0EE3" w:rsidR="00530339" w:rsidRDefault="00505486" w:rsidP="00727166">
      <w:pPr>
        <w:spacing w:after="120" w:line="276" w:lineRule="auto"/>
        <w:ind w:firstLine="708"/>
        <w:jc w:val="both"/>
        <w:rPr>
          <w:rFonts w:ascii="Arial" w:eastAsia="Calibri" w:hAnsi="Arial" w:cs="Arial"/>
          <w:color w:val="000000" w:themeColor="text1"/>
          <w:sz w:val="22"/>
        </w:rPr>
      </w:pPr>
      <w:bookmarkStart w:id="25" w:name="_Hlk45635661"/>
      <w:r>
        <w:rPr>
          <w:rFonts w:ascii="Arial" w:eastAsia="Calibri" w:hAnsi="Arial" w:cs="Arial"/>
          <w:color w:val="000000" w:themeColor="text1"/>
          <w:sz w:val="22"/>
        </w:rPr>
        <w:t xml:space="preserve">Al igual que la hipótesis precedente, la presencia de un proveedor exclusivo supone una barrera de entrada para </w:t>
      </w:r>
      <w:r w:rsidR="002D32C1">
        <w:rPr>
          <w:rFonts w:ascii="Arial" w:eastAsia="Calibri" w:hAnsi="Arial" w:cs="Arial"/>
          <w:color w:val="000000" w:themeColor="text1"/>
          <w:sz w:val="22"/>
        </w:rPr>
        <w:t>otros posibles oferentes</w:t>
      </w:r>
      <w:r>
        <w:rPr>
          <w:rFonts w:ascii="Arial" w:eastAsia="Calibri" w:hAnsi="Arial" w:cs="Arial"/>
          <w:color w:val="000000" w:themeColor="text1"/>
          <w:sz w:val="22"/>
        </w:rPr>
        <w:t>, por lo que no es posible aplicar el principio de concurrencia</w:t>
      </w:r>
      <w:r w:rsidRPr="007E4E96">
        <w:rPr>
          <w:rFonts w:ascii="Arial" w:eastAsia="Calibri" w:hAnsi="Arial" w:cs="Arial"/>
          <w:color w:val="000000" w:themeColor="text1"/>
          <w:sz w:val="22"/>
        </w:rPr>
        <w:t xml:space="preserve">. </w:t>
      </w:r>
      <w:r>
        <w:rPr>
          <w:rFonts w:ascii="Arial" w:eastAsia="Calibri" w:hAnsi="Arial" w:cs="Arial"/>
          <w:color w:val="000000" w:themeColor="text1"/>
          <w:sz w:val="22"/>
        </w:rPr>
        <w:t>Sin embargo, para</w:t>
      </w:r>
      <w:r w:rsidR="004A32DD">
        <w:rPr>
          <w:rFonts w:ascii="Arial" w:eastAsia="Calibri" w:hAnsi="Arial" w:cs="Arial"/>
          <w:color w:val="000000" w:themeColor="text1"/>
          <w:sz w:val="22"/>
        </w:rPr>
        <w:t xml:space="preserve"> aplica</w:t>
      </w:r>
      <w:r w:rsidR="00747BC2">
        <w:rPr>
          <w:rFonts w:ascii="Arial" w:eastAsia="Calibri" w:hAnsi="Arial" w:cs="Arial"/>
          <w:color w:val="000000" w:themeColor="text1"/>
          <w:sz w:val="22"/>
        </w:rPr>
        <w:t>r</w:t>
      </w:r>
      <w:r>
        <w:rPr>
          <w:rFonts w:ascii="Arial" w:eastAsia="Calibri" w:hAnsi="Arial" w:cs="Arial"/>
          <w:color w:val="000000" w:themeColor="text1"/>
          <w:sz w:val="22"/>
        </w:rPr>
        <w:t xml:space="preserve"> la causal de contratación directa, </w:t>
      </w:r>
      <w:r w:rsidR="00C17FFE">
        <w:rPr>
          <w:rFonts w:ascii="Arial" w:eastAsia="Calibri" w:hAnsi="Arial" w:cs="Arial"/>
          <w:color w:val="000000" w:themeColor="text1"/>
          <w:sz w:val="22"/>
        </w:rPr>
        <w:t>la exclusividad del proveedor</w:t>
      </w:r>
      <w:r>
        <w:rPr>
          <w:rFonts w:ascii="Arial" w:eastAsia="Calibri" w:hAnsi="Arial" w:cs="Arial"/>
          <w:color w:val="000000" w:themeColor="text1"/>
          <w:sz w:val="22"/>
        </w:rPr>
        <w:t xml:space="preserve"> debe cubrir el territorio nacional, pues </w:t>
      </w:r>
      <w:r w:rsidR="002D32C1">
        <w:rPr>
          <w:rFonts w:ascii="Arial" w:eastAsia="Calibri" w:hAnsi="Arial" w:cs="Arial"/>
          <w:color w:val="000000" w:themeColor="text1"/>
          <w:sz w:val="22"/>
        </w:rPr>
        <w:t xml:space="preserve">–por ejemplo– </w:t>
      </w:r>
      <w:r>
        <w:rPr>
          <w:rFonts w:ascii="Arial" w:eastAsia="Calibri" w:hAnsi="Arial" w:cs="Arial"/>
          <w:color w:val="000000" w:themeColor="text1"/>
          <w:sz w:val="22"/>
        </w:rPr>
        <w:t xml:space="preserve">si se limita a un municipio o un </w:t>
      </w:r>
      <w:r w:rsidR="002D32C1">
        <w:rPr>
          <w:rFonts w:ascii="Arial" w:eastAsia="Calibri" w:hAnsi="Arial" w:cs="Arial"/>
          <w:color w:val="000000" w:themeColor="text1"/>
          <w:sz w:val="22"/>
        </w:rPr>
        <w:t>departamento, es posible encontrar</w:t>
      </w:r>
      <w:r w:rsidR="001E7533">
        <w:rPr>
          <w:rFonts w:ascii="Arial" w:eastAsia="Calibri" w:hAnsi="Arial" w:cs="Arial"/>
          <w:color w:val="000000" w:themeColor="text1"/>
          <w:sz w:val="22"/>
        </w:rPr>
        <w:t xml:space="preserve"> proveedores de</w:t>
      </w:r>
      <w:r w:rsidR="002D32C1">
        <w:rPr>
          <w:rFonts w:ascii="Arial" w:eastAsia="Calibri" w:hAnsi="Arial" w:cs="Arial"/>
          <w:color w:val="000000" w:themeColor="text1"/>
          <w:sz w:val="22"/>
        </w:rPr>
        <w:t xml:space="preserve"> bienes y servicios similares o sustitutos en otros lugares del país, por lo que es necesario aplicar procedimientos de selección que permitan la pluralidad de oferentes</w:t>
      </w:r>
      <w:bookmarkEnd w:id="25"/>
      <w:r w:rsidR="002D32C1">
        <w:rPr>
          <w:rFonts w:ascii="Arial" w:eastAsia="Calibri" w:hAnsi="Arial" w:cs="Arial"/>
          <w:color w:val="000000" w:themeColor="text1"/>
          <w:sz w:val="22"/>
        </w:rPr>
        <w:t>.</w:t>
      </w:r>
      <w:bookmarkEnd w:id="24"/>
      <w:r w:rsidR="002D32C1">
        <w:rPr>
          <w:rFonts w:ascii="Arial" w:eastAsia="Calibri" w:hAnsi="Arial" w:cs="Arial"/>
          <w:color w:val="000000" w:themeColor="text1"/>
          <w:sz w:val="22"/>
        </w:rPr>
        <w:t xml:space="preserve"> </w:t>
      </w:r>
      <w:bookmarkEnd w:id="22"/>
      <w:r w:rsidR="002D32C1">
        <w:rPr>
          <w:rFonts w:ascii="Arial" w:eastAsia="Calibri" w:hAnsi="Arial" w:cs="Arial"/>
          <w:color w:val="000000" w:themeColor="text1"/>
          <w:sz w:val="22"/>
        </w:rPr>
        <w:t xml:space="preserve"> </w:t>
      </w:r>
    </w:p>
    <w:p w14:paraId="2C85AC2C" w14:textId="1E6AA0E9" w:rsidR="00571405" w:rsidRDefault="00530339" w:rsidP="00CF5E23">
      <w:pPr>
        <w:spacing w:line="276" w:lineRule="auto"/>
        <w:ind w:firstLine="708"/>
        <w:jc w:val="both"/>
        <w:rPr>
          <w:rFonts w:ascii="Arial" w:eastAsia="Calibri" w:hAnsi="Arial" w:cs="Arial"/>
          <w:b/>
          <w:bCs/>
          <w:color w:val="000000" w:themeColor="text1"/>
          <w:sz w:val="22"/>
        </w:rPr>
      </w:pPr>
      <w:bookmarkStart w:id="26" w:name="_Hlk45532582"/>
      <w:bookmarkStart w:id="27" w:name="_Hlk45531535"/>
      <w:r>
        <w:rPr>
          <w:rFonts w:ascii="Arial" w:eastAsia="Calibri" w:hAnsi="Arial" w:cs="Arial"/>
          <w:color w:val="000000" w:themeColor="text1"/>
          <w:sz w:val="22"/>
        </w:rPr>
        <w:t xml:space="preserve">Fuera de estas dos (2) situaciones, no es posible aplicar </w:t>
      </w:r>
      <w:bookmarkStart w:id="28" w:name="_Hlk45529265"/>
      <w:r>
        <w:rPr>
          <w:rFonts w:ascii="Arial" w:eastAsia="Calibri" w:hAnsi="Arial" w:cs="Arial"/>
          <w:color w:val="000000" w:themeColor="text1"/>
          <w:sz w:val="22"/>
        </w:rPr>
        <w:t>el artículo 2, numeral 4, literal g), de la Ley 1150 de 2007</w:t>
      </w:r>
      <w:bookmarkEnd w:id="28"/>
      <w:r w:rsidR="003201A9">
        <w:rPr>
          <w:rFonts w:ascii="Arial" w:eastAsia="Calibri" w:hAnsi="Arial" w:cs="Arial"/>
          <w:color w:val="000000" w:themeColor="text1"/>
          <w:sz w:val="22"/>
        </w:rPr>
        <w:t>, ya</w:t>
      </w:r>
      <w:r w:rsidR="001815B2">
        <w:rPr>
          <w:rFonts w:ascii="Arial" w:eastAsia="Calibri" w:hAnsi="Arial" w:cs="Arial"/>
          <w:color w:val="000000" w:themeColor="text1"/>
          <w:sz w:val="22"/>
        </w:rPr>
        <w:t xml:space="preserve"> </w:t>
      </w:r>
      <w:r w:rsidR="001815B2" w:rsidRPr="001815B2">
        <w:rPr>
          <w:rFonts w:ascii="Arial" w:eastAsia="Calibri" w:hAnsi="Arial" w:cs="Arial"/>
          <w:color w:val="000000" w:themeColor="text1"/>
          <w:sz w:val="22"/>
        </w:rPr>
        <w:t>que la</w:t>
      </w:r>
      <w:r w:rsidR="001815B2">
        <w:rPr>
          <w:rFonts w:ascii="Arial" w:eastAsia="Calibri" w:hAnsi="Arial" w:cs="Arial"/>
          <w:color w:val="000000" w:themeColor="text1"/>
          <w:sz w:val="22"/>
        </w:rPr>
        <w:t>s</w:t>
      </w:r>
      <w:r w:rsidR="001815B2" w:rsidRPr="001815B2">
        <w:rPr>
          <w:rFonts w:ascii="Arial" w:eastAsia="Calibri" w:hAnsi="Arial" w:cs="Arial"/>
          <w:color w:val="000000" w:themeColor="text1"/>
          <w:sz w:val="22"/>
        </w:rPr>
        <w:t xml:space="preserve"> norma</w:t>
      </w:r>
      <w:r w:rsidR="001815B2">
        <w:rPr>
          <w:rFonts w:ascii="Arial" w:eastAsia="Calibri" w:hAnsi="Arial" w:cs="Arial"/>
          <w:color w:val="000000" w:themeColor="text1"/>
          <w:sz w:val="22"/>
        </w:rPr>
        <w:t>s</w:t>
      </w:r>
      <w:r w:rsidR="001815B2" w:rsidRPr="001815B2">
        <w:rPr>
          <w:rFonts w:ascii="Arial" w:eastAsia="Calibri" w:hAnsi="Arial" w:cs="Arial"/>
          <w:color w:val="000000" w:themeColor="text1"/>
          <w:sz w:val="22"/>
        </w:rPr>
        <w:t xml:space="preserve"> </w:t>
      </w:r>
      <w:r w:rsidR="001815B2">
        <w:rPr>
          <w:rFonts w:ascii="Arial" w:eastAsia="Calibri" w:hAnsi="Arial" w:cs="Arial"/>
          <w:color w:val="000000" w:themeColor="text1"/>
          <w:sz w:val="22"/>
        </w:rPr>
        <w:t>citadas integran</w:t>
      </w:r>
      <w:r w:rsidR="001815B2" w:rsidRPr="001815B2">
        <w:rPr>
          <w:rFonts w:ascii="Arial" w:eastAsia="Calibri" w:hAnsi="Arial" w:cs="Arial"/>
          <w:color w:val="000000" w:themeColor="text1"/>
          <w:sz w:val="22"/>
        </w:rPr>
        <w:t xml:space="preserve"> una causal de contratación directa que excepciona los mecanismos de selección objetiva por convocatoria pública definidos en el Estatuto General de Contratación de la Administración Pública,</w:t>
      </w:r>
      <w:r w:rsidR="001815B2">
        <w:rPr>
          <w:rFonts w:ascii="Arial" w:eastAsia="Calibri" w:hAnsi="Arial" w:cs="Arial"/>
          <w:color w:val="000000" w:themeColor="text1"/>
          <w:sz w:val="22"/>
        </w:rPr>
        <w:t xml:space="preserve"> por lo que</w:t>
      </w:r>
      <w:r w:rsidR="001815B2" w:rsidRPr="001815B2">
        <w:rPr>
          <w:rFonts w:ascii="Arial" w:eastAsia="Calibri" w:hAnsi="Arial" w:cs="Arial"/>
          <w:color w:val="000000" w:themeColor="text1"/>
          <w:sz w:val="22"/>
        </w:rPr>
        <w:t xml:space="preserve"> </w:t>
      </w:r>
      <w:r w:rsidR="001815B2">
        <w:rPr>
          <w:rFonts w:ascii="Arial" w:eastAsia="Calibri" w:hAnsi="Arial" w:cs="Arial"/>
          <w:color w:val="000000" w:themeColor="text1"/>
          <w:sz w:val="22"/>
        </w:rPr>
        <w:t>se interpretan restrictivamente</w:t>
      </w:r>
      <w:r w:rsidR="001815B2" w:rsidRPr="001815B2">
        <w:rPr>
          <w:rFonts w:ascii="Arial" w:eastAsia="Calibri" w:hAnsi="Arial" w:cs="Arial"/>
          <w:color w:val="000000" w:themeColor="text1"/>
          <w:sz w:val="22"/>
        </w:rPr>
        <w:t xml:space="preserve">, es decir, </w:t>
      </w:r>
      <w:r w:rsidR="001815B2">
        <w:rPr>
          <w:rFonts w:ascii="Arial" w:eastAsia="Calibri" w:hAnsi="Arial" w:cs="Arial"/>
          <w:color w:val="000000" w:themeColor="text1"/>
          <w:sz w:val="22"/>
        </w:rPr>
        <w:t>conforme al tenor literal de las normas</w:t>
      </w:r>
      <w:bookmarkEnd w:id="26"/>
      <w:r w:rsidR="001815B2">
        <w:rPr>
          <w:rFonts w:ascii="Arial" w:eastAsia="Calibri" w:hAnsi="Arial" w:cs="Arial"/>
          <w:color w:val="000000" w:themeColor="text1"/>
          <w:sz w:val="22"/>
        </w:rPr>
        <w:t>.</w:t>
      </w:r>
    </w:p>
    <w:bookmarkEnd w:id="27"/>
    <w:p w14:paraId="58CA2D1C" w14:textId="5F316263" w:rsidR="00CF5E23" w:rsidRDefault="00CF5E23" w:rsidP="00CF5E23">
      <w:pPr>
        <w:spacing w:line="276" w:lineRule="auto"/>
        <w:jc w:val="both"/>
        <w:rPr>
          <w:rFonts w:ascii="Arial" w:eastAsia="Calibri" w:hAnsi="Arial" w:cs="Arial"/>
          <w:b/>
          <w:bCs/>
          <w:color w:val="000000" w:themeColor="text1"/>
          <w:sz w:val="22"/>
        </w:rPr>
      </w:pPr>
    </w:p>
    <w:p w14:paraId="4196842D" w14:textId="07E251B6" w:rsidR="00984C24" w:rsidRDefault="00984C24" w:rsidP="00984C24">
      <w:pPr>
        <w:spacing w:line="276" w:lineRule="auto"/>
        <w:jc w:val="both"/>
        <w:rPr>
          <w:rFonts w:ascii="Arial" w:eastAsia="Calibri" w:hAnsi="Arial" w:cs="Arial"/>
          <w:b/>
          <w:bCs/>
          <w:color w:val="000000" w:themeColor="text1"/>
          <w:sz w:val="22"/>
        </w:rPr>
      </w:pPr>
      <w:r w:rsidRPr="00D44227">
        <w:rPr>
          <w:rFonts w:ascii="Arial" w:eastAsia="Calibri" w:hAnsi="Arial" w:cs="Arial"/>
          <w:b/>
          <w:bCs/>
          <w:color w:val="000000" w:themeColor="text1"/>
          <w:sz w:val="22"/>
        </w:rPr>
        <w:t>2.</w:t>
      </w:r>
      <w:r w:rsidR="005D1BCC">
        <w:rPr>
          <w:rFonts w:ascii="Arial" w:eastAsia="Calibri" w:hAnsi="Arial" w:cs="Arial"/>
          <w:b/>
          <w:bCs/>
          <w:color w:val="000000" w:themeColor="text1"/>
          <w:sz w:val="22"/>
        </w:rPr>
        <w:t>2</w:t>
      </w:r>
      <w:r w:rsidRPr="00D44227">
        <w:rPr>
          <w:rFonts w:ascii="Arial" w:eastAsia="Calibri" w:hAnsi="Arial" w:cs="Arial"/>
          <w:b/>
          <w:bCs/>
          <w:color w:val="000000" w:themeColor="text1"/>
          <w:sz w:val="22"/>
        </w:rPr>
        <w:t xml:space="preserve">. </w:t>
      </w:r>
      <w:r w:rsidR="00CF5E23">
        <w:rPr>
          <w:rFonts w:ascii="Arial" w:eastAsia="Calibri" w:hAnsi="Arial" w:cs="Arial"/>
          <w:b/>
          <w:bCs/>
          <w:color w:val="000000" w:themeColor="text1"/>
          <w:sz w:val="22"/>
        </w:rPr>
        <w:t>L</w:t>
      </w:r>
      <w:r w:rsidR="00CF5E23" w:rsidRPr="00CF5E23">
        <w:rPr>
          <w:rFonts w:ascii="Arial" w:eastAsia="Calibri" w:hAnsi="Arial" w:cs="Arial"/>
          <w:b/>
          <w:bCs/>
          <w:color w:val="000000" w:themeColor="text1"/>
          <w:sz w:val="22"/>
        </w:rPr>
        <w:t xml:space="preserve">imitación de honorarios en los contratos de prestación de servicios </w:t>
      </w:r>
    </w:p>
    <w:p w14:paraId="106570DD" w14:textId="77777777" w:rsidR="00EC5C96" w:rsidRPr="00EC5C96" w:rsidRDefault="00EC5C96" w:rsidP="00984C24">
      <w:pPr>
        <w:spacing w:line="276" w:lineRule="auto"/>
        <w:jc w:val="both"/>
        <w:rPr>
          <w:rFonts w:ascii="Arial" w:eastAsia="Calibri" w:hAnsi="Arial" w:cs="Arial"/>
          <w:color w:val="000000" w:themeColor="text1"/>
          <w:sz w:val="22"/>
        </w:rPr>
      </w:pPr>
    </w:p>
    <w:p w14:paraId="417E5B87" w14:textId="77777777" w:rsidR="008A638F" w:rsidRPr="008A638F" w:rsidRDefault="008A638F" w:rsidP="00EC5C96">
      <w:pPr>
        <w:spacing w:line="276" w:lineRule="auto"/>
        <w:jc w:val="both"/>
        <w:rPr>
          <w:rFonts w:ascii="Arial" w:hAnsi="Arial" w:cs="Arial"/>
          <w:sz w:val="22"/>
          <w:lang w:val="es-ES"/>
        </w:rPr>
      </w:pPr>
      <w:bookmarkStart w:id="29" w:name="_Hlk45532939"/>
      <w:r w:rsidRPr="008A638F">
        <w:rPr>
          <w:rFonts w:ascii="Arial" w:hAnsi="Arial" w:cs="Arial"/>
          <w:sz w:val="22"/>
          <w:lang w:val="es-ES"/>
        </w:rPr>
        <w:t>En términos generales, el Estatuto General de Contratación de la Administración Pública y las normas que lo reglamentan no establecen límites en cuanto al valor de los contratos de prestación de servicios personales que se suscriban mediante la modalidad de contratación directa. No obstante, en 1998 se expidió el Decreto 1737, por medio del cual «Se expiden medidas de austeridad y eficiencia y se someten a condiciones especiales la asunción de compromisos por parte de las entidades públicas que manejan recursos del Tesoro Público». El artículo 4 prohibió pactar remuneraciones de servicios personales calificados, con personas naturales y jurídicas, cuando el valor excediera el total de la remuneración establecida para el jefe de la entidad, sin incluir factores prestacionales</w:t>
      </w:r>
      <w:bookmarkEnd w:id="29"/>
      <w:r w:rsidRPr="008A638F">
        <w:rPr>
          <w:rFonts w:ascii="Arial" w:hAnsi="Arial" w:cs="Arial"/>
          <w:sz w:val="22"/>
          <w:lang w:val="es-ES"/>
        </w:rPr>
        <w:t>:</w:t>
      </w:r>
    </w:p>
    <w:p w14:paraId="278A2169" w14:textId="77777777" w:rsidR="008A638F" w:rsidRPr="008A638F" w:rsidRDefault="008A638F" w:rsidP="008A638F">
      <w:pPr>
        <w:ind w:left="709" w:right="709"/>
        <w:jc w:val="both"/>
        <w:rPr>
          <w:rFonts w:ascii="Arial" w:hAnsi="Arial" w:cs="Arial"/>
          <w:sz w:val="21"/>
          <w:szCs w:val="21"/>
          <w:lang w:val="es-ES"/>
        </w:rPr>
      </w:pPr>
    </w:p>
    <w:p w14:paraId="79308B0A" w14:textId="77777777" w:rsidR="008A638F" w:rsidRPr="008A638F" w:rsidRDefault="008A638F" w:rsidP="008A638F">
      <w:pPr>
        <w:spacing w:after="120"/>
        <w:ind w:left="709" w:right="709"/>
        <w:jc w:val="both"/>
        <w:rPr>
          <w:rFonts w:ascii="Arial" w:hAnsi="Arial" w:cs="Arial"/>
          <w:sz w:val="22"/>
          <w:lang w:val="es-ES"/>
        </w:rPr>
      </w:pPr>
      <w:r w:rsidRPr="008A638F">
        <w:rPr>
          <w:rFonts w:ascii="Arial" w:hAnsi="Arial" w:cs="Arial"/>
          <w:sz w:val="21"/>
          <w:szCs w:val="21"/>
          <w:lang w:val="es-ES"/>
        </w:rPr>
        <w:t>Artículo 4°. Está prohibido el pacto de remuneración para pago de servicios personales calificados con personas naturales y jurídicas, encaminados a la prestación de servicios en forma continua para asuntos propios de la respectiva entidad, por valor mensual superior a la remuneración total mensual establecida para el jefe de la entidad.</w:t>
      </w:r>
    </w:p>
    <w:p w14:paraId="5652ECED"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Parágrafo. Se entiende por remuneración total mensual del jefe de la entidad, la que corresponda a éste en cada uno de dichos períodos, sin que en ningún caso puedan tenerse en consideración los factores prestacionales.</w:t>
      </w:r>
    </w:p>
    <w:p w14:paraId="46582853" w14:textId="77777777" w:rsidR="008A638F" w:rsidRPr="008A638F" w:rsidRDefault="008A638F" w:rsidP="008A638F">
      <w:pPr>
        <w:ind w:left="709" w:right="709"/>
        <w:jc w:val="both"/>
        <w:rPr>
          <w:rFonts w:ascii="Arial" w:hAnsi="Arial" w:cs="Arial"/>
          <w:sz w:val="22"/>
          <w:lang w:val="es-ES"/>
        </w:rPr>
      </w:pPr>
    </w:p>
    <w:p w14:paraId="3F0FC507" w14:textId="77777777" w:rsidR="008A638F" w:rsidRPr="008A638F" w:rsidRDefault="008A638F" w:rsidP="008A638F">
      <w:pPr>
        <w:spacing w:line="276" w:lineRule="auto"/>
        <w:ind w:firstLine="709"/>
        <w:jc w:val="both"/>
        <w:rPr>
          <w:rFonts w:ascii="Arial" w:hAnsi="Arial" w:cs="Arial"/>
          <w:sz w:val="22"/>
          <w:lang w:val="es-ES"/>
        </w:rPr>
      </w:pPr>
      <w:bookmarkStart w:id="30" w:name="_Hlk45635831"/>
      <w:bookmarkStart w:id="31" w:name="_Hlk45533162"/>
      <w:r w:rsidRPr="008A638F">
        <w:rPr>
          <w:rFonts w:ascii="Arial" w:hAnsi="Arial" w:cs="Arial"/>
          <w:sz w:val="22"/>
          <w:lang w:val="es-ES"/>
        </w:rPr>
        <w:t>Esta norma fue modificada, por imprecisiones que hicieron difícil su aplicación. En esta medida, la nueva norma identificó mejor los servicios a los que se refería el artículo, aclarando que eran los exclusivamente comprendidos en el concepto «remuneración servicios técnicos», desarrollado en el decreto de liquidación del presupuesto general de la nación</w:t>
      </w:r>
      <w:bookmarkEnd w:id="30"/>
      <w:r w:rsidRPr="008A638F">
        <w:rPr>
          <w:rFonts w:ascii="Arial" w:hAnsi="Arial" w:cs="Arial"/>
          <w:sz w:val="22"/>
          <w:lang w:val="es-ES"/>
        </w:rPr>
        <w:t xml:space="preserve">. Por ello, </w:t>
      </w:r>
      <w:bookmarkStart w:id="32" w:name="_Hlk45524900"/>
      <w:r w:rsidRPr="008A638F">
        <w:rPr>
          <w:rFonts w:ascii="Arial" w:hAnsi="Arial" w:cs="Arial"/>
          <w:sz w:val="22"/>
          <w:lang w:val="es-ES"/>
        </w:rPr>
        <w:t>el artículo 2 del Decreto 2209 de 1998</w:t>
      </w:r>
      <w:bookmarkEnd w:id="32"/>
      <w:r w:rsidRPr="008A638F">
        <w:rPr>
          <w:rFonts w:ascii="Arial" w:hAnsi="Arial" w:cs="Arial"/>
          <w:sz w:val="22"/>
          <w:lang w:val="es-ES"/>
        </w:rPr>
        <w:t xml:space="preserve"> adicionó el parágrafo 2 al artículo 4 del Decreto 1737 de 1998</w:t>
      </w:r>
      <w:bookmarkEnd w:id="31"/>
      <w:r w:rsidRPr="008A638F">
        <w:rPr>
          <w:rFonts w:ascii="Arial" w:hAnsi="Arial" w:cs="Arial"/>
          <w:sz w:val="22"/>
          <w:lang w:val="es-ES"/>
        </w:rPr>
        <w:t>:</w:t>
      </w:r>
    </w:p>
    <w:p w14:paraId="5B068551" w14:textId="77777777" w:rsidR="008A638F" w:rsidRPr="008A638F" w:rsidRDefault="008A638F" w:rsidP="008A638F">
      <w:pPr>
        <w:ind w:left="709" w:right="709"/>
        <w:jc w:val="both"/>
        <w:rPr>
          <w:rFonts w:ascii="Arial" w:hAnsi="Arial" w:cs="Arial"/>
          <w:sz w:val="22"/>
          <w:lang w:val="es-ES"/>
        </w:rPr>
      </w:pPr>
    </w:p>
    <w:p w14:paraId="24356439"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Artículo 4°.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2F52927C"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Parágrafo 1°. Se entiende por remuneración total mensual del jefe de la entidad, la que corresponda a éste en cada uno de dichos períodos, sin que en ningún caso puedan tenerse en consideración los factores prestacionales.</w:t>
      </w:r>
    </w:p>
    <w:p w14:paraId="0DCA663B"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28C0AE57" w14:textId="77777777" w:rsidR="008A638F" w:rsidRPr="008A638F" w:rsidRDefault="008A638F" w:rsidP="008A638F">
      <w:pPr>
        <w:ind w:left="709" w:right="709"/>
        <w:jc w:val="both"/>
        <w:rPr>
          <w:rFonts w:ascii="Arial" w:hAnsi="Arial" w:cs="Arial"/>
          <w:sz w:val="21"/>
          <w:szCs w:val="21"/>
          <w:lang w:val="es-ES"/>
        </w:rPr>
      </w:pPr>
    </w:p>
    <w:p w14:paraId="02ED0F55" w14:textId="77777777" w:rsidR="008A638F" w:rsidRPr="008A638F" w:rsidRDefault="008A638F" w:rsidP="008A638F">
      <w:pPr>
        <w:spacing w:line="276" w:lineRule="auto"/>
        <w:ind w:firstLine="709"/>
        <w:jc w:val="both"/>
        <w:rPr>
          <w:rFonts w:ascii="Arial" w:hAnsi="Arial" w:cs="Arial"/>
          <w:sz w:val="21"/>
          <w:szCs w:val="21"/>
          <w:lang w:val="es-ES"/>
        </w:rPr>
      </w:pPr>
      <w:bookmarkStart w:id="33" w:name="_Hlk45533390"/>
      <w:r w:rsidRPr="008A638F">
        <w:rPr>
          <w:rFonts w:ascii="Arial" w:hAnsi="Arial" w:cs="Arial"/>
          <w:sz w:val="22"/>
          <w:lang w:val="es-ES"/>
        </w:rPr>
        <w:t>Posteriormente, el artículo 1 del Decreto 2785 de 2011 modificó nuevamente el artículo 4 del Decreto 1737 de 1998, agregando los parágrafos 3 y 4, que introdujeron la noción de «servicios altamente calificados», y de qué manera aplicaban. La norma dispuso que excepcionalmente es posible contratar servicios «altamente calificados», superando la remuneración total establecida para el jefe de la entidad, incluidos los factores prestacionales y las contribuciones asociadas a la nómina, siempre que el representante legal de la entidad justifique la necesidad del servicio y sus características específicas, además de establecer las condiciones de los productos o servicios a obtener</w:t>
      </w:r>
      <w:bookmarkEnd w:id="33"/>
      <w:r w:rsidRPr="008A638F">
        <w:rPr>
          <w:rFonts w:ascii="Arial" w:hAnsi="Arial" w:cs="Arial"/>
          <w:sz w:val="22"/>
          <w:lang w:val="es-ES"/>
        </w:rPr>
        <w:t>. La norma establece que:</w:t>
      </w:r>
    </w:p>
    <w:p w14:paraId="5B71ED8B" w14:textId="77777777" w:rsidR="008A638F" w:rsidRPr="008A638F" w:rsidRDefault="008A638F" w:rsidP="008A638F">
      <w:pPr>
        <w:ind w:left="709" w:right="709"/>
        <w:jc w:val="both"/>
        <w:rPr>
          <w:rFonts w:ascii="Arial" w:hAnsi="Arial" w:cs="Arial"/>
          <w:sz w:val="22"/>
          <w:lang w:val="es-ES"/>
        </w:rPr>
      </w:pPr>
    </w:p>
    <w:p w14:paraId="3CB2DA25"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Artículo 1°. Modifíquese el artículo 4° del Decreto 1737 de 1998 modificado por el artículo 2° del Decreto 2209 de 1998, el cual quedará así:</w:t>
      </w:r>
    </w:p>
    <w:p w14:paraId="34679675"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Artículo 4°. Está prohibido el pacto de remuneración para pago de servicios personales calificados con personas naturales, o jurídicas, </w:t>
      </w:r>
      <w:bookmarkStart w:id="34" w:name="_Hlk46339974"/>
      <w:r w:rsidRPr="008A638F">
        <w:rPr>
          <w:rFonts w:ascii="Arial" w:hAnsi="Arial" w:cs="Arial"/>
          <w:sz w:val="21"/>
          <w:szCs w:val="21"/>
          <w:lang w:val="es-ES"/>
        </w:rPr>
        <w:t>encaminados a la prestación de servicios en forma continua</w:t>
      </w:r>
      <w:bookmarkEnd w:id="34"/>
      <w:r w:rsidRPr="008A638F">
        <w:rPr>
          <w:rFonts w:ascii="Arial" w:hAnsi="Arial" w:cs="Arial"/>
          <w:sz w:val="21"/>
          <w:szCs w:val="21"/>
          <w:lang w:val="es-ES"/>
        </w:rPr>
        <w:t xml:space="preserve"> para atender asuntos propios de la respectiva entidad, por valor mensual superior a la remuneración total mensual establecida para el jefe de la entidad.</w:t>
      </w:r>
    </w:p>
    <w:p w14:paraId="0503D841"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Parágrafo 1°. Se entiende por remuneración total mensual del jefe de la entidad, la que corresponda a este en cada uno de dichos períodos, sin que en ningún caso puedan tenerse en consideración los factores prestacionales.</w:t>
      </w:r>
    </w:p>
    <w:p w14:paraId="7F8BEF9B"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lastRenderedPageBreak/>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3673FDC7"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Parágrafo 3°. De manera excepcional, para aquellos eventos en los que se requiera contratar servicios altamente calificados, podrán pactarse honorarios superiores a la remuneración total mensual establecida para el jefe de la entidad, los cuales no podrán exceder del valor total mensual de remuneración del jefe de la entidad incluidos los factores prestacionales y las contribuciones inherentes a la nómina, relacionadas con seguridad social y para fiscales a cargo del empleador. En estos eventos el Representante Legal de la entidad deberá certificar el cumplimiento de los siguientes aspectos: 1. Justificar la necesidad del servicio personal altamente calificado. 2. Indicar las características y calidades específicas, altamente calificadas, que reúne el contratista para la ejecución del contrato, y 3. Determinar las características de los productos y/o servicios que se espera obtener.</w:t>
      </w:r>
    </w:p>
    <w:p w14:paraId="1ADB877F" w14:textId="77777777" w:rsidR="008A638F" w:rsidRPr="008A638F" w:rsidRDefault="008A638F" w:rsidP="008A638F">
      <w:pPr>
        <w:ind w:left="709" w:right="709"/>
        <w:jc w:val="both"/>
        <w:rPr>
          <w:rFonts w:ascii="Arial" w:hAnsi="Arial" w:cs="Arial"/>
          <w:sz w:val="22"/>
          <w:lang w:val="es-ES"/>
        </w:rPr>
      </w:pPr>
      <w:r w:rsidRPr="008A638F">
        <w:rPr>
          <w:rFonts w:ascii="Arial" w:hAnsi="Arial" w:cs="Arial"/>
          <w:sz w:val="21"/>
          <w:szCs w:val="21"/>
          <w:lang w:val="es-ES"/>
        </w:rPr>
        <w:t>Parágrafo 4°. Se entiende por servicios altamente calificados aquellos requeridos en situaciones de alto nivel de especialidad, complejidad y detalle.</w:t>
      </w:r>
    </w:p>
    <w:p w14:paraId="72E9E28F" w14:textId="77777777" w:rsidR="008A638F" w:rsidRPr="008A638F" w:rsidRDefault="008A638F" w:rsidP="008A638F">
      <w:pPr>
        <w:ind w:left="709" w:right="709"/>
        <w:jc w:val="both"/>
        <w:rPr>
          <w:rFonts w:ascii="Arial" w:hAnsi="Arial" w:cs="Arial"/>
          <w:sz w:val="22"/>
          <w:lang w:val="es-ES"/>
        </w:rPr>
      </w:pPr>
    </w:p>
    <w:p w14:paraId="11A57679" w14:textId="75DA2DF6" w:rsidR="008A638F" w:rsidRPr="008A638F" w:rsidRDefault="008A638F" w:rsidP="008A638F">
      <w:pPr>
        <w:spacing w:line="276" w:lineRule="auto"/>
        <w:ind w:firstLine="709"/>
        <w:jc w:val="both"/>
        <w:rPr>
          <w:rFonts w:ascii="Arial" w:hAnsi="Arial" w:cs="Arial"/>
          <w:sz w:val="22"/>
          <w:lang w:val="es-ES"/>
        </w:rPr>
      </w:pPr>
      <w:bookmarkStart w:id="35" w:name="_Hlk45635981"/>
      <w:r>
        <w:rPr>
          <w:rFonts w:ascii="Arial" w:hAnsi="Arial" w:cs="Arial"/>
          <w:sz w:val="22"/>
          <w:lang w:val="es-ES"/>
        </w:rPr>
        <w:t>E</w:t>
      </w:r>
      <w:r w:rsidRPr="008A638F">
        <w:rPr>
          <w:rFonts w:ascii="Arial" w:hAnsi="Arial" w:cs="Arial"/>
          <w:sz w:val="22"/>
          <w:lang w:val="es-ES"/>
        </w:rPr>
        <w:t>l Decreto 1068 de 2015 –por medio del cual se expidió el Decreto Único Reglamentario del Sector Hacienda y Crédito Público, en su Título 4, de las «Medidas de Austeridad del Gasto Público»– compiló el Decreto 1737 de 1998, incluidas las modificaciones del artículo 2 del Decreto 2209 de 1998, modificado por el artículo 1 del Decreto 2785 de 2011</w:t>
      </w:r>
      <w:bookmarkEnd w:id="35"/>
      <w:r w:rsidRPr="008A638F">
        <w:rPr>
          <w:rFonts w:ascii="Arial" w:hAnsi="Arial" w:cs="Arial"/>
          <w:sz w:val="22"/>
          <w:lang w:val="es-ES"/>
        </w:rPr>
        <w:t>.</w:t>
      </w:r>
    </w:p>
    <w:p w14:paraId="13BEB070" w14:textId="77777777" w:rsidR="008A638F" w:rsidRPr="008A638F" w:rsidRDefault="008A638F" w:rsidP="008A638F">
      <w:pPr>
        <w:spacing w:before="120" w:line="276" w:lineRule="auto"/>
        <w:ind w:firstLine="709"/>
        <w:jc w:val="both"/>
        <w:rPr>
          <w:rFonts w:ascii="Arial" w:hAnsi="Arial" w:cs="Arial"/>
          <w:sz w:val="22"/>
          <w:lang w:val="es-ES"/>
        </w:rPr>
      </w:pPr>
      <w:r w:rsidRPr="008A638F">
        <w:rPr>
          <w:rFonts w:ascii="Arial" w:hAnsi="Arial" w:cs="Arial"/>
          <w:sz w:val="22"/>
          <w:lang w:val="es-ES"/>
        </w:rPr>
        <w:t>Este Decreto, en el artículo 2.8.4.1.1., dispone que «Se sujetan a la regulación de este título, salvo en lo expresamente exceptuando, los organismos, entidades, entes públicos, y personas jurídicas que financien sus gastos con recursos del Tesoro Público. Art. 1 Decreto 1737 de 1998)». Aunque el inciso 2 del artículo 128 de la Constitución Política dispone que el tesoro público comprende el de la Nación, el de las entidades territoriales y el de las descentralizadas, es necesario considerar que –conforme al artículo 287.3 de la Constitución Política– las entidades territoriales son autónomas para administrar sus recursos</w:t>
      </w:r>
      <w:r w:rsidRPr="008A638F">
        <w:rPr>
          <w:rStyle w:val="Refdenotaalpie"/>
          <w:rFonts w:ascii="Arial" w:hAnsi="Arial" w:cs="Arial"/>
          <w:sz w:val="22"/>
          <w:lang w:val="es-ES"/>
        </w:rPr>
        <w:footnoteReference w:id="5"/>
      </w:r>
      <w:r w:rsidRPr="008A638F">
        <w:rPr>
          <w:rFonts w:ascii="Arial" w:hAnsi="Arial" w:cs="Arial"/>
          <w:sz w:val="22"/>
          <w:lang w:val="es-ES"/>
        </w:rPr>
        <w:t xml:space="preserve">. En esta medida, a las entidades territoriales no les aplica directamente el límite dispuesto en las normas citadas, pues depende de que lo incluyan en sus normas presupuestales. </w:t>
      </w:r>
    </w:p>
    <w:p w14:paraId="1583802C" w14:textId="39AB2681" w:rsidR="008A638F" w:rsidRPr="008A638F" w:rsidRDefault="008A638F" w:rsidP="008A638F">
      <w:pPr>
        <w:spacing w:before="120" w:line="276" w:lineRule="auto"/>
        <w:ind w:firstLine="709"/>
        <w:jc w:val="both"/>
        <w:rPr>
          <w:rFonts w:ascii="Arial" w:hAnsi="Arial" w:cs="Arial"/>
          <w:sz w:val="22"/>
          <w:lang w:val="es-ES"/>
        </w:rPr>
      </w:pPr>
      <w:bookmarkStart w:id="36" w:name="_Hlk45636056"/>
      <w:r w:rsidRPr="008A638F">
        <w:rPr>
          <w:rFonts w:ascii="Arial" w:hAnsi="Arial" w:cs="Arial"/>
          <w:sz w:val="22"/>
          <w:lang w:val="es-ES"/>
        </w:rPr>
        <w:lastRenderedPageBreak/>
        <w:t>Por ello, el Decreto 1068 de 2015, en el artículo 2.8.4.1.2, dispone que «Las entidades territoriales adoptarán medidas equivalentes a las aquí dispuestas en sus organizaciones administrativas. (Art. 2 Decreto 1737 de 1998)». Esto implica que el Decreto 1068 de 2015 –es decir, el Decreto 1737 de 1998, con sus modificaciones– aplica a los organismos, entidades, entes públicos y personas jurídicas que financien sus gastos con recursos del tesoro público de la nación, sin in</w:t>
      </w:r>
      <w:r w:rsidR="00B17B4C">
        <w:rPr>
          <w:rFonts w:ascii="Arial" w:hAnsi="Arial" w:cs="Arial"/>
          <w:sz w:val="22"/>
          <w:lang w:val="es-ES"/>
        </w:rPr>
        <w:t>cl</w:t>
      </w:r>
      <w:r w:rsidRPr="008A638F">
        <w:rPr>
          <w:rFonts w:ascii="Arial" w:hAnsi="Arial" w:cs="Arial"/>
          <w:sz w:val="22"/>
          <w:lang w:val="es-ES"/>
        </w:rPr>
        <w:t>uir a las entidades territoriales</w:t>
      </w:r>
      <w:bookmarkEnd w:id="36"/>
      <w:r w:rsidRPr="008A638F">
        <w:rPr>
          <w:rFonts w:ascii="Arial" w:hAnsi="Arial" w:cs="Arial"/>
          <w:sz w:val="22"/>
          <w:lang w:val="es-ES"/>
        </w:rPr>
        <w:t>.</w:t>
      </w:r>
    </w:p>
    <w:p w14:paraId="70D8D666" w14:textId="77777777" w:rsidR="008A638F" w:rsidRPr="008A638F" w:rsidRDefault="008A638F" w:rsidP="008A638F">
      <w:pPr>
        <w:spacing w:before="120" w:line="276" w:lineRule="auto"/>
        <w:ind w:firstLine="709"/>
        <w:jc w:val="both"/>
        <w:rPr>
          <w:rFonts w:ascii="Arial" w:hAnsi="Arial" w:cs="Arial"/>
          <w:sz w:val="22"/>
          <w:lang w:val="es-ES"/>
        </w:rPr>
      </w:pPr>
      <w:r w:rsidRPr="008A638F">
        <w:rPr>
          <w:rFonts w:ascii="Arial" w:hAnsi="Arial" w:cs="Arial"/>
          <w:sz w:val="22"/>
          <w:lang w:val="es-ES"/>
        </w:rPr>
        <w:t>Precisado el campo de aplicación de la restricción que se viene comentando, el Decreto 1068 de 2015, en el artículo 2.8.4.4.6, establece reglas particulares para suscribir contratos de prestación de servicios personales «calificados» y «altamente calificados»:</w:t>
      </w:r>
    </w:p>
    <w:p w14:paraId="49A5ECA8" w14:textId="77777777" w:rsidR="008A638F" w:rsidRPr="008A638F" w:rsidRDefault="008A638F" w:rsidP="008A638F">
      <w:pPr>
        <w:ind w:left="709" w:right="709"/>
        <w:jc w:val="both"/>
        <w:rPr>
          <w:rFonts w:ascii="Arial" w:hAnsi="Arial" w:cs="Arial"/>
          <w:sz w:val="22"/>
          <w:lang w:val="es-ES"/>
        </w:rPr>
      </w:pPr>
    </w:p>
    <w:p w14:paraId="7D74CE8E"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Artículo 2.8.4.4.6. Prohibición de contratar prestación de servicios de forma continua. Está prohibido el pacto de remuneración para pago de servicios personales calificados con personas naturales, o jurídicas, encaminados a la prestación de servicios en forma continua para atender asuntos propios de la respectiva entidad, por valor mensual superior a la remuneración total mensual establecida para el jefe de la entidad.</w:t>
      </w:r>
    </w:p>
    <w:p w14:paraId="05252283"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Parágrafo 1°. Se entiende por remuneración total mensual del jefe de la entidad, la que corresponda a este en cada uno de dichos períodos, sin que en ningún caso puedan tenerse en consideración los factores prestacionales.</w:t>
      </w:r>
    </w:p>
    <w:p w14:paraId="7CA9B80E"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1606E155"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Parágrafo 3°. De manera excepcional, para aquellos eventos en los que se requiera contratar servicios altamente calificados, podrán pactarse honorarios superiores a la remuneración total mensual establecida para el jefe de la entidad, los cuales no podrán exceder del valor total mensual de remuneración del jefe de la entidad incluidos los factores prestacionales y las contribuciones inherentes a la nómina, relacionadas con seguridad social y parafiscales a cargo del empleador.</w:t>
      </w:r>
    </w:p>
    <w:p w14:paraId="20FF3141"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En estos eventos el Representante Legal de la entidad deberá certificar el cumplimiento de los siguientes aspectos: 1. Justificar la necesidad del servicio personal altamente calificado. 2. Indicar las características y calidades específicas, altamente calificadas, que reúne el contratista para la ejecución del contrato, y 3. Determinar las características de los productos y/o servicios que se espera obtener.</w:t>
      </w:r>
    </w:p>
    <w:p w14:paraId="79114701"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Parágrafo 4°. Se entiende por servicios altamente calificados aquellos requeridos en situaciones de alto nivel de especialidad, complejidad y detalle.</w:t>
      </w:r>
    </w:p>
    <w:p w14:paraId="26DDDAA4"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(Art.4 Decreto 1737 de 1998, modificado por el Art .2 del Decreto 2209 de 1998, modificado por el art. 1 del Decreto 2785 de 2011).</w:t>
      </w:r>
    </w:p>
    <w:p w14:paraId="28198100" w14:textId="77777777" w:rsidR="008A638F" w:rsidRPr="008A638F" w:rsidRDefault="008A638F" w:rsidP="008A638F">
      <w:pPr>
        <w:ind w:left="709" w:right="709"/>
        <w:jc w:val="both"/>
        <w:rPr>
          <w:rFonts w:ascii="Arial" w:hAnsi="Arial" w:cs="Arial"/>
          <w:sz w:val="21"/>
          <w:szCs w:val="21"/>
          <w:lang w:val="es-ES"/>
        </w:rPr>
      </w:pPr>
    </w:p>
    <w:p w14:paraId="7576920C" w14:textId="6658E916" w:rsidR="008A638F" w:rsidRPr="008A638F" w:rsidRDefault="008A638F" w:rsidP="008A638F">
      <w:pPr>
        <w:spacing w:line="276" w:lineRule="auto"/>
        <w:ind w:firstLine="709"/>
        <w:jc w:val="both"/>
        <w:rPr>
          <w:rFonts w:ascii="Arial" w:hAnsi="Arial" w:cs="Arial"/>
          <w:sz w:val="21"/>
          <w:szCs w:val="21"/>
          <w:lang w:val="es-ES"/>
        </w:rPr>
      </w:pPr>
      <w:r w:rsidRPr="008A638F">
        <w:rPr>
          <w:rFonts w:ascii="Arial" w:hAnsi="Arial" w:cs="Arial"/>
          <w:sz w:val="22"/>
          <w:lang w:val="es-ES"/>
        </w:rPr>
        <w:lastRenderedPageBreak/>
        <w:t xml:space="preserve">En este contexto, </w:t>
      </w:r>
      <w:bookmarkStart w:id="37" w:name="_Hlk45533719"/>
      <w:r w:rsidRPr="008A638F">
        <w:rPr>
          <w:rFonts w:ascii="Arial" w:hAnsi="Arial" w:cs="Arial"/>
          <w:sz w:val="22"/>
          <w:lang w:val="es-ES"/>
        </w:rPr>
        <w:t xml:space="preserve">el Decreto 1068 de 2015 distingue dos (2) categorías de contratos de prestación de servicios, en función de los honorarios: los «calificados» y los «altamente calificados», indicando que uno y otro quedan cubiertos por el tope indicado en la norma. Tratándose de </w:t>
      </w:r>
      <w:r w:rsidR="006F6D21">
        <w:rPr>
          <w:rFonts w:ascii="Arial" w:hAnsi="Arial" w:cs="Arial"/>
          <w:sz w:val="22"/>
          <w:lang w:val="es-ES"/>
        </w:rPr>
        <w:t>l</w:t>
      </w:r>
      <w:r w:rsidRPr="008A638F">
        <w:rPr>
          <w:rFonts w:ascii="Arial" w:hAnsi="Arial" w:cs="Arial"/>
          <w:sz w:val="22"/>
          <w:lang w:val="es-ES"/>
        </w:rPr>
        <w:t>os contratos «calificados», los honorarios no excederán la «remuneración total mensual» establecida para el jefe de la entidad; y los «altamente calificados» no excederán el valor total mensual de la remuneración del jefe de la entidad, incluidos los factores prestacionales y las contribuciones inherentes a la nómina, relacionadas con la seguridad social y parafiscales a cargo del empleador.</w:t>
      </w:r>
    </w:p>
    <w:p w14:paraId="60CDC746" w14:textId="77777777" w:rsidR="008A638F" w:rsidRPr="008A638F" w:rsidRDefault="008A638F" w:rsidP="008A638F">
      <w:pPr>
        <w:spacing w:before="120" w:line="276" w:lineRule="auto"/>
        <w:ind w:firstLine="709"/>
        <w:jc w:val="both"/>
        <w:rPr>
          <w:rFonts w:ascii="Arial" w:hAnsi="Arial" w:cs="Arial"/>
          <w:sz w:val="22"/>
          <w:lang w:val="es-ES"/>
        </w:rPr>
      </w:pPr>
      <w:r w:rsidRPr="008A638F">
        <w:rPr>
          <w:rFonts w:ascii="Arial" w:hAnsi="Arial" w:cs="Arial"/>
          <w:sz w:val="22"/>
          <w:lang w:val="es-ES"/>
        </w:rPr>
        <w:t>Sin embargo, la aplicación del artículo 2.8.4.4.6 del Decreto 1068 de 2015 –sobre el tope de los contratos de prestación de servicios calificados y altamente calificados– está condicionada al rubro del presupuesto denominado «remuneración servicios técnicos»</w:t>
      </w:r>
      <w:bookmarkEnd w:id="37"/>
      <w:r w:rsidRPr="008A638F">
        <w:rPr>
          <w:rFonts w:ascii="Arial" w:hAnsi="Arial" w:cs="Arial"/>
          <w:sz w:val="22"/>
          <w:lang w:val="es-ES"/>
        </w:rPr>
        <w:t>, como dispone el parágrafo 2:</w:t>
      </w:r>
    </w:p>
    <w:p w14:paraId="5162BE71" w14:textId="77777777" w:rsidR="008A638F" w:rsidRPr="008A638F" w:rsidRDefault="008A638F" w:rsidP="008A638F">
      <w:pPr>
        <w:ind w:left="709" w:right="709"/>
        <w:jc w:val="both"/>
        <w:rPr>
          <w:rFonts w:ascii="Arial" w:hAnsi="Arial" w:cs="Arial"/>
          <w:sz w:val="22"/>
          <w:lang w:val="es-ES"/>
        </w:rPr>
      </w:pPr>
    </w:p>
    <w:p w14:paraId="5430D21C"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Parágrafo 2°. Los servicios a que hace referencia el presente artículo corresponden exclusivamente a aquellos comprendidos en el concepto de «remuneración servicios técnicos» desarrollado en el decreto de liquidación del presupuesto general de la Nación, con independencia del presupuesto con cargo al cual se realice su pago.</w:t>
      </w:r>
    </w:p>
    <w:p w14:paraId="6FF96CF0" w14:textId="77777777" w:rsidR="008A638F" w:rsidRPr="008A638F" w:rsidRDefault="008A638F" w:rsidP="008A638F">
      <w:pPr>
        <w:spacing w:line="276" w:lineRule="auto"/>
        <w:ind w:firstLine="709"/>
        <w:jc w:val="both"/>
        <w:rPr>
          <w:rFonts w:ascii="Arial" w:hAnsi="Arial" w:cs="Arial"/>
          <w:sz w:val="22"/>
          <w:lang w:val="es-ES"/>
        </w:rPr>
      </w:pPr>
    </w:p>
    <w:p w14:paraId="4ED51B30" w14:textId="77777777" w:rsidR="008A638F" w:rsidRPr="008A638F" w:rsidRDefault="008A638F" w:rsidP="008A638F">
      <w:pPr>
        <w:spacing w:after="120" w:line="276" w:lineRule="auto"/>
        <w:ind w:firstLine="709"/>
        <w:jc w:val="both"/>
        <w:rPr>
          <w:rFonts w:ascii="Arial" w:hAnsi="Arial" w:cs="Arial"/>
          <w:sz w:val="22"/>
          <w:lang w:val="es-ES"/>
        </w:rPr>
      </w:pPr>
      <w:r w:rsidRPr="008A638F">
        <w:rPr>
          <w:rFonts w:ascii="Arial" w:hAnsi="Arial" w:cs="Arial"/>
          <w:sz w:val="22"/>
          <w:lang w:val="es-ES"/>
        </w:rPr>
        <w:t xml:space="preserve">En esta medida, es necesario ubicar el concepto «remuneración servicios técnicos» en los decretos de liquidación del presupuesto general de la nación, comparando históricamente las normas de las vigencias fiscales de 2018, 2019 y 2020, para determinar si en cada una rigió la prohibición del Decreto 1068 de 2015. </w:t>
      </w:r>
    </w:p>
    <w:p w14:paraId="6080DEC5" w14:textId="7BF2D505" w:rsidR="008A638F" w:rsidRPr="008A638F" w:rsidRDefault="008A638F" w:rsidP="008A638F">
      <w:pPr>
        <w:spacing w:after="120" w:line="276" w:lineRule="auto"/>
        <w:ind w:firstLine="709"/>
        <w:jc w:val="both"/>
        <w:rPr>
          <w:rFonts w:ascii="Arial" w:hAnsi="Arial" w:cs="Arial"/>
          <w:sz w:val="22"/>
          <w:lang w:val="es-ES"/>
        </w:rPr>
      </w:pPr>
      <w:r w:rsidRPr="008A638F">
        <w:rPr>
          <w:rFonts w:ascii="Arial" w:hAnsi="Arial" w:cs="Arial"/>
          <w:sz w:val="22"/>
          <w:lang w:val="es-ES"/>
        </w:rPr>
        <w:t>Para empezar, el presupuesto de 2018 lo liquidó el Decreto 2236 de 2017. El artículo 37, numeral 1.2, dispuso que hacían parte de los gastos de funcionamiento los «servicios personales indirectos</w:t>
      </w:r>
      <w:r w:rsidR="006F6D21">
        <w:rPr>
          <w:rFonts w:ascii="Arial" w:hAnsi="Arial" w:cs="Arial"/>
          <w:sz w:val="22"/>
          <w:lang w:val="es-ES"/>
        </w:rPr>
        <w:t>»</w:t>
      </w:r>
      <w:r w:rsidRPr="008A638F">
        <w:rPr>
          <w:rStyle w:val="Refdenotaalpie"/>
          <w:rFonts w:ascii="Arial" w:hAnsi="Arial" w:cs="Arial"/>
          <w:sz w:val="22"/>
          <w:lang w:val="es-ES"/>
        </w:rPr>
        <w:footnoteReference w:id="6"/>
      </w:r>
      <w:r w:rsidRPr="008A638F">
        <w:rPr>
          <w:rFonts w:ascii="Arial" w:hAnsi="Arial" w:cs="Arial"/>
          <w:sz w:val="22"/>
          <w:lang w:val="es-ES"/>
        </w:rPr>
        <w:t xml:space="preserve">. La norma citada agregó que la categoría de «servicios personales indirectos» incluía, entre otros gastos, la «remuneración servicios técnicos», definiéndola como el «Pago por servicios calificados a personas naturales o jurídicas que se prestan en forma continua para asuntos propios del órgano, los cuales no pueden ser atendidos con personal de planta o que se requieran conocimientos especializados y están sujetos al régimen contractual vigente». Con esta regulación se cumplió el requisito exigido en el parágrafo 2 del 2.8.4.4.6 del Decreto 1068 de 2015 para la limitar el pago de honorarios en </w:t>
      </w:r>
      <w:r w:rsidRPr="008A638F">
        <w:rPr>
          <w:rFonts w:ascii="Arial" w:hAnsi="Arial" w:cs="Arial"/>
          <w:sz w:val="22"/>
          <w:lang w:val="es-ES"/>
        </w:rPr>
        <w:lastRenderedPageBreak/>
        <w:t xml:space="preserve">los contratos de prestación servicios: es decir, con cargo a ese rubro los honorarios no podían exceder el valor indicado. </w:t>
      </w:r>
    </w:p>
    <w:p w14:paraId="4AEF1FB4" w14:textId="201B40CC" w:rsidR="008A638F" w:rsidRPr="008A638F" w:rsidRDefault="008A638F" w:rsidP="008A638F">
      <w:pPr>
        <w:spacing w:line="276" w:lineRule="auto"/>
        <w:ind w:firstLine="709"/>
        <w:jc w:val="both"/>
        <w:rPr>
          <w:rFonts w:ascii="Arial" w:hAnsi="Arial" w:cs="Arial"/>
          <w:sz w:val="22"/>
          <w:lang w:val="es-ES"/>
        </w:rPr>
      </w:pPr>
      <w:bookmarkStart w:id="38" w:name="_Hlk45636158"/>
      <w:r w:rsidRPr="008A638F">
        <w:rPr>
          <w:rFonts w:ascii="Arial" w:hAnsi="Arial" w:cs="Arial"/>
          <w:sz w:val="22"/>
          <w:lang w:val="es-ES"/>
        </w:rPr>
        <w:t>Teniendo en cuenta el principio de anualidad, el Decreto 2467 de 2018 liquidó el presupuesto de 2019. A diferencia de los rubros incluidos en el numeral 1.2 del artículo 37 del Decreto 2236 de 2017, no se incluyó entre los gastos de funcionamiento el concepto</w:t>
      </w:r>
      <w:r w:rsidR="006F6D21">
        <w:rPr>
          <w:rFonts w:ascii="Arial" w:hAnsi="Arial" w:cs="Arial"/>
          <w:sz w:val="22"/>
          <w:lang w:val="es-ES"/>
        </w:rPr>
        <w:t xml:space="preserve"> de</w:t>
      </w:r>
      <w:r w:rsidRPr="008A638F">
        <w:rPr>
          <w:rFonts w:ascii="Arial" w:hAnsi="Arial" w:cs="Arial"/>
          <w:sz w:val="22"/>
          <w:lang w:val="es-ES"/>
        </w:rPr>
        <w:t xml:space="preserve"> «servicios personales indirectos» ni </w:t>
      </w:r>
      <w:r w:rsidR="006F6D21">
        <w:rPr>
          <w:rFonts w:ascii="Arial" w:hAnsi="Arial" w:cs="Arial"/>
          <w:sz w:val="22"/>
          <w:lang w:val="es-ES"/>
        </w:rPr>
        <w:t xml:space="preserve">de </w:t>
      </w:r>
      <w:r w:rsidRPr="008A638F">
        <w:rPr>
          <w:rFonts w:ascii="Arial" w:hAnsi="Arial" w:cs="Arial"/>
          <w:sz w:val="22"/>
          <w:lang w:val="es-ES"/>
        </w:rPr>
        <w:t>«remuneración servicios técnicos». De hecho, conforme a los lineamientos técnicos del sistema integrado de información financiera, el artículo 37 del Decreto 2467 de 2018 creó una nueva categoría o clasificación, denominada «adquisición de bienes y servicios» que aparentemente subsumió los «servicios personales indirectos» en las «adquisiciones diferentes de activos»</w:t>
      </w:r>
      <w:bookmarkEnd w:id="38"/>
      <w:r w:rsidRPr="008A638F">
        <w:rPr>
          <w:rFonts w:ascii="Arial" w:hAnsi="Arial" w:cs="Arial"/>
          <w:sz w:val="22"/>
          <w:lang w:val="es-ES"/>
        </w:rPr>
        <w:t xml:space="preserve">. El artículo 38 </w:t>
      </w:r>
      <w:r w:rsidRPr="008A638F">
        <w:rPr>
          <w:rFonts w:ascii="Arial" w:hAnsi="Arial" w:cs="Arial"/>
          <w:i/>
          <w:iCs/>
          <w:sz w:val="22"/>
          <w:lang w:val="es-ES"/>
        </w:rPr>
        <w:t>ibídem</w:t>
      </w:r>
      <w:r w:rsidRPr="008A638F">
        <w:rPr>
          <w:rFonts w:ascii="Arial" w:hAnsi="Arial" w:cs="Arial"/>
          <w:sz w:val="22"/>
          <w:lang w:val="es-ES"/>
        </w:rPr>
        <w:t xml:space="preserve"> los define de la siguiente manera:</w:t>
      </w:r>
    </w:p>
    <w:p w14:paraId="52A02B0F" w14:textId="77777777" w:rsidR="008A638F" w:rsidRPr="008A638F" w:rsidRDefault="008A638F" w:rsidP="008A638F">
      <w:pPr>
        <w:spacing w:line="276" w:lineRule="auto"/>
        <w:ind w:firstLine="709"/>
        <w:jc w:val="both"/>
        <w:rPr>
          <w:rFonts w:ascii="Arial" w:hAnsi="Arial" w:cs="Arial"/>
          <w:sz w:val="22"/>
          <w:lang w:val="es-ES"/>
        </w:rPr>
      </w:pPr>
    </w:p>
    <w:p w14:paraId="65A0C327"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Artículo 38. Los gastos incluidos en el presupuesto para la vigencia fiscal 2019 se definen de la siguiente forma:</w:t>
      </w:r>
    </w:p>
    <w:p w14:paraId="636B8DCD"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302BDB1F"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ADQUISICIÓN DE BIENES Y SERVICIOS  </w:t>
      </w:r>
    </w:p>
    <w:p w14:paraId="1D821273"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Son los gastos asociados a la compra de bienes y a la contratación de servicios, suministrados por personas naturales o jurídicas, que son necesarios para el cumplimiento de las funciones asignadas por la Constitución Política y la ley al órgano del PGN. </w:t>
      </w:r>
    </w:p>
    <w:p w14:paraId="220A859E"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02 01 ADQUISICIÓN DE ACTIVOS NO FINANCIEROS </w:t>
      </w:r>
    </w:p>
    <w:p w14:paraId="08B4CEF3"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1B73FDDF"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02 ADQUISICIONES DIFERENTES DE ACTIVOS  </w:t>
      </w:r>
    </w:p>
    <w:p w14:paraId="4BDF1353"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Son los gastos asociados a la adquisición de bienes (que no constituyen activos), y servicios, suministrados por personas naturales y jurídicas, que se utilizan apoyar el desarrollo de las funciones de la entidad.</w:t>
      </w:r>
    </w:p>
    <w:p w14:paraId="47F543A6"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273111BF" w14:textId="77777777" w:rsidR="008A638F" w:rsidRPr="008A638F" w:rsidRDefault="008A638F" w:rsidP="008A638F">
      <w:pPr>
        <w:spacing w:line="276" w:lineRule="auto"/>
        <w:ind w:left="709" w:right="709"/>
        <w:jc w:val="both"/>
        <w:rPr>
          <w:rFonts w:ascii="Arial" w:hAnsi="Arial" w:cs="Arial"/>
          <w:sz w:val="21"/>
          <w:szCs w:val="21"/>
          <w:lang w:val="es-ES"/>
        </w:rPr>
      </w:pPr>
    </w:p>
    <w:p w14:paraId="20828915" w14:textId="407F988F" w:rsidR="008A638F" w:rsidRPr="008A638F" w:rsidRDefault="008A638F" w:rsidP="008A638F">
      <w:pPr>
        <w:spacing w:after="120" w:line="276" w:lineRule="auto"/>
        <w:jc w:val="both"/>
        <w:rPr>
          <w:rFonts w:ascii="Arial" w:hAnsi="Arial" w:cs="Arial"/>
          <w:sz w:val="22"/>
          <w:lang w:val="es-ES"/>
        </w:rPr>
      </w:pPr>
      <w:r w:rsidRPr="008A638F">
        <w:rPr>
          <w:rFonts w:ascii="Arial" w:hAnsi="Arial" w:cs="Arial"/>
          <w:sz w:val="22"/>
          <w:lang w:val="es-ES"/>
        </w:rPr>
        <w:tab/>
      </w:r>
      <w:r w:rsidRPr="00FA1260">
        <w:rPr>
          <w:rFonts w:ascii="Arial" w:hAnsi="Arial" w:cs="Arial"/>
          <w:sz w:val="22"/>
          <w:lang w:val="es-ES"/>
        </w:rPr>
        <w:t>Como</w:t>
      </w:r>
      <w:r w:rsidR="00FA1260" w:rsidRPr="00FA1260">
        <w:rPr>
          <w:rFonts w:ascii="Arial" w:hAnsi="Arial" w:cs="Arial"/>
          <w:sz w:val="22"/>
          <w:lang w:val="es-ES"/>
        </w:rPr>
        <w:t xml:space="preserve"> explicó la Subdirección en el Concepto </w:t>
      </w:r>
      <w:r w:rsidR="00FA1260" w:rsidRPr="00FA1260">
        <w:rPr>
          <w:rFonts w:ascii="Arial" w:eastAsia="Calibri" w:hAnsi="Arial" w:cs="Arial"/>
          <w:color w:val="000000" w:themeColor="text1"/>
          <w:sz w:val="22"/>
        </w:rPr>
        <w:t>2201913000005631 del 6 de agosto de 2019</w:t>
      </w:r>
      <w:r w:rsidR="00FA1260">
        <w:rPr>
          <w:rFonts w:ascii="Arial" w:eastAsia="Calibri" w:hAnsi="Arial" w:cs="Arial"/>
          <w:color w:val="000000" w:themeColor="text1"/>
          <w:sz w:val="22"/>
        </w:rPr>
        <w:t xml:space="preserve">, considerando que </w:t>
      </w:r>
      <w:r w:rsidRPr="008A638F">
        <w:rPr>
          <w:rFonts w:ascii="Arial" w:hAnsi="Arial" w:cs="Arial"/>
          <w:sz w:val="22"/>
          <w:lang w:val="es-ES"/>
        </w:rPr>
        <w:t>el Decreto 2467 de 2018 no incluyó el rubro presupuestal denominado «remuneración servicios técnicos», en la vigencia de 2019 no se cumplió el requisito o la condición que impuso el parágrafo 2 del 2.8.4.4.6 del Decreto 1068 de 2015, y por lo tanto en los contratos de prestación de servicios era posible pactar honorarios por un valor mayor a la remuneración mensual del jefe de la entidad. Vale la pena recordar, por claridad, que estas normas que se analizan no aplican directamente a las entidades territoriales, como se explicó antes.</w:t>
      </w:r>
    </w:p>
    <w:p w14:paraId="4AD1A30D" w14:textId="16BFDF0B" w:rsidR="008A638F" w:rsidRPr="008A638F" w:rsidRDefault="008A638F" w:rsidP="008A638F">
      <w:pPr>
        <w:spacing w:line="276" w:lineRule="auto"/>
        <w:jc w:val="both"/>
        <w:rPr>
          <w:rFonts w:ascii="Arial" w:hAnsi="Arial" w:cs="Arial"/>
          <w:sz w:val="22"/>
          <w:lang w:val="es-ES"/>
        </w:rPr>
      </w:pPr>
      <w:r w:rsidRPr="008A638F">
        <w:rPr>
          <w:rFonts w:ascii="Arial" w:hAnsi="Arial" w:cs="Arial"/>
          <w:sz w:val="22"/>
          <w:lang w:val="es-ES"/>
        </w:rPr>
        <w:tab/>
      </w:r>
      <w:r w:rsidR="00FA1260" w:rsidRPr="00FA1260">
        <w:rPr>
          <w:rFonts w:ascii="Arial" w:hAnsi="Arial" w:cs="Arial"/>
          <w:sz w:val="22"/>
          <w:lang w:val="es-ES"/>
        </w:rPr>
        <w:t>No obstante, es necesario revisar del concepto anteriormente citado, pues e</w:t>
      </w:r>
      <w:r w:rsidRPr="00FA1260">
        <w:rPr>
          <w:rFonts w:ascii="Arial" w:hAnsi="Arial" w:cs="Arial"/>
          <w:sz w:val="22"/>
          <w:lang w:val="es-ES"/>
        </w:rPr>
        <w:t xml:space="preserve">l panorama cambió nuevamente en la vigencia fiscal de 2020, </w:t>
      </w:r>
      <w:r w:rsidR="00FA1260" w:rsidRPr="00FA1260">
        <w:rPr>
          <w:rFonts w:ascii="Arial" w:hAnsi="Arial" w:cs="Arial"/>
          <w:sz w:val="22"/>
          <w:lang w:val="es-ES"/>
        </w:rPr>
        <w:t>en la medida que</w:t>
      </w:r>
      <w:r w:rsidRPr="00FA1260">
        <w:rPr>
          <w:rFonts w:ascii="Arial" w:hAnsi="Arial" w:cs="Arial"/>
          <w:sz w:val="22"/>
          <w:lang w:val="es-ES"/>
        </w:rPr>
        <w:t xml:space="preserve"> el presupuesto se liquidó a través de Decreto 2411 de 2019</w:t>
      </w:r>
      <w:r w:rsidRPr="008A638F">
        <w:rPr>
          <w:rFonts w:ascii="Arial" w:hAnsi="Arial" w:cs="Arial"/>
          <w:sz w:val="22"/>
          <w:lang w:val="es-ES"/>
        </w:rPr>
        <w:t xml:space="preserve">. Como se mantiene la clasificación de 2018, el artículo 34 del decreto tampoco dispone que la «remuneración servicios </w:t>
      </w:r>
      <w:r w:rsidRPr="008A638F">
        <w:rPr>
          <w:rFonts w:ascii="Arial" w:hAnsi="Arial" w:cs="Arial"/>
          <w:sz w:val="22"/>
          <w:lang w:val="es-ES"/>
        </w:rPr>
        <w:lastRenderedPageBreak/>
        <w:t xml:space="preserve">técnicos» sea una categoría autónoma dentro de los «gastos de funcionamiento». Sin embargo, para los rubros de «adquisición de bienes y servicios» y «adquisiciones diferentes de activos» el artículo 35 </w:t>
      </w:r>
      <w:r w:rsidRPr="008A638F">
        <w:rPr>
          <w:rFonts w:ascii="Arial" w:hAnsi="Arial" w:cs="Arial"/>
          <w:i/>
          <w:iCs/>
          <w:sz w:val="22"/>
          <w:lang w:val="es-ES"/>
        </w:rPr>
        <w:t>ibídem</w:t>
      </w:r>
      <w:r w:rsidRPr="008A638F">
        <w:rPr>
          <w:rFonts w:ascii="Arial" w:hAnsi="Arial" w:cs="Arial"/>
          <w:sz w:val="22"/>
          <w:lang w:val="es-ES"/>
        </w:rPr>
        <w:t xml:space="preserve"> directamente prohíbe la remuneración que exceda valor mensual superior a la remuneración total mensual establecida para el jefe de la entidad. Esto significa que la prohibición ya no solo procede del Decreto 1068 de 2015, sino directamente de esta norma: </w:t>
      </w:r>
    </w:p>
    <w:p w14:paraId="6768FAF1" w14:textId="77777777" w:rsidR="008A638F" w:rsidRPr="008A638F" w:rsidRDefault="008A638F" w:rsidP="008A638F">
      <w:pPr>
        <w:spacing w:line="276" w:lineRule="auto"/>
        <w:jc w:val="both"/>
        <w:rPr>
          <w:rFonts w:ascii="Arial" w:hAnsi="Arial" w:cs="Arial"/>
          <w:sz w:val="22"/>
          <w:lang w:val="es-ES"/>
        </w:rPr>
      </w:pPr>
    </w:p>
    <w:p w14:paraId="416FEBDB"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Artículo 35. Los gastos incluidos en el presupuesto para la vigencia fiscal 2020 se definen de la siguiente forma:  </w:t>
      </w:r>
    </w:p>
    <w:p w14:paraId="7DB81782"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w:t>
      </w:r>
    </w:p>
    <w:p w14:paraId="1A6AC619"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ADQUISICIÓN DE BIENES Y SERVICIOS  </w:t>
      </w:r>
    </w:p>
    <w:p w14:paraId="0D3E67E7"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Son los gastos asociados a la compra de bienes y a la contratación de servicios, suministrados por personas naturales o jurídicas, que son necesarios para el cumplimiento de las funciones asignadas por la Constitución Política y la ley al órgano del PGN.  </w:t>
      </w:r>
    </w:p>
    <w:p w14:paraId="2E24D2F3" w14:textId="77777777" w:rsidR="008A638F" w:rsidRPr="008A638F" w:rsidRDefault="008A638F" w:rsidP="008A638F">
      <w:pPr>
        <w:spacing w:after="120"/>
        <w:ind w:left="709" w:right="709"/>
        <w:jc w:val="both"/>
        <w:rPr>
          <w:rFonts w:ascii="Arial" w:hAnsi="Arial" w:cs="Arial"/>
          <w:i/>
          <w:iCs/>
          <w:sz w:val="21"/>
          <w:szCs w:val="21"/>
          <w:lang w:val="es-ES"/>
        </w:rPr>
      </w:pPr>
      <w:r w:rsidRPr="008A638F">
        <w:rPr>
          <w:rFonts w:ascii="Arial" w:hAnsi="Arial" w:cs="Arial"/>
          <w:i/>
          <w:iCs/>
          <w:sz w:val="21"/>
          <w:szCs w:val="21"/>
          <w:lang w:val="es-ES"/>
        </w:rPr>
        <w:t xml:space="preserve">La remuneración para la contratación de servicios, suministrados por personas naturales o jurídicas, no podrá pactarse por valor mensual superior a la remuneración total mensual establecida para el jefe de la entidad.  </w:t>
      </w:r>
    </w:p>
    <w:p w14:paraId="55BD796F" w14:textId="77777777" w:rsidR="008A638F" w:rsidRPr="008A638F" w:rsidRDefault="008A638F" w:rsidP="008A638F">
      <w:pPr>
        <w:spacing w:after="120"/>
        <w:ind w:left="709" w:right="709"/>
        <w:jc w:val="both"/>
        <w:rPr>
          <w:rFonts w:ascii="Arial" w:hAnsi="Arial" w:cs="Arial"/>
          <w:i/>
          <w:iCs/>
          <w:sz w:val="21"/>
          <w:szCs w:val="21"/>
          <w:lang w:val="es-ES"/>
        </w:rPr>
      </w:pPr>
      <w:r w:rsidRPr="008A638F">
        <w:rPr>
          <w:rFonts w:ascii="Arial" w:hAnsi="Arial" w:cs="Arial"/>
          <w:i/>
          <w:iCs/>
          <w:sz w:val="21"/>
          <w:szCs w:val="21"/>
          <w:lang w:val="es-ES"/>
        </w:rPr>
        <w:t xml:space="preserve">Se entiende por remuneración total mensual del jefe de la entidad, la que corresponda a este en cada uno de dichos períodos, sin que en ningún caso puedan tenerse en consideración los factores prestacionales.  </w:t>
      </w:r>
    </w:p>
    <w:p w14:paraId="60E88A43" w14:textId="77777777" w:rsidR="008A638F" w:rsidRPr="008A638F" w:rsidRDefault="008A638F" w:rsidP="008A638F">
      <w:pPr>
        <w:spacing w:after="120"/>
        <w:ind w:left="709" w:right="709"/>
        <w:jc w:val="both"/>
        <w:rPr>
          <w:rFonts w:ascii="Arial" w:hAnsi="Arial" w:cs="Arial"/>
          <w:i/>
          <w:iCs/>
          <w:sz w:val="21"/>
          <w:szCs w:val="21"/>
          <w:lang w:val="es-ES"/>
        </w:rPr>
      </w:pPr>
      <w:r w:rsidRPr="008A638F">
        <w:rPr>
          <w:rFonts w:ascii="Arial" w:hAnsi="Arial" w:cs="Arial"/>
          <w:i/>
          <w:iCs/>
          <w:sz w:val="21"/>
          <w:szCs w:val="21"/>
          <w:lang w:val="es-ES"/>
        </w:rPr>
        <w:t xml:space="preserve">De manera excepcional, para aquellos eventos en los que se requiera contratar servicios altamente calificados, entendidos estos como los de alto nivel de especialidad, complejidad y detalle, podrán pactarse honorarios superiores a la remuneración total mensual establecida para el jefe de la entidad, los cuales no podrán exceder del valor total mensual de remuneración del jefe de la entidad incluidos los factores prestacionales y las contribuciones inherentes a la nómina, relacionadas con seguridad social y parafiscales a cargo del empleador. En estos eventos el Representante Legal de la entidad deberá certificar el cumplimiento de los siguientes aspectos: 1. Justificar la necesidad del servicio personal altamente calificado. 2. Indicar las características y calidades específicas, altamente calificadas, que reúne el contratista para la ejecución del contrato, y 3. Determinar las características de los productos y/o servicios que se espera obtener. </w:t>
      </w:r>
    </w:p>
    <w:p w14:paraId="540D1E9B"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02 01 ADQUISICIÓN DE ACTIVOS NO FINANCIEROS </w:t>
      </w:r>
    </w:p>
    <w:p w14:paraId="165BFA3A"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 </w:t>
      </w:r>
    </w:p>
    <w:p w14:paraId="619B3558" w14:textId="77777777" w:rsidR="008A638F" w:rsidRPr="008A638F" w:rsidRDefault="008A638F" w:rsidP="008A638F">
      <w:pPr>
        <w:spacing w:after="120"/>
        <w:ind w:left="709" w:right="709"/>
        <w:jc w:val="both"/>
        <w:rPr>
          <w:rFonts w:ascii="Arial" w:hAnsi="Arial" w:cs="Arial"/>
          <w:sz w:val="21"/>
          <w:szCs w:val="21"/>
          <w:lang w:val="es-ES"/>
        </w:rPr>
      </w:pPr>
      <w:r w:rsidRPr="008A638F">
        <w:rPr>
          <w:rFonts w:ascii="Arial" w:hAnsi="Arial" w:cs="Arial"/>
          <w:sz w:val="21"/>
          <w:szCs w:val="21"/>
          <w:lang w:val="es-ES"/>
        </w:rPr>
        <w:t xml:space="preserve">02 02 ADQUISICIONES DIFERENTES DE ACTIVOS  </w:t>
      </w:r>
    </w:p>
    <w:p w14:paraId="1A5A6C9A"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t xml:space="preserve">Son los gastos asociados a la adquisición de bienes (que no constituyen activos); así como los servicios suministrados por personas naturales y jurídicas que se utilizan para apoyar el desarrollo de las funciones de la entidad, </w:t>
      </w:r>
      <w:r w:rsidRPr="008A638F">
        <w:rPr>
          <w:rFonts w:ascii="Arial" w:hAnsi="Arial" w:cs="Arial"/>
          <w:i/>
          <w:iCs/>
          <w:sz w:val="21"/>
          <w:szCs w:val="21"/>
          <w:lang w:val="es-ES"/>
        </w:rPr>
        <w:t xml:space="preserve">tales como honorarios y remuneración servicios técnicos, para lo cual se deberá tener en cuenta lo establecido por </w:t>
      </w:r>
      <w:bookmarkStart w:id="39" w:name="_Hlk45618992"/>
      <w:r w:rsidRPr="008A638F">
        <w:rPr>
          <w:rFonts w:ascii="Arial" w:hAnsi="Arial" w:cs="Arial"/>
          <w:i/>
          <w:iCs/>
          <w:sz w:val="21"/>
          <w:szCs w:val="21"/>
          <w:lang w:val="es-ES"/>
        </w:rPr>
        <w:t>el artículo 2.8.4.4.6 del Decreto 1068 de 2015</w:t>
      </w:r>
      <w:bookmarkEnd w:id="39"/>
      <w:r w:rsidRPr="008A638F">
        <w:rPr>
          <w:rFonts w:ascii="Arial" w:hAnsi="Arial" w:cs="Arial"/>
          <w:sz w:val="21"/>
          <w:szCs w:val="21"/>
          <w:lang w:val="es-ES"/>
        </w:rPr>
        <w:t>. (Cursivas fuera de texto)</w:t>
      </w:r>
    </w:p>
    <w:p w14:paraId="1A051E8C" w14:textId="77777777" w:rsidR="008A638F" w:rsidRPr="008A638F" w:rsidRDefault="008A638F" w:rsidP="008A638F">
      <w:pPr>
        <w:ind w:left="709" w:right="709"/>
        <w:jc w:val="both"/>
        <w:rPr>
          <w:rFonts w:ascii="Arial" w:hAnsi="Arial" w:cs="Arial"/>
          <w:sz w:val="21"/>
          <w:szCs w:val="21"/>
          <w:lang w:val="es-ES"/>
        </w:rPr>
      </w:pPr>
      <w:r w:rsidRPr="008A638F">
        <w:rPr>
          <w:rFonts w:ascii="Arial" w:hAnsi="Arial" w:cs="Arial"/>
          <w:sz w:val="21"/>
          <w:szCs w:val="21"/>
          <w:lang w:val="es-ES"/>
        </w:rPr>
        <w:lastRenderedPageBreak/>
        <w:t xml:space="preserve"> </w:t>
      </w:r>
    </w:p>
    <w:p w14:paraId="5171A917" w14:textId="12C2BC31" w:rsidR="008A638F" w:rsidRPr="008A638F" w:rsidRDefault="008A638F" w:rsidP="008A638F">
      <w:pPr>
        <w:spacing w:after="120" w:line="276" w:lineRule="auto"/>
        <w:jc w:val="both"/>
        <w:rPr>
          <w:rFonts w:ascii="Arial" w:hAnsi="Arial" w:cs="Arial"/>
          <w:sz w:val="22"/>
          <w:lang w:val="es-ES"/>
        </w:rPr>
      </w:pPr>
      <w:r w:rsidRPr="008A638F">
        <w:rPr>
          <w:rFonts w:ascii="Arial" w:hAnsi="Arial" w:cs="Arial"/>
          <w:sz w:val="22"/>
          <w:lang w:val="es-ES"/>
        </w:rPr>
        <w:tab/>
        <w:t xml:space="preserve">En esta medida, </w:t>
      </w:r>
      <w:bookmarkStart w:id="40" w:name="_Hlk45636290"/>
      <w:r w:rsidRPr="008A638F">
        <w:rPr>
          <w:rFonts w:ascii="Arial" w:hAnsi="Arial" w:cs="Arial"/>
          <w:sz w:val="22"/>
          <w:lang w:val="es-ES"/>
        </w:rPr>
        <w:t xml:space="preserve">para la vigencia fiscal de 2020, nuevamente aplica el límite del valor de los honorarios para los contratos de prestación de servicios, por dos (2) razones. Por un lado, porque el numeral </w:t>
      </w:r>
      <w:r w:rsidR="009C1B05">
        <w:rPr>
          <w:rFonts w:ascii="Arial" w:hAnsi="Arial" w:cs="Arial"/>
          <w:sz w:val="22"/>
          <w:lang w:val="es-ES"/>
        </w:rPr>
        <w:t>«</w:t>
      </w:r>
      <w:r w:rsidRPr="008A638F">
        <w:rPr>
          <w:rFonts w:ascii="Arial" w:hAnsi="Arial" w:cs="Arial"/>
          <w:sz w:val="22"/>
          <w:lang w:val="es-ES"/>
        </w:rPr>
        <w:t>02</w:t>
      </w:r>
      <w:r w:rsidR="009C1B05">
        <w:rPr>
          <w:rFonts w:ascii="Arial" w:hAnsi="Arial" w:cs="Arial"/>
          <w:sz w:val="22"/>
          <w:lang w:val="es-ES"/>
        </w:rPr>
        <w:t>»</w:t>
      </w:r>
      <w:r w:rsidRPr="008A638F">
        <w:rPr>
          <w:rFonts w:ascii="Arial" w:hAnsi="Arial" w:cs="Arial"/>
          <w:sz w:val="22"/>
          <w:lang w:val="es-ES"/>
        </w:rPr>
        <w:t xml:space="preserve"> del artículo 35 del Decreto 2411 de 2019 prohíbe expresamente pactarlos por un valor mayor al de la remuneración mensual del jefe de la entidad, y por otra parte, porque el numeral </w:t>
      </w:r>
      <w:r w:rsidR="001978BC">
        <w:rPr>
          <w:rFonts w:ascii="Arial" w:hAnsi="Arial" w:cs="Arial"/>
          <w:sz w:val="22"/>
          <w:lang w:val="es-ES"/>
        </w:rPr>
        <w:t>«</w:t>
      </w:r>
      <w:r w:rsidRPr="008A638F">
        <w:rPr>
          <w:rFonts w:ascii="Arial" w:hAnsi="Arial" w:cs="Arial"/>
          <w:sz w:val="22"/>
          <w:lang w:val="es-ES"/>
        </w:rPr>
        <w:t>02 02</w:t>
      </w:r>
      <w:r w:rsidR="001978BC">
        <w:rPr>
          <w:rFonts w:ascii="Arial" w:hAnsi="Arial" w:cs="Arial"/>
          <w:sz w:val="22"/>
          <w:lang w:val="es-ES"/>
        </w:rPr>
        <w:t>»</w:t>
      </w:r>
      <w:r w:rsidRPr="008A638F">
        <w:rPr>
          <w:rFonts w:ascii="Arial" w:hAnsi="Arial" w:cs="Arial"/>
          <w:sz w:val="22"/>
          <w:lang w:val="es-ES"/>
        </w:rPr>
        <w:t xml:space="preserve"> de la misma disposición lo ratifica, al remitirse expresamente al artículo 2.8.4.4.6 del Decreto 1068 de 2015</w:t>
      </w:r>
      <w:bookmarkEnd w:id="40"/>
      <w:r w:rsidRPr="008A638F">
        <w:rPr>
          <w:rFonts w:ascii="Arial" w:hAnsi="Arial" w:cs="Arial"/>
          <w:sz w:val="22"/>
          <w:lang w:val="es-ES"/>
        </w:rPr>
        <w:t xml:space="preserve">. </w:t>
      </w:r>
    </w:p>
    <w:p w14:paraId="1070B518" w14:textId="77777777" w:rsidR="008A638F" w:rsidRPr="008A638F" w:rsidRDefault="008A638F" w:rsidP="008A638F">
      <w:pPr>
        <w:spacing w:line="276" w:lineRule="auto"/>
        <w:ind w:firstLine="708"/>
        <w:jc w:val="both"/>
        <w:rPr>
          <w:rFonts w:ascii="Arial" w:hAnsi="Arial" w:cs="Arial"/>
          <w:sz w:val="22"/>
          <w:lang w:val="es-ES"/>
        </w:rPr>
      </w:pPr>
      <w:bookmarkStart w:id="41" w:name="_Hlk45636355"/>
      <w:r w:rsidRPr="008A638F">
        <w:rPr>
          <w:rFonts w:ascii="Arial" w:hAnsi="Arial" w:cs="Arial"/>
          <w:sz w:val="22"/>
          <w:lang w:val="es-ES"/>
        </w:rPr>
        <w:t>Lo anterior implica que el Decreto 2411 de 2019 no tenía la intención de derogar el Decreto 1068 de 2015, pues aquel incluye el concepto «remuneración servicios técnicos» como un gasto relacionado con las «adquisiciones diferentes de activos». Por lo tanto, en los órganos y entidades que conforman el presupuesto general de la nación –no así en las entidades territoriales, salvo que sus propias normas presupuestales lo establezcan–, conforme al artículo 3 del Decreto 2411 de 2019, el límite de los honorarios para los contratos de prestación de servicios se fundamenta actualmente tanto en numeral «02» como en el «02 02» del artículo 35, y adicionalmente en el artículo 2.8.4.4.6 del Decreto 1068 de 2015</w:t>
      </w:r>
      <w:bookmarkEnd w:id="41"/>
      <w:r w:rsidRPr="008A638F">
        <w:rPr>
          <w:rStyle w:val="Refdenotaalpie"/>
          <w:rFonts w:ascii="Arial" w:hAnsi="Arial" w:cs="Arial"/>
          <w:sz w:val="22"/>
          <w:lang w:val="es-ES"/>
        </w:rPr>
        <w:footnoteReference w:id="7"/>
      </w:r>
      <w:r w:rsidRPr="008A638F">
        <w:rPr>
          <w:rFonts w:ascii="Arial" w:hAnsi="Arial" w:cs="Arial"/>
          <w:sz w:val="22"/>
          <w:lang w:val="es-ES"/>
        </w:rPr>
        <w:t xml:space="preserve">.  </w:t>
      </w:r>
    </w:p>
    <w:p w14:paraId="14AB2ADA" w14:textId="77777777" w:rsidR="00A12342" w:rsidRPr="00A12342" w:rsidRDefault="00A12342" w:rsidP="00A12342">
      <w:pPr>
        <w:spacing w:line="276" w:lineRule="auto"/>
        <w:jc w:val="both"/>
        <w:rPr>
          <w:rFonts w:ascii="Arial" w:hAnsi="Arial" w:cs="Arial"/>
          <w:sz w:val="22"/>
          <w:lang w:val="es-CO"/>
        </w:rPr>
      </w:pP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6C15D5" w:rsidRDefault="00BE1E33" w:rsidP="00BE1E33">
      <w:pPr>
        <w:spacing w:line="276" w:lineRule="auto"/>
        <w:ind w:right="709"/>
        <w:jc w:val="both"/>
        <w:rPr>
          <w:rFonts w:ascii="Arial" w:hAnsi="Arial" w:cs="Arial"/>
          <w:color w:val="000000" w:themeColor="text1"/>
          <w:sz w:val="21"/>
          <w:szCs w:val="21"/>
          <w:lang w:val="es-CO"/>
        </w:rPr>
      </w:pPr>
    </w:p>
    <w:p w14:paraId="5C2D6EF8" w14:textId="208885C8" w:rsidR="00BE1E33" w:rsidRPr="006C15D5" w:rsidRDefault="0041222C" w:rsidP="00856B64">
      <w:pPr>
        <w:ind w:left="709" w:right="709"/>
        <w:jc w:val="both"/>
        <w:rPr>
          <w:rFonts w:ascii="Arial" w:eastAsia="Calibri" w:hAnsi="Arial" w:cs="Arial"/>
          <w:color w:val="000000" w:themeColor="text1"/>
          <w:sz w:val="21"/>
          <w:szCs w:val="21"/>
        </w:rPr>
      </w:pPr>
      <w:r w:rsidRPr="0041222C">
        <w:rPr>
          <w:rFonts w:ascii="Arial" w:eastAsia="Calibri" w:hAnsi="Arial" w:cs="Arial"/>
          <w:color w:val="000000" w:themeColor="text1"/>
          <w:sz w:val="21"/>
          <w:szCs w:val="21"/>
        </w:rPr>
        <w:t>i) «[…] ¿una entidad puede celebrar un contrato mediante la modalidad de contratación directa por la causal de proveedor exclusivo, con el productor de un software (fábrica) realizado por encargo, es decir, de propiedad de la entidad estatal, para el mantenimiento, soporte evolutivo y actualización de versiones, cuando en el estudio previo la dependencia solicitante manifiesta que éste proveedor es el único que puede mantener en el territorio nacional la garantía de fábrica, y por tanto es proveedor exclusivo?»</w:t>
      </w:r>
      <w:r w:rsidR="00AA0652">
        <w:rPr>
          <w:rFonts w:ascii="Arial" w:eastAsia="Calibri" w:hAnsi="Arial" w:cs="Arial"/>
          <w:color w:val="000000" w:themeColor="text1"/>
          <w:sz w:val="21"/>
          <w:szCs w:val="21"/>
        </w:rPr>
        <w:t>.</w:t>
      </w:r>
    </w:p>
    <w:p w14:paraId="543576F5" w14:textId="77777777" w:rsidR="00F722BD" w:rsidRDefault="00F722BD" w:rsidP="00CE35D5">
      <w:pPr>
        <w:spacing w:line="276" w:lineRule="auto"/>
        <w:jc w:val="both"/>
        <w:rPr>
          <w:rFonts w:ascii="Arial" w:eastAsia="Calibri" w:hAnsi="Arial" w:cs="Arial"/>
          <w:color w:val="000000" w:themeColor="text1"/>
          <w:sz w:val="22"/>
        </w:rPr>
      </w:pPr>
    </w:p>
    <w:p w14:paraId="464AD6B2" w14:textId="02542F8D" w:rsidR="001978BC" w:rsidRPr="001978BC" w:rsidRDefault="001978BC" w:rsidP="001978BC">
      <w:pPr>
        <w:spacing w:after="120" w:line="276" w:lineRule="auto"/>
        <w:jc w:val="both"/>
        <w:rPr>
          <w:rFonts w:ascii="Arial" w:eastAsia="Calibri" w:hAnsi="Arial" w:cs="Arial"/>
          <w:sz w:val="22"/>
          <w:lang w:val="es-ES"/>
        </w:rPr>
      </w:pPr>
      <w:r w:rsidRPr="001978BC">
        <w:rPr>
          <w:rFonts w:ascii="Arial" w:eastAsia="Calibri" w:hAnsi="Arial" w:cs="Arial"/>
          <w:sz w:val="22"/>
          <w:lang w:val="es-ES"/>
        </w:rPr>
        <w:t xml:space="preserve">Teniendo en cuenta la interpretación de las normas generales de la materia, la causal de contratación del artículo 2, numeral 4, literal g), de la Ley 1150 de 2007 supone que la inexistencia de pluralidad de oferentes se limita a los dos (2) casos previstos en el </w:t>
      </w:r>
      <w:r w:rsidRPr="001978BC">
        <w:rPr>
          <w:rFonts w:ascii="Arial" w:eastAsia="Calibri" w:hAnsi="Arial" w:cs="Arial"/>
          <w:color w:val="000000" w:themeColor="text1"/>
          <w:sz w:val="22"/>
          <w:lang w:val="es-ES"/>
        </w:rPr>
        <w:t xml:space="preserve">2.2.1.2.1.4.8 del Decreto 1082 de 2015, esto es, cuando solo una persona puede proveer </w:t>
      </w:r>
      <w:r w:rsidRPr="001978BC">
        <w:rPr>
          <w:rFonts w:ascii="Arial" w:eastAsia="Calibri" w:hAnsi="Arial" w:cs="Arial"/>
          <w:color w:val="000000" w:themeColor="text1"/>
          <w:sz w:val="22"/>
          <w:lang w:val="es-ES"/>
        </w:rPr>
        <w:lastRenderedPageBreak/>
        <w:t>el bien o servicio por ser titular de los derechos de propiedad industrial o de los derechos de autor;</w:t>
      </w:r>
      <w:r w:rsidRPr="001978BC">
        <w:rPr>
          <w:rFonts w:ascii="Arial" w:eastAsia="Calibri" w:hAnsi="Arial" w:cs="Arial"/>
          <w:sz w:val="22"/>
          <w:lang w:val="es-ES"/>
        </w:rPr>
        <w:t xml:space="preserve"> o puede celebrar el contrato por ser proveedor exclusivo</w:t>
      </w:r>
      <w:r w:rsidR="0079772E">
        <w:rPr>
          <w:rFonts w:ascii="Arial" w:eastAsia="Calibri" w:hAnsi="Arial" w:cs="Arial"/>
          <w:sz w:val="22"/>
          <w:lang w:val="es-ES"/>
        </w:rPr>
        <w:t xml:space="preserve"> en el territorio nacional</w:t>
      </w:r>
      <w:r w:rsidRPr="001978BC">
        <w:rPr>
          <w:rFonts w:ascii="Arial" w:eastAsia="Calibri" w:hAnsi="Arial" w:cs="Arial"/>
          <w:sz w:val="22"/>
          <w:lang w:val="es-ES"/>
        </w:rPr>
        <w:t>.</w:t>
      </w:r>
    </w:p>
    <w:p w14:paraId="401B4B66" w14:textId="77777777" w:rsidR="001978BC" w:rsidRPr="001978BC" w:rsidRDefault="001978BC" w:rsidP="001978BC">
      <w:pPr>
        <w:spacing w:after="120" w:line="276" w:lineRule="auto"/>
        <w:ind w:firstLine="709"/>
        <w:jc w:val="both"/>
        <w:rPr>
          <w:rFonts w:ascii="Arial" w:eastAsia="Calibri" w:hAnsi="Arial" w:cs="Arial"/>
          <w:color w:val="000000" w:themeColor="text1"/>
          <w:sz w:val="22"/>
          <w:lang w:val="es-ES"/>
        </w:rPr>
      </w:pPr>
      <w:r w:rsidRPr="001978BC">
        <w:rPr>
          <w:rFonts w:ascii="Arial" w:eastAsia="Calibri" w:hAnsi="Arial" w:cs="Arial"/>
          <w:color w:val="000000" w:themeColor="text1"/>
          <w:sz w:val="22"/>
          <w:lang w:val="es-ES"/>
        </w:rPr>
        <w:t>En este contexto, la presencia de un proveedor exclusivo supone una barrera de entrada para otros posibles oferentes, por lo que no es posible aplicar el principio de concurrencia. Sin embargo, para la aplicación de la causal de contratación directa, la exclusividad del proveedor debe cubrir el territorio nacional, pues –por ejemplo– si se limita a un municipio o un departamento es posible encontrar bienes y servicios similares o sustitutos en otros lugares del país, por lo que es necesario aplicar procedimientos de selección que permitan la pluralidad de oferentes.</w:t>
      </w:r>
    </w:p>
    <w:p w14:paraId="3096E5A1" w14:textId="399768D5" w:rsidR="0032211D" w:rsidRPr="001978BC" w:rsidRDefault="001978BC" w:rsidP="001978BC">
      <w:pPr>
        <w:spacing w:line="276" w:lineRule="auto"/>
        <w:ind w:firstLine="708"/>
        <w:jc w:val="both"/>
        <w:rPr>
          <w:rFonts w:ascii="Arial" w:eastAsia="Calibri" w:hAnsi="Arial" w:cs="Arial"/>
          <w:color w:val="000000" w:themeColor="text1"/>
          <w:sz w:val="22"/>
          <w:lang w:val="es-ES"/>
        </w:rPr>
      </w:pPr>
      <w:r w:rsidRPr="001978BC">
        <w:rPr>
          <w:rFonts w:ascii="Arial" w:eastAsia="Calibri" w:hAnsi="Arial" w:cs="Arial"/>
          <w:color w:val="000000" w:themeColor="text1"/>
          <w:sz w:val="22"/>
          <w:lang w:val="es-ES"/>
        </w:rPr>
        <w:t>Fuera de estas dos (2) situaciones previstas en el Decreto 1082 de 2015, no es posible aplicar el artículo 2, numeral 4, literal g), de la Ley 1150 de 2007, ya que las normas citadas integran una causal de contratación directa que excepciona los mecanismos de selección objetiva, por lo que se interpretan restrictivamente, es decir, conforme al tenor literal de las normas.</w:t>
      </w:r>
      <w:r w:rsidR="0032211D" w:rsidRPr="001978BC">
        <w:rPr>
          <w:rFonts w:ascii="Arial" w:eastAsia="Calibri" w:hAnsi="Arial" w:cs="Arial"/>
          <w:color w:val="000000" w:themeColor="text1"/>
          <w:sz w:val="22"/>
        </w:rPr>
        <w:t xml:space="preserve"> </w:t>
      </w:r>
      <w:r w:rsidR="00534840" w:rsidRPr="001978BC">
        <w:rPr>
          <w:rFonts w:ascii="Arial" w:eastAsia="Calibri" w:hAnsi="Arial" w:cs="Arial"/>
          <w:color w:val="000000" w:themeColor="text1"/>
          <w:sz w:val="22"/>
        </w:rPr>
        <w:t xml:space="preserve"> </w:t>
      </w:r>
    </w:p>
    <w:p w14:paraId="7BAD8739" w14:textId="15BA8BEE" w:rsidR="00534840" w:rsidRDefault="00534840" w:rsidP="0032211D">
      <w:pPr>
        <w:spacing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 </w:t>
      </w:r>
    </w:p>
    <w:p w14:paraId="7C2FA351" w14:textId="02B5E0E1" w:rsidR="005F3286" w:rsidRDefault="005F3286" w:rsidP="005F3286">
      <w:pPr>
        <w:ind w:left="709" w:right="709"/>
        <w:jc w:val="both"/>
        <w:rPr>
          <w:rFonts w:ascii="Arial" w:eastAsia="Calibri" w:hAnsi="Arial" w:cs="Arial"/>
          <w:color w:val="000000" w:themeColor="text1"/>
          <w:sz w:val="21"/>
          <w:szCs w:val="21"/>
        </w:rPr>
      </w:pPr>
      <w:r w:rsidRPr="005F3286">
        <w:rPr>
          <w:rFonts w:ascii="Arial" w:eastAsia="Calibri" w:hAnsi="Arial" w:cs="Arial"/>
          <w:color w:val="000000" w:themeColor="text1"/>
          <w:sz w:val="21"/>
          <w:szCs w:val="21"/>
        </w:rPr>
        <w:t>ii) «¿Conforme [a los artículos 2.2.1.2.1.4.9 del Decreto 1082 de 2015, 2.8.4.4.6 del Decreto 1068 de 2015 y el artículo 35 del Decreto 2411 de 2019] se puede contratar a través de la modalidad de contratación directa una prestación de servicios profesionales, por un valor mensual superior a la remuneración del jefe de la entidad incluidos los factores prestacionales, cuyo objeto sea un servicio que se requiere anualmente de soporte a un software, teniendo en cuenta que el proveedor es idóneo para ejecutar el contrato por ser el fabricante del software, pese a que la titularidad de los derechos de autor los tiene la entidad estatal?» (Corchete fuera de texto)</w:t>
      </w:r>
      <w:r>
        <w:rPr>
          <w:rFonts w:ascii="Arial" w:eastAsia="Calibri" w:hAnsi="Arial" w:cs="Arial"/>
          <w:color w:val="000000" w:themeColor="text1"/>
          <w:sz w:val="21"/>
          <w:szCs w:val="21"/>
        </w:rPr>
        <w:t>.</w:t>
      </w:r>
    </w:p>
    <w:p w14:paraId="1680BCD0" w14:textId="63D82F84" w:rsidR="00DF003F" w:rsidRDefault="00DF003F" w:rsidP="005F3286">
      <w:pPr>
        <w:ind w:left="709" w:right="709"/>
        <w:jc w:val="both"/>
        <w:rPr>
          <w:rFonts w:ascii="Arial" w:eastAsia="Calibri" w:hAnsi="Arial" w:cs="Arial"/>
          <w:color w:val="000000" w:themeColor="text1"/>
          <w:sz w:val="21"/>
          <w:szCs w:val="21"/>
        </w:rPr>
      </w:pPr>
    </w:p>
    <w:p w14:paraId="77A3C794" w14:textId="2BD7C3F5" w:rsidR="00DF003F" w:rsidRPr="006C15D5" w:rsidRDefault="00DF003F" w:rsidP="005F3286">
      <w:pPr>
        <w:ind w:left="709" w:right="709"/>
        <w:jc w:val="both"/>
        <w:rPr>
          <w:rFonts w:ascii="Arial" w:eastAsia="Calibri" w:hAnsi="Arial" w:cs="Arial"/>
          <w:color w:val="000000" w:themeColor="text1"/>
          <w:sz w:val="21"/>
          <w:szCs w:val="21"/>
        </w:rPr>
      </w:pPr>
      <w:r w:rsidRPr="00DF003F">
        <w:rPr>
          <w:rFonts w:ascii="Arial" w:eastAsia="Calibri" w:hAnsi="Arial" w:cs="Arial"/>
          <w:color w:val="000000" w:themeColor="text1"/>
          <w:sz w:val="21"/>
          <w:szCs w:val="21"/>
        </w:rPr>
        <w:t>iii) «¿De acuerdo con las normas mencionadas los servicios de forma continua pueden entenderse como aquellas adquisiciones recurrentes de las entidades, por ejemplo un mantenimiento mensual que se requiera por varios años?».</w:t>
      </w:r>
    </w:p>
    <w:p w14:paraId="4A994FEA" w14:textId="77777777" w:rsidR="005F3286" w:rsidRDefault="005F3286" w:rsidP="005F3286">
      <w:pPr>
        <w:spacing w:line="276" w:lineRule="auto"/>
        <w:jc w:val="both"/>
        <w:rPr>
          <w:rFonts w:ascii="Arial" w:eastAsia="Calibri" w:hAnsi="Arial" w:cs="Arial"/>
          <w:color w:val="000000" w:themeColor="text1"/>
          <w:sz w:val="22"/>
        </w:rPr>
      </w:pPr>
    </w:p>
    <w:p w14:paraId="159BD53C" w14:textId="22406997" w:rsidR="009A5D1C" w:rsidRDefault="009A5D1C" w:rsidP="0023260E">
      <w:pPr>
        <w:spacing w:after="120" w:line="276" w:lineRule="auto"/>
        <w:jc w:val="both"/>
        <w:rPr>
          <w:rFonts w:ascii="Arial" w:hAnsi="Arial" w:cs="Arial"/>
          <w:sz w:val="22"/>
          <w:lang w:val="es-ES"/>
        </w:rPr>
      </w:pPr>
      <w:r w:rsidRPr="009A5D1C">
        <w:rPr>
          <w:rFonts w:ascii="Arial" w:eastAsia="Calibri" w:hAnsi="Arial" w:cs="Arial"/>
          <w:sz w:val="22"/>
          <w:lang w:val="es-ES"/>
        </w:rPr>
        <w:t xml:space="preserve">Conforme a las normas generales, en las entidades que forman parte del presupuesto general de la nación –no así en las del nivel territorial, salvo norma presupuestal propia o norma de austeridad propia que disponga lo mismo–, </w:t>
      </w:r>
      <w:r w:rsidRPr="009A5D1C">
        <w:rPr>
          <w:rFonts w:ascii="Arial" w:hAnsi="Arial" w:cs="Arial"/>
          <w:sz w:val="22"/>
          <w:lang w:val="es-ES"/>
        </w:rPr>
        <w:t xml:space="preserve">para la vigencia fiscal de 2020 aplica el límite de los honorarios para los contratos de prestación de servicios, por dos (2) razones. Por un lado, porque el numeral </w:t>
      </w:r>
      <w:r>
        <w:rPr>
          <w:rFonts w:ascii="Arial" w:hAnsi="Arial" w:cs="Arial"/>
          <w:sz w:val="22"/>
          <w:lang w:val="es-ES"/>
        </w:rPr>
        <w:t>«</w:t>
      </w:r>
      <w:r w:rsidRPr="009A5D1C">
        <w:rPr>
          <w:rFonts w:ascii="Arial" w:hAnsi="Arial" w:cs="Arial"/>
          <w:sz w:val="22"/>
          <w:lang w:val="es-ES"/>
        </w:rPr>
        <w:t>02</w:t>
      </w:r>
      <w:r>
        <w:rPr>
          <w:rFonts w:ascii="Arial" w:hAnsi="Arial" w:cs="Arial"/>
          <w:sz w:val="22"/>
          <w:lang w:val="es-ES"/>
        </w:rPr>
        <w:t>»</w:t>
      </w:r>
      <w:r w:rsidRPr="009A5D1C">
        <w:rPr>
          <w:rFonts w:ascii="Arial" w:hAnsi="Arial" w:cs="Arial"/>
          <w:sz w:val="22"/>
          <w:lang w:val="es-ES"/>
        </w:rPr>
        <w:t xml:space="preserve"> del artículo 35 del Decreto 2411 de 2019 prohíbe expresamente pactarlos por un valor mayor al de la remuneración mensual del jefe de la entidad y, por otra parte, porque el numeral </w:t>
      </w:r>
      <w:r>
        <w:rPr>
          <w:rFonts w:ascii="Arial" w:hAnsi="Arial" w:cs="Arial"/>
          <w:sz w:val="22"/>
          <w:lang w:val="es-ES"/>
        </w:rPr>
        <w:t>«</w:t>
      </w:r>
      <w:r w:rsidRPr="009A5D1C">
        <w:rPr>
          <w:rFonts w:ascii="Arial" w:hAnsi="Arial" w:cs="Arial"/>
          <w:sz w:val="22"/>
          <w:lang w:val="es-ES"/>
        </w:rPr>
        <w:t>02 02</w:t>
      </w:r>
      <w:r>
        <w:rPr>
          <w:rFonts w:ascii="Arial" w:hAnsi="Arial" w:cs="Arial"/>
          <w:sz w:val="22"/>
          <w:lang w:val="es-ES"/>
        </w:rPr>
        <w:t>»</w:t>
      </w:r>
      <w:r w:rsidRPr="009A5D1C">
        <w:rPr>
          <w:rFonts w:ascii="Arial" w:hAnsi="Arial" w:cs="Arial"/>
          <w:sz w:val="22"/>
          <w:lang w:val="es-ES"/>
        </w:rPr>
        <w:t xml:space="preserve"> de la misma disposición también lo ratifica, al remitirse expresamente al artículo 2.8.4.4.6 del Decreto 1068 de 2015.</w:t>
      </w:r>
      <w:r w:rsidR="0023260E">
        <w:rPr>
          <w:rFonts w:ascii="Arial" w:hAnsi="Arial" w:cs="Arial"/>
          <w:sz w:val="22"/>
          <w:lang w:val="es-ES"/>
        </w:rPr>
        <w:t xml:space="preserve"> </w:t>
      </w:r>
    </w:p>
    <w:p w14:paraId="5BD293E6" w14:textId="77777777" w:rsidR="0006075F" w:rsidRDefault="00071F27" w:rsidP="0006075F">
      <w:pPr>
        <w:spacing w:after="120" w:line="276" w:lineRule="auto"/>
        <w:ind w:firstLine="708"/>
        <w:jc w:val="both"/>
        <w:rPr>
          <w:rFonts w:ascii="Arial" w:hAnsi="Arial" w:cs="Arial"/>
          <w:sz w:val="22"/>
          <w:lang w:val="es-ES"/>
        </w:rPr>
      </w:pPr>
      <w:r>
        <w:rPr>
          <w:rFonts w:ascii="Arial" w:hAnsi="Arial" w:cs="Arial"/>
          <w:sz w:val="22"/>
          <w:lang w:val="es-ES"/>
        </w:rPr>
        <w:t>De esta manera</w:t>
      </w:r>
      <w:r w:rsidR="00B13AE9">
        <w:rPr>
          <w:rFonts w:ascii="Arial" w:hAnsi="Arial" w:cs="Arial"/>
          <w:sz w:val="22"/>
          <w:lang w:val="es-ES"/>
        </w:rPr>
        <w:t>,</w:t>
      </w:r>
      <w:r w:rsidR="0023260E">
        <w:rPr>
          <w:rFonts w:ascii="Arial" w:hAnsi="Arial" w:cs="Arial"/>
          <w:sz w:val="22"/>
          <w:lang w:val="es-ES"/>
        </w:rPr>
        <w:t xml:space="preserve"> </w:t>
      </w:r>
      <w:r>
        <w:rPr>
          <w:rFonts w:ascii="Arial" w:hAnsi="Arial" w:cs="Arial"/>
          <w:sz w:val="22"/>
          <w:lang w:val="es-ES"/>
        </w:rPr>
        <w:t>las entidades</w:t>
      </w:r>
      <w:r w:rsidR="0023260E" w:rsidRPr="009A5D1C">
        <w:rPr>
          <w:rFonts w:ascii="Arial" w:hAnsi="Arial" w:cs="Arial"/>
          <w:sz w:val="22"/>
          <w:lang w:val="es-ES"/>
        </w:rPr>
        <w:t xml:space="preserve"> que financien sus gastos con recursos del tesoro público de la nación </w:t>
      </w:r>
      <w:r w:rsidR="0023260E">
        <w:rPr>
          <w:rFonts w:ascii="Arial" w:hAnsi="Arial" w:cs="Arial"/>
          <w:sz w:val="22"/>
          <w:lang w:val="es-ES"/>
        </w:rPr>
        <w:t>–excluidas</w:t>
      </w:r>
      <w:r w:rsidR="0023260E" w:rsidRPr="009A5D1C">
        <w:rPr>
          <w:rFonts w:ascii="Arial" w:hAnsi="Arial" w:cs="Arial"/>
          <w:sz w:val="22"/>
          <w:lang w:val="es-ES"/>
        </w:rPr>
        <w:t xml:space="preserve"> las entidades territoriales</w:t>
      </w:r>
      <w:r w:rsidR="0023260E">
        <w:rPr>
          <w:rFonts w:ascii="Arial" w:hAnsi="Arial" w:cs="Arial"/>
          <w:sz w:val="22"/>
          <w:lang w:val="es-ES"/>
        </w:rPr>
        <w:t xml:space="preserve">, </w:t>
      </w:r>
      <w:r>
        <w:rPr>
          <w:rFonts w:ascii="Arial" w:hAnsi="Arial" w:cs="Arial"/>
          <w:sz w:val="22"/>
          <w:lang w:val="es-ES"/>
        </w:rPr>
        <w:t>con la salvedad anteriormente explicada</w:t>
      </w:r>
      <w:r w:rsidR="0023260E">
        <w:rPr>
          <w:rFonts w:ascii="Arial" w:hAnsi="Arial" w:cs="Arial"/>
          <w:sz w:val="22"/>
          <w:lang w:val="es-ES"/>
        </w:rPr>
        <w:t>–</w:t>
      </w:r>
      <w:r>
        <w:rPr>
          <w:rFonts w:ascii="Arial" w:hAnsi="Arial" w:cs="Arial"/>
          <w:sz w:val="22"/>
          <w:lang w:val="es-ES"/>
        </w:rPr>
        <w:t xml:space="preserve"> </w:t>
      </w:r>
      <w:r w:rsidR="00B13AE9">
        <w:rPr>
          <w:rFonts w:ascii="Arial" w:hAnsi="Arial" w:cs="Arial"/>
          <w:sz w:val="22"/>
          <w:lang w:val="es-ES"/>
        </w:rPr>
        <w:t>aplica</w:t>
      </w:r>
      <w:r>
        <w:rPr>
          <w:rFonts w:ascii="Arial" w:hAnsi="Arial" w:cs="Arial"/>
          <w:sz w:val="22"/>
          <w:lang w:val="es-ES"/>
        </w:rPr>
        <w:t>n</w:t>
      </w:r>
      <w:r w:rsidR="0044494E">
        <w:rPr>
          <w:rFonts w:ascii="Arial" w:hAnsi="Arial" w:cs="Arial"/>
          <w:sz w:val="22"/>
          <w:lang w:val="es-ES"/>
        </w:rPr>
        <w:t xml:space="preserve"> </w:t>
      </w:r>
      <w:r>
        <w:rPr>
          <w:rFonts w:ascii="Arial" w:hAnsi="Arial" w:cs="Arial"/>
          <w:sz w:val="22"/>
          <w:lang w:val="es-ES"/>
        </w:rPr>
        <w:t>la prohibición d</w:t>
      </w:r>
      <w:r w:rsidR="0044494E">
        <w:rPr>
          <w:rFonts w:ascii="Arial" w:hAnsi="Arial" w:cs="Arial"/>
          <w:sz w:val="22"/>
          <w:lang w:val="es-ES"/>
        </w:rPr>
        <w:t>el</w:t>
      </w:r>
      <w:r w:rsidR="00B13AE9">
        <w:rPr>
          <w:rFonts w:ascii="Arial" w:hAnsi="Arial" w:cs="Arial"/>
          <w:sz w:val="22"/>
          <w:lang w:val="es-ES"/>
        </w:rPr>
        <w:t xml:space="preserve"> </w:t>
      </w:r>
      <w:r w:rsidR="00B13AE9" w:rsidRPr="009A5D1C">
        <w:rPr>
          <w:rFonts w:ascii="Arial" w:hAnsi="Arial" w:cs="Arial"/>
          <w:sz w:val="22"/>
          <w:lang w:val="es-ES"/>
        </w:rPr>
        <w:t>artículo 2.8.4.4.6 del Decreto 1068 de 2015</w:t>
      </w:r>
      <w:r w:rsidR="0044494E">
        <w:rPr>
          <w:rFonts w:ascii="Arial" w:hAnsi="Arial" w:cs="Arial"/>
          <w:sz w:val="22"/>
          <w:lang w:val="es-ES"/>
        </w:rPr>
        <w:t xml:space="preserve"> </w:t>
      </w:r>
      <w:r>
        <w:rPr>
          <w:rFonts w:ascii="Arial" w:hAnsi="Arial" w:cs="Arial"/>
          <w:sz w:val="22"/>
          <w:lang w:val="es-ES"/>
        </w:rPr>
        <w:t>verificando</w:t>
      </w:r>
      <w:r w:rsidR="00FC5C3C">
        <w:rPr>
          <w:rFonts w:ascii="Arial" w:hAnsi="Arial" w:cs="Arial"/>
          <w:sz w:val="22"/>
          <w:lang w:val="es-ES"/>
        </w:rPr>
        <w:t xml:space="preserve"> </w:t>
      </w:r>
      <w:r w:rsidR="0044494E">
        <w:rPr>
          <w:rFonts w:ascii="Arial" w:hAnsi="Arial" w:cs="Arial"/>
          <w:sz w:val="22"/>
          <w:lang w:val="es-ES"/>
        </w:rPr>
        <w:t xml:space="preserve">que los contratos estén «[…] </w:t>
      </w:r>
      <w:r w:rsidR="0044494E" w:rsidRPr="0044494E">
        <w:rPr>
          <w:rFonts w:ascii="Arial" w:hAnsi="Arial" w:cs="Arial"/>
          <w:sz w:val="22"/>
          <w:lang w:val="es-ES"/>
        </w:rPr>
        <w:t>encaminados a la prestación de servicios en forma continua</w:t>
      </w:r>
      <w:r w:rsidR="0044494E">
        <w:rPr>
          <w:rFonts w:ascii="Arial" w:hAnsi="Arial" w:cs="Arial"/>
          <w:sz w:val="22"/>
          <w:lang w:val="es-ES"/>
        </w:rPr>
        <w:t xml:space="preserve"> </w:t>
      </w:r>
      <w:r w:rsidR="0044494E">
        <w:rPr>
          <w:rFonts w:ascii="Arial" w:hAnsi="Arial" w:cs="Arial"/>
          <w:sz w:val="22"/>
          <w:lang w:val="es-ES"/>
        </w:rPr>
        <w:lastRenderedPageBreak/>
        <w:t xml:space="preserve">[…]», </w:t>
      </w:r>
      <w:r>
        <w:rPr>
          <w:rFonts w:ascii="Arial" w:hAnsi="Arial" w:cs="Arial"/>
          <w:sz w:val="22"/>
          <w:lang w:val="es-ES"/>
        </w:rPr>
        <w:t xml:space="preserve">para lo cual deben </w:t>
      </w:r>
      <w:r w:rsidR="0044494E">
        <w:rPr>
          <w:rFonts w:ascii="Arial" w:hAnsi="Arial" w:cs="Arial"/>
          <w:sz w:val="22"/>
          <w:lang w:val="es-ES"/>
        </w:rPr>
        <w:t>valor</w:t>
      </w:r>
      <w:r>
        <w:rPr>
          <w:rFonts w:ascii="Arial" w:hAnsi="Arial" w:cs="Arial"/>
          <w:sz w:val="22"/>
          <w:lang w:val="es-ES"/>
        </w:rPr>
        <w:t>ar</w:t>
      </w:r>
      <w:r w:rsidR="0044494E">
        <w:rPr>
          <w:rFonts w:ascii="Arial" w:hAnsi="Arial" w:cs="Arial"/>
          <w:sz w:val="22"/>
          <w:lang w:val="es-ES"/>
        </w:rPr>
        <w:t xml:space="preserve"> </w:t>
      </w:r>
      <w:r w:rsidR="00FC5C3C">
        <w:rPr>
          <w:rFonts w:ascii="Arial" w:hAnsi="Arial" w:cs="Arial"/>
          <w:sz w:val="22"/>
          <w:lang w:val="es-ES"/>
        </w:rPr>
        <w:t>en cada uno de ellos el objeto, el alcance de la</w:t>
      </w:r>
      <w:r w:rsidR="00CD2D5E">
        <w:rPr>
          <w:rFonts w:ascii="Arial" w:hAnsi="Arial" w:cs="Arial"/>
          <w:sz w:val="22"/>
          <w:lang w:val="es-ES"/>
        </w:rPr>
        <w:t>s</w:t>
      </w:r>
      <w:r w:rsidR="00FC5C3C">
        <w:rPr>
          <w:rFonts w:ascii="Arial" w:hAnsi="Arial" w:cs="Arial"/>
          <w:sz w:val="22"/>
          <w:lang w:val="es-ES"/>
        </w:rPr>
        <w:t xml:space="preserve"> obligaciones, el plazo de ejecución, la periodicidad de las prestaciones, etc. </w:t>
      </w:r>
    </w:p>
    <w:p w14:paraId="0082C914" w14:textId="76D4C691" w:rsidR="00B13AE9" w:rsidRPr="0006075F" w:rsidRDefault="00CD2D5E" w:rsidP="0006075F">
      <w:pPr>
        <w:spacing w:after="120" w:line="276" w:lineRule="auto"/>
        <w:ind w:firstLine="708"/>
        <w:jc w:val="both"/>
        <w:rPr>
          <w:rFonts w:ascii="Arial" w:hAnsi="Arial" w:cs="Arial"/>
          <w:sz w:val="22"/>
          <w:lang w:val="es-ES"/>
        </w:rPr>
      </w:pPr>
      <w:r>
        <w:rPr>
          <w:rFonts w:ascii="Arial" w:hAnsi="Arial" w:cs="Arial"/>
          <w:sz w:val="22"/>
          <w:lang w:val="es-ES"/>
        </w:rPr>
        <w:t>No obstante,</w:t>
      </w:r>
      <w:r w:rsidR="00C42E80">
        <w:rPr>
          <w:rFonts w:ascii="Arial" w:hAnsi="Arial" w:cs="Arial"/>
          <w:sz w:val="22"/>
          <w:lang w:val="es-ES"/>
        </w:rPr>
        <w:t xml:space="preserve"> </w:t>
      </w:r>
      <w:r w:rsidR="00094FF7">
        <w:rPr>
          <w:rFonts w:ascii="Arial" w:hAnsi="Arial" w:cs="Arial"/>
          <w:sz w:val="22"/>
          <w:lang w:val="es-ES"/>
        </w:rPr>
        <w:t>es importante tener en cuenta</w:t>
      </w:r>
      <w:r w:rsidR="00C42E80">
        <w:rPr>
          <w:rFonts w:ascii="Arial" w:hAnsi="Arial" w:cs="Arial"/>
          <w:sz w:val="22"/>
          <w:lang w:val="es-ES"/>
        </w:rPr>
        <w:t xml:space="preserve"> que</w:t>
      </w:r>
      <w:r>
        <w:rPr>
          <w:rFonts w:ascii="Arial" w:hAnsi="Arial" w:cs="Arial"/>
          <w:sz w:val="22"/>
          <w:lang w:val="es-ES"/>
        </w:rPr>
        <w:t xml:space="preserve"> </w:t>
      </w:r>
      <w:r w:rsidRPr="00CD2D5E">
        <w:rPr>
          <w:rFonts w:ascii="Arial" w:hAnsi="Arial" w:cs="Arial"/>
          <w:sz w:val="22"/>
          <w:lang w:val="es-ES"/>
        </w:rPr>
        <w:t xml:space="preserve">la liquidación del presupuesto para la vigencia </w:t>
      </w:r>
      <w:r w:rsidR="0023260E">
        <w:rPr>
          <w:rFonts w:ascii="Arial" w:hAnsi="Arial" w:cs="Arial"/>
          <w:sz w:val="22"/>
          <w:lang w:val="es-ES"/>
        </w:rPr>
        <w:t xml:space="preserve">fiscal </w:t>
      </w:r>
      <w:r w:rsidRPr="00CD2D5E">
        <w:rPr>
          <w:rFonts w:ascii="Arial" w:hAnsi="Arial" w:cs="Arial"/>
          <w:sz w:val="22"/>
          <w:lang w:val="es-ES"/>
        </w:rPr>
        <w:t>de 2020 dispone que «La remuneración para la contratación de servicios, suministrados por personas naturales o jurídicas, no podrá pactarse por valor mensual superior a la remuneración total mensual establecida para el jefe de la entidad». Por tanto, el</w:t>
      </w:r>
      <w:r>
        <w:rPr>
          <w:rFonts w:ascii="Arial" w:hAnsi="Arial" w:cs="Arial"/>
          <w:sz w:val="22"/>
          <w:lang w:val="es-ES"/>
        </w:rPr>
        <w:t xml:space="preserve"> artículo 35, numeral «02», del</w:t>
      </w:r>
      <w:r w:rsidRPr="00CD2D5E">
        <w:rPr>
          <w:rFonts w:ascii="Arial" w:hAnsi="Arial" w:cs="Arial"/>
          <w:sz w:val="22"/>
          <w:lang w:val="es-ES"/>
        </w:rPr>
        <w:t xml:space="preserve"> Decreto 2411 de 2019 regula una limitación general al pago de honorarios sin importar que l</w:t>
      </w:r>
      <w:r w:rsidR="00C42E80">
        <w:rPr>
          <w:rFonts w:ascii="Arial" w:hAnsi="Arial" w:cs="Arial"/>
          <w:sz w:val="22"/>
          <w:lang w:val="es-ES"/>
        </w:rPr>
        <w:t>os</w:t>
      </w:r>
      <w:r w:rsidRPr="00CD2D5E">
        <w:rPr>
          <w:rFonts w:ascii="Arial" w:hAnsi="Arial" w:cs="Arial"/>
          <w:sz w:val="22"/>
          <w:lang w:val="es-ES"/>
        </w:rPr>
        <w:t xml:space="preserve"> contrato</w:t>
      </w:r>
      <w:r w:rsidR="00C42E80">
        <w:rPr>
          <w:rFonts w:ascii="Arial" w:hAnsi="Arial" w:cs="Arial"/>
          <w:sz w:val="22"/>
          <w:lang w:val="es-ES"/>
        </w:rPr>
        <w:t>s</w:t>
      </w:r>
      <w:r w:rsidRPr="00CD2D5E">
        <w:rPr>
          <w:rFonts w:ascii="Arial" w:hAnsi="Arial" w:cs="Arial"/>
          <w:sz w:val="22"/>
          <w:lang w:val="es-ES"/>
        </w:rPr>
        <w:t xml:space="preserve"> de prestación de servicios se ejecut</w:t>
      </w:r>
      <w:r w:rsidR="00C42E80">
        <w:rPr>
          <w:rFonts w:ascii="Arial" w:hAnsi="Arial" w:cs="Arial"/>
          <w:sz w:val="22"/>
          <w:lang w:val="es-ES"/>
        </w:rPr>
        <w:t>en</w:t>
      </w:r>
      <w:r w:rsidRPr="00CD2D5E">
        <w:rPr>
          <w:rFonts w:ascii="Arial" w:hAnsi="Arial" w:cs="Arial"/>
          <w:sz w:val="22"/>
          <w:lang w:val="es-ES"/>
        </w:rPr>
        <w:t xml:space="preserve"> en forma continua o transitoria</w:t>
      </w:r>
      <w:r>
        <w:rPr>
          <w:rFonts w:ascii="Arial" w:hAnsi="Arial" w:cs="Arial"/>
          <w:sz w:val="22"/>
          <w:lang w:val="es-ES"/>
        </w:rPr>
        <w:t>.</w:t>
      </w:r>
      <w:r w:rsidR="00FC5C3C">
        <w:rPr>
          <w:rFonts w:ascii="Arial" w:hAnsi="Arial" w:cs="Arial"/>
          <w:sz w:val="22"/>
          <w:lang w:val="es-ES"/>
        </w:rPr>
        <w:t xml:space="preserve"> </w:t>
      </w:r>
    </w:p>
    <w:p w14:paraId="04048464" w14:textId="30FF9CBD" w:rsidR="00462A87" w:rsidRPr="00DF003F" w:rsidRDefault="00462A87" w:rsidP="007C5F53">
      <w:pPr>
        <w:spacing w:line="276" w:lineRule="auto"/>
        <w:jc w:val="both"/>
        <w:rPr>
          <w:rFonts w:ascii="Arial" w:eastAsia="Calibri" w:hAnsi="Arial" w:cs="Arial"/>
          <w:sz w:val="22"/>
        </w:rPr>
      </w:pPr>
    </w:p>
    <w:p w14:paraId="66CE4DD8" w14:textId="40186C6E" w:rsidR="00BE1E33" w:rsidRPr="006C15D5" w:rsidRDefault="00BE1E33" w:rsidP="009D013C">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Este concepto tiene el alcance previsto en el artículo 28 del Código de Procedimiento Administrativo y de lo Contencioso Administrativo.</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77777777" w:rsidR="00BE1E33" w:rsidRPr="006C15D5"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t>Atentamente,</w:t>
      </w:r>
    </w:p>
    <w:bookmarkEnd w:id="0"/>
    <w:bookmarkEnd w:id="1"/>
    <w:p w14:paraId="1C8F6984" w14:textId="08852C79" w:rsidR="00BE1E33" w:rsidRDefault="00E47270" w:rsidP="00BE1E33">
      <w:pPr>
        <w:jc w:val="center"/>
        <w:rPr>
          <w:rFonts w:ascii="Arial" w:eastAsia="Times New Roman" w:hAnsi="Arial" w:cs="Arial"/>
          <w:color w:val="000000" w:themeColor="text1"/>
          <w:sz w:val="18"/>
          <w:szCs w:val="20"/>
          <w:lang w:eastAsia="es-CO"/>
        </w:rPr>
      </w:pPr>
      <w:r>
        <w:rPr>
          <w:noProof/>
        </w:rPr>
        <w:drawing>
          <wp:inline distT="0" distB="0" distL="0" distR="0" wp14:anchorId="0AD72CB0" wp14:editId="50BE2925">
            <wp:extent cx="2773045" cy="988695"/>
            <wp:effectExtent l="0" t="0" r="0" b="0"/>
            <wp:docPr id="1919043001"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6D32" w:rsidRPr="003F6D32" w14:paraId="7E5CB93D" w14:textId="77777777" w:rsidTr="00AC43E7">
        <w:trPr>
          <w:trHeight w:val="315"/>
        </w:trPr>
        <w:tc>
          <w:tcPr>
            <w:tcW w:w="812" w:type="dxa"/>
            <w:vAlign w:val="center"/>
            <w:hideMark/>
          </w:tcPr>
          <w:p w14:paraId="44CFA06E"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6D7561C" w14:textId="41DB6AA3" w:rsidR="00BE1E33" w:rsidRPr="006C15D5" w:rsidRDefault="00D418AD" w:rsidP="00AC43E7">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6C4A6DA1" w14:textId="5897BB3C" w:rsidR="00982E99" w:rsidRPr="006C15D5" w:rsidRDefault="00982E99"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Contratista de la Subdirección de Gestión Contractual</w:t>
            </w:r>
          </w:p>
        </w:tc>
      </w:tr>
      <w:tr w:rsidR="003F6D32" w:rsidRPr="003F6D32" w14:paraId="092BCD16" w14:textId="77777777" w:rsidTr="00AC43E7">
        <w:trPr>
          <w:trHeight w:val="330"/>
        </w:trPr>
        <w:tc>
          <w:tcPr>
            <w:tcW w:w="812" w:type="dxa"/>
            <w:vAlign w:val="center"/>
            <w:hideMark/>
          </w:tcPr>
          <w:p w14:paraId="463B4DD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17166F" w14:textId="77777777" w:rsidR="00DF003F" w:rsidRPr="006C15D5" w:rsidRDefault="00DF003F" w:rsidP="00DF003F">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2718C99" w14:textId="27C46556" w:rsidR="00BE1E33" w:rsidRPr="006C15D5" w:rsidRDefault="00DF003F" w:rsidP="00DF003F">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r w:rsidR="00982E99" w:rsidRPr="003F6D32" w14:paraId="57DAFEF9" w14:textId="77777777" w:rsidTr="00AC43E7">
        <w:trPr>
          <w:trHeight w:val="300"/>
        </w:trPr>
        <w:tc>
          <w:tcPr>
            <w:tcW w:w="812" w:type="dxa"/>
            <w:vAlign w:val="center"/>
            <w:hideMark/>
          </w:tcPr>
          <w:p w14:paraId="70677013"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Fabián Gonzalo Marín Cortés</w:t>
            </w:r>
          </w:p>
          <w:p w14:paraId="75BC677C" w14:textId="77777777" w:rsidR="00BE1E33" w:rsidRPr="006C15D5" w:rsidRDefault="00BE1E33" w:rsidP="00AC43E7">
            <w:pPr>
              <w:rPr>
                <w:rFonts w:ascii="Arial" w:eastAsia="Times New Roman" w:hAnsi="Arial" w:cs="Arial"/>
                <w:color w:val="000000" w:themeColor="text1"/>
                <w:sz w:val="16"/>
                <w:szCs w:val="16"/>
                <w:lang w:eastAsia="es-ES"/>
              </w:rPr>
            </w:pPr>
            <w:r w:rsidRPr="006C15D5">
              <w:rPr>
                <w:rFonts w:ascii="Arial" w:eastAsia="Times New Roman" w:hAnsi="Arial" w:cs="Arial"/>
                <w:color w:val="000000" w:themeColor="text1"/>
                <w:sz w:val="16"/>
                <w:szCs w:val="16"/>
                <w:lang w:eastAsia="es-ES"/>
              </w:rPr>
              <w:t>Subdirector de Gestión Contractual</w:t>
            </w:r>
          </w:p>
        </w:tc>
      </w:tr>
    </w:tbl>
    <w:p w14:paraId="07748B46" w14:textId="77777777" w:rsidR="00BE1E33" w:rsidRPr="006C15D5" w:rsidRDefault="00BE1E33" w:rsidP="00BE1E33">
      <w:pPr>
        <w:rPr>
          <w:rFonts w:ascii="Arial" w:hAnsi="Arial" w:cs="Arial"/>
          <w:color w:val="000000" w:themeColor="text1"/>
        </w:rPr>
      </w:pPr>
    </w:p>
    <w:p w14:paraId="085A31AB" w14:textId="77777777" w:rsidR="006C5955" w:rsidRPr="006C15D5" w:rsidRDefault="006C5955" w:rsidP="00BE1E3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0FB58" w14:textId="77777777" w:rsidR="008F3EEF" w:rsidRDefault="008F3EEF" w:rsidP="008C487C">
      <w:r>
        <w:separator/>
      </w:r>
    </w:p>
  </w:endnote>
  <w:endnote w:type="continuationSeparator" w:id="0">
    <w:p w14:paraId="01F59664" w14:textId="77777777" w:rsidR="008F3EEF" w:rsidRDefault="008F3EEF"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576A2B" w:rsidRDefault="00576A2B" w:rsidP="00AC43E7">
    <w:pPr>
      <w:pStyle w:val="Sinespaciado"/>
      <w:jc w:val="right"/>
      <w:rPr>
        <w:rFonts w:ascii="Arial" w:hAnsi="Arial" w:cs="Arial"/>
        <w:sz w:val="18"/>
        <w:szCs w:val="18"/>
      </w:rPr>
    </w:pPr>
  </w:p>
  <w:p w14:paraId="709352A1" w14:textId="77777777" w:rsidR="00576A2B" w:rsidRDefault="00576A2B" w:rsidP="00AC43E7">
    <w:pPr>
      <w:pStyle w:val="Sinespaciado"/>
      <w:jc w:val="right"/>
      <w:rPr>
        <w:rFonts w:ascii="Arial" w:hAnsi="Arial" w:cs="Arial"/>
        <w:sz w:val="18"/>
        <w:szCs w:val="18"/>
      </w:rPr>
    </w:pPr>
  </w:p>
  <w:p w14:paraId="3D3EB348" w14:textId="77777777" w:rsidR="00576A2B" w:rsidRPr="008217B7" w:rsidRDefault="00576A2B"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576A2B" w:rsidRDefault="726245B9" w:rsidP="00AC43E7">
    <w:pPr>
      <w:pStyle w:val="Piedepgina"/>
      <w:jc w:val="center"/>
      <w:rPr>
        <w:lang w:val="es-ES"/>
      </w:rPr>
    </w:pPr>
    <w:r>
      <w:rPr>
        <w:noProof/>
      </w:rPr>
      <w:drawing>
        <wp:inline distT="0" distB="0" distL="0" distR="0" wp14:anchorId="0323F87D" wp14:editId="6B0CBE62">
          <wp:extent cx="3700130" cy="519139"/>
          <wp:effectExtent l="0" t="0" r="0" b="0"/>
          <wp:docPr id="2995631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576A2B" w:rsidRPr="00E756AC" w:rsidRDefault="00576A2B" w:rsidP="00AC43E7">
    <w:pPr>
      <w:pStyle w:val="Piedepgina"/>
      <w:jc w:val="center"/>
      <w:rPr>
        <w:sz w:val="18"/>
        <w:szCs w:val="18"/>
        <w:lang w:val="es-ES"/>
      </w:rPr>
    </w:pPr>
  </w:p>
  <w:p w14:paraId="428179B1" w14:textId="77777777" w:rsidR="00576A2B" w:rsidRPr="00E756AC" w:rsidRDefault="00576A2B"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01DE3A" w14:textId="77777777" w:rsidR="008F3EEF" w:rsidRDefault="008F3EEF" w:rsidP="008C487C">
      <w:r>
        <w:separator/>
      </w:r>
    </w:p>
  </w:footnote>
  <w:footnote w:type="continuationSeparator" w:id="0">
    <w:p w14:paraId="5860E8E5" w14:textId="77777777" w:rsidR="008F3EEF" w:rsidRDefault="008F3EEF" w:rsidP="008C487C">
      <w:r>
        <w:continuationSeparator/>
      </w:r>
    </w:p>
  </w:footnote>
  <w:footnote w:id="1">
    <w:p w14:paraId="662EBD30" w14:textId="77777777" w:rsidR="00576A2B" w:rsidRDefault="00576A2B" w:rsidP="00811233">
      <w:pPr>
        <w:pStyle w:val="Textonotapie"/>
        <w:ind w:firstLine="708"/>
        <w:jc w:val="both"/>
        <w:rPr>
          <w:rFonts w:ascii="Arial" w:hAnsi="Arial" w:cs="Arial"/>
          <w:sz w:val="19"/>
          <w:szCs w:val="19"/>
          <w:lang w:val="es-ES"/>
        </w:rPr>
      </w:pPr>
      <w:r w:rsidRPr="006441DA">
        <w:rPr>
          <w:rStyle w:val="Refdenotaalpie"/>
          <w:rFonts w:ascii="Arial" w:hAnsi="Arial" w:cs="Arial"/>
          <w:sz w:val="19"/>
          <w:szCs w:val="19"/>
        </w:rPr>
        <w:footnoteRef/>
      </w:r>
      <w:r w:rsidRPr="006441DA">
        <w:rPr>
          <w:rFonts w:ascii="Arial" w:hAnsi="Arial" w:cs="Arial"/>
          <w:sz w:val="19"/>
          <w:szCs w:val="19"/>
        </w:rPr>
        <w:t xml:space="preserve"> </w:t>
      </w:r>
      <w:r>
        <w:rPr>
          <w:rFonts w:ascii="Arial" w:hAnsi="Arial" w:cs="Arial"/>
          <w:sz w:val="19"/>
          <w:szCs w:val="19"/>
        </w:rPr>
        <w:t xml:space="preserve">En este sentido, el Decreto Ley 4170 de 2011 dispone que </w:t>
      </w:r>
      <w:r w:rsidRPr="006441DA">
        <w:rPr>
          <w:rFonts w:ascii="Arial" w:hAnsi="Arial" w:cs="Arial"/>
          <w:sz w:val="19"/>
          <w:szCs w:val="19"/>
        </w:rPr>
        <w:t>«Artículo 3°.</w:t>
      </w:r>
      <w:r>
        <w:rPr>
          <w:rFonts w:ascii="Arial" w:hAnsi="Arial" w:cs="Arial"/>
          <w:sz w:val="19"/>
          <w:szCs w:val="19"/>
        </w:rPr>
        <w:t xml:space="preserve"> </w:t>
      </w:r>
      <w:r w:rsidRPr="006441DA">
        <w:rPr>
          <w:rFonts w:ascii="Arial" w:hAnsi="Arial" w:cs="Arial"/>
          <w:sz w:val="19"/>
          <w:szCs w:val="19"/>
        </w:rPr>
        <w:t xml:space="preserve">La Agencia Nacional de Contratación Pública –Colombia Compra Eficiente– ejercerá las siguientes funciones: </w:t>
      </w:r>
    </w:p>
    <w:p w14:paraId="2A1CBDB8" w14:textId="77777777" w:rsidR="00576A2B" w:rsidRPr="006441DA" w:rsidRDefault="00576A2B" w:rsidP="00811233">
      <w:pPr>
        <w:pStyle w:val="Textonotapie"/>
        <w:ind w:firstLine="708"/>
        <w:jc w:val="both"/>
        <w:rPr>
          <w:rFonts w:ascii="Arial" w:hAnsi="Arial" w:cs="Arial"/>
          <w:sz w:val="19"/>
          <w:szCs w:val="19"/>
          <w:lang w:val="es-ES"/>
        </w:rPr>
      </w:pPr>
      <w:r>
        <w:rPr>
          <w:rFonts w:ascii="Arial" w:hAnsi="Arial" w:cs="Arial"/>
          <w:sz w:val="19"/>
          <w:szCs w:val="19"/>
          <w:lang w:val="es-ES"/>
        </w:rPr>
        <w:t>[…]</w:t>
      </w:r>
    </w:p>
    <w:p w14:paraId="2BA7092C" w14:textId="77777777" w:rsidR="00576A2B" w:rsidRDefault="00576A2B" w:rsidP="00811233">
      <w:pPr>
        <w:pStyle w:val="Textonotapie"/>
        <w:ind w:firstLine="708"/>
        <w:jc w:val="both"/>
        <w:rPr>
          <w:rFonts w:ascii="Arial" w:hAnsi="Arial" w:cs="Arial"/>
          <w:sz w:val="19"/>
          <w:szCs w:val="19"/>
          <w:lang w:val="es-ES"/>
        </w:rPr>
      </w:pPr>
      <w:r w:rsidRPr="006441DA">
        <w:rPr>
          <w:rFonts w:ascii="Arial" w:hAnsi="Arial" w:cs="Arial"/>
          <w:sz w:val="19"/>
          <w:szCs w:val="19"/>
          <w:lang w:val="es-ES"/>
        </w:rPr>
        <w:t>»5. Absolver consultas sobre la aplicación de normas de carácter general y expedir circulares externas en materia de compras y contratación pública</w:t>
      </w:r>
      <w:r>
        <w:rPr>
          <w:rFonts w:ascii="Arial" w:hAnsi="Arial" w:cs="Arial"/>
          <w:sz w:val="19"/>
          <w:szCs w:val="19"/>
          <w:lang w:val="es-ES"/>
        </w:rPr>
        <w:t>.</w:t>
      </w:r>
    </w:p>
    <w:p w14:paraId="4217A1D8" w14:textId="77777777" w:rsidR="00576A2B" w:rsidRPr="006441DA" w:rsidRDefault="00576A2B" w:rsidP="00811233">
      <w:pPr>
        <w:pStyle w:val="Textonotapie"/>
        <w:ind w:firstLine="708"/>
        <w:jc w:val="both"/>
        <w:rPr>
          <w:rFonts w:ascii="Arial" w:hAnsi="Arial" w:cs="Arial"/>
          <w:sz w:val="19"/>
          <w:szCs w:val="19"/>
          <w:lang w:val="es-ES"/>
        </w:rPr>
      </w:pPr>
      <w:r>
        <w:rPr>
          <w:rFonts w:ascii="Arial" w:hAnsi="Arial" w:cs="Arial"/>
          <w:sz w:val="19"/>
          <w:szCs w:val="19"/>
          <w:lang w:val="es-ES"/>
        </w:rPr>
        <w:t>[…]</w:t>
      </w:r>
    </w:p>
    <w:p w14:paraId="1FA8B28A" w14:textId="77777777" w:rsidR="00576A2B" w:rsidRPr="006441DA" w:rsidRDefault="00576A2B" w:rsidP="00811233">
      <w:pPr>
        <w:pStyle w:val="Textonotapie"/>
        <w:ind w:firstLine="708"/>
        <w:jc w:val="both"/>
        <w:rPr>
          <w:rFonts w:ascii="Arial" w:hAnsi="Arial" w:cs="Arial"/>
          <w:sz w:val="19"/>
          <w:szCs w:val="19"/>
          <w:lang w:val="es-ES"/>
        </w:rPr>
      </w:pPr>
      <w:r w:rsidRPr="006441DA">
        <w:rPr>
          <w:rFonts w:ascii="Arial" w:hAnsi="Arial" w:cs="Arial"/>
          <w:sz w:val="19"/>
          <w:szCs w:val="19"/>
          <w:lang w:val="es-ES"/>
        </w:rPr>
        <w:t>»Artículo 11. Son funciones de la Subdirección de Gestión Contractual las siguientes:</w:t>
      </w:r>
    </w:p>
    <w:p w14:paraId="25D60E28" w14:textId="77777777" w:rsidR="00576A2B" w:rsidRPr="006441DA" w:rsidRDefault="00576A2B" w:rsidP="00811233">
      <w:pPr>
        <w:pStyle w:val="Textonotapie"/>
        <w:ind w:left="1416" w:hanging="708"/>
        <w:jc w:val="both"/>
        <w:rPr>
          <w:rFonts w:ascii="Arial" w:hAnsi="Arial" w:cs="Arial"/>
          <w:sz w:val="19"/>
          <w:szCs w:val="19"/>
          <w:lang w:val="es-ES"/>
        </w:rPr>
      </w:pPr>
      <w:r>
        <w:rPr>
          <w:rFonts w:ascii="Arial" w:hAnsi="Arial" w:cs="Arial"/>
          <w:sz w:val="19"/>
          <w:szCs w:val="19"/>
          <w:lang w:val="es-ES"/>
        </w:rPr>
        <w:t>[</w:t>
      </w:r>
      <w:r w:rsidRPr="006441DA">
        <w:rPr>
          <w:rFonts w:ascii="Arial" w:hAnsi="Arial" w:cs="Arial"/>
          <w:sz w:val="19"/>
          <w:szCs w:val="19"/>
          <w:lang w:val="es-ES"/>
        </w:rPr>
        <w:t>...</w:t>
      </w:r>
      <w:r>
        <w:rPr>
          <w:rFonts w:ascii="Arial" w:hAnsi="Arial" w:cs="Arial"/>
          <w:sz w:val="19"/>
          <w:szCs w:val="19"/>
          <w:lang w:val="es-ES"/>
        </w:rPr>
        <w:t>]</w:t>
      </w:r>
    </w:p>
    <w:p w14:paraId="1FE9ECF3" w14:textId="77777777" w:rsidR="00576A2B" w:rsidRPr="006441DA" w:rsidRDefault="00576A2B" w:rsidP="00811233">
      <w:pPr>
        <w:pStyle w:val="Textonotapie"/>
        <w:ind w:firstLine="708"/>
        <w:jc w:val="both"/>
        <w:rPr>
          <w:rFonts w:ascii="Arial" w:hAnsi="Arial" w:cs="Arial"/>
          <w:sz w:val="19"/>
          <w:szCs w:val="19"/>
          <w:lang w:val="es-ES"/>
        </w:rPr>
      </w:pPr>
      <w:r w:rsidRPr="006441DA">
        <w:rPr>
          <w:rFonts w:ascii="Arial" w:hAnsi="Arial" w:cs="Arial"/>
          <w:sz w:val="19"/>
          <w:szCs w:val="19"/>
          <w:lang w:val="es-ES"/>
        </w:rPr>
        <w:t>»8. Absolver consultas sobre la aplicación de normas de carácter general»</w:t>
      </w:r>
      <w:r>
        <w:rPr>
          <w:rFonts w:ascii="Arial" w:hAnsi="Arial" w:cs="Arial"/>
          <w:sz w:val="19"/>
          <w:szCs w:val="19"/>
          <w:lang w:val="es-ES"/>
        </w:rPr>
        <w:t>.</w:t>
      </w:r>
    </w:p>
    <w:p w14:paraId="6C33E6A3" w14:textId="77777777" w:rsidR="00576A2B" w:rsidRPr="006441DA" w:rsidRDefault="00576A2B" w:rsidP="00811233">
      <w:pPr>
        <w:pStyle w:val="Textonotapie"/>
        <w:jc w:val="both"/>
        <w:rPr>
          <w:rFonts w:ascii="Arial" w:hAnsi="Arial" w:cs="Arial"/>
          <w:sz w:val="19"/>
          <w:szCs w:val="19"/>
          <w:lang w:val="es-ES"/>
        </w:rPr>
      </w:pPr>
    </w:p>
  </w:footnote>
  <w:footnote w:id="2">
    <w:p w14:paraId="5BA297F7" w14:textId="7DC3F3E4" w:rsidR="00576A2B" w:rsidRDefault="00576A2B" w:rsidP="00F36A41">
      <w:pPr>
        <w:pStyle w:val="Textonotapie"/>
        <w:ind w:firstLine="709"/>
        <w:jc w:val="both"/>
        <w:rPr>
          <w:rFonts w:ascii="Arial" w:hAnsi="Arial" w:cs="Arial"/>
          <w:sz w:val="19"/>
          <w:szCs w:val="19"/>
        </w:rPr>
      </w:pPr>
      <w:r w:rsidRPr="00F36A41">
        <w:rPr>
          <w:rStyle w:val="Refdenotaalpie"/>
          <w:rFonts w:ascii="Arial" w:hAnsi="Arial" w:cs="Arial"/>
          <w:sz w:val="19"/>
          <w:szCs w:val="19"/>
        </w:rPr>
        <w:footnoteRef/>
      </w:r>
      <w:r w:rsidRPr="00F36A41">
        <w:rPr>
          <w:rFonts w:ascii="Arial" w:hAnsi="Arial" w:cs="Arial"/>
          <w:sz w:val="19"/>
          <w:szCs w:val="19"/>
        </w:rPr>
        <w:t xml:space="preserve"> No en vano, la doctrina anota que </w:t>
      </w:r>
      <w:r>
        <w:rPr>
          <w:rFonts w:ascii="Arial" w:hAnsi="Arial" w:cs="Arial"/>
          <w:sz w:val="19"/>
          <w:szCs w:val="19"/>
        </w:rPr>
        <w:t>«</w:t>
      </w:r>
      <w:r w:rsidRPr="00F36A41">
        <w:rPr>
          <w:rFonts w:ascii="Arial" w:hAnsi="Arial" w:cs="Arial"/>
          <w:sz w:val="19"/>
          <w:szCs w:val="19"/>
        </w:rPr>
        <w:t>Los conceptos jurídicos indeterminados traen causa, pues, de la dificultad de la completa y acabada programación normativa de la acción administrativa. Aunque por razón de la imprecisión propia de todo lenguaje y también del jurídico, todo concepto jurídico requiere interpretación, lo específico del calificado como indeterminado es su utilización por el legislador por razón de no proceder o no poder realizar una predeterminación precisa de la acción administrativa. El legislador conoce ciertamente el supuesto que quiere establecer, pero las características de éste impondrían —para su definición acabada— el recurso a la casuística, lo que incrementaría la densidad de la programación normativa y la seguridad en su ejecución, pero conllevaría un riesgo cierto de restricción del supuesto normativo. El recurso a conceptos jurídicos indeterminados tiene por objeto prevenir este riesgo</w:t>
      </w:r>
      <w:r>
        <w:rPr>
          <w:rFonts w:ascii="Arial" w:hAnsi="Arial" w:cs="Arial"/>
          <w:sz w:val="19"/>
          <w:szCs w:val="19"/>
        </w:rPr>
        <w:t>»</w:t>
      </w:r>
      <w:r w:rsidRPr="00F36A41">
        <w:rPr>
          <w:rFonts w:ascii="Arial" w:hAnsi="Arial" w:cs="Arial"/>
          <w:sz w:val="19"/>
          <w:szCs w:val="19"/>
        </w:rPr>
        <w:t xml:space="preserve"> (Cfr. PAREJO ALFONSO, Luciano. Lecciones de derecho administrativo. Quinta Edición. Valencia: Tirant lo Blanch, 2012, p. 269).</w:t>
      </w:r>
    </w:p>
    <w:p w14:paraId="61707F71" w14:textId="77777777" w:rsidR="00576A2B" w:rsidRPr="00F36A41" w:rsidRDefault="00576A2B" w:rsidP="00F36A41">
      <w:pPr>
        <w:pStyle w:val="Textonotapie"/>
        <w:ind w:firstLine="709"/>
        <w:jc w:val="both"/>
        <w:rPr>
          <w:rFonts w:ascii="Arial" w:hAnsi="Arial" w:cs="Arial"/>
          <w:sz w:val="19"/>
          <w:szCs w:val="19"/>
        </w:rPr>
      </w:pPr>
    </w:p>
  </w:footnote>
  <w:footnote w:id="3">
    <w:p w14:paraId="63CE1343" w14:textId="3C6BABE1" w:rsidR="00576A2B" w:rsidRDefault="00576A2B" w:rsidP="008F57E8">
      <w:pPr>
        <w:pStyle w:val="Textonotapie"/>
        <w:ind w:firstLine="708"/>
        <w:jc w:val="both"/>
        <w:rPr>
          <w:rFonts w:ascii="Arial" w:hAnsi="Arial" w:cs="Arial"/>
          <w:sz w:val="19"/>
          <w:szCs w:val="19"/>
        </w:rPr>
      </w:pPr>
      <w:r w:rsidRPr="008F57E8">
        <w:rPr>
          <w:rStyle w:val="Refdenotaalpie"/>
          <w:rFonts w:ascii="Arial" w:hAnsi="Arial" w:cs="Arial"/>
          <w:sz w:val="19"/>
          <w:szCs w:val="19"/>
        </w:rPr>
        <w:footnoteRef/>
      </w:r>
      <w:r w:rsidRPr="008F57E8">
        <w:rPr>
          <w:rFonts w:ascii="Arial" w:hAnsi="Arial" w:cs="Arial"/>
          <w:sz w:val="19"/>
          <w:szCs w:val="19"/>
        </w:rPr>
        <w:t xml:space="preserve"> </w:t>
      </w:r>
      <w:r>
        <w:rPr>
          <w:rFonts w:ascii="Arial" w:hAnsi="Arial" w:cs="Arial"/>
          <w:sz w:val="19"/>
          <w:szCs w:val="19"/>
        </w:rPr>
        <w:t xml:space="preserve">En lo pertinente, </w:t>
      </w:r>
      <w:bookmarkStart w:id="18" w:name="_Hlk45470939"/>
      <w:r>
        <w:rPr>
          <w:rFonts w:ascii="Arial" w:hAnsi="Arial" w:cs="Arial"/>
          <w:sz w:val="19"/>
          <w:szCs w:val="19"/>
        </w:rPr>
        <w:t>el artículo 12 del derogado Decreto 855 de 1994</w:t>
      </w:r>
      <w:bookmarkEnd w:id="18"/>
      <w:r>
        <w:rPr>
          <w:rFonts w:ascii="Arial" w:hAnsi="Arial" w:cs="Arial"/>
          <w:sz w:val="19"/>
          <w:szCs w:val="19"/>
        </w:rPr>
        <w:t xml:space="preserve"> dispuso que: «</w:t>
      </w:r>
      <w:r w:rsidRPr="008F57E8">
        <w:rPr>
          <w:rFonts w:ascii="Arial" w:hAnsi="Arial" w:cs="Arial"/>
          <w:sz w:val="19"/>
          <w:szCs w:val="19"/>
        </w:rPr>
        <w:t>En los casos de declaratoria de desierta de la licitación o concurso, cuando no se presente propuesta alguna, ninguna propuesta se ajuste al pliego de condiciones o términos de referencia o, en general, cuando falte voluntad de participación, la entidad estatal podrá contratar directamente, sin necesidad de obtener previamente ofertas, teniendo en cuenta los precios del mercado, y si es del caso, los estudios y evaluaciones que para el efecto se hayan realizado directamente o a través de organismos consultores o asesores designados para ello.</w:t>
      </w:r>
    </w:p>
    <w:p w14:paraId="21BD4D71" w14:textId="590AC9D4" w:rsidR="00576A2B" w:rsidRDefault="00576A2B" w:rsidP="008F57E8">
      <w:pPr>
        <w:pStyle w:val="Textonotapie"/>
        <w:ind w:firstLine="708"/>
        <w:jc w:val="both"/>
        <w:rPr>
          <w:rFonts w:ascii="Arial" w:hAnsi="Arial" w:cs="Arial"/>
          <w:sz w:val="19"/>
          <w:szCs w:val="19"/>
        </w:rPr>
      </w:pPr>
      <w:r>
        <w:rPr>
          <w:rFonts w:ascii="Arial" w:hAnsi="Arial" w:cs="Arial"/>
          <w:sz w:val="19"/>
          <w:szCs w:val="19"/>
        </w:rPr>
        <w:t>[…]</w:t>
      </w:r>
    </w:p>
    <w:p w14:paraId="36C3EF59" w14:textId="0DEDAD13" w:rsidR="00576A2B" w:rsidRPr="008F57E8" w:rsidRDefault="00576A2B" w:rsidP="008F57E8">
      <w:pPr>
        <w:pStyle w:val="Textonotapie"/>
        <w:ind w:firstLine="708"/>
        <w:jc w:val="both"/>
        <w:rPr>
          <w:rFonts w:ascii="Arial" w:hAnsi="Arial" w:cs="Arial"/>
          <w:sz w:val="19"/>
          <w:szCs w:val="19"/>
        </w:rPr>
      </w:pPr>
      <w:r>
        <w:rPr>
          <w:rFonts w:ascii="Arial" w:hAnsi="Arial" w:cs="Arial"/>
          <w:sz w:val="19"/>
          <w:szCs w:val="19"/>
        </w:rPr>
        <w:t>»</w:t>
      </w:r>
      <w:r w:rsidRPr="008F57E8">
        <w:rPr>
          <w:rFonts w:ascii="Arial" w:hAnsi="Arial" w:cs="Arial"/>
          <w:sz w:val="19"/>
          <w:szCs w:val="19"/>
        </w:rPr>
        <w:t>Parágrafo 2. Se considera que no existe pluralidad de oferentes:</w:t>
      </w:r>
    </w:p>
    <w:p w14:paraId="3F09F858" w14:textId="72156A52" w:rsidR="00576A2B" w:rsidRPr="008F57E8" w:rsidRDefault="00576A2B" w:rsidP="008F57E8">
      <w:pPr>
        <w:pStyle w:val="Textonotapie"/>
        <w:ind w:firstLine="708"/>
        <w:jc w:val="both"/>
        <w:rPr>
          <w:rFonts w:ascii="Arial" w:hAnsi="Arial" w:cs="Arial"/>
          <w:sz w:val="19"/>
          <w:szCs w:val="19"/>
        </w:rPr>
      </w:pPr>
      <w:r>
        <w:rPr>
          <w:rFonts w:ascii="Arial" w:hAnsi="Arial" w:cs="Arial"/>
          <w:sz w:val="19"/>
          <w:szCs w:val="19"/>
        </w:rPr>
        <w:t>»</w:t>
      </w:r>
      <w:r w:rsidRPr="008F57E8">
        <w:rPr>
          <w:rFonts w:ascii="Arial" w:hAnsi="Arial" w:cs="Arial"/>
          <w:sz w:val="19"/>
          <w:szCs w:val="19"/>
        </w:rPr>
        <w:t>a) Cuando no existiere más de una persona inscrita en el Registro de Proponentes, en aquellos contratos respecto de los cuales se requiere dicha inscripción conforme al artículo 22 de la Ley 80 de 1993,</w:t>
      </w:r>
    </w:p>
    <w:p w14:paraId="2F7009B4" w14:textId="2B000FD2" w:rsidR="00576A2B" w:rsidRPr="008F57E8" w:rsidRDefault="00576A2B" w:rsidP="008F57E8">
      <w:pPr>
        <w:pStyle w:val="Textonotapie"/>
        <w:ind w:firstLine="708"/>
        <w:jc w:val="both"/>
        <w:rPr>
          <w:rFonts w:ascii="Arial" w:hAnsi="Arial" w:cs="Arial"/>
          <w:sz w:val="19"/>
          <w:szCs w:val="19"/>
          <w:lang w:val="es-ES"/>
        </w:rPr>
      </w:pPr>
      <w:r>
        <w:rPr>
          <w:rFonts w:ascii="Arial" w:hAnsi="Arial" w:cs="Arial"/>
          <w:sz w:val="19"/>
          <w:szCs w:val="19"/>
        </w:rPr>
        <w:t>»</w:t>
      </w:r>
      <w:r w:rsidRPr="008F57E8">
        <w:rPr>
          <w:rFonts w:ascii="Arial" w:hAnsi="Arial" w:cs="Arial"/>
          <w:sz w:val="19"/>
          <w:szCs w:val="19"/>
        </w:rPr>
        <w:t>b) Cuando solo exista una persona que pueda proveer el bien o el servicio por ser titular de los derechos de propiedad industrial o de los derechos de autor, o por ser, de acuerdo con la ley, su proveedor exclusivo</w:t>
      </w:r>
      <w:r>
        <w:rPr>
          <w:rFonts w:ascii="Arial" w:hAnsi="Arial" w:cs="Arial"/>
          <w:sz w:val="19"/>
          <w:szCs w:val="19"/>
        </w:rPr>
        <w:t>»</w:t>
      </w:r>
      <w:r w:rsidRPr="008F57E8">
        <w:rPr>
          <w:rFonts w:ascii="Arial" w:hAnsi="Arial" w:cs="Arial"/>
          <w:sz w:val="19"/>
          <w:szCs w:val="19"/>
        </w:rPr>
        <w:t>.</w:t>
      </w:r>
      <w:r>
        <w:rPr>
          <w:rFonts w:ascii="Arial" w:hAnsi="Arial" w:cs="Arial"/>
          <w:sz w:val="19"/>
          <w:szCs w:val="19"/>
        </w:rPr>
        <w:t xml:space="preserve">  </w:t>
      </w:r>
    </w:p>
  </w:footnote>
  <w:footnote w:id="4">
    <w:p w14:paraId="73FFBDD6" w14:textId="3C94DB4B" w:rsidR="00576A2B" w:rsidRPr="008417D3" w:rsidRDefault="00576A2B" w:rsidP="008417D3">
      <w:pPr>
        <w:pStyle w:val="Textonotapie"/>
        <w:ind w:firstLine="708"/>
        <w:jc w:val="both"/>
        <w:rPr>
          <w:rFonts w:ascii="Arial" w:hAnsi="Arial" w:cs="Arial"/>
          <w:sz w:val="19"/>
          <w:szCs w:val="19"/>
        </w:rPr>
      </w:pPr>
      <w:r w:rsidRPr="00E267B8">
        <w:rPr>
          <w:rStyle w:val="Refdenotaalpie"/>
          <w:rFonts w:ascii="Arial" w:hAnsi="Arial" w:cs="Arial"/>
          <w:sz w:val="19"/>
          <w:szCs w:val="19"/>
        </w:rPr>
        <w:footnoteRef/>
      </w:r>
      <w:r w:rsidRPr="00E267B8">
        <w:rPr>
          <w:rFonts w:ascii="Arial" w:hAnsi="Arial" w:cs="Arial"/>
          <w:sz w:val="19"/>
          <w:szCs w:val="19"/>
        </w:rPr>
        <w:t xml:space="preserve"> </w:t>
      </w:r>
      <w:r w:rsidRPr="00832BAE">
        <w:rPr>
          <w:rFonts w:ascii="Arial" w:hAnsi="Arial" w:cs="Arial"/>
          <w:sz w:val="19"/>
          <w:szCs w:val="19"/>
        </w:rPr>
        <w:t>DROMI, José Roberto. La licitación pública. Buenos Aires: Ciudad Argentina, 1980. p</w:t>
      </w:r>
      <w:r>
        <w:rPr>
          <w:rFonts w:ascii="Arial" w:hAnsi="Arial" w:cs="Arial"/>
          <w:sz w:val="19"/>
          <w:szCs w:val="19"/>
        </w:rPr>
        <w:t>p</w:t>
      </w:r>
      <w:r w:rsidRPr="00832BAE">
        <w:rPr>
          <w:rFonts w:ascii="Arial" w:hAnsi="Arial" w:cs="Arial"/>
          <w:sz w:val="19"/>
          <w:szCs w:val="19"/>
        </w:rPr>
        <w:t xml:space="preserve">. </w:t>
      </w:r>
      <w:r>
        <w:rPr>
          <w:rFonts w:ascii="Arial" w:hAnsi="Arial" w:cs="Arial"/>
          <w:sz w:val="19"/>
          <w:szCs w:val="19"/>
        </w:rPr>
        <w:t xml:space="preserve">173-174. Para el autor, la aplicación de la causal supone que: </w:t>
      </w:r>
      <w:r w:rsidRPr="008417D3">
        <w:rPr>
          <w:rFonts w:ascii="Arial" w:hAnsi="Arial" w:cs="Arial"/>
          <w:sz w:val="19"/>
          <w:szCs w:val="19"/>
        </w:rPr>
        <w:t xml:space="preserve">i) las prestaciones están amparadas legalmente por </w:t>
      </w:r>
      <w:r>
        <w:rPr>
          <w:rFonts w:ascii="Arial" w:hAnsi="Arial" w:cs="Arial"/>
          <w:sz w:val="19"/>
          <w:szCs w:val="19"/>
        </w:rPr>
        <w:t>un derecho de marca</w:t>
      </w:r>
      <w:r w:rsidRPr="008417D3">
        <w:rPr>
          <w:rFonts w:ascii="Arial" w:hAnsi="Arial" w:cs="Arial"/>
          <w:sz w:val="19"/>
          <w:szCs w:val="19"/>
        </w:rPr>
        <w:t xml:space="preserve">; ii) la necesidad no puede satisfacerse con equivalentes no sujetos a </w:t>
      </w:r>
      <w:r>
        <w:rPr>
          <w:rFonts w:ascii="Arial" w:hAnsi="Arial" w:cs="Arial"/>
          <w:sz w:val="19"/>
          <w:szCs w:val="19"/>
        </w:rPr>
        <w:t>privilegio</w:t>
      </w:r>
      <w:r w:rsidRPr="008417D3">
        <w:rPr>
          <w:rFonts w:ascii="Arial" w:hAnsi="Arial" w:cs="Arial"/>
          <w:sz w:val="19"/>
          <w:szCs w:val="19"/>
        </w:rPr>
        <w:t xml:space="preserve">, pues de los contrario la causal es inaplicable; iii) la necesidad solo pueda satisfacerla el titular de </w:t>
      </w:r>
      <w:r>
        <w:rPr>
          <w:rFonts w:ascii="Arial" w:hAnsi="Arial" w:cs="Arial"/>
          <w:sz w:val="19"/>
          <w:szCs w:val="19"/>
        </w:rPr>
        <w:t>estos derechos</w:t>
      </w:r>
      <w:r w:rsidRPr="008417D3">
        <w:rPr>
          <w:rFonts w:ascii="Arial" w:hAnsi="Arial" w:cs="Arial"/>
          <w:sz w:val="19"/>
          <w:szCs w:val="19"/>
        </w:rPr>
        <w:t>, excluyendo que otros aspirantes en condiciones similares también puedan hacerlo; y iv) la existencia de informes técnicos que acrediten la imposibilidad de sustitutos convenientes</w:t>
      </w:r>
      <w:r>
        <w:rPr>
          <w:rFonts w:ascii="Arial" w:hAnsi="Arial" w:cs="Arial"/>
          <w:sz w:val="19"/>
          <w:szCs w:val="19"/>
        </w:rPr>
        <w:t xml:space="preserve"> (Ibidem., p. 174).</w:t>
      </w:r>
    </w:p>
  </w:footnote>
  <w:footnote w:id="5">
    <w:p w14:paraId="4EE0161C" w14:textId="77777777" w:rsidR="008A638F" w:rsidRPr="00AF1DE4" w:rsidRDefault="008A638F" w:rsidP="008A638F">
      <w:pPr>
        <w:pStyle w:val="Textonotapie"/>
        <w:ind w:firstLine="708"/>
        <w:jc w:val="both"/>
        <w:rPr>
          <w:rFonts w:ascii="Arial" w:hAnsi="Arial" w:cs="Arial"/>
          <w:sz w:val="19"/>
          <w:szCs w:val="19"/>
          <w:lang w:val="es-ES"/>
        </w:rPr>
      </w:pPr>
      <w:r w:rsidRPr="00AF1DE4">
        <w:rPr>
          <w:rStyle w:val="Refdenotaalpie"/>
          <w:rFonts w:ascii="Arial" w:hAnsi="Arial" w:cs="Arial"/>
          <w:sz w:val="19"/>
          <w:szCs w:val="19"/>
        </w:rPr>
        <w:footnoteRef/>
      </w:r>
      <w:r w:rsidRPr="00AF1DE4">
        <w:rPr>
          <w:rFonts w:ascii="Arial" w:hAnsi="Arial" w:cs="Arial"/>
          <w:sz w:val="19"/>
          <w:szCs w:val="19"/>
        </w:rPr>
        <w:t xml:space="preserve"> </w:t>
      </w:r>
      <w:r>
        <w:rPr>
          <w:rFonts w:ascii="Arial" w:hAnsi="Arial" w:cs="Arial"/>
          <w:sz w:val="19"/>
          <w:szCs w:val="19"/>
        </w:rPr>
        <w:t>En concordancia, los artículos 104 y 109 del Decreto 111 de 1996 disponen, respectivamente, que «</w:t>
      </w:r>
      <w:r w:rsidRPr="00495E37">
        <w:rPr>
          <w:rFonts w:ascii="Arial" w:hAnsi="Arial" w:cs="Arial"/>
          <w:sz w:val="19"/>
          <w:szCs w:val="19"/>
        </w:rPr>
        <w:t>A más tardar el 31 de diciembre de 1996, las entidades territoriales ajustarán las normas sobre programación, elaboración, aprobación y ejecución de sus presupuestos a las normas previstas en la ley orgánica del presupuesto</w:t>
      </w:r>
      <w:r>
        <w:rPr>
          <w:rFonts w:ascii="Arial" w:hAnsi="Arial" w:cs="Arial"/>
          <w:sz w:val="19"/>
          <w:szCs w:val="19"/>
        </w:rPr>
        <w:t>» y que «</w:t>
      </w:r>
      <w:r w:rsidRPr="00495E37">
        <w:rPr>
          <w:rFonts w:ascii="Arial" w:hAnsi="Arial" w:cs="Arial"/>
          <w:sz w:val="19"/>
          <w:szCs w:val="19"/>
        </w:rPr>
        <w:t>Las entidades territoriales al expedir las normas orgánicas de presupuesto deberán seguir las disposiciones de la Ley Orgánica del Presupuesto, adaptándolas a la organización, normas constitucionales y condiciones de cada entidad territorial. Mientras se expiden estas normas, se aplicará la Ley Orgánica del Presupuesto en lo que fuere pertinente</w:t>
      </w:r>
      <w:r>
        <w:rPr>
          <w:rFonts w:ascii="Arial" w:hAnsi="Arial" w:cs="Arial"/>
          <w:sz w:val="19"/>
          <w:szCs w:val="19"/>
        </w:rPr>
        <w:t>»</w:t>
      </w:r>
      <w:r w:rsidRPr="00495E37">
        <w:rPr>
          <w:rFonts w:ascii="Arial" w:hAnsi="Arial" w:cs="Arial"/>
          <w:sz w:val="19"/>
          <w:szCs w:val="19"/>
        </w:rPr>
        <w:t>.</w:t>
      </w:r>
    </w:p>
  </w:footnote>
  <w:footnote w:id="6">
    <w:p w14:paraId="05BD1973" w14:textId="77777777" w:rsidR="008A638F" w:rsidRPr="008F70DA" w:rsidRDefault="008A638F" w:rsidP="008A638F">
      <w:pPr>
        <w:pStyle w:val="Textonotapie"/>
        <w:ind w:firstLine="708"/>
        <w:jc w:val="both"/>
        <w:rPr>
          <w:rFonts w:ascii="Arial" w:hAnsi="Arial" w:cs="Arial"/>
          <w:sz w:val="19"/>
          <w:szCs w:val="19"/>
          <w:lang w:val="es-ES"/>
        </w:rPr>
      </w:pPr>
      <w:r w:rsidRPr="008F70DA">
        <w:rPr>
          <w:rStyle w:val="Refdenotaalpie"/>
          <w:rFonts w:ascii="Arial" w:hAnsi="Arial" w:cs="Arial"/>
          <w:sz w:val="19"/>
          <w:szCs w:val="19"/>
        </w:rPr>
        <w:footnoteRef/>
      </w:r>
      <w:r w:rsidRPr="008F70DA">
        <w:rPr>
          <w:rFonts w:ascii="Arial" w:hAnsi="Arial" w:cs="Arial"/>
          <w:sz w:val="19"/>
          <w:szCs w:val="19"/>
        </w:rPr>
        <w:t xml:space="preserve"> Según el artículo 38, numeral 1.2, del Decreto 2236 de 2017, los servicios personales indirectos «Son gastos destinados a atender la contratación de personas jurídicas y naturales para que presten servicios calificados o profesionales, cuando no puedan ser desarrollados con personal de planta. Así mismo, incluye la remuneración del personal que se vincule en forma ocasional, para desarrollar actividades netamente temporales o para suplir a los servidores públicos en caso de licencias o vacaciones, dicha remuneración cubrirá las prestaciones sociales a que tenga derecho</w:t>
      </w:r>
      <w:r w:rsidRPr="006426D6">
        <w:rPr>
          <w:rFonts w:ascii="Arial" w:hAnsi="Arial" w:cs="Arial"/>
          <w:sz w:val="19"/>
          <w:szCs w:val="19"/>
        </w:rPr>
        <w:t>, así como las contribuciones a que haya lugar</w:t>
      </w:r>
      <w:r w:rsidRPr="008F70DA">
        <w:rPr>
          <w:rFonts w:ascii="Arial" w:hAnsi="Arial" w:cs="Arial"/>
          <w:sz w:val="19"/>
          <w:szCs w:val="19"/>
        </w:rPr>
        <w:t xml:space="preserve"> […]».</w:t>
      </w:r>
    </w:p>
  </w:footnote>
  <w:footnote w:id="7">
    <w:p w14:paraId="42860C1F" w14:textId="77777777" w:rsidR="008A638F" w:rsidRPr="00712DC2" w:rsidRDefault="008A638F" w:rsidP="008A638F">
      <w:pPr>
        <w:pStyle w:val="Textonotapie"/>
        <w:ind w:firstLine="708"/>
        <w:jc w:val="both"/>
        <w:rPr>
          <w:rFonts w:ascii="Arial" w:hAnsi="Arial" w:cs="Arial"/>
          <w:sz w:val="19"/>
          <w:szCs w:val="19"/>
        </w:rPr>
      </w:pPr>
      <w:r w:rsidRPr="005507E4">
        <w:rPr>
          <w:rStyle w:val="Refdenotaalpie"/>
          <w:rFonts w:ascii="Arial" w:hAnsi="Arial" w:cs="Arial"/>
          <w:sz w:val="19"/>
          <w:szCs w:val="19"/>
        </w:rPr>
        <w:footnoteRef/>
      </w:r>
      <w:r w:rsidRPr="005507E4">
        <w:rPr>
          <w:rFonts w:ascii="Arial" w:hAnsi="Arial" w:cs="Arial"/>
          <w:sz w:val="19"/>
          <w:szCs w:val="19"/>
        </w:rPr>
        <w:t xml:space="preserve"> </w:t>
      </w:r>
      <w:r>
        <w:rPr>
          <w:rFonts w:ascii="Arial" w:hAnsi="Arial" w:cs="Arial"/>
          <w:sz w:val="19"/>
          <w:szCs w:val="19"/>
        </w:rPr>
        <w:t>El Decreto 2411 de 2019, en el artículo 3, dispone lo siguiente: «</w:t>
      </w:r>
      <w:r w:rsidRPr="00712DC2">
        <w:rPr>
          <w:rFonts w:ascii="Arial" w:hAnsi="Arial" w:cs="Arial"/>
          <w:sz w:val="19"/>
          <w:szCs w:val="19"/>
        </w:rPr>
        <w:t xml:space="preserve">Las disposiciones generales del presente decreto son complementarias de las Leyes 38 de 1989, 179 de 1994, 225 de 1995, 819 de 2003, 1473 de 2011 y 1508 de 2012 y demás normas de carácter orgánico y deben aplicarse en armonía con estas. </w:t>
      </w:r>
    </w:p>
    <w:p w14:paraId="2B8BD5B5" w14:textId="77777777" w:rsidR="008A638F" w:rsidRPr="00712DC2" w:rsidRDefault="008A638F" w:rsidP="008A638F">
      <w:pPr>
        <w:pStyle w:val="Textonotapie"/>
        <w:ind w:firstLine="708"/>
        <w:jc w:val="both"/>
        <w:rPr>
          <w:rFonts w:ascii="Arial" w:hAnsi="Arial" w:cs="Arial"/>
          <w:sz w:val="19"/>
          <w:szCs w:val="19"/>
        </w:rPr>
      </w:pPr>
      <w:r>
        <w:rPr>
          <w:rFonts w:ascii="Arial" w:hAnsi="Arial" w:cs="Arial"/>
          <w:sz w:val="19"/>
          <w:szCs w:val="19"/>
        </w:rPr>
        <w:t>»</w:t>
      </w:r>
      <w:r w:rsidRPr="00712DC2">
        <w:rPr>
          <w:rFonts w:ascii="Arial" w:hAnsi="Arial" w:cs="Arial"/>
          <w:sz w:val="19"/>
          <w:szCs w:val="19"/>
        </w:rPr>
        <w:t xml:space="preserve">Estas normas rigen para los órganos que conforman el Presupuesto General de la Nación, y para los recursos de la Nación asignados a las Empresas Industriales y Comerciales del Estado y a las Sociedades de Economía Mixta con el régimen de aquellas. </w:t>
      </w:r>
    </w:p>
    <w:p w14:paraId="2E924F6E" w14:textId="77777777" w:rsidR="008A638F" w:rsidRPr="005507E4" w:rsidRDefault="008A638F" w:rsidP="008A638F">
      <w:pPr>
        <w:pStyle w:val="Textonotapie"/>
        <w:ind w:firstLine="708"/>
        <w:jc w:val="both"/>
        <w:rPr>
          <w:rFonts w:ascii="Arial" w:hAnsi="Arial" w:cs="Arial"/>
          <w:sz w:val="19"/>
          <w:szCs w:val="19"/>
          <w:lang w:val="es-ES"/>
        </w:rPr>
      </w:pPr>
      <w:r>
        <w:rPr>
          <w:rFonts w:ascii="Arial" w:hAnsi="Arial" w:cs="Arial"/>
          <w:sz w:val="19"/>
          <w:szCs w:val="19"/>
        </w:rPr>
        <w:t>»</w:t>
      </w:r>
      <w:r w:rsidRPr="00712DC2">
        <w:rPr>
          <w:rFonts w:ascii="Arial" w:hAnsi="Arial" w:cs="Arial"/>
          <w:sz w:val="19"/>
          <w:szCs w:val="19"/>
        </w:rPr>
        <w:t>Los fondos sin personería jurídica deben ser creados por ley o por su autorización expresa y estarán sujetos a las normas y procedimientos establecidos en la Constitución Política, el Estatuto Orgánico del Presupuesto, del presente decreto y las demás normas que reglamenten los órganos a los cuales pertenecen</w:t>
      </w:r>
      <w:r>
        <w:rPr>
          <w:rFonts w:ascii="Arial" w:hAnsi="Arial" w:cs="Arial"/>
          <w:sz w:val="19"/>
          <w:szCs w:val="19"/>
        </w:rPr>
        <w:t>»</w:t>
      </w:r>
      <w:r w:rsidRPr="00712DC2">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576A2B" w:rsidRDefault="00576A2B">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47EA"/>
    <w:rsid w:val="000072CE"/>
    <w:rsid w:val="00010D30"/>
    <w:rsid w:val="00010D77"/>
    <w:rsid w:val="00013925"/>
    <w:rsid w:val="000177DA"/>
    <w:rsid w:val="00023057"/>
    <w:rsid w:val="00024771"/>
    <w:rsid w:val="00025161"/>
    <w:rsid w:val="00027B31"/>
    <w:rsid w:val="0003091B"/>
    <w:rsid w:val="000333A2"/>
    <w:rsid w:val="0003625C"/>
    <w:rsid w:val="00036E73"/>
    <w:rsid w:val="00040C88"/>
    <w:rsid w:val="00040D6E"/>
    <w:rsid w:val="00042C0C"/>
    <w:rsid w:val="00043A4D"/>
    <w:rsid w:val="00044865"/>
    <w:rsid w:val="00044FF2"/>
    <w:rsid w:val="00047050"/>
    <w:rsid w:val="00053E66"/>
    <w:rsid w:val="0006075F"/>
    <w:rsid w:val="00061E34"/>
    <w:rsid w:val="00061EE4"/>
    <w:rsid w:val="00062B0D"/>
    <w:rsid w:val="0006519B"/>
    <w:rsid w:val="00071F27"/>
    <w:rsid w:val="00073968"/>
    <w:rsid w:val="00075227"/>
    <w:rsid w:val="00086A16"/>
    <w:rsid w:val="00091570"/>
    <w:rsid w:val="00091D8F"/>
    <w:rsid w:val="000929DE"/>
    <w:rsid w:val="00093E58"/>
    <w:rsid w:val="00093F39"/>
    <w:rsid w:val="00094FF7"/>
    <w:rsid w:val="000979A3"/>
    <w:rsid w:val="00097CD6"/>
    <w:rsid w:val="000A09C0"/>
    <w:rsid w:val="000A1DBA"/>
    <w:rsid w:val="000A3B96"/>
    <w:rsid w:val="000A6338"/>
    <w:rsid w:val="000A6B6F"/>
    <w:rsid w:val="000B08EA"/>
    <w:rsid w:val="000B2A30"/>
    <w:rsid w:val="000C0E39"/>
    <w:rsid w:val="000C3D66"/>
    <w:rsid w:val="000C51AF"/>
    <w:rsid w:val="000C5830"/>
    <w:rsid w:val="000C5C37"/>
    <w:rsid w:val="000D088F"/>
    <w:rsid w:val="000D7AC3"/>
    <w:rsid w:val="000E3613"/>
    <w:rsid w:val="000E3AF7"/>
    <w:rsid w:val="000E4A3C"/>
    <w:rsid w:val="000E5097"/>
    <w:rsid w:val="000E5A32"/>
    <w:rsid w:val="000E5BB2"/>
    <w:rsid w:val="000E6867"/>
    <w:rsid w:val="000E7161"/>
    <w:rsid w:val="000F1E3D"/>
    <w:rsid w:val="000F211E"/>
    <w:rsid w:val="00100AEC"/>
    <w:rsid w:val="0010213E"/>
    <w:rsid w:val="00103A62"/>
    <w:rsid w:val="001056C0"/>
    <w:rsid w:val="00107607"/>
    <w:rsid w:val="00110723"/>
    <w:rsid w:val="00112597"/>
    <w:rsid w:val="0012074A"/>
    <w:rsid w:val="00131914"/>
    <w:rsid w:val="001321AB"/>
    <w:rsid w:val="00140E57"/>
    <w:rsid w:val="00141B19"/>
    <w:rsid w:val="00141C64"/>
    <w:rsid w:val="00142E4E"/>
    <w:rsid w:val="0014462B"/>
    <w:rsid w:val="00146FE9"/>
    <w:rsid w:val="001533F7"/>
    <w:rsid w:val="00153CD1"/>
    <w:rsid w:val="0015466A"/>
    <w:rsid w:val="001573F8"/>
    <w:rsid w:val="0016074F"/>
    <w:rsid w:val="00163EED"/>
    <w:rsid w:val="00164E79"/>
    <w:rsid w:val="00164EDC"/>
    <w:rsid w:val="00166C81"/>
    <w:rsid w:val="00167198"/>
    <w:rsid w:val="001746CB"/>
    <w:rsid w:val="00174C18"/>
    <w:rsid w:val="0017603D"/>
    <w:rsid w:val="001815B2"/>
    <w:rsid w:val="00181A3E"/>
    <w:rsid w:val="001833B8"/>
    <w:rsid w:val="001865DB"/>
    <w:rsid w:val="00194C50"/>
    <w:rsid w:val="00196652"/>
    <w:rsid w:val="00196FB5"/>
    <w:rsid w:val="001978BC"/>
    <w:rsid w:val="001A2FA7"/>
    <w:rsid w:val="001A369A"/>
    <w:rsid w:val="001B0ACD"/>
    <w:rsid w:val="001B2E5D"/>
    <w:rsid w:val="001B3FAA"/>
    <w:rsid w:val="001B53BD"/>
    <w:rsid w:val="001B587A"/>
    <w:rsid w:val="001B5E36"/>
    <w:rsid w:val="001B6F4A"/>
    <w:rsid w:val="001C1D25"/>
    <w:rsid w:val="001C2755"/>
    <w:rsid w:val="001D38A0"/>
    <w:rsid w:val="001D3CAD"/>
    <w:rsid w:val="001D5ECE"/>
    <w:rsid w:val="001E1C6D"/>
    <w:rsid w:val="001E3F37"/>
    <w:rsid w:val="001E44A9"/>
    <w:rsid w:val="001E4EC1"/>
    <w:rsid w:val="001E5745"/>
    <w:rsid w:val="001E5DBB"/>
    <w:rsid w:val="001E7044"/>
    <w:rsid w:val="001E7533"/>
    <w:rsid w:val="001F02C5"/>
    <w:rsid w:val="001F1051"/>
    <w:rsid w:val="001F1A2D"/>
    <w:rsid w:val="001F34A8"/>
    <w:rsid w:val="001F40B2"/>
    <w:rsid w:val="001F4B99"/>
    <w:rsid w:val="001F7135"/>
    <w:rsid w:val="00200F92"/>
    <w:rsid w:val="00201B9C"/>
    <w:rsid w:val="002034AD"/>
    <w:rsid w:val="00203BF1"/>
    <w:rsid w:val="00203F46"/>
    <w:rsid w:val="00207033"/>
    <w:rsid w:val="002074EF"/>
    <w:rsid w:val="00210D66"/>
    <w:rsid w:val="00213667"/>
    <w:rsid w:val="00217339"/>
    <w:rsid w:val="002239B4"/>
    <w:rsid w:val="00224900"/>
    <w:rsid w:val="002252C0"/>
    <w:rsid w:val="00227D08"/>
    <w:rsid w:val="0023008F"/>
    <w:rsid w:val="0023180C"/>
    <w:rsid w:val="0023260E"/>
    <w:rsid w:val="00234C6C"/>
    <w:rsid w:val="0023576D"/>
    <w:rsid w:val="00244A28"/>
    <w:rsid w:val="00247EBA"/>
    <w:rsid w:val="0025095A"/>
    <w:rsid w:val="002532DE"/>
    <w:rsid w:val="00265031"/>
    <w:rsid w:val="00266277"/>
    <w:rsid w:val="002723C7"/>
    <w:rsid w:val="00273FE0"/>
    <w:rsid w:val="00276BEE"/>
    <w:rsid w:val="00277EAA"/>
    <w:rsid w:val="002807AD"/>
    <w:rsid w:val="00281C8B"/>
    <w:rsid w:val="00283163"/>
    <w:rsid w:val="00284C12"/>
    <w:rsid w:val="00286834"/>
    <w:rsid w:val="00286FAD"/>
    <w:rsid w:val="00293092"/>
    <w:rsid w:val="00293623"/>
    <w:rsid w:val="00297358"/>
    <w:rsid w:val="002A153A"/>
    <w:rsid w:val="002A60D6"/>
    <w:rsid w:val="002A6417"/>
    <w:rsid w:val="002A6631"/>
    <w:rsid w:val="002B01A8"/>
    <w:rsid w:val="002B282F"/>
    <w:rsid w:val="002B4B30"/>
    <w:rsid w:val="002B56DF"/>
    <w:rsid w:val="002B79E1"/>
    <w:rsid w:val="002C004E"/>
    <w:rsid w:val="002C2D9D"/>
    <w:rsid w:val="002C441F"/>
    <w:rsid w:val="002D0CAA"/>
    <w:rsid w:val="002D32C1"/>
    <w:rsid w:val="002E320B"/>
    <w:rsid w:val="002E52AD"/>
    <w:rsid w:val="002E5F1B"/>
    <w:rsid w:val="002E67C5"/>
    <w:rsid w:val="002E7910"/>
    <w:rsid w:val="002E7BC2"/>
    <w:rsid w:val="002F1888"/>
    <w:rsid w:val="002F1C33"/>
    <w:rsid w:val="002F2DB4"/>
    <w:rsid w:val="002F32AA"/>
    <w:rsid w:val="002F63BB"/>
    <w:rsid w:val="002F6C10"/>
    <w:rsid w:val="002F6DBB"/>
    <w:rsid w:val="002F701E"/>
    <w:rsid w:val="003001AC"/>
    <w:rsid w:val="0030027A"/>
    <w:rsid w:val="00301E34"/>
    <w:rsid w:val="00302F9F"/>
    <w:rsid w:val="00303EC5"/>
    <w:rsid w:val="00304386"/>
    <w:rsid w:val="003201A9"/>
    <w:rsid w:val="0032211D"/>
    <w:rsid w:val="00326B54"/>
    <w:rsid w:val="003302FA"/>
    <w:rsid w:val="00334E97"/>
    <w:rsid w:val="003373C2"/>
    <w:rsid w:val="003401FE"/>
    <w:rsid w:val="00340A7A"/>
    <w:rsid w:val="003417F0"/>
    <w:rsid w:val="003444B1"/>
    <w:rsid w:val="00350A47"/>
    <w:rsid w:val="00353025"/>
    <w:rsid w:val="00356706"/>
    <w:rsid w:val="0035794A"/>
    <w:rsid w:val="0036125C"/>
    <w:rsid w:val="00377CD3"/>
    <w:rsid w:val="00383A48"/>
    <w:rsid w:val="00387D0F"/>
    <w:rsid w:val="00390DCF"/>
    <w:rsid w:val="00391178"/>
    <w:rsid w:val="00391F3F"/>
    <w:rsid w:val="0039677A"/>
    <w:rsid w:val="00396821"/>
    <w:rsid w:val="00397A6B"/>
    <w:rsid w:val="003A06BB"/>
    <w:rsid w:val="003A2944"/>
    <w:rsid w:val="003A3513"/>
    <w:rsid w:val="003B08E5"/>
    <w:rsid w:val="003B0DEF"/>
    <w:rsid w:val="003B2FC1"/>
    <w:rsid w:val="003C2074"/>
    <w:rsid w:val="003C3ADB"/>
    <w:rsid w:val="003C579C"/>
    <w:rsid w:val="003C5DF4"/>
    <w:rsid w:val="003C7207"/>
    <w:rsid w:val="003C7515"/>
    <w:rsid w:val="003D0E4A"/>
    <w:rsid w:val="003D11B5"/>
    <w:rsid w:val="003D134C"/>
    <w:rsid w:val="003D6761"/>
    <w:rsid w:val="003D69A5"/>
    <w:rsid w:val="003E14F9"/>
    <w:rsid w:val="003E1798"/>
    <w:rsid w:val="003E3BA9"/>
    <w:rsid w:val="003E5CE3"/>
    <w:rsid w:val="003F309F"/>
    <w:rsid w:val="003F3119"/>
    <w:rsid w:val="003F4E8A"/>
    <w:rsid w:val="003F6D32"/>
    <w:rsid w:val="00402978"/>
    <w:rsid w:val="00410988"/>
    <w:rsid w:val="00411760"/>
    <w:rsid w:val="0041222C"/>
    <w:rsid w:val="00414CA1"/>
    <w:rsid w:val="004161D4"/>
    <w:rsid w:val="0041784E"/>
    <w:rsid w:val="00421EA9"/>
    <w:rsid w:val="00423C2C"/>
    <w:rsid w:val="00430B5A"/>
    <w:rsid w:val="00431C20"/>
    <w:rsid w:val="0044207D"/>
    <w:rsid w:val="004439E2"/>
    <w:rsid w:val="0044494E"/>
    <w:rsid w:val="00447FE5"/>
    <w:rsid w:val="00450EB7"/>
    <w:rsid w:val="00451231"/>
    <w:rsid w:val="004526D3"/>
    <w:rsid w:val="00457CF2"/>
    <w:rsid w:val="004617B8"/>
    <w:rsid w:val="00462A87"/>
    <w:rsid w:val="00462FA0"/>
    <w:rsid w:val="00463AB6"/>
    <w:rsid w:val="00463E5F"/>
    <w:rsid w:val="0046504E"/>
    <w:rsid w:val="00467620"/>
    <w:rsid w:val="00467C7C"/>
    <w:rsid w:val="00475595"/>
    <w:rsid w:val="004758FE"/>
    <w:rsid w:val="00476C17"/>
    <w:rsid w:val="00476DBC"/>
    <w:rsid w:val="00480836"/>
    <w:rsid w:val="004830C8"/>
    <w:rsid w:val="004837AB"/>
    <w:rsid w:val="00483A2F"/>
    <w:rsid w:val="004854B9"/>
    <w:rsid w:val="00490DBF"/>
    <w:rsid w:val="00495E37"/>
    <w:rsid w:val="00495EC8"/>
    <w:rsid w:val="004A128C"/>
    <w:rsid w:val="004A1C13"/>
    <w:rsid w:val="004A32DD"/>
    <w:rsid w:val="004A3310"/>
    <w:rsid w:val="004A5DAA"/>
    <w:rsid w:val="004A5E72"/>
    <w:rsid w:val="004A6E9A"/>
    <w:rsid w:val="004A6EE1"/>
    <w:rsid w:val="004B07EC"/>
    <w:rsid w:val="004B1BEE"/>
    <w:rsid w:val="004B1EB5"/>
    <w:rsid w:val="004B2AB8"/>
    <w:rsid w:val="004B5B9E"/>
    <w:rsid w:val="004B7849"/>
    <w:rsid w:val="004C10E4"/>
    <w:rsid w:val="004D1ADE"/>
    <w:rsid w:val="004D30B6"/>
    <w:rsid w:val="004D4F5A"/>
    <w:rsid w:val="004D770C"/>
    <w:rsid w:val="004E0D21"/>
    <w:rsid w:val="004E370E"/>
    <w:rsid w:val="004E7102"/>
    <w:rsid w:val="004E7865"/>
    <w:rsid w:val="004E7EAE"/>
    <w:rsid w:val="004F4387"/>
    <w:rsid w:val="00505486"/>
    <w:rsid w:val="00510BF5"/>
    <w:rsid w:val="00510EDC"/>
    <w:rsid w:val="00513233"/>
    <w:rsid w:val="00513D37"/>
    <w:rsid w:val="00521BA7"/>
    <w:rsid w:val="005252E2"/>
    <w:rsid w:val="00526ADF"/>
    <w:rsid w:val="00530339"/>
    <w:rsid w:val="0053212E"/>
    <w:rsid w:val="00534840"/>
    <w:rsid w:val="005379AD"/>
    <w:rsid w:val="005411A6"/>
    <w:rsid w:val="0054404F"/>
    <w:rsid w:val="005507E4"/>
    <w:rsid w:val="00551178"/>
    <w:rsid w:val="005511D5"/>
    <w:rsid w:val="00561C9D"/>
    <w:rsid w:val="005678B1"/>
    <w:rsid w:val="00571401"/>
    <w:rsid w:val="00571405"/>
    <w:rsid w:val="005730CE"/>
    <w:rsid w:val="00575DC6"/>
    <w:rsid w:val="00576A2B"/>
    <w:rsid w:val="005813EA"/>
    <w:rsid w:val="005820AB"/>
    <w:rsid w:val="005848F0"/>
    <w:rsid w:val="00585FB5"/>
    <w:rsid w:val="00590EE1"/>
    <w:rsid w:val="00591586"/>
    <w:rsid w:val="00592DB1"/>
    <w:rsid w:val="00595363"/>
    <w:rsid w:val="00595A2B"/>
    <w:rsid w:val="005A17D2"/>
    <w:rsid w:val="005A2781"/>
    <w:rsid w:val="005A5E4A"/>
    <w:rsid w:val="005B0BD3"/>
    <w:rsid w:val="005B7357"/>
    <w:rsid w:val="005C38A3"/>
    <w:rsid w:val="005C5B7C"/>
    <w:rsid w:val="005C673B"/>
    <w:rsid w:val="005D1BCC"/>
    <w:rsid w:val="005E247C"/>
    <w:rsid w:val="005F0964"/>
    <w:rsid w:val="005F12C4"/>
    <w:rsid w:val="005F3286"/>
    <w:rsid w:val="005F40FC"/>
    <w:rsid w:val="005F5D19"/>
    <w:rsid w:val="005F621E"/>
    <w:rsid w:val="005F6CBF"/>
    <w:rsid w:val="00603998"/>
    <w:rsid w:val="00612D14"/>
    <w:rsid w:val="006135E6"/>
    <w:rsid w:val="0061552D"/>
    <w:rsid w:val="0061786E"/>
    <w:rsid w:val="00622300"/>
    <w:rsid w:val="00624450"/>
    <w:rsid w:val="00632E10"/>
    <w:rsid w:val="00632EA5"/>
    <w:rsid w:val="00635CBC"/>
    <w:rsid w:val="00637F5E"/>
    <w:rsid w:val="006426D6"/>
    <w:rsid w:val="00644F52"/>
    <w:rsid w:val="00651F90"/>
    <w:rsid w:val="0065701C"/>
    <w:rsid w:val="006604A6"/>
    <w:rsid w:val="00662792"/>
    <w:rsid w:val="0066447D"/>
    <w:rsid w:val="00667868"/>
    <w:rsid w:val="00671B54"/>
    <w:rsid w:val="00673DB8"/>
    <w:rsid w:val="0067464B"/>
    <w:rsid w:val="00675BFE"/>
    <w:rsid w:val="006818B6"/>
    <w:rsid w:val="006824B8"/>
    <w:rsid w:val="0068288E"/>
    <w:rsid w:val="006843B8"/>
    <w:rsid w:val="006852EB"/>
    <w:rsid w:val="00692ABF"/>
    <w:rsid w:val="00692C79"/>
    <w:rsid w:val="00694209"/>
    <w:rsid w:val="00697718"/>
    <w:rsid w:val="00697A99"/>
    <w:rsid w:val="006A1226"/>
    <w:rsid w:val="006A172E"/>
    <w:rsid w:val="006A3329"/>
    <w:rsid w:val="006A7743"/>
    <w:rsid w:val="006B0A48"/>
    <w:rsid w:val="006B0D19"/>
    <w:rsid w:val="006B150B"/>
    <w:rsid w:val="006B1785"/>
    <w:rsid w:val="006B317D"/>
    <w:rsid w:val="006B4C5D"/>
    <w:rsid w:val="006B6C6A"/>
    <w:rsid w:val="006B7F25"/>
    <w:rsid w:val="006B7F67"/>
    <w:rsid w:val="006C15D5"/>
    <w:rsid w:val="006C1C02"/>
    <w:rsid w:val="006C234F"/>
    <w:rsid w:val="006C2D0C"/>
    <w:rsid w:val="006C3D0C"/>
    <w:rsid w:val="006C512E"/>
    <w:rsid w:val="006C5955"/>
    <w:rsid w:val="006C7147"/>
    <w:rsid w:val="006D138D"/>
    <w:rsid w:val="006D3624"/>
    <w:rsid w:val="006D39A8"/>
    <w:rsid w:val="006D519D"/>
    <w:rsid w:val="006E34D4"/>
    <w:rsid w:val="006E4EE7"/>
    <w:rsid w:val="006E65C2"/>
    <w:rsid w:val="006F31BC"/>
    <w:rsid w:val="006F3802"/>
    <w:rsid w:val="006F39D0"/>
    <w:rsid w:val="006F6D21"/>
    <w:rsid w:val="006F7746"/>
    <w:rsid w:val="0070505A"/>
    <w:rsid w:val="0070582B"/>
    <w:rsid w:val="00711157"/>
    <w:rsid w:val="00712DC2"/>
    <w:rsid w:val="00713588"/>
    <w:rsid w:val="00714800"/>
    <w:rsid w:val="00714E42"/>
    <w:rsid w:val="00715B7E"/>
    <w:rsid w:val="00720243"/>
    <w:rsid w:val="0072152F"/>
    <w:rsid w:val="00721C21"/>
    <w:rsid w:val="007229FD"/>
    <w:rsid w:val="00727166"/>
    <w:rsid w:val="00730CDB"/>
    <w:rsid w:val="007323E9"/>
    <w:rsid w:val="00736945"/>
    <w:rsid w:val="00736C89"/>
    <w:rsid w:val="00741965"/>
    <w:rsid w:val="0074421C"/>
    <w:rsid w:val="00745744"/>
    <w:rsid w:val="00745A21"/>
    <w:rsid w:val="00747BC2"/>
    <w:rsid w:val="0075032A"/>
    <w:rsid w:val="00750C12"/>
    <w:rsid w:val="00754433"/>
    <w:rsid w:val="00755335"/>
    <w:rsid w:val="007564C1"/>
    <w:rsid w:val="00762F5B"/>
    <w:rsid w:val="00763652"/>
    <w:rsid w:val="00764BF7"/>
    <w:rsid w:val="007650D8"/>
    <w:rsid w:val="00766030"/>
    <w:rsid w:val="00770D7D"/>
    <w:rsid w:val="00772497"/>
    <w:rsid w:val="007754C3"/>
    <w:rsid w:val="007768FE"/>
    <w:rsid w:val="007800B9"/>
    <w:rsid w:val="007809E1"/>
    <w:rsid w:val="007832C9"/>
    <w:rsid w:val="007902C3"/>
    <w:rsid w:val="00790BB8"/>
    <w:rsid w:val="00791377"/>
    <w:rsid w:val="00793178"/>
    <w:rsid w:val="00795C86"/>
    <w:rsid w:val="007963D6"/>
    <w:rsid w:val="0079772E"/>
    <w:rsid w:val="007A45E7"/>
    <w:rsid w:val="007B0439"/>
    <w:rsid w:val="007B4AAA"/>
    <w:rsid w:val="007C33E7"/>
    <w:rsid w:val="007C4A15"/>
    <w:rsid w:val="007C5F53"/>
    <w:rsid w:val="007C6894"/>
    <w:rsid w:val="007D3B8C"/>
    <w:rsid w:val="007D62C7"/>
    <w:rsid w:val="007E001D"/>
    <w:rsid w:val="007E34D1"/>
    <w:rsid w:val="007E4E96"/>
    <w:rsid w:val="007F5F0C"/>
    <w:rsid w:val="007F7AC6"/>
    <w:rsid w:val="007F7C00"/>
    <w:rsid w:val="00803061"/>
    <w:rsid w:val="008057D4"/>
    <w:rsid w:val="00807EEE"/>
    <w:rsid w:val="008103E9"/>
    <w:rsid w:val="00811233"/>
    <w:rsid w:val="008135F4"/>
    <w:rsid w:val="00813893"/>
    <w:rsid w:val="0082266E"/>
    <w:rsid w:val="008234E2"/>
    <w:rsid w:val="00824361"/>
    <w:rsid w:val="00824E06"/>
    <w:rsid w:val="00825FD3"/>
    <w:rsid w:val="0083146F"/>
    <w:rsid w:val="00831FE9"/>
    <w:rsid w:val="008327EE"/>
    <w:rsid w:val="00832BAE"/>
    <w:rsid w:val="00833F8E"/>
    <w:rsid w:val="0083539E"/>
    <w:rsid w:val="00836E71"/>
    <w:rsid w:val="00837EBE"/>
    <w:rsid w:val="008417D3"/>
    <w:rsid w:val="00841F3C"/>
    <w:rsid w:val="00842E74"/>
    <w:rsid w:val="00843BE5"/>
    <w:rsid w:val="00843C86"/>
    <w:rsid w:val="008535C9"/>
    <w:rsid w:val="00856B64"/>
    <w:rsid w:val="00857F7D"/>
    <w:rsid w:val="00860A39"/>
    <w:rsid w:val="0086177D"/>
    <w:rsid w:val="00862463"/>
    <w:rsid w:val="00863DD9"/>
    <w:rsid w:val="00865960"/>
    <w:rsid w:val="00866446"/>
    <w:rsid w:val="0086741B"/>
    <w:rsid w:val="008709D9"/>
    <w:rsid w:val="00871568"/>
    <w:rsid w:val="00872D25"/>
    <w:rsid w:val="00874193"/>
    <w:rsid w:val="00880963"/>
    <w:rsid w:val="00881742"/>
    <w:rsid w:val="00881CD2"/>
    <w:rsid w:val="00886E66"/>
    <w:rsid w:val="00886F29"/>
    <w:rsid w:val="008917A3"/>
    <w:rsid w:val="00891A49"/>
    <w:rsid w:val="0089646B"/>
    <w:rsid w:val="00897DAB"/>
    <w:rsid w:val="008A0633"/>
    <w:rsid w:val="008A3386"/>
    <w:rsid w:val="008A53F2"/>
    <w:rsid w:val="008A5B87"/>
    <w:rsid w:val="008A638F"/>
    <w:rsid w:val="008B09B1"/>
    <w:rsid w:val="008B10A9"/>
    <w:rsid w:val="008B6430"/>
    <w:rsid w:val="008C24B6"/>
    <w:rsid w:val="008C487C"/>
    <w:rsid w:val="008C4C28"/>
    <w:rsid w:val="008D028F"/>
    <w:rsid w:val="008D1BE3"/>
    <w:rsid w:val="008D3473"/>
    <w:rsid w:val="008D575A"/>
    <w:rsid w:val="008E0FCC"/>
    <w:rsid w:val="008E2FE3"/>
    <w:rsid w:val="008E3E54"/>
    <w:rsid w:val="008E5698"/>
    <w:rsid w:val="008E5F34"/>
    <w:rsid w:val="008E6D51"/>
    <w:rsid w:val="008E7D3F"/>
    <w:rsid w:val="008F00CF"/>
    <w:rsid w:val="008F2267"/>
    <w:rsid w:val="008F3EE2"/>
    <w:rsid w:val="008F3EEF"/>
    <w:rsid w:val="008F57E8"/>
    <w:rsid w:val="008F5D4C"/>
    <w:rsid w:val="008F67FD"/>
    <w:rsid w:val="008F70DA"/>
    <w:rsid w:val="00905A7E"/>
    <w:rsid w:val="00905B18"/>
    <w:rsid w:val="00905B2F"/>
    <w:rsid w:val="00916FF3"/>
    <w:rsid w:val="009216CB"/>
    <w:rsid w:val="009231E0"/>
    <w:rsid w:val="00923548"/>
    <w:rsid w:val="00923B70"/>
    <w:rsid w:val="00925293"/>
    <w:rsid w:val="00930B6C"/>
    <w:rsid w:val="00930E4B"/>
    <w:rsid w:val="0093183A"/>
    <w:rsid w:val="0094508D"/>
    <w:rsid w:val="009464CF"/>
    <w:rsid w:val="00946E85"/>
    <w:rsid w:val="009506A7"/>
    <w:rsid w:val="0095113A"/>
    <w:rsid w:val="0095227F"/>
    <w:rsid w:val="009525A4"/>
    <w:rsid w:val="00954CF5"/>
    <w:rsid w:val="0096646C"/>
    <w:rsid w:val="00967230"/>
    <w:rsid w:val="00971A45"/>
    <w:rsid w:val="00972087"/>
    <w:rsid w:val="00972C13"/>
    <w:rsid w:val="0097456D"/>
    <w:rsid w:val="00974A47"/>
    <w:rsid w:val="00977F64"/>
    <w:rsid w:val="009812D7"/>
    <w:rsid w:val="00982E99"/>
    <w:rsid w:val="00984C24"/>
    <w:rsid w:val="00994004"/>
    <w:rsid w:val="009947D1"/>
    <w:rsid w:val="009954A2"/>
    <w:rsid w:val="009A5714"/>
    <w:rsid w:val="009A5D1C"/>
    <w:rsid w:val="009A5DA7"/>
    <w:rsid w:val="009B1AEC"/>
    <w:rsid w:val="009B3856"/>
    <w:rsid w:val="009B7329"/>
    <w:rsid w:val="009C1B05"/>
    <w:rsid w:val="009C2526"/>
    <w:rsid w:val="009C27A9"/>
    <w:rsid w:val="009C3B7D"/>
    <w:rsid w:val="009D013C"/>
    <w:rsid w:val="009D16ED"/>
    <w:rsid w:val="009D1D57"/>
    <w:rsid w:val="009D4F8F"/>
    <w:rsid w:val="009E0970"/>
    <w:rsid w:val="009E2544"/>
    <w:rsid w:val="009E2770"/>
    <w:rsid w:val="009E2E78"/>
    <w:rsid w:val="009E4710"/>
    <w:rsid w:val="009E4A43"/>
    <w:rsid w:val="009F2261"/>
    <w:rsid w:val="009F3537"/>
    <w:rsid w:val="009F6ADC"/>
    <w:rsid w:val="009F78A4"/>
    <w:rsid w:val="00A032F8"/>
    <w:rsid w:val="00A10347"/>
    <w:rsid w:val="00A12342"/>
    <w:rsid w:val="00A158AB"/>
    <w:rsid w:val="00A16E12"/>
    <w:rsid w:val="00A22E15"/>
    <w:rsid w:val="00A25657"/>
    <w:rsid w:val="00A270A1"/>
    <w:rsid w:val="00A329B6"/>
    <w:rsid w:val="00A3339A"/>
    <w:rsid w:val="00A367A1"/>
    <w:rsid w:val="00A40178"/>
    <w:rsid w:val="00A415D2"/>
    <w:rsid w:val="00A459B3"/>
    <w:rsid w:val="00A460BA"/>
    <w:rsid w:val="00A510F6"/>
    <w:rsid w:val="00A54828"/>
    <w:rsid w:val="00A57F74"/>
    <w:rsid w:val="00A651C9"/>
    <w:rsid w:val="00A67586"/>
    <w:rsid w:val="00A67D0F"/>
    <w:rsid w:val="00A70E2D"/>
    <w:rsid w:val="00A73161"/>
    <w:rsid w:val="00A740E7"/>
    <w:rsid w:val="00A80739"/>
    <w:rsid w:val="00A810AF"/>
    <w:rsid w:val="00A83829"/>
    <w:rsid w:val="00A84A92"/>
    <w:rsid w:val="00A862C0"/>
    <w:rsid w:val="00A87EE1"/>
    <w:rsid w:val="00A91A20"/>
    <w:rsid w:val="00A9229F"/>
    <w:rsid w:val="00A93829"/>
    <w:rsid w:val="00A95100"/>
    <w:rsid w:val="00A97133"/>
    <w:rsid w:val="00AA0652"/>
    <w:rsid w:val="00AA0C58"/>
    <w:rsid w:val="00AA2A39"/>
    <w:rsid w:val="00AA2C16"/>
    <w:rsid w:val="00AA615B"/>
    <w:rsid w:val="00AA6272"/>
    <w:rsid w:val="00AA7B10"/>
    <w:rsid w:val="00AB0DED"/>
    <w:rsid w:val="00AB14AB"/>
    <w:rsid w:val="00AB2DB6"/>
    <w:rsid w:val="00AC0C81"/>
    <w:rsid w:val="00AC1B48"/>
    <w:rsid w:val="00AC29D6"/>
    <w:rsid w:val="00AC43E7"/>
    <w:rsid w:val="00AC6C43"/>
    <w:rsid w:val="00AD0298"/>
    <w:rsid w:val="00AD1E1B"/>
    <w:rsid w:val="00AD54C3"/>
    <w:rsid w:val="00AD7725"/>
    <w:rsid w:val="00AE0522"/>
    <w:rsid w:val="00AE0739"/>
    <w:rsid w:val="00AE1E73"/>
    <w:rsid w:val="00AE4FF6"/>
    <w:rsid w:val="00AE668A"/>
    <w:rsid w:val="00AE6858"/>
    <w:rsid w:val="00AE74D6"/>
    <w:rsid w:val="00AE7EF0"/>
    <w:rsid w:val="00AF1DE4"/>
    <w:rsid w:val="00AF2EFF"/>
    <w:rsid w:val="00AF5C62"/>
    <w:rsid w:val="00AF643C"/>
    <w:rsid w:val="00AF6B2F"/>
    <w:rsid w:val="00AF7270"/>
    <w:rsid w:val="00AF727E"/>
    <w:rsid w:val="00B0668C"/>
    <w:rsid w:val="00B13AE9"/>
    <w:rsid w:val="00B14450"/>
    <w:rsid w:val="00B17B4C"/>
    <w:rsid w:val="00B17BC5"/>
    <w:rsid w:val="00B20582"/>
    <w:rsid w:val="00B2158C"/>
    <w:rsid w:val="00B217CA"/>
    <w:rsid w:val="00B21B0B"/>
    <w:rsid w:val="00B24E57"/>
    <w:rsid w:val="00B30D96"/>
    <w:rsid w:val="00B349B5"/>
    <w:rsid w:val="00B5123E"/>
    <w:rsid w:val="00B522C4"/>
    <w:rsid w:val="00B52B0E"/>
    <w:rsid w:val="00B5337D"/>
    <w:rsid w:val="00B605CB"/>
    <w:rsid w:val="00B62BEA"/>
    <w:rsid w:val="00B64B90"/>
    <w:rsid w:val="00B65290"/>
    <w:rsid w:val="00B66EF2"/>
    <w:rsid w:val="00B70E26"/>
    <w:rsid w:val="00B77F27"/>
    <w:rsid w:val="00B86CB5"/>
    <w:rsid w:val="00B8745F"/>
    <w:rsid w:val="00B90754"/>
    <w:rsid w:val="00B936F7"/>
    <w:rsid w:val="00B9572C"/>
    <w:rsid w:val="00B9782C"/>
    <w:rsid w:val="00B97D95"/>
    <w:rsid w:val="00B97E3C"/>
    <w:rsid w:val="00BA2BFE"/>
    <w:rsid w:val="00BA6C5D"/>
    <w:rsid w:val="00BA7E78"/>
    <w:rsid w:val="00BB0833"/>
    <w:rsid w:val="00BB0EA7"/>
    <w:rsid w:val="00BB4CDF"/>
    <w:rsid w:val="00BB595B"/>
    <w:rsid w:val="00BB59F9"/>
    <w:rsid w:val="00BC15B8"/>
    <w:rsid w:val="00BC48BA"/>
    <w:rsid w:val="00BC5279"/>
    <w:rsid w:val="00BC6C4E"/>
    <w:rsid w:val="00BC780C"/>
    <w:rsid w:val="00BC7B6A"/>
    <w:rsid w:val="00BD0EAC"/>
    <w:rsid w:val="00BD2A28"/>
    <w:rsid w:val="00BD31AB"/>
    <w:rsid w:val="00BD58A7"/>
    <w:rsid w:val="00BD6EE4"/>
    <w:rsid w:val="00BE1E33"/>
    <w:rsid w:val="00BE2AD3"/>
    <w:rsid w:val="00BE36F7"/>
    <w:rsid w:val="00BE4A69"/>
    <w:rsid w:val="00BF2443"/>
    <w:rsid w:val="00C03771"/>
    <w:rsid w:val="00C06107"/>
    <w:rsid w:val="00C07755"/>
    <w:rsid w:val="00C07B5E"/>
    <w:rsid w:val="00C10D3E"/>
    <w:rsid w:val="00C10DE8"/>
    <w:rsid w:val="00C12201"/>
    <w:rsid w:val="00C12AD2"/>
    <w:rsid w:val="00C1405A"/>
    <w:rsid w:val="00C14F61"/>
    <w:rsid w:val="00C17FFE"/>
    <w:rsid w:val="00C31412"/>
    <w:rsid w:val="00C35780"/>
    <w:rsid w:val="00C36534"/>
    <w:rsid w:val="00C365AF"/>
    <w:rsid w:val="00C42740"/>
    <w:rsid w:val="00C42E80"/>
    <w:rsid w:val="00C4526C"/>
    <w:rsid w:val="00C50B1B"/>
    <w:rsid w:val="00C50C99"/>
    <w:rsid w:val="00C52801"/>
    <w:rsid w:val="00C53A59"/>
    <w:rsid w:val="00C54FDF"/>
    <w:rsid w:val="00C567BA"/>
    <w:rsid w:val="00C60C0C"/>
    <w:rsid w:val="00C61C54"/>
    <w:rsid w:val="00C6210F"/>
    <w:rsid w:val="00C745C6"/>
    <w:rsid w:val="00C750BA"/>
    <w:rsid w:val="00C7706E"/>
    <w:rsid w:val="00C8232B"/>
    <w:rsid w:val="00C826EF"/>
    <w:rsid w:val="00C8442D"/>
    <w:rsid w:val="00C917A1"/>
    <w:rsid w:val="00C930F3"/>
    <w:rsid w:val="00C9590A"/>
    <w:rsid w:val="00C95AC9"/>
    <w:rsid w:val="00C964DE"/>
    <w:rsid w:val="00C96F18"/>
    <w:rsid w:val="00CA1BBB"/>
    <w:rsid w:val="00CA4545"/>
    <w:rsid w:val="00CA51AC"/>
    <w:rsid w:val="00CA53A0"/>
    <w:rsid w:val="00CA5790"/>
    <w:rsid w:val="00CA634C"/>
    <w:rsid w:val="00CA652B"/>
    <w:rsid w:val="00CA7BFF"/>
    <w:rsid w:val="00CB14DE"/>
    <w:rsid w:val="00CB1CDD"/>
    <w:rsid w:val="00CB277A"/>
    <w:rsid w:val="00CB36F3"/>
    <w:rsid w:val="00CB76CD"/>
    <w:rsid w:val="00CC06A1"/>
    <w:rsid w:val="00CC0C56"/>
    <w:rsid w:val="00CC11B6"/>
    <w:rsid w:val="00CC4245"/>
    <w:rsid w:val="00CD23FE"/>
    <w:rsid w:val="00CD2948"/>
    <w:rsid w:val="00CD2D5E"/>
    <w:rsid w:val="00CD4E45"/>
    <w:rsid w:val="00CE35D5"/>
    <w:rsid w:val="00CE36C4"/>
    <w:rsid w:val="00CE6683"/>
    <w:rsid w:val="00CF326B"/>
    <w:rsid w:val="00CF5E23"/>
    <w:rsid w:val="00D007F7"/>
    <w:rsid w:val="00D0300E"/>
    <w:rsid w:val="00D0763E"/>
    <w:rsid w:val="00D12644"/>
    <w:rsid w:val="00D134CC"/>
    <w:rsid w:val="00D14C1E"/>
    <w:rsid w:val="00D243E8"/>
    <w:rsid w:val="00D244DC"/>
    <w:rsid w:val="00D24682"/>
    <w:rsid w:val="00D24F06"/>
    <w:rsid w:val="00D25AEF"/>
    <w:rsid w:val="00D31785"/>
    <w:rsid w:val="00D349EE"/>
    <w:rsid w:val="00D3509A"/>
    <w:rsid w:val="00D35298"/>
    <w:rsid w:val="00D35651"/>
    <w:rsid w:val="00D36296"/>
    <w:rsid w:val="00D36DC3"/>
    <w:rsid w:val="00D418AD"/>
    <w:rsid w:val="00D425FB"/>
    <w:rsid w:val="00D4266C"/>
    <w:rsid w:val="00D44227"/>
    <w:rsid w:val="00D46629"/>
    <w:rsid w:val="00D527DA"/>
    <w:rsid w:val="00D56D47"/>
    <w:rsid w:val="00D56DE7"/>
    <w:rsid w:val="00D57835"/>
    <w:rsid w:val="00D655FB"/>
    <w:rsid w:val="00D660A3"/>
    <w:rsid w:val="00D70FB4"/>
    <w:rsid w:val="00D724F9"/>
    <w:rsid w:val="00D73854"/>
    <w:rsid w:val="00D73A38"/>
    <w:rsid w:val="00D73F1F"/>
    <w:rsid w:val="00D74A1C"/>
    <w:rsid w:val="00D815C1"/>
    <w:rsid w:val="00D82E7D"/>
    <w:rsid w:val="00D84C48"/>
    <w:rsid w:val="00D85C85"/>
    <w:rsid w:val="00D85E33"/>
    <w:rsid w:val="00D866EC"/>
    <w:rsid w:val="00D9096A"/>
    <w:rsid w:val="00D92F6C"/>
    <w:rsid w:val="00D95879"/>
    <w:rsid w:val="00D97A6B"/>
    <w:rsid w:val="00DA2FA3"/>
    <w:rsid w:val="00DA3760"/>
    <w:rsid w:val="00DA7875"/>
    <w:rsid w:val="00DB0AD7"/>
    <w:rsid w:val="00DB751D"/>
    <w:rsid w:val="00DC09BD"/>
    <w:rsid w:val="00DC679E"/>
    <w:rsid w:val="00DD0E98"/>
    <w:rsid w:val="00DD14BC"/>
    <w:rsid w:val="00DD359C"/>
    <w:rsid w:val="00DE1C73"/>
    <w:rsid w:val="00DE3F87"/>
    <w:rsid w:val="00DE64DE"/>
    <w:rsid w:val="00DE73B4"/>
    <w:rsid w:val="00DE787B"/>
    <w:rsid w:val="00DE7AB4"/>
    <w:rsid w:val="00DF003F"/>
    <w:rsid w:val="00DF4D86"/>
    <w:rsid w:val="00DF63E3"/>
    <w:rsid w:val="00DF6B09"/>
    <w:rsid w:val="00E00B41"/>
    <w:rsid w:val="00E01D84"/>
    <w:rsid w:val="00E048AB"/>
    <w:rsid w:val="00E104CD"/>
    <w:rsid w:val="00E10E8B"/>
    <w:rsid w:val="00E111AA"/>
    <w:rsid w:val="00E137BB"/>
    <w:rsid w:val="00E1447B"/>
    <w:rsid w:val="00E16FB9"/>
    <w:rsid w:val="00E172B2"/>
    <w:rsid w:val="00E20266"/>
    <w:rsid w:val="00E235DD"/>
    <w:rsid w:val="00E261CD"/>
    <w:rsid w:val="00E267B8"/>
    <w:rsid w:val="00E26EF5"/>
    <w:rsid w:val="00E3199C"/>
    <w:rsid w:val="00E41E74"/>
    <w:rsid w:val="00E42D0B"/>
    <w:rsid w:val="00E441BF"/>
    <w:rsid w:val="00E47270"/>
    <w:rsid w:val="00E56980"/>
    <w:rsid w:val="00E56B59"/>
    <w:rsid w:val="00E62D29"/>
    <w:rsid w:val="00E64988"/>
    <w:rsid w:val="00E64A38"/>
    <w:rsid w:val="00E666D5"/>
    <w:rsid w:val="00E719F6"/>
    <w:rsid w:val="00E7345E"/>
    <w:rsid w:val="00E756AC"/>
    <w:rsid w:val="00E8168D"/>
    <w:rsid w:val="00E8381A"/>
    <w:rsid w:val="00E862D2"/>
    <w:rsid w:val="00E86875"/>
    <w:rsid w:val="00E87596"/>
    <w:rsid w:val="00E87794"/>
    <w:rsid w:val="00E96422"/>
    <w:rsid w:val="00E97B21"/>
    <w:rsid w:val="00EA2E17"/>
    <w:rsid w:val="00EA4B35"/>
    <w:rsid w:val="00EA5A59"/>
    <w:rsid w:val="00EA62F1"/>
    <w:rsid w:val="00EB0CE8"/>
    <w:rsid w:val="00EB1CF3"/>
    <w:rsid w:val="00EB34B2"/>
    <w:rsid w:val="00EB3D8F"/>
    <w:rsid w:val="00EB4953"/>
    <w:rsid w:val="00EC54F2"/>
    <w:rsid w:val="00EC558F"/>
    <w:rsid w:val="00EC5C96"/>
    <w:rsid w:val="00EC71BC"/>
    <w:rsid w:val="00ED0FE3"/>
    <w:rsid w:val="00ED1029"/>
    <w:rsid w:val="00ED277E"/>
    <w:rsid w:val="00ED3F7E"/>
    <w:rsid w:val="00ED4715"/>
    <w:rsid w:val="00ED6605"/>
    <w:rsid w:val="00ED7ACF"/>
    <w:rsid w:val="00EE3B97"/>
    <w:rsid w:val="00EE40D5"/>
    <w:rsid w:val="00EF2CA6"/>
    <w:rsid w:val="00EF567A"/>
    <w:rsid w:val="00F02034"/>
    <w:rsid w:val="00F06A6A"/>
    <w:rsid w:val="00F0790C"/>
    <w:rsid w:val="00F117B1"/>
    <w:rsid w:val="00F1263B"/>
    <w:rsid w:val="00F134F9"/>
    <w:rsid w:val="00F2461C"/>
    <w:rsid w:val="00F24C62"/>
    <w:rsid w:val="00F24FC8"/>
    <w:rsid w:val="00F26348"/>
    <w:rsid w:val="00F32107"/>
    <w:rsid w:val="00F331F0"/>
    <w:rsid w:val="00F34138"/>
    <w:rsid w:val="00F35E57"/>
    <w:rsid w:val="00F36959"/>
    <w:rsid w:val="00F36A41"/>
    <w:rsid w:val="00F44566"/>
    <w:rsid w:val="00F47FCE"/>
    <w:rsid w:val="00F501D2"/>
    <w:rsid w:val="00F5266F"/>
    <w:rsid w:val="00F52BC9"/>
    <w:rsid w:val="00F52EAE"/>
    <w:rsid w:val="00F557C0"/>
    <w:rsid w:val="00F56447"/>
    <w:rsid w:val="00F61A04"/>
    <w:rsid w:val="00F64055"/>
    <w:rsid w:val="00F649E4"/>
    <w:rsid w:val="00F6564C"/>
    <w:rsid w:val="00F710C6"/>
    <w:rsid w:val="00F722BD"/>
    <w:rsid w:val="00F72873"/>
    <w:rsid w:val="00F73620"/>
    <w:rsid w:val="00F758ED"/>
    <w:rsid w:val="00F862D1"/>
    <w:rsid w:val="00F86B27"/>
    <w:rsid w:val="00F91632"/>
    <w:rsid w:val="00F91CF0"/>
    <w:rsid w:val="00F9481A"/>
    <w:rsid w:val="00F94C89"/>
    <w:rsid w:val="00F956D1"/>
    <w:rsid w:val="00F9687F"/>
    <w:rsid w:val="00F97F15"/>
    <w:rsid w:val="00FA08DE"/>
    <w:rsid w:val="00FA1260"/>
    <w:rsid w:val="00FA6089"/>
    <w:rsid w:val="00FB1251"/>
    <w:rsid w:val="00FB328E"/>
    <w:rsid w:val="00FB3430"/>
    <w:rsid w:val="00FB5E18"/>
    <w:rsid w:val="00FC2626"/>
    <w:rsid w:val="00FC5C3C"/>
    <w:rsid w:val="00FC755D"/>
    <w:rsid w:val="00FD3922"/>
    <w:rsid w:val="00FD6452"/>
    <w:rsid w:val="00FD6AFB"/>
    <w:rsid w:val="00FE4260"/>
    <w:rsid w:val="00FF004D"/>
    <w:rsid w:val="00FF0A4E"/>
    <w:rsid w:val="00FF12D6"/>
    <w:rsid w:val="00FF14A6"/>
    <w:rsid w:val="00FF3F9C"/>
    <w:rsid w:val="50BE2925"/>
    <w:rsid w:val="5F5C5A6B"/>
    <w:rsid w:val="683EFD59"/>
    <w:rsid w:val="71E97224"/>
    <w:rsid w:val="726245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E1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semiHidden/>
    <w:unhideWhenUsed/>
    <w:rsid w:val="00075227"/>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195243">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768885321">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44F08C-2089-4F3F-8BCA-794157DD314E}">
  <ds:schemaRefs>
    <ds:schemaRef ds:uri="http://schemas.openxmlformats.org/officeDocument/2006/bibliography"/>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7753</Words>
  <Characters>42642</Characters>
  <Application>Microsoft Office Word</Application>
  <DocSecurity>0</DocSecurity>
  <Lines>355</Lines>
  <Paragraphs>100</Paragraphs>
  <ScaleCrop>false</ScaleCrop>
  <Company/>
  <LinksUpToDate>false</LinksUpToDate>
  <CharactersWithSpaces>50295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704</cp:revision>
  <cp:lastPrinted>2020-03-17T17:42:00Z</cp:lastPrinted>
  <dcterms:created xsi:type="dcterms:W3CDTF">2020-03-17T17:21:00Z</dcterms:created>
  <dcterms:modified xsi:type="dcterms:W3CDTF">2020-08-10T18:33:00Z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