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CB195" w14:textId="77777777" w:rsidR="008B6D0B" w:rsidRPr="00B1462D" w:rsidRDefault="008B6D0B" w:rsidP="008B6D0B">
      <w:pPr>
        <w:spacing w:after="0"/>
        <w:jc w:val="both"/>
        <w:rPr>
          <w:rFonts w:ascii="Verdana" w:eastAsia="Calibri" w:hAnsi="Verdana" w:cs="Arial"/>
          <w:b/>
          <w:color w:val="000000"/>
        </w:rPr>
      </w:pPr>
      <w:bookmarkStart w:id="0" w:name="_Hlk143780582"/>
      <w:r w:rsidRPr="00B1462D">
        <w:rPr>
          <w:rFonts w:ascii="Verdana" w:eastAsia="Calibri" w:hAnsi="Verdana" w:cs="Arial"/>
          <w:b/>
          <w:color w:val="000000"/>
        </w:rPr>
        <w:t>PERSONAS EN CONDICIÓN DE DISCAPACIDAD – Incentivo Puntaje – Adicional – Normativa</w:t>
      </w:r>
    </w:p>
    <w:p w14:paraId="60C59A70" w14:textId="77777777" w:rsidR="008B6D0B" w:rsidRPr="00B1462D" w:rsidRDefault="008B6D0B" w:rsidP="008B6D0B">
      <w:pPr>
        <w:tabs>
          <w:tab w:val="left" w:pos="1816"/>
        </w:tabs>
        <w:spacing w:after="0"/>
        <w:jc w:val="both"/>
        <w:rPr>
          <w:rFonts w:ascii="Verdana" w:eastAsia="Calibri" w:hAnsi="Verdana" w:cs="Arial"/>
          <w:b/>
          <w:color w:val="000000"/>
        </w:rPr>
      </w:pPr>
      <w:r w:rsidRPr="00B1462D">
        <w:rPr>
          <w:rFonts w:ascii="Verdana" w:eastAsia="Calibri" w:hAnsi="Verdana" w:cs="Arial"/>
          <w:b/>
          <w:color w:val="000000"/>
        </w:rPr>
        <w:t xml:space="preserve"> </w:t>
      </w:r>
      <w:r w:rsidRPr="00B1462D">
        <w:rPr>
          <w:rFonts w:ascii="Verdana" w:eastAsia="Calibri" w:hAnsi="Verdana" w:cs="Arial"/>
          <w:b/>
          <w:color w:val="000000"/>
        </w:rPr>
        <w:tab/>
      </w:r>
      <w:r w:rsidRPr="00B1462D">
        <w:rPr>
          <w:rFonts w:ascii="Verdana" w:eastAsia="Calibri" w:hAnsi="Verdana" w:cs="Arial"/>
          <w:color w:val="000000"/>
        </w:rPr>
        <w:t xml:space="preserve"> </w:t>
      </w:r>
    </w:p>
    <w:p w14:paraId="17C29787" w14:textId="77777777" w:rsidR="008B6D0B" w:rsidRPr="00725BFC" w:rsidRDefault="008B6D0B" w:rsidP="008B6D0B">
      <w:pPr>
        <w:spacing w:after="0"/>
        <w:jc w:val="both"/>
        <w:rPr>
          <w:rFonts w:ascii="Verdana" w:eastAsia="Calibri" w:hAnsi="Verdana" w:cs="Arial"/>
          <w:bCs/>
          <w:sz w:val="20"/>
          <w:szCs w:val="20"/>
          <w:lang w:val="es-ES"/>
        </w:rPr>
      </w:pPr>
      <w:r w:rsidRPr="00725BFC">
        <w:rPr>
          <w:rFonts w:ascii="Verdana" w:eastAsia="Calibri" w:hAnsi="Verdana" w:cs="Arial"/>
          <w:color w:val="000000"/>
          <w:sz w:val="20"/>
          <w:szCs w:val="20"/>
        </w:rPr>
        <w:t xml:space="preserve">El Decreto 392 de 2018 […] prevé el deber de las entidades estatales de otorgar un puntaje adicional a los procesos de selección de contratistas en las modalidades de licitación pública y concurso de méritos, a quienes acrediten que al menos el diez por ciento (10%) de su nómina la integran personas en situación de </w:t>
      </w:r>
      <w:r w:rsidRPr="00725BFC">
        <w:rPr>
          <w:rFonts w:ascii="Verdana" w:eastAsia="Calibri" w:hAnsi="Verdana" w:cs="Arial"/>
          <w:bCs/>
          <w:sz w:val="20"/>
          <w:szCs w:val="20"/>
          <w:lang w:val="es-ES"/>
        </w:rPr>
        <w:t>discapacidad.</w:t>
      </w:r>
    </w:p>
    <w:p w14:paraId="1F3BCB8B" w14:textId="77777777" w:rsidR="008B6D0B" w:rsidRPr="00725BFC" w:rsidRDefault="008B6D0B" w:rsidP="008B6D0B">
      <w:pPr>
        <w:spacing w:after="0"/>
        <w:jc w:val="both"/>
        <w:rPr>
          <w:rFonts w:ascii="Verdana" w:eastAsia="Calibri" w:hAnsi="Verdana" w:cs="Arial"/>
          <w:color w:val="000000"/>
          <w:sz w:val="20"/>
          <w:szCs w:val="20"/>
        </w:rPr>
      </w:pPr>
      <w:r w:rsidRPr="00725BFC">
        <w:rPr>
          <w:rFonts w:ascii="Verdana" w:eastAsia="Calibri" w:hAnsi="Verdana" w:cs="Arial"/>
          <w:bCs/>
          <w:sz w:val="20"/>
          <w:szCs w:val="20"/>
          <w:lang w:val="es-ES"/>
        </w:rPr>
        <w:t>Conforme con lo anterior, el Decreto 1082 de 2015, en el artículo 2.2.1.2.4.6, adicionado por el Decreto 392 de 20</w:t>
      </w:r>
      <w:r w:rsidRPr="00725BFC">
        <w:rPr>
          <w:rFonts w:ascii="Verdana" w:eastAsia="Calibri" w:hAnsi="Verdana" w:cs="Arial"/>
          <w:color w:val="000000"/>
          <w:sz w:val="20"/>
          <w:szCs w:val="20"/>
        </w:rPr>
        <w:t xml:space="preserve">18, regula el puntaje adicional para proponentes con trabajadores con discapacidad. Dicho artículo establece que debe asignarse un uno por ciento (1%) adicional a los proponentes que acrediten la vinculación de trabajadores con discapacidad en los procesos de licitaciones públicas y concursos de méritos, de acuerdo con los requisitos previstos en el Decreto en mención. </w:t>
      </w:r>
    </w:p>
    <w:p w14:paraId="53FC617F" w14:textId="77777777" w:rsidR="008B6D0B" w:rsidRPr="00B1462D" w:rsidRDefault="008B6D0B" w:rsidP="008B6D0B">
      <w:pPr>
        <w:spacing w:after="0"/>
        <w:jc w:val="both"/>
        <w:rPr>
          <w:rFonts w:ascii="Verdana" w:eastAsia="Calibri" w:hAnsi="Verdana" w:cs="Arial"/>
          <w:b/>
        </w:rPr>
      </w:pPr>
    </w:p>
    <w:p w14:paraId="1435225A" w14:textId="77777777" w:rsidR="008B6D0B" w:rsidRPr="00B1462D" w:rsidRDefault="008B6D0B" w:rsidP="008B6D0B">
      <w:pPr>
        <w:spacing w:after="0"/>
        <w:jc w:val="both"/>
        <w:rPr>
          <w:rFonts w:ascii="Verdana" w:eastAsia="Calibri" w:hAnsi="Verdana" w:cs="Arial"/>
          <w:lang w:val="es-ES"/>
        </w:rPr>
      </w:pPr>
      <w:r w:rsidRPr="00B1462D">
        <w:rPr>
          <w:rFonts w:ascii="Verdana" w:eastAsia="Calibri" w:hAnsi="Verdana" w:cs="Arial"/>
          <w:b/>
        </w:rPr>
        <w:t xml:space="preserve">PERSONAS EN CONDICIÓN DE DISCAPACIDAD – Proponentes plurales – Regla </w:t>
      </w:r>
    </w:p>
    <w:p w14:paraId="557388AC" w14:textId="77777777" w:rsidR="008B6D0B" w:rsidRPr="00B1462D" w:rsidRDefault="008B6D0B" w:rsidP="008B6D0B">
      <w:pPr>
        <w:spacing w:after="0"/>
        <w:jc w:val="both"/>
        <w:rPr>
          <w:rFonts w:ascii="Verdana" w:eastAsia="Calibri" w:hAnsi="Verdana" w:cs="Arial"/>
        </w:rPr>
      </w:pPr>
      <w:r w:rsidRPr="00B1462D">
        <w:rPr>
          <w:rFonts w:ascii="Verdana" w:eastAsia="Calibri" w:hAnsi="Verdana" w:cs="Arial"/>
        </w:rPr>
        <w:t xml:space="preserve"> </w:t>
      </w:r>
    </w:p>
    <w:p w14:paraId="4C4F0E3E" w14:textId="77777777" w:rsidR="008B6D0B" w:rsidRPr="00725BFC" w:rsidRDefault="008B6D0B" w:rsidP="008B6D0B">
      <w:pPr>
        <w:spacing w:after="0"/>
        <w:jc w:val="both"/>
        <w:rPr>
          <w:rFonts w:ascii="Verdana" w:eastAsia="Calibri" w:hAnsi="Verdana" w:cs="Arial"/>
          <w:sz w:val="20"/>
          <w:szCs w:val="20"/>
        </w:rPr>
      </w:pPr>
      <w:r w:rsidRPr="00725BFC">
        <w:rPr>
          <w:rFonts w:ascii="Verdana" w:eastAsia="Calibri" w:hAnsi="Verdana" w:cs="Arial"/>
          <w:sz w:val="20"/>
          <w:szCs w:val="20"/>
        </w:rPr>
        <w:t>[…] la entidad estatal tendrá en cuenta la planta de personal del integrante del proponente plural que aporte como mínimo el cuarenta por ciento (40%) de la experiencia requerida en el proceso de contratación. Es decir, la expresión “tendrá en cuenta”, que señala la norma, implica que la verificación del cumplimiento de requisitos establecidos en el Decreto 392 de 2019 se realiza sobre el integrante de la estructura plural que aporte mínimo el cuarenta por ciento (40%) de la experiencia. En contraste, si el integrante que aporta este porcentaje no tiene vinculados trabajadores en condición de discapacidad, no podrá el consorcio o la unión temporal de que hace parte obtener puntaje por este criterio. Ello es así, aun cuando los demás integrantes que hayan aportado experiencia en un porcentaje inferior al cuarenta por ciento (40%) cuenten con trabajadores en condición de discapacidad.</w:t>
      </w:r>
    </w:p>
    <w:p w14:paraId="0FE23F9C" w14:textId="77777777" w:rsidR="008B6D0B" w:rsidRPr="00B1462D" w:rsidRDefault="008B6D0B" w:rsidP="008B6D0B">
      <w:pPr>
        <w:spacing w:after="0"/>
        <w:jc w:val="both"/>
        <w:rPr>
          <w:rFonts w:ascii="Verdana" w:eastAsia="Calibri" w:hAnsi="Verdana" w:cs="Arial"/>
        </w:rPr>
      </w:pPr>
    </w:p>
    <w:p w14:paraId="75AF0A67" w14:textId="77777777" w:rsidR="008B6D0B" w:rsidRPr="00B1462D" w:rsidRDefault="008B6D0B" w:rsidP="008B6D0B">
      <w:pPr>
        <w:shd w:val="clear" w:color="auto" w:fill="FFFFFF"/>
        <w:spacing w:after="0" w:line="240" w:lineRule="auto"/>
        <w:jc w:val="both"/>
        <w:rPr>
          <w:rFonts w:ascii="Arial" w:eastAsia="Times New Roman" w:hAnsi="Arial" w:cs="Arial"/>
          <w:b/>
          <w:color w:val="000000"/>
          <w:lang w:val="es-ES" w:eastAsia="es-ES_tradnl"/>
        </w:rPr>
      </w:pPr>
      <w:r w:rsidRPr="00B1462D">
        <w:rPr>
          <w:rFonts w:ascii="Arial" w:eastAsia="Times New Roman" w:hAnsi="Arial" w:cs="Arial"/>
          <w:b/>
          <w:color w:val="000000"/>
          <w:lang w:val="es-ES" w:eastAsia="es-ES_tradnl"/>
        </w:rPr>
        <w:t>PERSONAS EN CONDICIÓN DE DISCAPACIDAD – Vinculación – Proponente plural – Acreditación de experiencia</w:t>
      </w:r>
    </w:p>
    <w:p w14:paraId="572EFD3D" w14:textId="77777777" w:rsidR="008B6D0B" w:rsidRPr="00B1462D" w:rsidRDefault="008B6D0B" w:rsidP="008B6D0B">
      <w:pPr>
        <w:shd w:val="clear" w:color="auto" w:fill="FFFFFF"/>
        <w:spacing w:after="0" w:line="240" w:lineRule="auto"/>
        <w:jc w:val="both"/>
        <w:rPr>
          <w:rFonts w:ascii="Arial" w:eastAsia="Times New Roman" w:hAnsi="Arial" w:cs="Arial"/>
          <w:b/>
          <w:color w:val="000000"/>
          <w:lang w:val="es-ES" w:eastAsia="es-ES_tradnl"/>
        </w:rPr>
      </w:pPr>
    </w:p>
    <w:p w14:paraId="40B5F5AF" w14:textId="77777777" w:rsidR="008B6D0B" w:rsidRPr="00B1462D" w:rsidRDefault="008B6D0B" w:rsidP="008B6D0B">
      <w:pPr>
        <w:spacing w:after="0" w:line="240" w:lineRule="auto"/>
        <w:jc w:val="both"/>
        <w:rPr>
          <w:rFonts w:ascii="Verdana" w:eastAsia="Calibri" w:hAnsi="Verdana" w:cs="Arial"/>
          <w:color w:val="000000"/>
          <w:sz w:val="20"/>
          <w:szCs w:val="20"/>
          <w:lang w:val="es-ES"/>
        </w:rPr>
      </w:pPr>
      <w:r w:rsidRPr="00B1462D">
        <w:rPr>
          <w:rFonts w:ascii="Verdana" w:eastAsia="Calibri" w:hAnsi="Verdana" w:cs="Arial"/>
          <w:color w:val="000000"/>
          <w:sz w:val="20"/>
          <w:szCs w:val="20"/>
          <w:lang w:val="es-ES"/>
        </w:rPr>
        <w:t>La norma citada se refiere a los requisitos habilitantes, dentro de los cuales se encuentra señalada la experiencia conformada por los contratos celebrados por el interesado para cada uno de los bienes, obras o servicios que se ofrecerán a las entidades estatales, identificados por el clasificador de bienes y servicios en el tercer nivel y su valor expresado en SMMLV. Adicionalmente, las condiciones generales y/o específicas de acreditaci</w:t>
      </w:r>
      <w:r w:rsidRPr="00B1462D">
        <w:rPr>
          <w:rFonts w:ascii="Verdana" w:eastAsia="Calibri" w:hAnsi="Verdana" w:cs="Arial" w:hint="eastAsia"/>
          <w:color w:val="000000"/>
          <w:sz w:val="20"/>
          <w:szCs w:val="20"/>
          <w:lang w:val="es-ES"/>
        </w:rPr>
        <w:t>ó</w:t>
      </w:r>
      <w:r w:rsidRPr="00B1462D">
        <w:rPr>
          <w:rFonts w:ascii="Verdana" w:eastAsia="Calibri" w:hAnsi="Verdana" w:cs="Arial"/>
          <w:color w:val="000000"/>
          <w:sz w:val="20"/>
          <w:szCs w:val="20"/>
          <w:lang w:val="es-ES"/>
        </w:rPr>
        <w:t>n de experiencia y asignaci</w:t>
      </w:r>
      <w:r w:rsidRPr="00B1462D">
        <w:rPr>
          <w:rFonts w:ascii="Verdana" w:eastAsia="Calibri" w:hAnsi="Verdana" w:cs="Arial" w:hint="eastAsia"/>
          <w:color w:val="000000"/>
          <w:sz w:val="20"/>
          <w:szCs w:val="20"/>
          <w:lang w:val="es-ES"/>
        </w:rPr>
        <w:t>ó</w:t>
      </w:r>
      <w:r w:rsidRPr="00B1462D">
        <w:rPr>
          <w:rFonts w:ascii="Verdana" w:eastAsia="Calibri" w:hAnsi="Verdana" w:cs="Arial"/>
          <w:color w:val="000000"/>
          <w:sz w:val="20"/>
          <w:szCs w:val="20"/>
          <w:lang w:val="es-ES"/>
        </w:rPr>
        <w:t>n de incentivos deben estar consignadas en el pliego proferido por la entidad para el respectivo proceso de selecci</w:t>
      </w:r>
      <w:r w:rsidRPr="00B1462D">
        <w:rPr>
          <w:rFonts w:ascii="Verdana" w:eastAsia="Calibri" w:hAnsi="Verdana" w:cs="Arial" w:hint="eastAsia"/>
          <w:color w:val="000000"/>
          <w:sz w:val="20"/>
          <w:szCs w:val="20"/>
          <w:lang w:val="es-ES"/>
        </w:rPr>
        <w:t>ó</w:t>
      </w:r>
      <w:r w:rsidRPr="00B1462D">
        <w:rPr>
          <w:rFonts w:ascii="Verdana" w:eastAsia="Calibri" w:hAnsi="Verdana" w:cs="Arial"/>
          <w:color w:val="000000"/>
          <w:sz w:val="20"/>
          <w:szCs w:val="20"/>
          <w:lang w:val="es-ES"/>
        </w:rPr>
        <w:t xml:space="preserve">n, dentro de los requisitos habilitantes. </w:t>
      </w:r>
    </w:p>
    <w:p w14:paraId="1F9F2354" w14:textId="77777777" w:rsidR="008B6D0B" w:rsidRPr="00B1462D" w:rsidRDefault="008B6D0B" w:rsidP="008B6D0B">
      <w:pPr>
        <w:spacing w:after="0" w:line="240" w:lineRule="auto"/>
        <w:jc w:val="both"/>
        <w:rPr>
          <w:rFonts w:ascii="Verdana" w:eastAsia="Calibri" w:hAnsi="Verdana" w:cs="Arial"/>
          <w:color w:val="000000"/>
          <w:sz w:val="20"/>
          <w:szCs w:val="20"/>
          <w:lang w:val="es-ES"/>
        </w:rPr>
      </w:pPr>
    </w:p>
    <w:p w14:paraId="371AFE72" w14:textId="77777777" w:rsidR="008B6D0B" w:rsidRPr="00B1462D" w:rsidRDefault="008B6D0B" w:rsidP="008B6D0B">
      <w:pPr>
        <w:spacing w:after="0" w:line="240" w:lineRule="auto"/>
        <w:jc w:val="both"/>
        <w:rPr>
          <w:rFonts w:ascii="Verdana" w:eastAsia="Calibri" w:hAnsi="Verdana" w:cs="Arial"/>
          <w:color w:val="000000"/>
          <w:sz w:val="20"/>
          <w:szCs w:val="20"/>
          <w:lang w:val="es-ES"/>
        </w:rPr>
      </w:pPr>
      <w:r w:rsidRPr="00B1462D">
        <w:rPr>
          <w:rFonts w:ascii="Verdana" w:eastAsia="Calibri" w:hAnsi="Verdana" w:cs="Arial"/>
          <w:color w:val="000000"/>
          <w:sz w:val="20"/>
          <w:szCs w:val="20"/>
          <w:lang w:val="es-ES"/>
        </w:rPr>
        <w:t>De acuerdo con lo indicado por la doctrina de la entidad y de la lectura de la norma, es pertinente reiterar que en aquellos casos en que los pliegos de condiciones determinen como requerimiento la acreditaci</w:t>
      </w:r>
      <w:r w:rsidRPr="00B1462D">
        <w:rPr>
          <w:rFonts w:ascii="Verdana" w:eastAsia="Calibri" w:hAnsi="Verdana" w:cs="Arial" w:hint="eastAsia"/>
          <w:color w:val="000000"/>
          <w:sz w:val="20"/>
          <w:szCs w:val="20"/>
          <w:lang w:val="es-ES"/>
        </w:rPr>
        <w:t>ó</w:t>
      </w:r>
      <w:r w:rsidRPr="00B1462D">
        <w:rPr>
          <w:rFonts w:ascii="Verdana" w:eastAsia="Calibri" w:hAnsi="Verdana" w:cs="Arial"/>
          <w:color w:val="000000"/>
          <w:sz w:val="20"/>
          <w:szCs w:val="20"/>
          <w:lang w:val="es-ES"/>
        </w:rPr>
        <w:t xml:space="preserve">n de experiencia general y específica, no existe un </w:t>
      </w:r>
      <w:r w:rsidRPr="00B1462D">
        <w:rPr>
          <w:rFonts w:ascii="Verdana" w:eastAsia="Calibri" w:hAnsi="Verdana" w:cs="Arial"/>
          <w:color w:val="000000"/>
          <w:sz w:val="20"/>
          <w:szCs w:val="20"/>
          <w:lang w:val="es-ES"/>
        </w:rPr>
        <w:lastRenderedPageBreak/>
        <w:t>criterio normado de diferenciaci</w:t>
      </w:r>
      <w:r w:rsidRPr="00B1462D">
        <w:rPr>
          <w:rFonts w:ascii="Verdana" w:eastAsia="Calibri" w:hAnsi="Verdana" w:cs="Arial" w:hint="eastAsia"/>
          <w:color w:val="000000"/>
          <w:sz w:val="20"/>
          <w:szCs w:val="20"/>
          <w:lang w:val="es-ES"/>
        </w:rPr>
        <w:t>ó</w:t>
      </w:r>
      <w:r w:rsidRPr="00B1462D">
        <w:rPr>
          <w:rFonts w:ascii="Verdana" w:eastAsia="Calibri" w:hAnsi="Verdana" w:cs="Arial"/>
          <w:color w:val="000000"/>
          <w:sz w:val="20"/>
          <w:szCs w:val="20"/>
          <w:lang w:val="es-ES"/>
        </w:rPr>
        <w:t>n relacionado con el incentivo desarrollado por el Decreto 392 de 2018. Por tal motivo, la expresi</w:t>
      </w:r>
      <w:r w:rsidRPr="00B1462D">
        <w:rPr>
          <w:rFonts w:ascii="Verdana" w:eastAsia="Calibri" w:hAnsi="Verdana" w:cs="Arial" w:hint="eastAsia"/>
          <w:color w:val="000000"/>
          <w:sz w:val="20"/>
          <w:szCs w:val="20"/>
          <w:lang w:val="es-ES"/>
        </w:rPr>
        <w:t>ó</w:t>
      </w:r>
      <w:r w:rsidRPr="00B1462D">
        <w:rPr>
          <w:rFonts w:ascii="Verdana" w:eastAsia="Calibri" w:hAnsi="Verdana" w:cs="Arial"/>
          <w:color w:val="000000"/>
          <w:sz w:val="20"/>
          <w:szCs w:val="20"/>
          <w:lang w:val="es-ES"/>
        </w:rPr>
        <w:t>n “experiencia requerida” debe interpretarse como aquella determinada como requisito habilitante para participar en el respectivo proceso de selecci</w:t>
      </w:r>
      <w:r w:rsidRPr="00B1462D">
        <w:rPr>
          <w:rFonts w:ascii="Verdana" w:eastAsia="Calibri" w:hAnsi="Verdana" w:cs="Arial" w:hint="eastAsia"/>
          <w:color w:val="000000"/>
          <w:sz w:val="20"/>
          <w:szCs w:val="20"/>
          <w:lang w:val="es-ES"/>
        </w:rPr>
        <w:t>ó</w:t>
      </w:r>
      <w:r w:rsidRPr="00B1462D">
        <w:rPr>
          <w:rFonts w:ascii="Verdana" w:eastAsia="Calibri" w:hAnsi="Verdana" w:cs="Arial"/>
          <w:color w:val="000000"/>
          <w:sz w:val="20"/>
          <w:szCs w:val="20"/>
          <w:lang w:val="es-ES"/>
        </w:rPr>
        <w:t>n bien sea por licitaci</w:t>
      </w:r>
      <w:r w:rsidRPr="00B1462D">
        <w:rPr>
          <w:rFonts w:ascii="Verdana" w:eastAsia="Calibri" w:hAnsi="Verdana" w:cs="Arial" w:hint="eastAsia"/>
          <w:color w:val="000000"/>
          <w:sz w:val="20"/>
          <w:szCs w:val="20"/>
          <w:lang w:val="es-ES"/>
        </w:rPr>
        <w:t>ó</w:t>
      </w:r>
      <w:r w:rsidRPr="00B1462D">
        <w:rPr>
          <w:rFonts w:ascii="Verdana" w:eastAsia="Calibri" w:hAnsi="Verdana" w:cs="Arial"/>
          <w:color w:val="000000"/>
          <w:sz w:val="20"/>
          <w:szCs w:val="20"/>
          <w:lang w:val="es-ES"/>
        </w:rPr>
        <w:t>n p</w:t>
      </w:r>
      <w:r w:rsidRPr="00B1462D">
        <w:rPr>
          <w:rFonts w:ascii="Verdana" w:eastAsia="Calibri" w:hAnsi="Verdana" w:cs="Arial" w:hint="eastAsia"/>
          <w:color w:val="000000"/>
          <w:sz w:val="20"/>
          <w:szCs w:val="20"/>
          <w:lang w:val="es-ES"/>
        </w:rPr>
        <w:t>ú</w:t>
      </w:r>
      <w:r w:rsidRPr="00B1462D">
        <w:rPr>
          <w:rFonts w:ascii="Verdana" w:eastAsia="Calibri" w:hAnsi="Verdana" w:cs="Arial"/>
          <w:color w:val="000000"/>
          <w:sz w:val="20"/>
          <w:szCs w:val="20"/>
          <w:lang w:val="es-ES"/>
        </w:rPr>
        <w:t>blica o por concurso de m</w:t>
      </w:r>
      <w:r w:rsidRPr="00B1462D">
        <w:rPr>
          <w:rFonts w:ascii="Verdana" w:eastAsia="Calibri" w:hAnsi="Verdana" w:cs="Arial" w:hint="eastAsia"/>
          <w:color w:val="000000"/>
          <w:sz w:val="20"/>
          <w:szCs w:val="20"/>
          <w:lang w:val="es-ES"/>
        </w:rPr>
        <w:t>é</w:t>
      </w:r>
      <w:r w:rsidRPr="00B1462D">
        <w:rPr>
          <w:rFonts w:ascii="Verdana" w:eastAsia="Calibri" w:hAnsi="Verdana" w:cs="Arial"/>
          <w:color w:val="000000"/>
          <w:sz w:val="20"/>
          <w:szCs w:val="20"/>
          <w:lang w:val="es-ES"/>
        </w:rPr>
        <w:t>ritos.</w:t>
      </w:r>
    </w:p>
    <w:p w14:paraId="21A02658" w14:textId="77777777" w:rsidR="008B6D0B" w:rsidRPr="00B1462D" w:rsidRDefault="008B6D0B" w:rsidP="008B6D0B">
      <w:pPr>
        <w:spacing w:after="0" w:line="240" w:lineRule="auto"/>
        <w:contextualSpacing/>
        <w:jc w:val="both"/>
        <w:rPr>
          <w:rFonts w:ascii="Verdana" w:eastAsia="Times New Roman" w:hAnsi="Verdana" w:cs="Arial"/>
          <w:i/>
          <w:iCs/>
          <w:color w:val="333333"/>
          <w:lang w:val="es-ES" w:eastAsia="es-CO"/>
        </w:rPr>
      </w:pPr>
    </w:p>
    <w:p w14:paraId="17EBCA06" w14:textId="77777777" w:rsidR="008B6D0B" w:rsidRPr="00B1462D" w:rsidRDefault="008B6D0B" w:rsidP="008B6D0B">
      <w:pPr>
        <w:rPr>
          <w:rFonts w:ascii="Verdana" w:eastAsia="Aptos" w:hAnsi="Verdana" w:cs="Times New Roman"/>
        </w:rPr>
      </w:pPr>
    </w:p>
    <w:p w14:paraId="4BB209AB" w14:textId="77777777" w:rsidR="008B6D0B" w:rsidRPr="00B1462D" w:rsidRDefault="008B6D0B" w:rsidP="008B6D0B">
      <w:pPr>
        <w:rPr>
          <w:rFonts w:ascii="Verdana" w:eastAsia="Aptos" w:hAnsi="Verdana" w:cs="Times New Roman"/>
        </w:rPr>
      </w:pPr>
    </w:p>
    <w:p w14:paraId="0829B586" w14:textId="77777777" w:rsidR="008B6D0B" w:rsidRPr="00B1462D" w:rsidRDefault="008B6D0B" w:rsidP="008B6D0B">
      <w:pPr>
        <w:rPr>
          <w:rFonts w:ascii="Verdana" w:eastAsia="Aptos" w:hAnsi="Verdana" w:cs="Times New Roman"/>
        </w:rPr>
      </w:pPr>
    </w:p>
    <w:p w14:paraId="43258556" w14:textId="77777777" w:rsidR="008B6D0B" w:rsidRPr="00B1462D" w:rsidRDefault="008B6D0B" w:rsidP="008B6D0B">
      <w:pPr>
        <w:rPr>
          <w:rFonts w:ascii="Verdana" w:eastAsia="Aptos" w:hAnsi="Verdana" w:cs="Times New Roman"/>
        </w:rPr>
      </w:pPr>
    </w:p>
    <w:p w14:paraId="1178FBCD" w14:textId="77777777" w:rsidR="008B6D0B" w:rsidRPr="00B1462D" w:rsidRDefault="008B6D0B" w:rsidP="008B6D0B">
      <w:pPr>
        <w:rPr>
          <w:rFonts w:ascii="Verdana" w:eastAsia="Aptos" w:hAnsi="Verdana" w:cs="Times New Roman"/>
        </w:rPr>
      </w:pPr>
    </w:p>
    <w:p w14:paraId="6960ACDB" w14:textId="77777777" w:rsidR="008B6D0B" w:rsidRPr="00B1462D" w:rsidRDefault="008B6D0B" w:rsidP="008B6D0B">
      <w:pPr>
        <w:rPr>
          <w:rFonts w:ascii="Verdana" w:eastAsia="Aptos" w:hAnsi="Verdana" w:cs="Times New Roman"/>
        </w:rPr>
      </w:pPr>
    </w:p>
    <w:p w14:paraId="49FAF8FB" w14:textId="77777777" w:rsidR="008B6D0B" w:rsidRDefault="008B6D0B" w:rsidP="00E245AB">
      <w:pPr>
        <w:spacing w:after="0"/>
        <w:rPr>
          <w:rFonts w:ascii="Verdana" w:hAnsi="Verdana"/>
        </w:rPr>
      </w:pPr>
    </w:p>
    <w:p w14:paraId="63FA8AC7" w14:textId="77777777" w:rsidR="008B6D0B" w:rsidRDefault="008B6D0B" w:rsidP="00E245AB">
      <w:pPr>
        <w:spacing w:after="0"/>
        <w:rPr>
          <w:rFonts w:ascii="Verdana" w:hAnsi="Verdana"/>
        </w:rPr>
      </w:pPr>
    </w:p>
    <w:p w14:paraId="3EB26901" w14:textId="77777777" w:rsidR="008B6D0B" w:rsidRDefault="008B6D0B" w:rsidP="00E245AB">
      <w:pPr>
        <w:spacing w:after="0"/>
        <w:rPr>
          <w:rFonts w:ascii="Verdana" w:hAnsi="Verdana"/>
        </w:rPr>
      </w:pPr>
    </w:p>
    <w:p w14:paraId="24A3965C" w14:textId="77777777" w:rsidR="008B6D0B" w:rsidRDefault="008B6D0B" w:rsidP="00E245AB">
      <w:pPr>
        <w:spacing w:after="0"/>
        <w:rPr>
          <w:rFonts w:ascii="Verdana" w:hAnsi="Verdana"/>
        </w:rPr>
      </w:pPr>
    </w:p>
    <w:p w14:paraId="581447D4" w14:textId="77777777" w:rsidR="008B6D0B" w:rsidRDefault="008B6D0B" w:rsidP="00E245AB">
      <w:pPr>
        <w:spacing w:after="0"/>
        <w:rPr>
          <w:rFonts w:ascii="Verdana" w:hAnsi="Verdana"/>
        </w:rPr>
      </w:pPr>
    </w:p>
    <w:p w14:paraId="3275D082" w14:textId="77777777" w:rsidR="008B6D0B" w:rsidRDefault="008B6D0B" w:rsidP="00E245AB">
      <w:pPr>
        <w:spacing w:after="0"/>
        <w:rPr>
          <w:rFonts w:ascii="Verdana" w:hAnsi="Verdana"/>
        </w:rPr>
      </w:pPr>
    </w:p>
    <w:p w14:paraId="0AB357E7" w14:textId="77777777" w:rsidR="008B6D0B" w:rsidRDefault="008B6D0B" w:rsidP="00E245AB">
      <w:pPr>
        <w:spacing w:after="0"/>
        <w:rPr>
          <w:rFonts w:ascii="Verdana" w:hAnsi="Verdana"/>
        </w:rPr>
      </w:pPr>
    </w:p>
    <w:p w14:paraId="3B480EBD" w14:textId="77777777" w:rsidR="008B6D0B" w:rsidRDefault="008B6D0B" w:rsidP="00E245AB">
      <w:pPr>
        <w:spacing w:after="0"/>
        <w:rPr>
          <w:rFonts w:ascii="Verdana" w:hAnsi="Verdana"/>
        </w:rPr>
      </w:pPr>
    </w:p>
    <w:p w14:paraId="45DC364B" w14:textId="77777777" w:rsidR="008B6D0B" w:rsidRDefault="008B6D0B" w:rsidP="00E245AB">
      <w:pPr>
        <w:spacing w:after="0"/>
        <w:rPr>
          <w:rFonts w:ascii="Verdana" w:hAnsi="Verdana"/>
        </w:rPr>
      </w:pPr>
    </w:p>
    <w:p w14:paraId="3CA5EE2F" w14:textId="77777777" w:rsidR="008B6D0B" w:rsidRDefault="008B6D0B" w:rsidP="00E245AB">
      <w:pPr>
        <w:spacing w:after="0"/>
        <w:rPr>
          <w:rFonts w:ascii="Verdana" w:hAnsi="Verdana"/>
        </w:rPr>
      </w:pPr>
    </w:p>
    <w:p w14:paraId="158D5CB3" w14:textId="77777777" w:rsidR="008B6D0B" w:rsidRDefault="008B6D0B" w:rsidP="00E245AB">
      <w:pPr>
        <w:spacing w:after="0"/>
        <w:rPr>
          <w:rFonts w:ascii="Verdana" w:hAnsi="Verdana"/>
        </w:rPr>
      </w:pPr>
    </w:p>
    <w:p w14:paraId="47036599" w14:textId="77777777" w:rsidR="008B6D0B" w:rsidRDefault="008B6D0B" w:rsidP="00E245AB">
      <w:pPr>
        <w:spacing w:after="0"/>
        <w:rPr>
          <w:rFonts w:ascii="Verdana" w:hAnsi="Verdana"/>
        </w:rPr>
      </w:pPr>
    </w:p>
    <w:p w14:paraId="66C4832D" w14:textId="77777777" w:rsidR="008B6D0B" w:rsidRDefault="008B6D0B" w:rsidP="00E245AB">
      <w:pPr>
        <w:spacing w:after="0"/>
        <w:rPr>
          <w:rFonts w:ascii="Verdana" w:hAnsi="Verdana"/>
        </w:rPr>
      </w:pPr>
    </w:p>
    <w:p w14:paraId="612D97C6" w14:textId="77777777" w:rsidR="008B6D0B" w:rsidRDefault="008B6D0B" w:rsidP="00E245AB">
      <w:pPr>
        <w:spacing w:after="0"/>
        <w:rPr>
          <w:rFonts w:ascii="Verdana" w:hAnsi="Verdana"/>
        </w:rPr>
      </w:pPr>
    </w:p>
    <w:p w14:paraId="68D7A945" w14:textId="77777777" w:rsidR="008B6D0B" w:rsidRDefault="008B6D0B" w:rsidP="00E245AB">
      <w:pPr>
        <w:spacing w:after="0"/>
        <w:rPr>
          <w:rFonts w:ascii="Verdana" w:hAnsi="Verdana"/>
        </w:rPr>
      </w:pPr>
    </w:p>
    <w:p w14:paraId="060DDD5A" w14:textId="77777777" w:rsidR="008B6D0B" w:rsidRDefault="008B6D0B" w:rsidP="00E245AB">
      <w:pPr>
        <w:spacing w:after="0"/>
        <w:rPr>
          <w:rFonts w:ascii="Verdana" w:hAnsi="Verdana"/>
        </w:rPr>
      </w:pPr>
    </w:p>
    <w:p w14:paraId="35247148" w14:textId="77777777" w:rsidR="008B6D0B" w:rsidRDefault="008B6D0B" w:rsidP="00E245AB">
      <w:pPr>
        <w:spacing w:after="0"/>
        <w:rPr>
          <w:rFonts w:ascii="Verdana" w:hAnsi="Verdana"/>
        </w:rPr>
      </w:pPr>
    </w:p>
    <w:p w14:paraId="61E5DC42" w14:textId="77777777" w:rsidR="008B6D0B" w:rsidRDefault="008B6D0B" w:rsidP="00E245AB">
      <w:pPr>
        <w:spacing w:after="0"/>
        <w:rPr>
          <w:rFonts w:ascii="Verdana" w:hAnsi="Verdana"/>
        </w:rPr>
      </w:pPr>
    </w:p>
    <w:p w14:paraId="0C47D037" w14:textId="77777777" w:rsidR="008B6D0B" w:rsidRDefault="008B6D0B" w:rsidP="00E245AB">
      <w:pPr>
        <w:spacing w:after="0"/>
        <w:rPr>
          <w:rFonts w:ascii="Verdana" w:hAnsi="Verdana"/>
        </w:rPr>
      </w:pPr>
    </w:p>
    <w:p w14:paraId="67526D16" w14:textId="77777777" w:rsidR="008B6D0B" w:rsidRDefault="008B6D0B" w:rsidP="00E245AB">
      <w:pPr>
        <w:spacing w:after="0"/>
        <w:rPr>
          <w:rFonts w:ascii="Verdana" w:hAnsi="Verdana"/>
        </w:rPr>
      </w:pPr>
    </w:p>
    <w:p w14:paraId="26399AB4" w14:textId="77777777" w:rsidR="008B6D0B" w:rsidRDefault="008B6D0B" w:rsidP="00E245AB">
      <w:pPr>
        <w:spacing w:after="0"/>
        <w:rPr>
          <w:rFonts w:ascii="Verdana" w:hAnsi="Verdana"/>
        </w:rPr>
      </w:pPr>
    </w:p>
    <w:p w14:paraId="4EC31D06" w14:textId="77777777" w:rsidR="008B6D0B" w:rsidRDefault="008B6D0B" w:rsidP="00E245AB">
      <w:pPr>
        <w:spacing w:after="0"/>
        <w:rPr>
          <w:rFonts w:ascii="Verdana" w:hAnsi="Verdana"/>
        </w:rPr>
      </w:pPr>
    </w:p>
    <w:p w14:paraId="4AC46FD0" w14:textId="77777777" w:rsidR="00725BFC" w:rsidRDefault="00725BFC" w:rsidP="00E245AB">
      <w:pPr>
        <w:spacing w:after="0"/>
        <w:rPr>
          <w:rFonts w:ascii="Verdana" w:hAnsi="Verdana"/>
        </w:rPr>
      </w:pPr>
    </w:p>
    <w:p w14:paraId="0DAA3D3B" w14:textId="77777777" w:rsidR="00725BFC" w:rsidRDefault="00725BFC" w:rsidP="00E245AB">
      <w:pPr>
        <w:spacing w:after="0"/>
        <w:rPr>
          <w:rFonts w:ascii="Verdana" w:hAnsi="Verdana"/>
        </w:rPr>
      </w:pPr>
    </w:p>
    <w:p w14:paraId="13AA26DE" w14:textId="77777777" w:rsidR="00725BFC" w:rsidRDefault="00725BFC" w:rsidP="00E245AB">
      <w:pPr>
        <w:spacing w:after="0"/>
        <w:rPr>
          <w:rFonts w:ascii="Verdana" w:hAnsi="Verdana"/>
        </w:rPr>
      </w:pPr>
    </w:p>
    <w:p w14:paraId="3845B3C3" w14:textId="77777777" w:rsidR="00725BFC" w:rsidRDefault="00725BFC" w:rsidP="00E245AB">
      <w:pPr>
        <w:spacing w:after="0"/>
        <w:rPr>
          <w:rFonts w:ascii="Verdana" w:hAnsi="Verdana"/>
        </w:rPr>
      </w:pPr>
    </w:p>
    <w:p w14:paraId="3FE2184B" w14:textId="01A1D3C4" w:rsidR="00E245AB" w:rsidRPr="0044528D" w:rsidRDefault="00E245AB" w:rsidP="00E245AB">
      <w:pPr>
        <w:spacing w:after="0"/>
        <w:rPr>
          <w:rFonts w:ascii="Verdana" w:hAnsi="Verdana"/>
        </w:rPr>
      </w:pPr>
      <w:r w:rsidRPr="0044528D">
        <w:rPr>
          <w:rFonts w:ascii="Verdana" w:hAnsi="Verdana"/>
        </w:rPr>
        <w:lastRenderedPageBreak/>
        <w:t xml:space="preserve">Bogotá D.C., </w:t>
      </w:r>
      <w:r w:rsidR="00CF2511">
        <w:rPr>
          <w:rFonts w:ascii="Verdana" w:hAnsi="Verdana"/>
        </w:rPr>
        <w:t>21 de mayo 2025.</w:t>
      </w:r>
      <w:r w:rsidR="00891928" w:rsidRPr="0044528D">
        <w:rPr>
          <w:rFonts w:ascii="Verdana" w:hAnsi="Verdana"/>
        </w:rPr>
        <w:tab/>
      </w:r>
    </w:p>
    <w:p w14:paraId="5FCADBF9" w14:textId="3DABF2D2" w:rsidR="00E245AB" w:rsidRPr="0044528D" w:rsidRDefault="00725BFC" w:rsidP="00E245AB">
      <w:pPr>
        <w:spacing w:after="0"/>
        <w:rPr>
          <w:rFonts w:ascii="Verdana" w:hAnsi="Verdana"/>
        </w:rPr>
      </w:pPr>
      <w:r w:rsidRPr="00D068EA">
        <w:rPr>
          <w:noProof/>
        </w:rPr>
        <w:drawing>
          <wp:anchor distT="0" distB="0" distL="114300" distR="114300" simplePos="0" relativeHeight="251657216" behindDoc="0" locked="0" layoutInCell="1" allowOverlap="1" wp14:anchorId="5EE9BCCA" wp14:editId="088F2D25">
            <wp:simplePos x="0" y="0"/>
            <wp:positionH relativeFrom="margin">
              <wp:align>right</wp:align>
            </wp:positionH>
            <wp:positionV relativeFrom="paragraph">
              <wp:posOffset>148590</wp:posOffset>
            </wp:positionV>
            <wp:extent cx="3400425" cy="942975"/>
            <wp:effectExtent l="0" t="0" r="9525" b="9525"/>
            <wp:wrapSquare wrapText="bothSides"/>
            <wp:docPr id="66169935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699359"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3400425" cy="942975"/>
                    </a:xfrm>
                    <a:prstGeom prst="rect">
                      <a:avLst/>
                    </a:prstGeom>
                  </pic:spPr>
                </pic:pic>
              </a:graphicData>
            </a:graphic>
          </wp:anchor>
        </w:drawing>
      </w:r>
    </w:p>
    <w:p w14:paraId="0465BA6D" w14:textId="77777777" w:rsidR="00E245AB" w:rsidRPr="0044528D" w:rsidRDefault="00E245AB" w:rsidP="00E245AB">
      <w:pPr>
        <w:spacing w:after="0"/>
        <w:rPr>
          <w:rFonts w:ascii="Verdana" w:hAnsi="Verdana"/>
        </w:rPr>
      </w:pPr>
    </w:p>
    <w:p w14:paraId="5EDFC10C" w14:textId="61755809" w:rsidR="0070739A" w:rsidRPr="00B1462D" w:rsidRDefault="0070739A" w:rsidP="0070739A">
      <w:pPr>
        <w:spacing w:after="0" w:line="240" w:lineRule="auto"/>
        <w:rPr>
          <w:rFonts w:ascii="Verdana" w:eastAsia="Calibri" w:hAnsi="Verdana" w:cs="Arial"/>
          <w:lang w:eastAsia="es-ES"/>
        </w:rPr>
      </w:pPr>
      <w:r w:rsidRPr="00B1462D">
        <w:rPr>
          <w:rFonts w:ascii="Verdana" w:eastAsia="Calibri" w:hAnsi="Verdana" w:cs="Arial"/>
          <w:lang w:eastAsia="es-ES"/>
        </w:rPr>
        <w:t>Señor</w:t>
      </w:r>
    </w:p>
    <w:p w14:paraId="48FDE451" w14:textId="5085F244" w:rsidR="0070739A" w:rsidRPr="00A32B11" w:rsidRDefault="0070739A" w:rsidP="0070739A">
      <w:pPr>
        <w:spacing w:after="0" w:line="240" w:lineRule="auto"/>
        <w:rPr>
          <w:rFonts w:ascii="Verdana" w:eastAsia="Calibri" w:hAnsi="Verdana" w:cs="Arial"/>
          <w:b/>
          <w:bCs/>
          <w:lang w:eastAsia="es-ES"/>
        </w:rPr>
      </w:pPr>
      <w:r w:rsidRPr="00A32B11">
        <w:rPr>
          <w:rFonts w:ascii="Verdana" w:eastAsia="Calibri" w:hAnsi="Verdana" w:cs="Arial"/>
          <w:b/>
          <w:bCs/>
          <w:lang w:eastAsia="es-ES"/>
        </w:rPr>
        <w:t>Darwin Mejía Quintana</w:t>
      </w:r>
    </w:p>
    <w:p w14:paraId="4F2CD409" w14:textId="554BC028" w:rsidR="0070739A" w:rsidRDefault="0070739A" w:rsidP="0070739A">
      <w:pPr>
        <w:spacing w:after="0" w:line="240" w:lineRule="auto"/>
        <w:rPr>
          <w:rFonts w:ascii="Verdana" w:eastAsia="Calibri" w:hAnsi="Verdana" w:cs="Arial"/>
          <w:lang w:eastAsia="es-ES"/>
        </w:rPr>
      </w:pPr>
      <w:hyperlink r:id="rId11" w:history="1">
        <w:r w:rsidRPr="007C5B04">
          <w:rPr>
            <w:rStyle w:val="Hipervnculo"/>
            <w:rFonts w:ascii="Verdana" w:eastAsia="Calibri" w:hAnsi="Verdana" w:cs="Arial"/>
            <w:lang w:eastAsia="es-ES"/>
          </w:rPr>
          <w:t>djmejiaq@gmail.com</w:t>
        </w:r>
      </w:hyperlink>
      <w:r w:rsidR="00D068EA">
        <w:t xml:space="preserve"> </w:t>
      </w:r>
    </w:p>
    <w:p w14:paraId="05CF4A98" w14:textId="77777777" w:rsidR="0070739A" w:rsidRDefault="0070739A" w:rsidP="0070739A">
      <w:pPr>
        <w:spacing w:after="0" w:line="240" w:lineRule="auto"/>
        <w:rPr>
          <w:rFonts w:ascii="Verdana" w:eastAsia="Calibri" w:hAnsi="Verdana" w:cs="Arial"/>
          <w:lang w:eastAsia="es-ES"/>
        </w:rPr>
      </w:pPr>
      <w:r w:rsidRPr="00A32B11">
        <w:rPr>
          <w:rFonts w:ascii="Verdana" w:eastAsia="Calibri" w:hAnsi="Verdana" w:cs="Arial"/>
          <w:lang w:eastAsia="es-ES"/>
        </w:rPr>
        <w:t>Bogotá, D.C.</w:t>
      </w:r>
    </w:p>
    <w:p w14:paraId="7C6D5D37" w14:textId="77777777" w:rsidR="0070739A" w:rsidRPr="00A32B11" w:rsidRDefault="0070739A" w:rsidP="0070739A">
      <w:pPr>
        <w:spacing w:after="0" w:line="240" w:lineRule="auto"/>
        <w:rPr>
          <w:rFonts w:ascii="Verdana" w:eastAsia="Calibri" w:hAnsi="Verdana" w:cs="Arial"/>
          <w:color w:val="000000"/>
          <w:lang w:val="es-ES_tradnl" w:eastAsia="es-ES_tradnl"/>
        </w:rPr>
      </w:pPr>
    </w:p>
    <w:tbl>
      <w:tblPr>
        <w:tblStyle w:val="Tablaconcuadrcula1"/>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946"/>
      </w:tblGrid>
      <w:tr w:rsidR="0070739A" w:rsidRPr="00B1462D" w14:paraId="127DCE3B" w14:textId="77777777" w:rsidTr="005A1DE1">
        <w:trPr>
          <w:trHeight w:val="884"/>
        </w:trPr>
        <w:tc>
          <w:tcPr>
            <w:tcW w:w="2268" w:type="dxa"/>
          </w:tcPr>
          <w:p w14:paraId="0A9E096F" w14:textId="77777777" w:rsidR="0070739A" w:rsidRPr="00B1462D" w:rsidRDefault="0070739A" w:rsidP="005A1DE1">
            <w:pPr>
              <w:jc w:val="both"/>
              <w:rPr>
                <w:rFonts w:ascii="Verdana" w:eastAsia="Calibri" w:hAnsi="Verdana" w:cs="Arial"/>
                <w:b/>
                <w:bCs/>
                <w:color w:val="7030A0"/>
                <w:lang w:val="es-ES_tradnl" w:eastAsia="es-ES_tradnl"/>
              </w:rPr>
            </w:pPr>
          </w:p>
        </w:tc>
        <w:tc>
          <w:tcPr>
            <w:tcW w:w="6946" w:type="dxa"/>
          </w:tcPr>
          <w:p w14:paraId="6BDCA3F0" w14:textId="77777777" w:rsidR="0070739A" w:rsidRDefault="0070739A" w:rsidP="005A1DE1">
            <w:pPr>
              <w:jc w:val="both"/>
              <w:rPr>
                <w:rFonts w:ascii="Verdana" w:eastAsia="Calibri" w:hAnsi="Verdana" w:cs="Arial"/>
                <w:b/>
                <w:bCs/>
                <w:lang w:val="es-ES" w:eastAsia="es-ES"/>
              </w:rPr>
            </w:pPr>
          </w:p>
          <w:p w14:paraId="0A8A2C5F" w14:textId="77777777" w:rsidR="0070739A" w:rsidRDefault="0070739A" w:rsidP="005A1DE1">
            <w:pPr>
              <w:jc w:val="both"/>
              <w:rPr>
                <w:rFonts w:ascii="Verdana" w:eastAsia="Calibri" w:hAnsi="Verdana" w:cs="Arial"/>
                <w:b/>
                <w:bCs/>
                <w:lang w:val="es-ES" w:eastAsia="es-ES"/>
              </w:rPr>
            </w:pPr>
            <w:r w:rsidRPr="00B1462D">
              <w:rPr>
                <w:rFonts w:ascii="Verdana" w:eastAsia="Calibri" w:hAnsi="Verdana" w:cs="Arial"/>
                <w:b/>
                <w:bCs/>
                <w:lang w:val="es-ES" w:eastAsia="es-ES"/>
              </w:rPr>
              <w:t>Concepto C-</w:t>
            </w:r>
            <w:r>
              <w:rPr>
                <w:rFonts w:ascii="Verdana" w:eastAsia="Calibri" w:hAnsi="Verdana" w:cs="Arial"/>
                <w:b/>
                <w:bCs/>
                <w:lang w:val="es-ES" w:eastAsia="es-ES"/>
              </w:rPr>
              <w:t>475</w:t>
            </w:r>
            <w:r w:rsidRPr="00B1462D">
              <w:rPr>
                <w:rFonts w:ascii="Verdana" w:eastAsia="Calibri" w:hAnsi="Verdana" w:cs="Arial"/>
                <w:b/>
                <w:bCs/>
                <w:lang w:val="es-ES" w:eastAsia="es-ES"/>
              </w:rPr>
              <w:t xml:space="preserve"> de 2025</w:t>
            </w:r>
          </w:p>
          <w:p w14:paraId="71D4E77D" w14:textId="77777777" w:rsidR="0070739A" w:rsidRDefault="0070739A" w:rsidP="005A1DE1">
            <w:pPr>
              <w:jc w:val="both"/>
              <w:rPr>
                <w:rFonts w:ascii="Verdana" w:eastAsia="Calibri" w:hAnsi="Verdana" w:cs="Arial"/>
                <w:b/>
                <w:bCs/>
                <w:color w:val="7030A0"/>
                <w:lang w:val="es-ES" w:eastAsia="es-ES"/>
              </w:rPr>
            </w:pPr>
          </w:p>
          <w:p w14:paraId="0FC1A258" w14:textId="77777777" w:rsidR="0070739A" w:rsidRPr="00B1462D" w:rsidRDefault="0070739A" w:rsidP="005A1DE1">
            <w:pPr>
              <w:jc w:val="both"/>
              <w:rPr>
                <w:rFonts w:ascii="Verdana" w:eastAsia="Calibri" w:hAnsi="Verdana" w:cs="Arial"/>
                <w:b/>
                <w:bCs/>
                <w:color w:val="7030A0"/>
                <w:lang w:val="es-ES" w:eastAsia="es-ES"/>
              </w:rPr>
            </w:pPr>
          </w:p>
        </w:tc>
      </w:tr>
      <w:tr w:rsidR="0070739A" w:rsidRPr="00B1462D" w14:paraId="3434294B" w14:textId="77777777" w:rsidTr="005A1DE1">
        <w:trPr>
          <w:trHeight w:val="884"/>
        </w:trPr>
        <w:tc>
          <w:tcPr>
            <w:tcW w:w="2268" w:type="dxa"/>
          </w:tcPr>
          <w:p w14:paraId="7F5D731D" w14:textId="77777777" w:rsidR="0070739A" w:rsidRPr="00B1462D" w:rsidRDefault="0070739A" w:rsidP="005A1DE1">
            <w:pPr>
              <w:jc w:val="both"/>
              <w:rPr>
                <w:rFonts w:ascii="Verdana" w:eastAsia="Calibri" w:hAnsi="Verdana" w:cs="Arial"/>
                <w:b/>
                <w:bCs/>
                <w:lang w:val="es-ES_tradnl" w:eastAsia="es-ES_tradnl"/>
              </w:rPr>
            </w:pPr>
            <w:r w:rsidRPr="00B1462D">
              <w:rPr>
                <w:rFonts w:ascii="Verdana" w:eastAsia="Calibri" w:hAnsi="Verdana" w:cs="Arial"/>
                <w:b/>
                <w:bCs/>
                <w:lang w:val="es-ES_tradnl" w:eastAsia="es-ES_tradnl"/>
              </w:rPr>
              <w:t xml:space="preserve">Temas:                   </w:t>
            </w:r>
          </w:p>
        </w:tc>
        <w:tc>
          <w:tcPr>
            <w:tcW w:w="6946" w:type="dxa"/>
          </w:tcPr>
          <w:p w14:paraId="3F161CE4" w14:textId="77777777" w:rsidR="0070739A" w:rsidRPr="00B1462D" w:rsidRDefault="0070739A" w:rsidP="005A1DE1">
            <w:pPr>
              <w:shd w:val="clear" w:color="auto" w:fill="FFFFFF"/>
              <w:jc w:val="both"/>
              <w:rPr>
                <w:rFonts w:ascii="Arial" w:eastAsia="Times New Roman" w:hAnsi="Arial" w:cs="Arial"/>
                <w:color w:val="000000"/>
                <w:lang w:val="es-ES" w:eastAsia="es-ES_tradnl"/>
              </w:rPr>
            </w:pPr>
            <w:r w:rsidRPr="00B1462D">
              <w:rPr>
                <w:rFonts w:ascii="Verdana" w:eastAsia="Arial" w:hAnsi="Verdana" w:cs="Arial"/>
                <w:lang w:val="es-ES_tradnl" w:eastAsia="es-ES_tradnl"/>
              </w:rPr>
              <w:t xml:space="preserve">PERSONAS EN CONDICIÓN DE DISCAPACIDAD – Incentivo Puntaje adicional – Normativa / PERSONAS EN CONDICIÓN DE DISCAPACIDAD – Proponentes plurales – Regla / </w:t>
            </w:r>
            <w:r w:rsidRPr="00A32B11">
              <w:rPr>
                <w:rFonts w:ascii="Verdana" w:eastAsia="Arial" w:hAnsi="Verdana" w:cs="Arial"/>
                <w:lang w:val="es-ES_tradnl" w:eastAsia="es-ES_tradnl"/>
              </w:rPr>
              <w:t>PERSONAS EN CONDICIÓN DE DISCAPACIDAD – Vinculación – Proponente plural – Acreditación de experiencia</w:t>
            </w:r>
          </w:p>
          <w:p w14:paraId="4E5F2C52" w14:textId="77777777" w:rsidR="0070739A" w:rsidRPr="00B1462D" w:rsidRDefault="0070739A" w:rsidP="005A1DE1">
            <w:pPr>
              <w:spacing w:line="276" w:lineRule="auto"/>
              <w:jc w:val="both"/>
              <w:rPr>
                <w:rFonts w:ascii="Verdana" w:eastAsia="Calibri" w:hAnsi="Verdana" w:cs="Arial"/>
                <w:lang w:eastAsia="es-ES_tradnl"/>
              </w:rPr>
            </w:pPr>
          </w:p>
        </w:tc>
      </w:tr>
      <w:tr w:rsidR="0070739A" w:rsidRPr="00B1462D" w14:paraId="6B486EBD" w14:textId="77777777" w:rsidTr="005A1DE1">
        <w:tc>
          <w:tcPr>
            <w:tcW w:w="2268" w:type="dxa"/>
          </w:tcPr>
          <w:p w14:paraId="5021047A" w14:textId="77777777" w:rsidR="0070739A" w:rsidRPr="00B1462D" w:rsidRDefault="0070739A" w:rsidP="005A1DE1">
            <w:pPr>
              <w:jc w:val="both"/>
              <w:rPr>
                <w:rFonts w:ascii="Verdana" w:eastAsia="Calibri" w:hAnsi="Verdana" w:cs="Arial"/>
                <w:b/>
                <w:lang w:val="es-ES_tradnl" w:eastAsia="es-ES_tradnl"/>
              </w:rPr>
            </w:pPr>
            <w:r w:rsidRPr="00B1462D">
              <w:rPr>
                <w:rFonts w:ascii="Verdana" w:eastAsia="Calibri" w:hAnsi="Verdana" w:cs="Arial"/>
                <w:b/>
                <w:lang w:val="es-ES_tradnl" w:eastAsia="es-ES_tradnl"/>
              </w:rPr>
              <w:t>Radicación:</w:t>
            </w:r>
            <w:r w:rsidRPr="00B1462D">
              <w:rPr>
                <w:rFonts w:ascii="Verdana" w:eastAsia="Calibri" w:hAnsi="Verdana" w:cs="Arial"/>
                <w:lang w:val="es-ES_tradnl" w:eastAsia="es-ES_tradnl"/>
              </w:rPr>
              <w:t xml:space="preserve">               </w:t>
            </w:r>
          </w:p>
        </w:tc>
        <w:tc>
          <w:tcPr>
            <w:tcW w:w="6946" w:type="dxa"/>
          </w:tcPr>
          <w:p w14:paraId="1DB59B2F" w14:textId="77777777" w:rsidR="0070739A" w:rsidRPr="00B1462D" w:rsidRDefault="0070739A" w:rsidP="005A1DE1">
            <w:pPr>
              <w:rPr>
                <w:rFonts w:ascii="Verdana" w:eastAsia="Times New Roman" w:hAnsi="Verdana" w:cs="Calibri"/>
                <w:color w:val="000000"/>
                <w:lang w:val="es-419" w:eastAsia="es-419"/>
              </w:rPr>
            </w:pPr>
            <w:r w:rsidRPr="00B1462D">
              <w:rPr>
                <w:rFonts w:ascii="Verdana" w:eastAsia="Calibri" w:hAnsi="Verdana" w:cs="Arial"/>
                <w:lang w:val="es-ES_tradnl" w:eastAsia="es-ES_tradnl"/>
              </w:rPr>
              <w:t xml:space="preserve">Respuesta a consulta con radicado No. </w:t>
            </w:r>
            <w:r w:rsidRPr="00C87D84">
              <w:rPr>
                <w:rFonts w:ascii="Verdana" w:eastAsia="Calibri" w:hAnsi="Verdana" w:cs="Arial"/>
                <w:lang w:eastAsia="es-ES_tradnl"/>
              </w:rPr>
              <w:t>P20250415003644</w:t>
            </w:r>
            <w:r>
              <w:rPr>
                <w:rFonts w:ascii="Verdana" w:eastAsia="Calibri" w:hAnsi="Verdana" w:cs="Arial"/>
                <w:lang w:eastAsia="es-ES_tradnl"/>
              </w:rPr>
              <w:t>.</w:t>
            </w:r>
          </w:p>
          <w:p w14:paraId="5B0F0BE6" w14:textId="77777777" w:rsidR="0070739A" w:rsidRPr="00B1462D" w:rsidRDefault="0070739A" w:rsidP="005A1DE1">
            <w:pPr>
              <w:jc w:val="both"/>
              <w:rPr>
                <w:rFonts w:ascii="Verdana" w:eastAsia="Calibri" w:hAnsi="Verdana" w:cs="Arial"/>
                <w:lang w:val="es-ES_tradnl" w:eastAsia="es-ES_tradnl"/>
              </w:rPr>
            </w:pPr>
          </w:p>
        </w:tc>
      </w:tr>
    </w:tbl>
    <w:p w14:paraId="54CD2FFC" w14:textId="77777777" w:rsidR="0070739A" w:rsidRPr="00B1462D" w:rsidRDefault="0070739A" w:rsidP="0070739A">
      <w:pPr>
        <w:spacing w:after="0" w:line="240" w:lineRule="auto"/>
        <w:jc w:val="both"/>
        <w:rPr>
          <w:rFonts w:ascii="Verdana" w:eastAsia="Calibri" w:hAnsi="Verdana" w:cs="Arial"/>
          <w:color w:val="000000"/>
          <w:lang w:val="es-ES_tradnl" w:eastAsia="es-ES_tradnl"/>
        </w:rPr>
      </w:pPr>
    </w:p>
    <w:p w14:paraId="5EB6C2F7" w14:textId="77777777" w:rsidR="0070739A" w:rsidRPr="00B1462D" w:rsidRDefault="0070739A" w:rsidP="0070739A">
      <w:pPr>
        <w:spacing w:after="0" w:line="240" w:lineRule="auto"/>
        <w:jc w:val="both"/>
        <w:rPr>
          <w:rFonts w:ascii="Verdana" w:eastAsia="Calibri" w:hAnsi="Verdana" w:cs="Arial"/>
          <w:color w:val="000000"/>
          <w:lang w:val="es-ES_tradnl" w:eastAsia="es-ES_tradnl"/>
        </w:rPr>
      </w:pPr>
    </w:p>
    <w:p w14:paraId="24627791" w14:textId="77777777" w:rsidR="0070739A" w:rsidRPr="00B1462D" w:rsidRDefault="0070739A" w:rsidP="0070739A">
      <w:pPr>
        <w:spacing w:after="0" w:line="276" w:lineRule="auto"/>
        <w:jc w:val="both"/>
        <w:rPr>
          <w:rFonts w:ascii="Verdana" w:eastAsia="Calibri" w:hAnsi="Verdana" w:cs="Arial"/>
          <w:lang w:val="es-ES" w:eastAsia="es-ES"/>
        </w:rPr>
      </w:pPr>
      <w:r w:rsidRPr="00B1462D">
        <w:rPr>
          <w:rFonts w:ascii="Verdana" w:eastAsia="Calibri" w:hAnsi="Verdana" w:cs="Arial"/>
          <w:lang w:val="es-ES" w:eastAsia="es-ES"/>
        </w:rPr>
        <w:t>Estimado señor</w:t>
      </w:r>
      <w:r>
        <w:rPr>
          <w:rFonts w:ascii="Verdana" w:eastAsia="Calibri" w:hAnsi="Verdana" w:cs="Arial"/>
          <w:lang w:val="es-ES" w:eastAsia="es-ES"/>
        </w:rPr>
        <w:t xml:space="preserve"> </w:t>
      </w:r>
      <w:r>
        <w:rPr>
          <w:rFonts w:ascii="Verdana" w:eastAsia="Calibri" w:hAnsi="Verdana" w:cs="Arial"/>
          <w:lang w:eastAsia="es-ES"/>
        </w:rPr>
        <w:t>Mejía</w:t>
      </w:r>
      <w:r w:rsidRPr="00B1462D">
        <w:rPr>
          <w:rFonts w:ascii="Verdana" w:eastAsia="Calibri" w:hAnsi="Verdana" w:cs="Arial"/>
          <w:lang w:val="es-ES" w:eastAsia="es-ES"/>
        </w:rPr>
        <w:t xml:space="preserve">: </w:t>
      </w:r>
    </w:p>
    <w:p w14:paraId="7091B67C" w14:textId="77777777" w:rsidR="0070739A" w:rsidRPr="00B1462D" w:rsidRDefault="0070739A" w:rsidP="0070739A">
      <w:pPr>
        <w:tabs>
          <w:tab w:val="left" w:pos="3768"/>
        </w:tabs>
        <w:spacing w:after="0" w:line="276" w:lineRule="auto"/>
        <w:jc w:val="both"/>
        <w:rPr>
          <w:rFonts w:ascii="Verdana" w:eastAsia="Calibri" w:hAnsi="Verdana" w:cs="Arial"/>
          <w:color w:val="000000"/>
          <w:lang w:val="es-ES" w:eastAsia="es-ES"/>
        </w:rPr>
      </w:pPr>
      <w:r w:rsidRPr="00B1462D">
        <w:rPr>
          <w:rFonts w:ascii="Verdana" w:eastAsia="Calibri" w:hAnsi="Verdana" w:cs="Arial"/>
          <w:color w:val="000000"/>
          <w:lang w:val="es-ES" w:eastAsia="es-ES"/>
        </w:rPr>
        <w:tab/>
      </w:r>
    </w:p>
    <w:p w14:paraId="2112B7D2" w14:textId="77777777" w:rsidR="0070739A" w:rsidRPr="00B1462D" w:rsidRDefault="0070739A" w:rsidP="0070739A">
      <w:pPr>
        <w:spacing w:after="0" w:line="276" w:lineRule="auto"/>
        <w:jc w:val="both"/>
        <w:rPr>
          <w:rFonts w:ascii="Verdana" w:eastAsia="Calibri" w:hAnsi="Verdana" w:cs="Arial"/>
          <w:lang w:val="es-ES" w:eastAsia="es-ES"/>
        </w:rPr>
      </w:pPr>
      <w:r w:rsidRPr="00B1462D">
        <w:rPr>
          <w:rFonts w:ascii="Verdana" w:eastAsia="Calibri" w:hAnsi="Verdana" w:cs="Arial"/>
          <w:lang w:val="es-ES" w:eastAsia="es-ES"/>
        </w:rPr>
        <w:t>En ejercicio de la competencia otorgada por los artículos 3, numeral 5º, y 11, numeral 8º, del Decreto Ley 4170 de 2011,</w:t>
      </w:r>
      <w:r w:rsidRPr="00B1462D">
        <w:rPr>
          <w:rFonts w:ascii="Verdana" w:eastAsia="Arial MT" w:hAnsi="Verdana" w:cs="Arial MT"/>
          <w:lang w:val="es-ES" w:eastAsia="es-ES"/>
        </w:rPr>
        <w:t xml:space="preserve"> </w:t>
      </w:r>
      <w:r w:rsidRPr="00B1462D">
        <w:rPr>
          <w:rFonts w:ascii="Verdana" w:eastAsia="Aptos" w:hAnsi="Verdana" w:cs="Arial"/>
        </w:rPr>
        <w:t xml:space="preserve">así como lo establecido en el artículo 4 de la Resolución 1707 de 2018 expedida por esta Entidad, </w:t>
      </w:r>
      <w:r w:rsidRPr="00B1462D">
        <w:rPr>
          <w:rFonts w:ascii="Verdana" w:eastAsia="Calibri" w:hAnsi="Verdana" w:cs="Arial"/>
          <w:lang w:val="es-ES" w:eastAsia="es-ES"/>
        </w:rPr>
        <w:t xml:space="preserve">la Agencia Nacional de Contratación Pública – Colombia Compra Eficiente– responde sus solicitudes radicadas en esta entidad el </w:t>
      </w:r>
      <w:r>
        <w:rPr>
          <w:rFonts w:ascii="Verdana" w:eastAsia="Calibri" w:hAnsi="Verdana" w:cs="Arial"/>
          <w:lang w:val="es-ES" w:eastAsia="es-ES"/>
        </w:rPr>
        <w:t>15 de abril</w:t>
      </w:r>
      <w:r w:rsidRPr="00B1462D">
        <w:rPr>
          <w:rFonts w:ascii="Verdana" w:eastAsia="Calibri" w:hAnsi="Verdana" w:cs="Arial"/>
          <w:lang w:val="es-ES" w:eastAsia="es-ES"/>
        </w:rPr>
        <w:t xml:space="preserve"> de 2025, en la cual manifiesta lo siguiente: </w:t>
      </w:r>
    </w:p>
    <w:p w14:paraId="6622C808" w14:textId="77777777" w:rsidR="0070739A" w:rsidRPr="00B1462D" w:rsidRDefault="0070739A" w:rsidP="0070739A">
      <w:pPr>
        <w:spacing w:after="0" w:line="240" w:lineRule="auto"/>
        <w:ind w:right="709"/>
        <w:jc w:val="both"/>
        <w:rPr>
          <w:rFonts w:ascii="Verdana" w:eastAsia="Aptos" w:hAnsi="Verdana" w:cs="Arial"/>
          <w:shd w:val="clear" w:color="auto" w:fill="FFFFFF"/>
        </w:rPr>
      </w:pPr>
      <w:bookmarkStart w:id="1" w:name="_Hlk95313578"/>
    </w:p>
    <w:bookmarkEnd w:id="1"/>
    <w:p w14:paraId="5F60C574" w14:textId="77777777" w:rsidR="0070739A" w:rsidRPr="0055781D" w:rsidRDefault="0070739A" w:rsidP="0070739A">
      <w:pPr>
        <w:spacing w:after="120" w:line="240" w:lineRule="auto"/>
        <w:ind w:left="709" w:right="760"/>
        <w:jc w:val="both"/>
        <w:rPr>
          <w:rFonts w:ascii="Verdana" w:eastAsia="Aptos" w:hAnsi="Verdana" w:cs="Times New Roman"/>
          <w:sz w:val="21"/>
          <w:szCs w:val="21"/>
        </w:rPr>
      </w:pPr>
      <w:r w:rsidRPr="00B1462D">
        <w:rPr>
          <w:rFonts w:ascii="Verdana" w:eastAsia="Aptos" w:hAnsi="Verdana" w:cs="Times New Roman"/>
          <w:sz w:val="21"/>
          <w:szCs w:val="21"/>
        </w:rPr>
        <w:t>“</w:t>
      </w:r>
      <w:proofErr w:type="gramStart"/>
      <w:r w:rsidRPr="0055781D">
        <w:rPr>
          <w:rFonts w:ascii="Verdana" w:eastAsia="Aptos" w:hAnsi="Verdana" w:cs="Times New Roman"/>
          <w:sz w:val="21"/>
          <w:szCs w:val="21"/>
        </w:rPr>
        <w:t>De acuerdo al</w:t>
      </w:r>
      <w:proofErr w:type="gramEnd"/>
      <w:r w:rsidRPr="0055781D">
        <w:rPr>
          <w:rFonts w:ascii="Verdana" w:eastAsia="Aptos" w:hAnsi="Verdana" w:cs="Times New Roman"/>
          <w:sz w:val="21"/>
          <w:szCs w:val="21"/>
        </w:rPr>
        <w:t xml:space="preserve"> artículo 2.2.1.2.4.2.6 del Decreto 1082 de 2015, respecto al puntaje</w:t>
      </w:r>
      <w:r>
        <w:rPr>
          <w:rFonts w:ascii="Verdana" w:eastAsia="Aptos" w:hAnsi="Verdana" w:cs="Times New Roman"/>
          <w:sz w:val="21"/>
          <w:szCs w:val="21"/>
        </w:rPr>
        <w:t xml:space="preserve"> </w:t>
      </w:r>
      <w:r w:rsidRPr="0055781D">
        <w:rPr>
          <w:rFonts w:ascii="Verdana" w:eastAsia="Aptos" w:hAnsi="Verdana" w:cs="Times New Roman"/>
          <w:sz w:val="21"/>
          <w:szCs w:val="21"/>
        </w:rPr>
        <w:t>adicional por vinculación de trabajadores con discapacidad, para el caso de</w:t>
      </w:r>
      <w:r>
        <w:rPr>
          <w:rFonts w:ascii="Verdana" w:eastAsia="Aptos" w:hAnsi="Verdana" w:cs="Times New Roman"/>
          <w:sz w:val="21"/>
          <w:szCs w:val="21"/>
        </w:rPr>
        <w:t xml:space="preserve"> </w:t>
      </w:r>
      <w:r w:rsidRPr="0055781D">
        <w:rPr>
          <w:rFonts w:ascii="Verdana" w:eastAsia="Aptos" w:hAnsi="Verdana" w:cs="Times New Roman"/>
          <w:sz w:val="21"/>
          <w:szCs w:val="21"/>
        </w:rPr>
        <w:t>proponentes plurales, el integrante que pretenda acreditar dicho puntaje debe</w:t>
      </w:r>
      <w:r>
        <w:rPr>
          <w:rFonts w:ascii="Verdana" w:eastAsia="Aptos" w:hAnsi="Verdana" w:cs="Times New Roman"/>
          <w:sz w:val="21"/>
          <w:szCs w:val="21"/>
        </w:rPr>
        <w:t xml:space="preserve"> </w:t>
      </w:r>
      <w:r w:rsidRPr="0055781D">
        <w:rPr>
          <w:rFonts w:ascii="Verdana" w:eastAsia="Aptos" w:hAnsi="Verdana" w:cs="Times New Roman"/>
          <w:sz w:val="21"/>
          <w:szCs w:val="21"/>
        </w:rPr>
        <w:t>aportar como mínimo el cuarenta por ciento (40%) de la experiencia requerida para</w:t>
      </w:r>
      <w:r>
        <w:rPr>
          <w:rFonts w:ascii="Verdana" w:eastAsia="Aptos" w:hAnsi="Verdana" w:cs="Times New Roman"/>
          <w:sz w:val="21"/>
          <w:szCs w:val="21"/>
        </w:rPr>
        <w:t xml:space="preserve"> </w:t>
      </w:r>
      <w:r w:rsidRPr="0055781D">
        <w:rPr>
          <w:rFonts w:ascii="Verdana" w:eastAsia="Aptos" w:hAnsi="Verdana" w:cs="Times New Roman"/>
          <w:sz w:val="21"/>
          <w:szCs w:val="21"/>
        </w:rPr>
        <w:t>la respectiva contratación.</w:t>
      </w:r>
      <w:r>
        <w:rPr>
          <w:rFonts w:ascii="Verdana" w:eastAsia="Aptos" w:hAnsi="Verdana" w:cs="Times New Roman"/>
          <w:sz w:val="21"/>
          <w:szCs w:val="21"/>
        </w:rPr>
        <w:t xml:space="preserve"> </w:t>
      </w:r>
    </w:p>
    <w:p w14:paraId="1E83D839" w14:textId="77777777" w:rsidR="0070739A" w:rsidRPr="0055781D" w:rsidRDefault="0070739A" w:rsidP="0070739A">
      <w:pPr>
        <w:spacing w:after="120" w:line="240" w:lineRule="auto"/>
        <w:ind w:left="709" w:right="760"/>
        <w:jc w:val="both"/>
        <w:rPr>
          <w:rFonts w:ascii="Verdana" w:eastAsia="Aptos" w:hAnsi="Verdana" w:cs="Times New Roman"/>
          <w:sz w:val="21"/>
          <w:szCs w:val="21"/>
        </w:rPr>
      </w:pPr>
      <w:r w:rsidRPr="0055781D">
        <w:rPr>
          <w:rFonts w:ascii="Verdana" w:eastAsia="Aptos" w:hAnsi="Verdana" w:cs="Times New Roman"/>
          <w:sz w:val="21"/>
          <w:szCs w:val="21"/>
        </w:rPr>
        <w:lastRenderedPageBreak/>
        <w:t>Conforme a la norma citada me gustaría tener claridad respecto a si el término</w:t>
      </w:r>
      <w:r>
        <w:rPr>
          <w:rFonts w:ascii="Verdana" w:eastAsia="Aptos" w:hAnsi="Verdana" w:cs="Times New Roman"/>
          <w:sz w:val="21"/>
          <w:szCs w:val="21"/>
        </w:rPr>
        <w:t xml:space="preserve"> </w:t>
      </w:r>
      <w:r w:rsidRPr="0055781D">
        <w:rPr>
          <w:rFonts w:ascii="Verdana" w:eastAsia="Aptos" w:hAnsi="Verdana" w:cs="Times New Roman"/>
          <w:sz w:val="21"/>
          <w:szCs w:val="21"/>
        </w:rPr>
        <w:t>“experiencia requerida” hace referencia al 40% de la experiencia solicitada para el</w:t>
      </w:r>
      <w:r>
        <w:rPr>
          <w:rFonts w:ascii="Verdana" w:eastAsia="Aptos" w:hAnsi="Verdana" w:cs="Times New Roman"/>
          <w:sz w:val="21"/>
          <w:szCs w:val="21"/>
        </w:rPr>
        <w:t xml:space="preserve"> </w:t>
      </w:r>
      <w:r w:rsidRPr="0055781D">
        <w:rPr>
          <w:rFonts w:ascii="Verdana" w:eastAsia="Aptos" w:hAnsi="Verdana" w:cs="Times New Roman"/>
          <w:sz w:val="21"/>
          <w:szCs w:val="21"/>
        </w:rPr>
        <w:t xml:space="preserve">proceso de </w:t>
      </w:r>
      <w:proofErr w:type="gramStart"/>
      <w:r w:rsidRPr="0055781D">
        <w:rPr>
          <w:rFonts w:ascii="Verdana" w:eastAsia="Aptos" w:hAnsi="Verdana" w:cs="Times New Roman"/>
          <w:sz w:val="21"/>
          <w:szCs w:val="21"/>
        </w:rPr>
        <w:t>contratación</w:t>
      </w:r>
      <w:proofErr w:type="gramEnd"/>
      <w:r w:rsidRPr="0055781D">
        <w:rPr>
          <w:rFonts w:ascii="Verdana" w:eastAsia="Aptos" w:hAnsi="Verdana" w:cs="Times New Roman"/>
          <w:sz w:val="21"/>
          <w:szCs w:val="21"/>
        </w:rPr>
        <w:t xml:space="preserve"> es decir, el 100% del presupuesto oficial, o hace referencia</w:t>
      </w:r>
      <w:r>
        <w:rPr>
          <w:rFonts w:ascii="Verdana" w:eastAsia="Aptos" w:hAnsi="Verdana" w:cs="Times New Roman"/>
          <w:sz w:val="21"/>
          <w:szCs w:val="21"/>
        </w:rPr>
        <w:t xml:space="preserve"> </w:t>
      </w:r>
      <w:r w:rsidRPr="0055781D">
        <w:rPr>
          <w:rFonts w:ascii="Verdana" w:eastAsia="Aptos" w:hAnsi="Verdana" w:cs="Times New Roman"/>
          <w:sz w:val="21"/>
          <w:szCs w:val="21"/>
        </w:rPr>
        <w:t>al 40% de la experiencia aportada por el proponente plural.</w:t>
      </w:r>
    </w:p>
    <w:p w14:paraId="430AB775" w14:textId="77777777" w:rsidR="0070739A" w:rsidRPr="00B1462D" w:rsidRDefault="0070739A" w:rsidP="0070739A">
      <w:pPr>
        <w:spacing w:after="120" w:line="240" w:lineRule="auto"/>
        <w:ind w:left="709" w:right="760"/>
        <w:jc w:val="both"/>
        <w:rPr>
          <w:rFonts w:ascii="Verdana" w:eastAsia="Calibri" w:hAnsi="Verdana" w:cs="Arial"/>
          <w:lang w:val="es-ES" w:eastAsia="es-ES"/>
        </w:rPr>
      </w:pPr>
      <w:r w:rsidRPr="0055781D">
        <w:rPr>
          <w:rFonts w:ascii="Verdana" w:eastAsia="Aptos" w:hAnsi="Verdana" w:cs="Times New Roman"/>
          <w:sz w:val="21"/>
          <w:szCs w:val="21"/>
        </w:rPr>
        <w:t>En conclusión, solicito amablemente aclarar si para ser acreedor del puntaje</w:t>
      </w:r>
      <w:r>
        <w:rPr>
          <w:rFonts w:ascii="Verdana" w:eastAsia="Aptos" w:hAnsi="Verdana" w:cs="Times New Roman"/>
          <w:sz w:val="21"/>
          <w:szCs w:val="21"/>
        </w:rPr>
        <w:t xml:space="preserve"> </w:t>
      </w:r>
      <w:r w:rsidRPr="0055781D">
        <w:rPr>
          <w:rFonts w:ascii="Verdana" w:eastAsia="Aptos" w:hAnsi="Verdana" w:cs="Times New Roman"/>
          <w:sz w:val="21"/>
          <w:szCs w:val="21"/>
        </w:rPr>
        <w:t>adicional por vinculación de trabajadores con discapacidad el integrante que</w:t>
      </w:r>
      <w:r>
        <w:rPr>
          <w:rFonts w:ascii="Verdana" w:eastAsia="Aptos" w:hAnsi="Verdana" w:cs="Times New Roman"/>
          <w:sz w:val="21"/>
          <w:szCs w:val="21"/>
        </w:rPr>
        <w:t xml:space="preserve"> </w:t>
      </w:r>
      <w:r w:rsidRPr="0055781D">
        <w:rPr>
          <w:rFonts w:ascii="Verdana" w:eastAsia="Aptos" w:hAnsi="Verdana" w:cs="Times New Roman"/>
          <w:sz w:val="21"/>
          <w:szCs w:val="21"/>
        </w:rPr>
        <w:t>acredite dicha condición ¿debe acreditar el 40% del valor total del presupuesto? O</w:t>
      </w:r>
      <w:r>
        <w:rPr>
          <w:rFonts w:ascii="Verdana" w:eastAsia="Aptos" w:hAnsi="Verdana" w:cs="Times New Roman"/>
          <w:sz w:val="21"/>
          <w:szCs w:val="21"/>
        </w:rPr>
        <w:t xml:space="preserve"> </w:t>
      </w:r>
      <w:r w:rsidRPr="0055781D">
        <w:rPr>
          <w:rFonts w:ascii="Verdana" w:eastAsia="Aptos" w:hAnsi="Verdana" w:cs="Times New Roman"/>
          <w:sz w:val="21"/>
          <w:szCs w:val="21"/>
        </w:rPr>
        <w:t>¿debe acreditar el 40% de la experiencia aportada por el proponente plural?</w:t>
      </w:r>
      <w:r w:rsidRPr="00B1462D">
        <w:rPr>
          <w:rFonts w:ascii="Verdana" w:eastAsia="Aptos" w:hAnsi="Verdana" w:cs="Times New Roman"/>
          <w:sz w:val="21"/>
          <w:szCs w:val="21"/>
        </w:rPr>
        <w:t xml:space="preserve">”. </w:t>
      </w:r>
      <w:r w:rsidRPr="00B1462D" w:rsidDel="00B50FBB">
        <w:rPr>
          <w:rFonts w:ascii="Verdana" w:eastAsia="Calibri" w:hAnsi="Verdana" w:cs="Arial"/>
          <w:sz w:val="21"/>
          <w:szCs w:val="21"/>
          <w:lang w:val="es-ES" w:eastAsia="es-ES"/>
        </w:rPr>
        <w:t xml:space="preserve"> </w:t>
      </w:r>
    </w:p>
    <w:p w14:paraId="0D2CD88D" w14:textId="77777777" w:rsidR="0070739A" w:rsidRPr="00B1462D" w:rsidRDefault="0070739A" w:rsidP="0070739A">
      <w:pPr>
        <w:spacing w:after="0" w:line="276" w:lineRule="auto"/>
        <w:ind w:left="709" w:right="758"/>
        <w:jc w:val="both"/>
        <w:rPr>
          <w:rFonts w:ascii="Verdana" w:eastAsia="Century Gothic" w:hAnsi="Verdana" w:cs="Century Gothic"/>
          <w:i/>
          <w:iCs/>
        </w:rPr>
      </w:pPr>
    </w:p>
    <w:p w14:paraId="0C7C52EC" w14:textId="77777777" w:rsidR="0070739A" w:rsidRPr="00B1462D" w:rsidRDefault="0070739A" w:rsidP="0070739A">
      <w:pPr>
        <w:spacing w:after="120" w:line="276" w:lineRule="auto"/>
        <w:ind w:firstLine="709"/>
        <w:jc w:val="both"/>
        <w:rPr>
          <w:rFonts w:ascii="Verdana" w:eastAsia="Calibri" w:hAnsi="Verdana" w:cs="Arial"/>
          <w:color w:val="000000"/>
          <w:lang w:val="es-ES_tradnl" w:eastAsia="es-ES_tradnl"/>
        </w:rPr>
      </w:pPr>
      <w:r w:rsidRPr="00B1462D">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1462D">
        <w:rPr>
          <w:rFonts w:ascii="Verdana" w:eastAsia="Calibri" w:hAnsi="Verdana" w:cs="Arial"/>
          <w:color w:val="000000"/>
          <w:lang w:val="es-ES_tradnl" w:eastAsia="es-ES_tradnl"/>
        </w:rPr>
        <w:tab/>
      </w:r>
    </w:p>
    <w:p w14:paraId="1885D5F8" w14:textId="77777777" w:rsidR="0070739A" w:rsidRPr="00B1462D" w:rsidRDefault="0070739A" w:rsidP="0070739A">
      <w:pPr>
        <w:spacing w:after="0" w:line="276" w:lineRule="auto"/>
        <w:ind w:firstLine="709"/>
        <w:jc w:val="both"/>
        <w:rPr>
          <w:rFonts w:ascii="Verdana" w:eastAsia="Calibri" w:hAnsi="Verdana" w:cs="Arial"/>
          <w:color w:val="000000"/>
          <w:lang w:val="es-ES" w:eastAsia="es-ES"/>
        </w:rPr>
      </w:pPr>
      <w:r w:rsidRPr="00B1462D">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sidRPr="00B1462D">
        <w:rPr>
          <w:rFonts w:ascii="Verdana" w:eastAsia="Calibri" w:hAnsi="Verdana" w:cs="Arial"/>
          <w:color w:val="7030A0"/>
          <w:lang w:val="es-ES" w:eastAsia="es-ES"/>
        </w:rPr>
        <w:t xml:space="preserve"> </w:t>
      </w:r>
      <w:r w:rsidRPr="00B1462D">
        <w:rPr>
          <w:rFonts w:ascii="Verdana" w:eastAsia="Calibri" w:hAnsi="Verdana" w:cs="Arial"/>
          <w:color w:val="000000"/>
          <w:lang w:val="es-ES" w:eastAsia="es-ES"/>
        </w:rPr>
        <w:t>jurídico</w:t>
      </w:r>
      <w:r w:rsidRPr="00B1462D">
        <w:rPr>
          <w:rFonts w:ascii="Verdana" w:eastAsia="Calibri" w:hAnsi="Verdana" w:cs="Arial"/>
          <w:color w:val="7030A0"/>
          <w:lang w:val="es-ES" w:eastAsia="es-ES"/>
        </w:rPr>
        <w:t xml:space="preserve"> </w:t>
      </w:r>
      <w:r w:rsidRPr="00B1462D">
        <w:rPr>
          <w:rFonts w:ascii="Verdana" w:eastAsia="Calibri" w:hAnsi="Verdana" w:cs="Arial"/>
          <w:color w:val="000000"/>
          <w:lang w:val="es-ES" w:eastAsia="es-ES"/>
        </w:rPr>
        <w:t xml:space="preserve">de su consulta. </w:t>
      </w:r>
    </w:p>
    <w:p w14:paraId="616E4157" w14:textId="77777777" w:rsidR="0070739A" w:rsidRPr="00B1462D" w:rsidRDefault="0070739A" w:rsidP="0070739A">
      <w:pPr>
        <w:spacing w:after="0" w:line="276" w:lineRule="auto"/>
        <w:ind w:firstLine="709"/>
        <w:jc w:val="both"/>
        <w:rPr>
          <w:rFonts w:ascii="Verdana" w:eastAsia="Calibri" w:hAnsi="Verdana" w:cs="Arial"/>
          <w:color w:val="000000"/>
          <w:lang w:val="es-ES" w:eastAsia="es-ES"/>
        </w:rPr>
      </w:pPr>
    </w:p>
    <w:p w14:paraId="5DCD93ED" w14:textId="77777777" w:rsidR="0070739A" w:rsidRPr="00B1462D" w:rsidRDefault="0070739A" w:rsidP="0070739A">
      <w:pPr>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B1462D">
        <w:rPr>
          <w:rFonts w:ascii="Verdana" w:eastAsia="Century Gothic" w:hAnsi="Verdana" w:cs="Century Gothic"/>
          <w:b/>
          <w:bCs/>
        </w:rPr>
        <w:t>Problema planteado:</w:t>
      </w:r>
    </w:p>
    <w:p w14:paraId="32B0C576" w14:textId="77777777" w:rsidR="0070739A" w:rsidRPr="00B1462D" w:rsidRDefault="0070739A" w:rsidP="0070739A">
      <w:pPr>
        <w:tabs>
          <w:tab w:val="left" w:pos="426"/>
        </w:tabs>
        <w:spacing w:after="0" w:line="276" w:lineRule="auto"/>
        <w:jc w:val="both"/>
        <w:rPr>
          <w:rFonts w:ascii="Verdana" w:eastAsia="Century Gothic" w:hAnsi="Verdana" w:cs="Century Gothic"/>
          <w:lang w:val="es-ES"/>
        </w:rPr>
      </w:pPr>
    </w:p>
    <w:p w14:paraId="42941BF4" w14:textId="77777777" w:rsidR="0070739A" w:rsidRPr="00B1462D" w:rsidRDefault="0070739A" w:rsidP="0070739A">
      <w:pPr>
        <w:spacing w:after="0"/>
        <w:jc w:val="both"/>
        <w:rPr>
          <w:rFonts w:ascii="Verdana" w:eastAsia="Calibri" w:hAnsi="Verdana" w:cs="Arial"/>
          <w:color w:val="000000"/>
          <w:lang w:val="es-ES" w:eastAsia="es-ES"/>
        </w:rPr>
      </w:pPr>
      <w:r w:rsidRPr="00B1462D">
        <w:rPr>
          <w:rFonts w:ascii="Verdana" w:eastAsia="Calibri" w:hAnsi="Verdana" w:cs="Arial"/>
          <w:color w:val="000000"/>
          <w:lang w:val="es-ES" w:eastAsia="es-ES"/>
        </w:rPr>
        <w:t xml:space="preserve">De acuerdo con el contenido de su solicitud, esta Agencia resolverá el siguiente problema jurídico: </w:t>
      </w:r>
      <w:proofErr w:type="gramStart"/>
      <w:r w:rsidRPr="00B1462D">
        <w:rPr>
          <w:rFonts w:ascii="Verdana" w:eastAsia="Calibri" w:hAnsi="Verdana" w:cs="Arial"/>
          <w:color w:val="000000"/>
          <w:lang w:val="es-ES" w:eastAsia="es-ES"/>
        </w:rPr>
        <w:t>¿Cómo opera la acreditación de la experiencia por parte de un proponente plural para acceder a los incentivos aplicables por la contratación de personas con discapacidad en procesos licitatorios o de concurso de méritos de conformidad con el parágrafo del artículo 2.</w:t>
      </w:r>
      <w:proofErr w:type="gramEnd"/>
      <w:r w:rsidRPr="00B1462D">
        <w:rPr>
          <w:rFonts w:ascii="Verdana" w:eastAsia="Calibri" w:hAnsi="Verdana" w:cs="Arial"/>
          <w:color w:val="000000"/>
          <w:lang w:val="es-ES" w:eastAsia="es-ES"/>
        </w:rPr>
        <w:t>2.1.2.4.2.6 del Decreto 1082 de 2015, adicionado por el Decreto 392 de 2018?</w:t>
      </w:r>
    </w:p>
    <w:p w14:paraId="4701428C" w14:textId="77777777" w:rsidR="0070739A" w:rsidRPr="00B1462D" w:rsidRDefault="0070739A" w:rsidP="0070739A">
      <w:pPr>
        <w:spacing w:after="0" w:line="276" w:lineRule="auto"/>
        <w:jc w:val="both"/>
        <w:rPr>
          <w:rFonts w:ascii="Verdana" w:eastAsia="Century Gothic" w:hAnsi="Verdana" w:cs="Century Gothic"/>
          <w:lang w:val="es-ES"/>
        </w:rPr>
      </w:pPr>
    </w:p>
    <w:p w14:paraId="1662C5B6" w14:textId="77777777" w:rsidR="0070739A" w:rsidRPr="00B1462D" w:rsidRDefault="0070739A" w:rsidP="0070739A">
      <w:pPr>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B1462D">
        <w:rPr>
          <w:rFonts w:ascii="Verdana" w:eastAsia="Century Gothic" w:hAnsi="Verdana" w:cs="Century Gothic"/>
          <w:b/>
          <w:bCs/>
        </w:rPr>
        <w:lastRenderedPageBreak/>
        <w:t>Respuesta:</w:t>
      </w:r>
    </w:p>
    <w:p w14:paraId="66478A37" w14:textId="77777777" w:rsidR="0070739A" w:rsidRPr="00B1462D" w:rsidRDefault="0070739A" w:rsidP="0070739A">
      <w:pPr>
        <w:tabs>
          <w:tab w:val="left" w:pos="142"/>
          <w:tab w:val="left" w:pos="284"/>
        </w:tabs>
        <w:spacing w:after="0" w:line="276" w:lineRule="auto"/>
        <w:jc w:val="both"/>
        <w:rPr>
          <w:rFonts w:ascii="Verdana" w:eastAsia="Century Gothic" w:hAnsi="Verdana" w:cs="Century Gothic"/>
          <w:b/>
          <w:bC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0739A" w:rsidRPr="00B1462D" w14:paraId="590493ED" w14:textId="77777777" w:rsidTr="005A1DE1">
        <w:trPr>
          <w:trHeight w:val="632"/>
        </w:trPr>
        <w:tc>
          <w:tcPr>
            <w:tcW w:w="8828" w:type="dxa"/>
            <w:shd w:val="clear" w:color="auto" w:fill="auto"/>
          </w:tcPr>
          <w:p w14:paraId="618E5B89" w14:textId="77777777" w:rsidR="0070739A" w:rsidRPr="00B1462D" w:rsidRDefault="0070739A" w:rsidP="005A1DE1">
            <w:pPr>
              <w:spacing w:line="276" w:lineRule="auto"/>
              <w:jc w:val="both"/>
              <w:rPr>
                <w:rFonts w:ascii="Verdana" w:eastAsia="Times New Roman" w:hAnsi="Verdana" w:cs="Arial"/>
                <w:color w:val="000000"/>
                <w:lang w:val="es-ES" w:eastAsia="es-CO"/>
              </w:rPr>
            </w:pPr>
            <w:r w:rsidRPr="695EE5D6">
              <w:rPr>
                <w:rFonts w:ascii="Verdana" w:eastAsia="Calibri" w:hAnsi="Verdana" w:cs="Arial"/>
                <w:color w:val="000000" w:themeColor="text1"/>
                <w:lang w:val="es-ES" w:eastAsia="en-GB"/>
              </w:rPr>
              <w:t>El parágrafo del artículo 2.2.1.2.4.6 del Decreto 1082 de 2019, adicionado por el artículo primero del Decreto 392</w:t>
            </w:r>
            <w:r w:rsidRPr="695EE5D6">
              <w:rPr>
                <w:rFonts w:ascii="Verdana" w:eastAsia="Aptos" w:hAnsi="Verdana" w:cs="Arial"/>
                <w:color w:val="000000" w:themeColor="text1"/>
                <w:lang w:val="es-ES"/>
              </w:rPr>
              <w:t xml:space="preserve"> de 2018 prescribió un requisito adicional para el caso de proponentes plurales como los consorcios, </w:t>
            </w:r>
            <w:r>
              <w:rPr>
                <w:rFonts w:ascii="Verdana" w:eastAsia="Aptos" w:hAnsi="Verdana" w:cs="Arial"/>
                <w:color w:val="000000" w:themeColor="text1"/>
                <w:lang w:val="es-ES"/>
              </w:rPr>
              <w:t xml:space="preserve">uniones temporales </w:t>
            </w:r>
            <w:r w:rsidRPr="695EE5D6">
              <w:rPr>
                <w:rFonts w:ascii="Verdana" w:eastAsia="Aptos" w:hAnsi="Verdana" w:cs="Arial"/>
                <w:color w:val="000000" w:themeColor="text1"/>
                <w:lang w:val="es-ES"/>
              </w:rPr>
              <w:t xml:space="preserve">o las promesas de sociedad futura. Al respecto, la norma señala lo siguiente: </w:t>
            </w:r>
          </w:p>
          <w:p w14:paraId="2D5A84C4" w14:textId="77777777" w:rsidR="0070739A" w:rsidRPr="00B1462D" w:rsidRDefault="0070739A" w:rsidP="005A1DE1">
            <w:pPr>
              <w:ind w:left="720"/>
              <w:rPr>
                <w:rFonts w:ascii="Verdana" w:eastAsia="Calibri" w:hAnsi="Verdana" w:cs="Arial"/>
                <w:color w:val="000000"/>
                <w:lang w:val="es-ES"/>
              </w:rPr>
            </w:pPr>
          </w:p>
          <w:p w14:paraId="04A41F8F" w14:textId="77777777" w:rsidR="0070739A" w:rsidRPr="001C3B73" w:rsidRDefault="0070739A" w:rsidP="005A1DE1">
            <w:pPr>
              <w:ind w:left="709" w:right="709"/>
              <w:jc w:val="both"/>
              <w:rPr>
                <w:rFonts w:ascii="Verdana" w:eastAsia="Times New Roman" w:hAnsi="Verdana" w:cs="Arial"/>
                <w:color w:val="000000"/>
                <w:sz w:val="21"/>
                <w:szCs w:val="21"/>
                <w:lang w:val="es-ES" w:eastAsia="es-CO"/>
              </w:rPr>
            </w:pPr>
            <w:r w:rsidRPr="001C3B73">
              <w:rPr>
                <w:rFonts w:ascii="Verdana" w:eastAsia="Times New Roman" w:hAnsi="Verdana" w:cs="Arial"/>
                <w:color w:val="000000"/>
                <w:sz w:val="21"/>
                <w:szCs w:val="21"/>
                <w:lang w:val="es-ES" w:eastAsia="es-CO"/>
              </w:rPr>
              <w:t>Parágrafo.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14:paraId="275B67F3" w14:textId="77777777" w:rsidR="0070739A" w:rsidRPr="00B1462D" w:rsidRDefault="0070739A" w:rsidP="005A1DE1">
            <w:pPr>
              <w:ind w:left="720"/>
              <w:rPr>
                <w:rFonts w:ascii="Verdana" w:eastAsia="Calibri" w:hAnsi="Verdana" w:cs="Arial"/>
                <w:color w:val="000000"/>
                <w:lang w:val="es-ES"/>
              </w:rPr>
            </w:pPr>
          </w:p>
          <w:p w14:paraId="78AF9530" w14:textId="42F8E9AE" w:rsidR="0070739A" w:rsidRPr="00B1462D" w:rsidRDefault="0070739A" w:rsidP="005A1DE1">
            <w:pPr>
              <w:spacing w:line="276" w:lineRule="auto"/>
              <w:jc w:val="both"/>
              <w:rPr>
                <w:rFonts w:ascii="Verdana" w:eastAsia="Times New Roman" w:hAnsi="Verdana" w:cs="Arial"/>
                <w:color w:val="000000"/>
                <w:lang w:val="es-ES" w:eastAsia="es-CO"/>
              </w:rPr>
            </w:pPr>
            <w:r w:rsidRPr="695EE5D6">
              <w:rPr>
                <w:rFonts w:ascii="Verdana" w:eastAsia="Calibri" w:hAnsi="Verdana" w:cs="Arial"/>
                <w:color w:val="000000" w:themeColor="text1"/>
                <w:lang w:val="es-ES"/>
              </w:rPr>
              <w:t>La expresión “tendrá en cuenta”, que señala la norma, implica que la verificación del cumplimiento de requisitos establecidos en el Decreto 392 de 201</w:t>
            </w:r>
            <w:r>
              <w:rPr>
                <w:rFonts w:ascii="Verdana" w:eastAsia="Calibri" w:hAnsi="Verdana" w:cs="Arial"/>
                <w:color w:val="000000" w:themeColor="text1"/>
                <w:lang w:val="es-ES"/>
              </w:rPr>
              <w:t>8</w:t>
            </w:r>
            <w:r w:rsidRPr="695EE5D6">
              <w:rPr>
                <w:rFonts w:ascii="Verdana" w:eastAsia="Calibri" w:hAnsi="Verdana" w:cs="Arial"/>
                <w:color w:val="000000" w:themeColor="text1"/>
                <w:lang w:val="es-ES"/>
              </w:rPr>
              <w:t xml:space="preserve"> se realiza sobre el integrante de la estructura plural que aporte mínimo el cuarenta por ciento (40%) de la experiencia</w:t>
            </w:r>
            <w:r w:rsidR="003F60E5">
              <w:rPr>
                <w:rFonts w:ascii="Verdana" w:eastAsia="Calibri" w:hAnsi="Verdana" w:cs="Arial"/>
                <w:color w:val="000000" w:themeColor="text1"/>
                <w:lang w:val="es-ES"/>
              </w:rPr>
              <w:t xml:space="preserve"> requerida</w:t>
            </w:r>
            <w:r w:rsidRPr="695EE5D6">
              <w:rPr>
                <w:rFonts w:ascii="Verdana" w:eastAsia="Calibri" w:hAnsi="Verdana" w:cs="Arial"/>
                <w:color w:val="000000" w:themeColor="text1"/>
                <w:lang w:val="es-ES"/>
              </w:rPr>
              <w:t xml:space="preserve">. En contraste, si el integrante que aporta este porcentaje no tiene vinculados trabajadores en condición de discapacidad, no podrá el consorcio o la unión temporal al que hace parte obtener puntaje por este criterio. Ello es así, aun cuando los demás integrantes que hayan aportado experiencia en un porcentaje inferior al cuarenta por ciento (40%) cuenten con trabajadores en condición de discapacidad. </w:t>
            </w:r>
          </w:p>
          <w:p w14:paraId="02FB5052" w14:textId="77777777" w:rsidR="0070739A" w:rsidRPr="00B1462D" w:rsidRDefault="0070739A" w:rsidP="005A1DE1">
            <w:pPr>
              <w:spacing w:line="276" w:lineRule="auto"/>
              <w:jc w:val="both"/>
              <w:rPr>
                <w:rFonts w:ascii="Verdana" w:eastAsia="Times New Roman" w:hAnsi="Verdana" w:cs="Arial"/>
                <w:color w:val="000000"/>
                <w:lang w:val="es-ES" w:eastAsia="es-CO"/>
              </w:rPr>
            </w:pPr>
          </w:p>
          <w:p w14:paraId="7E451341" w14:textId="77777777" w:rsidR="0070739A" w:rsidRPr="00B1462D" w:rsidRDefault="0070739A" w:rsidP="005A1DE1">
            <w:pPr>
              <w:spacing w:line="276" w:lineRule="auto"/>
              <w:jc w:val="both"/>
              <w:rPr>
                <w:rFonts w:ascii="Verdana" w:eastAsia="Calibri" w:hAnsi="Verdana" w:cs="Arial"/>
                <w:color w:val="000000"/>
                <w:lang w:val="es-ES"/>
              </w:rPr>
            </w:pPr>
            <w:r w:rsidRPr="00B1462D">
              <w:rPr>
                <w:rFonts w:ascii="Verdana" w:eastAsia="Calibri" w:hAnsi="Verdana" w:cs="Arial"/>
                <w:color w:val="000000"/>
                <w:lang w:val="es-ES"/>
              </w:rPr>
              <w:t xml:space="preserve">Debe observarse que, dentro de los procesos de selección por licitación o concurso de méritos, puede exigirse la acreditación de experiencia general y/o experiencia específica. Por tal motivo, resulta necesario determinar en cuál de estas categorías resulta aplicable el cuarenta por ciento (40%) al que alude el artículo 2.2.1.1.1.5.3. del Decreto Único Reglamentario 1082 de 2015. </w:t>
            </w:r>
          </w:p>
          <w:p w14:paraId="3B00B108" w14:textId="77777777" w:rsidR="0070739A" w:rsidRPr="00B1462D" w:rsidRDefault="0070739A" w:rsidP="005A1DE1">
            <w:pPr>
              <w:spacing w:line="276" w:lineRule="auto"/>
              <w:ind w:left="641"/>
              <w:jc w:val="both"/>
              <w:rPr>
                <w:rFonts w:ascii="Verdana" w:eastAsia="Calibri" w:hAnsi="Verdana" w:cs="Arial"/>
                <w:color w:val="000000"/>
                <w:lang w:val="es-ES"/>
              </w:rPr>
            </w:pPr>
          </w:p>
          <w:p w14:paraId="24945999" w14:textId="77777777" w:rsidR="0070739A" w:rsidRPr="00B1462D" w:rsidRDefault="0070739A" w:rsidP="005A1DE1">
            <w:pPr>
              <w:spacing w:line="276" w:lineRule="auto"/>
              <w:jc w:val="both"/>
              <w:rPr>
                <w:rFonts w:ascii="Verdana" w:eastAsia="Calibri" w:hAnsi="Verdana" w:cs="Arial"/>
                <w:color w:val="000000"/>
                <w:lang w:val="es-ES"/>
              </w:rPr>
            </w:pPr>
            <w:r w:rsidRPr="695EE5D6">
              <w:rPr>
                <w:rFonts w:ascii="Verdana" w:eastAsia="Calibri" w:hAnsi="Verdana" w:cs="Arial"/>
                <w:color w:val="000000" w:themeColor="text1"/>
                <w:lang w:val="es-ES"/>
              </w:rPr>
              <w:t xml:space="preserve">La norma citada se refiere a los requisitos habilitantes, dentro de los cuales se encuentra incluida la experiencia derivada de contratos celebrados por el interesado para cada uno de los bienes, obras o </w:t>
            </w:r>
            <w:r w:rsidRPr="695EE5D6">
              <w:rPr>
                <w:rFonts w:ascii="Verdana" w:eastAsia="Calibri" w:hAnsi="Verdana" w:cs="Arial"/>
                <w:color w:val="000000" w:themeColor="text1"/>
                <w:lang w:val="es-ES"/>
              </w:rPr>
              <w:lastRenderedPageBreak/>
              <w:t xml:space="preserve">servicios que se ofrecerán a las entidades estatales, identificados por el clasificador de bienes y servicios en el tercer nivel y su valor expresado en SMMLV. Adicionalmente, las condiciones generales y/o específicas de acreditación de experiencia y asignación de incentivos deben estar consignadas en el pliego de condiciones elaborado por la entidad para el respectivo proceso de selección, dentro del capítulo de requisitos habilitantes. </w:t>
            </w:r>
          </w:p>
          <w:p w14:paraId="6A3E0651" w14:textId="77777777" w:rsidR="0070739A" w:rsidRPr="00B1462D" w:rsidRDefault="0070739A" w:rsidP="005A1DE1">
            <w:pPr>
              <w:spacing w:line="276" w:lineRule="auto"/>
              <w:jc w:val="both"/>
              <w:rPr>
                <w:rFonts w:ascii="Verdana" w:eastAsia="Calibri" w:hAnsi="Verdana" w:cs="Arial"/>
                <w:color w:val="000000"/>
                <w:lang w:val="es-ES"/>
              </w:rPr>
            </w:pPr>
          </w:p>
          <w:p w14:paraId="6885330E" w14:textId="77777777" w:rsidR="0070739A" w:rsidRPr="00B1462D" w:rsidRDefault="0070739A" w:rsidP="005A1DE1">
            <w:pPr>
              <w:spacing w:line="276" w:lineRule="auto"/>
              <w:jc w:val="both"/>
              <w:rPr>
                <w:rFonts w:ascii="Verdana" w:eastAsia="Calibri" w:hAnsi="Verdana" w:cs="Arial"/>
                <w:u w:val="single"/>
                <w:lang w:val="es-ES_tradnl"/>
              </w:rPr>
            </w:pPr>
            <w:r w:rsidRPr="00B1462D">
              <w:rPr>
                <w:rFonts w:ascii="Verdana" w:eastAsia="Calibri" w:hAnsi="Verdana" w:cs="Arial"/>
                <w:color w:val="000000"/>
                <w:lang w:val="es-ES"/>
              </w:rPr>
              <w:t>De acuerdo con lo indicado la expresión “experiencia requerida”</w:t>
            </w:r>
            <w:r>
              <w:rPr>
                <w:rFonts w:ascii="Verdana" w:eastAsia="Calibri" w:hAnsi="Verdana" w:cs="Arial"/>
                <w:color w:val="000000"/>
                <w:lang w:val="es-ES"/>
              </w:rPr>
              <w:t xml:space="preserve"> contenida en el parágrafo señalado,</w:t>
            </w:r>
            <w:r w:rsidRPr="00B1462D">
              <w:rPr>
                <w:rFonts w:ascii="Verdana" w:eastAsia="Calibri" w:hAnsi="Verdana" w:cs="Arial"/>
                <w:color w:val="000000"/>
                <w:lang w:val="es-ES"/>
              </w:rPr>
              <w:t xml:space="preserve"> debe interpretarse como aquella determinada como requisito habilitante para participar en el respectivo proceso de selección bien sea por licitación pública o por concurso de méritos.</w:t>
            </w:r>
          </w:p>
        </w:tc>
      </w:tr>
    </w:tbl>
    <w:p w14:paraId="1FABBDE5" w14:textId="77777777" w:rsidR="0070739A" w:rsidRPr="00B1462D" w:rsidRDefault="0070739A" w:rsidP="0070739A">
      <w:pPr>
        <w:tabs>
          <w:tab w:val="left" w:pos="142"/>
          <w:tab w:val="left" w:pos="284"/>
        </w:tabs>
        <w:spacing w:after="0" w:line="276" w:lineRule="auto"/>
        <w:jc w:val="both"/>
        <w:rPr>
          <w:rFonts w:ascii="Verdana" w:eastAsia="Century Gothic" w:hAnsi="Verdana" w:cs="Century Gothic"/>
          <w:b/>
          <w:bCs/>
        </w:rPr>
      </w:pPr>
    </w:p>
    <w:p w14:paraId="1AA0C905" w14:textId="77777777" w:rsidR="0070739A" w:rsidRPr="00B1462D" w:rsidRDefault="0070739A" w:rsidP="0070739A">
      <w:pPr>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B1462D">
        <w:rPr>
          <w:rFonts w:ascii="Verdana" w:eastAsia="Century Gothic" w:hAnsi="Verdana" w:cs="Century Gothic"/>
          <w:b/>
          <w:bCs/>
        </w:rPr>
        <w:t>Razones de la respuesta:</w:t>
      </w:r>
    </w:p>
    <w:p w14:paraId="254C7B97" w14:textId="77777777" w:rsidR="0070739A" w:rsidRPr="00B1462D" w:rsidRDefault="0070739A" w:rsidP="0070739A">
      <w:pPr>
        <w:spacing w:after="0" w:line="276" w:lineRule="auto"/>
        <w:jc w:val="both"/>
        <w:rPr>
          <w:rFonts w:ascii="Verdana" w:eastAsia="Calibri" w:hAnsi="Verdana" w:cs="Arial"/>
          <w:color w:val="7030A0"/>
          <w:lang w:val="es-ES"/>
        </w:rPr>
      </w:pPr>
    </w:p>
    <w:p w14:paraId="022E213B" w14:textId="77777777" w:rsidR="0070739A" w:rsidRPr="00B1462D" w:rsidRDefault="0070739A" w:rsidP="0070739A">
      <w:pPr>
        <w:spacing w:after="0" w:line="276" w:lineRule="auto"/>
        <w:jc w:val="both"/>
        <w:rPr>
          <w:rFonts w:ascii="Verdana" w:eastAsia="Calibri" w:hAnsi="Verdana" w:cs="Arial"/>
          <w:lang w:val="es-ES"/>
        </w:rPr>
      </w:pPr>
      <w:r w:rsidRPr="00B1462D">
        <w:rPr>
          <w:rFonts w:ascii="Verdana" w:eastAsia="Calibri" w:hAnsi="Verdana" w:cs="Arial"/>
          <w:lang w:val="es-ES"/>
        </w:rPr>
        <w:t xml:space="preserve">Lo anterior se sustenta en las siguientes consideraciones: </w:t>
      </w:r>
    </w:p>
    <w:p w14:paraId="3EBD91F3" w14:textId="77777777" w:rsidR="0070739A" w:rsidRPr="00B1462D" w:rsidRDefault="0070739A" w:rsidP="0070739A">
      <w:pPr>
        <w:spacing w:after="0" w:line="276" w:lineRule="auto"/>
        <w:jc w:val="both"/>
        <w:rPr>
          <w:rFonts w:ascii="Verdana" w:eastAsia="Calibri" w:hAnsi="Verdana" w:cs="Arial"/>
          <w:lang w:val="es-ES"/>
        </w:rPr>
      </w:pPr>
    </w:p>
    <w:p w14:paraId="0994F5FE" w14:textId="77777777" w:rsidR="0070739A" w:rsidRPr="00B1462D" w:rsidRDefault="0070739A" w:rsidP="0070739A">
      <w:pPr>
        <w:numPr>
          <w:ilvl w:val="0"/>
          <w:numId w:val="18"/>
        </w:numPr>
        <w:spacing w:line="276" w:lineRule="auto"/>
        <w:contextualSpacing/>
        <w:jc w:val="both"/>
        <w:rPr>
          <w:rFonts w:ascii="Verdana" w:eastAsia="Calibri" w:hAnsi="Verdana" w:cs="Arial"/>
          <w:color w:val="000000"/>
          <w:lang w:val="es-ES"/>
        </w:rPr>
      </w:pPr>
      <w:r w:rsidRPr="00B1462D">
        <w:rPr>
          <w:rFonts w:ascii="Verdana" w:eastAsia="Calibri" w:hAnsi="Verdana" w:cs="Arial"/>
          <w:color w:val="000000"/>
          <w:lang w:val="es-ES"/>
        </w:rPr>
        <w:t>Con la expedición de la Ley 1618 de 2013, el legislador estableció ciertas disposiciones para garantizar el ejercicio de los derechos de las personas en condición de discapacidad</w:t>
      </w:r>
      <w:r w:rsidRPr="00B1462D">
        <w:rPr>
          <w:rFonts w:ascii="Verdana" w:eastAsia="Aptos" w:hAnsi="Verdana" w:cs="Times New Roman"/>
          <w:vertAlign w:val="superscript"/>
          <w:lang w:val="es-ES"/>
        </w:rPr>
        <w:footnoteReference w:id="2"/>
      </w:r>
      <w:r w:rsidRPr="00B1462D">
        <w:rPr>
          <w:rFonts w:ascii="Verdana" w:eastAsia="Calibri" w:hAnsi="Verdana" w:cs="Arial"/>
          <w:color w:val="000000"/>
          <w:lang w:val="es-ES"/>
        </w:rPr>
        <w:t>. Así mismo, el artículo 13 ordenó al Gobierno Nacional expedir un reglamento que determinara la metodología mediante la cual se otorgaría el puntaje adicional a las empresas que en su planta de personal tuvieran contratados trabajadores en condición de discapacidad. El artículo señalado de la Ley 1618 de 2013 prescribe, lo siguiente:</w:t>
      </w:r>
    </w:p>
    <w:p w14:paraId="32ADCC2B" w14:textId="77777777" w:rsidR="0070739A" w:rsidRPr="00B1462D" w:rsidRDefault="0070739A" w:rsidP="0070739A">
      <w:pPr>
        <w:spacing w:after="18"/>
        <w:jc w:val="both"/>
        <w:rPr>
          <w:rFonts w:ascii="Verdana" w:eastAsia="Calibri" w:hAnsi="Verdana" w:cs="Arial"/>
          <w:color w:val="000000"/>
          <w:lang w:val="es-ES_tradnl"/>
        </w:rPr>
      </w:pPr>
    </w:p>
    <w:p w14:paraId="507E5E9E" w14:textId="77777777" w:rsidR="0070739A" w:rsidRPr="00B1462D" w:rsidRDefault="0070739A" w:rsidP="0070739A">
      <w:pPr>
        <w:spacing w:after="120"/>
        <w:ind w:left="709" w:right="709"/>
        <w:jc w:val="both"/>
        <w:rPr>
          <w:rFonts w:ascii="Verdana" w:eastAsia="Calibri" w:hAnsi="Verdana" w:cs="Arial"/>
          <w:color w:val="000000"/>
          <w:sz w:val="21"/>
          <w:szCs w:val="21"/>
          <w:lang w:val="es-ES_tradnl"/>
        </w:rPr>
      </w:pPr>
      <w:r w:rsidRPr="00B1462D">
        <w:rPr>
          <w:rFonts w:ascii="Verdana" w:eastAsia="Calibri" w:hAnsi="Verdana" w:cs="Arial"/>
          <w:color w:val="000000"/>
          <w:sz w:val="21"/>
          <w:szCs w:val="21"/>
          <w:lang w:val="es-ES_tradnl"/>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w:t>
      </w:r>
      <w:r w:rsidRPr="00B1462D">
        <w:rPr>
          <w:rFonts w:ascii="Verdana" w:eastAsia="Calibri" w:hAnsi="Verdana" w:cs="Arial"/>
          <w:color w:val="000000"/>
          <w:sz w:val="21"/>
          <w:szCs w:val="21"/>
          <w:lang w:val="es-ES_tradnl"/>
        </w:rPr>
        <w:lastRenderedPageBreak/>
        <w:t xml:space="preserve">haga sus veces y demás entidades competentes establecerán entre otras, las siguientes medidas: </w:t>
      </w:r>
    </w:p>
    <w:p w14:paraId="1B00BACD" w14:textId="77777777" w:rsidR="0070739A" w:rsidRPr="00B1462D" w:rsidRDefault="0070739A" w:rsidP="0070739A">
      <w:pPr>
        <w:spacing w:after="120"/>
        <w:ind w:left="709" w:right="709"/>
        <w:jc w:val="both"/>
        <w:rPr>
          <w:rFonts w:ascii="Verdana" w:eastAsia="Calibri" w:hAnsi="Verdana" w:cs="Arial"/>
          <w:color w:val="000000"/>
          <w:sz w:val="21"/>
          <w:szCs w:val="21"/>
          <w:lang w:val="es-ES_tradnl"/>
        </w:rPr>
      </w:pPr>
      <w:r w:rsidRPr="00B1462D">
        <w:rPr>
          <w:rFonts w:ascii="Verdana" w:eastAsia="Calibri" w:hAnsi="Verdana" w:cs="Arial"/>
          <w:color w:val="000000"/>
          <w:sz w:val="21"/>
          <w:szCs w:val="21"/>
          <w:lang w:val="es-ES_tradnl"/>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060B176E" w14:textId="77777777" w:rsidR="0070739A" w:rsidRPr="00B1462D" w:rsidRDefault="0070739A" w:rsidP="0070739A">
      <w:pPr>
        <w:spacing w:after="120"/>
        <w:ind w:left="709" w:right="709"/>
        <w:jc w:val="both"/>
        <w:rPr>
          <w:rFonts w:ascii="Verdana" w:eastAsia="Calibri" w:hAnsi="Verdana" w:cs="Arial"/>
          <w:color w:val="000000"/>
          <w:sz w:val="21"/>
          <w:szCs w:val="21"/>
          <w:lang w:val="es-ES_tradnl"/>
        </w:rPr>
      </w:pPr>
      <w:r w:rsidRPr="00B1462D">
        <w:rPr>
          <w:rFonts w:ascii="Verdana" w:eastAsia="Calibri" w:hAnsi="Verdana" w:cs="Arial"/>
          <w:color w:val="000000"/>
          <w:sz w:val="21"/>
          <w:szCs w:val="21"/>
          <w:lang w:val="es-ES_tradnl"/>
        </w:rPr>
        <w:t>[…]</w:t>
      </w:r>
    </w:p>
    <w:p w14:paraId="728E78FA" w14:textId="77777777" w:rsidR="0070739A" w:rsidRPr="00B1462D" w:rsidRDefault="0070739A" w:rsidP="0070739A">
      <w:pPr>
        <w:spacing w:after="0"/>
        <w:ind w:left="708" w:right="709"/>
        <w:jc w:val="both"/>
        <w:rPr>
          <w:rFonts w:ascii="Verdana" w:eastAsia="Calibri" w:hAnsi="Verdana" w:cs="Arial"/>
          <w:color w:val="000000"/>
          <w:sz w:val="21"/>
          <w:szCs w:val="21"/>
          <w:lang w:val="es-ES"/>
        </w:rPr>
      </w:pPr>
      <w:r w:rsidRPr="00B1462D">
        <w:rPr>
          <w:rFonts w:ascii="Verdana" w:eastAsia="Calibri" w:hAnsi="Verdana" w:cs="Arial"/>
          <w:color w:val="000000"/>
          <w:sz w:val="21"/>
          <w:szCs w:val="21"/>
          <w:lang w:val="es-ES"/>
        </w:rPr>
        <w:t xml:space="preserve">8. Los </w:t>
      </w:r>
      <w:proofErr w:type="gramStart"/>
      <w:r w:rsidRPr="00B1462D">
        <w:rPr>
          <w:rFonts w:ascii="Verdana" w:eastAsia="Calibri" w:hAnsi="Verdana" w:cs="Arial"/>
          <w:color w:val="000000"/>
          <w:sz w:val="21"/>
          <w:szCs w:val="21"/>
          <w:lang w:val="es-ES"/>
        </w:rPr>
        <w:t>gobiernos nacional</w:t>
      </w:r>
      <w:proofErr w:type="gramEnd"/>
      <w:r w:rsidRPr="00B1462D">
        <w:rPr>
          <w:rFonts w:ascii="Verdana" w:eastAsia="Calibri" w:hAnsi="Verdana" w:cs="Arial"/>
          <w:color w:val="000000"/>
          <w:sz w:val="21"/>
          <w:szCs w:val="21"/>
          <w:lang w:val="es-ES"/>
        </w:rPr>
        <w:t>, departamentales, distritales y municipales, deberán fijar mediante decreto reglamentario, en los procesos de selección de los contratistas y proveedores, un sistema de preferencias a favor de las personas con discapacidad.”</w:t>
      </w:r>
    </w:p>
    <w:p w14:paraId="5EC3FA7E" w14:textId="77777777" w:rsidR="0070739A" w:rsidRPr="00B1462D" w:rsidRDefault="0070739A" w:rsidP="0070739A">
      <w:pPr>
        <w:spacing w:after="0" w:line="276" w:lineRule="auto"/>
        <w:jc w:val="both"/>
        <w:rPr>
          <w:rFonts w:ascii="Verdana" w:eastAsia="Calibri" w:hAnsi="Verdana" w:cs="Arial"/>
          <w:color w:val="000000"/>
          <w:lang w:val="es-ES_tradnl"/>
        </w:rPr>
      </w:pPr>
      <w:r w:rsidRPr="00B1462D">
        <w:rPr>
          <w:rFonts w:ascii="Verdana" w:eastAsia="Calibri" w:hAnsi="Verdana" w:cs="Arial"/>
          <w:color w:val="000000"/>
          <w:lang w:val="es-ES_tradnl"/>
        </w:rPr>
        <w:t xml:space="preserve">  </w:t>
      </w:r>
    </w:p>
    <w:p w14:paraId="1F6D8E5D" w14:textId="77777777" w:rsidR="0070739A" w:rsidRPr="00B1462D" w:rsidRDefault="0070739A" w:rsidP="0070739A">
      <w:pPr>
        <w:spacing w:after="0" w:line="276" w:lineRule="auto"/>
        <w:ind w:firstLine="360"/>
        <w:jc w:val="both"/>
        <w:rPr>
          <w:rFonts w:ascii="Verdana" w:eastAsia="Calibri" w:hAnsi="Verdana" w:cs="Arial"/>
          <w:color w:val="000000"/>
          <w:lang w:val="es-ES_tradnl"/>
        </w:rPr>
      </w:pPr>
      <w:r w:rsidRPr="00B1462D">
        <w:rPr>
          <w:rFonts w:ascii="Verdana" w:eastAsia="Calibri" w:hAnsi="Verdana" w:cs="Arial"/>
          <w:color w:val="000000"/>
          <w:lang w:val="es-ES_tradnl"/>
        </w:rPr>
        <w:t xml:space="preserve">Habida cuenta de que la norma impuso al Gobierno Nacional la obligación de expedir el reglamento para materializar lo dispuesto en esta ley respecto del puntaje adicional, se expidió el Decreto 392 de 2018, “Por el cual se reglamentan los numerales 1 y 8 del artículo 13 de la Ley 1618 de 2013, sobre incentivos en Procesos de Contratación en favor de personas con discapacidad”. Este Decreto prevé el deber de las entidades estatales de otorgar un puntaje adicional a los procesos de selección de contratistas en las modalidades de licitación pública y concurso de méritos. </w:t>
      </w:r>
    </w:p>
    <w:p w14:paraId="48FB506A" w14:textId="77777777" w:rsidR="0070739A" w:rsidRPr="00B1462D" w:rsidRDefault="0070739A" w:rsidP="0070739A">
      <w:pPr>
        <w:spacing w:after="120" w:line="276" w:lineRule="auto"/>
        <w:ind w:left="720"/>
        <w:contextualSpacing/>
        <w:jc w:val="both"/>
        <w:rPr>
          <w:rFonts w:ascii="Verdana" w:eastAsia="Calibri" w:hAnsi="Verdana" w:cs="Arial"/>
          <w:color w:val="000000"/>
          <w:lang w:val="es-ES_tradnl"/>
        </w:rPr>
      </w:pPr>
    </w:p>
    <w:p w14:paraId="6C48C90C" w14:textId="77777777" w:rsidR="0070739A" w:rsidRPr="00B1462D" w:rsidRDefault="0070739A" w:rsidP="0070739A">
      <w:pPr>
        <w:spacing w:line="276" w:lineRule="auto"/>
        <w:ind w:firstLine="360"/>
        <w:contextualSpacing/>
        <w:jc w:val="both"/>
        <w:rPr>
          <w:rFonts w:ascii="Verdana" w:eastAsia="Calibri" w:hAnsi="Verdana" w:cs="Arial"/>
          <w:color w:val="000000"/>
          <w:lang w:val="es-ES_tradnl"/>
        </w:rPr>
      </w:pPr>
      <w:r w:rsidRPr="00B1462D">
        <w:rPr>
          <w:rFonts w:ascii="Verdana" w:eastAsia="Calibri" w:hAnsi="Verdana" w:cs="Arial"/>
          <w:color w:val="000000"/>
          <w:lang w:val="es-ES_tradnl"/>
        </w:rPr>
        <w:t>Conforme con lo anterior, el Decreto 1082 de 2015, en el artículo 2.2.1.2.4.6, adicionado por el Decreto 392 de 2018, regula el puntaje adicional para proponentes con trabajadores con discapacidad. Dicho artículo establece que debe asignarse un uno por ciento (1%) adicional a los proponentes que acrediten la vinculación de trabajadores con discapacidad en los procesos de licitaciones públicas y concursos de méritos, de acuerdo con los requisitos previstos en el Decreto en mención:</w:t>
      </w:r>
    </w:p>
    <w:p w14:paraId="3F55C9B2" w14:textId="77777777" w:rsidR="0070739A" w:rsidRPr="00A32B11" w:rsidRDefault="0070739A" w:rsidP="0070739A">
      <w:pPr>
        <w:spacing w:after="18" w:line="240" w:lineRule="auto"/>
        <w:jc w:val="both"/>
        <w:rPr>
          <w:rFonts w:ascii="Verdana" w:eastAsia="Calibri" w:hAnsi="Verdana" w:cs="Arial"/>
          <w:color w:val="000000"/>
          <w:sz w:val="20"/>
          <w:szCs w:val="20"/>
          <w:lang w:val="es-ES_tradnl"/>
        </w:rPr>
      </w:pPr>
    </w:p>
    <w:p w14:paraId="592780B6" w14:textId="77777777" w:rsidR="0070739A" w:rsidRPr="00A32B11" w:rsidRDefault="0070739A" w:rsidP="0070739A">
      <w:pPr>
        <w:spacing w:after="120" w:line="240" w:lineRule="auto"/>
        <w:ind w:left="709" w:right="709"/>
        <w:jc w:val="both"/>
        <w:rPr>
          <w:rFonts w:ascii="Verdana" w:eastAsia="Times New Roman" w:hAnsi="Verdana" w:cs="Arial"/>
          <w:color w:val="000000"/>
          <w:sz w:val="20"/>
          <w:szCs w:val="20"/>
          <w:lang w:val="es-ES_tradnl" w:eastAsia="es-CO"/>
        </w:rPr>
      </w:pPr>
      <w:r w:rsidRPr="00A32B11">
        <w:rPr>
          <w:rFonts w:ascii="Verdana" w:eastAsia="Times New Roman" w:hAnsi="Verdana" w:cs="Arial"/>
          <w:bCs/>
          <w:color w:val="000000"/>
          <w:sz w:val="20"/>
          <w:szCs w:val="20"/>
          <w:lang w:val="es-ES_tradnl" w:eastAsia="es-CO"/>
        </w:rPr>
        <w:t>Artículo 2.2.1.2.4.2.6. Puntaje adicional para proponentes con trabajadores con discapacidad</w:t>
      </w:r>
      <w:r w:rsidRPr="00A32B11">
        <w:rPr>
          <w:rFonts w:ascii="Verdana" w:eastAsia="Times New Roman" w:hAnsi="Verdana" w:cs="Arial"/>
          <w:color w:val="000000"/>
          <w:sz w:val="20"/>
          <w:szCs w:val="20"/>
          <w:lang w:val="es-ES_tradnl" w:eastAsia="es-CO"/>
        </w:rPr>
        <w:t xml:space="preserve">.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w:t>
      </w:r>
      <w:r w:rsidRPr="00A32B11">
        <w:rPr>
          <w:rFonts w:ascii="Verdana" w:eastAsia="Times New Roman" w:hAnsi="Verdana" w:cs="Arial"/>
          <w:color w:val="000000"/>
          <w:sz w:val="20"/>
          <w:szCs w:val="20"/>
          <w:lang w:val="es-ES_tradnl" w:eastAsia="es-CO"/>
        </w:rPr>
        <w:lastRenderedPageBreak/>
        <w:t>trabajadores con discapacidad en su planta de personal, de acuerdo con los siguientes requisitos:</w:t>
      </w:r>
    </w:p>
    <w:p w14:paraId="5B81B828" w14:textId="77777777" w:rsidR="0070739A" w:rsidRPr="00A32B11" w:rsidRDefault="0070739A" w:rsidP="0070739A">
      <w:pPr>
        <w:spacing w:after="120" w:line="240" w:lineRule="auto"/>
        <w:ind w:left="709" w:right="709"/>
        <w:jc w:val="both"/>
        <w:rPr>
          <w:rFonts w:ascii="Verdana" w:eastAsia="Times New Roman" w:hAnsi="Verdana" w:cs="Arial"/>
          <w:color w:val="000000"/>
          <w:sz w:val="20"/>
          <w:szCs w:val="20"/>
          <w:lang w:val="es-ES_tradnl" w:eastAsia="es-CO"/>
        </w:rPr>
      </w:pPr>
      <w:r w:rsidRPr="00A32B11">
        <w:rPr>
          <w:rFonts w:ascii="Verdana" w:eastAsia="Times New Roman" w:hAnsi="Verdana" w:cs="Arial"/>
          <w:color w:val="000000"/>
          <w:sz w:val="20"/>
          <w:szCs w:val="20"/>
          <w:lang w:val="es-ES_tradnl" w:eastAsia="es-CO"/>
        </w:rPr>
        <w:t>1. La persona natural, el representante legal de la persona jurídica o el revisor fiscal, según corresponda, certificará el número total de trabajadores vinculados a la planta de personal del proponente o sus integrantes a la fecha de cierre del proceso de selección.</w:t>
      </w:r>
    </w:p>
    <w:p w14:paraId="1A82C1E8" w14:textId="77777777" w:rsidR="0070739A" w:rsidRPr="00A32B11" w:rsidRDefault="0070739A" w:rsidP="0070739A">
      <w:pPr>
        <w:spacing w:after="120" w:line="240" w:lineRule="auto"/>
        <w:ind w:left="709" w:right="709"/>
        <w:jc w:val="both"/>
        <w:rPr>
          <w:rFonts w:ascii="Verdana" w:eastAsia="Times New Roman" w:hAnsi="Verdana" w:cs="Arial"/>
          <w:color w:val="000000"/>
          <w:sz w:val="20"/>
          <w:szCs w:val="20"/>
          <w:lang w:val="es-ES_tradnl" w:eastAsia="es-CO"/>
        </w:rPr>
      </w:pPr>
      <w:r w:rsidRPr="00A32B11">
        <w:rPr>
          <w:rFonts w:ascii="Verdana" w:eastAsia="Times New Roman" w:hAnsi="Verdana" w:cs="Arial"/>
          <w:color w:val="000000"/>
          <w:sz w:val="20"/>
          <w:szCs w:val="20"/>
          <w:lang w:val="es-ES_tradnl" w:eastAsia="es-CO"/>
        </w:rPr>
        <w:t>2. Acreditar el número mínimo de personas con discapacidad en su planta de personal, de conformidad con lo señalado en el certificado expedido por el Ministerio de Trabajo, el cual deberá estar vigente a la fecha de cierre del proceso de selección. Verificados los anteriores requisitos, se asignará el 1%, a quienes acrediten el número mínimo de trabajadores con discapacidad, señalados a continuación:</w:t>
      </w:r>
    </w:p>
    <w:tbl>
      <w:tblPr>
        <w:tblW w:w="6136"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4"/>
        <w:gridCol w:w="2742"/>
      </w:tblGrid>
      <w:tr w:rsidR="0070739A" w:rsidRPr="00A32B11" w14:paraId="4A9334E7" w14:textId="77777777" w:rsidTr="005A1DE1">
        <w:trPr>
          <w:trHeight w:val="210"/>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25559FEC" w14:textId="77777777" w:rsidR="0070739A" w:rsidRPr="00A32B11" w:rsidRDefault="0070739A" w:rsidP="005A1DE1">
            <w:pPr>
              <w:spacing w:line="240" w:lineRule="auto"/>
              <w:jc w:val="center"/>
              <w:rPr>
                <w:rFonts w:ascii="Verdana" w:eastAsia="Times New Roman" w:hAnsi="Verdana" w:cs="Arial"/>
                <w:color w:val="000000"/>
                <w:sz w:val="20"/>
                <w:szCs w:val="20"/>
                <w:lang w:val="es-ES_tradnl" w:eastAsia="es-CO"/>
              </w:rPr>
            </w:pPr>
            <w:r w:rsidRPr="00A32B11">
              <w:rPr>
                <w:rFonts w:ascii="Verdana" w:eastAsia="Times New Roman" w:hAnsi="Verdana" w:cs="Arial"/>
                <w:color w:val="000000"/>
                <w:sz w:val="20"/>
                <w:szCs w:val="20"/>
                <w:lang w:val="es-ES_tradnl" w:eastAsia="es-CO"/>
              </w:rPr>
              <w:t>Número total de trabajadores de la planta de personal del proponente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60E4F4E1" w14:textId="77777777" w:rsidR="0070739A" w:rsidRPr="00A32B11" w:rsidRDefault="0070739A" w:rsidP="005A1DE1">
            <w:pPr>
              <w:spacing w:line="240" w:lineRule="auto"/>
              <w:jc w:val="center"/>
              <w:rPr>
                <w:rFonts w:ascii="Verdana" w:eastAsia="Times New Roman" w:hAnsi="Verdana" w:cs="Arial"/>
                <w:color w:val="000000"/>
                <w:sz w:val="20"/>
                <w:szCs w:val="20"/>
                <w:lang w:val="es-ES_tradnl" w:eastAsia="es-CO"/>
              </w:rPr>
            </w:pPr>
            <w:r w:rsidRPr="00A32B11">
              <w:rPr>
                <w:rFonts w:ascii="Verdana" w:eastAsia="Times New Roman" w:hAnsi="Verdana" w:cs="Arial"/>
                <w:color w:val="000000"/>
                <w:sz w:val="20"/>
                <w:szCs w:val="20"/>
                <w:lang w:val="es-ES_tradnl" w:eastAsia="es-CO"/>
              </w:rPr>
              <w:t>Número mínimo de trabajadores con discapacidad exigido </w:t>
            </w:r>
          </w:p>
        </w:tc>
      </w:tr>
      <w:tr w:rsidR="0070739A" w:rsidRPr="00A32B11" w14:paraId="483615AA" w14:textId="77777777" w:rsidTr="005A1DE1">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0C61619B" w14:textId="77777777" w:rsidR="0070739A" w:rsidRPr="00A32B11" w:rsidRDefault="0070739A" w:rsidP="005A1DE1">
            <w:pPr>
              <w:spacing w:line="240" w:lineRule="auto"/>
              <w:rPr>
                <w:rFonts w:ascii="Verdana" w:eastAsia="Times New Roman" w:hAnsi="Verdana" w:cs="Arial"/>
                <w:color w:val="000000"/>
                <w:sz w:val="20"/>
                <w:szCs w:val="20"/>
                <w:lang w:val="es-ES_tradnl" w:eastAsia="es-CO"/>
              </w:rPr>
            </w:pPr>
            <w:r w:rsidRPr="00A32B11">
              <w:rPr>
                <w:rFonts w:ascii="Verdana" w:eastAsia="Times New Roman" w:hAnsi="Verdana" w:cs="Arial"/>
                <w:color w:val="000000"/>
                <w:sz w:val="20"/>
                <w:szCs w:val="20"/>
                <w:lang w:val="es-ES_tradnl" w:eastAsia="es-CO"/>
              </w:rPr>
              <w:t>Entre 1 y 30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0EEA2910" w14:textId="77777777" w:rsidR="0070739A" w:rsidRPr="00A32B11" w:rsidRDefault="0070739A" w:rsidP="005A1DE1">
            <w:pPr>
              <w:spacing w:line="240" w:lineRule="auto"/>
              <w:jc w:val="center"/>
              <w:rPr>
                <w:rFonts w:ascii="Verdana" w:eastAsia="Times New Roman" w:hAnsi="Verdana" w:cs="Arial"/>
                <w:color w:val="000000"/>
                <w:sz w:val="20"/>
                <w:szCs w:val="20"/>
                <w:lang w:val="es-ES_tradnl" w:eastAsia="es-CO"/>
              </w:rPr>
            </w:pPr>
            <w:r w:rsidRPr="00A32B11">
              <w:rPr>
                <w:rFonts w:ascii="Verdana" w:eastAsia="Times New Roman" w:hAnsi="Verdana" w:cs="Arial"/>
                <w:color w:val="000000"/>
                <w:sz w:val="20"/>
                <w:szCs w:val="20"/>
                <w:lang w:val="es-ES_tradnl" w:eastAsia="es-CO"/>
              </w:rPr>
              <w:t>1 </w:t>
            </w:r>
          </w:p>
        </w:tc>
      </w:tr>
      <w:tr w:rsidR="0070739A" w:rsidRPr="00A32B11" w14:paraId="01E4C250" w14:textId="77777777" w:rsidTr="005A1DE1">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5DEA0634" w14:textId="77777777" w:rsidR="0070739A" w:rsidRPr="00A32B11" w:rsidRDefault="0070739A" w:rsidP="005A1DE1">
            <w:pPr>
              <w:spacing w:line="240" w:lineRule="auto"/>
              <w:rPr>
                <w:rFonts w:ascii="Verdana" w:eastAsia="Times New Roman" w:hAnsi="Verdana" w:cs="Arial"/>
                <w:color w:val="000000"/>
                <w:sz w:val="20"/>
                <w:szCs w:val="20"/>
                <w:lang w:val="es-ES_tradnl" w:eastAsia="es-CO"/>
              </w:rPr>
            </w:pPr>
            <w:r w:rsidRPr="00A32B11">
              <w:rPr>
                <w:rFonts w:ascii="Verdana" w:eastAsia="Times New Roman" w:hAnsi="Verdana" w:cs="Arial"/>
                <w:color w:val="000000"/>
                <w:sz w:val="20"/>
                <w:szCs w:val="20"/>
                <w:lang w:val="es-ES_tradnl" w:eastAsia="es-CO"/>
              </w:rPr>
              <w:t>Entre 31 y 100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75FCE4DC" w14:textId="77777777" w:rsidR="0070739A" w:rsidRPr="00A32B11" w:rsidRDefault="0070739A" w:rsidP="005A1DE1">
            <w:pPr>
              <w:spacing w:line="240" w:lineRule="auto"/>
              <w:jc w:val="center"/>
              <w:rPr>
                <w:rFonts w:ascii="Verdana" w:eastAsia="Times New Roman" w:hAnsi="Verdana" w:cs="Arial"/>
                <w:color w:val="000000"/>
                <w:sz w:val="20"/>
                <w:szCs w:val="20"/>
                <w:lang w:val="es-ES_tradnl" w:eastAsia="es-CO"/>
              </w:rPr>
            </w:pPr>
            <w:r w:rsidRPr="00A32B11">
              <w:rPr>
                <w:rFonts w:ascii="Verdana" w:eastAsia="Times New Roman" w:hAnsi="Verdana" w:cs="Arial"/>
                <w:color w:val="000000"/>
                <w:sz w:val="20"/>
                <w:szCs w:val="20"/>
                <w:lang w:val="es-ES_tradnl" w:eastAsia="es-CO"/>
              </w:rPr>
              <w:t>2 </w:t>
            </w:r>
          </w:p>
        </w:tc>
      </w:tr>
      <w:tr w:rsidR="0070739A" w:rsidRPr="00A32B11" w14:paraId="2D7144AB" w14:textId="77777777" w:rsidTr="005A1DE1">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3FFF2A3D" w14:textId="77777777" w:rsidR="0070739A" w:rsidRPr="00A32B11" w:rsidRDefault="0070739A" w:rsidP="005A1DE1">
            <w:pPr>
              <w:spacing w:line="240" w:lineRule="auto"/>
              <w:rPr>
                <w:rFonts w:ascii="Verdana" w:eastAsia="Times New Roman" w:hAnsi="Verdana" w:cs="Arial"/>
                <w:color w:val="000000"/>
                <w:sz w:val="20"/>
                <w:szCs w:val="20"/>
                <w:lang w:val="es-ES_tradnl" w:eastAsia="es-CO"/>
              </w:rPr>
            </w:pPr>
            <w:r w:rsidRPr="00A32B11">
              <w:rPr>
                <w:rFonts w:ascii="Verdana" w:eastAsia="Times New Roman" w:hAnsi="Verdana" w:cs="Arial"/>
                <w:color w:val="000000"/>
                <w:sz w:val="20"/>
                <w:szCs w:val="20"/>
                <w:lang w:val="es-ES_tradnl" w:eastAsia="es-CO"/>
              </w:rPr>
              <w:t>Entre 101 y 150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3B044253" w14:textId="77777777" w:rsidR="0070739A" w:rsidRPr="00A32B11" w:rsidRDefault="0070739A" w:rsidP="005A1DE1">
            <w:pPr>
              <w:spacing w:line="240" w:lineRule="auto"/>
              <w:jc w:val="center"/>
              <w:rPr>
                <w:rFonts w:ascii="Verdana" w:eastAsia="Times New Roman" w:hAnsi="Verdana" w:cs="Arial"/>
                <w:color w:val="000000"/>
                <w:sz w:val="20"/>
                <w:szCs w:val="20"/>
                <w:lang w:val="es-ES_tradnl" w:eastAsia="es-CO"/>
              </w:rPr>
            </w:pPr>
            <w:r w:rsidRPr="00A32B11">
              <w:rPr>
                <w:rFonts w:ascii="Verdana" w:eastAsia="Times New Roman" w:hAnsi="Verdana" w:cs="Arial"/>
                <w:color w:val="000000"/>
                <w:sz w:val="20"/>
                <w:szCs w:val="20"/>
                <w:lang w:val="es-ES_tradnl" w:eastAsia="es-CO"/>
              </w:rPr>
              <w:t>3 </w:t>
            </w:r>
          </w:p>
        </w:tc>
      </w:tr>
      <w:tr w:rsidR="0070739A" w:rsidRPr="00A32B11" w14:paraId="468AD189" w14:textId="77777777" w:rsidTr="005A1DE1">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6D6417C7" w14:textId="77777777" w:rsidR="0070739A" w:rsidRPr="00A32B11" w:rsidRDefault="0070739A" w:rsidP="005A1DE1">
            <w:pPr>
              <w:spacing w:line="240" w:lineRule="auto"/>
              <w:rPr>
                <w:rFonts w:ascii="Verdana" w:eastAsia="Times New Roman" w:hAnsi="Verdana" w:cs="Arial"/>
                <w:color w:val="000000"/>
                <w:sz w:val="20"/>
                <w:szCs w:val="20"/>
                <w:lang w:val="es-ES_tradnl" w:eastAsia="es-CO"/>
              </w:rPr>
            </w:pPr>
            <w:r w:rsidRPr="00A32B11">
              <w:rPr>
                <w:rFonts w:ascii="Verdana" w:eastAsia="Times New Roman" w:hAnsi="Verdana" w:cs="Arial"/>
                <w:color w:val="000000"/>
                <w:sz w:val="20"/>
                <w:szCs w:val="20"/>
                <w:lang w:val="es-ES_tradnl" w:eastAsia="es-CO"/>
              </w:rPr>
              <w:t>Entre 151 y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33F12E52" w14:textId="77777777" w:rsidR="0070739A" w:rsidRPr="00A32B11" w:rsidRDefault="0070739A" w:rsidP="005A1DE1">
            <w:pPr>
              <w:spacing w:line="240" w:lineRule="auto"/>
              <w:jc w:val="center"/>
              <w:rPr>
                <w:rFonts w:ascii="Verdana" w:eastAsia="Times New Roman" w:hAnsi="Verdana" w:cs="Arial"/>
                <w:color w:val="000000"/>
                <w:sz w:val="20"/>
                <w:szCs w:val="20"/>
                <w:lang w:val="es-ES_tradnl" w:eastAsia="es-CO"/>
              </w:rPr>
            </w:pPr>
            <w:r w:rsidRPr="00A32B11">
              <w:rPr>
                <w:rFonts w:ascii="Verdana" w:eastAsia="Times New Roman" w:hAnsi="Verdana" w:cs="Arial"/>
                <w:color w:val="000000"/>
                <w:sz w:val="20"/>
                <w:szCs w:val="20"/>
                <w:lang w:val="es-ES_tradnl" w:eastAsia="es-CO"/>
              </w:rPr>
              <w:t>4 </w:t>
            </w:r>
          </w:p>
        </w:tc>
      </w:tr>
      <w:tr w:rsidR="0070739A" w:rsidRPr="00A32B11" w14:paraId="386A6DD9" w14:textId="77777777" w:rsidTr="005A1DE1">
        <w:trPr>
          <w:trHeight w:val="99"/>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56955520" w14:textId="77777777" w:rsidR="0070739A" w:rsidRPr="00A32B11" w:rsidRDefault="0070739A" w:rsidP="005A1DE1">
            <w:pPr>
              <w:spacing w:line="240" w:lineRule="auto"/>
              <w:rPr>
                <w:rFonts w:ascii="Verdana" w:eastAsia="Times New Roman" w:hAnsi="Verdana" w:cs="Arial"/>
                <w:color w:val="000000"/>
                <w:sz w:val="20"/>
                <w:szCs w:val="20"/>
                <w:lang w:val="es-ES_tradnl" w:eastAsia="es-CO"/>
              </w:rPr>
            </w:pPr>
            <w:r w:rsidRPr="00A32B11">
              <w:rPr>
                <w:rFonts w:ascii="Verdana" w:eastAsia="Times New Roman" w:hAnsi="Verdana" w:cs="Arial"/>
                <w:color w:val="000000"/>
                <w:sz w:val="20"/>
                <w:szCs w:val="20"/>
                <w:lang w:val="es-ES_tradnl" w:eastAsia="es-CO"/>
              </w:rPr>
              <w:t>Más de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39EF9D18" w14:textId="77777777" w:rsidR="0070739A" w:rsidRPr="00A32B11" w:rsidRDefault="0070739A" w:rsidP="005A1DE1">
            <w:pPr>
              <w:spacing w:line="240" w:lineRule="auto"/>
              <w:jc w:val="center"/>
              <w:rPr>
                <w:rFonts w:ascii="Verdana" w:eastAsia="Times New Roman" w:hAnsi="Verdana" w:cs="Arial"/>
                <w:color w:val="000000"/>
                <w:sz w:val="20"/>
                <w:szCs w:val="20"/>
                <w:lang w:val="es-ES_tradnl" w:eastAsia="es-CO"/>
              </w:rPr>
            </w:pPr>
            <w:r w:rsidRPr="00A32B11">
              <w:rPr>
                <w:rFonts w:ascii="Verdana" w:eastAsia="Times New Roman" w:hAnsi="Verdana" w:cs="Arial"/>
                <w:color w:val="000000"/>
                <w:sz w:val="20"/>
                <w:szCs w:val="20"/>
                <w:lang w:val="es-ES_tradnl" w:eastAsia="es-CO"/>
              </w:rPr>
              <w:t>5 </w:t>
            </w:r>
          </w:p>
        </w:tc>
      </w:tr>
    </w:tbl>
    <w:p w14:paraId="6604E649" w14:textId="77777777" w:rsidR="0070739A" w:rsidRPr="00A32B11" w:rsidRDefault="0070739A" w:rsidP="0070739A">
      <w:pPr>
        <w:tabs>
          <w:tab w:val="left" w:pos="426"/>
        </w:tabs>
        <w:spacing w:after="0" w:line="240" w:lineRule="auto"/>
        <w:ind w:left="697" w:right="709"/>
        <w:jc w:val="both"/>
        <w:rPr>
          <w:rFonts w:ascii="Verdana" w:eastAsia="Times New Roman" w:hAnsi="Verdana" w:cs="Arial"/>
          <w:color w:val="000000"/>
          <w:sz w:val="20"/>
          <w:szCs w:val="20"/>
          <w:lang w:val="es-ES_tradnl" w:eastAsia="es-CO"/>
        </w:rPr>
      </w:pPr>
    </w:p>
    <w:p w14:paraId="65037128" w14:textId="77777777" w:rsidR="0070739A" w:rsidRPr="00A32B11" w:rsidRDefault="0070739A" w:rsidP="0070739A">
      <w:pPr>
        <w:tabs>
          <w:tab w:val="left" w:pos="426"/>
        </w:tabs>
        <w:spacing w:after="0" w:line="240" w:lineRule="auto"/>
        <w:ind w:left="697" w:right="709"/>
        <w:jc w:val="both"/>
        <w:rPr>
          <w:rFonts w:ascii="Verdana" w:eastAsia="Times New Roman" w:hAnsi="Verdana" w:cs="Arial"/>
          <w:color w:val="000000"/>
          <w:sz w:val="20"/>
          <w:szCs w:val="20"/>
          <w:lang w:val="es-ES" w:eastAsia="es-CO"/>
        </w:rPr>
      </w:pPr>
      <w:r w:rsidRPr="00A32B11">
        <w:rPr>
          <w:rFonts w:ascii="Verdana" w:eastAsia="Times New Roman" w:hAnsi="Verdana" w:cs="Arial"/>
          <w:color w:val="000000"/>
          <w:sz w:val="20"/>
          <w:szCs w:val="20"/>
          <w:lang w:val="es-ES_tradnl" w:eastAsia="es-CO"/>
        </w:rPr>
        <w:tab/>
      </w:r>
      <w:r w:rsidRPr="00A32B11">
        <w:rPr>
          <w:rFonts w:ascii="Verdana" w:eastAsia="Times New Roman" w:hAnsi="Verdana" w:cs="Arial"/>
          <w:color w:val="000000"/>
          <w:sz w:val="20"/>
          <w:szCs w:val="20"/>
          <w:lang w:val="es-ES" w:eastAsia="es-CO"/>
        </w:rPr>
        <w:t>Parágrafo.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14:paraId="50190849" w14:textId="77777777" w:rsidR="0070739A" w:rsidRPr="00B1462D" w:rsidRDefault="0070739A" w:rsidP="0070739A">
      <w:pPr>
        <w:tabs>
          <w:tab w:val="left" w:pos="426"/>
        </w:tabs>
        <w:spacing w:after="0" w:line="240" w:lineRule="auto"/>
        <w:ind w:left="697" w:right="709"/>
        <w:jc w:val="both"/>
        <w:rPr>
          <w:rFonts w:ascii="Verdana" w:eastAsia="Times New Roman" w:hAnsi="Verdana" w:cs="Arial"/>
          <w:color w:val="000000"/>
          <w:sz w:val="21"/>
          <w:szCs w:val="21"/>
          <w:lang w:val="es-ES_tradnl" w:eastAsia="es-CO"/>
        </w:rPr>
      </w:pPr>
    </w:p>
    <w:p w14:paraId="6B5FC2EA" w14:textId="77777777" w:rsidR="0070739A" w:rsidRPr="00B1462D" w:rsidRDefault="0070739A" w:rsidP="0070739A">
      <w:pPr>
        <w:tabs>
          <w:tab w:val="left" w:pos="567"/>
        </w:tabs>
        <w:spacing w:after="0" w:line="276" w:lineRule="auto"/>
        <w:jc w:val="both"/>
        <w:rPr>
          <w:rFonts w:ascii="Verdana" w:eastAsia="Calibri" w:hAnsi="Verdana" w:cs="Arial"/>
          <w:color w:val="000000"/>
          <w:lang w:val="es-ES" w:eastAsia="en-GB"/>
        </w:rPr>
      </w:pPr>
      <w:r>
        <w:rPr>
          <w:rFonts w:ascii="Verdana" w:eastAsia="Calibri" w:hAnsi="Verdana" w:cs="Arial"/>
          <w:color w:val="000000"/>
          <w:lang w:val="es-ES" w:eastAsia="en-GB"/>
        </w:rPr>
        <w:tab/>
      </w:r>
      <w:r w:rsidRPr="00B1462D">
        <w:rPr>
          <w:rFonts w:ascii="Verdana" w:eastAsia="Calibri" w:hAnsi="Verdana" w:cs="Arial"/>
          <w:color w:val="000000"/>
          <w:lang w:val="es-ES" w:eastAsia="en-GB"/>
        </w:rPr>
        <w:t>La normativa señalada, determinó que en los referidos procesos se otorgaría el uno por ciento (1%) de los puntos establecidos en el pliego de condiciones a aquellos proponentes que acreditaran</w:t>
      </w:r>
      <w:r>
        <w:rPr>
          <w:rFonts w:ascii="Verdana" w:eastAsia="Calibri" w:hAnsi="Verdana" w:cs="Arial"/>
          <w:color w:val="000000"/>
          <w:lang w:val="es-ES" w:eastAsia="en-GB"/>
        </w:rPr>
        <w:t xml:space="preserve"> las siguientes condiciones</w:t>
      </w:r>
      <w:r w:rsidRPr="00B1462D">
        <w:rPr>
          <w:rFonts w:ascii="Verdana" w:eastAsia="Calibri" w:hAnsi="Verdana" w:cs="Arial"/>
          <w:color w:val="000000"/>
          <w:lang w:val="es-ES" w:eastAsia="en-GB"/>
        </w:rPr>
        <w:t xml:space="preserve">: i) el número total de trabajadores vinculados a la planta de personal; y, </w:t>
      </w:r>
      <w:proofErr w:type="spellStart"/>
      <w:r w:rsidRPr="00B1462D">
        <w:rPr>
          <w:rFonts w:ascii="Verdana" w:eastAsia="Calibri" w:hAnsi="Verdana" w:cs="Arial"/>
          <w:color w:val="000000"/>
          <w:lang w:val="es-ES" w:eastAsia="en-GB"/>
        </w:rPr>
        <w:t>ii</w:t>
      </w:r>
      <w:proofErr w:type="spellEnd"/>
      <w:r w:rsidRPr="00B1462D">
        <w:rPr>
          <w:rFonts w:ascii="Verdana" w:eastAsia="Calibri" w:hAnsi="Verdana" w:cs="Arial"/>
          <w:color w:val="000000"/>
          <w:lang w:val="es-ES" w:eastAsia="en-GB"/>
        </w:rPr>
        <w:t>) la vinculación de, por lo menos, el número mínimo exigido de trabajadores con discapacidad.</w:t>
      </w:r>
    </w:p>
    <w:p w14:paraId="53C58883" w14:textId="77777777" w:rsidR="0070739A" w:rsidRPr="00B1462D" w:rsidRDefault="0070739A" w:rsidP="0070739A">
      <w:pPr>
        <w:spacing w:after="0" w:line="276" w:lineRule="auto"/>
        <w:ind w:left="641"/>
        <w:jc w:val="both"/>
        <w:rPr>
          <w:rFonts w:ascii="Verdana" w:eastAsia="Times New Roman" w:hAnsi="Verdana" w:cs="Arial"/>
          <w:color w:val="000000"/>
          <w:lang w:val="es-ES" w:eastAsia="es-CO"/>
        </w:rPr>
      </w:pPr>
    </w:p>
    <w:p w14:paraId="5C12ED05" w14:textId="77777777" w:rsidR="0070739A" w:rsidRPr="00B1462D" w:rsidRDefault="0070739A" w:rsidP="0070739A">
      <w:pPr>
        <w:spacing w:after="0" w:line="276" w:lineRule="auto"/>
        <w:ind w:firstLine="283"/>
        <w:jc w:val="both"/>
        <w:rPr>
          <w:rFonts w:ascii="Verdana" w:eastAsia="Calibri" w:hAnsi="Verdana" w:cs="Arial"/>
          <w:color w:val="000000"/>
          <w:lang w:val="es-ES_tradnl"/>
        </w:rPr>
      </w:pPr>
      <w:r w:rsidRPr="00B1462D">
        <w:rPr>
          <w:rFonts w:ascii="Verdana" w:eastAsia="Calibri" w:hAnsi="Verdana" w:cs="Arial"/>
          <w:color w:val="000000"/>
          <w:lang w:val="es-ES" w:eastAsia="en-GB"/>
        </w:rPr>
        <w:t xml:space="preserve">Una vez delimitado el marco normativo que regula el incentivo contractual otorgable a los oferentes que emplean en su planta de trabajadores a personas con discapacidad, es necesario </w:t>
      </w:r>
      <w:r w:rsidRPr="00B1462D">
        <w:rPr>
          <w:rFonts w:ascii="Verdana" w:eastAsia="Calibri" w:hAnsi="Verdana" w:cs="Arial"/>
          <w:color w:val="000000"/>
          <w:lang w:val="es-ES_tradnl"/>
        </w:rPr>
        <w:t>examinar cuáles son las condiciones que los proponentes u oferentes deben cumplir para acceder a los incentivos estudiados.</w:t>
      </w:r>
    </w:p>
    <w:p w14:paraId="5D1BB414" w14:textId="77777777" w:rsidR="0070739A" w:rsidRPr="00B1462D" w:rsidRDefault="0070739A" w:rsidP="0070739A">
      <w:pPr>
        <w:spacing w:after="120" w:line="276" w:lineRule="auto"/>
        <w:ind w:left="643"/>
        <w:contextualSpacing/>
        <w:jc w:val="both"/>
        <w:rPr>
          <w:rFonts w:ascii="Verdana" w:eastAsia="Calibri" w:hAnsi="Verdana" w:cs="Arial"/>
          <w:color w:val="000000"/>
          <w:lang w:val="es-ES_tradnl"/>
        </w:rPr>
      </w:pPr>
    </w:p>
    <w:p w14:paraId="0AD84640" w14:textId="77777777" w:rsidR="0070739A" w:rsidRPr="00B1462D" w:rsidRDefault="0070739A" w:rsidP="0070739A">
      <w:pPr>
        <w:spacing w:after="120" w:line="276" w:lineRule="auto"/>
        <w:ind w:firstLine="283"/>
        <w:contextualSpacing/>
        <w:jc w:val="both"/>
        <w:rPr>
          <w:rFonts w:ascii="Verdana" w:eastAsia="Calibri" w:hAnsi="Verdana" w:cs="Arial"/>
          <w:color w:val="000000"/>
          <w:lang w:val="es-ES_tradnl"/>
        </w:rPr>
      </w:pPr>
      <w:r w:rsidRPr="00B1462D">
        <w:rPr>
          <w:rFonts w:ascii="Verdana" w:eastAsia="Calibri" w:hAnsi="Verdana" w:cs="Arial"/>
          <w:color w:val="000000"/>
          <w:lang w:val="es-ES_tradnl"/>
        </w:rPr>
        <w:t xml:space="preserve">Como se mencionó, el Decreto 392 de 2018 prescribe que, para acceder a los incentivos por vinculación de personas con discapacidad, el proponente debe certificar el número total de trabajadores de su planta de personal y el número total de trabajadores con discapacidad pertenecientes a esta. Para tal efecto, es necesario atender a las características de cada participante para determinar los mecanismos para acreditación de estos requisitos. </w:t>
      </w:r>
    </w:p>
    <w:p w14:paraId="260BB6B4" w14:textId="77777777" w:rsidR="0070739A" w:rsidRPr="00B1462D" w:rsidRDefault="0070739A" w:rsidP="0070739A">
      <w:pPr>
        <w:spacing w:after="120" w:line="276" w:lineRule="auto"/>
        <w:ind w:left="643"/>
        <w:contextualSpacing/>
        <w:jc w:val="both"/>
        <w:rPr>
          <w:rFonts w:ascii="Verdana" w:eastAsia="Calibri" w:hAnsi="Verdana" w:cs="Arial"/>
          <w:color w:val="000000"/>
          <w:lang w:val="es-ES_tradnl"/>
        </w:rPr>
      </w:pPr>
    </w:p>
    <w:p w14:paraId="2A6CECBC" w14:textId="77777777" w:rsidR="0070739A" w:rsidRPr="00B1462D" w:rsidRDefault="0070739A" w:rsidP="0070739A">
      <w:pPr>
        <w:spacing w:after="120" w:line="276" w:lineRule="auto"/>
        <w:ind w:firstLine="283"/>
        <w:contextualSpacing/>
        <w:jc w:val="both"/>
        <w:rPr>
          <w:rFonts w:ascii="Verdana" w:eastAsia="Calibri" w:hAnsi="Verdana" w:cs="Arial"/>
          <w:color w:val="000000"/>
          <w:lang w:val="es-ES_tradnl"/>
        </w:rPr>
      </w:pPr>
      <w:r w:rsidRPr="00B1462D">
        <w:rPr>
          <w:rFonts w:ascii="Verdana" w:eastAsia="Calibri" w:hAnsi="Verdana" w:cs="Arial"/>
          <w:color w:val="000000"/>
          <w:lang w:val="es-ES_tradnl"/>
        </w:rPr>
        <w:t>En primer lugar, la persona natural, el representante legal de la persona jurídica o su revisor fiscal, según el caso, deberá expedir un certificado en el que debe constar el número de trabajadores vinculados a la planta de personal al momento en que cierre el proceso de selección. En segundo lugar, para acreditar que se cumple con el número mínimo de trabajadores con discapacidad exigido, se empleará un certificado expedido por el Ministerio de Trabajo, el cual debe estar vigente al cierre del respectivo proceso.</w:t>
      </w:r>
    </w:p>
    <w:p w14:paraId="2FC2BDDE" w14:textId="77777777" w:rsidR="0070739A" w:rsidRPr="00B1462D" w:rsidRDefault="0070739A" w:rsidP="0070739A">
      <w:pPr>
        <w:spacing w:after="120" w:line="276" w:lineRule="auto"/>
        <w:ind w:left="643"/>
        <w:contextualSpacing/>
        <w:jc w:val="both"/>
        <w:rPr>
          <w:rFonts w:ascii="Verdana" w:eastAsia="Calibri" w:hAnsi="Verdana" w:cs="Arial"/>
          <w:color w:val="000000"/>
          <w:lang w:val="es-ES_tradnl"/>
        </w:rPr>
      </w:pPr>
    </w:p>
    <w:p w14:paraId="5CFAB1C2" w14:textId="77777777" w:rsidR="0070739A" w:rsidRPr="00B1462D" w:rsidRDefault="0070739A" w:rsidP="0070739A">
      <w:pPr>
        <w:spacing w:after="120" w:line="276" w:lineRule="auto"/>
        <w:ind w:firstLine="283"/>
        <w:contextualSpacing/>
        <w:jc w:val="both"/>
        <w:rPr>
          <w:rFonts w:ascii="Verdana" w:eastAsia="Calibri" w:hAnsi="Verdana" w:cs="Arial"/>
          <w:color w:val="000000"/>
          <w:lang w:val="es-ES_tradnl"/>
        </w:rPr>
      </w:pPr>
      <w:r w:rsidRPr="00B1462D">
        <w:rPr>
          <w:rFonts w:ascii="Verdana" w:eastAsia="Calibri" w:hAnsi="Verdana" w:cs="Arial"/>
          <w:color w:val="000000"/>
          <w:lang w:val="es-ES_tradnl"/>
        </w:rPr>
        <w:t xml:space="preserve">Se precisa que ambos certificados son necesarios, pues acreditan requisitos diferentes, ya que el certificado emitido por el proponente relaciona el número total de trabajadores vinculados a la planta de personal hasta la fecha del cierre del proceso; mientras que en el certificado emitido por el Ministerio de Trabajo se acredita el número de personas con discapacidad; lo que permitirá, </w:t>
      </w:r>
      <w:r>
        <w:rPr>
          <w:rFonts w:ascii="Verdana" w:eastAsia="Calibri" w:hAnsi="Verdana" w:cs="Arial"/>
          <w:color w:val="000000"/>
          <w:lang w:val="es-ES_tradnl"/>
        </w:rPr>
        <w:t xml:space="preserve">de manera </w:t>
      </w:r>
      <w:r w:rsidRPr="00B1462D">
        <w:rPr>
          <w:rFonts w:ascii="Verdana" w:eastAsia="Calibri" w:hAnsi="Verdana" w:cs="Arial"/>
          <w:color w:val="000000"/>
          <w:lang w:val="es-ES_tradnl"/>
        </w:rPr>
        <w:t>conjunta, determinar si se cumple con el rango necesario que habilite al proponente a acceder al beneficio.</w:t>
      </w:r>
    </w:p>
    <w:p w14:paraId="18823D97" w14:textId="77777777" w:rsidR="0070739A" w:rsidRPr="00B1462D" w:rsidRDefault="0070739A" w:rsidP="0070739A">
      <w:pPr>
        <w:spacing w:after="120" w:line="276" w:lineRule="auto"/>
        <w:ind w:left="643"/>
        <w:contextualSpacing/>
        <w:jc w:val="both"/>
        <w:rPr>
          <w:rFonts w:ascii="Verdana" w:eastAsia="Calibri" w:hAnsi="Verdana" w:cs="Arial"/>
          <w:color w:val="000000"/>
          <w:lang w:val="es-ES_tradnl"/>
        </w:rPr>
      </w:pPr>
    </w:p>
    <w:p w14:paraId="578182BA" w14:textId="77777777" w:rsidR="0070739A" w:rsidRPr="00B1462D" w:rsidRDefault="0070739A" w:rsidP="0070739A">
      <w:pPr>
        <w:spacing w:after="120" w:line="276" w:lineRule="auto"/>
        <w:ind w:firstLine="283"/>
        <w:contextualSpacing/>
        <w:jc w:val="both"/>
        <w:rPr>
          <w:rFonts w:ascii="Verdana" w:eastAsia="Calibri" w:hAnsi="Verdana" w:cs="Arial"/>
          <w:color w:val="000000"/>
          <w:lang w:val="es-ES" w:eastAsia="en-GB"/>
        </w:rPr>
      </w:pPr>
      <w:r>
        <w:rPr>
          <w:rFonts w:ascii="Verdana" w:eastAsia="Calibri" w:hAnsi="Verdana" w:cs="Arial"/>
          <w:color w:val="000000"/>
          <w:lang w:val="es-ES" w:eastAsia="en-GB"/>
        </w:rPr>
        <w:t>Ahora bien, para el caso de proponentes plurales, e</w:t>
      </w:r>
      <w:r w:rsidRPr="00B1462D">
        <w:rPr>
          <w:rFonts w:ascii="Verdana" w:eastAsia="Calibri" w:hAnsi="Verdana" w:cs="Arial"/>
          <w:color w:val="000000"/>
          <w:lang w:val="es-ES" w:eastAsia="en-GB"/>
        </w:rPr>
        <w:t>s necesario precisar que el parágrafo del artículo 2.2.1.2.4.6 del Decreto 1082 de 2019, adicionado por el artículo primero del Decreto 392</w:t>
      </w:r>
      <w:r w:rsidRPr="00B1462D">
        <w:rPr>
          <w:rFonts w:ascii="Verdana" w:eastAsia="Aptos" w:hAnsi="Verdana" w:cs="Arial"/>
          <w:color w:val="000000"/>
          <w:lang w:val="es-ES"/>
        </w:rPr>
        <w:t xml:space="preserve"> de 2018 prescribió un requisito adicional para el caso de proponentes plurales como los consorcios, </w:t>
      </w:r>
      <w:r>
        <w:rPr>
          <w:rFonts w:ascii="Verdana" w:eastAsia="Aptos" w:hAnsi="Verdana" w:cs="Arial"/>
          <w:color w:val="000000"/>
          <w:lang w:val="es-ES"/>
        </w:rPr>
        <w:t>uniones temporales</w:t>
      </w:r>
      <w:r w:rsidRPr="00B1462D">
        <w:rPr>
          <w:rFonts w:ascii="Verdana" w:eastAsia="Aptos" w:hAnsi="Verdana" w:cs="Arial"/>
          <w:color w:val="000000"/>
          <w:lang w:val="es-ES"/>
        </w:rPr>
        <w:t xml:space="preserve"> o las promesas de sociedad futura. </w:t>
      </w:r>
      <w:r w:rsidRPr="00B1462D">
        <w:rPr>
          <w:rFonts w:ascii="Verdana" w:eastAsia="Calibri" w:hAnsi="Verdana" w:cs="Arial"/>
          <w:color w:val="000000"/>
          <w:lang w:val="es-ES" w:eastAsia="en-GB"/>
        </w:rPr>
        <w:t xml:space="preserve">En estos escenarios, para que la oferta presentada obtenga el puntaje adicional por vinculación de trabajadores con discapacidad, deberá tomarse en cuenta la acreditación del integrante que aporte como mínimo el cuarenta por ciento (40%) de la experiencia requerida en el proceso de contratación. </w:t>
      </w:r>
      <w:r w:rsidRPr="00B1462D">
        <w:rPr>
          <w:rFonts w:ascii="Verdana" w:eastAsia="Aptos" w:hAnsi="Verdana" w:cs="Arial"/>
          <w:color w:val="000000"/>
          <w:lang w:val="es-ES"/>
        </w:rPr>
        <w:t xml:space="preserve">Al respecto, la norma señala lo siguiente: </w:t>
      </w:r>
    </w:p>
    <w:p w14:paraId="1E80EE3E" w14:textId="77777777" w:rsidR="0070739A" w:rsidRPr="00B1462D" w:rsidRDefault="0070739A" w:rsidP="0070739A">
      <w:pPr>
        <w:spacing w:after="0"/>
        <w:ind w:left="720"/>
        <w:rPr>
          <w:rFonts w:ascii="Verdana" w:eastAsia="Calibri" w:hAnsi="Verdana" w:cs="Arial"/>
          <w:color w:val="000000"/>
          <w:lang w:val="es-ES"/>
        </w:rPr>
      </w:pPr>
    </w:p>
    <w:p w14:paraId="53407DBD" w14:textId="77777777" w:rsidR="0070739A" w:rsidRPr="00A32B11" w:rsidRDefault="0070739A" w:rsidP="0070739A">
      <w:pPr>
        <w:spacing w:after="0" w:line="240" w:lineRule="auto"/>
        <w:ind w:left="709" w:right="709"/>
        <w:jc w:val="both"/>
        <w:rPr>
          <w:rFonts w:ascii="Verdana" w:eastAsia="Times New Roman" w:hAnsi="Verdana" w:cs="Arial"/>
          <w:color w:val="000000"/>
          <w:sz w:val="20"/>
          <w:szCs w:val="20"/>
          <w:lang w:val="es-ES" w:eastAsia="es-CO"/>
        </w:rPr>
      </w:pPr>
      <w:r w:rsidRPr="00A32B11">
        <w:rPr>
          <w:rFonts w:ascii="Verdana" w:eastAsia="Times New Roman" w:hAnsi="Verdana" w:cs="Arial"/>
          <w:color w:val="000000"/>
          <w:sz w:val="20"/>
          <w:szCs w:val="20"/>
          <w:lang w:val="es-ES" w:eastAsia="es-CO"/>
        </w:rPr>
        <w:t xml:space="preserve">Parágrafo. Para efectos de lo señalado en el presente artículo, si la oferta es presentada por un consorcio, unión temporal o promesa de sociedad futura, se tendrá en cuenta la planta de personal del integrante del </w:t>
      </w:r>
      <w:r w:rsidRPr="00A32B11">
        <w:rPr>
          <w:rFonts w:ascii="Verdana" w:eastAsia="Times New Roman" w:hAnsi="Verdana" w:cs="Arial"/>
          <w:color w:val="000000"/>
          <w:sz w:val="20"/>
          <w:szCs w:val="20"/>
          <w:lang w:val="es-ES" w:eastAsia="es-CO"/>
        </w:rPr>
        <w:lastRenderedPageBreak/>
        <w:t>proponente plural que aporte como mínimo el cuarenta por ciento (40%) de la experiencia requerida para la respectiva contratación.</w:t>
      </w:r>
    </w:p>
    <w:p w14:paraId="6C24A4DB" w14:textId="77777777" w:rsidR="0070739A" w:rsidRPr="00B1462D" w:rsidRDefault="0070739A" w:rsidP="0070739A">
      <w:pPr>
        <w:spacing w:after="0" w:line="276" w:lineRule="auto"/>
        <w:jc w:val="both"/>
        <w:rPr>
          <w:rFonts w:ascii="Verdana" w:eastAsia="Calibri" w:hAnsi="Verdana" w:cs="Arial"/>
          <w:color w:val="000000"/>
          <w:lang w:val="es-ES"/>
        </w:rPr>
      </w:pPr>
    </w:p>
    <w:p w14:paraId="54D566A9" w14:textId="77777777" w:rsidR="0070739A" w:rsidRPr="00B1462D" w:rsidRDefault="0070739A" w:rsidP="0070739A">
      <w:pPr>
        <w:spacing w:after="0" w:line="276" w:lineRule="auto"/>
        <w:ind w:firstLine="284"/>
        <w:jc w:val="both"/>
        <w:rPr>
          <w:rFonts w:ascii="Verdana" w:eastAsia="Calibri" w:hAnsi="Verdana" w:cs="Arial"/>
          <w:color w:val="000000"/>
          <w:lang w:val="es-ES"/>
        </w:rPr>
      </w:pPr>
      <w:r w:rsidRPr="00B1462D">
        <w:rPr>
          <w:rFonts w:ascii="Verdana" w:eastAsia="Calibri" w:hAnsi="Verdana" w:cs="Arial"/>
          <w:color w:val="000000"/>
          <w:lang w:val="es-ES"/>
        </w:rPr>
        <w:t>Resulta relevante mencionar que la experiencia de una estructura plural es una materia distinta de la conformación y participación de sus integrantes. El primer concepto da cuenta de la experiencia que puede acreditar un proponente plural en un proceso de selección, y el segundo concepto se refiere a la participación que tiene cada uno de los integrantes en la estructura plural.</w:t>
      </w:r>
    </w:p>
    <w:p w14:paraId="19D03A0A" w14:textId="77777777" w:rsidR="0070739A" w:rsidRPr="00B1462D" w:rsidRDefault="0070739A" w:rsidP="0070739A">
      <w:pPr>
        <w:spacing w:after="0" w:line="276" w:lineRule="auto"/>
        <w:ind w:left="641"/>
        <w:jc w:val="both"/>
        <w:rPr>
          <w:rFonts w:ascii="Verdana" w:eastAsia="Times New Roman" w:hAnsi="Verdana" w:cs="Arial"/>
          <w:color w:val="000000"/>
          <w:lang w:val="es-ES" w:eastAsia="es-CO"/>
        </w:rPr>
      </w:pPr>
    </w:p>
    <w:p w14:paraId="644F4089" w14:textId="77777777" w:rsidR="0070739A" w:rsidRPr="00B1462D" w:rsidRDefault="0070739A" w:rsidP="0070739A">
      <w:pPr>
        <w:spacing w:after="0" w:line="276" w:lineRule="auto"/>
        <w:ind w:firstLine="284"/>
        <w:jc w:val="both"/>
        <w:rPr>
          <w:rFonts w:ascii="Verdana" w:eastAsia="Times New Roman" w:hAnsi="Verdana" w:cs="Arial"/>
          <w:color w:val="000000"/>
          <w:lang w:val="es-ES" w:eastAsia="es-CO"/>
        </w:rPr>
      </w:pPr>
      <w:r w:rsidRPr="00B1462D">
        <w:rPr>
          <w:rFonts w:ascii="Verdana" w:eastAsia="Calibri" w:hAnsi="Verdana" w:cs="Arial"/>
          <w:color w:val="000000"/>
          <w:lang w:val="es-ES"/>
        </w:rPr>
        <w:t>La expresión “tendrá en cuenta”, que señala la norma, implica que la verificación del cumplimiento de requisitos establecidos en el Decreto 392 de 2019 se realiza sobre el integrante de la estructura plural que aporte mínimo el cuarenta por ciento (40%) de la experiencia</w:t>
      </w:r>
      <w:r>
        <w:rPr>
          <w:rFonts w:ascii="Verdana" w:eastAsia="Calibri" w:hAnsi="Verdana" w:cs="Arial"/>
          <w:color w:val="000000"/>
          <w:lang w:val="es-ES"/>
        </w:rPr>
        <w:t xml:space="preserve"> requerida</w:t>
      </w:r>
      <w:r w:rsidRPr="00B1462D">
        <w:rPr>
          <w:rFonts w:ascii="Verdana" w:eastAsia="Calibri" w:hAnsi="Verdana" w:cs="Arial"/>
          <w:color w:val="000000"/>
          <w:lang w:val="es-ES"/>
        </w:rPr>
        <w:t xml:space="preserve">. En contraste, si el integrante que aporta este porcentaje no tiene vinculados trabajadores en condición de discapacidad, no podrá el consorcio o la unión temporal de que hace parte obtener puntaje por este criterio. Ello es así, aun cuando los demás integrantes que hayan aportado experiencia en un porcentaje inferior al cuarenta por ciento (40%) cuenten con trabajadores en condición de discapacidad. </w:t>
      </w:r>
    </w:p>
    <w:p w14:paraId="4F6BBCBB" w14:textId="77777777" w:rsidR="0070739A" w:rsidRPr="00B1462D" w:rsidRDefault="0070739A" w:rsidP="0070739A">
      <w:pPr>
        <w:spacing w:after="0" w:line="276" w:lineRule="auto"/>
        <w:jc w:val="both"/>
        <w:rPr>
          <w:rFonts w:ascii="Verdana" w:eastAsia="Times New Roman" w:hAnsi="Verdana" w:cs="Arial"/>
          <w:color w:val="000000"/>
          <w:lang w:val="es-ES" w:eastAsia="es-CO"/>
        </w:rPr>
      </w:pPr>
    </w:p>
    <w:p w14:paraId="73344086" w14:textId="77777777" w:rsidR="0070739A" w:rsidRPr="00B1462D" w:rsidRDefault="0070739A" w:rsidP="0070739A">
      <w:pPr>
        <w:spacing w:after="0" w:line="276" w:lineRule="auto"/>
        <w:ind w:firstLine="284"/>
        <w:jc w:val="both"/>
        <w:rPr>
          <w:rFonts w:ascii="Verdana" w:eastAsia="Calibri" w:hAnsi="Verdana" w:cs="Arial"/>
          <w:color w:val="000000"/>
          <w:lang w:val="es-ES"/>
        </w:rPr>
      </w:pPr>
      <w:r w:rsidRPr="00B1462D">
        <w:rPr>
          <w:rFonts w:ascii="Verdana" w:eastAsia="Calibri" w:hAnsi="Verdana" w:cs="Arial"/>
          <w:color w:val="000000"/>
          <w:lang w:val="es-ES"/>
        </w:rPr>
        <w:t xml:space="preserve">Adicionalmente, debe observarse que, dentro de los procesos de selección por licitación o concurso de méritos, puede exigirse la acreditación de experiencia general y/o experiencia específica. Por tal motivo, resulta necesario determinar en cuál de estas categorías resulta aplicable el cuarenta por ciento (40%) al que alude el artículo 2.2.1.1.1.5.3. del Decreto Único Reglamentario 1082 de 2015. </w:t>
      </w:r>
    </w:p>
    <w:p w14:paraId="369C58C7" w14:textId="77777777" w:rsidR="0070739A" w:rsidRPr="00B1462D" w:rsidRDefault="0070739A" w:rsidP="0070739A">
      <w:pPr>
        <w:spacing w:after="0" w:line="276" w:lineRule="auto"/>
        <w:ind w:left="641"/>
        <w:jc w:val="both"/>
        <w:rPr>
          <w:rFonts w:ascii="Verdana" w:eastAsia="Calibri" w:hAnsi="Verdana" w:cs="Arial"/>
          <w:color w:val="000000"/>
          <w:lang w:val="es-ES"/>
        </w:rPr>
      </w:pPr>
    </w:p>
    <w:p w14:paraId="2706AD20" w14:textId="77777777" w:rsidR="0070739A" w:rsidRPr="00B1462D" w:rsidRDefault="0070739A" w:rsidP="0070739A">
      <w:pPr>
        <w:spacing w:after="0" w:line="276" w:lineRule="auto"/>
        <w:ind w:firstLine="284"/>
        <w:jc w:val="both"/>
        <w:rPr>
          <w:rFonts w:ascii="Verdana" w:eastAsia="Calibri" w:hAnsi="Verdana" w:cs="Arial"/>
          <w:color w:val="000000"/>
          <w:lang w:val="es-ES"/>
        </w:rPr>
      </w:pPr>
      <w:r w:rsidRPr="00B1462D">
        <w:rPr>
          <w:rFonts w:ascii="Verdana" w:eastAsia="Calibri" w:hAnsi="Verdana" w:cs="Arial"/>
          <w:color w:val="000000"/>
          <w:lang w:val="es-ES"/>
        </w:rPr>
        <w:t>La norma citada se refiere a los requisitos habilitantes, dentro de los cuales se encuentra señalada la experiencia conformada por los contratos celebrados por el interesado para cada uno de los bienes, obras o servicios que se ofrecerán a las entidades estatales, identificados por el clasificador de bienes y servicios en el tercer nivel y su valor expresado en SMMLV. Adicionalmente, las condiciones generales y/o específicas de acreditaci</w:t>
      </w:r>
      <w:r w:rsidRPr="00B1462D">
        <w:rPr>
          <w:rFonts w:ascii="Verdana" w:eastAsia="Calibri" w:hAnsi="Verdana" w:cs="Arial" w:hint="eastAsia"/>
          <w:color w:val="000000"/>
          <w:lang w:val="es-ES"/>
        </w:rPr>
        <w:t>ó</w:t>
      </w:r>
      <w:r w:rsidRPr="00B1462D">
        <w:rPr>
          <w:rFonts w:ascii="Verdana" w:eastAsia="Calibri" w:hAnsi="Verdana" w:cs="Arial"/>
          <w:color w:val="000000"/>
          <w:lang w:val="es-ES"/>
        </w:rPr>
        <w:t>n de experiencia y asignaci</w:t>
      </w:r>
      <w:r w:rsidRPr="00B1462D">
        <w:rPr>
          <w:rFonts w:ascii="Verdana" w:eastAsia="Calibri" w:hAnsi="Verdana" w:cs="Arial" w:hint="eastAsia"/>
          <w:color w:val="000000"/>
          <w:lang w:val="es-ES"/>
        </w:rPr>
        <w:t>ó</w:t>
      </w:r>
      <w:r w:rsidRPr="00B1462D">
        <w:rPr>
          <w:rFonts w:ascii="Verdana" w:eastAsia="Calibri" w:hAnsi="Verdana" w:cs="Arial"/>
          <w:color w:val="000000"/>
          <w:lang w:val="es-ES"/>
        </w:rPr>
        <w:t>n de incentivos deben estar consignadas en el pliego proferido por la entidad para el respectivo proceso de selecci</w:t>
      </w:r>
      <w:r w:rsidRPr="00B1462D">
        <w:rPr>
          <w:rFonts w:ascii="Verdana" w:eastAsia="Calibri" w:hAnsi="Verdana" w:cs="Arial" w:hint="eastAsia"/>
          <w:color w:val="000000"/>
          <w:lang w:val="es-ES"/>
        </w:rPr>
        <w:t>ó</w:t>
      </w:r>
      <w:r w:rsidRPr="00B1462D">
        <w:rPr>
          <w:rFonts w:ascii="Verdana" w:eastAsia="Calibri" w:hAnsi="Verdana" w:cs="Arial"/>
          <w:color w:val="000000"/>
          <w:lang w:val="es-ES"/>
        </w:rPr>
        <w:t xml:space="preserve">n, dentro de los requisitos habilitantes. </w:t>
      </w:r>
    </w:p>
    <w:p w14:paraId="462C6E81" w14:textId="77777777" w:rsidR="0070739A" w:rsidRPr="00B1462D" w:rsidRDefault="0070739A" w:rsidP="0070739A">
      <w:pPr>
        <w:spacing w:after="0" w:line="276" w:lineRule="auto"/>
        <w:jc w:val="both"/>
        <w:rPr>
          <w:rFonts w:ascii="Verdana" w:eastAsia="Calibri" w:hAnsi="Verdana" w:cs="Arial"/>
          <w:color w:val="000000"/>
          <w:lang w:val="es-ES"/>
        </w:rPr>
      </w:pPr>
    </w:p>
    <w:p w14:paraId="31982873" w14:textId="77777777" w:rsidR="0070739A" w:rsidRPr="00B1462D" w:rsidRDefault="0070739A" w:rsidP="0070739A">
      <w:pPr>
        <w:spacing w:after="0" w:line="276" w:lineRule="auto"/>
        <w:ind w:firstLine="284"/>
        <w:jc w:val="both"/>
        <w:rPr>
          <w:rFonts w:ascii="Verdana" w:eastAsia="Calibri" w:hAnsi="Verdana" w:cs="Arial"/>
          <w:color w:val="000000"/>
          <w:lang w:val="es-ES"/>
        </w:rPr>
      </w:pPr>
      <w:r w:rsidRPr="00B1462D">
        <w:rPr>
          <w:rFonts w:ascii="Verdana" w:eastAsia="Calibri" w:hAnsi="Verdana" w:cs="Arial"/>
          <w:color w:val="000000"/>
          <w:lang w:val="es-ES"/>
        </w:rPr>
        <w:lastRenderedPageBreak/>
        <w:t>De acuerdo con lo indicado por la doctrina de la entidad</w:t>
      </w:r>
      <w:r w:rsidRPr="00B1462D">
        <w:rPr>
          <w:rFonts w:ascii="Verdana" w:eastAsia="Calibri" w:hAnsi="Verdana" w:cs="Arial"/>
          <w:color w:val="000000"/>
          <w:vertAlign w:val="superscript"/>
          <w:lang w:val="es-ES"/>
        </w:rPr>
        <w:footnoteReference w:id="3"/>
      </w:r>
      <w:r w:rsidRPr="00B1462D">
        <w:rPr>
          <w:rFonts w:ascii="Verdana" w:eastAsia="Calibri" w:hAnsi="Verdana" w:cs="Arial"/>
          <w:color w:val="000000"/>
          <w:lang w:val="es-ES"/>
        </w:rPr>
        <w:t xml:space="preserve"> y de la lectura de la norma, es pertinente reiterar que en aquellos casos en que los pliegos de condiciones determinen como requerimiento la acreditaci</w:t>
      </w:r>
      <w:r w:rsidRPr="00B1462D">
        <w:rPr>
          <w:rFonts w:ascii="Verdana" w:eastAsia="Calibri" w:hAnsi="Verdana" w:cs="Arial" w:hint="eastAsia"/>
          <w:color w:val="000000"/>
          <w:lang w:val="es-ES"/>
        </w:rPr>
        <w:t>ó</w:t>
      </w:r>
      <w:r w:rsidRPr="00B1462D">
        <w:rPr>
          <w:rFonts w:ascii="Verdana" w:eastAsia="Calibri" w:hAnsi="Verdana" w:cs="Arial"/>
          <w:color w:val="000000"/>
          <w:lang w:val="es-ES"/>
        </w:rPr>
        <w:t>n de experiencia general y específica, no existe un criterio normado de diferenciaci</w:t>
      </w:r>
      <w:r w:rsidRPr="00B1462D">
        <w:rPr>
          <w:rFonts w:ascii="Verdana" w:eastAsia="Calibri" w:hAnsi="Verdana" w:cs="Arial" w:hint="eastAsia"/>
          <w:color w:val="000000"/>
          <w:lang w:val="es-ES"/>
        </w:rPr>
        <w:t>ó</w:t>
      </w:r>
      <w:r w:rsidRPr="00B1462D">
        <w:rPr>
          <w:rFonts w:ascii="Verdana" w:eastAsia="Calibri" w:hAnsi="Verdana" w:cs="Arial"/>
          <w:color w:val="000000"/>
          <w:lang w:val="es-ES"/>
        </w:rPr>
        <w:t>n relacionado con el incentivo desarrollado por el Decreto 392 de 2018. Por tal motivo, la expresi</w:t>
      </w:r>
      <w:r w:rsidRPr="00B1462D">
        <w:rPr>
          <w:rFonts w:ascii="Verdana" w:eastAsia="Calibri" w:hAnsi="Verdana" w:cs="Arial" w:hint="eastAsia"/>
          <w:color w:val="000000"/>
          <w:lang w:val="es-ES"/>
        </w:rPr>
        <w:t>ó</w:t>
      </w:r>
      <w:r w:rsidRPr="00B1462D">
        <w:rPr>
          <w:rFonts w:ascii="Verdana" w:eastAsia="Calibri" w:hAnsi="Verdana" w:cs="Arial"/>
          <w:color w:val="000000"/>
          <w:lang w:val="es-ES"/>
        </w:rPr>
        <w:t>n “experiencia requerida” debe interpretarse como aquella determinada como requisito habilitante para participar en el respectivo proceso de selecci</w:t>
      </w:r>
      <w:r w:rsidRPr="00B1462D">
        <w:rPr>
          <w:rFonts w:ascii="Verdana" w:eastAsia="Calibri" w:hAnsi="Verdana" w:cs="Arial" w:hint="eastAsia"/>
          <w:color w:val="000000"/>
          <w:lang w:val="es-ES"/>
        </w:rPr>
        <w:t>ó</w:t>
      </w:r>
      <w:r w:rsidRPr="00B1462D">
        <w:rPr>
          <w:rFonts w:ascii="Verdana" w:eastAsia="Calibri" w:hAnsi="Verdana" w:cs="Arial"/>
          <w:color w:val="000000"/>
          <w:lang w:val="es-ES"/>
        </w:rPr>
        <w:t>n bien sea por licitaci</w:t>
      </w:r>
      <w:r w:rsidRPr="00B1462D">
        <w:rPr>
          <w:rFonts w:ascii="Verdana" w:eastAsia="Calibri" w:hAnsi="Verdana" w:cs="Arial" w:hint="eastAsia"/>
          <w:color w:val="000000"/>
          <w:lang w:val="es-ES"/>
        </w:rPr>
        <w:t>ó</w:t>
      </w:r>
      <w:r w:rsidRPr="00B1462D">
        <w:rPr>
          <w:rFonts w:ascii="Verdana" w:eastAsia="Calibri" w:hAnsi="Verdana" w:cs="Arial"/>
          <w:color w:val="000000"/>
          <w:lang w:val="es-ES"/>
        </w:rPr>
        <w:t>n p</w:t>
      </w:r>
      <w:r w:rsidRPr="00B1462D">
        <w:rPr>
          <w:rFonts w:ascii="Verdana" w:eastAsia="Calibri" w:hAnsi="Verdana" w:cs="Arial" w:hint="eastAsia"/>
          <w:color w:val="000000"/>
          <w:lang w:val="es-ES"/>
        </w:rPr>
        <w:t>ú</w:t>
      </w:r>
      <w:r w:rsidRPr="00B1462D">
        <w:rPr>
          <w:rFonts w:ascii="Verdana" w:eastAsia="Calibri" w:hAnsi="Verdana" w:cs="Arial"/>
          <w:color w:val="000000"/>
          <w:lang w:val="es-ES"/>
        </w:rPr>
        <w:t>blica o por concurso de m</w:t>
      </w:r>
      <w:r w:rsidRPr="00B1462D">
        <w:rPr>
          <w:rFonts w:ascii="Verdana" w:eastAsia="Calibri" w:hAnsi="Verdana" w:cs="Arial" w:hint="eastAsia"/>
          <w:color w:val="000000"/>
          <w:lang w:val="es-ES"/>
        </w:rPr>
        <w:t>é</w:t>
      </w:r>
      <w:r w:rsidRPr="00B1462D">
        <w:rPr>
          <w:rFonts w:ascii="Verdana" w:eastAsia="Calibri" w:hAnsi="Verdana" w:cs="Arial"/>
          <w:color w:val="000000"/>
          <w:lang w:val="es-ES"/>
        </w:rPr>
        <w:t>ritos.</w:t>
      </w:r>
    </w:p>
    <w:p w14:paraId="35549899" w14:textId="77777777" w:rsidR="0070739A" w:rsidRPr="00B1462D" w:rsidRDefault="0070739A" w:rsidP="0070739A">
      <w:pPr>
        <w:spacing w:after="0" w:line="276" w:lineRule="auto"/>
        <w:jc w:val="both"/>
        <w:rPr>
          <w:rFonts w:ascii="Verdana" w:eastAsia="Calibri" w:hAnsi="Verdana" w:cs="Arial"/>
          <w:color w:val="000000"/>
          <w:lang w:val="es-ES"/>
        </w:rPr>
      </w:pPr>
    </w:p>
    <w:p w14:paraId="096EF0BD" w14:textId="77777777" w:rsidR="0070739A" w:rsidRPr="00B1462D" w:rsidRDefault="0070739A" w:rsidP="0070739A">
      <w:pPr>
        <w:spacing w:after="0" w:line="276" w:lineRule="auto"/>
        <w:ind w:firstLine="284"/>
        <w:jc w:val="both"/>
        <w:rPr>
          <w:rFonts w:ascii="Verdana" w:eastAsia="Calibri" w:hAnsi="Verdana" w:cs="Arial"/>
          <w:color w:val="000000"/>
          <w:lang w:val="es-ES"/>
        </w:rPr>
      </w:pPr>
      <w:r w:rsidRPr="009626EF">
        <w:rPr>
          <w:rFonts w:ascii="Verdana" w:eastAsia="Calibri" w:hAnsi="Verdana" w:cs="Arial"/>
          <w:color w:val="000000"/>
        </w:rPr>
        <w:t xml:space="preserve">Por último, en </w:t>
      </w:r>
      <w:r>
        <w:rPr>
          <w:rFonts w:ascii="Verdana" w:eastAsia="Calibri" w:hAnsi="Verdana" w:cs="Arial"/>
          <w:color w:val="000000"/>
        </w:rPr>
        <w:t xml:space="preserve">respuesta a su solicitud en </w:t>
      </w:r>
      <w:r w:rsidRPr="009626EF">
        <w:rPr>
          <w:rFonts w:ascii="Verdana" w:eastAsia="Calibri" w:hAnsi="Verdana" w:cs="Arial"/>
          <w:color w:val="000000"/>
        </w:rPr>
        <w:t>estas situaciones, para que la oferta presentada pueda recibir el puntaje adicional por la incorporación de trabajadores con discapacidad, se deberá considerar la acreditación del miembro que contribuya, como mínimo, con el 40% de la experiencia exigida en el proceso de contratación</w:t>
      </w:r>
      <w:r>
        <w:rPr>
          <w:rFonts w:ascii="Verdana" w:eastAsia="Calibri" w:hAnsi="Verdana" w:cs="Arial"/>
          <w:color w:val="000000"/>
        </w:rPr>
        <w:t>.</w:t>
      </w:r>
    </w:p>
    <w:p w14:paraId="00163D42" w14:textId="77777777" w:rsidR="0070739A" w:rsidRPr="00B1462D" w:rsidRDefault="0070739A" w:rsidP="0070739A">
      <w:pPr>
        <w:spacing w:after="0" w:line="276" w:lineRule="auto"/>
        <w:jc w:val="both"/>
        <w:rPr>
          <w:rFonts w:ascii="Verdana" w:eastAsia="Calibri" w:hAnsi="Verdana" w:cs="Arial"/>
          <w:lang w:val="es-ES_tradnl"/>
        </w:rPr>
      </w:pPr>
    </w:p>
    <w:p w14:paraId="7038C219" w14:textId="77777777" w:rsidR="0070739A" w:rsidRPr="00B1462D" w:rsidRDefault="0070739A" w:rsidP="0070739A">
      <w:pPr>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B1462D">
        <w:rPr>
          <w:rFonts w:ascii="Verdana" w:eastAsia="Century Gothic" w:hAnsi="Verdana" w:cs="Century Gothic"/>
          <w:b/>
          <w:bCs/>
        </w:rPr>
        <w:t>Referencias normativas, jurisprudenciales y otras fuentes:</w:t>
      </w:r>
    </w:p>
    <w:p w14:paraId="4C7B30F8" w14:textId="77777777" w:rsidR="0070739A" w:rsidRPr="00B1462D" w:rsidRDefault="0070739A" w:rsidP="0070739A">
      <w:pPr>
        <w:widowControl w:val="0"/>
        <w:autoSpaceDE w:val="0"/>
        <w:autoSpaceDN w:val="0"/>
        <w:spacing w:after="0" w:line="276" w:lineRule="auto"/>
        <w:jc w:val="both"/>
        <w:rPr>
          <w:rFonts w:ascii="Verdana" w:eastAsia="Aptos" w:hAnsi="Verdana" w:cs="Arial"/>
        </w:rPr>
      </w:pPr>
    </w:p>
    <w:tbl>
      <w:tblPr>
        <w:tblStyle w:val="Tablaconcuadrcula1"/>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0739A" w:rsidRPr="00B1462D" w14:paraId="1106B767" w14:textId="77777777" w:rsidTr="005A1DE1">
        <w:trPr>
          <w:trHeight w:val="560"/>
        </w:trPr>
        <w:tc>
          <w:tcPr>
            <w:tcW w:w="8647" w:type="dxa"/>
          </w:tcPr>
          <w:p w14:paraId="2D127356" w14:textId="77777777" w:rsidR="0070739A" w:rsidRPr="00B1462D" w:rsidRDefault="0070739A" w:rsidP="0070739A">
            <w:pPr>
              <w:numPr>
                <w:ilvl w:val="0"/>
                <w:numId w:val="17"/>
              </w:numPr>
              <w:spacing w:line="276" w:lineRule="auto"/>
              <w:ind w:right="709"/>
              <w:contextualSpacing/>
              <w:jc w:val="both"/>
              <w:rPr>
                <w:rFonts w:ascii="Verdana" w:eastAsia="Aptos" w:hAnsi="Verdana" w:cs="Arial"/>
              </w:rPr>
            </w:pPr>
            <w:r w:rsidRPr="00B1462D">
              <w:rPr>
                <w:rFonts w:ascii="Verdana" w:eastAsia="Calibri" w:hAnsi="Verdana" w:cs="Arial"/>
                <w:color w:val="000000"/>
                <w:lang w:val="es-ES_tradnl"/>
              </w:rPr>
              <w:t>Artículo 13, Ley 1618 de 2013.</w:t>
            </w:r>
          </w:p>
          <w:p w14:paraId="37DF6A88" w14:textId="77777777" w:rsidR="0070739A" w:rsidRPr="00B1462D" w:rsidRDefault="0070739A" w:rsidP="0070739A">
            <w:pPr>
              <w:numPr>
                <w:ilvl w:val="0"/>
                <w:numId w:val="17"/>
              </w:numPr>
              <w:spacing w:line="276" w:lineRule="auto"/>
              <w:ind w:right="709"/>
              <w:contextualSpacing/>
              <w:jc w:val="both"/>
              <w:rPr>
                <w:rFonts w:ascii="Verdana" w:eastAsia="Aptos" w:hAnsi="Verdana" w:cs="Arial"/>
              </w:rPr>
            </w:pPr>
            <w:r w:rsidRPr="00B1462D">
              <w:rPr>
                <w:rFonts w:ascii="Verdana" w:eastAsia="Calibri" w:hAnsi="Verdana" w:cs="Arial"/>
                <w:color w:val="000000"/>
                <w:lang w:val="es-ES_tradnl" w:eastAsia="en-GB"/>
              </w:rPr>
              <w:t>Decreto 392 de 2018.</w:t>
            </w:r>
          </w:p>
        </w:tc>
      </w:tr>
    </w:tbl>
    <w:p w14:paraId="49B6B5A5" w14:textId="77777777" w:rsidR="0070739A" w:rsidRPr="00B1462D" w:rsidRDefault="0070739A" w:rsidP="0070739A">
      <w:pPr>
        <w:widowControl w:val="0"/>
        <w:autoSpaceDE w:val="0"/>
        <w:autoSpaceDN w:val="0"/>
        <w:spacing w:after="0" w:line="276" w:lineRule="auto"/>
        <w:jc w:val="both"/>
        <w:rPr>
          <w:rFonts w:ascii="Verdana" w:eastAsia="Aptos" w:hAnsi="Verdana" w:cs="Arial"/>
        </w:rPr>
      </w:pPr>
    </w:p>
    <w:p w14:paraId="016362DF" w14:textId="77777777" w:rsidR="0070739A" w:rsidRPr="00B1462D" w:rsidRDefault="0070739A" w:rsidP="0070739A">
      <w:pPr>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B1462D">
        <w:rPr>
          <w:rFonts w:ascii="Verdana" w:eastAsia="Century Gothic" w:hAnsi="Verdana" w:cs="Century Gothic"/>
          <w:b/>
          <w:bCs/>
        </w:rPr>
        <w:t>Doctrina de la Agencia Nacional de Contratación Pública:</w:t>
      </w:r>
    </w:p>
    <w:p w14:paraId="5CD4B603" w14:textId="77777777" w:rsidR="0070739A" w:rsidRPr="00B1462D" w:rsidRDefault="0070739A" w:rsidP="0070739A">
      <w:pPr>
        <w:widowControl w:val="0"/>
        <w:autoSpaceDE w:val="0"/>
        <w:autoSpaceDN w:val="0"/>
        <w:spacing w:after="0" w:line="276" w:lineRule="auto"/>
        <w:jc w:val="both"/>
        <w:rPr>
          <w:rFonts w:ascii="Verdana" w:eastAsia="Aptos" w:hAnsi="Verdana" w:cs="Arial"/>
          <w:color w:val="7030A0"/>
          <w:shd w:val="clear" w:color="auto" w:fill="FFFFFF"/>
          <w:lang w:val="es-ES"/>
        </w:rPr>
      </w:pPr>
    </w:p>
    <w:p w14:paraId="67578959" w14:textId="77777777" w:rsidR="0070739A" w:rsidRPr="00B1462D" w:rsidRDefault="0070739A" w:rsidP="0070739A">
      <w:pPr>
        <w:tabs>
          <w:tab w:val="left" w:pos="426"/>
        </w:tabs>
        <w:spacing w:before="120" w:line="276" w:lineRule="auto"/>
        <w:jc w:val="both"/>
        <w:rPr>
          <w:rFonts w:ascii="Verdana" w:eastAsia="Calibri" w:hAnsi="Verdana" w:cs="Arial"/>
          <w:b/>
          <w:bCs/>
          <w:color w:val="000000"/>
          <w:lang w:val="es-ES_tradnl"/>
        </w:rPr>
      </w:pPr>
      <w:r w:rsidRPr="00B1462D">
        <w:rPr>
          <w:rFonts w:ascii="Verdana" w:eastAsia="Calibri" w:hAnsi="Verdana" w:cs="Arial"/>
          <w:color w:val="000000"/>
          <w:lang w:val="es-ES_tradnl" w:eastAsia="en-GB"/>
        </w:rPr>
        <w:t xml:space="preserve">La Agencia Nacional de Contratación Pública – Colombia Compra Eficiente en el concepto con radicado No. 4201912000004631 de 10 de julio de 2019, reiterado y desarrollado en los conceptos con radicado No. 4201913000005084 del 23 de julio de 2019 radicado No. 4201913000004446 del 13 de agosto de 2019, radicado No. 4201912000005689 del 16 de septiembre de 2019, radicado No. 4201913000006373 del 18 de septiembre de 2019, radicado No. 4201912000006258 del 3 de octubre de 2019, radicado No. 4201913000006154 del 10 de octubre de 2019, radicado No. 4201912000007756 del 16 de noviembre de 2019, radicado No. 4201913000007151 del 2 de diciembre de 2019, radicado No. 4201912000008593 de 27 de diciembre de 2019, </w:t>
      </w:r>
      <w:r w:rsidRPr="00B1462D">
        <w:rPr>
          <w:rFonts w:ascii="Verdana" w:eastAsia="Calibri" w:hAnsi="Verdana" w:cs="Arial"/>
          <w:lang w:val="es-ES_tradnl" w:eastAsia="en-GB"/>
        </w:rPr>
        <w:t xml:space="preserve">C–026 del 2 de enero de 2020, C–196 del 8 de abril de 2020, C-335 de 29 de mayo de 2020, C-436 del 24 de junio de 2020 y C-629 del 2 de octubre de 2020, C926 </w:t>
      </w:r>
      <w:r w:rsidRPr="00B1462D">
        <w:rPr>
          <w:rFonts w:ascii="Verdana" w:eastAsia="Calibri" w:hAnsi="Verdana" w:cs="Arial"/>
          <w:lang w:val="es-ES_tradnl" w:eastAsia="en-GB"/>
        </w:rPr>
        <w:lastRenderedPageBreak/>
        <w:t>de 2022, C-923 de 2022, C- 885 de 2022, C- 372 de 2023, C- 342 de 2023, C -153 de 2023, C-120 de 2023, C-285 de 2023,  C- 235 de 2024, C-520 del 2024, C- 433 de 2024, entre otros,</w:t>
      </w:r>
      <w:r w:rsidRPr="00B1462D">
        <w:rPr>
          <w:rFonts w:ascii="Verdana" w:eastAsia="Calibri" w:hAnsi="Verdana" w:cs="Arial"/>
          <w:color w:val="000000"/>
          <w:lang w:val="es-ES_tradnl" w:eastAsia="en-GB"/>
        </w:rPr>
        <w:t xml:space="preserve"> estudió los requisitos para acreditar el personal en situación de discapacidad, con la finalidad de obtener el incentivo previsto en el Decreto 392 de 2018. Por otra parte, en los conceptos 4201912000006258 del 23 de octubre de 2019, C-676 del 21 de noviembre de 2021</w:t>
      </w:r>
      <w:r>
        <w:rPr>
          <w:rFonts w:ascii="Verdana" w:eastAsia="Calibri" w:hAnsi="Verdana" w:cs="Arial"/>
          <w:color w:val="000000"/>
          <w:lang w:val="es-ES_tradnl" w:eastAsia="en-GB"/>
        </w:rPr>
        <w:t>,</w:t>
      </w:r>
      <w:r w:rsidRPr="00B1462D">
        <w:rPr>
          <w:rFonts w:ascii="Verdana" w:eastAsia="Calibri" w:hAnsi="Verdana" w:cs="Arial"/>
          <w:color w:val="000000"/>
          <w:lang w:val="es-ES_tradnl" w:eastAsia="en-GB"/>
        </w:rPr>
        <w:t xml:space="preserve"> C-900 del 27 de diciembre de 2024</w:t>
      </w:r>
      <w:r>
        <w:rPr>
          <w:rFonts w:ascii="Verdana" w:eastAsia="Calibri" w:hAnsi="Verdana" w:cs="Arial"/>
          <w:color w:val="000000"/>
          <w:lang w:val="es-ES_tradnl" w:eastAsia="en-GB"/>
        </w:rPr>
        <w:t xml:space="preserve"> </w:t>
      </w:r>
      <w:r>
        <w:rPr>
          <w:rFonts w:ascii="Verdana" w:eastAsia="Calibri" w:hAnsi="Verdana" w:cs="Arial"/>
          <w:lang w:val="es-ES_tradnl" w:eastAsia="en-GB"/>
        </w:rPr>
        <w:t>y C-223 del 27 de marzo de 2025</w:t>
      </w:r>
      <w:r w:rsidRPr="00B1462D">
        <w:rPr>
          <w:rFonts w:ascii="Verdana" w:eastAsia="Calibri" w:hAnsi="Verdana" w:cs="Arial"/>
          <w:color w:val="000000"/>
          <w:lang w:val="es-ES_tradnl" w:eastAsia="en-GB"/>
        </w:rPr>
        <w:t xml:space="preserve">, esta Agencia se pronunció sobre el alcance del parágrafo del artículo </w:t>
      </w:r>
      <w:hyperlink r:id="rId12" w:anchor="2.2.1.2.4.2.6" w:history="1">
        <w:r w:rsidRPr="00B1462D">
          <w:rPr>
            <w:rFonts w:ascii="Verdana" w:eastAsia="Calibri" w:hAnsi="Verdana" w:cs="Arial"/>
            <w:color w:val="000000"/>
            <w:lang w:val="es-ES_tradnl" w:eastAsia="en-GB"/>
          </w:rPr>
          <w:t>2.2.1.2.4.2.6</w:t>
        </w:r>
      </w:hyperlink>
      <w:r w:rsidRPr="00B1462D">
        <w:rPr>
          <w:rFonts w:ascii="Verdana" w:eastAsia="Calibri" w:hAnsi="Verdana" w:cs="Arial"/>
          <w:color w:val="000000"/>
          <w:lang w:val="es-ES_tradnl" w:eastAsia="en-GB"/>
        </w:rPr>
        <w:t xml:space="preserve"> del Decreto 1082 de 2015.</w:t>
      </w:r>
      <w:r w:rsidRPr="00B1462D">
        <w:rPr>
          <w:rFonts w:ascii="Verdana" w:eastAsia="Century Gothic" w:hAnsi="Verdana" w:cs="Century Gothic"/>
        </w:rPr>
        <w:t xml:space="preserve"> </w:t>
      </w:r>
      <w:r w:rsidRPr="00B1462D">
        <w:rPr>
          <w:rFonts w:ascii="Verdana" w:eastAsia="Calibri" w:hAnsi="Verdana" w:cs="Arial"/>
          <w:color w:val="000000"/>
          <w:lang w:val="es-ES_tradnl" w:eastAsia="en-GB"/>
        </w:rPr>
        <w:t>La tesis desarrollada se expone a continuación y se complementa en lo pertinente</w:t>
      </w:r>
      <w:r w:rsidRPr="00B1462D">
        <w:rPr>
          <w:rFonts w:ascii="Verdana" w:eastAsia="Aptos" w:hAnsi="Verdana" w:cs="Arial"/>
          <w:shd w:val="clear" w:color="auto" w:fill="FFFFFF"/>
          <w:lang w:val="es-ES"/>
        </w:rPr>
        <w:t>. Es</w:t>
      </w:r>
      <w:r w:rsidRPr="00B1462D">
        <w:rPr>
          <w:rFonts w:ascii="Verdana" w:eastAsia="Aptos" w:hAnsi="Verdana" w:cs="Times New Roman"/>
        </w:rPr>
        <w:t>tos y otros conceptos se encuentran disponibles para consulta en el Sistema de relatoría de la Agencia, al cual se puede acceder a través del siguiente enlace:</w:t>
      </w:r>
      <w:r w:rsidRPr="00B1462D">
        <w:rPr>
          <w:rFonts w:ascii="Verdana" w:eastAsia="Aptos" w:hAnsi="Verdana" w:cs="Arial"/>
          <w:shd w:val="clear" w:color="auto" w:fill="FFFFFF"/>
          <w:lang w:val="es-ES"/>
        </w:rPr>
        <w:t xml:space="preserve"> </w:t>
      </w:r>
      <w:hyperlink r:id="rId13" w:history="1">
        <w:r w:rsidRPr="00B1462D">
          <w:rPr>
            <w:rFonts w:ascii="Verdana" w:eastAsia="Aptos" w:hAnsi="Verdana" w:cs="Arial"/>
            <w:color w:val="156082"/>
            <w:u w:val="single"/>
            <w:shd w:val="clear" w:color="auto" w:fill="FFFFFF"/>
            <w:lang w:val="es-ES"/>
          </w:rPr>
          <w:t>https://relatoria.colombiacompra.gov.co/busqueda/conceptos</w:t>
        </w:r>
      </w:hyperlink>
      <w:r w:rsidRPr="00B1462D">
        <w:rPr>
          <w:rFonts w:ascii="Verdana" w:eastAsia="Aptos" w:hAnsi="Verdana" w:cs="Arial"/>
          <w:color w:val="156082"/>
          <w:shd w:val="clear" w:color="auto" w:fill="FFFFFF"/>
          <w:lang w:val="es-ES"/>
        </w:rPr>
        <w:t xml:space="preserve"> </w:t>
      </w:r>
    </w:p>
    <w:p w14:paraId="243D1518" w14:textId="77777777" w:rsidR="0070739A" w:rsidRPr="00B1462D" w:rsidRDefault="0070739A" w:rsidP="0070739A">
      <w:pPr>
        <w:widowControl w:val="0"/>
        <w:autoSpaceDE w:val="0"/>
        <w:autoSpaceDN w:val="0"/>
        <w:spacing w:after="0" w:line="276" w:lineRule="auto"/>
        <w:jc w:val="both"/>
        <w:rPr>
          <w:rFonts w:ascii="Verdana" w:eastAsia="Aptos" w:hAnsi="Verdana" w:cs="Arial"/>
          <w:color w:val="FF0000"/>
          <w:shd w:val="clear" w:color="auto" w:fill="FFFFFF"/>
          <w:lang w:val="es-ES"/>
        </w:rPr>
      </w:pPr>
    </w:p>
    <w:p w14:paraId="3516D16C" w14:textId="77777777" w:rsidR="00034ACA" w:rsidRPr="00034ACA" w:rsidRDefault="00034ACA" w:rsidP="00034ACA">
      <w:pPr>
        <w:spacing w:after="0" w:line="240" w:lineRule="auto"/>
        <w:jc w:val="both"/>
        <w:rPr>
          <w:rFonts w:ascii="Verdana" w:eastAsia="Aptos" w:hAnsi="Verdana" w:cs="Times New Roman"/>
          <w:color w:val="000000"/>
        </w:rPr>
      </w:pPr>
      <w:r w:rsidRPr="00034ACA">
        <w:rPr>
          <w:rFonts w:ascii="Verdana" w:eastAsia="Aptos" w:hAnsi="Verdana" w:cs="Times New Roman"/>
          <w:color w:val="000000"/>
        </w:rPr>
        <w:t>La Agencia Nacional de Contratación Pública – Colombia Compra Eficiente invita a las Entidades Estatales, a los actores del Sistema de Compra Pública y a la ciudadanía en general a conocer y participar en la actualización de la </w:t>
      </w:r>
      <w:r w:rsidRPr="00034ACA">
        <w:rPr>
          <w:rFonts w:ascii="Verdana" w:eastAsia="Aptos" w:hAnsi="Verdana" w:cs="Times New Roman"/>
          <w:b/>
          <w:bCs/>
          <w:i/>
          <w:iCs/>
          <w:color w:val="000000"/>
        </w:rPr>
        <w:t>Guía para la Elaboración de Estudios del Sector</w:t>
      </w:r>
      <w:r w:rsidRPr="00034ACA">
        <w:rPr>
          <w:rFonts w:ascii="Verdana" w:eastAsia="Aptos" w:hAnsi="Verdana" w:cs="Times New Roman"/>
          <w:color w:val="000000"/>
        </w:rPr>
        <w:t>. Esta herramienta orientadora facilita el análisis del mercado del bien, obra o servicio a contratar, y tiene como propósito promover procesos de contratación más eficientes, competitivos, sostenibles e inclusivos. La guía se encuentra disponible para consulta y comentarios hasta el 22 de mayo de 2025, a través del siguiente enlace: </w:t>
      </w:r>
      <w:hyperlink r:id="rId14" w:tgtFrame="_blank" w:tooltip="Dirección URL original: https://www.colombiacompra.gov.co/archivos/convocatoria/participacion-ciudadana-proyecto-de-la-guia-para-la-elaboracion-de-estudios-del-sector. Haga clic o pulse si confía en este vínculo." w:history="1">
        <w:r w:rsidRPr="00034ACA">
          <w:rPr>
            <w:rStyle w:val="Hipervnculo"/>
            <w:rFonts w:ascii="Verdana" w:eastAsia="Aptos" w:hAnsi="Verdana" w:cs="Times New Roman"/>
          </w:rPr>
          <w:t>https://www.colombiacompra.gov.co/archivos/convocatoria/participacion-ciudadana-proyecto-de-la-guia-para-la-</w:t>
        </w:r>
      </w:hyperlink>
    </w:p>
    <w:p w14:paraId="476CE451" w14:textId="77777777" w:rsidR="00034ACA" w:rsidRPr="00034ACA" w:rsidRDefault="00034ACA" w:rsidP="00034ACA">
      <w:pPr>
        <w:spacing w:after="0" w:line="240" w:lineRule="auto"/>
        <w:jc w:val="both"/>
        <w:rPr>
          <w:rFonts w:ascii="Verdana" w:eastAsia="Aptos" w:hAnsi="Verdana" w:cs="Times New Roman"/>
          <w:color w:val="000000"/>
        </w:rPr>
      </w:pPr>
    </w:p>
    <w:p w14:paraId="377FC73A" w14:textId="77777777" w:rsidR="00034ACA" w:rsidRDefault="00034ACA" w:rsidP="00034ACA">
      <w:pPr>
        <w:spacing w:after="0" w:line="240" w:lineRule="auto"/>
        <w:jc w:val="both"/>
        <w:rPr>
          <w:rFonts w:ascii="Verdana" w:eastAsia="Aptos" w:hAnsi="Verdana" w:cs="Times New Roman"/>
          <w:color w:val="000000"/>
          <w:u w:val="single"/>
        </w:rPr>
      </w:pPr>
      <w:r w:rsidRPr="00034ACA">
        <w:rPr>
          <w:rFonts w:ascii="Verdana" w:eastAsia="Aptos" w:hAnsi="Verdana" w:cs="Times New Roman"/>
          <w:color w:val="000000"/>
        </w:rPr>
        <w:t>De otra parte, te informamos que ya se encuentran disponibles los borradores de las nuevas versiones de documentos tipo del sector infraestructura social (Subsectores: institucional, vivienda, salud, educación, cultura y deporte) en las modalidades de licitación pública, selección abreviada de menor cuantía y mínima cuantía para comentarios. Dichos documentos estarán publicados hasta el próximo 23 de mayo de 2025.  Puede consultar la información en el siguiente enlace: </w:t>
      </w:r>
      <w:hyperlink r:id="rId15" w:tgtFrame="_blank" w:tooltip="Dirección URL original: https://www.colombiacompra.gov.co/normativa-y-relatoria/documentos-tipo. Haga clic o pulse si confía en este vínculo." w:history="1">
        <w:r w:rsidRPr="00034ACA">
          <w:rPr>
            <w:rStyle w:val="Hipervnculo"/>
            <w:rFonts w:ascii="Verdana" w:eastAsia="Aptos" w:hAnsi="Verdana" w:cs="Times New Roman"/>
          </w:rPr>
          <w:t>Documentos Tipo – ANCP Colombia Compra Eficiente</w:t>
        </w:r>
      </w:hyperlink>
      <w:r w:rsidRPr="00034ACA">
        <w:rPr>
          <w:rFonts w:ascii="Verdana" w:eastAsia="Aptos" w:hAnsi="Verdana" w:cs="Times New Roman"/>
          <w:color w:val="000000"/>
          <w:u w:val="single"/>
        </w:rPr>
        <w:t> </w:t>
      </w:r>
    </w:p>
    <w:p w14:paraId="3A5B9BAD" w14:textId="77777777" w:rsidR="00D12187" w:rsidRPr="00034ACA" w:rsidRDefault="00D12187" w:rsidP="00034ACA">
      <w:pPr>
        <w:spacing w:after="0" w:line="240" w:lineRule="auto"/>
        <w:jc w:val="both"/>
        <w:rPr>
          <w:rFonts w:ascii="Verdana" w:eastAsia="Aptos" w:hAnsi="Verdana" w:cs="Times New Roman"/>
          <w:color w:val="000000"/>
        </w:rPr>
      </w:pPr>
    </w:p>
    <w:p w14:paraId="3C0AC0B5" w14:textId="77777777" w:rsidR="00034ACA" w:rsidRPr="00034ACA" w:rsidRDefault="00034ACA" w:rsidP="00034ACA">
      <w:pPr>
        <w:spacing w:after="0" w:line="240" w:lineRule="auto"/>
        <w:jc w:val="both"/>
        <w:rPr>
          <w:rFonts w:ascii="Verdana" w:eastAsia="Aptos" w:hAnsi="Verdana" w:cs="Times New Roman"/>
          <w:color w:val="000000"/>
        </w:rPr>
      </w:pPr>
      <w:r w:rsidRPr="00034ACA">
        <w:rPr>
          <w:rFonts w:ascii="Verdana" w:eastAsia="Aptos" w:hAnsi="Verdana" w:cs="Times New Roman"/>
          <w:color w:val="000000"/>
        </w:rPr>
        <w:t>También le contamos que ya se encuentra disponible la </w:t>
      </w:r>
      <w:r w:rsidRPr="00034ACA">
        <w:rPr>
          <w:rFonts w:ascii="Verdana" w:eastAsia="Aptos" w:hAnsi="Verdana" w:cs="Times New Roman"/>
          <w:b/>
          <w:bCs/>
          <w:color w:val="000000"/>
        </w:rPr>
        <w:t>Guía de lineamientos de transparencia y selección objetiva para el departamento de La Guajira – Objetivo sexto constitucional de la Sentencia T-302 del 2017. </w:t>
      </w:r>
      <w:r w:rsidRPr="00034ACA">
        <w:rPr>
          <w:rFonts w:ascii="Verdana" w:eastAsia="Aptos" w:hAnsi="Verdana" w:cs="Times New Roman"/>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4ACA">
        <w:rPr>
          <w:rFonts w:ascii="Verdana" w:eastAsia="Aptos" w:hAnsi="Verdana" w:cs="Times New Roman"/>
          <w:color w:val="000000"/>
        </w:rPr>
        <w:t>Wayúu</w:t>
      </w:r>
      <w:proofErr w:type="spellEnd"/>
      <w:r w:rsidRPr="00034ACA">
        <w:rPr>
          <w:rFonts w:ascii="Verdana" w:eastAsia="Aptos" w:hAnsi="Verdana" w:cs="Times New Roman"/>
          <w:color w:val="000000"/>
        </w:rPr>
        <w:t xml:space="preserve">. </w:t>
      </w:r>
      <w:r w:rsidRPr="00034ACA">
        <w:rPr>
          <w:rFonts w:ascii="Verdana" w:eastAsia="Aptos" w:hAnsi="Verdana" w:cs="Times New Roman"/>
          <w:color w:val="000000"/>
        </w:rPr>
        <w:lastRenderedPageBreak/>
        <w:t>Puede consultar la guía en el siguiente enlace: </w:t>
      </w:r>
      <w:hyperlink r:id="rId16" w:tgtFrame="_blank" w:tooltip="Dirección URL original: https://www.colombiacompra.gov.co/wp-content/uploads/2025/05/GUIA-DE-LINEAMIENTOS-DE-TRANSPARENCIA-Y-SELECCION-OBJETIVA-1.0.pdf. Haga clic o pulse si confía en este vínculo." w:history="1">
        <w:r w:rsidRPr="00034ACA">
          <w:rPr>
            <w:rStyle w:val="Hipervnculo"/>
            <w:rFonts w:ascii="Verdana" w:eastAsia="Aptos" w:hAnsi="Verdana" w:cs="Times New Roman"/>
          </w:rPr>
          <w:t>Guía de lineamientos de transparencia y selección objetiva para el departamento de La Guajira – Objetivo sexto constitucional de la Sentencia T-302 del 2017</w:t>
        </w:r>
      </w:hyperlink>
      <w:r w:rsidRPr="00034ACA">
        <w:rPr>
          <w:rFonts w:ascii="Verdana" w:eastAsia="Aptos" w:hAnsi="Verdana" w:cs="Times New Roman"/>
          <w:color w:val="000000"/>
          <w:u w:val="single"/>
        </w:rPr>
        <w:t>"</w:t>
      </w:r>
    </w:p>
    <w:p w14:paraId="1FE38ED0" w14:textId="77777777" w:rsidR="00793560" w:rsidRDefault="00793560" w:rsidP="0070739A">
      <w:pPr>
        <w:spacing w:after="0" w:line="240" w:lineRule="auto"/>
        <w:jc w:val="both"/>
        <w:rPr>
          <w:rFonts w:ascii="Verdana" w:eastAsia="Aptos" w:hAnsi="Verdana" w:cs="Times New Roman"/>
        </w:rPr>
      </w:pPr>
    </w:p>
    <w:p w14:paraId="77EA94E1" w14:textId="77777777" w:rsidR="0070739A" w:rsidRPr="00B1462D" w:rsidRDefault="0070739A" w:rsidP="0070739A">
      <w:pPr>
        <w:spacing w:after="0" w:line="240" w:lineRule="auto"/>
        <w:jc w:val="both"/>
        <w:rPr>
          <w:rFonts w:ascii="Calibri" w:eastAsia="Calibri" w:hAnsi="Calibri" w:cs="Times New Roman"/>
        </w:rPr>
      </w:pPr>
      <w:r w:rsidRPr="00B1462D">
        <w:rPr>
          <w:rFonts w:ascii="Verdana" w:eastAsia="Aptos" w:hAnsi="Verdana" w:cs="Times New Roman"/>
        </w:rPr>
        <w:t xml:space="preserve">Por último, lo invitamos a seguirnos en las redes sociales en las cuales se difunde información institucional: </w:t>
      </w:r>
    </w:p>
    <w:p w14:paraId="7D5E7B56" w14:textId="77777777" w:rsidR="0070739A" w:rsidRPr="00B1462D" w:rsidRDefault="0070739A" w:rsidP="0070739A">
      <w:pPr>
        <w:spacing w:after="0" w:line="240" w:lineRule="auto"/>
        <w:jc w:val="both"/>
        <w:rPr>
          <w:rFonts w:ascii="Verdana" w:eastAsia="Aptos" w:hAnsi="Verdana" w:cs="Times New Roman"/>
        </w:rPr>
      </w:pPr>
    </w:p>
    <w:p w14:paraId="2CAE9F55" w14:textId="77777777" w:rsidR="0070739A" w:rsidRPr="00B1462D" w:rsidRDefault="0070739A" w:rsidP="0070739A">
      <w:pPr>
        <w:spacing w:after="0" w:line="240" w:lineRule="auto"/>
        <w:jc w:val="both"/>
        <w:rPr>
          <w:rFonts w:ascii="Verdana" w:eastAsia="Aptos" w:hAnsi="Verdana" w:cs="Times New Roman"/>
        </w:rPr>
      </w:pPr>
      <w:r w:rsidRPr="00B1462D">
        <w:rPr>
          <w:rFonts w:ascii="Verdana" w:eastAsia="Aptos" w:hAnsi="Verdana" w:cs="Times New Roman"/>
        </w:rPr>
        <w:t xml:space="preserve">Twitter: </w:t>
      </w:r>
      <w:r w:rsidRPr="00B1462D">
        <w:rPr>
          <w:rFonts w:ascii="Verdana" w:eastAsia="Calibri" w:hAnsi="Verdana" w:cs="Times New Roman"/>
          <w:color w:val="156082"/>
          <w:u w:val="single"/>
        </w:rPr>
        <w:t>@colombiacompra</w:t>
      </w:r>
      <w:r w:rsidRPr="00B1462D">
        <w:rPr>
          <w:rFonts w:ascii="Verdana" w:eastAsia="Calibri" w:hAnsi="Verdana" w:cs="Times New Roman"/>
          <w:color w:val="156082"/>
        </w:rPr>
        <w:t xml:space="preserve"> </w:t>
      </w:r>
    </w:p>
    <w:p w14:paraId="42235AEB" w14:textId="77777777" w:rsidR="0070739A" w:rsidRPr="00B1462D" w:rsidRDefault="0070739A" w:rsidP="0070739A">
      <w:pPr>
        <w:spacing w:after="0" w:line="240" w:lineRule="auto"/>
        <w:jc w:val="both"/>
        <w:rPr>
          <w:rFonts w:ascii="Verdana" w:eastAsia="Aptos" w:hAnsi="Verdana" w:cs="Times New Roman"/>
        </w:rPr>
      </w:pPr>
      <w:r w:rsidRPr="00B1462D">
        <w:rPr>
          <w:rFonts w:ascii="Verdana" w:eastAsia="Aptos" w:hAnsi="Verdana" w:cs="Times New Roman"/>
        </w:rPr>
        <w:t xml:space="preserve">Facebook: </w:t>
      </w:r>
      <w:proofErr w:type="spellStart"/>
      <w:r w:rsidRPr="00B1462D">
        <w:rPr>
          <w:rFonts w:ascii="Verdana" w:eastAsia="Calibri" w:hAnsi="Verdana" w:cs="Times New Roman"/>
          <w:color w:val="156082"/>
          <w:u w:val="single"/>
        </w:rPr>
        <w:t>ColombiaCompraEficiente</w:t>
      </w:r>
      <w:proofErr w:type="spellEnd"/>
    </w:p>
    <w:p w14:paraId="6163B772" w14:textId="77777777" w:rsidR="0070739A" w:rsidRPr="00B1462D" w:rsidRDefault="0070739A" w:rsidP="0070739A">
      <w:pPr>
        <w:spacing w:after="0" w:line="240" w:lineRule="auto"/>
        <w:jc w:val="both"/>
        <w:rPr>
          <w:rFonts w:ascii="Verdana" w:eastAsia="Aptos" w:hAnsi="Verdana" w:cs="Times New Roman"/>
        </w:rPr>
      </w:pPr>
      <w:r w:rsidRPr="00B1462D">
        <w:rPr>
          <w:rFonts w:ascii="Verdana" w:eastAsia="Aptos" w:hAnsi="Verdana" w:cs="Times New Roman"/>
        </w:rPr>
        <w:t xml:space="preserve">LinkedIn: </w:t>
      </w:r>
      <w:r w:rsidRPr="00B1462D">
        <w:rPr>
          <w:rFonts w:ascii="Verdana" w:eastAsia="Calibri" w:hAnsi="Verdana" w:cs="Times New Roman"/>
          <w:color w:val="156082"/>
          <w:u w:val="single"/>
        </w:rPr>
        <w:t>Agencia Nacional de Contratación Pública - Colombia Compra Eficiente</w:t>
      </w:r>
      <w:r w:rsidRPr="00B1462D">
        <w:rPr>
          <w:rFonts w:ascii="Verdana" w:eastAsia="Calibri" w:hAnsi="Verdana" w:cs="Times New Roman"/>
          <w:color w:val="156082"/>
        </w:rPr>
        <w:t xml:space="preserve"> </w:t>
      </w:r>
      <w:r w:rsidRPr="00B1462D">
        <w:rPr>
          <w:rFonts w:ascii="Verdana" w:eastAsia="Aptos" w:hAnsi="Verdana" w:cs="Times New Roman"/>
        </w:rPr>
        <w:t xml:space="preserve">Instagram: </w:t>
      </w:r>
      <w:r w:rsidRPr="00B1462D">
        <w:rPr>
          <w:rFonts w:ascii="Verdana" w:eastAsia="Calibri" w:hAnsi="Verdana" w:cs="Times New Roman"/>
          <w:color w:val="156082"/>
          <w:u w:val="single"/>
        </w:rPr>
        <w:t>@colombiacompraeficiente_cce</w:t>
      </w:r>
    </w:p>
    <w:p w14:paraId="49817498" w14:textId="77777777" w:rsidR="0070739A" w:rsidRPr="00B1462D" w:rsidRDefault="0070739A" w:rsidP="0070739A">
      <w:pPr>
        <w:widowControl w:val="0"/>
        <w:autoSpaceDE w:val="0"/>
        <w:autoSpaceDN w:val="0"/>
        <w:spacing w:after="0" w:line="276" w:lineRule="auto"/>
        <w:jc w:val="both"/>
        <w:rPr>
          <w:rFonts w:ascii="Verdana" w:eastAsia="Calibri" w:hAnsi="Verdana" w:cs="Arial"/>
        </w:rPr>
      </w:pPr>
    </w:p>
    <w:p w14:paraId="0662BF71" w14:textId="77777777" w:rsidR="0070739A" w:rsidRPr="00B1462D" w:rsidRDefault="0070739A" w:rsidP="0070739A">
      <w:pPr>
        <w:widowControl w:val="0"/>
        <w:autoSpaceDE w:val="0"/>
        <w:autoSpaceDN w:val="0"/>
        <w:spacing w:after="0" w:line="276" w:lineRule="auto"/>
        <w:jc w:val="both"/>
        <w:rPr>
          <w:rFonts w:ascii="Verdana" w:eastAsia="Calibri" w:hAnsi="Verdana" w:cs="Arial"/>
          <w:lang w:val="es-ES_tradnl"/>
        </w:rPr>
      </w:pPr>
      <w:r w:rsidRPr="00B1462D">
        <w:rPr>
          <w:rFonts w:ascii="Verdana" w:eastAsia="Calibri" w:hAnsi="Verdana" w:cs="Arial"/>
        </w:rPr>
        <w:t xml:space="preserve">Este concepto tiene el alcance previsto en el artículo 28 del Código de Procedimiento Administrativo y de lo Contencioso Administrativo </w:t>
      </w:r>
      <w:r w:rsidRPr="00B1462D">
        <w:rPr>
          <w:rFonts w:ascii="Verdana" w:eastAsia="Calibri" w:hAnsi="Verdana" w:cs="Arial"/>
          <w:lang w:val="es-ES_tradnl"/>
        </w:rPr>
        <w:t>y las expresiones aquí utilizadas con mayúscula inicial deben ser entendidas con el significado que les otorga el artículo 2.2.1.1.1.3.1. del Decreto 1082 de 2015.</w:t>
      </w:r>
    </w:p>
    <w:p w14:paraId="15570BD3" w14:textId="77777777" w:rsidR="0070739A" w:rsidRPr="00B1462D" w:rsidRDefault="0070739A" w:rsidP="0070739A">
      <w:pPr>
        <w:widowControl w:val="0"/>
        <w:autoSpaceDE w:val="0"/>
        <w:autoSpaceDN w:val="0"/>
        <w:spacing w:after="0" w:line="276" w:lineRule="auto"/>
        <w:jc w:val="both"/>
        <w:rPr>
          <w:rFonts w:ascii="Verdana" w:eastAsia="Aptos" w:hAnsi="Verdana" w:cs="Arial"/>
          <w:lang w:val="es-ES_tradnl"/>
        </w:rPr>
      </w:pPr>
    </w:p>
    <w:p w14:paraId="476D52DA" w14:textId="77777777" w:rsidR="0070739A" w:rsidRPr="00B1462D" w:rsidRDefault="0070739A" w:rsidP="0070739A">
      <w:pPr>
        <w:spacing w:after="0" w:line="240" w:lineRule="auto"/>
        <w:rPr>
          <w:rFonts w:ascii="Verdana" w:eastAsia="Aptos" w:hAnsi="Verdana" w:cs="Arial"/>
          <w:lang w:eastAsia="es-CO"/>
        </w:rPr>
      </w:pPr>
      <w:r w:rsidRPr="00B1462D">
        <w:rPr>
          <w:rFonts w:ascii="Verdana" w:eastAsia="Times New Roman" w:hAnsi="Verdana" w:cs="Arial"/>
          <w:lang w:eastAsia="es-CO"/>
        </w:rPr>
        <w:t>Atentamente,</w:t>
      </w:r>
      <w:r w:rsidRPr="00B1462D">
        <w:rPr>
          <w:rFonts w:ascii="Verdana" w:eastAsia="Aptos" w:hAnsi="Verdana" w:cs="Arial"/>
          <w:lang w:eastAsia="es-CO"/>
        </w:rPr>
        <w:t xml:space="preserve"> </w:t>
      </w:r>
    </w:p>
    <w:p w14:paraId="48104DAF" w14:textId="46045658" w:rsidR="0070739A" w:rsidRPr="00B1462D" w:rsidRDefault="001514D3" w:rsidP="0070739A">
      <w:pPr>
        <w:tabs>
          <w:tab w:val="left" w:pos="1320"/>
        </w:tabs>
        <w:jc w:val="center"/>
        <w:rPr>
          <w:rFonts w:ascii="Century Gothic" w:eastAsia="Aptos" w:hAnsi="Century Gothic" w:cs="Times New Roman"/>
        </w:rPr>
      </w:pPr>
      <w:r w:rsidRPr="00800065">
        <w:rPr>
          <w:rFonts w:ascii="Verdana" w:hAnsi="Verdana" w:cs="Arial"/>
          <w:noProof/>
          <w:color w:val="000000"/>
          <w:lang w:eastAsia="es-CO"/>
        </w:rPr>
        <w:drawing>
          <wp:inline distT="0" distB="0" distL="0" distR="0" wp14:anchorId="2F71463C" wp14:editId="27A04497">
            <wp:extent cx="3969107" cy="1706880"/>
            <wp:effectExtent l="0" t="0" r="0" b="7620"/>
            <wp:docPr id="367234919"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89805" cy="1715781"/>
                    </a:xfrm>
                    <a:prstGeom prst="rect">
                      <a:avLst/>
                    </a:prstGeom>
                    <a:noFill/>
                    <a:ln>
                      <a:noFill/>
                    </a:ln>
                  </pic:spPr>
                </pic:pic>
              </a:graphicData>
            </a:graphic>
          </wp:inline>
        </w:drawing>
      </w:r>
    </w:p>
    <w:tbl>
      <w:tblPr>
        <w:tblStyle w:val="Tablaconcuadrcula1"/>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0739A" w:rsidRPr="00B1462D" w14:paraId="786D0805" w14:textId="77777777" w:rsidTr="005A1DE1">
        <w:trPr>
          <w:trHeight w:val="315"/>
        </w:trPr>
        <w:tc>
          <w:tcPr>
            <w:tcW w:w="893" w:type="dxa"/>
            <w:vAlign w:val="center"/>
            <w:hideMark/>
          </w:tcPr>
          <w:p w14:paraId="34812045" w14:textId="77777777" w:rsidR="0070739A" w:rsidRPr="00B1462D" w:rsidRDefault="0070739A" w:rsidP="005A1DE1">
            <w:pPr>
              <w:rPr>
                <w:rFonts w:ascii="Verdana" w:eastAsia="Calibri" w:hAnsi="Verdana" w:cs="Arial"/>
                <w:sz w:val="16"/>
                <w:szCs w:val="16"/>
                <w:lang w:val="es-ES_tradnl" w:eastAsia="es-ES"/>
              </w:rPr>
            </w:pPr>
            <w:r w:rsidRPr="00B1462D">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58BFCDE8" w14:textId="77777777" w:rsidR="0070739A" w:rsidRPr="00B1462D" w:rsidRDefault="0070739A" w:rsidP="005A1DE1">
            <w:pPr>
              <w:rPr>
                <w:rFonts w:ascii="Verdana" w:eastAsia="Arial" w:hAnsi="Verdana" w:cs="Arial"/>
                <w:sz w:val="16"/>
                <w:szCs w:val="16"/>
                <w:lang w:val="es-ES"/>
              </w:rPr>
            </w:pPr>
            <w:r>
              <w:rPr>
                <w:rFonts w:ascii="Verdana" w:eastAsia="Arial" w:hAnsi="Verdana" w:cs="Arial"/>
                <w:sz w:val="16"/>
                <w:szCs w:val="16"/>
                <w:lang w:val="es-ES"/>
              </w:rPr>
              <w:t xml:space="preserve">María </w:t>
            </w:r>
            <w:proofErr w:type="spellStart"/>
            <w:r>
              <w:rPr>
                <w:rFonts w:ascii="Verdana" w:eastAsia="Arial" w:hAnsi="Verdana" w:cs="Arial"/>
                <w:sz w:val="16"/>
                <w:szCs w:val="16"/>
                <w:lang w:val="es-ES"/>
              </w:rPr>
              <w:t>Joshira</w:t>
            </w:r>
            <w:proofErr w:type="spellEnd"/>
            <w:r>
              <w:rPr>
                <w:rFonts w:ascii="Verdana" w:eastAsia="Arial" w:hAnsi="Verdana" w:cs="Arial"/>
                <w:sz w:val="16"/>
                <w:szCs w:val="16"/>
                <w:lang w:val="es-ES"/>
              </w:rPr>
              <w:t xml:space="preserve"> Nieto Manzano</w:t>
            </w:r>
          </w:p>
          <w:p w14:paraId="514B2B20" w14:textId="77777777" w:rsidR="0070739A" w:rsidRPr="00B1462D" w:rsidRDefault="0070739A" w:rsidP="005A1DE1">
            <w:pPr>
              <w:rPr>
                <w:rFonts w:ascii="Verdana" w:eastAsia="Arial" w:hAnsi="Verdana" w:cs="Arial"/>
                <w:sz w:val="16"/>
                <w:szCs w:val="16"/>
                <w:lang w:val="es-ES_tradnl"/>
              </w:rPr>
            </w:pPr>
            <w:r w:rsidRPr="00B1462D">
              <w:rPr>
                <w:rFonts w:ascii="Verdana" w:eastAsia="Arial" w:hAnsi="Verdana" w:cs="Arial"/>
                <w:sz w:val="16"/>
                <w:szCs w:val="16"/>
                <w:lang w:val="es-ES_tradnl"/>
              </w:rPr>
              <w:t>Contratista de la Subdirección de Gestión Contractual</w:t>
            </w:r>
          </w:p>
          <w:p w14:paraId="4BC24F67" w14:textId="77777777" w:rsidR="0070739A" w:rsidRPr="00B1462D" w:rsidRDefault="0070739A" w:rsidP="005A1DE1">
            <w:pPr>
              <w:rPr>
                <w:rFonts w:ascii="Verdana" w:eastAsia="Arial" w:hAnsi="Verdana" w:cs="Arial"/>
                <w:sz w:val="16"/>
                <w:szCs w:val="16"/>
                <w:lang w:val="es-ES_tradnl"/>
              </w:rPr>
            </w:pPr>
          </w:p>
        </w:tc>
      </w:tr>
      <w:tr w:rsidR="0070739A" w:rsidRPr="00B1462D" w14:paraId="22F74D8E" w14:textId="77777777" w:rsidTr="005A1DE1">
        <w:trPr>
          <w:trHeight w:val="330"/>
        </w:trPr>
        <w:tc>
          <w:tcPr>
            <w:tcW w:w="893" w:type="dxa"/>
            <w:vAlign w:val="center"/>
            <w:hideMark/>
          </w:tcPr>
          <w:p w14:paraId="09D98D59" w14:textId="77777777" w:rsidR="0070739A" w:rsidRPr="00B1462D" w:rsidRDefault="0070739A" w:rsidP="005A1DE1">
            <w:pPr>
              <w:rPr>
                <w:rFonts w:ascii="Verdana" w:eastAsia="Calibri" w:hAnsi="Verdana" w:cs="Arial"/>
                <w:sz w:val="16"/>
                <w:szCs w:val="16"/>
                <w:lang w:val="es-ES_tradnl" w:eastAsia="es-ES"/>
              </w:rPr>
            </w:pPr>
            <w:r w:rsidRPr="00B1462D">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3E4B167E" w14:textId="77777777" w:rsidR="0089542E" w:rsidRPr="00D6517A" w:rsidRDefault="0070739A" w:rsidP="0089542E">
            <w:pPr>
              <w:textAlignment w:val="baseline"/>
              <w:rPr>
                <w:rFonts w:ascii="Verdana" w:eastAsia="Times New Roman" w:hAnsi="Verdana" w:cs="Segoe UI"/>
                <w:sz w:val="16"/>
                <w:szCs w:val="16"/>
                <w:lang w:val="es-ES_tradnl" w:eastAsia="es-ES_tradnl"/>
              </w:rPr>
            </w:pPr>
            <w:r w:rsidRPr="00B1462D">
              <w:rPr>
                <w:rFonts w:ascii="Verdana" w:eastAsia="Times New Roman" w:hAnsi="Verdana" w:cs="Segoe UI"/>
                <w:sz w:val="16"/>
                <w:szCs w:val="16"/>
                <w:lang w:val="es-ES_tradnl" w:eastAsia="es-ES_tradnl"/>
              </w:rPr>
              <w:t xml:space="preserve">Juan </w:t>
            </w:r>
            <w:r w:rsidR="006213C6">
              <w:rPr>
                <w:rFonts w:ascii="Verdana" w:eastAsia="Times New Roman" w:hAnsi="Verdana" w:cs="Segoe UI"/>
                <w:sz w:val="16"/>
                <w:szCs w:val="16"/>
                <w:lang w:val="es-ES_tradnl" w:eastAsia="es-ES_tradnl"/>
              </w:rPr>
              <w:t>David Cárdenas</w:t>
            </w:r>
            <w:r w:rsidR="0089542E">
              <w:rPr>
                <w:rFonts w:ascii="Verdana" w:eastAsia="Times New Roman" w:hAnsi="Verdana" w:cs="Segoe UI"/>
                <w:sz w:val="16"/>
                <w:szCs w:val="16"/>
                <w:lang w:val="es-ES_tradnl" w:eastAsia="es-ES_tradnl"/>
              </w:rPr>
              <w:t xml:space="preserve"> </w:t>
            </w:r>
            <w:r w:rsidR="0089542E" w:rsidRPr="00D6517A">
              <w:rPr>
                <w:rFonts w:ascii="Verdana" w:eastAsia="Times New Roman" w:hAnsi="Verdana" w:cs="Segoe UI"/>
                <w:sz w:val="16"/>
                <w:szCs w:val="16"/>
                <w:lang w:val="es-ES_tradnl" w:eastAsia="es-ES_tradnl"/>
              </w:rPr>
              <w:t>Cabeza</w:t>
            </w:r>
          </w:p>
          <w:p w14:paraId="5D97C898" w14:textId="77777777" w:rsidR="0070739A" w:rsidRPr="00B1462D" w:rsidRDefault="0070739A" w:rsidP="005A1DE1">
            <w:pPr>
              <w:textAlignment w:val="baseline"/>
              <w:rPr>
                <w:rFonts w:ascii="Verdana" w:eastAsia="Times New Roman" w:hAnsi="Verdana" w:cs="Segoe UI"/>
                <w:sz w:val="16"/>
                <w:szCs w:val="16"/>
                <w:lang w:val="es-ES_tradnl" w:eastAsia="es-ES_tradnl"/>
              </w:rPr>
            </w:pPr>
            <w:r w:rsidRPr="00B1462D">
              <w:rPr>
                <w:rFonts w:ascii="Verdana" w:eastAsia="Times New Roman" w:hAnsi="Verdana" w:cs="Arial"/>
                <w:sz w:val="16"/>
                <w:szCs w:val="16"/>
                <w:lang w:val="es-ES_tradnl" w:eastAsia="es-ES_tradnl"/>
              </w:rPr>
              <w:t>Contratista de la Subdirección de Gestión Contractual </w:t>
            </w:r>
          </w:p>
        </w:tc>
      </w:tr>
      <w:tr w:rsidR="0070739A" w:rsidRPr="00B1462D" w14:paraId="49AE7716" w14:textId="77777777" w:rsidTr="005A1DE1">
        <w:trPr>
          <w:trHeight w:val="300"/>
        </w:trPr>
        <w:tc>
          <w:tcPr>
            <w:tcW w:w="893" w:type="dxa"/>
            <w:vAlign w:val="center"/>
          </w:tcPr>
          <w:p w14:paraId="04670E5E" w14:textId="77777777" w:rsidR="0070739A" w:rsidRPr="00B1462D" w:rsidRDefault="0070739A" w:rsidP="005A1DE1">
            <w:pPr>
              <w:rPr>
                <w:rFonts w:ascii="Verdana" w:eastAsia="Calibri" w:hAnsi="Verdana" w:cs="Arial"/>
                <w:sz w:val="16"/>
                <w:szCs w:val="16"/>
                <w:lang w:val="es-ES_tradnl" w:eastAsia="es-ES"/>
              </w:rPr>
            </w:pPr>
            <w:r w:rsidRPr="00B1462D">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009ECE18" w14:textId="77777777" w:rsidR="0070739A" w:rsidRPr="00B1462D" w:rsidRDefault="0070739A" w:rsidP="005A1DE1">
            <w:pPr>
              <w:rPr>
                <w:rFonts w:ascii="Verdana" w:eastAsia="Calibri" w:hAnsi="Verdana" w:cs="Arial"/>
                <w:sz w:val="16"/>
                <w:szCs w:val="16"/>
                <w:lang w:val="es-ES" w:eastAsia="es-ES"/>
              </w:rPr>
            </w:pPr>
            <w:r w:rsidRPr="00B1462D">
              <w:rPr>
                <w:rFonts w:ascii="Verdana" w:eastAsia="Calibri" w:hAnsi="Verdana" w:cs="Arial"/>
                <w:sz w:val="16"/>
                <w:szCs w:val="16"/>
                <w:lang w:val="es-ES" w:eastAsia="es-ES"/>
              </w:rPr>
              <w:t xml:space="preserve">Carolina Quintero </w:t>
            </w:r>
            <w:proofErr w:type="spellStart"/>
            <w:r w:rsidRPr="00B1462D">
              <w:rPr>
                <w:rFonts w:ascii="Verdana" w:eastAsia="Calibri" w:hAnsi="Verdana" w:cs="Arial"/>
                <w:sz w:val="16"/>
                <w:szCs w:val="16"/>
                <w:lang w:val="es-ES" w:eastAsia="es-ES"/>
              </w:rPr>
              <w:t>Gacharná</w:t>
            </w:r>
            <w:proofErr w:type="spellEnd"/>
          </w:p>
          <w:p w14:paraId="67552D0F" w14:textId="77777777" w:rsidR="0070739A" w:rsidRPr="00B1462D" w:rsidRDefault="0070739A" w:rsidP="005A1DE1">
            <w:pPr>
              <w:rPr>
                <w:rFonts w:ascii="Verdana" w:eastAsia="Calibri" w:hAnsi="Verdana" w:cs="Arial"/>
                <w:sz w:val="16"/>
                <w:szCs w:val="16"/>
                <w:lang w:val="es-ES_tradnl" w:eastAsia="es-ES"/>
              </w:rPr>
            </w:pPr>
            <w:r w:rsidRPr="00B1462D">
              <w:rPr>
                <w:rFonts w:ascii="Verdana" w:eastAsia="Calibri" w:hAnsi="Verdana" w:cs="Arial"/>
                <w:sz w:val="16"/>
                <w:szCs w:val="16"/>
                <w:lang w:val="es-ES_tradnl" w:eastAsia="es-ES"/>
              </w:rPr>
              <w:t>Subdirectora de Gestión Contractual ANCP – CCE</w:t>
            </w:r>
          </w:p>
        </w:tc>
      </w:tr>
    </w:tbl>
    <w:p w14:paraId="451B55BE" w14:textId="77777777" w:rsidR="0070739A" w:rsidRPr="00B1462D" w:rsidRDefault="0070739A" w:rsidP="0070739A">
      <w:pPr>
        <w:spacing w:after="0"/>
        <w:rPr>
          <w:rFonts w:ascii="Verdana" w:eastAsia="Aptos" w:hAnsi="Verdana" w:cs="Times New Roman"/>
        </w:rPr>
      </w:pPr>
    </w:p>
    <w:p w14:paraId="44B53031" w14:textId="77777777" w:rsidR="0070739A" w:rsidRPr="00380ABE" w:rsidRDefault="0070739A" w:rsidP="0070739A"/>
    <w:p w14:paraId="6FAF0BCA" w14:textId="77777777" w:rsidR="002707A2" w:rsidRPr="0044528D" w:rsidRDefault="002707A2" w:rsidP="00E245AB">
      <w:pPr>
        <w:spacing w:after="0"/>
        <w:jc w:val="both"/>
        <w:rPr>
          <w:rStyle w:val="Hipervnculo"/>
          <w:rFonts w:ascii="Verdana" w:hAnsi="Verdana"/>
        </w:rPr>
      </w:pPr>
    </w:p>
    <w:p w14:paraId="67DD3F8C" w14:textId="77777777" w:rsidR="002707A2" w:rsidRPr="0044528D" w:rsidRDefault="002707A2" w:rsidP="00E245AB">
      <w:pPr>
        <w:spacing w:after="0"/>
        <w:jc w:val="both"/>
        <w:rPr>
          <w:rStyle w:val="Hipervnculo"/>
          <w:rFonts w:ascii="Verdana" w:hAnsi="Verdana"/>
        </w:rPr>
      </w:pPr>
    </w:p>
    <w:bookmarkEnd w:id="0"/>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C5745" w14:textId="77777777" w:rsidR="0094607B" w:rsidRDefault="0094607B" w:rsidP="004A1847">
      <w:pPr>
        <w:spacing w:after="0" w:line="240" w:lineRule="auto"/>
      </w:pPr>
      <w:r>
        <w:separator/>
      </w:r>
    </w:p>
  </w:endnote>
  <w:endnote w:type="continuationSeparator" w:id="0">
    <w:p w14:paraId="3DA6DEBA" w14:textId="77777777" w:rsidR="0094607B" w:rsidRDefault="0094607B" w:rsidP="004A1847">
      <w:pPr>
        <w:spacing w:after="0" w:line="240" w:lineRule="auto"/>
      </w:pPr>
      <w:r>
        <w:continuationSeparator/>
      </w:r>
    </w:p>
  </w:endnote>
  <w:endnote w:type="continuationNotice" w:id="1">
    <w:p w14:paraId="0B5A5465" w14:textId="77777777" w:rsidR="00AC291A" w:rsidRDefault="00AC29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1D02D" w14:textId="77777777" w:rsidR="0094607B" w:rsidRDefault="0094607B" w:rsidP="004A1847">
      <w:pPr>
        <w:spacing w:after="0" w:line="240" w:lineRule="auto"/>
      </w:pPr>
      <w:r>
        <w:separator/>
      </w:r>
    </w:p>
  </w:footnote>
  <w:footnote w:type="continuationSeparator" w:id="0">
    <w:p w14:paraId="7C56FF35" w14:textId="77777777" w:rsidR="0094607B" w:rsidRDefault="0094607B" w:rsidP="004A1847">
      <w:pPr>
        <w:spacing w:after="0" w:line="240" w:lineRule="auto"/>
      </w:pPr>
      <w:r>
        <w:continuationSeparator/>
      </w:r>
    </w:p>
  </w:footnote>
  <w:footnote w:type="continuationNotice" w:id="1">
    <w:p w14:paraId="7749AA67" w14:textId="77777777" w:rsidR="00AC291A" w:rsidRDefault="00AC291A">
      <w:pPr>
        <w:spacing w:after="0" w:line="240" w:lineRule="auto"/>
      </w:pPr>
    </w:p>
  </w:footnote>
  <w:footnote w:id="2">
    <w:p w14:paraId="37C78CFB" w14:textId="77777777" w:rsidR="0070739A" w:rsidRPr="00421E00" w:rsidRDefault="0070739A" w:rsidP="0070739A">
      <w:pPr>
        <w:pStyle w:val="Textonotapie"/>
        <w:ind w:firstLine="709"/>
        <w:jc w:val="both"/>
        <w:rPr>
          <w:rFonts w:ascii="Arial" w:hAnsi="Arial" w:cs="Arial"/>
          <w:sz w:val="19"/>
          <w:szCs w:val="19"/>
        </w:rPr>
      </w:pPr>
      <w:r w:rsidRPr="00421E00">
        <w:rPr>
          <w:rStyle w:val="Refdenotaalpie"/>
          <w:rFonts w:ascii="Arial" w:hAnsi="Arial" w:cs="Arial"/>
          <w:sz w:val="19"/>
          <w:szCs w:val="19"/>
        </w:rPr>
        <w:footnoteRef/>
      </w:r>
      <w:r w:rsidRPr="00421E00">
        <w:rPr>
          <w:rFonts w:ascii="Arial" w:hAnsi="Arial" w:cs="Arial"/>
          <w:sz w:val="19"/>
          <w:szCs w:val="19"/>
        </w:rPr>
        <w:t xml:space="preserve"> Ley 1618 de 2013: </w:t>
      </w:r>
      <w:r>
        <w:rPr>
          <w:rFonts w:ascii="Arial" w:hAnsi="Arial" w:cs="Arial"/>
          <w:sz w:val="19"/>
          <w:szCs w:val="19"/>
        </w:rPr>
        <w:t>“</w:t>
      </w:r>
      <w:r w:rsidRPr="00421E00">
        <w:rPr>
          <w:rFonts w:ascii="Arial" w:hAnsi="Arial" w:cs="Arial"/>
          <w:sz w:val="19"/>
          <w:szCs w:val="19"/>
        </w:rPr>
        <w:t>Artículo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r>
        <w:rPr>
          <w:rFonts w:ascii="Arial" w:hAnsi="Arial" w:cs="Arial"/>
          <w:sz w:val="19"/>
          <w:szCs w:val="19"/>
        </w:rPr>
        <w:t>”</w:t>
      </w:r>
      <w:r w:rsidRPr="00421E00">
        <w:rPr>
          <w:rFonts w:ascii="Arial" w:hAnsi="Arial" w:cs="Arial"/>
          <w:sz w:val="19"/>
          <w:szCs w:val="19"/>
        </w:rPr>
        <w:t>.</w:t>
      </w:r>
    </w:p>
    <w:p w14:paraId="7D78581D" w14:textId="77777777" w:rsidR="0070739A" w:rsidRPr="00421E00" w:rsidRDefault="0070739A" w:rsidP="0070739A">
      <w:pPr>
        <w:pStyle w:val="Textonotapie"/>
        <w:ind w:firstLine="709"/>
        <w:jc w:val="both"/>
        <w:rPr>
          <w:rFonts w:ascii="Arial" w:hAnsi="Arial" w:cs="Arial"/>
          <w:sz w:val="19"/>
          <w:szCs w:val="19"/>
          <w:lang w:val="es-ES"/>
        </w:rPr>
      </w:pPr>
    </w:p>
  </w:footnote>
  <w:footnote w:id="3">
    <w:p w14:paraId="0CD95610" w14:textId="77777777" w:rsidR="0070739A" w:rsidRPr="00984A9E" w:rsidRDefault="0070739A" w:rsidP="0070739A">
      <w:pPr>
        <w:pStyle w:val="Textonotapie"/>
        <w:ind w:firstLine="709"/>
        <w:jc w:val="both"/>
        <w:rPr>
          <w:rFonts w:ascii="Arial" w:hAnsi="Arial" w:cs="Arial"/>
          <w:lang w:val="es-ES"/>
        </w:rPr>
      </w:pPr>
      <w:r w:rsidRPr="00AB756D">
        <w:rPr>
          <w:rStyle w:val="Refdenotaalpie"/>
          <w:rFonts w:ascii="Arial" w:hAnsi="Arial" w:cs="Arial"/>
        </w:rPr>
        <w:footnoteRef/>
      </w:r>
      <w:r w:rsidRPr="00AB756D">
        <w:rPr>
          <w:rFonts w:ascii="Arial" w:hAnsi="Arial" w:cs="Arial"/>
        </w:rPr>
        <w:t xml:space="preserve"> COLOMBIA COMPRA EFICIENTE, Concepto identificado con el radicado 4201912000006258 del 23 de octubre de 2019</w:t>
      </w:r>
      <w:r>
        <w:rPr>
          <w:rFonts w:ascii="Arial" w:hAnsi="Arial" w:cs="Arial"/>
        </w:rPr>
        <w:t xml:space="preserve"> y </w:t>
      </w:r>
      <w:r w:rsidRPr="00142387">
        <w:rPr>
          <w:rFonts w:ascii="Verdana" w:eastAsia="Calibri" w:hAnsi="Verdana" w:cs="Arial"/>
          <w:color w:val="000000"/>
          <w:lang w:val="es-ES_tradnl" w:eastAsia="en-GB"/>
        </w:rPr>
        <w:t>C-676 del 21 de noviembre de 2021</w:t>
      </w:r>
      <w:r>
        <w:rPr>
          <w:rFonts w:ascii="Verdana" w:eastAsia="Calibri" w:hAnsi="Verdana" w:cs="Arial"/>
          <w:color w:val="000000"/>
          <w:lang w:val="es-ES_tradnl" w:eastAsia="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9C6871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32621904" o:spid="_x0000_i1025" type="#_x0000_t75" style="width:11.25pt;height:11.25pt;visibility:visible;mso-wrap-style:square">
            <v:imagedata r:id="rId1" o:title=""/>
          </v:shape>
        </w:pict>
      </mc:Choice>
      <mc:Fallback>
        <w:drawing>
          <wp:inline distT="0" distB="0" distL="0" distR="0" wp14:anchorId="7C66C904" wp14:editId="7C66C905">
            <wp:extent cx="142875" cy="142875"/>
            <wp:effectExtent l="0" t="0" r="0" b="0"/>
            <wp:docPr id="332621904" name="Imagen 332621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41B494F"/>
    <w:multiLevelType w:val="hybridMultilevel"/>
    <w:tmpl w:val="84E60E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1CC6F5F"/>
    <w:multiLevelType w:val="hybridMultilevel"/>
    <w:tmpl w:val="D2B6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1"/>
  </w:num>
  <w:num w:numId="13" w16cid:durableId="1512908409">
    <w:abstractNumId w:val="4"/>
  </w:num>
  <w:num w:numId="14" w16cid:durableId="895897244">
    <w:abstractNumId w:val="14"/>
  </w:num>
  <w:num w:numId="15" w16cid:durableId="390349800">
    <w:abstractNumId w:val="10"/>
  </w:num>
  <w:num w:numId="16" w16cid:durableId="341274352">
    <w:abstractNumId w:val="0"/>
  </w:num>
  <w:num w:numId="17" w16cid:durableId="271860312">
    <w:abstractNumId w:val="15"/>
  </w:num>
  <w:num w:numId="18" w16cid:durableId="19210171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4ACA"/>
    <w:rsid w:val="00046945"/>
    <w:rsid w:val="00061B2A"/>
    <w:rsid w:val="00082362"/>
    <w:rsid w:val="000A64D9"/>
    <w:rsid w:val="000A683E"/>
    <w:rsid w:val="000B19B9"/>
    <w:rsid w:val="000D0334"/>
    <w:rsid w:val="000F6486"/>
    <w:rsid w:val="00117CF6"/>
    <w:rsid w:val="00125105"/>
    <w:rsid w:val="00127233"/>
    <w:rsid w:val="001511A0"/>
    <w:rsid w:val="001514D3"/>
    <w:rsid w:val="00184F1A"/>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3F60E5"/>
    <w:rsid w:val="00406575"/>
    <w:rsid w:val="00414C74"/>
    <w:rsid w:val="00423138"/>
    <w:rsid w:val="0042722E"/>
    <w:rsid w:val="0044528D"/>
    <w:rsid w:val="004A1847"/>
    <w:rsid w:val="004A305D"/>
    <w:rsid w:val="004F21C4"/>
    <w:rsid w:val="004F685F"/>
    <w:rsid w:val="005566E8"/>
    <w:rsid w:val="00574867"/>
    <w:rsid w:val="00591460"/>
    <w:rsid w:val="005B3816"/>
    <w:rsid w:val="005C3777"/>
    <w:rsid w:val="005C5CDC"/>
    <w:rsid w:val="005D0302"/>
    <w:rsid w:val="005D476C"/>
    <w:rsid w:val="006213C6"/>
    <w:rsid w:val="006219F8"/>
    <w:rsid w:val="00656D86"/>
    <w:rsid w:val="00665D70"/>
    <w:rsid w:val="006900D9"/>
    <w:rsid w:val="00706C16"/>
    <w:rsid w:val="0070739A"/>
    <w:rsid w:val="00725BFC"/>
    <w:rsid w:val="00756841"/>
    <w:rsid w:val="007649AB"/>
    <w:rsid w:val="00771D0C"/>
    <w:rsid w:val="00776A72"/>
    <w:rsid w:val="007833AC"/>
    <w:rsid w:val="00793560"/>
    <w:rsid w:val="007B268C"/>
    <w:rsid w:val="007B7171"/>
    <w:rsid w:val="007C0C0F"/>
    <w:rsid w:val="007C3DC2"/>
    <w:rsid w:val="007E5497"/>
    <w:rsid w:val="00806F5F"/>
    <w:rsid w:val="00820278"/>
    <w:rsid w:val="00867F95"/>
    <w:rsid w:val="008843B6"/>
    <w:rsid w:val="00891928"/>
    <w:rsid w:val="0089542E"/>
    <w:rsid w:val="008A446D"/>
    <w:rsid w:val="008B6D0B"/>
    <w:rsid w:val="008D180B"/>
    <w:rsid w:val="008F0EA7"/>
    <w:rsid w:val="0090079A"/>
    <w:rsid w:val="00923EEF"/>
    <w:rsid w:val="009419F9"/>
    <w:rsid w:val="0094607B"/>
    <w:rsid w:val="0095685E"/>
    <w:rsid w:val="00961B09"/>
    <w:rsid w:val="00965334"/>
    <w:rsid w:val="009667A1"/>
    <w:rsid w:val="0097093E"/>
    <w:rsid w:val="00986AC5"/>
    <w:rsid w:val="009A0DFA"/>
    <w:rsid w:val="009A79C4"/>
    <w:rsid w:val="009B2D26"/>
    <w:rsid w:val="009C71FA"/>
    <w:rsid w:val="009C72E7"/>
    <w:rsid w:val="009D3058"/>
    <w:rsid w:val="009F3A13"/>
    <w:rsid w:val="00A122D3"/>
    <w:rsid w:val="00A17F13"/>
    <w:rsid w:val="00A20739"/>
    <w:rsid w:val="00A33C78"/>
    <w:rsid w:val="00AB0ADB"/>
    <w:rsid w:val="00AC291A"/>
    <w:rsid w:val="00AE784F"/>
    <w:rsid w:val="00B01B1A"/>
    <w:rsid w:val="00B314BF"/>
    <w:rsid w:val="00B66319"/>
    <w:rsid w:val="00B72CD3"/>
    <w:rsid w:val="00B72FFF"/>
    <w:rsid w:val="00BC3D36"/>
    <w:rsid w:val="00BD7F72"/>
    <w:rsid w:val="00C04FB3"/>
    <w:rsid w:val="00C330EB"/>
    <w:rsid w:val="00C41061"/>
    <w:rsid w:val="00C636B8"/>
    <w:rsid w:val="00C719D6"/>
    <w:rsid w:val="00C754BE"/>
    <w:rsid w:val="00C76B1C"/>
    <w:rsid w:val="00CB6357"/>
    <w:rsid w:val="00CC1B26"/>
    <w:rsid w:val="00CF2511"/>
    <w:rsid w:val="00D068EA"/>
    <w:rsid w:val="00D12187"/>
    <w:rsid w:val="00D204E8"/>
    <w:rsid w:val="00D423A2"/>
    <w:rsid w:val="00D520D8"/>
    <w:rsid w:val="00D63AC2"/>
    <w:rsid w:val="00D7383B"/>
    <w:rsid w:val="00DA231B"/>
    <w:rsid w:val="00DC39FC"/>
    <w:rsid w:val="00DE6B86"/>
    <w:rsid w:val="00DF5254"/>
    <w:rsid w:val="00E16408"/>
    <w:rsid w:val="00E20894"/>
    <w:rsid w:val="00E245AB"/>
    <w:rsid w:val="00E2764C"/>
    <w:rsid w:val="00E27F2E"/>
    <w:rsid w:val="00E45095"/>
    <w:rsid w:val="00E50AFE"/>
    <w:rsid w:val="00E55FDB"/>
    <w:rsid w:val="00E75C92"/>
    <w:rsid w:val="00E771DC"/>
    <w:rsid w:val="00E8772A"/>
    <w:rsid w:val="00E90F6B"/>
    <w:rsid w:val="00E92C27"/>
    <w:rsid w:val="00EA0E3D"/>
    <w:rsid w:val="00EC38A7"/>
    <w:rsid w:val="00ED7384"/>
    <w:rsid w:val="00EE1AA8"/>
    <w:rsid w:val="00F1258B"/>
    <w:rsid w:val="00F20989"/>
    <w:rsid w:val="00F31EDC"/>
    <w:rsid w:val="00F462B3"/>
    <w:rsid w:val="00F5664F"/>
    <w:rsid w:val="00F666C4"/>
    <w:rsid w:val="00F76AFC"/>
    <w:rsid w:val="00FA47C0"/>
    <w:rsid w:val="00FB5DD1"/>
    <w:rsid w:val="00FC2B5D"/>
    <w:rsid w:val="00FE10F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0739A"/>
    <w:pPr>
      <w:spacing w:line="240" w:lineRule="exact"/>
    </w:pPr>
    <w:rPr>
      <w:vertAlign w:val="superscript"/>
    </w:rPr>
  </w:style>
  <w:style w:type="table" w:customStyle="1" w:styleId="Tablaconcuadrcula1">
    <w:name w:val="Tabla con cuadrícula1"/>
    <w:basedOn w:val="Tablanormal"/>
    <w:next w:val="Tablaconcuadrcula"/>
    <w:uiPriority w:val="39"/>
    <w:qFormat/>
    <w:rsid w:val="0070739A"/>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03636620">
      <w:bodyDiv w:val="1"/>
      <w:marLeft w:val="0"/>
      <w:marRight w:val="0"/>
      <w:marTop w:val="0"/>
      <w:marBottom w:val="0"/>
      <w:divBdr>
        <w:top w:val="none" w:sz="0" w:space="0" w:color="auto"/>
        <w:left w:val="none" w:sz="0" w:space="0" w:color="auto"/>
        <w:bottom w:val="none" w:sz="0" w:space="0" w:color="auto"/>
        <w:right w:val="none" w:sz="0" w:space="0" w:color="auto"/>
      </w:divBdr>
      <w:divsChild>
        <w:div w:id="896236842">
          <w:marLeft w:val="0"/>
          <w:marRight w:val="0"/>
          <w:marTop w:val="0"/>
          <w:marBottom w:val="0"/>
          <w:divBdr>
            <w:top w:val="none" w:sz="0" w:space="0" w:color="auto"/>
            <w:left w:val="none" w:sz="0" w:space="0" w:color="auto"/>
            <w:bottom w:val="none" w:sz="0" w:space="0" w:color="auto"/>
            <w:right w:val="none" w:sz="0" w:space="0" w:color="auto"/>
          </w:divBdr>
        </w:div>
        <w:div w:id="1584415855">
          <w:marLeft w:val="0"/>
          <w:marRight w:val="0"/>
          <w:marTop w:val="0"/>
          <w:marBottom w:val="0"/>
          <w:divBdr>
            <w:top w:val="none" w:sz="0" w:space="0" w:color="auto"/>
            <w:left w:val="none" w:sz="0" w:space="0" w:color="auto"/>
            <w:bottom w:val="none" w:sz="0" w:space="0" w:color="auto"/>
            <w:right w:val="none" w:sz="0" w:space="0" w:color="auto"/>
          </w:divBdr>
        </w:div>
        <w:div w:id="39406035">
          <w:marLeft w:val="0"/>
          <w:marRight w:val="0"/>
          <w:marTop w:val="0"/>
          <w:marBottom w:val="0"/>
          <w:divBdr>
            <w:top w:val="none" w:sz="0" w:space="0" w:color="auto"/>
            <w:left w:val="none" w:sz="0" w:space="0" w:color="auto"/>
            <w:bottom w:val="none" w:sz="0" w:space="0" w:color="auto"/>
            <w:right w:val="none" w:sz="0" w:space="0" w:color="auto"/>
          </w:divBdr>
        </w:div>
        <w:div w:id="1160464747">
          <w:marLeft w:val="0"/>
          <w:marRight w:val="0"/>
          <w:marTop w:val="240"/>
          <w:marBottom w:val="240"/>
          <w:divBdr>
            <w:top w:val="none" w:sz="0" w:space="0" w:color="auto"/>
            <w:left w:val="none" w:sz="0" w:space="0" w:color="auto"/>
            <w:bottom w:val="none" w:sz="0" w:space="0" w:color="auto"/>
            <w:right w:val="none" w:sz="0" w:space="0" w:color="auto"/>
          </w:divBdr>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772117606">
      <w:bodyDiv w:val="1"/>
      <w:marLeft w:val="0"/>
      <w:marRight w:val="0"/>
      <w:marTop w:val="0"/>
      <w:marBottom w:val="0"/>
      <w:divBdr>
        <w:top w:val="none" w:sz="0" w:space="0" w:color="auto"/>
        <w:left w:val="none" w:sz="0" w:space="0" w:color="auto"/>
        <w:bottom w:val="none" w:sz="0" w:space="0" w:color="auto"/>
        <w:right w:val="none" w:sz="0" w:space="0" w:color="auto"/>
      </w:divBdr>
      <w:divsChild>
        <w:div w:id="2138524654">
          <w:marLeft w:val="0"/>
          <w:marRight w:val="0"/>
          <w:marTop w:val="0"/>
          <w:marBottom w:val="0"/>
          <w:divBdr>
            <w:top w:val="none" w:sz="0" w:space="0" w:color="auto"/>
            <w:left w:val="none" w:sz="0" w:space="0" w:color="auto"/>
            <w:bottom w:val="none" w:sz="0" w:space="0" w:color="auto"/>
            <w:right w:val="none" w:sz="0" w:space="0" w:color="auto"/>
          </w:divBdr>
        </w:div>
        <w:div w:id="99493489">
          <w:marLeft w:val="0"/>
          <w:marRight w:val="0"/>
          <w:marTop w:val="0"/>
          <w:marBottom w:val="0"/>
          <w:divBdr>
            <w:top w:val="none" w:sz="0" w:space="0" w:color="auto"/>
            <w:left w:val="none" w:sz="0" w:space="0" w:color="auto"/>
            <w:bottom w:val="none" w:sz="0" w:space="0" w:color="auto"/>
            <w:right w:val="none" w:sz="0" w:space="0" w:color="auto"/>
          </w:divBdr>
        </w:div>
        <w:div w:id="1548759486">
          <w:marLeft w:val="0"/>
          <w:marRight w:val="0"/>
          <w:marTop w:val="0"/>
          <w:marBottom w:val="0"/>
          <w:divBdr>
            <w:top w:val="none" w:sz="0" w:space="0" w:color="auto"/>
            <w:left w:val="none" w:sz="0" w:space="0" w:color="auto"/>
            <w:bottom w:val="none" w:sz="0" w:space="0" w:color="auto"/>
            <w:right w:val="none" w:sz="0" w:space="0" w:color="auto"/>
          </w:divBdr>
        </w:div>
        <w:div w:id="1266308728">
          <w:marLeft w:val="0"/>
          <w:marRight w:val="0"/>
          <w:marTop w:val="240"/>
          <w:marBottom w:val="24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funcionpublica.gov.co/eva/gestornormativo/norma.php?i=77653"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wp-content%2Fuploads%2F2025%2F05%2FGUIA-DE-LINEAMIENTOS-DE-TRANSPARENCIA-Y-SELECCION-OBJETIVA-1.0.pdf&amp;data=05%7C02%7Cmaria.nieto%40colombiacompra.gov.co%7C7cfff6dece924643582c08dd97bfed90%7C7b09041e245149d08cb179d5e3d8c1be%7C0%7C0%7C638833572796123304%7CUnknown%7CTWFpbGZsb3d8eyJFbXB0eU1hcGkiOnRydWUsIlYiOiIwLjAuMDAwMCIsIlAiOiJXaW4zMiIsIkFOIjoiTWFpbCIsIldUIjoyfQ%3D%3D%7C0%7C%7C%7C&amp;sdata=YGIZkSb6OXEWu64aAN2Xg1ASRT%2B%2FFCRMkzA9l2l6jB4%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jmejiaq@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normativa-y-relatoria%2Fdocumentos-tipo&amp;data=05%7C02%7Cmaria.nieto%40colombiacompra.gov.co%7C7cfff6dece924643582c08dd97bfed90%7C7b09041e245149d08cb179d5e3d8c1be%7C0%7C0%7C638833572796067615%7CUnknown%7CTWFpbGZsb3d8eyJFbXB0eU1hcGkiOnRydWUsIlYiOiIwLjAuMDAwMCIsIlAiOiJXaW4zMiIsIkFOIjoiTWFpbCIsIldUIjoyfQ%3D%3D%7C0%7C%7C%7C&amp;sdata=WPmzAQr01p1mvl8u6EXFfxZFDJUM0370BntRW8ZLlIY%3D&amp;reserved=0"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onvocatoria%2Fparticipacion-ciudadana-proyecto-de-la-guia-para-la-elaboracion-de-estudios-del-sector&amp;data=05%7C02%7Cmaria.nieto%40colombiacompra.gov.co%7C7cfff6dece924643582c08dd97bfed90%7C7b09041e245149d08cb179d5e3d8c1be%7C0%7C0%7C638833572795954218%7CUnknown%7CTWFpbGZsb3d8eyJFbXB0eU1hcGkiOnRydWUsIlYiOiIwLjAuMDAwMCIsIlAiOiJXaW4zMiIsIkFOIjoiTWFpbCIsIldUIjoyfQ%3D%3D%7C0%7C%7C%7C&amp;sdata=aOhrsLSVGiJT8SMGKsI3Eu0V6cyNiqeD81PJLSdOAU0%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infopath/2007/PartnerControls"/>
    <ds:schemaRef ds:uri="http://purl.org/dc/terms/"/>
    <ds:schemaRef ds:uri="9d85dbaf-23eb-4e57-a637-93dcacc8b1a1"/>
    <ds:schemaRef ds:uri="http://schemas.microsoft.com/office/2006/documentManagement/types"/>
    <ds:schemaRef ds:uri="http://purl.org/dc/dcmitype/"/>
    <ds:schemaRef ds:uri="a6cb9e4b-f1d1-4245-83ec-6cad768d538a"/>
    <ds:schemaRef ds:uri="http://purl.org/dc/elements/1.1/"/>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EE1A27E4-AF59-418B-B23C-316790884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4284</Words>
  <Characters>23564</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27793</CharactersWithSpaces>
  <SharedDoc>false</SharedDoc>
  <HLinks>
    <vt:vector size="36" baseType="variant">
      <vt:variant>
        <vt:i4>6750255</vt:i4>
      </vt:variant>
      <vt:variant>
        <vt:i4>15</vt:i4>
      </vt:variant>
      <vt:variant>
        <vt:i4>0</vt:i4>
      </vt:variant>
      <vt:variant>
        <vt:i4>5</vt:i4>
      </vt:variant>
      <vt:variant>
        <vt:lpwstr>https://nam02.safelinks.protection.outlook.com/?url=https%3A%2F%2Fwww.colombiacompra.gov.co%2Fwp-content%2Fuploads%2F2025%2F05%2FGUIA-DE-LINEAMIENTOS-DE-TRANSPARENCIA-Y-SELECCION-OBJETIVA-1.0.pdf&amp;data=05%7C02%7Cmaria.nieto%40colombiacompra.gov.co%7C7cfff6dece924643582c08dd97bfed90%7C7b09041e245149d08cb179d5e3d8c1be%7C0%7C0%7C638833572796123304%7CUnknown%7CTWFpbGZsb3d8eyJFbXB0eU1hcGkiOnRydWUsIlYiOiIwLjAuMDAwMCIsIlAiOiJXaW4zMiIsIkFOIjoiTWFpbCIsIldUIjoyfQ%3D%3D%7C0%7C%7C%7C&amp;sdata=YGIZkSb6OXEWu64aAN2Xg1ASRT%2B%2FFCRMkzA9l2l6jB4%3D&amp;reserved=0</vt:lpwstr>
      </vt:variant>
      <vt:variant>
        <vt:lpwstr/>
      </vt:variant>
      <vt:variant>
        <vt:i4>8061027</vt:i4>
      </vt:variant>
      <vt:variant>
        <vt:i4>12</vt:i4>
      </vt:variant>
      <vt:variant>
        <vt:i4>0</vt:i4>
      </vt:variant>
      <vt:variant>
        <vt:i4>5</vt:i4>
      </vt:variant>
      <vt:variant>
        <vt:lpwstr>https://nam02.safelinks.protection.outlook.com/?url=https%3A%2F%2Fwww.colombiacompra.gov.co%2Fnormativa-y-relatoria%2Fdocumentos-tipo&amp;data=05%7C02%7Cmaria.nieto%40colombiacompra.gov.co%7C7cfff6dece924643582c08dd97bfed90%7C7b09041e245149d08cb179d5e3d8c1be%7C0%7C0%7C638833572796067615%7CUnknown%7CTWFpbGZsb3d8eyJFbXB0eU1hcGkiOnRydWUsIlYiOiIwLjAuMDAwMCIsIlAiOiJXaW4zMiIsIkFOIjoiTWFpbCIsIldUIjoyfQ%3D%3D%7C0%7C%7C%7C&amp;sdata=WPmzAQr01p1mvl8u6EXFfxZFDJUM0370BntRW8ZLlIY%3D&amp;reserved=0</vt:lpwstr>
      </vt:variant>
      <vt:variant>
        <vt:lpwstr/>
      </vt:variant>
      <vt:variant>
        <vt:i4>7667831</vt:i4>
      </vt:variant>
      <vt:variant>
        <vt:i4>9</vt:i4>
      </vt:variant>
      <vt:variant>
        <vt:i4>0</vt:i4>
      </vt:variant>
      <vt:variant>
        <vt:i4>5</vt:i4>
      </vt:variant>
      <vt:variant>
        <vt:lpwstr>https://nam02.safelinks.protection.outlook.com/?url=https%3A%2F%2Fwww.colombiacompra.gov.co%2Farchivos%2Fconvocatoria%2Fparticipacion-ciudadana-proyecto-de-la-guia-para-la-elaboracion-de-estudios-del-sector&amp;data=05%7C02%7Cmaria.nieto%40colombiacompra.gov.co%7C7cfff6dece924643582c08dd97bfed90%7C7b09041e245149d08cb179d5e3d8c1be%7C0%7C0%7C638833572795954218%7CUnknown%7CTWFpbGZsb3d8eyJFbXB0eU1hcGkiOnRydWUsIlYiOiIwLjAuMDAwMCIsIlAiOiJXaW4zMiIsIkFOIjoiTWFpbCIsIldUIjoyfQ%3D%3D%7C0%7C%7C%7C&amp;sdata=aOhrsLSVGiJT8SMGKsI3Eu0V6cyNiqeD81PJLSdOAU0%3D&amp;reserved=0</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2555937</vt:i4>
      </vt:variant>
      <vt:variant>
        <vt:i4>3</vt:i4>
      </vt:variant>
      <vt:variant>
        <vt:i4>0</vt:i4>
      </vt:variant>
      <vt:variant>
        <vt:i4>5</vt:i4>
      </vt:variant>
      <vt:variant>
        <vt:lpwstr>https://www.funcionpublica.gov.co/eva/gestornormativo/norma.php?i=77653</vt:lpwstr>
      </vt:variant>
      <vt:variant>
        <vt:lpwstr>2.2.1.2.4.2.6</vt:lpwstr>
      </vt:variant>
      <vt:variant>
        <vt:i4>6619220</vt:i4>
      </vt:variant>
      <vt:variant>
        <vt:i4>0</vt:i4>
      </vt:variant>
      <vt:variant>
        <vt:i4>0</vt:i4>
      </vt:variant>
      <vt:variant>
        <vt:i4>5</vt:i4>
      </vt:variant>
      <vt:variant>
        <vt:lpwstr>mailto:djmejiaq@gmail.com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2025-05-23T20:40:00Z</dcterms:created>
  <dcterms:modified xsi:type="dcterms:W3CDTF">2025-05-23T20:40:00Z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