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687F8C" w14:textId="77777777" w:rsidR="00FE4EB4" w:rsidRPr="0044528D" w:rsidRDefault="00FE4EB4" w:rsidP="00FE4EB4">
      <w:pPr>
        <w:spacing w:after="0"/>
        <w:rPr>
          <w:rFonts w:ascii="Verdana" w:hAnsi="Verdana"/>
        </w:rPr>
      </w:pPr>
      <w:bookmarkStart w:id="0" w:name="_Hlk143780582"/>
      <w:r w:rsidRPr="0044528D">
        <w:rPr>
          <w:rFonts w:ascii="Verdana" w:hAnsi="Verdana"/>
        </w:rPr>
        <w:tab/>
      </w:r>
    </w:p>
    <w:p w14:paraId="24F2088F" w14:textId="77777777" w:rsidR="00FE4EB4" w:rsidRPr="0044528D" w:rsidRDefault="00FE4EB4" w:rsidP="00FE4EB4">
      <w:pPr>
        <w:spacing w:after="0"/>
        <w:rPr>
          <w:rFonts w:ascii="Verdana" w:hAnsi="Verdana"/>
        </w:rPr>
      </w:pPr>
    </w:p>
    <w:p w14:paraId="743F2299" w14:textId="77777777" w:rsidR="00FE4EB4" w:rsidRPr="002D3E33" w:rsidRDefault="00FE4EB4" w:rsidP="00FE4EB4">
      <w:pPr>
        <w:spacing w:after="0" w:line="240" w:lineRule="auto"/>
        <w:jc w:val="both"/>
        <w:rPr>
          <w:rFonts w:ascii="Verdana" w:eastAsia="Calibri" w:hAnsi="Verdana" w:cs="Arial"/>
          <w:b/>
          <w:bCs/>
          <w:sz w:val="21"/>
          <w:szCs w:val="21"/>
          <w:lang w:val="es-ES"/>
        </w:rPr>
      </w:pPr>
      <w:r w:rsidRPr="002D3E33">
        <w:rPr>
          <w:rFonts w:ascii="Verdana" w:eastAsia="Calibri" w:hAnsi="Verdana" w:cs="Arial"/>
          <w:b/>
          <w:bCs/>
          <w:sz w:val="21"/>
          <w:szCs w:val="21"/>
          <w:lang w:val="es-ES"/>
        </w:rPr>
        <w:t>D</w:t>
      </w:r>
      <w:bookmarkStart w:id="1" w:name="_GoBack"/>
      <w:bookmarkEnd w:id="1"/>
      <w:r w:rsidRPr="002D3E33">
        <w:rPr>
          <w:rFonts w:ascii="Verdana" w:eastAsia="Calibri" w:hAnsi="Verdana" w:cs="Arial"/>
          <w:b/>
          <w:bCs/>
          <w:sz w:val="21"/>
          <w:szCs w:val="21"/>
          <w:lang w:val="es-ES"/>
        </w:rPr>
        <w:t xml:space="preserve">OCUMENTOS DEL PROCESO – Noción – Deber de publicación </w:t>
      </w:r>
    </w:p>
    <w:p w14:paraId="351F40D1" w14:textId="77777777" w:rsidR="00FE4EB4" w:rsidRPr="002D3E33" w:rsidRDefault="00FE4EB4" w:rsidP="00FE4EB4">
      <w:pPr>
        <w:spacing w:after="0" w:line="240" w:lineRule="auto"/>
        <w:jc w:val="both"/>
        <w:rPr>
          <w:rFonts w:ascii="Verdana" w:eastAsia="Calibri" w:hAnsi="Verdana" w:cs="Arial"/>
          <w:sz w:val="21"/>
          <w:szCs w:val="21"/>
          <w:lang w:val="es-ES"/>
        </w:rPr>
      </w:pPr>
    </w:p>
    <w:p w14:paraId="0B0667DF" w14:textId="77777777" w:rsidR="00FE4EB4" w:rsidRPr="002D3E33" w:rsidRDefault="00FE4EB4" w:rsidP="00FE4EB4">
      <w:pPr>
        <w:spacing w:after="0" w:line="240" w:lineRule="auto"/>
        <w:jc w:val="both"/>
        <w:rPr>
          <w:rFonts w:ascii="Verdana" w:eastAsia="Calibri" w:hAnsi="Verdana" w:cs="Arial"/>
          <w:sz w:val="21"/>
          <w:szCs w:val="21"/>
          <w:lang w:val="es-ES"/>
        </w:rPr>
      </w:pPr>
      <w:r w:rsidRPr="002D3E33">
        <w:rPr>
          <w:rFonts w:ascii="Verdana" w:eastAsia="Calibri" w:hAnsi="Verdana" w:cs="Arial"/>
          <w:sz w:val="21"/>
          <w:szCs w:val="21"/>
          <w:lang w:val="es-ES"/>
        </w:rPr>
        <w:t>(…) En ese sentido, la interpretación sistemática de los preceptos del Decreto 1082 de 2015, de acuerdo con el principio de publicidad, inicialmente, indica que las entidades estatales tienen la obligación de publicar todos los documentos que expidan con ocasión del Proceso de Contratación, esto es, desde la fase de planeación hasta “el vencimiento de las garantías de calidad, estabilidad y mantenimiento, o las condiciones de disposición final o recuperación ambiental de las obras o bienes o el vencimiento del plazo, lo que ocurra más tarde”, lo que significa que todos los documentos expedidos por la entidad durante las etapas precontractual, de ejecución y postcontractual deberán ser publicados en SECOP dentro de los tres (3) días siguientes a su expedición, para  cumplir el deber de publicidad regulado por el artículo 2.2.1.1.1.7.1. del Decreto 1082 de 2015.</w:t>
      </w:r>
    </w:p>
    <w:p w14:paraId="0FCB969A" w14:textId="77777777" w:rsidR="00FE4EB4" w:rsidRPr="002D3E33" w:rsidRDefault="00FE4EB4" w:rsidP="00FE4EB4">
      <w:pPr>
        <w:spacing w:after="0" w:line="240" w:lineRule="auto"/>
        <w:jc w:val="both"/>
        <w:rPr>
          <w:rFonts w:ascii="Verdana" w:eastAsia="Calibri" w:hAnsi="Verdana" w:cs="Arial"/>
          <w:sz w:val="21"/>
          <w:szCs w:val="21"/>
          <w:lang w:val="es-ES"/>
        </w:rPr>
      </w:pPr>
      <w:r w:rsidRPr="002D3E33">
        <w:rPr>
          <w:rFonts w:ascii="Verdana" w:eastAsia="Calibri" w:hAnsi="Verdana" w:cs="Arial"/>
          <w:sz w:val="21"/>
          <w:szCs w:val="21"/>
          <w:lang w:val="es-ES"/>
        </w:rPr>
        <w:t>(…)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Ibídem recoge en la noción de Documentos del Proceso “cualquier otro documento expedido por la Entidad Estatal durante el Proceso de Contratación”. 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w:t>
      </w:r>
    </w:p>
    <w:p w14:paraId="105D5B74" w14:textId="77777777" w:rsidR="00FE4EB4" w:rsidRPr="002D3E33" w:rsidRDefault="00FE4EB4" w:rsidP="00FE4EB4">
      <w:pPr>
        <w:spacing w:after="0" w:line="240" w:lineRule="auto"/>
        <w:jc w:val="both"/>
        <w:rPr>
          <w:rFonts w:ascii="Verdana" w:eastAsia="Calibri" w:hAnsi="Verdana" w:cs="Arial"/>
          <w:sz w:val="21"/>
          <w:szCs w:val="21"/>
          <w:lang w:val="es-ES"/>
        </w:rPr>
      </w:pPr>
      <w:r w:rsidRPr="002D3E33">
        <w:rPr>
          <w:rFonts w:ascii="Verdana" w:eastAsia="Calibri" w:hAnsi="Verdana" w:cs="Arial"/>
          <w:sz w:val="21"/>
          <w:szCs w:val="21"/>
          <w:lang w:val="es-ES"/>
        </w:rPr>
        <w:t>Respecto al plan Anual de Adquisiciones no forma parte de la noción de Documentos del Proceso, ni hace parte del Proceso de Contratación, conforme al artículo 2.2.1.1.1.3.1 del Decreto 1082 de 2015, por lo que el deber de publicarlo encuentra apoyo en normas distintas del artículo 2.2.1.1.1.7.1 Ibídem. Es el artículo 74 de la Ley 1474 de 2011 el que dispone que a más tardar el 31 de enero de cada año las entidades deben publicar, en su página web, el Plan de Acción para el año siguiente; y el artículo 2.2.1.1.1.4.3 del Decreto 1082 de 2015 también exige publicarlo en la página web de la entidad y además en el SECOP; así como también lo indica el citado artículo 2.1.1.2.1.10 del Decreto 1081 de 2015.</w:t>
      </w:r>
    </w:p>
    <w:p w14:paraId="688A2BE2" w14:textId="77777777" w:rsidR="00FE4EB4" w:rsidRPr="002D3E33" w:rsidRDefault="00FE4EB4" w:rsidP="00FE4EB4">
      <w:pPr>
        <w:spacing w:after="0" w:line="240" w:lineRule="auto"/>
        <w:jc w:val="both"/>
        <w:rPr>
          <w:rFonts w:ascii="Verdana" w:eastAsia="Calibri" w:hAnsi="Verdana" w:cs="Arial"/>
          <w:sz w:val="21"/>
          <w:szCs w:val="21"/>
          <w:lang w:val="es-ES"/>
        </w:rPr>
      </w:pPr>
    </w:p>
    <w:p w14:paraId="17C26687" w14:textId="23309E63" w:rsidR="00FE4EB4" w:rsidRPr="002D3E33" w:rsidRDefault="00FE4EB4" w:rsidP="00FE4EB4">
      <w:pPr>
        <w:spacing w:after="0" w:line="240" w:lineRule="auto"/>
        <w:jc w:val="both"/>
        <w:rPr>
          <w:rFonts w:ascii="Verdana" w:eastAsia="Calibri" w:hAnsi="Verdana" w:cs="Arial"/>
          <w:b/>
          <w:bCs/>
          <w:sz w:val="21"/>
          <w:szCs w:val="21"/>
          <w:lang w:val="es-ES"/>
        </w:rPr>
      </w:pPr>
      <w:r w:rsidRPr="002D3E33">
        <w:rPr>
          <w:rFonts w:ascii="Verdana" w:eastAsia="Calibri" w:hAnsi="Verdana" w:cs="Arial"/>
          <w:b/>
          <w:bCs/>
          <w:sz w:val="21"/>
          <w:szCs w:val="21"/>
          <w:lang w:val="es-ES"/>
        </w:rPr>
        <w:t>SECOP II- Plataforma Transaccional</w:t>
      </w:r>
    </w:p>
    <w:p w14:paraId="17E41253" w14:textId="77777777" w:rsidR="00FE4EB4" w:rsidRPr="002D3E33" w:rsidRDefault="00FE4EB4" w:rsidP="00FE4EB4">
      <w:pPr>
        <w:spacing w:after="0" w:line="240" w:lineRule="auto"/>
        <w:jc w:val="both"/>
        <w:rPr>
          <w:rFonts w:ascii="Verdana" w:eastAsia="Calibri" w:hAnsi="Verdana" w:cs="Arial"/>
          <w:sz w:val="21"/>
          <w:szCs w:val="21"/>
          <w:lang w:val="es-ES"/>
        </w:rPr>
      </w:pPr>
    </w:p>
    <w:p w14:paraId="239FC65B" w14:textId="77777777" w:rsidR="00FE4EB4" w:rsidRPr="002D3E33" w:rsidRDefault="00FE4EB4" w:rsidP="00FE4EB4">
      <w:pPr>
        <w:spacing w:after="0" w:line="240" w:lineRule="auto"/>
        <w:jc w:val="both"/>
        <w:rPr>
          <w:rFonts w:ascii="Verdana" w:eastAsia="Calibri" w:hAnsi="Verdana" w:cs="Arial"/>
          <w:sz w:val="21"/>
          <w:szCs w:val="21"/>
          <w:lang w:val="es-ES"/>
        </w:rPr>
      </w:pPr>
      <w:r w:rsidRPr="002D3E33">
        <w:rPr>
          <w:rFonts w:ascii="Verdana" w:eastAsia="Calibri" w:hAnsi="Verdana" w:cs="Arial"/>
          <w:sz w:val="21"/>
          <w:szCs w:val="21"/>
          <w:lang w:val="es-ES"/>
        </w:rPr>
        <w:t xml:space="preserve">El SECOP II es una plataforma transaccional, que permite gestionar en línea los procedimientos de contratación, con cuentas y usuarios asociados a estas, para las entidades y los proveedores, y vista pública para cualquier interesado en hacer </w:t>
      </w:r>
      <w:r w:rsidRPr="002D3E33">
        <w:rPr>
          <w:rFonts w:ascii="Verdana" w:eastAsia="Calibri" w:hAnsi="Verdana" w:cs="Arial"/>
          <w:sz w:val="21"/>
          <w:szCs w:val="21"/>
          <w:lang w:val="es-ES"/>
        </w:rPr>
        <w:lastRenderedPageBreak/>
        <w:t>seguimiento a la contratación pública. Desde sus cuentas, las entidades crean, evalúan y adjudican procedimientos de contratación, y gestionan la fase de ejecución e incluso post contractual del contrato. Los proveedores pueden hacer comentarios a los documentos del procedimiento, presentar ofertas, seguir el procedimiento de selección en línea, cargar documentación de la ejecución del contrato, entre otros.</w:t>
      </w:r>
    </w:p>
    <w:p w14:paraId="4389607C" w14:textId="77777777" w:rsidR="00FE4EB4" w:rsidRPr="002D3E33" w:rsidRDefault="00FE4EB4" w:rsidP="00FE4EB4">
      <w:pPr>
        <w:spacing w:after="0" w:line="240" w:lineRule="auto"/>
        <w:jc w:val="both"/>
        <w:rPr>
          <w:rFonts w:ascii="Verdana" w:eastAsia="Calibri" w:hAnsi="Verdana" w:cs="Arial"/>
          <w:sz w:val="21"/>
          <w:szCs w:val="21"/>
          <w:lang w:val="es-ES"/>
        </w:rPr>
      </w:pPr>
    </w:p>
    <w:p w14:paraId="08473D35" w14:textId="77777777" w:rsidR="00FE4EB4" w:rsidRPr="002D3E33" w:rsidRDefault="00FE4EB4" w:rsidP="00FE4EB4">
      <w:pPr>
        <w:spacing w:after="0" w:line="240" w:lineRule="auto"/>
        <w:jc w:val="both"/>
        <w:rPr>
          <w:rFonts w:ascii="Verdana" w:eastAsia="Calibri" w:hAnsi="Verdana" w:cs="Arial"/>
          <w:sz w:val="21"/>
          <w:szCs w:val="21"/>
          <w:lang w:val="es-ES" w:eastAsia="es-ES"/>
        </w:rPr>
      </w:pPr>
    </w:p>
    <w:p w14:paraId="3003CAA9" w14:textId="77777777" w:rsidR="00FE4EB4" w:rsidRPr="002D3E33" w:rsidRDefault="00FE4EB4" w:rsidP="00FE4EB4">
      <w:pPr>
        <w:spacing w:after="0" w:line="240" w:lineRule="auto"/>
        <w:jc w:val="both"/>
        <w:rPr>
          <w:rFonts w:ascii="Verdana" w:eastAsia="Calibri" w:hAnsi="Verdana" w:cs="Arial"/>
          <w:sz w:val="21"/>
          <w:szCs w:val="21"/>
          <w:lang w:val="es-ES" w:eastAsia="es-ES"/>
        </w:rPr>
      </w:pPr>
    </w:p>
    <w:p w14:paraId="1C8275E9" w14:textId="77777777" w:rsidR="00FE4EB4" w:rsidRPr="002D3E33" w:rsidRDefault="00FE4EB4" w:rsidP="00FE4EB4">
      <w:pPr>
        <w:spacing w:after="0" w:line="240" w:lineRule="auto"/>
        <w:jc w:val="both"/>
        <w:rPr>
          <w:rFonts w:ascii="Verdana" w:eastAsia="Calibri" w:hAnsi="Verdana" w:cs="Arial"/>
          <w:sz w:val="21"/>
          <w:szCs w:val="21"/>
          <w:lang w:val="es-ES" w:eastAsia="es-ES"/>
        </w:rPr>
      </w:pPr>
    </w:p>
    <w:p w14:paraId="53F22E2E" w14:textId="77777777" w:rsidR="00FE4EB4" w:rsidRPr="002D3E33" w:rsidRDefault="00FE4EB4" w:rsidP="00FE4EB4">
      <w:pPr>
        <w:spacing w:after="0" w:line="240" w:lineRule="auto"/>
        <w:jc w:val="both"/>
        <w:rPr>
          <w:rFonts w:ascii="Verdana" w:eastAsia="Calibri" w:hAnsi="Verdana" w:cs="Arial"/>
          <w:sz w:val="21"/>
          <w:szCs w:val="21"/>
          <w:lang w:val="es-ES" w:eastAsia="es-ES"/>
        </w:rPr>
      </w:pPr>
    </w:p>
    <w:p w14:paraId="0CE27FF1" w14:textId="77777777" w:rsidR="00FE4EB4" w:rsidRPr="00CD2674" w:rsidRDefault="00FE4EB4" w:rsidP="00FE4EB4">
      <w:pPr>
        <w:spacing w:after="0" w:line="240" w:lineRule="auto"/>
        <w:jc w:val="both"/>
        <w:rPr>
          <w:rFonts w:ascii="Verdana" w:eastAsia="Calibri" w:hAnsi="Verdana" w:cs="Arial"/>
          <w:lang w:val="es-ES" w:eastAsia="es-ES"/>
        </w:rPr>
      </w:pPr>
    </w:p>
    <w:p w14:paraId="6853033C" w14:textId="77777777" w:rsidR="00FE4EB4" w:rsidRPr="00CD2674" w:rsidRDefault="00FE4EB4" w:rsidP="00FE4EB4">
      <w:pPr>
        <w:spacing w:after="0" w:line="240" w:lineRule="auto"/>
        <w:jc w:val="both"/>
        <w:rPr>
          <w:rFonts w:ascii="Verdana" w:eastAsia="Calibri" w:hAnsi="Verdana" w:cs="Arial"/>
          <w:lang w:val="es-ES" w:eastAsia="es-ES"/>
        </w:rPr>
      </w:pPr>
    </w:p>
    <w:p w14:paraId="53B007F6" w14:textId="77777777" w:rsidR="00FE4EB4" w:rsidRPr="00CD2674" w:rsidRDefault="00FE4EB4" w:rsidP="00FE4EB4">
      <w:pPr>
        <w:spacing w:after="0" w:line="240" w:lineRule="auto"/>
        <w:jc w:val="both"/>
        <w:rPr>
          <w:rFonts w:ascii="Verdana" w:eastAsia="Calibri" w:hAnsi="Verdana" w:cs="Arial"/>
          <w:lang w:val="es-ES" w:eastAsia="es-ES"/>
        </w:rPr>
      </w:pPr>
    </w:p>
    <w:p w14:paraId="232E492D" w14:textId="77777777" w:rsidR="00FE4EB4" w:rsidRPr="00CD2674" w:rsidRDefault="00FE4EB4" w:rsidP="00FE4EB4">
      <w:pPr>
        <w:spacing w:after="0" w:line="240" w:lineRule="auto"/>
        <w:jc w:val="both"/>
        <w:rPr>
          <w:rFonts w:ascii="Verdana" w:eastAsia="Calibri" w:hAnsi="Verdana" w:cs="Arial"/>
          <w:lang w:val="es-ES" w:eastAsia="es-ES"/>
        </w:rPr>
      </w:pPr>
    </w:p>
    <w:p w14:paraId="41BA10E6" w14:textId="77777777" w:rsidR="00FE4EB4" w:rsidRPr="00CD2674" w:rsidRDefault="00FE4EB4" w:rsidP="00FE4EB4">
      <w:pPr>
        <w:spacing w:after="0" w:line="240" w:lineRule="auto"/>
        <w:jc w:val="both"/>
        <w:rPr>
          <w:rFonts w:ascii="Verdana" w:eastAsia="Calibri" w:hAnsi="Verdana" w:cs="Arial"/>
          <w:lang w:val="es-ES" w:eastAsia="es-ES"/>
        </w:rPr>
      </w:pPr>
    </w:p>
    <w:p w14:paraId="1A272152" w14:textId="77777777" w:rsidR="00FE4EB4" w:rsidRPr="00CD2674" w:rsidRDefault="00FE4EB4" w:rsidP="00FE4EB4">
      <w:pPr>
        <w:spacing w:after="0" w:line="240" w:lineRule="auto"/>
        <w:jc w:val="both"/>
        <w:rPr>
          <w:rFonts w:ascii="Verdana" w:eastAsia="Calibri" w:hAnsi="Verdana" w:cs="Arial"/>
          <w:lang w:val="es-ES" w:eastAsia="es-ES"/>
        </w:rPr>
      </w:pPr>
    </w:p>
    <w:p w14:paraId="6A36117E" w14:textId="77777777" w:rsidR="00FE4EB4" w:rsidRPr="00CD2674" w:rsidRDefault="00FE4EB4" w:rsidP="00FE4EB4">
      <w:pPr>
        <w:spacing w:after="0" w:line="240" w:lineRule="auto"/>
        <w:jc w:val="both"/>
        <w:rPr>
          <w:rFonts w:ascii="Verdana" w:eastAsia="Calibri" w:hAnsi="Verdana" w:cs="Arial"/>
          <w:lang w:val="es-ES" w:eastAsia="es-ES"/>
        </w:rPr>
      </w:pPr>
    </w:p>
    <w:p w14:paraId="3749EC49" w14:textId="77777777" w:rsidR="00FE4EB4" w:rsidRPr="00CD2674" w:rsidRDefault="00FE4EB4" w:rsidP="00FE4EB4">
      <w:pPr>
        <w:spacing w:after="0" w:line="240" w:lineRule="auto"/>
        <w:jc w:val="both"/>
        <w:rPr>
          <w:rFonts w:ascii="Verdana" w:eastAsia="Calibri" w:hAnsi="Verdana" w:cs="Arial"/>
          <w:lang w:val="es-ES" w:eastAsia="es-ES"/>
        </w:rPr>
      </w:pPr>
    </w:p>
    <w:p w14:paraId="29FA7A5F" w14:textId="77777777" w:rsidR="00FE4EB4" w:rsidRPr="00CD2674" w:rsidRDefault="00FE4EB4" w:rsidP="00FE4EB4">
      <w:pPr>
        <w:spacing w:after="0" w:line="240" w:lineRule="auto"/>
        <w:jc w:val="both"/>
        <w:rPr>
          <w:rFonts w:ascii="Verdana" w:eastAsia="Calibri" w:hAnsi="Verdana" w:cs="Arial"/>
          <w:lang w:val="es-ES" w:eastAsia="es-ES"/>
        </w:rPr>
      </w:pPr>
    </w:p>
    <w:p w14:paraId="09355DCA" w14:textId="77777777" w:rsidR="00FE4EB4" w:rsidRPr="00CD2674" w:rsidRDefault="00FE4EB4" w:rsidP="00FE4EB4">
      <w:pPr>
        <w:spacing w:after="0" w:line="240" w:lineRule="auto"/>
        <w:jc w:val="both"/>
        <w:rPr>
          <w:rFonts w:ascii="Verdana" w:eastAsia="Calibri" w:hAnsi="Verdana" w:cs="Arial"/>
          <w:lang w:val="es-ES" w:eastAsia="es-ES"/>
        </w:rPr>
      </w:pPr>
    </w:p>
    <w:p w14:paraId="5F5BC89A" w14:textId="77777777" w:rsidR="00FE4EB4" w:rsidRPr="00CD2674" w:rsidRDefault="00FE4EB4" w:rsidP="00FE4EB4">
      <w:pPr>
        <w:spacing w:after="0" w:line="240" w:lineRule="auto"/>
        <w:jc w:val="both"/>
        <w:rPr>
          <w:rFonts w:ascii="Verdana" w:eastAsia="Calibri" w:hAnsi="Verdana" w:cs="Arial"/>
          <w:lang w:val="es-ES" w:eastAsia="es-ES"/>
        </w:rPr>
      </w:pPr>
    </w:p>
    <w:p w14:paraId="5F2B9AF4" w14:textId="77777777" w:rsidR="00FE4EB4" w:rsidRPr="00CD2674" w:rsidRDefault="00FE4EB4" w:rsidP="00FE4EB4">
      <w:pPr>
        <w:spacing w:after="0" w:line="240" w:lineRule="auto"/>
        <w:jc w:val="both"/>
        <w:rPr>
          <w:rFonts w:ascii="Verdana" w:eastAsia="Calibri" w:hAnsi="Verdana" w:cs="Arial"/>
          <w:lang w:val="es-ES" w:eastAsia="es-ES"/>
        </w:rPr>
      </w:pPr>
    </w:p>
    <w:p w14:paraId="26E468C5" w14:textId="77777777" w:rsidR="00FE4EB4" w:rsidRPr="00CD2674" w:rsidRDefault="00FE4EB4" w:rsidP="00FE4EB4">
      <w:pPr>
        <w:spacing w:after="0" w:line="240" w:lineRule="auto"/>
        <w:jc w:val="both"/>
        <w:rPr>
          <w:rFonts w:ascii="Verdana" w:eastAsia="Calibri" w:hAnsi="Verdana" w:cs="Arial"/>
          <w:lang w:val="es-ES" w:eastAsia="es-ES"/>
        </w:rPr>
      </w:pPr>
    </w:p>
    <w:p w14:paraId="23941726" w14:textId="77777777" w:rsidR="00FE4EB4" w:rsidRPr="00CD2674" w:rsidRDefault="00FE4EB4" w:rsidP="00FE4EB4">
      <w:pPr>
        <w:spacing w:after="0" w:line="240" w:lineRule="auto"/>
        <w:jc w:val="both"/>
        <w:rPr>
          <w:rFonts w:ascii="Verdana" w:eastAsia="Calibri" w:hAnsi="Verdana" w:cs="Arial"/>
          <w:lang w:val="es-ES" w:eastAsia="es-ES"/>
        </w:rPr>
      </w:pPr>
    </w:p>
    <w:p w14:paraId="0348CE85" w14:textId="77777777" w:rsidR="00FE4EB4" w:rsidRPr="00CD2674" w:rsidRDefault="00FE4EB4" w:rsidP="00FE4EB4">
      <w:pPr>
        <w:spacing w:after="0" w:line="240" w:lineRule="auto"/>
        <w:jc w:val="both"/>
        <w:rPr>
          <w:rFonts w:ascii="Verdana" w:eastAsia="Calibri" w:hAnsi="Verdana" w:cs="Arial"/>
          <w:lang w:val="es-ES" w:eastAsia="es-ES"/>
        </w:rPr>
      </w:pPr>
    </w:p>
    <w:p w14:paraId="1B278342" w14:textId="77777777" w:rsidR="00FE4EB4" w:rsidRPr="00CD2674" w:rsidRDefault="00FE4EB4" w:rsidP="00FE4EB4">
      <w:pPr>
        <w:spacing w:after="0" w:line="240" w:lineRule="auto"/>
        <w:jc w:val="both"/>
        <w:rPr>
          <w:rFonts w:ascii="Verdana" w:eastAsia="Calibri" w:hAnsi="Verdana" w:cs="Arial"/>
          <w:lang w:val="es-ES" w:eastAsia="es-ES"/>
        </w:rPr>
      </w:pPr>
    </w:p>
    <w:p w14:paraId="55E344A2" w14:textId="77777777" w:rsidR="00FE4EB4" w:rsidRPr="00CD2674" w:rsidRDefault="00FE4EB4" w:rsidP="00FE4EB4">
      <w:pPr>
        <w:spacing w:after="0" w:line="240" w:lineRule="auto"/>
        <w:jc w:val="both"/>
        <w:rPr>
          <w:rFonts w:ascii="Verdana" w:eastAsia="Calibri" w:hAnsi="Verdana" w:cs="Arial"/>
          <w:lang w:val="es-ES" w:eastAsia="es-ES"/>
        </w:rPr>
      </w:pPr>
    </w:p>
    <w:p w14:paraId="0ACCDA8A" w14:textId="77777777" w:rsidR="00FE4EB4" w:rsidRPr="00CD2674" w:rsidRDefault="00FE4EB4" w:rsidP="00FE4EB4">
      <w:pPr>
        <w:spacing w:after="0" w:line="240" w:lineRule="auto"/>
        <w:jc w:val="both"/>
        <w:rPr>
          <w:rFonts w:ascii="Verdana" w:eastAsia="Calibri" w:hAnsi="Verdana" w:cs="Arial"/>
          <w:lang w:val="es-ES" w:eastAsia="es-ES"/>
        </w:rPr>
      </w:pPr>
    </w:p>
    <w:p w14:paraId="6FE891E2" w14:textId="77777777" w:rsidR="00FE4EB4" w:rsidRPr="00CD2674" w:rsidRDefault="00FE4EB4" w:rsidP="00FE4EB4">
      <w:pPr>
        <w:spacing w:after="0" w:line="240" w:lineRule="auto"/>
        <w:jc w:val="both"/>
        <w:rPr>
          <w:rFonts w:ascii="Verdana" w:eastAsia="Calibri" w:hAnsi="Verdana" w:cs="Arial"/>
          <w:lang w:val="es-ES" w:eastAsia="es-ES"/>
        </w:rPr>
      </w:pPr>
    </w:p>
    <w:p w14:paraId="48317C51" w14:textId="77777777" w:rsidR="00FE4EB4" w:rsidRPr="00CD2674" w:rsidRDefault="00FE4EB4" w:rsidP="00FE4EB4">
      <w:pPr>
        <w:spacing w:after="0" w:line="240" w:lineRule="auto"/>
        <w:jc w:val="both"/>
        <w:rPr>
          <w:rFonts w:ascii="Verdana" w:eastAsia="Calibri" w:hAnsi="Verdana" w:cs="Arial"/>
          <w:lang w:val="es-ES" w:eastAsia="es-ES"/>
        </w:rPr>
      </w:pPr>
    </w:p>
    <w:p w14:paraId="2D7B1AF3" w14:textId="77777777" w:rsidR="00FE4EB4" w:rsidRPr="00CD2674" w:rsidRDefault="00FE4EB4" w:rsidP="00FE4EB4">
      <w:pPr>
        <w:spacing w:after="0" w:line="240" w:lineRule="auto"/>
        <w:jc w:val="both"/>
        <w:rPr>
          <w:rFonts w:ascii="Verdana" w:eastAsia="Calibri" w:hAnsi="Verdana" w:cs="Arial"/>
          <w:lang w:val="es-ES" w:eastAsia="es-ES"/>
        </w:rPr>
      </w:pPr>
    </w:p>
    <w:p w14:paraId="66C5A8DA" w14:textId="77777777" w:rsidR="00FE4EB4" w:rsidRPr="00CD2674" w:rsidRDefault="00FE4EB4" w:rsidP="00FE4EB4">
      <w:pPr>
        <w:spacing w:after="0" w:line="240" w:lineRule="auto"/>
        <w:jc w:val="both"/>
        <w:rPr>
          <w:rFonts w:ascii="Verdana" w:eastAsia="Calibri" w:hAnsi="Verdana" w:cs="Arial"/>
          <w:lang w:val="es-ES" w:eastAsia="es-ES"/>
        </w:rPr>
      </w:pPr>
    </w:p>
    <w:p w14:paraId="47EBA576" w14:textId="77777777" w:rsidR="00FE4EB4" w:rsidRPr="00CD2674" w:rsidRDefault="00FE4EB4" w:rsidP="00FE4EB4">
      <w:pPr>
        <w:spacing w:after="0" w:line="240" w:lineRule="auto"/>
        <w:jc w:val="both"/>
        <w:rPr>
          <w:rFonts w:ascii="Verdana" w:eastAsia="Calibri" w:hAnsi="Verdana" w:cs="Arial"/>
          <w:lang w:val="es-ES" w:eastAsia="es-ES"/>
        </w:rPr>
      </w:pPr>
    </w:p>
    <w:p w14:paraId="363779C8" w14:textId="77777777" w:rsidR="00FE4EB4" w:rsidRPr="00CD2674" w:rsidRDefault="00FE4EB4" w:rsidP="00FE4EB4">
      <w:pPr>
        <w:spacing w:after="0" w:line="240" w:lineRule="auto"/>
        <w:jc w:val="both"/>
        <w:rPr>
          <w:rFonts w:ascii="Verdana" w:eastAsia="Calibri" w:hAnsi="Verdana" w:cs="Arial"/>
          <w:lang w:val="es-ES" w:eastAsia="es-ES"/>
        </w:rPr>
      </w:pPr>
    </w:p>
    <w:p w14:paraId="0947C64D" w14:textId="77777777" w:rsidR="00FE4EB4" w:rsidRPr="00CD2674" w:rsidRDefault="00FE4EB4" w:rsidP="00FE4EB4">
      <w:pPr>
        <w:spacing w:after="0" w:line="240" w:lineRule="auto"/>
        <w:jc w:val="both"/>
        <w:rPr>
          <w:rFonts w:ascii="Verdana" w:eastAsia="Calibri" w:hAnsi="Verdana" w:cs="Arial"/>
          <w:lang w:val="es-ES" w:eastAsia="es-ES"/>
        </w:rPr>
      </w:pPr>
    </w:p>
    <w:p w14:paraId="218F26E1" w14:textId="77777777" w:rsidR="00FE4EB4" w:rsidRDefault="00FE4EB4" w:rsidP="00FE4EB4">
      <w:pPr>
        <w:spacing w:after="0" w:line="240" w:lineRule="auto"/>
        <w:jc w:val="both"/>
        <w:rPr>
          <w:rFonts w:ascii="Verdana" w:eastAsia="Calibri" w:hAnsi="Verdana" w:cs="Arial"/>
          <w:lang w:val="es-ES" w:eastAsia="es-ES"/>
        </w:rPr>
      </w:pPr>
    </w:p>
    <w:p w14:paraId="0BD35457" w14:textId="77777777" w:rsidR="00FE4EB4" w:rsidRDefault="00FE4EB4" w:rsidP="00FE4EB4">
      <w:pPr>
        <w:spacing w:after="0" w:line="240" w:lineRule="auto"/>
        <w:jc w:val="both"/>
        <w:rPr>
          <w:rFonts w:ascii="Verdana" w:eastAsia="Calibri" w:hAnsi="Verdana" w:cs="Arial"/>
          <w:lang w:val="es-ES" w:eastAsia="es-ES"/>
        </w:rPr>
      </w:pPr>
    </w:p>
    <w:p w14:paraId="3644D644" w14:textId="77777777" w:rsidR="00FE4EB4" w:rsidRDefault="00FE4EB4" w:rsidP="00FE4EB4">
      <w:pPr>
        <w:spacing w:after="0" w:line="240" w:lineRule="auto"/>
        <w:jc w:val="both"/>
        <w:rPr>
          <w:rFonts w:ascii="Verdana" w:eastAsia="Calibri" w:hAnsi="Verdana" w:cs="Arial"/>
          <w:lang w:val="es-ES" w:eastAsia="es-ES"/>
        </w:rPr>
      </w:pPr>
    </w:p>
    <w:p w14:paraId="09DCCE17" w14:textId="319EDA9D" w:rsidR="00FE4EB4" w:rsidRDefault="00FE4EB4" w:rsidP="00FE4EB4">
      <w:pPr>
        <w:spacing w:after="0" w:line="240" w:lineRule="auto"/>
        <w:jc w:val="both"/>
        <w:rPr>
          <w:rFonts w:ascii="Verdana" w:hAnsi="Verdana"/>
        </w:rPr>
      </w:pPr>
      <w:r w:rsidRPr="0044528D">
        <w:rPr>
          <w:rFonts w:ascii="Verdana" w:hAnsi="Verdana"/>
        </w:rPr>
        <w:lastRenderedPageBreak/>
        <w:t xml:space="preserve">Bogotá D.C., </w:t>
      </w:r>
      <w:r w:rsidR="004B7E5C">
        <w:rPr>
          <w:rFonts w:ascii="Verdana" w:hAnsi="Verdana"/>
        </w:rPr>
        <w:t xml:space="preserve">23 de septiembre de 2024 </w:t>
      </w:r>
    </w:p>
    <w:p w14:paraId="466C8F06" w14:textId="77777777" w:rsidR="006B0C69" w:rsidRDefault="006B0C69" w:rsidP="00FE4EB4">
      <w:pPr>
        <w:spacing w:after="0" w:line="240" w:lineRule="auto"/>
        <w:jc w:val="both"/>
        <w:rPr>
          <w:rFonts w:ascii="Verdana" w:hAnsi="Verdana"/>
        </w:rPr>
      </w:pPr>
    </w:p>
    <w:p w14:paraId="1CC00874" w14:textId="76C093CC" w:rsidR="006B0C69" w:rsidRDefault="006B0C69" w:rsidP="006B0C69">
      <w:pPr>
        <w:spacing w:after="0" w:line="240" w:lineRule="auto"/>
        <w:jc w:val="right"/>
        <w:rPr>
          <w:rFonts w:ascii="Verdana" w:eastAsia="Calibri" w:hAnsi="Verdana" w:cs="Arial"/>
          <w:lang w:val="es-ES" w:eastAsia="es-ES"/>
        </w:rPr>
      </w:pPr>
      <w:r w:rsidRPr="006B0C69">
        <w:rPr>
          <w:rFonts w:ascii="Verdana" w:eastAsia="Calibri" w:hAnsi="Verdana" w:cs="Arial"/>
          <w:noProof/>
          <w:lang w:val="es-ES" w:eastAsia="es-ES"/>
        </w:rPr>
        <w:drawing>
          <wp:inline distT="0" distB="0" distL="0" distR="0" wp14:anchorId="54F2E528" wp14:editId="1D62D7D7">
            <wp:extent cx="3848637" cy="1247949"/>
            <wp:effectExtent l="0" t="0" r="0" b="9525"/>
            <wp:docPr id="205939794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397941" name="Imagen 1" descr="Texto&#10;&#10;Descripción generada automáticamente"/>
                    <pic:cNvPicPr/>
                  </pic:nvPicPr>
                  <pic:blipFill>
                    <a:blip r:embed="rId11"/>
                    <a:stretch>
                      <a:fillRect/>
                    </a:stretch>
                  </pic:blipFill>
                  <pic:spPr>
                    <a:xfrm>
                      <a:off x="0" y="0"/>
                      <a:ext cx="3848637" cy="1247949"/>
                    </a:xfrm>
                    <a:prstGeom prst="rect">
                      <a:avLst/>
                    </a:prstGeom>
                  </pic:spPr>
                </pic:pic>
              </a:graphicData>
            </a:graphic>
          </wp:inline>
        </w:drawing>
      </w:r>
    </w:p>
    <w:p w14:paraId="76DB0498" w14:textId="77777777" w:rsidR="00FE4EB4" w:rsidRDefault="00FE4EB4" w:rsidP="00FE4EB4">
      <w:pPr>
        <w:spacing w:after="0" w:line="240" w:lineRule="auto"/>
        <w:jc w:val="both"/>
        <w:rPr>
          <w:rFonts w:ascii="Verdana" w:eastAsia="Calibri" w:hAnsi="Verdana" w:cs="Arial"/>
          <w:lang w:val="es-ES" w:eastAsia="es-ES"/>
        </w:rPr>
      </w:pPr>
    </w:p>
    <w:p w14:paraId="5B16B82D" w14:textId="77777777" w:rsidR="00DF5650" w:rsidRDefault="00DF5650" w:rsidP="00DF5650">
      <w:pPr>
        <w:spacing w:after="0" w:line="240" w:lineRule="auto"/>
        <w:jc w:val="both"/>
        <w:rPr>
          <w:rFonts w:ascii="Verdana" w:eastAsia="Calibri" w:hAnsi="Verdana" w:cs="Arial"/>
          <w:lang w:val="es-ES" w:eastAsia="es-ES"/>
        </w:rPr>
      </w:pPr>
    </w:p>
    <w:p w14:paraId="11A47C2E" w14:textId="77777777" w:rsidR="00DF5650" w:rsidRDefault="00DF5650" w:rsidP="00DF5650">
      <w:pPr>
        <w:spacing w:after="0" w:line="240" w:lineRule="auto"/>
        <w:jc w:val="both"/>
        <w:rPr>
          <w:rFonts w:ascii="Verdana" w:eastAsia="Calibri" w:hAnsi="Verdana" w:cs="Arial"/>
          <w:lang w:val="es-ES" w:eastAsia="es-ES"/>
        </w:rPr>
      </w:pPr>
    </w:p>
    <w:p w14:paraId="6E3C9E6A" w14:textId="77777777" w:rsidR="00DF5650" w:rsidRPr="00CD2674" w:rsidRDefault="00DF5650" w:rsidP="00DF5650">
      <w:pPr>
        <w:spacing w:after="0" w:line="240" w:lineRule="auto"/>
        <w:jc w:val="both"/>
        <w:rPr>
          <w:rFonts w:ascii="Verdana" w:eastAsia="Calibri" w:hAnsi="Verdana" w:cs="Arial"/>
          <w:lang w:val="es-ES" w:eastAsia="es-ES"/>
        </w:rPr>
      </w:pPr>
      <w:r w:rsidRPr="00CD2674">
        <w:rPr>
          <w:rFonts w:ascii="Verdana" w:eastAsia="Calibri" w:hAnsi="Verdana" w:cs="Arial"/>
          <w:lang w:val="es-ES" w:eastAsia="es-ES"/>
        </w:rPr>
        <w:t>Señora</w:t>
      </w:r>
    </w:p>
    <w:p w14:paraId="26964112" w14:textId="77777777" w:rsidR="00DF5650" w:rsidRDefault="00DF5650" w:rsidP="00DF5650">
      <w:pPr>
        <w:spacing w:after="0" w:line="240" w:lineRule="auto"/>
        <w:rPr>
          <w:rFonts w:ascii="Verdana" w:hAnsi="Verdana" w:cs="Arial"/>
          <w:b/>
          <w:bCs/>
        </w:rPr>
      </w:pPr>
      <w:r w:rsidRPr="00CD2674">
        <w:rPr>
          <w:rFonts w:ascii="Verdana" w:hAnsi="Verdana" w:cs="Arial"/>
          <w:b/>
          <w:bCs/>
        </w:rPr>
        <w:t xml:space="preserve">MARÍA DEL MAR MUÑOZ NIEVES </w:t>
      </w:r>
    </w:p>
    <w:p w14:paraId="6D4B0D0E" w14:textId="77777777" w:rsidR="00DF5650" w:rsidRPr="00CD2674" w:rsidRDefault="00DF5650" w:rsidP="00DF5650">
      <w:pPr>
        <w:spacing w:after="0" w:line="240" w:lineRule="auto"/>
        <w:rPr>
          <w:rFonts w:ascii="Verdana" w:hAnsi="Verdana" w:cs="Arial"/>
          <w:b/>
          <w:bCs/>
        </w:rPr>
      </w:pPr>
      <w:r>
        <w:rPr>
          <w:rFonts w:ascii="Verdana" w:hAnsi="Verdana" w:cs="Arial"/>
          <w:b/>
          <w:bCs/>
        </w:rPr>
        <w:t>Guainía – Barranco Minas</w:t>
      </w:r>
    </w:p>
    <w:p w14:paraId="7340B0CB" w14:textId="77777777" w:rsidR="00DF5650" w:rsidRPr="00CD2674" w:rsidRDefault="00DF5650" w:rsidP="00DF5650">
      <w:pPr>
        <w:spacing w:after="0" w:line="240" w:lineRule="auto"/>
        <w:rPr>
          <w:rFonts w:ascii="Verdana" w:hAnsi="Verdana" w:cs="Arial"/>
          <w:b/>
          <w:bCs/>
        </w:rPr>
      </w:pPr>
    </w:p>
    <w:p w14:paraId="068A1F37" w14:textId="77777777" w:rsidR="00DF5650" w:rsidRPr="00CD2674" w:rsidRDefault="00DF5650" w:rsidP="00DF5650">
      <w:pPr>
        <w:spacing w:after="0" w:line="240" w:lineRule="auto"/>
        <w:rPr>
          <w:rFonts w:ascii="Verdana" w:eastAsia="Calibri" w:hAnsi="Verdana" w:cs="Arial"/>
          <w:b/>
          <w:bCs/>
          <w:lang w:val="es-ES" w:eastAsia="es-ES"/>
        </w:rPr>
      </w:pPr>
    </w:p>
    <w:p w14:paraId="7BDC3846" w14:textId="77777777" w:rsidR="00DF5650" w:rsidRPr="00CD2674" w:rsidRDefault="00DF5650" w:rsidP="00DF5650">
      <w:pPr>
        <w:spacing w:after="0" w:line="240" w:lineRule="auto"/>
        <w:rPr>
          <w:rFonts w:ascii="Verdana" w:eastAsia="Calibri" w:hAnsi="Verdana" w:cs="Arial"/>
          <w:b/>
          <w:bCs/>
          <w:lang w:val="es-ES_tradnl" w:eastAsia="es-ES_tradnl"/>
        </w:rPr>
      </w:pPr>
    </w:p>
    <w:p w14:paraId="4A67D794" w14:textId="77777777" w:rsidR="00DF5650" w:rsidRPr="00CD2674" w:rsidRDefault="00DF5650" w:rsidP="00DF5650">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DF5650" w:rsidRPr="00CD2674" w14:paraId="59A786ED" w14:textId="77777777" w:rsidTr="005C5A17">
        <w:trPr>
          <w:trHeight w:val="884"/>
        </w:trPr>
        <w:tc>
          <w:tcPr>
            <w:tcW w:w="2689" w:type="dxa"/>
          </w:tcPr>
          <w:p w14:paraId="0CC6363D" w14:textId="77777777" w:rsidR="00DF5650" w:rsidRPr="00CD2674" w:rsidRDefault="00DF5650" w:rsidP="005C5A17">
            <w:pPr>
              <w:jc w:val="both"/>
              <w:rPr>
                <w:rFonts w:ascii="Verdana" w:eastAsia="Calibri" w:hAnsi="Verdana" w:cs="Arial"/>
                <w:b/>
                <w:bCs/>
                <w:lang w:val="es-ES_tradnl" w:eastAsia="es-ES_tradnl"/>
              </w:rPr>
            </w:pPr>
          </w:p>
        </w:tc>
        <w:tc>
          <w:tcPr>
            <w:tcW w:w="6100" w:type="dxa"/>
          </w:tcPr>
          <w:p w14:paraId="2B1B8419" w14:textId="77777777" w:rsidR="00DF5650" w:rsidRPr="00CD2674" w:rsidRDefault="00DF5650" w:rsidP="005C5A17">
            <w:pPr>
              <w:jc w:val="both"/>
              <w:rPr>
                <w:rFonts w:ascii="Verdana" w:eastAsia="Calibri" w:hAnsi="Verdana" w:cs="Arial"/>
                <w:b/>
                <w:bCs/>
                <w:lang w:val="es-ES" w:eastAsia="es-ES"/>
              </w:rPr>
            </w:pPr>
            <w:r w:rsidRPr="00CD2674">
              <w:rPr>
                <w:rFonts w:ascii="Verdana" w:eastAsia="Calibri" w:hAnsi="Verdana" w:cs="Arial"/>
                <w:b/>
                <w:bCs/>
                <w:lang w:val="es-ES" w:eastAsia="es-ES"/>
              </w:rPr>
              <w:t>Concepto C- 4</w:t>
            </w:r>
            <w:r>
              <w:rPr>
                <w:rFonts w:ascii="Verdana" w:eastAsia="Calibri" w:hAnsi="Verdana" w:cs="Arial"/>
                <w:b/>
                <w:bCs/>
                <w:lang w:val="es-ES" w:eastAsia="es-ES"/>
              </w:rPr>
              <w:t>78</w:t>
            </w:r>
            <w:r w:rsidRPr="00CD2674">
              <w:rPr>
                <w:rFonts w:ascii="Verdana" w:eastAsia="Calibri" w:hAnsi="Verdana" w:cs="Arial"/>
                <w:b/>
                <w:bCs/>
                <w:lang w:val="es-ES" w:eastAsia="es-ES"/>
              </w:rPr>
              <w:t xml:space="preserve"> de 2024</w:t>
            </w:r>
          </w:p>
        </w:tc>
      </w:tr>
      <w:tr w:rsidR="00DF5650" w:rsidRPr="00CD2674" w14:paraId="2B364BFD" w14:textId="77777777" w:rsidTr="005C5A17">
        <w:trPr>
          <w:trHeight w:val="884"/>
        </w:trPr>
        <w:tc>
          <w:tcPr>
            <w:tcW w:w="2689" w:type="dxa"/>
          </w:tcPr>
          <w:p w14:paraId="0AF015C1" w14:textId="77777777" w:rsidR="00DF5650" w:rsidRPr="00CD2674" w:rsidRDefault="00DF5650" w:rsidP="005C5A17">
            <w:pPr>
              <w:jc w:val="both"/>
              <w:rPr>
                <w:rFonts w:ascii="Verdana" w:eastAsia="Calibri" w:hAnsi="Verdana" w:cs="Arial"/>
                <w:lang w:val="es-ES_tradnl" w:eastAsia="es-ES_tradnl"/>
              </w:rPr>
            </w:pPr>
            <w:r w:rsidRPr="00CD2674">
              <w:rPr>
                <w:rFonts w:ascii="Verdana" w:eastAsia="Calibri" w:hAnsi="Verdana" w:cs="Arial"/>
                <w:b/>
                <w:lang w:val="es-ES_tradnl" w:eastAsia="es-ES_tradnl"/>
              </w:rPr>
              <w:t>Temas:</w:t>
            </w:r>
            <w:r w:rsidRPr="00CD2674">
              <w:rPr>
                <w:rFonts w:ascii="Verdana" w:eastAsia="Calibri" w:hAnsi="Verdana" w:cs="Arial"/>
                <w:lang w:val="es-ES_tradnl" w:eastAsia="es-ES_tradnl"/>
              </w:rPr>
              <w:t xml:space="preserve">                   </w:t>
            </w:r>
          </w:p>
        </w:tc>
        <w:tc>
          <w:tcPr>
            <w:tcW w:w="6100" w:type="dxa"/>
          </w:tcPr>
          <w:p w14:paraId="377F56EB" w14:textId="77777777" w:rsidR="00DF5650" w:rsidRPr="00CD2674" w:rsidRDefault="00DF5650" w:rsidP="005C5A17">
            <w:pPr>
              <w:jc w:val="both"/>
              <w:rPr>
                <w:rFonts w:ascii="Verdana" w:hAnsi="Verdana" w:cs="Arial"/>
                <w:b/>
                <w:bCs/>
                <w:lang w:val="es-ES"/>
              </w:rPr>
            </w:pPr>
            <w:r w:rsidRPr="00CD2674">
              <w:rPr>
                <w:rFonts w:ascii="Verdana" w:eastAsia="Calibri" w:hAnsi="Verdana" w:cs="Arial"/>
                <w:b/>
                <w:bCs/>
                <w:color w:val="000000" w:themeColor="text1"/>
                <w:lang w:val="es-ES" w:eastAsia="es-ES"/>
              </w:rPr>
              <w:t xml:space="preserve">DOCUMENTOS DEL PROCESO </w:t>
            </w:r>
            <w:r w:rsidRPr="00CD2674">
              <w:rPr>
                <w:rFonts w:ascii="Verdana" w:eastAsia="Calibri" w:hAnsi="Verdana" w:cs="Arial"/>
                <w:b/>
                <w:bCs/>
                <w:sz w:val="21"/>
                <w:szCs w:val="21"/>
                <w:lang w:val="es-ES"/>
              </w:rPr>
              <w:t xml:space="preserve">– Noción – Deber de publicación/ SECOP II-plataforma transaccional </w:t>
            </w:r>
          </w:p>
        </w:tc>
      </w:tr>
      <w:tr w:rsidR="00DF5650" w:rsidRPr="00CD2674" w14:paraId="5FCF7EEF" w14:textId="77777777" w:rsidTr="005C5A17">
        <w:tc>
          <w:tcPr>
            <w:tcW w:w="2689" w:type="dxa"/>
          </w:tcPr>
          <w:p w14:paraId="5D0E01D9" w14:textId="77777777" w:rsidR="00DF5650" w:rsidRPr="00CD2674" w:rsidRDefault="00DF5650" w:rsidP="005C5A17">
            <w:pPr>
              <w:jc w:val="both"/>
              <w:rPr>
                <w:rFonts w:ascii="Verdana" w:eastAsia="Calibri" w:hAnsi="Verdana" w:cs="Arial"/>
                <w:b/>
                <w:lang w:val="es-ES_tradnl" w:eastAsia="es-ES_tradnl"/>
              </w:rPr>
            </w:pPr>
            <w:r w:rsidRPr="00CD2674">
              <w:rPr>
                <w:rFonts w:ascii="Verdana" w:eastAsia="Calibri" w:hAnsi="Verdana" w:cs="Arial"/>
                <w:b/>
                <w:lang w:val="es-ES_tradnl" w:eastAsia="es-ES_tradnl"/>
              </w:rPr>
              <w:t>Radicación:</w:t>
            </w:r>
            <w:r w:rsidRPr="00CD2674">
              <w:rPr>
                <w:rFonts w:ascii="Verdana" w:eastAsia="Calibri" w:hAnsi="Verdana" w:cs="Arial"/>
                <w:lang w:val="es-ES_tradnl" w:eastAsia="es-ES_tradnl"/>
              </w:rPr>
              <w:t xml:space="preserve">               </w:t>
            </w:r>
          </w:p>
        </w:tc>
        <w:tc>
          <w:tcPr>
            <w:tcW w:w="6100" w:type="dxa"/>
          </w:tcPr>
          <w:p w14:paraId="7D69D2F8" w14:textId="77777777" w:rsidR="00DF5650" w:rsidRPr="00CD2674" w:rsidRDefault="00DF5650" w:rsidP="005C5A17">
            <w:pPr>
              <w:jc w:val="both"/>
              <w:rPr>
                <w:rFonts w:ascii="Verdana" w:hAnsi="Verdana" w:cs="Arial"/>
              </w:rPr>
            </w:pPr>
            <w:r w:rsidRPr="00CD2674">
              <w:rPr>
                <w:rFonts w:ascii="Verdana" w:hAnsi="Verdana" w:cs="Arial"/>
              </w:rPr>
              <w:t>Respuesta a consulta con radicado No. P20240809008189</w:t>
            </w:r>
          </w:p>
        </w:tc>
      </w:tr>
    </w:tbl>
    <w:p w14:paraId="364586FE" w14:textId="77777777" w:rsidR="00DF5650" w:rsidRPr="00CD2674" w:rsidRDefault="00DF5650" w:rsidP="00DF5650">
      <w:pPr>
        <w:spacing w:after="0" w:line="240" w:lineRule="auto"/>
        <w:jc w:val="both"/>
        <w:rPr>
          <w:rFonts w:ascii="Verdana" w:eastAsia="Calibri" w:hAnsi="Verdana" w:cs="Arial"/>
          <w:lang w:val="es-ES_tradnl" w:eastAsia="es-ES_tradnl"/>
        </w:rPr>
      </w:pPr>
    </w:p>
    <w:p w14:paraId="245894E4" w14:textId="77777777" w:rsidR="00DF5650" w:rsidRPr="00CD2674" w:rsidRDefault="00DF5650" w:rsidP="00DF5650">
      <w:pPr>
        <w:spacing w:after="0" w:line="240" w:lineRule="auto"/>
        <w:jc w:val="both"/>
        <w:rPr>
          <w:rFonts w:ascii="Verdana" w:eastAsia="Calibri" w:hAnsi="Verdana" w:cs="Arial"/>
          <w:lang w:val="es-ES_tradnl" w:eastAsia="es-ES_tradnl"/>
        </w:rPr>
      </w:pPr>
    </w:p>
    <w:p w14:paraId="7554C7C4" w14:textId="77777777" w:rsidR="00DF5650" w:rsidRPr="00CD2674" w:rsidRDefault="00DF5650" w:rsidP="00DF5650">
      <w:pPr>
        <w:spacing w:after="0" w:line="240" w:lineRule="auto"/>
        <w:jc w:val="both"/>
        <w:rPr>
          <w:rFonts w:ascii="Verdana" w:eastAsia="Calibri" w:hAnsi="Verdana" w:cs="Arial"/>
          <w:lang w:val="es-ES" w:eastAsia="es-ES"/>
        </w:rPr>
      </w:pPr>
      <w:r w:rsidRPr="00CD2674">
        <w:rPr>
          <w:rFonts w:ascii="Verdana" w:eastAsia="Calibri" w:hAnsi="Verdana" w:cs="Arial"/>
          <w:lang w:val="es-ES" w:eastAsia="es-ES"/>
        </w:rPr>
        <w:t xml:space="preserve">Estimada señora María del Mar: </w:t>
      </w:r>
    </w:p>
    <w:p w14:paraId="50809B58" w14:textId="77777777" w:rsidR="00DF5650" w:rsidRPr="00CD2674" w:rsidRDefault="00DF5650" w:rsidP="00DF5650">
      <w:pPr>
        <w:tabs>
          <w:tab w:val="left" w:pos="3768"/>
        </w:tabs>
        <w:spacing w:after="0" w:line="240" w:lineRule="auto"/>
        <w:jc w:val="both"/>
        <w:rPr>
          <w:rFonts w:ascii="Verdana" w:eastAsia="Calibri" w:hAnsi="Verdana" w:cs="Arial"/>
          <w:lang w:val="es-ES" w:eastAsia="es-ES"/>
        </w:rPr>
      </w:pPr>
      <w:r w:rsidRPr="00CD2674">
        <w:rPr>
          <w:rFonts w:ascii="Verdana" w:eastAsia="Calibri" w:hAnsi="Verdana" w:cs="Arial"/>
          <w:lang w:val="es-ES" w:eastAsia="es-ES"/>
        </w:rPr>
        <w:tab/>
      </w:r>
    </w:p>
    <w:p w14:paraId="70D46398" w14:textId="77777777" w:rsidR="00DF5650" w:rsidRPr="00CD2674" w:rsidRDefault="00DF5650" w:rsidP="00DF5650">
      <w:pPr>
        <w:spacing w:after="0" w:line="240" w:lineRule="auto"/>
        <w:jc w:val="both"/>
        <w:rPr>
          <w:rFonts w:ascii="Verdana" w:eastAsia="Calibri" w:hAnsi="Verdana" w:cs="Arial"/>
          <w:lang w:val="es-ES" w:eastAsia="es-ES"/>
        </w:rPr>
      </w:pPr>
      <w:r w:rsidRPr="00CD2674">
        <w:rPr>
          <w:rFonts w:ascii="Verdana" w:eastAsia="Calibri" w:hAnsi="Verdana" w:cs="Arial"/>
          <w:lang w:val="es-ES" w:eastAsia="es-ES"/>
        </w:rPr>
        <w:t>En ejercicio de la competencia otorgada por los artículos 3, numeral 5º, y 11, numeral 8º, del Decreto Ley 4170 de 2011,</w:t>
      </w:r>
      <w:r w:rsidRPr="00CD2674">
        <w:rPr>
          <w:rFonts w:ascii="Verdana" w:eastAsia="Arial MT" w:hAnsi="Verdana" w:cs="Arial MT"/>
          <w:lang w:val="es-ES" w:eastAsia="es-ES"/>
        </w:rPr>
        <w:t xml:space="preserve"> </w:t>
      </w:r>
      <w:r w:rsidRPr="00CD2674">
        <w:rPr>
          <w:rFonts w:ascii="Verdana" w:hAnsi="Verdana" w:cs="Arial"/>
        </w:rPr>
        <w:t xml:space="preserve">así como lo establecido en el artículo 4 de la Resolución 1707 de 2018 expedida por esta Entidad, </w:t>
      </w:r>
      <w:r w:rsidRPr="00CD2674">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9</w:t>
      </w:r>
      <w:r w:rsidRPr="00CD2674">
        <w:rPr>
          <w:rFonts w:ascii="Verdana" w:eastAsia="Calibri" w:hAnsi="Verdana" w:cs="Arial"/>
          <w:lang w:val="es-ES" w:eastAsia="es-ES"/>
        </w:rPr>
        <w:t xml:space="preserve"> de </w:t>
      </w:r>
      <w:r>
        <w:rPr>
          <w:rFonts w:ascii="Verdana" w:eastAsia="Calibri" w:hAnsi="Verdana" w:cs="Arial"/>
          <w:lang w:val="es-ES" w:eastAsia="es-ES"/>
        </w:rPr>
        <w:t>agosto</w:t>
      </w:r>
      <w:r w:rsidRPr="00CD2674">
        <w:rPr>
          <w:rFonts w:ascii="Verdana" w:eastAsia="Calibri" w:hAnsi="Verdana" w:cs="Arial"/>
          <w:lang w:val="es-ES" w:eastAsia="es-ES"/>
        </w:rPr>
        <w:t xml:space="preserve"> de 2024, en la cual manifiesta lo siguiente: </w:t>
      </w:r>
    </w:p>
    <w:p w14:paraId="1EFDBC40" w14:textId="77777777" w:rsidR="00DF5650" w:rsidRPr="00CD2674" w:rsidRDefault="00DF5650" w:rsidP="00DF5650">
      <w:pPr>
        <w:spacing w:after="0" w:line="240" w:lineRule="auto"/>
        <w:ind w:left="709" w:right="709"/>
        <w:jc w:val="both"/>
        <w:rPr>
          <w:rFonts w:ascii="Verdana" w:eastAsia="Century Gothic" w:hAnsi="Verdana" w:cs="Century Gothic"/>
          <w:b/>
          <w:bCs/>
        </w:rPr>
      </w:pPr>
    </w:p>
    <w:p w14:paraId="072BAACF" w14:textId="77777777" w:rsidR="00DF5650" w:rsidRPr="00CD2674" w:rsidRDefault="00DF5650" w:rsidP="00DF5650">
      <w:pPr>
        <w:spacing w:after="0" w:line="240" w:lineRule="auto"/>
        <w:ind w:left="709" w:right="709"/>
        <w:jc w:val="both"/>
        <w:rPr>
          <w:rFonts w:ascii="Verdana" w:eastAsia="Century Gothic" w:hAnsi="Verdana" w:cs="Century Gothic"/>
          <w:sz w:val="21"/>
          <w:szCs w:val="21"/>
          <w:lang w:val="es-ES"/>
        </w:rPr>
      </w:pPr>
      <w:r w:rsidRPr="00CD2674">
        <w:rPr>
          <w:rFonts w:ascii="Verdana" w:eastAsia="Century Gothic" w:hAnsi="Verdana" w:cs="Century Gothic"/>
          <w:sz w:val="21"/>
          <w:szCs w:val="21"/>
        </w:rPr>
        <w:lastRenderedPageBreak/>
        <w:t xml:space="preserve"> “ ¿Por lo anterior, solicitamos que se expida un concepto que aclare si los "Documentos del Proceso" incluyen aquellos generados en la etapa precontractual antes de la asignación de un número contractual, y si estos deben ser publicados en el SECOP dentro de los tres (3) días siguientes a su expedición, incluso cuando el proceso aún se encuentra en las etapas iniciales de verificación y estudio?</w:t>
      </w:r>
      <w:r w:rsidRPr="00CD2674">
        <w:rPr>
          <w:rStyle w:val="normaltextrun"/>
          <w:rFonts w:ascii="Verdana" w:hAnsi="Verdana" w:cs="Arial"/>
          <w:sz w:val="21"/>
          <w:szCs w:val="21"/>
          <w:shd w:val="clear" w:color="auto" w:fill="FFFFFF"/>
          <w:lang w:val="es-ES"/>
        </w:rPr>
        <w:t>”</w:t>
      </w:r>
      <w:r w:rsidRPr="00CD2674">
        <w:rPr>
          <w:rFonts w:ascii="Verdana" w:eastAsia="Century Gothic" w:hAnsi="Verdana" w:cs="Century Gothic"/>
          <w:sz w:val="21"/>
          <w:szCs w:val="21"/>
          <w:lang w:val="es-ES"/>
        </w:rPr>
        <w:t>.</w:t>
      </w:r>
    </w:p>
    <w:p w14:paraId="31448C96" w14:textId="77777777" w:rsidR="00DF5650" w:rsidRPr="00CD2674" w:rsidRDefault="00DF5650" w:rsidP="00DF5650">
      <w:pPr>
        <w:pStyle w:val="Prrafodelista"/>
        <w:tabs>
          <w:tab w:val="left" w:pos="142"/>
          <w:tab w:val="left" w:pos="284"/>
        </w:tabs>
        <w:spacing w:line="240" w:lineRule="auto"/>
        <w:ind w:left="0"/>
        <w:jc w:val="both"/>
        <w:rPr>
          <w:rFonts w:ascii="Verdana" w:eastAsia="Century Gothic" w:hAnsi="Verdana" w:cs="Century Gothic"/>
          <w:b/>
          <w:bCs/>
        </w:rPr>
      </w:pPr>
    </w:p>
    <w:p w14:paraId="2DD2119D" w14:textId="77777777" w:rsidR="00DF5650" w:rsidRPr="00CD2674" w:rsidRDefault="00DF5650" w:rsidP="00DF5650">
      <w:pPr>
        <w:spacing w:after="120" w:line="240" w:lineRule="auto"/>
        <w:ind w:firstLine="709"/>
        <w:jc w:val="both"/>
        <w:rPr>
          <w:rFonts w:ascii="Verdana" w:eastAsia="Calibri" w:hAnsi="Verdana" w:cs="Arial"/>
          <w:szCs w:val="24"/>
          <w:lang w:val="es-ES_tradnl" w:eastAsia="es-ES_tradnl"/>
        </w:rPr>
      </w:pPr>
      <w:r w:rsidRPr="00CD2674">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D2674">
        <w:rPr>
          <w:rFonts w:ascii="Verdana" w:eastAsia="Calibri" w:hAnsi="Verdana" w:cs="Arial"/>
          <w:szCs w:val="24"/>
          <w:lang w:val="es-ES_tradnl" w:eastAsia="es-ES_tradnl"/>
        </w:rPr>
        <w:tab/>
      </w:r>
    </w:p>
    <w:p w14:paraId="6EFA7392" w14:textId="77777777" w:rsidR="00DF5650" w:rsidRPr="00CD2674" w:rsidRDefault="00DF5650" w:rsidP="00DF5650">
      <w:pPr>
        <w:spacing w:after="0" w:line="240" w:lineRule="auto"/>
        <w:ind w:firstLine="709"/>
        <w:jc w:val="both"/>
        <w:rPr>
          <w:rFonts w:ascii="Verdana" w:eastAsia="Calibri" w:hAnsi="Verdana" w:cs="Arial"/>
          <w:lang w:val="es-ES" w:eastAsia="es-ES"/>
        </w:rPr>
      </w:pPr>
      <w:r w:rsidRPr="00CD2674">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1930A971" w14:textId="77777777" w:rsidR="00DF5650" w:rsidRPr="00CD2674" w:rsidRDefault="00DF5650" w:rsidP="00DF5650">
      <w:pPr>
        <w:spacing w:after="0" w:line="240" w:lineRule="auto"/>
        <w:ind w:firstLine="709"/>
        <w:jc w:val="both"/>
        <w:rPr>
          <w:rFonts w:ascii="Verdana" w:eastAsia="Calibri" w:hAnsi="Verdana" w:cs="Arial"/>
          <w:lang w:val="es-ES" w:eastAsia="es-ES"/>
        </w:rPr>
      </w:pPr>
    </w:p>
    <w:p w14:paraId="7AE12233" w14:textId="77777777" w:rsidR="00DF5650" w:rsidRPr="00CD2674" w:rsidRDefault="00DF5650" w:rsidP="00DF5650">
      <w:pPr>
        <w:pStyle w:val="Prrafodelista"/>
        <w:numPr>
          <w:ilvl w:val="0"/>
          <w:numId w:val="4"/>
        </w:numPr>
        <w:tabs>
          <w:tab w:val="left" w:pos="142"/>
          <w:tab w:val="left" w:pos="284"/>
        </w:tabs>
        <w:spacing w:after="0" w:line="240" w:lineRule="auto"/>
        <w:ind w:left="0" w:firstLine="0"/>
        <w:jc w:val="both"/>
        <w:rPr>
          <w:rFonts w:ascii="Verdana" w:eastAsia="Century Gothic" w:hAnsi="Verdana" w:cs="Century Gothic"/>
          <w:b/>
          <w:bCs/>
        </w:rPr>
      </w:pPr>
      <w:r w:rsidRPr="00CD2674">
        <w:rPr>
          <w:rFonts w:ascii="Verdana" w:eastAsia="Century Gothic" w:hAnsi="Verdana" w:cs="Century Gothic"/>
          <w:b/>
          <w:bCs/>
        </w:rPr>
        <w:t>Problema planteado:</w:t>
      </w:r>
    </w:p>
    <w:p w14:paraId="29E9E9AD" w14:textId="77777777" w:rsidR="00DF5650" w:rsidRPr="00CD2674" w:rsidRDefault="00DF5650" w:rsidP="00DF5650">
      <w:pPr>
        <w:tabs>
          <w:tab w:val="left" w:pos="426"/>
        </w:tabs>
        <w:spacing w:after="0" w:line="240" w:lineRule="auto"/>
        <w:jc w:val="both"/>
        <w:rPr>
          <w:rFonts w:ascii="Verdana" w:eastAsia="Century Gothic" w:hAnsi="Verdana" w:cs="Century Gothic"/>
          <w:lang w:val="es-ES"/>
        </w:rPr>
      </w:pPr>
    </w:p>
    <w:p w14:paraId="0DB66219" w14:textId="77777777" w:rsidR="00DF5650" w:rsidRPr="00CD2674" w:rsidRDefault="00DF5650" w:rsidP="00DF5650">
      <w:pPr>
        <w:spacing w:after="0" w:line="240" w:lineRule="auto"/>
        <w:jc w:val="both"/>
        <w:rPr>
          <w:rFonts w:ascii="Verdana" w:eastAsia="Calibri" w:hAnsi="Verdana" w:cs="Arial"/>
          <w:lang w:val="es-ES" w:eastAsia="es-ES"/>
        </w:rPr>
      </w:pPr>
      <w:r w:rsidRPr="00CD2674">
        <w:rPr>
          <w:rFonts w:ascii="Verdana" w:eastAsia="Century Gothic" w:hAnsi="Verdana" w:cs="Century Gothic"/>
        </w:rPr>
        <w:t xml:space="preserve">De acuerdo con </w:t>
      </w:r>
      <w:r w:rsidRPr="00CD2674">
        <w:rPr>
          <w:rFonts w:ascii="Verdana" w:eastAsia="Calibri" w:hAnsi="Verdana" w:cs="Arial"/>
          <w:lang w:val="es-ES" w:eastAsia="es-ES"/>
        </w:rPr>
        <w:t xml:space="preserve">el contenido de su solicitud, esta Agencia resolverá el siguiente problema jurídico: ¿Cuáles son los documentos del proceso y como deben ser publicados en Secop II? </w:t>
      </w:r>
    </w:p>
    <w:p w14:paraId="28DE212A" w14:textId="77777777" w:rsidR="00DF5650" w:rsidRPr="00CD2674" w:rsidRDefault="00DF5650" w:rsidP="00DF5650">
      <w:pPr>
        <w:spacing w:after="0" w:line="240" w:lineRule="auto"/>
        <w:jc w:val="both"/>
        <w:rPr>
          <w:rFonts w:ascii="Verdana" w:eastAsia="Calibri" w:hAnsi="Verdana" w:cs="Arial"/>
          <w:lang w:val="es-ES" w:eastAsia="es-ES"/>
        </w:rPr>
      </w:pPr>
    </w:p>
    <w:p w14:paraId="6CAB180E" w14:textId="77777777" w:rsidR="00DF5650" w:rsidRPr="00CD2674" w:rsidRDefault="00DF5650" w:rsidP="00DF5650">
      <w:pPr>
        <w:pStyle w:val="Prrafodelista"/>
        <w:numPr>
          <w:ilvl w:val="0"/>
          <w:numId w:val="4"/>
        </w:numPr>
        <w:tabs>
          <w:tab w:val="left" w:pos="142"/>
          <w:tab w:val="left" w:pos="284"/>
        </w:tabs>
        <w:spacing w:after="0" w:line="240" w:lineRule="auto"/>
        <w:ind w:left="0" w:firstLine="0"/>
        <w:contextualSpacing w:val="0"/>
        <w:jc w:val="both"/>
        <w:rPr>
          <w:rFonts w:ascii="Verdana" w:eastAsia="Century Gothic" w:hAnsi="Verdana" w:cs="Century Gothic"/>
          <w:b/>
          <w:bCs/>
        </w:rPr>
      </w:pPr>
      <w:r w:rsidRPr="00CD2674">
        <w:rPr>
          <w:rFonts w:ascii="Verdana" w:eastAsia="Century Gothic" w:hAnsi="Verdana" w:cs="Century Gothic"/>
          <w:b/>
          <w:bCs/>
        </w:rPr>
        <w:t>Respuesta:</w:t>
      </w:r>
    </w:p>
    <w:p w14:paraId="7AC6BC15" w14:textId="77777777" w:rsidR="00DF5650" w:rsidRPr="00CD2674" w:rsidRDefault="00DF5650" w:rsidP="00DF5650">
      <w:pPr>
        <w:tabs>
          <w:tab w:val="left" w:pos="142"/>
          <w:tab w:val="left" w:pos="284"/>
        </w:tabs>
        <w:spacing w:after="0" w:line="240"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F5650" w:rsidRPr="00CD2674" w14:paraId="33924694" w14:textId="77777777" w:rsidTr="005C5A17">
        <w:tc>
          <w:tcPr>
            <w:tcW w:w="8828" w:type="dxa"/>
            <w:shd w:val="clear" w:color="auto" w:fill="auto"/>
          </w:tcPr>
          <w:p w14:paraId="352A5A28" w14:textId="77777777" w:rsidR="00DF5650" w:rsidRPr="00CD2674" w:rsidRDefault="00DF5650" w:rsidP="005C5A17">
            <w:pPr>
              <w:widowControl w:val="0"/>
              <w:autoSpaceDE w:val="0"/>
              <w:autoSpaceDN w:val="0"/>
              <w:spacing w:after="120"/>
              <w:jc w:val="both"/>
              <w:rPr>
                <w:rFonts w:ascii="Verdana" w:eastAsia="Arial" w:hAnsi="Verdana" w:cs="Arial"/>
                <w:lang w:val="es-ES"/>
              </w:rPr>
            </w:pPr>
            <w:r w:rsidRPr="00CD2674">
              <w:rPr>
                <w:rFonts w:ascii="Verdana" w:eastAsia="Arial" w:hAnsi="Verdana" w:cs="Arial"/>
                <w:lang w:val="es-ES"/>
              </w:rPr>
              <w:t xml:space="preserve">La expresión </w:t>
            </w:r>
            <w:r w:rsidRPr="00CD2674">
              <w:rPr>
                <w:rFonts w:ascii="Verdana" w:eastAsia="Arial" w:hAnsi="Verdana" w:cs="Arial"/>
                <w:i/>
                <w:iCs/>
                <w:lang w:val="es-ES"/>
              </w:rPr>
              <w:t>Documentos del Proceso</w:t>
            </w:r>
            <w:r w:rsidRPr="00CD2674">
              <w:rPr>
                <w:rFonts w:ascii="Verdana" w:eastAsia="Arial" w:hAnsi="Verdana" w:cs="Arial"/>
                <w:lang w:val="es-ES"/>
              </w:rPr>
              <w:t xml:space="preserve"> está definida en el artículo 2.2.1.1.1.3.1. del Decreto 1082 de 2015, donde se establece que: “son: (a) los estudios y documentos previos; (b) el aviso de convocatoria; (c) los pliegos de condiciones o la invitación; (d) las adendas; (e) la oferta; (f) el informe de evaluación; (g) el contrato;</w:t>
            </w:r>
            <w:r w:rsidRPr="00CD2674">
              <w:rPr>
                <w:rFonts w:ascii="Verdana" w:eastAsia="Arial" w:hAnsi="Verdana" w:cs="Arial"/>
                <w:i/>
                <w:iCs/>
                <w:lang w:val="es-ES"/>
              </w:rPr>
              <w:t xml:space="preserve"> y cualquier otro documento expedido por la </w:t>
            </w:r>
            <w:r w:rsidRPr="00CD2674">
              <w:rPr>
                <w:rFonts w:ascii="Verdana" w:eastAsia="Arial" w:hAnsi="Verdana" w:cs="Arial"/>
                <w:i/>
                <w:iCs/>
                <w:lang w:val="es-ES"/>
              </w:rPr>
              <w:lastRenderedPageBreak/>
              <w:t>Entidad Estatal durante el Proceso de Contratación</w:t>
            </w:r>
            <w:r w:rsidRPr="00CD2674">
              <w:rPr>
                <w:rFonts w:ascii="Verdana" w:eastAsia="Arial" w:hAnsi="Verdana" w:cs="Arial"/>
                <w:lang w:val="es-ES"/>
              </w:rPr>
              <w:t xml:space="preserve">” </w:t>
            </w:r>
          </w:p>
          <w:p w14:paraId="34D172FE" w14:textId="77777777" w:rsidR="00DF5650" w:rsidRPr="00CD2674" w:rsidRDefault="00DF5650" w:rsidP="005C5A17">
            <w:pPr>
              <w:spacing w:before="120"/>
              <w:jc w:val="both"/>
              <w:rPr>
                <w:rFonts w:ascii="Verdana" w:eastAsia="Calibri" w:hAnsi="Verdana" w:cs="Arial"/>
                <w:lang w:val="es-ES" w:eastAsia="es-ES"/>
              </w:rPr>
            </w:pPr>
            <w:r w:rsidRPr="00CD2674">
              <w:rPr>
                <w:rFonts w:ascii="Verdana" w:eastAsia="Calibri" w:hAnsi="Verdana" w:cs="Arial"/>
                <w:lang w:val="es-ES" w:eastAsia="es-ES"/>
              </w:rPr>
              <w:t>Por otra parte, si una entidad estatal se encuentra obligada a tramitar su contratación en el SECOP II, en principio todos los Documentos del Proceso deben gestionarse y crearse en esta plataforma, esto de conformidad con lo señalado en, el artículo 3 de la Ley 1150 de 2007, el artículo 2.2.1.1.1.7.1. del Decreto 1082 de 2015, la Ley 1712 de 2014 y el Decreto 1081 de 2015.</w:t>
            </w:r>
          </w:p>
          <w:p w14:paraId="62355888" w14:textId="77777777" w:rsidR="00DF5650" w:rsidRPr="00CD2674" w:rsidRDefault="00DF5650" w:rsidP="005C5A17">
            <w:pPr>
              <w:spacing w:before="120"/>
              <w:jc w:val="both"/>
              <w:rPr>
                <w:rFonts w:ascii="Verdana" w:eastAsia="Calibri" w:hAnsi="Verdana" w:cs="Arial"/>
                <w:szCs w:val="24"/>
                <w:lang w:val="es-ES" w:eastAsia="es-ES_tradnl"/>
              </w:rPr>
            </w:pPr>
            <w:r w:rsidRPr="00CD2674">
              <w:rPr>
                <w:rFonts w:ascii="Verdana" w:eastAsia="Calibri" w:hAnsi="Verdana" w:cs="Arial"/>
                <w:lang w:val="es-ES"/>
              </w:rPr>
              <w:t>Adicionalmente, debemos precisar que la naturaleza transaccional del SECOP II</w:t>
            </w:r>
            <w:r>
              <w:rPr>
                <w:rFonts w:ascii="Verdana" w:eastAsia="Calibri" w:hAnsi="Verdana" w:cs="Arial"/>
                <w:lang w:val="es-ES"/>
              </w:rPr>
              <w:t>,</w:t>
            </w:r>
            <w:r w:rsidRPr="00CD2674">
              <w:rPr>
                <w:rFonts w:ascii="Verdana" w:eastAsia="Calibri" w:hAnsi="Verdana" w:cs="Arial"/>
                <w:lang w:val="es-ES"/>
              </w:rPr>
              <w:t xml:space="preserve"> implica que los procesos contractuales no solo deban ser publicados mediante esta plataforma, sino también gestionados a través de ella, al consistir la mayoría de los hitos contractuales en documentos y actuaciones electrónicas generadas en tiempo real, de tal manera que el proceso contractual avanza en la medida en la que se generen y aprueben estos documentos y actuaciones electrónicas en la plataforma</w:t>
            </w:r>
          </w:p>
        </w:tc>
      </w:tr>
    </w:tbl>
    <w:p w14:paraId="0DAA6832" w14:textId="77777777" w:rsidR="00DF5650" w:rsidRPr="00CD2674" w:rsidRDefault="00DF5650" w:rsidP="00DF5650">
      <w:pPr>
        <w:tabs>
          <w:tab w:val="left" w:pos="142"/>
          <w:tab w:val="left" w:pos="284"/>
        </w:tabs>
        <w:spacing w:after="0" w:line="240" w:lineRule="auto"/>
        <w:jc w:val="both"/>
        <w:rPr>
          <w:rFonts w:ascii="Verdana" w:eastAsia="Century Gothic" w:hAnsi="Verdana" w:cs="Century Gothic"/>
          <w:b/>
          <w:bCs/>
          <w:lang w:val="es-ES"/>
        </w:rPr>
      </w:pPr>
    </w:p>
    <w:p w14:paraId="5D6C0421" w14:textId="77777777" w:rsidR="00DF5650" w:rsidRPr="00CD2674" w:rsidRDefault="00DF5650" w:rsidP="00DF5650">
      <w:pPr>
        <w:pStyle w:val="Prrafodelista"/>
        <w:numPr>
          <w:ilvl w:val="0"/>
          <w:numId w:val="4"/>
        </w:numPr>
        <w:tabs>
          <w:tab w:val="left" w:pos="142"/>
          <w:tab w:val="left" w:pos="284"/>
        </w:tabs>
        <w:spacing w:after="0" w:line="240" w:lineRule="auto"/>
        <w:ind w:left="0" w:firstLine="0"/>
        <w:contextualSpacing w:val="0"/>
        <w:jc w:val="both"/>
        <w:rPr>
          <w:rFonts w:ascii="Verdana" w:eastAsia="Century Gothic" w:hAnsi="Verdana" w:cs="Century Gothic"/>
          <w:b/>
          <w:bCs/>
        </w:rPr>
      </w:pPr>
      <w:r w:rsidRPr="00CD2674">
        <w:rPr>
          <w:rFonts w:ascii="Verdana" w:eastAsia="Century Gothic" w:hAnsi="Verdana" w:cs="Century Gothic"/>
          <w:b/>
          <w:bCs/>
        </w:rPr>
        <w:t>Razones de la respuesta:</w:t>
      </w:r>
    </w:p>
    <w:p w14:paraId="13E74826" w14:textId="77777777" w:rsidR="00DF5650" w:rsidRPr="00CD2674" w:rsidRDefault="00DF5650" w:rsidP="00DF5650">
      <w:pPr>
        <w:spacing w:after="0" w:line="240" w:lineRule="auto"/>
        <w:jc w:val="both"/>
        <w:rPr>
          <w:rFonts w:ascii="Verdana" w:eastAsia="Calibri" w:hAnsi="Verdana" w:cs="Arial"/>
          <w:lang w:val="es-ES"/>
        </w:rPr>
      </w:pPr>
    </w:p>
    <w:p w14:paraId="2AC78B55" w14:textId="77777777" w:rsidR="00DF5650" w:rsidRPr="00CD2674" w:rsidRDefault="00DF5650" w:rsidP="00DF5650">
      <w:pPr>
        <w:spacing w:after="0" w:line="240" w:lineRule="auto"/>
        <w:jc w:val="both"/>
        <w:rPr>
          <w:rFonts w:ascii="Verdana" w:eastAsia="Calibri" w:hAnsi="Verdana" w:cs="Arial"/>
          <w:lang w:val="es-ES"/>
        </w:rPr>
      </w:pPr>
      <w:r w:rsidRPr="00CD2674">
        <w:rPr>
          <w:rFonts w:ascii="Verdana" w:eastAsia="Calibri" w:hAnsi="Verdana" w:cs="Arial"/>
          <w:lang w:val="es-ES"/>
        </w:rPr>
        <w:t xml:space="preserve">Lo anterior se sustenta en las siguientes consideraciones: </w:t>
      </w:r>
    </w:p>
    <w:p w14:paraId="44391831" w14:textId="77777777" w:rsidR="00DF5650" w:rsidRPr="00CD2674" w:rsidRDefault="00DF5650" w:rsidP="00DF5650">
      <w:pPr>
        <w:spacing w:after="0" w:line="240" w:lineRule="auto"/>
        <w:jc w:val="both"/>
        <w:rPr>
          <w:rFonts w:ascii="Verdana" w:eastAsia="Calibri" w:hAnsi="Verdana" w:cs="Arial"/>
          <w:lang w:val="es-ES"/>
        </w:rPr>
      </w:pPr>
    </w:p>
    <w:p w14:paraId="5D61E13F" w14:textId="77777777" w:rsidR="00DF5650" w:rsidRPr="00CD2674" w:rsidRDefault="00DF5650" w:rsidP="00DF5650">
      <w:pPr>
        <w:spacing w:after="0" w:line="240" w:lineRule="auto"/>
        <w:jc w:val="both"/>
        <w:rPr>
          <w:rFonts w:ascii="Verdana" w:eastAsia="Calibri" w:hAnsi="Verdana" w:cs="Arial"/>
          <w:lang w:val="es-ES"/>
        </w:rPr>
      </w:pPr>
    </w:p>
    <w:p w14:paraId="0F0B18BD" w14:textId="77777777" w:rsidR="00DF5650" w:rsidRDefault="00DF5650" w:rsidP="00DF5650">
      <w:pPr>
        <w:pStyle w:val="Prrafodelista"/>
        <w:numPr>
          <w:ilvl w:val="0"/>
          <w:numId w:val="12"/>
        </w:numPr>
        <w:spacing w:after="120" w:line="240" w:lineRule="auto"/>
        <w:jc w:val="both"/>
        <w:rPr>
          <w:rFonts w:ascii="Verdana" w:eastAsia="Calibri" w:hAnsi="Verdana" w:cs="Arial"/>
        </w:rPr>
      </w:pPr>
      <w:r w:rsidRPr="00CD2674">
        <w:rPr>
          <w:rFonts w:ascii="Verdana" w:eastAsia="Calibri" w:hAnsi="Verdana" w:cs="Arial"/>
        </w:rPr>
        <w:t xml:space="preserve">El procedimiento de contratación de las entidades es reglado, es decir, no es discrecional y se deben consultar las normas que lo rigen para determinar la forma que la ley prevé para adelantarlo. Por consiguiente, las principales normas son: la Ley 80 de 1993, la Ley 1150 de 2007 </w:t>
      </w:r>
      <w:r w:rsidRPr="00CD2674">
        <w:rPr>
          <w:rFonts w:ascii="Arial" w:eastAsia="Calibri" w:hAnsi="Arial" w:cs="Arial"/>
        </w:rPr>
        <w:t>̶</w:t>
      </w:r>
      <w:r w:rsidRPr="00CD2674">
        <w:rPr>
          <w:rFonts w:ascii="Verdana" w:eastAsia="Calibri" w:hAnsi="Verdana" w:cs="Arial"/>
        </w:rPr>
        <w:t xml:space="preserve"> Estatuto General de Contrataci</w:t>
      </w:r>
      <w:r w:rsidRPr="00CD2674">
        <w:rPr>
          <w:rFonts w:ascii="Verdana" w:eastAsia="Calibri" w:hAnsi="Verdana" w:cs="Verdana"/>
        </w:rPr>
        <w:t>ó</w:t>
      </w:r>
      <w:r w:rsidRPr="00CD2674">
        <w:rPr>
          <w:rFonts w:ascii="Verdana" w:eastAsia="Calibri" w:hAnsi="Verdana" w:cs="Arial"/>
        </w:rPr>
        <w:t>n de la Administraci</w:t>
      </w:r>
      <w:r w:rsidRPr="00CD2674">
        <w:rPr>
          <w:rFonts w:ascii="Verdana" w:eastAsia="Calibri" w:hAnsi="Verdana" w:cs="Verdana"/>
        </w:rPr>
        <w:t>ó</w:t>
      </w:r>
      <w:r w:rsidRPr="00CD2674">
        <w:rPr>
          <w:rFonts w:ascii="Verdana" w:eastAsia="Calibri" w:hAnsi="Verdana" w:cs="Arial"/>
        </w:rPr>
        <w:t>n P</w:t>
      </w:r>
      <w:r w:rsidRPr="00CD2674">
        <w:rPr>
          <w:rFonts w:ascii="Verdana" w:eastAsia="Calibri" w:hAnsi="Verdana" w:cs="Verdana"/>
        </w:rPr>
        <w:t>ú</w:t>
      </w:r>
      <w:r w:rsidRPr="00CD2674">
        <w:rPr>
          <w:rFonts w:ascii="Verdana" w:eastAsia="Calibri" w:hAnsi="Verdana" w:cs="Arial"/>
        </w:rPr>
        <w:t xml:space="preserve">blica </w:t>
      </w:r>
      <w:r w:rsidRPr="00CD2674">
        <w:rPr>
          <w:rFonts w:ascii="Arial" w:eastAsia="Calibri" w:hAnsi="Arial" w:cs="Arial"/>
        </w:rPr>
        <w:t>̶</w:t>
      </w:r>
      <w:r w:rsidRPr="00CD2674">
        <w:rPr>
          <w:rFonts w:ascii="Verdana" w:eastAsia="Calibri" w:hAnsi="Verdana" w:cs="Arial"/>
        </w:rPr>
        <w:t xml:space="preserve"> y el Decreto 1082 de 2015, que es reglamentario y concreta cada modalidad de selecci</w:t>
      </w:r>
      <w:r w:rsidRPr="00CD2674">
        <w:rPr>
          <w:rFonts w:ascii="Verdana" w:eastAsia="Calibri" w:hAnsi="Verdana" w:cs="Verdana"/>
        </w:rPr>
        <w:t>ó</w:t>
      </w:r>
      <w:r w:rsidRPr="00CD2674">
        <w:rPr>
          <w:rFonts w:ascii="Verdana" w:eastAsia="Calibri" w:hAnsi="Verdana" w:cs="Arial"/>
        </w:rPr>
        <w:t>n, se</w:t>
      </w:r>
      <w:r w:rsidRPr="00CD2674">
        <w:rPr>
          <w:rFonts w:ascii="Verdana" w:eastAsia="Calibri" w:hAnsi="Verdana" w:cs="Verdana"/>
        </w:rPr>
        <w:t>ñ</w:t>
      </w:r>
      <w:r w:rsidRPr="00CD2674">
        <w:rPr>
          <w:rFonts w:ascii="Verdana" w:eastAsia="Calibri" w:hAnsi="Verdana" w:cs="Arial"/>
        </w:rPr>
        <w:t>alando las reglas o pasos a seguir para celebrar el contrato estatal</w:t>
      </w:r>
      <w:r w:rsidRPr="00CD2674">
        <w:rPr>
          <w:rFonts w:ascii="Verdana" w:hAnsi="Verdana"/>
          <w:vertAlign w:val="superscript"/>
        </w:rPr>
        <w:footnoteReference w:id="2"/>
      </w:r>
      <w:r w:rsidRPr="00CD2674">
        <w:rPr>
          <w:rFonts w:ascii="Verdana" w:eastAsia="Calibri" w:hAnsi="Verdana" w:cs="Arial"/>
        </w:rPr>
        <w:t>. Por consiguiente, para que los documentos de la actividad contractual se conozcan la entidad debe publicarlos, sin importar la modalidad de selección.</w:t>
      </w:r>
    </w:p>
    <w:p w14:paraId="37C0BEE3" w14:textId="77777777" w:rsidR="00DF5650" w:rsidRPr="00CD2674" w:rsidRDefault="00DF5650" w:rsidP="00DF5650">
      <w:pPr>
        <w:pStyle w:val="Prrafodelista"/>
        <w:spacing w:after="120" w:line="240" w:lineRule="auto"/>
        <w:jc w:val="both"/>
        <w:rPr>
          <w:rFonts w:ascii="Verdana" w:eastAsia="Calibri" w:hAnsi="Verdana" w:cs="Arial"/>
        </w:rPr>
      </w:pPr>
    </w:p>
    <w:p w14:paraId="7867D517" w14:textId="77777777" w:rsidR="00DF5650" w:rsidRDefault="00DF5650" w:rsidP="00DF5650">
      <w:pPr>
        <w:pStyle w:val="Prrafodelista"/>
        <w:widowControl w:val="0"/>
        <w:numPr>
          <w:ilvl w:val="0"/>
          <w:numId w:val="12"/>
        </w:numPr>
        <w:autoSpaceDE w:val="0"/>
        <w:autoSpaceDN w:val="0"/>
        <w:spacing w:line="240" w:lineRule="auto"/>
        <w:ind w:right="49"/>
        <w:jc w:val="both"/>
        <w:rPr>
          <w:rFonts w:ascii="Verdana" w:eastAsia="Arial" w:hAnsi="Verdana" w:cs="Arial"/>
        </w:rPr>
      </w:pPr>
      <w:r w:rsidRPr="00CD2674">
        <w:rPr>
          <w:rFonts w:ascii="Verdana" w:eastAsia="Arial" w:hAnsi="Verdana" w:cs="Arial"/>
        </w:rPr>
        <w:lastRenderedPageBreak/>
        <w:t>El artículo 3 de la Ley 1150 de 2007 señala que los actos relacionados con los procedimientos de contratación de las entidades estatales pueden ser electrónicos, al igual que su publicidad, por lo que el Gobierno nacional debe definir los medios para desarrollar dicha publicidad, y tiene la obligación de desarrollar el SECOP</w:t>
      </w:r>
      <w:r w:rsidRPr="00CD2674">
        <w:rPr>
          <w:rFonts w:ascii="Verdana" w:hAnsi="Verdana"/>
          <w:vertAlign w:val="superscript"/>
        </w:rPr>
        <w:footnoteReference w:id="3"/>
      </w:r>
      <w:r w:rsidRPr="00CD2674">
        <w:rPr>
          <w:rFonts w:ascii="Verdana" w:eastAsia="Arial" w:hAnsi="Verdana" w:cs="Arial"/>
        </w:rPr>
        <w:t>. Este sistema debe contar con la información oficial de los procedimientos contractuales de las entidades, de lo cual será la única fuente, que al ser de interés público ameritan su conocimiento por parte de la ciudadanía, más aún cuando involucran la inversión de recursos públicos y el correlativo derecho de la ciudadanía de conocer cómo se invierten y controlar que el objetivo sea la satisfacción de sus necesidades.</w:t>
      </w:r>
    </w:p>
    <w:p w14:paraId="4266D043" w14:textId="77777777" w:rsidR="00DF5650" w:rsidRPr="00CD2674" w:rsidRDefault="00DF5650" w:rsidP="00DF5650">
      <w:pPr>
        <w:pStyle w:val="Prrafodelista"/>
        <w:widowControl w:val="0"/>
        <w:autoSpaceDE w:val="0"/>
        <w:autoSpaceDN w:val="0"/>
        <w:spacing w:line="240" w:lineRule="auto"/>
        <w:ind w:right="49"/>
        <w:jc w:val="both"/>
        <w:rPr>
          <w:rFonts w:ascii="Verdana" w:eastAsia="Arial" w:hAnsi="Verdana" w:cs="Arial"/>
        </w:rPr>
      </w:pPr>
    </w:p>
    <w:p w14:paraId="7D506C62" w14:textId="77777777" w:rsidR="00DF5650" w:rsidRDefault="00DF5650" w:rsidP="00DF5650">
      <w:pPr>
        <w:pStyle w:val="Prrafodelista"/>
        <w:widowControl w:val="0"/>
        <w:numPr>
          <w:ilvl w:val="0"/>
          <w:numId w:val="12"/>
        </w:numPr>
        <w:autoSpaceDE w:val="0"/>
        <w:autoSpaceDN w:val="0"/>
        <w:spacing w:before="120" w:line="240" w:lineRule="auto"/>
        <w:ind w:right="306"/>
        <w:jc w:val="both"/>
        <w:rPr>
          <w:rFonts w:ascii="Verdana" w:eastAsia="Arial" w:hAnsi="Verdana" w:cs="Arial"/>
        </w:rPr>
      </w:pPr>
      <w:r w:rsidRPr="00CD2674">
        <w:rPr>
          <w:rFonts w:ascii="Verdana" w:eastAsia="Arial" w:hAnsi="Verdana" w:cs="Arial"/>
        </w:rPr>
        <w:t>La norma citada genera un cambio en la contratación pública, ámbito en el que las actuaciones de las entidades se realizaban por escrito y en papel, y ahora se crea un mecanismo eficiente que reduce costos, para que se cumpla el principio de publicidad, como un deber de las autoridades públicas en el ejercicio de las funciones administrativas que la ley les otorga.</w:t>
      </w:r>
    </w:p>
    <w:p w14:paraId="115AE7D6" w14:textId="77777777" w:rsidR="00DF5650" w:rsidRPr="00CD2674" w:rsidRDefault="00DF5650" w:rsidP="00DF5650">
      <w:pPr>
        <w:pStyle w:val="Prrafodelista"/>
        <w:widowControl w:val="0"/>
        <w:autoSpaceDE w:val="0"/>
        <w:autoSpaceDN w:val="0"/>
        <w:spacing w:before="120" w:line="240" w:lineRule="auto"/>
        <w:ind w:right="306"/>
        <w:jc w:val="both"/>
        <w:rPr>
          <w:rFonts w:ascii="Verdana" w:eastAsia="Arial" w:hAnsi="Verdana" w:cs="Arial"/>
        </w:rPr>
      </w:pPr>
    </w:p>
    <w:p w14:paraId="677CB683" w14:textId="77777777" w:rsidR="00DF5650" w:rsidRPr="00CD2674" w:rsidRDefault="00DF5650" w:rsidP="00DF5650">
      <w:pPr>
        <w:pStyle w:val="Prrafodelista"/>
        <w:widowControl w:val="0"/>
        <w:numPr>
          <w:ilvl w:val="0"/>
          <w:numId w:val="12"/>
        </w:numPr>
        <w:autoSpaceDE w:val="0"/>
        <w:autoSpaceDN w:val="0"/>
        <w:spacing w:before="120" w:line="240" w:lineRule="auto"/>
        <w:ind w:right="306"/>
        <w:jc w:val="both"/>
        <w:rPr>
          <w:rFonts w:ascii="Verdana" w:eastAsia="Arial" w:hAnsi="Verdana" w:cs="Arial"/>
        </w:rPr>
      </w:pPr>
      <w:r w:rsidRPr="00CD2674">
        <w:rPr>
          <w:rFonts w:ascii="Verdana" w:eastAsia="Arial" w:hAnsi="Verdana" w:cs="Arial"/>
        </w:rPr>
        <w:lastRenderedPageBreak/>
        <w:t>La Corte Constitucional, en la sentencia C-711 del 12 de septiembre de 2011, con ponencia del Magistrado Mauricio González Cuervo, hizo énfasis en la transición de la actividad contractual impresa que se publicaba en el Diario Único de Contratación, a una contratación pública electrónica desarrollada mediante el SECOP:</w:t>
      </w:r>
    </w:p>
    <w:p w14:paraId="36729B27" w14:textId="77777777" w:rsidR="00DF5650" w:rsidRPr="00CD2674" w:rsidRDefault="00DF5650" w:rsidP="00DF5650">
      <w:pPr>
        <w:widowControl w:val="0"/>
        <w:autoSpaceDE w:val="0"/>
        <w:autoSpaceDN w:val="0"/>
        <w:spacing w:line="240" w:lineRule="auto"/>
        <w:ind w:left="709" w:right="709"/>
        <w:jc w:val="both"/>
        <w:rPr>
          <w:rFonts w:ascii="Verdana" w:eastAsia="Arial" w:hAnsi="Verdana" w:cs="Arial"/>
          <w:sz w:val="21"/>
          <w:lang w:val="es-ES"/>
        </w:rPr>
      </w:pPr>
      <w:r w:rsidRPr="00CD2674">
        <w:rPr>
          <w:rFonts w:ascii="Verdana" w:eastAsia="Arial" w:hAnsi="Verdana" w:cs="Arial"/>
          <w:sz w:val="21"/>
          <w:lang w:val="es-ES"/>
        </w:rPr>
        <w:t>“En cuanto a que la supresión de la publicación en el Diario Único de Contratación fuese necesaria, y en consecuencia ajena al ámbito de las facultades extraordinarias conferidas, se concluye que, si bien la publicación de los contratos estatales puede tenerse como requisito esencial para la ejecución y control público de los contratos oficiales, no así su inclusión en una forma específica de divulgación, como el DUC. Por el contrario, al disponerse que sea publicado en un medio electrónico, al cargo y cuidado de la Agencia Nacional de Contratación Pública —Colombia Compra Eficiente—, se asegura la regularidad de este tipo de trámite, en manos de una entidad responsable de realizarlo; y, simultáneamente, se cumple la finalidad de la publicación, que no otra distinta de brindarle al público la posibilidad de acceso fácil, oportuno, idóneo y eficaz a los términos de la contratación</w:t>
      </w:r>
      <w:r w:rsidRPr="00CD2674">
        <w:rPr>
          <w:rFonts w:ascii="Verdana" w:eastAsia="Arial" w:hAnsi="Verdana" w:cs="Arial"/>
          <w:spacing w:val="-6"/>
          <w:sz w:val="21"/>
          <w:lang w:val="es-ES"/>
        </w:rPr>
        <w:t xml:space="preserve"> </w:t>
      </w:r>
      <w:r w:rsidRPr="00CD2674">
        <w:rPr>
          <w:rFonts w:ascii="Verdana" w:eastAsia="Arial" w:hAnsi="Verdana" w:cs="Arial"/>
          <w:sz w:val="21"/>
          <w:lang w:val="es-ES"/>
        </w:rPr>
        <w:t>estatal.</w:t>
      </w:r>
    </w:p>
    <w:p w14:paraId="65B6FFA8" w14:textId="77777777" w:rsidR="00DF5650" w:rsidRPr="00CD2674" w:rsidRDefault="00DF5650" w:rsidP="00DF5650">
      <w:pPr>
        <w:widowControl w:val="0"/>
        <w:autoSpaceDE w:val="0"/>
        <w:autoSpaceDN w:val="0"/>
        <w:spacing w:before="1" w:line="240" w:lineRule="auto"/>
        <w:ind w:left="709" w:right="709"/>
        <w:jc w:val="both"/>
        <w:rPr>
          <w:rFonts w:ascii="Verdana" w:eastAsia="Arial" w:hAnsi="Verdana" w:cs="Arial"/>
          <w:sz w:val="21"/>
          <w:lang w:val="es-ES"/>
        </w:rPr>
      </w:pPr>
      <w:r w:rsidRPr="00CD2674">
        <w:rPr>
          <w:rFonts w:ascii="Verdana" w:eastAsia="Arial" w:hAnsi="Verdana" w:cs="Arial"/>
          <w:sz w:val="21"/>
          <w:lang w:val="es-ES"/>
        </w:rPr>
        <w:t xml:space="preserve">Para la Corte, la publicación de los contratos estatales en el SECOP cumple cabalmente con las exigencias constitucionales de publicidad administrativa. En efecto, permite la presentación de la totalidad del contenido aludido, en un medio al que puede tener acceso al público en general, facilitando a los ciudadanos el conocimiento de las actuaciones de la administración y de los particulares en los procesos de contratación estatal y facilitando su participación en las decisiones que les afectan. </w:t>
      </w:r>
      <w:r w:rsidRPr="00CD2674">
        <w:rPr>
          <w:rFonts w:ascii="Verdana" w:eastAsia="Arial" w:hAnsi="Verdana" w:cs="Arial"/>
          <w:spacing w:val="-3"/>
          <w:sz w:val="21"/>
          <w:lang w:val="es-ES"/>
        </w:rPr>
        <w:t xml:space="preserve">Y, </w:t>
      </w:r>
      <w:r w:rsidRPr="00CD2674">
        <w:rPr>
          <w:rFonts w:ascii="Verdana" w:eastAsia="Arial" w:hAnsi="Verdana" w:cs="Arial"/>
          <w:sz w:val="21"/>
          <w:lang w:val="es-ES"/>
        </w:rPr>
        <w:t>de conteras, suple algunas de las limitaciones de las que adolecía el Diario Único de Contratación, en términos de cobertura geográfica, de cantidad de ejemplares y de posibilidad de acceso por parte de la</w:t>
      </w:r>
      <w:r w:rsidRPr="00CD2674">
        <w:rPr>
          <w:rFonts w:ascii="Verdana" w:eastAsia="Arial" w:hAnsi="Verdana" w:cs="Arial"/>
          <w:spacing w:val="-4"/>
          <w:sz w:val="21"/>
          <w:lang w:val="es-ES"/>
        </w:rPr>
        <w:t xml:space="preserve"> </w:t>
      </w:r>
      <w:r w:rsidRPr="00CD2674">
        <w:rPr>
          <w:rFonts w:ascii="Verdana" w:eastAsia="Arial" w:hAnsi="Verdana" w:cs="Arial"/>
          <w:sz w:val="21"/>
          <w:lang w:val="es-ES"/>
        </w:rPr>
        <w:t>ciudadanía”.</w:t>
      </w:r>
    </w:p>
    <w:p w14:paraId="387ABDBA" w14:textId="77777777" w:rsidR="00DF5650" w:rsidRPr="00CD2674" w:rsidRDefault="00DF5650" w:rsidP="00DF5650">
      <w:pPr>
        <w:pStyle w:val="Prrafodelista"/>
        <w:widowControl w:val="0"/>
        <w:numPr>
          <w:ilvl w:val="0"/>
          <w:numId w:val="13"/>
        </w:numPr>
        <w:autoSpaceDE w:val="0"/>
        <w:autoSpaceDN w:val="0"/>
        <w:spacing w:after="120" w:line="240" w:lineRule="auto"/>
        <w:jc w:val="both"/>
        <w:rPr>
          <w:rFonts w:ascii="Verdana" w:eastAsia="Arial" w:hAnsi="Verdana" w:cs="Arial"/>
        </w:rPr>
      </w:pPr>
      <w:r w:rsidRPr="00CD2674">
        <w:rPr>
          <w:rFonts w:ascii="Verdana" w:eastAsia="Arial" w:hAnsi="Verdana" w:cs="Arial"/>
        </w:rPr>
        <w:t xml:space="preserve">La expresión </w:t>
      </w:r>
      <w:r w:rsidRPr="00CD2674">
        <w:rPr>
          <w:rFonts w:ascii="Verdana" w:eastAsia="Arial" w:hAnsi="Verdana" w:cs="Arial"/>
          <w:i/>
          <w:iCs/>
        </w:rPr>
        <w:t>Documentos del Proceso</w:t>
      </w:r>
      <w:r w:rsidRPr="00CD2674">
        <w:rPr>
          <w:rFonts w:ascii="Verdana" w:eastAsia="Arial" w:hAnsi="Verdana" w:cs="Arial"/>
        </w:rPr>
        <w:t xml:space="preserve"> está definida en el artículo 2.2.1.1.1.3.1. del Decreto 1082 de 2015, donde se establece que: “son: (a) los estudios y documentos previos; (b) el aviso de convocatoria; (c) los pliegos de condiciones o la invitación; (d) las adendas; (e) la oferta; (f) el informe de evaluación; (g) el contrato;</w:t>
      </w:r>
      <w:r w:rsidRPr="00CD2674">
        <w:rPr>
          <w:rFonts w:ascii="Verdana" w:eastAsia="Arial" w:hAnsi="Verdana" w:cs="Arial"/>
          <w:i/>
          <w:iCs/>
        </w:rPr>
        <w:t xml:space="preserve"> y cualquier otro documento expedido por la Entidad Estatal durante el Proceso de Contratación</w:t>
      </w:r>
      <w:r w:rsidRPr="00CD2674">
        <w:rPr>
          <w:rFonts w:ascii="Verdana" w:eastAsia="Arial" w:hAnsi="Verdana" w:cs="Arial"/>
        </w:rPr>
        <w:t xml:space="preserve">” </w:t>
      </w:r>
    </w:p>
    <w:p w14:paraId="57CD5F69" w14:textId="77777777" w:rsidR="00DF5650" w:rsidRPr="00CD2674" w:rsidRDefault="00DF5650" w:rsidP="00DF5650">
      <w:pPr>
        <w:pStyle w:val="Prrafodelista"/>
        <w:widowControl w:val="0"/>
        <w:numPr>
          <w:ilvl w:val="0"/>
          <w:numId w:val="13"/>
        </w:numPr>
        <w:autoSpaceDE w:val="0"/>
        <w:autoSpaceDN w:val="0"/>
        <w:spacing w:after="120" w:line="240" w:lineRule="auto"/>
        <w:jc w:val="both"/>
        <w:rPr>
          <w:rFonts w:ascii="Verdana" w:eastAsia="Arial" w:hAnsi="Verdana" w:cs="Arial"/>
        </w:rPr>
      </w:pPr>
      <w:r w:rsidRPr="00CD2674">
        <w:rPr>
          <w:rFonts w:ascii="Verdana" w:eastAsia="Arial" w:hAnsi="Verdana" w:cs="Arial"/>
        </w:rPr>
        <w:t xml:space="preserve">No obstante, para identificar los documentos que deben publicarse, es necesario realizar una interpretación sistemática de las disposiciones del </w:t>
      </w:r>
      <w:r w:rsidRPr="00CD2674">
        <w:rPr>
          <w:rFonts w:ascii="Verdana" w:eastAsia="Arial" w:hAnsi="Verdana" w:cs="Arial"/>
        </w:rPr>
        <w:lastRenderedPageBreak/>
        <w:t xml:space="preserve">Decreto 1082 del 2015, comoquiera que el anterior no es un listado taxativo, sino enunciativo, porque además de los documentos enlistados, el artículo 2.2.1.1.1.3.1 </w:t>
      </w:r>
      <w:r w:rsidRPr="00CD2674">
        <w:rPr>
          <w:rFonts w:ascii="Verdana" w:eastAsia="Arial" w:hAnsi="Verdana" w:cs="Arial"/>
          <w:i/>
          <w:iCs/>
        </w:rPr>
        <w:t>Ibídem</w:t>
      </w:r>
      <w:r w:rsidRPr="00CD2674">
        <w:rPr>
          <w:rFonts w:ascii="Verdana" w:eastAsia="Arial" w:hAnsi="Verdana" w:cs="Arial"/>
        </w:rPr>
        <w:t xml:space="preserve"> recoge en la noción de </w:t>
      </w:r>
      <w:r w:rsidRPr="00CD2674">
        <w:rPr>
          <w:rFonts w:ascii="Verdana" w:eastAsia="Arial" w:hAnsi="Verdana" w:cs="Arial"/>
          <w:i/>
          <w:iCs/>
        </w:rPr>
        <w:t>Documentos del Proceso</w:t>
      </w:r>
      <w:r w:rsidRPr="00CD2674">
        <w:rPr>
          <w:rFonts w:ascii="Verdana" w:eastAsia="Arial" w:hAnsi="Verdana" w:cs="Arial"/>
        </w:rPr>
        <w:t xml:space="preserve"> “cualquier otro documento expedido por la Entidad Estatal durante el </w:t>
      </w:r>
      <w:r w:rsidRPr="00CD2674">
        <w:rPr>
          <w:rFonts w:ascii="Verdana" w:eastAsia="Arial" w:hAnsi="Verdana" w:cs="Arial"/>
          <w:i/>
          <w:iCs/>
        </w:rPr>
        <w:t>Proceso de Contratación”</w:t>
      </w:r>
      <w:r w:rsidRPr="00CD2674">
        <w:rPr>
          <w:rFonts w:ascii="Verdana" w:eastAsia="Arial" w:hAnsi="Verdana" w:cs="Arial"/>
        </w:rPr>
        <w:t xml:space="preserve">. Este mismo artículo define la expresión </w:t>
      </w:r>
      <w:r w:rsidRPr="00CD2674">
        <w:rPr>
          <w:rFonts w:ascii="Verdana" w:eastAsia="Arial" w:hAnsi="Verdana" w:cs="Arial"/>
          <w:i/>
          <w:iCs/>
        </w:rPr>
        <w:t>Proceso de Contratación</w:t>
      </w:r>
      <w:r w:rsidRPr="00CD2674">
        <w:rPr>
          <w:rFonts w:ascii="Verdana" w:eastAsia="Arial" w:hAnsi="Verdana" w:cs="Arial"/>
        </w:rPr>
        <w:t xml:space="preserve">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p>
    <w:p w14:paraId="7CD22CFC" w14:textId="77777777" w:rsidR="00DF5650" w:rsidRPr="00CD2674" w:rsidRDefault="00DF5650" w:rsidP="00DF5650">
      <w:pPr>
        <w:pStyle w:val="Prrafodelista"/>
        <w:widowControl w:val="0"/>
        <w:numPr>
          <w:ilvl w:val="0"/>
          <w:numId w:val="13"/>
        </w:numPr>
        <w:autoSpaceDE w:val="0"/>
        <w:autoSpaceDN w:val="0"/>
        <w:spacing w:after="120" w:line="240" w:lineRule="auto"/>
        <w:jc w:val="both"/>
        <w:rPr>
          <w:rFonts w:ascii="Verdana" w:eastAsia="Arial" w:hAnsi="Verdana" w:cs="Arial"/>
        </w:rPr>
      </w:pPr>
      <w:r w:rsidRPr="00CD2674">
        <w:rPr>
          <w:rFonts w:ascii="Verdana" w:eastAsia="Arial" w:hAnsi="Verdana" w:cs="Arial"/>
        </w:rPr>
        <w:t xml:space="preserve">Nótese que la norma hace referencia a los documentos “expedidos por la entidad estatal” durante el proceso de contratación, excluyendo de la noción de </w:t>
      </w:r>
      <w:r w:rsidRPr="00CD2674">
        <w:rPr>
          <w:rFonts w:ascii="Verdana" w:eastAsia="Arial" w:hAnsi="Verdana" w:cs="Arial"/>
          <w:i/>
          <w:iCs/>
        </w:rPr>
        <w:t>Documentos del Proceso</w:t>
      </w:r>
      <w:r w:rsidRPr="00CD2674">
        <w:rPr>
          <w:rFonts w:ascii="Verdana" w:eastAsia="Arial" w:hAnsi="Verdana" w:cs="Arial"/>
        </w:rPr>
        <w:t xml:space="preserve"> los expedidos por un sujeto distinto a la entidad, salvo la oferta, la cual se incluye expresamente en el artículo 2.2.1.1.1.3.1. </w:t>
      </w:r>
    </w:p>
    <w:p w14:paraId="2614CAB1" w14:textId="77777777" w:rsidR="00DF5650" w:rsidRPr="00CD2674" w:rsidRDefault="00DF5650" w:rsidP="00DF5650">
      <w:pPr>
        <w:pStyle w:val="Prrafodelista"/>
        <w:widowControl w:val="0"/>
        <w:numPr>
          <w:ilvl w:val="0"/>
          <w:numId w:val="13"/>
        </w:numPr>
        <w:autoSpaceDE w:val="0"/>
        <w:autoSpaceDN w:val="0"/>
        <w:spacing w:after="120" w:line="240" w:lineRule="auto"/>
        <w:jc w:val="both"/>
        <w:rPr>
          <w:rFonts w:ascii="Verdana" w:eastAsia="Arial" w:hAnsi="Verdana" w:cs="Arial"/>
        </w:rPr>
      </w:pPr>
      <w:r w:rsidRPr="00CD2674">
        <w:rPr>
          <w:rFonts w:ascii="Verdana" w:eastAsia="Arial" w:hAnsi="Verdana" w:cs="Arial"/>
        </w:rPr>
        <w:t xml:space="preserve">En ese sentido, la interpretación sistemática de los preceptos del Decreto 1082 de 2015, de acuerdo con el principio de publicidad, inicialmente, indica que las entidades estatales tienen la obligación de publicar todos los documentos que expidan con ocasión del </w:t>
      </w:r>
      <w:r w:rsidRPr="00CD2674">
        <w:rPr>
          <w:rFonts w:ascii="Verdana" w:eastAsia="Arial" w:hAnsi="Verdana" w:cs="Arial"/>
          <w:i/>
          <w:iCs/>
        </w:rPr>
        <w:t>Proceso de Contratación</w:t>
      </w:r>
      <w:r w:rsidRPr="00CD2674">
        <w:rPr>
          <w:rFonts w:ascii="Verdana" w:eastAsia="Arial" w:hAnsi="Verdana" w:cs="Arial"/>
        </w:rPr>
        <w:t>, esto es, desde la fase de planeación hasta “el vencimiento de las garantías de calidad, estabilidad y mantenimiento, o las condiciones de disposición final o recuperación ambiental de las obras o bienes o el vencimiento del plazo, lo que ocurra más tarde”, lo que significa que todos los documentos expedidos por la entidad durante las etapas precontractual, de ejecución y postcontractual deberán ser publicados en SECOP .</w:t>
      </w:r>
    </w:p>
    <w:p w14:paraId="06B0A79E" w14:textId="77777777" w:rsidR="00DF5650" w:rsidRPr="00CD2674" w:rsidRDefault="00DF5650" w:rsidP="00DF5650">
      <w:pPr>
        <w:pStyle w:val="Prrafodelista"/>
        <w:widowControl w:val="0"/>
        <w:numPr>
          <w:ilvl w:val="0"/>
          <w:numId w:val="13"/>
        </w:numPr>
        <w:autoSpaceDE w:val="0"/>
        <w:autoSpaceDN w:val="0"/>
        <w:spacing w:after="120" w:line="240" w:lineRule="auto"/>
        <w:jc w:val="both"/>
        <w:rPr>
          <w:rFonts w:ascii="Verdana" w:eastAsia="Arial" w:hAnsi="Verdana" w:cs="Arial"/>
        </w:rPr>
      </w:pPr>
      <w:bookmarkStart w:id="2" w:name="_Hlk79767574"/>
      <w:r w:rsidRPr="00CD2674">
        <w:rPr>
          <w:rFonts w:ascii="Verdana" w:eastAsia="Arial" w:hAnsi="Verdana" w:cs="Arial"/>
        </w:rPr>
        <w:t xml:space="preserve">En todo caso, de conformidad con la segunda parte del inciso primero del artículo 2.2.1.1.1.7.1 </w:t>
      </w:r>
      <w:r w:rsidRPr="00CD2674">
        <w:rPr>
          <w:rFonts w:ascii="Verdana" w:eastAsia="Arial" w:hAnsi="Verdana" w:cs="Arial"/>
          <w:i/>
          <w:iCs/>
        </w:rPr>
        <w:t>Ibídem</w:t>
      </w:r>
      <w:r w:rsidRPr="00CD2674">
        <w:rPr>
          <w:rFonts w:ascii="Verdana" w:eastAsia="Arial" w:hAnsi="Verdana" w:cs="Arial"/>
        </w:rPr>
        <w:t xml:space="preserve">, el deber de publicar las actuaciones realizadas en el marco del proceso de contratación, en lo referente a las ofertas presentadas, solo se predica de la propuesta del adjudicatario, así que no es necesario publicar las demás. Sin embargo, eso no quiere decir que las ofertas tengan algún tipo de reserva, toda vez que la audiencia de adjudicación es publica y, además, se permite al interesado consultar el expediente del </w:t>
      </w:r>
      <w:r w:rsidRPr="00CD2674">
        <w:rPr>
          <w:rFonts w:ascii="Verdana" w:eastAsia="Arial" w:hAnsi="Verdana" w:cs="Arial"/>
          <w:i/>
          <w:iCs/>
        </w:rPr>
        <w:t>Proceso de Contratación</w:t>
      </w:r>
      <w:r w:rsidRPr="00CD2674">
        <w:rPr>
          <w:rFonts w:ascii="Verdana" w:eastAsia="Arial" w:hAnsi="Verdana" w:cs="Arial"/>
        </w:rPr>
        <w:t>. En ese sentido, si bien la entidad no está obligada a publicar las ofertas de los demás participantes, lo cierto es que, sobre las mismas, no se presenta reserva legal.</w:t>
      </w:r>
      <w:r w:rsidRPr="00CD2674">
        <w:rPr>
          <w:rFonts w:ascii="Verdana" w:eastAsia="Arial" w:hAnsi="Verdana" w:cs="Arial"/>
          <w:i/>
          <w:iCs/>
        </w:rPr>
        <w:t xml:space="preserve"> </w:t>
      </w:r>
      <w:r w:rsidRPr="00CD2674">
        <w:rPr>
          <w:rFonts w:ascii="Verdana" w:eastAsia="Arial" w:hAnsi="Verdana" w:cs="Arial"/>
        </w:rPr>
        <w:t>Del deber de publicidad, de conformidad con la tercera parte del inciso primero de la referida norma, también se encuentran exentos los documentos de las operaciones que se realicen en bolsa de productos.</w:t>
      </w:r>
      <w:bookmarkEnd w:id="2"/>
    </w:p>
    <w:p w14:paraId="421B1E88" w14:textId="77777777" w:rsidR="00DF5650" w:rsidRPr="00CD2674" w:rsidRDefault="00DF5650" w:rsidP="00DF5650">
      <w:pPr>
        <w:pStyle w:val="Prrafodelista"/>
        <w:widowControl w:val="0"/>
        <w:numPr>
          <w:ilvl w:val="0"/>
          <w:numId w:val="13"/>
        </w:numPr>
        <w:autoSpaceDE w:val="0"/>
        <w:autoSpaceDN w:val="0"/>
        <w:spacing w:after="120" w:line="240" w:lineRule="auto"/>
        <w:jc w:val="both"/>
        <w:rPr>
          <w:rFonts w:ascii="Verdana" w:eastAsia="Arial" w:hAnsi="Verdana" w:cs="Arial"/>
        </w:rPr>
      </w:pPr>
      <w:r w:rsidRPr="00CD2674">
        <w:rPr>
          <w:rFonts w:ascii="Verdana" w:eastAsia="Arial" w:hAnsi="Verdana" w:cs="Arial"/>
        </w:rPr>
        <w:lastRenderedPageBreak/>
        <w:t xml:space="preserve">El inciso segundo del artículo 2.2.1.1.1.7.1 </w:t>
      </w:r>
      <w:r w:rsidRPr="00CD2674">
        <w:rPr>
          <w:rFonts w:ascii="Verdana" w:eastAsia="Arial" w:hAnsi="Verdana" w:cs="Arial"/>
          <w:i/>
          <w:iCs/>
        </w:rPr>
        <w:t xml:space="preserve">ejusdem, </w:t>
      </w:r>
      <w:r w:rsidRPr="00CD2674">
        <w:rPr>
          <w:rFonts w:ascii="Verdana" w:eastAsia="Arial" w:hAnsi="Verdana" w:cs="Arial"/>
        </w:rPr>
        <w:t xml:space="preserve">hace explícito el deber de las entidades estatales de publicar el aviso de convocatoria con el objeto de que los interesados formulen observaciones al proyecto de pliego de condiciones o soliciten aclaraciones en los términos del artículo </w:t>
      </w:r>
      <w:r w:rsidRPr="00CD2674">
        <w:rPr>
          <w:rFonts w:ascii="Verdana" w:eastAsia="Calibri" w:hAnsi="Verdana" w:cs="Arial"/>
        </w:rPr>
        <w:t xml:space="preserve">2.2.1.1.2.1.4, deber que hace extensivo a la invitación </w:t>
      </w:r>
      <w:r w:rsidRPr="00CD2674">
        <w:rPr>
          <w:rFonts w:ascii="Verdana" w:eastAsia="Arial" w:hAnsi="Verdana" w:cs="Arial"/>
        </w:rPr>
        <w:t xml:space="preserve">a participar en procesos de mínima cuantía. No obstante, de conformidad con el inciso final del artículo 2.2.1.1.2.1.2 del Decreto 1082 de 2015, la expedición y publicación en el SECOP del aviso de convocatoria no es necesaria en las modalidades de selección de contratación directa y mínima cuantía. </w:t>
      </w:r>
    </w:p>
    <w:p w14:paraId="256F21D9" w14:textId="77777777" w:rsidR="00DF5650" w:rsidRPr="00CD2674" w:rsidRDefault="00DF5650" w:rsidP="00DF5650">
      <w:pPr>
        <w:pStyle w:val="Prrafodelista"/>
        <w:widowControl w:val="0"/>
        <w:numPr>
          <w:ilvl w:val="0"/>
          <w:numId w:val="13"/>
        </w:numPr>
        <w:autoSpaceDE w:val="0"/>
        <w:autoSpaceDN w:val="0"/>
        <w:spacing w:after="120" w:line="240" w:lineRule="auto"/>
        <w:jc w:val="both"/>
        <w:rPr>
          <w:rFonts w:ascii="Verdana" w:eastAsia="Arial" w:hAnsi="Verdana" w:cs="Arial"/>
        </w:rPr>
      </w:pPr>
      <w:r w:rsidRPr="00CD2674">
        <w:rPr>
          <w:rFonts w:ascii="Verdana" w:eastAsia="Calibri" w:hAnsi="Verdana" w:cs="Arial"/>
        </w:rPr>
        <w:t xml:space="preserve">No obstante, conforme se estableció </w:t>
      </w:r>
      <w:r w:rsidRPr="00CD2674">
        <w:rPr>
          <w:rFonts w:ascii="Verdana" w:eastAsia="Calibri" w:hAnsi="Verdana" w:cs="Arial"/>
          <w:i/>
          <w:iCs/>
        </w:rPr>
        <w:t>supra</w:t>
      </w:r>
      <w:r w:rsidRPr="00CD2674">
        <w:rPr>
          <w:rFonts w:ascii="Verdana" w:eastAsia="Calibri" w:hAnsi="Verdana" w:cs="Arial"/>
        </w:rPr>
        <w:t>, el deber de publicar los documentos relacionados con la contratación no se encuentra regulado solamente por las normas del Estatuto General de Contratación  de la Administración Pública, ya que la Ley 1712 de 2014, normativa de la transparencia y del derecho de acceso a la información pública, señala en el literal g) del artículo 11, que todo sujeto obligado debe publicar sus procedimientos, lineamientos, políticas en materia de adquisiciones y compras, así como todos los datos de adjudicación y ejecución de sus contratos. Esta obligación, está reglamentada en el Decreto 1081 de 2015. Este señala, en el artículo 2.1.1.2.1.7, que las entidades deberán publicar en el SECOP la información de su gestión contractual</w:t>
      </w:r>
      <w:r w:rsidRPr="00CD2674">
        <w:rPr>
          <w:rFonts w:ascii="Verdana" w:hAnsi="Verdana"/>
          <w:vertAlign w:val="superscript"/>
        </w:rPr>
        <w:footnoteReference w:id="4"/>
      </w:r>
      <w:r w:rsidRPr="00CD2674">
        <w:rPr>
          <w:rFonts w:ascii="Verdana" w:eastAsia="Calibri" w:hAnsi="Verdana" w:cs="Arial"/>
        </w:rPr>
        <w:t>. Por su parte, el artículo 2.1.1.2.1.9 expresa que las entidades deberán publicar los procedimientos, lineamientos y políticas en materia de adquisición, que no son otros que los previstos en el manual de contratación, el cual debe publicarse en el sitio web del sujeto obligado</w:t>
      </w:r>
      <w:r w:rsidRPr="00CD2674">
        <w:rPr>
          <w:rFonts w:ascii="Verdana" w:hAnsi="Verdana"/>
          <w:vertAlign w:val="superscript"/>
        </w:rPr>
        <w:footnoteReference w:id="5"/>
      </w:r>
      <w:r w:rsidRPr="00CD2674">
        <w:rPr>
          <w:rFonts w:ascii="Verdana" w:eastAsia="Calibri" w:hAnsi="Verdana" w:cs="Arial"/>
        </w:rPr>
        <w:t xml:space="preserve">. El artículo 2.1.1.2.1.10 establece la obligación que tienen las entidades de publicar </w:t>
      </w:r>
      <w:r w:rsidRPr="00CD2674">
        <w:rPr>
          <w:rFonts w:ascii="Verdana" w:eastAsia="Calibri" w:hAnsi="Verdana" w:cs="Arial"/>
        </w:rPr>
        <w:lastRenderedPageBreak/>
        <w:t>en el SECOP el Plan Anual de Adquisiciones</w:t>
      </w:r>
      <w:r w:rsidRPr="00CD2674">
        <w:rPr>
          <w:rFonts w:ascii="Verdana" w:hAnsi="Verdana"/>
          <w:vertAlign w:val="superscript"/>
        </w:rPr>
        <w:footnoteReference w:id="6"/>
      </w:r>
      <w:r w:rsidRPr="00CD2674">
        <w:rPr>
          <w:rFonts w:ascii="Verdana" w:eastAsia="Calibri" w:hAnsi="Verdana" w:cs="Arial"/>
        </w:rPr>
        <w:t xml:space="preserve">. </w:t>
      </w:r>
    </w:p>
    <w:p w14:paraId="33723E86" w14:textId="77777777" w:rsidR="00DF5650" w:rsidRPr="00CD2674" w:rsidRDefault="00DF5650" w:rsidP="00DF5650">
      <w:pPr>
        <w:pStyle w:val="Prrafodelista"/>
        <w:widowControl w:val="0"/>
        <w:numPr>
          <w:ilvl w:val="0"/>
          <w:numId w:val="13"/>
        </w:numPr>
        <w:autoSpaceDE w:val="0"/>
        <w:autoSpaceDN w:val="0"/>
        <w:spacing w:after="120" w:line="240" w:lineRule="auto"/>
        <w:jc w:val="both"/>
        <w:rPr>
          <w:rFonts w:ascii="Verdana" w:eastAsia="Arial" w:hAnsi="Verdana" w:cs="Arial"/>
        </w:rPr>
      </w:pPr>
      <w:r w:rsidRPr="00CD2674">
        <w:rPr>
          <w:rFonts w:ascii="Verdana" w:eastAsia="Calibri" w:hAnsi="Verdana" w:cs="Arial"/>
        </w:rPr>
        <w:t>De otro lado, el artículo 2.1.1.2.1.8, establece los efectos de la obligación contenida en el literal g) del artículo 11 de la Ley 1712 de 2014, en relación con los documentos producidos durante la ejecución del contrato, señalando que se deben publicar las aprobaciones, autorizaciones, requerimientos o informes del supervisor o interventor, que prueben la ejecución del contrato</w:t>
      </w:r>
      <w:r w:rsidRPr="00CD2674">
        <w:rPr>
          <w:rFonts w:ascii="Verdana" w:hAnsi="Verdana"/>
          <w:vertAlign w:val="superscript"/>
        </w:rPr>
        <w:footnoteReference w:id="7"/>
      </w:r>
      <w:r w:rsidRPr="00CD2674">
        <w:rPr>
          <w:rFonts w:ascii="Verdana" w:eastAsia="Calibri" w:hAnsi="Verdana" w:cs="Arial"/>
        </w:rPr>
        <w:t>.</w:t>
      </w:r>
    </w:p>
    <w:p w14:paraId="40D57977" w14:textId="77777777" w:rsidR="00DF5650" w:rsidRPr="00CD2674" w:rsidRDefault="00DF5650" w:rsidP="00DF5650">
      <w:pPr>
        <w:pStyle w:val="Prrafodelista"/>
        <w:widowControl w:val="0"/>
        <w:numPr>
          <w:ilvl w:val="0"/>
          <w:numId w:val="13"/>
        </w:numPr>
        <w:autoSpaceDE w:val="0"/>
        <w:autoSpaceDN w:val="0"/>
        <w:spacing w:after="120" w:line="240" w:lineRule="auto"/>
        <w:jc w:val="both"/>
        <w:rPr>
          <w:rFonts w:ascii="Verdana" w:eastAsia="Arial" w:hAnsi="Verdana" w:cs="Arial"/>
        </w:rPr>
      </w:pPr>
      <w:r w:rsidRPr="00CD2674">
        <w:rPr>
          <w:rFonts w:ascii="Verdana" w:eastAsia="Calibri" w:hAnsi="Verdana" w:cs="Arial"/>
        </w:rPr>
        <w:t xml:space="preserve">En ese orden, el deber de publicar la actividad contractual de las entidades estatales no solo está regulado en el artículo 3 de la Ley 1150 de 2007, y en el </w:t>
      </w:r>
      <w:r w:rsidRPr="00CD2674">
        <w:rPr>
          <w:rFonts w:ascii="Verdana" w:eastAsia="Arial" w:hAnsi="Verdana" w:cs="Arial"/>
        </w:rPr>
        <w:t xml:space="preserve">artículo 2.2.1.1.1.7.1. del Decreto 1082 de 2015, sino también en la Ley 1712 de 2014, y en el Decreto 1081 de 2015, normas que no solo refuerzan y complementan al régimen de contratación estatal en cuanto a la publicidad, sino que lo amplía, para incluir la publicación de los “procedimientos” y la información relativa a la “gestión contractual”, sin el condicionamiento de tratarse exclusivamente de los </w:t>
      </w:r>
      <w:r w:rsidRPr="00CD2674">
        <w:rPr>
          <w:rFonts w:ascii="Verdana" w:eastAsia="Arial" w:hAnsi="Verdana" w:cs="Arial"/>
          <w:i/>
          <w:iCs/>
        </w:rPr>
        <w:t xml:space="preserve">Documentos del Proceso </w:t>
      </w:r>
      <w:r w:rsidRPr="00CD2674">
        <w:rPr>
          <w:rFonts w:ascii="Verdana" w:eastAsia="Arial" w:hAnsi="Verdana" w:cs="Arial"/>
        </w:rPr>
        <w:t>expedidos por la “entidad estatal”.</w:t>
      </w:r>
    </w:p>
    <w:p w14:paraId="58A19B74" w14:textId="77777777" w:rsidR="00DF5650" w:rsidRPr="00CD2674" w:rsidRDefault="00DF5650" w:rsidP="00DF5650">
      <w:pPr>
        <w:pStyle w:val="Prrafodelista"/>
        <w:widowControl w:val="0"/>
        <w:numPr>
          <w:ilvl w:val="0"/>
          <w:numId w:val="13"/>
        </w:numPr>
        <w:autoSpaceDE w:val="0"/>
        <w:autoSpaceDN w:val="0"/>
        <w:spacing w:after="120" w:line="240" w:lineRule="auto"/>
        <w:jc w:val="both"/>
        <w:rPr>
          <w:rFonts w:ascii="Verdana" w:eastAsia="Arial" w:hAnsi="Verdana" w:cs="Arial"/>
        </w:rPr>
      </w:pPr>
      <w:r w:rsidRPr="00CD2674">
        <w:rPr>
          <w:rFonts w:ascii="Verdana" w:eastAsia="Calibri" w:hAnsi="Verdana" w:cs="Arial"/>
        </w:rPr>
        <w:t xml:space="preserve">Las publicaciones que corresponde efectuar a las entidades estatales, como sujetos obligados por la normativa de la transparencia y acceso a la información pública, en particular en lo referente a la información contractual, antes que una derogación o subrogación del contenido del deber de publicidad regulado por el EGCAP, suponen una ampliación de su alcance, que lo hace trascender de la simple publicación de la información “producida por la entidad estatal” asociada a la noción de </w:t>
      </w:r>
      <w:r w:rsidRPr="00CD2674">
        <w:rPr>
          <w:rFonts w:ascii="Verdana" w:eastAsia="Calibri" w:hAnsi="Verdana" w:cs="Arial"/>
          <w:i/>
          <w:iCs/>
        </w:rPr>
        <w:t>Documentos del Proceso.</w:t>
      </w:r>
      <w:r w:rsidRPr="00CD2674">
        <w:rPr>
          <w:rFonts w:ascii="Verdana" w:eastAsia="Calibri" w:hAnsi="Verdana" w:cs="Arial"/>
        </w:rPr>
        <w:t xml:space="preserve"> Esto</w:t>
      </w:r>
      <w:r w:rsidRPr="00CD2674">
        <w:rPr>
          <w:rFonts w:ascii="Verdana" w:eastAsia="Calibri" w:hAnsi="Verdana" w:cs="Arial"/>
          <w:i/>
          <w:iCs/>
        </w:rPr>
        <w:t xml:space="preserve"> </w:t>
      </w:r>
      <w:r w:rsidRPr="00CD2674">
        <w:rPr>
          <w:rFonts w:ascii="Verdana" w:eastAsia="Calibri" w:hAnsi="Verdana" w:cs="Arial"/>
        </w:rPr>
        <w:t xml:space="preserve">en la medida en que, al establecerse la obligación de publicar los “procedimientos” y la “información de la gestión contractual” en el SECOP, se incorporó una visión omnicomprensiva de la actividad contractual que debe publicarse, comoquiera que la noción de procedimiento debe asimilarse a la de </w:t>
      </w:r>
      <w:r w:rsidRPr="00CD2674">
        <w:rPr>
          <w:rFonts w:ascii="Verdana" w:eastAsia="Calibri" w:hAnsi="Verdana" w:cs="Arial"/>
          <w:i/>
          <w:iCs/>
        </w:rPr>
        <w:t>Proceso de Contratación,</w:t>
      </w:r>
      <w:r w:rsidRPr="00CD2674">
        <w:rPr>
          <w:rFonts w:ascii="Verdana" w:eastAsia="Calibri" w:hAnsi="Verdana" w:cs="Arial"/>
        </w:rPr>
        <w:t xml:space="preserve"> lo que </w:t>
      </w:r>
      <w:r w:rsidRPr="00CD2674">
        <w:rPr>
          <w:rFonts w:ascii="Verdana" w:eastAsia="Calibri" w:hAnsi="Verdana" w:cs="Arial"/>
        </w:rPr>
        <w:lastRenderedPageBreak/>
        <w:t xml:space="preserve">implica que la publicación que corresponde a las entidades estatales, como sujetos obligados en el marco de la Ley 1712 de 2014, se extienda a todo el desarrollo del procedimiento, desde la etapa de planeación hasta el vencimiento de las garantías, incluyendo cada actuación que se produzca en ese lapso.  </w:t>
      </w:r>
    </w:p>
    <w:p w14:paraId="4AD58715" w14:textId="77777777" w:rsidR="00DF5650" w:rsidRPr="00CD2674" w:rsidRDefault="00DF5650" w:rsidP="00DF5650">
      <w:pPr>
        <w:pStyle w:val="Prrafodelista"/>
        <w:widowControl w:val="0"/>
        <w:numPr>
          <w:ilvl w:val="0"/>
          <w:numId w:val="13"/>
        </w:numPr>
        <w:autoSpaceDE w:val="0"/>
        <w:autoSpaceDN w:val="0"/>
        <w:spacing w:after="120" w:line="240" w:lineRule="auto"/>
        <w:jc w:val="both"/>
        <w:rPr>
          <w:rFonts w:ascii="Verdana" w:eastAsia="Arial" w:hAnsi="Verdana" w:cs="Arial"/>
        </w:rPr>
      </w:pPr>
      <w:r w:rsidRPr="00CD2674">
        <w:rPr>
          <w:rFonts w:ascii="Verdana" w:eastAsia="Calibri" w:hAnsi="Verdana" w:cs="Arial"/>
        </w:rPr>
        <w:t xml:space="preserve">Esto quiere decir que las Entidades Estatales, además de los documentos y actos administrativos </w:t>
      </w:r>
      <w:r w:rsidRPr="00CD2674">
        <w:rPr>
          <w:rFonts w:ascii="Verdana" w:eastAsia="Calibri" w:hAnsi="Verdana" w:cs="Arial"/>
        </w:rPr>
        <w:softHyphen/>
      </w:r>
      <w:r w:rsidRPr="00CD2674">
        <w:rPr>
          <w:rFonts w:ascii="Verdana" w:eastAsia="Calibri" w:hAnsi="Verdana" w:cs="Arial"/>
        </w:rPr>
        <w:softHyphen/>
        <w:t>–de trámite o definitivos– que expiden durante los procedimientos de contratación</w:t>
      </w:r>
      <w:r w:rsidRPr="00CD2674">
        <w:rPr>
          <w:rFonts w:ascii="Verdana" w:eastAsia="Calibri" w:hAnsi="Verdana" w:cs="Arial"/>
          <w:i/>
          <w:iCs/>
        </w:rPr>
        <w:t>,</w:t>
      </w:r>
      <w:r w:rsidRPr="00CD2674">
        <w:rPr>
          <w:rFonts w:ascii="Verdana" w:eastAsia="Calibri" w:hAnsi="Verdana" w:cs="Arial"/>
        </w:rPr>
        <w:t xml:space="preserve"> deben publicar los documentos que los impulsan y materializan, incluso los que no produce la entidad, pero que hacen parte del procedimiento, como las observaciones formuladas por la ciudadanía al proyecto de pliego de condiciones, o por los proponentes al informe de evaluación, aclaraciones a las ofertas realizadas por los oferentes, y cualquier otra actuación que a pesar de no tener origen en la entidad estatal, ni caber en estricto sentido en lo que se entiende con la expresión</w:t>
      </w:r>
      <w:r w:rsidRPr="00CD2674">
        <w:rPr>
          <w:rFonts w:ascii="Verdana" w:eastAsia="Calibri" w:hAnsi="Verdana" w:cs="Arial"/>
          <w:i/>
          <w:iCs/>
        </w:rPr>
        <w:t xml:space="preserve"> Documento del Proceso, </w:t>
      </w:r>
      <w:r w:rsidRPr="00CD2674">
        <w:rPr>
          <w:rFonts w:ascii="Verdana" w:eastAsia="Calibri" w:hAnsi="Verdana" w:cs="Arial"/>
        </w:rPr>
        <w:t xml:space="preserve">hace parte de su desarrollo, y que por disposición de la Ley de transparencia y acceso a la información pública, debe publicar la entidad de manera proactiva.   </w:t>
      </w:r>
    </w:p>
    <w:p w14:paraId="7CAC1794" w14:textId="77777777" w:rsidR="00DF5650" w:rsidRPr="00CD2674" w:rsidRDefault="00DF5650" w:rsidP="00DF5650">
      <w:pPr>
        <w:pStyle w:val="Prrafodelista"/>
        <w:widowControl w:val="0"/>
        <w:numPr>
          <w:ilvl w:val="0"/>
          <w:numId w:val="13"/>
        </w:numPr>
        <w:autoSpaceDE w:val="0"/>
        <w:autoSpaceDN w:val="0"/>
        <w:spacing w:after="120" w:line="240" w:lineRule="auto"/>
        <w:jc w:val="both"/>
        <w:rPr>
          <w:rFonts w:ascii="Verdana" w:eastAsia="Arial" w:hAnsi="Verdana" w:cs="Arial"/>
        </w:rPr>
      </w:pPr>
      <w:r w:rsidRPr="00CD2674">
        <w:rPr>
          <w:rFonts w:ascii="Verdana" w:eastAsia="Calibri" w:hAnsi="Verdana" w:cs="Arial"/>
        </w:rPr>
        <w:t xml:space="preserve"> Es importante resaltar que al no existir efectos derogatorios o subrogatorios entre las disposiciones del EGCAP y la normativa de la transparencia y el acceso a la información pública, las disposiciones de ambos regímenes deben ser interpretadas de manera complementaria. Esto significa que a pesar de que los documentos objeto de publicación según el Decreto 1082 de 2015, se encuentren recogidos dentro de los que deben ser publicados conforme a la Ley 1712 de 2014 y el Decreto 1081 de 2015, deberán respetarse los aspectos expresamente regulados en cada norma.</w:t>
      </w:r>
    </w:p>
    <w:p w14:paraId="711178A2" w14:textId="77777777" w:rsidR="00DF5650" w:rsidRPr="00CD2674" w:rsidRDefault="00DF5650" w:rsidP="00DF5650">
      <w:pPr>
        <w:pStyle w:val="Prrafodelista"/>
        <w:widowControl w:val="0"/>
        <w:numPr>
          <w:ilvl w:val="0"/>
          <w:numId w:val="13"/>
        </w:numPr>
        <w:autoSpaceDE w:val="0"/>
        <w:autoSpaceDN w:val="0"/>
        <w:spacing w:after="120" w:line="240" w:lineRule="auto"/>
        <w:jc w:val="both"/>
        <w:rPr>
          <w:rFonts w:ascii="Verdana" w:eastAsia="Arial" w:hAnsi="Verdana" w:cs="Arial"/>
        </w:rPr>
      </w:pPr>
      <w:r w:rsidRPr="00CD2674">
        <w:rPr>
          <w:rFonts w:ascii="Verdana" w:eastAsia="Calibri" w:hAnsi="Verdana" w:cs="Arial"/>
        </w:rPr>
        <w:t xml:space="preserve">Esta interpretación de las disposiciones analizadas permite incorporar al EGCAP importantes principios desarrollados por la normativa de la transparencia y acceso a la información pública, como los de </w:t>
      </w:r>
      <w:r w:rsidRPr="00CD2674">
        <w:rPr>
          <w:rFonts w:ascii="Verdana" w:eastAsia="Calibri" w:hAnsi="Verdana" w:cs="Arial"/>
          <w:i/>
          <w:iCs/>
        </w:rPr>
        <w:t>máxima publicidad para un titular universal</w:t>
      </w:r>
      <w:r w:rsidRPr="00CD2674">
        <w:rPr>
          <w:rFonts w:ascii="Verdana" w:hAnsi="Verdana"/>
          <w:i/>
          <w:iCs/>
          <w:vertAlign w:val="superscript"/>
        </w:rPr>
        <w:footnoteReference w:id="8"/>
      </w:r>
      <w:r w:rsidRPr="00CD2674">
        <w:rPr>
          <w:rFonts w:ascii="Verdana" w:eastAsia="Calibri" w:hAnsi="Verdana" w:cs="Arial"/>
          <w:i/>
          <w:iCs/>
        </w:rPr>
        <w:t>, transparencia, facilitación y divulgación proactiva de la información</w:t>
      </w:r>
      <w:r w:rsidRPr="00CD2674">
        <w:rPr>
          <w:rFonts w:ascii="Verdana" w:hAnsi="Verdana"/>
          <w:vertAlign w:val="superscript"/>
        </w:rPr>
        <w:footnoteReference w:id="9"/>
      </w:r>
      <w:r w:rsidRPr="00CD2674">
        <w:rPr>
          <w:rFonts w:ascii="Verdana" w:eastAsia="Calibri" w:hAnsi="Verdana" w:cs="Arial"/>
        </w:rPr>
        <w:t xml:space="preserve">,  porque al ampliarse la actividad </w:t>
      </w:r>
      <w:r w:rsidRPr="00CD2674">
        <w:rPr>
          <w:rFonts w:ascii="Verdana" w:eastAsia="Calibri" w:hAnsi="Verdana" w:cs="Arial"/>
        </w:rPr>
        <w:lastRenderedPageBreak/>
        <w:t xml:space="preserve">contractual sobre la que recae el deber de publicación, se divulga un mayor volumen de información, que de por sí es pública, mediante un mecanismo  como el SECOP, que está concebido para ello por lo que facilita el acceso a la misma desde cualquier dispositivo con acceso a internet, garantizando mayor transparencia, al obligarse a las entidades estatales a publicar sus actuaciones de manera proactiva y rutinaria, lo que permite que la ciudadanía conozca con detalle y actualidad el desarrollo de la gestión contractual de la Administración, fomentándose en la contratación pública estándares altos de transparencia.   </w:t>
      </w:r>
    </w:p>
    <w:p w14:paraId="464DC009" w14:textId="77777777" w:rsidR="00DF5650" w:rsidRPr="00CD2674" w:rsidRDefault="00DF5650" w:rsidP="00DF5650">
      <w:pPr>
        <w:pStyle w:val="Prrafodelista"/>
        <w:widowControl w:val="0"/>
        <w:autoSpaceDE w:val="0"/>
        <w:autoSpaceDN w:val="0"/>
        <w:spacing w:after="120" w:line="240" w:lineRule="auto"/>
        <w:jc w:val="both"/>
        <w:rPr>
          <w:rFonts w:ascii="Verdana" w:eastAsia="Arial" w:hAnsi="Verdana" w:cs="Arial"/>
        </w:rPr>
      </w:pPr>
    </w:p>
    <w:p w14:paraId="2FCCE360" w14:textId="77777777" w:rsidR="00DF5650" w:rsidRPr="00CD2674" w:rsidRDefault="00DF5650" w:rsidP="00DF5650">
      <w:pPr>
        <w:pStyle w:val="Prrafodelista"/>
        <w:numPr>
          <w:ilvl w:val="0"/>
          <w:numId w:val="11"/>
        </w:numPr>
        <w:spacing w:after="0" w:line="240" w:lineRule="auto"/>
        <w:jc w:val="both"/>
        <w:rPr>
          <w:rFonts w:ascii="Verdana" w:eastAsia="Calibri" w:hAnsi="Verdana" w:cs="Arial"/>
        </w:rPr>
      </w:pPr>
      <w:r w:rsidRPr="00CD2674">
        <w:rPr>
          <w:rFonts w:ascii="Verdana" w:eastAsia="Calibri" w:hAnsi="Verdana" w:cs="Arial"/>
        </w:rPr>
        <w:t>Por otra parte debemos mencionar que la Agencia Nacional de Contratación Pública – Colombia Compra Eficiente tiene, dentro de sus competencias, la función de administrar el SECOP , por lo cual desarrolló la primera versión  de la plataforma  –SECOP I–, que solo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623BA600" w14:textId="77777777" w:rsidR="00DF5650" w:rsidRPr="00CD2674" w:rsidRDefault="00DF5650" w:rsidP="00DF5650">
      <w:pPr>
        <w:pStyle w:val="Prrafodelista"/>
        <w:numPr>
          <w:ilvl w:val="0"/>
          <w:numId w:val="11"/>
        </w:numPr>
        <w:spacing w:after="0" w:line="240" w:lineRule="auto"/>
        <w:jc w:val="both"/>
        <w:rPr>
          <w:rFonts w:ascii="Verdana" w:eastAsia="Calibri" w:hAnsi="Verdana" w:cs="Arial"/>
        </w:rPr>
      </w:pPr>
      <w:r w:rsidRPr="00CD2674">
        <w:rPr>
          <w:rFonts w:ascii="Verdana" w:eastAsia="Calibri" w:hAnsi="Verdana" w:cs="Arial"/>
        </w:rPr>
        <w:t xml:space="preserve">El SECOP II, en cambio, es una plataforma transaccional, que permite gestionar en línea los procedimientos de contratación, con cuentas y usuarios asociados a estas, para las entidades y los proveedores, y vista pública para cualquier interesado en hacer seguimiento a la contratación </w:t>
      </w:r>
      <w:r w:rsidRPr="00CD2674">
        <w:rPr>
          <w:rFonts w:ascii="Verdana" w:eastAsia="Calibri" w:hAnsi="Verdana" w:cs="Arial"/>
        </w:rPr>
        <w:lastRenderedPageBreak/>
        <w:t>pública. Desde sus cuentas, las entidades crean, evalúan y adjudican procedimientos de contratación, y gestionan la fase de ejecución e incluso post contractual del contrato. Los proveedores pueden hacer comentarios a los documentos del procedimiento, presentar ofertas, seguir el procedimiento de selección en línea, cargar documentación de la ejecución del contrato, entre otros.</w:t>
      </w:r>
    </w:p>
    <w:p w14:paraId="255C3CD2" w14:textId="77777777" w:rsidR="00DF5650" w:rsidRPr="00CD2674" w:rsidRDefault="00DF5650" w:rsidP="00DF5650">
      <w:pPr>
        <w:pStyle w:val="Prrafodelista"/>
        <w:numPr>
          <w:ilvl w:val="0"/>
          <w:numId w:val="11"/>
        </w:numPr>
        <w:spacing w:after="0" w:line="240" w:lineRule="auto"/>
        <w:jc w:val="both"/>
        <w:rPr>
          <w:rFonts w:ascii="Verdana" w:eastAsia="Calibri" w:hAnsi="Verdana" w:cs="Arial"/>
        </w:rPr>
      </w:pPr>
      <w:r w:rsidRPr="00CD2674">
        <w:rPr>
          <w:rFonts w:ascii="Verdana" w:eastAsia="Calibri" w:hAnsi="Verdana" w:cs="Arial"/>
        </w:rPr>
        <w:t>La Agencia Nacional de Contratación Pública – Colombia Compra Eficiente realizó el despliegue de SECOP II a nivel territorial en el 2018 y 2019, por lo cual se expidió la Circular Externa No. 1 de 2019, sobre la obligatoriedad del uso del SECOP II, que dispuso: “A partir del 1 de enero de 2020, todos los procesos de contratación de las entidades relacionadas en el Anexo 1 de esta circular deberán gestionarse, exclusivamente, en el SECOP ll”. Esta se modificó parcialmente, mediante la Circular Externa No. 3 de 2020. Posteriormente, esta Agencia expidió la Circular Externa No. 1 de 2021, “[…] con el fin de dar directrices sobre la obligatoriedad del uso del SECOP II en 2021”, modificada posteriormente por la Circular No. 2 de 2021, en relación con la publicación de los procesos de contratación bajo la modalidad de concurso de méritos. Asimismo, profirió la Circular Externa No. 2 de 2022, determinando la obligatoriedad del SECOP II a partir de dicho año.</w:t>
      </w:r>
    </w:p>
    <w:p w14:paraId="5E961091" w14:textId="77777777" w:rsidR="00DF5650" w:rsidRPr="00CD2674" w:rsidRDefault="00DF5650" w:rsidP="00DF5650">
      <w:pPr>
        <w:pStyle w:val="Prrafodelista"/>
        <w:numPr>
          <w:ilvl w:val="0"/>
          <w:numId w:val="11"/>
        </w:numPr>
        <w:spacing w:after="0" w:line="240" w:lineRule="auto"/>
        <w:jc w:val="both"/>
        <w:rPr>
          <w:rFonts w:ascii="Verdana" w:eastAsia="Calibri" w:hAnsi="Verdana" w:cs="Arial"/>
        </w:rPr>
      </w:pPr>
      <w:r w:rsidRPr="00CD2674">
        <w:rPr>
          <w:rFonts w:ascii="Verdana" w:eastAsia="Calibri" w:hAnsi="Verdana" w:cs="Arial"/>
        </w:rPr>
        <w:t xml:space="preserve">Sobre la utilización de SECOP II, es necesario aclarar, por tanto, que en esta plataforma el procedimiento contractual se debe desarrollar en línea, conformándose un expediente electrónico. Esto denota una diferencia con el SECOP I, donde el procedimiento es físico, o sea que está integrado por documentos escritos y físicos que se publican para cumplir las obligaciones de las entidades antes señaladas conforme al artículo 2.2.1.1.1.7.1 del Decreto 1082 de 2015. Al existir esa diferencia entre las dos versiones del SECOP, el cumplimiento del deber de publicidad de las actuaciones contractuales en SECOP II tiene ciertas particularidades, como se explica a continuación. </w:t>
      </w:r>
    </w:p>
    <w:p w14:paraId="3E066112" w14:textId="77777777" w:rsidR="00DF5650" w:rsidRPr="00CD2674" w:rsidRDefault="00DF5650" w:rsidP="00DF5650">
      <w:pPr>
        <w:pStyle w:val="Prrafodelista"/>
        <w:numPr>
          <w:ilvl w:val="0"/>
          <w:numId w:val="11"/>
        </w:numPr>
        <w:spacing w:after="0" w:line="240" w:lineRule="auto"/>
        <w:jc w:val="both"/>
        <w:rPr>
          <w:rFonts w:ascii="Verdana" w:eastAsia="Calibri" w:hAnsi="Verdana" w:cs="Arial"/>
        </w:rPr>
      </w:pPr>
      <w:r w:rsidRPr="00CD2674">
        <w:rPr>
          <w:rFonts w:ascii="Verdana" w:eastAsia="Calibri" w:hAnsi="Verdana" w:cs="Arial"/>
        </w:rPr>
        <w:t xml:space="preserve">Si bien los documentos que deben publicarse en el SECOP II corresponden a los mismos que deben publicarse en el SECOP I, esto es, todos los expedidos con ocasión el Proceso de Contratación con excepción de los expresamente excluidos, es decir aquellos que tengan reserva legal, la naturaleza transaccional del SECOP II implica que los procesos contractuales no solo deban ser publicados mediante esta plataforma, sino también gestionados a través de ella, al consistir la mayoría de los hitos contractuales en documentos y actuaciones electrónicas generadas en tiempo real, de tal manera que el proceso contractual avanza en la </w:t>
      </w:r>
      <w:r w:rsidRPr="00CD2674">
        <w:rPr>
          <w:rFonts w:ascii="Verdana" w:eastAsia="Calibri" w:hAnsi="Verdana" w:cs="Arial"/>
        </w:rPr>
        <w:lastRenderedPageBreak/>
        <w:t xml:space="preserve">medida en la que se generen y aprueben estos documentos y actuaciones electrónicas en la plataforma. Esta es una diferencia respecto de los procesos publicados en el SECOP I, en los que primero se generan los documentos escritos y luego se publican en la plataforma dentro del plazo de tres (3) días previsto en el artículo 2.2.1.1.1.7.1 del Decreto 1082 de 2015. Esto significa que el término de tres (3) días para publicar, en la práctica, no opera en las actuaciones generadas de manera electrónica dentro de los procedimientos gestionados a través de SECOP II, comoquiera que tales documentos son creados o expedidos mediante la propia plataforma, razón por la que una vez estos se aprueban deben ser publicados, sin que transcurra el referido término. </w:t>
      </w:r>
    </w:p>
    <w:p w14:paraId="15C6B394" w14:textId="77777777" w:rsidR="00DF5650" w:rsidRPr="00CD2674" w:rsidRDefault="00DF5650" w:rsidP="00DF5650">
      <w:pPr>
        <w:pStyle w:val="Prrafodelista"/>
        <w:numPr>
          <w:ilvl w:val="0"/>
          <w:numId w:val="11"/>
        </w:numPr>
        <w:spacing w:after="0" w:line="240" w:lineRule="auto"/>
        <w:jc w:val="both"/>
        <w:rPr>
          <w:rFonts w:ascii="Verdana" w:eastAsia="Calibri" w:hAnsi="Verdana" w:cs="Arial"/>
        </w:rPr>
      </w:pPr>
      <w:r w:rsidRPr="00CD2674">
        <w:rPr>
          <w:rFonts w:ascii="Verdana" w:eastAsia="Calibri" w:hAnsi="Verdana" w:cs="Arial"/>
        </w:rPr>
        <w:t>En ese orden de ideas, el carácter transaccional de SECOP II, como herramienta que permite no solo publicar sino también gestionar y crear Documentos del Proceso, de manera electrónica al interior de la plataforma, implica que el deber de publicidad respecto de estas actuaciones se cumpla de manera distinta a como sucede en SECOP I, donde los documentos contractuales se expiden primero en un medio físico que posteriormente es cargado en la plataforma.</w:t>
      </w:r>
    </w:p>
    <w:p w14:paraId="02E3E58C" w14:textId="77777777" w:rsidR="00DF5650" w:rsidRPr="00CD2674" w:rsidRDefault="00DF5650" w:rsidP="00DF5650">
      <w:pPr>
        <w:spacing w:after="0" w:line="240" w:lineRule="auto"/>
        <w:jc w:val="both"/>
        <w:rPr>
          <w:rFonts w:ascii="Verdana" w:eastAsia="Calibri" w:hAnsi="Verdana" w:cs="Arial"/>
          <w:lang w:val="es-ES"/>
        </w:rPr>
      </w:pPr>
    </w:p>
    <w:p w14:paraId="7BE9E8D9" w14:textId="77777777" w:rsidR="00DF5650" w:rsidRPr="00CD2674" w:rsidRDefault="00DF5650" w:rsidP="00DF5650">
      <w:pPr>
        <w:spacing w:after="0" w:line="240" w:lineRule="auto"/>
        <w:jc w:val="both"/>
        <w:rPr>
          <w:rFonts w:ascii="Verdana" w:eastAsia="Calibri" w:hAnsi="Verdana" w:cs="Arial"/>
          <w:lang w:val="es-ES"/>
        </w:rPr>
      </w:pPr>
    </w:p>
    <w:p w14:paraId="5796C77E" w14:textId="77777777" w:rsidR="00DF5650" w:rsidRPr="00CD2674" w:rsidRDefault="00DF5650" w:rsidP="00DF5650">
      <w:pPr>
        <w:widowControl w:val="0"/>
        <w:autoSpaceDE w:val="0"/>
        <w:autoSpaceDN w:val="0"/>
        <w:spacing w:after="0" w:line="240" w:lineRule="auto"/>
        <w:jc w:val="both"/>
        <w:rPr>
          <w:rFonts w:ascii="Verdana" w:hAnsi="Verdana" w:cs="Arial"/>
        </w:rPr>
      </w:pPr>
    </w:p>
    <w:p w14:paraId="4E700484" w14:textId="77777777" w:rsidR="00DF5650" w:rsidRPr="00CD2674" w:rsidRDefault="00DF5650" w:rsidP="00DF5650">
      <w:pPr>
        <w:pStyle w:val="Prrafodelista"/>
        <w:numPr>
          <w:ilvl w:val="0"/>
          <w:numId w:val="4"/>
        </w:numPr>
        <w:tabs>
          <w:tab w:val="left" w:pos="142"/>
          <w:tab w:val="left" w:pos="284"/>
        </w:tabs>
        <w:spacing w:after="0" w:line="240" w:lineRule="auto"/>
        <w:ind w:left="0" w:firstLine="0"/>
        <w:contextualSpacing w:val="0"/>
        <w:jc w:val="both"/>
        <w:rPr>
          <w:rFonts w:ascii="Verdana" w:eastAsia="Century Gothic" w:hAnsi="Verdana" w:cs="Century Gothic"/>
          <w:b/>
          <w:bCs/>
        </w:rPr>
      </w:pPr>
      <w:r w:rsidRPr="00CD2674">
        <w:rPr>
          <w:rFonts w:ascii="Verdana" w:eastAsia="Century Gothic" w:hAnsi="Verdana" w:cs="Century Gothic"/>
          <w:b/>
          <w:bCs/>
        </w:rPr>
        <w:t>Referencias normativas, jurisprudenciales y otras fuentes:</w:t>
      </w:r>
    </w:p>
    <w:p w14:paraId="3A6A0A54" w14:textId="77777777" w:rsidR="00DF5650" w:rsidRPr="00CD2674" w:rsidRDefault="00DF5650" w:rsidP="00DF5650">
      <w:pPr>
        <w:widowControl w:val="0"/>
        <w:autoSpaceDE w:val="0"/>
        <w:autoSpaceDN w:val="0"/>
        <w:spacing w:after="0" w:line="240"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F5650" w:rsidRPr="00CD2674" w14:paraId="24B379E7" w14:textId="77777777" w:rsidTr="005C5A17">
        <w:trPr>
          <w:trHeight w:val="870"/>
        </w:trPr>
        <w:tc>
          <w:tcPr>
            <w:tcW w:w="8647" w:type="dxa"/>
          </w:tcPr>
          <w:p w14:paraId="111B1235" w14:textId="77777777" w:rsidR="00DF5650" w:rsidRPr="00B2722B" w:rsidRDefault="00DF5650" w:rsidP="00DF5650">
            <w:pPr>
              <w:pStyle w:val="Prrafodelista"/>
              <w:widowControl w:val="0"/>
              <w:numPr>
                <w:ilvl w:val="0"/>
                <w:numId w:val="8"/>
              </w:numPr>
              <w:tabs>
                <w:tab w:val="left" w:pos="8419"/>
              </w:tabs>
              <w:autoSpaceDE w:val="0"/>
              <w:autoSpaceDN w:val="0"/>
              <w:spacing w:after="120"/>
              <w:contextualSpacing w:val="0"/>
              <w:jc w:val="both"/>
              <w:rPr>
                <w:rFonts w:ascii="Verdana" w:hAnsi="Verdana" w:cs="Arial"/>
              </w:rPr>
            </w:pPr>
            <w:r w:rsidRPr="00CD2674">
              <w:rPr>
                <w:rFonts w:ascii="Verdana" w:eastAsia="Calibri" w:hAnsi="Verdana" w:cs="Arial"/>
                <w:lang w:eastAsia="es-ES"/>
              </w:rPr>
              <w:t>Ley 1150 de 2007</w:t>
            </w:r>
            <w:r>
              <w:rPr>
                <w:rFonts w:ascii="Verdana" w:eastAsia="Calibri" w:hAnsi="Verdana" w:cs="Arial"/>
                <w:lang w:eastAsia="es-ES"/>
              </w:rPr>
              <w:t xml:space="preserve"> </w:t>
            </w:r>
            <w:r w:rsidRPr="00CD2674">
              <w:rPr>
                <w:rFonts w:ascii="Verdana" w:eastAsia="Calibri" w:hAnsi="Verdana" w:cs="Arial"/>
                <w:lang w:eastAsia="es-ES"/>
              </w:rPr>
              <w:t>artículo 3</w:t>
            </w:r>
          </w:p>
          <w:p w14:paraId="56963EFD" w14:textId="77777777" w:rsidR="00DF5650" w:rsidRPr="00EB4E55" w:rsidRDefault="00DF5650" w:rsidP="00DF5650">
            <w:pPr>
              <w:pStyle w:val="Prrafodelista"/>
              <w:widowControl w:val="0"/>
              <w:numPr>
                <w:ilvl w:val="0"/>
                <w:numId w:val="8"/>
              </w:numPr>
              <w:tabs>
                <w:tab w:val="left" w:pos="8419"/>
              </w:tabs>
              <w:autoSpaceDE w:val="0"/>
              <w:autoSpaceDN w:val="0"/>
              <w:spacing w:after="120"/>
              <w:contextualSpacing w:val="0"/>
              <w:jc w:val="both"/>
              <w:rPr>
                <w:rFonts w:ascii="Verdana" w:hAnsi="Verdana" w:cs="Arial"/>
              </w:rPr>
            </w:pPr>
            <w:r w:rsidRPr="00CD2674">
              <w:rPr>
                <w:rFonts w:ascii="Verdana" w:eastAsia="Calibri" w:hAnsi="Verdana" w:cs="Arial"/>
              </w:rPr>
              <w:t>Decreto 1082 de 2015 artículo</w:t>
            </w:r>
            <w:r>
              <w:rPr>
                <w:rFonts w:ascii="Verdana" w:eastAsia="Calibri" w:hAnsi="Verdana" w:cs="Arial"/>
              </w:rPr>
              <w:t xml:space="preserve">s </w:t>
            </w:r>
            <w:r w:rsidRPr="00CD2674">
              <w:rPr>
                <w:rFonts w:ascii="Verdana" w:eastAsia="Arial" w:hAnsi="Verdana" w:cs="Arial"/>
              </w:rPr>
              <w:t>2.2.1.1.1.3.1.</w:t>
            </w:r>
            <w:r>
              <w:rPr>
                <w:rFonts w:ascii="Verdana" w:eastAsia="Arial" w:hAnsi="Verdana" w:cs="Arial"/>
              </w:rPr>
              <w:t xml:space="preserve">, </w:t>
            </w:r>
            <w:r w:rsidRPr="00CD2674">
              <w:rPr>
                <w:rFonts w:ascii="Verdana" w:eastAsia="Calibri" w:hAnsi="Verdana" w:cs="Arial"/>
              </w:rPr>
              <w:t>2.2.1.1.1.7.1</w:t>
            </w:r>
            <w:r>
              <w:rPr>
                <w:rFonts w:ascii="Verdana" w:eastAsia="Calibri" w:hAnsi="Verdana" w:cs="Arial"/>
              </w:rPr>
              <w:t>,</w:t>
            </w:r>
            <w:r w:rsidRPr="00CD2674">
              <w:rPr>
                <w:rFonts w:ascii="Verdana" w:eastAsia="Arial" w:hAnsi="Verdana" w:cs="Arial"/>
              </w:rPr>
              <w:t xml:space="preserve"> </w:t>
            </w:r>
          </w:p>
          <w:p w14:paraId="5CFB518A" w14:textId="77777777" w:rsidR="00DF5650" w:rsidRPr="00B2722B" w:rsidRDefault="00DF5650" w:rsidP="00DF5650">
            <w:pPr>
              <w:pStyle w:val="Prrafodelista"/>
              <w:widowControl w:val="0"/>
              <w:numPr>
                <w:ilvl w:val="0"/>
                <w:numId w:val="8"/>
              </w:numPr>
              <w:tabs>
                <w:tab w:val="left" w:pos="8419"/>
              </w:tabs>
              <w:autoSpaceDE w:val="0"/>
              <w:autoSpaceDN w:val="0"/>
              <w:spacing w:after="120"/>
              <w:contextualSpacing w:val="0"/>
              <w:jc w:val="both"/>
              <w:rPr>
                <w:rFonts w:ascii="Verdana" w:hAnsi="Verdana" w:cs="Arial"/>
              </w:rPr>
            </w:pPr>
            <w:r w:rsidRPr="002D3E33">
              <w:rPr>
                <w:rFonts w:ascii="Verdana" w:eastAsia="Calibri" w:hAnsi="Verdana" w:cs="Arial"/>
                <w:sz w:val="21"/>
                <w:szCs w:val="21"/>
              </w:rPr>
              <w:t>Decreto 1081 de 2015</w:t>
            </w:r>
            <w:r>
              <w:rPr>
                <w:rFonts w:ascii="Verdana" w:eastAsia="Calibri" w:hAnsi="Verdana" w:cs="Arial"/>
                <w:sz w:val="21"/>
                <w:szCs w:val="21"/>
              </w:rPr>
              <w:t xml:space="preserve"> </w:t>
            </w:r>
            <w:r w:rsidRPr="002D3E33">
              <w:rPr>
                <w:rFonts w:ascii="Verdana" w:eastAsia="Calibri" w:hAnsi="Verdana" w:cs="Arial"/>
                <w:sz w:val="21"/>
                <w:szCs w:val="21"/>
              </w:rPr>
              <w:t xml:space="preserve">artículo 2.1.1.2.1.10 </w:t>
            </w:r>
          </w:p>
          <w:p w14:paraId="30740EF9" w14:textId="77777777" w:rsidR="00DF5650" w:rsidRPr="00B2722B" w:rsidRDefault="00DF5650" w:rsidP="005C5A17">
            <w:pPr>
              <w:widowControl w:val="0"/>
              <w:tabs>
                <w:tab w:val="left" w:pos="8419"/>
              </w:tabs>
              <w:autoSpaceDE w:val="0"/>
              <w:autoSpaceDN w:val="0"/>
              <w:spacing w:after="120"/>
              <w:ind w:left="360"/>
              <w:jc w:val="both"/>
              <w:rPr>
                <w:rFonts w:ascii="Verdana" w:hAnsi="Verdana" w:cs="Arial"/>
              </w:rPr>
            </w:pPr>
          </w:p>
          <w:p w14:paraId="6F6F3940" w14:textId="77777777" w:rsidR="00DF5650" w:rsidRPr="00CD2674" w:rsidRDefault="00DF5650" w:rsidP="00DF5650">
            <w:pPr>
              <w:pStyle w:val="Prrafodelista"/>
              <w:widowControl w:val="0"/>
              <w:numPr>
                <w:ilvl w:val="0"/>
                <w:numId w:val="8"/>
              </w:numPr>
              <w:tabs>
                <w:tab w:val="left" w:pos="8419"/>
              </w:tabs>
              <w:autoSpaceDE w:val="0"/>
              <w:autoSpaceDN w:val="0"/>
              <w:spacing w:after="120"/>
              <w:contextualSpacing w:val="0"/>
              <w:jc w:val="both"/>
              <w:rPr>
                <w:rFonts w:ascii="Verdana" w:hAnsi="Verdana" w:cs="Arial"/>
              </w:rPr>
            </w:pPr>
            <w:r w:rsidRPr="00CD2674">
              <w:rPr>
                <w:rFonts w:ascii="Verdana" w:hAnsi="Verdana" w:cs="Arial"/>
              </w:rPr>
              <w:t xml:space="preserve">Circular Externa Única del 27 de diciembre de 2023. Disponible en: </w:t>
            </w:r>
            <w:hyperlink r:id="rId12" w:history="1">
              <w:r w:rsidRPr="00CD2674">
                <w:rPr>
                  <w:rStyle w:val="Hipervnculo"/>
                  <w:rFonts w:ascii="Verdana" w:hAnsi="Verdana" w:cs="Arial"/>
                </w:rPr>
                <w:t>https://www.colombiacompra.gov.co/sites/cce_public/files/cce_circulares/circular_externa_unica_version_3_vf49.pdf</w:t>
              </w:r>
            </w:hyperlink>
            <w:r w:rsidRPr="00CD2674">
              <w:rPr>
                <w:rFonts w:ascii="Verdana" w:hAnsi="Verdana" w:cs="Arial"/>
              </w:rPr>
              <w:t xml:space="preserve"> </w:t>
            </w:r>
          </w:p>
          <w:p w14:paraId="18F44171" w14:textId="77777777" w:rsidR="00DF5650" w:rsidRPr="00CD2674" w:rsidRDefault="00DF5650" w:rsidP="00DF5650">
            <w:pPr>
              <w:pStyle w:val="Prrafodelista"/>
              <w:widowControl w:val="0"/>
              <w:numPr>
                <w:ilvl w:val="0"/>
                <w:numId w:val="8"/>
              </w:numPr>
              <w:autoSpaceDE w:val="0"/>
              <w:autoSpaceDN w:val="0"/>
              <w:spacing w:after="120"/>
              <w:contextualSpacing w:val="0"/>
              <w:jc w:val="both"/>
              <w:rPr>
                <w:rFonts w:ascii="Verdana" w:hAnsi="Verdana" w:cs="Arial"/>
              </w:rPr>
            </w:pPr>
            <w:r w:rsidRPr="00CD2674">
              <w:rPr>
                <w:rFonts w:ascii="Verdana" w:hAnsi="Verdana" w:cs="Arial"/>
              </w:rPr>
              <w:t xml:space="preserve">Resolución </w:t>
            </w:r>
            <w:r w:rsidRPr="00CD2674">
              <w:rPr>
                <w:rFonts w:ascii="Verdana" w:eastAsia="Times New Roman" w:hAnsi="Verdana" w:cs="Arial"/>
                <w:lang w:val="es-ES_tradnl" w:eastAsia="es-ES"/>
              </w:rPr>
              <w:t xml:space="preserve">219 de 2021 de la Agencia Nacional de Contratación Pública–Colombia Compra Eficiente–. Disponible en: </w:t>
            </w:r>
            <w:hyperlink r:id="rId13" w:history="1">
              <w:r w:rsidRPr="00CD2674">
                <w:rPr>
                  <w:rStyle w:val="Hipervnculo"/>
                  <w:rFonts w:ascii="Verdana" w:eastAsia="Times New Roman" w:hAnsi="Verdana" w:cs="Arial"/>
                  <w:lang w:val="es-ES_tradnl" w:eastAsia="es-ES"/>
                </w:rPr>
                <w:t>https://www.colombiacompra.gov.co/content/04-documentos-tipo-de-licitacion-de-obra-publica-para-proyectos-de-infraestructura-social</w:t>
              </w:r>
            </w:hyperlink>
            <w:r w:rsidRPr="00CD2674">
              <w:rPr>
                <w:rFonts w:ascii="Verdana" w:eastAsia="Times New Roman" w:hAnsi="Verdana" w:cs="Arial"/>
                <w:lang w:val="es-ES_tradnl" w:eastAsia="es-ES"/>
              </w:rPr>
              <w:t xml:space="preserve"> </w:t>
            </w:r>
          </w:p>
          <w:p w14:paraId="6D7F42D2" w14:textId="77777777" w:rsidR="00DF5650" w:rsidRPr="00CD2674" w:rsidRDefault="00DF5650" w:rsidP="00DF5650">
            <w:pPr>
              <w:pStyle w:val="Prrafodelista"/>
              <w:widowControl w:val="0"/>
              <w:numPr>
                <w:ilvl w:val="0"/>
                <w:numId w:val="8"/>
              </w:numPr>
              <w:autoSpaceDE w:val="0"/>
              <w:autoSpaceDN w:val="0"/>
              <w:spacing w:after="120"/>
              <w:contextualSpacing w:val="0"/>
              <w:jc w:val="both"/>
              <w:rPr>
                <w:rFonts w:ascii="Verdana" w:hAnsi="Verdana" w:cs="Arial"/>
              </w:rPr>
            </w:pPr>
            <w:r w:rsidRPr="00CD2674">
              <w:rPr>
                <w:rFonts w:ascii="Verdana" w:hAnsi="Verdana" w:cs="Arial"/>
              </w:rPr>
              <w:t xml:space="preserve">Jurisprudencia del Consejo de Estado. Disponible en: </w:t>
            </w:r>
            <w:hyperlink r:id="rId14" w:history="1">
              <w:r w:rsidRPr="00CD2674">
                <w:rPr>
                  <w:rStyle w:val="Hipervnculo"/>
                  <w:rFonts w:ascii="Verdana" w:hAnsi="Verdana" w:cs="Arial"/>
                </w:rPr>
                <w:t>https://relatoria.colombiacompra.gov.co/providencias-consejo-de-estado/</w:t>
              </w:r>
            </w:hyperlink>
            <w:r w:rsidRPr="00CD2674">
              <w:rPr>
                <w:rFonts w:ascii="Verdana" w:hAnsi="Verdana" w:cs="Arial"/>
              </w:rPr>
              <w:t xml:space="preserve"> </w:t>
            </w:r>
          </w:p>
          <w:p w14:paraId="46336A06" w14:textId="77777777" w:rsidR="00DF5650" w:rsidRPr="00CD2674" w:rsidRDefault="00DF5650" w:rsidP="00DF5650">
            <w:pPr>
              <w:pStyle w:val="Prrafodelista"/>
              <w:widowControl w:val="0"/>
              <w:numPr>
                <w:ilvl w:val="0"/>
                <w:numId w:val="8"/>
              </w:numPr>
              <w:autoSpaceDE w:val="0"/>
              <w:autoSpaceDN w:val="0"/>
              <w:spacing w:after="120"/>
              <w:contextualSpacing w:val="0"/>
              <w:jc w:val="both"/>
              <w:rPr>
                <w:rFonts w:ascii="Verdana" w:hAnsi="Verdana" w:cs="Arial"/>
              </w:rPr>
            </w:pPr>
            <w:r w:rsidRPr="00CD2674">
              <w:rPr>
                <w:rFonts w:ascii="Verdana" w:hAnsi="Verdana" w:cs="Arial"/>
              </w:rPr>
              <w:t>Guías y manuales expedidos por la ANCP-CCE. Disponible en:</w:t>
            </w:r>
            <w:r w:rsidRPr="00CD2674">
              <w:rPr>
                <w:rFonts w:ascii="Verdana" w:hAnsi="Verdana"/>
              </w:rPr>
              <w:t xml:space="preserve"> </w:t>
            </w:r>
            <w:hyperlink r:id="rId15" w:history="1">
              <w:r w:rsidRPr="00CD2674">
                <w:rPr>
                  <w:rStyle w:val="Hipervnculo"/>
                  <w:rFonts w:ascii="Verdana" w:hAnsi="Verdana" w:cs="Arial"/>
                </w:rPr>
                <w:t>https://www.colombiacompra.gov.co/manuales-guias-y-pliegos-tipo/manuales-y-guias</w:t>
              </w:r>
            </w:hyperlink>
            <w:r w:rsidRPr="00CD2674">
              <w:rPr>
                <w:rFonts w:ascii="Verdana" w:hAnsi="Verdana" w:cs="Arial"/>
              </w:rPr>
              <w:t xml:space="preserve"> </w:t>
            </w:r>
          </w:p>
          <w:p w14:paraId="3D774C36" w14:textId="77777777" w:rsidR="00DF5650" w:rsidRPr="00CD2674" w:rsidRDefault="00DF5650" w:rsidP="005C5A17">
            <w:pPr>
              <w:widowControl w:val="0"/>
              <w:autoSpaceDE w:val="0"/>
              <w:autoSpaceDN w:val="0"/>
              <w:spacing w:after="120"/>
              <w:ind w:left="360"/>
              <w:jc w:val="both"/>
              <w:rPr>
                <w:rFonts w:ascii="Verdana" w:hAnsi="Verdana" w:cs="Arial"/>
              </w:rPr>
            </w:pPr>
          </w:p>
        </w:tc>
      </w:tr>
    </w:tbl>
    <w:p w14:paraId="145854EF" w14:textId="77777777" w:rsidR="00DF5650" w:rsidRPr="00CD2674" w:rsidRDefault="00DF5650" w:rsidP="00DF5650">
      <w:pPr>
        <w:widowControl w:val="0"/>
        <w:autoSpaceDE w:val="0"/>
        <w:autoSpaceDN w:val="0"/>
        <w:spacing w:after="0" w:line="240" w:lineRule="auto"/>
        <w:jc w:val="both"/>
        <w:rPr>
          <w:rFonts w:ascii="Verdana" w:hAnsi="Verdana" w:cs="Arial"/>
        </w:rPr>
      </w:pPr>
    </w:p>
    <w:p w14:paraId="1BBF0947" w14:textId="77777777" w:rsidR="00DF5650" w:rsidRPr="00CD2674" w:rsidRDefault="00DF5650" w:rsidP="00DF5650">
      <w:pPr>
        <w:widowControl w:val="0"/>
        <w:autoSpaceDE w:val="0"/>
        <w:autoSpaceDN w:val="0"/>
        <w:spacing w:after="0" w:line="240" w:lineRule="auto"/>
        <w:jc w:val="both"/>
        <w:rPr>
          <w:rFonts w:ascii="Verdana" w:hAnsi="Verdana" w:cs="Arial"/>
        </w:rPr>
      </w:pPr>
    </w:p>
    <w:p w14:paraId="0AD3A1F8" w14:textId="77777777" w:rsidR="00DF5650" w:rsidRPr="00CD2674" w:rsidRDefault="00DF5650" w:rsidP="00DF5650">
      <w:pPr>
        <w:widowControl w:val="0"/>
        <w:autoSpaceDE w:val="0"/>
        <w:autoSpaceDN w:val="0"/>
        <w:spacing w:after="0" w:line="240" w:lineRule="auto"/>
        <w:jc w:val="both"/>
        <w:rPr>
          <w:rFonts w:ascii="Verdana" w:hAnsi="Verdana" w:cs="Arial"/>
        </w:rPr>
      </w:pPr>
    </w:p>
    <w:p w14:paraId="73F94AE8" w14:textId="77777777" w:rsidR="00DF5650" w:rsidRPr="00CD2674" w:rsidRDefault="00DF5650" w:rsidP="00DF5650">
      <w:pPr>
        <w:pStyle w:val="Prrafodelista"/>
        <w:numPr>
          <w:ilvl w:val="0"/>
          <w:numId w:val="4"/>
        </w:numPr>
        <w:tabs>
          <w:tab w:val="left" w:pos="142"/>
          <w:tab w:val="left" w:pos="284"/>
        </w:tabs>
        <w:spacing w:after="0" w:line="240" w:lineRule="auto"/>
        <w:ind w:left="0" w:firstLine="0"/>
        <w:contextualSpacing w:val="0"/>
        <w:jc w:val="both"/>
        <w:rPr>
          <w:rFonts w:ascii="Verdana" w:eastAsia="Century Gothic" w:hAnsi="Verdana" w:cs="Century Gothic"/>
          <w:b/>
          <w:bCs/>
        </w:rPr>
      </w:pPr>
      <w:r w:rsidRPr="00CD2674">
        <w:rPr>
          <w:rFonts w:ascii="Verdana" w:eastAsia="Century Gothic" w:hAnsi="Verdana" w:cs="Century Gothic"/>
          <w:b/>
          <w:bCs/>
        </w:rPr>
        <w:t>Doctrina de la Agencia Nacional de Contratación Pública:</w:t>
      </w:r>
    </w:p>
    <w:p w14:paraId="3DBB9FBE" w14:textId="77777777" w:rsidR="00DF5650" w:rsidRPr="00CD2674" w:rsidRDefault="00DF5650" w:rsidP="00DF5650">
      <w:pPr>
        <w:widowControl w:val="0"/>
        <w:autoSpaceDE w:val="0"/>
        <w:autoSpaceDN w:val="0"/>
        <w:spacing w:after="0" w:line="240" w:lineRule="auto"/>
        <w:jc w:val="both"/>
        <w:rPr>
          <w:rFonts w:ascii="Verdana" w:hAnsi="Verdana" w:cs="Arial"/>
        </w:rPr>
      </w:pPr>
    </w:p>
    <w:p w14:paraId="61EC006E" w14:textId="77777777" w:rsidR="00DF5650" w:rsidRPr="00CD2674" w:rsidRDefault="00DF5650" w:rsidP="00DF5650">
      <w:pPr>
        <w:widowControl w:val="0"/>
        <w:autoSpaceDE w:val="0"/>
        <w:autoSpaceDN w:val="0"/>
        <w:spacing w:after="0" w:line="240" w:lineRule="auto"/>
        <w:jc w:val="both"/>
        <w:rPr>
          <w:rFonts w:ascii="Verdana" w:eastAsia="Calibri" w:hAnsi="Verdana"/>
        </w:rPr>
      </w:pPr>
      <w:r w:rsidRPr="00CD2674">
        <w:rPr>
          <w:rFonts w:ascii="Verdana" w:eastAsia="Calibri" w:hAnsi="Verdana"/>
        </w:rPr>
        <w:t xml:space="preserve">Se ha pronunciado sobre el carácter transaccional del SECOP II, entro otros pronunciamientos, en los conceptos C−433 de 24 de julio de 2020, C−468 del 24 de julio de 2020, CU-367 del 23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C-472 del 6 de septiembre de 2021, C-049 del 07 de marzo de 2022, C-124 del 22 de marzo de 2022, C-132 del 28 de marzo de 2022, C-348 del 13 de junio de 2022, C-480 del 19 de julio de 2022, C-510 del 08 de agosto de 2022, C-497 del 24 de agosto de 2022, C-508 del 30 de agosto de 2022, C-552 del 01 de septiembre de 2022, C- 568 del 19 de septiembre de 2022 ,C-596 del 21 de septiembre de 2022 y el  C-890 de 2023 del 13 de febrero de 2023. Estos y otros conceptos se encuentran disponibles para consulta en el Sistema de relatoría de la Agencia, al cual se puede acceder a través del siguiente enlace: </w:t>
      </w:r>
    </w:p>
    <w:p w14:paraId="35D975F2" w14:textId="77777777" w:rsidR="00DF5650" w:rsidRPr="00CD2674" w:rsidRDefault="00DF5650" w:rsidP="00DF5650">
      <w:pPr>
        <w:widowControl w:val="0"/>
        <w:autoSpaceDE w:val="0"/>
        <w:autoSpaceDN w:val="0"/>
        <w:spacing w:after="0" w:line="240" w:lineRule="auto"/>
        <w:jc w:val="both"/>
        <w:rPr>
          <w:rFonts w:ascii="Verdana" w:eastAsia="Calibri" w:hAnsi="Verdana"/>
          <w:lang w:val="es-ES_tradnl"/>
        </w:rPr>
      </w:pPr>
    </w:p>
    <w:p w14:paraId="728E93A9" w14:textId="77777777" w:rsidR="00DF5650" w:rsidRPr="00CD2674" w:rsidRDefault="0005481D" w:rsidP="00DF5650">
      <w:pPr>
        <w:widowControl w:val="0"/>
        <w:autoSpaceDE w:val="0"/>
        <w:autoSpaceDN w:val="0"/>
        <w:spacing w:after="0" w:line="240" w:lineRule="auto"/>
        <w:jc w:val="both"/>
        <w:rPr>
          <w:rFonts w:ascii="Verdana" w:eastAsia="Calibri" w:hAnsi="Verdana"/>
          <w:lang w:val="es-ES_tradnl"/>
        </w:rPr>
      </w:pPr>
      <w:hyperlink r:id="rId16" w:history="1">
        <w:r w:rsidR="00DF5650" w:rsidRPr="00CD2674">
          <w:rPr>
            <w:rStyle w:val="Hipervnculo"/>
            <w:rFonts w:ascii="Verdana" w:eastAsia="Calibri" w:hAnsi="Verdana"/>
            <w:lang w:val="es-ES_tradnl"/>
          </w:rPr>
          <w:t>https://relatoria.colombiacompra.gov.co/busqueda/conceptos</w:t>
        </w:r>
      </w:hyperlink>
      <w:r w:rsidR="00DF5650" w:rsidRPr="00CD2674">
        <w:rPr>
          <w:rFonts w:ascii="Verdana" w:eastAsia="Calibri" w:hAnsi="Verdana"/>
          <w:lang w:val="es-ES_tradnl"/>
        </w:rPr>
        <w:t xml:space="preserve">. </w:t>
      </w:r>
    </w:p>
    <w:p w14:paraId="62C3B6EC" w14:textId="77777777" w:rsidR="00DF5650" w:rsidRPr="00CD2674" w:rsidRDefault="00DF5650" w:rsidP="00DF5650">
      <w:pPr>
        <w:widowControl w:val="0"/>
        <w:autoSpaceDE w:val="0"/>
        <w:autoSpaceDN w:val="0"/>
        <w:spacing w:after="0" w:line="240" w:lineRule="auto"/>
        <w:jc w:val="both"/>
        <w:rPr>
          <w:rFonts w:ascii="Verdana" w:eastAsia="Calibri" w:hAnsi="Verdana"/>
          <w:lang w:val="es-ES_tradnl"/>
        </w:rPr>
      </w:pPr>
    </w:p>
    <w:p w14:paraId="094D77BF" w14:textId="77777777" w:rsidR="00DF5650" w:rsidRPr="00CD2674" w:rsidRDefault="00DF5650" w:rsidP="00DF5650">
      <w:pPr>
        <w:widowControl w:val="0"/>
        <w:autoSpaceDE w:val="0"/>
        <w:autoSpaceDN w:val="0"/>
        <w:spacing w:after="0" w:line="240" w:lineRule="auto"/>
        <w:jc w:val="both"/>
        <w:rPr>
          <w:rFonts w:ascii="Verdana" w:eastAsia="Calibri" w:hAnsi="Verdana"/>
        </w:rPr>
      </w:pPr>
      <w:r w:rsidRPr="00CD2674">
        <w:rPr>
          <w:rFonts w:ascii="Verdana" w:eastAsia="Calibri" w:hAnsi="Verdana"/>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7" w:tooltip="Dirección URL original: https://relatoria.colombiacompra.gov.co/. Haga clic o pulse si confía en este vínculo." w:history="1">
        <w:r w:rsidRPr="00CD2674">
          <w:rPr>
            <w:rStyle w:val="Hipervnculo"/>
            <w:rFonts w:ascii="Verdana" w:eastAsia="Calibri" w:hAnsi="Verdana"/>
          </w:rPr>
          <w:t>https://relatoria.colombiacompra.gov.co/</w:t>
        </w:r>
      </w:hyperlink>
      <w:r w:rsidRPr="00CD2674">
        <w:rPr>
          <w:rFonts w:ascii="Verdana" w:eastAsia="Calibri" w:hAnsi="Verdana"/>
        </w:rPr>
        <w:t> . Te invitamos también a revisar la tercera edición del  Boletín de Relatoría de 2024 en el cual podrás consultar en detalle el marco normativo de documentos tipo: </w:t>
      </w:r>
      <w:hyperlink r:id="rId18" w:tooltip="Dirección URL original: https://www.colombiacompra.gov.co/sites/cce_public/files/files_2020/boletin_de_realtoria_iii.pdf. Haga clic o pulse si confía en este vínculo." w:history="1">
        <w:r w:rsidRPr="00CD2674">
          <w:rPr>
            <w:rStyle w:val="Hipervnculo"/>
            <w:rFonts w:ascii="Verdana" w:eastAsia="Calibri" w:hAnsi="Verdana"/>
          </w:rPr>
          <w:t>https://www.colombiacompra.gov.co/sites/cce_public/files/files_2020/boletin_de_realtoria_iii.pdf</w:t>
        </w:r>
      </w:hyperlink>
      <w:r w:rsidRPr="00CD2674">
        <w:rPr>
          <w:rFonts w:ascii="Verdana" w:eastAsia="Calibri" w:hAnsi="Verdana"/>
        </w:rPr>
        <w:t> ".  </w:t>
      </w:r>
    </w:p>
    <w:p w14:paraId="7BF77F19" w14:textId="77777777" w:rsidR="00DF5650" w:rsidRPr="00CD2674" w:rsidRDefault="00DF5650" w:rsidP="00DF5650">
      <w:pPr>
        <w:widowControl w:val="0"/>
        <w:autoSpaceDE w:val="0"/>
        <w:autoSpaceDN w:val="0"/>
        <w:spacing w:after="0" w:line="240" w:lineRule="auto"/>
        <w:jc w:val="both"/>
        <w:rPr>
          <w:rFonts w:ascii="Verdana" w:eastAsia="Calibri" w:hAnsi="Verdana" w:cs="Arial"/>
        </w:rPr>
      </w:pPr>
    </w:p>
    <w:p w14:paraId="60D3E26F" w14:textId="77777777" w:rsidR="00DF5650" w:rsidRPr="00CD2674" w:rsidRDefault="00DF5650" w:rsidP="00DF5650">
      <w:pPr>
        <w:spacing w:after="0" w:line="240" w:lineRule="auto"/>
        <w:jc w:val="both"/>
        <w:rPr>
          <w:rFonts w:ascii="Verdana" w:eastAsia="Calibri" w:hAnsi="Verdana" w:cs="Arial"/>
          <w:lang w:val="es-ES_tradnl"/>
        </w:rPr>
      </w:pPr>
      <w:r w:rsidRPr="00CD2674">
        <w:rPr>
          <w:rFonts w:ascii="Verdana" w:eastAsia="Calibri" w:hAnsi="Verdana" w:cs="Arial"/>
          <w:lang w:val="es-ES_tradnl"/>
        </w:rPr>
        <w:t xml:space="preserve">Por último, lo invitamos a seguirnos en las redes sociales en las cuales se difunde información institucional: </w:t>
      </w:r>
    </w:p>
    <w:p w14:paraId="3BA29C02" w14:textId="77777777" w:rsidR="00DF5650" w:rsidRPr="00CD2674" w:rsidRDefault="00DF5650" w:rsidP="00DF5650">
      <w:pPr>
        <w:spacing w:after="0" w:line="240" w:lineRule="auto"/>
        <w:jc w:val="both"/>
        <w:rPr>
          <w:rFonts w:ascii="Verdana" w:eastAsia="Calibri" w:hAnsi="Verdana" w:cs="Arial"/>
          <w:lang w:val="es-ES_tradnl"/>
        </w:rPr>
      </w:pPr>
    </w:p>
    <w:p w14:paraId="6847D0D7" w14:textId="77777777" w:rsidR="00DF5650" w:rsidRPr="00CD2674" w:rsidRDefault="00DF5650" w:rsidP="00DF5650">
      <w:pPr>
        <w:spacing w:after="0" w:line="240" w:lineRule="auto"/>
        <w:jc w:val="both"/>
        <w:rPr>
          <w:rFonts w:ascii="Verdana" w:eastAsia="Calibri" w:hAnsi="Verdana" w:cs="Arial"/>
          <w:lang w:val="es-ES_tradnl"/>
        </w:rPr>
      </w:pPr>
      <w:r w:rsidRPr="00CD2674">
        <w:rPr>
          <w:rFonts w:ascii="Verdana" w:eastAsia="Calibri" w:hAnsi="Verdana" w:cs="Arial"/>
          <w:lang w:val="es-ES_tradnl"/>
        </w:rPr>
        <w:t xml:space="preserve">Twitter: @colombiacompra </w:t>
      </w:r>
    </w:p>
    <w:p w14:paraId="2623B953" w14:textId="77777777" w:rsidR="00DF5650" w:rsidRPr="00CD2674" w:rsidRDefault="00DF5650" w:rsidP="00DF5650">
      <w:pPr>
        <w:spacing w:after="0" w:line="240" w:lineRule="auto"/>
        <w:jc w:val="both"/>
        <w:rPr>
          <w:rFonts w:ascii="Verdana" w:eastAsia="Calibri" w:hAnsi="Verdana" w:cs="Arial"/>
          <w:lang w:val="es-ES"/>
        </w:rPr>
      </w:pPr>
      <w:r w:rsidRPr="7EF62F61">
        <w:rPr>
          <w:rFonts w:ascii="Verdana" w:eastAsia="Calibri" w:hAnsi="Verdana" w:cs="Arial"/>
          <w:lang w:val="es-ES"/>
        </w:rPr>
        <w:t>Facebook: ColombiaCompraEficiente</w:t>
      </w:r>
    </w:p>
    <w:p w14:paraId="43896A3D" w14:textId="77777777" w:rsidR="00DF5650" w:rsidRPr="00CD2674" w:rsidRDefault="00DF5650" w:rsidP="00DF5650">
      <w:pPr>
        <w:spacing w:after="0" w:line="240" w:lineRule="auto"/>
        <w:jc w:val="both"/>
        <w:rPr>
          <w:rFonts w:ascii="Verdana" w:eastAsia="Calibri" w:hAnsi="Verdana" w:cs="Arial"/>
          <w:lang w:val="es-ES_tradnl"/>
        </w:rPr>
      </w:pPr>
      <w:r w:rsidRPr="00CD2674">
        <w:rPr>
          <w:rFonts w:ascii="Verdana" w:eastAsia="Calibri" w:hAnsi="Verdana" w:cs="Arial"/>
          <w:lang w:val="es-ES_tradnl"/>
        </w:rPr>
        <w:t>LinkedIn: Agencia Nacional de Contratación Pública - Colombia Compra Eficiente Instagram: @colombiacompraeficiente_cce</w:t>
      </w:r>
    </w:p>
    <w:p w14:paraId="09BD6BC6" w14:textId="77777777" w:rsidR="00DF5650" w:rsidRPr="00CD2674" w:rsidRDefault="00DF5650" w:rsidP="00DF5650">
      <w:pPr>
        <w:widowControl w:val="0"/>
        <w:autoSpaceDE w:val="0"/>
        <w:autoSpaceDN w:val="0"/>
        <w:spacing w:after="0" w:line="240" w:lineRule="auto"/>
        <w:jc w:val="both"/>
        <w:rPr>
          <w:rFonts w:ascii="Verdana" w:eastAsia="Calibri" w:hAnsi="Verdana" w:cs="Arial"/>
          <w:lang w:val="es-ES_tradnl"/>
        </w:rPr>
      </w:pPr>
    </w:p>
    <w:p w14:paraId="42DC3497" w14:textId="77777777" w:rsidR="00DF5650" w:rsidRPr="00CD2674" w:rsidRDefault="00DF5650" w:rsidP="00DF5650">
      <w:pPr>
        <w:widowControl w:val="0"/>
        <w:autoSpaceDE w:val="0"/>
        <w:autoSpaceDN w:val="0"/>
        <w:spacing w:after="0" w:line="240" w:lineRule="auto"/>
        <w:jc w:val="both"/>
        <w:rPr>
          <w:rFonts w:ascii="Verdana" w:hAnsi="Verdana" w:cs="Arial"/>
          <w:lang w:val="es-ES_tradnl"/>
        </w:rPr>
      </w:pPr>
      <w:r w:rsidRPr="00CD2674">
        <w:rPr>
          <w:rFonts w:ascii="Verdana" w:eastAsia="Calibri" w:hAnsi="Verdana"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w:t>
      </w:r>
      <w:r w:rsidRPr="00CD2674">
        <w:rPr>
          <w:rFonts w:ascii="Verdana" w:hAnsi="Verdana" w:cs="Arial"/>
          <w:lang w:val="es-ES_tradnl"/>
        </w:rPr>
        <w:t>2 de 2015.</w:t>
      </w:r>
    </w:p>
    <w:p w14:paraId="14DA5E66" w14:textId="77777777" w:rsidR="00DF5650" w:rsidRPr="00CD2674" w:rsidRDefault="00DF5650" w:rsidP="00DF5650">
      <w:pPr>
        <w:widowControl w:val="0"/>
        <w:autoSpaceDE w:val="0"/>
        <w:autoSpaceDN w:val="0"/>
        <w:spacing w:after="0" w:line="240" w:lineRule="auto"/>
        <w:jc w:val="both"/>
        <w:rPr>
          <w:rFonts w:ascii="Verdana" w:hAnsi="Verdana" w:cs="Arial"/>
        </w:rPr>
      </w:pPr>
    </w:p>
    <w:p w14:paraId="186424DB" w14:textId="77777777" w:rsidR="00DF5650" w:rsidRPr="00CD2674" w:rsidRDefault="00DF5650" w:rsidP="00DF5650">
      <w:pPr>
        <w:spacing w:after="0" w:line="240" w:lineRule="auto"/>
        <w:rPr>
          <w:rFonts w:ascii="Verdana" w:hAnsi="Verdana" w:cs="Arial"/>
          <w:lang w:eastAsia="es-CO"/>
        </w:rPr>
      </w:pPr>
      <w:r w:rsidRPr="00CD2674">
        <w:rPr>
          <w:rFonts w:ascii="Verdana" w:eastAsia="Times New Roman" w:hAnsi="Verdana" w:cs="Arial"/>
          <w:lang w:eastAsia="es-CO"/>
        </w:rPr>
        <w:t>Atentamente,</w:t>
      </w:r>
      <w:r w:rsidRPr="00CD2674">
        <w:rPr>
          <w:rFonts w:ascii="Verdana" w:hAnsi="Verdana" w:cs="Arial"/>
          <w:lang w:eastAsia="es-CO"/>
        </w:rPr>
        <w:t xml:space="preserve"> </w:t>
      </w:r>
    </w:p>
    <w:p w14:paraId="54E6A911" w14:textId="77777777" w:rsidR="00DF5650" w:rsidRPr="00CD2674" w:rsidRDefault="00DF5650" w:rsidP="00DF5650">
      <w:pPr>
        <w:spacing w:line="240" w:lineRule="auto"/>
        <w:jc w:val="center"/>
        <w:rPr>
          <w:rFonts w:ascii="Verdana" w:hAnsi="Verdana"/>
          <w:noProof/>
        </w:rPr>
      </w:pPr>
    </w:p>
    <w:p w14:paraId="2FF0E444" w14:textId="6670176A" w:rsidR="00DF5650" w:rsidRPr="00CD2674" w:rsidRDefault="00901D77" w:rsidP="00DF5650">
      <w:pPr>
        <w:spacing w:line="240" w:lineRule="auto"/>
        <w:jc w:val="center"/>
        <w:rPr>
          <w:rFonts w:ascii="Verdana" w:hAnsi="Verdana"/>
          <w:noProof/>
          <w:lang w:eastAsia="es-CO"/>
        </w:rPr>
      </w:pPr>
      <w:r w:rsidRPr="0065791A">
        <w:rPr>
          <w:rFonts w:ascii="Century Gothic" w:hAnsi="Century Gothic"/>
          <w:noProof/>
        </w:rPr>
        <w:drawing>
          <wp:inline distT="0" distB="0" distL="0" distR="0" wp14:anchorId="753F1FD0" wp14:editId="11B45465">
            <wp:extent cx="3962953" cy="1867161"/>
            <wp:effectExtent l="0" t="0" r="0" b="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pic:nvPicPr>
                  <pic:blipFill>
                    <a:blip r:embed="rId19"/>
                    <a:stretch>
                      <a:fillRect/>
                    </a:stretch>
                  </pic:blipFill>
                  <pic:spPr>
                    <a:xfrm>
                      <a:off x="0" y="0"/>
                      <a:ext cx="3962953" cy="1867161"/>
                    </a:xfrm>
                    <a:prstGeom prst="rect">
                      <a:avLst/>
                    </a:prstGeom>
                  </pic:spPr>
                </pic:pic>
              </a:graphicData>
            </a:graphic>
          </wp:inline>
        </w:drawing>
      </w:r>
    </w:p>
    <w:p w14:paraId="4771DE8B" w14:textId="77777777" w:rsidR="00DF5650" w:rsidRPr="00CD2674" w:rsidRDefault="00DF5650" w:rsidP="00DF5650">
      <w:pPr>
        <w:spacing w:line="240" w:lineRule="auto"/>
        <w:jc w:val="center"/>
        <w:rPr>
          <w:rFonts w:ascii="Verdana" w:hAnsi="Verdana" w:cs="Arial"/>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F5650" w:rsidRPr="00CD2674" w14:paraId="63B7CB0C" w14:textId="77777777" w:rsidTr="7AB489BC">
        <w:trPr>
          <w:trHeight w:val="315"/>
        </w:trPr>
        <w:tc>
          <w:tcPr>
            <w:tcW w:w="893" w:type="dxa"/>
            <w:vAlign w:val="center"/>
            <w:hideMark/>
          </w:tcPr>
          <w:p w14:paraId="76734C2A" w14:textId="77777777" w:rsidR="00DF5650" w:rsidRPr="00CD2674" w:rsidRDefault="00DF5650" w:rsidP="005C5A17">
            <w:pPr>
              <w:contextualSpacing/>
              <w:rPr>
                <w:rFonts w:ascii="Verdana" w:eastAsia="Calibri" w:hAnsi="Verdana" w:cs="Arial"/>
                <w:sz w:val="16"/>
                <w:szCs w:val="16"/>
                <w:lang w:val="es-ES_tradnl"/>
              </w:rPr>
            </w:pPr>
            <w:r w:rsidRPr="00CD2674">
              <w:rPr>
                <w:rFonts w:ascii="Verdana" w:eastAsia="Calibri" w:hAnsi="Verdana" w:cs="Arial"/>
                <w:sz w:val="16"/>
                <w:szCs w:val="16"/>
                <w:lang w:val="es-ES_tradnl"/>
              </w:rPr>
              <w:t>Elaboró:</w:t>
            </w:r>
          </w:p>
        </w:tc>
        <w:tc>
          <w:tcPr>
            <w:tcW w:w="5628" w:type="dxa"/>
            <w:tcBorders>
              <w:top w:val="nil"/>
              <w:left w:val="nil"/>
              <w:bottom w:val="dotted" w:sz="4" w:space="0" w:color="7F7F7F" w:themeColor="text1" w:themeTint="80"/>
              <w:right w:val="nil"/>
            </w:tcBorders>
            <w:vAlign w:val="center"/>
            <w:hideMark/>
          </w:tcPr>
          <w:p w14:paraId="403DE703" w14:textId="77777777" w:rsidR="00DF5650" w:rsidRPr="00CD2674" w:rsidRDefault="00DF5650" w:rsidP="005C5A17">
            <w:pPr>
              <w:contextualSpacing/>
              <w:rPr>
                <w:rFonts w:ascii="Verdana" w:eastAsia="Calibri" w:hAnsi="Verdana" w:cs="Arial"/>
                <w:sz w:val="16"/>
                <w:szCs w:val="16"/>
                <w:lang w:val="es-ES_tradnl"/>
              </w:rPr>
            </w:pPr>
            <w:r w:rsidRPr="00CD2674">
              <w:rPr>
                <w:rFonts w:ascii="Verdana" w:eastAsia="Calibri" w:hAnsi="Verdana" w:cs="Arial"/>
                <w:sz w:val="16"/>
                <w:szCs w:val="16"/>
                <w:lang w:val="es-ES_tradnl"/>
              </w:rPr>
              <w:t xml:space="preserve">María Valeska Medellín Mora </w:t>
            </w:r>
          </w:p>
          <w:p w14:paraId="21D42C64" w14:textId="77777777" w:rsidR="00DF5650" w:rsidRPr="00CD2674" w:rsidRDefault="00DF5650" w:rsidP="005C5A17">
            <w:pPr>
              <w:contextualSpacing/>
              <w:rPr>
                <w:rFonts w:ascii="Verdana" w:eastAsia="Calibri" w:hAnsi="Verdana" w:cs="Arial"/>
                <w:sz w:val="16"/>
                <w:szCs w:val="16"/>
                <w:lang w:val="es-ES_tradnl"/>
              </w:rPr>
            </w:pPr>
            <w:r w:rsidRPr="00CD2674">
              <w:rPr>
                <w:rFonts w:ascii="Verdana" w:eastAsia="Calibri" w:hAnsi="Verdana" w:cs="Arial"/>
                <w:sz w:val="16"/>
                <w:szCs w:val="16"/>
                <w:lang w:val="es-ES_tradnl"/>
              </w:rPr>
              <w:t>Gestor T1-15</w:t>
            </w:r>
            <w:r w:rsidRPr="00CD2674">
              <w:rPr>
                <w:rFonts w:ascii="Verdana" w:eastAsia="Calibri" w:hAnsi="Verdana"/>
                <w:sz w:val="16"/>
                <w:szCs w:val="16"/>
                <w:lang w:val="es-ES_tradnl"/>
              </w:rPr>
              <w:t xml:space="preserve"> de la Subdirección de Gestión Contractual</w:t>
            </w:r>
          </w:p>
        </w:tc>
      </w:tr>
      <w:tr w:rsidR="00DF5650" w:rsidRPr="00CD2674" w14:paraId="6C2644BF" w14:textId="77777777" w:rsidTr="7AB489BC">
        <w:trPr>
          <w:trHeight w:val="330"/>
        </w:trPr>
        <w:tc>
          <w:tcPr>
            <w:tcW w:w="893" w:type="dxa"/>
            <w:vAlign w:val="center"/>
            <w:hideMark/>
          </w:tcPr>
          <w:p w14:paraId="1CF57995" w14:textId="77777777" w:rsidR="00DF5650" w:rsidRPr="00CD2674" w:rsidRDefault="00DF5650" w:rsidP="005C5A17">
            <w:pPr>
              <w:contextualSpacing/>
              <w:rPr>
                <w:rFonts w:ascii="Verdana" w:eastAsia="Calibri" w:hAnsi="Verdana" w:cs="Arial"/>
                <w:sz w:val="16"/>
                <w:szCs w:val="16"/>
                <w:lang w:val="es-ES_tradnl"/>
              </w:rPr>
            </w:pPr>
            <w:r w:rsidRPr="00CD2674">
              <w:rPr>
                <w:rFonts w:ascii="Verdana" w:eastAsia="Calibri" w:hAnsi="Verdana" w:cs="Arial"/>
                <w:sz w:val="16"/>
                <w:szCs w:val="16"/>
                <w:lang w:val="es-ES_tradnl"/>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0460407" w14:textId="77777777" w:rsidR="00DF5650" w:rsidRPr="00CD2674" w:rsidRDefault="00DF5650" w:rsidP="7AB489BC">
            <w:pPr>
              <w:pStyle w:val="paragraph"/>
              <w:spacing w:before="0" w:beforeAutospacing="0" w:after="0" w:afterAutospacing="0"/>
              <w:contextualSpacing/>
              <w:textAlignment w:val="baseline"/>
              <w:rPr>
                <w:rFonts w:ascii="Verdana" w:eastAsia="Calibri" w:hAnsi="Verdana" w:cs="Arial"/>
                <w:sz w:val="16"/>
                <w:szCs w:val="16"/>
                <w:lang w:val="es-ES" w:eastAsia="en-US"/>
              </w:rPr>
            </w:pPr>
            <w:r w:rsidRPr="7AB489BC">
              <w:rPr>
                <w:rFonts w:ascii="Verdana" w:eastAsia="Calibri" w:hAnsi="Verdana" w:cs="Arial"/>
                <w:sz w:val="16"/>
                <w:szCs w:val="16"/>
                <w:lang w:val="es-ES" w:eastAsia="en-US"/>
              </w:rPr>
              <w:t>Adriana Katerine Lopez Rodriguez</w:t>
            </w:r>
          </w:p>
          <w:p w14:paraId="69152B2D" w14:textId="77777777" w:rsidR="00DF5650" w:rsidRPr="00CD2674" w:rsidRDefault="00DF5650" w:rsidP="005C5A17">
            <w:pPr>
              <w:pStyle w:val="paragraph"/>
              <w:spacing w:before="0" w:beforeAutospacing="0" w:after="0" w:afterAutospacing="0"/>
              <w:contextualSpacing/>
              <w:textAlignment w:val="baseline"/>
              <w:rPr>
                <w:rFonts w:ascii="Verdana" w:eastAsia="Calibri" w:hAnsi="Verdana" w:cs="Arial"/>
                <w:sz w:val="16"/>
                <w:szCs w:val="16"/>
                <w:lang w:val="es-ES_tradnl" w:eastAsia="en-US"/>
              </w:rPr>
            </w:pPr>
            <w:r w:rsidRPr="00CD2674">
              <w:rPr>
                <w:rFonts w:ascii="Verdana" w:eastAsia="Calibri" w:hAnsi="Verdana"/>
                <w:sz w:val="16"/>
                <w:szCs w:val="16"/>
                <w:lang w:val="es-ES_tradnl" w:eastAsia="en-US"/>
              </w:rPr>
              <w:t>Contratista de la Subdirección de Gestión Contractual </w:t>
            </w:r>
          </w:p>
        </w:tc>
      </w:tr>
      <w:tr w:rsidR="00DF5650" w:rsidRPr="00CD2674" w14:paraId="67BA5C90" w14:textId="77777777" w:rsidTr="7AB489BC">
        <w:trPr>
          <w:trHeight w:val="300"/>
        </w:trPr>
        <w:tc>
          <w:tcPr>
            <w:tcW w:w="893" w:type="dxa"/>
            <w:vAlign w:val="center"/>
          </w:tcPr>
          <w:p w14:paraId="132846B4" w14:textId="77777777" w:rsidR="00DF5650" w:rsidRPr="00CD2674" w:rsidRDefault="00DF5650" w:rsidP="005C5A17">
            <w:pPr>
              <w:contextualSpacing/>
              <w:rPr>
                <w:rFonts w:ascii="Verdana" w:eastAsia="Calibri" w:hAnsi="Verdana" w:cs="Arial"/>
                <w:sz w:val="16"/>
                <w:szCs w:val="16"/>
                <w:lang w:val="es-ES_tradnl"/>
              </w:rPr>
            </w:pPr>
            <w:r w:rsidRPr="00CD2674">
              <w:rPr>
                <w:rFonts w:ascii="Verdana" w:eastAsia="Calibri" w:hAnsi="Verdana" w:cs="Arial"/>
                <w:sz w:val="16"/>
                <w:szCs w:val="16"/>
                <w:lang w:val="es-ES_tradnl"/>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B2D2FDA" w14:textId="77777777" w:rsidR="00DF5650" w:rsidRPr="00CD2674" w:rsidRDefault="00DF5650" w:rsidP="005C5A17">
            <w:pPr>
              <w:contextualSpacing/>
              <w:rPr>
                <w:rFonts w:ascii="Verdana" w:eastAsia="Calibri" w:hAnsi="Verdana" w:cs="Arial"/>
                <w:sz w:val="16"/>
                <w:szCs w:val="16"/>
                <w:lang w:val="es-ES"/>
              </w:rPr>
            </w:pPr>
            <w:r w:rsidRPr="7EF62F61">
              <w:rPr>
                <w:rFonts w:ascii="Verdana" w:eastAsia="Calibri" w:hAnsi="Verdana" w:cs="Arial"/>
                <w:sz w:val="16"/>
                <w:szCs w:val="16"/>
                <w:lang w:val="es-ES"/>
              </w:rPr>
              <w:t>Carolina Quintero Gacharná</w:t>
            </w:r>
          </w:p>
          <w:p w14:paraId="5F91641C" w14:textId="77777777" w:rsidR="00DF5650" w:rsidRPr="00CD2674" w:rsidRDefault="00DF5650" w:rsidP="005C5A17">
            <w:pPr>
              <w:contextualSpacing/>
              <w:rPr>
                <w:rFonts w:ascii="Verdana" w:eastAsia="Calibri" w:hAnsi="Verdana" w:cs="Arial"/>
                <w:sz w:val="16"/>
                <w:szCs w:val="16"/>
                <w:lang w:val="es-ES_tradnl"/>
              </w:rPr>
            </w:pPr>
            <w:r w:rsidRPr="00CD2674">
              <w:rPr>
                <w:rFonts w:ascii="Verdana" w:eastAsia="Calibri" w:hAnsi="Verdana" w:cs="Arial"/>
                <w:sz w:val="16"/>
                <w:szCs w:val="16"/>
                <w:lang w:val="es-ES_tradnl"/>
              </w:rPr>
              <w:t>Subdirectora de Gestión Contractual ANCP – CCE</w:t>
            </w:r>
          </w:p>
        </w:tc>
      </w:tr>
    </w:tbl>
    <w:p w14:paraId="737DEAB5" w14:textId="77777777" w:rsidR="00DF5650" w:rsidRPr="00CD2674" w:rsidRDefault="00DF5650" w:rsidP="00DF5650">
      <w:pPr>
        <w:spacing w:after="0" w:line="240" w:lineRule="auto"/>
        <w:rPr>
          <w:rFonts w:ascii="Verdana" w:eastAsia="Times New Roman" w:hAnsi="Verdana" w:cs="Arial"/>
          <w:sz w:val="24"/>
          <w:szCs w:val="24"/>
          <w:lang w:eastAsia="es-ES"/>
        </w:rPr>
      </w:pPr>
    </w:p>
    <w:p w14:paraId="40A21F42" w14:textId="77777777" w:rsidR="00DF5650" w:rsidRPr="00CD2674" w:rsidRDefault="00DF5650" w:rsidP="00DF5650">
      <w:pPr>
        <w:spacing w:line="240" w:lineRule="auto"/>
        <w:rPr>
          <w:rFonts w:ascii="Verdana" w:hAnsi="Verdana"/>
        </w:rPr>
      </w:pPr>
    </w:p>
    <w:p w14:paraId="26960A69" w14:textId="77777777" w:rsidR="00DF5650" w:rsidRPr="00CD2674" w:rsidRDefault="00DF5650" w:rsidP="00DF5650">
      <w:pPr>
        <w:spacing w:after="0" w:line="240" w:lineRule="auto"/>
        <w:jc w:val="both"/>
        <w:rPr>
          <w:rFonts w:ascii="Verdana" w:hAnsi="Verdana"/>
        </w:rPr>
      </w:pPr>
    </w:p>
    <w:p w14:paraId="651A130B" w14:textId="77777777" w:rsidR="00DF5650" w:rsidRPr="00CD2674" w:rsidRDefault="00DF5650" w:rsidP="00DF5650">
      <w:pPr>
        <w:spacing w:line="240" w:lineRule="auto"/>
        <w:rPr>
          <w:rFonts w:ascii="Verdana" w:hAnsi="Verdana"/>
        </w:rPr>
      </w:pPr>
    </w:p>
    <w:p w14:paraId="34596FFA" w14:textId="77777777" w:rsidR="00DF5650" w:rsidRPr="0044528D" w:rsidRDefault="00DF5650" w:rsidP="00DF5650">
      <w:pPr>
        <w:spacing w:after="0"/>
        <w:rPr>
          <w:rFonts w:ascii="Verdana" w:hAnsi="Verdana"/>
        </w:rPr>
      </w:pPr>
    </w:p>
    <w:p w14:paraId="4B4C3CEB" w14:textId="77777777" w:rsidR="00FE4EB4" w:rsidRPr="00DF5650" w:rsidRDefault="00FE4EB4" w:rsidP="00FE4EB4">
      <w:pPr>
        <w:spacing w:after="0" w:line="240" w:lineRule="auto"/>
        <w:jc w:val="both"/>
        <w:rPr>
          <w:rFonts w:ascii="Verdana" w:eastAsia="Calibri" w:hAnsi="Verdana" w:cs="Arial"/>
          <w:lang w:eastAsia="es-ES"/>
        </w:rPr>
      </w:pPr>
    </w:p>
    <w:bookmarkEnd w:id="0"/>
    <w:sectPr w:rsidR="00FE4EB4" w:rsidRPr="00DF5650" w:rsidSect="00E45F4B">
      <w:headerReference w:type="default" r:id="rId20"/>
      <w:footerReference w:type="default" r:id="rId21"/>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AE3806" w14:textId="77777777" w:rsidR="00C33386" w:rsidRDefault="00C33386" w:rsidP="00B30448">
      <w:pPr>
        <w:spacing w:after="0" w:line="240" w:lineRule="auto"/>
      </w:pPr>
      <w:r>
        <w:separator/>
      </w:r>
    </w:p>
  </w:endnote>
  <w:endnote w:type="continuationSeparator" w:id="0">
    <w:p w14:paraId="5DC26895" w14:textId="77777777" w:rsidR="00C33386" w:rsidRDefault="00C33386" w:rsidP="00B30448">
      <w:pPr>
        <w:spacing w:after="0" w:line="240" w:lineRule="auto"/>
      </w:pPr>
      <w:r>
        <w:continuationSeparator/>
      </w:r>
    </w:p>
  </w:endnote>
  <w:endnote w:type="continuationNotice" w:id="1">
    <w:p w14:paraId="6D6ECD1D" w14:textId="77777777" w:rsidR="00C33386" w:rsidRDefault="00C333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FFCC39" w14:textId="77777777" w:rsidR="00C33386" w:rsidRDefault="00C33386" w:rsidP="00B30448">
      <w:pPr>
        <w:spacing w:after="0" w:line="240" w:lineRule="auto"/>
      </w:pPr>
      <w:r>
        <w:separator/>
      </w:r>
    </w:p>
  </w:footnote>
  <w:footnote w:type="continuationSeparator" w:id="0">
    <w:p w14:paraId="67632A55" w14:textId="77777777" w:rsidR="00C33386" w:rsidRDefault="00C33386" w:rsidP="00B30448">
      <w:pPr>
        <w:spacing w:after="0" w:line="240" w:lineRule="auto"/>
      </w:pPr>
      <w:r>
        <w:continuationSeparator/>
      </w:r>
    </w:p>
  </w:footnote>
  <w:footnote w:type="continuationNotice" w:id="1">
    <w:p w14:paraId="798471C7" w14:textId="77777777" w:rsidR="00C33386" w:rsidRDefault="00C33386">
      <w:pPr>
        <w:spacing w:after="0" w:line="240" w:lineRule="auto"/>
      </w:pPr>
    </w:p>
  </w:footnote>
  <w:footnote w:id="2">
    <w:p w14:paraId="1103A685" w14:textId="77777777" w:rsidR="00DF5650" w:rsidRPr="000201D9" w:rsidRDefault="00DF5650" w:rsidP="00DF5650">
      <w:pPr>
        <w:pStyle w:val="Textonotapie"/>
        <w:ind w:right="49" w:firstLine="708"/>
        <w:jc w:val="both"/>
        <w:rPr>
          <w:rFonts w:ascii="Arial" w:hAnsi="Arial" w:cs="Arial"/>
          <w:color w:val="000000"/>
          <w:sz w:val="16"/>
          <w:szCs w:val="16"/>
        </w:rPr>
      </w:pPr>
      <w:r w:rsidRPr="000201D9">
        <w:rPr>
          <w:rStyle w:val="Refdenotaalpie"/>
          <w:rFonts w:ascii="Arial" w:hAnsi="Arial" w:cs="Arial"/>
          <w:color w:val="000000"/>
        </w:rPr>
        <w:footnoteRef/>
      </w:r>
      <w:r w:rsidRPr="000201D9">
        <w:rPr>
          <w:rFonts w:ascii="Arial" w:hAnsi="Arial" w:cs="Arial"/>
          <w:color w:val="000000"/>
          <w:sz w:val="16"/>
          <w:szCs w:val="16"/>
        </w:rPr>
        <w:t xml:space="preserve"> Decreto 1082 de 2015: </w:t>
      </w:r>
      <w:r>
        <w:rPr>
          <w:rFonts w:ascii="Arial" w:hAnsi="Arial" w:cs="Arial"/>
          <w:color w:val="000000"/>
          <w:sz w:val="16"/>
          <w:szCs w:val="16"/>
        </w:rPr>
        <w:t>“</w:t>
      </w:r>
      <w:r w:rsidRPr="000201D9">
        <w:rPr>
          <w:rFonts w:ascii="Arial" w:hAnsi="Arial" w:cs="Arial"/>
          <w:color w:val="000000"/>
          <w:sz w:val="16"/>
          <w:szCs w:val="16"/>
        </w:rPr>
        <w:t>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5418006D" w14:textId="77777777" w:rsidR="00DF5650" w:rsidRPr="000201D9" w:rsidRDefault="00DF5650" w:rsidP="00DF5650">
      <w:pPr>
        <w:pStyle w:val="Textonotapie"/>
        <w:ind w:right="49" w:firstLine="708"/>
        <w:jc w:val="both"/>
        <w:rPr>
          <w:rFonts w:ascii="Arial" w:hAnsi="Arial" w:cs="Arial"/>
          <w:color w:val="000000"/>
          <w:sz w:val="16"/>
          <w:szCs w:val="16"/>
        </w:rPr>
      </w:pPr>
      <w:r w:rsidRPr="000201D9">
        <w:rPr>
          <w:rFonts w:ascii="Arial" w:hAnsi="Arial" w:cs="Arial"/>
          <w:color w:val="000000"/>
          <w:sz w:val="16"/>
          <w:szCs w:val="16"/>
        </w:rPr>
        <w:t>[...]</w:t>
      </w:r>
    </w:p>
    <w:p w14:paraId="37D533B5" w14:textId="77777777" w:rsidR="00DF5650" w:rsidRPr="000201D9" w:rsidRDefault="00DF5650" w:rsidP="00DF5650">
      <w:pPr>
        <w:pStyle w:val="Textonotapie"/>
        <w:ind w:right="49" w:firstLine="708"/>
        <w:jc w:val="both"/>
        <w:rPr>
          <w:rFonts w:ascii="Arial" w:hAnsi="Arial" w:cs="Arial"/>
          <w:color w:val="000000"/>
          <w:sz w:val="16"/>
          <w:szCs w:val="16"/>
        </w:rPr>
      </w:pPr>
      <w:r>
        <w:rPr>
          <w:rFonts w:ascii="Arial" w:hAnsi="Arial" w:cs="Arial"/>
          <w:color w:val="000000"/>
          <w:sz w:val="16"/>
          <w:szCs w:val="16"/>
        </w:rPr>
        <w:t>“</w:t>
      </w:r>
      <w:r w:rsidRPr="000201D9">
        <w:rPr>
          <w:rFonts w:ascii="Arial" w:hAnsi="Arial" w:cs="Arial"/>
          <w:color w:val="000000"/>
          <w:sz w:val="16"/>
          <w:szCs w:val="16"/>
        </w:rPr>
        <w:t>Proceso de Contratación: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r>
        <w:rPr>
          <w:rFonts w:ascii="Arial" w:hAnsi="Arial" w:cs="Arial"/>
          <w:color w:val="000000"/>
          <w:sz w:val="16"/>
          <w:szCs w:val="16"/>
        </w:rPr>
        <w:t>”</w:t>
      </w:r>
      <w:r w:rsidRPr="000201D9">
        <w:rPr>
          <w:rFonts w:ascii="Arial" w:hAnsi="Arial" w:cs="Arial"/>
          <w:color w:val="000000"/>
          <w:sz w:val="16"/>
          <w:szCs w:val="16"/>
        </w:rPr>
        <w:t>.</w:t>
      </w:r>
    </w:p>
    <w:p w14:paraId="092D85FE" w14:textId="77777777" w:rsidR="00DF5650" w:rsidRPr="000201D9" w:rsidRDefault="00DF5650" w:rsidP="00DF5650">
      <w:pPr>
        <w:pStyle w:val="Textonotapie"/>
        <w:ind w:right="49"/>
        <w:jc w:val="both"/>
        <w:rPr>
          <w:rFonts w:ascii="Arial" w:hAnsi="Arial" w:cs="Arial"/>
          <w:color w:val="000000"/>
          <w:sz w:val="16"/>
          <w:szCs w:val="16"/>
          <w:lang w:val="es-ES"/>
        </w:rPr>
      </w:pPr>
    </w:p>
  </w:footnote>
  <w:footnote w:id="3">
    <w:p w14:paraId="327A0F95" w14:textId="77777777" w:rsidR="00DF5650" w:rsidRPr="000201D9" w:rsidRDefault="00DF5650" w:rsidP="00DF5650">
      <w:pPr>
        <w:spacing w:before="76"/>
        <w:ind w:right="49" w:firstLine="708"/>
        <w:jc w:val="both"/>
        <w:rPr>
          <w:rFonts w:ascii="Arial" w:hAnsi="Arial" w:cs="Arial"/>
          <w:color w:val="000000"/>
          <w:sz w:val="16"/>
          <w:szCs w:val="16"/>
        </w:rPr>
      </w:pPr>
      <w:r w:rsidRPr="000201D9">
        <w:rPr>
          <w:rStyle w:val="Refdenotaalpie"/>
          <w:rFonts w:ascii="Arial" w:hAnsi="Arial" w:cs="Arial"/>
          <w:color w:val="000000"/>
        </w:rPr>
        <w:footnoteRef/>
      </w:r>
      <w:r w:rsidRPr="000201D9">
        <w:rPr>
          <w:rFonts w:ascii="Arial" w:hAnsi="Arial" w:cs="Arial"/>
          <w:color w:val="000000"/>
          <w:sz w:val="16"/>
          <w:szCs w:val="16"/>
        </w:rPr>
        <w:t xml:space="preserve"> Ley 1150 de 2007: </w:t>
      </w:r>
      <w:r>
        <w:rPr>
          <w:rFonts w:ascii="Arial" w:hAnsi="Arial" w:cs="Arial"/>
          <w:color w:val="000000"/>
          <w:sz w:val="16"/>
          <w:szCs w:val="16"/>
        </w:rPr>
        <w:t>“</w:t>
      </w:r>
      <w:r w:rsidRPr="000201D9">
        <w:rPr>
          <w:rFonts w:ascii="Arial" w:hAnsi="Arial" w:cs="Arial"/>
          <w:color w:val="000000"/>
          <w:sz w:val="16"/>
          <w:szCs w:val="16"/>
        </w:rPr>
        <w:t>Artículo 3. De la contratación pública electrónica.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w:t>
      </w:r>
      <w:r w:rsidRPr="000201D9">
        <w:rPr>
          <w:rFonts w:ascii="Arial" w:hAnsi="Arial" w:cs="Arial"/>
          <w:color w:val="000000"/>
          <w:spacing w:val="-3"/>
          <w:sz w:val="16"/>
          <w:szCs w:val="16"/>
        </w:rPr>
        <w:t xml:space="preserve"> </w:t>
      </w:r>
      <w:r w:rsidRPr="000201D9">
        <w:rPr>
          <w:rFonts w:ascii="Arial" w:hAnsi="Arial" w:cs="Arial"/>
          <w:color w:val="000000"/>
          <w:sz w:val="16"/>
          <w:szCs w:val="16"/>
        </w:rPr>
        <w:t>Nacional.</w:t>
      </w:r>
    </w:p>
    <w:p w14:paraId="0FB48459" w14:textId="77777777" w:rsidR="00DF5650" w:rsidRPr="000201D9" w:rsidRDefault="00DF5650" w:rsidP="00DF5650">
      <w:pPr>
        <w:ind w:right="49" w:firstLine="708"/>
        <w:jc w:val="both"/>
        <w:rPr>
          <w:rFonts w:ascii="Arial" w:hAnsi="Arial" w:cs="Arial"/>
          <w:color w:val="000000"/>
          <w:sz w:val="16"/>
          <w:szCs w:val="16"/>
        </w:rPr>
      </w:pPr>
      <w:r>
        <w:rPr>
          <w:rFonts w:ascii="Arial" w:hAnsi="Arial" w:cs="Arial"/>
          <w:color w:val="000000"/>
          <w:sz w:val="16"/>
          <w:szCs w:val="16"/>
        </w:rPr>
        <w:t>“</w:t>
      </w:r>
      <w:r w:rsidRPr="000201D9">
        <w:rPr>
          <w:rFonts w:ascii="Arial" w:hAnsi="Arial" w:cs="Arial"/>
          <w:color w:val="000000"/>
          <w:sz w:val="16"/>
          <w:szCs w:val="16"/>
        </w:rPr>
        <w:t>Lo anterior, sin perjuicio de las publicaciones previstas en el numeral 3 del artículo 30 de la Ley 80 de 1993.</w:t>
      </w:r>
    </w:p>
    <w:p w14:paraId="1B460D2C" w14:textId="77777777" w:rsidR="00DF5650" w:rsidRPr="000201D9" w:rsidRDefault="00DF5650" w:rsidP="00DF5650">
      <w:pPr>
        <w:ind w:right="49" w:firstLine="708"/>
        <w:jc w:val="both"/>
        <w:rPr>
          <w:rFonts w:ascii="Arial" w:hAnsi="Arial" w:cs="Arial"/>
          <w:color w:val="000000"/>
          <w:sz w:val="16"/>
          <w:szCs w:val="16"/>
        </w:rPr>
      </w:pPr>
      <w:r>
        <w:rPr>
          <w:rFonts w:ascii="Arial" w:hAnsi="Arial" w:cs="Arial"/>
          <w:color w:val="000000"/>
          <w:sz w:val="16"/>
          <w:szCs w:val="16"/>
        </w:rPr>
        <w:t>“</w:t>
      </w:r>
      <w:r w:rsidRPr="000201D9">
        <w:rPr>
          <w:rFonts w:ascii="Arial" w:hAnsi="Arial" w:cs="Arial"/>
          <w:color w:val="000000"/>
          <w:sz w:val="16"/>
          <w:szCs w:val="16"/>
        </w:rPr>
        <w:t>Con el fin de materializar los objetivos a que se refiere el inciso anterior, el Gobierno Nacional desarrollará el Sistema Electrónico para la Contratación Pública, Secop, el cual:</w:t>
      </w:r>
    </w:p>
    <w:p w14:paraId="6974055B" w14:textId="77777777" w:rsidR="00DF5650" w:rsidRPr="000201D9" w:rsidRDefault="00DF5650" w:rsidP="00DF5650">
      <w:pPr>
        <w:ind w:right="49" w:firstLine="708"/>
        <w:jc w:val="both"/>
        <w:rPr>
          <w:rFonts w:ascii="Arial" w:hAnsi="Arial" w:cs="Arial"/>
          <w:color w:val="000000"/>
          <w:sz w:val="16"/>
          <w:szCs w:val="16"/>
        </w:rPr>
      </w:pPr>
      <w:r>
        <w:rPr>
          <w:rFonts w:ascii="Arial" w:hAnsi="Arial" w:cs="Arial"/>
          <w:color w:val="000000"/>
          <w:sz w:val="16"/>
          <w:szCs w:val="16"/>
        </w:rPr>
        <w:t>“</w:t>
      </w:r>
      <w:r w:rsidRPr="000201D9">
        <w:rPr>
          <w:rFonts w:ascii="Arial" w:hAnsi="Arial" w:cs="Arial"/>
          <w:color w:val="000000"/>
          <w:sz w:val="16"/>
          <w:szCs w:val="16"/>
        </w:rPr>
        <w:t>a) Dispondrá de las funcionalidades tecnológicas para realizar procesos de contratación electrónicos bajo los métodos de selección señalados en el artículo 2o de la presente ley según lo defina el reglamento;</w:t>
      </w:r>
    </w:p>
    <w:p w14:paraId="22FE72FD" w14:textId="77777777" w:rsidR="00DF5650" w:rsidRPr="000201D9" w:rsidRDefault="00DF5650" w:rsidP="00DF5650">
      <w:pPr>
        <w:ind w:right="49" w:firstLine="708"/>
        <w:jc w:val="both"/>
        <w:rPr>
          <w:rFonts w:ascii="Arial" w:hAnsi="Arial" w:cs="Arial"/>
          <w:color w:val="000000"/>
          <w:sz w:val="16"/>
          <w:szCs w:val="16"/>
        </w:rPr>
      </w:pPr>
      <w:r>
        <w:rPr>
          <w:rFonts w:ascii="Arial" w:hAnsi="Arial" w:cs="Arial"/>
          <w:color w:val="000000"/>
          <w:sz w:val="16"/>
          <w:szCs w:val="16"/>
        </w:rPr>
        <w:t>“</w:t>
      </w:r>
      <w:r w:rsidRPr="000201D9">
        <w:rPr>
          <w:rFonts w:ascii="Arial" w:hAnsi="Arial" w:cs="Arial"/>
          <w:color w:val="000000"/>
          <w:sz w:val="16"/>
          <w:szCs w:val="16"/>
        </w:rPr>
        <w:t>b) Servirá de punto único de ingreso de información y de generación de reportes para las entidades estatales y la ciudadanía;</w:t>
      </w:r>
    </w:p>
    <w:p w14:paraId="168E2237" w14:textId="77777777" w:rsidR="00DF5650" w:rsidRPr="000201D9" w:rsidRDefault="00DF5650" w:rsidP="00DF5650">
      <w:pPr>
        <w:ind w:right="49" w:firstLine="708"/>
        <w:jc w:val="both"/>
        <w:rPr>
          <w:rFonts w:ascii="Arial" w:hAnsi="Arial" w:cs="Arial"/>
          <w:color w:val="000000"/>
          <w:sz w:val="16"/>
          <w:szCs w:val="16"/>
        </w:rPr>
      </w:pPr>
      <w:r>
        <w:rPr>
          <w:rFonts w:ascii="Arial" w:hAnsi="Arial" w:cs="Arial"/>
          <w:color w:val="000000"/>
          <w:sz w:val="16"/>
          <w:szCs w:val="16"/>
        </w:rPr>
        <w:t>“</w:t>
      </w:r>
      <w:r w:rsidRPr="000201D9">
        <w:rPr>
          <w:rFonts w:ascii="Arial" w:hAnsi="Arial" w:cs="Arial"/>
          <w:color w:val="000000"/>
          <w:sz w:val="16"/>
          <w:szCs w:val="16"/>
        </w:rPr>
        <w:t>c) Contará con la información oficial de la contratación realizada con dineros públicos, para lo cual establecerá los patrones a que haya lugar y se encargará de su difusión a través de canales electrónicos y;</w:t>
      </w:r>
    </w:p>
    <w:p w14:paraId="65C34456" w14:textId="77777777" w:rsidR="00DF5650" w:rsidRPr="000201D9" w:rsidRDefault="00DF5650" w:rsidP="00DF5650">
      <w:pPr>
        <w:ind w:right="49" w:firstLine="708"/>
        <w:jc w:val="both"/>
        <w:rPr>
          <w:rFonts w:ascii="Arial" w:hAnsi="Arial" w:cs="Arial"/>
          <w:color w:val="000000"/>
          <w:sz w:val="16"/>
          <w:szCs w:val="16"/>
        </w:rPr>
      </w:pPr>
      <w:r>
        <w:rPr>
          <w:rFonts w:ascii="Arial" w:hAnsi="Arial" w:cs="Arial"/>
          <w:color w:val="000000"/>
          <w:sz w:val="16"/>
          <w:szCs w:val="16"/>
        </w:rPr>
        <w:t>“</w:t>
      </w:r>
      <w:r w:rsidRPr="000201D9">
        <w:rPr>
          <w:rFonts w:ascii="Arial" w:hAnsi="Arial" w:cs="Arial"/>
          <w:color w:val="000000"/>
          <w:sz w:val="16"/>
          <w:szCs w:val="16"/>
        </w:rPr>
        <w:t>d) Integrará el Registro Unico Empresarial de las Cámaras de Comercio, el Diario Unico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footnote>
  <w:footnote w:id="4">
    <w:p w14:paraId="0F218577" w14:textId="77777777" w:rsidR="00DF5650" w:rsidRPr="000201D9" w:rsidRDefault="00DF5650" w:rsidP="00DF5650">
      <w:pPr>
        <w:pStyle w:val="NormalWeb"/>
        <w:spacing w:after="0"/>
        <w:ind w:firstLine="708"/>
        <w:jc w:val="both"/>
        <w:rPr>
          <w:rFonts w:ascii="Arial" w:hAnsi="Arial" w:cs="Arial"/>
          <w:color w:val="000000"/>
          <w:sz w:val="16"/>
          <w:szCs w:val="16"/>
        </w:rPr>
      </w:pPr>
      <w:r w:rsidRPr="000201D9">
        <w:rPr>
          <w:rStyle w:val="Refdenotaalpie"/>
          <w:rFonts w:ascii="Arial" w:hAnsi="Arial" w:cs="Arial"/>
        </w:rPr>
        <w:footnoteRef/>
      </w:r>
      <w:r w:rsidRPr="000201D9">
        <w:rPr>
          <w:rFonts w:ascii="Arial" w:hAnsi="Arial" w:cs="Arial"/>
          <w:sz w:val="16"/>
          <w:szCs w:val="16"/>
        </w:rPr>
        <w:t xml:space="preserve"> Decreto 1081 de 2015 </w:t>
      </w:r>
      <w:r>
        <w:rPr>
          <w:rFonts w:ascii="Arial" w:hAnsi="Arial" w:cs="Arial"/>
          <w:sz w:val="16"/>
          <w:szCs w:val="16"/>
        </w:rPr>
        <w:t>“</w:t>
      </w:r>
      <w:r w:rsidRPr="000201D9">
        <w:rPr>
          <w:rFonts w:ascii="Arial" w:hAnsi="Arial" w:cs="Arial"/>
          <w:color w:val="000000"/>
          <w:sz w:val="16"/>
          <w:szCs w:val="16"/>
        </w:rPr>
        <w:t>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1409E121" w14:textId="77777777" w:rsidR="00DF5650" w:rsidRPr="000201D9" w:rsidRDefault="00DF5650" w:rsidP="00DF5650">
      <w:pPr>
        <w:jc w:val="both"/>
        <w:rPr>
          <w:rFonts w:ascii="Arial" w:hAnsi="Arial" w:cs="Arial"/>
          <w:color w:val="000000"/>
          <w:sz w:val="16"/>
          <w:szCs w:val="16"/>
          <w:lang w:eastAsia="es-CO"/>
        </w:rPr>
      </w:pPr>
      <w:r w:rsidRPr="000201D9">
        <w:rPr>
          <w:rFonts w:ascii="Arial" w:hAnsi="Arial" w:cs="Arial"/>
          <w:color w:val="000000"/>
          <w:sz w:val="16"/>
          <w:szCs w:val="16"/>
          <w:lang w:eastAsia="es-CO"/>
        </w:rPr>
        <w:t>  </w:t>
      </w:r>
      <w:r w:rsidRPr="000201D9">
        <w:rPr>
          <w:rFonts w:ascii="Arial" w:hAnsi="Arial" w:cs="Arial"/>
          <w:color w:val="000000"/>
          <w:sz w:val="16"/>
          <w:szCs w:val="16"/>
          <w:lang w:eastAsia="es-CO"/>
        </w:rPr>
        <w:tab/>
      </w:r>
      <w:r>
        <w:rPr>
          <w:rFonts w:ascii="Arial" w:hAnsi="Arial" w:cs="Arial"/>
          <w:color w:val="000000"/>
          <w:sz w:val="16"/>
          <w:szCs w:val="16"/>
          <w:lang w:eastAsia="es-CO"/>
        </w:rPr>
        <w:t>“</w:t>
      </w:r>
      <w:r w:rsidRPr="000201D9">
        <w:rPr>
          <w:rFonts w:ascii="Arial" w:hAnsi="Arial" w:cs="Arial"/>
          <w:color w:val="000000"/>
          <w:sz w:val="16"/>
          <w:szCs w:val="16"/>
          <w:lang w:eastAsia="es-CO"/>
        </w:rPr>
        <w:t>Los sujetos obligados que contratan con cargo a recursos públicos deben publicar la información de su gestión contractual en el plazo previsto en el artículo 19 del Decreto 1510 de 2013, o el que lo modifique, sustituya o adicione. </w:t>
      </w:r>
    </w:p>
    <w:p w14:paraId="5A0E599F" w14:textId="77777777" w:rsidR="00DF5650" w:rsidRPr="000201D9" w:rsidRDefault="00DF5650" w:rsidP="00DF5650">
      <w:pPr>
        <w:jc w:val="both"/>
        <w:rPr>
          <w:rFonts w:ascii="Arial" w:hAnsi="Arial" w:cs="Arial"/>
          <w:color w:val="000000"/>
          <w:sz w:val="16"/>
          <w:szCs w:val="16"/>
          <w:lang w:eastAsia="es-CO"/>
        </w:rPr>
      </w:pPr>
      <w:r w:rsidRPr="000201D9">
        <w:rPr>
          <w:rFonts w:ascii="Arial" w:hAnsi="Arial" w:cs="Arial"/>
          <w:color w:val="000000"/>
          <w:sz w:val="16"/>
          <w:szCs w:val="16"/>
          <w:lang w:eastAsia="es-CO"/>
        </w:rPr>
        <w:t>  </w:t>
      </w:r>
      <w:r w:rsidRPr="000201D9">
        <w:rPr>
          <w:rFonts w:ascii="Arial" w:hAnsi="Arial" w:cs="Arial"/>
          <w:color w:val="000000"/>
          <w:sz w:val="16"/>
          <w:szCs w:val="16"/>
          <w:lang w:eastAsia="es-CO"/>
        </w:rPr>
        <w:tab/>
      </w:r>
      <w:r>
        <w:rPr>
          <w:rFonts w:ascii="Arial" w:hAnsi="Arial" w:cs="Arial"/>
          <w:color w:val="000000"/>
          <w:sz w:val="16"/>
          <w:szCs w:val="16"/>
          <w:lang w:eastAsia="es-CO"/>
        </w:rPr>
        <w:t>“</w:t>
      </w:r>
      <w:r w:rsidRPr="000201D9">
        <w:rPr>
          <w:rFonts w:ascii="Arial" w:hAnsi="Arial" w:cs="Arial"/>
          <w:color w:val="000000"/>
          <w:sz w:val="16"/>
          <w:szCs w:val="16"/>
          <w:lang w:eastAsia="es-CO"/>
        </w:rPr>
        <w:t>Los sujetos obligados que contratan con recursos públicos y recursos privados, deben publicar la información de su gestión contractual con cargo a recursos públicos en el Sistema Electrónico para la Contratación Pública (SECOP)</w:t>
      </w:r>
      <w:r>
        <w:rPr>
          <w:rFonts w:ascii="Arial" w:hAnsi="Arial" w:cs="Arial"/>
          <w:sz w:val="16"/>
          <w:szCs w:val="16"/>
        </w:rPr>
        <w:t>”</w:t>
      </w:r>
      <w:r w:rsidRPr="000201D9">
        <w:rPr>
          <w:rFonts w:ascii="Arial" w:hAnsi="Arial" w:cs="Arial"/>
          <w:sz w:val="16"/>
          <w:szCs w:val="16"/>
        </w:rPr>
        <w:t>.</w:t>
      </w:r>
    </w:p>
  </w:footnote>
  <w:footnote w:id="5">
    <w:p w14:paraId="73911029" w14:textId="77777777" w:rsidR="00DF5650" w:rsidRPr="000201D9" w:rsidRDefault="00DF5650" w:rsidP="00DF5650">
      <w:pPr>
        <w:pStyle w:val="Textonotapie"/>
        <w:ind w:right="49" w:firstLine="709"/>
        <w:jc w:val="both"/>
        <w:rPr>
          <w:rFonts w:ascii="Arial" w:eastAsia="Calibri" w:hAnsi="Arial" w:cs="Arial"/>
          <w:color w:val="000000"/>
          <w:sz w:val="16"/>
          <w:szCs w:val="16"/>
        </w:rPr>
      </w:pPr>
      <w:r w:rsidRPr="000201D9">
        <w:rPr>
          <w:rStyle w:val="Refdenotaalpie"/>
          <w:rFonts w:ascii="Arial" w:hAnsi="Arial" w:cs="Arial"/>
          <w:color w:val="000000"/>
        </w:rPr>
        <w:footnoteRef/>
      </w:r>
      <w:r w:rsidRPr="000201D9">
        <w:rPr>
          <w:rFonts w:ascii="Arial" w:hAnsi="Arial" w:cs="Arial"/>
          <w:color w:val="000000"/>
          <w:sz w:val="16"/>
          <w:szCs w:val="16"/>
        </w:rPr>
        <w:t xml:space="preserve"> Decreto 1081 de 2015: </w:t>
      </w:r>
      <w:r>
        <w:rPr>
          <w:rFonts w:ascii="Arial" w:hAnsi="Arial" w:cs="Arial"/>
          <w:color w:val="000000"/>
          <w:sz w:val="16"/>
          <w:szCs w:val="16"/>
        </w:rPr>
        <w:t>“</w:t>
      </w:r>
      <w:r w:rsidRPr="000201D9">
        <w:rPr>
          <w:rFonts w:ascii="Arial" w:hAnsi="Arial" w:cs="Arial"/>
          <w:color w:val="000000"/>
          <w:sz w:val="16"/>
          <w:szCs w:val="16"/>
        </w:rPr>
        <w:t>Artículo 2.1.1.2.1.9.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–Colombia Compra Eficiente–, el cual debe estar publicado en el sitio web oficial del sujeto obligado</w:t>
      </w:r>
      <w:r>
        <w:rPr>
          <w:rFonts w:ascii="Arial" w:hAnsi="Arial" w:cs="Arial"/>
          <w:color w:val="000000"/>
          <w:sz w:val="16"/>
          <w:szCs w:val="16"/>
        </w:rPr>
        <w:t>”</w:t>
      </w:r>
      <w:r w:rsidRPr="000201D9">
        <w:rPr>
          <w:rFonts w:ascii="Arial" w:hAnsi="Arial" w:cs="Arial"/>
          <w:color w:val="000000"/>
          <w:sz w:val="16"/>
          <w:szCs w:val="16"/>
        </w:rPr>
        <w:t>.</w:t>
      </w:r>
    </w:p>
    <w:p w14:paraId="1F25E836" w14:textId="77777777" w:rsidR="00DF5650" w:rsidRPr="000201D9" w:rsidRDefault="00DF5650" w:rsidP="00DF5650">
      <w:pPr>
        <w:pStyle w:val="Textonotapie"/>
        <w:ind w:right="49" w:firstLine="709"/>
        <w:jc w:val="both"/>
        <w:rPr>
          <w:rFonts w:ascii="Arial" w:hAnsi="Arial" w:cs="Arial"/>
          <w:color w:val="000000"/>
          <w:sz w:val="16"/>
          <w:szCs w:val="16"/>
        </w:rPr>
      </w:pPr>
    </w:p>
  </w:footnote>
  <w:footnote w:id="6">
    <w:p w14:paraId="0C4A2814" w14:textId="77777777" w:rsidR="00DF5650" w:rsidRPr="000201D9" w:rsidRDefault="00DF5650" w:rsidP="00DF5650">
      <w:pPr>
        <w:pStyle w:val="Textonotapie"/>
        <w:ind w:right="49" w:firstLine="709"/>
        <w:jc w:val="both"/>
        <w:rPr>
          <w:rFonts w:ascii="Arial" w:hAnsi="Arial" w:cs="Arial"/>
          <w:color w:val="000000"/>
          <w:sz w:val="16"/>
          <w:szCs w:val="16"/>
        </w:rPr>
      </w:pPr>
      <w:r w:rsidRPr="000201D9">
        <w:rPr>
          <w:rStyle w:val="Refdenotaalpie"/>
          <w:rFonts w:ascii="Arial" w:hAnsi="Arial" w:cs="Arial"/>
          <w:color w:val="000000"/>
        </w:rPr>
        <w:footnoteRef/>
      </w:r>
      <w:r w:rsidRPr="000201D9">
        <w:rPr>
          <w:rFonts w:ascii="Arial" w:hAnsi="Arial" w:cs="Arial"/>
          <w:color w:val="000000"/>
          <w:sz w:val="16"/>
          <w:szCs w:val="16"/>
        </w:rPr>
        <w:t xml:space="preserve"> Decreto 1081 de 2015: </w:t>
      </w:r>
      <w:r>
        <w:rPr>
          <w:rFonts w:ascii="Arial" w:hAnsi="Arial" w:cs="Arial"/>
          <w:color w:val="000000"/>
          <w:sz w:val="16"/>
          <w:szCs w:val="16"/>
        </w:rPr>
        <w:t>“</w:t>
      </w:r>
      <w:r w:rsidRPr="000201D9">
        <w:rPr>
          <w:rFonts w:ascii="Arial" w:hAnsi="Arial" w:cs="Arial"/>
          <w:color w:val="000000"/>
          <w:sz w:val="16"/>
          <w:szCs w:val="16"/>
        </w:rPr>
        <w:t xml:space="preserve">Artículo 2.1.1.2.1.10.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 </w:t>
      </w:r>
    </w:p>
    <w:p w14:paraId="13F02D2F" w14:textId="77777777" w:rsidR="00DF5650" w:rsidRPr="000201D9" w:rsidRDefault="00DF5650" w:rsidP="00DF5650">
      <w:pPr>
        <w:pStyle w:val="Textonotapie"/>
        <w:ind w:right="49" w:firstLine="709"/>
        <w:jc w:val="both"/>
        <w:rPr>
          <w:rFonts w:ascii="Arial" w:hAnsi="Arial" w:cs="Arial"/>
          <w:color w:val="000000"/>
          <w:sz w:val="16"/>
          <w:szCs w:val="16"/>
        </w:rPr>
      </w:pPr>
      <w:r>
        <w:rPr>
          <w:rFonts w:ascii="Arial" w:hAnsi="Arial" w:cs="Arial"/>
          <w:color w:val="000000"/>
          <w:sz w:val="16"/>
          <w:szCs w:val="16"/>
        </w:rPr>
        <w:t>“</w:t>
      </w:r>
      <w:r w:rsidRPr="000201D9">
        <w:rPr>
          <w:rFonts w:ascii="Arial" w:hAnsi="Arial" w:cs="Arial"/>
          <w:color w:val="000000"/>
          <w:sz w:val="16"/>
          <w:szCs w:val="16"/>
        </w:rPr>
        <w:t xml:space="preserve">Los sujetos obligados que no contratan con cargo a recursos públicos no están obligados a publicar su Plan Anual de Adquisiciones. </w:t>
      </w:r>
    </w:p>
    <w:p w14:paraId="0002141C" w14:textId="77777777" w:rsidR="00DF5650" w:rsidRPr="000201D9" w:rsidRDefault="00DF5650" w:rsidP="00DF5650">
      <w:pPr>
        <w:pStyle w:val="Textonotapie"/>
        <w:ind w:right="49" w:firstLine="709"/>
        <w:jc w:val="both"/>
        <w:rPr>
          <w:rFonts w:ascii="Arial" w:hAnsi="Arial" w:cs="Arial"/>
          <w:color w:val="000000"/>
          <w:sz w:val="16"/>
          <w:szCs w:val="16"/>
        </w:rPr>
      </w:pPr>
      <w:r>
        <w:rPr>
          <w:rFonts w:ascii="Arial" w:hAnsi="Arial" w:cs="Arial"/>
          <w:color w:val="000000"/>
          <w:sz w:val="16"/>
          <w:szCs w:val="16"/>
        </w:rPr>
        <w:t>“</w:t>
      </w:r>
      <w:r w:rsidRPr="000201D9">
        <w:rPr>
          <w:rFonts w:ascii="Arial" w:hAnsi="Arial" w:cs="Arial"/>
          <w:color w:val="000000"/>
          <w:sz w:val="16"/>
          <w:szCs w:val="16"/>
        </w:rPr>
        <w:t xml:space="preserve">Los sujetos obligados que contratan con cargo a recursos públicos y recursos privados, deben publicar en su página web y en el SECOP el Plan Anual de Adquisiciones para los recursos de carácter público que ejecutarán en el año. </w:t>
      </w:r>
    </w:p>
    <w:p w14:paraId="6ACA13D7" w14:textId="77777777" w:rsidR="00DF5650" w:rsidRPr="000201D9" w:rsidRDefault="00DF5650" w:rsidP="00DF5650">
      <w:pPr>
        <w:pStyle w:val="Textonotapie"/>
        <w:ind w:right="49" w:firstLine="709"/>
        <w:jc w:val="both"/>
        <w:rPr>
          <w:rFonts w:ascii="Arial" w:hAnsi="Arial" w:cs="Arial"/>
          <w:color w:val="000000"/>
          <w:sz w:val="16"/>
          <w:szCs w:val="16"/>
        </w:rPr>
      </w:pPr>
      <w:r>
        <w:rPr>
          <w:rFonts w:ascii="Arial" w:hAnsi="Arial" w:cs="Arial"/>
          <w:color w:val="000000"/>
          <w:sz w:val="16"/>
          <w:szCs w:val="16"/>
        </w:rPr>
        <w:t>“</w:t>
      </w:r>
      <w:r w:rsidRPr="000201D9">
        <w:rPr>
          <w:rFonts w:ascii="Arial" w:hAnsi="Arial" w:cs="Arial"/>
          <w:color w:val="000000"/>
          <w:sz w:val="16"/>
          <w:szCs w:val="16"/>
        </w:rPr>
        <w:t>Se entenderá como definición de Plan Anual de Adquisiciones respecto a todos los sujetos obligados que contratan con recursos públicos, la prevista en el artículo 3° del Decreto 1510 de 2013, o el que lo modifique, sustituya o adicione</w:t>
      </w:r>
      <w:r>
        <w:rPr>
          <w:rFonts w:ascii="Arial" w:hAnsi="Arial" w:cs="Arial"/>
          <w:color w:val="000000"/>
          <w:sz w:val="16"/>
          <w:szCs w:val="16"/>
        </w:rPr>
        <w:t>”</w:t>
      </w:r>
      <w:r w:rsidRPr="000201D9">
        <w:rPr>
          <w:rFonts w:ascii="Arial" w:hAnsi="Arial" w:cs="Arial"/>
          <w:color w:val="000000"/>
          <w:sz w:val="16"/>
          <w:szCs w:val="16"/>
        </w:rPr>
        <w:t>.</w:t>
      </w:r>
    </w:p>
  </w:footnote>
  <w:footnote w:id="7">
    <w:p w14:paraId="65681C9C" w14:textId="77777777" w:rsidR="00DF5650" w:rsidRPr="000201D9" w:rsidRDefault="00DF5650" w:rsidP="00DF5650">
      <w:pPr>
        <w:pStyle w:val="Textonotapie"/>
        <w:ind w:right="49" w:firstLine="709"/>
        <w:jc w:val="both"/>
        <w:rPr>
          <w:rFonts w:ascii="Arial" w:hAnsi="Arial" w:cs="Arial"/>
          <w:color w:val="000000"/>
          <w:sz w:val="16"/>
          <w:szCs w:val="16"/>
        </w:rPr>
      </w:pPr>
      <w:r w:rsidRPr="000201D9">
        <w:rPr>
          <w:rStyle w:val="Refdenotaalpie"/>
          <w:rFonts w:ascii="Arial" w:hAnsi="Arial" w:cs="Arial"/>
          <w:color w:val="000000"/>
        </w:rPr>
        <w:footnoteRef/>
      </w:r>
      <w:r w:rsidRPr="000201D9">
        <w:rPr>
          <w:rFonts w:ascii="Arial" w:hAnsi="Arial" w:cs="Arial"/>
          <w:color w:val="000000"/>
          <w:sz w:val="16"/>
          <w:szCs w:val="16"/>
        </w:rPr>
        <w:t xml:space="preserve"> Decreto 1081 de 2015: </w:t>
      </w:r>
      <w:r>
        <w:rPr>
          <w:rFonts w:ascii="Arial" w:hAnsi="Arial" w:cs="Arial"/>
          <w:color w:val="000000"/>
          <w:sz w:val="16"/>
          <w:szCs w:val="16"/>
        </w:rPr>
        <w:t>“</w:t>
      </w:r>
      <w:r w:rsidRPr="000201D9">
        <w:rPr>
          <w:rFonts w:ascii="Arial" w:hAnsi="Arial" w:cs="Arial"/>
          <w:color w:val="000000"/>
          <w:sz w:val="16"/>
          <w:szCs w:val="16"/>
        </w:rPr>
        <w:t>Artículo 2.1.1.2.1.8.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r>
        <w:rPr>
          <w:rFonts w:ascii="Arial" w:hAnsi="Arial" w:cs="Arial"/>
          <w:color w:val="000000"/>
          <w:sz w:val="16"/>
          <w:szCs w:val="16"/>
        </w:rPr>
        <w:t>”</w:t>
      </w:r>
      <w:r w:rsidRPr="000201D9">
        <w:rPr>
          <w:rFonts w:ascii="Arial" w:hAnsi="Arial" w:cs="Arial"/>
          <w:color w:val="000000"/>
          <w:sz w:val="16"/>
          <w:szCs w:val="16"/>
        </w:rPr>
        <w:t>.</w:t>
      </w:r>
    </w:p>
  </w:footnote>
  <w:footnote w:id="8">
    <w:p w14:paraId="661E7DE3" w14:textId="77777777" w:rsidR="00DF5650" w:rsidRPr="000201D9" w:rsidRDefault="00DF5650" w:rsidP="00DF5650">
      <w:pPr>
        <w:pStyle w:val="Textonotapie"/>
        <w:ind w:firstLine="708"/>
        <w:jc w:val="both"/>
        <w:rPr>
          <w:rFonts w:ascii="Arial" w:hAnsi="Arial" w:cs="Arial"/>
          <w:sz w:val="16"/>
          <w:szCs w:val="16"/>
          <w:lang w:val="es-CO"/>
        </w:rPr>
      </w:pPr>
      <w:r w:rsidRPr="000201D9">
        <w:rPr>
          <w:rStyle w:val="Refdenotaalpie"/>
          <w:rFonts w:ascii="Arial" w:hAnsi="Arial" w:cs="Arial"/>
        </w:rPr>
        <w:footnoteRef/>
      </w:r>
      <w:r w:rsidRPr="000201D9">
        <w:rPr>
          <w:rFonts w:ascii="Arial" w:hAnsi="Arial" w:cs="Arial"/>
          <w:sz w:val="16"/>
          <w:szCs w:val="16"/>
        </w:rPr>
        <w:t xml:space="preserve">  Ley 1712 de 2014 </w:t>
      </w:r>
      <w:r>
        <w:rPr>
          <w:rFonts w:ascii="Arial" w:hAnsi="Arial" w:cs="Arial"/>
          <w:sz w:val="16"/>
          <w:szCs w:val="16"/>
        </w:rPr>
        <w:t>“</w:t>
      </w:r>
      <w:r w:rsidRPr="000201D9">
        <w:rPr>
          <w:rFonts w:ascii="Arial" w:hAnsi="Arial" w:cs="Arial"/>
          <w:sz w:val="16"/>
          <w:szCs w:val="16"/>
        </w:rPr>
        <w:t>Artículo 2°.Principio de máxima publicidad para titular universal. Toda información en posesión, bajo control o custodia de un sujeto obligado es pública y no podrá ser reservada o limitada sino por disposición constitucional o legal, de conformidad con la presente ley</w:t>
      </w:r>
      <w:r>
        <w:rPr>
          <w:rFonts w:ascii="Arial" w:hAnsi="Arial" w:cs="Arial"/>
          <w:sz w:val="16"/>
          <w:szCs w:val="16"/>
        </w:rPr>
        <w:t>”</w:t>
      </w:r>
      <w:r w:rsidRPr="000201D9">
        <w:rPr>
          <w:rFonts w:ascii="Arial" w:hAnsi="Arial" w:cs="Arial"/>
          <w:sz w:val="16"/>
          <w:szCs w:val="16"/>
        </w:rPr>
        <w:t>.</w:t>
      </w:r>
    </w:p>
  </w:footnote>
  <w:footnote w:id="9">
    <w:p w14:paraId="3AD058EA" w14:textId="77777777" w:rsidR="00DF5650" w:rsidRPr="000201D9" w:rsidRDefault="00DF5650" w:rsidP="00DF5650">
      <w:pPr>
        <w:pStyle w:val="Textonotapie"/>
        <w:rPr>
          <w:rFonts w:ascii="Arial" w:hAnsi="Arial" w:cs="Arial"/>
          <w:sz w:val="16"/>
          <w:szCs w:val="16"/>
        </w:rPr>
      </w:pPr>
    </w:p>
    <w:p w14:paraId="65EFCE9D" w14:textId="77777777" w:rsidR="00DF5650" w:rsidRPr="000201D9" w:rsidRDefault="00DF5650" w:rsidP="00DF5650">
      <w:pPr>
        <w:pStyle w:val="NormalWeb"/>
        <w:spacing w:after="0"/>
        <w:ind w:firstLine="708"/>
        <w:jc w:val="both"/>
        <w:rPr>
          <w:rFonts w:ascii="Arial" w:hAnsi="Arial" w:cs="Arial"/>
          <w:color w:val="000000"/>
          <w:sz w:val="16"/>
          <w:szCs w:val="16"/>
        </w:rPr>
      </w:pPr>
      <w:r w:rsidRPr="000201D9">
        <w:rPr>
          <w:rStyle w:val="Refdenotaalpie"/>
          <w:rFonts w:ascii="Arial" w:hAnsi="Arial" w:cs="Arial"/>
        </w:rPr>
        <w:footnoteRef/>
      </w:r>
      <w:r w:rsidRPr="000201D9">
        <w:rPr>
          <w:rFonts w:ascii="Arial" w:hAnsi="Arial" w:cs="Arial"/>
          <w:sz w:val="16"/>
          <w:szCs w:val="16"/>
        </w:rPr>
        <w:t xml:space="preserve">  Ley 1712 de 2014 </w:t>
      </w:r>
      <w:r>
        <w:rPr>
          <w:rFonts w:ascii="Arial" w:hAnsi="Arial" w:cs="Arial"/>
          <w:sz w:val="16"/>
          <w:szCs w:val="16"/>
        </w:rPr>
        <w:t>“</w:t>
      </w:r>
      <w:r w:rsidRPr="000201D9">
        <w:rPr>
          <w:rStyle w:val="PiedepginaCar"/>
          <w:rFonts w:ascii="Arial" w:hAnsi="Arial" w:cs="Arial"/>
          <w:color w:val="000000"/>
        </w:rPr>
        <w:t xml:space="preserve"> </w:t>
      </w:r>
      <w:r w:rsidRPr="000201D9">
        <w:rPr>
          <w:rFonts w:ascii="Arial" w:hAnsi="Arial" w:cs="Arial"/>
          <w:color w:val="000000"/>
          <w:sz w:val="16"/>
          <w:szCs w:val="16"/>
        </w:rPr>
        <w:t>Artículo 3°.Otros principios de la transparencia y acceso a la información pública. En la interpretación del derecho de acceso a la información se deberá adoptar un criterio de razonabilidad y proporcionalidad, así como aplicar los siguientes principios: </w:t>
      </w:r>
    </w:p>
    <w:p w14:paraId="3BD6536C" w14:textId="77777777" w:rsidR="00DF5650" w:rsidRPr="000201D9" w:rsidRDefault="00DF5650" w:rsidP="00DF5650">
      <w:pPr>
        <w:jc w:val="both"/>
        <w:rPr>
          <w:rFonts w:ascii="Arial" w:hAnsi="Arial" w:cs="Arial"/>
          <w:color w:val="000000"/>
          <w:sz w:val="16"/>
          <w:szCs w:val="16"/>
          <w:lang w:eastAsia="es-CO"/>
        </w:rPr>
      </w:pPr>
      <w:r w:rsidRPr="000201D9">
        <w:rPr>
          <w:rFonts w:ascii="Arial" w:hAnsi="Arial" w:cs="Arial"/>
          <w:color w:val="000000"/>
          <w:sz w:val="16"/>
          <w:szCs w:val="16"/>
          <w:lang w:eastAsia="es-CO"/>
        </w:rPr>
        <w:t> </w:t>
      </w:r>
      <w:r w:rsidRPr="000201D9">
        <w:rPr>
          <w:rFonts w:ascii="Arial" w:hAnsi="Arial" w:cs="Arial"/>
          <w:color w:val="000000"/>
          <w:sz w:val="16"/>
          <w:szCs w:val="16"/>
          <w:lang w:eastAsia="es-CO"/>
        </w:rPr>
        <w:tab/>
      </w:r>
      <w:r>
        <w:rPr>
          <w:rFonts w:ascii="Arial" w:hAnsi="Arial" w:cs="Arial"/>
          <w:color w:val="000000"/>
          <w:sz w:val="16"/>
          <w:szCs w:val="16"/>
          <w:lang w:eastAsia="es-CO"/>
        </w:rPr>
        <w:t>“</w:t>
      </w:r>
      <w:r w:rsidRPr="000201D9">
        <w:rPr>
          <w:rFonts w:ascii="Arial" w:hAnsi="Arial" w:cs="Arial"/>
          <w:color w:val="000000"/>
          <w:sz w:val="16"/>
          <w:szCs w:val="16"/>
          <w:lang w:eastAsia="es-CO"/>
        </w:rPr>
        <w:t>Principio de transparencia. Principio conforme al cual toda la información en poder de los sujetos obligados definidos en esta ley se presume pública, en consecuencia de lo cual dichos sujetos están en el deber de proporcionar y facilitar el acceso a la misma en los términos más amplios posibles y a través de los medios y procedimientos que al efecto establezca la ley, excluyendo solo aquello que esté sujeto a las excepciones constitucionales y legales y bajo el cumplimiento de los requisitos establecidos en esta ley. </w:t>
      </w:r>
    </w:p>
    <w:p w14:paraId="284B2FC7" w14:textId="77777777" w:rsidR="00DF5650" w:rsidRPr="000201D9" w:rsidRDefault="00DF5650" w:rsidP="00DF5650">
      <w:pPr>
        <w:jc w:val="both"/>
        <w:rPr>
          <w:rFonts w:ascii="Arial" w:hAnsi="Arial" w:cs="Arial"/>
          <w:color w:val="000000"/>
          <w:sz w:val="16"/>
          <w:szCs w:val="16"/>
          <w:lang w:eastAsia="es-CO"/>
        </w:rPr>
      </w:pPr>
      <w:r w:rsidRPr="000201D9">
        <w:rPr>
          <w:rFonts w:ascii="Arial" w:hAnsi="Arial" w:cs="Arial"/>
          <w:color w:val="000000"/>
          <w:sz w:val="16"/>
          <w:szCs w:val="16"/>
          <w:lang w:eastAsia="es-CO"/>
        </w:rPr>
        <w:t>  </w:t>
      </w:r>
      <w:r w:rsidRPr="000201D9">
        <w:rPr>
          <w:rFonts w:ascii="Arial" w:hAnsi="Arial" w:cs="Arial"/>
          <w:color w:val="000000"/>
          <w:sz w:val="16"/>
          <w:szCs w:val="16"/>
          <w:lang w:eastAsia="es-CO"/>
        </w:rPr>
        <w:tab/>
        <w:t>[…] </w:t>
      </w:r>
    </w:p>
    <w:p w14:paraId="67749B17" w14:textId="77777777" w:rsidR="00DF5650" w:rsidRPr="000201D9" w:rsidRDefault="00DF5650" w:rsidP="00DF5650">
      <w:pPr>
        <w:jc w:val="both"/>
        <w:rPr>
          <w:rFonts w:ascii="Arial" w:hAnsi="Arial" w:cs="Arial"/>
          <w:color w:val="000000"/>
          <w:sz w:val="16"/>
          <w:szCs w:val="16"/>
          <w:lang w:eastAsia="es-CO"/>
        </w:rPr>
      </w:pPr>
      <w:r w:rsidRPr="000201D9">
        <w:rPr>
          <w:rFonts w:ascii="Arial" w:hAnsi="Arial" w:cs="Arial"/>
          <w:color w:val="000000"/>
          <w:sz w:val="16"/>
          <w:szCs w:val="16"/>
          <w:lang w:eastAsia="es-CO"/>
        </w:rPr>
        <w:t>  </w:t>
      </w:r>
      <w:r w:rsidRPr="000201D9">
        <w:rPr>
          <w:rFonts w:ascii="Arial" w:hAnsi="Arial" w:cs="Arial"/>
          <w:color w:val="000000"/>
          <w:sz w:val="16"/>
          <w:szCs w:val="16"/>
          <w:lang w:eastAsia="es-CO"/>
        </w:rPr>
        <w:tab/>
      </w:r>
      <w:r>
        <w:rPr>
          <w:rFonts w:ascii="Arial" w:hAnsi="Arial" w:cs="Arial"/>
          <w:color w:val="000000"/>
          <w:sz w:val="16"/>
          <w:szCs w:val="16"/>
          <w:lang w:eastAsia="es-CO"/>
        </w:rPr>
        <w:t>“</w:t>
      </w:r>
      <w:r w:rsidRPr="000201D9">
        <w:rPr>
          <w:rFonts w:ascii="Arial" w:hAnsi="Arial" w:cs="Arial"/>
          <w:color w:val="000000"/>
          <w:sz w:val="16"/>
          <w:szCs w:val="16"/>
          <w:lang w:eastAsia="es-CO"/>
        </w:rPr>
        <w:t>Principio de facilitación. En virtud de este principio los sujetos obligados deberán facilitar el ejercicio del derecho de acceso a la información pública, excluyendo exigencias o requisitos que puedan obstruirlo o impedirlo. </w:t>
      </w:r>
    </w:p>
    <w:p w14:paraId="7F6EAB3A" w14:textId="77777777" w:rsidR="00DF5650" w:rsidRPr="000201D9" w:rsidRDefault="00DF5650" w:rsidP="00DF5650">
      <w:pPr>
        <w:jc w:val="both"/>
        <w:rPr>
          <w:rFonts w:ascii="Arial" w:hAnsi="Arial" w:cs="Arial"/>
          <w:color w:val="000000"/>
          <w:sz w:val="16"/>
          <w:szCs w:val="16"/>
          <w:lang w:eastAsia="es-CO"/>
        </w:rPr>
      </w:pPr>
      <w:r w:rsidRPr="000201D9">
        <w:rPr>
          <w:rFonts w:ascii="Arial" w:hAnsi="Arial" w:cs="Arial"/>
          <w:color w:val="000000"/>
          <w:sz w:val="16"/>
          <w:szCs w:val="16"/>
          <w:lang w:eastAsia="es-CO"/>
        </w:rPr>
        <w:t>  </w:t>
      </w:r>
      <w:r w:rsidRPr="000201D9">
        <w:rPr>
          <w:rFonts w:ascii="Arial" w:hAnsi="Arial" w:cs="Arial"/>
          <w:color w:val="000000"/>
          <w:sz w:val="16"/>
          <w:szCs w:val="16"/>
          <w:lang w:eastAsia="es-CO"/>
        </w:rPr>
        <w:tab/>
        <w:t>[…]</w:t>
      </w:r>
    </w:p>
    <w:p w14:paraId="53ABC329" w14:textId="77777777" w:rsidR="00DF5650" w:rsidRPr="000201D9" w:rsidRDefault="00DF5650" w:rsidP="00DF5650">
      <w:pPr>
        <w:jc w:val="both"/>
        <w:rPr>
          <w:rFonts w:ascii="Arial" w:hAnsi="Arial" w:cs="Arial"/>
          <w:color w:val="000000"/>
          <w:sz w:val="16"/>
          <w:szCs w:val="16"/>
          <w:lang w:eastAsia="es-CO"/>
        </w:rPr>
      </w:pPr>
      <w:r w:rsidRPr="000201D9">
        <w:rPr>
          <w:rFonts w:ascii="Arial" w:hAnsi="Arial" w:cs="Arial"/>
          <w:color w:val="000000"/>
          <w:sz w:val="16"/>
          <w:szCs w:val="16"/>
          <w:lang w:eastAsia="es-CO"/>
        </w:rPr>
        <w:t>  </w:t>
      </w:r>
      <w:r w:rsidRPr="000201D9">
        <w:rPr>
          <w:rFonts w:ascii="Arial" w:hAnsi="Arial" w:cs="Arial"/>
          <w:color w:val="000000"/>
          <w:sz w:val="16"/>
          <w:szCs w:val="16"/>
          <w:lang w:eastAsia="es-CO"/>
        </w:rPr>
        <w:tab/>
      </w:r>
      <w:r>
        <w:rPr>
          <w:rFonts w:ascii="Arial" w:hAnsi="Arial" w:cs="Arial"/>
          <w:color w:val="000000"/>
          <w:sz w:val="16"/>
          <w:szCs w:val="16"/>
          <w:lang w:eastAsia="es-CO"/>
        </w:rPr>
        <w:t>“</w:t>
      </w:r>
      <w:r w:rsidRPr="000201D9">
        <w:rPr>
          <w:rFonts w:ascii="Arial" w:hAnsi="Arial" w:cs="Arial"/>
          <w:color w:val="000000"/>
          <w:sz w:val="16"/>
          <w:szCs w:val="16"/>
          <w:lang w:eastAsia="es-CO"/>
        </w:rPr>
        <w:t xml:space="preserve"> Principio de la divulgación proactiva de la información. El derecho de acceso a la información no radica únicamente en la obligación de dar respuesta a las peticiones de la sociedad, sino también en el deber de los sujetos obligados de promover y generar una cultura de transparencia, lo que conlleva la obligación de publicar y divulgar documentos y archivos que plasman la actividad estatal y de interés público, de forma rutinaria y proactiva, actualizada, accesible y comprensible, atendiendo a límites razonables del talento humano y recursos físicos y financieros […]</w:t>
      </w:r>
      <w:r>
        <w:rPr>
          <w:rFonts w:ascii="Arial" w:hAnsi="Arial" w:cs="Arial"/>
          <w:color w:val="000000"/>
          <w:sz w:val="16"/>
          <w:szCs w:val="16"/>
          <w:lang w:eastAsia="es-CO"/>
        </w:rPr>
        <w:t>”</w:t>
      </w:r>
      <w:r w:rsidRPr="000201D9">
        <w:rPr>
          <w:rFonts w:ascii="Arial" w:hAnsi="Arial" w:cs="Arial"/>
          <w:color w:val="000000"/>
          <w:sz w:val="16"/>
          <w:szCs w:val="16"/>
          <w:lang w:eastAsia="es-CO"/>
        </w:rPr>
        <w:t>.</w:t>
      </w:r>
    </w:p>
    <w:p w14:paraId="7F6AD5BB" w14:textId="77777777" w:rsidR="00DF5650" w:rsidRPr="000201D9" w:rsidRDefault="00DF5650" w:rsidP="00DF5650">
      <w:pPr>
        <w:pStyle w:val="Textonotapie"/>
        <w:rPr>
          <w:rFonts w:ascii="Arial" w:eastAsia="Calibri" w:hAnsi="Arial" w:cs="Arial"/>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849537" w14:textId="2A6D5254"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1125632"/>
    <w:multiLevelType w:val="hybridMultilevel"/>
    <w:tmpl w:val="7DDC070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8BA223E"/>
    <w:multiLevelType w:val="hybridMultilevel"/>
    <w:tmpl w:val="A5868C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8F864FF"/>
    <w:multiLevelType w:val="hybridMultilevel"/>
    <w:tmpl w:val="C5B65E6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1" w15:restartNumberingAfterBreak="0">
    <w:nsid w:val="54290360"/>
    <w:multiLevelType w:val="hybridMultilevel"/>
    <w:tmpl w:val="35988B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597E7732"/>
    <w:multiLevelType w:val="hybridMultilevel"/>
    <w:tmpl w:val="15583C0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3"/>
  </w:num>
  <w:num w:numId="4">
    <w:abstractNumId w:val="0"/>
  </w:num>
  <w:num w:numId="5">
    <w:abstractNumId w:val="10"/>
  </w:num>
  <w:num w:numId="6">
    <w:abstractNumId w:val="1"/>
  </w:num>
  <w:num w:numId="7">
    <w:abstractNumId w:val="7"/>
  </w:num>
  <w:num w:numId="8">
    <w:abstractNumId w:val="9"/>
  </w:num>
  <w:num w:numId="9">
    <w:abstractNumId w:val="12"/>
  </w:num>
  <w:num w:numId="10">
    <w:abstractNumId w:val="11"/>
  </w:num>
  <w:num w:numId="11">
    <w:abstractNumId w:val="6"/>
  </w:num>
  <w:num w:numId="12">
    <w:abstractNumId w:val="4"/>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3E5B"/>
    <w:rsid w:val="00005BB0"/>
    <w:rsid w:val="0001025F"/>
    <w:rsid w:val="00011A77"/>
    <w:rsid w:val="0001222D"/>
    <w:rsid w:val="000135EB"/>
    <w:rsid w:val="00015D2B"/>
    <w:rsid w:val="00021926"/>
    <w:rsid w:val="00023823"/>
    <w:rsid w:val="00031584"/>
    <w:rsid w:val="00032A0E"/>
    <w:rsid w:val="00037347"/>
    <w:rsid w:val="00040A35"/>
    <w:rsid w:val="000441B0"/>
    <w:rsid w:val="000442CC"/>
    <w:rsid w:val="000531F5"/>
    <w:rsid w:val="0005481D"/>
    <w:rsid w:val="000556D4"/>
    <w:rsid w:val="000716AB"/>
    <w:rsid w:val="00082E4C"/>
    <w:rsid w:val="000849D5"/>
    <w:rsid w:val="0008528F"/>
    <w:rsid w:val="00090E20"/>
    <w:rsid w:val="000A6E0C"/>
    <w:rsid w:val="000A7A56"/>
    <w:rsid w:val="000B1FF7"/>
    <w:rsid w:val="000B2513"/>
    <w:rsid w:val="000B4024"/>
    <w:rsid w:val="000B5FFE"/>
    <w:rsid w:val="000C3C51"/>
    <w:rsid w:val="000C7262"/>
    <w:rsid w:val="000D2A7F"/>
    <w:rsid w:val="000D4FCE"/>
    <w:rsid w:val="000D634C"/>
    <w:rsid w:val="000E08DE"/>
    <w:rsid w:val="000E0E94"/>
    <w:rsid w:val="000E670C"/>
    <w:rsid w:val="000F2DCB"/>
    <w:rsid w:val="001079A9"/>
    <w:rsid w:val="0011037E"/>
    <w:rsid w:val="00120C22"/>
    <w:rsid w:val="00123B10"/>
    <w:rsid w:val="001363C7"/>
    <w:rsid w:val="00141AC5"/>
    <w:rsid w:val="00146B11"/>
    <w:rsid w:val="00147A04"/>
    <w:rsid w:val="00152E66"/>
    <w:rsid w:val="0015476D"/>
    <w:rsid w:val="00161E13"/>
    <w:rsid w:val="0016210D"/>
    <w:rsid w:val="00164AE0"/>
    <w:rsid w:val="00165E83"/>
    <w:rsid w:val="00166CD7"/>
    <w:rsid w:val="00167195"/>
    <w:rsid w:val="001672D4"/>
    <w:rsid w:val="0017120C"/>
    <w:rsid w:val="00172F3A"/>
    <w:rsid w:val="001809C7"/>
    <w:rsid w:val="00192719"/>
    <w:rsid w:val="0019532A"/>
    <w:rsid w:val="0019670E"/>
    <w:rsid w:val="00197205"/>
    <w:rsid w:val="001A5DD4"/>
    <w:rsid w:val="001A67E9"/>
    <w:rsid w:val="001B143B"/>
    <w:rsid w:val="001B14B3"/>
    <w:rsid w:val="001B21CA"/>
    <w:rsid w:val="001B5566"/>
    <w:rsid w:val="001C04FC"/>
    <w:rsid w:val="001C25A3"/>
    <w:rsid w:val="001C5D03"/>
    <w:rsid w:val="001C7771"/>
    <w:rsid w:val="001D62FF"/>
    <w:rsid w:val="001E2B8E"/>
    <w:rsid w:val="001E5CC4"/>
    <w:rsid w:val="001F3F48"/>
    <w:rsid w:val="002000AA"/>
    <w:rsid w:val="00203A80"/>
    <w:rsid w:val="00204109"/>
    <w:rsid w:val="0021026D"/>
    <w:rsid w:val="00211E6E"/>
    <w:rsid w:val="00212A46"/>
    <w:rsid w:val="0021401D"/>
    <w:rsid w:val="002146B8"/>
    <w:rsid w:val="00215516"/>
    <w:rsid w:val="00244C79"/>
    <w:rsid w:val="002527C2"/>
    <w:rsid w:val="00265C55"/>
    <w:rsid w:val="00270443"/>
    <w:rsid w:val="00270EE2"/>
    <w:rsid w:val="00272972"/>
    <w:rsid w:val="0028252D"/>
    <w:rsid w:val="00285F49"/>
    <w:rsid w:val="00286491"/>
    <w:rsid w:val="00294626"/>
    <w:rsid w:val="00295193"/>
    <w:rsid w:val="002A097D"/>
    <w:rsid w:val="002A0F8D"/>
    <w:rsid w:val="002B50F1"/>
    <w:rsid w:val="002B6E44"/>
    <w:rsid w:val="002D3753"/>
    <w:rsid w:val="002D3E33"/>
    <w:rsid w:val="002D580F"/>
    <w:rsid w:val="002E1DB5"/>
    <w:rsid w:val="002F6CCB"/>
    <w:rsid w:val="00300925"/>
    <w:rsid w:val="0030461E"/>
    <w:rsid w:val="00313541"/>
    <w:rsid w:val="00317666"/>
    <w:rsid w:val="0032756A"/>
    <w:rsid w:val="00332F38"/>
    <w:rsid w:val="00334EF8"/>
    <w:rsid w:val="00336408"/>
    <w:rsid w:val="00340DFB"/>
    <w:rsid w:val="0034404F"/>
    <w:rsid w:val="003471E6"/>
    <w:rsid w:val="00356980"/>
    <w:rsid w:val="003639DA"/>
    <w:rsid w:val="00367462"/>
    <w:rsid w:val="00371ECA"/>
    <w:rsid w:val="00372748"/>
    <w:rsid w:val="0037332A"/>
    <w:rsid w:val="00373624"/>
    <w:rsid w:val="0038151A"/>
    <w:rsid w:val="0039082A"/>
    <w:rsid w:val="00390C21"/>
    <w:rsid w:val="003A37BD"/>
    <w:rsid w:val="003A545D"/>
    <w:rsid w:val="003B6D94"/>
    <w:rsid w:val="003C0DF9"/>
    <w:rsid w:val="003C4C96"/>
    <w:rsid w:val="003C55E0"/>
    <w:rsid w:val="003F519B"/>
    <w:rsid w:val="003F5396"/>
    <w:rsid w:val="00404EAA"/>
    <w:rsid w:val="0040544F"/>
    <w:rsid w:val="00406A19"/>
    <w:rsid w:val="0041222D"/>
    <w:rsid w:val="0041483E"/>
    <w:rsid w:val="00415369"/>
    <w:rsid w:val="00420C54"/>
    <w:rsid w:val="004221C8"/>
    <w:rsid w:val="00430492"/>
    <w:rsid w:val="00432FFE"/>
    <w:rsid w:val="0044729A"/>
    <w:rsid w:val="00450BE7"/>
    <w:rsid w:val="004667EB"/>
    <w:rsid w:val="0046741E"/>
    <w:rsid w:val="00472CC6"/>
    <w:rsid w:val="004767A4"/>
    <w:rsid w:val="0048026E"/>
    <w:rsid w:val="004807A9"/>
    <w:rsid w:val="004813EE"/>
    <w:rsid w:val="00482349"/>
    <w:rsid w:val="00493278"/>
    <w:rsid w:val="004943D9"/>
    <w:rsid w:val="004A0E7B"/>
    <w:rsid w:val="004A3498"/>
    <w:rsid w:val="004B0C45"/>
    <w:rsid w:val="004B7E5C"/>
    <w:rsid w:val="004C0AB2"/>
    <w:rsid w:val="004C1619"/>
    <w:rsid w:val="004C1A26"/>
    <w:rsid w:val="004C1CC9"/>
    <w:rsid w:val="004C3755"/>
    <w:rsid w:val="004C4485"/>
    <w:rsid w:val="004D07AC"/>
    <w:rsid w:val="004D0B5D"/>
    <w:rsid w:val="004D11AF"/>
    <w:rsid w:val="00500DFA"/>
    <w:rsid w:val="005019AA"/>
    <w:rsid w:val="005021BB"/>
    <w:rsid w:val="005139E7"/>
    <w:rsid w:val="005147DA"/>
    <w:rsid w:val="00515FB5"/>
    <w:rsid w:val="00516090"/>
    <w:rsid w:val="005207F7"/>
    <w:rsid w:val="0052365C"/>
    <w:rsid w:val="005271EB"/>
    <w:rsid w:val="005426DB"/>
    <w:rsid w:val="0055082B"/>
    <w:rsid w:val="00552503"/>
    <w:rsid w:val="00552B57"/>
    <w:rsid w:val="00557DA1"/>
    <w:rsid w:val="0056322C"/>
    <w:rsid w:val="005679C2"/>
    <w:rsid w:val="00577152"/>
    <w:rsid w:val="00586562"/>
    <w:rsid w:val="0058743A"/>
    <w:rsid w:val="005A3FCB"/>
    <w:rsid w:val="005A4DB0"/>
    <w:rsid w:val="005A7B8E"/>
    <w:rsid w:val="005B012B"/>
    <w:rsid w:val="005B0C87"/>
    <w:rsid w:val="005C4800"/>
    <w:rsid w:val="005C4978"/>
    <w:rsid w:val="005D23F6"/>
    <w:rsid w:val="005D2FA8"/>
    <w:rsid w:val="005D4BD8"/>
    <w:rsid w:val="005E2281"/>
    <w:rsid w:val="005E667C"/>
    <w:rsid w:val="005F077C"/>
    <w:rsid w:val="005F50D7"/>
    <w:rsid w:val="005F5F33"/>
    <w:rsid w:val="005F63D0"/>
    <w:rsid w:val="005F7973"/>
    <w:rsid w:val="00606D1F"/>
    <w:rsid w:val="0061690E"/>
    <w:rsid w:val="00627361"/>
    <w:rsid w:val="0063017E"/>
    <w:rsid w:val="00631B28"/>
    <w:rsid w:val="00635F89"/>
    <w:rsid w:val="006450EE"/>
    <w:rsid w:val="00645B90"/>
    <w:rsid w:val="00650991"/>
    <w:rsid w:val="006511D7"/>
    <w:rsid w:val="00663D75"/>
    <w:rsid w:val="00664B60"/>
    <w:rsid w:val="0066531E"/>
    <w:rsid w:val="00670AEF"/>
    <w:rsid w:val="00675678"/>
    <w:rsid w:val="00676A8B"/>
    <w:rsid w:val="00677012"/>
    <w:rsid w:val="006825B4"/>
    <w:rsid w:val="00682AF2"/>
    <w:rsid w:val="006864DF"/>
    <w:rsid w:val="006A1D37"/>
    <w:rsid w:val="006A3C8A"/>
    <w:rsid w:val="006A49F1"/>
    <w:rsid w:val="006A7552"/>
    <w:rsid w:val="006B0C69"/>
    <w:rsid w:val="006B5953"/>
    <w:rsid w:val="006B5AD4"/>
    <w:rsid w:val="006B7A81"/>
    <w:rsid w:val="006C4BAC"/>
    <w:rsid w:val="006C52F3"/>
    <w:rsid w:val="006E1F18"/>
    <w:rsid w:val="006E7F37"/>
    <w:rsid w:val="006F3B81"/>
    <w:rsid w:val="006F4F79"/>
    <w:rsid w:val="00702163"/>
    <w:rsid w:val="00705394"/>
    <w:rsid w:val="00705B37"/>
    <w:rsid w:val="00711FD9"/>
    <w:rsid w:val="00735062"/>
    <w:rsid w:val="00745400"/>
    <w:rsid w:val="00746BA5"/>
    <w:rsid w:val="00751D23"/>
    <w:rsid w:val="00770577"/>
    <w:rsid w:val="00777666"/>
    <w:rsid w:val="0078159B"/>
    <w:rsid w:val="0078296B"/>
    <w:rsid w:val="00782E10"/>
    <w:rsid w:val="0078706B"/>
    <w:rsid w:val="00790836"/>
    <w:rsid w:val="00797131"/>
    <w:rsid w:val="007A3C1D"/>
    <w:rsid w:val="007B285D"/>
    <w:rsid w:val="007B541E"/>
    <w:rsid w:val="007C6BC6"/>
    <w:rsid w:val="007E130B"/>
    <w:rsid w:val="007E175D"/>
    <w:rsid w:val="00807D79"/>
    <w:rsid w:val="00813634"/>
    <w:rsid w:val="00822821"/>
    <w:rsid w:val="00831C29"/>
    <w:rsid w:val="008431EF"/>
    <w:rsid w:val="008468E0"/>
    <w:rsid w:val="00863077"/>
    <w:rsid w:val="00865FBA"/>
    <w:rsid w:val="00871B59"/>
    <w:rsid w:val="00873026"/>
    <w:rsid w:val="00876251"/>
    <w:rsid w:val="00877D03"/>
    <w:rsid w:val="00877E96"/>
    <w:rsid w:val="008806CA"/>
    <w:rsid w:val="008815E5"/>
    <w:rsid w:val="00887B37"/>
    <w:rsid w:val="0089018C"/>
    <w:rsid w:val="008909B9"/>
    <w:rsid w:val="00891DFC"/>
    <w:rsid w:val="008B12B4"/>
    <w:rsid w:val="008B7914"/>
    <w:rsid w:val="008C5D2A"/>
    <w:rsid w:val="008C7AF4"/>
    <w:rsid w:val="008D1EB8"/>
    <w:rsid w:val="008D529F"/>
    <w:rsid w:val="008F5CC8"/>
    <w:rsid w:val="00901D77"/>
    <w:rsid w:val="0090435F"/>
    <w:rsid w:val="009061B8"/>
    <w:rsid w:val="0091008B"/>
    <w:rsid w:val="00911EA2"/>
    <w:rsid w:val="0091425D"/>
    <w:rsid w:val="00916C7D"/>
    <w:rsid w:val="00923D6E"/>
    <w:rsid w:val="0092575D"/>
    <w:rsid w:val="009341DA"/>
    <w:rsid w:val="009430F9"/>
    <w:rsid w:val="009442E8"/>
    <w:rsid w:val="009457B6"/>
    <w:rsid w:val="00946BD0"/>
    <w:rsid w:val="0095426C"/>
    <w:rsid w:val="009542B5"/>
    <w:rsid w:val="00962196"/>
    <w:rsid w:val="00970087"/>
    <w:rsid w:val="00971074"/>
    <w:rsid w:val="00983F49"/>
    <w:rsid w:val="00987B8D"/>
    <w:rsid w:val="00995D86"/>
    <w:rsid w:val="009A5453"/>
    <w:rsid w:val="009A7AF7"/>
    <w:rsid w:val="009B1186"/>
    <w:rsid w:val="009B4D94"/>
    <w:rsid w:val="009C2871"/>
    <w:rsid w:val="009D2600"/>
    <w:rsid w:val="009D3C33"/>
    <w:rsid w:val="009D7F3A"/>
    <w:rsid w:val="009E4885"/>
    <w:rsid w:val="00A07DB6"/>
    <w:rsid w:val="00A10A73"/>
    <w:rsid w:val="00A170B3"/>
    <w:rsid w:val="00A223D5"/>
    <w:rsid w:val="00A37D1C"/>
    <w:rsid w:val="00A41AF1"/>
    <w:rsid w:val="00A468AF"/>
    <w:rsid w:val="00A5453E"/>
    <w:rsid w:val="00A55848"/>
    <w:rsid w:val="00A558E2"/>
    <w:rsid w:val="00A56F6C"/>
    <w:rsid w:val="00A679CB"/>
    <w:rsid w:val="00A76C8C"/>
    <w:rsid w:val="00A85F30"/>
    <w:rsid w:val="00A9099E"/>
    <w:rsid w:val="00A91FB7"/>
    <w:rsid w:val="00A9298F"/>
    <w:rsid w:val="00AA0351"/>
    <w:rsid w:val="00AA0DA9"/>
    <w:rsid w:val="00AA132B"/>
    <w:rsid w:val="00AA5F4A"/>
    <w:rsid w:val="00AA7BEF"/>
    <w:rsid w:val="00AB1984"/>
    <w:rsid w:val="00AB52B1"/>
    <w:rsid w:val="00AC1CAB"/>
    <w:rsid w:val="00AC4CB3"/>
    <w:rsid w:val="00AC780D"/>
    <w:rsid w:val="00AD036B"/>
    <w:rsid w:val="00AD1996"/>
    <w:rsid w:val="00AD4099"/>
    <w:rsid w:val="00AD4901"/>
    <w:rsid w:val="00B02FE0"/>
    <w:rsid w:val="00B057B6"/>
    <w:rsid w:val="00B118C5"/>
    <w:rsid w:val="00B126EC"/>
    <w:rsid w:val="00B2722B"/>
    <w:rsid w:val="00B30448"/>
    <w:rsid w:val="00B34786"/>
    <w:rsid w:val="00B400EC"/>
    <w:rsid w:val="00B40162"/>
    <w:rsid w:val="00B41ACE"/>
    <w:rsid w:val="00B41B8B"/>
    <w:rsid w:val="00B50156"/>
    <w:rsid w:val="00B518AD"/>
    <w:rsid w:val="00B60A96"/>
    <w:rsid w:val="00B678EC"/>
    <w:rsid w:val="00B73DDD"/>
    <w:rsid w:val="00B76C94"/>
    <w:rsid w:val="00B772D0"/>
    <w:rsid w:val="00B836EA"/>
    <w:rsid w:val="00B84C05"/>
    <w:rsid w:val="00B907CF"/>
    <w:rsid w:val="00B91B81"/>
    <w:rsid w:val="00B97135"/>
    <w:rsid w:val="00BB3072"/>
    <w:rsid w:val="00BC5FE4"/>
    <w:rsid w:val="00BC7632"/>
    <w:rsid w:val="00BD48A9"/>
    <w:rsid w:val="00BD630F"/>
    <w:rsid w:val="00BD7EC6"/>
    <w:rsid w:val="00BE3E91"/>
    <w:rsid w:val="00BE45FE"/>
    <w:rsid w:val="00BE73FA"/>
    <w:rsid w:val="00BF5C2A"/>
    <w:rsid w:val="00BF6B4B"/>
    <w:rsid w:val="00C0511C"/>
    <w:rsid w:val="00C20ACF"/>
    <w:rsid w:val="00C22307"/>
    <w:rsid w:val="00C23469"/>
    <w:rsid w:val="00C30C62"/>
    <w:rsid w:val="00C315BE"/>
    <w:rsid w:val="00C33386"/>
    <w:rsid w:val="00C371DF"/>
    <w:rsid w:val="00C42055"/>
    <w:rsid w:val="00C44B4C"/>
    <w:rsid w:val="00C46734"/>
    <w:rsid w:val="00C47A86"/>
    <w:rsid w:val="00C53220"/>
    <w:rsid w:val="00C6639C"/>
    <w:rsid w:val="00C75D6C"/>
    <w:rsid w:val="00CA3347"/>
    <w:rsid w:val="00CB28AD"/>
    <w:rsid w:val="00CC299A"/>
    <w:rsid w:val="00CD03E3"/>
    <w:rsid w:val="00CD2674"/>
    <w:rsid w:val="00CD3DF5"/>
    <w:rsid w:val="00CE6BDA"/>
    <w:rsid w:val="00CF6BC0"/>
    <w:rsid w:val="00D03DBE"/>
    <w:rsid w:val="00D072C0"/>
    <w:rsid w:val="00D131D2"/>
    <w:rsid w:val="00D1770A"/>
    <w:rsid w:val="00D23ADC"/>
    <w:rsid w:val="00D3494C"/>
    <w:rsid w:val="00D34C82"/>
    <w:rsid w:val="00D3757A"/>
    <w:rsid w:val="00D504A9"/>
    <w:rsid w:val="00D5206D"/>
    <w:rsid w:val="00D53CEB"/>
    <w:rsid w:val="00D7177D"/>
    <w:rsid w:val="00D73D4D"/>
    <w:rsid w:val="00D81311"/>
    <w:rsid w:val="00DA538F"/>
    <w:rsid w:val="00DA55B1"/>
    <w:rsid w:val="00DB201E"/>
    <w:rsid w:val="00DB5D94"/>
    <w:rsid w:val="00DC0E68"/>
    <w:rsid w:val="00DC744B"/>
    <w:rsid w:val="00DD25ED"/>
    <w:rsid w:val="00DE0D6E"/>
    <w:rsid w:val="00DE3BAB"/>
    <w:rsid w:val="00DE3E5A"/>
    <w:rsid w:val="00DF4E74"/>
    <w:rsid w:val="00DF5650"/>
    <w:rsid w:val="00E1610C"/>
    <w:rsid w:val="00E16D73"/>
    <w:rsid w:val="00E21EF6"/>
    <w:rsid w:val="00E22171"/>
    <w:rsid w:val="00E23E9E"/>
    <w:rsid w:val="00E24F5C"/>
    <w:rsid w:val="00E25722"/>
    <w:rsid w:val="00E27F0A"/>
    <w:rsid w:val="00E4231E"/>
    <w:rsid w:val="00E4302C"/>
    <w:rsid w:val="00E44AC7"/>
    <w:rsid w:val="00E45F4B"/>
    <w:rsid w:val="00E60A16"/>
    <w:rsid w:val="00E82B6E"/>
    <w:rsid w:val="00E83657"/>
    <w:rsid w:val="00E92110"/>
    <w:rsid w:val="00E93DE7"/>
    <w:rsid w:val="00E94258"/>
    <w:rsid w:val="00E96C18"/>
    <w:rsid w:val="00EA2E61"/>
    <w:rsid w:val="00EA7D7F"/>
    <w:rsid w:val="00EB02F4"/>
    <w:rsid w:val="00EB2FA2"/>
    <w:rsid w:val="00EB4E55"/>
    <w:rsid w:val="00EB769A"/>
    <w:rsid w:val="00EC3A35"/>
    <w:rsid w:val="00EC66AE"/>
    <w:rsid w:val="00ED13A2"/>
    <w:rsid w:val="00EE17F2"/>
    <w:rsid w:val="00EE3138"/>
    <w:rsid w:val="00EE7810"/>
    <w:rsid w:val="00EF2AC7"/>
    <w:rsid w:val="00EF400A"/>
    <w:rsid w:val="00EF6BE4"/>
    <w:rsid w:val="00EF6E5D"/>
    <w:rsid w:val="00F03ECD"/>
    <w:rsid w:val="00F07764"/>
    <w:rsid w:val="00F12517"/>
    <w:rsid w:val="00F131DD"/>
    <w:rsid w:val="00F16BA1"/>
    <w:rsid w:val="00F23900"/>
    <w:rsid w:val="00F24435"/>
    <w:rsid w:val="00F30C0F"/>
    <w:rsid w:val="00F314E8"/>
    <w:rsid w:val="00F323A2"/>
    <w:rsid w:val="00F33B57"/>
    <w:rsid w:val="00F33D5C"/>
    <w:rsid w:val="00F34E90"/>
    <w:rsid w:val="00F356D6"/>
    <w:rsid w:val="00F47695"/>
    <w:rsid w:val="00F53BE2"/>
    <w:rsid w:val="00F55684"/>
    <w:rsid w:val="00F571CF"/>
    <w:rsid w:val="00F64D5A"/>
    <w:rsid w:val="00F709CD"/>
    <w:rsid w:val="00F731CB"/>
    <w:rsid w:val="00F906F4"/>
    <w:rsid w:val="00FA0716"/>
    <w:rsid w:val="00FA4CE1"/>
    <w:rsid w:val="00FB4629"/>
    <w:rsid w:val="00FB6FB1"/>
    <w:rsid w:val="00FB7063"/>
    <w:rsid w:val="00FC5FA1"/>
    <w:rsid w:val="00FC7056"/>
    <w:rsid w:val="00FE1A00"/>
    <w:rsid w:val="00FE4EB4"/>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510454D8"/>
    <w:rsid w:val="521E120A"/>
    <w:rsid w:val="5D8505AD"/>
    <w:rsid w:val="71443FBB"/>
    <w:rsid w:val="72EE784C"/>
    <w:rsid w:val="7563E76A"/>
    <w:rsid w:val="79A6159C"/>
    <w:rsid w:val="7AB489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link w:val="NormalWebCar"/>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NormalTable0">
    <w:name w:val="Normal Table0"/>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 w:type="character" w:customStyle="1" w:styleId="NormalWebCar">
    <w:name w:val="Normal (Web) Car"/>
    <w:link w:val="NormalWeb"/>
    <w:uiPriority w:val="99"/>
    <w:rsid w:val="00EC66A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content/04-documentos-tipo-de-licitacion-de-obra-publica-para-proyectos-de-infraestructura-social" TargetMode="External"/><Relationship Id="rId18" Type="http://schemas.openxmlformats.org/officeDocument/2006/relationships/hyperlink" Target="https://nam02.safelinks.protection.outlook.com/?url=https%3A%2F%2Fwww.colombiacompra.gov.co%2Fsites%2Fcce_public%2Ffiles%2Ffiles_2020%2Fboletin_de_realtoria_iii.pdf&amp;data=05%7C02%7Cmaria.medellin%40colombiacompra.gov.co%7C5aad36a736844ec87b2108dcc1fa4639%7C7b09041e245149d08cb179d5e3d8c1be%7C0%7C0%7C638598527917016943%7CUnknown%7CTWFpbGZsb3d8eyJWIjoiMC4wLjAwMDAiLCJQIjoiV2luMzIiLCJBTiI6Ik1haWwiLCJXVCI6Mn0%3D%7C0%7C%7C%7C&amp;sdata=YdDMi%2FUgTqpLaJ4Uf%2BRDQQEaCBIxUhbm7Wae%2BvIeqHg%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colombiacompra.gov.co/sites/cce_public/files/cce_circulares/circular_externa_unica_version_3_vf49.pdf" TargetMode="External"/><Relationship Id="rId17" Type="http://schemas.openxmlformats.org/officeDocument/2006/relationships/hyperlink" Target="https://nam02.safelinks.protection.outlook.com/?url=https%3A%2F%2Frelatoria.colombiacompra.gov.co%2F&amp;data=05%7C02%7Cmaria.medellin%40colombiacompra.gov.co%7C5aad36a736844ec87b2108dcc1fa4639%7C7b09041e245149d08cb179d5e3d8c1be%7C0%7C0%7C638598527917003470%7CUnknown%7CTWFpbGZsb3d8eyJWIjoiMC4wLjAwMDAiLCJQIjoiV2luMzIiLCJBTiI6Ik1haWwiLCJXVCI6Mn0%3D%7C0%7C%7C%7C&amp;sdata=Gl6rTZtPvlbLZ4eKTnHvz4iADQ34d4XNVaMGvyKcn%2Bo%3D&amp;reserved=0" TargetMode="External"/><Relationship Id="rId2" Type="http://schemas.openxmlformats.org/officeDocument/2006/relationships/customXml" Target="../customXml/item2.xml"/><Relationship Id="rId16" Type="http://schemas.openxmlformats.org/officeDocument/2006/relationships/hyperlink" Target="https://relatoria.colombiacompra.gov.co/busqueda/concepto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olombiacompra.gov.co/manuales-guias-y-pliegos-tipo/manuales-y-guia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providencias-consejo-de-estado/"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8AE37-E1F3-4B08-98E9-52F0B3FA79CF}">
  <ds:schemaRefs>
    <ds:schemaRef ds:uri="http://purl.org/dc/elements/1.1/"/>
    <ds:schemaRef ds:uri="http://schemas.openxmlformats.org/package/2006/metadata/core-properties"/>
    <ds:schemaRef ds:uri="http://schemas.microsoft.com/office/infopath/2007/PartnerControls"/>
    <ds:schemaRef ds:uri="http://purl.org/dc/terms/"/>
    <ds:schemaRef ds:uri="a6cb9e4b-f1d1-4245-83ec-6cad768d538a"/>
    <ds:schemaRef ds:uri="http://schemas.microsoft.com/office/2006/metadata/properties"/>
    <ds:schemaRef ds:uri="http://schemas.microsoft.com/office/2006/documentManagement/types"/>
    <ds:schemaRef ds:uri="9d85dbaf-23eb-4e57-a637-93dcacc8b1a1"/>
    <ds:schemaRef ds:uri="http://www.w3.org/XML/1998/namespace"/>
    <ds:schemaRef ds:uri="http://purl.org/dc/dcmitype/"/>
  </ds:schemaRefs>
</ds:datastoreItem>
</file>

<file path=customXml/itemProps2.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3.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BCE38D-B015-4C0E-BFFD-B992C08B1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4746</Words>
  <Characters>26109</Characters>
  <Application>Microsoft Office Word</Application>
  <DocSecurity>0</DocSecurity>
  <Lines>217</Lines>
  <Paragraphs>61</Paragraphs>
  <ScaleCrop>false</ScaleCrop>
  <Company/>
  <LinksUpToDate>false</LinksUpToDate>
  <CharactersWithSpaces>30794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Sergio Andrés Rivera Cano</cp:lastModifiedBy>
  <cp:revision>2</cp:revision>
  <dcterms:created xsi:type="dcterms:W3CDTF">2024-09-27T20:46:00Z</dcterms:created>
  <dcterms:modified xsi:type="dcterms:W3CDTF">2024-09-27T20:46:00Z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