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032C" w14:textId="77777777" w:rsidR="00623300" w:rsidRPr="0017066F" w:rsidRDefault="00623300" w:rsidP="00623300">
      <w:pPr>
        <w:jc w:val="both"/>
        <w:rPr>
          <w:rFonts w:ascii="Verdana" w:eastAsia="Times New Roman" w:hAnsi="Verdana" w:cs="Arial"/>
          <w:b/>
          <w:bCs/>
          <w:lang w:eastAsia="es-ES_tradnl"/>
        </w:rPr>
      </w:pPr>
      <w:r w:rsidRPr="0017066F">
        <w:rPr>
          <w:rFonts w:ascii="Verdana" w:eastAsia="Times New Roman" w:hAnsi="Verdana" w:cs="Arial"/>
          <w:b/>
          <w:bCs/>
          <w:lang w:eastAsia="es-ES_tradnl"/>
        </w:rPr>
        <w:t xml:space="preserve">CONVOCATORIAS LIMITADAS A MIPYMES EN EL ÁMBITO TERRITORIAL - MiPymes – Entidades Sin Ánimo de Lucro </w:t>
      </w:r>
    </w:p>
    <w:p w14:paraId="2C9FAA2B" w14:textId="77777777" w:rsidR="00623300" w:rsidRPr="0017066F" w:rsidRDefault="00623300" w:rsidP="00623300">
      <w:pPr>
        <w:spacing w:after="0" w:line="276" w:lineRule="auto"/>
        <w:jc w:val="both"/>
        <w:rPr>
          <w:rFonts w:ascii="Verdana" w:hAnsi="Verdana" w:cs="Arial"/>
          <w:color w:val="000000" w:themeColor="text1"/>
          <w:sz w:val="20"/>
          <w:szCs w:val="20"/>
          <w:lang w:val="es-ES"/>
        </w:rPr>
      </w:pPr>
      <w:r w:rsidRPr="0017066F">
        <w:rPr>
          <w:rFonts w:ascii="Verdana" w:hAnsi="Verdana" w:cs="Arial"/>
          <w:color w:val="000000" w:themeColor="text1"/>
          <w:sz w:val="20"/>
          <w:szCs w:val="20"/>
          <w:lang w:val="es-ES"/>
        </w:rPr>
        <w:t xml:space="preserve">[…] la posibilidad de solicitar la limitación territorial de las convocatorias a Mipymes no es extensible a todas las ESAL, sino únicamente a aquellas que corresponden al concepto de </w:t>
      </w:r>
      <w:r w:rsidRPr="0017066F">
        <w:rPr>
          <w:rFonts w:ascii="Verdana" w:eastAsia="Calibri" w:hAnsi="Verdana" w:cs="Arial"/>
          <w:color w:val="000000" w:themeColor="text1"/>
          <w:sz w:val="20"/>
          <w:szCs w:val="20"/>
          <w:lang w:val="es-ES"/>
        </w:rPr>
        <w:t xml:space="preserve">cooperativas y demás entes considerados de economía solidaria, </w:t>
      </w:r>
      <w:r w:rsidRPr="0017066F">
        <w:rPr>
          <w:rFonts w:ascii="Verdana" w:eastAsia="Geomanist Light" w:hAnsi="Verdana" w:cs="Arial"/>
          <w:sz w:val="20"/>
          <w:szCs w:val="20"/>
          <w:lang w:val="es-ES"/>
        </w:rPr>
        <w:t>en los términos del artículo 6 de la Ley 454 de 1998 –norma a la que remite el artículo 23 de la Ley de Emprendimiento–.</w:t>
      </w:r>
      <w:r w:rsidRPr="0017066F">
        <w:rPr>
          <w:rFonts w:ascii="Verdana" w:eastAsia="Calibri" w:hAnsi="Verdana" w:cs="Arial"/>
          <w:color w:val="000000" w:themeColor="text1"/>
          <w:sz w:val="20"/>
          <w:szCs w:val="20"/>
          <w:lang w:val="es-ES"/>
        </w:rPr>
        <w:t xml:space="preserve"> </w:t>
      </w:r>
      <w:r w:rsidRPr="0017066F">
        <w:rPr>
          <w:rFonts w:ascii="Verdana" w:eastAsia="Geomanist Light" w:hAnsi="Verdana" w:cs="Arial"/>
          <w:sz w:val="20"/>
          <w:szCs w:val="20"/>
          <w:lang w:val="es-ES"/>
        </w:rPr>
        <w:t xml:space="preserve">En tal sentido, debe analizarse si la ESAL cumple con las características establecidas en dicho artículo, para considerarla una organización de economía solidaria. </w:t>
      </w:r>
      <w:r w:rsidRPr="0017066F">
        <w:rPr>
          <w:rFonts w:ascii="Verdana" w:eastAsia="Calibri" w:hAnsi="Verdana" w:cs="Arial"/>
          <w:color w:val="000000" w:themeColor="text1"/>
          <w:sz w:val="20"/>
          <w:szCs w:val="20"/>
          <w:lang w:val="es-ES"/>
        </w:rPr>
        <w:t>Solo las que cumplan estos requisitos podrán ser asimiladas a las Mipymes y acceder a los requisitos diferenciales de la Ley 2069 de 2020, así como participar en las convocatorias limitadas a estas, pudiendo incluso manifestar su interés de participar en el proceso de selección de manera previa a la expedición de la resolución de apertura en los términos el artículo 2.2.1.2.4.2.2 del Decreto 1082 de 2015.</w:t>
      </w:r>
    </w:p>
    <w:p w14:paraId="044FFEC7" w14:textId="77777777" w:rsidR="00623300" w:rsidRPr="0017066F" w:rsidRDefault="00623300" w:rsidP="00623300">
      <w:pPr>
        <w:spacing w:after="0" w:line="276" w:lineRule="auto"/>
        <w:jc w:val="both"/>
        <w:rPr>
          <w:rFonts w:ascii="Verdana" w:hAnsi="Verdana" w:cs="Arial"/>
          <w:color w:val="000000" w:themeColor="text1"/>
          <w:sz w:val="20"/>
          <w:szCs w:val="20"/>
          <w:lang w:val="es-ES"/>
        </w:rPr>
      </w:pPr>
    </w:p>
    <w:p w14:paraId="0BEDD2E4" w14:textId="77777777" w:rsidR="00623300" w:rsidRPr="0017066F" w:rsidRDefault="00623300" w:rsidP="00623300">
      <w:pPr>
        <w:jc w:val="both"/>
        <w:rPr>
          <w:rFonts w:ascii="Verdana" w:eastAsia="Times New Roman" w:hAnsi="Verdana" w:cs="Arial"/>
          <w:b/>
          <w:bCs/>
          <w:lang w:eastAsia="es-ES_tradnl"/>
        </w:rPr>
      </w:pPr>
      <w:r w:rsidRPr="0017066F">
        <w:rPr>
          <w:rFonts w:ascii="Verdana" w:eastAsia="Times New Roman" w:hAnsi="Verdana" w:cs="Arial"/>
          <w:b/>
          <w:bCs/>
          <w:lang w:eastAsia="es-ES_tradnl"/>
        </w:rPr>
        <w:t>ESAL – MiPymes - Distinción</w:t>
      </w:r>
    </w:p>
    <w:p w14:paraId="3DC029F4" w14:textId="77777777" w:rsidR="00623300" w:rsidRPr="0017066F" w:rsidRDefault="00623300" w:rsidP="00623300">
      <w:pPr>
        <w:widowControl w:val="0"/>
        <w:autoSpaceDE w:val="0"/>
        <w:autoSpaceDN w:val="0"/>
        <w:spacing w:after="120" w:line="276" w:lineRule="auto"/>
        <w:jc w:val="both"/>
        <w:rPr>
          <w:rFonts w:ascii="Verdana" w:hAnsi="Verdana" w:cs="Arial"/>
          <w:sz w:val="20"/>
          <w:szCs w:val="20"/>
          <w:lang w:val="es-ES"/>
        </w:rPr>
      </w:pPr>
      <w:r w:rsidRPr="0017066F">
        <w:rPr>
          <w:rFonts w:ascii="Verdana" w:hAnsi="Verdana" w:cs="Arial"/>
          <w:sz w:val="20"/>
          <w:szCs w:val="20"/>
          <w:lang w:val="es-ES"/>
        </w:rPr>
        <w:t xml:space="preserve">Según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sobre las cooperativa y entidades de economía solidaria antes mencionadas. </w:t>
      </w:r>
    </w:p>
    <w:p w14:paraId="1016472A" w14:textId="77777777" w:rsidR="00623300" w:rsidRPr="0017066F" w:rsidRDefault="00623300" w:rsidP="00623300">
      <w:pPr>
        <w:widowControl w:val="0"/>
        <w:autoSpaceDE w:val="0"/>
        <w:autoSpaceDN w:val="0"/>
        <w:spacing w:after="120" w:line="276" w:lineRule="auto"/>
        <w:jc w:val="both"/>
        <w:rPr>
          <w:rFonts w:ascii="Verdana" w:hAnsi="Verdana" w:cs="Arial"/>
          <w:sz w:val="20"/>
          <w:szCs w:val="20"/>
          <w:lang w:val="es-ES"/>
        </w:rPr>
      </w:pPr>
      <w:r w:rsidRPr="0017066F">
        <w:rPr>
          <w:rFonts w:ascii="Verdana" w:hAnsi="Verdana" w:cs="Arial"/>
          <w:sz w:val="20"/>
          <w:szCs w:val="20"/>
          <w:lang w:val="es-ES"/>
        </w:rPr>
        <w:t>En efecto, lo anterior no es aplicable a las ESAL, dado que la característica determinante que explica su nombre y las diferencias fundamentales con las sociedades comerciales es la ausencia de ánimo de lucro. Por lo que, estas no se regulan por lo dispuesto en el Libro Segundo del Código de Comercio que enumera las sociedades comerciales ni cumplen con la finalidad de repartición de utilidades obtenidas en la empresa mencionada para el contrato de sociedad en el artículo 98 del Código de Comercio.</w:t>
      </w:r>
    </w:p>
    <w:p w14:paraId="5343D995" w14:textId="77777777" w:rsidR="00623300" w:rsidRPr="0017066F" w:rsidRDefault="00623300" w:rsidP="00A1428F">
      <w:pPr>
        <w:spacing w:after="0" w:line="240" w:lineRule="auto"/>
        <w:rPr>
          <w:rFonts w:ascii="Verdana" w:eastAsia="Geomanist Light" w:hAnsi="Verdana" w:cs="Arial"/>
          <w:color w:val="000000" w:themeColor="text1"/>
          <w:lang w:val="es-MX"/>
        </w:rPr>
      </w:pPr>
    </w:p>
    <w:p w14:paraId="4BB0B98C" w14:textId="77777777" w:rsidR="0017066F" w:rsidRPr="00924DCB" w:rsidRDefault="0017066F" w:rsidP="0017066F">
      <w:pPr>
        <w:tabs>
          <w:tab w:val="left" w:pos="8931"/>
        </w:tabs>
        <w:ind w:right="909"/>
        <w:jc w:val="both"/>
        <w:rPr>
          <w:rFonts w:ascii="Verdana" w:eastAsia="Verdana" w:hAnsi="Verdana" w:cs="Verdana"/>
          <w:b/>
          <w:bCs/>
        </w:rPr>
      </w:pPr>
      <w:r w:rsidRPr="00924DCB">
        <w:rPr>
          <w:rFonts w:ascii="Verdana" w:eastAsia="Verdana" w:hAnsi="Verdana" w:cs="Verdana"/>
          <w:b/>
          <w:bCs/>
        </w:rPr>
        <w:t>CONCEPTOS DE COLOMBIA COMPRA EFICIENTE – Obligatoriedad</w:t>
      </w:r>
    </w:p>
    <w:p w14:paraId="67659F09" w14:textId="49F236A5" w:rsidR="0017066F" w:rsidRPr="0017066F" w:rsidRDefault="0017066F" w:rsidP="0017066F">
      <w:pPr>
        <w:tabs>
          <w:tab w:val="left" w:pos="8931"/>
        </w:tabs>
        <w:ind w:right="49"/>
        <w:jc w:val="both"/>
        <w:rPr>
          <w:rFonts w:ascii="Verdana" w:hAnsi="Verdana" w:cs="Arial"/>
          <w:sz w:val="20"/>
          <w:szCs w:val="20"/>
        </w:rPr>
      </w:pPr>
      <w:r w:rsidRPr="0017066F">
        <w:rPr>
          <w:rFonts w:ascii="Verdana" w:hAnsi="Verdana" w:cs="Arial"/>
          <w:sz w:val="20"/>
          <w:szCs w:val="20"/>
        </w:rPr>
        <w:t>La ley es clara cuando establece que los conceptos emitidos por las autoridades al responder peticiones realizadas en ejercicio del derecho a formular consultas –como fue el caso del concepto de la solicitud de queja– no son de obligatorio cumplimiento o de obligatoria ejecución, en otras palabras, no tienen efectos vinculantes. Las respuestas emitidas como concepto, entonces, consisten en la posición hermenéutica que las entidades tienen respecto del ordenamiento jurídico. Esto explica por qué esta Agencia no resuelve controversias concretas ni brinda asesoría a los partícipes de la contratación estatal.</w:t>
      </w:r>
    </w:p>
    <w:p w14:paraId="40931175" w14:textId="77777777" w:rsidR="0017066F" w:rsidRPr="0017066F" w:rsidRDefault="0017066F" w:rsidP="0017066F">
      <w:pPr>
        <w:pStyle w:val="Prrafodelista"/>
        <w:tabs>
          <w:tab w:val="left" w:pos="8931"/>
        </w:tabs>
        <w:ind w:left="142" w:right="49"/>
        <w:jc w:val="both"/>
        <w:rPr>
          <w:rFonts w:ascii="Verdana" w:hAnsi="Verdana" w:cs="Arial"/>
          <w:sz w:val="20"/>
          <w:szCs w:val="20"/>
        </w:rPr>
      </w:pPr>
    </w:p>
    <w:p w14:paraId="651192A3" w14:textId="77777777" w:rsidR="0017066F" w:rsidRPr="0017066F" w:rsidRDefault="0017066F" w:rsidP="0017066F">
      <w:pPr>
        <w:tabs>
          <w:tab w:val="left" w:pos="8931"/>
        </w:tabs>
        <w:ind w:left="142" w:right="49"/>
        <w:jc w:val="both"/>
        <w:rPr>
          <w:rFonts w:ascii="Verdana" w:hAnsi="Verdana" w:cs="Arial"/>
          <w:sz w:val="20"/>
          <w:szCs w:val="20"/>
          <w:lang w:val="es-ES"/>
        </w:rPr>
      </w:pPr>
      <w:r w:rsidRPr="0017066F">
        <w:rPr>
          <w:rFonts w:ascii="Verdana" w:hAnsi="Verdana" w:cs="Arial"/>
          <w:sz w:val="20"/>
          <w:szCs w:val="20"/>
          <w:lang w:val="es-ES"/>
        </w:rPr>
        <w:t>FUNCIÓN CONSULTIVA – Alcance</w:t>
      </w:r>
    </w:p>
    <w:p w14:paraId="6E336EF3" w14:textId="77777777" w:rsidR="0017066F" w:rsidRPr="0017066F" w:rsidRDefault="0017066F" w:rsidP="0017066F">
      <w:pPr>
        <w:tabs>
          <w:tab w:val="left" w:pos="8931"/>
        </w:tabs>
        <w:ind w:left="142" w:right="49"/>
        <w:jc w:val="both"/>
        <w:rPr>
          <w:rFonts w:ascii="Verdana" w:hAnsi="Verdana" w:cs="Arial"/>
          <w:sz w:val="20"/>
          <w:szCs w:val="20"/>
          <w:lang w:val="es-ES"/>
        </w:rPr>
      </w:pPr>
    </w:p>
    <w:p w14:paraId="46344428" w14:textId="4D14FB63" w:rsidR="0017066F" w:rsidRPr="0017066F" w:rsidRDefault="0017066F" w:rsidP="0017066F">
      <w:pPr>
        <w:tabs>
          <w:tab w:val="left" w:pos="8931"/>
        </w:tabs>
        <w:ind w:left="142" w:right="49"/>
        <w:jc w:val="both"/>
        <w:rPr>
          <w:rFonts w:ascii="Verdana" w:hAnsi="Verdana" w:cs="Arial"/>
          <w:sz w:val="20"/>
          <w:szCs w:val="20"/>
          <w:lang w:val="es-ES"/>
        </w:rPr>
      </w:pPr>
      <w:r w:rsidRPr="0017066F">
        <w:rPr>
          <w:rFonts w:ascii="Verdana" w:hAnsi="Verdana" w:cs="Arial"/>
          <w:sz w:val="20"/>
          <w:szCs w:val="20"/>
          <w:lang w:val="es-ES"/>
        </w:rPr>
        <w:t xml:space="preserve">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criterio de la entidad que ejerció la función consultiva, pues, como se viene diciendo, dicha competencia se enmarca en el artículo 28 de la Ley 1437 de 2011, en otras palabras, los conceptos </w:t>
      </w:r>
      <w:r w:rsidR="00623201">
        <w:rPr>
          <w:rFonts w:ascii="Verdana" w:hAnsi="Verdana" w:cs="Arial"/>
          <w:sz w:val="20"/>
          <w:szCs w:val="20"/>
          <w:lang w:val="es-ES"/>
        </w:rPr>
        <w:t>“</w:t>
      </w:r>
      <w:r w:rsidRPr="0017066F">
        <w:rPr>
          <w:rFonts w:ascii="Verdana" w:hAnsi="Verdana" w:cs="Arial"/>
          <w:sz w:val="20"/>
          <w:szCs w:val="20"/>
          <w:lang w:val="es-ES"/>
        </w:rPr>
        <w:t>no serán de obligatorio cumplimiento o ejecución</w:t>
      </w:r>
      <w:r w:rsidR="00623201">
        <w:rPr>
          <w:rFonts w:ascii="Verdana" w:hAnsi="Verdana" w:cs="Arial"/>
          <w:sz w:val="20"/>
          <w:szCs w:val="20"/>
          <w:lang w:val="es-ES"/>
        </w:rPr>
        <w:t>”</w:t>
      </w:r>
      <w:r w:rsidRPr="0017066F">
        <w:rPr>
          <w:rFonts w:ascii="Verdana" w:hAnsi="Verdana" w:cs="Arial"/>
          <w:sz w:val="20"/>
          <w:szCs w:val="20"/>
          <w:lang w:val="es-ES"/>
        </w:rPr>
        <w:t xml:space="preserve">. </w:t>
      </w:r>
    </w:p>
    <w:p w14:paraId="56EDA507" w14:textId="77777777" w:rsidR="0017066F" w:rsidRDefault="0017066F" w:rsidP="0017066F">
      <w:pPr>
        <w:tabs>
          <w:tab w:val="left" w:pos="8931"/>
        </w:tabs>
        <w:ind w:left="142" w:right="49"/>
        <w:jc w:val="both"/>
        <w:rPr>
          <w:rFonts w:ascii="Verdana" w:hAnsi="Verdana" w:cs="Arial"/>
          <w:b/>
          <w:bCs/>
          <w:sz w:val="20"/>
          <w:szCs w:val="20"/>
          <w:lang w:val="es-ES"/>
        </w:rPr>
      </w:pPr>
    </w:p>
    <w:p w14:paraId="2EFEA1A6" w14:textId="2F61D323" w:rsidR="0017066F" w:rsidRPr="0017066F" w:rsidRDefault="0017066F" w:rsidP="0017066F">
      <w:pPr>
        <w:tabs>
          <w:tab w:val="left" w:pos="8931"/>
        </w:tabs>
        <w:ind w:left="142" w:right="49"/>
        <w:jc w:val="both"/>
        <w:rPr>
          <w:rFonts w:ascii="Verdana" w:hAnsi="Verdana" w:cs="Arial"/>
          <w:b/>
          <w:bCs/>
          <w:sz w:val="20"/>
          <w:szCs w:val="20"/>
          <w:lang w:val="es-ES"/>
        </w:rPr>
      </w:pPr>
      <w:r w:rsidRPr="0017066F">
        <w:rPr>
          <w:rFonts w:ascii="Verdana" w:hAnsi="Verdana" w:cs="Arial"/>
          <w:b/>
          <w:bCs/>
          <w:sz w:val="20"/>
          <w:szCs w:val="20"/>
          <w:lang w:val="es-ES"/>
        </w:rPr>
        <w:t>CONCEPTOS DE COLOMBIA COMPRA EFICIENTE – No son vinculantes</w:t>
      </w:r>
    </w:p>
    <w:p w14:paraId="798C333F" w14:textId="77777777" w:rsidR="0017066F" w:rsidRPr="0017066F" w:rsidRDefault="0017066F" w:rsidP="0017066F">
      <w:pPr>
        <w:tabs>
          <w:tab w:val="left" w:pos="8931"/>
        </w:tabs>
        <w:ind w:left="142" w:right="49"/>
        <w:jc w:val="both"/>
        <w:rPr>
          <w:rFonts w:ascii="Verdana" w:hAnsi="Verdana" w:cs="Arial"/>
          <w:sz w:val="20"/>
          <w:szCs w:val="20"/>
          <w:lang w:val="es-ES"/>
        </w:rPr>
      </w:pPr>
    </w:p>
    <w:p w14:paraId="1296DED7" w14:textId="77777777" w:rsidR="0017066F" w:rsidRPr="0017066F" w:rsidRDefault="0017066F" w:rsidP="0017066F">
      <w:pPr>
        <w:tabs>
          <w:tab w:val="left" w:pos="8931"/>
        </w:tabs>
        <w:spacing w:after="120"/>
        <w:ind w:left="142" w:right="49"/>
        <w:jc w:val="both"/>
        <w:rPr>
          <w:rFonts w:ascii="Verdana" w:hAnsi="Verdana" w:cs="Arial"/>
          <w:sz w:val="20"/>
          <w:szCs w:val="20"/>
          <w:lang w:val="es-ES"/>
        </w:rPr>
      </w:pPr>
      <w:r w:rsidRPr="0017066F">
        <w:rPr>
          <w:rFonts w:ascii="Verdana" w:hAnsi="Verdana" w:cs="Arial"/>
          <w:sz w:val="20"/>
          <w:szCs w:val="20"/>
          <w:lang w:val="es-ES"/>
        </w:rPr>
        <w:t xml:space="preserve">Así las cosas, los conceptos de esta Agencia no son actos administrativos, no tienen efectos vinculantes en relación con una situación jurídica particular y concreta, y exponen un criterio que, aunque jurídicamente fundamentado, no representan la única interpretación válida del ordenamiento jurídico. En esta medida, la queja propuesta por el peticionario no da lugar a modificar el criterio jurídico de la entidad sobre el tema consultado. </w:t>
      </w:r>
    </w:p>
    <w:p w14:paraId="40EFA7C3" w14:textId="77777777" w:rsidR="0017066F" w:rsidRPr="0017066F" w:rsidRDefault="0017066F" w:rsidP="0017066F">
      <w:pPr>
        <w:tabs>
          <w:tab w:val="left" w:pos="8931"/>
        </w:tabs>
        <w:ind w:left="142" w:right="49"/>
        <w:jc w:val="both"/>
        <w:rPr>
          <w:rFonts w:ascii="Verdana" w:hAnsi="Verdana" w:cs="Arial"/>
          <w:sz w:val="20"/>
          <w:szCs w:val="20"/>
          <w:lang w:val="es-ES"/>
        </w:rPr>
      </w:pPr>
      <w:r w:rsidRPr="0017066F">
        <w:rPr>
          <w:rFonts w:ascii="Verdana" w:hAnsi="Verdana" w:cs="Arial"/>
          <w:sz w:val="20"/>
          <w:szCs w:val="20"/>
          <w:lang w:val="es-ES"/>
        </w:rPr>
        <w:t>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De esta manera se reiteran las razones por las cuales esta Agencia mantiene su postura emitida en conceptos anteriormente citados.</w:t>
      </w:r>
    </w:p>
    <w:p w14:paraId="11A84D29" w14:textId="77777777" w:rsidR="00623300" w:rsidRPr="0017066F" w:rsidRDefault="00623300" w:rsidP="00A1428F">
      <w:pPr>
        <w:spacing w:after="0" w:line="240" w:lineRule="auto"/>
        <w:rPr>
          <w:rFonts w:ascii="Verdana" w:hAnsi="Verdana" w:cs="Arial"/>
          <w:sz w:val="20"/>
          <w:szCs w:val="20"/>
          <w:lang w:val="es-ES"/>
        </w:rPr>
      </w:pPr>
    </w:p>
    <w:p w14:paraId="69319D06" w14:textId="77777777" w:rsidR="0017066F" w:rsidRDefault="0017066F" w:rsidP="00A1428F">
      <w:pPr>
        <w:spacing w:after="0" w:line="240" w:lineRule="auto"/>
        <w:rPr>
          <w:rFonts w:ascii="Verdana" w:eastAsia="Geomanist Light" w:hAnsi="Verdana" w:cs="Arial"/>
          <w:color w:val="000000" w:themeColor="text1"/>
          <w:lang w:val="es-MX"/>
        </w:rPr>
      </w:pPr>
    </w:p>
    <w:p w14:paraId="507F5C12" w14:textId="77777777" w:rsidR="0017066F" w:rsidRDefault="0017066F" w:rsidP="00A1428F">
      <w:pPr>
        <w:spacing w:after="0" w:line="240" w:lineRule="auto"/>
        <w:rPr>
          <w:rFonts w:ascii="Verdana" w:eastAsia="Geomanist Light" w:hAnsi="Verdana" w:cs="Arial"/>
          <w:color w:val="000000" w:themeColor="text1"/>
          <w:lang w:val="es-MX"/>
        </w:rPr>
      </w:pPr>
    </w:p>
    <w:p w14:paraId="5D664118" w14:textId="558A21BA" w:rsidR="00A1428F" w:rsidRPr="0017066F" w:rsidRDefault="00A1428F" w:rsidP="00A1428F">
      <w:pPr>
        <w:spacing w:after="0" w:line="240" w:lineRule="auto"/>
        <w:rPr>
          <w:rFonts w:ascii="Verdana" w:eastAsia="Geomanist Light" w:hAnsi="Verdana" w:cs="Arial"/>
          <w:color w:val="201F1E"/>
          <w:lang w:val="es-MX"/>
        </w:rPr>
      </w:pPr>
      <w:r w:rsidRPr="0017066F">
        <w:rPr>
          <w:rFonts w:ascii="Verdana" w:eastAsia="Geomanist Light" w:hAnsi="Verdana" w:cs="Arial"/>
          <w:color w:val="000000" w:themeColor="text1"/>
          <w:lang w:val="es-MX"/>
        </w:rPr>
        <w:lastRenderedPageBreak/>
        <w:t>Bogotá D.C.,</w:t>
      </w:r>
      <w:r w:rsidR="00573011">
        <w:rPr>
          <w:rFonts w:ascii="Verdana" w:eastAsia="Geomanist Light" w:hAnsi="Verdana" w:cs="Arial"/>
          <w:color w:val="000000" w:themeColor="text1"/>
          <w:lang w:val="es-MX"/>
        </w:rPr>
        <w:t xml:space="preserve"> 20 de mayo de 2025</w:t>
      </w:r>
    </w:p>
    <w:p w14:paraId="36DC29C9" w14:textId="77D426AD" w:rsidR="00A1428F" w:rsidRPr="0017066F" w:rsidRDefault="00A1428F" w:rsidP="00A1428F">
      <w:pPr>
        <w:spacing w:after="0" w:line="240" w:lineRule="auto"/>
        <w:jc w:val="both"/>
        <w:rPr>
          <w:rFonts w:ascii="Verdana" w:eastAsia="Calibri" w:hAnsi="Verdana" w:cs="Arial"/>
          <w:color w:val="000000"/>
          <w:lang w:val="es-ES"/>
        </w:rPr>
      </w:pPr>
    </w:p>
    <w:p w14:paraId="373BC55C" w14:textId="77777777" w:rsidR="00A1428F" w:rsidRPr="0017066F" w:rsidRDefault="00A1428F" w:rsidP="00A1428F">
      <w:pPr>
        <w:spacing w:after="0" w:line="240" w:lineRule="auto"/>
        <w:jc w:val="both"/>
        <w:rPr>
          <w:rFonts w:ascii="Verdana" w:eastAsia="Calibri" w:hAnsi="Verdana" w:cs="Arial"/>
          <w:lang w:val="es-ES" w:eastAsia="es-ES"/>
        </w:rPr>
      </w:pPr>
      <w:bookmarkStart w:id="0" w:name="_Hlk198648579"/>
      <w:r w:rsidRPr="0017066F">
        <w:rPr>
          <w:rFonts w:ascii="Verdana" w:eastAsia="Calibri" w:hAnsi="Verdana" w:cs="Arial"/>
          <w:lang w:val="es-ES" w:eastAsia="es-ES"/>
        </w:rPr>
        <w:t>Señor</w:t>
      </w:r>
    </w:p>
    <w:p w14:paraId="5128D648" w14:textId="42A36366" w:rsidR="0017066F" w:rsidRPr="0017066F" w:rsidRDefault="0017066F" w:rsidP="00A1428F">
      <w:pPr>
        <w:spacing w:after="0" w:line="240" w:lineRule="auto"/>
        <w:rPr>
          <w:rFonts w:ascii="Verdana" w:eastAsia="Calibri" w:hAnsi="Verdana" w:cs="Arial"/>
          <w:b/>
          <w:lang w:val="es-ES_tradnl" w:eastAsia="es-ES_tradnl"/>
        </w:rPr>
      </w:pPr>
      <w:r w:rsidRPr="0017066F">
        <w:rPr>
          <w:rFonts w:ascii="Verdana" w:eastAsia="Calibri" w:hAnsi="Verdana" w:cs="Arial"/>
          <w:b/>
          <w:lang w:val="es-ES_tradnl" w:eastAsia="es-ES_tradnl"/>
        </w:rPr>
        <w:t>Oscar Alejandro Navarrete Baena</w:t>
      </w:r>
    </w:p>
    <w:p w14:paraId="239E7346" w14:textId="71C84EF9" w:rsidR="00A1428F" w:rsidRPr="0017066F" w:rsidRDefault="0017066F" w:rsidP="00A1428F">
      <w:pPr>
        <w:spacing w:after="0" w:line="240" w:lineRule="auto"/>
        <w:rPr>
          <w:rFonts w:ascii="Verdana" w:eastAsia="Calibri" w:hAnsi="Verdana" w:cs="Arial"/>
          <w:bCs/>
          <w:color w:val="000000"/>
          <w:lang w:val="es-ES_tradnl" w:eastAsia="es-ES_tradnl"/>
        </w:rPr>
      </w:pPr>
      <w:hyperlink r:id="rId11" w:history="1">
        <w:r w:rsidRPr="0017066F">
          <w:rPr>
            <w:rStyle w:val="Hipervnculo"/>
            <w:rFonts w:ascii="Verdana" w:eastAsia="Calibri" w:hAnsi="Verdana" w:cs="Arial"/>
            <w:bCs/>
            <w:lang w:val="es-ES_tradnl" w:eastAsia="es-ES_tradnl"/>
          </w:rPr>
          <w:t>onavarrete@unal.edu.co</w:t>
        </w:r>
      </w:hyperlink>
    </w:p>
    <w:p w14:paraId="4C632E7A" w14:textId="258C338E" w:rsidR="0017066F" w:rsidRPr="0017066F" w:rsidRDefault="0017066F" w:rsidP="00A1428F">
      <w:pPr>
        <w:spacing w:after="0" w:line="240" w:lineRule="auto"/>
        <w:rPr>
          <w:rFonts w:ascii="Verdana" w:eastAsia="Calibri" w:hAnsi="Verdana" w:cs="Arial"/>
          <w:bCs/>
          <w:color w:val="000000"/>
          <w:lang w:val="es-ES_tradnl" w:eastAsia="es-ES_tradnl"/>
        </w:rPr>
      </w:pPr>
      <w:hyperlink r:id="rId12" w:history="1">
        <w:r w:rsidRPr="0017066F">
          <w:rPr>
            <w:rStyle w:val="Hipervnculo"/>
            <w:rFonts w:ascii="Verdana" w:eastAsia="Calibri" w:hAnsi="Verdana" w:cs="Arial"/>
            <w:bCs/>
            <w:lang w:val="es-ES_tradnl" w:eastAsia="es-ES_tradnl"/>
          </w:rPr>
          <w:t>onavarretebaena@gmail.com</w:t>
        </w:r>
      </w:hyperlink>
    </w:p>
    <w:p w14:paraId="666E44F9" w14:textId="63ACF54D" w:rsidR="0017066F" w:rsidRPr="0017066F" w:rsidRDefault="0017066F" w:rsidP="00A1428F">
      <w:pPr>
        <w:spacing w:after="0" w:line="240" w:lineRule="auto"/>
        <w:rPr>
          <w:rFonts w:ascii="Verdana" w:eastAsia="Calibri" w:hAnsi="Verdana" w:cs="Arial"/>
          <w:bCs/>
          <w:color w:val="000000"/>
          <w:lang w:val="es-ES_tradnl" w:eastAsia="es-ES_tradnl"/>
        </w:rPr>
      </w:pPr>
      <w:r>
        <w:rPr>
          <w:rFonts w:ascii="Verdana" w:eastAsia="Calibri" w:hAnsi="Verdana" w:cs="Arial"/>
          <w:bCs/>
          <w:color w:val="000000"/>
          <w:lang w:val="es-ES_tradnl" w:eastAsia="es-ES_tradnl"/>
        </w:rPr>
        <w:t>Bogotá D.C</w:t>
      </w:r>
      <w:r w:rsidRPr="0017066F">
        <w:rPr>
          <w:rFonts w:ascii="Verdana" w:eastAsia="Calibri" w:hAnsi="Verdana" w:cs="Arial"/>
          <w:bCs/>
          <w:color w:val="000000"/>
          <w:lang w:val="es-ES_tradnl" w:eastAsia="es-ES_tradnl"/>
        </w:rPr>
        <w:t xml:space="preserve"> </w:t>
      </w:r>
    </w:p>
    <w:p w14:paraId="65DF8AEA" w14:textId="77777777" w:rsidR="0017066F" w:rsidRDefault="0017066F" w:rsidP="00A1428F">
      <w:pPr>
        <w:spacing w:after="0" w:line="240" w:lineRule="auto"/>
        <w:rPr>
          <w:rFonts w:ascii="Verdana" w:eastAsia="Calibri" w:hAnsi="Verdana" w:cs="Arial"/>
          <w:b/>
          <w:bCs/>
          <w:color w:val="000000"/>
          <w:lang w:val="es-ES_tradnl" w:eastAsia="es-ES_tradnl"/>
        </w:rPr>
      </w:pPr>
    </w:p>
    <w:p w14:paraId="166FCD70" w14:textId="77777777" w:rsidR="00CA3C11" w:rsidRDefault="00CA3C11" w:rsidP="00A1428F">
      <w:pPr>
        <w:spacing w:after="0" w:line="240" w:lineRule="auto"/>
        <w:rPr>
          <w:rFonts w:ascii="Verdana" w:eastAsia="Calibri" w:hAnsi="Verdana" w:cs="Arial"/>
          <w:b/>
          <w:bCs/>
          <w:color w:val="000000"/>
          <w:lang w:val="es-ES_tradnl" w:eastAsia="es-ES_tradnl"/>
        </w:rPr>
      </w:pPr>
    </w:p>
    <w:p w14:paraId="7282A4B5" w14:textId="5EE7D7BA" w:rsidR="00CA3C11" w:rsidRPr="0017066F" w:rsidRDefault="00CA3C11" w:rsidP="00CA3C11">
      <w:pPr>
        <w:spacing w:after="0" w:line="240" w:lineRule="auto"/>
        <w:jc w:val="right"/>
        <w:rPr>
          <w:rFonts w:ascii="Verdana" w:eastAsia="Calibri" w:hAnsi="Verdana" w:cs="Arial"/>
          <w:b/>
          <w:bCs/>
          <w:color w:val="000000"/>
          <w:lang w:val="es-ES_tradnl" w:eastAsia="es-ES_tradnl"/>
        </w:rPr>
      </w:pPr>
      <w:r w:rsidRPr="00CA3C11">
        <w:rPr>
          <w:rFonts w:ascii="Verdana" w:eastAsia="Calibri" w:hAnsi="Verdana" w:cs="Arial"/>
          <w:b/>
          <w:bCs/>
          <w:color w:val="000000"/>
          <w:lang w:val="es-ES_tradnl" w:eastAsia="es-ES_tradnl"/>
        </w:rPr>
        <w:drawing>
          <wp:inline distT="0" distB="0" distL="0" distR="0" wp14:anchorId="7F4BD84D" wp14:editId="1BB60B18">
            <wp:extent cx="2103302" cy="617273"/>
            <wp:effectExtent l="0" t="0" r="0" b="0"/>
            <wp:docPr id="1782766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766069" name=""/>
                    <pic:cNvPicPr/>
                  </pic:nvPicPr>
                  <pic:blipFill>
                    <a:blip r:embed="rId13"/>
                    <a:stretch>
                      <a:fillRect/>
                    </a:stretch>
                  </pic:blipFill>
                  <pic:spPr>
                    <a:xfrm>
                      <a:off x="0" y="0"/>
                      <a:ext cx="2103302" cy="617273"/>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1428F" w:rsidRPr="0017066F" w14:paraId="54B563E5" w14:textId="77777777" w:rsidTr="00DE1FB9">
        <w:trPr>
          <w:trHeight w:val="884"/>
        </w:trPr>
        <w:tc>
          <w:tcPr>
            <w:tcW w:w="2689" w:type="dxa"/>
          </w:tcPr>
          <w:p w14:paraId="10B9003A" w14:textId="77777777" w:rsidR="00A1428F" w:rsidRPr="0017066F" w:rsidRDefault="00A1428F" w:rsidP="00DE1FB9">
            <w:pPr>
              <w:jc w:val="both"/>
              <w:rPr>
                <w:rFonts w:ascii="Verdana" w:eastAsia="Calibri" w:hAnsi="Verdana" w:cs="Arial"/>
                <w:b/>
                <w:bCs/>
                <w:color w:val="7030A0"/>
                <w:lang w:val="es-ES_tradnl" w:eastAsia="es-ES_tradnl"/>
              </w:rPr>
            </w:pPr>
          </w:p>
        </w:tc>
        <w:tc>
          <w:tcPr>
            <w:tcW w:w="6100" w:type="dxa"/>
          </w:tcPr>
          <w:p w14:paraId="244A629A" w14:textId="43555712" w:rsidR="00A1428F" w:rsidRPr="0017066F" w:rsidRDefault="00A1428F" w:rsidP="00DE1FB9">
            <w:pPr>
              <w:jc w:val="both"/>
              <w:rPr>
                <w:rFonts w:ascii="Verdana" w:eastAsia="Calibri" w:hAnsi="Verdana" w:cs="Arial"/>
                <w:b/>
                <w:bCs/>
                <w:color w:val="7030A0"/>
                <w:lang w:val="es-ES" w:eastAsia="es-ES"/>
              </w:rPr>
            </w:pPr>
            <w:r w:rsidRPr="0017066F">
              <w:rPr>
                <w:rFonts w:ascii="Verdana" w:eastAsia="Calibri" w:hAnsi="Verdana" w:cs="Arial"/>
                <w:b/>
                <w:bCs/>
                <w:lang w:val="es-ES" w:eastAsia="es-ES"/>
              </w:rPr>
              <w:t>Concepto C-</w:t>
            </w:r>
            <w:r w:rsidR="0017066F">
              <w:rPr>
                <w:rFonts w:ascii="Verdana" w:eastAsia="Calibri" w:hAnsi="Verdana" w:cs="Arial"/>
                <w:b/>
                <w:bCs/>
                <w:lang w:val="es-ES" w:eastAsia="es-ES"/>
              </w:rPr>
              <w:t xml:space="preserve"> 483</w:t>
            </w:r>
            <w:r w:rsidRPr="0017066F">
              <w:rPr>
                <w:rFonts w:ascii="Verdana" w:eastAsia="Calibri" w:hAnsi="Verdana" w:cs="Arial"/>
                <w:b/>
                <w:bCs/>
                <w:color w:val="7030A0"/>
                <w:lang w:val="es-ES" w:eastAsia="es-ES"/>
              </w:rPr>
              <w:t xml:space="preserve"> </w:t>
            </w:r>
            <w:r w:rsidRPr="0017066F">
              <w:rPr>
                <w:rFonts w:ascii="Verdana" w:eastAsia="Calibri" w:hAnsi="Verdana" w:cs="Arial"/>
                <w:b/>
                <w:bCs/>
                <w:lang w:val="es-ES" w:eastAsia="es-ES"/>
              </w:rPr>
              <w:t>de 2025</w:t>
            </w:r>
          </w:p>
        </w:tc>
      </w:tr>
      <w:tr w:rsidR="00A1428F" w:rsidRPr="0017066F" w14:paraId="20D70F0C" w14:textId="77777777" w:rsidTr="00DE1FB9">
        <w:trPr>
          <w:trHeight w:val="884"/>
        </w:trPr>
        <w:tc>
          <w:tcPr>
            <w:tcW w:w="2689" w:type="dxa"/>
          </w:tcPr>
          <w:p w14:paraId="4DC619A3" w14:textId="77777777" w:rsidR="00A1428F" w:rsidRPr="00FD0328" w:rsidRDefault="00A1428F" w:rsidP="00DE1FB9">
            <w:pPr>
              <w:jc w:val="both"/>
              <w:rPr>
                <w:rFonts w:ascii="Verdana" w:eastAsia="Calibri" w:hAnsi="Verdana" w:cs="Arial"/>
                <w:color w:val="000000"/>
                <w:lang w:val="es-ES_tradnl" w:eastAsia="es-ES_tradnl"/>
              </w:rPr>
            </w:pPr>
            <w:r w:rsidRPr="00FD0328">
              <w:rPr>
                <w:rFonts w:ascii="Verdana" w:eastAsia="Calibri" w:hAnsi="Verdana" w:cs="Arial"/>
                <w:b/>
                <w:color w:val="000000"/>
                <w:lang w:val="es-ES_tradnl" w:eastAsia="es-ES_tradnl"/>
              </w:rPr>
              <w:t>Temas:</w:t>
            </w:r>
            <w:r w:rsidRPr="00FD0328">
              <w:rPr>
                <w:rFonts w:ascii="Verdana" w:eastAsia="Calibri" w:hAnsi="Verdana" w:cs="Arial"/>
                <w:color w:val="000000"/>
                <w:lang w:val="es-ES_tradnl" w:eastAsia="es-ES_tradnl"/>
              </w:rPr>
              <w:t xml:space="preserve">                   </w:t>
            </w:r>
          </w:p>
        </w:tc>
        <w:tc>
          <w:tcPr>
            <w:tcW w:w="6100" w:type="dxa"/>
          </w:tcPr>
          <w:p w14:paraId="43D26D10" w14:textId="784FB7D3" w:rsidR="00A1428F" w:rsidRPr="00FD0328" w:rsidRDefault="00A1428F" w:rsidP="00ED487E">
            <w:pPr>
              <w:jc w:val="both"/>
              <w:rPr>
                <w:rFonts w:ascii="Verdana" w:eastAsia="Calibri" w:hAnsi="Verdana" w:cs="Arial"/>
                <w:color w:val="7030A0"/>
                <w:lang w:val="es-ES" w:eastAsia="es-ES"/>
              </w:rPr>
            </w:pPr>
            <w:r w:rsidRPr="00FD0328">
              <w:rPr>
                <w:rFonts w:ascii="Verdana" w:eastAsia="Times New Roman" w:hAnsi="Verdana" w:cs="Arial"/>
                <w:lang w:eastAsia="es-ES_tradnl"/>
              </w:rPr>
              <w:t xml:space="preserve">CONVOCATORIAS LIMITADAS A MIPYMES EN EL ÁMBITO TERRITORIAL – MiPymes – Entidades Sin Ánimo de Lucro /ESAL – MiPymes </w:t>
            </w:r>
            <w:r w:rsidR="0017066F" w:rsidRPr="00FD0328">
              <w:rPr>
                <w:rFonts w:ascii="Verdana" w:eastAsia="Times New Roman" w:hAnsi="Verdana" w:cs="Arial"/>
                <w:lang w:eastAsia="es-ES_tradnl"/>
              </w:rPr>
              <w:t>–</w:t>
            </w:r>
            <w:r w:rsidRPr="00FD0328">
              <w:rPr>
                <w:rFonts w:ascii="Verdana" w:eastAsia="Times New Roman" w:hAnsi="Verdana" w:cs="Arial"/>
                <w:lang w:eastAsia="es-ES_tradnl"/>
              </w:rPr>
              <w:t xml:space="preserve"> Distinción</w:t>
            </w:r>
            <w:r w:rsidR="0017066F" w:rsidRPr="00FD0328">
              <w:rPr>
                <w:rFonts w:ascii="Verdana" w:eastAsia="Times New Roman" w:hAnsi="Verdana" w:cs="Arial"/>
                <w:lang w:eastAsia="es-ES_tradnl"/>
              </w:rPr>
              <w:t xml:space="preserve"> </w:t>
            </w:r>
            <w:r w:rsidR="0017066F" w:rsidRPr="00FD0328">
              <w:rPr>
                <w:rFonts w:ascii="Verdana" w:hAnsi="Verdana" w:cs="Arial"/>
                <w:bCs/>
                <w:color w:val="000000" w:themeColor="text1"/>
                <w:lang w:val="es-ES"/>
              </w:rPr>
              <w:t>CONCEPTOS DE COLOMBIA COMPRA EFICIENTE – Obligatoriedad / FUNCIÓN CONSULTIVA – Alcance / CONCEPTOS DE COLOMBIA COMPRA EFICIENTE – No son vinculantes /</w:t>
            </w:r>
          </w:p>
          <w:p w14:paraId="7AAED966" w14:textId="77777777" w:rsidR="00A1428F" w:rsidRPr="00FD0328" w:rsidRDefault="00A1428F" w:rsidP="00ED487E">
            <w:pPr>
              <w:jc w:val="both"/>
              <w:rPr>
                <w:rFonts w:ascii="Verdana" w:eastAsia="Calibri" w:hAnsi="Verdana" w:cs="Arial"/>
                <w:lang w:val="es-ES" w:eastAsia="es-ES"/>
              </w:rPr>
            </w:pPr>
          </w:p>
        </w:tc>
      </w:tr>
      <w:tr w:rsidR="00A1428F" w:rsidRPr="0017066F" w14:paraId="74E6C9E0" w14:textId="77777777" w:rsidTr="00DE1FB9">
        <w:tc>
          <w:tcPr>
            <w:tcW w:w="2689" w:type="dxa"/>
          </w:tcPr>
          <w:p w14:paraId="756915E6" w14:textId="77777777" w:rsidR="00A1428F" w:rsidRPr="0017066F" w:rsidRDefault="00A1428F" w:rsidP="00DE1FB9">
            <w:pPr>
              <w:jc w:val="both"/>
              <w:rPr>
                <w:rFonts w:ascii="Verdana" w:eastAsia="Calibri" w:hAnsi="Verdana" w:cs="Arial"/>
                <w:b/>
                <w:lang w:val="es-ES_tradnl" w:eastAsia="es-ES_tradnl"/>
              </w:rPr>
            </w:pPr>
            <w:r w:rsidRPr="0017066F">
              <w:rPr>
                <w:rFonts w:ascii="Verdana" w:eastAsia="Calibri" w:hAnsi="Verdana" w:cs="Arial"/>
                <w:b/>
                <w:lang w:val="es-ES_tradnl" w:eastAsia="es-ES_tradnl"/>
              </w:rPr>
              <w:t>Radicación:</w:t>
            </w:r>
            <w:r w:rsidRPr="0017066F">
              <w:rPr>
                <w:rFonts w:ascii="Verdana" w:eastAsia="Calibri" w:hAnsi="Verdana" w:cs="Arial"/>
                <w:lang w:val="es-ES_tradnl" w:eastAsia="es-ES_tradnl"/>
              </w:rPr>
              <w:t xml:space="preserve">               </w:t>
            </w:r>
          </w:p>
        </w:tc>
        <w:tc>
          <w:tcPr>
            <w:tcW w:w="6100" w:type="dxa"/>
          </w:tcPr>
          <w:p w14:paraId="5B7A10E3" w14:textId="015B008C" w:rsidR="00A1428F" w:rsidRPr="0017066F" w:rsidRDefault="00A1428F" w:rsidP="00DE1FB9">
            <w:pPr>
              <w:jc w:val="both"/>
              <w:rPr>
                <w:rFonts w:ascii="Verdana" w:eastAsia="Calibri" w:hAnsi="Verdana" w:cs="Arial"/>
                <w:lang w:val="es-ES_tradnl" w:eastAsia="es-ES_tradnl"/>
              </w:rPr>
            </w:pPr>
            <w:r w:rsidRPr="0017066F">
              <w:rPr>
                <w:rFonts w:ascii="Verdana" w:eastAsia="Calibri" w:hAnsi="Verdana" w:cs="Arial"/>
                <w:lang w:val="es-ES_tradnl" w:eastAsia="es-ES_tradnl"/>
              </w:rPr>
              <w:t xml:space="preserve">Respuesta a consulta con radicado No. </w:t>
            </w:r>
            <w:r w:rsidR="0017066F" w:rsidRPr="0017066F">
              <w:rPr>
                <w:rFonts w:ascii="Verdana" w:eastAsia="Calibri" w:hAnsi="Verdana" w:cs="Arial"/>
                <w:lang w:val="es-ES_tradnl" w:eastAsia="es-ES_tradnl"/>
              </w:rPr>
              <w:t>P20250416003693</w:t>
            </w:r>
            <w:r w:rsidR="00E56961">
              <w:rPr>
                <w:rFonts w:ascii="Verdana" w:eastAsia="Calibri" w:hAnsi="Verdana" w:cs="Arial"/>
                <w:lang w:val="es-ES_tradnl" w:eastAsia="es-ES_tradnl"/>
              </w:rPr>
              <w:t xml:space="preserve"> acumulado con el radicado No. </w:t>
            </w:r>
            <w:r w:rsidR="00E56961">
              <w:rPr>
                <w:rFonts w:ascii="Verdana" w:hAnsi="Verdana"/>
                <w:color w:val="000000"/>
              </w:rPr>
              <w:t>P20250425003972.</w:t>
            </w:r>
          </w:p>
        </w:tc>
      </w:tr>
    </w:tbl>
    <w:p w14:paraId="54DB886A" w14:textId="77777777" w:rsidR="00A1428F" w:rsidRPr="0017066F" w:rsidRDefault="00A1428F" w:rsidP="00A1428F">
      <w:pPr>
        <w:spacing w:after="0" w:line="240" w:lineRule="auto"/>
        <w:jc w:val="both"/>
        <w:rPr>
          <w:rFonts w:ascii="Verdana" w:eastAsia="Calibri" w:hAnsi="Verdana" w:cs="Arial"/>
          <w:lang w:val="es-ES_tradnl" w:eastAsia="es-ES_tradnl"/>
        </w:rPr>
      </w:pPr>
    </w:p>
    <w:p w14:paraId="050D3609" w14:textId="77777777" w:rsidR="00A1428F" w:rsidRPr="0017066F" w:rsidRDefault="00A1428F" w:rsidP="00A1428F">
      <w:pPr>
        <w:spacing w:after="0" w:line="240" w:lineRule="auto"/>
        <w:jc w:val="both"/>
        <w:rPr>
          <w:rFonts w:ascii="Verdana" w:eastAsia="Calibri" w:hAnsi="Verdana" w:cs="Arial"/>
          <w:color w:val="000000"/>
          <w:lang w:val="es-ES_tradnl" w:eastAsia="es-ES_tradnl"/>
        </w:rPr>
      </w:pPr>
    </w:p>
    <w:p w14:paraId="66DE9D7B" w14:textId="57FAF466" w:rsidR="00A1428F" w:rsidRPr="0017066F" w:rsidRDefault="00A1428F" w:rsidP="00A1428F">
      <w:pPr>
        <w:spacing w:after="0" w:line="276" w:lineRule="auto"/>
        <w:jc w:val="both"/>
        <w:rPr>
          <w:rFonts w:ascii="Verdana" w:eastAsia="Calibri" w:hAnsi="Verdana" w:cs="Arial"/>
          <w:color w:val="000000" w:themeColor="text1"/>
          <w:lang w:val="es-ES" w:eastAsia="es-ES"/>
        </w:rPr>
      </w:pPr>
      <w:r w:rsidRPr="0017066F">
        <w:rPr>
          <w:rFonts w:ascii="Verdana" w:eastAsia="Calibri" w:hAnsi="Verdana" w:cs="Arial"/>
          <w:color w:val="000000" w:themeColor="text1"/>
          <w:lang w:val="es-ES" w:eastAsia="es-ES"/>
        </w:rPr>
        <w:t>Estimado señor</w:t>
      </w:r>
      <w:r w:rsidR="0017066F">
        <w:rPr>
          <w:rFonts w:ascii="Verdana" w:eastAsia="Calibri" w:hAnsi="Verdana" w:cs="Arial"/>
          <w:color w:val="000000" w:themeColor="text1"/>
          <w:lang w:val="es-ES" w:eastAsia="es-ES"/>
        </w:rPr>
        <w:t xml:space="preserve"> Navarrete</w:t>
      </w:r>
      <w:r w:rsidRPr="0017066F">
        <w:rPr>
          <w:rFonts w:ascii="Verdana" w:eastAsia="Calibri" w:hAnsi="Verdana" w:cs="Arial"/>
          <w:lang w:val="es-ES" w:eastAsia="es-ES"/>
        </w:rPr>
        <w:t xml:space="preserve">: </w:t>
      </w:r>
    </w:p>
    <w:p w14:paraId="054C69F4" w14:textId="77777777" w:rsidR="00A1428F" w:rsidRPr="0017066F" w:rsidRDefault="00A1428F" w:rsidP="00A1428F">
      <w:pPr>
        <w:tabs>
          <w:tab w:val="left" w:pos="3768"/>
        </w:tabs>
        <w:spacing w:after="0" w:line="276" w:lineRule="auto"/>
        <w:jc w:val="both"/>
        <w:rPr>
          <w:rFonts w:ascii="Verdana" w:eastAsia="Calibri" w:hAnsi="Verdana" w:cs="Arial"/>
          <w:color w:val="000000" w:themeColor="text1"/>
          <w:lang w:val="es-ES" w:eastAsia="es-ES"/>
        </w:rPr>
      </w:pPr>
      <w:r w:rsidRPr="0017066F">
        <w:rPr>
          <w:rFonts w:ascii="Verdana" w:eastAsia="Calibri" w:hAnsi="Verdana" w:cs="Arial"/>
          <w:color w:val="000000" w:themeColor="text1"/>
          <w:lang w:val="es-ES" w:eastAsia="es-ES"/>
        </w:rPr>
        <w:tab/>
      </w:r>
    </w:p>
    <w:p w14:paraId="5F896931" w14:textId="016B07E8" w:rsidR="00A1428F" w:rsidRPr="0017066F" w:rsidRDefault="00A1428F" w:rsidP="00A1428F">
      <w:pPr>
        <w:spacing w:after="0" w:line="276" w:lineRule="auto"/>
        <w:jc w:val="both"/>
        <w:rPr>
          <w:rFonts w:ascii="Verdana" w:eastAsia="Calibri" w:hAnsi="Verdana" w:cs="Arial"/>
          <w:color w:val="7030A0"/>
          <w:lang w:val="es-ES" w:eastAsia="es-ES"/>
        </w:rPr>
      </w:pPr>
      <w:r w:rsidRPr="0017066F">
        <w:rPr>
          <w:rFonts w:ascii="Verdana" w:eastAsia="Calibri" w:hAnsi="Verdana" w:cs="Arial"/>
          <w:color w:val="000000" w:themeColor="text1"/>
          <w:lang w:val="es-ES" w:eastAsia="es-ES"/>
        </w:rPr>
        <w:t>En ejercicio de la competencia otorgada por los artículos 3, numeral 5º, y 11, numeral 8º, del Decreto Ley 4170 de 2011,</w:t>
      </w:r>
      <w:r w:rsidRPr="0017066F">
        <w:rPr>
          <w:rFonts w:ascii="Verdana" w:eastAsia="Arial MT" w:hAnsi="Verdana" w:cs="Arial MT"/>
          <w:lang w:val="es-ES" w:eastAsia="es-ES"/>
        </w:rPr>
        <w:t xml:space="preserve"> </w:t>
      </w:r>
      <w:r w:rsidRPr="0017066F">
        <w:rPr>
          <w:rFonts w:ascii="Verdana" w:hAnsi="Verdana" w:cs="Arial"/>
        </w:rPr>
        <w:t xml:space="preserve">así como lo establecido en el artículo 4 de la Resolución 1707 de 2018 expedida por esta Entidad, </w:t>
      </w:r>
      <w:r w:rsidRPr="0017066F">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17066F">
        <w:rPr>
          <w:rFonts w:ascii="Verdana" w:eastAsia="Calibri" w:hAnsi="Verdana" w:cs="Arial"/>
          <w:lang w:val="es-ES" w:eastAsia="es-ES"/>
        </w:rPr>
        <w:t xml:space="preserve">fecha </w:t>
      </w:r>
      <w:r w:rsidR="00FD0328">
        <w:rPr>
          <w:rFonts w:ascii="Verdana" w:eastAsia="Calibri" w:hAnsi="Verdana" w:cs="Arial"/>
          <w:lang w:val="es-ES" w:eastAsia="es-ES"/>
        </w:rPr>
        <w:t>16</w:t>
      </w:r>
      <w:r w:rsidRPr="0017066F">
        <w:rPr>
          <w:rFonts w:ascii="Verdana" w:eastAsia="Calibri" w:hAnsi="Verdana" w:cs="Arial"/>
          <w:lang w:val="es-ES" w:eastAsia="es-ES"/>
        </w:rPr>
        <w:t xml:space="preserve"> de </w:t>
      </w:r>
      <w:r w:rsidR="00623201">
        <w:rPr>
          <w:rFonts w:ascii="Verdana" w:eastAsia="Calibri" w:hAnsi="Verdana" w:cs="Arial"/>
          <w:lang w:val="es-ES" w:eastAsia="es-ES"/>
        </w:rPr>
        <w:t>abril</w:t>
      </w:r>
      <w:r w:rsidRPr="0017066F">
        <w:rPr>
          <w:rFonts w:ascii="Verdana" w:eastAsia="Calibri" w:hAnsi="Verdana" w:cs="Arial"/>
          <w:lang w:val="es-ES" w:eastAsia="es-ES"/>
        </w:rPr>
        <w:t xml:space="preserve"> de 2025,</w:t>
      </w:r>
      <w:r w:rsidR="00FD0328">
        <w:rPr>
          <w:rFonts w:ascii="Verdana" w:eastAsia="Calibri" w:hAnsi="Verdana" w:cs="Arial"/>
          <w:lang w:val="es-ES" w:eastAsia="es-ES"/>
        </w:rPr>
        <w:t xml:space="preserve"> reiterada el 25 de abril,</w:t>
      </w:r>
      <w:r w:rsidRPr="0017066F">
        <w:rPr>
          <w:rFonts w:ascii="Verdana" w:eastAsia="Calibri" w:hAnsi="Verdana" w:cs="Arial"/>
          <w:lang w:val="es-ES" w:eastAsia="es-ES"/>
        </w:rPr>
        <w:t xml:space="preserve"> en la cual manifiesta lo siguiente: </w:t>
      </w:r>
    </w:p>
    <w:p w14:paraId="35955571" w14:textId="77777777" w:rsidR="00A1428F" w:rsidRPr="00FD0328" w:rsidRDefault="00A1428F" w:rsidP="00ED48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023EFFB" w14:textId="77777777" w:rsidR="00EF3FD3" w:rsidRPr="00FD0328" w:rsidRDefault="00A1428F" w:rsidP="00EF3FD3">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FD0328">
        <w:rPr>
          <w:rFonts w:ascii="Verdana" w:eastAsia="Century Gothic" w:hAnsi="Verdana" w:cs="Arial"/>
          <w:sz w:val="20"/>
          <w:szCs w:val="20"/>
          <w:lang w:val="es-ES"/>
        </w:rPr>
        <w:t>“</w:t>
      </w:r>
      <w:bookmarkEnd w:id="1"/>
      <w:r w:rsidR="00EF3FD3" w:rsidRPr="00FD0328">
        <w:rPr>
          <w:rStyle w:val="normaltextrun"/>
          <w:rFonts w:ascii="Verdana" w:hAnsi="Verdana" w:cs="Arial"/>
          <w:sz w:val="20"/>
          <w:szCs w:val="20"/>
          <w:shd w:val="clear" w:color="auto" w:fill="FFFFFF"/>
          <w:lang w:val="es-ES"/>
        </w:rPr>
        <w:t>[…] Qué tipo de ESAL podrían participar en procesos limitados a MIPYMES?</w:t>
      </w:r>
    </w:p>
    <w:p w14:paraId="524E7077" w14:textId="78DDA180" w:rsidR="00EF3FD3" w:rsidRPr="00FD0328" w:rsidRDefault="00EF3FD3" w:rsidP="00EF3FD3">
      <w:pPr>
        <w:spacing w:after="0" w:line="240" w:lineRule="auto"/>
        <w:ind w:left="709" w:right="709"/>
        <w:jc w:val="both"/>
        <w:rPr>
          <w:rStyle w:val="normaltextrun"/>
          <w:rFonts w:ascii="Verdana" w:hAnsi="Verdana" w:cs="Arial"/>
          <w:sz w:val="20"/>
          <w:szCs w:val="20"/>
          <w:shd w:val="clear" w:color="auto" w:fill="FFFFFF"/>
          <w:lang w:val="es-ES"/>
        </w:rPr>
      </w:pPr>
      <w:r w:rsidRPr="00FD0328">
        <w:rPr>
          <w:rStyle w:val="normaltextrun"/>
          <w:rFonts w:ascii="Verdana" w:hAnsi="Verdana" w:cs="Arial"/>
          <w:sz w:val="20"/>
          <w:szCs w:val="20"/>
          <w:shd w:val="clear" w:color="auto" w:fill="FFFFFF"/>
          <w:lang w:val="es-ES"/>
        </w:rPr>
        <w:t>• ¿Qué criterios deben utilizar los equipos de contratación para verificar su admisibilidad y capacidad técnica?</w:t>
      </w:r>
    </w:p>
    <w:p w14:paraId="3CFBA552" w14:textId="6989A1BC" w:rsidR="00A1428F" w:rsidRPr="00FD0328" w:rsidRDefault="00EF3FD3" w:rsidP="00EF3FD3">
      <w:pPr>
        <w:spacing w:after="0" w:line="240" w:lineRule="auto"/>
        <w:ind w:left="709" w:right="709"/>
        <w:jc w:val="both"/>
        <w:rPr>
          <w:rStyle w:val="normaltextrun"/>
          <w:rFonts w:ascii="Verdana" w:hAnsi="Verdana" w:cs="Arial"/>
          <w:sz w:val="20"/>
          <w:szCs w:val="20"/>
          <w:shd w:val="clear" w:color="auto" w:fill="FFFFFF"/>
          <w:lang w:val="es-ES"/>
        </w:rPr>
      </w:pPr>
      <w:r w:rsidRPr="00FD0328">
        <w:rPr>
          <w:rStyle w:val="normaltextrun"/>
          <w:rFonts w:ascii="Verdana" w:hAnsi="Verdana" w:cs="Arial"/>
          <w:sz w:val="20"/>
          <w:szCs w:val="20"/>
          <w:shd w:val="clear" w:color="auto" w:fill="FFFFFF"/>
          <w:lang w:val="es-ES"/>
        </w:rPr>
        <w:lastRenderedPageBreak/>
        <w:t>• ¿Cuáles son los fundamentos normativos y jurisprudenciales que respaldan dichas excepciones?</w:t>
      </w:r>
    </w:p>
    <w:p w14:paraId="2B6CFD7D" w14:textId="30F3DB5C" w:rsidR="00EF3FD3" w:rsidRPr="00FD0328" w:rsidRDefault="00EF3FD3" w:rsidP="00EF3FD3">
      <w:pPr>
        <w:spacing w:after="0" w:line="240" w:lineRule="auto"/>
        <w:ind w:left="709" w:right="709"/>
        <w:jc w:val="both"/>
        <w:rPr>
          <w:rStyle w:val="normaltextrun"/>
          <w:rFonts w:ascii="Verdana" w:hAnsi="Verdana" w:cs="Arial"/>
          <w:sz w:val="20"/>
          <w:szCs w:val="20"/>
          <w:shd w:val="clear" w:color="auto" w:fill="FFFFFF"/>
          <w:lang w:val="es-ES"/>
        </w:rPr>
      </w:pPr>
      <w:r w:rsidRPr="00FD0328">
        <w:rPr>
          <w:rStyle w:val="normaltextrun"/>
          <w:rFonts w:ascii="Verdana" w:hAnsi="Verdana" w:cs="Arial"/>
          <w:sz w:val="20"/>
          <w:szCs w:val="20"/>
          <w:shd w:val="clear" w:color="auto" w:fill="FFFFFF"/>
          <w:lang w:val="es-ES"/>
        </w:rPr>
        <w:t xml:space="preserve">[…] </w:t>
      </w:r>
    </w:p>
    <w:p w14:paraId="2693820D" w14:textId="77777777" w:rsidR="00EF3FD3" w:rsidRPr="00FD0328" w:rsidRDefault="00EF3FD3" w:rsidP="00EF3FD3">
      <w:pPr>
        <w:spacing w:after="0" w:line="240" w:lineRule="auto"/>
        <w:ind w:left="709" w:right="709"/>
        <w:jc w:val="both"/>
        <w:rPr>
          <w:rFonts w:ascii="Verdana" w:eastAsia="Century Gothic" w:hAnsi="Verdana" w:cs="Arial"/>
          <w:sz w:val="20"/>
          <w:szCs w:val="20"/>
          <w:lang w:val="es-ES"/>
        </w:rPr>
      </w:pPr>
      <w:r w:rsidRPr="00FD0328">
        <w:rPr>
          <w:rFonts w:ascii="Verdana" w:eastAsia="Century Gothic" w:hAnsi="Verdana" w:cs="Arial"/>
          <w:sz w:val="20"/>
          <w:szCs w:val="20"/>
          <w:lang w:val="es-ES"/>
        </w:rPr>
        <w:t xml:space="preserve">Qué elementos debe justificar una entidad para delimitar el proceso a un </w:t>
      </w:r>
    </w:p>
    <w:p w14:paraId="03F0F8B4" w14:textId="77777777" w:rsidR="00EF3FD3" w:rsidRPr="00FD0328" w:rsidRDefault="00EF3FD3" w:rsidP="00EF3FD3">
      <w:pPr>
        <w:spacing w:after="0" w:line="240" w:lineRule="auto"/>
        <w:ind w:left="709" w:right="709"/>
        <w:jc w:val="both"/>
        <w:rPr>
          <w:rFonts w:ascii="Verdana" w:eastAsia="Century Gothic" w:hAnsi="Verdana" w:cs="Arial"/>
          <w:sz w:val="20"/>
          <w:szCs w:val="20"/>
          <w:lang w:val="es-ES"/>
        </w:rPr>
      </w:pPr>
      <w:r w:rsidRPr="00FD0328">
        <w:rPr>
          <w:rFonts w:ascii="Verdana" w:eastAsia="Century Gothic" w:hAnsi="Verdana" w:cs="Arial"/>
          <w:sz w:val="20"/>
          <w:szCs w:val="20"/>
          <w:lang w:val="es-ES"/>
        </w:rPr>
        <w:t>ámbito territorial menor (municipal o local) si el mercado es nacional?</w:t>
      </w:r>
    </w:p>
    <w:p w14:paraId="441671C8" w14:textId="384A6EC7" w:rsidR="00EF3FD3" w:rsidRPr="00FD0328" w:rsidRDefault="00EF3FD3" w:rsidP="00EF3FD3">
      <w:pPr>
        <w:spacing w:after="0" w:line="240" w:lineRule="auto"/>
        <w:ind w:left="709" w:right="709"/>
        <w:jc w:val="both"/>
        <w:rPr>
          <w:rFonts w:ascii="Verdana" w:eastAsia="Century Gothic" w:hAnsi="Verdana" w:cs="Arial"/>
          <w:sz w:val="20"/>
          <w:szCs w:val="20"/>
          <w:lang w:val="es-ES"/>
        </w:rPr>
      </w:pPr>
      <w:r w:rsidRPr="00FD0328">
        <w:rPr>
          <w:rFonts w:ascii="Verdana" w:eastAsia="Century Gothic" w:hAnsi="Verdana" w:cs="Arial"/>
          <w:sz w:val="20"/>
          <w:szCs w:val="20"/>
          <w:lang w:val="es-ES"/>
        </w:rPr>
        <w:t>• ¿La voluntad de limitar puede ser discrecional o debe responder a estudios técnicos verificables?</w:t>
      </w:r>
    </w:p>
    <w:p w14:paraId="03F5043B" w14:textId="303BE826" w:rsidR="00EF3FD3" w:rsidRPr="00FD0328" w:rsidRDefault="00EF3FD3" w:rsidP="00EF3FD3">
      <w:pPr>
        <w:spacing w:after="0" w:line="240" w:lineRule="auto"/>
        <w:ind w:left="709" w:right="709"/>
        <w:jc w:val="both"/>
        <w:rPr>
          <w:rFonts w:ascii="Verdana" w:eastAsia="Century Gothic" w:hAnsi="Verdana" w:cs="Arial"/>
          <w:sz w:val="20"/>
          <w:szCs w:val="20"/>
          <w:lang w:val="es-ES"/>
        </w:rPr>
      </w:pPr>
      <w:r w:rsidRPr="00FD0328">
        <w:rPr>
          <w:rFonts w:ascii="Verdana" w:eastAsia="Century Gothic" w:hAnsi="Verdana" w:cs="Arial"/>
          <w:sz w:val="20"/>
          <w:szCs w:val="20"/>
          <w:lang w:val="es-ES"/>
        </w:rPr>
        <w:t>[…]</w:t>
      </w:r>
    </w:p>
    <w:p w14:paraId="1C9A8B9D" w14:textId="5FC3D989" w:rsidR="00EF3FD3" w:rsidRPr="00FD0328" w:rsidRDefault="00EF3FD3" w:rsidP="00EF3FD3">
      <w:pPr>
        <w:spacing w:after="0" w:line="240" w:lineRule="auto"/>
        <w:ind w:left="709" w:right="709"/>
        <w:jc w:val="both"/>
        <w:rPr>
          <w:rFonts w:ascii="Verdana" w:eastAsia="Century Gothic" w:hAnsi="Verdana" w:cs="Arial"/>
          <w:sz w:val="20"/>
          <w:szCs w:val="20"/>
          <w:lang w:val="es-ES"/>
        </w:rPr>
      </w:pPr>
      <w:r w:rsidRPr="00FD0328">
        <w:rPr>
          <w:rFonts w:ascii="Verdana" w:eastAsia="Century Gothic" w:hAnsi="Verdana" w:cs="Arial"/>
          <w:sz w:val="20"/>
          <w:szCs w:val="20"/>
          <w:lang w:val="es-ES"/>
        </w:rPr>
        <w:t>¿Cuál es el alcance normativo y vinculante de los conceptos emitidos por la entidad?</w:t>
      </w:r>
    </w:p>
    <w:p w14:paraId="6FEAC1D3" w14:textId="77777777" w:rsidR="00EF3FD3" w:rsidRPr="00FD0328" w:rsidRDefault="00EF3FD3" w:rsidP="00EF3FD3">
      <w:pPr>
        <w:spacing w:after="0" w:line="240" w:lineRule="auto"/>
        <w:ind w:left="709" w:right="709"/>
        <w:jc w:val="both"/>
        <w:rPr>
          <w:rFonts w:ascii="Verdana" w:eastAsia="Century Gothic" w:hAnsi="Verdana" w:cs="Arial"/>
          <w:sz w:val="20"/>
          <w:szCs w:val="20"/>
          <w:lang w:val="es-ES"/>
        </w:rPr>
      </w:pPr>
      <w:r w:rsidRPr="00FD0328">
        <w:rPr>
          <w:rFonts w:ascii="Verdana" w:eastAsia="Century Gothic" w:hAnsi="Verdana" w:cs="Arial"/>
          <w:sz w:val="20"/>
          <w:szCs w:val="20"/>
          <w:lang w:val="es-ES"/>
        </w:rPr>
        <w:t>• ¿En qué casos pueden ser desconocidos por las entidades contratantes?</w:t>
      </w:r>
    </w:p>
    <w:p w14:paraId="61D27E40" w14:textId="1E8B5C4F" w:rsidR="00EF3FD3" w:rsidRPr="00FD0328" w:rsidRDefault="00EF3FD3" w:rsidP="00EF3FD3">
      <w:pPr>
        <w:spacing w:after="0" w:line="240" w:lineRule="auto"/>
        <w:ind w:left="709" w:right="709"/>
        <w:jc w:val="both"/>
        <w:rPr>
          <w:rFonts w:ascii="Verdana" w:eastAsia="Century Gothic" w:hAnsi="Verdana" w:cs="Arial"/>
          <w:sz w:val="20"/>
          <w:szCs w:val="20"/>
          <w:lang w:val="es-ES"/>
        </w:rPr>
      </w:pPr>
      <w:r w:rsidRPr="00FD0328">
        <w:rPr>
          <w:rFonts w:ascii="Verdana" w:eastAsia="Century Gothic" w:hAnsi="Verdana" w:cs="Arial"/>
          <w:sz w:val="20"/>
          <w:szCs w:val="20"/>
          <w:lang w:val="es-ES"/>
        </w:rPr>
        <w:t xml:space="preserve">• ¿Existe algún mecanismo de seguimiento o sanción para las entidades que los omiten sin justificación técnica o jurídica válida? […]” [sic] </w:t>
      </w:r>
    </w:p>
    <w:p w14:paraId="1D020964" w14:textId="77777777" w:rsidR="00A1428F" w:rsidRPr="0017066F" w:rsidRDefault="00A1428F" w:rsidP="00ED487E">
      <w:pPr>
        <w:pStyle w:val="Prrafodelista"/>
        <w:tabs>
          <w:tab w:val="left" w:pos="142"/>
          <w:tab w:val="left" w:pos="284"/>
        </w:tabs>
        <w:spacing w:after="0" w:line="276" w:lineRule="auto"/>
        <w:ind w:left="0"/>
        <w:jc w:val="both"/>
        <w:rPr>
          <w:rFonts w:ascii="Verdana" w:eastAsia="Century Gothic" w:hAnsi="Verdana" w:cs="Century Gothic"/>
          <w:b/>
          <w:bCs/>
        </w:rPr>
      </w:pPr>
    </w:p>
    <w:p w14:paraId="722F098E" w14:textId="77777777" w:rsidR="00A1428F" w:rsidRPr="0017066F" w:rsidRDefault="00A1428F" w:rsidP="00A1428F">
      <w:pPr>
        <w:spacing w:after="120" w:line="276" w:lineRule="auto"/>
        <w:ind w:firstLine="709"/>
        <w:jc w:val="both"/>
        <w:rPr>
          <w:rFonts w:ascii="Verdana" w:eastAsia="Calibri" w:hAnsi="Verdana" w:cs="Arial"/>
          <w:color w:val="000000"/>
          <w:szCs w:val="24"/>
          <w:lang w:val="es-ES_tradnl" w:eastAsia="es-ES_tradnl"/>
        </w:rPr>
      </w:pPr>
      <w:r w:rsidRPr="0017066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7066F">
        <w:rPr>
          <w:rFonts w:ascii="Verdana" w:eastAsia="Calibri" w:hAnsi="Verdana" w:cs="Arial"/>
          <w:color w:val="000000"/>
          <w:szCs w:val="24"/>
          <w:lang w:val="es-ES_tradnl" w:eastAsia="es-ES_tradnl"/>
        </w:rPr>
        <w:tab/>
      </w:r>
    </w:p>
    <w:p w14:paraId="118E90B0" w14:textId="77777777" w:rsidR="00A1428F" w:rsidRPr="0017066F" w:rsidRDefault="00A1428F" w:rsidP="00A1428F">
      <w:pPr>
        <w:spacing w:after="0" w:line="276" w:lineRule="auto"/>
        <w:ind w:firstLine="709"/>
        <w:jc w:val="both"/>
        <w:rPr>
          <w:rFonts w:ascii="Verdana" w:eastAsia="Calibri" w:hAnsi="Verdana" w:cs="Arial"/>
          <w:color w:val="000000"/>
          <w:lang w:val="es-ES" w:eastAsia="es-ES"/>
        </w:rPr>
      </w:pPr>
      <w:r w:rsidRPr="0017066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17066F">
        <w:rPr>
          <w:rFonts w:ascii="Verdana" w:eastAsia="Calibri" w:hAnsi="Verdana" w:cs="Arial"/>
          <w:color w:val="7030A0"/>
          <w:lang w:val="es-ES" w:eastAsia="es-ES"/>
        </w:rPr>
        <w:t xml:space="preserve"> </w:t>
      </w:r>
      <w:r w:rsidRPr="0017066F">
        <w:rPr>
          <w:rFonts w:ascii="Verdana" w:eastAsia="Calibri" w:hAnsi="Verdana" w:cs="Arial"/>
          <w:color w:val="000000"/>
          <w:lang w:val="es-ES" w:eastAsia="es-ES"/>
        </w:rPr>
        <w:t>problema</w:t>
      </w:r>
      <w:r w:rsidRPr="0017066F">
        <w:rPr>
          <w:rFonts w:ascii="Verdana" w:eastAsia="Calibri" w:hAnsi="Verdana" w:cs="Arial"/>
          <w:color w:val="7030A0"/>
          <w:lang w:val="es-ES" w:eastAsia="es-ES"/>
        </w:rPr>
        <w:t xml:space="preserve"> </w:t>
      </w:r>
      <w:r w:rsidRPr="0017066F">
        <w:rPr>
          <w:rFonts w:ascii="Verdana" w:eastAsia="Calibri" w:hAnsi="Verdana" w:cs="Arial"/>
          <w:color w:val="000000"/>
          <w:lang w:val="es-ES" w:eastAsia="es-ES"/>
        </w:rPr>
        <w:t>jurídico</w:t>
      </w:r>
      <w:r w:rsidRPr="0017066F">
        <w:rPr>
          <w:rFonts w:ascii="Verdana" w:eastAsia="Calibri" w:hAnsi="Verdana" w:cs="Arial"/>
          <w:color w:val="7030A0"/>
          <w:lang w:val="es-ES" w:eastAsia="es-ES"/>
        </w:rPr>
        <w:t xml:space="preserve"> </w:t>
      </w:r>
      <w:r w:rsidRPr="0017066F">
        <w:rPr>
          <w:rFonts w:ascii="Verdana" w:eastAsia="Calibri" w:hAnsi="Verdana" w:cs="Arial"/>
          <w:color w:val="000000"/>
          <w:lang w:val="es-ES" w:eastAsia="es-ES"/>
        </w:rPr>
        <w:t xml:space="preserve">de su consulta. </w:t>
      </w:r>
    </w:p>
    <w:p w14:paraId="25516C68" w14:textId="77777777" w:rsidR="00A1428F" w:rsidRPr="0017066F" w:rsidRDefault="00A1428F" w:rsidP="00A1428F">
      <w:pPr>
        <w:spacing w:after="0" w:line="276" w:lineRule="auto"/>
        <w:ind w:firstLine="709"/>
        <w:jc w:val="both"/>
        <w:rPr>
          <w:rFonts w:ascii="Verdana" w:eastAsia="Calibri" w:hAnsi="Verdana" w:cs="Arial"/>
          <w:color w:val="000000"/>
          <w:lang w:val="es-ES" w:eastAsia="es-ES"/>
        </w:rPr>
      </w:pPr>
    </w:p>
    <w:p w14:paraId="3FB89BA9" w14:textId="77777777" w:rsidR="00A1428F" w:rsidRPr="0017066F" w:rsidRDefault="00A1428F" w:rsidP="00A1428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7066F">
        <w:rPr>
          <w:rFonts w:ascii="Verdana" w:eastAsia="Century Gothic" w:hAnsi="Verdana" w:cs="Century Gothic"/>
          <w:b/>
          <w:bCs/>
        </w:rPr>
        <w:t>Problema planteado:</w:t>
      </w:r>
    </w:p>
    <w:p w14:paraId="28387FFB" w14:textId="77777777" w:rsidR="00A1428F" w:rsidRPr="0017066F" w:rsidRDefault="00A1428F" w:rsidP="00A1428F">
      <w:pPr>
        <w:tabs>
          <w:tab w:val="left" w:pos="426"/>
        </w:tabs>
        <w:spacing w:after="0" w:line="276" w:lineRule="auto"/>
        <w:jc w:val="both"/>
        <w:rPr>
          <w:rFonts w:ascii="Verdana" w:eastAsia="Century Gothic" w:hAnsi="Verdana" w:cs="Century Gothic"/>
          <w:lang w:val="es-ES"/>
        </w:rPr>
      </w:pPr>
    </w:p>
    <w:p w14:paraId="1A929501" w14:textId="5FA80B9F" w:rsidR="00A1428F" w:rsidRPr="0017066F" w:rsidRDefault="00A1428F" w:rsidP="00A1428F">
      <w:pPr>
        <w:spacing w:after="0" w:line="276" w:lineRule="auto"/>
        <w:jc w:val="both"/>
        <w:rPr>
          <w:rFonts w:ascii="Verdana" w:eastAsia="Century Gothic" w:hAnsi="Verdana" w:cs="Century Gothic"/>
        </w:rPr>
      </w:pPr>
      <w:r w:rsidRPr="0017066F">
        <w:rPr>
          <w:rFonts w:ascii="Verdana" w:eastAsia="Century Gothic" w:hAnsi="Verdana" w:cs="Century Gothic"/>
        </w:rPr>
        <w:t xml:space="preserve">De acuerdo con el contenido de su solicitud, esta Agencia resolverá </w:t>
      </w:r>
      <w:r w:rsidR="00EF3FD3">
        <w:rPr>
          <w:rFonts w:ascii="Verdana" w:eastAsia="Century Gothic" w:hAnsi="Verdana" w:cs="Century Gothic"/>
        </w:rPr>
        <w:t xml:space="preserve">los </w:t>
      </w:r>
      <w:r w:rsidRPr="0017066F">
        <w:rPr>
          <w:rFonts w:ascii="Verdana" w:eastAsia="Century Gothic" w:hAnsi="Verdana" w:cs="Century Gothic"/>
        </w:rPr>
        <w:t>siguiente</w:t>
      </w:r>
      <w:r w:rsidR="00EF3FD3">
        <w:rPr>
          <w:rFonts w:ascii="Verdana" w:eastAsia="Century Gothic" w:hAnsi="Verdana" w:cs="Century Gothic"/>
        </w:rPr>
        <w:t xml:space="preserve">s </w:t>
      </w:r>
      <w:r w:rsidRPr="0017066F">
        <w:rPr>
          <w:rFonts w:ascii="Verdana" w:eastAsia="Century Gothic" w:hAnsi="Verdana" w:cs="Century Gothic"/>
        </w:rPr>
        <w:t>problema</w:t>
      </w:r>
      <w:r w:rsidR="00EF3FD3">
        <w:rPr>
          <w:rFonts w:ascii="Verdana" w:eastAsia="Century Gothic" w:hAnsi="Verdana" w:cs="Century Gothic"/>
        </w:rPr>
        <w:t>s</w:t>
      </w:r>
      <w:r w:rsidRPr="0017066F">
        <w:rPr>
          <w:rFonts w:ascii="Verdana" w:eastAsia="Century Gothic" w:hAnsi="Verdana" w:cs="Century Gothic"/>
        </w:rPr>
        <w:t xml:space="preserve"> jurídico</w:t>
      </w:r>
      <w:r w:rsidR="00EF3FD3">
        <w:rPr>
          <w:rFonts w:ascii="Verdana" w:eastAsia="Century Gothic" w:hAnsi="Verdana" w:cs="Century Gothic"/>
        </w:rPr>
        <w:t>s</w:t>
      </w:r>
      <w:r w:rsidRPr="0017066F">
        <w:rPr>
          <w:rFonts w:ascii="Verdana" w:eastAsia="Century Gothic" w:hAnsi="Verdana" w:cs="Century Gothic"/>
        </w:rPr>
        <w:t xml:space="preserve">: </w:t>
      </w:r>
      <w:r w:rsidR="00EF3FD3">
        <w:rPr>
          <w:rFonts w:ascii="Verdana" w:eastAsia="Century Gothic" w:hAnsi="Verdana" w:cs="Century Gothic"/>
        </w:rPr>
        <w:t xml:space="preserve">1. </w:t>
      </w:r>
      <w:r w:rsidRPr="0017066F">
        <w:rPr>
          <w:rFonts w:ascii="Verdana" w:eastAsia="Century Gothic" w:hAnsi="Verdana" w:cs="Century Gothic"/>
        </w:rPr>
        <w:t xml:space="preserve">¿la limitación de un proceso contractual a MiPymes </w:t>
      </w:r>
      <w:r w:rsidR="001C0619" w:rsidRPr="0017066F">
        <w:rPr>
          <w:rFonts w:ascii="Verdana" w:eastAsia="Century Gothic" w:hAnsi="Verdana" w:cs="Century Gothic"/>
        </w:rPr>
        <w:t>en el ámbito</w:t>
      </w:r>
      <w:r w:rsidRPr="0017066F">
        <w:rPr>
          <w:rFonts w:ascii="Verdana" w:eastAsia="Century Gothic" w:hAnsi="Verdana" w:cs="Century Gothic"/>
        </w:rPr>
        <w:t xml:space="preserve"> territorial puede ser solicitada por </w:t>
      </w:r>
      <w:r w:rsidR="001C0619" w:rsidRPr="0017066F">
        <w:rPr>
          <w:rFonts w:ascii="Verdana" w:eastAsia="Century Gothic" w:hAnsi="Verdana" w:cs="Century Gothic"/>
        </w:rPr>
        <w:t>Entidades Sin Ánimo</w:t>
      </w:r>
      <w:r w:rsidRPr="0017066F">
        <w:rPr>
          <w:rFonts w:ascii="Verdana" w:eastAsia="Century Gothic" w:hAnsi="Verdana" w:cs="Century Gothic"/>
        </w:rPr>
        <w:t xml:space="preserve"> de </w:t>
      </w:r>
      <w:r w:rsidR="001C0619" w:rsidRPr="0017066F">
        <w:rPr>
          <w:rFonts w:ascii="Verdana" w:eastAsia="Century Gothic" w:hAnsi="Verdana" w:cs="Century Gothic"/>
        </w:rPr>
        <w:t>Lucro – en adelante ESAL</w:t>
      </w:r>
      <w:r w:rsidRPr="0017066F">
        <w:rPr>
          <w:rFonts w:ascii="Verdana" w:eastAsia="Century Gothic" w:hAnsi="Verdana" w:cs="Century Gothic"/>
        </w:rPr>
        <w:t xml:space="preserve">? </w:t>
      </w:r>
      <w:r w:rsidR="00F13EAD">
        <w:rPr>
          <w:rFonts w:ascii="Verdana" w:eastAsia="Century Gothic" w:hAnsi="Verdana" w:cs="Century Gothic"/>
        </w:rPr>
        <w:t>2</w:t>
      </w:r>
      <w:r w:rsidR="00A64288" w:rsidRPr="00A64288">
        <w:rPr>
          <w:rFonts w:ascii="Verdana" w:eastAsia="Century Gothic" w:hAnsi="Verdana" w:cs="Century Gothic"/>
        </w:rPr>
        <w:t xml:space="preserve">. ¿Puede la convocatoria limitarse a Mipymes con domicilio en un territorio determinado? </w:t>
      </w:r>
      <w:r w:rsidR="00F13EAD">
        <w:rPr>
          <w:rFonts w:ascii="Verdana" w:eastAsia="Century Gothic" w:hAnsi="Verdana" w:cs="Century Gothic"/>
        </w:rPr>
        <w:t>3</w:t>
      </w:r>
      <w:r w:rsidR="00EF3FD3">
        <w:rPr>
          <w:rFonts w:ascii="Verdana" w:eastAsia="Century Gothic" w:hAnsi="Verdana" w:cs="Century Gothic"/>
        </w:rPr>
        <w:t xml:space="preserve">. </w:t>
      </w:r>
      <w:r w:rsidR="00A64288">
        <w:rPr>
          <w:rFonts w:ascii="Verdana" w:eastAsia="Century Gothic" w:hAnsi="Verdana" w:cs="Century Gothic"/>
        </w:rPr>
        <w:t>¿L</w:t>
      </w:r>
      <w:r w:rsidR="00EF3FD3">
        <w:rPr>
          <w:rFonts w:ascii="Verdana" w:eastAsia="Century Gothic" w:hAnsi="Verdana" w:cs="Century Gothic"/>
        </w:rPr>
        <w:t xml:space="preserve">os conceptos emitidos por la Agencia Nacional </w:t>
      </w:r>
      <w:r w:rsidR="00EF3FD3">
        <w:rPr>
          <w:rFonts w:ascii="Verdana" w:eastAsia="Century Gothic" w:hAnsi="Verdana" w:cs="Century Gothic"/>
        </w:rPr>
        <w:lastRenderedPageBreak/>
        <w:t>de Contratación Pública – Colombia Compra Eficiente – son vinculantes para las entidades estatales?</w:t>
      </w:r>
    </w:p>
    <w:p w14:paraId="046B1285" w14:textId="77777777" w:rsidR="00A1428F" w:rsidRPr="0017066F" w:rsidRDefault="00A1428F" w:rsidP="00A1428F">
      <w:pPr>
        <w:spacing w:after="0" w:line="276" w:lineRule="auto"/>
        <w:jc w:val="both"/>
        <w:rPr>
          <w:rFonts w:ascii="Verdana" w:eastAsia="Calibri" w:hAnsi="Verdana" w:cs="Arial"/>
          <w:color w:val="7030A0"/>
          <w:lang w:val="es-ES"/>
        </w:rPr>
      </w:pPr>
    </w:p>
    <w:p w14:paraId="1AB232EA" w14:textId="77777777" w:rsidR="00A1428F" w:rsidRPr="0017066F" w:rsidRDefault="00A1428F" w:rsidP="00A142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7066F">
        <w:rPr>
          <w:rFonts w:ascii="Verdana" w:eastAsia="Century Gothic" w:hAnsi="Verdana" w:cs="Century Gothic"/>
          <w:b/>
          <w:bCs/>
        </w:rPr>
        <w:t>Respuesta:</w:t>
      </w:r>
    </w:p>
    <w:p w14:paraId="4157F022" w14:textId="77777777" w:rsidR="00A1428F" w:rsidRPr="0017066F" w:rsidRDefault="00A1428F" w:rsidP="00A1428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1428F" w:rsidRPr="0017066F" w14:paraId="638171D3" w14:textId="77777777" w:rsidTr="00DE1FB9">
        <w:tc>
          <w:tcPr>
            <w:tcW w:w="8828" w:type="dxa"/>
            <w:shd w:val="clear" w:color="auto" w:fill="auto"/>
          </w:tcPr>
          <w:p w14:paraId="16C84B63" w14:textId="77777777" w:rsidR="00EF3FD3" w:rsidRDefault="00A1428F" w:rsidP="00EF3FD3">
            <w:pPr>
              <w:pStyle w:val="Prrafodelista"/>
              <w:numPr>
                <w:ilvl w:val="0"/>
                <w:numId w:val="20"/>
              </w:numPr>
              <w:spacing w:line="276" w:lineRule="auto"/>
              <w:jc w:val="both"/>
              <w:rPr>
                <w:rFonts w:ascii="Verdana" w:eastAsia="Calibri" w:hAnsi="Verdana" w:cs="Arial"/>
                <w:color w:val="000000" w:themeColor="text1"/>
              </w:rPr>
            </w:pPr>
            <w:r w:rsidRPr="00EF3FD3">
              <w:rPr>
                <w:rFonts w:ascii="Verdana" w:hAnsi="Verdana" w:cs="Arial"/>
                <w:color w:val="000000" w:themeColor="text1"/>
              </w:rPr>
              <w:t xml:space="preserve">La posibilidad de solicitar la limitación territorial de las convocatorias a Mipymes no es extensible a todas las ESAL, sino únicamente a aquellas que corresponden al concepto de </w:t>
            </w:r>
            <w:r w:rsidRPr="00EF3FD3">
              <w:rPr>
                <w:rFonts w:ascii="Verdana" w:eastAsia="Calibri" w:hAnsi="Verdana" w:cs="Arial"/>
                <w:color w:val="000000" w:themeColor="text1"/>
              </w:rPr>
              <w:t xml:space="preserve">cooperativas y demás entes considerados de economía solidaria, </w:t>
            </w:r>
            <w:r w:rsidRPr="00EF3FD3">
              <w:rPr>
                <w:rFonts w:ascii="Verdana" w:eastAsia="Geomanist Light" w:hAnsi="Verdana" w:cs="Arial"/>
              </w:rPr>
              <w:t>en los términos del artículo 6 de la Ley 454 de 1998 –norma a la que remite el artículo 23 de la Ley de Emprendimiento–.</w:t>
            </w:r>
            <w:r w:rsidRPr="00EF3FD3">
              <w:rPr>
                <w:rFonts w:ascii="Verdana" w:eastAsia="Calibri" w:hAnsi="Verdana" w:cs="Arial"/>
                <w:color w:val="000000" w:themeColor="text1"/>
              </w:rPr>
              <w:t xml:space="preserve"> </w:t>
            </w:r>
            <w:r w:rsidRPr="00EF3FD3">
              <w:rPr>
                <w:rFonts w:ascii="Verdana" w:eastAsia="Geomanist Light" w:hAnsi="Verdana" w:cs="Arial"/>
              </w:rPr>
              <w:t xml:space="preserve">En tal sentido, debe analizarse si la ESAL cumple con las características establecidas en dicho artículo, para considerarla una organización de economía solidaria. </w:t>
            </w:r>
            <w:r w:rsidRPr="00EF3FD3">
              <w:rPr>
                <w:rFonts w:ascii="Verdana" w:eastAsia="Calibri" w:hAnsi="Verdana" w:cs="Arial"/>
                <w:color w:val="000000" w:themeColor="text1"/>
              </w:rPr>
              <w:t>Solo las que cumplan estos requisitos podrán ser asimiladas a las Mipymes y acceder a los requisitos diferenciales de la Ley 2069 de 2020, así como participar en las convocatorias limitadas a estas, pudiendo incluso manifestar su interés de participar en el proceso de selección de manera previa a la expedición de la resolución de apertura en los términos el artículo 2.2.1.2.4.2.2 del Decreto 1082 de 2015.</w:t>
            </w:r>
          </w:p>
          <w:p w14:paraId="6EE4D9DB" w14:textId="77777777" w:rsidR="00F13EAD" w:rsidRPr="00F13EAD" w:rsidRDefault="00F13EAD" w:rsidP="00F13EAD">
            <w:pPr>
              <w:spacing w:line="276" w:lineRule="auto"/>
              <w:jc w:val="both"/>
              <w:rPr>
                <w:rFonts w:ascii="Verdana" w:eastAsia="Calibri" w:hAnsi="Verdana" w:cs="Arial"/>
                <w:color w:val="000000" w:themeColor="text1"/>
              </w:rPr>
            </w:pPr>
          </w:p>
          <w:p w14:paraId="1913DFE5" w14:textId="31EDE805" w:rsidR="00A64288" w:rsidRDefault="00A64288" w:rsidP="00A64288">
            <w:pPr>
              <w:pStyle w:val="Textoindependiente"/>
              <w:numPr>
                <w:ilvl w:val="0"/>
                <w:numId w:val="20"/>
              </w:numPr>
              <w:spacing w:before="1" w:line="276" w:lineRule="auto"/>
              <w:ind w:right="84"/>
              <w:jc w:val="both"/>
            </w:pPr>
            <w:r>
              <w:t>De</w:t>
            </w:r>
            <w:r>
              <w:rPr>
                <w:spacing w:val="-6"/>
              </w:rPr>
              <w:t xml:space="preserve"> </w:t>
            </w:r>
            <w:r>
              <w:t>conformidad</w:t>
            </w:r>
            <w:r>
              <w:rPr>
                <w:spacing w:val="-4"/>
              </w:rPr>
              <w:t xml:space="preserve"> </w:t>
            </w:r>
            <w:r>
              <w:t>con</w:t>
            </w:r>
            <w:r>
              <w:rPr>
                <w:spacing w:val="-6"/>
              </w:rPr>
              <w:t xml:space="preserve"> </w:t>
            </w:r>
            <w:r>
              <w:t>el</w:t>
            </w:r>
            <w:r>
              <w:rPr>
                <w:spacing w:val="-6"/>
              </w:rPr>
              <w:t xml:space="preserve"> </w:t>
            </w:r>
            <w:r>
              <w:t>parágrafo</w:t>
            </w:r>
            <w:r>
              <w:rPr>
                <w:spacing w:val="-4"/>
              </w:rPr>
              <w:t xml:space="preserve"> </w:t>
            </w:r>
            <w:r>
              <w:t>1</w:t>
            </w:r>
            <w:r>
              <w:rPr>
                <w:spacing w:val="-7"/>
              </w:rPr>
              <w:t xml:space="preserve"> </w:t>
            </w:r>
            <w:r>
              <w:t>del</w:t>
            </w:r>
            <w:r>
              <w:rPr>
                <w:spacing w:val="-6"/>
              </w:rPr>
              <w:t xml:space="preserve"> </w:t>
            </w:r>
            <w:r>
              <w:t>artículo</w:t>
            </w:r>
            <w:r>
              <w:rPr>
                <w:spacing w:val="-4"/>
              </w:rPr>
              <w:t xml:space="preserve"> </w:t>
            </w:r>
            <w:r>
              <w:t>34</w:t>
            </w:r>
            <w:r>
              <w:rPr>
                <w:spacing w:val="-6"/>
              </w:rPr>
              <w:t xml:space="preserve"> </w:t>
            </w:r>
            <w:r>
              <w:t>de</w:t>
            </w:r>
            <w:r>
              <w:rPr>
                <w:spacing w:val="-6"/>
              </w:rPr>
              <w:t xml:space="preserve"> </w:t>
            </w:r>
            <w:r>
              <w:t>la</w:t>
            </w:r>
            <w:r>
              <w:rPr>
                <w:spacing w:val="-6"/>
              </w:rPr>
              <w:t xml:space="preserve"> </w:t>
            </w:r>
            <w:r>
              <w:t>Ley</w:t>
            </w:r>
            <w:r>
              <w:rPr>
                <w:spacing w:val="-6"/>
              </w:rPr>
              <w:t xml:space="preserve"> </w:t>
            </w:r>
            <w:r>
              <w:t>2069</w:t>
            </w:r>
            <w:r>
              <w:rPr>
                <w:spacing w:val="-5"/>
              </w:rPr>
              <w:t xml:space="preserve"> </w:t>
            </w:r>
            <w:r>
              <w:t>de 2020, es posible limitar convocatorias a la participación de Mipymes “(…) del ámbito municipal o departamental correspondiente al de la ejecución del contrato”. Por su parte, el artículo 2.2.1.2.4.2.3. del Decreto 1082 de 2015, modificado</w:t>
            </w:r>
            <w:r>
              <w:rPr>
                <w:spacing w:val="-1"/>
              </w:rPr>
              <w:t xml:space="preserve"> </w:t>
            </w:r>
            <w:r>
              <w:t>por</w:t>
            </w:r>
            <w:r>
              <w:rPr>
                <w:spacing w:val="-4"/>
              </w:rPr>
              <w:t xml:space="preserve"> </w:t>
            </w:r>
            <w:r>
              <w:t>el</w:t>
            </w:r>
            <w:r>
              <w:rPr>
                <w:spacing w:val="-4"/>
              </w:rPr>
              <w:t xml:space="preserve"> </w:t>
            </w:r>
            <w:r>
              <w:t>artículo</w:t>
            </w:r>
            <w:r>
              <w:rPr>
                <w:spacing w:val="-2"/>
              </w:rPr>
              <w:t xml:space="preserve"> </w:t>
            </w:r>
            <w:r>
              <w:t>5</w:t>
            </w:r>
            <w:r>
              <w:rPr>
                <w:spacing w:val="-4"/>
              </w:rPr>
              <w:t xml:space="preserve"> </w:t>
            </w:r>
            <w:r>
              <w:t>del</w:t>
            </w:r>
            <w:r>
              <w:rPr>
                <w:spacing w:val="-4"/>
              </w:rPr>
              <w:t xml:space="preserve"> </w:t>
            </w:r>
            <w:r>
              <w:t>Decreto</w:t>
            </w:r>
            <w:r>
              <w:rPr>
                <w:spacing w:val="-2"/>
              </w:rPr>
              <w:t xml:space="preserve"> </w:t>
            </w:r>
            <w:r>
              <w:t>1860</w:t>
            </w:r>
            <w:r>
              <w:rPr>
                <w:spacing w:val="-3"/>
              </w:rPr>
              <w:t xml:space="preserve"> </w:t>
            </w:r>
            <w:r>
              <w:t>de</w:t>
            </w:r>
            <w:r>
              <w:rPr>
                <w:spacing w:val="-4"/>
              </w:rPr>
              <w:t xml:space="preserve"> </w:t>
            </w:r>
            <w:r>
              <w:t>2021,</w:t>
            </w:r>
            <w:r>
              <w:rPr>
                <w:spacing w:val="-3"/>
              </w:rPr>
              <w:t xml:space="preserve"> </w:t>
            </w:r>
            <w:r>
              <w:t>se</w:t>
            </w:r>
            <w:r>
              <w:rPr>
                <w:spacing w:val="-4"/>
              </w:rPr>
              <w:t xml:space="preserve"> </w:t>
            </w:r>
            <w:r>
              <w:t>refiere</w:t>
            </w:r>
            <w:r>
              <w:rPr>
                <w:spacing w:val="-2"/>
              </w:rPr>
              <w:t xml:space="preserve"> </w:t>
            </w:r>
            <w:r>
              <w:t>a</w:t>
            </w:r>
            <w:r>
              <w:rPr>
                <w:spacing w:val="-4"/>
              </w:rPr>
              <w:t xml:space="preserve"> </w:t>
            </w:r>
            <w:r>
              <w:t>las</w:t>
            </w:r>
            <w:r>
              <w:rPr>
                <w:spacing w:val="-4"/>
              </w:rPr>
              <w:t xml:space="preserve"> </w:t>
            </w:r>
            <w:r>
              <w:t>“MiPyme colombianas que tengan domicilio en</w:t>
            </w:r>
            <w:r>
              <w:rPr>
                <w:spacing w:val="-1"/>
              </w:rPr>
              <w:t xml:space="preserve"> </w:t>
            </w:r>
            <w:r>
              <w:t>los</w:t>
            </w:r>
            <w:r>
              <w:rPr>
                <w:spacing w:val="-1"/>
              </w:rPr>
              <w:t xml:space="preserve"> </w:t>
            </w:r>
            <w:r>
              <w:t>departamentos o</w:t>
            </w:r>
            <w:r>
              <w:rPr>
                <w:spacing w:val="-1"/>
              </w:rPr>
              <w:t xml:space="preserve"> </w:t>
            </w:r>
            <w:r>
              <w:t>municipios en</w:t>
            </w:r>
            <w:r>
              <w:rPr>
                <w:spacing w:val="-1"/>
              </w:rPr>
              <w:t xml:space="preserve"> </w:t>
            </w:r>
            <w:r>
              <w:t>donde se va a ejecutar el contrato”. Esta precisión es importante, pues el incentivo previsto en la norma únicamente aplica en el lugar de ejecución del contratado en</w:t>
            </w:r>
            <w:r>
              <w:rPr>
                <w:spacing w:val="-20"/>
              </w:rPr>
              <w:t xml:space="preserve"> </w:t>
            </w:r>
            <w:r>
              <w:t>el</w:t>
            </w:r>
            <w:r>
              <w:rPr>
                <w:spacing w:val="-19"/>
              </w:rPr>
              <w:t xml:space="preserve"> </w:t>
            </w:r>
            <w:r>
              <w:t>que</w:t>
            </w:r>
            <w:r>
              <w:rPr>
                <w:spacing w:val="-19"/>
              </w:rPr>
              <w:t xml:space="preserve"> </w:t>
            </w:r>
            <w:r>
              <w:t>la</w:t>
            </w:r>
            <w:r>
              <w:rPr>
                <w:spacing w:val="-20"/>
              </w:rPr>
              <w:t xml:space="preserve"> </w:t>
            </w:r>
            <w:r>
              <w:t>Mipyme</w:t>
            </w:r>
            <w:r>
              <w:rPr>
                <w:spacing w:val="-19"/>
              </w:rPr>
              <w:t xml:space="preserve"> </w:t>
            </w:r>
            <w:r>
              <w:t>tiene</w:t>
            </w:r>
            <w:r>
              <w:rPr>
                <w:spacing w:val="-20"/>
              </w:rPr>
              <w:t xml:space="preserve"> </w:t>
            </w:r>
            <w:r>
              <w:t>su</w:t>
            </w:r>
            <w:r>
              <w:rPr>
                <w:spacing w:val="-19"/>
              </w:rPr>
              <w:t xml:space="preserve"> </w:t>
            </w:r>
            <w:r>
              <w:t>“domicilio”</w:t>
            </w:r>
            <w:r>
              <w:rPr>
                <w:spacing w:val="-19"/>
              </w:rPr>
              <w:t xml:space="preserve"> </w:t>
            </w:r>
            <w:r>
              <w:t>y</w:t>
            </w:r>
            <w:r>
              <w:rPr>
                <w:spacing w:val="-20"/>
              </w:rPr>
              <w:t xml:space="preserve"> </w:t>
            </w:r>
            <w:r>
              <w:t>no</w:t>
            </w:r>
            <w:r>
              <w:rPr>
                <w:spacing w:val="-19"/>
              </w:rPr>
              <w:t xml:space="preserve"> </w:t>
            </w:r>
            <w:r>
              <w:t>en</w:t>
            </w:r>
            <w:r>
              <w:rPr>
                <w:spacing w:val="-19"/>
              </w:rPr>
              <w:t xml:space="preserve"> </w:t>
            </w:r>
            <w:r>
              <w:t>donde</w:t>
            </w:r>
            <w:r>
              <w:rPr>
                <w:spacing w:val="-20"/>
              </w:rPr>
              <w:t xml:space="preserve"> </w:t>
            </w:r>
            <w:r>
              <w:t>tiene</w:t>
            </w:r>
            <w:r>
              <w:rPr>
                <w:spacing w:val="-19"/>
              </w:rPr>
              <w:t xml:space="preserve"> </w:t>
            </w:r>
            <w:r>
              <w:t>sucursales,</w:t>
            </w:r>
            <w:r>
              <w:rPr>
                <w:spacing w:val="-17"/>
              </w:rPr>
              <w:t xml:space="preserve"> </w:t>
            </w:r>
            <w:r>
              <w:t>agencias o establecimientos de comercio.</w:t>
            </w:r>
          </w:p>
          <w:p w14:paraId="2A8103B3" w14:textId="77777777" w:rsidR="00A64288" w:rsidRDefault="00A64288" w:rsidP="00A64288">
            <w:pPr>
              <w:pStyle w:val="Textoindependiente"/>
              <w:spacing w:before="39"/>
            </w:pPr>
          </w:p>
          <w:p w14:paraId="3277A3A6" w14:textId="77777777" w:rsidR="00A64288" w:rsidRDefault="00A64288" w:rsidP="00A64288">
            <w:pPr>
              <w:pStyle w:val="Textoindependiente"/>
              <w:spacing w:before="1" w:line="276" w:lineRule="auto"/>
              <w:ind w:left="1156"/>
              <w:jc w:val="both"/>
            </w:pPr>
            <w:r>
              <w:t>Sin</w:t>
            </w:r>
            <w:r>
              <w:rPr>
                <w:spacing w:val="-13"/>
              </w:rPr>
              <w:t xml:space="preserve"> </w:t>
            </w:r>
            <w:r>
              <w:t>perjuicio</w:t>
            </w:r>
            <w:r>
              <w:rPr>
                <w:spacing w:val="-11"/>
              </w:rPr>
              <w:t xml:space="preserve"> </w:t>
            </w:r>
            <w:r>
              <w:t>de</w:t>
            </w:r>
            <w:r>
              <w:rPr>
                <w:spacing w:val="-13"/>
              </w:rPr>
              <w:t xml:space="preserve"> </w:t>
            </w:r>
            <w:r>
              <w:t>lo</w:t>
            </w:r>
            <w:r>
              <w:rPr>
                <w:spacing w:val="-13"/>
              </w:rPr>
              <w:t xml:space="preserve"> </w:t>
            </w:r>
            <w:r>
              <w:t>anterior,</w:t>
            </w:r>
            <w:r>
              <w:rPr>
                <w:spacing w:val="-11"/>
              </w:rPr>
              <w:t xml:space="preserve"> </w:t>
            </w:r>
            <w:r>
              <w:t>no</w:t>
            </w:r>
            <w:r>
              <w:rPr>
                <w:spacing w:val="-13"/>
              </w:rPr>
              <w:t xml:space="preserve"> </w:t>
            </w:r>
            <w:r>
              <w:t>puede</w:t>
            </w:r>
            <w:r>
              <w:rPr>
                <w:spacing w:val="-12"/>
              </w:rPr>
              <w:t xml:space="preserve"> </w:t>
            </w:r>
            <w:r>
              <w:t>perderse</w:t>
            </w:r>
            <w:r>
              <w:rPr>
                <w:spacing w:val="-11"/>
              </w:rPr>
              <w:t xml:space="preserve"> </w:t>
            </w:r>
            <w:r>
              <w:t>de</w:t>
            </w:r>
            <w:r>
              <w:rPr>
                <w:spacing w:val="-13"/>
              </w:rPr>
              <w:t xml:space="preserve"> </w:t>
            </w:r>
            <w:r>
              <w:t>vista</w:t>
            </w:r>
            <w:r>
              <w:rPr>
                <w:spacing w:val="-12"/>
              </w:rPr>
              <w:t xml:space="preserve"> </w:t>
            </w:r>
            <w:r>
              <w:t>que</w:t>
            </w:r>
            <w:r>
              <w:rPr>
                <w:spacing w:val="-13"/>
              </w:rPr>
              <w:t xml:space="preserve"> </w:t>
            </w:r>
            <w:r>
              <w:t>la</w:t>
            </w:r>
            <w:r>
              <w:rPr>
                <w:spacing w:val="-13"/>
              </w:rPr>
              <w:t xml:space="preserve"> </w:t>
            </w:r>
            <w:r>
              <w:t>decisión</w:t>
            </w:r>
            <w:r>
              <w:rPr>
                <w:spacing w:val="-11"/>
              </w:rPr>
              <w:t xml:space="preserve"> </w:t>
            </w:r>
            <w:r>
              <w:t>de</w:t>
            </w:r>
            <w:r>
              <w:rPr>
                <w:spacing w:val="-13"/>
              </w:rPr>
              <w:t xml:space="preserve"> </w:t>
            </w:r>
            <w:r>
              <w:t>limitar “a</w:t>
            </w:r>
            <w:r>
              <w:rPr>
                <w:spacing w:val="-15"/>
              </w:rPr>
              <w:t xml:space="preserve"> </w:t>
            </w:r>
            <w:r>
              <w:t>Mipyme</w:t>
            </w:r>
            <w:r>
              <w:rPr>
                <w:spacing w:val="-14"/>
              </w:rPr>
              <w:t xml:space="preserve"> </w:t>
            </w:r>
            <w:r>
              <w:t>colombianas</w:t>
            </w:r>
            <w:r>
              <w:rPr>
                <w:spacing w:val="-12"/>
              </w:rPr>
              <w:t xml:space="preserve"> </w:t>
            </w:r>
            <w:r>
              <w:t>que</w:t>
            </w:r>
            <w:r>
              <w:rPr>
                <w:spacing w:val="-15"/>
              </w:rPr>
              <w:t xml:space="preserve"> </w:t>
            </w:r>
            <w:r>
              <w:t>tengan</w:t>
            </w:r>
            <w:r>
              <w:rPr>
                <w:spacing w:val="-13"/>
              </w:rPr>
              <w:t xml:space="preserve"> </w:t>
            </w:r>
            <w:r>
              <w:t>domicilio</w:t>
            </w:r>
            <w:r>
              <w:rPr>
                <w:spacing w:val="-13"/>
              </w:rPr>
              <w:t xml:space="preserve"> </w:t>
            </w:r>
            <w:r>
              <w:t>en</w:t>
            </w:r>
            <w:r>
              <w:rPr>
                <w:spacing w:val="-15"/>
              </w:rPr>
              <w:t xml:space="preserve"> </w:t>
            </w:r>
            <w:r>
              <w:t>los</w:t>
            </w:r>
            <w:r>
              <w:rPr>
                <w:spacing w:val="-15"/>
              </w:rPr>
              <w:t xml:space="preserve"> </w:t>
            </w:r>
            <w:r>
              <w:t>departamentos</w:t>
            </w:r>
            <w:r>
              <w:rPr>
                <w:spacing w:val="-12"/>
              </w:rPr>
              <w:t xml:space="preserve"> </w:t>
            </w:r>
            <w:r>
              <w:t>o</w:t>
            </w:r>
            <w:r>
              <w:rPr>
                <w:spacing w:val="-15"/>
              </w:rPr>
              <w:t xml:space="preserve"> </w:t>
            </w:r>
            <w:r>
              <w:t>municipios en</w:t>
            </w:r>
            <w:r>
              <w:rPr>
                <w:spacing w:val="-9"/>
              </w:rPr>
              <w:t xml:space="preserve"> </w:t>
            </w:r>
            <w:r>
              <w:t>donde</w:t>
            </w:r>
            <w:r>
              <w:rPr>
                <w:spacing w:val="-9"/>
              </w:rPr>
              <w:t xml:space="preserve"> </w:t>
            </w:r>
            <w:r>
              <w:t>se</w:t>
            </w:r>
            <w:r>
              <w:rPr>
                <w:spacing w:val="-9"/>
              </w:rPr>
              <w:t xml:space="preserve"> </w:t>
            </w:r>
            <w:r>
              <w:t>va</w:t>
            </w:r>
            <w:r>
              <w:rPr>
                <w:spacing w:val="-9"/>
              </w:rPr>
              <w:t xml:space="preserve"> </w:t>
            </w:r>
            <w:r>
              <w:t>a</w:t>
            </w:r>
            <w:r>
              <w:rPr>
                <w:spacing w:val="-10"/>
              </w:rPr>
              <w:t xml:space="preserve"> </w:t>
            </w:r>
            <w:r>
              <w:t>ejecutar</w:t>
            </w:r>
            <w:r>
              <w:rPr>
                <w:spacing w:val="-7"/>
              </w:rPr>
              <w:t xml:space="preserve"> </w:t>
            </w:r>
            <w:r>
              <w:t>el</w:t>
            </w:r>
            <w:r>
              <w:rPr>
                <w:spacing w:val="-9"/>
              </w:rPr>
              <w:t xml:space="preserve"> </w:t>
            </w:r>
            <w:r>
              <w:t>contrato”,</w:t>
            </w:r>
            <w:r>
              <w:rPr>
                <w:spacing w:val="-10"/>
              </w:rPr>
              <w:t xml:space="preserve"> </w:t>
            </w:r>
            <w:r w:rsidRPr="00F13EAD">
              <w:rPr>
                <w:b/>
                <w:bCs/>
              </w:rPr>
              <w:t>aunque</w:t>
            </w:r>
            <w:r w:rsidRPr="00F13EAD">
              <w:rPr>
                <w:b/>
                <w:bCs/>
                <w:spacing w:val="-8"/>
              </w:rPr>
              <w:t xml:space="preserve"> </w:t>
            </w:r>
            <w:r w:rsidRPr="00F13EAD">
              <w:rPr>
                <w:b/>
                <w:bCs/>
              </w:rPr>
              <w:t>es</w:t>
            </w:r>
            <w:r w:rsidRPr="00F13EAD">
              <w:rPr>
                <w:b/>
                <w:bCs/>
                <w:spacing w:val="-9"/>
              </w:rPr>
              <w:t xml:space="preserve"> </w:t>
            </w:r>
            <w:r w:rsidRPr="00F13EAD">
              <w:rPr>
                <w:b/>
                <w:bCs/>
              </w:rPr>
              <w:t>facultativa</w:t>
            </w:r>
            <w:r w:rsidRPr="00F13EAD">
              <w:rPr>
                <w:b/>
                <w:bCs/>
                <w:spacing w:val="-6"/>
              </w:rPr>
              <w:t xml:space="preserve"> </w:t>
            </w:r>
            <w:r w:rsidRPr="00F13EAD">
              <w:rPr>
                <w:b/>
                <w:bCs/>
              </w:rPr>
              <w:t>de</w:t>
            </w:r>
            <w:r w:rsidRPr="00F13EAD">
              <w:rPr>
                <w:b/>
                <w:bCs/>
                <w:spacing w:val="-9"/>
              </w:rPr>
              <w:t xml:space="preserve"> </w:t>
            </w:r>
            <w:r w:rsidRPr="00F13EAD">
              <w:rPr>
                <w:b/>
                <w:bCs/>
              </w:rPr>
              <w:t>la</w:t>
            </w:r>
            <w:r w:rsidRPr="00F13EAD">
              <w:rPr>
                <w:b/>
                <w:bCs/>
                <w:spacing w:val="-9"/>
              </w:rPr>
              <w:t xml:space="preserve"> </w:t>
            </w:r>
            <w:r w:rsidRPr="00F13EAD">
              <w:rPr>
                <w:b/>
                <w:bCs/>
              </w:rPr>
              <w:t>entidad,</w:t>
            </w:r>
            <w:r w:rsidRPr="00F13EAD">
              <w:rPr>
                <w:b/>
                <w:bCs/>
                <w:spacing w:val="-7"/>
              </w:rPr>
              <w:t xml:space="preserve"> </w:t>
            </w:r>
            <w:r w:rsidRPr="00F13EAD">
              <w:rPr>
                <w:b/>
                <w:bCs/>
              </w:rPr>
              <w:t xml:space="preserve">está supeditada a que se verifiquen los requisitos establecidos en los </w:t>
            </w:r>
            <w:r w:rsidRPr="00F13EAD">
              <w:rPr>
                <w:b/>
                <w:bCs/>
              </w:rPr>
              <w:lastRenderedPageBreak/>
              <w:t>numerales 1 y 2</w:t>
            </w:r>
            <w:r w:rsidRPr="00F13EAD">
              <w:rPr>
                <w:b/>
                <w:bCs/>
                <w:spacing w:val="-20"/>
              </w:rPr>
              <w:t xml:space="preserve"> </w:t>
            </w:r>
            <w:r w:rsidRPr="00F13EAD">
              <w:rPr>
                <w:b/>
                <w:bCs/>
              </w:rPr>
              <w:t>del</w:t>
            </w:r>
            <w:r w:rsidRPr="00F13EAD">
              <w:rPr>
                <w:b/>
                <w:bCs/>
                <w:spacing w:val="-19"/>
              </w:rPr>
              <w:t xml:space="preserve"> </w:t>
            </w:r>
            <w:r w:rsidRPr="00F13EAD">
              <w:rPr>
                <w:b/>
                <w:bCs/>
              </w:rPr>
              <w:t>artículo</w:t>
            </w:r>
            <w:r w:rsidRPr="00F13EAD">
              <w:rPr>
                <w:b/>
                <w:bCs/>
                <w:spacing w:val="-19"/>
              </w:rPr>
              <w:t xml:space="preserve"> </w:t>
            </w:r>
            <w:r w:rsidRPr="00F13EAD">
              <w:rPr>
                <w:b/>
                <w:bCs/>
              </w:rPr>
              <w:t>2.2.1.2.4.2.2.</w:t>
            </w:r>
            <w:r w:rsidRPr="00F13EAD">
              <w:rPr>
                <w:b/>
                <w:bCs/>
                <w:spacing w:val="-19"/>
              </w:rPr>
              <w:t xml:space="preserve"> </w:t>
            </w:r>
            <w:r w:rsidRPr="00F13EAD">
              <w:rPr>
                <w:b/>
                <w:bCs/>
              </w:rPr>
              <w:t>del</w:t>
            </w:r>
            <w:r w:rsidRPr="00F13EAD">
              <w:rPr>
                <w:b/>
                <w:bCs/>
                <w:spacing w:val="-20"/>
              </w:rPr>
              <w:t xml:space="preserve"> </w:t>
            </w:r>
            <w:r w:rsidRPr="00F13EAD">
              <w:rPr>
                <w:b/>
                <w:bCs/>
              </w:rPr>
              <w:t>Decreto</w:t>
            </w:r>
            <w:r w:rsidRPr="00F13EAD">
              <w:rPr>
                <w:b/>
                <w:bCs/>
                <w:spacing w:val="-18"/>
              </w:rPr>
              <w:t xml:space="preserve"> </w:t>
            </w:r>
            <w:r w:rsidRPr="00F13EAD">
              <w:rPr>
                <w:b/>
                <w:bCs/>
              </w:rPr>
              <w:t>1082</w:t>
            </w:r>
            <w:r w:rsidRPr="00F13EAD">
              <w:rPr>
                <w:b/>
                <w:bCs/>
                <w:spacing w:val="-19"/>
              </w:rPr>
              <w:t xml:space="preserve"> </w:t>
            </w:r>
            <w:r w:rsidRPr="00F13EAD">
              <w:rPr>
                <w:b/>
                <w:bCs/>
              </w:rPr>
              <w:t>de</w:t>
            </w:r>
            <w:r w:rsidRPr="00F13EAD">
              <w:rPr>
                <w:b/>
                <w:bCs/>
                <w:spacing w:val="-20"/>
              </w:rPr>
              <w:t xml:space="preserve"> </w:t>
            </w:r>
            <w:r w:rsidRPr="00F13EAD">
              <w:rPr>
                <w:b/>
                <w:bCs/>
              </w:rPr>
              <w:t>2015</w:t>
            </w:r>
            <w:r>
              <w:t>,</w:t>
            </w:r>
            <w:r>
              <w:rPr>
                <w:spacing w:val="-19"/>
              </w:rPr>
              <w:t xml:space="preserve"> </w:t>
            </w:r>
            <w:r>
              <w:t>modificado</w:t>
            </w:r>
            <w:r>
              <w:rPr>
                <w:spacing w:val="-17"/>
              </w:rPr>
              <w:t xml:space="preserve"> </w:t>
            </w:r>
            <w:r>
              <w:t>por</w:t>
            </w:r>
            <w:r>
              <w:rPr>
                <w:spacing w:val="-20"/>
              </w:rPr>
              <w:t xml:space="preserve"> </w:t>
            </w:r>
            <w:r>
              <w:t>el</w:t>
            </w:r>
            <w:r>
              <w:rPr>
                <w:spacing w:val="-19"/>
              </w:rPr>
              <w:t xml:space="preserve"> </w:t>
            </w:r>
            <w:r>
              <w:t>Decreto 1860</w:t>
            </w:r>
            <w:r>
              <w:rPr>
                <w:spacing w:val="-11"/>
              </w:rPr>
              <w:t xml:space="preserve"> </w:t>
            </w:r>
            <w:r>
              <w:t>de</w:t>
            </w:r>
            <w:r>
              <w:rPr>
                <w:spacing w:val="-12"/>
              </w:rPr>
              <w:t xml:space="preserve"> </w:t>
            </w:r>
            <w:r>
              <w:t>2021.</w:t>
            </w:r>
            <w:r>
              <w:rPr>
                <w:spacing w:val="-10"/>
              </w:rPr>
              <w:t xml:space="preserve"> </w:t>
            </w:r>
            <w:r>
              <w:t>En</w:t>
            </w:r>
            <w:r>
              <w:rPr>
                <w:spacing w:val="-12"/>
              </w:rPr>
              <w:t xml:space="preserve"> </w:t>
            </w:r>
            <w:r>
              <w:t>ese</w:t>
            </w:r>
            <w:r>
              <w:rPr>
                <w:spacing w:val="-11"/>
              </w:rPr>
              <w:t xml:space="preserve"> </w:t>
            </w:r>
            <w:r>
              <w:t>sentido,</w:t>
            </w:r>
            <w:r>
              <w:rPr>
                <w:spacing w:val="-10"/>
              </w:rPr>
              <w:t xml:space="preserve"> </w:t>
            </w:r>
            <w:r>
              <w:t>si</w:t>
            </w:r>
            <w:r>
              <w:rPr>
                <w:spacing w:val="-11"/>
              </w:rPr>
              <w:t xml:space="preserve"> </w:t>
            </w:r>
            <w:r>
              <w:t>la</w:t>
            </w:r>
            <w:r>
              <w:rPr>
                <w:spacing w:val="-12"/>
              </w:rPr>
              <w:t xml:space="preserve"> </w:t>
            </w:r>
            <w:r>
              <w:t>entidad</w:t>
            </w:r>
            <w:r>
              <w:rPr>
                <w:spacing w:val="-10"/>
              </w:rPr>
              <w:t xml:space="preserve"> </w:t>
            </w:r>
            <w:r>
              <w:t>no</w:t>
            </w:r>
            <w:r>
              <w:rPr>
                <w:spacing w:val="-12"/>
              </w:rPr>
              <w:t xml:space="preserve"> </w:t>
            </w:r>
            <w:r>
              <w:t>recibió</w:t>
            </w:r>
            <w:r>
              <w:rPr>
                <w:spacing w:val="-10"/>
              </w:rPr>
              <w:t xml:space="preserve"> </w:t>
            </w:r>
            <w:r>
              <w:t>las</w:t>
            </w:r>
            <w:r>
              <w:rPr>
                <w:spacing w:val="-11"/>
              </w:rPr>
              <w:t xml:space="preserve"> </w:t>
            </w:r>
            <w:r>
              <w:t>solicitudes</w:t>
            </w:r>
            <w:r>
              <w:rPr>
                <w:spacing w:val="-9"/>
              </w:rPr>
              <w:t xml:space="preserve"> </w:t>
            </w:r>
            <w:r>
              <w:t>para</w:t>
            </w:r>
            <w:r>
              <w:rPr>
                <w:spacing w:val="-11"/>
              </w:rPr>
              <w:t xml:space="preserve"> </w:t>
            </w:r>
            <w:r>
              <w:t>limitar la convocatoria a Mipymes, no puede motu proprio proceder con la “limitación territorial” de que trata el artículo 2.2.1.2.4.2.3. del Decreto 1082 de 2015.</w:t>
            </w:r>
          </w:p>
          <w:p w14:paraId="73535165" w14:textId="77777777" w:rsidR="00A64288" w:rsidRPr="00A64288" w:rsidRDefault="00A64288" w:rsidP="00A64288">
            <w:pPr>
              <w:spacing w:line="276" w:lineRule="auto"/>
              <w:ind w:left="1156"/>
              <w:jc w:val="both"/>
              <w:rPr>
                <w:rFonts w:ascii="Verdana" w:eastAsia="Calibri" w:hAnsi="Verdana" w:cs="Arial"/>
                <w:color w:val="000000" w:themeColor="text1"/>
                <w:lang w:val="es-ES"/>
              </w:rPr>
            </w:pPr>
          </w:p>
          <w:p w14:paraId="58E883F2" w14:textId="77777777" w:rsidR="00EF3FD3" w:rsidRPr="00EF3FD3" w:rsidRDefault="00EF3FD3" w:rsidP="00EF3FD3">
            <w:pPr>
              <w:pStyle w:val="Prrafodelista"/>
              <w:numPr>
                <w:ilvl w:val="0"/>
                <w:numId w:val="20"/>
              </w:numPr>
              <w:spacing w:line="276" w:lineRule="auto"/>
              <w:jc w:val="both"/>
              <w:rPr>
                <w:rFonts w:ascii="Verdana" w:eastAsia="Calibri" w:hAnsi="Verdana" w:cs="Arial"/>
                <w:color w:val="000000" w:themeColor="text1"/>
              </w:rPr>
            </w:pPr>
            <w:r>
              <w:rPr>
                <w:rFonts w:ascii="Verdana" w:eastAsia="Verdana" w:hAnsi="Verdana" w:cs="Verdana"/>
              </w:rPr>
              <w:t>L</w:t>
            </w:r>
            <w:r w:rsidR="0017066F" w:rsidRPr="00EF3FD3">
              <w:rPr>
                <w:rFonts w:ascii="Verdana" w:eastAsia="Verdana" w:hAnsi="Verdana" w:cs="Verdana"/>
              </w:rPr>
              <w:t>os conceptos de esta Agencia no son actos administrativos, no tienen efectos vinculantes en relación con una situación jurídica particular y concreta, y exponen un criterio que, aunque jurídicamente fundamentado, no representan la única interpretación válida del ordenamiento jurídico. En esta medida, la queja propuesta por el peticionario no da lugar a modificar el criterio jurídico de la entidad sobre el tema consultado.</w:t>
            </w:r>
          </w:p>
          <w:p w14:paraId="7A36460D" w14:textId="77777777" w:rsidR="00EF3FD3" w:rsidRPr="00EF3FD3" w:rsidRDefault="00EF3FD3" w:rsidP="00EF3FD3">
            <w:pPr>
              <w:pStyle w:val="Prrafodelista"/>
              <w:spacing w:line="276" w:lineRule="auto"/>
              <w:ind w:left="1080"/>
              <w:jc w:val="both"/>
              <w:rPr>
                <w:rFonts w:ascii="Verdana" w:eastAsia="Calibri" w:hAnsi="Verdana" w:cs="Arial"/>
                <w:color w:val="000000" w:themeColor="text1"/>
              </w:rPr>
            </w:pPr>
          </w:p>
          <w:p w14:paraId="645F82D2" w14:textId="0841A1CA" w:rsidR="0017066F" w:rsidRPr="00EF3FD3" w:rsidRDefault="0017066F" w:rsidP="00EF3FD3">
            <w:pPr>
              <w:pStyle w:val="Prrafodelista"/>
              <w:spacing w:line="276" w:lineRule="auto"/>
              <w:ind w:left="1080"/>
              <w:jc w:val="both"/>
              <w:rPr>
                <w:rFonts w:ascii="Verdana" w:eastAsia="Calibri" w:hAnsi="Verdana" w:cs="Arial"/>
                <w:color w:val="000000" w:themeColor="text1"/>
              </w:rPr>
            </w:pPr>
            <w:r w:rsidRPr="00EF3FD3">
              <w:rPr>
                <w:rFonts w:ascii="Verdana" w:eastAsia="Verdana" w:hAnsi="Verdana" w:cs="Verdana"/>
              </w:rPr>
              <w:t>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De esta manera se reiteran las razones por las cuales esta Agencia mantiene su postura emitida en conceptos anteriormente citados.</w:t>
            </w:r>
          </w:p>
          <w:p w14:paraId="65A419DF" w14:textId="77777777" w:rsidR="0017066F" w:rsidRPr="0017066F" w:rsidRDefault="0017066F" w:rsidP="00DE1FB9">
            <w:pPr>
              <w:spacing w:line="276" w:lineRule="auto"/>
              <w:jc w:val="both"/>
              <w:rPr>
                <w:rFonts w:ascii="Verdana" w:eastAsia="Calibri" w:hAnsi="Verdana" w:cs="Arial"/>
                <w:color w:val="7030A0"/>
                <w:lang w:val="es-ES"/>
              </w:rPr>
            </w:pPr>
          </w:p>
        </w:tc>
      </w:tr>
    </w:tbl>
    <w:p w14:paraId="77F8A87B" w14:textId="77777777" w:rsidR="00A1428F" w:rsidRPr="0017066F" w:rsidRDefault="00A1428F" w:rsidP="00A1428F">
      <w:pPr>
        <w:tabs>
          <w:tab w:val="left" w:pos="142"/>
          <w:tab w:val="left" w:pos="284"/>
        </w:tabs>
        <w:spacing w:after="0" w:line="276" w:lineRule="auto"/>
        <w:jc w:val="both"/>
        <w:rPr>
          <w:rFonts w:ascii="Verdana" w:eastAsia="Century Gothic" w:hAnsi="Verdana" w:cs="Century Gothic"/>
          <w:b/>
          <w:bCs/>
          <w:lang w:val="es-ES"/>
        </w:rPr>
      </w:pPr>
    </w:p>
    <w:p w14:paraId="1964680E" w14:textId="77777777" w:rsidR="00ED487E" w:rsidRPr="0017066F" w:rsidRDefault="00ED487E" w:rsidP="00A1428F">
      <w:pPr>
        <w:tabs>
          <w:tab w:val="left" w:pos="142"/>
          <w:tab w:val="left" w:pos="284"/>
        </w:tabs>
        <w:spacing w:after="0" w:line="276" w:lineRule="auto"/>
        <w:jc w:val="both"/>
        <w:rPr>
          <w:rFonts w:ascii="Verdana" w:eastAsia="Century Gothic" w:hAnsi="Verdana" w:cs="Century Gothic"/>
          <w:b/>
          <w:bCs/>
          <w:lang w:val="es-ES"/>
        </w:rPr>
      </w:pPr>
    </w:p>
    <w:p w14:paraId="3BF88DD2" w14:textId="77777777" w:rsidR="00ED487E" w:rsidRPr="0017066F" w:rsidRDefault="00ED487E" w:rsidP="00A1428F">
      <w:pPr>
        <w:tabs>
          <w:tab w:val="left" w:pos="142"/>
          <w:tab w:val="left" w:pos="284"/>
        </w:tabs>
        <w:spacing w:after="0" w:line="276" w:lineRule="auto"/>
        <w:jc w:val="both"/>
        <w:rPr>
          <w:rFonts w:ascii="Verdana" w:eastAsia="Century Gothic" w:hAnsi="Verdana" w:cs="Century Gothic"/>
          <w:b/>
          <w:bCs/>
          <w:lang w:val="es-ES"/>
        </w:rPr>
      </w:pPr>
    </w:p>
    <w:p w14:paraId="496575A0" w14:textId="77777777" w:rsidR="00A1428F" w:rsidRPr="0017066F" w:rsidRDefault="00A1428F" w:rsidP="00A142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7066F">
        <w:rPr>
          <w:rFonts w:ascii="Verdana" w:eastAsia="Century Gothic" w:hAnsi="Verdana" w:cs="Century Gothic"/>
          <w:b/>
          <w:bCs/>
        </w:rPr>
        <w:t>Razones de la respuesta:</w:t>
      </w:r>
    </w:p>
    <w:p w14:paraId="545E47C7" w14:textId="77777777" w:rsidR="00A1428F" w:rsidRPr="0017066F" w:rsidRDefault="00A1428F" w:rsidP="00A1428F">
      <w:pPr>
        <w:spacing w:after="0" w:line="276" w:lineRule="auto"/>
        <w:jc w:val="both"/>
        <w:rPr>
          <w:rFonts w:ascii="Verdana" w:eastAsia="Calibri" w:hAnsi="Verdana" w:cs="Arial"/>
          <w:color w:val="7030A0"/>
          <w:lang w:val="es-ES"/>
        </w:rPr>
      </w:pPr>
    </w:p>
    <w:p w14:paraId="3FF4702A" w14:textId="77777777" w:rsidR="00A1428F" w:rsidRPr="0017066F" w:rsidRDefault="00A1428F" w:rsidP="00A1428F">
      <w:pPr>
        <w:spacing w:after="0" w:line="276" w:lineRule="auto"/>
        <w:jc w:val="both"/>
        <w:rPr>
          <w:rFonts w:ascii="Verdana" w:eastAsia="Calibri" w:hAnsi="Verdana" w:cs="Arial"/>
          <w:lang w:val="es-ES"/>
        </w:rPr>
      </w:pPr>
      <w:r w:rsidRPr="0017066F">
        <w:rPr>
          <w:rFonts w:ascii="Verdana" w:eastAsia="Calibri" w:hAnsi="Verdana" w:cs="Arial"/>
          <w:lang w:val="es-ES"/>
        </w:rPr>
        <w:t xml:space="preserve">Lo anterior se sustenta en las siguientes consideraciones: </w:t>
      </w:r>
    </w:p>
    <w:p w14:paraId="1F7FD10E" w14:textId="77777777" w:rsidR="00A1428F" w:rsidRPr="0017066F" w:rsidRDefault="00A1428F" w:rsidP="00A1428F">
      <w:pPr>
        <w:spacing w:after="0" w:line="276" w:lineRule="auto"/>
        <w:jc w:val="both"/>
        <w:rPr>
          <w:rFonts w:ascii="Verdana" w:eastAsia="Calibri" w:hAnsi="Verdana" w:cs="Arial"/>
          <w:color w:val="7030A0"/>
          <w:lang w:val="es-ES"/>
        </w:rPr>
      </w:pPr>
    </w:p>
    <w:p w14:paraId="0583B8BE" w14:textId="77777777" w:rsidR="00A1428F" w:rsidRPr="0017066F" w:rsidRDefault="00A1428F" w:rsidP="00A1428F">
      <w:pPr>
        <w:spacing w:after="0" w:line="276" w:lineRule="auto"/>
        <w:jc w:val="both"/>
        <w:rPr>
          <w:rFonts w:ascii="Verdana" w:eastAsia="Calibri" w:hAnsi="Verdana" w:cs="Arial"/>
        </w:rPr>
      </w:pPr>
      <w:r w:rsidRPr="0017066F">
        <w:rPr>
          <w:rFonts w:ascii="Verdana" w:eastAsia="Calibri" w:hAnsi="Verdana" w:cs="Arial"/>
          <w:lang w:val="es-ES"/>
        </w:rPr>
        <w:t xml:space="preserve">La limitación territorial de las convocatorias a MiPymes encuentra su fundamento legal en el </w:t>
      </w:r>
      <w:r w:rsidRPr="0017066F">
        <w:rPr>
          <w:rFonts w:ascii="Verdana" w:hAnsi="Verdana" w:cs="Arial"/>
        </w:rPr>
        <w:t xml:space="preserve">artículo </w:t>
      </w:r>
      <w:r w:rsidRPr="0017066F">
        <w:rPr>
          <w:rFonts w:ascii="Verdana" w:eastAsia="Calibri" w:hAnsi="Verdana" w:cs="Arial"/>
        </w:rPr>
        <w:t xml:space="preserve">2.2.1.2.4.2.3 del Decreto 1082 de 2015, modificado por el artículo 5 del Decreto 1860 de 2021, </w:t>
      </w:r>
      <w:r w:rsidR="00E2161B" w:rsidRPr="0017066F">
        <w:rPr>
          <w:rFonts w:ascii="Verdana" w:eastAsia="Calibri" w:hAnsi="Verdana" w:cs="Arial"/>
        </w:rPr>
        <w:t>el cual señala</w:t>
      </w:r>
      <w:r w:rsidRPr="0017066F">
        <w:rPr>
          <w:rFonts w:ascii="Verdana" w:eastAsia="Calibri" w:hAnsi="Verdana" w:cs="Arial"/>
        </w:rPr>
        <w:t>:</w:t>
      </w:r>
    </w:p>
    <w:p w14:paraId="2952FC69" w14:textId="77777777" w:rsidR="00A1428F" w:rsidRPr="0017066F" w:rsidRDefault="00A1428F" w:rsidP="00A1428F">
      <w:pPr>
        <w:spacing w:after="0" w:line="276" w:lineRule="auto"/>
        <w:jc w:val="both"/>
        <w:rPr>
          <w:rFonts w:ascii="Verdana" w:eastAsia="Calibri" w:hAnsi="Verdana" w:cs="Arial"/>
        </w:rPr>
      </w:pPr>
    </w:p>
    <w:p w14:paraId="6FAA0223" w14:textId="77777777" w:rsidR="00A1428F" w:rsidRPr="0017066F" w:rsidRDefault="00075186" w:rsidP="00A1428F">
      <w:pPr>
        <w:spacing w:after="0" w:line="240" w:lineRule="auto"/>
        <w:ind w:left="708" w:right="616" w:firstLine="62"/>
        <w:jc w:val="both"/>
        <w:rPr>
          <w:rFonts w:ascii="Verdana" w:eastAsia="Calibri" w:hAnsi="Verdana" w:cs="Arial"/>
          <w:sz w:val="20"/>
          <w:szCs w:val="20"/>
        </w:rPr>
      </w:pPr>
      <w:r w:rsidRPr="0017066F">
        <w:rPr>
          <w:rStyle w:val="Textoennegrita"/>
          <w:rFonts w:ascii="Verdana" w:hAnsi="Verdana" w:cs="Arial"/>
          <w:color w:val="000000"/>
          <w:sz w:val="20"/>
          <w:szCs w:val="20"/>
        </w:rPr>
        <w:lastRenderedPageBreak/>
        <w:t>“</w:t>
      </w:r>
      <w:r w:rsidR="00A1428F" w:rsidRPr="0017066F">
        <w:rPr>
          <w:rStyle w:val="Textoennegrita"/>
          <w:rFonts w:ascii="Verdana" w:hAnsi="Verdana" w:cs="Arial"/>
          <w:b w:val="0"/>
          <w:color w:val="000000"/>
          <w:sz w:val="20"/>
          <w:szCs w:val="20"/>
        </w:rPr>
        <w:t>Limitaciones territoriales.</w:t>
      </w:r>
      <w:r w:rsidR="00A1428F" w:rsidRPr="0017066F">
        <w:rPr>
          <w:rStyle w:val="Textoennegrita"/>
          <w:rFonts w:ascii="Verdana" w:hAnsi="Verdana" w:cs="Arial"/>
          <w:color w:val="000000"/>
          <w:sz w:val="20"/>
          <w:szCs w:val="20"/>
        </w:rPr>
        <w:t> </w:t>
      </w:r>
      <w:r w:rsidR="00A1428F" w:rsidRPr="0017066F">
        <w:rPr>
          <w:rFonts w:ascii="Verdana" w:hAnsi="Verdana" w:cs="Arial"/>
          <w:color w:val="000000"/>
          <w:sz w:val="20"/>
          <w:szCs w:val="20"/>
        </w:rPr>
        <w:t>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r w:rsidRPr="0017066F">
        <w:rPr>
          <w:rFonts w:ascii="Verdana" w:hAnsi="Verdana" w:cs="Arial"/>
          <w:color w:val="000000"/>
          <w:sz w:val="20"/>
          <w:szCs w:val="20"/>
        </w:rPr>
        <w:t>”</w:t>
      </w:r>
      <w:r w:rsidR="00A1428F" w:rsidRPr="0017066F">
        <w:rPr>
          <w:rFonts w:ascii="Verdana" w:hAnsi="Verdana" w:cs="Arial"/>
          <w:color w:val="000000"/>
          <w:sz w:val="20"/>
          <w:szCs w:val="20"/>
        </w:rPr>
        <w:t>.</w:t>
      </w:r>
    </w:p>
    <w:p w14:paraId="6820E92E" w14:textId="77777777" w:rsidR="00A1428F" w:rsidRPr="0017066F" w:rsidRDefault="00A1428F" w:rsidP="00A1428F">
      <w:pPr>
        <w:spacing w:after="0" w:line="276" w:lineRule="auto"/>
        <w:jc w:val="both"/>
        <w:rPr>
          <w:rFonts w:ascii="Verdana" w:eastAsia="Calibri" w:hAnsi="Verdana" w:cs="Arial"/>
          <w:lang w:val="es-ES"/>
        </w:rPr>
      </w:pPr>
    </w:p>
    <w:p w14:paraId="519E7C47" w14:textId="77777777" w:rsidR="00A1428F" w:rsidRPr="0017066F" w:rsidRDefault="00A1428F" w:rsidP="00ED487E">
      <w:pPr>
        <w:spacing w:after="120" w:line="276" w:lineRule="auto"/>
        <w:ind w:firstLine="709"/>
        <w:jc w:val="both"/>
        <w:rPr>
          <w:rFonts w:ascii="Verdana" w:eastAsia="Calibri" w:hAnsi="Verdana" w:cs="Arial"/>
          <w:color w:val="000000" w:themeColor="text1"/>
        </w:rPr>
      </w:pPr>
      <w:r w:rsidRPr="0017066F">
        <w:rPr>
          <w:rFonts w:ascii="Verdana" w:eastAsia="Calibri" w:hAnsi="Verdana" w:cs="Arial"/>
          <w:lang w:val="es-ES"/>
        </w:rPr>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17066F">
        <w:rPr>
          <w:rFonts w:ascii="Verdana" w:hAnsi="Verdana" w:cs="Arial"/>
          <w:color w:val="000000" w:themeColor="text1"/>
        </w:rPr>
        <w:t xml:space="preserve">norma se refiere a la facultad de la administración con el verbo infinitivo “poder”, no “deber”. </w:t>
      </w:r>
      <w:r w:rsidRPr="0017066F">
        <w:rPr>
          <w:rFonts w:ascii="Verdana" w:eastAsia="Times New Roman" w:hAnsi="Verdana" w:cs="Arial"/>
          <w:lang w:eastAsia="es-CO"/>
        </w:rPr>
        <w:t>La Agencia Nacional de Contratación Pública – Colombia Compra Eficiente</w:t>
      </w:r>
      <w:r w:rsidRPr="0017066F">
        <w:rPr>
          <w:rFonts w:ascii="Verdana" w:eastAsia="Calibri" w:hAnsi="Verdana" w:cs="Arial"/>
          <w:color w:val="000000" w:themeColor="text1"/>
        </w:rPr>
        <w:t xml:space="preserve"> ha sostenido que la decisión de limitar territorialmente un</w:t>
      </w:r>
      <w:r w:rsidRPr="0017066F">
        <w:rPr>
          <w:rFonts w:ascii="Verdana" w:hAnsi="Verdana" w:cs="Arial"/>
          <w:color w:val="000000" w:themeColor="text1"/>
        </w:rPr>
        <w:t xml:space="preserve">a convocatoria a MiPymes </w:t>
      </w:r>
      <w:r w:rsidRPr="0017066F">
        <w:rPr>
          <w:rFonts w:ascii="Verdana" w:eastAsia="Calibri" w:hAnsi="Verdana" w:cs="Arial"/>
          <w:color w:val="000000" w:themeColor="text1"/>
        </w:rPr>
        <w:t>es discrecional, y ha precisado que, de todos modos, esta debe justificarse con fundamento en los correspondientes “estudios del sector”, como se puede encontrar detalladamente en la “GUÍA PARA PROMOVER LA PARTICIPACIÓN DE LAS MIPYMES EN LOS PROCESOS DE COMPRA Y CONTRATACIÓN PÚBLICA”</w:t>
      </w:r>
      <w:r w:rsidRPr="0017066F">
        <w:rPr>
          <w:rStyle w:val="Refdenotaalpie"/>
          <w:rFonts w:ascii="Verdana" w:eastAsia="Calibri" w:hAnsi="Verdana" w:cs="Arial"/>
          <w:color w:val="000000" w:themeColor="text1"/>
        </w:rPr>
        <w:footnoteReference w:id="2"/>
      </w:r>
      <w:r w:rsidRPr="0017066F">
        <w:rPr>
          <w:rFonts w:ascii="Verdana" w:eastAsia="Calibri" w:hAnsi="Verdana" w:cs="Arial"/>
          <w:color w:val="000000" w:themeColor="text1"/>
        </w:rPr>
        <w:t>.</w:t>
      </w:r>
    </w:p>
    <w:p w14:paraId="48127F37" w14:textId="77777777" w:rsidR="00A1428F" w:rsidRPr="0017066F" w:rsidRDefault="00A1428F" w:rsidP="00ED487E">
      <w:pPr>
        <w:spacing w:after="0" w:line="276" w:lineRule="auto"/>
        <w:ind w:firstLine="708"/>
        <w:jc w:val="both"/>
        <w:rPr>
          <w:rFonts w:ascii="Verdana" w:eastAsia="Arial" w:hAnsi="Verdana" w:cs="Arial"/>
          <w:color w:val="000000" w:themeColor="text1"/>
        </w:rPr>
      </w:pPr>
      <w:r w:rsidRPr="0017066F">
        <w:rPr>
          <w:rFonts w:ascii="Verdana" w:eastAsia="Calibri" w:hAnsi="Verdana" w:cs="Arial"/>
          <w:color w:val="000000" w:themeColor="text1"/>
        </w:rPr>
        <w:t xml:space="preserve">Además, la entidad debe verificar </w:t>
      </w:r>
      <w:r w:rsidRPr="0017066F">
        <w:rPr>
          <w:rFonts w:ascii="Verdana" w:eastAsia="Arial" w:hAnsi="Verdana" w:cs="Arial"/>
          <w:color w:val="000000" w:themeColor="text1"/>
        </w:rPr>
        <w:t>los requisitos establecidos en los numerales 1 y 2 del artículo 2.2.1.2.4.2.2 del Decreto 1082 de 2015, modificado por el Decreto 1860 de 2021, como sigue:</w:t>
      </w:r>
    </w:p>
    <w:p w14:paraId="08A74F81" w14:textId="77777777" w:rsidR="00D92F57" w:rsidRPr="0017066F" w:rsidRDefault="00D92F57" w:rsidP="00A1428F">
      <w:pPr>
        <w:spacing w:after="120" w:line="240" w:lineRule="auto"/>
        <w:ind w:left="709" w:right="616"/>
        <w:jc w:val="both"/>
        <w:rPr>
          <w:rStyle w:val="Textoennegrita"/>
          <w:rFonts w:ascii="Verdana" w:hAnsi="Verdana" w:cs="Arial"/>
          <w:color w:val="000000"/>
          <w:sz w:val="20"/>
          <w:szCs w:val="20"/>
        </w:rPr>
      </w:pPr>
    </w:p>
    <w:p w14:paraId="15A1B845" w14:textId="77777777" w:rsidR="00A1428F" w:rsidRPr="0017066F" w:rsidRDefault="00D92F57" w:rsidP="00A1428F">
      <w:pPr>
        <w:spacing w:after="120" w:line="240" w:lineRule="auto"/>
        <w:ind w:left="709" w:right="616"/>
        <w:jc w:val="both"/>
        <w:rPr>
          <w:rFonts w:ascii="Verdana" w:hAnsi="Verdana" w:cs="Arial"/>
          <w:color w:val="000000"/>
          <w:sz w:val="20"/>
          <w:szCs w:val="20"/>
        </w:rPr>
      </w:pPr>
      <w:r w:rsidRPr="0017066F">
        <w:rPr>
          <w:rStyle w:val="Textoennegrita"/>
          <w:rFonts w:ascii="Verdana" w:hAnsi="Verdana" w:cs="Arial"/>
          <w:b w:val="0"/>
          <w:bCs w:val="0"/>
          <w:color w:val="000000"/>
          <w:sz w:val="20"/>
          <w:szCs w:val="20"/>
        </w:rPr>
        <w:t>“</w:t>
      </w:r>
      <w:r w:rsidR="00A1428F" w:rsidRPr="0017066F">
        <w:rPr>
          <w:rStyle w:val="Textoennegrita"/>
          <w:rFonts w:ascii="Verdana" w:hAnsi="Verdana" w:cs="Arial"/>
          <w:b w:val="0"/>
          <w:color w:val="000000"/>
          <w:sz w:val="20"/>
          <w:szCs w:val="20"/>
        </w:rPr>
        <w:t>Convocatorias Limitadas a Mipyme.</w:t>
      </w:r>
      <w:r w:rsidR="00A1428F" w:rsidRPr="0017066F">
        <w:rPr>
          <w:rFonts w:ascii="Verdana" w:hAnsi="Verdana" w:cs="Arial"/>
          <w:b/>
          <w:color w:val="000000"/>
          <w:sz w:val="20"/>
          <w:szCs w:val="20"/>
        </w:rPr>
        <w:t> </w:t>
      </w:r>
      <w:r w:rsidR="00A1428F" w:rsidRPr="0017066F">
        <w:rPr>
          <w:rFonts w:ascii="Verdana" w:hAnsi="Verdana" w:cs="Arial"/>
          <w:color w:val="000000"/>
          <w:sz w:val="20"/>
          <w:szCs w:val="20"/>
        </w:rPr>
        <w:t>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r w:rsidR="00A1428F" w:rsidRPr="0017066F">
        <w:rPr>
          <w:rFonts w:ascii="Verdana" w:hAnsi="Verdana" w:cs="Arial"/>
          <w:color w:val="000000"/>
          <w:sz w:val="20"/>
          <w:szCs w:val="20"/>
        </w:rPr>
        <w:br/>
      </w:r>
      <w:r w:rsidR="00A1428F" w:rsidRPr="0017066F">
        <w:rPr>
          <w:rFonts w:ascii="Verdana" w:hAnsi="Verdana" w:cs="Arial"/>
          <w:color w:val="000000"/>
          <w:sz w:val="20"/>
          <w:szCs w:val="20"/>
        </w:rPr>
        <w:br/>
        <w:t>1. El valor del Proceso de Contratación sea menor a ciento veinticinco mil dólares de los Estados Unidos de América (US$125.000), liquidados con la tasa de cambio que para el efecto determina cada dos años el Ministerio de Comercio, Industria y Turismo.</w:t>
      </w:r>
      <w:r w:rsidR="00A1428F" w:rsidRPr="0017066F">
        <w:rPr>
          <w:rFonts w:ascii="Verdana" w:hAnsi="Verdana" w:cs="Arial"/>
          <w:color w:val="000000"/>
          <w:sz w:val="20"/>
          <w:szCs w:val="20"/>
        </w:rPr>
        <w:br/>
      </w:r>
      <w:r w:rsidR="00A1428F" w:rsidRPr="0017066F">
        <w:rPr>
          <w:rFonts w:ascii="Verdana" w:hAnsi="Verdana" w:cs="Arial"/>
          <w:color w:val="000000"/>
          <w:sz w:val="20"/>
          <w:szCs w:val="20"/>
        </w:rPr>
        <w:br/>
        <w:t xml:space="preserve">2. Se hayan recibido solicitudes de por lo menos dos (2) Mipyme colombianas para limitar la convocatoria a Mipyme colombianas. Las </w:t>
      </w:r>
      <w:r w:rsidR="00A1428F" w:rsidRPr="0017066F">
        <w:rPr>
          <w:rFonts w:ascii="Verdana" w:hAnsi="Verdana" w:cs="Arial"/>
          <w:color w:val="000000"/>
          <w:sz w:val="20"/>
          <w:szCs w:val="20"/>
        </w:rPr>
        <w:lastRenderedPageBreak/>
        <w:t>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7826EF94" w14:textId="77777777" w:rsidR="00A1428F" w:rsidRPr="0017066F" w:rsidRDefault="00A1428F" w:rsidP="00A1428F">
      <w:pPr>
        <w:spacing w:after="120" w:line="240" w:lineRule="auto"/>
        <w:ind w:left="709" w:right="616"/>
        <w:jc w:val="both"/>
        <w:rPr>
          <w:rFonts w:ascii="Verdana" w:hAnsi="Verdana" w:cs="Arial"/>
          <w:color w:val="000000"/>
          <w:sz w:val="20"/>
          <w:szCs w:val="20"/>
        </w:rPr>
      </w:pPr>
      <w:r w:rsidRPr="0017066F">
        <w:rPr>
          <w:rFonts w:ascii="Verdana" w:hAnsi="Verdana" w:cs="Arial"/>
          <w:color w:val="000000"/>
          <w:sz w:val="20"/>
          <w:szCs w:val="20"/>
        </w:rPr>
        <w:br/>
        <w:t>Tratándose de personas jurídicas, las solicitudes solo las podrán realizar Mipyme, cuyo objeto social les permita ejecutar el contrato relacionado con el proceso contractual.</w:t>
      </w:r>
    </w:p>
    <w:p w14:paraId="08C1E9AB" w14:textId="77777777" w:rsidR="00A1428F" w:rsidRPr="0017066F" w:rsidRDefault="00A1428F" w:rsidP="00FC5F97">
      <w:pPr>
        <w:spacing w:after="0" w:line="240" w:lineRule="auto"/>
        <w:ind w:left="709" w:right="616"/>
        <w:jc w:val="both"/>
        <w:rPr>
          <w:rFonts w:ascii="Verdana" w:hAnsi="Verdana" w:cs="Arial"/>
          <w:color w:val="000000"/>
          <w:sz w:val="20"/>
          <w:szCs w:val="20"/>
        </w:rPr>
      </w:pPr>
      <w:r w:rsidRPr="0017066F">
        <w:rPr>
          <w:rFonts w:ascii="Verdana" w:hAnsi="Verdana" w:cs="Arial"/>
          <w:color w:val="000000"/>
          <w:sz w:val="20"/>
          <w:szCs w:val="20"/>
        </w:rPr>
        <w:br/>
      </w:r>
      <w:r w:rsidRPr="0017066F">
        <w:rPr>
          <w:rStyle w:val="Textoennegrita"/>
          <w:rFonts w:ascii="Verdana" w:hAnsi="Verdana" w:cs="Arial"/>
          <w:color w:val="000000"/>
          <w:sz w:val="20"/>
          <w:szCs w:val="20"/>
        </w:rPr>
        <w:t>Parágrafo.</w:t>
      </w:r>
      <w:r w:rsidRPr="0017066F">
        <w:rPr>
          <w:rFonts w:ascii="Verdana" w:hAnsi="Verdana" w:cs="Arial"/>
          <w:color w:val="000000"/>
          <w:sz w:val="20"/>
          <w:szCs w:val="20"/>
        </w:rPr>
        <w:t> Las cooperativas y demás entidades de economía solidaria, siempre que tengan la calidad de Mipyme, podrán solicitar y participar en las convocatorias limitadas en las mismas condiciones dispuestas en el presente artículo</w:t>
      </w:r>
      <w:r w:rsidR="00FC5F97" w:rsidRPr="0017066F">
        <w:rPr>
          <w:rFonts w:ascii="Verdana" w:hAnsi="Verdana" w:cs="Arial"/>
          <w:color w:val="000000"/>
          <w:sz w:val="20"/>
          <w:szCs w:val="20"/>
        </w:rPr>
        <w:t>”.</w:t>
      </w:r>
    </w:p>
    <w:p w14:paraId="122E03FD" w14:textId="77777777" w:rsidR="00FC5F97" w:rsidRPr="0017066F" w:rsidRDefault="00FC5F97" w:rsidP="00ED487E">
      <w:pPr>
        <w:spacing w:after="0" w:line="276" w:lineRule="auto"/>
        <w:ind w:left="709" w:right="616"/>
        <w:jc w:val="both"/>
        <w:rPr>
          <w:rFonts w:ascii="Verdana" w:hAnsi="Verdana" w:cs="Arial"/>
          <w:color w:val="000000"/>
          <w:sz w:val="20"/>
          <w:szCs w:val="20"/>
        </w:rPr>
      </w:pPr>
    </w:p>
    <w:p w14:paraId="0A5BC39A" w14:textId="77777777" w:rsidR="00A1428F" w:rsidRPr="0017066F" w:rsidRDefault="00A1428F" w:rsidP="00A1428F">
      <w:pPr>
        <w:widowControl w:val="0"/>
        <w:autoSpaceDE w:val="0"/>
        <w:autoSpaceDN w:val="0"/>
        <w:spacing w:after="0" w:line="276" w:lineRule="auto"/>
        <w:jc w:val="both"/>
        <w:rPr>
          <w:rFonts w:ascii="Verdana" w:hAnsi="Verdana" w:cs="Arial"/>
        </w:rPr>
      </w:pPr>
      <w:r w:rsidRPr="0017066F">
        <w:rPr>
          <w:rFonts w:ascii="Verdana" w:hAnsi="Verdana" w:cs="Arial"/>
        </w:rPr>
        <w:tab/>
        <w:t>Como puede observarse en el artículo anterior, las solicitudes de limitación deben provenir de:</w:t>
      </w:r>
    </w:p>
    <w:p w14:paraId="7D6B9161" w14:textId="77777777" w:rsidR="00A1428F" w:rsidRPr="0017066F" w:rsidRDefault="00A1428F" w:rsidP="00A1428F">
      <w:pPr>
        <w:widowControl w:val="0"/>
        <w:autoSpaceDE w:val="0"/>
        <w:autoSpaceDN w:val="0"/>
        <w:spacing w:after="0" w:line="276" w:lineRule="auto"/>
        <w:jc w:val="both"/>
        <w:rPr>
          <w:rFonts w:ascii="Verdana" w:hAnsi="Verdana" w:cs="Arial"/>
        </w:rPr>
      </w:pPr>
    </w:p>
    <w:p w14:paraId="22B53D69" w14:textId="77777777" w:rsidR="00A1428F" w:rsidRPr="0017066F" w:rsidRDefault="00A1428F" w:rsidP="00A1428F">
      <w:pPr>
        <w:pStyle w:val="Prrafodelista"/>
        <w:widowControl w:val="0"/>
        <w:numPr>
          <w:ilvl w:val="0"/>
          <w:numId w:val="18"/>
        </w:numPr>
        <w:autoSpaceDE w:val="0"/>
        <w:autoSpaceDN w:val="0"/>
        <w:spacing w:after="0" w:line="276" w:lineRule="auto"/>
        <w:jc w:val="both"/>
        <w:rPr>
          <w:rFonts w:ascii="Verdana" w:hAnsi="Verdana" w:cs="Arial"/>
          <w:i/>
        </w:rPr>
      </w:pPr>
      <w:r w:rsidRPr="0017066F">
        <w:rPr>
          <w:rFonts w:ascii="Verdana" w:hAnsi="Verdana" w:cs="Arial"/>
          <w:i/>
        </w:rPr>
        <w:t xml:space="preserve">Micro, Pequeña y Mediana empresa </w:t>
      </w:r>
    </w:p>
    <w:p w14:paraId="1E01B2B3" w14:textId="77777777" w:rsidR="00A1428F" w:rsidRPr="0017066F" w:rsidRDefault="00A1428F" w:rsidP="00A1428F">
      <w:pPr>
        <w:pStyle w:val="Prrafodelista"/>
        <w:widowControl w:val="0"/>
        <w:autoSpaceDE w:val="0"/>
        <w:autoSpaceDN w:val="0"/>
        <w:spacing w:after="0" w:line="276" w:lineRule="auto"/>
        <w:ind w:left="1440"/>
        <w:jc w:val="both"/>
        <w:rPr>
          <w:rFonts w:ascii="Verdana" w:hAnsi="Verdana" w:cs="Arial"/>
        </w:rPr>
      </w:pPr>
    </w:p>
    <w:p w14:paraId="4231306E" w14:textId="77777777" w:rsidR="00A1428F" w:rsidRPr="0017066F" w:rsidRDefault="00A1428F" w:rsidP="00ED487E">
      <w:pPr>
        <w:widowControl w:val="0"/>
        <w:autoSpaceDE w:val="0"/>
        <w:autoSpaceDN w:val="0"/>
        <w:spacing w:after="120" w:line="276" w:lineRule="auto"/>
        <w:jc w:val="both"/>
        <w:rPr>
          <w:rFonts w:ascii="Verdana" w:hAnsi="Verdana" w:cs="Open Sans"/>
        </w:rPr>
      </w:pPr>
      <w:r w:rsidRPr="0017066F">
        <w:rPr>
          <w:rFonts w:ascii="Verdana" w:hAnsi="Verdana" w:cs="Arial"/>
        </w:rPr>
        <w:t>Para empezar el artículo 2 de la Ley 590 de 2000, modificado por el artículo 43 de la Ley 1450 de 2011, define la empresa como: “</w:t>
      </w:r>
      <w:r w:rsidRPr="0017066F">
        <w:rPr>
          <w:rFonts w:ascii="Verdana" w:hAnsi="Verdana" w:cs="Open Sans"/>
        </w:rPr>
        <w:t xml:space="preserve">toda unidad de explotación económica, realizada por persona natural o jurídica, en actividades agropecuarias, industriales, comerciales o de servicios, en el área rural o urbana“; y menciona como criterios para su clasificación por tamaño empresarial: el número de trabajadores totales, el valor de ventas brutas anuales y el valor de activos totales. </w:t>
      </w:r>
    </w:p>
    <w:p w14:paraId="741BB6A9" w14:textId="77777777" w:rsidR="00A1428F" w:rsidRPr="0017066F" w:rsidRDefault="00A1428F" w:rsidP="00A1428F">
      <w:pPr>
        <w:spacing w:after="120" w:line="276" w:lineRule="auto"/>
        <w:ind w:firstLine="709"/>
        <w:jc w:val="both"/>
        <w:rPr>
          <w:rFonts w:ascii="Verdana" w:eastAsia="Times New Roman" w:hAnsi="Verdana" w:cs="Arial"/>
          <w:lang w:eastAsia="es-MX"/>
        </w:rPr>
      </w:pPr>
      <w:r w:rsidRPr="0017066F">
        <w:rPr>
          <w:rFonts w:ascii="Verdana" w:eastAsia="Arial" w:hAnsi="Verdana" w:cs="Arial"/>
          <w:lang w:val="es-ES"/>
        </w:rPr>
        <w:t xml:space="preserve">Ahora bien, el artículo 2.2.1.13.2.2. del Decreto 1074 de 2015, adicionado por el Decreto 957 de 2019, establece que: </w:t>
      </w:r>
    </w:p>
    <w:p w14:paraId="663B7544" w14:textId="77777777" w:rsidR="00A1428F" w:rsidRPr="0017066F" w:rsidRDefault="00A1428F" w:rsidP="00A1428F">
      <w:pPr>
        <w:spacing w:after="120" w:line="276" w:lineRule="auto"/>
        <w:ind w:firstLine="708"/>
        <w:jc w:val="both"/>
        <w:rPr>
          <w:rFonts w:ascii="Verdana" w:hAnsi="Verdana" w:cs="Arial"/>
          <w:lang w:val="es-ES_tradnl"/>
        </w:rPr>
      </w:pPr>
      <w:r w:rsidRPr="0017066F">
        <w:rPr>
          <w:rFonts w:ascii="Verdana" w:hAnsi="Verdana" w:cs="Arial"/>
          <w:lang w:val="es-ES_tradnl"/>
        </w:rPr>
        <w:t xml:space="preserve">1. La </w:t>
      </w:r>
      <w:r w:rsidRPr="0017066F">
        <w:rPr>
          <w:rFonts w:ascii="Verdana" w:hAnsi="Verdana" w:cs="Arial"/>
          <w:i/>
          <w:iCs/>
          <w:lang w:val="es-ES_tradnl"/>
        </w:rPr>
        <w:t>microempresa</w:t>
      </w:r>
      <w:r w:rsidRPr="0017066F">
        <w:rPr>
          <w:rFonts w:ascii="Verdana" w:hAnsi="Verdana" w:cs="Arial"/>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120EA5EC" w14:textId="77777777" w:rsidR="00A1428F" w:rsidRPr="0017066F" w:rsidRDefault="00A1428F" w:rsidP="00A1428F">
      <w:pPr>
        <w:spacing w:after="120" w:line="276" w:lineRule="auto"/>
        <w:ind w:firstLine="708"/>
        <w:jc w:val="both"/>
        <w:rPr>
          <w:rFonts w:ascii="Verdana" w:hAnsi="Verdana" w:cs="Arial"/>
          <w:lang w:val="es-ES"/>
        </w:rPr>
      </w:pPr>
      <w:r w:rsidRPr="0017066F">
        <w:rPr>
          <w:rFonts w:ascii="Verdana" w:hAnsi="Verdana" w:cs="Arial"/>
          <w:lang w:val="es-ES"/>
        </w:rPr>
        <w:lastRenderedPageBreak/>
        <w:t xml:space="preserve">2. La </w:t>
      </w:r>
      <w:r w:rsidRPr="0017066F">
        <w:rPr>
          <w:rFonts w:ascii="Verdana" w:hAnsi="Verdana" w:cs="Arial"/>
          <w:i/>
          <w:iCs/>
          <w:lang w:val="es-ES"/>
        </w:rPr>
        <w:t>pequeña empresa</w:t>
      </w:r>
      <w:r w:rsidRPr="0017066F">
        <w:rPr>
          <w:rFonts w:ascii="Verdana"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56FFF7A5" w14:textId="77777777" w:rsidR="00A1428F" w:rsidRPr="0017066F" w:rsidRDefault="00A1428F" w:rsidP="00B440D8">
      <w:pPr>
        <w:spacing w:after="0" w:line="276" w:lineRule="auto"/>
        <w:ind w:firstLine="709"/>
        <w:jc w:val="both"/>
        <w:rPr>
          <w:rFonts w:ascii="Verdana" w:eastAsia="Arial" w:hAnsi="Verdana" w:cs="Arial"/>
          <w:lang w:val="es-ES"/>
        </w:rPr>
      </w:pPr>
      <w:r w:rsidRPr="0017066F">
        <w:rPr>
          <w:rFonts w:ascii="Verdana" w:eastAsia="Arial" w:hAnsi="Verdana" w:cs="Arial"/>
          <w:lang w:val="es-ES"/>
        </w:rPr>
        <w:t xml:space="preserve">3. La </w:t>
      </w:r>
      <w:r w:rsidRPr="0017066F">
        <w:rPr>
          <w:rFonts w:ascii="Verdana" w:eastAsia="Arial" w:hAnsi="Verdana" w:cs="Arial"/>
          <w:i/>
          <w:iCs/>
          <w:lang w:val="es-ES"/>
        </w:rPr>
        <w:t>mediana empresa</w:t>
      </w:r>
      <w:r w:rsidRPr="0017066F">
        <w:rPr>
          <w:rFonts w:ascii="Verdana" w:eastAsia="Arial" w:hAnsi="Verdana" w:cs="Arial"/>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34CC5586" w14:textId="77777777" w:rsidR="00B440D8" w:rsidRPr="0017066F" w:rsidRDefault="00B440D8" w:rsidP="00ED487E">
      <w:pPr>
        <w:spacing w:after="0" w:line="276" w:lineRule="auto"/>
        <w:ind w:firstLine="709"/>
        <w:jc w:val="both"/>
        <w:rPr>
          <w:rFonts w:ascii="Verdana" w:eastAsia="Arial" w:hAnsi="Verdana" w:cs="Arial"/>
          <w:lang w:val="es-ES"/>
        </w:rPr>
      </w:pPr>
    </w:p>
    <w:p w14:paraId="1DF9D4B1" w14:textId="77777777" w:rsidR="00A1428F" w:rsidRPr="0017066F" w:rsidRDefault="00A1428F" w:rsidP="00A1428F">
      <w:pPr>
        <w:pStyle w:val="Prrafodelista"/>
        <w:widowControl w:val="0"/>
        <w:numPr>
          <w:ilvl w:val="0"/>
          <w:numId w:val="18"/>
        </w:numPr>
        <w:autoSpaceDE w:val="0"/>
        <w:autoSpaceDN w:val="0"/>
        <w:spacing w:after="0" w:line="276" w:lineRule="auto"/>
        <w:jc w:val="both"/>
        <w:rPr>
          <w:rFonts w:ascii="Verdana" w:hAnsi="Verdana" w:cs="Arial"/>
          <w:i/>
        </w:rPr>
      </w:pPr>
      <w:r w:rsidRPr="0017066F">
        <w:rPr>
          <w:rFonts w:ascii="Verdana" w:hAnsi="Verdana" w:cs="Arial"/>
          <w:i/>
          <w:color w:val="000000"/>
        </w:rPr>
        <w:t>Las cooperativas y demás entidades de economía solidaria, siempre que tengan la calidad de Mipyme</w:t>
      </w:r>
    </w:p>
    <w:p w14:paraId="14614A11" w14:textId="77777777" w:rsidR="00A1428F" w:rsidRPr="0017066F" w:rsidRDefault="00A1428F" w:rsidP="00A1428F">
      <w:pPr>
        <w:pStyle w:val="Prrafodelista"/>
        <w:widowControl w:val="0"/>
        <w:autoSpaceDE w:val="0"/>
        <w:autoSpaceDN w:val="0"/>
        <w:spacing w:after="0" w:line="276" w:lineRule="auto"/>
        <w:ind w:left="1440"/>
        <w:jc w:val="both"/>
        <w:rPr>
          <w:rFonts w:ascii="Verdana" w:hAnsi="Verdana" w:cs="Arial"/>
          <w:u w:val="single"/>
        </w:rPr>
      </w:pPr>
    </w:p>
    <w:p w14:paraId="736337C1" w14:textId="77777777" w:rsidR="00A1428F" w:rsidRPr="0017066F" w:rsidRDefault="00A1428F" w:rsidP="00ED487E">
      <w:pPr>
        <w:spacing w:after="120" w:line="276" w:lineRule="auto"/>
        <w:ind w:firstLine="708"/>
        <w:jc w:val="both"/>
        <w:rPr>
          <w:rFonts w:ascii="Verdana" w:hAnsi="Verdana" w:cs="Arial"/>
          <w:color w:val="000000" w:themeColor="text1"/>
          <w:lang w:val="es-ES"/>
        </w:rPr>
      </w:pPr>
      <w:r w:rsidRPr="0017066F">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sin ánimo de lucro, se distinguen de la generalidad de las ESAL</w:t>
      </w:r>
      <w:r w:rsidRPr="0017066F">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405ECF30" w14:textId="77777777" w:rsidR="00A1428F" w:rsidRPr="0017066F" w:rsidRDefault="00A1428F" w:rsidP="00ED487E">
      <w:pPr>
        <w:widowControl w:val="0"/>
        <w:autoSpaceDE w:val="0"/>
        <w:autoSpaceDN w:val="0"/>
        <w:spacing w:after="120" w:line="276" w:lineRule="auto"/>
        <w:ind w:firstLine="708"/>
        <w:jc w:val="both"/>
        <w:rPr>
          <w:rFonts w:ascii="Verdana" w:hAnsi="Verdana" w:cs="Arial"/>
          <w:color w:val="000000" w:themeColor="text1"/>
          <w:lang w:val="es-ES"/>
        </w:rPr>
      </w:pPr>
      <w:r w:rsidRPr="0017066F">
        <w:rPr>
          <w:rFonts w:ascii="Verdana" w:hAnsi="Verdana" w:cs="Arial"/>
          <w:color w:val="000000" w:themeColor="text1"/>
          <w:lang w:val="es-ES"/>
        </w:rPr>
        <w:lastRenderedPageBreak/>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w:t>
      </w:r>
      <w:r w:rsidRPr="0017066F">
        <w:rPr>
          <w:rFonts w:ascii="Verdana" w:hAnsi="Verdana" w:cs="Arial"/>
          <w:i/>
          <w:iCs/>
          <w:color w:val="000000" w:themeColor="text1"/>
          <w:lang w:val="es-ES"/>
        </w:rPr>
        <w:t>objeto de producir, distribuir y consumir conjuntamente bienes y servicios para satisfacer las necesidades de sus miembros</w:t>
      </w:r>
      <w:r w:rsidRPr="0017066F">
        <w:rPr>
          <w:rFonts w:ascii="Verdana" w:hAnsi="Verdana" w:cs="Arial"/>
          <w:color w:val="000000" w:themeColor="text1"/>
          <w:lang w:val="es-ES"/>
        </w:rPr>
        <w:t xml:space="preserve"> y desarrollar obras de servicio a la comunidad en general, para lo cual deben estar constituidas como </w:t>
      </w:r>
      <w:r w:rsidRPr="0017066F">
        <w:rPr>
          <w:rFonts w:ascii="Verdana" w:hAnsi="Verdana" w:cs="Arial"/>
          <w:i/>
          <w:iCs/>
          <w:color w:val="000000" w:themeColor="text1"/>
          <w:lang w:val="es-ES"/>
        </w:rPr>
        <w:t>empresas</w:t>
      </w:r>
      <w:r w:rsidRPr="0017066F">
        <w:rPr>
          <w:rFonts w:ascii="Verdana" w:hAnsi="Verdana" w:cs="Arial"/>
          <w:color w:val="000000" w:themeColor="text1"/>
          <w:lang w:val="es-ES"/>
        </w:rPr>
        <w:t>. En el marco de las actividades económicas tendientes a la producción y distribución de bienes o prestación de servicios por parte de entidades de economía solidaria, la ley admite que estas provean esos bienes o presten tales servicios a Entidades Estatales.</w:t>
      </w:r>
    </w:p>
    <w:p w14:paraId="103F49D2" w14:textId="77777777" w:rsidR="00A1428F" w:rsidRPr="0017066F" w:rsidRDefault="00A1428F" w:rsidP="00A1428F">
      <w:pPr>
        <w:spacing w:after="0" w:line="276" w:lineRule="auto"/>
        <w:ind w:firstLine="709"/>
        <w:jc w:val="both"/>
        <w:rPr>
          <w:rFonts w:ascii="Verdana" w:hAnsi="Verdana" w:cs="Arial"/>
          <w:lang w:val="es-ES"/>
        </w:rPr>
      </w:pPr>
      <w:r w:rsidRPr="0017066F">
        <w:rPr>
          <w:rFonts w:ascii="Verdana" w:hAnsi="Verdana" w:cs="Arial"/>
        </w:rPr>
        <w:t xml:space="preserve">Teniendo en cuenta lo anterior, esta Agencia ha sostenido de </w:t>
      </w:r>
      <w:r w:rsidRPr="0017066F">
        <w:rPr>
          <w:rFonts w:ascii="Verdana" w:hAnsi="Verdana" w:cs="Arial"/>
          <w:lang w:val="es-ES"/>
        </w:rPr>
        <w:t xml:space="preserve">forma reiterada la tesis consistente en que las ESAL no pueden, por regla general, acceder a los beneficios a favor de las Mipymes ni participar en los procesos contractuales limitados a estas. Este argumento, considerando que: </w:t>
      </w:r>
    </w:p>
    <w:p w14:paraId="66FFA78C" w14:textId="77777777" w:rsidR="00A1428F" w:rsidRPr="0017066F" w:rsidRDefault="00A1428F" w:rsidP="00A1428F">
      <w:pPr>
        <w:spacing w:after="0" w:line="276" w:lineRule="auto"/>
        <w:ind w:left="709" w:right="709"/>
        <w:jc w:val="both"/>
        <w:rPr>
          <w:rFonts w:ascii="Verdana" w:hAnsi="Verdana" w:cs="Arial"/>
          <w:lang w:val="es-ES_tradnl"/>
        </w:rPr>
      </w:pPr>
    </w:p>
    <w:p w14:paraId="78CB90C7" w14:textId="77777777" w:rsidR="00A1428F" w:rsidRPr="0017066F" w:rsidRDefault="00A1428F" w:rsidP="00A1428F">
      <w:pPr>
        <w:spacing w:after="0" w:line="240" w:lineRule="auto"/>
        <w:ind w:left="709" w:right="709"/>
        <w:jc w:val="both"/>
        <w:rPr>
          <w:rFonts w:ascii="Verdana" w:hAnsi="Verdana" w:cs="Arial"/>
          <w:sz w:val="20"/>
          <w:szCs w:val="20"/>
        </w:rPr>
      </w:pPr>
      <w:r w:rsidRPr="0017066F">
        <w:rPr>
          <w:rFonts w:ascii="Verdana" w:hAnsi="Verdana" w:cs="Arial"/>
          <w:sz w:val="20"/>
          <w:szCs w:val="20"/>
          <w:lang w:val="es-ES_tradnl"/>
        </w:rPr>
        <w:t>“</w:t>
      </w:r>
      <w:r w:rsidRPr="0017066F">
        <w:rPr>
          <w:rFonts w:ascii="Verdana" w:hAnsi="Verdana" w:cs="Arial"/>
          <w:sz w:val="20"/>
          <w:szCs w:val="20"/>
        </w:rPr>
        <w:t xml:space="preserve">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mipymes. Lo anterior teniendo en cuenta que </w:t>
      </w:r>
      <w:r w:rsidRPr="0017066F">
        <w:rPr>
          <w:rFonts w:ascii="Verdana" w:hAnsi="Verdana" w:cs="Arial"/>
          <w:i/>
          <w:iCs/>
          <w:sz w:val="20"/>
          <w:szCs w:val="20"/>
        </w:rPr>
        <w:t>no responden al concepto de empresa que involucra dicha categoría con ánimo de lucro, por lo que no resulta jurídicamente válido aplicar a las ESAL las normas dirigidas a las Mipymes</w:t>
      </w:r>
      <w:r w:rsidRPr="0017066F">
        <w:rPr>
          <w:rFonts w:ascii="Verdana" w:hAnsi="Verdana" w:cs="Arial"/>
          <w:sz w:val="20"/>
          <w:szCs w:val="20"/>
        </w:rPr>
        <w:t>”</w:t>
      </w:r>
      <w:r w:rsidRPr="0017066F">
        <w:rPr>
          <w:rFonts w:ascii="Verdana" w:hAnsi="Verdana" w:cs="Arial"/>
          <w:sz w:val="20"/>
          <w:szCs w:val="20"/>
          <w:vertAlign w:val="superscript"/>
        </w:rPr>
        <w:footnoteReference w:id="3"/>
      </w:r>
      <w:r w:rsidRPr="0017066F">
        <w:rPr>
          <w:rFonts w:ascii="Verdana" w:hAnsi="Verdana" w:cs="Arial"/>
          <w:sz w:val="20"/>
          <w:szCs w:val="20"/>
        </w:rPr>
        <w:t xml:space="preserve">. </w:t>
      </w:r>
    </w:p>
    <w:p w14:paraId="347E2A37" w14:textId="77777777" w:rsidR="00A1428F" w:rsidRPr="0017066F" w:rsidRDefault="00A1428F" w:rsidP="00A1428F">
      <w:pPr>
        <w:spacing w:after="0" w:line="276" w:lineRule="auto"/>
        <w:ind w:left="709" w:right="709"/>
        <w:jc w:val="both"/>
        <w:rPr>
          <w:rFonts w:ascii="Verdana" w:hAnsi="Verdana" w:cs="Arial"/>
        </w:rPr>
      </w:pPr>
    </w:p>
    <w:p w14:paraId="672646A3" w14:textId="77777777" w:rsidR="00A1428F" w:rsidRPr="0017066F" w:rsidRDefault="00A1428F" w:rsidP="00ED487E">
      <w:pPr>
        <w:widowControl w:val="0"/>
        <w:autoSpaceDE w:val="0"/>
        <w:autoSpaceDN w:val="0"/>
        <w:spacing w:after="120" w:line="276" w:lineRule="auto"/>
        <w:ind w:firstLine="708"/>
        <w:jc w:val="both"/>
        <w:rPr>
          <w:rFonts w:ascii="Verdana" w:hAnsi="Verdana" w:cs="Arial"/>
          <w:lang w:val="es-ES"/>
        </w:rPr>
      </w:pPr>
      <w:r w:rsidRPr="0017066F">
        <w:rPr>
          <w:rFonts w:ascii="Verdana" w:hAnsi="Verdana" w:cs="Arial"/>
          <w:lang w:val="es-ES"/>
        </w:rPr>
        <w:t xml:space="preserve">Según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sobre las cooperativa y entidades de economía solidaria antes mencionadas. </w:t>
      </w:r>
    </w:p>
    <w:p w14:paraId="4270C012" w14:textId="77777777" w:rsidR="00A1428F" w:rsidRPr="0017066F" w:rsidRDefault="00A1428F" w:rsidP="00ED487E">
      <w:pPr>
        <w:widowControl w:val="0"/>
        <w:autoSpaceDE w:val="0"/>
        <w:autoSpaceDN w:val="0"/>
        <w:spacing w:after="120" w:line="276" w:lineRule="auto"/>
        <w:ind w:firstLine="708"/>
        <w:jc w:val="both"/>
        <w:rPr>
          <w:rFonts w:ascii="Verdana" w:hAnsi="Verdana" w:cs="Arial"/>
          <w:lang w:val="es-ES"/>
        </w:rPr>
      </w:pPr>
      <w:r w:rsidRPr="0017066F">
        <w:rPr>
          <w:rFonts w:ascii="Verdana" w:hAnsi="Verdana" w:cs="Arial"/>
          <w:lang w:val="es-ES"/>
        </w:rPr>
        <w:t xml:space="preserve">En efecto, lo anterior no es aplicable a las ESAL, dado que la característica </w:t>
      </w:r>
      <w:r w:rsidRPr="0017066F">
        <w:rPr>
          <w:rFonts w:ascii="Verdana" w:hAnsi="Verdana" w:cs="Arial"/>
          <w:lang w:val="es-ES"/>
        </w:rPr>
        <w:lastRenderedPageBreak/>
        <w:t>determinante que explica su nombre y las diferencias fundamentales con las sociedades comerciales es la ausencia de ánimo de lucro. Por lo que, estas no se regulan por lo dispuesto en el Libro Segundo del Código de Comercio que enumera las sociedades comerciales ni cumplen con la finalidad de repartición de utilidades obtenidas en la empresa mencionada para el contrato de sociedad en el artículo 98 del Código de Comercio.</w:t>
      </w:r>
    </w:p>
    <w:p w14:paraId="7A8538BE" w14:textId="77777777" w:rsidR="00A1428F" w:rsidRPr="0017066F" w:rsidRDefault="00A1428F" w:rsidP="00ED487E">
      <w:pPr>
        <w:widowControl w:val="0"/>
        <w:autoSpaceDE w:val="0"/>
        <w:autoSpaceDN w:val="0"/>
        <w:spacing w:after="120" w:line="276" w:lineRule="auto"/>
        <w:ind w:firstLine="708"/>
        <w:jc w:val="both"/>
        <w:rPr>
          <w:rFonts w:ascii="Verdana" w:eastAsia="Calibri" w:hAnsi="Verdana" w:cs="Arial"/>
          <w:lang w:val="es-ES_tradnl" w:eastAsia="es-ES_tradnl"/>
        </w:rPr>
      </w:pPr>
      <w:r w:rsidRPr="0017066F">
        <w:rPr>
          <w:rFonts w:ascii="Verdana" w:hAnsi="Verdana" w:cs="Arial"/>
          <w:lang w:val="es-ES"/>
        </w:rPr>
        <w:t xml:space="preserve">De hecho, las ESAL, que incluyen corporaciones y asociaciones, </w:t>
      </w:r>
      <w:r w:rsidRPr="0017066F">
        <w:rPr>
          <w:rFonts w:ascii="Verdana" w:eastAsia="Calibri" w:hAnsi="Verdana" w:cs="Arial"/>
          <w:lang w:val="es-ES_tradnl" w:eastAsia="es-ES_tradnl"/>
        </w:rPr>
        <w:t>se encuentran reguladas en el Código Civil –entre otras normas concordantes–, de lo que se sigue que no constituyen formas de sociedad comercial, sino formas de organización civil con fines esencialmente altruistas o de interés general, que se conforman entre personas que tienen como finalidad contribuir con su esfuerzo, y hasta con sus bienes, para ayudar a la comunidad</w:t>
      </w:r>
      <w:r w:rsidRPr="0017066F">
        <w:rPr>
          <w:rStyle w:val="Refdenotaalpie"/>
          <w:rFonts w:ascii="Verdana" w:eastAsia="Calibri" w:hAnsi="Verdana" w:cs="Arial"/>
          <w:lang w:val="es-ES_tradnl" w:eastAsia="es-ES_tradnl"/>
        </w:rPr>
        <w:footnoteReference w:id="4"/>
      </w:r>
      <w:r w:rsidRPr="0017066F">
        <w:rPr>
          <w:rFonts w:ascii="Verdana" w:eastAsia="Calibri" w:hAnsi="Verdana" w:cs="Arial"/>
          <w:lang w:val="es-ES_tradnl" w:eastAsia="es-ES_tradnl"/>
        </w:rPr>
        <w:t>. La ausencia de ánimo de lucro es, entonces, la característica determinante de estas corporaciones u organizaciones, lo que explica su nombre y las diferencias de manera fundamental de las sociedades comerciales.</w:t>
      </w:r>
    </w:p>
    <w:p w14:paraId="63DED8CB" w14:textId="77777777" w:rsidR="00A1428F" w:rsidRPr="0017066F" w:rsidRDefault="00A1428F" w:rsidP="00A1428F">
      <w:pPr>
        <w:spacing w:before="120" w:after="0" w:line="276" w:lineRule="auto"/>
        <w:ind w:firstLine="709"/>
        <w:jc w:val="both"/>
        <w:rPr>
          <w:rFonts w:ascii="Verdana" w:eastAsia="Calibri" w:hAnsi="Verdana" w:cs="Arial"/>
          <w:lang w:val="es-ES_tradnl" w:eastAsia="es-ES_tradnl"/>
        </w:rPr>
      </w:pPr>
      <w:r w:rsidRPr="0017066F">
        <w:rPr>
          <w:rFonts w:ascii="Verdana" w:eastAsia="Calibri" w:hAnsi="Verdana" w:cs="Arial"/>
          <w:lang w:val="es-ES_tradnl" w:eastAsia="es-ES_tradnl"/>
        </w:rPr>
        <w:t>Así, la Corte Constitucional, en la sentencia C-287 de 2012, reiteró que la diferencia existente entre las sociedades comerciales y las ESAL es que estas últimas no reparten sus utilidades entre los socios</w:t>
      </w:r>
      <w:r w:rsidRPr="0017066F">
        <w:rPr>
          <w:rStyle w:val="Refdenotaalpie"/>
          <w:rFonts w:ascii="Verdana" w:eastAsia="Calibri" w:hAnsi="Verdana" w:cs="Arial"/>
          <w:lang w:val="es-ES_tradnl" w:eastAsia="es-ES_tradnl"/>
        </w:rPr>
        <w:footnoteReference w:id="5"/>
      </w:r>
      <w:r w:rsidRPr="0017066F">
        <w:rPr>
          <w:rFonts w:ascii="Verdana" w:eastAsia="Calibri" w:hAnsi="Verdana" w:cs="Arial"/>
          <w:lang w:val="es-ES_tradnl" w:eastAsia="es-ES_tradnl"/>
        </w:rPr>
        <w:t>:</w:t>
      </w:r>
    </w:p>
    <w:p w14:paraId="772FC2AD" w14:textId="77777777" w:rsidR="00A1428F" w:rsidRPr="0017066F" w:rsidRDefault="00A1428F" w:rsidP="00A1428F">
      <w:pPr>
        <w:spacing w:after="0" w:line="276" w:lineRule="auto"/>
        <w:ind w:left="709" w:right="709"/>
        <w:jc w:val="both"/>
        <w:rPr>
          <w:rFonts w:ascii="Verdana" w:eastAsia="Calibri" w:hAnsi="Verdana" w:cs="Arial"/>
          <w:sz w:val="20"/>
          <w:szCs w:val="20"/>
          <w:lang w:val="es-ES" w:eastAsia="es-ES"/>
        </w:rPr>
      </w:pPr>
    </w:p>
    <w:p w14:paraId="7E4C6C5E" w14:textId="77777777" w:rsidR="00A1428F" w:rsidRPr="0017066F" w:rsidRDefault="00A1428F" w:rsidP="00A1428F">
      <w:pPr>
        <w:spacing w:after="0" w:line="240" w:lineRule="auto"/>
        <w:ind w:left="709" w:right="709"/>
        <w:jc w:val="both"/>
        <w:rPr>
          <w:rFonts w:ascii="Verdana" w:eastAsia="Calibri" w:hAnsi="Verdana" w:cs="Arial"/>
          <w:sz w:val="20"/>
          <w:szCs w:val="20"/>
          <w:lang w:val="es-ES" w:eastAsia="es-ES"/>
        </w:rPr>
      </w:pPr>
      <w:r w:rsidRPr="0017066F">
        <w:rPr>
          <w:rFonts w:ascii="Verdana" w:eastAsia="Calibri" w:hAnsi="Verdana" w:cs="Arial"/>
          <w:sz w:val="20"/>
          <w:szCs w:val="20"/>
          <w:lang w:val="es-ES" w:eastAsia="es-ES"/>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p>
    <w:p w14:paraId="54E6465C" w14:textId="77777777" w:rsidR="00A1428F" w:rsidRPr="0017066F" w:rsidRDefault="00A1428F" w:rsidP="00A1428F">
      <w:pPr>
        <w:spacing w:after="0" w:line="276" w:lineRule="auto"/>
        <w:ind w:firstLine="709"/>
        <w:jc w:val="both"/>
        <w:rPr>
          <w:rFonts w:ascii="Verdana" w:eastAsia="Calibri" w:hAnsi="Verdana" w:cs="Arial"/>
          <w:lang w:val="es-ES_tradnl" w:eastAsia="es-ES_tradnl"/>
        </w:rPr>
      </w:pPr>
    </w:p>
    <w:p w14:paraId="21262D23" w14:textId="77777777" w:rsidR="00A1428F" w:rsidRPr="0017066F" w:rsidRDefault="00A1428F" w:rsidP="00ED487E">
      <w:pPr>
        <w:spacing w:after="0" w:line="276" w:lineRule="auto"/>
        <w:ind w:firstLine="708"/>
        <w:jc w:val="both"/>
        <w:rPr>
          <w:rFonts w:ascii="Verdana" w:eastAsia="Calibri" w:hAnsi="Verdana" w:cs="Arial"/>
          <w:color w:val="000000" w:themeColor="text1"/>
          <w:lang w:val="es-ES"/>
        </w:rPr>
      </w:pPr>
      <w:r w:rsidRPr="0017066F">
        <w:rPr>
          <w:rFonts w:ascii="Verdana" w:hAnsi="Verdana" w:cs="Arial"/>
          <w:color w:val="000000" w:themeColor="text1"/>
          <w:lang w:val="es-ES"/>
        </w:rPr>
        <w:lastRenderedPageBreak/>
        <w:t xml:space="preserve">De esta manera, la posibilidad de solicitar la limitación territorial de las convocatorias a Mipymes no es extensible a todas las ESAL, sino únicamente a aquellas que corresponden al concepto de </w:t>
      </w:r>
      <w:r w:rsidRPr="0017066F">
        <w:rPr>
          <w:rFonts w:ascii="Verdana" w:eastAsia="Calibri" w:hAnsi="Verdana" w:cs="Arial"/>
          <w:color w:val="000000" w:themeColor="text1"/>
          <w:lang w:val="es-ES"/>
        </w:rPr>
        <w:t xml:space="preserve">cooperativas y demás entes considerados de economía solidaria, </w:t>
      </w:r>
      <w:r w:rsidRPr="0017066F">
        <w:rPr>
          <w:rFonts w:ascii="Verdana" w:eastAsia="Geomanist Light" w:hAnsi="Verdana" w:cs="Arial"/>
          <w:lang w:val="es-ES"/>
        </w:rPr>
        <w:t>en los términos del artículo 6 de la Ley 454 de 1998 –norma a la que remite el artículo 23 de la Ley de Emprendimiento–.</w:t>
      </w:r>
      <w:r w:rsidRPr="0017066F">
        <w:rPr>
          <w:rFonts w:ascii="Verdana" w:eastAsia="Calibri" w:hAnsi="Verdana" w:cs="Arial"/>
          <w:color w:val="000000" w:themeColor="text1"/>
          <w:lang w:val="es-ES"/>
        </w:rPr>
        <w:t xml:space="preserve"> </w:t>
      </w:r>
      <w:r w:rsidRPr="0017066F">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sidRPr="0017066F">
        <w:rPr>
          <w:rFonts w:ascii="Verdana" w:eastAsia="Calibri" w:hAnsi="Verdana" w:cs="Arial"/>
          <w:color w:val="000000" w:themeColor="text1"/>
          <w:lang w:val="es-ES"/>
        </w:rPr>
        <w:t>Solo las que cumplan estos requisitos podrán ser asimiladas a las Mipymes y acceder a los requisitos diferenciales de la Ley 2069 de 2020, así como participar en las convocatorias limitadas a estas, pudiendo incluso manifestar su interés de participar en el proceso de selección de manera previa a la expedición de la resolución de apertura en los términos el artículo 2.2.1.2.4.2.2 del Decreto 1082 de 2015.</w:t>
      </w:r>
    </w:p>
    <w:p w14:paraId="73EDDDC5" w14:textId="77777777" w:rsidR="0017066F" w:rsidRPr="0017066F" w:rsidRDefault="0017066F" w:rsidP="00ED487E">
      <w:pPr>
        <w:spacing w:after="0" w:line="276" w:lineRule="auto"/>
        <w:ind w:firstLine="708"/>
        <w:jc w:val="both"/>
        <w:rPr>
          <w:rFonts w:ascii="Verdana" w:eastAsia="Calibri" w:hAnsi="Verdana" w:cs="Arial"/>
          <w:color w:val="000000" w:themeColor="text1"/>
          <w:lang w:val="es-ES"/>
        </w:rPr>
      </w:pPr>
    </w:p>
    <w:p w14:paraId="3AC11F39" w14:textId="77777777" w:rsidR="0017066F" w:rsidRPr="0017066F" w:rsidRDefault="0017066F" w:rsidP="0017066F">
      <w:pPr>
        <w:tabs>
          <w:tab w:val="left" w:pos="426"/>
        </w:tabs>
        <w:spacing w:line="276" w:lineRule="auto"/>
        <w:ind w:right="49"/>
        <w:jc w:val="both"/>
        <w:rPr>
          <w:rFonts w:ascii="Verdana" w:eastAsia="Calibri" w:hAnsi="Verdana" w:cs="Arial"/>
          <w:bCs/>
          <w:lang w:val="es-ES_tradnl"/>
        </w:rPr>
      </w:pPr>
      <w:r w:rsidRPr="0017066F">
        <w:rPr>
          <w:rFonts w:ascii="Verdana" w:hAnsi="Verdana"/>
        </w:rPr>
        <w:t xml:space="preserve">Ahora bien, en lo que respecta </w:t>
      </w:r>
      <w:r w:rsidRPr="0017066F">
        <w:rPr>
          <w:rFonts w:ascii="Verdana" w:eastAsia="Calibri" w:hAnsi="Verdana" w:cs="Arial"/>
          <w:bCs/>
          <w:lang w:val="es-ES_tradnl"/>
        </w:rPr>
        <w:t>al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relacionadas en los artículos antes referidos. Esta competencia consultiva se relaciona con el artículo 28 de la Ley 1437 de 2011, sustituido por el artículo 1 de la Ley 1755, que dispone lo siguiente:</w:t>
      </w:r>
    </w:p>
    <w:p w14:paraId="734F4E08" w14:textId="77777777" w:rsidR="0017066F" w:rsidRPr="0017066F" w:rsidRDefault="0017066F" w:rsidP="0017066F">
      <w:pPr>
        <w:tabs>
          <w:tab w:val="left" w:pos="426"/>
        </w:tabs>
        <w:ind w:left="709" w:right="758"/>
        <w:jc w:val="both"/>
        <w:rPr>
          <w:rFonts w:ascii="Verdana" w:eastAsia="Calibri" w:hAnsi="Verdana" w:cs="Arial"/>
          <w:bCs/>
          <w:sz w:val="21"/>
          <w:szCs w:val="21"/>
          <w:lang w:val="es-ES_tradnl"/>
        </w:rPr>
      </w:pPr>
      <w:r w:rsidRPr="0017066F">
        <w:rPr>
          <w:rFonts w:ascii="Verdana" w:eastAsia="Calibri" w:hAnsi="Verdana" w:cs="Arial"/>
          <w:bCs/>
          <w:sz w:val="21"/>
          <w:szCs w:val="21"/>
          <w:lang w:val="es-ES_tradnl"/>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50CE5E21" w14:textId="2177F469" w:rsidR="0017066F" w:rsidRPr="0017066F" w:rsidRDefault="0017066F" w:rsidP="0017066F">
      <w:pPr>
        <w:tabs>
          <w:tab w:val="left" w:pos="709"/>
        </w:tabs>
        <w:spacing w:line="276" w:lineRule="auto"/>
        <w:ind w:left="142" w:right="49"/>
        <w:jc w:val="both"/>
        <w:rPr>
          <w:rFonts w:ascii="Verdana" w:eastAsia="Calibri" w:hAnsi="Verdana" w:cs="Arial"/>
          <w:bCs/>
          <w:lang w:val="es-ES_tradnl"/>
        </w:rPr>
      </w:pPr>
      <w:r w:rsidRPr="0017066F">
        <w:rPr>
          <w:rFonts w:ascii="Verdana" w:eastAsia="Calibri" w:hAnsi="Verdana" w:cs="Arial"/>
          <w:bCs/>
          <w:lang w:val="es-ES_tradnl"/>
        </w:rPr>
        <w:t xml:space="preserve">La ley es clara cuando establece que los conceptos emitidos por las autoridades al responder peticiones realizadas en ejercicio del derecho a formular consultas –como fue el caso del concepto de la solicitud de queja– no son de obligatorio cumplimiento o de obligatoria ejecución, en otras palabras, no tienen efectos vinculantes. Las respuestas emitidas como concepto, entonces, consisten en la posición hermenéutica que las entidades tienen respecto del ordenamiento </w:t>
      </w:r>
      <w:r w:rsidRPr="0017066F">
        <w:rPr>
          <w:rFonts w:ascii="Verdana" w:eastAsia="Calibri" w:hAnsi="Verdana" w:cs="Arial"/>
          <w:bCs/>
          <w:lang w:val="es-ES_tradnl"/>
        </w:rPr>
        <w:lastRenderedPageBreak/>
        <w:t>jurídico. Esto explica por qué esta Agencia no resuelve controversias concretas ni brinda asesoría a los partícipes de la contratación estatal</w:t>
      </w:r>
      <w:r w:rsidRPr="0017066F">
        <w:rPr>
          <w:rStyle w:val="Refdenotaalpie"/>
          <w:rFonts w:ascii="Verdana" w:eastAsia="Calibri" w:hAnsi="Verdana" w:cs="Arial"/>
          <w:lang w:val="es-ES_tradnl"/>
        </w:rPr>
        <w:footnoteReference w:id="6"/>
      </w:r>
      <w:r w:rsidRPr="0017066F">
        <w:rPr>
          <w:rFonts w:ascii="Verdana" w:eastAsia="Calibri" w:hAnsi="Verdana" w:cs="Arial"/>
          <w:bCs/>
          <w:lang w:val="es-ES_tradnl"/>
        </w:rPr>
        <w:t>.</w:t>
      </w:r>
    </w:p>
    <w:p w14:paraId="17FDE9AA" w14:textId="2C5BC5F6" w:rsidR="0017066F" w:rsidRPr="0017066F" w:rsidRDefault="0017066F" w:rsidP="0017066F">
      <w:pPr>
        <w:tabs>
          <w:tab w:val="left" w:pos="709"/>
        </w:tabs>
        <w:spacing w:before="120" w:line="276" w:lineRule="auto"/>
        <w:ind w:left="142" w:right="49"/>
        <w:jc w:val="both"/>
        <w:rPr>
          <w:rFonts w:ascii="Verdana" w:eastAsia="Calibri" w:hAnsi="Verdana" w:cs="Arial"/>
          <w:bCs/>
          <w:sz w:val="21"/>
          <w:szCs w:val="21"/>
        </w:rPr>
      </w:pPr>
      <w:r w:rsidRPr="0017066F">
        <w:rPr>
          <w:rFonts w:ascii="Verdana" w:eastAsia="Calibri" w:hAnsi="Verdana" w:cs="Arial"/>
          <w:bCs/>
          <w:lang w:val="es-ES_tradnl"/>
        </w:rPr>
        <w:t xml:space="preserve">Esta posición es compartida por varias entidades públicas que ejercen la misma función. Por ejemplo, la Procuraduría General de la Nación aclaró que el concepto </w:t>
      </w:r>
      <w:r w:rsidR="00623201">
        <w:rPr>
          <w:rFonts w:ascii="Verdana" w:eastAsia="Calibri" w:hAnsi="Verdana" w:cs="Arial"/>
          <w:bCs/>
          <w:lang w:val="es-ES_tradnl"/>
        </w:rPr>
        <w:t>“</w:t>
      </w:r>
      <w:r w:rsidRPr="0017066F">
        <w:rPr>
          <w:rFonts w:ascii="Verdana" w:eastAsia="Calibri" w:hAnsi="Verdana" w:cs="Arial"/>
          <w:bCs/>
        </w:rPr>
        <w:t>sólo constituye un criterio auxiliar de interpretación y que no tiene carácter vinculante de acuerdo con lo dispuesto en los artículos 230 de la Constitución Política, 5° de la Ley 153 de 1887 y 28 de la ley 1437 de 2011</w:t>
      </w:r>
      <w:r w:rsidR="00623201">
        <w:rPr>
          <w:rFonts w:ascii="Verdana" w:eastAsia="Calibri" w:hAnsi="Verdana" w:cs="Arial"/>
          <w:bCs/>
        </w:rPr>
        <w:t>”</w:t>
      </w:r>
      <w:r w:rsidRPr="0017066F">
        <w:rPr>
          <w:rStyle w:val="Refdenotaalpie"/>
          <w:rFonts w:ascii="Verdana" w:eastAsia="Calibri" w:hAnsi="Verdana" w:cs="Arial"/>
          <w:lang w:val="es-ES_tradnl"/>
        </w:rPr>
        <w:footnoteReference w:id="7"/>
      </w:r>
      <w:r w:rsidRPr="0017066F">
        <w:rPr>
          <w:rFonts w:ascii="Verdana" w:eastAsia="Calibri" w:hAnsi="Verdana" w:cs="Arial"/>
          <w:bCs/>
        </w:rPr>
        <w:t>. Igualmente, en concepto del año 2017</w:t>
      </w:r>
      <w:r w:rsidRPr="0017066F">
        <w:rPr>
          <w:rStyle w:val="Refdenotaalpie"/>
          <w:rFonts w:ascii="Verdana" w:eastAsia="Calibri" w:hAnsi="Verdana" w:cs="Arial"/>
        </w:rPr>
        <w:footnoteReference w:id="8"/>
      </w:r>
      <w:r w:rsidRPr="0017066F">
        <w:rPr>
          <w:rFonts w:ascii="Verdana" w:eastAsia="Calibri" w:hAnsi="Verdana" w:cs="Arial"/>
          <w:bCs/>
        </w:rPr>
        <w:t xml:space="preserve">, la Contraloría General de la República precisó que los </w:t>
      </w:r>
      <w:r w:rsidR="00623201">
        <w:rPr>
          <w:rFonts w:ascii="Verdana" w:eastAsia="Calibri" w:hAnsi="Verdana" w:cs="Arial"/>
          <w:bCs/>
        </w:rPr>
        <w:t>“</w:t>
      </w:r>
      <w:r w:rsidRPr="0017066F">
        <w:rPr>
          <w:rFonts w:ascii="Verdana" w:eastAsia="Calibri" w:hAnsi="Verdana" w:cs="Arial"/>
          <w:bCs/>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00623201">
        <w:rPr>
          <w:rFonts w:ascii="Verdana" w:eastAsia="Calibri" w:hAnsi="Verdana" w:cs="Arial"/>
          <w:bCs/>
        </w:rPr>
        <w:t>”</w:t>
      </w:r>
      <w:r w:rsidRPr="0017066F">
        <w:rPr>
          <w:rFonts w:ascii="Verdana" w:eastAsia="Calibri" w:hAnsi="Verdana" w:cs="Arial"/>
          <w:bCs/>
        </w:rPr>
        <w:t>.</w:t>
      </w:r>
    </w:p>
    <w:p w14:paraId="02F9D1CA" w14:textId="6DEC68A8" w:rsidR="0017066F" w:rsidRPr="0017066F" w:rsidRDefault="0017066F" w:rsidP="0017066F">
      <w:pPr>
        <w:tabs>
          <w:tab w:val="left" w:pos="709"/>
        </w:tabs>
        <w:spacing w:before="120" w:line="276" w:lineRule="auto"/>
        <w:ind w:left="142" w:right="49"/>
        <w:jc w:val="both"/>
        <w:rPr>
          <w:rFonts w:ascii="Verdana" w:eastAsia="Calibri" w:hAnsi="Verdana" w:cs="Arial"/>
          <w:bCs/>
          <w:lang w:val="es-ES_tradnl"/>
        </w:rPr>
      </w:pPr>
      <w:r w:rsidRPr="0017066F">
        <w:rPr>
          <w:rFonts w:ascii="Verdana" w:eastAsia="Calibri" w:hAnsi="Verdana" w:cs="Arial"/>
          <w:bCs/>
          <w:lang w:val="es-ES_tradnl"/>
        </w:rPr>
        <w:t xml:space="preserve">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w:t>
      </w:r>
      <w:r w:rsidRPr="0017066F">
        <w:rPr>
          <w:rFonts w:ascii="Verdana" w:eastAsia="Calibri" w:hAnsi="Verdana" w:cs="Arial"/>
          <w:bCs/>
          <w:lang w:val="es-ES_tradnl"/>
        </w:rPr>
        <w:lastRenderedPageBreak/>
        <w:t>las competencias consultivas no lo permiten. Al respecto, el profesor Enrique José Arboleda Perdomo</w:t>
      </w:r>
      <w:r w:rsidRPr="0017066F">
        <w:rPr>
          <w:rStyle w:val="Refdenotaalpie"/>
          <w:rFonts w:ascii="Verdana" w:eastAsia="Calibri" w:hAnsi="Verdana" w:cs="Arial"/>
          <w:lang w:val="es-ES_tradnl"/>
        </w:rPr>
        <w:footnoteReference w:id="9"/>
      </w:r>
      <w:r w:rsidRPr="0017066F">
        <w:rPr>
          <w:rFonts w:ascii="Verdana" w:eastAsia="Calibri" w:hAnsi="Verdana" w:cs="Arial"/>
          <w:bCs/>
          <w:lang w:val="es-ES_tradnl"/>
        </w:rPr>
        <w:t>, al interpretar el artículo transcrito, expuso lo siguiente:</w:t>
      </w:r>
    </w:p>
    <w:p w14:paraId="0D4E6EA5" w14:textId="77777777" w:rsidR="0017066F" w:rsidRPr="0017066F" w:rsidRDefault="0017066F" w:rsidP="0017066F">
      <w:pPr>
        <w:tabs>
          <w:tab w:val="left" w:pos="709"/>
        </w:tabs>
        <w:spacing w:after="120"/>
        <w:ind w:left="142" w:right="49"/>
        <w:jc w:val="both"/>
        <w:rPr>
          <w:rFonts w:ascii="Verdana" w:eastAsia="Calibri" w:hAnsi="Verdana" w:cs="Arial"/>
          <w:bCs/>
          <w:sz w:val="21"/>
          <w:szCs w:val="21"/>
          <w:lang w:val="es-ES_tradnl"/>
        </w:rPr>
      </w:pPr>
      <w:r w:rsidRPr="0017066F">
        <w:rPr>
          <w:rFonts w:ascii="Verdana" w:eastAsia="Calibri" w:hAnsi="Verdana" w:cs="Arial"/>
          <w:bCs/>
          <w:sz w:val="21"/>
          <w:szCs w:val="21"/>
          <w:lang w:val="es-ES_tradnl"/>
        </w:rPr>
        <w:t xml:space="preserve">El artículo 28 regula los efectos jurídicos de los conceptos que emita la entidad como respuesta a las consultas que le formulen los particulares, ordenando que </w:t>
      </w:r>
      <w:r w:rsidRPr="0017066F">
        <w:rPr>
          <w:rFonts w:ascii="Verdana" w:eastAsia="Calibri" w:hAnsi="Verdana" w:cs="Arial"/>
          <w:bCs/>
          <w:i/>
          <w:iCs/>
          <w:sz w:val="21"/>
          <w:szCs w:val="21"/>
          <w:lang w:val="es-ES_tradnl"/>
        </w:rPr>
        <w:t>no serán de obligatorio cumplimiento o ejecución</w:t>
      </w:r>
      <w:r w:rsidRPr="0017066F">
        <w:rPr>
          <w:rFonts w:ascii="Verdana" w:eastAsia="Calibri" w:hAnsi="Verdana" w:cs="Arial"/>
          <w:bCs/>
          <w:sz w:val="21"/>
          <w:szCs w:val="21"/>
          <w:lang w:val="es-ES_tradnl"/>
        </w:rPr>
        <w:t>. De este mandato surgen las siguientes consideraciones:</w:t>
      </w:r>
    </w:p>
    <w:p w14:paraId="14F76C90" w14:textId="77777777" w:rsidR="0017066F" w:rsidRPr="0017066F" w:rsidRDefault="0017066F" w:rsidP="0017066F">
      <w:pPr>
        <w:tabs>
          <w:tab w:val="left" w:pos="709"/>
        </w:tabs>
        <w:spacing w:after="120"/>
        <w:ind w:left="142" w:right="49"/>
        <w:jc w:val="both"/>
        <w:rPr>
          <w:rFonts w:ascii="Verdana" w:eastAsia="Calibri" w:hAnsi="Verdana" w:cs="Arial"/>
          <w:bCs/>
          <w:sz w:val="21"/>
          <w:szCs w:val="21"/>
        </w:rPr>
      </w:pPr>
      <w:r w:rsidRPr="0017066F">
        <w:rPr>
          <w:rFonts w:ascii="Verdana" w:eastAsia="Calibri" w:hAnsi="Verdana" w:cs="Arial"/>
          <w:bCs/>
          <w:sz w:val="21"/>
          <w:szCs w:val="21"/>
          <w:lang w:val="es-ES_tradnl"/>
        </w:rPr>
        <w:t xml:space="preserve">La primera, </w:t>
      </w:r>
      <w:r w:rsidRPr="0017066F">
        <w:rPr>
          <w:rFonts w:ascii="Verdana" w:eastAsia="Calibri" w:hAnsi="Verdana" w:cs="Arial"/>
          <w:bCs/>
          <w:sz w:val="21"/>
          <w:szCs w:val="21"/>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730C81C3" w14:textId="77777777" w:rsidR="0017066F" w:rsidRPr="0017066F" w:rsidRDefault="0017066F" w:rsidP="0017066F">
      <w:pPr>
        <w:tabs>
          <w:tab w:val="left" w:pos="709"/>
        </w:tabs>
        <w:spacing w:after="120"/>
        <w:ind w:left="142" w:right="49"/>
        <w:jc w:val="both"/>
        <w:rPr>
          <w:rFonts w:ascii="Verdana" w:eastAsia="Calibri" w:hAnsi="Verdana" w:cs="Arial"/>
          <w:bCs/>
          <w:sz w:val="21"/>
          <w:szCs w:val="21"/>
        </w:rPr>
      </w:pPr>
      <w:r w:rsidRPr="0017066F">
        <w:rPr>
          <w:rFonts w:ascii="Verdana" w:eastAsia="Calibri" w:hAnsi="Verdana" w:cs="Arial"/>
          <w:bCs/>
          <w:sz w:val="21"/>
          <w:szCs w:val="21"/>
        </w:rPr>
        <w:t xml:space="preserve">La segunda, que la forma como la administración actúa de manera vinculante para sí misma y para la Generalidad de las personas es el reglamento, no sólo a través de la potestad reglamentaria propia del presidente de la República, sino a través de los demás reglamentos de la administración en el preciso marco de las competencias de cada organismo o entidad, por lo cual los conceptos emitidos no pueden suplir ni menos aún competir con los reglamentos. </w:t>
      </w:r>
    </w:p>
    <w:p w14:paraId="41DB118C" w14:textId="77777777" w:rsidR="0017066F" w:rsidRPr="0017066F" w:rsidRDefault="0017066F" w:rsidP="0017066F">
      <w:pPr>
        <w:tabs>
          <w:tab w:val="left" w:pos="709"/>
        </w:tabs>
        <w:ind w:left="142" w:right="49"/>
        <w:jc w:val="both"/>
        <w:rPr>
          <w:rFonts w:ascii="Verdana" w:eastAsia="Calibri" w:hAnsi="Verdana" w:cs="Arial"/>
          <w:bCs/>
          <w:sz w:val="21"/>
          <w:szCs w:val="21"/>
          <w:lang w:val="es-ES_tradnl"/>
        </w:rPr>
      </w:pPr>
      <w:r w:rsidRPr="0017066F">
        <w:rPr>
          <w:rFonts w:ascii="Verdana" w:eastAsia="Calibri" w:hAnsi="Verdana" w:cs="Arial"/>
          <w:bCs/>
          <w:sz w:val="21"/>
          <w:szCs w:val="21"/>
        </w:rPr>
        <w:t>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w:t>
      </w:r>
    </w:p>
    <w:p w14:paraId="1AD608F2" w14:textId="6C26326D" w:rsidR="0017066F" w:rsidRPr="0017066F" w:rsidRDefault="0017066F" w:rsidP="0017066F">
      <w:pPr>
        <w:tabs>
          <w:tab w:val="left" w:pos="709"/>
        </w:tabs>
        <w:spacing w:line="276" w:lineRule="auto"/>
        <w:ind w:left="142" w:right="49"/>
        <w:jc w:val="both"/>
        <w:rPr>
          <w:rFonts w:ascii="Verdana" w:eastAsia="Calibri" w:hAnsi="Verdana" w:cs="Arial"/>
          <w:bCs/>
          <w:lang w:val="es-ES_tradnl"/>
        </w:rPr>
      </w:pPr>
      <w:r w:rsidRPr="0017066F">
        <w:rPr>
          <w:rFonts w:ascii="Verdana" w:eastAsia="Calibri" w:hAnsi="Verdana" w:cs="Arial"/>
          <w:bCs/>
          <w:lang w:val="es-ES_tradnl"/>
        </w:rPr>
        <w:t xml:space="preserve">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w:t>
      </w:r>
      <w:r w:rsidRPr="0017066F">
        <w:rPr>
          <w:rFonts w:ascii="Verdana" w:eastAsia="Calibri" w:hAnsi="Verdana" w:cs="Arial"/>
          <w:bCs/>
          <w:lang w:val="es-ES_tradnl"/>
        </w:rPr>
        <w:lastRenderedPageBreak/>
        <w:t xml:space="preserve">autoridad el sentido de la disposición normativa, el concepto emitido por la entidad no deja de ser tal y no adquiere efectos vinculantes, por más que coincida con el de la autoridad judicial, pues, en esa hipótesis, lo que vincula es la decisión del juez, no el criterio de la entidad que ejerció la función consultiva, pues, como se viene diciendo, dicha competencia se enmarca en el artículo 28 de la Ley 1437 de 2011, en otras palabras, los conceptos </w:t>
      </w:r>
      <w:r w:rsidR="00623201">
        <w:rPr>
          <w:rFonts w:ascii="Verdana" w:eastAsia="Calibri" w:hAnsi="Verdana" w:cs="Arial"/>
          <w:bCs/>
          <w:lang w:val="es-ES_tradnl"/>
        </w:rPr>
        <w:t>“</w:t>
      </w:r>
      <w:r w:rsidRPr="0017066F">
        <w:rPr>
          <w:rFonts w:ascii="Verdana" w:eastAsia="Calibri" w:hAnsi="Verdana" w:cs="Arial"/>
          <w:bCs/>
          <w:lang w:val="es-ES_tradnl"/>
        </w:rPr>
        <w:t>no serán de obligatorio cumplimiento o ejecución</w:t>
      </w:r>
      <w:r w:rsidR="00623201">
        <w:rPr>
          <w:rFonts w:ascii="Verdana" w:eastAsia="Calibri" w:hAnsi="Verdana" w:cs="Arial"/>
          <w:bCs/>
          <w:lang w:val="es-ES_tradnl"/>
        </w:rPr>
        <w:t>”</w:t>
      </w:r>
      <w:r w:rsidRPr="0017066F">
        <w:rPr>
          <w:rFonts w:ascii="Verdana" w:eastAsia="Calibri" w:hAnsi="Verdana" w:cs="Arial"/>
          <w:bCs/>
          <w:lang w:val="es-ES_tradnl"/>
        </w:rPr>
        <w:t xml:space="preserve">. </w:t>
      </w:r>
    </w:p>
    <w:p w14:paraId="2021DF8B" w14:textId="35DAE0F3" w:rsidR="0017066F" w:rsidRPr="0017066F" w:rsidRDefault="0017066F" w:rsidP="0017066F">
      <w:pPr>
        <w:tabs>
          <w:tab w:val="left" w:pos="709"/>
        </w:tabs>
        <w:spacing w:before="120" w:line="276" w:lineRule="auto"/>
        <w:ind w:left="142" w:right="49"/>
        <w:jc w:val="both"/>
        <w:rPr>
          <w:rFonts w:ascii="Verdana" w:eastAsia="Calibri" w:hAnsi="Verdana" w:cs="Arial"/>
          <w:bCs/>
          <w:lang w:val="es-ES_tradnl"/>
        </w:rPr>
      </w:pPr>
      <w:r w:rsidRPr="0017066F">
        <w:rPr>
          <w:rFonts w:ascii="Verdana" w:eastAsia="Calibri" w:hAnsi="Verdana" w:cs="Arial"/>
          <w:bCs/>
          <w:lang w:val="es-ES_tradnl"/>
        </w:rPr>
        <w:tab/>
        <w:t xml:space="preserve">En similares términos, el artículo 112 de la Ley 1437 de 2011 establece, en relación con la Sala de Consulta y Servicio Civil, que </w:t>
      </w:r>
      <w:r w:rsidR="00623201">
        <w:rPr>
          <w:rFonts w:ascii="Verdana" w:eastAsia="Calibri" w:hAnsi="Verdana" w:cs="Arial"/>
          <w:bCs/>
          <w:lang w:val="es-ES_tradnl"/>
        </w:rPr>
        <w:t>“</w:t>
      </w:r>
      <w:r w:rsidRPr="0017066F">
        <w:rPr>
          <w:rFonts w:ascii="Verdana" w:eastAsia="Calibri" w:hAnsi="Verdana" w:cs="Arial"/>
          <w:bCs/>
          <w:lang w:val="es-ES_tradnl"/>
        </w:rPr>
        <w:t>los conceptos de la Sala no serán vinculantes, salvo que la ley disponga lo contrario</w:t>
      </w:r>
      <w:r w:rsidR="00623201">
        <w:rPr>
          <w:rFonts w:ascii="Verdana" w:eastAsia="Calibri" w:hAnsi="Verdana" w:cs="Arial"/>
          <w:bCs/>
          <w:lang w:val="es-ES_tradnl"/>
        </w:rPr>
        <w:t>”</w:t>
      </w:r>
      <w:r w:rsidRPr="0017066F">
        <w:rPr>
          <w:rStyle w:val="Refdenotaalpie"/>
          <w:rFonts w:ascii="Verdana" w:eastAsia="Calibri" w:hAnsi="Verdana" w:cs="Arial"/>
          <w:lang w:val="es-ES_tradnl"/>
        </w:rPr>
        <w:footnoteReference w:id="10"/>
      </w:r>
      <w:r w:rsidRPr="0017066F">
        <w:rPr>
          <w:rFonts w:ascii="Verdana" w:eastAsia="Calibri" w:hAnsi="Verdana" w:cs="Arial"/>
          <w:bCs/>
          <w:lang w:val="es-ES_tradnl"/>
        </w:rPr>
        <w:t xml:space="preserve">. Se trata, </w:t>
      </w:r>
      <w:r w:rsidRPr="0017066F">
        <w:rPr>
          <w:rFonts w:ascii="Verdana" w:eastAsia="Calibri" w:hAnsi="Verdana" w:cs="Arial"/>
          <w:bCs/>
          <w:i/>
          <w:iCs/>
          <w:lang w:val="es-ES_tradnl"/>
        </w:rPr>
        <w:t>mutatis mutandi</w:t>
      </w:r>
      <w:r w:rsidRPr="0017066F">
        <w:rPr>
          <w:rFonts w:ascii="Verdana" w:eastAsia="Calibri" w:hAnsi="Verdana" w:cs="Arial"/>
          <w:bCs/>
          <w:lang w:val="es-ES_tradnl"/>
        </w:rPr>
        <w:t>,</w:t>
      </w:r>
      <w:r w:rsidRPr="0017066F">
        <w:rPr>
          <w:rFonts w:ascii="Verdana" w:eastAsia="Calibri" w:hAnsi="Verdana" w:cs="Arial"/>
          <w:bCs/>
          <w:i/>
          <w:iCs/>
          <w:lang w:val="es-ES_tradnl"/>
        </w:rPr>
        <w:t xml:space="preserve"> </w:t>
      </w:r>
      <w:r w:rsidRPr="0017066F">
        <w:rPr>
          <w:rFonts w:ascii="Verdana" w:eastAsia="Calibri" w:hAnsi="Verdana" w:cs="Arial"/>
          <w:bCs/>
          <w:lang w:val="es-ES_tradnl"/>
        </w:rPr>
        <w:t>del ejercicio de una función consultiva, cuyos efectos, por ende, serán los mismos: no vinculantes ni de obligatorio cumplimiento. En relación con el tema objeto de controversia, la Sala de Consulta y Servicio Civil del Consejo de Estado</w:t>
      </w:r>
      <w:r w:rsidRPr="0017066F">
        <w:rPr>
          <w:rStyle w:val="Refdenotaalpie"/>
          <w:rFonts w:ascii="Verdana" w:eastAsia="Calibri" w:hAnsi="Verdana" w:cs="Arial"/>
          <w:lang w:val="es-ES_tradnl"/>
        </w:rPr>
        <w:footnoteReference w:id="11"/>
      </w:r>
      <w:r w:rsidRPr="0017066F">
        <w:rPr>
          <w:rFonts w:ascii="Verdana" w:eastAsia="Calibri" w:hAnsi="Verdana" w:cs="Arial"/>
          <w:bCs/>
          <w:lang w:val="es-ES_tradnl"/>
        </w:rPr>
        <w:t>, se pronunció en los siguientes términos:</w:t>
      </w:r>
    </w:p>
    <w:p w14:paraId="0E829A2D" w14:textId="77777777" w:rsidR="0017066F" w:rsidRPr="0017066F" w:rsidRDefault="0017066F" w:rsidP="0017066F">
      <w:pPr>
        <w:tabs>
          <w:tab w:val="left" w:pos="426"/>
        </w:tabs>
        <w:spacing w:after="120"/>
        <w:ind w:left="142" w:right="49"/>
        <w:jc w:val="both"/>
        <w:rPr>
          <w:rFonts w:ascii="Verdana" w:eastAsia="Calibri" w:hAnsi="Verdana" w:cs="Arial"/>
          <w:bCs/>
          <w:sz w:val="21"/>
          <w:szCs w:val="21"/>
        </w:rPr>
      </w:pPr>
      <w:r w:rsidRPr="0017066F">
        <w:rPr>
          <w:rFonts w:ascii="Verdana" w:eastAsia="Calibri" w:hAnsi="Verdana" w:cs="Arial"/>
          <w:bCs/>
          <w:sz w:val="21"/>
          <w:szCs w:val="21"/>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436158F5" w14:textId="341522EE" w:rsidR="0017066F" w:rsidRPr="0017066F" w:rsidRDefault="0017066F" w:rsidP="0017066F">
      <w:pPr>
        <w:tabs>
          <w:tab w:val="left" w:pos="426"/>
        </w:tabs>
        <w:ind w:left="142" w:right="49"/>
        <w:jc w:val="both"/>
        <w:rPr>
          <w:rFonts w:ascii="Verdana" w:eastAsia="Calibri" w:hAnsi="Verdana" w:cs="Arial"/>
          <w:bCs/>
          <w:sz w:val="21"/>
          <w:szCs w:val="21"/>
        </w:rPr>
      </w:pPr>
      <w:r w:rsidRPr="0017066F">
        <w:rPr>
          <w:rFonts w:ascii="Verdana" w:eastAsia="Calibri" w:hAnsi="Verdana" w:cs="Arial"/>
          <w:bCs/>
          <w:sz w:val="21"/>
          <w:szCs w:val="21"/>
        </w:rPr>
        <w:t xml:space="preserve">No se trata entonces de dar la razón a una u otra posición en temas controvertibles, sino de rendir un concepto jurídico que sirva a la Administración en la </w:t>
      </w:r>
      <w:r>
        <w:rPr>
          <w:rFonts w:ascii="Verdana" w:eastAsia="Calibri" w:hAnsi="Verdana" w:cs="Arial"/>
          <w:bCs/>
          <w:sz w:val="21"/>
          <w:szCs w:val="21"/>
        </w:rPr>
        <w:t>b</w:t>
      </w:r>
      <w:r w:rsidRPr="0017066F">
        <w:rPr>
          <w:rFonts w:ascii="Verdana" w:eastAsia="Calibri" w:hAnsi="Verdana" w:cs="Arial"/>
          <w:bCs/>
          <w:sz w:val="21"/>
          <w:szCs w:val="21"/>
        </w:rPr>
        <w:t>úsqueda del cumplimiento de las finalidades esenciales del Estado.</w:t>
      </w:r>
    </w:p>
    <w:p w14:paraId="4789BA65" w14:textId="29E9D4B6" w:rsidR="0017066F" w:rsidRPr="0017066F" w:rsidRDefault="0017066F" w:rsidP="0017066F">
      <w:pPr>
        <w:tabs>
          <w:tab w:val="left" w:pos="709"/>
        </w:tabs>
        <w:spacing w:line="276" w:lineRule="auto"/>
        <w:ind w:left="142" w:right="49"/>
        <w:jc w:val="both"/>
        <w:rPr>
          <w:rFonts w:ascii="Verdana" w:eastAsia="Calibri" w:hAnsi="Verdana" w:cs="Arial"/>
          <w:bCs/>
          <w:lang w:val="es-ES_tradnl"/>
        </w:rPr>
      </w:pPr>
      <w:r w:rsidRPr="0017066F">
        <w:rPr>
          <w:rFonts w:ascii="Verdana" w:eastAsia="Calibri" w:hAnsi="Verdana" w:cs="Arial"/>
          <w:bCs/>
          <w:lang w:val="es-ES_tradnl"/>
        </w:rPr>
        <w:t xml:space="preserve">El ejercicio de la función consultiva del artículo 28 de la Ley 1437 de 2011 descarta la resolución de controversias en curso o de problemas cuyos efectos se concreten. Lo primero, debe manejarlo la propia entidad ante la que se presenta el problema, y lo segundo el juez competente. En últimas, siempre que no exista una decisión judicial vinculante, los destinatarios de la norma </w:t>
      </w:r>
      <w:r w:rsidRPr="0017066F">
        <w:rPr>
          <w:rFonts w:ascii="Verdana" w:eastAsia="Calibri" w:hAnsi="Verdana" w:cs="Arial"/>
          <w:bCs/>
          <w:lang w:val="es-ES_tradnl"/>
        </w:rPr>
        <w:lastRenderedPageBreak/>
        <w:t>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 pero nunca de la autoridad de quien opina.</w:t>
      </w:r>
    </w:p>
    <w:p w14:paraId="09C09953" w14:textId="48C7C016" w:rsidR="0017066F" w:rsidRPr="0017066F" w:rsidRDefault="0017066F" w:rsidP="0017066F">
      <w:pPr>
        <w:tabs>
          <w:tab w:val="left" w:pos="709"/>
        </w:tabs>
        <w:spacing w:before="120" w:after="120" w:line="276" w:lineRule="auto"/>
        <w:ind w:left="142" w:right="49"/>
        <w:jc w:val="both"/>
        <w:rPr>
          <w:rFonts w:ascii="Verdana" w:eastAsia="Calibri" w:hAnsi="Verdana" w:cs="Arial"/>
          <w:bCs/>
          <w:lang w:val="es-ES_tradnl"/>
        </w:rPr>
      </w:pPr>
      <w:r w:rsidRPr="0017066F">
        <w:rPr>
          <w:rFonts w:ascii="Verdana" w:eastAsia="Calibri" w:hAnsi="Verdana" w:cs="Arial"/>
          <w:bCs/>
          <w:lang w:val="es-ES_tradnl"/>
        </w:rPr>
        <w:t>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14:paraId="3CC6B675" w14:textId="2B5D28D5" w:rsidR="0017066F" w:rsidRPr="0017066F" w:rsidRDefault="0017066F" w:rsidP="0017066F">
      <w:pPr>
        <w:tabs>
          <w:tab w:val="left" w:pos="709"/>
        </w:tabs>
        <w:spacing w:before="120" w:line="276" w:lineRule="auto"/>
        <w:ind w:left="142" w:right="49"/>
        <w:jc w:val="both"/>
        <w:rPr>
          <w:rFonts w:ascii="Verdana" w:eastAsia="Calibri" w:hAnsi="Verdana" w:cs="Arial"/>
          <w:bCs/>
          <w:lang w:val="es-ES_tradnl"/>
        </w:rPr>
      </w:pPr>
      <w:bookmarkStart w:id="2" w:name="_Hlk42100007"/>
      <w:r w:rsidRPr="0017066F">
        <w:rPr>
          <w:rFonts w:ascii="Verdana" w:eastAsia="Calibri" w:hAnsi="Verdana" w:cs="Arial"/>
          <w:bCs/>
          <w:lang w:val="es-ES_tradnl"/>
        </w:rPr>
        <w:t xml:space="preserve">Así las cosas, los conceptos de esta Agencia no son actos administrativos, no tienen efectos vinculantes en relación con una situación jurídica particular y concreta, y exponen un criterio que, aunque jurídicamente fundamentado, no representan la única interpretación válida del ordenamiento jurídico. En esta medida, la queja propuesta por el peticionario no da lugar a modificar el criterio jurídico de la entidad sobre el tema consultado. </w:t>
      </w:r>
      <w:bookmarkEnd w:id="2"/>
    </w:p>
    <w:p w14:paraId="2E526DE9" w14:textId="2FF44354" w:rsidR="0017066F" w:rsidRPr="0017066F" w:rsidRDefault="0017066F" w:rsidP="0017066F">
      <w:pPr>
        <w:tabs>
          <w:tab w:val="left" w:pos="709"/>
        </w:tabs>
        <w:spacing w:before="120" w:line="276" w:lineRule="auto"/>
        <w:ind w:left="142" w:right="49"/>
        <w:jc w:val="both"/>
        <w:rPr>
          <w:rFonts w:ascii="Verdana" w:eastAsia="Calibri" w:hAnsi="Verdana" w:cs="Arial"/>
          <w:bCs/>
          <w:lang w:val="es-ES_tradnl"/>
        </w:rPr>
      </w:pPr>
      <w:r w:rsidRPr="0017066F">
        <w:rPr>
          <w:rFonts w:ascii="Verdana" w:eastAsia="Calibri" w:hAnsi="Verdana" w:cs="Arial"/>
          <w:bCs/>
          <w:lang w:val="es-ES_tradnl"/>
        </w:rPr>
        <w:t>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De esta manera se reiteran las razones por las cuales esta Agencia mantiene su postura emitida en conceptos anteriormente citados.</w:t>
      </w:r>
    </w:p>
    <w:p w14:paraId="4AE7D41C" w14:textId="77777777" w:rsidR="0017066F" w:rsidRPr="0017066F" w:rsidRDefault="0017066F" w:rsidP="0017066F">
      <w:pPr>
        <w:spacing w:after="0" w:line="276" w:lineRule="auto"/>
        <w:ind w:right="49" w:firstLine="708"/>
        <w:jc w:val="both"/>
        <w:rPr>
          <w:rFonts w:ascii="Verdana" w:hAnsi="Verdana" w:cs="Arial"/>
          <w:color w:val="000000" w:themeColor="text1"/>
          <w:lang w:val="es-ES_tradnl"/>
        </w:rPr>
      </w:pPr>
    </w:p>
    <w:p w14:paraId="509E58E7" w14:textId="77777777" w:rsidR="00A1428F" w:rsidRPr="0017066F" w:rsidRDefault="00A1428F" w:rsidP="00A1428F">
      <w:pPr>
        <w:widowControl w:val="0"/>
        <w:autoSpaceDE w:val="0"/>
        <w:autoSpaceDN w:val="0"/>
        <w:spacing w:after="0" w:line="276" w:lineRule="auto"/>
        <w:jc w:val="both"/>
        <w:rPr>
          <w:rFonts w:ascii="Verdana" w:hAnsi="Verdana" w:cs="Arial"/>
        </w:rPr>
      </w:pPr>
    </w:p>
    <w:p w14:paraId="65C570CE" w14:textId="77777777" w:rsidR="00A1428F" w:rsidRPr="0017066F" w:rsidRDefault="00A1428F" w:rsidP="00A142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7066F">
        <w:rPr>
          <w:rFonts w:ascii="Verdana" w:eastAsia="Century Gothic" w:hAnsi="Verdana" w:cs="Century Gothic"/>
          <w:b/>
          <w:bCs/>
        </w:rPr>
        <w:t>Referencias normativas, jurisprudenciales y otras fuentes:</w:t>
      </w:r>
    </w:p>
    <w:p w14:paraId="62857556" w14:textId="77777777" w:rsidR="00A1428F" w:rsidRPr="0017066F" w:rsidRDefault="00A1428F" w:rsidP="00A1428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1428F" w:rsidRPr="0017066F" w14:paraId="1569F2FD" w14:textId="77777777" w:rsidTr="00DE1FB9">
        <w:trPr>
          <w:trHeight w:val="870"/>
        </w:trPr>
        <w:tc>
          <w:tcPr>
            <w:tcW w:w="8647" w:type="dxa"/>
          </w:tcPr>
          <w:p w14:paraId="34F350AA" w14:textId="77777777" w:rsidR="00A1428F" w:rsidRPr="0017066F" w:rsidRDefault="00A1428F" w:rsidP="00A1428F">
            <w:pPr>
              <w:widowControl w:val="0"/>
              <w:numPr>
                <w:ilvl w:val="0"/>
                <w:numId w:val="17"/>
              </w:numPr>
              <w:autoSpaceDE w:val="0"/>
              <w:autoSpaceDN w:val="0"/>
              <w:spacing w:line="276" w:lineRule="auto"/>
              <w:jc w:val="both"/>
              <w:rPr>
                <w:rFonts w:ascii="Verdana" w:hAnsi="Verdana" w:cs="Arial"/>
              </w:rPr>
            </w:pPr>
            <w:r w:rsidRPr="0017066F">
              <w:rPr>
                <w:rFonts w:ascii="Verdana" w:hAnsi="Verdana" w:cs="Arial"/>
              </w:rPr>
              <w:lastRenderedPageBreak/>
              <w:t>Ley 454 de 1998, artículos 2 y 6.</w:t>
            </w:r>
          </w:p>
          <w:p w14:paraId="756A5D3A" w14:textId="77777777" w:rsidR="00A1428F" w:rsidRPr="0017066F" w:rsidRDefault="00A1428F" w:rsidP="00A1428F">
            <w:pPr>
              <w:widowControl w:val="0"/>
              <w:numPr>
                <w:ilvl w:val="0"/>
                <w:numId w:val="17"/>
              </w:numPr>
              <w:autoSpaceDE w:val="0"/>
              <w:autoSpaceDN w:val="0"/>
              <w:spacing w:line="276" w:lineRule="auto"/>
              <w:jc w:val="both"/>
              <w:rPr>
                <w:rFonts w:ascii="Verdana" w:hAnsi="Verdana" w:cs="Arial"/>
              </w:rPr>
            </w:pPr>
            <w:r w:rsidRPr="0017066F">
              <w:rPr>
                <w:rFonts w:ascii="Verdana" w:hAnsi="Verdana" w:cs="Arial"/>
              </w:rPr>
              <w:t>Decreto 1074 de 2015, artículo 2.2.1.13.2.2.</w:t>
            </w:r>
          </w:p>
          <w:p w14:paraId="0C876140" w14:textId="77777777" w:rsidR="00A1428F" w:rsidRPr="0017066F" w:rsidRDefault="00A1428F" w:rsidP="00A1428F">
            <w:pPr>
              <w:widowControl w:val="0"/>
              <w:numPr>
                <w:ilvl w:val="0"/>
                <w:numId w:val="17"/>
              </w:numPr>
              <w:autoSpaceDE w:val="0"/>
              <w:autoSpaceDN w:val="0"/>
              <w:spacing w:line="276" w:lineRule="auto"/>
              <w:jc w:val="both"/>
              <w:rPr>
                <w:rFonts w:ascii="Verdana" w:hAnsi="Verdana" w:cs="Arial"/>
              </w:rPr>
            </w:pPr>
            <w:r w:rsidRPr="0017066F">
              <w:rPr>
                <w:rFonts w:ascii="Verdana" w:hAnsi="Verdana" w:cs="Arial"/>
              </w:rPr>
              <w:t>Ley 590 de 2000, artículo 2.</w:t>
            </w:r>
          </w:p>
          <w:p w14:paraId="40AA8C5F" w14:textId="77777777" w:rsidR="00A1428F" w:rsidRPr="0017066F" w:rsidRDefault="00A1428F" w:rsidP="00A1428F">
            <w:pPr>
              <w:widowControl w:val="0"/>
              <w:numPr>
                <w:ilvl w:val="0"/>
                <w:numId w:val="17"/>
              </w:numPr>
              <w:autoSpaceDE w:val="0"/>
              <w:autoSpaceDN w:val="0"/>
              <w:spacing w:line="276" w:lineRule="auto"/>
              <w:jc w:val="both"/>
              <w:rPr>
                <w:rFonts w:ascii="Verdana" w:hAnsi="Verdana" w:cs="Arial"/>
              </w:rPr>
            </w:pPr>
            <w:r w:rsidRPr="0017066F">
              <w:rPr>
                <w:rFonts w:ascii="Verdana" w:hAnsi="Verdana" w:cs="Arial"/>
              </w:rPr>
              <w:t>Ley 1450 de 2011, artículo 43.</w:t>
            </w:r>
          </w:p>
          <w:p w14:paraId="69D7F439" w14:textId="77777777" w:rsidR="00A1428F" w:rsidRPr="0017066F" w:rsidRDefault="00A1428F" w:rsidP="00A1428F">
            <w:pPr>
              <w:widowControl w:val="0"/>
              <w:numPr>
                <w:ilvl w:val="0"/>
                <w:numId w:val="17"/>
              </w:numPr>
              <w:autoSpaceDE w:val="0"/>
              <w:autoSpaceDN w:val="0"/>
              <w:spacing w:line="276" w:lineRule="auto"/>
              <w:jc w:val="both"/>
              <w:rPr>
                <w:rFonts w:ascii="Verdana" w:hAnsi="Verdana" w:cs="Arial"/>
              </w:rPr>
            </w:pPr>
            <w:r w:rsidRPr="0017066F">
              <w:rPr>
                <w:rFonts w:ascii="Verdana" w:hAnsi="Verdana" w:cs="Arial"/>
              </w:rPr>
              <w:t>Decreto 1082 de 2015, artículos 2.2.1.2.4.2.2 y 2.2.1.2.4.2.3.</w:t>
            </w:r>
          </w:p>
          <w:p w14:paraId="1CC11523" w14:textId="77777777" w:rsidR="00A1428F" w:rsidRPr="0017066F" w:rsidRDefault="00A1428F" w:rsidP="00A1428F">
            <w:pPr>
              <w:widowControl w:val="0"/>
              <w:numPr>
                <w:ilvl w:val="0"/>
                <w:numId w:val="17"/>
              </w:numPr>
              <w:autoSpaceDE w:val="0"/>
              <w:autoSpaceDN w:val="0"/>
              <w:spacing w:line="276" w:lineRule="auto"/>
              <w:jc w:val="both"/>
              <w:rPr>
                <w:rFonts w:ascii="Verdana" w:hAnsi="Verdana" w:cs="Arial"/>
              </w:rPr>
            </w:pPr>
            <w:r w:rsidRPr="0017066F">
              <w:rPr>
                <w:rFonts w:ascii="Verdana" w:hAnsi="Verdana" w:cs="Arial"/>
              </w:rPr>
              <w:t>Decreto 957 de 2019.</w:t>
            </w:r>
          </w:p>
          <w:p w14:paraId="36549ECE" w14:textId="77777777" w:rsidR="00A1428F" w:rsidRPr="0017066F" w:rsidRDefault="00A1428F" w:rsidP="00A1428F">
            <w:pPr>
              <w:widowControl w:val="0"/>
              <w:numPr>
                <w:ilvl w:val="0"/>
                <w:numId w:val="17"/>
              </w:numPr>
              <w:autoSpaceDE w:val="0"/>
              <w:autoSpaceDN w:val="0"/>
              <w:spacing w:line="276" w:lineRule="auto"/>
              <w:jc w:val="both"/>
              <w:rPr>
                <w:rFonts w:ascii="Verdana" w:hAnsi="Verdana" w:cs="Arial"/>
              </w:rPr>
            </w:pPr>
            <w:r w:rsidRPr="0017066F">
              <w:rPr>
                <w:rFonts w:ascii="Verdana" w:hAnsi="Verdana" w:cs="Arial"/>
              </w:rPr>
              <w:t>Ley 2069 de 2020, artículo 23, 31 y 32.</w:t>
            </w:r>
          </w:p>
          <w:p w14:paraId="675D1C6D" w14:textId="77777777" w:rsidR="00A1428F" w:rsidRPr="0017066F" w:rsidRDefault="00A1428F" w:rsidP="00ED487E">
            <w:pPr>
              <w:pStyle w:val="Prrafodelista"/>
              <w:widowControl w:val="0"/>
              <w:numPr>
                <w:ilvl w:val="0"/>
                <w:numId w:val="17"/>
              </w:numPr>
              <w:autoSpaceDE w:val="0"/>
              <w:autoSpaceDN w:val="0"/>
              <w:spacing w:line="276" w:lineRule="auto"/>
              <w:jc w:val="both"/>
              <w:rPr>
                <w:rFonts w:ascii="Verdana" w:hAnsi="Verdana" w:cs="Arial"/>
                <w:color w:val="7030A0"/>
              </w:rPr>
            </w:pPr>
            <w:r w:rsidRPr="0017066F">
              <w:rPr>
                <w:rFonts w:ascii="Verdana" w:eastAsia="Calibri" w:hAnsi="Verdana" w:cs="Arial"/>
                <w:lang w:val="es-ES_tradnl" w:eastAsia="es-ES_tradnl"/>
              </w:rPr>
              <w:t>Código de Comercio: Artículo 98 y 100.</w:t>
            </w:r>
          </w:p>
          <w:p w14:paraId="7A186865" w14:textId="77777777" w:rsidR="00A1428F" w:rsidRPr="0017066F" w:rsidRDefault="00A1428F" w:rsidP="00ED487E">
            <w:pPr>
              <w:pStyle w:val="Prrafodelista"/>
              <w:widowControl w:val="0"/>
              <w:numPr>
                <w:ilvl w:val="0"/>
                <w:numId w:val="17"/>
              </w:numPr>
              <w:autoSpaceDE w:val="0"/>
              <w:autoSpaceDN w:val="0"/>
              <w:spacing w:line="276" w:lineRule="auto"/>
              <w:jc w:val="both"/>
              <w:rPr>
                <w:rFonts w:ascii="Verdana" w:hAnsi="Verdana" w:cs="Arial"/>
                <w:color w:val="7030A0"/>
              </w:rPr>
            </w:pPr>
            <w:r w:rsidRPr="0017066F">
              <w:rPr>
                <w:rFonts w:ascii="Verdana" w:hAnsi="Verdana" w:cs="Arial"/>
              </w:rPr>
              <w:t xml:space="preserve">GUÍA PARA PROMOVER LA PARTICIPACIÓN DE LAS MIPYMES EN LOS PROCESOS DE COMPRA Y CONTRATACIÓN PÚBLICA </w:t>
            </w:r>
            <w:hyperlink r:id="rId14" w:history="1">
              <w:r w:rsidRPr="0017066F">
                <w:rPr>
                  <w:rStyle w:val="Hipervnculo"/>
                  <w:rFonts w:ascii="Verdana" w:hAnsi="Verdana" w:cs="Arial"/>
                </w:rPr>
                <w:t>https://www.colombiacompra.gov.co/sites/cce_public/files/cce_documents/guia_para_promover_la_participacion_de_las_mipymes_en_los_procesos_de_compra_publica_cce-gad-gi-26_1.pdf</w:t>
              </w:r>
            </w:hyperlink>
            <w:r w:rsidRPr="0017066F">
              <w:rPr>
                <w:rFonts w:ascii="Verdana" w:hAnsi="Verdana" w:cs="Arial"/>
                <w:color w:val="7030A0"/>
              </w:rPr>
              <w:t xml:space="preserve">  </w:t>
            </w:r>
          </w:p>
        </w:tc>
      </w:tr>
    </w:tbl>
    <w:p w14:paraId="1C9B96F9" w14:textId="77777777" w:rsidR="00A1428F" w:rsidRPr="0017066F" w:rsidRDefault="00A1428F" w:rsidP="00A1428F">
      <w:pPr>
        <w:widowControl w:val="0"/>
        <w:autoSpaceDE w:val="0"/>
        <w:autoSpaceDN w:val="0"/>
        <w:spacing w:after="0" w:line="276" w:lineRule="auto"/>
        <w:jc w:val="both"/>
        <w:rPr>
          <w:rFonts w:ascii="Verdana" w:hAnsi="Verdana" w:cs="Arial"/>
        </w:rPr>
      </w:pPr>
    </w:p>
    <w:p w14:paraId="17FB97BD" w14:textId="77777777" w:rsidR="00A1428F" w:rsidRPr="0017066F" w:rsidRDefault="00A1428F" w:rsidP="00A142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7066F">
        <w:rPr>
          <w:rFonts w:ascii="Verdana" w:eastAsia="Century Gothic" w:hAnsi="Verdana" w:cs="Century Gothic"/>
          <w:b/>
          <w:bCs/>
        </w:rPr>
        <w:t>Doctrina de la Agencia Nacional de Contratación Pública:</w:t>
      </w:r>
    </w:p>
    <w:p w14:paraId="29F8F9DD" w14:textId="77777777" w:rsidR="00A1428F" w:rsidRPr="0017066F" w:rsidRDefault="00A1428F" w:rsidP="00A1428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F9662B5" w14:textId="6FCB05BD" w:rsidR="00A1428F" w:rsidRPr="0017066F" w:rsidRDefault="00A1428F" w:rsidP="00A1428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17066F">
        <w:rPr>
          <w:rStyle w:val="normaltextrun"/>
          <w:rFonts w:ascii="Verdana" w:hAnsi="Verdana" w:cs="Arial"/>
          <w:shd w:val="clear" w:color="auto" w:fill="FFFFFF"/>
          <w:lang w:val="es-ES"/>
        </w:rPr>
        <w:t xml:space="preserve">Sobre 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 C-235 del 12 de agosto de 2024 C-253 del 15 de agosto del 2024, C-684 del 18 de noviembre de 2024, C-100 del 25 de febrero de 2025 y C-191 del 21 de marzo de 2025, entre otros. Sobre la participación de las ESAL en procesos contractuales limitados a MiPymes se pronunció en los </w:t>
      </w:r>
      <w:r w:rsidRPr="00FD0328">
        <w:rPr>
          <w:rStyle w:val="normaltextrun"/>
          <w:rFonts w:ascii="Verdana" w:hAnsi="Verdana" w:cs="Arial"/>
          <w:shd w:val="clear" w:color="auto" w:fill="FFFFFF"/>
          <w:lang w:val="es-ES"/>
        </w:rPr>
        <w:t xml:space="preserve">conceptos </w:t>
      </w:r>
      <w:r w:rsidRPr="00FD0328">
        <w:rPr>
          <w:rStyle w:val="normaltextrun"/>
          <w:rFonts w:ascii="Verdana" w:hAnsi="Verdana"/>
          <w:lang w:val="es-ES"/>
        </w:rPr>
        <w:t>C-705 del 7 de diciembre de 2020, C-728 del 14 de diciembre de 2020, C-160 del 20 de abril de 2021, C-474 del 26 de julio de 2022, C-020 del 14 de febrero de 2023, C-587 del 21 de septiembre de 2022, C-094 del 16 de junio de 2024, C-997 del 30 de diciembre de 2024, C-1017 del 30 de diciembre de 2024</w:t>
      </w:r>
      <w:r w:rsidRPr="00FD0328">
        <w:rPr>
          <w:rStyle w:val="normaltextrun"/>
          <w:rFonts w:ascii="Verdana" w:hAnsi="Verdana"/>
        </w:rPr>
        <w:t>, C-1034 del 3 de febrero de 2025 y C-236 del 2 de abril de 2025, entre otros</w:t>
      </w:r>
      <w:r w:rsidR="00FD0328">
        <w:rPr>
          <w:rStyle w:val="normaltextrun"/>
          <w:rFonts w:ascii="Verdana" w:hAnsi="Verdana"/>
        </w:rPr>
        <w:t>, y</w:t>
      </w:r>
      <w:r w:rsidR="00F13EAD" w:rsidRPr="00FD0328">
        <w:rPr>
          <w:rStyle w:val="normaltextrun"/>
          <w:rFonts w:ascii="Verdana" w:hAnsi="Verdana"/>
        </w:rPr>
        <w:t xml:space="preserve"> </w:t>
      </w:r>
      <w:r w:rsidR="00F13EAD" w:rsidRPr="00FD0328">
        <w:rPr>
          <w:rStyle w:val="normaltextrun"/>
          <w:rFonts w:ascii="Verdana" w:hAnsi="Verdana"/>
          <w:shd w:val="clear" w:color="auto" w:fill="FFFFFF"/>
        </w:rPr>
        <w:t xml:space="preserve">en los Conceptos </w:t>
      </w:r>
      <w:hyperlink r:id="rId15" w:tgtFrame="_blank" w:history="1">
        <w:r w:rsidR="00F13EAD" w:rsidRPr="00FD0328">
          <w:rPr>
            <w:rStyle w:val="normaltextrun"/>
            <w:rFonts w:ascii="Verdana" w:hAnsi="Verdana"/>
            <w:shd w:val="clear" w:color="auto" w:fill="FFFFFF"/>
            <w:lang w:val="es-ES"/>
          </w:rPr>
          <w:t>2201913000008566</w:t>
        </w:r>
      </w:hyperlink>
      <w:r w:rsidR="00F13EAD" w:rsidRPr="00FD0328">
        <w:rPr>
          <w:rStyle w:val="normaltextrun"/>
          <w:rFonts w:ascii="Verdana" w:hAnsi="Verdana"/>
          <w:shd w:val="clear" w:color="auto" w:fill="FFFFFF"/>
          <w:lang w:val="es-ES"/>
        </w:rPr>
        <w:t xml:space="preserve"> del 18 de noviembre de 2019 y</w:t>
      </w:r>
      <w:r w:rsidR="00F13EAD" w:rsidRPr="00FD0328">
        <w:rPr>
          <w:rStyle w:val="normaltextrun"/>
          <w:rFonts w:ascii="Verdana" w:hAnsi="Verdana"/>
          <w:shd w:val="clear" w:color="auto" w:fill="FFFFFF"/>
        </w:rPr>
        <w:t xml:space="preserve"> CU-182 del 31 de marzo de 2020</w:t>
      </w:r>
      <w:r w:rsidR="00F13EAD" w:rsidRPr="00F13EAD">
        <w:rPr>
          <w:rStyle w:val="normaltextrun"/>
          <w:rFonts w:ascii="Verdana" w:hAnsi="Verdana"/>
          <w:shd w:val="clear" w:color="auto" w:fill="FFFFFF"/>
        </w:rPr>
        <w:t xml:space="preserve">, estudió el tema objeto de la consulta. En Concepto C-337 del 26 de junio de 2020 y C-439 de 2020 se </w:t>
      </w:r>
      <w:r w:rsidR="00F13EAD" w:rsidRPr="00F13EAD">
        <w:rPr>
          <w:rStyle w:val="normaltextrun"/>
          <w:rFonts w:ascii="Verdana" w:hAnsi="Verdana"/>
          <w:shd w:val="clear" w:color="auto" w:fill="FFFFFF"/>
        </w:rPr>
        <w:lastRenderedPageBreak/>
        <w:t xml:space="preserve">estudió la naturaleza jurídica de los conceptos emitidos por la Agencia Nacional de Contratación Pública. </w:t>
      </w:r>
      <w:r w:rsidRPr="00FD0328">
        <w:rPr>
          <w:rStyle w:val="normaltextrun"/>
          <w:rFonts w:ascii="Verdana" w:hAnsi="Verdana" w:cs="Arial"/>
          <w:shd w:val="clear" w:color="auto" w:fill="FFFFFF"/>
          <w:lang w:val="es-ES"/>
        </w:rPr>
        <w:t>Estos y otros conceptos se encuentran disponibles para consulta en el Sistema</w:t>
      </w:r>
      <w:r w:rsidRPr="00FD0328">
        <w:rPr>
          <w:rFonts w:ascii="Verdana" w:hAnsi="Verdana"/>
        </w:rPr>
        <w:t xml:space="preserve"> de relatoría de la</w:t>
      </w:r>
      <w:r w:rsidRPr="0017066F">
        <w:rPr>
          <w:rFonts w:ascii="Verdana" w:hAnsi="Verdana"/>
        </w:rPr>
        <w:t xml:space="preserve"> Agencia, al cual se puede acceder a través del siguiente enlace:</w:t>
      </w:r>
      <w:r w:rsidRPr="0017066F">
        <w:rPr>
          <w:rStyle w:val="normaltextrun"/>
          <w:rFonts w:ascii="Verdana" w:hAnsi="Verdana" w:cs="Arial"/>
          <w:shd w:val="clear" w:color="auto" w:fill="FFFFFF"/>
          <w:lang w:val="es-ES"/>
        </w:rPr>
        <w:t xml:space="preserve"> </w:t>
      </w:r>
      <w:hyperlink r:id="rId16" w:history="1">
        <w:r w:rsidRPr="0017066F">
          <w:rPr>
            <w:rStyle w:val="Hipervnculo"/>
            <w:rFonts w:ascii="Verdana" w:hAnsi="Verdana" w:cs="Arial"/>
            <w:shd w:val="clear" w:color="auto" w:fill="FFFFFF"/>
            <w:lang w:val="es-ES"/>
          </w:rPr>
          <w:t>https://relatoria.colombiacompra.gov.co/busqueda/conceptos</w:t>
        </w:r>
      </w:hyperlink>
      <w:r w:rsidRPr="0017066F">
        <w:rPr>
          <w:rStyle w:val="normaltextrun"/>
          <w:rFonts w:ascii="Verdana" w:hAnsi="Verdana" w:cs="Arial"/>
          <w:color w:val="FF0000"/>
          <w:shd w:val="clear" w:color="auto" w:fill="FFFFFF"/>
          <w:lang w:val="es-ES"/>
        </w:rPr>
        <w:t xml:space="preserve">. </w:t>
      </w:r>
    </w:p>
    <w:p w14:paraId="5755A846" w14:textId="77777777" w:rsidR="00A1428F" w:rsidRPr="0017066F" w:rsidRDefault="00A1428F" w:rsidP="00A1428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292DB8B" w14:textId="6C76E6C4" w:rsidR="00F13EAD" w:rsidRPr="00F13EAD" w:rsidRDefault="00F13EAD" w:rsidP="00F13EAD">
      <w:pPr>
        <w:spacing w:after="0" w:line="276" w:lineRule="auto"/>
        <w:jc w:val="both"/>
        <w:rPr>
          <w:rFonts w:ascii="Verdana" w:hAnsi="Verdana"/>
        </w:rPr>
      </w:pPr>
      <w:r>
        <w:rPr>
          <w:rFonts w:ascii="Verdana" w:hAnsi="Verdana"/>
        </w:rPr>
        <w:t>T</w:t>
      </w:r>
      <w:r w:rsidRPr="00F13EAD">
        <w:rPr>
          <w:rFonts w:ascii="Verdana" w:hAnsi="Verdana"/>
        </w:rPr>
        <w: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7" w:tgtFrame="_blank" w:tooltip="Dirección URL original: https://www.colombiacompra.gov.co/normativa-y-relatoria/documentos-tipo. Haga clic o pulse si confía en este vínculo." w:history="1">
        <w:r w:rsidRPr="00F13EAD">
          <w:rPr>
            <w:rStyle w:val="Hipervnculo"/>
            <w:rFonts w:ascii="Verdana" w:hAnsi="Verdana"/>
          </w:rPr>
          <w:t>Documentos Tipo – ANCP Colombia Compra Eficiente</w:t>
        </w:r>
      </w:hyperlink>
      <w:r w:rsidRPr="00F13EAD">
        <w:rPr>
          <w:rFonts w:ascii="Verdana" w:hAnsi="Verdana"/>
          <w:u w:val="single"/>
        </w:rPr>
        <w:t> </w:t>
      </w:r>
    </w:p>
    <w:p w14:paraId="67F16AFF" w14:textId="77777777" w:rsidR="00A1428F" w:rsidRPr="0017066F" w:rsidRDefault="00A1428F" w:rsidP="00ED487E">
      <w:pPr>
        <w:spacing w:after="0" w:line="276" w:lineRule="auto"/>
        <w:jc w:val="both"/>
        <w:rPr>
          <w:rFonts w:ascii="Verdana" w:hAnsi="Verdana"/>
        </w:rPr>
      </w:pPr>
    </w:p>
    <w:p w14:paraId="33A2B997" w14:textId="77777777" w:rsidR="00A1428F" w:rsidRPr="0017066F" w:rsidRDefault="00A1428F" w:rsidP="00ED487E">
      <w:pPr>
        <w:spacing w:after="0" w:line="276" w:lineRule="auto"/>
        <w:jc w:val="both"/>
        <w:rPr>
          <w:rFonts w:ascii="Verdana" w:hAnsi="Verdana"/>
        </w:rPr>
      </w:pPr>
      <w:r w:rsidRPr="0017066F">
        <w:rPr>
          <w:rFonts w:ascii="Verdana" w:hAnsi="Verdana"/>
        </w:rPr>
        <w:t xml:space="preserve">Por último, lo invitamos a seguirnos en las redes sociales en las cuales se difunde información institucional: </w:t>
      </w:r>
    </w:p>
    <w:p w14:paraId="04B6A07D" w14:textId="77777777" w:rsidR="00A1428F" w:rsidRPr="0017066F" w:rsidRDefault="00A1428F" w:rsidP="00ED487E">
      <w:pPr>
        <w:spacing w:after="0" w:line="276" w:lineRule="auto"/>
        <w:jc w:val="both"/>
        <w:rPr>
          <w:rFonts w:ascii="Verdana" w:hAnsi="Verdana"/>
        </w:rPr>
      </w:pPr>
    </w:p>
    <w:p w14:paraId="6D378B96" w14:textId="77777777" w:rsidR="00A1428F" w:rsidRPr="0017066F" w:rsidRDefault="00A1428F" w:rsidP="00ED487E">
      <w:pPr>
        <w:spacing w:after="0" w:line="276" w:lineRule="auto"/>
        <w:jc w:val="both"/>
        <w:rPr>
          <w:rFonts w:ascii="Verdana" w:hAnsi="Verdana"/>
        </w:rPr>
      </w:pPr>
      <w:r w:rsidRPr="0017066F">
        <w:rPr>
          <w:rFonts w:ascii="Verdana" w:hAnsi="Verdana"/>
        </w:rPr>
        <w:t xml:space="preserve">Twitter: </w:t>
      </w:r>
      <w:r w:rsidRPr="0017066F">
        <w:rPr>
          <w:rStyle w:val="Hipervnculo"/>
          <w:rFonts w:ascii="Verdana" w:hAnsi="Verdana"/>
          <w:color w:val="4472C4" w:themeColor="accent1"/>
        </w:rPr>
        <w:t>@colombiacompra</w:t>
      </w:r>
      <w:r w:rsidRPr="0017066F">
        <w:rPr>
          <w:rFonts w:ascii="Verdana" w:hAnsi="Verdana"/>
          <w:color w:val="4472C4" w:themeColor="accent1"/>
        </w:rPr>
        <w:t xml:space="preserve"> </w:t>
      </w:r>
    </w:p>
    <w:p w14:paraId="06F2F1D5" w14:textId="77777777" w:rsidR="00A1428F" w:rsidRPr="0017066F" w:rsidRDefault="00A1428F" w:rsidP="00ED487E">
      <w:pPr>
        <w:spacing w:after="0" w:line="276" w:lineRule="auto"/>
        <w:jc w:val="both"/>
        <w:rPr>
          <w:rFonts w:ascii="Verdana" w:hAnsi="Verdana"/>
        </w:rPr>
      </w:pPr>
      <w:r w:rsidRPr="0017066F">
        <w:rPr>
          <w:rFonts w:ascii="Verdana" w:hAnsi="Verdana"/>
        </w:rPr>
        <w:t xml:space="preserve">Facebook: </w:t>
      </w:r>
      <w:r w:rsidRPr="0017066F">
        <w:rPr>
          <w:rStyle w:val="Hipervnculo"/>
          <w:rFonts w:ascii="Verdana" w:hAnsi="Verdana"/>
          <w:color w:val="4472C4" w:themeColor="accent1"/>
        </w:rPr>
        <w:t>ColombiaCompraEficiente</w:t>
      </w:r>
    </w:p>
    <w:p w14:paraId="31342111" w14:textId="77777777" w:rsidR="00A1428F" w:rsidRPr="0017066F" w:rsidRDefault="00A1428F" w:rsidP="00ED487E">
      <w:pPr>
        <w:spacing w:after="0" w:line="276" w:lineRule="auto"/>
        <w:jc w:val="both"/>
        <w:rPr>
          <w:rFonts w:ascii="Verdana" w:hAnsi="Verdana"/>
        </w:rPr>
      </w:pPr>
      <w:r w:rsidRPr="0017066F">
        <w:rPr>
          <w:rFonts w:ascii="Verdana" w:hAnsi="Verdana"/>
        </w:rPr>
        <w:t xml:space="preserve">LinkedIn: </w:t>
      </w:r>
      <w:r w:rsidRPr="0017066F">
        <w:rPr>
          <w:rStyle w:val="Hipervnculo"/>
          <w:rFonts w:ascii="Verdana" w:hAnsi="Verdana"/>
          <w:color w:val="4472C4" w:themeColor="accent1"/>
        </w:rPr>
        <w:t>Agencia Nacional de Contratación Pública - Colombia Compra Eficiente</w:t>
      </w:r>
      <w:r w:rsidRPr="0017066F">
        <w:rPr>
          <w:rFonts w:ascii="Verdana" w:hAnsi="Verdana"/>
          <w:color w:val="4472C4" w:themeColor="accent1"/>
        </w:rPr>
        <w:t xml:space="preserve"> </w:t>
      </w:r>
      <w:r w:rsidRPr="0017066F">
        <w:rPr>
          <w:rFonts w:ascii="Verdana" w:hAnsi="Verdana"/>
        </w:rPr>
        <w:t xml:space="preserve">Instagram: </w:t>
      </w:r>
      <w:r w:rsidRPr="0017066F">
        <w:rPr>
          <w:rStyle w:val="Hipervnculo"/>
          <w:rFonts w:ascii="Verdana" w:hAnsi="Verdana"/>
          <w:color w:val="4472C4" w:themeColor="accent1"/>
        </w:rPr>
        <w:t>@colombiacompraeficiente_cce</w:t>
      </w:r>
    </w:p>
    <w:p w14:paraId="37E554DB" w14:textId="77777777" w:rsidR="00A1428F" w:rsidRPr="0017066F" w:rsidRDefault="00A1428F" w:rsidP="00A1428F">
      <w:pPr>
        <w:widowControl w:val="0"/>
        <w:autoSpaceDE w:val="0"/>
        <w:autoSpaceDN w:val="0"/>
        <w:spacing w:after="0" w:line="276" w:lineRule="auto"/>
        <w:jc w:val="both"/>
        <w:rPr>
          <w:rFonts w:ascii="Verdana" w:hAnsi="Verdana" w:cs="Arial"/>
        </w:rPr>
      </w:pPr>
    </w:p>
    <w:p w14:paraId="73F51A91" w14:textId="77777777" w:rsidR="00A1428F" w:rsidRPr="0017066F" w:rsidRDefault="00A1428F" w:rsidP="00A1428F">
      <w:pPr>
        <w:widowControl w:val="0"/>
        <w:autoSpaceDE w:val="0"/>
        <w:autoSpaceDN w:val="0"/>
        <w:spacing w:after="0" w:line="276" w:lineRule="auto"/>
        <w:jc w:val="both"/>
        <w:rPr>
          <w:rFonts w:ascii="Verdana" w:hAnsi="Verdana" w:cs="Arial"/>
          <w:lang w:val="es-ES_tradnl"/>
        </w:rPr>
      </w:pPr>
      <w:r w:rsidRPr="0017066F">
        <w:rPr>
          <w:rFonts w:ascii="Verdana" w:hAnsi="Verdana" w:cs="Arial"/>
        </w:rPr>
        <w:t xml:space="preserve">Este concepto tiene el alcance previsto en el artículo 28 del Código de Procedimiento Administrativo y de lo Contencioso Administrativo </w:t>
      </w:r>
      <w:r w:rsidRPr="0017066F">
        <w:rPr>
          <w:rFonts w:ascii="Verdana" w:hAnsi="Verdana" w:cs="Arial"/>
          <w:lang w:val="es-ES_tradnl"/>
        </w:rPr>
        <w:t>y las expresiones aquí utilizadas con mayúscula inicial deben ser entendidas con el significado que les otorga el artículo 2.2.1.1.1.3.1. del Decreto 1082 de 2015.</w:t>
      </w:r>
    </w:p>
    <w:p w14:paraId="1D0911AE" w14:textId="77777777" w:rsidR="00A1428F" w:rsidRPr="0017066F" w:rsidRDefault="00A1428F" w:rsidP="00A1428F">
      <w:pPr>
        <w:widowControl w:val="0"/>
        <w:autoSpaceDE w:val="0"/>
        <w:autoSpaceDN w:val="0"/>
        <w:spacing w:after="0" w:line="276" w:lineRule="auto"/>
        <w:jc w:val="both"/>
        <w:rPr>
          <w:rFonts w:ascii="Verdana" w:hAnsi="Verdana" w:cs="Arial"/>
        </w:rPr>
      </w:pPr>
    </w:p>
    <w:p w14:paraId="7FF8145A" w14:textId="77777777" w:rsidR="00A1428F" w:rsidRPr="0017066F" w:rsidRDefault="00A1428F" w:rsidP="00ED487E">
      <w:pPr>
        <w:spacing w:after="0" w:line="276" w:lineRule="auto"/>
        <w:rPr>
          <w:rFonts w:ascii="Verdana" w:hAnsi="Verdana" w:cs="Arial"/>
          <w:lang w:eastAsia="es-CO"/>
        </w:rPr>
      </w:pPr>
      <w:r w:rsidRPr="0017066F">
        <w:rPr>
          <w:rFonts w:ascii="Verdana" w:eastAsia="Times New Roman" w:hAnsi="Verdana" w:cs="Arial"/>
          <w:lang w:eastAsia="es-CO"/>
        </w:rPr>
        <w:t>Atentamente,</w:t>
      </w:r>
      <w:r w:rsidRPr="0017066F">
        <w:rPr>
          <w:rFonts w:ascii="Verdana" w:hAnsi="Verdana" w:cs="Arial"/>
          <w:lang w:eastAsia="es-CO"/>
        </w:rPr>
        <w:t xml:space="preserve"> </w:t>
      </w:r>
    </w:p>
    <w:p w14:paraId="1F7846C2" w14:textId="70740BB8" w:rsidR="003D5B0D" w:rsidRDefault="003D5B0D" w:rsidP="00A1428F">
      <w:pPr>
        <w:rPr>
          <w:rFonts w:ascii="Verdana" w:hAnsi="Verdana"/>
        </w:rPr>
      </w:pPr>
    </w:p>
    <w:p w14:paraId="72E027FB" w14:textId="3BFAFE38" w:rsidR="00623201" w:rsidRPr="00EE0EBA" w:rsidRDefault="00573011" w:rsidP="00623201">
      <w:pPr>
        <w:spacing w:line="276" w:lineRule="auto"/>
        <w:jc w:val="center"/>
        <w:rPr>
          <w:rFonts w:eastAsia="Calibri" w:cs="Arial"/>
          <w:lang w:val="es-ES_tradnl" w:eastAsia="es-CO"/>
        </w:rPr>
      </w:pPr>
      <w:r w:rsidRPr="002C3AD6">
        <w:rPr>
          <w:rFonts w:ascii="Century Gothic" w:hAnsi="Century Gothic"/>
          <w:noProof/>
        </w:rPr>
        <w:drawing>
          <wp:inline distT="0" distB="0" distL="0" distR="0" wp14:anchorId="26F787DB" wp14:editId="0123AA6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23201" w:rsidRPr="00EE0EBA" w14:paraId="76905F3D" w14:textId="77777777" w:rsidTr="002A1FF2">
        <w:trPr>
          <w:trHeight w:val="315"/>
        </w:trPr>
        <w:tc>
          <w:tcPr>
            <w:tcW w:w="893" w:type="dxa"/>
            <w:vAlign w:val="center"/>
            <w:hideMark/>
          </w:tcPr>
          <w:p w14:paraId="1C6AADB7" w14:textId="77777777" w:rsidR="00623201" w:rsidRPr="00EE0EBA" w:rsidRDefault="00623201" w:rsidP="002A1FF2">
            <w:pPr>
              <w:rPr>
                <w:rFonts w:eastAsia="Calibri" w:cs="Arial"/>
                <w:sz w:val="16"/>
                <w:szCs w:val="16"/>
                <w:lang w:eastAsia="es-ES"/>
              </w:rPr>
            </w:pPr>
            <w:r w:rsidRPr="00EE0EBA">
              <w:rPr>
                <w:rFonts w:eastAsia="Calibri" w:cs="Arial"/>
                <w:sz w:val="16"/>
                <w:szCs w:val="16"/>
                <w:lang w:eastAsia="es-ES"/>
              </w:rPr>
              <w:lastRenderedPageBreak/>
              <w:t>Elaboró:</w:t>
            </w:r>
          </w:p>
        </w:tc>
        <w:tc>
          <w:tcPr>
            <w:tcW w:w="5628" w:type="dxa"/>
            <w:tcBorders>
              <w:top w:val="nil"/>
              <w:left w:val="nil"/>
              <w:bottom w:val="dotted" w:sz="4" w:space="0" w:color="7F7F7F"/>
              <w:right w:val="nil"/>
            </w:tcBorders>
            <w:vAlign w:val="center"/>
            <w:hideMark/>
          </w:tcPr>
          <w:p w14:paraId="4396FDC0" w14:textId="3D5799E0" w:rsidR="00623201" w:rsidRPr="00EE0EBA" w:rsidRDefault="00FD0328" w:rsidP="002A1FF2">
            <w:pPr>
              <w:rPr>
                <w:rFonts w:eastAsia="Arial" w:cs="Arial"/>
                <w:sz w:val="16"/>
                <w:szCs w:val="16"/>
              </w:rPr>
            </w:pPr>
            <w:r>
              <w:rPr>
                <w:rFonts w:eastAsia="Arial" w:cs="Arial"/>
                <w:sz w:val="16"/>
                <w:szCs w:val="16"/>
              </w:rPr>
              <w:t xml:space="preserve">Diana </w:t>
            </w:r>
            <w:r w:rsidR="00623201" w:rsidRPr="00EE0EBA">
              <w:rPr>
                <w:rFonts w:eastAsia="Arial" w:cs="Arial"/>
                <w:sz w:val="16"/>
                <w:szCs w:val="16"/>
              </w:rPr>
              <w:t xml:space="preserve">Carolina Blanco Rodriguez </w:t>
            </w:r>
          </w:p>
          <w:p w14:paraId="12919867" w14:textId="77777777" w:rsidR="00623201" w:rsidRPr="00EE0EBA" w:rsidRDefault="00623201" w:rsidP="002A1FF2">
            <w:pPr>
              <w:rPr>
                <w:rFonts w:eastAsia="Arial" w:cs="Arial"/>
                <w:sz w:val="16"/>
                <w:szCs w:val="16"/>
              </w:rPr>
            </w:pPr>
            <w:r w:rsidRPr="00EE0EBA">
              <w:rPr>
                <w:rFonts w:eastAsia="Arial" w:cs="Arial"/>
                <w:sz w:val="16"/>
                <w:szCs w:val="16"/>
              </w:rPr>
              <w:t>Contratista de la Subdirección de Gestión Contractual</w:t>
            </w:r>
          </w:p>
        </w:tc>
      </w:tr>
      <w:tr w:rsidR="00623201" w:rsidRPr="00EE0EBA" w14:paraId="4851720E" w14:textId="77777777" w:rsidTr="002A1FF2">
        <w:trPr>
          <w:trHeight w:val="330"/>
        </w:trPr>
        <w:tc>
          <w:tcPr>
            <w:tcW w:w="893" w:type="dxa"/>
            <w:vAlign w:val="center"/>
            <w:hideMark/>
          </w:tcPr>
          <w:p w14:paraId="1BA28D5D" w14:textId="77777777" w:rsidR="00623201" w:rsidRPr="00EE0EBA" w:rsidRDefault="00623201" w:rsidP="002A1FF2">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615F955" w14:textId="6C85B674" w:rsidR="00623201" w:rsidRPr="00EE0EBA" w:rsidRDefault="00623201" w:rsidP="002A1FF2">
            <w:pPr>
              <w:textAlignment w:val="baseline"/>
              <w:rPr>
                <w:rFonts w:eastAsia="Times New Roman" w:cs="Segoe UI"/>
                <w:sz w:val="16"/>
                <w:szCs w:val="16"/>
                <w:lang w:eastAsia="es-ES_tradnl"/>
              </w:rPr>
            </w:pPr>
            <w:r>
              <w:rPr>
                <w:rFonts w:eastAsia="Times New Roman" w:cs="Segoe UI"/>
                <w:sz w:val="16"/>
                <w:szCs w:val="16"/>
                <w:lang w:eastAsia="es-ES_tradnl"/>
              </w:rPr>
              <w:t xml:space="preserve">Diana Saavedra </w:t>
            </w:r>
          </w:p>
          <w:p w14:paraId="540B15D5" w14:textId="77777777" w:rsidR="00623201" w:rsidRPr="00EE0EBA" w:rsidRDefault="00623201" w:rsidP="002A1FF2">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623201" w:rsidRPr="00EE0EBA" w14:paraId="25311697" w14:textId="77777777" w:rsidTr="002A1FF2">
        <w:trPr>
          <w:trHeight w:val="300"/>
        </w:trPr>
        <w:tc>
          <w:tcPr>
            <w:tcW w:w="893" w:type="dxa"/>
            <w:vAlign w:val="center"/>
          </w:tcPr>
          <w:p w14:paraId="77916F94" w14:textId="77777777" w:rsidR="00623201" w:rsidRPr="00EE0EBA" w:rsidRDefault="00623201" w:rsidP="002A1FF2">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21728192" w14:textId="77777777" w:rsidR="00623201" w:rsidRPr="00EE0EBA" w:rsidRDefault="00623201" w:rsidP="002A1FF2">
            <w:pPr>
              <w:rPr>
                <w:rFonts w:eastAsia="Calibri" w:cs="Arial"/>
                <w:sz w:val="16"/>
                <w:szCs w:val="16"/>
                <w:lang w:val="pt-BR" w:eastAsia="es-ES"/>
              </w:rPr>
            </w:pPr>
            <w:r w:rsidRPr="00EE0EBA">
              <w:rPr>
                <w:rFonts w:eastAsia="Calibri" w:cs="Arial"/>
                <w:sz w:val="16"/>
                <w:szCs w:val="16"/>
                <w:lang w:val="pt-BR" w:eastAsia="es-ES"/>
              </w:rPr>
              <w:t>Carolina Quintero Gacharná</w:t>
            </w:r>
          </w:p>
          <w:p w14:paraId="40E17ACE" w14:textId="77777777" w:rsidR="00623201" w:rsidRPr="00EE0EBA" w:rsidRDefault="00623201" w:rsidP="002A1FF2">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tbl>
    <w:p w14:paraId="673C6BF4" w14:textId="77777777" w:rsidR="00623201" w:rsidRPr="000B1C0B" w:rsidRDefault="00623201" w:rsidP="00623201"/>
    <w:bookmarkEnd w:id="0"/>
    <w:p w14:paraId="37BD43D6" w14:textId="77777777" w:rsidR="00623201" w:rsidRPr="0017066F" w:rsidRDefault="00623201" w:rsidP="00A1428F">
      <w:pPr>
        <w:rPr>
          <w:rFonts w:ascii="Verdana" w:hAnsi="Verdana"/>
        </w:rPr>
      </w:pPr>
    </w:p>
    <w:sectPr w:rsidR="00623201" w:rsidRPr="0017066F"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5053F" w14:textId="77777777" w:rsidR="00C852E2" w:rsidRDefault="00C852E2" w:rsidP="004A1847">
      <w:pPr>
        <w:spacing w:after="0" w:line="240" w:lineRule="auto"/>
      </w:pPr>
      <w:r>
        <w:separator/>
      </w:r>
    </w:p>
  </w:endnote>
  <w:endnote w:type="continuationSeparator" w:id="0">
    <w:p w14:paraId="483AAEDB" w14:textId="77777777" w:rsidR="00C852E2" w:rsidRDefault="00C852E2" w:rsidP="004A1847">
      <w:pPr>
        <w:spacing w:after="0" w:line="240" w:lineRule="auto"/>
      </w:pPr>
      <w:r>
        <w:continuationSeparator/>
      </w:r>
    </w:p>
  </w:endnote>
  <w:endnote w:type="continuationNotice" w:id="1">
    <w:p w14:paraId="1D58AF53" w14:textId="77777777" w:rsidR="00C852E2" w:rsidRDefault="00C852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A317" w14:textId="77777777" w:rsidR="004A1847" w:rsidRDefault="004A1847">
    <w:pPr>
      <w:pStyle w:val="Piedepgina"/>
    </w:pPr>
  </w:p>
  <w:p w14:paraId="274F7675"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E803CD3"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8AA27B9"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02C2991C"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5CCDC" w14:textId="77777777" w:rsidR="00C852E2" w:rsidRDefault="00C852E2" w:rsidP="004A1847">
      <w:pPr>
        <w:spacing w:after="0" w:line="240" w:lineRule="auto"/>
      </w:pPr>
      <w:r>
        <w:separator/>
      </w:r>
    </w:p>
  </w:footnote>
  <w:footnote w:type="continuationSeparator" w:id="0">
    <w:p w14:paraId="79CD9093" w14:textId="77777777" w:rsidR="00C852E2" w:rsidRDefault="00C852E2" w:rsidP="004A1847">
      <w:pPr>
        <w:spacing w:after="0" w:line="240" w:lineRule="auto"/>
      </w:pPr>
      <w:r>
        <w:continuationSeparator/>
      </w:r>
    </w:p>
  </w:footnote>
  <w:footnote w:type="continuationNotice" w:id="1">
    <w:p w14:paraId="7F27CC6E" w14:textId="77777777" w:rsidR="00C852E2" w:rsidRDefault="00C852E2">
      <w:pPr>
        <w:spacing w:after="0" w:line="240" w:lineRule="auto"/>
      </w:pPr>
    </w:p>
  </w:footnote>
  <w:footnote w:id="2">
    <w:p w14:paraId="0E2EE328" w14:textId="77777777" w:rsidR="00A1428F" w:rsidRPr="00992A57" w:rsidRDefault="00A1428F" w:rsidP="00ED487E">
      <w:pPr>
        <w:pStyle w:val="Textonotapie"/>
        <w:ind w:firstLine="708"/>
        <w:jc w:val="both"/>
        <w:rPr>
          <w:rFonts w:ascii="Verdana" w:hAnsi="Verdana"/>
          <w:sz w:val="16"/>
          <w:szCs w:val="16"/>
          <w:lang w:val="es-ES"/>
        </w:rPr>
      </w:pPr>
      <w:r w:rsidRPr="00992A57">
        <w:rPr>
          <w:rStyle w:val="Refdenotaalpie"/>
          <w:rFonts w:ascii="Verdana" w:hAnsi="Verdana"/>
          <w:sz w:val="16"/>
          <w:szCs w:val="16"/>
        </w:rPr>
        <w:footnoteRef/>
      </w:r>
      <w:r w:rsidRPr="008A3F8A">
        <w:rPr>
          <w:rFonts w:ascii="Verdana" w:hAnsi="Verdana"/>
          <w:sz w:val="16"/>
          <w:szCs w:val="16"/>
        </w:rPr>
        <w:t xml:space="preserve"> Se puede acceder a la Guía mencionada en el siguiente link: </w:t>
      </w:r>
      <w:hyperlink r:id="rId1" w:history="1">
        <w:r w:rsidRPr="008A3F8A">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8A3F8A">
        <w:rPr>
          <w:rFonts w:ascii="Verdana" w:hAnsi="Verdana"/>
          <w:sz w:val="16"/>
          <w:szCs w:val="16"/>
        </w:rPr>
        <w:t xml:space="preserve"> </w:t>
      </w:r>
    </w:p>
  </w:footnote>
  <w:footnote w:id="3">
    <w:p w14:paraId="37CD3632" w14:textId="77777777" w:rsidR="00A1428F" w:rsidRPr="00ED487E" w:rsidRDefault="00A1428F" w:rsidP="00A1428F">
      <w:pPr>
        <w:pStyle w:val="Textonotapie"/>
        <w:ind w:firstLine="708"/>
        <w:contextualSpacing/>
        <w:jc w:val="both"/>
        <w:rPr>
          <w:rFonts w:ascii="Verdana" w:hAnsi="Verdana" w:cs="Arial"/>
          <w:sz w:val="16"/>
          <w:szCs w:val="16"/>
          <w:lang w:val="es-CO"/>
        </w:rPr>
      </w:pPr>
      <w:r w:rsidRPr="00ED487E">
        <w:rPr>
          <w:rStyle w:val="Refdenotaalpie"/>
          <w:rFonts w:ascii="Verdana" w:hAnsi="Verdana" w:cs="Arial"/>
          <w:sz w:val="16"/>
          <w:szCs w:val="16"/>
        </w:rPr>
        <w:footnoteRef/>
      </w:r>
      <w:r w:rsidRPr="00ED487E">
        <w:rPr>
          <w:rFonts w:ascii="Verdana" w:hAnsi="Verdana" w:cs="Arial"/>
          <w:sz w:val="16"/>
          <w:szCs w:val="16"/>
        </w:rPr>
        <w:t xml:space="preserve"> Agencia Nacional de Contratación – Colombia Compra Eficiente. Concepto 997 del 30 de diciembre de 2024. </w:t>
      </w:r>
    </w:p>
  </w:footnote>
  <w:footnote w:id="4">
    <w:p w14:paraId="56A4ECA3" w14:textId="77777777" w:rsidR="00A1428F" w:rsidRPr="00ED487E" w:rsidRDefault="00A1428F" w:rsidP="00A1428F">
      <w:pPr>
        <w:pStyle w:val="Textonotapie"/>
        <w:ind w:firstLine="708"/>
        <w:contextualSpacing/>
        <w:jc w:val="both"/>
        <w:rPr>
          <w:rFonts w:ascii="Verdana" w:hAnsi="Verdana" w:cs="Arial"/>
          <w:sz w:val="16"/>
          <w:szCs w:val="16"/>
        </w:rPr>
      </w:pPr>
      <w:r w:rsidRPr="00ED487E">
        <w:rPr>
          <w:rStyle w:val="Refdenotaalpie"/>
          <w:rFonts w:ascii="Verdana" w:hAnsi="Verdana" w:cs="Arial"/>
          <w:sz w:val="16"/>
          <w:szCs w:val="16"/>
        </w:rPr>
        <w:footnoteRef/>
      </w:r>
      <w:r w:rsidRPr="00ED487E">
        <w:rPr>
          <w:rFonts w:ascii="Verdana" w:hAnsi="Verdana" w:cs="Arial"/>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10170634" w14:textId="77777777" w:rsidR="00A1428F" w:rsidRPr="00ED487E" w:rsidRDefault="00A1428F" w:rsidP="00A1428F">
      <w:pPr>
        <w:pStyle w:val="Textonotapie"/>
        <w:contextualSpacing/>
        <w:jc w:val="both"/>
        <w:rPr>
          <w:rFonts w:ascii="Verdana" w:hAnsi="Verdana" w:cs="Arial"/>
          <w:sz w:val="16"/>
          <w:szCs w:val="16"/>
          <w:lang w:val="es-CO"/>
        </w:rPr>
      </w:pPr>
      <w:r w:rsidRPr="00ED487E">
        <w:rPr>
          <w:rFonts w:ascii="Verdana" w:hAnsi="Verdana" w:cs="Arial"/>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5">
    <w:p w14:paraId="5E55BC53" w14:textId="77777777" w:rsidR="00A1428F" w:rsidRPr="00ED487E" w:rsidRDefault="00A1428F" w:rsidP="00A1428F">
      <w:pPr>
        <w:pStyle w:val="Textonotapie"/>
        <w:ind w:firstLine="708"/>
        <w:contextualSpacing/>
        <w:jc w:val="both"/>
        <w:rPr>
          <w:rFonts w:ascii="Verdana" w:hAnsi="Verdana" w:cs="Arial"/>
          <w:color w:val="000000"/>
          <w:sz w:val="16"/>
          <w:szCs w:val="16"/>
          <w:shd w:val="clear" w:color="auto" w:fill="FFFFFF"/>
        </w:rPr>
      </w:pPr>
      <w:r w:rsidRPr="00ED487E">
        <w:rPr>
          <w:rStyle w:val="Refdenotaalpie"/>
          <w:rFonts w:ascii="Verdana" w:hAnsi="Verdana" w:cs="Arial"/>
          <w:sz w:val="16"/>
          <w:szCs w:val="16"/>
        </w:rPr>
        <w:footnoteRef/>
      </w:r>
      <w:r w:rsidRPr="00ED487E">
        <w:rPr>
          <w:rFonts w:ascii="Verdana" w:hAnsi="Verdana" w:cs="Arial"/>
          <w:sz w:val="16"/>
          <w:szCs w:val="16"/>
        </w:rPr>
        <w:t xml:space="preserve"> </w:t>
      </w:r>
      <w:r w:rsidRPr="00ED487E">
        <w:rPr>
          <w:rStyle w:val="normaltextrun"/>
          <w:rFonts w:ascii="Verdana" w:hAnsi="Verdana" w:cs="Arial"/>
          <w:color w:val="000000"/>
          <w:sz w:val="16"/>
          <w:szCs w:val="16"/>
          <w:shd w:val="clear" w:color="auto" w:fill="FFFFFF"/>
          <w:lang w:val="pt-BR"/>
        </w:rPr>
        <w:t xml:space="preserve">Corte Constitucional. Sentencia C-287 de 2012. </w:t>
      </w:r>
      <w:r w:rsidRPr="00ED487E">
        <w:rPr>
          <w:rStyle w:val="normaltextrun"/>
          <w:rFonts w:ascii="Verdana" w:hAnsi="Verdana" w:cs="Arial"/>
          <w:color w:val="000000"/>
          <w:sz w:val="16"/>
          <w:szCs w:val="16"/>
          <w:shd w:val="clear" w:color="auto" w:fill="FFFFFF"/>
          <w:lang w:val="es-ES"/>
        </w:rPr>
        <w:t>M.P. María Victoria Calle.</w:t>
      </w:r>
      <w:r w:rsidRPr="00ED487E">
        <w:rPr>
          <w:rStyle w:val="eop"/>
          <w:rFonts w:ascii="Verdana" w:hAnsi="Verdana" w:cs="Arial"/>
          <w:color w:val="000000"/>
          <w:sz w:val="16"/>
          <w:szCs w:val="16"/>
          <w:shd w:val="clear" w:color="auto" w:fill="FFFFFF"/>
        </w:rPr>
        <w:t> </w:t>
      </w:r>
    </w:p>
  </w:footnote>
  <w:footnote w:id="6">
    <w:p w14:paraId="2B4F6175" w14:textId="1899EAB8" w:rsidR="0017066F" w:rsidRDefault="0017066F" w:rsidP="0017066F">
      <w:pPr>
        <w:pStyle w:val="Textonotapie"/>
        <w:tabs>
          <w:tab w:val="left" w:pos="7929"/>
        </w:tabs>
        <w:ind w:right="909"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Cfr. Respuestas emitidas dentro de los radicados Nos.: 4202013000002250, 4202013000002249, 202013000002232, 4202013000002225, 4202013000002227, 4202013000002220, 4202013000002221, 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r>
        <w:rPr>
          <w:rFonts w:ascii="Arial" w:hAnsi="Arial" w:cs="Arial"/>
          <w:sz w:val="19"/>
          <w:szCs w:val="19"/>
        </w:rPr>
        <w:t xml:space="preserve"> </w:t>
      </w:r>
    </w:p>
    <w:p w14:paraId="1F5A88DE" w14:textId="77777777" w:rsidR="0017066F" w:rsidRPr="003A4125" w:rsidRDefault="0017066F" w:rsidP="0017066F">
      <w:pPr>
        <w:pStyle w:val="Textonotapie"/>
        <w:ind w:firstLine="708"/>
        <w:jc w:val="both"/>
        <w:rPr>
          <w:rFonts w:ascii="Arial" w:hAnsi="Arial" w:cs="Arial"/>
          <w:sz w:val="19"/>
          <w:szCs w:val="19"/>
        </w:rPr>
      </w:pPr>
    </w:p>
  </w:footnote>
  <w:footnote w:id="7">
    <w:p w14:paraId="6F416B70" w14:textId="77777777" w:rsidR="0017066F" w:rsidRDefault="0017066F" w:rsidP="0017066F">
      <w:pPr>
        <w:pStyle w:val="Textonotapie"/>
        <w:ind w:right="49"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14:paraId="3BC389C5" w14:textId="77777777" w:rsidR="0017066F" w:rsidRPr="003A4125" w:rsidRDefault="0017066F" w:rsidP="0017066F">
      <w:pPr>
        <w:pStyle w:val="Textonotapie"/>
        <w:ind w:right="49" w:firstLine="709"/>
        <w:jc w:val="both"/>
        <w:rPr>
          <w:rFonts w:ascii="Arial" w:hAnsi="Arial" w:cs="Arial"/>
          <w:sz w:val="19"/>
          <w:szCs w:val="19"/>
        </w:rPr>
      </w:pPr>
    </w:p>
  </w:footnote>
  <w:footnote w:id="8">
    <w:p w14:paraId="57891B90" w14:textId="77777777" w:rsidR="0017066F" w:rsidRDefault="0017066F" w:rsidP="0017066F">
      <w:pPr>
        <w:pStyle w:val="Textonotapie"/>
        <w:ind w:right="49" w:firstLine="708"/>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footnote>
  <w:footnote w:id="9">
    <w:p w14:paraId="41F34AB7" w14:textId="77777777" w:rsidR="0017066F" w:rsidRPr="008815AB" w:rsidRDefault="0017066F" w:rsidP="0017066F">
      <w:pPr>
        <w:pStyle w:val="Textonotapie"/>
        <w:ind w:right="49"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 w:id="10">
    <w:p w14:paraId="2D861B6F" w14:textId="77777777" w:rsidR="0017066F" w:rsidRPr="008815AB" w:rsidRDefault="0017066F" w:rsidP="0017066F">
      <w:pPr>
        <w:pStyle w:val="Textonotapie"/>
        <w:ind w:right="49"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2" w:history="1">
        <w:r w:rsidRPr="008815AB">
          <w:rPr>
            <w:rStyle w:val="Hipervnculo"/>
            <w:rFonts w:ascii="Arial" w:hAnsi="Arial" w:cs="Arial"/>
            <w:sz w:val="19"/>
            <w:szCs w:val="19"/>
          </w:rPr>
          <w:t>https://issuu.com/estudiolegalhernandez/docs/ahb._funci__n_consultiva_y_consejo_</w:t>
        </w:r>
      </w:hyperlink>
      <w:r w:rsidRPr="008815AB">
        <w:rPr>
          <w:rFonts w:ascii="Arial" w:hAnsi="Arial" w:cs="Arial"/>
          <w:sz w:val="19"/>
          <w:szCs w:val="19"/>
        </w:rPr>
        <w:t>.</w:t>
      </w:r>
    </w:p>
    <w:p w14:paraId="0CD739B5" w14:textId="77777777" w:rsidR="0017066F" w:rsidRPr="008815AB" w:rsidRDefault="0017066F" w:rsidP="0017066F">
      <w:pPr>
        <w:pStyle w:val="Textonotapie"/>
        <w:ind w:right="384" w:firstLine="709"/>
        <w:jc w:val="both"/>
        <w:rPr>
          <w:rFonts w:ascii="Arial" w:hAnsi="Arial" w:cs="Arial"/>
          <w:sz w:val="19"/>
          <w:szCs w:val="19"/>
        </w:rPr>
      </w:pPr>
    </w:p>
  </w:footnote>
  <w:footnote w:id="11">
    <w:p w14:paraId="37CD9A10" w14:textId="77777777" w:rsidR="0017066F" w:rsidRPr="008815AB" w:rsidRDefault="0017066F" w:rsidP="0017066F">
      <w:pPr>
        <w:pStyle w:val="Textonotapie"/>
        <w:ind w:right="384"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Consejo de Estado. Sala de Consulta y Servicio Civil. Concepto del 5 de octubre de 2009. Expediente 11001-03-06-000-2009-00049-00(1966). C.P. William Zambrano Cetina.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9117B"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261F4F2" wp14:editId="62FEE1D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672A236E" wp14:editId="569E339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1506E08" w14:textId="77777777" w:rsidR="00756841" w:rsidRDefault="00756841">
    <w:pPr>
      <w:pStyle w:val="Encabezado"/>
    </w:pPr>
  </w:p>
  <w:p w14:paraId="7599F448" w14:textId="77777777" w:rsidR="00DC39FC" w:rsidRDefault="00DC39FC" w:rsidP="004A305D">
    <w:pPr>
      <w:spacing w:after="0"/>
      <w:rPr>
        <w:rFonts w:ascii="Verdana" w:hAnsi="Verdana"/>
        <w:b/>
        <w:bCs/>
      </w:rPr>
    </w:pPr>
  </w:p>
  <w:p w14:paraId="2E3D6405" w14:textId="77777777" w:rsidR="004A305D" w:rsidRPr="00DC39FC" w:rsidRDefault="004A305D" w:rsidP="004A305D">
    <w:pPr>
      <w:spacing w:after="0"/>
      <w:rPr>
        <w:rFonts w:ascii="Verdana" w:hAnsi="Verdana"/>
        <w:b/>
        <w:bCs/>
      </w:rPr>
    </w:pPr>
    <w:r w:rsidRPr="00DC39FC">
      <w:rPr>
        <w:rFonts w:ascii="Verdana" w:hAnsi="Verdana"/>
        <w:b/>
        <w:bCs/>
      </w:rPr>
      <w:t>FORMATO PQRSD</w:t>
    </w:r>
  </w:p>
  <w:p w14:paraId="0432E305" w14:textId="77777777" w:rsidR="004A305D" w:rsidRPr="004A305D" w:rsidRDefault="004A305D" w:rsidP="00B01B1A">
    <w:pPr>
      <w:spacing w:after="0" w:line="120" w:lineRule="auto"/>
      <w:rPr>
        <w:rFonts w:ascii="Century Gothic" w:eastAsia="Geo" w:hAnsi="Century Gothic" w:cs="Geo"/>
        <w:sz w:val="16"/>
        <w:szCs w:val="16"/>
        <w:lang w:eastAsia="es-CO"/>
      </w:rPr>
    </w:pPr>
  </w:p>
  <w:p w14:paraId="2F3BEA12"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245893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10125007" o:spid="_x0000_i1025" type="#_x0000_t75" style="width:11.25pt;height:11.25pt;visibility:visible;mso-wrap-style:square">
            <v:imagedata r:id="rId1" o:title=""/>
          </v:shape>
        </w:pict>
      </mc:Choice>
      <mc:Fallback>
        <w:drawing>
          <wp:inline distT="0" distB="0" distL="0" distR="0" wp14:anchorId="33D7C452" wp14:editId="77935501">
            <wp:extent cx="142875" cy="142875"/>
            <wp:effectExtent l="0" t="0" r="0" b="0"/>
            <wp:docPr id="610125007" name="Imagen 61012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8AD20380"/>
    <w:lvl w:ilvl="0" w:tplc="A798DB16">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61221E"/>
    <w:multiLevelType w:val="hybridMultilevel"/>
    <w:tmpl w:val="9E34979A"/>
    <w:lvl w:ilvl="0" w:tplc="5B80B8D0">
      <w:start w:val="1"/>
      <w:numFmt w:val="lowerRoman"/>
      <w:lvlText w:val="(%1)"/>
      <w:lvlJc w:val="left"/>
      <w:pPr>
        <w:ind w:left="1440" w:hanging="108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B3E442E"/>
    <w:multiLevelType w:val="hybridMultilevel"/>
    <w:tmpl w:val="2F04020A"/>
    <w:lvl w:ilvl="0" w:tplc="135E7FCC">
      <w:start w:val="1"/>
      <w:numFmt w:val="lowerRoman"/>
      <w:lvlText w:val="%1)"/>
      <w:lvlJc w:val="left"/>
      <w:pPr>
        <w:ind w:left="1080" w:hanging="72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FCA402D"/>
    <w:multiLevelType w:val="hybridMultilevel"/>
    <w:tmpl w:val="F918937A"/>
    <w:lvl w:ilvl="0" w:tplc="697E6F94">
      <w:start w:val="1"/>
      <w:numFmt w:val="lowerRoman"/>
      <w:lvlText w:val="%1)"/>
      <w:lvlJc w:val="left"/>
      <w:pPr>
        <w:ind w:left="1080" w:hanging="72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0734543">
    <w:abstractNumId w:val="6"/>
  </w:num>
  <w:num w:numId="2" w16cid:durableId="1848904583">
    <w:abstractNumId w:val="2"/>
  </w:num>
  <w:num w:numId="3" w16cid:durableId="1444106804">
    <w:abstractNumId w:val="4"/>
  </w:num>
  <w:num w:numId="4" w16cid:durableId="495469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4086608">
    <w:abstractNumId w:val="2"/>
  </w:num>
  <w:num w:numId="6" w16cid:durableId="909654239">
    <w:abstractNumId w:val="13"/>
  </w:num>
  <w:num w:numId="7" w16cid:durableId="832453089">
    <w:abstractNumId w:val="5"/>
  </w:num>
  <w:num w:numId="8" w16cid:durableId="1965386913">
    <w:abstractNumId w:val="12"/>
  </w:num>
  <w:num w:numId="9" w16cid:durableId="1909723109">
    <w:abstractNumId w:val="7"/>
  </w:num>
  <w:num w:numId="10" w16cid:durableId="727605045">
    <w:abstractNumId w:val="11"/>
  </w:num>
  <w:num w:numId="11" w16cid:durableId="2020697587">
    <w:abstractNumId w:val="8"/>
  </w:num>
  <w:num w:numId="12" w16cid:durableId="1559512221">
    <w:abstractNumId w:val="1"/>
  </w:num>
  <w:num w:numId="13" w16cid:durableId="220481851">
    <w:abstractNumId w:val="3"/>
  </w:num>
  <w:num w:numId="14" w16cid:durableId="368452862">
    <w:abstractNumId w:val="14"/>
  </w:num>
  <w:num w:numId="15" w16cid:durableId="381366252">
    <w:abstractNumId w:val="10"/>
  </w:num>
  <w:num w:numId="16" w16cid:durableId="1927034918">
    <w:abstractNumId w:val="0"/>
  </w:num>
  <w:num w:numId="17" w16cid:durableId="770004515">
    <w:abstractNumId w:val="9"/>
  </w:num>
  <w:num w:numId="18" w16cid:durableId="724719530">
    <w:abstractNumId w:val="15"/>
  </w:num>
  <w:num w:numId="19" w16cid:durableId="736318700">
    <w:abstractNumId w:val="17"/>
  </w:num>
  <w:num w:numId="20" w16cid:durableId="18114377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7C70"/>
    <w:rsid w:val="00061B2A"/>
    <w:rsid w:val="00075186"/>
    <w:rsid w:val="00082362"/>
    <w:rsid w:val="000833F9"/>
    <w:rsid w:val="000A6064"/>
    <w:rsid w:val="000A683E"/>
    <w:rsid w:val="000B19B9"/>
    <w:rsid w:val="000D0334"/>
    <w:rsid w:val="000F6486"/>
    <w:rsid w:val="00125105"/>
    <w:rsid w:val="00127233"/>
    <w:rsid w:val="00127656"/>
    <w:rsid w:val="001511A0"/>
    <w:rsid w:val="00163562"/>
    <w:rsid w:val="0017066F"/>
    <w:rsid w:val="001C0619"/>
    <w:rsid w:val="001E1BB6"/>
    <w:rsid w:val="001E4177"/>
    <w:rsid w:val="001F7DC6"/>
    <w:rsid w:val="00202CFF"/>
    <w:rsid w:val="002421BB"/>
    <w:rsid w:val="0025796E"/>
    <w:rsid w:val="002626A2"/>
    <w:rsid w:val="002707A2"/>
    <w:rsid w:val="002951A0"/>
    <w:rsid w:val="002962BC"/>
    <w:rsid w:val="002A093D"/>
    <w:rsid w:val="002A0DD0"/>
    <w:rsid w:val="002A49AC"/>
    <w:rsid w:val="002A64FD"/>
    <w:rsid w:val="002A657E"/>
    <w:rsid w:val="002C06DB"/>
    <w:rsid w:val="002C7A84"/>
    <w:rsid w:val="002E4FD9"/>
    <w:rsid w:val="00322A85"/>
    <w:rsid w:val="00324168"/>
    <w:rsid w:val="003427CC"/>
    <w:rsid w:val="003448F4"/>
    <w:rsid w:val="00374F5E"/>
    <w:rsid w:val="00377E3E"/>
    <w:rsid w:val="003A779E"/>
    <w:rsid w:val="003D0F4D"/>
    <w:rsid w:val="003D5B0D"/>
    <w:rsid w:val="003E0499"/>
    <w:rsid w:val="003F3941"/>
    <w:rsid w:val="00406575"/>
    <w:rsid w:val="00414C74"/>
    <w:rsid w:val="0042722E"/>
    <w:rsid w:val="0044528D"/>
    <w:rsid w:val="00460381"/>
    <w:rsid w:val="00490C85"/>
    <w:rsid w:val="004A1847"/>
    <w:rsid w:val="004A305D"/>
    <w:rsid w:val="004D319B"/>
    <w:rsid w:val="004E70F0"/>
    <w:rsid w:val="004F21C4"/>
    <w:rsid w:val="004F45D7"/>
    <w:rsid w:val="004F685F"/>
    <w:rsid w:val="0050148E"/>
    <w:rsid w:val="005566E8"/>
    <w:rsid w:val="00573011"/>
    <w:rsid w:val="00574867"/>
    <w:rsid w:val="00591460"/>
    <w:rsid w:val="005A5930"/>
    <w:rsid w:val="005B3816"/>
    <w:rsid w:val="005C3777"/>
    <w:rsid w:val="005C5CDC"/>
    <w:rsid w:val="005D476C"/>
    <w:rsid w:val="006219F8"/>
    <w:rsid w:val="00623201"/>
    <w:rsid w:val="00623300"/>
    <w:rsid w:val="00641741"/>
    <w:rsid w:val="00655A21"/>
    <w:rsid w:val="00665D70"/>
    <w:rsid w:val="00684653"/>
    <w:rsid w:val="006900D9"/>
    <w:rsid w:val="006A48CC"/>
    <w:rsid w:val="00706C16"/>
    <w:rsid w:val="007228B5"/>
    <w:rsid w:val="00756841"/>
    <w:rsid w:val="007649AB"/>
    <w:rsid w:val="00771D0C"/>
    <w:rsid w:val="007833AC"/>
    <w:rsid w:val="007B268C"/>
    <w:rsid w:val="007B7171"/>
    <w:rsid w:val="007C0C0F"/>
    <w:rsid w:val="007C3DC2"/>
    <w:rsid w:val="007E5497"/>
    <w:rsid w:val="00806F5F"/>
    <w:rsid w:val="00820278"/>
    <w:rsid w:val="00867F95"/>
    <w:rsid w:val="00883391"/>
    <w:rsid w:val="008843B6"/>
    <w:rsid w:val="00891928"/>
    <w:rsid w:val="008A3F8A"/>
    <w:rsid w:val="008A446D"/>
    <w:rsid w:val="008D180B"/>
    <w:rsid w:val="008F0EA7"/>
    <w:rsid w:val="00903F3B"/>
    <w:rsid w:val="00923EEF"/>
    <w:rsid w:val="009419F9"/>
    <w:rsid w:val="0095685E"/>
    <w:rsid w:val="00956DA0"/>
    <w:rsid w:val="00961B09"/>
    <w:rsid w:val="00965334"/>
    <w:rsid w:val="0097093E"/>
    <w:rsid w:val="009748A7"/>
    <w:rsid w:val="00986AC5"/>
    <w:rsid w:val="009A0DFA"/>
    <w:rsid w:val="009B2D26"/>
    <w:rsid w:val="009C4EC0"/>
    <w:rsid w:val="009C71FA"/>
    <w:rsid w:val="009C72E7"/>
    <w:rsid w:val="009D3058"/>
    <w:rsid w:val="009F3A13"/>
    <w:rsid w:val="00A122D3"/>
    <w:rsid w:val="00A1428F"/>
    <w:rsid w:val="00A17F13"/>
    <w:rsid w:val="00A20739"/>
    <w:rsid w:val="00A33C78"/>
    <w:rsid w:val="00A402EF"/>
    <w:rsid w:val="00A64288"/>
    <w:rsid w:val="00AB0ADB"/>
    <w:rsid w:val="00AB1F37"/>
    <w:rsid w:val="00AF2D86"/>
    <w:rsid w:val="00B01B1A"/>
    <w:rsid w:val="00B440D8"/>
    <w:rsid w:val="00B52A4E"/>
    <w:rsid w:val="00B66319"/>
    <w:rsid w:val="00B72CD3"/>
    <w:rsid w:val="00B72FFF"/>
    <w:rsid w:val="00BB2EED"/>
    <w:rsid w:val="00BC0C70"/>
    <w:rsid w:val="00BC3D36"/>
    <w:rsid w:val="00BD7F72"/>
    <w:rsid w:val="00C04FB3"/>
    <w:rsid w:val="00C13C12"/>
    <w:rsid w:val="00C330EB"/>
    <w:rsid w:val="00C41061"/>
    <w:rsid w:val="00C57ABD"/>
    <w:rsid w:val="00C754BE"/>
    <w:rsid w:val="00C76B1C"/>
    <w:rsid w:val="00C852E2"/>
    <w:rsid w:val="00CA3C11"/>
    <w:rsid w:val="00CB6357"/>
    <w:rsid w:val="00CC1B26"/>
    <w:rsid w:val="00D423A2"/>
    <w:rsid w:val="00D520D8"/>
    <w:rsid w:val="00D63AC2"/>
    <w:rsid w:val="00D704A6"/>
    <w:rsid w:val="00D7383B"/>
    <w:rsid w:val="00D92F57"/>
    <w:rsid w:val="00DA231B"/>
    <w:rsid w:val="00DB71A5"/>
    <w:rsid w:val="00DC39FC"/>
    <w:rsid w:val="00DD0C5B"/>
    <w:rsid w:val="00DF5254"/>
    <w:rsid w:val="00E16408"/>
    <w:rsid w:val="00E20894"/>
    <w:rsid w:val="00E2161B"/>
    <w:rsid w:val="00E245AB"/>
    <w:rsid w:val="00E2764C"/>
    <w:rsid w:val="00E27F2E"/>
    <w:rsid w:val="00E344F2"/>
    <w:rsid w:val="00E50AFE"/>
    <w:rsid w:val="00E56961"/>
    <w:rsid w:val="00E75C92"/>
    <w:rsid w:val="00E771DC"/>
    <w:rsid w:val="00E8772A"/>
    <w:rsid w:val="00E90F6B"/>
    <w:rsid w:val="00E92C27"/>
    <w:rsid w:val="00EA0E3D"/>
    <w:rsid w:val="00EC38A7"/>
    <w:rsid w:val="00ED487E"/>
    <w:rsid w:val="00ED7384"/>
    <w:rsid w:val="00EE1AA8"/>
    <w:rsid w:val="00EE67D7"/>
    <w:rsid w:val="00EF3FD3"/>
    <w:rsid w:val="00F13EAD"/>
    <w:rsid w:val="00F31EDC"/>
    <w:rsid w:val="00F462B3"/>
    <w:rsid w:val="00F5664F"/>
    <w:rsid w:val="00F666C4"/>
    <w:rsid w:val="00F76AFC"/>
    <w:rsid w:val="00FA4608"/>
    <w:rsid w:val="00FA47C0"/>
    <w:rsid w:val="00FB5DD1"/>
    <w:rsid w:val="00FC2B5D"/>
    <w:rsid w:val="00FC5F97"/>
    <w:rsid w:val="00FD0328"/>
    <w:rsid w:val="00FF1449"/>
    <w:rsid w:val="00FF17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C4A0"/>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28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1428F"/>
    <w:pPr>
      <w:spacing w:line="240" w:lineRule="exact"/>
    </w:pPr>
    <w:rPr>
      <w:vertAlign w:val="superscript"/>
    </w:rPr>
  </w:style>
  <w:style w:type="character" w:styleId="Textoennegrita">
    <w:name w:val="Strong"/>
    <w:basedOn w:val="Fuentedeprrafopredeter"/>
    <w:uiPriority w:val="22"/>
    <w:qFormat/>
    <w:rsid w:val="00A1428F"/>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428F"/>
    <w:rPr>
      <w:rFonts w:ascii="Geomanist Light" w:hAnsi="Geomanist Light"/>
      <w:lang w:val="es-ES"/>
    </w:rPr>
  </w:style>
  <w:style w:type="paragraph" w:styleId="Textoindependiente">
    <w:name w:val="Body Text"/>
    <w:basedOn w:val="Normal"/>
    <w:link w:val="TextoindependienteCar"/>
    <w:uiPriority w:val="1"/>
    <w:qFormat/>
    <w:rsid w:val="00A64288"/>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A64288"/>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567062">
      <w:bodyDiv w:val="1"/>
      <w:marLeft w:val="0"/>
      <w:marRight w:val="0"/>
      <w:marTop w:val="0"/>
      <w:marBottom w:val="0"/>
      <w:divBdr>
        <w:top w:val="none" w:sz="0" w:space="0" w:color="auto"/>
        <w:left w:val="none" w:sz="0" w:space="0" w:color="auto"/>
        <w:bottom w:val="none" w:sz="0" w:space="0" w:color="auto"/>
        <w:right w:val="none" w:sz="0" w:space="0" w:color="auto"/>
      </w:divBdr>
      <w:divsChild>
        <w:div w:id="1085298811">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15729789">
      <w:bodyDiv w:val="1"/>
      <w:marLeft w:val="0"/>
      <w:marRight w:val="0"/>
      <w:marTop w:val="0"/>
      <w:marBottom w:val="0"/>
      <w:divBdr>
        <w:top w:val="none" w:sz="0" w:space="0" w:color="auto"/>
        <w:left w:val="none" w:sz="0" w:space="0" w:color="auto"/>
        <w:bottom w:val="none" w:sz="0" w:space="0" w:color="auto"/>
        <w:right w:val="none" w:sz="0" w:space="0" w:color="auto"/>
      </w:divBdr>
      <w:divsChild>
        <w:div w:id="1577863052">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navarretebaena@gmail.com" TargetMode="External"/><Relationship Id="rId17" Type="http://schemas.openxmlformats.org/officeDocument/2006/relationships/hyperlink" Target="https://nam02.safelinks.protection.outlook.com/?url=https%3A%2F%2Fwww.colombiacompra.gov.co%2Fnormativa-y-relatoria%2Fdocumentos-tipo&amp;data=05%7C02%7Cmartha.romero%40colombiacompra.gov.co%7C7cfff6dece924643582c08dd97bfed90%7C7b09041e245149d08cb179d5e3d8c1be%7C0%7C0%7C638833572791158311%7CUnknown%7CTWFpbGZsb3d8eyJFbXB0eU1hcGkiOnRydWUsIlYiOiIwLjAuMDAwMCIsIlAiOiJXaW4zMiIsIkFOIjoiTWFpbCIsIldUIjoyfQ%3D%3D%7C0%7C%7C%7C&amp;sdata=maPvBIUC2Ev1cyBHCFKHuvndjyl7YscGZmM2lSC6t9c%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navarrete@unal.edu.co" TargetMode="External"/><Relationship Id="rId5" Type="http://schemas.openxmlformats.org/officeDocument/2006/relationships/numbering" Target="numbering.xml"/><Relationship Id="rId15" Type="http://schemas.openxmlformats.org/officeDocument/2006/relationships/hyperlink" Target="http://poxta2.colombiacompra.gov.co/sites/docs/_layouts/15/listform.aspx?PageType=6&amp;ListId=%7b41406f67-8aaf-444a-8f23-f6b9ad006b34%7d&amp;ID=91046"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guia_para_promover_la_participacion_de_las_mipymes_en_los_procesos_de_compra_publica_cce-gad-gi-26_1.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5A7AFD5-BD4B-4950-AB29-6E1DC9E47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1E96E4-B2EF-4E1F-B89E-3EF164659733}">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6204</Words>
  <Characters>34128</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4</cp:revision>
  <cp:lastPrinted>2023-01-10T21:18:00Z</cp:lastPrinted>
  <dcterms:created xsi:type="dcterms:W3CDTF">2025-05-20T20:53:00Z</dcterms:created>
  <dcterms:modified xsi:type="dcterms:W3CDTF">2025-05-26T17:24:00Z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