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892E76"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892E76">
        <w:rPr>
          <w:rFonts w:ascii="Arial" w:hAnsi="Arial" w:cs="Arial"/>
          <w:bCs/>
          <w:color w:val="000000" w:themeColor="text1"/>
          <w:sz w:val="16"/>
          <w:szCs w:val="16"/>
          <w:lang w:val="es-ES_tradnl" w:eastAsia="es-ES"/>
        </w:rPr>
        <w:t>CCE-DES-FM-17</w:t>
      </w:r>
      <w:bookmarkEnd w:id="0"/>
      <w:bookmarkEnd w:id="1"/>
    </w:p>
    <w:p w14:paraId="17A05F16" w14:textId="77777777" w:rsidR="00580772" w:rsidRPr="00892E76" w:rsidRDefault="00580772" w:rsidP="00E52CE7">
      <w:pPr>
        <w:jc w:val="both"/>
        <w:rPr>
          <w:rFonts w:ascii="Arial" w:eastAsia="Calibri" w:hAnsi="Arial" w:cs="Arial"/>
          <w:b/>
          <w:color w:val="000000" w:themeColor="text1"/>
          <w:sz w:val="22"/>
          <w:lang w:val="es-ES_tradnl"/>
        </w:rPr>
      </w:pPr>
    </w:p>
    <w:p w14:paraId="65D74FF6" w14:textId="77777777" w:rsidR="008A78D9" w:rsidRPr="00892E76" w:rsidRDefault="008A78D9" w:rsidP="008A78D9">
      <w:pPr>
        <w:jc w:val="both"/>
        <w:rPr>
          <w:rFonts w:ascii="Arial" w:eastAsia="Calibri" w:hAnsi="Arial" w:cs="Arial"/>
          <w:b/>
          <w:color w:val="000000" w:themeColor="text1"/>
          <w:sz w:val="22"/>
          <w:lang w:val="es-ES_tradnl"/>
        </w:rPr>
      </w:pPr>
      <w:r w:rsidRPr="00892E76">
        <w:rPr>
          <w:rFonts w:ascii="Arial" w:eastAsia="Calibri" w:hAnsi="Arial" w:cs="Arial"/>
          <w:b/>
          <w:color w:val="000000" w:themeColor="text1"/>
          <w:sz w:val="22"/>
          <w:lang w:val="es-ES_tradnl"/>
        </w:rPr>
        <w:t>SELECCIÓN OBJETIVA – Contratación estatal – Concepto</w:t>
      </w:r>
    </w:p>
    <w:p w14:paraId="10239046" w14:textId="77777777" w:rsidR="008A78D9" w:rsidRPr="00892E76" w:rsidRDefault="008A78D9" w:rsidP="008A78D9">
      <w:pPr>
        <w:jc w:val="both"/>
        <w:rPr>
          <w:rFonts w:ascii="Arial" w:eastAsia="Calibri" w:hAnsi="Arial" w:cs="Arial"/>
          <w:b/>
          <w:color w:val="000000" w:themeColor="text1"/>
          <w:sz w:val="22"/>
          <w:lang w:val="es-ES_tradnl"/>
        </w:rPr>
      </w:pPr>
    </w:p>
    <w:p w14:paraId="3F62833B" w14:textId="77777777" w:rsidR="008A78D9" w:rsidRPr="00892E76" w:rsidRDefault="008A78D9" w:rsidP="008A78D9">
      <w:pPr>
        <w:jc w:val="both"/>
        <w:rPr>
          <w:rFonts w:ascii="Arial" w:eastAsia="Calibri" w:hAnsi="Arial" w:cs="Arial"/>
          <w:color w:val="000000" w:themeColor="text1"/>
          <w:sz w:val="20"/>
          <w:szCs w:val="20"/>
          <w:lang w:val="es-ES_tradnl"/>
        </w:rPr>
      </w:pPr>
      <w:r w:rsidRPr="00892E76">
        <w:rPr>
          <w:rFonts w:ascii="Arial" w:eastAsia="Calibri" w:hAnsi="Arial" w:cs="Arial"/>
          <w:color w:val="000000" w:themeColor="text1"/>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15131F2" w14:textId="77777777" w:rsidR="008A78D9" w:rsidRPr="00892E76" w:rsidRDefault="008A78D9" w:rsidP="008A78D9">
      <w:pPr>
        <w:jc w:val="both"/>
        <w:rPr>
          <w:rFonts w:ascii="Arial" w:eastAsia="Calibri" w:hAnsi="Arial" w:cs="Arial"/>
          <w:b/>
          <w:color w:val="000000" w:themeColor="text1"/>
          <w:sz w:val="22"/>
          <w:lang w:val="es-ES_tradnl"/>
        </w:rPr>
      </w:pPr>
    </w:p>
    <w:p w14:paraId="62F5DDA4" w14:textId="77777777" w:rsidR="008A78D9" w:rsidRPr="00892E76" w:rsidRDefault="008A78D9" w:rsidP="008A78D9">
      <w:pPr>
        <w:jc w:val="both"/>
        <w:rPr>
          <w:rFonts w:ascii="Arial" w:eastAsia="Calibri" w:hAnsi="Arial" w:cs="Arial"/>
          <w:b/>
          <w:color w:val="000000" w:themeColor="text1"/>
          <w:sz w:val="22"/>
          <w:lang w:val="es-ES_tradnl"/>
        </w:rPr>
      </w:pPr>
      <w:r w:rsidRPr="00892E76">
        <w:rPr>
          <w:rFonts w:ascii="Arial" w:eastAsia="Calibri" w:hAnsi="Arial" w:cs="Arial"/>
          <w:b/>
          <w:color w:val="000000" w:themeColor="text1"/>
          <w:sz w:val="22"/>
          <w:lang w:val="es-ES_tradnl"/>
        </w:rPr>
        <w:t>EMPATE – Procedimiento de selección – Concepto</w:t>
      </w:r>
    </w:p>
    <w:p w14:paraId="0D44B66C" w14:textId="77777777" w:rsidR="008A78D9" w:rsidRPr="00892E76" w:rsidRDefault="008A78D9" w:rsidP="008A78D9">
      <w:pPr>
        <w:jc w:val="both"/>
        <w:rPr>
          <w:rFonts w:ascii="Arial" w:eastAsia="Calibri" w:hAnsi="Arial" w:cs="Arial"/>
          <w:b/>
          <w:color w:val="000000" w:themeColor="text1"/>
          <w:sz w:val="22"/>
          <w:lang w:val="es-ES_tradnl"/>
        </w:rPr>
      </w:pPr>
    </w:p>
    <w:p w14:paraId="2016F88C" w14:textId="77777777" w:rsidR="008A78D9" w:rsidRPr="00892E76" w:rsidRDefault="008A78D9" w:rsidP="008A78D9">
      <w:pPr>
        <w:jc w:val="both"/>
        <w:rPr>
          <w:rFonts w:ascii="Arial" w:hAnsi="Arial" w:cs="Arial"/>
          <w:noProof/>
          <w:color w:val="000000" w:themeColor="text1"/>
          <w:sz w:val="22"/>
          <w:lang w:val="es-ES_tradnl"/>
        </w:rPr>
      </w:pPr>
      <w:r w:rsidRPr="00892E76">
        <w:rPr>
          <w:rFonts w:ascii="Arial" w:eastAsia="Calibri" w:hAnsi="Arial" w:cs="Arial"/>
          <w:color w:val="000000" w:themeColor="text1"/>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C49C5E3" w14:textId="77777777" w:rsidR="008A78D9" w:rsidRPr="00892E76" w:rsidRDefault="008A78D9" w:rsidP="008A78D9">
      <w:pPr>
        <w:jc w:val="both"/>
        <w:rPr>
          <w:rFonts w:ascii="Arial" w:eastAsia="Calibri" w:hAnsi="Arial" w:cs="Arial"/>
          <w:b/>
          <w:color w:val="000000" w:themeColor="text1"/>
          <w:sz w:val="22"/>
          <w:lang w:val="es-ES_tradnl"/>
        </w:rPr>
      </w:pPr>
    </w:p>
    <w:p w14:paraId="253963B1" w14:textId="77777777" w:rsidR="008A78D9" w:rsidRPr="00892E76" w:rsidRDefault="008A78D9" w:rsidP="008A78D9">
      <w:pPr>
        <w:jc w:val="both"/>
        <w:rPr>
          <w:rFonts w:ascii="Arial" w:eastAsia="Calibri" w:hAnsi="Arial" w:cs="Arial"/>
          <w:b/>
          <w:color w:val="000000" w:themeColor="text1"/>
          <w:sz w:val="22"/>
          <w:lang w:val="es-ES_tradnl"/>
        </w:rPr>
      </w:pPr>
      <w:r w:rsidRPr="00892E76">
        <w:rPr>
          <w:rFonts w:ascii="Arial" w:eastAsia="Calibri" w:hAnsi="Arial" w:cs="Arial"/>
          <w:b/>
          <w:color w:val="000000" w:themeColor="text1"/>
          <w:sz w:val="22"/>
          <w:lang w:val="es-ES_tradnl"/>
        </w:rPr>
        <w:t>FACTORES DE DESEMPATE – Características – Límites</w:t>
      </w:r>
    </w:p>
    <w:p w14:paraId="25B2490E" w14:textId="77777777" w:rsidR="008A78D9" w:rsidRPr="00892E76" w:rsidRDefault="008A78D9" w:rsidP="008A78D9">
      <w:pPr>
        <w:spacing w:line="276" w:lineRule="auto"/>
        <w:jc w:val="both"/>
        <w:rPr>
          <w:rFonts w:ascii="Arial" w:hAnsi="Arial" w:cs="Arial"/>
          <w:noProof/>
          <w:color w:val="000000" w:themeColor="text1"/>
          <w:sz w:val="22"/>
          <w:lang w:val="es-ES_tradnl"/>
        </w:rPr>
      </w:pPr>
    </w:p>
    <w:p w14:paraId="57D66E31" w14:textId="5DF848A0" w:rsidR="00DC17C0" w:rsidRPr="00892E76" w:rsidRDefault="00DC17C0" w:rsidP="00DC17C0">
      <w:pPr>
        <w:jc w:val="both"/>
        <w:rPr>
          <w:rFonts w:ascii="Arial" w:eastAsia="Calibri" w:hAnsi="Arial" w:cs="Arial"/>
          <w:color w:val="000000" w:themeColor="text1"/>
          <w:sz w:val="20"/>
          <w:szCs w:val="20"/>
          <w:lang w:val="es-ES_tradnl"/>
        </w:rPr>
      </w:pPr>
      <w:r w:rsidRPr="00892E76">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0E4D3DE7" w14:textId="77777777" w:rsidR="00DC17C0" w:rsidRPr="00892E76" w:rsidRDefault="00DC17C0" w:rsidP="00DC17C0">
      <w:pPr>
        <w:jc w:val="both"/>
        <w:rPr>
          <w:rFonts w:ascii="Arial" w:eastAsia="Calibri" w:hAnsi="Arial" w:cs="Arial"/>
          <w:color w:val="000000" w:themeColor="text1"/>
          <w:sz w:val="20"/>
          <w:szCs w:val="20"/>
          <w:lang w:val="es-ES_tradnl"/>
        </w:rPr>
      </w:pPr>
    </w:p>
    <w:p w14:paraId="205EC5B8" w14:textId="450EA5B7" w:rsidR="008A78D9" w:rsidRPr="00892E76" w:rsidRDefault="00DC17C0" w:rsidP="00DC17C0">
      <w:pPr>
        <w:jc w:val="both"/>
        <w:rPr>
          <w:rFonts w:ascii="Arial" w:eastAsia="Calibri" w:hAnsi="Arial" w:cs="Arial"/>
          <w:color w:val="000000" w:themeColor="text1"/>
          <w:sz w:val="20"/>
          <w:szCs w:val="20"/>
          <w:lang w:val="es-ES_tradnl"/>
        </w:rPr>
      </w:pPr>
      <w:r w:rsidRPr="00892E76">
        <w:rPr>
          <w:rFonts w:ascii="Arial" w:eastAsia="Calibri" w:hAnsi="Arial" w:cs="Arial"/>
          <w:color w:val="000000" w:themeColor="text1"/>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6ED3EEFF" w14:textId="77777777" w:rsidR="008A78D9" w:rsidRPr="00892E76" w:rsidRDefault="008A78D9" w:rsidP="008A78D9">
      <w:pPr>
        <w:jc w:val="both"/>
        <w:rPr>
          <w:rFonts w:ascii="Arial" w:eastAsia="Calibri" w:hAnsi="Arial" w:cs="Arial"/>
          <w:color w:val="000000" w:themeColor="text1"/>
          <w:sz w:val="20"/>
          <w:szCs w:val="20"/>
          <w:lang w:val="es-ES_tradnl"/>
        </w:rPr>
      </w:pPr>
    </w:p>
    <w:p w14:paraId="53848D98" w14:textId="77777777" w:rsidR="008A78D9" w:rsidRPr="00892E76" w:rsidRDefault="008A78D9" w:rsidP="008A78D9">
      <w:pPr>
        <w:jc w:val="both"/>
        <w:rPr>
          <w:rFonts w:ascii="Arial" w:eastAsia="Calibri" w:hAnsi="Arial" w:cs="Arial"/>
          <w:b/>
          <w:color w:val="000000" w:themeColor="text1"/>
          <w:sz w:val="22"/>
          <w:lang w:val="es-ES_tradnl"/>
        </w:rPr>
      </w:pPr>
    </w:p>
    <w:p w14:paraId="6A63EF45" w14:textId="77777777" w:rsidR="000D299D" w:rsidRPr="00892E76" w:rsidRDefault="000D299D" w:rsidP="008A78D9">
      <w:pPr>
        <w:jc w:val="both"/>
        <w:rPr>
          <w:rFonts w:ascii="Arial" w:eastAsia="Calibri" w:hAnsi="Arial" w:cs="Arial"/>
          <w:b/>
          <w:color w:val="000000" w:themeColor="text1"/>
          <w:sz w:val="22"/>
          <w:lang w:val="es-ES_tradnl"/>
        </w:rPr>
      </w:pPr>
    </w:p>
    <w:p w14:paraId="09E41090" w14:textId="77777777" w:rsidR="000D299D" w:rsidRPr="00892E76" w:rsidRDefault="000D299D" w:rsidP="008A78D9">
      <w:pPr>
        <w:jc w:val="both"/>
        <w:rPr>
          <w:rFonts w:ascii="Arial" w:eastAsia="Calibri" w:hAnsi="Arial" w:cs="Arial"/>
          <w:b/>
          <w:color w:val="000000" w:themeColor="text1"/>
          <w:sz w:val="22"/>
          <w:lang w:val="es-ES_tradnl"/>
        </w:rPr>
      </w:pPr>
    </w:p>
    <w:p w14:paraId="1F38DBDC" w14:textId="16DF26E6" w:rsidR="008A78D9" w:rsidRPr="00892E76" w:rsidRDefault="008A78D9" w:rsidP="008A78D9">
      <w:pPr>
        <w:jc w:val="both"/>
        <w:rPr>
          <w:rFonts w:ascii="Arial" w:eastAsia="Calibri" w:hAnsi="Arial" w:cs="Arial"/>
          <w:b/>
          <w:color w:val="000000" w:themeColor="text1"/>
          <w:sz w:val="22"/>
          <w:lang w:val="es-ES_tradnl"/>
        </w:rPr>
      </w:pPr>
      <w:r w:rsidRPr="00892E76">
        <w:rPr>
          <w:rFonts w:ascii="Arial" w:eastAsia="Calibri" w:hAnsi="Arial" w:cs="Arial"/>
          <w:b/>
          <w:color w:val="000000" w:themeColor="text1"/>
          <w:sz w:val="22"/>
          <w:lang w:val="es-ES_tradnl"/>
        </w:rPr>
        <w:lastRenderedPageBreak/>
        <w:t xml:space="preserve">LEY DE EMPRENDIMIENTO – Ley 2069 de 2020 – Vigencia </w:t>
      </w:r>
    </w:p>
    <w:p w14:paraId="63574004" w14:textId="77777777" w:rsidR="008A78D9" w:rsidRPr="00892E76" w:rsidRDefault="008A78D9" w:rsidP="008A78D9">
      <w:pPr>
        <w:jc w:val="both"/>
        <w:rPr>
          <w:rFonts w:ascii="Arial" w:eastAsia="Calibri" w:hAnsi="Arial" w:cs="Arial"/>
          <w:b/>
          <w:color w:val="000000" w:themeColor="text1"/>
          <w:sz w:val="22"/>
          <w:lang w:val="es-ES_tradnl"/>
        </w:rPr>
      </w:pPr>
    </w:p>
    <w:p w14:paraId="253FC307" w14:textId="77777777" w:rsidR="008A78D9" w:rsidRPr="00892E76" w:rsidRDefault="008A78D9" w:rsidP="008A78D9">
      <w:pPr>
        <w:jc w:val="both"/>
        <w:rPr>
          <w:rFonts w:ascii="Arial" w:eastAsia="Calibri" w:hAnsi="Arial" w:cs="Arial"/>
          <w:color w:val="000000" w:themeColor="text1"/>
          <w:sz w:val="20"/>
          <w:szCs w:val="20"/>
          <w:lang w:val="es-ES_tradnl"/>
        </w:rPr>
      </w:pPr>
      <w:r w:rsidRPr="00892E76">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A29BAC3" w14:textId="77777777" w:rsidR="008A78D9" w:rsidRPr="00892E76" w:rsidRDefault="008A78D9" w:rsidP="008A78D9">
      <w:pPr>
        <w:jc w:val="both"/>
        <w:rPr>
          <w:rFonts w:ascii="Arial" w:eastAsia="Calibri" w:hAnsi="Arial" w:cs="Arial"/>
          <w:color w:val="000000" w:themeColor="text1"/>
          <w:sz w:val="20"/>
          <w:szCs w:val="20"/>
          <w:lang w:val="es-ES_tradnl"/>
        </w:rPr>
      </w:pPr>
    </w:p>
    <w:p w14:paraId="4DEE8ECD" w14:textId="77777777" w:rsidR="008A78D9" w:rsidRPr="00892E76" w:rsidRDefault="008A78D9" w:rsidP="008A78D9">
      <w:pPr>
        <w:jc w:val="both"/>
        <w:rPr>
          <w:rFonts w:ascii="Arial" w:eastAsia="Calibri" w:hAnsi="Arial" w:cs="Arial"/>
          <w:color w:val="000000" w:themeColor="text1"/>
          <w:sz w:val="20"/>
          <w:szCs w:val="20"/>
          <w:lang w:val="es-ES_tradnl"/>
        </w:rPr>
      </w:pPr>
      <w:r w:rsidRPr="00892E76">
        <w:rPr>
          <w:rFonts w:ascii="Arial" w:eastAsia="Calibri" w:hAnsi="Arial" w:cs="Arial"/>
          <w:color w:val="000000" w:themeColor="text1"/>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892E76">
        <w:rPr>
          <w:rFonts w:ascii="Arial" w:eastAsia="Calibri" w:hAnsi="Arial" w:cs="Arial"/>
          <w:color w:val="000000" w:themeColor="text1"/>
          <w:sz w:val="20"/>
          <w:szCs w:val="20"/>
          <w:lang w:val="es-ES_tradnl"/>
        </w:rPr>
        <w:t>mipymes</w:t>
      </w:r>
      <w:proofErr w:type="spellEnd"/>
      <w:r w:rsidRPr="00892E76">
        <w:rPr>
          <w:rFonts w:ascii="Arial" w:eastAsia="Calibri" w:hAnsi="Arial" w:cs="Arial"/>
          <w:color w:val="000000" w:themeColor="text1"/>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3E91EA5" w14:textId="77777777" w:rsidR="008A78D9" w:rsidRPr="00892E76" w:rsidRDefault="008A78D9" w:rsidP="008A78D9">
      <w:pPr>
        <w:jc w:val="both"/>
        <w:rPr>
          <w:rFonts w:ascii="Arial" w:eastAsia="Calibri" w:hAnsi="Arial" w:cs="Arial"/>
          <w:b/>
          <w:color w:val="000000" w:themeColor="text1"/>
          <w:sz w:val="22"/>
          <w:lang w:val="es-ES_tradnl"/>
        </w:rPr>
      </w:pPr>
    </w:p>
    <w:p w14:paraId="3149876B" w14:textId="77777777" w:rsidR="008A78D9" w:rsidRPr="00892E76" w:rsidRDefault="008A78D9" w:rsidP="008A78D9">
      <w:pPr>
        <w:jc w:val="both"/>
        <w:rPr>
          <w:rFonts w:ascii="Arial" w:eastAsia="Calibri" w:hAnsi="Arial" w:cs="Arial"/>
          <w:b/>
          <w:color w:val="000000" w:themeColor="text1"/>
          <w:sz w:val="22"/>
          <w:lang w:val="es-ES_tradnl"/>
        </w:rPr>
      </w:pPr>
      <w:r w:rsidRPr="00892E76">
        <w:rPr>
          <w:rFonts w:ascii="Arial" w:eastAsia="Calibri" w:hAnsi="Arial" w:cs="Arial"/>
          <w:b/>
          <w:color w:val="000000" w:themeColor="text1"/>
          <w:sz w:val="22"/>
          <w:lang w:val="es-ES_tradnl"/>
        </w:rPr>
        <w:t>FACTORES DE DESEMPATE – Ley 2069 – Artículo 35 – Acreditación</w:t>
      </w:r>
    </w:p>
    <w:p w14:paraId="6CDCE7CA" w14:textId="77777777" w:rsidR="008A78D9" w:rsidRPr="00892E76" w:rsidRDefault="008A78D9" w:rsidP="008A78D9">
      <w:pPr>
        <w:spacing w:line="276" w:lineRule="auto"/>
        <w:jc w:val="both"/>
        <w:rPr>
          <w:rFonts w:ascii="Arial" w:hAnsi="Arial" w:cs="Arial"/>
          <w:noProof/>
          <w:color w:val="000000" w:themeColor="text1"/>
          <w:sz w:val="22"/>
          <w:lang w:val="es-ES_tradnl"/>
        </w:rPr>
      </w:pPr>
    </w:p>
    <w:p w14:paraId="71B51B01" w14:textId="1D82E37A" w:rsidR="008A78D9" w:rsidRPr="00892E76" w:rsidRDefault="008A78D9" w:rsidP="008A78D9">
      <w:pPr>
        <w:jc w:val="both"/>
        <w:rPr>
          <w:rFonts w:ascii="Arial" w:eastAsia="Calibri" w:hAnsi="Arial" w:cs="Arial"/>
          <w:color w:val="000000" w:themeColor="text1"/>
          <w:sz w:val="20"/>
          <w:szCs w:val="20"/>
          <w:lang w:val="es-ES_tradnl"/>
        </w:rPr>
      </w:pPr>
      <w:r w:rsidRPr="00892E76">
        <w:rPr>
          <w:rFonts w:ascii="Arial" w:eastAsia="Calibri" w:hAnsi="Arial" w:cs="Arial"/>
          <w:color w:val="000000" w:themeColor="text1"/>
          <w:sz w:val="20"/>
          <w:szCs w:val="20"/>
          <w:lang w:val="es-ES_tradnl"/>
        </w:rPr>
        <w:t>[…],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511F4902" w14:textId="77777777" w:rsidR="00194199" w:rsidRPr="00892E76" w:rsidRDefault="00194199" w:rsidP="00194199">
      <w:pPr>
        <w:jc w:val="both"/>
        <w:rPr>
          <w:rFonts w:ascii="Arial" w:hAnsi="Arial" w:cs="Arial"/>
          <w:noProof/>
          <w:color w:val="000000" w:themeColor="text1"/>
          <w:sz w:val="20"/>
          <w:szCs w:val="20"/>
          <w:lang w:val="es-ES_tradnl"/>
        </w:rPr>
      </w:pPr>
    </w:p>
    <w:p w14:paraId="2652D0B5" w14:textId="77777777" w:rsidR="00194199" w:rsidRPr="00892E76" w:rsidRDefault="00194199" w:rsidP="00194199">
      <w:pPr>
        <w:jc w:val="both"/>
        <w:rPr>
          <w:rFonts w:ascii="Arial" w:hAnsi="Arial" w:cs="Arial"/>
          <w:noProof/>
          <w:color w:val="000000" w:themeColor="text1"/>
          <w:sz w:val="20"/>
          <w:szCs w:val="20"/>
          <w:lang w:val="es-ES_tradnl"/>
        </w:rPr>
      </w:pPr>
    </w:p>
    <w:p w14:paraId="51656734" w14:textId="77777777" w:rsidR="00194199" w:rsidRPr="00892E76" w:rsidRDefault="00194199" w:rsidP="00194199">
      <w:pPr>
        <w:jc w:val="both"/>
        <w:rPr>
          <w:rFonts w:ascii="Arial" w:hAnsi="Arial" w:cs="Arial"/>
          <w:noProof/>
          <w:color w:val="000000" w:themeColor="text1"/>
          <w:sz w:val="20"/>
          <w:szCs w:val="20"/>
          <w:lang w:val="es-ES_tradnl"/>
        </w:rPr>
      </w:pPr>
    </w:p>
    <w:p w14:paraId="1F111CF9" w14:textId="77777777" w:rsidR="00194199" w:rsidRPr="00892E76" w:rsidRDefault="00194199" w:rsidP="00194199">
      <w:pPr>
        <w:jc w:val="both"/>
        <w:rPr>
          <w:rFonts w:ascii="Arial" w:hAnsi="Arial" w:cs="Arial"/>
          <w:noProof/>
          <w:color w:val="000000" w:themeColor="text1"/>
          <w:sz w:val="20"/>
          <w:szCs w:val="20"/>
          <w:lang w:val="es-ES_tradnl"/>
        </w:rPr>
      </w:pPr>
    </w:p>
    <w:p w14:paraId="544D2575" w14:textId="77777777" w:rsidR="00194199" w:rsidRPr="00892E76" w:rsidRDefault="00194199" w:rsidP="00194199">
      <w:pPr>
        <w:jc w:val="both"/>
        <w:rPr>
          <w:rFonts w:ascii="Arial" w:hAnsi="Arial" w:cs="Arial"/>
          <w:noProof/>
          <w:color w:val="000000" w:themeColor="text1"/>
          <w:sz w:val="20"/>
          <w:szCs w:val="20"/>
          <w:lang w:val="es-ES_tradnl"/>
        </w:rPr>
      </w:pPr>
    </w:p>
    <w:p w14:paraId="3B6F7C27" w14:textId="77777777" w:rsidR="00194199" w:rsidRPr="00892E76" w:rsidRDefault="00194199" w:rsidP="00194199">
      <w:pPr>
        <w:jc w:val="both"/>
        <w:rPr>
          <w:rFonts w:ascii="Arial" w:hAnsi="Arial" w:cs="Arial"/>
          <w:noProof/>
          <w:color w:val="000000" w:themeColor="text1"/>
          <w:sz w:val="20"/>
          <w:szCs w:val="20"/>
          <w:lang w:val="es-ES_tradnl"/>
        </w:rPr>
      </w:pPr>
    </w:p>
    <w:p w14:paraId="348BE212" w14:textId="77777777" w:rsidR="00194199" w:rsidRPr="00892E76" w:rsidRDefault="00194199" w:rsidP="00194199">
      <w:pPr>
        <w:jc w:val="both"/>
        <w:rPr>
          <w:rFonts w:ascii="Arial" w:hAnsi="Arial" w:cs="Arial"/>
          <w:noProof/>
          <w:color w:val="000000" w:themeColor="text1"/>
          <w:sz w:val="20"/>
          <w:szCs w:val="20"/>
          <w:lang w:val="es-ES_tradnl"/>
        </w:rPr>
      </w:pPr>
    </w:p>
    <w:p w14:paraId="64882549" w14:textId="77777777" w:rsidR="00194199" w:rsidRPr="00892E76" w:rsidRDefault="00194199" w:rsidP="00194199">
      <w:pPr>
        <w:jc w:val="both"/>
        <w:rPr>
          <w:rFonts w:ascii="Arial" w:hAnsi="Arial" w:cs="Arial"/>
          <w:noProof/>
          <w:color w:val="000000" w:themeColor="text1"/>
          <w:sz w:val="20"/>
          <w:szCs w:val="20"/>
          <w:lang w:val="es-ES_tradnl"/>
        </w:rPr>
      </w:pPr>
    </w:p>
    <w:p w14:paraId="0D99C8EB" w14:textId="77777777" w:rsidR="00194199" w:rsidRPr="00892E76" w:rsidRDefault="00194199" w:rsidP="00194199">
      <w:pPr>
        <w:jc w:val="both"/>
        <w:rPr>
          <w:rFonts w:ascii="Arial" w:hAnsi="Arial" w:cs="Arial"/>
          <w:noProof/>
          <w:color w:val="000000" w:themeColor="text1"/>
          <w:sz w:val="20"/>
          <w:szCs w:val="20"/>
          <w:lang w:val="es-ES_tradnl"/>
        </w:rPr>
      </w:pPr>
    </w:p>
    <w:p w14:paraId="05D72A98" w14:textId="77777777" w:rsidR="00194199" w:rsidRPr="00892E76" w:rsidRDefault="00194199" w:rsidP="00194199">
      <w:pPr>
        <w:jc w:val="both"/>
        <w:rPr>
          <w:rFonts w:ascii="Arial" w:hAnsi="Arial" w:cs="Arial"/>
          <w:noProof/>
          <w:color w:val="000000" w:themeColor="text1"/>
          <w:sz w:val="20"/>
          <w:szCs w:val="20"/>
          <w:lang w:val="es-ES_tradnl"/>
        </w:rPr>
      </w:pPr>
    </w:p>
    <w:p w14:paraId="03353207" w14:textId="77777777" w:rsidR="00194199" w:rsidRPr="00892E76" w:rsidRDefault="00194199" w:rsidP="00194199">
      <w:pPr>
        <w:jc w:val="both"/>
        <w:rPr>
          <w:rFonts w:ascii="Arial" w:hAnsi="Arial" w:cs="Arial"/>
          <w:noProof/>
          <w:color w:val="000000" w:themeColor="text1"/>
          <w:sz w:val="20"/>
          <w:szCs w:val="20"/>
          <w:lang w:val="es-ES_tradnl"/>
        </w:rPr>
      </w:pPr>
    </w:p>
    <w:p w14:paraId="1109E134" w14:textId="77777777" w:rsidR="00194199" w:rsidRPr="00892E76" w:rsidRDefault="00194199" w:rsidP="00194199">
      <w:pPr>
        <w:jc w:val="both"/>
        <w:rPr>
          <w:rFonts w:ascii="Arial" w:hAnsi="Arial" w:cs="Arial"/>
          <w:noProof/>
          <w:color w:val="000000" w:themeColor="text1"/>
          <w:sz w:val="20"/>
          <w:szCs w:val="20"/>
          <w:lang w:val="es-ES_tradnl"/>
        </w:rPr>
      </w:pPr>
    </w:p>
    <w:p w14:paraId="06F9F881" w14:textId="77777777" w:rsidR="00194199" w:rsidRPr="00892E76" w:rsidRDefault="00194199" w:rsidP="00194199">
      <w:pPr>
        <w:jc w:val="both"/>
        <w:rPr>
          <w:rFonts w:ascii="Arial" w:hAnsi="Arial" w:cs="Arial"/>
          <w:noProof/>
          <w:color w:val="000000" w:themeColor="text1"/>
          <w:sz w:val="20"/>
          <w:szCs w:val="20"/>
          <w:lang w:val="es-ES_tradnl"/>
        </w:rPr>
      </w:pPr>
    </w:p>
    <w:p w14:paraId="477EC1CD" w14:textId="77777777" w:rsidR="00194199" w:rsidRPr="00892E76" w:rsidRDefault="00194199" w:rsidP="00194199">
      <w:pPr>
        <w:jc w:val="both"/>
        <w:rPr>
          <w:rFonts w:ascii="Arial" w:hAnsi="Arial" w:cs="Arial"/>
          <w:noProof/>
          <w:color w:val="000000" w:themeColor="text1"/>
          <w:sz w:val="20"/>
          <w:szCs w:val="20"/>
          <w:lang w:val="es-ES_tradnl"/>
        </w:rPr>
      </w:pPr>
    </w:p>
    <w:p w14:paraId="23C669E3" w14:textId="211FEDE5" w:rsidR="0029717F" w:rsidRPr="00892E76" w:rsidRDefault="0029717F" w:rsidP="00194199">
      <w:pPr>
        <w:jc w:val="both"/>
        <w:rPr>
          <w:rFonts w:ascii="Arial" w:hAnsi="Arial" w:cs="Arial"/>
          <w:noProof/>
          <w:color w:val="000000" w:themeColor="text1"/>
          <w:sz w:val="20"/>
          <w:szCs w:val="20"/>
          <w:lang w:val="es-ES_tradnl"/>
        </w:rPr>
      </w:pPr>
      <w:r w:rsidRPr="00892E76">
        <w:rPr>
          <w:rFonts w:ascii="Arial" w:hAnsi="Arial" w:cs="Arial"/>
          <w:color w:val="000000" w:themeColor="text1"/>
          <w:sz w:val="22"/>
          <w:lang w:val="es-ES_tradnl"/>
        </w:rPr>
        <w:lastRenderedPageBreak/>
        <w:t xml:space="preserve">Bogotá D.C., </w:t>
      </w:r>
      <w:r w:rsidR="00B0395C">
        <w:rPr>
          <w:rFonts w:ascii="Arial" w:hAnsi="Arial" w:cs="Arial"/>
          <w:b/>
          <w:color w:val="000000" w:themeColor="text1"/>
          <w:sz w:val="22"/>
          <w:lang w:val="es-ES_tradnl"/>
        </w:rPr>
        <w:t>03/08/2021 17:00:43</w:t>
      </w:r>
    </w:p>
    <w:p w14:paraId="0DD8EA5B" w14:textId="77777777" w:rsidR="0029717F" w:rsidRPr="00892E76" w:rsidRDefault="0029717F" w:rsidP="0029717F">
      <w:pPr>
        <w:jc w:val="right"/>
        <w:rPr>
          <w:rFonts w:ascii="Arial" w:hAnsi="Arial" w:cs="Arial"/>
          <w:b/>
          <w:color w:val="000000" w:themeColor="text1"/>
          <w:sz w:val="22"/>
          <w:lang w:val="es-ES_tradnl"/>
        </w:rPr>
      </w:pPr>
    </w:p>
    <w:p w14:paraId="265CF511" w14:textId="6225CF4B" w:rsidR="00B0395C" w:rsidRPr="00B0395C" w:rsidRDefault="00B0395C" w:rsidP="00B0395C">
      <w:pPr>
        <w:jc w:val="right"/>
      </w:pPr>
      <w:r w:rsidRPr="00B0395C">
        <w:fldChar w:fldCharType="begin"/>
      </w:r>
      <w:r w:rsidRPr="00B0395C">
        <w:instrText xml:space="preserve"> INCLUDEPICTURE "/var/folders/5l/v1rdjm0x1x9416lmbj7_vjt40000gn/T/com.microsoft.Word/WebArchiveCopyPasteTempFiles/page1image1810336" \* MERGEFORMATINET </w:instrText>
      </w:r>
      <w:r w:rsidRPr="00B0395C">
        <w:fldChar w:fldCharType="separate"/>
      </w:r>
      <w:r w:rsidRPr="00B0395C">
        <w:rPr>
          <w:noProof/>
        </w:rPr>
        <w:drawing>
          <wp:inline distT="0" distB="0" distL="0" distR="0" wp14:anchorId="4527E3DA" wp14:editId="5DD226C2">
            <wp:extent cx="2399030" cy="611505"/>
            <wp:effectExtent l="0" t="0" r="1270" b="0"/>
            <wp:docPr id="4" name="Imagen 4" descr="page1image181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103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9030" cy="611505"/>
                    </a:xfrm>
                    <a:prstGeom prst="rect">
                      <a:avLst/>
                    </a:prstGeom>
                    <a:noFill/>
                    <a:ln>
                      <a:noFill/>
                    </a:ln>
                  </pic:spPr>
                </pic:pic>
              </a:graphicData>
            </a:graphic>
          </wp:inline>
        </w:drawing>
      </w:r>
      <w:r w:rsidRPr="00B0395C">
        <w:fldChar w:fldCharType="end"/>
      </w:r>
    </w:p>
    <w:p w14:paraId="6A8A869B" w14:textId="77777777" w:rsidR="00B95C30" w:rsidRPr="00892E76" w:rsidRDefault="00B95C30" w:rsidP="00B66E42">
      <w:pPr>
        <w:jc w:val="right"/>
        <w:rPr>
          <w:rFonts w:ascii="Arial" w:hAnsi="Arial" w:cs="Arial"/>
          <w:b/>
          <w:color w:val="000000" w:themeColor="text1"/>
          <w:sz w:val="22"/>
          <w:lang w:val="es-ES_tradnl"/>
        </w:rPr>
      </w:pPr>
    </w:p>
    <w:p w14:paraId="5F5AE9EF" w14:textId="0A14DCA1" w:rsidR="00B95C30" w:rsidRPr="00892E76" w:rsidRDefault="00B95C30" w:rsidP="00B95C30">
      <w:pPr>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Señor</w:t>
      </w:r>
    </w:p>
    <w:p w14:paraId="4A85BC29" w14:textId="77777777" w:rsidR="00F8198B" w:rsidRPr="00892E76" w:rsidRDefault="00F8198B" w:rsidP="00F8198B">
      <w:pPr>
        <w:rPr>
          <w:rFonts w:ascii="Arial" w:eastAsia="Calibri" w:hAnsi="Arial" w:cs="Arial"/>
          <w:b/>
          <w:sz w:val="22"/>
          <w:lang w:val="es-ES_tradnl"/>
        </w:rPr>
      </w:pPr>
      <w:r w:rsidRPr="00892E76">
        <w:rPr>
          <w:rFonts w:ascii="Arial" w:eastAsia="Calibri" w:hAnsi="Arial" w:cs="Arial"/>
          <w:b/>
          <w:sz w:val="22"/>
          <w:lang w:val="es-ES_tradnl"/>
        </w:rPr>
        <w:t>Carlos Alberto Varela Rebolledo</w:t>
      </w:r>
    </w:p>
    <w:p w14:paraId="3F3D1203" w14:textId="3CC99CC0" w:rsidR="00B95C30" w:rsidRPr="00892E76" w:rsidRDefault="00D461B4" w:rsidP="00B95C30">
      <w:pPr>
        <w:jc w:val="both"/>
        <w:rPr>
          <w:rFonts w:ascii="Arial" w:eastAsia="Calibri" w:hAnsi="Arial" w:cs="Arial"/>
          <w:color w:val="000000" w:themeColor="text1"/>
          <w:sz w:val="22"/>
          <w:lang w:val="es-ES_tradnl"/>
        </w:rPr>
      </w:pPr>
      <w:r w:rsidRPr="00892E76">
        <w:rPr>
          <w:rFonts w:ascii="Arial" w:hAnsi="Arial" w:cs="Arial"/>
          <w:noProof/>
          <w:color w:val="000000" w:themeColor="text1"/>
          <w:sz w:val="22"/>
          <w:lang w:val="es-ES_tradnl"/>
        </w:rPr>
        <w:t>Bogotá D.C.</w:t>
      </w:r>
    </w:p>
    <w:p w14:paraId="24E8D2A9" w14:textId="77777777" w:rsidR="00B95C30" w:rsidRPr="00892E76" w:rsidRDefault="00B95C30" w:rsidP="00B95C30">
      <w:pPr>
        <w:jc w:val="both"/>
        <w:rPr>
          <w:rFonts w:ascii="Arial" w:eastAsia="Calibri" w:hAnsi="Arial" w:cs="Arial"/>
          <w:color w:val="000000" w:themeColor="text1"/>
          <w:sz w:val="22"/>
          <w:lang w:val="es-ES_tradnl"/>
        </w:rPr>
      </w:pPr>
    </w:p>
    <w:p w14:paraId="12E66182" w14:textId="5A231ED0" w:rsidR="00B95C30" w:rsidRPr="00892E76" w:rsidRDefault="00B95C30" w:rsidP="00B95C30">
      <w:pPr>
        <w:jc w:val="center"/>
        <w:rPr>
          <w:rFonts w:ascii="Arial" w:eastAsia="Calibri" w:hAnsi="Arial" w:cs="Arial"/>
          <w:b/>
          <w:bCs/>
          <w:color w:val="000000" w:themeColor="text1"/>
          <w:sz w:val="22"/>
          <w:lang w:val="es-ES_tradnl"/>
        </w:rPr>
      </w:pPr>
      <w:r w:rsidRPr="00892E76">
        <w:rPr>
          <w:rFonts w:ascii="Arial" w:eastAsia="Calibri" w:hAnsi="Arial" w:cs="Arial"/>
          <w:b/>
          <w:bCs/>
          <w:color w:val="000000" w:themeColor="text1"/>
          <w:sz w:val="22"/>
          <w:lang w:val="es-ES_tradnl"/>
        </w:rPr>
        <w:t xml:space="preserve">Concepto C ‒ </w:t>
      </w:r>
      <w:r w:rsidR="00676BE6" w:rsidRPr="00892E76">
        <w:rPr>
          <w:rFonts w:ascii="Arial" w:eastAsia="Calibri" w:hAnsi="Arial" w:cs="Arial"/>
          <w:b/>
          <w:bCs/>
          <w:color w:val="000000" w:themeColor="text1"/>
          <w:sz w:val="22"/>
          <w:lang w:val="es-ES_tradnl"/>
        </w:rPr>
        <w:t>487</w:t>
      </w:r>
      <w:r w:rsidRPr="00892E76">
        <w:rPr>
          <w:rFonts w:ascii="Arial" w:eastAsia="Calibri" w:hAnsi="Arial" w:cs="Arial"/>
          <w:b/>
          <w:bCs/>
          <w:color w:val="000000" w:themeColor="text1"/>
          <w:sz w:val="22"/>
          <w:lang w:val="es-ES_tradnl"/>
        </w:rPr>
        <w:t xml:space="preserve"> de 202</w:t>
      </w:r>
      <w:r w:rsidR="00C56976" w:rsidRPr="00892E76">
        <w:rPr>
          <w:rFonts w:ascii="Arial" w:eastAsia="Calibri" w:hAnsi="Arial" w:cs="Arial"/>
          <w:b/>
          <w:bCs/>
          <w:color w:val="000000" w:themeColor="text1"/>
          <w:sz w:val="22"/>
          <w:lang w:val="es-ES_tradnl"/>
        </w:rPr>
        <w:t>1</w:t>
      </w:r>
    </w:p>
    <w:p w14:paraId="2B376FFA" w14:textId="77777777" w:rsidR="00B95C30" w:rsidRPr="00892E76" w:rsidRDefault="00B95C30" w:rsidP="00B95C30">
      <w:pPr>
        <w:jc w:val="both"/>
        <w:rPr>
          <w:rFonts w:ascii="Arial" w:eastAsia="Calibri" w:hAnsi="Arial" w:cs="Arial"/>
          <w:color w:val="000000" w:themeColor="text1"/>
          <w:sz w:val="22"/>
          <w:lang w:val="es-ES_tradnl"/>
        </w:rPr>
      </w:pPr>
    </w:p>
    <w:p w14:paraId="08CF82B2" w14:textId="77777777" w:rsidR="00B95C30" w:rsidRPr="00892E76" w:rsidRDefault="00B95C30" w:rsidP="00B95C30">
      <w:pPr>
        <w:jc w:val="both"/>
        <w:rPr>
          <w:rFonts w:ascii="Arial" w:eastAsia="Calibri" w:hAnsi="Arial" w:cs="Arial"/>
          <w:color w:val="000000" w:themeColor="text1"/>
          <w:sz w:val="22"/>
          <w:lang w:val="es-ES_tradnl"/>
        </w:rPr>
      </w:pPr>
    </w:p>
    <w:p w14:paraId="1BD594F9" w14:textId="77777777" w:rsidR="00B95C30" w:rsidRPr="00892E7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342B6" w:rsidRPr="00892E76" w14:paraId="19DFC051" w14:textId="77777777" w:rsidTr="003D3D44">
        <w:tc>
          <w:tcPr>
            <w:tcW w:w="2689" w:type="dxa"/>
          </w:tcPr>
          <w:p w14:paraId="6BC0D1AC" w14:textId="77777777" w:rsidR="00B95C30" w:rsidRPr="00892E76" w:rsidRDefault="00B95C30" w:rsidP="003D3D44">
            <w:pPr>
              <w:jc w:val="both"/>
              <w:rPr>
                <w:rFonts w:ascii="Arial" w:eastAsia="Calibri" w:hAnsi="Arial" w:cs="Arial"/>
                <w:color w:val="000000" w:themeColor="text1"/>
                <w:sz w:val="22"/>
                <w:lang w:val="es-ES_tradnl"/>
              </w:rPr>
            </w:pPr>
            <w:r w:rsidRPr="00892E76">
              <w:rPr>
                <w:rFonts w:ascii="Arial" w:eastAsia="Calibri" w:hAnsi="Arial" w:cs="Arial"/>
                <w:b/>
                <w:color w:val="000000" w:themeColor="text1"/>
                <w:sz w:val="22"/>
                <w:lang w:val="es-ES_tradnl"/>
              </w:rPr>
              <w:t>Temas:</w:t>
            </w:r>
            <w:r w:rsidRPr="00892E76">
              <w:rPr>
                <w:rFonts w:ascii="Arial" w:eastAsia="Calibri" w:hAnsi="Arial" w:cs="Arial"/>
                <w:color w:val="000000" w:themeColor="text1"/>
                <w:sz w:val="22"/>
                <w:lang w:val="es-ES_tradnl"/>
              </w:rPr>
              <w:t xml:space="preserve">                                      </w:t>
            </w:r>
          </w:p>
        </w:tc>
        <w:tc>
          <w:tcPr>
            <w:tcW w:w="6237" w:type="dxa"/>
          </w:tcPr>
          <w:p w14:paraId="5F389CAF" w14:textId="68C900AE" w:rsidR="00B95C30" w:rsidRPr="00892E76" w:rsidRDefault="00B020EB" w:rsidP="0038512F">
            <w:pPr>
              <w:pStyle w:val="Sinespaciado"/>
              <w:jc w:val="both"/>
              <w:rPr>
                <w:rFonts w:ascii="Arial" w:hAnsi="Arial" w:cs="Arial"/>
                <w:bCs/>
                <w:color w:val="000000" w:themeColor="text1"/>
                <w:sz w:val="22"/>
                <w:lang w:val="es-ES_tradnl"/>
              </w:rPr>
            </w:pPr>
            <w:r w:rsidRPr="00892E76">
              <w:rPr>
                <w:rFonts w:ascii="Arial" w:eastAsia="Calibri" w:hAnsi="Arial" w:cs="Arial"/>
                <w:color w:val="000000" w:themeColor="text1"/>
                <w:sz w:val="22"/>
                <w:lang w:val="es-ES_tradnl"/>
              </w:rPr>
              <w:t>SELECCIÓN OBJETIVA – Contratación estatal – Concepto / EMPATE – Procedimiento de selección – Concepto / FACTORES DE DESEMPATE – Características – Límites / LEY DE EMPRENDIMIENTO – Ley 2069 de 2020 – Vigencia / FACTORES DE DESEMPATE – Ley 2069 – Artículo 35 – Acreditación</w:t>
            </w:r>
          </w:p>
        </w:tc>
      </w:tr>
      <w:tr w:rsidR="009342B6" w:rsidRPr="00892E76" w14:paraId="27CD52AB" w14:textId="77777777" w:rsidTr="003D3D44">
        <w:tc>
          <w:tcPr>
            <w:tcW w:w="2689" w:type="dxa"/>
          </w:tcPr>
          <w:p w14:paraId="37E195A1" w14:textId="4C368209" w:rsidR="00B95C30" w:rsidRPr="00892E76" w:rsidRDefault="00B95C30" w:rsidP="003D3D44">
            <w:pPr>
              <w:spacing w:before="120"/>
              <w:jc w:val="both"/>
              <w:rPr>
                <w:rFonts w:ascii="Arial" w:eastAsia="Calibri" w:hAnsi="Arial" w:cs="Arial"/>
                <w:b/>
                <w:color w:val="000000" w:themeColor="text1"/>
                <w:sz w:val="22"/>
                <w:lang w:val="es-ES_tradnl"/>
              </w:rPr>
            </w:pPr>
            <w:r w:rsidRPr="00892E76">
              <w:rPr>
                <w:rFonts w:ascii="Arial" w:eastAsia="Calibri" w:hAnsi="Arial" w:cs="Arial"/>
                <w:b/>
                <w:color w:val="000000" w:themeColor="text1"/>
                <w:sz w:val="22"/>
                <w:lang w:val="es-ES_tradnl"/>
              </w:rPr>
              <w:t>Radicación:</w:t>
            </w:r>
            <w:r w:rsidRPr="00892E76">
              <w:rPr>
                <w:rFonts w:ascii="Arial" w:eastAsia="Calibri" w:hAnsi="Arial" w:cs="Arial"/>
                <w:color w:val="000000" w:themeColor="text1"/>
                <w:sz w:val="22"/>
                <w:lang w:val="es-ES_tradnl"/>
              </w:rPr>
              <w:t xml:space="preserve">                              </w:t>
            </w:r>
          </w:p>
        </w:tc>
        <w:tc>
          <w:tcPr>
            <w:tcW w:w="6237" w:type="dxa"/>
          </w:tcPr>
          <w:p w14:paraId="64360FC9" w14:textId="7BFB0F85" w:rsidR="00B95C30" w:rsidRPr="00892E76" w:rsidRDefault="00B95C30" w:rsidP="003D3D44">
            <w:pPr>
              <w:spacing w:before="120"/>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 xml:space="preserve">Respuesta a consulta # </w:t>
            </w:r>
            <w:r w:rsidR="00FE07D8" w:rsidRPr="00892E76">
              <w:rPr>
                <w:rFonts w:ascii="Arial" w:eastAsia="Calibri" w:hAnsi="Arial" w:cs="Arial"/>
                <w:color w:val="000000" w:themeColor="text1"/>
                <w:sz w:val="22"/>
                <w:lang w:val="es-ES_tradnl"/>
              </w:rPr>
              <w:t>P20210730006685</w:t>
            </w:r>
          </w:p>
          <w:p w14:paraId="09088B1B" w14:textId="77777777" w:rsidR="00B95C30" w:rsidRPr="00892E76" w:rsidRDefault="00B95C30" w:rsidP="003D3D44">
            <w:pPr>
              <w:spacing w:before="120"/>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 xml:space="preserve"> </w:t>
            </w:r>
          </w:p>
        </w:tc>
      </w:tr>
    </w:tbl>
    <w:p w14:paraId="1CF4AEA0" w14:textId="5949F1A2" w:rsidR="003C3339" w:rsidRPr="00892E76" w:rsidRDefault="003C3339" w:rsidP="003C3339">
      <w:pPr>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Estimad</w:t>
      </w:r>
      <w:r w:rsidR="00BB48C1" w:rsidRPr="00892E76">
        <w:rPr>
          <w:rFonts w:ascii="Arial" w:eastAsia="Calibri" w:hAnsi="Arial" w:cs="Arial"/>
          <w:color w:val="000000" w:themeColor="text1"/>
          <w:sz w:val="22"/>
          <w:lang w:val="es-ES_tradnl"/>
        </w:rPr>
        <w:t>o</w:t>
      </w:r>
      <w:r w:rsidRPr="00892E76">
        <w:rPr>
          <w:rFonts w:ascii="Arial" w:eastAsia="Calibri" w:hAnsi="Arial" w:cs="Arial"/>
          <w:color w:val="000000" w:themeColor="text1"/>
          <w:sz w:val="22"/>
          <w:lang w:val="es-ES_tradnl"/>
        </w:rPr>
        <w:t xml:space="preserve"> </w:t>
      </w:r>
      <w:r w:rsidR="00677E9C" w:rsidRPr="00892E76">
        <w:rPr>
          <w:rFonts w:ascii="Arial" w:eastAsia="Calibri" w:hAnsi="Arial" w:cs="Arial"/>
          <w:color w:val="000000" w:themeColor="text1"/>
          <w:sz w:val="22"/>
          <w:lang w:val="es-ES_tradnl"/>
        </w:rPr>
        <w:t xml:space="preserve">señor </w:t>
      </w:r>
      <w:r w:rsidR="00485E9D" w:rsidRPr="00892E76">
        <w:rPr>
          <w:rFonts w:ascii="Arial" w:eastAsia="Calibri" w:hAnsi="Arial" w:cs="Arial"/>
          <w:color w:val="000000" w:themeColor="text1"/>
          <w:sz w:val="22"/>
          <w:lang w:val="es-ES_tradnl"/>
        </w:rPr>
        <w:t>Varela</w:t>
      </w:r>
      <w:r w:rsidRPr="00892E76">
        <w:rPr>
          <w:rFonts w:ascii="Arial" w:eastAsia="Calibri" w:hAnsi="Arial" w:cs="Arial"/>
          <w:color w:val="000000" w:themeColor="text1"/>
          <w:sz w:val="22"/>
          <w:lang w:val="es-ES_tradnl"/>
        </w:rPr>
        <w:t>:</w:t>
      </w:r>
    </w:p>
    <w:p w14:paraId="1EAE5543" w14:textId="77777777" w:rsidR="00DD5B04" w:rsidRPr="00892E76" w:rsidRDefault="00DD5B04" w:rsidP="00DF76A2">
      <w:pPr>
        <w:jc w:val="both"/>
        <w:rPr>
          <w:rFonts w:ascii="Arial" w:eastAsia="Calibri" w:hAnsi="Arial" w:cs="Arial"/>
          <w:color w:val="000000" w:themeColor="text1"/>
          <w:sz w:val="22"/>
          <w:lang w:val="es-ES_tradnl"/>
        </w:rPr>
      </w:pPr>
    </w:p>
    <w:p w14:paraId="2109B2D3" w14:textId="43CFA501" w:rsidR="00DD5B04" w:rsidRPr="00892E76" w:rsidRDefault="00DD5B04" w:rsidP="00DF76A2">
      <w:pPr>
        <w:spacing w:line="276" w:lineRule="auto"/>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AB1340" w:rsidRPr="00892E76">
        <w:rPr>
          <w:rFonts w:ascii="Arial" w:eastAsia="Calibri" w:hAnsi="Arial" w:cs="Arial"/>
          <w:color w:val="000000" w:themeColor="text1"/>
          <w:sz w:val="22"/>
          <w:lang w:val="es-ES_tradnl"/>
        </w:rPr>
        <w:t xml:space="preserve"> </w:t>
      </w:r>
      <w:r w:rsidRPr="00892E76">
        <w:rPr>
          <w:rFonts w:ascii="Arial" w:eastAsia="Calibri" w:hAnsi="Arial" w:cs="Arial"/>
          <w:color w:val="000000" w:themeColor="text1"/>
          <w:sz w:val="22"/>
          <w:lang w:val="es-ES_tradnl"/>
        </w:rPr>
        <w:t>la Agencia Nacional de Contratación Pública ― Colombia Compra Eficiente</w:t>
      </w:r>
      <w:r w:rsidR="008C3C57" w:rsidRPr="00892E76">
        <w:rPr>
          <w:rFonts w:ascii="Arial" w:eastAsia="Calibri" w:hAnsi="Arial" w:cs="Arial"/>
          <w:color w:val="000000" w:themeColor="text1"/>
          <w:sz w:val="22"/>
          <w:lang w:val="es-ES_tradnl"/>
        </w:rPr>
        <w:t xml:space="preserve"> </w:t>
      </w:r>
      <w:r w:rsidRPr="00892E76">
        <w:rPr>
          <w:rFonts w:ascii="Arial" w:eastAsia="Calibri" w:hAnsi="Arial" w:cs="Arial"/>
          <w:color w:val="000000" w:themeColor="text1"/>
          <w:sz w:val="22"/>
          <w:lang w:val="es-ES_tradnl"/>
        </w:rPr>
        <w:t xml:space="preserve">responde su consulta del </w:t>
      </w:r>
      <w:r w:rsidR="0066495B" w:rsidRPr="00892E76">
        <w:rPr>
          <w:rFonts w:ascii="Arial" w:eastAsia="Calibri" w:hAnsi="Arial" w:cs="Arial"/>
          <w:color w:val="000000" w:themeColor="text1"/>
          <w:sz w:val="22"/>
          <w:lang w:val="es-ES_tradnl"/>
        </w:rPr>
        <w:t>2</w:t>
      </w:r>
      <w:r w:rsidR="00485E9D" w:rsidRPr="00892E76">
        <w:rPr>
          <w:rFonts w:ascii="Arial" w:eastAsia="Calibri" w:hAnsi="Arial" w:cs="Arial"/>
          <w:color w:val="000000" w:themeColor="text1"/>
          <w:sz w:val="22"/>
          <w:lang w:val="es-ES_tradnl"/>
        </w:rPr>
        <w:t>9</w:t>
      </w:r>
      <w:r w:rsidR="00FD4AF3" w:rsidRPr="00892E76">
        <w:rPr>
          <w:rFonts w:ascii="Arial" w:eastAsia="Calibri" w:hAnsi="Arial" w:cs="Arial"/>
          <w:color w:val="000000" w:themeColor="text1"/>
          <w:sz w:val="22"/>
          <w:lang w:val="es-ES_tradnl"/>
        </w:rPr>
        <w:t xml:space="preserve"> de </w:t>
      </w:r>
      <w:r w:rsidR="00485E9D" w:rsidRPr="00892E76">
        <w:rPr>
          <w:rFonts w:ascii="Arial" w:eastAsia="Calibri" w:hAnsi="Arial" w:cs="Arial"/>
          <w:color w:val="000000" w:themeColor="text1"/>
          <w:sz w:val="22"/>
          <w:lang w:val="es-ES_tradnl"/>
        </w:rPr>
        <w:t>julio</w:t>
      </w:r>
      <w:r w:rsidRPr="00892E76">
        <w:rPr>
          <w:rFonts w:ascii="Arial" w:eastAsia="Calibri" w:hAnsi="Arial" w:cs="Arial"/>
          <w:color w:val="000000" w:themeColor="text1"/>
          <w:sz w:val="22"/>
          <w:lang w:val="es-ES_tradnl"/>
        </w:rPr>
        <w:t xml:space="preserve"> del</w:t>
      </w:r>
      <w:r w:rsidR="007E74BF" w:rsidRPr="00892E76">
        <w:rPr>
          <w:rFonts w:ascii="Arial" w:eastAsia="Calibri" w:hAnsi="Arial" w:cs="Arial"/>
          <w:color w:val="000000" w:themeColor="text1"/>
          <w:sz w:val="22"/>
          <w:lang w:val="es-ES_tradnl"/>
        </w:rPr>
        <w:t xml:space="preserve"> </w:t>
      </w:r>
      <w:r w:rsidRPr="00892E76">
        <w:rPr>
          <w:rFonts w:ascii="Arial" w:eastAsia="Calibri" w:hAnsi="Arial" w:cs="Arial"/>
          <w:color w:val="000000" w:themeColor="text1"/>
          <w:sz w:val="22"/>
          <w:lang w:val="es-ES_tradnl"/>
        </w:rPr>
        <w:t>202</w:t>
      </w:r>
      <w:r w:rsidR="004673A8" w:rsidRPr="00892E76">
        <w:rPr>
          <w:rFonts w:ascii="Arial" w:eastAsia="Calibri" w:hAnsi="Arial" w:cs="Arial"/>
          <w:color w:val="000000" w:themeColor="text1"/>
          <w:sz w:val="22"/>
          <w:lang w:val="es-ES_tradnl"/>
        </w:rPr>
        <w:t>1</w:t>
      </w:r>
      <w:r w:rsidR="008C3C57" w:rsidRPr="00892E76">
        <w:rPr>
          <w:rFonts w:ascii="Arial" w:eastAsia="Calibri" w:hAnsi="Arial" w:cs="Arial"/>
          <w:color w:val="000000" w:themeColor="text1"/>
          <w:sz w:val="22"/>
          <w:lang w:val="es-ES_tradnl"/>
        </w:rPr>
        <w:t>.</w:t>
      </w:r>
    </w:p>
    <w:p w14:paraId="0C1E0712" w14:textId="77777777" w:rsidR="00DD5B04" w:rsidRPr="00892E76"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92E7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92E76">
        <w:rPr>
          <w:rFonts w:ascii="Arial" w:eastAsia="Calibri" w:hAnsi="Arial" w:cs="Arial"/>
          <w:b/>
          <w:color w:val="000000" w:themeColor="text1"/>
          <w:sz w:val="22"/>
          <w:lang w:val="es-ES_tradnl"/>
        </w:rPr>
        <w:t xml:space="preserve">Problema planteado </w:t>
      </w:r>
    </w:p>
    <w:p w14:paraId="224B43D3" w14:textId="77777777" w:rsidR="00DD5B04" w:rsidRPr="00892E7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892E76" w:rsidRDefault="00DD5B04" w:rsidP="0099583D">
      <w:pPr>
        <w:spacing w:line="276" w:lineRule="auto"/>
        <w:jc w:val="both"/>
        <w:rPr>
          <w:rFonts w:ascii="Arial" w:hAnsi="Arial" w:cs="Arial"/>
          <w:color w:val="000000" w:themeColor="text1"/>
          <w:sz w:val="22"/>
          <w:lang w:val="es-ES_tradnl"/>
        </w:rPr>
      </w:pPr>
      <w:r w:rsidRPr="00892E76">
        <w:rPr>
          <w:rFonts w:ascii="Arial" w:hAnsi="Arial" w:cs="Arial"/>
          <w:color w:val="000000" w:themeColor="text1"/>
          <w:sz w:val="22"/>
          <w:lang w:val="es-ES_tradnl"/>
        </w:rPr>
        <w:t xml:space="preserve">Usted </w:t>
      </w:r>
      <w:r w:rsidR="00B422C0" w:rsidRPr="00892E76">
        <w:rPr>
          <w:rFonts w:ascii="Arial" w:hAnsi="Arial" w:cs="Arial"/>
          <w:color w:val="000000" w:themeColor="text1"/>
          <w:sz w:val="22"/>
          <w:lang w:val="es-ES_tradnl"/>
        </w:rPr>
        <w:t>formula</w:t>
      </w:r>
      <w:r w:rsidR="006D46A3" w:rsidRPr="00892E76">
        <w:rPr>
          <w:rFonts w:ascii="Arial" w:hAnsi="Arial" w:cs="Arial"/>
          <w:color w:val="000000" w:themeColor="text1"/>
          <w:sz w:val="22"/>
          <w:lang w:val="es-ES_tradnl"/>
        </w:rPr>
        <w:t xml:space="preserve"> la siguiente </w:t>
      </w:r>
      <w:r w:rsidR="00B46915" w:rsidRPr="00892E76">
        <w:rPr>
          <w:rFonts w:ascii="Arial" w:hAnsi="Arial" w:cs="Arial"/>
          <w:color w:val="000000" w:themeColor="text1"/>
          <w:sz w:val="22"/>
          <w:lang w:val="es-ES_tradnl"/>
        </w:rPr>
        <w:t>consulta</w:t>
      </w:r>
      <w:r w:rsidR="000314BD" w:rsidRPr="00892E76">
        <w:rPr>
          <w:rFonts w:ascii="Arial" w:hAnsi="Arial" w:cs="Arial"/>
          <w:color w:val="000000" w:themeColor="text1"/>
          <w:sz w:val="22"/>
          <w:lang w:val="es-ES_tradnl"/>
        </w:rPr>
        <w:t>:</w:t>
      </w:r>
      <w:r w:rsidR="007E18DF" w:rsidRPr="00892E76">
        <w:rPr>
          <w:rFonts w:ascii="Arial" w:hAnsi="Arial" w:cs="Arial"/>
          <w:color w:val="000000" w:themeColor="text1"/>
          <w:sz w:val="22"/>
          <w:lang w:val="es-ES_tradnl"/>
        </w:rPr>
        <w:t xml:space="preserve"> </w:t>
      </w:r>
    </w:p>
    <w:p w14:paraId="559EE20C" w14:textId="77777777" w:rsidR="00443B55" w:rsidRPr="00892E76" w:rsidRDefault="00443B55" w:rsidP="0099583D">
      <w:pPr>
        <w:spacing w:line="276" w:lineRule="auto"/>
        <w:jc w:val="both"/>
        <w:rPr>
          <w:rFonts w:ascii="Arial" w:hAnsi="Arial" w:cs="Arial"/>
          <w:color w:val="000000" w:themeColor="text1"/>
          <w:sz w:val="22"/>
          <w:lang w:val="es-ES_tradnl"/>
        </w:rPr>
      </w:pPr>
    </w:p>
    <w:p w14:paraId="65366380" w14:textId="77777777" w:rsidR="0072722A" w:rsidRPr="00892E76" w:rsidRDefault="0072722A" w:rsidP="0072722A">
      <w:pPr>
        <w:ind w:left="709"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t>«1. Si una entidad estatal NO establece en el Pliego de Condiciones, mediante qué documento o medio probatorio se acredita el citado numeral y al no existir tarifa legal y, por tanto, libertad probatoria para acreditar el numeral 4) del artículo 35 de la Ley 2069 de 2020, y en razón a que la noma en cita suprimió en su totalidad el articulo 12 de la Ley 1150 de 2007, en entendemos (sic) que en caso de ofertas presentadas por Unión Temporal, debe ser demostrada la condición definida en el numeral 4) del artículo 35 de la Ley 2069 de 2020 por cada una de los integrantes de la Unión Temporal que estén en capacidad de acreditar dicha condición de sus empleados, en especial con cualquiera de los siguientes documentos:</w:t>
      </w:r>
    </w:p>
    <w:p w14:paraId="7294227B" w14:textId="77777777" w:rsidR="0072722A" w:rsidRPr="00892E76" w:rsidRDefault="0072722A" w:rsidP="0072722A">
      <w:pPr>
        <w:ind w:left="709" w:right="709"/>
        <w:jc w:val="both"/>
        <w:rPr>
          <w:rFonts w:ascii="Arial" w:eastAsia="Calibri" w:hAnsi="Arial" w:cs="Arial"/>
          <w:color w:val="000000" w:themeColor="text1"/>
          <w:sz w:val="21"/>
          <w:szCs w:val="21"/>
          <w:lang w:val="es-ES_tradnl"/>
        </w:rPr>
      </w:pPr>
    </w:p>
    <w:p w14:paraId="37FBB8A1" w14:textId="77777777" w:rsidR="0072722A" w:rsidRPr="00892E76" w:rsidRDefault="0072722A" w:rsidP="0072722A">
      <w:pPr>
        <w:pStyle w:val="Prrafodelista"/>
        <w:numPr>
          <w:ilvl w:val="0"/>
          <w:numId w:val="30"/>
        </w:numPr>
        <w:ind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t>»Cédula de ciudadanía de las personas que ostentan tal calidad,</w:t>
      </w:r>
    </w:p>
    <w:p w14:paraId="4EE6BA5A" w14:textId="77777777" w:rsidR="0072722A" w:rsidRPr="00892E76" w:rsidRDefault="0072722A" w:rsidP="0072722A">
      <w:pPr>
        <w:pStyle w:val="Prrafodelista"/>
        <w:numPr>
          <w:ilvl w:val="0"/>
          <w:numId w:val="30"/>
        </w:numPr>
        <w:ind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lastRenderedPageBreak/>
        <w:t>»Certificación firmada por el Revisor Fiscal y/o Representante Legal de la persona jurídica integrante de la Unión Temporal que ostenta tal calidad, indicando el número de personas en esta condición, la vinculación mayor a un año de este personal a la empresa y el número total de la planta de personal y</w:t>
      </w:r>
    </w:p>
    <w:p w14:paraId="0487DB93" w14:textId="77777777" w:rsidR="0072722A" w:rsidRPr="00892E76" w:rsidRDefault="0072722A" w:rsidP="0072722A">
      <w:pPr>
        <w:pStyle w:val="Prrafodelista"/>
        <w:numPr>
          <w:ilvl w:val="0"/>
          <w:numId w:val="30"/>
        </w:numPr>
        <w:ind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t>»Copia de las planillas de pago de las personas que ostentan tal calidad, a fin de demostrar vinculación en la empresa integrante de la Unión Temporal.</w:t>
      </w:r>
    </w:p>
    <w:p w14:paraId="6AFF57D0" w14:textId="77777777" w:rsidR="0072722A" w:rsidRPr="00892E76" w:rsidRDefault="0072722A" w:rsidP="0072722A">
      <w:pPr>
        <w:ind w:left="709" w:right="709"/>
        <w:jc w:val="both"/>
        <w:rPr>
          <w:rFonts w:ascii="Arial" w:eastAsia="Calibri" w:hAnsi="Arial" w:cs="Arial"/>
          <w:color w:val="000000" w:themeColor="text1"/>
          <w:sz w:val="21"/>
          <w:szCs w:val="21"/>
          <w:lang w:val="es-ES_tradnl"/>
        </w:rPr>
      </w:pPr>
    </w:p>
    <w:p w14:paraId="60D8B65B" w14:textId="77777777" w:rsidR="0072722A" w:rsidRPr="00892E76" w:rsidRDefault="0072722A" w:rsidP="0072722A">
      <w:pPr>
        <w:ind w:left="709"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t xml:space="preserve">»2. Teniendo en cuenta que no hay tarifa legal que defina como debe acreditarse la condición dispuesta en el numeral 4) del artículo 35 de la Ley 2069 de 2020, en relación con proponentes plurales, entendemos que en caso de proponentes plurales bastaría con que uno o varios de sus integrantes acredite las condiciones dispuestos en el numeral 4) del artículo 35 de la Ley 2069 de 2020, para ser beneficiario de dicho criterio de desempate, tal y como sucede frente a los criterios de desempate de 10% de la nómina en condición de discapacitados y </w:t>
      </w:r>
      <w:proofErr w:type="spellStart"/>
      <w:r w:rsidRPr="00892E76">
        <w:rPr>
          <w:rFonts w:ascii="Arial" w:eastAsia="Calibri" w:hAnsi="Arial" w:cs="Arial"/>
          <w:color w:val="000000" w:themeColor="text1"/>
          <w:sz w:val="21"/>
          <w:szCs w:val="21"/>
          <w:lang w:val="es-ES_tradnl"/>
        </w:rPr>
        <w:t>Mipymes</w:t>
      </w:r>
      <w:proofErr w:type="spellEnd"/>
      <w:r w:rsidRPr="00892E76">
        <w:rPr>
          <w:rFonts w:ascii="Arial" w:eastAsia="Calibri" w:hAnsi="Arial" w:cs="Arial"/>
          <w:color w:val="000000" w:themeColor="text1"/>
          <w:sz w:val="21"/>
          <w:szCs w:val="21"/>
          <w:lang w:val="es-ES_tradnl"/>
        </w:rPr>
        <w:t>, en donde se permite que como mínimo uno de los integrantes cumpla con dicha condición».</w:t>
      </w:r>
    </w:p>
    <w:p w14:paraId="0EF4AE16" w14:textId="77777777" w:rsidR="00B75972" w:rsidRPr="00892E76" w:rsidRDefault="00B75972" w:rsidP="001266DB">
      <w:pPr>
        <w:ind w:right="709"/>
        <w:jc w:val="both"/>
        <w:rPr>
          <w:rFonts w:ascii="Arial" w:hAnsi="Arial" w:cs="Arial"/>
          <w:color w:val="000000" w:themeColor="text1"/>
          <w:sz w:val="22"/>
          <w:lang w:val="es-ES_tradnl"/>
        </w:rPr>
      </w:pPr>
    </w:p>
    <w:p w14:paraId="124D2DCA" w14:textId="77777777" w:rsidR="00DD5B04" w:rsidRPr="00892E76"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92E76">
        <w:rPr>
          <w:rFonts w:ascii="Arial" w:eastAsia="Calibri" w:hAnsi="Arial" w:cs="Arial"/>
          <w:b/>
          <w:color w:val="000000" w:themeColor="text1"/>
          <w:sz w:val="22"/>
          <w:lang w:val="es-ES_tradnl"/>
        </w:rPr>
        <w:t>Consideraciones</w:t>
      </w:r>
    </w:p>
    <w:p w14:paraId="7D050D2E" w14:textId="4381E36A" w:rsidR="00435703" w:rsidRPr="00892E76" w:rsidRDefault="00435703" w:rsidP="00DF76A2">
      <w:pPr>
        <w:spacing w:line="276" w:lineRule="auto"/>
        <w:jc w:val="both"/>
        <w:rPr>
          <w:rFonts w:ascii="Arial" w:eastAsia="Calibri" w:hAnsi="Arial" w:cs="Arial"/>
          <w:color w:val="000000" w:themeColor="text1"/>
          <w:sz w:val="22"/>
          <w:szCs w:val="22"/>
          <w:lang w:val="es-ES_tradnl"/>
        </w:rPr>
      </w:pPr>
    </w:p>
    <w:p w14:paraId="7BBB1CC4" w14:textId="3414EB86" w:rsidR="009D1D53" w:rsidRPr="00892E76" w:rsidRDefault="009D1D53" w:rsidP="009D1D53">
      <w:pPr>
        <w:spacing w:line="276" w:lineRule="auto"/>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La Subdirección de Gestión Contractual responderá </w:t>
      </w:r>
      <w:r w:rsidR="00F917AC" w:rsidRPr="00892E76">
        <w:rPr>
          <w:rFonts w:ascii="Arial" w:eastAsia="Calibri" w:hAnsi="Arial" w:cs="Arial"/>
          <w:color w:val="000000" w:themeColor="text1"/>
          <w:sz w:val="22"/>
          <w:szCs w:val="22"/>
          <w:lang w:val="es-ES_tradnl"/>
        </w:rPr>
        <w:t>los interrogantes planteados en</w:t>
      </w:r>
      <w:r w:rsidR="00FE66E4" w:rsidRPr="00892E76">
        <w:rPr>
          <w:rFonts w:ascii="Arial" w:eastAsia="Calibri" w:hAnsi="Arial" w:cs="Arial"/>
          <w:color w:val="000000" w:themeColor="text1"/>
          <w:sz w:val="22"/>
          <w:szCs w:val="22"/>
          <w:lang w:val="es-ES_tradnl"/>
        </w:rPr>
        <w:t xml:space="preserve"> </w:t>
      </w:r>
      <w:r w:rsidRPr="00892E76">
        <w:rPr>
          <w:rFonts w:ascii="Arial" w:eastAsia="Calibri" w:hAnsi="Arial" w:cs="Arial"/>
          <w:color w:val="000000" w:themeColor="text1"/>
          <w:sz w:val="22"/>
          <w:szCs w:val="22"/>
          <w:lang w:val="es-ES_tradnl"/>
        </w:rPr>
        <w:t>la consulta, luego de analizar los siguientes temas: i) definición de los criterios de desempate en la contratación estatal, ii)</w:t>
      </w:r>
      <w:r w:rsidR="006401D8" w:rsidRPr="00892E76">
        <w:rPr>
          <w:rFonts w:ascii="Arial" w:eastAsia="Calibri" w:hAnsi="Arial" w:cs="Arial"/>
          <w:color w:val="000000" w:themeColor="text1"/>
          <w:sz w:val="22"/>
          <w:szCs w:val="22"/>
          <w:lang w:val="es-ES_tradnl"/>
        </w:rPr>
        <w:t xml:space="preserve"> </w:t>
      </w:r>
      <w:r w:rsidRPr="00892E76">
        <w:rPr>
          <w:rFonts w:ascii="Arial" w:eastAsia="Calibri" w:hAnsi="Arial" w:cs="Arial"/>
          <w:color w:val="000000" w:themeColor="text1"/>
          <w:sz w:val="22"/>
          <w:szCs w:val="22"/>
          <w:lang w:val="es-ES_tradnl"/>
        </w:rPr>
        <w:t>ámbito de aplicación de la Ley 2069 de 2020</w:t>
      </w:r>
      <w:r w:rsidR="006401D8" w:rsidRPr="00892E76">
        <w:rPr>
          <w:rFonts w:ascii="Arial" w:eastAsia="Calibri" w:hAnsi="Arial" w:cs="Arial"/>
          <w:color w:val="000000" w:themeColor="text1"/>
          <w:sz w:val="22"/>
          <w:szCs w:val="22"/>
          <w:lang w:val="es-ES_tradnl"/>
        </w:rPr>
        <w:t xml:space="preserve">, </w:t>
      </w:r>
      <w:r w:rsidRPr="00892E76">
        <w:rPr>
          <w:rFonts w:ascii="Arial" w:eastAsia="Calibri" w:hAnsi="Arial" w:cs="Arial"/>
          <w:color w:val="000000" w:themeColor="text1"/>
          <w:sz w:val="22"/>
          <w:szCs w:val="22"/>
          <w:lang w:val="es-ES_tradnl"/>
        </w:rPr>
        <w:t xml:space="preserve">iii) </w:t>
      </w:r>
      <w:r w:rsidR="00D339D4" w:rsidRPr="00892E76">
        <w:rPr>
          <w:rFonts w:ascii="Arial" w:eastAsia="Calibri" w:hAnsi="Arial" w:cs="Arial"/>
          <w:color w:val="000000" w:themeColor="text1"/>
          <w:sz w:val="22"/>
          <w:szCs w:val="22"/>
          <w:lang w:val="es-ES_tradnl"/>
        </w:rPr>
        <w:t xml:space="preserve">vigencia y </w:t>
      </w:r>
      <w:r w:rsidRPr="00892E76">
        <w:rPr>
          <w:rFonts w:ascii="Arial" w:eastAsia="Calibri" w:hAnsi="Arial" w:cs="Arial"/>
          <w:color w:val="000000" w:themeColor="text1"/>
          <w:sz w:val="22"/>
          <w:szCs w:val="22"/>
          <w:lang w:val="es-ES_tradnl"/>
        </w:rPr>
        <w:t>forma de acreditación de los factores de desempate consagrados en el artículo 35 de la mencionada Ley</w:t>
      </w:r>
      <w:r w:rsidR="00985CE1" w:rsidRPr="00892E76">
        <w:rPr>
          <w:rFonts w:ascii="Arial" w:eastAsia="Calibri" w:hAnsi="Arial" w:cs="Arial"/>
          <w:color w:val="000000" w:themeColor="text1"/>
          <w:sz w:val="22"/>
          <w:szCs w:val="22"/>
          <w:lang w:val="es-ES_tradnl"/>
        </w:rPr>
        <w:t xml:space="preserve">, </w:t>
      </w:r>
      <w:r w:rsidR="003F7191" w:rsidRPr="00892E76">
        <w:rPr>
          <w:rFonts w:ascii="Arial" w:eastAsia="Calibri" w:hAnsi="Arial" w:cs="Arial"/>
          <w:color w:val="000000" w:themeColor="text1"/>
          <w:sz w:val="22"/>
          <w:szCs w:val="22"/>
          <w:lang w:val="es-ES_tradnl"/>
        </w:rPr>
        <w:t>i</w:t>
      </w:r>
      <w:r w:rsidR="00985CE1" w:rsidRPr="00892E76">
        <w:rPr>
          <w:rFonts w:ascii="Arial" w:eastAsia="Calibri" w:hAnsi="Arial" w:cs="Arial"/>
          <w:color w:val="000000" w:themeColor="text1"/>
          <w:sz w:val="22"/>
          <w:szCs w:val="22"/>
          <w:lang w:val="es-ES_tradnl"/>
        </w:rPr>
        <w:t>v)</w:t>
      </w:r>
      <w:r w:rsidR="000F59E8" w:rsidRPr="00892E76">
        <w:rPr>
          <w:rFonts w:ascii="Arial" w:eastAsia="Calibri" w:hAnsi="Arial" w:cs="Arial"/>
          <w:color w:val="000000" w:themeColor="text1"/>
          <w:sz w:val="22"/>
          <w:szCs w:val="22"/>
          <w:lang w:val="es-ES_tradnl"/>
        </w:rPr>
        <w:t xml:space="preserve"> aplicación del factor de desempate previsto en el numeral 4 del artículo 35 de la Ley 2069 de 2020</w:t>
      </w:r>
      <w:r w:rsidR="00F917AC" w:rsidRPr="00892E76">
        <w:rPr>
          <w:rFonts w:ascii="Arial" w:eastAsia="Calibri" w:hAnsi="Arial" w:cs="Arial"/>
          <w:color w:val="000000" w:themeColor="text1"/>
          <w:sz w:val="22"/>
          <w:szCs w:val="22"/>
          <w:lang w:val="es-ES_tradnl"/>
        </w:rPr>
        <w:t>.</w:t>
      </w:r>
    </w:p>
    <w:p w14:paraId="544B9598" w14:textId="0ECB184D" w:rsidR="009D1D53" w:rsidRPr="00892E76" w:rsidRDefault="009D1D53" w:rsidP="009D1D53">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w:t>
      </w:r>
      <w:r w:rsidR="004064D7" w:rsidRPr="00892E76">
        <w:rPr>
          <w:rFonts w:ascii="Arial" w:eastAsia="Calibri" w:hAnsi="Arial" w:cs="Arial"/>
          <w:color w:val="000000" w:themeColor="text1"/>
          <w:sz w:val="22"/>
          <w:szCs w:val="22"/>
          <w:lang w:val="es-ES_tradnl"/>
        </w:rPr>
        <w:t xml:space="preserve">estudió los factores de desempate del artículo 35 de la Ley 2069 de 2020 </w:t>
      </w:r>
      <w:r w:rsidRPr="00892E76">
        <w:rPr>
          <w:rFonts w:ascii="Arial" w:eastAsia="Calibri" w:hAnsi="Arial" w:cs="Arial"/>
          <w:color w:val="000000" w:themeColor="text1"/>
          <w:sz w:val="22"/>
          <w:szCs w:val="22"/>
          <w:lang w:val="es-ES_tradnl"/>
        </w:rPr>
        <w:t>en los conceptos</w:t>
      </w:r>
      <w:r w:rsidR="004064D7" w:rsidRPr="00892E76">
        <w:rPr>
          <w:rFonts w:ascii="Arial" w:eastAsia="Calibri" w:hAnsi="Arial" w:cs="Arial"/>
          <w:color w:val="000000" w:themeColor="text1"/>
          <w:sz w:val="22"/>
          <w:szCs w:val="22"/>
          <w:lang w:val="es-ES_tradnl"/>
        </w:rPr>
        <w:t>:</w:t>
      </w:r>
      <w:r w:rsidR="00FD6609" w:rsidRPr="00892E76">
        <w:rPr>
          <w:rFonts w:ascii="Arial" w:eastAsia="Calibri" w:hAnsi="Arial" w:cs="Arial"/>
          <w:color w:val="000000" w:themeColor="text1"/>
          <w:sz w:val="22"/>
          <w:szCs w:val="22"/>
          <w:lang w:val="es-ES_tradnl"/>
        </w:rPr>
        <w:t xml:space="preserve">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w:t>
      </w:r>
      <w:r w:rsidR="00FD6609" w:rsidRPr="00892E76">
        <w:rPr>
          <w:rFonts w:ascii="Arial" w:eastAsia="Calibri" w:hAnsi="Arial" w:cs="Arial"/>
          <w:color w:val="000000" w:themeColor="text1"/>
          <w:sz w:val="22"/>
          <w:szCs w:val="22"/>
          <w:lang w:val="es-ES_tradnl"/>
        </w:rPr>
        <w:lastRenderedPageBreak/>
        <w:t>del 10 de mayo de 2021</w:t>
      </w:r>
      <w:r w:rsidR="00DC3FCF" w:rsidRPr="00892E76">
        <w:rPr>
          <w:rFonts w:ascii="Arial" w:eastAsia="Calibri" w:hAnsi="Arial" w:cs="Arial"/>
          <w:color w:val="000000" w:themeColor="text1"/>
          <w:sz w:val="22"/>
          <w:szCs w:val="22"/>
          <w:lang w:val="es-ES_tradnl"/>
        </w:rPr>
        <w:t xml:space="preserve">, </w:t>
      </w:r>
      <w:r w:rsidR="00FD6609" w:rsidRPr="00892E76">
        <w:rPr>
          <w:rFonts w:ascii="Arial" w:eastAsia="Calibri" w:hAnsi="Arial" w:cs="Arial"/>
          <w:color w:val="000000" w:themeColor="text1"/>
          <w:sz w:val="22"/>
          <w:szCs w:val="22"/>
          <w:lang w:val="es-ES_tradnl"/>
        </w:rPr>
        <w:t>C-221 del 18 de mayo de 2021</w:t>
      </w:r>
      <w:r w:rsidR="005508B2" w:rsidRPr="00892E76">
        <w:rPr>
          <w:rFonts w:ascii="Arial" w:eastAsia="Calibri" w:hAnsi="Arial" w:cs="Arial"/>
          <w:color w:val="000000" w:themeColor="text1"/>
          <w:sz w:val="22"/>
          <w:szCs w:val="22"/>
          <w:lang w:val="es-ES_tradnl"/>
        </w:rPr>
        <w:t>,</w:t>
      </w:r>
      <w:r w:rsidR="00DC6A2B" w:rsidRPr="00892E76">
        <w:rPr>
          <w:rFonts w:ascii="Arial" w:eastAsia="Calibri" w:hAnsi="Arial" w:cs="Arial"/>
          <w:color w:val="000000" w:themeColor="text1"/>
          <w:sz w:val="22"/>
          <w:szCs w:val="22"/>
          <w:lang w:val="es-ES_tradnl"/>
        </w:rPr>
        <w:t xml:space="preserve"> </w:t>
      </w:r>
      <w:r w:rsidR="00DC3FCF" w:rsidRPr="00892E76">
        <w:rPr>
          <w:rFonts w:ascii="Arial" w:eastAsia="Calibri" w:hAnsi="Arial" w:cs="Arial"/>
          <w:color w:val="000000" w:themeColor="text1"/>
          <w:sz w:val="22"/>
          <w:szCs w:val="22"/>
          <w:lang w:val="es-ES_tradnl"/>
        </w:rPr>
        <w:t>C-239 del 25 de mayo de 2021</w:t>
      </w:r>
      <w:r w:rsidR="005508B2" w:rsidRPr="00892E76">
        <w:rPr>
          <w:rFonts w:ascii="Arial" w:eastAsia="Calibri" w:hAnsi="Arial" w:cs="Arial"/>
          <w:color w:val="000000" w:themeColor="text1"/>
          <w:sz w:val="22"/>
          <w:szCs w:val="22"/>
          <w:lang w:val="es-ES_tradnl"/>
        </w:rPr>
        <w:t xml:space="preserve"> entre otros</w:t>
      </w:r>
      <w:r w:rsidR="005508B2" w:rsidRPr="00892E76">
        <w:rPr>
          <w:rStyle w:val="Refdenotaalpie"/>
          <w:rFonts w:ascii="Arial" w:eastAsia="Calibri" w:hAnsi="Arial" w:cs="Arial"/>
          <w:color w:val="000000" w:themeColor="text1"/>
          <w:sz w:val="22"/>
          <w:szCs w:val="22"/>
          <w:lang w:val="es-ES_tradnl"/>
        </w:rPr>
        <w:footnoteReference w:id="2"/>
      </w:r>
      <w:r w:rsidR="00DC6A2B" w:rsidRPr="00892E76">
        <w:rPr>
          <w:rFonts w:ascii="Arial" w:eastAsia="Calibri" w:hAnsi="Arial" w:cs="Arial"/>
          <w:color w:val="000000" w:themeColor="text1"/>
          <w:sz w:val="22"/>
          <w:szCs w:val="22"/>
          <w:lang w:val="es-ES_tradnl"/>
        </w:rPr>
        <w:t xml:space="preserve">. </w:t>
      </w:r>
      <w:r w:rsidRPr="00892E76">
        <w:rPr>
          <w:rFonts w:ascii="Arial" w:eastAsia="Calibri" w:hAnsi="Arial" w:cs="Arial"/>
          <w:color w:val="000000" w:themeColor="text1"/>
          <w:sz w:val="22"/>
          <w:szCs w:val="22"/>
          <w:lang w:val="es-ES_tradnl"/>
        </w:rPr>
        <w:t>Algunas de las consideraciones de estos conceptos se reiteran a continuación.</w:t>
      </w:r>
    </w:p>
    <w:p w14:paraId="30BF18FD" w14:textId="5251E127" w:rsidR="00095D3C" w:rsidRPr="00892E76" w:rsidRDefault="00095D3C" w:rsidP="004D1C27">
      <w:pPr>
        <w:spacing w:line="276" w:lineRule="auto"/>
        <w:jc w:val="both"/>
        <w:rPr>
          <w:rFonts w:ascii="Arial" w:eastAsia="Calibri" w:hAnsi="Arial" w:cs="Arial"/>
          <w:b/>
          <w:color w:val="000000" w:themeColor="text1"/>
          <w:sz w:val="22"/>
          <w:lang w:val="es-ES_tradnl"/>
        </w:rPr>
      </w:pPr>
    </w:p>
    <w:p w14:paraId="2C11ECBF" w14:textId="77777777" w:rsidR="0000500B" w:rsidRPr="00892E76" w:rsidRDefault="0000500B" w:rsidP="0000500B">
      <w:pPr>
        <w:spacing w:line="276" w:lineRule="auto"/>
        <w:jc w:val="both"/>
        <w:rPr>
          <w:rFonts w:ascii="Arial" w:eastAsia="Calibri" w:hAnsi="Arial" w:cs="Arial"/>
          <w:b/>
          <w:bCs/>
          <w:color w:val="000000" w:themeColor="text1"/>
          <w:sz w:val="22"/>
          <w:szCs w:val="22"/>
          <w:lang w:val="es-ES_tradnl"/>
        </w:rPr>
      </w:pPr>
      <w:r w:rsidRPr="00892E76">
        <w:rPr>
          <w:rFonts w:ascii="Arial" w:eastAsia="Calibri" w:hAnsi="Arial" w:cs="Arial"/>
          <w:b/>
          <w:bCs/>
          <w:color w:val="000000" w:themeColor="text1"/>
          <w:sz w:val="22"/>
          <w:szCs w:val="22"/>
          <w:lang w:val="es-ES_tradnl"/>
        </w:rPr>
        <w:t>2.1. Factores de desempate en la contratación estatal: concepto y características</w:t>
      </w:r>
    </w:p>
    <w:p w14:paraId="46B41382" w14:textId="77777777" w:rsidR="0000500B" w:rsidRPr="00892E76" w:rsidRDefault="0000500B" w:rsidP="0000500B">
      <w:pPr>
        <w:spacing w:line="276" w:lineRule="auto"/>
        <w:jc w:val="both"/>
        <w:rPr>
          <w:rFonts w:ascii="Arial" w:eastAsia="Calibri" w:hAnsi="Arial" w:cs="Arial"/>
          <w:color w:val="000000" w:themeColor="text1"/>
          <w:sz w:val="22"/>
          <w:szCs w:val="22"/>
          <w:lang w:val="es-ES_tradnl"/>
        </w:rPr>
      </w:pPr>
    </w:p>
    <w:p w14:paraId="055D3DF1" w14:textId="1E1AE0FD" w:rsidR="0000500B" w:rsidRPr="00892E76" w:rsidRDefault="0000500B" w:rsidP="0000500B">
      <w:pPr>
        <w:spacing w:line="276" w:lineRule="auto"/>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51E069D" w14:textId="642DB590" w:rsidR="0000500B" w:rsidRPr="00892E76"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w:t>
      </w:r>
      <w:r w:rsidR="00536902" w:rsidRPr="00892E76">
        <w:rPr>
          <w:rFonts w:ascii="Arial" w:eastAsia="Calibri" w:hAnsi="Arial" w:cs="Arial"/>
          <w:color w:val="000000" w:themeColor="text1"/>
          <w:sz w:val="22"/>
          <w:szCs w:val="22"/>
          <w:lang w:val="es-ES_tradnl"/>
        </w:rPr>
        <w:t xml:space="preserve">materializar </w:t>
      </w:r>
      <w:r w:rsidRPr="00892E76">
        <w:rPr>
          <w:rFonts w:ascii="Arial" w:eastAsia="Calibri" w:hAnsi="Arial" w:cs="Arial"/>
          <w:color w:val="000000" w:themeColor="text1"/>
          <w:sz w:val="22"/>
          <w:szCs w:val="22"/>
          <w:lang w:val="es-ES_tradnl"/>
        </w:rPr>
        <w:t xml:space="preserve">el principio de selección objetiva en la contratación pública. Sin embargo, en algunas ocasiones, así se establezcan requisitos habilitantes y factores de calificación </w:t>
      </w:r>
      <w:r w:rsidR="00047311" w:rsidRPr="00892E76">
        <w:rPr>
          <w:rFonts w:ascii="Arial" w:eastAsia="Calibri" w:hAnsi="Arial" w:cs="Arial"/>
          <w:color w:val="000000" w:themeColor="text1"/>
          <w:sz w:val="22"/>
          <w:szCs w:val="22"/>
          <w:lang w:val="es-ES_tradnl"/>
        </w:rPr>
        <w:t>id</w:t>
      </w:r>
      <w:r w:rsidRPr="00892E76">
        <w:rPr>
          <w:rFonts w:ascii="Arial" w:eastAsia="Calibri" w:hAnsi="Arial" w:cs="Arial"/>
          <w:color w:val="000000" w:themeColor="text1"/>
          <w:sz w:val="22"/>
          <w:szCs w:val="22"/>
          <w:lang w:val="es-ES_tradnl"/>
        </w:rPr>
        <w:t>ó</w:t>
      </w:r>
      <w:r w:rsidR="00047311" w:rsidRPr="00892E76">
        <w:rPr>
          <w:rFonts w:ascii="Arial" w:eastAsia="Calibri" w:hAnsi="Arial" w:cs="Arial"/>
          <w:color w:val="000000" w:themeColor="text1"/>
          <w:sz w:val="22"/>
          <w:szCs w:val="22"/>
          <w:lang w:val="es-ES_tradnl"/>
        </w:rPr>
        <w:t>neos</w:t>
      </w:r>
      <w:r w:rsidRPr="00892E76">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536902" w:rsidRPr="00892E76">
        <w:rPr>
          <w:rFonts w:ascii="Arial" w:eastAsia="Calibri" w:hAnsi="Arial" w:cs="Arial"/>
          <w:color w:val="000000" w:themeColor="text1"/>
          <w:sz w:val="22"/>
          <w:szCs w:val="22"/>
          <w:lang w:val="es-ES_tradnl"/>
        </w:rPr>
        <w:t>equivalente</w:t>
      </w:r>
      <w:r w:rsidRPr="00892E76">
        <w:rPr>
          <w:rFonts w:ascii="Arial" w:eastAsia="Calibri" w:hAnsi="Arial" w:cs="Arial"/>
          <w:color w:val="000000" w:themeColor="text1"/>
          <w:sz w:val="22"/>
          <w:szCs w:val="22"/>
          <w:lang w:val="es-ES_tradnl"/>
        </w:rPr>
        <w:t xml:space="preserve">, al ponderarse los criterios de calificación que, en principio, aplican al procedimiento de selección. </w:t>
      </w:r>
    </w:p>
    <w:p w14:paraId="50A698A7" w14:textId="77777777" w:rsidR="00B0749C" w:rsidRPr="00892E76"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w:t>
      </w:r>
      <w:r w:rsidRPr="00892E76">
        <w:rPr>
          <w:rFonts w:ascii="Arial" w:eastAsia="Calibri" w:hAnsi="Arial" w:cs="Arial"/>
          <w:color w:val="000000" w:themeColor="text1"/>
          <w:sz w:val="22"/>
          <w:szCs w:val="22"/>
          <w:lang w:val="es-ES_tradnl"/>
        </w:rPr>
        <w:lastRenderedPageBreak/>
        <w:t>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892E76">
        <w:rPr>
          <w:rStyle w:val="Refdenotaalpie"/>
          <w:rFonts w:ascii="Arial" w:hAnsi="Arial" w:cs="Arial"/>
          <w:color w:val="000000" w:themeColor="text1"/>
          <w:sz w:val="21"/>
          <w:szCs w:val="21"/>
          <w:lang w:val="es-ES_tradnl"/>
        </w:rPr>
        <w:footnoteReference w:id="3"/>
      </w:r>
      <w:r w:rsidRPr="00892E76">
        <w:rPr>
          <w:rFonts w:ascii="Arial" w:eastAsia="Calibri" w:hAnsi="Arial" w:cs="Arial"/>
          <w:color w:val="000000" w:themeColor="text1"/>
          <w:sz w:val="22"/>
          <w:szCs w:val="22"/>
          <w:lang w:val="es-ES_tradnl"/>
        </w:rPr>
        <w:t xml:space="preserve">. </w:t>
      </w:r>
    </w:p>
    <w:p w14:paraId="223B25B2" w14:textId="77777777" w:rsidR="00B0749C" w:rsidRPr="00892E76"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892E76">
        <w:rPr>
          <w:rStyle w:val="Refdenotaalpie"/>
          <w:rFonts w:ascii="Arial" w:eastAsia="Calibri" w:hAnsi="Arial" w:cs="Arial"/>
          <w:color w:val="000000" w:themeColor="text1"/>
          <w:sz w:val="22"/>
          <w:szCs w:val="22"/>
          <w:lang w:val="es-ES_tradnl"/>
        </w:rPr>
        <w:footnoteReference w:id="4"/>
      </w:r>
      <w:r w:rsidRPr="00892E76">
        <w:rPr>
          <w:rFonts w:ascii="Arial" w:eastAsia="Calibri" w:hAnsi="Arial" w:cs="Arial"/>
          <w:color w:val="000000" w:themeColor="text1"/>
          <w:sz w:val="22"/>
          <w:szCs w:val="22"/>
          <w:lang w:val="es-ES_tradnl"/>
        </w:rPr>
        <w:t>. Más aún, el Consejo de Estado ha señalado que contrariar los factores de desempate genera la nulidad del contrato, conforme al artículo 44, inciso 1º de la Ley 80 de 1993</w:t>
      </w:r>
      <w:r w:rsidRPr="00892E76">
        <w:rPr>
          <w:rStyle w:val="Refdenotaalpie"/>
          <w:rFonts w:ascii="Arial" w:eastAsia="Calibri" w:hAnsi="Arial" w:cs="Arial"/>
          <w:color w:val="000000" w:themeColor="text1"/>
          <w:sz w:val="22"/>
          <w:szCs w:val="22"/>
          <w:lang w:val="es-ES_tradnl"/>
        </w:rPr>
        <w:footnoteReference w:id="5"/>
      </w:r>
      <w:r w:rsidRPr="00892E76">
        <w:rPr>
          <w:rFonts w:ascii="Arial" w:eastAsia="Calibri" w:hAnsi="Arial" w:cs="Arial"/>
          <w:color w:val="000000" w:themeColor="text1"/>
          <w:sz w:val="22"/>
          <w:szCs w:val="22"/>
          <w:lang w:val="es-ES_tradnl"/>
        </w:rPr>
        <w:t>.</w:t>
      </w:r>
    </w:p>
    <w:p w14:paraId="4CF237CD" w14:textId="77777777" w:rsidR="0000500B" w:rsidRPr="00892E76"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Ahora bien, en cumplimiento de los principios de reciprocidad y de </w:t>
      </w:r>
      <w:r w:rsidRPr="00892E76">
        <w:rPr>
          <w:rFonts w:ascii="Arial" w:eastAsia="Calibri" w:hAnsi="Arial" w:cs="Arial"/>
          <w:i/>
          <w:iCs/>
          <w:color w:val="000000" w:themeColor="text1"/>
          <w:sz w:val="22"/>
          <w:szCs w:val="22"/>
          <w:lang w:val="es-ES_tradnl"/>
        </w:rPr>
        <w:t xml:space="preserve">pacta </w:t>
      </w:r>
      <w:proofErr w:type="spellStart"/>
      <w:r w:rsidRPr="00892E76">
        <w:rPr>
          <w:rFonts w:ascii="Arial" w:eastAsia="Calibri" w:hAnsi="Arial" w:cs="Arial"/>
          <w:i/>
          <w:iCs/>
          <w:color w:val="000000" w:themeColor="text1"/>
          <w:sz w:val="22"/>
          <w:szCs w:val="22"/>
          <w:lang w:val="es-ES_tradnl"/>
        </w:rPr>
        <w:t>sunt</w:t>
      </w:r>
      <w:proofErr w:type="spellEnd"/>
      <w:r w:rsidRPr="00892E76">
        <w:rPr>
          <w:rFonts w:ascii="Arial" w:eastAsia="Calibri" w:hAnsi="Arial" w:cs="Arial"/>
          <w:i/>
          <w:iCs/>
          <w:color w:val="000000" w:themeColor="text1"/>
          <w:sz w:val="22"/>
          <w:szCs w:val="22"/>
          <w:lang w:val="es-ES_tradnl"/>
        </w:rPr>
        <w:t xml:space="preserve"> </w:t>
      </w:r>
      <w:proofErr w:type="spellStart"/>
      <w:r w:rsidRPr="00892E76">
        <w:rPr>
          <w:rFonts w:ascii="Arial" w:eastAsia="Calibri" w:hAnsi="Arial" w:cs="Arial"/>
          <w:i/>
          <w:iCs/>
          <w:color w:val="000000" w:themeColor="text1"/>
          <w:sz w:val="22"/>
          <w:szCs w:val="22"/>
          <w:lang w:val="es-ES_tradnl"/>
        </w:rPr>
        <w:t>servanda</w:t>
      </w:r>
      <w:proofErr w:type="spellEnd"/>
      <w:r w:rsidRPr="00892E76">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3539568" w14:textId="77777777" w:rsidR="0000500B" w:rsidRPr="00892E76" w:rsidRDefault="0000500B" w:rsidP="0000500B">
      <w:pPr>
        <w:spacing w:line="276" w:lineRule="auto"/>
        <w:rPr>
          <w:rFonts w:ascii="Arial" w:eastAsia="Calibri" w:hAnsi="Arial" w:cs="Arial"/>
          <w:color w:val="000000" w:themeColor="text1"/>
          <w:sz w:val="22"/>
          <w:szCs w:val="22"/>
          <w:lang w:val="es-ES_tradnl"/>
        </w:rPr>
      </w:pPr>
    </w:p>
    <w:p w14:paraId="389779C5" w14:textId="22E24AB8" w:rsidR="0000500B" w:rsidRPr="00892E76" w:rsidRDefault="0000500B" w:rsidP="0000500B">
      <w:pPr>
        <w:spacing w:line="276" w:lineRule="auto"/>
        <w:jc w:val="both"/>
        <w:rPr>
          <w:rFonts w:ascii="Arial" w:eastAsia="Calibri" w:hAnsi="Arial" w:cs="Arial"/>
          <w:b/>
          <w:bCs/>
          <w:color w:val="000000" w:themeColor="text1"/>
          <w:sz w:val="22"/>
          <w:szCs w:val="22"/>
          <w:lang w:val="es-ES_tradnl"/>
        </w:rPr>
      </w:pPr>
      <w:r w:rsidRPr="00892E76">
        <w:rPr>
          <w:rFonts w:ascii="Arial" w:eastAsia="Calibri" w:hAnsi="Arial" w:cs="Arial"/>
          <w:b/>
          <w:bCs/>
          <w:color w:val="000000" w:themeColor="text1"/>
          <w:sz w:val="22"/>
          <w:szCs w:val="22"/>
          <w:lang w:val="es-ES_tradnl"/>
        </w:rPr>
        <w:t xml:space="preserve">2.2. </w:t>
      </w:r>
      <w:r w:rsidR="006401D8" w:rsidRPr="00892E76">
        <w:rPr>
          <w:rFonts w:ascii="Arial" w:eastAsia="Calibri" w:hAnsi="Arial" w:cs="Arial"/>
          <w:b/>
          <w:bCs/>
          <w:color w:val="000000" w:themeColor="text1"/>
          <w:sz w:val="22"/>
          <w:szCs w:val="22"/>
          <w:lang w:val="es-ES_tradnl"/>
        </w:rPr>
        <w:t>Á</w:t>
      </w:r>
      <w:r w:rsidRPr="00892E76">
        <w:rPr>
          <w:rFonts w:ascii="Arial" w:eastAsia="Calibri" w:hAnsi="Arial" w:cs="Arial"/>
          <w:b/>
          <w:bCs/>
          <w:color w:val="000000" w:themeColor="text1"/>
          <w:sz w:val="22"/>
          <w:szCs w:val="22"/>
          <w:lang w:val="es-ES_tradnl"/>
        </w:rPr>
        <w:t>mbito de aplicación de la Ley 2069 de 2020</w:t>
      </w:r>
    </w:p>
    <w:p w14:paraId="26273CE2" w14:textId="77777777" w:rsidR="0000500B" w:rsidRPr="00892E76" w:rsidRDefault="0000500B" w:rsidP="0000500B">
      <w:pPr>
        <w:spacing w:line="276" w:lineRule="auto"/>
        <w:jc w:val="both"/>
        <w:rPr>
          <w:rFonts w:ascii="Arial" w:eastAsia="Calibri" w:hAnsi="Arial" w:cs="Arial"/>
          <w:color w:val="000000" w:themeColor="text1"/>
          <w:sz w:val="22"/>
          <w:szCs w:val="22"/>
          <w:lang w:val="es-ES_tradnl"/>
        </w:rPr>
      </w:pPr>
    </w:p>
    <w:p w14:paraId="4A576B10" w14:textId="7E8F450A" w:rsidR="0000500B" w:rsidRPr="00892E76" w:rsidRDefault="0000500B" w:rsidP="0000500B">
      <w:pPr>
        <w:spacing w:line="276" w:lineRule="auto"/>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6B33129" w14:textId="32D7325B" w:rsidR="0000500B" w:rsidRPr="00892E76" w:rsidRDefault="0000500B" w:rsidP="00F94206">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lastRenderedPageBreak/>
        <w:t>En cuan</w:t>
      </w:r>
      <w:r w:rsidR="00536902" w:rsidRPr="00892E76">
        <w:rPr>
          <w:rFonts w:ascii="Arial" w:eastAsia="Calibri" w:hAnsi="Arial" w:cs="Arial"/>
          <w:color w:val="000000" w:themeColor="text1"/>
          <w:sz w:val="22"/>
          <w:szCs w:val="22"/>
          <w:lang w:val="es-ES_tradnl"/>
        </w:rPr>
        <w:t>t</w:t>
      </w:r>
      <w:r w:rsidRPr="00892E76">
        <w:rPr>
          <w:rFonts w:ascii="Arial" w:eastAsia="Calibri" w:hAnsi="Arial" w:cs="Arial"/>
          <w:color w:val="000000" w:themeColor="text1"/>
          <w:sz w:val="22"/>
          <w:szCs w:val="22"/>
          <w:lang w:val="es-ES_tradnl"/>
        </w:rPr>
        <w:t xml:space="preserve">o </w:t>
      </w:r>
      <w:r w:rsidR="00F94206" w:rsidRPr="00892E76">
        <w:rPr>
          <w:rFonts w:ascii="Arial" w:eastAsia="Calibri" w:hAnsi="Arial" w:cs="Arial"/>
          <w:color w:val="000000" w:themeColor="text1"/>
          <w:sz w:val="22"/>
          <w:szCs w:val="22"/>
          <w:lang w:val="es-ES_tradnl"/>
        </w:rPr>
        <w:t xml:space="preserve">al </w:t>
      </w:r>
      <w:r w:rsidRPr="00892E76">
        <w:rPr>
          <w:rFonts w:ascii="Arial" w:eastAsia="Calibri" w:hAnsi="Arial" w:cs="Arial"/>
          <w:color w:val="000000" w:themeColor="text1"/>
          <w:sz w:val="22"/>
          <w:szCs w:val="22"/>
          <w:lang w:val="es-ES_tradnl"/>
        </w:rPr>
        <w:t>contenido</w:t>
      </w:r>
      <w:r w:rsidR="00F94206" w:rsidRPr="00892E76">
        <w:rPr>
          <w:rFonts w:ascii="Arial" w:eastAsia="Calibri" w:hAnsi="Arial" w:cs="Arial"/>
          <w:color w:val="000000" w:themeColor="text1"/>
          <w:sz w:val="22"/>
          <w:szCs w:val="22"/>
          <w:lang w:val="es-ES_tradnl"/>
        </w:rPr>
        <w:t xml:space="preserve"> de la Ley 2069 de 2020</w:t>
      </w:r>
      <w:r w:rsidRPr="00892E76">
        <w:rPr>
          <w:rFonts w:ascii="Arial" w:eastAsia="Calibri" w:hAnsi="Arial" w:cs="Arial"/>
          <w:color w:val="000000" w:themeColor="text1"/>
          <w:sz w:val="22"/>
          <w:szCs w:val="22"/>
          <w:lang w:val="es-ES_tradnl"/>
        </w:rPr>
        <w:t>,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892E76">
        <w:rPr>
          <w:rFonts w:ascii="Arial" w:eastAsia="Calibri" w:hAnsi="Arial" w:cs="Arial"/>
          <w:color w:val="000000" w:themeColor="text1"/>
          <w:sz w:val="22"/>
          <w:szCs w:val="22"/>
          <w:lang w:val="es-ES_tradnl"/>
        </w:rPr>
        <w:t>mipymes</w:t>
      </w:r>
      <w:proofErr w:type="spellEnd"/>
      <w:r w:rsidRPr="00892E76">
        <w:rPr>
          <w:rFonts w:ascii="Arial" w:eastAsia="Calibri" w:hAnsi="Arial" w:cs="Arial"/>
          <w:color w:val="000000" w:themeColor="text1"/>
          <w:sz w:val="22"/>
          <w:szCs w:val="22"/>
          <w:lang w:val="es-ES_tradnl"/>
        </w:rPr>
        <w:t>–, mediante la racionalización y simplificación de los trámites y tarifas</w:t>
      </w:r>
      <w:r w:rsidRPr="00892E76">
        <w:rPr>
          <w:rStyle w:val="Refdenotaalpie"/>
          <w:rFonts w:ascii="Arial" w:eastAsia="Calibri" w:hAnsi="Arial" w:cs="Arial"/>
          <w:color w:val="000000" w:themeColor="text1"/>
          <w:sz w:val="22"/>
          <w:szCs w:val="22"/>
          <w:lang w:val="es-ES_tradnl"/>
        </w:rPr>
        <w:footnoteReference w:id="6"/>
      </w:r>
      <w:r w:rsidRPr="00892E76">
        <w:rPr>
          <w:rFonts w:ascii="Arial" w:eastAsia="Calibri" w:hAnsi="Arial" w:cs="Arial"/>
          <w:color w:val="000000" w:themeColor="text1"/>
          <w:sz w:val="22"/>
          <w:szCs w:val="22"/>
          <w:lang w:val="es-ES_tradnl"/>
        </w:rPr>
        <w:t>, así como incentivos a favor de aquellas dentro del sistema de compras y contratación pública</w:t>
      </w:r>
      <w:r w:rsidRPr="00892E76">
        <w:rPr>
          <w:rStyle w:val="Refdenotaalpie"/>
          <w:rFonts w:ascii="Arial" w:eastAsia="Calibri" w:hAnsi="Arial" w:cs="Arial"/>
          <w:color w:val="000000" w:themeColor="text1"/>
          <w:sz w:val="22"/>
          <w:szCs w:val="22"/>
          <w:lang w:val="es-ES_tradnl"/>
        </w:rPr>
        <w:footnoteReference w:id="7"/>
      </w:r>
      <w:r w:rsidRPr="00892E76">
        <w:rPr>
          <w:rFonts w:ascii="Arial" w:eastAsia="Calibri" w:hAnsi="Arial" w:cs="Arial"/>
          <w:color w:val="000000" w:themeColor="text1"/>
          <w:sz w:val="22"/>
          <w:szCs w:val="22"/>
          <w:lang w:val="es-ES_tradnl"/>
        </w:rPr>
        <w:t>. También se consagran mecanismos de acceso al financiamiento</w:t>
      </w:r>
      <w:r w:rsidRPr="00892E76">
        <w:rPr>
          <w:rStyle w:val="Refdenotaalpie"/>
          <w:rFonts w:ascii="Arial" w:eastAsia="Calibri" w:hAnsi="Arial" w:cs="Arial"/>
          <w:color w:val="000000" w:themeColor="text1"/>
          <w:sz w:val="22"/>
          <w:szCs w:val="22"/>
          <w:lang w:val="es-ES_tradnl"/>
        </w:rPr>
        <w:footnoteReference w:id="8"/>
      </w:r>
      <w:r w:rsidRPr="00892E76">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892E76">
        <w:rPr>
          <w:rStyle w:val="Refdenotaalpie"/>
          <w:rFonts w:ascii="Arial" w:eastAsia="Calibri" w:hAnsi="Arial" w:cs="Arial"/>
          <w:color w:val="000000" w:themeColor="text1"/>
          <w:sz w:val="22"/>
          <w:szCs w:val="22"/>
          <w:lang w:val="es-ES_tradnl"/>
        </w:rPr>
        <w:footnoteReference w:id="9"/>
      </w:r>
      <w:r w:rsidRPr="00892E76">
        <w:rPr>
          <w:rFonts w:ascii="Arial" w:eastAsia="Calibri" w:hAnsi="Arial" w:cs="Arial"/>
          <w:color w:val="000000" w:themeColor="text1"/>
          <w:sz w:val="22"/>
          <w:szCs w:val="22"/>
          <w:lang w:val="es-ES_tradnl"/>
        </w:rPr>
        <w:t xml:space="preserve"> y se prevén medidas de educación para el emprendimiento y la innovación</w:t>
      </w:r>
      <w:r w:rsidRPr="00892E76">
        <w:rPr>
          <w:rStyle w:val="Refdenotaalpie"/>
          <w:rFonts w:ascii="Arial" w:eastAsia="Calibri" w:hAnsi="Arial" w:cs="Arial"/>
          <w:color w:val="000000" w:themeColor="text1"/>
          <w:sz w:val="22"/>
          <w:szCs w:val="22"/>
          <w:lang w:val="es-ES_tradnl"/>
        </w:rPr>
        <w:footnoteReference w:id="10"/>
      </w:r>
      <w:r w:rsidRPr="00892E76">
        <w:rPr>
          <w:rFonts w:ascii="Arial" w:eastAsia="Calibri" w:hAnsi="Arial" w:cs="Arial"/>
          <w:color w:val="000000" w:themeColor="text1"/>
          <w:sz w:val="22"/>
          <w:szCs w:val="22"/>
          <w:lang w:val="es-ES_tradnl"/>
        </w:rPr>
        <w:t>.</w:t>
      </w:r>
    </w:p>
    <w:p w14:paraId="7371BE65" w14:textId="6713ED8E" w:rsidR="0000500B" w:rsidRPr="00892E76"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892E76">
        <w:rPr>
          <w:rFonts w:ascii="Arial" w:eastAsia="Calibri" w:hAnsi="Arial" w:cs="Arial"/>
          <w:color w:val="000000" w:themeColor="text1"/>
          <w:sz w:val="22"/>
          <w:szCs w:val="22"/>
          <w:lang w:val="es-ES_tradnl"/>
        </w:rPr>
        <w:t>mipymes</w:t>
      </w:r>
      <w:proofErr w:type="spellEnd"/>
      <w:r w:rsidRPr="00892E76">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892E76">
        <w:rPr>
          <w:rFonts w:ascii="Arial" w:eastAsia="Calibri" w:hAnsi="Arial" w:cs="Arial"/>
          <w:color w:val="000000" w:themeColor="text1"/>
          <w:sz w:val="22"/>
          <w:szCs w:val="22"/>
          <w:lang w:val="es-ES_tradnl"/>
        </w:rPr>
        <w:t>mipymes</w:t>
      </w:r>
      <w:proofErr w:type="spellEnd"/>
      <w:r w:rsidRPr="00892E76">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892E76">
        <w:rPr>
          <w:rFonts w:ascii="Arial" w:eastAsia="Calibri" w:hAnsi="Arial" w:cs="Arial"/>
          <w:color w:val="000000" w:themeColor="text1"/>
          <w:sz w:val="22"/>
          <w:szCs w:val="22"/>
          <w:lang w:val="es-ES_tradnl"/>
        </w:rPr>
        <w:t>mipymes</w:t>
      </w:r>
      <w:proofErr w:type="spellEnd"/>
      <w:r w:rsidRPr="00892E76">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r w:rsidR="0088321E" w:rsidRPr="00892E76">
        <w:rPr>
          <w:rFonts w:ascii="Arial" w:eastAsia="Calibri" w:hAnsi="Arial" w:cs="Arial"/>
          <w:color w:val="000000" w:themeColor="text1"/>
          <w:sz w:val="22"/>
          <w:szCs w:val="22"/>
          <w:lang w:val="es-ES_tradnl"/>
        </w:rPr>
        <w:t>continuación,</w:t>
      </w:r>
      <w:r w:rsidRPr="00892E76">
        <w:rPr>
          <w:rFonts w:ascii="Arial" w:eastAsia="Calibri" w:hAnsi="Arial" w:cs="Arial"/>
          <w:color w:val="000000" w:themeColor="text1"/>
          <w:sz w:val="22"/>
          <w:szCs w:val="22"/>
          <w:lang w:val="es-ES_tradnl"/>
        </w:rPr>
        <w:t xml:space="preserve"> se estudiará el contenido y alcance de dicha norma.  </w:t>
      </w:r>
    </w:p>
    <w:p w14:paraId="6DA213FC" w14:textId="77777777" w:rsidR="0000500B" w:rsidRPr="00892E76" w:rsidRDefault="0000500B" w:rsidP="0000500B">
      <w:pPr>
        <w:spacing w:line="276" w:lineRule="auto"/>
        <w:jc w:val="both"/>
        <w:rPr>
          <w:rFonts w:ascii="Arial" w:eastAsia="Calibri" w:hAnsi="Arial" w:cs="Arial"/>
          <w:color w:val="000000" w:themeColor="text1"/>
          <w:sz w:val="22"/>
          <w:szCs w:val="22"/>
          <w:lang w:val="es-ES_tradnl"/>
        </w:rPr>
      </w:pPr>
    </w:p>
    <w:p w14:paraId="2B848175" w14:textId="00D811E8" w:rsidR="00473A2E" w:rsidRPr="00892E76" w:rsidRDefault="00473A2E" w:rsidP="00473A2E">
      <w:pPr>
        <w:spacing w:line="276" w:lineRule="auto"/>
        <w:jc w:val="both"/>
        <w:rPr>
          <w:rFonts w:ascii="Arial" w:eastAsia="Calibri" w:hAnsi="Arial" w:cs="Arial"/>
          <w:b/>
          <w:bCs/>
          <w:color w:val="000000" w:themeColor="text1"/>
          <w:sz w:val="22"/>
          <w:szCs w:val="22"/>
          <w:lang w:val="es-ES_tradnl"/>
        </w:rPr>
      </w:pPr>
      <w:r w:rsidRPr="00892E76">
        <w:rPr>
          <w:rFonts w:ascii="Arial" w:eastAsia="Calibri" w:hAnsi="Arial" w:cs="Arial"/>
          <w:b/>
          <w:bCs/>
          <w:color w:val="000000" w:themeColor="text1"/>
          <w:sz w:val="22"/>
          <w:szCs w:val="22"/>
          <w:lang w:val="es-ES_tradnl"/>
        </w:rPr>
        <w:t xml:space="preserve">2.3. </w:t>
      </w:r>
      <w:r w:rsidR="009E02D9" w:rsidRPr="00892E76">
        <w:rPr>
          <w:rFonts w:ascii="Arial" w:eastAsia="Calibri" w:hAnsi="Arial" w:cs="Arial"/>
          <w:b/>
          <w:bCs/>
          <w:color w:val="000000" w:themeColor="text1"/>
          <w:sz w:val="22"/>
          <w:szCs w:val="22"/>
          <w:lang w:val="es-ES_tradnl"/>
        </w:rPr>
        <w:t>Vigencia y f</w:t>
      </w:r>
      <w:r w:rsidRPr="00892E76">
        <w:rPr>
          <w:rFonts w:ascii="Arial" w:eastAsia="Calibri" w:hAnsi="Arial" w:cs="Arial"/>
          <w:b/>
          <w:bCs/>
          <w:color w:val="000000" w:themeColor="text1"/>
          <w:sz w:val="22"/>
          <w:szCs w:val="22"/>
          <w:lang w:val="es-ES_tradnl"/>
        </w:rPr>
        <w:t>orma de acreditación de los factores de desempate consagrados en el artículo 35 de la Ley 2069 de 2020</w:t>
      </w:r>
    </w:p>
    <w:p w14:paraId="15672F50" w14:textId="77777777" w:rsidR="00473A2E" w:rsidRPr="00892E76" w:rsidRDefault="00473A2E" w:rsidP="00473A2E">
      <w:pPr>
        <w:spacing w:line="276" w:lineRule="auto"/>
        <w:jc w:val="both"/>
        <w:rPr>
          <w:rFonts w:ascii="Arial" w:eastAsia="Calibri" w:hAnsi="Arial" w:cs="Arial"/>
          <w:color w:val="000000" w:themeColor="text1"/>
          <w:sz w:val="22"/>
          <w:szCs w:val="22"/>
          <w:lang w:val="es-ES_tradnl"/>
        </w:rPr>
      </w:pPr>
    </w:p>
    <w:p w14:paraId="328EC051" w14:textId="6815A44C" w:rsidR="00473A2E" w:rsidRPr="00892E76" w:rsidRDefault="00473A2E" w:rsidP="00473A2E">
      <w:pPr>
        <w:spacing w:line="276" w:lineRule="auto"/>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w:t>
      </w:r>
      <w:r w:rsidRPr="00892E76">
        <w:rPr>
          <w:rFonts w:ascii="Arial" w:eastAsia="Calibri" w:hAnsi="Arial" w:cs="Arial"/>
          <w:color w:val="000000" w:themeColor="text1"/>
          <w:sz w:val="22"/>
          <w:szCs w:val="22"/>
          <w:lang w:val="es-ES_tradnl"/>
        </w:rPr>
        <w:lastRenderedPageBreak/>
        <w:t xml:space="preserve">hermenéuticas sobre </w:t>
      </w:r>
      <w:r w:rsidR="00D512A1" w:rsidRPr="00892E76">
        <w:rPr>
          <w:rFonts w:ascii="Arial" w:eastAsia="Calibri" w:hAnsi="Arial" w:cs="Arial"/>
          <w:color w:val="000000" w:themeColor="text1"/>
          <w:sz w:val="22"/>
          <w:szCs w:val="22"/>
          <w:lang w:val="es-ES_tradnl"/>
        </w:rPr>
        <w:t xml:space="preserve">algunos apartes normativos </w:t>
      </w:r>
      <w:r w:rsidR="00775DEC" w:rsidRPr="00892E76">
        <w:rPr>
          <w:rFonts w:ascii="Arial" w:eastAsia="Calibri" w:hAnsi="Arial" w:cs="Arial"/>
          <w:color w:val="000000" w:themeColor="text1"/>
          <w:sz w:val="22"/>
          <w:szCs w:val="22"/>
          <w:lang w:val="es-ES_tradnl"/>
        </w:rPr>
        <w:t xml:space="preserve">de </w:t>
      </w:r>
      <w:r w:rsidRPr="00892E76">
        <w:rPr>
          <w:rFonts w:ascii="Arial" w:eastAsia="Calibri" w:hAnsi="Arial" w:cs="Arial"/>
          <w:color w:val="000000" w:themeColor="text1"/>
          <w:sz w:val="22"/>
          <w:szCs w:val="22"/>
          <w:lang w:val="es-ES_tradnl"/>
        </w:rPr>
        <w:t>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2974BC5E" w14:textId="77777777" w:rsidR="00473A2E" w:rsidRPr="00892E76"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7E6B2CEC" w14:textId="77777777" w:rsidR="00473A2E" w:rsidRPr="00892E76"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892E76">
        <w:rPr>
          <w:rFonts w:ascii="Arial" w:eastAsia="Calibri" w:hAnsi="Arial" w:cs="Arial"/>
          <w:color w:val="000000" w:themeColor="text1"/>
          <w:sz w:val="22"/>
          <w:szCs w:val="22"/>
          <w:lang w:val="es-ES_tradnl"/>
        </w:rPr>
        <w:t>mipymes</w:t>
      </w:r>
      <w:proofErr w:type="spellEnd"/>
      <w:r w:rsidRPr="00892E76">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892E76">
        <w:rPr>
          <w:rFonts w:ascii="Arial" w:eastAsia="Calibri" w:hAnsi="Arial" w:cs="Arial"/>
          <w:color w:val="000000" w:themeColor="text1"/>
          <w:sz w:val="22"/>
          <w:szCs w:val="22"/>
          <w:lang w:val="es-ES_tradnl"/>
        </w:rPr>
        <w:t>Mipymes</w:t>
      </w:r>
      <w:proofErr w:type="spellEnd"/>
      <w:r w:rsidRPr="00892E76">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70A76493" w14:textId="028D5567" w:rsidR="00473A2E" w:rsidRPr="00892E76"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w:t>
      </w:r>
      <w:r w:rsidR="0018107C" w:rsidRPr="00892E76">
        <w:rPr>
          <w:rFonts w:ascii="Arial" w:eastAsia="Calibri" w:hAnsi="Arial" w:cs="Arial"/>
          <w:color w:val="000000" w:themeColor="text1"/>
          <w:sz w:val="22"/>
          <w:szCs w:val="22"/>
          <w:lang w:val="es-ES_tradnl"/>
        </w:rPr>
        <w:t xml:space="preserve"> igual forma</w:t>
      </w:r>
      <w:r w:rsidRPr="00892E76">
        <w:rPr>
          <w:rFonts w:ascii="Arial" w:eastAsia="Calibri" w:hAnsi="Arial" w:cs="Arial"/>
          <w:color w:val="000000" w:themeColor="text1"/>
          <w:sz w:val="22"/>
          <w:szCs w:val="22"/>
          <w:lang w:val="es-ES_tradnl"/>
        </w:rPr>
        <w:t>,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0CA4B91" w14:textId="77777777" w:rsidR="00473A2E" w:rsidRPr="00892E76"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Lo mismo no sucede con el artículo 35. En efecto, </w:t>
      </w:r>
      <w:r w:rsidRPr="00892E76">
        <w:rPr>
          <w:rFonts w:ascii="Arial" w:hAnsi="Arial" w:cs="Arial"/>
          <w:color w:val="000000" w:themeColor="text1"/>
          <w:sz w:val="22"/>
          <w:szCs w:val="22"/>
          <w:lang w:val="es-ES_tradnl"/>
        </w:rPr>
        <w:t>si bien los factores de desempate regulados en el artículo 35 deben aplicarse «</w:t>
      </w:r>
      <w:r w:rsidRPr="00892E76">
        <w:rPr>
          <w:rFonts w:ascii="Arial" w:hAnsi="Arial" w:cs="Arial"/>
          <w:color w:val="000000" w:themeColor="text1"/>
          <w:lang w:val="es-ES_tradnl"/>
        </w:rPr>
        <w:t xml:space="preserve">[…] </w:t>
      </w:r>
      <w:r w:rsidRPr="00892E76">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w:t>
      </w:r>
      <w:r w:rsidRPr="00892E76">
        <w:rPr>
          <w:rFonts w:ascii="Arial" w:hAnsi="Arial" w:cs="Arial"/>
          <w:color w:val="000000" w:themeColor="text1"/>
          <w:sz w:val="22"/>
          <w:szCs w:val="22"/>
          <w:lang w:val="es-ES_tradnl"/>
        </w:rPr>
        <w:lastRenderedPageBreak/>
        <w:t xml:space="preserve">nacional para definir factores que permitan desempatar las ofertas en aquellos casos en que varios oferentes reúnan al tiempo dos o más de los factores previstos en el artículo 35. </w:t>
      </w:r>
      <w:r w:rsidRPr="00892E76">
        <w:rPr>
          <w:rFonts w:ascii="Arial" w:eastAsia="Calibri" w:hAnsi="Arial" w:cs="Arial"/>
          <w:color w:val="000000" w:themeColor="text1"/>
          <w:sz w:val="22"/>
          <w:szCs w:val="22"/>
          <w:lang w:val="es-ES_tradnl"/>
        </w:rPr>
        <w:t xml:space="preserve">  </w:t>
      </w:r>
    </w:p>
    <w:p w14:paraId="4BC1F6BB" w14:textId="4EA51E06" w:rsidR="00473A2E" w:rsidRPr="00892E76"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892E76">
        <w:rPr>
          <w:rFonts w:ascii="Arial" w:eastAsia="Calibri" w:hAnsi="Arial" w:cs="Arial"/>
          <w:i/>
          <w:iCs/>
          <w:color w:val="000000" w:themeColor="text1"/>
          <w:sz w:val="22"/>
          <w:szCs w:val="22"/>
          <w:lang w:val="es-ES_tradnl"/>
        </w:rPr>
        <w:t>podrá reglamentar</w:t>
      </w:r>
      <w:r w:rsidRPr="00892E76">
        <w:rPr>
          <w:rFonts w:ascii="Arial" w:eastAsia="Calibri" w:hAnsi="Arial" w:cs="Arial"/>
          <w:color w:val="000000" w:themeColor="text1"/>
          <w:sz w:val="22"/>
          <w:szCs w:val="22"/>
          <w:lang w:val="es-ES_tradnl"/>
        </w:rPr>
        <w:t xml:space="preserve"> la aplicación de factores de desempate en casos en que concurran dos o más de los factores aquí previstos» (</w:t>
      </w:r>
      <w:r w:rsidR="005010EC" w:rsidRPr="00892E76">
        <w:rPr>
          <w:rFonts w:ascii="Arial" w:eastAsia="Calibri" w:hAnsi="Arial" w:cs="Arial"/>
          <w:color w:val="000000" w:themeColor="text1"/>
          <w:sz w:val="22"/>
          <w:szCs w:val="22"/>
          <w:lang w:val="es-ES_tradnl"/>
        </w:rPr>
        <w:t>é</w:t>
      </w:r>
      <w:r w:rsidRPr="00892E76">
        <w:rPr>
          <w:rFonts w:ascii="Arial" w:eastAsia="Calibri" w:hAnsi="Arial" w:cs="Arial"/>
          <w:color w:val="000000" w:themeColor="text1"/>
          <w:sz w:val="22"/>
          <w:szCs w:val="22"/>
          <w:lang w:val="es-ES_tradnl"/>
        </w:rPr>
        <w:t>nfasis fuera de texto).</w:t>
      </w:r>
    </w:p>
    <w:p w14:paraId="6B2343D7" w14:textId="55FDE2A2" w:rsidR="00473A2E" w:rsidRPr="00892E76"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892E76">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6BB099B2" w14:textId="34EC4B41" w:rsidR="00820E59" w:rsidRPr="00892E76" w:rsidRDefault="00820E59" w:rsidP="004D1C27">
      <w:pPr>
        <w:spacing w:line="276" w:lineRule="auto"/>
        <w:jc w:val="both"/>
        <w:rPr>
          <w:rFonts w:ascii="Arial" w:hAnsi="Arial" w:cs="Arial"/>
          <w:color w:val="000000" w:themeColor="text1"/>
          <w:sz w:val="22"/>
          <w:szCs w:val="22"/>
          <w:lang w:val="es-ES_tradnl"/>
        </w:rPr>
      </w:pPr>
    </w:p>
    <w:p w14:paraId="680FDEFE" w14:textId="1EC5E771" w:rsidR="00271CD3" w:rsidRPr="00892E76" w:rsidRDefault="00271CD3" w:rsidP="004D1C27">
      <w:pPr>
        <w:spacing w:line="276" w:lineRule="auto"/>
        <w:jc w:val="both"/>
        <w:rPr>
          <w:rFonts w:ascii="Arial" w:hAnsi="Arial" w:cs="Arial"/>
          <w:b/>
          <w:bCs/>
          <w:color w:val="000000" w:themeColor="text1"/>
          <w:sz w:val="22"/>
          <w:szCs w:val="22"/>
          <w:lang w:val="es-ES_tradnl"/>
        </w:rPr>
      </w:pPr>
      <w:r w:rsidRPr="00892E76">
        <w:rPr>
          <w:rFonts w:ascii="Arial" w:hAnsi="Arial" w:cs="Arial"/>
          <w:b/>
          <w:bCs/>
          <w:color w:val="000000" w:themeColor="text1"/>
          <w:sz w:val="22"/>
          <w:szCs w:val="22"/>
          <w:lang w:val="es-ES_tradnl"/>
        </w:rPr>
        <w:t xml:space="preserve">2.4. Análisis del factor de desempate </w:t>
      </w:r>
      <w:r w:rsidR="0097072C" w:rsidRPr="00892E76">
        <w:rPr>
          <w:rFonts w:ascii="Arial" w:hAnsi="Arial" w:cs="Arial"/>
          <w:b/>
          <w:bCs/>
          <w:color w:val="000000" w:themeColor="text1"/>
          <w:sz w:val="22"/>
          <w:szCs w:val="22"/>
          <w:lang w:val="es-ES_tradnl"/>
        </w:rPr>
        <w:t xml:space="preserve">del artículo 35, numeral 4, de la Ley 2069 de 2020: </w:t>
      </w:r>
      <w:r w:rsidR="00E14A47" w:rsidRPr="00892E76">
        <w:rPr>
          <w:rFonts w:ascii="Arial" w:hAnsi="Arial" w:cs="Arial"/>
          <w:b/>
          <w:bCs/>
          <w:color w:val="000000" w:themeColor="text1"/>
          <w:sz w:val="22"/>
          <w:szCs w:val="22"/>
          <w:lang w:val="es-ES_tradnl"/>
        </w:rPr>
        <w:t>vinculación de personas mayores</w:t>
      </w:r>
      <w:r w:rsidR="002612D5" w:rsidRPr="00892E76">
        <w:rPr>
          <w:rFonts w:ascii="Arial" w:hAnsi="Arial" w:cs="Arial"/>
          <w:b/>
          <w:bCs/>
          <w:color w:val="000000" w:themeColor="text1"/>
          <w:sz w:val="22"/>
          <w:szCs w:val="22"/>
          <w:lang w:val="es-ES_tradnl"/>
        </w:rPr>
        <w:t xml:space="preserve"> no beneficiarias de pensión de vejez, familiar o de sobrevivencia</w:t>
      </w:r>
    </w:p>
    <w:p w14:paraId="7CD94905" w14:textId="77777777" w:rsidR="00E14A47" w:rsidRPr="00892E76" w:rsidRDefault="00E14A47" w:rsidP="00E14A47">
      <w:pPr>
        <w:spacing w:line="276" w:lineRule="auto"/>
        <w:jc w:val="both"/>
        <w:rPr>
          <w:rFonts w:ascii="Arial" w:eastAsia="Calibri" w:hAnsi="Arial" w:cs="Arial"/>
          <w:color w:val="000000" w:themeColor="text1"/>
          <w:sz w:val="22"/>
          <w:lang w:val="es-ES_tradnl"/>
        </w:rPr>
      </w:pPr>
    </w:p>
    <w:p w14:paraId="09B0D843" w14:textId="388309D3" w:rsidR="00271CD3" w:rsidRPr="00892E76" w:rsidRDefault="000916DD" w:rsidP="00E14A47">
      <w:pPr>
        <w:spacing w:line="276" w:lineRule="auto"/>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En relación con el</w:t>
      </w:r>
      <w:r w:rsidR="00271CD3" w:rsidRPr="00892E76">
        <w:rPr>
          <w:rFonts w:ascii="Arial" w:eastAsia="Calibri" w:hAnsi="Arial" w:cs="Arial"/>
          <w:color w:val="000000" w:themeColor="text1"/>
          <w:sz w:val="22"/>
          <w:lang w:val="es-ES_tradnl"/>
        </w:rPr>
        <w:t xml:space="preserve"> numeral 4 del artículo 35 de la Ley 2069 de 2020</w:t>
      </w:r>
      <w:r w:rsidR="00271CD3" w:rsidRPr="00892E76">
        <w:rPr>
          <w:rStyle w:val="Refdenotaalpie"/>
          <w:rFonts w:ascii="Arial" w:eastAsia="Calibri" w:hAnsi="Arial" w:cs="Arial"/>
          <w:color w:val="000000" w:themeColor="text1"/>
          <w:sz w:val="22"/>
          <w:lang w:val="es-ES_tradnl"/>
        </w:rPr>
        <w:footnoteReference w:id="11"/>
      </w:r>
      <w:r w:rsidR="00271CD3" w:rsidRPr="00892E76">
        <w:rPr>
          <w:rFonts w:ascii="Arial" w:eastAsia="Calibri" w:hAnsi="Arial" w:cs="Arial"/>
          <w:color w:val="000000" w:themeColor="text1"/>
          <w:sz w:val="22"/>
          <w:lang w:val="es-ES_tradnl"/>
        </w:rPr>
        <w:t xml:space="preserve"> –que es aquel por el cual se indaga en la consulta–, </w:t>
      </w:r>
      <w:r w:rsidR="002612D5" w:rsidRPr="00892E76">
        <w:rPr>
          <w:rFonts w:ascii="Arial" w:eastAsia="Calibri" w:hAnsi="Arial" w:cs="Arial"/>
          <w:color w:val="000000" w:themeColor="text1"/>
          <w:sz w:val="22"/>
          <w:lang w:val="es-ES_tradnl"/>
        </w:rPr>
        <w:t xml:space="preserve">esta Agencia, </w:t>
      </w:r>
      <w:r w:rsidR="00271CD3" w:rsidRPr="00892E76">
        <w:rPr>
          <w:rFonts w:ascii="Arial" w:eastAsia="Calibri" w:hAnsi="Arial" w:cs="Arial"/>
          <w:color w:val="000000" w:themeColor="text1"/>
          <w:sz w:val="22"/>
          <w:lang w:val="es-ES_tradnl"/>
        </w:rPr>
        <w:t>en los conceptos</w:t>
      </w:r>
      <w:r w:rsidR="002612D5" w:rsidRPr="00892E76">
        <w:rPr>
          <w:rFonts w:ascii="Arial" w:eastAsia="Calibri" w:hAnsi="Arial" w:cs="Arial"/>
          <w:color w:val="000000" w:themeColor="text1"/>
          <w:sz w:val="22"/>
          <w:lang w:val="es-ES_tradnl"/>
        </w:rPr>
        <w:t xml:space="preserve"> a los que se hizo referencia al inicio,</w:t>
      </w:r>
      <w:r w:rsidR="00271CD3" w:rsidRPr="00892E76">
        <w:rPr>
          <w:rFonts w:ascii="Arial" w:eastAsia="Calibri" w:hAnsi="Arial" w:cs="Arial"/>
          <w:color w:val="000000" w:themeColor="text1"/>
          <w:sz w:val="22"/>
          <w:lang w:val="es-ES_tradnl"/>
        </w:rPr>
        <w:t xml:space="preserve"> ha indicado que</w:t>
      </w:r>
      <w:bookmarkStart w:id="2" w:name="_Hlk62459524"/>
      <w:r w:rsidR="00271CD3" w:rsidRPr="00892E76">
        <w:rPr>
          <w:rFonts w:ascii="Arial" w:eastAsia="Calibri" w:hAnsi="Arial" w:cs="Arial"/>
          <w:color w:val="000000" w:themeColor="text1"/>
          <w:sz w:val="22"/>
          <w:lang w:val="es-ES_tradnl"/>
        </w:rPr>
        <w:t xml:space="preserve"> dicho numeral no establece un medio específico para acreditar las circunstancias a las que se refiere. Por lo tanto, al igual que sucede con los demás numerales, corresponde a la entidad contratante analizar si el ordenamiento jurídico, en otras disposiciones legales o reglamentarias, exige un documento especial o si, por el </w:t>
      </w:r>
      <w:r w:rsidR="00271CD3" w:rsidRPr="00892E76">
        <w:rPr>
          <w:rFonts w:ascii="Arial" w:eastAsia="Calibri" w:hAnsi="Arial" w:cs="Arial"/>
          <w:color w:val="000000" w:themeColor="text1"/>
          <w:sz w:val="22"/>
          <w:lang w:val="es-ES_tradnl"/>
        </w:rPr>
        <w:lastRenderedPageBreak/>
        <w:t>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bookmarkEnd w:id="2"/>
    <w:p w14:paraId="606534C4" w14:textId="77777777" w:rsidR="00271CD3" w:rsidRPr="00892E76" w:rsidRDefault="00271CD3" w:rsidP="00271CD3">
      <w:pPr>
        <w:spacing w:before="120"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sin perjuicio de lo que defina el reglamento, también existe la posibilidad de entender que esta causal aplica a todas las personas que –en el rango de edad correspondiente a cada género– no han alcanzado la pensión, interpretación que está mas ajustada al principio de favorabilidad.</w:t>
      </w:r>
    </w:p>
    <w:p w14:paraId="25A62669" w14:textId="77777777" w:rsidR="00271CD3" w:rsidRPr="00892E76" w:rsidRDefault="00271CD3" w:rsidP="00271CD3">
      <w:pPr>
        <w:spacing w:before="120" w:line="276" w:lineRule="auto"/>
        <w:ind w:firstLine="709"/>
        <w:jc w:val="both"/>
        <w:rPr>
          <w:rFonts w:ascii="Arial" w:hAnsi="Arial" w:cs="Arial"/>
          <w:color w:val="000000" w:themeColor="text1"/>
          <w:sz w:val="22"/>
          <w:lang w:val="es-ES_tradnl"/>
        </w:rPr>
      </w:pPr>
      <w:r w:rsidRPr="00892E76">
        <w:rPr>
          <w:rFonts w:ascii="Arial" w:hAnsi="Arial" w:cs="Arial"/>
          <w:color w:val="000000" w:themeColor="text1"/>
          <w:sz w:val="22"/>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 definiendo porcentajes, pero hasta ahora esto no ha sucedido.</w:t>
      </w:r>
    </w:p>
    <w:p w14:paraId="721C5080" w14:textId="77777777" w:rsidR="00271CD3" w:rsidRPr="00892E76" w:rsidRDefault="00271CD3" w:rsidP="00271CD3">
      <w:pPr>
        <w:spacing w:before="120" w:line="276" w:lineRule="auto"/>
        <w:ind w:firstLine="709"/>
        <w:jc w:val="both"/>
        <w:rPr>
          <w:rFonts w:ascii="Arial" w:hAnsi="Arial" w:cs="Arial"/>
          <w:color w:val="000000" w:themeColor="text1"/>
          <w:sz w:val="22"/>
          <w:lang w:val="es-ES_tradnl"/>
        </w:rPr>
      </w:pPr>
      <w:r w:rsidRPr="00892E76">
        <w:rPr>
          <w:rFonts w:ascii="Arial" w:hAnsi="Arial" w:cs="Arial"/>
          <w:color w:val="000000" w:themeColor="text1"/>
          <w:sz w:val="22"/>
          <w:lang w:val="es-ES_tradnl"/>
        </w:rPr>
        <w:t xml:space="preserve">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 que, sin perjuicio de que el reglamento que expida el gobierno nacional determine un medio de acreditación especial, </w:t>
      </w:r>
      <w:r w:rsidRPr="00892E76">
        <w:rPr>
          <w:rFonts w:ascii="Arial" w:hAnsi="Arial" w:cs="Arial"/>
          <w:color w:val="000000" w:themeColor="text1"/>
          <w:sz w:val="22"/>
          <w:lang w:val="es-ES_tradnl"/>
        </w:rPr>
        <w:lastRenderedPageBreak/>
        <w:t>existe libertad probatoria sobre el tema. En consecuencia, la entidad contratante puede determinar en el pliego de condiciones o documento equivalente cuál será el medio para evidenciar la vinculación de las personas mayores por parte del oferente.</w:t>
      </w:r>
    </w:p>
    <w:p w14:paraId="43492DD8" w14:textId="77777777" w:rsidR="00271CD3" w:rsidRPr="00892E76" w:rsidRDefault="00271CD3" w:rsidP="00271CD3">
      <w:pPr>
        <w:spacing w:before="120" w:line="276" w:lineRule="auto"/>
        <w:ind w:firstLine="709"/>
        <w:jc w:val="both"/>
        <w:rPr>
          <w:rFonts w:ascii="Arial" w:hAnsi="Arial" w:cs="Arial"/>
          <w:color w:val="000000" w:themeColor="text1"/>
          <w:sz w:val="22"/>
          <w:lang w:val="es-ES_tradnl"/>
        </w:rPr>
      </w:pPr>
      <w:r w:rsidRPr="00892E76">
        <w:rPr>
          <w:rFonts w:ascii="Arial" w:hAnsi="Arial" w:cs="Arial"/>
          <w:color w:val="000000" w:themeColor="text1"/>
          <w:sz w:val="22"/>
          <w:lang w:val="es-ES_tradnl"/>
        </w:rPr>
        <w:t xml:space="preserve">Como lo indicó la Agencia en el concepto </w:t>
      </w:r>
      <w:r w:rsidRPr="00892E76">
        <w:rPr>
          <w:rFonts w:ascii="Arial" w:eastAsia="Calibri" w:hAnsi="Arial" w:cs="Arial"/>
          <w:color w:val="000000" w:themeColor="text1"/>
          <w:sz w:val="22"/>
          <w:lang w:val="es-ES_tradnl"/>
        </w:rPr>
        <w:t xml:space="preserve">C-206 del 03 de mayo de 2021, </w:t>
      </w:r>
      <w:r w:rsidRPr="00892E76">
        <w:rPr>
          <w:rFonts w:ascii="Arial" w:hAnsi="Arial" w:cs="Arial"/>
          <w:color w:val="000000" w:themeColor="text1"/>
          <w:sz w:val="22"/>
          <w:lang w:val="es-ES_tradnl"/>
        </w:rPr>
        <w:t xml:space="preserve">el numeral 4 del artículo 35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«Para los criterios enunciados que involucren la </w:t>
      </w:r>
      <w:r w:rsidRPr="00892E76">
        <w:rPr>
          <w:rFonts w:ascii="Arial" w:hAnsi="Arial" w:cs="Arial"/>
          <w:i/>
          <w:iCs/>
          <w:color w:val="000000" w:themeColor="text1"/>
          <w:sz w:val="22"/>
          <w:lang w:val="es-ES_tradnl"/>
        </w:rPr>
        <w:t>vinculación de capital humano</w:t>
      </w:r>
      <w:r w:rsidRPr="00892E76">
        <w:rPr>
          <w:rFonts w:ascii="Arial" w:hAnsi="Arial" w:cs="Arial"/>
          <w:color w:val="000000" w:themeColor="text1"/>
          <w:sz w:val="22"/>
          <w:lang w:val="es-ES_tradnl"/>
        </w:rPr>
        <w:t xml:space="preserve">, el oferente deberá acreditar una antigüedad igual o mayor a un año. Para los casos de constitución inferior a un año </w:t>
      </w:r>
      <w:r w:rsidRPr="00892E76">
        <w:rPr>
          <w:rFonts w:ascii="Arial" w:hAnsi="Arial" w:cs="Arial"/>
          <w:i/>
          <w:iCs/>
          <w:color w:val="000000" w:themeColor="text1"/>
          <w:sz w:val="22"/>
          <w:lang w:val="es-ES_tradnl"/>
        </w:rPr>
        <w:t>se tendrá en cuenta a aquellos trabajadores</w:t>
      </w:r>
      <w:r w:rsidRPr="00892E76">
        <w:rPr>
          <w:rFonts w:ascii="Arial" w:hAnsi="Arial" w:cs="Arial"/>
          <w:color w:val="000000" w:themeColor="text1"/>
          <w:sz w:val="22"/>
          <w:lang w:val="es-ES_tradnl"/>
        </w:rPr>
        <w:t xml:space="preserve"> que hayan estado vinculados desde el momento de constitución de la misma» (Énfasis fuera de texto). Como se observa, la norma se refiere a la vinculación de trabajadores, lo cual excluye la posibilidad de acreditar el factor de desempate con prestadores de servicios.  </w:t>
      </w:r>
    </w:p>
    <w:p w14:paraId="69708E4F" w14:textId="77777777" w:rsidR="00271CD3" w:rsidRPr="00892E76" w:rsidRDefault="00271CD3" w:rsidP="00271CD3">
      <w:pPr>
        <w:spacing w:before="120" w:line="276" w:lineRule="auto"/>
        <w:ind w:firstLine="709"/>
        <w:jc w:val="both"/>
        <w:rPr>
          <w:rFonts w:ascii="Arial" w:hAnsi="Arial" w:cs="Arial"/>
          <w:color w:val="000000" w:themeColor="text1"/>
          <w:sz w:val="22"/>
          <w:lang w:val="es-ES_tradnl"/>
        </w:rPr>
      </w:pPr>
      <w:r w:rsidRPr="00892E76">
        <w:rPr>
          <w:rFonts w:ascii="Arial" w:hAnsi="Arial" w:cs="Arial"/>
          <w:color w:val="000000" w:themeColor="text1"/>
          <w:sz w:val="22"/>
          <w:lang w:val="es-ES_tradnl"/>
        </w:rPr>
        <w:t>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Esto aplica incluso en el evento en el cual se haya presentado la sustitución de empleadores.</w:t>
      </w:r>
    </w:p>
    <w:p w14:paraId="1E105A8C" w14:textId="77777777" w:rsidR="00271CD3" w:rsidRPr="00892E76" w:rsidRDefault="00271CD3" w:rsidP="00271CD3">
      <w:pPr>
        <w:spacing w:before="120" w:line="276" w:lineRule="auto"/>
        <w:ind w:firstLine="709"/>
        <w:jc w:val="both"/>
        <w:rPr>
          <w:rFonts w:ascii="Arial" w:hAnsi="Arial" w:cs="Arial"/>
          <w:color w:val="000000" w:themeColor="text1"/>
          <w:sz w:val="22"/>
          <w:lang w:val="es-ES_tradnl"/>
        </w:rPr>
      </w:pPr>
      <w:r w:rsidRPr="00892E76">
        <w:rPr>
          <w:rFonts w:ascii="Arial" w:hAnsi="Arial" w:cs="Arial"/>
          <w:color w:val="000000" w:themeColor="text1"/>
          <w:sz w:val="22"/>
          <w:lang w:val="es-ES_tradnl"/>
        </w:rPr>
        <w:t>La anterior figura se define en el artículo 67 del Código Sustantivo del Trabajo como «todo cambio de un empleador por otro, por cualquier causa, siempre que subsista la identidad del establecimiento, es decir, en cuanto éste no sufra variaciones esenciales en el giro de sus actividades o negocios».  Es decir que este fenómeno opera cuando lo que cambia es el empleador, pero el giro ordinario de la empresa se mantiene. En tal sentido, el artículo 68 del mismo Código señala que «La sola sustitución de empleadores no extingue, suspende ni modifica los contratos de trabajo existentes». Así lo indicó recientemente la Sala de Casación Laboral de la Corte Suprema de Justicia:</w:t>
      </w:r>
    </w:p>
    <w:p w14:paraId="746E6B46" w14:textId="77777777" w:rsidR="00271CD3" w:rsidRPr="00892E76" w:rsidRDefault="00271CD3" w:rsidP="00271CD3">
      <w:pPr>
        <w:ind w:left="709" w:right="709"/>
        <w:jc w:val="both"/>
        <w:rPr>
          <w:rFonts w:ascii="Arial" w:hAnsi="Arial" w:cs="Arial"/>
          <w:color w:val="000000" w:themeColor="text1"/>
          <w:sz w:val="21"/>
          <w:szCs w:val="21"/>
          <w:lang w:val="es-ES_tradnl"/>
        </w:rPr>
      </w:pPr>
    </w:p>
    <w:p w14:paraId="4B164208" w14:textId="77777777" w:rsidR="00271CD3" w:rsidRPr="00892E76" w:rsidRDefault="00271CD3" w:rsidP="00271CD3">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De acuerdo con este precepto, la sustitución de empleadores se configura cuando existe un cambio en la titularidad de la empresa, independientemente de cuál sea el negocio jurídico subyacente, y siempre que esta operación implique la continuidad de las actividades empresariales.</w:t>
      </w:r>
    </w:p>
    <w:p w14:paraId="2FF0126F" w14:textId="77777777" w:rsidR="00271CD3" w:rsidRPr="00892E76" w:rsidRDefault="00271CD3" w:rsidP="00271CD3">
      <w:pPr>
        <w:ind w:left="709" w:right="709"/>
        <w:jc w:val="both"/>
        <w:rPr>
          <w:rFonts w:ascii="Arial" w:hAnsi="Arial" w:cs="Arial"/>
          <w:color w:val="000000" w:themeColor="text1"/>
          <w:sz w:val="21"/>
          <w:szCs w:val="21"/>
          <w:lang w:val="es-ES_tradnl"/>
        </w:rPr>
      </w:pPr>
    </w:p>
    <w:p w14:paraId="28000AE3" w14:textId="77777777" w:rsidR="00271CD3" w:rsidRPr="00892E76" w:rsidRDefault="00271CD3" w:rsidP="00271CD3">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 xml:space="preserve">Por tanto, el cambio de titularidad de la empresa (sale un titular y entra otro respecto del mismo negocio), también conocido como sucesión de empresa (un empresario sucede a otro en la misma empresa) o transmisión de empresa (el </w:t>
      </w:r>
      <w:r w:rsidRPr="00892E76">
        <w:rPr>
          <w:rFonts w:ascii="Arial" w:hAnsi="Arial" w:cs="Arial"/>
          <w:color w:val="000000" w:themeColor="text1"/>
          <w:sz w:val="21"/>
          <w:szCs w:val="21"/>
          <w:lang w:val="es-ES_tradnl"/>
        </w:rPr>
        <w:lastRenderedPageBreak/>
        <w:t>titular anterior de la empresa la vende o traspasa a un nuevo titular) es un elemento ineludible para que la figura de marras se configure.</w:t>
      </w:r>
    </w:p>
    <w:p w14:paraId="24AE62C9" w14:textId="77777777" w:rsidR="00271CD3" w:rsidRPr="00892E76" w:rsidRDefault="00271CD3" w:rsidP="00271CD3">
      <w:pPr>
        <w:ind w:left="709" w:right="709"/>
        <w:jc w:val="both"/>
        <w:rPr>
          <w:rFonts w:ascii="Arial" w:hAnsi="Arial" w:cs="Arial"/>
          <w:color w:val="000000" w:themeColor="text1"/>
          <w:sz w:val="21"/>
          <w:szCs w:val="21"/>
          <w:lang w:val="es-ES_tradnl"/>
        </w:rPr>
      </w:pPr>
    </w:p>
    <w:p w14:paraId="511074F6" w14:textId="77777777" w:rsidR="00271CD3" w:rsidRPr="00892E76" w:rsidRDefault="00271CD3" w:rsidP="00271CD3">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 xml:space="preserve">Adicionalmente, este cambio de empleador supone que, en virtud de un acto, el empresario cedente transfiere al cesionario bienes susceptibles de explotación económica, con capacidad para ofrecer bienes o servicios al mercado. Dicho de otra forma, la sucesión de empresa supone el traspaso de un conjunto de medios organizados susceptibles de permitir la continuación de la actividad económica correspondiente. Por consiguiente, la mera transmisión de la actividad, sin que esté acompañada del traspaso de los medios de producción o de la organización empresarial, no configura una sustitución de empleadores. </w:t>
      </w:r>
    </w:p>
    <w:p w14:paraId="7F63E731" w14:textId="77777777" w:rsidR="00271CD3" w:rsidRPr="00892E76" w:rsidRDefault="00271CD3" w:rsidP="00271CD3">
      <w:pPr>
        <w:ind w:left="709" w:right="709"/>
        <w:jc w:val="both"/>
        <w:rPr>
          <w:rFonts w:ascii="Arial" w:hAnsi="Arial" w:cs="Arial"/>
          <w:color w:val="000000" w:themeColor="text1"/>
          <w:sz w:val="21"/>
          <w:szCs w:val="21"/>
          <w:lang w:val="es-ES_tradnl"/>
        </w:rPr>
      </w:pPr>
    </w:p>
    <w:p w14:paraId="36A93D3C" w14:textId="77777777" w:rsidR="00271CD3" w:rsidRPr="00892E76" w:rsidRDefault="00271CD3" w:rsidP="00271CD3">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 xml:space="preserve">Precisamente en este aspecto reside la diferencia entre la tercerización laboral y la sustitución de empleadores. En la primera, el empresario «hace un encargo a un tercero de determinadas partes u operaciones del proceso productivo» (CSJ SL467-2019), lo que usualmente se concreta a través de la figura de los contratistas y subcontratistas prevista en el artículo 34 del Código Sustantivo del Trabajo. Luego, en la tercerización laboral, hay una externalización de tareas o, si se quiere, un traspaso de actividades de una empresa a otra, pero sin transferencia de la organización empresarial. Por ello, la empresa cesionaria puede reversar la actividad cedida o delegarla en otro contratista. </w:t>
      </w:r>
    </w:p>
    <w:p w14:paraId="159EF925" w14:textId="77777777" w:rsidR="00271CD3" w:rsidRPr="00892E76" w:rsidRDefault="00271CD3" w:rsidP="00271CD3">
      <w:pPr>
        <w:ind w:left="709" w:right="709"/>
        <w:jc w:val="both"/>
        <w:rPr>
          <w:rFonts w:ascii="Arial" w:hAnsi="Arial" w:cs="Arial"/>
          <w:color w:val="000000" w:themeColor="text1"/>
          <w:sz w:val="21"/>
          <w:szCs w:val="21"/>
          <w:lang w:val="es-ES_tradnl"/>
        </w:rPr>
      </w:pPr>
    </w:p>
    <w:p w14:paraId="0EC8CBD3" w14:textId="77777777" w:rsidR="00271CD3" w:rsidRPr="00892E76" w:rsidRDefault="00271CD3" w:rsidP="00271CD3">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En cambio, en la sustitución de empleadores, no solo hay una transmisión de actividad; también se trasfieren las estructuras y elementos organizativos suficientes para dar continuidad a la explotación de bienes y servicios ofrecidos al mercado. Por tanto, no hay sucesión de empresas si no opera este trasvase de los medios organizativos y productivos de una compañía a la otra, que le permitan seguir explotando el negocio cedido</w:t>
      </w:r>
      <w:r w:rsidRPr="00892E76">
        <w:rPr>
          <w:rStyle w:val="Refdenotaalpie"/>
          <w:rFonts w:ascii="Arial" w:hAnsi="Arial" w:cs="Arial"/>
          <w:color w:val="000000" w:themeColor="text1"/>
          <w:sz w:val="21"/>
          <w:szCs w:val="21"/>
          <w:lang w:val="es-ES_tradnl"/>
        </w:rPr>
        <w:footnoteReference w:id="12"/>
      </w:r>
      <w:r w:rsidRPr="00892E76">
        <w:rPr>
          <w:rFonts w:ascii="Arial" w:hAnsi="Arial" w:cs="Arial"/>
          <w:color w:val="000000" w:themeColor="text1"/>
          <w:sz w:val="21"/>
          <w:szCs w:val="21"/>
          <w:lang w:val="es-ES_tradnl"/>
        </w:rPr>
        <w:t>.</w:t>
      </w:r>
    </w:p>
    <w:p w14:paraId="484006CA" w14:textId="77777777" w:rsidR="00271CD3" w:rsidRPr="00892E76" w:rsidRDefault="00271CD3" w:rsidP="00271CD3">
      <w:pPr>
        <w:spacing w:line="276" w:lineRule="auto"/>
        <w:ind w:firstLine="709"/>
        <w:jc w:val="both"/>
        <w:rPr>
          <w:rFonts w:ascii="Arial" w:hAnsi="Arial" w:cs="Arial"/>
          <w:color w:val="000000" w:themeColor="text1"/>
          <w:sz w:val="22"/>
          <w:lang w:val="es-ES_tradnl"/>
        </w:rPr>
      </w:pPr>
    </w:p>
    <w:p w14:paraId="5B514281" w14:textId="77777777" w:rsidR="00271CD3" w:rsidRPr="00892E76" w:rsidRDefault="00271CD3" w:rsidP="00271CD3">
      <w:pPr>
        <w:spacing w:line="276" w:lineRule="auto"/>
        <w:ind w:firstLine="709"/>
        <w:jc w:val="both"/>
        <w:rPr>
          <w:rFonts w:ascii="Arial" w:hAnsi="Arial" w:cs="Arial"/>
          <w:color w:val="000000" w:themeColor="text1"/>
          <w:sz w:val="22"/>
          <w:lang w:val="es-ES_tradnl"/>
        </w:rPr>
      </w:pPr>
      <w:r w:rsidRPr="00892E76">
        <w:rPr>
          <w:rFonts w:ascii="Arial" w:hAnsi="Arial" w:cs="Arial"/>
          <w:color w:val="000000" w:themeColor="text1"/>
          <w:sz w:val="22"/>
          <w:lang w:val="es-ES_tradnl"/>
        </w:rPr>
        <w:t xml:space="preserve">Por lo tanto, sin perjuicio de que el decreto que expida el gobierno nacional para reglamentar el numeral 4 del artículo 35 de la Ley 2069 de 2020 disponga algo diferente, esta Subdirección en principio no advierte que la sustitución de empleadores sea óbice para que se siga computando el período de antigüedad exigido en el parágrafo segundo del mencionado artículo, pues el hecho de que opere tal sustitución no modifica por sí solo el contrato de trabajo, es decir, que se mantiene la misma relación laboral. Sin embargo, el oferente que pretenda beneficiarse con el factor de desempate previsto en el numeral 4 debe conservar el mismo giro ordinario del negocio que existía antes de la sustitución de empleadores, si quiere que se le tenga en cuenta la vinculación del trabajador previa a dicha sustitución. </w:t>
      </w:r>
    </w:p>
    <w:p w14:paraId="577147DF" w14:textId="77777777" w:rsidR="00271CD3" w:rsidRPr="00892E76" w:rsidRDefault="00271CD3" w:rsidP="00271CD3">
      <w:pPr>
        <w:spacing w:before="120" w:line="276" w:lineRule="auto"/>
        <w:ind w:firstLine="709"/>
        <w:jc w:val="both"/>
        <w:rPr>
          <w:rFonts w:ascii="Arial" w:eastAsia="Calibri" w:hAnsi="Arial" w:cs="Arial"/>
          <w:color w:val="000000" w:themeColor="text1"/>
          <w:sz w:val="22"/>
          <w:lang w:val="es-ES_tradnl"/>
        </w:rPr>
      </w:pPr>
      <w:r w:rsidRPr="00892E76">
        <w:rPr>
          <w:rFonts w:ascii="Arial" w:hAnsi="Arial" w:cs="Arial"/>
          <w:color w:val="000000" w:themeColor="text1"/>
          <w:sz w:val="22"/>
          <w:lang w:val="es-ES_tradnl"/>
        </w:rPr>
        <w:t xml:space="preserve">Ahora bien, </w:t>
      </w:r>
      <w:r w:rsidRPr="00892E76">
        <w:rPr>
          <w:rFonts w:ascii="Arial" w:eastAsia="Calibri" w:hAnsi="Arial" w:cs="Arial"/>
          <w:color w:val="000000" w:themeColor="text1"/>
          <w:sz w:val="22"/>
          <w:lang w:val="es-ES_tradnl"/>
        </w:rPr>
        <w:t xml:space="preserve">el hecho de que el artículo 84 de la Ley 2069 de 2020 establezca que esta rige a partir de su promulgación –o sea, desde el 31 de diciembre de 2020–, no se opone a que el Congreso de la República haya previsto dentro de la misma Ley condiciones </w:t>
      </w:r>
      <w:r w:rsidRPr="00892E76">
        <w:rPr>
          <w:rFonts w:ascii="Arial" w:eastAsia="Calibri" w:hAnsi="Arial" w:cs="Arial"/>
          <w:color w:val="000000" w:themeColor="text1"/>
          <w:sz w:val="22"/>
          <w:lang w:val="es-ES_tradnl"/>
        </w:rPr>
        <w:lastRenderedPageBreak/>
        <w:t xml:space="preserve">temporales para la eficacia de algunas de sus disposiciones. Así, por ejemplo, el parágrafo segundo del artículo 35 señala: «Para los criterios enunciados que involucren la vinculación de capital humano, el oferente deberá acreditar una antigüedad </w:t>
      </w:r>
      <w:r w:rsidRPr="00892E76">
        <w:rPr>
          <w:rFonts w:ascii="Arial" w:eastAsia="Calibri" w:hAnsi="Arial" w:cs="Arial"/>
          <w:i/>
          <w:iCs/>
          <w:color w:val="000000" w:themeColor="text1"/>
          <w:sz w:val="22"/>
          <w:lang w:val="es-ES_tradnl"/>
        </w:rPr>
        <w:t>igual o mayor a un año</w:t>
      </w:r>
      <w:r w:rsidRPr="00892E76">
        <w:rPr>
          <w:rFonts w:ascii="Arial" w:eastAsia="Calibri" w:hAnsi="Arial" w:cs="Arial"/>
          <w:color w:val="000000" w:themeColor="text1"/>
          <w:sz w:val="22"/>
          <w:lang w:val="es-ES_tradnl"/>
        </w:rPr>
        <w:t xml:space="preserve">. Para los casos de constitución inferior a un año se tendrá en cuenta a aquellos trabajadores que hayan estado vinculados </w:t>
      </w:r>
      <w:r w:rsidRPr="00892E76">
        <w:rPr>
          <w:rFonts w:ascii="Arial" w:eastAsia="Calibri" w:hAnsi="Arial" w:cs="Arial"/>
          <w:i/>
          <w:iCs/>
          <w:color w:val="000000" w:themeColor="text1"/>
          <w:sz w:val="22"/>
          <w:lang w:val="es-ES_tradnl"/>
        </w:rPr>
        <w:t>desde el momento de constitución de la misma</w:t>
      </w:r>
      <w:r w:rsidRPr="00892E76">
        <w:rPr>
          <w:rFonts w:ascii="Arial" w:eastAsia="Calibri" w:hAnsi="Arial" w:cs="Arial"/>
          <w:color w:val="000000" w:themeColor="text1"/>
          <w:sz w:val="22"/>
          <w:lang w:val="es-ES_tradnl"/>
        </w:rPr>
        <w:t xml:space="preserve">» (énfasis fuera de texto). </w:t>
      </w:r>
    </w:p>
    <w:p w14:paraId="2FDF1D44" w14:textId="77777777" w:rsidR="00271CD3" w:rsidRPr="00892E76" w:rsidRDefault="00271CD3" w:rsidP="00271CD3">
      <w:pPr>
        <w:spacing w:before="120"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Es decir, si bien es cierto que los factores de desempate previstos en el artículo 35 de la Ley 2069 de 2020 deben aplicarse en los procedimientos de selección iniciados a partir de la promulgación de esta, también lo es que –al tenor del parágrafo segundo del mismo artículo–, cuando en dichos factores se exija la vinculación laboral de personas, el oferente debe acreditar que lo están, como mínimo, con un año de antigüedad, salvo que el proponente se haya constituido con una anterioridad menor al año, pues en este caso deberá acreditar que el capital humano está vinculado al menos desde el momento de la constitución. O sea que el período contenido en el parágrafo segundo, en sentido estricto, no se comienza a computar desde la promulgación de la Ley 2069 de 2020, sino que para el momento en el que la entidad estatal evalúe la viabilidad de aplicar los factores de desempate vigentes del artículo 35 de dicha Ley –que exijan la vinculación de capital humano–, debe analizar si se cumple con dicho término de vinculación.</w:t>
      </w:r>
    </w:p>
    <w:p w14:paraId="1D7278B8" w14:textId="77777777" w:rsidR="00271CD3" w:rsidRPr="00892E76" w:rsidRDefault="00271CD3" w:rsidP="00271CD3">
      <w:pPr>
        <w:spacing w:before="120"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 xml:space="preserve">En conclusión, como el numeral 4 del artículo 35 de la Ley 2069 de 2020 no establece una tarifa legal, las entidades estatales gozan de discrecionalidad administrativa para establecer en el pliego de condiciones la forma como se puede acreditar este factor de desempate por parte de los oferentes, incluidos los proponentes plurales. En caso de que el pliego de condiciones guarde silencio al respecto, la libertad probatoria se traslada al proponente, quien podrá acreditar la circunstancia prevista en el referido numeral con los medios probatorios idóneos, quedándole a la entidad estatal la carga de valorarlos, para concluir si aquellos son pertinentes y conducentes. </w:t>
      </w:r>
    </w:p>
    <w:p w14:paraId="4B8DFB77" w14:textId="77777777" w:rsidR="00271CD3" w:rsidRPr="00892E76" w:rsidRDefault="00271CD3" w:rsidP="00271CD3">
      <w:pPr>
        <w:spacing w:before="120"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 xml:space="preserve">Sin embargo, precisamente por no existir tarifa legal, y además teniendo en cuenta que la competencia consultiva de la Agencia Nacional de Contratación Pública –Colombia Compra Eficiente se circunscribe a la expedición de conceptos sobre la interpretación de normas con un alcance general, no le es dado a este órgano rector definir un listado de documentos específicos con los que se debe probar el factor de desempate contenido en el numeral 4 del artículo 35 de la Ley 2069 de 2020. El gobierno nacional, en ejercicio de la competencia conferida por el artículo 189 –numeral 11– de la Constitución, podría hacerlo en el reglamento que expida. Entretanto, las entidades estatales gozan de autonomía para valorar las pruebas aportadas por el oferente y para tomar una decisión que garantice los principios de legalidad y proporcionalidad. </w:t>
      </w:r>
    </w:p>
    <w:p w14:paraId="20F4EF28" w14:textId="22EACD08" w:rsidR="00271CD3" w:rsidRPr="00892E76" w:rsidRDefault="00271CD3" w:rsidP="00271CD3">
      <w:pPr>
        <w:spacing w:before="120"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Ahora bien, tratándose de proponentes plurales,</w:t>
      </w:r>
      <w:r w:rsidR="00DF057C" w:rsidRPr="00892E76">
        <w:rPr>
          <w:rFonts w:ascii="Arial" w:eastAsia="Calibri" w:hAnsi="Arial" w:cs="Arial"/>
          <w:color w:val="000000" w:themeColor="text1"/>
          <w:sz w:val="22"/>
          <w:lang w:val="es-ES_tradnl"/>
        </w:rPr>
        <w:t xml:space="preserve"> en ejercicio de la competencia conferida por el artículo 1</w:t>
      </w:r>
      <w:r w:rsidR="00393173" w:rsidRPr="00892E76">
        <w:rPr>
          <w:rFonts w:ascii="Arial" w:eastAsia="Calibri" w:hAnsi="Arial" w:cs="Arial"/>
          <w:color w:val="000000" w:themeColor="text1"/>
          <w:sz w:val="22"/>
          <w:lang w:val="es-ES_tradnl"/>
        </w:rPr>
        <w:t xml:space="preserve"> de la Ley 2022 de 2020,</w:t>
      </w:r>
      <w:r w:rsidRPr="00892E76">
        <w:rPr>
          <w:rFonts w:ascii="Arial" w:eastAsia="Calibri" w:hAnsi="Arial" w:cs="Arial"/>
          <w:color w:val="000000" w:themeColor="text1"/>
          <w:sz w:val="22"/>
          <w:lang w:val="es-ES_tradnl"/>
        </w:rPr>
        <w:t xml:space="preserve"> esta Agencia adoptó el siguiente criterio </w:t>
      </w:r>
      <w:r w:rsidRPr="00892E76">
        <w:rPr>
          <w:rFonts w:ascii="Arial" w:eastAsia="Calibri" w:hAnsi="Arial" w:cs="Arial"/>
          <w:color w:val="000000" w:themeColor="text1"/>
          <w:sz w:val="22"/>
          <w:lang w:val="es-ES_tradnl"/>
        </w:rPr>
        <w:lastRenderedPageBreak/>
        <w:t>en el numeral 4.6 de los documentos tipo para licitación de obra pública de infraestructura de transporte –versión 3, con las modificaciones de la Resolución 161 de 2021–:</w:t>
      </w:r>
    </w:p>
    <w:p w14:paraId="6F878CB9" w14:textId="77777777" w:rsidR="00271CD3" w:rsidRPr="00892E76" w:rsidRDefault="00271CD3" w:rsidP="00271CD3">
      <w:pPr>
        <w:ind w:left="709" w:right="709"/>
        <w:jc w:val="both"/>
        <w:rPr>
          <w:rFonts w:ascii="Arial" w:hAnsi="Arial" w:cs="Arial"/>
          <w:color w:val="000000" w:themeColor="text1"/>
          <w:sz w:val="21"/>
          <w:szCs w:val="21"/>
          <w:lang w:val="es-ES_tradnl"/>
        </w:rPr>
      </w:pPr>
    </w:p>
    <w:p w14:paraId="3E2E8214" w14:textId="77777777" w:rsidR="00271CD3" w:rsidRPr="00892E76" w:rsidRDefault="00271CD3" w:rsidP="00271CD3">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 xml:space="preserve">En el caso de los proponentes plurales, su representante legal diligenciará el «Formato 10 C – Vinculación de personas mayores y no beneficiaria de pensión de vejez, familiar o sobrevivencia – (Empleador – proponente)», mediante el cual certifique el número de trabajadores vinculados que siendo personas mayores no beneficiarias de la pensión de vejez, familiar o de sobrevivencia y que cumplieron el requisito de edad de pensión establecido en la ley, </w:t>
      </w:r>
      <w:r w:rsidRPr="00892E76">
        <w:rPr>
          <w:rFonts w:ascii="Arial" w:hAnsi="Arial" w:cs="Arial"/>
          <w:i/>
          <w:iCs/>
          <w:color w:val="000000" w:themeColor="text1"/>
          <w:sz w:val="21"/>
          <w:szCs w:val="21"/>
          <w:lang w:val="es-ES_tradnl"/>
        </w:rPr>
        <w:t>de todos los integrantes del consorcio o de la unión temporal. Las personas enunciadas anteriormente podrán estar vinculadas a cualquiera de sus integrantes</w:t>
      </w:r>
      <w:r w:rsidRPr="00892E76">
        <w:rPr>
          <w:rFonts w:ascii="Arial" w:hAnsi="Arial" w:cs="Arial"/>
          <w:color w:val="000000" w:themeColor="text1"/>
          <w:sz w:val="21"/>
          <w:szCs w:val="21"/>
          <w:lang w:val="es-ES_tradnl"/>
        </w:rPr>
        <w:t>.</w:t>
      </w:r>
    </w:p>
    <w:p w14:paraId="19411043" w14:textId="77777777" w:rsidR="00271CD3" w:rsidRPr="00892E76" w:rsidRDefault="00271CD3" w:rsidP="00271CD3">
      <w:pPr>
        <w:ind w:left="709" w:right="709"/>
        <w:jc w:val="both"/>
        <w:rPr>
          <w:rFonts w:ascii="Arial" w:hAnsi="Arial" w:cs="Arial"/>
          <w:color w:val="000000" w:themeColor="text1"/>
          <w:sz w:val="21"/>
          <w:szCs w:val="21"/>
          <w:lang w:val="es-ES_tradnl"/>
        </w:rPr>
      </w:pPr>
    </w:p>
    <w:p w14:paraId="70198964" w14:textId="77777777" w:rsidR="00271CD3" w:rsidRPr="00892E76" w:rsidRDefault="00271CD3" w:rsidP="00271CD3">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En cualquiera de los dos supuestos anteriores, para el otorgamiento del criterio de desempate, cada uno de los trabajadores que cumpla las condiciones previstas por la ley diligenciará el «Formato 10 C – Vinculación de personas mayores y no beneficiaria de pensión de vejez, familiar o sobrevivencia (Trabajador)», mediante el cual certifica bajo la gravedad de juramento que no es beneficiario de pensión de vejez, familiar o sobrevivencia y cumple la edad de pensión, además, se deberá allegar el documento de identificación del trabajador que lo firma.</w:t>
      </w:r>
    </w:p>
    <w:p w14:paraId="1EB8C43B" w14:textId="77777777" w:rsidR="00271CD3" w:rsidRPr="00892E76" w:rsidRDefault="00271CD3" w:rsidP="00271CD3">
      <w:pPr>
        <w:ind w:left="709" w:right="709"/>
        <w:jc w:val="both"/>
        <w:rPr>
          <w:rFonts w:ascii="Arial" w:hAnsi="Arial" w:cs="Arial"/>
          <w:color w:val="000000" w:themeColor="text1"/>
          <w:sz w:val="21"/>
          <w:szCs w:val="21"/>
          <w:lang w:val="es-ES_tradnl"/>
        </w:rPr>
      </w:pPr>
    </w:p>
    <w:p w14:paraId="314CCB80" w14:textId="77777777" w:rsidR="00271CD3" w:rsidRPr="00892E76" w:rsidRDefault="00271CD3" w:rsidP="00271CD3">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 xml:space="preserve">La mayor proporción se definirá en relación con el número total de trabajadores vinculados en la planta de personal, por lo que se preferirá al oferente que acredite un porcentaje mayor. </w:t>
      </w:r>
      <w:r w:rsidRPr="00892E76">
        <w:rPr>
          <w:rFonts w:ascii="Arial" w:hAnsi="Arial" w:cs="Arial"/>
          <w:i/>
          <w:iCs/>
          <w:color w:val="000000" w:themeColor="text1"/>
          <w:sz w:val="21"/>
          <w:szCs w:val="21"/>
          <w:lang w:val="es-ES_tradnl"/>
        </w:rPr>
        <w:t>En el caso de proponentes plurales, la mayor proporción se definirá con la sumatoria de trabajadores vinculados en la planta de personal de cada uno de sus integrantes</w:t>
      </w:r>
      <w:r w:rsidRPr="00892E76">
        <w:rPr>
          <w:rStyle w:val="Refdenotaalpie"/>
          <w:rFonts w:ascii="Arial" w:hAnsi="Arial" w:cs="Arial"/>
          <w:color w:val="000000" w:themeColor="text1"/>
          <w:sz w:val="21"/>
          <w:szCs w:val="21"/>
          <w:lang w:val="es-ES_tradnl"/>
        </w:rPr>
        <w:footnoteReference w:id="13"/>
      </w:r>
      <w:r w:rsidRPr="00892E76">
        <w:rPr>
          <w:rFonts w:ascii="Arial" w:hAnsi="Arial" w:cs="Arial"/>
          <w:i/>
          <w:iCs/>
          <w:color w:val="000000" w:themeColor="text1"/>
          <w:sz w:val="21"/>
          <w:szCs w:val="21"/>
          <w:lang w:val="es-ES_tradnl"/>
        </w:rPr>
        <w:t xml:space="preserve"> </w:t>
      </w:r>
      <w:r w:rsidRPr="00892E76">
        <w:rPr>
          <w:rFonts w:ascii="Arial" w:hAnsi="Arial" w:cs="Arial"/>
          <w:color w:val="000000" w:themeColor="text1"/>
          <w:sz w:val="21"/>
          <w:szCs w:val="21"/>
          <w:lang w:val="es-ES_tradnl"/>
        </w:rPr>
        <w:t>(Énfasis fuera de texto).</w:t>
      </w:r>
    </w:p>
    <w:p w14:paraId="6A27AC96" w14:textId="77777777" w:rsidR="00271CD3" w:rsidRPr="00892E76" w:rsidRDefault="00271CD3" w:rsidP="00271CD3">
      <w:pPr>
        <w:spacing w:line="276" w:lineRule="auto"/>
        <w:ind w:firstLine="709"/>
        <w:jc w:val="both"/>
        <w:rPr>
          <w:rFonts w:ascii="Arial" w:eastAsia="Calibri" w:hAnsi="Arial" w:cs="Arial"/>
          <w:color w:val="000000" w:themeColor="text1"/>
          <w:sz w:val="22"/>
          <w:lang w:val="es-ES_tradnl"/>
        </w:rPr>
      </w:pPr>
    </w:p>
    <w:p w14:paraId="0F14F473" w14:textId="3E7DF01D" w:rsidR="00271CD3" w:rsidRPr="00892E76" w:rsidRDefault="00271CD3" w:rsidP="00271CD3">
      <w:pPr>
        <w:spacing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Si bien los documentos tipo no rigen en todos los procedimientos de selección, la anterior es la interpretación de la Agencia sobre la forma de acreditar el factor de desempate del artículo 35, numeral 4, de la Ley 2069 de 2020, por parte de los proponentes plurales. En consecuencia, esta consideración le puede servir como guía ilustrativa. Sin embargo, se reitera que cada entidad estatal en el pliego de condiciones o equivalente –en aquellos casos en los cuales el procedimiento no se rige por los documentos tipo–, tiene discrecionalidad para definir la manera como deben acreditarse los factores de desempate sobre los cuales el ordenamiento jurídico no ha establecido un medio probatorio específico.</w:t>
      </w:r>
      <w:r w:rsidR="00EB1C52" w:rsidRPr="00892E76">
        <w:rPr>
          <w:rFonts w:ascii="Arial" w:eastAsia="Calibri" w:hAnsi="Arial" w:cs="Arial"/>
          <w:color w:val="000000" w:themeColor="text1"/>
          <w:sz w:val="22"/>
          <w:lang w:val="es-ES_tradnl"/>
        </w:rPr>
        <w:t xml:space="preserve"> Esto sin perjuicio de que en el reglamento que expida el gobierno nacional se establezca</w:t>
      </w:r>
      <w:r w:rsidR="008A7EC4" w:rsidRPr="00892E76">
        <w:rPr>
          <w:rFonts w:ascii="Arial" w:eastAsia="Calibri" w:hAnsi="Arial" w:cs="Arial"/>
          <w:color w:val="000000" w:themeColor="text1"/>
          <w:sz w:val="22"/>
          <w:lang w:val="es-ES_tradnl"/>
        </w:rPr>
        <w:t>n medios probatorios específicos</w:t>
      </w:r>
      <w:r w:rsidR="00260C7E" w:rsidRPr="00892E76">
        <w:rPr>
          <w:rFonts w:ascii="Arial" w:eastAsia="Calibri" w:hAnsi="Arial" w:cs="Arial"/>
          <w:color w:val="000000" w:themeColor="text1"/>
          <w:sz w:val="22"/>
          <w:lang w:val="es-ES_tradnl"/>
        </w:rPr>
        <w:t xml:space="preserve"> –como</w:t>
      </w:r>
      <w:r w:rsidR="007D5A68" w:rsidRPr="00892E76">
        <w:rPr>
          <w:rFonts w:ascii="Arial" w:eastAsia="Calibri" w:hAnsi="Arial" w:cs="Arial"/>
          <w:color w:val="000000" w:themeColor="text1"/>
          <w:sz w:val="22"/>
          <w:lang w:val="es-ES_tradnl"/>
        </w:rPr>
        <w:t>,</w:t>
      </w:r>
      <w:r w:rsidR="00260C7E" w:rsidRPr="00892E76">
        <w:rPr>
          <w:rFonts w:ascii="Arial" w:eastAsia="Calibri" w:hAnsi="Arial" w:cs="Arial"/>
          <w:color w:val="000000" w:themeColor="text1"/>
          <w:sz w:val="22"/>
          <w:lang w:val="es-ES_tradnl"/>
        </w:rPr>
        <w:t xml:space="preserve"> en efecto</w:t>
      </w:r>
      <w:r w:rsidR="007D5A68" w:rsidRPr="00892E76">
        <w:rPr>
          <w:rFonts w:ascii="Arial" w:eastAsia="Calibri" w:hAnsi="Arial" w:cs="Arial"/>
          <w:color w:val="000000" w:themeColor="text1"/>
          <w:sz w:val="22"/>
          <w:lang w:val="es-ES_tradnl"/>
        </w:rPr>
        <w:t>,</w:t>
      </w:r>
      <w:r w:rsidR="00260C7E" w:rsidRPr="00892E76">
        <w:rPr>
          <w:rFonts w:ascii="Arial" w:eastAsia="Calibri" w:hAnsi="Arial" w:cs="Arial"/>
          <w:color w:val="000000" w:themeColor="text1"/>
          <w:sz w:val="22"/>
          <w:lang w:val="es-ES_tradnl"/>
        </w:rPr>
        <w:t xml:space="preserve"> lo hace el proyecto de decreto sobre la materia</w:t>
      </w:r>
      <w:r w:rsidR="00D841F9" w:rsidRPr="00892E76">
        <w:rPr>
          <w:rStyle w:val="Refdenotaalpie"/>
          <w:rFonts w:ascii="Arial" w:eastAsia="Calibri" w:hAnsi="Arial" w:cs="Arial"/>
          <w:color w:val="000000" w:themeColor="text1"/>
          <w:sz w:val="22"/>
          <w:lang w:val="es-ES_tradnl"/>
        </w:rPr>
        <w:footnoteReference w:id="14"/>
      </w:r>
      <w:r w:rsidR="00260C7E" w:rsidRPr="00892E76">
        <w:rPr>
          <w:rFonts w:ascii="Arial" w:eastAsia="Calibri" w:hAnsi="Arial" w:cs="Arial"/>
          <w:color w:val="000000" w:themeColor="text1"/>
          <w:sz w:val="22"/>
          <w:lang w:val="es-ES_tradnl"/>
        </w:rPr>
        <w:t>–</w:t>
      </w:r>
      <w:r w:rsidR="008A7EC4" w:rsidRPr="00892E76">
        <w:rPr>
          <w:rFonts w:ascii="Arial" w:eastAsia="Calibri" w:hAnsi="Arial" w:cs="Arial"/>
          <w:color w:val="000000" w:themeColor="text1"/>
          <w:sz w:val="22"/>
          <w:lang w:val="es-ES_tradnl"/>
        </w:rPr>
        <w:t>, los cuales deberán respetarse por parte de las entidades contratantes y los particulares</w:t>
      </w:r>
      <w:r w:rsidR="002905EF" w:rsidRPr="00892E76">
        <w:rPr>
          <w:rFonts w:ascii="Arial" w:eastAsia="Calibri" w:hAnsi="Arial" w:cs="Arial"/>
          <w:color w:val="000000" w:themeColor="text1"/>
          <w:sz w:val="22"/>
          <w:lang w:val="es-ES_tradnl"/>
        </w:rPr>
        <w:t>,</w:t>
      </w:r>
      <w:r w:rsidR="007D5A68" w:rsidRPr="00892E76">
        <w:rPr>
          <w:rFonts w:ascii="Arial" w:eastAsia="Calibri" w:hAnsi="Arial" w:cs="Arial"/>
          <w:color w:val="000000" w:themeColor="text1"/>
          <w:sz w:val="22"/>
          <w:lang w:val="es-ES_tradnl"/>
        </w:rPr>
        <w:t xml:space="preserve"> una vez entre en vigencia</w:t>
      </w:r>
      <w:r w:rsidR="00307ED9" w:rsidRPr="00892E76">
        <w:rPr>
          <w:rFonts w:ascii="Arial" w:eastAsia="Calibri" w:hAnsi="Arial" w:cs="Arial"/>
          <w:color w:val="000000" w:themeColor="text1"/>
          <w:sz w:val="22"/>
          <w:lang w:val="es-ES_tradnl"/>
        </w:rPr>
        <w:t xml:space="preserve"> dicho cuerpo normativo</w:t>
      </w:r>
      <w:r w:rsidR="008A7EC4" w:rsidRPr="00892E76">
        <w:rPr>
          <w:rFonts w:ascii="Arial" w:eastAsia="Calibri" w:hAnsi="Arial" w:cs="Arial"/>
          <w:color w:val="000000" w:themeColor="text1"/>
          <w:sz w:val="22"/>
          <w:lang w:val="es-ES_tradnl"/>
        </w:rPr>
        <w:t>.</w:t>
      </w:r>
    </w:p>
    <w:p w14:paraId="4F304416" w14:textId="77777777" w:rsidR="00271CD3" w:rsidRPr="00892E76" w:rsidRDefault="00271CD3" w:rsidP="004D1C27">
      <w:pPr>
        <w:spacing w:line="276" w:lineRule="auto"/>
        <w:jc w:val="both"/>
        <w:rPr>
          <w:rFonts w:ascii="Arial" w:hAnsi="Arial" w:cs="Arial"/>
          <w:color w:val="000000" w:themeColor="text1"/>
          <w:sz w:val="22"/>
          <w:szCs w:val="22"/>
          <w:lang w:val="es-ES_tradnl"/>
        </w:rPr>
      </w:pPr>
    </w:p>
    <w:p w14:paraId="37CA9805" w14:textId="0A56C02E" w:rsidR="00DD5B04" w:rsidRPr="00892E76" w:rsidRDefault="004177A6" w:rsidP="004D1C27">
      <w:pPr>
        <w:spacing w:line="276" w:lineRule="auto"/>
        <w:jc w:val="both"/>
        <w:rPr>
          <w:rFonts w:ascii="Arial" w:hAnsi="Arial" w:cs="Arial"/>
          <w:color w:val="000000" w:themeColor="text1"/>
          <w:sz w:val="22"/>
          <w:lang w:val="es-ES_tradnl"/>
        </w:rPr>
      </w:pPr>
      <w:r w:rsidRPr="00892E76">
        <w:rPr>
          <w:rFonts w:ascii="Arial" w:eastAsia="Calibri" w:hAnsi="Arial" w:cs="Arial"/>
          <w:b/>
          <w:color w:val="000000" w:themeColor="text1"/>
          <w:sz w:val="22"/>
          <w:lang w:val="es-ES_tradnl"/>
        </w:rPr>
        <w:t>3</w:t>
      </w:r>
      <w:r w:rsidR="00B011A9" w:rsidRPr="00892E76">
        <w:rPr>
          <w:rFonts w:ascii="Arial" w:eastAsia="Calibri" w:hAnsi="Arial" w:cs="Arial"/>
          <w:b/>
          <w:color w:val="000000" w:themeColor="text1"/>
          <w:sz w:val="22"/>
          <w:lang w:val="es-ES_tradnl"/>
        </w:rPr>
        <w:t xml:space="preserve">. </w:t>
      </w:r>
      <w:r w:rsidR="00DD5B04" w:rsidRPr="00892E76">
        <w:rPr>
          <w:rFonts w:ascii="Arial" w:eastAsia="Calibri" w:hAnsi="Arial" w:cs="Arial"/>
          <w:b/>
          <w:color w:val="000000" w:themeColor="text1"/>
          <w:sz w:val="22"/>
          <w:lang w:val="es-ES_tradnl"/>
        </w:rPr>
        <w:t>Respuest</w:t>
      </w:r>
      <w:r w:rsidR="00BF0E64" w:rsidRPr="00892E76">
        <w:rPr>
          <w:rFonts w:ascii="Arial" w:eastAsia="Calibri" w:hAnsi="Arial" w:cs="Arial"/>
          <w:b/>
          <w:color w:val="000000" w:themeColor="text1"/>
          <w:sz w:val="22"/>
          <w:lang w:val="es-ES_tradnl"/>
        </w:rPr>
        <w:t>a</w:t>
      </w:r>
    </w:p>
    <w:p w14:paraId="0B74D5B8" w14:textId="59C73EB8" w:rsidR="00C4581D" w:rsidRPr="00892E76" w:rsidRDefault="00C4581D" w:rsidP="00510DE9">
      <w:pPr>
        <w:tabs>
          <w:tab w:val="left" w:pos="0"/>
        </w:tabs>
        <w:jc w:val="both"/>
        <w:rPr>
          <w:rFonts w:ascii="Arial" w:eastAsia="Calibri" w:hAnsi="Arial" w:cs="Arial"/>
          <w:color w:val="000000" w:themeColor="text1"/>
          <w:sz w:val="22"/>
          <w:lang w:val="es-ES_tradnl"/>
        </w:rPr>
      </w:pPr>
    </w:p>
    <w:p w14:paraId="3EB15FC0" w14:textId="77777777" w:rsidR="00311EE7" w:rsidRPr="00892E76" w:rsidRDefault="00311EE7" w:rsidP="00311EE7">
      <w:pPr>
        <w:ind w:left="709"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t>«1. Si una entidad estatal NO establece en el Pliego de Condiciones, mediante qué documento o medio probatorio se acredita el citado numeral y al no existir tarifa legal y, por tanto, libertad probatoria para acreditar el numeral 4) del artículo 35 de la Ley 2069 de 2020, y en razón a que la noma en cita suprimió en su totalidad el articulo 12 de la Ley 1150 de 2007, en entendemos (sic) que en caso de ofertas presentadas por Unión Temporal, debe ser demostrada la condición definida en el numeral 4) del artículo 35 de la Ley 2069 de 2020 por cada una de los integrantes de la Unión Temporal que estén en capacidad de acreditar dicha condición de sus empleados, en especial con cualquiera de los siguientes documentos:</w:t>
      </w:r>
    </w:p>
    <w:p w14:paraId="35B315B4" w14:textId="77777777" w:rsidR="00311EE7" w:rsidRPr="00892E76" w:rsidRDefault="00311EE7" w:rsidP="00311EE7">
      <w:pPr>
        <w:ind w:left="709" w:right="709"/>
        <w:jc w:val="both"/>
        <w:rPr>
          <w:rFonts w:ascii="Arial" w:eastAsia="Calibri" w:hAnsi="Arial" w:cs="Arial"/>
          <w:color w:val="000000" w:themeColor="text1"/>
          <w:sz w:val="21"/>
          <w:szCs w:val="21"/>
          <w:lang w:val="es-ES_tradnl"/>
        </w:rPr>
      </w:pPr>
    </w:p>
    <w:p w14:paraId="325462C6" w14:textId="77777777" w:rsidR="00311EE7" w:rsidRPr="00892E76" w:rsidRDefault="00311EE7" w:rsidP="00311EE7">
      <w:pPr>
        <w:pStyle w:val="Prrafodelista"/>
        <w:numPr>
          <w:ilvl w:val="0"/>
          <w:numId w:val="30"/>
        </w:numPr>
        <w:ind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lastRenderedPageBreak/>
        <w:t>»Cédula de ciudadanía de las personas que ostentan tal calidad,</w:t>
      </w:r>
    </w:p>
    <w:p w14:paraId="6A5E0B3C" w14:textId="77777777" w:rsidR="00311EE7" w:rsidRPr="00892E76" w:rsidRDefault="00311EE7" w:rsidP="00311EE7">
      <w:pPr>
        <w:pStyle w:val="Prrafodelista"/>
        <w:numPr>
          <w:ilvl w:val="0"/>
          <w:numId w:val="30"/>
        </w:numPr>
        <w:ind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t>»Certificación firmada por el Revisor Fiscal y/o Representante Legal de la persona jurídica integrante de la Unión Temporal que ostenta tal calidad, indicando el número de personas en esta condición, la vinculación mayor a un año de este personal a la empresa y el número total de la planta de personal y</w:t>
      </w:r>
    </w:p>
    <w:p w14:paraId="5CCD9982" w14:textId="009FCFF7" w:rsidR="00311EE7" w:rsidRPr="00892E76" w:rsidRDefault="00311EE7" w:rsidP="009641E9">
      <w:pPr>
        <w:pStyle w:val="Prrafodelista"/>
        <w:numPr>
          <w:ilvl w:val="0"/>
          <w:numId w:val="30"/>
        </w:numPr>
        <w:ind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t>»Copia de las planillas de pago de las personas que ostentan tal calidad, a fin de demostrar vinculación en la empresa integrante de la Unión Temporal</w:t>
      </w:r>
      <w:r w:rsidR="00A85290" w:rsidRPr="00892E76">
        <w:rPr>
          <w:rFonts w:ascii="Arial" w:eastAsia="Calibri" w:hAnsi="Arial" w:cs="Arial"/>
          <w:color w:val="000000" w:themeColor="text1"/>
          <w:sz w:val="21"/>
          <w:szCs w:val="21"/>
          <w:lang w:val="es-ES_tradnl"/>
        </w:rPr>
        <w:t>»</w:t>
      </w:r>
      <w:r w:rsidRPr="00892E76">
        <w:rPr>
          <w:rFonts w:ascii="Arial" w:eastAsia="Calibri" w:hAnsi="Arial" w:cs="Arial"/>
          <w:color w:val="000000" w:themeColor="text1"/>
          <w:sz w:val="21"/>
          <w:szCs w:val="21"/>
          <w:lang w:val="es-ES_tradnl"/>
        </w:rPr>
        <w:t>.</w:t>
      </w:r>
    </w:p>
    <w:p w14:paraId="35C3DF2D" w14:textId="77777777" w:rsidR="009641E9" w:rsidRPr="00892E76" w:rsidRDefault="009641E9" w:rsidP="009641E9">
      <w:pPr>
        <w:spacing w:line="276" w:lineRule="auto"/>
        <w:ind w:firstLine="709"/>
        <w:jc w:val="both"/>
        <w:rPr>
          <w:rFonts w:ascii="Arial" w:eastAsia="Calibri" w:hAnsi="Arial" w:cs="Arial"/>
          <w:color w:val="000000" w:themeColor="text1"/>
          <w:sz w:val="22"/>
          <w:lang w:val="es-ES_tradnl"/>
        </w:rPr>
      </w:pPr>
    </w:p>
    <w:p w14:paraId="59906507" w14:textId="266CC4BA" w:rsidR="009641E9" w:rsidRPr="00892E76" w:rsidRDefault="009641E9" w:rsidP="009641E9">
      <w:pPr>
        <w:spacing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 xml:space="preserve">En conclusión, como el numeral 4 del artículo 35 de la Ley 2069 de 2020 no establece una tarifa legal, las entidades estatales gozan de discrecionalidad administrativa para establecer en el pliego de condiciones la forma como se puede acreditar este factor de desempate por parte de los oferentes, incluidos los proponentes plurales. En caso de que el pliego de condiciones guarde silencio al respecto, la libertad probatoria se traslada al proponente, quien podrá acreditar la circunstancia prevista en el referido numeral con los medios probatorios idóneos, quedándole a la entidad estatal la carga de valorarlos, para concluir si aquellos son pertinentes y conducentes. </w:t>
      </w:r>
    </w:p>
    <w:p w14:paraId="4B472DB7" w14:textId="1DB2BD9C" w:rsidR="009641E9" w:rsidRPr="00892E76" w:rsidRDefault="009641E9" w:rsidP="00A85290">
      <w:pPr>
        <w:spacing w:before="120"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Sin embargo, precisamente por no existir tarifa legal, y además teniendo en cuenta que la competencia consultiva de la Agencia Nacional de Contratación Pública –Colombia Compra Eficiente se circunscribe a la expedición de conceptos sobre la interpretación de normas con un alcance general, no le es dado a este órgano rector definir un listado de documentos específicos con los que se debe probar el factor de desempate contenido en el numeral 4 del artículo 35 de la Ley 2069 de 2020. El gobierno nacional, en ejercicio de la competencia conferida por el artículo 189 –numeral 11– de la Constitución, podría hacerlo en el reglamento que expida. Entretanto, las entidades estatales gozan de autonomía para valorar las pruebas aportadas por el oferente y para tomar una decisión que garantice los principios de legalidad y proporcionalidad.</w:t>
      </w:r>
    </w:p>
    <w:p w14:paraId="1F71E509" w14:textId="77777777" w:rsidR="00A85290" w:rsidRPr="00892E76" w:rsidRDefault="00A85290" w:rsidP="00311EE7">
      <w:pPr>
        <w:ind w:left="709" w:right="709"/>
        <w:jc w:val="both"/>
        <w:rPr>
          <w:rFonts w:ascii="Arial" w:eastAsia="Calibri" w:hAnsi="Arial" w:cs="Arial"/>
          <w:color w:val="000000" w:themeColor="text1"/>
          <w:sz w:val="21"/>
          <w:szCs w:val="21"/>
          <w:lang w:val="es-ES_tradnl"/>
        </w:rPr>
      </w:pPr>
    </w:p>
    <w:p w14:paraId="5686EAE4" w14:textId="4DB0141F" w:rsidR="00311EE7" w:rsidRPr="00892E76" w:rsidRDefault="00A85290" w:rsidP="00311EE7">
      <w:pPr>
        <w:ind w:left="709" w:right="709"/>
        <w:jc w:val="both"/>
        <w:rPr>
          <w:rFonts w:ascii="Arial" w:eastAsia="Calibri" w:hAnsi="Arial" w:cs="Arial"/>
          <w:color w:val="000000" w:themeColor="text1"/>
          <w:sz w:val="21"/>
          <w:szCs w:val="21"/>
          <w:lang w:val="es-ES_tradnl"/>
        </w:rPr>
      </w:pPr>
      <w:r w:rsidRPr="00892E76">
        <w:rPr>
          <w:rFonts w:ascii="Arial" w:eastAsia="Calibri" w:hAnsi="Arial" w:cs="Arial"/>
          <w:color w:val="000000" w:themeColor="text1"/>
          <w:sz w:val="21"/>
          <w:szCs w:val="21"/>
          <w:lang w:val="es-ES_tradnl"/>
        </w:rPr>
        <w:t>«</w:t>
      </w:r>
      <w:r w:rsidR="00311EE7" w:rsidRPr="00892E76">
        <w:rPr>
          <w:rFonts w:ascii="Arial" w:eastAsia="Calibri" w:hAnsi="Arial" w:cs="Arial"/>
          <w:color w:val="000000" w:themeColor="text1"/>
          <w:sz w:val="21"/>
          <w:szCs w:val="21"/>
          <w:lang w:val="es-ES_tradnl"/>
        </w:rPr>
        <w:t xml:space="preserve">2. Teniendo en cuenta que no hay tarifa legal que defina como debe acreditarse la condición dispuesta en el numeral 4) del artículo 35 de la Ley 2069 de 2020, en relación con proponentes plurales, entendemos que en caso de proponentes plurales bastaría con que uno o varios de sus integrantes acredite las condiciones dispuestos en el numeral 4) del artículo 35 de la Ley 2069 de 2020, para ser beneficiario de dicho criterio de desempate, tal y como sucede frente a los criterios de desempate de 10% de la nómina en condición de discapacitados y </w:t>
      </w:r>
      <w:proofErr w:type="spellStart"/>
      <w:r w:rsidR="00311EE7" w:rsidRPr="00892E76">
        <w:rPr>
          <w:rFonts w:ascii="Arial" w:eastAsia="Calibri" w:hAnsi="Arial" w:cs="Arial"/>
          <w:color w:val="000000" w:themeColor="text1"/>
          <w:sz w:val="21"/>
          <w:szCs w:val="21"/>
          <w:lang w:val="es-ES_tradnl"/>
        </w:rPr>
        <w:t>Mipymes</w:t>
      </w:r>
      <w:proofErr w:type="spellEnd"/>
      <w:r w:rsidR="00311EE7" w:rsidRPr="00892E76">
        <w:rPr>
          <w:rFonts w:ascii="Arial" w:eastAsia="Calibri" w:hAnsi="Arial" w:cs="Arial"/>
          <w:color w:val="000000" w:themeColor="text1"/>
          <w:sz w:val="21"/>
          <w:szCs w:val="21"/>
          <w:lang w:val="es-ES_tradnl"/>
        </w:rPr>
        <w:t>, en donde se permite que como mínimo uno de los integrantes cumpla con dicha condición».</w:t>
      </w:r>
    </w:p>
    <w:p w14:paraId="7FE09CC8" w14:textId="57FE6EF3" w:rsidR="0040576E" w:rsidRPr="00892E76" w:rsidRDefault="0040576E" w:rsidP="00853A3C">
      <w:pPr>
        <w:ind w:right="709"/>
        <w:jc w:val="both"/>
        <w:rPr>
          <w:rFonts w:ascii="Arial" w:hAnsi="Arial" w:cs="Arial"/>
          <w:color w:val="000000" w:themeColor="text1"/>
          <w:sz w:val="21"/>
          <w:szCs w:val="21"/>
          <w:lang w:val="es-ES_tradnl"/>
        </w:rPr>
      </w:pPr>
    </w:p>
    <w:p w14:paraId="4AE9EF81" w14:textId="75DEBBD5" w:rsidR="00A85290" w:rsidRPr="00892E76" w:rsidRDefault="00A85290" w:rsidP="00A85290">
      <w:pPr>
        <w:spacing w:before="120" w:line="276" w:lineRule="auto"/>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Tratándose de proponentes plurales, esta Agencia adoptó el siguiente criterio en el numeral 4.6 de los documentos tipo para licitación de obra pública de infraestructura de transporte –versión 3, con las modificaciones de la Resolución 161 de 2021–:</w:t>
      </w:r>
    </w:p>
    <w:p w14:paraId="0B95F75E" w14:textId="77777777" w:rsidR="00A85290" w:rsidRPr="00892E76" w:rsidRDefault="00A85290" w:rsidP="00A85290">
      <w:pPr>
        <w:ind w:left="709" w:right="709"/>
        <w:jc w:val="both"/>
        <w:rPr>
          <w:rFonts w:ascii="Arial" w:hAnsi="Arial" w:cs="Arial"/>
          <w:color w:val="000000" w:themeColor="text1"/>
          <w:sz w:val="21"/>
          <w:szCs w:val="21"/>
          <w:lang w:val="es-ES_tradnl"/>
        </w:rPr>
      </w:pPr>
    </w:p>
    <w:p w14:paraId="133F79EA" w14:textId="77777777" w:rsidR="00A85290" w:rsidRPr="00892E76" w:rsidRDefault="00A85290" w:rsidP="00A85290">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lastRenderedPageBreak/>
        <w:t xml:space="preserve">En el caso de los proponentes plurales, su representante legal diligenciará el «Formato 10 C – Vinculación de personas mayores y no beneficiaria de pensión de vejez, familiar o sobrevivencia – (Empleador – proponente)», mediante el cual certifique el número de trabajadores vinculados que siendo personas mayores no beneficiarias de la pensión de vejez, familiar o de sobrevivencia y que cumplieron el requisito de edad de pensión establecido en la ley, </w:t>
      </w:r>
      <w:r w:rsidRPr="00892E76">
        <w:rPr>
          <w:rFonts w:ascii="Arial" w:hAnsi="Arial" w:cs="Arial"/>
          <w:i/>
          <w:iCs/>
          <w:color w:val="000000" w:themeColor="text1"/>
          <w:sz w:val="21"/>
          <w:szCs w:val="21"/>
          <w:lang w:val="es-ES_tradnl"/>
        </w:rPr>
        <w:t>de todos los integrantes del consorcio o de la unión temporal. Las personas enunciadas anteriormente podrán estar vinculadas a cualquiera de sus integrantes</w:t>
      </w:r>
      <w:r w:rsidRPr="00892E76">
        <w:rPr>
          <w:rFonts w:ascii="Arial" w:hAnsi="Arial" w:cs="Arial"/>
          <w:color w:val="000000" w:themeColor="text1"/>
          <w:sz w:val="21"/>
          <w:szCs w:val="21"/>
          <w:lang w:val="es-ES_tradnl"/>
        </w:rPr>
        <w:t>.</w:t>
      </w:r>
    </w:p>
    <w:p w14:paraId="0534B24B" w14:textId="77777777" w:rsidR="00A85290" w:rsidRPr="00892E76" w:rsidRDefault="00A85290" w:rsidP="00A85290">
      <w:pPr>
        <w:ind w:left="709" w:right="709"/>
        <w:jc w:val="both"/>
        <w:rPr>
          <w:rFonts w:ascii="Arial" w:hAnsi="Arial" w:cs="Arial"/>
          <w:color w:val="000000" w:themeColor="text1"/>
          <w:sz w:val="21"/>
          <w:szCs w:val="21"/>
          <w:lang w:val="es-ES_tradnl"/>
        </w:rPr>
      </w:pPr>
    </w:p>
    <w:p w14:paraId="51A8A822" w14:textId="77777777" w:rsidR="00A85290" w:rsidRPr="00892E76" w:rsidRDefault="00A85290" w:rsidP="00A85290">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En cualquiera de los dos supuestos anteriores, para el otorgamiento del criterio de desempate, cada uno de los trabajadores que cumpla las condiciones previstas por la ley diligenciará el «Formato 10 C – Vinculación de personas mayores y no beneficiaria de pensión de vejez, familiar o sobrevivencia (Trabajador)», mediante el cual certifica bajo la gravedad de juramento que no es beneficiario de pensión de vejez, familiar o sobrevivencia y cumple la edad de pensión, además, se deberá allegar el documento de identificación del trabajador que lo firma.</w:t>
      </w:r>
    </w:p>
    <w:p w14:paraId="4E4705BB" w14:textId="77777777" w:rsidR="00A85290" w:rsidRPr="00892E76" w:rsidRDefault="00A85290" w:rsidP="00A85290">
      <w:pPr>
        <w:ind w:left="709" w:right="709"/>
        <w:jc w:val="both"/>
        <w:rPr>
          <w:rFonts w:ascii="Arial" w:hAnsi="Arial" w:cs="Arial"/>
          <w:color w:val="000000" w:themeColor="text1"/>
          <w:sz w:val="21"/>
          <w:szCs w:val="21"/>
          <w:lang w:val="es-ES_tradnl"/>
        </w:rPr>
      </w:pPr>
    </w:p>
    <w:p w14:paraId="15B3A78F" w14:textId="77777777" w:rsidR="00A85290" w:rsidRPr="00892E76" w:rsidRDefault="00A85290" w:rsidP="00A85290">
      <w:pPr>
        <w:ind w:left="709" w:right="709"/>
        <w:jc w:val="both"/>
        <w:rPr>
          <w:rFonts w:ascii="Arial" w:hAnsi="Arial" w:cs="Arial"/>
          <w:color w:val="000000" w:themeColor="text1"/>
          <w:sz w:val="21"/>
          <w:szCs w:val="21"/>
          <w:lang w:val="es-ES_tradnl"/>
        </w:rPr>
      </w:pPr>
      <w:r w:rsidRPr="00892E76">
        <w:rPr>
          <w:rFonts w:ascii="Arial" w:hAnsi="Arial" w:cs="Arial"/>
          <w:color w:val="000000" w:themeColor="text1"/>
          <w:sz w:val="21"/>
          <w:szCs w:val="21"/>
          <w:lang w:val="es-ES_tradnl"/>
        </w:rPr>
        <w:t xml:space="preserve">La mayor proporción se definirá en relación con el número total de trabajadores vinculados en la planta de personal, por lo que se preferirá al oferente que acredite un porcentaje mayor. </w:t>
      </w:r>
      <w:r w:rsidRPr="00892E76">
        <w:rPr>
          <w:rFonts w:ascii="Arial" w:hAnsi="Arial" w:cs="Arial"/>
          <w:i/>
          <w:iCs/>
          <w:color w:val="000000" w:themeColor="text1"/>
          <w:sz w:val="21"/>
          <w:szCs w:val="21"/>
          <w:lang w:val="es-ES_tradnl"/>
        </w:rPr>
        <w:t>En el caso de proponentes plurales, la mayor proporción se definirá con la sumatoria de trabajadores vinculados en la planta de personal de cada uno de sus integrantes</w:t>
      </w:r>
      <w:r w:rsidRPr="00892E76">
        <w:rPr>
          <w:rStyle w:val="Refdenotaalpie"/>
          <w:rFonts w:ascii="Arial" w:hAnsi="Arial" w:cs="Arial"/>
          <w:color w:val="000000" w:themeColor="text1"/>
          <w:sz w:val="21"/>
          <w:szCs w:val="21"/>
          <w:lang w:val="es-ES_tradnl"/>
        </w:rPr>
        <w:footnoteReference w:id="15"/>
      </w:r>
      <w:r w:rsidRPr="00892E76">
        <w:rPr>
          <w:rFonts w:ascii="Arial" w:hAnsi="Arial" w:cs="Arial"/>
          <w:i/>
          <w:iCs/>
          <w:color w:val="000000" w:themeColor="text1"/>
          <w:sz w:val="21"/>
          <w:szCs w:val="21"/>
          <w:lang w:val="es-ES_tradnl"/>
        </w:rPr>
        <w:t xml:space="preserve"> </w:t>
      </w:r>
      <w:r w:rsidRPr="00892E76">
        <w:rPr>
          <w:rFonts w:ascii="Arial" w:hAnsi="Arial" w:cs="Arial"/>
          <w:color w:val="000000" w:themeColor="text1"/>
          <w:sz w:val="21"/>
          <w:szCs w:val="21"/>
          <w:lang w:val="es-ES_tradnl"/>
        </w:rPr>
        <w:t>(Énfasis fuera de texto).</w:t>
      </w:r>
    </w:p>
    <w:p w14:paraId="282FDD83" w14:textId="77777777" w:rsidR="00A85290" w:rsidRPr="00892E76" w:rsidRDefault="00A85290" w:rsidP="00A85290">
      <w:pPr>
        <w:spacing w:line="276" w:lineRule="auto"/>
        <w:ind w:firstLine="709"/>
        <w:jc w:val="both"/>
        <w:rPr>
          <w:rFonts w:ascii="Arial" w:eastAsia="Calibri" w:hAnsi="Arial" w:cs="Arial"/>
          <w:color w:val="000000" w:themeColor="text1"/>
          <w:sz w:val="22"/>
          <w:lang w:val="es-ES_tradnl"/>
        </w:rPr>
      </w:pPr>
    </w:p>
    <w:p w14:paraId="4F51A5C8" w14:textId="776025B0" w:rsidR="00A85290" w:rsidRPr="00892E76" w:rsidRDefault="00A85290" w:rsidP="00A85290">
      <w:pPr>
        <w:spacing w:line="276" w:lineRule="auto"/>
        <w:ind w:firstLine="709"/>
        <w:jc w:val="both"/>
        <w:rPr>
          <w:rFonts w:ascii="Arial" w:eastAsia="Calibri" w:hAnsi="Arial" w:cs="Arial"/>
          <w:color w:val="000000" w:themeColor="text1"/>
          <w:sz w:val="22"/>
          <w:lang w:val="es-ES_tradnl"/>
        </w:rPr>
      </w:pPr>
      <w:r w:rsidRPr="00892E76">
        <w:rPr>
          <w:rFonts w:ascii="Arial" w:eastAsia="Calibri" w:hAnsi="Arial" w:cs="Arial"/>
          <w:color w:val="000000" w:themeColor="text1"/>
          <w:sz w:val="22"/>
          <w:lang w:val="es-ES_tradnl"/>
        </w:rPr>
        <w:t>Si bien los documentos tipo no rigen en todos los procedimientos de selección, la anterior es la interpretación de la Agencia sobre la forma de acreditar el factor de desempate del artículo 35, numeral 4, de la Ley 2069 de 2020, por parte de los proponentes plurales. En consecuencia, esta consideración le puede servir como guía ilustrativa. Sin embargo, se reitera que cada entidad estatal en el pliego de condiciones o equivalente –en aquellos casos en los cuales el procedimiento no se rige por los documentos tipo–, tiene discrecionalidad para definir la manera como deben acreditarse los factores de desempate sobre los cuales el ordenamiento jurídico no ha establecido un medio probatorio específico.</w:t>
      </w:r>
      <w:r w:rsidR="008C1516" w:rsidRPr="00892E76">
        <w:rPr>
          <w:rFonts w:ascii="Arial" w:eastAsia="Calibri" w:hAnsi="Arial" w:cs="Arial"/>
          <w:color w:val="000000" w:themeColor="text1"/>
          <w:sz w:val="22"/>
          <w:lang w:val="es-ES_tradnl"/>
        </w:rPr>
        <w:t xml:space="preserve"> Esto sin perjuicio de que en el reglamento que expida el gobierno nacional se establezcan medios probatorios específicos –como, en efecto, lo hace el proyecto de decreto sobre la materia–, los cuales deberán respetarse por parte de las entidades contratantes y los particulares, una vez entre en vigencia dicho cuerpo normativo.</w:t>
      </w:r>
    </w:p>
    <w:p w14:paraId="56F3329F" w14:textId="77777777" w:rsidR="00A85290" w:rsidRPr="00892E76" w:rsidRDefault="00A85290" w:rsidP="00853A3C">
      <w:pPr>
        <w:ind w:right="709"/>
        <w:jc w:val="both"/>
        <w:rPr>
          <w:rFonts w:ascii="Arial" w:hAnsi="Arial" w:cs="Arial"/>
          <w:color w:val="000000" w:themeColor="text1"/>
          <w:sz w:val="21"/>
          <w:szCs w:val="21"/>
          <w:lang w:val="es-ES_tradnl"/>
        </w:rPr>
      </w:pPr>
    </w:p>
    <w:p w14:paraId="7B2C921D" w14:textId="0383AF9A" w:rsidR="00DD5B04" w:rsidRPr="00892E76" w:rsidRDefault="00DD5B04" w:rsidP="00DF76A2">
      <w:pPr>
        <w:spacing w:line="276" w:lineRule="auto"/>
        <w:jc w:val="both"/>
        <w:rPr>
          <w:rFonts w:ascii="Arial" w:hAnsi="Arial" w:cs="Arial"/>
          <w:color w:val="000000" w:themeColor="text1"/>
          <w:sz w:val="22"/>
          <w:lang w:val="es-ES_tradnl"/>
        </w:rPr>
      </w:pPr>
      <w:r w:rsidRPr="00892E7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92E7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892E7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92E76">
        <w:rPr>
          <w:rFonts w:ascii="Arial" w:hAnsi="Arial" w:cs="Arial"/>
          <w:color w:val="000000" w:themeColor="text1"/>
          <w:sz w:val="22"/>
          <w:szCs w:val="22"/>
          <w:lang w:val="es-ES_tradnl"/>
        </w:rPr>
        <w:t>Atentamente,</w:t>
      </w:r>
    </w:p>
    <w:p w14:paraId="692FC307" w14:textId="210AA6B5" w:rsidR="00921304" w:rsidRPr="00892E7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53FFE192" w:rsidR="00921304" w:rsidRPr="00892E76" w:rsidRDefault="003C3DF0" w:rsidP="00F90C4D">
      <w:pPr>
        <w:pStyle w:val="NormalWeb"/>
        <w:spacing w:before="0" w:beforeAutospacing="0" w:after="0" w:afterAutospacing="0" w:line="276" w:lineRule="auto"/>
        <w:jc w:val="center"/>
        <w:rPr>
          <w:rFonts w:ascii="Arial" w:hAnsi="Arial" w:cs="Arial"/>
          <w:b/>
          <w:bCs/>
          <w:color w:val="000000" w:themeColor="text1"/>
          <w:sz w:val="22"/>
          <w:szCs w:val="22"/>
          <w:lang w:val="es-ES_tradnl"/>
        </w:rPr>
      </w:pPr>
      <w:r>
        <w:rPr>
          <w:noProof/>
        </w:rPr>
        <w:lastRenderedPageBreak/>
        <w:drawing>
          <wp:inline distT="0" distB="0" distL="0" distR="0" wp14:anchorId="1A7D84C5" wp14:editId="5C5B2E2A">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49730030" w14:textId="217D35F3" w:rsidR="00DD5B04" w:rsidRPr="00892E76" w:rsidRDefault="00DD5B04" w:rsidP="00AD314B">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342B6" w:rsidRPr="00892E76" w14:paraId="0C7DC5F7" w14:textId="77777777" w:rsidTr="003D3D44">
        <w:trPr>
          <w:trHeight w:val="315"/>
        </w:trPr>
        <w:tc>
          <w:tcPr>
            <w:tcW w:w="812" w:type="dxa"/>
            <w:vAlign w:val="center"/>
            <w:hideMark/>
          </w:tcPr>
          <w:p w14:paraId="5BDB1AC9" w14:textId="77777777" w:rsidR="00DD5B04" w:rsidRPr="00892E76" w:rsidRDefault="00DD5B04" w:rsidP="00DF76A2">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892E76" w:rsidRDefault="00DD5B04" w:rsidP="00DF76A2">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Cristian Andrés Díaz Díez</w:t>
            </w:r>
          </w:p>
          <w:p w14:paraId="240C71FD" w14:textId="31312C95" w:rsidR="00DD5B04" w:rsidRPr="00892E76" w:rsidRDefault="00DD5B04" w:rsidP="00DF76A2">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Contratista</w:t>
            </w:r>
            <w:r w:rsidR="00FF0050" w:rsidRPr="00892E76">
              <w:rPr>
                <w:rFonts w:ascii="Arial" w:hAnsi="Arial" w:cs="Arial"/>
                <w:color w:val="000000" w:themeColor="text1"/>
                <w:sz w:val="16"/>
                <w:szCs w:val="16"/>
                <w:lang w:val="es-ES_tradnl" w:eastAsia="es-ES"/>
              </w:rPr>
              <w:t xml:space="preserve"> de la </w:t>
            </w:r>
            <w:r w:rsidRPr="00892E76">
              <w:rPr>
                <w:rFonts w:ascii="Arial" w:hAnsi="Arial" w:cs="Arial"/>
                <w:color w:val="000000" w:themeColor="text1"/>
                <w:sz w:val="16"/>
                <w:szCs w:val="16"/>
                <w:lang w:val="es-ES_tradnl" w:eastAsia="es-ES"/>
              </w:rPr>
              <w:t>Subdirección de Gestión Contractual</w:t>
            </w:r>
          </w:p>
        </w:tc>
      </w:tr>
      <w:tr w:rsidR="009342B6" w:rsidRPr="00892E76" w14:paraId="2F8FD650" w14:textId="77777777" w:rsidTr="003D3D44">
        <w:trPr>
          <w:trHeight w:val="330"/>
        </w:trPr>
        <w:tc>
          <w:tcPr>
            <w:tcW w:w="812" w:type="dxa"/>
            <w:vAlign w:val="center"/>
            <w:hideMark/>
          </w:tcPr>
          <w:p w14:paraId="50203A0B" w14:textId="77777777" w:rsidR="00DD5B04" w:rsidRPr="00892E76" w:rsidRDefault="00DD5B04" w:rsidP="00DF76A2">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B9C197A" w14:textId="77777777" w:rsidR="009654C6" w:rsidRPr="00892E76" w:rsidRDefault="009654C6" w:rsidP="009654C6">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Jorge Augusto Tirado Navarro</w:t>
            </w:r>
          </w:p>
          <w:p w14:paraId="130B3228" w14:textId="2E8A61DF" w:rsidR="00DD5B04" w:rsidRPr="00892E76" w:rsidRDefault="009654C6" w:rsidP="009654C6">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Subdirector de Gestión Contractual ANCP – CCE</w:t>
            </w:r>
          </w:p>
        </w:tc>
      </w:tr>
      <w:tr w:rsidR="00DD5B04" w:rsidRPr="00CF16CF" w14:paraId="0FCBCA4A" w14:textId="77777777" w:rsidTr="003D3D44">
        <w:trPr>
          <w:trHeight w:val="300"/>
        </w:trPr>
        <w:tc>
          <w:tcPr>
            <w:tcW w:w="812" w:type="dxa"/>
            <w:vAlign w:val="center"/>
            <w:hideMark/>
          </w:tcPr>
          <w:p w14:paraId="3C1D943A" w14:textId="77777777" w:rsidR="00DD5B04" w:rsidRPr="00892E76" w:rsidRDefault="00DD5B04" w:rsidP="00DF76A2">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892E76" w:rsidRDefault="00134E7E" w:rsidP="00134E7E">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Jorge Augusto Tirado Navarro</w:t>
            </w:r>
          </w:p>
          <w:p w14:paraId="1ADC483B" w14:textId="1C385A7F" w:rsidR="00DD5B04" w:rsidRPr="00CF16CF" w:rsidRDefault="00134E7E" w:rsidP="00134E7E">
            <w:pPr>
              <w:jc w:val="both"/>
              <w:rPr>
                <w:rFonts w:ascii="Arial" w:hAnsi="Arial" w:cs="Arial"/>
                <w:color w:val="000000" w:themeColor="text1"/>
                <w:sz w:val="16"/>
                <w:szCs w:val="16"/>
                <w:lang w:val="es-ES_tradnl" w:eastAsia="es-ES"/>
              </w:rPr>
            </w:pPr>
            <w:r w:rsidRPr="00892E76">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CF16CF" w:rsidRDefault="00746E08" w:rsidP="00215B8E">
      <w:pPr>
        <w:jc w:val="both"/>
        <w:rPr>
          <w:rFonts w:ascii="Arial" w:hAnsi="Arial" w:cs="Arial"/>
          <w:color w:val="000000" w:themeColor="text1"/>
          <w:lang w:val="es-ES_tradnl"/>
        </w:rPr>
      </w:pPr>
    </w:p>
    <w:sectPr w:rsidR="00746E08" w:rsidRPr="00CF16C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206272" w14:textId="77777777" w:rsidR="00221095" w:rsidRDefault="00221095">
      <w:r>
        <w:separator/>
      </w:r>
    </w:p>
  </w:endnote>
  <w:endnote w:type="continuationSeparator" w:id="0">
    <w:p w14:paraId="10354DF8" w14:textId="77777777" w:rsidR="00221095" w:rsidRDefault="00221095">
      <w:r>
        <w:continuationSeparator/>
      </w:r>
    </w:p>
  </w:endnote>
  <w:endnote w:type="continuationNotice" w:id="1">
    <w:p w14:paraId="692AF76F" w14:textId="77777777" w:rsidR="00221095" w:rsidRDefault="002210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48733" w14:textId="77777777" w:rsidR="00221095" w:rsidRDefault="00221095">
      <w:r>
        <w:separator/>
      </w:r>
    </w:p>
  </w:footnote>
  <w:footnote w:type="continuationSeparator" w:id="0">
    <w:p w14:paraId="39761482" w14:textId="77777777" w:rsidR="00221095" w:rsidRDefault="00221095">
      <w:r>
        <w:continuationSeparator/>
      </w:r>
    </w:p>
  </w:footnote>
  <w:footnote w:type="continuationNotice" w:id="1">
    <w:p w14:paraId="77B5408E" w14:textId="77777777" w:rsidR="00221095" w:rsidRDefault="00221095"/>
  </w:footnote>
  <w:footnote w:id="2">
    <w:p w14:paraId="20700D94" w14:textId="6D66BB23" w:rsidR="005508B2" w:rsidRPr="00892E76" w:rsidRDefault="005508B2" w:rsidP="007F6D1B">
      <w:pPr>
        <w:pStyle w:val="Textonotapie"/>
        <w:ind w:firstLine="709"/>
        <w:jc w:val="both"/>
        <w:rPr>
          <w:rFonts w:ascii="Arial" w:hAnsi="Arial" w:cs="Arial"/>
          <w:sz w:val="19"/>
          <w:szCs w:val="19"/>
          <w:lang w:val="es-CO"/>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CO"/>
        </w:rPr>
        <w:t>La Agencia tam</w:t>
      </w:r>
      <w:r w:rsidR="00C562CD" w:rsidRPr="00892E76">
        <w:rPr>
          <w:rFonts w:ascii="Arial" w:hAnsi="Arial" w:cs="Arial"/>
          <w:sz w:val="19"/>
          <w:szCs w:val="19"/>
          <w:lang w:val="es-CO"/>
        </w:rPr>
        <w:t>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w:t>
      </w:r>
      <w:r w:rsidR="00714D20" w:rsidRPr="00892E76">
        <w:rPr>
          <w:rFonts w:ascii="Arial" w:hAnsi="Arial" w:cs="Arial"/>
          <w:sz w:val="19"/>
          <w:szCs w:val="19"/>
          <w:lang w:val="es-CO"/>
        </w:rPr>
        <w:t xml:space="preserve"> y</w:t>
      </w:r>
      <w:r w:rsidR="00C562CD" w:rsidRPr="00892E76">
        <w:rPr>
          <w:rFonts w:ascii="Arial" w:hAnsi="Arial" w:cs="Arial"/>
          <w:sz w:val="19"/>
          <w:szCs w:val="19"/>
          <w:lang w:val="es-CO"/>
        </w:rPr>
        <w:t xml:space="preserve"> C-102 del 25 de marzo de 2020</w:t>
      </w:r>
      <w:r w:rsidR="00714D20" w:rsidRPr="00892E76">
        <w:rPr>
          <w:rFonts w:ascii="Arial" w:hAnsi="Arial" w:cs="Arial"/>
          <w:sz w:val="19"/>
          <w:szCs w:val="19"/>
          <w:lang w:val="es-CO"/>
        </w:rPr>
        <w:t>.</w:t>
      </w:r>
    </w:p>
  </w:footnote>
  <w:footnote w:id="3">
    <w:p w14:paraId="5221EE23" w14:textId="77777777" w:rsidR="00B0749C" w:rsidRPr="00892E76" w:rsidRDefault="00B0749C"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Consejo de Estado. Sección Tercera. Sentencia del 29 de octubre de 2.015. Consejera Ponente: Stella Conto Díaz Del Castillo. Expediente: 31.918.</w:t>
      </w:r>
    </w:p>
    <w:p w14:paraId="7AB991B3" w14:textId="77777777" w:rsidR="00B0749C" w:rsidRPr="00892E76" w:rsidRDefault="00B0749C" w:rsidP="007F6D1B">
      <w:pPr>
        <w:pStyle w:val="Textonotapie"/>
        <w:ind w:firstLine="709"/>
        <w:jc w:val="both"/>
        <w:rPr>
          <w:rFonts w:ascii="Arial" w:hAnsi="Arial" w:cs="Arial"/>
          <w:sz w:val="19"/>
          <w:szCs w:val="19"/>
          <w:lang w:val="es-ES"/>
        </w:rPr>
      </w:pPr>
    </w:p>
  </w:footnote>
  <w:footnote w:id="4">
    <w:p w14:paraId="3C1769D4" w14:textId="77777777" w:rsidR="00B0749C" w:rsidRPr="00892E76" w:rsidRDefault="00B0749C"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Corte Constitucional. Sentencia T-684A del 14 de septiembre de 2011. Magistrado Ponente: Mauricio González Cuervo.</w:t>
      </w:r>
    </w:p>
    <w:p w14:paraId="6943AFC6" w14:textId="77777777" w:rsidR="00B0749C" w:rsidRPr="00892E76" w:rsidRDefault="00B0749C" w:rsidP="007F6D1B">
      <w:pPr>
        <w:pStyle w:val="Textonotapie"/>
        <w:ind w:firstLine="709"/>
        <w:jc w:val="both"/>
        <w:rPr>
          <w:rFonts w:ascii="Arial" w:hAnsi="Arial" w:cs="Arial"/>
          <w:sz w:val="19"/>
          <w:szCs w:val="19"/>
          <w:lang w:val="es-ES"/>
        </w:rPr>
      </w:pPr>
    </w:p>
  </w:footnote>
  <w:footnote w:id="5">
    <w:p w14:paraId="7950281F" w14:textId="46CC4611" w:rsidR="00B0749C" w:rsidRPr="00892E76" w:rsidRDefault="00B0749C" w:rsidP="007F6D1B">
      <w:pPr>
        <w:pStyle w:val="Textonotapie"/>
        <w:ind w:firstLine="709"/>
        <w:jc w:val="both"/>
        <w:rPr>
          <w:rFonts w:ascii="Arial" w:hAnsi="Arial" w:cs="Arial"/>
          <w:sz w:val="19"/>
          <w:szCs w:val="19"/>
          <w:lang w:val="es-CO"/>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 xml:space="preserve">Consejo de Estado. Sección Tercera. Sentencia del 6 de diciembre de 2.013. Consejera </w:t>
      </w:r>
      <w:proofErr w:type="spellStart"/>
      <w:r w:rsidRPr="00892E76">
        <w:rPr>
          <w:rFonts w:ascii="Arial" w:hAnsi="Arial" w:cs="Arial"/>
          <w:sz w:val="19"/>
          <w:szCs w:val="19"/>
          <w:lang w:val="es-ES"/>
        </w:rPr>
        <w:t>Ponent</w:t>
      </w:r>
      <w:r w:rsidR="00831E8B" w:rsidRPr="00892E76">
        <w:rPr>
          <w:rFonts w:ascii="Arial" w:hAnsi="Arial" w:cs="Arial"/>
          <w:sz w:val="19"/>
          <w:szCs w:val="19"/>
          <w:lang w:val="es-ES"/>
        </w:rPr>
        <w:t>g</w:t>
      </w:r>
      <w:r w:rsidRPr="00892E76">
        <w:rPr>
          <w:rFonts w:ascii="Arial" w:hAnsi="Arial" w:cs="Arial"/>
          <w:sz w:val="19"/>
          <w:szCs w:val="19"/>
          <w:lang w:val="es-ES"/>
        </w:rPr>
        <w:t>e</w:t>
      </w:r>
      <w:proofErr w:type="spellEnd"/>
      <w:r w:rsidRPr="00892E76">
        <w:rPr>
          <w:rFonts w:ascii="Arial" w:hAnsi="Arial" w:cs="Arial"/>
          <w:sz w:val="19"/>
          <w:szCs w:val="19"/>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6">
    <w:p w14:paraId="7E5E2C24"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2 al 29.</w:t>
      </w:r>
    </w:p>
    <w:p w14:paraId="7DD04EFF" w14:textId="77777777" w:rsidR="0000500B" w:rsidRPr="00892E76" w:rsidRDefault="0000500B" w:rsidP="007F6D1B">
      <w:pPr>
        <w:pStyle w:val="Textonotapie"/>
        <w:ind w:firstLine="709"/>
        <w:jc w:val="both"/>
        <w:rPr>
          <w:rFonts w:ascii="Arial" w:hAnsi="Arial" w:cs="Arial"/>
          <w:sz w:val="19"/>
          <w:szCs w:val="19"/>
          <w:lang w:val="es-ES"/>
        </w:rPr>
      </w:pPr>
    </w:p>
  </w:footnote>
  <w:footnote w:id="7">
    <w:p w14:paraId="3B737876"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30 al 36.</w:t>
      </w:r>
    </w:p>
    <w:p w14:paraId="57E10907" w14:textId="77777777" w:rsidR="0000500B" w:rsidRPr="00892E76" w:rsidRDefault="0000500B" w:rsidP="007F6D1B">
      <w:pPr>
        <w:pStyle w:val="Textonotapie"/>
        <w:ind w:firstLine="709"/>
        <w:jc w:val="both"/>
        <w:rPr>
          <w:rFonts w:ascii="Arial" w:hAnsi="Arial" w:cs="Arial"/>
          <w:sz w:val="19"/>
          <w:szCs w:val="19"/>
          <w:lang w:val="es-ES"/>
        </w:rPr>
      </w:pPr>
    </w:p>
  </w:footnote>
  <w:footnote w:id="8">
    <w:p w14:paraId="6F243A4A"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37 al 45.</w:t>
      </w:r>
    </w:p>
    <w:p w14:paraId="5BDD2689" w14:textId="77777777" w:rsidR="0000500B" w:rsidRPr="00892E76" w:rsidRDefault="0000500B" w:rsidP="007F6D1B">
      <w:pPr>
        <w:pStyle w:val="Textonotapie"/>
        <w:ind w:firstLine="709"/>
        <w:jc w:val="both"/>
        <w:rPr>
          <w:rFonts w:ascii="Arial" w:hAnsi="Arial" w:cs="Arial"/>
          <w:sz w:val="19"/>
          <w:szCs w:val="19"/>
          <w:lang w:val="es-ES"/>
        </w:rPr>
      </w:pPr>
    </w:p>
  </w:footnote>
  <w:footnote w:id="9">
    <w:p w14:paraId="4E1C4723"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46 al 73.</w:t>
      </w:r>
    </w:p>
    <w:p w14:paraId="2DE1DCBD" w14:textId="77777777" w:rsidR="0000500B" w:rsidRPr="00892E76" w:rsidRDefault="0000500B" w:rsidP="007F6D1B">
      <w:pPr>
        <w:pStyle w:val="Textonotapie"/>
        <w:ind w:firstLine="709"/>
        <w:jc w:val="both"/>
        <w:rPr>
          <w:rFonts w:ascii="Arial" w:hAnsi="Arial" w:cs="Arial"/>
          <w:sz w:val="19"/>
          <w:szCs w:val="19"/>
          <w:lang w:val="es-ES"/>
        </w:rPr>
      </w:pPr>
    </w:p>
  </w:footnote>
  <w:footnote w:id="10">
    <w:p w14:paraId="4CDDFC07"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74 al 83.</w:t>
      </w:r>
    </w:p>
    <w:p w14:paraId="7B1A6950" w14:textId="77777777" w:rsidR="0000500B" w:rsidRPr="00892E76" w:rsidRDefault="0000500B" w:rsidP="007F6D1B">
      <w:pPr>
        <w:pStyle w:val="Textonotapie"/>
        <w:ind w:firstLine="709"/>
        <w:jc w:val="both"/>
        <w:rPr>
          <w:rFonts w:ascii="Arial" w:hAnsi="Arial" w:cs="Arial"/>
          <w:sz w:val="19"/>
          <w:szCs w:val="19"/>
          <w:lang w:val="es-ES"/>
        </w:rPr>
      </w:pPr>
    </w:p>
  </w:footnote>
  <w:footnote w:id="11">
    <w:p w14:paraId="31F2A038" w14:textId="77777777" w:rsidR="00271CD3" w:rsidRPr="00892E76" w:rsidRDefault="00271CD3" w:rsidP="007F6D1B">
      <w:pPr>
        <w:ind w:firstLine="709"/>
        <w:jc w:val="both"/>
        <w:rPr>
          <w:rFonts w:ascii="Arial" w:eastAsia="Calibri" w:hAnsi="Arial" w:cs="Arial"/>
          <w:color w:val="000000" w:themeColor="text1"/>
          <w:sz w:val="19"/>
          <w:szCs w:val="19"/>
          <w:lang w:val="es-ES_tradnl"/>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Norma que prescribe: «</w:t>
      </w:r>
      <w:r w:rsidRPr="00892E76">
        <w:rPr>
          <w:rFonts w:ascii="Arial" w:eastAsia="Calibri" w:hAnsi="Arial" w:cs="Arial"/>
          <w:color w:val="000000" w:themeColor="text1"/>
          <w:sz w:val="19"/>
          <w:szCs w:val="19"/>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43F93FE9" w14:textId="77777777" w:rsidR="00271CD3" w:rsidRPr="00892E76" w:rsidRDefault="00271CD3" w:rsidP="007F6D1B">
      <w:pPr>
        <w:ind w:firstLine="709"/>
        <w:jc w:val="both"/>
        <w:rPr>
          <w:rFonts w:ascii="Arial" w:eastAsia="Calibri" w:hAnsi="Arial" w:cs="Arial"/>
          <w:color w:val="000000" w:themeColor="text1"/>
          <w:sz w:val="19"/>
          <w:szCs w:val="19"/>
          <w:lang w:val="es-ES_tradnl"/>
        </w:rPr>
      </w:pPr>
      <w:r w:rsidRPr="00892E76">
        <w:rPr>
          <w:rFonts w:ascii="Arial" w:eastAsia="Calibri" w:hAnsi="Arial" w:cs="Arial"/>
          <w:color w:val="000000" w:themeColor="text1"/>
          <w:sz w:val="19"/>
          <w:szCs w:val="19"/>
          <w:lang w:val="es-ES_tradnl"/>
        </w:rPr>
        <w:t>»[…]</w:t>
      </w:r>
    </w:p>
    <w:p w14:paraId="4C15B6FE" w14:textId="77777777" w:rsidR="00271CD3" w:rsidRPr="00892E76" w:rsidRDefault="00271CD3" w:rsidP="007F6D1B">
      <w:pPr>
        <w:ind w:firstLine="709"/>
        <w:jc w:val="both"/>
        <w:rPr>
          <w:rFonts w:ascii="Arial" w:eastAsia="Calibri" w:hAnsi="Arial" w:cs="Arial"/>
          <w:color w:val="000000" w:themeColor="text1"/>
          <w:sz w:val="19"/>
          <w:szCs w:val="19"/>
          <w:lang w:val="es-ES_tradnl"/>
        </w:rPr>
      </w:pPr>
      <w:r w:rsidRPr="00892E76">
        <w:rPr>
          <w:rFonts w:ascii="Arial" w:eastAsia="Calibri" w:hAnsi="Arial" w:cs="Arial"/>
          <w:color w:val="000000" w:themeColor="text1"/>
          <w:sz w:val="19"/>
          <w:szCs w:val="19"/>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781A16F2" w14:textId="77777777" w:rsidR="00271CD3" w:rsidRPr="00892E76" w:rsidRDefault="00271CD3" w:rsidP="007F6D1B">
      <w:pPr>
        <w:ind w:firstLine="709"/>
        <w:jc w:val="both"/>
        <w:rPr>
          <w:rFonts w:ascii="Arial" w:eastAsia="Calibri" w:hAnsi="Arial" w:cs="Arial"/>
          <w:color w:val="000000" w:themeColor="text1"/>
          <w:sz w:val="19"/>
          <w:szCs w:val="19"/>
          <w:lang w:val="es-ES_tradnl"/>
        </w:rPr>
      </w:pPr>
      <w:r w:rsidRPr="00892E76">
        <w:rPr>
          <w:rFonts w:ascii="Arial" w:eastAsia="Calibri" w:hAnsi="Arial" w:cs="Arial"/>
          <w:color w:val="000000" w:themeColor="text1"/>
          <w:sz w:val="19"/>
          <w:szCs w:val="19"/>
          <w:lang w:val="es-ES_tradnl"/>
        </w:rPr>
        <w:t>»[…]».</w:t>
      </w:r>
    </w:p>
    <w:p w14:paraId="1BEF389A" w14:textId="77777777" w:rsidR="00271CD3" w:rsidRPr="00892E76" w:rsidRDefault="00271CD3" w:rsidP="007F6D1B">
      <w:pPr>
        <w:pStyle w:val="Textonotapie"/>
        <w:ind w:firstLine="709"/>
        <w:jc w:val="both"/>
        <w:rPr>
          <w:rFonts w:ascii="Arial" w:hAnsi="Arial" w:cs="Arial"/>
          <w:sz w:val="19"/>
          <w:szCs w:val="19"/>
          <w:lang w:val="es-ES"/>
        </w:rPr>
      </w:pPr>
    </w:p>
  </w:footnote>
  <w:footnote w:id="12">
    <w:p w14:paraId="435B3AFF" w14:textId="77777777" w:rsidR="00271CD3" w:rsidRPr="00892E76" w:rsidRDefault="00271CD3"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 xml:space="preserve">Corte Suprema de Justicia. Sala de Casación Laboral. Sentencia del 5 de agosto de 2020. Magistrada Ponente: Clara Cecilia Dueñas Quevedo. Radicación No. 47613. Acta 28. </w:t>
      </w:r>
    </w:p>
  </w:footnote>
  <w:footnote w:id="13">
    <w:p w14:paraId="1DF31451" w14:textId="77777777" w:rsidR="00271CD3" w:rsidRPr="00892E76" w:rsidRDefault="00271CD3"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Disponibles en: https://www.colombiacompra.gov.co/content/02-documentos-tipo-para-licitacion-de-obra-publica-de-infraestructura-de-transporte-version</w:t>
      </w:r>
    </w:p>
  </w:footnote>
  <w:footnote w:id="14">
    <w:p w14:paraId="6E7C4FBA" w14:textId="77777777" w:rsidR="007679A2" w:rsidRPr="00892E76" w:rsidRDefault="007679A2" w:rsidP="007F6D1B">
      <w:pPr>
        <w:pStyle w:val="Textonotapie"/>
        <w:ind w:firstLine="709"/>
        <w:jc w:val="both"/>
        <w:rPr>
          <w:rFonts w:ascii="Arial" w:hAnsi="Arial" w:cs="Arial"/>
          <w:color w:val="000000" w:themeColor="text1"/>
          <w:sz w:val="19"/>
          <w:szCs w:val="19"/>
        </w:rPr>
      </w:pPr>
    </w:p>
    <w:p w14:paraId="06B5EDA9" w14:textId="0EECECA7" w:rsidR="00D841F9" w:rsidRPr="00892E76" w:rsidRDefault="00D841F9" w:rsidP="007F6D1B">
      <w:pPr>
        <w:pStyle w:val="Textonotapie"/>
        <w:ind w:firstLine="709"/>
        <w:jc w:val="both"/>
        <w:rPr>
          <w:rFonts w:ascii="Arial" w:hAnsi="Arial" w:cs="Arial"/>
          <w:color w:val="000000" w:themeColor="text1"/>
          <w:sz w:val="19"/>
          <w:szCs w:val="19"/>
        </w:rPr>
      </w:pPr>
      <w:r w:rsidRPr="00892E76">
        <w:rPr>
          <w:rStyle w:val="Refdenotaalpie"/>
          <w:rFonts w:ascii="Arial" w:hAnsi="Arial" w:cs="Arial"/>
          <w:color w:val="000000" w:themeColor="text1"/>
          <w:sz w:val="19"/>
          <w:szCs w:val="19"/>
        </w:rPr>
        <w:footnoteRef/>
      </w:r>
      <w:r w:rsidRPr="00892E76">
        <w:rPr>
          <w:rFonts w:ascii="Arial" w:hAnsi="Arial" w:cs="Arial"/>
          <w:color w:val="000000" w:themeColor="text1"/>
          <w:sz w:val="19"/>
          <w:szCs w:val="19"/>
        </w:rPr>
        <w:t xml:space="preserve"> El proyecto de </w:t>
      </w:r>
      <w:r w:rsidR="007679A2" w:rsidRPr="00892E76">
        <w:rPr>
          <w:rFonts w:ascii="Arial" w:hAnsi="Arial" w:cs="Arial"/>
          <w:color w:val="000000" w:themeColor="text1"/>
          <w:sz w:val="19"/>
          <w:szCs w:val="19"/>
        </w:rPr>
        <w:t>decreto</w:t>
      </w:r>
      <w:r w:rsidR="00C2719D" w:rsidRPr="00892E76">
        <w:rPr>
          <w:rFonts w:ascii="Arial" w:hAnsi="Arial" w:cs="Arial"/>
          <w:color w:val="000000" w:themeColor="text1"/>
          <w:sz w:val="19"/>
          <w:szCs w:val="19"/>
        </w:rPr>
        <w:t xml:space="preserve">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4C11F0" w:rsidRPr="00892E76">
        <w:rPr>
          <w:rFonts w:ascii="Arial" w:hAnsi="Arial" w:cs="Arial"/>
          <w:color w:val="000000" w:themeColor="text1"/>
          <w:sz w:val="19"/>
          <w:szCs w:val="19"/>
        </w:rPr>
        <w:t>, definiendo medios probatorios específicos</w:t>
      </w:r>
      <w:r w:rsidR="007D5A68" w:rsidRPr="00892E76">
        <w:rPr>
          <w:rFonts w:ascii="Arial" w:hAnsi="Arial" w:cs="Arial"/>
          <w:color w:val="000000" w:themeColor="text1"/>
          <w:sz w:val="19"/>
          <w:szCs w:val="19"/>
        </w:rPr>
        <w:t xml:space="preserve"> para acreditar algunos factores de desempate</w:t>
      </w:r>
      <w:r w:rsidR="004C11F0" w:rsidRPr="00892E76">
        <w:rPr>
          <w:rFonts w:ascii="Arial" w:hAnsi="Arial" w:cs="Arial"/>
          <w:color w:val="000000" w:themeColor="text1"/>
          <w:sz w:val="19"/>
          <w:szCs w:val="19"/>
        </w:rPr>
        <w:t>,</w:t>
      </w:r>
      <w:r w:rsidR="00C2719D" w:rsidRPr="00892E76">
        <w:rPr>
          <w:rFonts w:ascii="Arial" w:hAnsi="Arial" w:cs="Arial"/>
          <w:color w:val="000000" w:themeColor="text1"/>
          <w:sz w:val="19"/>
          <w:szCs w:val="19"/>
        </w:rPr>
        <w:t xml:space="preserve"> </w:t>
      </w:r>
      <w:r w:rsidR="000724E3" w:rsidRPr="00892E76">
        <w:rPr>
          <w:rFonts w:ascii="Arial" w:hAnsi="Arial" w:cs="Arial"/>
          <w:color w:val="000000" w:themeColor="text1"/>
          <w:sz w:val="19"/>
          <w:szCs w:val="19"/>
        </w:rPr>
        <w:t xml:space="preserve">está </w:t>
      </w:r>
      <w:r w:rsidR="00C2719D" w:rsidRPr="00892E76">
        <w:rPr>
          <w:rFonts w:ascii="Arial" w:hAnsi="Arial" w:cs="Arial"/>
          <w:color w:val="000000" w:themeColor="text1"/>
          <w:sz w:val="19"/>
          <w:szCs w:val="19"/>
        </w:rPr>
        <w:t xml:space="preserve">disponible en el siguiente enlace: </w:t>
      </w:r>
      <w:hyperlink r:id="rId1" w:history="1">
        <w:r w:rsidR="00CC4C57" w:rsidRPr="00892E76">
          <w:rPr>
            <w:rStyle w:val="Hipervnculo"/>
            <w:rFonts w:ascii="Arial" w:hAnsi="Arial" w:cs="Arial"/>
            <w:color w:val="000000" w:themeColor="text1"/>
            <w:sz w:val="19"/>
            <w:szCs w:val="19"/>
            <w:u w:val="none"/>
          </w:rPr>
          <w:t>https://www.dnp.gov.co/DNPN/normativa/proyectos-de-normatividad</w:t>
        </w:r>
      </w:hyperlink>
    </w:p>
    <w:p w14:paraId="75D4B4BE" w14:textId="5EFFC943" w:rsidR="005D31BA" w:rsidRPr="00892E76" w:rsidRDefault="00CC4C57" w:rsidP="007679A2">
      <w:pPr>
        <w:pStyle w:val="Textonotapie"/>
        <w:ind w:firstLine="709"/>
        <w:jc w:val="both"/>
        <w:rPr>
          <w:rFonts w:ascii="Arial" w:hAnsi="Arial" w:cs="Arial"/>
          <w:sz w:val="19"/>
          <w:szCs w:val="19"/>
        </w:rPr>
      </w:pPr>
      <w:r w:rsidRPr="00892E76">
        <w:rPr>
          <w:rFonts w:ascii="Arial" w:hAnsi="Arial" w:cs="Arial"/>
          <w:sz w:val="19"/>
          <w:szCs w:val="19"/>
        </w:rPr>
        <w:t xml:space="preserve">En dicho </w:t>
      </w:r>
      <w:r w:rsidR="00B1271A" w:rsidRPr="00892E76">
        <w:rPr>
          <w:rFonts w:ascii="Arial" w:hAnsi="Arial" w:cs="Arial"/>
          <w:sz w:val="19"/>
          <w:szCs w:val="19"/>
        </w:rPr>
        <w:t>proyecto</w:t>
      </w:r>
      <w:r w:rsidR="0042002B" w:rsidRPr="00892E76">
        <w:rPr>
          <w:rFonts w:ascii="Arial" w:hAnsi="Arial" w:cs="Arial"/>
          <w:sz w:val="19"/>
          <w:szCs w:val="19"/>
        </w:rPr>
        <w:t xml:space="preserve"> –que se encuentra en fase de revisión de las observaciones de la ciudadanía–</w:t>
      </w:r>
      <w:r w:rsidR="00B1271A" w:rsidRPr="00892E76">
        <w:rPr>
          <w:rFonts w:ascii="Arial" w:hAnsi="Arial" w:cs="Arial"/>
          <w:sz w:val="19"/>
          <w:szCs w:val="19"/>
        </w:rPr>
        <w:t xml:space="preserve"> se dice</w:t>
      </w:r>
      <w:r w:rsidR="0042002B" w:rsidRPr="00892E76">
        <w:rPr>
          <w:rFonts w:ascii="Arial" w:hAnsi="Arial" w:cs="Arial"/>
          <w:sz w:val="19"/>
          <w:szCs w:val="19"/>
        </w:rPr>
        <w:t>,</w:t>
      </w:r>
      <w:r w:rsidR="00B1271A" w:rsidRPr="00892E76">
        <w:rPr>
          <w:rFonts w:ascii="Arial" w:hAnsi="Arial" w:cs="Arial"/>
          <w:sz w:val="19"/>
          <w:szCs w:val="19"/>
        </w:rPr>
        <w:t xml:space="preserve"> respecto del numeral 4</w:t>
      </w:r>
      <w:r w:rsidR="00731DBE" w:rsidRPr="00892E76">
        <w:rPr>
          <w:rFonts w:ascii="Arial" w:hAnsi="Arial" w:cs="Arial"/>
          <w:sz w:val="19"/>
          <w:szCs w:val="19"/>
        </w:rPr>
        <w:t>,</w:t>
      </w:r>
      <w:r w:rsidR="00B1271A" w:rsidRPr="00892E76">
        <w:rPr>
          <w:rFonts w:ascii="Arial" w:hAnsi="Arial" w:cs="Arial"/>
          <w:sz w:val="19"/>
          <w:szCs w:val="19"/>
        </w:rPr>
        <w:t xml:space="preserve"> </w:t>
      </w:r>
      <w:r w:rsidR="00731DBE" w:rsidRPr="00892E76">
        <w:rPr>
          <w:rFonts w:ascii="Arial" w:hAnsi="Arial" w:cs="Arial"/>
          <w:sz w:val="19"/>
          <w:szCs w:val="19"/>
        </w:rPr>
        <w:t>que se debe</w:t>
      </w:r>
      <w:r w:rsidR="00B1271A" w:rsidRPr="00892E76">
        <w:rPr>
          <w:rFonts w:ascii="Arial" w:hAnsi="Arial" w:cs="Arial"/>
          <w:sz w:val="19"/>
          <w:szCs w:val="19"/>
        </w:rPr>
        <w:t>: «4.</w:t>
      </w:r>
      <w:r w:rsidR="007679A2" w:rsidRPr="00892E76">
        <w:rPr>
          <w:rFonts w:ascii="Arial" w:hAnsi="Arial" w:cs="Arial"/>
          <w:sz w:val="19"/>
          <w:szCs w:val="19"/>
        </w:rPr>
        <w:t xml:space="preserve"> </w:t>
      </w:r>
      <w:r w:rsidR="00B1271A" w:rsidRPr="00892E76">
        <w:rPr>
          <w:rFonts w:ascii="Arial" w:hAnsi="Arial" w:cs="Arial"/>
          <w:sz w:val="19"/>
          <w:szCs w:val="19"/>
        </w:rPr>
        <w:t>Preferir la propuesta presentada por el</w:t>
      </w:r>
      <w:r w:rsidR="00731DBE" w:rsidRPr="00892E76">
        <w:rPr>
          <w:rFonts w:ascii="Arial" w:hAnsi="Arial" w:cs="Arial"/>
          <w:sz w:val="19"/>
          <w:szCs w:val="19"/>
        </w:rPr>
        <w:t xml:space="preserve"> </w:t>
      </w:r>
      <w:r w:rsidR="00B1271A" w:rsidRPr="00892E76">
        <w:rPr>
          <w:rFonts w:ascii="Arial" w:hAnsi="Arial" w:cs="Arial"/>
          <w:sz w:val="19"/>
          <w:szCs w:val="19"/>
        </w:rPr>
        <w:t>oferente que acredite la vinculación</w:t>
      </w:r>
      <w:r w:rsidR="00731DBE" w:rsidRPr="00892E76">
        <w:rPr>
          <w:rFonts w:ascii="Arial" w:hAnsi="Arial" w:cs="Arial"/>
          <w:sz w:val="19"/>
          <w:szCs w:val="19"/>
        </w:rPr>
        <w:t xml:space="preserve"> </w:t>
      </w:r>
      <w:r w:rsidR="00B1271A" w:rsidRPr="00892E76">
        <w:rPr>
          <w:rFonts w:ascii="Arial" w:hAnsi="Arial" w:cs="Arial"/>
          <w:sz w:val="19"/>
          <w:szCs w:val="19"/>
        </w:rPr>
        <w:t>en mayor proporción de personas mayores que no sean beneficiarias de la</w:t>
      </w:r>
      <w:r w:rsidR="00731DBE" w:rsidRPr="00892E76">
        <w:rPr>
          <w:rFonts w:ascii="Arial" w:hAnsi="Arial" w:cs="Arial"/>
          <w:sz w:val="19"/>
          <w:szCs w:val="19"/>
        </w:rPr>
        <w:t xml:space="preserve"> </w:t>
      </w:r>
      <w:r w:rsidR="00B1271A" w:rsidRPr="00892E76">
        <w:rPr>
          <w:rFonts w:ascii="Arial" w:hAnsi="Arial" w:cs="Arial"/>
          <w:sz w:val="19"/>
          <w:szCs w:val="19"/>
        </w:rPr>
        <w:t>pensión de vejez, familiar o de sobrevivencia y que hayan cumplido el requisito</w:t>
      </w:r>
      <w:r w:rsidR="00731DBE" w:rsidRPr="00892E76">
        <w:rPr>
          <w:rFonts w:ascii="Arial" w:hAnsi="Arial" w:cs="Arial"/>
          <w:sz w:val="19"/>
          <w:szCs w:val="19"/>
        </w:rPr>
        <w:t xml:space="preserve"> </w:t>
      </w:r>
      <w:r w:rsidR="00B1271A" w:rsidRPr="00892E76">
        <w:rPr>
          <w:rFonts w:ascii="Arial" w:hAnsi="Arial" w:cs="Arial"/>
          <w:sz w:val="19"/>
          <w:szCs w:val="19"/>
        </w:rPr>
        <w:t>de edad de pensión</w:t>
      </w:r>
      <w:r w:rsidR="00731DBE" w:rsidRPr="00892E76">
        <w:rPr>
          <w:rFonts w:ascii="Arial" w:hAnsi="Arial" w:cs="Arial"/>
          <w:sz w:val="19"/>
          <w:szCs w:val="19"/>
        </w:rPr>
        <w:t xml:space="preserve"> </w:t>
      </w:r>
      <w:r w:rsidR="00B1271A" w:rsidRPr="00892E76">
        <w:rPr>
          <w:rFonts w:ascii="Arial" w:hAnsi="Arial" w:cs="Arial"/>
          <w:sz w:val="19"/>
          <w:szCs w:val="19"/>
        </w:rPr>
        <w:t>establecido en la ley, para ello, la persona natural, el</w:t>
      </w:r>
      <w:r w:rsidR="00731DBE" w:rsidRPr="00892E76">
        <w:rPr>
          <w:rFonts w:ascii="Arial" w:hAnsi="Arial" w:cs="Arial"/>
          <w:sz w:val="19"/>
          <w:szCs w:val="19"/>
        </w:rPr>
        <w:t xml:space="preserve"> </w:t>
      </w:r>
      <w:r w:rsidR="00B1271A" w:rsidRPr="00892E76">
        <w:rPr>
          <w:rFonts w:ascii="Arial" w:hAnsi="Arial" w:cs="Arial"/>
          <w:sz w:val="19"/>
          <w:szCs w:val="19"/>
        </w:rPr>
        <w:t>representante legal de la persona jurídica o el revisor fiscal, según</w:t>
      </w:r>
      <w:r w:rsidR="00731DBE" w:rsidRPr="00892E76">
        <w:rPr>
          <w:rFonts w:ascii="Arial" w:hAnsi="Arial" w:cs="Arial"/>
          <w:sz w:val="19"/>
          <w:szCs w:val="19"/>
        </w:rPr>
        <w:t xml:space="preserve"> </w:t>
      </w:r>
      <w:r w:rsidR="00B1271A" w:rsidRPr="00892E76">
        <w:rPr>
          <w:rFonts w:ascii="Arial" w:hAnsi="Arial" w:cs="Arial"/>
          <w:sz w:val="19"/>
          <w:szCs w:val="19"/>
        </w:rPr>
        <w:t>corresponda, entregará un certificado, en el que se acredite, bajo la gravedad</w:t>
      </w:r>
      <w:r w:rsidR="00731DBE" w:rsidRPr="00892E76">
        <w:rPr>
          <w:rFonts w:ascii="Arial" w:hAnsi="Arial" w:cs="Arial"/>
          <w:sz w:val="19"/>
          <w:szCs w:val="19"/>
        </w:rPr>
        <w:t xml:space="preserve"> </w:t>
      </w:r>
      <w:r w:rsidR="00B1271A" w:rsidRPr="00892E76">
        <w:rPr>
          <w:rFonts w:ascii="Arial" w:hAnsi="Arial" w:cs="Arial"/>
          <w:sz w:val="19"/>
          <w:szCs w:val="19"/>
        </w:rPr>
        <w:t>de juramento, las</w:t>
      </w:r>
      <w:r w:rsidR="00731DBE" w:rsidRPr="00892E76">
        <w:rPr>
          <w:rFonts w:ascii="Arial" w:hAnsi="Arial" w:cs="Arial"/>
          <w:sz w:val="19"/>
          <w:szCs w:val="19"/>
        </w:rPr>
        <w:t xml:space="preserve"> </w:t>
      </w:r>
      <w:r w:rsidR="00B1271A" w:rsidRPr="00892E76">
        <w:rPr>
          <w:rFonts w:ascii="Arial" w:hAnsi="Arial" w:cs="Arial"/>
          <w:sz w:val="19"/>
          <w:szCs w:val="19"/>
        </w:rPr>
        <w:t>personas vinculadas en su nómina y el número de</w:t>
      </w:r>
      <w:r w:rsidR="00731DBE" w:rsidRPr="00892E76">
        <w:rPr>
          <w:rFonts w:ascii="Arial" w:hAnsi="Arial" w:cs="Arial"/>
          <w:sz w:val="19"/>
          <w:szCs w:val="19"/>
        </w:rPr>
        <w:t xml:space="preserve"> </w:t>
      </w:r>
      <w:r w:rsidR="00B1271A" w:rsidRPr="00892E76">
        <w:rPr>
          <w:rFonts w:ascii="Arial" w:hAnsi="Arial" w:cs="Arial"/>
          <w:sz w:val="19"/>
          <w:szCs w:val="19"/>
        </w:rPr>
        <w:t>trabajadores que no son beneficiarios de la pensión de vejez, familiar o de</w:t>
      </w:r>
      <w:r w:rsidR="00731DBE" w:rsidRPr="00892E76">
        <w:rPr>
          <w:rFonts w:ascii="Arial" w:hAnsi="Arial" w:cs="Arial"/>
          <w:sz w:val="19"/>
          <w:szCs w:val="19"/>
        </w:rPr>
        <w:t xml:space="preserve"> </w:t>
      </w:r>
      <w:r w:rsidR="00B1271A" w:rsidRPr="00892E76">
        <w:rPr>
          <w:rFonts w:ascii="Arial" w:hAnsi="Arial" w:cs="Arial"/>
          <w:sz w:val="19"/>
          <w:szCs w:val="19"/>
        </w:rPr>
        <w:t>sobrevivencia y que cumplieron el requisito de edad de pensión. Solo se tendrá</w:t>
      </w:r>
      <w:r w:rsidR="00731DBE" w:rsidRPr="00892E76">
        <w:rPr>
          <w:rFonts w:ascii="Arial" w:hAnsi="Arial" w:cs="Arial"/>
          <w:sz w:val="19"/>
          <w:szCs w:val="19"/>
        </w:rPr>
        <w:t xml:space="preserve"> </w:t>
      </w:r>
      <w:r w:rsidR="00B1271A" w:rsidRPr="00892E76">
        <w:rPr>
          <w:rFonts w:ascii="Arial" w:hAnsi="Arial" w:cs="Arial"/>
          <w:sz w:val="19"/>
          <w:szCs w:val="19"/>
        </w:rPr>
        <w:t>en cuenta</w:t>
      </w:r>
      <w:r w:rsidR="00731DBE" w:rsidRPr="00892E76">
        <w:rPr>
          <w:rFonts w:ascii="Arial" w:hAnsi="Arial" w:cs="Arial"/>
          <w:sz w:val="19"/>
          <w:szCs w:val="19"/>
        </w:rPr>
        <w:t xml:space="preserve"> </w:t>
      </w:r>
      <w:r w:rsidR="00B1271A" w:rsidRPr="00892E76">
        <w:rPr>
          <w:rFonts w:ascii="Arial" w:hAnsi="Arial" w:cs="Arial"/>
          <w:sz w:val="19"/>
          <w:szCs w:val="19"/>
        </w:rPr>
        <w:t>la vinculación de aquellas personas que se encuentren en las</w:t>
      </w:r>
      <w:r w:rsidR="00731DBE" w:rsidRPr="00892E76">
        <w:rPr>
          <w:rFonts w:ascii="Arial" w:hAnsi="Arial" w:cs="Arial"/>
          <w:sz w:val="19"/>
          <w:szCs w:val="19"/>
        </w:rPr>
        <w:t xml:space="preserve"> </w:t>
      </w:r>
      <w:r w:rsidR="00B1271A" w:rsidRPr="00892E76">
        <w:rPr>
          <w:rFonts w:ascii="Arial" w:hAnsi="Arial" w:cs="Arial"/>
          <w:sz w:val="19"/>
          <w:szCs w:val="19"/>
        </w:rPr>
        <w:t>condiciones descritas y que hayan estado vinculadas con una anterioridad</w:t>
      </w:r>
      <w:r w:rsidR="00731DBE" w:rsidRPr="00892E76">
        <w:rPr>
          <w:rFonts w:ascii="Arial" w:hAnsi="Arial" w:cs="Arial"/>
          <w:sz w:val="19"/>
          <w:szCs w:val="19"/>
        </w:rPr>
        <w:t xml:space="preserve"> </w:t>
      </w:r>
      <w:r w:rsidR="00B1271A" w:rsidRPr="00892E76">
        <w:rPr>
          <w:rFonts w:ascii="Arial" w:hAnsi="Arial" w:cs="Arial"/>
          <w:sz w:val="19"/>
          <w:szCs w:val="19"/>
        </w:rPr>
        <w:t>igual o mayor a un (1) año contado a partir de la fecha del cierre del proceso.</w:t>
      </w:r>
      <w:r w:rsidR="005D31BA" w:rsidRPr="00892E76">
        <w:rPr>
          <w:rFonts w:ascii="Arial" w:hAnsi="Arial" w:cs="Arial"/>
          <w:sz w:val="19"/>
          <w:szCs w:val="19"/>
        </w:rPr>
        <w:t xml:space="preserve"> </w:t>
      </w:r>
      <w:r w:rsidR="00B1271A" w:rsidRPr="00892E76">
        <w:rPr>
          <w:rFonts w:ascii="Arial" w:hAnsi="Arial" w:cs="Arial"/>
          <w:sz w:val="19"/>
          <w:szCs w:val="19"/>
        </w:rPr>
        <w:t>Para los casos de constitución inferior a un (1) año, se tendrá en cuenta a</w:t>
      </w:r>
      <w:r w:rsidR="005D31BA" w:rsidRPr="00892E76">
        <w:rPr>
          <w:rFonts w:ascii="Arial" w:hAnsi="Arial" w:cs="Arial"/>
          <w:sz w:val="19"/>
          <w:szCs w:val="19"/>
        </w:rPr>
        <w:t xml:space="preserve"> </w:t>
      </w:r>
      <w:r w:rsidR="00B1271A" w:rsidRPr="00892E76">
        <w:rPr>
          <w:rFonts w:ascii="Arial" w:hAnsi="Arial" w:cs="Arial"/>
          <w:sz w:val="19"/>
          <w:szCs w:val="19"/>
        </w:rPr>
        <w:t>aquellos que hayan estado</w:t>
      </w:r>
      <w:r w:rsidR="005D31BA" w:rsidRPr="00892E76">
        <w:rPr>
          <w:rFonts w:ascii="Arial" w:hAnsi="Arial" w:cs="Arial"/>
          <w:sz w:val="19"/>
          <w:szCs w:val="19"/>
        </w:rPr>
        <w:t xml:space="preserve"> </w:t>
      </w:r>
      <w:r w:rsidR="00B1271A" w:rsidRPr="00892E76">
        <w:rPr>
          <w:rFonts w:ascii="Arial" w:hAnsi="Arial" w:cs="Arial"/>
          <w:sz w:val="19"/>
          <w:szCs w:val="19"/>
        </w:rPr>
        <w:t>vinculados desde el momento de la constitución de</w:t>
      </w:r>
      <w:r w:rsidR="005D31BA" w:rsidRPr="00892E76">
        <w:rPr>
          <w:rFonts w:ascii="Arial" w:hAnsi="Arial" w:cs="Arial"/>
          <w:sz w:val="19"/>
          <w:szCs w:val="19"/>
        </w:rPr>
        <w:t xml:space="preserve"> </w:t>
      </w:r>
      <w:r w:rsidR="00B1271A" w:rsidRPr="00892E76">
        <w:rPr>
          <w:rFonts w:ascii="Arial" w:hAnsi="Arial" w:cs="Arial"/>
          <w:sz w:val="19"/>
          <w:szCs w:val="19"/>
        </w:rPr>
        <w:t>la persona jurídica.</w:t>
      </w:r>
    </w:p>
    <w:p w14:paraId="48D1186A" w14:textId="758551D7" w:rsidR="005D31BA" w:rsidRPr="00892E76" w:rsidRDefault="007F6D1B" w:rsidP="007679A2">
      <w:pPr>
        <w:pStyle w:val="Textonotapie"/>
        <w:ind w:firstLine="709"/>
        <w:jc w:val="both"/>
        <w:rPr>
          <w:rFonts w:ascii="Arial" w:hAnsi="Arial" w:cs="Arial"/>
          <w:sz w:val="19"/>
          <w:szCs w:val="19"/>
        </w:rPr>
      </w:pPr>
      <w:r w:rsidRPr="00892E76">
        <w:rPr>
          <w:rFonts w:ascii="Arial" w:hAnsi="Arial" w:cs="Arial"/>
          <w:sz w:val="19"/>
          <w:szCs w:val="19"/>
        </w:rPr>
        <w:t>»</w:t>
      </w:r>
      <w:r w:rsidR="00B1271A" w:rsidRPr="00892E76">
        <w:rPr>
          <w:rFonts w:ascii="Arial" w:hAnsi="Arial" w:cs="Arial"/>
          <w:sz w:val="19"/>
          <w:szCs w:val="19"/>
        </w:rPr>
        <w:t>El tiempo de vinculación en la planta referida, de que trata el inciso anterior,</w:t>
      </w:r>
      <w:r w:rsidR="005D31BA" w:rsidRPr="00892E76">
        <w:rPr>
          <w:rFonts w:ascii="Arial" w:hAnsi="Arial" w:cs="Arial"/>
          <w:sz w:val="19"/>
          <w:szCs w:val="19"/>
        </w:rPr>
        <w:t xml:space="preserve"> </w:t>
      </w:r>
      <w:r w:rsidR="00B1271A" w:rsidRPr="00892E76">
        <w:rPr>
          <w:rFonts w:ascii="Arial" w:hAnsi="Arial" w:cs="Arial"/>
          <w:sz w:val="19"/>
          <w:szCs w:val="19"/>
        </w:rPr>
        <w:t>se acreditará con el certificado</w:t>
      </w:r>
      <w:r w:rsidR="005D31BA" w:rsidRPr="00892E76">
        <w:rPr>
          <w:rFonts w:ascii="Arial" w:hAnsi="Arial" w:cs="Arial"/>
          <w:sz w:val="19"/>
          <w:szCs w:val="19"/>
        </w:rPr>
        <w:t xml:space="preserve"> </w:t>
      </w:r>
      <w:r w:rsidR="00B1271A" w:rsidRPr="00892E76">
        <w:rPr>
          <w:rFonts w:ascii="Arial" w:hAnsi="Arial" w:cs="Arial"/>
          <w:sz w:val="19"/>
          <w:szCs w:val="19"/>
        </w:rPr>
        <w:t>de aportes a seguridad social del último año o</w:t>
      </w:r>
      <w:r w:rsidR="005D31BA" w:rsidRPr="00892E76">
        <w:rPr>
          <w:rFonts w:ascii="Arial" w:hAnsi="Arial" w:cs="Arial"/>
          <w:sz w:val="19"/>
          <w:szCs w:val="19"/>
        </w:rPr>
        <w:t xml:space="preserve"> </w:t>
      </w:r>
      <w:r w:rsidR="00B1271A" w:rsidRPr="00892E76">
        <w:rPr>
          <w:rFonts w:ascii="Arial" w:hAnsi="Arial" w:cs="Arial"/>
          <w:sz w:val="19"/>
          <w:szCs w:val="19"/>
        </w:rPr>
        <w:t>del tiempo de constitución de la persona jurídica, cuando su</w:t>
      </w:r>
      <w:r w:rsidR="005D31BA" w:rsidRPr="00892E76">
        <w:rPr>
          <w:rFonts w:ascii="Arial" w:hAnsi="Arial" w:cs="Arial"/>
          <w:sz w:val="19"/>
          <w:szCs w:val="19"/>
        </w:rPr>
        <w:t xml:space="preserve"> </w:t>
      </w:r>
      <w:r w:rsidR="00B1271A" w:rsidRPr="00892E76">
        <w:rPr>
          <w:rFonts w:ascii="Arial" w:hAnsi="Arial" w:cs="Arial"/>
          <w:sz w:val="19"/>
          <w:szCs w:val="19"/>
        </w:rPr>
        <w:t>conformación es</w:t>
      </w:r>
      <w:r w:rsidR="005D31BA" w:rsidRPr="00892E76">
        <w:rPr>
          <w:rFonts w:ascii="Arial" w:hAnsi="Arial" w:cs="Arial"/>
          <w:sz w:val="19"/>
          <w:szCs w:val="19"/>
        </w:rPr>
        <w:t xml:space="preserve"> </w:t>
      </w:r>
      <w:r w:rsidR="00B1271A" w:rsidRPr="00892E76">
        <w:rPr>
          <w:rFonts w:ascii="Arial" w:hAnsi="Arial" w:cs="Arial"/>
          <w:sz w:val="19"/>
          <w:szCs w:val="19"/>
        </w:rPr>
        <w:t>inferior a un (1) año, en el que se demuestren los pagos realizados por el</w:t>
      </w:r>
      <w:r w:rsidR="005D31BA" w:rsidRPr="00892E76">
        <w:rPr>
          <w:rFonts w:ascii="Arial" w:hAnsi="Arial" w:cs="Arial"/>
          <w:sz w:val="19"/>
          <w:szCs w:val="19"/>
        </w:rPr>
        <w:t xml:space="preserve"> </w:t>
      </w:r>
      <w:r w:rsidR="00B1271A" w:rsidRPr="00892E76">
        <w:rPr>
          <w:rFonts w:ascii="Arial" w:hAnsi="Arial" w:cs="Arial"/>
          <w:sz w:val="19"/>
          <w:szCs w:val="19"/>
        </w:rPr>
        <w:t>empleador.</w:t>
      </w:r>
    </w:p>
    <w:p w14:paraId="2861FE78" w14:textId="62CC9729" w:rsidR="007F6D1B" w:rsidRPr="00892E76" w:rsidRDefault="007F6D1B" w:rsidP="007679A2">
      <w:pPr>
        <w:pStyle w:val="Textonotapie"/>
        <w:ind w:firstLine="709"/>
        <w:jc w:val="both"/>
        <w:rPr>
          <w:rFonts w:ascii="Arial" w:hAnsi="Arial" w:cs="Arial"/>
          <w:sz w:val="19"/>
          <w:szCs w:val="19"/>
        </w:rPr>
      </w:pPr>
      <w:r w:rsidRPr="00892E76">
        <w:rPr>
          <w:rFonts w:ascii="Arial" w:hAnsi="Arial" w:cs="Arial"/>
          <w:sz w:val="19"/>
          <w:szCs w:val="19"/>
        </w:rPr>
        <w:t>»</w:t>
      </w:r>
      <w:r w:rsidR="00B1271A" w:rsidRPr="00892E76">
        <w:rPr>
          <w:rFonts w:ascii="Arial" w:hAnsi="Arial" w:cs="Arial"/>
          <w:sz w:val="19"/>
          <w:szCs w:val="19"/>
        </w:rPr>
        <w:t>En el caso de los proponentes plurales, su representante legal acreditará el</w:t>
      </w:r>
      <w:r w:rsidRPr="00892E76">
        <w:rPr>
          <w:rFonts w:ascii="Arial" w:hAnsi="Arial" w:cs="Arial"/>
          <w:sz w:val="19"/>
          <w:szCs w:val="19"/>
        </w:rPr>
        <w:t xml:space="preserve"> </w:t>
      </w:r>
      <w:r w:rsidR="00B1271A" w:rsidRPr="00892E76">
        <w:rPr>
          <w:rFonts w:ascii="Arial" w:hAnsi="Arial" w:cs="Arial"/>
          <w:sz w:val="19"/>
          <w:szCs w:val="19"/>
        </w:rPr>
        <w:t>número de trabajadores</w:t>
      </w:r>
      <w:r w:rsidRPr="00892E76">
        <w:rPr>
          <w:rFonts w:ascii="Arial" w:hAnsi="Arial" w:cs="Arial"/>
          <w:sz w:val="19"/>
          <w:szCs w:val="19"/>
        </w:rPr>
        <w:t xml:space="preserve"> </w:t>
      </w:r>
      <w:r w:rsidR="00B1271A" w:rsidRPr="00892E76">
        <w:rPr>
          <w:rFonts w:ascii="Arial" w:hAnsi="Arial" w:cs="Arial"/>
          <w:sz w:val="19"/>
          <w:szCs w:val="19"/>
        </w:rPr>
        <w:t>vinculados que son personas mayores no</w:t>
      </w:r>
      <w:r w:rsidRPr="00892E76">
        <w:rPr>
          <w:rFonts w:ascii="Arial" w:hAnsi="Arial" w:cs="Arial"/>
          <w:sz w:val="19"/>
          <w:szCs w:val="19"/>
        </w:rPr>
        <w:t xml:space="preserve"> </w:t>
      </w:r>
      <w:r w:rsidR="00B1271A" w:rsidRPr="00892E76">
        <w:rPr>
          <w:rFonts w:ascii="Arial" w:hAnsi="Arial" w:cs="Arial"/>
          <w:sz w:val="19"/>
          <w:szCs w:val="19"/>
        </w:rPr>
        <w:t>beneficiarias de la pensión de vejez, familiar o de sobrevivencia, y</w:t>
      </w:r>
      <w:r w:rsidRPr="00892E76">
        <w:rPr>
          <w:rFonts w:ascii="Arial" w:hAnsi="Arial" w:cs="Arial"/>
          <w:sz w:val="19"/>
          <w:szCs w:val="19"/>
        </w:rPr>
        <w:t xml:space="preserve"> </w:t>
      </w:r>
      <w:r w:rsidR="00B1271A" w:rsidRPr="00892E76">
        <w:rPr>
          <w:rFonts w:ascii="Arial" w:hAnsi="Arial" w:cs="Arial"/>
          <w:sz w:val="19"/>
          <w:szCs w:val="19"/>
        </w:rPr>
        <w:t>que</w:t>
      </w:r>
      <w:r w:rsidRPr="00892E76">
        <w:rPr>
          <w:rFonts w:ascii="Arial" w:hAnsi="Arial" w:cs="Arial"/>
          <w:sz w:val="19"/>
          <w:szCs w:val="19"/>
        </w:rPr>
        <w:t xml:space="preserve"> </w:t>
      </w:r>
      <w:r w:rsidR="00B1271A" w:rsidRPr="00892E76">
        <w:rPr>
          <w:rFonts w:ascii="Arial" w:hAnsi="Arial" w:cs="Arial"/>
          <w:sz w:val="19"/>
          <w:szCs w:val="19"/>
        </w:rPr>
        <w:t>cumplieron el requisito de edad de pensión establecido en la ley, de todos los</w:t>
      </w:r>
      <w:r w:rsidRPr="00892E76">
        <w:rPr>
          <w:rFonts w:ascii="Arial" w:hAnsi="Arial" w:cs="Arial"/>
          <w:sz w:val="19"/>
          <w:szCs w:val="19"/>
        </w:rPr>
        <w:t xml:space="preserve"> </w:t>
      </w:r>
      <w:r w:rsidR="00B1271A" w:rsidRPr="00892E76">
        <w:rPr>
          <w:rFonts w:ascii="Arial" w:hAnsi="Arial" w:cs="Arial"/>
          <w:sz w:val="19"/>
          <w:szCs w:val="19"/>
        </w:rPr>
        <w:t>integrantes del consorcio</w:t>
      </w:r>
      <w:r w:rsidRPr="00892E76">
        <w:rPr>
          <w:rFonts w:ascii="Arial" w:hAnsi="Arial" w:cs="Arial"/>
          <w:sz w:val="19"/>
          <w:szCs w:val="19"/>
        </w:rPr>
        <w:t xml:space="preserve"> </w:t>
      </w:r>
      <w:r w:rsidR="00B1271A" w:rsidRPr="00892E76">
        <w:rPr>
          <w:rFonts w:ascii="Arial" w:hAnsi="Arial" w:cs="Arial"/>
          <w:sz w:val="19"/>
          <w:szCs w:val="19"/>
        </w:rPr>
        <w:t>o de la unión temporal. Las personas enunciadas</w:t>
      </w:r>
      <w:r w:rsidRPr="00892E76">
        <w:rPr>
          <w:rFonts w:ascii="Arial" w:hAnsi="Arial" w:cs="Arial"/>
          <w:sz w:val="19"/>
          <w:szCs w:val="19"/>
        </w:rPr>
        <w:t xml:space="preserve"> </w:t>
      </w:r>
      <w:r w:rsidR="00B1271A" w:rsidRPr="00892E76">
        <w:rPr>
          <w:rFonts w:ascii="Arial" w:hAnsi="Arial" w:cs="Arial"/>
          <w:sz w:val="19"/>
          <w:szCs w:val="19"/>
        </w:rPr>
        <w:t>anteriormente podrán estar vinculadas a cualquiera de sus</w:t>
      </w:r>
      <w:r w:rsidRPr="00892E76">
        <w:rPr>
          <w:rFonts w:ascii="Arial" w:hAnsi="Arial" w:cs="Arial"/>
          <w:sz w:val="19"/>
          <w:szCs w:val="19"/>
        </w:rPr>
        <w:t xml:space="preserve"> </w:t>
      </w:r>
      <w:r w:rsidR="00B1271A" w:rsidRPr="00892E76">
        <w:rPr>
          <w:rFonts w:ascii="Arial" w:hAnsi="Arial" w:cs="Arial"/>
          <w:sz w:val="19"/>
          <w:szCs w:val="19"/>
        </w:rPr>
        <w:t>integrantes.</w:t>
      </w:r>
    </w:p>
    <w:p w14:paraId="38896C7A" w14:textId="36645DC4" w:rsidR="007F6D1B" w:rsidRPr="00892E76" w:rsidRDefault="007F6D1B" w:rsidP="007679A2">
      <w:pPr>
        <w:pStyle w:val="Textonotapie"/>
        <w:ind w:firstLine="709"/>
        <w:jc w:val="both"/>
        <w:rPr>
          <w:rFonts w:ascii="Arial" w:hAnsi="Arial" w:cs="Arial"/>
          <w:sz w:val="19"/>
          <w:szCs w:val="19"/>
        </w:rPr>
      </w:pPr>
      <w:r w:rsidRPr="00892E76">
        <w:rPr>
          <w:rFonts w:ascii="Arial" w:hAnsi="Arial" w:cs="Arial"/>
          <w:sz w:val="19"/>
          <w:szCs w:val="19"/>
        </w:rPr>
        <w:t>»</w:t>
      </w:r>
      <w:r w:rsidR="00B1271A" w:rsidRPr="00892E76">
        <w:rPr>
          <w:rFonts w:ascii="Arial" w:hAnsi="Arial" w:cs="Arial"/>
          <w:sz w:val="19"/>
          <w:szCs w:val="19"/>
        </w:rPr>
        <w:t>En cualquiera de los dos supuestos anteriores, para el otorgamiento del criterio</w:t>
      </w:r>
      <w:r w:rsidRPr="00892E76">
        <w:rPr>
          <w:rFonts w:ascii="Arial" w:hAnsi="Arial" w:cs="Arial"/>
          <w:sz w:val="19"/>
          <w:szCs w:val="19"/>
        </w:rPr>
        <w:t xml:space="preserve"> </w:t>
      </w:r>
      <w:r w:rsidR="00B1271A" w:rsidRPr="00892E76">
        <w:rPr>
          <w:rFonts w:ascii="Arial" w:hAnsi="Arial" w:cs="Arial"/>
          <w:sz w:val="19"/>
          <w:szCs w:val="19"/>
        </w:rPr>
        <w:t>de desempate, cada uno de</w:t>
      </w:r>
      <w:r w:rsidRPr="00892E76">
        <w:rPr>
          <w:rFonts w:ascii="Arial" w:hAnsi="Arial" w:cs="Arial"/>
          <w:sz w:val="19"/>
          <w:szCs w:val="19"/>
        </w:rPr>
        <w:t xml:space="preserve"> </w:t>
      </w:r>
      <w:r w:rsidR="00B1271A" w:rsidRPr="00892E76">
        <w:rPr>
          <w:rFonts w:ascii="Arial" w:hAnsi="Arial" w:cs="Arial"/>
          <w:sz w:val="19"/>
          <w:szCs w:val="19"/>
        </w:rPr>
        <w:t>los trabajadores que cumpla las condiciones</w:t>
      </w:r>
      <w:r w:rsidRPr="00892E76">
        <w:rPr>
          <w:rFonts w:ascii="Arial" w:hAnsi="Arial" w:cs="Arial"/>
          <w:sz w:val="19"/>
          <w:szCs w:val="19"/>
        </w:rPr>
        <w:t xml:space="preserve"> </w:t>
      </w:r>
      <w:r w:rsidR="00B1271A" w:rsidRPr="00892E76">
        <w:rPr>
          <w:rFonts w:ascii="Arial" w:hAnsi="Arial" w:cs="Arial"/>
          <w:sz w:val="19"/>
          <w:szCs w:val="19"/>
        </w:rPr>
        <w:t>previstas por la ley, allegará un certificado, mediante el cual acredita, bajo la</w:t>
      </w:r>
      <w:r w:rsidRPr="00892E76">
        <w:rPr>
          <w:rFonts w:ascii="Arial" w:hAnsi="Arial" w:cs="Arial"/>
          <w:sz w:val="19"/>
          <w:szCs w:val="19"/>
        </w:rPr>
        <w:t xml:space="preserve"> </w:t>
      </w:r>
      <w:r w:rsidR="00B1271A" w:rsidRPr="00892E76">
        <w:rPr>
          <w:rFonts w:ascii="Arial" w:hAnsi="Arial" w:cs="Arial"/>
          <w:sz w:val="19"/>
          <w:szCs w:val="19"/>
        </w:rPr>
        <w:t>gravedad de juramento, que no es beneficiario de pensión de vejez, familiar o</w:t>
      </w:r>
      <w:r w:rsidRPr="00892E76">
        <w:rPr>
          <w:rFonts w:ascii="Arial" w:hAnsi="Arial" w:cs="Arial"/>
          <w:sz w:val="19"/>
          <w:szCs w:val="19"/>
        </w:rPr>
        <w:t xml:space="preserve"> </w:t>
      </w:r>
      <w:r w:rsidR="00B1271A" w:rsidRPr="00892E76">
        <w:rPr>
          <w:rFonts w:ascii="Arial" w:hAnsi="Arial" w:cs="Arial"/>
          <w:sz w:val="19"/>
          <w:szCs w:val="19"/>
        </w:rPr>
        <w:t>sobrevivencia,</w:t>
      </w:r>
      <w:r w:rsidRPr="00892E76">
        <w:rPr>
          <w:rFonts w:ascii="Arial" w:hAnsi="Arial" w:cs="Arial"/>
          <w:sz w:val="19"/>
          <w:szCs w:val="19"/>
        </w:rPr>
        <w:t xml:space="preserve"> </w:t>
      </w:r>
      <w:r w:rsidR="00B1271A" w:rsidRPr="00892E76">
        <w:rPr>
          <w:rFonts w:ascii="Arial" w:hAnsi="Arial" w:cs="Arial"/>
          <w:sz w:val="19"/>
          <w:szCs w:val="19"/>
        </w:rPr>
        <w:t>y cumple la edad de pensión; además, se deberá allegar el</w:t>
      </w:r>
      <w:r w:rsidRPr="00892E76">
        <w:rPr>
          <w:rFonts w:ascii="Arial" w:hAnsi="Arial" w:cs="Arial"/>
          <w:sz w:val="19"/>
          <w:szCs w:val="19"/>
        </w:rPr>
        <w:t xml:space="preserve"> </w:t>
      </w:r>
      <w:r w:rsidR="00B1271A" w:rsidRPr="00892E76">
        <w:rPr>
          <w:rFonts w:ascii="Arial" w:hAnsi="Arial" w:cs="Arial"/>
          <w:sz w:val="19"/>
          <w:szCs w:val="19"/>
        </w:rPr>
        <w:t>documento de identificación del trabajador que lo firma.</w:t>
      </w:r>
    </w:p>
    <w:p w14:paraId="49441C20" w14:textId="5BEA0C5F" w:rsidR="00CC4C57" w:rsidRPr="00892E76" w:rsidRDefault="007F6D1B" w:rsidP="007F6D1B">
      <w:pPr>
        <w:pStyle w:val="Textonotapie"/>
        <w:ind w:firstLine="709"/>
        <w:jc w:val="both"/>
        <w:rPr>
          <w:rFonts w:ascii="Arial" w:hAnsi="Arial" w:cs="Arial"/>
          <w:sz w:val="19"/>
          <w:szCs w:val="19"/>
        </w:rPr>
      </w:pPr>
      <w:r w:rsidRPr="00892E76">
        <w:rPr>
          <w:rFonts w:ascii="Arial" w:hAnsi="Arial" w:cs="Arial"/>
          <w:sz w:val="19"/>
          <w:szCs w:val="19"/>
        </w:rPr>
        <w:t>»</w:t>
      </w:r>
      <w:r w:rsidR="00B1271A" w:rsidRPr="00892E76">
        <w:rPr>
          <w:rFonts w:ascii="Arial" w:hAnsi="Arial" w:cs="Arial"/>
          <w:sz w:val="19"/>
          <w:szCs w:val="19"/>
        </w:rPr>
        <w:t>La mayor proporción se definirá en relación con el número total de trabajadores</w:t>
      </w:r>
      <w:r w:rsidRPr="00892E76">
        <w:rPr>
          <w:rFonts w:ascii="Arial" w:hAnsi="Arial" w:cs="Arial"/>
          <w:sz w:val="19"/>
          <w:szCs w:val="19"/>
        </w:rPr>
        <w:t xml:space="preserve"> </w:t>
      </w:r>
      <w:r w:rsidR="00B1271A" w:rsidRPr="00892E76">
        <w:rPr>
          <w:rFonts w:ascii="Arial" w:hAnsi="Arial" w:cs="Arial"/>
          <w:sz w:val="19"/>
          <w:szCs w:val="19"/>
        </w:rPr>
        <w:t>vinculados en la planta de</w:t>
      </w:r>
      <w:r w:rsidRPr="00892E76">
        <w:rPr>
          <w:rFonts w:ascii="Arial" w:hAnsi="Arial" w:cs="Arial"/>
          <w:sz w:val="19"/>
          <w:szCs w:val="19"/>
        </w:rPr>
        <w:t xml:space="preserve"> </w:t>
      </w:r>
      <w:r w:rsidR="00B1271A" w:rsidRPr="00892E76">
        <w:rPr>
          <w:rFonts w:ascii="Arial" w:hAnsi="Arial" w:cs="Arial"/>
          <w:sz w:val="19"/>
          <w:szCs w:val="19"/>
        </w:rPr>
        <w:t>personal, por lo que se preferirá al oferente que</w:t>
      </w:r>
      <w:r w:rsidRPr="00892E76">
        <w:rPr>
          <w:rFonts w:ascii="Arial" w:hAnsi="Arial" w:cs="Arial"/>
          <w:sz w:val="19"/>
          <w:szCs w:val="19"/>
        </w:rPr>
        <w:t xml:space="preserve"> </w:t>
      </w:r>
      <w:r w:rsidR="00B1271A" w:rsidRPr="00892E76">
        <w:rPr>
          <w:rFonts w:ascii="Arial" w:hAnsi="Arial" w:cs="Arial"/>
          <w:sz w:val="19"/>
          <w:szCs w:val="19"/>
        </w:rPr>
        <w:t>acredite un porcentaje mayor. En el caso de proponentes</w:t>
      </w:r>
      <w:r w:rsidRPr="00892E76">
        <w:rPr>
          <w:rFonts w:ascii="Arial" w:hAnsi="Arial" w:cs="Arial"/>
          <w:sz w:val="19"/>
          <w:szCs w:val="19"/>
        </w:rPr>
        <w:t xml:space="preserve"> </w:t>
      </w:r>
      <w:r w:rsidR="00B1271A" w:rsidRPr="00892E76">
        <w:rPr>
          <w:rFonts w:ascii="Arial" w:hAnsi="Arial" w:cs="Arial"/>
          <w:sz w:val="19"/>
          <w:szCs w:val="19"/>
        </w:rPr>
        <w:t>plurales, la mayor</w:t>
      </w:r>
      <w:r w:rsidR="00731DBE" w:rsidRPr="00892E76">
        <w:rPr>
          <w:rFonts w:ascii="Arial" w:hAnsi="Arial" w:cs="Arial"/>
          <w:sz w:val="19"/>
          <w:szCs w:val="19"/>
        </w:rPr>
        <w:t xml:space="preserve"> proporción se definirá con la sumatoria de trabajadores vinculados en la planta</w:t>
      </w:r>
      <w:r w:rsidRPr="00892E76">
        <w:rPr>
          <w:rFonts w:ascii="Arial" w:hAnsi="Arial" w:cs="Arial"/>
          <w:sz w:val="19"/>
          <w:szCs w:val="19"/>
        </w:rPr>
        <w:t xml:space="preserve"> </w:t>
      </w:r>
      <w:r w:rsidR="00731DBE" w:rsidRPr="00892E76">
        <w:rPr>
          <w:rFonts w:ascii="Arial" w:hAnsi="Arial" w:cs="Arial"/>
          <w:sz w:val="19"/>
          <w:szCs w:val="19"/>
        </w:rPr>
        <w:t>de personal de cada uno de sus integrantes</w:t>
      </w:r>
      <w:r w:rsidRPr="00892E76">
        <w:rPr>
          <w:rFonts w:ascii="Arial" w:hAnsi="Arial" w:cs="Arial"/>
          <w:sz w:val="19"/>
          <w:szCs w:val="19"/>
        </w:rPr>
        <w:t>»</w:t>
      </w:r>
      <w:r w:rsidR="00731DBE" w:rsidRPr="00892E76">
        <w:rPr>
          <w:rFonts w:ascii="Arial" w:hAnsi="Arial" w:cs="Arial"/>
          <w:sz w:val="19"/>
          <w:szCs w:val="19"/>
        </w:rPr>
        <w:t>.</w:t>
      </w:r>
    </w:p>
  </w:footnote>
  <w:footnote w:id="15">
    <w:p w14:paraId="0A51D688" w14:textId="77777777" w:rsidR="00A85290" w:rsidRPr="007F6D1B" w:rsidRDefault="00A85290"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Disponibles en: https://www.colombiacompra.gov.co/content/02-documentos-tipo-para-licitacion-de-obra-publica-de-infraestructura-de-transporte-version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0F22924"/>
    <w:multiLevelType w:val="hybridMultilevel"/>
    <w:tmpl w:val="09F0843A"/>
    <w:lvl w:ilvl="0" w:tplc="040A0001">
      <w:start w:val="1"/>
      <w:numFmt w:val="bullet"/>
      <w:lvlText w:val=""/>
      <w:lvlJc w:val="left"/>
      <w:pPr>
        <w:ind w:left="1429" w:hanging="360"/>
      </w:pPr>
      <w:rPr>
        <w:rFonts w:ascii="Symbol" w:hAnsi="Symbol" w:hint="default"/>
      </w:rPr>
    </w:lvl>
    <w:lvl w:ilvl="1" w:tplc="040A0003" w:tentative="1">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8"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9"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3"/>
  </w:num>
  <w:num w:numId="2">
    <w:abstractNumId w:val="11"/>
  </w:num>
  <w:num w:numId="3">
    <w:abstractNumId w:val="16"/>
  </w:num>
  <w:num w:numId="4">
    <w:abstractNumId w:val="19"/>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0"/>
  </w:num>
  <w:num w:numId="9">
    <w:abstractNumId w:val="5"/>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5"/>
  </w:num>
  <w:num w:numId="14">
    <w:abstractNumId w:val="10"/>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7"/>
  </w:num>
  <w:num w:numId="19">
    <w:abstractNumId w:val="4"/>
  </w:num>
  <w:num w:numId="20">
    <w:abstractNumId w:val="26"/>
  </w:num>
  <w:num w:numId="21">
    <w:abstractNumId w:val="18"/>
  </w:num>
  <w:num w:numId="22">
    <w:abstractNumId w:val="8"/>
  </w:num>
  <w:num w:numId="23">
    <w:abstractNumId w:val="6"/>
  </w:num>
  <w:num w:numId="24">
    <w:abstractNumId w:val="24"/>
  </w:num>
  <w:num w:numId="25">
    <w:abstractNumId w:val="20"/>
  </w:num>
  <w:num w:numId="26">
    <w:abstractNumId w:val="27"/>
  </w:num>
  <w:num w:numId="27">
    <w:abstractNumId w:val="9"/>
  </w:num>
  <w:num w:numId="28">
    <w:abstractNumId w:val="3"/>
  </w:num>
  <w:num w:numId="29">
    <w:abstractNumId w:val="2"/>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4"/>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556"/>
    <w:rsid w:val="00004E47"/>
    <w:rsid w:val="0000500B"/>
    <w:rsid w:val="000051AF"/>
    <w:rsid w:val="000059D3"/>
    <w:rsid w:val="00005B6D"/>
    <w:rsid w:val="00005FC5"/>
    <w:rsid w:val="0000600A"/>
    <w:rsid w:val="00006081"/>
    <w:rsid w:val="0000656F"/>
    <w:rsid w:val="000073C0"/>
    <w:rsid w:val="00007564"/>
    <w:rsid w:val="00007750"/>
    <w:rsid w:val="000077FD"/>
    <w:rsid w:val="00007E37"/>
    <w:rsid w:val="0001061E"/>
    <w:rsid w:val="00010C40"/>
    <w:rsid w:val="000112B4"/>
    <w:rsid w:val="0001193D"/>
    <w:rsid w:val="00011DCC"/>
    <w:rsid w:val="00012532"/>
    <w:rsid w:val="00012B0A"/>
    <w:rsid w:val="00012B9E"/>
    <w:rsid w:val="00012FBA"/>
    <w:rsid w:val="0001318A"/>
    <w:rsid w:val="0001334C"/>
    <w:rsid w:val="00013C6B"/>
    <w:rsid w:val="0001406B"/>
    <w:rsid w:val="000143F8"/>
    <w:rsid w:val="00014624"/>
    <w:rsid w:val="00014AA8"/>
    <w:rsid w:val="00014AC3"/>
    <w:rsid w:val="00015B44"/>
    <w:rsid w:val="00015CEE"/>
    <w:rsid w:val="00016081"/>
    <w:rsid w:val="000165AC"/>
    <w:rsid w:val="00016651"/>
    <w:rsid w:val="00016FE3"/>
    <w:rsid w:val="000171A2"/>
    <w:rsid w:val="000177F7"/>
    <w:rsid w:val="00017B65"/>
    <w:rsid w:val="00020158"/>
    <w:rsid w:val="000207E0"/>
    <w:rsid w:val="000209E2"/>
    <w:rsid w:val="00020F8F"/>
    <w:rsid w:val="00021A95"/>
    <w:rsid w:val="0002256F"/>
    <w:rsid w:val="00023746"/>
    <w:rsid w:val="00023DAE"/>
    <w:rsid w:val="00024896"/>
    <w:rsid w:val="00024DA6"/>
    <w:rsid w:val="00024E4E"/>
    <w:rsid w:val="00025217"/>
    <w:rsid w:val="00025254"/>
    <w:rsid w:val="00025D0A"/>
    <w:rsid w:val="000263F0"/>
    <w:rsid w:val="00026407"/>
    <w:rsid w:val="00026608"/>
    <w:rsid w:val="00026BBB"/>
    <w:rsid w:val="00027787"/>
    <w:rsid w:val="000278D2"/>
    <w:rsid w:val="0003095C"/>
    <w:rsid w:val="00030BD4"/>
    <w:rsid w:val="00031158"/>
    <w:rsid w:val="00031278"/>
    <w:rsid w:val="00031364"/>
    <w:rsid w:val="000314BD"/>
    <w:rsid w:val="000315E1"/>
    <w:rsid w:val="00031DD6"/>
    <w:rsid w:val="00031FF6"/>
    <w:rsid w:val="0003236E"/>
    <w:rsid w:val="0003339A"/>
    <w:rsid w:val="0003370C"/>
    <w:rsid w:val="000341F2"/>
    <w:rsid w:val="000343F8"/>
    <w:rsid w:val="00035046"/>
    <w:rsid w:val="000351F2"/>
    <w:rsid w:val="00036518"/>
    <w:rsid w:val="00036E03"/>
    <w:rsid w:val="000406DB"/>
    <w:rsid w:val="0004094D"/>
    <w:rsid w:val="00041029"/>
    <w:rsid w:val="0004149B"/>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11"/>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9CB"/>
    <w:rsid w:val="00066A59"/>
    <w:rsid w:val="00066E52"/>
    <w:rsid w:val="00070AF1"/>
    <w:rsid w:val="000714DE"/>
    <w:rsid w:val="00071E45"/>
    <w:rsid w:val="000724E3"/>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77CD9"/>
    <w:rsid w:val="00077E09"/>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5A"/>
    <w:rsid w:val="00084B97"/>
    <w:rsid w:val="00084F34"/>
    <w:rsid w:val="0008510E"/>
    <w:rsid w:val="000852D8"/>
    <w:rsid w:val="000856DE"/>
    <w:rsid w:val="00085F17"/>
    <w:rsid w:val="00085FB0"/>
    <w:rsid w:val="00085FB3"/>
    <w:rsid w:val="00086092"/>
    <w:rsid w:val="000866F8"/>
    <w:rsid w:val="0008686B"/>
    <w:rsid w:val="00086B2A"/>
    <w:rsid w:val="00086BD1"/>
    <w:rsid w:val="00086ED2"/>
    <w:rsid w:val="000874F7"/>
    <w:rsid w:val="00087C89"/>
    <w:rsid w:val="00090A6A"/>
    <w:rsid w:val="00091354"/>
    <w:rsid w:val="000914D6"/>
    <w:rsid w:val="00091569"/>
    <w:rsid w:val="000916DD"/>
    <w:rsid w:val="00092CDB"/>
    <w:rsid w:val="00092DCA"/>
    <w:rsid w:val="00093085"/>
    <w:rsid w:val="00093D14"/>
    <w:rsid w:val="000941AF"/>
    <w:rsid w:val="000942EB"/>
    <w:rsid w:val="00095B7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2D7B"/>
    <w:rsid w:val="000A362F"/>
    <w:rsid w:val="000A3B49"/>
    <w:rsid w:val="000A47E6"/>
    <w:rsid w:val="000A52C0"/>
    <w:rsid w:val="000A5AAF"/>
    <w:rsid w:val="000A5E0E"/>
    <w:rsid w:val="000A5F97"/>
    <w:rsid w:val="000A63A0"/>
    <w:rsid w:val="000A648E"/>
    <w:rsid w:val="000A6DAD"/>
    <w:rsid w:val="000A738A"/>
    <w:rsid w:val="000A73BB"/>
    <w:rsid w:val="000A7EF4"/>
    <w:rsid w:val="000B0A15"/>
    <w:rsid w:val="000B103F"/>
    <w:rsid w:val="000B1437"/>
    <w:rsid w:val="000B1470"/>
    <w:rsid w:val="000B244D"/>
    <w:rsid w:val="000B2570"/>
    <w:rsid w:val="000B27DC"/>
    <w:rsid w:val="000B2991"/>
    <w:rsid w:val="000B2B86"/>
    <w:rsid w:val="000B3051"/>
    <w:rsid w:val="000B419B"/>
    <w:rsid w:val="000B5781"/>
    <w:rsid w:val="000B5CB1"/>
    <w:rsid w:val="000B6C36"/>
    <w:rsid w:val="000B6D08"/>
    <w:rsid w:val="000C0185"/>
    <w:rsid w:val="000C0F81"/>
    <w:rsid w:val="000C128D"/>
    <w:rsid w:val="000C17A3"/>
    <w:rsid w:val="000C1D4B"/>
    <w:rsid w:val="000C1F42"/>
    <w:rsid w:val="000C2DC4"/>
    <w:rsid w:val="000C3260"/>
    <w:rsid w:val="000C3B77"/>
    <w:rsid w:val="000C3F6D"/>
    <w:rsid w:val="000C49D9"/>
    <w:rsid w:val="000C4B90"/>
    <w:rsid w:val="000C4D09"/>
    <w:rsid w:val="000C4EA0"/>
    <w:rsid w:val="000C4F49"/>
    <w:rsid w:val="000C5861"/>
    <w:rsid w:val="000C5BDE"/>
    <w:rsid w:val="000C5C4C"/>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299D"/>
    <w:rsid w:val="000D29EF"/>
    <w:rsid w:val="000D3282"/>
    <w:rsid w:val="000D3FDC"/>
    <w:rsid w:val="000D490B"/>
    <w:rsid w:val="000D4E38"/>
    <w:rsid w:val="000D4EBB"/>
    <w:rsid w:val="000D4EFA"/>
    <w:rsid w:val="000D50DB"/>
    <w:rsid w:val="000D5EF9"/>
    <w:rsid w:val="000D6288"/>
    <w:rsid w:val="000D6B5E"/>
    <w:rsid w:val="000D7541"/>
    <w:rsid w:val="000D75E1"/>
    <w:rsid w:val="000D79F4"/>
    <w:rsid w:val="000E047D"/>
    <w:rsid w:val="000E0519"/>
    <w:rsid w:val="000E056A"/>
    <w:rsid w:val="000E0D5A"/>
    <w:rsid w:val="000E22CF"/>
    <w:rsid w:val="000E2977"/>
    <w:rsid w:val="000E2CC0"/>
    <w:rsid w:val="000E30AC"/>
    <w:rsid w:val="000E3B46"/>
    <w:rsid w:val="000E3E11"/>
    <w:rsid w:val="000E40A7"/>
    <w:rsid w:val="000E4596"/>
    <w:rsid w:val="000E5768"/>
    <w:rsid w:val="000E5843"/>
    <w:rsid w:val="000E5E20"/>
    <w:rsid w:val="000E6139"/>
    <w:rsid w:val="000E6BE1"/>
    <w:rsid w:val="000E6E63"/>
    <w:rsid w:val="000E7DC5"/>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9E8"/>
    <w:rsid w:val="000F5D2E"/>
    <w:rsid w:val="000F6578"/>
    <w:rsid w:val="000F7BF3"/>
    <w:rsid w:val="000F7D1B"/>
    <w:rsid w:val="000F7E8F"/>
    <w:rsid w:val="000F7FBB"/>
    <w:rsid w:val="001000FB"/>
    <w:rsid w:val="00100A9E"/>
    <w:rsid w:val="00100F6A"/>
    <w:rsid w:val="001021F3"/>
    <w:rsid w:val="00102605"/>
    <w:rsid w:val="00102686"/>
    <w:rsid w:val="00102745"/>
    <w:rsid w:val="00103348"/>
    <w:rsid w:val="0010361C"/>
    <w:rsid w:val="00103795"/>
    <w:rsid w:val="00103915"/>
    <w:rsid w:val="00103EA0"/>
    <w:rsid w:val="00104F1C"/>
    <w:rsid w:val="001051E5"/>
    <w:rsid w:val="00105A74"/>
    <w:rsid w:val="00105AB9"/>
    <w:rsid w:val="00105ACB"/>
    <w:rsid w:val="00105AEF"/>
    <w:rsid w:val="00105FA3"/>
    <w:rsid w:val="00106259"/>
    <w:rsid w:val="00106783"/>
    <w:rsid w:val="001068EB"/>
    <w:rsid w:val="00106F30"/>
    <w:rsid w:val="00107328"/>
    <w:rsid w:val="001078CE"/>
    <w:rsid w:val="00107FBF"/>
    <w:rsid w:val="00110289"/>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003"/>
    <w:rsid w:val="00114049"/>
    <w:rsid w:val="00114631"/>
    <w:rsid w:val="00114A22"/>
    <w:rsid w:val="00114E9D"/>
    <w:rsid w:val="00115002"/>
    <w:rsid w:val="0011507B"/>
    <w:rsid w:val="0011627A"/>
    <w:rsid w:val="00116328"/>
    <w:rsid w:val="001163CF"/>
    <w:rsid w:val="001174C9"/>
    <w:rsid w:val="00117E69"/>
    <w:rsid w:val="00120409"/>
    <w:rsid w:val="001204D2"/>
    <w:rsid w:val="00120DA2"/>
    <w:rsid w:val="001210B5"/>
    <w:rsid w:val="00121103"/>
    <w:rsid w:val="001215B2"/>
    <w:rsid w:val="00121BAB"/>
    <w:rsid w:val="00121E3C"/>
    <w:rsid w:val="00122161"/>
    <w:rsid w:val="00122B23"/>
    <w:rsid w:val="00122B7E"/>
    <w:rsid w:val="00123FB5"/>
    <w:rsid w:val="0012400F"/>
    <w:rsid w:val="001249DC"/>
    <w:rsid w:val="0012572D"/>
    <w:rsid w:val="00125BED"/>
    <w:rsid w:val="00125C59"/>
    <w:rsid w:val="00125D4F"/>
    <w:rsid w:val="00125DDE"/>
    <w:rsid w:val="001266DB"/>
    <w:rsid w:val="00127004"/>
    <w:rsid w:val="00127AF2"/>
    <w:rsid w:val="00127DCB"/>
    <w:rsid w:val="00127EDC"/>
    <w:rsid w:val="00127F6D"/>
    <w:rsid w:val="00127FF6"/>
    <w:rsid w:val="00130355"/>
    <w:rsid w:val="00130365"/>
    <w:rsid w:val="0013158E"/>
    <w:rsid w:val="0013182D"/>
    <w:rsid w:val="00131B5A"/>
    <w:rsid w:val="00131CA8"/>
    <w:rsid w:val="0013237B"/>
    <w:rsid w:val="00132C30"/>
    <w:rsid w:val="00132EFD"/>
    <w:rsid w:val="00133AED"/>
    <w:rsid w:val="00134E09"/>
    <w:rsid w:val="00134E7E"/>
    <w:rsid w:val="00135DB9"/>
    <w:rsid w:val="001360C5"/>
    <w:rsid w:val="00136394"/>
    <w:rsid w:val="0013695C"/>
    <w:rsid w:val="00136BF7"/>
    <w:rsid w:val="001378B9"/>
    <w:rsid w:val="00137FFA"/>
    <w:rsid w:val="00140109"/>
    <w:rsid w:val="00140157"/>
    <w:rsid w:val="0014029B"/>
    <w:rsid w:val="00140464"/>
    <w:rsid w:val="0014049C"/>
    <w:rsid w:val="001407A1"/>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53E"/>
    <w:rsid w:val="00150795"/>
    <w:rsid w:val="001518D7"/>
    <w:rsid w:val="00151AEB"/>
    <w:rsid w:val="00151B99"/>
    <w:rsid w:val="00151C1E"/>
    <w:rsid w:val="001521B2"/>
    <w:rsid w:val="00152EDD"/>
    <w:rsid w:val="00153451"/>
    <w:rsid w:val="00153491"/>
    <w:rsid w:val="0015361C"/>
    <w:rsid w:val="001536A6"/>
    <w:rsid w:val="0015372F"/>
    <w:rsid w:val="00153BFB"/>
    <w:rsid w:val="0015407E"/>
    <w:rsid w:val="0015448E"/>
    <w:rsid w:val="00154A6F"/>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7F50"/>
    <w:rsid w:val="001802FE"/>
    <w:rsid w:val="001802FF"/>
    <w:rsid w:val="001805C1"/>
    <w:rsid w:val="001807AC"/>
    <w:rsid w:val="001807B6"/>
    <w:rsid w:val="00180A2E"/>
    <w:rsid w:val="0018107C"/>
    <w:rsid w:val="001813AF"/>
    <w:rsid w:val="001829CD"/>
    <w:rsid w:val="00182BC4"/>
    <w:rsid w:val="00182F01"/>
    <w:rsid w:val="00183CAA"/>
    <w:rsid w:val="00183FCD"/>
    <w:rsid w:val="00184BDF"/>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199"/>
    <w:rsid w:val="00194335"/>
    <w:rsid w:val="001946AE"/>
    <w:rsid w:val="001946D5"/>
    <w:rsid w:val="00194804"/>
    <w:rsid w:val="00194DE7"/>
    <w:rsid w:val="00194E8C"/>
    <w:rsid w:val="00195B49"/>
    <w:rsid w:val="00195C5F"/>
    <w:rsid w:val="001962EC"/>
    <w:rsid w:val="0019638E"/>
    <w:rsid w:val="001963DD"/>
    <w:rsid w:val="001965DB"/>
    <w:rsid w:val="00196D01"/>
    <w:rsid w:val="00196DC9"/>
    <w:rsid w:val="00196E95"/>
    <w:rsid w:val="00196FB6"/>
    <w:rsid w:val="00197CF9"/>
    <w:rsid w:val="001A0236"/>
    <w:rsid w:val="001A0427"/>
    <w:rsid w:val="001A0930"/>
    <w:rsid w:val="001A0A2A"/>
    <w:rsid w:val="001A0AF8"/>
    <w:rsid w:val="001A15B9"/>
    <w:rsid w:val="001A18D5"/>
    <w:rsid w:val="001A19BA"/>
    <w:rsid w:val="001A1A38"/>
    <w:rsid w:val="001A1BE0"/>
    <w:rsid w:val="001A1D4A"/>
    <w:rsid w:val="001A3011"/>
    <w:rsid w:val="001A32CA"/>
    <w:rsid w:val="001A4331"/>
    <w:rsid w:val="001A476E"/>
    <w:rsid w:val="001A4A9B"/>
    <w:rsid w:val="001A4DAF"/>
    <w:rsid w:val="001A54CD"/>
    <w:rsid w:val="001A66DF"/>
    <w:rsid w:val="001A67D0"/>
    <w:rsid w:val="001A6863"/>
    <w:rsid w:val="001A7109"/>
    <w:rsid w:val="001A7591"/>
    <w:rsid w:val="001A75B1"/>
    <w:rsid w:val="001A7AA9"/>
    <w:rsid w:val="001A7B06"/>
    <w:rsid w:val="001B0268"/>
    <w:rsid w:val="001B0366"/>
    <w:rsid w:val="001B0444"/>
    <w:rsid w:val="001B096B"/>
    <w:rsid w:val="001B0F9F"/>
    <w:rsid w:val="001B0FAA"/>
    <w:rsid w:val="001B123C"/>
    <w:rsid w:val="001B129B"/>
    <w:rsid w:val="001B1A0D"/>
    <w:rsid w:val="001B1BF1"/>
    <w:rsid w:val="001B1C97"/>
    <w:rsid w:val="001B2456"/>
    <w:rsid w:val="001B246B"/>
    <w:rsid w:val="001B255B"/>
    <w:rsid w:val="001B449C"/>
    <w:rsid w:val="001B4AA2"/>
    <w:rsid w:val="001B4ADE"/>
    <w:rsid w:val="001B4C14"/>
    <w:rsid w:val="001B5EF8"/>
    <w:rsid w:val="001B615D"/>
    <w:rsid w:val="001B63A1"/>
    <w:rsid w:val="001C07C6"/>
    <w:rsid w:val="001C19CD"/>
    <w:rsid w:val="001C22D5"/>
    <w:rsid w:val="001C2394"/>
    <w:rsid w:val="001C2515"/>
    <w:rsid w:val="001C26FB"/>
    <w:rsid w:val="001C2BE4"/>
    <w:rsid w:val="001C33C1"/>
    <w:rsid w:val="001C3B31"/>
    <w:rsid w:val="001C3E30"/>
    <w:rsid w:val="001C3E5C"/>
    <w:rsid w:val="001C5072"/>
    <w:rsid w:val="001C5B2A"/>
    <w:rsid w:val="001C600B"/>
    <w:rsid w:val="001C6898"/>
    <w:rsid w:val="001C6DD8"/>
    <w:rsid w:val="001C6DFF"/>
    <w:rsid w:val="001C7C7B"/>
    <w:rsid w:val="001D068D"/>
    <w:rsid w:val="001D0BDE"/>
    <w:rsid w:val="001D0D77"/>
    <w:rsid w:val="001D0E93"/>
    <w:rsid w:val="001D0EC9"/>
    <w:rsid w:val="001D1014"/>
    <w:rsid w:val="001D12D1"/>
    <w:rsid w:val="001D1435"/>
    <w:rsid w:val="001D15DF"/>
    <w:rsid w:val="001D30F3"/>
    <w:rsid w:val="001D31A0"/>
    <w:rsid w:val="001D338E"/>
    <w:rsid w:val="001D3EAE"/>
    <w:rsid w:val="001D4F13"/>
    <w:rsid w:val="001D56E9"/>
    <w:rsid w:val="001D5922"/>
    <w:rsid w:val="001D5EE1"/>
    <w:rsid w:val="001D653E"/>
    <w:rsid w:val="001D6CDD"/>
    <w:rsid w:val="001D718C"/>
    <w:rsid w:val="001D796A"/>
    <w:rsid w:val="001D7A16"/>
    <w:rsid w:val="001D7A84"/>
    <w:rsid w:val="001D7C79"/>
    <w:rsid w:val="001E003B"/>
    <w:rsid w:val="001E1050"/>
    <w:rsid w:val="001E12FF"/>
    <w:rsid w:val="001E1CC4"/>
    <w:rsid w:val="001E1D38"/>
    <w:rsid w:val="001E28A0"/>
    <w:rsid w:val="001E2ECF"/>
    <w:rsid w:val="001E36BB"/>
    <w:rsid w:val="001E3F3C"/>
    <w:rsid w:val="001E4258"/>
    <w:rsid w:val="001E44EA"/>
    <w:rsid w:val="001E5AEF"/>
    <w:rsid w:val="001E5B65"/>
    <w:rsid w:val="001E5D6A"/>
    <w:rsid w:val="001E6A94"/>
    <w:rsid w:val="001E70FB"/>
    <w:rsid w:val="001E780A"/>
    <w:rsid w:val="001F0FA0"/>
    <w:rsid w:val="001F1349"/>
    <w:rsid w:val="001F1863"/>
    <w:rsid w:val="001F2356"/>
    <w:rsid w:val="001F25CA"/>
    <w:rsid w:val="001F2A68"/>
    <w:rsid w:val="001F2F56"/>
    <w:rsid w:val="001F3E63"/>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090E"/>
    <w:rsid w:val="002110EB"/>
    <w:rsid w:val="00211338"/>
    <w:rsid w:val="00211388"/>
    <w:rsid w:val="0021148C"/>
    <w:rsid w:val="00211694"/>
    <w:rsid w:val="0021201A"/>
    <w:rsid w:val="00212DBE"/>
    <w:rsid w:val="002138FE"/>
    <w:rsid w:val="00213A1F"/>
    <w:rsid w:val="00213C63"/>
    <w:rsid w:val="00214502"/>
    <w:rsid w:val="00214741"/>
    <w:rsid w:val="00214BB7"/>
    <w:rsid w:val="0021539A"/>
    <w:rsid w:val="00215852"/>
    <w:rsid w:val="00215B8E"/>
    <w:rsid w:val="00216264"/>
    <w:rsid w:val="002176B6"/>
    <w:rsid w:val="0021792D"/>
    <w:rsid w:val="00217DB8"/>
    <w:rsid w:val="002202CE"/>
    <w:rsid w:val="0022032A"/>
    <w:rsid w:val="00221095"/>
    <w:rsid w:val="00221715"/>
    <w:rsid w:val="0022194E"/>
    <w:rsid w:val="002220B1"/>
    <w:rsid w:val="002221CE"/>
    <w:rsid w:val="00222BE8"/>
    <w:rsid w:val="00223102"/>
    <w:rsid w:val="002232CB"/>
    <w:rsid w:val="00224022"/>
    <w:rsid w:val="00224A66"/>
    <w:rsid w:val="00226055"/>
    <w:rsid w:val="0022613F"/>
    <w:rsid w:val="00226236"/>
    <w:rsid w:val="002269B2"/>
    <w:rsid w:val="002270C9"/>
    <w:rsid w:val="00227427"/>
    <w:rsid w:val="002274AD"/>
    <w:rsid w:val="00227A41"/>
    <w:rsid w:val="00227A8B"/>
    <w:rsid w:val="0023146B"/>
    <w:rsid w:val="00231548"/>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63AC"/>
    <w:rsid w:val="00236F9B"/>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33AE"/>
    <w:rsid w:val="00244058"/>
    <w:rsid w:val="00244868"/>
    <w:rsid w:val="0024489B"/>
    <w:rsid w:val="002450F5"/>
    <w:rsid w:val="00245718"/>
    <w:rsid w:val="00245E07"/>
    <w:rsid w:val="00245E42"/>
    <w:rsid w:val="00246AEC"/>
    <w:rsid w:val="00246D2A"/>
    <w:rsid w:val="00247712"/>
    <w:rsid w:val="00247874"/>
    <w:rsid w:val="00247F95"/>
    <w:rsid w:val="002500ED"/>
    <w:rsid w:val="00250EC6"/>
    <w:rsid w:val="002515C7"/>
    <w:rsid w:val="00251866"/>
    <w:rsid w:val="00251A9F"/>
    <w:rsid w:val="002522CE"/>
    <w:rsid w:val="00252492"/>
    <w:rsid w:val="00252B35"/>
    <w:rsid w:val="00252EED"/>
    <w:rsid w:val="0025316D"/>
    <w:rsid w:val="00253951"/>
    <w:rsid w:val="00253A02"/>
    <w:rsid w:val="00253B81"/>
    <w:rsid w:val="00254292"/>
    <w:rsid w:val="002554DE"/>
    <w:rsid w:val="00255575"/>
    <w:rsid w:val="00255E11"/>
    <w:rsid w:val="00256835"/>
    <w:rsid w:val="002569F0"/>
    <w:rsid w:val="00256E1A"/>
    <w:rsid w:val="00256E30"/>
    <w:rsid w:val="00256ECF"/>
    <w:rsid w:val="002573FB"/>
    <w:rsid w:val="00257730"/>
    <w:rsid w:val="00257999"/>
    <w:rsid w:val="002604AA"/>
    <w:rsid w:val="00260AF8"/>
    <w:rsid w:val="00260C7E"/>
    <w:rsid w:val="0026129B"/>
    <w:rsid w:val="002612D5"/>
    <w:rsid w:val="00261560"/>
    <w:rsid w:val="00261715"/>
    <w:rsid w:val="00261CF9"/>
    <w:rsid w:val="00261EC0"/>
    <w:rsid w:val="0026231B"/>
    <w:rsid w:val="002625AF"/>
    <w:rsid w:val="00262881"/>
    <w:rsid w:val="00263101"/>
    <w:rsid w:val="002631D1"/>
    <w:rsid w:val="00263201"/>
    <w:rsid w:val="00263224"/>
    <w:rsid w:val="002634CA"/>
    <w:rsid w:val="00263A37"/>
    <w:rsid w:val="0026478A"/>
    <w:rsid w:val="0026480D"/>
    <w:rsid w:val="002653A6"/>
    <w:rsid w:val="00265D28"/>
    <w:rsid w:val="002661F1"/>
    <w:rsid w:val="00266AC9"/>
    <w:rsid w:val="00266DB6"/>
    <w:rsid w:val="002674E8"/>
    <w:rsid w:val="002706A0"/>
    <w:rsid w:val="00270802"/>
    <w:rsid w:val="002711A4"/>
    <w:rsid w:val="00271CD3"/>
    <w:rsid w:val="00271ECB"/>
    <w:rsid w:val="00271F13"/>
    <w:rsid w:val="0027278E"/>
    <w:rsid w:val="00273F2E"/>
    <w:rsid w:val="0027482E"/>
    <w:rsid w:val="00274842"/>
    <w:rsid w:val="00274DB5"/>
    <w:rsid w:val="00275423"/>
    <w:rsid w:val="00275BB1"/>
    <w:rsid w:val="00275C6F"/>
    <w:rsid w:val="002778FC"/>
    <w:rsid w:val="00277933"/>
    <w:rsid w:val="00277AB7"/>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7C"/>
    <w:rsid w:val="00285E33"/>
    <w:rsid w:val="0028663B"/>
    <w:rsid w:val="00286878"/>
    <w:rsid w:val="00286CEC"/>
    <w:rsid w:val="002870F9"/>
    <w:rsid w:val="002871A9"/>
    <w:rsid w:val="00287505"/>
    <w:rsid w:val="00287D71"/>
    <w:rsid w:val="002900C0"/>
    <w:rsid w:val="002905EF"/>
    <w:rsid w:val="00290781"/>
    <w:rsid w:val="00291608"/>
    <w:rsid w:val="00291784"/>
    <w:rsid w:val="002920DF"/>
    <w:rsid w:val="0029273C"/>
    <w:rsid w:val="002929BB"/>
    <w:rsid w:val="002940A1"/>
    <w:rsid w:val="00294368"/>
    <w:rsid w:val="00294514"/>
    <w:rsid w:val="00294B78"/>
    <w:rsid w:val="00295416"/>
    <w:rsid w:val="00295949"/>
    <w:rsid w:val="00295BAA"/>
    <w:rsid w:val="00296059"/>
    <w:rsid w:val="0029624A"/>
    <w:rsid w:val="00296922"/>
    <w:rsid w:val="00297098"/>
    <w:rsid w:val="0029717F"/>
    <w:rsid w:val="002A0512"/>
    <w:rsid w:val="002A05D4"/>
    <w:rsid w:val="002A06DB"/>
    <w:rsid w:val="002A09FF"/>
    <w:rsid w:val="002A0E60"/>
    <w:rsid w:val="002A1A58"/>
    <w:rsid w:val="002A1B02"/>
    <w:rsid w:val="002A1C53"/>
    <w:rsid w:val="002A233C"/>
    <w:rsid w:val="002A244B"/>
    <w:rsid w:val="002A28FC"/>
    <w:rsid w:val="002A2B44"/>
    <w:rsid w:val="002A2D8E"/>
    <w:rsid w:val="002A2EA5"/>
    <w:rsid w:val="002A3D94"/>
    <w:rsid w:val="002A4736"/>
    <w:rsid w:val="002A4A93"/>
    <w:rsid w:val="002A4B1C"/>
    <w:rsid w:val="002A4E9D"/>
    <w:rsid w:val="002A55FE"/>
    <w:rsid w:val="002A6AFB"/>
    <w:rsid w:val="002A733D"/>
    <w:rsid w:val="002A774A"/>
    <w:rsid w:val="002A78F3"/>
    <w:rsid w:val="002A7E5C"/>
    <w:rsid w:val="002A7F6D"/>
    <w:rsid w:val="002B0AB4"/>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B7E7D"/>
    <w:rsid w:val="002C1C10"/>
    <w:rsid w:val="002C24B4"/>
    <w:rsid w:val="002C2629"/>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332"/>
    <w:rsid w:val="002D65BC"/>
    <w:rsid w:val="002D6960"/>
    <w:rsid w:val="002D6A45"/>
    <w:rsid w:val="002D7FBB"/>
    <w:rsid w:val="002E002E"/>
    <w:rsid w:val="002E055C"/>
    <w:rsid w:val="002E0774"/>
    <w:rsid w:val="002E1050"/>
    <w:rsid w:val="002E107E"/>
    <w:rsid w:val="002E18E5"/>
    <w:rsid w:val="002E1953"/>
    <w:rsid w:val="002E1F57"/>
    <w:rsid w:val="002E2CB5"/>
    <w:rsid w:val="002E2D7D"/>
    <w:rsid w:val="002E2F06"/>
    <w:rsid w:val="002E32D0"/>
    <w:rsid w:val="002E372E"/>
    <w:rsid w:val="002E3B33"/>
    <w:rsid w:val="002E3D76"/>
    <w:rsid w:val="002E40A1"/>
    <w:rsid w:val="002E4857"/>
    <w:rsid w:val="002E48EC"/>
    <w:rsid w:val="002E4B44"/>
    <w:rsid w:val="002E4ECB"/>
    <w:rsid w:val="002E4EF3"/>
    <w:rsid w:val="002E4F23"/>
    <w:rsid w:val="002E635A"/>
    <w:rsid w:val="002E6686"/>
    <w:rsid w:val="002E6D68"/>
    <w:rsid w:val="002E6FF3"/>
    <w:rsid w:val="002E72AB"/>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3D33"/>
    <w:rsid w:val="002F3D4D"/>
    <w:rsid w:val="002F45F6"/>
    <w:rsid w:val="002F4B0A"/>
    <w:rsid w:val="002F4D3A"/>
    <w:rsid w:val="002F5A6F"/>
    <w:rsid w:val="002F692F"/>
    <w:rsid w:val="002F6E84"/>
    <w:rsid w:val="002F7B66"/>
    <w:rsid w:val="00300CB4"/>
    <w:rsid w:val="00300E24"/>
    <w:rsid w:val="00301290"/>
    <w:rsid w:val="00303333"/>
    <w:rsid w:val="003033BA"/>
    <w:rsid w:val="00303692"/>
    <w:rsid w:val="00303771"/>
    <w:rsid w:val="003039A9"/>
    <w:rsid w:val="00303BAF"/>
    <w:rsid w:val="00303C19"/>
    <w:rsid w:val="003043A3"/>
    <w:rsid w:val="003044AA"/>
    <w:rsid w:val="00304BD4"/>
    <w:rsid w:val="0030500A"/>
    <w:rsid w:val="003052EB"/>
    <w:rsid w:val="003056D2"/>
    <w:rsid w:val="00305CBF"/>
    <w:rsid w:val="00305FCB"/>
    <w:rsid w:val="003063C3"/>
    <w:rsid w:val="0030689D"/>
    <w:rsid w:val="0030691E"/>
    <w:rsid w:val="003069DC"/>
    <w:rsid w:val="00306B44"/>
    <w:rsid w:val="00307B79"/>
    <w:rsid w:val="00307BE8"/>
    <w:rsid w:val="00307C44"/>
    <w:rsid w:val="00307ED9"/>
    <w:rsid w:val="0031088E"/>
    <w:rsid w:val="00310D01"/>
    <w:rsid w:val="00311376"/>
    <w:rsid w:val="00311A1F"/>
    <w:rsid w:val="00311B47"/>
    <w:rsid w:val="00311D52"/>
    <w:rsid w:val="00311EE7"/>
    <w:rsid w:val="00312015"/>
    <w:rsid w:val="0031208F"/>
    <w:rsid w:val="00312190"/>
    <w:rsid w:val="00312368"/>
    <w:rsid w:val="003125E0"/>
    <w:rsid w:val="0031271D"/>
    <w:rsid w:val="003129FB"/>
    <w:rsid w:val="003132BB"/>
    <w:rsid w:val="00313337"/>
    <w:rsid w:val="00313447"/>
    <w:rsid w:val="00313748"/>
    <w:rsid w:val="00313CE3"/>
    <w:rsid w:val="00313EA3"/>
    <w:rsid w:val="00315365"/>
    <w:rsid w:val="00315457"/>
    <w:rsid w:val="00315678"/>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0E8"/>
    <w:rsid w:val="0032682A"/>
    <w:rsid w:val="00326927"/>
    <w:rsid w:val="00327172"/>
    <w:rsid w:val="00327A5C"/>
    <w:rsid w:val="0033092C"/>
    <w:rsid w:val="0033122A"/>
    <w:rsid w:val="0033134D"/>
    <w:rsid w:val="003315AC"/>
    <w:rsid w:val="00331932"/>
    <w:rsid w:val="00332382"/>
    <w:rsid w:val="00332453"/>
    <w:rsid w:val="0033251B"/>
    <w:rsid w:val="00332932"/>
    <w:rsid w:val="00332E7C"/>
    <w:rsid w:val="00332F8C"/>
    <w:rsid w:val="00332FCC"/>
    <w:rsid w:val="00333196"/>
    <w:rsid w:val="00333A88"/>
    <w:rsid w:val="00335B15"/>
    <w:rsid w:val="00335B21"/>
    <w:rsid w:val="00335D3F"/>
    <w:rsid w:val="00336104"/>
    <w:rsid w:val="00336155"/>
    <w:rsid w:val="003364C1"/>
    <w:rsid w:val="00336729"/>
    <w:rsid w:val="0033726D"/>
    <w:rsid w:val="00337A59"/>
    <w:rsid w:val="00337CA8"/>
    <w:rsid w:val="00340D3F"/>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5B7"/>
    <w:rsid w:val="0034778E"/>
    <w:rsid w:val="00347A5A"/>
    <w:rsid w:val="003501E2"/>
    <w:rsid w:val="00350799"/>
    <w:rsid w:val="0035087D"/>
    <w:rsid w:val="0035140D"/>
    <w:rsid w:val="00351E10"/>
    <w:rsid w:val="003528F1"/>
    <w:rsid w:val="00352A71"/>
    <w:rsid w:val="003533F4"/>
    <w:rsid w:val="003536F6"/>
    <w:rsid w:val="00353765"/>
    <w:rsid w:val="0035388E"/>
    <w:rsid w:val="00353DD5"/>
    <w:rsid w:val="00355131"/>
    <w:rsid w:val="00355AEB"/>
    <w:rsid w:val="00355C52"/>
    <w:rsid w:val="00355F74"/>
    <w:rsid w:val="003560DB"/>
    <w:rsid w:val="003564DB"/>
    <w:rsid w:val="00356A69"/>
    <w:rsid w:val="00356CD9"/>
    <w:rsid w:val="00356F87"/>
    <w:rsid w:val="00357DFE"/>
    <w:rsid w:val="00360CF3"/>
    <w:rsid w:val="00361A59"/>
    <w:rsid w:val="00363348"/>
    <w:rsid w:val="0036366B"/>
    <w:rsid w:val="00363857"/>
    <w:rsid w:val="00363D59"/>
    <w:rsid w:val="003640F7"/>
    <w:rsid w:val="00364315"/>
    <w:rsid w:val="00365D3A"/>
    <w:rsid w:val="00366314"/>
    <w:rsid w:val="003663C3"/>
    <w:rsid w:val="003664FF"/>
    <w:rsid w:val="00366BD2"/>
    <w:rsid w:val="003670B8"/>
    <w:rsid w:val="00367519"/>
    <w:rsid w:val="00367A7A"/>
    <w:rsid w:val="00370488"/>
    <w:rsid w:val="003704A3"/>
    <w:rsid w:val="003706F2"/>
    <w:rsid w:val="0037124F"/>
    <w:rsid w:val="00371840"/>
    <w:rsid w:val="00371A1B"/>
    <w:rsid w:val="003722A9"/>
    <w:rsid w:val="003722B3"/>
    <w:rsid w:val="003724CE"/>
    <w:rsid w:val="0037252E"/>
    <w:rsid w:val="00372FC3"/>
    <w:rsid w:val="003731E4"/>
    <w:rsid w:val="0037379B"/>
    <w:rsid w:val="00373827"/>
    <w:rsid w:val="003738A4"/>
    <w:rsid w:val="0037401C"/>
    <w:rsid w:val="00374533"/>
    <w:rsid w:val="00374601"/>
    <w:rsid w:val="00374D49"/>
    <w:rsid w:val="00374E69"/>
    <w:rsid w:val="0037507B"/>
    <w:rsid w:val="00375179"/>
    <w:rsid w:val="00375627"/>
    <w:rsid w:val="003758A7"/>
    <w:rsid w:val="00375AC1"/>
    <w:rsid w:val="00375C7C"/>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3695"/>
    <w:rsid w:val="00383BBC"/>
    <w:rsid w:val="00384BA6"/>
    <w:rsid w:val="00384DF1"/>
    <w:rsid w:val="00384FF3"/>
    <w:rsid w:val="0038512F"/>
    <w:rsid w:val="00385BC4"/>
    <w:rsid w:val="00385CB6"/>
    <w:rsid w:val="00386456"/>
    <w:rsid w:val="003865A9"/>
    <w:rsid w:val="0039092B"/>
    <w:rsid w:val="00390DB1"/>
    <w:rsid w:val="00390F32"/>
    <w:rsid w:val="0039135E"/>
    <w:rsid w:val="00391644"/>
    <w:rsid w:val="003916BF"/>
    <w:rsid w:val="00392F33"/>
    <w:rsid w:val="00393173"/>
    <w:rsid w:val="0039319C"/>
    <w:rsid w:val="00393577"/>
    <w:rsid w:val="00393CAE"/>
    <w:rsid w:val="00394194"/>
    <w:rsid w:val="0039458A"/>
    <w:rsid w:val="003945F4"/>
    <w:rsid w:val="00394849"/>
    <w:rsid w:val="00394EB5"/>
    <w:rsid w:val="00394F19"/>
    <w:rsid w:val="003953B4"/>
    <w:rsid w:val="0039615F"/>
    <w:rsid w:val="00396280"/>
    <w:rsid w:val="003966A0"/>
    <w:rsid w:val="00396A29"/>
    <w:rsid w:val="00396A6C"/>
    <w:rsid w:val="00397FF0"/>
    <w:rsid w:val="003A0878"/>
    <w:rsid w:val="003A1561"/>
    <w:rsid w:val="003A166B"/>
    <w:rsid w:val="003A196E"/>
    <w:rsid w:val="003A1D25"/>
    <w:rsid w:val="003A204F"/>
    <w:rsid w:val="003A22A2"/>
    <w:rsid w:val="003A2447"/>
    <w:rsid w:val="003A2632"/>
    <w:rsid w:val="003A2AA1"/>
    <w:rsid w:val="003A2E9D"/>
    <w:rsid w:val="003A31A5"/>
    <w:rsid w:val="003A329A"/>
    <w:rsid w:val="003A3491"/>
    <w:rsid w:val="003A3603"/>
    <w:rsid w:val="003A3851"/>
    <w:rsid w:val="003A39DD"/>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3DF0"/>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21C1"/>
    <w:rsid w:val="003D3B15"/>
    <w:rsid w:val="003D3B2E"/>
    <w:rsid w:val="003D3D44"/>
    <w:rsid w:val="003D4101"/>
    <w:rsid w:val="003D484D"/>
    <w:rsid w:val="003D49CB"/>
    <w:rsid w:val="003D58ED"/>
    <w:rsid w:val="003D6937"/>
    <w:rsid w:val="003D6B8F"/>
    <w:rsid w:val="003D6DE0"/>
    <w:rsid w:val="003D7566"/>
    <w:rsid w:val="003D7836"/>
    <w:rsid w:val="003D7AD9"/>
    <w:rsid w:val="003D7FB3"/>
    <w:rsid w:val="003E0224"/>
    <w:rsid w:val="003E09BB"/>
    <w:rsid w:val="003E0D76"/>
    <w:rsid w:val="003E159D"/>
    <w:rsid w:val="003E198A"/>
    <w:rsid w:val="003E20EA"/>
    <w:rsid w:val="003E210C"/>
    <w:rsid w:val="003E284B"/>
    <w:rsid w:val="003E290D"/>
    <w:rsid w:val="003E2A8F"/>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B32"/>
    <w:rsid w:val="003F4B90"/>
    <w:rsid w:val="003F4F6C"/>
    <w:rsid w:val="003F559E"/>
    <w:rsid w:val="003F6181"/>
    <w:rsid w:val="003F6BFC"/>
    <w:rsid w:val="003F7191"/>
    <w:rsid w:val="003F7343"/>
    <w:rsid w:val="003F77C5"/>
    <w:rsid w:val="003F7E51"/>
    <w:rsid w:val="00400002"/>
    <w:rsid w:val="00400054"/>
    <w:rsid w:val="0040025E"/>
    <w:rsid w:val="004016A3"/>
    <w:rsid w:val="00401B31"/>
    <w:rsid w:val="0040202B"/>
    <w:rsid w:val="0040279A"/>
    <w:rsid w:val="00402DE1"/>
    <w:rsid w:val="00402EEB"/>
    <w:rsid w:val="004037C2"/>
    <w:rsid w:val="00403DF5"/>
    <w:rsid w:val="00404041"/>
    <w:rsid w:val="004047DF"/>
    <w:rsid w:val="00404B43"/>
    <w:rsid w:val="00404BB0"/>
    <w:rsid w:val="00404C61"/>
    <w:rsid w:val="00405487"/>
    <w:rsid w:val="0040576E"/>
    <w:rsid w:val="00405B8A"/>
    <w:rsid w:val="00405CE5"/>
    <w:rsid w:val="0040602B"/>
    <w:rsid w:val="004064D7"/>
    <w:rsid w:val="00406DF5"/>
    <w:rsid w:val="00406F35"/>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DC6"/>
    <w:rsid w:val="00413FFA"/>
    <w:rsid w:val="00414229"/>
    <w:rsid w:val="00414246"/>
    <w:rsid w:val="004147A0"/>
    <w:rsid w:val="00414D9A"/>
    <w:rsid w:val="00415194"/>
    <w:rsid w:val="00415393"/>
    <w:rsid w:val="00415816"/>
    <w:rsid w:val="00415B88"/>
    <w:rsid w:val="00415D32"/>
    <w:rsid w:val="004160A2"/>
    <w:rsid w:val="00416A15"/>
    <w:rsid w:val="00416CB0"/>
    <w:rsid w:val="004170D7"/>
    <w:rsid w:val="004177A6"/>
    <w:rsid w:val="00417C23"/>
    <w:rsid w:val="00417EFD"/>
    <w:rsid w:val="0042002B"/>
    <w:rsid w:val="004200EE"/>
    <w:rsid w:val="004209D2"/>
    <w:rsid w:val="00420D6E"/>
    <w:rsid w:val="0042158C"/>
    <w:rsid w:val="004215F7"/>
    <w:rsid w:val="00421BD2"/>
    <w:rsid w:val="00421E00"/>
    <w:rsid w:val="00421FCB"/>
    <w:rsid w:val="00422029"/>
    <w:rsid w:val="0042260E"/>
    <w:rsid w:val="0042288C"/>
    <w:rsid w:val="00422DCA"/>
    <w:rsid w:val="00423562"/>
    <w:rsid w:val="004236BF"/>
    <w:rsid w:val="00423BE1"/>
    <w:rsid w:val="00423F9F"/>
    <w:rsid w:val="00424AB2"/>
    <w:rsid w:val="00424E3A"/>
    <w:rsid w:val="004254D2"/>
    <w:rsid w:val="00425C43"/>
    <w:rsid w:val="00426149"/>
    <w:rsid w:val="00426384"/>
    <w:rsid w:val="004273FA"/>
    <w:rsid w:val="004275A7"/>
    <w:rsid w:val="004278E1"/>
    <w:rsid w:val="0043014F"/>
    <w:rsid w:val="00430186"/>
    <w:rsid w:val="00430682"/>
    <w:rsid w:val="00431017"/>
    <w:rsid w:val="00431C0B"/>
    <w:rsid w:val="00431EBD"/>
    <w:rsid w:val="0043269A"/>
    <w:rsid w:val="00432A42"/>
    <w:rsid w:val="00432E89"/>
    <w:rsid w:val="004333C2"/>
    <w:rsid w:val="0043448A"/>
    <w:rsid w:val="00434787"/>
    <w:rsid w:val="00434C13"/>
    <w:rsid w:val="00434C2C"/>
    <w:rsid w:val="004351CF"/>
    <w:rsid w:val="0043550E"/>
    <w:rsid w:val="0043570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58F"/>
    <w:rsid w:val="0044374D"/>
    <w:rsid w:val="00443B55"/>
    <w:rsid w:val="00443D27"/>
    <w:rsid w:val="0044415B"/>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9C6"/>
    <w:rsid w:val="00452EAD"/>
    <w:rsid w:val="004533D1"/>
    <w:rsid w:val="004534D1"/>
    <w:rsid w:val="00454548"/>
    <w:rsid w:val="00454598"/>
    <w:rsid w:val="00454717"/>
    <w:rsid w:val="00454AFE"/>
    <w:rsid w:val="00455004"/>
    <w:rsid w:val="00455047"/>
    <w:rsid w:val="00455111"/>
    <w:rsid w:val="00455354"/>
    <w:rsid w:val="0045558D"/>
    <w:rsid w:val="00455B70"/>
    <w:rsid w:val="00455BD3"/>
    <w:rsid w:val="00455E1C"/>
    <w:rsid w:val="00455E24"/>
    <w:rsid w:val="00456970"/>
    <w:rsid w:val="00456BB1"/>
    <w:rsid w:val="00456CD4"/>
    <w:rsid w:val="00456DDB"/>
    <w:rsid w:val="0045700E"/>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4030"/>
    <w:rsid w:val="00464487"/>
    <w:rsid w:val="004647F8"/>
    <w:rsid w:val="004647FB"/>
    <w:rsid w:val="00464E4B"/>
    <w:rsid w:val="00465347"/>
    <w:rsid w:val="00465677"/>
    <w:rsid w:val="00465D72"/>
    <w:rsid w:val="00466616"/>
    <w:rsid w:val="00466A0C"/>
    <w:rsid w:val="00466A53"/>
    <w:rsid w:val="0046700B"/>
    <w:rsid w:val="004673A8"/>
    <w:rsid w:val="0046753A"/>
    <w:rsid w:val="00467D4E"/>
    <w:rsid w:val="0047098A"/>
    <w:rsid w:val="00470A6A"/>
    <w:rsid w:val="00470D73"/>
    <w:rsid w:val="00470D92"/>
    <w:rsid w:val="00471305"/>
    <w:rsid w:val="00471D8F"/>
    <w:rsid w:val="00471DF7"/>
    <w:rsid w:val="004734CF"/>
    <w:rsid w:val="004734E9"/>
    <w:rsid w:val="004737EA"/>
    <w:rsid w:val="00473A2E"/>
    <w:rsid w:val="004742F0"/>
    <w:rsid w:val="00475424"/>
    <w:rsid w:val="00475C5A"/>
    <w:rsid w:val="00475C9C"/>
    <w:rsid w:val="004760A5"/>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44F"/>
    <w:rsid w:val="00484F0F"/>
    <w:rsid w:val="00484F40"/>
    <w:rsid w:val="0048540C"/>
    <w:rsid w:val="00485E9D"/>
    <w:rsid w:val="004861B4"/>
    <w:rsid w:val="00486BD0"/>
    <w:rsid w:val="00486D00"/>
    <w:rsid w:val="00487263"/>
    <w:rsid w:val="0048734F"/>
    <w:rsid w:val="00487532"/>
    <w:rsid w:val="00487F69"/>
    <w:rsid w:val="00487FE0"/>
    <w:rsid w:val="0049029D"/>
    <w:rsid w:val="0049030C"/>
    <w:rsid w:val="004903C0"/>
    <w:rsid w:val="0049114B"/>
    <w:rsid w:val="004912A8"/>
    <w:rsid w:val="00491577"/>
    <w:rsid w:val="0049196A"/>
    <w:rsid w:val="0049196E"/>
    <w:rsid w:val="00491B54"/>
    <w:rsid w:val="0049241A"/>
    <w:rsid w:val="00492C1F"/>
    <w:rsid w:val="00492E4C"/>
    <w:rsid w:val="00493664"/>
    <w:rsid w:val="00493A20"/>
    <w:rsid w:val="00493E04"/>
    <w:rsid w:val="004940E3"/>
    <w:rsid w:val="00494C65"/>
    <w:rsid w:val="004951A1"/>
    <w:rsid w:val="0049530F"/>
    <w:rsid w:val="004957D0"/>
    <w:rsid w:val="00496664"/>
    <w:rsid w:val="00496786"/>
    <w:rsid w:val="0049695B"/>
    <w:rsid w:val="00496B9C"/>
    <w:rsid w:val="00496D8F"/>
    <w:rsid w:val="00497463"/>
    <w:rsid w:val="00497610"/>
    <w:rsid w:val="004978F6"/>
    <w:rsid w:val="004A054C"/>
    <w:rsid w:val="004A08D1"/>
    <w:rsid w:val="004A16C1"/>
    <w:rsid w:val="004A1CE2"/>
    <w:rsid w:val="004A2823"/>
    <w:rsid w:val="004A3044"/>
    <w:rsid w:val="004A33AC"/>
    <w:rsid w:val="004A34D2"/>
    <w:rsid w:val="004A3CF6"/>
    <w:rsid w:val="004A4301"/>
    <w:rsid w:val="004A4D93"/>
    <w:rsid w:val="004A58EE"/>
    <w:rsid w:val="004A59B7"/>
    <w:rsid w:val="004A6051"/>
    <w:rsid w:val="004A623B"/>
    <w:rsid w:val="004A6A04"/>
    <w:rsid w:val="004A6A52"/>
    <w:rsid w:val="004B0A44"/>
    <w:rsid w:val="004B0F0B"/>
    <w:rsid w:val="004B11B7"/>
    <w:rsid w:val="004B2113"/>
    <w:rsid w:val="004B2197"/>
    <w:rsid w:val="004B28E0"/>
    <w:rsid w:val="004B298A"/>
    <w:rsid w:val="004B31C6"/>
    <w:rsid w:val="004B34C4"/>
    <w:rsid w:val="004B50CB"/>
    <w:rsid w:val="004B578D"/>
    <w:rsid w:val="004B5BE7"/>
    <w:rsid w:val="004B5E2D"/>
    <w:rsid w:val="004B6394"/>
    <w:rsid w:val="004B652A"/>
    <w:rsid w:val="004B66CD"/>
    <w:rsid w:val="004B6B5D"/>
    <w:rsid w:val="004B6C07"/>
    <w:rsid w:val="004B74D3"/>
    <w:rsid w:val="004B788E"/>
    <w:rsid w:val="004B7E5D"/>
    <w:rsid w:val="004C072C"/>
    <w:rsid w:val="004C11F0"/>
    <w:rsid w:val="004C1B39"/>
    <w:rsid w:val="004C2180"/>
    <w:rsid w:val="004C22F7"/>
    <w:rsid w:val="004C2B27"/>
    <w:rsid w:val="004C3219"/>
    <w:rsid w:val="004C38BD"/>
    <w:rsid w:val="004C3929"/>
    <w:rsid w:val="004C3BDA"/>
    <w:rsid w:val="004C47DF"/>
    <w:rsid w:val="004C4DED"/>
    <w:rsid w:val="004C5212"/>
    <w:rsid w:val="004C580A"/>
    <w:rsid w:val="004C5E63"/>
    <w:rsid w:val="004C5EF0"/>
    <w:rsid w:val="004C5FEC"/>
    <w:rsid w:val="004C63DB"/>
    <w:rsid w:val="004C64C9"/>
    <w:rsid w:val="004C7226"/>
    <w:rsid w:val="004C74C9"/>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0E"/>
    <w:rsid w:val="004D5CD1"/>
    <w:rsid w:val="004D6120"/>
    <w:rsid w:val="004D62A3"/>
    <w:rsid w:val="004D6826"/>
    <w:rsid w:val="004D6D7F"/>
    <w:rsid w:val="004D7229"/>
    <w:rsid w:val="004E023F"/>
    <w:rsid w:val="004E038F"/>
    <w:rsid w:val="004E0546"/>
    <w:rsid w:val="004E0742"/>
    <w:rsid w:val="004E0C64"/>
    <w:rsid w:val="004E0F6B"/>
    <w:rsid w:val="004E10F5"/>
    <w:rsid w:val="004E1545"/>
    <w:rsid w:val="004E1C3E"/>
    <w:rsid w:val="004E1F1C"/>
    <w:rsid w:val="004E2A35"/>
    <w:rsid w:val="004E2ED3"/>
    <w:rsid w:val="004E40CE"/>
    <w:rsid w:val="004E4C2E"/>
    <w:rsid w:val="004E4CC0"/>
    <w:rsid w:val="004E5736"/>
    <w:rsid w:val="004E58ED"/>
    <w:rsid w:val="004E5A3C"/>
    <w:rsid w:val="004E5AA8"/>
    <w:rsid w:val="004E5B36"/>
    <w:rsid w:val="004E5D5D"/>
    <w:rsid w:val="004E6045"/>
    <w:rsid w:val="004E6F43"/>
    <w:rsid w:val="004E702F"/>
    <w:rsid w:val="004E7200"/>
    <w:rsid w:val="004E787E"/>
    <w:rsid w:val="004F0960"/>
    <w:rsid w:val="004F0A5C"/>
    <w:rsid w:val="004F0F12"/>
    <w:rsid w:val="004F163F"/>
    <w:rsid w:val="004F18A0"/>
    <w:rsid w:val="004F1A08"/>
    <w:rsid w:val="004F2764"/>
    <w:rsid w:val="004F2B64"/>
    <w:rsid w:val="004F31B8"/>
    <w:rsid w:val="004F375E"/>
    <w:rsid w:val="004F3764"/>
    <w:rsid w:val="004F3C90"/>
    <w:rsid w:val="004F3DB4"/>
    <w:rsid w:val="004F3E42"/>
    <w:rsid w:val="004F3EEF"/>
    <w:rsid w:val="004F3FB1"/>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0D3"/>
    <w:rsid w:val="005010EC"/>
    <w:rsid w:val="0050112F"/>
    <w:rsid w:val="0050160F"/>
    <w:rsid w:val="0050284E"/>
    <w:rsid w:val="00502993"/>
    <w:rsid w:val="00502AF3"/>
    <w:rsid w:val="00502FCD"/>
    <w:rsid w:val="0050306F"/>
    <w:rsid w:val="00504DF9"/>
    <w:rsid w:val="00505DCB"/>
    <w:rsid w:val="00505DE1"/>
    <w:rsid w:val="0050703E"/>
    <w:rsid w:val="005075CA"/>
    <w:rsid w:val="00507B06"/>
    <w:rsid w:val="00507BF1"/>
    <w:rsid w:val="005100E0"/>
    <w:rsid w:val="0051047A"/>
    <w:rsid w:val="0051074C"/>
    <w:rsid w:val="00510DE9"/>
    <w:rsid w:val="00510F21"/>
    <w:rsid w:val="005111E2"/>
    <w:rsid w:val="00511231"/>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BF"/>
    <w:rsid w:val="00524FD2"/>
    <w:rsid w:val="00525621"/>
    <w:rsid w:val="005257E5"/>
    <w:rsid w:val="00526431"/>
    <w:rsid w:val="00527015"/>
    <w:rsid w:val="005270E8"/>
    <w:rsid w:val="005272BA"/>
    <w:rsid w:val="00527532"/>
    <w:rsid w:val="00527703"/>
    <w:rsid w:val="0052773D"/>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503"/>
    <w:rsid w:val="005346AD"/>
    <w:rsid w:val="005346BC"/>
    <w:rsid w:val="00534EFB"/>
    <w:rsid w:val="00534F60"/>
    <w:rsid w:val="005357F1"/>
    <w:rsid w:val="00536053"/>
    <w:rsid w:val="005365B2"/>
    <w:rsid w:val="005365FF"/>
    <w:rsid w:val="00536902"/>
    <w:rsid w:val="00536985"/>
    <w:rsid w:val="005369E6"/>
    <w:rsid w:val="00536BE1"/>
    <w:rsid w:val="005371AC"/>
    <w:rsid w:val="00537672"/>
    <w:rsid w:val="0053772F"/>
    <w:rsid w:val="00537B77"/>
    <w:rsid w:val="005403D6"/>
    <w:rsid w:val="00540C4C"/>
    <w:rsid w:val="00541469"/>
    <w:rsid w:val="00541571"/>
    <w:rsid w:val="005419F8"/>
    <w:rsid w:val="00541B1F"/>
    <w:rsid w:val="00541F92"/>
    <w:rsid w:val="0054275A"/>
    <w:rsid w:val="005427F8"/>
    <w:rsid w:val="005428B8"/>
    <w:rsid w:val="00542BD7"/>
    <w:rsid w:val="00543084"/>
    <w:rsid w:val="0054321E"/>
    <w:rsid w:val="00543314"/>
    <w:rsid w:val="00543584"/>
    <w:rsid w:val="00543A9E"/>
    <w:rsid w:val="0054413A"/>
    <w:rsid w:val="00544288"/>
    <w:rsid w:val="005446BB"/>
    <w:rsid w:val="005448C8"/>
    <w:rsid w:val="00544A5A"/>
    <w:rsid w:val="00544DA5"/>
    <w:rsid w:val="00544F43"/>
    <w:rsid w:val="005457D9"/>
    <w:rsid w:val="00545E30"/>
    <w:rsid w:val="00545EA3"/>
    <w:rsid w:val="00546C9B"/>
    <w:rsid w:val="00547BF6"/>
    <w:rsid w:val="00547CDD"/>
    <w:rsid w:val="00547FB3"/>
    <w:rsid w:val="00550760"/>
    <w:rsid w:val="005508B2"/>
    <w:rsid w:val="00551098"/>
    <w:rsid w:val="00551598"/>
    <w:rsid w:val="0055162B"/>
    <w:rsid w:val="00551BFF"/>
    <w:rsid w:val="00551C3A"/>
    <w:rsid w:val="00551D68"/>
    <w:rsid w:val="00551DFF"/>
    <w:rsid w:val="005525C9"/>
    <w:rsid w:val="00552B3E"/>
    <w:rsid w:val="00553730"/>
    <w:rsid w:val="00554D57"/>
    <w:rsid w:val="005551AA"/>
    <w:rsid w:val="0055583B"/>
    <w:rsid w:val="0055636A"/>
    <w:rsid w:val="0055642A"/>
    <w:rsid w:val="005564CA"/>
    <w:rsid w:val="00556827"/>
    <w:rsid w:val="005568EA"/>
    <w:rsid w:val="00557140"/>
    <w:rsid w:val="00557984"/>
    <w:rsid w:val="00560677"/>
    <w:rsid w:val="00560C87"/>
    <w:rsid w:val="00560F51"/>
    <w:rsid w:val="00561249"/>
    <w:rsid w:val="0056132A"/>
    <w:rsid w:val="0056182B"/>
    <w:rsid w:val="00561AF3"/>
    <w:rsid w:val="00561D48"/>
    <w:rsid w:val="00561D6D"/>
    <w:rsid w:val="00561E0B"/>
    <w:rsid w:val="00562141"/>
    <w:rsid w:val="005624BB"/>
    <w:rsid w:val="0056296E"/>
    <w:rsid w:val="00562D86"/>
    <w:rsid w:val="00563784"/>
    <w:rsid w:val="00563AFC"/>
    <w:rsid w:val="00564704"/>
    <w:rsid w:val="00564712"/>
    <w:rsid w:val="0056524A"/>
    <w:rsid w:val="005654BB"/>
    <w:rsid w:val="005657A8"/>
    <w:rsid w:val="00565952"/>
    <w:rsid w:val="00565F6E"/>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81D"/>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51E"/>
    <w:rsid w:val="0058375E"/>
    <w:rsid w:val="0058378C"/>
    <w:rsid w:val="0058385E"/>
    <w:rsid w:val="00584233"/>
    <w:rsid w:val="005842D0"/>
    <w:rsid w:val="005845FB"/>
    <w:rsid w:val="00584860"/>
    <w:rsid w:val="005855AE"/>
    <w:rsid w:val="00585829"/>
    <w:rsid w:val="00585CA8"/>
    <w:rsid w:val="00586412"/>
    <w:rsid w:val="005864B9"/>
    <w:rsid w:val="005866C4"/>
    <w:rsid w:val="00586BD3"/>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5322"/>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4B38"/>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565"/>
    <w:rsid w:val="005B19BD"/>
    <w:rsid w:val="005B1E45"/>
    <w:rsid w:val="005B21C4"/>
    <w:rsid w:val="005B2A28"/>
    <w:rsid w:val="005B2E64"/>
    <w:rsid w:val="005B3621"/>
    <w:rsid w:val="005B3CD9"/>
    <w:rsid w:val="005B48A8"/>
    <w:rsid w:val="005B4948"/>
    <w:rsid w:val="005B501D"/>
    <w:rsid w:val="005B54CC"/>
    <w:rsid w:val="005B660E"/>
    <w:rsid w:val="005B74AD"/>
    <w:rsid w:val="005B7B3E"/>
    <w:rsid w:val="005B7E96"/>
    <w:rsid w:val="005C0429"/>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4FF"/>
    <w:rsid w:val="005C7713"/>
    <w:rsid w:val="005C7E45"/>
    <w:rsid w:val="005C7F3E"/>
    <w:rsid w:val="005D06D3"/>
    <w:rsid w:val="005D0C3B"/>
    <w:rsid w:val="005D1051"/>
    <w:rsid w:val="005D1606"/>
    <w:rsid w:val="005D2044"/>
    <w:rsid w:val="005D2917"/>
    <w:rsid w:val="005D2EB2"/>
    <w:rsid w:val="005D2F48"/>
    <w:rsid w:val="005D31BA"/>
    <w:rsid w:val="005D399C"/>
    <w:rsid w:val="005D3B32"/>
    <w:rsid w:val="005D3BD0"/>
    <w:rsid w:val="005D4643"/>
    <w:rsid w:val="005D464B"/>
    <w:rsid w:val="005D466F"/>
    <w:rsid w:val="005D49F0"/>
    <w:rsid w:val="005D5125"/>
    <w:rsid w:val="005D51F7"/>
    <w:rsid w:val="005D51FA"/>
    <w:rsid w:val="005D53E8"/>
    <w:rsid w:val="005D5702"/>
    <w:rsid w:val="005D5A9D"/>
    <w:rsid w:val="005D6441"/>
    <w:rsid w:val="005D6651"/>
    <w:rsid w:val="005D6675"/>
    <w:rsid w:val="005D691D"/>
    <w:rsid w:val="005D6A72"/>
    <w:rsid w:val="005D6E87"/>
    <w:rsid w:val="005D6F38"/>
    <w:rsid w:val="005D7279"/>
    <w:rsid w:val="005D791B"/>
    <w:rsid w:val="005D7CF2"/>
    <w:rsid w:val="005D7E2D"/>
    <w:rsid w:val="005D7F92"/>
    <w:rsid w:val="005D7FCC"/>
    <w:rsid w:val="005E032C"/>
    <w:rsid w:val="005E0CDD"/>
    <w:rsid w:val="005E0D7B"/>
    <w:rsid w:val="005E1595"/>
    <w:rsid w:val="005E182D"/>
    <w:rsid w:val="005E1F1D"/>
    <w:rsid w:val="005E273D"/>
    <w:rsid w:val="005E30AC"/>
    <w:rsid w:val="005E3278"/>
    <w:rsid w:val="005E3456"/>
    <w:rsid w:val="005E363B"/>
    <w:rsid w:val="005E3736"/>
    <w:rsid w:val="005E5BD6"/>
    <w:rsid w:val="005E72A0"/>
    <w:rsid w:val="005F1793"/>
    <w:rsid w:val="005F1FA9"/>
    <w:rsid w:val="005F287D"/>
    <w:rsid w:val="005F305B"/>
    <w:rsid w:val="005F3081"/>
    <w:rsid w:val="005F3361"/>
    <w:rsid w:val="005F37FE"/>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0B65"/>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61E2"/>
    <w:rsid w:val="00606908"/>
    <w:rsid w:val="00607996"/>
    <w:rsid w:val="00607A37"/>
    <w:rsid w:val="00607E0A"/>
    <w:rsid w:val="00607E9F"/>
    <w:rsid w:val="0061085E"/>
    <w:rsid w:val="0061132D"/>
    <w:rsid w:val="00611398"/>
    <w:rsid w:val="0061148A"/>
    <w:rsid w:val="006118BD"/>
    <w:rsid w:val="00611EAA"/>
    <w:rsid w:val="00612322"/>
    <w:rsid w:val="006123C0"/>
    <w:rsid w:val="00612600"/>
    <w:rsid w:val="00612DF1"/>
    <w:rsid w:val="00613191"/>
    <w:rsid w:val="006133F9"/>
    <w:rsid w:val="006134B3"/>
    <w:rsid w:val="00613DE1"/>
    <w:rsid w:val="0061401F"/>
    <w:rsid w:val="00614166"/>
    <w:rsid w:val="0061418E"/>
    <w:rsid w:val="00614817"/>
    <w:rsid w:val="006149CC"/>
    <w:rsid w:val="006157A9"/>
    <w:rsid w:val="0061591D"/>
    <w:rsid w:val="00615ED0"/>
    <w:rsid w:val="0061604C"/>
    <w:rsid w:val="00616C2B"/>
    <w:rsid w:val="00616D7F"/>
    <w:rsid w:val="006172EC"/>
    <w:rsid w:val="0061750A"/>
    <w:rsid w:val="00617721"/>
    <w:rsid w:val="006178D1"/>
    <w:rsid w:val="00620719"/>
    <w:rsid w:val="006212C9"/>
    <w:rsid w:val="00621A88"/>
    <w:rsid w:val="00621BCE"/>
    <w:rsid w:val="00621D0C"/>
    <w:rsid w:val="00622470"/>
    <w:rsid w:val="00622725"/>
    <w:rsid w:val="0062296B"/>
    <w:rsid w:val="006231AA"/>
    <w:rsid w:val="00623482"/>
    <w:rsid w:val="0062386C"/>
    <w:rsid w:val="00623AC2"/>
    <w:rsid w:val="00623EBC"/>
    <w:rsid w:val="0062452A"/>
    <w:rsid w:val="006245A8"/>
    <w:rsid w:val="006258D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2241"/>
    <w:rsid w:val="00633178"/>
    <w:rsid w:val="00633DBF"/>
    <w:rsid w:val="00634122"/>
    <w:rsid w:val="00634261"/>
    <w:rsid w:val="0063548C"/>
    <w:rsid w:val="00635E32"/>
    <w:rsid w:val="006360FC"/>
    <w:rsid w:val="006364DB"/>
    <w:rsid w:val="006365DE"/>
    <w:rsid w:val="00636BE4"/>
    <w:rsid w:val="00636F88"/>
    <w:rsid w:val="0063732C"/>
    <w:rsid w:val="00637802"/>
    <w:rsid w:val="00637836"/>
    <w:rsid w:val="00637A42"/>
    <w:rsid w:val="00637C26"/>
    <w:rsid w:val="00637F44"/>
    <w:rsid w:val="00640084"/>
    <w:rsid w:val="006401D8"/>
    <w:rsid w:val="00641078"/>
    <w:rsid w:val="00641242"/>
    <w:rsid w:val="00642188"/>
    <w:rsid w:val="006424AA"/>
    <w:rsid w:val="00642A32"/>
    <w:rsid w:val="006433D5"/>
    <w:rsid w:val="00643412"/>
    <w:rsid w:val="00644224"/>
    <w:rsid w:val="00645554"/>
    <w:rsid w:val="00645C53"/>
    <w:rsid w:val="00645CEB"/>
    <w:rsid w:val="00645E6E"/>
    <w:rsid w:val="00646A8B"/>
    <w:rsid w:val="00646B20"/>
    <w:rsid w:val="00646D0F"/>
    <w:rsid w:val="00646FB0"/>
    <w:rsid w:val="0064763F"/>
    <w:rsid w:val="00647A36"/>
    <w:rsid w:val="00647DCC"/>
    <w:rsid w:val="00647EFA"/>
    <w:rsid w:val="00647F14"/>
    <w:rsid w:val="00650027"/>
    <w:rsid w:val="00651501"/>
    <w:rsid w:val="00651B9C"/>
    <w:rsid w:val="00651C47"/>
    <w:rsid w:val="00651C9A"/>
    <w:rsid w:val="006520AC"/>
    <w:rsid w:val="0065247D"/>
    <w:rsid w:val="00652E70"/>
    <w:rsid w:val="0065339A"/>
    <w:rsid w:val="00653469"/>
    <w:rsid w:val="006534ED"/>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188"/>
    <w:rsid w:val="0066272D"/>
    <w:rsid w:val="0066293A"/>
    <w:rsid w:val="00662E58"/>
    <w:rsid w:val="00662F39"/>
    <w:rsid w:val="0066339A"/>
    <w:rsid w:val="006635A0"/>
    <w:rsid w:val="00664351"/>
    <w:rsid w:val="00664668"/>
    <w:rsid w:val="0066495B"/>
    <w:rsid w:val="00664DFB"/>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12A4"/>
    <w:rsid w:val="00672E80"/>
    <w:rsid w:val="0067333F"/>
    <w:rsid w:val="006739E4"/>
    <w:rsid w:val="00673ECF"/>
    <w:rsid w:val="0067426B"/>
    <w:rsid w:val="00674A1B"/>
    <w:rsid w:val="00674A7D"/>
    <w:rsid w:val="00674F1C"/>
    <w:rsid w:val="006754F8"/>
    <w:rsid w:val="00675BD6"/>
    <w:rsid w:val="00676118"/>
    <w:rsid w:val="00676127"/>
    <w:rsid w:val="00676AED"/>
    <w:rsid w:val="00676BE6"/>
    <w:rsid w:val="00677E9C"/>
    <w:rsid w:val="00677F26"/>
    <w:rsid w:val="006800EE"/>
    <w:rsid w:val="006802A7"/>
    <w:rsid w:val="00680B19"/>
    <w:rsid w:val="0068118C"/>
    <w:rsid w:val="006811C9"/>
    <w:rsid w:val="006812CE"/>
    <w:rsid w:val="006826C1"/>
    <w:rsid w:val="00682C89"/>
    <w:rsid w:val="006832B8"/>
    <w:rsid w:val="0068331A"/>
    <w:rsid w:val="006837B2"/>
    <w:rsid w:val="00683800"/>
    <w:rsid w:val="006839E9"/>
    <w:rsid w:val="0068445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0E5E"/>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7385"/>
    <w:rsid w:val="00697443"/>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D6A"/>
    <w:rsid w:val="006A2F9A"/>
    <w:rsid w:val="006A34E4"/>
    <w:rsid w:val="006A3A5A"/>
    <w:rsid w:val="006A4043"/>
    <w:rsid w:val="006A44CF"/>
    <w:rsid w:val="006A457D"/>
    <w:rsid w:val="006A4C06"/>
    <w:rsid w:val="006A4C33"/>
    <w:rsid w:val="006A55EE"/>
    <w:rsid w:val="006A575B"/>
    <w:rsid w:val="006A59DE"/>
    <w:rsid w:val="006A6023"/>
    <w:rsid w:val="006A618F"/>
    <w:rsid w:val="006A64C6"/>
    <w:rsid w:val="006A6655"/>
    <w:rsid w:val="006A6BF9"/>
    <w:rsid w:val="006A70D3"/>
    <w:rsid w:val="006A7CB5"/>
    <w:rsid w:val="006A7FD0"/>
    <w:rsid w:val="006B00E4"/>
    <w:rsid w:val="006B025C"/>
    <w:rsid w:val="006B08ED"/>
    <w:rsid w:val="006B1E76"/>
    <w:rsid w:val="006B1ED3"/>
    <w:rsid w:val="006B2534"/>
    <w:rsid w:val="006B2CB2"/>
    <w:rsid w:val="006B347D"/>
    <w:rsid w:val="006B3E19"/>
    <w:rsid w:val="006B4488"/>
    <w:rsid w:val="006B49FC"/>
    <w:rsid w:val="006B4F10"/>
    <w:rsid w:val="006B50C4"/>
    <w:rsid w:val="006B525D"/>
    <w:rsid w:val="006B53AE"/>
    <w:rsid w:val="006B58B4"/>
    <w:rsid w:val="006B67AC"/>
    <w:rsid w:val="006B6DB3"/>
    <w:rsid w:val="006B786A"/>
    <w:rsid w:val="006B793B"/>
    <w:rsid w:val="006B7A03"/>
    <w:rsid w:val="006B7A67"/>
    <w:rsid w:val="006B7D67"/>
    <w:rsid w:val="006B7E4E"/>
    <w:rsid w:val="006C003A"/>
    <w:rsid w:val="006C023B"/>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6D58"/>
    <w:rsid w:val="006C70C4"/>
    <w:rsid w:val="006C724E"/>
    <w:rsid w:val="006C741F"/>
    <w:rsid w:val="006D04DA"/>
    <w:rsid w:val="006D10F6"/>
    <w:rsid w:val="006D1544"/>
    <w:rsid w:val="006D1688"/>
    <w:rsid w:val="006D1DD3"/>
    <w:rsid w:val="006D1FF3"/>
    <w:rsid w:val="006D22C7"/>
    <w:rsid w:val="006D2C65"/>
    <w:rsid w:val="006D2DE3"/>
    <w:rsid w:val="006D2FCB"/>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D7DE7"/>
    <w:rsid w:val="006E0079"/>
    <w:rsid w:val="006E02C4"/>
    <w:rsid w:val="006E0572"/>
    <w:rsid w:val="006E05D8"/>
    <w:rsid w:val="006E08EE"/>
    <w:rsid w:val="006E155A"/>
    <w:rsid w:val="006E2C34"/>
    <w:rsid w:val="006E359B"/>
    <w:rsid w:val="006E39D1"/>
    <w:rsid w:val="006E3B05"/>
    <w:rsid w:val="006E437F"/>
    <w:rsid w:val="006E4D5B"/>
    <w:rsid w:val="006E602F"/>
    <w:rsid w:val="006E6720"/>
    <w:rsid w:val="006E6D0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834"/>
    <w:rsid w:val="006F4CB0"/>
    <w:rsid w:val="006F4F78"/>
    <w:rsid w:val="006F547E"/>
    <w:rsid w:val="006F5CCF"/>
    <w:rsid w:val="006F5F09"/>
    <w:rsid w:val="006F625D"/>
    <w:rsid w:val="006F64B5"/>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D4B"/>
    <w:rsid w:val="00704DFE"/>
    <w:rsid w:val="00705631"/>
    <w:rsid w:val="00705818"/>
    <w:rsid w:val="00705F62"/>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835"/>
    <w:rsid w:val="00714D20"/>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06F"/>
    <w:rsid w:val="007242A2"/>
    <w:rsid w:val="00724635"/>
    <w:rsid w:val="00724F21"/>
    <w:rsid w:val="00725134"/>
    <w:rsid w:val="0072554B"/>
    <w:rsid w:val="00725AFD"/>
    <w:rsid w:val="00726603"/>
    <w:rsid w:val="00726CED"/>
    <w:rsid w:val="007270EF"/>
    <w:rsid w:val="0072722A"/>
    <w:rsid w:val="0072760C"/>
    <w:rsid w:val="00727B1D"/>
    <w:rsid w:val="00727DDC"/>
    <w:rsid w:val="007302AE"/>
    <w:rsid w:val="00730CD6"/>
    <w:rsid w:val="00730F74"/>
    <w:rsid w:val="0073114B"/>
    <w:rsid w:val="00731DBE"/>
    <w:rsid w:val="00732151"/>
    <w:rsid w:val="00732C4B"/>
    <w:rsid w:val="007339EC"/>
    <w:rsid w:val="007341F8"/>
    <w:rsid w:val="00734236"/>
    <w:rsid w:val="00734952"/>
    <w:rsid w:val="00734990"/>
    <w:rsid w:val="00734FF5"/>
    <w:rsid w:val="007351F2"/>
    <w:rsid w:val="007356B8"/>
    <w:rsid w:val="00735B78"/>
    <w:rsid w:val="00735DA7"/>
    <w:rsid w:val="007368B4"/>
    <w:rsid w:val="007378E0"/>
    <w:rsid w:val="00737C51"/>
    <w:rsid w:val="00737D92"/>
    <w:rsid w:val="00740529"/>
    <w:rsid w:val="00740876"/>
    <w:rsid w:val="00740F0D"/>
    <w:rsid w:val="00741247"/>
    <w:rsid w:val="00741358"/>
    <w:rsid w:val="00741626"/>
    <w:rsid w:val="00742332"/>
    <w:rsid w:val="00742886"/>
    <w:rsid w:val="00742DD2"/>
    <w:rsid w:val="00742F60"/>
    <w:rsid w:val="00743521"/>
    <w:rsid w:val="007437C6"/>
    <w:rsid w:val="007438E6"/>
    <w:rsid w:val="007441A2"/>
    <w:rsid w:val="00744767"/>
    <w:rsid w:val="00744E80"/>
    <w:rsid w:val="00745035"/>
    <w:rsid w:val="0074531C"/>
    <w:rsid w:val="00745547"/>
    <w:rsid w:val="007459D0"/>
    <w:rsid w:val="0074608B"/>
    <w:rsid w:val="0074614C"/>
    <w:rsid w:val="0074623A"/>
    <w:rsid w:val="00746420"/>
    <w:rsid w:val="00746638"/>
    <w:rsid w:val="007466BA"/>
    <w:rsid w:val="007469A8"/>
    <w:rsid w:val="00746A60"/>
    <w:rsid w:val="00746CAE"/>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2A4F"/>
    <w:rsid w:val="00753BA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60021"/>
    <w:rsid w:val="00760561"/>
    <w:rsid w:val="00760867"/>
    <w:rsid w:val="00760E9E"/>
    <w:rsid w:val="00760EB6"/>
    <w:rsid w:val="007616DB"/>
    <w:rsid w:val="00761AB7"/>
    <w:rsid w:val="00761CE6"/>
    <w:rsid w:val="0076228A"/>
    <w:rsid w:val="00762440"/>
    <w:rsid w:val="00762499"/>
    <w:rsid w:val="007629B7"/>
    <w:rsid w:val="00762E60"/>
    <w:rsid w:val="007634AD"/>
    <w:rsid w:val="0076445F"/>
    <w:rsid w:val="00764EC5"/>
    <w:rsid w:val="007651B3"/>
    <w:rsid w:val="00765F28"/>
    <w:rsid w:val="00766E2E"/>
    <w:rsid w:val="00766E9D"/>
    <w:rsid w:val="00766ECC"/>
    <w:rsid w:val="007672F3"/>
    <w:rsid w:val="007676EE"/>
    <w:rsid w:val="007677B5"/>
    <w:rsid w:val="007678B1"/>
    <w:rsid w:val="007679A2"/>
    <w:rsid w:val="007708A8"/>
    <w:rsid w:val="00770D6E"/>
    <w:rsid w:val="0077184A"/>
    <w:rsid w:val="00772100"/>
    <w:rsid w:val="00772275"/>
    <w:rsid w:val="007734CC"/>
    <w:rsid w:val="007734E4"/>
    <w:rsid w:val="0077380D"/>
    <w:rsid w:val="00773BC8"/>
    <w:rsid w:val="0077466F"/>
    <w:rsid w:val="0077507F"/>
    <w:rsid w:val="007752B7"/>
    <w:rsid w:val="00775597"/>
    <w:rsid w:val="007757DC"/>
    <w:rsid w:val="0077591D"/>
    <w:rsid w:val="007759A8"/>
    <w:rsid w:val="00775C27"/>
    <w:rsid w:val="00775D98"/>
    <w:rsid w:val="00775DEC"/>
    <w:rsid w:val="0077644C"/>
    <w:rsid w:val="00776FE5"/>
    <w:rsid w:val="00777101"/>
    <w:rsid w:val="007774E7"/>
    <w:rsid w:val="0077768C"/>
    <w:rsid w:val="00777696"/>
    <w:rsid w:val="00777FF4"/>
    <w:rsid w:val="00780251"/>
    <w:rsid w:val="007804FE"/>
    <w:rsid w:val="00780AFD"/>
    <w:rsid w:val="00780F32"/>
    <w:rsid w:val="0078122E"/>
    <w:rsid w:val="00781939"/>
    <w:rsid w:val="00781BB2"/>
    <w:rsid w:val="00781C5D"/>
    <w:rsid w:val="00781D29"/>
    <w:rsid w:val="00781DCF"/>
    <w:rsid w:val="007825EF"/>
    <w:rsid w:val="0078286B"/>
    <w:rsid w:val="00782D2C"/>
    <w:rsid w:val="00782F57"/>
    <w:rsid w:val="00782FC2"/>
    <w:rsid w:val="0078328D"/>
    <w:rsid w:val="0078347A"/>
    <w:rsid w:val="007842D6"/>
    <w:rsid w:val="00784FC4"/>
    <w:rsid w:val="00785353"/>
    <w:rsid w:val="00785BBB"/>
    <w:rsid w:val="00786937"/>
    <w:rsid w:val="00786FAD"/>
    <w:rsid w:val="00787005"/>
    <w:rsid w:val="00787D90"/>
    <w:rsid w:val="00787F5E"/>
    <w:rsid w:val="00790164"/>
    <w:rsid w:val="0079075B"/>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56C2"/>
    <w:rsid w:val="00795DA1"/>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297E"/>
    <w:rsid w:val="007A35E5"/>
    <w:rsid w:val="007A38A1"/>
    <w:rsid w:val="007A3BBE"/>
    <w:rsid w:val="007A4766"/>
    <w:rsid w:val="007A504E"/>
    <w:rsid w:val="007A5747"/>
    <w:rsid w:val="007A5947"/>
    <w:rsid w:val="007A5C22"/>
    <w:rsid w:val="007A5DB2"/>
    <w:rsid w:val="007A5DB3"/>
    <w:rsid w:val="007A6DF8"/>
    <w:rsid w:val="007A6FA8"/>
    <w:rsid w:val="007A717B"/>
    <w:rsid w:val="007A71D0"/>
    <w:rsid w:val="007B0313"/>
    <w:rsid w:val="007B0854"/>
    <w:rsid w:val="007B0E48"/>
    <w:rsid w:val="007B1162"/>
    <w:rsid w:val="007B1A0E"/>
    <w:rsid w:val="007B1C00"/>
    <w:rsid w:val="007B1D1B"/>
    <w:rsid w:val="007B303E"/>
    <w:rsid w:val="007B32C0"/>
    <w:rsid w:val="007B32F7"/>
    <w:rsid w:val="007B3659"/>
    <w:rsid w:val="007B374D"/>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25A9"/>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D79"/>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A68"/>
    <w:rsid w:val="007D5DE8"/>
    <w:rsid w:val="007D7047"/>
    <w:rsid w:val="007D7CFC"/>
    <w:rsid w:val="007E021D"/>
    <w:rsid w:val="007E0812"/>
    <w:rsid w:val="007E18DF"/>
    <w:rsid w:val="007E2C36"/>
    <w:rsid w:val="007E2E07"/>
    <w:rsid w:val="007E3309"/>
    <w:rsid w:val="007E350D"/>
    <w:rsid w:val="007E3A0A"/>
    <w:rsid w:val="007E3ACA"/>
    <w:rsid w:val="007E496E"/>
    <w:rsid w:val="007E564D"/>
    <w:rsid w:val="007E5C4A"/>
    <w:rsid w:val="007E5F2E"/>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471"/>
    <w:rsid w:val="007F369E"/>
    <w:rsid w:val="007F3A8F"/>
    <w:rsid w:val="007F3AC1"/>
    <w:rsid w:val="007F3B1B"/>
    <w:rsid w:val="007F4976"/>
    <w:rsid w:val="007F4B92"/>
    <w:rsid w:val="007F52AF"/>
    <w:rsid w:val="007F5A56"/>
    <w:rsid w:val="007F616E"/>
    <w:rsid w:val="007F6790"/>
    <w:rsid w:val="007F6B46"/>
    <w:rsid w:val="007F6D1B"/>
    <w:rsid w:val="007F6D56"/>
    <w:rsid w:val="007F72CB"/>
    <w:rsid w:val="007F736A"/>
    <w:rsid w:val="007F7635"/>
    <w:rsid w:val="007F77DF"/>
    <w:rsid w:val="007F785F"/>
    <w:rsid w:val="007F7961"/>
    <w:rsid w:val="007F7AF6"/>
    <w:rsid w:val="007F7E36"/>
    <w:rsid w:val="00800E6D"/>
    <w:rsid w:val="008014D9"/>
    <w:rsid w:val="0080150F"/>
    <w:rsid w:val="0080153A"/>
    <w:rsid w:val="00801913"/>
    <w:rsid w:val="00801A2A"/>
    <w:rsid w:val="00801C48"/>
    <w:rsid w:val="00801E04"/>
    <w:rsid w:val="00802041"/>
    <w:rsid w:val="008022C9"/>
    <w:rsid w:val="00802605"/>
    <w:rsid w:val="00802ED9"/>
    <w:rsid w:val="00802F9E"/>
    <w:rsid w:val="00803700"/>
    <w:rsid w:val="0080375D"/>
    <w:rsid w:val="00803D9D"/>
    <w:rsid w:val="0080543F"/>
    <w:rsid w:val="008059C6"/>
    <w:rsid w:val="00805AD7"/>
    <w:rsid w:val="00805BD6"/>
    <w:rsid w:val="00805DE3"/>
    <w:rsid w:val="00806079"/>
    <w:rsid w:val="00807C35"/>
    <w:rsid w:val="00807CAC"/>
    <w:rsid w:val="00807F35"/>
    <w:rsid w:val="00807F69"/>
    <w:rsid w:val="008100F7"/>
    <w:rsid w:val="00810206"/>
    <w:rsid w:val="00811898"/>
    <w:rsid w:val="00811AC2"/>
    <w:rsid w:val="00811CDC"/>
    <w:rsid w:val="008124D8"/>
    <w:rsid w:val="0081250A"/>
    <w:rsid w:val="008127B1"/>
    <w:rsid w:val="0081389E"/>
    <w:rsid w:val="00813A7B"/>
    <w:rsid w:val="00813F04"/>
    <w:rsid w:val="008140B3"/>
    <w:rsid w:val="008149BC"/>
    <w:rsid w:val="0081513E"/>
    <w:rsid w:val="00815DA5"/>
    <w:rsid w:val="00816169"/>
    <w:rsid w:val="00816221"/>
    <w:rsid w:val="00816551"/>
    <w:rsid w:val="00816AD6"/>
    <w:rsid w:val="00817063"/>
    <w:rsid w:val="0081766B"/>
    <w:rsid w:val="008178B7"/>
    <w:rsid w:val="008179A1"/>
    <w:rsid w:val="008179E1"/>
    <w:rsid w:val="00817D12"/>
    <w:rsid w:val="00820037"/>
    <w:rsid w:val="00820705"/>
    <w:rsid w:val="00820842"/>
    <w:rsid w:val="00820BA7"/>
    <w:rsid w:val="00820CBF"/>
    <w:rsid w:val="00820DBC"/>
    <w:rsid w:val="00820E59"/>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4953"/>
    <w:rsid w:val="00825240"/>
    <w:rsid w:val="0082532C"/>
    <w:rsid w:val="00825595"/>
    <w:rsid w:val="00825B43"/>
    <w:rsid w:val="00826F71"/>
    <w:rsid w:val="00827818"/>
    <w:rsid w:val="00827CC0"/>
    <w:rsid w:val="00830D29"/>
    <w:rsid w:val="00831026"/>
    <w:rsid w:val="0083119B"/>
    <w:rsid w:val="00831BAE"/>
    <w:rsid w:val="00831E8B"/>
    <w:rsid w:val="00832216"/>
    <w:rsid w:val="0083261D"/>
    <w:rsid w:val="00832CD0"/>
    <w:rsid w:val="00832F8C"/>
    <w:rsid w:val="00833430"/>
    <w:rsid w:val="0083382A"/>
    <w:rsid w:val="00834128"/>
    <w:rsid w:val="0083417F"/>
    <w:rsid w:val="00834A0D"/>
    <w:rsid w:val="00835143"/>
    <w:rsid w:val="0083569B"/>
    <w:rsid w:val="00835741"/>
    <w:rsid w:val="008364D6"/>
    <w:rsid w:val="008366F2"/>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21"/>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329"/>
    <w:rsid w:val="00852C43"/>
    <w:rsid w:val="00852FDC"/>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8E0"/>
    <w:rsid w:val="00861E75"/>
    <w:rsid w:val="00861F53"/>
    <w:rsid w:val="0086289E"/>
    <w:rsid w:val="008629CB"/>
    <w:rsid w:val="0086394E"/>
    <w:rsid w:val="00863A41"/>
    <w:rsid w:val="00863F8A"/>
    <w:rsid w:val="00863FE3"/>
    <w:rsid w:val="00864241"/>
    <w:rsid w:val="0086468A"/>
    <w:rsid w:val="00864FA1"/>
    <w:rsid w:val="008650BE"/>
    <w:rsid w:val="00865AE0"/>
    <w:rsid w:val="0086633B"/>
    <w:rsid w:val="00866495"/>
    <w:rsid w:val="00866881"/>
    <w:rsid w:val="00866931"/>
    <w:rsid w:val="00867512"/>
    <w:rsid w:val="008678A3"/>
    <w:rsid w:val="00867C13"/>
    <w:rsid w:val="00867C1D"/>
    <w:rsid w:val="0087033C"/>
    <w:rsid w:val="00870B93"/>
    <w:rsid w:val="00871064"/>
    <w:rsid w:val="008715ED"/>
    <w:rsid w:val="00871621"/>
    <w:rsid w:val="008717D8"/>
    <w:rsid w:val="00871E3C"/>
    <w:rsid w:val="00872CC1"/>
    <w:rsid w:val="00872F97"/>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3E"/>
    <w:rsid w:val="0088106B"/>
    <w:rsid w:val="0088107D"/>
    <w:rsid w:val="00881475"/>
    <w:rsid w:val="00881E64"/>
    <w:rsid w:val="00882A31"/>
    <w:rsid w:val="00882D24"/>
    <w:rsid w:val="00882E39"/>
    <w:rsid w:val="0088321E"/>
    <w:rsid w:val="00884978"/>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E5D"/>
    <w:rsid w:val="00892E76"/>
    <w:rsid w:val="008935CF"/>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68D"/>
    <w:rsid w:val="008A7888"/>
    <w:rsid w:val="008A78D9"/>
    <w:rsid w:val="008A796E"/>
    <w:rsid w:val="008A7EC4"/>
    <w:rsid w:val="008B020E"/>
    <w:rsid w:val="008B0783"/>
    <w:rsid w:val="008B0862"/>
    <w:rsid w:val="008B088C"/>
    <w:rsid w:val="008B0991"/>
    <w:rsid w:val="008B1303"/>
    <w:rsid w:val="008B1BF5"/>
    <w:rsid w:val="008B263F"/>
    <w:rsid w:val="008B2686"/>
    <w:rsid w:val="008B3045"/>
    <w:rsid w:val="008B3AFB"/>
    <w:rsid w:val="008B44F6"/>
    <w:rsid w:val="008B47A6"/>
    <w:rsid w:val="008B56B9"/>
    <w:rsid w:val="008B6416"/>
    <w:rsid w:val="008B672C"/>
    <w:rsid w:val="008B74F7"/>
    <w:rsid w:val="008C065F"/>
    <w:rsid w:val="008C0743"/>
    <w:rsid w:val="008C0B4C"/>
    <w:rsid w:val="008C0D9F"/>
    <w:rsid w:val="008C11F0"/>
    <w:rsid w:val="008C1516"/>
    <w:rsid w:val="008C1DBA"/>
    <w:rsid w:val="008C24E7"/>
    <w:rsid w:val="008C2500"/>
    <w:rsid w:val="008C2CAC"/>
    <w:rsid w:val="008C2E00"/>
    <w:rsid w:val="008C3095"/>
    <w:rsid w:val="008C3B1E"/>
    <w:rsid w:val="008C3C57"/>
    <w:rsid w:val="008C3E2A"/>
    <w:rsid w:val="008C45BD"/>
    <w:rsid w:val="008C4B19"/>
    <w:rsid w:val="008C515F"/>
    <w:rsid w:val="008C5207"/>
    <w:rsid w:val="008C606E"/>
    <w:rsid w:val="008C62D4"/>
    <w:rsid w:val="008C6B89"/>
    <w:rsid w:val="008C6CBF"/>
    <w:rsid w:val="008C7436"/>
    <w:rsid w:val="008D0571"/>
    <w:rsid w:val="008D1002"/>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6226"/>
    <w:rsid w:val="008E6401"/>
    <w:rsid w:val="008E6598"/>
    <w:rsid w:val="008E67DF"/>
    <w:rsid w:val="008E6C60"/>
    <w:rsid w:val="008E6CC2"/>
    <w:rsid w:val="008E7214"/>
    <w:rsid w:val="008E7884"/>
    <w:rsid w:val="008E7D6E"/>
    <w:rsid w:val="008F1056"/>
    <w:rsid w:val="008F2E8D"/>
    <w:rsid w:val="008F32BA"/>
    <w:rsid w:val="008F361D"/>
    <w:rsid w:val="008F387B"/>
    <w:rsid w:val="008F3952"/>
    <w:rsid w:val="008F3B97"/>
    <w:rsid w:val="008F3DD9"/>
    <w:rsid w:val="008F4814"/>
    <w:rsid w:val="008F4DA6"/>
    <w:rsid w:val="008F538E"/>
    <w:rsid w:val="008F59C9"/>
    <w:rsid w:val="008F5A20"/>
    <w:rsid w:val="008F5ABA"/>
    <w:rsid w:val="008F673D"/>
    <w:rsid w:val="008F6833"/>
    <w:rsid w:val="008F71AB"/>
    <w:rsid w:val="008F7905"/>
    <w:rsid w:val="008F7989"/>
    <w:rsid w:val="009001B8"/>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36D4"/>
    <w:rsid w:val="009142A8"/>
    <w:rsid w:val="0091498A"/>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3396"/>
    <w:rsid w:val="00923534"/>
    <w:rsid w:val="00923607"/>
    <w:rsid w:val="00923F56"/>
    <w:rsid w:val="00925346"/>
    <w:rsid w:val="00925743"/>
    <w:rsid w:val="0092579F"/>
    <w:rsid w:val="00927E8D"/>
    <w:rsid w:val="00927F23"/>
    <w:rsid w:val="009306F5"/>
    <w:rsid w:val="009307CD"/>
    <w:rsid w:val="0093120B"/>
    <w:rsid w:val="00931365"/>
    <w:rsid w:val="00931451"/>
    <w:rsid w:val="009314FA"/>
    <w:rsid w:val="0093194F"/>
    <w:rsid w:val="00931BF3"/>
    <w:rsid w:val="00931C55"/>
    <w:rsid w:val="00933333"/>
    <w:rsid w:val="0093349A"/>
    <w:rsid w:val="009338BA"/>
    <w:rsid w:val="00933B54"/>
    <w:rsid w:val="00933FCB"/>
    <w:rsid w:val="009342B6"/>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477"/>
    <w:rsid w:val="0094070C"/>
    <w:rsid w:val="00940876"/>
    <w:rsid w:val="00940A53"/>
    <w:rsid w:val="00940F3C"/>
    <w:rsid w:val="009410E0"/>
    <w:rsid w:val="009413C0"/>
    <w:rsid w:val="009415BB"/>
    <w:rsid w:val="00941FA9"/>
    <w:rsid w:val="00944489"/>
    <w:rsid w:val="009444B4"/>
    <w:rsid w:val="00944644"/>
    <w:rsid w:val="00944C27"/>
    <w:rsid w:val="00946603"/>
    <w:rsid w:val="00946A24"/>
    <w:rsid w:val="00946AA7"/>
    <w:rsid w:val="009470D4"/>
    <w:rsid w:val="00947337"/>
    <w:rsid w:val="009476D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F8"/>
    <w:rsid w:val="009629B5"/>
    <w:rsid w:val="00962A50"/>
    <w:rsid w:val="0096331E"/>
    <w:rsid w:val="0096409A"/>
    <w:rsid w:val="00964138"/>
    <w:rsid w:val="009641E9"/>
    <w:rsid w:val="0096470D"/>
    <w:rsid w:val="009648D6"/>
    <w:rsid w:val="00964B3F"/>
    <w:rsid w:val="00964C98"/>
    <w:rsid w:val="009654C6"/>
    <w:rsid w:val="00965DAF"/>
    <w:rsid w:val="00965DF2"/>
    <w:rsid w:val="009661D7"/>
    <w:rsid w:val="0097072C"/>
    <w:rsid w:val="009710E5"/>
    <w:rsid w:val="00971441"/>
    <w:rsid w:val="009715D4"/>
    <w:rsid w:val="0097179A"/>
    <w:rsid w:val="009732A4"/>
    <w:rsid w:val="009739A8"/>
    <w:rsid w:val="00973C05"/>
    <w:rsid w:val="0097494E"/>
    <w:rsid w:val="00974999"/>
    <w:rsid w:val="00974B58"/>
    <w:rsid w:val="00975445"/>
    <w:rsid w:val="009761ED"/>
    <w:rsid w:val="0097769A"/>
    <w:rsid w:val="00977B94"/>
    <w:rsid w:val="00980206"/>
    <w:rsid w:val="0098022F"/>
    <w:rsid w:val="00980E44"/>
    <w:rsid w:val="00980EAB"/>
    <w:rsid w:val="009810DE"/>
    <w:rsid w:val="00981B91"/>
    <w:rsid w:val="00981DFC"/>
    <w:rsid w:val="009822D7"/>
    <w:rsid w:val="009827E6"/>
    <w:rsid w:val="00982F84"/>
    <w:rsid w:val="00983661"/>
    <w:rsid w:val="0098427D"/>
    <w:rsid w:val="00984567"/>
    <w:rsid w:val="00984B16"/>
    <w:rsid w:val="00985102"/>
    <w:rsid w:val="009854BC"/>
    <w:rsid w:val="00985CE1"/>
    <w:rsid w:val="00985D73"/>
    <w:rsid w:val="00985DF5"/>
    <w:rsid w:val="00985E57"/>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022"/>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0F2"/>
    <w:rsid w:val="009A2435"/>
    <w:rsid w:val="009A254A"/>
    <w:rsid w:val="009A35DC"/>
    <w:rsid w:val="009A38AB"/>
    <w:rsid w:val="009A39DD"/>
    <w:rsid w:val="009A3D47"/>
    <w:rsid w:val="009A40FB"/>
    <w:rsid w:val="009A4D63"/>
    <w:rsid w:val="009A5356"/>
    <w:rsid w:val="009A5468"/>
    <w:rsid w:val="009A5D99"/>
    <w:rsid w:val="009A608C"/>
    <w:rsid w:val="009A6F49"/>
    <w:rsid w:val="009A6FDF"/>
    <w:rsid w:val="009A715F"/>
    <w:rsid w:val="009A76D6"/>
    <w:rsid w:val="009B011D"/>
    <w:rsid w:val="009B073C"/>
    <w:rsid w:val="009B0B78"/>
    <w:rsid w:val="009B2374"/>
    <w:rsid w:val="009B2466"/>
    <w:rsid w:val="009B2A8C"/>
    <w:rsid w:val="009B2E29"/>
    <w:rsid w:val="009B3163"/>
    <w:rsid w:val="009B422F"/>
    <w:rsid w:val="009B46BC"/>
    <w:rsid w:val="009B484A"/>
    <w:rsid w:val="009B4D1A"/>
    <w:rsid w:val="009B4D85"/>
    <w:rsid w:val="009B502F"/>
    <w:rsid w:val="009B558B"/>
    <w:rsid w:val="009B55F9"/>
    <w:rsid w:val="009B5F29"/>
    <w:rsid w:val="009B6A34"/>
    <w:rsid w:val="009B6D21"/>
    <w:rsid w:val="009B6DCD"/>
    <w:rsid w:val="009B707D"/>
    <w:rsid w:val="009B78ED"/>
    <w:rsid w:val="009C17D3"/>
    <w:rsid w:val="009C181C"/>
    <w:rsid w:val="009C1A44"/>
    <w:rsid w:val="009C1C7F"/>
    <w:rsid w:val="009C1EC7"/>
    <w:rsid w:val="009C28A2"/>
    <w:rsid w:val="009C2C1F"/>
    <w:rsid w:val="009C2CC3"/>
    <w:rsid w:val="009C3239"/>
    <w:rsid w:val="009C37CE"/>
    <w:rsid w:val="009C3828"/>
    <w:rsid w:val="009C3AD3"/>
    <w:rsid w:val="009C3AF4"/>
    <w:rsid w:val="009C3D2C"/>
    <w:rsid w:val="009C3EE3"/>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11F6"/>
    <w:rsid w:val="009D1780"/>
    <w:rsid w:val="009D1A14"/>
    <w:rsid w:val="009D1D53"/>
    <w:rsid w:val="009D1E2A"/>
    <w:rsid w:val="009D1F8D"/>
    <w:rsid w:val="009D1FA0"/>
    <w:rsid w:val="009D265C"/>
    <w:rsid w:val="009D2B31"/>
    <w:rsid w:val="009D2BDF"/>
    <w:rsid w:val="009D3736"/>
    <w:rsid w:val="009D3C84"/>
    <w:rsid w:val="009D4529"/>
    <w:rsid w:val="009D604F"/>
    <w:rsid w:val="009D61BB"/>
    <w:rsid w:val="009D6410"/>
    <w:rsid w:val="009D68BB"/>
    <w:rsid w:val="009D6CF5"/>
    <w:rsid w:val="009D6F72"/>
    <w:rsid w:val="009D70C2"/>
    <w:rsid w:val="009D7ADB"/>
    <w:rsid w:val="009D7B33"/>
    <w:rsid w:val="009E02D9"/>
    <w:rsid w:val="009E06C3"/>
    <w:rsid w:val="009E0703"/>
    <w:rsid w:val="009E1035"/>
    <w:rsid w:val="009E16DA"/>
    <w:rsid w:val="009E1CD4"/>
    <w:rsid w:val="009E1EE4"/>
    <w:rsid w:val="009E2084"/>
    <w:rsid w:val="009E2391"/>
    <w:rsid w:val="009E2771"/>
    <w:rsid w:val="009E2EF9"/>
    <w:rsid w:val="009E34A5"/>
    <w:rsid w:val="009E4648"/>
    <w:rsid w:val="009E476A"/>
    <w:rsid w:val="009E4E05"/>
    <w:rsid w:val="009E56FF"/>
    <w:rsid w:val="009E5A77"/>
    <w:rsid w:val="009E5CB1"/>
    <w:rsid w:val="009E5E56"/>
    <w:rsid w:val="009E61EA"/>
    <w:rsid w:val="009E6343"/>
    <w:rsid w:val="009E68BC"/>
    <w:rsid w:val="009E6990"/>
    <w:rsid w:val="009E6B66"/>
    <w:rsid w:val="009E6FEE"/>
    <w:rsid w:val="009F00B9"/>
    <w:rsid w:val="009F060F"/>
    <w:rsid w:val="009F0781"/>
    <w:rsid w:val="009F0850"/>
    <w:rsid w:val="009F1BDF"/>
    <w:rsid w:val="009F1EAE"/>
    <w:rsid w:val="009F292B"/>
    <w:rsid w:val="009F369D"/>
    <w:rsid w:val="009F36FE"/>
    <w:rsid w:val="009F3924"/>
    <w:rsid w:val="009F452A"/>
    <w:rsid w:val="009F4990"/>
    <w:rsid w:val="009F4F25"/>
    <w:rsid w:val="009F59C2"/>
    <w:rsid w:val="009F5A5A"/>
    <w:rsid w:val="009F7235"/>
    <w:rsid w:val="009F7263"/>
    <w:rsid w:val="009F76EA"/>
    <w:rsid w:val="009F78EB"/>
    <w:rsid w:val="009F7F32"/>
    <w:rsid w:val="009F7FEB"/>
    <w:rsid w:val="00A003D5"/>
    <w:rsid w:val="00A005CD"/>
    <w:rsid w:val="00A0156A"/>
    <w:rsid w:val="00A01852"/>
    <w:rsid w:val="00A0188B"/>
    <w:rsid w:val="00A01D27"/>
    <w:rsid w:val="00A01E73"/>
    <w:rsid w:val="00A02137"/>
    <w:rsid w:val="00A023E7"/>
    <w:rsid w:val="00A02B88"/>
    <w:rsid w:val="00A03160"/>
    <w:rsid w:val="00A036AC"/>
    <w:rsid w:val="00A0374B"/>
    <w:rsid w:val="00A03C54"/>
    <w:rsid w:val="00A03DE5"/>
    <w:rsid w:val="00A041BC"/>
    <w:rsid w:val="00A0447F"/>
    <w:rsid w:val="00A046D2"/>
    <w:rsid w:val="00A04A54"/>
    <w:rsid w:val="00A05B4B"/>
    <w:rsid w:val="00A05D44"/>
    <w:rsid w:val="00A05E75"/>
    <w:rsid w:val="00A06267"/>
    <w:rsid w:val="00A06428"/>
    <w:rsid w:val="00A066C3"/>
    <w:rsid w:val="00A06754"/>
    <w:rsid w:val="00A069E0"/>
    <w:rsid w:val="00A06E4A"/>
    <w:rsid w:val="00A06EE8"/>
    <w:rsid w:val="00A070E9"/>
    <w:rsid w:val="00A078FB"/>
    <w:rsid w:val="00A102BF"/>
    <w:rsid w:val="00A1036D"/>
    <w:rsid w:val="00A1069F"/>
    <w:rsid w:val="00A107F8"/>
    <w:rsid w:val="00A10AAD"/>
    <w:rsid w:val="00A10ACA"/>
    <w:rsid w:val="00A10D08"/>
    <w:rsid w:val="00A11215"/>
    <w:rsid w:val="00A11E78"/>
    <w:rsid w:val="00A12355"/>
    <w:rsid w:val="00A127D2"/>
    <w:rsid w:val="00A12C0C"/>
    <w:rsid w:val="00A13CF5"/>
    <w:rsid w:val="00A143EC"/>
    <w:rsid w:val="00A149E8"/>
    <w:rsid w:val="00A149F3"/>
    <w:rsid w:val="00A1500F"/>
    <w:rsid w:val="00A15621"/>
    <w:rsid w:val="00A15670"/>
    <w:rsid w:val="00A157A0"/>
    <w:rsid w:val="00A1585B"/>
    <w:rsid w:val="00A15AA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0CE"/>
    <w:rsid w:val="00A27207"/>
    <w:rsid w:val="00A27FB6"/>
    <w:rsid w:val="00A30121"/>
    <w:rsid w:val="00A30368"/>
    <w:rsid w:val="00A3043A"/>
    <w:rsid w:val="00A30E02"/>
    <w:rsid w:val="00A30F6A"/>
    <w:rsid w:val="00A31C3E"/>
    <w:rsid w:val="00A31E2B"/>
    <w:rsid w:val="00A32D39"/>
    <w:rsid w:val="00A33662"/>
    <w:rsid w:val="00A3391E"/>
    <w:rsid w:val="00A34538"/>
    <w:rsid w:val="00A34677"/>
    <w:rsid w:val="00A3535E"/>
    <w:rsid w:val="00A3540F"/>
    <w:rsid w:val="00A35630"/>
    <w:rsid w:val="00A35914"/>
    <w:rsid w:val="00A35A0D"/>
    <w:rsid w:val="00A36189"/>
    <w:rsid w:val="00A37551"/>
    <w:rsid w:val="00A37A2D"/>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8E6"/>
    <w:rsid w:val="00A45EC5"/>
    <w:rsid w:val="00A45F9B"/>
    <w:rsid w:val="00A46574"/>
    <w:rsid w:val="00A46C68"/>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A62"/>
    <w:rsid w:val="00A56BBF"/>
    <w:rsid w:val="00A56DE7"/>
    <w:rsid w:val="00A579F1"/>
    <w:rsid w:val="00A57DDD"/>
    <w:rsid w:val="00A57EB2"/>
    <w:rsid w:val="00A6009E"/>
    <w:rsid w:val="00A60265"/>
    <w:rsid w:val="00A60B1F"/>
    <w:rsid w:val="00A60B4A"/>
    <w:rsid w:val="00A610C3"/>
    <w:rsid w:val="00A613E5"/>
    <w:rsid w:val="00A6160B"/>
    <w:rsid w:val="00A6195E"/>
    <w:rsid w:val="00A61993"/>
    <w:rsid w:val="00A61C60"/>
    <w:rsid w:val="00A62589"/>
    <w:rsid w:val="00A62AD0"/>
    <w:rsid w:val="00A62C3A"/>
    <w:rsid w:val="00A6319C"/>
    <w:rsid w:val="00A63812"/>
    <w:rsid w:val="00A63DF7"/>
    <w:rsid w:val="00A6454D"/>
    <w:rsid w:val="00A64F18"/>
    <w:rsid w:val="00A64F2F"/>
    <w:rsid w:val="00A65505"/>
    <w:rsid w:val="00A65AA4"/>
    <w:rsid w:val="00A65C5E"/>
    <w:rsid w:val="00A6611E"/>
    <w:rsid w:val="00A6634D"/>
    <w:rsid w:val="00A668BA"/>
    <w:rsid w:val="00A66FA7"/>
    <w:rsid w:val="00A67E16"/>
    <w:rsid w:val="00A67E2C"/>
    <w:rsid w:val="00A67EB1"/>
    <w:rsid w:val="00A703CC"/>
    <w:rsid w:val="00A7074F"/>
    <w:rsid w:val="00A70C5C"/>
    <w:rsid w:val="00A710A2"/>
    <w:rsid w:val="00A71859"/>
    <w:rsid w:val="00A719D1"/>
    <w:rsid w:val="00A71EA7"/>
    <w:rsid w:val="00A730AD"/>
    <w:rsid w:val="00A73855"/>
    <w:rsid w:val="00A73D64"/>
    <w:rsid w:val="00A74216"/>
    <w:rsid w:val="00A7434D"/>
    <w:rsid w:val="00A744B4"/>
    <w:rsid w:val="00A751E3"/>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F"/>
    <w:rsid w:val="00A84443"/>
    <w:rsid w:val="00A8487F"/>
    <w:rsid w:val="00A849A3"/>
    <w:rsid w:val="00A84A0E"/>
    <w:rsid w:val="00A85290"/>
    <w:rsid w:val="00A861C8"/>
    <w:rsid w:val="00A863CA"/>
    <w:rsid w:val="00A86817"/>
    <w:rsid w:val="00A86E0B"/>
    <w:rsid w:val="00A874BB"/>
    <w:rsid w:val="00A87CE5"/>
    <w:rsid w:val="00A90C54"/>
    <w:rsid w:val="00A90F12"/>
    <w:rsid w:val="00A91DAA"/>
    <w:rsid w:val="00A927DA"/>
    <w:rsid w:val="00A93101"/>
    <w:rsid w:val="00A93A76"/>
    <w:rsid w:val="00A9413E"/>
    <w:rsid w:val="00A94281"/>
    <w:rsid w:val="00A94293"/>
    <w:rsid w:val="00A9496E"/>
    <w:rsid w:val="00A949F0"/>
    <w:rsid w:val="00A94BDE"/>
    <w:rsid w:val="00A94FCA"/>
    <w:rsid w:val="00A95E4C"/>
    <w:rsid w:val="00A9647B"/>
    <w:rsid w:val="00A964C9"/>
    <w:rsid w:val="00A96568"/>
    <w:rsid w:val="00A96C60"/>
    <w:rsid w:val="00A970FA"/>
    <w:rsid w:val="00A97367"/>
    <w:rsid w:val="00A9740B"/>
    <w:rsid w:val="00A9758E"/>
    <w:rsid w:val="00A9766C"/>
    <w:rsid w:val="00A976D3"/>
    <w:rsid w:val="00A977F8"/>
    <w:rsid w:val="00A979DB"/>
    <w:rsid w:val="00A97C93"/>
    <w:rsid w:val="00A97E85"/>
    <w:rsid w:val="00AA08E7"/>
    <w:rsid w:val="00AA0A06"/>
    <w:rsid w:val="00AA1351"/>
    <w:rsid w:val="00AA184C"/>
    <w:rsid w:val="00AA1C84"/>
    <w:rsid w:val="00AA1E7E"/>
    <w:rsid w:val="00AA20FA"/>
    <w:rsid w:val="00AA3230"/>
    <w:rsid w:val="00AA3D7B"/>
    <w:rsid w:val="00AA42A0"/>
    <w:rsid w:val="00AA442B"/>
    <w:rsid w:val="00AA4629"/>
    <w:rsid w:val="00AA46A4"/>
    <w:rsid w:val="00AA568B"/>
    <w:rsid w:val="00AA5779"/>
    <w:rsid w:val="00AA58A1"/>
    <w:rsid w:val="00AA59B5"/>
    <w:rsid w:val="00AA5A8C"/>
    <w:rsid w:val="00AA61C7"/>
    <w:rsid w:val="00AA669D"/>
    <w:rsid w:val="00AA66ED"/>
    <w:rsid w:val="00AA6B59"/>
    <w:rsid w:val="00AA6BE1"/>
    <w:rsid w:val="00AA7416"/>
    <w:rsid w:val="00AA7A60"/>
    <w:rsid w:val="00AA7B42"/>
    <w:rsid w:val="00AB041C"/>
    <w:rsid w:val="00AB0538"/>
    <w:rsid w:val="00AB1340"/>
    <w:rsid w:val="00AB14E8"/>
    <w:rsid w:val="00AB1B1D"/>
    <w:rsid w:val="00AB2000"/>
    <w:rsid w:val="00AB2216"/>
    <w:rsid w:val="00AB3202"/>
    <w:rsid w:val="00AB358D"/>
    <w:rsid w:val="00AB37A1"/>
    <w:rsid w:val="00AB3BAD"/>
    <w:rsid w:val="00AB3CFD"/>
    <w:rsid w:val="00AB4244"/>
    <w:rsid w:val="00AB49BC"/>
    <w:rsid w:val="00AB4C02"/>
    <w:rsid w:val="00AB4DEE"/>
    <w:rsid w:val="00AB4E32"/>
    <w:rsid w:val="00AB5999"/>
    <w:rsid w:val="00AB5C19"/>
    <w:rsid w:val="00AB67A0"/>
    <w:rsid w:val="00AB724B"/>
    <w:rsid w:val="00AB726C"/>
    <w:rsid w:val="00AB72B4"/>
    <w:rsid w:val="00AC02AA"/>
    <w:rsid w:val="00AC0537"/>
    <w:rsid w:val="00AC07E3"/>
    <w:rsid w:val="00AC0A84"/>
    <w:rsid w:val="00AC1508"/>
    <w:rsid w:val="00AC15E4"/>
    <w:rsid w:val="00AC1957"/>
    <w:rsid w:val="00AC24CE"/>
    <w:rsid w:val="00AC2A0B"/>
    <w:rsid w:val="00AC2BEE"/>
    <w:rsid w:val="00AC2E53"/>
    <w:rsid w:val="00AC35E4"/>
    <w:rsid w:val="00AC39C5"/>
    <w:rsid w:val="00AC484F"/>
    <w:rsid w:val="00AC4B20"/>
    <w:rsid w:val="00AC56F2"/>
    <w:rsid w:val="00AC71C3"/>
    <w:rsid w:val="00AC7212"/>
    <w:rsid w:val="00AC7862"/>
    <w:rsid w:val="00AC7B88"/>
    <w:rsid w:val="00AD0547"/>
    <w:rsid w:val="00AD09F7"/>
    <w:rsid w:val="00AD11E3"/>
    <w:rsid w:val="00AD1EFA"/>
    <w:rsid w:val="00AD2072"/>
    <w:rsid w:val="00AD2DBD"/>
    <w:rsid w:val="00AD2FBF"/>
    <w:rsid w:val="00AD314B"/>
    <w:rsid w:val="00AD340E"/>
    <w:rsid w:val="00AD3A38"/>
    <w:rsid w:val="00AD3E34"/>
    <w:rsid w:val="00AD455D"/>
    <w:rsid w:val="00AD463C"/>
    <w:rsid w:val="00AD4F60"/>
    <w:rsid w:val="00AD5044"/>
    <w:rsid w:val="00AD5114"/>
    <w:rsid w:val="00AD55D5"/>
    <w:rsid w:val="00AD6236"/>
    <w:rsid w:val="00AD69D5"/>
    <w:rsid w:val="00AD6B97"/>
    <w:rsid w:val="00AD6FD3"/>
    <w:rsid w:val="00AD7619"/>
    <w:rsid w:val="00AD7770"/>
    <w:rsid w:val="00AE1356"/>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A6B"/>
    <w:rsid w:val="00AE6DC5"/>
    <w:rsid w:val="00AE7686"/>
    <w:rsid w:val="00AE78BE"/>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0421"/>
    <w:rsid w:val="00B01078"/>
    <w:rsid w:val="00B011A7"/>
    <w:rsid w:val="00B011A9"/>
    <w:rsid w:val="00B01BAF"/>
    <w:rsid w:val="00B01C36"/>
    <w:rsid w:val="00B020EB"/>
    <w:rsid w:val="00B024ED"/>
    <w:rsid w:val="00B026B8"/>
    <w:rsid w:val="00B02EB3"/>
    <w:rsid w:val="00B02FCB"/>
    <w:rsid w:val="00B033F8"/>
    <w:rsid w:val="00B0395C"/>
    <w:rsid w:val="00B03C1E"/>
    <w:rsid w:val="00B04400"/>
    <w:rsid w:val="00B04835"/>
    <w:rsid w:val="00B04A88"/>
    <w:rsid w:val="00B0515B"/>
    <w:rsid w:val="00B05A55"/>
    <w:rsid w:val="00B05DE1"/>
    <w:rsid w:val="00B06595"/>
    <w:rsid w:val="00B06798"/>
    <w:rsid w:val="00B0749C"/>
    <w:rsid w:val="00B10109"/>
    <w:rsid w:val="00B10720"/>
    <w:rsid w:val="00B10776"/>
    <w:rsid w:val="00B1085E"/>
    <w:rsid w:val="00B10FD1"/>
    <w:rsid w:val="00B119AE"/>
    <w:rsid w:val="00B1219D"/>
    <w:rsid w:val="00B12469"/>
    <w:rsid w:val="00B1271A"/>
    <w:rsid w:val="00B12735"/>
    <w:rsid w:val="00B12F44"/>
    <w:rsid w:val="00B13C48"/>
    <w:rsid w:val="00B13E35"/>
    <w:rsid w:val="00B13EC0"/>
    <w:rsid w:val="00B14102"/>
    <w:rsid w:val="00B144EA"/>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1FD5"/>
    <w:rsid w:val="00B22E22"/>
    <w:rsid w:val="00B22F5F"/>
    <w:rsid w:val="00B231D9"/>
    <w:rsid w:val="00B23813"/>
    <w:rsid w:val="00B23EDB"/>
    <w:rsid w:val="00B23FD9"/>
    <w:rsid w:val="00B24591"/>
    <w:rsid w:val="00B245D5"/>
    <w:rsid w:val="00B245EF"/>
    <w:rsid w:val="00B24C36"/>
    <w:rsid w:val="00B24F94"/>
    <w:rsid w:val="00B25126"/>
    <w:rsid w:val="00B25A52"/>
    <w:rsid w:val="00B25FC3"/>
    <w:rsid w:val="00B26737"/>
    <w:rsid w:val="00B27875"/>
    <w:rsid w:val="00B27BB5"/>
    <w:rsid w:val="00B3008D"/>
    <w:rsid w:val="00B30A94"/>
    <w:rsid w:val="00B30E11"/>
    <w:rsid w:val="00B30EAE"/>
    <w:rsid w:val="00B30EEB"/>
    <w:rsid w:val="00B31423"/>
    <w:rsid w:val="00B319B1"/>
    <w:rsid w:val="00B321C1"/>
    <w:rsid w:val="00B323E0"/>
    <w:rsid w:val="00B32DC0"/>
    <w:rsid w:val="00B330FD"/>
    <w:rsid w:val="00B3346C"/>
    <w:rsid w:val="00B335E1"/>
    <w:rsid w:val="00B335E4"/>
    <w:rsid w:val="00B33920"/>
    <w:rsid w:val="00B33C23"/>
    <w:rsid w:val="00B34408"/>
    <w:rsid w:val="00B345B4"/>
    <w:rsid w:val="00B348B1"/>
    <w:rsid w:val="00B34A28"/>
    <w:rsid w:val="00B34B38"/>
    <w:rsid w:val="00B35046"/>
    <w:rsid w:val="00B355C6"/>
    <w:rsid w:val="00B35B6A"/>
    <w:rsid w:val="00B35BFD"/>
    <w:rsid w:val="00B35C51"/>
    <w:rsid w:val="00B35DAA"/>
    <w:rsid w:val="00B364FF"/>
    <w:rsid w:val="00B36D2B"/>
    <w:rsid w:val="00B37657"/>
    <w:rsid w:val="00B378BF"/>
    <w:rsid w:val="00B37AFD"/>
    <w:rsid w:val="00B37B07"/>
    <w:rsid w:val="00B4046F"/>
    <w:rsid w:val="00B406B3"/>
    <w:rsid w:val="00B40A36"/>
    <w:rsid w:val="00B40DCB"/>
    <w:rsid w:val="00B40F77"/>
    <w:rsid w:val="00B41A2A"/>
    <w:rsid w:val="00B41D39"/>
    <w:rsid w:val="00B41FD1"/>
    <w:rsid w:val="00B422C0"/>
    <w:rsid w:val="00B426CA"/>
    <w:rsid w:val="00B426E1"/>
    <w:rsid w:val="00B42973"/>
    <w:rsid w:val="00B42F6D"/>
    <w:rsid w:val="00B42F77"/>
    <w:rsid w:val="00B43449"/>
    <w:rsid w:val="00B4364A"/>
    <w:rsid w:val="00B4387A"/>
    <w:rsid w:val="00B43AFE"/>
    <w:rsid w:val="00B43DA1"/>
    <w:rsid w:val="00B43EAC"/>
    <w:rsid w:val="00B43F98"/>
    <w:rsid w:val="00B44281"/>
    <w:rsid w:val="00B44746"/>
    <w:rsid w:val="00B44854"/>
    <w:rsid w:val="00B44BA5"/>
    <w:rsid w:val="00B44FF6"/>
    <w:rsid w:val="00B458D0"/>
    <w:rsid w:val="00B4595C"/>
    <w:rsid w:val="00B4661B"/>
    <w:rsid w:val="00B46915"/>
    <w:rsid w:val="00B4792C"/>
    <w:rsid w:val="00B5054D"/>
    <w:rsid w:val="00B50CAE"/>
    <w:rsid w:val="00B50E01"/>
    <w:rsid w:val="00B512AD"/>
    <w:rsid w:val="00B5196C"/>
    <w:rsid w:val="00B525CB"/>
    <w:rsid w:val="00B52697"/>
    <w:rsid w:val="00B52AE8"/>
    <w:rsid w:val="00B52FA2"/>
    <w:rsid w:val="00B54D8F"/>
    <w:rsid w:val="00B55857"/>
    <w:rsid w:val="00B55C69"/>
    <w:rsid w:val="00B56851"/>
    <w:rsid w:val="00B569D4"/>
    <w:rsid w:val="00B56BA8"/>
    <w:rsid w:val="00B56D48"/>
    <w:rsid w:val="00B56D6E"/>
    <w:rsid w:val="00B572D9"/>
    <w:rsid w:val="00B572F7"/>
    <w:rsid w:val="00B57B9D"/>
    <w:rsid w:val="00B57DAF"/>
    <w:rsid w:val="00B60094"/>
    <w:rsid w:val="00B6022C"/>
    <w:rsid w:val="00B60C16"/>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6E42"/>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5972"/>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0ABE"/>
    <w:rsid w:val="00B91162"/>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1DF"/>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147"/>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44D"/>
    <w:rsid w:val="00BB2841"/>
    <w:rsid w:val="00BB2A74"/>
    <w:rsid w:val="00BB300F"/>
    <w:rsid w:val="00BB32C9"/>
    <w:rsid w:val="00BB35C5"/>
    <w:rsid w:val="00BB4293"/>
    <w:rsid w:val="00BB48C1"/>
    <w:rsid w:val="00BB4C8E"/>
    <w:rsid w:val="00BB57ED"/>
    <w:rsid w:val="00BB5DD6"/>
    <w:rsid w:val="00BB65C3"/>
    <w:rsid w:val="00BB662E"/>
    <w:rsid w:val="00BB6721"/>
    <w:rsid w:val="00BB67A9"/>
    <w:rsid w:val="00BB68DA"/>
    <w:rsid w:val="00BB6C01"/>
    <w:rsid w:val="00BB70D5"/>
    <w:rsid w:val="00BB748C"/>
    <w:rsid w:val="00BB7942"/>
    <w:rsid w:val="00BB7CD1"/>
    <w:rsid w:val="00BC088F"/>
    <w:rsid w:val="00BC0F33"/>
    <w:rsid w:val="00BC14A7"/>
    <w:rsid w:val="00BC17CC"/>
    <w:rsid w:val="00BC2898"/>
    <w:rsid w:val="00BC2928"/>
    <w:rsid w:val="00BC296E"/>
    <w:rsid w:val="00BC29BD"/>
    <w:rsid w:val="00BC2BB1"/>
    <w:rsid w:val="00BC2E8F"/>
    <w:rsid w:val="00BC34A3"/>
    <w:rsid w:val="00BC3FF9"/>
    <w:rsid w:val="00BC4112"/>
    <w:rsid w:val="00BC4834"/>
    <w:rsid w:val="00BC4A97"/>
    <w:rsid w:val="00BC4E15"/>
    <w:rsid w:val="00BC520E"/>
    <w:rsid w:val="00BC5A25"/>
    <w:rsid w:val="00BC5FDD"/>
    <w:rsid w:val="00BC68B4"/>
    <w:rsid w:val="00BC6C0E"/>
    <w:rsid w:val="00BD0140"/>
    <w:rsid w:val="00BD02CC"/>
    <w:rsid w:val="00BD0611"/>
    <w:rsid w:val="00BD088E"/>
    <w:rsid w:val="00BD0F18"/>
    <w:rsid w:val="00BD115F"/>
    <w:rsid w:val="00BD2063"/>
    <w:rsid w:val="00BD332F"/>
    <w:rsid w:val="00BD33D9"/>
    <w:rsid w:val="00BD38AE"/>
    <w:rsid w:val="00BD38C5"/>
    <w:rsid w:val="00BD3DEA"/>
    <w:rsid w:val="00BD3E97"/>
    <w:rsid w:val="00BD3EDB"/>
    <w:rsid w:val="00BD40E4"/>
    <w:rsid w:val="00BD48E5"/>
    <w:rsid w:val="00BD525B"/>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6C0"/>
    <w:rsid w:val="00BE3116"/>
    <w:rsid w:val="00BE3442"/>
    <w:rsid w:val="00BE37CD"/>
    <w:rsid w:val="00BE42D6"/>
    <w:rsid w:val="00BE47B2"/>
    <w:rsid w:val="00BE48C7"/>
    <w:rsid w:val="00BE4C4F"/>
    <w:rsid w:val="00BE4F66"/>
    <w:rsid w:val="00BE522D"/>
    <w:rsid w:val="00BE5238"/>
    <w:rsid w:val="00BE6074"/>
    <w:rsid w:val="00BE6860"/>
    <w:rsid w:val="00BE6938"/>
    <w:rsid w:val="00BE6EDD"/>
    <w:rsid w:val="00BE7257"/>
    <w:rsid w:val="00BE7302"/>
    <w:rsid w:val="00BF020D"/>
    <w:rsid w:val="00BF0609"/>
    <w:rsid w:val="00BF0E64"/>
    <w:rsid w:val="00BF0EE8"/>
    <w:rsid w:val="00BF131B"/>
    <w:rsid w:val="00BF1C07"/>
    <w:rsid w:val="00BF1DD2"/>
    <w:rsid w:val="00BF22BF"/>
    <w:rsid w:val="00BF23A3"/>
    <w:rsid w:val="00BF2A7E"/>
    <w:rsid w:val="00BF3331"/>
    <w:rsid w:val="00BF3521"/>
    <w:rsid w:val="00BF3A45"/>
    <w:rsid w:val="00BF436F"/>
    <w:rsid w:val="00BF4484"/>
    <w:rsid w:val="00BF519C"/>
    <w:rsid w:val="00BF5C05"/>
    <w:rsid w:val="00BF5CB4"/>
    <w:rsid w:val="00BF6FC6"/>
    <w:rsid w:val="00BF7562"/>
    <w:rsid w:val="00BF77A5"/>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CCF"/>
    <w:rsid w:val="00C0794D"/>
    <w:rsid w:val="00C10B33"/>
    <w:rsid w:val="00C10E78"/>
    <w:rsid w:val="00C1159D"/>
    <w:rsid w:val="00C118E1"/>
    <w:rsid w:val="00C11E32"/>
    <w:rsid w:val="00C1233E"/>
    <w:rsid w:val="00C1233F"/>
    <w:rsid w:val="00C123F6"/>
    <w:rsid w:val="00C1272B"/>
    <w:rsid w:val="00C12FB3"/>
    <w:rsid w:val="00C138BC"/>
    <w:rsid w:val="00C13D85"/>
    <w:rsid w:val="00C14639"/>
    <w:rsid w:val="00C14E14"/>
    <w:rsid w:val="00C14E82"/>
    <w:rsid w:val="00C14FF6"/>
    <w:rsid w:val="00C151ED"/>
    <w:rsid w:val="00C15A85"/>
    <w:rsid w:val="00C1637C"/>
    <w:rsid w:val="00C1641B"/>
    <w:rsid w:val="00C165FC"/>
    <w:rsid w:val="00C176D5"/>
    <w:rsid w:val="00C17B49"/>
    <w:rsid w:val="00C17D24"/>
    <w:rsid w:val="00C2082C"/>
    <w:rsid w:val="00C20CC6"/>
    <w:rsid w:val="00C20E1E"/>
    <w:rsid w:val="00C20EB0"/>
    <w:rsid w:val="00C21004"/>
    <w:rsid w:val="00C21005"/>
    <w:rsid w:val="00C2136E"/>
    <w:rsid w:val="00C220B6"/>
    <w:rsid w:val="00C22D7C"/>
    <w:rsid w:val="00C22DDE"/>
    <w:rsid w:val="00C23028"/>
    <w:rsid w:val="00C2338B"/>
    <w:rsid w:val="00C233CE"/>
    <w:rsid w:val="00C237DD"/>
    <w:rsid w:val="00C238F4"/>
    <w:rsid w:val="00C23A99"/>
    <w:rsid w:val="00C23FBF"/>
    <w:rsid w:val="00C245EE"/>
    <w:rsid w:val="00C24AE1"/>
    <w:rsid w:val="00C24B8D"/>
    <w:rsid w:val="00C24BD7"/>
    <w:rsid w:val="00C24EF2"/>
    <w:rsid w:val="00C24FD5"/>
    <w:rsid w:val="00C25813"/>
    <w:rsid w:val="00C26BAB"/>
    <w:rsid w:val="00C26D76"/>
    <w:rsid w:val="00C27143"/>
    <w:rsid w:val="00C2719D"/>
    <w:rsid w:val="00C272CE"/>
    <w:rsid w:val="00C27490"/>
    <w:rsid w:val="00C27712"/>
    <w:rsid w:val="00C27D37"/>
    <w:rsid w:val="00C30038"/>
    <w:rsid w:val="00C30658"/>
    <w:rsid w:val="00C309E8"/>
    <w:rsid w:val="00C32017"/>
    <w:rsid w:val="00C32571"/>
    <w:rsid w:val="00C325CD"/>
    <w:rsid w:val="00C3322E"/>
    <w:rsid w:val="00C33548"/>
    <w:rsid w:val="00C337F5"/>
    <w:rsid w:val="00C33B90"/>
    <w:rsid w:val="00C34161"/>
    <w:rsid w:val="00C34A09"/>
    <w:rsid w:val="00C34B5F"/>
    <w:rsid w:val="00C358D4"/>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654F"/>
    <w:rsid w:val="00C47120"/>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2CD"/>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36F"/>
    <w:rsid w:val="00C66D0A"/>
    <w:rsid w:val="00C66F21"/>
    <w:rsid w:val="00C672A3"/>
    <w:rsid w:val="00C672F1"/>
    <w:rsid w:val="00C673D0"/>
    <w:rsid w:val="00C6742E"/>
    <w:rsid w:val="00C67ABF"/>
    <w:rsid w:val="00C67B0B"/>
    <w:rsid w:val="00C70012"/>
    <w:rsid w:val="00C70671"/>
    <w:rsid w:val="00C708AA"/>
    <w:rsid w:val="00C70DEC"/>
    <w:rsid w:val="00C71E2A"/>
    <w:rsid w:val="00C71ED0"/>
    <w:rsid w:val="00C72FB8"/>
    <w:rsid w:val="00C733BA"/>
    <w:rsid w:val="00C73A34"/>
    <w:rsid w:val="00C7403A"/>
    <w:rsid w:val="00C75671"/>
    <w:rsid w:val="00C7595C"/>
    <w:rsid w:val="00C760DC"/>
    <w:rsid w:val="00C774EF"/>
    <w:rsid w:val="00C8082B"/>
    <w:rsid w:val="00C81A88"/>
    <w:rsid w:val="00C81AE5"/>
    <w:rsid w:val="00C81D46"/>
    <w:rsid w:val="00C82298"/>
    <w:rsid w:val="00C822B3"/>
    <w:rsid w:val="00C833B4"/>
    <w:rsid w:val="00C84284"/>
    <w:rsid w:val="00C84E33"/>
    <w:rsid w:val="00C85D99"/>
    <w:rsid w:val="00C85FCD"/>
    <w:rsid w:val="00C85FFC"/>
    <w:rsid w:val="00C861FC"/>
    <w:rsid w:val="00C86BF5"/>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0BD"/>
    <w:rsid w:val="00C959BD"/>
    <w:rsid w:val="00C95D64"/>
    <w:rsid w:val="00C95DFE"/>
    <w:rsid w:val="00C95F44"/>
    <w:rsid w:val="00C96A6D"/>
    <w:rsid w:val="00C96D1B"/>
    <w:rsid w:val="00C97106"/>
    <w:rsid w:val="00C978D4"/>
    <w:rsid w:val="00CA0031"/>
    <w:rsid w:val="00CA0413"/>
    <w:rsid w:val="00CA043A"/>
    <w:rsid w:val="00CA0E51"/>
    <w:rsid w:val="00CA1691"/>
    <w:rsid w:val="00CA257C"/>
    <w:rsid w:val="00CA2738"/>
    <w:rsid w:val="00CA2D2E"/>
    <w:rsid w:val="00CA2F26"/>
    <w:rsid w:val="00CA3C3A"/>
    <w:rsid w:val="00CA41E7"/>
    <w:rsid w:val="00CA4A99"/>
    <w:rsid w:val="00CA5520"/>
    <w:rsid w:val="00CA5812"/>
    <w:rsid w:val="00CA5BD4"/>
    <w:rsid w:val="00CA5C14"/>
    <w:rsid w:val="00CA5C62"/>
    <w:rsid w:val="00CA7500"/>
    <w:rsid w:val="00CA76FC"/>
    <w:rsid w:val="00CA7E7B"/>
    <w:rsid w:val="00CB0028"/>
    <w:rsid w:val="00CB0236"/>
    <w:rsid w:val="00CB0DAD"/>
    <w:rsid w:val="00CB0DC1"/>
    <w:rsid w:val="00CB144F"/>
    <w:rsid w:val="00CB1969"/>
    <w:rsid w:val="00CB19E3"/>
    <w:rsid w:val="00CB1DC1"/>
    <w:rsid w:val="00CB29D5"/>
    <w:rsid w:val="00CB2C3A"/>
    <w:rsid w:val="00CB2D38"/>
    <w:rsid w:val="00CB4137"/>
    <w:rsid w:val="00CB4A29"/>
    <w:rsid w:val="00CB4BF5"/>
    <w:rsid w:val="00CB52D0"/>
    <w:rsid w:val="00CB5302"/>
    <w:rsid w:val="00CB5578"/>
    <w:rsid w:val="00CB5671"/>
    <w:rsid w:val="00CB591C"/>
    <w:rsid w:val="00CB5943"/>
    <w:rsid w:val="00CB61B3"/>
    <w:rsid w:val="00CB6F83"/>
    <w:rsid w:val="00CB72AE"/>
    <w:rsid w:val="00CB7AC3"/>
    <w:rsid w:val="00CC00CD"/>
    <w:rsid w:val="00CC0579"/>
    <w:rsid w:val="00CC0AF3"/>
    <w:rsid w:val="00CC0BC6"/>
    <w:rsid w:val="00CC0E68"/>
    <w:rsid w:val="00CC1588"/>
    <w:rsid w:val="00CC1780"/>
    <w:rsid w:val="00CC194E"/>
    <w:rsid w:val="00CC1A50"/>
    <w:rsid w:val="00CC1ED2"/>
    <w:rsid w:val="00CC21AC"/>
    <w:rsid w:val="00CC232E"/>
    <w:rsid w:val="00CC2514"/>
    <w:rsid w:val="00CC2B1A"/>
    <w:rsid w:val="00CC2D34"/>
    <w:rsid w:val="00CC2F69"/>
    <w:rsid w:val="00CC315F"/>
    <w:rsid w:val="00CC3D38"/>
    <w:rsid w:val="00CC40C3"/>
    <w:rsid w:val="00CC4C57"/>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5A3C"/>
    <w:rsid w:val="00CD6988"/>
    <w:rsid w:val="00CD76F8"/>
    <w:rsid w:val="00CD7EFA"/>
    <w:rsid w:val="00CE020E"/>
    <w:rsid w:val="00CE02C2"/>
    <w:rsid w:val="00CE0566"/>
    <w:rsid w:val="00CE1030"/>
    <w:rsid w:val="00CE1CD4"/>
    <w:rsid w:val="00CE1E29"/>
    <w:rsid w:val="00CE207C"/>
    <w:rsid w:val="00CE2761"/>
    <w:rsid w:val="00CE28FC"/>
    <w:rsid w:val="00CE2ED5"/>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6CF"/>
    <w:rsid w:val="00CF1ABB"/>
    <w:rsid w:val="00CF1E1D"/>
    <w:rsid w:val="00CF23A0"/>
    <w:rsid w:val="00CF24FE"/>
    <w:rsid w:val="00CF287F"/>
    <w:rsid w:val="00CF35D0"/>
    <w:rsid w:val="00CF3B57"/>
    <w:rsid w:val="00CF3DD5"/>
    <w:rsid w:val="00CF42D1"/>
    <w:rsid w:val="00CF481B"/>
    <w:rsid w:val="00CF4AF7"/>
    <w:rsid w:val="00CF4D20"/>
    <w:rsid w:val="00CF6295"/>
    <w:rsid w:val="00CF70C2"/>
    <w:rsid w:val="00CF73F8"/>
    <w:rsid w:val="00CF75C1"/>
    <w:rsid w:val="00CF7928"/>
    <w:rsid w:val="00CF7CA2"/>
    <w:rsid w:val="00D00471"/>
    <w:rsid w:val="00D00684"/>
    <w:rsid w:val="00D00911"/>
    <w:rsid w:val="00D00A8E"/>
    <w:rsid w:val="00D00DE0"/>
    <w:rsid w:val="00D00F79"/>
    <w:rsid w:val="00D012BF"/>
    <w:rsid w:val="00D014AB"/>
    <w:rsid w:val="00D01760"/>
    <w:rsid w:val="00D02380"/>
    <w:rsid w:val="00D030BD"/>
    <w:rsid w:val="00D0368E"/>
    <w:rsid w:val="00D0393E"/>
    <w:rsid w:val="00D03AC3"/>
    <w:rsid w:val="00D03D2D"/>
    <w:rsid w:val="00D03E7B"/>
    <w:rsid w:val="00D0401A"/>
    <w:rsid w:val="00D0469C"/>
    <w:rsid w:val="00D046C1"/>
    <w:rsid w:val="00D0472C"/>
    <w:rsid w:val="00D047E0"/>
    <w:rsid w:val="00D04AB6"/>
    <w:rsid w:val="00D04B9F"/>
    <w:rsid w:val="00D04E8D"/>
    <w:rsid w:val="00D04FFB"/>
    <w:rsid w:val="00D053CF"/>
    <w:rsid w:val="00D055FE"/>
    <w:rsid w:val="00D058E9"/>
    <w:rsid w:val="00D0612A"/>
    <w:rsid w:val="00D0643F"/>
    <w:rsid w:val="00D06BAD"/>
    <w:rsid w:val="00D06E6B"/>
    <w:rsid w:val="00D07315"/>
    <w:rsid w:val="00D07F2D"/>
    <w:rsid w:val="00D1060D"/>
    <w:rsid w:val="00D10E7C"/>
    <w:rsid w:val="00D11182"/>
    <w:rsid w:val="00D1137B"/>
    <w:rsid w:val="00D11807"/>
    <w:rsid w:val="00D11DB3"/>
    <w:rsid w:val="00D12D82"/>
    <w:rsid w:val="00D12F77"/>
    <w:rsid w:val="00D1306E"/>
    <w:rsid w:val="00D134CD"/>
    <w:rsid w:val="00D14860"/>
    <w:rsid w:val="00D14B5F"/>
    <w:rsid w:val="00D14E13"/>
    <w:rsid w:val="00D14F23"/>
    <w:rsid w:val="00D157B8"/>
    <w:rsid w:val="00D160F6"/>
    <w:rsid w:val="00D1612B"/>
    <w:rsid w:val="00D16740"/>
    <w:rsid w:val="00D16A8B"/>
    <w:rsid w:val="00D16E39"/>
    <w:rsid w:val="00D172A4"/>
    <w:rsid w:val="00D17951"/>
    <w:rsid w:val="00D17AD8"/>
    <w:rsid w:val="00D17F91"/>
    <w:rsid w:val="00D2104A"/>
    <w:rsid w:val="00D21BB5"/>
    <w:rsid w:val="00D21FFC"/>
    <w:rsid w:val="00D223B6"/>
    <w:rsid w:val="00D223B7"/>
    <w:rsid w:val="00D223E8"/>
    <w:rsid w:val="00D224E1"/>
    <w:rsid w:val="00D227ED"/>
    <w:rsid w:val="00D22DC8"/>
    <w:rsid w:val="00D22F86"/>
    <w:rsid w:val="00D24626"/>
    <w:rsid w:val="00D2477B"/>
    <w:rsid w:val="00D24BBC"/>
    <w:rsid w:val="00D24FE1"/>
    <w:rsid w:val="00D2522A"/>
    <w:rsid w:val="00D2531C"/>
    <w:rsid w:val="00D2553E"/>
    <w:rsid w:val="00D25CFA"/>
    <w:rsid w:val="00D25F7C"/>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3A1"/>
    <w:rsid w:val="00D32634"/>
    <w:rsid w:val="00D32A27"/>
    <w:rsid w:val="00D32ABC"/>
    <w:rsid w:val="00D339D4"/>
    <w:rsid w:val="00D33FA4"/>
    <w:rsid w:val="00D341C9"/>
    <w:rsid w:val="00D34B25"/>
    <w:rsid w:val="00D34F4E"/>
    <w:rsid w:val="00D357F3"/>
    <w:rsid w:val="00D357FA"/>
    <w:rsid w:val="00D35C0E"/>
    <w:rsid w:val="00D36415"/>
    <w:rsid w:val="00D373A8"/>
    <w:rsid w:val="00D3749D"/>
    <w:rsid w:val="00D379A5"/>
    <w:rsid w:val="00D37A67"/>
    <w:rsid w:val="00D37AEC"/>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1B4"/>
    <w:rsid w:val="00D466C9"/>
    <w:rsid w:val="00D4691E"/>
    <w:rsid w:val="00D47275"/>
    <w:rsid w:val="00D47F83"/>
    <w:rsid w:val="00D50113"/>
    <w:rsid w:val="00D5030F"/>
    <w:rsid w:val="00D50689"/>
    <w:rsid w:val="00D51064"/>
    <w:rsid w:val="00D512A1"/>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6503"/>
    <w:rsid w:val="00D57940"/>
    <w:rsid w:val="00D6015F"/>
    <w:rsid w:val="00D60327"/>
    <w:rsid w:val="00D61384"/>
    <w:rsid w:val="00D6140F"/>
    <w:rsid w:val="00D61526"/>
    <w:rsid w:val="00D61F81"/>
    <w:rsid w:val="00D620DD"/>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0CD"/>
    <w:rsid w:val="00D73249"/>
    <w:rsid w:val="00D73419"/>
    <w:rsid w:val="00D73CA9"/>
    <w:rsid w:val="00D751B7"/>
    <w:rsid w:val="00D7524B"/>
    <w:rsid w:val="00D7533E"/>
    <w:rsid w:val="00D75396"/>
    <w:rsid w:val="00D759C0"/>
    <w:rsid w:val="00D75E99"/>
    <w:rsid w:val="00D765CE"/>
    <w:rsid w:val="00D76659"/>
    <w:rsid w:val="00D766C7"/>
    <w:rsid w:val="00D76901"/>
    <w:rsid w:val="00D7692B"/>
    <w:rsid w:val="00D772D0"/>
    <w:rsid w:val="00D7734F"/>
    <w:rsid w:val="00D80002"/>
    <w:rsid w:val="00D8044C"/>
    <w:rsid w:val="00D805D6"/>
    <w:rsid w:val="00D8075E"/>
    <w:rsid w:val="00D80860"/>
    <w:rsid w:val="00D80D4C"/>
    <w:rsid w:val="00D8184D"/>
    <w:rsid w:val="00D81A7B"/>
    <w:rsid w:val="00D8223C"/>
    <w:rsid w:val="00D8234D"/>
    <w:rsid w:val="00D82B57"/>
    <w:rsid w:val="00D82CE5"/>
    <w:rsid w:val="00D830CF"/>
    <w:rsid w:val="00D8318E"/>
    <w:rsid w:val="00D831E3"/>
    <w:rsid w:val="00D8342C"/>
    <w:rsid w:val="00D841F9"/>
    <w:rsid w:val="00D852EE"/>
    <w:rsid w:val="00D85494"/>
    <w:rsid w:val="00D85501"/>
    <w:rsid w:val="00D8582C"/>
    <w:rsid w:val="00D858B1"/>
    <w:rsid w:val="00D858B3"/>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E03"/>
    <w:rsid w:val="00D962C1"/>
    <w:rsid w:val="00D96594"/>
    <w:rsid w:val="00D967CB"/>
    <w:rsid w:val="00D968D4"/>
    <w:rsid w:val="00D96EE0"/>
    <w:rsid w:val="00D97871"/>
    <w:rsid w:val="00D97ACE"/>
    <w:rsid w:val="00D97BD1"/>
    <w:rsid w:val="00D97D05"/>
    <w:rsid w:val="00D97DAD"/>
    <w:rsid w:val="00DA06B8"/>
    <w:rsid w:val="00DA14A9"/>
    <w:rsid w:val="00DA2164"/>
    <w:rsid w:val="00DA2471"/>
    <w:rsid w:val="00DA2616"/>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6DD7"/>
    <w:rsid w:val="00DA6E8A"/>
    <w:rsid w:val="00DA7462"/>
    <w:rsid w:val="00DA7AD0"/>
    <w:rsid w:val="00DB02D7"/>
    <w:rsid w:val="00DB03CC"/>
    <w:rsid w:val="00DB12D4"/>
    <w:rsid w:val="00DB14F0"/>
    <w:rsid w:val="00DB1745"/>
    <w:rsid w:val="00DB19BB"/>
    <w:rsid w:val="00DB1AFF"/>
    <w:rsid w:val="00DB219A"/>
    <w:rsid w:val="00DB23DD"/>
    <w:rsid w:val="00DB288B"/>
    <w:rsid w:val="00DB3165"/>
    <w:rsid w:val="00DB3D80"/>
    <w:rsid w:val="00DB4128"/>
    <w:rsid w:val="00DB4292"/>
    <w:rsid w:val="00DB4FF9"/>
    <w:rsid w:val="00DB5023"/>
    <w:rsid w:val="00DB532F"/>
    <w:rsid w:val="00DB5CA4"/>
    <w:rsid w:val="00DB629E"/>
    <w:rsid w:val="00DB6381"/>
    <w:rsid w:val="00DB6A01"/>
    <w:rsid w:val="00DB6E46"/>
    <w:rsid w:val="00DB7117"/>
    <w:rsid w:val="00DB7760"/>
    <w:rsid w:val="00DB7DD4"/>
    <w:rsid w:val="00DC00B4"/>
    <w:rsid w:val="00DC0954"/>
    <w:rsid w:val="00DC0DF8"/>
    <w:rsid w:val="00DC15BA"/>
    <w:rsid w:val="00DC17C0"/>
    <w:rsid w:val="00DC18CD"/>
    <w:rsid w:val="00DC1A68"/>
    <w:rsid w:val="00DC1E82"/>
    <w:rsid w:val="00DC30B8"/>
    <w:rsid w:val="00DC3786"/>
    <w:rsid w:val="00DC3EAB"/>
    <w:rsid w:val="00DC3FCF"/>
    <w:rsid w:val="00DC478F"/>
    <w:rsid w:val="00DC537E"/>
    <w:rsid w:val="00DC62E5"/>
    <w:rsid w:val="00DC669F"/>
    <w:rsid w:val="00DC6A2B"/>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82D"/>
    <w:rsid w:val="00DE1410"/>
    <w:rsid w:val="00DE14A6"/>
    <w:rsid w:val="00DE20C6"/>
    <w:rsid w:val="00DE3119"/>
    <w:rsid w:val="00DE3E3B"/>
    <w:rsid w:val="00DE3FB3"/>
    <w:rsid w:val="00DE3FF0"/>
    <w:rsid w:val="00DE4105"/>
    <w:rsid w:val="00DE41C4"/>
    <w:rsid w:val="00DE5189"/>
    <w:rsid w:val="00DE7108"/>
    <w:rsid w:val="00DE73C5"/>
    <w:rsid w:val="00DE78D1"/>
    <w:rsid w:val="00DE78FF"/>
    <w:rsid w:val="00DF0263"/>
    <w:rsid w:val="00DF057C"/>
    <w:rsid w:val="00DF084C"/>
    <w:rsid w:val="00DF0D9C"/>
    <w:rsid w:val="00DF0EB4"/>
    <w:rsid w:val="00DF158B"/>
    <w:rsid w:val="00DF193C"/>
    <w:rsid w:val="00DF1D63"/>
    <w:rsid w:val="00DF1E36"/>
    <w:rsid w:val="00DF236B"/>
    <w:rsid w:val="00DF2919"/>
    <w:rsid w:val="00DF2A91"/>
    <w:rsid w:val="00DF3889"/>
    <w:rsid w:val="00DF39E3"/>
    <w:rsid w:val="00DF3CC9"/>
    <w:rsid w:val="00DF3F66"/>
    <w:rsid w:val="00DF4021"/>
    <w:rsid w:val="00DF4436"/>
    <w:rsid w:val="00DF4451"/>
    <w:rsid w:val="00DF49FF"/>
    <w:rsid w:val="00DF4FFB"/>
    <w:rsid w:val="00DF5015"/>
    <w:rsid w:val="00DF5236"/>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4A8"/>
    <w:rsid w:val="00E04DD9"/>
    <w:rsid w:val="00E04EDD"/>
    <w:rsid w:val="00E05264"/>
    <w:rsid w:val="00E055C2"/>
    <w:rsid w:val="00E05E70"/>
    <w:rsid w:val="00E064BC"/>
    <w:rsid w:val="00E065C9"/>
    <w:rsid w:val="00E07225"/>
    <w:rsid w:val="00E076B4"/>
    <w:rsid w:val="00E07B55"/>
    <w:rsid w:val="00E07F43"/>
    <w:rsid w:val="00E10579"/>
    <w:rsid w:val="00E109DD"/>
    <w:rsid w:val="00E11229"/>
    <w:rsid w:val="00E114CA"/>
    <w:rsid w:val="00E11FE2"/>
    <w:rsid w:val="00E1397F"/>
    <w:rsid w:val="00E13AB8"/>
    <w:rsid w:val="00E1482E"/>
    <w:rsid w:val="00E14A47"/>
    <w:rsid w:val="00E14B0F"/>
    <w:rsid w:val="00E15044"/>
    <w:rsid w:val="00E153AE"/>
    <w:rsid w:val="00E158AD"/>
    <w:rsid w:val="00E15AB1"/>
    <w:rsid w:val="00E16382"/>
    <w:rsid w:val="00E1699C"/>
    <w:rsid w:val="00E16E75"/>
    <w:rsid w:val="00E1714E"/>
    <w:rsid w:val="00E1746D"/>
    <w:rsid w:val="00E17AFA"/>
    <w:rsid w:val="00E2012A"/>
    <w:rsid w:val="00E205A2"/>
    <w:rsid w:val="00E20BA4"/>
    <w:rsid w:val="00E21CBC"/>
    <w:rsid w:val="00E2302A"/>
    <w:rsid w:val="00E23137"/>
    <w:rsid w:val="00E233B2"/>
    <w:rsid w:val="00E23980"/>
    <w:rsid w:val="00E241E9"/>
    <w:rsid w:val="00E245D8"/>
    <w:rsid w:val="00E24F05"/>
    <w:rsid w:val="00E257C3"/>
    <w:rsid w:val="00E25CB3"/>
    <w:rsid w:val="00E25DA4"/>
    <w:rsid w:val="00E26237"/>
    <w:rsid w:val="00E26CB8"/>
    <w:rsid w:val="00E26D16"/>
    <w:rsid w:val="00E26FCF"/>
    <w:rsid w:val="00E27165"/>
    <w:rsid w:val="00E272B1"/>
    <w:rsid w:val="00E275D9"/>
    <w:rsid w:val="00E27720"/>
    <w:rsid w:val="00E27801"/>
    <w:rsid w:val="00E27988"/>
    <w:rsid w:val="00E3044A"/>
    <w:rsid w:val="00E30E49"/>
    <w:rsid w:val="00E314A5"/>
    <w:rsid w:val="00E3174A"/>
    <w:rsid w:val="00E31A4A"/>
    <w:rsid w:val="00E3223E"/>
    <w:rsid w:val="00E32AE4"/>
    <w:rsid w:val="00E3344A"/>
    <w:rsid w:val="00E33B29"/>
    <w:rsid w:val="00E33B62"/>
    <w:rsid w:val="00E3403D"/>
    <w:rsid w:val="00E344BD"/>
    <w:rsid w:val="00E34964"/>
    <w:rsid w:val="00E34E6C"/>
    <w:rsid w:val="00E353E2"/>
    <w:rsid w:val="00E36345"/>
    <w:rsid w:val="00E368BD"/>
    <w:rsid w:val="00E36C86"/>
    <w:rsid w:val="00E36CEB"/>
    <w:rsid w:val="00E36D6F"/>
    <w:rsid w:val="00E37387"/>
    <w:rsid w:val="00E37595"/>
    <w:rsid w:val="00E37A28"/>
    <w:rsid w:val="00E40430"/>
    <w:rsid w:val="00E40690"/>
    <w:rsid w:val="00E40AEB"/>
    <w:rsid w:val="00E40B4D"/>
    <w:rsid w:val="00E4143A"/>
    <w:rsid w:val="00E424C8"/>
    <w:rsid w:val="00E4251D"/>
    <w:rsid w:val="00E43D00"/>
    <w:rsid w:val="00E443B4"/>
    <w:rsid w:val="00E445E4"/>
    <w:rsid w:val="00E457CB"/>
    <w:rsid w:val="00E45D47"/>
    <w:rsid w:val="00E45DE4"/>
    <w:rsid w:val="00E45E63"/>
    <w:rsid w:val="00E462F0"/>
    <w:rsid w:val="00E466F8"/>
    <w:rsid w:val="00E46BBC"/>
    <w:rsid w:val="00E4759C"/>
    <w:rsid w:val="00E50A7B"/>
    <w:rsid w:val="00E50B0B"/>
    <w:rsid w:val="00E510FE"/>
    <w:rsid w:val="00E51129"/>
    <w:rsid w:val="00E516C7"/>
    <w:rsid w:val="00E51E25"/>
    <w:rsid w:val="00E5205B"/>
    <w:rsid w:val="00E521AE"/>
    <w:rsid w:val="00E52212"/>
    <w:rsid w:val="00E52639"/>
    <w:rsid w:val="00E529A3"/>
    <w:rsid w:val="00E52CE7"/>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304"/>
    <w:rsid w:val="00E6453E"/>
    <w:rsid w:val="00E64700"/>
    <w:rsid w:val="00E64854"/>
    <w:rsid w:val="00E65074"/>
    <w:rsid w:val="00E6526E"/>
    <w:rsid w:val="00E654CD"/>
    <w:rsid w:val="00E65E70"/>
    <w:rsid w:val="00E66087"/>
    <w:rsid w:val="00E66A24"/>
    <w:rsid w:val="00E66D79"/>
    <w:rsid w:val="00E66FF9"/>
    <w:rsid w:val="00E6706F"/>
    <w:rsid w:val="00E67587"/>
    <w:rsid w:val="00E67856"/>
    <w:rsid w:val="00E679C8"/>
    <w:rsid w:val="00E701D9"/>
    <w:rsid w:val="00E70314"/>
    <w:rsid w:val="00E724E7"/>
    <w:rsid w:val="00E72B41"/>
    <w:rsid w:val="00E7336C"/>
    <w:rsid w:val="00E7347B"/>
    <w:rsid w:val="00E73792"/>
    <w:rsid w:val="00E73D03"/>
    <w:rsid w:val="00E74040"/>
    <w:rsid w:val="00E7471C"/>
    <w:rsid w:val="00E7498A"/>
    <w:rsid w:val="00E74D8C"/>
    <w:rsid w:val="00E7514E"/>
    <w:rsid w:val="00E7642B"/>
    <w:rsid w:val="00E76537"/>
    <w:rsid w:val="00E76E5D"/>
    <w:rsid w:val="00E76E62"/>
    <w:rsid w:val="00E774EE"/>
    <w:rsid w:val="00E77784"/>
    <w:rsid w:val="00E77937"/>
    <w:rsid w:val="00E77AF5"/>
    <w:rsid w:val="00E818F2"/>
    <w:rsid w:val="00E81925"/>
    <w:rsid w:val="00E823F9"/>
    <w:rsid w:val="00E82AC8"/>
    <w:rsid w:val="00E82C1F"/>
    <w:rsid w:val="00E83671"/>
    <w:rsid w:val="00E8373D"/>
    <w:rsid w:val="00E840EE"/>
    <w:rsid w:val="00E8416F"/>
    <w:rsid w:val="00E84A71"/>
    <w:rsid w:val="00E85170"/>
    <w:rsid w:val="00E8542B"/>
    <w:rsid w:val="00E85915"/>
    <w:rsid w:val="00E86556"/>
    <w:rsid w:val="00E86754"/>
    <w:rsid w:val="00E86D35"/>
    <w:rsid w:val="00E86DC2"/>
    <w:rsid w:val="00E86E32"/>
    <w:rsid w:val="00E86F2E"/>
    <w:rsid w:val="00E8732E"/>
    <w:rsid w:val="00E8744A"/>
    <w:rsid w:val="00E87E9C"/>
    <w:rsid w:val="00E87FCA"/>
    <w:rsid w:val="00E9011F"/>
    <w:rsid w:val="00E906EB"/>
    <w:rsid w:val="00E90A66"/>
    <w:rsid w:val="00E919FB"/>
    <w:rsid w:val="00E9241E"/>
    <w:rsid w:val="00E92460"/>
    <w:rsid w:val="00E92751"/>
    <w:rsid w:val="00E92E62"/>
    <w:rsid w:val="00E93804"/>
    <w:rsid w:val="00E9429D"/>
    <w:rsid w:val="00E94F0F"/>
    <w:rsid w:val="00E95434"/>
    <w:rsid w:val="00E96467"/>
    <w:rsid w:val="00E966DA"/>
    <w:rsid w:val="00E96948"/>
    <w:rsid w:val="00E96D89"/>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4FCD"/>
    <w:rsid w:val="00EA5051"/>
    <w:rsid w:val="00EA560B"/>
    <w:rsid w:val="00EA5669"/>
    <w:rsid w:val="00EA56A9"/>
    <w:rsid w:val="00EA5CC6"/>
    <w:rsid w:val="00EA63EF"/>
    <w:rsid w:val="00EA6D1E"/>
    <w:rsid w:val="00EA7420"/>
    <w:rsid w:val="00EB0A89"/>
    <w:rsid w:val="00EB1573"/>
    <w:rsid w:val="00EB1910"/>
    <w:rsid w:val="00EB1C52"/>
    <w:rsid w:val="00EB227B"/>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9AB"/>
    <w:rsid w:val="00EC0B18"/>
    <w:rsid w:val="00EC0E84"/>
    <w:rsid w:val="00EC16E2"/>
    <w:rsid w:val="00EC1BA3"/>
    <w:rsid w:val="00EC1CE7"/>
    <w:rsid w:val="00EC26F1"/>
    <w:rsid w:val="00EC2989"/>
    <w:rsid w:val="00EC3135"/>
    <w:rsid w:val="00EC3BC1"/>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173"/>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6E2"/>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674"/>
    <w:rsid w:val="00F01657"/>
    <w:rsid w:val="00F01E67"/>
    <w:rsid w:val="00F02680"/>
    <w:rsid w:val="00F02744"/>
    <w:rsid w:val="00F02BFD"/>
    <w:rsid w:val="00F02D25"/>
    <w:rsid w:val="00F03C3D"/>
    <w:rsid w:val="00F0435D"/>
    <w:rsid w:val="00F04580"/>
    <w:rsid w:val="00F04888"/>
    <w:rsid w:val="00F04A37"/>
    <w:rsid w:val="00F04C44"/>
    <w:rsid w:val="00F04ECA"/>
    <w:rsid w:val="00F04F8B"/>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2256"/>
    <w:rsid w:val="00F12262"/>
    <w:rsid w:val="00F12564"/>
    <w:rsid w:val="00F12AF8"/>
    <w:rsid w:val="00F12C52"/>
    <w:rsid w:val="00F13E62"/>
    <w:rsid w:val="00F148B7"/>
    <w:rsid w:val="00F14943"/>
    <w:rsid w:val="00F14EA9"/>
    <w:rsid w:val="00F15505"/>
    <w:rsid w:val="00F15BFF"/>
    <w:rsid w:val="00F168A8"/>
    <w:rsid w:val="00F16D7C"/>
    <w:rsid w:val="00F16E4F"/>
    <w:rsid w:val="00F17244"/>
    <w:rsid w:val="00F17280"/>
    <w:rsid w:val="00F17500"/>
    <w:rsid w:val="00F203EF"/>
    <w:rsid w:val="00F213A0"/>
    <w:rsid w:val="00F21C94"/>
    <w:rsid w:val="00F21D54"/>
    <w:rsid w:val="00F21D6D"/>
    <w:rsid w:val="00F21EF4"/>
    <w:rsid w:val="00F23113"/>
    <w:rsid w:val="00F23255"/>
    <w:rsid w:val="00F23393"/>
    <w:rsid w:val="00F23759"/>
    <w:rsid w:val="00F24644"/>
    <w:rsid w:val="00F24EF4"/>
    <w:rsid w:val="00F2573C"/>
    <w:rsid w:val="00F25947"/>
    <w:rsid w:val="00F262D6"/>
    <w:rsid w:val="00F26F33"/>
    <w:rsid w:val="00F2748A"/>
    <w:rsid w:val="00F2798C"/>
    <w:rsid w:val="00F27A2B"/>
    <w:rsid w:val="00F300A8"/>
    <w:rsid w:val="00F302C6"/>
    <w:rsid w:val="00F30400"/>
    <w:rsid w:val="00F3079E"/>
    <w:rsid w:val="00F31BEF"/>
    <w:rsid w:val="00F33262"/>
    <w:rsid w:val="00F33968"/>
    <w:rsid w:val="00F3399B"/>
    <w:rsid w:val="00F33F4B"/>
    <w:rsid w:val="00F346ED"/>
    <w:rsid w:val="00F34945"/>
    <w:rsid w:val="00F34E1E"/>
    <w:rsid w:val="00F35268"/>
    <w:rsid w:val="00F3570C"/>
    <w:rsid w:val="00F363A4"/>
    <w:rsid w:val="00F36765"/>
    <w:rsid w:val="00F368FF"/>
    <w:rsid w:val="00F36A09"/>
    <w:rsid w:val="00F37068"/>
    <w:rsid w:val="00F37D3C"/>
    <w:rsid w:val="00F37DDE"/>
    <w:rsid w:val="00F37F3F"/>
    <w:rsid w:val="00F40992"/>
    <w:rsid w:val="00F40F5D"/>
    <w:rsid w:val="00F40F72"/>
    <w:rsid w:val="00F40FD8"/>
    <w:rsid w:val="00F41596"/>
    <w:rsid w:val="00F41C33"/>
    <w:rsid w:val="00F41D8B"/>
    <w:rsid w:val="00F42121"/>
    <w:rsid w:val="00F424B3"/>
    <w:rsid w:val="00F428B1"/>
    <w:rsid w:val="00F428B4"/>
    <w:rsid w:val="00F42B8C"/>
    <w:rsid w:val="00F42F69"/>
    <w:rsid w:val="00F4345D"/>
    <w:rsid w:val="00F4387B"/>
    <w:rsid w:val="00F448EE"/>
    <w:rsid w:val="00F4505A"/>
    <w:rsid w:val="00F451D4"/>
    <w:rsid w:val="00F45921"/>
    <w:rsid w:val="00F45B14"/>
    <w:rsid w:val="00F45B91"/>
    <w:rsid w:val="00F45E78"/>
    <w:rsid w:val="00F46639"/>
    <w:rsid w:val="00F46DBB"/>
    <w:rsid w:val="00F46EC3"/>
    <w:rsid w:val="00F476FD"/>
    <w:rsid w:val="00F47716"/>
    <w:rsid w:val="00F50183"/>
    <w:rsid w:val="00F50D92"/>
    <w:rsid w:val="00F5160A"/>
    <w:rsid w:val="00F51765"/>
    <w:rsid w:val="00F51A51"/>
    <w:rsid w:val="00F51BC6"/>
    <w:rsid w:val="00F51CB4"/>
    <w:rsid w:val="00F52236"/>
    <w:rsid w:val="00F52324"/>
    <w:rsid w:val="00F52950"/>
    <w:rsid w:val="00F52C9D"/>
    <w:rsid w:val="00F533F1"/>
    <w:rsid w:val="00F53A40"/>
    <w:rsid w:val="00F5417E"/>
    <w:rsid w:val="00F55679"/>
    <w:rsid w:val="00F56091"/>
    <w:rsid w:val="00F561E3"/>
    <w:rsid w:val="00F565E6"/>
    <w:rsid w:val="00F56AFA"/>
    <w:rsid w:val="00F56FEA"/>
    <w:rsid w:val="00F56FFA"/>
    <w:rsid w:val="00F575E2"/>
    <w:rsid w:val="00F579FF"/>
    <w:rsid w:val="00F600E0"/>
    <w:rsid w:val="00F605EC"/>
    <w:rsid w:val="00F60A75"/>
    <w:rsid w:val="00F60F60"/>
    <w:rsid w:val="00F612CE"/>
    <w:rsid w:val="00F6133C"/>
    <w:rsid w:val="00F623D7"/>
    <w:rsid w:val="00F624A7"/>
    <w:rsid w:val="00F62AB6"/>
    <w:rsid w:val="00F63CAC"/>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17DE"/>
    <w:rsid w:val="00F72283"/>
    <w:rsid w:val="00F72389"/>
    <w:rsid w:val="00F72516"/>
    <w:rsid w:val="00F72FB4"/>
    <w:rsid w:val="00F735A5"/>
    <w:rsid w:val="00F735E5"/>
    <w:rsid w:val="00F73720"/>
    <w:rsid w:val="00F738D1"/>
    <w:rsid w:val="00F73E80"/>
    <w:rsid w:val="00F7469C"/>
    <w:rsid w:val="00F7492E"/>
    <w:rsid w:val="00F74945"/>
    <w:rsid w:val="00F749A3"/>
    <w:rsid w:val="00F74AE8"/>
    <w:rsid w:val="00F76C11"/>
    <w:rsid w:val="00F77021"/>
    <w:rsid w:val="00F7724A"/>
    <w:rsid w:val="00F77E61"/>
    <w:rsid w:val="00F77E9A"/>
    <w:rsid w:val="00F80221"/>
    <w:rsid w:val="00F8037F"/>
    <w:rsid w:val="00F80C81"/>
    <w:rsid w:val="00F81229"/>
    <w:rsid w:val="00F81265"/>
    <w:rsid w:val="00F815AC"/>
    <w:rsid w:val="00F8187D"/>
    <w:rsid w:val="00F8198B"/>
    <w:rsid w:val="00F82784"/>
    <w:rsid w:val="00F82912"/>
    <w:rsid w:val="00F83A43"/>
    <w:rsid w:val="00F83B33"/>
    <w:rsid w:val="00F83CAE"/>
    <w:rsid w:val="00F840BF"/>
    <w:rsid w:val="00F8427A"/>
    <w:rsid w:val="00F843DF"/>
    <w:rsid w:val="00F84899"/>
    <w:rsid w:val="00F85585"/>
    <w:rsid w:val="00F8570C"/>
    <w:rsid w:val="00F859F0"/>
    <w:rsid w:val="00F85CC1"/>
    <w:rsid w:val="00F8661E"/>
    <w:rsid w:val="00F86B5D"/>
    <w:rsid w:val="00F86BC0"/>
    <w:rsid w:val="00F875E1"/>
    <w:rsid w:val="00F87634"/>
    <w:rsid w:val="00F87C13"/>
    <w:rsid w:val="00F87C5A"/>
    <w:rsid w:val="00F87E29"/>
    <w:rsid w:val="00F87F18"/>
    <w:rsid w:val="00F87F68"/>
    <w:rsid w:val="00F90178"/>
    <w:rsid w:val="00F90C4D"/>
    <w:rsid w:val="00F9167D"/>
    <w:rsid w:val="00F917AC"/>
    <w:rsid w:val="00F91CB2"/>
    <w:rsid w:val="00F91E38"/>
    <w:rsid w:val="00F9232A"/>
    <w:rsid w:val="00F927E8"/>
    <w:rsid w:val="00F9289C"/>
    <w:rsid w:val="00F9374A"/>
    <w:rsid w:val="00F9375C"/>
    <w:rsid w:val="00F93973"/>
    <w:rsid w:val="00F93DBC"/>
    <w:rsid w:val="00F93E41"/>
    <w:rsid w:val="00F93F18"/>
    <w:rsid w:val="00F94206"/>
    <w:rsid w:val="00F94644"/>
    <w:rsid w:val="00F952E4"/>
    <w:rsid w:val="00F9537B"/>
    <w:rsid w:val="00F9576A"/>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416"/>
    <w:rsid w:val="00FA6D7A"/>
    <w:rsid w:val="00FA6F8B"/>
    <w:rsid w:val="00FA727C"/>
    <w:rsid w:val="00FA738C"/>
    <w:rsid w:val="00FA7A30"/>
    <w:rsid w:val="00FA7C5F"/>
    <w:rsid w:val="00FA7C8E"/>
    <w:rsid w:val="00FA7C9A"/>
    <w:rsid w:val="00FB033F"/>
    <w:rsid w:val="00FB04B3"/>
    <w:rsid w:val="00FB12E3"/>
    <w:rsid w:val="00FB1570"/>
    <w:rsid w:val="00FB193B"/>
    <w:rsid w:val="00FB1FBC"/>
    <w:rsid w:val="00FB27B7"/>
    <w:rsid w:val="00FB28F1"/>
    <w:rsid w:val="00FB35E3"/>
    <w:rsid w:val="00FB4C98"/>
    <w:rsid w:val="00FB4CE3"/>
    <w:rsid w:val="00FB5634"/>
    <w:rsid w:val="00FB583C"/>
    <w:rsid w:val="00FB5B54"/>
    <w:rsid w:val="00FB630E"/>
    <w:rsid w:val="00FB648A"/>
    <w:rsid w:val="00FB64BD"/>
    <w:rsid w:val="00FB6738"/>
    <w:rsid w:val="00FB691B"/>
    <w:rsid w:val="00FB6BE6"/>
    <w:rsid w:val="00FB6D4B"/>
    <w:rsid w:val="00FB731C"/>
    <w:rsid w:val="00FB7628"/>
    <w:rsid w:val="00FB7D3A"/>
    <w:rsid w:val="00FC038F"/>
    <w:rsid w:val="00FC05A0"/>
    <w:rsid w:val="00FC07E8"/>
    <w:rsid w:val="00FC0811"/>
    <w:rsid w:val="00FC1196"/>
    <w:rsid w:val="00FC15EB"/>
    <w:rsid w:val="00FC162C"/>
    <w:rsid w:val="00FC18DC"/>
    <w:rsid w:val="00FC1A35"/>
    <w:rsid w:val="00FC1ABF"/>
    <w:rsid w:val="00FC2466"/>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16E"/>
    <w:rsid w:val="00FC5CF4"/>
    <w:rsid w:val="00FC5D64"/>
    <w:rsid w:val="00FC6A39"/>
    <w:rsid w:val="00FC7176"/>
    <w:rsid w:val="00FC76A9"/>
    <w:rsid w:val="00FC79AB"/>
    <w:rsid w:val="00FC7ADA"/>
    <w:rsid w:val="00FC7BE7"/>
    <w:rsid w:val="00FC7D25"/>
    <w:rsid w:val="00FC7DAC"/>
    <w:rsid w:val="00FD005D"/>
    <w:rsid w:val="00FD023A"/>
    <w:rsid w:val="00FD0360"/>
    <w:rsid w:val="00FD04AE"/>
    <w:rsid w:val="00FD0DFA"/>
    <w:rsid w:val="00FD128D"/>
    <w:rsid w:val="00FD1607"/>
    <w:rsid w:val="00FD1890"/>
    <w:rsid w:val="00FD1994"/>
    <w:rsid w:val="00FD1E2E"/>
    <w:rsid w:val="00FD2389"/>
    <w:rsid w:val="00FD3508"/>
    <w:rsid w:val="00FD393C"/>
    <w:rsid w:val="00FD3AFF"/>
    <w:rsid w:val="00FD43BB"/>
    <w:rsid w:val="00FD48CD"/>
    <w:rsid w:val="00FD4AF3"/>
    <w:rsid w:val="00FD5C35"/>
    <w:rsid w:val="00FD6609"/>
    <w:rsid w:val="00FD6B36"/>
    <w:rsid w:val="00FD6CEC"/>
    <w:rsid w:val="00FD70A8"/>
    <w:rsid w:val="00FD798D"/>
    <w:rsid w:val="00FD7D3C"/>
    <w:rsid w:val="00FE07D8"/>
    <w:rsid w:val="00FE141E"/>
    <w:rsid w:val="00FE144E"/>
    <w:rsid w:val="00FE1768"/>
    <w:rsid w:val="00FE24F4"/>
    <w:rsid w:val="00FE2560"/>
    <w:rsid w:val="00FE29AD"/>
    <w:rsid w:val="00FE35D0"/>
    <w:rsid w:val="00FE42ED"/>
    <w:rsid w:val="00FE4E06"/>
    <w:rsid w:val="00FE55A7"/>
    <w:rsid w:val="00FE5C5A"/>
    <w:rsid w:val="00FE6432"/>
    <w:rsid w:val="00FE66E4"/>
    <w:rsid w:val="00FE6D20"/>
    <w:rsid w:val="00FE72A0"/>
    <w:rsid w:val="00FE76F7"/>
    <w:rsid w:val="00FE76F9"/>
    <w:rsid w:val="00FF0050"/>
    <w:rsid w:val="00FF0075"/>
    <w:rsid w:val="00FF045F"/>
    <w:rsid w:val="00FF0FA2"/>
    <w:rsid w:val="00FF13D4"/>
    <w:rsid w:val="00FF1D1B"/>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Ha,列出段落"/>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paragraph" w:styleId="HTMLconformatoprevio">
    <w:name w:val="HTML Preformatted"/>
    <w:basedOn w:val="Normal"/>
    <w:link w:val="HTMLconformatoprevioCar"/>
    <w:uiPriority w:val="99"/>
    <w:semiHidden/>
    <w:unhideWhenUsed/>
    <w:rsid w:val="006F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6F64B5"/>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3314033">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17058509">
      <w:bodyDiv w:val="1"/>
      <w:marLeft w:val="0"/>
      <w:marRight w:val="0"/>
      <w:marTop w:val="0"/>
      <w:marBottom w:val="0"/>
      <w:divBdr>
        <w:top w:val="none" w:sz="0" w:space="0" w:color="auto"/>
        <w:left w:val="none" w:sz="0" w:space="0" w:color="auto"/>
        <w:bottom w:val="none" w:sz="0" w:space="0" w:color="auto"/>
        <w:right w:val="none" w:sz="0" w:space="0" w:color="auto"/>
      </w:divBdr>
      <w:divsChild>
        <w:div w:id="1559898235">
          <w:marLeft w:val="0"/>
          <w:marRight w:val="0"/>
          <w:marTop w:val="0"/>
          <w:marBottom w:val="0"/>
          <w:divBdr>
            <w:top w:val="none" w:sz="0" w:space="0" w:color="auto"/>
            <w:left w:val="none" w:sz="0" w:space="0" w:color="auto"/>
            <w:bottom w:val="none" w:sz="0" w:space="0" w:color="auto"/>
            <w:right w:val="none" w:sz="0" w:space="0" w:color="auto"/>
          </w:divBdr>
          <w:divsChild>
            <w:div w:id="1991131413">
              <w:marLeft w:val="0"/>
              <w:marRight w:val="0"/>
              <w:marTop w:val="0"/>
              <w:marBottom w:val="0"/>
              <w:divBdr>
                <w:top w:val="none" w:sz="0" w:space="0" w:color="auto"/>
                <w:left w:val="none" w:sz="0" w:space="0" w:color="auto"/>
                <w:bottom w:val="none" w:sz="0" w:space="0" w:color="auto"/>
                <w:right w:val="none" w:sz="0" w:space="0" w:color="auto"/>
              </w:divBdr>
              <w:divsChild>
                <w:div w:id="18095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300905">
      <w:bodyDiv w:val="1"/>
      <w:marLeft w:val="0"/>
      <w:marRight w:val="0"/>
      <w:marTop w:val="0"/>
      <w:marBottom w:val="0"/>
      <w:divBdr>
        <w:top w:val="none" w:sz="0" w:space="0" w:color="auto"/>
        <w:left w:val="none" w:sz="0" w:space="0" w:color="auto"/>
        <w:bottom w:val="none" w:sz="0" w:space="0" w:color="auto"/>
        <w:right w:val="none" w:sz="0" w:space="0" w:color="auto"/>
      </w:divBdr>
      <w:divsChild>
        <w:div w:id="314071473">
          <w:marLeft w:val="0"/>
          <w:marRight w:val="0"/>
          <w:marTop w:val="0"/>
          <w:marBottom w:val="0"/>
          <w:divBdr>
            <w:top w:val="none" w:sz="0" w:space="0" w:color="auto"/>
            <w:left w:val="none" w:sz="0" w:space="0" w:color="auto"/>
            <w:bottom w:val="none" w:sz="0" w:space="0" w:color="auto"/>
            <w:right w:val="none" w:sz="0" w:space="0" w:color="auto"/>
          </w:divBdr>
          <w:divsChild>
            <w:div w:id="139927240">
              <w:marLeft w:val="0"/>
              <w:marRight w:val="0"/>
              <w:marTop w:val="0"/>
              <w:marBottom w:val="0"/>
              <w:divBdr>
                <w:top w:val="none" w:sz="0" w:space="0" w:color="auto"/>
                <w:left w:val="none" w:sz="0" w:space="0" w:color="auto"/>
                <w:bottom w:val="none" w:sz="0" w:space="0" w:color="auto"/>
                <w:right w:val="none" w:sz="0" w:space="0" w:color="auto"/>
              </w:divBdr>
              <w:divsChild>
                <w:div w:id="1229000288">
                  <w:marLeft w:val="0"/>
                  <w:marRight w:val="0"/>
                  <w:marTop w:val="0"/>
                  <w:marBottom w:val="0"/>
                  <w:divBdr>
                    <w:top w:val="none" w:sz="0" w:space="0" w:color="auto"/>
                    <w:left w:val="none" w:sz="0" w:space="0" w:color="auto"/>
                    <w:bottom w:val="none" w:sz="0" w:space="0" w:color="auto"/>
                    <w:right w:val="none" w:sz="0" w:space="0" w:color="auto"/>
                  </w:divBdr>
                </w:div>
              </w:divsChild>
            </w:div>
            <w:div w:id="2043941189">
              <w:marLeft w:val="0"/>
              <w:marRight w:val="0"/>
              <w:marTop w:val="0"/>
              <w:marBottom w:val="0"/>
              <w:divBdr>
                <w:top w:val="none" w:sz="0" w:space="0" w:color="auto"/>
                <w:left w:val="none" w:sz="0" w:space="0" w:color="auto"/>
                <w:bottom w:val="none" w:sz="0" w:space="0" w:color="auto"/>
                <w:right w:val="none" w:sz="0" w:space="0" w:color="auto"/>
              </w:divBdr>
              <w:divsChild>
                <w:div w:id="1983074471">
                  <w:marLeft w:val="0"/>
                  <w:marRight w:val="0"/>
                  <w:marTop w:val="0"/>
                  <w:marBottom w:val="0"/>
                  <w:divBdr>
                    <w:top w:val="none" w:sz="0" w:space="0" w:color="auto"/>
                    <w:left w:val="none" w:sz="0" w:space="0" w:color="auto"/>
                    <w:bottom w:val="none" w:sz="0" w:space="0" w:color="auto"/>
                    <w:right w:val="none" w:sz="0" w:space="0" w:color="auto"/>
                  </w:divBdr>
                  <w:divsChild>
                    <w:div w:id="38869340">
                      <w:marLeft w:val="0"/>
                      <w:marRight w:val="0"/>
                      <w:marTop w:val="0"/>
                      <w:marBottom w:val="0"/>
                      <w:divBdr>
                        <w:top w:val="none" w:sz="0" w:space="0" w:color="auto"/>
                        <w:left w:val="none" w:sz="0" w:space="0" w:color="auto"/>
                        <w:bottom w:val="none" w:sz="0" w:space="0" w:color="auto"/>
                        <w:right w:val="none" w:sz="0" w:space="0" w:color="auto"/>
                      </w:divBdr>
                    </w:div>
                  </w:divsChild>
                </w:div>
                <w:div w:id="890313453">
                  <w:marLeft w:val="0"/>
                  <w:marRight w:val="0"/>
                  <w:marTop w:val="0"/>
                  <w:marBottom w:val="0"/>
                  <w:divBdr>
                    <w:top w:val="none" w:sz="0" w:space="0" w:color="auto"/>
                    <w:left w:val="none" w:sz="0" w:space="0" w:color="auto"/>
                    <w:bottom w:val="none" w:sz="0" w:space="0" w:color="auto"/>
                    <w:right w:val="none" w:sz="0" w:space="0" w:color="auto"/>
                  </w:divBdr>
                  <w:divsChild>
                    <w:div w:id="1100489014">
                      <w:marLeft w:val="0"/>
                      <w:marRight w:val="0"/>
                      <w:marTop w:val="0"/>
                      <w:marBottom w:val="0"/>
                      <w:divBdr>
                        <w:top w:val="none" w:sz="0" w:space="0" w:color="auto"/>
                        <w:left w:val="none" w:sz="0" w:space="0" w:color="auto"/>
                        <w:bottom w:val="none" w:sz="0" w:space="0" w:color="auto"/>
                        <w:right w:val="none" w:sz="0" w:space="0" w:color="auto"/>
                      </w:divBdr>
                    </w:div>
                  </w:divsChild>
                </w:div>
                <w:div w:id="1292050457">
                  <w:marLeft w:val="0"/>
                  <w:marRight w:val="0"/>
                  <w:marTop w:val="0"/>
                  <w:marBottom w:val="0"/>
                  <w:divBdr>
                    <w:top w:val="none" w:sz="0" w:space="0" w:color="auto"/>
                    <w:left w:val="none" w:sz="0" w:space="0" w:color="auto"/>
                    <w:bottom w:val="none" w:sz="0" w:space="0" w:color="auto"/>
                    <w:right w:val="none" w:sz="0" w:space="0" w:color="auto"/>
                  </w:divBdr>
                  <w:divsChild>
                    <w:div w:id="1956592683">
                      <w:marLeft w:val="0"/>
                      <w:marRight w:val="0"/>
                      <w:marTop w:val="0"/>
                      <w:marBottom w:val="0"/>
                      <w:divBdr>
                        <w:top w:val="none" w:sz="0" w:space="0" w:color="auto"/>
                        <w:left w:val="none" w:sz="0" w:space="0" w:color="auto"/>
                        <w:bottom w:val="none" w:sz="0" w:space="0" w:color="auto"/>
                        <w:right w:val="none" w:sz="0" w:space="0" w:color="auto"/>
                      </w:divBdr>
                    </w:div>
                  </w:divsChild>
                </w:div>
                <w:div w:id="1777142146">
                  <w:marLeft w:val="0"/>
                  <w:marRight w:val="0"/>
                  <w:marTop w:val="0"/>
                  <w:marBottom w:val="0"/>
                  <w:divBdr>
                    <w:top w:val="none" w:sz="0" w:space="0" w:color="auto"/>
                    <w:left w:val="none" w:sz="0" w:space="0" w:color="auto"/>
                    <w:bottom w:val="none" w:sz="0" w:space="0" w:color="auto"/>
                    <w:right w:val="none" w:sz="0" w:space="0" w:color="auto"/>
                  </w:divBdr>
                  <w:divsChild>
                    <w:div w:id="2104372800">
                      <w:marLeft w:val="0"/>
                      <w:marRight w:val="0"/>
                      <w:marTop w:val="0"/>
                      <w:marBottom w:val="0"/>
                      <w:divBdr>
                        <w:top w:val="none" w:sz="0" w:space="0" w:color="auto"/>
                        <w:left w:val="none" w:sz="0" w:space="0" w:color="auto"/>
                        <w:bottom w:val="none" w:sz="0" w:space="0" w:color="auto"/>
                        <w:right w:val="none" w:sz="0" w:space="0" w:color="auto"/>
                      </w:divBdr>
                    </w:div>
                  </w:divsChild>
                </w:div>
                <w:div w:id="886799111">
                  <w:marLeft w:val="0"/>
                  <w:marRight w:val="0"/>
                  <w:marTop w:val="0"/>
                  <w:marBottom w:val="0"/>
                  <w:divBdr>
                    <w:top w:val="none" w:sz="0" w:space="0" w:color="auto"/>
                    <w:left w:val="none" w:sz="0" w:space="0" w:color="auto"/>
                    <w:bottom w:val="none" w:sz="0" w:space="0" w:color="auto"/>
                    <w:right w:val="none" w:sz="0" w:space="0" w:color="auto"/>
                  </w:divBdr>
                  <w:divsChild>
                    <w:div w:id="11955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233084">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09423539">
      <w:bodyDiv w:val="1"/>
      <w:marLeft w:val="0"/>
      <w:marRight w:val="0"/>
      <w:marTop w:val="0"/>
      <w:marBottom w:val="0"/>
      <w:divBdr>
        <w:top w:val="none" w:sz="0" w:space="0" w:color="auto"/>
        <w:left w:val="none" w:sz="0" w:space="0" w:color="auto"/>
        <w:bottom w:val="none" w:sz="0" w:space="0" w:color="auto"/>
        <w:right w:val="none" w:sz="0" w:space="0" w:color="auto"/>
      </w:divBdr>
      <w:divsChild>
        <w:div w:id="297150234">
          <w:marLeft w:val="0"/>
          <w:marRight w:val="0"/>
          <w:marTop w:val="0"/>
          <w:marBottom w:val="0"/>
          <w:divBdr>
            <w:top w:val="none" w:sz="0" w:space="0" w:color="auto"/>
            <w:left w:val="none" w:sz="0" w:space="0" w:color="auto"/>
            <w:bottom w:val="none" w:sz="0" w:space="0" w:color="auto"/>
            <w:right w:val="none" w:sz="0" w:space="0" w:color="auto"/>
          </w:divBdr>
        </w:div>
      </w:divsChild>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26731129">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08174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3626664">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15697">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6995879">
      <w:bodyDiv w:val="1"/>
      <w:marLeft w:val="0"/>
      <w:marRight w:val="0"/>
      <w:marTop w:val="0"/>
      <w:marBottom w:val="0"/>
      <w:divBdr>
        <w:top w:val="none" w:sz="0" w:space="0" w:color="auto"/>
        <w:left w:val="none" w:sz="0" w:space="0" w:color="auto"/>
        <w:bottom w:val="none" w:sz="0" w:space="0" w:color="auto"/>
        <w:right w:val="none" w:sz="0" w:space="0" w:color="auto"/>
      </w:divBdr>
      <w:divsChild>
        <w:div w:id="307054694">
          <w:marLeft w:val="0"/>
          <w:marRight w:val="0"/>
          <w:marTop w:val="0"/>
          <w:marBottom w:val="0"/>
          <w:divBdr>
            <w:top w:val="none" w:sz="0" w:space="0" w:color="auto"/>
            <w:left w:val="none" w:sz="0" w:space="0" w:color="auto"/>
            <w:bottom w:val="none" w:sz="0" w:space="0" w:color="auto"/>
            <w:right w:val="none" w:sz="0" w:space="0" w:color="auto"/>
          </w:divBdr>
          <w:divsChild>
            <w:div w:id="237786832">
              <w:marLeft w:val="0"/>
              <w:marRight w:val="0"/>
              <w:marTop w:val="0"/>
              <w:marBottom w:val="0"/>
              <w:divBdr>
                <w:top w:val="none" w:sz="0" w:space="0" w:color="auto"/>
                <w:left w:val="none" w:sz="0" w:space="0" w:color="auto"/>
                <w:bottom w:val="none" w:sz="0" w:space="0" w:color="auto"/>
                <w:right w:val="none" w:sz="0" w:space="0" w:color="auto"/>
              </w:divBdr>
              <w:divsChild>
                <w:div w:id="543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8076">
          <w:marLeft w:val="0"/>
          <w:marRight w:val="0"/>
          <w:marTop w:val="0"/>
          <w:marBottom w:val="0"/>
          <w:divBdr>
            <w:top w:val="none" w:sz="0" w:space="0" w:color="auto"/>
            <w:left w:val="none" w:sz="0" w:space="0" w:color="auto"/>
            <w:bottom w:val="none" w:sz="0" w:space="0" w:color="auto"/>
            <w:right w:val="none" w:sz="0" w:space="0" w:color="auto"/>
          </w:divBdr>
          <w:divsChild>
            <w:div w:id="1905681204">
              <w:marLeft w:val="0"/>
              <w:marRight w:val="0"/>
              <w:marTop w:val="0"/>
              <w:marBottom w:val="0"/>
              <w:divBdr>
                <w:top w:val="none" w:sz="0" w:space="0" w:color="auto"/>
                <w:left w:val="none" w:sz="0" w:space="0" w:color="auto"/>
                <w:bottom w:val="none" w:sz="0" w:space="0" w:color="auto"/>
                <w:right w:val="none" w:sz="0" w:space="0" w:color="auto"/>
              </w:divBdr>
              <w:divsChild>
                <w:div w:id="498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434226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54021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186503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988133">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3947318">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5009050">
      <w:bodyDiv w:val="1"/>
      <w:marLeft w:val="0"/>
      <w:marRight w:val="0"/>
      <w:marTop w:val="0"/>
      <w:marBottom w:val="0"/>
      <w:divBdr>
        <w:top w:val="none" w:sz="0" w:space="0" w:color="auto"/>
        <w:left w:val="none" w:sz="0" w:space="0" w:color="auto"/>
        <w:bottom w:val="none" w:sz="0" w:space="0" w:color="auto"/>
        <w:right w:val="none" w:sz="0" w:space="0" w:color="auto"/>
      </w:divBdr>
      <w:divsChild>
        <w:div w:id="391272046">
          <w:marLeft w:val="0"/>
          <w:marRight w:val="0"/>
          <w:marTop w:val="0"/>
          <w:marBottom w:val="0"/>
          <w:divBdr>
            <w:top w:val="none" w:sz="0" w:space="0" w:color="auto"/>
            <w:left w:val="none" w:sz="0" w:space="0" w:color="auto"/>
            <w:bottom w:val="none" w:sz="0" w:space="0" w:color="auto"/>
            <w:right w:val="none" w:sz="0" w:space="0" w:color="auto"/>
          </w:divBdr>
          <w:divsChild>
            <w:div w:id="28797870">
              <w:marLeft w:val="0"/>
              <w:marRight w:val="0"/>
              <w:marTop w:val="0"/>
              <w:marBottom w:val="0"/>
              <w:divBdr>
                <w:top w:val="none" w:sz="0" w:space="0" w:color="auto"/>
                <w:left w:val="none" w:sz="0" w:space="0" w:color="auto"/>
                <w:bottom w:val="none" w:sz="0" w:space="0" w:color="auto"/>
                <w:right w:val="none" w:sz="0" w:space="0" w:color="auto"/>
              </w:divBdr>
              <w:divsChild>
                <w:div w:id="93050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5109071">
      <w:bodyDiv w:val="1"/>
      <w:marLeft w:val="0"/>
      <w:marRight w:val="0"/>
      <w:marTop w:val="0"/>
      <w:marBottom w:val="0"/>
      <w:divBdr>
        <w:top w:val="none" w:sz="0" w:space="0" w:color="auto"/>
        <w:left w:val="none" w:sz="0" w:space="0" w:color="auto"/>
        <w:bottom w:val="none" w:sz="0" w:space="0" w:color="auto"/>
        <w:right w:val="none" w:sz="0" w:space="0" w:color="auto"/>
      </w:divBdr>
      <w:divsChild>
        <w:div w:id="855462666">
          <w:marLeft w:val="0"/>
          <w:marRight w:val="0"/>
          <w:marTop w:val="0"/>
          <w:marBottom w:val="0"/>
          <w:divBdr>
            <w:top w:val="none" w:sz="0" w:space="0" w:color="auto"/>
            <w:left w:val="none" w:sz="0" w:space="0" w:color="auto"/>
            <w:bottom w:val="none" w:sz="0" w:space="0" w:color="auto"/>
            <w:right w:val="none" w:sz="0" w:space="0" w:color="auto"/>
          </w:divBdr>
        </w:div>
      </w:divsChild>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846">
      <w:bodyDiv w:val="1"/>
      <w:marLeft w:val="0"/>
      <w:marRight w:val="0"/>
      <w:marTop w:val="0"/>
      <w:marBottom w:val="0"/>
      <w:divBdr>
        <w:top w:val="none" w:sz="0" w:space="0" w:color="auto"/>
        <w:left w:val="none" w:sz="0" w:space="0" w:color="auto"/>
        <w:bottom w:val="none" w:sz="0" w:space="0" w:color="auto"/>
        <w:right w:val="none" w:sz="0" w:space="0" w:color="auto"/>
      </w:divBdr>
    </w:div>
    <w:div w:id="153041202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0837825">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78909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1239229">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9230080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1645719">
      <w:bodyDiv w:val="1"/>
      <w:marLeft w:val="0"/>
      <w:marRight w:val="0"/>
      <w:marTop w:val="0"/>
      <w:marBottom w:val="0"/>
      <w:divBdr>
        <w:top w:val="none" w:sz="0" w:space="0" w:color="auto"/>
        <w:left w:val="none" w:sz="0" w:space="0" w:color="auto"/>
        <w:bottom w:val="none" w:sz="0" w:space="0" w:color="auto"/>
        <w:right w:val="none" w:sz="0" w:space="0" w:color="auto"/>
      </w:divBdr>
      <w:divsChild>
        <w:div w:id="2043360423">
          <w:marLeft w:val="0"/>
          <w:marRight w:val="0"/>
          <w:marTop w:val="0"/>
          <w:marBottom w:val="0"/>
          <w:divBdr>
            <w:top w:val="none" w:sz="0" w:space="0" w:color="auto"/>
            <w:left w:val="none" w:sz="0" w:space="0" w:color="auto"/>
            <w:bottom w:val="none" w:sz="0" w:space="0" w:color="auto"/>
            <w:right w:val="none" w:sz="0" w:space="0" w:color="auto"/>
          </w:divBdr>
          <w:divsChild>
            <w:div w:id="1639845949">
              <w:marLeft w:val="0"/>
              <w:marRight w:val="0"/>
              <w:marTop w:val="0"/>
              <w:marBottom w:val="0"/>
              <w:divBdr>
                <w:top w:val="none" w:sz="0" w:space="0" w:color="auto"/>
                <w:left w:val="none" w:sz="0" w:space="0" w:color="auto"/>
                <w:bottom w:val="none" w:sz="0" w:space="0" w:color="auto"/>
                <w:right w:val="none" w:sz="0" w:space="0" w:color="auto"/>
              </w:divBdr>
              <w:divsChild>
                <w:div w:id="131472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48703">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36085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dnp.gov.co/DNPN/normativa/proyectos-de-normativid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646AD42D-83BE-4135-9BC3-FB7134B3F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84</TotalTime>
  <Pages>18</Pages>
  <Words>6942</Words>
  <Characters>38186</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14</cp:revision>
  <cp:lastPrinted>2020-01-30T15:05:00Z</cp:lastPrinted>
  <dcterms:created xsi:type="dcterms:W3CDTF">2021-08-03T19:47:00Z</dcterms:created>
  <dcterms:modified xsi:type="dcterms:W3CDTF">2021-08-03T22:59:00Z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