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4893A0" w14:textId="411FF9C0" w:rsidR="00B414DE" w:rsidRPr="00172ACE" w:rsidRDefault="00B414DE" w:rsidP="00173551">
      <w:pPr>
        <w:jc w:val="right"/>
        <w:rPr>
          <w:rFonts w:ascii="Arial" w:hAnsi="Arial" w:cs="Arial"/>
          <w:b/>
          <w:sz w:val="16"/>
          <w:szCs w:val="16"/>
          <w:lang w:val="es-ES" w:eastAsia="es-ES"/>
        </w:rPr>
      </w:pPr>
      <w:bookmarkStart w:id="0" w:name="_Hlk28946138"/>
      <w:bookmarkStart w:id="1" w:name="_Hlk29548183"/>
      <w:r w:rsidRPr="001B56BF">
        <w:rPr>
          <w:rFonts w:ascii="Arial" w:hAnsi="Arial" w:cs="Arial"/>
          <w:bCs/>
          <w:sz w:val="16"/>
          <w:szCs w:val="16"/>
          <w:lang w:val="es-ES" w:eastAsia="es-ES"/>
        </w:rPr>
        <w:tab/>
      </w:r>
      <w:r w:rsidRPr="00172ACE">
        <w:rPr>
          <w:rFonts w:ascii="Arial" w:hAnsi="Arial" w:cs="Arial"/>
          <w:b/>
          <w:sz w:val="16"/>
          <w:szCs w:val="16"/>
          <w:lang w:val="es-ES" w:eastAsia="es-ES"/>
        </w:rPr>
        <w:t>CCE-DES-FM-17</w:t>
      </w:r>
    </w:p>
    <w:bookmarkEnd w:id="0"/>
    <w:bookmarkEnd w:id="1"/>
    <w:p w14:paraId="27B358C1" w14:textId="21A93303" w:rsidR="00C143C6" w:rsidRPr="00172ACE" w:rsidRDefault="00C143C6" w:rsidP="00173551">
      <w:pPr>
        <w:rPr>
          <w:rFonts w:ascii="Arial" w:hAnsi="Arial" w:cs="Arial"/>
          <w:color w:val="000000" w:themeColor="text1"/>
          <w:sz w:val="16"/>
          <w:szCs w:val="16"/>
        </w:rPr>
      </w:pPr>
    </w:p>
    <w:p w14:paraId="7316AC84" w14:textId="7AC86292" w:rsidR="00FF4BE3" w:rsidRPr="001B56BF" w:rsidRDefault="00FF4BE3" w:rsidP="007F42B4">
      <w:pPr>
        <w:jc w:val="both"/>
        <w:rPr>
          <w:rFonts w:ascii="Arial" w:hAnsi="Arial" w:cs="Arial"/>
          <w:b/>
          <w:color w:val="000000" w:themeColor="text1"/>
          <w:sz w:val="22"/>
        </w:rPr>
      </w:pPr>
      <w:r w:rsidRPr="001B56BF">
        <w:rPr>
          <w:rFonts w:ascii="Arial" w:hAnsi="Arial" w:cs="Arial"/>
          <w:b/>
          <w:color w:val="000000" w:themeColor="text1"/>
          <w:sz w:val="22"/>
        </w:rPr>
        <w:t xml:space="preserve">PROPIEDAD PÚBLICA – Tipos de propiedad </w:t>
      </w:r>
    </w:p>
    <w:p w14:paraId="747A7432" w14:textId="4F589BB7" w:rsidR="00FF4BE3" w:rsidRPr="001B56BF" w:rsidRDefault="00FF4BE3" w:rsidP="007F42B4">
      <w:pPr>
        <w:jc w:val="both"/>
        <w:rPr>
          <w:rFonts w:ascii="Arial" w:hAnsi="Arial" w:cs="Arial"/>
          <w:color w:val="000000" w:themeColor="text1"/>
          <w:sz w:val="22"/>
        </w:rPr>
      </w:pPr>
    </w:p>
    <w:p w14:paraId="155A98EB" w14:textId="0102B59F" w:rsidR="00FF4BE3" w:rsidRPr="001B56BF" w:rsidRDefault="00FF4BE3" w:rsidP="007F42B4">
      <w:pPr>
        <w:jc w:val="both"/>
        <w:rPr>
          <w:rFonts w:ascii="Arial" w:hAnsi="Arial" w:cs="Arial"/>
          <w:bCs/>
          <w:color w:val="000000" w:themeColor="text1"/>
          <w:sz w:val="20"/>
          <w:szCs w:val="20"/>
          <w:lang w:val="es-ES"/>
        </w:rPr>
      </w:pPr>
      <w:r w:rsidRPr="001B56BF">
        <w:rPr>
          <w:rFonts w:ascii="Arial" w:hAnsi="Arial" w:cs="Arial"/>
          <w:bCs/>
          <w:color w:val="000000" w:themeColor="text1"/>
          <w:sz w:val="20"/>
          <w:szCs w:val="20"/>
          <w:lang w:val="es-ES"/>
        </w:rPr>
        <w:t>La Constitución Política reconoce tres tipos de propiedad</w:t>
      </w:r>
      <w:r w:rsidR="00412B5D" w:rsidRPr="001B56BF">
        <w:rPr>
          <w:rFonts w:ascii="Arial" w:hAnsi="Arial" w:cs="Arial"/>
          <w:bCs/>
          <w:color w:val="000000" w:themeColor="text1"/>
          <w:sz w:val="20"/>
          <w:szCs w:val="20"/>
          <w:lang w:val="es-ES"/>
        </w:rPr>
        <w:t>:</w:t>
      </w:r>
      <w:r w:rsidRPr="001B56BF">
        <w:rPr>
          <w:rFonts w:ascii="Arial" w:hAnsi="Arial" w:cs="Arial"/>
          <w:bCs/>
          <w:color w:val="000000" w:themeColor="text1"/>
          <w:sz w:val="20"/>
          <w:szCs w:val="20"/>
          <w:lang w:val="es-ES"/>
        </w:rPr>
        <w:t xml:space="preserve"> </w:t>
      </w:r>
      <w:r w:rsidR="00412B5D" w:rsidRPr="001B56BF">
        <w:rPr>
          <w:rFonts w:ascii="Arial" w:hAnsi="Arial" w:cs="Arial"/>
          <w:bCs/>
          <w:color w:val="000000" w:themeColor="text1"/>
          <w:sz w:val="20"/>
          <w:szCs w:val="20"/>
          <w:lang w:val="es-ES"/>
        </w:rPr>
        <w:t xml:space="preserve">i) </w:t>
      </w:r>
      <w:r w:rsidRPr="001B56BF">
        <w:rPr>
          <w:rFonts w:ascii="Arial" w:hAnsi="Arial" w:cs="Arial"/>
          <w:bCs/>
          <w:color w:val="000000" w:themeColor="text1"/>
          <w:sz w:val="20"/>
          <w:szCs w:val="20"/>
          <w:lang w:val="es-ES"/>
        </w:rPr>
        <w:t>la propiedad privada</w:t>
      </w:r>
      <w:r w:rsidRPr="00095296">
        <w:rPr>
          <w:rFonts w:ascii="Arial" w:hAnsi="Arial" w:cs="Arial"/>
          <w:bCs/>
          <w:color w:val="000000" w:themeColor="text1"/>
          <w:sz w:val="20"/>
          <w:szCs w:val="20"/>
          <w:lang w:val="es-ES"/>
        </w:rPr>
        <w:t xml:space="preserve">, </w:t>
      </w:r>
      <w:proofErr w:type="spellStart"/>
      <w:r w:rsidR="00412B5D" w:rsidRPr="00EE6B33">
        <w:rPr>
          <w:rFonts w:ascii="Arial" w:hAnsi="Arial" w:cs="Arial"/>
          <w:bCs/>
          <w:color w:val="000000" w:themeColor="text1"/>
          <w:sz w:val="20"/>
          <w:szCs w:val="20"/>
          <w:lang w:val="es-ES"/>
        </w:rPr>
        <w:t>ii</w:t>
      </w:r>
      <w:proofErr w:type="spellEnd"/>
      <w:r w:rsidR="00412B5D" w:rsidRPr="00EE6B33">
        <w:rPr>
          <w:rFonts w:ascii="Arial" w:hAnsi="Arial" w:cs="Arial"/>
          <w:bCs/>
          <w:color w:val="000000" w:themeColor="text1"/>
          <w:sz w:val="20"/>
          <w:szCs w:val="20"/>
          <w:lang w:val="es-ES"/>
        </w:rPr>
        <w:t xml:space="preserve">) </w:t>
      </w:r>
      <w:r w:rsidRPr="00EE6B33">
        <w:rPr>
          <w:rFonts w:ascii="Arial" w:hAnsi="Arial" w:cs="Arial"/>
          <w:bCs/>
          <w:color w:val="000000" w:themeColor="text1"/>
          <w:sz w:val="20"/>
          <w:szCs w:val="20"/>
          <w:lang w:val="es-ES"/>
        </w:rPr>
        <w:t xml:space="preserve">la propiamente estatal y </w:t>
      </w:r>
      <w:proofErr w:type="spellStart"/>
      <w:r w:rsidR="00412B5D" w:rsidRPr="00EE6B33">
        <w:rPr>
          <w:rFonts w:ascii="Arial" w:hAnsi="Arial" w:cs="Arial"/>
          <w:bCs/>
          <w:color w:val="000000" w:themeColor="text1"/>
          <w:sz w:val="20"/>
          <w:szCs w:val="20"/>
          <w:lang w:val="es-ES"/>
        </w:rPr>
        <w:t>iii</w:t>
      </w:r>
      <w:proofErr w:type="spellEnd"/>
      <w:r w:rsidR="00412B5D" w:rsidRPr="00EE6B33">
        <w:rPr>
          <w:rFonts w:ascii="Arial" w:hAnsi="Arial" w:cs="Arial"/>
          <w:bCs/>
          <w:color w:val="000000" w:themeColor="text1"/>
          <w:sz w:val="20"/>
          <w:szCs w:val="20"/>
          <w:lang w:val="es-ES"/>
        </w:rPr>
        <w:t xml:space="preserve">) </w:t>
      </w:r>
      <w:r w:rsidRPr="00EE6B33">
        <w:rPr>
          <w:rFonts w:ascii="Arial" w:hAnsi="Arial" w:cs="Arial"/>
          <w:bCs/>
          <w:color w:val="000000" w:themeColor="text1"/>
          <w:sz w:val="20"/>
          <w:szCs w:val="20"/>
          <w:lang w:val="es-ES"/>
        </w:rPr>
        <w:t xml:space="preserve">la </w:t>
      </w:r>
      <w:r w:rsidR="00095296" w:rsidRPr="00EE6B33">
        <w:rPr>
          <w:rFonts w:ascii="Arial" w:hAnsi="Arial" w:cs="Arial"/>
          <w:bCs/>
          <w:color w:val="000000" w:themeColor="text1"/>
          <w:sz w:val="20"/>
          <w:szCs w:val="20"/>
          <w:lang w:val="es-ES"/>
        </w:rPr>
        <w:t>comunitaria</w:t>
      </w:r>
      <w:r w:rsidRPr="00EE6B33">
        <w:rPr>
          <w:rFonts w:ascii="Arial" w:hAnsi="Arial" w:cs="Arial"/>
          <w:bCs/>
          <w:color w:val="000000" w:themeColor="text1"/>
          <w:sz w:val="20"/>
          <w:szCs w:val="20"/>
          <w:lang w:val="es-ES"/>
        </w:rPr>
        <w:t>.</w:t>
      </w:r>
      <w:r w:rsidRPr="00095296">
        <w:rPr>
          <w:rFonts w:ascii="Arial" w:hAnsi="Arial" w:cs="Arial"/>
          <w:bCs/>
          <w:color w:val="000000" w:themeColor="text1"/>
          <w:sz w:val="20"/>
          <w:szCs w:val="20"/>
          <w:lang w:val="es-ES"/>
        </w:rPr>
        <w:t xml:space="preserve"> Est</w:t>
      </w:r>
      <w:r w:rsidRPr="001B56BF">
        <w:rPr>
          <w:rFonts w:ascii="Arial" w:hAnsi="Arial" w:cs="Arial"/>
          <w:bCs/>
          <w:color w:val="000000" w:themeColor="text1"/>
          <w:sz w:val="20"/>
          <w:szCs w:val="20"/>
          <w:lang w:val="es-ES"/>
        </w:rPr>
        <w:t>as especies del derecho de dominio están protegidas y garantizadas, no solamente en el texto superior, sino también en las leyes civiles.</w:t>
      </w:r>
    </w:p>
    <w:p w14:paraId="5CE11B1D" w14:textId="5C260816" w:rsidR="00FF4BE3" w:rsidRPr="001B56BF" w:rsidRDefault="00FF4BE3" w:rsidP="007F42B4">
      <w:pPr>
        <w:jc w:val="both"/>
        <w:rPr>
          <w:rFonts w:ascii="Arial" w:hAnsi="Arial" w:cs="Arial"/>
          <w:bCs/>
          <w:color w:val="000000" w:themeColor="text1"/>
          <w:sz w:val="20"/>
          <w:szCs w:val="20"/>
          <w:lang w:val="es-ES"/>
        </w:rPr>
      </w:pPr>
    </w:p>
    <w:p w14:paraId="2032242B" w14:textId="6FCCF077" w:rsidR="00FF4BE3" w:rsidRPr="001B56BF" w:rsidRDefault="00FF4BE3" w:rsidP="007F42B4">
      <w:pPr>
        <w:jc w:val="both"/>
        <w:rPr>
          <w:rFonts w:ascii="Arial" w:hAnsi="Arial" w:cs="Arial"/>
          <w:b/>
          <w:color w:val="000000" w:themeColor="text1"/>
          <w:sz w:val="22"/>
        </w:rPr>
      </w:pPr>
      <w:r w:rsidRPr="001B56BF">
        <w:rPr>
          <w:rFonts w:ascii="Arial" w:hAnsi="Arial" w:cs="Arial"/>
          <w:b/>
          <w:color w:val="000000" w:themeColor="text1"/>
          <w:sz w:val="22"/>
        </w:rPr>
        <w:t xml:space="preserve">BIENES PÚBLICOS – Explotación comercial – Principios de la función administrativa </w:t>
      </w:r>
    </w:p>
    <w:p w14:paraId="63697980" w14:textId="162E54F2" w:rsidR="00FF4BE3" w:rsidRPr="001B56BF" w:rsidRDefault="00FF4BE3" w:rsidP="007F42B4">
      <w:pPr>
        <w:jc w:val="both"/>
        <w:rPr>
          <w:rFonts w:ascii="Arial" w:hAnsi="Arial" w:cs="Arial"/>
          <w:color w:val="000000" w:themeColor="text1"/>
          <w:sz w:val="20"/>
          <w:szCs w:val="20"/>
        </w:rPr>
      </w:pPr>
    </w:p>
    <w:p w14:paraId="5DCFBCD5" w14:textId="25DCA944" w:rsidR="00D66DB0" w:rsidRPr="001B56BF" w:rsidRDefault="00FF4BE3" w:rsidP="00172ACE">
      <w:pPr>
        <w:spacing w:after="120"/>
        <w:jc w:val="both"/>
        <w:rPr>
          <w:rFonts w:ascii="Arial" w:hAnsi="Arial" w:cs="Arial"/>
          <w:bCs/>
          <w:color w:val="000000" w:themeColor="text1"/>
          <w:sz w:val="20"/>
          <w:szCs w:val="20"/>
          <w:lang w:val="es-ES"/>
        </w:rPr>
      </w:pPr>
      <w:r w:rsidRPr="001B56BF">
        <w:rPr>
          <w:rFonts w:ascii="Arial" w:hAnsi="Arial" w:cs="Arial"/>
          <w:bCs/>
          <w:color w:val="000000" w:themeColor="text1"/>
          <w:sz w:val="20"/>
          <w:szCs w:val="20"/>
          <w:lang w:val="es-ES"/>
        </w:rPr>
        <w:t xml:space="preserve">De la naturaleza pública de los titulares del bien se derivan varias consecuencias. La primera de ellas, y quizás la más importante, es que la explotación comercial de los bienes debe observar los principios de la función administrativa contenidos en el artículo 209 superior. En consecuencia «la gestión de los bienes públicos debe ser </w:t>
      </w:r>
      <w:r w:rsidRPr="001B56BF">
        <w:rPr>
          <w:rFonts w:ascii="Arial" w:hAnsi="Arial" w:cs="Arial"/>
          <w:bCs/>
          <w:i/>
          <w:iCs/>
          <w:color w:val="000000" w:themeColor="text1"/>
          <w:sz w:val="20"/>
          <w:szCs w:val="20"/>
          <w:lang w:val="es-ES"/>
        </w:rPr>
        <w:t xml:space="preserve">eficaz, eficiente y célere. </w:t>
      </w:r>
      <w:r w:rsidRPr="001B56BF">
        <w:rPr>
          <w:rFonts w:ascii="Arial" w:hAnsi="Arial" w:cs="Arial"/>
          <w:bCs/>
          <w:color w:val="000000" w:themeColor="text1"/>
          <w:sz w:val="20"/>
          <w:szCs w:val="20"/>
          <w:lang w:val="es-ES"/>
        </w:rPr>
        <w:t>Esto implica que todos los medios puestos a disposición de la Administración deben ser utilizados según una relación costo beneficio teniendo en consideración las riquezas sociales y económicas que esos bienes pueden producir»</w:t>
      </w:r>
      <w:r w:rsidR="00D66DB0" w:rsidRPr="001B56BF">
        <w:rPr>
          <w:rFonts w:ascii="Arial" w:hAnsi="Arial" w:cs="Arial"/>
          <w:bCs/>
          <w:color w:val="000000" w:themeColor="text1"/>
          <w:sz w:val="20"/>
          <w:szCs w:val="20"/>
          <w:lang w:val="es-ES"/>
        </w:rPr>
        <w:t>.</w:t>
      </w:r>
    </w:p>
    <w:p w14:paraId="0A7D728D" w14:textId="47C24D9E" w:rsidR="00FF4BE3" w:rsidRPr="001B56BF" w:rsidRDefault="00D66DB0" w:rsidP="00172ACE">
      <w:pPr>
        <w:jc w:val="both"/>
        <w:rPr>
          <w:rFonts w:ascii="Arial" w:hAnsi="Arial" w:cs="Arial"/>
          <w:bCs/>
          <w:color w:val="000000" w:themeColor="text1"/>
          <w:sz w:val="20"/>
          <w:szCs w:val="20"/>
          <w:lang w:val="es-ES"/>
        </w:rPr>
      </w:pPr>
      <w:r w:rsidRPr="001B56BF">
        <w:rPr>
          <w:rFonts w:ascii="Arial" w:hAnsi="Arial" w:cs="Arial"/>
          <w:bCs/>
          <w:color w:val="000000" w:themeColor="text1"/>
          <w:sz w:val="20"/>
          <w:szCs w:val="20"/>
          <w:lang w:val="es-ES"/>
        </w:rPr>
        <w:t xml:space="preserve">La segunda consecuencia de la naturaleza pública de los titulares, que atiende de manera más directa su consulta, es que la explotación del bien debe seguir las normas de derecho público imperativo aplicables al titular del bien. Ello incluye el deber de aplicar los </w:t>
      </w:r>
      <w:r w:rsidRPr="001B56BF">
        <w:rPr>
          <w:rFonts w:ascii="Arial" w:hAnsi="Arial" w:cs="Arial"/>
          <w:bCs/>
          <w:i/>
          <w:iCs/>
          <w:color w:val="000000" w:themeColor="text1"/>
          <w:sz w:val="20"/>
          <w:szCs w:val="20"/>
          <w:lang w:val="es-ES"/>
        </w:rPr>
        <w:t xml:space="preserve">procedimientos públicos </w:t>
      </w:r>
      <w:r w:rsidRPr="001B56BF">
        <w:rPr>
          <w:rFonts w:ascii="Arial" w:hAnsi="Arial" w:cs="Arial"/>
          <w:bCs/>
          <w:color w:val="000000" w:themeColor="text1"/>
          <w:sz w:val="20"/>
          <w:szCs w:val="20"/>
          <w:lang w:val="es-ES"/>
        </w:rPr>
        <w:t xml:space="preserve">para el otorgamiento de actos o contratos que permitan a terceros la explotación de bienes públicos. </w:t>
      </w:r>
    </w:p>
    <w:p w14:paraId="1B1B378E" w14:textId="332C6CA2" w:rsidR="00D66DB0" w:rsidRPr="001B56BF" w:rsidRDefault="00D66DB0" w:rsidP="00172ACE">
      <w:pPr>
        <w:jc w:val="both"/>
        <w:rPr>
          <w:rFonts w:ascii="Arial" w:hAnsi="Arial" w:cs="Arial"/>
          <w:bCs/>
          <w:color w:val="000000" w:themeColor="text1"/>
          <w:sz w:val="20"/>
          <w:szCs w:val="20"/>
          <w:lang w:val="es-ES"/>
        </w:rPr>
      </w:pPr>
    </w:p>
    <w:p w14:paraId="4A504D7B" w14:textId="7C724F2E" w:rsidR="00D66DB0" w:rsidRPr="001B56BF" w:rsidRDefault="00D66DB0" w:rsidP="00172ACE">
      <w:pPr>
        <w:jc w:val="both"/>
        <w:rPr>
          <w:rFonts w:ascii="Arial" w:hAnsi="Arial" w:cs="Arial"/>
          <w:b/>
          <w:bCs/>
          <w:color w:val="000000" w:themeColor="text1"/>
          <w:sz w:val="22"/>
          <w:lang w:val="es-ES"/>
        </w:rPr>
      </w:pPr>
      <w:r w:rsidRPr="001B56BF">
        <w:rPr>
          <w:rFonts w:ascii="Arial" w:hAnsi="Arial" w:cs="Arial"/>
          <w:b/>
          <w:bCs/>
          <w:color w:val="000000" w:themeColor="text1"/>
          <w:sz w:val="22"/>
          <w:lang w:val="es-ES"/>
        </w:rPr>
        <w:t xml:space="preserve">CONTRATACIÓN ESTATAL – Bienes intangibles </w:t>
      </w:r>
      <w:proofErr w:type="gramStart"/>
      <w:r w:rsidRPr="001B56BF">
        <w:rPr>
          <w:rFonts w:ascii="Arial" w:hAnsi="Arial" w:cs="Arial"/>
          <w:b/>
          <w:bCs/>
          <w:color w:val="000000" w:themeColor="text1"/>
          <w:sz w:val="22"/>
          <w:lang w:val="es-ES"/>
        </w:rPr>
        <w:t xml:space="preserve">– </w:t>
      </w:r>
      <w:r w:rsidR="007F42B4" w:rsidRPr="001B56BF">
        <w:rPr>
          <w:rFonts w:ascii="Arial" w:hAnsi="Arial" w:cs="Arial"/>
          <w:b/>
          <w:bCs/>
          <w:color w:val="000000" w:themeColor="text1"/>
          <w:sz w:val="22"/>
          <w:lang w:val="es-ES"/>
        </w:rPr>
        <w:t xml:space="preserve"> Régimen</w:t>
      </w:r>
      <w:proofErr w:type="gramEnd"/>
      <w:r w:rsidR="007F42B4" w:rsidRPr="001B56BF">
        <w:rPr>
          <w:rFonts w:ascii="Arial" w:hAnsi="Arial" w:cs="Arial"/>
          <w:b/>
          <w:bCs/>
          <w:color w:val="000000" w:themeColor="text1"/>
          <w:sz w:val="22"/>
          <w:lang w:val="es-ES"/>
        </w:rPr>
        <w:t xml:space="preserve"> contractual - </w:t>
      </w:r>
      <w:r w:rsidRPr="001B56BF">
        <w:rPr>
          <w:rFonts w:ascii="Arial" w:hAnsi="Arial" w:cs="Arial"/>
          <w:b/>
          <w:bCs/>
          <w:color w:val="000000" w:themeColor="text1"/>
          <w:sz w:val="22"/>
          <w:lang w:val="es-ES"/>
        </w:rPr>
        <w:t>Ley 1955 de 2019</w:t>
      </w:r>
    </w:p>
    <w:p w14:paraId="7F7DC3D4" w14:textId="017DAC26" w:rsidR="00D66DB0" w:rsidRPr="001B56BF" w:rsidRDefault="00D66DB0" w:rsidP="007F42B4">
      <w:pPr>
        <w:jc w:val="both"/>
        <w:rPr>
          <w:rFonts w:ascii="Arial" w:hAnsi="Arial" w:cs="Arial"/>
          <w:bCs/>
          <w:color w:val="000000" w:themeColor="text1"/>
          <w:sz w:val="20"/>
          <w:szCs w:val="20"/>
          <w:lang w:val="es-ES"/>
        </w:rPr>
      </w:pPr>
    </w:p>
    <w:p w14:paraId="1F40E50D" w14:textId="0BAE0876" w:rsidR="00D66DB0" w:rsidRPr="001B56BF" w:rsidRDefault="00D66DB0" w:rsidP="00172ACE">
      <w:pPr>
        <w:spacing w:after="120"/>
        <w:jc w:val="both"/>
        <w:rPr>
          <w:rFonts w:ascii="Arial" w:hAnsi="Arial" w:cs="Arial"/>
          <w:bCs/>
          <w:color w:val="000000" w:themeColor="text1"/>
          <w:sz w:val="20"/>
          <w:szCs w:val="20"/>
          <w:lang w:val="es-ES"/>
        </w:rPr>
      </w:pPr>
      <w:r w:rsidRPr="001B56BF">
        <w:rPr>
          <w:rFonts w:ascii="Arial" w:hAnsi="Arial" w:cs="Arial"/>
          <w:bCs/>
          <w:color w:val="000000" w:themeColor="text1"/>
          <w:sz w:val="20"/>
          <w:szCs w:val="20"/>
          <w:lang w:val="es-ES"/>
        </w:rPr>
        <w:t xml:space="preserve">La Ley 1955 de 2019 no creó un régimen especial de contratación aplicable a todas las entidades estatales en posición de negociar con bienes intangibles. Por lo tanto, el régimen jurídico de la gestión contractual de los derechos de propiedad intelectual debe definirse atendiendo al criterio orgánico, esto es, el régimen jurídico contractual aplicable a la persona de derecho público titular de esos bienes. </w:t>
      </w:r>
    </w:p>
    <w:p w14:paraId="6A23E788" w14:textId="77777777" w:rsidR="00D66DB0" w:rsidRPr="001B56BF" w:rsidRDefault="00D66DB0" w:rsidP="00172ACE">
      <w:pPr>
        <w:jc w:val="both"/>
        <w:rPr>
          <w:rFonts w:ascii="Arial" w:hAnsi="Arial" w:cs="Arial"/>
          <w:bCs/>
          <w:color w:val="000000" w:themeColor="text1"/>
          <w:sz w:val="20"/>
          <w:szCs w:val="20"/>
          <w:lang w:val="es-ES"/>
        </w:rPr>
      </w:pPr>
      <w:r w:rsidRPr="001B56BF">
        <w:rPr>
          <w:rFonts w:ascii="Arial" w:hAnsi="Arial" w:cs="Arial"/>
          <w:bCs/>
          <w:color w:val="000000" w:themeColor="text1"/>
          <w:sz w:val="20"/>
          <w:szCs w:val="20"/>
          <w:lang w:val="es-ES"/>
        </w:rPr>
        <w:t xml:space="preserve">En otras palabras, si se trata de una entidad a la cual no se le ha dado un tratamiento jurídico preferente, se habrá de aplicar el Estatuto General de Contratación de la Administración Pública, pero si, por el contrario, se hace referencia a una entidad regida por las disposiciones de una ley especial, se aplicará lo establecido por el régimen especial, que por regla general es el derecho privado matizado por los principios de la función administrativa, la gestión fiscal y las inhabilidades e incompatibilidades, tal y como lo establece el artículo 13 de la Ley 1150 de 2007.  </w:t>
      </w:r>
    </w:p>
    <w:p w14:paraId="4D41F031" w14:textId="1E213688" w:rsidR="00D66DB0" w:rsidRPr="001B56BF" w:rsidRDefault="00D66DB0" w:rsidP="00172ACE">
      <w:pPr>
        <w:jc w:val="both"/>
        <w:rPr>
          <w:rFonts w:ascii="Arial" w:hAnsi="Arial" w:cs="Arial"/>
          <w:bCs/>
          <w:color w:val="000000" w:themeColor="text1"/>
          <w:sz w:val="20"/>
          <w:szCs w:val="20"/>
          <w:lang w:val="es-ES"/>
        </w:rPr>
      </w:pPr>
    </w:p>
    <w:p w14:paraId="1B5AC6AA" w14:textId="421E0744" w:rsidR="002553C8" w:rsidRPr="001B56BF" w:rsidRDefault="002553C8" w:rsidP="00172ACE">
      <w:pPr>
        <w:jc w:val="both"/>
        <w:rPr>
          <w:rFonts w:ascii="Arial" w:hAnsi="Arial" w:cs="Arial"/>
          <w:b/>
          <w:bCs/>
          <w:color w:val="000000" w:themeColor="text1"/>
          <w:sz w:val="22"/>
          <w:lang w:val="es-ES"/>
        </w:rPr>
      </w:pPr>
      <w:r w:rsidRPr="001B56BF">
        <w:rPr>
          <w:rFonts w:ascii="Arial" w:hAnsi="Arial" w:cs="Arial"/>
          <w:b/>
          <w:bCs/>
          <w:color w:val="000000" w:themeColor="text1"/>
          <w:sz w:val="22"/>
          <w:lang w:val="es-ES"/>
        </w:rPr>
        <w:t xml:space="preserve">CONTRATACIÓN ESTATAL – Tipología contractual </w:t>
      </w:r>
      <w:r w:rsidR="007F42B4" w:rsidRPr="001B56BF">
        <w:rPr>
          <w:rFonts w:ascii="Arial" w:hAnsi="Arial" w:cs="Arial"/>
          <w:b/>
          <w:bCs/>
          <w:color w:val="000000" w:themeColor="text1"/>
          <w:sz w:val="22"/>
          <w:lang w:val="es-ES"/>
        </w:rPr>
        <w:t>–</w:t>
      </w:r>
      <w:r w:rsidRPr="001B56BF">
        <w:rPr>
          <w:rFonts w:ascii="Arial" w:hAnsi="Arial" w:cs="Arial"/>
          <w:b/>
          <w:bCs/>
          <w:color w:val="000000" w:themeColor="text1"/>
          <w:sz w:val="22"/>
          <w:lang w:val="es-ES"/>
        </w:rPr>
        <w:t xml:space="preserve"> </w:t>
      </w:r>
      <w:r w:rsidR="007F42B4" w:rsidRPr="001B56BF">
        <w:rPr>
          <w:rFonts w:ascii="Arial" w:hAnsi="Arial" w:cs="Arial"/>
          <w:b/>
          <w:bCs/>
          <w:color w:val="000000" w:themeColor="text1"/>
          <w:sz w:val="22"/>
          <w:lang w:val="es-ES"/>
        </w:rPr>
        <w:t xml:space="preserve">Libertad de escogencia </w:t>
      </w:r>
    </w:p>
    <w:p w14:paraId="02F54AC0" w14:textId="77777777" w:rsidR="002553C8" w:rsidRPr="001B56BF" w:rsidRDefault="002553C8" w:rsidP="00172ACE">
      <w:pPr>
        <w:jc w:val="both"/>
        <w:rPr>
          <w:rFonts w:ascii="Arial" w:hAnsi="Arial" w:cs="Arial"/>
          <w:bCs/>
          <w:color w:val="000000" w:themeColor="text1"/>
          <w:sz w:val="20"/>
          <w:szCs w:val="20"/>
          <w:lang w:val="es-ES"/>
        </w:rPr>
      </w:pPr>
    </w:p>
    <w:p w14:paraId="75419C7E" w14:textId="580AA315" w:rsidR="002553C8" w:rsidRPr="001B56BF" w:rsidRDefault="002553C8" w:rsidP="00172ACE">
      <w:pPr>
        <w:jc w:val="both"/>
        <w:rPr>
          <w:rFonts w:ascii="Arial" w:hAnsi="Arial" w:cs="Arial"/>
          <w:bCs/>
          <w:color w:val="000000" w:themeColor="text1"/>
          <w:sz w:val="20"/>
          <w:szCs w:val="20"/>
          <w:lang w:val="es-ES"/>
        </w:rPr>
      </w:pPr>
      <w:r w:rsidRPr="001B56BF">
        <w:rPr>
          <w:rFonts w:ascii="Arial" w:hAnsi="Arial" w:cs="Arial"/>
          <w:bCs/>
          <w:color w:val="000000" w:themeColor="text1"/>
          <w:sz w:val="20"/>
          <w:szCs w:val="20"/>
          <w:lang w:val="es-ES"/>
        </w:rPr>
        <w:t>En relación con el tipo contractual que debe celebrarse, el Estatuto General de Contratación de la Administración Pública no contiene un tipo contractual especial, de derecho público, a través del cual se deba canalizar la explotación de la propiedad intelectual del Estado. Por lo tanto, es relevante recordar que el artículo 32 de la Ley 80 de 1993 otorga libertad en la escogencia del tipo contractual a las entidades estatales</w:t>
      </w:r>
      <w:r w:rsidR="0029357D" w:rsidRPr="001B56BF">
        <w:rPr>
          <w:rFonts w:ascii="Arial" w:hAnsi="Arial" w:cs="Arial"/>
          <w:bCs/>
          <w:color w:val="000000" w:themeColor="text1"/>
          <w:sz w:val="20"/>
          <w:szCs w:val="20"/>
          <w:lang w:val="es-ES"/>
        </w:rPr>
        <w:t>.</w:t>
      </w:r>
      <w:r w:rsidRPr="001B56BF">
        <w:rPr>
          <w:rFonts w:ascii="Arial" w:hAnsi="Arial" w:cs="Arial"/>
          <w:bCs/>
          <w:color w:val="000000" w:themeColor="text1"/>
          <w:sz w:val="20"/>
          <w:szCs w:val="20"/>
          <w:lang w:val="es-ES"/>
        </w:rPr>
        <w:t xml:space="preserve"> </w:t>
      </w:r>
      <w:r w:rsidR="0029357D" w:rsidRPr="001B56BF">
        <w:rPr>
          <w:rFonts w:ascii="Arial" w:hAnsi="Arial" w:cs="Arial"/>
          <w:bCs/>
          <w:color w:val="000000" w:themeColor="text1"/>
          <w:sz w:val="20"/>
          <w:szCs w:val="20"/>
          <w:lang w:val="es-ES"/>
        </w:rPr>
        <w:t>E</w:t>
      </w:r>
      <w:r w:rsidRPr="001B56BF">
        <w:rPr>
          <w:rFonts w:ascii="Arial" w:hAnsi="Arial" w:cs="Arial"/>
          <w:bCs/>
          <w:color w:val="000000" w:themeColor="text1"/>
          <w:sz w:val="20"/>
          <w:szCs w:val="20"/>
          <w:lang w:val="es-ES"/>
        </w:rPr>
        <w:t xml:space="preserve">l ejercicio de dicha </w:t>
      </w:r>
      <w:r w:rsidR="0029357D" w:rsidRPr="001B56BF">
        <w:rPr>
          <w:rFonts w:ascii="Arial" w:hAnsi="Arial" w:cs="Arial"/>
          <w:bCs/>
          <w:color w:val="000000" w:themeColor="text1"/>
          <w:sz w:val="20"/>
          <w:szCs w:val="20"/>
          <w:lang w:val="es-ES"/>
        </w:rPr>
        <w:t xml:space="preserve">discrecionalidad </w:t>
      </w:r>
      <w:r w:rsidRPr="001B56BF">
        <w:rPr>
          <w:rFonts w:ascii="Arial" w:hAnsi="Arial" w:cs="Arial"/>
          <w:bCs/>
          <w:color w:val="000000" w:themeColor="text1"/>
          <w:sz w:val="20"/>
          <w:szCs w:val="20"/>
          <w:lang w:val="es-ES"/>
        </w:rPr>
        <w:t>dependerá de las necesidades concretas.</w:t>
      </w:r>
      <w:r w:rsidR="00095296">
        <w:rPr>
          <w:rFonts w:ascii="Arial" w:hAnsi="Arial" w:cs="Arial"/>
          <w:bCs/>
          <w:color w:val="000000" w:themeColor="text1"/>
          <w:sz w:val="20"/>
          <w:szCs w:val="20"/>
          <w:lang w:val="es-ES"/>
        </w:rPr>
        <w:t xml:space="preserve"> No obstante, tiene que aclararse que dicha discreción para la escogencia del tipo contractual se ve limitada por los elementos de cada </w:t>
      </w:r>
      <w:r w:rsidR="00C83ECF">
        <w:rPr>
          <w:rFonts w:ascii="Arial" w:hAnsi="Arial" w:cs="Arial"/>
          <w:bCs/>
          <w:color w:val="000000" w:themeColor="text1"/>
          <w:sz w:val="20"/>
          <w:szCs w:val="20"/>
          <w:lang w:val="es-ES"/>
        </w:rPr>
        <w:t xml:space="preserve">contrato; es decir, si están presentes los elementos esenciales de cierta tipología imperativamente debe darse aplicación al régimen que a este corresponde. Por ejemplo, una vez están presentes los elementos esenciales de un contrato de obra, no podría la entidad intentar darle un tratamiento jurídico de un contrato de prestación de servicios, o viceversa. </w:t>
      </w:r>
    </w:p>
    <w:p w14:paraId="514DC053" w14:textId="77777777" w:rsidR="0029357D" w:rsidRPr="001B56BF" w:rsidRDefault="0029357D" w:rsidP="007F42B4">
      <w:pPr>
        <w:jc w:val="both"/>
        <w:rPr>
          <w:rFonts w:ascii="Arial" w:hAnsi="Arial" w:cs="Arial"/>
          <w:bCs/>
          <w:color w:val="000000" w:themeColor="text1"/>
          <w:sz w:val="20"/>
          <w:szCs w:val="20"/>
          <w:lang w:val="es-ES"/>
        </w:rPr>
      </w:pPr>
    </w:p>
    <w:p w14:paraId="7B35CA68" w14:textId="26A21AA3" w:rsidR="002553C8" w:rsidRPr="001B56BF" w:rsidRDefault="002553C8" w:rsidP="007F42B4">
      <w:pPr>
        <w:jc w:val="both"/>
        <w:rPr>
          <w:rFonts w:ascii="Arial" w:hAnsi="Arial" w:cs="Arial"/>
          <w:bCs/>
          <w:color w:val="000000" w:themeColor="text1"/>
          <w:sz w:val="20"/>
          <w:szCs w:val="20"/>
          <w:lang w:val="es-ES"/>
        </w:rPr>
      </w:pPr>
      <w:r w:rsidRPr="001B56BF">
        <w:rPr>
          <w:rFonts w:ascii="Arial" w:hAnsi="Arial" w:cs="Arial"/>
          <w:bCs/>
          <w:color w:val="000000" w:themeColor="text1"/>
          <w:sz w:val="20"/>
          <w:szCs w:val="20"/>
          <w:lang w:val="es-ES"/>
        </w:rPr>
        <w:lastRenderedPageBreak/>
        <w:t>En ese sentido, la disposición referida prescribe que son «contratos estatales» los acuerdos «a que se refiere el presente estatuto» pero además agrega que tendrán la calidad de tales los tipos contractuales «previstos en el derecho privado o en disposiciones especiales, o derivados del ejercicio de la autonomía de la voluntad». Sobre el punto, en la actualidad no existe discusión en relación con la posibilidad que tienen las entidades estatales de utilizar los tipos contractuales del derecho privado, bien sean jurídica o socialmente típicos, e incluso contratos atípicos</w:t>
      </w:r>
      <w:r w:rsidR="007F42B4" w:rsidRPr="001B56BF">
        <w:rPr>
          <w:rFonts w:ascii="Arial" w:hAnsi="Arial" w:cs="Arial"/>
          <w:bCs/>
          <w:color w:val="000000" w:themeColor="text1"/>
          <w:sz w:val="20"/>
          <w:szCs w:val="20"/>
          <w:lang w:val="es-ES"/>
        </w:rPr>
        <w:t xml:space="preserve">. </w:t>
      </w:r>
    </w:p>
    <w:p w14:paraId="46232581" w14:textId="2FF4AE1C" w:rsidR="007F42B4" w:rsidRPr="001B56BF" w:rsidRDefault="007F42B4" w:rsidP="007F42B4">
      <w:pPr>
        <w:jc w:val="both"/>
        <w:rPr>
          <w:rFonts w:ascii="Arial" w:hAnsi="Arial" w:cs="Arial"/>
          <w:bCs/>
          <w:color w:val="000000" w:themeColor="text1"/>
          <w:sz w:val="20"/>
          <w:szCs w:val="20"/>
          <w:lang w:val="es-ES"/>
        </w:rPr>
      </w:pPr>
    </w:p>
    <w:p w14:paraId="58C8398B" w14:textId="4FEEBABE" w:rsidR="007F42B4" w:rsidRPr="001B56BF" w:rsidRDefault="007F42B4" w:rsidP="007F42B4">
      <w:pPr>
        <w:jc w:val="both"/>
        <w:rPr>
          <w:rFonts w:ascii="Arial" w:hAnsi="Arial" w:cs="Arial"/>
          <w:b/>
          <w:bCs/>
          <w:color w:val="000000" w:themeColor="text1"/>
          <w:sz w:val="22"/>
          <w:lang w:val="es-ES"/>
        </w:rPr>
      </w:pPr>
      <w:r w:rsidRPr="001B56BF">
        <w:rPr>
          <w:rFonts w:ascii="Arial" w:hAnsi="Arial" w:cs="Arial"/>
          <w:b/>
          <w:bCs/>
          <w:color w:val="000000" w:themeColor="text1"/>
          <w:sz w:val="22"/>
          <w:lang w:val="es-ES"/>
        </w:rPr>
        <w:t xml:space="preserve">CONTRATACIÓN SOBRE BIENES INTANGIBLES – Tipología contractual </w:t>
      </w:r>
    </w:p>
    <w:p w14:paraId="48E0ABC7" w14:textId="7D627DF1" w:rsidR="007F42B4" w:rsidRPr="001B56BF" w:rsidRDefault="007F42B4" w:rsidP="007F42B4">
      <w:pPr>
        <w:jc w:val="both"/>
        <w:rPr>
          <w:rFonts w:ascii="Arial" w:hAnsi="Arial" w:cs="Arial"/>
          <w:bCs/>
          <w:color w:val="000000" w:themeColor="text1"/>
          <w:sz w:val="20"/>
          <w:szCs w:val="20"/>
          <w:lang w:val="es-ES"/>
        </w:rPr>
      </w:pPr>
    </w:p>
    <w:p w14:paraId="07377665" w14:textId="6540FC12" w:rsidR="007F42B4" w:rsidRPr="001B56BF" w:rsidRDefault="007F42B4" w:rsidP="00172ACE">
      <w:pPr>
        <w:spacing w:after="120"/>
        <w:jc w:val="both"/>
        <w:rPr>
          <w:rFonts w:ascii="Arial" w:hAnsi="Arial" w:cs="Arial"/>
          <w:bCs/>
          <w:color w:val="000000" w:themeColor="text1"/>
          <w:sz w:val="20"/>
          <w:szCs w:val="20"/>
          <w:lang w:val="es-ES"/>
        </w:rPr>
      </w:pPr>
      <w:r w:rsidRPr="001B56BF">
        <w:rPr>
          <w:rFonts w:ascii="Arial" w:hAnsi="Arial" w:cs="Arial"/>
          <w:bCs/>
          <w:color w:val="000000" w:themeColor="text1"/>
          <w:sz w:val="20"/>
          <w:szCs w:val="20"/>
          <w:lang w:val="es-ES"/>
        </w:rPr>
        <w:t xml:space="preserve">[…] debido a las características de los bienes intangibles, y en particular la explotación de los derechos de propiedad intelectual, las entidades estatales pueden recurrir a los tipos contractuales que son usuales para este tipo de bienes, tales como los de licencia. Sobre el punto, además, deberán observarse las normas comunitarias sobre la materia, entre ellas la Decisión 486 de 2000 de la Comunidad Andina de Naciones.   </w:t>
      </w:r>
    </w:p>
    <w:p w14:paraId="7F444F56" w14:textId="6568E49D" w:rsidR="007F42B4" w:rsidRPr="001B56BF" w:rsidRDefault="007F42B4" w:rsidP="00172ACE">
      <w:pPr>
        <w:jc w:val="both"/>
        <w:rPr>
          <w:rFonts w:ascii="Arial" w:hAnsi="Arial" w:cs="Arial"/>
          <w:bCs/>
          <w:color w:val="000000" w:themeColor="text1"/>
          <w:sz w:val="20"/>
          <w:szCs w:val="20"/>
          <w:lang w:val="es-ES"/>
        </w:rPr>
      </w:pPr>
      <w:r w:rsidRPr="001B56BF">
        <w:rPr>
          <w:rFonts w:ascii="Arial" w:hAnsi="Arial" w:cs="Arial"/>
          <w:bCs/>
          <w:color w:val="000000" w:themeColor="text1"/>
          <w:sz w:val="20"/>
          <w:szCs w:val="20"/>
          <w:lang w:val="es-ES"/>
        </w:rPr>
        <w:t>En cualquier caso, dichos contratos serán considerados estatales para los efectos del Estatuto General de Contratación de la Administración Pública y deberán</w:t>
      </w:r>
      <w:r w:rsidR="002102DD" w:rsidRPr="001B56BF">
        <w:rPr>
          <w:rFonts w:ascii="Arial" w:hAnsi="Arial" w:cs="Arial"/>
          <w:bCs/>
          <w:color w:val="000000" w:themeColor="text1"/>
          <w:sz w:val="20"/>
          <w:szCs w:val="20"/>
          <w:lang w:val="es-ES"/>
        </w:rPr>
        <w:t>,</w:t>
      </w:r>
      <w:r w:rsidRPr="001B56BF">
        <w:rPr>
          <w:rFonts w:ascii="Arial" w:hAnsi="Arial" w:cs="Arial"/>
          <w:bCs/>
          <w:color w:val="000000" w:themeColor="text1"/>
          <w:sz w:val="20"/>
          <w:szCs w:val="20"/>
          <w:lang w:val="es-ES"/>
        </w:rPr>
        <w:t xml:space="preserve"> por tanto</w:t>
      </w:r>
      <w:r w:rsidR="002102DD" w:rsidRPr="001B56BF">
        <w:rPr>
          <w:rFonts w:ascii="Arial" w:hAnsi="Arial" w:cs="Arial"/>
          <w:bCs/>
          <w:color w:val="000000" w:themeColor="text1"/>
          <w:sz w:val="20"/>
          <w:szCs w:val="20"/>
          <w:lang w:val="es-ES"/>
        </w:rPr>
        <w:t>,</w:t>
      </w:r>
      <w:r w:rsidRPr="001B56BF">
        <w:rPr>
          <w:rFonts w:ascii="Arial" w:hAnsi="Arial" w:cs="Arial"/>
          <w:bCs/>
          <w:color w:val="000000" w:themeColor="text1"/>
          <w:sz w:val="20"/>
          <w:szCs w:val="20"/>
          <w:lang w:val="es-ES"/>
        </w:rPr>
        <w:t xml:space="preserve"> ceñirse a sus postulados</w:t>
      </w:r>
      <w:r w:rsidR="002102DD" w:rsidRPr="001B56BF">
        <w:rPr>
          <w:rFonts w:ascii="Arial" w:hAnsi="Arial" w:cs="Arial"/>
          <w:bCs/>
          <w:color w:val="000000" w:themeColor="text1"/>
          <w:sz w:val="20"/>
          <w:szCs w:val="20"/>
          <w:lang w:val="es-ES"/>
        </w:rPr>
        <w:t>,</w:t>
      </w:r>
      <w:r w:rsidRPr="001B56BF">
        <w:rPr>
          <w:rFonts w:ascii="Arial" w:hAnsi="Arial" w:cs="Arial"/>
          <w:bCs/>
          <w:color w:val="000000" w:themeColor="text1"/>
          <w:sz w:val="20"/>
          <w:szCs w:val="20"/>
          <w:lang w:val="es-ES"/>
        </w:rPr>
        <w:t xml:space="preserve"> en la medida en que estos no resulten incompatibles con las normas comunitarias sobre la materia. La compatibilización de una y otra fuente normativa es un asunto de diseño contractual y estructuración de los proyectos que no </w:t>
      </w:r>
      <w:r w:rsidR="00F87194" w:rsidRPr="001B56BF">
        <w:rPr>
          <w:rFonts w:ascii="Arial" w:hAnsi="Arial" w:cs="Arial"/>
          <w:bCs/>
          <w:color w:val="000000" w:themeColor="text1"/>
          <w:sz w:val="20"/>
          <w:szCs w:val="20"/>
          <w:lang w:val="es-ES"/>
        </w:rPr>
        <w:t xml:space="preserve">cabe </w:t>
      </w:r>
      <w:r w:rsidRPr="001B56BF">
        <w:rPr>
          <w:rFonts w:ascii="Arial" w:hAnsi="Arial" w:cs="Arial"/>
          <w:bCs/>
          <w:color w:val="000000" w:themeColor="text1"/>
          <w:sz w:val="20"/>
          <w:szCs w:val="20"/>
          <w:lang w:val="es-ES"/>
        </w:rPr>
        <w:t>dentro del ámbito competencial de esta Agencia.</w:t>
      </w:r>
    </w:p>
    <w:p w14:paraId="2EF58E29" w14:textId="2697424E" w:rsidR="007F42B4" w:rsidRPr="001B56BF" w:rsidRDefault="007F42B4" w:rsidP="00172ACE">
      <w:pPr>
        <w:jc w:val="both"/>
        <w:rPr>
          <w:rFonts w:ascii="Arial" w:hAnsi="Arial" w:cs="Arial"/>
          <w:bCs/>
          <w:color w:val="000000" w:themeColor="text1"/>
          <w:sz w:val="20"/>
          <w:szCs w:val="20"/>
          <w:lang w:val="es-ES"/>
        </w:rPr>
      </w:pPr>
    </w:p>
    <w:p w14:paraId="45CE1710" w14:textId="6FD66D1E" w:rsidR="007F42B4" w:rsidRPr="001B56BF" w:rsidRDefault="007F42B4" w:rsidP="00172ACE">
      <w:pPr>
        <w:jc w:val="both"/>
        <w:rPr>
          <w:rFonts w:ascii="Arial" w:hAnsi="Arial" w:cs="Arial"/>
          <w:b/>
          <w:bCs/>
          <w:color w:val="000000" w:themeColor="text1"/>
          <w:sz w:val="22"/>
          <w:lang w:val="es-ES"/>
        </w:rPr>
      </w:pPr>
      <w:r w:rsidRPr="001B56BF">
        <w:rPr>
          <w:rFonts w:ascii="Arial" w:hAnsi="Arial" w:cs="Arial"/>
          <w:b/>
          <w:bCs/>
          <w:color w:val="000000" w:themeColor="text1"/>
          <w:sz w:val="22"/>
          <w:lang w:val="es-ES"/>
        </w:rPr>
        <w:t xml:space="preserve">PRINCIPIO DE PUBLICIDAD – </w:t>
      </w:r>
      <w:r w:rsidR="009F65D8" w:rsidRPr="001B56BF">
        <w:rPr>
          <w:rFonts w:ascii="Arial" w:hAnsi="Arial" w:cs="Arial"/>
          <w:b/>
          <w:bCs/>
          <w:color w:val="000000" w:themeColor="text1"/>
          <w:sz w:val="22"/>
          <w:lang w:val="es-ES"/>
        </w:rPr>
        <w:t>Ley 1150 de 2007</w:t>
      </w:r>
    </w:p>
    <w:p w14:paraId="2DC05542" w14:textId="77777777" w:rsidR="007F42B4" w:rsidRPr="001B56BF" w:rsidRDefault="007F42B4" w:rsidP="00172ACE">
      <w:pPr>
        <w:jc w:val="both"/>
        <w:rPr>
          <w:rFonts w:ascii="Arial" w:hAnsi="Arial" w:cs="Arial"/>
          <w:bCs/>
          <w:color w:val="000000" w:themeColor="text1"/>
          <w:sz w:val="20"/>
          <w:szCs w:val="20"/>
          <w:lang w:val="es-ES"/>
        </w:rPr>
      </w:pPr>
    </w:p>
    <w:p w14:paraId="0BA80A7E" w14:textId="38732515" w:rsidR="007F42B4" w:rsidRPr="001B56BF" w:rsidRDefault="007F42B4" w:rsidP="00172ACE">
      <w:pPr>
        <w:jc w:val="both"/>
        <w:rPr>
          <w:rFonts w:ascii="Arial" w:hAnsi="Arial" w:cs="Arial"/>
          <w:bCs/>
          <w:color w:val="000000" w:themeColor="text1"/>
          <w:sz w:val="20"/>
          <w:szCs w:val="20"/>
          <w:lang w:val="es-ES"/>
        </w:rPr>
      </w:pPr>
      <w:r w:rsidRPr="001B56BF">
        <w:rPr>
          <w:rFonts w:ascii="Arial" w:hAnsi="Arial" w:cs="Arial"/>
          <w:bCs/>
          <w:color w:val="000000" w:themeColor="text1"/>
          <w:sz w:val="20"/>
          <w:szCs w:val="20"/>
          <w:lang w:val="es-ES"/>
        </w:rPr>
        <w:t>El principio de publicidad impone a las autoridades administrativas el deber de dar a conocer sus actos, contratos y decisiones, para que se divulguen y eventualmente se controlen las actuaciones. Para estos efectos,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p>
    <w:p w14:paraId="346268E7" w14:textId="286B02B6" w:rsidR="007F42B4" w:rsidRPr="001B56BF" w:rsidRDefault="007F42B4" w:rsidP="007F42B4">
      <w:pPr>
        <w:jc w:val="both"/>
        <w:rPr>
          <w:rFonts w:ascii="Arial" w:hAnsi="Arial" w:cs="Arial"/>
          <w:bCs/>
          <w:color w:val="000000" w:themeColor="text1"/>
          <w:sz w:val="20"/>
          <w:szCs w:val="20"/>
          <w:lang w:val="es-ES"/>
        </w:rPr>
      </w:pPr>
    </w:p>
    <w:p w14:paraId="2C53CBA5" w14:textId="04174C08" w:rsidR="007F42B4" w:rsidRPr="001B56BF" w:rsidRDefault="007F42B4" w:rsidP="007F42B4">
      <w:pPr>
        <w:jc w:val="both"/>
        <w:rPr>
          <w:rFonts w:ascii="Arial" w:hAnsi="Arial" w:cs="Arial"/>
          <w:b/>
          <w:bCs/>
          <w:color w:val="000000" w:themeColor="text1"/>
          <w:sz w:val="22"/>
          <w:lang w:val="es-ES"/>
        </w:rPr>
      </w:pPr>
      <w:r w:rsidRPr="001B56BF">
        <w:rPr>
          <w:rFonts w:ascii="Arial" w:hAnsi="Arial" w:cs="Arial"/>
          <w:b/>
          <w:bCs/>
          <w:color w:val="000000" w:themeColor="text1"/>
          <w:sz w:val="22"/>
          <w:lang w:val="es-ES"/>
        </w:rPr>
        <w:t xml:space="preserve">PRINCIPIO DE PUBLICIDAD – Publicación en el SECOP </w:t>
      </w:r>
      <w:r w:rsidR="0061282F" w:rsidRPr="001B56BF">
        <w:rPr>
          <w:rFonts w:ascii="Arial" w:hAnsi="Arial" w:cs="Arial"/>
          <w:b/>
          <w:bCs/>
          <w:color w:val="000000" w:themeColor="text1"/>
          <w:sz w:val="22"/>
          <w:lang w:val="es-ES"/>
        </w:rPr>
        <w:t>–</w:t>
      </w:r>
      <w:r w:rsidRPr="001B56BF">
        <w:rPr>
          <w:rFonts w:ascii="Arial" w:hAnsi="Arial" w:cs="Arial"/>
          <w:b/>
          <w:bCs/>
          <w:color w:val="000000" w:themeColor="text1"/>
          <w:sz w:val="22"/>
          <w:lang w:val="es-ES"/>
        </w:rPr>
        <w:t xml:space="preserve"> Obligatoriedad </w:t>
      </w:r>
    </w:p>
    <w:p w14:paraId="3117894B" w14:textId="77777777" w:rsidR="007F42B4" w:rsidRPr="001B56BF" w:rsidRDefault="007F42B4" w:rsidP="007F42B4">
      <w:pPr>
        <w:jc w:val="both"/>
        <w:rPr>
          <w:rFonts w:ascii="Arial" w:hAnsi="Arial" w:cs="Arial"/>
          <w:bCs/>
          <w:color w:val="000000" w:themeColor="text1"/>
          <w:sz w:val="20"/>
          <w:szCs w:val="20"/>
          <w:lang w:val="es-ES"/>
        </w:rPr>
      </w:pPr>
    </w:p>
    <w:p w14:paraId="06192617" w14:textId="1C9FF5EE" w:rsidR="00F87194" w:rsidRPr="001B56BF" w:rsidRDefault="007F42B4" w:rsidP="00172ACE">
      <w:pPr>
        <w:spacing w:after="120"/>
        <w:jc w:val="both"/>
        <w:rPr>
          <w:rFonts w:ascii="Arial" w:hAnsi="Arial" w:cs="Arial"/>
          <w:bCs/>
          <w:color w:val="000000" w:themeColor="text1"/>
          <w:sz w:val="20"/>
          <w:szCs w:val="20"/>
          <w:lang w:val="es-ES"/>
        </w:rPr>
      </w:pPr>
      <w:r w:rsidRPr="001B56BF">
        <w:rPr>
          <w:rFonts w:ascii="Arial" w:hAnsi="Arial" w:cs="Arial"/>
          <w:bCs/>
          <w:color w:val="000000" w:themeColor="text1"/>
          <w:sz w:val="20"/>
          <w:szCs w:val="20"/>
          <w:lang w:val="es-ES"/>
        </w:rPr>
        <w:t xml:space="preserve">Para el año 2013, la Agencia Nacional de Contratación Pública ─ Colombia Compra Eficiente, mediante la Circular Externa No 1 del 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 </w:t>
      </w:r>
    </w:p>
    <w:p w14:paraId="44B9D082" w14:textId="22ADF192" w:rsidR="007F42B4" w:rsidRPr="001B56BF" w:rsidRDefault="007F42B4" w:rsidP="00172ACE">
      <w:pPr>
        <w:jc w:val="both"/>
        <w:rPr>
          <w:rFonts w:ascii="Arial" w:hAnsi="Arial" w:cs="Arial"/>
          <w:bCs/>
          <w:color w:val="000000" w:themeColor="text1"/>
          <w:sz w:val="20"/>
          <w:szCs w:val="20"/>
          <w:lang w:val="es-ES"/>
        </w:rPr>
      </w:pPr>
      <w:r w:rsidRPr="001B56BF">
        <w:rPr>
          <w:rFonts w:ascii="Arial" w:hAnsi="Arial" w:cs="Arial"/>
          <w:bCs/>
          <w:color w:val="000000" w:themeColor="text1"/>
          <w:sz w:val="20"/>
          <w:szCs w:val="20"/>
          <w:lang w:val="es-ES"/>
        </w:rPr>
        <w:t xml:space="preserve">En ese orden de ideas, los sujetos obligados a publicar en el SECOP son las entidades estatales, bien sea en el sentido del Estatuto General de Contratación de la Administración Pública y el Decreto 1082 de 2015, o en el sentido más amplio de la Ley 1712 de 2015. </w:t>
      </w:r>
    </w:p>
    <w:p w14:paraId="13D77318" w14:textId="77777777" w:rsidR="007F42B4" w:rsidRPr="001B56BF" w:rsidRDefault="007F42B4" w:rsidP="00172ACE">
      <w:pPr>
        <w:jc w:val="both"/>
        <w:rPr>
          <w:rFonts w:ascii="Arial" w:hAnsi="Arial" w:cs="Arial"/>
          <w:bCs/>
          <w:color w:val="000000" w:themeColor="text1"/>
          <w:sz w:val="20"/>
          <w:szCs w:val="20"/>
          <w:lang w:val="es-ES"/>
        </w:rPr>
      </w:pPr>
    </w:p>
    <w:p w14:paraId="65C64972" w14:textId="77777777" w:rsidR="00C143C6" w:rsidRPr="00172ACE" w:rsidRDefault="00C143C6" w:rsidP="00172ACE">
      <w:pPr>
        <w:rPr>
          <w:rFonts w:ascii="Arial" w:hAnsi="Arial" w:cs="Arial"/>
          <w:color w:val="000000" w:themeColor="text1"/>
          <w:sz w:val="20"/>
          <w:szCs w:val="20"/>
          <w:lang w:val="es-ES"/>
        </w:rPr>
      </w:pPr>
    </w:p>
    <w:p w14:paraId="3AF8EAE1" w14:textId="479E4F6A" w:rsidR="00173551" w:rsidRPr="001B56BF" w:rsidRDefault="00173551" w:rsidP="00172ACE">
      <w:pPr>
        <w:rPr>
          <w:rFonts w:ascii="Arial" w:hAnsi="Arial" w:cs="Arial"/>
          <w:b/>
          <w:bCs/>
          <w:color w:val="000000" w:themeColor="text1"/>
          <w:sz w:val="22"/>
        </w:rPr>
      </w:pPr>
      <w:r w:rsidRPr="56581590">
        <w:rPr>
          <w:rFonts w:ascii="Arial" w:hAnsi="Arial" w:cs="Arial"/>
          <w:color w:val="000000" w:themeColor="text1"/>
          <w:sz w:val="22"/>
        </w:rPr>
        <w:t xml:space="preserve">Bogotá D.C., </w:t>
      </w:r>
      <w:r w:rsidR="00CB1C0F" w:rsidRPr="00172ACE">
        <w:rPr>
          <w:rFonts w:ascii="Arial" w:hAnsi="Arial" w:cs="Arial"/>
          <w:b/>
          <w:bCs/>
          <w:color w:val="000000" w:themeColor="text1"/>
          <w:sz w:val="22"/>
        </w:rPr>
        <w:t>28/07/2020 Hora 18:15:53</w:t>
      </w:r>
    </w:p>
    <w:p w14:paraId="7A577A66" w14:textId="77777777" w:rsidR="00173551" w:rsidRPr="001B56BF" w:rsidRDefault="00173551" w:rsidP="00173551">
      <w:pPr>
        <w:jc w:val="right"/>
        <w:rPr>
          <w:rFonts w:ascii="Arial" w:hAnsi="Arial" w:cs="Arial"/>
          <w:b/>
          <w:color w:val="000000" w:themeColor="text1"/>
          <w:sz w:val="22"/>
        </w:rPr>
      </w:pPr>
    </w:p>
    <w:p w14:paraId="08FF91E5" w14:textId="1F596F59" w:rsidR="00173551" w:rsidRPr="001B56BF" w:rsidRDefault="00173551" w:rsidP="00173551">
      <w:pPr>
        <w:jc w:val="right"/>
        <w:rPr>
          <w:rFonts w:ascii="Arial" w:hAnsi="Arial" w:cs="Arial"/>
          <w:b/>
          <w:color w:val="000000" w:themeColor="text1"/>
          <w:sz w:val="22"/>
        </w:rPr>
      </w:pPr>
      <w:proofErr w:type="spellStart"/>
      <w:r w:rsidRPr="001B56BF">
        <w:rPr>
          <w:rFonts w:ascii="Arial" w:hAnsi="Arial" w:cs="Arial"/>
          <w:b/>
          <w:color w:val="000000" w:themeColor="text1"/>
          <w:sz w:val="22"/>
        </w:rPr>
        <w:t>N°</w:t>
      </w:r>
      <w:proofErr w:type="spellEnd"/>
      <w:r w:rsidRPr="001B56BF">
        <w:rPr>
          <w:rFonts w:ascii="Arial" w:hAnsi="Arial" w:cs="Arial"/>
          <w:b/>
          <w:color w:val="000000" w:themeColor="text1"/>
          <w:sz w:val="22"/>
        </w:rPr>
        <w:t xml:space="preserve"> Radicado: </w:t>
      </w:r>
      <w:r w:rsidR="00CB1C0F" w:rsidRPr="00CB1C0F">
        <w:rPr>
          <w:rFonts w:ascii="Arial" w:hAnsi="Arial" w:cs="Arial"/>
          <w:b/>
          <w:color w:val="000000" w:themeColor="text1"/>
          <w:sz w:val="22"/>
        </w:rPr>
        <w:t>2202013000006788</w:t>
      </w:r>
    </w:p>
    <w:p w14:paraId="4F8CB4F7" w14:textId="77777777" w:rsidR="00173551" w:rsidRPr="001B56BF" w:rsidRDefault="00173551" w:rsidP="00173551">
      <w:pPr>
        <w:rPr>
          <w:rFonts w:ascii="Arial" w:eastAsia="Calibri" w:hAnsi="Arial" w:cs="Arial"/>
          <w:color w:val="000000" w:themeColor="text1"/>
          <w:sz w:val="22"/>
        </w:rPr>
      </w:pPr>
    </w:p>
    <w:p w14:paraId="7F629C68" w14:textId="7D3A1790" w:rsidR="00B414DE" w:rsidRPr="001B56BF" w:rsidRDefault="00B414DE" w:rsidP="00660C9C">
      <w:pPr>
        <w:jc w:val="both"/>
        <w:rPr>
          <w:rFonts w:ascii="Arial" w:eastAsia="Calibri" w:hAnsi="Arial" w:cs="Arial"/>
          <w:color w:val="000000" w:themeColor="text1"/>
          <w:sz w:val="22"/>
          <w:lang w:val="es-ES"/>
        </w:rPr>
      </w:pPr>
      <w:r w:rsidRPr="001B56BF">
        <w:rPr>
          <w:rFonts w:ascii="Arial" w:eastAsia="Calibri" w:hAnsi="Arial" w:cs="Arial"/>
          <w:color w:val="000000" w:themeColor="text1"/>
          <w:sz w:val="22"/>
          <w:lang w:val="es-ES"/>
        </w:rPr>
        <w:t>Señor</w:t>
      </w:r>
    </w:p>
    <w:p w14:paraId="05173AB8" w14:textId="65BE835F" w:rsidR="00B414DE" w:rsidRPr="001B56BF" w:rsidRDefault="0043574F" w:rsidP="00660C9C">
      <w:pPr>
        <w:jc w:val="both"/>
        <w:rPr>
          <w:rFonts w:ascii="Arial" w:eastAsia="Calibri" w:hAnsi="Arial" w:cs="Arial"/>
          <w:b/>
          <w:color w:val="000000" w:themeColor="text1"/>
          <w:sz w:val="22"/>
          <w:lang w:val="es-ES"/>
        </w:rPr>
      </w:pPr>
      <w:r w:rsidRPr="001B56BF">
        <w:rPr>
          <w:rFonts w:ascii="Arial" w:eastAsia="Calibri" w:hAnsi="Arial" w:cs="Arial"/>
          <w:b/>
          <w:color w:val="000000" w:themeColor="text1"/>
          <w:sz w:val="22"/>
          <w:lang w:val="es-ES"/>
        </w:rPr>
        <w:t xml:space="preserve">Gabriel Antonio </w:t>
      </w:r>
      <w:proofErr w:type="spellStart"/>
      <w:r w:rsidRPr="001B56BF">
        <w:rPr>
          <w:rFonts w:ascii="Arial" w:eastAsia="Calibri" w:hAnsi="Arial" w:cs="Arial"/>
          <w:b/>
          <w:color w:val="000000" w:themeColor="text1"/>
          <w:sz w:val="22"/>
          <w:lang w:val="es-ES"/>
        </w:rPr>
        <w:t>Cancino</w:t>
      </w:r>
      <w:proofErr w:type="spellEnd"/>
      <w:r w:rsidRPr="001B56BF">
        <w:rPr>
          <w:rFonts w:ascii="Arial" w:eastAsia="Calibri" w:hAnsi="Arial" w:cs="Arial"/>
          <w:b/>
          <w:color w:val="000000" w:themeColor="text1"/>
          <w:sz w:val="22"/>
          <w:lang w:val="es-ES"/>
        </w:rPr>
        <w:t xml:space="preserve"> González</w:t>
      </w:r>
    </w:p>
    <w:p w14:paraId="58C2ADB9" w14:textId="5F738B95" w:rsidR="0043574F" w:rsidRDefault="0043574F" w:rsidP="00660C9C">
      <w:pPr>
        <w:jc w:val="both"/>
        <w:rPr>
          <w:rFonts w:ascii="Arial" w:eastAsia="Calibri" w:hAnsi="Arial" w:cs="Arial"/>
          <w:color w:val="000000" w:themeColor="text1"/>
          <w:sz w:val="22"/>
          <w:lang w:val="es-ES"/>
        </w:rPr>
      </w:pPr>
      <w:r w:rsidRPr="001B56BF">
        <w:rPr>
          <w:rFonts w:ascii="Arial" w:eastAsia="Calibri" w:hAnsi="Arial" w:cs="Arial"/>
          <w:color w:val="000000" w:themeColor="text1"/>
          <w:sz w:val="22"/>
          <w:lang w:val="es-ES"/>
        </w:rPr>
        <w:t xml:space="preserve">Bogotá, Colombia </w:t>
      </w:r>
    </w:p>
    <w:p w14:paraId="6EBEB2F6" w14:textId="77777777" w:rsidR="00172ACE" w:rsidRPr="001B56BF" w:rsidRDefault="00172ACE" w:rsidP="00660C9C">
      <w:pPr>
        <w:jc w:val="both"/>
        <w:rPr>
          <w:rFonts w:ascii="Arial" w:eastAsia="Calibri" w:hAnsi="Arial" w:cs="Arial"/>
          <w:color w:val="000000" w:themeColor="text1"/>
          <w:sz w:val="22"/>
          <w:lang w:val="es-ES"/>
        </w:rPr>
      </w:pPr>
    </w:p>
    <w:p w14:paraId="67345EE9" w14:textId="77777777" w:rsidR="00B414DE" w:rsidRPr="001B56BF" w:rsidRDefault="00B414DE" w:rsidP="00660C9C">
      <w:pPr>
        <w:jc w:val="both"/>
        <w:rPr>
          <w:rFonts w:ascii="Arial" w:eastAsia="Calibri" w:hAnsi="Arial" w:cs="Arial"/>
          <w:color w:val="000000" w:themeColor="text1"/>
          <w:sz w:val="22"/>
          <w:lang w:val="es-ES"/>
        </w:rPr>
      </w:pPr>
    </w:p>
    <w:p w14:paraId="0504970D" w14:textId="2F4F2C68" w:rsidR="00B414DE" w:rsidRDefault="00B414DE" w:rsidP="00660C9C">
      <w:pPr>
        <w:ind w:firstLine="2694"/>
        <w:jc w:val="both"/>
        <w:rPr>
          <w:rFonts w:ascii="Arial" w:eastAsia="Calibri" w:hAnsi="Arial" w:cs="Arial"/>
          <w:b/>
          <w:color w:val="000000" w:themeColor="text1"/>
          <w:sz w:val="22"/>
          <w:lang w:val="es-ES"/>
        </w:rPr>
      </w:pPr>
      <w:r w:rsidRPr="001B56BF">
        <w:rPr>
          <w:rFonts w:ascii="Arial" w:eastAsia="Calibri" w:hAnsi="Arial" w:cs="Arial"/>
          <w:b/>
          <w:color w:val="000000" w:themeColor="text1"/>
          <w:sz w:val="22"/>
          <w:lang w:val="es-ES"/>
        </w:rPr>
        <w:lastRenderedPageBreak/>
        <w:t>Concepto</w:t>
      </w:r>
      <w:r w:rsidR="00173551" w:rsidRPr="001B56BF">
        <w:rPr>
          <w:rFonts w:ascii="Arial" w:eastAsia="Calibri" w:hAnsi="Arial" w:cs="Arial"/>
          <w:b/>
          <w:color w:val="000000" w:themeColor="text1"/>
          <w:sz w:val="22"/>
          <w:lang w:val="es-ES"/>
        </w:rPr>
        <w:t xml:space="preserve"> C-</w:t>
      </w:r>
      <w:r w:rsidR="0061282F">
        <w:rPr>
          <w:rFonts w:ascii="Arial" w:eastAsia="Calibri" w:hAnsi="Arial" w:cs="Arial"/>
          <w:b/>
          <w:color w:val="000000" w:themeColor="text1"/>
          <w:sz w:val="22"/>
          <w:lang w:val="es-ES"/>
        </w:rPr>
        <w:t xml:space="preserve"> </w:t>
      </w:r>
      <w:r w:rsidR="00173551" w:rsidRPr="001B56BF">
        <w:rPr>
          <w:rFonts w:ascii="Arial" w:eastAsia="Calibri" w:hAnsi="Arial" w:cs="Arial"/>
          <w:b/>
          <w:color w:val="000000" w:themeColor="text1"/>
          <w:sz w:val="22"/>
          <w:lang w:val="es-ES"/>
        </w:rPr>
        <w:t>488</w:t>
      </w:r>
      <w:r w:rsidRPr="001B56BF">
        <w:rPr>
          <w:rFonts w:ascii="Arial" w:eastAsia="Calibri" w:hAnsi="Arial" w:cs="Arial"/>
          <w:b/>
          <w:color w:val="000000" w:themeColor="text1"/>
          <w:sz w:val="22"/>
          <w:lang w:val="es-ES"/>
        </w:rPr>
        <w:t xml:space="preserve"> </w:t>
      </w:r>
      <w:r w:rsidR="00842905" w:rsidRPr="001B56BF">
        <w:rPr>
          <w:rFonts w:ascii="Arial" w:eastAsia="Calibri" w:hAnsi="Arial" w:cs="Arial"/>
          <w:b/>
          <w:color w:val="000000" w:themeColor="text1"/>
          <w:sz w:val="22"/>
          <w:lang w:val="es-ES"/>
        </w:rPr>
        <w:t>de 2020</w:t>
      </w:r>
    </w:p>
    <w:p w14:paraId="0B676E79" w14:textId="77777777" w:rsidR="00172ACE" w:rsidRPr="001B56BF" w:rsidRDefault="00172ACE" w:rsidP="00660C9C">
      <w:pPr>
        <w:ind w:firstLine="2694"/>
        <w:jc w:val="both"/>
        <w:rPr>
          <w:rFonts w:ascii="Arial" w:eastAsia="Calibri" w:hAnsi="Arial" w:cs="Arial"/>
          <w:b/>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E44D4" w:rsidRPr="001B56BF" w14:paraId="02EC7E35" w14:textId="77777777" w:rsidTr="00B079C1">
        <w:tc>
          <w:tcPr>
            <w:tcW w:w="2689" w:type="dxa"/>
            <w:hideMark/>
          </w:tcPr>
          <w:p w14:paraId="1690F0B0" w14:textId="77777777" w:rsidR="00B414DE" w:rsidRPr="001B56BF" w:rsidRDefault="00B414DE" w:rsidP="00660C9C">
            <w:pPr>
              <w:jc w:val="both"/>
              <w:rPr>
                <w:rFonts w:ascii="Arial" w:eastAsia="Calibri" w:hAnsi="Arial" w:cs="Arial"/>
                <w:color w:val="000000" w:themeColor="text1"/>
                <w:sz w:val="22"/>
                <w:lang w:val="es-ES"/>
              </w:rPr>
            </w:pPr>
            <w:r w:rsidRPr="001B56BF">
              <w:rPr>
                <w:rFonts w:ascii="Arial" w:eastAsia="Calibri" w:hAnsi="Arial" w:cs="Arial"/>
                <w:b/>
                <w:color w:val="000000" w:themeColor="text1"/>
                <w:sz w:val="22"/>
                <w:lang w:val="es-ES"/>
              </w:rPr>
              <w:t>Temas:</w:t>
            </w:r>
            <w:r w:rsidRPr="001B56BF">
              <w:rPr>
                <w:rFonts w:ascii="Arial" w:eastAsia="Calibri" w:hAnsi="Arial" w:cs="Arial"/>
                <w:color w:val="000000" w:themeColor="text1"/>
                <w:sz w:val="22"/>
                <w:lang w:val="es-ES"/>
              </w:rPr>
              <w:t xml:space="preserve">           </w:t>
            </w:r>
          </w:p>
          <w:p w14:paraId="516E55D8" w14:textId="77777777" w:rsidR="00B414DE" w:rsidRPr="001B56BF" w:rsidRDefault="00B414DE" w:rsidP="00660C9C">
            <w:pPr>
              <w:jc w:val="both"/>
              <w:rPr>
                <w:rFonts w:ascii="Arial" w:eastAsia="Calibri" w:hAnsi="Arial" w:cs="Arial"/>
                <w:color w:val="000000" w:themeColor="text1"/>
                <w:sz w:val="22"/>
                <w:highlight w:val="yellow"/>
                <w:lang w:val="es-ES"/>
              </w:rPr>
            </w:pPr>
            <w:r w:rsidRPr="001B56BF">
              <w:rPr>
                <w:rFonts w:ascii="Arial" w:eastAsia="Calibri" w:hAnsi="Arial" w:cs="Arial"/>
                <w:color w:val="000000" w:themeColor="text1"/>
                <w:sz w:val="22"/>
                <w:highlight w:val="yellow"/>
                <w:lang w:val="es-ES"/>
              </w:rPr>
              <w:t xml:space="preserve">                           </w:t>
            </w:r>
          </w:p>
        </w:tc>
        <w:tc>
          <w:tcPr>
            <w:tcW w:w="6237" w:type="dxa"/>
            <w:hideMark/>
          </w:tcPr>
          <w:p w14:paraId="717B7850" w14:textId="77777777" w:rsidR="009F65D8" w:rsidRPr="001B56BF" w:rsidRDefault="007F42B4" w:rsidP="00660C9C">
            <w:pPr>
              <w:jc w:val="both"/>
              <w:rPr>
                <w:rFonts w:ascii="Arial" w:eastAsia="Calibri" w:hAnsi="Arial" w:cs="Arial"/>
                <w:color w:val="000000" w:themeColor="text1"/>
                <w:sz w:val="21"/>
                <w:szCs w:val="21"/>
                <w:lang w:val="es-ES"/>
              </w:rPr>
            </w:pPr>
            <w:r w:rsidRPr="001B56BF">
              <w:rPr>
                <w:rFonts w:ascii="Arial" w:eastAsia="Calibri" w:hAnsi="Arial" w:cs="Arial"/>
                <w:color w:val="000000" w:themeColor="text1"/>
                <w:sz w:val="21"/>
                <w:szCs w:val="21"/>
                <w:lang w:val="es-ES"/>
              </w:rPr>
              <w:t xml:space="preserve">PROPIEDAD PÚBLICA – Tipos de propiedad/ BIENES PÚBLICOS – Explotación comercial – Principios de la función administrativa/ CONTRATACIÓN ESTATAL – Bienes intangibles – Régimen contractual – Ley 1955 de 2019/ CONTRATACIÓN ESTATAL – Tipología contractual – Libertad de escogencia/ CONTRATACIÓN SOBRE BIENES INTANGIBLES – Tipología contractual/ </w:t>
            </w:r>
            <w:r w:rsidR="009F65D8" w:rsidRPr="001B56BF">
              <w:rPr>
                <w:rFonts w:ascii="Arial" w:eastAsia="Calibri" w:hAnsi="Arial" w:cs="Arial"/>
                <w:color w:val="000000" w:themeColor="text1"/>
                <w:sz w:val="21"/>
                <w:szCs w:val="21"/>
                <w:lang w:val="es-ES"/>
              </w:rPr>
              <w:t xml:space="preserve">PRINCIPIO DE PUBLICIDAD – Ley 1150 de 2007/ PRINCIPIO DE PUBLICIDAD – Publicación en el SECOP – Obligatoriedad </w:t>
            </w:r>
          </w:p>
          <w:p w14:paraId="10E02B5E" w14:textId="3110EDB1" w:rsidR="009F65D8" w:rsidRPr="001B56BF" w:rsidRDefault="009F65D8" w:rsidP="00660C9C">
            <w:pPr>
              <w:jc w:val="both"/>
              <w:rPr>
                <w:rFonts w:ascii="Arial" w:eastAsia="Calibri" w:hAnsi="Arial" w:cs="Arial"/>
                <w:color w:val="000000" w:themeColor="text1"/>
                <w:sz w:val="21"/>
                <w:szCs w:val="21"/>
                <w:highlight w:val="yellow"/>
                <w:lang w:val="es-ES"/>
              </w:rPr>
            </w:pPr>
          </w:p>
        </w:tc>
      </w:tr>
      <w:tr w:rsidR="00B414DE" w:rsidRPr="001B56BF" w14:paraId="08429821" w14:textId="77777777" w:rsidTr="00B079C1">
        <w:tc>
          <w:tcPr>
            <w:tcW w:w="2689" w:type="dxa"/>
          </w:tcPr>
          <w:p w14:paraId="45B26E8D" w14:textId="77777777" w:rsidR="00B414DE" w:rsidRPr="001B56BF" w:rsidRDefault="00B414DE" w:rsidP="00660C9C">
            <w:pPr>
              <w:jc w:val="both"/>
              <w:rPr>
                <w:rFonts w:ascii="Arial" w:eastAsia="Calibri" w:hAnsi="Arial" w:cs="Arial"/>
                <w:b/>
                <w:color w:val="000000" w:themeColor="text1"/>
                <w:sz w:val="22"/>
                <w:lang w:val="es-ES"/>
              </w:rPr>
            </w:pPr>
            <w:r w:rsidRPr="001B56BF">
              <w:rPr>
                <w:rFonts w:ascii="Arial" w:eastAsia="Calibri" w:hAnsi="Arial" w:cs="Arial"/>
                <w:b/>
                <w:color w:val="000000" w:themeColor="text1"/>
                <w:sz w:val="22"/>
                <w:lang w:val="es-ES"/>
              </w:rPr>
              <w:t>Radicación:</w:t>
            </w:r>
            <w:r w:rsidRPr="001B56BF">
              <w:rPr>
                <w:rFonts w:ascii="Arial" w:eastAsia="Calibri" w:hAnsi="Arial" w:cs="Arial"/>
                <w:color w:val="000000" w:themeColor="text1"/>
                <w:sz w:val="22"/>
                <w:lang w:val="es-ES"/>
              </w:rPr>
              <w:t xml:space="preserve">                              </w:t>
            </w:r>
          </w:p>
        </w:tc>
        <w:tc>
          <w:tcPr>
            <w:tcW w:w="6237" w:type="dxa"/>
          </w:tcPr>
          <w:p w14:paraId="6947F303" w14:textId="327B9357" w:rsidR="00B414DE" w:rsidRPr="001B56BF" w:rsidRDefault="00B414DE" w:rsidP="00660C9C">
            <w:pPr>
              <w:jc w:val="both"/>
              <w:rPr>
                <w:rFonts w:ascii="Arial" w:eastAsia="Calibri" w:hAnsi="Arial" w:cs="Arial"/>
                <w:color w:val="000000" w:themeColor="text1"/>
                <w:sz w:val="22"/>
                <w:lang w:val="es-ES"/>
              </w:rPr>
            </w:pPr>
            <w:r w:rsidRPr="001B56BF">
              <w:rPr>
                <w:rFonts w:ascii="Arial" w:eastAsia="Calibri" w:hAnsi="Arial" w:cs="Arial"/>
                <w:color w:val="000000" w:themeColor="text1"/>
                <w:sz w:val="22"/>
                <w:lang w:val="es-ES"/>
              </w:rPr>
              <w:t xml:space="preserve">Respuesta a consulta # </w:t>
            </w:r>
            <w:r w:rsidR="0043574F" w:rsidRPr="001B56BF">
              <w:rPr>
                <w:rFonts w:ascii="Arial" w:eastAsia="Calibri" w:hAnsi="Arial" w:cs="Arial"/>
                <w:color w:val="000000" w:themeColor="text1"/>
                <w:sz w:val="22"/>
                <w:lang w:val="es-ES"/>
              </w:rPr>
              <w:t>4202013000005941</w:t>
            </w:r>
          </w:p>
        </w:tc>
      </w:tr>
    </w:tbl>
    <w:p w14:paraId="7DD2DBE3" w14:textId="77777777" w:rsidR="00B414DE" w:rsidRPr="001B56BF" w:rsidRDefault="00B414DE" w:rsidP="00660C9C">
      <w:pPr>
        <w:jc w:val="both"/>
        <w:rPr>
          <w:rFonts w:ascii="Arial" w:eastAsia="Calibri" w:hAnsi="Arial" w:cs="Arial"/>
          <w:bCs/>
          <w:color w:val="000000" w:themeColor="text1"/>
          <w:sz w:val="21"/>
          <w:szCs w:val="21"/>
          <w:lang w:val="es-ES"/>
        </w:rPr>
      </w:pPr>
    </w:p>
    <w:p w14:paraId="1D4A929F" w14:textId="77777777" w:rsidR="00B414DE" w:rsidRPr="001B56BF" w:rsidRDefault="00B414DE" w:rsidP="00660C9C">
      <w:pPr>
        <w:jc w:val="both"/>
        <w:rPr>
          <w:rFonts w:ascii="Arial" w:eastAsia="Calibri" w:hAnsi="Arial" w:cs="Arial"/>
          <w:color w:val="000000" w:themeColor="text1"/>
          <w:sz w:val="22"/>
          <w:lang w:val="es-ES"/>
        </w:rPr>
      </w:pPr>
    </w:p>
    <w:p w14:paraId="50E79AAD" w14:textId="14C6655C" w:rsidR="00B414DE" w:rsidRPr="001B56BF" w:rsidRDefault="0043574F" w:rsidP="00660C9C">
      <w:pPr>
        <w:jc w:val="both"/>
        <w:rPr>
          <w:rFonts w:ascii="Arial" w:eastAsia="Calibri" w:hAnsi="Arial" w:cs="Arial"/>
          <w:color w:val="000000" w:themeColor="text1"/>
          <w:sz w:val="22"/>
          <w:lang w:val="es-ES"/>
        </w:rPr>
      </w:pPr>
      <w:r w:rsidRPr="001B56BF">
        <w:rPr>
          <w:rFonts w:ascii="Arial" w:eastAsia="Calibri" w:hAnsi="Arial" w:cs="Arial"/>
          <w:color w:val="000000" w:themeColor="text1"/>
          <w:sz w:val="22"/>
          <w:lang w:val="es-ES"/>
        </w:rPr>
        <w:t xml:space="preserve">Estimado señor </w:t>
      </w:r>
      <w:proofErr w:type="spellStart"/>
      <w:r w:rsidRPr="001B56BF">
        <w:rPr>
          <w:rFonts w:ascii="Arial" w:eastAsia="Calibri" w:hAnsi="Arial" w:cs="Arial"/>
          <w:color w:val="000000" w:themeColor="text1"/>
          <w:sz w:val="22"/>
          <w:lang w:val="es-ES"/>
        </w:rPr>
        <w:t>Cancino</w:t>
      </w:r>
      <w:proofErr w:type="spellEnd"/>
      <w:r w:rsidR="00B414DE" w:rsidRPr="001B56BF">
        <w:rPr>
          <w:rFonts w:ascii="Arial" w:eastAsia="Calibri" w:hAnsi="Arial" w:cs="Arial"/>
          <w:color w:val="000000" w:themeColor="text1"/>
          <w:sz w:val="22"/>
          <w:lang w:val="es-ES"/>
        </w:rPr>
        <w:t>:</w:t>
      </w:r>
    </w:p>
    <w:p w14:paraId="6025D289" w14:textId="77777777" w:rsidR="00B414DE" w:rsidRPr="001B56BF" w:rsidRDefault="00B414DE" w:rsidP="00660C9C">
      <w:pPr>
        <w:jc w:val="both"/>
        <w:rPr>
          <w:rFonts w:ascii="Arial" w:eastAsia="Calibri" w:hAnsi="Arial" w:cs="Arial"/>
          <w:color w:val="000000" w:themeColor="text1"/>
          <w:sz w:val="22"/>
          <w:lang w:val="es-ES"/>
        </w:rPr>
      </w:pPr>
    </w:p>
    <w:p w14:paraId="260ABCFE" w14:textId="60F0212D" w:rsidR="00B414DE" w:rsidRPr="001B56BF" w:rsidRDefault="009A4639" w:rsidP="00660C9C">
      <w:pPr>
        <w:spacing w:line="276" w:lineRule="auto"/>
        <w:jc w:val="both"/>
        <w:rPr>
          <w:rFonts w:ascii="Arial" w:eastAsia="Calibri" w:hAnsi="Arial" w:cs="Arial"/>
          <w:color w:val="000000" w:themeColor="text1"/>
          <w:sz w:val="22"/>
          <w:lang w:val="es-ES"/>
        </w:rPr>
      </w:pPr>
      <w:r w:rsidRPr="001B56BF">
        <w:rPr>
          <w:rFonts w:ascii="Arial" w:eastAsia="Calibri" w:hAnsi="Arial" w:cs="Arial"/>
          <w:color w:val="000000" w:themeColor="text1"/>
          <w:sz w:val="22"/>
          <w:lang w:val="es-ES"/>
        </w:rPr>
        <w:t xml:space="preserve">La Agencia Nacional de Contratación Pública ― Colombia Compra Eficiente responde su consulta del </w:t>
      </w:r>
      <w:r w:rsidR="0043574F" w:rsidRPr="001B56BF">
        <w:rPr>
          <w:rFonts w:ascii="Arial" w:eastAsia="Calibri" w:hAnsi="Arial" w:cs="Arial"/>
          <w:color w:val="000000" w:themeColor="text1"/>
          <w:sz w:val="22"/>
          <w:lang w:val="es-ES"/>
        </w:rPr>
        <w:t xml:space="preserve">13 </w:t>
      </w:r>
      <w:r w:rsidRPr="001B56BF">
        <w:rPr>
          <w:rFonts w:ascii="Arial" w:eastAsia="Calibri" w:hAnsi="Arial" w:cs="Arial"/>
          <w:color w:val="000000" w:themeColor="text1"/>
          <w:sz w:val="22"/>
          <w:lang w:val="es-ES"/>
        </w:rPr>
        <w:t>de</w:t>
      </w:r>
      <w:r w:rsidR="0043574F" w:rsidRPr="001B56BF">
        <w:rPr>
          <w:rFonts w:ascii="Arial" w:eastAsia="Calibri" w:hAnsi="Arial" w:cs="Arial"/>
          <w:color w:val="000000" w:themeColor="text1"/>
          <w:sz w:val="22"/>
          <w:lang w:val="es-ES"/>
        </w:rPr>
        <w:t xml:space="preserve"> julio de</w:t>
      </w:r>
      <w:r w:rsidRPr="001B56BF">
        <w:rPr>
          <w:rFonts w:ascii="Arial" w:eastAsia="Calibri" w:hAnsi="Arial" w:cs="Arial"/>
          <w:color w:val="000000" w:themeColor="text1"/>
          <w:sz w:val="22"/>
          <w:lang w:val="es-ES"/>
        </w:rPr>
        <w:t xml:space="preserve"> 2020, e</w:t>
      </w:r>
      <w:r w:rsidR="00B414DE" w:rsidRPr="001B56BF">
        <w:rPr>
          <w:rFonts w:ascii="Arial" w:eastAsia="Calibri" w:hAnsi="Arial" w:cs="Arial"/>
          <w:color w:val="000000" w:themeColor="text1"/>
          <w:sz w:val="22"/>
          <w:lang w:val="es-ES"/>
        </w:rPr>
        <w:t xml:space="preserve">n ejercicio de la competencia otorgada por los artículos 11, numeral 8º, y 3º, numeral 5º, del Decreto Ley 4170 de 2011. </w:t>
      </w:r>
    </w:p>
    <w:p w14:paraId="05013358" w14:textId="77777777" w:rsidR="00B414DE" w:rsidRPr="001B56BF" w:rsidRDefault="00B414DE" w:rsidP="00660C9C">
      <w:pPr>
        <w:spacing w:line="276" w:lineRule="auto"/>
        <w:jc w:val="both"/>
        <w:rPr>
          <w:rFonts w:ascii="Arial" w:eastAsia="Calibri" w:hAnsi="Arial" w:cs="Arial"/>
          <w:color w:val="000000" w:themeColor="text1"/>
          <w:sz w:val="22"/>
          <w:lang w:val="es-ES"/>
        </w:rPr>
      </w:pPr>
    </w:p>
    <w:p w14:paraId="1A1B6CFF" w14:textId="77777777" w:rsidR="00B414DE" w:rsidRPr="001B56BF" w:rsidRDefault="00B414DE" w:rsidP="00660C9C">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
        </w:rPr>
      </w:pPr>
      <w:r w:rsidRPr="001B56BF">
        <w:rPr>
          <w:rFonts w:ascii="Arial" w:eastAsia="Calibri" w:hAnsi="Arial" w:cs="Arial"/>
          <w:b/>
          <w:color w:val="000000" w:themeColor="text1"/>
          <w:sz w:val="22"/>
          <w:lang w:val="es-ES"/>
        </w:rPr>
        <w:t xml:space="preserve">Problemas planteados </w:t>
      </w:r>
    </w:p>
    <w:p w14:paraId="293124B1" w14:textId="77777777" w:rsidR="00B414DE" w:rsidRPr="001B56BF" w:rsidRDefault="00B414DE" w:rsidP="00660C9C">
      <w:pPr>
        <w:tabs>
          <w:tab w:val="left" w:pos="426"/>
        </w:tabs>
        <w:spacing w:line="276" w:lineRule="auto"/>
        <w:jc w:val="both"/>
        <w:rPr>
          <w:rFonts w:ascii="Arial" w:eastAsia="Calibri" w:hAnsi="Arial" w:cs="Arial"/>
          <w:b/>
          <w:color w:val="000000" w:themeColor="text1"/>
          <w:sz w:val="22"/>
          <w:lang w:val="es-ES"/>
        </w:rPr>
      </w:pPr>
    </w:p>
    <w:p w14:paraId="47F806B8" w14:textId="05E9C39C" w:rsidR="00B414DE" w:rsidRPr="001B56BF" w:rsidRDefault="00B414DE" w:rsidP="001529EF">
      <w:pPr>
        <w:tabs>
          <w:tab w:val="left" w:pos="426"/>
        </w:tabs>
        <w:spacing w:before="120" w:line="276" w:lineRule="auto"/>
        <w:jc w:val="both"/>
        <w:rPr>
          <w:rFonts w:ascii="Arial" w:eastAsia="Calibri" w:hAnsi="Arial" w:cs="Arial"/>
          <w:color w:val="000000" w:themeColor="text1"/>
          <w:sz w:val="22"/>
          <w:lang w:val="es-ES"/>
        </w:rPr>
      </w:pPr>
      <w:r w:rsidRPr="001B56BF">
        <w:rPr>
          <w:rFonts w:ascii="Arial" w:eastAsia="Calibri" w:hAnsi="Arial" w:cs="Arial"/>
          <w:color w:val="000000" w:themeColor="text1"/>
          <w:sz w:val="22"/>
          <w:lang w:val="es-ES"/>
        </w:rPr>
        <w:t>Usted rea</w:t>
      </w:r>
      <w:r w:rsidR="0043574F" w:rsidRPr="001B56BF">
        <w:rPr>
          <w:rFonts w:ascii="Arial" w:eastAsia="Calibri" w:hAnsi="Arial" w:cs="Arial"/>
          <w:color w:val="000000" w:themeColor="text1"/>
          <w:sz w:val="22"/>
          <w:lang w:val="es-ES"/>
        </w:rPr>
        <w:t xml:space="preserve">liza las siguientes preguntas: </w:t>
      </w:r>
      <w:r w:rsidR="001529EF" w:rsidRPr="00610EDF">
        <w:rPr>
          <w:rFonts w:ascii="Arial" w:eastAsia="Calibri" w:hAnsi="Arial" w:cs="Arial"/>
          <w:color w:val="000000" w:themeColor="text1"/>
          <w:sz w:val="22"/>
          <w:lang w:val="es-ES"/>
        </w:rPr>
        <w:t>«</w:t>
      </w:r>
      <w:r w:rsidR="0043574F" w:rsidRPr="001B56BF">
        <w:rPr>
          <w:rFonts w:ascii="Arial" w:eastAsia="Calibri" w:hAnsi="Arial" w:cs="Arial"/>
          <w:color w:val="000000" w:themeColor="text1"/>
          <w:sz w:val="22"/>
          <w:lang w:val="es-ES"/>
        </w:rPr>
        <w:t>(i) ¿Cuál sería el régimen de contratación aplicable a las entidades públicas para la explotación de bienes intangibles o derechos de propiedad intelectual de los cuales sean titulares, en atención a lo previsto en el artículo 167 de la Ley 1955 de 2019? (</w:t>
      </w:r>
      <w:proofErr w:type="spellStart"/>
      <w:r w:rsidR="0043574F" w:rsidRPr="001B56BF">
        <w:rPr>
          <w:rFonts w:ascii="Arial" w:eastAsia="Calibri" w:hAnsi="Arial" w:cs="Arial"/>
          <w:color w:val="000000" w:themeColor="text1"/>
          <w:sz w:val="22"/>
          <w:lang w:val="es-ES"/>
        </w:rPr>
        <w:t>ii</w:t>
      </w:r>
      <w:proofErr w:type="spellEnd"/>
      <w:r w:rsidR="0043574F" w:rsidRPr="001B56BF">
        <w:rPr>
          <w:rFonts w:ascii="Arial" w:eastAsia="Calibri" w:hAnsi="Arial" w:cs="Arial"/>
          <w:color w:val="000000" w:themeColor="text1"/>
          <w:sz w:val="22"/>
          <w:lang w:val="es-ES"/>
        </w:rPr>
        <w:t>) De acuerdo con la respuesta anterior, ¿El régimen de contratación descrito sería aplicable a todas las entidades públicas? (</w:t>
      </w:r>
      <w:proofErr w:type="spellStart"/>
      <w:r w:rsidR="0043574F" w:rsidRPr="001B56BF">
        <w:rPr>
          <w:rFonts w:ascii="Arial" w:eastAsia="Calibri" w:hAnsi="Arial" w:cs="Arial"/>
          <w:color w:val="000000" w:themeColor="text1"/>
          <w:sz w:val="22"/>
          <w:lang w:val="es-ES"/>
        </w:rPr>
        <w:t>iii</w:t>
      </w:r>
      <w:proofErr w:type="spellEnd"/>
      <w:r w:rsidR="0043574F" w:rsidRPr="001B56BF">
        <w:rPr>
          <w:rFonts w:ascii="Arial" w:eastAsia="Calibri" w:hAnsi="Arial" w:cs="Arial"/>
          <w:color w:val="000000" w:themeColor="text1"/>
          <w:sz w:val="22"/>
          <w:lang w:val="es-ES"/>
        </w:rPr>
        <w:t>) En el marco del referido artículo, ¿Bajo qué modalidad o tipología contractual una entidad pública puede acordar los términos y condiciones para la explotación comercial de bienes intangibles y derechos de propiedad intelectual de los cuales sea titular? (</w:t>
      </w:r>
      <w:proofErr w:type="spellStart"/>
      <w:r w:rsidR="0043574F" w:rsidRPr="001B56BF">
        <w:rPr>
          <w:rFonts w:ascii="Arial" w:eastAsia="Calibri" w:hAnsi="Arial" w:cs="Arial"/>
          <w:color w:val="000000" w:themeColor="text1"/>
          <w:sz w:val="22"/>
          <w:lang w:val="es-ES"/>
        </w:rPr>
        <w:t>iv</w:t>
      </w:r>
      <w:proofErr w:type="spellEnd"/>
      <w:r w:rsidR="0043574F" w:rsidRPr="001B56BF">
        <w:rPr>
          <w:rFonts w:ascii="Arial" w:eastAsia="Calibri" w:hAnsi="Arial" w:cs="Arial"/>
          <w:color w:val="000000" w:themeColor="text1"/>
          <w:sz w:val="22"/>
          <w:lang w:val="es-ES"/>
        </w:rPr>
        <w:t>) ¿Cómo procede la aplicación del artículo 167 en el caso de entidades públicas que no desarrollen o ejecuten programas, proyectos, actividades e iniciativas de ciencia, tecnología e innovación? es decir ¿cuál sería el régimen de contratación p</w:t>
      </w:r>
      <w:r w:rsidR="00015AFF" w:rsidRPr="001B56BF">
        <w:rPr>
          <w:rFonts w:ascii="Arial" w:eastAsia="Calibri" w:hAnsi="Arial" w:cs="Arial"/>
          <w:color w:val="000000" w:themeColor="text1"/>
          <w:sz w:val="22"/>
          <w:lang w:val="es-ES"/>
        </w:rPr>
        <w:t>ara estas entidades públicas? (v)</w:t>
      </w:r>
      <w:r w:rsidR="0043574F" w:rsidRPr="001B56BF">
        <w:rPr>
          <w:rFonts w:ascii="Arial" w:eastAsia="Calibri" w:hAnsi="Arial" w:cs="Arial"/>
          <w:color w:val="000000" w:themeColor="text1"/>
          <w:sz w:val="22"/>
          <w:lang w:val="es-ES"/>
        </w:rPr>
        <w:t xml:space="preserve"> ¿Colombia Compra Eficiente cuenta con alguna guía, manual o mecanismo que permita realizar la definición y valoración económica de bienes intangibles? En caso positiv</w:t>
      </w:r>
      <w:r w:rsidR="00015AFF" w:rsidRPr="001B56BF">
        <w:rPr>
          <w:rFonts w:ascii="Arial" w:eastAsia="Calibri" w:hAnsi="Arial" w:cs="Arial"/>
          <w:color w:val="000000" w:themeColor="text1"/>
          <w:sz w:val="22"/>
          <w:lang w:val="es-ES"/>
        </w:rPr>
        <w:t>o ¿Es de carácter vinculante? (vi)</w:t>
      </w:r>
      <w:r w:rsidR="0043574F" w:rsidRPr="001B56BF">
        <w:rPr>
          <w:rFonts w:ascii="Arial" w:eastAsia="Calibri" w:hAnsi="Arial" w:cs="Arial"/>
          <w:color w:val="000000" w:themeColor="text1"/>
          <w:sz w:val="22"/>
          <w:lang w:val="es-ES"/>
        </w:rPr>
        <w:t xml:space="preserve"> ¿En desarrollo de las actividades contractuales planteadas en el artículo 167 de la ley 1955 de</w:t>
      </w:r>
      <w:r w:rsidR="00015AFF" w:rsidRPr="001B56BF">
        <w:rPr>
          <w:rFonts w:ascii="Arial" w:eastAsia="Calibri" w:hAnsi="Arial" w:cs="Arial"/>
          <w:color w:val="000000" w:themeColor="text1"/>
          <w:sz w:val="22"/>
          <w:lang w:val="es-ES"/>
        </w:rPr>
        <w:t xml:space="preserve"> 2019, es posible la utilización de las plataformas electrónicas de Colombia Compra Eficiente?</w:t>
      </w:r>
      <w:r w:rsidR="001529EF" w:rsidRPr="00610EDF">
        <w:rPr>
          <w:rFonts w:ascii="Arial" w:eastAsia="Calibri" w:hAnsi="Arial" w:cs="Arial"/>
          <w:color w:val="000000" w:themeColor="text1"/>
          <w:sz w:val="22"/>
          <w:lang w:val="es-ES"/>
        </w:rPr>
        <w:t>»</w:t>
      </w:r>
      <w:r w:rsidR="00BB61C0">
        <w:rPr>
          <w:rFonts w:ascii="Arial" w:eastAsia="Calibri" w:hAnsi="Arial" w:cs="Arial"/>
          <w:color w:val="000000" w:themeColor="text1"/>
          <w:sz w:val="22"/>
          <w:lang w:val="es-ES"/>
        </w:rPr>
        <w:t>.</w:t>
      </w:r>
    </w:p>
    <w:p w14:paraId="1126AE51" w14:textId="77777777" w:rsidR="00B414DE" w:rsidRPr="001B56BF" w:rsidRDefault="00B414DE" w:rsidP="00660C9C">
      <w:pPr>
        <w:tabs>
          <w:tab w:val="left" w:pos="426"/>
        </w:tabs>
        <w:spacing w:line="276" w:lineRule="auto"/>
        <w:jc w:val="both"/>
        <w:rPr>
          <w:rFonts w:ascii="Arial" w:eastAsia="Calibri" w:hAnsi="Arial" w:cs="Arial"/>
          <w:color w:val="000000" w:themeColor="text1"/>
          <w:sz w:val="22"/>
          <w:lang w:val="es-ES"/>
        </w:rPr>
      </w:pPr>
    </w:p>
    <w:p w14:paraId="13FA1B5E" w14:textId="77777777" w:rsidR="00B414DE" w:rsidRPr="001B56BF" w:rsidRDefault="00B414DE" w:rsidP="00660C9C">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
        </w:rPr>
      </w:pPr>
      <w:r w:rsidRPr="001B56BF">
        <w:rPr>
          <w:rFonts w:ascii="Arial" w:eastAsia="Calibri" w:hAnsi="Arial" w:cs="Arial"/>
          <w:b/>
          <w:color w:val="000000" w:themeColor="text1"/>
          <w:sz w:val="22"/>
          <w:lang w:val="es-ES"/>
        </w:rPr>
        <w:t>Consideraciones</w:t>
      </w:r>
    </w:p>
    <w:p w14:paraId="7CF892A0" w14:textId="2E303709" w:rsidR="00B414DE" w:rsidRPr="001B56BF" w:rsidRDefault="00B414DE" w:rsidP="00660C9C">
      <w:pPr>
        <w:pStyle w:val="Sinespaciado"/>
        <w:spacing w:line="276" w:lineRule="auto"/>
        <w:jc w:val="both"/>
        <w:rPr>
          <w:rFonts w:ascii="Arial" w:hAnsi="Arial" w:cs="Arial"/>
          <w:color w:val="000000" w:themeColor="text1"/>
          <w:sz w:val="22"/>
          <w:lang w:val="es-ES"/>
        </w:rPr>
      </w:pPr>
    </w:p>
    <w:p w14:paraId="0ABC1084" w14:textId="28336435" w:rsidR="00015AFF" w:rsidRPr="001B56BF" w:rsidRDefault="00015AFF" w:rsidP="00660C9C">
      <w:pPr>
        <w:pStyle w:val="Sinespaciado"/>
        <w:spacing w:line="276" w:lineRule="auto"/>
        <w:jc w:val="both"/>
        <w:rPr>
          <w:rFonts w:ascii="Arial" w:hAnsi="Arial" w:cs="Arial"/>
          <w:color w:val="000000" w:themeColor="text1"/>
          <w:sz w:val="22"/>
          <w:lang w:val="es-ES"/>
        </w:rPr>
      </w:pPr>
      <w:r w:rsidRPr="001B56BF">
        <w:rPr>
          <w:rFonts w:ascii="Arial" w:hAnsi="Arial" w:cs="Arial"/>
          <w:color w:val="000000" w:themeColor="text1"/>
          <w:sz w:val="22"/>
          <w:lang w:val="es-ES"/>
        </w:rPr>
        <w:t>Para responder los interrogantes que usted plantea es necesario analizar los siguientes aspectos. En primer lugar, se hará una</w:t>
      </w:r>
      <w:r w:rsidR="005D7C26" w:rsidRPr="001B56BF">
        <w:rPr>
          <w:rFonts w:ascii="Arial" w:hAnsi="Arial" w:cs="Arial"/>
          <w:color w:val="000000" w:themeColor="text1"/>
          <w:sz w:val="22"/>
          <w:lang w:val="es-ES"/>
        </w:rPr>
        <w:t xml:space="preserve"> breve referencia a los bienes públic</w:t>
      </w:r>
      <w:r w:rsidR="001529EF" w:rsidRPr="001B56BF">
        <w:rPr>
          <w:rFonts w:ascii="Arial" w:hAnsi="Arial" w:cs="Arial"/>
          <w:color w:val="000000" w:themeColor="text1"/>
          <w:sz w:val="22"/>
          <w:lang w:val="es-ES"/>
        </w:rPr>
        <w:t>o</w:t>
      </w:r>
      <w:r w:rsidR="005D7C26" w:rsidRPr="001B56BF">
        <w:rPr>
          <w:rFonts w:ascii="Arial" w:hAnsi="Arial" w:cs="Arial"/>
          <w:color w:val="000000" w:themeColor="text1"/>
          <w:sz w:val="22"/>
          <w:lang w:val="es-ES"/>
        </w:rPr>
        <w:t>s intangibles</w:t>
      </w:r>
      <w:r w:rsidRPr="001B56BF">
        <w:rPr>
          <w:rFonts w:ascii="Arial" w:hAnsi="Arial" w:cs="Arial"/>
          <w:color w:val="000000" w:themeColor="text1"/>
          <w:sz w:val="22"/>
          <w:lang w:val="es-ES"/>
        </w:rPr>
        <w:t xml:space="preserve">; luego, se analizará el régimen de contratación aplicable a la explotación de bienes intangibles o derechos de propiedad intelectual por parte de las entidades estatales, para </w:t>
      </w:r>
      <w:r w:rsidRPr="001B56BF">
        <w:rPr>
          <w:rFonts w:ascii="Arial" w:hAnsi="Arial" w:cs="Arial"/>
          <w:color w:val="000000" w:themeColor="text1"/>
          <w:sz w:val="22"/>
          <w:lang w:val="es-ES"/>
        </w:rPr>
        <w:lastRenderedPageBreak/>
        <w:t xml:space="preserve">así definir si la Ley 1955 de 2019 establece un régimen jurídico general aplicable a este tipo de actividad. Después, se hará un examen detenido sobre la tipología contractual a través de la cual se pueden pactar términos y condiciones para la explotación de bienes intangibles del Estado, se </w:t>
      </w:r>
      <w:r w:rsidR="001529EF" w:rsidRPr="001B56BF">
        <w:rPr>
          <w:rFonts w:ascii="Arial" w:hAnsi="Arial" w:cs="Arial"/>
          <w:color w:val="000000" w:themeColor="text1"/>
          <w:sz w:val="22"/>
          <w:lang w:val="es-ES"/>
        </w:rPr>
        <w:t>observarán</w:t>
      </w:r>
      <w:r w:rsidRPr="001B56BF">
        <w:rPr>
          <w:rFonts w:ascii="Arial" w:hAnsi="Arial" w:cs="Arial"/>
          <w:color w:val="000000" w:themeColor="text1"/>
          <w:sz w:val="22"/>
          <w:lang w:val="es-ES"/>
        </w:rPr>
        <w:t xml:space="preserve"> </w:t>
      </w:r>
      <w:r w:rsidR="001529EF" w:rsidRPr="001B56BF">
        <w:rPr>
          <w:rFonts w:ascii="Arial" w:hAnsi="Arial" w:cs="Arial"/>
          <w:color w:val="000000" w:themeColor="text1"/>
          <w:sz w:val="22"/>
          <w:lang w:val="es-ES"/>
        </w:rPr>
        <w:t xml:space="preserve">las reglas aplicables a las entidades </w:t>
      </w:r>
      <w:r w:rsidRPr="001B56BF">
        <w:rPr>
          <w:rFonts w:ascii="Arial" w:hAnsi="Arial" w:cs="Arial"/>
          <w:color w:val="000000" w:themeColor="text1"/>
          <w:sz w:val="22"/>
          <w:lang w:val="es-ES"/>
        </w:rPr>
        <w:t>que no desarrollan o ejecutan programas, proyectos, actividades e iniciativas de ciencia, tecnología e innovación y, finalmente, se expondr</w:t>
      </w:r>
      <w:r w:rsidR="005E50CD" w:rsidRPr="001B56BF">
        <w:rPr>
          <w:rFonts w:ascii="Arial" w:hAnsi="Arial" w:cs="Arial"/>
          <w:color w:val="000000" w:themeColor="text1"/>
          <w:sz w:val="22"/>
          <w:lang w:val="es-ES"/>
        </w:rPr>
        <w:t>á si las entidades</w:t>
      </w:r>
      <w:r w:rsidRPr="001B56BF">
        <w:rPr>
          <w:rFonts w:ascii="Arial" w:hAnsi="Arial" w:cs="Arial"/>
          <w:color w:val="000000" w:themeColor="text1"/>
          <w:sz w:val="22"/>
          <w:lang w:val="es-ES"/>
        </w:rPr>
        <w:t xml:space="preserve"> que contratan </w:t>
      </w:r>
      <w:r w:rsidR="005E50CD" w:rsidRPr="001B56BF">
        <w:rPr>
          <w:rFonts w:ascii="Arial" w:hAnsi="Arial" w:cs="Arial"/>
          <w:color w:val="000000" w:themeColor="text1"/>
          <w:sz w:val="22"/>
          <w:lang w:val="es-ES"/>
        </w:rPr>
        <w:t>con bienes públicos</w:t>
      </w:r>
      <w:r w:rsidR="005D7C26" w:rsidRPr="001B56BF">
        <w:rPr>
          <w:rFonts w:ascii="Arial" w:hAnsi="Arial" w:cs="Arial"/>
          <w:color w:val="000000" w:themeColor="text1"/>
          <w:sz w:val="22"/>
          <w:lang w:val="es-ES"/>
        </w:rPr>
        <w:t xml:space="preserve"> intangibles deben</w:t>
      </w:r>
      <w:r w:rsidR="005E50CD" w:rsidRPr="001B56BF">
        <w:rPr>
          <w:rFonts w:ascii="Arial" w:hAnsi="Arial" w:cs="Arial"/>
          <w:color w:val="000000" w:themeColor="text1"/>
          <w:sz w:val="22"/>
          <w:lang w:val="es-ES"/>
        </w:rPr>
        <w:t xml:space="preserve"> utilizar las plataformas electrónicas de la Agencia Nacional de Contratación Pública – Colombia Compra Eficiente. </w:t>
      </w:r>
    </w:p>
    <w:p w14:paraId="5B4016F5" w14:textId="721623F8" w:rsidR="005E50CD" w:rsidRPr="001B56BF" w:rsidRDefault="005E50CD" w:rsidP="00660C9C">
      <w:pPr>
        <w:pStyle w:val="Sinespaciado"/>
        <w:spacing w:line="276" w:lineRule="auto"/>
        <w:jc w:val="both"/>
        <w:rPr>
          <w:rFonts w:ascii="Arial" w:hAnsi="Arial" w:cs="Arial"/>
          <w:color w:val="000000" w:themeColor="text1"/>
          <w:sz w:val="22"/>
          <w:lang w:val="es-ES"/>
        </w:rPr>
      </w:pPr>
    </w:p>
    <w:p w14:paraId="509B63F1" w14:textId="48BC4A20" w:rsidR="005E50CD" w:rsidRPr="001B56BF" w:rsidRDefault="005E50CD" w:rsidP="00660C9C">
      <w:pPr>
        <w:pStyle w:val="Sinespaciado"/>
        <w:spacing w:line="276" w:lineRule="auto"/>
        <w:jc w:val="both"/>
        <w:rPr>
          <w:rFonts w:ascii="Arial" w:hAnsi="Arial" w:cs="Arial"/>
          <w:color w:val="000000" w:themeColor="text1"/>
          <w:sz w:val="22"/>
          <w:lang w:val="es-ES"/>
        </w:rPr>
      </w:pPr>
      <w:r w:rsidRPr="001B56BF">
        <w:rPr>
          <w:rFonts w:ascii="Arial" w:hAnsi="Arial" w:cs="Arial"/>
          <w:bCs/>
          <w:color w:val="000000" w:themeColor="text1"/>
          <w:sz w:val="22"/>
          <w:lang w:val="es-ES"/>
        </w:rPr>
        <w:t xml:space="preserve">La Agencia Nacional de Contratación Pública estudió por primera vez lo relacionado con la publicidad y uso de las plataformas electrónicas de Colombia Compra Eficiente en la consulta No. 4201913000005397 del 9 de agosto de 2019 y reiteró la posición en las siguientes consultas: 4201912000006611 del 25 de septiembre de 2019, </w:t>
      </w:r>
      <w:r w:rsidRPr="001B56BF">
        <w:rPr>
          <w:rFonts w:ascii="Arial" w:hAnsi="Arial" w:cs="Arial"/>
          <w:color w:val="000000" w:themeColor="text1"/>
          <w:sz w:val="22"/>
          <w:lang w:val="es-ES"/>
        </w:rPr>
        <w:t xml:space="preserve">4201913000006847 del 4 de octubre de 2019, </w:t>
      </w:r>
      <w:r w:rsidRPr="001B56BF">
        <w:rPr>
          <w:rFonts w:ascii="Arial" w:hAnsi="Arial" w:cs="Arial"/>
          <w:bCs/>
          <w:color w:val="000000" w:themeColor="text1"/>
          <w:sz w:val="22"/>
          <w:lang w:val="es-ES"/>
        </w:rPr>
        <w:t>4201912000007762 del 18 de noviembre de 2019, 4201912000007828 del 13 de noviembre de 2019</w:t>
      </w:r>
      <w:r w:rsidRPr="001B56BF">
        <w:rPr>
          <w:rFonts w:ascii="Arial" w:hAnsi="Arial" w:cs="Arial"/>
          <w:color w:val="000000" w:themeColor="text1"/>
          <w:sz w:val="22"/>
          <w:lang w:val="es-ES"/>
        </w:rPr>
        <w:t xml:space="preserve">, y en el Concepto CU </w:t>
      </w:r>
      <w:r w:rsidR="00EE6B33">
        <w:rPr>
          <w:rFonts w:ascii="Arial" w:hAnsi="Arial" w:cs="Arial"/>
          <w:color w:val="000000" w:themeColor="text1"/>
          <w:sz w:val="22"/>
          <w:lang w:val="es-ES"/>
        </w:rPr>
        <w:t>–</w:t>
      </w:r>
      <w:r w:rsidRPr="001B56BF">
        <w:rPr>
          <w:rFonts w:ascii="Arial" w:hAnsi="Arial" w:cs="Arial"/>
          <w:color w:val="000000" w:themeColor="text1"/>
          <w:sz w:val="22"/>
          <w:lang w:val="es-ES"/>
        </w:rPr>
        <w:t xml:space="preserve"> 003 de 15 de enero 2020 unificó la tesis sobre el particular y en la consulta </w:t>
      </w:r>
      <w:r w:rsidRPr="001B56BF">
        <w:rPr>
          <w:rFonts w:ascii="Arial" w:hAnsi="Arial" w:cs="Arial"/>
          <w:bCs/>
          <w:color w:val="000000" w:themeColor="text1"/>
          <w:sz w:val="22"/>
          <w:lang w:val="es-ES"/>
        </w:rPr>
        <w:t xml:space="preserve">C </w:t>
      </w:r>
      <w:r w:rsidR="00EE6B33">
        <w:rPr>
          <w:rFonts w:ascii="Arial" w:hAnsi="Arial" w:cs="Arial"/>
          <w:bCs/>
          <w:color w:val="000000" w:themeColor="text1"/>
          <w:sz w:val="22"/>
          <w:lang w:val="es-ES"/>
        </w:rPr>
        <w:t>–</w:t>
      </w:r>
      <w:r w:rsidRPr="001B56BF">
        <w:rPr>
          <w:rFonts w:ascii="Arial" w:hAnsi="Arial" w:cs="Arial"/>
          <w:bCs/>
          <w:color w:val="000000" w:themeColor="text1"/>
          <w:sz w:val="22"/>
          <w:lang w:val="es-ES"/>
        </w:rPr>
        <w:t xml:space="preserve"> 095 del 16 de marzo de 2020</w:t>
      </w:r>
      <w:r w:rsidRPr="001B56BF">
        <w:rPr>
          <w:rFonts w:ascii="Arial" w:hAnsi="Arial" w:cs="Arial"/>
          <w:color w:val="000000" w:themeColor="text1"/>
          <w:sz w:val="22"/>
          <w:lang w:val="es-ES"/>
        </w:rPr>
        <w:t xml:space="preserve"> y C- 181 del 6 de mayo de 2020 reiteró lo anterior.</w:t>
      </w:r>
      <w:r w:rsidR="00F10C84">
        <w:rPr>
          <w:rFonts w:ascii="Arial" w:hAnsi="Arial" w:cs="Arial"/>
          <w:color w:val="000000" w:themeColor="text1"/>
          <w:sz w:val="22"/>
          <w:lang w:val="es-ES"/>
        </w:rPr>
        <w:t xml:space="preserve"> Finalmente, en concepto CU-367 del 23 de julio de 2020 se unificó lo relativo a la documentación que debe publicarse en el SECOP. </w:t>
      </w:r>
    </w:p>
    <w:p w14:paraId="563C664E" w14:textId="77777777" w:rsidR="005E50CD" w:rsidRPr="001B56BF" w:rsidRDefault="005E50CD" w:rsidP="00660C9C">
      <w:pPr>
        <w:pStyle w:val="Sinespaciado"/>
        <w:spacing w:line="276" w:lineRule="auto"/>
        <w:jc w:val="both"/>
        <w:rPr>
          <w:rFonts w:ascii="Arial" w:hAnsi="Arial" w:cs="Arial"/>
          <w:color w:val="000000" w:themeColor="text1"/>
          <w:sz w:val="22"/>
          <w:lang w:val="es-ES"/>
        </w:rPr>
      </w:pPr>
    </w:p>
    <w:p w14:paraId="671E0E24" w14:textId="74F32C5D" w:rsidR="00B414DE" w:rsidRPr="001B56BF" w:rsidRDefault="00B414DE" w:rsidP="00660C9C">
      <w:pPr>
        <w:pStyle w:val="Sinespaciado"/>
        <w:spacing w:line="276" w:lineRule="auto"/>
        <w:jc w:val="both"/>
        <w:rPr>
          <w:rFonts w:ascii="Arial" w:hAnsi="Arial" w:cs="Arial"/>
          <w:b/>
          <w:bCs/>
          <w:color w:val="000000" w:themeColor="text1"/>
          <w:sz w:val="22"/>
          <w:lang w:val="es-ES"/>
        </w:rPr>
      </w:pPr>
      <w:r w:rsidRPr="001B56BF">
        <w:rPr>
          <w:rFonts w:ascii="Arial" w:hAnsi="Arial" w:cs="Arial"/>
          <w:b/>
          <w:bCs/>
          <w:color w:val="000000" w:themeColor="text1"/>
          <w:sz w:val="22"/>
          <w:lang w:val="es-ES"/>
        </w:rPr>
        <w:t xml:space="preserve">2.1. </w:t>
      </w:r>
      <w:r w:rsidR="006E5D0C" w:rsidRPr="001B56BF">
        <w:rPr>
          <w:rFonts w:ascii="Arial" w:hAnsi="Arial" w:cs="Arial"/>
          <w:b/>
          <w:bCs/>
          <w:color w:val="000000" w:themeColor="text1"/>
          <w:sz w:val="22"/>
          <w:lang w:val="es-ES"/>
        </w:rPr>
        <w:t>C</w:t>
      </w:r>
      <w:r w:rsidR="00660C9C" w:rsidRPr="001B56BF">
        <w:rPr>
          <w:rFonts w:ascii="Arial" w:hAnsi="Arial" w:cs="Arial"/>
          <w:b/>
          <w:bCs/>
          <w:color w:val="000000" w:themeColor="text1"/>
          <w:sz w:val="22"/>
          <w:lang w:val="es-ES"/>
        </w:rPr>
        <w:t xml:space="preserve">ontratación </w:t>
      </w:r>
      <w:r w:rsidR="006E5D0C" w:rsidRPr="001B56BF">
        <w:rPr>
          <w:rFonts w:ascii="Arial" w:hAnsi="Arial" w:cs="Arial"/>
          <w:b/>
          <w:bCs/>
          <w:color w:val="000000" w:themeColor="text1"/>
          <w:sz w:val="22"/>
          <w:lang w:val="es-ES"/>
        </w:rPr>
        <w:t>sobre</w:t>
      </w:r>
      <w:r w:rsidR="00660C9C" w:rsidRPr="001B56BF">
        <w:rPr>
          <w:rFonts w:ascii="Arial" w:hAnsi="Arial" w:cs="Arial"/>
          <w:b/>
          <w:bCs/>
          <w:color w:val="000000" w:themeColor="text1"/>
          <w:sz w:val="22"/>
          <w:lang w:val="es-ES"/>
        </w:rPr>
        <w:t xml:space="preserve"> bienes</w:t>
      </w:r>
      <w:r w:rsidR="003A1850" w:rsidRPr="001B56BF">
        <w:rPr>
          <w:rFonts w:ascii="Arial" w:hAnsi="Arial" w:cs="Arial"/>
          <w:b/>
          <w:bCs/>
          <w:color w:val="000000" w:themeColor="text1"/>
          <w:sz w:val="22"/>
          <w:lang w:val="es-ES"/>
        </w:rPr>
        <w:t xml:space="preserve"> </w:t>
      </w:r>
      <w:r w:rsidR="002B27C0" w:rsidRPr="001B56BF">
        <w:rPr>
          <w:rFonts w:ascii="Arial" w:hAnsi="Arial" w:cs="Arial"/>
          <w:b/>
          <w:bCs/>
          <w:color w:val="000000" w:themeColor="text1"/>
          <w:sz w:val="22"/>
          <w:lang w:val="es-ES"/>
        </w:rPr>
        <w:t xml:space="preserve">intangibles </w:t>
      </w:r>
      <w:r w:rsidR="006E5D0C" w:rsidRPr="001B56BF">
        <w:rPr>
          <w:rFonts w:ascii="Arial" w:hAnsi="Arial" w:cs="Arial"/>
          <w:b/>
          <w:bCs/>
          <w:color w:val="000000" w:themeColor="text1"/>
          <w:sz w:val="22"/>
          <w:lang w:val="es-ES"/>
        </w:rPr>
        <w:t>del Estado, el régimen artículo</w:t>
      </w:r>
      <w:r w:rsidR="002B27C0" w:rsidRPr="001B56BF">
        <w:rPr>
          <w:rFonts w:ascii="Arial" w:hAnsi="Arial" w:cs="Arial"/>
          <w:b/>
          <w:bCs/>
          <w:color w:val="000000" w:themeColor="text1"/>
          <w:sz w:val="22"/>
          <w:lang w:val="es-ES"/>
        </w:rPr>
        <w:t xml:space="preserve"> </w:t>
      </w:r>
      <w:r w:rsidR="006E5D0C" w:rsidRPr="001B56BF">
        <w:rPr>
          <w:rFonts w:ascii="Arial" w:hAnsi="Arial" w:cs="Arial"/>
          <w:b/>
          <w:bCs/>
          <w:color w:val="000000" w:themeColor="text1"/>
          <w:sz w:val="22"/>
          <w:lang w:val="es-ES"/>
        </w:rPr>
        <w:t xml:space="preserve">167 </w:t>
      </w:r>
      <w:r w:rsidR="002B27C0" w:rsidRPr="001B56BF">
        <w:rPr>
          <w:rFonts w:ascii="Arial" w:hAnsi="Arial" w:cs="Arial"/>
          <w:b/>
          <w:bCs/>
          <w:color w:val="000000" w:themeColor="text1"/>
          <w:sz w:val="22"/>
          <w:lang w:val="es-ES"/>
        </w:rPr>
        <w:t>de la Ley 1955 de 2019</w:t>
      </w:r>
    </w:p>
    <w:p w14:paraId="72FF6B50" w14:textId="0EBCA880" w:rsidR="005E50CD" w:rsidRPr="001B56BF" w:rsidRDefault="005E50CD" w:rsidP="00660C9C">
      <w:pPr>
        <w:pStyle w:val="Sinespaciado"/>
        <w:spacing w:line="276" w:lineRule="auto"/>
        <w:jc w:val="both"/>
        <w:rPr>
          <w:rFonts w:ascii="Arial" w:hAnsi="Arial" w:cs="Arial"/>
          <w:b/>
          <w:bCs/>
          <w:color w:val="000000" w:themeColor="text1"/>
          <w:sz w:val="22"/>
          <w:lang w:val="es-ES"/>
        </w:rPr>
      </w:pPr>
    </w:p>
    <w:p w14:paraId="14596476" w14:textId="341B4A70" w:rsidR="007F38C7" w:rsidRPr="001B56BF" w:rsidRDefault="005E50CD" w:rsidP="006E5D0C">
      <w:pPr>
        <w:pStyle w:val="Sinespaciado"/>
        <w:spacing w:after="120" w:line="276" w:lineRule="auto"/>
        <w:jc w:val="both"/>
        <w:rPr>
          <w:rFonts w:ascii="Arial" w:hAnsi="Arial" w:cs="Arial"/>
          <w:bCs/>
          <w:color w:val="000000" w:themeColor="text1"/>
          <w:sz w:val="22"/>
          <w:lang w:val="es-ES"/>
        </w:rPr>
      </w:pPr>
      <w:r w:rsidRPr="001B56BF">
        <w:rPr>
          <w:rFonts w:ascii="Arial" w:hAnsi="Arial" w:cs="Arial"/>
          <w:bCs/>
          <w:color w:val="000000" w:themeColor="text1"/>
          <w:sz w:val="22"/>
          <w:lang w:val="es-ES"/>
        </w:rPr>
        <w:t xml:space="preserve">La Constitución Política reconoce tres tipos de propiedad, dentro de ellas, se encuentra la propiedad privada, la propiamente estatal y la </w:t>
      </w:r>
      <w:r w:rsidR="00610EDF">
        <w:rPr>
          <w:rFonts w:ascii="Arial" w:hAnsi="Arial" w:cs="Arial"/>
          <w:bCs/>
          <w:color w:val="000000" w:themeColor="text1"/>
          <w:sz w:val="22"/>
          <w:lang w:val="es-ES"/>
        </w:rPr>
        <w:t>comunitaria</w:t>
      </w:r>
      <w:r w:rsidRPr="001B56BF">
        <w:rPr>
          <w:rFonts w:ascii="Arial" w:hAnsi="Arial" w:cs="Arial"/>
          <w:bCs/>
          <w:color w:val="000000" w:themeColor="text1"/>
          <w:sz w:val="22"/>
          <w:lang w:val="es-ES"/>
        </w:rPr>
        <w:t xml:space="preserve">. Estas especies del derecho de dominio están protegidas y garantizadas, no solamente en el texto superior, sino </w:t>
      </w:r>
      <w:r w:rsidR="007F38C7" w:rsidRPr="001B56BF">
        <w:rPr>
          <w:rFonts w:ascii="Arial" w:hAnsi="Arial" w:cs="Arial"/>
          <w:bCs/>
          <w:color w:val="000000" w:themeColor="text1"/>
          <w:sz w:val="22"/>
          <w:lang w:val="es-ES"/>
        </w:rPr>
        <w:t>también</w:t>
      </w:r>
      <w:r w:rsidRPr="001B56BF">
        <w:rPr>
          <w:rFonts w:ascii="Arial" w:hAnsi="Arial" w:cs="Arial"/>
          <w:bCs/>
          <w:color w:val="000000" w:themeColor="text1"/>
          <w:sz w:val="22"/>
          <w:lang w:val="es-ES"/>
        </w:rPr>
        <w:t xml:space="preserve"> en las leyes civiles</w:t>
      </w:r>
      <w:r w:rsidRPr="001B56BF">
        <w:rPr>
          <w:rStyle w:val="Refdenotaalpie"/>
          <w:rFonts w:ascii="Arial" w:hAnsi="Arial" w:cs="Arial"/>
          <w:bCs/>
          <w:color w:val="000000" w:themeColor="text1"/>
          <w:sz w:val="22"/>
          <w:lang w:val="es-ES"/>
        </w:rPr>
        <w:footnoteReference w:id="2"/>
      </w:r>
      <w:r w:rsidR="007F38C7" w:rsidRPr="001B56BF">
        <w:rPr>
          <w:rFonts w:ascii="Arial" w:hAnsi="Arial" w:cs="Arial"/>
          <w:bCs/>
          <w:color w:val="000000" w:themeColor="text1"/>
          <w:sz w:val="22"/>
          <w:lang w:val="es-ES"/>
        </w:rPr>
        <w:t xml:space="preserve">. </w:t>
      </w:r>
    </w:p>
    <w:p w14:paraId="443A26EE" w14:textId="1C3440F7" w:rsidR="007F38C7" w:rsidRPr="001B56BF" w:rsidRDefault="007F38C7" w:rsidP="00AA5C32">
      <w:pPr>
        <w:pStyle w:val="Sinespaciado"/>
        <w:spacing w:line="276" w:lineRule="auto"/>
        <w:ind w:firstLine="709"/>
        <w:jc w:val="both"/>
        <w:rPr>
          <w:rFonts w:ascii="Arial" w:hAnsi="Arial" w:cs="Arial"/>
          <w:bCs/>
          <w:color w:val="000000" w:themeColor="text1"/>
          <w:sz w:val="22"/>
          <w:lang w:val="es-ES"/>
        </w:rPr>
      </w:pPr>
      <w:r w:rsidRPr="001B56BF">
        <w:rPr>
          <w:rFonts w:ascii="Arial" w:hAnsi="Arial" w:cs="Arial"/>
          <w:bCs/>
          <w:color w:val="000000" w:themeColor="text1"/>
          <w:sz w:val="22"/>
          <w:lang w:val="es-ES"/>
        </w:rPr>
        <w:t xml:space="preserve">La propiedad pública en el ordenamiento jurídico interno </w:t>
      </w:r>
      <w:r w:rsidR="006E5D0C" w:rsidRPr="001B56BF">
        <w:rPr>
          <w:rFonts w:ascii="Arial" w:hAnsi="Arial" w:cs="Arial"/>
          <w:bCs/>
          <w:color w:val="000000" w:themeColor="text1"/>
          <w:sz w:val="22"/>
          <w:lang w:val="es-ES"/>
        </w:rPr>
        <w:t xml:space="preserve">existe </w:t>
      </w:r>
      <w:r w:rsidRPr="001B56BF">
        <w:rPr>
          <w:rFonts w:ascii="Arial" w:hAnsi="Arial" w:cs="Arial"/>
          <w:bCs/>
          <w:color w:val="000000" w:themeColor="text1"/>
          <w:sz w:val="22"/>
          <w:lang w:val="es-ES"/>
        </w:rPr>
        <w:t xml:space="preserve">tanto </w:t>
      </w:r>
      <w:r w:rsidR="006E5D0C" w:rsidRPr="001B56BF">
        <w:rPr>
          <w:rFonts w:ascii="Arial" w:hAnsi="Arial" w:cs="Arial"/>
          <w:bCs/>
          <w:color w:val="000000" w:themeColor="text1"/>
          <w:sz w:val="22"/>
          <w:lang w:val="es-ES"/>
        </w:rPr>
        <w:t>sobre</w:t>
      </w:r>
      <w:r w:rsidRPr="001B56BF">
        <w:rPr>
          <w:rFonts w:ascii="Arial" w:hAnsi="Arial" w:cs="Arial"/>
          <w:bCs/>
          <w:color w:val="000000" w:themeColor="text1"/>
          <w:sz w:val="22"/>
          <w:lang w:val="es-ES"/>
        </w:rPr>
        <w:t xml:space="preserve"> bienes de uso público como </w:t>
      </w:r>
      <w:r w:rsidR="006E5D0C" w:rsidRPr="001B56BF">
        <w:rPr>
          <w:rFonts w:ascii="Arial" w:hAnsi="Arial" w:cs="Arial"/>
          <w:bCs/>
          <w:color w:val="000000" w:themeColor="text1"/>
          <w:sz w:val="22"/>
          <w:lang w:val="es-ES"/>
        </w:rPr>
        <w:t>sobre</w:t>
      </w:r>
      <w:r w:rsidRPr="001B56BF">
        <w:rPr>
          <w:rFonts w:ascii="Arial" w:hAnsi="Arial" w:cs="Arial"/>
          <w:bCs/>
          <w:color w:val="000000" w:themeColor="text1"/>
          <w:sz w:val="22"/>
          <w:lang w:val="es-ES"/>
        </w:rPr>
        <w:t xml:space="preserve"> bienes que el Código Civil llama fiscales. Colombia adopt</w:t>
      </w:r>
      <w:r w:rsidR="006E5D0C" w:rsidRPr="001B56BF">
        <w:rPr>
          <w:rFonts w:ascii="Arial" w:hAnsi="Arial" w:cs="Arial"/>
          <w:bCs/>
          <w:color w:val="000000" w:themeColor="text1"/>
          <w:sz w:val="22"/>
          <w:lang w:val="es-ES"/>
        </w:rPr>
        <w:t>ó</w:t>
      </w:r>
      <w:r w:rsidR="001C4BDD" w:rsidRPr="001B56BF">
        <w:rPr>
          <w:rFonts w:ascii="Arial" w:hAnsi="Arial" w:cs="Arial"/>
          <w:bCs/>
          <w:color w:val="000000" w:themeColor="text1"/>
          <w:sz w:val="22"/>
          <w:lang w:val="es-ES"/>
        </w:rPr>
        <w:t>, en ese sentido,</w:t>
      </w:r>
      <w:r w:rsidRPr="001B56BF">
        <w:rPr>
          <w:rFonts w:ascii="Arial" w:hAnsi="Arial" w:cs="Arial"/>
          <w:bCs/>
          <w:color w:val="000000" w:themeColor="text1"/>
          <w:sz w:val="22"/>
          <w:lang w:val="es-ES"/>
        </w:rPr>
        <w:t xml:space="preserve"> una tendencia que la doctrina h</w:t>
      </w:r>
      <w:r w:rsidR="00EA358D" w:rsidRPr="001B56BF">
        <w:rPr>
          <w:rFonts w:ascii="Arial" w:hAnsi="Arial" w:cs="Arial"/>
          <w:bCs/>
          <w:color w:val="000000" w:themeColor="text1"/>
          <w:sz w:val="22"/>
          <w:lang w:val="es-ES"/>
        </w:rPr>
        <w:t xml:space="preserve">a denominado </w:t>
      </w:r>
      <w:r w:rsidR="00403FE0" w:rsidRPr="001B56BF">
        <w:rPr>
          <w:rFonts w:ascii="Arial" w:hAnsi="Arial" w:cs="Arial"/>
          <w:bCs/>
          <w:color w:val="000000" w:themeColor="text1"/>
          <w:sz w:val="22"/>
          <w:lang w:val="es-ES"/>
        </w:rPr>
        <w:t>«</w:t>
      </w:r>
      <w:proofErr w:type="spellStart"/>
      <w:r w:rsidRPr="001B56BF">
        <w:rPr>
          <w:rFonts w:ascii="Arial" w:hAnsi="Arial" w:cs="Arial"/>
          <w:bCs/>
          <w:color w:val="000000" w:themeColor="text1"/>
          <w:sz w:val="22"/>
          <w:lang w:val="es-ES"/>
        </w:rPr>
        <w:t>propietarista</w:t>
      </w:r>
      <w:proofErr w:type="spellEnd"/>
      <w:r w:rsidR="00403FE0" w:rsidRPr="001B56BF">
        <w:rPr>
          <w:rFonts w:ascii="Arial" w:hAnsi="Arial" w:cs="Arial"/>
          <w:bCs/>
          <w:color w:val="000000" w:themeColor="text1"/>
          <w:sz w:val="22"/>
          <w:lang w:val="es-ES"/>
        </w:rPr>
        <w:t>»</w:t>
      </w:r>
      <w:r w:rsidRPr="001B56BF">
        <w:rPr>
          <w:rStyle w:val="Refdenotaalpie"/>
          <w:rFonts w:ascii="Arial" w:hAnsi="Arial" w:cs="Arial"/>
          <w:bCs/>
          <w:color w:val="000000" w:themeColor="text1"/>
          <w:sz w:val="22"/>
          <w:lang w:val="es-ES"/>
        </w:rPr>
        <w:footnoteReference w:id="3"/>
      </w:r>
      <w:r w:rsidRPr="001B56BF">
        <w:rPr>
          <w:rFonts w:ascii="Arial" w:hAnsi="Arial" w:cs="Arial"/>
          <w:bCs/>
          <w:color w:val="000000" w:themeColor="text1"/>
          <w:sz w:val="22"/>
          <w:lang w:val="es-ES"/>
        </w:rPr>
        <w:t xml:space="preserve">. </w:t>
      </w:r>
      <w:r w:rsidR="006E5D0C" w:rsidRPr="001B56BF">
        <w:rPr>
          <w:rFonts w:ascii="Arial" w:hAnsi="Arial" w:cs="Arial"/>
          <w:bCs/>
          <w:color w:val="000000" w:themeColor="text1"/>
          <w:sz w:val="22"/>
          <w:lang w:val="es-ES"/>
        </w:rPr>
        <w:t xml:space="preserve">La titularidad pública sobre los bienes de uso público en </w:t>
      </w:r>
      <w:r w:rsidR="00AA5C32" w:rsidRPr="001B56BF">
        <w:rPr>
          <w:rFonts w:ascii="Arial" w:hAnsi="Arial" w:cs="Arial"/>
          <w:bCs/>
          <w:color w:val="000000" w:themeColor="text1"/>
          <w:sz w:val="22"/>
          <w:lang w:val="es-ES"/>
        </w:rPr>
        <w:t>particular</w:t>
      </w:r>
      <w:r w:rsidRPr="001B56BF">
        <w:rPr>
          <w:rFonts w:ascii="Arial" w:hAnsi="Arial" w:cs="Arial"/>
          <w:bCs/>
          <w:color w:val="000000" w:themeColor="text1"/>
          <w:sz w:val="22"/>
          <w:lang w:val="es-ES"/>
        </w:rPr>
        <w:t xml:space="preserve"> se </w:t>
      </w:r>
      <w:r w:rsidR="006E5D0C" w:rsidRPr="001B56BF">
        <w:rPr>
          <w:rFonts w:ascii="Arial" w:hAnsi="Arial" w:cs="Arial"/>
          <w:bCs/>
          <w:color w:val="000000" w:themeColor="text1"/>
          <w:sz w:val="22"/>
          <w:lang w:val="es-ES"/>
        </w:rPr>
        <w:t>ha sustentado</w:t>
      </w:r>
      <w:r w:rsidRPr="001B56BF">
        <w:rPr>
          <w:rFonts w:ascii="Arial" w:hAnsi="Arial" w:cs="Arial"/>
          <w:bCs/>
          <w:color w:val="000000" w:themeColor="text1"/>
          <w:sz w:val="22"/>
          <w:lang w:val="es-ES"/>
        </w:rPr>
        <w:t xml:space="preserve"> en los siguientes argumentos: </w:t>
      </w:r>
    </w:p>
    <w:p w14:paraId="64A7FF26" w14:textId="77777777" w:rsidR="00AA5C32" w:rsidRPr="001B56BF" w:rsidRDefault="00AA5C32" w:rsidP="00660C9C">
      <w:pPr>
        <w:pStyle w:val="Sinespaciado"/>
        <w:ind w:left="709" w:right="758"/>
        <w:jc w:val="both"/>
        <w:rPr>
          <w:rFonts w:ascii="Arial" w:hAnsi="Arial" w:cs="Arial"/>
          <w:bCs/>
          <w:color w:val="000000" w:themeColor="text1"/>
          <w:sz w:val="21"/>
          <w:szCs w:val="21"/>
          <w:lang w:val="es-ES"/>
        </w:rPr>
      </w:pPr>
    </w:p>
    <w:p w14:paraId="1EB80305" w14:textId="59B08E97" w:rsidR="007F38C7" w:rsidRPr="001B56BF" w:rsidRDefault="007F38C7" w:rsidP="00660C9C">
      <w:pPr>
        <w:pStyle w:val="Sinespaciado"/>
        <w:ind w:left="709" w:right="758"/>
        <w:jc w:val="both"/>
        <w:rPr>
          <w:rFonts w:ascii="Arial" w:hAnsi="Arial" w:cs="Arial"/>
          <w:bCs/>
          <w:color w:val="000000" w:themeColor="text1"/>
          <w:sz w:val="21"/>
          <w:szCs w:val="21"/>
          <w:lang w:val="es-ES"/>
        </w:rPr>
      </w:pPr>
      <w:r w:rsidRPr="001B56BF">
        <w:rPr>
          <w:rFonts w:ascii="Arial" w:hAnsi="Arial" w:cs="Arial"/>
          <w:bCs/>
          <w:color w:val="000000" w:themeColor="text1"/>
          <w:sz w:val="21"/>
          <w:szCs w:val="21"/>
          <w:lang w:val="es-ES"/>
        </w:rPr>
        <w:t xml:space="preserve">a) En primer lugar, la lectura en conjunto de los artículos 669 y 674 del C.C. permite afirmar, sin duda alguna, que cuando se afirma </w:t>
      </w:r>
      <w:r w:rsidR="00F127AB" w:rsidRPr="001B56BF">
        <w:rPr>
          <w:rFonts w:ascii="Arial" w:hAnsi="Arial" w:cs="Arial"/>
          <w:bCs/>
          <w:color w:val="000000" w:themeColor="text1"/>
          <w:sz w:val="21"/>
          <w:szCs w:val="21"/>
          <w:lang w:val="es-ES"/>
        </w:rPr>
        <w:t>«</w:t>
      </w:r>
      <w:r w:rsidRPr="001B56BF">
        <w:rPr>
          <w:rFonts w:ascii="Arial" w:hAnsi="Arial" w:cs="Arial"/>
          <w:bCs/>
          <w:color w:val="000000" w:themeColor="text1"/>
          <w:sz w:val="21"/>
          <w:szCs w:val="21"/>
          <w:lang w:val="es-ES"/>
        </w:rPr>
        <w:t>se llaman bienes de la unión, aquellos cuyo dominio pertenece a la República</w:t>
      </w:r>
      <w:r w:rsidR="00F127AB" w:rsidRPr="001B56BF">
        <w:rPr>
          <w:rFonts w:ascii="Arial" w:hAnsi="Arial" w:cs="Arial"/>
          <w:bCs/>
          <w:color w:val="000000" w:themeColor="text1"/>
          <w:sz w:val="21"/>
          <w:szCs w:val="21"/>
          <w:lang w:val="es-ES"/>
        </w:rPr>
        <w:t>»</w:t>
      </w:r>
      <w:r w:rsidRPr="001B56BF">
        <w:rPr>
          <w:rFonts w:ascii="Arial" w:hAnsi="Arial" w:cs="Arial"/>
          <w:bCs/>
          <w:color w:val="000000" w:themeColor="text1"/>
          <w:sz w:val="21"/>
          <w:szCs w:val="21"/>
          <w:lang w:val="es-ES"/>
        </w:rPr>
        <w:t>, lo que se</w:t>
      </w:r>
      <w:r w:rsidR="00EA358D" w:rsidRPr="001B56BF">
        <w:rPr>
          <w:rFonts w:ascii="Arial" w:hAnsi="Arial" w:cs="Arial"/>
          <w:bCs/>
          <w:color w:val="000000" w:themeColor="text1"/>
          <w:sz w:val="21"/>
          <w:szCs w:val="21"/>
          <w:lang w:val="es-ES"/>
        </w:rPr>
        <w:t xml:space="preserve"> está </w:t>
      </w:r>
      <w:r w:rsidR="00EA358D" w:rsidRPr="001B56BF">
        <w:rPr>
          <w:rFonts w:ascii="Arial" w:hAnsi="Arial" w:cs="Arial"/>
          <w:bCs/>
          <w:color w:val="000000" w:themeColor="text1"/>
          <w:sz w:val="21"/>
          <w:szCs w:val="21"/>
          <w:lang w:val="es-ES"/>
        </w:rPr>
        <w:lastRenderedPageBreak/>
        <w:t>afirmando es que esos bie</w:t>
      </w:r>
      <w:r w:rsidRPr="001B56BF">
        <w:rPr>
          <w:rFonts w:ascii="Arial" w:hAnsi="Arial" w:cs="Arial"/>
          <w:bCs/>
          <w:color w:val="000000" w:themeColor="text1"/>
          <w:sz w:val="21"/>
          <w:szCs w:val="21"/>
          <w:lang w:val="es-ES"/>
        </w:rPr>
        <w:t>nes son de propiedad de la República, pues en el derecho nacional, propiedad y dominio son sinónimos; b) en segundo lugar, estos bienes son de propiedad de las diferentes personas de derecho público, pues estas son titulares de un patrimonio y gozan de todos les mecanismos propios a dicha categoría, tal y como lo reconoce el artículo 362 de la C.P.; c) pero, además, en tercer lugar, la forma en que se proveen bienes de uso público (compra, expropiación, cesiones obligatorias gratuitas, etc.) exige que se realice la transferencia del derecho de propiedad a favor de la entidad expropiante, en todos los casos; y d)</w:t>
      </w:r>
      <w:r w:rsidR="003F3F3C" w:rsidRPr="001B56BF">
        <w:rPr>
          <w:rFonts w:ascii="Arial" w:hAnsi="Arial" w:cs="Arial"/>
          <w:bCs/>
          <w:color w:val="000000" w:themeColor="text1"/>
          <w:sz w:val="21"/>
          <w:szCs w:val="21"/>
          <w:lang w:val="es-ES"/>
        </w:rPr>
        <w:t xml:space="preserve"> </w:t>
      </w:r>
      <w:r w:rsidRPr="001B56BF">
        <w:rPr>
          <w:rFonts w:ascii="Arial" w:hAnsi="Arial" w:cs="Arial"/>
          <w:bCs/>
          <w:color w:val="000000" w:themeColor="text1"/>
          <w:sz w:val="21"/>
          <w:szCs w:val="21"/>
          <w:lang w:val="es-ES"/>
        </w:rPr>
        <w:t xml:space="preserve">los bienes de uso público, junto con los bienes fiscales, se integran en el Plan Único de Cuentas, como parte de los activos fijos de las </w:t>
      </w:r>
      <w:r w:rsidR="00EA358D" w:rsidRPr="001B56BF">
        <w:rPr>
          <w:rFonts w:ascii="Arial" w:hAnsi="Arial" w:cs="Arial"/>
          <w:bCs/>
          <w:color w:val="000000" w:themeColor="text1"/>
          <w:sz w:val="21"/>
          <w:szCs w:val="21"/>
          <w:lang w:val="es-ES"/>
        </w:rPr>
        <w:t>entidades públicas propietarias</w:t>
      </w:r>
      <w:r w:rsidR="00EA358D" w:rsidRPr="001B56BF">
        <w:rPr>
          <w:rStyle w:val="Refdenotaalpie"/>
          <w:rFonts w:ascii="Arial" w:hAnsi="Arial" w:cs="Arial"/>
          <w:bCs/>
          <w:color w:val="000000" w:themeColor="text1"/>
          <w:sz w:val="21"/>
          <w:szCs w:val="21"/>
          <w:lang w:val="es-ES"/>
        </w:rPr>
        <w:footnoteReference w:id="4"/>
      </w:r>
      <w:r w:rsidR="00EA358D" w:rsidRPr="001B56BF">
        <w:rPr>
          <w:rFonts w:ascii="Arial" w:hAnsi="Arial" w:cs="Arial"/>
          <w:bCs/>
          <w:color w:val="000000" w:themeColor="text1"/>
          <w:sz w:val="21"/>
          <w:szCs w:val="21"/>
          <w:lang w:val="es-ES"/>
        </w:rPr>
        <w:t xml:space="preserve">. </w:t>
      </w:r>
    </w:p>
    <w:p w14:paraId="71BE3720" w14:textId="071E05B5" w:rsidR="00EA358D" w:rsidRPr="001B56BF" w:rsidRDefault="00EA358D" w:rsidP="00660C9C">
      <w:pPr>
        <w:pStyle w:val="Sinespaciado"/>
        <w:spacing w:line="276" w:lineRule="auto"/>
        <w:ind w:right="758"/>
        <w:jc w:val="both"/>
        <w:rPr>
          <w:rFonts w:ascii="Arial" w:hAnsi="Arial" w:cs="Arial"/>
          <w:bCs/>
          <w:color w:val="000000" w:themeColor="text1"/>
          <w:sz w:val="22"/>
          <w:lang w:val="es-ES"/>
        </w:rPr>
      </w:pPr>
    </w:p>
    <w:p w14:paraId="21FFE435" w14:textId="03C6321A" w:rsidR="00DC461B" w:rsidRPr="001B56BF" w:rsidRDefault="00AA5C32" w:rsidP="0071436A">
      <w:pPr>
        <w:pStyle w:val="Sinespaciado"/>
        <w:spacing w:after="120" w:line="276" w:lineRule="auto"/>
        <w:ind w:firstLine="709"/>
        <w:jc w:val="both"/>
        <w:rPr>
          <w:rFonts w:ascii="Arial" w:hAnsi="Arial" w:cs="Arial"/>
          <w:bCs/>
          <w:color w:val="000000" w:themeColor="text1"/>
          <w:sz w:val="22"/>
          <w:lang w:val="es-ES"/>
        </w:rPr>
      </w:pPr>
      <w:r w:rsidRPr="001B56BF">
        <w:rPr>
          <w:rFonts w:ascii="Arial" w:hAnsi="Arial" w:cs="Arial"/>
          <w:bCs/>
          <w:color w:val="000000" w:themeColor="text1"/>
          <w:sz w:val="22"/>
          <w:lang w:val="es-ES"/>
        </w:rPr>
        <w:t xml:space="preserve">Así las cosas, </w:t>
      </w:r>
      <w:r w:rsidR="006E5D0C" w:rsidRPr="001B56BF">
        <w:rPr>
          <w:rFonts w:ascii="Arial" w:hAnsi="Arial" w:cs="Arial"/>
          <w:bCs/>
          <w:color w:val="000000" w:themeColor="text1"/>
          <w:sz w:val="22"/>
          <w:lang w:val="es-ES"/>
        </w:rPr>
        <w:t xml:space="preserve">tanto los bienes de uso público, como los bienes fiscales, son de titularidad estatal. </w:t>
      </w:r>
      <w:r w:rsidR="00DA158D" w:rsidRPr="001B56BF">
        <w:rPr>
          <w:rFonts w:ascii="Arial" w:hAnsi="Arial" w:cs="Arial"/>
          <w:bCs/>
          <w:color w:val="000000" w:themeColor="text1"/>
          <w:sz w:val="22"/>
          <w:lang w:val="es-ES"/>
        </w:rPr>
        <w:t>Ahora bien</w:t>
      </w:r>
      <w:r w:rsidR="006E5D0C" w:rsidRPr="001B56BF">
        <w:rPr>
          <w:rFonts w:ascii="Arial" w:hAnsi="Arial" w:cs="Arial"/>
          <w:bCs/>
          <w:color w:val="000000" w:themeColor="text1"/>
          <w:sz w:val="22"/>
          <w:lang w:val="es-ES"/>
        </w:rPr>
        <w:t xml:space="preserve">, la naturaleza pública del titular de un bien es solo uno de los factores </w:t>
      </w:r>
      <w:r w:rsidR="00DC461B" w:rsidRPr="001B56BF">
        <w:rPr>
          <w:rFonts w:ascii="Arial" w:hAnsi="Arial" w:cs="Arial"/>
          <w:bCs/>
          <w:color w:val="000000" w:themeColor="text1"/>
          <w:sz w:val="22"/>
          <w:lang w:val="es-ES"/>
        </w:rPr>
        <w:t xml:space="preserve">relevantes para determinar su régimen jurídico. En el ordenamiento jurídico </w:t>
      </w:r>
      <w:r w:rsidRPr="001B56BF">
        <w:rPr>
          <w:rFonts w:ascii="Arial" w:hAnsi="Arial" w:cs="Arial"/>
          <w:bCs/>
          <w:color w:val="000000" w:themeColor="text1"/>
          <w:sz w:val="22"/>
          <w:lang w:val="es-ES"/>
        </w:rPr>
        <w:t xml:space="preserve">la </w:t>
      </w:r>
      <w:r w:rsidR="00DC461B" w:rsidRPr="001B56BF">
        <w:rPr>
          <w:rFonts w:ascii="Arial" w:hAnsi="Arial" w:cs="Arial"/>
          <w:bCs/>
          <w:color w:val="000000" w:themeColor="text1"/>
          <w:sz w:val="22"/>
          <w:lang w:val="es-ES"/>
        </w:rPr>
        <w:t xml:space="preserve">destinación, afectación, o protección jurídica de un bien puede atender a consideraciones que van más allá de la naturaleza pública o privada de su titular. Por lo anterior, por ejemplo, los bienes que se encuentren dentro de los límites de los parques naturales son inalienables, imprescriptibles e inembargables, y ello es así independientemente de que </w:t>
      </w:r>
      <w:r w:rsidRPr="001B56BF">
        <w:rPr>
          <w:rFonts w:ascii="Arial" w:hAnsi="Arial" w:cs="Arial"/>
          <w:bCs/>
          <w:color w:val="000000" w:themeColor="text1"/>
          <w:sz w:val="22"/>
          <w:lang w:val="es-ES"/>
        </w:rPr>
        <w:t>se trate de propiedad privada</w:t>
      </w:r>
      <w:r w:rsidR="00DC461B" w:rsidRPr="001B56BF">
        <w:rPr>
          <w:rStyle w:val="Refdenotaalpie"/>
          <w:rFonts w:ascii="Arial" w:hAnsi="Arial" w:cs="Arial"/>
          <w:bCs/>
          <w:color w:val="000000" w:themeColor="text1"/>
          <w:sz w:val="22"/>
          <w:lang w:val="es-ES"/>
        </w:rPr>
        <w:footnoteReference w:id="5"/>
      </w:r>
      <w:r w:rsidR="00DC461B" w:rsidRPr="001B56BF">
        <w:rPr>
          <w:rFonts w:ascii="Arial" w:hAnsi="Arial" w:cs="Arial"/>
          <w:bCs/>
          <w:color w:val="000000" w:themeColor="text1"/>
          <w:sz w:val="22"/>
          <w:lang w:val="es-ES"/>
        </w:rPr>
        <w:t xml:space="preserve">. </w:t>
      </w:r>
    </w:p>
    <w:p w14:paraId="77B80D51" w14:textId="6876EF51" w:rsidR="002E4067" w:rsidRPr="001B56BF" w:rsidRDefault="00AA5C32" w:rsidP="002E4067">
      <w:pPr>
        <w:pStyle w:val="Sinespaciado"/>
        <w:spacing w:line="276" w:lineRule="auto"/>
        <w:ind w:firstLine="709"/>
        <w:jc w:val="both"/>
        <w:rPr>
          <w:rFonts w:ascii="Arial" w:hAnsi="Arial" w:cs="Arial"/>
          <w:bCs/>
          <w:color w:val="000000" w:themeColor="text1"/>
          <w:sz w:val="22"/>
          <w:lang w:val="es-ES"/>
        </w:rPr>
      </w:pPr>
      <w:r w:rsidRPr="001B56BF">
        <w:rPr>
          <w:rFonts w:ascii="Arial" w:hAnsi="Arial" w:cs="Arial"/>
          <w:bCs/>
          <w:color w:val="000000" w:themeColor="text1"/>
          <w:sz w:val="22"/>
          <w:lang w:val="es-ES"/>
        </w:rPr>
        <w:t xml:space="preserve">Con base en esta premisa, </w:t>
      </w:r>
      <w:r w:rsidR="00DA158D" w:rsidRPr="001B56BF">
        <w:rPr>
          <w:rFonts w:ascii="Arial" w:hAnsi="Arial" w:cs="Arial"/>
          <w:bCs/>
          <w:color w:val="000000" w:themeColor="text1"/>
          <w:sz w:val="22"/>
          <w:lang w:val="es-ES"/>
        </w:rPr>
        <w:t xml:space="preserve">la doctrina ha distinguido los diferentes aspectos que </w:t>
      </w:r>
      <w:r w:rsidRPr="001B56BF">
        <w:rPr>
          <w:rFonts w:ascii="Arial" w:hAnsi="Arial" w:cs="Arial"/>
          <w:bCs/>
          <w:color w:val="000000" w:themeColor="text1"/>
          <w:sz w:val="22"/>
          <w:lang w:val="es-ES"/>
        </w:rPr>
        <w:t>permiten determinar</w:t>
      </w:r>
      <w:r w:rsidR="00DA158D" w:rsidRPr="001B56BF">
        <w:rPr>
          <w:rFonts w:ascii="Arial" w:hAnsi="Arial" w:cs="Arial"/>
          <w:bCs/>
          <w:color w:val="000000" w:themeColor="text1"/>
          <w:sz w:val="22"/>
          <w:lang w:val="es-ES"/>
        </w:rPr>
        <w:t xml:space="preserve"> el régimen jurídico de un bien de la siguiente manera: </w:t>
      </w:r>
    </w:p>
    <w:p w14:paraId="72CF2973" w14:textId="77777777" w:rsidR="002E4067" w:rsidRPr="001B56BF" w:rsidRDefault="002E4067" w:rsidP="002E4067">
      <w:pPr>
        <w:pStyle w:val="Sinespaciado"/>
        <w:ind w:left="709" w:right="758"/>
        <w:jc w:val="both"/>
        <w:rPr>
          <w:rFonts w:ascii="Arial" w:hAnsi="Arial" w:cs="Arial"/>
          <w:bCs/>
          <w:color w:val="000000" w:themeColor="text1"/>
          <w:sz w:val="21"/>
          <w:szCs w:val="21"/>
          <w:lang w:val="es-ES"/>
        </w:rPr>
      </w:pPr>
    </w:p>
    <w:p w14:paraId="6FB0AA49" w14:textId="1FBC85C5" w:rsidR="00DA158D" w:rsidRPr="001B56BF" w:rsidRDefault="00DA158D" w:rsidP="002E4067">
      <w:pPr>
        <w:pStyle w:val="Sinespaciado"/>
        <w:ind w:left="709" w:right="758"/>
        <w:jc w:val="both"/>
        <w:rPr>
          <w:rFonts w:ascii="Arial" w:hAnsi="Arial" w:cs="Arial"/>
          <w:bCs/>
          <w:color w:val="000000" w:themeColor="text1"/>
          <w:sz w:val="21"/>
          <w:szCs w:val="21"/>
          <w:lang w:val="es-ES"/>
        </w:rPr>
      </w:pPr>
      <w:r w:rsidRPr="001B56BF">
        <w:rPr>
          <w:rFonts w:ascii="Arial" w:hAnsi="Arial" w:cs="Arial"/>
          <w:bCs/>
          <w:color w:val="000000" w:themeColor="text1"/>
          <w:sz w:val="21"/>
          <w:szCs w:val="21"/>
          <w:lang w:val="es-ES"/>
        </w:rPr>
        <w:t xml:space="preserve">En primer lugar, es necesario afirmar que el régimen jurídico de un bien público se compone de una serie identificable de condiciones relativas al titular del bien (lo que hará de una cosa un bien público es su </w:t>
      </w:r>
      <w:r w:rsidR="008C1676" w:rsidRPr="001B56BF">
        <w:rPr>
          <w:rFonts w:ascii="Arial" w:hAnsi="Arial" w:cs="Arial"/>
          <w:bCs/>
          <w:color w:val="000000" w:themeColor="text1"/>
          <w:sz w:val="21"/>
          <w:szCs w:val="21"/>
          <w:lang w:val="es-ES"/>
        </w:rPr>
        <w:t>pertenencia</w:t>
      </w:r>
      <w:r w:rsidRPr="001B56BF">
        <w:rPr>
          <w:rFonts w:ascii="Arial" w:hAnsi="Arial" w:cs="Arial"/>
          <w:bCs/>
          <w:color w:val="000000" w:themeColor="text1"/>
          <w:sz w:val="21"/>
          <w:szCs w:val="21"/>
          <w:lang w:val="es-ES"/>
        </w:rPr>
        <w:t xml:space="preserve"> a una persona de derecho público), a las características del bien y a las afectaciones que recaigan sobre él; se trata, en </w:t>
      </w:r>
      <w:proofErr w:type="gramStart"/>
      <w:r w:rsidRPr="001B56BF">
        <w:rPr>
          <w:rFonts w:ascii="Arial" w:hAnsi="Arial" w:cs="Arial"/>
          <w:bCs/>
          <w:color w:val="000000" w:themeColor="text1"/>
          <w:sz w:val="21"/>
          <w:szCs w:val="21"/>
          <w:lang w:val="es-ES"/>
        </w:rPr>
        <w:t>suma</w:t>
      </w:r>
      <w:proofErr w:type="gramEnd"/>
      <w:r w:rsidRPr="001B56BF">
        <w:rPr>
          <w:rFonts w:ascii="Arial" w:hAnsi="Arial" w:cs="Arial"/>
          <w:bCs/>
          <w:color w:val="000000" w:themeColor="text1"/>
          <w:sz w:val="21"/>
          <w:szCs w:val="21"/>
          <w:lang w:val="es-ES"/>
        </w:rPr>
        <w:t xml:space="preserve"> de un test de determinación del régimen jurídico</w:t>
      </w:r>
      <w:r w:rsidRPr="001B56BF">
        <w:rPr>
          <w:rStyle w:val="Refdenotaalpie"/>
          <w:rFonts w:ascii="Arial" w:hAnsi="Arial" w:cs="Arial"/>
          <w:bCs/>
          <w:color w:val="000000" w:themeColor="text1"/>
          <w:sz w:val="21"/>
          <w:szCs w:val="21"/>
          <w:lang w:val="es-ES"/>
        </w:rPr>
        <w:footnoteReference w:id="6"/>
      </w:r>
      <w:r w:rsidRPr="001B56BF">
        <w:rPr>
          <w:rFonts w:ascii="Arial" w:hAnsi="Arial" w:cs="Arial"/>
          <w:bCs/>
          <w:color w:val="000000" w:themeColor="text1"/>
          <w:sz w:val="21"/>
          <w:szCs w:val="21"/>
          <w:lang w:val="es-ES"/>
        </w:rPr>
        <w:t>.</w:t>
      </w:r>
    </w:p>
    <w:p w14:paraId="1B47181D" w14:textId="77777777" w:rsidR="002E4067" w:rsidRPr="001B56BF" w:rsidRDefault="002E4067" w:rsidP="002E4067">
      <w:pPr>
        <w:pStyle w:val="Sinespaciado"/>
        <w:ind w:left="709" w:right="758"/>
        <w:jc w:val="both"/>
        <w:rPr>
          <w:rFonts w:ascii="Arial" w:hAnsi="Arial" w:cs="Arial"/>
          <w:bCs/>
          <w:color w:val="000000" w:themeColor="text1"/>
          <w:sz w:val="21"/>
          <w:szCs w:val="21"/>
          <w:lang w:val="es-ES"/>
        </w:rPr>
      </w:pPr>
    </w:p>
    <w:p w14:paraId="4F64FD2A" w14:textId="7E0BFF74" w:rsidR="00AA5C32" w:rsidRPr="001B56BF" w:rsidRDefault="00AA5C32" w:rsidP="00087046">
      <w:pPr>
        <w:pStyle w:val="Sinespaciado"/>
        <w:spacing w:after="120" w:line="276" w:lineRule="auto"/>
        <w:ind w:firstLine="709"/>
        <w:jc w:val="both"/>
        <w:rPr>
          <w:rFonts w:ascii="Arial" w:hAnsi="Arial" w:cs="Arial"/>
          <w:bCs/>
          <w:color w:val="000000" w:themeColor="text1"/>
          <w:sz w:val="22"/>
          <w:lang w:val="es-ES"/>
        </w:rPr>
      </w:pPr>
      <w:r w:rsidRPr="001B56BF">
        <w:rPr>
          <w:rFonts w:ascii="Arial" w:hAnsi="Arial" w:cs="Arial"/>
          <w:bCs/>
          <w:color w:val="000000" w:themeColor="text1"/>
          <w:sz w:val="22"/>
          <w:lang w:val="es-ES"/>
        </w:rPr>
        <w:t xml:space="preserve">En este contexto, la determinación de los medios jurídicos para explotar un bien debe tener en consideración estos tres aspectos; esto es, la naturaleza jurídica de su titular, </w:t>
      </w:r>
      <w:r w:rsidRPr="001B56BF">
        <w:rPr>
          <w:rFonts w:ascii="Arial" w:hAnsi="Arial" w:cs="Arial"/>
          <w:bCs/>
          <w:color w:val="000000" w:themeColor="text1"/>
          <w:sz w:val="22"/>
          <w:lang w:val="es-ES"/>
        </w:rPr>
        <w:lastRenderedPageBreak/>
        <w:t xml:space="preserve">las características del bien, y su afectación, e incluso, la afectación que puedan tener los recursos que se generen con la explotación del bien. </w:t>
      </w:r>
    </w:p>
    <w:p w14:paraId="2BA7F90E" w14:textId="3FA06D02" w:rsidR="00087046" w:rsidRPr="001B56BF" w:rsidRDefault="00087046" w:rsidP="00AA5C32">
      <w:pPr>
        <w:pStyle w:val="Sinespaciado"/>
        <w:spacing w:line="276" w:lineRule="auto"/>
        <w:ind w:right="49" w:firstLine="708"/>
        <w:jc w:val="both"/>
        <w:rPr>
          <w:rFonts w:ascii="Arial" w:hAnsi="Arial" w:cs="Arial"/>
          <w:bCs/>
          <w:color w:val="000000" w:themeColor="text1"/>
          <w:sz w:val="22"/>
          <w:lang w:val="es-ES"/>
        </w:rPr>
      </w:pPr>
      <w:r w:rsidRPr="001B56BF">
        <w:rPr>
          <w:rFonts w:ascii="Arial" w:hAnsi="Arial" w:cs="Arial"/>
          <w:bCs/>
          <w:color w:val="000000" w:themeColor="text1"/>
          <w:sz w:val="22"/>
          <w:lang w:val="es-ES"/>
        </w:rPr>
        <w:t>Este marco analítico es fundamental</w:t>
      </w:r>
      <w:r w:rsidR="006C77D2" w:rsidRPr="001B56BF">
        <w:rPr>
          <w:rFonts w:ascii="Arial" w:hAnsi="Arial" w:cs="Arial"/>
          <w:bCs/>
          <w:color w:val="000000" w:themeColor="text1"/>
          <w:sz w:val="22"/>
          <w:lang w:val="es-ES"/>
        </w:rPr>
        <w:t>,</w:t>
      </w:r>
      <w:r w:rsidRPr="001B56BF">
        <w:rPr>
          <w:rFonts w:ascii="Arial" w:hAnsi="Arial" w:cs="Arial"/>
          <w:bCs/>
          <w:color w:val="000000" w:themeColor="text1"/>
          <w:sz w:val="22"/>
          <w:lang w:val="es-ES"/>
        </w:rPr>
        <w:t xml:space="preserve"> pues permite entender los mecanismos de gestión de los bienes públicos, y con base en él puede estudiarse el contenido del artículo 167 de la Ley 1955 de 2019. Este artículo prescribe:  </w:t>
      </w:r>
    </w:p>
    <w:p w14:paraId="190CA1A9" w14:textId="77777777" w:rsidR="00087046" w:rsidRPr="001B56BF" w:rsidRDefault="00087046" w:rsidP="00087046">
      <w:pPr>
        <w:pStyle w:val="Sinespaciado"/>
        <w:ind w:left="709" w:right="758"/>
        <w:jc w:val="both"/>
        <w:rPr>
          <w:rFonts w:ascii="Arial" w:hAnsi="Arial" w:cs="Arial"/>
          <w:bCs/>
          <w:color w:val="000000" w:themeColor="text1"/>
          <w:sz w:val="21"/>
          <w:szCs w:val="21"/>
          <w:lang w:val="es-ES"/>
        </w:rPr>
      </w:pPr>
    </w:p>
    <w:p w14:paraId="4DDC21D5" w14:textId="14A2A1EB" w:rsidR="00087046" w:rsidRPr="001B56BF" w:rsidRDefault="00087046" w:rsidP="00087046">
      <w:pPr>
        <w:pStyle w:val="Sinespaciado"/>
        <w:ind w:left="709" w:right="758"/>
        <w:jc w:val="both"/>
        <w:rPr>
          <w:rFonts w:ascii="Arial" w:hAnsi="Arial" w:cs="Arial"/>
          <w:bCs/>
          <w:color w:val="000000" w:themeColor="text1"/>
          <w:sz w:val="21"/>
          <w:szCs w:val="21"/>
          <w:lang w:val="es-ES"/>
        </w:rPr>
      </w:pPr>
      <w:r w:rsidRPr="001B56BF">
        <w:rPr>
          <w:rFonts w:ascii="Arial" w:hAnsi="Arial" w:cs="Arial"/>
          <w:bCs/>
          <w:color w:val="000000" w:themeColor="text1"/>
          <w:sz w:val="21"/>
          <w:szCs w:val="21"/>
          <w:lang w:val="es-ES"/>
        </w:rPr>
        <w:t>ARTÍCULO 167. BIENES INTANGIBLES O DERECHOS DE PROPIEDAD INTELECTUAL DE LAS ENTIDADES PÚBLICAS. La entidad pública que sea titular de bienes intangibles y derechos de propiedad intelectual podrá negociar su explotación comercial.</w:t>
      </w:r>
    </w:p>
    <w:p w14:paraId="3E2A7FD3" w14:textId="77777777" w:rsidR="00087046" w:rsidRPr="001B56BF" w:rsidRDefault="00087046" w:rsidP="00087046">
      <w:pPr>
        <w:pStyle w:val="Sinespaciado"/>
        <w:ind w:left="709" w:right="758"/>
        <w:jc w:val="both"/>
        <w:rPr>
          <w:rFonts w:ascii="Arial" w:hAnsi="Arial" w:cs="Arial"/>
          <w:bCs/>
          <w:color w:val="000000" w:themeColor="text1"/>
          <w:sz w:val="21"/>
          <w:szCs w:val="21"/>
          <w:lang w:val="es-ES"/>
        </w:rPr>
      </w:pPr>
    </w:p>
    <w:p w14:paraId="63AD1CD1" w14:textId="7F76981E" w:rsidR="00087046" w:rsidRPr="001B56BF" w:rsidRDefault="00087046" w:rsidP="00087046">
      <w:pPr>
        <w:pStyle w:val="Sinespaciado"/>
        <w:ind w:left="709" w:right="758"/>
        <w:jc w:val="both"/>
        <w:rPr>
          <w:rFonts w:ascii="Arial" w:hAnsi="Arial" w:cs="Arial"/>
          <w:bCs/>
          <w:color w:val="000000" w:themeColor="text1"/>
          <w:sz w:val="21"/>
          <w:szCs w:val="21"/>
          <w:lang w:val="es-ES"/>
        </w:rPr>
      </w:pPr>
      <w:r w:rsidRPr="001B56BF">
        <w:rPr>
          <w:rFonts w:ascii="Arial" w:hAnsi="Arial" w:cs="Arial"/>
          <w:bCs/>
          <w:color w:val="000000" w:themeColor="text1"/>
          <w:sz w:val="21"/>
          <w:szCs w:val="21"/>
          <w:lang w:val="es-ES"/>
        </w:rPr>
        <w:t xml:space="preserve">Los beneficios o regalías que se generen de la explotación comercial del bien intangible o derecho de propiedad intelectual de titularidad de la entidad </w:t>
      </w:r>
      <w:proofErr w:type="gramStart"/>
      <w:r w:rsidRPr="001B56BF">
        <w:rPr>
          <w:rFonts w:ascii="Arial" w:hAnsi="Arial" w:cs="Arial"/>
          <w:bCs/>
          <w:color w:val="000000" w:themeColor="text1"/>
          <w:sz w:val="21"/>
          <w:szCs w:val="21"/>
          <w:lang w:val="es-ES"/>
        </w:rPr>
        <w:t>pública,</w:t>
      </w:r>
      <w:proofErr w:type="gramEnd"/>
      <w:r w:rsidRPr="001B56BF">
        <w:rPr>
          <w:rFonts w:ascii="Arial" w:hAnsi="Arial" w:cs="Arial"/>
          <w:bCs/>
          <w:color w:val="000000" w:themeColor="text1"/>
          <w:sz w:val="21"/>
          <w:szCs w:val="21"/>
          <w:lang w:val="es-ES"/>
        </w:rPr>
        <w:t xml:space="preserve"> deberán ser destinados para el apoyo e inversión a los programas, proyectos, actividades e iniciativas de ciencia, tecnología e innovación de la entidad pública. Para lo anterior, la entidad pública podrá suscribir convenios de ejecución con fondos o fiducias que garanticen dicha destinación.</w:t>
      </w:r>
    </w:p>
    <w:p w14:paraId="03B6A845" w14:textId="77777777" w:rsidR="00087046" w:rsidRPr="001B56BF" w:rsidRDefault="00087046" w:rsidP="00087046">
      <w:pPr>
        <w:pStyle w:val="Sinespaciado"/>
        <w:ind w:left="709" w:right="758"/>
        <w:jc w:val="both"/>
        <w:rPr>
          <w:rFonts w:ascii="Arial" w:hAnsi="Arial" w:cs="Arial"/>
          <w:bCs/>
          <w:color w:val="000000" w:themeColor="text1"/>
          <w:sz w:val="21"/>
          <w:szCs w:val="21"/>
          <w:lang w:val="es-ES"/>
        </w:rPr>
      </w:pPr>
    </w:p>
    <w:p w14:paraId="5246DFD7" w14:textId="4CD11B2C" w:rsidR="00087046" w:rsidRPr="001B56BF" w:rsidRDefault="00087046" w:rsidP="00087046">
      <w:pPr>
        <w:pStyle w:val="Sinespaciado"/>
        <w:ind w:left="709" w:right="758"/>
        <w:jc w:val="both"/>
        <w:rPr>
          <w:rFonts w:ascii="Arial" w:hAnsi="Arial" w:cs="Arial"/>
          <w:bCs/>
          <w:color w:val="000000" w:themeColor="text1"/>
          <w:sz w:val="21"/>
          <w:szCs w:val="21"/>
          <w:lang w:val="es-ES"/>
        </w:rPr>
      </w:pPr>
      <w:r w:rsidRPr="001B56BF">
        <w:rPr>
          <w:rFonts w:ascii="Arial" w:hAnsi="Arial" w:cs="Arial"/>
          <w:bCs/>
          <w:color w:val="000000" w:themeColor="text1"/>
          <w:sz w:val="21"/>
          <w:szCs w:val="21"/>
          <w:lang w:val="es-ES"/>
        </w:rPr>
        <w:t>Para aquellas entidades públicas que no desarrollen o ejecuten programas, proyectos, actividades e iniciativas de ciencia, tecnología e innovación, los beneficios o regalías que genere la explotación comercial de sus bienes intangibles o propiedad intelectual, deberá ser destinada a la promoción de industrias creativas de conformidad con el artículo 2o de la Ley 1834 de 2017.</w:t>
      </w:r>
    </w:p>
    <w:p w14:paraId="0D0C4A31" w14:textId="77777777" w:rsidR="00087046" w:rsidRPr="001B56BF" w:rsidRDefault="00087046" w:rsidP="00087046">
      <w:pPr>
        <w:pStyle w:val="Sinespaciado"/>
        <w:ind w:left="709" w:right="758"/>
        <w:jc w:val="both"/>
        <w:rPr>
          <w:rFonts w:ascii="Arial" w:hAnsi="Arial" w:cs="Arial"/>
          <w:bCs/>
          <w:color w:val="000000" w:themeColor="text1"/>
          <w:sz w:val="21"/>
          <w:szCs w:val="21"/>
          <w:lang w:val="es-ES"/>
        </w:rPr>
      </w:pPr>
    </w:p>
    <w:p w14:paraId="0B18D5D3" w14:textId="757921D8" w:rsidR="00AA5C32" w:rsidRPr="001B56BF" w:rsidRDefault="00AA5C32" w:rsidP="0071436A">
      <w:pPr>
        <w:pStyle w:val="Sinespaciado"/>
        <w:spacing w:after="120" w:line="276" w:lineRule="auto"/>
        <w:ind w:firstLine="709"/>
        <w:jc w:val="both"/>
        <w:rPr>
          <w:rFonts w:ascii="Arial" w:hAnsi="Arial" w:cs="Arial"/>
          <w:bCs/>
          <w:color w:val="000000" w:themeColor="text1"/>
          <w:sz w:val="22"/>
          <w:lang w:val="es-ES"/>
        </w:rPr>
      </w:pPr>
      <w:r w:rsidRPr="001B56BF">
        <w:rPr>
          <w:rFonts w:ascii="Arial" w:hAnsi="Arial" w:cs="Arial"/>
          <w:bCs/>
          <w:color w:val="000000" w:themeColor="text1"/>
          <w:sz w:val="22"/>
          <w:lang w:val="es-ES"/>
        </w:rPr>
        <w:t>La disposición transcrita, desde la perspectiva de la naturaleza del titular del bien</w:t>
      </w:r>
      <w:r w:rsidR="008B5B58" w:rsidRPr="001B56BF">
        <w:rPr>
          <w:rFonts w:ascii="Arial" w:hAnsi="Arial" w:cs="Arial"/>
          <w:bCs/>
          <w:color w:val="000000" w:themeColor="text1"/>
          <w:sz w:val="22"/>
          <w:lang w:val="es-ES"/>
        </w:rPr>
        <w:t>,</w:t>
      </w:r>
      <w:r w:rsidRPr="001B56BF">
        <w:rPr>
          <w:rFonts w:ascii="Arial" w:hAnsi="Arial" w:cs="Arial"/>
          <w:bCs/>
          <w:color w:val="000000" w:themeColor="text1"/>
          <w:sz w:val="22"/>
          <w:lang w:val="es-ES"/>
        </w:rPr>
        <w:t xml:space="preserve"> solamente se refiere a bienes de titularidad pública. En relación con las características del bien, la norma establece un ámbito de aplicación exclusivamente restringido a los bienes intangibles, esto es, los derechos de propiedad intelectual de las entidades públicas. En tercer lugar, desde la perspectiva de la afectación, la norma no establece una afectación jurídica que pese sobre el bien, pero sí prevé una destinación específica para los recursos recaudados –«deberán ser destinados para el apoyo e inversión a los programas, proyectos, actividades e iniciativas de ciencia, tecnología e innovación de la entidad pública»–. </w:t>
      </w:r>
    </w:p>
    <w:p w14:paraId="481D463F" w14:textId="5761E6FC" w:rsidR="00AA5C32" w:rsidRPr="001B56BF" w:rsidRDefault="0013522A" w:rsidP="0071436A">
      <w:pPr>
        <w:pStyle w:val="Sinespaciado"/>
        <w:spacing w:after="120" w:line="276" w:lineRule="auto"/>
        <w:ind w:firstLine="709"/>
        <w:jc w:val="both"/>
        <w:rPr>
          <w:rFonts w:ascii="Arial" w:hAnsi="Arial" w:cs="Arial"/>
          <w:bCs/>
          <w:color w:val="000000" w:themeColor="text1"/>
          <w:sz w:val="22"/>
          <w:lang w:val="es-ES"/>
        </w:rPr>
      </w:pPr>
      <w:r w:rsidRPr="001B56BF">
        <w:rPr>
          <w:rFonts w:ascii="Arial" w:hAnsi="Arial" w:cs="Arial"/>
          <w:bCs/>
          <w:color w:val="000000" w:themeColor="text1"/>
          <w:sz w:val="22"/>
          <w:lang w:val="es-ES"/>
        </w:rPr>
        <w:t xml:space="preserve">Estas tres características </w:t>
      </w:r>
      <w:r w:rsidRPr="00EE6B33">
        <w:rPr>
          <w:rFonts w:ascii="Arial" w:hAnsi="Arial" w:cs="Arial"/>
          <w:bCs/>
          <w:color w:val="000000" w:themeColor="text1"/>
          <w:sz w:val="22"/>
          <w:lang w:val="es-ES"/>
        </w:rPr>
        <w:t>permiten</w:t>
      </w:r>
      <w:r w:rsidRPr="001B56BF">
        <w:rPr>
          <w:rFonts w:ascii="Arial" w:hAnsi="Arial" w:cs="Arial"/>
          <w:bCs/>
          <w:color w:val="000000" w:themeColor="text1"/>
          <w:sz w:val="22"/>
          <w:lang w:val="es-ES"/>
        </w:rPr>
        <w:t xml:space="preserve"> determinar el régimen y los medios jurídicos </w:t>
      </w:r>
      <w:r w:rsidR="007A4001">
        <w:rPr>
          <w:rFonts w:ascii="Arial" w:hAnsi="Arial" w:cs="Arial"/>
          <w:bCs/>
          <w:color w:val="000000" w:themeColor="text1"/>
          <w:sz w:val="22"/>
          <w:lang w:val="es-ES"/>
        </w:rPr>
        <w:t>previstos</w:t>
      </w:r>
      <w:r w:rsidR="007A4001" w:rsidRPr="001B56BF">
        <w:rPr>
          <w:rFonts w:ascii="Arial" w:hAnsi="Arial" w:cs="Arial"/>
          <w:bCs/>
          <w:color w:val="000000" w:themeColor="text1"/>
          <w:sz w:val="22"/>
          <w:lang w:val="es-ES"/>
        </w:rPr>
        <w:t xml:space="preserve"> </w:t>
      </w:r>
      <w:r w:rsidRPr="001B56BF">
        <w:rPr>
          <w:rFonts w:ascii="Arial" w:hAnsi="Arial" w:cs="Arial"/>
          <w:bCs/>
          <w:color w:val="000000" w:themeColor="text1"/>
          <w:sz w:val="22"/>
          <w:lang w:val="es-ES"/>
        </w:rPr>
        <w:t xml:space="preserve">por el ordenamiento para la explotación de este tipo de bienes. </w:t>
      </w:r>
    </w:p>
    <w:p w14:paraId="7359FB98" w14:textId="43145D05" w:rsidR="0013522A" w:rsidRPr="001B56BF" w:rsidRDefault="0013522A" w:rsidP="0071436A">
      <w:pPr>
        <w:pStyle w:val="Sinespaciado"/>
        <w:spacing w:after="120" w:line="276" w:lineRule="auto"/>
        <w:ind w:firstLine="709"/>
        <w:jc w:val="both"/>
        <w:rPr>
          <w:rFonts w:ascii="Arial" w:hAnsi="Arial" w:cs="Arial"/>
          <w:bCs/>
          <w:color w:val="000000" w:themeColor="text1"/>
          <w:sz w:val="22"/>
          <w:lang w:val="es-ES"/>
        </w:rPr>
      </w:pPr>
      <w:r w:rsidRPr="001B56BF">
        <w:rPr>
          <w:rFonts w:ascii="Arial" w:hAnsi="Arial" w:cs="Arial"/>
          <w:bCs/>
          <w:color w:val="000000" w:themeColor="text1"/>
          <w:sz w:val="22"/>
          <w:lang w:val="es-ES"/>
        </w:rPr>
        <w:t xml:space="preserve">De la naturaleza pública de los titulares del bien se derivan varias consecuencias. La primera, y quizás la más importante, es que la explotación comercial de los bienes debe observar los principios de la función administrativa contenidos en el artículo 209 superior. En consecuencia «la gestión de los bienes públicos debe ser </w:t>
      </w:r>
      <w:r w:rsidRPr="001B56BF">
        <w:rPr>
          <w:rFonts w:ascii="Arial" w:hAnsi="Arial" w:cs="Arial"/>
          <w:bCs/>
          <w:i/>
          <w:iCs/>
          <w:color w:val="000000" w:themeColor="text1"/>
          <w:sz w:val="22"/>
          <w:lang w:val="es-ES"/>
        </w:rPr>
        <w:t xml:space="preserve">eficaz, eficiente y célere. </w:t>
      </w:r>
      <w:r w:rsidRPr="001B56BF">
        <w:rPr>
          <w:rFonts w:ascii="Arial" w:hAnsi="Arial" w:cs="Arial"/>
          <w:bCs/>
          <w:color w:val="000000" w:themeColor="text1"/>
          <w:sz w:val="22"/>
          <w:lang w:val="es-ES"/>
        </w:rPr>
        <w:t xml:space="preserve">Esto implica que todos los medios puestos a disposición de la Administración deben ser </w:t>
      </w:r>
      <w:r w:rsidRPr="001B56BF">
        <w:rPr>
          <w:rFonts w:ascii="Arial" w:hAnsi="Arial" w:cs="Arial"/>
          <w:bCs/>
          <w:color w:val="000000" w:themeColor="text1"/>
          <w:sz w:val="22"/>
          <w:lang w:val="es-ES"/>
        </w:rPr>
        <w:lastRenderedPageBreak/>
        <w:t>utilizados según una relación costo beneficio teniendo en consideración las riquezas sociales y económicas que esos bienes pueden producir»</w:t>
      </w:r>
      <w:r w:rsidRPr="001B56BF">
        <w:rPr>
          <w:rStyle w:val="Refdenotaalpie"/>
          <w:rFonts w:ascii="Arial" w:hAnsi="Arial" w:cs="Arial"/>
          <w:bCs/>
          <w:color w:val="000000" w:themeColor="text1"/>
          <w:sz w:val="22"/>
          <w:lang w:val="es-ES"/>
        </w:rPr>
        <w:footnoteReference w:id="7"/>
      </w:r>
      <w:r w:rsidRPr="001B56BF">
        <w:rPr>
          <w:rFonts w:ascii="Arial" w:hAnsi="Arial" w:cs="Arial"/>
          <w:bCs/>
          <w:color w:val="000000" w:themeColor="text1"/>
          <w:sz w:val="22"/>
          <w:lang w:val="es-ES"/>
        </w:rPr>
        <w:t xml:space="preserve">.  </w:t>
      </w:r>
    </w:p>
    <w:p w14:paraId="4598CA0B" w14:textId="1487EF9C" w:rsidR="0013522A" w:rsidRPr="001B56BF" w:rsidRDefault="0013522A" w:rsidP="0071436A">
      <w:pPr>
        <w:pStyle w:val="Sinespaciado"/>
        <w:spacing w:after="120" w:line="276" w:lineRule="auto"/>
        <w:ind w:firstLine="709"/>
        <w:jc w:val="both"/>
        <w:rPr>
          <w:rFonts w:ascii="Arial" w:hAnsi="Arial" w:cs="Arial"/>
          <w:bCs/>
          <w:color w:val="000000" w:themeColor="text1"/>
          <w:sz w:val="22"/>
          <w:lang w:val="es-ES"/>
        </w:rPr>
      </w:pPr>
      <w:r w:rsidRPr="001B56BF">
        <w:rPr>
          <w:rFonts w:ascii="Arial" w:hAnsi="Arial" w:cs="Arial"/>
          <w:bCs/>
          <w:color w:val="000000" w:themeColor="text1"/>
          <w:sz w:val="22"/>
          <w:lang w:val="es-ES"/>
        </w:rPr>
        <w:t>La segunda consecuencia de la naturaleza pública de los titulares, que atiende de manera más directa</w:t>
      </w:r>
      <w:r w:rsidR="00D07766" w:rsidRPr="001B56BF">
        <w:rPr>
          <w:rFonts w:ascii="Arial" w:hAnsi="Arial" w:cs="Arial"/>
          <w:bCs/>
          <w:color w:val="000000" w:themeColor="text1"/>
          <w:sz w:val="22"/>
          <w:lang w:val="es-ES"/>
        </w:rPr>
        <w:t xml:space="preserve"> su consulta, es que la explotación del bien debe seguir las normas de derecho público imperativo aplicables al titular del bien. Ello incluye el deber de aplicar los </w:t>
      </w:r>
      <w:r w:rsidR="00D07766" w:rsidRPr="001B56BF">
        <w:rPr>
          <w:rFonts w:ascii="Arial" w:hAnsi="Arial" w:cs="Arial"/>
          <w:bCs/>
          <w:i/>
          <w:iCs/>
          <w:color w:val="000000" w:themeColor="text1"/>
          <w:sz w:val="22"/>
          <w:lang w:val="es-ES"/>
        </w:rPr>
        <w:t xml:space="preserve">procedimientos públicos </w:t>
      </w:r>
      <w:r w:rsidR="00D07766" w:rsidRPr="001B56BF">
        <w:rPr>
          <w:rFonts w:ascii="Arial" w:hAnsi="Arial" w:cs="Arial"/>
          <w:bCs/>
          <w:color w:val="000000" w:themeColor="text1"/>
          <w:sz w:val="22"/>
          <w:lang w:val="es-ES"/>
        </w:rPr>
        <w:t>para el otorgamiento de actos o contratos que permitan a terceros la explotación de bienes públicos</w:t>
      </w:r>
      <w:r w:rsidR="00D07766" w:rsidRPr="001B56BF">
        <w:rPr>
          <w:rStyle w:val="Refdenotaalpie"/>
          <w:rFonts w:ascii="Arial" w:hAnsi="Arial" w:cs="Arial"/>
          <w:bCs/>
          <w:color w:val="000000" w:themeColor="text1"/>
          <w:sz w:val="22"/>
          <w:lang w:val="es-ES"/>
        </w:rPr>
        <w:footnoteReference w:id="8"/>
      </w:r>
      <w:r w:rsidR="00D07766" w:rsidRPr="001B56BF">
        <w:rPr>
          <w:rFonts w:ascii="Arial" w:hAnsi="Arial" w:cs="Arial"/>
          <w:bCs/>
          <w:color w:val="000000" w:themeColor="text1"/>
          <w:sz w:val="22"/>
          <w:lang w:val="es-ES"/>
        </w:rPr>
        <w:t>.</w:t>
      </w:r>
    </w:p>
    <w:p w14:paraId="3DFFEF17" w14:textId="5825846C" w:rsidR="00D07766" w:rsidRPr="001B56BF" w:rsidRDefault="00D07766" w:rsidP="0071436A">
      <w:pPr>
        <w:pStyle w:val="Sinespaciado"/>
        <w:spacing w:after="120" w:line="276" w:lineRule="auto"/>
        <w:ind w:firstLine="709"/>
        <w:jc w:val="both"/>
        <w:rPr>
          <w:rFonts w:ascii="Arial" w:hAnsi="Arial" w:cs="Arial"/>
          <w:bCs/>
          <w:color w:val="000000" w:themeColor="text1"/>
          <w:sz w:val="22"/>
          <w:lang w:val="es-ES"/>
        </w:rPr>
      </w:pPr>
      <w:r w:rsidRPr="001B56BF">
        <w:rPr>
          <w:rFonts w:ascii="Arial" w:hAnsi="Arial" w:cs="Arial"/>
          <w:bCs/>
          <w:color w:val="000000" w:themeColor="text1"/>
          <w:sz w:val="22"/>
          <w:lang w:val="es-ES"/>
        </w:rPr>
        <w:t xml:space="preserve">Con ello se pone de presente que el ordenamiento nacional reconoce una plétora de mecanismos de gestión de bienes públicos que incluye la gestión y explotación a través de actos administrativos y a través de contratos. Sin embargo, en virtud de las competencias asignadas a la Agencia Nacional de Contratación Pública – Colombia Compra Eficiente, este concepto solamente se referirá a la gestión contractual de los bienes públicos. </w:t>
      </w:r>
    </w:p>
    <w:p w14:paraId="3138B0E7" w14:textId="7F4164E6" w:rsidR="0085442E" w:rsidRPr="001B56BF" w:rsidRDefault="00D07766" w:rsidP="0085442E">
      <w:pPr>
        <w:pStyle w:val="Sinespaciado"/>
        <w:spacing w:after="120" w:line="276" w:lineRule="auto"/>
        <w:ind w:firstLine="709"/>
        <w:jc w:val="both"/>
        <w:rPr>
          <w:rFonts w:ascii="Arial" w:hAnsi="Arial" w:cs="Arial"/>
          <w:bCs/>
          <w:color w:val="000000" w:themeColor="text1"/>
          <w:sz w:val="22"/>
          <w:lang w:val="es-ES"/>
        </w:rPr>
      </w:pPr>
      <w:r w:rsidRPr="001B56BF">
        <w:rPr>
          <w:rFonts w:ascii="Arial" w:hAnsi="Arial" w:cs="Arial"/>
          <w:bCs/>
          <w:color w:val="000000" w:themeColor="text1"/>
          <w:sz w:val="22"/>
          <w:lang w:val="es-ES"/>
        </w:rPr>
        <w:t xml:space="preserve">En el marco preciso de la contratación estatal, la primera labor que debe realizarse es identificar el régimen contractual aplicable al objeto y a la entidad contratante. </w:t>
      </w:r>
      <w:r w:rsidR="0085442E" w:rsidRPr="001B56BF">
        <w:rPr>
          <w:rFonts w:ascii="Arial" w:hAnsi="Arial" w:cs="Arial"/>
          <w:bCs/>
          <w:color w:val="000000" w:themeColor="text1"/>
          <w:sz w:val="22"/>
          <w:lang w:val="es-ES"/>
        </w:rPr>
        <w:t xml:space="preserve">Es decir, si se trata de un contrato estatal propiamente dicho, sometido al </w:t>
      </w:r>
      <w:r w:rsidR="00D66DB0" w:rsidRPr="001B56BF">
        <w:rPr>
          <w:rFonts w:ascii="Arial" w:hAnsi="Arial" w:cs="Arial"/>
          <w:bCs/>
          <w:color w:val="000000" w:themeColor="text1"/>
          <w:sz w:val="22"/>
          <w:lang w:val="es-ES"/>
        </w:rPr>
        <w:t>Estatuto</w:t>
      </w:r>
      <w:r w:rsidR="0085442E" w:rsidRPr="001B56BF">
        <w:rPr>
          <w:rFonts w:ascii="Arial" w:hAnsi="Arial" w:cs="Arial"/>
          <w:bCs/>
          <w:color w:val="000000" w:themeColor="text1"/>
          <w:sz w:val="22"/>
          <w:lang w:val="es-ES"/>
        </w:rPr>
        <w:t xml:space="preserve"> General de Contratación de la Administración Pública, o si se trata de un Contrato Estatal especial, sometido a</w:t>
      </w:r>
      <w:r w:rsidR="00BC06A1" w:rsidRPr="001B56BF">
        <w:rPr>
          <w:rFonts w:ascii="Arial" w:hAnsi="Arial" w:cs="Arial"/>
          <w:bCs/>
          <w:color w:val="000000" w:themeColor="text1"/>
          <w:sz w:val="22"/>
          <w:lang w:val="es-ES"/>
        </w:rPr>
        <w:t>l</w:t>
      </w:r>
      <w:r w:rsidR="0085442E" w:rsidRPr="001B56BF">
        <w:rPr>
          <w:rFonts w:ascii="Arial" w:hAnsi="Arial" w:cs="Arial"/>
          <w:bCs/>
          <w:color w:val="000000" w:themeColor="text1"/>
          <w:sz w:val="22"/>
          <w:lang w:val="es-ES"/>
        </w:rPr>
        <w:t xml:space="preserve"> derecho privado y </w:t>
      </w:r>
      <w:r w:rsidR="00BC06A1" w:rsidRPr="001B56BF">
        <w:rPr>
          <w:rFonts w:ascii="Arial" w:hAnsi="Arial" w:cs="Arial"/>
          <w:bCs/>
          <w:color w:val="000000" w:themeColor="text1"/>
          <w:sz w:val="22"/>
          <w:lang w:val="es-ES"/>
        </w:rPr>
        <w:t xml:space="preserve">a la </w:t>
      </w:r>
      <w:r w:rsidR="0085442E" w:rsidRPr="001B56BF">
        <w:rPr>
          <w:rFonts w:ascii="Arial" w:hAnsi="Arial" w:cs="Arial"/>
          <w:bCs/>
          <w:color w:val="000000" w:themeColor="text1"/>
          <w:sz w:val="22"/>
          <w:lang w:val="es-ES"/>
        </w:rPr>
        <w:t>observancia de los principios de la función administrativa y la gestión fiscal</w:t>
      </w:r>
      <w:r w:rsidR="00BC06A1" w:rsidRPr="001B56BF">
        <w:rPr>
          <w:rFonts w:ascii="Arial" w:hAnsi="Arial" w:cs="Arial"/>
          <w:bCs/>
          <w:color w:val="000000" w:themeColor="text1"/>
          <w:sz w:val="22"/>
          <w:lang w:val="es-ES"/>
        </w:rPr>
        <w:t>, así como al régimen de inhabilidades e incompatibilidades</w:t>
      </w:r>
      <w:r w:rsidR="0085442E" w:rsidRPr="001B56BF">
        <w:rPr>
          <w:rFonts w:ascii="Arial" w:hAnsi="Arial" w:cs="Arial"/>
          <w:bCs/>
          <w:color w:val="000000" w:themeColor="text1"/>
          <w:sz w:val="22"/>
          <w:lang w:val="es-ES"/>
        </w:rPr>
        <w:t xml:space="preserve">. </w:t>
      </w:r>
    </w:p>
    <w:p w14:paraId="0699AC3D" w14:textId="6F8EFD4D" w:rsidR="0085442E" w:rsidRPr="001B56BF" w:rsidRDefault="0085442E" w:rsidP="0085442E">
      <w:pPr>
        <w:spacing w:before="120" w:after="120" w:line="276" w:lineRule="auto"/>
        <w:ind w:firstLine="708"/>
        <w:jc w:val="both"/>
        <w:rPr>
          <w:rFonts w:ascii="Arial" w:eastAsia="Times New Roman" w:hAnsi="Arial" w:cs="Arial"/>
          <w:bCs/>
          <w:sz w:val="22"/>
          <w:szCs w:val="24"/>
          <w:lang w:val="es-ES" w:eastAsia="en-GB"/>
        </w:rPr>
      </w:pPr>
      <w:r w:rsidRPr="001B56BF">
        <w:rPr>
          <w:rFonts w:ascii="Arial" w:eastAsia="Times New Roman" w:hAnsi="Arial" w:cs="Arial"/>
          <w:bCs/>
          <w:sz w:val="22"/>
          <w:szCs w:val="24"/>
          <w:lang w:val="es-ES" w:eastAsia="en-GB"/>
        </w:rPr>
        <w:t xml:space="preserve">En el ordenamiento jurídico colombiano cuando se piensa en los regímenes especiales de contratación, por regla general se hace referencia al régimen de determinadas entidades estatales. Tal sería el caso de las empresas de servicios públicos domiciliarios, de conformidad con el artículo 31 de la Ley 142 de 1994, de las entidades indicadas en el artículo 14 de la Ley 1150 de 2007, y de las universidades estatales u oficiales, según el artículo 93 de la Ley 30 de 1993. Esta afirmación, sin embargo, no pretende desconocer que dicho régimen especial se otorga justamente en consideración al especial tipo de actividades desplegadas por estas entidades. </w:t>
      </w:r>
    </w:p>
    <w:p w14:paraId="145B6154" w14:textId="00C6EB46" w:rsidR="0013522A" w:rsidRPr="001B56BF" w:rsidRDefault="0085442E" w:rsidP="0085442E">
      <w:pPr>
        <w:spacing w:after="120" w:line="276" w:lineRule="auto"/>
        <w:ind w:firstLine="709"/>
        <w:jc w:val="both"/>
        <w:rPr>
          <w:rFonts w:ascii="Arial" w:eastAsia="Times New Roman" w:hAnsi="Arial" w:cs="Arial"/>
          <w:bCs/>
          <w:sz w:val="22"/>
          <w:szCs w:val="24"/>
          <w:lang w:val="es-ES" w:eastAsia="en-GB"/>
        </w:rPr>
      </w:pPr>
      <w:r w:rsidRPr="001B56BF">
        <w:rPr>
          <w:rFonts w:ascii="Arial" w:eastAsia="Times New Roman" w:hAnsi="Arial" w:cs="Arial"/>
          <w:bCs/>
          <w:sz w:val="22"/>
          <w:szCs w:val="24"/>
          <w:lang w:val="es-ES" w:eastAsia="en-GB"/>
        </w:rPr>
        <w:t xml:space="preserve">Ahora bien, los regímenes especiales en el ordenamiento colombiano no se dan exclusivamente en atención a cierto tipo de sujetos (EICE, SEM, ESP), sino también para cierto tipo de objetos. Este es el caso del régimen jurídico establecido en el artículo 66 de la Ley 1523 de 2012, que establece un régimen especial de derecho privado </w:t>
      </w:r>
      <w:proofErr w:type="gramStart"/>
      <w:r w:rsidRPr="001B56BF">
        <w:rPr>
          <w:rFonts w:ascii="Arial" w:eastAsia="Times New Roman" w:hAnsi="Arial" w:cs="Arial"/>
          <w:bCs/>
          <w:sz w:val="22"/>
          <w:szCs w:val="24"/>
          <w:lang w:val="es-ES" w:eastAsia="en-GB"/>
        </w:rPr>
        <w:t>en razón de</w:t>
      </w:r>
      <w:proofErr w:type="gramEnd"/>
      <w:r w:rsidRPr="001B56BF">
        <w:rPr>
          <w:rFonts w:ascii="Arial" w:eastAsia="Times New Roman" w:hAnsi="Arial" w:cs="Arial"/>
          <w:bCs/>
          <w:sz w:val="22"/>
          <w:szCs w:val="24"/>
          <w:lang w:val="es-ES" w:eastAsia="en-GB"/>
        </w:rPr>
        <w:t xml:space="preserve"> la especial consideración que merece el objeto a contratar. Otro ejemplo en este sentido se puede encontrar en el Decreto 544 de 2020 que estableció un régimen de contratación sometido al derecho privado, que no se rige por el Estatuto General de Contratación de la Administración Pública, para los contratos que «tengan por objeto la adquisición en el mercado internacional de los elementos que a continuación se indican». </w:t>
      </w:r>
    </w:p>
    <w:p w14:paraId="01295DC4" w14:textId="02BFDD2D" w:rsidR="0085442E" w:rsidRPr="001B56BF" w:rsidRDefault="0085442E" w:rsidP="0085442E">
      <w:pPr>
        <w:pStyle w:val="Sinespaciado"/>
        <w:spacing w:after="120"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lastRenderedPageBreak/>
        <w:t>L</w:t>
      </w:r>
      <w:r w:rsidR="005D7C26" w:rsidRPr="001B56BF">
        <w:rPr>
          <w:rFonts w:ascii="Arial" w:hAnsi="Arial" w:cs="Arial"/>
          <w:color w:val="000000" w:themeColor="text1"/>
          <w:sz w:val="22"/>
          <w:lang w:val="es-ES"/>
        </w:rPr>
        <w:t>a Ley 1955 de 2019 no cre</w:t>
      </w:r>
      <w:r w:rsidRPr="001B56BF">
        <w:rPr>
          <w:rFonts w:ascii="Arial" w:hAnsi="Arial" w:cs="Arial"/>
          <w:color w:val="000000" w:themeColor="text1"/>
          <w:sz w:val="22"/>
          <w:lang w:val="es-ES"/>
        </w:rPr>
        <w:t>ó</w:t>
      </w:r>
      <w:r w:rsidR="005D7C26" w:rsidRPr="001B56BF">
        <w:rPr>
          <w:rFonts w:ascii="Arial" w:hAnsi="Arial" w:cs="Arial"/>
          <w:color w:val="000000" w:themeColor="text1"/>
          <w:sz w:val="22"/>
          <w:lang w:val="es-ES"/>
        </w:rPr>
        <w:t xml:space="preserve"> un régimen </w:t>
      </w:r>
      <w:r w:rsidRPr="001B56BF">
        <w:rPr>
          <w:rFonts w:ascii="Arial" w:hAnsi="Arial" w:cs="Arial"/>
          <w:color w:val="000000" w:themeColor="text1"/>
          <w:sz w:val="22"/>
          <w:lang w:val="es-ES"/>
        </w:rPr>
        <w:t>especial</w:t>
      </w:r>
      <w:r w:rsidR="005D7C26" w:rsidRPr="001B56BF">
        <w:rPr>
          <w:rFonts w:ascii="Arial" w:hAnsi="Arial" w:cs="Arial"/>
          <w:color w:val="000000" w:themeColor="text1"/>
          <w:sz w:val="22"/>
          <w:lang w:val="es-ES"/>
        </w:rPr>
        <w:t xml:space="preserve"> de contratación </w:t>
      </w:r>
      <w:r w:rsidRPr="001B56BF">
        <w:rPr>
          <w:rFonts w:ascii="Arial" w:hAnsi="Arial" w:cs="Arial"/>
          <w:color w:val="000000" w:themeColor="text1"/>
          <w:sz w:val="22"/>
          <w:lang w:val="es-ES"/>
        </w:rPr>
        <w:t xml:space="preserve">aplicable a </w:t>
      </w:r>
      <w:r w:rsidR="005D7C26" w:rsidRPr="001B56BF">
        <w:rPr>
          <w:rFonts w:ascii="Arial" w:hAnsi="Arial" w:cs="Arial"/>
          <w:color w:val="000000" w:themeColor="text1"/>
          <w:sz w:val="22"/>
          <w:lang w:val="es-ES"/>
        </w:rPr>
        <w:t xml:space="preserve">todas las entidades estatales </w:t>
      </w:r>
      <w:r w:rsidRPr="001B56BF">
        <w:rPr>
          <w:rFonts w:ascii="Arial" w:hAnsi="Arial" w:cs="Arial"/>
          <w:color w:val="000000" w:themeColor="text1"/>
          <w:sz w:val="22"/>
          <w:lang w:val="es-ES"/>
        </w:rPr>
        <w:t xml:space="preserve">en posición de negociar con bienes intangibles. Por lo tanto, el régimen jurídico de </w:t>
      </w:r>
      <w:r w:rsidR="00F554DC" w:rsidRPr="001B56BF">
        <w:rPr>
          <w:rFonts w:ascii="Arial" w:hAnsi="Arial" w:cs="Arial"/>
          <w:color w:val="000000" w:themeColor="text1"/>
          <w:sz w:val="22"/>
          <w:lang w:val="es-ES"/>
        </w:rPr>
        <w:t xml:space="preserve">la </w:t>
      </w:r>
      <w:r w:rsidRPr="001B56BF">
        <w:rPr>
          <w:rFonts w:ascii="Arial" w:hAnsi="Arial" w:cs="Arial"/>
          <w:color w:val="000000" w:themeColor="text1"/>
          <w:sz w:val="22"/>
          <w:lang w:val="es-ES"/>
        </w:rPr>
        <w:t xml:space="preserve">gestión contractual de los derechos de propiedad intelectual debe definirse atendiendo al </w:t>
      </w:r>
      <w:r w:rsidR="00973517" w:rsidRPr="001B56BF">
        <w:rPr>
          <w:rFonts w:ascii="Arial" w:hAnsi="Arial" w:cs="Arial"/>
          <w:color w:val="000000" w:themeColor="text1"/>
          <w:sz w:val="22"/>
          <w:lang w:val="es-ES"/>
        </w:rPr>
        <w:t>criterio org</w:t>
      </w:r>
      <w:r w:rsidR="002B69A9" w:rsidRPr="001B56BF">
        <w:rPr>
          <w:rFonts w:ascii="Arial" w:hAnsi="Arial" w:cs="Arial"/>
          <w:color w:val="000000" w:themeColor="text1"/>
          <w:sz w:val="22"/>
          <w:lang w:val="es-ES"/>
        </w:rPr>
        <w:t xml:space="preserve">ánico, </w:t>
      </w:r>
      <w:r w:rsidRPr="001B56BF">
        <w:rPr>
          <w:rFonts w:ascii="Arial" w:hAnsi="Arial" w:cs="Arial"/>
          <w:color w:val="000000" w:themeColor="text1"/>
          <w:sz w:val="22"/>
          <w:lang w:val="es-ES"/>
        </w:rPr>
        <w:t xml:space="preserve">esto es, el régimen jurídico contractual aplicable a la persona de derecho público titular de esos bienes. </w:t>
      </w:r>
    </w:p>
    <w:p w14:paraId="26E2A506" w14:textId="0AC8D4D4" w:rsidR="003A1850" w:rsidRPr="001B56BF" w:rsidRDefault="0085442E" w:rsidP="0085442E">
      <w:pPr>
        <w:pStyle w:val="Sinespaciado"/>
        <w:spacing w:after="120"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t>En otras palabras</w:t>
      </w:r>
      <w:r w:rsidR="00973517" w:rsidRPr="001B56BF">
        <w:rPr>
          <w:rFonts w:ascii="Arial" w:hAnsi="Arial" w:cs="Arial"/>
          <w:color w:val="000000" w:themeColor="text1"/>
          <w:sz w:val="22"/>
          <w:lang w:val="es-ES"/>
        </w:rPr>
        <w:t>, si se trata de una entidad a la cual no se le ha dado un tratamiento jurídico preferente, se habrá de aplicar el Estatuto General de Contratación</w:t>
      </w:r>
      <w:r w:rsidRPr="001B56BF">
        <w:rPr>
          <w:rFonts w:ascii="Arial" w:hAnsi="Arial" w:cs="Arial"/>
          <w:color w:val="000000" w:themeColor="text1"/>
          <w:sz w:val="22"/>
          <w:lang w:val="es-ES"/>
        </w:rPr>
        <w:t xml:space="preserve"> de la Administración Pública</w:t>
      </w:r>
      <w:r w:rsidR="00973517" w:rsidRPr="001B56BF">
        <w:rPr>
          <w:rFonts w:ascii="Arial" w:hAnsi="Arial" w:cs="Arial"/>
          <w:color w:val="000000" w:themeColor="text1"/>
          <w:sz w:val="22"/>
          <w:lang w:val="es-ES"/>
        </w:rPr>
        <w:t xml:space="preserve">, pero si, por el contrario, se </w:t>
      </w:r>
      <w:r w:rsidRPr="001B56BF">
        <w:rPr>
          <w:rFonts w:ascii="Arial" w:hAnsi="Arial" w:cs="Arial"/>
          <w:color w:val="000000" w:themeColor="text1"/>
          <w:sz w:val="22"/>
          <w:lang w:val="es-ES"/>
        </w:rPr>
        <w:t>hace referencia</w:t>
      </w:r>
      <w:r w:rsidR="00973517" w:rsidRPr="001B56BF">
        <w:rPr>
          <w:rFonts w:ascii="Arial" w:hAnsi="Arial" w:cs="Arial"/>
          <w:color w:val="000000" w:themeColor="text1"/>
          <w:sz w:val="22"/>
          <w:lang w:val="es-ES"/>
        </w:rPr>
        <w:t xml:space="preserve"> </w:t>
      </w:r>
      <w:r w:rsidRPr="001B56BF">
        <w:rPr>
          <w:rFonts w:ascii="Arial" w:hAnsi="Arial" w:cs="Arial"/>
          <w:color w:val="000000" w:themeColor="text1"/>
          <w:sz w:val="22"/>
          <w:lang w:val="es-ES"/>
        </w:rPr>
        <w:t>a</w:t>
      </w:r>
      <w:r w:rsidR="00973517" w:rsidRPr="001B56BF">
        <w:rPr>
          <w:rFonts w:ascii="Arial" w:hAnsi="Arial" w:cs="Arial"/>
          <w:color w:val="000000" w:themeColor="text1"/>
          <w:sz w:val="22"/>
          <w:lang w:val="es-ES"/>
        </w:rPr>
        <w:t xml:space="preserve"> una entidad regida por las disposiciones de una ley especial, se aplicará lo establecido por el régimen especial</w:t>
      </w:r>
      <w:r w:rsidRPr="001B56BF">
        <w:rPr>
          <w:rFonts w:ascii="Arial" w:hAnsi="Arial" w:cs="Arial"/>
          <w:color w:val="000000" w:themeColor="text1"/>
          <w:sz w:val="22"/>
          <w:lang w:val="es-ES"/>
        </w:rPr>
        <w:t>, que por regla general es el derecho privado matizado por los principios de la función administrativ</w:t>
      </w:r>
      <w:r w:rsidR="00F554DC" w:rsidRPr="001B56BF">
        <w:rPr>
          <w:rFonts w:ascii="Arial" w:hAnsi="Arial" w:cs="Arial"/>
          <w:color w:val="000000" w:themeColor="text1"/>
          <w:sz w:val="22"/>
          <w:lang w:val="es-ES"/>
        </w:rPr>
        <w:t>a</w:t>
      </w:r>
      <w:r w:rsidRPr="001B56BF">
        <w:rPr>
          <w:rFonts w:ascii="Arial" w:hAnsi="Arial" w:cs="Arial"/>
          <w:color w:val="000000" w:themeColor="text1"/>
          <w:sz w:val="22"/>
          <w:lang w:val="es-ES"/>
        </w:rPr>
        <w:t xml:space="preserve">, </w:t>
      </w:r>
      <w:r w:rsidR="004867C1" w:rsidRPr="001B56BF">
        <w:rPr>
          <w:rFonts w:ascii="Arial" w:hAnsi="Arial" w:cs="Arial"/>
          <w:color w:val="000000" w:themeColor="text1"/>
          <w:sz w:val="22"/>
          <w:lang w:val="es-ES"/>
        </w:rPr>
        <w:t xml:space="preserve">los de </w:t>
      </w:r>
      <w:r w:rsidRPr="001B56BF">
        <w:rPr>
          <w:rFonts w:ascii="Arial" w:hAnsi="Arial" w:cs="Arial"/>
          <w:color w:val="000000" w:themeColor="text1"/>
          <w:sz w:val="22"/>
          <w:lang w:val="es-ES"/>
        </w:rPr>
        <w:t xml:space="preserve">la gestión fiscal y las inhabilidades e incompatibilidades, como lo establece el artículo 13 de la Ley 1150 de 2007. </w:t>
      </w:r>
      <w:r w:rsidR="00973517" w:rsidRPr="001B56BF">
        <w:rPr>
          <w:rFonts w:ascii="Arial" w:hAnsi="Arial" w:cs="Arial"/>
          <w:color w:val="000000" w:themeColor="text1"/>
          <w:sz w:val="22"/>
          <w:lang w:val="es-ES"/>
        </w:rPr>
        <w:t xml:space="preserve"> </w:t>
      </w:r>
    </w:p>
    <w:p w14:paraId="1EC0C94E" w14:textId="55997380" w:rsidR="00114788" w:rsidRPr="001B56BF" w:rsidRDefault="0085442E" w:rsidP="00114788">
      <w:pPr>
        <w:pStyle w:val="Sinespaciado"/>
        <w:spacing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t xml:space="preserve">Ahora bien, esta Subdirección no pasa por alto que la estructura </w:t>
      </w:r>
      <w:proofErr w:type="spellStart"/>
      <w:proofErr w:type="gramStart"/>
      <w:r w:rsidRPr="001B56BF">
        <w:rPr>
          <w:rFonts w:ascii="Arial" w:hAnsi="Arial" w:cs="Arial"/>
          <w:color w:val="000000" w:themeColor="text1"/>
          <w:sz w:val="22"/>
          <w:lang w:val="es-ES"/>
        </w:rPr>
        <w:t>pre-contractual</w:t>
      </w:r>
      <w:proofErr w:type="spellEnd"/>
      <w:proofErr w:type="gramEnd"/>
      <w:r w:rsidRPr="001B56BF">
        <w:rPr>
          <w:rFonts w:ascii="Arial" w:hAnsi="Arial" w:cs="Arial"/>
          <w:color w:val="000000" w:themeColor="text1"/>
          <w:sz w:val="22"/>
          <w:lang w:val="es-ES"/>
        </w:rPr>
        <w:t xml:space="preserve"> y contractual de la Ley 80 de 1993 </w:t>
      </w:r>
      <w:r w:rsidR="00152558" w:rsidRPr="001B56BF">
        <w:rPr>
          <w:rFonts w:ascii="Arial" w:hAnsi="Arial" w:cs="Arial"/>
          <w:color w:val="000000" w:themeColor="text1"/>
          <w:sz w:val="22"/>
          <w:lang w:val="es-ES"/>
        </w:rPr>
        <w:t xml:space="preserve">fue </w:t>
      </w:r>
      <w:r w:rsidRPr="001B56BF">
        <w:rPr>
          <w:rFonts w:ascii="Arial" w:hAnsi="Arial" w:cs="Arial"/>
          <w:color w:val="000000" w:themeColor="text1"/>
          <w:sz w:val="22"/>
          <w:lang w:val="es-ES"/>
        </w:rPr>
        <w:t>pensada</w:t>
      </w:r>
      <w:r w:rsidR="00152558" w:rsidRPr="001B56BF">
        <w:rPr>
          <w:rFonts w:ascii="Arial" w:hAnsi="Arial" w:cs="Arial"/>
          <w:color w:val="000000" w:themeColor="text1"/>
          <w:sz w:val="22"/>
          <w:lang w:val="es-ES"/>
        </w:rPr>
        <w:t xml:space="preserve"> primordialmente</w:t>
      </w:r>
      <w:r w:rsidRPr="001B56BF">
        <w:rPr>
          <w:rFonts w:ascii="Arial" w:hAnsi="Arial" w:cs="Arial"/>
          <w:color w:val="000000" w:themeColor="text1"/>
          <w:sz w:val="22"/>
          <w:lang w:val="es-ES"/>
        </w:rPr>
        <w:t xml:space="preserve"> </w:t>
      </w:r>
      <w:r w:rsidR="00114788" w:rsidRPr="001B56BF">
        <w:rPr>
          <w:rFonts w:ascii="Arial" w:hAnsi="Arial" w:cs="Arial"/>
          <w:color w:val="000000" w:themeColor="text1"/>
          <w:sz w:val="22"/>
          <w:lang w:val="es-ES"/>
        </w:rPr>
        <w:t>para l</w:t>
      </w:r>
      <w:r w:rsidR="00114788" w:rsidRPr="00485EB5">
        <w:rPr>
          <w:rFonts w:ascii="Arial" w:hAnsi="Arial" w:cs="Arial"/>
          <w:color w:val="000000" w:themeColor="text1"/>
          <w:sz w:val="22"/>
          <w:lang w:val="es-ES"/>
        </w:rPr>
        <w:t xml:space="preserve">a adquisición de bienes y servicios en el mercado, y no para el caso contrario: cuando las entidades actúan como oferentes de bienes y servicios. En este sentido la doctrina ha dicho: </w:t>
      </w:r>
    </w:p>
    <w:p w14:paraId="0E6AF2AD" w14:textId="77777777" w:rsidR="00114788" w:rsidRPr="001B56BF" w:rsidRDefault="00114788" w:rsidP="00114788">
      <w:pPr>
        <w:pStyle w:val="Sinespaciado"/>
        <w:ind w:left="708" w:right="758" w:firstLine="1"/>
        <w:jc w:val="both"/>
        <w:rPr>
          <w:rFonts w:ascii="Arial" w:hAnsi="Arial" w:cs="Arial"/>
          <w:color w:val="000000" w:themeColor="text1"/>
          <w:sz w:val="21"/>
          <w:szCs w:val="21"/>
          <w:lang w:val="es-ES"/>
        </w:rPr>
      </w:pPr>
    </w:p>
    <w:p w14:paraId="56177EE7" w14:textId="1A5F8AA6" w:rsidR="00114788" w:rsidRPr="00485EB5" w:rsidRDefault="00114788" w:rsidP="00114788">
      <w:pPr>
        <w:pStyle w:val="Sinespaciado"/>
        <w:ind w:left="708" w:right="758" w:firstLine="1"/>
        <w:jc w:val="both"/>
        <w:rPr>
          <w:rFonts w:ascii="Arial" w:hAnsi="Arial" w:cs="Arial"/>
          <w:color w:val="000000" w:themeColor="text1"/>
          <w:sz w:val="21"/>
          <w:szCs w:val="21"/>
          <w:lang w:val="es-ES"/>
        </w:rPr>
      </w:pPr>
      <w:r w:rsidRPr="001B56BF">
        <w:rPr>
          <w:rFonts w:ascii="Arial" w:hAnsi="Arial" w:cs="Arial"/>
          <w:color w:val="000000" w:themeColor="text1"/>
          <w:sz w:val="21"/>
          <w:szCs w:val="21"/>
          <w:lang w:val="es-ES"/>
        </w:rPr>
        <w:t>De manera general, la Ley 80 de 1993 fue construida sobre la base de la Administración que solicita un servicio o un bien de un particular, es decir que la economía de este contrato estatal está fundada sobre la idea de compra pública; en este sentido en el que se debe comprender la condición previa de todo contrato administrativo de emitir e</w:t>
      </w:r>
      <w:r w:rsidR="00610EDF">
        <w:rPr>
          <w:rFonts w:ascii="Arial" w:hAnsi="Arial" w:cs="Arial"/>
          <w:color w:val="000000" w:themeColor="text1"/>
          <w:sz w:val="21"/>
          <w:szCs w:val="21"/>
          <w:lang w:val="es-ES"/>
        </w:rPr>
        <w:t>l</w:t>
      </w:r>
      <w:r w:rsidRPr="001B56BF">
        <w:rPr>
          <w:rFonts w:ascii="Arial" w:hAnsi="Arial" w:cs="Arial"/>
          <w:color w:val="000000" w:themeColor="text1"/>
          <w:sz w:val="21"/>
          <w:szCs w:val="21"/>
          <w:lang w:val="es-ES"/>
        </w:rPr>
        <w:t xml:space="preserve"> certificado de disponibilidad presupuestal, siempre que con el referido negocio jurídico se afecte el presupuesto de la entidad pública</w:t>
      </w:r>
      <w:r w:rsidRPr="001B56BF">
        <w:rPr>
          <w:rStyle w:val="Refdenotaalpie"/>
          <w:rFonts w:ascii="Arial" w:hAnsi="Arial" w:cs="Arial"/>
          <w:color w:val="000000" w:themeColor="text1"/>
          <w:sz w:val="21"/>
          <w:szCs w:val="21"/>
          <w:lang w:val="es-ES"/>
        </w:rPr>
        <w:footnoteReference w:id="9"/>
      </w:r>
      <w:r w:rsidRPr="001B56BF">
        <w:rPr>
          <w:rFonts w:ascii="Arial" w:hAnsi="Arial" w:cs="Arial"/>
          <w:color w:val="000000" w:themeColor="text1"/>
          <w:sz w:val="21"/>
          <w:szCs w:val="21"/>
          <w:lang w:val="es-ES"/>
        </w:rPr>
        <w:t xml:space="preserve">. </w:t>
      </w:r>
    </w:p>
    <w:p w14:paraId="313D88FA" w14:textId="77777777" w:rsidR="00114788" w:rsidRPr="001B56BF" w:rsidRDefault="00114788" w:rsidP="00114788">
      <w:pPr>
        <w:pStyle w:val="Sinespaciado"/>
        <w:ind w:left="708" w:right="758" w:firstLine="1"/>
        <w:jc w:val="both"/>
        <w:rPr>
          <w:rFonts w:ascii="Arial" w:hAnsi="Arial" w:cs="Arial"/>
          <w:color w:val="000000" w:themeColor="text1"/>
          <w:sz w:val="21"/>
          <w:szCs w:val="21"/>
          <w:lang w:val="es-ES"/>
        </w:rPr>
      </w:pPr>
    </w:p>
    <w:p w14:paraId="0B3B0C51" w14:textId="1EC480AE" w:rsidR="00114788" w:rsidRPr="00485EB5" w:rsidRDefault="00114788" w:rsidP="00145637">
      <w:pPr>
        <w:pStyle w:val="Sinespaciado"/>
        <w:spacing w:after="120" w:line="276" w:lineRule="auto"/>
        <w:ind w:firstLine="708"/>
        <w:jc w:val="both"/>
        <w:rPr>
          <w:rFonts w:ascii="Arial" w:hAnsi="Arial" w:cs="Arial"/>
          <w:color w:val="000000" w:themeColor="text1"/>
          <w:sz w:val="22"/>
          <w:lang w:val="es-ES"/>
        </w:rPr>
      </w:pPr>
      <w:r w:rsidRPr="001B56BF">
        <w:rPr>
          <w:rFonts w:ascii="Arial" w:hAnsi="Arial" w:cs="Arial"/>
          <w:color w:val="000000" w:themeColor="text1"/>
          <w:sz w:val="22"/>
          <w:lang w:val="es-ES"/>
        </w:rPr>
        <w:t>A pesar de esta aparente incompatibilidad, lo cierto es que el Estatuto General tiene, desde su diseño, el objetivo de ser un Estatuto Único, con diferencias para ciertos casos puntuales, aplicable a toda la actividad contractual de la Administración</w:t>
      </w:r>
      <w:r w:rsidRPr="001B56BF">
        <w:rPr>
          <w:rStyle w:val="Refdenotaalpie"/>
          <w:rFonts w:ascii="Arial" w:hAnsi="Arial" w:cs="Arial"/>
          <w:color w:val="000000" w:themeColor="text1"/>
          <w:sz w:val="22"/>
          <w:lang w:val="es-ES"/>
        </w:rPr>
        <w:footnoteReference w:id="10"/>
      </w:r>
      <w:r w:rsidRPr="001B56BF">
        <w:rPr>
          <w:rFonts w:ascii="Arial" w:hAnsi="Arial" w:cs="Arial"/>
          <w:color w:val="000000" w:themeColor="text1"/>
          <w:sz w:val="22"/>
          <w:lang w:val="es-ES"/>
        </w:rPr>
        <w:t>.</w:t>
      </w:r>
    </w:p>
    <w:p w14:paraId="0400351D" w14:textId="37480AC5" w:rsidR="00114788" w:rsidRPr="001B56BF" w:rsidRDefault="00114788" w:rsidP="00145637">
      <w:pPr>
        <w:pStyle w:val="Sinespaciado"/>
        <w:spacing w:after="120"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t>Como consecuencia, a pesar de la aparente incompatibilidad que pued</w:t>
      </w:r>
      <w:r w:rsidR="00145637" w:rsidRPr="001B56BF">
        <w:rPr>
          <w:rFonts w:ascii="Arial" w:hAnsi="Arial" w:cs="Arial"/>
          <w:color w:val="000000" w:themeColor="text1"/>
          <w:sz w:val="22"/>
          <w:lang w:val="es-ES"/>
        </w:rPr>
        <w:t>e</w:t>
      </w:r>
      <w:r w:rsidRPr="001B56BF">
        <w:rPr>
          <w:rFonts w:ascii="Arial" w:hAnsi="Arial" w:cs="Arial"/>
          <w:color w:val="000000" w:themeColor="text1"/>
          <w:sz w:val="22"/>
          <w:lang w:val="es-ES"/>
        </w:rPr>
        <w:t xml:space="preserve"> surgir entre, por ejemplo, la estructura de ciertas modalidades de selección y </w:t>
      </w:r>
      <w:r w:rsidR="00145637" w:rsidRPr="001B56BF">
        <w:rPr>
          <w:rFonts w:ascii="Arial" w:hAnsi="Arial" w:cs="Arial"/>
          <w:color w:val="000000" w:themeColor="text1"/>
          <w:sz w:val="22"/>
          <w:lang w:val="es-ES"/>
        </w:rPr>
        <w:t>la explotación de bienes intangibles, el Estatuto debe y puede ser compatibilizado para su uso en esos casos.</w:t>
      </w:r>
    </w:p>
    <w:p w14:paraId="2B3640B5" w14:textId="7AF0CEF6" w:rsidR="00145637" w:rsidRPr="001B56BF" w:rsidRDefault="00A2114B" w:rsidP="00A2114B">
      <w:pPr>
        <w:pStyle w:val="Sinespaciado"/>
        <w:spacing w:after="120"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t>En ese sentido, l</w:t>
      </w:r>
      <w:r w:rsidR="00145637" w:rsidRPr="001B56BF">
        <w:rPr>
          <w:rFonts w:ascii="Arial" w:hAnsi="Arial" w:cs="Arial"/>
          <w:color w:val="000000" w:themeColor="text1"/>
          <w:sz w:val="22"/>
          <w:lang w:val="es-ES"/>
        </w:rPr>
        <w:t xml:space="preserve">a doctrina ha hecho esfuerzos para </w:t>
      </w:r>
      <w:r w:rsidRPr="001B56BF">
        <w:rPr>
          <w:rFonts w:ascii="Arial" w:hAnsi="Arial" w:cs="Arial"/>
          <w:color w:val="000000" w:themeColor="text1"/>
          <w:sz w:val="22"/>
          <w:lang w:val="es-ES"/>
        </w:rPr>
        <w:t>estudiar</w:t>
      </w:r>
      <w:r w:rsidR="00145637" w:rsidRPr="001B56BF">
        <w:rPr>
          <w:rFonts w:ascii="Arial" w:hAnsi="Arial" w:cs="Arial"/>
          <w:color w:val="000000" w:themeColor="text1"/>
          <w:sz w:val="22"/>
          <w:lang w:val="es-ES"/>
        </w:rPr>
        <w:t xml:space="preserve"> dicha compatibilización</w:t>
      </w:r>
      <w:r w:rsidR="00485EB5">
        <w:rPr>
          <w:rFonts w:ascii="Arial" w:hAnsi="Arial" w:cs="Arial"/>
          <w:color w:val="000000" w:themeColor="text1"/>
          <w:sz w:val="22"/>
          <w:lang w:val="es-ES"/>
        </w:rPr>
        <w:t>,</w:t>
      </w:r>
      <w:r w:rsidR="00145637" w:rsidRPr="00485EB5">
        <w:rPr>
          <w:rFonts w:ascii="Arial" w:hAnsi="Arial" w:cs="Arial"/>
          <w:color w:val="000000" w:themeColor="text1"/>
          <w:sz w:val="22"/>
          <w:lang w:val="es-ES"/>
        </w:rPr>
        <w:t xml:space="preserve"> cuando se presenta est</w:t>
      </w:r>
      <w:r w:rsidR="003C5831" w:rsidRPr="00485EB5">
        <w:rPr>
          <w:rFonts w:ascii="Arial" w:hAnsi="Arial" w:cs="Arial"/>
          <w:color w:val="000000" w:themeColor="text1"/>
          <w:sz w:val="22"/>
          <w:lang w:val="es-ES"/>
        </w:rPr>
        <w:t xml:space="preserve">a clase </w:t>
      </w:r>
      <w:r w:rsidRPr="0030144F">
        <w:rPr>
          <w:rFonts w:ascii="Arial" w:hAnsi="Arial" w:cs="Arial"/>
          <w:color w:val="000000" w:themeColor="text1"/>
          <w:sz w:val="22"/>
          <w:lang w:val="es-ES"/>
        </w:rPr>
        <w:t>de</w:t>
      </w:r>
      <w:r w:rsidR="00145637" w:rsidRPr="0030144F">
        <w:rPr>
          <w:rFonts w:ascii="Arial" w:hAnsi="Arial" w:cs="Arial"/>
          <w:color w:val="000000" w:themeColor="text1"/>
          <w:sz w:val="22"/>
          <w:lang w:val="es-ES"/>
        </w:rPr>
        <w:t xml:space="preserve"> retos en la práctica</w:t>
      </w:r>
      <w:r w:rsidRPr="001B56BF">
        <w:rPr>
          <w:rStyle w:val="Refdenotaalpie"/>
          <w:rFonts w:ascii="Arial" w:hAnsi="Arial" w:cs="Arial"/>
          <w:color w:val="000000" w:themeColor="text1"/>
          <w:sz w:val="22"/>
          <w:lang w:val="es-ES"/>
        </w:rPr>
        <w:footnoteReference w:id="11"/>
      </w:r>
      <w:r w:rsidR="00145637" w:rsidRPr="001B56BF">
        <w:rPr>
          <w:rFonts w:ascii="Arial" w:hAnsi="Arial" w:cs="Arial"/>
          <w:color w:val="000000" w:themeColor="text1"/>
          <w:sz w:val="22"/>
          <w:lang w:val="es-ES"/>
        </w:rPr>
        <w:t xml:space="preserve">. No obstante, la </w:t>
      </w:r>
      <w:r w:rsidR="00145637" w:rsidRPr="001B56BF">
        <w:rPr>
          <w:rFonts w:ascii="Arial" w:hAnsi="Arial" w:cs="Arial"/>
          <w:color w:val="000000" w:themeColor="text1"/>
          <w:sz w:val="22"/>
          <w:lang w:val="es-ES"/>
        </w:rPr>
        <w:lastRenderedPageBreak/>
        <w:t>estructuración particula</w:t>
      </w:r>
      <w:r w:rsidR="00145637" w:rsidRPr="00485EB5">
        <w:rPr>
          <w:rFonts w:ascii="Arial" w:hAnsi="Arial" w:cs="Arial"/>
          <w:color w:val="000000" w:themeColor="text1"/>
          <w:sz w:val="22"/>
          <w:lang w:val="es-ES"/>
        </w:rPr>
        <w:t xml:space="preserve">r del procedimiento </w:t>
      </w:r>
      <w:r w:rsidRPr="0030144F">
        <w:rPr>
          <w:rFonts w:ascii="Arial" w:hAnsi="Arial" w:cs="Arial"/>
          <w:color w:val="000000" w:themeColor="text1"/>
          <w:sz w:val="22"/>
          <w:lang w:val="es-ES"/>
        </w:rPr>
        <w:t>de selección</w:t>
      </w:r>
      <w:r w:rsidR="00145637" w:rsidRPr="0030144F">
        <w:rPr>
          <w:rFonts w:ascii="Arial" w:hAnsi="Arial" w:cs="Arial"/>
          <w:color w:val="000000" w:themeColor="text1"/>
          <w:sz w:val="22"/>
          <w:lang w:val="es-ES"/>
        </w:rPr>
        <w:t xml:space="preserve"> no hace parte de l</w:t>
      </w:r>
      <w:r w:rsidRPr="001B56BF">
        <w:rPr>
          <w:rFonts w:ascii="Arial" w:hAnsi="Arial" w:cs="Arial"/>
          <w:color w:val="000000" w:themeColor="text1"/>
          <w:sz w:val="22"/>
          <w:lang w:val="es-ES"/>
        </w:rPr>
        <w:t xml:space="preserve">as funciones y competencias de la Agencia Nacional de Contratación Pública. </w:t>
      </w:r>
    </w:p>
    <w:p w14:paraId="45E90932" w14:textId="3AFF2F05" w:rsidR="005E4609" w:rsidRPr="00FF1FDF" w:rsidRDefault="00A2114B" w:rsidP="00A2114B">
      <w:pPr>
        <w:pStyle w:val="Sinespaciado"/>
        <w:spacing w:after="120"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t xml:space="preserve">En relación con el tipo contractual que debe celebrarse, el Estatuto General de Contratación de la Administración Pública no contiene un tipo contractual especial, de derecho público, a través del cual se deba canalizar la explotación de la propiedad intelectual del Estado.  </w:t>
      </w:r>
      <w:r w:rsidR="005E4609" w:rsidRPr="001B56BF">
        <w:rPr>
          <w:rFonts w:ascii="Arial" w:hAnsi="Arial" w:cs="Arial"/>
          <w:color w:val="000000" w:themeColor="text1"/>
          <w:sz w:val="22"/>
          <w:lang w:val="es-ES"/>
        </w:rPr>
        <w:t>Por lo tanto,</w:t>
      </w:r>
      <w:r w:rsidRPr="001B56BF">
        <w:rPr>
          <w:rFonts w:ascii="Arial" w:hAnsi="Arial" w:cs="Arial"/>
          <w:color w:val="000000" w:themeColor="text1"/>
          <w:sz w:val="22"/>
          <w:lang w:val="es-ES"/>
        </w:rPr>
        <w:t xml:space="preserve"> es relevante recordar que e</w:t>
      </w:r>
      <w:r w:rsidR="004A1C93" w:rsidRPr="001B56BF">
        <w:rPr>
          <w:rFonts w:ascii="Arial" w:hAnsi="Arial" w:cs="Arial"/>
          <w:color w:val="000000" w:themeColor="text1"/>
          <w:sz w:val="22"/>
          <w:lang w:val="es-ES"/>
        </w:rPr>
        <w:t xml:space="preserve">l artículo 32 de la Ley 80 de 1993 otorga libertad en la escogencia del </w:t>
      </w:r>
      <w:r w:rsidRPr="001B56BF">
        <w:rPr>
          <w:rFonts w:ascii="Arial" w:hAnsi="Arial" w:cs="Arial"/>
          <w:color w:val="000000" w:themeColor="text1"/>
          <w:sz w:val="22"/>
          <w:lang w:val="es-ES"/>
        </w:rPr>
        <w:t>tipo contractual</w:t>
      </w:r>
      <w:r w:rsidR="005E4609" w:rsidRPr="001B56BF">
        <w:rPr>
          <w:rFonts w:ascii="Arial" w:hAnsi="Arial" w:cs="Arial"/>
          <w:color w:val="000000" w:themeColor="text1"/>
          <w:sz w:val="22"/>
          <w:lang w:val="es-ES"/>
        </w:rPr>
        <w:t xml:space="preserve"> a las entidades estatales</w:t>
      </w:r>
      <w:r w:rsidR="00FF1FDF">
        <w:rPr>
          <w:rFonts w:ascii="Arial" w:hAnsi="Arial" w:cs="Arial"/>
          <w:color w:val="000000" w:themeColor="text1"/>
          <w:sz w:val="22"/>
          <w:lang w:val="es-ES"/>
        </w:rPr>
        <w:t>.</w:t>
      </w:r>
      <w:r w:rsidRPr="001B56BF">
        <w:rPr>
          <w:rFonts w:ascii="Arial" w:hAnsi="Arial" w:cs="Arial"/>
          <w:color w:val="000000" w:themeColor="text1"/>
          <w:sz w:val="22"/>
          <w:lang w:val="es-ES"/>
        </w:rPr>
        <w:t xml:space="preserve"> </w:t>
      </w:r>
      <w:r w:rsidR="00FF1FDF">
        <w:rPr>
          <w:rFonts w:ascii="Arial" w:hAnsi="Arial" w:cs="Arial"/>
          <w:color w:val="000000" w:themeColor="text1"/>
          <w:sz w:val="22"/>
          <w:lang w:val="es-ES"/>
        </w:rPr>
        <w:t>E</w:t>
      </w:r>
      <w:r w:rsidR="005E4609" w:rsidRPr="001B56BF">
        <w:rPr>
          <w:rFonts w:ascii="Arial" w:hAnsi="Arial" w:cs="Arial"/>
          <w:color w:val="000000" w:themeColor="text1"/>
          <w:sz w:val="22"/>
          <w:lang w:val="es-ES"/>
        </w:rPr>
        <w:t xml:space="preserve">l ejercicio de dicha </w:t>
      </w:r>
      <w:r w:rsidR="00FF1FDF" w:rsidRPr="001B56BF">
        <w:rPr>
          <w:rFonts w:ascii="Arial" w:hAnsi="Arial" w:cs="Arial"/>
          <w:color w:val="000000" w:themeColor="text1"/>
          <w:sz w:val="22"/>
          <w:lang w:val="es-ES"/>
        </w:rPr>
        <w:t>discreci</w:t>
      </w:r>
      <w:r w:rsidR="00FF1FDF">
        <w:rPr>
          <w:rFonts w:ascii="Arial" w:hAnsi="Arial" w:cs="Arial"/>
          <w:color w:val="000000" w:themeColor="text1"/>
          <w:sz w:val="22"/>
          <w:lang w:val="es-ES"/>
        </w:rPr>
        <w:t>onalidad</w:t>
      </w:r>
      <w:r w:rsidR="00FF1FDF" w:rsidRPr="00FF1FDF">
        <w:rPr>
          <w:rFonts w:ascii="Arial" w:hAnsi="Arial" w:cs="Arial"/>
          <w:color w:val="000000" w:themeColor="text1"/>
          <w:sz w:val="22"/>
          <w:lang w:val="es-ES"/>
        </w:rPr>
        <w:t xml:space="preserve"> </w:t>
      </w:r>
      <w:r w:rsidRPr="00FF1FDF">
        <w:rPr>
          <w:rFonts w:ascii="Arial" w:hAnsi="Arial" w:cs="Arial"/>
          <w:color w:val="000000" w:themeColor="text1"/>
          <w:sz w:val="22"/>
          <w:lang w:val="es-ES"/>
        </w:rPr>
        <w:t xml:space="preserve">dependerá </w:t>
      </w:r>
      <w:r w:rsidR="004A1C93" w:rsidRPr="00FF1FDF">
        <w:rPr>
          <w:rFonts w:ascii="Arial" w:hAnsi="Arial" w:cs="Arial"/>
          <w:color w:val="000000" w:themeColor="text1"/>
          <w:sz w:val="22"/>
          <w:lang w:val="es-ES"/>
        </w:rPr>
        <w:t xml:space="preserve">de las necesidades </w:t>
      </w:r>
      <w:r w:rsidR="005E4609" w:rsidRPr="00FF1FDF">
        <w:rPr>
          <w:rFonts w:ascii="Arial" w:hAnsi="Arial" w:cs="Arial"/>
          <w:color w:val="000000" w:themeColor="text1"/>
          <w:sz w:val="22"/>
          <w:lang w:val="es-ES"/>
        </w:rPr>
        <w:t>concretas</w:t>
      </w:r>
      <w:r w:rsidRPr="00FF1FDF">
        <w:rPr>
          <w:rFonts w:ascii="Arial" w:hAnsi="Arial" w:cs="Arial"/>
          <w:color w:val="000000" w:themeColor="text1"/>
          <w:sz w:val="22"/>
          <w:lang w:val="es-ES"/>
        </w:rPr>
        <w:t>.</w:t>
      </w:r>
      <w:r w:rsidR="00C83ECF">
        <w:rPr>
          <w:rFonts w:ascii="Arial" w:hAnsi="Arial" w:cs="Arial"/>
          <w:color w:val="000000" w:themeColor="text1"/>
          <w:sz w:val="22"/>
          <w:lang w:val="es-ES"/>
        </w:rPr>
        <w:t xml:space="preserve"> </w:t>
      </w:r>
      <w:r w:rsidR="00C83ECF" w:rsidRPr="00C83ECF">
        <w:rPr>
          <w:rFonts w:ascii="Arial" w:hAnsi="Arial" w:cs="Arial"/>
          <w:bCs/>
          <w:color w:val="000000" w:themeColor="text1"/>
          <w:sz w:val="22"/>
          <w:lang w:val="es-ES"/>
        </w:rPr>
        <w:t>No obstante, tiene que aclararse que dicha discreción para la escogencia del tipo contractual se ve limitada por los elementos de cada contrato; es decir, si están presentes los elementos esenciales de cierta tipología imperativamente debe darse aplicación al régimen que a este corresponde. Por ejemplo, una vez están presentes los elementos esenciales de un contrato de obra, no podría la entidad intentar darle un tratamiento jurídico de un contrato de prestación de servicios, o viceversa.</w:t>
      </w:r>
    </w:p>
    <w:p w14:paraId="110EA57F" w14:textId="774633F3" w:rsidR="005E4609" w:rsidRPr="0030144F" w:rsidRDefault="00A2114B" w:rsidP="005E4609">
      <w:pPr>
        <w:pStyle w:val="Sinespaciado"/>
        <w:spacing w:after="120" w:line="276" w:lineRule="auto"/>
        <w:ind w:firstLine="709"/>
        <w:jc w:val="both"/>
        <w:rPr>
          <w:rFonts w:ascii="Arial" w:hAnsi="Arial" w:cs="Arial"/>
          <w:color w:val="000000" w:themeColor="text1"/>
          <w:sz w:val="22"/>
          <w:lang w:val="es-ES"/>
        </w:rPr>
      </w:pPr>
      <w:r w:rsidRPr="00FF1FDF">
        <w:rPr>
          <w:rFonts w:ascii="Arial" w:hAnsi="Arial" w:cs="Arial"/>
          <w:color w:val="000000" w:themeColor="text1"/>
          <w:sz w:val="22"/>
          <w:lang w:val="es-ES"/>
        </w:rPr>
        <w:t>En ese sentido, la disposición referida prescribe que son «contratos estatales» los acuerdos «a que se refiere el presente estatuto»</w:t>
      </w:r>
      <w:r w:rsidR="00E94045">
        <w:rPr>
          <w:rFonts w:ascii="Arial" w:hAnsi="Arial" w:cs="Arial"/>
          <w:color w:val="000000" w:themeColor="text1"/>
          <w:sz w:val="22"/>
          <w:lang w:val="es-ES"/>
        </w:rPr>
        <w:t>,</w:t>
      </w:r>
      <w:r w:rsidRPr="00FF1FDF">
        <w:rPr>
          <w:rFonts w:ascii="Arial" w:hAnsi="Arial" w:cs="Arial"/>
          <w:color w:val="000000" w:themeColor="text1"/>
          <w:sz w:val="22"/>
          <w:lang w:val="es-ES"/>
        </w:rPr>
        <w:t xml:space="preserve"> pero</w:t>
      </w:r>
      <w:r w:rsidR="00E94045">
        <w:rPr>
          <w:rFonts w:ascii="Arial" w:hAnsi="Arial" w:cs="Arial"/>
          <w:color w:val="000000" w:themeColor="text1"/>
          <w:sz w:val="22"/>
          <w:lang w:val="es-ES"/>
        </w:rPr>
        <w:t>,</w:t>
      </w:r>
      <w:r w:rsidRPr="00FF1FDF">
        <w:rPr>
          <w:rFonts w:ascii="Arial" w:hAnsi="Arial" w:cs="Arial"/>
          <w:color w:val="000000" w:themeColor="text1"/>
          <w:sz w:val="22"/>
          <w:lang w:val="es-ES"/>
        </w:rPr>
        <w:t xml:space="preserve"> además</w:t>
      </w:r>
      <w:r w:rsidR="00E94045">
        <w:rPr>
          <w:rFonts w:ascii="Arial" w:hAnsi="Arial" w:cs="Arial"/>
          <w:color w:val="000000" w:themeColor="text1"/>
          <w:sz w:val="22"/>
          <w:lang w:val="es-ES"/>
        </w:rPr>
        <w:t>,</w:t>
      </w:r>
      <w:r w:rsidRPr="00FF1FDF">
        <w:rPr>
          <w:rFonts w:ascii="Arial" w:hAnsi="Arial" w:cs="Arial"/>
          <w:color w:val="000000" w:themeColor="text1"/>
          <w:sz w:val="22"/>
          <w:lang w:val="es-ES"/>
        </w:rPr>
        <w:t xml:space="preserve"> agrega que tendrán la calidad de tales los tipos contractuales «previstos en el d</w:t>
      </w:r>
      <w:r w:rsidRPr="00E94045">
        <w:rPr>
          <w:rFonts w:ascii="Arial" w:hAnsi="Arial" w:cs="Arial"/>
          <w:color w:val="000000" w:themeColor="text1"/>
          <w:sz w:val="22"/>
          <w:lang w:val="es-ES"/>
        </w:rPr>
        <w:t xml:space="preserve">erecho privado o en disposiciones especiales, o derivados del ejercicio de la autonomía de la voluntad». </w:t>
      </w:r>
      <w:r w:rsidR="00EB5024" w:rsidRPr="0030144F">
        <w:rPr>
          <w:rFonts w:ascii="Arial" w:hAnsi="Arial" w:cs="Arial"/>
          <w:color w:val="000000" w:themeColor="text1"/>
          <w:sz w:val="22"/>
          <w:lang w:val="es-ES"/>
        </w:rPr>
        <w:t xml:space="preserve">Sobre el punto, en la actualidad no existe discusión en relación con la posibilidad que tienen las entidades estatales </w:t>
      </w:r>
      <w:r w:rsidR="00792903" w:rsidRPr="001B56BF">
        <w:rPr>
          <w:rFonts w:ascii="Arial" w:hAnsi="Arial" w:cs="Arial"/>
          <w:color w:val="000000" w:themeColor="text1"/>
          <w:sz w:val="22"/>
          <w:lang w:val="es-ES"/>
        </w:rPr>
        <w:t>de utilizar</w:t>
      </w:r>
      <w:r w:rsidR="00EB5024" w:rsidRPr="001B56BF">
        <w:rPr>
          <w:rFonts w:ascii="Arial" w:hAnsi="Arial" w:cs="Arial"/>
          <w:color w:val="000000" w:themeColor="text1"/>
          <w:sz w:val="22"/>
          <w:lang w:val="es-ES"/>
        </w:rPr>
        <w:t xml:space="preserve"> los tipos contractuales del derecho privado, bien sean jurídica o socialmente típicos, e incluso a contratos atípicos</w:t>
      </w:r>
      <w:r w:rsidR="00EB5024" w:rsidRPr="001B56BF">
        <w:rPr>
          <w:rStyle w:val="Refdenotaalpie"/>
          <w:rFonts w:ascii="Arial" w:hAnsi="Arial" w:cs="Arial"/>
          <w:color w:val="000000" w:themeColor="text1"/>
          <w:sz w:val="22"/>
          <w:lang w:val="es-ES"/>
        </w:rPr>
        <w:footnoteReference w:id="12"/>
      </w:r>
      <w:r w:rsidR="00EB5024" w:rsidRPr="001B56BF">
        <w:rPr>
          <w:rFonts w:ascii="Arial" w:hAnsi="Arial" w:cs="Arial"/>
          <w:color w:val="000000" w:themeColor="text1"/>
          <w:sz w:val="22"/>
          <w:lang w:val="es-ES"/>
        </w:rPr>
        <w:t>.</w:t>
      </w:r>
      <w:r w:rsidR="005E4609" w:rsidRPr="00FF1FDF">
        <w:rPr>
          <w:rFonts w:ascii="Arial" w:hAnsi="Arial" w:cs="Arial"/>
          <w:color w:val="000000" w:themeColor="text1"/>
          <w:sz w:val="22"/>
          <w:lang w:val="es-ES"/>
        </w:rPr>
        <w:t xml:space="preserve"> </w:t>
      </w:r>
    </w:p>
    <w:p w14:paraId="0B2E7904" w14:textId="7D4A8726" w:rsidR="005E4609" w:rsidRPr="001B56BF" w:rsidRDefault="005E4609" w:rsidP="00BB6C50">
      <w:pPr>
        <w:pStyle w:val="Sinespaciado"/>
        <w:spacing w:after="120"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t>En ese orden de ideas, debido a las características de los bienes intangibles, y en particular la explotación de los derechos de propiedad intelectual, las entidades estatales pueden recurrir a los tipos contractuales que son usuales para este tipo de bienes, tales como los de licencia</w:t>
      </w:r>
      <w:r w:rsidR="00BB6C50" w:rsidRPr="001B56BF">
        <w:rPr>
          <w:rFonts w:ascii="Arial" w:hAnsi="Arial" w:cs="Arial"/>
          <w:color w:val="000000" w:themeColor="text1"/>
          <w:sz w:val="22"/>
          <w:lang w:val="es-ES"/>
        </w:rPr>
        <w:t>. Sobre el punto, además, deberán observarse las normas comunitarias sobre la materia, entre ellas la Decisión 486 de 2000</w:t>
      </w:r>
      <w:r w:rsidR="003C5831" w:rsidRPr="001B56BF">
        <w:rPr>
          <w:rFonts w:ascii="Arial" w:hAnsi="Arial" w:cs="Arial"/>
          <w:color w:val="000000" w:themeColor="text1"/>
          <w:sz w:val="22"/>
          <w:lang w:val="es-ES"/>
        </w:rPr>
        <w:t xml:space="preserve"> de la Comunidad Andina de Naciones</w:t>
      </w:r>
      <w:r w:rsidR="00BB6C50" w:rsidRPr="001B56BF">
        <w:rPr>
          <w:rFonts w:ascii="Arial" w:hAnsi="Arial" w:cs="Arial"/>
          <w:color w:val="000000" w:themeColor="text1"/>
          <w:sz w:val="22"/>
          <w:lang w:val="es-ES"/>
        </w:rPr>
        <w:t xml:space="preserve">.  </w:t>
      </w:r>
      <w:r w:rsidRPr="001B56BF">
        <w:rPr>
          <w:rFonts w:ascii="Arial" w:hAnsi="Arial" w:cs="Arial"/>
          <w:color w:val="000000" w:themeColor="text1"/>
          <w:sz w:val="22"/>
          <w:lang w:val="es-ES"/>
        </w:rPr>
        <w:t xml:space="preserve"> </w:t>
      </w:r>
    </w:p>
    <w:p w14:paraId="6E07B9BD" w14:textId="27714684" w:rsidR="00D727A0" w:rsidRPr="001B56BF" w:rsidRDefault="005E4609" w:rsidP="00D727A0">
      <w:pPr>
        <w:pStyle w:val="Sinespaciado"/>
        <w:spacing w:after="120"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t>En cualquier caso, dichos contratos serán</w:t>
      </w:r>
      <w:r w:rsidR="00BB6C50" w:rsidRPr="001B56BF">
        <w:rPr>
          <w:rFonts w:ascii="Arial" w:hAnsi="Arial" w:cs="Arial"/>
          <w:color w:val="000000" w:themeColor="text1"/>
          <w:sz w:val="22"/>
          <w:lang w:val="es-ES"/>
        </w:rPr>
        <w:t xml:space="preserve"> considerados</w:t>
      </w:r>
      <w:r w:rsidRPr="001B56BF">
        <w:rPr>
          <w:rFonts w:ascii="Arial" w:hAnsi="Arial" w:cs="Arial"/>
          <w:color w:val="000000" w:themeColor="text1"/>
          <w:sz w:val="22"/>
          <w:lang w:val="es-ES"/>
        </w:rPr>
        <w:t xml:space="preserve"> estatales para los efectos del Estatuto General de Contratación de la Administración Pública y deberán</w:t>
      </w:r>
      <w:r w:rsidR="0030144F">
        <w:rPr>
          <w:rFonts w:ascii="Arial" w:hAnsi="Arial" w:cs="Arial"/>
          <w:color w:val="000000" w:themeColor="text1"/>
          <w:sz w:val="22"/>
          <w:lang w:val="es-ES"/>
        </w:rPr>
        <w:t>,</w:t>
      </w:r>
      <w:r w:rsidRPr="0030144F">
        <w:rPr>
          <w:rFonts w:ascii="Arial" w:hAnsi="Arial" w:cs="Arial"/>
          <w:color w:val="000000" w:themeColor="text1"/>
          <w:sz w:val="22"/>
          <w:lang w:val="es-ES"/>
        </w:rPr>
        <w:t xml:space="preserve"> por tanto</w:t>
      </w:r>
      <w:r w:rsidR="0030144F">
        <w:rPr>
          <w:rFonts w:ascii="Arial" w:hAnsi="Arial" w:cs="Arial"/>
          <w:color w:val="000000" w:themeColor="text1"/>
          <w:sz w:val="22"/>
          <w:lang w:val="es-ES"/>
        </w:rPr>
        <w:t>,</w:t>
      </w:r>
      <w:r w:rsidRPr="0030144F">
        <w:rPr>
          <w:rFonts w:ascii="Arial" w:hAnsi="Arial" w:cs="Arial"/>
          <w:color w:val="000000" w:themeColor="text1"/>
          <w:sz w:val="22"/>
          <w:lang w:val="es-ES"/>
        </w:rPr>
        <w:t xml:space="preserve"> ceñirse a sus postulados</w:t>
      </w:r>
      <w:r w:rsidR="0030144F">
        <w:rPr>
          <w:rFonts w:ascii="Arial" w:hAnsi="Arial" w:cs="Arial"/>
          <w:color w:val="000000" w:themeColor="text1"/>
          <w:sz w:val="22"/>
          <w:lang w:val="es-ES"/>
        </w:rPr>
        <w:t>,</w:t>
      </w:r>
      <w:r w:rsidR="00D727A0" w:rsidRPr="0030144F">
        <w:rPr>
          <w:rFonts w:ascii="Arial" w:hAnsi="Arial" w:cs="Arial"/>
          <w:color w:val="000000" w:themeColor="text1"/>
          <w:sz w:val="22"/>
          <w:lang w:val="es-ES"/>
        </w:rPr>
        <w:t xml:space="preserve"> en la medida en que estos no resulten incompatibles con las normas comunitarias sobre la materia</w:t>
      </w:r>
      <w:r w:rsidRPr="001A095D">
        <w:rPr>
          <w:rFonts w:ascii="Arial" w:hAnsi="Arial" w:cs="Arial"/>
          <w:color w:val="000000" w:themeColor="text1"/>
          <w:sz w:val="22"/>
          <w:lang w:val="es-ES"/>
        </w:rPr>
        <w:t>.</w:t>
      </w:r>
      <w:r w:rsidR="00BB6C50" w:rsidRPr="001B56BF">
        <w:rPr>
          <w:rFonts w:ascii="Arial" w:hAnsi="Arial" w:cs="Arial"/>
          <w:color w:val="000000" w:themeColor="text1"/>
          <w:sz w:val="22"/>
          <w:lang w:val="es-ES"/>
        </w:rPr>
        <w:t xml:space="preserve"> </w:t>
      </w:r>
      <w:r w:rsidR="00D727A0" w:rsidRPr="001B56BF">
        <w:rPr>
          <w:rFonts w:ascii="Arial" w:hAnsi="Arial" w:cs="Arial"/>
          <w:color w:val="000000" w:themeColor="text1"/>
          <w:sz w:val="22"/>
          <w:lang w:val="es-ES"/>
        </w:rPr>
        <w:t xml:space="preserve">La compatibilización </w:t>
      </w:r>
      <w:r w:rsidR="00F34D87" w:rsidRPr="001B56BF">
        <w:rPr>
          <w:rFonts w:ascii="Arial" w:hAnsi="Arial" w:cs="Arial"/>
          <w:color w:val="000000" w:themeColor="text1"/>
          <w:sz w:val="22"/>
          <w:lang w:val="es-ES"/>
        </w:rPr>
        <w:t>de una y otra fuente normativa</w:t>
      </w:r>
      <w:r w:rsidR="00D727A0" w:rsidRPr="001B56BF">
        <w:rPr>
          <w:rFonts w:ascii="Arial" w:hAnsi="Arial" w:cs="Arial"/>
          <w:color w:val="000000" w:themeColor="text1"/>
          <w:sz w:val="22"/>
          <w:lang w:val="es-ES"/>
        </w:rPr>
        <w:t xml:space="preserve"> es un asunto de diseño contractual y estructuración de los proyectos que no ca</w:t>
      </w:r>
      <w:r w:rsidR="001A095D">
        <w:rPr>
          <w:rFonts w:ascii="Arial" w:hAnsi="Arial" w:cs="Arial"/>
          <w:color w:val="000000" w:themeColor="text1"/>
          <w:sz w:val="22"/>
          <w:lang w:val="es-ES"/>
        </w:rPr>
        <w:t>b</w:t>
      </w:r>
      <w:r w:rsidR="00D727A0" w:rsidRPr="001A095D">
        <w:rPr>
          <w:rFonts w:ascii="Arial" w:hAnsi="Arial" w:cs="Arial"/>
          <w:color w:val="000000" w:themeColor="text1"/>
          <w:sz w:val="22"/>
          <w:lang w:val="es-ES"/>
        </w:rPr>
        <w:t>e</w:t>
      </w:r>
      <w:r w:rsidR="00D727A0" w:rsidRPr="001B56BF">
        <w:rPr>
          <w:rFonts w:ascii="Arial" w:hAnsi="Arial" w:cs="Arial"/>
          <w:color w:val="000000" w:themeColor="text1"/>
          <w:sz w:val="22"/>
          <w:lang w:val="es-ES"/>
        </w:rPr>
        <w:t xml:space="preserve"> dentro del ámbito competencial de esta Agencia. </w:t>
      </w:r>
    </w:p>
    <w:p w14:paraId="0263253F" w14:textId="5DC2A9C0" w:rsidR="002B7C7E" w:rsidRPr="001B56BF" w:rsidRDefault="00D727A0" w:rsidP="00D727A0">
      <w:pPr>
        <w:pStyle w:val="Sinespaciado"/>
        <w:spacing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t>Finalmente, se llama la atención sobre el inciso final del artículo 167 de la Ley 1955 de 2019</w:t>
      </w:r>
      <w:r w:rsidR="006B10FC" w:rsidRPr="001B56BF">
        <w:rPr>
          <w:rFonts w:ascii="Arial" w:hAnsi="Arial" w:cs="Arial"/>
          <w:color w:val="000000" w:themeColor="text1"/>
          <w:sz w:val="22"/>
          <w:lang w:val="es-ES"/>
        </w:rPr>
        <w:t>,</w:t>
      </w:r>
      <w:r w:rsidRPr="001B56BF">
        <w:rPr>
          <w:rFonts w:ascii="Arial" w:hAnsi="Arial" w:cs="Arial"/>
          <w:color w:val="000000" w:themeColor="text1"/>
          <w:sz w:val="22"/>
          <w:lang w:val="es-ES"/>
        </w:rPr>
        <w:t xml:space="preserve"> </w:t>
      </w:r>
      <w:r w:rsidR="006B10FC" w:rsidRPr="001B56BF">
        <w:rPr>
          <w:rFonts w:ascii="Arial" w:hAnsi="Arial" w:cs="Arial"/>
          <w:color w:val="000000" w:themeColor="text1"/>
          <w:sz w:val="22"/>
          <w:lang w:val="es-ES"/>
        </w:rPr>
        <w:t>a</w:t>
      </w:r>
      <w:r w:rsidRPr="001B56BF">
        <w:rPr>
          <w:rFonts w:ascii="Arial" w:hAnsi="Arial" w:cs="Arial"/>
          <w:color w:val="000000" w:themeColor="text1"/>
          <w:sz w:val="22"/>
          <w:lang w:val="es-ES"/>
        </w:rPr>
        <w:t xml:space="preserve">l tenor del cual: </w:t>
      </w:r>
    </w:p>
    <w:p w14:paraId="77BB208E" w14:textId="77777777" w:rsidR="00D727A0" w:rsidRPr="001B56BF" w:rsidRDefault="00D727A0" w:rsidP="00660C9C">
      <w:pPr>
        <w:pStyle w:val="Sinespaciado"/>
        <w:ind w:left="709" w:right="758"/>
        <w:jc w:val="both"/>
        <w:rPr>
          <w:rFonts w:ascii="Arial" w:hAnsi="Arial" w:cs="Arial"/>
          <w:color w:val="000000" w:themeColor="text1"/>
          <w:sz w:val="21"/>
          <w:szCs w:val="21"/>
          <w:lang w:val="es-ES"/>
        </w:rPr>
      </w:pPr>
    </w:p>
    <w:p w14:paraId="2B92B65C" w14:textId="00CFC154" w:rsidR="002B7C7E" w:rsidRPr="001B56BF" w:rsidRDefault="002B7C7E" w:rsidP="00660C9C">
      <w:pPr>
        <w:pStyle w:val="Sinespaciado"/>
        <w:ind w:left="709" w:right="758"/>
        <w:jc w:val="both"/>
        <w:rPr>
          <w:rFonts w:ascii="Arial" w:hAnsi="Arial" w:cs="Arial"/>
          <w:color w:val="000000" w:themeColor="text1"/>
          <w:sz w:val="21"/>
          <w:szCs w:val="21"/>
          <w:lang w:val="es-ES"/>
        </w:rPr>
      </w:pPr>
      <w:r w:rsidRPr="001B56BF">
        <w:rPr>
          <w:rFonts w:ascii="Arial" w:hAnsi="Arial" w:cs="Arial"/>
          <w:color w:val="000000" w:themeColor="text1"/>
          <w:sz w:val="21"/>
          <w:szCs w:val="21"/>
          <w:lang w:val="es-ES"/>
        </w:rPr>
        <w:t xml:space="preserve">[…] Para aquellas entidades públicas que no desarrollen o ejecuten programas, proyectos, actividades e iniciativas de ciencia, tecnología e innovación, los </w:t>
      </w:r>
      <w:r w:rsidRPr="001B56BF">
        <w:rPr>
          <w:rFonts w:ascii="Arial" w:hAnsi="Arial" w:cs="Arial"/>
          <w:color w:val="000000" w:themeColor="text1"/>
          <w:sz w:val="21"/>
          <w:szCs w:val="21"/>
          <w:lang w:val="es-ES"/>
        </w:rPr>
        <w:lastRenderedPageBreak/>
        <w:t>beneficios o regalías que genere la explotación comercial de sus bienes intangibles o propiedad intelectual, deberá ser destinada a la promoción de industrias creativas de conformidad con el artículo 2° de la Ley 1834 de 2017.</w:t>
      </w:r>
    </w:p>
    <w:p w14:paraId="3D385875" w14:textId="77777777" w:rsidR="006B10FC" w:rsidRPr="001B56BF" w:rsidRDefault="006B10FC" w:rsidP="00660C9C">
      <w:pPr>
        <w:pStyle w:val="Sinespaciado"/>
        <w:ind w:left="709" w:right="758"/>
        <w:jc w:val="both"/>
        <w:rPr>
          <w:rFonts w:ascii="Arial" w:hAnsi="Arial" w:cs="Arial"/>
          <w:color w:val="000000" w:themeColor="text1"/>
          <w:sz w:val="21"/>
          <w:szCs w:val="21"/>
          <w:lang w:val="es-ES"/>
        </w:rPr>
      </w:pPr>
    </w:p>
    <w:p w14:paraId="7DCEB754" w14:textId="6513BF76" w:rsidR="003A70C5" w:rsidRPr="001B56BF" w:rsidRDefault="003A70C5" w:rsidP="003A70C5">
      <w:pPr>
        <w:pStyle w:val="Sinespaciado"/>
        <w:spacing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t xml:space="preserve">Esta norma no establece un régimen de contratación, sino una destinación específica para los recursos recaudados como consecuencia de la explotación de derechos de propiedad intelectual. La disposición remite a la Ley 1834 de 2017, por medio de la cual se fomenta la economía creativa o Ley Naranja. En esa Ley están contenidas las reglas relativas al fomento de dichas industrias que incluye incentivos, entre otros medios propios de esa actividad administrativa, ámbito del derecho administrativo que también excede las competencias de la Agencia Nacional de Contratación Pública.  </w:t>
      </w:r>
    </w:p>
    <w:p w14:paraId="4AEB667A" w14:textId="0D4B9F4F" w:rsidR="00660C9C" w:rsidRPr="001B56BF" w:rsidRDefault="00660C9C" w:rsidP="00660C9C">
      <w:pPr>
        <w:pStyle w:val="Sinespaciado"/>
        <w:spacing w:line="276" w:lineRule="auto"/>
        <w:jc w:val="both"/>
        <w:rPr>
          <w:rFonts w:ascii="Arial" w:hAnsi="Arial" w:cs="Arial"/>
          <w:color w:val="000000" w:themeColor="text1"/>
          <w:sz w:val="22"/>
          <w:lang w:val="es-ES"/>
        </w:rPr>
      </w:pPr>
    </w:p>
    <w:p w14:paraId="292B49F4" w14:textId="19E499C8" w:rsidR="00660C9C" w:rsidRPr="001B56BF" w:rsidRDefault="00660C9C" w:rsidP="00660C9C">
      <w:pPr>
        <w:pStyle w:val="Sinespaciado"/>
        <w:spacing w:line="276" w:lineRule="auto"/>
        <w:jc w:val="both"/>
        <w:rPr>
          <w:rFonts w:ascii="Arial" w:hAnsi="Arial" w:cs="Arial"/>
          <w:b/>
          <w:color w:val="000000" w:themeColor="text1"/>
          <w:sz w:val="22"/>
          <w:lang w:val="es-ES"/>
        </w:rPr>
      </w:pPr>
      <w:r w:rsidRPr="001B56BF">
        <w:rPr>
          <w:rFonts w:ascii="Arial" w:hAnsi="Arial" w:cs="Arial"/>
          <w:b/>
          <w:color w:val="000000" w:themeColor="text1"/>
          <w:sz w:val="22"/>
          <w:lang w:val="es-ES"/>
        </w:rPr>
        <w:t xml:space="preserve">2.2. Publicación de la actividad contractual en el Sistema Electrónico de Contratación Pública – SECOP </w:t>
      </w:r>
    </w:p>
    <w:p w14:paraId="0791C0D7" w14:textId="24C4E50C" w:rsidR="002B7C7E" w:rsidRPr="001B56BF" w:rsidRDefault="002B7C7E" w:rsidP="00660C9C">
      <w:pPr>
        <w:pStyle w:val="Sinespaciado"/>
        <w:spacing w:line="276" w:lineRule="auto"/>
        <w:jc w:val="both"/>
        <w:rPr>
          <w:rFonts w:ascii="Arial" w:hAnsi="Arial" w:cs="Arial"/>
          <w:color w:val="000000" w:themeColor="text1"/>
          <w:sz w:val="22"/>
          <w:lang w:val="es-ES"/>
        </w:rPr>
      </w:pPr>
    </w:p>
    <w:p w14:paraId="09624261" w14:textId="77777777" w:rsidR="003C5831" w:rsidRPr="001B56BF" w:rsidRDefault="003C5831" w:rsidP="003C5831">
      <w:pPr>
        <w:spacing w:line="276" w:lineRule="auto"/>
        <w:jc w:val="both"/>
        <w:rPr>
          <w:rFonts w:ascii="Arial" w:eastAsia="Times New Roman" w:hAnsi="Arial" w:cs="Arial"/>
          <w:color w:val="000000"/>
          <w:sz w:val="22"/>
          <w:szCs w:val="24"/>
          <w:lang w:val="es-ES" w:eastAsia="en-GB"/>
        </w:rPr>
      </w:pPr>
      <w:r w:rsidRPr="001B56BF">
        <w:rPr>
          <w:rFonts w:ascii="Arial" w:eastAsia="Times New Roman" w:hAnsi="Arial" w:cs="Arial"/>
          <w:color w:val="000000"/>
          <w:sz w:val="22"/>
          <w:szCs w:val="24"/>
          <w:lang w:val="es-ES" w:eastAsia="en-GB"/>
        </w:rPr>
        <w:t xml:space="preserve">Para la Corte Constitucional, el principio de publicidad es la garantía que tienen las personas de conocer las actuaciones judiciales y administrativas y con base en ese conocimiento tener la posibilidad de exigir que se cumplan conforme a la ley: </w:t>
      </w:r>
    </w:p>
    <w:p w14:paraId="19994ADF" w14:textId="77777777" w:rsidR="003C5831" w:rsidRPr="001B56BF" w:rsidRDefault="003C5831" w:rsidP="003C5831">
      <w:pPr>
        <w:spacing w:line="276" w:lineRule="auto"/>
        <w:jc w:val="both"/>
        <w:rPr>
          <w:rFonts w:ascii="Arial" w:eastAsia="Times New Roman" w:hAnsi="Arial" w:cs="Arial"/>
          <w:color w:val="000000"/>
          <w:sz w:val="22"/>
          <w:szCs w:val="24"/>
          <w:lang w:val="es-ES" w:eastAsia="en-GB"/>
        </w:rPr>
      </w:pPr>
    </w:p>
    <w:p w14:paraId="28DA195E" w14:textId="77777777" w:rsidR="003C5831" w:rsidRPr="001B56BF" w:rsidRDefault="003C5831" w:rsidP="003C5831">
      <w:pPr>
        <w:spacing w:after="120"/>
        <w:ind w:left="709" w:right="709"/>
        <w:jc w:val="both"/>
        <w:rPr>
          <w:rFonts w:ascii="Arial" w:eastAsia="Times New Roman" w:hAnsi="Arial" w:cs="Arial"/>
          <w:color w:val="000000"/>
          <w:sz w:val="21"/>
          <w:szCs w:val="21"/>
          <w:lang w:val="es-ES" w:eastAsia="en-GB"/>
        </w:rPr>
      </w:pPr>
      <w:r w:rsidRPr="001B56BF">
        <w:rPr>
          <w:rFonts w:ascii="Arial" w:eastAsia="Times New Roman" w:hAnsi="Arial" w:cs="Arial"/>
          <w:color w:val="000000"/>
          <w:sz w:val="21"/>
          <w:szCs w:val="21"/>
          <w:lang w:val="es-ES" w:eastAsia="en-GB"/>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520BE225" w14:textId="77777777" w:rsidR="003C5831" w:rsidRPr="00FF1FDF" w:rsidRDefault="003C5831" w:rsidP="003C5831">
      <w:pPr>
        <w:ind w:left="709" w:right="709"/>
        <w:jc w:val="both"/>
        <w:rPr>
          <w:rFonts w:ascii="Arial" w:eastAsia="Times New Roman" w:hAnsi="Arial" w:cs="Arial"/>
          <w:color w:val="000000"/>
          <w:sz w:val="22"/>
          <w:szCs w:val="24"/>
          <w:lang w:val="es-ES" w:eastAsia="en-GB"/>
        </w:rPr>
      </w:pPr>
      <w:r w:rsidRPr="001B56BF">
        <w:rPr>
          <w:rFonts w:ascii="Arial" w:eastAsia="Times New Roman" w:hAnsi="Arial" w:cs="Arial"/>
          <w:color w:val="000000"/>
          <w:sz w:val="21"/>
          <w:szCs w:val="21"/>
          <w:lang w:val="es-ES" w:eastAsia="en-GB"/>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1B56BF">
        <w:rPr>
          <w:rFonts w:ascii="Arial" w:eastAsia="Times New Roman" w:hAnsi="Arial" w:cs="Arial"/>
          <w:color w:val="000000"/>
          <w:sz w:val="21"/>
          <w:szCs w:val="21"/>
          <w:lang w:val="es-ES" w:eastAsia="en-GB"/>
        </w:rPr>
        <w:t>autoridades públicas</w:t>
      </w:r>
      <w:proofErr w:type="gramEnd"/>
      <w:r w:rsidRPr="001B56BF">
        <w:rPr>
          <w:rFonts w:ascii="Arial" w:eastAsia="Times New Roman" w:hAnsi="Arial" w:cs="Arial"/>
          <w:color w:val="000000"/>
          <w:sz w:val="21"/>
          <w:szCs w:val="21"/>
          <w:lang w:val="es-ES" w:eastAsia="en-GB"/>
        </w:rPr>
        <w:t xml:space="preserve"> y, a través de ese conocimiento, a exigir que ellas se surtan conforme a la ley</w:t>
      </w:r>
      <w:r w:rsidRPr="001B56BF">
        <w:rPr>
          <w:rFonts w:ascii="Arial" w:eastAsia="Times New Roman" w:hAnsi="Arial" w:cs="Arial"/>
          <w:color w:val="000000"/>
          <w:sz w:val="21"/>
          <w:szCs w:val="21"/>
          <w:vertAlign w:val="superscript"/>
          <w:lang w:val="en-GB" w:eastAsia="en-GB"/>
        </w:rPr>
        <w:footnoteReference w:id="13"/>
      </w:r>
      <w:r w:rsidRPr="001B56BF">
        <w:rPr>
          <w:rFonts w:ascii="Arial" w:eastAsia="Times New Roman" w:hAnsi="Arial" w:cs="Arial"/>
          <w:color w:val="000000"/>
          <w:sz w:val="21"/>
          <w:szCs w:val="21"/>
          <w:lang w:val="es-ES" w:eastAsia="en-GB"/>
        </w:rPr>
        <w:t>.</w:t>
      </w:r>
    </w:p>
    <w:p w14:paraId="2CEF8BB8" w14:textId="77777777" w:rsidR="003C5831" w:rsidRPr="0030144F" w:rsidRDefault="003C5831" w:rsidP="003C5831">
      <w:pPr>
        <w:spacing w:line="276" w:lineRule="auto"/>
        <w:jc w:val="both"/>
        <w:rPr>
          <w:rFonts w:ascii="Arial" w:eastAsia="Times New Roman" w:hAnsi="Arial" w:cs="Arial"/>
          <w:color w:val="000000"/>
          <w:sz w:val="22"/>
          <w:szCs w:val="24"/>
          <w:lang w:val="es-ES" w:eastAsia="en-GB"/>
        </w:rPr>
      </w:pPr>
    </w:p>
    <w:p w14:paraId="7CCFE95B" w14:textId="77777777" w:rsidR="003C5831" w:rsidRPr="00485EB5" w:rsidRDefault="003C5831" w:rsidP="003C5831">
      <w:pPr>
        <w:spacing w:after="120" w:line="276" w:lineRule="auto"/>
        <w:ind w:firstLine="709"/>
        <w:jc w:val="both"/>
        <w:rPr>
          <w:rFonts w:ascii="Arial" w:eastAsia="Times New Roman" w:hAnsi="Arial" w:cs="Arial"/>
          <w:color w:val="000000"/>
          <w:sz w:val="22"/>
          <w:szCs w:val="24"/>
          <w:lang w:val="es-ES" w:eastAsia="en-GB"/>
        </w:rPr>
      </w:pPr>
      <w:r w:rsidRPr="001B56BF">
        <w:rPr>
          <w:rFonts w:ascii="Arial" w:eastAsia="Times New Roman" w:hAnsi="Arial" w:cs="Arial"/>
          <w:color w:val="000000"/>
          <w:sz w:val="22"/>
          <w:szCs w:val="24"/>
          <w:lang w:val="es-ES" w:eastAsia="en-GB"/>
        </w:rPr>
        <w:t>El principio de publicidad impone a las autoridades administrativas el deber de dar a conocer sus actos, contratos y decisiones, para que se divulguen y eventualmente se controlen las actuaciones. Para estos efectos,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1B56BF">
        <w:rPr>
          <w:rFonts w:ascii="Arial" w:eastAsia="Times New Roman" w:hAnsi="Arial" w:cs="Arial"/>
          <w:color w:val="000000"/>
          <w:sz w:val="22"/>
          <w:szCs w:val="24"/>
          <w:vertAlign w:val="superscript"/>
          <w:lang w:val="en-GB" w:eastAsia="en-GB"/>
        </w:rPr>
        <w:footnoteReference w:id="14"/>
      </w:r>
      <w:r w:rsidRPr="001B56BF">
        <w:rPr>
          <w:rFonts w:ascii="Arial" w:eastAsia="Times New Roman" w:hAnsi="Arial" w:cs="Arial"/>
          <w:color w:val="000000"/>
          <w:sz w:val="22"/>
          <w:szCs w:val="24"/>
          <w:lang w:val="es-ES" w:eastAsia="en-GB"/>
        </w:rPr>
        <w:t>.</w:t>
      </w:r>
    </w:p>
    <w:p w14:paraId="4F384E41" w14:textId="77777777" w:rsidR="003C5831" w:rsidRPr="004026A6" w:rsidRDefault="003C5831" w:rsidP="003C5831">
      <w:pPr>
        <w:spacing w:after="120" w:line="276" w:lineRule="auto"/>
        <w:ind w:firstLine="709"/>
        <w:jc w:val="both"/>
        <w:rPr>
          <w:rFonts w:ascii="Arial" w:eastAsia="Times New Roman" w:hAnsi="Arial" w:cs="Arial"/>
          <w:color w:val="000000"/>
          <w:sz w:val="22"/>
          <w:szCs w:val="24"/>
          <w:lang w:val="es-ES" w:eastAsia="en-GB"/>
        </w:rPr>
      </w:pPr>
      <w:r w:rsidRPr="00485EB5">
        <w:rPr>
          <w:rFonts w:ascii="Arial" w:eastAsia="Times New Roman" w:hAnsi="Arial" w:cs="Arial"/>
          <w:color w:val="000000"/>
          <w:sz w:val="22"/>
          <w:szCs w:val="24"/>
          <w:lang w:eastAsia="en-GB"/>
        </w:rPr>
        <w:lastRenderedPageBreak/>
        <w:t>De</w:t>
      </w:r>
      <w:r w:rsidRPr="00FF1FDF">
        <w:rPr>
          <w:rFonts w:ascii="Arial" w:eastAsia="Times New Roman" w:hAnsi="Arial" w:cs="Arial"/>
          <w:color w:val="000000"/>
          <w:sz w:val="22"/>
          <w:szCs w:val="24"/>
          <w:lang w:eastAsia="en-GB"/>
        </w:rPr>
        <w:t xml:space="preserve"> otra parte, la Ley 1712 de 2014, por medio de la cual se crea la Ley de Transparencia y del Derecho de Acceso a la Información Pública Nacional y se dictan otras disposiciones, identifica como principios que orientan el derecho de acceso a la información </w:t>
      </w:r>
      <w:r w:rsidRPr="004026A6">
        <w:rPr>
          <w:rFonts w:ascii="Arial" w:eastAsia="Times New Roman" w:hAnsi="Arial" w:cs="Arial"/>
          <w:color w:val="000000"/>
          <w:sz w:val="22"/>
          <w:szCs w:val="24"/>
          <w:lang w:eastAsia="en-GB"/>
        </w:rPr>
        <w:t>pública, el de máxima publicidad, transparencia en la información y buena fe. El principio de máxima publicidad establece que «toda información en posesión, bajo control o custodia de un sujeto obligado es pública y no podrá ser reservada o limitada sino p</w:t>
      </w:r>
      <w:r w:rsidRPr="001B56BF">
        <w:rPr>
          <w:rFonts w:ascii="Arial" w:eastAsia="Times New Roman" w:hAnsi="Arial" w:cs="Arial"/>
          <w:color w:val="000000"/>
          <w:sz w:val="22"/>
          <w:szCs w:val="24"/>
          <w:lang w:eastAsia="en-GB"/>
        </w:rPr>
        <w:t>or disposición constitucional o legal»</w:t>
      </w:r>
      <w:r w:rsidRPr="001B56BF">
        <w:rPr>
          <w:rFonts w:ascii="Arial" w:eastAsia="Times New Roman" w:hAnsi="Arial" w:cs="Arial"/>
          <w:color w:val="000000"/>
          <w:sz w:val="22"/>
          <w:szCs w:val="24"/>
          <w:vertAlign w:val="superscript"/>
          <w:lang w:eastAsia="en-GB"/>
        </w:rPr>
        <w:footnoteReference w:id="15"/>
      </w:r>
      <w:r w:rsidRPr="001B56BF">
        <w:rPr>
          <w:rFonts w:ascii="Arial" w:eastAsia="Times New Roman" w:hAnsi="Arial" w:cs="Arial"/>
          <w:color w:val="000000"/>
          <w:sz w:val="22"/>
          <w:szCs w:val="24"/>
          <w:lang w:eastAsia="en-GB"/>
        </w:rPr>
        <w:t xml:space="preserve">. El principio de transparencia en la información alude al deber de los sujetos de proporcionar y facilitar el acceso a la misma en los términos más amplios posibles, y a través de los medios y </w:t>
      </w:r>
      <w:r w:rsidRPr="00FF1FDF">
        <w:rPr>
          <w:rFonts w:ascii="Arial" w:eastAsia="Times New Roman" w:hAnsi="Arial" w:cs="Arial"/>
          <w:color w:val="000000"/>
          <w:sz w:val="22"/>
          <w:szCs w:val="24"/>
          <w:lang w:eastAsia="en-GB"/>
        </w:rPr>
        <w:t>procedimientos que establezca la ley</w:t>
      </w:r>
      <w:r w:rsidRPr="004026A6">
        <w:rPr>
          <w:rFonts w:ascii="Arial" w:eastAsia="Times New Roman" w:hAnsi="Arial" w:cs="Arial"/>
          <w:color w:val="000000"/>
          <w:sz w:val="22"/>
          <w:szCs w:val="24"/>
          <w:lang w:val="es-ES" w:eastAsia="en-GB"/>
        </w:rPr>
        <w:t>.</w:t>
      </w:r>
    </w:p>
    <w:p w14:paraId="3E1EF9BE" w14:textId="20037B72" w:rsidR="003C5831" w:rsidRPr="00485EB5" w:rsidRDefault="003C5831" w:rsidP="003C5831">
      <w:pPr>
        <w:spacing w:after="120" w:line="276" w:lineRule="auto"/>
        <w:ind w:firstLine="709"/>
        <w:jc w:val="both"/>
        <w:rPr>
          <w:rFonts w:ascii="Arial" w:eastAsia="Times New Roman" w:hAnsi="Arial" w:cs="Arial"/>
          <w:color w:val="000000"/>
          <w:sz w:val="22"/>
          <w:szCs w:val="24"/>
          <w:lang w:val="es-ES" w:eastAsia="en-GB"/>
        </w:rPr>
      </w:pPr>
      <w:r w:rsidRPr="001B56BF">
        <w:rPr>
          <w:rFonts w:ascii="Arial" w:eastAsia="Times New Roman" w:hAnsi="Arial" w:cs="Arial"/>
          <w:color w:val="000000"/>
          <w:sz w:val="22"/>
          <w:szCs w:val="24"/>
          <w:lang w:val="es-ES" w:eastAsia="en-GB"/>
        </w:rPr>
        <w:t>La ley citada establece, en el literal e) del artículo 9, que los sujetos obligados son todas las entidades públicas, y deben publicar la información relativa a su contratación</w:t>
      </w:r>
      <w:r w:rsidRPr="001B56BF">
        <w:rPr>
          <w:rFonts w:ascii="Arial" w:eastAsia="Times New Roman" w:hAnsi="Arial" w:cs="Arial"/>
          <w:color w:val="000000"/>
          <w:sz w:val="22"/>
          <w:szCs w:val="24"/>
          <w:vertAlign w:val="superscript"/>
          <w:lang w:val="en-GB" w:eastAsia="en-GB"/>
        </w:rPr>
        <w:footnoteReference w:id="16"/>
      </w:r>
      <w:r w:rsidRPr="001B56BF">
        <w:rPr>
          <w:rFonts w:ascii="Arial" w:eastAsia="Times New Roman" w:hAnsi="Arial" w:cs="Arial"/>
          <w:color w:val="000000"/>
          <w:sz w:val="22"/>
          <w:szCs w:val="24"/>
          <w:lang w:val="es-ES" w:eastAsia="en-GB"/>
        </w:rPr>
        <w:t>. Esta obligación fue desarrollada por e</w:t>
      </w:r>
      <w:r w:rsidRPr="00FF1FDF">
        <w:rPr>
          <w:rFonts w:ascii="Arial" w:eastAsia="Times New Roman" w:hAnsi="Arial" w:cs="Arial"/>
          <w:color w:val="000000"/>
          <w:sz w:val="22"/>
          <w:szCs w:val="24"/>
          <w:lang w:val="es-ES" w:eastAsia="en-GB"/>
        </w:rPr>
        <w:t>l Decreto Único Reglamentario 1081 de 2015, el cual dispuso que la publicación de la información contractual de los sujetos obligados, que contratan con cargo a recursos públicos, debe hacerse en el Sistema Electrónico de Contratación Pública – SECOP</w:t>
      </w:r>
      <w:r w:rsidRPr="001B56BF">
        <w:rPr>
          <w:rFonts w:ascii="Arial" w:eastAsia="Times New Roman" w:hAnsi="Arial" w:cs="Arial"/>
          <w:color w:val="000000"/>
          <w:sz w:val="22"/>
          <w:szCs w:val="24"/>
          <w:vertAlign w:val="superscript"/>
          <w:lang w:val="en-GB" w:eastAsia="en-GB"/>
        </w:rPr>
        <w:footnoteReference w:id="17"/>
      </w:r>
      <w:r w:rsidRPr="001B56BF">
        <w:rPr>
          <w:rFonts w:ascii="Arial" w:eastAsia="Times New Roman" w:hAnsi="Arial" w:cs="Arial"/>
          <w:color w:val="000000"/>
          <w:sz w:val="22"/>
          <w:szCs w:val="24"/>
          <w:lang w:val="es-ES" w:eastAsia="en-GB"/>
        </w:rPr>
        <w:t>.</w:t>
      </w:r>
    </w:p>
    <w:p w14:paraId="455FB79A" w14:textId="77777777" w:rsidR="003C5831" w:rsidRPr="001B56BF" w:rsidRDefault="003C5831" w:rsidP="003C5831">
      <w:pPr>
        <w:spacing w:after="120" w:line="276" w:lineRule="auto"/>
        <w:ind w:firstLine="709"/>
        <w:jc w:val="both"/>
        <w:rPr>
          <w:rFonts w:ascii="Arial" w:eastAsia="Times New Roman" w:hAnsi="Arial" w:cs="Arial"/>
          <w:color w:val="000000"/>
          <w:sz w:val="22"/>
          <w:szCs w:val="24"/>
          <w:lang w:val="es-ES" w:eastAsia="en-GB"/>
        </w:rPr>
      </w:pPr>
      <w:r w:rsidRPr="00485EB5">
        <w:rPr>
          <w:rFonts w:ascii="Arial" w:eastAsia="Times New Roman" w:hAnsi="Arial" w:cs="Arial"/>
          <w:color w:val="000000"/>
          <w:sz w:val="22"/>
          <w:szCs w:val="24"/>
          <w:lang w:val="es-ES" w:eastAsia="en-GB"/>
        </w:rPr>
        <w:lastRenderedPageBreak/>
        <w:t>As</w:t>
      </w:r>
      <w:r w:rsidRPr="00FF1FDF">
        <w:rPr>
          <w:rFonts w:ascii="Arial" w:eastAsia="Times New Roman" w:hAnsi="Arial" w:cs="Arial"/>
          <w:color w:val="000000"/>
          <w:sz w:val="22"/>
          <w:szCs w:val="24"/>
          <w:lang w:val="es-ES" w:eastAsia="en-GB"/>
        </w:rPr>
        <w:t>imismo, de acuerdo con el literal g) del artículo 11 de la misma Ley, todos los destinatarios de la ley de transparencia deben garantizar la publicidad de «[…] sus procedimientos, lineamientos, políticas en materia de adquisiciones y compras, así como todo</w:t>
      </w:r>
      <w:r w:rsidRPr="004026A6">
        <w:rPr>
          <w:rFonts w:ascii="Arial" w:eastAsia="Times New Roman" w:hAnsi="Arial" w:cs="Arial"/>
          <w:color w:val="000000"/>
          <w:sz w:val="22"/>
          <w:szCs w:val="24"/>
          <w:lang w:val="es-ES" w:eastAsia="en-GB"/>
        </w:rPr>
        <w:t>s los datos de adjudicación y ejecución de contratos, incluidos concursos y licitaciones», y esta información también debe estar en el SECOP.</w:t>
      </w:r>
    </w:p>
    <w:p w14:paraId="7CB8574D" w14:textId="586E4C9D" w:rsidR="009053B7" w:rsidRPr="009053B7" w:rsidRDefault="009053B7" w:rsidP="009053B7">
      <w:pPr>
        <w:widowControl w:val="0"/>
        <w:tabs>
          <w:tab w:val="left" w:pos="728"/>
        </w:tabs>
        <w:autoSpaceDE w:val="0"/>
        <w:autoSpaceDN w:val="0"/>
        <w:spacing w:after="120" w:line="276" w:lineRule="auto"/>
        <w:jc w:val="both"/>
        <w:rPr>
          <w:rFonts w:ascii="Arial" w:eastAsia="Arial" w:hAnsi="Arial" w:cs="Arial"/>
          <w:sz w:val="22"/>
          <w:lang w:val="es-ES"/>
        </w:rPr>
      </w:pPr>
      <w:r>
        <w:rPr>
          <w:rFonts w:ascii="Arial" w:eastAsia="Arial" w:hAnsi="Arial" w:cs="Arial"/>
          <w:sz w:val="22"/>
          <w:lang w:val="es-ES"/>
        </w:rPr>
        <w:tab/>
      </w:r>
      <w:r w:rsidRPr="009053B7">
        <w:rPr>
          <w:rFonts w:ascii="Arial" w:eastAsia="Arial" w:hAnsi="Arial" w:cs="Arial"/>
          <w:sz w:val="22"/>
          <w:lang w:val="es-ES"/>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9053B7">
        <w:rPr>
          <w:rFonts w:ascii="Arial" w:eastAsia="Arial" w:hAnsi="Arial" w:cs="Arial"/>
          <w:sz w:val="22"/>
          <w:vertAlign w:val="superscript"/>
          <w:lang w:val="es-ES"/>
        </w:rPr>
        <w:footnoteReference w:id="18"/>
      </w:r>
      <w:r w:rsidRPr="009053B7">
        <w:rPr>
          <w:rFonts w:ascii="Arial" w:eastAsia="Arial" w:hAnsi="Arial" w:cs="Arial"/>
          <w:sz w:val="22"/>
          <w:lang w:val="es-ES"/>
        </w:rPr>
        <w:t>.</w:t>
      </w:r>
    </w:p>
    <w:p w14:paraId="46FA1A76" w14:textId="77777777" w:rsidR="009053B7" w:rsidRPr="009053B7" w:rsidRDefault="009053B7" w:rsidP="009053B7">
      <w:pPr>
        <w:widowControl w:val="0"/>
        <w:tabs>
          <w:tab w:val="left" w:pos="728"/>
        </w:tabs>
        <w:autoSpaceDE w:val="0"/>
        <w:autoSpaceDN w:val="0"/>
        <w:spacing w:line="276" w:lineRule="auto"/>
        <w:jc w:val="both"/>
        <w:rPr>
          <w:rFonts w:ascii="Arial" w:eastAsia="Calibri" w:hAnsi="Arial" w:cs="Arial"/>
          <w:sz w:val="22"/>
          <w:lang w:val="es-ES"/>
        </w:rPr>
      </w:pPr>
      <w:r w:rsidRPr="009053B7">
        <w:rPr>
          <w:rFonts w:ascii="Arial" w:eastAsia="Arial" w:hAnsi="Arial" w:cs="Arial"/>
          <w:sz w:val="22"/>
          <w:lang w:val="es-ES"/>
        </w:rPr>
        <w:tab/>
      </w:r>
      <w:r w:rsidRPr="009053B7">
        <w:rPr>
          <w:rFonts w:ascii="Arial" w:eastAsia="Calibri" w:hAnsi="Arial" w:cs="Arial"/>
          <w:sz w:val="22"/>
          <w:lang w:val="es-ES"/>
        </w:rPr>
        <w:t xml:space="preserve"> El deber de publicidad de los documentos expedidos en virtud de la actividad contractual que se desprende del artículo 3 de la Ley 1150 de 2007, se encuentra regulado por el artículo 2.2.1.1.1.7.1. del Decreto 1082 de 2015 el cual establece los documentos que se deben publicar y al SECOP como medio de publicación</w:t>
      </w:r>
      <w:r w:rsidRPr="009053B7">
        <w:rPr>
          <w:rFonts w:ascii="Arial" w:eastAsia="Calibri" w:hAnsi="Arial" w:cs="Arial"/>
          <w:sz w:val="22"/>
          <w:vertAlign w:val="superscript"/>
          <w:lang w:val="es-ES"/>
        </w:rPr>
        <w:footnoteReference w:id="19"/>
      </w:r>
      <w:r w:rsidRPr="009053B7">
        <w:rPr>
          <w:rFonts w:ascii="Arial" w:eastAsia="Calibri" w:hAnsi="Arial" w:cs="Arial"/>
          <w:sz w:val="22"/>
          <w:lang w:val="es-ES"/>
        </w:rPr>
        <w:t>,  lo que permite controlar las actuaciones y decisiones de la Administración y el cumplimiento de los demás principios de la contratación pública. Así lo confirma el Consejo de Estado, analizando el principio de publicidad:</w:t>
      </w:r>
    </w:p>
    <w:p w14:paraId="03D5F384" w14:textId="77777777" w:rsidR="009053B7" w:rsidRPr="009053B7" w:rsidRDefault="009053B7" w:rsidP="009053B7">
      <w:pPr>
        <w:spacing w:after="120"/>
        <w:ind w:left="709" w:right="709"/>
        <w:jc w:val="both"/>
        <w:rPr>
          <w:rFonts w:ascii="Arial" w:eastAsia="Calibri" w:hAnsi="Arial" w:cs="Arial"/>
          <w:sz w:val="21"/>
          <w:szCs w:val="21"/>
          <w:lang w:val="es-ES"/>
        </w:rPr>
      </w:pPr>
    </w:p>
    <w:p w14:paraId="41EBCFD7" w14:textId="77777777" w:rsidR="009053B7" w:rsidRPr="009053B7" w:rsidRDefault="009053B7" w:rsidP="009053B7">
      <w:pPr>
        <w:ind w:left="709" w:right="709"/>
        <w:jc w:val="both"/>
        <w:rPr>
          <w:rFonts w:ascii="Arial" w:eastAsia="Calibri" w:hAnsi="Arial" w:cs="Arial"/>
          <w:sz w:val="21"/>
          <w:szCs w:val="21"/>
          <w:lang w:val="es-ES"/>
        </w:rPr>
      </w:pPr>
      <w:r w:rsidRPr="009053B7">
        <w:rPr>
          <w:rFonts w:ascii="Arial" w:eastAsia="Calibri" w:hAnsi="Arial" w:cs="Arial"/>
          <w:sz w:val="21"/>
          <w:szCs w:val="21"/>
          <w:lang w:val="es-ES"/>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0E91507D" w14:textId="77777777" w:rsidR="009053B7" w:rsidRPr="009053B7" w:rsidRDefault="009053B7" w:rsidP="009053B7">
      <w:pPr>
        <w:spacing w:after="120"/>
        <w:ind w:left="709" w:right="709"/>
        <w:jc w:val="both"/>
        <w:rPr>
          <w:rFonts w:ascii="Arial" w:eastAsia="Calibri" w:hAnsi="Arial" w:cs="Arial"/>
          <w:sz w:val="21"/>
          <w:szCs w:val="21"/>
          <w:lang w:val="es-ES"/>
        </w:rPr>
      </w:pPr>
    </w:p>
    <w:p w14:paraId="77C975AB" w14:textId="77777777" w:rsidR="009053B7" w:rsidRPr="009053B7" w:rsidRDefault="009053B7" w:rsidP="009053B7">
      <w:pPr>
        <w:ind w:left="709" w:right="709"/>
        <w:jc w:val="both"/>
        <w:rPr>
          <w:rFonts w:ascii="Arial" w:eastAsia="Calibri" w:hAnsi="Arial" w:cs="Arial"/>
          <w:sz w:val="21"/>
          <w:szCs w:val="21"/>
          <w:lang w:val="es-ES"/>
        </w:rPr>
      </w:pPr>
      <w:r w:rsidRPr="009053B7">
        <w:rPr>
          <w:rFonts w:ascii="Arial" w:eastAsia="Calibri" w:hAnsi="Arial" w:cs="Arial"/>
          <w:sz w:val="21"/>
          <w:szCs w:val="21"/>
          <w:lang w:val="es-ES"/>
        </w:rPr>
        <w:t xml:space="preserve">En efecto, los posibles oferentes y la comunidad en general deben tener conocimiento o la oportunidad de conocer tanto la convocatoria y reglas del proceso de selección o llamado a la licitación, como los actos y hechos del </w:t>
      </w:r>
      <w:r w:rsidRPr="009053B7">
        <w:rPr>
          <w:rFonts w:ascii="Arial" w:eastAsia="Calibri" w:hAnsi="Arial" w:cs="Arial"/>
          <w:sz w:val="21"/>
          <w:szCs w:val="21"/>
          <w:lang w:val="es-ES"/>
        </w:rPr>
        <w:lastRenderedPageBreak/>
        <w:t xml:space="preserve">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w:t>
      </w:r>
      <w:proofErr w:type="spellStart"/>
      <w:r w:rsidRPr="009053B7">
        <w:rPr>
          <w:rFonts w:ascii="Arial" w:eastAsia="Calibri" w:hAnsi="Arial" w:cs="Arial"/>
          <w:sz w:val="21"/>
          <w:szCs w:val="21"/>
          <w:lang w:val="es-ES"/>
        </w:rPr>
        <w:t>ibídem</w:t>
      </w:r>
      <w:proofErr w:type="spellEnd"/>
      <w:r w:rsidRPr="009053B7">
        <w:rPr>
          <w:rFonts w:ascii="Arial" w:eastAsia="Calibri" w:hAnsi="Arial" w:cs="Arial"/>
          <w:sz w:val="21"/>
          <w:szCs w:val="21"/>
          <w:lang w:val="es-ES"/>
        </w:rPr>
        <w:t xml:space="preserve"> en armonía con el artículo 273 de la Constitución Política).</w:t>
      </w:r>
    </w:p>
    <w:p w14:paraId="06B40C0C" w14:textId="77777777" w:rsidR="009053B7" w:rsidRPr="009053B7" w:rsidRDefault="009053B7" w:rsidP="009053B7">
      <w:pPr>
        <w:spacing w:after="120"/>
        <w:ind w:left="709" w:right="709"/>
        <w:jc w:val="both"/>
        <w:rPr>
          <w:rFonts w:ascii="Arial" w:eastAsia="Calibri" w:hAnsi="Arial" w:cs="Arial"/>
          <w:sz w:val="21"/>
          <w:szCs w:val="21"/>
          <w:lang w:val="es-ES"/>
        </w:rPr>
      </w:pPr>
    </w:p>
    <w:p w14:paraId="443EE3A1" w14:textId="77777777" w:rsidR="009053B7" w:rsidRPr="009053B7" w:rsidRDefault="009053B7" w:rsidP="009053B7">
      <w:pPr>
        <w:spacing w:after="120"/>
        <w:ind w:left="709" w:right="709"/>
        <w:jc w:val="both"/>
        <w:rPr>
          <w:rFonts w:ascii="Arial" w:eastAsia="Calibri" w:hAnsi="Arial" w:cs="Arial"/>
          <w:sz w:val="21"/>
          <w:szCs w:val="21"/>
          <w:lang w:val="es-ES"/>
        </w:rPr>
      </w:pPr>
      <w:r w:rsidRPr="009053B7">
        <w:rPr>
          <w:rFonts w:ascii="Arial" w:eastAsia="Calibri" w:hAnsi="Arial" w:cs="Arial"/>
          <w:sz w:val="21"/>
          <w:szCs w:val="21"/>
          <w:lang w:val="es-ES"/>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9053B7">
        <w:rPr>
          <w:rFonts w:ascii="Arial" w:eastAsia="Calibri" w:hAnsi="Arial" w:cs="Arial"/>
          <w:sz w:val="21"/>
          <w:szCs w:val="21"/>
          <w:vertAlign w:val="superscript"/>
          <w:lang w:val="es-ES"/>
        </w:rPr>
        <w:footnoteReference w:id="20"/>
      </w:r>
      <w:r w:rsidRPr="009053B7">
        <w:rPr>
          <w:rFonts w:ascii="Arial" w:eastAsia="Calibri" w:hAnsi="Arial" w:cs="Arial"/>
          <w:sz w:val="21"/>
          <w:szCs w:val="21"/>
          <w:lang w:val="es-ES"/>
        </w:rPr>
        <w:t>.</w:t>
      </w:r>
    </w:p>
    <w:p w14:paraId="3BAF64F7" w14:textId="77777777" w:rsidR="009053B7" w:rsidRPr="009053B7" w:rsidRDefault="009053B7" w:rsidP="009053B7">
      <w:pPr>
        <w:spacing w:after="120"/>
        <w:ind w:left="709" w:right="709"/>
        <w:jc w:val="both"/>
        <w:rPr>
          <w:rFonts w:ascii="Arial" w:eastAsia="Calibri" w:hAnsi="Arial" w:cs="Arial"/>
          <w:sz w:val="21"/>
          <w:szCs w:val="21"/>
          <w:lang w:val="es-ES"/>
        </w:rPr>
      </w:pPr>
    </w:p>
    <w:p w14:paraId="52C12A87" w14:textId="77777777" w:rsidR="009053B7" w:rsidRPr="009053B7" w:rsidRDefault="009053B7" w:rsidP="009053B7">
      <w:pPr>
        <w:spacing w:after="120" w:line="276" w:lineRule="auto"/>
        <w:ind w:firstLine="709"/>
        <w:jc w:val="both"/>
        <w:rPr>
          <w:rFonts w:ascii="Arial" w:eastAsia="Calibri" w:hAnsi="Arial" w:cs="Arial"/>
          <w:sz w:val="22"/>
          <w:lang w:val="es-ES"/>
        </w:rPr>
      </w:pPr>
      <w:r w:rsidRPr="009053B7">
        <w:rPr>
          <w:rFonts w:ascii="Arial" w:eastAsia="Calibri" w:hAnsi="Arial" w:cs="Arial"/>
          <w:sz w:val="22"/>
          <w:lang w:val="es-ES"/>
        </w:rPr>
        <w:t xml:space="preserve">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 </w:t>
      </w:r>
    </w:p>
    <w:p w14:paraId="57894BDE" w14:textId="02803AD0" w:rsidR="009053B7" w:rsidRPr="009053B7" w:rsidRDefault="009053B7" w:rsidP="009053B7">
      <w:pPr>
        <w:spacing w:after="120" w:line="276" w:lineRule="auto"/>
        <w:ind w:firstLine="709"/>
        <w:jc w:val="both"/>
        <w:rPr>
          <w:rFonts w:ascii="Arial" w:eastAsia="Calibri" w:hAnsi="Arial" w:cs="Arial"/>
          <w:sz w:val="22"/>
          <w:lang w:val="es-ES"/>
        </w:rPr>
      </w:pPr>
      <w:r w:rsidRPr="009053B7">
        <w:rPr>
          <w:rFonts w:ascii="Arial" w:eastAsia="Calibri" w:hAnsi="Arial" w:cs="Arial"/>
          <w:sz w:val="22"/>
          <w:lang w:val="es-ES"/>
        </w:rPr>
        <w:t xml:space="preserve">Conforme </w:t>
      </w:r>
      <w:r>
        <w:rPr>
          <w:rFonts w:ascii="Arial" w:eastAsia="Calibri" w:hAnsi="Arial" w:cs="Arial"/>
          <w:sz w:val="22"/>
          <w:lang w:val="es-ES"/>
        </w:rPr>
        <w:t>a</w:t>
      </w:r>
      <w:r w:rsidRPr="009053B7">
        <w:rPr>
          <w:rFonts w:ascii="Arial" w:eastAsia="Calibri" w:hAnsi="Arial" w:cs="Arial"/>
          <w:sz w:val="22"/>
          <w:lang w:val="es-ES"/>
        </w:rPr>
        <w:t xml:space="preserve"> lo anterior,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ciudadanía pueda conocer la actividad contractual de las entidades, comoquiera que tales documentos dan cuenta de las decisiones de la Administración pública en beneficio del interés general y que por tanto incumben a la ciudadanía.  </w:t>
      </w:r>
    </w:p>
    <w:p w14:paraId="27307036" w14:textId="4F2CEA80" w:rsidR="009053B7" w:rsidRPr="009053B7" w:rsidRDefault="009053B7" w:rsidP="009053B7">
      <w:pPr>
        <w:spacing w:line="276" w:lineRule="auto"/>
        <w:ind w:firstLine="709"/>
        <w:jc w:val="both"/>
        <w:rPr>
          <w:rFonts w:ascii="Arial" w:eastAsia="Calibri" w:hAnsi="Arial" w:cs="Arial"/>
          <w:sz w:val="22"/>
          <w:lang w:val="es-ES"/>
        </w:rPr>
      </w:pPr>
      <w:r w:rsidRPr="009053B7">
        <w:rPr>
          <w:rFonts w:ascii="Arial" w:eastAsia="Calibri" w:hAnsi="Arial" w:cs="Arial"/>
          <w:sz w:val="22"/>
          <w:lang w:val="es-ES"/>
        </w:rPr>
        <w:t xml:space="preserve"> En conclusión, el artículo 3 de la Ley 1150 de 2007 desarrolla los principios de publicidad y transparencia de las actuaciones contractuales, del cual se desprende un deber de publicar las actuaciones contractuales, el cual implica que todas las entidades estatales, publiquen los documentos en los que se evidencia el desarrollo de sus procesos de contratación, esto comoquiera que el objetivo del deber de dar publicidad a las actuaciones contractuales es materializar el derecho a conocer e intervenir de las decisiones de la Administración Pública.</w:t>
      </w:r>
    </w:p>
    <w:p w14:paraId="79C9E01E" w14:textId="76C06660" w:rsidR="003C5831" w:rsidRPr="001B56BF" w:rsidRDefault="003C5831" w:rsidP="003C5831">
      <w:pPr>
        <w:spacing w:after="120" w:line="276" w:lineRule="auto"/>
        <w:ind w:firstLine="709"/>
        <w:jc w:val="both"/>
        <w:rPr>
          <w:rFonts w:ascii="Arial" w:eastAsia="Times New Roman" w:hAnsi="Arial" w:cs="Arial"/>
          <w:color w:val="000000"/>
          <w:sz w:val="22"/>
          <w:szCs w:val="24"/>
          <w:lang w:val="es-ES" w:eastAsia="en-GB"/>
        </w:rPr>
      </w:pPr>
      <w:r w:rsidRPr="004026A6">
        <w:rPr>
          <w:rFonts w:ascii="Arial" w:eastAsia="Times New Roman" w:hAnsi="Arial" w:cs="Arial"/>
          <w:color w:val="000000"/>
          <w:sz w:val="22"/>
          <w:szCs w:val="24"/>
          <w:lang w:val="es-ES" w:eastAsia="en-GB"/>
        </w:rPr>
        <w:t>En ese orden de ideas, los sujetos obligados a publicar en el SECOP son las entidades estatales, bien sea en el sentido del Estatuto General de Contratación de la Administración Pública y el Decreto 1082 d</w:t>
      </w:r>
      <w:r w:rsidRPr="001B56BF">
        <w:rPr>
          <w:rFonts w:ascii="Arial" w:eastAsia="Times New Roman" w:hAnsi="Arial" w:cs="Arial"/>
          <w:color w:val="000000"/>
          <w:sz w:val="22"/>
          <w:szCs w:val="24"/>
          <w:lang w:val="es-ES" w:eastAsia="en-GB"/>
        </w:rPr>
        <w:t xml:space="preserve">e 2015, o en el sentido más amplio de la Ley 1712 de 2015. </w:t>
      </w:r>
    </w:p>
    <w:p w14:paraId="4E24634A" w14:textId="65EF2DD3" w:rsidR="003C5831" w:rsidRPr="004026A6" w:rsidRDefault="003C5831" w:rsidP="003C5831">
      <w:pPr>
        <w:spacing w:after="120" w:line="276" w:lineRule="auto"/>
        <w:ind w:firstLine="709"/>
        <w:jc w:val="both"/>
        <w:rPr>
          <w:rFonts w:ascii="Arial" w:eastAsia="Times New Roman" w:hAnsi="Arial" w:cs="Arial"/>
          <w:color w:val="000000"/>
          <w:sz w:val="22"/>
          <w:szCs w:val="24"/>
          <w:lang w:val="es-ES" w:eastAsia="en-GB"/>
        </w:rPr>
      </w:pPr>
      <w:r w:rsidRPr="001B56BF">
        <w:rPr>
          <w:rFonts w:ascii="Arial" w:eastAsia="Times New Roman" w:hAnsi="Arial" w:cs="Arial"/>
          <w:color w:val="000000"/>
          <w:sz w:val="22"/>
          <w:szCs w:val="24"/>
          <w:lang w:val="es-ES" w:eastAsia="en-GB"/>
        </w:rPr>
        <w:t xml:space="preserve">A la luz de lo anterior, por no existir ninguna excepción de origen legal para la contratación relacionada con la explotación comercial de propiedad intelectual a la que se </w:t>
      </w:r>
      <w:r w:rsidRPr="001B56BF">
        <w:rPr>
          <w:rFonts w:ascii="Arial" w:eastAsia="Times New Roman" w:hAnsi="Arial" w:cs="Arial"/>
          <w:color w:val="000000"/>
          <w:sz w:val="22"/>
          <w:szCs w:val="24"/>
          <w:lang w:val="es-ES" w:eastAsia="en-GB"/>
        </w:rPr>
        <w:lastRenderedPageBreak/>
        <w:t>refiere el artículo 167 de la Ley 1955 de 2019, las entidades estatales se encuentran obligadas a publicar su actividad contractual en el SECOP, con independencia del régimen jurídico aplicable; esto es, si se trata de entidades estatales sometidas al Estatuto General de Contratación de la Administración Pública, o a regímenes especiales.</w:t>
      </w:r>
    </w:p>
    <w:p w14:paraId="1CEEEDCE" w14:textId="0448FBDB" w:rsidR="00B414DE" w:rsidRPr="001B56BF" w:rsidRDefault="00B414DE" w:rsidP="00B079C1">
      <w:pPr>
        <w:spacing w:line="276" w:lineRule="auto"/>
        <w:ind w:right="709"/>
        <w:jc w:val="both"/>
        <w:rPr>
          <w:rFonts w:ascii="Arial" w:hAnsi="Arial" w:cs="Arial"/>
          <w:color w:val="000000" w:themeColor="text1"/>
          <w:sz w:val="21"/>
          <w:szCs w:val="21"/>
          <w:lang w:val="es-ES"/>
        </w:rPr>
      </w:pPr>
    </w:p>
    <w:p w14:paraId="1525C158" w14:textId="77777777" w:rsidR="00B414DE" w:rsidRPr="001B56BF" w:rsidRDefault="00B414DE" w:rsidP="00660C9C">
      <w:pPr>
        <w:pStyle w:val="Prrafodelista"/>
        <w:numPr>
          <w:ilvl w:val="0"/>
          <w:numId w:val="1"/>
        </w:numPr>
        <w:tabs>
          <w:tab w:val="left" w:pos="284"/>
        </w:tabs>
        <w:spacing w:line="276" w:lineRule="auto"/>
        <w:ind w:left="0" w:firstLine="0"/>
        <w:jc w:val="both"/>
        <w:rPr>
          <w:rFonts w:ascii="Arial" w:hAnsi="Arial" w:cs="Arial"/>
          <w:b/>
          <w:bCs/>
          <w:color w:val="000000" w:themeColor="text1"/>
          <w:sz w:val="22"/>
          <w:lang w:val="es-ES"/>
        </w:rPr>
      </w:pPr>
      <w:r w:rsidRPr="001B56BF">
        <w:rPr>
          <w:rFonts w:ascii="Arial" w:hAnsi="Arial" w:cs="Arial"/>
          <w:b/>
          <w:bCs/>
          <w:color w:val="000000" w:themeColor="text1"/>
          <w:sz w:val="22"/>
          <w:lang w:val="es-ES"/>
        </w:rPr>
        <w:t xml:space="preserve">Respuesta </w:t>
      </w:r>
    </w:p>
    <w:p w14:paraId="647707B6" w14:textId="77777777" w:rsidR="00B414DE" w:rsidRPr="001B56BF" w:rsidRDefault="00B414DE" w:rsidP="00660C9C">
      <w:pPr>
        <w:spacing w:line="276" w:lineRule="auto"/>
        <w:jc w:val="both"/>
        <w:rPr>
          <w:rFonts w:ascii="Arial" w:hAnsi="Arial" w:cs="Arial"/>
          <w:color w:val="000000" w:themeColor="text1"/>
          <w:sz w:val="22"/>
          <w:lang w:val="es-ES"/>
        </w:rPr>
      </w:pPr>
    </w:p>
    <w:p w14:paraId="078E9302" w14:textId="43654ED9" w:rsidR="002B69A9" w:rsidRPr="001B56BF" w:rsidRDefault="002C7513" w:rsidP="002B69A9">
      <w:pPr>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w:t>
      </w:r>
      <w:r w:rsidR="002B69A9" w:rsidRPr="001B56BF">
        <w:rPr>
          <w:rFonts w:ascii="Arial" w:eastAsia="Calibri" w:hAnsi="Arial" w:cs="Arial"/>
          <w:color w:val="000000" w:themeColor="text1"/>
          <w:sz w:val="21"/>
          <w:szCs w:val="21"/>
          <w:lang w:val="es-ES"/>
        </w:rPr>
        <w:t>(i) ¿Cuál sería el régimen de contratación aplicable a las entidades públicas para la explotación de bienes intangibles o derechos de propiedad intelectual de los cuales sean titulares, en atención a lo previsto en el artículo 167 de la Ley 1955 de 2019?</w:t>
      </w:r>
      <w:r>
        <w:rPr>
          <w:rFonts w:ascii="Arial" w:eastAsia="Calibri" w:hAnsi="Arial" w:cs="Arial"/>
          <w:color w:val="000000" w:themeColor="text1"/>
          <w:sz w:val="21"/>
          <w:szCs w:val="21"/>
          <w:lang w:val="es-ES"/>
        </w:rPr>
        <w:t>»</w:t>
      </w:r>
      <w:r w:rsidR="002B69A9" w:rsidRPr="001B56BF">
        <w:rPr>
          <w:rFonts w:ascii="Arial" w:eastAsia="Calibri" w:hAnsi="Arial" w:cs="Arial"/>
          <w:color w:val="000000" w:themeColor="text1"/>
          <w:sz w:val="21"/>
          <w:szCs w:val="21"/>
          <w:lang w:val="es-ES"/>
        </w:rPr>
        <w:t xml:space="preserve"> </w:t>
      </w:r>
    </w:p>
    <w:p w14:paraId="4252FCE3" w14:textId="4F2F8932" w:rsidR="002B69A9" w:rsidRPr="001B56BF" w:rsidRDefault="002B69A9" w:rsidP="002B69A9">
      <w:pPr>
        <w:spacing w:line="276" w:lineRule="auto"/>
        <w:jc w:val="both"/>
        <w:rPr>
          <w:rFonts w:ascii="Arial" w:eastAsia="Calibri" w:hAnsi="Arial" w:cs="Arial"/>
          <w:color w:val="000000" w:themeColor="text1"/>
          <w:sz w:val="22"/>
          <w:lang w:val="es-ES"/>
        </w:rPr>
      </w:pPr>
    </w:p>
    <w:p w14:paraId="55789575" w14:textId="77777777" w:rsidR="00F554DC" w:rsidRPr="001B56BF" w:rsidRDefault="00F554DC" w:rsidP="00F554DC">
      <w:pPr>
        <w:pStyle w:val="Sinespaciado"/>
        <w:spacing w:after="120" w:line="276" w:lineRule="auto"/>
        <w:jc w:val="both"/>
        <w:rPr>
          <w:rFonts w:ascii="Arial" w:hAnsi="Arial" w:cs="Arial"/>
          <w:color w:val="000000" w:themeColor="text1"/>
          <w:sz w:val="22"/>
          <w:lang w:val="es-ES"/>
        </w:rPr>
      </w:pPr>
      <w:r w:rsidRPr="001B56BF">
        <w:rPr>
          <w:rFonts w:ascii="Arial" w:hAnsi="Arial" w:cs="Arial"/>
          <w:color w:val="000000" w:themeColor="text1"/>
          <w:sz w:val="22"/>
          <w:lang w:val="es-ES"/>
        </w:rPr>
        <w:t xml:space="preserve">La Ley 1955 de 2019 no creó un régimen especial de contratación aplicable a todas las entidades estatales en posición de negociar con bienes intangibles. Por lo tanto, el régimen jurídico de gestión contractual de los derechos de propiedad intelectual debe definirse atendiendo al criterio orgánico, esto es, el régimen jurídico contractual aplicable a la persona de derecho público titular de esos bienes. </w:t>
      </w:r>
    </w:p>
    <w:p w14:paraId="538E4052" w14:textId="609A6F69" w:rsidR="002B69A9" w:rsidRPr="001B56BF" w:rsidRDefault="00F554DC" w:rsidP="00F554DC">
      <w:pPr>
        <w:pStyle w:val="Sinespaciado"/>
        <w:spacing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t>En otras palabras, si se trata de una entidad a la cual no se le ha dado un tratamiento jurídico preferente, se habrá de aplicar el Estatuto General de Contratación de la Administración Pública, pero si, por el contrario, se hace referencia a una entidad regida por las disposiciones de una ley especial, se aplicará lo establecido por el régimen especial, que</w:t>
      </w:r>
      <w:r w:rsidR="00936CAA">
        <w:rPr>
          <w:rFonts w:ascii="Arial" w:hAnsi="Arial" w:cs="Arial"/>
          <w:color w:val="000000" w:themeColor="text1"/>
          <w:sz w:val="22"/>
          <w:lang w:val="es-ES"/>
        </w:rPr>
        <w:t>,</w:t>
      </w:r>
      <w:r w:rsidRPr="00936CAA">
        <w:rPr>
          <w:rFonts w:ascii="Arial" w:hAnsi="Arial" w:cs="Arial"/>
          <w:color w:val="000000" w:themeColor="text1"/>
          <w:sz w:val="22"/>
          <w:lang w:val="es-ES"/>
        </w:rPr>
        <w:t xml:space="preserve"> por regla general</w:t>
      </w:r>
      <w:r w:rsidR="00936CAA">
        <w:rPr>
          <w:rFonts w:ascii="Arial" w:hAnsi="Arial" w:cs="Arial"/>
          <w:color w:val="000000" w:themeColor="text1"/>
          <w:sz w:val="22"/>
          <w:lang w:val="es-ES"/>
        </w:rPr>
        <w:t>,</w:t>
      </w:r>
      <w:r w:rsidRPr="00936CAA">
        <w:rPr>
          <w:rFonts w:ascii="Arial" w:hAnsi="Arial" w:cs="Arial"/>
          <w:color w:val="000000" w:themeColor="text1"/>
          <w:sz w:val="22"/>
          <w:lang w:val="es-ES"/>
        </w:rPr>
        <w:t xml:space="preserve"> es el derecho privado matizado por los principios de la función administrativa, la gest</w:t>
      </w:r>
      <w:r w:rsidRPr="001B56BF">
        <w:rPr>
          <w:rFonts w:ascii="Arial" w:hAnsi="Arial" w:cs="Arial"/>
          <w:color w:val="000000" w:themeColor="text1"/>
          <w:sz w:val="22"/>
          <w:lang w:val="es-ES"/>
        </w:rPr>
        <w:t xml:space="preserve">ión fiscal y las inhabilidades e incompatibilidades, tal y como lo establece el artículo 13 de la Ley 1150 de 2007.  </w:t>
      </w:r>
    </w:p>
    <w:p w14:paraId="0CFC6BEF" w14:textId="77777777" w:rsidR="00F554DC" w:rsidRPr="001B56BF" w:rsidRDefault="00F554DC" w:rsidP="002B69A9">
      <w:pPr>
        <w:ind w:left="709" w:right="758"/>
        <w:jc w:val="both"/>
        <w:rPr>
          <w:rFonts w:ascii="Arial" w:eastAsia="Calibri" w:hAnsi="Arial" w:cs="Arial"/>
          <w:color w:val="000000" w:themeColor="text1"/>
          <w:sz w:val="21"/>
          <w:szCs w:val="21"/>
          <w:lang w:val="es-ES"/>
        </w:rPr>
      </w:pPr>
    </w:p>
    <w:p w14:paraId="3BBF86DC" w14:textId="1FDB0375" w:rsidR="00F554DC" w:rsidRPr="001B56BF" w:rsidRDefault="002C7513" w:rsidP="00F554DC">
      <w:pPr>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w:t>
      </w:r>
      <w:r w:rsidR="002B69A9" w:rsidRPr="001B56BF">
        <w:rPr>
          <w:rFonts w:ascii="Arial" w:eastAsia="Calibri" w:hAnsi="Arial" w:cs="Arial"/>
          <w:color w:val="000000" w:themeColor="text1"/>
          <w:sz w:val="21"/>
          <w:szCs w:val="21"/>
          <w:lang w:val="es-ES"/>
        </w:rPr>
        <w:t>(</w:t>
      </w:r>
      <w:proofErr w:type="spellStart"/>
      <w:r w:rsidR="002B69A9" w:rsidRPr="001B56BF">
        <w:rPr>
          <w:rFonts w:ascii="Arial" w:eastAsia="Calibri" w:hAnsi="Arial" w:cs="Arial"/>
          <w:color w:val="000000" w:themeColor="text1"/>
          <w:sz w:val="21"/>
          <w:szCs w:val="21"/>
          <w:lang w:val="es-ES"/>
        </w:rPr>
        <w:t>ii</w:t>
      </w:r>
      <w:proofErr w:type="spellEnd"/>
      <w:r w:rsidR="002B69A9" w:rsidRPr="001B56BF">
        <w:rPr>
          <w:rFonts w:ascii="Arial" w:eastAsia="Calibri" w:hAnsi="Arial" w:cs="Arial"/>
          <w:color w:val="000000" w:themeColor="text1"/>
          <w:sz w:val="21"/>
          <w:szCs w:val="21"/>
          <w:lang w:val="es-ES"/>
        </w:rPr>
        <w:t>) De acuerdo con la respuesta anterior, ¿El régimen de contratación descrito sería aplicable a todas las entidades públicas?</w:t>
      </w:r>
      <w:r>
        <w:rPr>
          <w:rFonts w:ascii="Arial" w:eastAsia="Calibri" w:hAnsi="Arial" w:cs="Arial"/>
          <w:color w:val="000000" w:themeColor="text1"/>
          <w:sz w:val="21"/>
          <w:szCs w:val="21"/>
          <w:lang w:val="es-ES"/>
        </w:rPr>
        <w:t>»</w:t>
      </w:r>
      <w:r w:rsidR="002B69A9" w:rsidRPr="001B56BF">
        <w:rPr>
          <w:rFonts w:ascii="Arial" w:eastAsia="Calibri" w:hAnsi="Arial" w:cs="Arial"/>
          <w:color w:val="000000" w:themeColor="text1"/>
          <w:sz w:val="21"/>
          <w:szCs w:val="21"/>
          <w:lang w:val="es-ES"/>
        </w:rPr>
        <w:t xml:space="preserve"> </w:t>
      </w:r>
    </w:p>
    <w:p w14:paraId="5DCE9EAC" w14:textId="77777777" w:rsidR="00F554DC" w:rsidRPr="001B56BF" w:rsidRDefault="00F554DC" w:rsidP="00F554DC">
      <w:pPr>
        <w:ind w:left="709" w:right="758"/>
        <w:jc w:val="both"/>
        <w:rPr>
          <w:rFonts w:ascii="Arial" w:eastAsia="Calibri" w:hAnsi="Arial" w:cs="Arial"/>
          <w:color w:val="000000" w:themeColor="text1"/>
          <w:sz w:val="21"/>
          <w:szCs w:val="21"/>
          <w:lang w:val="es-ES"/>
        </w:rPr>
      </w:pPr>
    </w:p>
    <w:p w14:paraId="4981C804" w14:textId="7D3C5C5A" w:rsidR="00F554DC" w:rsidRPr="001B56BF" w:rsidRDefault="00F554DC" w:rsidP="00F554DC">
      <w:pPr>
        <w:pStyle w:val="Sinespaciado"/>
        <w:spacing w:after="120" w:line="276" w:lineRule="auto"/>
        <w:jc w:val="both"/>
        <w:rPr>
          <w:rFonts w:ascii="Arial" w:hAnsi="Arial" w:cs="Arial"/>
          <w:color w:val="000000" w:themeColor="text1"/>
          <w:sz w:val="22"/>
          <w:lang w:val="es-ES"/>
        </w:rPr>
      </w:pPr>
      <w:r w:rsidRPr="001B56BF">
        <w:rPr>
          <w:rFonts w:ascii="Arial" w:hAnsi="Arial" w:cs="Arial"/>
          <w:color w:val="000000" w:themeColor="text1"/>
          <w:sz w:val="22"/>
          <w:lang w:val="es-ES"/>
        </w:rPr>
        <w:t xml:space="preserve">De conformidad con la respuesta anterior, el régimen jurídico de la gestión contractual de los derechos de propiedad intelectual debe definirse atendiendo al criterio orgánico, esto es, el régimen jurídico contractual aplicable a la persona de derecho público titular de esos bienes. </w:t>
      </w:r>
    </w:p>
    <w:p w14:paraId="12E3190C" w14:textId="77777777" w:rsidR="00F554DC" w:rsidRPr="001B56BF" w:rsidRDefault="00F554DC" w:rsidP="00F554DC">
      <w:pPr>
        <w:pStyle w:val="Sinespaciado"/>
        <w:spacing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t xml:space="preserve">En otras palabras, si se trata de una entidad a la cual no se le ha dado un tratamiento jurídico preferente, se habrá de aplicar el Estatuto General de Contratación de la Administración Pública, pero si, por el contrario, se hace referencia a una entidad regida por las disposiciones de una ley especial, se aplicará lo establecido por el régimen especial, que por regla general es el derecho privado matizado por los principios de la función administrativa, la gestión fiscal y las inhabilidades e incompatibilidades, tal y como lo establece el artículo 13 de la Ley 1150 de 2007.  </w:t>
      </w:r>
    </w:p>
    <w:p w14:paraId="7DFD1AAA" w14:textId="77777777" w:rsidR="002B69A9" w:rsidRPr="001B56BF" w:rsidRDefault="002B69A9" w:rsidP="002B69A9">
      <w:pPr>
        <w:spacing w:line="276" w:lineRule="auto"/>
        <w:jc w:val="both"/>
        <w:rPr>
          <w:rFonts w:ascii="Arial" w:eastAsia="Calibri" w:hAnsi="Arial" w:cs="Arial"/>
          <w:color w:val="000000" w:themeColor="text1"/>
          <w:sz w:val="22"/>
          <w:lang w:val="es-ES"/>
        </w:rPr>
      </w:pPr>
    </w:p>
    <w:p w14:paraId="134B0F4D" w14:textId="65D0F9B0" w:rsidR="002B69A9" w:rsidRPr="001B56BF" w:rsidRDefault="002C7513" w:rsidP="002B69A9">
      <w:pPr>
        <w:ind w:left="709" w:right="1041"/>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w:t>
      </w:r>
      <w:r w:rsidR="002B69A9" w:rsidRPr="001B56BF">
        <w:rPr>
          <w:rFonts w:ascii="Arial" w:eastAsia="Calibri" w:hAnsi="Arial" w:cs="Arial"/>
          <w:color w:val="000000" w:themeColor="text1"/>
          <w:sz w:val="21"/>
          <w:szCs w:val="21"/>
          <w:lang w:val="es-ES"/>
        </w:rPr>
        <w:t>(</w:t>
      </w:r>
      <w:proofErr w:type="spellStart"/>
      <w:r w:rsidR="002B69A9" w:rsidRPr="001B56BF">
        <w:rPr>
          <w:rFonts w:ascii="Arial" w:eastAsia="Calibri" w:hAnsi="Arial" w:cs="Arial"/>
          <w:color w:val="000000" w:themeColor="text1"/>
          <w:sz w:val="21"/>
          <w:szCs w:val="21"/>
          <w:lang w:val="es-ES"/>
        </w:rPr>
        <w:t>iii</w:t>
      </w:r>
      <w:proofErr w:type="spellEnd"/>
      <w:r w:rsidR="002B69A9" w:rsidRPr="001B56BF">
        <w:rPr>
          <w:rFonts w:ascii="Arial" w:eastAsia="Calibri" w:hAnsi="Arial" w:cs="Arial"/>
          <w:color w:val="000000" w:themeColor="text1"/>
          <w:sz w:val="21"/>
          <w:szCs w:val="21"/>
          <w:lang w:val="es-ES"/>
        </w:rPr>
        <w:t xml:space="preserve">) En el marco del referido artículo, ¿Bajo qué modalidad o tipología contractual una entidad pública puede acordar los términos y condiciones </w:t>
      </w:r>
      <w:r w:rsidR="002B69A9" w:rsidRPr="001B56BF">
        <w:rPr>
          <w:rFonts w:ascii="Arial" w:eastAsia="Calibri" w:hAnsi="Arial" w:cs="Arial"/>
          <w:color w:val="000000" w:themeColor="text1"/>
          <w:sz w:val="21"/>
          <w:szCs w:val="21"/>
          <w:lang w:val="es-ES"/>
        </w:rPr>
        <w:lastRenderedPageBreak/>
        <w:t>para la explotación comercial de bienes intangibles y derechos de propiedad intelectual de los cuales sea titular?</w:t>
      </w:r>
      <w:r>
        <w:rPr>
          <w:rFonts w:ascii="Arial" w:eastAsia="Calibri" w:hAnsi="Arial" w:cs="Arial"/>
          <w:color w:val="000000" w:themeColor="text1"/>
          <w:sz w:val="21"/>
          <w:szCs w:val="21"/>
          <w:lang w:val="es-ES"/>
        </w:rPr>
        <w:t>»</w:t>
      </w:r>
      <w:r w:rsidR="002B69A9" w:rsidRPr="001B56BF">
        <w:rPr>
          <w:rFonts w:ascii="Arial" w:eastAsia="Calibri" w:hAnsi="Arial" w:cs="Arial"/>
          <w:color w:val="000000" w:themeColor="text1"/>
          <w:sz w:val="21"/>
          <w:szCs w:val="21"/>
          <w:lang w:val="es-ES"/>
        </w:rPr>
        <w:t xml:space="preserve"> </w:t>
      </w:r>
    </w:p>
    <w:p w14:paraId="1A5CCF1E" w14:textId="77777777" w:rsidR="002B69A9" w:rsidRPr="001B56BF" w:rsidRDefault="002B69A9" w:rsidP="002B69A9">
      <w:pPr>
        <w:ind w:right="1041"/>
        <w:jc w:val="both"/>
        <w:rPr>
          <w:rFonts w:ascii="Arial" w:eastAsia="Calibri" w:hAnsi="Arial" w:cs="Arial"/>
          <w:color w:val="000000" w:themeColor="text1"/>
          <w:sz w:val="22"/>
          <w:lang w:val="es-ES"/>
        </w:rPr>
      </w:pPr>
    </w:p>
    <w:p w14:paraId="71D95AE1" w14:textId="17E27CF6" w:rsidR="003C5831" w:rsidRPr="000173A7" w:rsidRDefault="003C5831" w:rsidP="00EE6B33">
      <w:pPr>
        <w:pStyle w:val="Sinespaciado"/>
        <w:spacing w:after="120"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t>En relación con el tipo contractual que debe celebrarse, el Estatuto General de Contratación de la Administración Pública no contiene un tipo contractual especial, de derecho público, a través del cual se deba canalizar la explotación de la propiedad intelectual del Estado.  Por lo tanto, es relevante recordar que el artículo 32 de la Ley 80 de 1993 otorga libertad en la escogencia del tipo contractual a las entidades estatales</w:t>
      </w:r>
      <w:r w:rsidR="003A2E84">
        <w:rPr>
          <w:rFonts w:ascii="Arial" w:hAnsi="Arial" w:cs="Arial"/>
          <w:color w:val="000000" w:themeColor="text1"/>
          <w:sz w:val="22"/>
          <w:lang w:val="es-ES"/>
        </w:rPr>
        <w:t>;</w:t>
      </w:r>
      <w:r w:rsidRPr="001B56BF">
        <w:rPr>
          <w:rFonts w:ascii="Arial" w:hAnsi="Arial" w:cs="Arial"/>
          <w:color w:val="000000" w:themeColor="text1"/>
          <w:sz w:val="22"/>
          <w:lang w:val="es-ES"/>
        </w:rPr>
        <w:t xml:space="preserve"> el ejercicio de dicha </w:t>
      </w:r>
      <w:r w:rsidR="000173A7" w:rsidRPr="001B56BF">
        <w:rPr>
          <w:rFonts w:ascii="Arial" w:hAnsi="Arial" w:cs="Arial"/>
          <w:color w:val="000000" w:themeColor="text1"/>
          <w:sz w:val="22"/>
          <w:lang w:val="es-ES"/>
        </w:rPr>
        <w:t>discreci</w:t>
      </w:r>
      <w:r w:rsidR="000173A7">
        <w:rPr>
          <w:rFonts w:ascii="Arial" w:hAnsi="Arial" w:cs="Arial"/>
          <w:color w:val="000000" w:themeColor="text1"/>
          <w:sz w:val="22"/>
          <w:lang w:val="es-ES"/>
        </w:rPr>
        <w:t>onalidad</w:t>
      </w:r>
      <w:r w:rsidR="000173A7" w:rsidRPr="000173A7">
        <w:rPr>
          <w:rFonts w:ascii="Arial" w:hAnsi="Arial" w:cs="Arial"/>
          <w:color w:val="000000" w:themeColor="text1"/>
          <w:sz w:val="22"/>
          <w:lang w:val="es-ES"/>
        </w:rPr>
        <w:t xml:space="preserve"> </w:t>
      </w:r>
      <w:r w:rsidRPr="000173A7">
        <w:rPr>
          <w:rFonts w:ascii="Arial" w:hAnsi="Arial" w:cs="Arial"/>
          <w:color w:val="000000" w:themeColor="text1"/>
          <w:sz w:val="22"/>
          <w:lang w:val="es-ES"/>
        </w:rPr>
        <w:t>dependerá de las necesidades concretas.</w:t>
      </w:r>
      <w:r w:rsidR="00C83ECF">
        <w:rPr>
          <w:rFonts w:ascii="Arial" w:hAnsi="Arial" w:cs="Arial"/>
          <w:color w:val="000000" w:themeColor="text1"/>
          <w:sz w:val="22"/>
          <w:lang w:val="es-ES"/>
        </w:rPr>
        <w:t xml:space="preserve"> </w:t>
      </w:r>
      <w:r w:rsidR="00C83ECF" w:rsidRPr="00C83ECF">
        <w:rPr>
          <w:rFonts w:ascii="Arial" w:hAnsi="Arial" w:cs="Arial"/>
          <w:bCs/>
          <w:color w:val="000000" w:themeColor="text1"/>
          <w:sz w:val="22"/>
          <w:lang w:val="es-ES"/>
        </w:rPr>
        <w:t>No obstante, tiene que aclararse que dicha discreción para la escogencia del tipo contractual se ve limitada por los elementos de cada contrato; es decir, si están presentes los elementos esenciales de cierta tipología imperativamente debe darse aplicación al régimen que a este corresponde. Por ejemplo, una vez están presentes los elementos esenciales de un contrato de obra, no podría la entidad intentar darle un tratamiento jurídico de un contrato de prestación de servicios, o viceversa.</w:t>
      </w:r>
    </w:p>
    <w:p w14:paraId="3A80643F" w14:textId="6BE9A83A" w:rsidR="003C5831" w:rsidRPr="001B56BF" w:rsidRDefault="003C5831" w:rsidP="003C5831">
      <w:pPr>
        <w:pStyle w:val="Sinespaciado"/>
        <w:spacing w:after="120" w:line="276" w:lineRule="auto"/>
        <w:ind w:firstLine="709"/>
        <w:jc w:val="both"/>
        <w:rPr>
          <w:rFonts w:ascii="Arial" w:hAnsi="Arial" w:cs="Arial"/>
          <w:color w:val="000000" w:themeColor="text1"/>
          <w:sz w:val="22"/>
          <w:lang w:val="es-ES"/>
        </w:rPr>
      </w:pPr>
      <w:r w:rsidRPr="000173A7">
        <w:rPr>
          <w:rFonts w:ascii="Arial" w:hAnsi="Arial" w:cs="Arial"/>
          <w:color w:val="000000" w:themeColor="text1"/>
          <w:sz w:val="22"/>
          <w:lang w:val="es-ES"/>
        </w:rPr>
        <w:t>En ese sentido, la disposición referida prescribe que son «contratos estatales» los acuerdos «a que se refiere el presente estatuto»</w:t>
      </w:r>
      <w:r w:rsidR="000173A7">
        <w:rPr>
          <w:rFonts w:ascii="Arial" w:hAnsi="Arial" w:cs="Arial"/>
          <w:color w:val="000000" w:themeColor="text1"/>
          <w:sz w:val="22"/>
          <w:lang w:val="es-ES"/>
        </w:rPr>
        <w:t>,</w:t>
      </w:r>
      <w:r w:rsidRPr="000173A7">
        <w:rPr>
          <w:rFonts w:ascii="Arial" w:hAnsi="Arial" w:cs="Arial"/>
          <w:color w:val="000000" w:themeColor="text1"/>
          <w:sz w:val="22"/>
          <w:lang w:val="es-ES"/>
        </w:rPr>
        <w:t xml:space="preserve"> pero además agrega que tendrán la calidad de tales los tipos contractuales «previstos en el derecho privado o en disposiciones especiales, o derivados del ejercicio de la autonomía de la voluntad». </w:t>
      </w:r>
      <w:r w:rsidRPr="001B56BF">
        <w:rPr>
          <w:rFonts w:ascii="Arial" w:hAnsi="Arial" w:cs="Arial"/>
          <w:color w:val="000000" w:themeColor="text1"/>
          <w:sz w:val="22"/>
          <w:lang w:val="es-ES"/>
        </w:rPr>
        <w:t xml:space="preserve">Sobre el punto, en la actualidad no existe discusión en relación con la posibilidad que tienen las entidades estatales de utilizar los tipos contractuales del derecho privado, bien sean jurídica o socialmente típicos, e incluso contratos atípicos. </w:t>
      </w:r>
    </w:p>
    <w:p w14:paraId="70957AAD" w14:textId="77777777" w:rsidR="003C5831" w:rsidRPr="000173A7" w:rsidRDefault="003C5831" w:rsidP="003C5831">
      <w:pPr>
        <w:pStyle w:val="Sinespaciado"/>
        <w:spacing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t>En ese orden de ideas, debido a las características de los bienes intangibles, y en particular la explotación de los derechos de propiedad intelectual, las entidades estatales pueden recurrir a los tipos contractuales que son usuales para este tipo de bienes, tales como los de licencia. Sobre el punto, además, deberán observarse las normas comunitarias sobre la materia, entre ellas la Decisión 486 de 2000 de la Comunidad Andina de Naciones.</w:t>
      </w:r>
    </w:p>
    <w:p w14:paraId="026C3191" w14:textId="49E1A576" w:rsidR="00092FDF" w:rsidRPr="001B56BF" w:rsidRDefault="003C5831" w:rsidP="003C5831">
      <w:pPr>
        <w:pStyle w:val="Sinespaciado"/>
        <w:spacing w:line="276" w:lineRule="auto"/>
        <w:ind w:firstLine="709"/>
        <w:jc w:val="both"/>
        <w:rPr>
          <w:rFonts w:ascii="Arial" w:hAnsi="Arial" w:cs="Arial"/>
          <w:color w:val="000000" w:themeColor="text1"/>
          <w:sz w:val="22"/>
          <w:lang w:val="es-ES"/>
        </w:rPr>
      </w:pPr>
      <w:r w:rsidRPr="001B56BF">
        <w:rPr>
          <w:rFonts w:ascii="Arial" w:hAnsi="Arial" w:cs="Arial"/>
          <w:color w:val="000000" w:themeColor="text1"/>
          <w:sz w:val="22"/>
          <w:lang w:val="es-ES"/>
        </w:rPr>
        <w:t xml:space="preserve">   </w:t>
      </w:r>
    </w:p>
    <w:p w14:paraId="11220D0E" w14:textId="0E3E3F2B" w:rsidR="002B69A9" w:rsidRPr="001B56BF" w:rsidRDefault="009F259B" w:rsidP="00092FDF">
      <w:pPr>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w:t>
      </w:r>
      <w:r w:rsidR="002B69A9" w:rsidRPr="001B56BF">
        <w:rPr>
          <w:rFonts w:ascii="Arial" w:eastAsia="Calibri" w:hAnsi="Arial" w:cs="Arial"/>
          <w:color w:val="000000" w:themeColor="text1"/>
          <w:sz w:val="21"/>
          <w:szCs w:val="21"/>
          <w:lang w:val="es-ES"/>
        </w:rPr>
        <w:t>(</w:t>
      </w:r>
      <w:proofErr w:type="spellStart"/>
      <w:r w:rsidR="002B69A9" w:rsidRPr="001B56BF">
        <w:rPr>
          <w:rFonts w:ascii="Arial" w:eastAsia="Calibri" w:hAnsi="Arial" w:cs="Arial"/>
          <w:color w:val="000000" w:themeColor="text1"/>
          <w:sz w:val="21"/>
          <w:szCs w:val="21"/>
          <w:lang w:val="es-ES"/>
        </w:rPr>
        <w:t>iv</w:t>
      </w:r>
      <w:proofErr w:type="spellEnd"/>
      <w:r w:rsidR="002B69A9" w:rsidRPr="001B56BF">
        <w:rPr>
          <w:rFonts w:ascii="Arial" w:eastAsia="Calibri" w:hAnsi="Arial" w:cs="Arial"/>
          <w:color w:val="000000" w:themeColor="text1"/>
          <w:sz w:val="21"/>
          <w:szCs w:val="21"/>
          <w:lang w:val="es-ES"/>
        </w:rPr>
        <w:t>) ¿Cómo procede la aplicación del artículo 167 en el caso de entidades públicas que no desarrollen o ejecuten programas, proyectos, actividades e iniciativas de ciencia, tecnología e innovación? es decir ¿cuál sería el régimen de contratación para estas entidades públicas?</w:t>
      </w:r>
      <w:r>
        <w:rPr>
          <w:rFonts w:ascii="Arial" w:eastAsia="Calibri" w:hAnsi="Arial" w:cs="Arial"/>
          <w:color w:val="000000" w:themeColor="text1"/>
          <w:sz w:val="21"/>
          <w:szCs w:val="21"/>
          <w:lang w:val="es-ES"/>
        </w:rPr>
        <w:t>»</w:t>
      </w:r>
      <w:r w:rsidR="002B69A9" w:rsidRPr="001B56BF">
        <w:rPr>
          <w:rFonts w:ascii="Arial" w:eastAsia="Calibri" w:hAnsi="Arial" w:cs="Arial"/>
          <w:color w:val="000000" w:themeColor="text1"/>
          <w:sz w:val="21"/>
          <w:szCs w:val="21"/>
          <w:lang w:val="es-ES"/>
        </w:rPr>
        <w:t xml:space="preserve"> </w:t>
      </w:r>
    </w:p>
    <w:p w14:paraId="0D82DB9C" w14:textId="6DBD9358" w:rsidR="00092FDF" w:rsidRPr="001B56BF" w:rsidRDefault="00092FDF" w:rsidP="00092FDF">
      <w:pPr>
        <w:spacing w:line="276" w:lineRule="auto"/>
        <w:ind w:right="758"/>
        <w:jc w:val="both"/>
        <w:rPr>
          <w:rFonts w:ascii="Arial" w:eastAsia="Calibri" w:hAnsi="Arial" w:cs="Arial"/>
          <w:color w:val="000000" w:themeColor="text1"/>
          <w:sz w:val="22"/>
          <w:lang w:val="es-ES"/>
        </w:rPr>
      </w:pPr>
    </w:p>
    <w:p w14:paraId="74992F5F" w14:textId="2DBA1673" w:rsidR="003A70C5" w:rsidRPr="001B56BF" w:rsidRDefault="003A70C5" w:rsidP="003A70C5">
      <w:pPr>
        <w:pStyle w:val="Sinespaciado"/>
        <w:spacing w:line="276" w:lineRule="auto"/>
        <w:jc w:val="both"/>
        <w:rPr>
          <w:rFonts w:ascii="Arial" w:hAnsi="Arial" w:cs="Arial"/>
          <w:color w:val="000000" w:themeColor="text1"/>
          <w:sz w:val="22"/>
          <w:lang w:val="es-ES"/>
        </w:rPr>
      </w:pPr>
      <w:r w:rsidRPr="001B56BF">
        <w:rPr>
          <w:rFonts w:ascii="Arial" w:hAnsi="Arial" w:cs="Arial"/>
          <w:color w:val="000000" w:themeColor="text1"/>
          <w:sz w:val="22"/>
          <w:lang w:val="es-ES"/>
        </w:rPr>
        <w:t xml:space="preserve">El artículo 167 de la Ley 1955 de 2019 no establece un régimen de contratación, sino una destinación específica para los recursos recaudados como consecuencia de la explotación de derechos de propiedad intelectual. La disposición remite a la Ley 1834 de 2017, por medio de la cual se fomenta la economía creativa o Ley Naranja. En esa Ley están contenidas las reglas relativas al fomento de dichas industrias que incluye incentivos, entre otros medios propios de esa actividad administrativa, ámbito del derecho administrativo que también excede las competencias de la Agencia Nacional de Contratación Pública.  </w:t>
      </w:r>
    </w:p>
    <w:p w14:paraId="65A6AC72" w14:textId="3C22D088" w:rsidR="003C5831" w:rsidRPr="001B56BF" w:rsidRDefault="003C5831" w:rsidP="00092FDF">
      <w:pPr>
        <w:ind w:left="709" w:right="758"/>
        <w:jc w:val="both"/>
        <w:rPr>
          <w:rFonts w:ascii="Arial" w:eastAsia="Calibri" w:hAnsi="Arial" w:cs="Arial"/>
          <w:color w:val="000000" w:themeColor="text1"/>
          <w:sz w:val="21"/>
          <w:szCs w:val="21"/>
          <w:lang w:val="es-ES"/>
        </w:rPr>
      </w:pPr>
    </w:p>
    <w:p w14:paraId="2C4D6D0E" w14:textId="6E35C99F" w:rsidR="002B69A9" w:rsidRPr="001B56BF" w:rsidRDefault="009F259B" w:rsidP="00092FDF">
      <w:pPr>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lastRenderedPageBreak/>
        <w:t>«</w:t>
      </w:r>
      <w:r w:rsidR="002B69A9" w:rsidRPr="001B56BF">
        <w:rPr>
          <w:rFonts w:ascii="Arial" w:eastAsia="Calibri" w:hAnsi="Arial" w:cs="Arial"/>
          <w:color w:val="000000" w:themeColor="text1"/>
          <w:sz w:val="21"/>
          <w:szCs w:val="21"/>
          <w:lang w:val="es-ES"/>
        </w:rPr>
        <w:t>(v) ¿Colombia Compra Eficiente cuenta con alguna guía, manual o mecanismo que permita realizar la definición y valoración económica de bienes intangibles? En caso positivo ¿Es de carácter vinculante?</w:t>
      </w:r>
      <w:r>
        <w:rPr>
          <w:rFonts w:ascii="Arial" w:eastAsia="Calibri" w:hAnsi="Arial" w:cs="Arial"/>
          <w:color w:val="000000" w:themeColor="text1"/>
          <w:sz w:val="21"/>
          <w:szCs w:val="21"/>
          <w:lang w:val="es-ES"/>
        </w:rPr>
        <w:t>»</w:t>
      </w:r>
      <w:r w:rsidR="002B69A9" w:rsidRPr="001B56BF">
        <w:rPr>
          <w:rFonts w:ascii="Arial" w:eastAsia="Calibri" w:hAnsi="Arial" w:cs="Arial"/>
          <w:color w:val="000000" w:themeColor="text1"/>
          <w:sz w:val="21"/>
          <w:szCs w:val="21"/>
          <w:lang w:val="es-ES"/>
        </w:rPr>
        <w:t xml:space="preserve"> </w:t>
      </w:r>
    </w:p>
    <w:p w14:paraId="6ECD9705" w14:textId="09B20232" w:rsidR="002B69A9" w:rsidRPr="001B56BF" w:rsidRDefault="002B69A9" w:rsidP="002B69A9">
      <w:pPr>
        <w:spacing w:line="276" w:lineRule="auto"/>
        <w:jc w:val="both"/>
        <w:rPr>
          <w:rFonts w:ascii="Arial" w:eastAsia="Calibri" w:hAnsi="Arial" w:cs="Arial"/>
          <w:color w:val="000000" w:themeColor="text1"/>
          <w:sz w:val="22"/>
          <w:lang w:val="es-ES"/>
        </w:rPr>
      </w:pPr>
    </w:p>
    <w:p w14:paraId="0D0AE918" w14:textId="3226FFB9" w:rsidR="00092FDF" w:rsidRPr="001B56BF" w:rsidRDefault="00092FDF" w:rsidP="002B69A9">
      <w:pPr>
        <w:spacing w:line="276" w:lineRule="auto"/>
        <w:jc w:val="both"/>
        <w:rPr>
          <w:rFonts w:ascii="Arial" w:eastAsia="Calibri" w:hAnsi="Arial" w:cs="Arial"/>
          <w:color w:val="000000" w:themeColor="text1"/>
          <w:sz w:val="22"/>
          <w:lang w:val="es-ES"/>
        </w:rPr>
      </w:pPr>
      <w:r w:rsidRPr="001B56BF">
        <w:rPr>
          <w:rFonts w:ascii="Arial" w:eastAsia="Calibri" w:hAnsi="Arial" w:cs="Arial"/>
          <w:color w:val="000000" w:themeColor="text1"/>
          <w:sz w:val="22"/>
          <w:lang w:val="es-ES"/>
        </w:rPr>
        <w:t xml:space="preserve">La Agencia Nacional de Contratación Pública – Colombia Compra Eficiente no cuenta con ningún manual, guía o directriz general para definir la valoración económica de los bienes intangibles con los cuales decide contratar determinada entidad estatal. </w:t>
      </w:r>
    </w:p>
    <w:p w14:paraId="48A8CD1A" w14:textId="77777777" w:rsidR="00092FDF" w:rsidRPr="001B56BF" w:rsidRDefault="00092FDF" w:rsidP="002B69A9">
      <w:pPr>
        <w:spacing w:line="276" w:lineRule="auto"/>
        <w:jc w:val="both"/>
        <w:rPr>
          <w:rFonts w:ascii="Arial" w:eastAsia="Calibri" w:hAnsi="Arial" w:cs="Arial"/>
          <w:color w:val="000000" w:themeColor="text1"/>
          <w:sz w:val="22"/>
          <w:lang w:val="es-ES"/>
        </w:rPr>
      </w:pPr>
    </w:p>
    <w:p w14:paraId="5583B958" w14:textId="2AB10BF9" w:rsidR="00B414DE" w:rsidRPr="001B56BF" w:rsidRDefault="00572D7A" w:rsidP="003C5831">
      <w:pPr>
        <w:spacing w:line="276" w:lineRule="auto"/>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w:t>
      </w:r>
      <w:r w:rsidR="002B69A9" w:rsidRPr="001B56BF">
        <w:rPr>
          <w:rFonts w:ascii="Arial" w:eastAsia="Calibri" w:hAnsi="Arial" w:cs="Arial"/>
          <w:color w:val="000000" w:themeColor="text1"/>
          <w:sz w:val="21"/>
          <w:szCs w:val="21"/>
          <w:lang w:val="es-ES"/>
        </w:rPr>
        <w:t>(vi) ¿En desarrollo de las actividades contractuales planteadas en el artículo 167 de la ley 1955 de 2019, es posible la utilización de las plataformas electrónicas de Colombia Compra Eficiente?</w:t>
      </w:r>
      <w:r>
        <w:rPr>
          <w:rFonts w:ascii="Arial" w:eastAsia="Calibri" w:hAnsi="Arial" w:cs="Arial"/>
          <w:color w:val="000000" w:themeColor="text1"/>
          <w:sz w:val="21"/>
          <w:szCs w:val="21"/>
          <w:lang w:val="es-ES"/>
        </w:rPr>
        <w:t>»</w:t>
      </w:r>
    </w:p>
    <w:p w14:paraId="64643970" w14:textId="73FC6BC1" w:rsidR="003C5831" w:rsidRPr="001B56BF" w:rsidRDefault="003C5831" w:rsidP="003C5831">
      <w:pPr>
        <w:spacing w:line="276" w:lineRule="auto"/>
        <w:jc w:val="both"/>
        <w:rPr>
          <w:rFonts w:ascii="Arial" w:eastAsia="Calibri" w:hAnsi="Arial" w:cs="Arial"/>
          <w:color w:val="000000" w:themeColor="text1"/>
          <w:sz w:val="22"/>
          <w:lang w:val="es-ES"/>
        </w:rPr>
      </w:pPr>
    </w:p>
    <w:p w14:paraId="72909F59" w14:textId="2EE27178" w:rsidR="003C5831" w:rsidRPr="001B56BF" w:rsidRDefault="003C5831" w:rsidP="003C5831">
      <w:pPr>
        <w:spacing w:after="120" w:line="276" w:lineRule="auto"/>
        <w:jc w:val="both"/>
        <w:rPr>
          <w:rFonts w:ascii="Arial" w:eastAsia="Times New Roman" w:hAnsi="Arial" w:cs="Arial"/>
          <w:color w:val="000000"/>
          <w:sz w:val="22"/>
          <w:szCs w:val="24"/>
          <w:lang w:val="es-ES" w:eastAsia="en-GB"/>
        </w:rPr>
      </w:pPr>
      <w:r w:rsidRPr="001B56BF">
        <w:rPr>
          <w:rFonts w:ascii="Arial" w:eastAsia="Times New Roman" w:hAnsi="Arial" w:cs="Arial"/>
          <w:color w:val="000000"/>
          <w:sz w:val="22"/>
          <w:szCs w:val="24"/>
          <w:lang w:val="es-ES" w:eastAsia="en-GB"/>
        </w:rPr>
        <w:t xml:space="preserve">Los sujetos obligados a publicar en el SECOP son las entidades estatales, bien sea en el sentido del Estatuto General de Contratación de la Administración Pública y el Decreto 1082 de 2015, o en el sentido más amplio de la Ley 1712 de 2015. </w:t>
      </w:r>
    </w:p>
    <w:p w14:paraId="313DFFFC" w14:textId="77777777" w:rsidR="003C5831" w:rsidRPr="001B56BF" w:rsidRDefault="003C5831" w:rsidP="003C5831">
      <w:pPr>
        <w:spacing w:after="120" w:line="276" w:lineRule="auto"/>
        <w:ind w:firstLine="709"/>
        <w:jc w:val="both"/>
        <w:rPr>
          <w:rFonts w:ascii="Arial" w:eastAsia="Times New Roman" w:hAnsi="Arial" w:cs="Arial"/>
          <w:color w:val="000000"/>
          <w:sz w:val="22"/>
          <w:szCs w:val="24"/>
          <w:lang w:val="es-ES" w:eastAsia="en-GB"/>
        </w:rPr>
      </w:pPr>
      <w:r w:rsidRPr="001B56BF">
        <w:rPr>
          <w:rFonts w:ascii="Arial" w:eastAsia="Times New Roman" w:hAnsi="Arial" w:cs="Arial"/>
          <w:color w:val="000000"/>
          <w:sz w:val="22"/>
          <w:szCs w:val="24"/>
          <w:lang w:val="es-ES" w:eastAsia="en-GB"/>
        </w:rPr>
        <w:t>A la luz de lo anterior, por no existir ninguna excepción de origen legal para la contratación relacionada con la explotación comercial de propiedad intelectual a la que se refiere el artículo 167 de la Ley 1955 de 2019, las entidades estatales se encuentran obligadas a publicar su actividad contractual en el SECOP, con independencia del régimen jurídico aplicable; esto es, si se trata de entidades estatales sometidas al Estatuto General de Contratación de la Administración Pública, o a regímenes especiales.</w:t>
      </w:r>
    </w:p>
    <w:p w14:paraId="3B4490D8" w14:textId="77777777" w:rsidR="002B69A9" w:rsidRPr="001B56BF" w:rsidRDefault="002B69A9" w:rsidP="003C5831">
      <w:pPr>
        <w:spacing w:line="276" w:lineRule="auto"/>
        <w:jc w:val="both"/>
        <w:rPr>
          <w:rFonts w:ascii="Arial" w:eastAsia="Calibri" w:hAnsi="Arial" w:cs="Arial"/>
          <w:color w:val="000000" w:themeColor="text1"/>
          <w:sz w:val="22"/>
          <w:lang w:val="es-ES"/>
        </w:rPr>
      </w:pPr>
    </w:p>
    <w:p w14:paraId="396A4674" w14:textId="77777777" w:rsidR="00B414DE" w:rsidRPr="001B56BF" w:rsidRDefault="00B414DE" w:rsidP="00660C9C">
      <w:pPr>
        <w:spacing w:line="276" w:lineRule="auto"/>
        <w:jc w:val="both"/>
        <w:rPr>
          <w:rFonts w:ascii="Arial" w:eastAsia="Calibri" w:hAnsi="Arial" w:cs="Arial"/>
          <w:color w:val="000000" w:themeColor="text1"/>
          <w:sz w:val="22"/>
          <w:lang w:val="es-ES"/>
        </w:rPr>
      </w:pPr>
      <w:r w:rsidRPr="001B56BF">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14:paraId="3D1D8FAE" w14:textId="481019C6" w:rsidR="00B414DE" w:rsidRPr="001B56BF" w:rsidRDefault="00B414DE" w:rsidP="00660C9C">
      <w:pPr>
        <w:spacing w:line="276" w:lineRule="auto"/>
        <w:ind w:firstLine="708"/>
        <w:jc w:val="both"/>
        <w:rPr>
          <w:rFonts w:ascii="Arial" w:eastAsia="Calibri" w:hAnsi="Arial" w:cs="Arial"/>
          <w:color w:val="000000" w:themeColor="text1"/>
          <w:sz w:val="22"/>
          <w:lang w:val="es-ES"/>
        </w:rPr>
      </w:pPr>
    </w:p>
    <w:p w14:paraId="2CB9AA95" w14:textId="77777777" w:rsidR="00092FDF" w:rsidRPr="001B56BF" w:rsidRDefault="00092FDF" w:rsidP="00660C9C">
      <w:pPr>
        <w:spacing w:line="276" w:lineRule="auto"/>
        <w:ind w:firstLine="708"/>
        <w:jc w:val="both"/>
        <w:rPr>
          <w:rFonts w:ascii="Arial" w:eastAsia="Calibri" w:hAnsi="Arial" w:cs="Arial"/>
          <w:color w:val="000000" w:themeColor="text1"/>
          <w:sz w:val="22"/>
          <w:lang w:val="es-ES"/>
        </w:rPr>
      </w:pPr>
    </w:p>
    <w:p w14:paraId="321DE140" w14:textId="77777777" w:rsidR="00B414DE" w:rsidRPr="001B56BF" w:rsidRDefault="00B414DE" w:rsidP="00660C9C">
      <w:pPr>
        <w:jc w:val="both"/>
        <w:rPr>
          <w:rFonts w:ascii="Arial" w:eastAsia="Times New Roman" w:hAnsi="Arial" w:cs="Arial"/>
          <w:color w:val="000000" w:themeColor="text1"/>
          <w:sz w:val="22"/>
          <w:lang w:val="es-ES" w:eastAsia="es-CO"/>
        </w:rPr>
      </w:pPr>
      <w:r w:rsidRPr="001B56BF">
        <w:rPr>
          <w:rFonts w:ascii="Arial" w:eastAsia="Times New Roman" w:hAnsi="Arial" w:cs="Arial"/>
          <w:color w:val="000000" w:themeColor="text1"/>
          <w:sz w:val="22"/>
          <w:lang w:val="es-ES" w:eastAsia="es-CO"/>
        </w:rPr>
        <w:t>Atentamente,</w:t>
      </w:r>
    </w:p>
    <w:p w14:paraId="3F572253" w14:textId="5C811CA4" w:rsidR="00B414DE" w:rsidRPr="001B56BF" w:rsidRDefault="00CB1C0F" w:rsidP="002B69A9">
      <w:pPr>
        <w:jc w:val="center"/>
        <w:rPr>
          <w:rFonts w:ascii="Arial" w:eastAsia="Times New Roman" w:hAnsi="Arial" w:cs="Arial"/>
          <w:color w:val="000000" w:themeColor="text1"/>
          <w:sz w:val="18"/>
          <w:szCs w:val="20"/>
          <w:lang w:val="es-ES" w:eastAsia="es-CO"/>
        </w:rPr>
      </w:pPr>
      <w:r>
        <w:rPr>
          <w:noProof/>
        </w:rPr>
        <w:drawing>
          <wp:inline distT="0" distB="0" distL="0" distR="0" wp14:anchorId="518AD827" wp14:editId="2FC18B33">
            <wp:extent cx="2773045" cy="988695"/>
            <wp:effectExtent l="0" t="0" r="0" b="0"/>
            <wp:docPr id="307575678"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0CCCAE56" w14:textId="77777777" w:rsidR="00B414DE" w:rsidRPr="00FF1FDF" w:rsidRDefault="00B414DE" w:rsidP="00660C9C">
      <w:pPr>
        <w:jc w:val="both"/>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E44D4" w:rsidRPr="001B56BF" w14:paraId="4AD57BFC" w14:textId="77777777" w:rsidTr="00B414DE">
        <w:trPr>
          <w:trHeight w:val="315"/>
        </w:trPr>
        <w:tc>
          <w:tcPr>
            <w:tcW w:w="812" w:type="dxa"/>
            <w:vAlign w:val="center"/>
            <w:hideMark/>
          </w:tcPr>
          <w:p w14:paraId="2348C71A" w14:textId="77777777" w:rsidR="00B414DE" w:rsidRPr="000173A7" w:rsidRDefault="00B414DE" w:rsidP="00660C9C">
            <w:pPr>
              <w:jc w:val="both"/>
              <w:rPr>
                <w:rFonts w:ascii="Arial" w:eastAsia="Times New Roman" w:hAnsi="Arial" w:cs="Arial"/>
                <w:color w:val="000000" w:themeColor="text1"/>
                <w:sz w:val="16"/>
                <w:szCs w:val="16"/>
                <w:lang w:val="es-ES" w:eastAsia="es-ES"/>
              </w:rPr>
            </w:pPr>
            <w:r w:rsidRPr="004026A6">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A0AEA37" w14:textId="34267A1E" w:rsidR="00B414DE" w:rsidRPr="001B56BF" w:rsidRDefault="002B69A9" w:rsidP="00660C9C">
            <w:pPr>
              <w:jc w:val="both"/>
              <w:rPr>
                <w:rFonts w:ascii="Arial" w:eastAsia="Times New Roman" w:hAnsi="Arial" w:cs="Arial"/>
                <w:color w:val="000000" w:themeColor="text1"/>
                <w:sz w:val="16"/>
                <w:szCs w:val="16"/>
                <w:lang w:val="es-ES" w:eastAsia="es-ES"/>
              </w:rPr>
            </w:pPr>
            <w:r w:rsidRPr="000173A7">
              <w:rPr>
                <w:rFonts w:ascii="Arial" w:eastAsia="Times New Roman" w:hAnsi="Arial" w:cs="Arial"/>
                <w:color w:val="000000" w:themeColor="text1"/>
                <w:sz w:val="16"/>
                <w:szCs w:val="16"/>
                <w:lang w:val="es-ES" w:eastAsia="es-ES"/>
              </w:rPr>
              <w:t>Sebasti</w:t>
            </w:r>
            <w:r w:rsidR="00EE6B33">
              <w:rPr>
                <w:rFonts w:ascii="Arial" w:eastAsia="Times New Roman" w:hAnsi="Arial" w:cs="Arial"/>
                <w:color w:val="000000" w:themeColor="text1"/>
                <w:sz w:val="16"/>
                <w:szCs w:val="16"/>
                <w:lang w:val="es-ES" w:eastAsia="es-ES"/>
              </w:rPr>
              <w:t>á</w:t>
            </w:r>
            <w:r w:rsidRPr="000173A7">
              <w:rPr>
                <w:rFonts w:ascii="Arial" w:eastAsia="Times New Roman" w:hAnsi="Arial" w:cs="Arial"/>
                <w:color w:val="000000" w:themeColor="text1"/>
                <w:sz w:val="16"/>
                <w:szCs w:val="16"/>
                <w:lang w:val="es-ES" w:eastAsia="es-ES"/>
              </w:rPr>
              <w:t xml:space="preserve">n Barreto Cifuentes </w:t>
            </w:r>
          </w:p>
          <w:p w14:paraId="4FC81B8B" w14:textId="5A9BB310" w:rsidR="00B414DE" w:rsidRPr="001B56BF" w:rsidRDefault="00B414DE" w:rsidP="00660C9C">
            <w:pPr>
              <w:jc w:val="both"/>
              <w:rPr>
                <w:rFonts w:ascii="Arial" w:eastAsia="Times New Roman" w:hAnsi="Arial" w:cs="Arial"/>
                <w:color w:val="000000" w:themeColor="text1"/>
                <w:sz w:val="16"/>
                <w:szCs w:val="16"/>
                <w:lang w:val="es-ES" w:eastAsia="es-ES"/>
              </w:rPr>
            </w:pPr>
            <w:r w:rsidRPr="001B56BF">
              <w:rPr>
                <w:rFonts w:ascii="Arial" w:eastAsia="Times New Roman" w:hAnsi="Arial" w:cs="Arial"/>
                <w:color w:val="000000" w:themeColor="text1"/>
                <w:sz w:val="16"/>
                <w:szCs w:val="16"/>
                <w:lang w:val="es-ES" w:eastAsia="es-ES"/>
              </w:rPr>
              <w:t>Contratista</w:t>
            </w:r>
            <w:r w:rsidR="00EE6B33">
              <w:rPr>
                <w:rFonts w:ascii="Arial" w:eastAsia="Times New Roman" w:hAnsi="Arial" w:cs="Arial"/>
                <w:color w:val="000000" w:themeColor="text1"/>
                <w:sz w:val="16"/>
                <w:szCs w:val="16"/>
                <w:lang w:val="es-ES" w:eastAsia="es-ES"/>
              </w:rPr>
              <w:t xml:space="preserve"> Dirección General y Subdirección de Gestión Contractual</w:t>
            </w:r>
          </w:p>
        </w:tc>
      </w:tr>
      <w:tr w:rsidR="00EE44D4" w:rsidRPr="001B56BF" w14:paraId="0C80F724" w14:textId="77777777" w:rsidTr="00B414DE">
        <w:trPr>
          <w:trHeight w:val="330"/>
        </w:trPr>
        <w:tc>
          <w:tcPr>
            <w:tcW w:w="812" w:type="dxa"/>
            <w:vAlign w:val="center"/>
            <w:hideMark/>
          </w:tcPr>
          <w:p w14:paraId="7B02603D" w14:textId="77777777" w:rsidR="00B414DE" w:rsidRPr="00FF1FDF" w:rsidRDefault="00B414DE" w:rsidP="00660C9C">
            <w:pPr>
              <w:jc w:val="both"/>
              <w:rPr>
                <w:rFonts w:ascii="Arial" w:eastAsia="Times New Roman" w:hAnsi="Arial" w:cs="Arial"/>
                <w:color w:val="000000" w:themeColor="text1"/>
                <w:sz w:val="16"/>
                <w:szCs w:val="16"/>
                <w:lang w:val="es-ES" w:eastAsia="es-ES"/>
              </w:rPr>
            </w:pPr>
            <w:r w:rsidRPr="001B56BF">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533015E" w14:textId="6F1A8579" w:rsidR="00B414DE" w:rsidRPr="001B56BF" w:rsidRDefault="00F06DB3" w:rsidP="00660C9C">
            <w:pPr>
              <w:jc w:val="both"/>
              <w:rPr>
                <w:rFonts w:ascii="Arial" w:eastAsia="Times New Roman" w:hAnsi="Arial" w:cs="Arial"/>
                <w:color w:val="000000" w:themeColor="text1"/>
                <w:sz w:val="16"/>
                <w:szCs w:val="16"/>
                <w:lang w:val="es-ES" w:eastAsia="es-ES"/>
              </w:rPr>
            </w:pPr>
            <w:r w:rsidRPr="000173A7">
              <w:rPr>
                <w:rFonts w:ascii="Arial" w:eastAsia="Times New Roman" w:hAnsi="Arial" w:cs="Arial"/>
                <w:color w:val="000000" w:themeColor="text1"/>
                <w:sz w:val="16"/>
                <w:szCs w:val="16"/>
                <w:lang w:val="es-ES" w:eastAsia="es-ES"/>
              </w:rPr>
              <w:t>Cristian Andrés D</w:t>
            </w:r>
            <w:r w:rsidRPr="001B56BF">
              <w:rPr>
                <w:rFonts w:ascii="Arial" w:eastAsia="Times New Roman" w:hAnsi="Arial" w:cs="Arial"/>
                <w:color w:val="000000" w:themeColor="text1"/>
                <w:sz w:val="16"/>
                <w:szCs w:val="16"/>
                <w:lang w:val="es-ES" w:eastAsia="es-ES"/>
              </w:rPr>
              <w:t>íaz Díez</w:t>
            </w:r>
          </w:p>
          <w:p w14:paraId="30C83AB5" w14:textId="677F752E" w:rsidR="00B414DE" w:rsidRPr="001B56BF" w:rsidRDefault="00F06DB3" w:rsidP="00660C9C">
            <w:pPr>
              <w:jc w:val="both"/>
              <w:rPr>
                <w:rFonts w:ascii="Arial" w:eastAsia="Times New Roman" w:hAnsi="Arial" w:cs="Arial"/>
                <w:color w:val="000000" w:themeColor="text1"/>
                <w:sz w:val="16"/>
                <w:szCs w:val="16"/>
                <w:lang w:val="es-ES" w:eastAsia="es-ES"/>
              </w:rPr>
            </w:pPr>
            <w:r w:rsidRPr="001B56BF">
              <w:rPr>
                <w:rFonts w:ascii="Arial" w:eastAsia="Times New Roman" w:hAnsi="Arial" w:cs="Arial"/>
                <w:color w:val="000000" w:themeColor="text1"/>
                <w:sz w:val="16"/>
                <w:szCs w:val="16"/>
                <w:lang w:val="es-ES" w:eastAsia="es-ES"/>
              </w:rPr>
              <w:t xml:space="preserve">Contratista, </w:t>
            </w:r>
            <w:r w:rsidR="00B414DE" w:rsidRPr="001B56BF">
              <w:rPr>
                <w:rFonts w:ascii="Arial" w:eastAsia="Times New Roman" w:hAnsi="Arial" w:cs="Arial"/>
                <w:color w:val="000000" w:themeColor="text1"/>
                <w:sz w:val="16"/>
                <w:szCs w:val="16"/>
                <w:lang w:val="es-ES" w:eastAsia="es-ES"/>
              </w:rPr>
              <w:t>Subdirec</w:t>
            </w:r>
            <w:r w:rsidRPr="001B56BF">
              <w:rPr>
                <w:rFonts w:ascii="Arial" w:eastAsia="Times New Roman" w:hAnsi="Arial" w:cs="Arial"/>
                <w:color w:val="000000" w:themeColor="text1"/>
                <w:sz w:val="16"/>
                <w:szCs w:val="16"/>
                <w:lang w:val="es-ES" w:eastAsia="es-ES"/>
              </w:rPr>
              <w:t>ción</w:t>
            </w:r>
            <w:r w:rsidR="00B414DE" w:rsidRPr="001B56BF">
              <w:rPr>
                <w:rFonts w:ascii="Arial" w:eastAsia="Times New Roman" w:hAnsi="Arial" w:cs="Arial"/>
                <w:color w:val="000000" w:themeColor="text1"/>
                <w:sz w:val="16"/>
                <w:szCs w:val="16"/>
                <w:lang w:val="es-ES" w:eastAsia="es-ES"/>
              </w:rPr>
              <w:t xml:space="preserve"> de Gestión Contractual</w:t>
            </w:r>
          </w:p>
        </w:tc>
      </w:tr>
      <w:tr w:rsidR="00B414DE" w:rsidRPr="001B56BF" w14:paraId="2ED34222" w14:textId="77777777" w:rsidTr="00B414DE">
        <w:trPr>
          <w:trHeight w:val="300"/>
        </w:trPr>
        <w:tc>
          <w:tcPr>
            <w:tcW w:w="812" w:type="dxa"/>
            <w:vAlign w:val="center"/>
            <w:hideMark/>
          </w:tcPr>
          <w:p w14:paraId="4A95DB32" w14:textId="77777777" w:rsidR="00B414DE" w:rsidRPr="00FF1FDF" w:rsidRDefault="00B414DE" w:rsidP="00660C9C">
            <w:pPr>
              <w:jc w:val="both"/>
              <w:rPr>
                <w:rFonts w:ascii="Arial" w:eastAsia="Times New Roman" w:hAnsi="Arial" w:cs="Arial"/>
                <w:color w:val="000000" w:themeColor="text1"/>
                <w:sz w:val="16"/>
                <w:szCs w:val="16"/>
                <w:lang w:val="es-ES" w:eastAsia="es-ES"/>
              </w:rPr>
            </w:pPr>
            <w:r w:rsidRPr="001B56BF">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206F310" w14:textId="77777777" w:rsidR="00B414DE" w:rsidRPr="000173A7" w:rsidRDefault="00B414DE" w:rsidP="00660C9C">
            <w:pPr>
              <w:jc w:val="both"/>
              <w:rPr>
                <w:rFonts w:ascii="Arial" w:eastAsia="Times New Roman" w:hAnsi="Arial" w:cs="Arial"/>
                <w:color w:val="000000" w:themeColor="text1"/>
                <w:sz w:val="16"/>
                <w:szCs w:val="16"/>
                <w:lang w:val="es-ES" w:eastAsia="es-ES"/>
              </w:rPr>
            </w:pPr>
            <w:r w:rsidRPr="004026A6">
              <w:rPr>
                <w:rFonts w:ascii="Arial" w:eastAsia="Times New Roman" w:hAnsi="Arial" w:cs="Arial"/>
                <w:color w:val="000000" w:themeColor="text1"/>
                <w:sz w:val="16"/>
                <w:szCs w:val="16"/>
                <w:lang w:val="es-ES" w:eastAsia="es-ES"/>
              </w:rPr>
              <w:t>Fabián Gonzalo Marín Cortés</w:t>
            </w:r>
          </w:p>
          <w:p w14:paraId="0FA7AE38" w14:textId="77777777" w:rsidR="00B414DE" w:rsidRPr="001B56BF" w:rsidRDefault="00B414DE" w:rsidP="00660C9C">
            <w:pPr>
              <w:jc w:val="both"/>
              <w:rPr>
                <w:rFonts w:ascii="Arial" w:eastAsia="Times New Roman" w:hAnsi="Arial" w:cs="Arial"/>
                <w:color w:val="000000" w:themeColor="text1"/>
                <w:sz w:val="16"/>
                <w:szCs w:val="16"/>
                <w:lang w:val="es-ES" w:eastAsia="es-ES"/>
              </w:rPr>
            </w:pPr>
            <w:r w:rsidRPr="000173A7">
              <w:rPr>
                <w:rFonts w:ascii="Arial" w:eastAsia="Times New Roman" w:hAnsi="Arial" w:cs="Arial"/>
                <w:color w:val="000000" w:themeColor="text1"/>
                <w:sz w:val="16"/>
                <w:szCs w:val="16"/>
                <w:lang w:val="es-ES" w:eastAsia="es-ES"/>
              </w:rPr>
              <w:t>Subdirector de Gestión Contractual</w:t>
            </w:r>
          </w:p>
        </w:tc>
      </w:tr>
    </w:tbl>
    <w:p w14:paraId="799CD722" w14:textId="77777777" w:rsidR="00B414DE" w:rsidRPr="001B56BF" w:rsidRDefault="00B414DE" w:rsidP="00660C9C">
      <w:pPr>
        <w:jc w:val="both"/>
        <w:rPr>
          <w:rFonts w:ascii="Arial" w:eastAsia="Times New Roman" w:hAnsi="Arial" w:cs="Arial"/>
          <w:color w:val="000000" w:themeColor="text1"/>
          <w:sz w:val="16"/>
          <w:szCs w:val="16"/>
          <w:lang w:val="es-ES" w:eastAsia="es-ES"/>
        </w:rPr>
      </w:pPr>
    </w:p>
    <w:p w14:paraId="10F629D1" w14:textId="77777777" w:rsidR="00EA6C85" w:rsidRPr="00610EDF" w:rsidRDefault="00EA6C85" w:rsidP="00660C9C">
      <w:pPr>
        <w:jc w:val="both"/>
        <w:rPr>
          <w:rFonts w:ascii="Arial" w:hAnsi="Arial" w:cs="Arial"/>
          <w:color w:val="000000" w:themeColor="text1"/>
          <w:lang w:val="es-ES"/>
        </w:rPr>
      </w:pPr>
    </w:p>
    <w:sectPr w:rsidR="00EA6C85" w:rsidRPr="00610EDF" w:rsidSect="00145637">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32B3EA" w14:textId="77777777" w:rsidR="00D46BF7" w:rsidRDefault="00D46BF7" w:rsidP="00B414DE">
      <w:r>
        <w:separator/>
      </w:r>
    </w:p>
  </w:endnote>
  <w:endnote w:type="continuationSeparator" w:id="0">
    <w:p w14:paraId="5678F1E0" w14:textId="77777777" w:rsidR="00D46BF7" w:rsidRDefault="00D46BF7" w:rsidP="00B414DE">
      <w:r>
        <w:continuationSeparator/>
      </w:r>
    </w:p>
  </w:endnote>
  <w:endnote w:type="continuationNotice" w:id="1">
    <w:p w14:paraId="5D34A1F6" w14:textId="77777777" w:rsidR="00D46BF7" w:rsidRDefault="00D46B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F716E" w14:textId="36A1861D" w:rsidR="00A2114B" w:rsidRPr="008217B7" w:rsidRDefault="00A2114B" w:rsidP="00B079C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B1C0F">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B1C0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766F493F" w14:textId="77777777" w:rsidR="00A2114B" w:rsidRDefault="56581590" w:rsidP="00B079C1">
    <w:pPr>
      <w:pStyle w:val="Piedepgina"/>
      <w:jc w:val="center"/>
      <w:rPr>
        <w:lang w:val="es-ES"/>
      </w:rPr>
    </w:pPr>
    <w:r>
      <w:rPr>
        <w:noProof/>
      </w:rPr>
      <w:drawing>
        <wp:inline distT="0" distB="0" distL="0" distR="0" wp14:anchorId="78957759" wp14:editId="36C107ED">
          <wp:extent cx="3700130" cy="519139"/>
          <wp:effectExtent l="0" t="0" r="0" b="0"/>
          <wp:docPr id="52831013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2659F03F" w14:textId="77777777" w:rsidR="00A2114B" w:rsidRPr="00172ACE" w:rsidRDefault="00A2114B" w:rsidP="00B079C1">
    <w:pPr>
      <w:pStyle w:val="Piedepgina"/>
      <w:jc w:val="center"/>
      <w:rPr>
        <w:sz w:val="20"/>
        <w:szCs w:val="20"/>
        <w:lang w:val="es-ES"/>
      </w:rPr>
    </w:pPr>
  </w:p>
  <w:p w14:paraId="63626C30" w14:textId="77777777" w:rsidR="00A2114B" w:rsidRPr="00172ACE" w:rsidRDefault="00A2114B" w:rsidP="00B079C1">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1271EE" w14:textId="77777777" w:rsidR="00D46BF7" w:rsidRDefault="00D46BF7" w:rsidP="00B414DE">
      <w:r>
        <w:separator/>
      </w:r>
    </w:p>
  </w:footnote>
  <w:footnote w:type="continuationSeparator" w:id="0">
    <w:p w14:paraId="20E78C45" w14:textId="77777777" w:rsidR="00D46BF7" w:rsidRDefault="00D46BF7" w:rsidP="00B414DE">
      <w:r>
        <w:continuationSeparator/>
      </w:r>
    </w:p>
  </w:footnote>
  <w:footnote w:type="continuationNotice" w:id="1">
    <w:p w14:paraId="1A1F746E" w14:textId="77777777" w:rsidR="00D46BF7" w:rsidRDefault="00D46BF7"/>
  </w:footnote>
  <w:footnote w:id="2">
    <w:p w14:paraId="7A99AAAE" w14:textId="1E3035C8" w:rsidR="00A2114B" w:rsidRPr="00EB5024" w:rsidRDefault="00A2114B" w:rsidP="006C77D2">
      <w:pPr>
        <w:pStyle w:val="Textonotapie"/>
        <w:ind w:firstLine="708"/>
        <w:jc w:val="both"/>
        <w:rPr>
          <w:rFonts w:ascii="Arial" w:hAnsi="Arial" w:cs="Arial"/>
          <w:color w:val="000000" w:themeColor="text1"/>
          <w:sz w:val="19"/>
          <w:szCs w:val="19"/>
          <w:lang w:val="es-ES"/>
        </w:rPr>
      </w:pPr>
      <w:r w:rsidRPr="00EB5024">
        <w:rPr>
          <w:rStyle w:val="Refdenotaalpie"/>
          <w:rFonts w:ascii="Arial" w:hAnsi="Arial" w:cs="Arial"/>
          <w:color w:val="000000" w:themeColor="text1"/>
          <w:sz w:val="19"/>
          <w:szCs w:val="19"/>
        </w:rPr>
        <w:footnoteRef/>
      </w:r>
      <w:r w:rsidRPr="00EB5024">
        <w:rPr>
          <w:rFonts w:ascii="Arial" w:hAnsi="Arial" w:cs="Arial"/>
          <w:color w:val="000000" w:themeColor="text1"/>
          <w:sz w:val="19"/>
          <w:szCs w:val="19"/>
        </w:rPr>
        <w:t xml:space="preserve"> </w:t>
      </w:r>
      <w:r w:rsidR="00610EDF" w:rsidRPr="00EB5024">
        <w:rPr>
          <w:rFonts w:ascii="Arial" w:hAnsi="Arial" w:cs="Arial"/>
          <w:color w:val="000000" w:themeColor="text1"/>
          <w:sz w:val="19"/>
          <w:szCs w:val="19"/>
          <w:lang w:val="es-ES"/>
        </w:rPr>
        <w:t>SANTOFIMIO GAMBOA</w:t>
      </w:r>
      <w:r w:rsidR="00610EDF">
        <w:rPr>
          <w:rFonts w:ascii="Arial" w:hAnsi="Arial" w:cs="Arial"/>
          <w:color w:val="000000" w:themeColor="text1"/>
          <w:sz w:val="19"/>
          <w:szCs w:val="19"/>
          <w:lang w:val="es-ES"/>
        </w:rPr>
        <w:t>,</w:t>
      </w:r>
      <w:r w:rsidR="00610EDF" w:rsidRPr="00EB5024">
        <w:rPr>
          <w:rFonts w:ascii="Arial" w:hAnsi="Arial" w:cs="Arial"/>
          <w:color w:val="000000" w:themeColor="text1"/>
          <w:sz w:val="19"/>
          <w:szCs w:val="19"/>
          <w:lang w:val="es-ES"/>
        </w:rPr>
        <w:t xml:space="preserve"> </w:t>
      </w:r>
      <w:r w:rsidR="00610EDF">
        <w:rPr>
          <w:rFonts w:ascii="Arial" w:hAnsi="Arial" w:cs="Arial"/>
          <w:color w:val="000000" w:themeColor="text1"/>
          <w:sz w:val="19"/>
          <w:szCs w:val="19"/>
          <w:lang w:val="es-ES"/>
        </w:rPr>
        <w:t>Jaime Orlando</w:t>
      </w:r>
      <w:r w:rsidRPr="00EB5024">
        <w:rPr>
          <w:rFonts w:ascii="Arial" w:hAnsi="Arial" w:cs="Arial"/>
          <w:color w:val="000000" w:themeColor="text1"/>
          <w:sz w:val="19"/>
          <w:szCs w:val="19"/>
          <w:lang w:val="es-ES"/>
        </w:rPr>
        <w:t xml:space="preserve">. Compendio de Derecho Administrativo. Universidad Externado de Colombia, 2017, párrafo 2591. </w:t>
      </w:r>
    </w:p>
    <w:p w14:paraId="79C718EA" w14:textId="77777777" w:rsidR="00A2114B" w:rsidRPr="00EB5024" w:rsidRDefault="00A2114B">
      <w:pPr>
        <w:pStyle w:val="Textonotapie"/>
        <w:ind w:firstLine="708"/>
        <w:jc w:val="both"/>
        <w:rPr>
          <w:rFonts w:ascii="Arial" w:hAnsi="Arial" w:cs="Arial"/>
          <w:color w:val="000000" w:themeColor="text1"/>
          <w:sz w:val="19"/>
          <w:szCs w:val="19"/>
        </w:rPr>
      </w:pPr>
    </w:p>
  </w:footnote>
  <w:footnote w:id="3">
    <w:p w14:paraId="105EA730" w14:textId="02867F26" w:rsidR="00A2114B" w:rsidRPr="00EB5024" w:rsidRDefault="00A2114B">
      <w:pPr>
        <w:pStyle w:val="Textonotapie"/>
        <w:ind w:firstLine="708"/>
        <w:jc w:val="both"/>
        <w:rPr>
          <w:rFonts w:ascii="Arial" w:hAnsi="Arial" w:cs="Arial"/>
          <w:color w:val="000000" w:themeColor="text1"/>
          <w:sz w:val="19"/>
          <w:szCs w:val="19"/>
          <w:lang w:val="es-CO"/>
        </w:rPr>
      </w:pPr>
      <w:r w:rsidRPr="00EB5024">
        <w:rPr>
          <w:rStyle w:val="Refdenotaalpie"/>
          <w:rFonts w:ascii="Arial" w:hAnsi="Arial" w:cs="Arial"/>
          <w:color w:val="000000" w:themeColor="text1"/>
          <w:sz w:val="19"/>
          <w:szCs w:val="19"/>
        </w:rPr>
        <w:footnoteRef/>
      </w:r>
      <w:r w:rsidRPr="00EB5024">
        <w:rPr>
          <w:rFonts w:ascii="Arial" w:hAnsi="Arial" w:cs="Arial"/>
          <w:color w:val="000000" w:themeColor="text1"/>
          <w:sz w:val="19"/>
          <w:szCs w:val="19"/>
        </w:rPr>
        <w:t xml:space="preserve">  </w:t>
      </w:r>
      <w:r w:rsidR="00610EDF" w:rsidRPr="00EB5024">
        <w:rPr>
          <w:rFonts w:ascii="Arial" w:hAnsi="Arial" w:cs="Arial"/>
          <w:color w:val="000000" w:themeColor="text1"/>
          <w:sz w:val="19"/>
          <w:szCs w:val="19"/>
        </w:rPr>
        <w:t>ROBLEDO</w:t>
      </w:r>
      <w:r w:rsidR="00610EDF">
        <w:rPr>
          <w:rFonts w:ascii="Arial" w:hAnsi="Arial" w:cs="Arial"/>
          <w:color w:val="000000" w:themeColor="text1"/>
          <w:sz w:val="19"/>
          <w:szCs w:val="19"/>
        </w:rPr>
        <w:t>, Paula</w:t>
      </w:r>
      <w:r w:rsidRPr="00EB5024">
        <w:rPr>
          <w:rFonts w:ascii="Arial" w:hAnsi="Arial" w:cs="Arial"/>
          <w:color w:val="000000" w:themeColor="text1"/>
          <w:sz w:val="19"/>
          <w:szCs w:val="19"/>
        </w:rPr>
        <w:t>,</w:t>
      </w:r>
      <w:r w:rsidR="00610EDF">
        <w:rPr>
          <w:rFonts w:ascii="Arial" w:hAnsi="Arial" w:cs="Arial"/>
          <w:color w:val="000000" w:themeColor="text1"/>
          <w:sz w:val="19"/>
          <w:szCs w:val="19"/>
        </w:rPr>
        <w:t xml:space="preserve"> SANTELLA,</w:t>
      </w:r>
      <w:r w:rsidRPr="00EB5024">
        <w:rPr>
          <w:rFonts w:ascii="Arial" w:hAnsi="Arial" w:cs="Arial"/>
          <w:color w:val="000000" w:themeColor="text1"/>
          <w:sz w:val="19"/>
          <w:szCs w:val="19"/>
        </w:rPr>
        <w:t xml:space="preserve"> </w:t>
      </w:r>
      <w:r w:rsidR="00610EDF">
        <w:rPr>
          <w:rFonts w:ascii="Arial" w:hAnsi="Arial" w:cs="Arial"/>
          <w:color w:val="000000" w:themeColor="text1"/>
          <w:sz w:val="19"/>
          <w:szCs w:val="19"/>
        </w:rPr>
        <w:t>Héctor</w:t>
      </w:r>
      <w:r w:rsidR="00610EDF" w:rsidRPr="00EB5024">
        <w:rPr>
          <w:rFonts w:ascii="Arial" w:hAnsi="Arial" w:cs="Arial"/>
          <w:color w:val="000000" w:themeColor="text1"/>
          <w:sz w:val="19"/>
          <w:szCs w:val="19"/>
        </w:rPr>
        <w:t xml:space="preserve"> </w:t>
      </w:r>
      <w:r w:rsidRPr="00EB5024">
        <w:rPr>
          <w:rFonts w:ascii="Arial" w:hAnsi="Arial" w:cs="Arial"/>
          <w:color w:val="000000" w:themeColor="text1"/>
          <w:sz w:val="19"/>
          <w:szCs w:val="19"/>
        </w:rPr>
        <w:t>SANTAELLA Y</w:t>
      </w:r>
      <w:r w:rsidR="00610EDF">
        <w:rPr>
          <w:rFonts w:ascii="Arial" w:hAnsi="Arial" w:cs="Arial"/>
          <w:color w:val="000000" w:themeColor="text1"/>
          <w:sz w:val="19"/>
          <w:szCs w:val="19"/>
        </w:rPr>
        <w:t xml:space="preserve"> COVILLA,</w:t>
      </w:r>
      <w:r w:rsidRPr="00EB5024">
        <w:rPr>
          <w:rFonts w:ascii="Arial" w:hAnsi="Arial" w:cs="Arial"/>
          <w:color w:val="000000" w:themeColor="text1"/>
          <w:sz w:val="19"/>
          <w:szCs w:val="19"/>
        </w:rPr>
        <w:t xml:space="preserve"> </w:t>
      </w:r>
      <w:r w:rsidR="00610EDF">
        <w:rPr>
          <w:rFonts w:ascii="Arial" w:hAnsi="Arial" w:cs="Arial"/>
          <w:color w:val="000000" w:themeColor="text1"/>
          <w:sz w:val="19"/>
          <w:szCs w:val="19"/>
        </w:rPr>
        <w:t>Juan</w:t>
      </w:r>
      <w:r w:rsidRPr="00EB5024">
        <w:rPr>
          <w:rFonts w:ascii="Arial" w:hAnsi="Arial" w:cs="Arial"/>
          <w:color w:val="000000" w:themeColor="text1"/>
          <w:sz w:val="19"/>
          <w:szCs w:val="19"/>
        </w:rPr>
        <w:t>. Los bienes públicos y su régimen territorial</w:t>
      </w:r>
      <w:r w:rsidR="002B1FD3">
        <w:rPr>
          <w:rFonts w:ascii="Arial" w:hAnsi="Arial" w:cs="Arial"/>
          <w:color w:val="000000" w:themeColor="text1"/>
          <w:sz w:val="19"/>
          <w:szCs w:val="19"/>
        </w:rPr>
        <w:t>.</w:t>
      </w:r>
      <w:r w:rsidRPr="00EB5024">
        <w:rPr>
          <w:rFonts w:ascii="Arial" w:hAnsi="Arial" w:cs="Arial"/>
          <w:color w:val="000000" w:themeColor="text1"/>
          <w:sz w:val="19"/>
          <w:szCs w:val="19"/>
        </w:rPr>
        <w:t xml:space="preserve"> </w:t>
      </w:r>
      <w:r w:rsidR="002B1FD3">
        <w:rPr>
          <w:rFonts w:ascii="Arial" w:hAnsi="Arial" w:cs="Arial"/>
          <w:color w:val="000000" w:themeColor="text1"/>
          <w:sz w:val="19"/>
          <w:szCs w:val="19"/>
        </w:rPr>
        <w:t>E</w:t>
      </w:r>
      <w:r w:rsidRPr="00EB5024">
        <w:rPr>
          <w:rFonts w:ascii="Arial" w:hAnsi="Arial" w:cs="Arial"/>
          <w:color w:val="000000" w:themeColor="text1"/>
          <w:sz w:val="19"/>
          <w:szCs w:val="19"/>
        </w:rPr>
        <w:t>n</w:t>
      </w:r>
      <w:r w:rsidR="002B1FD3">
        <w:rPr>
          <w:rFonts w:ascii="Arial" w:hAnsi="Arial" w:cs="Arial"/>
          <w:color w:val="000000" w:themeColor="text1"/>
          <w:sz w:val="19"/>
          <w:szCs w:val="19"/>
        </w:rPr>
        <w:t>:</w:t>
      </w:r>
      <w:r w:rsidRPr="00EB5024">
        <w:rPr>
          <w:rFonts w:ascii="Arial" w:hAnsi="Arial" w:cs="Arial"/>
          <w:color w:val="000000" w:themeColor="text1"/>
          <w:sz w:val="19"/>
          <w:szCs w:val="19"/>
        </w:rPr>
        <w:t xml:space="preserve"> Derecho de las entidades territoriales. Universidad Externado de Colombia, 2018, pp. 453-492</w:t>
      </w:r>
    </w:p>
  </w:footnote>
  <w:footnote w:id="4">
    <w:p w14:paraId="2EBAD238" w14:textId="2E17CC4C" w:rsidR="00A2114B" w:rsidRPr="00EB5024" w:rsidRDefault="00A2114B">
      <w:pPr>
        <w:pStyle w:val="Textonotapie"/>
        <w:ind w:firstLine="708"/>
        <w:jc w:val="both"/>
        <w:rPr>
          <w:rFonts w:ascii="Arial" w:hAnsi="Arial" w:cs="Arial"/>
          <w:color w:val="000000" w:themeColor="text1"/>
          <w:sz w:val="19"/>
          <w:szCs w:val="19"/>
        </w:rPr>
      </w:pPr>
      <w:r w:rsidRPr="00EB5024">
        <w:rPr>
          <w:rStyle w:val="Refdenotaalpie"/>
          <w:rFonts w:ascii="Arial" w:hAnsi="Arial" w:cs="Arial"/>
          <w:color w:val="000000" w:themeColor="text1"/>
          <w:sz w:val="19"/>
          <w:szCs w:val="19"/>
        </w:rPr>
        <w:footnoteRef/>
      </w:r>
      <w:r w:rsidRPr="00EB5024">
        <w:rPr>
          <w:rFonts w:ascii="Arial" w:hAnsi="Arial" w:cs="Arial"/>
          <w:color w:val="000000" w:themeColor="text1"/>
          <w:sz w:val="19"/>
          <w:szCs w:val="19"/>
        </w:rPr>
        <w:t xml:space="preserve"> </w:t>
      </w:r>
      <w:r w:rsidR="00610EDF" w:rsidRPr="00EB5024">
        <w:rPr>
          <w:rFonts w:ascii="Arial" w:hAnsi="Arial" w:cs="Arial"/>
          <w:color w:val="000000" w:themeColor="text1"/>
          <w:sz w:val="19"/>
          <w:szCs w:val="19"/>
        </w:rPr>
        <w:t>PIMIENTO ECHEVERRI</w:t>
      </w:r>
      <w:r w:rsidR="00610EDF">
        <w:rPr>
          <w:rFonts w:ascii="Arial" w:hAnsi="Arial" w:cs="Arial"/>
          <w:color w:val="000000" w:themeColor="text1"/>
          <w:sz w:val="19"/>
          <w:szCs w:val="19"/>
        </w:rPr>
        <w:t>,</w:t>
      </w:r>
      <w:r w:rsidR="001F04F2">
        <w:rPr>
          <w:rFonts w:ascii="Arial" w:hAnsi="Arial" w:cs="Arial"/>
          <w:color w:val="000000" w:themeColor="text1"/>
          <w:sz w:val="19"/>
          <w:szCs w:val="19"/>
        </w:rPr>
        <w:t xml:space="preserve"> </w:t>
      </w:r>
      <w:r w:rsidR="00610EDF">
        <w:rPr>
          <w:rFonts w:ascii="Arial" w:hAnsi="Arial" w:cs="Arial"/>
          <w:color w:val="000000" w:themeColor="text1"/>
          <w:sz w:val="19"/>
          <w:szCs w:val="19"/>
        </w:rPr>
        <w:t>Julián</w:t>
      </w:r>
      <w:r w:rsidRPr="00EB5024">
        <w:rPr>
          <w:rFonts w:ascii="Arial" w:hAnsi="Arial" w:cs="Arial"/>
          <w:color w:val="000000" w:themeColor="text1"/>
          <w:sz w:val="19"/>
          <w:szCs w:val="19"/>
        </w:rPr>
        <w:t xml:space="preserve">. El aprovechamiento económico de los bienes de uso público. Reflexiones con ocasión de la reciente unificación sobre la improcedencia del contrato de arrendamiento, Revista digital de Derecho Administrativo, n.º 22. Universidad Externado de Colombia, 2019, p. 38. Disponible en: </w:t>
      </w:r>
      <w:hyperlink r:id="rId1" w:history="1">
        <w:r w:rsidRPr="00EB5024">
          <w:rPr>
            <w:rStyle w:val="Hipervnculo"/>
            <w:rFonts w:ascii="Arial" w:hAnsi="Arial" w:cs="Arial"/>
            <w:color w:val="000000" w:themeColor="text1"/>
            <w:sz w:val="19"/>
            <w:szCs w:val="19"/>
          </w:rPr>
          <w:t>https://revistas.uexternado.edu.co/index.php/Deradm/article/view/6034/7757</w:t>
        </w:r>
      </w:hyperlink>
    </w:p>
    <w:p w14:paraId="21227212" w14:textId="77777777" w:rsidR="00A2114B" w:rsidRPr="00EB5024" w:rsidRDefault="00A2114B">
      <w:pPr>
        <w:pStyle w:val="Textonotapie"/>
        <w:ind w:firstLine="708"/>
        <w:jc w:val="both"/>
        <w:rPr>
          <w:rFonts w:ascii="Arial" w:hAnsi="Arial" w:cs="Arial"/>
          <w:color w:val="000000" w:themeColor="text1"/>
          <w:sz w:val="19"/>
          <w:szCs w:val="19"/>
          <w:lang w:val="es-CO"/>
        </w:rPr>
      </w:pPr>
    </w:p>
  </w:footnote>
  <w:footnote w:id="5">
    <w:p w14:paraId="183454F8" w14:textId="62054331" w:rsidR="00A2114B" w:rsidRPr="00EB5024" w:rsidRDefault="00A2114B">
      <w:pPr>
        <w:ind w:firstLine="708"/>
        <w:jc w:val="both"/>
        <w:rPr>
          <w:rFonts w:ascii="Arial" w:hAnsi="Arial" w:cs="Arial"/>
          <w:sz w:val="19"/>
          <w:szCs w:val="19"/>
          <w:lang w:val="es-ES"/>
        </w:rPr>
      </w:pPr>
      <w:r w:rsidRPr="00EB5024">
        <w:rPr>
          <w:rStyle w:val="Refdenotaalpie"/>
          <w:rFonts w:ascii="Arial" w:hAnsi="Arial" w:cs="Arial"/>
          <w:sz w:val="19"/>
          <w:szCs w:val="19"/>
        </w:rPr>
        <w:footnoteRef/>
      </w:r>
      <w:r w:rsidRPr="00EB5024">
        <w:rPr>
          <w:rFonts w:ascii="Arial" w:hAnsi="Arial" w:cs="Arial"/>
          <w:sz w:val="19"/>
          <w:szCs w:val="19"/>
        </w:rPr>
        <w:t xml:space="preserve"> </w:t>
      </w:r>
      <w:r w:rsidRPr="00EB5024">
        <w:rPr>
          <w:rFonts w:ascii="Arial" w:hAnsi="Arial" w:cs="Arial"/>
          <w:sz w:val="19"/>
          <w:szCs w:val="19"/>
          <w:lang w:val="es-ES"/>
        </w:rPr>
        <w:t xml:space="preserve">En ese sentido la Corte Constitucional ha señalado: «Es necesario precisar, que dentro de las zonas delimitadas y, por consiguiente, reservadas o destinadas a parques naturales, no sólo se comprenden terrenos de propiedad estatal, sino de propiedad privada. Si bien en estos casos subsiste la propiedad privada, que es enajenable, ella </w:t>
      </w:r>
      <w:proofErr w:type="spellStart"/>
      <w:r w:rsidRPr="00EB5024">
        <w:rPr>
          <w:rFonts w:ascii="Arial" w:hAnsi="Arial" w:cs="Arial"/>
          <w:sz w:val="19"/>
          <w:szCs w:val="19"/>
          <w:lang w:val="es-ES"/>
        </w:rPr>
        <w:t>esta</w:t>
      </w:r>
      <w:proofErr w:type="spellEnd"/>
      <w:r w:rsidRPr="00EB5024">
        <w:rPr>
          <w:rFonts w:ascii="Arial" w:hAnsi="Arial" w:cs="Arial"/>
          <w:sz w:val="19"/>
          <w:szCs w:val="19"/>
          <w:lang w:val="es-ES"/>
        </w:rPr>
        <w:t xml:space="preserve"> afectada a la finalidad de interés público o social propia del sistema de parques nacionales, afectación que implica la imposición de ciertas limitaciones o cargas al ejercicio de dicho derecho, acordes con dicha finalidad. No obstante, debe aclararse, que en cuanto se afecte el núcleo esencial del derecho de propiedad con la referida afectación el respectivo inmueble debe ser adquirido mediante compra o expropiación» </w:t>
      </w:r>
      <w:r w:rsidR="00AA35BA">
        <w:rPr>
          <w:rFonts w:ascii="Arial" w:hAnsi="Arial" w:cs="Arial"/>
          <w:sz w:val="19"/>
          <w:szCs w:val="19"/>
          <w:lang w:val="es-ES"/>
        </w:rPr>
        <w:t>(</w:t>
      </w:r>
      <w:r w:rsidRPr="00EB5024">
        <w:rPr>
          <w:rFonts w:ascii="Arial" w:hAnsi="Arial" w:cs="Arial"/>
          <w:sz w:val="19"/>
          <w:szCs w:val="19"/>
          <w:lang w:val="es-ES"/>
        </w:rPr>
        <w:t>CORTE CONSTITUCIONAL. Sentencia C-649 de 1997, M.P. Antonio Barrera Carbonell</w:t>
      </w:r>
      <w:r w:rsidR="00AA35BA">
        <w:rPr>
          <w:rFonts w:ascii="Arial" w:hAnsi="Arial" w:cs="Arial"/>
          <w:sz w:val="19"/>
          <w:szCs w:val="19"/>
          <w:lang w:val="es-ES"/>
        </w:rPr>
        <w:t>)</w:t>
      </w:r>
      <w:r w:rsidRPr="00EB5024">
        <w:rPr>
          <w:rFonts w:ascii="Arial" w:hAnsi="Arial" w:cs="Arial"/>
          <w:sz w:val="19"/>
          <w:szCs w:val="19"/>
          <w:lang w:val="es-ES"/>
        </w:rPr>
        <w:t>.</w:t>
      </w:r>
    </w:p>
  </w:footnote>
  <w:footnote w:id="6">
    <w:p w14:paraId="4C79EF49" w14:textId="0D9B4060" w:rsidR="00A2114B" w:rsidRPr="00EB5024" w:rsidRDefault="00A2114B" w:rsidP="00610EDF">
      <w:pPr>
        <w:pStyle w:val="Textonotapie"/>
        <w:ind w:firstLine="708"/>
        <w:jc w:val="both"/>
        <w:rPr>
          <w:rFonts w:ascii="Arial" w:hAnsi="Arial" w:cs="Arial"/>
          <w:sz w:val="19"/>
          <w:szCs w:val="19"/>
          <w:lang w:val="es-ES"/>
        </w:rPr>
      </w:pPr>
      <w:r w:rsidRPr="00EB5024">
        <w:rPr>
          <w:rStyle w:val="Refdenotaalpie"/>
          <w:rFonts w:ascii="Arial" w:hAnsi="Arial" w:cs="Arial"/>
          <w:sz w:val="19"/>
          <w:szCs w:val="19"/>
        </w:rPr>
        <w:footnoteRef/>
      </w:r>
      <w:r w:rsidRPr="00EB5024">
        <w:rPr>
          <w:rFonts w:ascii="Arial" w:hAnsi="Arial" w:cs="Arial"/>
          <w:sz w:val="19"/>
          <w:szCs w:val="19"/>
        </w:rPr>
        <w:t xml:space="preserve"> </w:t>
      </w:r>
      <w:r w:rsidRPr="00EB5024">
        <w:rPr>
          <w:rFonts w:ascii="Arial" w:hAnsi="Arial" w:cs="Arial"/>
          <w:sz w:val="19"/>
          <w:szCs w:val="19"/>
          <w:lang w:val="es-ES"/>
        </w:rPr>
        <w:t xml:space="preserve">PIMIENTO ECHEVERRI, Julián Andrés. Derecho administrativo de bienes. Los bienes públicos: historia, clasificación, régimen jurídico. Universidad Externado de Colombia. 2015. P. 271. </w:t>
      </w:r>
    </w:p>
  </w:footnote>
  <w:footnote w:id="7">
    <w:p w14:paraId="3587E935" w14:textId="4B2DD5A4" w:rsidR="00A2114B" w:rsidRPr="00EB5024" w:rsidRDefault="00A2114B" w:rsidP="00FC6B69">
      <w:pPr>
        <w:pStyle w:val="Textonotapie"/>
        <w:ind w:firstLine="708"/>
        <w:jc w:val="both"/>
        <w:rPr>
          <w:rFonts w:ascii="Arial" w:hAnsi="Arial" w:cs="Arial"/>
          <w:sz w:val="19"/>
          <w:szCs w:val="19"/>
          <w:lang w:val="es-ES"/>
        </w:rPr>
      </w:pPr>
      <w:r w:rsidRPr="00EB5024">
        <w:rPr>
          <w:rStyle w:val="Refdenotaalpie"/>
          <w:rFonts w:ascii="Arial" w:hAnsi="Arial" w:cs="Arial"/>
          <w:sz w:val="19"/>
          <w:szCs w:val="19"/>
        </w:rPr>
        <w:footnoteRef/>
      </w:r>
      <w:r w:rsidRPr="00EB5024">
        <w:rPr>
          <w:rFonts w:ascii="Arial" w:hAnsi="Arial" w:cs="Arial"/>
          <w:sz w:val="19"/>
          <w:szCs w:val="19"/>
        </w:rPr>
        <w:t xml:space="preserve"> </w:t>
      </w:r>
      <w:r w:rsidRPr="00EB5024">
        <w:rPr>
          <w:rFonts w:ascii="Arial" w:hAnsi="Arial" w:cs="Arial"/>
          <w:sz w:val="19"/>
          <w:szCs w:val="19"/>
          <w:lang w:val="es-ES"/>
        </w:rPr>
        <w:t xml:space="preserve">PIMIENTO, </w:t>
      </w:r>
      <w:proofErr w:type="spellStart"/>
      <w:r w:rsidR="001F1442">
        <w:rPr>
          <w:rFonts w:ascii="Arial" w:hAnsi="Arial" w:cs="Arial"/>
          <w:sz w:val="19"/>
          <w:szCs w:val="19"/>
          <w:lang w:val="es-ES"/>
        </w:rPr>
        <w:t>Op.cit</w:t>
      </w:r>
      <w:proofErr w:type="spellEnd"/>
      <w:r w:rsidR="001F1442">
        <w:rPr>
          <w:rFonts w:ascii="Arial" w:hAnsi="Arial" w:cs="Arial"/>
          <w:sz w:val="19"/>
          <w:szCs w:val="19"/>
          <w:lang w:val="es-ES"/>
        </w:rPr>
        <w:t>., p.</w:t>
      </w:r>
      <w:r w:rsidRPr="00EB5024">
        <w:rPr>
          <w:rFonts w:ascii="Arial" w:hAnsi="Arial" w:cs="Arial"/>
          <w:sz w:val="19"/>
          <w:szCs w:val="19"/>
          <w:lang w:val="es-ES"/>
        </w:rPr>
        <w:t xml:space="preserve"> 384. </w:t>
      </w:r>
    </w:p>
  </w:footnote>
  <w:footnote w:id="8">
    <w:p w14:paraId="0C9BD2E4" w14:textId="3869C6A0" w:rsidR="00A2114B" w:rsidRPr="00EB5024" w:rsidRDefault="00A2114B" w:rsidP="00610EDF">
      <w:pPr>
        <w:pStyle w:val="Textonotapie"/>
        <w:ind w:firstLine="708"/>
        <w:jc w:val="both"/>
        <w:rPr>
          <w:rFonts w:ascii="Arial" w:hAnsi="Arial" w:cs="Arial"/>
          <w:sz w:val="19"/>
          <w:szCs w:val="19"/>
          <w:lang w:val="es-ES"/>
        </w:rPr>
      </w:pPr>
      <w:r w:rsidRPr="00EB5024">
        <w:rPr>
          <w:rStyle w:val="Refdenotaalpie"/>
          <w:rFonts w:ascii="Arial" w:hAnsi="Arial" w:cs="Arial"/>
          <w:sz w:val="19"/>
          <w:szCs w:val="19"/>
        </w:rPr>
        <w:footnoteRef/>
      </w:r>
      <w:r w:rsidRPr="00EB5024">
        <w:rPr>
          <w:rFonts w:ascii="Arial" w:hAnsi="Arial" w:cs="Arial"/>
          <w:sz w:val="19"/>
          <w:szCs w:val="19"/>
        </w:rPr>
        <w:t xml:space="preserve"> </w:t>
      </w:r>
      <w:proofErr w:type="spellStart"/>
      <w:r w:rsidRPr="00EB5024">
        <w:rPr>
          <w:rFonts w:ascii="Arial" w:hAnsi="Arial" w:cs="Arial"/>
          <w:sz w:val="19"/>
          <w:szCs w:val="19"/>
        </w:rPr>
        <w:t>Ib</w:t>
      </w:r>
      <w:r w:rsidR="001F1442">
        <w:rPr>
          <w:rFonts w:ascii="Arial" w:hAnsi="Arial" w:cs="Arial"/>
          <w:sz w:val="19"/>
          <w:szCs w:val="19"/>
        </w:rPr>
        <w:t>íd</w:t>
      </w:r>
      <w:proofErr w:type="spellEnd"/>
      <w:r w:rsidR="001F1442">
        <w:rPr>
          <w:rFonts w:ascii="Arial" w:hAnsi="Arial" w:cs="Arial"/>
          <w:sz w:val="19"/>
          <w:szCs w:val="19"/>
        </w:rPr>
        <w:t>.</w:t>
      </w:r>
      <w:r w:rsidRPr="00EB5024">
        <w:rPr>
          <w:rFonts w:ascii="Arial" w:hAnsi="Arial" w:cs="Arial"/>
          <w:sz w:val="19"/>
          <w:szCs w:val="19"/>
        </w:rPr>
        <w:t xml:space="preserve">, </w:t>
      </w:r>
      <w:r w:rsidR="001F1442">
        <w:rPr>
          <w:rFonts w:ascii="Arial" w:hAnsi="Arial" w:cs="Arial"/>
          <w:sz w:val="19"/>
          <w:szCs w:val="19"/>
        </w:rPr>
        <w:t xml:space="preserve">p. </w:t>
      </w:r>
      <w:r w:rsidRPr="00EB5024">
        <w:rPr>
          <w:rFonts w:ascii="Arial" w:hAnsi="Arial" w:cs="Arial"/>
          <w:sz w:val="19"/>
          <w:szCs w:val="19"/>
        </w:rPr>
        <w:t xml:space="preserve">385. </w:t>
      </w:r>
    </w:p>
  </w:footnote>
  <w:footnote w:id="9">
    <w:p w14:paraId="070610FE" w14:textId="4CF5BDFE" w:rsidR="00A2114B" w:rsidRPr="00EB5024" w:rsidRDefault="00A2114B" w:rsidP="00610EDF">
      <w:pPr>
        <w:pStyle w:val="Textonotapie"/>
        <w:ind w:firstLine="708"/>
        <w:jc w:val="both"/>
        <w:rPr>
          <w:rFonts w:ascii="Arial" w:hAnsi="Arial" w:cs="Arial"/>
          <w:sz w:val="19"/>
          <w:szCs w:val="19"/>
          <w:lang w:val="es-ES"/>
        </w:rPr>
      </w:pPr>
      <w:r w:rsidRPr="00EB5024">
        <w:rPr>
          <w:rStyle w:val="Refdenotaalpie"/>
          <w:rFonts w:ascii="Arial" w:hAnsi="Arial" w:cs="Arial"/>
          <w:sz w:val="19"/>
          <w:szCs w:val="19"/>
        </w:rPr>
        <w:footnoteRef/>
      </w:r>
      <w:r w:rsidRPr="00EB5024">
        <w:rPr>
          <w:rFonts w:ascii="Arial" w:hAnsi="Arial" w:cs="Arial"/>
          <w:sz w:val="19"/>
          <w:szCs w:val="19"/>
        </w:rPr>
        <w:t xml:space="preserve"> </w:t>
      </w:r>
      <w:proofErr w:type="spellStart"/>
      <w:r w:rsidRPr="00EB5024">
        <w:rPr>
          <w:rFonts w:ascii="Arial" w:hAnsi="Arial" w:cs="Arial"/>
          <w:sz w:val="19"/>
          <w:szCs w:val="19"/>
          <w:lang w:val="es-ES"/>
        </w:rPr>
        <w:t>Ibí</w:t>
      </w:r>
      <w:r w:rsidR="00152558">
        <w:rPr>
          <w:rFonts w:ascii="Arial" w:hAnsi="Arial" w:cs="Arial"/>
          <w:sz w:val="19"/>
          <w:szCs w:val="19"/>
          <w:lang w:val="es-ES"/>
        </w:rPr>
        <w:t>d</w:t>
      </w:r>
      <w:proofErr w:type="spellEnd"/>
      <w:r w:rsidR="00152558">
        <w:rPr>
          <w:rFonts w:ascii="Arial" w:hAnsi="Arial" w:cs="Arial"/>
          <w:sz w:val="19"/>
          <w:szCs w:val="19"/>
          <w:lang w:val="es-ES"/>
        </w:rPr>
        <w:t>.</w:t>
      </w:r>
      <w:r w:rsidRPr="00EB5024">
        <w:rPr>
          <w:rFonts w:ascii="Arial" w:hAnsi="Arial" w:cs="Arial"/>
          <w:sz w:val="19"/>
          <w:szCs w:val="19"/>
          <w:lang w:val="es-ES"/>
        </w:rPr>
        <w:t>,</w:t>
      </w:r>
      <w:r w:rsidR="00E36221">
        <w:rPr>
          <w:rFonts w:ascii="Arial" w:hAnsi="Arial" w:cs="Arial"/>
          <w:sz w:val="19"/>
          <w:szCs w:val="19"/>
          <w:lang w:val="es-ES"/>
        </w:rPr>
        <w:t xml:space="preserve"> pp.</w:t>
      </w:r>
      <w:r w:rsidRPr="00EB5024">
        <w:rPr>
          <w:rFonts w:ascii="Arial" w:hAnsi="Arial" w:cs="Arial"/>
          <w:sz w:val="19"/>
          <w:szCs w:val="19"/>
          <w:lang w:val="es-ES"/>
        </w:rPr>
        <w:t xml:space="preserve"> 601 y ss. </w:t>
      </w:r>
    </w:p>
    <w:p w14:paraId="2B0A6026" w14:textId="77777777" w:rsidR="00A2114B" w:rsidRPr="00EB5024" w:rsidRDefault="00A2114B" w:rsidP="00610EDF">
      <w:pPr>
        <w:pStyle w:val="Textonotapie"/>
        <w:ind w:firstLine="708"/>
        <w:jc w:val="both"/>
        <w:rPr>
          <w:rFonts w:ascii="Arial" w:hAnsi="Arial" w:cs="Arial"/>
          <w:sz w:val="19"/>
          <w:szCs w:val="19"/>
          <w:lang w:val="es-ES"/>
        </w:rPr>
      </w:pPr>
    </w:p>
  </w:footnote>
  <w:footnote w:id="10">
    <w:p w14:paraId="6E9A9FB3" w14:textId="2A2490EA" w:rsidR="00A2114B" w:rsidRDefault="00A2114B" w:rsidP="00610EDF">
      <w:pPr>
        <w:pStyle w:val="Textonotapie"/>
        <w:ind w:firstLine="708"/>
        <w:jc w:val="both"/>
        <w:rPr>
          <w:rFonts w:ascii="Arial" w:hAnsi="Arial" w:cs="Arial"/>
          <w:sz w:val="19"/>
          <w:szCs w:val="19"/>
          <w:lang w:val="es-ES"/>
        </w:rPr>
      </w:pPr>
      <w:r w:rsidRPr="00EB5024">
        <w:rPr>
          <w:rStyle w:val="Refdenotaalpie"/>
          <w:rFonts w:ascii="Arial" w:hAnsi="Arial" w:cs="Arial"/>
          <w:sz w:val="19"/>
          <w:szCs w:val="19"/>
        </w:rPr>
        <w:footnoteRef/>
      </w:r>
      <w:r w:rsidRPr="00EB5024">
        <w:rPr>
          <w:rFonts w:ascii="Arial" w:hAnsi="Arial" w:cs="Arial"/>
          <w:sz w:val="19"/>
          <w:szCs w:val="19"/>
          <w:lang w:val="es-ES"/>
        </w:rPr>
        <w:t xml:space="preserve"> DÁVILA VINUEZA, Luis Guillermo, Régimen Jurídico de la Contratación Estatal, Recuperado de </w:t>
      </w:r>
      <w:hyperlink r:id="rId2" w:history="1">
        <w:r w:rsidRPr="00EB5024">
          <w:rPr>
            <w:rStyle w:val="Hipervnculo"/>
            <w:rFonts w:ascii="Arial" w:hAnsi="Arial" w:cs="Arial"/>
            <w:sz w:val="19"/>
            <w:szCs w:val="19"/>
            <w:lang w:val="es-ES"/>
          </w:rPr>
          <w:t>https://xperta.legis.co</w:t>
        </w:r>
      </w:hyperlink>
      <w:r w:rsidRPr="00EB5024">
        <w:rPr>
          <w:rFonts w:ascii="Arial" w:hAnsi="Arial" w:cs="Arial"/>
          <w:sz w:val="19"/>
          <w:szCs w:val="19"/>
          <w:lang w:val="es-ES"/>
        </w:rPr>
        <w:t xml:space="preserve">, Capítulo 2: características del Estatuto. Estatuto Único. </w:t>
      </w:r>
    </w:p>
    <w:p w14:paraId="57D82711" w14:textId="77777777" w:rsidR="007A4001" w:rsidRPr="00EB5024" w:rsidRDefault="007A4001" w:rsidP="00610EDF">
      <w:pPr>
        <w:pStyle w:val="Textonotapie"/>
        <w:ind w:firstLine="708"/>
        <w:jc w:val="both"/>
        <w:rPr>
          <w:rFonts w:ascii="Arial" w:hAnsi="Arial" w:cs="Arial"/>
          <w:sz w:val="19"/>
          <w:szCs w:val="19"/>
          <w:lang w:val="es-ES"/>
        </w:rPr>
      </w:pPr>
    </w:p>
  </w:footnote>
  <w:footnote w:id="11">
    <w:p w14:paraId="43AE7F2B" w14:textId="74EDCF65" w:rsidR="00A2114B" w:rsidRDefault="00A2114B">
      <w:pPr>
        <w:pStyle w:val="Textonotapie"/>
        <w:ind w:firstLine="708"/>
        <w:jc w:val="both"/>
        <w:rPr>
          <w:rFonts w:ascii="Arial" w:hAnsi="Arial" w:cs="Arial"/>
          <w:sz w:val="19"/>
          <w:szCs w:val="19"/>
        </w:rPr>
      </w:pPr>
      <w:r w:rsidRPr="00EB5024">
        <w:rPr>
          <w:rStyle w:val="Refdenotaalpie"/>
          <w:rFonts w:ascii="Arial" w:hAnsi="Arial" w:cs="Arial"/>
          <w:sz w:val="19"/>
          <w:szCs w:val="19"/>
        </w:rPr>
        <w:footnoteRef/>
      </w:r>
      <w:r w:rsidRPr="00EB5024">
        <w:rPr>
          <w:rFonts w:ascii="Arial" w:hAnsi="Arial" w:cs="Arial"/>
          <w:sz w:val="19"/>
          <w:szCs w:val="19"/>
        </w:rPr>
        <w:t xml:space="preserve"> BARRETO CIFUENTES. Carlos Sebastián. Generación y </w:t>
      </w:r>
      <w:r w:rsidR="0044710A">
        <w:rPr>
          <w:rFonts w:ascii="Arial" w:hAnsi="Arial" w:cs="Arial"/>
          <w:sz w:val="19"/>
          <w:szCs w:val="19"/>
        </w:rPr>
        <w:t>g</w:t>
      </w:r>
      <w:r w:rsidRPr="00EB5024">
        <w:rPr>
          <w:rFonts w:ascii="Arial" w:hAnsi="Arial" w:cs="Arial"/>
          <w:sz w:val="19"/>
          <w:szCs w:val="19"/>
        </w:rPr>
        <w:t xml:space="preserve">estión del </w:t>
      </w:r>
      <w:r w:rsidR="0044710A">
        <w:rPr>
          <w:rFonts w:ascii="Arial" w:hAnsi="Arial" w:cs="Arial"/>
          <w:sz w:val="19"/>
          <w:szCs w:val="19"/>
        </w:rPr>
        <w:t>e</w:t>
      </w:r>
      <w:r w:rsidRPr="00EB5024">
        <w:rPr>
          <w:rFonts w:ascii="Arial" w:hAnsi="Arial" w:cs="Arial"/>
          <w:sz w:val="19"/>
          <w:szCs w:val="19"/>
        </w:rPr>
        <w:t xml:space="preserve">spacio </w:t>
      </w:r>
      <w:r w:rsidR="0044710A">
        <w:rPr>
          <w:rFonts w:ascii="Arial" w:hAnsi="Arial" w:cs="Arial"/>
          <w:sz w:val="19"/>
          <w:szCs w:val="19"/>
        </w:rPr>
        <w:t>p</w:t>
      </w:r>
      <w:r w:rsidRPr="00EB5024">
        <w:rPr>
          <w:rFonts w:ascii="Arial" w:hAnsi="Arial" w:cs="Arial"/>
          <w:sz w:val="19"/>
          <w:szCs w:val="19"/>
        </w:rPr>
        <w:t xml:space="preserve">úblico en las </w:t>
      </w:r>
      <w:r w:rsidR="0044710A">
        <w:rPr>
          <w:rFonts w:ascii="Arial" w:hAnsi="Arial" w:cs="Arial"/>
          <w:sz w:val="19"/>
          <w:szCs w:val="19"/>
        </w:rPr>
        <w:t>c</w:t>
      </w:r>
      <w:r w:rsidRPr="00EB5024">
        <w:rPr>
          <w:rFonts w:ascii="Arial" w:hAnsi="Arial" w:cs="Arial"/>
          <w:sz w:val="19"/>
          <w:szCs w:val="19"/>
        </w:rPr>
        <w:t>iudades: una perspectiva desde el derecho colombiano. En: RINCÓN CÓRDOBA. Jorge Iván.  Ordenación de territorio y derecho urbano: planificación, gestión del territorio y desafíos urbanos. Universidad Externado de Colombia, 2020.</w:t>
      </w:r>
      <w:r w:rsidR="006018B4">
        <w:rPr>
          <w:rFonts w:ascii="Arial" w:hAnsi="Arial" w:cs="Arial"/>
          <w:sz w:val="19"/>
          <w:szCs w:val="19"/>
        </w:rPr>
        <w:t xml:space="preserve"> </w:t>
      </w:r>
      <w:r w:rsidR="006018B4" w:rsidRPr="00EE6B33">
        <w:rPr>
          <w:rFonts w:ascii="Arial" w:hAnsi="Arial" w:cs="Arial"/>
          <w:sz w:val="19"/>
          <w:szCs w:val="19"/>
        </w:rPr>
        <w:t>pp.</w:t>
      </w:r>
      <w:r w:rsidR="00EE6B33" w:rsidRPr="00EE6B33">
        <w:rPr>
          <w:rFonts w:ascii="Arial" w:hAnsi="Arial" w:cs="Arial"/>
          <w:sz w:val="19"/>
          <w:szCs w:val="19"/>
        </w:rPr>
        <w:t xml:space="preserve"> 330.</w:t>
      </w:r>
    </w:p>
    <w:p w14:paraId="558A9D20" w14:textId="77777777" w:rsidR="00EB5024" w:rsidRPr="00EB5024" w:rsidRDefault="00EB5024">
      <w:pPr>
        <w:pStyle w:val="Textonotapie"/>
        <w:ind w:firstLine="708"/>
        <w:jc w:val="both"/>
        <w:rPr>
          <w:rFonts w:ascii="Arial" w:hAnsi="Arial" w:cs="Arial"/>
          <w:sz w:val="19"/>
          <w:szCs w:val="19"/>
          <w:lang w:val="es-ES"/>
        </w:rPr>
      </w:pPr>
    </w:p>
  </w:footnote>
  <w:footnote w:id="12">
    <w:p w14:paraId="6E355663" w14:textId="41DCFAFA" w:rsidR="00EB5024" w:rsidRPr="00EB5024" w:rsidRDefault="00EB5024" w:rsidP="00610EDF">
      <w:pPr>
        <w:pStyle w:val="Textonotapie"/>
        <w:ind w:firstLine="708"/>
        <w:jc w:val="both"/>
        <w:rPr>
          <w:rFonts w:ascii="Arial" w:hAnsi="Arial" w:cs="Arial"/>
          <w:sz w:val="19"/>
          <w:szCs w:val="19"/>
          <w:lang w:val="es-ES"/>
        </w:rPr>
      </w:pPr>
      <w:r w:rsidRPr="00EB5024">
        <w:rPr>
          <w:rStyle w:val="Refdenotaalpie"/>
          <w:rFonts w:ascii="Arial" w:hAnsi="Arial" w:cs="Arial"/>
          <w:sz w:val="19"/>
          <w:szCs w:val="19"/>
        </w:rPr>
        <w:footnoteRef/>
      </w:r>
      <w:r w:rsidRPr="00EB5024">
        <w:rPr>
          <w:rFonts w:ascii="Arial" w:hAnsi="Arial" w:cs="Arial"/>
          <w:sz w:val="19"/>
          <w:szCs w:val="19"/>
        </w:rPr>
        <w:t xml:space="preserve"> CONSEJO DE ESTADO. Sala de Consulta y Servicio Civil. Concepto de 5 de septiembre de 2018. Radiación: 2386. C.P. Edgar González López. </w:t>
      </w:r>
    </w:p>
  </w:footnote>
  <w:footnote w:id="13">
    <w:p w14:paraId="50A7CEEA" w14:textId="77777777" w:rsidR="003C5831" w:rsidRPr="003C5831" w:rsidRDefault="003C5831" w:rsidP="00610EDF">
      <w:pPr>
        <w:pStyle w:val="Textonotapie"/>
        <w:ind w:firstLine="709"/>
        <w:jc w:val="both"/>
        <w:rPr>
          <w:rFonts w:ascii="Arial" w:hAnsi="Arial" w:cs="Arial"/>
          <w:color w:val="000000"/>
          <w:sz w:val="19"/>
          <w:szCs w:val="19"/>
        </w:rPr>
      </w:pPr>
      <w:r w:rsidRPr="003C5831">
        <w:rPr>
          <w:rStyle w:val="Refdenotaalpie"/>
          <w:rFonts w:ascii="Arial" w:hAnsi="Arial" w:cs="Arial"/>
          <w:color w:val="000000"/>
          <w:sz w:val="19"/>
          <w:szCs w:val="19"/>
        </w:rPr>
        <w:footnoteRef/>
      </w:r>
      <w:r w:rsidRPr="003C5831">
        <w:rPr>
          <w:rFonts w:ascii="Arial" w:hAnsi="Arial" w:cs="Arial"/>
          <w:color w:val="000000"/>
          <w:sz w:val="19"/>
          <w:szCs w:val="19"/>
        </w:rPr>
        <w:t xml:space="preserve"> Corte Constitucional. Sentencia C-341 del 4 de junio de 2014. Magistrado Ponente: Mauricio González Cuervo.</w:t>
      </w:r>
    </w:p>
    <w:p w14:paraId="50B9D620" w14:textId="77777777" w:rsidR="003C5831" w:rsidRPr="003C5831" w:rsidRDefault="003C5831" w:rsidP="00610EDF">
      <w:pPr>
        <w:pStyle w:val="Textonotapie"/>
        <w:ind w:firstLine="709"/>
        <w:jc w:val="both"/>
        <w:rPr>
          <w:rFonts w:ascii="Arial" w:hAnsi="Arial" w:cs="Arial"/>
          <w:color w:val="000000"/>
          <w:sz w:val="19"/>
          <w:szCs w:val="19"/>
        </w:rPr>
      </w:pPr>
    </w:p>
  </w:footnote>
  <w:footnote w:id="14">
    <w:p w14:paraId="045871C7" w14:textId="77777777" w:rsidR="003C5831" w:rsidRPr="003C5831" w:rsidRDefault="003C5831" w:rsidP="00610EDF">
      <w:pPr>
        <w:pStyle w:val="Textonotapie"/>
        <w:ind w:firstLine="709"/>
        <w:jc w:val="both"/>
        <w:rPr>
          <w:rFonts w:ascii="Arial" w:hAnsi="Arial" w:cs="Arial"/>
          <w:color w:val="000000"/>
          <w:sz w:val="19"/>
          <w:szCs w:val="19"/>
        </w:rPr>
      </w:pPr>
      <w:r w:rsidRPr="003C5831">
        <w:rPr>
          <w:rStyle w:val="Refdenotaalpie"/>
          <w:rFonts w:ascii="Arial" w:hAnsi="Arial" w:cs="Arial"/>
          <w:color w:val="000000"/>
          <w:sz w:val="19"/>
          <w:szCs w:val="19"/>
        </w:rPr>
        <w:footnoteRef/>
      </w:r>
      <w:r w:rsidRPr="003C5831">
        <w:rPr>
          <w:rFonts w:ascii="Arial" w:hAnsi="Arial" w:cs="Arial"/>
          <w:color w:val="000000"/>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011A533" w14:textId="77777777" w:rsidR="003C5831" w:rsidRPr="003C5831" w:rsidRDefault="003C5831" w:rsidP="00610EDF">
      <w:pPr>
        <w:pStyle w:val="Textonotapie"/>
        <w:ind w:firstLine="709"/>
        <w:jc w:val="both"/>
        <w:rPr>
          <w:rFonts w:ascii="Arial" w:hAnsi="Arial" w:cs="Arial"/>
          <w:color w:val="000000"/>
          <w:sz w:val="19"/>
          <w:szCs w:val="19"/>
        </w:rPr>
      </w:pPr>
      <w:proofErr w:type="gramStart"/>
      <w:r w:rsidRPr="003C5831">
        <w:rPr>
          <w:rFonts w:ascii="Arial" w:hAnsi="Arial" w:cs="Arial"/>
          <w:color w:val="000000"/>
          <w:sz w:val="19"/>
          <w:szCs w:val="19"/>
        </w:rPr>
        <w:t>»Lo</w:t>
      </w:r>
      <w:proofErr w:type="gramEnd"/>
      <w:r w:rsidRPr="003C5831">
        <w:rPr>
          <w:rFonts w:ascii="Arial" w:hAnsi="Arial" w:cs="Arial"/>
          <w:color w:val="000000"/>
          <w:sz w:val="19"/>
          <w:szCs w:val="19"/>
        </w:rPr>
        <w:t xml:space="preserve"> anterior, sin perjuicio de las publicaciones previstas en el numeral 3 del artículo 30 de la Ley 80 de 1993.</w:t>
      </w:r>
    </w:p>
    <w:p w14:paraId="4FFB816C" w14:textId="77777777" w:rsidR="003C5831" w:rsidRPr="003C5831" w:rsidRDefault="003C5831" w:rsidP="00610EDF">
      <w:pPr>
        <w:pStyle w:val="Textonotapie"/>
        <w:ind w:firstLine="709"/>
        <w:jc w:val="both"/>
        <w:rPr>
          <w:rFonts w:ascii="Arial" w:hAnsi="Arial" w:cs="Arial"/>
          <w:color w:val="000000"/>
          <w:sz w:val="19"/>
          <w:szCs w:val="19"/>
        </w:rPr>
      </w:pPr>
      <w:proofErr w:type="gramStart"/>
      <w:r w:rsidRPr="003C5831">
        <w:rPr>
          <w:rFonts w:ascii="Arial" w:hAnsi="Arial" w:cs="Arial"/>
          <w:color w:val="000000"/>
          <w:sz w:val="19"/>
          <w:szCs w:val="19"/>
        </w:rPr>
        <w:t>»Con</w:t>
      </w:r>
      <w:proofErr w:type="gramEnd"/>
      <w:r w:rsidRPr="003C5831">
        <w:rPr>
          <w:rFonts w:ascii="Arial" w:hAnsi="Arial" w:cs="Arial"/>
          <w:color w:val="000000"/>
          <w:sz w:val="19"/>
          <w:szCs w:val="19"/>
        </w:rPr>
        <w:t xml:space="preserve"> el fin de materializar los objetivos a que se refiere el inciso anterior, el Gobierno Nacional desarrollará el Sistema Electrónico para la Contratación Pública, </w:t>
      </w:r>
      <w:proofErr w:type="spellStart"/>
      <w:r w:rsidRPr="003C5831">
        <w:rPr>
          <w:rFonts w:ascii="Arial" w:hAnsi="Arial" w:cs="Arial"/>
          <w:color w:val="000000"/>
          <w:sz w:val="19"/>
          <w:szCs w:val="19"/>
        </w:rPr>
        <w:t>Secop</w:t>
      </w:r>
      <w:proofErr w:type="spellEnd"/>
      <w:r w:rsidRPr="003C5831">
        <w:rPr>
          <w:rFonts w:ascii="Arial" w:hAnsi="Arial" w:cs="Arial"/>
          <w:color w:val="000000"/>
          <w:sz w:val="19"/>
          <w:szCs w:val="19"/>
        </w:rPr>
        <w:t xml:space="preserve">, el cual: </w:t>
      </w:r>
    </w:p>
    <w:p w14:paraId="7EA0FBA6" w14:textId="77777777" w:rsidR="003C5831" w:rsidRPr="003C5831" w:rsidRDefault="003C5831" w:rsidP="00610EDF">
      <w:pPr>
        <w:pStyle w:val="Textonotapie"/>
        <w:ind w:firstLine="709"/>
        <w:jc w:val="both"/>
        <w:rPr>
          <w:rFonts w:ascii="Arial" w:hAnsi="Arial" w:cs="Arial"/>
          <w:color w:val="000000"/>
          <w:sz w:val="19"/>
          <w:szCs w:val="19"/>
        </w:rPr>
      </w:pPr>
      <w:r w:rsidRPr="003C5831">
        <w:rPr>
          <w:rFonts w:ascii="Arial" w:hAnsi="Arial" w:cs="Arial"/>
          <w:color w:val="000000"/>
          <w:sz w:val="19"/>
          <w:szCs w:val="19"/>
        </w:rPr>
        <w:t>[…]</w:t>
      </w:r>
    </w:p>
    <w:p w14:paraId="00E31355" w14:textId="77777777" w:rsidR="003C5831" w:rsidRPr="003C5831" w:rsidRDefault="003C5831" w:rsidP="00610EDF">
      <w:pPr>
        <w:pStyle w:val="Textonotapie"/>
        <w:ind w:firstLine="709"/>
        <w:jc w:val="both"/>
        <w:rPr>
          <w:rFonts w:ascii="Arial" w:hAnsi="Arial" w:cs="Arial"/>
          <w:color w:val="000000"/>
          <w:sz w:val="19"/>
          <w:szCs w:val="19"/>
        </w:rPr>
      </w:pPr>
      <w:r w:rsidRPr="003C5831">
        <w:rPr>
          <w:rFonts w:ascii="Arial" w:hAnsi="Arial" w:cs="Arial"/>
          <w:color w:val="000000"/>
          <w:sz w:val="19"/>
          <w:szCs w:val="19"/>
        </w:rPr>
        <w:t>»c) Contará con la información oficial de la contratación realizada con dineros públicos, para lo cual establecerá los patrones a que haya lugar y se encargará de su difusión a través de canales electrónico».</w:t>
      </w:r>
    </w:p>
    <w:p w14:paraId="22695974" w14:textId="77777777" w:rsidR="003C5831" w:rsidRPr="003C5831" w:rsidRDefault="003C5831" w:rsidP="00610EDF">
      <w:pPr>
        <w:pStyle w:val="Textonotapie"/>
        <w:ind w:firstLine="709"/>
        <w:jc w:val="both"/>
        <w:rPr>
          <w:rFonts w:ascii="Arial" w:hAnsi="Arial" w:cs="Arial"/>
          <w:color w:val="000000"/>
          <w:sz w:val="19"/>
          <w:szCs w:val="19"/>
        </w:rPr>
      </w:pPr>
    </w:p>
  </w:footnote>
  <w:footnote w:id="15">
    <w:p w14:paraId="3E998C1C" w14:textId="77777777" w:rsidR="003C5831" w:rsidRPr="003C5831" w:rsidRDefault="003C5831" w:rsidP="00610EDF">
      <w:pPr>
        <w:pStyle w:val="Textonotapie"/>
        <w:ind w:firstLine="708"/>
        <w:jc w:val="both"/>
        <w:rPr>
          <w:rFonts w:ascii="Arial" w:hAnsi="Arial" w:cs="Arial"/>
          <w:color w:val="000000"/>
          <w:sz w:val="19"/>
          <w:szCs w:val="19"/>
        </w:rPr>
      </w:pPr>
      <w:r w:rsidRPr="003C5831">
        <w:rPr>
          <w:rStyle w:val="Refdenotaalpie"/>
          <w:rFonts w:ascii="Arial" w:hAnsi="Arial" w:cs="Arial"/>
          <w:color w:val="000000"/>
          <w:sz w:val="19"/>
          <w:szCs w:val="19"/>
        </w:rPr>
        <w:footnoteRef/>
      </w:r>
      <w:r w:rsidRPr="003C5831">
        <w:rPr>
          <w:rFonts w:ascii="Arial" w:hAnsi="Arial" w:cs="Arial"/>
          <w:color w:val="000000"/>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23A0F2C4" w14:textId="77777777" w:rsidR="003C5831" w:rsidRPr="003C5831" w:rsidRDefault="003C5831" w:rsidP="00610EDF">
      <w:pPr>
        <w:pStyle w:val="Textonotapie"/>
        <w:ind w:firstLine="708"/>
        <w:jc w:val="both"/>
        <w:rPr>
          <w:rFonts w:ascii="Arial" w:hAnsi="Arial" w:cs="Arial"/>
          <w:color w:val="000000"/>
          <w:sz w:val="19"/>
          <w:szCs w:val="19"/>
        </w:rPr>
      </w:pPr>
    </w:p>
  </w:footnote>
  <w:footnote w:id="16">
    <w:p w14:paraId="708E0A3D" w14:textId="77777777" w:rsidR="003C5831" w:rsidRPr="003C5831" w:rsidRDefault="003C5831" w:rsidP="00610EDF">
      <w:pPr>
        <w:pStyle w:val="Textonotapie"/>
        <w:ind w:firstLine="709"/>
        <w:jc w:val="both"/>
        <w:rPr>
          <w:rFonts w:ascii="Arial" w:hAnsi="Arial" w:cs="Arial"/>
          <w:color w:val="000000"/>
          <w:sz w:val="19"/>
          <w:szCs w:val="19"/>
        </w:rPr>
      </w:pPr>
      <w:r w:rsidRPr="003C5831">
        <w:rPr>
          <w:rStyle w:val="Refdenotaalpie"/>
          <w:rFonts w:ascii="Arial" w:hAnsi="Arial" w:cs="Arial"/>
          <w:color w:val="000000"/>
          <w:sz w:val="19"/>
          <w:szCs w:val="19"/>
        </w:rPr>
        <w:footnoteRef/>
      </w:r>
      <w:r w:rsidRPr="003C5831">
        <w:rPr>
          <w:rFonts w:ascii="Arial" w:hAnsi="Arial" w:cs="Arial"/>
          <w:color w:val="000000"/>
          <w:sz w:val="19"/>
          <w:szCs w:val="19"/>
        </w:rPr>
        <w:t xml:space="preserve"> Ley 1712 de 2014: «Artículo 5. Ámbito de aplicación. Las disposiciones de esta ley serán aplicables a las siguientes personas en calidad de sujetos obligados: </w:t>
      </w:r>
    </w:p>
    <w:p w14:paraId="142BB97A" w14:textId="77777777" w:rsidR="003C5831" w:rsidRPr="003C5831" w:rsidRDefault="003C5831" w:rsidP="00610EDF">
      <w:pPr>
        <w:pStyle w:val="Textonotapie"/>
        <w:ind w:firstLine="709"/>
        <w:jc w:val="both"/>
        <w:rPr>
          <w:rFonts w:ascii="Arial" w:hAnsi="Arial" w:cs="Arial"/>
          <w:color w:val="000000"/>
          <w:sz w:val="19"/>
          <w:szCs w:val="19"/>
        </w:rPr>
      </w:pPr>
      <w:proofErr w:type="gramStart"/>
      <w:r w:rsidRPr="003C5831">
        <w:rPr>
          <w:rFonts w:ascii="Arial" w:hAnsi="Arial" w:cs="Arial"/>
          <w:color w:val="000000"/>
          <w:sz w:val="19"/>
          <w:szCs w:val="19"/>
        </w:rPr>
        <w:t>»a</w:t>
      </w:r>
      <w:proofErr w:type="gramEnd"/>
      <w:r w:rsidRPr="003C5831">
        <w:rPr>
          <w:rFonts w:ascii="Arial" w:hAnsi="Arial" w:cs="Arial"/>
          <w:color w:val="000000"/>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6C7745C6" w14:textId="77777777" w:rsidR="003C5831" w:rsidRPr="003C5831" w:rsidRDefault="003C5831" w:rsidP="00610EDF">
      <w:pPr>
        <w:pStyle w:val="Textonotapie"/>
        <w:ind w:firstLine="709"/>
        <w:jc w:val="both"/>
        <w:rPr>
          <w:rFonts w:ascii="Arial" w:hAnsi="Arial" w:cs="Arial"/>
          <w:color w:val="000000"/>
          <w:sz w:val="19"/>
          <w:szCs w:val="19"/>
        </w:rPr>
      </w:pPr>
    </w:p>
  </w:footnote>
  <w:footnote w:id="17">
    <w:p w14:paraId="36BCAF92" w14:textId="77777777" w:rsidR="003C5831" w:rsidRPr="003C5831" w:rsidRDefault="003C5831" w:rsidP="00610EDF">
      <w:pPr>
        <w:pStyle w:val="Textonotapie"/>
        <w:ind w:firstLine="709"/>
        <w:jc w:val="both"/>
        <w:rPr>
          <w:rFonts w:ascii="Arial" w:hAnsi="Arial" w:cs="Arial"/>
          <w:color w:val="000000"/>
          <w:sz w:val="19"/>
          <w:szCs w:val="19"/>
        </w:rPr>
      </w:pPr>
      <w:r w:rsidRPr="003C5831">
        <w:rPr>
          <w:rStyle w:val="Refdenotaalpie"/>
          <w:rFonts w:ascii="Arial" w:hAnsi="Arial" w:cs="Arial"/>
          <w:color w:val="000000"/>
          <w:sz w:val="19"/>
          <w:szCs w:val="19"/>
        </w:rPr>
        <w:footnoteRef/>
      </w:r>
      <w:r w:rsidRPr="003C5831">
        <w:rPr>
          <w:rFonts w:ascii="Arial" w:hAnsi="Arial" w:cs="Arial"/>
          <w:color w:val="000000"/>
          <w:sz w:val="19"/>
          <w:szCs w:val="19"/>
        </w:rPr>
        <w:t xml:space="preserve"> </w:t>
      </w:r>
      <w:r w:rsidRPr="003C5831">
        <w:rPr>
          <w:rFonts w:ascii="Arial" w:hAnsi="Arial" w:cs="Arial"/>
          <w:color w:val="000000"/>
          <w:sz w:val="19"/>
          <w:szCs w:val="19"/>
          <w:lang w:val="es-ES" w:eastAsia="es-ES"/>
        </w:rPr>
        <w:t>«</w:t>
      </w:r>
      <w:r w:rsidRPr="003C5831">
        <w:rPr>
          <w:rFonts w:ascii="Arial" w:hAnsi="Arial" w:cs="Arial"/>
          <w:color w:val="000000"/>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FA84A94" w14:textId="77777777" w:rsidR="003C5831" w:rsidRPr="003C5831" w:rsidRDefault="003C5831" w:rsidP="00610EDF">
      <w:pPr>
        <w:pStyle w:val="Textonotapie"/>
        <w:ind w:firstLine="709"/>
        <w:jc w:val="both"/>
        <w:rPr>
          <w:rFonts w:ascii="Arial" w:hAnsi="Arial" w:cs="Arial"/>
          <w:color w:val="000000"/>
          <w:sz w:val="19"/>
          <w:szCs w:val="19"/>
          <w:lang w:val="es-ES" w:eastAsia="es-ES"/>
        </w:rPr>
      </w:pPr>
      <w:r w:rsidRPr="003C5831">
        <w:rPr>
          <w:rFonts w:ascii="Arial" w:hAnsi="Arial" w:cs="Arial"/>
          <w:color w:val="000000"/>
          <w:sz w:val="19"/>
          <w:szCs w:val="19"/>
        </w:rPr>
        <w:t>[…]</w:t>
      </w:r>
    </w:p>
    <w:p w14:paraId="76420819" w14:textId="092D0074" w:rsidR="003C5831" w:rsidRDefault="003C5831" w:rsidP="00610EDF">
      <w:pPr>
        <w:pStyle w:val="Textonotapie"/>
        <w:ind w:firstLine="709"/>
        <w:jc w:val="both"/>
        <w:rPr>
          <w:rFonts w:ascii="Arial" w:hAnsi="Arial" w:cs="Arial"/>
          <w:color w:val="000000"/>
          <w:sz w:val="19"/>
          <w:szCs w:val="19"/>
          <w:lang w:val="es-ES" w:eastAsia="es-ES"/>
        </w:rPr>
      </w:pPr>
      <w:r w:rsidRPr="003C5831">
        <w:rPr>
          <w:rFonts w:ascii="Arial" w:hAnsi="Arial" w:cs="Arial"/>
          <w:color w:val="000000"/>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E770E5A" w14:textId="77777777" w:rsidR="009053B7" w:rsidRPr="003C5831" w:rsidRDefault="009053B7" w:rsidP="00610EDF">
      <w:pPr>
        <w:pStyle w:val="Textonotapie"/>
        <w:ind w:firstLine="709"/>
        <w:jc w:val="both"/>
        <w:rPr>
          <w:rFonts w:ascii="Arial" w:hAnsi="Arial" w:cs="Arial"/>
          <w:color w:val="000000"/>
          <w:sz w:val="19"/>
          <w:szCs w:val="19"/>
          <w:lang w:val="es-CO"/>
        </w:rPr>
      </w:pPr>
    </w:p>
  </w:footnote>
  <w:footnote w:id="18">
    <w:p w14:paraId="084D7FF8" w14:textId="77777777" w:rsidR="009053B7" w:rsidRPr="009053B7" w:rsidRDefault="009053B7" w:rsidP="009053B7">
      <w:pPr>
        <w:pStyle w:val="Textonotapie"/>
        <w:ind w:right="49" w:firstLine="709"/>
        <w:jc w:val="both"/>
        <w:rPr>
          <w:rFonts w:ascii="Arial" w:hAnsi="Arial" w:cs="Arial"/>
          <w:color w:val="000000"/>
          <w:sz w:val="19"/>
          <w:szCs w:val="19"/>
        </w:rPr>
      </w:pPr>
      <w:r w:rsidRPr="009053B7">
        <w:rPr>
          <w:rStyle w:val="Refdenotaalpie"/>
          <w:rFonts w:ascii="Arial" w:hAnsi="Arial" w:cs="Arial"/>
          <w:color w:val="000000"/>
          <w:sz w:val="19"/>
          <w:szCs w:val="19"/>
        </w:rPr>
        <w:footnoteRef/>
      </w:r>
      <w:r w:rsidRPr="009053B7">
        <w:rPr>
          <w:rFonts w:ascii="Arial" w:hAnsi="Arial" w:cs="Arial"/>
          <w:color w:val="000000"/>
          <w:sz w:val="19"/>
          <w:szCs w:val="19"/>
        </w:rPr>
        <w:t xml:space="preserve"> C</w:t>
      </w:r>
      <w:proofErr w:type="spellStart"/>
      <w:r w:rsidRPr="009053B7">
        <w:rPr>
          <w:rFonts w:ascii="Arial" w:hAnsi="Arial" w:cs="Arial"/>
          <w:color w:val="000000"/>
          <w:sz w:val="19"/>
          <w:szCs w:val="19"/>
          <w:lang w:val="es-ES" w:eastAsia="es-ES"/>
        </w:rPr>
        <w:t>orte</w:t>
      </w:r>
      <w:proofErr w:type="spellEnd"/>
      <w:r w:rsidRPr="009053B7">
        <w:rPr>
          <w:rFonts w:ascii="Arial" w:hAnsi="Arial" w:cs="Arial"/>
          <w:color w:val="000000"/>
          <w:sz w:val="19"/>
          <w:szCs w:val="19"/>
          <w:lang w:val="es-ES" w:eastAsia="es-ES"/>
        </w:rPr>
        <w:t xml:space="preserve"> Constitucional. Sentencia C-274 de 9 de mayo de 2013. M.P. María Victoria Calle Correa. </w:t>
      </w:r>
    </w:p>
    <w:p w14:paraId="2032F0FD" w14:textId="77777777" w:rsidR="009053B7" w:rsidRPr="009053B7" w:rsidRDefault="009053B7" w:rsidP="009053B7">
      <w:pPr>
        <w:pStyle w:val="Textonotapie"/>
        <w:ind w:right="49" w:firstLine="709"/>
        <w:jc w:val="both"/>
        <w:rPr>
          <w:rFonts w:ascii="Arial" w:hAnsi="Arial" w:cs="Arial"/>
          <w:color w:val="000000"/>
          <w:sz w:val="19"/>
          <w:szCs w:val="19"/>
        </w:rPr>
      </w:pPr>
    </w:p>
  </w:footnote>
  <w:footnote w:id="19">
    <w:p w14:paraId="5D53CD9C" w14:textId="77777777" w:rsidR="009053B7" w:rsidRPr="009053B7" w:rsidRDefault="009053B7" w:rsidP="009053B7">
      <w:pPr>
        <w:pStyle w:val="Textonotapie"/>
        <w:ind w:right="49" w:firstLine="708"/>
        <w:jc w:val="both"/>
        <w:rPr>
          <w:rFonts w:ascii="Arial" w:hAnsi="Arial" w:cs="Arial"/>
          <w:color w:val="000000"/>
          <w:sz w:val="19"/>
          <w:szCs w:val="19"/>
        </w:rPr>
      </w:pPr>
      <w:r w:rsidRPr="009053B7">
        <w:rPr>
          <w:rStyle w:val="Refdenotaalpie"/>
          <w:rFonts w:ascii="Arial" w:hAnsi="Arial" w:cs="Arial"/>
          <w:color w:val="000000"/>
          <w:sz w:val="19"/>
          <w:szCs w:val="19"/>
        </w:rPr>
        <w:footnoteRef/>
      </w:r>
      <w:r w:rsidRPr="009053B7">
        <w:rPr>
          <w:rFonts w:ascii="Arial" w:hAnsi="Arial" w:cs="Arial"/>
          <w:color w:val="000000"/>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7303C03F" w14:textId="77777777" w:rsidR="009053B7" w:rsidRPr="009053B7" w:rsidRDefault="009053B7" w:rsidP="009053B7">
      <w:pPr>
        <w:pStyle w:val="Textonotapie"/>
        <w:ind w:right="49" w:firstLine="708"/>
        <w:jc w:val="both"/>
        <w:rPr>
          <w:rFonts w:ascii="Arial" w:hAnsi="Arial" w:cs="Arial"/>
          <w:color w:val="000000"/>
          <w:sz w:val="19"/>
          <w:szCs w:val="19"/>
        </w:rPr>
      </w:pPr>
      <w:proofErr w:type="gramStart"/>
      <w:r w:rsidRPr="009053B7">
        <w:rPr>
          <w:rFonts w:ascii="Arial" w:hAnsi="Arial" w:cs="Arial"/>
          <w:color w:val="000000"/>
          <w:sz w:val="19"/>
          <w:szCs w:val="19"/>
        </w:rPr>
        <w:t>»La</w:t>
      </w:r>
      <w:proofErr w:type="gramEnd"/>
      <w:r w:rsidRPr="009053B7">
        <w:rPr>
          <w:rFonts w:ascii="Arial" w:hAnsi="Arial" w:cs="Arial"/>
          <w:color w:val="000000"/>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71F32446" w14:textId="77777777" w:rsidR="009053B7" w:rsidRPr="009053B7" w:rsidRDefault="009053B7" w:rsidP="009053B7">
      <w:pPr>
        <w:pStyle w:val="Textonotapie"/>
        <w:ind w:right="49"/>
        <w:jc w:val="both"/>
        <w:rPr>
          <w:rFonts w:ascii="Arial" w:hAnsi="Arial" w:cs="Arial"/>
          <w:color w:val="000000"/>
          <w:sz w:val="19"/>
          <w:szCs w:val="19"/>
          <w:lang w:val="es-ES"/>
        </w:rPr>
      </w:pPr>
    </w:p>
  </w:footnote>
  <w:footnote w:id="20">
    <w:p w14:paraId="17C38725" w14:textId="77777777" w:rsidR="009053B7" w:rsidRPr="009053B7" w:rsidRDefault="009053B7" w:rsidP="009053B7">
      <w:pPr>
        <w:pStyle w:val="Textonotapie"/>
        <w:ind w:right="49" w:firstLine="708"/>
        <w:jc w:val="both"/>
        <w:rPr>
          <w:rFonts w:ascii="Arial" w:hAnsi="Arial" w:cs="Arial"/>
          <w:color w:val="000000"/>
          <w:sz w:val="19"/>
          <w:szCs w:val="19"/>
        </w:rPr>
      </w:pPr>
      <w:r w:rsidRPr="009053B7">
        <w:rPr>
          <w:rStyle w:val="Refdenotaalpie"/>
          <w:rFonts w:ascii="Arial" w:hAnsi="Arial" w:cs="Arial"/>
          <w:color w:val="000000"/>
          <w:sz w:val="19"/>
          <w:szCs w:val="19"/>
        </w:rPr>
        <w:footnoteRef/>
      </w:r>
      <w:r w:rsidRPr="009053B7">
        <w:rPr>
          <w:rFonts w:ascii="Arial" w:hAnsi="Arial" w:cs="Arial"/>
          <w:color w:val="000000"/>
          <w:sz w:val="19"/>
          <w:szCs w:val="19"/>
        </w:rPr>
        <w:t xml:space="preserve"> Consejo de Estado. Sección Tercera. Sentencia del 14 de diciembre de 2007. </w:t>
      </w:r>
      <w:proofErr w:type="spellStart"/>
      <w:r w:rsidRPr="009053B7">
        <w:rPr>
          <w:rFonts w:ascii="Arial" w:hAnsi="Arial" w:cs="Arial"/>
          <w:color w:val="000000"/>
          <w:sz w:val="19"/>
          <w:szCs w:val="19"/>
        </w:rPr>
        <w:t>Exp</w:t>
      </w:r>
      <w:proofErr w:type="spellEnd"/>
      <w:r w:rsidRPr="009053B7">
        <w:rPr>
          <w:rFonts w:ascii="Arial" w:hAnsi="Arial" w:cs="Arial"/>
          <w:color w:val="000000"/>
          <w:sz w:val="19"/>
          <w:szCs w:val="19"/>
        </w:rPr>
        <w:t>. 24.715. C.P. Ruth Stella Correa Palacio.</w:t>
      </w:r>
    </w:p>
    <w:p w14:paraId="432457B4" w14:textId="77777777" w:rsidR="009053B7" w:rsidRPr="009053B7" w:rsidRDefault="009053B7" w:rsidP="009053B7">
      <w:pPr>
        <w:pStyle w:val="Textonotapie"/>
        <w:ind w:right="49" w:firstLine="708"/>
        <w:jc w:val="both"/>
        <w:rPr>
          <w:rFonts w:ascii="Arial" w:hAnsi="Arial" w:cs="Arial"/>
          <w:color w:val="000000"/>
          <w:sz w:val="19"/>
          <w:szCs w:val="19"/>
          <w:lang w:val="es-ES"/>
        </w:rPr>
      </w:pPr>
      <w:r w:rsidRPr="009053B7">
        <w:rPr>
          <w:rFonts w:ascii="Arial" w:hAnsi="Arial" w:cs="Arial"/>
          <w:color w:val="000000"/>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DC374" w14:textId="77777777" w:rsidR="00A2114B" w:rsidRDefault="00A2114B">
    <w:pPr>
      <w:pStyle w:val="Encabezado"/>
    </w:pPr>
    <w:r>
      <w:rPr>
        <w:noProof/>
        <w:lang w:val="es-CO" w:eastAsia="es-CO"/>
      </w:rPr>
      <w:drawing>
        <wp:anchor distT="0" distB="0" distL="114300" distR="114300" simplePos="0" relativeHeight="251658240" behindDoc="1" locked="0" layoutInCell="1" allowOverlap="1" wp14:anchorId="167429E6" wp14:editId="017820F8">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7C2613C"/>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4DE"/>
    <w:rsid w:val="00001F86"/>
    <w:rsid w:val="00015AFF"/>
    <w:rsid w:val="000173A7"/>
    <w:rsid w:val="00051DDE"/>
    <w:rsid w:val="00087046"/>
    <w:rsid w:val="00092FDF"/>
    <w:rsid w:val="00095296"/>
    <w:rsid w:val="000D7DB6"/>
    <w:rsid w:val="00101EF3"/>
    <w:rsid w:val="00114788"/>
    <w:rsid w:val="0013522A"/>
    <w:rsid w:val="00145637"/>
    <w:rsid w:val="00152558"/>
    <w:rsid w:val="001529EF"/>
    <w:rsid w:val="00172ACE"/>
    <w:rsid w:val="00173551"/>
    <w:rsid w:val="001A095D"/>
    <w:rsid w:val="001B56BF"/>
    <w:rsid w:val="001C4BDD"/>
    <w:rsid w:val="001F04F2"/>
    <w:rsid w:val="001F1442"/>
    <w:rsid w:val="001F4744"/>
    <w:rsid w:val="002102DD"/>
    <w:rsid w:val="00214C39"/>
    <w:rsid w:val="00250D26"/>
    <w:rsid w:val="002553C8"/>
    <w:rsid w:val="0029357D"/>
    <w:rsid w:val="00297E77"/>
    <w:rsid w:val="002B1FD3"/>
    <w:rsid w:val="002B203D"/>
    <w:rsid w:val="002B27C0"/>
    <w:rsid w:val="002B69A9"/>
    <w:rsid w:val="002B7C7E"/>
    <w:rsid w:val="002C7513"/>
    <w:rsid w:val="002E4067"/>
    <w:rsid w:val="0030144F"/>
    <w:rsid w:val="00365805"/>
    <w:rsid w:val="003A1850"/>
    <w:rsid w:val="003A2E84"/>
    <w:rsid w:val="003A70C5"/>
    <w:rsid w:val="003C5831"/>
    <w:rsid w:val="003E546D"/>
    <w:rsid w:val="003F3F3C"/>
    <w:rsid w:val="004026A6"/>
    <w:rsid w:val="00403FE0"/>
    <w:rsid w:val="00412B5D"/>
    <w:rsid w:val="0043489A"/>
    <w:rsid w:val="0043574F"/>
    <w:rsid w:val="0044710A"/>
    <w:rsid w:val="00464045"/>
    <w:rsid w:val="00484C16"/>
    <w:rsid w:val="00485EB5"/>
    <w:rsid w:val="004867C1"/>
    <w:rsid w:val="004A1C93"/>
    <w:rsid w:val="004B18B0"/>
    <w:rsid w:val="004E4E55"/>
    <w:rsid w:val="0050493D"/>
    <w:rsid w:val="0056264B"/>
    <w:rsid w:val="00572D7A"/>
    <w:rsid w:val="005D7C26"/>
    <w:rsid w:val="005E4609"/>
    <w:rsid w:val="005E50CD"/>
    <w:rsid w:val="006018B4"/>
    <w:rsid w:val="00610EDF"/>
    <w:rsid w:val="0061282F"/>
    <w:rsid w:val="0063396E"/>
    <w:rsid w:val="00660C9C"/>
    <w:rsid w:val="006A4794"/>
    <w:rsid w:val="006B10FC"/>
    <w:rsid w:val="006C77D2"/>
    <w:rsid w:val="006E5D0C"/>
    <w:rsid w:val="006F392F"/>
    <w:rsid w:val="0071436A"/>
    <w:rsid w:val="00756860"/>
    <w:rsid w:val="00792903"/>
    <w:rsid w:val="00795880"/>
    <w:rsid w:val="007A4001"/>
    <w:rsid w:val="007F38C7"/>
    <w:rsid w:val="007F42B4"/>
    <w:rsid w:val="00817E87"/>
    <w:rsid w:val="00842905"/>
    <w:rsid w:val="0085442E"/>
    <w:rsid w:val="008A3517"/>
    <w:rsid w:val="008B4F50"/>
    <w:rsid w:val="008B5B58"/>
    <w:rsid w:val="008C1676"/>
    <w:rsid w:val="009053B7"/>
    <w:rsid w:val="00936CAA"/>
    <w:rsid w:val="0093759D"/>
    <w:rsid w:val="009553A7"/>
    <w:rsid w:val="00973517"/>
    <w:rsid w:val="0097361F"/>
    <w:rsid w:val="009A4639"/>
    <w:rsid w:val="009F259B"/>
    <w:rsid w:val="009F65D8"/>
    <w:rsid w:val="00A2114B"/>
    <w:rsid w:val="00A36C06"/>
    <w:rsid w:val="00A44F54"/>
    <w:rsid w:val="00A551A1"/>
    <w:rsid w:val="00A82517"/>
    <w:rsid w:val="00AA35BA"/>
    <w:rsid w:val="00AA5C32"/>
    <w:rsid w:val="00B079C1"/>
    <w:rsid w:val="00B414DE"/>
    <w:rsid w:val="00BA0F20"/>
    <w:rsid w:val="00BB61C0"/>
    <w:rsid w:val="00BB6C50"/>
    <w:rsid w:val="00BC06A1"/>
    <w:rsid w:val="00BF4AE0"/>
    <w:rsid w:val="00C06F7B"/>
    <w:rsid w:val="00C143C6"/>
    <w:rsid w:val="00C83ECF"/>
    <w:rsid w:val="00CA3EF7"/>
    <w:rsid w:val="00CA479B"/>
    <w:rsid w:val="00CB1C0F"/>
    <w:rsid w:val="00CF64DC"/>
    <w:rsid w:val="00D00DC5"/>
    <w:rsid w:val="00D07766"/>
    <w:rsid w:val="00D102E5"/>
    <w:rsid w:val="00D365AC"/>
    <w:rsid w:val="00D46BF7"/>
    <w:rsid w:val="00D66DB0"/>
    <w:rsid w:val="00D70889"/>
    <w:rsid w:val="00D727A0"/>
    <w:rsid w:val="00D85D2F"/>
    <w:rsid w:val="00DA158D"/>
    <w:rsid w:val="00DA1D04"/>
    <w:rsid w:val="00DC461B"/>
    <w:rsid w:val="00DD3ACB"/>
    <w:rsid w:val="00E01F78"/>
    <w:rsid w:val="00E36221"/>
    <w:rsid w:val="00E94045"/>
    <w:rsid w:val="00EA358D"/>
    <w:rsid w:val="00EA6C85"/>
    <w:rsid w:val="00EB14EA"/>
    <w:rsid w:val="00EB5024"/>
    <w:rsid w:val="00ED04A5"/>
    <w:rsid w:val="00ED54DB"/>
    <w:rsid w:val="00EE44D4"/>
    <w:rsid w:val="00EE6B33"/>
    <w:rsid w:val="00EF55A9"/>
    <w:rsid w:val="00F06DB3"/>
    <w:rsid w:val="00F10C84"/>
    <w:rsid w:val="00F127AB"/>
    <w:rsid w:val="00F34D87"/>
    <w:rsid w:val="00F554DC"/>
    <w:rsid w:val="00F87194"/>
    <w:rsid w:val="00F914FF"/>
    <w:rsid w:val="00FA0CA1"/>
    <w:rsid w:val="00FC6B69"/>
    <w:rsid w:val="00FD4FD3"/>
    <w:rsid w:val="00FF1FDF"/>
    <w:rsid w:val="00FF4BE3"/>
    <w:rsid w:val="565815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523B17"/>
  <w15:chartTrackingRefBased/>
  <w15:docId w15:val="{7C0F370A-AFA6-4DBB-8524-C5206633A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4DE"/>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B414DE"/>
    <w:pPr>
      <w:tabs>
        <w:tab w:val="center" w:pos="4419"/>
        <w:tab w:val="right" w:pos="8838"/>
      </w:tabs>
    </w:pPr>
  </w:style>
  <w:style w:type="character" w:customStyle="1" w:styleId="PiedepginaCar">
    <w:name w:val="Pie de página Car"/>
    <w:basedOn w:val="Fuentedeprrafopredeter"/>
    <w:link w:val="Piedepgina"/>
    <w:uiPriority w:val="99"/>
    <w:rsid w:val="00B414DE"/>
    <w:rPr>
      <w:sz w:val="24"/>
      <w:lang w:val="es-MX"/>
    </w:rPr>
  </w:style>
  <w:style w:type="paragraph" w:styleId="Encabezado">
    <w:name w:val="header"/>
    <w:basedOn w:val="Normal"/>
    <w:link w:val="EncabezadoCar"/>
    <w:uiPriority w:val="99"/>
    <w:unhideWhenUsed/>
    <w:rsid w:val="00B414DE"/>
    <w:pPr>
      <w:tabs>
        <w:tab w:val="center" w:pos="4252"/>
        <w:tab w:val="right" w:pos="8504"/>
      </w:tabs>
    </w:pPr>
  </w:style>
  <w:style w:type="character" w:customStyle="1" w:styleId="EncabezadoCar">
    <w:name w:val="Encabezado Car"/>
    <w:basedOn w:val="Fuentedeprrafopredeter"/>
    <w:link w:val="Encabezado"/>
    <w:uiPriority w:val="99"/>
    <w:rsid w:val="00B414DE"/>
    <w:rPr>
      <w:sz w:val="24"/>
      <w:lang w:val="es-MX"/>
    </w:rPr>
  </w:style>
  <w:style w:type="table" w:styleId="Tablaconcuadrcula">
    <w:name w:val="Table Grid"/>
    <w:basedOn w:val="Tablanormal"/>
    <w:uiPriority w:val="39"/>
    <w:rsid w:val="00B41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B414DE"/>
    <w:pPr>
      <w:ind w:left="720"/>
      <w:contextualSpacing/>
    </w:pPr>
  </w:style>
  <w:style w:type="paragraph" w:styleId="Sinespaciado">
    <w:name w:val="No Spacing"/>
    <w:aliases w:val="No Indent"/>
    <w:uiPriority w:val="3"/>
    <w:qFormat/>
    <w:rsid w:val="00B414DE"/>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B414D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B414DE"/>
    <w:rPr>
      <w:sz w:val="20"/>
      <w:szCs w:val="20"/>
    </w:rPr>
  </w:style>
  <w:style w:type="character" w:customStyle="1" w:styleId="TextonotapieCar1">
    <w:name w:val="Texto nota pie Car1"/>
    <w:basedOn w:val="Fuentedeprrafopredeter"/>
    <w:uiPriority w:val="99"/>
    <w:semiHidden/>
    <w:rsid w:val="00B414DE"/>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414DE"/>
    <w:rPr>
      <w:sz w:val="24"/>
      <w:lang w:val="es-MX"/>
    </w:rPr>
  </w:style>
  <w:style w:type="paragraph" w:customStyle="1" w:styleId="Capitulo1">
    <w:name w:val="Capitulo 1"/>
    <w:basedOn w:val="Normal"/>
    <w:qFormat/>
    <w:rsid w:val="00B414DE"/>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B414DE"/>
    <w:rPr>
      <w:vertAlign w:val="superscript"/>
    </w:rPr>
  </w:style>
  <w:style w:type="paragraph" w:customStyle="1" w:styleId="Default">
    <w:name w:val="Default"/>
    <w:rsid w:val="00D85D2F"/>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EA358D"/>
    <w:rPr>
      <w:color w:val="0563C1" w:themeColor="hyperlink"/>
      <w:u w:val="single"/>
    </w:rPr>
  </w:style>
  <w:style w:type="paragraph" w:styleId="NormalWeb">
    <w:name w:val="Normal (Web)"/>
    <w:basedOn w:val="Normal"/>
    <w:link w:val="NormalWebCar"/>
    <w:uiPriority w:val="99"/>
    <w:unhideWhenUsed/>
    <w:rsid w:val="00660C9C"/>
    <w:pPr>
      <w:spacing w:before="100" w:beforeAutospacing="1" w:after="100" w:afterAutospacing="1"/>
      <w:jc w:val="both"/>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660C9C"/>
    <w:rPr>
      <w:rFonts w:ascii="Times New Roman" w:eastAsia="Times New Roman" w:hAnsi="Times New Roman" w:cs="Times New Roman"/>
      <w:sz w:val="24"/>
      <w:szCs w:val="24"/>
      <w:lang w:eastAsia="es-CO"/>
    </w:rPr>
  </w:style>
  <w:style w:type="paragraph" w:customStyle="1" w:styleId="nueve">
    <w:name w:val="nueve"/>
    <w:basedOn w:val="Normal"/>
    <w:rsid w:val="00114788"/>
    <w:pPr>
      <w:spacing w:before="100" w:beforeAutospacing="1" w:after="100" w:afterAutospacing="1"/>
    </w:pPr>
    <w:rPr>
      <w:rFonts w:ascii="Times New Roman" w:eastAsia="Times New Roman" w:hAnsi="Times New Roman" w:cs="Times New Roman"/>
      <w:szCs w:val="24"/>
    </w:rPr>
  </w:style>
  <w:style w:type="character" w:customStyle="1" w:styleId="UnresolvedMention1">
    <w:name w:val="Unresolved Mention1"/>
    <w:basedOn w:val="Fuentedeprrafopredeter"/>
    <w:uiPriority w:val="99"/>
    <w:semiHidden/>
    <w:unhideWhenUsed/>
    <w:rsid w:val="00114788"/>
    <w:rPr>
      <w:color w:val="605E5C"/>
      <w:shd w:val="clear" w:color="auto" w:fill="E1DFDD"/>
    </w:rPr>
  </w:style>
  <w:style w:type="paragraph" w:customStyle="1" w:styleId="Appelnotedebasde">
    <w:name w:val="Appel note de bas de..."/>
    <w:basedOn w:val="Normal"/>
    <w:link w:val="Refdenotaalpie"/>
    <w:uiPriority w:val="99"/>
    <w:rsid w:val="003C5831"/>
    <w:pPr>
      <w:spacing w:after="160" w:line="240" w:lineRule="exact"/>
    </w:pPr>
    <w:rPr>
      <w:sz w:val="22"/>
      <w:vertAlign w:val="superscript"/>
      <w:lang w:val="es-CO"/>
    </w:rPr>
  </w:style>
  <w:style w:type="paragraph" w:styleId="Textodeglobo">
    <w:name w:val="Balloon Text"/>
    <w:basedOn w:val="Normal"/>
    <w:link w:val="TextodegloboCar"/>
    <w:uiPriority w:val="99"/>
    <w:semiHidden/>
    <w:unhideWhenUsed/>
    <w:rsid w:val="00173551"/>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173551"/>
    <w:rPr>
      <w:rFonts w:ascii="Times New Roman" w:hAnsi="Times New Roman" w:cs="Times New Roman"/>
      <w:sz w:val="18"/>
      <w:szCs w:val="18"/>
      <w:lang w:val="es-MX"/>
    </w:rPr>
  </w:style>
  <w:style w:type="character" w:styleId="Refdecomentario">
    <w:name w:val="annotation reference"/>
    <w:basedOn w:val="Fuentedeprrafopredeter"/>
    <w:uiPriority w:val="99"/>
    <w:semiHidden/>
    <w:unhideWhenUsed/>
    <w:rsid w:val="00173551"/>
    <w:rPr>
      <w:sz w:val="16"/>
      <w:szCs w:val="16"/>
    </w:rPr>
  </w:style>
  <w:style w:type="paragraph" w:styleId="Textocomentario">
    <w:name w:val="annotation text"/>
    <w:basedOn w:val="Normal"/>
    <w:link w:val="TextocomentarioCar"/>
    <w:uiPriority w:val="99"/>
    <w:semiHidden/>
    <w:unhideWhenUsed/>
    <w:rsid w:val="00173551"/>
    <w:rPr>
      <w:sz w:val="20"/>
      <w:szCs w:val="20"/>
    </w:rPr>
  </w:style>
  <w:style w:type="character" w:customStyle="1" w:styleId="TextocomentarioCar">
    <w:name w:val="Texto comentario Car"/>
    <w:basedOn w:val="Fuentedeprrafopredeter"/>
    <w:link w:val="Textocomentario"/>
    <w:uiPriority w:val="99"/>
    <w:semiHidden/>
    <w:rsid w:val="0017355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29357D"/>
    <w:rPr>
      <w:b/>
      <w:bCs/>
    </w:rPr>
  </w:style>
  <w:style w:type="character" w:customStyle="1" w:styleId="AsuntodelcomentarioCar">
    <w:name w:val="Asunto del comentario Car"/>
    <w:basedOn w:val="TextocomentarioCar"/>
    <w:link w:val="Asuntodelcomentario"/>
    <w:uiPriority w:val="99"/>
    <w:semiHidden/>
    <w:rsid w:val="0029357D"/>
    <w:rPr>
      <w:b/>
      <w:bCs/>
      <w:sz w:val="20"/>
      <w:szCs w:val="20"/>
      <w:lang w:val="es-MX"/>
    </w:rPr>
  </w:style>
  <w:style w:type="character" w:styleId="Hipervnculovisitado">
    <w:name w:val="FollowedHyperlink"/>
    <w:basedOn w:val="Fuentedeprrafopredeter"/>
    <w:uiPriority w:val="99"/>
    <w:semiHidden/>
    <w:unhideWhenUsed/>
    <w:rsid w:val="00610E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143635">
      <w:bodyDiv w:val="1"/>
      <w:marLeft w:val="0"/>
      <w:marRight w:val="0"/>
      <w:marTop w:val="0"/>
      <w:marBottom w:val="0"/>
      <w:divBdr>
        <w:top w:val="none" w:sz="0" w:space="0" w:color="auto"/>
        <w:left w:val="none" w:sz="0" w:space="0" w:color="auto"/>
        <w:bottom w:val="none" w:sz="0" w:space="0" w:color="auto"/>
        <w:right w:val="none" w:sz="0" w:space="0" w:color="auto"/>
      </w:divBdr>
    </w:div>
    <w:div w:id="202255539">
      <w:bodyDiv w:val="1"/>
      <w:marLeft w:val="0"/>
      <w:marRight w:val="0"/>
      <w:marTop w:val="0"/>
      <w:marBottom w:val="0"/>
      <w:divBdr>
        <w:top w:val="none" w:sz="0" w:space="0" w:color="auto"/>
        <w:left w:val="none" w:sz="0" w:space="0" w:color="auto"/>
        <w:bottom w:val="none" w:sz="0" w:space="0" w:color="auto"/>
        <w:right w:val="none" w:sz="0" w:space="0" w:color="auto"/>
      </w:divBdr>
    </w:div>
    <w:div w:id="210656462">
      <w:bodyDiv w:val="1"/>
      <w:marLeft w:val="0"/>
      <w:marRight w:val="0"/>
      <w:marTop w:val="0"/>
      <w:marBottom w:val="0"/>
      <w:divBdr>
        <w:top w:val="none" w:sz="0" w:space="0" w:color="auto"/>
        <w:left w:val="none" w:sz="0" w:space="0" w:color="auto"/>
        <w:bottom w:val="none" w:sz="0" w:space="0" w:color="auto"/>
        <w:right w:val="none" w:sz="0" w:space="0" w:color="auto"/>
      </w:divBdr>
      <w:divsChild>
        <w:div w:id="593055297">
          <w:marLeft w:val="0"/>
          <w:marRight w:val="0"/>
          <w:marTop w:val="0"/>
          <w:marBottom w:val="0"/>
          <w:divBdr>
            <w:top w:val="none" w:sz="0" w:space="0" w:color="auto"/>
            <w:left w:val="none" w:sz="0" w:space="0" w:color="auto"/>
            <w:bottom w:val="none" w:sz="0" w:space="0" w:color="auto"/>
            <w:right w:val="none" w:sz="0" w:space="0" w:color="auto"/>
          </w:divBdr>
        </w:div>
        <w:div w:id="1045522019">
          <w:marLeft w:val="0"/>
          <w:marRight w:val="0"/>
          <w:marTop w:val="0"/>
          <w:marBottom w:val="0"/>
          <w:divBdr>
            <w:top w:val="none" w:sz="0" w:space="0" w:color="auto"/>
            <w:left w:val="none" w:sz="0" w:space="0" w:color="auto"/>
            <w:bottom w:val="none" w:sz="0" w:space="0" w:color="auto"/>
            <w:right w:val="none" w:sz="0" w:space="0" w:color="auto"/>
          </w:divBdr>
        </w:div>
        <w:div w:id="79371829">
          <w:marLeft w:val="0"/>
          <w:marRight w:val="0"/>
          <w:marTop w:val="0"/>
          <w:marBottom w:val="0"/>
          <w:divBdr>
            <w:top w:val="none" w:sz="0" w:space="0" w:color="auto"/>
            <w:left w:val="none" w:sz="0" w:space="0" w:color="auto"/>
            <w:bottom w:val="none" w:sz="0" w:space="0" w:color="auto"/>
            <w:right w:val="none" w:sz="0" w:space="0" w:color="auto"/>
          </w:divBdr>
        </w:div>
        <w:div w:id="1880167957">
          <w:marLeft w:val="0"/>
          <w:marRight w:val="0"/>
          <w:marTop w:val="0"/>
          <w:marBottom w:val="0"/>
          <w:divBdr>
            <w:top w:val="none" w:sz="0" w:space="0" w:color="auto"/>
            <w:left w:val="none" w:sz="0" w:space="0" w:color="auto"/>
            <w:bottom w:val="none" w:sz="0" w:space="0" w:color="auto"/>
            <w:right w:val="none" w:sz="0" w:space="0" w:color="auto"/>
          </w:divBdr>
        </w:div>
        <w:div w:id="668867072">
          <w:marLeft w:val="0"/>
          <w:marRight w:val="0"/>
          <w:marTop w:val="0"/>
          <w:marBottom w:val="0"/>
          <w:divBdr>
            <w:top w:val="none" w:sz="0" w:space="0" w:color="auto"/>
            <w:left w:val="none" w:sz="0" w:space="0" w:color="auto"/>
            <w:bottom w:val="none" w:sz="0" w:space="0" w:color="auto"/>
            <w:right w:val="none" w:sz="0" w:space="0" w:color="auto"/>
          </w:divBdr>
        </w:div>
      </w:divsChild>
    </w:div>
    <w:div w:id="391543540">
      <w:bodyDiv w:val="1"/>
      <w:marLeft w:val="0"/>
      <w:marRight w:val="0"/>
      <w:marTop w:val="0"/>
      <w:marBottom w:val="0"/>
      <w:divBdr>
        <w:top w:val="none" w:sz="0" w:space="0" w:color="auto"/>
        <w:left w:val="none" w:sz="0" w:space="0" w:color="auto"/>
        <w:bottom w:val="none" w:sz="0" w:space="0" w:color="auto"/>
        <w:right w:val="none" w:sz="0" w:space="0" w:color="auto"/>
      </w:divBdr>
    </w:div>
    <w:div w:id="431828398">
      <w:bodyDiv w:val="1"/>
      <w:marLeft w:val="0"/>
      <w:marRight w:val="0"/>
      <w:marTop w:val="0"/>
      <w:marBottom w:val="0"/>
      <w:divBdr>
        <w:top w:val="none" w:sz="0" w:space="0" w:color="auto"/>
        <w:left w:val="none" w:sz="0" w:space="0" w:color="auto"/>
        <w:bottom w:val="none" w:sz="0" w:space="0" w:color="auto"/>
        <w:right w:val="none" w:sz="0" w:space="0" w:color="auto"/>
      </w:divBdr>
    </w:div>
    <w:div w:id="683745765">
      <w:bodyDiv w:val="1"/>
      <w:marLeft w:val="0"/>
      <w:marRight w:val="0"/>
      <w:marTop w:val="0"/>
      <w:marBottom w:val="0"/>
      <w:divBdr>
        <w:top w:val="none" w:sz="0" w:space="0" w:color="auto"/>
        <w:left w:val="none" w:sz="0" w:space="0" w:color="auto"/>
        <w:bottom w:val="none" w:sz="0" w:space="0" w:color="auto"/>
        <w:right w:val="none" w:sz="0" w:space="0" w:color="auto"/>
      </w:divBdr>
      <w:divsChild>
        <w:div w:id="883062108">
          <w:marLeft w:val="0"/>
          <w:marRight w:val="0"/>
          <w:marTop w:val="0"/>
          <w:marBottom w:val="0"/>
          <w:divBdr>
            <w:top w:val="none" w:sz="0" w:space="0" w:color="auto"/>
            <w:left w:val="none" w:sz="0" w:space="0" w:color="auto"/>
            <w:bottom w:val="none" w:sz="0" w:space="0" w:color="auto"/>
            <w:right w:val="none" w:sz="0" w:space="0" w:color="auto"/>
          </w:divBdr>
        </w:div>
        <w:div w:id="59058863">
          <w:marLeft w:val="0"/>
          <w:marRight w:val="0"/>
          <w:marTop w:val="0"/>
          <w:marBottom w:val="0"/>
          <w:divBdr>
            <w:top w:val="none" w:sz="0" w:space="0" w:color="auto"/>
            <w:left w:val="none" w:sz="0" w:space="0" w:color="auto"/>
            <w:bottom w:val="none" w:sz="0" w:space="0" w:color="auto"/>
            <w:right w:val="none" w:sz="0" w:space="0" w:color="auto"/>
          </w:divBdr>
        </w:div>
        <w:div w:id="407270489">
          <w:marLeft w:val="0"/>
          <w:marRight w:val="0"/>
          <w:marTop w:val="0"/>
          <w:marBottom w:val="0"/>
          <w:divBdr>
            <w:top w:val="none" w:sz="0" w:space="0" w:color="auto"/>
            <w:left w:val="none" w:sz="0" w:space="0" w:color="auto"/>
            <w:bottom w:val="none" w:sz="0" w:space="0" w:color="auto"/>
            <w:right w:val="none" w:sz="0" w:space="0" w:color="auto"/>
          </w:divBdr>
        </w:div>
        <w:div w:id="361369904">
          <w:marLeft w:val="0"/>
          <w:marRight w:val="0"/>
          <w:marTop w:val="0"/>
          <w:marBottom w:val="0"/>
          <w:divBdr>
            <w:top w:val="none" w:sz="0" w:space="0" w:color="auto"/>
            <w:left w:val="none" w:sz="0" w:space="0" w:color="auto"/>
            <w:bottom w:val="none" w:sz="0" w:space="0" w:color="auto"/>
            <w:right w:val="none" w:sz="0" w:space="0" w:color="auto"/>
          </w:divBdr>
        </w:div>
        <w:div w:id="2002004924">
          <w:marLeft w:val="0"/>
          <w:marRight w:val="0"/>
          <w:marTop w:val="0"/>
          <w:marBottom w:val="0"/>
          <w:divBdr>
            <w:top w:val="none" w:sz="0" w:space="0" w:color="auto"/>
            <w:left w:val="none" w:sz="0" w:space="0" w:color="auto"/>
            <w:bottom w:val="none" w:sz="0" w:space="0" w:color="auto"/>
            <w:right w:val="none" w:sz="0" w:space="0" w:color="auto"/>
          </w:divBdr>
        </w:div>
        <w:div w:id="1634215924">
          <w:marLeft w:val="0"/>
          <w:marRight w:val="0"/>
          <w:marTop w:val="0"/>
          <w:marBottom w:val="0"/>
          <w:divBdr>
            <w:top w:val="none" w:sz="0" w:space="0" w:color="auto"/>
            <w:left w:val="none" w:sz="0" w:space="0" w:color="auto"/>
            <w:bottom w:val="none" w:sz="0" w:space="0" w:color="auto"/>
            <w:right w:val="none" w:sz="0" w:space="0" w:color="auto"/>
          </w:divBdr>
        </w:div>
        <w:div w:id="1217622603">
          <w:marLeft w:val="0"/>
          <w:marRight w:val="0"/>
          <w:marTop w:val="0"/>
          <w:marBottom w:val="0"/>
          <w:divBdr>
            <w:top w:val="none" w:sz="0" w:space="0" w:color="auto"/>
            <w:left w:val="none" w:sz="0" w:space="0" w:color="auto"/>
            <w:bottom w:val="none" w:sz="0" w:space="0" w:color="auto"/>
            <w:right w:val="none" w:sz="0" w:space="0" w:color="auto"/>
          </w:divBdr>
        </w:div>
        <w:div w:id="1477449931">
          <w:marLeft w:val="0"/>
          <w:marRight w:val="0"/>
          <w:marTop w:val="0"/>
          <w:marBottom w:val="0"/>
          <w:divBdr>
            <w:top w:val="none" w:sz="0" w:space="0" w:color="auto"/>
            <w:left w:val="none" w:sz="0" w:space="0" w:color="auto"/>
            <w:bottom w:val="none" w:sz="0" w:space="0" w:color="auto"/>
            <w:right w:val="none" w:sz="0" w:space="0" w:color="auto"/>
          </w:divBdr>
        </w:div>
        <w:div w:id="848063280">
          <w:marLeft w:val="0"/>
          <w:marRight w:val="0"/>
          <w:marTop w:val="0"/>
          <w:marBottom w:val="0"/>
          <w:divBdr>
            <w:top w:val="none" w:sz="0" w:space="0" w:color="auto"/>
            <w:left w:val="none" w:sz="0" w:space="0" w:color="auto"/>
            <w:bottom w:val="none" w:sz="0" w:space="0" w:color="auto"/>
            <w:right w:val="none" w:sz="0" w:space="0" w:color="auto"/>
          </w:divBdr>
        </w:div>
        <w:div w:id="898247454">
          <w:marLeft w:val="0"/>
          <w:marRight w:val="0"/>
          <w:marTop w:val="0"/>
          <w:marBottom w:val="0"/>
          <w:divBdr>
            <w:top w:val="none" w:sz="0" w:space="0" w:color="auto"/>
            <w:left w:val="none" w:sz="0" w:space="0" w:color="auto"/>
            <w:bottom w:val="none" w:sz="0" w:space="0" w:color="auto"/>
            <w:right w:val="none" w:sz="0" w:space="0" w:color="auto"/>
          </w:divBdr>
        </w:div>
        <w:div w:id="807936565">
          <w:marLeft w:val="0"/>
          <w:marRight w:val="0"/>
          <w:marTop w:val="0"/>
          <w:marBottom w:val="0"/>
          <w:divBdr>
            <w:top w:val="none" w:sz="0" w:space="0" w:color="auto"/>
            <w:left w:val="none" w:sz="0" w:space="0" w:color="auto"/>
            <w:bottom w:val="none" w:sz="0" w:space="0" w:color="auto"/>
            <w:right w:val="none" w:sz="0" w:space="0" w:color="auto"/>
          </w:divBdr>
        </w:div>
        <w:div w:id="1616867170">
          <w:marLeft w:val="0"/>
          <w:marRight w:val="0"/>
          <w:marTop w:val="0"/>
          <w:marBottom w:val="0"/>
          <w:divBdr>
            <w:top w:val="none" w:sz="0" w:space="0" w:color="auto"/>
            <w:left w:val="none" w:sz="0" w:space="0" w:color="auto"/>
            <w:bottom w:val="none" w:sz="0" w:space="0" w:color="auto"/>
            <w:right w:val="none" w:sz="0" w:space="0" w:color="auto"/>
          </w:divBdr>
        </w:div>
        <w:div w:id="988706576">
          <w:marLeft w:val="0"/>
          <w:marRight w:val="0"/>
          <w:marTop w:val="0"/>
          <w:marBottom w:val="0"/>
          <w:divBdr>
            <w:top w:val="none" w:sz="0" w:space="0" w:color="auto"/>
            <w:left w:val="none" w:sz="0" w:space="0" w:color="auto"/>
            <w:bottom w:val="none" w:sz="0" w:space="0" w:color="auto"/>
            <w:right w:val="none" w:sz="0" w:space="0" w:color="auto"/>
          </w:divBdr>
        </w:div>
        <w:div w:id="1315798238">
          <w:marLeft w:val="0"/>
          <w:marRight w:val="0"/>
          <w:marTop w:val="0"/>
          <w:marBottom w:val="0"/>
          <w:divBdr>
            <w:top w:val="none" w:sz="0" w:space="0" w:color="auto"/>
            <w:left w:val="none" w:sz="0" w:space="0" w:color="auto"/>
            <w:bottom w:val="none" w:sz="0" w:space="0" w:color="auto"/>
            <w:right w:val="none" w:sz="0" w:space="0" w:color="auto"/>
          </w:divBdr>
        </w:div>
        <w:div w:id="2044549851">
          <w:marLeft w:val="0"/>
          <w:marRight w:val="0"/>
          <w:marTop w:val="0"/>
          <w:marBottom w:val="0"/>
          <w:divBdr>
            <w:top w:val="none" w:sz="0" w:space="0" w:color="auto"/>
            <w:left w:val="none" w:sz="0" w:space="0" w:color="auto"/>
            <w:bottom w:val="none" w:sz="0" w:space="0" w:color="auto"/>
            <w:right w:val="none" w:sz="0" w:space="0" w:color="auto"/>
          </w:divBdr>
        </w:div>
        <w:div w:id="369721085">
          <w:marLeft w:val="0"/>
          <w:marRight w:val="0"/>
          <w:marTop w:val="0"/>
          <w:marBottom w:val="0"/>
          <w:divBdr>
            <w:top w:val="none" w:sz="0" w:space="0" w:color="auto"/>
            <w:left w:val="none" w:sz="0" w:space="0" w:color="auto"/>
            <w:bottom w:val="none" w:sz="0" w:space="0" w:color="auto"/>
            <w:right w:val="none" w:sz="0" w:space="0" w:color="auto"/>
          </w:divBdr>
        </w:div>
        <w:div w:id="1645423732">
          <w:marLeft w:val="0"/>
          <w:marRight w:val="0"/>
          <w:marTop w:val="0"/>
          <w:marBottom w:val="0"/>
          <w:divBdr>
            <w:top w:val="none" w:sz="0" w:space="0" w:color="auto"/>
            <w:left w:val="none" w:sz="0" w:space="0" w:color="auto"/>
            <w:bottom w:val="none" w:sz="0" w:space="0" w:color="auto"/>
            <w:right w:val="none" w:sz="0" w:space="0" w:color="auto"/>
          </w:divBdr>
        </w:div>
        <w:div w:id="63769025">
          <w:marLeft w:val="0"/>
          <w:marRight w:val="0"/>
          <w:marTop w:val="0"/>
          <w:marBottom w:val="0"/>
          <w:divBdr>
            <w:top w:val="none" w:sz="0" w:space="0" w:color="auto"/>
            <w:left w:val="none" w:sz="0" w:space="0" w:color="auto"/>
            <w:bottom w:val="none" w:sz="0" w:space="0" w:color="auto"/>
            <w:right w:val="none" w:sz="0" w:space="0" w:color="auto"/>
          </w:divBdr>
        </w:div>
        <w:div w:id="814176815">
          <w:marLeft w:val="0"/>
          <w:marRight w:val="0"/>
          <w:marTop w:val="0"/>
          <w:marBottom w:val="0"/>
          <w:divBdr>
            <w:top w:val="none" w:sz="0" w:space="0" w:color="auto"/>
            <w:left w:val="none" w:sz="0" w:space="0" w:color="auto"/>
            <w:bottom w:val="none" w:sz="0" w:space="0" w:color="auto"/>
            <w:right w:val="none" w:sz="0" w:space="0" w:color="auto"/>
          </w:divBdr>
        </w:div>
        <w:div w:id="1318146572">
          <w:marLeft w:val="0"/>
          <w:marRight w:val="0"/>
          <w:marTop w:val="0"/>
          <w:marBottom w:val="0"/>
          <w:divBdr>
            <w:top w:val="none" w:sz="0" w:space="0" w:color="auto"/>
            <w:left w:val="none" w:sz="0" w:space="0" w:color="auto"/>
            <w:bottom w:val="none" w:sz="0" w:space="0" w:color="auto"/>
            <w:right w:val="none" w:sz="0" w:space="0" w:color="auto"/>
          </w:divBdr>
        </w:div>
      </w:divsChild>
    </w:div>
    <w:div w:id="729380794">
      <w:bodyDiv w:val="1"/>
      <w:marLeft w:val="0"/>
      <w:marRight w:val="0"/>
      <w:marTop w:val="0"/>
      <w:marBottom w:val="0"/>
      <w:divBdr>
        <w:top w:val="none" w:sz="0" w:space="0" w:color="auto"/>
        <w:left w:val="none" w:sz="0" w:space="0" w:color="auto"/>
        <w:bottom w:val="none" w:sz="0" w:space="0" w:color="auto"/>
        <w:right w:val="none" w:sz="0" w:space="0" w:color="auto"/>
      </w:divBdr>
      <w:divsChild>
        <w:div w:id="2107769376">
          <w:marLeft w:val="0"/>
          <w:marRight w:val="0"/>
          <w:marTop w:val="15"/>
          <w:marBottom w:val="0"/>
          <w:divBdr>
            <w:top w:val="none" w:sz="0" w:space="0" w:color="auto"/>
            <w:left w:val="none" w:sz="0" w:space="0" w:color="auto"/>
            <w:bottom w:val="none" w:sz="0" w:space="0" w:color="auto"/>
            <w:right w:val="none" w:sz="0" w:space="0" w:color="auto"/>
          </w:divBdr>
          <w:divsChild>
            <w:div w:id="411203666">
              <w:marLeft w:val="0"/>
              <w:marRight w:val="0"/>
              <w:marTop w:val="0"/>
              <w:marBottom w:val="0"/>
              <w:divBdr>
                <w:top w:val="none" w:sz="0" w:space="0" w:color="auto"/>
                <w:left w:val="none" w:sz="0" w:space="0" w:color="auto"/>
                <w:bottom w:val="none" w:sz="0" w:space="0" w:color="auto"/>
                <w:right w:val="none" w:sz="0" w:space="0" w:color="auto"/>
              </w:divBdr>
              <w:divsChild>
                <w:div w:id="1946183348">
                  <w:marLeft w:val="0"/>
                  <w:marRight w:val="0"/>
                  <w:marTop w:val="0"/>
                  <w:marBottom w:val="0"/>
                  <w:divBdr>
                    <w:top w:val="none" w:sz="0" w:space="0" w:color="auto"/>
                    <w:left w:val="none" w:sz="0" w:space="0" w:color="auto"/>
                    <w:bottom w:val="none" w:sz="0" w:space="0" w:color="auto"/>
                    <w:right w:val="none" w:sz="0" w:space="0" w:color="auto"/>
                  </w:divBdr>
                </w:div>
                <w:div w:id="809596232">
                  <w:marLeft w:val="0"/>
                  <w:marRight w:val="0"/>
                  <w:marTop w:val="0"/>
                  <w:marBottom w:val="0"/>
                  <w:divBdr>
                    <w:top w:val="none" w:sz="0" w:space="0" w:color="auto"/>
                    <w:left w:val="none" w:sz="0" w:space="0" w:color="auto"/>
                    <w:bottom w:val="none" w:sz="0" w:space="0" w:color="auto"/>
                    <w:right w:val="none" w:sz="0" w:space="0" w:color="auto"/>
                  </w:divBdr>
                </w:div>
                <w:div w:id="40910907">
                  <w:marLeft w:val="0"/>
                  <w:marRight w:val="0"/>
                  <w:marTop w:val="0"/>
                  <w:marBottom w:val="0"/>
                  <w:divBdr>
                    <w:top w:val="none" w:sz="0" w:space="0" w:color="auto"/>
                    <w:left w:val="none" w:sz="0" w:space="0" w:color="auto"/>
                    <w:bottom w:val="none" w:sz="0" w:space="0" w:color="auto"/>
                    <w:right w:val="none" w:sz="0" w:space="0" w:color="auto"/>
                  </w:divBdr>
                </w:div>
                <w:div w:id="1035619482">
                  <w:marLeft w:val="0"/>
                  <w:marRight w:val="0"/>
                  <w:marTop w:val="0"/>
                  <w:marBottom w:val="0"/>
                  <w:divBdr>
                    <w:top w:val="none" w:sz="0" w:space="0" w:color="auto"/>
                    <w:left w:val="none" w:sz="0" w:space="0" w:color="auto"/>
                    <w:bottom w:val="none" w:sz="0" w:space="0" w:color="auto"/>
                    <w:right w:val="none" w:sz="0" w:space="0" w:color="auto"/>
                  </w:divBdr>
                </w:div>
                <w:div w:id="1624651403">
                  <w:marLeft w:val="0"/>
                  <w:marRight w:val="0"/>
                  <w:marTop w:val="0"/>
                  <w:marBottom w:val="0"/>
                  <w:divBdr>
                    <w:top w:val="none" w:sz="0" w:space="0" w:color="auto"/>
                    <w:left w:val="none" w:sz="0" w:space="0" w:color="auto"/>
                    <w:bottom w:val="none" w:sz="0" w:space="0" w:color="auto"/>
                    <w:right w:val="none" w:sz="0" w:space="0" w:color="auto"/>
                  </w:divBdr>
                </w:div>
                <w:div w:id="30807637">
                  <w:marLeft w:val="0"/>
                  <w:marRight w:val="0"/>
                  <w:marTop w:val="0"/>
                  <w:marBottom w:val="0"/>
                  <w:divBdr>
                    <w:top w:val="none" w:sz="0" w:space="0" w:color="auto"/>
                    <w:left w:val="none" w:sz="0" w:space="0" w:color="auto"/>
                    <w:bottom w:val="none" w:sz="0" w:space="0" w:color="auto"/>
                    <w:right w:val="none" w:sz="0" w:space="0" w:color="auto"/>
                  </w:divBdr>
                </w:div>
                <w:div w:id="1012219538">
                  <w:marLeft w:val="0"/>
                  <w:marRight w:val="0"/>
                  <w:marTop w:val="0"/>
                  <w:marBottom w:val="0"/>
                  <w:divBdr>
                    <w:top w:val="none" w:sz="0" w:space="0" w:color="auto"/>
                    <w:left w:val="none" w:sz="0" w:space="0" w:color="auto"/>
                    <w:bottom w:val="none" w:sz="0" w:space="0" w:color="auto"/>
                    <w:right w:val="none" w:sz="0" w:space="0" w:color="auto"/>
                  </w:divBdr>
                </w:div>
                <w:div w:id="325591853">
                  <w:marLeft w:val="0"/>
                  <w:marRight w:val="0"/>
                  <w:marTop w:val="0"/>
                  <w:marBottom w:val="0"/>
                  <w:divBdr>
                    <w:top w:val="none" w:sz="0" w:space="0" w:color="auto"/>
                    <w:left w:val="none" w:sz="0" w:space="0" w:color="auto"/>
                    <w:bottom w:val="none" w:sz="0" w:space="0" w:color="auto"/>
                    <w:right w:val="none" w:sz="0" w:space="0" w:color="auto"/>
                  </w:divBdr>
                </w:div>
                <w:div w:id="365372572">
                  <w:marLeft w:val="0"/>
                  <w:marRight w:val="0"/>
                  <w:marTop w:val="0"/>
                  <w:marBottom w:val="0"/>
                  <w:divBdr>
                    <w:top w:val="none" w:sz="0" w:space="0" w:color="auto"/>
                    <w:left w:val="none" w:sz="0" w:space="0" w:color="auto"/>
                    <w:bottom w:val="none" w:sz="0" w:space="0" w:color="auto"/>
                    <w:right w:val="none" w:sz="0" w:space="0" w:color="auto"/>
                  </w:divBdr>
                </w:div>
                <w:div w:id="289866653">
                  <w:marLeft w:val="0"/>
                  <w:marRight w:val="0"/>
                  <w:marTop w:val="0"/>
                  <w:marBottom w:val="0"/>
                  <w:divBdr>
                    <w:top w:val="none" w:sz="0" w:space="0" w:color="auto"/>
                    <w:left w:val="none" w:sz="0" w:space="0" w:color="auto"/>
                    <w:bottom w:val="none" w:sz="0" w:space="0" w:color="auto"/>
                    <w:right w:val="none" w:sz="0" w:space="0" w:color="auto"/>
                  </w:divBdr>
                </w:div>
                <w:div w:id="618147282">
                  <w:marLeft w:val="0"/>
                  <w:marRight w:val="0"/>
                  <w:marTop w:val="0"/>
                  <w:marBottom w:val="0"/>
                  <w:divBdr>
                    <w:top w:val="none" w:sz="0" w:space="0" w:color="auto"/>
                    <w:left w:val="none" w:sz="0" w:space="0" w:color="auto"/>
                    <w:bottom w:val="none" w:sz="0" w:space="0" w:color="auto"/>
                    <w:right w:val="none" w:sz="0" w:space="0" w:color="auto"/>
                  </w:divBdr>
                </w:div>
                <w:div w:id="1748305388">
                  <w:marLeft w:val="0"/>
                  <w:marRight w:val="0"/>
                  <w:marTop w:val="0"/>
                  <w:marBottom w:val="0"/>
                  <w:divBdr>
                    <w:top w:val="none" w:sz="0" w:space="0" w:color="auto"/>
                    <w:left w:val="none" w:sz="0" w:space="0" w:color="auto"/>
                    <w:bottom w:val="none" w:sz="0" w:space="0" w:color="auto"/>
                    <w:right w:val="none" w:sz="0" w:space="0" w:color="auto"/>
                  </w:divBdr>
                </w:div>
                <w:div w:id="1146893772">
                  <w:marLeft w:val="0"/>
                  <w:marRight w:val="0"/>
                  <w:marTop w:val="0"/>
                  <w:marBottom w:val="0"/>
                  <w:divBdr>
                    <w:top w:val="none" w:sz="0" w:space="0" w:color="auto"/>
                    <w:left w:val="none" w:sz="0" w:space="0" w:color="auto"/>
                    <w:bottom w:val="none" w:sz="0" w:space="0" w:color="auto"/>
                    <w:right w:val="none" w:sz="0" w:space="0" w:color="auto"/>
                  </w:divBdr>
                </w:div>
                <w:div w:id="1736197611">
                  <w:marLeft w:val="0"/>
                  <w:marRight w:val="0"/>
                  <w:marTop w:val="0"/>
                  <w:marBottom w:val="0"/>
                  <w:divBdr>
                    <w:top w:val="none" w:sz="0" w:space="0" w:color="auto"/>
                    <w:left w:val="none" w:sz="0" w:space="0" w:color="auto"/>
                    <w:bottom w:val="none" w:sz="0" w:space="0" w:color="auto"/>
                    <w:right w:val="none" w:sz="0" w:space="0" w:color="auto"/>
                  </w:divBdr>
                </w:div>
                <w:div w:id="1852841246">
                  <w:marLeft w:val="0"/>
                  <w:marRight w:val="0"/>
                  <w:marTop w:val="0"/>
                  <w:marBottom w:val="0"/>
                  <w:divBdr>
                    <w:top w:val="none" w:sz="0" w:space="0" w:color="auto"/>
                    <w:left w:val="none" w:sz="0" w:space="0" w:color="auto"/>
                    <w:bottom w:val="none" w:sz="0" w:space="0" w:color="auto"/>
                    <w:right w:val="none" w:sz="0" w:space="0" w:color="auto"/>
                  </w:divBdr>
                </w:div>
                <w:div w:id="521747834">
                  <w:marLeft w:val="0"/>
                  <w:marRight w:val="0"/>
                  <w:marTop w:val="0"/>
                  <w:marBottom w:val="0"/>
                  <w:divBdr>
                    <w:top w:val="none" w:sz="0" w:space="0" w:color="auto"/>
                    <w:left w:val="none" w:sz="0" w:space="0" w:color="auto"/>
                    <w:bottom w:val="none" w:sz="0" w:space="0" w:color="auto"/>
                    <w:right w:val="none" w:sz="0" w:space="0" w:color="auto"/>
                  </w:divBdr>
                </w:div>
                <w:div w:id="361368111">
                  <w:marLeft w:val="0"/>
                  <w:marRight w:val="0"/>
                  <w:marTop w:val="0"/>
                  <w:marBottom w:val="0"/>
                  <w:divBdr>
                    <w:top w:val="none" w:sz="0" w:space="0" w:color="auto"/>
                    <w:left w:val="none" w:sz="0" w:space="0" w:color="auto"/>
                    <w:bottom w:val="none" w:sz="0" w:space="0" w:color="auto"/>
                    <w:right w:val="none" w:sz="0" w:space="0" w:color="auto"/>
                  </w:divBdr>
                </w:div>
                <w:div w:id="735207103">
                  <w:marLeft w:val="0"/>
                  <w:marRight w:val="0"/>
                  <w:marTop w:val="0"/>
                  <w:marBottom w:val="0"/>
                  <w:divBdr>
                    <w:top w:val="none" w:sz="0" w:space="0" w:color="auto"/>
                    <w:left w:val="none" w:sz="0" w:space="0" w:color="auto"/>
                    <w:bottom w:val="none" w:sz="0" w:space="0" w:color="auto"/>
                    <w:right w:val="none" w:sz="0" w:space="0" w:color="auto"/>
                  </w:divBdr>
                </w:div>
                <w:div w:id="1570994070">
                  <w:marLeft w:val="0"/>
                  <w:marRight w:val="0"/>
                  <w:marTop w:val="0"/>
                  <w:marBottom w:val="0"/>
                  <w:divBdr>
                    <w:top w:val="none" w:sz="0" w:space="0" w:color="auto"/>
                    <w:left w:val="none" w:sz="0" w:space="0" w:color="auto"/>
                    <w:bottom w:val="none" w:sz="0" w:space="0" w:color="auto"/>
                    <w:right w:val="none" w:sz="0" w:space="0" w:color="auto"/>
                  </w:divBdr>
                </w:div>
                <w:div w:id="1948074670">
                  <w:marLeft w:val="0"/>
                  <w:marRight w:val="0"/>
                  <w:marTop w:val="0"/>
                  <w:marBottom w:val="0"/>
                  <w:divBdr>
                    <w:top w:val="none" w:sz="0" w:space="0" w:color="auto"/>
                    <w:left w:val="none" w:sz="0" w:space="0" w:color="auto"/>
                    <w:bottom w:val="none" w:sz="0" w:space="0" w:color="auto"/>
                    <w:right w:val="none" w:sz="0" w:space="0" w:color="auto"/>
                  </w:divBdr>
                </w:div>
                <w:div w:id="682517225">
                  <w:marLeft w:val="0"/>
                  <w:marRight w:val="0"/>
                  <w:marTop w:val="0"/>
                  <w:marBottom w:val="0"/>
                  <w:divBdr>
                    <w:top w:val="none" w:sz="0" w:space="0" w:color="auto"/>
                    <w:left w:val="none" w:sz="0" w:space="0" w:color="auto"/>
                    <w:bottom w:val="none" w:sz="0" w:space="0" w:color="auto"/>
                    <w:right w:val="none" w:sz="0" w:space="0" w:color="auto"/>
                  </w:divBdr>
                </w:div>
                <w:div w:id="642780906">
                  <w:marLeft w:val="0"/>
                  <w:marRight w:val="0"/>
                  <w:marTop w:val="0"/>
                  <w:marBottom w:val="0"/>
                  <w:divBdr>
                    <w:top w:val="none" w:sz="0" w:space="0" w:color="auto"/>
                    <w:left w:val="none" w:sz="0" w:space="0" w:color="auto"/>
                    <w:bottom w:val="none" w:sz="0" w:space="0" w:color="auto"/>
                    <w:right w:val="none" w:sz="0" w:space="0" w:color="auto"/>
                  </w:divBdr>
                </w:div>
                <w:div w:id="1070351036">
                  <w:marLeft w:val="0"/>
                  <w:marRight w:val="0"/>
                  <w:marTop w:val="0"/>
                  <w:marBottom w:val="0"/>
                  <w:divBdr>
                    <w:top w:val="none" w:sz="0" w:space="0" w:color="auto"/>
                    <w:left w:val="none" w:sz="0" w:space="0" w:color="auto"/>
                    <w:bottom w:val="none" w:sz="0" w:space="0" w:color="auto"/>
                    <w:right w:val="none" w:sz="0" w:space="0" w:color="auto"/>
                  </w:divBdr>
                </w:div>
                <w:div w:id="1378697449">
                  <w:marLeft w:val="0"/>
                  <w:marRight w:val="0"/>
                  <w:marTop w:val="0"/>
                  <w:marBottom w:val="0"/>
                  <w:divBdr>
                    <w:top w:val="none" w:sz="0" w:space="0" w:color="auto"/>
                    <w:left w:val="none" w:sz="0" w:space="0" w:color="auto"/>
                    <w:bottom w:val="none" w:sz="0" w:space="0" w:color="auto"/>
                    <w:right w:val="none" w:sz="0" w:space="0" w:color="auto"/>
                  </w:divBdr>
                </w:div>
                <w:div w:id="1296183726">
                  <w:marLeft w:val="0"/>
                  <w:marRight w:val="0"/>
                  <w:marTop w:val="0"/>
                  <w:marBottom w:val="0"/>
                  <w:divBdr>
                    <w:top w:val="none" w:sz="0" w:space="0" w:color="auto"/>
                    <w:left w:val="none" w:sz="0" w:space="0" w:color="auto"/>
                    <w:bottom w:val="none" w:sz="0" w:space="0" w:color="auto"/>
                    <w:right w:val="none" w:sz="0" w:space="0" w:color="auto"/>
                  </w:divBdr>
                </w:div>
                <w:div w:id="1902011222">
                  <w:marLeft w:val="0"/>
                  <w:marRight w:val="0"/>
                  <w:marTop w:val="0"/>
                  <w:marBottom w:val="0"/>
                  <w:divBdr>
                    <w:top w:val="none" w:sz="0" w:space="0" w:color="auto"/>
                    <w:left w:val="none" w:sz="0" w:space="0" w:color="auto"/>
                    <w:bottom w:val="none" w:sz="0" w:space="0" w:color="auto"/>
                    <w:right w:val="none" w:sz="0" w:space="0" w:color="auto"/>
                  </w:divBdr>
                </w:div>
                <w:div w:id="1895849350">
                  <w:marLeft w:val="0"/>
                  <w:marRight w:val="0"/>
                  <w:marTop w:val="0"/>
                  <w:marBottom w:val="0"/>
                  <w:divBdr>
                    <w:top w:val="none" w:sz="0" w:space="0" w:color="auto"/>
                    <w:left w:val="none" w:sz="0" w:space="0" w:color="auto"/>
                    <w:bottom w:val="none" w:sz="0" w:space="0" w:color="auto"/>
                    <w:right w:val="none" w:sz="0" w:space="0" w:color="auto"/>
                  </w:divBdr>
                </w:div>
                <w:div w:id="248660007">
                  <w:marLeft w:val="0"/>
                  <w:marRight w:val="0"/>
                  <w:marTop w:val="0"/>
                  <w:marBottom w:val="0"/>
                  <w:divBdr>
                    <w:top w:val="none" w:sz="0" w:space="0" w:color="auto"/>
                    <w:left w:val="none" w:sz="0" w:space="0" w:color="auto"/>
                    <w:bottom w:val="none" w:sz="0" w:space="0" w:color="auto"/>
                    <w:right w:val="none" w:sz="0" w:space="0" w:color="auto"/>
                  </w:divBdr>
                </w:div>
                <w:div w:id="912667465">
                  <w:marLeft w:val="0"/>
                  <w:marRight w:val="0"/>
                  <w:marTop w:val="0"/>
                  <w:marBottom w:val="0"/>
                  <w:divBdr>
                    <w:top w:val="none" w:sz="0" w:space="0" w:color="auto"/>
                    <w:left w:val="none" w:sz="0" w:space="0" w:color="auto"/>
                    <w:bottom w:val="none" w:sz="0" w:space="0" w:color="auto"/>
                    <w:right w:val="none" w:sz="0" w:space="0" w:color="auto"/>
                  </w:divBdr>
                </w:div>
                <w:div w:id="433862274">
                  <w:marLeft w:val="0"/>
                  <w:marRight w:val="0"/>
                  <w:marTop w:val="0"/>
                  <w:marBottom w:val="0"/>
                  <w:divBdr>
                    <w:top w:val="none" w:sz="0" w:space="0" w:color="auto"/>
                    <w:left w:val="none" w:sz="0" w:space="0" w:color="auto"/>
                    <w:bottom w:val="none" w:sz="0" w:space="0" w:color="auto"/>
                    <w:right w:val="none" w:sz="0" w:space="0" w:color="auto"/>
                  </w:divBdr>
                </w:div>
                <w:div w:id="717242139">
                  <w:marLeft w:val="0"/>
                  <w:marRight w:val="0"/>
                  <w:marTop w:val="0"/>
                  <w:marBottom w:val="0"/>
                  <w:divBdr>
                    <w:top w:val="none" w:sz="0" w:space="0" w:color="auto"/>
                    <w:left w:val="none" w:sz="0" w:space="0" w:color="auto"/>
                    <w:bottom w:val="none" w:sz="0" w:space="0" w:color="auto"/>
                    <w:right w:val="none" w:sz="0" w:space="0" w:color="auto"/>
                  </w:divBdr>
                </w:div>
                <w:div w:id="353307568">
                  <w:marLeft w:val="0"/>
                  <w:marRight w:val="0"/>
                  <w:marTop w:val="0"/>
                  <w:marBottom w:val="0"/>
                  <w:divBdr>
                    <w:top w:val="none" w:sz="0" w:space="0" w:color="auto"/>
                    <w:left w:val="none" w:sz="0" w:space="0" w:color="auto"/>
                    <w:bottom w:val="none" w:sz="0" w:space="0" w:color="auto"/>
                    <w:right w:val="none" w:sz="0" w:space="0" w:color="auto"/>
                  </w:divBdr>
                </w:div>
                <w:div w:id="1696467540">
                  <w:marLeft w:val="0"/>
                  <w:marRight w:val="0"/>
                  <w:marTop w:val="0"/>
                  <w:marBottom w:val="0"/>
                  <w:divBdr>
                    <w:top w:val="none" w:sz="0" w:space="0" w:color="auto"/>
                    <w:left w:val="none" w:sz="0" w:space="0" w:color="auto"/>
                    <w:bottom w:val="none" w:sz="0" w:space="0" w:color="auto"/>
                    <w:right w:val="none" w:sz="0" w:space="0" w:color="auto"/>
                  </w:divBdr>
                </w:div>
                <w:div w:id="1083062393">
                  <w:marLeft w:val="0"/>
                  <w:marRight w:val="0"/>
                  <w:marTop w:val="0"/>
                  <w:marBottom w:val="0"/>
                  <w:divBdr>
                    <w:top w:val="none" w:sz="0" w:space="0" w:color="auto"/>
                    <w:left w:val="none" w:sz="0" w:space="0" w:color="auto"/>
                    <w:bottom w:val="none" w:sz="0" w:space="0" w:color="auto"/>
                    <w:right w:val="none" w:sz="0" w:space="0" w:color="auto"/>
                  </w:divBdr>
                </w:div>
                <w:div w:id="62678545">
                  <w:marLeft w:val="0"/>
                  <w:marRight w:val="0"/>
                  <w:marTop w:val="0"/>
                  <w:marBottom w:val="0"/>
                  <w:divBdr>
                    <w:top w:val="none" w:sz="0" w:space="0" w:color="auto"/>
                    <w:left w:val="none" w:sz="0" w:space="0" w:color="auto"/>
                    <w:bottom w:val="none" w:sz="0" w:space="0" w:color="auto"/>
                    <w:right w:val="none" w:sz="0" w:space="0" w:color="auto"/>
                  </w:divBdr>
                </w:div>
                <w:div w:id="807286297">
                  <w:marLeft w:val="0"/>
                  <w:marRight w:val="0"/>
                  <w:marTop w:val="0"/>
                  <w:marBottom w:val="0"/>
                  <w:divBdr>
                    <w:top w:val="none" w:sz="0" w:space="0" w:color="auto"/>
                    <w:left w:val="none" w:sz="0" w:space="0" w:color="auto"/>
                    <w:bottom w:val="none" w:sz="0" w:space="0" w:color="auto"/>
                    <w:right w:val="none" w:sz="0" w:space="0" w:color="auto"/>
                  </w:divBdr>
                </w:div>
                <w:div w:id="15009016">
                  <w:marLeft w:val="0"/>
                  <w:marRight w:val="0"/>
                  <w:marTop w:val="0"/>
                  <w:marBottom w:val="0"/>
                  <w:divBdr>
                    <w:top w:val="none" w:sz="0" w:space="0" w:color="auto"/>
                    <w:left w:val="none" w:sz="0" w:space="0" w:color="auto"/>
                    <w:bottom w:val="none" w:sz="0" w:space="0" w:color="auto"/>
                    <w:right w:val="none" w:sz="0" w:space="0" w:color="auto"/>
                  </w:divBdr>
                </w:div>
                <w:div w:id="857619490">
                  <w:marLeft w:val="0"/>
                  <w:marRight w:val="0"/>
                  <w:marTop w:val="0"/>
                  <w:marBottom w:val="0"/>
                  <w:divBdr>
                    <w:top w:val="none" w:sz="0" w:space="0" w:color="auto"/>
                    <w:left w:val="none" w:sz="0" w:space="0" w:color="auto"/>
                    <w:bottom w:val="none" w:sz="0" w:space="0" w:color="auto"/>
                    <w:right w:val="none" w:sz="0" w:space="0" w:color="auto"/>
                  </w:divBdr>
                </w:div>
                <w:div w:id="83649186">
                  <w:marLeft w:val="0"/>
                  <w:marRight w:val="0"/>
                  <w:marTop w:val="0"/>
                  <w:marBottom w:val="0"/>
                  <w:divBdr>
                    <w:top w:val="none" w:sz="0" w:space="0" w:color="auto"/>
                    <w:left w:val="none" w:sz="0" w:space="0" w:color="auto"/>
                    <w:bottom w:val="none" w:sz="0" w:space="0" w:color="auto"/>
                    <w:right w:val="none" w:sz="0" w:space="0" w:color="auto"/>
                  </w:divBdr>
                </w:div>
                <w:div w:id="257369882">
                  <w:marLeft w:val="0"/>
                  <w:marRight w:val="0"/>
                  <w:marTop w:val="0"/>
                  <w:marBottom w:val="0"/>
                  <w:divBdr>
                    <w:top w:val="none" w:sz="0" w:space="0" w:color="auto"/>
                    <w:left w:val="none" w:sz="0" w:space="0" w:color="auto"/>
                    <w:bottom w:val="none" w:sz="0" w:space="0" w:color="auto"/>
                    <w:right w:val="none" w:sz="0" w:space="0" w:color="auto"/>
                  </w:divBdr>
                </w:div>
                <w:div w:id="321278090">
                  <w:marLeft w:val="0"/>
                  <w:marRight w:val="0"/>
                  <w:marTop w:val="0"/>
                  <w:marBottom w:val="0"/>
                  <w:divBdr>
                    <w:top w:val="none" w:sz="0" w:space="0" w:color="auto"/>
                    <w:left w:val="none" w:sz="0" w:space="0" w:color="auto"/>
                    <w:bottom w:val="none" w:sz="0" w:space="0" w:color="auto"/>
                    <w:right w:val="none" w:sz="0" w:space="0" w:color="auto"/>
                  </w:divBdr>
                </w:div>
                <w:div w:id="1625623505">
                  <w:marLeft w:val="0"/>
                  <w:marRight w:val="0"/>
                  <w:marTop w:val="0"/>
                  <w:marBottom w:val="0"/>
                  <w:divBdr>
                    <w:top w:val="none" w:sz="0" w:space="0" w:color="auto"/>
                    <w:left w:val="none" w:sz="0" w:space="0" w:color="auto"/>
                    <w:bottom w:val="none" w:sz="0" w:space="0" w:color="auto"/>
                    <w:right w:val="none" w:sz="0" w:space="0" w:color="auto"/>
                  </w:divBdr>
                </w:div>
                <w:div w:id="1256741463">
                  <w:marLeft w:val="0"/>
                  <w:marRight w:val="0"/>
                  <w:marTop w:val="0"/>
                  <w:marBottom w:val="0"/>
                  <w:divBdr>
                    <w:top w:val="none" w:sz="0" w:space="0" w:color="auto"/>
                    <w:left w:val="none" w:sz="0" w:space="0" w:color="auto"/>
                    <w:bottom w:val="none" w:sz="0" w:space="0" w:color="auto"/>
                    <w:right w:val="none" w:sz="0" w:space="0" w:color="auto"/>
                  </w:divBdr>
                </w:div>
                <w:div w:id="1462848723">
                  <w:marLeft w:val="0"/>
                  <w:marRight w:val="0"/>
                  <w:marTop w:val="0"/>
                  <w:marBottom w:val="0"/>
                  <w:divBdr>
                    <w:top w:val="none" w:sz="0" w:space="0" w:color="auto"/>
                    <w:left w:val="none" w:sz="0" w:space="0" w:color="auto"/>
                    <w:bottom w:val="none" w:sz="0" w:space="0" w:color="auto"/>
                    <w:right w:val="none" w:sz="0" w:space="0" w:color="auto"/>
                  </w:divBdr>
                </w:div>
                <w:div w:id="1642685930">
                  <w:marLeft w:val="0"/>
                  <w:marRight w:val="0"/>
                  <w:marTop w:val="0"/>
                  <w:marBottom w:val="0"/>
                  <w:divBdr>
                    <w:top w:val="none" w:sz="0" w:space="0" w:color="auto"/>
                    <w:left w:val="none" w:sz="0" w:space="0" w:color="auto"/>
                    <w:bottom w:val="none" w:sz="0" w:space="0" w:color="auto"/>
                    <w:right w:val="none" w:sz="0" w:space="0" w:color="auto"/>
                  </w:divBdr>
                </w:div>
                <w:div w:id="158888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7321">
      <w:bodyDiv w:val="1"/>
      <w:marLeft w:val="0"/>
      <w:marRight w:val="0"/>
      <w:marTop w:val="0"/>
      <w:marBottom w:val="0"/>
      <w:divBdr>
        <w:top w:val="none" w:sz="0" w:space="0" w:color="auto"/>
        <w:left w:val="none" w:sz="0" w:space="0" w:color="auto"/>
        <w:bottom w:val="none" w:sz="0" w:space="0" w:color="auto"/>
        <w:right w:val="none" w:sz="0" w:space="0" w:color="auto"/>
      </w:divBdr>
    </w:div>
    <w:div w:id="954408842">
      <w:bodyDiv w:val="1"/>
      <w:marLeft w:val="0"/>
      <w:marRight w:val="0"/>
      <w:marTop w:val="0"/>
      <w:marBottom w:val="0"/>
      <w:divBdr>
        <w:top w:val="none" w:sz="0" w:space="0" w:color="auto"/>
        <w:left w:val="none" w:sz="0" w:space="0" w:color="auto"/>
        <w:bottom w:val="none" w:sz="0" w:space="0" w:color="auto"/>
        <w:right w:val="none" w:sz="0" w:space="0" w:color="auto"/>
      </w:divBdr>
    </w:div>
    <w:div w:id="1206597818">
      <w:bodyDiv w:val="1"/>
      <w:marLeft w:val="0"/>
      <w:marRight w:val="0"/>
      <w:marTop w:val="0"/>
      <w:marBottom w:val="0"/>
      <w:divBdr>
        <w:top w:val="none" w:sz="0" w:space="0" w:color="auto"/>
        <w:left w:val="none" w:sz="0" w:space="0" w:color="auto"/>
        <w:bottom w:val="none" w:sz="0" w:space="0" w:color="auto"/>
        <w:right w:val="none" w:sz="0" w:space="0" w:color="auto"/>
      </w:divBdr>
    </w:div>
    <w:div w:id="1325859231">
      <w:bodyDiv w:val="1"/>
      <w:marLeft w:val="0"/>
      <w:marRight w:val="0"/>
      <w:marTop w:val="0"/>
      <w:marBottom w:val="0"/>
      <w:divBdr>
        <w:top w:val="none" w:sz="0" w:space="0" w:color="auto"/>
        <w:left w:val="none" w:sz="0" w:space="0" w:color="auto"/>
        <w:bottom w:val="none" w:sz="0" w:space="0" w:color="auto"/>
        <w:right w:val="none" w:sz="0" w:space="0" w:color="auto"/>
      </w:divBdr>
    </w:div>
    <w:div w:id="1822850556">
      <w:bodyDiv w:val="1"/>
      <w:marLeft w:val="0"/>
      <w:marRight w:val="0"/>
      <w:marTop w:val="0"/>
      <w:marBottom w:val="0"/>
      <w:divBdr>
        <w:top w:val="none" w:sz="0" w:space="0" w:color="auto"/>
        <w:left w:val="none" w:sz="0" w:space="0" w:color="auto"/>
        <w:bottom w:val="none" w:sz="0" w:space="0" w:color="auto"/>
        <w:right w:val="none" w:sz="0" w:space="0" w:color="auto"/>
      </w:divBdr>
    </w:div>
    <w:div w:id="1876580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xperta.legis.co" TargetMode="External"/><Relationship Id="rId1" Type="http://schemas.openxmlformats.org/officeDocument/2006/relationships/hyperlink" Target="https://revistas.uexternado.edu.co/index.php/Deradm/article/view/6034/775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AEC866-4FA2-4623-BF59-5A8B928A2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E81352-70BB-456F-BE9F-D648057BDE9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65214261-8A99-453D-B799-93E3E9A5ECC5}">
  <ds:schemaRefs>
    <ds:schemaRef ds:uri="http://schemas.openxmlformats.org/officeDocument/2006/bibliography"/>
  </ds:schemaRefs>
</ds:datastoreItem>
</file>

<file path=customXml/itemProps4.xml><?xml version="1.0" encoding="utf-8"?>
<ds:datastoreItem xmlns:ds="http://schemas.openxmlformats.org/officeDocument/2006/customXml" ds:itemID="{A3367A30-7BC8-40B8-B280-C188A900B1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6324</Words>
  <Characters>34788</Characters>
  <Application>Microsoft Office Word</Application>
  <DocSecurity>0</DocSecurity>
  <Lines>289</Lines>
  <Paragraphs>82</Paragraphs>
  <ScaleCrop>false</ScaleCrop>
  <Company/>
  <LinksUpToDate>false</LinksUpToDate>
  <CharactersWithSpaces>41030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5</cp:revision>
  <dcterms:created xsi:type="dcterms:W3CDTF">2020-07-28T21:16:00Z</dcterms:created>
  <dcterms:modified xsi:type="dcterms:W3CDTF">2020-08-10T19:20:00Z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