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326D5" w14:textId="77777777" w:rsidR="00C30B31" w:rsidRPr="00C30B31" w:rsidRDefault="00C30B31" w:rsidP="00C30B31">
      <w:pPr>
        <w:spacing w:after="0" w:line="276" w:lineRule="auto"/>
        <w:jc w:val="both"/>
        <w:rPr>
          <w:rFonts w:ascii="Verdana" w:eastAsia="Calibri" w:hAnsi="Verdana" w:cs="Arial"/>
          <w:b/>
          <w:lang w:eastAsia="es-ES"/>
        </w:rPr>
      </w:pPr>
      <w:bookmarkStart w:id="0" w:name="_Hlk143780582"/>
      <w:r w:rsidRPr="00C30B31">
        <w:rPr>
          <w:rFonts w:ascii="Verdana" w:eastAsia="Calibri" w:hAnsi="Verdana" w:cs="Arial"/>
          <w:b/>
          <w:lang w:eastAsia="es-ES"/>
        </w:rPr>
        <w:t>DOCUMENTOS TIPO – Interventoría de infraestructura de transporte – Versión 3</w:t>
      </w:r>
    </w:p>
    <w:p w14:paraId="5EB5A280" w14:textId="77777777" w:rsidR="00C30B31" w:rsidRPr="00C30B31" w:rsidRDefault="00C30B31" w:rsidP="00C30B31">
      <w:pPr>
        <w:spacing w:after="0" w:line="276" w:lineRule="auto"/>
        <w:jc w:val="both"/>
        <w:rPr>
          <w:rFonts w:ascii="Verdana" w:eastAsia="Calibri" w:hAnsi="Verdana" w:cs="Arial"/>
          <w:b/>
          <w:sz w:val="20"/>
          <w:szCs w:val="20"/>
          <w:lang w:eastAsia="es-ES"/>
        </w:rPr>
      </w:pPr>
    </w:p>
    <w:p w14:paraId="792802A1" w14:textId="77777777" w:rsidR="00C30B31" w:rsidRPr="00C30B31" w:rsidRDefault="00C30B31" w:rsidP="00C30B31">
      <w:pPr>
        <w:spacing w:after="0" w:line="240" w:lineRule="auto"/>
        <w:jc w:val="both"/>
        <w:rPr>
          <w:rFonts w:ascii="Verdana" w:eastAsia="Aptos" w:hAnsi="Verdana" w:cs="ArialMT"/>
          <w:sz w:val="20"/>
          <w:szCs w:val="20"/>
          <w14:ligatures w14:val="standardContextual"/>
        </w:rPr>
      </w:pPr>
      <w:r w:rsidRPr="00C30B31">
        <w:rPr>
          <w:rFonts w:ascii="Verdana" w:eastAsia="Aptos" w:hAnsi="Verdana" w:cs="ArialMT"/>
          <w:sz w:val="20"/>
          <w:szCs w:val="20"/>
          <w14:ligatures w14:val="standardContextual"/>
        </w:rPr>
        <w:t xml:space="preserve">Mediante la Resolución 725 del 19 de diciembre de 2024, se adoptó la versión 3 de los documentos tipo para los procesos de selección de concurso de méritos para contratar la interventoría de obras públicas de infraestructura de transporte, y se derogó la versión 2 que se había adoptado por medio de la Resolución 326 de 2022. De acuerdo con el artículo séptimo de la Resolución 725 de 2024, los documentos tipo que se adoptan aplican para los procesos de selección cuyo aviso de convocatoria se publique a partir del 3 de febrero de 2025. </w:t>
      </w:r>
    </w:p>
    <w:p w14:paraId="0EF9DD8B" w14:textId="77777777" w:rsidR="00C30B31" w:rsidRPr="00C30B31" w:rsidRDefault="00C30B31" w:rsidP="00C30B31">
      <w:pPr>
        <w:spacing w:after="0"/>
        <w:rPr>
          <w:rFonts w:ascii="Verdana" w:eastAsia="Calibri" w:hAnsi="Verdana" w:cs="Times New Roman"/>
          <w:b/>
          <w:bCs/>
        </w:rPr>
      </w:pPr>
    </w:p>
    <w:p w14:paraId="22B4C523" w14:textId="77777777" w:rsidR="00C30B31" w:rsidRPr="00C30B31" w:rsidRDefault="00C30B31" w:rsidP="32E0163A">
      <w:pPr>
        <w:spacing w:after="0" w:line="278" w:lineRule="auto"/>
        <w:jc w:val="both"/>
        <w:rPr>
          <w:rFonts w:ascii="Verdana" w:eastAsia="Calibri" w:hAnsi="Verdana" w:cs="Arial"/>
          <w:b/>
          <w:bCs/>
          <w:color w:val="000000"/>
          <w:kern w:val="2"/>
          <w:lang w:val="es-ES"/>
          <w14:ligatures w14:val="standardContextual"/>
        </w:rPr>
      </w:pPr>
      <w:r w:rsidRPr="32E0163A">
        <w:rPr>
          <w:rFonts w:ascii="Verdana" w:eastAsia="Calibri" w:hAnsi="Verdana" w:cs="Arial"/>
          <w:b/>
          <w:bCs/>
          <w:color w:val="000000"/>
          <w:kern w:val="2"/>
          <w:lang w:val="es-ES"/>
          <w14:ligatures w14:val="standardContextual"/>
        </w:rPr>
        <w:t xml:space="preserve">DOCUMENTOS TIPO – Interventoría de obra pública de infraestructura de transporte – </w:t>
      </w:r>
      <w:proofErr w:type="spellStart"/>
      <w:r w:rsidRPr="32E0163A">
        <w:rPr>
          <w:rFonts w:ascii="Verdana" w:eastAsia="Calibri" w:hAnsi="Verdana" w:cs="Arial"/>
          <w:b/>
          <w:bCs/>
          <w:color w:val="000000"/>
          <w:kern w:val="2"/>
          <w:lang w:val="es-ES"/>
          <w14:ligatures w14:val="standardContextual"/>
        </w:rPr>
        <w:t>Subsanabilidad</w:t>
      </w:r>
      <w:proofErr w:type="spellEnd"/>
      <w:r w:rsidRPr="32E0163A">
        <w:rPr>
          <w:rFonts w:ascii="Verdana" w:eastAsia="Calibri" w:hAnsi="Verdana" w:cs="Arial"/>
          <w:b/>
          <w:bCs/>
          <w:color w:val="000000"/>
          <w:kern w:val="2"/>
          <w:lang w:val="es-ES"/>
          <w14:ligatures w14:val="standardContextual"/>
        </w:rPr>
        <w:t xml:space="preserve"> y aclaración de la oferta</w:t>
      </w:r>
    </w:p>
    <w:p w14:paraId="0BFB8691" w14:textId="77777777" w:rsidR="00C30B31" w:rsidRPr="00C30B31" w:rsidRDefault="00C30B31" w:rsidP="00C30B31">
      <w:pPr>
        <w:spacing w:after="0" w:line="240" w:lineRule="auto"/>
        <w:jc w:val="both"/>
        <w:rPr>
          <w:rFonts w:ascii="Arial" w:eastAsia="Aptos" w:hAnsi="Arial" w:cs="Arial"/>
          <w:color w:val="000000"/>
          <w:kern w:val="2"/>
          <w:sz w:val="20"/>
          <w:szCs w:val="20"/>
          <w:lang w:val="es-ES_tradnl"/>
          <w14:ligatures w14:val="standardContextual"/>
        </w:rPr>
      </w:pPr>
    </w:p>
    <w:p w14:paraId="4B661AA7" w14:textId="77777777" w:rsidR="00C30B31" w:rsidRPr="00C30B31" w:rsidRDefault="00C30B31" w:rsidP="32E0163A">
      <w:pPr>
        <w:spacing w:after="0" w:line="240" w:lineRule="auto"/>
        <w:jc w:val="both"/>
        <w:rPr>
          <w:rFonts w:ascii="Verdana" w:eastAsia="Aptos" w:hAnsi="Verdana" w:cs="Arial"/>
          <w:color w:val="000000"/>
          <w:kern w:val="2"/>
          <w:sz w:val="20"/>
          <w:szCs w:val="20"/>
          <w:lang w:val="es-ES"/>
          <w14:ligatures w14:val="standardContextual"/>
        </w:rPr>
      </w:pPr>
      <w:r w:rsidRPr="32E0163A">
        <w:rPr>
          <w:rFonts w:ascii="Verdana" w:eastAsia="Aptos" w:hAnsi="Verdana" w:cs="Arial"/>
          <w:color w:val="000000"/>
          <w:kern w:val="2"/>
          <w:sz w:val="20"/>
          <w:szCs w:val="20"/>
          <w:lang w:val="es-ES"/>
          <w14:ligatures w14:val="standardContextual"/>
        </w:rPr>
        <w:t xml:space="preserve">(…)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2719586E" w14:textId="77777777" w:rsidR="00C30B31" w:rsidRPr="00C30B31" w:rsidRDefault="00C30B31" w:rsidP="00C30B31">
      <w:pPr>
        <w:spacing w:after="0" w:line="240" w:lineRule="auto"/>
        <w:jc w:val="both"/>
        <w:rPr>
          <w:rFonts w:ascii="Verdana" w:eastAsia="Aptos" w:hAnsi="Verdana" w:cs="Arial"/>
          <w:color w:val="000000"/>
          <w:kern w:val="2"/>
          <w:sz w:val="20"/>
          <w:szCs w:val="20"/>
          <w:lang w:val="es-ES_tradnl"/>
          <w14:ligatures w14:val="standardContextual"/>
        </w:rPr>
      </w:pPr>
    </w:p>
    <w:p w14:paraId="12622CAF" w14:textId="77777777" w:rsidR="00C30B31" w:rsidRPr="00C30B31" w:rsidRDefault="00C30B31" w:rsidP="32E0163A">
      <w:pPr>
        <w:spacing w:after="0" w:line="240" w:lineRule="auto"/>
        <w:jc w:val="both"/>
        <w:rPr>
          <w:rFonts w:ascii="Verdana" w:eastAsia="Aptos" w:hAnsi="Verdana" w:cs="Arial"/>
          <w:color w:val="000000"/>
          <w:kern w:val="2"/>
          <w:sz w:val="20"/>
          <w:szCs w:val="20"/>
          <w:lang w:val="es-ES"/>
          <w14:ligatures w14:val="standardContextual"/>
        </w:rPr>
      </w:pPr>
      <w:r w:rsidRPr="32E0163A">
        <w:rPr>
          <w:rFonts w:ascii="Verdana" w:eastAsia="Aptos" w:hAnsi="Verdana" w:cs="Arial"/>
          <w:color w:val="000000"/>
          <w:kern w:val="2"/>
          <w:sz w:val="20"/>
          <w:szCs w:val="20"/>
          <w:lang w:val="es-ES"/>
          <w14:ligatures w14:val="standardContextual"/>
        </w:rPr>
        <w:t xml:space="preserve">Finalmente, el parágrafo 3 del artículo 5 de la Ley 1882 de 2018 determinó, de manera expresa, que “la no entrega de la garantía de seriedad junto con la propuesta no será subsanable y será causal de rechazo de </w:t>
      </w:r>
      <w:proofErr w:type="gramStart"/>
      <w:r w:rsidRPr="32E0163A">
        <w:rPr>
          <w:rFonts w:ascii="Verdana" w:eastAsia="Aptos" w:hAnsi="Verdana" w:cs="Arial"/>
          <w:color w:val="000000"/>
          <w:kern w:val="2"/>
          <w:sz w:val="20"/>
          <w:szCs w:val="20"/>
          <w:lang w:val="es-ES"/>
          <w14:ligatures w14:val="standardContextual"/>
        </w:rPr>
        <w:t>la misma</w:t>
      </w:r>
      <w:proofErr w:type="gramEnd"/>
      <w:r w:rsidRPr="32E0163A">
        <w:rPr>
          <w:rFonts w:ascii="Verdana" w:eastAsia="Aptos" w:hAnsi="Verdana" w:cs="Arial"/>
          <w:color w:val="000000"/>
          <w:kern w:val="2"/>
          <w:sz w:val="20"/>
          <w:szCs w:val="20"/>
          <w:lang w:val="es-ES"/>
          <w14:ligatures w14:val="standardContextual"/>
        </w:rPr>
        <w:t>”, dejando claro que se trata de un documento de obligatoria presentación junto con la propuesta y que materializa los principios de seriedad e irrevocabilidad de la oferta.</w:t>
      </w:r>
    </w:p>
    <w:p w14:paraId="5B58FC4E" w14:textId="77777777" w:rsidR="00C30B31" w:rsidRPr="00C30B31" w:rsidRDefault="00C30B31" w:rsidP="00C30B31">
      <w:pPr>
        <w:spacing w:after="0" w:line="240" w:lineRule="auto"/>
        <w:jc w:val="both"/>
        <w:rPr>
          <w:rFonts w:ascii="Verdana" w:eastAsia="Aptos" w:hAnsi="Verdana" w:cs="Arial"/>
          <w:color w:val="000000"/>
          <w:kern w:val="2"/>
          <w:sz w:val="20"/>
          <w:szCs w:val="20"/>
          <w:lang w:val="es-ES_tradnl"/>
          <w14:ligatures w14:val="standardContextual"/>
        </w:rPr>
      </w:pPr>
    </w:p>
    <w:p w14:paraId="7FD42827" w14:textId="77777777" w:rsidR="00C30B31" w:rsidRPr="00C30B31" w:rsidRDefault="00C30B31" w:rsidP="32E0163A">
      <w:pPr>
        <w:spacing w:after="0" w:line="240" w:lineRule="auto"/>
        <w:jc w:val="both"/>
        <w:rPr>
          <w:rFonts w:ascii="Verdana" w:eastAsia="Aptos" w:hAnsi="Verdana" w:cs="Arial"/>
          <w:color w:val="000000"/>
          <w:kern w:val="2"/>
          <w:sz w:val="20"/>
          <w:szCs w:val="20"/>
          <w:lang w:val="es-ES"/>
          <w14:ligatures w14:val="standardContextual"/>
        </w:rPr>
      </w:pPr>
      <w:r w:rsidRPr="32E0163A">
        <w:rPr>
          <w:rFonts w:ascii="Verdana" w:eastAsia="Aptos" w:hAnsi="Verdana" w:cs="Arial"/>
          <w:color w:val="000000"/>
          <w:kern w:val="2"/>
          <w:sz w:val="20"/>
          <w:szCs w:val="20"/>
          <w:lang w:val="es-ES"/>
          <w14:ligatures w14:val="standardContextual"/>
        </w:rPr>
        <w:t>Ahora bien, la Agencia debe diferenciar entre la regla sobre subsanación de ofertas en los procedimientos de selección, que acaba de explicarse, por un lado, y por el otro lo referido a la aclaración de las ofertas, cuestiones que resultan ser distintas, sin perjuicio de que ambas puedan ser consideradas como elementos propios del principio de selección objetiva. Así, en aras de que la entidad, al momento de evaluar las ofertas recibidas, pueda realizar tal evaluación de manera adecuada y contando con los elementos de juicio suficientes y necesarios para la comprensión integral de cada documento contenido en la oferta, puede acudir a la facultad que le otorga expresamente el numeral 7 del artículo 30 de la Ley 80 de 1993. Dicha norma señala que entre los componentes que deberá contener el pliego de condiciones incluye al «plazo razonable dentro del cual la entidad deberá elaborar los estudios técnicos, económicos y jurídicos necesarios para la evaluación de las propuestas y para solicitar a los proponentes las aclaraciones y explicaciones que se estimen indispensables»</w:t>
      </w:r>
    </w:p>
    <w:p w14:paraId="09156EFC" w14:textId="77777777" w:rsidR="00C30B31" w:rsidRPr="00C30B31" w:rsidRDefault="00C30B31" w:rsidP="00C30B31">
      <w:pPr>
        <w:spacing w:after="0"/>
        <w:rPr>
          <w:rFonts w:ascii="Verdana" w:eastAsia="Calibri" w:hAnsi="Verdana" w:cs="Times New Roman"/>
        </w:rPr>
      </w:pPr>
    </w:p>
    <w:p w14:paraId="164F751E" w14:textId="77777777" w:rsidR="00C30B31" w:rsidRPr="00C30B31" w:rsidRDefault="00C30B31" w:rsidP="00C30B31">
      <w:pPr>
        <w:spacing w:after="0" w:line="240" w:lineRule="auto"/>
        <w:jc w:val="both"/>
        <w:rPr>
          <w:rFonts w:ascii="Verdana" w:eastAsia="Calibri" w:hAnsi="Verdana" w:cs="Arial"/>
          <w:b/>
          <w:bCs/>
          <w:color w:val="000000"/>
          <w:kern w:val="2"/>
          <w:lang w:val="es-ES_tradnl"/>
          <w14:ligatures w14:val="standardContextual"/>
        </w:rPr>
      </w:pPr>
      <w:r w:rsidRPr="00C30B31">
        <w:rPr>
          <w:rFonts w:ascii="Verdana" w:eastAsia="Calibri" w:hAnsi="Verdana" w:cs="Arial"/>
          <w:b/>
          <w:bCs/>
          <w:color w:val="000000"/>
          <w:kern w:val="2"/>
          <w:lang w:val="es-ES_tradnl"/>
          <w14:ligatures w14:val="standardContextual"/>
        </w:rPr>
        <w:lastRenderedPageBreak/>
        <w:t xml:space="preserve">DOCUMENTOS TIPO – </w:t>
      </w:r>
      <w:r w:rsidRPr="00C30B31">
        <w:rPr>
          <w:rFonts w:ascii="Verdana" w:eastAsia="Aptos" w:hAnsi="Verdana" w:cs="Arial"/>
          <w:b/>
          <w:bCs/>
          <w:color w:val="000000"/>
          <w:kern w:val="2"/>
          <w:lang w:val="es-ES"/>
          <w14:ligatures w14:val="standardContextual"/>
        </w:rPr>
        <w:t xml:space="preserve">Interventoría </w:t>
      </w:r>
      <w:r w:rsidRPr="00C30B31">
        <w:rPr>
          <w:rFonts w:ascii="Verdana" w:eastAsia="Calibri" w:hAnsi="Verdana" w:cs="Arial"/>
          <w:b/>
          <w:bCs/>
          <w:color w:val="000000"/>
          <w:kern w:val="2"/>
          <w:lang w:val="es-ES_tradnl"/>
          <w14:ligatures w14:val="standardContextual"/>
        </w:rPr>
        <w:t>de obra pública de infraestructura de transporte – Asignación de puntaje por la experiencia del proponente</w:t>
      </w:r>
    </w:p>
    <w:p w14:paraId="014CC2E3" w14:textId="77777777" w:rsidR="00C30B31" w:rsidRPr="00C30B31" w:rsidRDefault="00C30B31" w:rsidP="00C30B31">
      <w:pPr>
        <w:spacing w:after="0" w:line="240" w:lineRule="auto"/>
        <w:jc w:val="both"/>
        <w:rPr>
          <w:rFonts w:ascii="Verdana" w:eastAsia="Calibri" w:hAnsi="Verdana" w:cs="Arial"/>
          <w:b/>
          <w:bCs/>
          <w:color w:val="000000"/>
          <w:kern w:val="2"/>
          <w:lang w:val="es-ES_tradnl"/>
          <w14:ligatures w14:val="standardContextual"/>
        </w:rPr>
      </w:pPr>
      <w:r w:rsidRPr="00C30B31">
        <w:rPr>
          <w:rFonts w:ascii="Verdana" w:eastAsia="Calibri" w:hAnsi="Verdana" w:cs="Arial"/>
          <w:b/>
          <w:bCs/>
          <w:color w:val="000000"/>
          <w:kern w:val="2"/>
          <w:lang w:val="es-ES_tradnl"/>
          <w14:ligatures w14:val="standardContextual"/>
        </w:rPr>
        <w:t xml:space="preserve"> </w:t>
      </w:r>
    </w:p>
    <w:p w14:paraId="78DD40C6" w14:textId="77777777" w:rsidR="00C30B31" w:rsidRPr="00C30B31" w:rsidRDefault="00C30B31" w:rsidP="00C30B31">
      <w:pPr>
        <w:spacing w:after="0" w:line="240" w:lineRule="auto"/>
        <w:jc w:val="both"/>
        <w:rPr>
          <w:rFonts w:ascii="Verdana" w:eastAsia="Aptos" w:hAnsi="Verdana" w:cs="Arial"/>
          <w:color w:val="000000"/>
          <w:kern w:val="2"/>
          <w:sz w:val="20"/>
          <w:szCs w:val="20"/>
          <w:lang w:val="es-ES_tradnl"/>
          <w14:ligatures w14:val="standardContextual"/>
        </w:rPr>
      </w:pPr>
      <w:r w:rsidRPr="00C30B31">
        <w:rPr>
          <w:rFonts w:ascii="Verdana" w:eastAsia="Aptos" w:hAnsi="Verdana" w:cs="Arial"/>
          <w:color w:val="000000"/>
          <w:kern w:val="2"/>
          <w:sz w:val="20"/>
          <w:szCs w:val="20"/>
          <w:lang w:val="es-ES_tradnl"/>
          <w14:ligatures w14:val="standardContextual"/>
        </w:rPr>
        <w:t xml:space="preserve">El numeral 4° del artículo 5° de la Ley 1150 de 2007 contiene una regulación especial del deber de selección objetiva aplicable a procesos de selección de consultores. Esta disposición indica que en estos procesos la escogencia se hará con base en factores de calificación destinados a valorar los aspectos técnicos de la oferta, permitiéndose valorar la experiencia específica del oferente y su equipo de trabajo, proscribiéndose además el precio como factor de evaluación. </w:t>
      </w:r>
    </w:p>
    <w:p w14:paraId="5B0AE29E" w14:textId="77777777" w:rsidR="00C30B31" w:rsidRPr="00C30B31" w:rsidRDefault="00C30B31" w:rsidP="00C30B31">
      <w:pPr>
        <w:spacing w:after="0" w:line="240" w:lineRule="auto"/>
        <w:jc w:val="both"/>
        <w:rPr>
          <w:rFonts w:ascii="Verdana" w:eastAsia="Aptos" w:hAnsi="Verdana" w:cs="Arial"/>
          <w:color w:val="000000"/>
          <w:kern w:val="2"/>
          <w:sz w:val="20"/>
          <w:szCs w:val="20"/>
          <w:lang w:val="es-ES_tradnl"/>
          <w14:ligatures w14:val="standardContextual"/>
        </w:rPr>
      </w:pPr>
    </w:p>
    <w:p w14:paraId="4BA4A1FD" w14:textId="77777777" w:rsidR="00C30B31" w:rsidRPr="00C30B31" w:rsidRDefault="00C30B31" w:rsidP="00C30B31">
      <w:pPr>
        <w:spacing w:after="0" w:line="240" w:lineRule="auto"/>
        <w:jc w:val="both"/>
        <w:rPr>
          <w:rFonts w:ascii="Verdana" w:eastAsia="Aptos" w:hAnsi="Verdana" w:cs="Arial"/>
          <w:color w:val="000000"/>
          <w:kern w:val="2"/>
          <w:sz w:val="20"/>
          <w:szCs w:val="20"/>
          <w:lang w:val="es-ES_tradnl"/>
          <w14:ligatures w14:val="standardContextual"/>
        </w:rPr>
      </w:pPr>
      <w:r w:rsidRPr="00C30B31">
        <w:rPr>
          <w:rFonts w:ascii="Verdana" w:eastAsia="Aptos" w:hAnsi="Verdana" w:cs="Arial"/>
          <w:color w:val="000000"/>
          <w:kern w:val="2"/>
          <w:sz w:val="20"/>
          <w:szCs w:val="20"/>
          <w:lang w:val="es-ES_tradnl"/>
          <w14:ligatures w14:val="standardContextual"/>
        </w:rPr>
        <w:t xml:space="preserve">El procedimiento de selección de concurso de méritos, aplicable para la escogencia de consultores, está reglamentado por el artículo 2.2.1.2.1.3.2. del Decreto 1082 de 2015, modificado por el Decreto 399 de 2021.  El numeral 1 dispone que “La Entidad Estatal en los pliegos de condiciones debe indicar la forma como calificará, entre otros, los siguientes criterios: a) la experiencia del interesado y del equipo de trabajo y b) la formación académica del equipo de trabajo» (énfasis fuera de texto). Conforme a esto, los factores ponderables en un proceso de selección de concurso de méritos –esto es, los que determinan la escogencia entre los proponentes habilitados–, son los indicados en la norma citada, sin perjuicio de que existan otros establecidos por la ley, de manera que de acuerdo con este marco jurídico en los pliegos de condiciones se definirán los criterios de asignación de puntaje.  </w:t>
      </w:r>
    </w:p>
    <w:p w14:paraId="05E7318B" w14:textId="77777777" w:rsidR="00C30B31" w:rsidRPr="00C30B31" w:rsidRDefault="00C30B31" w:rsidP="00C30B31">
      <w:pPr>
        <w:spacing w:after="0" w:line="240" w:lineRule="auto"/>
        <w:jc w:val="both"/>
        <w:rPr>
          <w:rFonts w:ascii="Verdana" w:eastAsia="Aptos" w:hAnsi="Verdana" w:cs="Arial"/>
          <w:color w:val="000000"/>
          <w:kern w:val="2"/>
          <w:sz w:val="20"/>
          <w:szCs w:val="20"/>
          <w:lang w:val="es-ES_tradnl"/>
          <w14:ligatures w14:val="standardContextual"/>
        </w:rPr>
      </w:pPr>
    </w:p>
    <w:p w14:paraId="116451AE" w14:textId="77777777" w:rsidR="00C30B31" w:rsidRPr="00C30B31" w:rsidRDefault="00C30B31" w:rsidP="32E0163A">
      <w:pPr>
        <w:spacing w:after="0" w:line="240" w:lineRule="auto"/>
        <w:jc w:val="both"/>
        <w:rPr>
          <w:rFonts w:ascii="Verdana" w:eastAsia="Aptos" w:hAnsi="Verdana" w:cs="Arial"/>
          <w:color w:val="000000"/>
          <w:kern w:val="2"/>
          <w:sz w:val="20"/>
          <w:szCs w:val="20"/>
          <w:lang w:val="es-ES"/>
          <w14:ligatures w14:val="standardContextual"/>
        </w:rPr>
      </w:pPr>
      <w:r w:rsidRPr="32E0163A">
        <w:rPr>
          <w:rFonts w:ascii="Verdana" w:eastAsia="Aptos" w:hAnsi="Verdana" w:cs="Arial"/>
          <w:color w:val="000000"/>
          <w:kern w:val="2"/>
          <w:sz w:val="20"/>
          <w:szCs w:val="20"/>
          <w:lang w:val="es-ES"/>
          <w14:ligatures w14:val="standardContextual"/>
        </w:rPr>
        <w:t xml:space="preserve">De acuerdo con esta normativa, en los documentos tipo de concurso de méritos para la interventoría de obras públicas de infraestructura de transporte adoptados por esta Agencia, se consideran la experiencia del proponente y del equipo de trabajo como factores de evaluación. Esto se aprecia en el Capítulo IV del Documento </w:t>
      </w:r>
      <w:proofErr w:type="gramStart"/>
      <w:r w:rsidRPr="32E0163A">
        <w:rPr>
          <w:rFonts w:ascii="Verdana" w:eastAsia="Aptos" w:hAnsi="Verdana" w:cs="Arial"/>
          <w:color w:val="000000"/>
          <w:kern w:val="2"/>
          <w:sz w:val="20"/>
          <w:szCs w:val="20"/>
          <w:lang w:val="es-ES"/>
          <w14:ligatures w14:val="standardContextual"/>
        </w:rPr>
        <w:t>Base.[</w:t>
      </w:r>
      <w:proofErr w:type="gramEnd"/>
      <w:r w:rsidRPr="32E0163A">
        <w:rPr>
          <w:rFonts w:ascii="Verdana" w:eastAsia="Aptos" w:hAnsi="Verdana" w:cs="Arial"/>
          <w:color w:val="000000"/>
          <w:kern w:val="2"/>
          <w:sz w:val="20"/>
          <w:szCs w:val="20"/>
          <w:lang w:val="es-ES"/>
          <w14:ligatures w14:val="standardContextual"/>
        </w:rPr>
        <w:t>…]</w:t>
      </w:r>
    </w:p>
    <w:p w14:paraId="509E2BD2" w14:textId="77777777" w:rsidR="00C30B31" w:rsidRPr="00C30B31" w:rsidRDefault="00C30B31" w:rsidP="00C30B31">
      <w:pPr>
        <w:spacing w:after="0" w:line="240" w:lineRule="auto"/>
        <w:jc w:val="both"/>
        <w:rPr>
          <w:rFonts w:ascii="Verdana" w:eastAsia="Aptos" w:hAnsi="Verdana" w:cs="Arial"/>
          <w:color w:val="000000"/>
          <w:kern w:val="2"/>
          <w:sz w:val="20"/>
          <w:szCs w:val="20"/>
          <w:lang w:val="es-ES_tradnl"/>
          <w14:ligatures w14:val="standardContextual"/>
        </w:rPr>
      </w:pPr>
    </w:p>
    <w:p w14:paraId="5F03E630" w14:textId="77777777" w:rsidR="00C30B31" w:rsidRDefault="00C30B31" w:rsidP="32E0163A">
      <w:pPr>
        <w:spacing w:after="0" w:line="240" w:lineRule="auto"/>
        <w:jc w:val="both"/>
        <w:rPr>
          <w:rFonts w:ascii="Verdana" w:eastAsia="Aptos" w:hAnsi="Verdana" w:cs="Arial"/>
          <w:color w:val="000000"/>
          <w:kern w:val="2"/>
          <w:sz w:val="20"/>
          <w:szCs w:val="20"/>
          <w:lang w:val="es-ES"/>
          <w14:ligatures w14:val="standardContextual"/>
        </w:rPr>
      </w:pPr>
      <w:r w:rsidRPr="32E0163A">
        <w:rPr>
          <w:rFonts w:ascii="Verdana" w:eastAsia="Aptos" w:hAnsi="Verdana" w:cs="Arial"/>
          <w:color w:val="000000"/>
          <w:kern w:val="2"/>
          <w:sz w:val="20"/>
          <w:szCs w:val="20"/>
          <w:lang w:val="es-ES"/>
          <w14:ligatures w14:val="standardContextual"/>
        </w:rPr>
        <w:t>Al respecto, el numeral 4.1, en los literales A y B del documento tipo estudiado disponen lo siguiente […]Conforme indican estos literales, la valoración de la experiencia del proponente, de cara a la asignación del puntaje correspondiente por este factor de evaluación, debe hacerse de acuerdo con el promedio de los valores de los contratos válidos aportados para acreditar experiencia, expresados en SMMLV. Para determinar el puntaje que corresponde al proponente por este factor de evaluación, el referido valor promedio de los contratos aportados para acreditar la experiencia, conforme indican los literales C y D del numeral 4.1., debe ser objeto de ponderación de acuerdo con alguno de los métodos señalados en el Documento Base, cuya escogencia debe hacerse de manera aleatoria, a partir de la Tasa Representativa del Mercado–TRM–.</w:t>
      </w:r>
    </w:p>
    <w:p w14:paraId="69C00F24" w14:textId="77777777" w:rsidR="00E445C3" w:rsidRPr="00C30B31" w:rsidRDefault="00E445C3" w:rsidP="32E0163A">
      <w:pPr>
        <w:spacing w:after="0" w:line="240" w:lineRule="auto"/>
        <w:jc w:val="both"/>
        <w:rPr>
          <w:rFonts w:ascii="Verdana" w:eastAsia="Aptos" w:hAnsi="Verdana" w:cs="Arial"/>
          <w:color w:val="000000"/>
          <w:kern w:val="2"/>
          <w:sz w:val="20"/>
          <w:szCs w:val="20"/>
          <w:lang w:val="es-ES"/>
          <w14:ligatures w14:val="standardContextual"/>
        </w:rPr>
      </w:pPr>
    </w:p>
    <w:p w14:paraId="33A2A38B" w14:textId="77777777" w:rsidR="00C30B31" w:rsidRPr="00C30B31" w:rsidRDefault="00C30B31" w:rsidP="00C30B31">
      <w:pPr>
        <w:spacing w:after="0" w:line="240" w:lineRule="auto"/>
        <w:jc w:val="both"/>
        <w:rPr>
          <w:rFonts w:ascii="Verdana" w:eastAsia="Calibri" w:hAnsi="Verdana" w:cs="Arial"/>
          <w:b/>
          <w:bCs/>
          <w:color w:val="000000"/>
          <w:kern w:val="2"/>
          <w:lang w:val="es-ES_tradnl"/>
          <w14:ligatures w14:val="standardContextual"/>
        </w:rPr>
      </w:pPr>
      <w:r w:rsidRPr="00C30B31">
        <w:rPr>
          <w:rFonts w:ascii="Verdana" w:eastAsia="Calibri" w:hAnsi="Verdana" w:cs="Arial"/>
          <w:b/>
          <w:bCs/>
          <w:color w:val="000000"/>
          <w:kern w:val="2"/>
          <w:lang w:val="es-ES_tradnl"/>
          <w14:ligatures w14:val="standardContextual"/>
        </w:rPr>
        <w:t xml:space="preserve">DOCUMENTOS TIPO – </w:t>
      </w:r>
      <w:r w:rsidRPr="00C30B31">
        <w:rPr>
          <w:rFonts w:ascii="Verdana" w:eastAsia="Aptos" w:hAnsi="Verdana" w:cs="Arial"/>
          <w:b/>
          <w:bCs/>
          <w:color w:val="000000"/>
          <w:kern w:val="2"/>
          <w:lang w:val="es-ES"/>
          <w14:ligatures w14:val="standardContextual"/>
        </w:rPr>
        <w:t xml:space="preserve">Interventoría </w:t>
      </w:r>
      <w:r w:rsidRPr="00C30B31">
        <w:rPr>
          <w:rFonts w:ascii="Verdana" w:eastAsia="Calibri" w:hAnsi="Verdana" w:cs="Arial"/>
          <w:b/>
          <w:bCs/>
          <w:color w:val="000000"/>
          <w:kern w:val="2"/>
          <w:lang w:val="es-ES_tradnl"/>
          <w14:ligatures w14:val="standardContextual"/>
        </w:rPr>
        <w:t>de obra pública de infraestructura de transporte – Asignación de puntaje por la experiencia del proponente – Numeral 4.1 – Literal C – Alcance</w:t>
      </w:r>
    </w:p>
    <w:p w14:paraId="0168D8C0" w14:textId="77777777" w:rsidR="00C30B31" w:rsidRPr="00C30B31" w:rsidRDefault="00C30B31" w:rsidP="00C30B31">
      <w:pPr>
        <w:spacing w:after="0" w:line="276" w:lineRule="auto"/>
        <w:jc w:val="both"/>
        <w:rPr>
          <w:rFonts w:ascii="Verdana" w:eastAsia="Times New Roman" w:hAnsi="Verdana" w:cs="Arial"/>
          <w:color w:val="000000"/>
          <w:kern w:val="2"/>
          <w:sz w:val="24"/>
          <w:szCs w:val="24"/>
          <w:lang w:val="es-MX" w:eastAsia="es-ES_tradnl"/>
          <w14:ligatures w14:val="standardContextual"/>
        </w:rPr>
      </w:pPr>
    </w:p>
    <w:p w14:paraId="2E4FFBA4" w14:textId="77777777" w:rsidR="00C30B31" w:rsidRPr="00C30B31" w:rsidRDefault="00C30B31" w:rsidP="00C30B31">
      <w:pPr>
        <w:spacing w:after="120" w:line="276" w:lineRule="auto"/>
        <w:jc w:val="both"/>
        <w:rPr>
          <w:rFonts w:ascii="Verdana" w:eastAsia="Calibri" w:hAnsi="Verdana" w:cs="Arial"/>
          <w:color w:val="000000"/>
          <w:sz w:val="20"/>
          <w:szCs w:val="20"/>
          <w:lang w:val="es-ES_tradnl"/>
        </w:rPr>
      </w:pPr>
      <w:r w:rsidRPr="00C30B31">
        <w:rPr>
          <w:rFonts w:ascii="Verdana" w:eastAsia="Calibri" w:hAnsi="Verdana" w:cs="Arial"/>
          <w:color w:val="000000"/>
          <w:sz w:val="20"/>
          <w:szCs w:val="20"/>
          <w:lang w:val="es-ES_tradnl"/>
        </w:rPr>
        <w:t xml:space="preserve">(…) En este sentido, el método aleatorio en función de la Tasa Representativo del Mercado TRM que la Entidad utilizará para determinar el método de ponderación -según se indica- corresponderá al que rija “(…) </w:t>
      </w:r>
      <w:r w:rsidRPr="00C30B31">
        <w:rPr>
          <w:rFonts w:ascii="Verdana" w:eastAsia="Arial" w:hAnsi="Verdana" w:cs="Arial"/>
          <w:sz w:val="20"/>
          <w:szCs w:val="20"/>
          <w:lang w:eastAsia="es-ES"/>
        </w:rPr>
        <w:t xml:space="preserve">el </w:t>
      </w:r>
      <w:r w:rsidRPr="00C30B31">
        <w:rPr>
          <w:rFonts w:ascii="Verdana" w:eastAsia="Arial" w:hAnsi="Verdana" w:cs="Arial"/>
          <w:i/>
          <w:iCs/>
          <w:sz w:val="20"/>
          <w:szCs w:val="20"/>
          <w:lang w:eastAsia="es-ES"/>
        </w:rPr>
        <w:t xml:space="preserve">segundo día hábil después de finalizado el periodo de traslado del informe de evaluación (…)”. </w:t>
      </w:r>
    </w:p>
    <w:p w14:paraId="4D759DC4" w14:textId="77777777" w:rsidR="00C30B31" w:rsidRPr="00C30B31" w:rsidRDefault="00C30B31" w:rsidP="00C30B31">
      <w:pPr>
        <w:spacing w:after="120" w:line="276" w:lineRule="auto"/>
        <w:jc w:val="both"/>
        <w:rPr>
          <w:rFonts w:ascii="Verdana" w:eastAsia="Calibri" w:hAnsi="Verdana" w:cs="Arial"/>
          <w:color w:val="000000"/>
          <w:sz w:val="20"/>
          <w:szCs w:val="20"/>
          <w:lang w:val="es-ES_tradnl"/>
        </w:rPr>
      </w:pPr>
      <w:r w:rsidRPr="00C30B31">
        <w:rPr>
          <w:rFonts w:ascii="Verdana" w:eastAsia="Calibri" w:hAnsi="Verdana" w:cs="Arial"/>
          <w:color w:val="000000"/>
          <w:sz w:val="20"/>
          <w:szCs w:val="20"/>
          <w:lang w:val="es-ES_tradnl"/>
        </w:rPr>
        <w:lastRenderedPageBreak/>
        <w:t xml:space="preserve">En este sentido, en el inciso dos (2) del literal C del numeral 4.1 se establece entre corchetes y resaltado en gris -a modo de ejemplo- la forma como la entidad determinará el método aleatorio de ponderación a partir de la TRM para lo cual señala que, “(…) si el termino de traslado del informe de evaluación finaliza el 10 de febrero, la TRM que se usará para determinar el método de evaluación será la del 12 de febrero, que se publica en la tarde del 11 de febrero”. Esto, teniendo en cuenta lo señalado en el párrafo precedente, esto es, que la TRM que la Entidad utilizará será la del segundo día hábil después de finalizado el traslado del informe de evaluación. </w:t>
      </w:r>
    </w:p>
    <w:p w14:paraId="34324FB8" w14:textId="77777777" w:rsidR="00C30B31" w:rsidRPr="00C30B31" w:rsidRDefault="00C30B31" w:rsidP="00C30B31">
      <w:pPr>
        <w:spacing w:after="0" w:line="278" w:lineRule="auto"/>
        <w:jc w:val="both"/>
        <w:rPr>
          <w:rFonts w:ascii="Verdana" w:eastAsia="Calibri" w:hAnsi="Verdana" w:cs="Arial"/>
          <w:color w:val="000000"/>
          <w:sz w:val="20"/>
          <w:szCs w:val="20"/>
          <w:lang w:val="es-ES_tradnl"/>
        </w:rPr>
      </w:pPr>
      <w:r w:rsidRPr="00C30B31">
        <w:rPr>
          <w:rFonts w:ascii="Verdana" w:eastAsia="Calibri" w:hAnsi="Verdana" w:cs="Arial"/>
          <w:color w:val="000000"/>
          <w:sz w:val="20"/>
          <w:szCs w:val="20"/>
          <w:lang w:val="es-ES_tradnl"/>
        </w:rPr>
        <w:t xml:space="preserve">Tal como se señaló con anterioridad, en relación con la </w:t>
      </w:r>
      <w:proofErr w:type="spellStart"/>
      <w:r w:rsidRPr="00C30B31">
        <w:rPr>
          <w:rFonts w:ascii="Verdana" w:eastAsia="Calibri" w:hAnsi="Verdana" w:cs="Arial"/>
          <w:color w:val="000000"/>
          <w:sz w:val="20"/>
          <w:szCs w:val="20"/>
          <w:lang w:val="es-ES_tradnl"/>
        </w:rPr>
        <w:t>subsanabilidad</w:t>
      </w:r>
      <w:proofErr w:type="spellEnd"/>
      <w:r w:rsidRPr="00C30B31">
        <w:rPr>
          <w:rFonts w:ascii="Verdana" w:eastAsia="Calibri" w:hAnsi="Verdana" w:cs="Arial"/>
          <w:color w:val="000000"/>
          <w:sz w:val="20"/>
          <w:szCs w:val="20"/>
          <w:lang w:val="es-ES_tradnl"/>
        </w:rPr>
        <w:t xml:space="preserve"> de las ofertas, </w:t>
      </w:r>
      <w:r w:rsidRPr="00C30B31">
        <w:rPr>
          <w:rFonts w:ascii="Verdana" w:eastAsia="Arial" w:hAnsi="Verdana" w:cs="Arial"/>
          <w:color w:val="000000"/>
          <w:sz w:val="20"/>
          <w:szCs w:val="20"/>
        </w:rPr>
        <w:t xml:space="preserve">se permite que la Administración requiera al oferente durante el proceso de evaluación de las propuestas, tan pronto advierta que hace falta un documento o requisito que se puede subsanar. </w:t>
      </w:r>
      <w:r w:rsidRPr="00C30B31">
        <w:rPr>
          <w:rFonts w:ascii="Verdana" w:eastAsia="Calibri" w:hAnsi="Verdana" w:cs="Arial"/>
          <w:color w:val="000000"/>
          <w:sz w:val="20"/>
          <w:szCs w:val="20"/>
          <w:lang w:val="es-ES_tradnl"/>
        </w:rPr>
        <w:t>Ahora, y en el evento que se presente una situación excepcional en la cual la Entidad no hubiese advertido durante el proceso de evaluación la ausencia de requisitos o la falta de documentos referentes a la futura contratación o al Proponente, ya sea en relación con los requisitos habilitantes o para aclarar aspectos que otorgan puntaje o relativos a los factores de desempate y, por ende, no los haya requerido, podrá hacerlo posteriormente, otorgándole al Proponente un término igual al establecido para el traslado del informe de evaluación,</w:t>
      </w:r>
      <w:r w:rsidRPr="00C30B31" w:rsidDel="008C5B46">
        <w:rPr>
          <w:rFonts w:ascii="Verdana" w:eastAsia="Calibri" w:hAnsi="Verdana" w:cs="Arial"/>
          <w:color w:val="000000"/>
          <w:sz w:val="20"/>
          <w:szCs w:val="20"/>
          <w:lang w:val="es-ES_tradnl"/>
        </w:rPr>
        <w:t xml:space="preserve"> </w:t>
      </w:r>
      <w:r w:rsidRPr="00C30B31">
        <w:rPr>
          <w:rFonts w:ascii="Verdana" w:eastAsia="Calibri" w:hAnsi="Verdana" w:cs="Arial"/>
          <w:color w:val="000000"/>
          <w:sz w:val="20"/>
          <w:szCs w:val="20"/>
          <w:lang w:val="es-ES_tradnl"/>
        </w:rPr>
        <w:t xml:space="preserve">con el fin de que los allegue. En este sentido, en el inciso tercero del literal C del numeral 4.1 se definió una regla aplicable a estas situaciones, para determinar la TRM que la Entidad utilizará para determinar el método de ponderación, según la cual: </w:t>
      </w:r>
    </w:p>
    <w:p w14:paraId="09290A08" w14:textId="77777777" w:rsidR="00C30B31" w:rsidRPr="00C30B31" w:rsidRDefault="00C30B31" w:rsidP="00C30B31">
      <w:pPr>
        <w:spacing w:after="0" w:line="278" w:lineRule="auto"/>
        <w:ind w:firstLine="708"/>
        <w:jc w:val="both"/>
        <w:rPr>
          <w:rFonts w:ascii="Verdana" w:eastAsia="Calibri" w:hAnsi="Verdana" w:cs="Arial"/>
          <w:color w:val="000000"/>
          <w:sz w:val="20"/>
          <w:szCs w:val="20"/>
          <w:lang w:val="es-ES_tradnl"/>
        </w:rPr>
      </w:pPr>
    </w:p>
    <w:p w14:paraId="067293A0" w14:textId="77777777" w:rsidR="00C30B31" w:rsidRPr="00C30B31" w:rsidRDefault="00C30B31" w:rsidP="00C30B31">
      <w:pPr>
        <w:spacing w:after="0" w:line="278" w:lineRule="auto"/>
        <w:ind w:right="709"/>
        <w:jc w:val="both"/>
        <w:rPr>
          <w:rFonts w:ascii="Verdana" w:eastAsia="Calibri" w:hAnsi="Verdana" w:cs="Arial"/>
          <w:color w:val="000000"/>
          <w:sz w:val="20"/>
          <w:szCs w:val="20"/>
          <w:lang w:val="es-ES_tradnl"/>
        </w:rPr>
      </w:pPr>
      <w:r w:rsidRPr="00C30B31">
        <w:rPr>
          <w:rFonts w:ascii="Verdana" w:eastAsia="Calibri" w:hAnsi="Verdana" w:cs="Arial"/>
          <w:color w:val="000000"/>
          <w:sz w:val="20"/>
          <w:szCs w:val="20"/>
          <w:lang w:val="es-ES_tradnl"/>
        </w:rPr>
        <w:t xml:space="preserve">(…) </w:t>
      </w:r>
    </w:p>
    <w:p w14:paraId="749615DF" w14:textId="77777777" w:rsidR="00C30B31" w:rsidRPr="00C30B31" w:rsidRDefault="00C30B31" w:rsidP="00C30B31">
      <w:pPr>
        <w:spacing w:after="0" w:line="278" w:lineRule="auto"/>
        <w:jc w:val="both"/>
        <w:rPr>
          <w:rFonts w:ascii="Verdana" w:eastAsia="Calibri" w:hAnsi="Verdana" w:cs="Arial"/>
          <w:color w:val="000000"/>
          <w:sz w:val="20"/>
          <w:szCs w:val="20"/>
          <w:lang w:val="es-ES_tradnl"/>
        </w:rPr>
      </w:pPr>
      <w:r w:rsidRPr="00C30B31">
        <w:rPr>
          <w:rFonts w:ascii="Verdana" w:eastAsia="Calibri" w:hAnsi="Verdana" w:cs="Arial"/>
          <w:color w:val="000000"/>
          <w:sz w:val="20"/>
          <w:szCs w:val="20"/>
          <w:lang w:val="es-ES_tradnl"/>
        </w:rPr>
        <w:t xml:space="preserve">En el marco de esta excepcionalidad, se inscriben las situaciones planteadas por el peticionario, toda vez que, si la Entidad requiere al proponente en un momento posterior al proceso de evaluación, la determinación de la Tasa Representativa del Mercado TRM, que la Entidad utilizará para determinar el método de ponderación será la que rija el segundo día hábil después de finalizado el periodo concedido al proponente requerido para la subsanación de requisitos habilitantes y/o para aclarar aspectos que otorgan puntaje o relativos a factores de desempate. </w:t>
      </w:r>
    </w:p>
    <w:p w14:paraId="3CD2076B" w14:textId="77777777" w:rsidR="00C30B31" w:rsidRPr="00C30B31" w:rsidRDefault="00C30B31" w:rsidP="00C30B31">
      <w:pPr>
        <w:spacing w:after="0"/>
        <w:rPr>
          <w:rFonts w:ascii="Verdana" w:eastAsia="Calibri" w:hAnsi="Verdana" w:cs="Times New Roman"/>
        </w:rPr>
      </w:pPr>
    </w:p>
    <w:p w14:paraId="60737401" w14:textId="77777777" w:rsidR="00C30B31" w:rsidRPr="00C30B31" w:rsidRDefault="00C30B31" w:rsidP="00C30B31">
      <w:pPr>
        <w:spacing w:after="0" w:line="276" w:lineRule="auto"/>
        <w:jc w:val="both"/>
        <w:rPr>
          <w:rFonts w:ascii="Verdana" w:eastAsia="Calibri" w:hAnsi="Verdana" w:cs="Arial"/>
          <w:b/>
          <w:lang w:eastAsia="es-ES"/>
        </w:rPr>
      </w:pPr>
      <w:r w:rsidRPr="00C30B31">
        <w:rPr>
          <w:rFonts w:ascii="Verdana" w:eastAsia="Calibri" w:hAnsi="Verdana" w:cs="Arial"/>
          <w:b/>
          <w:lang w:eastAsia="es-ES"/>
        </w:rPr>
        <w:t xml:space="preserve">DOCUMENTOS TIPO – Interventoría de infraestructura de transporte – Versión 3 – Métodos de ponderación </w:t>
      </w:r>
    </w:p>
    <w:p w14:paraId="483625ED" w14:textId="77777777" w:rsidR="00C30B31" w:rsidRPr="00C30B31" w:rsidRDefault="00C30B31" w:rsidP="00C30B31">
      <w:pPr>
        <w:spacing w:after="0" w:line="276" w:lineRule="auto"/>
        <w:jc w:val="both"/>
        <w:rPr>
          <w:rFonts w:ascii="Verdana" w:eastAsia="Calibri" w:hAnsi="Verdana" w:cs="Arial"/>
          <w:b/>
          <w:lang w:eastAsia="es-ES"/>
        </w:rPr>
      </w:pPr>
    </w:p>
    <w:p w14:paraId="6059CD96" w14:textId="77777777" w:rsidR="00C30B31" w:rsidRPr="00C30B31" w:rsidRDefault="00C30B31" w:rsidP="00C30B31">
      <w:pPr>
        <w:spacing w:after="0"/>
        <w:jc w:val="both"/>
        <w:rPr>
          <w:rFonts w:ascii="Verdana" w:eastAsia="Aptos" w:hAnsi="Verdana" w:cs="ArialMT"/>
          <w:sz w:val="20"/>
          <w:szCs w:val="20"/>
          <w14:ligatures w14:val="standardContextual"/>
        </w:rPr>
      </w:pPr>
      <w:r w:rsidRPr="00C30B31">
        <w:rPr>
          <w:rFonts w:ascii="Verdana" w:eastAsia="Aptos" w:hAnsi="Verdana" w:cs="ArialMT"/>
          <w:sz w:val="20"/>
          <w:szCs w:val="20"/>
          <w14:ligatures w14:val="standardContextual"/>
        </w:rPr>
        <w:t xml:space="preserve">En los procedimientos de concurso de méritos para la escogencia de interventores de obra pública de infraestructura de transporte adelantados con documentos tipo, la experiencia del proponente debe ser ponderada, de acuerdo con un método aleatorio, a efectos de determinar el puntaje que le corresponde. Al respecto, el Documento Base de los documentos tipo de interventoría de obra pública de infraestructura de transporte – versión 3, establece cuatro (4) alternativas para ponderar la experiencia de los </w:t>
      </w:r>
      <w:r w:rsidRPr="00C30B31">
        <w:rPr>
          <w:rFonts w:ascii="Verdana" w:eastAsia="Aptos" w:hAnsi="Verdana" w:cs="ArialMT"/>
          <w:sz w:val="20"/>
          <w:szCs w:val="20"/>
          <w14:ligatures w14:val="standardContextual"/>
        </w:rPr>
        <w:lastRenderedPageBreak/>
        <w:t xml:space="preserve">proponentes, aplicables según la TRM que rija en el momento indicado en los apartes citados, dando lugar a la aplicación de alguno de los siguientes métodos: i) media con valor absoluto; </w:t>
      </w:r>
      <w:proofErr w:type="spellStart"/>
      <w:r w:rsidRPr="00C30B31">
        <w:rPr>
          <w:rFonts w:ascii="Verdana" w:eastAsia="Aptos" w:hAnsi="Verdana" w:cs="ArialMT"/>
          <w:sz w:val="20"/>
          <w:szCs w:val="20"/>
          <w14:ligatures w14:val="standardContextual"/>
        </w:rPr>
        <w:t>ii</w:t>
      </w:r>
      <w:proofErr w:type="spellEnd"/>
      <w:r w:rsidRPr="00C30B31">
        <w:rPr>
          <w:rFonts w:ascii="Verdana" w:eastAsia="Aptos" w:hAnsi="Verdana" w:cs="ArialMT"/>
          <w:sz w:val="20"/>
          <w:szCs w:val="20"/>
          <w14:ligatures w14:val="standardContextual"/>
        </w:rPr>
        <w:t xml:space="preserve">) media geométrica y </w:t>
      </w:r>
      <w:proofErr w:type="spellStart"/>
      <w:r w:rsidRPr="00C30B31">
        <w:rPr>
          <w:rFonts w:ascii="Verdana" w:eastAsia="Aptos" w:hAnsi="Verdana" w:cs="ArialMT"/>
          <w:sz w:val="20"/>
          <w:szCs w:val="20"/>
          <w14:ligatures w14:val="standardContextual"/>
        </w:rPr>
        <w:t>iii</w:t>
      </w:r>
      <w:proofErr w:type="spellEnd"/>
      <w:r w:rsidRPr="00C30B31">
        <w:rPr>
          <w:rFonts w:ascii="Verdana" w:eastAsia="Aptos" w:hAnsi="Verdana" w:cs="ArialMT"/>
          <w:sz w:val="20"/>
          <w:szCs w:val="20"/>
          <w14:ligatures w14:val="standardContextual"/>
        </w:rPr>
        <w:t xml:space="preserve">) media aritmética alta y </w:t>
      </w:r>
      <w:proofErr w:type="spellStart"/>
      <w:r w:rsidRPr="00C30B31">
        <w:rPr>
          <w:rFonts w:ascii="Verdana" w:eastAsia="Aptos" w:hAnsi="Verdana" w:cs="ArialMT"/>
          <w:sz w:val="20"/>
          <w:szCs w:val="20"/>
          <w14:ligatures w14:val="standardContextual"/>
        </w:rPr>
        <w:t>iv</w:t>
      </w:r>
      <w:proofErr w:type="spellEnd"/>
      <w:r w:rsidRPr="00C30B31">
        <w:rPr>
          <w:rFonts w:ascii="Verdana" w:eastAsia="Aptos" w:hAnsi="Verdana" w:cs="ArialMT"/>
          <w:sz w:val="20"/>
          <w:szCs w:val="20"/>
          <w14:ligatures w14:val="standardContextual"/>
        </w:rPr>
        <w:t>) media aritmética baja cuya selección es aleatoria.</w:t>
      </w:r>
    </w:p>
    <w:p w14:paraId="7030E12F" w14:textId="77777777" w:rsidR="00C30B31" w:rsidRPr="00C30B31" w:rsidRDefault="00C30B31" w:rsidP="00C30B31">
      <w:pPr>
        <w:spacing w:after="0"/>
        <w:ind w:left="502"/>
        <w:contextualSpacing/>
        <w:jc w:val="both"/>
        <w:rPr>
          <w:rFonts w:ascii="Verdana" w:eastAsia="Aptos" w:hAnsi="Verdana" w:cs="ArialMT"/>
          <w14:ligatures w14:val="standardContextual"/>
        </w:rPr>
      </w:pPr>
    </w:p>
    <w:p w14:paraId="1E3BC548" w14:textId="77777777" w:rsidR="00C30B31" w:rsidRPr="00C30B31" w:rsidRDefault="00C30B31" w:rsidP="00C30B31">
      <w:pPr>
        <w:spacing w:after="0"/>
        <w:rPr>
          <w:rFonts w:ascii="Verdana" w:eastAsia="Calibri" w:hAnsi="Verdana" w:cs="Times New Roman"/>
        </w:rPr>
      </w:pPr>
    </w:p>
    <w:p w14:paraId="760C22B6" w14:textId="77777777" w:rsidR="00C30B31" w:rsidRPr="00C30B31" w:rsidRDefault="00C30B31" w:rsidP="00C30B31">
      <w:pPr>
        <w:spacing w:after="0"/>
        <w:rPr>
          <w:rFonts w:ascii="Verdana" w:eastAsia="Calibri" w:hAnsi="Verdana" w:cs="Times New Roman"/>
        </w:rPr>
      </w:pPr>
    </w:p>
    <w:p w14:paraId="4A9C8BDD" w14:textId="77777777" w:rsidR="00C30B31" w:rsidRPr="00C30B31" w:rsidRDefault="00C30B31" w:rsidP="00C30B31">
      <w:pPr>
        <w:spacing w:after="0"/>
        <w:rPr>
          <w:rFonts w:ascii="Verdana" w:eastAsia="Calibri" w:hAnsi="Verdana" w:cs="Times New Roman"/>
        </w:rPr>
      </w:pPr>
    </w:p>
    <w:p w14:paraId="72AE7EEA" w14:textId="77777777" w:rsidR="00C30B31" w:rsidRPr="00C30B31" w:rsidRDefault="00C30B31" w:rsidP="00C30B31">
      <w:pPr>
        <w:spacing w:after="0"/>
        <w:rPr>
          <w:rFonts w:ascii="Verdana" w:eastAsia="Calibri" w:hAnsi="Verdana" w:cs="Times New Roman"/>
        </w:rPr>
      </w:pPr>
    </w:p>
    <w:p w14:paraId="2B47CAD9" w14:textId="77777777" w:rsidR="00C30B31" w:rsidRPr="00C30B31" w:rsidRDefault="00C30B31" w:rsidP="00C30B31">
      <w:pPr>
        <w:spacing w:after="0"/>
        <w:rPr>
          <w:rFonts w:ascii="Verdana" w:eastAsia="Calibri" w:hAnsi="Verdana" w:cs="Times New Roman"/>
        </w:rPr>
      </w:pPr>
    </w:p>
    <w:p w14:paraId="7C3DB9C6" w14:textId="77777777" w:rsidR="00C30B31" w:rsidRPr="00C30B31" w:rsidRDefault="00C30B31" w:rsidP="00C30B31">
      <w:pPr>
        <w:spacing w:after="0"/>
        <w:rPr>
          <w:rFonts w:ascii="Verdana" w:eastAsia="Calibri" w:hAnsi="Verdana" w:cs="Times New Roman"/>
        </w:rPr>
      </w:pPr>
    </w:p>
    <w:p w14:paraId="670CE40D" w14:textId="77777777" w:rsidR="00C30B31" w:rsidRPr="00C30B31" w:rsidRDefault="00C30B31" w:rsidP="00C30B31">
      <w:pPr>
        <w:spacing w:after="0"/>
        <w:rPr>
          <w:rFonts w:ascii="Verdana" w:eastAsia="Calibri" w:hAnsi="Verdana" w:cs="Times New Roman"/>
        </w:rPr>
      </w:pPr>
    </w:p>
    <w:p w14:paraId="7495C220" w14:textId="77777777" w:rsidR="00C30B31" w:rsidRPr="00C30B31" w:rsidRDefault="00C30B31" w:rsidP="00C30B31">
      <w:pPr>
        <w:spacing w:after="0"/>
        <w:rPr>
          <w:rFonts w:ascii="Verdana" w:eastAsia="Calibri" w:hAnsi="Verdana" w:cs="Times New Roman"/>
        </w:rPr>
      </w:pPr>
    </w:p>
    <w:p w14:paraId="30454C0C" w14:textId="77777777" w:rsidR="00C30B31" w:rsidRPr="00C30B31" w:rsidRDefault="00C30B31" w:rsidP="00C30B31">
      <w:pPr>
        <w:spacing w:after="0"/>
        <w:rPr>
          <w:rFonts w:ascii="Verdana" w:eastAsia="Calibri" w:hAnsi="Verdana" w:cs="Times New Roman"/>
        </w:rPr>
      </w:pPr>
    </w:p>
    <w:p w14:paraId="6D833D1A" w14:textId="77777777" w:rsidR="00C30B31" w:rsidRPr="00C30B31" w:rsidRDefault="00C30B31" w:rsidP="00C30B31">
      <w:pPr>
        <w:spacing w:after="0"/>
        <w:rPr>
          <w:rFonts w:ascii="Verdana" w:eastAsia="Calibri" w:hAnsi="Verdana" w:cs="Times New Roman"/>
        </w:rPr>
      </w:pPr>
    </w:p>
    <w:p w14:paraId="5ECBF8FE" w14:textId="77777777" w:rsidR="00C30B31" w:rsidRPr="00C30B31" w:rsidRDefault="00C30B31" w:rsidP="00C30B31">
      <w:pPr>
        <w:spacing w:after="0"/>
        <w:rPr>
          <w:rFonts w:ascii="Verdana" w:eastAsia="Calibri" w:hAnsi="Verdana" w:cs="Times New Roman"/>
        </w:rPr>
      </w:pPr>
    </w:p>
    <w:p w14:paraId="521C0D80" w14:textId="77777777" w:rsidR="00C30B31" w:rsidRPr="00C30B31" w:rsidRDefault="00C30B31" w:rsidP="00C30B31">
      <w:pPr>
        <w:spacing w:after="0"/>
        <w:rPr>
          <w:rFonts w:ascii="Verdana" w:eastAsia="Calibri" w:hAnsi="Verdana" w:cs="Times New Roman"/>
        </w:rPr>
      </w:pPr>
    </w:p>
    <w:p w14:paraId="193ED08D" w14:textId="77777777" w:rsidR="00C30B31" w:rsidRPr="00C30B31" w:rsidRDefault="00C30B31" w:rsidP="00C30B31">
      <w:pPr>
        <w:spacing w:after="0"/>
        <w:rPr>
          <w:rFonts w:ascii="Verdana" w:eastAsia="Calibri" w:hAnsi="Verdana" w:cs="Times New Roman"/>
        </w:rPr>
      </w:pPr>
    </w:p>
    <w:p w14:paraId="19D37E07" w14:textId="77777777" w:rsidR="00C30B31" w:rsidRPr="00C30B31" w:rsidRDefault="00C30B31" w:rsidP="00C30B31">
      <w:pPr>
        <w:spacing w:after="0"/>
        <w:rPr>
          <w:rFonts w:ascii="Verdana" w:eastAsia="Calibri" w:hAnsi="Verdana" w:cs="Times New Roman"/>
        </w:rPr>
      </w:pPr>
    </w:p>
    <w:p w14:paraId="61968CFC" w14:textId="77777777" w:rsidR="00C30B31" w:rsidRPr="00C30B31" w:rsidRDefault="00C30B31" w:rsidP="00C30B31">
      <w:pPr>
        <w:spacing w:after="0"/>
        <w:rPr>
          <w:rFonts w:ascii="Verdana" w:eastAsia="Calibri" w:hAnsi="Verdana" w:cs="Times New Roman"/>
        </w:rPr>
      </w:pPr>
    </w:p>
    <w:p w14:paraId="67AB9375" w14:textId="77777777" w:rsidR="00C30B31" w:rsidRDefault="00C30B31" w:rsidP="00C30B31">
      <w:pPr>
        <w:spacing w:after="0"/>
        <w:rPr>
          <w:rFonts w:ascii="Verdana" w:eastAsia="Calibri" w:hAnsi="Verdana" w:cs="Times New Roman"/>
        </w:rPr>
      </w:pPr>
    </w:p>
    <w:p w14:paraId="7E493804" w14:textId="77777777" w:rsidR="00D330A1" w:rsidRDefault="00D330A1" w:rsidP="00C30B31">
      <w:pPr>
        <w:spacing w:after="0"/>
        <w:rPr>
          <w:rFonts w:ascii="Verdana" w:eastAsia="Calibri" w:hAnsi="Verdana" w:cs="Times New Roman"/>
        </w:rPr>
      </w:pPr>
    </w:p>
    <w:p w14:paraId="72484446" w14:textId="77777777" w:rsidR="00D330A1" w:rsidRDefault="00D330A1" w:rsidP="00C30B31">
      <w:pPr>
        <w:spacing w:after="0"/>
        <w:rPr>
          <w:rFonts w:ascii="Verdana" w:eastAsia="Calibri" w:hAnsi="Verdana" w:cs="Times New Roman"/>
        </w:rPr>
      </w:pPr>
    </w:p>
    <w:p w14:paraId="3FD3C988" w14:textId="77777777" w:rsidR="00D330A1" w:rsidRDefault="00D330A1" w:rsidP="00C30B31">
      <w:pPr>
        <w:spacing w:after="0"/>
        <w:rPr>
          <w:rFonts w:ascii="Verdana" w:eastAsia="Calibri" w:hAnsi="Verdana" w:cs="Times New Roman"/>
        </w:rPr>
      </w:pPr>
    </w:p>
    <w:p w14:paraId="566D0D7A" w14:textId="77777777" w:rsidR="00D330A1" w:rsidRDefault="00D330A1" w:rsidP="00C30B31">
      <w:pPr>
        <w:spacing w:after="0"/>
        <w:rPr>
          <w:rFonts w:ascii="Verdana" w:eastAsia="Calibri" w:hAnsi="Verdana" w:cs="Times New Roman"/>
        </w:rPr>
      </w:pPr>
    </w:p>
    <w:p w14:paraId="2866C5E2" w14:textId="77777777" w:rsidR="00D330A1" w:rsidRDefault="00D330A1" w:rsidP="00C30B31">
      <w:pPr>
        <w:spacing w:after="0"/>
        <w:rPr>
          <w:rFonts w:ascii="Verdana" w:eastAsia="Calibri" w:hAnsi="Verdana" w:cs="Times New Roman"/>
        </w:rPr>
      </w:pPr>
    </w:p>
    <w:p w14:paraId="7B8F4D13" w14:textId="77777777" w:rsidR="00D330A1" w:rsidRDefault="00D330A1" w:rsidP="00C30B31">
      <w:pPr>
        <w:spacing w:after="0"/>
        <w:rPr>
          <w:rFonts w:ascii="Verdana" w:eastAsia="Calibri" w:hAnsi="Verdana" w:cs="Times New Roman"/>
        </w:rPr>
      </w:pPr>
    </w:p>
    <w:p w14:paraId="0D36FE0B" w14:textId="77777777" w:rsidR="00D330A1" w:rsidRDefault="00D330A1" w:rsidP="00C30B31">
      <w:pPr>
        <w:spacing w:after="0"/>
        <w:rPr>
          <w:rFonts w:ascii="Verdana" w:eastAsia="Calibri" w:hAnsi="Verdana" w:cs="Times New Roman"/>
        </w:rPr>
      </w:pPr>
    </w:p>
    <w:p w14:paraId="0D164CEF" w14:textId="77777777" w:rsidR="00D330A1" w:rsidRDefault="00D330A1" w:rsidP="00C30B31">
      <w:pPr>
        <w:spacing w:after="0"/>
        <w:rPr>
          <w:rFonts w:ascii="Verdana" w:eastAsia="Calibri" w:hAnsi="Verdana" w:cs="Times New Roman"/>
        </w:rPr>
      </w:pPr>
    </w:p>
    <w:p w14:paraId="1F89602C" w14:textId="77777777" w:rsidR="00D330A1" w:rsidRDefault="00D330A1" w:rsidP="00C30B31">
      <w:pPr>
        <w:spacing w:after="0"/>
        <w:rPr>
          <w:rFonts w:ascii="Verdana" w:eastAsia="Calibri" w:hAnsi="Verdana" w:cs="Times New Roman"/>
        </w:rPr>
      </w:pPr>
    </w:p>
    <w:p w14:paraId="214C0E02" w14:textId="77777777" w:rsidR="00D330A1" w:rsidRDefault="00D330A1" w:rsidP="00C30B31">
      <w:pPr>
        <w:spacing w:after="0"/>
        <w:rPr>
          <w:rFonts w:ascii="Verdana" w:eastAsia="Calibri" w:hAnsi="Verdana" w:cs="Times New Roman"/>
        </w:rPr>
      </w:pPr>
    </w:p>
    <w:p w14:paraId="1EBA2270" w14:textId="77777777" w:rsidR="00D330A1" w:rsidRDefault="00D330A1" w:rsidP="00C30B31">
      <w:pPr>
        <w:spacing w:after="0"/>
        <w:rPr>
          <w:rFonts w:ascii="Verdana" w:eastAsia="Calibri" w:hAnsi="Verdana" w:cs="Times New Roman"/>
        </w:rPr>
      </w:pPr>
    </w:p>
    <w:p w14:paraId="408C429E" w14:textId="77777777" w:rsidR="00D330A1" w:rsidRDefault="00D330A1" w:rsidP="00C30B31">
      <w:pPr>
        <w:spacing w:after="0"/>
        <w:rPr>
          <w:rFonts w:ascii="Verdana" w:eastAsia="Calibri" w:hAnsi="Verdana" w:cs="Times New Roman"/>
        </w:rPr>
      </w:pPr>
    </w:p>
    <w:p w14:paraId="5B0E208A" w14:textId="77777777" w:rsidR="00D330A1" w:rsidRDefault="00D330A1" w:rsidP="00C30B31">
      <w:pPr>
        <w:spacing w:after="0"/>
        <w:rPr>
          <w:rFonts w:ascii="Verdana" w:eastAsia="Calibri" w:hAnsi="Verdana" w:cs="Times New Roman"/>
        </w:rPr>
      </w:pPr>
    </w:p>
    <w:p w14:paraId="3E49344C" w14:textId="77777777" w:rsidR="00D330A1" w:rsidRDefault="00D330A1" w:rsidP="00C30B31">
      <w:pPr>
        <w:spacing w:after="0"/>
        <w:rPr>
          <w:rFonts w:ascii="Verdana" w:eastAsia="Calibri" w:hAnsi="Verdana" w:cs="Times New Roman"/>
        </w:rPr>
      </w:pPr>
    </w:p>
    <w:p w14:paraId="4CEEB265" w14:textId="77777777" w:rsidR="00D330A1" w:rsidRDefault="00D330A1" w:rsidP="00C30B31">
      <w:pPr>
        <w:spacing w:after="0"/>
        <w:rPr>
          <w:rFonts w:ascii="Verdana" w:eastAsia="Calibri" w:hAnsi="Verdana" w:cs="Times New Roman"/>
        </w:rPr>
      </w:pPr>
    </w:p>
    <w:p w14:paraId="0A930090" w14:textId="77777777" w:rsidR="00D330A1" w:rsidRDefault="00D330A1" w:rsidP="00C30B31">
      <w:pPr>
        <w:spacing w:after="0"/>
        <w:rPr>
          <w:rFonts w:ascii="Verdana" w:eastAsia="Calibri" w:hAnsi="Verdana" w:cs="Times New Roman"/>
        </w:rPr>
      </w:pPr>
    </w:p>
    <w:p w14:paraId="64C9FD11" w14:textId="77777777" w:rsidR="00D330A1" w:rsidRPr="00C30B31" w:rsidRDefault="00D330A1" w:rsidP="00C30B31">
      <w:pPr>
        <w:spacing w:after="0"/>
        <w:rPr>
          <w:rFonts w:ascii="Verdana" w:eastAsia="Calibri" w:hAnsi="Verdana" w:cs="Times New Roman"/>
        </w:rPr>
      </w:pPr>
    </w:p>
    <w:p w14:paraId="3C44EFA2" w14:textId="77777777" w:rsidR="00C30B31" w:rsidRPr="00C30B31" w:rsidRDefault="00C30B31" w:rsidP="00C30B31">
      <w:pPr>
        <w:spacing w:after="0"/>
        <w:rPr>
          <w:rFonts w:ascii="Verdana" w:eastAsia="Calibri" w:hAnsi="Verdana" w:cs="Times New Roman"/>
        </w:rPr>
      </w:pPr>
    </w:p>
    <w:p w14:paraId="3BA9E48E" w14:textId="77777777" w:rsidR="00C30B31" w:rsidRPr="00C30B31" w:rsidRDefault="00C30B31" w:rsidP="00C30B31">
      <w:pPr>
        <w:spacing w:after="0"/>
        <w:rPr>
          <w:rFonts w:ascii="Verdana" w:eastAsia="Calibri" w:hAnsi="Verdana" w:cs="Times New Roman"/>
        </w:rPr>
      </w:pPr>
    </w:p>
    <w:p w14:paraId="12ACB785" w14:textId="77777777" w:rsidR="00C009EF" w:rsidRDefault="00C009EF" w:rsidP="00C009EF">
      <w:pPr>
        <w:spacing w:after="0"/>
        <w:rPr>
          <w:rFonts w:ascii="Verdana" w:eastAsia="Calibri" w:hAnsi="Verdana" w:cs="Times New Roman"/>
        </w:rPr>
      </w:pPr>
      <w:r w:rsidRPr="003356EC">
        <w:rPr>
          <w:rFonts w:ascii="Verdana" w:eastAsia="Calibri" w:hAnsi="Verdana" w:cs="Times New Roman"/>
        </w:rPr>
        <w:lastRenderedPageBreak/>
        <w:t xml:space="preserve">Bogotá D.C., 03 </w:t>
      </w:r>
      <w:proofErr w:type="gramStart"/>
      <w:r w:rsidRPr="003356EC">
        <w:rPr>
          <w:rFonts w:ascii="Verdana" w:eastAsia="Calibri" w:hAnsi="Verdana" w:cs="Times New Roman"/>
        </w:rPr>
        <w:t>Junio</w:t>
      </w:r>
      <w:proofErr w:type="gramEnd"/>
      <w:r w:rsidRPr="003356EC">
        <w:rPr>
          <w:rFonts w:ascii="Verdana" w:eastAsia="Calibri" w:hAnsi="Verdana" w:cs="Times New Roman"/>
        </w:rPr>
        <w:t xml:space="preserve"> 2025</w:t>
      </w:r>
    </w:p>
    <w:p w14:paraId="07091F1E" w14:textId="581134E2" w:rsidR="00C009EF" w:rsidRDefault="00E445C3" w:rsidP="00C009EF">
      <w:pPr>
        <w:spacing w:after="0"/>
        <w:rPr>
          <w:rFonts w:ascii="Verdana" w:eastAsia="Calibri" w:hAnsi="Verdana" w:cs="Times New Roman"/>
        </w:rPr>
      </w:pPr>
      <w:r w:rsidRPr="00E445C3">
        <w:rPr>
          <w:rFonts w:ascii="Verdana" w:eastAsia="Calibri" w:hAnsi="Verdana" w:cs="Times New Roman"/>
        </w:rPr>
        <w:drawing>
          <wp:anchor distT="0" distB="0" distL="114300" distR="114300" simplePos="0" relativeHeight="251659776" behindDoc="0" locked="0" layoutInCell="1" allowOverlap="1" wp14:anchorId="52FD5F85" wp14:editId="39FB5E69">
            <wp:simplePos x="0" y="0"/>
            <wp:positionH relativeFrom="column">
              <wp:posOffset>2346739</wp:posOffset>
            </wp:positionH>
            <wp:positionV relativeFrom="paragraph">
              <wp:posOffset>6350</wp:posOffset>
            </wp:positionV>
            <wp:extent cx="3423920" cy="932815"/>
            <wp:effectExtent l="0" t="0" r="5080" b="635"/>
            <wp:wrapSquare wrapText="bothSides"/>
            <wp:docPr id="1716562238"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562238" name="Imagen 1" descr="Interfaz de usuario gráfica, 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423920" cy="932815"/>
                    </a:xfrm>
                    <a:prstGeom prst="rect">
                      <a:avLst/>
                    </a:prstGeom>
                  </pic:spPr>
                </pic:pic>
              </a:graphicData>
            </a:graphic>
            <wp14:sizeRelH relativeFrom="margin">
              <wp14:pctWidth>0</wp14:pctWidth>
            </wp14:sizeRelH>
            <wp14:sizeRelV relativeFrom="margin">
              <wp14:pctHeight>0</wp14:pctHeight>
            </wp14:sizeRelV>
          </wp:anchor>
        </w:drawing>
      </w:r>
    </w:p>
    <w:p w14:paraId="69AE01EE" w14:textId="3491CA78" w:rsidR="00C30B31" w:rsidRPr="00C30B31" w:rsidRDefault="00C30B31" w:rsidP="00C009EF">
      <w:pPr>
        <w:spacing w:after="0"/>
        <w:jc w:val="right"/>
        <w:rPr>
          <w:rFonts w:ascii="Verdana" w:eastAsia="Calibri" w:hAnsi="Verdana" w:cs="Times New Roman"/>
        </w:rPr>
      </w:pPr>
    </w:p>
    <w:bookmarkEnd w:id="0"/>
    <w:p w14:paraId="538CFD2C" w14:textId="6D81D255" w:rsidR="00C30B31" w:rsidRPr="00C30B31" w:rsidRDefault="00C30B31" w:rsidP="00C30B31">
      <w:pPr>
        <w:spacing w:after="0" w:line="240" w:lineRule="auto"/>
        <w:jc w:val="both"/>
        <w:rPr>
          <w:rFonts w:ascii="Verdana" w:eastAsia="Calibri" w:hAnsi="Verdana" w:cs="Arial"/>
          <w:color w:val="000000"/>
        </w:rPr>
      </w:pPr>
      <w:r w:rsidRPr="00C30B31">
        <w:rPr>
          <w:rFonts w:ascii="Verdana" w:eastAsia="Calibri" w:hAnsi="Verdana" w:cs="Arial"/>
          <w:color w:val="000000"/>
        </w:rPr>
        <w:t>Señor</w:t>
      </w:r>
    </w:p>
    <w:p w14:paraId="62D96889" w14:textId="77777777" w:rsidR="00C30B31" w:rsidRPr="00C30B31" w:rsidRDefault="00C30B31" w:rsidP="00C30B31">
      <w:pPr>
        <w:spacing w:after="0" w:line="240" w:lineRule="auto"/>
        <w:jc w:val="both"/>
        <w:rPr>
          <w:rFonts w:ascii="Verdana" w:eastAsia="Calibri" w:hAnsi="Verdana" w:cs="Arial"/>
          <w:b/>
          <w:bCs/>
          <w:color w:val="000000"/>
        </w:rPr>
      </w:pPr>
      <w:r w:rsidRPr="00C30B31">
        <w:rPr>
          <w:rFonts w:ascii="Verdana" w:eastAsia="Calibri" w:hAnsi="Verdana" w:cs="Arial"/>
          <w:b/>
          <w:bCs/>
          <w:color w:val="000000"/>
        </w:rPr>
        <w:t xml:space="preserve">Jader </w:t>
      </w:r>
      <w:proofErr w:type="spellStart"/>
      <w:r w:rsidRPr="00C30B31">
        <w:rPr>
          <w:rFonts w:ascii="Verdana" w:eastAsia="Calibri" w:hAnsi="Verdana" w:cs="Arial"/>
          <w:b/>
          <w:bCs/>
          <w:color w:val="000000"/>
        </w:rPr>
        <w:t>Yordano</w:t>
      </w:r>
      <w:proofErr w:type="spellEnd"/>
      <w:r w:rsidRPr="00C30B31">
        <w:rPr>
          <w:rFonts w:ascii="Verdana" w:eastAsia="Calibri" w:hAnsi="Verdana" w:cs="Arial"/>
          <w:b/>
          <w:bCs/>
          <w:color w:val="000000"/>
        </w:rPr>
        <w:t xml:space="preserve"> Vidal López   </w:t>
      </w:r>
    </w:p>
    <w:p w14:paraId="498C2AA8" w14:textId="77777777" w:rsidR="00C30B31" w:rsidRPr="00C30B31" w:rsidRDefault="00C30B31" w:rsidP="00C30B31">
      <w:pPr>
        <w:spacing w:after="0" w:line="240" w:lineRule="auto"/>
        <w:jc w:val="both"/>
        <w:rPr>
          <w:rFonts w:ascii="Verdana" w:eastAsia="Calibri" w:hAnsi="Verdana" w:cs="Arial"/>
          <w:b/>
          <w:bCs/>
          <w:color w:val="000000"/>
          <w:lang w:eastAsia="es-ES_tradnl"/>
        </w:rPr>
      </w:pPr>
      <w:r w:rsidRPr="00C30B31">
        <w:rPr>
          <w:rFonts w:ascii="Verdana" w:eastAsia="Calibri" w:hAnsi="Verdana" w:cs="Arial"/>
          <w:color w:val="000000"/>
        </w:rPr>
        <w:t xml:space="preserve">Barrancabermeja, Santander </w:t>
      </w:r>
    </w:p>
    <w:p w14:paraId="214D5589" w14:textId="77777777" w:rsidR="00C30B31" w:rsidRDefault="00C30B31" w:rsidP="00C30B31">
      <w:pPr>
        <w:spacing w:after="0" w:line="240" w:lineRule="auto"/>
        <w:rPr>
          <w:rFonts w:ascii="Verdana" w:eastAsia="Calibri" w:hAnsi="Verdana" w:cs="Arial"/>
          <w:b/>
          <w:bCs/>
          <w:color w:val="000000"/>
          <w:lang w:eastAsia="es-ES_tradnl"/>
        </w:rPr>
      </w:pPr>
    </w:p>
    <w:p w14:paraId="6092029F" w14:textId="77777777" w:rsidR="00E445C3" w:rsidRPr="00C30B31" w:rsidRDefault="00E445C3" w:rsidP="00C30B31">
      <w:pPr>
        <w:spacing w:after="0" w:line="240" w:lineRule="auto"/>
        <w:rPr>
          <w:rFonts w:ascii="Verdana" w:eastAsia="Calibri" w:hAnsi="Verdana" w:cs="Arial"/>
          <w:b/>
          <w:bCs/>
          <w:color w:val="000000"/>
          <w:lang w:eastAsia="es-ES_tradnl"/>
        </w:rPr>
      </w:pPr>
    </w:p>
    <w:tbl>
      <w:tblPr>
        <w:tblStyle w:val="Tablaconcuadrcula"/>
        <w:tblW w:w="8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5"/>
        <w:gridCol w:w="6183"/>
      </w:tblGrid>
      <w:tr w:rsidR="00C30B31" w:rsidRPr="00C30B31" w14:paraId="0ECBD23A" w14:textId="77777777" w:rsidTr="00802A03">
        <w:trPr>
          <w:trHeight w:val="910"/>
        </w:trPr>
        <w:tc>
          <w:tcPr>
            <w:tcW w:w="2725" w:type="dxa"/>
          </w:tcPr>
          <w:p w14:paraId="2ED72ED4" w14:textId="77777777" w:rsidR="00C30B31" w:rsidRPr="00C30B31" w:rsidRDefault="00C30B31" w:rsidP="00C30B31">
            <w:pPr>
              <w:jc w:val="both"/>
              <w:rPr>
                <w:rFonts w:ascii="Verdana" w:eastAsia="Calibri" w:hAnsi="Verdana" w:cs="Arial"/>
                <w:b/>
                <w:bCs/>
                <w:color w:val="7030A0"/>
                <w:lang w:eastAsia="es-ES_tradnl"/>
              </w:rPr>
            </w:pPr>
          </w:p>
        </w:tc>
        <w:tc>
          <w:tcPr>
            <w:tcW w:w="6183" w:type="dxa"/>
          </w:tcPr>
          <w:p w14:paraId="102C4E7D" w14:textId="77777777" w:rsidR="00C30B31" w:rsidRPr="00C30B31" w:rsidRDefault="00C30B31" w:rsidP="00C30B31">
            <w:pPr>
              <w:jc w:val="both"/>
              <w:rPr>
                <w:rFonts w:ascii="Verdana" w:eastAsia="Calibri" w:hAnsi="Verdana" w:cs="Arial"/>
                <w:b/>
                <w:bCs/>
                <w:lang w:eastAsia="es-ES"/>
              </w:rPr>
            </w:pPr>
            <w:r w:rsidRPr="00C30B31">
              <w:rPr>
                <w:rFonts w:ascii="Verdana" w:eastAsia="Calibri" w:hAnsi="Verdana" w:cs="Arial"/>
                <w:b/>
                <w:bCs/>
                <w:lang w:eastAsia="es-ES"/>
              </w:rPr>
              <w:t>Concepto C- 488 de 2025</w:t>
            </w:r>
          </w:p>
        </w:tc>
      </w:tr>
      <w:tr w:rsidR="00C30B31" w:rsidRPr="00C30B31" w14:paraId="229D20B5" w14:textId="77777777" w:rsidTr="00802A03">
        <w:trPr>
          <w:trHeight w:val="910"/>
        </w:trPr>
        <w:tc>
          <w:tcPr>
            <w:tcW w:w="2725" w:type="dxa"/>
          </w:tcPr>
          <w:p w14:paraId="3C4CB31E" w14:textId="77777777" w:rsidR="00C30B31" w:rsidRPr="00C30B31" w:rsidRDefault="00C30B31" w:rsidP="00C30B31">
            <w:pPr>
              <w:jc w:val="both"/>
              <w:rPr>
                <w:rFonts w:ascii="Verdana" w:eastAsia="Calibri" w:hAnsi="Verdana" w:cs="Arial"/>
                <w:color w:val="000000"/>
                <w:lang w:eastAsia="es-ES_tradnl"/>
              </w:rPr>
            </w:pPr>
            <w:r w:rsidRPr="00C30B31">
              <w:rPr>
                <w:rFonts w:ascii="Verdana" w:eastAsia="Calibri" w:hAnsi="Verdana" w:cs="Arial"/>
                <w:b/>
                <w:color w:val="000000"/>
                <w:lang w:eastAsia="es-ES_tradnl"/>
              </w:rPr>
              <w:t>Temas:</w:t>
            </w:r>
            <w:r w:rsidRPr="00C30B31">
              <w:rPr>
                <w:rFonts w:ascii="Verdana" w:eastAsia="Calibri" w:hAnsi="Verdana" w:cs="Arial"/>
                <w:color w:val="000000"/>
                <w:lang w:eastAsia="es-ES_tradnl"/>
              </w:rPr>
              <w:t xml:space="preserve">                   </w:t>
            </w:r>
          </w:p>
        </w:tc>
        <w:tc>
          <w:tcPr>
            <w:tcW w:w="6183" w:type="dxa"/>
          </w:tcPr>
          <w:p w14:paraId="08223021" w14:textId="04915BD9" w:rsidR="00C30B31" w:rsidRPr="001540DB" w:rsidRDefault="00C30B31" w:rsidP="001540DB">
            <w:pPr>
              <w:jc w:val="both"/>
              <w:rPr>
                <w:rFonts w:ascii="Verdana" w:eastAsia="Calibri" w:hAnsi="Verdana" w:cs="Arial"/>
                <w:bCs/>
                <w:color w:val="000000"/>
                <w:lang w:val="es-ES_tradnl"/>
              </w:rPr>
            </w:pPr>
            <w:r w:rsidRPr="00C30B31">
              <w:rPr>
                <w:rFonts w:ascii="Verdana" w:eastAsia="Calibri" w:hAnsi="Verdana" w:cs="Arial"/>
                <w:bCs/>
                <w:lang w:eastAsia="es-ES"/>
              </w:rPr>
              <w:t xml:space="preserve">DOCUMENTOS TIPO – Interventoría de infraestructura de transporte – Versión 3 / </w:t>
            </w:r>
            <w:r w:rsidRPr="00C30B31">
              <w:rPr>
                <w:rFonts w:ascii="Verdana" w:eastAsia="Calibri" w:hAnsi="Verdana" w:cs="Arial"/>
                <w:bCs/>
                <w:color w:val="000000"/>
                <w:lang w:val="es-ES_tradnl"/>
              </w:rPr>
              <w:t xml:space="preserve">DOCUMENTOS TIPO – Interventoría de obra pública de infraestructura de transporte – </w:t>
            </w:r>
            <w:proofErr w:type="spellStart"/>
            <w:r w:rsidRPr="00C30B31">
              <w:rPr>
                <w:rFonts w:ascii="Verdana" w:eastAsia="Calibri" w:hAnsi="Verdana" w:cs="Arial"/>
                <w:bCs/>
                <w:color w:val="000000"/>
                <w:lang w:val="es-ES_tradnl"/>
              </w:rPr>
              <w:t>Subsanabilidad</w:t>
            </w:r>
            <w:proofErr w:type="spellEnd"/>
            <w:r w:rsidRPr="00C30B31">
              <w:rPr>
                <w:rFonts w:ascii="Verdana" w:eastAsia="Calibri" w:hAnsi="Verdana" w:cs="Arial"/>
                <w:bCs/>
                <w:color w:val="000000"/>
                <w:lang w:val="es-ES_tradnl"/>
              </w:rPr>
              <w:t xml:space="preserve"> y aclaración de la oferta / DOCUMENTOS TIPO – </w:t>
            </w:r>
            <w:r w:rsidRPr="00C30B31">
              <w:rPr>
                <w:rFonts w:ascii="Verdana" w:eastAsia="Aptos" w:hAnsi="Verdana" w:cs="Arial"/>
                <w:bCs/>
                <w:color w:val="000000"/>
                <w:lang w:val="es-ES"/>
              </w:rPr>
              <w:t xml:space="preserve">Interventoría </w:t>
            </w:r>
            <w:r w:rsidRPr="00C30B31">
              <w:rPr>
                <w:rFonts w:ascii="Verdana" w:eastAsia="Calibri" w:hAnsi="Verdana" w:cs="Arial"/>
                <w:bCs/>
                <w:color w:val="000000"/>
                <w:lang w:val="es-ES_tradnl"/>
              </w:rPr>
              <w:t xml:space="preserve">de obra pública de infraestructura de transporte – Asignación de puntaje por la experiencia del proponente / DOCUMENTOS TIPO – </w:t>
            </w:r>
            <w:r w:rsidRPr="00C30B31">
              <w:rPr>
                <w:rFonts w:ascii="Verdana" w:eastAsia="Aptos" w:hAnsi="Verdana" w:cs="Arial"/>
                <w:bCs/>
                <w:color w:val="000000"/>
                <w:lang w:val="es-ES"/>
              </w:rPr>
              <w:t xml:space="preserve">Interventoría </w:t>
            </w:r>
            <w:r w:rsidRPr="00C30B31">
              <w:rPr>
                <w:rFonts w:ascii="Verdana" w:eastAsia="Calibri" w:hAnsi="Verdana" w:cs="Arial"/>
                <w:bCs/>
                <w:color w:val="000000"/>
                <w:lang w:val="es-ES_tradnl"/>
              </w:rPr>
              <w:t>de obra pública de infraestructura de transporte – Asignación de puntaje por la experiencia del proponente – Numeral 4.1 – Literal C – Alcance</w:t>
            </w:r>
          </w:p>
        </w:tc>
      </w:tr>
      <w:tr w:rsidR="00C30B31" w:rsidRPr="00C30B31" w14:paraId="6FCF9D57" w14:textId="77777777" w:rsidTr="00802A03">
        <w:trPr>
          <w:trHeight w:val="556"/>
        </w:trPr>
        <w:tc>
          <w:tcPr>
            <w:tcW w:w="2725" w:type="dxa"/>
          </w:tcPr>
          <w:p w14:paraId="00FC7482" w14:textId="77777777" w:rsidR="00C30B31" w:rsidRPr="00C30B31" w:rsidRDefault="00C30B31" w:rsidP="00C30B31">
            <w:pPr>
              <w:jc w:val="both"/>
              <w:rPr>
                <w:rFonts w:ascii="Verdana" w:eastAsia="Calibri" w:hAnsi="Verdana" w:cs="Arial"/>
                <w:lang w:eastAsia="es-ES_tradnl"/>
              </w:rPr>
            </w:pPr>
            <w:r w:rsidRPr="00C30B31">
              <w:rPr>
                <w:rFonts w:ascii="Verdana" w:eastAsia="Calibri" w:hAnsi="Verdana" w:cs="Arial"/>
                <w:lang w:eastAsia="es-ES_tradnl"/>
              </w:rPr>
              <w:t xml:space="preserve">Radicación:               </w:t>
            </w:r>
          </w:p>
        </w:tc>
        <w:tc>
          <w:tcPr>
            <w:tcW w:w="6183" w:type="dxa"/>
          </w:tcPr>
          <w:p w14:paraId="700E4DE7" w14:textId="77777777" w:rsidR="00C30B31" w:rsidRPr="00C30B31" w:rsidRDefault="00C30B31" w:rsidP="00C30B31">
            <w:pPr>
              <w:jc w:val="both"/>
              <w:rPr>
                <w:rFonts w:ascii="Verdana" w:eastAsia="Calibri" w:hAnsi="Verdana" w:cs="Arial"/>
                <w:lang w:eastAsia="es-ES_tradnl"/>
              </w:rPr>
            </w:pPr>
            <w:r w:rsidRPr="00C30B31">
              <w:rPr>
                <w:rFonts w:ascii="Verdana" w:eastAsia="Calibri" w:hAnsi="Verdana" w:cs="Arial"/>
                <w:lang w:eastAsia="es-ES_tradnl"/>
              </w:rPr>
              <w:t>Respuesta a consulta con radicado No. P20250422003773</w:t>
            </w:r>
          </w:p>
        </w:tc>
      </w:tr>
    </w:tbl>
    <w:p w14:paraId="0AD3F2BE" w14:textId="77777777" w:rsidR="00C30B31" w:rsidRPr="00C30B31" w:rsidRDefault="00C30B31" w:rsidP="00C30B31">
      <w:pPr>
        <w:spacing w:after="0" w:line="240" w:lineRule="auto"/>
        <w:jc w:val="both"/>
        <w:rPr>
          <w:rFonts w:ascii="Verdana" w:eastAsia="Calibri" w:hAnsi="Verdana" w:cs="Arial"/>
          <w:lang w:eastAsia="es-ES_tradnl"/>
        </w:rPr>
      </w:pPr>
    </w:p>
    <w:p w14:paraId="0014184D" w14:textId="77777777" w:rsidR="00C30B31" w:rsidRPr="00C30B31" w:rsidRDefault="00C30B31" w:rsidP="00C30B31">
      <w:pPr>
        <w:spacing w:after="0" w:line="276" w:lineRule="auto"/>
        <w:jc w:val="both"/>
        <w:rPr>
          <w:rFonts w:ascii="Verdana" w:eastAsia="Calibri" w:hAnsi="Verdana" w:cs="Arial"/>
          <w:color w:val="000000"/>
          <w:lang w:eastAsia="es-ES"/>
        </w:rPr>
      </w:pPr>
      <w:r w:rsidRPr="00C30B31">
        <w:rPr>
          <w:rFonts w:ascii="Verdana" w:eastAsia="Calibri" w:hAnsi="Verdana" w:cs="Arial"/>
          <w:color w:val="000000"/>
          <w:lang w:eastAsia="es-ES"/>
        </w:rPr>
        <w:t xml:space="preserve">Estimado señor Vida López: </w:t>
      </w:r>
    </w:p>
    <w:p w14:paraId="1DF4FB12" w14:textId="77777777" w:rsidR="00C30B31" w:rsidRPr="00C30B31" w:rsidRDefault="00C30B31" w:rsidP="00C30B31">
      <w:pPr>
        <w:tabs>
          <w:tab w:val="left" w:pos="3768"/>
        </w:tabs>
        <w:spacing w:after="0" w:line="276" w:lineRule="auto"/>
        <w:jc w:val="both"/>
        <w:rPr>
          <w:rFonts w:ascii="Verdana" w:eastAsia="Calibri" w:hAnsi="Verdana" w:cs="Arial"/>
          <w:color w:val="000000"/>
          <w:lang w:eastAsia="es-ES"/>
        </w:rPr>
      </w:pPr>
      <w:r w:rsidRPr="00C30B31">
        <w:rPr>
          <w:rFonts w:ascii="Verdana" w:eastAsia="Calibri" w:hAnsi="Verdana" w:cs="Arial"/>
          <w:color w:val="000000"/>
          <w:lang w:eastAsia="es-ES"/>
        </w:rPr>
        <w:tab/>
      </w:r>
    </w:p>
    <w:p w14:paraId="5A50A4C0" w14:textId="77777777" w:rsidR="00C30B31" w:rsidRPr="00C30B31" w:rsidRDefault="00C30B31" w:rsidP="00C30B31">
      <w:pPr>
        <w:spacing w:after="0" w:line="276" w:lineRule="auto"/>
        <w:jc w:val="both"/>
        <w:rPr>
          <w:rFonts w:ascii="Verdana" w:eastAsia="Calibri" w:hAnsi="Verdana" w:cs="Arial"/>
          <w:color w:val="000000"/>
          <w:lang w:eastAsia="es-ES"/>
        </w:rPr>
      </w:pPr>
      <w:r w:rsidRPr="00C30B31">
        <w:rPr>
          <w:rFonts w:ascii="Verdana" w:eastAsia="Calibri" w:hAnsi="Verdana" w:cs="Arial"/>
          <w:color w:val="000000"/>
          <w:lang w:eastAsia="es-ES"/>
        </w:rPr>
        <w:t>En ejercicio de la competencia otorgada por los artículos 3, numeral 5º, y 11, numeral 8º, del Decreto Ley 4170 de 2011,</w:t>
      </w:r>
      <w:r w:rsidRPr="00C30B31">
        <w:rPr>
          <w:rFonts w:ascii="Verdana" w:eastAsia="Arial MT" w:hAnsi="Verdana" w:cs="Arial MT"/>
          <w:lang w:eastAsia="es-ES"/>
        </w:rPr>
        <w:t xml:space="preserve"> </w:t>
      </w:r>
      <w:r w:rsidRPr="00C30B31">
        <w:rPr>
          <w:rFonts w:ascii="Verdana" w:eastAsia="Calibri" w:hAnsi="Verdana" w:cs="Arial"/>
        </w:rPr>
        <w:t xml:space="preserve">así como lo establecido en el artículo 4 de la Resolución 1707 de 2018 expedida por esta Entidad, </w:t>
      </w:r>
      <w:r w:rsidRPr="00C30B31">
        <w:rPr>
          <w:rFonts w:ascii="Verdana" w:eastAsia="Calibri" w:hAnsi="Verdana" w:cs="Arial"/>
          <w:color w:val="000000"/>
          <w:lang w:eastAsia="es-ES"/>
        </w:rPr>
        <w:t>la Agencia Nacional de Contratación Pública – Colombia Compra Eficiente– responde su solicitud de consulta de fecha 21 de abril de 2025, en la cual, indica lo siguiente:</w:t>
      </w:r>
    </w:p>
    <w:p w14:paraId="62CD3E9A" w14:textId="77777777" w:rsidR="00C30B31" w:rsidRPr="00C30B31" w:rsidRDefault="00C30B31" w:rsidP="00C30B31">
      <w:pPr>
        <w:spacing w:after="0" w:line="240" w:lineRule="auto"/>
        <w:ind w:left="709" w:right="709"/>
        <w:jc w:val="both"/>
        <w:rPr>
          <w:rFonts w:ascii="Verdana" w:eastAsia="Calibri" w:hAnsi="Verdana" w:cs="Arial"/>
          <w:color w:val="000000"/>
          <w:sz w:val="21"/>
          <w:szCs w:val="21"/>
          <w:lang w:eastAsia="es-ES"/>
        </w:rPr>
      </w:pPr>
    </w:p>
    <w:p w14:paraId="76E78683" w14:textId="77777777" w:rsidR="00C30B31" w:rsidRPr="00C30B31" w:rsidRDefault="00C30B31" w:rsidP="00C30B31">
      <w:pPr>
        <w:spacing w:after="120" w:line="240" w:lineRule="auto"/>
        <w:ind w:left="709" w:right="709"/>
        <w:jc w:val="both"/>
        <w:rPr>
          <w:rFonts w:ascii="Verdana" w:eastAsia="Calibri" w:hAnsi="Verdana" w:cs="Arial"/>
          <w:color w:val="000000"/>
          <w:sz w:val="21"/>
          <w:szCs w:val="21"/>
          <w:lang w:eastAsia="es-ES"/>
        </w:rPr>
      </w:pPr>
      <w:r w:rsidRPr="00C30B31">
        <w:rPr>
          <w:rFonts w:ascii="Verdana" w:eastAsia="Calibri" w:hAnsi="Verdana" w:cs="Arial"/>
          <w:color w:val="000000"/>
          <w:sz w:val="21"/>
          <w:szCs w:val="21"/>
          <w:lang w:eastAsia="es-ES"/>
        </w:rPr>
        <w:t xml:space="preserve">“¿La TRM queda fijada con la finalización del primer traslado del informe de evaluación, o puede modificarse si la entidad expide un segundo o tercer informe con ajustes? </w:t>
      </w:r>
    </w:p>
    <w:p w14:paraId="2B20575D" w14:textId="77777777" w:rsidR="00C30B31" w:rsidRPr="00C30B31" w:rsidRDefault="00C30B31" w:rsidP="00C30B31">
      <w:pPr>
        <w:spacing w:after="120" w:line="240" w:lineRule="auto"/>
        <w:ind w:left="709" w:right="709"/>
        <w:jc w:val="both"/>
        <w:rPr>
          <w:rFonts w:ascii="Verdana" w:eastAsia="Calibri" w:hAnsi="Verdana" w:cs="Arial"/>
          <w:color w:val="000000"/>
          <w:sz w:val="21"/>
          <w:szCs w:val="21"/>
          <w:lang w:eastAsia="es-ES"/>
        </w:rPr>
      </w:pPr>
      <w:r w:rsidRPr="00C30B31">
        <w:rPr>
          <w:rFonts w:ascii="Verdana" w:eastAsia="Calibri" w:hAnsi="Verdana" w:cs="Arial"/>
          <w:color w:val="000000"/>
          <w:sz w:val="21"/>
          <w:szCs w:val="21"/>
          <w:lang w:eastAsia="es-ES"/>
        </w:rPr>
        <w:t xml:space="preserve">¿Incluso si hay nuevos requerimientos por parte de la entidad o de los oferentes, se mantiene la TRM inicialmente determinada? </w:t>
      </w:r>
    </w:p>
    <w:p w14:paraId="12C4435C" w14:textId="77777777" w:rsidR="00C30B31" w:rsidRPr="00C30B31" w:rsidRDefault="00C30B31" w:rsidP="00C30B31">
      <w:pPr>
        <w:spacing w:after="120" w:line="240" w:lineRule="auto"/>
        <w:ind w:left="709" w:right="709"/>
        <w:jc w:val="both"/>
        <w:rPr>
          <w:rFonts w:ascii="Verdana" w:eastAsia="Calibri" w:hAnsi="Verdana" w:cs="Arial"/>
          <w:color w:val="000000"/>
          <w:sz w:val="21"/>
          <w:szCs w:val="21"/>
          <w:lang w:eastAsia="es-ES"/>
        </w:rPr>
      </w:pPr>
      <w:r w:rsidRPr="00C30B31">
        <w:rPr>
          <w:rFonts w:ascii="Verdana" w:eastAsia="Calibri" w:hAnsi="Verdana" w:cs="Arial"/>
          <w:color w:val="000000"/>
          <w:sz w:val="21"/>
          <w:szCs w:val="21"/>
          <w:lang w:eastAsia="es-ES"/>
        </w:rPr>
        <w:t>En otras palabras, ¿la TRM aplicable al proceso se define una sola vez, con base en el primer informe de evaluación trasladado, sin alterarse por versiones posteriores del mismo?</w:t>
      </w:r>
    </w:p>
    <w:p w14:paraId="0E58D939" w14:textId="77777777" w:rsidR="00C30B31" w:rsidRPr="00C30B31" w:rsidRDefault="00C30B31" w:rsidP="00C30B31">
      <w:pPr>
        <w:spacing w:after="120" w:line="240" w:lineRule="auto"/>
        <w:ind w:left="709" w:right="709"/>
        <w:jc w:val="both"/>
        <w:rPr>
          <w:rFonts w:ascii="Verdana" w:eastAsia="Calibri" w:hAnsi="Verdana" w:cs="Arial"/>
          <w:color w:val="000000"/>
          <w:sz w:val="21"/>
          <w:szCs w:val="21"/>
          <w:lang w:eastAsia="es-ES"/>
        </w:rPr>
      </w:pPr>
      <w:r w:rsidRPr="00C30B31">
        <w:rPr>
          <w:rFonts w:ascii="Verdana" w:eastAsia="Calibri" w:hAnsi="Verdana" w:cs="Arial"/>
          <w:color w:val="000000"/>
          <w:sz w:val="21"/>
          <w:szCs w:val="21"/>
          <w:lang w:eastAsia="es-ES"/>
        </w:rPr>
        <w:lastRenderedPageBreak/>
        <w:t>(…)</w:t>
      </w:r>
    </w:p>
    <w:p w14:paraId="0192070C" w14:textId="77777777" w:rsidR="00C30B31" w:rsidRPr="00C30B31" w:rsidRDefault="00C30B31" w:rsidP="00C30B31">
      <w:pPr>
        <w:spacing w:after="120" w:line="240" w:lineRule="auto"/>
        <w:ind w:left="709" w:right="709"/>
        <w:jc w:val="both"/>
        <w:rPr>
          <w:rFonts w:ascii="Verdana" w:eastAsia="Calibri" w:hAnsi="Verdana" w:cs="Arial"/>
          <w:color w:val="000000"/>
          <w:sz w:val="21"/>
          <w:szCs w:val="21"/>
          <w:lang w:eastAsia="es-ES"/>
        </w:rPr>
      </w:pPr>
      <w:r w:rsidRPr="00C30B31">
        <w:rPr>
          <w:rFonts w:ascii="Verdana" w:eastAsia="Calibri" w:hAnsi="Verdana" w:cs="Arial"/>
          <w:color w:val="000000"/>
          <w:sz w:val="21"/>
          <w:szCs w:val="21"/>
          <w:lang w:eastAsia="es-ES"/>
        </w:rPr>
        <w:t xml:space="preserve">De acuerdo con lo establecido en el Documento Tipo v3, la evaluación económica puede utilizar diversas medidas estadísticas para ponderar las ofertas, como la media aritmética alta, la media aritmética simple, o incluso la media geométrica. En ese contexto, les solicito: </w:t>
      </w:r>
    </w:p>
    <w:p w14:paraId="5A2518B2" w14:textId="77777777" w:rsidR="00C30B31" w:rsidRPr="00C30B31" w:rsidRDefault="00C30B31" w:rsidP="00C30B31">
      <w:pPr>
        <w:spacing w:after="120" w:line="240" w:lineRule="auto"/>
        <w:ind w:left="709" w:right="709"/>
        <w:jc w:val="both"/>
        <w:rPr>
          <w:rFonts w:ascii="Verdana" w:eastAsia="Calibri" w:hAnsi="Verdana" w:cs="Arial"/>
          <w:color w:val="000000"/>
          <w:sz w:val="21"/>
          <w:szCs w:val="21"/>
          <w:lang w:eastAsia="es-ES"/>
        </w:rPr>
      </w:pPr>
      <w:r w:rsidRPr="00C30B31">
        <w:rPr>
          <w:rFonts w:ascii="Verdana" w:eastAsia="Calibri" w:hAnsi="Verdana" w:cs="Arial"/>
          <w:color w:val="000000"/>
          <w:sz w:val="21"/>
          <w:szCs w:val="21"/>
          <w:lang w:eastAsia="es-ES"/>
        </w:rPr>
        <w:t>¿Cuáles son las medidas de tendencia central oficialmente habilitadas en la versión 3?</w:t>
      </w:r>
    </w:p>
    <w:p w14:paraId="5C314D7D" w14:textId="77777777" w:rsidR="00C30B31" w:rsidRPr="00C30B31" w:rsidRDefault="00C30B31" w:rsidP="00C30B31">
      <w:pPr>
        <w:spacing w:after="120" w:line="240" w:lineRule="auto"/>
        <w:ind w:left="709" w:right="709"/>
        <w:jc w:val="both"/>
        <w:rPr>
          <w:rFonts w:ascii="Verdana" w:eastAsia="Calibri" w:hAnsi="Verdana" w:cs="Arial"/>
          <w:color w:val="000000"/>
          <w:sz w:val="21"/>
          <w:szCs w:val="21"/>
          <w:lang w:eastAsia="es-ES"/>
        </w:rPr>
      </w:pPr>
      <w:r w:rsidRPr="00C30B31">
        <w:rPr>
          <w:rFonts w:ascii="Verdana" w:eastAsia="Calibri" w:hAnsi="Verdana" w:cs="Arial"/>
          <w:color w:val="000000"/>
          <w:sz w:val="21"/>
          <w:szCs w:val="21"/>
          <w:lang w:eastAsia="es-ES"/>
        </w:rPr>
        <w:t xml:space="preserve">¿Es correcto afirmar que actualmente sí se permite subsanar documentos relacionados con experiencia, personal clave, hojas de vida o certificaciones, siempre que hayan sido aportados inicialmente, aunque con errores menores o falta de firmas? </w:t>
      </w:r>
    </w:p>
    <w:p w14:paraId="6A769E22" w14:textId="77777777" w:rsidR="00C30B31" w:rsidRPr="00C30B31" w:rsidRDefault="00C30B31" w:rsidP="00C30B31">
      <w:pPr>
        <w:spacing w:after="120" w:line="240" w:lineRule="auto"/>
        <w:ind w:left="709" w:right="709"/>
        <w:jc w:val="both"/>
        <w:rPr>
          <w:rFonts w:ascii="Verdana" w:eastAsia="Calibri" w:hAnsi="Verdana" w:cs="Arial"/>
          <w:color w:val="000000"/>
          <w:sz w:val="21"/>
          <w:szCs w:val="21"/>
          <w:lang w:eastAsia="es-ES"/>
        </w:rPr>
      </w:pPr>
      <w:r w:rsidRPr="00C30B31">
        <w:rPr>
          <w:rFonts w:ascii="Verdana" w:eastAsia="Calibri" w:hAnsi="Verdana" w:cs="Arial"/>
          <w:color w:val="000000"/>
          <w:sz w:val="21"/>
          <w:szCs w:val="21"/>
          <w:lang w:eastAsia="es-ES"/>
        </w:rPr>
        <w:t xml:space="preserve">¿Puede la entidad requerir al proponente que aclare o complete un documento ya entregado, sin que ello implique pérdida de puntaje o exclusión del proceso? </w:t>
      </w:r>
    </w:p>
    <w:p w14:paraId="639D6381" w14:textId="77777777" w:rsidR="00C30B31" w:rsidRPr="00C30B31" w:rsidRDefault="00C30B31" w:rsidP="00C30B31">
      <w:pPr>
        <w:spacing w:after="0" w:line="240" w:lineRule="auto"/>
        <w:ind w:left="709" w:right="709"/>
        <w:jc w:val="both"/>
        <w:rPr>
          <w:rFonts w:ascii="Verdana" w:eastAsia="Calibri" w:hAnsi="Verdana" w:cs="Arial"/>
          <w:color w:val="000000"/>
          <w:sz w:val="21"/>
          <w:szCs w:val="21"/>
          <w:lang w:eastAsia="es-ES"/>
        </w:rPr>
      </w:pPr>
      <w:r w:rsidRPr="00C30B31">
        <w:rPr>
          <w:rFonts w:ascii="Verdana" w:eastAsia="Calibri" w:hAnsi="Verdana" w:cs="Arial"/>
          <w:color w:val="000000"/>
          <w:sz w:val="21"/>
          <w:szCs w:val="21"/>
          <w:lang w:eastAsia="es-ES"/>
        </w:rPr>
        <w:t>¿Se encuentra esto formalmente soportado en la versión 3 del Documento Tipo o en alguna guía complementaria?”.</w:t>
      </w:r>
    </w:p>
    <w:p w14:paraId="27FF2DF2" w14:textId="77777777" w:rsidR="00C30B31" w:rsidRPr="00C30B31" w:rsidRDefault="00C30B31" w:rsidP="00C30B31">
      <w:pPr>
        <w:tabs>
          <w:tab w:val="left" w:pos="142"/>
          <w:tab w:val="left" w:pos="284"/>
        </w:tabs>
        <w:spacing w:after="0" w:line="276" w:lineRule="auto"/>
        <w:jc w:val="both"/>
        <w:rPr>
          <w:rFonts w:ascii="Verdana" w:eastAsia="Century Gothic" w:hAnsi="Verdana" w:cs="Century Gothic"/>
          <w:b/>
          <w:bCs/>
        </w:rPr>
      </w:pPr>
    </w:p>
    <w:p w14:paraId="03926DD7" w14:textId="77777777" w:rsidR="00C30B31" w:rsidRPr="00C30B31" w:rsidRDefault="00C30B31" w:rsidP="00C30B31">
      <w:pPr>
        <w:spacing w:after="120" w:line="276" w:lineRule="auto"/>
        <w:ind w:firstLine="709"/>
        <w:jc w:val="both"/>
        <w:rPr>
          <w:rFonts w:ascii="Verdana" w:eastAsia="Calibri" w:hAnsi="Verdana" w:cs="Arial"/>
          <w:color w:val="000000"/>
          <w:szCs w:val="24"/>
          <w:lang w:eastAsia="es-ES_tradnl"/>
        </w:rPr>
      </w:pPr>
      <w:r w:rsidRPr="00C30B31">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30B31">
        <w:rPr>
          <w:rFonts w:ascii="Verdana" w:eastAsia="Calibri" w:hAnsi="Verdana" w:cs="Arial"/>
          <w:color w:val="000000"/>
          <w:szCs w:val="24"/>
          <w:lang w:eastAsia="es-ES_tradnl"/>
        </w:rPr>
        <w:tab/>
      </w:r>
    </w:p>
    <w:p w14:paraId="238C8B2D" w14:textId="77777777" w:rsidR="00C30B31" w:rsidRPr="00C30B31" w:rsidRDefault="00C30B31" w:rsidP="00C30B31">
      <w:pPr>
        <w:spacing w:after="0" w:line="276" w:lineRule="auto"/>
        <w:ind w:firstLine="709"/>
        <w:jc w:val="both"/>
        <w:rPr>
          <w:rFonts w:ascii="Verdana" w:eastAsia="Calibri" w:hAnsi="Verdana" w:cs="Arial"/>
          <w:color w:val="000000"/>
          <w:lang w:eastAsia="es-ES"/>
        </w:rPr>
      </w:pPr>
      <w:r w:rsidRPr="00C30B31">
        <w:rPr>
          <w:rFonts w:ascii="Verdana" w:eastAsia="Calibri" w:hAnsi="Verdana" w:cs="Arial"/>
          <w:color w:val="000000"/>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1C40E6B" w14:textId="77777777" w:rsidR="00C30B31" w:rsidRPr="00C30B31" w:rsidRDefault="00C30B31" w:rsidP="00C30B31">
      <w:pPr>
        <w:spacing w:after="0" w:line="276" w:lineRule="auto"/>
        <w:ind w:firstLine="709"/>
        <w:jc w:val="both"/>
        <w:rPr>
          <w:rFonts w:ascii="Verdana" w:eastAsia="Calibri" w:hAnsi="Verdana" w:cs="Arial"/>
          <w:color w:val="000000"/>
          <w:lang w:eastAsia="es-ES"/>
        </w:rPr>
      </w:pPr>
    </w:p>
    <w:p w14:paraId="396A0D3E" w14:textId="77777777" w:rsidR="00C30B31" w:rsidRPr="00C30B31" w:rsidRDefault="00C30B31" w:rsidP="00C30B31">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C30B31">
        <w:rPr>
          <w:rFonts w:ascii="Verdana" w:eastAsia="Century Gothic" w:hAnsi="Verdana" w:cs="Century Gothic"/>
          <w:b/>
          <w:bCs/>
        </w:rPr>
        <w:t>Problema planteado:</w:t>
      </w:r>
    </w:p>
    <w:p w14:paraId="348ACC5B" w14:textId="77777777" w:rsidR="00C30B31" w:rsidRPr="00C30B31" w:rsidRDefault="00C30B31" w:rsidP="00C30B31">
      <w:pPr>
        <w:tabs>
          <w:tab w:val="left" w:pos="426"/>
        </w:tabs>
        <w:spacing w:after="0" w:line="276" w:lineRule="auto"/>
        <w:jc w:val="both"/>
        <w:rPr>
          <w:rFonts w:ascii="Verdana" w:eastAsia="Century Gothic" w:hAnsi="Verdana" w:cs="Century Gothic"/>
        </w:rPr>
      </w:pPr>
    </w:p>
    <w:p w14:paraId="4BCE87D0" w14:textId="168B9476" w:rsidR="00C30B31" w:rsidRPr="001540DB" w:rsidRDefault="00C30B31" w:rsidP="00C30B31">
      <w:pPr>
        <w:spacing w:after="0" w:line="278" w:lineRule="auto"/>
        <w:jc w:val="both"/>
        <w:rPr>
          <w:rFonts w:ascii="Verdana" w:eastAsia="Aptos" w:hAnsi="Verdana" w:cs="Times New Roman"/>
          <w:kern w:val="2"/>
          <w14:ligatures w14:val="standardContextual"/>
        </w:rPr>
      </w:pPr>
      <w:r w:rsidRPr="001540DB">
        <w:rPr>
          <w:rFonts w:ascii="Verdana" w:eastAsia="Century Gothic" w:hAnsi="Verdana" w:cs="Century Gothic"/>
        </w:rPr>
        <w:lastRenderedPageBreak/>
        <w:t xml:space="preserve">De acuerdo con el contenido de su solicitud, esta Agencia resolverá los siguientes problemas jurídicos: i) </w:t>
      </w:r>
      <w:r w:rsidRPr="001540DB">
        <w:rPr>
          <w:rFonts w:ascii="Verdana" w:eastAsia="Century Gothic" w:hAnsi="Verdana" w:cs="Century Gothic"/>
          <w:kern w:val="2"/>
          <w14:ligatures w14:val="standardContextual"/>
        </w:rPr>
        <w:t xml:space="preserve">¿Cuál es el alcance de </w:t>
      </w:r>
      <w:proofErr w:type="spellStart"/>
      <w:r w:rsidRPr="001540DB">
        <w:rPr>
          <w:rFonts w:ascii="Verdana" w:eastAsia="Century Gothic" w:hAnsi="Verdana" w:cs="Century Gothic"/>
          <w:kern w:val="2"/>
          <w14:ligatures w14:val="standardContextual"/>
        </w:rPr>
        <w:t>subsanabilidad</w:t>
      </w:r>
      <w:proofErr w:type="spellEnd"/>
      <w:r w:rsidRPr="001540DB">
        <w:rPr>
          <w:rFonts w:ascii="Verdana" w:eastAsia="Century Gothic" w:hAnsi="Verdana" w:cs="Century Gothic"/>
          <w:kern w:val="2"/>
          <w14:ligatures w14:val="standardContextual"/>
        </w:rPr>
        <w:t xml:space="preserve"> en los procedimientos de selección que utilicen los documentos tipo de interventoría de obra pública de infraestructura de transporte – versión 3? </w:t>
      </w:r>
      <w:proofErr w:type="spellStart"/>
      <w:r w:rsidRPr="001540DB">
        <w:rPr>
          <w:rFonts w:ascii="Verdana" w:eastAsia="Century Gothic" w:hAnsi="Verdana" w:cs="Century Gothic"/>
          <w:kern w:val="2"/>
          <w14:ligatures w14:val="standardContextual"/>
        </w:rPr>
        <w:t>ii</w:t>
      </w:r>
      <w:proofErr w:type="spellEnd"/>
      <w:r w:rsidRPr="001540DB">
        <w:rPr>
          <w:rFonts w:ascii="Verdana" w:eastAsia="Century Gothic" w:hAnsi="Verdana" w:cs="Century Gothic"/>
          <w:kern w:val="2"/>
          <w14:ligatures w14:val="standardContextual"/>
        </w:rPr>
        <w:t xml:space="preserve">) </w:t>
      </w:r>
      <w:r w:rsidR="008154D4" w:rsidRPr="001540DB">
        <w:rPr>
          <w:rFonts w:ascii="Verdana" w:eastAsia="Aptos" w:hAnsi="Verdana" w:cs="Times New Roman"/>
          <w:kern w:val="2"/>
          <w14:ligatures w14:val="standardContextual"/>
        </w:rPr>
        <w:t>¿Cuál es el alcance de los incisos dos (2) y tres (3) del literal C del numeral 4</w:t>
      </w:r>
      <w:r w:rsidR="008154D4">
        <w:rPr>
          <w:rFonts w:ascii="Verdana" w:eastAsia="Aptos" w:hAnsi="Verdana" w:cs="Times New Roman"/>
          <w:kern w:val="2"/>
          <w14:ligatures w14:val="standardContextual"/>
        </w:rPr>
        <w:t>.</w:t>
      </w:r>
      <w:r w:rsidRPr="001540DB">
        <w:rPr>
          <w:rFonts w:ascii="Verdana" w:eastAsia="Aptos" w:hAnsi="Verdana" w:cs="Times New Roman"/>
          <w:kern w:val="2"/>
          <w14:ligatures w14:val="standardContextual"/>
        </w:rPr>
        <w:t>1</w:t>
      </w:r>
      <w:r w:rsidR="008154D4">
        <w:rPr>
          <w:rFonts w:ascii="Verdana" w:eastAsia="Aptos" w:hAnsi="Verdana" w:cs="Times New Roman"/>
          <w:kern w:val="2"/>
          <w14:ligatures w14:val="standardContextual"/>
        </w:rPr>
        <w:t>?</w:t>
      </w:r>
      <w:r w:rsidRPr="001540DB">
        <w:rPr>
          <w:rFonts w:ascii="Verdana" w:eastAsia="Aptos" w:hAnsi="Verdana" w:cs="Times New Roman"/>
          <w:kern w:val="2"/>
          <w14:ligatures w14:val="standardContextual"/>
        </w:rPr>
        <w:t xml:space="preserve"> de los documentos tipo de interventoría de obra pública de infraestructura de transporte – versión 3? Y </w:t>
      </w:r>
      <w:proofErr w:type="spellStart"/>
      <w:r w:rsidRPr="001540DB">
        <w:rPr>
          <w:rFonts w:ascii="Verdana" w:eastAsia="Aptos" w:hAnsi="Verdana" w:cs="Times New Roman"/>
          <w:kern w:val="2"/>
          <w14:ligatures w14:val="standardContextual"/>
        </w:rPr>
        <w:t>iii</w:t>
      </w:r>
      <w:proofErr w:type="spellEnd"/>
      <w:r w:rsidRPr="001540DB">
        <w:rPr>
          <w:rFonts w:ascii="Verdana" w:eastAsia="Aptos" w:hAnsi="Verdana" w:cs="Times New Roman"/>
          <w:kern w:val="2"/>
          <w14:ligatures w14:val="standardContextual"/>
        </w:rPr>
        <w:t>) ¿Cuáles son las medidas económicas de tendencia central oficialmente habilitadas en la versión 3 de los documentos tipo de interventoría de obra pública de infraestructura de transporte?</w:t>
      </w:r>
    </w:p>
    <w:p w14:paraId="4D3D1EB6" w14:textId="77777777" w:rsidR="00C30B31" w:rsidRPr="00C30B31" w:rsidRDefault="00C30B31" w:rsidP="00C30B31">
      <w:pPr>
        <w:spacing w:after="0" w:line="276" w:lineRule="auto"/>
        <w:jc w:val="both"/>
        <w:rPr>
          <w:rFonts w:ascii="Verdana" w:eastAsia="Calibri" w:hAnsi="Verdana" w:cs="Arial"/>
          <w:color w:val="7030A0"/>
        </w:rPr>
      </w:pPr>
    </w:p>
    <w:p w14:paraId="3CD01864" w14:textId="77777777" w:rsidR="00C30B31" w:rsidRPr="00C30B31" w:rsidRDefault="00C30B31" w:rsidP="00C30B31">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C30B31">
        <w:rPr>
          <w:rFonts w:ascii="Verdana" w:eastAsia="Century Gothic" w:hAnsi="Verdana" w:cs="Century Gothic"/>
          <w:b/>
          <w:bCs/>
        </w:rPr>
        <w:t>Respuesta:</w:t>
      </w:r>
    </w:p>
    <w:p w14:paraId="164479DD" w14:textId="77777777" w:rsidR="00C30B31" w:rsidRPr="00C30B31" w:rsidRDefault="00C30B31" w:rsidP="00C30B31">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30B31" w:rsidRPr="00C30B31" w14:paraId="785246D6" w14:textId="77777777" w:rsidTr="32E0163A">
        <w:tc>
          <w:tcPr>
            <w:tcW w:w="8828" w:type="dxa"/>
            <w:shd w:val="clear" w:color="auto" w:fill="auto"/>
          </w:tcPr>
          <w:p w14:paraId="5C03DC57" w14:textId="77777777" w:rsidR="00C30B31" w:rsidRPr="00C30B31" w:rsidRDefault="00C30B31" w:rsidP="00C30B31">
            <w:pPr>
              <w:numPr>
                <w:ilvl w:val="0"/>
                <w:numId w:val="27"/>
              </w:numPr>
              <w:spacing w:after="120" w:line="276" w:lineRule="auto"/>
              <w:ind w:left="0" w:firstLine="357"/>
              <w:jc w:val="both"/>
              <w:rPr>
                <w:rFonts w:ascii="Verdana" w:eastAsia="Arial" w:hAnsi="Verdana" w:cs="Arial"/>
                <w:color w:val="000000"/>
                <w:lang w:eastAsia="es-CO"/>
              </w:rPr>
            </w:pPr>
            <w:r w:rsidRPr="00C30B31">
              <w:rPr>
                <w:rFonts w:ascii="Verdana" w:eastAsia="Century Gothic" w:hAnsi="Verdana" w:cs="Century Gothic"/>
                <w:lang w:eastAsia="es-CO"/>
              </w:rPr>
              <w:t xml:space="preserve">Conforme a la interpretación de las normas generales del sistema de compras públicas, para garantizar </w:t>
            </w:r>
            <w:r w:rsidRPr="00C30B31">
              <w:rPr>
                <w:rFonts w:ascii="Verdana" w:eastAsia="Arial" w:hAnsi="Verdana" w:cs="Arial"/>
                <w:color w:val="000000"/>
                <w:lang w:eastAsia="es-CO"/>
              </w:rPr>
              <w:t>el principio de selección objetiva, es necesario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la subsanación de los requisitos de participación, bajo las condiciones indicadas en la ley, antes de tomar la decisión de rechazar las propuestas que hayan omitido la observancia de los requisitos habilitantes.</w:t>
            </w:r>
          </w:p>
          <w:p w14:paraId="1B28D345" w14:textId="77777777" w:rsidR="00C30B31" w:rsidRPr="00C30B31" w:rsidRDefault="00C30B31" w:rsidP="00C30B31">
            <w:pPr>
              <w:spacing w:after="120" w:line="276" w:lineRule="auto"/>
              <w:ind w:firstLine="709"/>
              <w:jc w:val="both"/>
              <w:rPr>
                <w:rFonts w:ascii="Verdana" w:eastAsia="Century Gothic" w:hAnsi="Verdana" w:cs="Century Gothic"/>
                <w:lang w:val="es-ES" w:eastAsia="es-CO"/>
              </w:rPr>
            </w:pPr>
            <w:r w:rsidRPr="00C30B31">
              <w:rPr>
                <w:rFonts w:ascii="Verdana" w:eastAsia="Century Gothic" w:hAnsi="Verdana" w:cs="Century Gothic"/>
                <w:lang w:val="es-ES" w:eastAsia="es-CO"/>
              </w:rPr>
              <w:t xml:space="preserve">Teniendo en cuenta las reglas dispuestas en la Ley 1882 de 2018, todo lo que no sea necesario para la comparación de propuestas no es argumento suficiente para su rechazo en las diferentes modalidades de selección. De esta manera, se conserva el criterio aclaratorio de la Ley 1150 de 2007, según el cual todo lo que no afecte la asignación de puntaje puede subsanarse. </w:t>
            </w:r>
            <w:r w:rsidRPr="00C30B31">
              <w:rPr>
                <w:rFonts w:ascii="Verdana" w:eastAsia="Century Gothic" w:hAnsi="Verdana" w:cs="Century Gothic"/>
                <w:i/>
                <w:iCs/>
                <w:lang w:val="es-ES" w:eastAsia="es-CO"/>
              </w:rPr>
              <w:t>Por ello, si los requisitos no otorgan puntaje y tienen el carácter de habilitantes para la participación en el proceso de contratación, se entiende que, en principio, pueden subsanarse</w:t>
            </w:r>
            <w:r w:rsidRPr="00C30B31">
              <w:rPr>
                <w:rFonts w:ascii="Verdana" w:eastAsia="Century Gothic" w:hAnsi="Verdana" w:cs="Century Gothic"/>
                <w:lang w:val="es-ES" w:eastAsia="es-CO"/>
              </w:rPr>
              <w:t>.</w:t>
            </w:r>
          </w:p>
          <w:p w14:paraId="083DB37E" w14:textId="77777777" w:rsidR="00C30B31" w:rsidRPr="00C30B31" w:rsidRDefault="00C30B31" w:rsidP="00C30B31">
            <w:pPr>
              <w:spacing w:after="120" w:line="276" w:lineRule="auto"/>
              <w:ind w:firstLine="709"/>
              <w:jc w:val="both"/>
              <w:rPr>
                <w:rFonts w:ascii="Verdana" w:eastAsia="Century Gothic" w:hAnsi="Verdana" w:cs="Century Gothic"/>
                <w:lang w:eastAsia="es-CO"/>
              </w:rPr>
            </w:pPr>
            <w:r w:rsidRPr="00C30B31">
              <w:rPr>
                <w:rFonts w:ascii="Verdana" w:eastAsia="Century Gothic" w:hAnsi="Verdana" w:cs="Century Gothic"/>
                <w:lang w:eastAsia="es-CO"/>
              </w:rPr>
              <w:t xml:space="preserve">En resumen, por regla general, son subsanables i) la falta de entrega o </w:t>
            </w:r>
            <w:proofErr w:type="spellStart"/>
            <w:r w:rsidRPr="00C30B31">
              <w:rPr>
                <w:rFonts w:ascii="Verdana" w:eastAsia="Century Gothic" w:hAnsi="Verdana" w:cs="Century Gothic"/>
                <w:lang w:eastAsia="es-CO"/>
              </w:rPr>
              <w:t>ii</w:t>
            </w:r>
            <w:proofErr w:type="spellEnd"/>
            <w:r w:rsidRPr="00C30B31">
              <w:rPr>
                <w:rFonts w:ascii="Verdana" w:eastAsia="Century Gothic" w:hAnsi="Verdana" w:cs="Century Gothic"/>
                <w:lang w:eastAsia="es-CO"/>
              </w:rPr>
              <w:t xml:space="preserve">) los defectos de los requisitos habilitantes. La excepción se encuentra en los casos, previstos en la ley, que limitan la </w:t>
            </w:r>
            <w:proofErr w:type="spellStart"/>
            <w:r w:rsidRPr="00C30B31">
              <w:rPr>
                <w:rFonts w:ascii="Verdana" w:eastAsia="Century Gothic" w:hAnsi="Verdana" w:cs="Century Gothic"/>
                <w:lang w:eastAsia="es-CO"/>
              </w:rPr>
              <w:t>subsanabilidad</w:t>
            </w:r>
            <w:proofErr w:type="spellEnd"/>
            <w:r w:rsidRPr="00C30B31">
              <w:rPr>
                <w:rFonts w:ascii="Verdana" w:eastAsia="Century Gothic" w:hAnsi="Verdana" w:cs="Century Gothic"/>
                <w:lang w:eastAsia="es-CO"/>
              </w:rPr>
              <w:t xml:space="preserve">, es decir, en la prohibición de permitir la entrega de la garantía de seriedad de la oferta que no fue aportada con la propuesta y de valer la acreditación de circunstancias ocurridas con posterioridad al cierre del proceso. </w:t>
            </w:r>
          </w:p>
          <w:p w14:paraId="421BAFCE" w14:textId="77777777" w:rsidR="00C30B31" w:rsidRPr="00C30B31" w:rsidRDefault="00C30B31" w:rsidP="00C30B31">
            <w:pPr>
              <w:spacing w:after="120" w:line="276" w:lineRule="auto"/>
              <w:ind w:firstLine="709"/>
              <w:jc w:val="both"/>
              <w:rPr>
                <w:rFonts w:ascii="Verdana" w:eastAsia="Arial" w:hAnsi="Verdana" w:cs="Arial"/>
                <w:color w:val="000000"/>
              </w:rPr>
            </w:pPr>
            <w:r w:rsidRPr="00C30B31">
              <w:rPr>
                <w:rFonts w:ascii="Verdana" w:eastAsia="Arial" w:hAnsi="Verdana" w:cs="Arial"/>
                <w:color w:val="000000"/>
              </w:rPr>
              <w:lastRenderedPageBreak/>
              <w:t xml:space="preserve">Visto lo anterior,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3B34532B" w14:textId="77777777" w:rsidR="00C30B31" w:rsidRPr="00C30B31" w:rsidRDefault="00C30B31" w:rsidP="00C30B31">
            <w:pPr>
              <w:spacing w:line="276" w:lineRule="auto"/>
              <w:ind w:firstLine="708"/>
              <w:jc w:val="both"/>
              <w:rPr>
                <w:rFonts w:ascii="Verdana" w:eastAsia="Times New Roman" w:hAnsi="Verdana" w:cs="Arial"/>
                <w:color w:val="000000"/>
                <w:lang w:val="es-ES_tradnl" w:eastAsia="es-ES_tradnl"/>
              </w:rPr>
            </w:pPr>
            <w:r w:rsidRPr="00C30B31">
              <w:rPr>
                <w:rFonts w:ascii="Verdana" w:eastAsia="Times New Roman" w:hAnsi="Verdana" w:cs="Arial"/>
                <w:color w:val="000000"/>
                <w:lang w:val="es-ES_tradnl" w:eastAsia="es-ES_tradnl"/>
              </w:rPr>
              <w:t xml:space="preserve">Teniendo en cuenta lo anterior, y que en el procedimiento de selección estandarizado mediante el documento tipo de interventoría la asignación de puntaje no sería susceptible de subsanación, de acuerdo con las reglas de la norma citada, debe indicarse que, de esta manera el “documento base” del documento tipo de interventoría establece en el numeral 1.6. lo siguiente: </w:t>
            </w:r>
          </w:p>
          <w:p w14:paraId="61677096" w14:textId="77777777" w:rsidR="00C30B31" w:rsidRPr="00C30B31" w:rsidRDefault="00C30B31" w:rsidP="00C30B31">
            <w:pPr>
              <w:spacing w:line="276" w:lineRule="auto"/>
              <w:ind w:firstLine="709"/>
              <w:jc w:val="both"/>
              <w:rPr>
                <w:rFonts w:ascii="Verdana" w:eastAsia="Calibri" w:hAnsi="Verdana" w:cs="Arial"/>
                <w:bCs/>
                <w:color w:val="000000"/>
                <w:sz w:val="21"/>
                <w:szCs w:val="21"/>
                <w:lang w:val="es-ES_tradnl" w:eastAsia="es-ES_tradnl"/>
              </w:rPr>
            </w:pPr>
          </w:p>
          <w:p w14:paraId="58570DC5" w14:textId="77777777" w:rsidR="00C30B31" w:rsidRPr="00C30B31" w:rsidRDefault="00C30B31" w:rsidP="00C30B31">
            <w:pPr>
              <w:autoSpaceDE w:val="0"/>
              <w:autoSpaceDN w:val="0"/>
              <w:adjustRightInd w:val="0"/>
              <w:ind w:left="709" w:right="709"/>
              <w:jc w:val="both"/>
              <w:rPr>
                <w:rFonts w:ascii="Verdana" w:eastAsia="Aptos" w:hAnsi="Verdana" w:cs="Arial"/>
                <w:sz w:val="21"/>
                <w:szCs w:val="21"/>
              </w:rPr>
            </w:pPr>
            <w:r w:rsidRPr="00C30B31">
              <w:rPr>
                <w:rFonts w:ascii="Verdana" w:eastAsia="Aptos" w:hAnsi="Verdana" w:cs="Arial"/>
                <w:sz w:val="21"/>
                <w:szCs w:val="21"/>
              </w:rPr>
              <w:t xml:space="preserve">“El Proponente tiene la responsabilidad y el deber de presentar su oferta de forma completa e íntegra, esto es, cumpliendo el contenido del Pliego de Condiciones y adjuntando los documentos de soporte o prueba de las condiciones que pretenda hacer valer en el Proceso de Contratación. </w:t>
            </w:r>
          </w:p>
          <w:p w14:paraId="1EB83242" w14:textId="77777777" w:rsidR="00C30B31" w:rsidRPr="00C30B31" w:rsidRDefault="00C30B31" w:rsidP="00C30B31">
            <w:pPr>
              <w:autoSpaceDE w:val="0"/>
              <w:autoSpaceDN w:val="0"/>
              <w:adjustRightInd w:val="0"/>
              <w:spacing w:before="120" w:after="240"/>
              <w:ind w:left="709" w:right="709"/>
              <w:jc w:val="both"/>
              <w:rPr>
                <w:rFonts w:ascii="Verdana" w:eastAsia="Aptos" w:hAnsi="Verdana" w:cs="Arial"/>
                <w:sz w:val="21"/>
                <w:szCs w:val="21"/>
              </w:rPr>
            </w:pPr>
            <w:r w:rsidRPr="00C30B31">
              <w:rPr>
                <w:rFonts w:ascii="Verdana" w:eastAsia="Aptos" w:hAnsi="Verdana" w:cs="Arial"/>
                <w:sz w:val="21"/>
                <w:szCs w:val="21"/>
              </w:rPr>
              <w:t xml:space="preserve">En caso de ser necesario, la Entidad debe solicitar a los Proponentes durante el proceso de evaluación, y a más tardar en el informe de evaluación, las aclaraciones, precisiones o solicitudes de documentos que puedan ser subsanables. No obstante, los Proponentes no podrán completar, adicionar o mejorar sus propuestas en los aspectos que otorgan puntaje, ni tampoco en los factores de desempate, los cuales podrán ser objeto de aclaraciones y explicaciones. Los Proponentes deberán allegar las aclaraciones o documentos requeridos en el momento en el que fueron solicitados y a más tardar hasta el término de traslado del informe de evaluación, es decir, dentro de los tres (3) días hábiles posteriores contados a partir del día hábil siguiente a la publicación del informe de evaluación. </w:t>
            </w:r>
          </w:p>
          <w:p w14:paraId="1B6CD2D7" w14:textId="77777777" w:rsidR="00C30B31" w:rsidRPr="00C30B31" w:rsidRDefault="00C30B31" w:rsidP="00C30B31">
            <w:pPr>
              <w:autoSpaceDE w:val="0"/>
              <w:autoSpaceDN w:val="0"/>
              <w:adjustRightInd w:val="0"/>
              <w:ind w:left="709" w:right="709"/>
              <w:jc w:val="both"/>
              <w:rPr>
                <w:rFonts w:ascii="Verdana" w:eastAsia="Aptos" w:hAnsi="Verdana" w:cs="Times New Roman"/>
                <w:sz w:val="21"/>
                <w:szCs w:val="21"/>
              </w:rPr>
            </w:pPr>
            <w:r w:rsidRPr="00C30B31">
              <w:rPr>
                <w:rFonts w:ascii="Verdana" w:eastAsia="Aptos" w:hAnsi="Verdana" w:cs="Arial"/>
                <w:sz w:val="21"/>
                <w:szCs w:val="21"/>
              </w:rPr>
              <w:t>En</w:t>
            </w:r>
            <w:r w:rsidRPr="00C30B31">
              <w:rPr>
                <w:rFonts w:ascii="Verdana" w:eastAsia="Arial" w:hAnsi="Verdana" w:cs="Arial"/>
                <w:sz w:val="21"/>
                <w:szCs w:val="21"/>
              </w:rPr>
              <w:t xml:space="preserve"> </w:t>
            </w:r>
            <w:r w:rsidRPr="00C30B31">
              <w:rPr>
                <w:rFonts w:ascii="Verdana" w:eastAsia="Aptos" w:hAnsi="Verdana" w:cs="Arial"/>
                <w:sz w:val="21"/>
                <w:szCs w:val="21"/>
              </w:rPr>
              <w:t>caso de</w:t>
            </w:r>
            <w:r w:rsidRPr="00C30B31">
              <w:rPr>
                <w:rFonts w:ascii="Verdana" w:eastAsia="Arial" w:hAnsi="Verdana" w:cs="Arial"/>
                <w:sz w:val="21"/>
                <w:szCs w:val="21"/>
              </w:rPr>
              <w:t xml:space="preserve"> </w:t>
            </w:r>
            <w:r w:rsidRPr="00C30B31">
              <w:rPr>
                <w:rFonts w:ascii="Verdana" w:eastAsia="Aptos" w:hAnsi="Verdana" w:cs="Arial"/>
                <w:sz w:val="21"/>
                <w:szCs w:val="21"/>
              </w:rPr>
              <w:t>que</w:t>
            </w:r>
            <w:r w:rsidRPr="00C30B31">
              <w:rPr>
                <w:rFonts w:ascii="Verdana" w:eastAsia="Arial" w:hAnsi="Verdana" w:cs="Arial"/>
                <w:sz w:val="21"/>
                <w:szCs w:val="21"/>
              </w:rPr>
              <w:t xml:space="preserve"> </w:t>
            </w:r>
            <w:r w:rsidRPr="00C30B31">
              <w:rPr>
                <w:rFonts w:ascii="Verdana" w:eastAsia="Aptos" w:hAnsi="Verdana" w:cs="Arial"/>
                <w:sz w:val="21"/>
                <w:szCs w:val="21"/>
              </w:rPr>
              <w:t>la</w:t>
            </w:r>
            <w:r w:rsidRPr="00C30B31">
              <w:rPr>
                <w:rFonts w:ascii="Verdana" w:eastAsia="Arial" w:hAnsi="Verdana" w:cs="Arial"/>
                <w:sz w:val="21"/>
                <w:szCs w:val="21"/>
              </w:rPr>
              <w:t xml:space="preserve"> </w:t>
            </w:r>
            <w:r w:rsidRPr="00C30B31" w:rsidDel="00E41DBB">
              <w:rPr>
                <w:rFonts w:ascii="Verdana" w:eastAsia="Aptos" w:hAnsi="Verdana" w:cs="Arial"/>
                <w:sz w:val="21"/>
                <w:szCs w:val="21"/>
              </w:rPr>
              <w:t>Entidad</w:t>
            </w:r>
            <w:r w:rsidRPr="00C30B31">
              <w:rPr>
                <w:rFonts w:ascii="Verdana" w:eastAsia="Arial" w:hAnsi="Verdana" w:cs="Arial"/>
                <w:sz w:val="21"/>
                <w:szCs w:val="21"/>
              </w:rPr>
              <w:t xml:space="preserve"> </w:t>
            </w:r>
            <w:r w:rsidRPr="00C30B31">
              <w:rPr>
                <w:rFonts w:ascii="Verdana" w:eastAsia="Aptos" w:hAnsi="Verdana" w:cs="Arial"/>
                <w:sz w:val="21"/>
                <w:szCs w:val="21"/>
              </w:rPr>
              <w:t>no hubiese advertido durante el proceso de evaluación</w:t>
            </w:r>
            <w:r w:rsidRPr="00C30B31">
              <w:rPr>
                <w:rFonts w:ascii="Verdana" w:eastAsia="Arial" w:hAnsi="Verdana" w:cs="Arial"/>
                <w:sz w:val="21"/>
                <w:szCs w:val="21"/>
              </w:rPr>
              <w:t xml:space="preserve"> </w:t>
            </w:r>
            <w:r w:rsidRPr="00C30B31">
              <w:rPr>
                <w:rFonts w:ascii="Verdana" w:eastAsia="Aptos" w:hAnsi="Verdana" w:cs="Arial"/>
                <w:sz w:val="21"/>
                <w:szCs w:val="21"/>
              </w:rPr>
              <w:t>la</w:t>
            </w:r>
            <w:r w:rsidRPr="00C30B31">
              <w:rPr>
                <w:rFonts w:ascii="Verdana" w:eastAsia="Arial" w:hAnsi="Verdana" w:cs="Arial"/>
                <w:sz w:val="21"/>
                <w:szCs w:val="21"/>
              </w:rPr>
              <w:t xml:space="preserve"> </w:t>
            </w:r>
            <w:r w:rsidRPr="00C30B31">
              <w:rPr>
                <w:rFonts w:ascii="Verdana" w:eastAsia="Aptos" w:hAnsi="Verdana" w:cs="Arial"/>
                <w:sz w:val="21"/>
                <w:szCs w:val="21"/>
              </w:rPr>
              <w:t>ausencia</w:t>
            </w:r>
            <w:r w:rsidRPr="00C30B31">
              <w:rPr>
                <w:rFonts w:ascii="Verdana" w:eastAsia="Arial" w:hAnsi="Verdana" w:cs="Arial"/>
                <w:sz w:val="21"/>
                <w:szCs w:val="21"/>
              </w:rPr>
              <w:t xml:space="preserve"> </w:t>
            </w:r>
            <w:r w:rsidRPr="00C30B31">
              <w:rPr>
                <w:rFonts w:ascii="Verdana" w:eastAsia="Aptos" w:hAnsi="Verdana" w:cs="Arial"/>
                <w:sz w:val="21"/>
                <w:szCs w:val="21"/>
              </w:rPr>
              <w:t>de</w:t>
            </w:r>
            <w:r w:rsidRPr="00C30B31">
              <w:rPr>
                <w:rFonts w:ascii="Verdana" w:eastAsia="Arial" w:hAnsi="Verdana" w:cs="Arial"/>
                <w:sz w:val="21"/>
                <w:szCs w:val="21"/>
              </w:rPr>
              <w:t xml:space="preserve"> </w:t>
            </w:r>
            <w:r w:rsidRPr="00C30B31">
              <w:rPr>
                <w:rFonts w:ascii="Verdana" w:eastAsia="Aptos" w:hAnsi="Verdana" w:cs="Arial"/>
                <w:sz w:val="21"/>
                <w:szCs w:val="21"/>
              </w:rPr>
              <w:t xml:space="preserve">requisitos o la falta de documentos referentes a la futura contratación o al Proponente, ya sea en relación con los requisitos habilitantes o para aclarar aspectos que </w:t>
            </w:r>
            <w:r w:rsidRPr="00C30B31">
              <w:rPr>
                <w:rFonts w:ascii="Verdana" w:eastAsia="Aptos" w:hAnsi="Verdana" w:cs="Arial"/>
                <w:sz w:val="21"/>
                <w:szCs w:val="21"/>
              </w:rPr>
              <w:lastRenderedPageBreak/>
              <w:t>otorgan puntaje o relativos a los factores de desempate y, por ende, no los haya requerido, podrá hacerlo posteriormente</w:t>
            </w:r>
            <w:r w:rsidRPr="00C30B31">
              <w:rPr>
                <w:rFonts w:ascii="Verdana" w:eastAsia="Arial" w:hAnsi="Verdana" w:cs="Arial"/>
                <w:sz w:val="21"/>
                <w:szCs w:val="21"/>
              </w:rPr>
              <w:t xml:space="preserve">, </w:t>
            </w:r>
            <w:r w:rsidRPr="00C30B31">
              <w:rPr>
                <w:rFonts w:ascii="Verdana" w:eastAsia="Aptos" w:hAnsi="Verdana" w:cs="Arial"/>
                <w:sz w:val="21"/>
                <w:szCs w:val="21"/>
              </w:rPr>
              <w:t>otorgándole</w:t>
            </w:r>
            <w:r w:rsidRPr="00C30B31">
              <w:rPr>
                <w:rFonts w:ascii="Verdana" w:eastAsia="Arial" w:hAnsi="Verdana" w:cs="Arial"/>
                <w:sz w:val="21"/>
                <w:szCs w:val="21"/>
              </w:rPr>
              <w:t xml:space="preserve"> </w:t>
            </w:r>
            <w:r w:rsidRPr="00C30B31">
              <w:rPr>
                <w:rFonts w:ascii="Verdana" w:eastAsia="Aptos" w:hAnsi="Verdana" w:cs="Arial"/>
                <w:sz w:val="21"/>
                <w:szCs w:val="21"/>
              </w:rPr>
              <w:t>al Proponente</w:t>
            </w:r>
            <w:r w:rsidRPr="00C30B31">
              <w:rPr>
                <w:rFonts w:ascii="Verdana" w:eastAsia="Arial" w:hAnsi="Verdana" w:cs="Arial"/>
                <w:sz w:val="21"/>
                <w:szCs w:val="21"/>
              </w:rPr>
              <w:t xml:space="preserve"> </w:t>
            </w:r>
            <w:r w:rsidRPr="00C30B31">
              <w:rPr>
                <w:rFonts w:ascii="Verdana" w:eastAsia="Aptos" w:hAnsi="Verdana" w:cs="Arial"/>
                <w:sz w:val="21"/>
                <w:szCs w:val="21"/>
              </w:rPr>
              <w:t>un</w:t>
            </w:r>
            <w:r w:rsidRPr="00C30B31">
              <w:rPr>
                <w:rFonts w:ascii="Verdana" w:eastAsia="Arial" w:hAnsi="Verdana" w:cs="Arial"/>
                <w:sz w:val="21"/>
                <w:szCs w:val="21"/>
              </w:rPr>
              <w:t xml:space="preserve"> </w:t>
            </w:r>
            <w:r w:rsidRPr="00C30B31">
              <w:rPr>
                <w:rFonts w:ascii="Verdana" w:eastAsia="Aptos" w:hAnsi="Verdana" w:cs="Arial"/>
                <w:sz w:val="21"/>
                <w:szCs w:val="21"/>
              </w:rPr>
              <w:t>término</w:t>
            </w:r>
            <w:r w:rsidRPr="00C30B31">
              <w:rPr>
                <w:rFonts w:ascii="Verdana" w:eastAsia="Arial" w:hAnsi="Verdana" w:cs="Arial"/>
                <w:sz w:val="21"/>
                <w:szCs w:val="21"/>
              </w:rPr>
              <w:t xml:space="preserve"> </w:t>
            </w:r>
            <w:r w:rsidRPr="00C30B31">
              <w:rPr>
                <w:rFonts w:ascii="Verdana" w:eastAsia="Aptos" w:hAnsi="Verdana" w:cs="Arial"/>
                <w:sz w:val="21"/>
                <w:szCs w:val="21"/>
              </w:rPr>
              <w:t>igual</w:t>
            </w:r>
            <w:r w:rsidRPr="00C30B31">
              <w:rPr>
                <w:rFonts w:ascii="Verdana" w:eastAsia="Arial" w:hAnsi="Verdana" w:cs="Arial"/>
                <w:sz w:val="21"/>
                <w:szCs w:val="21"/>
              </w:rPr>
              <w:t xml:space="preserve"> </w:t>
            </w:r>
            <w:r w:rsidRPr="00C30B31">
              <w:rPr>
                <w:rFonts w:ascii="Verdana" w:eastAsia="Aptos" w:hAnsi="Verdana" w:cs="Arial"/>
                <w:sz w:val="21"/>
                <w:szCs w:val="21"/>
              </w:rPr>
              <w:t>al</w:t>
            </w:r>
            <w:r w:rsidRPr="00C30B31">
              <w:rPr>
                <w:rFonts w:ascii="Verdana" w:eastAsia="Arial" w:hAnsi="Verdana" w:cs="Arial"/>
                <w:sz w:val="21"/>
                <w:szCs w:val="21"/>
              </w:rPr>
              <w:t xml:space="preserve"> </w:t>
            </w:r>
            <w:r w:rsidRPr="00C30B31">
              <w:rPr>
                <w:rFonts w:ascii="Verdana" w:eastAsia="Aptos" w:hAnsi="Verdana" w:cs="Arial"/>
                <w:sz w:val="21"/>
                <w:szCs w:val="21"/>
              </w:rPr>
              <w:t>establecido</w:t>
            </w:r>
            <w:r w:rsidRPr="00C30B31">
              <w:rPr>
                <w:rFonts w:ascii="Verdana" w:eastAsia="Arial" w:hAnsi="Verdana" w:cs="Arial"/>
                <w:sz w:val="21"/>
                <w:szCs w:val="21"/>
              </w:rPr>
              <w:t xml:space="preserve"> </w:t>
            </w:r>
            <w:r w:rsidRPr="00C30B31">
              <w:rPr>
                <w:rFonts w:ascii="Verdana" w:eastAsia="Aptos" w:hAnsi="Verdana" w:cs="Arial"/>
                <w:sz w:val="21"/>
                <w:szCs w:val="21"/>
              </w:rPr>
              <w:t>para</w:t>
            </w:r>
            <w:r w:rsidRPr="00C30B31">
              <w:rPr>
                <w:rFonts w:ascii="Verdana" w:eastAsia="Arial" w:hAnsi="Verdana" w:cs="Arial"/>
                <w:sz w:val="21"/>
                <w:szCs w:val="21"/>
              </w:rPr>
              <w:t xml:space="preserve"> </w:t>
            </w:r>
            <w:r w:rsidRPr="00C30B31">
              <w:rPr>
                <w:rFonts w:ascii="Verdana" w:eastAsia="Aptos" w:hAnsi="Verdana" w:cs="Arial"/>
                <w:sz w:val="21"/>
                <w:szCs w:val="21"/>
              </w:rPr>
              <w:t>el</w:t>
            </w:r>
            <w:r w:rsidRPr="00C30B31">
              <w:rPr>
                <w:rFonts w:ascii="Verdana" w:eastAsia="Arial" w:hAnsi="Verdana" w:cs="Arial"/>
                <w:sz w:val="21"/>
                <w:szCs w:val="21"/>
              </w:rPr>
              <w:t xml:space="preserve"> </w:t>
            </w:r>
            <w:r w:rsidRPr="00C30B31">
              <w:rPr>
                <w:rFonts w:ascii="Verdana" w:eastAsia="Aptos" w:hAnsi="Verdana" w:cs="Arial"/>
                <w:sz w:val="21"/>
                <w:szCs w:val="21"/>
              </w:rPr>
              <w:t>traslado</w:t>
            </w:r>
            <w:r w:rsidRPr="00C30B31">
              <w:rPr>
                <w:rFonts w:ascii="Verdana" w:eastAsia="Arial" w:hAnsi="Verdana" w:cs="Arial"/>
                <w:sz w:val="21"/>
                <w:szCs w:val="21"/>
              </w:rPr>
              <w:t xml:space="preserve"> </w:t>
            </w:r>
            <w:r w:rsidRPr="00C30B31">
              <w:rPr>
                <w:rFonts w:ascii="Verdana" w:eastAsia="Aptos" w:hAnsi="Verdana" w:cs="Arial"/>
                <w:sz w:val="21"/>
                <w:szCs w:val="21"/>
              </w:rPr>
              <w:t>del</w:t>
            </w:r>
            <w:r w:rsidRPr="00C30B31">
              <w:rPr>
                <w:rFonts w:ascii="Verdana" w:eastAsia="Arial" w:hAnsi="Verdana" w:cs="Arial"/>
                <w:sz w:val="21"/>
                <w:szCs w:val="21"/>
              </w:rPr>
              <w:t xml:space="preserve"> </w:t>
            </w:r>
            <w:r w:rsidRPr="00C30B31">
              <w:rPr>
                <w:rFonts w:ascii="Verdana" w:eastAsia="Aptos" w:hAnsi="Verdana" w:cs="Arial"/>
                <w:sz w:val="21"/>
                <w:szCs w:val="21"/>
              </w:rPr>
              <w:t>informe</w:t>
            </w:r>
            <w:r w:rsidRPr="00C30B31">
              <w:rPr>
                <w:rFonts w:ascii="Verdana" w:eastAsia="Arial" w:hAnsi="Verdana" w:cs="Arial"/>
                <w:sz w:val="21"/>
                <w:szCs w:val="21"/>
              </w:rPr>
              <w:t xml:space="preserve"> </w:t>
            </w:r>
            <w:r w:rsidRPr="00C30B31">
              <w:rPr>
                <w:rFonts w:ascii="Verdana" w:eastAsia="Aptos" w:hAnsi="Verdana" w:cs="Arial"/>
                <w:sz w:val="21"/>
                <w:szCs w:val="21"/>
              </w:rPr>
              <w:t>de</w:t>
            </w:r>
            <w:r w:rsidRPr="00C30B31">
              <w:rPr>
                <w:rFonts w:ascii="Verdana" w:eastAsia="Arial" w:hAnsi="Verdana" w:cs="Arial"/>
                <w:sz w:val="21"/>
                <w:szCs w:val="21"/>
              </w:rPr>
              <w:t xml:space="preserve"> </w:t>
            </w:r>
            <w:r w:rsidRPr="00C30B31">
              <w:rPr>
                <w:rFonts w:ascii="Verdana" w:eastAsia="Aptos" w:hAnsi="Verdana" w:cs="Arial"/>
                <w:sz w:val="21"/>
                <w:szCs w:val="21"/>
              </w:rPr>
              <w:t>evaluación</w:t>
            </w:r>
            <w:r w:rsidRPr="00C30B31">
              <w:rPr>
                <w:rFonts w:ascii="Verdana" w:eastAsia="Arial" w:hAnsi="Verdana" w:cs="Arial"/>
                <w:sz w:val="21"/>
                <w:szCs w:val="21"/>
              </w:rPr>
              <w:t>,</w:t>
            </w:r>
            <w:r w:rsidRPr="00C30B31" w:rsidDel="008C5B46">
              <w:rPr>
                <w:rFonts w:ascii="Verdana" w:eastAsia="Arial" w:hAnsi="Verdana" w:cs="Arial"/>
                <w:sz w:val="21"/>
                <w:szCs w:val="21"/>
              </w:rPr>
              <w:t xml:space="preserve"> </w:t>
            </w:r>
            <w:r w:rsidRPr="00C30B31">
              <w:rPr>
                <w:rFonts w:ascii="Verdana" w:eastAsia="Aptos" w:hAnsi="Verdana" w:cs="Arial"/>
                <w:sz w:val="21"/>
                <w:szCs w:val="21"/>
              </w:rPr>
              <w:t>con</w:t>
            </w:r>
            <w:r w:rsidRPr="00C30B31">
              <w:rPr>
                <w:rFonts w:ascii="Verdana" w:eastAsia="Arial" w:hAnsi="Verdana" w:cs="Arial"/>
                <w:sz w:val="21"/>
                <w:szCs w:val="21"/>
              </w:rPr>
              <w:t xml:space="preserve"> </w:t>
            </w:r>
            <w:r w:rsidRPr="00C30B31">
              <w:rPr>
                <w:rFonts w:ascii="Verdana" w:eastAsia="Aptos" w:hAnsi="Verdana" w:cs="Arial"/>
                <w:sz w:val="21"/>
                <w:szCs w:val="21"/>
              </w:rPr>
              <w:t>el</w:t>
            </w:r>
            <w:r w:rsidRPr="00C30B31">
              <w:rPr>
                <w:rFonts w:ascii="Verdana" w:eastAsia="Arial" w:hAnsi="Verdana" w:cs="Arial"/>
                <w:sz w:val="21"/>
                <w:szCs w:val="21"/>
              </w:rPr>
              <w:t xml:space="preserve"> </w:t>
            </w:r>
            <w:r w:rsidRPr="00C30B31">
              <w:rPr>
                <w:rFonts w:ascii="Verdana" w:eastAsia="Aptos" w:hAnsi="Verdana" w:cs="Arial"/>
                <w:sz w:val="21"/>
                <w:szCs w:val="21"/>
              </w:rPr>
              <w:t>fin</w:t>
            </w:r>
            <w:r w:rsidRPr="00C30B31">
              <w:rPr>
                <w:rFonts w:ascii="Verdana" w:eastAsia="Arial" w:hAnsi="Verdana" w:cs="Arial"/>
                <w:sz w:val="21"/>
                <w:szCs w:val="21"/>
              </w:rPr>
              <w:t xml:space="preserve"> </w:t>
            </w:r>
            <w:r w:rsidRPr="00C30B31">
              <w:rPr>
                <w:rFonts w:ascii="Verdana" w:eastAsia="Aptos" w:hAnsi="Verdana" w:cs="Arial"/>
                <w:sz w:val="21"/>
                <w:szCs w:val="21"/>
              </w:rPr>
              <w:t>de</w:t>
            </w:r>
            <w:r w:rsidRPr="00C30B31">
              <w:rPr>
                <w:rFonts w:ascii="Verdana" w:eastAsia="Arial" w:hAnsi="Verdana" w:cs="Arial"/>
                <w:sz w:val="21"/>
                <w:szCs w:val="21"/>
              </w:rPr>
              <w:t xml:space="preserve"> </w:t>
            </w:r>
            <w:r w:rsidRPr="00C30B31">
              <w:rPr>
                <w:rFonts w:ascii="Verdana" w:eastAsia="Aptos" w:hAnsi="Verdana" w:cs="Arial"/>
                <w:sz w:val="21"/>
                <w:szCs w:val="21"/>
              </w:rPr>
              <w:t>que</w:t>
            </w:r>
            <w:r w:rsidRPr="00C30B31">
              <w:rPr>
                <w:rFonts w:ascii="Verdana" w:eastAsia="Arial" w:hAnsi="Verdana" w:cs="Arial"/>
                <w:sz w:val="21"/>
                <w:szCs w:val="21"/>
              </w:rPr>
              <w:t xml:space="preserve"> </w:t>
            </w:r>
            <w:r w:rsidRPr="00C30B31">
              <w:rPr>
                <w:rFonts w:ascii="Verdana" w:eastAsia="Aptos" w:hAnsi="Verdana" w:cs="Arial"/>
                <w:sz w:val="21"/>
                <w:szCs w:val="21"/>
              </w:rPr>
              <w:t>los allegue. En caso de que sea necesario, la E</w:t>
            </w:r>
            <w:r w:rsidRPr="00C30B31" w:rsidDel="00E41DBB">
              <w:rPr>
                <w:rFonts w:ascii="Verdana" w:eastAsia="Aptos" w:hAnsi="Verdana" w:cs="Arial"/>
                <w:sz w:val="21"/>
                <w:szCs w:val="21"/>
              </w:rPr>
              <w:t>ntidad</w:t>
            </w:r>
            <w:r w:rsidRPr="00C30B31">
              <w:rPr>
                <w:rFonts w:ascii="Verdana" w:eastAsia="Aptos" w:hAnsi="Verdana" w:cs="Arial"/>
                <w:sz w:val="21"/>
                <w:szCs w:val="21"/>
              </w:rPr>
              <w:t xml:space="preserve"> ajustará el Cronograma. </w:t>
            </w:r>
            <w:r w:rsidRPr="00C30B31">
              <w:rPr>
                <w:rFonts w:ascii="Verdana" w:eastAsia="Arial" w:hAnsi="Verdana" w:cs="Arial"/>
                <w:sz w:val="21"/>
                <w:szCs w:val="21"/>
              </w:rPr>
              <w:t>Lo aquí descrito también aplicará cuando la observación a la oferta provenga de otro Proponente y se hubiere realizado en el traslado del informe de evaluación”.</w:t>
            </w:r>
          </w:p>
          <w:p w14:paraId="38E132CF" w14:textId="77777777" w:rsidR="00C30B31" w:rsidRPr="00C30B31" w:rsidRDefault="00C30B31" w:rsidP="00C30B31">
            <w:pPr>
              <w:tabs>
                <w:tab w:val="left" w:pos="0"/>
              </w:tabs>
              <w:jc w:val="both"/>
              <w:rPr>
                <w:rFonts w:ascii="Verdana" w:eastAsia="Calibri" w:hAnsi="Verdana" w:cs="Arial"/>
                <w:b/>
                <w:color w:val="000000"/>
                <w:lang w:val="es-ES_tradnl" w:eastAsia="es-ES_tradnl"/>
              </w:rPr>
            </w:pPr>
          </w:p>
          <w:p w14:paraId="32670B96" w14:textId="77777777" w:rsidR="00C30B31" w:rsidRPr="00C30B31" w:rsidRDefault="00C30B31" w:rsidP="00C30B31">
            <w:pPr>
              <w:spacing w:after="120" w:line="276" w:lineRule="auto"/>
              <w:ind w:right="51" w:firstLine="709"/>
              <w:jc w:val="both"/>
              <w:rPr>
                <w:rFonts w:ascii="Arial" w:eastAsia="Arial" w:hAnsi="Arial" w:cs="Arial"/>
                <w:lang w:val="es-MX" w:eastAsia="es-ES"/>
              </w:rPr>
            </w:pPr>
            <w:r w:rsidRPr="00C30B31">
              <w:rPr>
                <w:rFonts w:ascii="Verdana" w:eastAsia="Calibri" w:hAnsi="Verdana" w:cs="Arial"/>
                <w:lang w:val="es-MX"/>
              </w:rPr>
              <w:t>Como en efecto lo explica textualmente el pliego, no son subsanables los aspectos que otorgan puntaje ni los factores de desempate, pero respecto de estos si procede la aclaración o explicación que solicite la entidad y que aporte el proponente</w:t>
            </w:r>
            <w:r w:rsidRPr="00C30B31">
              <w:rPr>
                <w:rFonts w:ascii="Verdana" w:eastAsia="Arial" w:hAnsi="Verdana" w:cs="Arial"/>
                <w:lang w:val="es-MX" w:eastAsia="es-ES"/>
              </w:rPr>
              <w:t xml:space="preserve">. Esto se encuentra en armonía con el parágrafo 1 del artículo 5 de la Ley 1150 de 2007, modificado por el artículo 5 de la Ley 1882 de 2018, que dispone la </w:t>
            </w:r>
            <w:proofErr w:type="spellStart"/>
            <w:r w:rsidRPr="00C30B31">
              <w:rPr>
                <w:rFonts w:ascii="Verdana" w:eastAsia="Arial" w:hAnsi="Verdana" w:cs="Arial"/>
                <w:lang w:val="es-MX" w:eastAsia="es-ES"/>
              </w:rPr>
              <w:t>subsanabilidad</w:t>
            </w:r>
            <w:proofErr w:type="spellEnd"/>
            <w:r w:rsidRPr="00C30B31">
              <w:rPr>
                <w:rFonts w:ascii="Verdana" w:eastAsia="Arial" w:hAnsi="Verdana" w:cs="Arial"/>
                <w:lang w:val="es-MX" w:eastAsia="es-ES"/>
              </w:rPr>
              <w:t xml:space="preserve"> de los requisitos de la propuesta que no afecten la asignación de puntaje, los cuales deben ser solicitados por la entidad estatal contratante y aportados por los proponentes, lo que implica que los requisitos ponderables o que otorguen puntaje no pueden ser subsanados</w:t>
            </w:r>
            <w:r w:rsidRPr="00C30B31">
              <w:rPr>
                <w:rFonts w:ascii="Arial" w:eastAsia="Arial" w:hAnsi="Arial" w:cs="Arial"/>
                <w:lang w:val="es-MX" w:eastAsia="es-ES"/>
              </w:rPr>
              <w:t xml:space="preserve">. </w:t>
            </w:r>
          </w:p>
          <w:p w14:paraId="363451E9" w14:textId="77777777" w:rsidR="00C30B31" w:rsidRPr="00C30B31" w:rsidRDefault="00C30B31" w:rsidP="00C30B31">
            <w:pPr>
              <w:spacing w:after="120" w:line="276" w:lineRule="auto"/>
              <w:ind w:firstLine="709"/>
              <w:jc w:val="both"/>
              <w:rPr>
                <w:rFonts w:ascii="Verdana" w:eastAsia="Calibri" w:hAnsi="Verdana" w:cs="Arial"/>
                <w:color w:val="000000"/>
                <w:lang w:val="es-ES" w:eastAsia="es-ES_tradnl"/>
              </w:rPr>
            </w:pPr>
            <w:r w:rsidRPr="00C30B31">
              <w:rPr>
                <w:rFonts w:ascii="Verdana" w:eastAsia="Calibri" w:hAnsi="Verdana" w:cs="Arial"/>
                <w:color w:val="000000"/>
                <w:lang w:val="es-ES" w:eastAsia="es-ES_tradnl"/>
              </w:rPr>
              <w:t xml:space="preserve">Ahora bien, la regulación contenida en el numeral 1.6 del documento base, guarda armonía con la posibilidad de presentar </w:t>
            </w:r>
            <w:r w:rsidRPr="00C30B31">
              <w:rPr>
                <w:rFonts w:ascii="Verdana" w:eastAsia="Calibri" w:hAnsi="Verdana" w:cs="Arial"/>
                <w:i/>
                <w:iCs/>
                <w:color w:val="000000"/>
                <w:lang w:val="es-ES" w:eastAsia="es-ES_tradnl"/>
              </w:rPr>
              <w:t xml:space="preserve">explicaciones o aclaraciones </w:t>
            </w:r>
            <w:r w:rsidRPr="00C30B31">
              <w:rPr>
                <w:rFonts w:ascii="Verdana" w:eastAsia="Calibri" w:hAnsi="Verdana" w:cs="Arial"/>
                <w:color w:val="000000"/>
                <w:lang w:val="es-ES" w:eastAsia="es-ES_tradnl"/>
              </w:rPr>
              <w:t xml:space="preserve">del contenido de las ofertas, actuación que esta Agencia y la jurisprudencia ha diferenciado de la posibilidad de </w:t>
            </w:r>
            <w:r w:rsidRPr="00C30B31">
              <w:rPr>
                <w:rFonts w:ascii="Verdana" w:eastAsia="Calibri" w:hAnsi="Verdana" w:cs="Arial"/>
                <w:i/>
                <w:iCs/>
                <w:color w:val="000000"/>
                <w:lang w:val="es-ES" w:eastAsia="es-ES_tradnl"/>
              </w:rPr>
              <w:t>subsanar</w:t>
            </w:r>
            <w:r w:rsidRPr="00C30B31">
              <w:rPr>
                <w:rFonts w:ascii="Verdana" w:eastAsia="Calibri" w:hAnsi="Verdana" w:cs="Arial"/>
                <w:color w:val="000000"/>
                <w:lang w:val="es-ES" w:eastAsia="es-ES_tradnl"/>
              </w:rPr>
              <w:t xml:space="preserve">, fundamentando tal actuación en el artículo 30, numeral 7 de la Ley 80 de 1993. De esta manera, es posible que las entidades requieran al proponente para que explique o aclare el contenido de lo que está presente en la oferta, lo que procede tanto frente a los requisitos habilitantes como los que asignan puntaje. En efecto, en el “documento base” del documento tipo de interventoría se establece en el numeral 1.6. –inciso segundo–: “En caso de ser necesario, la entidad debe solicitar a los proponentes durante el proceso de evaluación, y a más tardar en el informe de evaluación, las aclaraciones, precisiones o solicitud de documentos que puedan ser subsanables. </w:t>
            </w:r>
            <w:r w:rsidRPr="00C30B31">
              <w:rPr>
                <w:rFonts w:ascii="Verdana" w:eastAsia="Calibri" w:hAnsi="Verdana" w:cs="Arial"/>
                <w:i/>
                <w:iCs/>
                <w:color w:val="000000"/>
                <w:lang w:val="es-ES" w:eastAsia="es-ES_tradnl"/>
              </w:rPr>
              <w:t>No obstante, los proponentes no podrán completar, adicionar o mejorar sus propuestas en los aspectos que otorgan puntaje, los cuales podrán ser objeto de aclaraciones y explicaciones</w:t>
            </w:r>
            <w:r w:rsidRPr="00C30B31">
              <w:rPr>
                <w:rFonts w:ascii="Verdana" w:eastAsia="Calibri" w:hAnsi="Verdana" w:cs="Arial"/>
                <w:color w:val="000000"/>
                <w:lang w:val="es-ES" w:eastAsia="es-ES_tradnl"/>
              </w:rPr>
              <w:t xml:space="preserve">”, como se indicó precedentemente. </w:t>
            </w:r>
          </w:p>
          <w:p w14:paraId="10371803" w14:textId="77777777" w:rsidR="00C30B31" w:rsidRPr="00C30B31" w:rsidRDefault="00C30B31" w:rsidP="00C30B31">
            <w:pPr>
              <w:spacing w:line="276" w:lineRule="auto"/>
              <w:ind w:firstLine="643"/>
              <w:jc w:val="both"/>
              <w:rPr>
                <w:rFonts w:ascii="Verdana" w:eastAsia="Aptos" w:hAnsi="Verdana" w:cs="Arial"/>
              </w:rPr>
            </w:pPr>
            <w:r w:rsidRPr="00C30B31">
              <w:rPr>
                <w:rFonts w:ascii="Verdana" w:eastAsia="Calibri" w:hAnsi="Verdana" w:cs="Arial"/>
                <w:color w:val="000000"/>
                <w:lang w:val="es-ES" w:eastAsia="es-ES_tradnl"/>
              </w:rPr>
              <w:t xml:space="preserve">Sin perjuicio de lo anterior, atendiendo a las múltiples problemáticas que se presentan en el proceso de evaluación de las ofertas y teniendo en cuenta lo expuesto en su petición y las definiciones traídas de la jurisprudencia y del </w:t>
            </w:r>
            <w:r w:rsidRPr="00C30B31">
              <w:rPr>
                <w:rFonts w:ascii="Verdana" w:eastAsia="Calibri" w:hAnsi="Verdana" w:cs="Arial"/>
                <w:color w:val="000000"/>
                <w:lang w:val="es-ES" w:eastAsia="es-ES_tradnl"/>
              </w:rPr>
              <w:lastRenderedPageBreak/>
              <w:t xml:space="preserve">documento tipo referido, </w:t>
            </w:r>
            <w:r w:rsidRPr="00C30B31">
              <w:rPr>
                <w:rFonts w:ascii="Verdana" w:eastAsia="Aptos" w:hAnsi="Verdana" w:cs="Arial"/>
              </w:rPr>
              <w:t>debe advertirse que el análisis sobre la subsanación o el rechazo de las ofertas al interior de los procedimientos de selección debe ser realizado por quienes tengan interés en ello, de acuerdo con lo explicado la aclaración preliminar del presente oficio.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CA0DFB1" w14:textId="77777777" w:rsidR="00C30B31" w:rsidRPr="00C30B31" w:rsidRDefault="00C30B31" w:rsidP="00C30B31">
            <w:pPr>
              <w:spacing w:line="276" w:lineRule="auto"/>
              <w:ind w:firstLine="643"/>
              <w:jc w:val="both"/>
              <w:rPr>
                <w:rFonts w:ascii="Verdana" w:eastAsia="Aptos" w:hAnsi="Verdana" w:cs="Arial"/>
              </w:rPr>
            </w:pPr>
          </w:p>
          <w:p w14:paraId="32B25069" w14:textId="77777777" w:rsidR="00C30B31" w:rsidRPr="00C30B31" w:rsidRDefault="00C30B31" w:rsidP="00C30B31">
            <w:pPr>
              <w:numPr>
                <w:ilvl w:val="0"/>
                <w:numId w:val="27"/>
              </w:numPr>
              <w:spacing w:line="276" w:lineRule="auto"/>
              <w:ind w:left="0" w:firstLine="0"/>
              <w:jc w:val="both"/>
              <w:rPr>
                <w:rFonts w:ascii="Verdana" w:eastAsia="Times New Roman" w:hAnsi="Verdana" w:cs="Arial"/>
                <w:color w:val="000000"/>
                <w:lang w:val="es-MX" w:eastAsia="es-ES_tradnl"/>
              </w:rPr>
            </w:pPr>
            <w:r w:rsidRPr="00C30B31">
              <w:rPr>
                <w:rFonts w:ascii="Verdana" w:eastAsia="Times New Roman" w:hAnsi="Verdana" w:cs="Arial"/>
                <w:color w:val="000000"/>
                <w:lang w:val="es-MX" w:eastAsia="es-ES_tradnl"/>
              </w:rPr>
              <w:t>Para determinar el puntaje que corresponde al proponente por este factor de evaluación (experiencia del proponente), el referido valor promedio de los contratos aportados para acreditar la experiencia, conforme indican los literales C y D del numeral 4.1., debe ser objeto de ponderación de acuerdo con alguno de los métodos de ponderación señalados en el Documento Base, cuya escogencia debe hacerse de manera aleatoria, a partir de la Tasa Representativa del Mercado–TRM–. Al respecto los literales C y D del numeral 4.1 señalan:</w:t>
            </w:r>
          </w:p>
          <w:p w14:paraId="7DC38E14" w14:textId="77777777" w:rsidR="00C30B31" w:rsidRPr="00C30B31" w:rsidRDefault="00C30B31" w:rsidP="00C30B31">
            <w:pPr>
              <w:ind w:left="709" w:right="709"/>
              <w:contextualSpacing/>
              <w:jc w:val="both"/>
              <w:rPr>
                <w:rFonts w:ascii="Verdana" w:eastAsia="Arial" w:hAnsi="Verdana" w:cs="Arial"/>
                <w:sz w:val="21"/>
                <w:szCs w:val="21"/>
                <w:lang w:val="es-MX" w:eastAsia="es-ES"/>
              </w:rPr>
            </w:pPr>
          </w:p>
          <w:p w14:paraId="522E8F79" w14:textId="77777777" w:rsidR="00C30B31" w:rsidRPr="00C30B31" w:rsidRDefault="00C30B31" w:rsidP="00C30B31">
            <w:pPr>
              <w:numPr>
                <w:ilvl w:val="0"/>
                <w:numId w:val="22"/>
              </w:numPr>
              <w:ind w:right="709"/>
              <w:contextualSpacing/>
              <w:jc w:val="both"/>
              <w:rPr>
                <w:rFonts w:ascii="Arial" w:eastAsia="Arial" w:hAnsi="Arial" w:cs="Arial"/>
                <w:sz w:val="20"/>
                <w:szCs w:val="20"/>
                <w:lang w:eastAsia="es-ES"/>
              </w:rPr>
            </w:pPr>
            <w:r w:rsidRPr="00C30B31">
              <w:rPr>
                <w:rFonts w:ascii="Arial" w:eastAsia="Arial" w:hAnsi="Arial" w:cs="Arial"/>
                <w:sz w:val="20"/>
                <w:szCs w:val="20"/>
                <w:lang w:eastAsia="es-ES"/>
              </w:rPr>
              <w:t xml:space="preserve">Posteriormente, se seleccionará un método aleatorio en función de la Tasa Representativa del Mercado (TRM) certificada por la Superintendencia Financiera de Colombia </w:t>
            </w:r>
            <w:r w:rsidRPr="00C30B31">
              <w:rPr>
                <w:rFonts w:ascii="Arial" w:eastAsia="Arial" w:hAnsi="Arial" w:cs="Arial"/>
                <w:sz w:val="20"/>
                <w:szCs w:val="20"/>
                <w:highlight w:val="lightGray"/>
                <w:lang w:eastAsia="es-ES"/>
              </w:rPr>
              <w:t xml:space="preserve">[en su sitio web: </w:t>
            </w:r>
            <w:hyperlink r:id="rId11">
              <w:r w:rsidRPr="00C30B31">
                <w:rPr>
                  <w:rFonts w:ascii="Arial" w:eastAsia="Arial" w:hAnsi="Arial" w:cs="Times New Roman"/>
                  <w:sz w:val="20"/>
                  <w:szCs w:val="20"/>
                  <w:highlight w:val="lightGray"/>
                  <w:lang w:eastAsia="es-ES"/>
                </w:rPr>
                <w:t>https://www.superfinanciera.gov.co/publicacion/60819</w:t>
              </w:r>
            </w:hyperlink>
            <w:r w:rsidRPr="00C30B31">
              <w:rPr>
                <w:rFonts w:ascii="Arial" w:eastAsia="Arial" w:hAnsi="Arial" w:cs="Arial"/>
                <w:sz w:val="20"/>
                <w:szCs w:val="20"/>
                <w:highlight w:val="lightGray"/>
                <w:lang w:eastAsia="es-ES"/>
              </w:rPr>
              <w:t>]</w:t>
            </w:r>
            <w:r w:rsidRPr="00C30B31">
              <w:rPr>
                <w:rFonts w:ascii="Arial" w:eastAsia="Arial" w:hAnsi="Arial" w:cs="Arial"/>
                <w:sz w:val="20"/>
                <w:szCs w:val="20"/>
                <w:lang w:eastAsia="es-ES"/>
              </w:rPr>
              <w:t>.</w:t>
            </w:r>
          </w:p>
          <w:p w14:paraId="5F42F8AF" w14:textId="77777777" w:rsidR="00C30B31" w:rsidRPr="00C30B31" w:rsidRDefault="00C30B31" w:rsidP="00C30B31">
            <w:pPr>
              <w:ind w:left="709" w:right="709"/>
              <w:contextualSpacing/>
              <w:jc w:val="both"/>
              <w:rPr>
                <w:rFonts w:ascii="Arial" w:eastAsia="Arial" w:hAnsi="Arial" w:cs="Arial"/>
                <w:sz w:val="20"/>
                <w:szCs w:val="20"/>
                <w:lang w:eastAsia="es-ES"/>
              </w:rPr>
            </w:pPr>
          </w:p>
          <w:p w14:paraId="274B48B6" w14:textId="77777777" w:rsidR="00C30B31" w:rsidRPr="00C30B31" w:rsidRDefault="00C30B31" w:rsidP="00C30B31">
            <w:pPr>
              <w:ind w:left="709" w:right="709"/>
              <w:contextualSpacing/>
              <w:jc w:val="both"/>
              <w:rPr>
                <w:rFonts w:ascii="Arial" w:eastAsia="Arial" w:hAnsi="Arial" w:cs="Arial"/>
                <w:sz w:val="20"/>
                <w:szCs w:val="20"/>
                <w:lang w:eastAsia="es-ES"/>
              </w:rPr>
            </w:pPr>
            <w:r w:rsidRPr="00C30B31">
              <w:rPr>
                <w:rFonts w:ascii="Arial" w:eastAsia="Arial" w:hAnsi="Arial" w:cs="Arial"/>
                <w:sz w:val="20"/>
                <w:szCs w:val="20"/>
                <w:lang w:eastAsia="es-ES"/>
              </w:rPr>
              <w:t xml:space="preserve">La TRM que la Entidad utilizará para determinar el método de ponderación será la que rija el </w:t>
            </w:r>
            <w:r w:rsidRPr="00C30B31">
              <w:rPr>
                <w:rFonts w:ascii="Arial" w:eastAsia="Arial" w:hAnsi="Arial" w:cs="Arial"/>
                <w:i/>
                <w:iCs/>
                <w:sz w:val="20"/>
                <w:szCs w:val="20"/>
                <w:lang w:eastAsia="es-ES"/>
              </w:rPr>
              <w:t>segundo día hábil después de finalizado el periodo de traslado del informe de evaluación</w:t>
            </w:r>
            <w:r w:rsidRPr="00C30B31">
              <w:rPr>
                <w:rFonts w:ascii="Arial" w:eastAsia="Arial" w:hAnsi="Arial" w:cs="Arial"/>
                <w:sz w:val="20"/>
                <w:szCs w:val="20"/>
                <w:lang w:eastAsia="es-CO"/>
              </w:rPr>
              <w:t>.</w:t>
            </w:r>
            <w:r w:rsidRPr="00C30B31">
              <w:rPr>
                <w:rFonts w:ascii="Arial" w:eastAsia="Arial" w:hAnsi="Arial" w:cs="Arial"/>
                <w:sz w:val="20"/>
                <w:szCs w:val="20"/>
                <w:lang w:eastAsia="es-ES"/>
              </w:rPr>
              <w:t xml:space="preserve"> Esto es, la que la Superintendencia publique en horas de la tarde del día hábil siguiente a la fecha efectiva de finalizado el periodo de traslado del informe de evaluación. </w:t>
            </w:r>
            <w:r w:rsidRPr="00C30B31">
              <w:rPr>
                <w:rFonts w:ascii="Arial" w:eastAsia="Arial" w:hAnsi="Arial" w:cs="Arial"/>
                <w:sz w:val="20"/>
                <w:szCs w:val="20"/>
                <w:highlight w:val="lightGray"/>
                <w:lang w:eastAsia="es-ES"/>
              </w:rPr>
              <w:t>[Por ejemplo, si el termino de traslado del informe de evaluación finaliza el 10 de febrero, la TRM que se usará para determinar el método de evaluación será la del 12 de febrero, que se publica en la tarde del 11 de febrero]</w:t>
            </w:r>
            <w:r w:rsidRPr="00C30B31">
              <w:rPr>
                <w:rFonts w:ascii="Arial" w:eastAsia="Arial" w:hAnsi="Arial" w:cs="Arial"/>
                <w:sz w:val="20"/>
                <w:szCs w:val="20"/>
                <w:lang w:eastAsia="es-ES"/>
              </w:rPr>
              <w:t xml:space="preserve"> </w:t>
            </w:r>
          </w:p>
          <w:p w14:paraId="0E31409E" w14:textId="77777777" w:rsidR="00C30B31" w:rsidRPr="00C30B31" w:rsidRDefault="00C30B31" w:rsidP="00C30B31">
            <w:pPr>
              <w:spacing w:before="210" w:after="120"/>
              <w:ind w:left="709" w:right="709"/>
              <w:contextualSpacing/>
              <w:jc w:val="both"/>
              <w:rPr>
                <w:rFonts w:ascii="Arial" w:eastAsia="BlinkMacSystemFont" w:hAnsi="Arial" w:cs="Arial"/>
                <w:i/>
                <w:iCs/>
                <w:sz w:val="20"/>
                <w:szCs w:val="20"/>
                <w:u w:val="single"/>
                <w:lang w:eastAsia="es-CO"/>
              </w:rPr>
            </w:pPr>
            <w:r w:rsidRPr="00C30B31">
              <w:rPr>
                <w:rFonts w:ascii="Arial" w:eastAsia="BlinkMacSystemFont" w:hAnsi="Arial" w:cs="Arial"/>
                <w:sz w:val="20"/>
                <w:szCs w:val="20"/>
                <w:lang w:eastAsia="es-CO"/>
              </w:rPr>
              <w:t xml:space="preserve">En el evento excepcional establecido en el numeral 1.6, cuando la Entidad no hubiese advertido durante el proceso de evaluación la ausencia de requisitos o la falta de documentos referentes a la futura contratación o al Proponente, ya sea en relación con los requisitos habilitantes o para aclarar aspectos que otorgan puntaje o relativos a los factores de desempate, y por ende, deba requerir a algún proponente, </w:t>
            </w:r>
            <w:r w:rsidRPr="00C30B31">
              <w:rPr>
                <w:rFonts w:ascii="Arial" w:eastAsia="BlinkMacSystemFont" w:hAnsi="Arial" w:cs="Arial"/>
                <w:sz w:val="20"/>
                <w:szCs w:val="20"/>
                <w:u w:val="single"/>
                <w:lang w:eastAsia="es-CO"/>
              </w:rPr>
              <w:t xml:space="preserve">la TRM que la Entidad utilizará para determinar el método de ponderación será la que rija el </w:t>
            </w:r>
            <w:r w:rsidRPr="00C30B31">
              <w:rPr>
                <w:rFonts w:ascii="Arial" w:eastAsia="BlinkMacSystemFont" w:hAnsi="Arial" w:cs="Arial"/>
                <w:i/>
                <w:iCs/>
                <w:sz w:val="20"/>
                <w:szCs w:val="20"/>
                <w:u w:val="single"/>
                <w:lang w:eastAsia="es-CO"/>
              </w:rPr>
              <w:t>segundo día hábil después de finalizado el periodo concedido al proponente requerido para allegar la subsanación y/o aclaración solicitada</w:t>
            </w:r>
            <w:r w:rsidRPr="00C30B31">
              <w:rPr>
                <w:rFonts w:ascii="Arial" w:eastAsia="BlinkMacSystemFont" w:hAnsi="Arial" w:cs="Arial"/>
                <w:sz w:val="20"/>
                <w:szCs w:val="20"/>
                <w:u w:val="single"/>
                <w:lang w:eastAsia="es-CO"/>
              </w:rPr>
              <w:t>.</w:t>
            </w:r>
            <w:r w:rsidRPr="00C30B31">
              <w:rPr>
                <w:rFonts w:ascii="Arial" w:eastAsia="BlinkMacSystemFont" w:hAnsi="Arial" w:cs="Arial"/>
                <w:i/>
                <w:iCs/>
                <w:sz w:val="20"/>
                <w:szCs w:val="20"/>
                <w:u w:val="single"/>
                <w:lang w:eastAsia="es-CO"/>
              </w:rPr>
              <w:t xml:space="preserve"> </w:t>
            </w:r>
          </w:p>
          <w:p w14:paraId="1288A05A" w14:textId="77777777" w:rsidR="00C30B31" w:rsidRPr="00C30B31" w:rsidRDefault="00C30B31" w:rsidP="00C30B31">
            <w:pPr>
              <w:spacing w:after="120"/>
              <w:ind w:left="709" w:right="709"/>
              <w:contextualSpacing/>
              <w:jc w:val="both"/>
              <w:rPr>
                <w:rFonts w:ascii="Calibri" w:eastAsia="Yu Mincho" w:hAnsi="Calibri" w:cs="Arial"/>
                <w:sz w:val="20"/>
                <w:szCs w:val="20"/>
                <w:lang w:eastAsia="es-ES"/>
              </w:rPr>
            </w:pPr>
            <w:r w:rsidRPr="00C30B31">
              <w:rPr>
                <w:rFonts w:ascii="Calibri" w:eastAsia="Yu Mincho" w:hAnsi="Calibri" w:cs="Arial"/>
                <w:sz w:val="20"/>
                <w:szCs w:val="20"/>
                <w:lang w:eastAsia="es-ES"/>
              </w:rPr>
              <w:t>(…)</w:t>
            </w:r>
          </w:p>
          <w:p w14:paraId="1E7C63F4" w14:textId="77777777" w:rsidR="00C30B31" w:rsidRPr="00C30B31" w:rsidRDefault="00C30B31" w:rsidP="00C30B31">
            <w:pPr>
              <w:numPr>
                <w:ilvl w:val="0"/>
                <w:numId w:val="22"/>
              </w:numPr>
              <w:ind w:right="709"/>
              <w:jc w:val="both"/>
              <w:rPr>
                <w:rFonts w:ascii="Calibri" w:eastAsia="Yu Mincho" w:hAnsi="Calibri" w:cs="Arial"/>
                <w:sz w:val="20"/>
                <w:szCs w:val="20"/>
                <w:lang w:eastAsia="es-ES"/>
              </w:rPr>
            </w:pPr>
            <w:r w:rsidRPr="00C30B31">
              <w:rPr>
                <w:rFonts w:ascii="Arial" w:eastAsia="Arial" w:hAnsi="Arial" w:cs="Arial"/>
                <w:sz w:val="20"/>
                <w:szCs w:val="20"/>
                <w:lang w:eastAsia="es-ES"/>
              </w:rPr>
              <w:lastRenderedPageBreak/>
              <w:t xml:space="preserve">Dependiendo del método aleatorio establecido según la TRM, cada uno de los Proponentes habilitados participarán con el valor del promedio de los contratos válidos aportados, que no fueron objeto de subsanación, según la metodología descrita para cada alternativa. </w:t>
            </w:r>
          </w:p>
          <w:p w14:paraId="25135784" w14:textId="77777777" w:rsidR="00C30B31" w:rsidRPr="00C30B31" w:rsidRDefault="00C30B31" w:rsidP="00C30B31">
            <w:pPr>
              <w:spacing w:line="276" w:lineRule="auto"/>
              <w:ind w:firstLine="709"/>
              <w:jc w:val="both"/>
              <w:rPr>
                <w:rFonts w:ascii="Verdana" w:eastAsia="Calibri" w:hAnsi="Verdana" w:cs="Arial"/>
                <w:color w:val="000000"/>
                <w:lang w:val="es-ES_tradnl"/>
              </w:rPr>
            </w:pPr>
          </w:p>
          <w:p w14:paraId="72112E8E" w14:textId="77777777" w:rsidR="00C30B31" w:rsidRPr="00C30B31" w:rsidRDefault="00C30B31" w:rsidP="00C30B31">
            <w:pPr>
              <w:spacing w:after="120" w:line="276" w:lineRule="auto"/>
              <w:ind w:firstLine="709"/>
              <w:jc w:val="both"/>
              <w:rPr>
                <w:rFonts w:ascii="Verdana" w:eastAsia="Calibri" w:hAnsi="Verdana" w:cs="Arial"/>
                <w:color w:val="000000"/>
                <w:lang w:val="es-ES_tradnl"/>
              </w:rPr>
            </w:pPr>
            <w:r w:rsidRPr="00C30B31">
              <w:rPr>
                <w:rFonts w:ascii="Verdana" w:eastAsia="Calibri" w:hAnsi="Verdana" w:cs="Arial"/>
                <w:color w:val="000000"/>
                <w:lang w:val="es-ES_tradnl"/>
              </w:rPr>
              <w:t xml:space="preserve">En relación con su solicitud, conviene mencionar el contenido del inciso segundo y tercero del literal C. previamente citado. En este sentido, el método aleatorio en función de la Tasa Representativo del Mercado TRM que la Entidad utilizará para determinar el método de ponderación -según se indica- corresponderá al que rija “(…) </w:t>
            </w:r>
            <w:r w:rsidRPr="00C30B31">
              <w:rPr>
                <w:rFonts w:ascii="Verdana" w:eastAsia="Arial" w:hAnsi="Verdana" w:cs="Arial"/>
                <w:lang w:eastAsia="es-ES"/>
              </w:rPr>
              <w:t xml:space="preserve">el </w:t>
            </w:r>
            <w:r w:rsidRPr="00C30B31">
              <w:rPr>
                <w:rFonts w:ascii="Verdana" w:eastAsia="Arial" w:hAnsi="Verdana" w:cs="Arial"/>
                <w:i/>
                <w:iCs/>
                <w:lang w:eastAsia="es-ES"/>
              </w:rPr>
              <w:t xml:space="preserve">segundo día hábil después de finalizado el periodo de traslado del informe de evaluación (…)”. </w:t>
            </w:r>
          </w:p>
          <w:p w14:paraId="1833E1FE" w14:textId="77777777" w:rsidR="00C30B31" w:rsidRPr="00C30B31" w:rsidRDefault="00C30B31" w:rsidP="00C30B31">
            <w:pPr>
              <w:spacing w:after="120" w:line="276" w:lineRule="auto"/>
              <w:ind w:firstLine="709"/>
              <w:jc w:val="both"/>
              <w:rPr>
                <w:rFonts w:ascii="Verdana" w:eastAsia="Calibri" w:hAnsi="Verdana" w:cs="Arial"/>
                <w:color w:val="000000"/>
                <w:lang w:val="es-ES_tradnl"/>
              </w:rPr>
            </w:pPr>
            <w:r w:rsidRPr="00C30B31">
              <w:rPr>
                <w:rFonts w:ascii="Verdana" w:eastAsia="Calibri" w:hAnsi="Verdana" w:cs="Arial"/>
                <w:color w:val="000000"/>
                <w:lang w:val="es-ES_tradnl"/>
              </w:rPr>
              <w:t xml:space="preserve">En este sentido, en el inciso dos (2) del literal C del numeral 4.1 se establece entre corchetes y resaltado en gris -a modo de ejemplo- la forma como la entidad determinará el método aleatorio de ponderación a partir de la TRM para lo cual señala que, “(…) si el termino de traslado del informe de evaluación finaliza el 10 de febrero, la TRM que se usará para determinar el método de evaluación será la del 12 de febrero, que se publica en la tarde del 11 de febrero”. Esto, teniendo en cuenta lo señalado en el párrafo precedente, esto es, que la TRM que la Entidad utilizará será la del segundo día hábil después de finalizado el traslado del informe de evaluación. </w:t>
            </w:r>
          </w:p>
          <w:p w14:paraId="1971900A" w14:textId="77777777" w:rsidR="00C30B31" w:rsidRPr="00C30B31" w:rsidRDefault="00C30B31" w:rsidP="00C30B31">
            <w:pPr>
              <w:ind w:firstLine="708"/>
              <w:jc w:val="both"/>
              <w:rPr>
                <w:rFonts w:ascii="Verdana" w:eastAsia="Calibri" w:hAnsi="Verdana" w:cs="Arial"/>
                <w:color w:val="000000"/>
                <w:lang w:val="es-ES_tradnl"/>
              </w:rPr>
            </w:pPr>
            <w:r w:rsidRPr="00C30B31">
              <w:rPr>
                <w:rFonts w:ascii="Verdana" w:eastAsia="Calibri" w:hAnsi="Verdana" w:cs="Arial"/>
                <w:color w:val="000000"/>
                <w:lang w:val="es-ES_tradnl"/>
              </w:rPr>
              <w:t xml:space="preserve">Tal como se señaló con anterioridad, en relación con la </w:t>
            </w:r>
            <w:proofErr w:type="spellStart"/>
            <w:r w:rsidRPr="00C30B31">
              <w:rPr>
                <w:rFonts w:ascii="Verdana" w:eastAsia="Calibri" w:hAnsi="Verdana" w:cs="Arial"/>
                <w:color w:val="000000"/>
                <w:lang w:val="es-ES_tradnl"/>
              </w:rPr>
              <w:t>subsanabilidad</w:t>
            </w:r>
            <w:proofErr w:type="spellEnd"/>
            <w:r w:rsidRPr="00C30B31">
              <w:rPr>
                <w:rFonts w:ascii="Verdana" w:eastAsia="Calibri" w:hAnsi="Verdana" w:cs="Arial"/>
                <w:color w:val="000000"/>
                <w:lang w:val="es-ES_tradnl"/>
              </w:rPr>
              <w:t xml:space="preserve"> de las ofertas, </w:t>
            </w:r>
            <w:r w:rsidRPr="00C30B31">
              <w:rPr>
                <w:rFonts w:ascii="Verdana" w:eastAsia="Arial" w:hAnsi="Verdana" w:cs="Arial"/>
                <w:color w:val="000000"/>
              </w:rPr>
              <w:t xml:space="preserve">se permite que la Administración requiera al oferente durante el proceso de evaluación de las propuestas, tan pronto advierta que hace falta un documento o requisito que se puede subsanar. </w:t>
            </w:r>
            <w:r w:rsidRPr="00C30B31">
              <w:rPr>
                <w:rFonts w:ascii="Verdana" w:eastAsia="Calibri" w:hAnsi="Verdana" w:cs="Arial"/>
                <w:color w:val="000000"/>
                <w:lang w:val="es-ES_tradnl"/>
              </w:rPr>
              <w:t>Ahora, y en el evento que se presente una situación excepcional en la cual la Entidad no hubiese advertido durante el proceso de evaluación la ausencia de requisitos o la falta de documentos referentes a la futura contratación o al Proponente, ya sea en relación con los requisitos habilitantes o para aclarar aspectos que otorgan puntaje o relativos a los factores de desempate y, por ende, no los haya requerido, podrá hacerlo posteriormente, otorgándole al Proponente un término igual al establecido para el traslado del informe de evaluación,</w:t>
            </w:r>
            <w:r w:rsidRPr="00C30B31" w:rsidDel="008C5B46">
              <w:rPr>
                <w:rFonts w:ascii="Verdana" w:eastAsia="Calibri" w:hAnsi="Verdana" w:cs="Arial"/>
                <w:color w:val="000000"/>
                <w:lang w:val="es-ES_tradnl"/>
              </w:rPr>
              <w:t xml:space="preserve"> </w:t>
            </w:r>
            <w:r w:rsidRPr="00C30B31">
              <w:rPr>
                <w:rFonts w:ascii="Verdana" w:eastAsia="Calibri" w:hAnsi="Verdana" w:cs="Arial"/>
                <w:color w:val="000000"/>
                <w:lang w:val="es-ES_tradnl"/>
              </w:rPr>
              <w:t xml:space="preserve">con el fin de que los allegue. En este sentido, en el inciso tercero del literal C del numeral 4.1 se definió una regla aplicable a estas situaciones, para determinar la TRM que la Entidad utilizará para determinar el método de ponderación, según la cual: </w:t>
            </w:r>
          </w:p>
          <w:p w14:paraId="34AF7D0A" w14:textId="77777777" w:rsidR="00C30B31" w:rsidRPr="00C30B31" w:rsidRDefault="00C30B31" w:rsidP="00C30B31">
            <w:pPr>
              <w:ind w:firstLine="708"/>
              <w:jc w:val="both"/>
              <w:rPr>
                <w:rFonts w:ascii="Verdana" w:eastAsia="Calibri" w:hAnsi="Verdana" w:cs="Arial"/>
                <w:color w:val="000000"/>
                <w:lang w:val="es-ES_tradnl"/>
              </w:rPr>
            </w:pPr>
          </w:p>
          <w:p w14:paraId="4B5CC552" w14:textId="77777777" w:rsidR="00C30B31" w:rsidRPr="00C30B31" w:rsidRDefault="00C30B31" w:rsidP="00C30B31">
            <w:pPr>
              <w:ind w:left="708" w:right="709"/>
              <w:jc w:val="both"/>
              <w:rPr>
                <w:rFonts w:ascii="Verdana" w:eastAsia="Calibri" w:hAnsi="Verdana" w:cs="Arial"/>
                <w:color w:val="000000"/>
                <w:sz w:val="21"/>
                <w:szCs w:val="21"/>
                <w:lang w:val="es-ES_tradnl"/>
              </w:rPr>
            </w:pPr>
            <w:r w:rsidRPr="00C30B31">
              <w:rPr>
                <w:rFonts w:ascii="Verdana" w:eastAsia="Calibri" w:hAnsi="Verdana" w:cs="Arial"/>
                <w:color w:val="000000"/>
                <w:sz w:val="21"/>
                <w:szCs w:val="21"/>
                <w:lang w:val="es-ES_tradnl"/>
              </w:rPr>
              <w:t xml:space="preserve">“En el evento excepcional establecido en el numeral 1.6, cuando la Entidad no hubiese advertido durante el proceso de evaluación la ausencia de requisitos o la falta de documentos referentes a la futura contratación o al Proponente, ya sea en relación con los requisitos </w:t>
            </w:r>
            <w:r w:rsidRPr="00C30B31">
              <w:rPr>
                <w:rFonts w:ascii="Verdana" w:eastAsia="Calibri" w:hAnsi="Verdana" w:cs="Arial"/>
                <w:color w:val="000000"/>
                <w:sz w:val="21"/>
                <w:szCs w:val="21"/>
                <w:lang w:val="es-ES_tradnl"/>
              </w:rPr>
              <w:lastRenderedPageBreak/>
              <w:t>habilitantes o para aclarar aspectos que otorgan puntaje o relativos a los factores de desempate, y por ende, deba requerir a algún proponente, la TRM que la Entidad utilizará para determinar el método de ponderación será la que rija el segundo día hábil después de finalizado el periodo concedido al proponente requerido para allegar la subsanación y/o aclaración solicitada”.</w:t>
            </w:r>
          </w:p>
          <w:p w14:paraId="410AA8B7" w14:textId="77777777" w:rsidR="00C30B31" w:rsidRPr="00C30B31" w:rsidRDefault="00C30B31" w:rsidP="00C30B31">
            <w:pPr>
              <w:ind w:left="708" w:right="709"/>
              <w:jc w:val="both"/>
              <w:rPr>
                <w:rFonts w:ascii="Verdana" w:eastAsia="Calibri" w:hAnsi="Verdana" w:cs="Arial"/>
                <w:color w:val="000000"/>
                <w:sz w:val="21"/>
                <w:szCs w:val="21"/>
                <w:lang w:val="es-ES_tradnl"/>
              </w:rPr>
            </w:pPr>
          </w:p>
          <w:p w14:paraId="50F74AB9" w14:textId="77777777" w:rsidR="00C30B31" w:rsidRPr="00C30B31" w:rsidRDefault="00C30B31" w:rsidP="00C30B31">
            <w:pPr>
              <w:spacing w:after="120"/>
              <w:ind w:firstLine="708"/>
              <w:jc w:val="both"/>
              <w:rPr>
                <w:rFonts w:ascii="Verdana" w:eastAsia="Calibri" w:hAnsi="Verdana" w:cs="Arial"/>
                <w:color w:val="000000"/>
                <w:lang w:val="es-ES_tradnl"/>
              </w:rPr>
            </w:pPr>
            <w:r w:rsidRPr="00C30B31">
              <w:rPr>
                <w:rFonts w:ascii="Verdana" w:eastAsia="Calibri" w:hAnsi="Verdana" w:cs="Arial"/>
                <w:color w:val="000000"/>
                <w:lang w:val="es-ES_tradnl"/>
              </w:rPr>
              <w:t xml:space="preserve">En el marco de esta excepcionalidad, se inscriben las situaciones planteadas por el peticionario, toda vez que, si la Entidad requiere al proponente en un momento posterior al proceso de evaluación, la determinación de la Tasa Representativa del Mercado TRM, que la Entidad utilizará para determinar el método de ponderación será la que rija el segundo día hábil después de finalizado el periodo concedido al proponente requerido para la subsanación de requisitos habilitantes y/o para aclarar aspectos que otorgan puntaje o relativos a factores de desempate. </w:t>
            </w:r>
          </w:p>
          <w:p w14:paraId="39FA77AB" w14:textId="77777777" w:rsidR="00C30B31" w:rsidRPr="00C30B31" w:rsidRDefault="00C30B31" w:rsidP="32E0163A">
            <w:pPr>
              <w:spacing w:after="120" w:line="276" w:lineRule="auto"/>
              <w:ind w:firstLine="709"/>
              <w:jc w:val="both"/>
              <w:rPr>
                <w:rFonts w:ascii="Verdana" w:eastAsia="Calibri" w:hAnsi="Verdana" w:cs="Arial"/>
                <w:color w:val="000000"/>
                <w:lang w:val="es-ES"/>
              </w:rPr>
            </w:pPr>
            <w:r w:rsidRPr="32E0163A">
              <w:rPr>
                <w:rFonts w:ascii="Verdana" w:eastAsia="Calibri" w:hAnsi="Verdana" w:cs="Arial"/>
                <w:color w:val="000000" w:themeColor="text1"/>
                <w:lang w:val="es-ES"/>
              </w:rPr>
              <w:t xml:space="preserve">De lo anterior, se tiene que del documento tipo acudió a este valor como el criterio de escogencia del método aleatorio para evaluar la experiencia de los proponentes, porque su definición no depende de la discrecionalidad de la administración pública en cualquiera de sus órdenes y niveles, pues aunque se establece y certifica por parte de la Superintendencia Financiera, su determinación depende de las dinámicas del mercado de divisas, garantizando una escogencia aleatoria del método de ponderación aplicable para tal propósito, lo que dota de transparencia la evaluación de las ofertas. </w:t>
            </w:r>
          </w:p>
          <w:p w14:paraId="58CDBA81" w14:textId="77777777" w:rsidR="00C30B31" w:rsidRPr="00C30B31" w:rsidRDefault="00C30B31" w:rsidP="00C30B31">
            <w:pPr>
              <w:numPr>
                <w:ilvl w:val="0"/>
                <w:numId w:val="27"/>
              </w:numPr>
              <w:spacing w:before="120" w:after="120"/>
              <w:ind w:left="0" w:firstLine="0"/>
              <w:jc w:val="both"/>
              <w:rPr>
                <w:rFonts w:ascii="Verdana" w:eastAsia="Aptos" w:hAnsi="Verdana" w:cs="Times New Roman"/>
              </w:rPr>
            </w:pPr>
            <w:r w:rsidRPr="00C30B31">
              <w:rPr>
                <w:rFonts w:ascii="Verdana" w:eastAsia="Aptos" w:hAnsi="Verdana" w:cs="Times New Roman"/>
              </w:rPr>
              <w:t>El documento tipo para los servicios de interventoría de obra pública de infraestructura de transporte – Versión 3 se estructuraron bajo la modalidad de contratación Concurso de méritos, esto teniendo en consideración el tipo de servicio a contratar.</w:t>
            </w:r>
          </w:p>
          <w:p w14:paraId="6778C978" w14:textId="77777777" w:rsidR="00C30B31" w:rsidRPr="00C30B31" w:rsidRDefault="00C30B31" w:rsidP="00C30B31">
            <w:pPr>
              <w:spacing w:after="120" w:line="276" w:lineRule="auto"/>
              <w:ind w:firstLine="709"/>
              <w:jc w:val="both"/>
              <w:rPr>
                <w:rFonts w:ascii="Verdana" w:eastAsia="Calibri" w:hAnsi="Verdana" w:cs="Arial"/>
                <w:color w:val="000000"/>
                <w:lang w:val="es-ES_tradnl"/>
              </w:rPr>
            </w:pPr>
            <w:r w:rsidRPr="00C30B31">
              <w:rPr>
                <w:rFonts w:ascii="Verdana" w:eastAsia="Calibri" w:hAnsi="Verdana" w:cs="Arial"/>
                <w:color w:val="000000"/>
                <w:lang w:val="es-ES_tradnl"/>
              </w:rPr>
              <w:t xml:space="preserve">En este mismo sentido y teniendo en cuenta que el procedimiento de selección de concurso de méritos, aplicable para la escogencia de consultores está reglamentado, por el artículo 2.2.1.2.1.3.2. del Decreto 1082 de 2015, modificado por el Decreto 399 de 2021, el cual dispone en el numeral 1.1 de dicha norma que: “La Entidad Estatal en los pliegos de condiciones debe indicar la forma como calificará, entre otros, los siguientes criterios: a) la experiencia del interesado y del equipo de trabajo y b) la formación académica del equipo de trabajo”, excluyendo el precio como factor de escogencia. </w:t>
            </w:r>
          </w:p>
          <w:p w14:paraId="1FD5DBEF" w14:textId="77777777" w:rsidR="00C30B31" w:rsidRPr="00C30B31" w:rsidRDefault="00C30B31" w:rsidP="32E0163A">
            <w:pPr>
              <w:spacing w:after="120" w:line="276" w:lineRule="auto"/>
              <w:ind w:firstLine="709"/>
              <w:jc w:val="both"/>
              <w:rPr>
                <w:rFonts w:ascii="Verdana" w:eastAsia="Calibri" w:hAnsi="Verdana" w:cs="Arial"/>
                <w:color w:val="000000"/>
                <w:lang w:val="es-ES"/>
              </w:rPr>
            </w:pPr>
            <w:r w:rsidRPr="32E0163A">
              <w:rPr>
                <w:rFonts w:ascii="Verdana" w:eastAsia="Calibri" w:hAnsi="Verdana" w:cs="Arial"/>
                <w:color w:val="000000" w:themeColor="text1"/>
                <w:lang w:val="es-ES"/>
              </w:rPr>
              <w:t xml:space="preserve">Conforme a esto, los factores ponderables en un proceso de selección de concurso de méritos –esto es, los que determinan la escogencia entre los proponentes habilitados–, son la experiencia del interesado y su equipo de </w:t>
            </w:r>
            <w:r w:rsidRPr="32E0163A">
              <w:rPr>
                <w:rFonts w:ascii="Verdana" w:eastAsia="Calibri" w:hAnsi="Verdana" w:cs="Arial"/>
                <w:color w:val="000000" w:themeColor="text1"/>
                <w:lang w:val="es-ES"/>
              </w:rPr>
              <w:lastRenderedPageBreak/>
              <w:t>trabajo, así como la formación académica, por lo anteriormente señalado en el marco de esta modalidad, la oferta económica no se configura en un criterio de asignación de puntaje.</w:t>
            </w:r>
          </w:p>
          <w:p w14:paraId="6A632368" w14:textId="77777777" w:rsidR="00C30B31" w:rsidRPr="00C30B31" w:rsidRDefault="00C30B31" w:rsidP="00C30B31">
            <w:pPr>
              <w:spacing w:after="120" w:line="276" w:lineRule="auto"/>
              <w:ind w:firstLine="709"/>
              <w:jc w:val="both"/>
              <w:rPr>
                <w:rFonts w:ascii="Verdana" w:eastAsia="Calibri" w:hAnsi="Verdana" w:cs="Arial"/>
                <w:color w:val="000000"/>
                <w:lang w:val="es-ES_tradnl"/>
              </w:rPr>
            </w:pPr>
            <w:r w:rsidRPr="00C30B31">
              <w:rPr>
                <w:rFonts w:ascii="Verdana" w:eastAsia="Calibri" w:hAnsi="Verdana" w:cs="Arial"/>
                <w:color w:val="000000"/>
                <w:lang w:val="es-ES_tradnl"/>
              </w:rPr>
              <w:t xml:space="preserve">En el marco de los anteriormente señalado, el documento tipo para los servicios de interventoría de obra pública de infraestructura de transporte – Versión 3 en el CAPITULO IV. CRITERIOS DE EVALUACIÓN, ASIGNACIÓN DE PUNTAJE Y CRITERIOS DE DESEMPATE la Entidad calificará las ofertas que hayan cumplido los requisitos habilitantes con los siguientes criterios de evaluación y puntaje: i) Experiencia del proponente </w:t>
            </w:r>
            <w:proofErr w:type="spellStart"/>
            <w:r w:rsidRPr="00C30B31">
              <w:rPr>
                <w:rFonts w:ascii="Verdana" w:eastAsia="Calibri" w:hAnsi="Verdana" w:cs="Arial"/>
                <w:color w:val="000000"/>
                <w:lang w:val="es-ES_tradnl"/>
              </w:rPr>
              <w:t>ii</w:t>
            </w:r>
            <w:proofErr w:type="spellEnd"/>
            <w:r w:rsidRPr="00C30B31">
              <w:rPr>
                <w:rFonts w:ascii="Verdana" w:eastAsia="Calibri" w:hAnsi="Verdana" w:cs="Arial"/>
                <w:color w:val="000000"/>
                <w:lang w:val="es-ES_tradnl"/>
              </w:rPr>
              <w:t xml:space="preserve">) Equipo de trabajo (personal clave evaluable) </w:t>
            </w:r>
            <w:proofErr w:type="spellStart"/>
            <w:r w:rsidRPr="00C30B31">
              <w:rPr>
                <w:rFonts w:ascii="Verdana" w:eastAsia="Calibri" w:hAnsi="Verdana" w:cs="Arial"/>
                <w:color w:val="000000"/>
                <w:lang w:val="es-ES_tradnl"/>
              </w:rPr>
              <w:t>iii</w:t>
            </w:r>
            <w:proofErr w:type="spellEnd"/>
            <w:r w:rsidRPr="00C30B31">
              <w:rPr>
                <w:rFonts w:ascii="Verdana" w:eastAsia="Calibri" w:hAnsi="Verdana" w:cs="Arial"/>
                <w:color w:val="000000"/>
                <w:lang w:val="es-ES_tradnl"/>
              </w:rPr>
              <w:t xml:space="preserve">) factor de sostenibilidad, </w:t>
            </w:r>
            <w:proofErr w:type="spellStart"/>
            <w:r w:rsidRPr="00C30B31">
              <w:rPr>
                <w:rFonts w:ascii="Verdana" w:eastAsia="Calibri" w:hAnsi="Verdana" w:cs="Arial"/>
                <w:color w:val="000000"/>
                <w:lang w:val="es-ES_tradnl"/>
              </w:rPr>
              <w:t>iv</w:t>
            </w:r>
            <w:proofErr w:type="spellEnd"/>
            <w:r w:rsidRPr="00C30B31">
              <w:rPr>
                <w:rFonts w:ascii="Verdana" w:eastAsia="Calibri" w:hAnsi="Verdana" w:cs="Arial"/>
                <w:color w:val="000000"/>
                <w:lang w:val="es-ES_tradnl"/>
              </w:rPr>
              <w:t xml:space="preserve">) Apoyo a la industria nacional y v) vinculación de personas con discapacidad, vi) emprendimientos y empresas de mujeres y </w:t>
            </w:r>
            <w:proofErr w:type="spellStart"/>
            <w:r w:rsidRPr="00C30B31">
              <w:rPr>
                <w:rFonts w:ascii="Verdana" w:eastAsia="Calibri" w:hAnsi="Verdana" w:cs="Arial"/>
                <w:color w:val="000000"/>
                <w:lang w:val="es-ES_tradnl"/>
              </w:rPr>
              <w:t>vii</w:t>
            </w:r>
            <w:proofErr w:type="spellEnd"/>
            <w:r w:rsidRPr="00C30B31">
              <w:rPr>
                <w:rFonts w:ascii="Verdana" w:eastAsia="Calibri" w:hAnsi="Verdana" w:cs="Arial"/>
                <w:color w:val="000000"/>
                <w:lang w:val="es-ES_tradnl"/>
              </w:rPr>
              <w:t xml:space="preserve">) </w:t>
            </w:r>
            <w:proofErr w:type="spellStart"/>
            <w:r w:rsidRPr="00C30B31">
              <w:rPr>
                <w:rFonts w:ascii="Verdana" w:eastAsia="Calibri" w:hAnsi="Verdana" w:cs="Arial"/>
                <w:color w:val="000000"/>
                <w:lang w:val="es-ES_tradnl"/>
              </w:rPr>
              <w:t>Mipyme</w:t>
            </w:r>
            <w:proofErr w:type="spellEnd"/>
            <w:r w:rsidRPr="00C30B31">
              <w:rPr>
                <w:rFonts w:ascii="Verdana" w:eastAsia="Calibri" w:hAnsi="Verdana" w:cs="Arial"/>
                <w:color w:val="000000"/>
                <w:lang w:val="es-ES_tradnl"/>
              </w:rPr>
              <w:t>.</w:t>
            </w:r>
            <w:r w:rsidRPr="00C30B31">
              <w:rPr>
                <w:rFonts w:ascii="Verdana" w:eastAsia="Calibri" w:hAnsi="Verdana" w:cs="Arial"/>
                <w:lang w:val="es-MX"/>
              </w:rPr>
              <w:t xml:space="preserve"> </w:t>
            </w:r>
          </w:p>
        </w:tc>
      </w:tr>
    </w:tbl>
    <w:p w14:paraId="07747BD4" w14:textId="77777777" w:rsidR="00C30B31" w:rsidRPr="00C30B31" w:rsidRDefault="00C30B31" w:rsidP="00C30B31">
      <w:pPr>
        <w:tabs>
          <w:tab w:val="left" w:pos="142"/>
          <w:tab w:val="left" w:pos="284"/>
        </w:tabs>
        <w:spacing w:after="0" w:line="276" w:lineRule="auto"/>
        <w:jc w:val="both"/>
        <w:rPr>
          <w:rFonts w:ascii="Verdana" w:eastAsia="Century Gothic" w:hAnsi="Verdana" w:cs="Century Gothic"/>
          <w:b/>
          <w:bCs/>
        </w:rPr>
      </w:pPr>
    </w:p>
    <w:p w14:paraId="1ABF1FB4" w14:textId="77777777" w:rsidR="00C30B31" w:rsidRPr="00C30B31" w:rsidRDefault="00C30B31" w:rsidP="00C30B31">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C30B31">
        <w:rPr>
          <w:rFonts w:ascii="Verdana" w:eastAsia="Century Gothic" w:hAnsi="Verdana" w:cs="Century Gothic"/>
          <w:b/>
          <w:bCs/>
        </w:rPr>
        <w:t>Razones de la respuesta:</w:t>
      </w:r>
    </w:p>
    <w:p w14:paraId="312FEBE5" w14:textId="77777777" w:rsidR="00C30B31" w:rsidRPr="00C30B31" w:rsidRDefault="00C30B31" w:rsidP="00C30B31">
      <w:pPr>
        <w:spacing w:after="0" w:line="276" w:lineRule="auto"/>
        <w:jc w:val="both"/>
        <w:rPr>
          <w:rFonts w:ascii="Verdana" w:eastAsia="Calibri" w:hAnsi="Verdana" w:cs="Arial"/>
          <w:color w:val="7030A0"/>
        </w:rPr>
      </w:pPr>
    </w:p>
    <w:p w14:paraId="1679902D" w14:textId="77777777" w:rsidR="00C30B31" w:rsidRPr="00C30B31" w:rsidRDefault="00C30B31" w:rsidP="00C30B31">
      <w:pPr>
        <w:spacing w:after="0" w:line="276" w:lineRule="auto"/>
        <w:jc w:val="both"/>
        <w:rPr>
          <w:rFonts w:ascii="Verdana" w:eastAsia="Calibri" w:hAnsi="Verdana" w:cs="Arial"/>
        </w:rPr>
      </w:pPr>
      <w:r w:rsidRPr="00C30B31">
        <w:rPr>
          <w:rFonts w:ascii="Verdana" w:eastAsia="Calibri" w:hAnsi="Verdana" w:cs="Arial"/>
        </w:rPr>
        <w:t xml:space="preserve">Lo anterior se sustenta en las siguientes consideraciones: </w:t>
      </w:r>
    </w:p>
    <w:p w14:paraId="509CDBF9" w14:textId="77777777" w:rsidR="00C30B31" w:rsidRPr="00C30B31" w:rsidRDefault="00C30B31" w:rsidP="00C30B31">
      <w:pPr>
        <w:spacing w:after="0" w:line="276" w:lineRule="auto"/>
        <w:jc w:val="both"/>
        <w:rPr>
          <w:rFonts w:ascii="Verdana" w:eastAsia="Calibri" w:hAnsi="Verdana" w:cs="Arial"/>
        </w:rPr>
      </w:pPr>
    </w:p>
    <w:p w14:paraId="2CAFC031" w14:textId="77777777" w:rsidR="00C30B31" w:rsidRPr="00C30B31" w:rsidRDefault="00C30B31" w:rsidP="00C30B31">
      <w:pPr>
        <w:numPr>
          <w:ilvl w:val="0"/>
          <w:numId w:val="25"/>
        </w:numPr>
        <w:spacing w:after="120" w:line="278" w:lineRule="auto"/>
        <w:ind w:left="0" w:firstLine="0"/>
        <w:contextualSpacing/>
        <w:jc w:val="both"/>
        <w:rPr>
          <w:rFonts w:ascii="Verdana" w:eastAsia="Aptos" w:hAnsi="Verdana" w:cs="ArialMT"/>
          <w14:ligatures w14:val="standardContextual"/>
        </w:rPr>
      </w:pPr>
      <w:r w:rsidRPr="00C30B31">
        <w:rPr>
          <w:rFonts w:ascii="Verdana" w:eastAsia="Aptos" w:hAnsi="Verdana" w:cs="Arial"/>
          <w:kern w:val="2"/>
          <w14:ligatures w14:val="standardContextual"/>
        </w:rPr>
        <w:t>Los documentos tipo expedidos por esta Agencia en ejercicio de la potestad otorgada</w:t>
      </w:r>
      <w:r w:rsidRPr="00C30B31">
        <w:rPr>
          <w:rFonts w:ascii="Verdana" w:eastAsia="Aptos" w:hAnsi="Verdana" w:cs="ArialMT"/>
          <w14:ligatures w14:val="standardContextual"/>
        </w:rPr>
        <w:t xml:space="preserve">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w:t>
      </w:r>
      <w:proofErr w:type="gramStart"/>
      <w:r w:rsidRPr="00C30B31">
        <w:rPr>
          <w:rFonts w:ascii="Verdana" w:eastAsia="Aptos" w:hAnsi="Verdana" w:cs="ArialMT"/>
          <w14:ligatures w14:val="standardContextual"/>
        </w:rPr>
        <w:t>aplicación,</w:t>
      </w:r>
      <w:proofErr w:type="gramEnd"/>
      <w:r w:rsidRPr="00C30B31">
        <w:rPr>
          <w:rFonts w:ascii="Verdana" w:eastAsia="Aptos" w:hAnsi="Verdana" w:cs="ArialMT"/>
          <w14:ligatures w14:val="standardContextual"/>
        </w:rPr>
        <w:t xml:space="preserve"> no podrán variar los requisitos que en ellos sean fijados, ni establecer reglas o requisitos adicionales a los establecidos en estos para la presentación de las ofertas y la acreditación de los requisitos habilitantes.</w:t>
      </w:r>
    </w:p>
    <w:p w14:paraId="6D6CDE61" w14:textId="77777777" w:rsidR="00C30B31" w:rsidRPr="00C30B31" w:rsidRDefault="00C30B31" w:rsidP="00C30B31">
      <w:pPr>
        <w:spacing w:after="120"/>
        <w:ind w:firstLine="643"/>
        <w:jc w:val="both"/>
        <w:rPr>
          <w:rFonts w:ascii="Verdana" w:eastAsia="Aptos" w:hAnsi="Verdana" w:cs="ArialMT"/>
          <w14:ligatures w14:val="standardContextual"/>
        </w:rPr>
      </w:pPr>
      <w:r w:rsidRPr="00C30B31">
        <w:rPr>
          <w:rFonts w:ascii="Verdana" w:eastAsia="Aptos" w:hAnsi="Verdana" w:cs="ArialMT"/>
          <w14:ligatures w14:val="standardContextual"/>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C30B31">
        <w:rPr>
          <w:rFonts w:ascii="Aptos" w:eastAsia="Aptos" w:hAnsi="Aptos" w:cs="Times New Roman"/>
          <w:kern w:val="2"/>
          <w:sz w:val="24"/>
          <w:szCs w:val="24"/>
          <w:vertAlign w:val="superscript"/>
          <w14:ligatures w14:val="standardContextual"/>
        </w:rPr>
        <w:footnoteReference w:id="1"/>
      </w:r>
      <w:r w:rsidRPr="00C30B31">
        <w:rPr>
          <w:rFonts w:ascii="Verdana" w:eastAsia="Aptos" w:hAnsi="Verdana" w:cs="ArialMT"/>
          <w14:ligatures w14:val="standardContextual"/>
        </w:rPr>
        <w:t xml:space="preserve">. </w:t>
      </w:r>
    </w:p>
    <w:p w14:paraId="049C337E" w14:textId="77777777" w:rsidR="00C30B31" w:rsidRPr="00C30B31" w:rsidRDefault="00C30B31" w:rsidP="00C30B31">
      <w:pPr>
        <w:spacing w:after="120"/>
        <w:ind w:firstLine="643"/>
        <w:jc w:val="both"/>
        <w:rPr>
          <w:rFonts w:ascii="Verdana" w:eastAsia="Aptos" w:hAnsi="Verdana" w:cs="ArialMT"/>
          <w14:ligatures w14:val="standardContextual"/>
        </w:rPr>
      </w:pPr>
      <w:r w:rsidRPr="00C30B31">
        <w:rPr>
          <w:rFonts w:ascii="Verdana" w:eastAsia="Aptos" w:hAnsi="Verdana" w:cs="ArialMT"/>
          <w14:ligatures w14:val="standardContextual"/>
        </w:rPr>
        <w:lastRenderedPageBreak/>
        <w:t>En el sector de infraestructura de transporte, la Agencia Nacional de Contratación Pública – Colombia Compra Eficiente ha expedido Documentos Tipo</w:t>
      </w:r>
      <w:r w:rsidRPr="00C30B31">
        <w:rPr>
          <w:rFonts w:ascii="Verdana" w:eastAsia="Aptos" w:hAnsi="Verdana" w:cs="ArialMT"/>
          <w14:ligatures w14:val="standardContextual"/>
        </w:rPr>
        <w:footnoteReference w:id="2"/>
      </w:r>
      <w:r w:rsidRPr="00C30B31">
        <w:rPr>
          <w:rFonts w:ascii="Verdana" w:eastAsia="Aptos" w:hAnsi="Verdana" w:cs="ArialMT"/>
          <w14:ligatures w14:val="standardContextual"/>
        </w:rPr>
        <w:t xml:space="preserve"> para contratar obras públicas de infraestructura de transporte bajo las modalidades de selección de licitación pública, selección abreviada de menor cuantía y mínima cuantía. Así mismo, esta Agencia ha expedido documentos tipo de concurso de méritos para contratar la interventoría y la consultoría de estudios de ingeniería de infraestructura de transporte</w:t>
      </w:r>
      <w:r w:rsidRPr="00C30B31">
        <w:rPr>
          <w:rFonts w:ascii="Verdana" w:eastAsia="Aptos" w:hAnsi="Verdana" w:cs="ArialMT"/>
          <w:vertAlign w:val="superscript"/>
          <w14:ligatures w14:val="standardContextual"/>
        </w:rPr>
        <w:footnoteReference w:id="3"/>
      </w:r>
      <w:r w:rsidRPr="00C30B31">
        <w:rPr>
          <w:rFonts w:ascii="Verdana" w:eastAsia="Aptos" w:hAnsi="Verdana" w:cs="ArialMT"/>
          <w14:ligatures w14:val="standardContextual"/>
        </w:rPr>
        <w:t xml:space="preserve">. </w:t>
      </w:r>
    </w:p>
    <w:p w14:paraId="77700CD0" w14:textId="77777777" w:rsidR="00C30B31" w:rsidRPr="00C30B31" w:rsidRDefault="00C30B31" w:rsidP="00C30B31">
      <w:pPr>
        <w:spacing w:after="120"/>
        <w:ind w:firstLine="641"/>
        <w:jc w:val="both"/>
        <w:rPr>
          <w:rFonts w:ascii="Verdana" w:eastAsia="Aptos" w:hAnsi="Verdana" w:cs="ArialMT"/>
          <w14:ligatures w14:val="standardContextual"/>
        </w:rPr>
      </w:pPr>
      <w:r w:rsidRPr="00C30B31">
        <w:rPr>
          <w:rFonts w:ascii="Verdana" w:eastAsia="Aptos" w:hAnsi="Verdana" w:cs="ArialMT"/>
          <w14:ligatures w14:val="standardContextual"/>
        </w:rPr>
        <w:t xml:space="preserve">La Ley 2022 de 2020 indicó que la Agencia Nacional de Contratación Pública – Colombia Compra Eficiente, debe revisar constantemente el contenido de los documentos tipo que expida. En desarrollo de este deber, esta agencia estableció un procedimiento para recibir y revisar los comentarios a los documentos tipo de infraestructura de transporte, realizados por todos los partícipes del sistema de la compra pública en el primero y parte del segundo semestre del año 2024. Como consecuencia de ello, se expidieron los diferentes actos administrativos por medio de los cuales se adoptaron y/o modificaron los documentos tipo de este sector, y en simultaneo se publicaron las respuestas a todas las observaciones y/o comentarios realizados a los proyectos de documentos tipo. </w:t>
      </w:r>
    </w:p>
    <w:p w14:paraId="20A86F91" w14:textId="77777777" w:rsidR="00C30B31" w:rsidRPr="00C30B31" w:rsidRDefault="00C30B31" w:rsidP="00C30B31">
      <w:pPr>
        <w:spacing w:after="120"/>
        <w:ind w:firstLine="641"/>
        <w:jc w:val="both"/>
        <w:rPr>
          <w:rFonts w:ascii="Verdana" w:eastAsia="Aptos" w:hAnsi="Verdana" w:cs="ArialMT"/>
          <w14:ligatures w14:val="standardContextual"/>
        </w:rPr>
      </w:pPr>
      <w:r w:rsidRPr="00C30B31">
        <w:rPr>
          <w:rFonts w:ascii="Verdana" w:eastAsia="Aptos" w:hAnsi="Verdana" w:cs="ArialMT"/>
          <w14:ligatures w14:val="standardContextual"/>
        </w:rPr>
        <w:t xml:space="preserve">Así, los documentos tipo del sector de infraestructura de transporte fueron modificados después de surtir el procedimiento interno establecido por esta agencia. En la actualización de estos documentos tipo, participaron entidades </w:t>
      </w:r>
      <w:r w:rsidRPr="00C30B31">
        <w:rPr>
          <w:rFonts w:ascii="Verdana" w:eastAsia="Aptos" w:hAnsi="Verdana" w:cs="ArialMT"/>
          <w14:ligatures w14:val="standardContextual"/>
        </w:rPr>
        <w:lastRenderedPageBreak/>
        <w:t xml:space="preserve">técnicas y especializadas del sector transporte, tales como el Instituto Nacional de Vías – INVIAS, el Instituto de Desarrollo Urbano – UDU, el Instituto de Infraestructura y Concesiones de Cundinamarca – ICCU, entre otras. </w:t>
      </w:r>
    </w:p>
    <w:p w14:paraId="78CCC5A5" w14:textId="77777777" w:rsidR="00C30B31" w:rsidRPr="00C30B31" w:rsidRDefault="00C30B31" w:rsidP="00C30B31">
      <w:pPr>
        <w:spacing w:after="120"/>
        <w:ind w:firstLine="643"/>
        <w:jc w:val="both"/>
        <w:rPr>
          <w:rFonts w:ascii="Verdana" w:eastAsia="Aptos" w:hAnsi="Verdana" w:cs="ArialMT"/>
          <w14:ligatures w14:val="standardContextual"/>
        </w:rPr>
      </w:pPr>
      <w:r w:rsidRPr="00C30B31">
        <w:rPr>
          <w:rFonts w:ascii="Verdana" w:eastAsia="Aptos" w:hAnsi="Verdana" w:cs="ArialMT"/>
          <w14:ligatures w14:val="standardContextual"/>
        </w:rPr>
        <w:t xml:space="preserve">En este sentido, mediante la Resolución 725 del 19 de diciembre de 2024, se adoptó la versión 3 de los documentos tipo para los procesos de selección de concurso de méritos para contratar la interventoría de obras públicas de infraestructura de transporte, y se derogó la versión 2 que se había adoptado por medio de la Resolución 326 de 2022. De acuerdo con el artículo séptimo de la Resolución 725 de 2024, los documentos tipo que se adoptan aplican para los procesos de selección cuyo aviso de convocatoria se publique a partir del 3 de febrero de 2025. </w:t>
      </w:r>
    </w:p>
    <w:p w14:paraId="62C73F14" w14:textId="77777777" w:rsidR="00C30B31" w:rsidRPr="00C30B31" w:rsidRDefault="00C30B31" w:rsidP="00C30B31">
      <w:pPr>
        <w:pBdr>
          <w:top w:val="nil"/>
          <w:left w:val="nil"/>
          <w:bottom w:val="nil"/>
          <w:right w:val="nil"/>
          <w:between w:val="nil"/>
        </w:pBdr>
        <w:spacing w:after="120" w:line="276" w:lineRule="auto"/>
        <w:jc w:val="both"/>
        <w:rPr>
          <w:rFonts w:ascii="Verdana" w:eastAsia="Quattrocento Sans" w:hAnsi="Verdana" w:cs="Quattrocento Sans"/>
          <w:color w:val="000000"/>
        </w:rPr>
      </w:pPr>
      <w:proofErr w:type="spellStart"/>
      <w:r w:rsidRPr="00C30B31">
        <w:rPr>
          <w:rFonts w:ascii="Verdana" w:eastAsia="Quattrocento Sans" w:hAnsi="Verdana" w:cs="Quattrocento Sans"/>
          <w:color w:val="000000"/>
        </w:rPr>
        <w:t>ii</w:t>
      </w:r>
      <w:proofErr w:type="spellEnd"/>
      <w:r w:rsidRPr="00C30B31">
        <w:rPr>
          <w:rFonts w:ascii="Verdana" w:eastAsia="Quattrocento Sans" w:hAnsi="Verdana" w:cs="Quattrocento Sans"/>
          <w:color w:val="000000"/>
        </w:rPr>
        <w:t xml:space="preserve">) </w:t>
      </w:r>
      <w:r w:rsidRPr="00C30B31">
        <w:rPr>
          <w:rFonts w:ascii="Verdana" w:eastAsia="Arial" w:hAnsi="Verdana" w:cs="Arial"/>
          <w:color w:val="000000"/>
        </w:rPr>
        <w:t xml:space="preserve">Esta Subdirección se ha pronunciado en diversas oportunidades acerca del alcance de la regla de la </w:t>
      </w:r>
      <w:proofErr w:type="spellStart"/>
      <w:r w:rsidRPr="00C30B31">
        <w:rPr>
          <w:rFonts w:ascii="Verdana" w:eastAsia="Arial" w:hAnsi="Verdana" w:cs="Arial"/>
          <w:color w:val="000000"/>
        </w:rPr>
        <w:t>subsanabilidad</w:t>
      </w:r>
      <w:proofErr w:type="spellEnd"/>
      <w:r w:rsidRPr="00C30B31">
        <w:rPr>
          <w:rFonts w:ascii="Verdana" w:eastAsia="Arial" w:hAnsi="Verdana" w:cs="Arial"/>
          <w:color w:val="000000"/>
        </w:rPr>
        <w:t xml:space="preserve">, contenida actualmente en el artículo 5 de la Ley 1150 de 2007. Al respecto, la postura que se reitera en el presente concepto es la siguiente: por regla general, son subsanables i) la falta de entrega o </w:t>
      </w:r>
      <w:proofErr w:type="spellStart"/>
      <w:r w:rsidRPr="00C30B31">
        <w:rPr>
          <w:rFonts w:ascii="Verdana" w:eastAsia="Arial" w:hAnsi="Verdana" w:cs="Arial"/>
          <w:color w:val="000000"/>
        </w:rPr>
        <w:t>ii</w:t>
      </w:r>
      <w:proofErr w:type="spellEnd"/>
      <w:r w:rsidRPr="00C30B31">
        <w:rPr>
          <w:rFonts w:ascii="Verdana" w:eastAsia="Arial" w:hAnsi="Verdana" w:cs="Arial"/>
          <w:color w:val="000000"/>
        </w:rPr>
        <w:t xml:space="preserve">) los defectos de los requisitos habilitantes. La excepción se encuentra en los casos, previstos en la ley, que limitan la </w:t>
      </w:r>
      <w:proofErr w:type="spellStart"/>
      <w:r w:rsidRPr="00C30B31">
        <w:rPr>
          <w:rFonts w:ascii="Verdana" w:eastAsia="Arial" w:hAnsi="Verdana" w:cs="Arial"/>
          <w:color w:val="000000"/>
        </w:rPr>
        <w:t>subsanabilidad</w:t>
      </w:r>
      <w:proofErr w:type="spellEnd"/>
      <w:r w:rsidRPr="00C30B31">
        <w:rPr>
          <w:rFonts w:ascii="Verdana" w:eastAsia="Arial" w:hAnsi="Verdana" w:cs="Arial"/>
          <w:color w:val="000000"/>
        </w:rPr>
        <w:t>, es decir, en la prohibición de permitir la entrega de la garantía de seriedad de la oferta que no fue aportada con la propuesta y de valer la acreditación de circunstancias ocurridas con posterioridad al cierre del proceso.  </w:t>
      </w:r>
    </w:p>
    <w:p w14:paraId="10CBD116" w14:textId="77777777" w:rsidR="00C30B31" w:rsidRPr="00C30B31" w:rsidRDefault="00C30B31" w:rsidP="00C30B31">
      <w:pPr>
        <w:spacing w:after="120" w:line="276" w:lineRule="auto"/>
        <w:ind w:firstLine="709"/>
        <w:jc w:val="both"/>
        <w:rPr>
          <w:rFonts w:ascii="Verdana" w:eastAsia="Calibri" w:hAnsi="Verdana" w:cs="Arial"/>
          <w:lang w:val="es-ES_tradnl"/>
        </w:rPr>
      </w:pPr>
      <w:r w:rsidRPr="00C30B31">
        <w:rPr>
          <w:rFonts w:ascii="Verdana" w:eastAsia="Calibri" w:hAnsi="Verdana" w:cs="Arial"/>
          <w:lang w:val="es-ES_tradnl"/>
        </w:rPr>
        <w:t>Sobre este aspecto, debe resaltarse que la posibilidad de enmendar, corregir o subsanar los errores en los que se incurre en los documentos contentivos de la oferta es un tema que ha tenido diferentes momentos o etapas en el ordenamiento jurídico colombiano</w:t>
      </w:r>
      <w:r w:rsidRPr="00C30B31">
        <w:rPr>
          <w:rFonts w:ascii="Verdana" w:eastAsia="Arial" w:hAnsi="Verdana" w:cs="Arial"/>
          <w:color w:val="000000"/>
        </w:rPr>
        <w:t xml:space="preserve">. En un </w:t>
      </w:r>
      <w:r w:rsidRPr="00C30B31">
        <w:rPr>
          <w:rFonts w:ascii="Verdana" w:eastAsia="Arial" w:hAnsi="Verdana" w:cs="Arial"/>
          <w:i/>
          <w:color w:val="000000"/>
        </w:rPr>
        <w:t>primer momento</w:t>
      </w:r>
      <w:r w:rsidRPr="00C30B31">
        <w:rPr>
          <w:rFonts w:ascii="Verdana" w:eastAsia="Arial" w:hAnsi="Verdana" w:cs="Arial"/>
          <w:color w:val="000000"/>
        </w:rPr>
        <w:t xml:space="preserve">, antes de expedirse la Constitución Política de 1991, el régimen jurídico de la </w:t>
      </w:r>
      <w:proofErr w:type="spellStart"/>
      <w:r w:rsidRPr="00C30B31">
        <w:rPr>
          <w:rFonts w:ascii="Verdana" w:eastAsia="Arial" w:hAnsi="Verdana" w:cs="Arial"/>
          <w:color w:val="000000"/>
        </w:rPr>
        <w:t>subsanabilidad</w:t>
      </w:r>
      <w:proofErr w:type="spellEnd"/>
      <w:r w:rsidRPr="00C30B31">
        <w:rPr>
          <w:rFonts w:ascii="Verdana" w:eastAsia="Arial" w:hAnsi="Verdana" w:cs="Arial"/>
          <w:color w:val="000000"/>
        </w:rPr>
        <w:t xml:space="preserve">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76210544" w14:textId="77777777" w:rsidR="00C30B31" w:rsidRPr="00C30B31" w:rsidRDefault="00C30B31" w:rsidP="00C30B31">
      <w:pPr>
        <w:spacing w:after="0" w:line="276" w:lineRule="auto"/>
        <w:ind w:firstLine="709"/>
        <w:jc w:val="both"/>
        <w:rPr>
          <w:rFonts w:ascii="Verdana" w:eastAsia="Calibri" w:hAnsi="Verdana" w:cs="Times New Roman"/>
        </w:rPr>
      </w:pPr>
      <w:r w:rsidRPr="00C30B31">
        <w:rPr>
          <w:rFonts w:ascii="Verdana" w:eastAsia="Arial" w:hAnsi="Verdana" w:cs="Arial"/>
          <w:color w:val="000000"/>
        </w:rPr>
        <w:t xml:space="preserve">En un </w:t>
      </w:r>
      <w:r w:rsidRPr="00C30B31">
        <w:rPr>
          <w:rFonts w:ascii="Verdana" w:eastAsia="Arial" w:hAnsi="Verdana" w:cs="Arial"/>
          <w:i/>
          <w:color w:val="000000"/>
        </w:rPr>
        <w:t>segundo momento</w:t>
      </w:r>
      <w:r w:rsidRPr="00C30B31">
        <w:rPr>
          <w:rFonts w:ascii="Verdana" w:eastAsia="Arial" w:hAnsi="Verdana" w:cs="Arial"/>
          <w:color w:val="000000"/>
        </w:rPr>
        <w:t xml:space="preserve"> se expidió la Ley 80 de 1993, bajo el paradigma que supuso la Constitución de 1991, particularmente en la forma como se relaciona lo formal y lo sustancial en las actuaciones judiciales y administrativas. Este cambio ideológico quedó consignado en el artículo 228, que introdujo el principio de supremacía o prevalencia del derecho sustancial sobre el </w:t>
      </w:r>
      <w:r w:rsidRPr="00C30B31">
        <w:rPr>
          <w:rFonts w:ascii="Verdana" w:eastAsia="Arial" w:hAnsi="Verdana" w:cs="Arial"/>
          <w:color w:val="000000"/>
        </w:rPr>
        <w:lastRenderedPageBreak/>
        <w:t xml:space="preserve">procedimental. En este nuevo escenario constitucional, el numeral 15 del artículo 25 de la Ley 80 de 1993 dispuso lo siguiente: </w:t>
      </w:r>
    </w:p>
    <w:p w14:paraId="6BD3FE75" w14:textId="77777777" w:rsidR="00C30B31" w:rsidRPr="00C30B31" w:rsidRDefault="00C30B31" w:rsidP="00C30B31">
      <w:pPr>
        <w:spacing w:after="0" w:line="276" w:lineRule="auto"/>
        <w:jc w:val="both"/>
        <w:rPr>
          <w:rFonts w:ascii="Verdana" w:eastAsia="Arial" w:hAnsi="Verdana" w:cs="Arial"/>
          <w:color w:val="000000"/>
        </w:rPr>
      </w:pPr>
    </w:p>
    <w:p w14:paraId="3ED5B8FA" w14:textId="77777777" w:rsidR="00C30B31" w:rsidRPr="00C30B31" w:rsidRDefault="00C30B31" w:rsidP="00C30B31">
      <w:pPr>
        <w:spacing w:after="0" w:line="240" w:lineRule="auto"/>
        <w:ind w:left="709" w:right="709"/>
        <w:jc w:val="both"/>
        <w:rPr>
          <w:rFonts w:ascii="Verdana" w:eastAsia="Arial" w:hAnsi="Verdana" w:cs="Arial"/>
          <w:color w:val="000000"/>
          <w:sz w:val="21"/>
          <w:szCs w:val="21"/>
        </w:rPr>
      </w:pPr>
      <w:r w:rsidRPr="00C30B31">
        <w:rPr>
          <w:rFonts w:ascii="Verdana" w:eastAsia="Arial" w:hAnsi="Verdana" w:cs="Arial"/>
          <w:color w:val="000000"/>
          <w:sz w:val="21"/>
          <w:szCs w:val="21"/>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28262D02" w14:textId="77777777" w:rsidR="00C30B31" w:rsidRPr="00C30B31" w:rsidRDefault="00C30B31" w:rsidP="00C30B31">
      <w:pPr>
        <w:spacing w:after="0" w:line="240" w:lineRule="auto"/>
        <w:ind w:left="709" w:right="709"/>
        <w:jc w:val="both"/>
        <w:rPr>
          <w:rFonts w:ascii="Verdana" w:eastAsia="Arial" w:hAnsi="Verdana" w:cs="Arial"/>
          <w:color w:val="000000"/>
          <w:sz w:val="21"/>
          <w:szCs w:val="21"/>
        </w:rPr>
      </w:pPr>
      <w:r w:rsidRPr="00C30B31">
        <w:rPr>
          <w:rFonts w:ascii="Verdana" w:eastAsia="Arial" w:hAnsi="Verdana" w:cs="Arial"/>
          <w:color w:val="000000"/>
          <w:sz w:val="21"/>
          <w:szCs w:val="21"/>
        </w:rPr>
        <w:t xml:space="preserve">La ausencia de requisitos o la falta de documentos referentes a la futura contratación o al proponente, no necesarios para la comparación de propuestas, no servirá de título suficiente para el rechazo de los ofrecimientos hechos”. </w:t>
      </w:r>
    </w:p>
    <w:p w14:paraId="5B996590" w14:textId="77777777" w:rsidR="00C30B31" w:rsidRPr="00C30B31" w:rsidRDefault="00C30B31" w:rsidP="00C30B31">
      <w:pPr>
        <w:spacing w:after="0" w:line="276" w:lineRule="auto"/>
        <w:jc w:val="both"/>
        <w:rPr>
          <w:rFonts w:ascii="Verdana" w:eastAsia="Arial" w:hAnsi="Verdana" w:cs="Arial"/>
          <w:b/>
          <w:color w:val="000000"/>
        </w:rPr>
      </w:pPr>
    </w:p>
    <w:p w14:paraId="26DA3C3A" w14:textId="77777777" w:rsidR="00C30B31" w:rsidRPr="00C30B31" w:rsidRDefault="00C30B31" w:rsidP="00C30B31">
      <w:pPr>
        <w:spacing w:after="120" w:line="276" w:lineRule="auto"/>
        <w:ind w:firstLine="709"/>
        <w:jc w:val="both"/>
        <w:rPr>
          <w:rFonts w:ascii="Verdana" w:eastAsia="Arial" w:hAnsi="Verdana" w:cs="Arial"/>
          <w:color w:val="000000"/>
        </w:rPr>
      </w:pPr>
      <w:r w:rsidRPr="00C30B31">
        <w:rPr>
          <w:rFonts w:ascii="Verdana" w:eastAsia="Arial" w:hAnsi="Verdana" w:cs="Arial"/>
          <w:color w:val="000000"/>
        </w:rPr>
        <w:t xml:space="preserve">Bajo el amparo de esta norma, el régimen jurídico de </w:t>
      </w:r>
      <w:proofErr w:type="spellStart"/>
      <w:r w:rsidRPr="00C30B31">
        <w:rPr>
          <w:rFonts w:ascii="Verdana" w:eastAsia="Arial" w:hAnsi="Verdana" w:cs="Arial"/>
          <w:color w:val="000000"/>
        </w:rPr>
        <w:t>subsanabilidad</w:t>
      </w:r>
      <w:proofErr w:type="spellEnd"/>
      <w:r w:rsidRPr="00C30B31">
        <w:rPr>
          <w:rFonts w:ascii="Verdana" w:eastAsia="Arial" w:hAnsi="Verdana" w:cs="Arial"/>
          <w:color w:val="000000"/>
        </w:rPr>
        <w:t xml:space="preserve"> de las ofertas sufre un cambio fundamental, pues ya no era posible rechazar las ofertas por falta de requisitos o documentos que no fueran “</w:t>
      </w:r>
      <w:r w:rsidRPr="00C30B31">
        <w:rPr>
          <w:rFonts w:ascii="Verdana" w:eastAsia="Arial" w:hAnsi="Verdana" w:cs="Arial"/>
          <w:i/>
          <w:color w:val="000000"/>
        </w:rPr>
        <w:t>necesarios para la comparación de propuestas</w:t>
      </w:r>
      <w:r w:rsidRPr="00C30B31">
        <w:rPr>
          <w:rFonts w:ascii="Verdana" w:eastAsia="Arial" w:hAnsi="Verdana" w:cs="Arial"/>
          <w:color w:val="000000"/>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1D453AAA" w14:textId="77777777" w:rsidR="00C30B31" w:rsidRPr="00C30B31" w:rsidRDefault="00C30B31" w:rsidP="00C30B31">
      <w:pPr>
        <w:spacing w:after="120" w:line="276" w:lineRule="auto"/>
        <w:ind w:firstLine="709"/>
        <w:jc w:val="both"/>
        <w:rPr>
          <w:rFonts w:ascii="Verdana" w:eastAsia="Arial" w:hAnsi="Verdana" w:cs="Arial"/>
          <w:color w:val="000000"/>
        </w:rPr>
      </w:pPr>
      <w:r w:rsidRPr="00C30B31">
        <w:rPr>
          <w:rFonts w:ascii="Verdana" w:eastAsia="Arial" w:hAnsi="Verdana" w:cs="Arial"/>
          <w:color w:val="000000"/>
        </w:rPr>
        <w:t>El artículo 25.15 debía leerse en conjunto con otras de la Ley 80 de 1993, particularmente con el artículo 30.7</w:t>
      </w:r>
      <w:r w:rsidRPr="00C30B31">
        <w:rPr>
          <w:rFonts w:ascii="Verdana" w:eastAsia="Arial" w:hAnsi="Verdana" w:cs="Arial"/>
          <w:color w:val="000000"/>
          <w:vertAlign w:val="superscript"/>
        </w:rPr>
        <w:footnoteReference w:id="4"/>
      </w:r>
      <w:r w:rsidRPr="00C30B31">
        <w:rPr>
          <w:rFonts w:ascii="Verdana" w:eastAsia="Arial" w:hAnsi="Verdana" w:cs="Arial"/>
          <w:color w:val="000000"/>
        </w:rPr>
        <w:t>, que ordena a la entidad señalar un plazo razonable para evaluar las propuestas y pedir a los proponentes, de ser necesario, que aclaren o expliquen aspectos que ofrezcan dudas y resulten indispensables para hacer la evaluación; y con el artículo 30.8</w:t>
      </w:r>
      <w:r w:rsidRPr="00C30B31">
        <w:rPr>
          <w:rFonts w:ascii="Verdana" w:eastAsia="Arial" w:hAnsi="Verdana" w:cs="Arial"/>
          <w:color w:val="000000"/>
          <w:vertAlign w:val="superscript"/>
        </w:rPr>
        <w:footnoteReference w:id="5"/>
      </w:r>
      <w:r w:rsidRPr="00C30B31">
        <w:rPr>
          <w:rFonts w:ascii="Verdana" w:eastAsia="Arial" w:hAnsi="Verdana" w:cs="Arial"/>
          <w:color w:val="000000"/>
        </w:rPr>
        <w:t xml:space="preserve">, que consagró el término de 5 días hábiles para que los oferentes presenten observaciones al informe de evaluación de las propuestas, sin que sea posible completar, adicionar, modificar o mejorar la oferta.  A partir de la lectura integrada de estas tres normas debía concluirse que con la Ley 80 de 1993 era posible subsanar las propuestas, y la omisión o el error en algún aspecto de </w:t>
      </w:r>
      <w:proofErr w:type="gramStart"/>
      <w:r w:rsidRPr="00C30B31">
        <w:rPr>
          <w:rFonts w:ascii="Verdana" w:eastAsia="Arial" w:hAnsi="Verdana" w:cs="Arial"/>
          <w:color w:val="000000"/>
        </w:rPr>
        <w:t>la misma</w:t>
      </w:r>
      <w:proofErr w:type="gramEnd"/>
      <w:r w:rsidRPr="00C30B31">
        <w:rPr>
          <w:rFonts w:ascii="Verdana" w:eastAsia="Arial" w:hAnsi="Verdana" w:cs="Arial"/>
          <w:color w:val="000000"/>
        </w:rPr>
        <w:t xml:space="preserve"> no podía llevar </w:t>
      </w:r>
      <w:r w:rsidRPr="00C30B31">
        <w:rPr>
          <w:rFonts w:ascii="Verdana" w:eastAsia="Arial" w:hAnsi="Verdana" w:cs="Arial"/>
          <w:color w:val="000000"/>
        </w:rPr>
        <w:lastRenderedPageBreak/>
        <w:t xml:space="preserve">a su rechazo, sin antes verificar que lo omitido fuera un aspecto necesario para la comparación. </w:t>
      </w:r>
    </w:p>
    <w:p w14:paraId="03E84B14" w14:textId="77777777" w:rsidR="00C30B31" w:rsidRPr="00C30B31" w:rsidRDefault="00C30B31" w:rsidP="00C30B31">
      <w:pPr>
        <w:spacing w:after="120" w:line="276" w:lineRule="auto"/>
        <w:ind w:firstLine="709"/>
        <w:jc w:val="both"/>
        <w:rPr>
          <w:rFonts w:ascii="Verdana" w:eastAsia="Arial" w:hAnsi="Verdana" w:cs="Arial"/>
          <w:color w:val="000000"/>
        </w:rPr>
      </w:pPr>
      <w:r w:rsidRPr="00C30B31">
        <w:rPr>
          <w:rFonts w:ascii="Verdana" w:eastAsia="Arial" w:hAnsi="Verdana" w:cs="Arial"/>
          <w:color w:val="000000"/>
        </w:rPr>
        <w:t xml:space="preserve">En un </w:t>
      </w:r>
      <w:r w:rsidRPr="00C30B31">
        <w:rPr>
          <w:rFonts w:ascii="Verdana" w:eastAsia="Arial" w:hAnsi="Verdana" w:cs="Arial"/>
          <w:i/>
          <w:color w:val="000000"/>
        </w:rPr>
        <w:t>tercer momento</w:t>
      </w:r>
      <w:r w:rsidRPr="00C30B31">
        <w:rPr>
          <w:rFonts w:ascii="Verdana" w:eastAsia="Arial" w:hAnsi="Verdana" w:cs="Arial"/>
          <w:color w:val="000000"/>
        </w:rPr>
        <w:t>, y siguiendo la línea trazada por la Ley 80 de 1993, el legislador expidió la Ley 1150 de 2007, que, en el parágrafo 1º del artículo 5, determinó lo siguiente: “La ausencia de requisitos o la falta de documentos referentes a la futura contratación o al proponente, no necesarios para la comparación de las propuestas no servirán de título suficiente para el rechazo de los ofrecimientos hechos. En consecuencia</w:t>
      </w:r>
      <w:r w:rsidRPr="00C30B31">
        <w:rPr>
          <w:rFonts w:ascii="Verdana" w:eastAsia="Arial" w:hAnsi="Verdana" w:cs="Arial"/>
          <w:b/>
          <w:color w:val="000000"/>
        </w:rPr>
        <w:t xml:space="preserve">, </w:t>
      </w:r>
      <w:r w:rsidRPr="00C30B31">
        <w:rPr>
          <w:rFonts w:ascii="Verdana" w:eastAsia="Arial" w:hAnsi="Verdana" w:cs="Arial"/>
          <w:color w:val="000000"/>
        </w:rPr>
        <w:t xml:space="preserve">todos aquellos requisitos de la propuesta que no afecten la asignación de </w:t>
      </w:r>
      <w:proofErr w:type="gramStart"/>
      <w:r w:rsidRPr="00C30B31">
        <w:rPr>
          <w:rFonts w:ascii="Verdana" w:eastAsia="Arial" w:hAnsi="Verdana" w:cs="Arial"/>
          <w:color w:val="000000"/>
        </w:rPr>
        <w:t>puntaje,</w:t>
      </w:r>
      <w:proofErr w:type="gramEnd"/>
      <w:r w:rsidRPr="00C30B31">
        <w:rPr>
          <w:rFonts w:ascii="Verdana" w:eastAsia="Arial" w:hAnsi="Verdana" w:cs="Arial"/>
          <w:color w:val="000000"/>
        </w:rPr>
        <w:t xml:space="preserve"> podrán ser solicitados por las entidades en cualquier momento, hasta la adjudicación. No </w:t>
      </w:r>
      <w:proofErr w:type="gramStart"/>
      <w:r w:rsidRPr="00C30B31">
        <w:rPr>
          <w:rFonts w:ascii="Verdana" w:eastAsia="Arial" w:hAnsi="Verdana" w:cs="Arial"/>
          <w:color w:val="000000"/>
        </w:rPr>
        <w:t>obstante</w:t>
      </w:r>
      <w:proofErr w:type="gramEnd"/>
      <w:r w:rsidRPr="00C30B31">
        <w:rPr>
          <w:rFonts w:ascii="Verdana" w:eastAsia="Arial" w:hAnsi="Verdana" w:cs="Arial"/>
          <w:color w:val="000000"/>
        </w:rPr>
        <w:t xml:space="preserve"> lo anterior, en aquellos procesos de selección en los que se utilice el mecanismo de subasta, deberán ser solicitados hasta el momento previo a su realización”. </w:t>
      </w:r>
    </w:p>
    <w:p w14:paraId="0194DE0A" w14:textId="77777777" w:rsidR="00C30B31" w:rsidRPr="00C30B31" w:rsidRDefault="00C30B31" w:rsidP="00C30B31">
      <w:pPr>
        <w:spacing w:after="120" w:line="276" w:lineRule="auto"/>
        <w:ind w:firstLine="709"/>
        <w:jc w:val="both"/>
        <w:rPr>
          <w:rFonts w:ascii="Verdana" w:eastAsia="Calibri" w:hAnsi="Verdana" w:cs="Times New Roman"/>
        </w:rPr>
      </w:pPr>
      <w:r w:rsidRPr="00C30B31">
        <w:rPr>
          <w:rFonts w:ascii="Verdana" w:eastAsia="Arial" w:hAnsi="Verdana" w:cs="Arial"/>
          <w:color w:val="000000"/>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al verificar la Administración encuentra que lo omitido por el proponente es un aspecto que otorga puntaje, no es posible subsanarlo; pero, si no otorga puntaje, la Administración debe requerir al proponente para que lo subsane.  </w:t>
      </w:r>
    </w:p>
    <w:p w14:paraId="4716D9B5" w14:textId="77777777" w:rsidR="00C30B31" w:rsidRPr="00C30B31" w:rsidRDefault="00C30B31" w:rsidP="00C30B31">
      <w:pPr>
        <w:spacing w:after="0" w:line="276" w:lineRule="auto"/>
        <w:ind w:firstLine="709"/>
        <w:jc w:val="both"/>
        <w:rPr>
          <w:rFonts w:ascii="Verdana" w:eastAsia="Arial" w:hAnsi="Verdana" w:cs="Arial"/>
          <w:color w:val="000000"/>
        </w:rPr>
      </w:pPr>
      <w:r w:rsidRPr="00C30B31">
        <w:rPr>
          <w:rFonts w:ascii="Verdana" w:eastAsia="Arial" w:hAnsi="Verdana" w:cs="Arial"/>
          <w:color w:val="000000"/>
        </w:rPr>
        <w:t>El artículo 5 de la Ley 1150 de 2007, además de consagrar un criterio más claro, y, de paso, reducir la discrecionalidad de la Administración, fijó un ámbito temporal para la subsanación de las ofertas: “</w:t>
      </w:r>
      <w:r w:rsidRPr="00C30B31">
        <w:rPr>
          <w:rFonts w:ascii="Verdana" w:eastAsia="Arial" w:hAnsi="Verdana" w:cs="Arial"/>
          <w:i/>
          <w:color w:val="000000"/>
        </w:rPr>
        <w:t>en cualquier momento, hasta la adjudicación</w:t>
      </w:r>
      <w:r w:rsidRPr="00C30B31">
        <w:rPr>
          <w:rFonts w:ascii="Verdana" w:eastAsia="Arial" w:hAnsi="Verdana" w:cs="Arial"/>
          <w:color w:val="000000"/>
        </w:rPr>
        <w:t xml:space="preserve">”.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w14:paraId="52AAD7CF" w14:textId="77777777" w:rsidR="00C30B31" w:rsidRPr="00C30B31" w:rsidRDefault="00C30B31" w:rsidP="00C30B31">
      <w:pPr>
        <w:spacing w:after="0" w:line="276" w:lineRule="auto"/>
        <w:jc w:val="both"/>
        <w:rPr>
          <w:rFonts w:ascii="Verdana" w:eastAsia="Arial" w:hAnsi="Verdana" w:cs="Arial"/>
          <w:color w:val="000000"/>
        </w:rPr>
      </w:pPr>
    </w:p>
    <w:p w14:paraId="7F260A72" w14:textId="77777777" w:rsidR="00C30B31" w:rsidRPr="00C30B31" w:rsidRDefault="00C30B31" w:rsidP="00C30B31">
      <w:pPr>
        <w:spacing w:after="0" w:line="240" w:lineRule="auto"/>
        <w:ind w:left="709" w:right="709"/>
        <w:jc w:val="both"/>
        <w:rPr>
          <w:rFonts w:ascii="Verdana" w:eastAsia="Arial" w:hAnsi="Verdana" w:cs="Arial"/>
          <w:color w:val="000000"/>
          <w:sz w:val="21"/>
          <w:szCs w:val="21"/>
        </w:rPr>
      </w:pPr>
      <w:r w:rsidRPr="00C30B31">
        <w:rPr>
          <w:rFonts w:ascii="Verdana" w:eastAsia="Arial" w:hAnsi="Verdana" w:cs="Arial"/>
          <w:color w:val="000000"/>
          <w:sz w:val="21"/>
          <w:szCs w:val="21"/>
        </w:rPr>
        <w:t xml:space="preserve">“Esto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w:t>
      </w:r>
      <w:r w:rsidRPr="00C30B31">
        <w:rPr>
          <w:rFonts w:ascii="Verdana" w:eastAsia="Arial" w:hAnsi="Verdana" w:cs="Arial"/>
          <w:color w:val="000000"/>
          <w:sz w:val="21"/>
          <w:szCs w:val="21"/>
        </w:rPr>
        <w:lastRenderedPageBreak/>
        <w:t>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C30B31">
        <w:rPr>
          <w:rFonts w:ascii="Verdana" w:eastAsia="Arial" w:hAnsi="Verdana" w:cs="Arial"/>
          <w:color w:val="000000"/>
          <w:sz w:val="21"/>
          <w:szCs w:val="21"/>
          <w:vertAlign w:val="superscript"/>
        </w:rPr>
        <w:footnoteReference w:id="6"/>
      </w:r>
      <w:r w:rsidRPr="00C30B31">
        <w:rPr>
          <w:rFonts w:ascii="Verdana" w:eastAsia="Arial" w:hAnsi="Verdana" w:cs="Arial"/>
          <w:color w:val="000000"/>
          <w:sz w:val="21"/>
          <w:szCs w:val="21"/>
        </w:rPr>
        <w:t>.</w:t>
      </w:r>
    </w:p>
    <w:p w14:paraId="716BA6FB" w14:textId="77777777" w:rsidR="00C30B31" w:rsidRPr="00C30B31" w:rsidRDefault="00C30B31" w:rsidP="00C30B31">
      <w:pPr>
        <w:spacing w:after="0" w:line="276" w:lineRule="auto"/>
        <w:jc w:val="both"/>
        <w:rPr>
          <w:rFonts w:ascii="Verdana" w:eastAsia="Arial" w:hAnsi="Verdana" w:cs="Arial"/>
          <w:b/>
          <w:color w:val="000000"/>
        </w:rPr>
      </w:pPr>
    </w:p>
    <w:p w14:paraId="49F1D6DB" w14:textId="77777777" w:rsidR="00C30B31" w:rsidRPr="00C30B31" w:rsidRDefault="00C30B31" w:rsidP="00C30B31">
      <w:pPr>
        <w:pBdr>
          <w:top w:val="nil"/>
          <w:left w:val="nil"/>
          <w:bottom w:val="nil"/>
          <w:right w:val="nil"/>
          <w:between w:val="nil"/>
        </w:pBdr>
        <w:tabs>
          <w:tab w:val="left" w:pos="284"/>
        </w:tabs>
        <w:spacing w:after="120" w:line="276" w:lineRule="auto"/>
        <w:ind w:firstLine="709"/>
        <w:jc w:val="both"/>
        <w:rPr>
          <w:rFonts w:ascii="Verdana" w:eastAsia="Arial" w:hAnsi="Verdana" w:cs="Arial"/>
          <w:color w:val="000000"/>
        </w:rPr>
      </w:pPr>
      <w:r w:rsidRPr="00C30B31">
        <w:rPr>
          <w:rFonts w:ascii="Verdana" w:eastAsia="Arial" w:hAnsi="Verdana" w:cs="Arial"/>
          <w:color w:val="000000"/>
        </w:rPr>
        <w:t xml:space="preserve">Esa interpretación fue compartida por la Agencia Nacional de Contratación Pública – Colombia Compra Eficiente, pues en la Circular Externa Única se había precisado </w:t>
      </w:r>
      <w:proofErr w:type="gramStart"/>
      <w:r w:rsidRPr="00C30B31">
        <w:rPr>
          <w:rFonts w:ascii="Verdana" w:eastAsia="Arial" w:hAnsi="Verdana" w:cs="Arial"/>
          <w:color w:val="000000"/>
        </w:rPr>
        <w:t>que</w:t>
      </w:r>
      <w:proofErr w:type="gramEnd"/>
      <w:r w:rsidRPr="00C30B31">
        <w:rPr>
          <w:rFonts w:ascii="Verdana" w:eastAsia="Arial" w:hAnsi="Verdana" w:cs="Arial"/>
          <w:color w:val="000000"/>
        </w:rPr>
        <w:t xml:space="preserve"> si durante un proceso de contratación hay proponentes que no acreditaron en sus ofertas requisitos que no afectan la asignación de puntaje o la comparación de </w:t>
      </w:r>
      <w:proofErr w:type="gramStart"/>
      <w:r w:rsidRPr="00C30B31">
        <w:rPr>
          <w:rFonts w:ascii="Verdana" w:eastAsia="Arial" w:hAnsi="Verdana" w:cs="Arial"/>
          <w:color w:val="000000"/>
        </w:rPr>
        <w:t>las mismas</w:t>
      </w:r>
      <w:proofErr w:type="gramEnd"/>
      <w:r w:rsidRPr="00C30B31">
        <w:rPr>
          <w:rFonts w:ascii="Verdana" w:eastAsia="Arial" w:hAnsi="Verdana" w:cs="Arial"/>
          <w:color w:val="000000"/>
        </w:rPr>
        <w:t>, la entidad estatal deberá indicarlo en el informe de evaluación y advertir que la correspondiente oferta no será evaluada hasta que se subsane.</w:t>
      </w:r>
    </w:p>
    <w:p w14:paraId="5DCC6A25" w14:textId="77777777" w:rsidR="00C30B31" w:rsidRPr="00C30B31" w:rsidRDefault="00C30B31" w:rsidP="00C30B31">
      <w:pPr>
        <w:pBdr>
          <w:top w:val="nil"/>
          <w:left w:val="nil"/>
          <w:bottom w:val="nil"/>
          <w:right w:val="nil"/>
          <w:between w:val="nil"/>
        </w:pBdr>
        <w:tabs>
          <w:tab w:val="left" w:pos="284"/>
        </w:tabs>
        <w:spacing w:after="120" w:line="276" w:lineRule="auto"/>
        <w:ind w:firstLine="709"/>
        <w:jc w:val="both"/>
        <w:rPr>
          <w:rFonts w:ascii="Verdana" w:eastAsia="Arial" w:hAnsi="Verdana" w:cs="Arial"/>
          <w:color w:val="000000"/>
        </w:rPr>
      </w:pPr>
      <w:r w:rsidRPr="00C30B31">
        <w:rPr>
          <w:rFonts w:ascii="Verdana" w:eastAsia="Arial" w:hAnsi="Verdana" w:cs="Arial"/>
          <w:color w:val="000000"/>
        </w:rPr>
        <w:t xml:space="preserve">En un </w:t>
      </w:r>
      <w:r w:rsidRPr="00C30B31">
        <w:rPr>
          <w:rFonts w:ascii="Verdana" w:eastAsia="Arial" w:hAnsi="Verdana" w:cs="Arial"/>
          <w:i/>
          <w:color w:val="000000"/>
        </w:rPr>
        <w:t>cuarto momento</w:t>
      </w:r>
      <w:r w:rsidRPr="00C30B31">
        <w:rPr>
          <w:rFonts w:ascii="Verdana" w:eastAsia="Arial" w:hAnsi="Verdana" w:cs="Arial"/>
          <w:color w:val="000000"/>
        </w:rPr>
        <w:t xml:space="preserve">, el legislador expidió la Ley 1882 de 2018, con la finalidad de introducir cambios y ajustes para fortalecer la contratación pública. El artículo 5 modificó el parágrafo 1º del artículo 5 de la Ley 1150 de 2007 en los siguientes términos: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C30B31">
        <w:rPr>
          <w:rFonts w:ascii="Verdana" w:eastAsia="Arial" w:hAnsi="Verdana" w:cs="Arial"/>
          <w:color w:val="000000"/>
        </w:rPr>
        <w:t>puntaje,</w:t>
      </w:r>
      <w:proofErr w:type="gramEnd"/>
      <w:r w:rsidRPr="00C30B31">
        <w:rPr>
          <w:rFonts w:ascii="Verdana" w:eastAsia="Arial" w:hAnsi="Verdana" w:cs="Arial"/>
          <w:color w:val="000000"/>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0610FE70" w14:textId="77777777" w:rsidR="00C30B31" w:rsidRPr="00C30B31" w:rsidRDefault="00C30B31" w:rsidP="00C30B31">
      <w:pPr>
        <w:spacing w:after="120" w:line="276" w:lineRule="auto"/>
        <w:ind w:firstLine="709"/>
        <w:jc w:val="both"/>
        <w:rPr>
          <w:rFonts w:ascii="Verdana" w:eastAsia="Arial" w:hAnsi="Verdana" w:cs="Arial"/>
          <w:color w:val="000000"/>
        </w:rPr>
      </w:pPr>
      <w:r w:rsidRPr="00C30B31">
        <w:rPr>
          <w:rFonts w:ascii="Verdana" w:eastAsia="Arial" w:hAnsi="Verdana" w:cs="Arial"/>
          <w:color w:val="000000"/>
        </w:rPr>
        <w:t xml:space="preserve">Como puede observarse, esta norma: i) mantiene el criterio de la Ley 80 de 1993, relativo a que todo lo que no sea necesario para la comparación de propuestas no es título suficiente para su rechazo; </w:t>
      </w:r>
      <w:proofErr w:type="spellStart"/>
      <w:r w:rsidRPr="00C30B31">
        <w:rPr>
          <w:rFonts w:ascii="Verdana" w:eastAsia="Arial" w:hAnsi="Verdana" w:cs="Arial"/>
          <w:color w:val="000000"/>
        </w:rPr>
        <w:t>ii</w:t>
      </w:r>
      <w:proofErr w:type="spellEnd"/>
      <w:r w:rsidRPr="00C30B31">
        <w:rPr>
          <w:rFonts w:ascii="Verdana" w:eastAsia="Arial" w:hAnsi="Verdana" w:cs="Arial"/>
          <w:color w:val="000000"/>
        </w:rPr>
        <w:t xml:space="preserve">) mantiene el criterio aclaratorio de la Ley 1150 de 2007, según el cual todo lo que no afecte la </w:t>
      </w:r>
      <w:r w:rsidRPr="00C30B31">
        <w:rPr>
          <w:rFonts w:ascii="Verdana" w:eastAsia="Arial" w:hAnsi="Verdana" w:cs="Arial"/>
          <w:color w:val="000000"/>
        </w:rPr>
        <w:lastRenderedPageBreak/>
        <w:t xml:space="preserve">asignación de puntaje puede subsanarse e </w:t>
      </w:r>
      <w:proofErr w:type="spellStart"/>
      <w:r w:rsidRPr="00C30B31">
        <w:rPr>
          <w:rFonts w:ascii="Verdana" w:eastAsia="Arial" w:hAnsi="Verdana" w:cs="Arial"/>
          <w:color w:val="000000"/>
        </w:rPr>
        <w:t>iii</w:t>
      </w:r>
      <w:proofErr w:type="spellEnd"/>
      <w:r w:rsidRPr="00C30B31">
        <w:rPr>
          <w:rFonts w:ascii="Verdana" w:eastAsia="Arial" w:hAnsi="Verdana" w:cs="Arial"/>
          <w:color w:val="000000"/>
        </w:rPr>
        <w:t xml:space="preserve">) introduce modificaciones en relación con algunos aspectos que se analizarán a continuación. </w:t>
      </w:r>
    </w:p>
    <w:p w14:paraId="54FDBEDE" w14:textId="77777777" w:rsidR="00C30B31" w:rsidRPr="00C30B31" w:rsidRDefault="00C30B31" w:rsidP="00C30B31">
      <w:pPr>
        <w:spacing w:after="120" w:line="276" w:lineRule="auto"/>
        <w:ind w:firstLine="709"/>
        <w:jc w:val="both"/>
        <w:rPr>
          <w:rFonts w:ascii="Verdana" w:eastAsia="Arial" w:hAnsi="Verdana" w:cs="Arial"/>
          <w:color w:val="000000"/>
        </w:rPr>
      </w:pPr>
      <w:r w:rsidRPr="00C30B31">
        <w:rPr>
          <w:rFonts w:ascii="Verdana" w:eastAsia="Arial" w:hAnsi="Verdana" w:cs="Arial"/>
          <w:color w:val="000000"/>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w:t>
      </w:r>
      <w:r w:rsidRPr="00C30B31">
        <w:rPr>
          <w:rFonts w:ascii="Verdana" w:eastAsia="Arial" w:hAnsi="Verdana" w:cs="Arial"/>
          <w:color w:val="000000"/>
          <w:vertAlign w:val="superscript"/>
        </w:rPr>
        <w:footnoteReference w:id="7"/>
      </w:r>
      <w:r w:rsidRPr="00C30B31">
        <w:rPr>
          <w:rFonts w:ascii="Verdana" w:eastAsia="Arial" w:hAnsi="Verdana" w:cs="Arial"/>
          <w:color w:val="000000"/>
        </w:rPr>
        <w:t xml:space="preserve">; en el último los documentos o requisitos subsanables pueden y deben solicitarse hasta el momento previo a su realización.  </w:t>
      </w:r>
    </w:p>
    <w:p w14:paraId="25901C9F" w14:textId="77777777" w:rsidR="00C30B31" w:rsidRPr="00C30B31" w:rsidRDefault="00C30B31" w:rsidP="00C30B31">
      <w:pPr>
        <w:spacing w:after="120" w:line="276" w:lineRule="auto"/>
        <w:ind w:firstLine="709"/>
        <w:jc w:val="both"/>
        <w:rPr>
          <w:rFonts w:ascii="Verdana" w:eastAsia="Arial" w:hAnsi="Verdana" w:cs="Arial"/>
          <w:color w:val="000000"/>
        </w:rPr>
      </w:pPr>
      <w:r w:rsidRPr="00C30B31">
        <w:rPr>
          <w:rFonts w:ascii="Verdana" w:eastAsia="Arial" w:hAnsi="Verdana" w:cs="Arial"/>
          <w:color w:val="000000"/>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traslado del informe de evaluación que corresponda a cada modalidad de selección”. </w:t>
      </w:r>
    </w:p>
    <w:p w14:paraId="24A6CEAA" w14:textId="77777777" w:rsidR="00C30B31" w:rsidRPr="00C30B31" w:rsidRDefault="00C30B31" w:rsidP="00C30B31">
      <w:pPr>
        <w:spacing w:after="120" w:line="276" w:lineRule="auto"/>
        <w:ind w:firstLine="709"/>
        <w:jc w:val="both"/>
        <w:rPr>
          <w:rFonts w:ascii="Verdana" w:eastAsia="Arial" w:hAnsi="Verdana" w:cs="Arial"/>
          <w:color w:val="000000"/>
        </w:rPr>
      </w:pPr>
      <w:r w:rsidRPr="00C30B31">
        <w:rPr>
          <w:rFonts w:ascii="Verdana" w:eastAsia="Arial" w:hAnsi="Verdana" w:cs="Arial"/>
          <w:color w:val="000000"/>
        </w:rPr>
        <w:t xml:space="preserve">No obstante, de la lectura de este aparte podrían, en la práctica, darse dos interpretaciones que dan lugar a dos formas de proceder en los procesos de selección, en lo que se refiere a la </w:t>
      </w:r>
      <w:proofErr w:type="spellStart"/>
      <w:r w:rsidRPr="00C30B31">
        <w:rPr>
          <w:rFonts w:ascii="Verdana" w:eastAsia="Arial" w:hAnsi="Verdana" w:cs="Arial"/>
          <w:color w:val="000000"/>
        </w:rPr>
        <w:t>subsanabilidad</w:t>
      </w:r>
      <w:proofErr w:type="spellEnd"/>
      <w:r w:rsidRPr="00C30B31">
        <w:rPr>
          <w:rFonts w:ascii="Verdana" w:eastAsia="Arial" w:hAnsi="Verdana" w:cs="Arial"/>
          <w:color w:val="000000"/>
        </w:rPr>
        <w:t xml:space="preserve"> de las ofertas. </w:t>
      </w:r>
      <w:r w:rsidRPr="00C30B31">
        <w:rPr>
          <w:rFonts w:ascii="Verdana" w:eastAsia="Arial" w:hAnsi="Verdana" w:cs="Arial"/>
          <w:i/>
          <w:color w:val="000000"/>
        </w:rPr>
        <w:t>Primera</w:t>
      </w:r>
      <w:r w:rsidRPr="00C30B31">
        <w:rPr>
          <w:rFonts w:ascii="Verdana" w:eastAsia="Arial" w:hAnsi="Verdana" w:cs="Arial"/>
          <w:color w:val="000000"/>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C30B31">
        <w:rPr>
          <w:rFonts w:ascii="Verdana" w:eastAsia="Arial" w:hAnsi="Verdana" w:cs="Arial"/>
          <w:i/>
          <w:color w:val="000000"/>
        </w:rPr>
        <w:t>segunda</w:t>
      </w:r>
      <w:r w:rsidRPr="00C30B31">
        <w:rPr>
          <w:rFonts w:ascii="Verdana" w:eastAsia="Arial" w:hAnsi="Verdana" w:cs="Arial"/>
          <w:color w:val="000000"/>
        </w:rPr>
        <w:t xml:space="preserve">, que el término del traslado del informe de evaluación es el límite para la subsanación de ofertas, pero no el único momento para hacerlo. </w:t>
      </w:r>
    </w:p>
    <w:p w14:paraId="2E530D80" w14:textId="77777777" w:rsidR="00C30B31" w:rsidRPr="00C30B31" w:rsidRDefault="00C30B31" w:rsidP="00C30B31">
      <w:pPr>
        <w:spacing w:after="120" w:line="276" w:lineRule="auto"/>
        <w:ind w:firstLine="709"/>
        <w:jc w:val="both"/>
        <w:rPr>
          <w:rFonts w:ascii="Verdana" w:eastAsia="Arial" w:hAnsi="Verdana" w:cs="Arial"/>
          <w:color w:val="000000"/>
        </w:rPr>
      </w:pPr>
      <w:r w:rsidRPr="00C30B31">
        <w:rPr>
          <w:rFonts w:ascii="Verdana" w:eastAsia="Arial" w:hAnsi="Verdana" w:cs="Arial"/>
          <w:color w:val="000000"/>
        </w:rPr>
        <w:t xml:space="preserve">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w:t>
      </w:r>
      <w:r w:rsidRPr="00C30B31">
        <w:rPr>
          <w:rFonts w:ascii="Verdana" w:eastAsia="Arial" w:hAnsi="Verdana" w:cs="Arial"/>
          <w:color w:val="000000"/>
        </w:rPr>
        <w:lastRenderedPageBreak/>
        <w:t>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4339B4C0" w14:textId="77777777" w:rsidR="00C30B31" w:rsidRPr="00C30B31" w:rsidRDefault="00C30B31" w:rsidP="00C30B31">
      <w:pPr>
        <w:spacing w:after="120" w:line="276" w:lineRule="auto"/>
        <w:ind w:firstLine="709"/>
        <w:jc w:val="both"/>
        <w:rPr>
          <w:rFonts w:ascii="Verdana" w:eastAsia="Arial" w:hAnsi="Verdana" w:cs="Arial"/>
          <w:color w:val="000000"/>
        </w:rPr>
      </w:pPr>
      <w:r w:rsidRPr="00C30B31">
        <w:rPr>
          <w:rFonts w:ascii="Verdana" w:eastAsia="Arial" w:hAnsi="Verdana" w:cs="Arial"/>
          <w:color w:val="000000"/>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17D80E02" w14:textId="77777777" w:rsidR="00C30B31" w:rsidRPr="00C30B31" w:rsidRDefault="00C30B31" w:rsidP="00C30B31">
      <w:pPr>
        <w:spacing w:after="120" w:line="276" w:lineRule="auto"/>
        <w:ind w:firstLine="709"/>
        <w:jc w:val="both"/>
        <w:rPr>
          <w:rFonts w:ascii="Verdana" w:eastAsia="Arial" w:hAnsi="Verdana" w:cs="Arial"/>
          <w:color w:val="000000"/>
        </w:rPr>
      </w:pPr>
      <w:r w:rsidRPr="00C30B31">
        <w:rPr>
          <w:rFonts w:ascii="Verdana" w:eastAsia="Arial" w:hAnsi="Verdana" w:cs="Arial"/>
          <w:color w:val="000000"/>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569E178D" w14:textId="77777777" w:rsidR="00C30B31" w:rsidRPr="00C30B31" w:rsidRDefault="00C30B31" w:rsidP="00C30B31">
      <w:pPr>
        <w:spacing w:after="120" w:line="276" w:lineRule="auto"/>
        <w:ind w:firstLine="709"/>
        <w:jc w:val="both"/>
        <w:rPr>
          <w:rFonts w:ascii="Verdana" w:eastAsia="Arial" w:hAnsi="Verdana" w:cs="Arial"/>
          <w:color w:val="000000"/>
        </w:rPr>
      </w:pPr>
      <w:r w:rsidRPr="00C30B31">
        <w:rPr>
          <w:rFonts w:ascii="Verdana" w:eastAsia="Arial" w:hAnsi="Verdana" w:cs="Arial"/>
          <w:color w:val="000000"/>
        </w:rPr>
        <w:t>De otro lado, el segundo cambio importante de la Ley 1882 de 2018 fue la introducción de un criterio material, directamente relacionado con los aspectos subsanables: “los proponentes no podrán acreditar circunstancias ocurridas con posterioridad al cierre del proceso”</w:t>
      </w:r>
      <w:r w:rsidRPr="00C30B31">
        <w:rPr>
          <w:rFonts w:ascii="Verdana" w:eastAsia="Arial" w:hAnsi="Verdana" w:cs="Arial"/>
          <w:bCs/>
          <w:iCs/>
          <w:color w:val="000000"/>
        </w:rPr>
        <w:t>.</w:t>
      </w:r>
      <w:r w:rsidRPr="00C30B31">
        <w:rPr>
          <w:rFonts w:ascii="Verdana" w:eastAsia="Arial" w:hAnsi="Verdana" w:cs="Arial"/>
          <w:b/>
          <w:color w:val="000000"/>
        </w:rPr>
        <w:t xml:space="preserve"> </w:t>
      </w:r>
      <w:r w:rsidRPr="00C30B31">
        <w:rPr>
          <w:rFonts w:ascii="Verdana" w:eastAsia="Arial" w:hAnsi="Verdana" w:cs="Arial"/>
          <w:color w:val="000000"/>
        </w:rPr>
        <w:t xml:space="preserve">Lo anterior ofrece dos aspectos que merecen clarificación: </w:t>
      </w:r>
      <w:r w:rsidRPr="00C30B31">
        <w:rPr>
          <w:rFonts w:ascii="Verdana" w:eastAsia="Arial" w:hAnsi="Verdana" w:cs="Arial"/>
          <w:i/>
          <w:color w:val="000000"/>
        </w:rPr>
        <w:t>primero</w:t>
      </w:r>
      <w:r w:rsidRPr="00C30B31">
        <w:rPr>
          <w:rFonts w:ascii="Verdana" w:eastAsia="Arial" w:hAnsi="Verdana" w:cs="Arial"/>
          <w:color w:val="000000"/>
        </w:rPr>
        <w:t xml:space="preserve">, qué debe entenderse por circunstancias ocurridas con posterioridad; y </w:t>
      </w:r>
      <w:r w:rsidRPr="00C30B31">
        <w:rPr>
          <w:rFonts w:ascii="Verdana" w:eastAsia="Arial" w:hAnsi="Verdana" w:cs="Arial"/>
          <w:i/>
          <w:color w:val="000000"/>
        </w:rPr>
        <w:t>segundo</w:t>
      </w:r>
      <w:r w:rsidRPr="00C30B31">
        <w:rPr>
          <w:rFonts w:ascii="Verdana" w:eastAsia="Arial" w:hAnsi="Verdana" w:cs="Arial"/>
          <w:color w:val="000000"/>
        </w:rPr>
        <w:t>, qué es el cierre del proceso.</w:t>
      </w:r>
    </w:p>
    <w:p w14:paraId="09FA583D" w14:textId="77777777" w:rsidR="00C30B31" w:rsidRPr="00C30B31" w:rsidRDefault="00C30B31" w:rsidP="00C30B31">
      <w:pPr>
        <w:spacing w:after="0" w:line="276" w:lineRule="auto"/>
        <w:ind w:firstLine="709"/>
        <w:jc w:val="both"/>
        <w:rPr>
          <w:rFonts w:ascii="Verdana" w:eastAsia="Arial" w:hAnsi="Verdana" w:cs="Arial"/>
          <w:color w:val="000000"/>
        </w:rPr>
      </w:pPr>
      <w:r w:rsidRPr="00C30B31">
        <w:rPr>
          <w:rFonts w:ascii="Verdana" w:eastAsia="Arial" w:hAnsi="Verdana" w:cs="Arial"/>
          <w:color w:val="000000"/>
        </w:rPr>
        <w:t xml:space="preserve">La Sala de Consulta y Servicio Civil del Consejo de Estado ya había tenido la oportunidad de precisar estas expresiones, a propósito de un concepto en el </w:t>
      </w:r>
      <w:r w:rsidRPr="00C30B31">
        <w:rPr>
          <w:rFonts w:ascii="Verdana" w:eastAsia="Arial" w:hAnsi="Verdana" w:cs="Arial"/>
          <w:color w:val="000000"/>
        </w:rPr>
        <w:lastRenderedPageBreak/>
        <w:t>que se refirió al artículo 10 del derogado Decreto 2474 de 2008</w:t>
      </w:r>
      <w:r w:rsidRPr="00C30B31">
        <w:rPr>
          <w:rFonts w:ascii="Verdana" w:eastAsia="Arial" w:hAnsi="Verdana" w:cs="Arial"/>
          <w:color w:val="000000"/>
          <w:vertAlign w:val="superscript"/>
        </w:rPr>
        <w:footnoteReference w:id="8"/>
      </w:r>
      <w:r w:rsidRPr="00C30B31">
        <w:rPr>
          <w:rFonts w:ascii="Verdana" w:eastAsia="Arial" w:hAnsi="Verdana" w:cs="Arial"/>
          <w:color w:val="000000"/>
        </w:rPr>
        <w:t xml:space="preserve">,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6417D1BB" w14:textId="77777777" w:rsidR="00C30B31" w:rsidRPr="00C30B31" w:rsidRDefault="00C30B31" w:rsidP="00C30B31">
      <w:pPr>
        <w:spacing w:after="0"/>
        <w:ind w:left="709" w:right="709"/>
        <w:jc w:val="both"/>
        <w:rPr>
          <w:rFonts w:ascii="Verdana" w:eastAsia="Arial" w:hAnsi="Verdana" w:cs="Arial"/>
          <w:color w:val="000000"/>
        </w:rPr>
      </w:pPr>
    </w:p>
    <w:p w14:paraId="00D5EE45" w14:textId="77777777" w:rsidR="00C30B31" w:rsidRPr="00C30B31" w:rsidRDefault="00C30B31" w:rsidP="00C30B31">
      <w:pPr>
        <w:spacing w:after="120" w:line="240" w:lineRule="auto"/>
        <w:ind w:left="709" w:right="709"/>
        <w:jc w:val="both"/>
        <w:rPr>
          <w:rFonts w:ascii="Verdana" w:eastAsia="Arial" w:hAnsi="Verdana" w:cs="Arial"/>
          <w:color w:val="000000"/>
          <w:sz w:val="21"/>
          <w:szCs w:val="21"/>
        </w:rPr>
      </w:pPr>
      <w:r w:rsidRPr="00C30B31">
        <w:rPr>
          <w:rFonts w:ascii="Verdana" w:eastAsia="Arial" w:hAnsi="Verdana" w:cs="Arial"/>
          <w:color w:val="000000"/>
          <w:sz w:val="21"/>
          <w:szCs w:val="21"/>
        </w:rPr>
        <w:t xml:space="preserve">“Sin embargo, debe tenerse en cuenta que la última norma en cita -Decreto 2474 de 2008, aparte subrayado-, establece un límite a la </w:t>
      </w:r>
      <w:proofErr w:type="spellStart"/>
      <w:r w:rsidRPr="00C30B31">
        <w:rPr>
          <w:rFonts w:ascii="Verdana" w:eastAsia="Arial" w:hAnsi="Verdana" w:cs="Arial"/>
          <w:color w:val="000000"/>
          <w:sz w:val="21"/>
          <w:szCs w:val="21"/>
        </w:rPr>
        <w:t>subsanabilidad</w:t>
      </w:r>
      <w:proofErr w:type="spellEnd"/>
      <w:r w:rsidRPr="00C30B31">
        <w:rPr>
          <w:rFonts w:ascii="Verdana" w:eastAsia="Arial" w:hAnsi="Verdana" w:cs="Arial"/>
          <w:color w:val="000000"/>
          <w:sz w:val="21"/>
          <w:szCs w:val="21"/>
        </w:rPr>
        <w:t>, puesto que en cualquier caso debe referirse o recaer sobre circunstancias ocurridas antes del cierre del respectivo proceso, esto es, del vencimiento del plazo para presentar ofertas.</w:t>
      </w:r>
    </w:p>
    <w:p w14:paraId="2A227FCB" w14:textId="77777777" w:rsidR="00C30B31" w:rsidRPr="00C30B31" w:rsidRDefault="00C30B31" w:rsidP="00C30B31">
      <w:pPr>
        <w:spacing w:after="0" w:line="240" w:lineRule="auto"/>
        <w:ind w:left="709" w:right="709"/>
        <w:jc w:val="both"/>
        <w:rPr>
          <w:rFonts w:ascii="Verdana" w:eastAsia="Arial" w:hAnsi="Verdana" w:cs="Arial"/>
          <w:color w:val="000000"/>
          <w:sz w:val="21"/>
          <w:szCs w:val="21"/>
        </w:rPr>
      </w:pPr>
      <w:r w:rsidRPr="00C30B31">
        <w:rPr>
          <w:rFonts w:ascii="Verdana" w:eastAsia="Arial" w:hAnsi="Verdana" w:cs="Arial"/>
          <w:color w:val="000000"/>
          <w:sz w:val="21"/>
          <w:szCs w:val="21"/>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C30B31">
        <w:rPr>
          <w:rFonts w:ascii="Verdana" w:eastAsia="Arial" w:hAnsi="Verdana" w:cs="Arial"/>
          <w:color w:val="000000"/>
          <w:sz w:val="21"/>
          <w:szCs w:val="21"/>
        </w:rPr>
        <w:t>la misma</w:t>
      </w:r>
      <w:proofErr w:type="gramEnd"/>
      <w:r w:rsidRPr="00C30B31">
        <w:rPr>
          <w:rFonts w:ascii="Verdana" w:eastAsia="Arial" w:hAnsi="Verdana" w:cs="Arial"/>
          <w:color w:val="000000"/>
          <w:sz w:val="21"/>
          <w:szCs w:val="21"/>
        </w:rPr>
        <w:t xml:space="preserve">,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w:t>
      </w:r>
      <w:proofErr w:type="gramStart"/>
      <w:r w:rsidRPr="00C30B31">
        <w:rPr>
          <w:rFonts w:ascii="Verdana" w:eastAsia="Arial" w:hAnsi="Verdana" w:cs="Arial"/>
          <w:color w:val="000000"/>
          <w:sz w:val="21"/>
          <w:szCs w:val="21"/>
        </w:rPr>
        <w:t>del mismo</w:t>
      </w:r>
      <w:proofErr w:type="gramEnd"/>
      <w:r w:rsidRPr="00C30B31">
        <w:rPr>
          <w:rFonts w:ascii="Verdana" w:eastAsia="Arial" w:hAnsi="Verdana" w:cs="Arial"/>
          <w:color w:val="000000"/>
          <w:sz w:val="21"/>
          <w:szCs w:val="21"/>
        </w:rPr>
        <w:t xml:space="preserve"> o lo actualice, pero no para que se constituya la </w:t>
      </w:r>
      <w:r w:rsidRPr="00C30B31">
        <w:rPr>
          <w:rFonts w:ascii="Verdana" w:eastAsia="Arial" w:hAnsi="Verdana" w:cs="Arial"/>
          <w:color w:val="000000"/>
          <w:sz w:val="21"/>
          <w:szCs w:val="21"/>
        </w:rPr>
        <w:lastRenderedPageBreak/>
        <w:t>sociedad con posterioridad al cierre del proceso, pues si ello no se había hecho, significa simplemente que el oferente no tenía la condición para participar”</w:t>
      </w:r>
      <w:r w:rsidRPr="00C30B31">
        <w:rPr>
          <w:rFonts w:ascii="Verdana" w:eastAsia="Arial" w:hAnsi="Verdana" w:cs="Arial"/>
          <w:color w:val="000000"/>
          <w:sz w:val="21"/>
          <w:szCs w:val="21"/>
          <w:vertAlign w:val="superscript"/>
        </w:rPr>
        <w:footnoteReference w:id="9"/>
      </w:r>
      <w:r w:rsidRPr="00C30B31">
        <w:rPr>
          <w:rFonts w:ascii="Verdana" w:eastAsia="Arial" w:hAnsi="Verdana" w:cs="Arial"/>
          <w:color w:val="000000"/>
          <w:sz w:val="21"/>
          <w:szCs w:val="21"/>
        </w:rPr>
        <w:t>.</w:t>
      </w:r>
    </w:p>
    <w:p w14:paraId="088D6777" w14:textId="77777777" w:rsidR="00C30B31" w:rsidRPr="00C30B31" w:rsidRDefault="00C30B31" w:rsidP="00C30B31">
      <w:pPr>
        <w:spacing w:after="0" w:line="276" w:lineRule="auto"/>
        <w:jc w:val="both"/>
        <w:rPr>
          <w:rFonts w:ascii="Verdana" w:eastAsia="Arial" w:hAnsi="Verdana" w:cs="Arial"/>
          <w:color w:val="000000"/>
        </w:rPr>
      </w:pPr>
    </w:p>
    <w:p w14:paraId="33C7019B" w14:textId="77777777" w:rsidR="00C30B31" w:rsidRPr="00C30B31" w:rsidRDefault="00C30B31" w:rsidP="00C30B31">
      <w:pPr>
        <w:spacing w:after="120" w:line="276" w:lineRule="auto"/>
        <w:ind w:firstLine="709"/>
        <w:jc w:val="both"/>
        <w:rPr>
          <w:rFonts w:ascii="Verdana" w:eastAsia="Arial" w:hAnsi="Verdana" w:cs="Arial"/>
          <w:color w:val="000000"/>
        </w:rPr>
      </w:pPr>
      <w:r w:rsidRPr="00C30B31">
        <w:rPr>
          <w:rFonts w:ascii="Verdana" w:eastAsia="Arial" w:hAnsi="Verdana" w:cs="Arial"/>
          <w:color w:val="000000"/>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495706F" w14:textId="77777777" w:rsidR="00C30B31" w:rsidRPr="00C30B31" w:rsidRDefault="00C30B31" w:rsidP="00C30B31">
      <w:pPr>
        <w:spacing w:after="120" w:line="276" w:lineRule="auto"/>
        <w:ind w:firstLine="709"/>
        <w:jc w:val="both"/>
        <w:rPr>
          <w:rFonts w:ascii="Verdana" w:eastAsia="Arial" w:hAnsi="Verdana" w:cs="Arial"/>
          <w:color w:val="000000"/>
        </w:rPr>
      </w:pPr>
      <w:r w:rsidRPr="00C30B31">
        <w:rPr>
          <w:rFonts w:ascii="Verdana" w:eastAsia="Arial" w:hAnsi="Verdana" w:cs="Arial"/>
          <w:color w:val="000000"/>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C30B31">
        <w:rPr>
          <w:rFonts w:ascii="Verdana" w:eastAsia="Arial" w:hAnsi="Verdana" w:cs="Arial"/>
          <w:color w:val="000000"/>
        </w:rPr>
        <w:t>subsanabilidad</w:t>
      </w:r>
      <w:proofErr w:type="spellEnd"/>
      <w:r w:rsidRPr="00C30B31">
        <w:rPr>
          <w:rFonts w:ascii="Verdana" w:eastAsia="Arial" w:hAnsi="Verdana" w:cs="Arial"/>
          <w:color w:val="000000"/>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240741B5" w14:textId="77777777" w:rsidR="00C30B31" w:rsidRPr="00C30B31" w:rsidRDefault="00C30B31" w:rsidP="00C30B31">
      <w:pPr>
        <w:spacing w:after="120" w:line="276" w:lineRule="auto"/>
        <w:ind w:firstLine="709"/>
        <w:jc w:val="both"/>
        <w:rPr>
          <w:rFonts w:ascii="Verdana" w:eastAsia="Arial" w:hAnsi="Verdana" w:cs="Arial"/>
          <w:color w:val="000000"/>
        </w:rPr>
      </w:pPr>
      <w:r w:rsidRPr="00C30B31">
        <w:rPr>
          <w:rFonts w:ascii="Verdana" w:eastAsia="Arial" w:hAnsi="Verdana" w:cs="Arial"/>
          <w:color w:val="000000"/>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Es por ello </w:t>
      </w:r>
      <w:proofErr w:type="gramStart"/>
      <w:r w:rsidRPr="00C30B31">
        <w:rPr>
          <w:rFonts w:ascii="Verdana" w:eastAsia="Arial" w:hAnsi="Verdana" w:cs="Arial"/>
          <w:color w:val="000000"/>
        </w:rPr>
        <w:t>que</w:t>
      </w:r>
      <w:proofErr w:type="gramEnd"/>
      <w:r w:rsidRPr="00C30B31">
        <w:rPr>
          <w:rFonts w:ascii="Verdana" w:eastAsia="Arial" w:hAnsi="Verdana" w:cs="Arial"/>
          <w:color w:val="000000"/>
        </w:rPr>
        <w:t xml:space="preserv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C30B31">
        <w:rPr>
          <w:rFonts w:ascii="Verdana" w:eastAsia="Arial" w:hAnsi="Verdana" w:cs="Arial"/>
          <w:color w:val="000000"/>
          <w:vertAlign w:val="superscript"/>
        </w:rPr>
        <w:footnoteReference w:id="10"/>
      </w:r>
      <w:r w:rsidRPr="00C30B31">
        <w:rPr>
          <w:rFonts w:ascii="Verdana" w:eastAsia="Arial" w:hAnsi="Verdana" w:cs="Arial"/>
          <w:color w:val="000000"/>
        </w:rPr>
        <w:t xml:space="preserve">. </w:t>
      </w:r>
    </w:p>
    <w:p w14:paraId="457083DC" w14:textId="77777777" w:rsidR="00C30B31" w:rsidRPr="00C30B31" w:rsidRDefault="00C30B31" w:rsidP="00C30B31">
      <w:pPr>
        <w:spacing w:after="120" w:line="276" w:lineRule="auto"/>
        <w:ind w:firstLine="709"/>
        <w:jc w:val="both"/>
        <w:rPr>
          <w:rFonts w:ascii="Verdana" w:eastAsia="Arial" w:hAnsi="Verdana" w:cs="Arial"/>
          <w:color w:val="000000"/>
        </w:rPr>
      </w:pPr>
      <w:r w:rsidRPr="00C30B31">
        <w:rPr>
          <w:rFonts w:ascii="Verdana" w:eastAsia="Arial" w:hAnsi="Verdana" w:cs="Arial"/>
          <w:color w:val="000000"/>
        </w:rPr>
        <w:lastRenderedPageBreak/>
        <w:t xml:space="preserve">Visto lo anterior,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087F773A" w14:textId="77777777" w:rsidR="00C30B31" w:rsidRPr="00C30B31" w:rsidRDefault="00C30B31" w:rsidP="00C30B31">
      <w:pPr>
        <w:spacing w:after="120" w:line="276" w:lineRule="auto"/>
        <w:ind w:firstLine="709"/>
        <w:jc w:val="both"/>
        <w:rPr>
          <w:rFonts w:ascii="Verdana" w:eastAsia="Calibri" w:hAnsi="Verdana" w:cs="Times New Roman"/>
        </w:rPr>
      </w:pPr>
      <w:r w:rsidRPr="00C30B31">
        <w:rPr>
          <w:rFonts w:ascii="Verdana" w:eastAsia="Arial" w:hAnsi="Verdana" w:cs="Arial"/>
          <w:color w:val="000000"/>
        </w:rPr>
        <w:t xml:space="preserve">Finalmente, el parágrafo 3 del artículo 5 de la Ley 1882 de 2018 determinó, de manera expresa, que “la no entrega de la garantía de seriedad junto con la propuesta no será subsanable y será causal de rechazo de </w:t>
      </w:r>
      <w:proofErr w:type="gramStart"/>
      <w:r w:rsidRPr="00C30B31">
        <w:rPr>
          <w:rFonts w:ascii="Verdana" w:eastAsia="Arial" w:hAnsi="Verdana" w:cs="Arial"/>
          <w:color w:val="000000"/>
        </w:rPr>
        <w:t>la misma</w:t>
      </w:r>
      <w:proofErr w:type="gramEnd"/>
      <w:r w:rsidRPr="00C30B31">
        <w:rPr>
          <w:rFonts w:ascii="Verdana" w:eastAsia="Arial" w:hAnsi="Verdana" w:cs="Arial"/>
          <w:color w:val="000000"/>
        </w:rPr>
        <w:t>”, dejando claro que se trata de un documento de obligatoria presentación junto con la propuesta y que materializa los principios de seriedad e irrevocabilidad de la oferta.</w:t>
      </w:r>
    </w:p>
    <w:p w14:paraId="1D0D998E" w14:textId="77777777" w:rsidR="00C30B31" w:rsidRPr="00C30B31" w:rsidRDefault="00C30B31" w:rsidP="32E0163A">
      <w:pPr>
        <w:spacing w:after="120" w:line="276" w:lineRule="auto"/>
        <w:jc w:val="both"/>
        <w:rPr>
          <w:rFonts w:ascii="Verdana" w:eastAsia="Times New Roman" w:hAnsi="Verdana" w:cs="Arial"/>
          <w:color w:val="000000"/>
          <w:lang w:val="es-ES" w:eastAsia="es-ES"/>
        </w:rPr>
      </w:pPr>
      <w:r w:rsidRPr="00C30B31">
        <w:rPr>
          <w:rFonts w:ascii="Verdana" w:eastAsia="Calibri" w:hAnsi="Verdana" w:cs="Arial"/>
        </w:rPr>
        <w:tab/>
      </w:r>
      <w:r w:rsidRPr="32E0163A">
        <w:rPr>
          <w:rFonts w:ascii="Verdana" w:eastAsia="Times New Roman" w:hAnsi="Verdana" w:cs="Arial"/>
          <w:color w:val="000000"/>
          <w:lang w:val="es-ES" w:eastAsia="es-ES"/>
        </w:rPr>
        <w:t xml:space="preserve">Teniendo en cuenta lo anterior, y que en el procedimiento de selección estandarizado mediante el documento tipo de interventoría la asignación de puntaje no sería susceptible de subsanación, de acuerdo con las reglas de la norma citada, debe indicarse </w:t>
      </w:r>
      <w:proofErr w:type="gramStart"/>
      <w:r w:rsidRPr="32E0163A">
        <w:rPr>
          <w:rFonts w:ascii="Verdana" w:eastAsia="Times New Roman" w:hAnsi="Verdana" w:cs="Arial"/>
          <w:color w:val="000000"/>
          <w:lang w:val="es-ES" w:eastAsia="es-ES"/>
        </w:rPr>
        <w:t>que</w:t>
      </w:r>
      <w:proofErr w:type="gramEnd"/>
      <w:r w:rsidRPr="32E0163A">
        <w:rPr>
          <w:rFonts w:ascii="Verdana" w:eastAsia="Times New Roman" w:hAnsi="Verdana" w:cs="Arial"/>
          <w:color w:val="000000"/>
          <w:lang w:val="es-ES" w:eastAsia="es-ES"/>
        </w:rPr>
        <w:t xml:space="preserve"> de esta manera, el “documento base” del documento tipo de interventoría establece en el numeral 1.6. lo siguiente: </w:t>
      </w:r>
    </w:p>
    <w:p w14:paraId="2DC899E1" w14:textId="77777777" w:rsidR="00C30B31" w:rsidRPr="00C30B31" w:rsidRDefault="00C30B31" w:rsidP="00C30B31">
      <w:pPr>
        <w:spacing w:after="0" w:line="276" w:lineRule="auto"/>
        <w:ind w:firstLine="709"/>
        <w:jc w:val="both"/>
        <w:rPr>
          <w:rFonts w:ascii="Verdana" w:eastAsia="Calibri" w:hAnsi="Verdana" w:cs="Arial"/>
          <w:bCs/>
          <w:color w:val="000000"/>
          <w:sz w:val="21"/>
          <w:szCs w:val="21"/>
          <w:lang w:val="es-ES_tradnl" w:eastAsia="es-ES_tradnl"/>
        </w:rPr>
      </w:pPr>
    </w:p>
    <w:p w14:paraId="03C4168C" w14:textId="77777777" w:rsidR="00C30B31" w:rsidRPr="00C30B31" w:rsidRDefault="00C30B31" w:rsidP="00C30B31">
      <w:pPr>
        <w:autoSpaceDE w:val="0"/>
        <w:autoSpaceDN w:val="0"/>
        <w:adjustRightInd w:val="0"/>
        <w:spacing w:after="0" w:line="240" w:lineRule="auto"/>
        <w:ind w:left="709" w:right="709"/>
        <w:jc w:val="both"/>
        <w:rPr>
          <w:rFonts w:ascii="Verdana" w:eastAsia="Aptos" w:hAnsi="Verdana" w:cs="Arial"/>
          <w:kern w:val="2"/>
          <w:sz w:val="21"/>
          <w:szCs w:val="21"/>
          <w14:ligatures w14:val="standardContextual"/>
        </w:rPr>
      </w:pPr>
      <w:r w:rsidRPr="00C30B31">
        <w:rPr>
          <w:rFonts w:ascii="Verdana" w:eastAsia="Aptos" w:hAnsi="Verdana" w:cs="Arial"/>
          <w:kern w:val="2"/>
          <w:sz w:val="21"/>
          <w:szCs w:val="21"/>
          <w14:ligatures w14:val="standardContextual"/>
        </w:rPr>
        <w:t xml:space="preserve">“El Proponente tiene la responsabilidad y el deber de presentar su oferta de forma completa e íntegra, esto es, cumpliendo el contenido del Pliego de Condiciones y adjuntando los documentos de soporte o prueba de las condiciones que pretenda hacer valer en el Proceso de Contratación. </w:t>
      </w:r>
    </w:p>
    <w:p w14:paraId="14A1A91E" w14:textId="77777777" w:rsidR="00C30B31" w:rsidRPr="00C30B31" w:rsidRDefault="00C30B31" w:rsidP="00C30B31">
      <w:pPr>
        <w:autoSpaceDE w:val="0"/>
        <w:autoSpaceDN w:val="0"/>
        <w:adjustRightInd w:val="0"/>
        <w:spacing w:before="120" w:after="240" w:line="240" w:lineRule="auto"/>
        <w:ind w:left="709" w:right="709"/>
        <w:jc w:val="both"/>
        <w:rPr>
          <w:rFonts w:ascii="Verdana" w:eastAsia="Aptos" w:hAnsi="Verdana" w:cs="Arial"/>
          <w:kern w:val="2"/>
          <w:sz w:val="21"/>
          <w:szCs w:val="21"/>
          <w14:ligatures w14:val="standardContextual"/>
        </w:rPr>
      </w:pPr>
      <w:r w:rsidRPr="00C30B31">
        <w:rPr>
          <w:rFonts w:ascii="Verdana" w:eastAsia="Aptos" w:hAnsi="Verdana" w:cs="Arial"/>
          <w:kern w:val="2"/>
          <w:sz w:val="21"/>
          <w:szCs w:val="21"/>
          <w14:ligatures w14:val="standardContextual"/>
        </w:rPr>
        <w:t xml:space="preserve">En caso de ser necesario, la Entidad debe solicitar a los Proponentes durante el proceso de evaluación, y a más tardar en el informe de evaluación, las aclaraciones, precisiones o solicitudes de documentos que puedan ser subsanables. No obstante, los Proponentes no podrán completar, adicionar o mejorar sus propuestas en los aspectos que otorgan puntaje, ni tampoco en los factores de desempate, los cuales podrán ser objeto de aclaraciones y explicaciones. Los Proponentes deberán allegar las aclaraciones o documentos requeridos en el momento en el que fueron solicitados y a más tardar hasta el término de traslado del informe de evaluación, es decir, dentro de los tres (3) </w:t>
      </w:r>
      <w:r w:rsidRPr="00C30B31">
        <w:rPr>
          <w:rFonts w:ascii="Verdana" w:eastAsia="Aptos" w:hAnsi="Verdana" w:cs="Arial"/>
          <w:kern w:val="2"/>
          <w:sz w:val="21"/>
          <w:szCs w:val="21"/>
          <w14:ligatures w14:val="standardContextual"/>
        </w:rPr>
        <w:lastRenderedPageBreak/>
        <w:t xml:space="preserve">días hábiles posteriores contados a partir del día hábil siguiente a la publicación del informe de evaluación. </w:t>
      </w:r>
    </w:p>
    <w:p w14:paraId="18E1967A" w14:textId="77777777" w:rsidR="00C30B31" w:rsidRPr="00C30B31" w:rsidRDefault="00C30B31" w:rsidP="00C30B31">
      <w:pPr>
        <w:autoSpaceDE w:val="0"/>
        <w:autoSpaceDN w:val="0"/>
        <w:adjustRightInd w:val="0"/>
        <w:spacing w:after="0" w:line="240" w:lineRule="auto"/>
        <w:ind w:left="709" w:right="709"/>
        <w:jc w:val="both"/>
        <w:rPr>
          <w:rFonts w:ascii="Verdana" w:eastAsia="Aptos" w:hAnsi="Verdana" w:cs="Times New Roman"/>
          <w:kern w:val="2"/>
          <w:sz w:val="21"/>
          <w:szCs w:val="21"/>
          <w14:ligatures w14:val="standardContextual"/>
        </w:rPr>
      </w:pPr>
      <w:r w:rsidRPr="00C30B31">
        <w:rPr>
          <w:rFonts w:ascii="Verdana" w:eastAsia="Aptos" w:hAnsi="Verdana" w:cs="Arial"/>
          <w:kern w:val="2"/>
          <w:sz w:val="21"/>
          <w:szCs w:val="21"/>
          <w14:ligatures w14:val="standardContextual"/>
        </w:rPr>
        <w:t>En</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caso de</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que</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la</w:t>
      </w:r>
      <w:r w:rsidRPr="00C30B31">
        <w:rPr>
          <w:rFonts w:ascii="Verdana" w:eastAsia="Arial" w:hAnsi="Verdana" w:cs="Arial"/>
          <w:kern w:val="2"/>
          <w:sz w:val="21"/>
          <w:szCs w:val="21"/>
          <w14:ligatures w14:val="standardContextual"/>
        </w:rPr>
        <w:t xml:space="preserve"> </w:t>
      </w:r>
      <w:r w:rsidRPr="00C30B31" w:rsidDel="00E41DBB">
        <w:rPr>
          <w:rFonts w:ascii="Verdana" w:eastAsia="Aptos" w:hAnsi="Verdana" w:cs="Arial"/>
          <w:kern w:val="2"/>
          <w:sz w:val="21"/>
          <w:szCs w:val="21"/>
          <w14:ligatures w14:val="standardContextual"/>
        </w:rPr>
        <w:t>Entidad</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no hubiese advertido durante el proceso de evaluación</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la</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ausencia</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de</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requisitos o la falta de documentos referentes a la futura contratación o al Proponente, ya sea en relación con los requisitos habilitantes o para aclarar aspectos que otorgan puntaje o relativos a los factores de desempate y, por ende, no los haya requerido, podrá hacerlo posteriormente</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otorgándole</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al Proponente</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un</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término</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igual</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al</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establecido</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para</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el</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traslado</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del</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informe</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de</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evaluación</w:t>
      </w:r>
      <w:r w:rsidRPr="00C30B31">
        <w:rPr>
          <w:rFonts w:ascii="Verdana" w:eastAsia="Arial" w:hAnsi="Verdana" w:cs="Arial"/>
          <w:kern w:val="2"/>
          <w:sz w:val="21"/>
          <w:szCs w:val="21"/>
          <w14:ligatures w14:val="standardContextual"/>
        </w:rPr>
        <w:t>,</w:t>
      </w:r>
      <w:r w:rsidRPr="00C30B31" w:rsidDel="008C5B46">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con</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el</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fin</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de</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que</w:t>
      </w:r>
      <w:r w:rsidRPr="00C30B31">
        <w:rPr>
          <w:rFonts w:ascii="Verdana" w:eastAsia="Arial" w:hAnsi="Verdana" w:cs="Arial"/>
          <w:kern w:val="2"/>
          <w:sz w:val="21"/>
          <w:szCs w:val="21"/>
          <w14:ligatures w14:val="standardContextual"/>
        </w:rPr>
        <w:t xml:space="preserve"> </w:t>
      </w:r>
      <w:r w:rsidRPr="00C30B31">
        <w:rPr>
          <w:rFonts w:ascii="Verdana" w:eastAsia="Aptos" w:hAnsi="Verdana" w:cs="Arial"/>
          <w:kern w:val="2"/>
          <w:sz w:val="21"/>
          <w:szCs w:val="21"/>
          <w14:ligatures w14:val="standardContextual"/>
        </w:rPr>
        <w:t>los allegue. En caso de que sea necesario, la E</w:t>
      </w:r>
      <w:r w:rsidRPr="00C30B31" w:rsidDel="00E41DBB">
        <w:rPr>
          <w:rFonts w:ascii="Verdana" w:eastAsia="Aptos" w:hAnsi="Verdana" w:cs="Arial"/>
          <w:kern w:val="2"/>
          <w:sz w:val="21"/>
          <w:szCs w:val="21"/>
          <w14:ligatures w14:val="standardContextual"/>
        </w:rPr>
        <w:t>ntidad</w:t>
      </w:r>
      <w:r w:rsidRPr="00C30B31">
        <w:rPr>
          <w:rFonts w:ascii="Verdana" w:eastAsia="Aptos" w:hAnsi="Verdana" w:cs="Arial"/>
          <w:kern w:val="2"/>
          <w:sz w:val="21"/>
          <w:szCs w:val="21"/>
          <w14:ligatures w14:val="standardContextual"/>
        </w:rPr>
        <w:t xml:space="preserve"> ajustará el Cronograma. </w:t>
      </w:r>
      <w:r w:rsidRPr="00C30B31">
        <w:rPr>
          <w:rFonts w:ascii="Verdana" w:eastAsia="Arial" w:hAnsi="Verdana" w:cs="Arial"/>
          <w:kern w:val="2"/>
          <w:sz w:val="21"/>
          <w:szCs w:val="21"/>
          <w14:ligatures w14:val="standardContextual"/>
        </w:rPr>
        <w:t>Lo aquí descrito también aplicará cuando la observación a la oferta provenga de otro Proponente y se hubiere realizado en el traslado del informe de evaluación”.</w:t>
      </w:r>
    </w:p>
    <w:p w14:paraId="2156911A" w14:textId="77777777" w:rsidR="00C30B31" w:rsidRPr="00C30B31" w:rsidRDefault="00C30B31" w:rsidP="00C30B31">
      <w:pPr>
        <w:tabs>
          <w:tab w:val="left" w:pos="0"/>
        </w:tabs>
        <w:spacing w:after="0" w:line="240" w:lineRule="auto"/>
        <w:jc w:val="both"/>
        <w:rPr>
          <w:rFonts w:ascii="Verdana" w:eastAsia="Calibri" w:hAnsi="Verdana" w:cs="Arial"/>
          <w:b/>
          <w:color w:val="000000"/>
          <w:szCs w:val="24"/>
          <w:lang w:val="es-ES_tradnl" w:eastAsia="es-ES_tradnl"/>
        </w:rPr>
      </w:pPr>
    </w:p>
    <w:p w14:paraId="11095090" w14:textId="77777777" w:rsidR="00C30B31" w:rsidRPr="00C30B31" w:rsidRDefault="00C30B31" w:rsidP="00C30B31">
      <w:pPr>
        <w:spacing w:after="120" w:line="276" w:lineRule="auto"/>
        <w:ind w:right="51" w:firstLine="709"/>
        <w:jc w:val="both"/>
        <w:rPr>
          <w:rFonts w:ascii="Arial" w:eastAsia="Arial" w:hAnsi="Arial" w:cs="Arial"/>
          <w:kern w:val="2"/>
          <w:sz w:val="24"/>
          <w:szCs w:val="24"/>
          <w:lang w:val="es-MX" w:eastAsia="es-ES"/>
          <w14:ligatures w14:val="standardContextual"/>
        </w:rPr>
      </w:pPr>
      <w:r w:rsidRPr="00C30B31">
        <w:rPr>
          <w:rFonts w:ascii="Verdana" w:eastAsia="Calibri" w:hAnsi="Verdana" w:cs="Arial"/>
          <w:kern w:val="2"/>
          <w:lang w:val="es-MX"/>
          <w14:ligatures w14:val="standardContextual"/>
        </w:rPr>
        <w:t>Como en efecto lo explica textualmente el pliego, no son subsanables los aspectos que otorgan puntaje ni los factores de desempate, pero respecto de estos si procede la aclaración o explicación que solicite la entidad y que aporte el proponente</w:t>
      </w:r>
      <w:r w:rsidRPr="00C30B31">
        <w:rPr>
          <w:rFonts w:ascii="Verdana" w:eastAsia="Arial" w:hAnsi="Verdana" w:cs="Arial"/>
          <w:kern w:val="2"/>
          <w:lang w:val="es-MX" w:eastAsia="es-ES"/>
          <w14:ligatures w14:val="standardContextual"/>
        </w:rPr>
        <w:t xml:space="preserve">. Esto se encuentra en armonía con el parágrafo 1 del artículo 5 de la Ley 1150 de 2007, modificado por el artículo 5 de la Ley 1882 de 2018, que dispone la </w:t>
      </w:r>
      <w:proofErr w:type="spellStart"/>
      <w:r w:rsidRPr="00C30B31">
        <w:rPr>
          <w:rFonts w:ascii="Verdana" w:eastAsia="Arial" w:hAnsi="Verdana" w:cs="Arial"/>
          <w:kern w:val="2"/>
          <w:lang w:val="es-MX" w:eastAsia="es-ES"/>
          <w14:ligatures w14:val="standardContextual"/>
        </w:rPr>
        <w:t>subsanabilidad</w:t>
      </w:r>
      <w:proofErr w:type="spellEnd"/>
      <w:r w:rsidRPr="00C30B31">
        <w:rPr>
          <w:rFonts w:ascii="Verdana" w:eastAsia="Arial" w:hAnsi="Verdana" w:cs="Arial"/>
          <w:kern w:val="2"/>
          <w:lang w:val="es-MX" w:eastAsia="es-ES"/>
          <w14:ligatures w14:val="standardContextual"/>
        </w:rPr>
        <w:t xml:space="preserve"> de los requisitos de la propuesta que no afecten la asignación de puntaje, los cuales deben ser solicitados por la entidad estatal contratante y aportados por los proponentes, lo que implica que los requisitos ponderables o que otorguen puntaje no pueden ser subsanados</w:t>
      </w:r>
      <w:r w:rsidRPr="00C30B31">
        <w:rPr>
          <w:rFonts w:ascii="Arial" w:eastAsia="Arial" w:hAnsi="Arial" w:cs="Arial"/>
          <w:kern w:val="2"/>
          <w:sz w:val="24"/>
          <w:szCs w:val="24"/>
          <w:vertAlign w:val="superscript"/>
          <w:lang w:val="es-MX" w:eastAsia="es-ES"/>
          <w14:ligatures w14:val="standardContextual"/>
        </w:rPr>
        <w:footnoteReference w:id="11"/>
      </w:r>
      <w:r w:rsidRPr="00C30B31">
        <w:rPr>
          <w:rFonts w:ascii="Arial" w:eastAsia="Arial" w:hAnsi="Arial" w:cs="Arial"/>
          <w:kern w:val="2"/>
          <w:sz w:val="24"/>
          <w:szCs w:val="24"/>
          <w:lang w:val="es-MX" w:eastAsia="es-ES"/>
          <w14:ligatures w14:val="standardContextual"/>
        </w:rPr>
        <w:t xml:space="preserve">. </w:t>
      </w:r>
    </w:p>
    <w:p w14:paraId="2D646E0B" w14:textId="77777777" w:rsidR="00C30B31" w:rsidRPr="00C30B31" w:rsidRDefault="00C30B31" w:rsidP="00C30B31">
      <w:pPr>
        <w:spacing w:after="120" w:line="276" w:lineRule="auto"/>
        <w:ind w:firstLine="709"/>
        <w:jc w:val="both"/>
        <w:rPr>
          <w:rFonts w:ascii="Verdana" w:eastAsia="Calibri" w:hAnsi="Verdana" w:cs="Arial"/>
          <w:color w:val="000000"/>
          <w:lang w:val="es-ES" w:eastAsia="es-ES_tradnl"/>
        </w:rPr>
      </w:pPr>
      <w:r w:rsidRPr="00C30B31">
        <w:rPr>
          <w:rFonts w:ascii="Verdana" w:eastAsia="Calibri" w:hAnsi="Verdana" w:cs="Arial"/>
          <w:color w:val="000000"/>
          <w:lang w:val="es-ES" w:eastAsia="es-ES_tradnl"/>
        </w:rPr>
        <w:t xml:space="preserve">En este sentido, la regulación contenida en el numeral 1.6 del documento base, guarda armonía con la posibilidad de presentar </w:t>
      </w:r>
      <w:r w:rsidRPr="00C30B31">
        <w:rPr>
          <w:rFonts w:ascii="Verdana" w:eastAsia="Calibri" w:hAnsi="Verdana" w:cs="Arial"/>
          <w:i/>
          <w:iCs/>
          <w:color w:val="000000"/>
          <w:lang w:val="es-ES" w:eastAsia="es-ES_tradnl"/>
        </w:rPr>
        <w:t xml:space="preserve">explicaciones o aclaraciones </w:t>
      </w:r>
      <w:r w:rsidRPr="00C30B31">
        <w:rPr>
          <w:rFonts w:ascii="Verdana" w:eastAsia="Calibri" w:hAnsi="Verdana" w:cs="Arial"/>
          <w:color w:val="000000"/>
          <w:lang w:val="es-ES" w:eastAsia="es-ES_tradnl"/>
        </w:rPr>
        <w:t xml:space="preserve">del contenido de las ofertas, actuación que esta Agencia y la jurisprudencia ha diferenciado de la posibilidad de </w:t>
      </w:r>
      <w:r w:rsidRPr="00C30B31">
        <w:rPr>
          <w:rFonts w:ascii="Verdana" w:eastAsia="Calibri" w:hAnsi="Verdana" w:cs="Arial"/>
          <w:i/>
          <w:iCs/>
          <w:color w:val="000000"/>
          <w:lang w:val="es-ES" w:eastAsia="es-ES_tradnl"/>
        </w:rPr>
        <w:t>subsanar</w:t>
      </w:r>
      <w:r w:rsidRPr="00C30B31">
        <w:rPr>
          <w:rFonts w:ascii="Verdana" w:eastAsia="Calibri" w:hAnsi="Verdana" w:cs="Arial"/>
          <w:color w:val="000000"/>
          <w:lang w:val="es-ES" w:eastAsia="es-ES_tradnl"/>
        </w:rPr>
        <w:t>, fundamentando tal actuación en el artículo 30, numeral 7 de la Ley 80 de 1993</w:t>
      </w:r>
      <w:r w:rsidRPr="00C30B31">
        <w:rPr>
          <w:rFonts w:ascii="Verdana" w:eastAsia="Calibri" w:hAnsi="Verdana" w:cs="Arial"/>
          <w:color w:val="000000"/>
          <w:vertAlign w:val="superscript"/>
          <w:lang w:val="es-ES" w:eastAsia="es-ES_tradnl"/>
        </w:rPr>
        <w:footnoteReference w:id="12"/>
      </w:r>
      <w:r w:rsidRPr="00C30B31">
        <w:rPr>
          <w:rFonts w:ascii="Verdana" w:eastAsia="Calibri" w:hAnsi="Verdana" w:cs="Arial"/>
          <w:color w:val="000000"/>
          <w:lang w:val="es-ES" w:eastAsia="es-ES_tradnl"/>
        </w:rPr>
        <w:t xml:space="preserve">. De esta manera, es posible que las entidades requieran al proponente para que explique o aclare el contenido de lo que está presente en la oferta, lo que procede tanto frente a </w:t>
      </w:r>
      <w:r w:rsidRPr="00C30B31">
        <w:rPr>
          <w:rFonts w:ascii="Verdana" w:eastAsia="Calibri" w:hAnsi="Verdana" w:cs="Arial"/>
          <w:color w:val="000000"/>
          <w:lang w:val="es-ES" w:eastAsia="es-ES_tradnl"/>
        </w:rPr>
        <w:lastRenderedPageBreak/>
        <w:t xml:space="preserve">los requisitos habilitantes como los que asignan puntaje. En efecto, en el “documento base” del documento tipo de interventoría se establece en el numeral 1.6. –inciso segundo–: “En caso de ser necesario, la entidad debe solicitar a los proponentes durante el proceso de evaluación, y a más tardar en el informe de evaluación, las aclaraciones, precisiones o solicitud de documentos que puedan ser subsanables. </w:t>
      </w:r>
      <w:r w:rsidRPr="00C30B31">
        <w:rPr>
          <w:rFonts w:ascii="Verdana" w:eastAsia="Calibri" w:hAnsi="Verdana" w:cs="Arial"/>
          <w:i/>
          <w:iCs/>
          <w:color w:val="000000"/>
          <w:lang w:val="es-ES" w:eastAsia="es-ES_tradnl"/>
        </w:rPr>
        <w:t>No obstante, los proponentes no podrán completar, adicionar o mejorar sus propuestas en los aspectos que otorgan puntaje, los cuales podrán ser objeto de aclaraciones y explicaciones</w:t>
      </w:r>
      <w:r w:rsidRPr="00C30B31">
        <w:rPr>
          <w:rFonts w:ascii="Verdana" w:eastAsia="Calibri" w:hAnsi="Verdana" w:cs="Arial"/>
          <w:color w:val="000000"/>
          <w:lang w:val="es-ES" w:eastAsia="es-ES_tradnl"/>
        </w:rPr>
        <w:t xml:space="preserve">”, como se indicó precedentemente. </w:t>
      </w:r>
    </w:p>
    <w:p w14:paraId="00DE6BA6" w14:textId="77777777" w:rsidR="00C30B31" w:rsidRPr="00C30B31" w:rsidRDefault="00C30B31" w:rsidP="00C30B31">
      <w:pPr>
        <w:spacing w:after="120" w:line="276" w:lineRule="auto"/>
        <w:ind w:firstLine="709"/>
        <w:jc w:val="both"/>
        <w:rPr>
          <w:rFonts w:ascii="Verdana" w:eastAsia="Calibri" w:hAnsi="Verdana" w:cs="Arial"/>
          <w:color w:val="000000"/>
          <w:lang w:val="es-ES" w:eastAsia="es-ES_tradnl"/>
        </w:rPr>
      </w:pPr>
      <w:r w:rsidRPr="00C30B31">
        <w:rPr>
          <w:rFonts w:ascii="Verdana" w:eastAsia="Calibri" w:hAnsi="Verdana" w:cs="Arial"/>
          <w:color w:val="000000"/>
          <w:lang w:val="es-ES" w:eastAsia="es-ES_tradnl"/>
        </w:rPr>
        <w:t xml:space="preserve">En armonía con lo anterior, el “Anexo 3 – Glosario” del documento tipo de interventoría en relación con esta posibilidad establece la siguiente remisión: “Aclaraciones y explicaciones de ofertas: Se remite a las nociones desarrolladas en la sentencia del Consejo de Estado, Sección Tercera, Subsección C, del 12 de noviembre de 2014, Radicado 27.986, </w:t>
      </w:r>
      <w:proofErr w:type="gramStart"/>
      <w:r w:rsidRPr="00C30B31">
        <w:rPr>
          <w:rFonts w:ascii="Verdana" w:eastAsia="Calibri" w:hAnsi="Verdana" w:cs="Arial"/>
          <w:color w:val="000000"/>
          <w:lang w:val="es-ES" w:eastAsia="es-ES_tradnl"/>
        </w:rPr>
        <w:t>Consejero</w:t>
      </w:r>
      <w:proofErr w:type="gramEnd"/>
      <w:r w:rsidRPr="00C30B31">
        <w:rPr>
          <w:rFonts w:ascii="Verdana" w:eastAsia="Calibri" w:hAnsi="Verdana" w:cs="Arial"/>
          <w:color w:val="000000"/>
          <w:lang w:val="es-ES" w:eastAsia="es-ES_tradnl"/>
        </w:rPr>
        <w:t xml:space="preserve"> Ponente: Enrique Gil Botero”. De esta manera, la posibilidad de “subsanar”, no incide en la posibilidad más amplia de presentar “</w:t>
      </w:r>
      <w:r w:rsidRPr="00C30B31">
        <w:rPr>
          <w:rFonts w:ascii="Verdana" w:eastAsia="Calibri" w:hAnsi="Verdana" w:cs="Arial"/>
          <w:i/>
          <w:iCs/>
          <w:color w:val="000000"/>
          <w:lang w:val="es-ES" w:eastAsia="es-ES_tradnl"/>
        </w:rPr>
        <w:t>aclaraciones o explicaciones” del contenido de las ofertas.</w:t>
      </w:r>
      <w:r w:rsidRPr="00C30B31">
        <w:rPr>
          <w:rFonts w:ascii="Verdana" w:eastAsia="Calibri" w:hAnsi="Verdana" w:cs="Arial"/>
          <w:color w:val="000000"/>
          <w:lang w:val="es-ES" w:eastAsia="es-ES_tradnl"/>
        </w:rPr>
        <w:t xml:space="preserve"> En efecto, de acuerdo con la jurisprudencia esta actuación aplica en aquellos supuestos en que la entidad tiene dudas respecto el alcance o contenido de lo que está presente en la oferta y, por tanto, antes de decidir sobre la forma de evaluar lo que está presente allí considera necesario contar previamente con una explicación o aclaración por parte del proponente.</w:t>
      </w:r>
    </w:p>
    <w:p w14:paraId="6FD47600" w14:textId="77777777" w:rsidR="00C30B31" w:rsidRPr="00C30B31" w:rsidRDefault="00C30B31" w:rsidP="00C30B31">
      <w:pPr>
        <w:spacing w:before="120" w:after="0" w:line="276" w:lineRule="auto"/>
        <w:ind w:firstLine="709"/>
        <w:jc w:val="both"/>
        <w:rPr>
          <w:rFonts w:ascii="Verdana" w:eastAsia="Calibri" w:hAnsi="Verdana" w:cs="Arial"/>
          <w:color w:val="000000"/>
          <w:lang w:val="es-ES" w:eastAsia="es-ES_tradnl"/>
        </w:rPr>
      </w:pPr>
      <w:r w:rsidRPr="00C30B31">
        <w:rPr>
          <w:rFonts w:ascii="Verdana" w:eastAsia="Calibri" w:hAnsi="Verdana" w:cs="Arial"/>
          <w:color w:val="000000"/>
          <w:lang w:val="es-ES" w:eastAsia="es-ES_tradnl"/>
        </w:rPr>
        <w:t>En este sentido, la facultad  de solicitar aclaraciones en cabeza de la entidad directora del proceso selección establecida, principal y genéricamente, en el artículo 30 de la Ley 80 de 1993, debe comprenderse bajo el entendido que el oferente cuya oferta requiera ser aclarada, no podrá, so pena de proceder de conformidad con el requerimiento de la entidad, realizar modificaciones que impliquen una mejora o alteración sustancial de la oferta, tal y como ha sido expresado por el Consejo de Estado.</w:t>
      </w:r>
    </w:p>
    <w:p w14:paraId="44BFCEC5" w14:textId="77777777" w:rsidR="00C30B31" w:rsidRPr="00C30B31" w:rsidRDefault="00C30B31" w:rsidP="00C30B31">
      <w:pPr>
        <w:spacing w:before="120" w:after="0" w:line="276" w:lineRule="auto"/>
        <w:ind w:firstLine="709"/>
        <w:jc w:val="both"/>
        <w:rPr>
          <w:rFonts w:ascii="Verdana" w:eastAsia="Calibri" w:hAnsi="Verdana" w:cs="Arial"/>
          <w:bCs/>
          <w:kern w:val="2"/>
          <w:lang w:val="es-MX"/>
          <w14:ligatures w14:val="standardContextual"/>
        </w:rPr>
      </w:pPr>
      <w:r w:rsidRPr="00C30B31">
        <w:rPr>
          <w:rFonts w:ascii="Verdana" w:eastAsia="Calibri" w:hAnsi="Verdana" w:cs="Arial"/>
          <w:bCs/>
          <w:kern w:val="2"/>
          <w:lang w:val="es-MX"/>
          <w14:ligatures w14:val="standardContextual"/>
        </w:rPr>
        <w:t xml:space="preserve">Ahora bien, lo anterior no impide que se puedan hacer aclaraciones a las propuestas bien porque la entidad estatal las solicite en la etapa de evaluación de las mismas, ora porque las realicen los oferentes en la etapa dispuesta para las observaciones a los informes de evaluación, pero siempre y cuando verse sobre aspectos meramente formales o adjetivos o que en todo caso no comporten una variación o corrección del fondo de la propuesta a favor de quien las presenta y en detrimento de la posición de los demás proponentes en la evaluación, esto es, sujetas a condición de que con las mismas no se altere de </w:t>
      </w:r>
      <w:r w:rsidRPr="00C30B31">
        <w:rPr>
          <w:rFonts w:ascii="Verdana" w:eastAsia="Calibri" w:hAnsi="Verdana" w:cs="Arial"/>
          <w:bCs/>
          <w:kern w:val="2"/>
          <w:lang w:val="es-MX"/>
          <w14:ligatures w14:val="standardContextual"/>
        </w:rPr>
        <w:lastRenderedPageBreak/>
        <w:t>manera sustancial la información inicialmente suministrada y la situación de los oferentes en el proceso de licitación. Por eso, como es posible que por vía aclaratoria los proponentes intenten modificar o mejorar sus ofertas, hay que distinguir entre las simples aclaraciones de las propuestas y las modificaciones a estas; las primeras son los medios para que se pueda hacer perceptible, manifiesto, explícito o inteligible algún aspecto confuso de la propuesta, sin implicar una complementación, adición, modificación o mejora de dicho aspecto, que es, precisamente, en lo que consisten las segundas.</w:t>
      </w:r>
    </w:p>
    <w:p w14:paraId="0D6C28D2" w14:textId="77777777" w:rsidR="00C30B31" w:rsidRPr="00C30B31" w:rsidRDefault="00C30B31" w:rsidP="00C30B31">
      <w:pPr>
        <w:spacing w:before="120" w:after="0" w:line="276" w:lineRule="auto"/>
        <w:ind w:firstLine="709"/>
        <w:jc w:val="both"/>
        <w:rPr>
          <w:rFonts w:ascii="Verdana" w:eastAsia="Calibri" w:hAnsi="Verdana" w:cs="Arial"/>
          <w:bCs/>
          <w:kern w:val="2"/>
          <w:lang w:val="es-MX"/>
          <w14:ligatures w14:val="standardContextual"/>
        </w:rPr>
      </w:pPr>
      <w:r w:rsidRPr="00C30B31">
        <w:rPr>
          <w:rFonts w:ascii="Verdana" w:eastAsia="Calibri" w:hAnsi="Verdana" w:cs="Arial"/>
          <w:bCs/>
          <w:kern w:val="2"/>
          <w:lang w:val="es-MX"/>
          <w14:ligatures w14:val="standardContextual"/>
        </w:rPr>
        <w:t xml:space="preserve">La solicitud de aclaraciones permite que las entidades requieran a los proponentes esclarecer aspectos de sus propuestas que, en principio, resultan confusos para efectos de la evaluación, diferenciándose de la </w:t>
      </w:r>
      <w:proofErr w:type="spellStart"/>
      <w:r w:rsidRPr="00C30B31">
        <w:rPr>
          <w:rFonts w:ascii="Verdana" w:eastAsia="Calibri" w:hAnsi="Verdana" w:cs="Arial"/>
          <w:bCs/>
          <w:kern w:val="2"/>
          <w:lang w:val="es-MX"/>
          <w14:ligatures w14:val="standardContextual"/>
        </w:rPr>
        <w:t>subsanabilidad</w:t>
      </w:r>
      <w:proofErr w:type="spellEnd"/>
      <w:r w:rsidRPr="00C30B31">
        <w:rPr>
          <w:rFonts w:ascii="Verdana" w:eastAsia="Calibri" w:hAnsi="Verdana" w:cs="Arial"/>
          <w:bCs/>
          <w:kern w:val="2"/>
          <w:lang w:val="es-MX"/>
          <w14:ligatures w14:val="standardContextual"/>
        </w:rPr>
        <w:t xml:space="preserve">, pues no parte del supuesto de la ausencia de requisitos de la oferta sino de la existencia de dudas en la misma, cuya explicación se requiere para la evaluar la propuesta. Esta diferencia es importante, pues </w:t>
      </w:r>
      <w:r w:rsidRPr="00C30B31">
        <w:rPr>
          <w:rFonts w:ascii="Verdana" w:eastAsia="Calibri" w:hAnsi="Verdana" w:cs="Arial"/>
          <w:bCs/>
          <w:i/>
          <w:iCs/>
          <w:kern w:val="2"/>
          <w:lang w:val="es-MX"/>
          <w14:ligatures w14:val="standardContextual"/>
        </w:rPr>
        <w:t>es posible aclarar los requisitos que asignan puntaje</w:t>
      </w:r>
      <w:r w:rsidRPr="00C30B31">
        <w:rPr>
          <w:rFonts w:ascii="Verdana" w:eastAsia="Calibri" w:hAnsi="Verdana" w:cs="Arial"/>
          <w:bCs/>
          <w:kern w:val="2"/>
          <w:lang w:val="es-MX"/>
          <w14:ligatures w14:val="standardContextual"/>
        </w:rPr>
        <w:t>, tal como lo ha señalado la jurisprudencia en los siguientes términos:</w:t>
      </w:r>
    </w:p>
    <w:p w14:paraId="0966BE2F" w14:textId="77777777" w:rsidR="00C30B31" w:rsidRPr="00C30B31" w:rsidRDefault="00C30B31" w:rsidP="00C30B31">
      <w:pPr>
        <w:spacing w:after="0" w:line="240" w:lineRule="auto"/>
        <w:ind w:left="709" w:right="709"/>
        <w:jc w:val="both"/>
        <w:rPr>
          <w:rFonts w:ascii="Verdana" w:eastAsia="Calibri" w:hAnsi="Verdana" w:cs="Arial"/>
          <w:bCs/>
          <w:kern w:val="2"/>
          <w:sz w:val="21"/>
          <w:szCs w:val="21"/>
          <w:lang w:val="es-MX"/>
          <w14:ligatures w14:val="standardContextual"/>
        </w:rPr>
      </w:pPr>
    </w:p>
    <w:p w14:paraId="459AC5E6" w14:textId="77777777" w:rsidR="00C30B31" w:rsidRPr="00C30B31" w:rsidRDefault="00C30B31" w:rsidP="00C30B31">
      <w:pPr>
        <w:spacing w:after="0" w:line="240" w:lineRule="auto"/>
        <w:ind w:left="709" w:right="709"/>
        <w:jc w:val="both"/>
        <w:rPr>
          <w:rFonts w:ascii="Verdana" w:eastAsia="Calibri" w:hAnsi="Verdana" w:cs="Arial"/>
          <w:bCs/>
          <w:kern w:val="2"/>
          <w:sz w:val="21"/>
          <w:szCs w:val="21"/>
          <w:lang w:val="es-MX"/>
          <w14:ligatures w14:val="standardContextual"/>
        </w:rPr>
      </w:pPr>
      <w:r w:rsidRPr="00C30B31">
        <w:rPr>
          <w:rFonts w:ascii="Verdana" w:eastAsia="Calibri" w:hAnsi="Verdana" w:cs="Arial"/>
          <w:bCs/>
          <w:kern w:val="2"/>
          <w:sz w:val="21"/>
          <w:szCs w:val="21"/>
          <w:lang w:val="es-MX"/>
          <w14:ligatures w14:val="standardContextual"/>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w:t>
      </w:r>
      <w:proofErr w:type="spellStart"/>
      <w:r w:rsidRPr="00C30B31">
        <w:rPr>
          <w:rFonts w:ascii="Verdana" w:eastAsia="Calibri" w:hAnsi="Verdana" w:cs="Arial"/>
          <w:bCs/>
          <w:kern w:val="2"/>
          <w:sz w:val="21"/>
          <w:szCs w:val="21"/>
          <w:lang w:val="es-MX"/>
          <w14:ligatures w14:val="standardContextual"/>
        </w:rPr>
        <w:t>subsanabilidad</w:t>
      </w:r>
      <w:proofErr w:type="spellEnd"/>
      <w:r w:rsidRPr="00C30B31">
        <w:rPr>
          <w:rFonts w:ascii="Verdana" w:eastAsia="Calibri" w:hAnsi="Verdana" w:cs="Arial"/>
          <w:bCs/>
          <w:kern w:val="2"/>
          <w:sz w:val="21"/>
          <w:szCs w:val="21"/>
          <w:lang w:val="es-MX"/>
          <w14:ligatures w14:val="standardContextual"/>
        </w:rPr>
        <w:t xml:space="preserve"> -, pues no parte del supuesto de la ausencia de requisitos de la oferta –los que hay que subsanar-, sino de la presencia de inconsistencias o falta de claridad en la oferta, […].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r w:rsidRPr="00C30B31">
        <w:rPr>
          <w:rFonts w:ascii="Verdana" w:eastAsia="Calibri" w:hAnsi="Verdana" w:cs="Arial"/>
          <w:bCs/>
          <w:kern w:val="2"/>
          <w:sz w:val="21"/>
          <w:szCs w:val="21"/>
          <w:vertAlign w:val="superscript"/>
          <w:lang w:val="es-MX"/>
          <w14:ligatures w14:val="standardContextual"/>
        </w:rPr>
        <w:footnoteReference w:id="13"/>
      </w:r>
    </w:p>
    <w:p w14:paraId="5DA6E491" w14:textId="77777777" w:rsidR="00C30B31" w:rsidRPr="00C30B31" w:rsidRDefault="00C30B31" w:rsidP="00C30B31">
      <w:pPr>
        <w:spacing w:after="0" w:line="240" w:lineRule="auto"/>
        <w:ind w:left="709" w:right="709"/>
        <w:jc w:val="both"/>
        <w:rPr>
          <w:rFonts w:ascii="Verdana" w:eastAsia="Calibri" w:hAnsi="Verdana" w:cs="Arial"/>
          <w:bCs/>
          <w:kern w:val="2"/>
          <w:sz w:val="21"/>
          <w:szCs w:val="21"/>
          <w:lang w:val="es-MX"/>
          <w14:ligatures w14:val="standardContextual"/>
        </w:rPr>
      </w:pPr>
    </w:p>
    <w:p w14:paraId="669B6A9C" w14:textId="77777777" w:rsidR="00C30B31" w:rsidRPr="00C30B31" w:rsidRDefault="00C30B31" w:rsidP="00C30B31">
      <w:pPr>
        <w:spacing w:after="120" w:line="276" w:lineRule="auto"/>
        <w:ind w:firstLine="709"/>
        <w:jc w:val="both"/>
        <w:rPr>
          <w:rFonts w:ascii="Verdana" w:eastAsia="Calibri" w:hAnsi="Verdana" w:cs="Arial"/>
          <w:bCs/>
          <w:kern w:val="2"/>
          <w:lang w:val="es-MX"/>
          <w14:ligatures w14:val="standardContextual"/>
        </w:rPr>
      </w:pPr>
      <w:r w:rsidRPr="00C30B31">
        <w:rPr>
          <w:rFonts w:ascii="Verdana" w:eastAsia="Calibri" w:hAnsi="Verdana" w:cs="Arial"/>
          <w:bCs/>
          <w:kern w:val="2"/>
          <w:lang w:val="es-MX"/>
          <w14:ligatures w14:val="standardContextual"/>
        </w:rPr>
        <w:lastRenderedPageBreak/>
        <w:t xml:space="preserve">De tal forma que, tal y como lo expresó la alta Corporación, aclarar una oferta no puede implicar su alteración sustancial o mejoría de sus componentes, sino limitarse a disipar lo que resulta borroso u otorgar claridad a lo que resulta oscuro o ininteligible. En este punto, se concluye, es distinto aclarar y subsanar una oferta, siendo este último un instituto que procura porque el oferente presente, dentro del plazo y bajo las condiciones dadas por la norma aplicable, los documentos que acrediten el cumplimiento de los requisitos exigidos como habilitantes para participar en el respectivo procedimiento de selección, mientras que la aclaración permite mejor el entendimiento de los elementos de la oferta, sean o no subsanables, para la correcta verificación y evaluación de los mismos por parte de la entidad pública.  </w:t>
      </w:r>
    </w:p>
    <w:p w14:paraId="7355DE00" w14:textId="77777777" w:rsidR="00C30B31" w:rsidRPr="00C30B31" w:rsidRDefault="00C30B31" w:rsidP="00C30B31">
      <w:pPr>
        <w:spacing w:after="120" w:line="276" w:lineRule="auto"/>
        <w:ind w:right="51" w:firstLine="709"/>
        <w:jc w:val="both"/>
        <w:rPr>
          <w:rFonts w:ascii="Verdana" w:eastAsia="Aptos" w:hAnsi="Verdana" w:cs="Arial"/>
          <w:bCs/>
          <w:kern w:val="2"/>
          <w14:ligatures w14:val="standardContextual"/>
        </w:rPr>
      </w:pPr>
      <w:r w:rsidRPr="00C30B31">
        <w:rPr>
          <w:rFonts w:ascii="Verdana" w:eastAsia="Aptos" w:hAnsi="Verdana" w:cs="Arial"/>
          <w:bCs/>
          <w:kern w:val="2"/>
          <w14:ligatures w14:val="standardContextual"/>
        </w:rPr>
        <w:t>En ese sentido, debe mencionarse que, como dispone el artículo 30.7 de la Ley 80 de 1993, la aclaración de las propuestas se realiza durante la evaluación de estas, pues es necesario esclarecer los aspectos dudosos de las ofertas antes de la adjudicación</w:t>
      </w:r>
      <w:r w:rsidRPr="00C30B31">
        <w:rPr>
          <w:rFonts w:ascii="Verdana" w:eastAsia="Aptos" w:hAnsi="Verdana" w:cs="Arial"/>
          <w:bCs/>
          <w:kern w:val="2"/>
          <w:vertAlign w:val="superscript"/>
          <w14:ligatures w14:val="standardContextual"/>
        </w:rPr>
        <w:footnoteReference w:id="14"/>
      </w:r>
      <w:r w:rsidRPr="00C30B31">
        <w:rPr>
          <w:rFonts w:ascii="Verdana" w:eastAsia="Aptos" w:hAnsi="Verdana" w:cs="Arial"/>
          <w:bCs/>
          <w:kern w:val="2"/>
          <w14:ligatures w14:val="standardContextual"/>
        </w:rPr>
        <w:t>. Por ello, la jurisprudencia también explica que “[…] el proponente debe acogerse al tiempo que le otorga la administración para subsanar o aclarar la oferta, lapso que la entidad no puede extender más allá de la adjudicación […]”</w:t>
      </w:r>
      <w:r w:rsidRPr="00C30B31">
        <w:rPr>
          <w:rFonts w:ascii="Verdana" w:eastAsia="Aptos" w:hAnsi="Verdana" w:cs="Arial"/>
          <w:bCs/>
          <w:kern w:val="2"/>
          <w:vertAlign w:val="superscript"/>
          <w14:ligatures w14:val="standardContextual"/>
        </w:rPr>
        <w:footnoteReference w:id="15"/>
      </w:r>
      <w:r w:rsidRPr="00C30B31">
        <w:rPr>
          <w:rFonts w:ascii="Verdana" w:eastAsia="Aptos" w:hAnsi="Verdana" w:cs="Arial"/>
          <w:bCs/>
          <w:kern w:val="2"/>
          <w14:ligatures w14:val="standardContextual"/>
        </w:rPr>
        <w:t xml:space="preserve">. De esta manera, “lo ideal en un proceso de selección es que las </w:t>
      </w:r>
      <w:r w:rsidRPr="00C30B31">
        <w:rPr>
          <w:rFonts w:ascii="Verdana" w:eastAsia="Aptos" w:hAnsi="Verdana" w:cs="Arial"/>
          <w:bCs/>
          <w:i/>
          <w:kern w:val="2"/>
          <w14:ligatures w14:val="standardContextual"/>
        </w:rPr>
        <w:t xml:space="preserve">aclaraciones </w:t>
      </w:r>
      <w:r w:rsidRPr="00C30B31">
        <w:rPr>
          <w:rFonts w:ascii="Verdana" w:eastAsia="Aptos" w:hAnsi="Verdana" w:cs="Arial"/>
          <w:bCs/>
          <w:kern w:val="2"/>
          <w14:ligatures w14:val="standardContextual"/>
        </w:rPr>
        <w:t xml:space="preserve">y </w:t>
      </w:r>
      <w:r w:rsidRPr="00C30B31">
        <w:rPr>
          <w:rFonts w:ascii="Verdana" w:eastAsia="Aptos" w:hAnsi="Verdana" w:cs="Arial"/>
          <w:bCs/>
          <w:i/>
          <w:kern w:val="2"/>
          <w14:ligatures w14:val="standardContextual"/>
        </w:rPr>
        <w:t xml:space="preserve">explicaciones </w:t>
      </w:r>
      <w:r w:rsidRPr="00C30B31">
        <w:rPr>
          <w:rFonts w:ascii="Verdana" w:eastAsia="Aptos" w:hAnsi="Verdana" w:cs="Arial"/>
          <w:bCs/>
          <w:kern w:val="2"/>
          <w14:ligatures w14:val="standardContextual"/>
        </w:rPr>
        <w:t xml:space="preserve">se anticipen y soliciten durante la etapa de </w:t>
      </w:r>
      <w:r w:rsidRPr="00C30B31">
        <w:rPr>
          <w:rFonts w:ascii="Verdana" w:eastAsia="Aptos" w:hAnsi="Verdana" w:cs="Arial"/>
          <w:bCs/>
          <w:i/>
          <w:kern w:val="2"/>
          <w14:ligatures w14:val="standardContextual"/>
        </w:rPr>
        <w:t>evaluación</w:t>
      </w:r>
      <w:r w:rsidRPr="00C30B31">
        <w:rPr>
          <w:rFonts w:ascii="Verdana" w:eastAsia="Aptos" w:hAnsi="Verdana" w:cs="Arial"/>
          <w:bCs/>
          <w:kern w:val="2"/>
          <w14:ligatures w14:val="standardContextual"/>
        </w:rPr>
        <w:t>, lo más pronto posible, es decir, antes de que la entidad elabore el informe respectivo, de tal manera que las tenga en cuenta para producir ese acto administrativo”.</w:t>
      </w:r>
      <w:r w:rsidRPr="00C30B31">
        <w:rPr>
          <w:rFonts w:ascii="Verdana" w:eastAsia="Aptos" w:hAnsi="Verdana" w:cs="Arial"/>
          <w:bCs/>
          <w:kern w:val="2"/>
          <w:vertAlign w:val="superscript"/>
          <w14:ligatures w14:val="standardContextual"/>
        </w:rPr>
        <w:footnoteReference w:id="16"/>
      </w:r>
      <w:r w:rsidRPr="00C30B31">
        <w:rPr>
          <w:rFonts w:ascii="Verdana" w:eastAsia="Aptos" w:hAnsi="Verdana" w:cs="Arial"/>
          <w:bCs/>
          <w:kern w:val="2"/>
          <w14:ligatures w14:val="standardContextual"/>
        </w:rPr>
        <w:t xml:space="preserve"> </w:t>
      </w:r>
    </w:p>
    <w:p w14:paraId="4032A574" w14:textId="77777777" w:rsidR="00C30B31" w:rsidRPr="00C30B31" w:rsidRDefault="00C30B31" w:rsidP="00C30B31">
      <w:pPr>
        <w:spacing w:after="120" w:line="276" w:lineRule="auto"/>
        <w:ind w:firstLine="643"/>
        <w:jc w:val="both"/>
        <w:rPr>
          <w:rFonts w:ascii="Verdana" w:eastAsia="Aptos" w:hAnsi="Verdana" w:cs="Arial"/>
          <w:kern w:val="2"/>
          <w14:ligatures w14:val="standardContextual"/>
        </w:rPr>
      </w:pPr>
      <w:r w:rsidRPr="00C30B31">
        <w:rPr>
          <w:rFonts w:ascii="Verdana" w:eastAsia="Calibri" w:hAnsi="Verdana" w:cs="Arial"/>
          <w:color w:val="000000"/>
          <w:lang w:val="es-ES" w:eastAsia="es-ES_tradnl"/>
        </w:rPr>
        <w:t xml:space="preserve">Sin perjuicio de lo anterior, atendiendo a las múltiples problemáticas que se presentan en el proceso de evaluación de las ofertas y teniendo en cuenta lo expuesto en su petición y las definiciones traídas de la jurisprudencia y del </w:t>
      </w:r>
      <w:r w:rsidRPr="00C30B31">
        <w:rPr>
          <w:rFonts w:ascii="Verdana" w:eastAsia="Calibri" w:hAnsi="Verdana" w:cs="Arial"/>
          <w:color w:val="000000"/>
          <w:lang w:val="es-ES" w:eastAsia="es-ES_tradnl"/>
        </w:rPr>
        <w:lastRenderedPageBreak/>
        <w:t xml:space="preserve">documento tipo referido, </w:t>
      </w:r>
      <w:r w:rsidRPr="00C30B31">
        <w:rPr>
          <w:rFonts w:ascii="Verdana" w:eastAsia="Aptos" w:hAnsi="Verdana" w:cs="Arial"/>
          <w:kern w:val="2"/>
          <w14:ligatures w14:val="standardContextual"/>
        </w:rPr>
        <w:t>debe advertirse que el análisis sobre la subsanación o el rechazo de las ofertas al interior de los procedimientos de selección debe ser realizado por quienes tengan interés en ello, de acuerdo con lo explicado la aclaración preliminar del presente oficio. Al tratarse de un análisis que debe realizarse en el procedimiento contractual específico, la Agencia sólo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F21693E" w14:textId="1478DC61" w:rsidR="00887C65" w:rsidRPr="00733281" w:rsidRDefault="00733281" w:rsidP="00733281">
      <w:pPr>
        <w:spacing w:before="120" w:after="120"/>
        <w:jc w:val="both"/>
        <w:rPr>
          <w:rFonts w:ascii="Verdana" w:eastAsia="Aptos" w:hAnsi="Verdana" w:cs="Times New Roman"/>
        </w:rPr>
      </w:pPr>
      <w:bookmarkStart w:id="1" w:name="_3znysh7" w:colFirst="0" w:colLast="0"/>
      <w:bookmarkEnd w:id="1"/>
      <w:proofErr w:type="spellStart"/>
      <w:r>
        <w:rPr>
          <w:rFonts w:ascii="Verdana" w:eastAsia="Aptos" w:hAnsi="Verdana" w:cs="Times New Roman"/>
        </w:rPr>
        <w:t>iii</w:t>
      </w:r>
      <w:proofErr w:type="spellEnd"/>
      <w:r>
        <w:rPr>
          <w:rFonts w:ascii="Verdana" w:eastAsia="Aptos" w:hAnsi="Verdana" w:cs="Times New Roman"/>
        </w:rPr>
        <w:t xml:space="preserve">) </w:t>
      </w:r>
      <w:r w:rsidR="00887C65" w:rsidRPr="00733281">
        <w:rPr>
          <w:rFonts w:ascii="Verdana" w:eastAsia="Aptos" w:hAnsi="Verdana" w:cs="Times New Roman"/>
        </w:rPr>
        <w:t>El documento tipo para los servicios de interventoría de obra pública de infraestructura de transporte – Versión 3 se estructuraron bajo la modalidad de contratación Concurso de méritos, esto teniendo en consideración el tipo de servicio a contratar.</w:t>
      </w:r>
    </w:p>
    <w:p w14:paraId="3BC92872" w14:textId="16E153A6" w:rsidR="00887C65" w:rsidRPr="00BA0950" w:rsidRDefault="00887C65" w:rsidP="00BA0950">
      <w:pPr>
        <w:spacing w:after="120" w:line="276" w:lineRule="auto"/>
        <w:ind w:firstLine="709"/>
        <w:jc w:val="both"/>
        <w:rPr>
          <w:rFonts w:ascii="Verdana" w:eastAsia="Calibri" w:hAnsi="Verdana" w:cs="Arial"/>
          <w:color w:val="000000"/>
          <w:lang w:val="es-ES"/>
        </w:rPr>
      </w:pPr>
      <w:r w:rsidRPr="32E0163A">
        <w:rPr>
          <w:rFonts w:ascii="Verdana" w:eastAsia="Calibri" w:hAnsi="Verdana" w:cs="Arial"/>
          <w:color w:val="000000" w:themeColor="text1"/>
          <w:lang w:val="es-ES"/>
        </w:rPr>
        <w:t>Conforme a esto, los factores ponderables en un proceso de selección de concurso de méritos –esto es, los que determinan la escogencia entre los proponentes habilitados–, son la experiencia del interesado y su equipo de trabajo, así como la formación académica, por lo anteriormente señalado en el marco de esta modalidad, la oferta económica no se configura en un criterio de asignación de puntaje.</w:t>
      </w:r>
    </w:p>
    <w:p w14:paraId="72022BEE" w14:textId="0486A088" w:rsidR="00C30B31" w:rsidRPr="00C30B31" w:rsidRDefault="00C30B31" w:rsidP="00BA0950">
      <w:pPr>
        <w:spacing w:after="120"/>
        <w:ind w:firstLine="708"/>
        <w:jc w:val="both"/>
        <w:rPr>
          <w:rFonts w:ascii="Verdana" w:eastAsia="Calibri" w:hAnsi="Verdana" w:cs="Arial"/>
        </w:rPr>
      </w:pPr>
      <w:r w:rsidRPr="00C30B31">
        <w:rPr>
          <w:rFonts w:ascii="Verdana" w:eastAsia="Calibri" w:hAnsi="Verdana" w:cs="Arial"/>
        </w:rPr>
        <w:t xml:space="preserve">El artículo 5.4 de la Ley 1150 de 2007 contiene una regulación especial del deber de selección objetiva aplicable a procesos de selección de consultores. Este numeral indica que en estos procesos la escogencia se hará con base en factores de calificación destinados a valorar los aspectos técnicos de la oferta, permitiéndose valorar la experiencia específica del oferente y su equipo de trabajo, proscribiéndose además el precio como factor de evaluación. </w:t>
      </w:r>
    </w:p>
    <w:p w14:paraId="585C2CAA" w14:textId="77777777" w:rsidR="00C30B31" w:rsidRDefault="00C30B31" w:rsidP="00C30B31">
      <w:pPr>
        <w:keepNext/>
        <w:spacing w:after="120" w:line="276" w:lineRule="auto"/>
        <w:ind w:firstLine="708"/>
        <w:jc w:val="both"/>
        <w:outlineLvl w:val="0"/>
        <w:rPr>
          <w:rFonts w:ascii="Verdana" w:eastAsia="Calibri" w:hAnsi="Verdana" w:cs="Arial"/>
        </w:rPr>
      </w:pPr>
      <w:r w:rsidRPr="00C30B31">
        <w:rPr>
          <w:rFonts w:ascii="Verdana" w:eastAsia="Calibri" w:hAnsi="Verdana" w:cs="Arial"/>
        </w:rPr>
        <w:t xml:space="preserve">El procedimiento de selección de concurso de méritos, aplicable para la escogencia de consultores, está reglamentado por el artículo 2.2.1.2.1.3.2. del Decreto 1082 de 2015, recientemente modificado por el Decreto 399 de 2021.  El numeral 1 de dicha norma señala que: “1. La Entidad Estatal en los pliegos de condiciones debe indicar la forma como calificará, entre otros, los siguientes criterios: </w:t>
      </w:r>
      <w:r w:rsidRPr="00C30B31">
        <w:rPr>
          <w:rFonts w:ascii="Verdana" w:eastAsia="Calibri" w:hAnsi="Verdana" w:cs="Arial"/>
          <w:i/>
          <w:iCs/>
        </w:rPr>
        <w:t>a) la experiencia del interesado y del equipo de trabajo y b) la formación académica del equipo de trabajo”</w:t>
      </w:r>
      <w:r w:rsidRPr="00C30B31">
        <w:rPr>
          <w:rFonts w:ascii="Verdana" w:eastAsia="Calibri" w:hAnsi="Verdana" w:cs="Arial"/>
        </w:rPr>
        <w:t xml:space="preserve"> (énfasis fuera de texto). Conforme a esto, los factores ponderables en un proceso de selección de concurso de méritos –esto es, los que determinan la escogencia entre los proponentes </w:t>
      </w:r>
      <w:r w:rsidRPr="00C30B31">
        <w:rPr>
          <w:rFonts w:ascii="Verdana" w:eastAsia="Calibri" w:hAnsi="Verdana" w:cs="Arial"/>
        </w:rPr>
        <w:lastRenderedPageBreak/>
        <w:t xml:space="preserve">habilitados–, son la experiencia del interesado y su equipo de trabajo, así como la formación académica.  </w:t>
      </w:r>
    </w:p>
    <w:p w14:paraId="63E75A90" w14:textId="09354263" w:rsidR="0088218A" w:rsidRPr="0088218A" w:rsidRDefault="0088218A" w:rsidP="0088218A">
      <w:pPr>
        <w:spacing w:after="120" w:line="276" w:lineRule="auto"/>
        <w:ind w:firstLine="709"/>
        <w:jc w:val="both"/>
        <w:rPr>
          <w:rFonts w:ascii="Verdana" w:eastAsia="Calibri" w:hAnsi="Verdana" w:cs="Arial"/>
          <w:color w:val="000000"/>
          <w:lang w:val="es-ES"/>
        </w:rPr>
      </w:pPr>
      <w:r w:rsidRPr="32E0163A">
        <w:rPr>
          <w:rFonts w:ascii="Verdana" w:eastAsia="Calibri" w:hAnsi="Verdana" w:cs="Arial"/>
          <w:color w:val="000000" w:themeColor="text1"/>
          <w:lang w:val="es-ES"/>
        </w:rPr>
        <w:t>Conforme a esto, los factores ponderables en un proceso de selección de concurso de méritos –esto es, los que determinan la escogencia entre los proponentes habilitados–, son la experiencia del interesado y su equipo de trabajo, así como la formación académica, por lo anteriormente señalado en el marco de esta modalidad, la oferta económica no se configura en un criterio de asignación de puntaje.</w:t>
      </w:r>
    </w:p>
    <w:p w14:paraId="632A627A" w14:textId="77777777" w:rsidR="00C30B31" w:rsidRPr="00C30B31" w:rsidRDefault="00C30B31" w:rsidP="00C30B31">
      <w:pPr>
        <w:spacing w:after="0" w:line="276" w:lineRule="auto"/>
        <w:jc w:val="both"/>
        <w:rPr>
          <w:rFonts w:ascii="Verdana" w:eastAsia="Calibri" w:hAnsi="Verdana" w:cs="Arial"/>
          <w:lang w:val="es-MX"/>
        </w:rPr>
      </w:pPr>
      <w:r w:rsidRPr="00C30B31">
        <w:rPr>
          <w:rFonts w:ascii="Verdana" w:eastAsia="Calibri" w:hAnsi="Verdana" w:cs="Arial"/>
          <w:sz w:val="24"/>
        </w:rPr>
        <w:tab/>
      </w:r>
      <w:r w:rsidRPr="00C30B31">
        <w:rPr>
          <w:rFonts w:ascii="Verdana" w:eastAsia="Calibri" w:hAnsi="Verdana" w:cs="Arial"/>
        </w:rPr>
        <w:t xml:space="preserve">De acuerdo con esta normativa, en los documentos </w:t>
      </w:r>
      <w:r w:rsidRPr="00C30B31">
        <w:rPr>
          <w:rFonts w:ascii="Verdana" w:eastAsia="Calibri" w:hAnsi="Verdana" w:cs="Arial"/>
          <w:lang w:val="es-MX"/>
        </w:rPr>
        <w:t xml:space="preserve">tipo de interventoría en obra pública de </w:t>
      </w:r>
      <w:r w:rsidRPr="00C30B31">
        <w:rPr>
          <w:rFonts w:ascii="Verdana" w:eastAsia="Calibri" w:hAnsi="Verdana" w:cs="Arial"/>
        </w:rPr>
        <w:t>infraestructura de transporte adoptados por esta Agencia, se consideran la experiencia del proponente y del equipo de trabajo como factores de evaluación. Esto se aprecia en el Capítulo IV del Documento Base, en el que se señala que la entidad calificará las ofertas que hayan</w:t>
      </w:r>
      <w:r w:rsidRPr="00C30B31">
        <w:rPr>
          <w:rFonts w:ascii="Verdana" w:eastAsia="Calibri" w:hAnsi="Verdana" w:cs="Arial"/>
          <w:lang w:val="es-MX"/>
        </w:rPr>
        <w:t xml:space="preserve"> cumplido los requisitos habilitantes con los siguientes criterios de evaluación y puntajes: i) Experiencia del proponente </w:t>
      </w:r>
      <w:proofErr w:type="spellStart"/>
      <w:r w:rsidRPr="00C30B31">
        <w:rPr>
          <w:rFonts w:ascii="Verdana" w:eastAsia="Calibri" w:hAnsi="Verdana" w:cs="Arial"/>
          <w:lang w:val="es-MX"/>
        </w:rPr>
        <w:t>ii</w:t>
      </w:r>
      <w:proofErr w:type="spellEnd"/>
      <w:r w:rsidRPr="00C30B31">
        <w:rPr>
          <w:rFonts w:ascii="Verdana" w:eastAsia="Calibri" w:hAnsi="Verdana" w:cs="Arial"/>
          <w:lang w:val="es-MX"/>
        </w:rPr>
        <w:t xml:space="preserve">) Equipo de trabajo (personal clave evaluable) </w:t>
      </w:r>
      <w:proofErr w:type="spellStart"/>
      <w:r w:rsidRPr="00C30B31">
        <w:rPr>
          <w:rFonts w:ascii="Verdana" w:eastAsia="Calibri" w:hAnsi="Verdana" w:cs="Arial"/>
          <w:lang w:val="es-MX"/>
        </w:rPr>
        <w:t>iii</w:t>
      </w:r>
      <w:proofErr w:type="spellEnd"/>
      <w:r w:rsidRPr="00C30B31">
        <w:rPr>
          <w:rFonts w:ascii="Verdana" w:eastAsia="Calibri" w:hAnsi="Verdana" w:cs="Arial"/>
          <w:lang w:val="es-MX"/>
        </w:rPr>
        <w:t xml:space="preserve">) factor de sostenibilidad, </w:t>
      </w:r>
      <w:proofErr w:type="spellStart"/>
      <w:r w:rsidRPr="00C30B31">
        <w:rPr>
          <w:rFonts w:ascii="Verdana" w:eastAsia="Calibri" w:hAnsi="Verdana" w:cs="Arial"/>
          <w:lang w:val="es-MX"/>
        </w:rPr>
        <w:t>iv</w:t>
      </w:r>
      <w:proofErr w:type="spellEnd"/>
      <w:r w:rsidRPr="00C30B31">
        <w:rPr>
          <w:rFonts w:ascii="Verdana" w:eastAsia="Calibri" w:hAnsi="Verdana" w:cs="Arial"/>
          <w:lang w:val="es-MX"/>
        </w:rPr>
        <w:t xml:space="preserve">) Apoyo a la industria nacional y v) vinculación de personas con discapacidad, vi) emprendimientos y empresas de mujeres y </w:t>
      </w:r>
      <w:proofErr w:type="spellStart"/>
      <w:r w:rsidRPr="00C30B31">
        <w:rPr>
          <w:rFonts w:ascii="Verdana" w:eastAsia="Calibri" w:hAnsi="Verdana" w:cs="Arial"/>
          <w:lang w:val="es-MX"/>
        </w:rPr>
        <w:t>vii</w:t>
      </w:r>
      <w:proofErr w:type="spellEnd"/>
      <w:r w:rsidRPr="00C30B31">
        <w:rPr>
          <w:rFonts w:ascii="Verdana" w:eastAsia="Calibri" w:hAnsi="Verdana" w:cs="Arial"/>
          <w:lang w:val="es-MX"/>
        </w:rPr>
        <w:t xml:space="preserve">) </w:t>
      </w:r>
      <w:proofErr w:type="spellStart"/>
      <w:r w:rsidRPr="00C30B31">
        <w:rPr>
          <w:rFonts w:ascii="Verdana" w:eastAsia="Calibri" w:hAnsi="Verdana" w:cs="Arial"/>
          <w:lang w:val="es-MX"/>
        </w:rPr>
        <w:t>Mipyme</w:t>
      </w:r>
      <w:proofErr w:type="spellEnd"/>
      <w:r w:rsidRPr="00C30B31">
        <w:rPr>
          <w:rFonts w:ascii="Verdana" w:eastAsia="Calibri" w:hAnsi="Verdana" w:cs="Arial"/>
          <w:lang w:val="es-MX"/>
        </w:rPr>
        <w:t>, así:</w:t>
      </w:r>
    </w:p>
    <w:p w14:paraId="6C10D1A9" w14:textId="77777777" w:rsidR="00C30B31" w:rsidRPr="00C30B31" w:rsidRDefault="00C30B31" w:rsidP="00C30B31">
      <w:pPr>
        <w:spacing w:after="0" w:line="276" w:lineRule="auto"/>
        <w:jc w:val="both"/>
        <w:rPr>
          <w:rFonts w:ascii="Verdana" w:eastAsia="Calibri" w:hAnsi="Verdana" w:cs="Times New Roman"/>
          <w:b/>
          <w:smallCaps/>
          <w:lang w:val="es-MX"/>
        </w:rPr>
      </w:pPr>
    </w:p>
    <w:tbl>
      <w:tblPr>
        <w:tblStyle w:val="Tablaconcuadrcula"/>
        <w:tblW w:w="0" w:type="auto"/>
        <w:jc w:val="center"/>
        <w:tblLayout w:type="fixed"/>
        <w:tblLook w:val="04A0" w:firstRow="1" w:lastRow="0" w:firstColumn="1" w:lastColumn="0" w:noHBand="0" w:noVBand="1"/>
      </w:tblPr>
      <w:tblGrid>
        <w:gridCol w:w="5085"/>
        <w:gridCol w:w="1410"/>
      </w:tblGrid>
      <w:tr w:rsidR="00C30B31" w:rsidRPr="00C30B31" w14:paraId="39DCBA77" w14:textId="77777777" w:rsidTr="00C30B31">
        <w:trPr>
          <w:trHeight w:val="300"/>
          <w:tblHeader/>
          <w:jc w:val="center"/>
        </w:trPr>
        <w:tc>
          <w:tcPr>
            <w:tcW w:w="5085" w:type="dxa"/>
            <w:tcBorders>
              <w:top w:val="double" w:sz="4" w:space="0" w:color="auto"/>
              <w:left w:val="double" w:sz="4" w:space="0" w:color="auto"/>
              <w:bottom w:val="single" w:sz="8" w:space="0" w:color="auto"/>
              <w:right w:val="single" w:sz="8" w:space="0" w:color="auto"/>
            </w:tcBorders>
            <w:shd w:val="clear" w:color="auto" w:fill="404040"/>
            <w:vAlign w:val="center"/>
          </w:tcPr>
          <w:p w14:paraId="5C483D73" w14:textId="77777777" w:rsidR="00C30B31" w:rsidRPr="00C30B31" w:rsidRDefault="00C30B31" w:rsidP="00C30B31">
            <w:pPr>
              <w:jc w:val="center"/>
              <w:rPr>
                <w:rFonts w:ascii="Arial" w:eastAsia="Arial" w:hAnsi="Arial" w:cs="Arial"/>
                <w:b/>
                <w:color w:val="FFFFFF"/>
                <w:sz w:val="20"/>
                <w:szCs w:val="20"/>
                <w:lang w:val="es"/>
              </w:rPr>
            </w:pPr>
            <w:r w:rsidRPr="00C30B31">
              <w:rPr>
                <w:rFonts w:ascii="Arial" w:eastAsia="Arial" w:hAnsi="Arial" w:cs="Arial"/>
                <w:b/>
                <w:color w:val="FFFFFF"/>
                <w:sz w:val="20"/>
                <w:szCs w:val="20"/>
                <w:lang w:val="es"/>
              </w:rPr>
              <w:t>Concepto</w:t>
            </w:r>
          </w:p>
        </w:tc>
        <w:tc>
          <w:tcPr>
            <w:tcW w:w="1410" w:type="dxa"/>
            <w:tcBorders>
              <w:top w:val="double" w:sz="4" w:space="0" w:color="auto"/>
              <w:left w:val="single" w:sz="8" w:space="0" w:color="auto"/>
              <w:bottom w:val="single" w:sz="8" w:space="0" w:color="auto"/>
              <w:right w:val="double" w:sz="4" w:space="0" w:color="auto"/>
            </w:tcBorders>
            <w:shd w:val="clear" w:color="auto" w:fill="404040"/>
            <w:vAlign w:val="center"/>
          </w:tcPr>
          <w:p w14:paraId="5A6A44C2" w14:textId="77777777" w:rsidR="00C30B31" w:rsidRPr="00C30B31" w:rsidRDefault="00C30B31" w:rsidP="00C30B31">
            <w:pPr>
              <w:jc w:val="center"/>
              <w:rPr>
                <w:rFonts w:ascii="Arial" w:eastAsia="Arial" w:hAnsi="Arial" w:cs="Arial"/>
                <w:b/>
                <w:color w:val="FFFFFF"/>
                <w:sz w:val="20"/>
                <w:szCs w:val="20"/>
                <w:lang w:val="es"/>
              </w:rPr>
            </w:pPr>
            <w:r w:rsidRPr="00C30B31">
              <w:rPr>
                <w:rFonts w:ascii="Arial" w:eastAsia="Arial" w:hAnsi="Arial" w:cs="Arial"/>
                <w:b/>
                <w:color w:val="FFFFFF"/>
                <w:sz w:val="20"/>
                <w:szCs w:val="20"/>
                <w:lang w:val="es"/>
              </w:rPr>
              <w:t>Puntaje máximo</w:t>
            </w:r>
          </w:p>
        </w:tc>
      </w:tr>
      <w:tr w:rsidR="00C30B31" w:rsidRPr="00C30B31" w14:paraId="4287FBF3" w14:textId="77777777" w:rsidTr="00802A03">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63EA47F6" w14:textId="77777777" w:rsidR="00C30B31" w:rsidRPr="00C30B31" w:rsidRDefault="00C30B31" w:rsidP="00C30B31">
            <w:pPr>
              <w:tabs>
                <w:tab w:val="left" w:pos="1039"/>
              </w:tabs>
              <w:jc w:val="center"/>
              <w:rPr>
                <w:rFonts w:ascii="Arial" w:eastAsia="Arial" w:hAnsi="Arial" w:cs="Arial"/>
                <w:sz w:val="20"/>
                <w:szCs w:val="20"/>
                <w:lang w:val="es"/>
              </w:rPr>
            </w:pPr>
            <w:r w:rsidRPr="00C30B31">
              <w:rPr>
                <w:rFonts w:ascii="Arial" w:eastAsia="Arial" w:hAnsi="Arial" w:cs="Arial"/>
                <w:sz w:val="20"/>
                <w:szCs w:val="20"/>
                <w:lang w:val="es"/>
              </w:rPr>
              <w:t>Experiencia del Proponente</w:t>
            </w:r>
          </w:p>
        </w:tc>
        <w:tc>
          <w:tcPr>
            <w:tcW w:w="1410" w:type="dxa"/>
            <w:tcBorders>
              <w:top w:val="single" w:sz="8" w:space="0" w:color="auto"/>
              <w:left w:val="single" w:sz="8" w:space="0" w:color="auto"/>
              <w:bottom w:val="single" w:sz="8" w:space="0" w:color="auto"/>
              <w:right w:val="double" w:sz="4" w:space="0" w:color="auto"/>
            </w:tcBorders>
            <w:vAlign w:val="center"/>
          </w:tcPr>
          <w:p w14:paraId="2DD79550" w14:textId="77777777" w:rsidR="00C30B31" w:rsidRPr="00C30B31" w:rsidRDefault="00C30B31" w:rsidP="00C30B31">
            <w:pPr>
              <w:jc w:val="center"/>
              <w:rPr>
                <w:rFonts w:ascii="Arial" w:eastAsia="Arial" w:hAnsi="Arial" w:cs="Arial"/>
                <w:sz w:val="20"/>
                <w:szCs w:val="20"/>
                <w:lang w:val="es"/>
              </w:rPr>
            </w:pPr>
            <w:r w:rsidRPr="00C30B31">
              <w:rPr>
                <w:rFonts w:ascii="Arial" w:eastAsia="Arial" w:hAnsi="Arial" w:cs="Arial"/>
                <w:sz w:val="20"/>
                <w:szCs w:val="20"/>
                <w:lang w:val="es"/>
              </w:rPr>
              <w:t>67,50</w:t>
            </w:r>
          </w:p>
        </w:tc>
      </w:tr>
      <w:tr w:rsidR="00C30B31" w:rsidRPr="00C30B31" w14:paraId="35FF7623" w14:textId="77777777" w:rsidTr="00802A03">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75D9639A" w14:textId="77777777" w:rsidR="00C30B31" w:rsidRPr="00C30B31" w:rsidRDefault="00C30B31" w:rsidP="00C30B31">
            <w:pPr>
              <w:tabs>
                <w:tab w:val="left" w:pos="1039"/>
              </w:tabs>
              <w:jc w:val="center"/>
              <w:rPr>
                <w:rFonts w:ascii="Arial" w:eastAsia="Arial" w:hAnsi="Arial" w:cs="Arial"/>
                <w:sz w:val="20"/>
                <w:szCs w:val="20"/>
                <w:lang w:val="es"/>
              </w:rPr>
            </w:pPr>
            <w:r w:rsidRPr="00C30B31">
              <w:rPr>
                <w:rFonts w:ascii="Arial" w:eastAsia="Arial" w:hAnsi="Arial" w:cs="Arial"/>
                <w:sz w:val="20"/>
                <w:szCs w:val="20"/>
                <w:lang w:val="es"/>
              </w:rPr>
              <w:t>Equipo de trabajo (Personal Clave Evaluable)</w:t>
            </w:r>
          </w:p>
        </w:tc>
        <w:tc>
          <w:tcPr>
            <w:tcW w:w="1410" w:type="dxa"/>
            <w:tcBorders>
              <w:top w:val="single" w:sz="8" w:space="0" w:color="auto"/>
              <w:left w:val="single" w:sz="8" w:space="0" w:color="auto"/>
              <w:bottom w:val="single" w:sz="8" w:space="0" w:color="auto"/>
              <w:right w:val="double" w:sz="4" w:space="0" w:color="auto"/>
            </w:tcBorders>
            <w:vAlign w:val="center"/>
          </w:tcPr>
          <w:p w14:paraId="2FCF1258" w14:textId="77777777" w:rsidR="00C30B31" w:rsidRPr="00C30B31" w:rsidRDefault="00C30B31" w:rsidP="00C30B31">
            <w:pPr>
              <w:jc w:val="center"/>
              <w:rPr>
                <w:rFonts w:ascii="Arial" w:eastAsia="Arial" w:hAnsi="Arial" w:cs="Arial"/>
                <w:sz w:val="20"/>
                <w:szCs w:val="20"/>
                <w:lang w:val="es"/>
              </w:rPr>
            </w:pPr>
            <w:r w:rsidRPr="00C30B31">
              <w:rPr>
                <w:rFonts w:ascii="Arial" w:eastAsia="Arial" w:hAnsi="Arial" w:cs="Arial"/>
                <w:sz w:val="20"/>
                <w:szCs w:val="20"/>
                <w:lang w:val="es"/>
              </w:rPr>
              <w:t>10</w:t>
            </w:r>
          </w:p>
        </w:tc>
      </w:tr>
      <w:tr w:rsidR="00C30B31" w:rsidRPr="00C30B31" w14:paraId="7D35C658" w14:textId="77777777" w:rsidTr="00802A03">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2463F116" w14:textId="77777777" w:rsidR="00C30B31" w:rsidRPr="00C30B31" w:rsidRDefault="00C30B31" w:rsidP="00C30B31">
            <w:pPr>
              <w:tabs>
                <w:tab w:val="left" w:pos="1039"/>
              </w:tabs>
              <w:jc w:val="center"/>
              <w:rPr>
                <w:rFonts w:ascii="Arial" w:eastAsia="Arial" w:hAnsi="Arial" w:cs="Arial"/>
                <w:sz w:val="20"/>
                <w:szCs w:val="20"/>
                <w:lang w:val="es"/>
              </w:rPr>
            </w:pPr>
            <w:r w:rsidRPr="00C30B31">
              <w:rPr>
                <w:rFonts w:ascii="Arial" w:eastAsia="Arial" w:hAnsi="Arial" w:cs="Arial"/>
                <w:sz w:val="20"/>
                <w:szCs w:val="20"/>
                <w:lang w:val="es"/>
              </w:rPr>
              <w:t>Factor de sostenibilidad</w:t>
            </w:r>
          </w:p>
        </w:tc>
        <w:tc>
          <w:tcPr>
            <w:tcW w:w="1410" w:type="dxa"/>
            <w:tcBorders>
              <w:top w:val="single" w:sz="8" w:space="0" w:color="auto"/>
              <w:left w:val="single" w:sz="8" w:space="0" w:color="auto"/>
              <w:bottom w:val="single" w:sz="8" w:space="0" w:color="auto"/>
              <w:right w:val="double" w:sz="4" w:space="0" w:color="auto"/>
            </w:tcBorders>
            <w:vAlign w:val="center"/>
          </w:tcPr>
          <w:p w14:paraId="2924A0B3" w14:textId="77777777" w:rsidR="00C30B31" w:rsidRPr="00C30B31" w:rsidRDefault="00C30B31" w:rsidP="00C30B31">
            <w:pPr>
              <w:jc w:val="center"/>
              <w:rPr>
                <w:rFonts w:ascii="Arial" w:eastAsia="Arial" w:hAnsi="Arial" w:cs="Arial"/>
                <w:sz w:val="20"/>
                <w:szCs w:val="20"/>
                <w:lang w:val="es"/>
              </w:rPr>
            </w:pPr>
            <w:r w:rsidRPr="00C30B31">
              <w:rPr>
                <w:rFonts w:ascii="Arial" w:eastAsia="Arial" w:hAnsi="Arial" w:cs="Arial"/>
                <w:sz w:val="20"/>
                <w:szCs w:val="20"/>
                <w:lang w:val="es"/>
              </w:rPr>
              <w:t>1</w:t>
            </w:r>
          </w:p>
        </w:tc>
      </w:tr>
      <w:tr w:rsidR="00C30B31" w:rsidRPr="00C30B31" w14:paraId="74554A2A" w14:textId="77777777" w:rsidTr="00802A03">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13071D93" w14:textId="77777777" w:rsidR="00C30B31" w:rsidRPr="00C30B31" w:rsidRDefault="00C30B31" w:rsidP="00C30B31">
            <w:pPr>
              <w:tabs>
                <w:tab w:val="left" w:pos="1039"/>
              </w:tabs>
              <w:jc w:val="center"/>
              <w:rPr>
                <w:rFonts w:ascii="Arial" w:eastAsia="Arial" w:hAnsi="Arial" w:cs="Arial"/>
                <w:sz w:val="20"/>
                <w:szCs w:val="20"/>
                <w:lang w:val="es"/>
              </w:rPr>
            </w:pPr>
            <w:r w:rsidRPr="00C30B31">
              <w:rPr>
                <w:rFonts w:ascii="Arial" w:eastAsia="Arial" w:hAnsi="Arial" w:cs="Arial"/>
                <w:sz w:val="20"/>
                <w:szCs w:val="20"/>
                <w:lang w:val="es"/>
              </w:rPr>
              <w:t>Apoyo a la industria nacional</w:t>
            </w:r>
          </w:p>
        </w:tc>
        <w:tc>
          <w:tcPr>
            <w:tcW w:w="1410" w:type="dxa"/>
            <w:tcBorders>
              <w:top w:val="single" w:sz="8" w:space="0" w:color="auto"/>
              <w:left w:val="single" w:sz="8" w:space="0" w:color="auto"/>
              <w:bottom w:val="single" w:sz="8" w:space="0" w:color="auto"/>
              <w:right w:val="double" w:sz="4" w:space="0" w:color="auto"/>
            </w:tcBorders>
            <w:vAlign w:val="center"/>
          </w:tcPr>
          <w:p w14:paraId="130650C5" w14:textId="77777777" w:rsidR="00C30B31" w:rsidRPr="00C30B31" w:rsidRDefault="00C30B31" w:rsidP="00C30B31">
            <w:pPr>
              <w:jc w:val="center"/>
              <w:rPr>
                <w:rFonts w:ascii="Arial" w:eastAsia="Arial" w:hAnsi="Arial" w:cs="Arial"/>
                <w:sz w:val="20"/>
                <w:szCs w:val="20"/>
                <w:lang w:val="es"/>
              </w:rPr>
            </w:pPr>
            <w:r w:rsidRPr="00C30B31">
              <w:rPr>
                <w:rFonts w:ascii="Arial" w:eastAsia="Arial" w:hAnsi="Arial" w:cs="Arial"/>
                <w:sz w:val="20"/>
                <w:szCs w:val="20"/>
                <w:lang w:val="es"/>
              </w:rPr>
              <w:t>20</w:t>
            </w:r>
          </w:p>
        </w:tc>
      </w:tr>
      <w:tr w:rsidR="00C30B31" w:rsidRPr="00C30B31" w14:paraId="2674D3BB" w14:textId="77777777" w:rsidTr="00802A03">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070B1ABB" w14:textId="77777777" w:rsidR="00C30B31" w:rsidRPr="00C30B31" w:rsidRDefault="00C30B31" w:rsidP="00C30B31">
            <w:pPr>
              <w:tabs>
                <w:tab w:val="left" w:pos="1039"/>
              </w:tabs>
              <w:jc w:val="center"/>
              <w:rPr>
                <w:rFonts w:ascii="Arial" w:eastAsia="Arial" w:hAnsi="Arial" w:cs="Arial"/>
                <w:sz w:val="20"/>
                <w:szCs w:val="20"/>
                <w:lang w:val="es"/>
              </w:rPr>
            </w:pPr>
            <w:r w:rsidRPr="00C30B31">
              <w:rPr>
                <w:rFonts w:ascii="Arial" w:eastAsia="Arial" w:hAnsi="Arial" w:cs="Arial"/>
                <w:sz w:val="20"/>
                <w:szCs w:val="20"/>
                <w:lang w:val="es"/>
              </w:rPr>
              <w:t>Vinculación de personas con discapacidad</w:t>
            </w:r>
          </w:p>
        </w:tc>
        <w:tc>
          <w:tcPr>
            <w:tcW w:w="1410" w:type="dxa"/>
            <w:tcBorders>
              <w:top w:val="single" w:sz="8" w:space="0" w:color="auto"/>
              <w:left w:val="single" w:sz="8" w:space="0" w:color="auto"/>
              <w:bottom w:val="single" w:sz="8" w:space="0" w:color="auto"/>
              <w:right w:val="double" w:sz="4" w:space="0" w:color="auto"/>
            </w:tcBorders>
            <w:vAlign w:val="center"/>
          </w:tcPr>
          <w:p w14:paraId="500D39F2" w14:textId="77777777" w:rsidR="00C30B31" w:rsidRPr="00C30B31" w:rsidRDefault="00C30B31" w:rsidP="00C30B31">
            <w:pPr>
              <w:jc w:val="center"/>
              <w:rPr>
                <w:rFonts w:ascii="Arial" w:eastAsia="Arial" w:hAnsi="Arial" w:cs="Arial"/>
                <w:sz w:val="20"/>
                <w:szCs w:val="20"/>
                <w:lang w:val="es"/>
              </w:rPr>
            </w:pPr>
            <w:r w:rsidRPr="00C30B31">
              <w:rPr>
                <w:rFonts w:ascii="Arial" w:eastAsia="Arial" w:hAnsi="Arial" w:cs="Arial"/>
                <w:sz w:val="20"/>
                <w:szCs w:val="20"/>
                <w:lang w:val="es"/>
              </w:rPr>
              <w:t>1</w:t>
            </w:r>
          </w:p>
        </w:tc>
      </w:tr>
      <w:tr w:rsidR="00C30B31" w:rsidRPr="00C30B31" w14:paraId="470F3428" w14:textId="77777777" w:rsidTr="00802A03">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6AEB661A" w14:textId="77777777" w:rsidR="00C30B31" w:rsidRPr="00C30B31" w:rsidRDefault="00C30B31" w:rsidP="00C30B31">
            <w:pPr>
              <w:tabs>
                <w:tab w:val="left" w:pos="1039"/>
              </w:tabs>
              <w:jc w:val="center"/>
              <w:rPr>
                <w:rFonts w:ascii="Arial" w:eastAsia="Arial" w:hAnsi="Arial" w:cs="Arial"/>
                <w:sz w:val="20"/>
                <w:szCs w:val="20"/>
                <w:lang w:val="es"/>
              </w:rPr>
            </w:pPr>
            <w:r w:rsidRPr="00C30B31">
              <w:rPr>
                <w:rFonts w:ascii="Arial" w:eastAsia="Arial" w:hAnsi="Arial" w:cs="Arial"/>
                <w:sz w:val="20"/>
                <w:szCs w:val="20"/>
                <w:lang w:val="es"/>
              </w:rPr>
              <w:t>Emprendimientos y empresas de mujeres</w:t>
            </w:r>
          </w:p>
        </w:tc>
        <w:tc>
          <w:tcPr>
            <w:tcW w:w="1410" w:type="dxa"/>
            <w:tcBorders>
              <w:top w:val="single" w:sz="8" w:space="0" w:color="auto"/>
              <w:left w:val="single" w:sz="8" w:space="0" w:color="auto"/>
              <w:bottom w:val="single" w:sz="8" w:space="0" w:color="auto"/>
              <w:right w:val="double" w:sz="4" w:space="0" w:color="auto"/>
            </w:tcBorders>
            <w:vAlign w:val="center"/>
          </w:tcPr>
          <w:p w14:paraId="63B8E3FC" w14:textId="77777777" w:rsidR="00C30B31" w:rsidRPr="00C30B31" w:rsidRDefault="00C30B31" w:rsidP="00C30B31">
            <w:pPr>
              <w:jc w:val="center"/>
              <w:rPr>
                <w:rFonts w:ascii="Arial" w:eastAsia="Arial" w:hAnsi="Arial" w:cs="Arial"/>
                <w:sz w:val="20"/>
                <w:szCs w:val="20"/>
                <w:lang w:val="es"/>
              </w:rPr>
            </w:pPr>
            <w:r w:rsidRPr="00C30B31">
              <w:rPr>
                <w:rFonts w:ascii="Arial" w:eastAsia="Arial" w:hAnsi="Arial" w:cs="Arial"/>
                <w:sz w:val="20"/>
                <w:szCs w:val="20"/>
                <w:lang w:val="es"/>
              </w:rPr>
              <w:t>0,25</w:t>
            </w:r>
          </w:p>
        </w:tc>
      </w:tr>
      <w:tr w:rsidR="00C30B31" w:rsidRPr="00C30B31" w14:paraId="6963CF81" w14:textId="77777777" w:rsidTr="00802A03">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2D50B4CE" w14:textId="77777777" w:rsidR="00C30B31" w:rsidRPr="00C30B31" w:rsidRDefault="00C30B31" w:rsidP="00C30B31">
            <w:pPr>
              <w:tabs>
                <w:tab w:val="left" w:pos="1039"/>
              </w:tabs>
              <w:jc w:val="center"/>
              <w:rPr>
                <w:rFonts w:ascii="Arial" w:eastAsia="Arial" w:hAnsi="Arial" w:cs="Arial"/>
                <w:sz w:val="20"/>
                <w:szCs w:val="20"/>
                <w:lang w:val="es-ES"/>
              </w:rPr>
            </w:pPr>
            <w:proofErr w:type="spellStart"/>
            <w:r w:rsidRPr="00C30B31">
              <w:rPr>
                <w:rFonts w:ascii="Arial" w:eastAsia="Arial" w:hAnsi="Arial" w:cs="Arial"/>
                <w:sz w:val="20"/>
                <w:szCs w:val="20"/>
                <w:lang w:val="es-ES"/>
              </w:rPr>
              <w:t>Mipyme</w:t>
            </w:r>
            <w:proofErr w:type="spellEnd"/>
          </w:p>
        </w:tc>
        <w:tc>
          <w:tcPr>
            <w:tcW w:w="1410" w:type="dxa"/>
            <w:tcBorders>
              <w:top w:val="single" w:sz="8" w:space="0" w:color="auto"/>
              <w:left w:val="single" w:sz="8" w:space="0" w:color="auto"/>
              <w:bottom w:val="single" w:sz="8" w:space="0" w:color="auto"/>
              <w:right w:val="double" w:sz="4" w:space="0" w:color="auto"/>
            </w:tcBorders>
            <w:vAlign w:val="center"/>
          </w:tcPr>
          <w:p w14:paraId="0C350740" w14:textId="77777777" w:rsidR="00C30B31" w:rsidRPr="00C30B31" w:rsidRDefault="00C30B31" w:rsidP="00C30B31">
            <w:pPr>
              <w:jc w:val="center"/>
              <w:rPr>
                <w:rFonts w:ascii="Arial" w:eastAsia="Arial" w:hAnsi="Arial" w:cs="Arial"/>
                <w:sz w:val="20"/>
                <w:szCs w:val="20"/>
                <w:lang w:val="es"/>
              </w:rPr>
            </w:pPr>
            <w:r w:rsidRPr="00C30B31">
              <w:rPr>
                <w:rFonts w:ascii="Arial" w:eastAsia="Arial" w:hAnsi="Arial" w:cs="Arial"/>
                <w:sz w:val="20"/>
                <w:szCs w:val="20"/>
                <w:lang w:val="es"/>
              </w:rPr>
              <w:t>0,25</w:t>
            </w:r>
          </w:p>
        </w:tc>
      </w:tr>
      <w:tr w:rsidR="00C30B31" w:rsidRPr="00C30B31" w14:paraId="32A9B768" w14:textId="77777777" w:rsidTr="00802A03">
        <w:trPr>
          <w:trHeight w:val="345"/>
          <w:jc w:val="center"/>
        </w:trPr>
        <w:tc>
          <w:tcPr>
            <w:tcW w:w="5085" w:type="dxa"/>
            <w:tcBorders>
              <w:top w:val="single" w:sz="8" w:space="0" w:color="auto"/>
              <w:left w:val="double" w:sz="4" w:space="0" w:color="auto"/>
              <w:bottom w:val="single" w:sz="8" w:space="0" w:color="auto"/>
              <w:right w:val="single" w:sz="8" w:space="0" w:color="auto"/>
            </w:tcBorders>
            <w:vAlign w:val="center"/>
          </w:tcPr>
          <w:p w14:paraId="351C7CFA" w14:textId="77777777" w:rsidR="00C30B31" w:rsidRPr="00C30B31" w:rsidRDefault="00C30B31" w:rsidP="00C30B31">
            <w:pPr>
              <w:tabs>
                <w:tab w:val="left" w:pos="1039"/>
              </w:tabs>
              <w:jc w:val="center"/>
              <w:rPr>
                <w:rFonts w:ascii="Arial" w:eastAsia="Arial" w:hAnsi="Arial" w:cs="Arial"/>
                <w:sz w:val="20"/>
                <w:szCs w:val="20"/>
                <w:lang w:val="es"/>
              </w:rPr>
            </w:pPr>
            <w:r w:rsidRPr="00C30B31">
              <w:rPr>
                <w:rFonts w:ascii="Arial" w:eastAsia="Arial" w:hAnsi="Arial" w:cs="Arial"/>
                <w:sz w:val="20"/>
                <w:szCs w:val="20"/>
                <w:lang w:val="es"/>
              </w:rPr>
              <w:t>Total</w:t>
            </w:r>
          </w:p>
        </w:tc>
        <w:tc>
          <w:tcPr>
            <w:tcW w:w="1410" w:type="dxa"/>
            <w:tcBorders>
              <w:top w:val="single" w:sz="8" w:space="0" w:color="auto"/>
              <w:left w:val="single" w:sz="8" w:space="0" w:color="auto"/>
              <w:bottom w:val="single" w:sz="8" w:space="0" w:color="auto"/>
              <w:right w:val="double" w:sz="4" w:space="0" w:color="auto"/>
            </w:tcBorders>
            <w:vAlign w:val="center"/>
          </w:tcPr>
          <w:p w14:paraId="20F358FD" w14:textId="77777777" w:rsidR="00C30B31" w:rsidRPr="00C30B31" w:rsidRDefault="00C30B31" w:rsidP="00C30B31">
            <w:pPr>
              <w:jc w:val="center"/>
              <w:rPr>
                <w:rFonts w:ascii="Arial" w:eastAsia="Arial" w:hAnsi="Arial" w:cs="Arial"/>
                <w:sz w:val="20"/>
                <w:szCs w:val="20"/>
                <w:lang w:val="es"/>
              </w:rPr>
            </w:pPr>
            <w:r w:rsidRPr="00C30B31">
              <w:rPr>
                <w:rFonts w:ascii="Arial" w:eastAsia="Arial" w:hAnsi="Arial" w:cs="Arial"/>
                <w:sz w:val="20"/>
                <w:szCs w:val="20"/>
                <w:lang w:val="es"/>
              </w:rPr>
              <w:t>100</w:t>
            </w:r>
          </w:p>
        </w:tc>
      </w:tr>
    </w:tbl>
    <w:p w14:paraId="33EDCDEC" w14:textId="77777777" w:rsidR="00C30B31" w:rsidRPr="00C30B31" w:rsidRDefault="00C30B31" w:rsidP="00C30B31">
      <w:pPr>
        <w:spacing w:after="0" w:line="254" w:lineRule="atLeast"/>
        <w:jc w:val="both"/>
        <w:rPr>
          <w:rFonts w:ascii="Verdana" w:eastAsia="Times New Roman" w:hAnsi="Verdana" w:cs="Arial"/>
          <w:lang w:eastAsia="es-ES_tradnl"/>
        </w:rPr>
      </w:pPr>
    </w:p>
    <w:p w14:paraId="4501B8F7" w14:textId="77777777" w:rsidR="00C30B31" w:rsidRPr="00C30B31" w:rsidRDefault="00C30B31" w:rsidP="00C30B31">
      <w:pPr>
        <w:spacing w:after="120" w:line="276" w:lineRule="auto"/>
        <w:ind w:firstLine="709"/>
        <w:jc w:val="both"/>
        <w:rPr>
          <w:rFonts w:ascii="Verdana" w:eastAsia="Calibri" w:hAnsi="Verdana" w:cs="Arial"/>
          <w:color w:val="000000"/>
          <w:lang w:val="es-ES_tradnl"/>
        </w:rPr>
      </w:pPr>
      <w:r w:rsidRPr="00C30B31">
        <w:rPr>
          <w:rFonts w:ascii="Verdana" w:eastAsia="Times New Roman" w:hAnsi="Verdana" w:cs="Arial"/>
          <w:color w:val="000000"/>
          <w:szCs w:val="24"/>
          <w:lang w:val="es-ES_tradnl" w:eastAsia="es-ES_tradnl"/>
        </w:rPr>
        <w:t xml:space="preserve">En atención a la naturaleza jurídica de la selección a realizar, no se tiene en cuenta el precio como factor de evaluación, a diferencia del proceso de licitación pública y de los demás procesos de selección de contratos estatales. </w:t>
      </w:r>
      <w:r w:rsidRPr="00C30B31">
        <w:rPr>
          <w:rFonts w:ascii="Verdana" w:eastAsia="Calibri" w:hAnsi="Verdana" w:cs="Arial"/>
          <w:color w:val="000000"/>
          <w:lang w:val="es-ES_tradnl"/>
        </w:rPr>
        <w:t>Por tanto, de conformidad con el inciso final del artículo 5.4 de la Ley 1150 de 2007, la oferta económica no tiene injerencia en la escogencia del ofrecimiento más favorable.</w:t>
      </w:r>
    </w:p>
    <w:p w14:paraId="6E21BA96" w14:textId="77777777" w:rsidR="00C30B31" w:rsidRPr="00C30B31" w:rsidRDefault="00C30B31" w:rsidP="00C30B31">
      <w:pPr>
        <w:spacing w:after="0" w:line="276" w:lineRule="auto"/>
        <w:ind w:firstLine="708"/>
        <w:jc w:val="both"/>
        <w:rPr>
          <w:rFonts w:ascii="Verdana" w:eastAsia="Calibri" w:hAnsi="Verdana" w:cs="Arial"/>
          <w:bCs/>
          <w:color w:val="000000"/>
          <w:lang w:val="es-ES_tradnl" w:eastAsia="es-ES_tradnl"/>
        </w:rPr>
      </w:pPr>
      <w:r w:rsidRPr="00C30B31">
        <w:rPr>
          <w:rFonts w:ascii="Verdana" w:eastAsia="Calibri" w:hAnsi="Verdana" w:cs="Arial"/>
          <w:color w:val="000000"/>
          <w:lang w:val="es-ES_tradnl"/>
        </w:rPr>
        <w:lastRenderedPageBreak/>
        <w:t xml:space="preserve">El referido Documento Base, en lo relativo a la evaluación de la experiencia del proponente, establece un método de ponderación de los requisitos de este factor de asignación de puntaje. Al respecto, el numeral 4.1, en los literales A y B del Pliego Tipo </w:t>
      </w:r>
      <w:r w:rsidRPr="00C30B31">
        <w:rPr>
          <w:rFonts w:ascii="Verdana" w:eastAsia="Calibri" w:hAnsi="Verdana" w:cs="Arial"/>
          <w:bCs/>
          <w:color w:val="000000"/>
          <w:lang w:val="es-ES_tradnl" w:eastAsia="es-ES_tradnl"/>
        </w:rPr>
        <w:t>estudiado establecen:</w:t>
      </w:r>
    </w:p>
    <w:p w14:paraId="1F000B0C" w14:textId="77777777" w:rsidR="00C30B31" w:rsidRPr="00C30B31" w:rsidRDefault="00C30B31" w:rsidP="00C30B31">
      <w:pPr>
        <w:spacing w:after="0" w:line="276" w:lineRule="auto"/>
        <w:ind w:firstLine="708"/>
        <w:jc w:val="both"/>
        <w:rPr>
          <w:rFonts w:ascii="Verdana" w:eastAsia="Calibri" w:hAnsi="Verdana" w:cs="Arial"/>
          <w:bCs/>
          <w:color w:val="000000"/>
          <w:lang w:val="es-ES_tradnl" w:eastAsia="es-ES_tradnl"/>
        </w:rPr>
      </w:pPr>
    </w:p>
    <w:p w14:paraId="5FB49D41" w14:textId="77777777" w:rsidR="00C30B31" w:rsidRPr="00C30B31" w:rsidRDefault="00C30B31" w:rsidP="32E0163A">
      <w:pPr>
        <w:spacing w:after="0" w:line="240" w:lineRule="auto"/>
        <w:ind w:left="709" w:right="709"/>
        <w:jc w:val="both"/>
        <w:rPr>
          <w:rFonts w:ascii="Verdana" w:eastAsia="Calibri" w:hAnsi="Verdana" w:cs="Arial"/>
          <w:color w:val="000000"/>
          <w:sz w:val="21"/>
          <w:szCs w:val="21"/>
          <w:lang w:val="es-ES"/>
        </w:rPr>
      </w:pPr>
      <w:r w:rsidRPr="32E0163A">
        <w:rPr>
          <w:rFonts w:ascii="Verdana" w:eastAsia="Calibri" w:hAnsi="Verdana" w:cs="Arial"/>
          <w:color w:val="000000" w:themeColor="text1"/>
          <w:sz w:val="21"/>
          <w:szCs w:val="21"/>
          <w:lang w:val="es-ES"/>
        </w:rPr>
        <w:t>A. El proponente cumplirá con la exigencia mínima de experiencia prevista en el numeral 3.8.1 del Pliego de Condiciones. De acuerdo con lo anterior, si el Proponente debió subsanar el cumplimiento de la experiencia mínima, para la asignación de puntaje no se tendrán en cuenta los contratos que hayan sido objeto de subsanación para definir el promedio de los contratos válidos aportados que se refiere el literal B) de este numeral.</w:t>
      </w:r>
    </w:p>
    <w:p w14:paraId="2F01B4E9" w14:textId="77777777" w:rsidR="00C30B31" w:rsidRPr="00C30B31" w:rsidRDefault="00C30B31" w:rsidP="00C30B31">
      <w:pPr>
        <w:spacing w:after="0" w:line="240" w:lineRule="auto"/>
        <w:ind w:left="709" w:right="709"/>
        <w:jc w:val="both"/>
        <w:rPr>
          <w:rFonts w:ascii="Verdana" w:eastAsia="Calibri" w:hAnsi="Verdana" w:cs="Arial"/>
          <w:color w:val="000000"/>
          <w:sz w:val="21"/>
          <w:szCs w:val="21"/>
          <w:lang w:val="es-ES_tradnl"/>
        </w:rPr>
      </w:pPr>
    </w:p>
    <w:p w14:paraId="6F861081" w14:textId="77777777" w:rsidR="00C30B31" w:rsidRPr="00C30B31" w:rsidRDefault="00C30B31" w:rsidP="32E0163A">
      <w:pPr>
        <w:spacing w:after="0" w:line="240" w:lineRule="auto"/>
        <w:ind w:left="709" w:right="709"/>
        <w:jc w:val="both"/>
        <w:rPr>
          <w:rFonts w:ascii="Verdana" w:eastAsia="Calibri" w:hAnsi="Verdana" w:cs="Arial"/>
          <w:color w:val="000000"/>
          <w:sz w:val="21"/>
          <w:szCs w:val="21"/>
          <w:lang w:val="es-ES"/>
        </w:rPr>
      </w:pPr>
      <w:r w:rsidRPr="32E0163A">
        <w:rPr>
          <w:rFonts w:ascii="Verdana" w:eastAsia="Calibri" w:hAnsi="Verdana" w:cs="Arial"/>
          <w:color w:val="000000" w:themeColor="text1"/>
          <w:sz w:val="21"/>
          <w:szCs w:val="21"/>
          <w:lang w:val="es-ES"/>
        </w:rPr>
        <w:t>Cuando un Proponente haya subsanado la totalidad de los contratos aportados, su oferta no será tenida en cuenta para aplicar las fórmulas para la ponderación de la experiencia del Proponente, por lo que, además, por este criterio de asignación de puntaje obtendrá cero (0) puntos.</w:t>
      </w:r>
    </w:p>
    <w:p w14:paraId="0534181B" w14:textId="77777777" w:rsidR="00C30B31" w:rsidRPr="00C30B31" w:rsidRDefault="00C30B31" w:rsidP="00C30B31">
      <w:pPr>
        <w:spacing w:after="0" w:line="240" w:lineRule="auto"/>
        <w:ind w:left="709" w:right="709"/>
        <w:jc w:val="both"/>
        <w:rPr>
          <w:rFonts w:ascii="Verdana" w:eastAsia="Calibri" w:hAnsi="Verdana" w:cs="Arial"/>
          <w:color w:val="000000"/>
          <w:sz w:val="21"/>
          <w:szCs w:val="21"/>
          <w:lang w:val="es-ES_tradnl"/>
        </w:rPr>
      </w:pPr>
    </w:p>
    <w:p w14:paraId="3A8D855F" w14:textId="77777777" w:rsidR="00C30B31" w:rsidRPr="00C30B31" w:rsidRDefault="00C30B31" w:rsidP="00C30B31">
      <w:pPr>
        <w:spacing w:after="0" w:line="240" w:lineRule="auto"/>
        <w:ind w:left="709" w:right="709"/>
        <w:jc w:val="both"/>
        <w:rPr>
          <w:rFonts w:ascii="Verdana" w:eastAsia="Calibri" w:hAnsi="Verdana" w:cs="Arial"/>
          <w:color w:val="000000"/>
          <w:sz w:val="21"/>
          <w:szCs w:val="21"/>
          <w:lang w:val="es-ES_tradnl"/>
        </w:rPr>
      </w:pPr>
      <w:r w:rsidRPr="00C30B31">
        <w:rPr>
          <w:rFonts w:ascii="Verdana" w:eastAsia="Calibri" w:hAnsi="Verdana" w:cs="Arial"/>
          <w:color w:val="000000"/>
          <w:sz w:val="21"/>
          <w:szCs w:val="21"/>
          <w:lang w:val="es-ES_tradnl"/>
        </w:rPr>
        <w:t xml:space="preserve">B. </w:t>
      </w:r>
      <w:r w:rsidRPr="00C30B31">
        <w:rPr>
          <w:rFonts w:ascii="Verdana" w:eastAsia="Times New Roman" w:hAnsi="Verdana" w:cs="Arial"/>
          <w:color w:val="000000"/>
          <w:sz w:val="21"/>
          <w:szCs w:val="21"/>
          <w:shd w:val="clear" w:color="auto" w:fill="FFFFFF"/>
          <w:lang w:eastAsia="es-ES_tradnl"/>
        </w:rPr>
        <w:t>Para la asignación de puntaje, se tomará el promedio de los contratos válidos aportados de cada propuesta hábil expresados en </w:t>
      </w:r>
      <w:r w:rsidRPr="00C30B31">
        <w:rPr>
          <w:rFonts w:ascii="Verdana" w:eastAsia="Calibri" w:hAnsi="Verdana" w:cs="Arial"/>
          <w:color w:val="000000"/>
          <w:sz w:val="21"/>
          <w:szCs w:val="21"/>
          <w:lang w:val="es-ES_tradnl"/>
        </w:rPr>
        <w:t>SMMLV registrados en el Registro Único de Proponentes (RUP) o en alguno de los documentos válidos señalados en el numeral 10.1.5, que acredite su experiencia relacionada en el RUP, y que en total hayan cumplido con lo mencionado en el literal A de esta sección. Dicho promedio será el valor que lo hará participar para la asignación del puntaje, según se detalla en esta sección</w:t>
      </w:r>
      <w:r w:rsidRPr="00C30B31">
        <w:rPr>
          <w:rFonts w:ascii="Verdana" w:eastAsia="Times New Roman" w:hAnsi="Verdana" w:cs="Arial"/>
          <w:color w:val="000000"/>
          <w:sz w:val="21"/>
          <w:szCs w:val="21"/>
          <w:shd w:val="clear" w:color="auto" w:fill="FFFFFF"/>
          <w:lang w:eastAsia="es-ES_tradnl"/>
        </w:rPr>
        <w:t xml:space="preserve">. </w:t>
      </w:r>
    </w:p>
    <w:p w14:paraId="624264E0" w14:textId="77777777" w:rsidR="00C30B31" w:rsidRPr="00C30B31" w:rsidRDefault="00C30B31" w:rsidP="00C30B31">
      <w:pPr>
        <w:spacing w:after="0" w:line="276" w:lineRule="auto"/>
        <w:ind w:firstLine="708"/>
        <w:jc w:val="both"/>
        <w:rPr>
          <w:rFonts w:ascii="Verdana" w:eastAsia="Times New Roman" w:hAnsi="Verdana" w:cs="Arial"/>
          <w:color w:val="000000"/>
          <w:lang w:val="es-MX" w:eastAsia="es-ES_tradnl"/>
        </w:rPr>
      </w:pPr>
    </w:p>
    <w:p w14:paraId="2824DDA3" w14:textId="77777777" w:rsidR="00C30B31" w:rsidRPr="00C30B31" w:rsidRDefault="00C30B31" w:rsidP="00C30B31">
      <w:pPr>
        <w:spacing w:after="120" w:line="276" w:lineRule="auto"/>
        <w:ind w:firstLine="708"/>
        <w:jc w:val="both"/>
        <w:rPr>
          <w:rFonts w:ascii="Verdana" w:eastAsia="Times New Roman" w:hAnsi="Verdana" w:cs="Arial"/>
          <w:color w:val="000000"/>
          <w:lang w:val="es-MX" w:eastAsia="es-ES_tradnl"/>
        </w:rPr>
      </w:pPr>
      <w:r w:rsidRPr="00C30B31">
        <w:rPr>
          <w:rFonts w:ascii="Verdana" w:eastAsia="Times New Roman" w:hAnsi="Verdana" w:cs="Arial"/>
          <w:color w:val="000000"/>
          <w:lang w:val="es-MX" w:eastAsia="es-ES_tradnl"/>
        </w:rPr>
        <w:t xml:space="preserve">Conforme indican estos literales, la valoración de la experiencia del proponente, de cara a la asignación del puntaje correspondiente a este factor de evaluación, debe hacerse de acuerdo con el promedio de los valores de los contratos expresados en SMMLV. Esto salvo en los casos en los que el proponente haya subsanado la acreditación de la experiencia mínima habilitante. </w:t>
      </w:r>
    </w:p>
    <w:p w14:paraId="29577E26" w14:textId="77777777" w:rsidR="00C30B31" w:rsidRPr="00C30B31" w:rsidRDefault="00C30B31" w:rsidP="00C30B31">
      <w:pPr>
        <w:spacing w:after="0" w:line="276" w:lineRule="auto"/>
        <w:ind w:firstLine="708"/>
        <w:jc w:val="both"/>
        <w:rPr>
          <w:rFonts w:ascii="Verdana" w:eastAsia="Times New Roman" w:hAnsi="Verdana" w:cs="Arial"/>
          <w:color w:val="000000"/>
          <w:lang w:val="es-MX" w:eastAsia="es-ES_tradnl"/>
        </w:rPr>
      </w:pPr>
      <w:r w:rsidRPr="00C30B31">
        <w:rPr>
          <w:rFonts w:ascii="Verdana" w:eastAsia="Times New Roman" w:hAnsi="Verdana" w:cs="Arial"/>
          <w:color w:val="000000"/>
          <w:lang w:val="es-MX" w:eastAsia="es-ES_tradnl"/>
        </w:rPr>
        <w:t>Para determinar el puntaje que corresponde al proponente por este factor de evaluación, el referido valor promedio de los contratos aportados para acreditar la experiencia, conforme indican los literales C y D del numeral 4.1., debe ser objeto de ponderación de acuerdo con alguno de los métodos de ponderación señalados en el Documento Base, cuya escogencia debe hacerse de manera aleatoria, a partir de la Tasa Representativa del Mercado–TRM–. Al respecto los literales C y D del numeral 4.1 señalan:</w:t>
      </w:r>
    </w:p>
    <w:p w14:paraId="1C8F39AB" w14:textId="77777777" w:rsidR="00C30B31" w:rsidRPr="00C30B31" w:rsidRDefault="00C30B31" w:rsidP="00C30B31">
      <w:pPr>
        <w:spacing w:after="0" w:line="240" w:lineRule="auto"/>
        <w:ind w:left="709" w:right="709"/>
        <w:contextualSpacing/>
        <w:jc w:val="both"/>
        <w:rPr>
          <w:rFonts w:ascii="Verdana" w:eastAsia="Arial" w:hAnsi="Verdana" w:cs="Arial"/>
          <w:sz w:val="21"/>
          <w:szCs w:val="21"/>
          <w:lang w:val="es-MX" w:eastAsia="es-ES"/>
        </w:rPr>
      </w:pPr>
    </w:p>
    <w:p w14:paraId="3DA421FF" w14:textId="77777777" w:rsidR="00C30B31" w:rsidRPr="00C30B31" w:rsidRDefault="00C30B31" w:rsidP="00C30B31">
      <w:pPr>
        <w:numPr>
          <w:ilvl w:val="0"/>
          <w:numId w:val="22"/>
        </w:numPr>
        <w:spacing w:after="0" w:line="240" w:lineRule="auto"/>
        <w:ind w:right="709"/>
        <w:contextualSpacing/>
        <w:jc w:val="both"/>
        <w:rPr>
          <w:rFonts w:ascii="Arial" w:eastAsia="Arial" w:hAnsi="Arial" w:cs="Arial"/>
          <w:sz w:val="20"/>
          <w:szCs w:val="20"/>
          <w:lang w:eastAsia="es-ES"/>
        </w:rPr>
      </w:pPr>
      <w:r w:rsidRPr="00C30B31">
        <w:rPr>
          <w:rFonts w:ascii="Arial" w:eastAsia="Arial" w:hAnsi="Arial" w:cs="Arial"/>
          <w:sz w:val="20"/>
          <w:szCs w:val="20"/>
          <w:lang w:eastAsia="es-ES"/>
        </w:rPr>
        <w:lastRenderedPageBreak/>
        <w:t xml:space="preserve">Posteriormente, se seleccionará un método aleatorio en función de la Tasa Representativa del Mercado (TRM) certificada por la Superintendencia Financiera de Colombia </w:t>
      </w:r>
      <w:r w:rsidRPr="00C30B31">
        <w:rPr>
          <w:rFonts w:ascii="Arial" w:eastAsia="Arial" w:hAnsi="Arial" w:cs="Arial"/>
          <w:sz w:val="20"/>
          <w:szCs w:val="20"/>
          <w:highlight w:val="lightGray"/>
          <w:lang w:eastAsia="es-ES"/>
        </w:rPr>
        <w:t xml:space="preserve">[en su sitio web: </w:t>
      </w:r>
      <w:hyperlink r:id="rId12">
        <w:r w:rsidRPr="00C30B31">
          <w:rPr>
            <w:rFonts w:ascii="Arial" w:eastAsia="Arial" w:hAnsi="Arial" w:cs="Times New Roman"/>
            <w:sz w:val="20"/>
            <w:szCs w:val="20"/>
            <w:highlight w:val="lightGray"/>
            <w:lang w:eastAsia="es-ES"/>
          </w:rPr>
          <w:t>https://www.superfinanciera.gov.co/publicacion/60819</w:t>
        </w:r>
      </w:hyperlink>
      <w:r w:rsidRPr="00C30B31">
        <w:rPr>
          <w:rFonts w:ascii="Arial" w:eastAsia="Arial" w:hAnsi="Arial" w:cs="Arial"/>
          <w:sz w:val="20"/>
          <w:szCs w:val="20"/>
          <w:highlight w:val="lightGray"/>
          <w:lang w:eastAsia="es-ES"/>
        </w:rPr>
        <w:t>]</w:t>
      </w:r>
      <w:r w:rsidRPr="00C30B31">
        <w:rPr>
          <w:rFonts w:ascii="Arial" w:eastAsia="Arial" w:hAnsi="Arial" w:cs="Arial"/>
          <w:sz w:val="20"/>
          <w:szCs w:val="20"/>
          <w:lang w:eastAsia="es-ES"/>
        </w:rPr>
        <w:t>.</w:t>
      </w:r>
    </w:p>
    <w:p w14:paraId="5CB91B69" w14:textId="77777777" w:rsidR="00C30B31" w:rsidRPr="00C30B31" w:rsidRDefault="00C30B31" w:rsidP="00C30B31">
      <w:pPr>
        <w:spacing w:after="0" w:line="240" w:lineRule="auto"/>
        <w:ind w:left="709" w:right="709"/>
        <w:contextualSpacing/>
        <w:jc w:val="both"/>
        <w:rPr>
          <w:rFonts w:ascii="Arial" w:eastAsia="Arial" w:hAnsi="Arial" w:cs="Arial"/>
          <w:sz w:val="20"/>
          <w:szCs w:val="20"/>
          <w:lang w:eastAsia="es-ES"/>
        </w:rPr>
      </w:pPr>
    </w:p>
    <w:p w14:paraId="445D7AF0" w14:textId="77777777" w:rsidR="00C30B31" w:rsidRPr="00C30B31" w:rsidRDefault="00C30B31" w:rsidP="00C30B31">
      <w:pPr>
        <w:spacing w:after="0" w:line="240" w:lineRule="auto"/>
        <w:ind w:left="709" w:right="709"/>
        <w:contextualSpacing/>
        <w:jc w:val="both"/>
        <w:rPr>
          <w:rFonts w:ascii="Arial" w:eastAsia="Arial" w:hAnsi="Arial" w:cs="Arial"/>
          <w:sz w:val="20"/>
          <w:szCs w:val="20"/>
          <w:lang w:eastAsia="es-ES"/>
        </w:rPr>
      </w:pPr>
      <w:r w:rsidRPr="00C30B31">
        <w:rPr>
          <w:rFonts w:ascii="Arial" w:eastAsia="Arial" w:hAnsi="Arial" w:cs="Arial"/>
          <w:sz w:val="20"/>
          <w:szCs w:val="20"/>
          <w:lang w:eastAsia="es-ES"/>
        </w:rPr>
        <w:t xml:space="preserve">La TRM que la Entidad utilizará para determinar el método de ponderación será la que rija el </w:t>
      </w:r>
      <w:r w:rsidRPr="00C30B31">
        <w:rPr>
          <w:rFonts w:ascii="Arial" w:eastAsia="Arial" w:hAnsi="Arial" w:cs="Arial"/>
          <w:i/>
          <w:iCs/>
          <w:sz w:val="20"/>
          <w:szCs w:val="20"/>
          <w:lang w:eastAsia="es-ES"/>
        </w:rPr>
        <w:t>segundo día hábil después de finalizado el periodo de traslado del informe de evaluación</w:t>
      </w:r>
      <w:r w:rsidRPr="00C30B31">
        <w:rPr>
          <w:rFonts w:ascii="Arial" w:eastAsia="Arial" w:hAnsi="Arial" w:cs="Arial"/>
          <w:sz w:val="20"/>
          <w:szCs w:val="20"/>
          <w:lang w:eastAsia="es-CO"/>
        </w:rPr>
        <w:t>.</w:t>
      </w:r>
      <w:r w:rsidRPr="00C30B31">
        <w:rPr>
          <w:rFonts w:ascii="Arial" w:eastAsia="Arial" w:hAnsi="Arial" w:cs="Arial"/>
          <w:sz w:val="20"/>
          <w:szCs w:val="20"/>
          <w:lang w:eastAsia="es-ES"/>
        </w:rPr>
        <w:t xml:space="preserve"> Esto es, la que la Superintendencia publique en horas de la tarde del día hábil siguiente a la fecha efectiva de finalizado el periodo de traslado del informe de evaluación. </w:t>
      </w:r>
      <w:r w:rsidRPr="00C30B31">
        <w:rPr>
          <w:rFonts w:ascii="Arial" w:eastAsia="Arial" w:hAnsi="Arial" w:cs="Arial"/>
          <w:sz w:val="20"/>
          <w:szCs w:val="20"/>
          <w:highlight w:val="lightGray"/>
          <w:lang w:eastAsia="es-ES"/>
        </w:rPr>
        <w:t>[Por ejemplo, si el termino de traslado del informe de evaluación finaliza el 10 de febrero, la TRM que se usará para determinar el método de evaluación será la del 12 de febrero, que se publica en la tarde del 11 de febrero]</w:t>
      </w:r>
      <w:r w:rsidRPr="00C30B31">
        <w:rPr>
          <w:rFonts w:ascii="Arial" w:eastAsia="Arial" w:hAnsi="Arial" w:cs="Arial"/>
          <w:sz w:val="20"/>
          <w:szCs w:val="20"/>
          <w:lang w:eastAsia="es-ES"/>
        </w:rPr>
        <w:t xml:space="preserve"> </w:t>
      </w:r>
    </w:p>
    <w:p w14:paraId="51422353" w14:textId="77777777" w:rsidR="00C30B31" w:rsidRPr="00C30B31" w:rsidRDefault="00C30B31" w:rsidP="00C30B31">
      <w:pPr>
        <w:spacing w:before="210" w:after="120" w:line="240" w:lineRule="auto"/>
        <w:ind w:left="709" w:right="709"/>
        <w:contextualSpacing/>
        <w:jc w:val="both"/>
        <w:rPr>
          <w:rFonts w:ascii="Arial" w:eastAsia="BlinkMacSystemFont" w:hAnsi="Arial" w:cs="Arial"/>
          <w:i/>
          <w:iCs/>
          <w:sz w:val="20"/>
          <w:szCs w:val="20"/>
          <w:u w:val="single"/>
          <w:lang w:eastAsia="es-CO"/>
        </w:rPr>
      </w:pPr>
      <w:r w:rsidRPr="00C30B31">
        <w:rPr>
          <w:rFonts w:ascii="Arial" w:eastAsia="BlinkMacSystemFont" w:hAnsi="Arial" w:cs="Arial"/>
          <w:sz w:val="20"/>
          <w:szCs w:val="20"/>
          <w:lang w:eastAsia="es-CO"/>
        </w:rPr>
        <w:t xml:space="preserve">En el evento excepcional establecido en el numeral 1.6, cuando la Entidad no hubiese advertido durante el proceso de evaluación la ausencia de requisitos o la falta de documentos referentes a la futura contratación o al Proponente, ya sea en relación con los requisitos habilitantes o para aclarar aspectos que otorgan puntaje o relativos a los factores de desempate, y por ende, deba requerir a algún proponente, </w:t>
      </w:r>
      <w:r w:rsidRPr="00C30B31">
        <w:rPr>
          <w:rFonts w:ascii="Arial" w:eastAsia="BlinkMacSystemFont" w:hAnsi="Arial" w:cs="Arial"/>
          <w:sz w:val="20"/>
          <w:szCs w:val="20"/>
          <w:u w:val="single"/>
          <w:lang w:eastAsia="es-CO"/>
        </w:rPr>
        <w:t xml:space="preserve">la TRM que la Entidad utilizará para determinar el método de ponderación será la que rija el </w:t>
      </w:r>
      <w:r w:rsidRPr="00C30B31">
        <w:rPr>
          <w:rFonts w:ascii="Arial" w:eastAsia="BlinkMacSystemFont" w:hAnsi="Arial" w:cs="Arial"/>
          <w:i/>
          <w:iCs/>
          <w:sz w:val="20"/>
          <w:szCs w:val="20"/>
          <w:u w:val="single"/>
          <w:lang w:eastAsia="es-CO"/>
        </w:rPr>
        <w:t>segundo día hábil después de finalizado el periodo concedido al proponente requerido para allegar la subsanación y/o aclaración solicitada</w:t>
      </w:r>
      <w:r w:rsidRPr="00C30B31">
        <w:rPr>
          <w:rFonts w:ascii="Arial" w:eastAsia="BlinkMacSystemFont" w:hAnsi="Arial" w:cs="Arial"/>
          <w:sz w:val="20"/>
          <w:szCs w:val="20"/>
          <w:u w:val="single"/>
          <w:lang w:eastAsia="es-CO"/>
        </w:rPr>
        <w:t>.</w:t>
      </w:r>
      <w:r w:rsidRPr="00C30B31">
        <w:rPr>
          <w:rFonts w:ascii="Arial" w:eastAsia="BlinkMacSystemFont" w:hAnsi="Arial" w:cs="Arial"/>
          <w:i/>
          <w:iCs/>
          <w:sz w:val="20"/>
          <w:szCs w:val="20"/>
          <w:u w:val="single"/>
          <w:lang w:eastAsia="es-CO"/>
        </w:rPr>
        <w:t xml:space="preserve"> </w:t>
      </w:r>
    </w:p>
    <w:p w14:paraId="715214B2" w14:textId="77777777" w:rsidR="00C30B31" w:rsidRPr="00C30B31" w:rsidRDefault="00C30B31" w:rsidP="00C30B31">
      <w:pPr>
        <w:spacing w:after="120" w:line="240" w:lineRule="auto"/>
        <w:ind w:left="709" w:right="709"/>
        <w:contextualSpacing/>
        <w:jc w:val="both"/>
        <w:rPr>
          <w:rFonts w:ascii="Calibri" w:eastAsia="Yu Mincho" w:hAnsi="Calibri" w:cs="Arial"/>
          <w:sz w:val="20"/>
          <w:szCs w:val="20"/>
          <w:lang w:eastAsia="es-ES"/>
        </w:rPr>
      </w:pPr>
      <w:r w:rsidRPr="00C30B31">
        <w:rPr>
          <w:rFonts w:ascii="Calibri" w:eastAsia="Yu Mincho" w:hAnsi="Calibri" w:cs="Arial"/>
          <w:sz w:val="20"/>
          <w:szCs w:val="20"/>
          <w:lang w:eastAsia="es-ES"/>
        </w:rPr>
        <w:t>(…)</w:t>
      </w:r>
    </w:p>
    <w:p w14:paraId="74F0DFEE" w14:textId="77777777" w:rsidR="00C30B31" w:rsidRPr="00C30B31" w:rsidRDefault="00C30B31" w:rsidP="00C30B31">
      <w:pPr>
        <w:numPr>
          <w:ilvl w:val="0"/>
          <w:numId w:val="22"/>
        </w:numPr>
        <w:spacing w:after="0" w:line="240" w:lineRule="auto"/>
        <w:ind w:right="709"/>
        <w:jc w:val="both"/>
        <w:rPr>
          <w:rFonts w:ascii="Calibri" w:eastAsia="Yu Mincho" w:hAnsi="Calibri" w:cs="Arial"/>
          <w:sz w:val="20"/>
          <w:szCs w:val="20"/>
          <w:lang w:eastAsia="es-ES"/>
        </w:rPr>
      </w:pPr>
      <w:r w:rsidRPr="00C30B31">
        <w:rPr>
          <w:rFonts w:ascii="Arial" w:eastAsia="Arial" w:hAnsi="Arial" w:cs="Arial"/>
          <w:sz w:val="20"/>
          <w:szCs w:val="20"/>
          <w:lang w:eastAsia="es-ES"/>
        </w:rPr>
        <w:t xml:space="preserve">Dependiendo del método aleatorio establecido según la TRM, cada uno de los Proponentes habilitados participarán con el valor del promedio de los contratos válidos aportados, que no fueron objeto de subsanación, según la metodología descrita para cada alternativa. </w:t>
      </w:r>
    </w:p>
    <w:p w14:paraId="57CBA39F" w14:textId="77777777" w:rsidR="00C30B31" w:rsidRPr="00C30B31" w:rsidRDefault="00C30B31" w:rsidP="00C30B31">
      <w:pPr>
        <w:spacing w:after="0" w:line="276" w:lineRule="auto"/>
        <w:ind w:firstLine="709"/>
        <w:jc w:val="both"/>
        <w:rPr>
          <w:rFonts w:ascii="Verdana" w:eastAsia="Calibri" w:hAnsi="Verdana" w:cs="Arial"/>
          <w:color w:val="000000"/>
          <w:lang w:val="es-ES_tradnl"/>
        </w:rPr>
      </w:pPr>
    </w:p>
    <w:p w14:paraId="3A50F5D6" w14:textId="77777777" w:rsidR="00C30B31" w:rsidRPr="006068F1" w:rsidRDefault="00C30B31" w:rsidP="00C30B31">
      <w:pPr>
        <w:spacing w:after="120" w:line="276" w:lineRule="auto"/>
        <w:ind w:firstLine="709"/>
        <w:jc w:val="both"/>
        <w:rPr>
          <w:rFonts w:ascii="Verdana" w:eastAsia="Calibri" w:hAnsi="Verdana" w:cs="Arial"/>
          <w:color w:val="000000"/>
          <w:lang w:val="es-ES_tradnl"/>
        </w:rPr>
      </w:pPr>
      <w:r w:rsidRPr="006068F1">
        <w:rPr>
          <w:rFonts w:ascii="Verdana" w:eastAsia="Calibri" w:hAnsi="Verdana" w:cs="Arial"/>
          <w:color w:val="000000"/>
          <w:lang w:val="es-ES_tradnl"/>
        </w:rPr>
        <w:t xml:space="preserve">En relación con su solicitud, conviene mencionar el contenido del inciso segundo y tercero del literal C. previamente citado. En este sentido, el método aleatorio en función de la Tasa Representativo del Mercado TRM que la Entidad utilizará para determinar el método de ponderación -según se indica- corresponderá al que rija “(…) </w:t>
      </w:r>
      <w:r w:rsidRPr="006068F1">
        <w:rPr>
          <w:rFonts w:ascii="Verdana" w:eastAsia="Arial" w:hAnsi="Verdana" w:cs="Arial"/>
          <w:lang w:eastAsia="es-ES"/>
        </w:rPr>
        <w:t xml:space="preserve">el </w:t>
      </w:r>
      <w:r w:rsidRPr="006068F1">
        <w:rPr>
          <w:rFonts w:ascii="Verdana" w:eastAsia="Arial" w:hAnsi="Verdana" w:cs="Arial"/>
          <w:i/>
          <w:iCs/>
          <w:lang w:eastAsia="es-ES"/>
        </w:rPr>
        <w:t xml:space="preserve">segundo día hábil después de finalizado el periodo de traslado del informe de evaluación (…)”. </w:t>
      </w:r>
    </w:p>
    <w:p w14:paraId="4EF3DBDF" w14:textId="77777777" w:rsidR="00C30B31" w:rsidRPr="006068F1" w:rsidRDefault="00C30B31" w:rsidP="00C30B31">
      <w:pPr>
        <w:spacing w:after="120" w:line="276" w:lineRule="auto"/>
        <w:ind w:firstLine="709"/>
        <w:jc w:val="both"/>
        <w:rPr>
          <w:rFonts w:ascii="Verdana" w:eastAsia="Calibri" w:hAnsi="Verdana" w:cs="Arial"/>
          <w:color w:val="000000"/>
          <w:lang w:val="es-ES_tradnl"/>
        </w:rPr>
      </w:pPr>
      <w:r w:rsidRPr="006068F1">
        <w:rPr>
          <w:rFonts w:ascii="Verdana" w:eastAsia="Calibri" w:hAnsi="Verdana" w:cs="Arial"/>
          <w:color w:val="000000"/>
          <w:lang w:val="es-ES_tradnl"/>
        </w:rPr>
        <w:t xml:space="preserve">En este sentido, en el inciso dos (2) del literal C del numeral 4.1 se establece entre corchetes y resaltado en gris -a modo de ejemplo- la forma como la entidad determinará el método aleatorio de ponderación a partir de la TRM para lo cual señala que, “(…) si el termino de traslado del informe de evaluación finaliza el 10 de febrero, la TRM que se usará para determinar el método de evaluación será la del 12 de febrero, que se publica en la tarde del 11 de febrero”. Esto, teniendo en cuenta lo señalado en el párrafo precedente, esto es, que la TRM que la Entidad utilizará será la del segundo día hábil después de finalizado el traslado del informe de evaluación. </w:t>
      </w:r>
    </w:p>
    <w:p w14:paraId="7C46DEA3" w14:textId="77777777" w:rsidR="00C30B31" w:rsidRPr="006068F1" w:rsidRDefault="00C30B31" w:rsidP="00C30B31">
      <w:pPr>
        <w:spacing w:after="0" w:line="278" w:lineRule="auto"/>
        <w:ind w:firstLine="708"/>
        <w:jc w:val="both"/>
        <w:rPr>
          <w:rFonts w:ascii="Verdana" w:eastAsia="Calibri" w:hAnsi="Verdana" w:cs="Arial"/>
          <w:color w:val="000000"/>
          <w:lang w:val="es-ES_tradnl"/>
        </w:rPr>
      </w:pPr>
      <w:r w:rsidRPr="006068F1">
        <w:rPr>
          <w:rFonts w:ascii="Verdana" w:eastAsia="Calibri" w:hAnsi="Verdana" w:cs="Arial"/>
          <w:color w:val="000000"/>
          <w:lang w:val="es-ES_tradnl"/>
        </w:rPr>
        <w:lastRenderedPageBreak/>
        <w:t xml:space="preserve">Tal como se señaló con anterioridad, en relación con la </w:t>
      </w:r>
      <w:proofErr w:type="spellStart"/>
      <w:r w:rsidRPr="006068F1">
        <w:rPr>
          <w:rFonts w:ascii="Verdana" w:eastAsia="Calibri" w:hAnsi="Verdana" w:cs="Arial"/>
          <w:color w:val="000000"/>
          <w:lang w:val="es-ES_tradnl"/>
        </w:rPr>
        <w:t>subsanabilidad</w:t>
      </w:r>
      <w:proofErr w:type="spellEnd"/>
      <w:r w:rsidRPr="006068F1">
        <w:rPr>
          <w:rFonts w:ascii="Verdana" w:eastAsia="Calibri" w:hAnsi="Verdana" w:cs="Arial"/>
          <w:color w:val="000000"/>
          <w:lang w:val="es-ES_tradnl"/>
        </w:rPr>
        <w:t xml:space="preserve"> de las ofertas, </w:t>
      </w:r>
      <w:r w:rsidRPr="006068F1">
        <w:rPr>
          <w:rFonts w:ascii="Verdana" w:eastAsia="Arial" w:hAnsi="Verdana" w:cs="Arial"/>
          <w:color w:val="000000"/>
        </w:rPr>
        <w:t xml:space="preserve">se permite que la Administración requiera al oferente durante el proceso de evaluación de las propuestas, tan pronto advierta que hace falta un documento o requisito que se puede subsanar. </w:t>
      </w:r>
      <w:r w:rsidRPr="006068F1">
        <w:rPr>
          <w:rFonts w:ascii="Verdana" w:eastAsia="Calibri" w:hAnsi="Verdana" w:cs="Arial"/>
          <w:color w:val="000000"/>
          <w:lang w:val="es-ES_tradnl"/>
        </w:rPr>
        <w:t>Ahora, y en el evento que se presente una situación excepcional en la cual la Entidad no hubiese advertido durante el proceso de evaluación la ausencia de requisitos o la falta de documentos referentes a la futura contratación o al Proponente, ya sea en relación con los requisitos habilitantes o para aclarar aspectos que otorgan puntaje o relativos a los factores de desempate y, por ende, no los haya requerido, podrá hacerlo posteriormente, otorgándole al Proponente un término igual al establecido para el traslado del informe de evaluación,</w:t>
      </w:r>
      <w:r w:rsidRPr="006068F1" w:rsidDel="008C5B46">
        <w:rPr>
          <w:rFonts w:ascii="Verdana" w:eastAsia="Calibri" w:hAnsi="Verdana" w:cs="Arial"/>
          <w:color w:val="000000"/>
          <w:lang w:val="es-ES_tradnl"/>
        </w:rPr>
        <w:t xml:space="preserve"> </w:t>
      </w:r>
      <w:r w:rsidRPr="006068F1">
        <w:rPr>
          <w:rFonts w:ascii="Verdana" w:eastAsia="Calibri" w:hAnsi="Verdana" w:cs="Arial"/>
          <w:color w:val="000000"/>
          <w:lang w:val="es-ES_tradnl"/>
        </w:rPr>
        <w:t xml:space="preserve">con el fin de que los allegue. En este sentido, en el inciso tercero del literal C del numeral 4.1 se definió una regla aplicable a estas situaciones, para determinar la TRM que la Entidad utilizará para determinar el método de ponderación, según la cual: </w:t>
      </w:r>
    </w:p>
    <w:p w14:paraId="45D8113F" w14:textId="77777777" w:rsidR="00C30B31" w:rsidRPr="006068F1" w:rsidRDefault="00C30B31" w:rsidP="00C30B31">
      <w:pPr>
        <w:spacing w:after="0" w:line="278" w:lineRule="auto"/>
        <w:ind w:firstLine="708"/>
        <w:jc w:val="both"/>
        <w:rPr>
          <w:rFonts w:ascii="Verdana" w:eastAsia="Calibri" w:hAnsi="Verdana" w:cs="Arial"/>
          <w:color w:val="000000"/>
          <w:lang w:val="es-ES_tradnl"/>
        </w:rPr>
      </w:pPr>
    </w:p>
    <w:p w14:paraId="0D1A6572" w14:textId="77777777" w:rsidR="00C30B31" w:rsidRPr="006068F1" w:rsidRDefault="00C30B31" w:rsidP="00C30B31">
      <w:pPr>
        <w:spacing w:after="0" w:line="240" w:lineRule="auto"/>
        <w:ind w:left="708" w:right="709"/>
        <w:jc w:val="both"/>
        <w:rPr>
          <w:rFonts w:ascii="Verdana" w:eastAsia="Calibri" w:hAnsi="Verdana" w:cs="Arial"/>
          <w:color w:val="000000"/>
          <w:sz w:val="21"/>
          <w:szCs w:val="21"/>
          <w:lang w:val="es-ES_tradnl"/>
        </w:rPr>
      </w:pPr>
      <w:r w:rsidRPr="006068F1">
        <w:rPr>
          <w:rFonts w:ascii="Verdana" w:eastAsia="Calibri" w:hAnsi="Verdana" w:cs="Arial"/>
          <w:color w:val="000000"/>
          <w:sz w:val="21"/>
          <w:szCs w:val="21"/>
          <w:lang w:val="es-ES_tradnl"/>
        </w:rPr>
        <w:t>“En el evento excepcional establecido en el numeral 1.6, cuando la Entidad no hubiese advertido durante el proceso de evaluación la ausencia de requisitos o la falta de documentos referentes a la futura contratación o al Proponente, ya sea en relación con los requisitos habilitantes o para aclarar aspectos que otorgan puntaje o relativos a los factores de desempate, y por ende, deba requerir a algún proponente, la TRM que la Entidad utilizará para determinar el método de ponderación será la que rija el segundo día hábil después de finalizado el periodo concedido al proponente requerido para allegar la subsanación y/o aclaración solicitada”.</w:t>
      </w:r>
    </w:p>
    <w:p w14:paraId="48B28BCC" w14:textId="77777777" w:rsidR="00C30B31" w:rsidRPr="006068F1" w:rsidRDefault="00C30B31" w:rsidP="00C30B31">
      <w:pPr>
        <w:spacing w:after="0" w:line="278" w:lineRule="auto"/>
        <w:ind w:left="708" w:right="709"/>
        <w:jc w:val="both"/>
        <w:rPr>
          <w:rFonts w:ascii="Verdana" w:eastAsia="Calibri" w:hAnsi="Verdana" w:cs="Arial"/>
          <w:color w:val="000000"/>
          <w:sz w:val="21"/>
          <w:szCs w:val="21"/>
          <w:lang w:val="es-ES_tradnl"/>
        </w:rPr>
      </w:pPr>
    </w:p>
    <w:p w14:paraId="04A9F298" w14:textId="77777777" w:rsidR="00C30B31" w:rsidRPr="006068F1" w:rsidRDefault="00C30B31" w:rsidP="00C30B31">
      <w:pPr>
        <w:spacing w:after="120" w:line="278" w:lineRule="auto"/>
        <w:ind w:firstLine="708"/>
        <w:jc w:val="both"/>
        <w:rPr>
          <w:rFonts w:ascii="Verdana" w:eastAsia="Calibri" w:hAnsi="Verdana" w:cs="Arial"/>
          <w:color w:val="000000"/>
          <w:lang w:val="es-ES_tradnl"/>
        </w:rPr>
      </w:pPr>
      <w:r w:rsidRPr="006068F1">
        <w:rPr>
          <w:rFonts w:ascii="Verdana" w:eastAsia="Calibri" w:hAnsi="Verdana" w:cs="Arial"/>
          <w:color w:val="000000"/>
          <w:lang w:val="es-ES_tradnl"/>
        </w:rPr>
        <w:t xml:space="preserve">En el marco de esta excepcionalidad, se inscriben las situaciones planteadas por el peticionario, toda vez que, si la Entidad requiere al proponente en un momento posterior al proceso de evaluación, la determinación de la Tasa Representativa del Mercado TRM, que la Entidad utilizará para determinar el método de ponderación será la que rija el segundo día hábil después de finalizado el periodo concedido al proponente requerido para la subsanación de requisitos habilitantes y/o para aclarar aspectos que otorgan puntaje o relativos a factores de desempate. </w:t>
      </w:r>
    </w:p>
    <w:p w14:paraId="06CC70C3" w14:textId="77777777" w:rsidR="00C30B31" w:rsidRPr="006068F1" w:rsidRDefault="00C30B31" w:rsidP="00C30B31">
      <w:pPr>
        <w:spacing w:after="120" w:line="276" w:lineRule="auto"/>
        <w:ind w:firstLine="709"/>
        <w:jc w:val="both"/>
        <w:rPr>
          <w:rFonts w:ascii="Verdana" w:eastAsia="Calibri" w:hAnsi="Verdana" w:cs="Arial"/>
          <w:color w:val="000000"/>
          <w:lang w:val="es-ES_tradnl"/>
        </w:rPr>
      </w:pPr>
      <w:r w:rsidRPr="006068F1">
        <w:rPr>
          <w:rFonts w:ascii="Verdana" w:eastAsia="Calibri" w:hAnsi="Verdana" w:cs="Arial"/>
          <w:color w:val="000000"/>
          <w:lang w:val="es-ES_tradnl"/>
        </w:rPr>
        <w:t xml:space="preserve">Como se aprecia, en los procedimientos de concurso de méritos para la escogencia de interventores de obra pública de infraestructura de transporte adelantados con documentos tipo, la experiencia del proponente debe ser ponderada, de acuerdo con un método aleatorio, a efectos de determinar el </w:t>
      </w:r>
      <w:r w:rsidRPr="006068F1">
        <w:rPr>
          <w:rFonts w:ascii="Verdana" w:eastAsia="Calibri" w:hAnsi="Verdana" w:cs="Arial"/>
          <w:color w:val="000000"/>
          <w:lang w:val="es-ES_tradnl"/>
        </w:rPr>
        <w:lastRenderedPageBreak/>
        <w:t>puntaje que le corresponde.</w:t>
      </w:r>
      <w:r w:rsidRPr="006068F1">
        <w:rPr>
          <w:rFonts w:ascii="Verdana" w:eastAsia="Calibri" w:hAnsi="Verdana" w:cs="Arial"/>
          <w:lang w:val="es-MX"/>
        </w:rPr>
        <w:t xml:space="preserve"> Al respecto, el Documento Base, establece cuatro (</w:t>
      </w:r>
      <w:r w:rsidRPr="006068F1">
        <w:rPr>
          <w:rFonts w:ascii="Verdana" w:eastAsia="Calibri" w:hAnsi="Verdana" w:cs="Arial"/>
          <w:color w:val="000000"/>
          <w:lang w:val="es-ES_tradnl"/>
        </w:rPr>
        <w:t xml:space="preserve">4) alternativas para ponderar la experiencia de los proponentes, aplicables según la TRM que rija, a saber: i) mediana con valor absoluto; </w:t>
      </w:r>
      <w:proofErr w:type="spellStart"/>
      <w:r w:rsidRPr="006068F1">
        <w:rPr>
          <w:rFonts w:ascii="Verdana" w:eastAsia="Calibri" w:hAnsi="Verdana" w:cs="Arial"/>
          <w:color w:val="000000"/>
          <w:lang w:val="es-ES_tradnl"/>
        </w:rPr>
        <w:t>ii</w:t>
      </w:r>
      <w:proofErr w:type="spellEnd"/>
      <w:r w:rsidRPr="006068F1">
        <w:rPr>
          <w:rFonts w:ascii="Verdana" w:eastAsia="Calibri" w:hAnsi="Verdana" w:cs="Arial"/>
          <w:color w:val="000000"/>
          <w:lang w:val="es-ES_tradnl"/>
        </w:rPr>
        <w:t xml:space="preserve">) media geométrica; </w:t>
      </w:r>
      <w:proofErr w:type="spellStart"/>
      <w:r w:rsidRPr="006068F1">
        <w:rPr>
          <w:rFonts w:ascii="Verdana" w:eastAsia="Calibri" w:hAnsi="Verdana" w:cs="Arial"/>
          <w:color w:val="000000"/>
          <w:lang w:val="es-ES_tradnl"/>
        </w:rPr>
        <w:t>iii</w:t>
      </w:r>
      <w:proofErr w:type="spellEnd"/>
      <w:r w:rsidRPr="006068F1">
        <w:rPr>
          <w:rFonts w:ascii="Verdana" w:eastAsia="Calibri" w:hAnsi="Verdana" w:cs="Arial"/>
          <w:color w:val="000000"/>
          <w:lang w:val="es-ES_tradnl"/>
        </w:rPr>
        <w:t xml:space="preserve">) media aritmética alta y </w:t>
      </w:r>
      <w:proofErr w:type="spellStart"/>
      <w:r w:rsidRPr="006068F1">
        <w:rPr>
          <w:rFonts w:ascii="Verdana" w:eastAsia="Calibri" w:hAnsi="Verdana" w:cs="Arial"/>
          <w:color w:val="000000"/>
          <w:lang w:val="es-ES_tradnl"/>
        </w:rPr>
        <w:t>iv</w:t>
      </w:r>
      <w:proofErr w:type="spellEnd"/>
      <w:r w:rsidRPr="006068F1">
        <w:rPr>
          <w:rFonts w:ascii="Verdana" w:eastAsia="Calibri" w:hAnsi="Verdana" w:cs="Arial"/>
          <w:color w:val="000000"/>
          <w:lang w:val="es-ES_tradnl"/>
        </w:rPr>
        <w:t>) media aritmética baja, cuya selección es aleatoria.</w:t>
      </w:r>
    </w:p>
    <w:p w14:paraId="6C0E9D83" w14:textId="77777777" w:rsidR="00C30B31" w:rsidRPr="006068F1" w:rsidRDefault="00C30B31" w:rsidP="00C30B31">
      <w:pPr>
        <w:spacing w:after="120" w:line="276" w:lineRule="auto"/>
        <w:ind w:firstLine="708"/>
        <w:jc w:val="both"/>
        <w:rPr>
          <w:rFonts w:ascii="Verdana" w:eastAsia="Calibri" w:hAnsi="Verdana" w:cs="Arial"/>
          <w:color w:val="000000"/>
          <w:lang w:val="es-ES_tradnl"/>
        </w:rPr>
      </w:pPr>
      <w:r w:rsidRPr="006068F1">
        <w:rPr>
          <w:rFonts w:ascii="Verdana" w:eastAsia="Calibri" w:hAnsi="Verdana" w:cs="Arial"/>
          <w:color w:val="000000"/>
          <w:lang w:val="es-ES_tradnl"/>
        </w:rPr>
        <w:t>La Tasa de Cambio Representativa del Mercado – TRM “</w:t>
      </w:r>
      <w:r w:rsidRPr="006068F1">
        <w:rPr>
          <w:rFonts w:ascii="Verdana" w:eastAsia="Calibri" w:hAnsi="Verdana" w:cs="Arial"/>
          <w:lang w:val="es-MX"/>
        </w:rPr>
        <w:t>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1:00 p.m.</w:t>
      </w:r>
      <w:r w:rsidRPr="006068F1">
        <w:rPr>
          <w:rFonts w:ascii="Verdana" w:eastAsia="Calibri" w:hAnsi="Verdana" w:cs="Arial"/>
          <w:color w:val="000000"/>
          <w:lang w:val="es-ES_tradnl"/>
        </w:rPr>
        <w:t>”</w:t>
      </w:r>
      <w:r w:rsidRPr="006068F1">
        <w:rPr>
          <w:rFonts w:ascii="Verdana" w:eastAsia="Calibri" w:hAnsi="Verdana" w:cs="Arial"/>
          <w:color w:val="000000"/>
          <w:vertAlign w:val="superscript"/>
          <w:lang w:val="es-ES_tradnl"/>
        </w:rPr>
        <w:t xml:space="preserve"> </w:t>
      </w:r>
      <w:r w:rsidRPr="006068F1">
        <w:rPr>
          <w:rFonts w:ascii="Verdana" w:eastAsia="Calibri" w:hAnsi="Verdana" w:cs="Arial"/>
          <w:color w:val="000000"/>
          <w:vertAlign w:val="superscript"/>
          <w:lang w:val="es-ES_tradnl"/>
        </w:rPr>
        <w:footnoteReference w:id="17"/>
      </w:r>
      <w:r w:rsidRPr="006068F1">
        <w:rPr>
          <w:rFonts w:ascii="Verdana" w:eastAsia="Calibri" w:hAnsi="Verdana" w:cs="Arial"/>
          <w:color w:val="000000"/>
          <w:lang w:val="es-ES_tradnl"/>
        </w:rPr>
        <w:t>, definido por la Superintendencia Financiera, es decir, denota la relación entre la moneda colombiana y el dólar. Por su parte, el Banco de la República ha definido la tasa de cambio representativa del mercado como “la cantidad de pesos colombianos por un dólar de los Estados Unidos</w:t>
      </w:r>
      <w:r w:rsidRPr="006068F1">
        <w:rPr>
          <w:rFonts w:ascii="Verdana" w:eastAsia="Calibri" w:hAnsi="Verdana" w:cs="Arial"/>
          <w:color w:val="000000"/>
          <w:vertAlign w:val="superscript"/>
          <w:lang w:val="es-ES_tradnl"/>
        </w:rPr>
        <w:footnoteReference w:id="18"/>
      </w:r>
      <w:r w:rsidRPr="006068F1">
        <w:rPr>
          <w:rFonts w:ascii="Verdana" w:eastAsia="Calibri" w:hAnsi="Verdana" w:cs="Arial"/>
          <w:color w:val="000000"/>
          <w:lang w:val="es-ES_tradnl"/>
        </w:rPr>
        <w:t xml:space="preserve">”. Es decir que, es claro que la TRM es un valor que se origina en la fluctuación del mercado. </w:t>
      </w:r>
    </w:p>
    <w:p w14:paraId="07BD9F08" w14:textId="77777777" w:rsidR="00C30B31" w:rsidRPr="00C30B31" w:rsidRDefault="00C30B31" w:rsidP="32E0163A">
      <w:pPr>
        <w:spacing w:after="120" w:line="276" w:lineRule="auto"/>
        <w:ind w:firstLine="709"/>
        <w:jc w:val="both"/>
        <w:rPr>
          <w:rFonts w:ascii="Verdana" w:eastAsia="Calibri" w:hAnsi="Verdana" w:cs="Arial"/>
          <w:color w:val="000000"/>
          <w:lang w:val="es-ES"/>
        </w:rPr>
      </w:pPr>
      <w:r w:rsidRPr="006068F1">
        <w:rPr>
          <w:rFonts w:ascii="Verdana" w:eastAsia="Calibri" w:hAnsi="Verdana" w:cs="Arial"/>
          <w:color w:val="000000" w:themeColor="text1"/>
          <w:lang w:val="es-ES"/>
        </w:rPr>
        <w:t>De lo anterior, se tiene que del documento tipo acudió a este valor como el criterio de escogencia del método aleatorio para evaluar la experiencia de los proponentes, porque su definición no depende de la discrecionalidad de la administración pública en cualquiera de sus órdenes y niveles, pues aunque se establece y certifica por parte de la Superintendencia Financiera, su determinación depende de las dinámicas del mercado de divisas, garantizando una escogencia aleatoria del método de ponderación aplicable para tal propósito, lo que dota de transparencia la evaluación de las ofertas.</w:t>
      </w:r>
      <w:r w:rsidRPr="32E0163A">
        <w:rPr>
          <w:rFonts w:ascii="Verdana" w:eastAsia="Calibri" w:hAnsi="Verdana" w:cs="Arial"/>
          <w:color w:val="000000" w:themeColor="text1"/>
          <w:lang w:val="es-ES"/>
        </w:rPr>
        <w:t xml:space="preserve"> </w:t>
      </w:r>
    </w:p>
    <w:p w14:paraId="108AB3E0" w14:textId="77777777" w:rsidR="00C30B31" w:rsidRPr="00C30B31" w:rsidRDefault="00C30B31" w:rsidP="00C30B31">
      <w:pPr>
        <w:spacing w:after="0" w:line="276" w:lineRule="auto"/>
        <w:jc w:val="both"/>
        <w:rPr>
          <w:rFonts w:ascii="Verdana" w:eastAsia="Calibri" w:hAnsi="Verdana" w:cs="Arial"/>
        </w:rPr>
      </w:pPr>
    </w:p>
    <w:p w14:paraId="3423542B" w14:textId="77777777" w:rsidR="00C30B31" w:rsidRPr="00C30B31" w:rsidRDefault="00C30B31" w:rsidP="00C30B31">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C30B31">
        <w:rPr>
          <w:rFonts w:ascii="Verdana" w:eastAsia="Century Gothic" w:hAnsi="Verdana" w:cs="Century Gothic"/>
          <w:b/>
          <w:bCs/>
        </w:rPr>
        <w:t>Referencias normativas, jurisprudenciales y otras fuentes:</w:t>
      </w:r>
    </w:p>
    <w:p w14:paraId="4A60CD83" w14:textId="77777777" w:rsidR="00C30B31" w:rsidRPr="00C30B31" w:rsidRDefault="00C30B31" w:rsidP="00C30B31">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30B31" w:rsidRPr="00C30B31" w14:paraId="1CA753B6" w14:textId="77777777" w:rsidTr="00802A03">
        <w:trPr>
          <w:trHeight w:val="491"/>
        </w:trPr>
        <w:tc>
          <w:tcPr>
            <w:tcW w:w="8647" w:type="dxa"/>
          </w:tcPr>
          <w:p w14:paraId="7EB8F6E6" w14:textId="77777777" w:rsidR="00C30B31" w:rsidRPr="00C30B31" w:rsidRDefault="00C30B31" w:rsidP="00C30B31">
            <w:pPr>
              <w:widowControl w:val="0"/>
              <w:numPr>
                <w:ilvl w:val="0"/>
                <w:numId w:val="17"/>
              </w:numPr>
              <w:autoSpaceDE w:val="0"/>
              <w:autoSpaceDN w:val="0"/>
              <w:spacing w:after="120" w:line="276" w:lineRule="auto"/>
              <w:jc w:val="both"/>
              <w:rPr>
                <w:rFonts w:ascii="Verdana" w:eastAsia="Calibri" w:hAnsi="Verdana" w:cs="Arial"/>
              </w:rPr>
            </w:pPr>
            <w:r w:rsidRPr="00C30B31">
              <w:rPr>
                <w:rFonts w:ascii="Verdana" w:eastAsia="Calibri" w:hAnsi="Verdana" w:cs="Arial"/>
              </w:rPr>
              <w:t>Ley 2022 de 2020</w:t>
            </w:r>
          </w:p>
          <w:p w14:paraId="18E4CD5E" w14:textId="77777777" w:rsidR="00C30B31" w:rsidRPr="00C30B31" w:rsidRDefault="00C30B31" w:rsidP="00C30B31">
            <w:pPr>
              <w:widowControl w:val="0"/>
              <w:numPr>
                <w:ilvl w:val="0"/>
                <w:numId w:val="17"/>
              </w:numPr>
              <w:autoSpaceDE w:val="0"/>
              <w:autoSpaceDN w:val="0"/>
              <w:spacing w:after="120" w:line="276" w:lineRule="auto"/>
              <w:jc w:val="both"/>
              <w:rPr>
                <w:rFonts w:ascii="Verdana" w:eastAsia="Calibri" w:hAnsi="Verdana" w:cs="Arial"/>
              </w:rPr>
            </w:pPr>
            <w:r w:rsidRPr="00C30B31">
              <w:rPr>
                <w:rFonts w:ascii="Verdana" w:eastAsia="Aptos" w:hAnsi="Verdana" w:cs="Arial"/>
                <w:bCs/>
                <w:color w:val="000000"/>
                <w:lang w:eastAsia="es-MX"/>
              </w:rPr>
              <w:t xml:space="preserve">Documentos tipo expedidos por la Agencia Nacional de Contratación Pública – Colombia Compra Eficiente disponibles en el siguiente enlace: </w:t>
            </w:r>
            <w:hyperlink r:id="rId13" w:history="1">
              <w:r w:rsidRPr="00C30B31">
                <w:rPr>
                  <w:rFonts w:ascii="Verdana" w:eastAsia="Aptos" w:hAnsi="Verdana" w:cs="Arial"/>
                  <w:bCs/>
                  <w:color w:val="0000FF"/>
                  <w:u w:val="single"/>
                  <w:lang w:eastAsia="es-MX"/>
                </w:rPr>
                <w:t>https://www.colombiacompra.gov.co/normativa-y-relatoria/documentos-tipo</w:t>
              </w:r>
            </w:hyperlink>
            <w:r w:rsidRPr="00C30B31">
              <w:rPr>
                <w:rFonts w:ascii="Verdana" w:eastAsia="Aptos" w:hAnsi="Verdana" w:cs="Arial"/>
                <w:bCs/>
                <w:color w:val="000000"/>
                <w:lang w:eastAsia="es-MX"/>
              </w:rPr>
              <w:t xml:space="preserve"> </w:t>
            </w:r>
          </w:p>
        </w:tc>
      </w:tr>
    </w:tbl>
    <w:p w14:paraId="5A43284F" w14:textId="77777777" w:rsidR="00C30B31" w:rsidRPr="00C30B31" w:rsidRDefault="00C30B31" w:rsidP="00C30B31">
      <w:pPr>
        <w:widowControl w:val="0"/>
        <w:autoSpaceDE w:val="0"/>
        <w:autoSpaceDN w:val="0"/>
        <w:spacing w:after="0" w:line="276" w:lineRule="auto"/>
        <w:jc w:val="both"/>
        <w:rPr>
          <w:rFonts w:ascii="Verdana" w:eastAsia="Calibri" w:hAnsi="Verdana" w:cs="Arial"/>
        </w:rPr>
      </w:pPr>
    </w:p>
    <w:p w14:paraId="5D6E4B92" w14:textId="77777777" w:rsidR="00C30B31" w:rsidRPr="00C30B31" w:rsidRDefault="00C30B31" w:rsidP="00C30B31">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C30B31">
        <w:rPr>
          <w:rFonts w:ascii="Verdana" w:eastAsia="Century Gothic" w:hAnsi="Verdana" w:cs="Century Gothic"/>
          <w:b/>
          <w:bCs/>
        </w:rPr>
        <w:t>Doctrina de la Agencia Nacional de Contratación Pública:</w:t>
      </w:r>
    </w:p>
    <w:p w14:paraId="6B55F6F4" w14:textId="77777777" w:rsidR="00C30B31" w:rsidRPr="00C30B31" w:rsidRDefault="00C30B31" w:rsidP="00C30B31">
      <w:pPr>
        <w:widowControl w:val="0"/>
        <w:autoSpaceDE w:val="0"/>
        <w:autoSpaceDN w:val="0"/>
        <w:spacing w:after="0" w:line="276" w:lineRule="auto"/>
        <w:jc w:val="both"/>
        <w:rPr>
          <w:rFonts w:ascii="Verdana" w:eastAsia="Calibri" w:hAnsi="Verdana" w:cs="Arial"/>
        </w:rPr>
      </w:pPr>
    </w:p>
    <w:p w14:paraId="5BEFE374" w14:textId="77777777" w:rsidR="00C30B31" w:rsidRPr="00C30B31" w:rsidRDefault="00C30B31" w:rsidP="00C30B31">
      <w:pPr>
        <w:spacing w:after="0" w:line="240" w:lineRule="auto"/>
        <w:jc w:val="both"/>
        <w:rPr>
          <w:rFonts w:ascii="Verdana" w:eastAsia="Aptos" w:hAnsi="Verdana" w:cs="Arial"/>
          <w:kern w:val="2"/>
          <w:shd w:val="clear" w:color="auto" w:fill="FFFFFF"/>
          <w:lang w:val="es-ES"/>
          <w14:ligatures w14:val="standardContextual"/>
        </w:rPr>
      </w:pPr>
      <w:r w:rsidRPr="00C30B31">
        <w:rPr>
          <w:rFonts w:ascii="Verdana" w:eastAsia="Aptos" w:hAnsi="Verdana" w:cs="Arial"/>
          <w:kern w:val="2"/>
          <w:shd w:val="clear" w:color="auto" w:fill="FFFFFF"/>
          <w:lang w:val="es-ES"/>
          <w14:ligatures w14:val="standardContextual"/>
        </w:rPr>
        <w:t xml:space="preserve">Esta Subdirección se ha pronunciado sobre la regla de </w:t>
      </w:r>
      <w:proofErr w:type="spellStart"/>
      <w:r w:rsidRPr="00C30B31">
        <w:rPr>
          <w:rFonts w:ascii="Verdana" w:eastAsia="Aptos" w:hAnsi="Verdana" w:cs="Arial"/>
          <w:kern w:val="2"/>
          <w:shd w:val="clear" w:color="auto" w:fill="FFFFFF"/>
          <w:lang w:val="es-ES"/>
          <w14:ligatures w14:val="standardContextual"/>
        </w:rPr>
        <w:t>subsanabilidad</w:t>
      </w:r>
      <w:proofErr w:type="spellEnd"/>
      <w:r w:rsidRPr="00C30B31">
        <w:rPr>
          <w:rFonts w:ascii="Verdana" w:eastAsia="Aptos" w:hAnsi="Verdana" w:cs="Arial"/>
          <w:kern w:val="2"/>
          <w:shd w:val="clear" w:color="auto" w:fill="FFFFFF"/>
          <w:lang w:val="es-ES"/>
          <w14:ligatures w14:val="standardContextual"/>
        </w:rPr>
        <w:t xml:space="preserve"> en los Conceptos C-218 del 2 de abril de 2020, C-229 del 16 de abril de 2020, C-307 del 21 de mayo de 2020, C-396 del 16 de julio de 2020, C-410 del 26 de junio de 2020, C-429 del 24 de julio de 2020, C-481 del 27 de julio de 2020, C-548 del 21 de agosto de 2020, C-633 del 2 de octubre de 2020, C-634 del 21 de octubre de 2020, C-675 del 25 de noviembre de 2020, C-802 del 1° de febrero de 2021, C-010 del 16 de febrero de 2021, C-083 del 18 de marzo de 2021, C-090 del 23 de marzo de 2021, C-152 del 12 de abril de 2021, C-207 del 10 de mayo de 2021, C-217 del 14 de mayo de 2021, C-250 del 2 de junio de 2021, C-311 del 10 de junio de 2021, C-409 del 13 de agosto de 2021, C-424 del 27 de septiembre de 2021, C-477 del 6 de septiembre de 2021, C-485 del 13 de octubre de 2021, C-498 del 14 de septiembre de 2021, C-501 del 16 de agosto de 2021, C-521 del 24 de septiembre de 2021, C-565 del 11 de octubre de 2021, C-691 del 28 de diciembre de 2021, C-716 del 23 de enero de 2022, C-728 del 26 de enero de 2022, C-753 del 6 de febrero de 2022, C-114 del 22 de marzo de 2022, C-140 del 28 de marzo de 2022, C-162 del 5 de abril de 2022, C-285 del 20 de mayo de 2022, C-343 del 31 de mayo de 2022, C-381 del 15 de julio de 2022, C-416 del 30 de junio de 2022, C-431 del 7 de julio de 2022, C-434 del 8 de julio de 2022, C-542 del 23 de agosto de 2022, C-595 del 9 de septiembre de 2022, C-772 del 28 de noviembre de 2022, C-793 del 21 de noviembre de 2022, C-923 del 27 de diciembre de 2022, C-965 del 27 de enero de 2023, C-058 del 10 de mayo de 2023, C-082 del 19 de abril de 2023, C-216 del 6 de junio de 2023, C-304 del 4 de julio de 2023 y C-051 del 21 de marzo de 2025.</w:t>
      </w:r>
    </w:p>
    <w:p w14:paraId="1CF5B9E0" w14:textId="77777777" w:rsidR="00C30B31" w:rsidRPr="00C30B31" w:rsidRDefault="00C30B31" w:rsidP="00C30B31">
      <w:pPr>
        <w:spacing w:after="0" w:line="240" w:lineRule="auto"/>
        <w:jc w:val="both"/>
        <w:rPr>
          <w:rFonts w:ascii="Verdana" w:eastAsia="Aptos" w:hAnsi="Verdana" w:cs="Arial"/>
          <w:kern w:val="2"/>
          <w:sz w:val="24"/>
          <w:szCs w:val="24"/>
          <w:shd w:val="clear" w:color="auto" w:fill="FFFFFF"/>
          <w:lang w:val="es-ES"/>
          <w14:ligatures w14:val="standardContextual"/>
        </w:rPr>
      </w:pPr>
    </w:p>
    <w:p w14:paraId="19E88CF6" w14:textId="77777777" w:rsidR="00C30B31" w:rsidRPr="00C30B31" w:rsidRDefault="00C30B31" w:rsidP="00C30B31">
      <w:pPr>
        <w:spacing w:after="0" w:line="240" w:lineRule="auto"/>
        <w:jc w:val="both"/>
        <w:rPr>
          <w:rFonts w:ascii="Verdana" w:eastAsia="Calibri" w:hAnsi="Verdana" w:cs="Arial"/>
          <w:kern w:val="2"/>
          <w:shd w:val="clear" w:color="auto" w:fill="FFFFFF"/>
          <w:lang w:val="es-ES_tradnl"/>
          <w14:ligatures w14:val="standardContextual"/>
        </w:rPr>
      </w:pPr>
      <w:r w:rsidRPr="00C30B31">
        <w:rPr>
          <w:rFonts w:ascii="Verdana" w:eastAsia="Calibri" w:hAnsi="Verdana" w:cs="Arial"/>
          <w:kern w:val="2"/>
          <w:shd w:val="clear" w:color="auto" w:fill="FFFFFF"/>
          <w:lang w:val="es-ES_tradnl"/>
          <w14:ligatures w14:val="standardContextual"/>
        </w:rPr>
        <w:t>Por otra parte, esta Agencia se pronunció en relación con los métodos de ponderación en particular, en los conceptos C-042 del 3 de marzo de 2021, C-174 del 26 de abril de 2021, C-402 y C-425 de 19 de agosto de 2021, C-209 del 02 de marzo de 2022, 20240322004912 del 22 de marzo de 2024, C-546 del 11 de octubre de 2024, C-555 del 25 de octubre de 2024, C-843 del 26 de diciembre de 2024 y C-164 del 20 de marzo de 2025</w:t>
      </w:r>
    </w:p>
    <w:p w14:paraId="097470E5" w14:textId="77777777" w:rsidR="00C30B31" w:rsidRPr="00C30B31" w:rsidRDefault="00C30B31" w:rsidP="00C30B31">
      <w:pPr>
        <w:spacing w:after="0" w:line="240" w:lineRule="auto"/>
        <w:jc w:val="both"/>
        <w:rPr>
          <w:rFonts w:ascii="Verdana" w:eastAsia="Aptos" w:hAnsi="Verdana" w:cs="Arial"/>
          <w:kern w:val="2"/>
          <w:sz w:val="24"/>
          <w:szCs w:val="24"/>
          <w:shd w:val="clear" w:color="auto" w:fill="FFFFFF"/>
          <w:lang w:val="es-ES"/>
          <w14:ligatures w14:val="standardContextual"/>
        </w:rPr>
      </w:pPr>
    </w:p>
    <w:p w14:paraId="531BA528" w14:textId="77777777" w:rsidR="00C30B31" w:rsidRPr="00C30B31" w:rsidRDefault="00C30B31" w:rsidP="0041536B">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C30B31">
        <w:rPr>
          <w:rFonts w:ascii="Verdana" w:eastAsia="Calibri" w:hAnsi="Verdana" w:cs="Arial"/>
          <w:color w:val="000000"/>
          <w:kern w:val="2"/>
          <w:shd w:val="clear" w:color="auto" w:fill="FFFFFF"/>
          <w14:ligatures w14:val="standardContextual"/>
        </w:rPr>
        <w:t>Este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C30B31">
          <w:rPr>
            <w:rFonts w:ascii="Verdana" w:eastAsia="Aptos" w:hAnsi="Verdana" w:cs="Times New Roman"/>
            <w:color w:val="0000FF"/>
            <w:kern w:val="2"/>
            <w:u w:val="single"/>
            <w:lang w:val="es-ES" w:eastAsia="es-ES"/>
            <w14:ligatures w14:val="standardContextual"/>
          </w:rPr>
          <w:t>https://relatoria.colombiacompra.gov.co/</w:t>
        </w:r>
      </w:hyperlink>
      <w:r w:rsidRPr="00C30B31">
        <w:rPr>
          <w:rFonts w:ascii="Verdana" w:eastAsia="Aptos" w:hAnsi="Verdana" w:cs="Times New Roman"/>
          <w:color w:val="0000FF"/>
          <w:kern w:val="2"/>
          <w:u w:val="single"/>
          <w:lang w:val="es-ES" w:eastAsia="es-ES"/>
          <w14:ligatures w14:val="standardContextual"/>
        </w:rPr>
        <w:t> .</w:t>
      </w:r>
    </w:p>
    <w:p w14:paraId="669BD090" w14:textId="77777777" w:rsidR="00C30B31" w:rsidRPr="00C30B31" w:rsidRDefault="00C30B31" w:rsidP="0041536B">
      <w:pPr>
        <w:spacing w:after="0" w:line="240" w:lineRule="auto"/>
        <w:jc w:val="both"/>
        <w:rPr>
          <w:rFonts w:ascii="Verdana" w:eastAsia="Calibri" w:hAnsi="Verdana" w:cs="Arial"/>
          <w:shd w:val="clear" w:color="auto" w:fill="FFFFFF"/>
        </w:rPr>
      </w:pPr>
    </w:p>
    <w:p w14:paraId="7BFBEA25" w14:textId="14C67A3D" w:rsidR="0041536B" w:rsidRPr="000B3BAE" w:rsidRDefault="000B3BAE" w:rsidP="0041536B">
      <w:pPr>
        <w:spacing w:after="0" w:line="240" w:lineRule="auto"/>
        <w:jc w:val="both"/>
        <w:rPr>
          <w:rFonts w:ascii="Verdana" w:eastAsia="Calibri" w:hAnsi="Verdana" w:cs="Arial"/>
          <w:kern w:val="2"/>
          <w:shd w:val="clear" w:color="auto" w:fill="FFFFFF"/>
          <w:lang w:val="es-ES_tradnl"/>
          <w14:ligatures w14:val="standardContextual"/>
        </w:rPr>
      </w:pPr>
      <w:r>
        <w:rPr>
          <w:rFonts w:ascii="Verdana" w:hAnsi="Verdana"/>
          <w:color w:val="000000"/>
        </w:rPr>
        <w:lastRenderedPageBreak/>
        <w:t>L</w:t>
      </w:r>
      <w:r w:rsidR="0041536B" w:rsidRPr="000B3BAE">
        <w:rPr>
          <w:rFonts w:ascii="Verdana" w:hAnsi="Verdana"/>
          <w:color w:val="000000"/>
        </w:rPr>
        <w:t>a Agencia Nacional de Contratación Pública – Colombia Compra Eficiente invita a las Entidades Estatales, a los actores del Sistema de Compra Pública y a la ciudadanía en general a conocer y participar en la actualización de la</w:t>
      </w:r>
      <w:r w:rsidR="0041536B" w:rsidRPr="000B3BAE">
        <w:rPr>
          <w:rStyle w:val="apple-converted-space"/>
          <w:rFonts w:ascii="Verdana" w:hAnsi="Verdana"/>
          <w:color w:val="000000"/>
        </w:rPr>
        <w:t> </w:t>
      </w:r>
      <w:r w:rsidR="0041536B" w:rsidRPr="000B3BAE">
        <w:rPr>
          <w:rFonts w:ascii="Verdana" w:hAnsi="Verdana"/>
          <w:b/>
          <w:bCs/>
          <w:i/>
          <w:iCs/>
          <w:color w:val="000000"/>
        </w:rPr>
        <w:t>Guía para la Elaboración de Estudios del Sector</w:t>
      </w:r>
      <w:r w:rsidR="0041536B" w:rsidRPr="000B3BAE">
        <w:rPr>
          <w:rFonts w:ascii="Verdana" w:hAnsi="Verdana"/>
          <w:color w:val="000000"/>
        </w:rPr>
        <w:t xml:space="preserve">. Esta herramienta orientadora facilita el análisis del mercado del bien, obra o servicio a contratar, y tiene como propósito promover procesos de contratación más eficientes, competitivos, sostenibles e inclusivos. La guía se encuentra disponible para consulta y comentarios hasta el 22 de mayo de 2025, a través del siguiente </w:t>
      </w:r>
      <w:r w:rsidR="0041536B" w:rsidRPr="000B3BAE">
        <w:rPr>
          <w:rFonts w:ascii="Verdana" w:eastAsia="Calibri" w:hAnsi="Verdana" w:cs="Arial"/>
          <w:kern w:val="2"/>
          <w:shd w:val="clear" w:color="auto" w:fill="FFFFFF"/>
          <w:lang w:val="es-ES_tradnl"/>
          <w14:ligatures w14:val="standardContextual"/>
        </w:rPr>
        <w:t>enlace: </w:t>
      </w:r>
      <w:hyperlink r:id="rId15" w:tgtFrame="_blank" w:tooltip="https://nam02.safelinks.protection.outlook.com/?url=https%3A%2F%2Fwww.colombiacompra.gov.co%2Farchivos%2Fconvocatoria%2Fparticipacion-ciudadana-proyecto-de-la-guia-para-la-elaboracion-de-estudios-del-sector&amp;data=05%7C02%7Ccarlos.castrillon%40colombiacompra.gov" w:history="1">
        <w:r w:rsidR="0041536B" w:rsidRPr="000B3BAE">
          <w:rPr>
            <w:rFonts w:ascii="Verdana" w:eastAsia="Calibri" w:hAnsi="Verdana" w:cs="Arial"/>
            <w:kern w:val="2"/>
            <w:shd w:val="clear" w:color="auto" w:fill="FFFFFF"/>
            <w:lang w:val="es-ES_tradnl"/>
            <w14:ligatures w14:val="standardContextual"/>
          </w:rPr>
          <w:t>https://www.colombiacompra.gov.co/archivos/convocatoria/participacion-ciudadana-proyecto-de-la-guia-para-la-</w:t>
        </w:r>
      </w:hyperlink>
    </w:p>
    <w:p w14:paraId="0A528255" w14:textId="77777777" w:rsidR="0041536B" w:rsidRPr="000B3BAE" w:rsidRDefault="0041536B" w:rsidP="0041536B">
      <w:pPr>
        <w:spacing w:after="0" w:line="240" w:lineRule="auto"/>
        <w:jc w:val="both"/>
        <w:rPr>
          <w:rFonts w:ascii="Verdana" w:eastAsia="Calibri" w:hAnsi="Verdana" w:cs="Arial"/>
          <w:kern w:val="2"/>
          <w:shd w:val="clear" w:color="auto" w:fill="FFFFFF"/>
          <w:lang w:val="es-ES_tradnl"/>
          <w14:ligatures w14:val="standardContextual"/>
        </w:rPr>
      </w:pPr>
    </w:p>
    <w:p w14:paraId="1A5EB825" w14:textId="77777777" w:rsidR="0041536B" w:rsidRPr="000B3BAE" w:rsidRDefault="0041536B" w:rsidP="0041536B">
      <w:pPr>
        <w:spacing w:after="0" w:line="240" w:lineRule="auto"/>
        <w:jc w:val="both"/>
        <w:rPr>
          <w:rFonts w:ascii="Verdana" w:hAnsi="Verdana"/>
          <w:color w:val="000000"/>
          <w:u w:val="single"/>
        </w:rPr>
      </w:pPr>
      <w:r w:rsidRPr="000B3BAE">
        <w:rPr>
          <w:rFonts w:ascii="Verdana" w:eastAsia="Calibri" w:hAnsi="Verdana" w:cs="Arial"/>
          <w:kern w:val="2"/>
          <w:shd w:val="clear" w:color="auto" w:fill="FFFFFF"/>
          <w:lang w:val="es-ES_tradnl"/>
          <w14:ligatures w14:val="standardContextual"/>
        </w:rPr>
        <w:t>De otra parte, te informamos que ya se encuentran disponibles los borradores de las nuevas versiones</w:t>
      </w:r>
      <w:r w:rsidRPr="000B3BAE">
        <w:rPr>
          <w:rFonts w:ascii="Verdana" w:hAnsi="Verdana"/>
          <w:color w:val="000000"/>
        </w:rPr>
        <w:t xml:space="preserve">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23 de mayo de 2025.  Puede consultar la información en el siguiente enlace:</w:t>
      </w:r>
      <w:r w:rsidRPr="000B3BAE">
        <w:rPr>
          <w:rStyle w:val="apple-converted-space"/>
          <w:rFonts w:ascii="Verdana" w:hAnsi="Verdana"/>
          <w:color w:val="000000"/>
        </w:rPr>
        <w:t> </w:t>
      </w:r>
      <w:hyperlink r:id="rId16" w:tgtFrame="_blank" w:tooltip="https://nam02.safelinks.protection.outlook.com/?url=https%3A%2F%2Fwww.colombiacompra.gov.co%2Fnormativa-y-relatoria%2Fdocumentos-tipo&amp;data=05%7C02%7Ccarlos.castrillon%40colombiacompra.gov.co%7C7cfff6dece924643582c08dd97bfed90%7C7b09041e245149d08cb179d5e3d8c1be" w:history="1">
        <w:r w:rsidRPr="000B3BAE">
          <w:rPr>
            <w:rStyle w:val="Hipervnculo"/>
            <w:rFonts w:ascii="Verdana" w:hAnsi="Verdana"/>
            <w:color w:val="0078D7"/>
          </w:rPr>
          <w:t>Documentos Tipo – ANCP Colombia Compra Eficiente</w:t>
        </w:r>
      </w:hyperlink>
      <w:r w:rsidRPr="000B3BAE">
        <w:rPr>
          <w:rFonts w:ascii="Verdana" w:hAnsi="Verdana"/>
          <w:color w:val="000000"/>
          <w:u w:val="single"/>
        </w:rPr>
        <w:t> </w:t>
      </w:r>
    </w:p>
    <w:p w14:paraId="653B3A72" w14:textId="77777777" w:rsidR="0041536B" w:rsidRPr="000B3BAE" w:rsidRDefault="0041536B" w:rsidP="0041536B">
      <w:pPr>
        <w:spacing w:after="0" w:line="240" w:lineRule="auto"/>
        <w:jc w:val="both"/>
        <w:rPr>
          <w:rFonts w:ascii="Verdana" w:hAnsi="Verdana"/>
          <w:color w:val="000000"/>
        </w:rPr>
      </w:pPr>
    </w:p>
    <w:p w14:paraId="116E9935" w14:textId="0F82BA5B" w:rsidR="0041536B" w:rsidRPr="000B3BAE" w:rsidRDefault="0041536B" w:rsidP="0041536B">
      <w:pPr>
        <w:spacing w:after="0" w:line="240" w:lineRule="auto"/>
        <w:jc w:val="both"/>
        <w:rPr>
          <w:rFonts w:ascii="Verdana" w:eastAsia="Calibri" w:hAnsi="Verdana" w:cs="Arial"/>
          <w:kern w:val="2"/>
          <w:shd w:val="clear" w:color="auto" w:fill="FFFFFF"/>
          <w:lang w:val="es-ES_tradnl"/>
          <w14:ligatures w14:val="standardContextual"/>
        </w:rPr>
      </w:pPr>
      <w:r w:rsidRPr="000B3BAE">
        <w:rPr>
          <w:rFonts w:ascii="Verdana" w:hAnsi="Verdana"/>
          <w:color w:val="000000"/>
        </w:rPr>
        <w:t>También le contamos que ya se encuentra disponible la</w:t>
      </w:r>
      <w:r w:rsidRPr="000B3BAE">
        <w:rPr>
          <w:rStyle w:val="apple-converted-space"/>
          <w:rFonts w:ascii="Verdana" w:hAnsi="Verdana"/>
          <w:color w:val="000000"/>
        </w:rPr>
        <w:t> </w:t>
      </w:r>
      <w:r w:rsidRPr="000B3BAE">
        <w:rPr>
          <w:rFonts w:ascii="Verdana" w:hAnsi="Verdana"/>
          <w:b/>
          <w:bCs/>
          <w:color w:val="000000"/>
        </w:rPr>
        <w:t>Guía de lineamientos de transparencia y selección objetiva para el departamento de La Guajira – Objetivo sexto constitucional de la Sentencia T-302 del 2017.</w:t>
      </w:r>
      <w:r w:rsidRPr="000B3BAE">
        <w:rPr>
          <w:rStyle w:val="apple-converted-space"/>
          <w:rFonts w:ascii="Verdana" w:hAnsi="Verdana"/>
          <w:b/>
          <w:bCs/>
          <w:color w:val="000000"/>
        </w:rPr>
        <w:t> </w:t>
      </w:r>
      <w:r w:rsidRPr="000B3BAE">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B3BAE">
        <w:rPr>
          <w:rFonts w:ascii="Verdana" w:hAnsi="Verdana"/>
          <w:color w:val="000000"/>
        </w:rPr>
        <w:t>Wayúu</w:t>
      </w:r>
      <w:proofErr w:type="spellEnd"/>
      <w:r w:rsidRPr="000B3BAE">
        <w:rPr>
          <w:rFonts w:ascii="Verdana" w:hAnsi="Verdana"/>
          <w:color w:val="000000"/>
        </w:rPr>
        <w:t xml:space="preserve">. Puede consultar la guía en el </w:t>
      </w:r>
      <w:r w:rsidRPr="000B3BAE">
        <w:rPr>
          <w:rFonts w:ascii="Verdana" w:eastAsia="Calibri" w:hAnsi="Verdana" w:cs="Arial"/>
          <w:kern w:val="2"/>
          <w:shd w:val="clear" w:color="auto" w:fill="FFFFFF"/>
          <w:lang w:val="es-ES_tradnl"/>
          <w14:ligatures w14:val="standardContextual"/>
        </w:rPr>
        <w:t>siguiente enlace: </w:t>
      </w:r>
      <w:hyperlink r:id="rId17" w:tgtFrame="_blank" w:tooltip="https://nam02.safelinks.protection.outlook.com/?url=https%3A%2F%2Fwww.colombiacompra.gov.co%2Fwp-content%2Fuploads%2F2025%2F05%2FGUIA-DE-LINEAMIENTOS-DE-TRANSPARENCIA-Y-SELECCION-OBJETIVA-1.0.pdf&amp;data=05%7C02%7Ccarlos.castrillon%40colombiacompra.gov.co%7C7cfff" w:history="1">
        <w:r w:rsidRPr="000B3BAE">
          <w:rPr>
            <w:rStyle w:val="Hipervnculo"/>
            <w:rFonts w:ascii="Verdana" w:hAnsi="Verdana"/>
            <w:color w:val="0078D7"/>
          </w:rPr>
          <w:t>Guía de lineamientos de transparencia y selección objetiva para el departamento de La Guajira – Objetivo sexto constitucional de la Sentencia T-302 del 2017</w:t>
        </w:r>
      </w:hyperlink>
      <w:r w:rsidRPr="000B3BAE">
        <w:rPr>
          <w:rStyle w:val="Hipervnculo"/>
          <w:rFonts w:ascii="Verdana" w:hAnsi="Verdana"/>
          <w:color w:val="0078D7"/>
        </w:rPr>
        <w:t>"</w:t>
      </w:r>
    </w:p>
    <w:p w14:paraId="00AC041F" w14:textId="77777777" w:rsidR="00C30B31" w:rsidRPr="0041536B" w:rsidRDefault="00C30B31" w:rsidP="00C30B31">
      <w:pPr>
        <w:spacing w:after="0" w:line="240" w:lineRule="auto"/>
        <w:jc w:val="both"/>
        <w:rPr>
          <w:rFonts w:ascii="Verdana" w:eastAsia="Calibri" w:hAnsi="Verdana" w:cs="Arial"/>
          <w:kern w:val="2"/>
          <w:shd w:val="clear" w:color="auto" w:fill="FFFFFF"/>
          <w:lang w:val="es-ES_tradnl"/>
          <w14:ligatures w14:val="standardContextual"/>
        </w:rPr>
      </w:pPr>
    </w:p>
    <w:p w14:paraId="6226D9D9" w14:textId="77777777" w:rsidR="00C30B31" w:rsidRPr="00C30B31" w:rsidRDefault="00C30B31" w:rsidP="0041536B">
      <w:pPr>
        <w:spacing w:after="0" w:line="240" w:lineRule="auto"/>
        <w:jc w:val="both"/>
        <w:rPr>
          <w:rFonts w:ascii="Verdana" w:eastAsia="Calibri" w:hAnsi="Verdana" w:cs="Times New Roman"/>
        </w:rPr>
      </w:pPr>
      <w:r w:rsidRPr="0041536B">
        <w:rPr>
          <w:rFonts w:ascii="Verdana" w:eastAsia="Calibri" w:hAnsi="Verdana" w:cs="Arial"/>
          <w:kern w:val="2"/>
          <w:shd w:val="clear" w:color="auto" w:fill="FFFFFF"/>
          <w:lang w:val="es-ES_tradnl"/>
          <w14:ligatures w14:val="standardContextual"/>
        </w:rPr>
        <w:t>Por último, aprovechamos la oportunidad de manifestar la entera disposición de la Agencia Nacional</w:t>
      </w:r>
      <w:r w:rsidRPr="00C30B31">
        <w:rPr>
          <w:rFonts w:ascii="Verdana" w:eastAsia="Calibri" w:hAnsi="Verdana" w:cs="Times New Roman"/>
        </w:rPr>
        <w:t xml:space="preserve"> de Contratación Pública –Colombia Compra Eficiente– para atender las peticiones o solicitudes, así como para brindar el apoyo que se requiera en el marco de nuestras funciones a través de nuestros diferentes canales de atención: </w:t>
      </w:r>
    </w:p>
    <w:p w14:paraId="078049B4" w14:textId="77777777" w:rsidR="00C30B31" w:rsidRPr="00C30B31" w:rsidRDefault="00C30B31" w:rsidP="00C30B31">
      <w:pPr>
        <w:spacing w:after="0" w:line="240" w:lineRule="auto"/>
        <w:jc w:val="both"/>
        <w:rPr>
          <w:rFonts w:ascii="Verdana" w:eastAsia="Calibri" w:hAnsi="Verdana" w:cs="Times New Roman"/>
        </w:rPr>
      </w:pPr>
    </w:p>
    <w:p w14:paraId="5F984499" w14:textId="77777777" w:rsidR="00C30B31" w:rsidRPr="00C30B31" w:rsidRDefault="00C30B31" w:rsidP="00C30B31">
      <w:pPr>
        <w:numPr>
          <w:ilvl w:val="0"/>
          <w:numId w:val="15"/>
        </w:numPr>
        <w:spacing w:after="0" w:line="240" w:lineRule="auto"/>
        <w:contextualSpacing/>
        <w:jc w:val="both"/>
        <w:rPr>
          <w:rFonts w:ascii="Verdana" w:eastAsia="Calibri" w:hAnsi="Verdana" w:cs="Times New Roman"/>
        </w:rPr>
      </w:pPr>
      <w:r w:rsidRPr="00C30B31">
        <w:rPr>
          <w:rFonts w:ascii="Verdana" w:eastAsia="Calibri" w:hAnsi="Verdana" w:cs="Times New Roman"/>
        </w:rPr>
        <w:t>Línea nacional gratuita o servicio a la ciudadanía: 01800 0520808</w:t>
      </w:r>
    </w:p>
    <w:p w14:paraId="6F8C82FC" w14:textId="77777777" w:rsidR="00C30B31" w:rsidRPr="00C30B31" w:rsidRDefault="00C30B31" w:rsidP="00C30B31">
      <w:pPr>
        <w:numPr>
          <w:ilvl w:val="0"/>
          <w:numId w:val="15"/>
        </w:numPr>
        <w:spacing w:after="0" w:line="240" w:lineRule="auto"/>
        <w:contextualSpacing/>
        <w:jc w:val="both"/>
        <w:rPr>
          <w:rFonts w:ascii="Verdana" w:eastAsia="Calibri" w:hAnsi="Verdana" w:cs="Times New Roman"/>
        </w:rPr>
      </w:pPr>
      <w:r w:rsidRPr="00C30B31">
        <w:rPr>
          <w:rFonts w:ascii="Verdana" w:eastAsia="Calibri" w:hAnsi="Verdana" w:cs="Times New Roman"/>
        </w:rPr>
        <w:t>Línea en Bogotá (Mesa de servicio): +57 601 7456788</w:t>
      </w:r>
    </w:p>
    <w:p w14:paraId="7C8A02D7" w14:textId="77777777" w:rsidR="00C30B31" w:rsidRPr="00C30B31" w:rsidRDefault="00C30B31" w:rsidP="00C30B31">
      <w:pPr>
        <w:numPr>
          <w:ilvl w:val="0"/>
          <w:numId w:val="15"/>
        </w:numPr>
        <w:spacing w:after="0" w:line="240" w:lineRule="auto"/>
        <w:contextualSpacing/>
        <w:jc w:val="both"/>
        <w:rPr>
          <w:rFonts w:ascii="Verdana" w:eastAsia="Calibri" w:hAnsi="Verdana" w:cs="Times New Roman"/>
        </w:rPr>
      </w:pPr>
      <w:r w:rsidRPr="00C30B31">
        <w:rPr>
          <w:rFonts w:ascii="Verdana" w:eastAsia="Calibri" w:hAnsi="Verdana" w:cs="Times New Roman"/>
        </w:rPr>
        <w:t>Línea de servicio y atención al ciudadano: +57 601 7956600</w:t>
      </w:r>
    </w:p>
    <w:p w14:paraId="559BF7B4" w14:textId="77777777" w:rsidR="00C30B31" w:rsidRPr="00C30B31" w:rsidRDefault="00C30B31" w:rsidP="00C30B31">
      <w:pPr>
        <w:numPr>
          <w:ilvl w:val="0"/>
          <w:numId w:val="15"/>
        </w:numPr>
        <w:spacing w:after="0" w:line="240" w:lineRule="auto"/>
        <w:contextualSpacing/>
        <w:jc w:val="both"/>
        <w:rPr>
          <w:rFonts w:ascii="Verdana" w:eastAsia="Calibri" w:hAnsi="Verdana" w:cs="Times New Roman"/>
        </w:rPr>
      </w:pPr>
      <w:r w:rsidRPr="00C30B31">
        <w:rPr>
          <w:rFonts w:ascii="Verdana" w:eastAsia="Calibri" w:hAnsi="Verdana" w:cs="Times New Roman"/>
        </w:rPr>
        <w:t xml:space="preserve">Página web: </w:t>
      </w:r>
      <w:hyperlink r:id="rId18" w:history="1">
        <w:r w:rsidRPr="00C30B31">
          <w:rPr>
            <w:rFonts w:ascii="Verdana" w:eastAsia="Calibri" w:hAnsi="Verdana" w:cs="Times New Roman"/>
            <w:color w:val="0000FF"/>
            <w:u w:val="single"/>
          </w:rPr>
          <w:t>www.colombiacompra.gov.co</w:t>
        </w:r>
      </w:hyperlink>
    </w:p>
    <w:p w14:paraId="5B7A8922" w14:textId="77777777" w:rsidR="00C30B31" w:rsidRPr="00C30B31" w:rsidRDefault="00C30B31" w:rsidP="00C30B31">
      <w:pPr>
        <w:spacing w:after="0" w:line="240" w:lineRule="auto"/>
        <w:ind w:left="785"/>
        <w:contextualSpacing/>
        <w:jc w:val="both"/>
        <w:rPr>
          <w:rFonts w:ascii="Verdana" w:eastAsia="Calibri" w:hAnsi="Verdana" w:cs="Times New Roman"/>
        </w:rPr>
      </w:pPr>
    </w:p>
    <w:p w14:paraId="06EBC7E7" w14:textId="77777777" w:rsidR="00C30B31" w:rsidRPr="00C30B31" w:rsidRDefault="00C30B31" w:rsidP="00C30B31">
      <w:pPr>
        <w:spacing w:after="0" w:line="240" w:lineRule="auto"/>
        <w:jc w:val="both"/>
        <w:rPr>
          <w:rFonts w:ascii="Verdana" w:eastAsia="Calibri" w:hAnsi="Verdana" w:cs="Times New Roman"/>
        </w:rPr>
      </w:pPr>
      <w:r w:rsidRPr="00C30B31">
        <w:rPr>
          <w:rFonts w:ascii="Verdana" w:eastAsia="Calibri" w:hAnsi="Verdana" w:cs="Times New Roman"/>
        </w:rPr>
        <w:lastRenderedPageBreak/>
        <w:t xml:space="preserve">Por último, lo invitamos a seguirnos en las redes sociales en las cuales se difunde información institucional: </w:t>
      </w:r>
    </w:p>
    <w:p w14:paraId="1E60A7A3" w14:textId="77777777" w:rsidR="00C30B31" w:rsidRPr="00C30B31" w:rsidRDefault="00C30B31" w:rsidP="00C30B31">
      <w:pPr>
        <w:spacing w:after="0" w:line="240" w:lineRule="auto"/>
        <w:jc w:val="both"/>
        <w:rPr>
          <w:rFonts w:ascii="Verdana" w:eastAsia="Calibri" w:hAnsi="Verdana" w:cs="Arial"/>
          <w:color w:val="000000"/>
          <w:shd w:val="clear" w:color="auto" w:fill="FFFFFF"/>
        </w:rPr>
      </w:pPr>
      <w:r w:rsidRPr="00C30B31">
        <w:rPr>
          <w:rFonts w:ascii="Verdana" w:eastAsia="Calibri" w:hAnsi="Verdana" w:cs="Arial"/>
          <w:color w:val="000000"/>
          <w:shd w:val="clear" w:color="auto" w:fill="FFFFFF"/>
        </w:rPr>
        <w:t>  </w:t>
      </w:r>
    </w:p>
    <w:p w14:paraId="7D0BCCF6" w14:textId="77777777" w:rsidR="00C30B31" w:rsidRPr="00C30B31" w:rsidRDefault="00C30B31" w:rsidP="00C30B31">
      <w:pPr>
        <w:spacing w:after="0" w:line="240" w:lineRule="auto"/>
        <w:jc w:val="both"/>
        <w:rPr>
          <w:rFonts w:ascii="Verdana" w:eastAsia="Calibri" w:hAnsi="Verdana" w:cs="Times New Roman"/>
        </w:rPr>
      </w:pPr>
      <w:r w:rsidRPr="00C30B31">
        <w:rPr>
          <w:rFonts w:ascii="Verdana" w:eastAsia="Calibri" w:hAnsi="Verdana" w:cs="Times New Roman"/>
        </w:rPr>
        <w:t xml:space="preserve">Twitter: </w:t>
      </w:r>
      <w:r w:rsidRPr="00C30B31">
        <w:rPr>
          <w:rFonts w:ascii="Verdana" w:eastAsia="Calibri" w:hAnsi="Verdana" w:cs="Times New Roman"/>
          <w:color w:val="4472C4"/>
          <w:u w:val="single"/>
        </w:rPr>
        <w:t>@colombiacompra</w:t>
      </w:r>
      <w:r w:rsidRPr="00C30B31">
        <w:rPr>
          <w:rFonts w:ascii="Verdana" w:eastAsia="Calibri" w:hAnsi="Verdana" w:cs="Times New Roman"/>
          <w:color w:val="4472C4"/>
        </w:rPr>
        <w:t xml:space="preserve"> </w:t>
      </w:r>
    </w:p>
    <w:p w14:paraId="48C2F4C6" w14:textId="77777777" w:rsidR="00C30B31" w:rsidRPr="00C30B31" w:rsidRDefault="00C30B31" w:rsidP="00C30B31">
      <w:pPr>
        <w:spacing w:after="0" w:line="240" w:lineRule="auto"/>
        <w:jc w:val="both"/>
        <w:rPr>
          <w:rFonts w:ascii="Verdana" w:eastAsia="Calibri" w:hAnsi="Verdana" w:cs="Times New Roman"/>
        </w:rPr>
      </w:pPr>
      <w:r w:rsidRPr="00C30B31">
        <w:rPr>
          <w:rFonts w:ascii="Verdana" w:eastAsia="Calibri" w:hAnsi="Verdana" w:cs="Times New Roman"/>
        </w:rPr>
        <w:t xml:space="preserve">Facebook: </w:t>
      </w:r>
      <w:proofErr w:type="spellStart"/>
      <w:r w:rsidRPr="00C30B31">
        <w:rPr>
          <w:rFonts w:ascii="Verdana" w:eastAsia="Calibri" w:hAnsi="Verdana" w:cs="Times New Roman"/>
          <w:color w:val="4472C4"/>
          <w:u w:val="single"/>
        </w:rPr>
        <w:t>ColombiaCompraEficiente</w:t>
      </w:r>
      <w:proofErr w:type="spellEnd"/>
    </w:p>
    <w:p w14:paraId="7A35300F" w14:textId="77777777" w:rsidR="00C30B31" w:rsidRPr="00C30B31" w:rsidRDefault="00C30B31" w:rsidP="00C30B31">
      <w:pPr>
        <w:spacing w:after="0" w:line="240" w:lineRule="auto"/>
        <w:jc w:val="both"/>
        <w:rPr>
          <w:rFonts w:ascii="Verdana" w:eastAsia="Calibri" w:hAnsi="Verdana" w:cs="Times New Roman"/>
        </w:rPr>
      </w:pPr>
      <w:r w:rsidRPr="00C30B31">
        <w:rPr>
          <w:rFonts w:ascii="Verdana" w:eastAsia="Calibri" w:hAnsi="Verdana" w:cs="Times New Roman"/>
        </w:rPr>
        <w:t xml:space="preserve">LinkedIn: </w:t>
      </w:r>
      <w:r w:rsidRPr="00C30B31">
        <w:rPr>
          <w:rFonts w:ascii="Verdana" w:eastAsia="Calibri" w:hAnsi="Verdana" w:cs="Times New Roman"/>
          <w:color w:val="4472C4"/>
          <w:u w:val="single"/>
        </w:rPr>
        <w:t>Agencia Nacional de Contratación Pública - Colombia Compra Eficiente</w:t>
      </w:r>
      <w:r w:rsidRPr="00C30B31">
        <w:rPr>
          <w:rFonts w:ascii="Verdana" w:eastAsia="Calibri" w:hAnsi="Verdana" w:cs="Times New Roman"/>
          <w:color w:val="4472C4"/>
        </w:rPr>
        <w:t xml:space="preserve"> </w:t>
      </w:r>
      <w:r w:rsidRPr="00C30B31">
        <w:rPr>
          <w:rFonts w:ascii="Verdana" w:eastAsia="Calibri" w:hAnsi="Verdana" w:cs="Times New Roman"/>
        </w:rPr>
        <w:t xml:space="preserve">Instagram: </w:t>
      </w:r>
      <w:r w:rsidRPr="00C30B31">
        <w:rPr>
          <w:rFonts w:ascii="Verdana" w:eastAsia="Calibri" w:hAnsi="Verdana" w:cs="Times New Roman"/>
          <w:color w:val="4472C4"/>
          <w:u w:val="single"/>
        </w:rPr>
        <w:t>@colombiacompraeficiente_cce</w:t>
      </w:r>
    </w:p>
    <w:p w14:paraId="6581B15F" w14:textId="77777777" w:rsidR="00C30B31" w:rsidRPr="00C30B31" w:rsidRDefault="00C30B31" w:rsidP="00C30B31">
      <w:pPr>
        <w:widowControl w:val="0"/>
        <w:autoSpaceDE w:val="0"/>
        <w:autoSpaceDN w:val="0"/>
        <w:spacing w:after="0" w:line="276" w:lineRule="auto"/>
        <w:jc w:val="both"/>
        <w:rPr>
          <w:rFonts w:ascii="Verdana" w:eastAsia="Calibri" w:hAnsi="Verdana" w:cs="Arial"/>
        </w:rPr>
      </w:pPr>
    </w:p>
    <w:p w14:paraId="3B7E8884" w14:textId="77777777" w:rsidR="00C30B31" w:rsidRPr="00C30B31" w:rsidRDefault="00C30B31" w:rsidP="00C30B31">
      <w:pPr>
        <w:widowControl w:val="0"/>
        <w:autoSpaceDE w:val="0"/>
        <w:autoSpaceDN w:val="0"/>
        <w:spacing w:after="0" w:line="276" w:lineRule="auto"/>
        <w:jc w:val="both"/>
        <w:rPr>
          <w:rFonts w:ascii="Verdana" w:eastAsia="Calibri" w:hAnsi="Verdana" w:cs="Arial"/>
        </w:rPr>
      </w:pPr>
      <w:r w:rsidRPr="00C30B31">
        <w:rPr>
          <w:rFonts w:ascii="Verdana" w:eastAsia="Calibri"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048053A" w14:textId="77777777" w:rsidR="00C30B31" w:rsidRPr="00C30B31" w:rsidRDefault="00C30B31" w:rsidP="00C30B31">
      <w:pPr>
        <w:widowControl w:val="0"/>
        <w:autoSpaceDE w:val="0"/>
        <w:autoSpaceDN w:val="0"/>
        <w:spacing w:after="0" w:line="276" w:lineRule="auto"/>
        <w:jc w:val="both"/>
        <w:rPr>
          <w:rFonts w:ascii="Verdana" w:eastAsia="Calibri" w:hAnsi="Verdana" w:cs="Arial"/>
        </w:rPr>
      </w:pPr>
    </w:p>
    <w:p w14:paraId="65FD2A4E" w14:textId="77777777" w:rsidR="00C30B31" w:rsidRPr="00C30B31" w:rsidRDefault="00C30B31" w:rsidP="00C30B31">
      <w:pPr>
        <w:spacing w:after="0" w:line="240" w:lineRule="auto"/>
        <w:rPr>
          <w:rFonts w:ascii="Verdana" w:eastAsia="Calibri" w:hAnsi="Verdana" w:cs="Arial"/>
          <w:lang w:eastAsia="es-CO"/>
        </w:rPr>
      </w:pPr>
      <w:r w:rsidRPr="00C30B31">
        <w:rPr>
          <w:rFonts w:ascii="Verdana" w:eastAsia="Times New Roman" w:hAnsi="Verdana" w:cs="Arial"/>
          <w:lang w:eastAsia="es-CO"/>
        </w:rPr>
        <w:t>Atentamente,</w:t>
      </w:r>
      <w:r w:rsidRPr="00C30B31">
        <w:rPr>
          <w:rFonts w:ascii="Verdana" w:eastAsia="Calibri" w:hAnsi="Verdana" w:cs="Arial"/>
          <w:lang w:eastAsia="es-CO"/>
        </w:rPr>
        <w:t xml:space="preserve"> </w:t>
      </w:r>
    </w:p>
    <w:p w14:paraId="3C4CE0EF" w14:textId="26795709" w:rsidR="00C30B31" w:rsidRPr="00C30B31" w:rsidRDefault="00A47664" w:rsidP="00C30B31">
      <w:pPr>
        <w:spacing w:line="276" w:lineRule="auto"/>
        <w:jc w:val="center"/>
        <w:rPr>
          <w:rFonts w:ascii="Verdana" w:eastAsia="Calibri" w:hAnsi="Verdana" w:cs="Arial"/>
          <w:color w:val="000000"/>
          <w:lang w:eastAsia="es-CO"/>
        </w:rPr>
      </w:pPr>
      <w:r w:rsidRPr="004D5C25">
        <w:rPr>
          <w:rFonts w:ascii="Century Gothic" w:hAnsi="Century Gothic"/>
          <w:noProof/>
        </w:rPr>
        <w:drawing>
          <wp:inline distT="0" distB="0" distL="0" distR="0" wp14:anchorId="180CB7A2" wp14:editId="3AED80A4">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9"/>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30B31" w:rsidRPr="00C30B31" w14:paraId="3A980A65" w14:textId="77777777" w:rsidTr="00802A03">
        <w:trPr>
          <w:trHeight w:val="315"/>
        </w:trPr>
        <w:tc>
          <w:tcPr>
            <w:tcW w:w="893" w:type="dxa"/>
            <w:vAlign w:val="center"/>
            <w:hideMark/>
          </w:tcPr>
          <w:p w14:paraId="6C5DF695" w14:textId="77777777" w:rsidR="00C30B31" w:rsidRPr="00C30B31" w:rsidRDefault="00C30B31" w:rsidP="00C30B31">
            <w:pPr>
              <w:contextualSpacing/>
              <w:rPr>
                <w:rFonts w:ascii="Verdana" w:eastAsia="Calibri" w:hAnsi="Verdana" w:cs="Arial"/>
                <w:sz w:val="16"/>
                <w:szCs w:val="16"/>
                <w:lang w:eastAsia="es-ES"/>
              </w:rPr>
            </w:pPr>
            <w:r w:rsidRPr="00C30B31">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6BC99016" w14:textId="77777777" w:rsidR="00C30B31" w:rsidRPr="00C30B31" w:rsidRDefault="00C30B31" w:rsidP="00C30B31">
            <w:pPr>
              <w:contextualSpacing/>
              <w:rPr>
                <w:rFonts w:ascii="Verdana" w:eastAsia="Arial" w:hAnsi="Verdana" w:cs="Arial"/>
                <w:sz w:val="16"/>
                <w:szCs w:val="16"/>
              </w:rPr>
            </w:pPr>
            <w:r w:rsidRPr="00C30B31">
              <w:rPr>
                <w:rFonts w:ascii="Verdana" w:eastAsia="Arial" w:hAnsi="Verdana" w:cs="Arial"/>
                <w:sz w:val="16"/>
                <w:szCs w:val="16"/>
              </w:rPr>
              <w:t xml:space="preserve">Carlos Mario </w:t>
            </w:r>
            <w:proofErr w:type="spellStart"/>
            <w:r w:rsidRPr="00C30B31">
              <w:rPr>
                <w:rFonts w:ascii="Verdana" w:eastAsia="Arial" w:hAnsi="Verdana" w:cs="Arial"/>
                <w:sz w:val="16"/>
                <w:szCs w:val="16"/>
              </w:rPr>
              <w:t>Castrillon</w:t>
            </w:r>
            <w:proofErr w:type="spellEnd"/>
            <w:r w:rsidRPr="00C30B31">
              <w:rPr>
                <w:rFonts w:ascii="Verdana" w:eastAsia="Arial" w:hAnsi="Verdana" w:cs="Arial"/>
                <w:sz w:val="16"/>
                <w:szCs w:val="16"/>
              </w:rPr>
              <w:t xml:space="preserve"> Endo</w:t>
            </w:r>
          </w:p>
          <w:p w14:paraId="2EA993CE" w14:textId="77777777" w:rsidR="00C30B31" w:rsidRPr="00C30B31" w:rsidRDefault="00C30B31" w:rsidP="00C30B31">
            <w:pPr>
              <w:contextualSpacing/>
              <w:rPr>
                <w:rFonts w:ascii="Verdana" w:eastAsia="Arial" w:hAnsi="Verdana" w:cs="Arial"/>
                <w:sz w:val="16"/>
                <w:szCs w:val="16"/>
              </w:rPr>
            </w:pPr>
            <w:r w:rsidRPr="00C30B31">
              <w:rPr>
                <w:rFonts w:ascii="Verdana" w:eastAsia="Arial" w:hAnsi="Verdana" w:cs="Arial"/>
                <w:sz w:val="16"/>
                <w:szCs w:val="16"/>
              </w:rPr>
              <w:t xml:space="preserve">Contratista de la Subdirección de Gestión Contractual </w:t>
            </w:r>
          </w:p>
        </w:tc>
      </w:tr>
      <w:tr w:rsidR="00C30B31" w:rsidRPr="00C30B31" w14:paraId="66EE2ACE" w14:textId="77777777" w:rsidTr="00802A03">
        <w:trPr>
          <w:trHeight w:val="330"/>
        </w:trPr>
        <w:tc>
          <w:tcPr>
            <w:tcW w:w="893" w:type="dxa"/>
            <w:vAlign w:val="center"/>
            <w:hideMark/>
          </w:tcPr>
          <w:p w14:paraId="75D3A63F" w14:textId="77777777" w:rsidR="00C30B31" w:rsidRPr="00C30B31" w:rsidRDefault="00C30B31" w:rsidP="00C30B31">
            <w:pPr>
              <w:contextualSpacing/>
              <w:rPr>
                <w:rFonts w:ascii="Verdana" w:eastAsia="Calibri" w:hAnsi="Verdana" w:cs="Arial"/>
                <w:sz w:val="16"/>
                <w:szCs w:val="16"/>
                <w:lang w:eastAsia="es-ES"/>
              </w:rPr>
            </w:pPr>
            <w:r w:rsidRPr="00C30B31">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539DABC2" w14:textId="77777777" w:rsidR="00C30B31" w:rsidRPr="00C30B31" w:rsidRDefault="00C30B31" w:rsidP="00C30B31">
            <w:pPr>
              <w:contextualSpacing/>
              <w:rPr>
                <w:rFonts w:ascii="Verdana" w:eastAsia="Arial" w:hAnsi="Verdana" w:cs="Arial"/>
                <w:sz w:val="16"/>
                <w:szCs w:val="16"/>
              </w:rPr>
            </w:pPr>
            <w:r w:rsidRPr="00C30B31">
              <w:rPr>
                <w:rFonts w:ascii="Verdana" w:eastAsia="Arial" w:hAnsi="Verdana" w:cs="Arial"/>
                <w:sz w:val="16"/>
                <w:szCs w:val="16"/>
              </w:rPr>
              <w:t xml:space="preserve">Alejandro Gamboa Cárdenas </w:t>
            </w:r>
          </w:p>
          <w:p w14:paraId="62D30877" w14:textId="77777777" w:rsidR="00C30B31" w:rsidRPr="00C30B31" w:rsidRDefault="00C30B31" w:rsidP="00C30B31">
            <w:pPr>
              <w:contextualSpacing/>
              <w:textAlignment w:val="baseline"/>
              <w:rPr>
                <w:rFonts w:ascii="Verdana" w:eastAsia="Arial" w:hAnsi="Verdana" w:cs="Arial"/>
                <w:sz w:val="16"/>
                <w:szCs w:val="16"/>
              </w:rPr>
            </w:pPr>
            <w:r w:rsidRPr="00C30B31">
              <w:rPr>
                <w:rFonts w:ascii="Verdana" w:eastAsia="Arial" w:hAnsi="Verdana" w:cs="Arial"/>
                <w:sz w:val="16"/>
                <w:szCs w:val="16"/>
              </w:rPr>
              <w:t>Contratista de la Subdirección de Gestión Contractual</w:t>
            </w:r>
          </w:p>
          <w:p w14:paraId="54F8B903" w14:textId="77777777" w:rsidR="00C30B31" w:rsidRPr="00C30B31" w:rsidRDefault="00C30B31" w:rsidP="00C30B31">
            <w:pPr>
              <w:contextualSpacing/>
              <w:textAlignment w:val="baseline"/>
              <w:rPr>
                <w:rFonts w:ascii="Verdana" w:eastAsia="Times New Roman" w:hAnsi="Verdana" w:cs="Segoe UI"/>
                <w:sz w:val="16"/>
                <w:szCs w:val="16"/>
                <w:lang w:eastAsia="es-ES_tradnl"/>
              </w:rPr>
            </w:pPr>
            <w:r w:rsidRPr="00C30B31">
              <w:rPr>
                <w:rFonts w:ascii="Verdana" w:eastAsia="Times New Roman" w:hAnsi="Verdana" w:cs="Segoe UI"/>
                <w:sz w:val="16"/>
                <w:szCs w:val="16"/>
                <w:lang w:eastAsia="es-ES_tradnl"/>
              </w:rPr>
              <w:t>Juan David Cárdenas Cabeza</w:t>
            </w:r>
          </w:p>
          <w:p w14:paraId="64DE84A0" w14:textId="77777777" w:rsidR="00C30B31" w:rsidRPr="00C30B31" w:rsidRDefault="00C30B31" w:rsidP="00C30B31">
            <w:pPr>
              <w:contextualSpacing/>
              <w:textAlignment w:val="baseline"/>
              <w:rPr>
                <w:rFonts w:ascii="Verdana" w:eastAsia="Arial" w:hAnsi="Verdana" w:cs="Arial"/>
                <w:sz w:val="16"/>
                <w:szCs w:val="16"/>
              </w:rPr>
            </w:pPr>
            <w:r w:rsidRPr="00C30B31">
              <w:rPr>
                <w:rFonts w:ascii="Verdana" w:eastAsia="Arial" w:hAnsi="Verdana" w:cs="Arial"/>
                <w:sz w:val="16"/>
                <w:szCs w:val="16"/>
              </w:rPr>
              <w:t>Contratista de la Subdirección de Gestión Contractual</w:t>
            </w:r>
          </w:p>
          <w:p w14:paraId="4792D47A" w14:textId="77777777" w:rsidR="00C30B31" w:rsidRPr="00C30B31" w:rsidRDefault="00C30B31" w:rsidP="00C30B31">
            <w:pPr>
              <w:contextualSpacing/>
              <w:textAlignment w:val="baseline"/>
              <w:rPr>
                <w:rFonts w:ascii="Verdana" w:eastAsia="Times New Roman" w:hAnsi="Verdana" w:cs="Segoe UI"/>
                <w:sz w:val="16"/>
                <w:szCs w:val="16"/>
                <w:lang w:eastAsia="es-ES_tradnl"/>
              </w:rPr>
            </w:pPr>
          </w:p>
        </w:tc>
      </w:tr>
      <w:tr w:rsidR="00C30B31" w:rsidRPr="00C30B31" w14:paraId="46B01E33" w14:textId="77777777" w:rsidTr="00802A03">
        <w:trPr>
          <w:trHeight w:val="300"/>
        </w:trPr>
        <w:tc>
          <w:tcPr>
            <w:tcW w:w="893" w:type="dxa"/>
            <w:vAlign w:val="center"/>
          </w:tcPr>
          <w:p w14:paraId="59ECFC8C" w14:textId="77777777" w:rsidR="00C30B31" w:rsidRPr="00C30B31" w:rsidRDefault="00C30B31" w:rsidP="00C30B31">
            <w:pPr>
              <w:contextualSpacing/>
              <w:rPr>
                <w:rFonts w:ascii="Verdana" w:eastAsia="Calibri" w:hAnsi="Verdana" w:cs="Arial"/>
                <w:sz w:val="16"/>
                <w:szCs w:val="16"/>
                <w:lang w:eastAsia="es-ES"/>
              </w:rPr>
            </w:pPr>
            <w:r w:rsidRPr="00C30B31">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73A16D49" w14:textId="77777777" w:rsidR="00C30B31" w:rsidRPr="00C30B31" w:rsidRDefault="00C30B31" w:rsidP="00C30B31">
            <w:pPr>
              <w:contextualSpacing/>
              <w:rPr>
                <w:rFonts w:ascii="Verdana" w:eastAsia="Calibri" w:hAnsi="Verdana" w:cs="Arial"/>
                <w:sz w:val="16"/>
                <w:szCs w:val="16"/>
                <w:lang w:eastAsia="es-ES"/>
              </w:rPr>
            </w:pPr>
            <w:r w:rsidRPr="00C30B31">
              <w:rPr>
                <w:rFonts w:ascii="Verdana" w:eastAsia="Calibri" w:hAnsi="Verdana" w:cs="Arial"/>
                <w:sz w:val="16"/>
                <w:szCs w:val="16"/>
                <w:lang w:eastAsia="es-ES"/>
              </w:rPr>
              <w:t xml:space="preserve">Carolina Quintero </w:t>
            </w:r>
            <w:proofErr w:type="spellStart"/>
            <w:r w:rsidRPr="00C30B31">
              <w:rPr>
                <w:rFonts w:ascii="Verdana" w:eastAsia="Calibri" w:hAnsi="Verdana" w:cs="Arial"/>
                <w:sz w:val="16"/>
                <w:szCs w:val="16"/>
                <w:lang w:eastAsia="es-ES"/>
              </w:rPr>
              <w:t>Gacharná</w:t>
            </w:r>
            <w:proofErr w:type="spellEnd"/>
          </w:p>
          <w:p w14:paraId="12EA6EFA" w14:textId="77777777" w:rsidR="00C30B31" w:rsidRPr="00C30B31" w:rsidRDefault="00C30B31" w:rsidP="00C30B31">
            <w:pPr>
              <w:contextualSpacing/>
              <w:rPr>
                <w:rFonts w:ascii="Verdana" w:eastAsia="Calibri" w:hAnsi="Verdana" w:cs="Arial"/>
                <w:sz w:val="16"/>
                <w:szCs w:val="16"/>
                <w:lang w:eastAsia="es-ES"/>
              </w:rPr>
            </w:pPr>
            <w:r w:rsidRPr="00C30B31">
              <w:rPr>
                <w:rFonts w:ascii="Verdana" w:eastAsia="Calibri" w:hAnsi="Verdana" w:cs="Arial"/>
                <w:sz w:val="16"/>
                <w:szCs w:val="16"/>
                <w:lang w:eastAsia="es-ES"/>
              </w:rPr>
              <w:t>Subdirectora de Gestión Contractual ANCP – CCE</w:t>
            </w:r>
          </w:p>
        </w:tc>
      </w:tr>
    </w:tbl>
    <w:p w14:paraId="6D8358E6" w14:textId="77777777" w:rsidR="00C30B31" w:rsidRPr="00C30B31" w:rsidRDefault="00C30B31" w:rsidP="00C30B31">
      <w:pPr>
        <w:spacing w:after="0"/>
        <w:rPr>
          <w:rFonts w:ascii="Verdana" w:eastAsia="Times New Roman" w:hAnsi="Verdana" w:cs="Segoe UI"/>
          <w:b/>
          <w:bCs/>
          <w:color w:val="46589C"/>
          <w:lang w:eastAsia="es-CO"/>
        </w:rPr>
      </w:pPr>
    </w:p>
    <w:p w14:paraId="3900974D" w14:textId="77777777" w:rsidR="003D5B0D" w:rsidRPr="00E853B4" w:rsidRDefault="003D5B0D" w:rsidP="00E853B4"/>
    <w:sectPr w:rsidR="003D5B0D" w:rsidRPr="00E853B4"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F0E82" w14:textId="77777777" w:rsidR="005E5000" w:rsidRDefault="005E5000" w:rsidP="004A1847">
      <w:pPr>
        <w:spacing w:after="0" w:line="240" w:lineRule="auto"/>
      </w:pPr>
      <w:r>
        <w:separator/>
      </w:r>
    </w:p>
  </w:endnote>
  <w:endnote w:type="continuationSeparator" w:id="0">
    <w:p w14:paraId="44998EDD" w14:textId="77777777" w:rsidR="005E5000" w:rsidRDefault="005E500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linkMacSystemFont">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Quattrocento Sans">
    <w:charset w:val="00"/>
    <w:family w:val="swiss"/>
    <w:pitch w:val="variable"/>
    <w:sig w:usb0="800000BF" w:usb1="4000005B"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C30B31">
      <w:rPr>
        <w:rFonts w:ascii="Verdana" w:eastAsia="Times New Roman" w:hAnsi="Verdana" w:cs="Times New Roman"/>
        <w:b/>
        <w:bCs/>
        <w:sz w:val="16"/>
        <w:szCs w:val="16"/>
        <w:lang w:val="es-ES"/>
      </w:rPr>
      <w:t xml:space="preserve">pág. </w:t>
    </w:r>
    <w:r w:rsidRPr="00C30B31">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C30B31">
      <w:rPr>
        <w:rFonts w:ascii="Verdana" w:eastAsia="Times New Roman" w:hAnsi="Verdana"/>
        <w:b/>
        <w:bCs/>
        <w:sz w:val="16"/>
        <w:szCs w:val="16"/>
      </w:rPr>
      <w:fldChar w:fldCharType="separate"/>
    </w:r>
    <w:r w:rsidRPr="00C30B31">
      <w:rPr>
        <w:rFonts w:ascii="Verdana" w:eastAsia="Times New Roman" w:hAnsi="Verdana"/>
        <w:b/>
        <w:bCs/>
        <w:sz w:val="16"/>
        <w:szCs w:val="16"/>
      </w:rPr>
      <w:t>1</w:t>
    </w:r>
    <w:r w:rsidRPr="00C30B31">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B5094" w14:textId="77777777" w:rsidR="005E5000" w:rsidRDefault="005E5000" w:rsidP="004A1847">
      <w:pPr>
        <w:spacing w:after="0" w:line="240" w:lineRule="auto"/>
      </w:pPr>
      <w:r>
        <w:separator/>
      </w:r>
    </w:p>
  </w:footnote>
  <w:footnote w:type="continuationSeparator" w:id="0">
    <w:p w14:paraId="60A179A8" w14:textId="77777777" w:rsidR="005E5000" w:rsidRDefault="005E5000" w:rsidP="004A1847">
      <w:pPr>
        <w:spacing w:after="0" w:line="240" w:lineRule="auto"/>
      </w:pPr>
      <w:r>
        <w:continuationSeparator/>
      </w:r>
    </w:p>
  </w:footnote>
  <w:footnote w:id="1">
    <w:p w14:paraId="11C73B8C" w14:textId="77777777" w:rsidR="00C30B31" w:rsidRPr="0047233D" w:rsidRDefault="00C30B31" w:rsidP="00C30B31">
      <w:pPr>
        <w:pStyle w:val="Textonotapie"/>
        <w:rPr>
          <w:rFonts w:ascii="Verdana" w:hAnsi="Verdana"/>
          <w:sz w:val="16"/>
          <w:szCs w:val="16"/>
          <w:lang w:val="es-CO"/>
        </w:rPr>
      </w:pPr>
      <w:r w:rsidRPr="0047233D">
        <w:rPr>
          <w:rStyle w:val="Refdenotaalpie"/>
          <w:rFonts w:ascii="Verdana" w:hAnsi="Verdana"/>
          <w:sz w:val="16"/>
          <w:szCs w:val="16"/>
          <w:lang w:val="es-CO"/>
        </w:rPr>
        <w:footnoteRef/>
      </w:r>
      <w:r w:rsidRPr="0047233D">
        <w:rPr>
          <w:rFonts w:ascii="Verdana" w:hAnsi="Verdana"/>
          <w:sz w:val="16"/>
          <w:szCs w:val="16"/>
          <w:lang w:val="es-CO"/>
        </w:rPr>
        <w:t xml:space="preserve"> Estos Documentos Tipo pueden ser consultados en la página web de Colombia Compra Eficiente, a través del siguiente enlace: </w:t>
      </w:r>
      <w:hyperlink r:id="rId1" w:history="1">
        <w:r w:rsidRPr="0047233D">
          <w:rPr>
            <w:rStyle w:val="Hipervnculo"/>
            <w:rFonts w:ascii="Verdana" w:hAnsi="Verdana"/>
            <w:sz w:val="16"/>
            <w:szCs w:val="16"/>
            <w:lang w:val="es-CO"/>
          </w:rPr>
          <w:t>https://www.colombiacompra.gov.co/documentos-tipo/documentos-tipo</w:t>
        </w:r>
      </w:hyperlink>
      <w:r w:rsidRPr="0047233D">
        <w:rPr>
          <w:rFonts w:ascii="Verdana" w:hAnsi="Verdana"/>
          <w:sz w:val="16"/>
          <w:szCs w:val="16"/>
          <w:lang w:val="es-CO"/>
        </w:rPr>
        <w:t xml:space="preserve"> </w:t>
      </w:r>
    </w:p>
    <w:p w14:paraId="2344352A" w14:textId="77777777" w:rsidR="00C30B31" w:rsidRPr="0047233D" w:rsidRDefault="00C30B31" w:rsidP="00C30B31">
      <w:pPr>
        <w:pStyle w:val="Textonotapie"/>
        <w:rPr>
          <w:rFonts w:ascii="Verdana" w:hAnsi="Verdana"/>
          <w:sz w:val="16"/>
          <w:szCs w:val="16"/>
          <w:lang w:val="es-CO"/>
        </w:rPr>
      </w:pPr>
    </w:p>
  </w:footnote>
  <w:footnote w:id="2">
    <w:p w14:paraId="0AB854CB" w14:textId="77777777" w:rsidR="00C30B31" w:rsidRPr="0047233D" w:rsidRDefault="00C30B31" w:rsidP="00C30B31">
      <w:pPr>
        <w:pStyle w:val="Textonotapie"/>
        <w:ind w:firstLine="709"/>
        <w:jc w:val="both"/>
        <w:rPr>
          <w:rFonts w:ascii="Verdana" w:hAnsi="Verdana"/>
          <w:sz w:val="16"/>
          <w:szCs w:val="16"/>
          <w:lang w:val="es-CO"/>
        </w:rPr>
      </w:pPr>
      <w:r w:rsidRPr="0047233D">
        <w:rPr>
          <w:rStyle w:val="Refdenotaalpie"/>
          <w:rFonts w:ascii="Verdana" w:hAnsi="Verdana"/>
          <w:sz w:val="16"/>
          <w:szCs w:val="16"/>
          <w:lang w:val="es-CO"/>
        </w:rPr>
        <w:footnoteRef/>
      </w:r>
      <w:r w:rsidRPr="0047233D">
        <w:rPr>
          <w:rFonts w:ascii="Verdana" w:hAnsi="Verdana"/>
          <w:sz w:val="16"/>
          <w:szCs w:val="16"/>
          <w:lang w:val="es-CO"/>
        </w:rPr>
        <w:t xml:space="preserve"> Estos Documentos Tipo pueden ser consultados en la página web de Colombia Compra Eficiente, a través del siguiente enlace: </w:t>
      </w:r>
      <w:hyperlink r:id="rId2" w:history="1">
        <w:r w:rsidRPr="0047233D">
          <w:rPr>
            <w:rStyle w:val="Hipervnculo"/>
            <w:rFonts w:ascii="Verdana" w:hAnsi="Verdana"/>
            <w:sz w:val="16"/>
            <w:szCs w:val="16"/>
            <w:lang w:val="es-CO"/>
          </w:rPr>
          <w:t>https://www.colombiacompra.gov.co/documentos-tipo/documentos-tipo</w:t>
        </w:r>
      </w:hyperlink>
      <w:r w:rsidRPr="0047233D">
        <w:rPr>
          <w:rFonts w:ascii="Verdana" w:hAnsi="Verdana"/>
          <w:sz w:val="16"/>
          <w:szCs w:val="16"/>
          <w:lang w:val="es-CO"/>
        </w:rPr>
        <w:t xml:space="preserve"> </w:t>
      </w:r>
    </w:p>
  </w:footnote>
  <w:footnote w:id="3">
    <w:p w14:paraId="5C999CA0" w14:textId="77777777" w:rsidR="00C30B31" w:rsidRPr="0047233D" w:rsidRDefault="00C30B31" w:rsidP="00C30B31">
      <w:pPr>
        <w:spacing w:after="0" w:line="276" w:lineRule="auto"/>
        <w:jc w:val="both"/>
        <w:rPr>
          <w:rFonts w:ascii="Verdana" w:hAnsi="Verdana"/>
          <w:sz w:val="16"/>
          <w:szCs w:val="16"/>
        </w:rPr>
      </w:pPr>
    </w:p>
    <w:p w14:paraId="0C1A9EC3" w14:textId="77777777" w:rsidR="00C30B31" w:rsidRPr="0047233D" w:rsidRDefault="00C30B31" w:rsidP="00C30B31">
      <w:pPr>
        <w:spacing w:after="0" w:line="276" w:lineRule="auto"/>
        <w:ind w:firstLine="708"/>
        <w:jc w:val="both"/>
        <w:rPr>
          <w:rFonts w:ascii="Verdana" w:eastAsia="Calibri" w:hAnsi="Verdana" w:cs="Arial"/>
          <w:bCs/>
          <w:sz w:val="16"/>
          <w:szCs w:val="16"/>
        </w:rPr>
      </w:pPr>
      <w:r w:rsidRPr="0047233D">
        <w:rPr>
          <w:rStyle w:val="Refdenotaalpie"/>
          <w:rFonts w:ascii="Verdana" w:hAnsi="Verdana"/>
          <w:sz w:val="16"/>
          <w:szCs w:val="16"/>
        </w:rPr>
        <w:footnoteRef/>
      </w:r>
      <w:r w:rsidRPr="0047233D">
        <w:rPr>
          <w:rFonts w:ascii="Verdana" w:hAnsi="Verdana"/>
          <w:sz w:val="16"/>
          <w:szCs w:val="16"/>
        </w:rPr>
        <w:t xml:space="preserve"> </w:t>
      </w:r>
      <w:r w:rsidRPr="0047233D">
        <w:rPr>
          <w:rFonts w:ascii="Verdana" w:eastAsia="Calibri" w:hAnsi="Verdana" w:cs="Arial"/>
          <w:bCs/>
          <w:sz w:val="16"/>
          <w:szCs w:val="16"/>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7449633F" w14:textId="77777777" w:rsidR="00C30B31" w:rsidRPr="0047233D" w:rsidRDefault="00C30B31" w:rsidP="00C30B31">
      <w:pPr>
        <w:spacing w:after="0" w:line="276" w:lineRule="auto"/>
        <w:jc w:val="both"/>
        <w:rPr>
          <w:rFonts w:ascii="Verdana" w:eastAsia="Calibri" w:hAnsi="Verdana" w:cs="Arial"/>
          <w:bCs/>
          <w:sz w:val="16"/>
          <w:szCs w:val="16"/>
        </w:rPr>
      </w:pPr>
    </w:p>
    <w:p w14:paraId="3E7161DF" w14:textId="77777777" w:rsidR="00C30B31" w:rsidRPr="0047233D" w:rsidRDefault="00C30B31" w:rsidP="00C30B31">
      <w:pPr>
        <w:spacing w:after="0" w:line="276" w:lineRule="auto"/>
        <w:ind w:firstLine="708"/>
        <w:jc w:val="both"/>
        <w:rPr>
          <w:rFonts w:ascii="Verdana" w:eastAsia="Calibri" w:hAnsi="Verdana" w:cs="Arial"/>
          <w:bCs/>
          <w:sz w:val="16"/>
          <w:szCs w:val="16"/>
        </w:rPr>
      </w:pPr>
      <w:r w:rsidRPr="0047233D">
        <w:rPr>
          <w:rFonts w:ascii="Verdana" w:eastAsia="Calibri" w:hAnsi="Verdana" w:cs="Arial"/>
          <w:bCs/>
          <w:sz w:val="16"/>
          <w:szCs w:val="16"/>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1EC476C4" w14:textId="77777777" w:rsidR="00C30B31" w:rsidRPr="0047233D" w:rsidRDefault="00C30B31" w:rsidP="00C30B31">
      <w:pPr>
        <w:spacing w:after="0" w:line="276" w:lineRule="auto"/>
        <w:jc w:val="both"/>
        <w:rPr>
          <w:rFonts w:ascii="Verdana" w:eastAsia="Calibri" w:hAnsi="Verdana" w:cs="Arial"/>
          <w:bCs/>
          <w:sz w:val="16"/>
          <w:szCs w:val="16"/>
        </w:rPr>
      </w:pPr>
    </w:p>
    <w:p w14:paraId="720CED01" w14:textId="77777777" w:rsidR="00C30B31" w:rsidRPr="0047233D" w:rsidRDefault="00C30B31" w:rsidP="00C30B31">
      <w:pPr>
        <w:spacing w:after="0" w:line="276" w:lineRule="auto"/>
        <w:ind w:firstLine="708"/>
        <w:jc w:val="both"/>
        <w:rPr>
          <w:rFonts w:ascii="Verdana" w:eastAsia="Calibri" w:hAnsi="Verdana" w:cs="Arial"/>
          <w:bCs/>
          <w:sz w:val="16"/>
          <w:szCs w:val="16"/>
        </w:rPr>
      </w:pPr>
      <w:r w:rsidRPr="0047233D">
        <w:rPr>
          <w:rFonts w:ascii="Verdana" w:eastAsia="Calibri" w:hAnsi="Verdana" w:cs="Arial"/>
          <w:bCs/>
          <w:sz w:val="16"/>
          <w:szCs w:val="16"/>
        </w:rPr>
        <w:t>Resolución 456 del 10 de septiembre de 2024: “Por la cual se adopta la versión 4 de los documentos tipo para los procesos de selección de licitación de obra pública de infraestructura de transporte y se deroga la Resolución 240 de 2020”.</w:t>
      </w:r>
    </w:p>
    <w:p w14:paraId="74ED3B38" w14:textId="77777777" w:rsidR="00C30B31" w:rsidRPr="0047233D" w:rsidRDefault="00C30B31" w:rsidP="00C30B31">
      <w:pPr>
        <w:spacing w:after="0" w:line="276" w:lineRule="auto"/>
        <w:jc w:val="both"/>
        <w:rPr>
          <w:rFonts w:ascii="Verdana" w:eastAsia="Calibri" w:hAnsi="Verdana" w:cs="Arial"/>
          <w:bCs/>
          <w:sz w:val="16"/>
          <w:szCs w:val="16"/>
        </w:rPr>
      </w:pPr>
    </w:p>
    <w:p w14:paraId="4C05B6EC" w14:textId="77777777" w:rsidR="00C30B31" w:rsidRPr="0047233D" w:rsidRDefault="00C30B31" w:rsidP="00C30B31">
      <w:pPr>
        <w:spacing w:after="0" w:line="276" w:lineRule="auto"/>
        <w:ind w:firstLine="708"/>
        <w:jc w:val="both"/>
        <w:rPr>
          <w:rFonts w:ascii="Verdana" w:eastAsia="Calibri" w:hAnsi="Verdana" w:cs="Arial"/>
          <w:bCs/>
          <w:sz w:val="16"/>
          <w:szCs w:val="16"/>
        </w:rPr>
      </w:pPr>
      <w:r w:rsidRPr="0047233D">
        <w:rPr>
          <w:rFonts w:ascii="Verdana" w:eastAsia="Calibri" w:hAnsi="Verdana" w:cs="Arial"/>
          <w:bCs/>
          <w:sz w:val="16"/>
          <w:szCs w:val="16"/>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12476503" w14:textId="77777777" w:rsidR="00C30B31" w:rsidRPr="0047233D" w:rsidRDefault="00C30B31" w:rsidP="00C30B31">
      <w:pPr>
        <w:spacing w:after="0" w:line="276" w:lineRule="auto"/>
        <w:ind w:left="720"/>
        <w:jc w:val="both"/>
        <w:rPr>
          <w:rFonts w:ascii="Verdana" w:eastAsia="Calibri" w:hAnsi="Verdana" w:cs="Arial"/>
          <w:bCs/>
          <w:sz w:val="16"/>
          <w:szCs w:val="16"/>
        </w:rPr>
      </w:pPr>
    </w:p>
    <w:p w14:paraId="57FADF6F" w14:textId="77777777" w:rsidR="00C30B31" w:rsidRPr="0047233D" w:rsidRDefault="00C30B31" w:rsidP="00C30B31">
      <w:pPr>
        <w:spacing w:after="0" w:line="276" w:lineRule="auto"/>
        <w:ind w:firstLine="708"/>
        <w:jc w:val="both"/>
        <w:rPr>
          <w:rFonts w:ascii="Verdana" w:eastAsia="Calibri" w:hAnsi="Verdana" w:cs="Arial"/>
          <w:bCs/>
          <w:sz w:val="16"/>
          <w:szCs w:val="16"/>
        </w:rPr>
      </w:pPr>
      <w:r w:rsidRPr="0047233D">
        <w:rPr>
          <w:rFonts w:ascii="Verdana" w:eastAsia="Calibri" w:hAnsi="Verdana" w:cs="Arial"/>
          <w:bCs/>
          <w:sz w:val="16"/>
          <w:szCs w:val="16"/>
        </w:rPr>
        <w:t xml:space="preserve">Resolución 464 del 10 de septiembre de 2024: “Por la cual se actualizan los documentos tipo para los procesos de obra pública de infraestructura de transporte adelantados bajo la modalidad de mínima cuantía”. </w:t>
      </w:r>
    </w:p>
    <w:p w14:paraId="4E5A79C5" w14:textId="77777777" w:rsidR="00C30B31" w:rsidRPr="0047233D" w:rsidRDefault="00C30B31" w:rsidP="00C30B31">
      <w:pPr>
        <w:pStyle w:val="Textonotapie"/>
        <w:rPr>
          <w:rFonts w:ascii="Verdana" w:hAnsi="Verdana"/>
          <w:sz w:val="16"/>
          <w:szCs w:val="16"/>
          <w:lang w:val="es-CO"/>
        </w:rPr>
      </w:pPr>
    </w:p>
  </w:footnote>
  <w:footnote w:id="4">
    <w:p w14:paraId="7FFE493D" w14:textId="77777777" w:rsidR="00C30B31" w:rsidRPr="0047233D" w:rsidRDefault="00C30B31" w:rsidP="00C30B31">
      <w:pPr>
        <w:pBdr>
          <w:top w:val="nil"/>
          <w:left w:val="nil"/>
          <w:bottom w:val="nil"/>
          <w:right w:val="nil"/>
          <w:between w:val="nil"/>
        </w:pBdr>
        <w:spacing w:after="0"/>
        <w:ind w:firstLine="709"/>
        <w:jc w:val="both"/>
        <w:rPr>
          <w:rFonts w:ascii="Verdana" w:eastAsia="Arial" w:hAnsi="Verdana" w:cs="Arial"/>
          <w:color w:val="000000"/>
          <w:sz w:val="16"/>
          <w:szCs w:val="16"/>
        </w:rPr>
      </w:pPr>
      <w:r w:rsidRPr="0047233D">
        <w:rPr>
          <w:rFonts w:ascii="Verdana" w:hAnsi="Verdana" w:cs="Arial"/>
          <w:sz w:val="16"/>
          <w:szCs w:val="16"/>
          <w:vertAlign w:val="superscript"/>
        </w:rPr>
        <w:footnoteRef/>
      </w:r>
      <w:r w:rsidRPr="0047233D">
        <w:rPr>
          <w:rFonts w:ascii="Verdana" w:eastAsia="Arial" w:hAnsi="Verdana" w:cs="Arial"/>
          <w:color w:val="000000"/>
          <w:sz w:val="16"/>
          <w:szCs w:val="16"/>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footnote>
  <w:footnote w:id="5">
    <w:p w14:paraId="594C9EB9" w14:textId="77777777" w:rsidR="00C30B31" w:rsidRPr="0047233D" w:rsidRDefault="00C30B31" w:rsidP="00C30B31">
      <w:pPr>
        <w:pBdr>
          <w:top w:val="nil"/>
          <w:left w:val="nil"/>
          <w:bottom w:val="nil"/>
          <w:right w:val="nil"/>
          <w:between w:val="nil"/>
        </w:pBdr>
        <w:spacing w:after="0"/>
        <w:ind w:firstLine="709"/>
        <w:jc w:val="both"/>
        <w:rPr>
          <w:rFonts w:ascii="Verdana" w:eastAsia="Arial" w:hAnsi="Verdana" w:cs="Arial"/>
          <w:color w:val="000000"/>
          <w:sz w:val="16"/>
          <w:szCs w:val="16"/>
        </w:rPr>
      </w:pPr>
      <w:r w:rsidRPr="0047233D">
        <w:rPr>
          <w:rFonts w:ascii="Verdana" w:hAnsi="Verdana" w:cs="Arial"/>
          <w:sz w:val="16"/>
          <w:szCs w:val="16"/>
          <w:vertAlign w:val="superscript"/>
        </w:rPr>
        <w:footnoteRef/>
      </w:r>
      <w:r w:rsidRPr="0047233D">
        <w:rPr>
          <w:rFonts w:ascii="Verdana" w:eastAsia="Arial" w:hAnsi="Verdana" w:cs="Arial"/>
          <w:color w:val="000000"/>
          <w:sz w:val="16"/>
          <w:szCs w:val="16"/>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6">
    <w:p w14:paraId="6B71F8E5" w14:textId="77777777" w:rsidR="00C30B31" w:rsidRPr="0047233D" w:rsidRDefault="00C30B31" w:rsidP="00C30B31">
      <w:pPr>
        <w:pBdr>
          <w:top w:val="nil"/>
          <w:left w:val="nil"/>
          <w:bottom w:val="nil"/>
          <w:right w:val="nil"/>
          <w:between w:val="nil"/>
        </w:pBdr>
        <w:spacing w:after="0"/>
        <w:ind w:firstLine="709"/>
        <w:jc w:val="both"/>
        <w:rPr>
          <w:rFonts w:ascii="Verdana" w:eastAsia="Arial" w:hAnsi="Verdana" w:cs="Arial"/>
          <w:color w:val="000000"/>
          <w:sz w:val="16"/>
          <w:szCs w:val="16"/>
        </w:rPr>
      </w:pPr>
      <w:r w:rsidRPr="0047233D">
        <w:rPr>
          <w:rFonts w:ascii="Verdana" w:hAnsi="Verdana" w:cs="Arial"/>
          <w:sz w:val="16"/>
          <w:szCs w:val="16"/>
          <w:vertAlign w:val="superscript"/>
        </w:rPr>
        <w:footnoteRef/>
      </w:r>
      <w:r w:rsidRPr="0047233D">
        <w:rPr>
          <w:rFonts w:ascii="Verdana" w:eastAsia="Arial" w:hAnsi="Verdana" w:cs="Arial"/>
          <w:color w:val="000000"/>
          <w:sz w:val="16"/>
          <w:szCs w:val="16"/>
        </w:rPr>
        <w:t xml:space="preserve"> Consejo de Estado. Sección Tercera, Subsección C. Sentencia del 26 de febrero de 2014. C.P. Enrique Gil Botero, Rad. 1999-00113-01 (25.804). </w:t>
      </w:r>
    </w:p>
  </w:footnote>
  <w:footnote w:id="7">
    <w:p w14:paraId="0E66534B" w14:textId="77777777" w:rsidR="00C30B31" w:rsidRPr="0047233D" w:rsidRDefault="00C30B31" w:rsidP="00C30B31">
      <w:pPr>
        <w:pBdr>
          <w:top w:val="nil"/>
          <w:left w:val="nil"/>
          <w:bottom w:val="nil"/>
          <w:right w:val="nil"/>
          <w:between w:val="nil"/>
        </w:pBdr>
        <w:spacing w:after="0"/>
        <w:ind w:firstLine="709"/>
        <w:jc w:val="both"/>
        <w:rPr>
          <w:rFonts w:ascii="Verdana" w:eastAsia="Arial" w:hAnsi="Verdana" w:cs="Arial"/>
          <w:color w:val="000000"/>
          <w:sz w:val="16"/>
          <w:szCs w:val="16"/>
        </w:rPr>
      </w:pPr>
      <w:r w:rsidRPr="0047233D">
        <w:rPr>
          <w:rFonts w:ascii="Verdana" w:hAnsi="Verdana" w:cs="Arial"/>
          <w:sz w:val="16"/>
          <w:szCs w:val="16"/>
          <w:vertAlign w:val="superscript"/>
        </w:rPr>
        <w:footnoteRef/>
      </w:r>
      <w:r w:rsidRPr="0047233D">
        <w:rPr>
          <w:rFonts w:ascii="Verdana" w:eastAsia="Arial" w:hAnsi="Verdana" w:cs="Arial"/>
          <w:color w:val="000000"/>
          <w:sz w:val="16"/>
          <w:szCs w:val="16"/>
          <w:vertAlign w:val="superscript"/>
        </w:rPr>
        <w:t xml:space="preserve"> </w:t>
      </w:r>
      <w:r w:rsidRPr="0047233D">
        <w:rPr>
          <w:rFonts w:ascii="Verdana" w:eastAsia="Arial" w:hAnsi="Verdana"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8">
    <w:p w14:paraId="06961F85" w14:textId="77777777" w:rsidR="00C30B31" w:rsidRPr="0047233D" w:rsidRDefault="00C30B31" w:rsidP="00C30B31">
      <w:pPr>
        <w:spacing w:after="0"/>
        <w:ind w:firstLine="709"/>
        <w:jc w:val="both"/>
        <w:rPr>
          <w:rFonts w:ascii="Verdana" w:eastAsia="Arial" w:hAnsi="Verdana" w:cs="Arial"/>
          <w:color w:val="000000"/>
          <w:sz w:val="16"/>
          <w:szCs w:val="16"/>
        </w:rPr>
      </w:pPr>
      <w:r w:rsidRPr="0047233D">
        <w:rPr>
          <w:rFonts w:ascii="Verdana" w:hAnsi="Verdana" w:cs="Arial"/>
          <w:sz w:val="16"/>
          <w:szCs w:val="16"/>
          <w:vertAlign w:val="superscript"/>
        </w:rPr>
        <w:footnoteRef/>
      </w:r>
      <w:r w:rsidRPr="0047233D">
        <w:rPr>
          <w:rFonts w:ascii="Verdana" w:eastAsia="Arial" w:hAnsi="Verdana" w:cs="Arial"/>
          <w:color w:val="000000"/>
          <w:sz w:val="16"/>
          <w:szCs w:val="16"/>
        </w:rPr>
        <w:t xml:space="preserve"> Decreto 2474 de 2008 (DEROGADO): “art. 10. Reglas de </w:t>
      </w:r>
      <w:proofErr w:type="spellStart"/>
      <w:r w:rsidRPr="0047233D">
        <w:rPr>
          <w:rFonts w:ascii="Verdana" w:eastAsia="Arial" w:hAnsi="Verdana" w:cs="Arial"/>
          <w:color w:val="000000"/>
          <w:sz w:val="16"/>
          <w:szCs w:val="16"/>
        </w:rPr>
        <w:t>subsanabilidad</w:t>
      </w:r>
      <w:proofErr w:type="spellEnd"/>
      <w:r w:rsidRPr="0047233D">
        <w:rPr>
          <w:rFonts w:ascii="Verdana" w:eastAsia="Arial" w:hAnsi="Verdana" w:cs="Arial"/>
          <w:color w:val="000000"/>
          <w:sz w:val="16"/>
          <w:szCs w:val="16"/>
        </w:rPr>
        <w:t>.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3">
        <w:r w:rsidRPr="0047233D">
          <w:rPr>
            <w:rFonts w:ascii="Verdana" w:eastAsia="Arial" w:hAnsi="Verdana" w:cs="Arial"/>
            <w:color w:val="000000"/>
            <w:sz w:val="16"/>
            <w:szCs w:val="16"/>
          </w:rPr>
          <w:t>Ley 1150 de 2007</w:t>
        </w:r>
      </w:hyperlink>
      <w:r w:rsidRPr="0047233D">
        <w:rPr>
          <w:rFonts w:ascii="Verdana" w:eastAsia="Arial" w:hAnsi="Verdana" w:cs="Arial"/>
          <w:color w:val="000000"/>
          <w:sz w:val="16"/>
          <w:szCs w:val="16"/>
        </w:rPr>
        <w:t> y en el presente decreto.</w:t>
      </w:r>
    </w:p>
    <w:p w14:paraId="4843D86E" w14:textId="77777777" w:rsidR="00C30B31" w:rsidRPr="0047233D" w:rsidRDefault="00C30B31" w:rsidP="00C30B31">
      <w:pPr>
        <w:spacing w:after="0"/>
        <w:ind w:firstLine="709"/>
        <w:jc w:val="both"/>
        <w:rPr>
          <w:rFonts w:ascii="Verdana" w:eastAsia="Arial" w:hAnsi="Verdana" w:cs="Arial"/>
          <w:color w:val="000000"/>
          <w:sz w:val="16"/>
          <w:szCs w:val="16"/>
        </w:rPr>
      </w:pPr>
      <w:r w:rsidRPr="0047233D">
        <w:rPr>
          <w:rFonts w:ascii="Verdana" w:eastAsia="Arial" w:hAnsi="Verdana" w:cs="Arial"/>
          <w:color w:val="000000"/>
          <w:sz w:val="16"/>
          <w:szCs w:val="16"/>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6DD2C6C1" w14:textId="77777777" w:rsidR="00C30B31" w:rsidRPr="0047233D" w:rsidRDefault="00C30B31" w:rsidP="00C30B31">
      <w:pPr>
        <w:spacing w:after="0"/>
        <w:ind w:firstLine="709"/>
        <w:jc w:val="both"/>
        <w:rPr>
          <w:rFonts w:ascii="Verdana" w:eastAsia="Arial" w:hAnsi="Verdana" w:cs="Arial"/>
          <w:color w:val="000000"/>
          <w:sz w:val="16"/>
          <w:szCs w:val="16"/>
        </w:rPr>
      </w:pPr>
      <w:r w:rsidRPr="0047233D">
        <w:rPr>
          <w:rFonts w:ascii="Verdana" w:eastAsia="Arial" w:hAnsi="Verdana" w:cs="Arial"/>
          <w:color w:val="000000"/>
          <w:sz w:val="16"/>
          <w:szCs w:val="16"/>
        </w:rPr>
        <w:t>Será rechazada la oferta del proponente que dentro del término previsto en el pliego o en la solicitud, no responda al requerimiento que le haga la entidad para subsanarla.</w:t>
      </w:r>
    </w:p>
    <w:p w14:paraId="4A1FCF4D" w14:textId="77777777" w:rsidR="00C30B31" w:rsidRPr="0047233D" w:rsidRDefault="00C30B31" w:rsidP="00C30B31">
      <w:pPr>
        <w:spacing w:after="0"/>
        <w:ind w:firstLine="709"/>
        <w:jc w:val="both"/>
        <w:rPr>
          <w:rFonts w:ascii="Verdana" w:eastAsia="Arial" w:hAnsi="Verdana" w:cs="Arial"/>
          <w:color w:val="000000"/>
          <w:sz w:val="16"/>
          <w:szCs w:val="16"/>
        </w:rPr>
      </w:pPr>
      <w:r w:rsidRPr="0047233D">
        <w:rPr>
          <w:rFonts w:ascii="Verdana" w:eastAsia="Arial" w:hAnsi="Verdana" w:cs="Arial"/>
          <w:color w:val="000000"/>
          <w:sz w:val="16"/>
          <w:szCs w:val="16"/>
        </w:rPr>
        <w:t>Cuando se utilice el mecanismo de subasta esta posibilidad deberá ejercerse hasta el momento previo a su realización, de conformidad con el artículo 22 del presente decreto.</w:t>
      </w:r>
    </w:p>
    <w:p w14:paraId="41609A1C" w14:textId="77777777" w:rsidR="00C30B31" w:rsidRPr="0047233D" w:rsidRDefault="00C30B31" w:rsidP="00C30B31">
      <w:pPr>
        <w:spacing w:after="0"/>
        <w:ind w:firstLine="709"/>
        <w:jc w:val="both"/>
        <w:rPr>
          <w:rFonts w:ascii="Verdana" w:eastAsia="Arial" w:hAnsi="Verdana" w:cs="Arial"/>
          <w:color w:val="000000"/>
          <w:sz w:val="16"/>
          <w:szCs w:val="16"/>
        </w:rPr>
      </w:pPr>
      <w:r w:rsidRPr="0047233D">
        <w:rPr>
          <w:rFonts w:ascii="Verdana" w:eastAsia="Arial" w:hAnsi="Verdana" w:cs="Arial"/>
          <w:color w:val="000000"/>
          <w:sz w:val="16"/>
          <w:szCs w:val="16"/>
        </w:rPr>
        <w:t xml:space="preserve">En ningún caso la entidad podrá señalar taxativamente los requisitos o documentos subsanables o no subsanables en el pliego de condiciones, </w:t>
      </w:r>
      <w:r w:rsidRPr="0047233D">
        <w:rPr>
          <w:rFonts w:ascii="Verdana" w:eastAsia="Arial" w:hAnsi="Verdana" w:cs="Arial"/>
          <w:i/>
          <w:color w:val="000000"/>
          <w:sz w:val="16"/>
          <w:szCs w:val="16"/>
        </w:rPr>
        <w:t>ni permitir que se subsane la falta de capacidad para presentar la oferta, ni que se acrediten circunstancias ocurridas con posterioridad al cierre del proceso</w:t>
      </w:r>
      <w:r w:rsidRPr="0047233D">
        <w:rPr>
          <w:rFonts w:ascii="Verdana" w:eastAsia="Arial" w:hAnsi="Verdana" w:cs="Arial"/>
          <w:color w:val="000000"/>
          <w:sz w:val="16"/>
          <w:szCs w:val="16"/>
        </w:rPr>
        <w:t xml:space="preserve">”. (Cursivas fuera de texto). </w:t>
      </w:r>
    </w:p>
  </w:footnote>
  <w:footnote w:id="9">
    <w:p w14:paraId="3204F58C" w14:textId="77777777" w:rsidR="00C30B31" w:rsidRPr="0047233D" w:rsidRDefault="00C30B31" w:rsidP="00C30B31">
      <w:pPr>
        <w:pBdr>
          <w:top w:val="nil"/>
          <w:left w:val="nil"/>
          <w:bottom w:val="nil"/>
          <w:right w:val="nil"/>
          <w:between w:val="nil"/>
        </w:pBdr>
        <w:spacing w:after="0"/>
        <w:ind w:firstLine="709"/>
        <w:jc w:val="both"/>
        <w:rPr>
          <w:rFonts w:ascii="Verdana" w:eastAsia="Arial" w:hAnsi="Verdana" w:cs="Arial"/>
          <w:color w:val="000000"/>
          <w:sz w:val="16"/>
          <w:szCs w:val="16"/>
        </w:rPr>
      </w:pPr>
      <w:r w:rsidRPr="0047233D">
        <w:rPr>
          <w:rFonts w:ascii="Verdana" w:hAnsi="Verdana" w:cs="Arial"/>
          <w:sz w:val="16"/>
          <w:szCs w:val="16"/>
          <w:vertAlign w:val="superscript"/>
        </w:rPr>
        <w:footnoteRef/>
      </w:r>
      <w:r w:rsidRPr="0047233D">
        <w:rPr>
          <w:rFonts w:ascii="Verdana" w:eastAsia="Arial" w:hAnsi="Verdana" w:cs="Arial"/>
          <w:color w:val="000000"/>
          <w:sz w:val="16"/>
          <w:szCs w:val="16"/>
        </w:rPr>
        <w:t xml:space="preserve"> Consejo de Estado, Sala de Consulta y Servicio Civil, concepto del 6 de noviembre de 2008. C.P. William Zambrano Cetina. Rad. 2008-00079-00(1927).</w:t>
      </w:r>
    </w:p>
  </w:footnote>
  <w:footnote w:id="10">
    <w:p w14:paraId="034CB961" w14:textId="77777777" w:rsidR="00C30B31" w:rsidRPr="0047233D" w:rsidRDefault="00C30B31" w:rsidP="00C30B31">
      <w:pPr>
        <w:pBdr>
          <w:top w:val="nil"/>
          <w:left w:val="nil"/>
          <w:bottom w:val="nil"/>
          <w:right w:val="nil"/>
          <w:between w:val="nil"/>
        </w:pBdr>
        <w:spacing w:after="0"/>
        <w:ind w:firstLine="709"/>
        <w:jc w:val="both"/>
        <w:rPr>
          <w:rFonts w:ascii="Verdana" w:eastAsia="Arial" w:hAnsi="Verdana" w:cs="Arial"/>
          <w:color w:val="000000"/>
          <w:sz w:val="16"/>
          <w:szCs w:val="16"/>
        </w:rPr>
      </w:pPr>
      <w:r w:rsidRPr="0047233D">
        <w:rPr>
          <w:rFonts w:ascii="Verdana" w:hAnsi="Verdana" w:cs="Arial"/>
          <w:sz w:val="16"/>
          <w:szCs w:val="16"/>
          <w:vertAlign w:val="superscript"/>
        </w:rPr>
        <w:footnoteRef/>
      </w:r>
      <w:r w:rsidRPr="0047233D">
        <w:rPr>
          <w:rFonts w:ascii="Verdana" w:eastAsia="Arial" w:hAnsi="Verdana" w:cs="Arial"/>
          <w:color w:val="000000"/>
          <w:sz w:val="16"/>
          <w:szCs w:val="16"/>
        </w:rPr>
        <w:t xml:space="preserve"> Consejo de Estado, Sala de Consulta y Servicio Civil, concepto del 20 de mayo de 2010. C.P. Enrique José Arboleda Perdomo. Rad. 2010-00034-00(1992).</w:t>
      </w:r>
    </w:p>
    <w:p w14:paraId="31707696" w14:textId="77777777" w:rsidR="00C30B31" w:rsidRPr="0047233D" w:rsidRDefault="00C30B31" w:rsidP="00C30B31">
      <w:pPr>
        <w:pBdr>
          <w:top w:val="nil"/>
          <w:left w:val="nil"/>
          <w:bottom w:val="nil"/>
          <w:right w:val="nil"/>
          <w:between w:val="nil"/>
        </w:pBdr>
        <w:spacing w:after="0"/>
        <w:ind w:firstLine="709"/>
        <w:jc w:val="both"/>
        <w:rPr>
          <w:rFonts w:ascii="Verdana" w:eastAsia="Arial" w:hAnsi="Verdana" w:cs="Arial"/>
          <w:color w:val="000000"/>
          <w:sz w:val="16"/>
          <w:szCs w:val="16"/>
        </w:rPr>
      </w:pPr>
    </w:p>
  </w:footnote>
  <w:footnote w:id="11">
    <w:p w14:paraId="428222C0" w14:textId="77777777" w:rsidR="00C30B31" w:rsidRPr="00CF50F1" w:rsidRDefault="00C30B31" w:rsidP="00C30B31">
      <w:pPr>
        <w:pStyle w:val="Textonotapie"/>
        <w:ind w:firstLine="708"/>
        <w:jc w:val="both"/>
        <w:rPr>
          <w:rFonts w:ascii="Arial" w:hAnsi="Arial" w:cs="Arial"/>
          <w:color w:val="000000"/>
          <w:sz w:val="10"/>
          <w:szCs w:val="10"/>
          <w:lang w:val="es-CO"/>
        </w:rPr>
      </w:pPr>
      <w:r w:rsidRPr="00CF50F1">
        <w:rPr>
          <w:rStyle w:val="Refdenotaalpie"/>
          <w:rFonts w:ascii="Arial" w:hAnsi="Arial" w:cs="Arial"/>
          <w:sz w:val="10"/>
          <w:szCs w:val="10"/>
        </w:rPr>
        <w:footnoteRef/>
      </w:r>
      <w:r w:rsidRPr="00CF50F1">
        <w:rPr>
          <w:rFonts w:ascii="Arial" w:hAnsi="Arial" w:cs="Arial"/>
          <w:sz w:val="10"/>
          <w:szCs w:val="10"/>
        </w:rPr>
        <w:t xml:space="preserve"> </w:t>
      </w:r>
      <w:r w:rsidRPr="00CF50F1">
        <w:rPr>
          <w:rFonts w:ascii="Arial" w:hAnsi="Arial" w:cs="Arial"/>
          <w:color w:val="000000"/>
          <w:sz w:val="10"/>
          <w:szCs w:val="10"/>
          <w:lang w:val="es-CO"/>
        </w:rPr>
        <w:t>Ley 1150 de 2007. «Artículo 5o. De la selección objetiva.</w:t>
      </w:r>
    </w:p>
    <w:p w14:paraId="157BEA75" w14:textId="77777777" w:rsidR="00C30B31" w:rsidRPr="00CF50F1" w:rsidRDefault="00C30B31" w:rsidP="00C30B31">
      <w:pPr>
        <w:pStyle w:val="Textonotapie"/>
        <w:ind w:firstLine="708"/>
        <w:jc w:val="both"/>
        <w:rPr>
          <w:rFonts w:ascii="Arial" w:hAnsi="Arial" w:cs="Arial"/>
          <w:color w:val="000000"/>
          <w:sz w:val="10"/>
          <w:szCs w:val="10"/>
          <w:lang w:val="es-CO"/>
        </w:rPr>
      </w:pPr>
      <w:r w:rsidRPr="00CF50F1">
        <w:rPr>
          <w:rFonts w:ascii="Arial" w:hAnsi="Arial" w:cs="Arial"/>
          <w:color w:val="000000"/>
          <w:sz w:val="10"/>
          <w:szCs w:val="10"/>
          <w:lang w:val="es-CO"/>
        </w:rPr>
        <w:t>[...]</w:t>
      </w:r>
    </w:p>
    <w:p w14:paraId="4DDE41A7" w14:textId="77777777" w:rsidR="00C30B31" w:rsidRPr="00CF50F1" w:rsidRDefault="00C30B31" w:rsidP="00C30B31">
      <w:pPr>
        <w:pStyle w:val="Textonotapie"/>
        <w:ind w:firstLine="708"/>
        <w:jc w:val="both"/>
        <w:rPr>
          <w:rFonts w:ascii="Arial" w:hAnsi="Arial" w:cs="Arial"/>
          <w:color w:val="000000"/>
          <w:sz w:val="10"/>
          <w:szCs w:val="10"/>
          <w:lang w:val="es-CO"/>
        </w:rPr>
      </w:pPr>
      <w:r w:rsidRPr="00CF50F1">
        <w:rPr>
          <w:rFonts w:ascii="Arial" w:hAnsi="Arial" w:cs="Arial"/>
          <w:color w:val="000000"/>
          <w:sz w:val="10"/>
          <w:szCs w:val="10"/>
          <w:lang w:val="es-CO"/>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CF50F1">
        <w:rPr>
          <w:rFonts w:ascii="Arial" w:hAnsi="Arial" w:cs="Arial"/>
          <w:color w:val="000000"/>
          <w:sz w:val="10"/>
          <w:szCs w:val="10"/>
          <w:lang w:val="es-CO"/>
        </w:rPr>
        <w:t>puntaje,</w:t>
      </w:r>
      <w:proofErr w:type="gramEnd"/>
      <w:r w:rsidRPr="00CF50F1">
        <w:rPr>
          <w:rFonts w:ascii="Arial" w:hAnsi="Arial" w:cs="Arial"/>
          <w:color w:val="000000"/>
          <w:sz w:val="10"/>
          <w:szCs w:val="10"/>
          <w:lang w:val="es-CO"/>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62897184" w14:textId="77777777" w:rsidR="00C30B31" w:rsidRPr="00CF50F1" w:rsidRDefault="00C30B31" w:rsidP="00C30B31">
      <w:pPr>
        <w:pStyle w:val="Textonotapie"/>
        <w:ind w:firstLine="708"/>
        <w:jc w:val="both"/>
        <w:rPr>
          <w:rFonts w:ascii="Arial" w:hAnsi="Arial" w:cs="Arial"/>
          <w:color w:val="000000"/>
          <w:sz w:val="10"/>
          <w:szCs w:val="10"/>
          <w:lang w:val="es-CO"/>
        </w:rPr>
      </w:pPr>
    </w:p>
    <w:p w14:paraId="4DD4CA97" w14:textId="77777777" w:rsidR="00C30B31" w:rsidRPr="00CF50F1" w:rsidRDefault="00C30B31" w:rsidP="00C30B31">
      <w:pPr>
        <w:pStyle w:val="Textonotapie"/>
        <w:ind w:firstLine="708"/>
        <w:jc w:val="both"/>
        <w:rPr>
          <w:rFonts w:ascii="Arial" w:hAnsi="Arial" w:cs="Arial"/>
          <w:color w:val="000000"/>
          <w:sz w:val="10"/>
          <w:szCs w:val="10"/>
          <w:lang w:val="es-CO"/>
        </w:rPr>
      </w:pPr>
      <w:r w:rsidRPr="00CF50F1">
        <w:rPr>
          <w:rFonts w:ascii="Arial" w:hAnsi="Arial" w:cs="Arial"/>
          <w:color w:val="000000"/>
          <w:sz w:val="10"/>
          <w:szCs w:val="10"/>
          <w:lang w:val="es-CO"/>
        </w:rPr>
        <w:t>Durante el término otorgado para subsanar las ofertas, los proponentes no podrán acreditar circunstancias ocurridas con posterioridad al cierre del proceso».</w:t>
      </w:r>
    </w:p>
    <w:p w14:paraId="776CE36F" w14:textId="77777777" w:rsidR="00C30B31" w:rsidRPr="00CF50F1" w:rsidRDefault="00C30B31" w:rsidP="00C30B31">
      <w:pPr>
        <w:pStyle w:val="Textonotapie"/>
        <w:ind w:firstLine="708"/>
        <w:jc w:val="both"/>
        <w:rPr>
          <w:rFonts w:ascii="Arial" w:hAnsi="Arial" w:cs="Arial"/>
          <w:color w:val="000000"/>
          <w:sz w:val="10"/>
          <w:szCs w:val="10"/>
          <w:lang w:val="es-CO"/>
        </w:rPr>
      </w:pPr>
      <w:r w:rsidRPr="00CF50F1">
        <w:rPr>
          <w:rFonts w:ascii="Arial" w:hAnsi="Arial" w:cs="Arial"/>
          <w:color w:val="000000"/>
          <w:sz w:val="10"/>
          <w:szCs w:val="10"/>
          <w:lang w:val="es-CO"/>
        </w:rPr>
        <w:t>[...]</w:t>
      </w:r>
    </w:p>
  </w:footnote>
  <w:footnote w:id="12">
    <w:p w14:paraId="275E1EB3" w14:textId="77777777" w:rsidR="00C30B31" w:rsidRPr="00E452C9" w:rsidRDefault="00C30B31" w:rsidP="00C30B31">
      <w:pPr>
        <w:pStyle w:val="Textonotapie"/>
        <w:ind w:firstLine="708"/>
        <w:jc w:val="both"/>
        <w:rPr>
          <w:rFonts w:ascii="Verdana" w:hAnsi="Verdana" w:cs="Arial"/>
          <w:sz w:val="19"/>
          <w:szCs w:val="19"/>
          <w:lang w:val="es-CO"/>
        </w:rPr>
      </w:pPr>
      <w:r w:rsidRPr="00E452C9">
        <w:rPr>
          <w:rStyle w:val="Refdenotaalpie"/>
          <w:rFonts w:ascii="Verdana" w:hAnsi="Verdana" w:cs="Arial"/>
          <w:sz w:val="19"/>
          <w:szCs w:val="19"/>
        </w:rPr>
        <w:footnoteRef/>
      </w:r>
      <w:r w:rsidRPr="00E452C9">
        <w:rPr>
          <w:rFonts w:ascii="Verdana" w:hAnsi="Verdana" w:cs="Arial"/>
          <w:sz w:val="19"/>
          <w:szCs w:val="19"/>
        </w:rPr>
        <w:t xml:space="preserve"> «7o. De acuerdo con la naturaleza, objeto y cuantía del contrato, en los pliegos de condiciones, se señalará el plazo razonable dentro del cual la entidad deberá elaborar los estudios técnicos, económicos y jurídicos necesarios para la evaluación de las propuestas y para solicitar a los proponentes las aclaraciones y explicaciones que se estimen indispensables».</w:t>
      </w:r>
    </w:p>
  </w:footnote>
  <w:footnote w:id="13">
    <w:p w14:paraId="60CC78CA" w14:textId="77777777" w:rsidR="00C30B31" w:rsidRPr="00E452C9" w:rsidRDefault="00C30B31" w:rsidP="00C30B31">
      <w:pPr>
        <w:pBdr>
          <w:top w:val="nil"/>
          <w:left w:val="nil"/>
          <w:bottom w:val="nil"/>
          <w:right w:val="nil"/>
          <w:between w:val="nil"/>
        </w:pBdr>
        <w:ind w:firstLine="709"/>
        <w:jc w:val="both"/>
        <w:rPr>
          <w:rFonts w:ascii="Verdana" w:eastAsia="Arial" w:hAnsi="Verdana" w:cs="Arial"/>
          <w:color w:val="000000"/>
          <w:sz w:val="19"/>
          <w:szCs w:val="19"/>
        </w:rPr>
      </w:pPr>
      <w:r w:rsidRPr="00E452C9">
        <w:rPr>
          <w:rFonts w:ascii="Verdana" w:hAnsi="Verdana" w:cs="Arial"/>
          <w:sz w:val="19"/>
          <w:szCs w:val="19"/>
          <w:vertAlign w:val="superscript"/>
        </w:rPr>
        <w:footnoteRef/>
      </w:r>
      <w:r w:rsidRPr="00E452C9">
        <w:rPr>
          <w:rFonts w:ascii="Verdana" w:eastAsia="Arial" w:hAnsi="Verdana" w:cs="Arial"/>
          <w:color w:val="000000"/>
          <w:sz w:val="19"/>
          <w:szCs w:val="19"/>
        </w:rPr>
        <w:t xml:space="preserve"> CONSEJO DE ESTADO. Sección Tercera. Subsección C. Sentencia del 12 de noviembre de 2014. </w:t>
      </w:r>
      <w:proofErr w:type="spellStart"/>
      <w:r w:rsidRPr="00E452C9">
        <w:rPr>
          <w:rFonts w:ascii="Verdana" w:eastAsia="Arial" w:hAnsi="Verdana" w:cs="Arial"/>
          <w:color w:val="000000"/>
          <w:sz w:val="19"/>
          <w:szCs w:val="19"/>
        </w:rPr>
        <w:t>Exp</w:t>
      </w:r>
      <w:proofErr w:type="spellEnd"/>
      <w:r w:rsidRPr="00E452C9">
        <w:rPr>
          <w:rFonts w:ascii="Verdana" w:eastAsia="Arial" w:hAnsi="Verdana" w:cs="Arial"/>
          <w:color w:val="000000"/>
          <w:sz w:val="19"/>
          <w:szCs w:val="19"/>
        </w:rPr>
        <w:t>. 27.986. C.P. Enrique Gil Botero.</w:t>
      </w:r>
    </w:p>
  </w:footnote>
  <w:footnote w:id="14">
    <w:p w14:paraId="1F42CD54" w14:textId="77777777" w:rsidR="00C30B31" w:rsidRPr="00E452C9" w:rsidRDefault="00C30B31" w:rsidP="00C30B31">
      <w:pPr>
        <w:pStyle w:val="Textonotapie"/>
        <w:ind w:firstLine="709"/>
        <w:jc w:val="both"/>
        <w:rPr>
          <w:rFonts w:ascii="Verdana" w:hAnsi="Verdana" w:cs="Arial"/>
          <w:sz w:val="19"/>
          <w:szCs w:val="19"/>
          <w:lang w:val="es-CO"/>
        </w:rPr>
      </w:pPr>
      <w:r w:rsidRPr="00E452C9">
        <w:rPr>
          <w:rStyle w:val="Refdenotaalpie"/>
          <w:rFonts w:ascii="Verdana" w:hAnsi="Verdana" w:cs="Arial"/>
          <w:sz w:val="19"/>
          <w:szCs w:val="19"/>
        </w:rPr>
        <w:footnoteRef/>
      </w:r>
      <w:r w:rsidRPr="00E452C9">
        <w:rPr>
          <w:rFonts w:ascii="Verdana" w:hAnsi="Verdana" w:cs="Arial"/>
          <w:sz w:val="19"/>
          <w:szCs w:val="19"/>
        </w:rPr>
        <w:t xml:space="preserve"> </w:t>
      </w:r>
      <w:r w:rsidRPr="00E452C9">
        <w:rPr>
          <w:rFonts w:ascii="Verdana" w:hAnsi="Verdana" w:cs="Arial"/>
          <w:bCs/>
          <w:sz w:val="19"/>
          <w:szCs w:val="19"/>
        </w:rPr>
        <w:t xml:space="preserve">En todo caso, conforme al parágrafo 3 del artículo 30 del Estatuto General de Contratación de la Administración pública, es necesario tener en cuenta que para los procesos de licitación para los contratistas de obra pública la oferta debe entregarse en dos sobres. El sobre numero 2 contiene la propuesta económica, y la norma dispone “[…] 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 </w:t>
      </w:r>
    </w:p>
  </w:footnote>
  <w:footnote w:id="15">
    <w:p w14:paraId="60CBD13A" w14:textId="77777777" w:rsidR="00C30B31" w:rsidRPr="00E452C9" w:rsidRDefault="00C30B31" w:rsidP="00C30B31">
      <w:pPr>
        <w:pBdr>
          <w:top w:val="nil"/>
          <w:left w:val="nil"/>
          <w:bottom w:val="nil"/>
          <w:right w:val="nil"/>
          <w:between w:val="nil"/>
        </w:pBdr>
        <w:ind w:firstLine="709"/>
        <w:jc w:val="both"/>
        <w:rPr>
          <w:rFonts w:ascii="Verdana" w:hAnsi="Verdana" w:cs="Arial"/>
          <w:color w:val="000000"/>
          <w:sz w:val="19"/>
          <w:szCs w:val="19"/>
        </w:rPr>
      </w:pPr>
      <w:r w:rsidRPr="00E452C9">
        <w:rPr>
          <w:rFonts w:ascii="Verdana" w:hAnsi="Verdana" w:cs="Arial"/>
          <w:sz w:val="19"/>
          <w:szCs w:val="19"/>
          <w:vertAlign w:val="superscript"/>
        </w:rPr>
        <w:footnoteRef/>
      </w:r>
      <w:r w:rsidRPr="00E452C9">
        <w:rPr>
          <w:rFonts w:ascii="Verdana" w:hAnsi="Verdana" w:cs="Arial"/>
          <w:color w:val="000000"/>
          <w:sz w:val="19"/>
          <w:szCs w:val="19"/>
        </w:rPr>
        <w:t xml:space="preserve"> </w:t>
      </w:r>
      <w:proofErr w:type="spellStart"/>
      <w:r w:rsidRPr="00E452C9">
        <w:rPr>
          <w:rFonts w:ascii="Verdana" w:eastAsia="Arial" w:hAnsi="Verdana" w:cs="Arial"/>
          <w:color w:val="000000"/>
          <w:sz w:val="19"/>
          <w:szCs w:val="19"/>
        </w:rPr>
        <w:t>Ibídem</w:t>
      </w:r>
      <w:proofErr w:type="spellEnd"/>
      <w:r w:rsidRPr="00E452C9">
        <w:rPr>
          <w:rFonts w:ascii="Verdana" w:eastAsia="Arial" w:hAnsi="Verdana" w:cs="Arial"/>
          <w:i/>
          <w:color w:val="000000"/>
          <w:sz w:val="19"/>
          <w:szCs w:val="19"/>
        </w:rPr>
        <w:t>.</w:t>
      </w:r>
    </w:p>
  </w:footnote>
  <w:footnote w:id="16">
    <w:p w14:paraId="06268361" w14:textId="77777777" w:rsidR="00C30B31" w:rsidRPr="00E452C9" w:rsidRDefault="00C30B31" w:rsidP="00C30B31">
      <w:pPr>
        <w:pBdr>
          <w:top w:val="nil"/>
          <w:left w:val="nil"/>
          <w:bottom w:val="nil"/>
          <w:right w:val="nil"/>
          <w:between w:val="nil"/>
        </w:pBdr>
        <w:ind w:firstLine="709"/>
        <w:jc w:val="both"/>
        <w:rPr>
          <w:rFonts w:ascii="Verdana" w:hAnsi="Verdana" w:cs="Arial"/>
          <w:color w:val="000000"/>
          <w:sz w:val="19"/>
          <w:szCs w:val="19"/>
        </w:rPr>
      </w:pPr>
      <w:r w:rsidRPr="00E452C9">
        <w:rPr>
          <w:rFonts w:ascii="Verdana" w:hAnsi="Verdana" w:cs="Arial"/>
          <w:sz w:val="19"/>
          <w:szCs w:val="19"/>
          <w:vertAlign w:val="superscript"/>
        </w:rPr>
        <w:footnoteRef/>
      </w:r>
      <w:r w:rsidRPr="00E452C9">
        <w:rPr>
          <w:rFonts w:ascii="Verdana" w:hAnsi="Verdana" w:cs="Arial"/>
          <w:color w:val="000000"/>
          <w:sz w:val="19"/>
          <w:szCs w:val="19"/>
        </w:rPr>
        <w:t xml:space="preserve"> </w:t>
      </w:r>
      <w:proofErr w:type="spellStart"/>
      <w:r w:rsidRPr="00E452C9">
        <w:rPr>
          <w:rFonts w:ascii="Verdana" w:hAnsi="Verdana" w:cs="Arial"/>
          <w:color w:val="000000"/>
          <w:sz w:val="19"/>
          <w:szCs w:val="19"/>
        </w:rPr>
        <w:t>Ibídem</w:t>
      </w:r>
      <w:proofErr w:type="spellEnd"/>
    </w:p>
  </w:footnote>
  <w:footnote w:id="17">
    <w:p w14:paraId="0E8AC388" w14:textId="77777777" w:rsidR="00C30B31" w:rsidRPr="00E452C9" w:rsidRDefault="00C30B31" w:rsidP="00C30B31">
      <w:pPr>
        <w:pStyle w:val="Textonotapie"/>
        <w:ind w:firstLine="708"/>
        <w:jc w:val="both"/>
        <w:rPr>
          <w:rFonts w:ascii="Verdana" w:hAnsi="Verdana" w:cs="Arial"/>
          <w:sz w:val="19"/>
          <w:szCs w:val="19"/>
        </w:rPr>
      </w:pPr>
      <w:r w:rsidRPr="00E452C9">
        <w:rPr>
          <w:rStyle w:val="Refdenotaalpie"/>
          <w:rFonts w:ascii="Verdana" w:hAnsi="Verdana" w:cs="Arial"/>
          <w:sz w:val="19"/>
          <w:szCs w:val="19"/>
        </w:rPr>
        <w:footnoteRef/>
      </w:r>
      <w:r w:rsidRPr="00E452C9">
        <w:rPr>
          <w:rFonts w:ascii="Verdana" w:hAnsi="Verdana" w:cs="Arial"/>
          <w:sz w:val="19"/>
          <w:szCs w:val="19"/>
        </w:rPr>
        <w:t xml:space="preserve"> Circular Reglamentaria Externa – DOAM- 146 de 4 de noviembre de 2020, expedida por la junta directiva del Banco de la República de Colombia. </w:t>
      </w:r>
    </w:p>
    <w:p w14:paraId="7C7C0115" w14:textId="77777777" w:rsidR="00C30B31" w:rsidRPr="00E452C9" w:rsidRDefault="00C30B31" w:rsidP="00C30B31">
      <w:pPr>
        <w:pStyle w:val="Textonotapie"/>
        <w:ind w:firstLine="708"/>
        <w:jc w:val="both"/>
        <w:rPr>
          <w:rFonts w:ascii="Verdana" w:hAnsi="Verdana" w:cs="Arial"/>
          <w:sz w:val="19"/>
          <w:szCs w:val="19"/>
        </w:rPr>
      </w:pPr>
    </w:p>
  </w:footnote>
  <w:footnote w:id="18">
    <w:p w14:paraId="3C428A2D" w14:textId="77777777" w:rsidR="00C30B31" w:rsidRPr="00E452C9" w:rsidRDefault="00C30B31" w:rsidP="00C30B31">
      <w:pPr>
        <w:pStyle w:val="Textonotapie"/>
        <w:ind w:firstLine="708"/>
        <w:jc w:val="both"/>
        <w:rPr>
          <w:rFonts w:ascii="Verdana" w:hAnsi="Verdana" w:cs="Arial"/>
          <w:sz w:val="19"/>
          <w:szCs w:val="19"/>
        </w:rPr>
      </w:pPr>
      <w:r w:rsidRPr="00E452C9">
        <w:rPr>
          <w:rStyle w:val="Refdenotaalpie"/>
          <w:rFonts w:ascii="Verdana" w:hAnsi="Verdana" w:cs="Arial"/>
          <w:sz w:val="19"/>
          <w:szCs w:val="19"/>
        </w:rPr>
        <w:footnoteRef/>
      </w:r>
      <w:r w:rsidRPr="00E452C9">
        <w:rPr>
          <w:rFonts w:ascii="Verdana" w:hAnsi="Verdana" w:cs="Arial"/>
          <w:sz w:val="19"/>
          <w:szCs w:val="19"/>
        </w:rPr>
        <w:t xml:space="preserve"> </w:t>
      </w:r>
      <w:hyperlink r:id="rId4" w:history="1">
        <w:r w:rsidRPr="00E452C9">
          <w:rPr>
            <w:rStyle w:val="Hipervnculo"/>
            <w:rFonts w:ascii="Verdana" w:hAnsi="Verdana" w:cs="Arial"/>
            <w:sz w:val="19"/>
            <w:szCs w:val="19"/>
          </w:rPr>
          <w:t>https://www.banrep.gov.co/es/estadisticas/trm</w:t>
        </w:r>
      </w:hyperlink>
      <w:r w:rsidRPr="00E452C9">
        <w:rPr>
          <w:rFonts w:ascii="Verdana" w:hAnsi="Verdana"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9FC39C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56235712" o:spid="_x0000_i1025" type="#_x0000_t75" style="width:11.25pt;height:11.25pt;visibility:visible;mso-wrap-style:square">
            <v:imagedata r:id="rId1" o:title=""/>
          </v:shape>
        </w:pict>
      </mc:Choice>
      <mc:Fallback>
        <w:drawing>
          <wp:inline distT="0" distB="0" distL="0" distR="0" wp14:anchorId="11FBD7D7" wp14:editId="11FBD7D8">
            <wp:extent cx="142875" cy="142875"/>
            <wp:effectExtent l="0" t="0" r="0" b="0"/>
            <wp:docPr id="456235712" name="Imagen 45623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0863BB8"/>
    <w:multiLevelType w:val="hybridMultilevel"/>
    <w:tmpl w:val="2CF07730"/>
    <w:lvl w:ilvl="0" w:tplc="B1B26A72">
      <w:start w:val="1"/>
      <w:numFmt w:val="lowerRoman"/>
      <w:lvlText w:val="%1)"/>
      <w:lvlJc w:val="left"/>
      <w:pPr>
        <w:ind w:left="720" w:hanging="720"/>
      </w:pPr>
      <w:rPr>
        <w:rFonts w:eastAsia="Aptos" w:cs="ArialMT" w:hint="default"/>
        <w:color w:val="auto"/>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15:restartNumberingAfterBreak="0">
    <w:nsid w:val="01C06310"/>
    <w:multiLevelType w:val="multilevel"/>
    <w:tmpl w:val="25FEEF8E"/>
    <w:lvl w:ilvl="0">
      <w:start w:val="1"/>
      <w:numFmt w:val="decimal"/>
      <w:lvlText w:val="%1."/>
      <w:lvlJc w:val="left"/>
      <w:pPr>
        <w:ind w:left="-578" w:hanging="360"/>
      </w:pPr>
      <w:rPr>
        <w:b/>
        <w:color w:val="000000" w:themeColor="text1"/>
      </w:rPr>
    </w:lvl>
    <w:lvl w:ilvl="1">
      <w:start w:val="2"/>
      <w:numFmt w:val="decimal"/>
      <w:isLgl/>
      <w:lvlText w:val="%1.%2"/>
      <w:lvlJc w:val="left"/>
      <w:pPr>
        <w:ind w:left="-938" w:hanging="360"/>
      </w:pPr>
    </w:lvl>
    <w:lvl w:ilvl="2">
      <w:start w:val="1"/>
      <w:numFmt w:val="decimal"/>
      <w:isLgl/>
      <w:lvlText w:val="%1.%2.%3"/>
      <w:lvlJc w:val="left"/>
      <w:pPr>
        <w:ind w:left="-218" w:hanging="720"/>
      </w:pPr>
    </w:lvl>
    <w:lvl w:ilvl="3">
      <w:start w:val="1"/>
      <w:numFmt w:val="decimal"/>
      <w:isLgl/>
      <w:lvlText w:val="%1.%2.%3.%4"/>
      <w:lvlJc w:val="left"/>
      <w:pPr>
        <w:ind w:left="-218" w:hanging="720"/>
      </w:pPr>
    </w:lvl>
    <w:lvl w:ilvl="4">
      <w:start w:val="1"/>
      <w:numFmt w:val="decimal"/>
      <w:isLgl/>
      <w:lvlText w:val="%1.%2.%3.%4.%5"/>
      <w:lvlJc w:val="left"/>
      <w:pPr>
        <w:ind w:left="142" w:hanging="1080"/>
      </w:pPr>
    </w:lvl>
    <w:lvl w:ilvl="5">
      <w:start w:val="1"/>
      <w:numFmt w:val="decimal"/>
      <w:isLgl/>
      <w:lvlText w:val="%1.%2.%3.%4.%5.%6"/>
      <w:lvlJc w:val="left"/>
      <w:pPr>
        <w:ind w:left="142" w:hanging="1080"/>
      </w:pPr>
    </w:lvl>
    <w:lvl w:ilvl="6">
      <w:start w:val="1"/>
      <w:numFmt w:val="decimal"/>
      <w:isLgl/>
      <w:lvlText w:val="%1.%2.%3.%4.%5.%6.%7"/>
      <w:lvlJc w:val="left"/>
      <w:pPr>
        <w:ind w:left="502" w:hanging="1440"/>
      </w:pPr>
    </w:lvl>
    <w:lvl w:ilvl="7">
      <w:start w:val="1"/>
      <w:numFmt w:val="decimal"/>
      <w:isLgl/>
      <w:lvlText w:val="%1.%2.%3.%4.%5.%6.%7.%8"/>
      <w:lvlJc w:val="left"/>
      <w:pPr>
        <w:ind w:left="502" w:hanging="1440"/>
      </w:pPr>
    </w:lvl>
    <w:lvl w:ilvl="8">
      <w:start w:val="1"/>
      <w:numFmt w:val="decimal"/>
      <w:isLgl/>
      <w:lvlText w:val="%1.%2.%3.%4.%5.%6.%7.%8.%9"/>
      <w:lvlJc w:val="left"/>
      <w:pPr>
        <w:ind w:left="862"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C43DA3"/>
    <w:multiLevelType w:val="hybridMultilevel"/>
    <w:tmpl w:val="72E63D02"/>
    <w:lvl w:ilvl="0" w:tplc="A83CA550">
      <w:start w:val="1"/>
      <w:numFmt w:val="lowerRoman"/>
      <w:lvlText w:val="%1)"/>
      <w:lvlJc w:val="left"/>
      <w:pPr>
        <w:ind w:left="1080" w:hanging="720"/>
      </w:pPr>
      <w:rPr>
        <w:rFonts w:eastAsia="Arial" w:cs="Aria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84F321C"/>
    <w:multiLevelType w:val="hybridMultilevel"/>
    <w:tmpl w:val="87067C84"/>
    <w:lvl w:ilvl="0" w:tplc="A182A6C6">
      <w:start w:val="1"/>
      <w:numFmt w:val="lowerRoman"/>
      <w:lvlText w:val="%1)"/>
      <w:lvlJc w:val="left"/>
      <w:pPr>
        <w:ind w:left="795" w:hanging="720"/>
      </w:pPr>
      <w:rPr>
        <w:rFonts w:eastAsia="Aptos" w:cs="ArialMT" w:hint="default"/>
      </w:rPr>
    </w:lvl>
    <w:lvl w:ilvl="1" w:tplc="240A0019" w:tentative="1">
      <w:start w:val="1"/>
      <w:numFmt w:val="lowerLetter"/>
      <w:lvlText w:val="%2."/>
      <w:lvlJc w:val="left"/>
      <w:pPr>
        <w:ind w:left="1155" w:hanging="360"/>
      </w:pPr>
    </w:lvl>
    <w:lvl w:ilvl="2" w:tplc="240A001B" w:tentative="1">
      <w:start w:val="1"/>
      <w:numFmt w:val="lowerRoman"/>
      <w:lvlText w:val="%3."/>
      <w:lvlJc w:val="right"/>
      <w:pPr>
        <w:ind w:left="1875" w:hanging="180"/>
      </w:pPr>
    </w:lvl>
    <w:lvl w:ilvl="3" w:tplc="240A000F" w:tentative="1">
      <w:start w:val="1"/>
      <w:numFmt w:val="decimal"/>
      <w:lvlText w:val="%4."/>
      <w:lvlJc w:val="left"/>
      <w:pPr>
        <w:ind w:left="2595" w:hanging="360"/>
      </w:pPr>
    </w:lvl>
    <w:lvl w:ilvl="4" w:tplc="240A0019" w:tentative="1">
      <w:start w:val="1"/>
      <w:numFmt w:val="lowerLetter"/>
      <w:lvlText w:val="%5."/>
      <w:lvlJc w:val="left"/>
      <w:pPr>
        <w:ind w:left="3315" w:hanging="360"/>
      </w:pPr>
    </w:lvl>
    <w:lvl w:ilvl="5" w:tplc="240A001B" w:tentative="1">
      <w:start w:val="1"/>
      <w:numFmt w:val="lowerRoman"/>
      <w:lvlText w:val="%6."/>
      <w:lvlJc w:val="right"/>
      <w:pPr>
        <w:ind w:left="4035" w:hanging="180"/>
      </w:pPr>
    </w:lvl>
    <w:lvl w:ilvl="6" w:tplc="240A000F" w:tentative="1">
      <w:start w:val="1"/>
      <w:numFmt w:val="decimal"/>
      <w:lvlText w:val="%7."/>
      <w:lvlJc w:val="left"/>
      <w:pPr>
        <w:ind w:left="4755" w:hanging="360"/>
      </w:pPr>
    </w:lvl>
    <w:lvl w:ilvl="7" w:tplc="240A0019" w:tentative="1">
      <w:start w:val="1"/>
      <w:numFmt w:val="lowerLetter"/>
      <w:lvlText w:val="%8."/>
      <w:lvlJc w:val="left"/>
      <w:pPr>
        <w:ind w:left="5475" w:hanging="360"/>
      </w:pPr>
    </w:lvl>
    <w:lvl w:ilvl="8" w:tplc="240A001B" w:tentative="1">
      <w:start w:val="1"/>
      <w:numFmt w:val="lowerRoman"/>
      <w:lvlText w:val="%9."/>
      <w:lvlJc w:val="right"/>
      <w:pPr>
        <w:ind w:left="6195" w:hanging="180"/>
      </w:pPr>
    </w:lvl>
  </w:abstractNum>
  <w:abstractNum w:abstractNumId="6" w15:restartNumberingAfterBreak="0">
    <w:nsid w:val="19F9136E"/>
    <w:multiLevelType w:val="hybridMultilevel"/>
    <w:tmpl w:val="B4FA76CC"/>
    <w:lvl w:ilvl="0" w:tplc="96CED9E4">
      <w:start w:val="1"/>
      <w:numFmt w:val="lowerRoman"/>
      <w:lvlText w:val="%1)"/>
      <w:lvlJc w:val="left"/>
      <w:pPr>
        <w:ind w:left="720" w:hanging="720"/>
      </w:pPr>
      <w:rPr>
        <w:rFonts w:eastAsiaTheme="minorHAnsi" w:cs="Arial"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F10692"/>
    <w:multiLevelType w:val="hybridMultilevel"/>
    <w:tmpl w:val="CD1E8312"/>
    <w:lvl w:ilvl="0" w:tplc="240A0001">
      <w:start w:val="1"/>
      <w:numFmt w:val="bullet"/>
      <w:lvlText w:val=""/>
      <w:lvlJc w:val="left"/>
      <w:pPr>
        <w:ind w:left="502"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5" w15:restartNumberingAfterBreak="0">
    <w:nsid w:val="45116139"/>
    <w:multiLevelType w:val="hybridMultilevel"/>
    <w:tmpl w:val="5BECD20E"/>
    <w:lvl w:ilvl="0" w:tplc="240A0015">
      <w:start w:val="3"/>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BDC0906"/>
    <w:multiLevelType w:val="hybridMultilevel"/>
    <w:tmpl w:val="62303AC0"/>
    <w:lvl w:ilvl="0" w:tplc="252445BC">
      <w:start w:val="1"/>
      <w:numFmt w:val="upperLetter"/>
      <w:lvlText w:val="%1."/>
      <w:lvlJc w:val="left"/>
      <w:pPr>
        <w:ind w:left="720" w:hanging="360"/>
      </w:pPr>
      <w:rPr>
        <w:rFonts w:ascii="Arial" w:hAnsi="Arial" w:cs="Arial" w:hint="default"/>
        <w:b w:val="0"/>
        <w:bCs w:val="0"/>
        <w:sz w:val="20"/>
        <w:szCs w:val="2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53800D45"/>
    <w:multiLevelType w:val="hybridMultilevel"/>
    <w:tmpl w:val="4680F17C"/>
    <w:lvl w:ilvl="0" w:tplc="E462419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9"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6A3E6E"/>
    <w:multiLevelType w:val="hybridMultilevel"/>
    <w:tmpl w:val="2AE86FCC"/>
    <w:lvl w:ilvl="0" w:tplc="2E724292">
      <w:start w:val="4"/>
      <w:numFmt w:val="lowerLetter"/>
      <w:lvlText w:val="%1."/>
      <w:lvlJc w:val="left"/>
      <w:pPr>
        <w:ind w:left="1069" w:hanging="360"/>
      </w:pPr>
      <w:rPr>
        <w:rFonts w:ascii="Arial" w:eastAsia="Arial" w:hAnsi="Arial"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2FC6F19"/>
    <w:multiLevelType w:val="hybridMultilevel"/>
    <w:tmpl w:val="D9D419B0"/>
    <w:lvl w:ilvl="0" w:tplc="240A0001">
      <w:start w:val="1"/>
      <w:numFmt w:val="bullet"/>
      <w:lvlText w:val=""/>
      <w:lvlJc w:val="left"/>
      <w:pPr>
        <w:ind w:left="1800" w:hanging="360"/>
      </w:pPr>
      <w:rPr>
        <w:rFonts w:ascii="Symbol" w:hAnsi="Symbol" w:hint="default"/>
      </w:rPr>
    </w:lvl>
    <w:lvl w:ilvl="1" w:tplc="240A0003" w:tentative="1">
      <w:start w:val="1"/>
      <w:numFmt w:val="bullet"/>
      <w:lvlText w:val="o"/>
      <w:lvlJc w:val="left"/>
      <w:pPr>
        <w:ind w:left="2520" w:hanging="360"/>
      </w:pPr>
      <w:rPr>
        <w:rFonts w:ascii="Courier New" w:hAnsi="Courier New" w:cs="Courier New" w:hint="default"/>
      </w:rPr>
    </w:lvl>
    <w:lvl w:ilvl="2" w:tplc="240A0005" w:tentative="1">
      <w:start w:val="1"/>
      <w:numFmt w:val="bullet"/>
      <w:lvlText w:val=""/>
      <w:lvlJc w:val="left"/>
      <w:pPr>
        <w:ind w:left="3240" w:hanging="360"/>
      </w:pPr>
      <w:rPr>
        <w:rFonts w:ascii="Wingdings" w:hAnsi="Wingdings" w:hint="default"/>
      </w:rPr>
    </w:lvl>
    <w:lvl w:ilvl="3" w:tplc="240A0001" w:tentative="1">
      <w:start w:val="1"/>
      <w:numFmt w:val="bullet"/>
      <w:lvlText w:val=""/>
      <w:lvlJc w:val="left"/>
      <w:pPr>
        <w:ind w:left="3960" w:hanging="360"/>
      </w:pPr>
      <w:rPr>
        <w:rFonts w:ascii="Symbol" w:hAnsi="Symbol" w:hint="default"/>
      </w:rPr>
    </w:lvl>
    <w:lvl w:ilvl="4" w:tplc="240A0003" w:tentative="1">
      <w:start w:val="1"/>
      <w:numFmt w:val="bullet"/>
      <w:lvlText w:val="o"/>
      <w:lvlJc w:val="left"/>
      <w:pPr>
        <w:ind w:left="4680" w:hanging="360"/>
      </w:pPr>
      <w:rPr>
        <w:rFonts w:ascii="Courier New" w:hAnsi="Courier New" w:cs="Courier New" w:hint="default"/>
      </w:rPr>
    </w:lvl>
    <w:lvl w:ilvl="5" w:tplc="240A0005" w:tentative="1">
      <w:start w:val="1"/>
      <w:numFmt w:val="bullet"/>
      <w:lvlText w:val=""/>
      <w:lvlJc w:val="left"/>
      <w:pPr>
        <w:ind w:left="5400" w:hanging="360"/>
      </w:pPr>
      <w:rPr>
        <w:rFonts w:ascii="Wingdings" w:hAnsi="Wingdings" w:hint="default"/>
      </w:rPr>
    </w:lvl>
    <w:lvl w:ilvl="6" w:tplc="240A0001" w:tentative="1">
      <w:start w:val="1"/>
      <w:numFmt w:val="bullet"/>
      <w:lvlText w:val=""/>
      <w:lvlJc w:val="left"/>
      <w:pPr>
        <w:ind w:left="6120" w:hanging="360"/>
      </w:pPr>
      <w:rPr>
        <w:rFonts w:ascii="Symbol" w:hAnsi="Symbol" w:hint="default"/>
      </w:rPr>
    </w:lvl>
    <w:lvl w:ilvl="7" w:tplc="240A0003" w:tentative="1">
      <w:start w:val="1"/>
      <w:numFmt w:val="bullet"/>
      <w:lvlText w:val="o"/>
      <w:lvlJc w:val="left"/>
      <w:pPr>
        <w:ind w:left="6840" w:hanging="360"/>
      </w:pPr>
      <w:rPr>
        <w:rFonts w:ascii="Courier New" w:hAnsi="Courier New" w:cs="Courier New" w:hint="default"/>
      </w:rPr>
    </w:lvl>
    <w:lvl w:ilvl="8" w:tplc="240A0005" w:tentative="1">
      <w:start w:val="1"/>
      <w:numFmt w:val="bullet"/>
      <w:lvlText w:val=""/>
      <w:lvlJc w:val="left"/>
      <w:pPr>
        <w:ind w:left="7560" w:hanging="360"/>
      </w:pPr>
      <w:rPr>
        <w:rFonts w:ascii="Wingdings" w:hAnsi="Wingdings" w:hint="default"/>
      </w:rPr>
    </w:lvl>
  </w:abstractNum>
  <w:num w:numId="1" w16cid:durableId="948779781">
    <w:abstractNumId w:val="11"/>
  </w:num>
  <w:num w:numId="2" w16cid:durableId="19822139">
    <w:abstractNumId w:val="4"/>
  </w:num>
  <w:num w:numId="3" w16cid:durableId="876742304">
    <w:abstractNumId w:val="9"/>
  </w:num>
  <w:num w:numId="4" w16cid:durableId="2451864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4"/>
  </w:num>
  <w:num w:numId="6" w16cid:durableId="316692925">
    <w:abstractNumId w:val="22"/>
  </w:num>
  <w:num w:numId="7" w16cid:durableId="1946422806">
    <w:abstractNumId w:val="10"/>
  </w:num>
  <w:num w:numId="8" w16cid:durableId="152644682">
    <w:abstractNumId w:val="20"/>
  </w:num>
  <w:num w:numId="9" w16cid:durableId="1317221377">
    <w:abstractNumId w:val="12"/>
  </w:num>
  <w:num w:numId="10" w16cid:durableId="1471245386">
    <w:abstractNumId w:val="19"/>
  </w:num>
  <w:num w:numId="11" w16cid:durableId="289172385">
    <w:abstractNumId w:val="13"/>
  </w:num>
  <w:num w:numId="12" w16cid:durableId="1470781324">
    <w:abstractNumId w:val="2"/>
  </w:num>
  <w:num w:numId="13" w16cid:durableId="1512908409">
    <w:abstractNumId w:val="7"/>
  </w:num>
  <w:num w:numId="14" w16cid:durableId="895897244">
    <w:abstractNumId w:val="23"/>
  </w:num>
  <w:num w:numId="15" w16cid:durableId="390349800">
    <w:abstractNumId w:val="18"/>
  </w:num>
  <w:num w:numId="16" w16cid:durableId="341274352">
    <w:abstractNumId w:val="1"/>
  </w:num>
  <w:num w:numId="17" w16cid:durableId="679089576">
    <w:abstractNumId w:val="14"/>
  </w:num>
  <w:num w:numId="18" w16cid:durableId="2139909414">
    <w:abstractNumId w:val="8"/>
  </w:num>
  <w:num w:numId="19" w16cid:durableId="2101413390">
    <w:abstractNumId w:val="24"/>
  </w:num>
  <w:num w:numId="20" w16cid:durableId="690303422">
    <w:abstractNumId w:val="17"/>
  </w:num>
  <w:num w:numId="21" w16cid:durableId="1482696387">
    <w:abstractNumId w:val="16"/>
  </w:num>
  <w:num w:numId="22" w16cid:durableId="1872301531">
    <w:abstractNumId w:val="15"/>
  </w:num>
  <w:num w:numId="23" w16cid:durableId="794639157">
    <w:abstractNumId w:val="21"/>
  </w:num>
  <w:num w:numId="24" w16cid:durableId="1499034290">
    <w:abstractNumId w:val="3"/>
  </w:num>
  <w:num w:numId="25" w16cid:durableId="20788392">
    <w:abstractNumId w:val="6"/>
  </w:num>
  <w:num w:numId="26" w16cid:durableId="1998531922">
    <w:abstractNumId w:val="5"/>
  </w:num>
  <w:num w:numId="27" w16cid:durableId="33972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3BAE"/>
    <w:rsid w:val="000D0334"/>
    <w:rsid w:val="000F6486"/>
    <w:rsid w:val="00125105"/>
    <w:rsid w:val="00127233"/>
    <w:rsid w:val="001511A0"/>
    <w:rsid w:val="001540DB"/>
    <w:rsid w:val="001E4177"/>
    <w:rsid w:val="001F7DC6"/>
    <w:rsid w:val="002311DF"/>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1536B"/>
    <w:rsid w:val="0042722E"/>
    <w:rsid w:val="0044528D"/>
    <w:rsid w:val="004A1847"/>
    <w:rsid w:val="004A305D"/>
    <w:rsid w:val="004F21C4"/>
    <w:rsid w:val="004F685F"/>
    <w:rsid w:val="005566E8"/>
    <w:rsid w:val="00574867"/>
    <w:rsid w:val="00591460"/>
    <w:rsid w:val="005B3816"/>
    <w:rsid w:val="005C3777"/>
    <w:rsid w:val="005C5CDC"/>
    <w:rsid w:val="005D476C"/>
    <w:rsid w:val="005E5000"/>
    <w:rsid w:val="006068F1"/>
    <w:rsid w:val="006219F8"/>
    <w:rsid w:val="00665D70"/>
    <w:rsid w:val="006900D9"/>
    <w:rsid w:val="00706C16"/>
    <w:rsid w:val="00733281"/>
    <w:rsid w:val="00756841"/>
    <w:rsid w:val="007649AB"/>
    <w:rsid w:val="00771D0C"/>
    <w:rsid w:val="007833AC"/>
    <w:rsid w:val="007B268C"/>
    <w:rsid w:val="007B7171"/>
    <w:rsid w:val="007C0C0F"/>
    <w:rsid w:val="007C3DC2"/>
    <w:rsid w:val="007E5497"/>
    <w:rsid w:val="00806F5F"/>
    <w:rsid w:val="008154D4"/>
    <w:rsid w:val="00820278"/>
    <w:rsid w:val="00867F95"/>
    <w:rsid w:val="0088218A"/>
    <w:rsid w:val="008843B6"/>
    <w:rsid w:val="00887C65"/>
    <w:rsid w:val="00891928"/>
    <w:rsid w:val="008949FB"/>
    <w:rsid w:val="008A446D"/>
    <w:rsid w:val="008D180B"/>
    <w:rsid w:val="008F0EA7"/>
    <w:rsid w:val="00906A7C"/>
    <w:rsid w:val="00923EEF"/>
    <w:rsid w:val="009419F9"/>
    <w:rsid w:val="0095685E"/>
    <w:rsid w:val="00961B09"/>
    <w:rsid w:val="00965334"/>
    <w:rsid w:val="0097093E"/>
    <w:rsid w:val="00970C4E"/>
    <w:rsid w:val="00986AC5"/>
    <w:rsid w:val="009A0DFA"/>
    <w:rsid w:val="009B2D26"/>
    <w:rsid w:val="009C71FA"/>
    <w:rsid w:val="009C72E7"/>
    <w:rsid w:val="009D3058"/>
    <w:rsid w:val="009F3A13"/>
    <w:rsid w:val="00A122D3"/>
    <w:rsid w:val="00A17F13"/>
    <w:rsid w:val="00A20739"/>
    <w:rsid w:val="00A33C78"/>
    <w:rsid w:val="00A41760"/>
    <w:rsid w:val="00A47664"/>
    <w:rsid w:val="00AB0ADB"/>
    <w:rsid w:val="00B01B1A"/>
    <w:rsid w:val="00B303EE"/>
    <w:rsid w:val="00B66319"/>
    <w:rsid w:val="00B72CD3"/>
    <w:rsid w:val="00B72FFF"/>
    <w:rsid w:val="00BA0950"/>
    <w:rsid w:val="00BC3D36"/>
    <w:rsid w:val="00BD7F72"/>
    <w:rsid w:val="00C009EF"/>
    <w:rsid w:val="00C04FB3"/>
    <w:rsid w:val="00C30B31"/>
    <w:rsid w:val="00C330EB"/>
    <w:rsid w:val="00C41061"/>
    <w:rsid w:val="00C754BE"/>
    <w:rsid w:val="00C76B1C"/>
    <w:rsid w:val="00C9492C"/>
    <w:rsid w:val="00CB6357"/>
    <w:rsid w:val="00CC1B26"/>
    <w:rsid w:val="00D330A1"/>
    <w:rsid w:val="00D423A2"/>
    <w:rsid w:val="00D520D8"/>
    <w:rsid w:val="00D63AC2"/>
    <w:rsid w:val="00D7383B"/>
    <w:rsid w:val="00DA231B"/>
    <w:rsid w:val="00DC39FC"/>
    <w:rsid w:val="00DF5254"/>
    <w:rsid w:val="00E16408"/>
    <w:rsid w:val="00E20894"/>
    <w:rsid w:val="00E245AB"/>
    <w:rsid w:val="00E25BF9"/>
    <w:rsid w:val="00E2764C"/>
    <w:rsid w:val="00E27F2E"/>
    <w:rsid w:val="00E445C3"/>
    <w:rsid w:val="00E50AFE"/>
    <w:rsid w:val="00E75C92"/>
    <w:rsid w:val="00E771DC"/>
    <w:rsid w:val="00E853B4"/>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32E0163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C30B31"/>
    <w:pPr>
      <w:keepNext/>
      <w:keepLines/>
      <w:spacing w:before="240" w:after="0"/>
      <w:outlineLvl w:val="0"/>
    </w:pPr>
    <w:rPr>
      <w:rFonts w:ascii="Aptos Display" w:eastAsia="Times New Roman" w:hAnsi="Aptos Display" w:cs="Times New Roman"/>
      <w:color w:val="0F4761"/>
      <w:sz w:val="40"/>
      <w:szCs w:val="40"/>
    </w:rPr>
  </w:style>
  <w:style w:type="paragraph" w:styleId="Ttulo2">
    <w:name w:val="heading 2"/>
    <w:basedOn w:val="Normal"/>
    <w:next w:val="Normal"/>
    <w:link w:val="Ttulo2Car"/>
    <w:uiPriority w:val="9"/>
    <w:semiHidden/>
    <w:unhideWhenUsed/>
    <w:qFormat/>
    <w:rsid w:val="00C30B31"/>
    <w:pPr>
      <w:keepNext/>
      <w:keepLines/>
      <w:spacing w:before="40" w:after="0"/>
      <w:outlineLvl w:val="1"/>
    </w:pPr>
    <w:rPr>
      <w:rFonts w:ascii="Aptos Display" w:eastAsia="Times New Roman" w:hAnsi="Aptos Display" w:cs="Times New Roman"/>
      <w:color w:val="0F4761"/>
      <w:sz w:val="32"/>
      <w:szCs w:val="32"/>
    </w:rPr>
  </w:style>
  <w:style w:type="paragraph" w:styleId="Ttulo3">
    <w:name w:val="heading 3"/>
    <w:basedOn w:val="Normal"/>
    <w:next w:val="Normal"/>
    <w:link w:val="Ttulo3Car"/>
    <w:uiPriority w:val="9"/>
    <w:semiHidden/>
    <w:unhideWhenUsed/>
    <w:qFormat/>
    <w:rsid w:val="00C30B31"/>
    <w:pPr>
      <w:keepNext/>
      <w:keepLines/>
      <w:spacing w:before="40" w:after="0"/>
      <w:outlineLvl w:val="2"/>
    </w:pPr>
    <w:rPr>
      <w:rFonts w:eastAsia="Times New Roman" w:cs="Times New Roman"/>
      <w:color w:val="0F4761"/>
      <w:sz w:val="28"/>
      <w:szCs w:val="28"/>
    </w:rPr>
  </w:style>
  <w:style w:type="paragraph" w:styleId="Ttulo4">
    <w:name w:val="heading 4"/>
    <w:basedOn w:val="Normal"/>
    <w:next w:val="Normal"/>
    <w:link w:val="Ttulo4Car"/>
    <w:uiPriority w:val="9"/>
    <w:semiHidden/>
    <w:unhideWhenUsed/>
    <w:qFormat/>
    <w:rsid w:val="00C30B31"/>
    <w:pPr>
      <w:keepNext/>
      <w:keepLines/>
      <w:spacing w:before="40" w:after="0"/>
      <w:outlineLvl w:val="3"/>
    </w:pPr>
    <w:rPr>
      <w:rFonts w:eastAsia="Times New Roman" w:cs="Times New Roman"/>
      <w:i/>
      <w:iCs/>
      <w:color w:val="0F4761"/>
    </w:rPr>
  </w:style>
  <w:style w:type="paragraph" w:styleId="Ttulo5">
    <w:name w:val="heading 5"/>
    <w:basedOn w:val="Normal"/>
    <w:next w:val="Normal"/>
    <w:link w:val="Ttulo5Car"/>
    <w:uiPriority w:val="9"/>
    <w:semiHidden/>
    <w:unhideWhenUsed/>
    <w:qFormat/>
    <w:rsid w:val="00C30B31"/>
    <w:pPr>
      <w:keepNext/>
      <w:keepLines/>
      <w:spacing w:before="40" w:after="0"/>
      <w:outlineLvl w:val="4"/>
    </w:pPr>
    <w:rPr>
      <w:rFonts w:eastAsia="Times New Roman" w:cs="Times New Roman"/>
      <w:color w:val="0F4761"/>
    </w:rPr>
  </w:style>
  <w:style w:type="paragraph" w:styleId="Ttulo6">
    <w:name w:val="heading 6"/>
    <w:basedOn w:val="Normal"/>
    <w:next w:val="Normal"/>
    <w:link w:val="Ttulo6Car"/>
    <w:uiPriority w:val="9"/>
    <w:semiHidden/>
    <w:unhideWhenUsed/>
    <w:qFormat/>
    <w:rsid w:val="00C30B31"/>
    <w:pPr>
      <w:keepNext/>
      <w:keepLines/>
      <w:spacing w:before="40" w:after="0"/>
      <w:outlineLvl w:val="5"/>
    </w:pPr>
    <w:rPr>
      <w:rFonts w:eastAsia="Times New Roman" w:cs="Times New Roman"/>
      <w:i/>
      <w:iCs/>
      <w:color w:val="595959"/>
    </w:rPr>
  </w:style>
  <w:style w:type="paragraph" w:styleId="Ttulo7">
    <w:name w:val="heading 7"/>
    <w:basedOn w:val="Normal"/>
    <w:next w:val="Normal"/>
    <w:link w:val="Ttulo7Car"/>
    <w:uiPriority w:val="9"/>
    <w:semiHidden/>
    <w:unhideWhenUsed/>
    <w:qFormat/>
    <w:rsid w:val="00C30B31"/>
    <w:pPr>
      <w:keepNext/>
      <w:keepLines/>
      <w:spacing w:before="40" w:after="0"/>
      <w:outlineLvl w:val="6"/>
    </w:pPr>
    <w:rPr>
      <w:rFonts w:eastAsia="Times New Roman" w:cs="Times New Roman"/>
      <w:color w:val="595959"/>
    </w:rPr>
  </w:style>
  <w:style w:type="paragraph" w:styleId="Ttulo8">
    <w:name w:val="heading 8"/>
    <w:basedOn w:val="Normal"/>
    <w:next w:val="Normal"/>
    <w:link w:val="Ttulo8Car"/>
    <w:uiPriority w:val="9"/>
    <w:semiHidden/>
    <w:unhideWhenUsed/>
    <w:qFormat/>
    <w:rsid w:val="00C30B31"/>
    <w:pPr>
      <w:keepNext/>
      <w:keepLines/>
      <w:spacing w:before="40" w:after="0"/>
      <w:outlineLvl w:val="7"/>
    </w:pPr>
    <w:rPr>
      <w:rFonts w:eastAsia="Times New Roman" w:cs="Times New Roman"/>
      <w:i/>
      <w:iCs/>
      <w:color w:val="272727"/>
    </w:rPr>
  </w:style>
  <w:style w:type="paragraph" w:styleId="Ttulo9">
    <w:name w:val="heading 9"/>
    <w:basedOn w:val="Normal"/>
    <w:next w:val="Normal"/>
    <w:link w:val="Ttulo9Car"/>
    <w:uiPriority w:val="9"/>
    <w:semiHidden/>
    <w:unhideWhenUsed/>
    <w:qFormat/>
    <w:rsid w:val="00C30B31"/>
    <w:pPr>
      <w:keepNext/>
      <w:keepLines/>
      <w:spacing w:before="40" w:after="0"/>
      <w:outlineLvl w:val="8"/>
    </w:pPr>
    <w:rPr>
      <w:rFonts w:eastAsia="Times New Roman" w:cs="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Ttulo11">
    <w:name w:val="Título 11"/>
    <w:basedOn w:val="Normal"/>
    <w:next w:val="Normal"/>
    <w:uiPriority w:val="9"/>
    <w:qFormat/>
    <w:rsid w:val="00C30B31"/>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9"/>
    <w:semiHidden/>
    <w:unhideWhenUsed/>
    <w:qFormat/>
    <w:rsid w:val="00C30B31"/>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9"/>
    <w:semiHidden/>
    <w:unhideWhenUsed/>
    <w:qFormat/>
    <w:rsid w:val="00C30B31"/>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9"/>
    <w:semiHidden/>
    <w:unhideWhenUsed/>
    <w:qFormat/>
    <w:rsid w:val="00C30B31"/>
    <w:pPr>
      <w:keepNext/>
      <w:keepLines/>
      <w:spacing w:before="80" w:after="40" w:line="278" w:lineRule="auto"/>
      <w:outlineLvl w:val="3"/>
    </w:pPr>
    <w:rPr>
      <w:rFonts w:eastAsia="Times New Roman" w:cs="Times New Roman"/>
      <w:i/>
      <w:iCs/>
      <w:color w:val="0F4761"/>
      <w:kern w:val="2"/>
      <w:sz w:val="24"/>
      <w:szCs w:val="24"/>
      <w14:ligatures w14:val="standardContextual"/>
    </w:rPr>
  </w:style>
  <w:style w:type="paragraph" w:customStyle="1" w:styleId="Ttulo51">
    <w:name w:val="Título 51"/>
    <w:basedOn w:val="Normal"/>
    <w:next w:val="Normal"/>
    <w:uiPriority w:val="9"/>
    <w:semiHidden/>
    <w:unhideWhenUsed/>
    <w:qFormat/>
    <w:rsid w:val="00C30B31"/>
    <w:pPr>
      <w:keepNext/>
      <w:keepLines/>
      <w:spacing w:before="80" w:after="40" w:line="278" w:lineRule="auto"/>
      <w:outlineLvl w:val="4"/>
    </w:pPr>
    <w:rPr>
      <w:rFonts w:eastAsia="Times New Roman" w:cs="Times New Roman"/>
      <w:color w:val="0F4761"/>
      <w:kern w:val="2"/>
      <w:sz w:val="24"/>
      <w:szCs w:val="24"/>
      <w14:ligatures w14:val="standardContextual"/>
    </w:rPr>
  </w:style>
  <w:style w:type="paragraph" w:customStyle="1" w:styleId="Ttulo61">
    <w:name w:val="Título 61"/>
    <w:basedOn w:val="Normal"/>
    <w:next w:val="Normal"/>
    <w:uiPriority w:val="9"/>
    <w:semiHidden/>
    <w:unhideWhenUsed/>
    <w:qFormat/>
    <w:rsid w:val="00C30B31"/>
    <w:pPr>
      <w:keepNext/>
      <w:keepLines/>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Ttulo71">
    <w:name w:val="Título 71"/>
    <w:basedOn w:val="Normal"/>
    <w:next w:val="Normal"/>
    <w:uiPriority w:val="9"/>
    <w:semiHidden/>
    <w:unhideWhenUsed/>
    <w:qFormat/>
    <w:rsid w:val="00C30B31"/>
    <w:pPr>
      <w:keepNext/>
      <w:keepLines/>
      <w:spacing w:before="40" w:after="0" w:line="278" w:lineRule="auto"/>
      <w:outlineLvl w:val="6"/>
    </w:pPr>
    <w:rPr>
      <w:rFonts w:eastAsia="Times New Roman" w:cs="Times New Roman"/>
      <w:color w:val="595959"/>
      <w:kern w:val="2"/>
      <w:sz w:val="24"/>
      <w:szCs w:val="24"/>
      <w14:ligatures w14:val="standardContextual"/>
    </w:rPr>
  </w:style>
  <w:style w:type="paragraph" w:customStyle="1" w:styleId="Ttulo81">
    <w:name w:val="Título 81"/>
    <w:basedOn w:val="Normal"/>
    <w:next w:val="Normal"/>
    <w:uiPriority w:val="9"/>
    <w:semiHidden/>
    <w:unhideWhenUsed/>
    <w:qFormat/>
    <w:rsid w:val="00C30B31"/>
    <w:pPr>
      <w:keepNext/>
      <w:keepLines/>
      <w:spacing w:after="0" w:line="278" w:lineRule="auto"/>
      <w:outlineLvl w:val="7"/>
    </w:pPr>
    <w:rPr>
      <w:rFonts w:eastAsia="Times New Roman" w:cs="Times New Roman"/>
      <w:i/>
      <w:iCs/>
      <w:color w:val="272727"/>
      <w:kern w:val="2"/>
      <w:sz w:val="24"/>
      <w:szCs w:val="24"/>
      <w14:ligatures w14:val="standardContextual"/>
    </w:rPr>
  </w:style>
  <w:style w:type="paragraph" w:customStyle="1" w:styleId="Ttulo91">
    <w:name w:val="Título 91"/>
    <w:basedOn w:val="Normal"/>
    <w:next w:val="Normal"/>
    <w:uiPriority w:val="9"/>
    <w:semiHidden/>
    <w:unhideWhenUsed/>
    <w:qFormat/>
    <w:rsid w:val="00C30B31"/>
    <w:pPr>
      <w:keepNext/>
      <w:keepLines/>
      <w:spacing w:after="0" w:line="278" w:lineRule="auto"/>
      <w:outlineLvl w:val="8"/>
    </w:pPr>
    <w:rPr>
      <w:rFonts w:eastAsia="Times New Roman" w:cs="Times New Roman"/>
      <w:color w:val="272727"/>
      <w:kern w:val="2"/>
      <w:sz w:val="24"/>
      <w:szCs w:val="24"/>
      <w14:ligatures w14:val="standardContextual"/>
    </w:rPr>
  </w:style>
  <w:style w:type="numbering" w:customStyle="1" w:styleId="Sinlista1">
    <w:name w:val="Sin lista1"/>
    <w:next w:val="Sinlista"/>
    <w:uiPriority w:val="99"/>
    <w:semiHidden/>
    <w:unhideWhenUsed/>
    <w:rsid w:val="00C30B31"/>
  </w:style>
  <w:style w:type="character" w:customStyle="1" w:styleId="Ttulo1Car">
    <w:name w:val="Título 1 Car"/>
    <w:basedOn w:val="Fuentedeprrafopredeter"/>
    <w:link w:val="Ttulo1"/>
    <w:uiPriority w:val="9"/>
    <w:rsid w:val="00C30B31"/>
    <w:rPr>
      <w:rFonts w:ascii="Aptos Display" w:eastAsia="Times New Roman" w:hAnsi="Aptos Display" w:cs="Times New Roman"/>
      <w:color w:val="0F4761"/>
      <w:sz w:val="40"/>
      <w:szCs w:val="40"/>
    </w:rPr>
  </w:style>
  <w:style w:type="character" w:customStyle="1" w:styleId="Ttulo2Car">
    <w:name w:val="Título 2 Car"/>
    <w:basedOn w:val="Fuentedeprrafopredeter"/>
    <w:link w:val="Ttulo2"/>
    <w:uiPriority w:val="9"/>
    <w:semiHidden/>
    <w:rsid w:val="00C30B31"/>
    <w:rPr>
      <w:rFonts w:ascii="Aptos Display" w:eastAsia="Times New Roman" w:hAnsi="Aptos Display" w:cs="Times New Roman"/>
      <w:color w:val="0F4761"/>
      <w:sz w:val="32"/>
      <w:szCs w:val="32"/>
    </w:rPr>
  </w:style>
  <w:style w:type="character" w:customStyle="1" w:styleId="Ttulo3Car">
    <w:name w:val="Título 3 Car"/>
    <w:basedOn w:val="Fuentedeprrafopredeter"/>
    <w:link w:val="Ttulo3"/>
    <w:uiPriority w:val="9"/>
    <w:semiHidden/>
    <w:rsid w:val="00C30B31"/>
    <w:rPr>
      <w:rFonts w:eastAsia="Times New Roman" w:cs="Times New Roman"/>
      <w:color w:val="0F4761"/>
      <w:sz w:val="28"/>
      <w:szCs w:val="28"/>
    </w:rPr>
  </w:style>
  <w:style w:type="character" w:customStyle="1" w:styleId="Ttulo4Car">
    <w:name w:val="Título 4 Car"/>
    <w:basedOn w:val="Fuentedeprrafopredeter"/>
    <w:link w:val="Ttulo4"/>
    <w:uiPriority w:val="9"/>
    <w:semiHidden/>
    <w:rsid w:val="00C30B31"/>
    <w:rPr>
      <w:rFonts w:eastAsia="Times New Roman" w:cs="Times New Roman"/>
      <w:i/>
      <w:iCs/>
      <w:color w:val="0F4761"/>
    </w:rPr>
  </w:style>
  <w:style w:type="character" w:customStyle="1" w:styleId="Ttulo5Car">
    <w:name w:val="Título 5 Car"/>
    <w:basedOn w:val="Fuentedeprrafopredeter"/>
    <w:link w:val="Ttulo5"/>
    <w:uiPriority w:val="9"/>
    <w:semiHidden/>
    <w:rsid w:val="00C30B31"/>
    <w:rPr>
      <w:rFonts w:eastAsia="Times New Roman" w:cs="Times New Roman"/>
      <w:color w:val="0F4761"/>
    </w:rPr>
  </w:style>
  <w:style w:type="character" w:customStyle="1" w:styleId="Ttulo6Car">
    <w:name w:val="Título 6 Car"/>
    <w:basedOn w:val="Fuentedeprrafopredeter"/>
    <w:link w:val="Ttulo6"/>
    <w:uiPriority w:val="9"/>
    <w:semiHidden/>
    <w:rsid w:val="00C30B31"/>
    <w:rPr>
      <w:rFonts w:eastAsia="Times New Roman" w:cs="Times New Roman"/>
      <w:i/>
      <w:iCs/>
      <w:color w:val="595959"/>
    </w:rPr>
  </w:style>
  <w:style w:type="character" w:customStyle="1" w:styleId="Ttulo7Car">
    <w:name w:val="Título 7 Car"/>
    <w:basedOn w:val="Fuentedeprrafopredeter"/>
    <w:link w:val="Ttulo7"/>
    <w:uiPriority w:val="9"/>
    <w:semiHidden/>
    <w:rsid w:val="00C30B31"/>
    <w:rPr>
      <w:rFonts w:eastAsia="Times New Roman" w:cs="Times New Roman"/>
      <w:color w:val="595959"/>
    </w:rPr>
  </w:style>
  <w:style w:type="character" w:customStyle="1" w:styleId="Ttulo8Car">
    <w:name w:val="Título 8 Car"/>
    <w:basedOn w:val="Fuentedeprrafopredeter"/>
    <w:link w:val="Ttulo8"/>
    <w:uiPriority w:val="9"/>
    <w:semiHidden/>
    <w:rsid w:val="00C30B31"/>
    <w:rPr>
      <w:rFonts w:eastAsia="Times New Roman" w:cs="Times New Roman"/>
      <w:i/>
      <w:iCs/>
      <w:color w:val="272727"/>
    </w:rPr>
  </w:style>
  <w:style w:type="character" w:customStyle="1" w:styleId="Ttulo9Car">
    <w:name w:val="Título 9 Car"/>
    <w:basedOn w:val="Fuentedeprrafopredeter"/>
    <w:link w:val="Ttulo9"/>
    <w:uiPriority w:val="9"/>
    <w:semiHidden/>
    <w:rsid w:val="00C30B31"/>
    <w:rPr>
      <w:rFonts w:eastAsia="Times New Roman" w:cs="Times New Roman"/>
      <w:color w:val="272727"/>
    </w:rPr>
  </w:style>
  <w:style w:type="paragraph" w:customStyle="1" w:styleId="Subttulo1">
    <w:name w:val="Subtítulo1"/>
    <w:basedOn w:val="Normal"/>
    <w:next w:val="Normal"/>
    <w:uiPriority w:val="11"/>
    <w:qFormat/>
    <w:rsid w:val="00C30B31"/>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C30B31"/>
    <w:rPr>
      <w:rFonts w:eastAsia="Times New Roman" w:cs="Times New Roman"/>
      <w:color w:val="595959"/>
      <w:spacing w:val="15"/>
      <w:sz w:val="28"/>
      <w:szCs w:val="28"/>
    </w:rPr>
  </w:style>
  <w:style w:type="paragraph" w:customStyle="1" w:styleId="Cita1">
    <w:name w:val="Cita1"/>
    <w:basedOn w:val="Normal"/>
    <w:next w:val="Normal"/>
    <w:uiPriority w:val="29"/>
    <w:qFormat/>
    <w:rsid w:val="00C30B31"/>
    <w:pPr>
      <w:spacing w:before="160" w:line="278" w:lineRule="auto"/>
      <w:jc w:val="center"/>
    </w:pPr>
    <w:rPr>
      <w:i/>
      <w:iCs/>
      <w:color w:val="404040"/>
      <w:kern w:val="2"/>
      <w:sz w:val="24"/>
      <w:szCs w:val="24"/>
      <w14:ligatures w14:val="standardContextual"/>
    </w:rPr>
  </w:style>
  <w:style w:type="character" w:customStyle="1" w:styleId="CitaCar">
    <w:name w:val="Cita Car"/>
    <w:basedOn w:val="Fuentedeprrafopredeter"/>
    <w:link w:val="Cita"/>
    <w:uiPriority w:val="29"/>
    <w:rsid w:val="00C30B31"/>
    <w:rPr>
      <w:i/>
      <w:iCs/>
      <w:color w:val="404040"/>
    </w:rPr>
  </w:style>
  <w:style w:type="character" w:customStyle="1" w:styleId="nfasisintenso1">
    <w:name w:val="Énfasis intenso1"/>
    <w:basedOn w:val="Fuentedeprrafopredeter"/>
    <w:uiPriority w:val="21"/>
    <w:qFormat/>
    <w:rsid w:val="00C30B31"/>
    <w:rPr>
      <w:i/>
      <w:iCs/>
      <w:color w:val="0F4761"/>
    </w:rPr>
  </w:style>
  <w:style w:type="paragraph" w:customStyle="1" w:styleId="Citadestacada1">
    <w:name w:val="Cita destacada1"/>
    <w:basedOn w:val="Normal"/>
    <w:next w:val="Normal"/>
    <w:uiPriority w:val="30"/>
    <w:qFormat/>
    <w:rsid w:val="00C30B31"/>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CitadestacadaCar">
    <w:name w:val="Cita destacada Car"/>
    <w:basedOn w:val="Fuentedeprrafopredeter"/>
    <w:link w:val="Citadestacada"/>
    <w:uiPriority w:val="30"/>
    <w:rsid w:val="00C30B31"/>
    <w:rPr>
      <w:i/>
      <w:iCs/>
      <w:color w:val="0F4761"/>
    </w:rPr>
  </w:style>
  <w:style w:type="character" w:customStyle="1" w:styleId="Referenciaintensa1">
    <w:name w:val="Referencia intensa1"/>
    <w:basedOn w:val="Fuentedeprrafopredeter"/>
    <w:uiPriority w:val="32"/>
    <w:qFormat/>
    <w:rsid w:val="00C30B31"/>
    <w:rPr>
      <w:b/>
      <w:bCs/>
      <w:smallCaps/>
      <w:color w:val="0F4761"/>
      <w:spacing w:val="5"/>
    </w:rPr>
  </w:style>
  <w:style w:type="paragraph" w:customStyle="1" w:styleId="Appelnotedebasde">
    <w:name w:val="Appel note de bas de..."/>
    <w:basedOn w:val="Normal"/>
    <w:link w:val="Refdenotaalpie"/>
    <w:uiPriority w:val="99"/>
    <w:rsid w:val="00C30B31"/>
    <w:pPr>
      <w:spacing w:line="240" w:lineRule="exact"/>
    </w:pPr>
    <w:rPr>
      <w:vertAlign w:val="superscript"/>
    </w:rPr>
  </w:style>
  <w:style w:type="paragraph" w:customStyle="1" w:styleId="Entidad-Capitulo">
    <w:name w:val="Entidad-Capitulo"/>
    <w:next w:val="Normal"/>
    <w:autoRedefine/>
    <w:uiPriority w:val="99"/>
    <w:qFormat/>
    <w:rsid w:val="00C30B31"/>
    <w:pPr>
      <w:keepNext/>
      <w:spacing w:before="240" w:after="0" w:line="276" w:lineRule="auto"/>
      <w:ind w:left="360"/>
      <w:jc w:val="center"/>
      <w:outlineLvl w:val="0"/>
    </w:pPr>
    <w:rPr>
      <w:rFonts w:ascii="Arial" w:eastAsia="Times New Roman" w:hAnsi="Arial" w:cs="Arial"/>
      <w:b/>
      <w:smallCaps/>
      <w:sz w:val="20"/>
      <w:szCs w:val="20"/>
      <w:lang w:eastAsia="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C30B31"/>
    <w:rPr>
      <w:rFonts w:ascii="Geomanist Light" w:hAnsi="Geomanist Light"/>
      <w:lang w:val="es-ES"/>
    </w:rPr>
  </w:style>
  <w:style w:type="character" w:styleId="Refdecomentario">
    <w:name w:val="annotation reference"/>
    <w:basedOn w:val="Fuentedeprrafopredeter"/>
    <w:uiPriority w:val="99"/>
    <w:semiHidden/>
    <w:unhideWhenUsed/>
    <w:rsid w:val="00C30B31"/>
    <w:rPr>
      <w:sz w:val="16"/>
      <w:szCs w:val="16"/>
    </w:rPr>
  </w:style>
  <w:style w:type="paragraph" w:customStyle="1" w:styleId="Textocomentario1">
    <w:name w:val="Texto comentario1"/>
    <w:basedOn w:val="Normal"/>
    <w:next w:val="Textocomentario"/>
    <w:link w:val="TextocomentarioCar"/>
    <w:uiPriority w:val="99"/>
    <w:unhideWhenUsed/>
    <w:rsid w:val="00C30B31"/>
    <w:pPr>
      <w:spacing w:line="240" w:lineRule="auto"/>
    </w:pPr>
    <w:rPr>
      <w:sz w:val="20"/>
      <w:szCs w:val="20"/>
    </w:rPr>
  </w:style>
  <w:style w:type="character" w:customStyle="1" w:styleId="TextocomentarioCar">
    <w:name w:val="Texto comentario Car"/>
    <w:basedOn w:val="Fuentedeprrafopredeter"/>
    <w:link w:val="Textocomentario1"/>
    <w:uiPriority w:val="99"/>
    <w:rsid w:val="00C30B31"/>
    <w:rPr>
      <w:sz w:val="20"/>
      <w:szCs w:val="20"/>
    </w:rPr>
  </w:style>
  <w:style w:type="character" w:customStyle="1" w:styleId="Ttulo1Car1">
    <w:name w:val="Título 1 Car1"/>
    <w:basedOn w:val="Fuentedeprrafopredeter"/>
    <w:uiPriority w:val="9"/>
    <w:rsid w:val="00C30B31"/>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C30B31"/>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C30B31"/>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C30B31"/>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C30B31"/>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C30B31"/>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C30B31"/>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C30B31"/>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C30B31"/>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C30B31"/>
    <w:pPr>
      <w:numPr>
        <w:ilvl w:val="1"/>
      </w:numPr>
    </w:pPr>
    <w:rPr>
      <w:rFonts w:eastAsia="Times New Roman" w:cs="Times New Roman"/>
      <w:color w:val="595959"/>
      <w:spacing w:val="15"/>
      <w:sz w:val="28"/>
      <w:szCs w:val="28"/>
    </w:rPr>
  </w:style>
  <w:style w:type="character" w:customStyle="1" w:styleId="SubttuloCar1">
    <w:name w:val="Subtítulo Car1"/>
    <w:basedOn w:val="Fuentedeprrafopredeter"/>
    <w:uiPriority w:val="11"/>
    <w:rsid w:val="00C30B31"/>
    <w:rPr>
      <w:rFonts w:eastAsiaTheme="minorEastAsia"/>
      <w:color w:val="5A5A5A" w:themeColor="text1" w:themeTint="A5"/>
      <w:spacing w:val="15"/>
    </w:rPr>
  </w:style>
  <w:style w:type="paragraph" w:styleId="Cita">
    <w:name w:val="Quote"/>
    <w:basedOn w:val="Normal"/>
    <w:next w:val="Normal"/>
    <w:link w:val="CitaCar"/>
    <w:uiPriority w:val="29"/>
    <w:qFormat/>
    <w:rsid w:val="00C30B31"/>
    <w:pPr>
      <w:spacing w:before="200"/>
      <w:ind w:left="864" w:right="864"/>
      <w:jc w:val="center"/>
    </w:pPr>
    <w:rPr>
      <w:i/>
      <w:iCs/>
      <w:color w:val="404040"/>
    </w:rPr>
  </w:style>
  <w:style w:type="character" w:customStyle="1" w:styleId="CitaCar1">
    <w:name w:val="Cita Car1"/>
    <w:basedOn w:val="Fuentedeprrafopredeter"/>
    <w:uiPriority w:val="29"/>
    <w:rsid w:val="00C30B31"/>
    <w:rPr>
      <w:i/>
      <w:iCs/>
      <w:color w:val="404040" w:themeColor="text1" w:themeTint="BF"/>
    </w:rPr>
  </w:style>
  <w:style w:type="character" w:styleId="nfasisintenso">
    <w:name w:val="Intense Emphasis"/>
    <w:basedOn w:val="Fuentedeprrafopredeter"/>
    <w:uiPriority w:val="21"/>
    <w:qFormat/>
    <w:rsid w:val="00C30B31"/>
    <w:rPr>
      <w:i/>
      <w:iCs/>
      <w:color w:val="4472C4" w:themeColor="accent1"/>
    </w:rPr>
  </w:style>
  <w:style w:type="paragraph" w:styleId="Citadestacada">
    <w:name w:val="Intense Quote"/>
    <w:basedOn w:val="Normal"/>
    <w:next w:val="Normal"/>
    <w:link w:val="CitadestacadaCar"/>
    <w:uiPriority w:val="30"/>
    <w:qFormat/>
    <w:rsid w:val="00C30B31"/>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C30B31"/>
    <w:rPr>
      <w:i/>
      <w:iCs/>
      <w:color w:val="4472C4" w:themeColor="accent1"/>
    </w:rPr>
  </w:style>
  <w:style w:type="character" w:styleId="Referenciaintensa">
    <w:name w:val="Intense Reference"/>
    <w:basedOn w:val="Fuentedeprrafopredeter"/>
    <w:uiPriority w:val="32"/>
    <w:qFormat/>
    <w:rsid w:val="00C30B31"/>
    <w:rPr>
      <w:b/>
      <w:bCs/>
      <w:smallCaps/>
      <w:color w:val="4472C4" w:themeColor="accent1"/>
      <w:spacing w:val="5"/>
    </w:rPr>
  </w:style>
  <w:style w:type="paragraph" w:styleId="Textocomentario">
    <w:name w:val="annotation text"/>
    <w:basedOn w:val="Normal"/>
    <w:link w:val="TextocomentarioCar1"/>
    <w:uiPriority w:val="99"/>
    <w:semiHidden/>
    <w:unhideWhenUsed/>
    <w:rsid w:val="00C30B31"/>
    <w:pPr>
      <w:spacing w:line="240" w:lineRule="auto"/>
    </w:pPr>
    <w:rPr>
      <w:sz w:val="20"/>
      <w:szCs w:val="20"/>
    </w:rPr>
  </w:style>
  <w:style w:type="character" w:customStyle="1" w:styleId="TextocomentarioCar1">
    <w:name w:val="Texto comentario Car1"/>
    <w:basedOn w:val="Fuentedeprrafopredeter"/>
    <w:link w:val="Textocomentario"/>
    <w:uiPriority w:val="99"/>
    <w:semiHidden/>
    <w:rsid w:val="00C30B31"/>
    <w:rPr>
      <w:sz w:val="20"/>
      <w:szCs w:val="20"/>
    </w:rPr>
  </w:style>
  <w:style w:type="character" w:customStyle="1" w:styleId="apple-converted-space">
    <w:name w:val="apple-converted-space"/>
    <w:basedOn w:val="Fuentedeprrafopredeter"/>
    <w:rsid w:val="004153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630958">
      <w:bodyDiv w:val="1"/>
      <w:marLeft w:val="0"/>
      <w:marRight w:val="0"/>
      <w:marTop w:val="0"/>
      <w:marBottom w:val="0"/>
      <w:divBdr>
        <w:top w:val="none" w:sz="0" w:space="0" w:color="auto"/>
        <w:left w:val="none" w:sz="0" w:space="0" w:color="auto"/>
        <w:bottom w:val="none" w:sz="0" w:space="0" w:color="auto"/>
        <w:right w:val="none" w:sz="0" w:space="0" w:color="auto"/>
      </w:divBdr>
      <w:divsChild>
        <w:div w:id="1745763262">
          <w:marLeft w:val="0"/>
          <w:marRight w:val="0"/>
          <w:marTop w:val="0"/>
          <w:marBottom w:val="0"/>
          <w:divBdr>
            <w:top w:val="none" w:sz="0" w:space="0" w:color="auto"/>
            <w:left w:val="none" w:sz="0" w:space="0" w:color="auto"/>
            <w:bottom w:val="none" w:sz="0" w:space="0" w:color="auto"/>
            <w:right w:val="none" w:sz="0" w:space="0" w:color="auto"/>
          </w:divBdr>
        </w:div>
        <w:div w:id="337385846">
          <w:marLeft w:val="0"/>
          <w:marRight w:val="0"/>
          <w:marTop w:val="0"/>
          <w:marBottom w:val="0"/>
          <w:divBdr>
            <w:top w:val="none" w:sz="0" w:space="0" w:color="auto"/>
            <w:left w:val="none" w:sz="0" w:space="0" w:color="auto"/>
            <w:bottom w:val="none" w:sz="0" w:space="0" w:color="auto"/>
            <w:right w:val="none" w:sz="0" w:space="0" w:color="auto"/>
          </w:divBdr>
        </w:div>
        <w:div w:id="1303921701">
          <w:marLeft w:val="0"/>
          <w:marRight w:val="0"/>
          <w:marTop w:val="0"/>
          <w:marBottom w:val="0"/>
          <w:divBdr>
            <w:top w:val="none" w:sz="0" w:space="0" w:color="auto"/>
            <w:left w:val="none" w:sz="0" w:space="0" w:color="auto"/>
            <w:bottom w:val="none" w:sz="0" w:space="0" w:color="auto"/>
            <w:right w:val="none" w:sz="0" w:space="0" w:color="auto"/>
          </w:divBdr>
        </w:div>
        <w:div w:id="1504785789">
          <w:marLeft w:val="0"/>
          <w:marRight w:val="0"/>
          <w:marTop w:val="240"/>
          <w:marBottom w:val="24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hyperlink" Target="http://www.colombiacompra.gov.co"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www.superfinanciera.gov.co/publicacion/60819" TargetMode="External"/><Relationship Id="rId17"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normativa-y-relatoria%2Fdocumentos-tipo&amp;data=05%7C02%7Ccarlos.castrillon%40colombiacompra.gov.co%7C7cfff6dece924643582c08dd97bfed90%7C7b09041e245149d08cb179d5e3d8c1be%7C0%7C0%7C638833572791279343%7CUnknown%7CTWFpbGZsb3d8eyJFbXB0eU1hcGkiOnRydWUsIlYiOiIwLjAuMDAwMCIsIlAiOiJXaW4zMiIsIkFOIjoiTWFpbCIsIldUIjoyfQ%3D%3D%7C0%7C%7C%7C&amp;sdata=47Uz4IOYsgnD93wzIAxFBd4IE%2F0cu6nWd7qQuWuWIoU%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uperfinanciera.gov.co/publicacion/60819"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onvocatoria%2Fparticipacion-ciudadana-proyecto-de-la-guia-para-la-elaboracion-de-estudios-del-sector&amp;data=05%7C02%7Ccarlos.castrillon%40colombiacompra.gov.co%7C7cfff6dece924643582c08dd97bfed90%7C7b09041e245149d08cb179d5e3d8c1be%7C0%7C0%7C638833572791256997%7CUnknown%7CTWFpbGZsb3d8eyJFbXB0eU1hcGkiOnRydWUsIlYiOiIwLjAuMDAwMCIsIlAiOiJXaW4zMiIsIkFOIjoiTWFpbCIsIldUIjoyfQ%3D%3D%7C0%7C%7C%7C&amp;sdata=VlGVgVWuuBuNxRVxi5od1flSbPE8xsjvWAhykoiD0qg%3D&amp;reserved=0"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lexbase.biz/lexbase/normas/leyes/2007/L1150de2007.htm" TargetMode="External"/><Relationship Id="rId2" Type="http://schemas.openxmlformats.org/officeDocument/2006/relationships/hyperlink" Target="https://www.colombiacompra.gov.co/documentos-tipo/documentos-tipo" TargetMode="External"/><Relationship Id="rId1" Type="http://schemas.openxmlformats.org/officeDocument/2006/relationships/hyperlink" Target="https://www.colombiacompra.gov.co/documentos-tipo/documentos-tipo" TargetMode="External"/><Relationship Id="rId4"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purl.org/dc/terms/"/>
    <ds:schemaRef ds:uri="9d85dbaf-23eb-4e57-a637-93dcacc8b1a1"/>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a6cb9e4b-f1d1-4245-83ec-6cad768d538a"/>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FFAE5335-F242-4626-B7C4-1C3CCA2801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36</Pages>
  <Words>13280</Words>
  <Characters>73043</Characters>
  <Application>Microsoft Office Word</Application>
  <DocSecurity>0</DocSecurity>
  <Lines>608</Lines>
  <Paragraphs>172</Paragraphs>
  <ScaleCrop>false</ScaleCrop>
  <Company/>
  <LinksUpToDate>false</LinksUpToDate>
  <CharactersWithSpaces>86151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2025-06-04T00:44:00Z</dcterms:created>
  <dcterms:modified xsi:type="dcterms:W3CDTF">2025-06-04T00:44:00Z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