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B4F0CF" w14:textId="77777777" w:rsidR="00E27BDF" w:rsidRPr="00AC5716" w:rsidRDefault="006C0DA8">
      <w:pPr>
        <w:jc w:val="right"/>
        <w:rPr>
          <w:rFonts w:ascii="Arial" w:eastAsia="Arial" w:hAnsi="Arial" w:cs="Arial"/>
          <w:b/>
          <w:color w:val="000000"/>
          <w:sz w:val="16"/>
          <w:szCs w:val="16"/>
        </w:rPr>
      </w:pPr>
      <w:r>
        <w:rPr>
          <w:rFonts w:ascii="Arial" w:eastAsia="Arial" w:hAnsi="Arial" w:cs="Arial"/>
          <w:b/>
          <w:color w:val="000000"/>
          <w:sz w:val="16"/>
          <w:szCs w:val="16"/>
        </w:rPr>
        <w:tab/>
      </w:r>
      <w:r w:rsidRPr="00AC5716">
        <w:rPr>
          <w:rFonts w:ascii="Arial" w:eastAsia="Arial" w:hAnsi="Arial" w:cs="Arial"/>
          <w:b/>
          <w:color w:val="000000"/>
          <w:sz w:val="16"/>
          <w:szCs w:val="16"/>
        </w:rPr>
        <w:t>CCE-DES-FM-17</w:t>
      </w:r>
    </w:p>
    <w:p w14:paraId="22871975" w14:textId="77777777" w:rsidR="00E27BDF" w:rsidRPr="00AC5716" w:rsidRDefault="00E27BDF">
      <w:pPr>
        <w:jc w:val="right"/>
        <w:rPr>
          <w:rFonts w:ascii="Arial" w:eastAsia="Arial" w:hAnsi="Arial" w:cs="Arial"/>
          <w:b/>
          <w:color w:val="000000"/>
          <w:sz w:val="16"/>
          <w:szCs w:val="16"/>
        </w:rPr>
      </w:pPr>
    </w:p>
    <w:p w14:paraId="33E8527B" w14:textId="08FE5D25" w:rsidR="00E27BDF" w:rsidRPr="00AC5716" w:rsidRDefault="006C0DA8" w:rsidP="113F60A0">
      <w:pPr>
        <w:jc w:val="both"/>
        <w:rPr>
          <w:rFonts w:ascii="Arial" w:eastAsia="Arial" w:hAnsi="Arial" w:cs="Arial"/>
          <w:b/>
          <w:bCs/>
          <w:color w:val="000000"/>
          <w:sz w:val="22"/>
          <w:szCs w:val="22"/>
        </w:rPr>
      </w:pPr>
      <w:r w:rsidRPr="113F60A0">
        <w:rPr>
          <w:rFonts w:ascii="Arial" w:eastAsia="Arial" w:hAnsi="Arial" w:cs="Arial"/>
          <w:b/>
          <w:bCs/>
          <w:color w:val="000000" w:themeColor="text1"/>
          <w:sz w:val="22"/>
          <w:szCs w:val="22"/>
        </w:rPr>
        <w:t>MIPYME</w:t>
      </w:r>
      <w:r w:rsidR="713B1E5F" w:rsidRPr="113F60A0">
        <w:rPr>
          <w:rFonts w:ascii="Arial" w:eastAsia="Arial" w:hAnsi="Arial" w:cs="Arial"/>
          <w:b/>
          <w:bCs/>
          <w:color w:val="000000" w:themeColor="text1"/>
          <w:sz w:val="22"/>
          <w:szCs w:val="22"/>
        </w:rPr>
        <w:t>S</w:t>
      </w:r>
      <w:r w:rsidRPr="113F60A0">
        <w:rPr>
          <w:rFonts w:ascii="Arial" w:eastAsia="Arial" w:hAnsi="Arial" w:cs="Arial"/>
          <w:b/>
          <w:bCs/>
          <w:color w:val="000000" w:themeColor="text1"/>
          <w:sz w:val="22"/>
          <w:szCs w:val="22"/>
        </w:rPr>
        <w:t xml:space="preserve"> – Noción </w:t>
      </w:r>
      <w:r w:rsidR="1539F32C" w:rsidRPr="113F60A0">
        <w:rPr>
          <w:rFonts w:ascii="Arial" w:eastAsia="Arial" w:hAnsi="Arial" w:cs="Arial"/>
          <w:b/>
          <w:bCs/>
          <w:color w:val="000000" w:themeColor="text1"/>
          <w:sz w:val="22"/>
          <w:szCs w:val="22"/>
        </w:rPr>
        <w:t>–</w:t>
      </w:r>
      <w:r w:rsidRPr="113F60A0">
        <w:rPr>
          <w:rFonts w:ascii="Arial" w:eastAsia="Arial" w:hAnsi="Arial" w:cs="Arial"/>
          <w:b/>
          <w:bCs/>
          <w:color w:val="000000" w:themeColor="text1"/>
          <w:sz w:val="22"/>
          <w:szCs w:val="22"/>
        </w:rPr>
        <w:t xml:space="preserve"> </w:t>
      </w:r>
      <w:r w:rsidR="7BB1745F" w:rsidRPr="113F60A0">
        <w:rPr>
          <w:rFonts w:ascii="Arial" w:eastAsia="Arial" w:hAnsi="Arial" w:cs="Arial"/>
          <w:b/>
          <w:bCs/>
          <w:color w:val="000000" w:themeColor="text1"/>
          <w:sz w:val="22"/>
          <w:szCs w:val="22"/>
        </w:rPr>
        <w:t>A</w:t>
      </w:r>
      <w:r w:rsidRPr="113F60A0">
        <w:rPr>
          <w:rFonts w:ascii="Arial" w:eastAsia="Arial" w:hAnsi="Arial" w:cs="Arial"/>
          <w:b/>
          <w:bCs/>
          <w:color w:val="000000" w:themeColor="text1"/>
          <w:sz w:val="22"/>
          <w:szCs w:val="22"/>
        </w:rPr>
        <w:t>lcance</w:t>
      </w:r>
      <w:r w:rsidRPr="113F60A0">
        <w:rPr>
          <w:rFonts w:ascii="Arial" w:eastAsia="Arial" w:hAnsi="Arial" w:cs="Arial"/>
          <w:color w:val="000000" w:themeColor="text1"/>
          <w:sz w:val="22"/>
          <w:szCs w:val="22"/>
        </w:rPr>
        <w:t xml:space="preserve"> </w:t>
      </w:r>
    </w:p>
    <w:p w14:paraId="72B0FC44" w14:textId="77777777" w:rsidR="00E27BDF" w:rsidRPr="00AC5716" w:rsidRDefault="00E27BDF">
      <w:pPr>
        <w:jc w:val="both"/>
        <w:rPr>
          <w:rFonts w:ascii="Arial" w:eastAsia="Arial" w:hAnsi="Arial" w:cs="Arial"/>
          <w:color w:val="000000"/>
          <w:sz w:val="21"/>
          <w:szCs w:val="21"/>
        </w:rPr>
      </w:pPr>
    </w:p>
    <w:p w14:paraId="0ACAB6C4" w14:textId="77777777" w:rsidR="00E27BDF" w:rsidRPr="00AC5716" w:rsidRDefault="006C0DA8">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t>[…] Pequeña y Mediana Empresa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es una «unidad de explotación económica, realizada por persona natural o jurídica, en actividades empresariales, agropecuarias, industriales, comerciales o de servicios, rural o urbana», siempre que cumpla las dos condiciones requeridas en el mismo artículo, relacionadas con el número de trabajadores que hacen parte de su planta de personal y sus activos totales.</w:t>
      </w:r>
    </w:p>
    <w:p w14:paraId="1DD22CA3"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Específicamente, la mediana empresa es aquella que tiene una planta de personal entre 51 y 200 trabajadores o activos totales por un valor entre 100.000 y 610.000 Unidades de valor Tributaria ─UVT─. La pequeña empresa es aquella que tiene una planta de personal entre 11 y 50 trabajadores o activos totales por un valor entre 501 y 5000 salarios mínimos mensuales legales vigentes. La microempresa, por otro lado, es aquella que tiene una planta de personal de 10 trabajadores o menos o activos totales por un valor inferior a 500 salarios mínimos legales mensuales.</w:t>
      </w:r>
    </w:p>
    <w:p w14:paraId="23071BDE" w14:textId="77777777" w:rsidR="00E27BDF" w:rsidRPr="00AC5716" w:rsidRDefault="00E27BDF">
      <w:pPr>
        <w:jc w:val="both"/>
        <w:rPr>
          <w:rFonts w:ascii="Arial" w:eastAsia="Arial" w:hAnsi="Arial" w:cs="Arial"/>
          <w:b/>
          <w:color w:val="000000"/>
          <w:sz w:val="21"/>
          <w:szCs w:val="21"/>
        </w:rPr>
      </w:pPr>
    </w:p>
    <w:p w14:paraId="62C4E565" w14:textId="77777777" w:rsidR="00E27BDF" w:rsidRPr="00AC5716" w:rsidRDefault="006C0DA8">
      <w:pPr>
        <w:jc w:val="both"/>
        <w:rPr>
          <w:rFonts w:ascii="Arial" w:eastAsia="Arial" w:hAnsi="Arial" w:cs="Arial"/>
          <w:b/>
          <w:color w:val="000000"/>
          <w:sz w:val="22"/>
          <w:szCs w:val="22"/>
        </w:rPr>
      </w:pPr>
      <w:r w:rsidRPr="00AC5716">
        <w:rPr>
          <w:rFonts w:ascii="Arial" w:eastAsia="Arial" w:hAnsi="Arial" w:cs="Arial"/>
          <w:b/>
          <w:color w:val="000000"/>
          <w:sz w:val="22"/>
          <w:szCs w:val="22"/>
        </w:rPr>
        <w:t xml:space="preserve">MIPYMES – Incentivos contractuales </w:t>
      </w:r>
    </w:p>
    <w:p w14:paraId="36A1340D" w14:textId="77777777" w:rsidR="00E27BDF" w:rsidRPr="00AC5716" w:rsidRDefault="00E27BDF">
      <w:pPr>
        <w:jc w:val="both"/>
        <w:rPr>
          <w:rFonts w:ascii="Arial" w:eastAsia="Arial" w:hAnsi="Arial" w:cs="Arial"/>
          <w:b/>
          <w:color w:val="000000"/>
          <w:sz w:val="22"/>
          <w:szCs w:val="22"/>
        </w:rPr>
      </w:pPr>
    </w:p>
    <w:p w14:paraId="6156A0D3"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A través del Decreto 1082 de 2015, el Gobierno Nacional reglamentó el artículo 12 de la Ley 1150 de 2007 ─posteriormente modificado por el artículo 32 de la Ley 1450 de 2011─, adoptando medidas para incentivar la contratación pública, dentro de las que se pueden resaltar la «limitación territorial»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y las «convocatorias limitadas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contenidas, respectivamente, en los artículos 2.2.1.2.4.2.3.  y 2.2.1.2.4.2.2. del Decreto 1082 de 2015.</w:t>
      </w:r>
    </w:p>
    <w:p w14:paraId="5364B124" w14:textId="77777777" w:rsidR="00E27BDF" w:rsidRPr="00AC5716" w:rsidRDefault="00E27BDF">
      <w:pPr>
        <w:jc w:val="both"/>
        <w:rPr>
          <w:rFonts w:ascii="Arial" w:eastAsia="Arial" w:hAnsi="Arial" w:cs="Arial"/>
          <w:color w:val="000000"/>
          <w:sz w:val="21"/>
          <w:szCs w:val="21"/>
        </w:rPr>
      </w:pPr>
    </w:p>
    <w:p w14:paraId="58ECA0E5" w14:textId="77777777" w:rsidR="00E27BDF" w:rsidRPr="00AC5716" w:rsidRDefault="006C0DA8">
      <w:pPr>
        <w:jc w:val="both"/>
        <w:rPr>
          <w:rFonts w:ascii="Arial" w:eastAsia="Arial" w:hAnsi="Arial" w:cs="Arial"/>
          <w:b/>
          <w:color w:val="000000"/>
          <w:sz w:val="22"/>
          <w:szCs w:val="22"/>
        </w:rPr>
      </w:pPr>
      <w:r w:rsidRPr="00AC5716">
        <w:rPr>
          <w:rFonts w:ascii="Arial" w:eastAsia="Arial" w:hAnsi="Arial" w:cs="Arial"/>
          <w:b/>
          <w:color w:val="000000"/>
          <w:sz w:val="22"/>
          <w:szCs w:val="22"/>
        </w:rPr>
        <w:t xml:space="preserve">MIPYMES NACIONALES – Inexistencia de </w:t>
      </w:r>
      <w:proofErr w:type="spellStart"/>
      <w:r w:rsidRPr="00AC5716">
        <w:rPr>
          <w:rFonts w:ascii="Arial" w:eastAsia="Arial" w:hAnsi="Arial" w:cs="Arial"/>
          <w:b/>
          <w:color w:val="000000"/>
          <w:sz w:val="22"/>
          <w:szCs w:val="22"/>
        </w:rPr>
        <w:t>Mipymes</w:t>
      </w:r>
      <w:proofErr w:type="spellEnd"/>
      <w:r w:rsidRPr="00AC5716">
        <w:rPr>
          <w:rFonts w:ascii="Arial" w:eastAsia="Arial" w:hAnsi="Arial" w:cs="Arial"/>
          <w:b/>
          <w:color w:val="000000"/>
          <w:sz w:val="22"/>
          <w:szCs w:val="22"/>
        </w:rPr>
        <w:t xml:space="preserve"> del orden territorial</w:t>
      </w:r>
    </w:p>
    <w:p w14:paraId="08E563D6" w14:textId="77777777" w:rsidR="00E27BDF" w:rsidRPr="00AC5716" w:rsidRDefault="00E27BDF">
      <w:pPr>
        <w:jc w:val="both"/>
        <w:rPr>
          <w:rFonts w:ascii="Arial" w:eastAsia="Arial" w:hAnsi="Arial" w:cs="Arial"/>
          <w:b/>
          <w:color w:val="000000"/>
          <w:sz w:val="21"/>
          <w:szCs w:val="21"/>
        </w:rPr>
      </w:pPr>
    </w:p>
    <w:p w14:paraId="6333B8C5"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Los artículos 2.2.1.2.4.2.3. y 2.2.1.2.4.2.2. del Decreto 1082 de 2015 se refieren a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genéricamente y, particularmente, a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«domiciliadas en los departamentos o municipios en donde se va a ejecutar el contrato». En ambos casos se refiere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distinguiéndolas de las empresas extranjeras. Del artículo 2.2.1.2.4.2.3. del Decreto 1082 de 2015 no se deriva que existan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del orden nacional. Otra cosa es que las normas de contratación permitan que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con «domicilio» en un municipio o departamento puedan beneficiarse en la ejecución de un contrato dentro de la entidad territorial en la que tienen su «domicilio». De todos modos,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domiciliadas en un municipio o departamento son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En consecuencia, no es procedente distinguir entre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y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municipales o departamentales, habida cuenta que estas últimas no existen como categoría dentro del ordenamiento normativo.</w:t>
      </w:r>
    </w:p>
    <w:p w14:paraId="524447F7" w14:textId="77777777" w:rsidR="00E27BDF" w:rsidRPr="00AC5716" w:rsidRDefault="00E27BDF">
      <w:pPr>
        <w:jc w:val="both"/>
        <w:rPr>
          <w:rFonts w:ascii="Arial" w:eastAsia="Arial" w:hAnsi="Arial" w:cs="Arial"/>
          <w:color w:val="000000"/>
          <w:sz w:val="21"/>
          <w:szCs w:val="21"/>
        </w:rPr>
      </w:pPr>
    </w:p>
    <w:p w14:paraId="2089A5E0" w14:textId="77777777" w:rsidR="00E27BDF" w:rsidRPr="00AC5716" w:rsidRDefault="006C0DA8">
      <w:pPr>
        <w:jc w:val="both"/>
        <w:rPr>
          <w:rFonts w:ascii="Arial" w:eastAsia="Arial" w:hAnsi="Arial" w:cs="Arial"/>
          <w:b/>
          <w:color w:val="000000"/>
          <w:sz w:val="22"/>
          <w:szCs w:val="22"/>
        </w:rPr>
      </w:pPr>
      <w:r w:rsidRPr="00AC5716">
        <w:rPr>
          <w:rFonts w:ascii="Arial" w:eastAsia="Arial" w:hAnsi="Arial" w:cs="Arial"/>
          <w:b/>
          <w:color w:val="000000"/>
          <w:sz w:val="22"/>
          <w:szCs w:val="22"/>
        </w:rPr>
        <w:t>CONVOCATORIAS LIMITADAS A MIPYMES NACIONALES – Requisitos</w:t>
      </w:r>
    </w:p>
    <w:p w14:paraId="5BAD3F5E" w14:textId="77777777" w:rsidR="00E27BDF" w:rsidRPr="00AC5716" w:rsidRDefault="00E27BDF">
      <w:pPr>
        <w:jc w:val="both"/>
        <w:rPr>
          <w:rFonts w:ascii="Arial" w:eastAsia="Arial" w:hAnsi="Arial" w:cs="Arial"/>
          <w:b/>
          <w:color w:val="000000"/>
          <w:sz w:val="21"/>
          <w:szCs w:val="21"/>
        </w:rPr>
      </w:pPr>
    </w:p>
    <w:p w14:paraId="2064CD72" w14:textId="77777777" w:rsidR="00E27BDF" w:rsidRPr="00AC5716" w:rsidRDefault="006C0DA8">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t xml:space="preserve">El artículo 2.2.1.2.4.2.2. del Decreto 1082 de 2015 establece los requisitos a acreditar en las «convocatorias limitadas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El numeral primero limita cuantitativamente los procesos contractuales en los que se puede hacer la «convocatoria limitada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w:t>
      </w:r>
    </w:p>
    <w:p w14:paraId="562A4F27" w14:textId="77777777" w:rsidR="00E27BDF" w:rsidRPr="00AC5716" w:rsidRDefault="006C0DA8" w:rsidP="00A2536F">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lastRenderedPageBreak/>
        <w:t xml:space="preserve">El numeral segundo establece dos exigencias: por un lado, que al menos tres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presenten la solicitud formal de limitar el proceso contractual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y, por el otro, que estas deben hacer dicha solicitud por lo menos un día antes de la apertura del proceso de contratación.</w:t>
      </w:r>
    </w:p>
    <w:p w14:paraId="302B629C" w14:textId="77777777" w:rsidR="00E27BDF" w:rsidRPr="00AC5716" w:rsidRDefault="006C0DA8" w:rsidP="00A2536F">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t>[…]</w:t>
      </w:r>
    </w:p>
    <w:p w14:paraId="0B72D38A" w14:textId="77777777" w:rsidR="00E27BDF" w:rsidRPr="00AC5716" w:rsidRDefault="006C0DA8" w:rsidP="00A2536F">
      <w:pPr>
        <w:jc w:val="both"/>
        <w:rPr>
          <w:rFonts w:ascii="Arial" w:eastAsia="Arial" w:hAnsi="Arial" w:cs="Arial"/>
          <w:color w:val="000000"/>
          <w:sz w:val="20"/>
          <w:szCs w:val="20"/>
        </w:rPr>
      </w:pPr>
      <w:r w:rsidRPr="00AC5716">
        <w:rPr>
          <w:rFonts w:ascii="Arial" w:eastAsia="Arial" w:hAnsi="Arial" w:cs="Arial"/>
          <w:color w:val="000000"/>
          <w:sz w:val="20"/>
          <w:szCs w:val="20"/>
        </w:rPr>
        <w:t xml:space="preserve">Por otro lado, esta entidad ha precisado que «[s]i bien la normativa del sistema de compra </w:t>
      </w:r>
      <w:r w:rsidRPr="00AC5716">
        <w:rPr>
          <w:rFonts w:ascii="Arial" w:eastAsia="Arial" w:hAnsi="Arial" w:cs="Arial"/>
          <w:sz w:val="20"/>
          <w:szCs w:val="20"/>
        </w:rPr>
        <w:t>pública</w:t>
      </w:r>
      <w:r w:rsidRPr="00AC5716">
        <w:rPr>
          <w:rFonts w:ascii="Arial" w:eastAsia="Arial" w:hAnsi="Arial" w:cs="Arial"/>
          <w:color w:val="000000"/>
          <w:sz w:val="20"/>
          <w:szCs w:val="20"/>
        </w:rPr>
        <w:t xml:space="preserve"> no establece como requisito acreditar la relación entre el objeto de la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y el objeto contrato, es imperativo que la entidad estatal verifique que quienes solicitan la limitación del proceso 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tienen un objeto social similar al objeto del contrato y, de ser así, la entidad deberá limitar el proceso de contratación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También ha dicho que la entidad estatal también debe aceptar las ofertas consorcios o uniones temporales formados exclusivamente por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y promesas de sociedad futura suscritas por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w:t>
      </w:r>
    </w:p>
    <w:p w14:paraId="4F2A18F1" w14:textId="77777777" w:rsidR="00E27BDF" w:rsidRPr="00AC5716" w:rsidRDefault="00E27BDF" w:rsidP="00A2536F">
      <w:pPr>
        <w:jc w:val="both"/>
        <w:rPr>
          <w:rFonts w:ascii="Arial" w:eastAsia="Arial" w:hAnsi="Arial" w:cs="Arial"/>
          <w:color w:val="000000"/>
          <w:sz w:val="20"/>
          <w:szCs w:val="20"/>
        </w:rPr>
      </w:pPr>
    </w:p>
    <w:p w14:paraId="1D0BBE27" w14:textId="5942D424" w:rsidR="00E27BDF" w:rsidRPr="00AC5716" w:rsidRDefault="006C0DA8" w:rsidP="00A2536F">
      <w:pPr>
        <w:jc w:val="both"/>
        <w:rPr>
          <w:rFonts w:ascii="Arial" w:eastAsia="Arial" w:hAnsi="Arial" w:cs="Arial"/>
          <w:b/>
          <w:bCs/>
          <w:color w:val="000000"/>
          <w:sz w:val="22"/>
          <w:szCs w:val="22"/>
        </w:rPr>
      </w:pPr>
      <w:r w:rsidRPr="113F60A0">
        <w:rPr>
          <w:rFonts w:ascii="Arial" w:eastAsia="Arial" w:hAnsi="Arial" w:cs="Arial"/>
          <w:b/>
          <w:bCs/>
          <w:color w:val="000000" w:themeColor="text1"/>
          <w:sz w:val="22"/>
          <w:szCs w:val="22"/>
        </w:rPr>
        <w:t>CONVOCATORIAS LIMITADAS A MIPYMES NACIONALES – Solicitud – Diferencia</w:t>
      </w:r>
      <w:r w:rsidR="18EEFDE4" w:rsidRPr="113F60A0">
        <w:rPr>
          <w:rFonts w:ascii="Arial" w:eastAsia="Arial" w:hAnsi="Arial" w:cs="Arial"/>
          <w:b/>
          <w:bCs/>
          <w:color w:val="000000" w:themeColor="text1"/>
          <w:sz w:val="22"/>
          <w:szCs w:val="22"/>
        </w:rPr>
        <w:t xml:space="preserve"> –</w:t>
      </w:r>
      <w:r w:rsidRPr="113F60A0">
        <w:rPr>
          <w:rFonts w:ascii="Arial" w:eastAsia="Arial" w:hAnsi="Arial" w:cs="Arial"/>
          <w:b/>
          <w:bCs/>
          <w:color w:val="000000" w:themeColor="text1"/>
          <w:sz w:val="22"/>
          <w:szCs w:val="22"/>
        </w:rPr>
        <w:t xml:space="preserve"> </w:t>
      </w:r>
      <w:r w:rsidR="64B545CD" w:rsidRPr="113F60A0">
        <w:rPr>
          <w:rFonts w:ascii="Arial" w:eastAsia="Arial" w:hAnsi="Arial" w:cs="Arial"/>
          <w:b/>
          <w:bCs/>
          <w:color w:val="000000" w:themeColor="text1"/>
          <w:sz w:val="22"/>
          <w:szCs w:val="22"/>
        </w:rPr>
        <w:t>A</w:t>
      </w:r>
      <w:r w:rsidRPr="113F60A0">
        <w:rPr>
          <w:rFonts w:ascii="Arial" w:eastAsia="Arial" w:hAnsi="Arial" w:cs="Arial"/>
          <w:b/>
          <w:bCs/>
          <w:color w:val="000000" w:themeColor="text1"/>
          <w:sz w:val="22"/>
          <w:szCs w:val="22"/>
        </w:rPr>
        <w:t xml:space="preserve">utonomía </w:t>
      </w:r>
      <w:r w:rsidR="10BDE24E" w:rsidRPr="113F60A0">
        <w:rPr>
          <w:rFonts w:ascii="Arial" w:eastAsia="Arial" w:hAnsi="Arial" w:cs="Arial"/>
          <w:b/>
          <w:bCs/>
          <w:color w:val="000000" w:themeColor="text1"/>
          <w:sz w:val="22"/>
          <w:szCs w:val="22"/>
        </w:rPr>
        <w:t>–</w:t>
      </w:r>
      <w:r w:rsidRPr="113F60A0">
        <w:rPr>
          <w:rFonts w:ascii="Arial" w:eastAsia="Arial" w:hAnsi="Arial" w:cs="Arial"/>
          <w:b/>
          <w:bCs/>
          <w:color w:val="000000" w:themeColor="text1"/>
          <w:sz w:val="22"/>
          <w:szCs w:val="22"/>
        </w:rPr>
        <w:t xml:space="preserve"> </w:t>
      </w:r>
      <w:r w:rsidR="6F2D72C7" w:rsidRPr="113F60A0">
        <w:rPr>
          <w:rFonts w:ascii="Arial" w:eastAsia="Arial" w:hAnsi="Arial" w:cs="Arial"/>
          <w:b/>
          <w:bCs/>
          <w:color w:val="000000" w:themeColor="text1"/>
          <w:sz w:val="22"/>
          <w:szCs w:val="22"/>
        </w:rPr>
        <w:t>P</w:t>
      </w:r>
      <w:r w:rsidRPr="113F60A0">
        <w:rPr>
          <w:rFonts w:ascii="Arial" w:eastAsia="Arial" w:hAnsi="Arial" w:cs="Arial"/>
          <w:b/>
          <w:bCs/>
          <w:color w:val="000000" w:themeColor="text1"/>
          <w:sz w:val="22"/>
          <w:szCs w:val="22"/>
        </w:rPr>
        <w:t xml:space="preserve">ropuesta del oferente – </w:t>
      </w:r>
      <w:r w:rsidR="00ED3D3F" w:rsidRPr="113F60A0">
        <w:rPr>
          <w:rFonts w:ascii="Arial" w:eastAsia="Arial" w:hAnsi="Arial" w:cs="Arial"/>
          <w:b/>
          <w:bCs/>
          <w:color w:val="000000" w:themeColor="text1"/>
          <w:sz w:val="22"/>
          <w:szCs w:val="22"/>
        </w:rPr>
        <w:t>R</w:t>
      </w:r>
      <w:r w:rsidRPr="113F60A0">
        <w:rPr>
          <w:rFonts w:ascii="Arial" w:eastAsia="Arial" w:hAnsi="Arial" w:cs="Arial"/>
          <w:b/>
          <w:bCs/>
          <w:color w:val="000000" w:themeColor="text1"/>
          <w:sz w:val="22"/>
          <w:szCs w:val="22"/>
        </w:rPr>
        <w:t>equisitos habilitantes</w:t>
      </w:r>
    </w:p>
    <w:p w14:paraId="668AA785" w14:textId="77777777" w:rsidR="00E27BDF" w:rsidRPr="00AC5716" w:rsidRDefault="00E27BDF">
      <w:pPr>
        <w:jc w:val="both"/>
        <w:rPr>
          <w:rFonts w:ascii="Arial" w:eastAsia="Arial" w:hAnsi="Arial" w:cs="Arial"/>
          <w:b/>
          <w:color w:val="000000"/>
          <w:sz w:val="21"/>
          <w:szCs w:val="21"/>
        </w:rPr>
      </w:pPr>
    </w:p>
    <w:p w14:paraId="704992D9" w14:textId="77777777" w:rsidR="00E27BDF" w:rsidRPr="00AC5716" w:rsidRDefault="006C0DA8">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t xml:space="preserve">Es importante resaltar dos aspectos, primero, que el documento que contiene la solicitud de limitación es diferente y autónomo en relación con el documento contentivo de la propuesta del oferente; y segundo,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w:t>
      </w:r>
      <w:proofErr w:type="spellStart"/>
      <w:r w:rsidRPr="00AC5716">
        <w:rPr>
          <w:rFonts w:ascii="Arial" w:eastAsia="Arial" w:hAnsi="Arial" w:cs="Arial"/>
          <w:color w:val="000000"/>
          <w:sz w:val="20"/>
          <w:szCs w:val="20"/>
        </w:rPr>
        <w:t>concluído</w:t>
      </w:r>
      <w:proofErr w:type="spellEnd"/>
      <w:r w:rsidRPr="00AC5716">
        <w:rPr>
          <w:rFonts w:ascii="Arial" w:eastAsia="Arial" w:hAnsi="Arial" w:cs="Arial"/>
          <w:color w:val="000000"/>
          <w:sz w:val="20"/>
          <w:szCs w:val="20"/>
        </w:rPr>
        <w:t xml:space="preserve"> el plazo para pedir la </w:t>
      </w:r>
      <w:r w:rsidRPr="00AC5716">
        <w:rPr>
          <w:rFonts w:ascii="Arial" w:eastAsia="Arial" w:hAnsi="Arial" w:cs="Arial"/>
          <w:sz w:val="20"/>
          <w:szCs w:val="20"/>
        </w:rPr>
        <w:t>limitación</w:t>
      </w:r>
      <w:r w:rsidRPr="00AC5716">
        <w:rPr>
          <w:rFonts w:ascii="Arial" w:eastAsia="Arial" w:hAnsi="Arial" w:cs="Arial"/>
          <w:color w:val="000000"/>
          <w:sz w:val="20"/>
          <w:szCs w:val="20"/>
        </w:rPr>
        <w:t xml:space="preserve"> del proceso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Tales conclusiones encuentran su fundamento normativo en el contenido de los artículos 2.2.1.1.2.1.5.  y 2.2.1.2.1.2.20.  del Decreto 1082 de 2015.</w:t>
      </w:r>
    </w:p>
    <w:p w14:paraId="5193807F"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Así las cosas, para los efectos de la solicitud de limitación a la que se refiere el artículo 2.2.1.2.4.2.2. del Decreto 1082 de 2015, no puede ocurrir lo que supone la ciudadana que nos consulta, esto es, que alguno de los solicitantes «no cumpla con las condiciones técnicas habilitantes para participar en el proceso de contratación convocado», debido a que estos aspectos se </w:t>
      </w:r>
      <w:r w:rsidRPr="00AC5716">
        <w:rPr>
          <w:rFonts w:ascii="Arial" w:eastAsia="Arial" w:hAnsi="Arial" w:cs="Arial"/>
          <w:sz w:val="20"/>
          <w:szCs w:val="20"/>
        </w:rPr>
        <w:t>verificarán</w:t>
      </w:r>
      <w:r w:rsidRPr="00AC5716">
        <w:rPr>
          <w:rFonts w:ascii="Arial" w:eastAsia="Arial" w:hAnsi="Arial" w:cs="Arial"/>
          <w:color w:val="000000"/>
          <w:sz w:val="20"/>
          <w:szCs w:val="20"/>
        </w:rPr>
        <w:t xml:space="preserve"> en una etapa posterior a la que el reglamento habilitó para pedir la limitación del proceso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Esto no quiere decir que la entidad </w:t>
      </w:r>
      <w:r w:rsidRPr="00AC5716">
        <w:rPr>
          <w:rFonts w:ascii="Arial" w:eastAsia="Arial" w:hAnsi="Arial" w:cs="Arial"/>
          <w:sz w:val="20"/>
          <w:szCs w:val="20"/>
        </w:rPr>
        <w:t>pública</w:t>
      </w:r>
      <w:r w:rsidRPr="00AC5716">
        <w:rPr>
          <w:rFonts w:ascii="Arial" w:eastAsia="Arial" w:hAnsi="Arial" w:cs="Arial"/>
          <w:color w:val="000000"/>
          <w:sz w:val="20"/>
          <w:szCs w:val="20"/>
        </w:rPr>
        <w:t xml:space="preserve"> no deba constatar el cumplimiento de los requisitos de procedencia de la solicitud de limitación del trámite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pues esta debe </w:t>
      </w:r>
      <w:r w:rsidRPr="00AC5716">
        <w:rPr>
          <w:rFonts w:ascii="Arial" w:eastAsia="Arial" w:hAnsi="Arial" w:cs="Arial"/>
          <w:sz w:val="20"/>
          <w:szCs w:val="20"/>
        </w:rPr>
        <w:t>verificar</w:t>
      </w:r>
      <w:r w:rsidRPr="00AC5716">
        <w:rPr>
          <w:rFonts w:ascii="Arial" w:eastAsia="Arial" w:hAnsi="Arial" w:cs="Arial"/>
          <w:color w:val="000000"/>
          <w:sz w:val="20"/>
          <w:szCs w:val="20"/>
        </w:rPr>
        <w:t xml:space="preserve">, por ejemplo, que el solicitante sea una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y que su objeto social tenga relación con el objeto del contrato a adjudicar.</w:t>
      </w:r>
    </w:p>
    <w:p w14:paraId="22B5771C" w14:textId="77777777" w:rsidR="00E27BDF" w:rsidRPr="00AC5716" w:rsidRDefault="00E27BDF">
      <w:pPr>
        <w:jc w:val="both"/>
        <w:rPr>
          <w:rFonts w:ascii="Arial" w:eastAsia="Arial" w:hAnsi="Arial" w:cs="Arial"/>
          <w:color w:val="000000"/>
          <w:sz w:val="21"/>
          <w:szCs w:val="21"/>
        </w:rPr>
      </w:pPr>
    </w:p>
    <w:p w14:paraId="26A72106" w14:textId="77777777" w:rsidR="00E27BDF" w:rsidRPr="00AC5716" w:rsidRDefault="006C0DA8">
      <w:pPr>
        <w:jc w:val="both"/>
        <w:rPr>
          <w:rFonts w:ascii="Arial" w:eastAsia="Arial" w:hAnsi="Arial" w:cs="Arial"/>
          <w:b/>
          <w:color w:val="000000"/>
          <w:sz w:val="22"/>
          <w:szCs w:val="22"/>
        </w:rPr>
      </w:pPr>
      <w:r w:rsidRPr="00AC5716">
        <w:rPr>
          <w:rFonts w:ascii="Arial" w:eastAsia="Arial" w:hAnsi="Arial" w:cs="Arial"/>
          <w:b/>
          <w:color w:val="000000"/>
          <w:sz w:val="22"/>
          <w:szCs w:val="22"/>
        </w:rPr>
        <w:t>CONVOCATORIAS LIMITADAS A MIPYMES NACIONALES – Limitación territorial – Requisitos</w:t>
      </w:r>
    </w:p>
    <w:p w14:paraId="74AAB154" w14:textId="77777777" w:rsidR="00E27BDF" w:rsidRPr="00AC5716" w:rsidRDefault="00E27BDF">
      <w:pPr>
        <w:jc w:val="both"/>
        <w:rPr>
          <w:rFonts w:ascii="Arial" w:eastAsia="Arial" w:hAnsi="Arial" w:cs="Arial"/>
          <w:b/>
          <w:color w:val="000000"/>
          <w:sz w:val="21"/>
          <w:szCs w:val="21"/>
        </w:rPr>
      </w:pPr>
    </w:p>
    <w:p w14:paraId="5361CEAA" w14:textId="77777777" w:rsidR="00E27BDF" w:rsidRPr="00AC5716" w:rsidRDefault="006C0DA8">
      <w:pPr>
        <w:jc w:val="both"/>
        <w:rPr>
          <w:rFonts w:ascii="Arial" w:eastAsia="Arial" w:hAnsi="Arial" w:cs="Arial"/>
          <w:color w:val="000000"/>
          <w:sz w:val="20"/>
          <w:szCs w:val="20"/>
        </w:rPr>
      </w:pPr>
      <w:bookmarkStart w:id="0" w:name="_30j0zll" w:colFirst="0" w:colLast="0"/>
      <w:bookmarkEnd w:id="0"/>
      <w:r w:rsidRPr="00AC5716">
        <w:rPr>
          <w:rFonts w:ascii="Arial" w:eastAsia="Arial" w:hAnsi="Arial" w:cs="Arial"/>
          <w:color w:val="000000"/>
          <w:sz w:val="20"/>
          <w:szCs w:val="20"/>
        </w:rPr>
        <w:t xml:space="preserve">Esta entidad ha sostenido que es discrecional la decisión de limitar territorialmente una convocatoria de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y ha precisado que, de todos modos, la decisión de hacerlo debe estar justificada en los correspondientes «estudios de sector». Así lo consideró en la consulta No. 216130003241, resuelta el 30 de junio de 2016. Igualmente, en la consulta resuelta en el radicado No. 2201813000008184, de fecha 7 de septiembre de 2018, se dijo que, de acuerdo con el artículo 2.2.1.2.4.2.3. del Decreto 1082 de 2015,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beneficiadas deben tener su «domicilio» principal en el municipio o departamento donde se ejecutará el contrato para poder participar en una convocatoria limitada territorialmente.</w:t>
      </w:r>
    </w:p>
    <w:p w14:paraId="6A422001" w14:textId="77777777" w:rsidR="00E27BDF" w:rsidRPr="00AC5716" w:rsidRDefault="00E27BDF">
      <w:pPr>
        <w:jc w:val="both"/>
        <w:rPr>
          <w:rFonts w:ascii="Arial" w:eastAsia="Arial" w:hAnsi="Arial" w:cs="Arial"/>
          <w:b/>
          <w:color w:val="000000"/>
          <w:sz w:val="21"/>
          <w:szCs w:val="21"/>
        </w:rPr>
      </w:pPr>
    </w:p>
    <w:p w14:paraId="05D2B4D0" w14:textId="05DD2918" w:rsidR="00E27BDF" w:rsidRPr="00AC5716" w:rsidRDefault="006C0DA8" w:rsidP="113F60A0">
      <w:pPr>
        <w:jc w:val="both"/>
        <w:rPr>
          <w:rFonts w:ascii="Arial" w:eastAsia="Arial" w:hAnsi="Arial" w:cs="Arial"/>
          <w:b/>
          <w:bCs/>
          <w:color w:val="000000"/>
          <w:sz w:val="22"/>
          <w:szCs w:val="22"/>
        </w:rPr>
      </w:pPr>
      <w:r w:rsidRPr="113F60A0">
        <w:rPr>
          <w:rFonts w:ascii="Arial" w:eastAsia="Arial" w:hAnsi="Arial" w:cs="Arial"/>
          <w:b/>
          <w:bCs/>
          <w:color w:val="000000" w:themeColor="text1"/>
          <w:sz w:val="22"/>
          <w:szCs w:val="22"/>
        </w:rPr>
        <w:t xml:space="preserve">CONVOCATORIAS LIMITADAS A MIPYMES NACIONALES – Procedencia </w:t>
      </w:r>
      <w:r w:rsidR="7BF778CF" w:rsidRPr="113F60A0">
        <w:rPr>
          <w:rFonts w:ascii="Arial" w:eastAsia="Arial" w:hAnsi="Arial" w:cs="Arial"/>
          <w:b/>
          <w:bCs/>
          <w:color w:val="000000" w:themeColor="text1"/>
          <w:sz w:val="22"/>
          <w:szCs w:val="22"/>
        </w:rPr>
        <w:t>–</w:t>
      </w:r>
      <w:r w:rsidRPr="113F60A0">
        <w:rPr>
          <w:rFonts w:ascii="Arial" w:eastAsia="Arial" w:hAnsi="Arial" w:cs="Arial"/>
          <w:b/>
          <w:bCs/>
          <w:color w:val="000000" w:themeColor="text1"/>
          <w:sz w:val="22"/>
          <w:szCs w:val="22"/>
        </w:rPr>
        <w:t xml:space="preserve"> «limitación territorial»</w:t>
      </w:r>
    </w:p>
    <w:p w14:paraId="7F6F38FF" w14:textId="77777777" w:rsidR="00E27BDF" w:rsidRPr="00AC5716" w:rsidRDefault="00E27BDF">
      <w:pPr>
        <w:jc w:val="both"/>
        <w:rPr>
          <w:rFonts w:ascii="Arial" w:eastAsia="Arial" w:hAnsi="Arial" w:cs="Arial"/>
          <w:b/>
          <w:color w:val="000000"/>
          <w:sz w:val="21"/>
          <w:szCs w:val="21"/>
        </w:rPr>
      </w:pPr>
    </w:p>
    <w:p w14:paraId="68EA79A2"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 La limitación a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a la que se refiere el artículo 2.2.1.2.4.2.2. del Decreto 1082 de 2015, opera de pleno derecho, pero no la «limitación territorial» referida en el artículo 2.2.1.2.4.2.3. ibidem, pues esta es facultativa de la entidad. Las únicas exigencias son que la convocatoria esté limitada «a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nacionales domiciliadas en los departamentos o municipios en donde se va a ejecutar el contrato» y que la entidad justifique su decisión en los «estudios del sector».</w:t>
      </w:r>
    </w:p>
    <w:p w14:paraId="06492461" w14:textId="77777777" w:rsidR="00E27BDF" w:rsidRPr="00AC5716" w:rsidRDefault="00E27BDF">
      <w:pPr>
        <w:jc w:val="both"/>
        <w:rPr>
          <w:rFonts w:ascii="Arial" w:eastAsia="Arial" w:hAnsi="Arial" w:cs="Arial"/>
          <w:b/>
          <w:color w:val="000000"/>
          <w:sz w:val="21"/>
          <w:szCs w:val="21"/>
        </w:rPr>
      </w:pPr>
    </w:p>
    <w:p w14:paraId="3F055FA0" w14:textId="77777777" w:rsidR="00E27BDF" w:rsidRPr="00AC5716" w:rsidRDefault="006C0DA8">
      <w:pPr>
        <w:jc w:val="both"/>
        <w:rPr>
          <w:rFonts w:ascii="Arial" w:eastAsia="Arial" w:hAnsi="Arial" w:cs="Arial"/>
          <w:b/>
          <w:color w:val="000000"/>
          <w:sz w:val="22"/>
          <w:szCs w:val="22"/>
        </w:rPr>
      </w:pPr>
      <w:r w:rsidRPr="00AC5716">
        <w:rPr>
          <w:rFonts w:ascii="Arial" w:eastAsia="Arial" w:hAnsi="Arial" w:cs="Arial"/>
          <w:b/>
          <w:color w:val="000000"/>
          <w:sz w:val="22"/>
          <w:szCs w:val="22"/>
        </w:rPr>
        <w:t>CONVOCATORIAS LIMITADAS A MIPYMES NACIONALES – Limitación territorial – Procedencia</w:t>
      </w:r>
    </w:p>
    <w:p w14:paraId="4C32546B" w14:textId="77777777" w:rsidR="00E27BDF" w:rsidRPr="00AC5716" w:rsidRDefault="00E27BDF">
      <w:pPr>
        <w:jc w:val="both"/>
        <w:rPr>
          <w:rFonts w:ascii="Arial" w:eastAsia="Arial" w:hAnsi="Arial" w:cs="Arial"/>
          <w:b/>
          <w:color w:val="000000"/>
          <w:sz w:val="21"/>
          <w:szCs w:val="21"/>
        </w:rPr>
      </w:pPr>
    </w:p>
    <w:p w14:paraId="41DD57CD"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 una vez se verifican los requisitos de los numerales 1 y 2 del artículo 2.2.1.2.4.2.2. del Decreto 1082 de 2015, la entidad queda habilitada para decidir si limita o no la convocatoria «a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nacionales domiciliadas en los departamentos o municipios en donde se va a ejecutar el contrato», sin que sea relevante el «domicilio» de las </w:t>
      </w:r>
      <w:proofErr w:type="spellStart"/>
      <w:r w:rsidRPr="00AC5716">
        <w:rPr>
          <w:rFonts w:ascii="Arial" w:eastAsia="Arial" w:hAnsi="Arial" w:cs="Arial"/>
          <w:color w:val="000000"/>
          <w:sz w:val="20"/>
          <w:szCs w:val="20"/>
        </w:rPr>
        <w:t>Mipymes</w:t>
      </w:r>
      <w:proofErr w:type="spellEnd"/>
      <w:r w:rsidRPr="00AC5716">
        <w:rPr>
          <w:rFonts w:ascii="Arial" w:eastAsia="Arial" w:hAnsi="Arial" w:cs="Arial"/>
          <w:color w:val="000000"/>
          <w:sz w:val="20"/>
          <w:szCs w:val="20"/>
        </w:rPr>
        <w:t xml:space="preserve"> nacionales que solicitaron limitar la convocatoria.</w:t>
      </w:r>
    </w:p>
    <w:p w14:paraId="637E1F86" w14:textId="77777777" w:rsidR="00E27BDF" w:rsidRPr="00AC5716" w:rsidRDefault="00E27BDF">
      <w:pPr>
        <w:jc w:val="both"/>
        <w:rPr>
          <w:rFonts w:ascii="Arial" w:eastAsia="Arial" w:hAnsi="Arial" w:cs="Arial"/>
          <w:color w:val="000000"/>
          <w:sz w:val="20"/>
          <w:szCs w:val="20"/>
        </w:rPr>
      </w:pPr>
    </w:p>
    <w:p w14:paraId="788C3F87" w14:textId="5FDACB45" w:rsidR="00E27BDF" w:rsidRPr="00AC5716" w:rsidRDefault="006C0DA8" w:rsidP="113F60A0">
      <w:pPr>
        <w:jc w:val="both"/>
        <w:rPr>
          <w:rFonts w:ascii="Arial" w:eastAsia="Arial" w:hAnsi="Arial" w:cs="Arial"/>
          <w:b/>
          <w:bCs/>
          <w:color w:val="000000"/>
          <w:sz w:val="22"/>
          <w:szCs w:val="22"/>
        </w:rPr>
      </w:pPr>
      <w:r w:rsidRPr="113F60A0">
        <w:rPr>
          <w:rFonts w:ascii="Arial" w:eastAsia="Arial" w:hAnsi="Arial" w:cs="Arial"/>
          <w:b/>
          <w:bCs/>
          <w:color w:val="000000" w:themeColor="text1"/>
          <w:sz w:val="22"/>
          <w:szCs w:val="22"/>
        </w:rPr>
        <w:t xml:space="preserve">CONVOCATORIAS LIMITADAS A MIPYMES NACIONALES – Limitación territorial – Procedencia </w:t>
      </w:r>
      <w:r w:rsidR="7E880ABB" w:rsidRPr="113F60A0">
        <w:rPr>
          <w:rFonts w:ascii="Arial" w:eastAsia="Arial" w:hAnsi="Arial" w:cs="Arial"/>
          <w:b/>
          <w:bCs/>
          <w:color w:val="000000" w:themeColor="text1"/>
          <w:sz w:val="22"/>
          <w:szCs w:val="22"/>
        </w:rPr>
        <w:t>– M</w:t>
      </w:r>
      <w:r w:rsidRPr="113F60A0">
        <w:rPr>
          <w:rFonts w:ascii="Arial" w:eastAsia="Arial" w:hAnsi="Arial" w:cs="Arial"/>
          <w:b/>
          <w:bCs/>
          <w:color w:val="000000" w:themeColor="text1"/>
          <w:sz w:val="22"/>
          <w:szCs w:val="22"/>
        </w:rPr>
        <w:t>odalidades de contratación</w:t>
      </w:r>
    </w:p>
    <w:p w14:paraId="376E14CE" w14:textId="77777777" w:rsidR="00E27BDF" w:rsidRPr="00AC5716" w:rsidRDefault="00E27BDF">
      <w:pPr>
        <w:jc w:val="both"/>
        <w:rPr>
          <w:rFonts w:ascii="Arial" w:eastAsia="Arial" w:hAnsi="Arial" w:cs="Arial"/>
          <w:b/>
          <w:color w:val="000000"/>
          <w:sz w:val="21"/>
          <w:szCs w:val="21"/>
        </w:rPr>
      </w:pPr>
    </w:p>
    <w:p w14:paraId="1520F8EE" w14:textId="77777777"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La primera limitación que impone el inciso primero de la referida norma es en cuanto a las modalidades de selección de contratistas, en el entendido que únicamente se pueden limitar «la convocatoria del Proceso de Contratación en la modalidad de licitación pública, selección abreviada y concurso de méritos». Esto excluye la posibilidad de pedir la limitación de las convocatorias en los procesos de selección de mínima cuantía y también en los de contratación directa.</w:t>
      </w:r>
    </w:p>
    <w:p w14:paraId="2CFA90FD" w14:textId="77777777" w:rsidR="00E27BDF" w:rsidRPr="00AC5716" w:rsidRDefault="00E27BDF">
      <w:pPr>
        <w:jc w:val="both"/>
        <w:rPr>
          <w:rFonts w:ascii="Arial" w:eastAsia="Arial" w:hAnsi="Arial" w:cs="Arial"/>
          <w:color w:val="000000"/>
          <w:sz w:val="20"/>
          <w:szCs w:val="20"/>
        </w:rPr>
      </w:pPr>
    </w:p>
    <w:p w14:paraId="2398FB2D" w14:textId="52F7929C" w:rsidR="00E27BDF" w:rsidRPr="00AC5716" w:rsidRDefault="006C0DA8" w:rsidP="113F60A0">
      <w:pPr>
        <w:jc w:val="both"/>
        <w:rPr>
          <w:rFonts w:ascii="Arial" w:eastAsia="Arial" w:hAnsi="Arial" w:cs="Arial"/>
          <w:b/>
          <w:bCs/>
          <w:color w:val="000000"/>
          <w:sz w:val="22"/>
          <w:szCs w:val="22"/>
        </w:rPr>
      </w:pPr>
      <w:r w:rsidRPr="113F60A0">
        <w:rPr>
          <w:rFonts w:ascii="Arial" w:eastAsia="Arial" w:hAnsi="Arial" w:cs="Arial"/>
          <w:b/>
          <w:bCs/>
          <w:color w:val="000000" w:themeColor="text1"/>
          <w:sz w:val="22"/>
          <w:szCs w:val="22"/>
        </w:rPr>
        <w:t xml:space="preserve">CONVOCATORIAS LIMITADAS A MIPYMES NACIONALES – Limitación territorial – Relevancia </w:t>
      </w:r>
      <w:r w:rsidR="25BAE248" w:rsidRPr="113F60A0">
        <w:rPr>
          <w:rFonts w:ascii="Arial" w:eastAsia="Arial" w:hAnsi="Arial" w:cs="Arial"/>
          <w:b/>
          <w:bCs/>
          <w:color w:val="000000" w:themeColor="text1"/>
          <w:sz w:val="22"/>
          <w:szCs w:val="22"/>
        </w:rPr>
        <w:t>–</w:t>
      </w:r>
      <w:r w:rsidRPr="113F60A0">
        <w:rPr>
          <w:rFonts w:ascii="Arial" w:eastAsia="Arial" w:hAnsi="Arial" w:cs="Arial"/>
          <w:b/>
          <w:bCs/>
          <w:color w:val="000000" w:themeColor="text1"/>
          <w:sz w:val="22"/>
          <w:szCs w:val="22"/>
        </w:rPr>
        <w:t xml:space="preserve"> </w:t>
      </w:r>
      <w:r w:rsidR="22E030EA" w:rsidRPr="113F60A0">
        <w:rPr>
          <w:rFonts w:ascii="Arial" w:eastAsia="Arial" w:hAnsi="Arial" w:cs="Arial"/>
          <w:b/>
          <w:bCs/>
          <w:color w:val="000000" w:themeColor="text1"/>
          <w:sz w:val="22"/>
          <w:szCs w:val="22"/>
        </w:rPr>
        <w:t>D</w:t>
      </w:r>
      <w:r w:rsidRPr="113F60A0">
        <w:rPr>
          <w:rFonts w:ascii="Arial" w:eastAsia="Arial" w:hAnsi="Arial" w:cs="Arial"/>
          <w:b/>
          <w:bCs/>
          <w:color w:val="000000" w:themeColor="text1"/>
          <w:sz w:val="22"/>
          <w:szCs w:val="22"/>
        </w:rPr>
        <w:t xml:space="preserve">omicilio  </w:t>
      </w:r>
      <w:proofErr w:type="spellStart"/>
      <w:r w:rsidRPr="113F60A0">
        <w:rPr>
          <w:rFonts w:ascii="Arial" w:eastAsia="Arial" w:hAnsi="Arial" w:cs="Arial"/>
          <w:b/>
          <w:bCs/>
          <w:color w:val="000000" w:themeColor="text1"/>
          <w:sz w:val="22"/>
          <w:szCs w:val="22"/>
        </w:rPr>
        <w:t>Mipymes</w:t>
      </w:r>
      <w:proofErr w:type="spellEnd"/>
    </w:p>
    <w:p w14:paraId="3EE8A8D7" w14:textId="77777777" w:rsidR="00E27BDF" w:rsidRPr="00AC5716" w:rsidRDefault="00E27BDF">
      <w:pPr>
        <w:jc w:val="both"/>
        <w:rPr>
          <w:rFonts w:ascii="Arial" w:eastAsia="Arial" w:hAnsi="Arial" w:cs="Arial"/>
          <w:b/>
          <w:color w:val="000000"/>
          <w:sz w:val="21"/>
          <w:szCs w:val="21"/>
        </w:rPr>
      </w:pPr>
    </w:p>
    <w:p w14:paraId="7EA2227C" w14:textId="77777777" w:rsidR="00E27BDF" w:rsidRPr="00AC5716" w:rsidRDefault="006C0DA8">
      <w:pPr>
        <w:spacing w:after="120"/>
        <w:jc w:val="both"/>
        <w:rPr>
          <w:rFonts w:ascii="Arial" w:eastAsia="Arial" w:hAnsi="Arial" w:cs="Arial"/>
          <w:color w:val="000000"/>
          <w:sz w:val="20"/>
          <w:szCs w:val="20"/>
        </w:rPr>
      </w:pPr>
      <w:r w:rsidRPr="00AC5716">
        <w:rPr>
          <w:rFonts w:ascii="Arial" w:eastAsia="Arial" w:hAnsi="Arial" w:cs="Arial"/>
          <w:color w:val="000000"/>
          <w:sz w:val="20"/>
          <w:szCs w:val="20"/>
        </w:rPr>
        <w:t>[…] el artículo 2.2.1.2.4.2.3. del Decreto 1082 de 2015 se refiere a las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nacionales domiciliadas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AC5716">
        <w:rPr>
          <w:rFonts w:ascii="Arial" w:eastAsia="Arial" w:hAnsi="Arial" w:cs="Arial"/>
          <w:color w:val="000000"/>
          <w:sz w:val="20"/>
          <w:szCs w:val="20"/>
        </w:rPr>
        <w:t>Mipyme</w:t>
      </w:r>
      <w:proofErr w:type="spellEnd"/>
      <w:r w:rsidRPr="00AC5716">
        <w:rPr>
          <w:rFonts w:ascii="Arial" w:eastAsia="Arial" w:hAnsi="Arial" w:cs="Arial"/>
          <w:color w:val="000000"/>
          <w:sz w:val="20"/>
          <w:szCs w:val="20"/>
        </w:rPr>
        <w:t xml:space="preserve"> tiene su «domicilio», y no en donde tiene sucursales.</w:t>
      </w:r>
    </w:p>
    <w:p w14:paraId="2D11DBD8" w14:textId="2A9C11A2" w:rsidR="00E27BDF" w:rsidRPr="00AC5716" w:rsidRDefault="006C0DA8">
      <w:pPr>
        <w:jc w:val="both"/>
        <w:rPr>
          <w:rFonts w:ascii="Arial" w:eastAsia="Arial" w:hAnsi="Arial" w:cs="Arial"/>
          <w:color w:val="000000"/>
          <w:sz w:val="20"/>
          <w:szCs w:val="20"/>
        </w:rPr>
      </w:pPr>
      <w:r w:rsidRPr="00AC5716">
        <w:rPr>
          <w:rFonts w:ascii="Arial" w:eastAsia="Arial" w:hAnsi="Arial" w:cs="Arial"/>
          <w:color w:val="000000"/>
          <w:sz w:val="20"/>
          <w:szCs w:val="20"/>
        </w:rPr>
        <w:t xml:space="preserve">Los artículos 110 y 111 </w:t>
      </w:r>
      <w:r w:rsidR="00FF0DAA" w:rsidRPr="00AC5716">
        <w:rPr>
          <w:rFonts w:ascii="Arial" w:eastAsia="Arial" w:hAnsi="Arial" w:cs="Arial"/>
          <w:color w:val="000000"/>
          <w:sz w:val="20"/>
          <w:szCs w:val="20"/>
        </w:rPr>
        <w:t>[</w:t>
      </w:r>
      <w:r w:rsidRPr="00AC5716">
        <w:rPr>
          <w:rFonts w:ascii="Arial" w:eastAsia="Arial" w:hAnsi="Arial" w:cs="Arial"/>
          <w:color w:val="000000"/>
          <w:sz w:val="20"/>
          <w:szCs w:val="20"/>
        </w:rPr>
        <w:t>del Código de Comercio</w:t>
      </w:r>
      <w:r w:rsidR="00FF0DAA" w:rsidRPr="00AC5716">
        <w:rPr>
          <w:rFonts w:ascii="Arial" w:eastAsia="Arial" w:hAnsi="Arial" w:cs="Arial"/>
          <w:color w:val="000000"/>
          <w:sz w:val="20"/>
          <w:szCs w:val="20"/>
        </w:rPr>
        <w:t>]</w:t>
      </w:r>
      <w:r w:rsidRPr="00AC5716">
        <w:rPr>
          <w:rFonts w:ascii="Arial" w:eastAsia="Arial" w:hAnsi="Arial" w:cs="Arial"/>
          <w:color w:val="000000"/>
          <w:sz w:val="20"/>
          <w:szCs w:val="20"/>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reitera que no es procedente extender el beneficio contenido en el artículo 2.2.1.2.4.2.3. </w:t>
      </w:r>
      <w:proofErr w:type="spellStart"/>
      <w:r w:rsidRPr="00AC5716">
        <w:rPr>
          <w:rFonts w:ascii="Arial" w:eastAsia="Arial" w:hAnsi="Arial" w:cs="Arial"/>
          <w:color w:val="000000"/>
          <w:sz w:val="20"/>
          <w:szCs w:val="20"/>
        </w:rPr>
        <w:t>ibídem</w:t>
      </w:r>
      <w:proofErr w:type="spellEnd"/>
      <w:r w:rsidRPr="00AC5716">
        <w:rPr>
          <w:rFonts w:ascii="Arial" w:eastAsia="Arial" w:hAnsi="Arial" w:cs="Arial"/>
          <w:color w:val="000000"/>
          <w:sz w:val="20"/>
          <w:szCs w:val="20"/>
        </w:rPr>
        <w:t xml:space="preserve"> a las entidades que tienen «sucursales» en el municipio o departamento en donde se va a ejecutar el contrato estatal.</w:t>
      </w:r>
    </w:p>
    <w:p w14:paraId="09A057BE" w14:textId="77777777" w:rsidR="00E27BDF" w:rsidRPr="00AC5716" w:rsidRDefault="00E27BDF">
      <w:pPr>
        <w:jc w:val="both"/>
        <w:rPr>
          <w:rFonts w:ascii="Arial" w:eastAsia="Arial" w:hAnsi="Arial" w:cs="Arial"/>
          <w:color w:val="000000"/>
          <w:sz w:val="20"/>
          <w:szCs w:val="20"/>
        </w:rPr>
      </w:pPr>
    </w:p>
    <w:p w14:paraId="6752CAA5" w14:textId="77777777" w:rsidR="00E27BDF" w:rsidRPr="00AC5716" w:rsidRDefault="00E27BDF">
      <w:pPr>
        <w:rPr>
          <w:rFonts w:ascii="Arial" w:eastAsia="Arial" w:hAnsi="Arial" w:cs="Arial"/>
          <w:color w:val="000000"/>
          <w:sz w:val="20"/>
          <w:szCs w:val="20"/>
        </w:rPr>
      </w:pPr>
    </w:p>
    <w:p w14:paraId="6E3505BD" w14:textId="2162CDD8" w:rsidR="00E27BDF" w:rsidRPr="00AC5716" w:rsidRDefault="006C0DA8">
      <w:pPr>
        <w:rPr>
          <w:rFonts w:ascii="Arial" w:eastAsia="Arial" w:hAnsi="Arial" w:cs="Arial"/>
          <w:b/>
          <w:sz w:val="22"/>
          <w:szCs w:val="22"/>
        </w:rPr>
      </w:pPr>
      <w:r w:rsidRPr="00AC5716">
        <w:rPr>
          <w:rFonts w:ascii="Arial" w:eastAsia="Arial" w:hAnsi="Arial" w:cs="Arial"/>
          <w:sz w:val="22"/>
          <w:szCs w:val="22"/>
        </w:rPr>
        <w:t xml:space="preserve">Bogotá D.C., </w:t>
      </w:r>
      <w:r w:rsidR="007E2F69" w:rsidRPr="007E2F69">
        <w:rPr>
          <w:rFonts w:ascii="Arial" w:eastAsia="Arial" w:hAnsi="Arial" w:cs="Arial"/>
          <w:b/>
          <w:sz w:val="22"/>
          <w:szCs w:val="22"/>
        </w:rPr>
        <w:t>24/07/2020 Hora 10:57:50s</w:t>
      </w:r>
    </w:p>
    <w:p w14:paraId="032A0FC9" w14:textId="77777777" w:rsidR="00E27BDF" w:rsidRPr="00AC5716" w:rsidRDefault="00E27BDF">
      <w:pPr>
        <w:jc w:val="right"/>
        <w:rPr>
          <w:rFonts w:ascii="Arial" w:eastAsia="Arial" w:hAnsi="Arial" w:cs="Arial"/>
          <w:b/>
          <w:sz w:val="22"/>
          <w:szCs w:val="22"/>
        </w:rPr>
      </w:pPr>
    </w:p>
    <w:p w14:paraId="7FAC49B0" w14:textId="48AE670F" w:rsidR="00E27BDF" w:rsidRPr="00AC5716" w:rsidRDefault="006C0DA8">
      <w:pPr>
        <w:jc w:val="right"/>
        <w:rPr>
          <w:rFonts w:ascii="Arial" w:eastAsia="Arial" w:hAnsi="Arial" w:cs="Arial"/>
          <w:b/>
          <w:sz w:val="22"/>
          <w:szCs w:val="22"/>
        </w:rPr>
      </w:pPr>
      <w:proofErr w:type="spellStart"/>
      <w:r w:rsidRPr="00AC5716">
        <w:rPr>
          <w:rFonts w:ascii="Arial" w:eastAsia="Arial" w:hAnsi="Arial" w:cs="Arial"/>
          <w:b/>
          <w:sz w:val="22"/>
          <w:szCs w:val="22"/>
        </w:rPr>
        <w:t>N°</w:t>
      </w:r>
      <w:proofErr w:type="spellEnd"/>
      <w:r w:rsidRPr="00AC5716">
        <w:rPr>
          <w:rFonts w:ascii="Arial" w:eastAsia="Arial" w:hAnsi="Arial" w:cs="Arial"/>
          <w:b/>
          <w:sz w:val="22"/>
          <w:szCs w:val="22"/>
        </w:rPr>
        <w:t xml:space="preserve"> Radicado: </w:t>
      </w:r>
      <w:r w:rsidR="00DB3E6A" w:rsidRPr="00DB3E6A">
        <w:rPr>
          <w:rFonts w:ascii="Arial" w:eastAsia="Arial" w:hAnsi="Arial" w:cs="Arial"/>
          <w:b/>
          <w:sz w:val="22"/>
          <w:szCs w:val="22"/>
        </w:rPr>
        <w:t>2202013000006584</w:t>
      </w:r>
    </w:p>
    <w:p w14:paraId="0F93E392" w14:textId="77777777" w:rsidR="00E27BDF" w:rsidRPr="00AC5716" w:rsidRDefault="00E27BDF">
      <w:pPr>
        <w:rPr>
          <w:rFonts w:ascii="Arial" w:eastAsia="Arial" w:hAnsi="Arial" w:cs="Arial"/>
          <w:color w:val="000000"/>
          <w:sz w:val="22"/>
          <w:szCs w:val="22"/>
        </w:rPr>
      </w:pPr>
    </w:p>
    <w:p w14:paraId="378E218B" w14:textId="77777777" w:rsidR="00E27BDF" w:rsidRPr="00AC5716" w:rsidRDefault="006C0DA8">
      <w:pPr>
        <w:rPr>
          <w:rFonts w:ascii="Arial" w:eastAsia="Arial" w:hAnsi="Arial" w:cs="Arial"/>
          <w:color w:val="000000"/>
          <w:sz w:val="22"/>
          <w:szCs w:val="22"/>
        </w:rPr>
      </w:pPr>
      <w:r w:rsidRPr="00AC5716">
        <w:rPr>
          <w:rFonts w:ascii="Arial" w:eastAsia="Arial" w:hAnsi="Arial" w:cs="Arial"/>
          <w:color w:val="000000"/>
          <w:sz w:val="22"/>
          <w:szCs w:val="22"/>
        </w:rPr>
        <w:t>Señora</w:t>
      </w:r>
    </w:p>
    <w:p w14:paraId="62A9B29A" w14:textId="77777777" w:rsidR="00E27BDF" w:rsidRPr="00AC5716" w:rsidRDefault="006C0DA8">
      <w:pPr>
        <w:rPr>
          <w:rFonts w:ascii="Arial" w:eastAsia="Arial" w:hAnsi="Arial" w:cs="Arial"/>
          <w:b/>
          <w:color w:val="000000"/>
          <w:sz w:val="22"/>
          <w:szCs w:val="22"/>
        </w:rPr>
      </w:pPr>
      <w:r w:rsidRPr="00AC5716">
        <w:rPr>
          <w:rFonts w:ascii="Arial" w:eastAsia="Arial" w:hAnsi="Arial" w:cs="Arial"/>
          <w:b/>
          <w:color w:val="000000"/>
          <w:sz w:val="22"/>
          <w:szCs w:val="22"/>
        </w:rPr>
        <w:t>Sandra Yanet Díaz</w:t>
      </w:r>
    </w:p>
    <w:p w14:paraId="2335A75F" w14:textId="77777777" w:rsidR="00E27BDF" w:rsidRPr="00AC5716" w:rsidRDefault="006C0DA8">
      <w:pPr>
        <w:rPr>
          <w:rFonts w:ascii="Arial" w:eastAsia="Arial" w:hAnsi="Arial" w:cs="Arial"/>
          <w:color w:val="000000"/>
          <w:sz w:val="22"/>
          <w:szCs w:val="22"/>
        </w:rPr>
      </w:pPr>
      <w:r w:rsidRPr="00AC5716">
        <w:rPr>
          <w:rFonts w:ascii="Arial" w:eastAsia="Arial" w:hAnsi="Arial" w:cs="Arial"/>
          <w:color w:val="000000"/>
          <w:sz w:val="22"/>
          <w:szCs w:val="22"/>
        </w:rPr>
        <w:t>Neiva, Huila</w:t>
      </w:r>
    </w:p>
    <w:p w14:paraId="197A64B4" w14:textId="77777777" w:rsidR="00E27BDF" w:rsidRPr="00AC5716" w:rsidRDefault="006C0DA8">
      <w:pPr>
        <w:ind w:firstLine="2694"/>
        <w:rPr>
          <w:rFonts w:ascii="Arial" w:eastAsia="Arial" w:hAnsi="Arial" w:cs="Arial"/>
          <w:b/>
          <w:color w:val="000000"/>
          <w:sz w:val="22"/>
          <w:szCs w:val="22"/>
        </w:rPr>
      </w:pPr>
      <w:r w:rsidRPr="00AC5716">
        <w:rPr>
          <w:rFonts w:ascii="Arial" w:eastAsia="Arial" w:hAnsi="Arial" w:cs="Arial"/>
          <w:b/>
          <w:color w:val="000000"/>
          <w:sz w:val="22"/>
          <w:szCs w:val="22"/>
        </w:rPr>
        <w:lastRenderedPageBreak/>
        <w:t>Concepto C – 492 de 2020</w:t>
      </w:r>
    </w:p>
    <w:p w14:paraId="0776158D" w14:textId="77777777" w:rsidR="00E27BDF" w:rsidRPr="00AC5716" w:rsidRDefault="00E27BDF">
      <w:pPr>
        <w:rPr>
          <w:rFonts w:ascii="Arial" w:eastAsia="Arial" w:hAnsi="Arial" w:cs="Arial"/>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E27BDF" w:rsidRPr="00AC5716" w14:paraId="322C87C9" w14:textId="77777777">
        <w:tc>
          <w:tcPr>
            <w:tcW w:w="2689" w:type="dxa"/>
          </w:tcPr>
          <w:p w14:paraId="582572A0" w14:textId="77777777" w:rsidR="00E27BDF" w:rsidRPr="00AC5716" w:rsidRDefault="006C0DA8">
            <w:pPr>
              <w:rPr>
                <w:rFonts w:ascii="Arial" w:eastAsia="Arial" w:hAnsi="Arial" w:cs="Arial"/>
                <w:color w:val="000000"/>
                <w:sz w:val="22"/>
                <w:szCs w:val="22"/>
              </w:rPr>
            </w:pPr>
            <w:r w:rsidRPr="00AC5716">
              <w:rPr>
                <w:rFonts w:ascii="Arial" w:eastAsia="Arial" w:hAnsi="Arial" w:cs="Arial"/>
                <w:b/>
                <w:color w:val="000000"/>
                <w:sz w:val="22"/>
                <w:szCs w:val="22"/>
              </w:rPr>
              <w:t>Temas:</w:t>
            </w:r>
            <w:r w:rsidRPr="00AC5716">
              <w:rPr>
                <w:rFonts w:ascii="Arial" w:eastAsia="Arial" w:hAnsi="Arial" w:cs="Arial"/>
                <w:color w:val="000000"/>
                <w:sz w:val="22"/>
                <w:szCs w:val="22"/>
              </w:rPr>
              <w:t xml:space="preserve">           </w:t>
            </w:r>
          </w:p>
          <w:p w14:paraId="2FAB4B01" w14:textId="77777777" w:rsidR="00E27BDF" w:rsidRPr="00AC5716" w:rsidRDefault="006C0DA8">
            <w:pPr>
              <w:rPr>
                <w:rFonts w:ascii="Arial" w:eastAsia="Arial" w:hAnsi="Arial" w:cs="Arial"/>
                <w:color w:val="000000"/>
                <w:sz w:val="22"/>
                <w:szCs w:val="22"/>
              </w:rPr>
            </w:pPr>
            <w:r w:rsidRPr="00AC5716">
              <w:rPr>
                <w:rFonts w:ascii="Arial" w:eastAsia="Arial" w:hAnsi="Arial" w:cs="Arial"/>
                <w:color w:val="000000"/>
                <w:sz w:val="22"/>
                <w:szCs w:val="22"/>
              </w:rPr>
              <w:t xml:space="preserve">                           </w:t>
            </w:r>
          </w:p>
        </w:tc>
        <w:tc>
          <w:tcPr>
            <w:tcW w:w="6237" w:type="dxa"/>
          </w:tcPr>
          <w:p w14:paraId="596927E6" w14:textId="6CD8952F" w:rsidR="00E27BDF" w:rsidRPr="00AC5716" w:rsidRDefault="006C0DA8">
            <w:pPr>
              <w:jc w:val="both"/>
              <w:rPr>
                <w:rFonts w:ascii="Arial" w:eastAsia="Arial" w:hAnsi="Arial" w:cs="Arial"/>
                <w:color w:val="000000"/>
                <w:sz w:val="22"/>
                <w:szCs w:val="22"/>
              </w:rPr>
            </w:pPr>
            <w:r w:rsidRPr="00AC5716">
              <w:rPr>
                <w:rFonts w:ascii="Arial" w:eastAsia="Arial" w:hAnsi="Arial" w:cs="Arial"/>
                <w:color w:val="000000"/>
                <w:sz w:val="22"/>
                <w:szCs w:val="22"/>
              </w:rPr>
              <w:t xml:space="preserve">MIPYME ― Noción y alcance / MIPYMES ― Incentivos contractuales / MIPYMES NACIONALES ― Inexistencia de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del orden territorial / CONVOCATORIAS LIMITADAS A MIPYMES NACIONALES ― Requisitos / CONVOCATORIAS LIMITADAS A MIPYMES NACIONALES – Solicitud – Diferencia y autonomía frente a la propuesta del oferente – </w:t>
            </w:r>
            <w:r w:rsidR="00ED3D3F" w:rsidRPr="00AC5716">
              <w:rPr>
                <w:rFonts w:ascii="Arial" w:eastAsia="Arial" w:hAnsi="Arial" w:cs="Arial"/>
                <w:color w:val="000000"/>
                <w:sz w:val="22"/>
                <w:szCs w:val="22"/>
              </w:rPr>
              <w:t>R</w:t>
            </w:r>
            <w:r w:rsidRPr="00AC5716">
              <w:rPr>
                <w:rFonts w:ascii="Arial" w:eastAsia="Arial" w:hAnsi="Arial" w:cs="Arial"/>
                <w:color w:val="000000"/>
                <w:sz w:val="22"/>
                <w:szCs w:val="22"/>
              </w:rPr>
              <w:t xml:space="preserve">equisitos habilitantes / CONVOCATORIAS LIMITADAS A MIPYMES NACIONALES ― Limitación territorial ― Requisitos / CONVOCATORIAS LIMITADAS A MIPYMES NACIONALES ― Procedencia de la «limitación territorial» / CONVOCATORIAS LIMITADAS A MIPYMES NACIONALES ― Limitación territorial – Procedencia ― Procedencia en relación con las modalidades de contratación / CONVOCATORIAS LIMITADAS A MIPYMES NACIONALES ― Limitación territorial ― Relevancia del domicilio de la </w:t>
            </w:r>
            <w:proofErr w:type="spellStart"/>
            <w:r w:rsidRPr="00AC5716">
              <w:rPr>
                <w:rFonts w:ascii="Arial" w:eastAsia="Arial" w:hAnsi="Arial" w:cs="Arial"/>
                <w:color w:val="000000"/>
                <w:sz w:val="22"/>
                <w:szCs w:val="22"/>
              </w:rPr>
              <w:t>Mipymes</w:t>
            </w:r>
            <w:proofErr w:type="spellEnd"/>
          </w:p>
        </w:tc>
      </w:tr>
      <w:tr w:rsidR="00E27BDF" w:rsidRPr="00AC5716" w14:paraId="2355401D" w14:textId="77777777">
        <w:tc>
          <w:tcPr>
            <w:tcW w:w="2689" w:type="dxa"/>
          </w:tcPr>
          <w:p w14:paraId="7161ECB4" w14:textId="77777777" w:rsidR="00E27BDF" w:rsidRPr="00AC5716" w:rsidRDefault="006C0DA8">
            <w:pPr>
              <w:spacing w:before="60"/>
              <w:rPr>
                <w:rFonts w:ascii="Arial" w:eastAsia="Arial" w:hAnsi="Arial" w:cs="Arial"/>
                <w:b/>
                <w:color w:val="000000"/>
                <w:sz w:val="22"/>
                <w:szCs w:val="22"/>
              </w:rPr>
            </w:pPr>
            <w:r w:rsidRPr="00AC5716">
              <w:rPr>
                <w:rFonts w:ascii="Arial" w:eastAsia="Arial" w:hAnsi="Arial" w:cs="Arial"/>
                <w:b/>
                <w:color w:val="000000"/>
                <w:sz w:val="22"/>
                <w:szCs w:val="22"/>
              </w:rPr>
              <w:t>Radicación:</w:t>
            </w:r>
            <w:r w:rsidRPr="00AC5716">
              <w:rPr>
                <w:rFonts w:ascii="Arial" w:eastAsia="Arial" w:hAnsi="Arial" w:cs="Arial"/>
                <w:color w:val="000000"/>
                <w:sz w:val="22"/>
                <w:szCs w:val="22"/>
              </w:rPr>
              <w:t xml:space="preserve">                              </w:t>
            </w:r>
          </w:p>
        </w:tc>
        <w:tc>
          <w:tcPr>
            <w:tcW w:w="6237" w:type="dxa"/>
          </w:tcPr>
          <w:p w14:paraId="54C2A88E" w14:textId="77777777" w:rsidR="00E27BDF" w:rsidRPr="00AC5716" w:rsidRDefault="006C0DA8">
            <w:pPr>
              <w:spacing w:before="60"/>
              <w:rPr>
                <w:rFonts w:ascii="Arial" w:eastAsia="Arial" w:hAnsi="Arial" w:cs="Arial"/>
                <w:color w:val="000000"/>
                <w:sz w:val="22"/>
                <w:szCs w:val="22"/>
              </w:rPr>
            </w:pPr>
            <w:r w:rsidRPr="00AC5716">
              <w:rPr>
                <w:rFonts w:ascii="Arial" w:eastAsia="Arial" w:hAnsi="Arial" w:cs="Arial"/>
                <w:color w:val="000000"/>
                <w:sz w:val="22"/>
                <w:szCs w:val="22"/>
              </w:rPr>
              <w:t>Respuesta a consulta # 4202013000006003</w:t>
            </w:r>
          </w:p>
          <w:p w14:paraId="4AC93078" w14:textId="77777777" w:rsidR="00E27BDF" w:rsidRPr="00AC5716" w:rsidRDefault="00E27BDF">
            <w:pPr>
              <w:spacing w:before="60"/>
              <w:jc w:val="both"/>
              <w:rPr>
                <w:rFonts w:ascii="Arial" w:eastAsia="Arial" w:hAnsi="Arial" w:cs="Arial"/>
                <w:color w:val="000000"/>
                <w:sz w:val="22"/>
                <w:szCs w:val="22"/>
              </w:rPr>
            </w:pPr>
          </w:p>
        </w:tc>
      </w:tr>
    </w:tbl>
    <w:p w14:paraId="18896E2E" w14:textId="77777777" w:rsidR="00E27BDF" w:rsidRPr="00AC5716" w:rsidRDefault="00E27BDF">
      <w:pPr>
        <w:jc w:val="both"/>
        <w:rPr>
          <w:rFonts w:ascii="Arial" w:eastAsia="Arial" w:hAnsi="Arial" w:cs="Arial"/>
          <w:color w:val="000000"/>
          <w:sz w:val="22"/>
          <w:szCs w:val="22"/>
        </w:rPr>
      </w:pPr>
    </w:p>
    <w:p w14:paraId="6B54A5C9" w14:textId="77777777" w:rsidR="00E27BDF" w:rsidRPr="00AC5716" w:rsidRDefault="006C0DA8">
      <w:pPr>
        <w:rPr>
          <w:rFonts w:ascii="Arial" w:eastAsia="Arial" w:hAnsi="Arial" w:cs="Arial"/>
          <w:color w:val="000000"/>
          <w:sz w:val="22"/>
          <w:szCs w:val="22"/>
        </w:rPr>
      </w:pPr>
      <w:r w:rsidRPr="00AC5716">
        <w:rPr>
          <w:rFonts w:ascii="Arial" w:eastAsia="Arial" w:hAnsi="Arial" w:cs="Arial"/>
          <w:color w:val="000000"/>
          <w:sz w:val="22"/>
          <w:szCs w:val="22"/>
        </w:rPr>
        <w:t>Estimada señora Díaz:</w:t>
      </w:r>
    </w:p>
    <w:p w14:paraId="29691060" w14:textId="77777777" w:rsidR="00E27BDF" w:rsidRPr="00AC5716" w:rsidRDefault="00E27BDF">
      <w:pPr>
        <w:rPr>
          <w:rFonts w:ascii="Arial" w:eastAsia="Arial" w:hAnsi="Arial" w:cs="Arial"/>
          <w:color w:val="000000"/>
          <w:sz w:val="22"/>
          <w:szCs w:val="22"/>
        </w:rPr>
      </w:pPr>
    </w:p>
    <w:p w14:paraId="3EA5EC32" w14:textId="77777777" w:rsidR="00E27BDF" w:rsidRPr="00AC5716" w:rsidRDefault="006C0DA8">
      <w:pPr>
        <w:spacing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 xml:space="preserve">En ejercicio de la competencia otorgada por los artículos 11, numeral 8º, y 3º, numeral 5º, del Decreto Ley 4170 de 2011, la Agencia Nacional de Contratación Pública―Colombia Compra Eficiente responde su consulta del 16 de julio de 2020. </w:t>
      </w:r>
    </w:p>
    <w:p w14:paraId="7E631247" w14:textId="77777777" w:rsidR="00E27BDF" w:rsidRPr="00AC5716" w:rsidRDefault="00E27BDF">
      <w:pPr>
        <w:spacing w:line="276" w:lineRule="auto"/>
        <w:jc w:val="both"/>
        <w:rPr>
          <w:rFonts w:ascii="Arial" w:eastAsia="Arial" w:hAnsi="Arial" w:cs="Arial"/>
          <w:color w:val="000000"/>
          <w:sz w:val="22"/>
          <w:szCs w:val="22"/>
        </w:rPr>
      </w:pPr>
    </w:p>
    <w:p w14:paraId="39C11F03" w14:textId="77777777" w:rsidR="00E27BDF" w:rsidRPr="00AC5716" w:rsidRDefault="006C0DA8">
      <w:pPr>
        <w:numPr>
          <w:ilvl w:val="0"/>
          <w:numId w:val="1"/>
        </w:numPr>
        <w:pBdr>
          <w:top w:val="nil"/>
          <w:left w:val="nil"/>
          <w:bottom w:val="nil"/>
          <w:right w:val="nil"/>
          <w:between w:val="nil"/>
        </w:pBdr>
        <w:tabs>
          <w:tab w:val="left" w:pos="284"/>
        </w:tabs>
        <w:spacing w:line="276" w:lineRule="auto"/>
        <w:ind w:left="0" w:firstLine="0"/>
        <w:jc w:val="both"/>
        <w:rPr>
          <w:rFonts w:ascii="Arial" w:eastAsia="Arial" w:hAnsi="Arial" w:cs="Arial"/>
          <w:sz w:val="22"/>
          <w:szCs w:val="22"/>
        </w:rPr>
      </w:pPr>
      <w:r w:rsidRPr="00AC5716">
        <w:rPr>
          <w:rFonts w:ascii="Arial" w:eastAsia="Arial" w:hAnsi="Arial" w:cs="Arial"/>
          <w:b/>
          <w:color w:val="000000"/>
          <w:sz w:val="22"/>
          <w:szCs w:val="22"/>
        </w:rPr>
        <w:t xml:space="preserve">Problemas planteados </w:t>
      </w:r>
    </w:p>
    <w:p w14:paraId="40CF7B40" w14:textId="77777777" w:rsidR="00E27BDF" w:rsidRPr="00AC5716" w:rsidRDefault="00E27BDF">
      <w:pPr>
        <w:tabs>
          <w:tab w:val="left" w:pos="426"/>
        </w:tabs>
        <w:spacing w:line="276" w:lineRule="auto"/>
        <w:jc w:val="both"/>
        <w:rPr>
          <w:rFonts w:ascii="Arial" w:eastAsia="Arial" w:hAnsi="Arial" w:cs="Arial"/>
          <w:b/>
          <w:color w:val="000000"/>
          <w:sz w:val="22"/>
          <w:szCs w:val="22"/>
        </w:rPr>
      </w:pPr>
    </w:p>
    <w:p w14:paraId="72B812D3" w14:textId="77777777" w:rsidR="00E27BDF" w:rsidRPr="00AC5716" w:rsidRDefault="006C0DA8">
      <w:pPr>
        <w:spacing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 xml:space="preserve">Usted realiza las siguientes preguntas frente a lo consagrado en el artículo 2.2.1.2.4.2.4 del Decreto 1082 de 2015: i) ¿[…] «puede una entidad </w:t>
      </w:r>
      <w:proofErr w:type="spellStart"/>
      <w:r w:rsidRPr="00AC5716">
        <w:rPr>
          <w:rFonts w:ascii="Arial" w:eastAsia="Arial" w:hAnsi="Arial" w:cs="Arial"/>
          <w:color w:val="000000"/>
          <w:sz w:val="22"/>
          <w:szCs w:val="22"/>
        </w:rPr>
        <w:t>publica</w:t>
      </w:r>
      <w:proofErr w:type="spellEnd"/>
      <w:r w:rsidRPr="00AC5716">
        <w:rPr>
          <w:rFonts w:ascii="Arial" w:eastAsia="Arial" w:hAnsi="Arial" w:cs="Arial"/>
          <w:color w:val="000000"/>
          <w:sz w:val="22"/>
          <w:szCs w:val="22"/>
        </w:rPr>
        <w:t xml:space="preserve"> limitar el proceso 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con solicitudes de empresas que a pesar de ser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no cumple con las condiciones </w:t>
      </w:r>
      <w:proofErr w:type="spellStart"/>
      <w:r w:rsidRPr="00AC5716">
        <w:rPr>
          <w:rFonts w:ascii="Arial" w:eastAsia="Arial" w:hAnsi="Arial" w:cs="Arial"/>
          <w:color w:val="000000"/>
          <w:sz w:val="22"/>
          <w:szCs w:val="22"/>
        </w:rPr>
        <w:t>tecnicas</w:t>
      </w:r>
      <w:proofErr w:type="spellEnd"/>
      <w:r w:rsidRPr="00AC5716">
        <w:rPr>
          <w:rFonts w:ascii="Arial" w:eastAsia="Arial" w:hAnsi="Arial" w:cs="Arial"/>
          <w:color w:val="000000"/>
          <w:sz w:val="22"/>
          <w:szCs w:val="22"/>
        </w:rPr>
        <w:t xml:space="preserve"> habilitantes para participar en el proceso de </w:t>
      </w:r>
      <w:proofErr w:type="spellStart"/>
      <w:r w:rsidRPr="00AC5716">
        <w:rPr>
          <w:rFonts w:ascii="Arial" w:eastAsia="Arial" w:hAnsi="Arial" w:cs="Arial"/>
          <w:color w:val="000000"/>
          <w:sz w:val="22"/>
          <w:szCs w:val="22"/>
        </w:rPr>
        <w:t>contratación</w:t>
      </w:r>
      <w:proofErr w:type="spellEnd"/>
      <w:r w:rsidRPr="00AC5716">
        <w:rPr>
          <w:rFonts w:ascii="Arial" w:eastAsia="Arial" w:hAnsi="Arial" w:cs="Arial"/>
          <w:color w:val="000000"/>
          <w:sz w:val="22"/>
          <w:szCs w:val="22"/>
        </w:rPr>
        <w:t xml:space="preserve"> convocado […] a la fecha de publicación de la resolución de apertura […]?»; </w:t>
      </w:r>
      <w:proofErr w:type="spellStart"/>
      <w:r w:rsidRPr="00AC5716">
        <w:rPr>
          <w:rFonts w:ascii="Arial" w:eastAsia="Arial" w:hAnsi="Arial" w:cs="Arial"/>
          <w:color w:val="000000"/>
          <w:sz w:val="22"/>
          <w:szCs w:val="22"/>
        </w:rPr>
        <w:t>ii</w:t>
      </w:r>
      <w:proofErr w:type="spellEnd"/>
      <w:r w:rsidRPr="00AC5716">
        <w:rPr>
          <w:rFonts w:ascii="Arial" w:eastAsia="Arial" w:hAnsi="Arial" w:cs="Arial"/>
          <w:color w:val="000000"/>
          <w:sz w:val="22"/>
          <w:szCs w:val="22"/>
        </w:rPr>
        <w:t>) ¿«</w:t>
      </w:r>
      <w:r w:rsidRPr="00AC5716">
        <w:t xml:space="preserve"> </w:t>
      </w:r>
      <w:r w:rsidRPr="00AC5716">
        <w:rPr>
          <w:rFonts w:ascii="Arial" w:eastAsia="Arial" w:hAnsi="Arial" w:cs="Arial"/>
          <w:color w:val="000000"/>
          <w:sz w:val="22"/>
          <w:szCs w:val="22"/>
        </w:rPr>
        <w:t xml:space="preserve">La entidad debe valorar esto o solo aplicar </w:t>
      </w:r>
      <w:proofErr w:type="spellStart"/>
      <w:r w:rsidRPr="00AC5716">
        <w:rPr>
          <w:rFonts w:ascii="Arial" w:eastAsia="Arial" w:hAnsi="Arial" w:cs="Arial"/>
          <w:color w:val="000000"/>
          <w:sz w:val="22"/>
          <w:szCs w:val="22"/>
        </w:rPr>
        <w:t>exegeticamente</w:t>
      </w:r>
      <w:proofErr w:type="spellEnd"/>
      <w:r w:rsidRPr="00AC5716">
        <w:rPr>
          <w:rFonts w:ascii="Arial" w:eastAsia="Arial" w:hAnsi="Arial" w:cs="Arial"/>
          <w:color w:val="000000"/>
          <w:sz w:val="22"/>
          <w:szCs w:val="22"/>
        </w:rPr>
        <w:t xml:space="preserve"> la </w:t>
      </w:r>
      <w:proofErr w:type="spellStart"/>
      <w:r w:rsidRPr="00AC5716">
        <w:rPr>
          <w:rFonts w:ascii="Arial" w:eastAsia="Arial" w:hAnsi="Arial" w:cs="Arial"/>
          <w:color w:val="000000"/>
          <w:sz w:val="22"/>
          <w:szCs w:val="22"/>
        </w:rPr>
        <w:t>verificacion</w:t>
      </w:r>
      <w:proofErr w:type="spellEnd"/>
      <w:r w:rsidRPr="00AC5716">
        <w:rPr>
          <w:rFonts w:ascii="Arial" w:eastAsia="Arial" w:hAnsi="Arial" w:cs="Arial"/>
          <w:color w:val="000000"/>
          <w:sz w:val="22"/>
          <w:szCs w:val="22"/>
        </w:rPr>
        <w:t xml:space="preserve"> de los documentos que se requieren en el </w:t>
      </w:r>
      <w:proofErr w:type="spellStart"/>
      <w:r w:rsidRPr="00AC5716">
        <w:rPr>
          <w:rFonts w:ascii="Arial" w:eastAsia="Arial" w:hAnsi="Arial" w:cs="Arial"/>
          <w:color w:val="000000"/>
          <w:sz w:val="22"/>
          <w:szCs w:val="22"/>
        </w:rPr>
        <w:t>articulo</w:t>
      </w:r>
      <w:proofErr w:type="spellEnd"/>
      <w:r w:rsidRPr="00AC5716">
        <w:rPr>
          <w:rFonts w:ascii="Arial" w:eastAsia="Arial" w:hAnsi="Arial" w:cs="Arial"/>
          <w:color w:val="000000"/>
          <w:sz w:val="22"/>
          <w:szCs w:val="22"/>
        </w:rPr>
        <w:t xml:space="preserve"> citado con el fin de no utilizar esta figura con fines no correspondientes»?</w:t>
      </w:r>
    </w:p>
    <w:p w14:paraId="1AB71AEC" w14:textId="77777777" w:rsidR="00E27BDF" w:rsidRPr="00AC5716" w:rsidRDefault="00E27BDF">
      <w:pPr>
        <w:jc w:val="both"/>
        <w:rPr>
          <w:rFonts w:ascii="Arial" w:eastAsia="Arial" w:hAnsi="Arial" w:cs="Arial"/>
          <w:color w:val="000000"/>
          <w:sz w:val="22"/>
          <w:szCs w:val="22"/>
        </w:rPr>
      </w:pPr>
    </w:p>
    <w:p w14:paraId="7D90835B" w14:textId="77777777" w:rsidR="00E27BDF" w:rsidRPr="00AC5716" w:rsidRDefault="006C0DA8">
      <w:pPr>
        <w:numPr>
          <w:ilvl w:val="0"/>
          <w:numId w:val="1"/>
        </w:numPr>
        <w:pBdr>
          <w:top w:val="nil"/>
          <w:left w:val="nil"/>
          <w:bottom w:val="nil"/>
          <w:right w:val="nil"/>
          <w:between w:val="nil"/>
        </w:pBdr>
        <w:tabs>
          <w:tab w:val="left" w:pos="426"/>
        </w:tabs>
        <w:spacing w:line="276" w:lineRule="auto"/>
        <w:ind w:left="284" w:hanging="284"/>
        <w:jc w:val="both"/>
        <w:rPr>
          <w:rFonts w:ascii="Arial" w:eastAsia="Arial" w:hAnsi="Arial" w:cs="Arial"/>
          <w:sz w:val="22"/>
          <w:szCs w:val="22"/>
        </w:rPr>
      </w:pPr>
      <w:r w:rsidRPr="00AC5716">
        <w:rPr>
          <w:rFonts w:ascii="Arial" w:eastAsia="Arial" w:hAnsi="Arial" w:cs="Arial"/>
          <w:b/>
          <w:color w:val="000000"/>
          <w:sz w:val="22"/>
          <w:szCs w:val="22"/>
        </w:rPr>
        <w:t>Consideraciones</w:t>
      </w:r>
    </w:p>
    <w:p w14:paraId="2C0C4008" w14:textId="77777777" w:rsidR="00E27BDF" w:rsidRPr="00AC5716" w:rsidRDefault="00E27BDF">
      <w:pPr>
        <w:spacing w:line="276" w:lineRule="auto"/>
        <w:jc w:val="both"/>
        <w:rPr>
          <w:rFonts w:ascii="Arial" w:eastAsia="Arial" w:hAnsi="Arial" w:cs="Arial"/>
          <w:color w:val="000000"/>
          <w:sz w:val="22"/>
          <w:szCs w:val="22"/>
        </w:rPr>
      </w:pPr>
    </w:p>
    <w:p w14:paraId="6D01440D" w14:textId="77777777" w:rsidR="00E27BDF" w:rsidRPr="00AC5716" w:rsidRDefault="006C0DA8">
      <w:pPr>
        <w:spacing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 xml:space="preserve">La Agencia Nacional de Contratación Pública–Colombia Compra Eficiente se ha pronunciado en diferentes conceptos sobre la posibilidad de limitar los procesos contractuales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los conceptos del 5 y el 20 de agosto de 2019 –radicados Nos. 2201913000005596 y 2201913000006007–, cuyas ideas fueron unificadas en el concepto CU-021 del 21 de febrero 2020, y reiteradas pacíficamente en los conceptos C-045 del 17 </w:t>
      </w:r>
      <w:r w:rsidRPr="00AC5716">
        <w:rPr>
          <w:rFonts w:ascii="Arial" w:eastAsia="Arial" w:hAnsi="Arial" w:cs="Arial"/>
          <w:color w:val="000000"/>
          <w:sz w:val="22"/>
          <w:szCs w:val="22"/>
        </w:rPr>
        <w:lastRenderedPageBreak/>
        <w:t>de marzo de 2020, C-050 y C-058 del 25 de febrero de 2020, C-083 del 11 de marzo de 2020, C-092 del 4 de marzo de 2020, C-162 del 6 de abril de 2020, C-214 del 21 de abril de 2020, C-219 del 29 de abril de 2020, C-252 del 26 de mayo de 2020, C-258 del 17 de abril de 2020, C-285 del 4 de mayo de 2020; y, recientemente, en los conceptos C-364 del 4 de junio de 2020, C-401 del 12 de junio de 2020 y C-413 del 30 de junio de 2020. Las tesis propuestas se exponen a continuación.</w:t>
      </w:r>
    </w:p>
    <w:p w14:paraId="649C9C0F" w14:textId="77777777" w:rsidR="00E27BDF" w:rsidRPr="00AC5716" w:rsidRDefault="00E27BDF">
      <w:pPr>
        <w:spacing w:line="276" w:lineRule="auto"/>
        <w:jc w:val="both"/>
        <w:rPr>
          <w:rFonts w:ascii="Arial" w:eastAsia="Arial" w:hAnsi="Arial" w:cs="Arial"/>
          <w:color w:val="000000"/>
          <w:sz w:val="22"/>
          <w:szCs w:val="22"/>
        </w:rPr>
      </w:pPr>
    </w:p>
    <w:p w14:paraId="671BD6AB" w14:textId="77777777" w:rsidR="00E27BDF" w:rsidRPr="00AC5716" w:rsidRDefault="006C0DA8">
      <w:pPr>
        <w:spacing w:line="276" w:lineRule="auto"/>
        <w:jc w:val="both"/>
        <w:rPr>
          <w:rFonts w:ascii="Arial" w:eastAsia="Arial" w:hAnsi="Arial" w:cs="Arial"/>
          <w:b/>
          <w:color w:val="000000"/>
          <w:sz w:val="22"/>
          <w:szCs w:val="22"/>
        </w:rPr>
      </w:pPr>
      <w:r w:rsidRPr="00AC5716">
        <w:rPr>
          <w:rFonts w:ascii="Arial" w:eastAsia="Arial" w:hAnsi="Arial" w:cs="Arial"/>
          <w:b/>
          <w:color w:val="000000"/>
          <w:sz w:val="22"/>
          <w:szCs w:val="22"/>
        </w:rPr>
        <w:t xml:space="preserve">2.1. Limitación de los procesos contractuales a </w:t>
      </w:r>
      <w:proofErr w:type="spellStart"/>
      <w:r w:rsidRPr="00AC5716">
        <w:rPr>
          <w:rFonts w:ascii="Arial" w:eastAsia="Arial" w:hAnsi="Arial" w:cs="Arial"/>
          <w:b/>
          <w:color w:val="000000"/>
          <w:sz w:val="22"/>
          <w:szCs w:val="22"/>
        </w:rPr>
        <w:t>Mipymes</w:t>
      </w:r>
      <w:proofErr w:type="spellEnd"/>
    </w:p>
    <w:p w14:paraId="32075B8D" w14:textId="77777777" w:rsidR="00E27BDF" w:rsidRPr="00AC5716" w:rsidRDefault="00E27BDF">
      <w:pPr>
        <w:spacing w:before="120" w:line="276" w:lineRule="auto"/>
        <w:jc w:val="both"/>
        <w:rPr>
          <w:rFonts w:ascii="Arial" w:eastAsia="Arial" w:hAnsi="Arial" w:cs="Arial"/>
          <w:color w:val="000000"/>
          <w:sz w:val="22"/>
          <w:szCs w:val="22"/>
        </w:rPr>
      </w:pPr>
    </w:p>
    <w:p w14:paraId="5F500C9C" w14:textId="77777777" w:rsidR="00E27BDF" w:rsidRPr="00AC5716" w:rsidRDefault="006C0DA8">
      <w:pPr>
        <w:spacing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Según el artículo 2 de La Ley 905 de 2004</w:t>
      </w:r>
      <w:r w:rsidRPr="00AC5716">
        <w:rPr>
          <w:rFonts w:ascii="Arial" w:eastAsia="Arial" w:hAnsi="Arial" w:cs="Arial"/>
          <w:color w:val="000000"/>
          <w:sz w:val="22"/>
          <w:szCs w:val="22"/>
          <w:vertAlign w:val="superscript"/>
        </w:rPr>
        <w:footnoteReference w:id="1"/>
      </w:r>
      <w:r w:rsidRPr="00AC5716">
        <w:rPr>
          <w:rFonts w:ascii="Arial" w:eastAsia="Arial" w:hAnsi="Arial" w:cs="Arial"/>
          <w:color w:val="000000"/>
          <w:sz w:val="22"/>
          <w:szCs w:val="22"/>
        </w:rPr>
        <w:t>, que modificó la Ley 590 de 2000, la Micro, Pequeña y Mediana Empresa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es una «unidad de explotación económica, realizada por personas natural[es] o jurídica[s], en actividades empresariales, agropecuarias, industriales, comerciales o de servicios, rural o urbana», claro está, siempre que cumpla las dos condiciones requeridas en el mismo artículo, relacionadas con el número de trabajadores que hacen parte de su planta de personal y sus activos totales. </w:t>
      </w:r>
    </w:p>
    <w:p w14:paraId="1D009517"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En ese sentido, la norma dispone que: i) la mediana empresa es aquella que tiene una planta de personal entre 51 y 200 trabajadores o activos totales por un valor entre 100.000 y 610.000 Unidades de valor Tributaria ─UVT─, </w:t>
      </w:r>
      <w:proofErr w:type="spellStart"/>
      <w:r w:rsidRPr="00AC5716">
        <w:rPr>
          <w:rFonts w:ascii="Arial" w:eastAsia="Arial" w:hAnsi="Arial" w:cs="Arial"/>
          <w:color w:val="000000"/>
          <w:sz w:val="22"/>
          <w:szCs w:val="22"/>
        </w:rPr>
        <w:t>ii</w:t>
      </w:r>
      <w:proofErr w:type="spellEnd"/>
      <w:r w:rsidRPr="00AC5716">
        <w:rPr>
          <w:rFonts w:ascii="Arial" w:eastAsia="Arial" w:hAnsi="Arial" w:cs="Arial"/>
          <w:color w:val="000000"/>
          <w:sz w:val="22"/>
          <w:szCs w:val="22"/>
        </w:rPr>
        <w:t xml:space="preserve">) la pequeña empresa es aquella que tiene una planta de personal entre 11 y 50 trabajadores o activos totales por un valor entre 501 y 5000 salarios mínimos mensuales legales vigentes, y </w:t>
      </w:r>
      <w:proofErr w:type="spellStart"/>
      <w:r w:rsidRPr="00AC5716">
        <w:rPr>
          <w:rFonts w:ascii="Arial" w:eastAsia="Arial" w:hAnsi="Arial" w:cs="Arial"/>
          <w:color w:val="000000"/>
          <w:sz w:val="22"/>
          <w:szCs w:val="22"/>
        </w:rPr>
        <w:t>iii</w:t>
      </w:r>
      <w:proofErr w:type="spellEnd"/>
      <w:r w:rsidRPr="00AC5716">
        <w:rPr>
          <w:rFonts w:ascii="Arial" w:eastAsia="Arial" w:hAnsi="Arial" w:cs="Arial"/>
          <w:color w:val="000000"/>
          <w:sz w:val="22"/>
          <w:szCs w:val="22"/>
        </w:rPr>
        <w:t>) la microempresa es aquella que tiene una planta de personal de 10 trabajadores o menos o activos totales por un valor inferior a 500 salarios mínimos legales mensuales</w:t>
      </w:r>
      <w:r w:rsidRPr="00AC5716">
        <w:rPr>
          <w:rFonts w:ascii="Arial" w:eastAsia="Arial" w:hAnsi="Arial" w:cs="Arial"/>
          <w:color w:val="000000"/>
          <w:sz w:val="22"/>
          <w:szCs w:val="22"/>
          <w:vertAlign w:val="superscript"/>
        </w:rPr>
        <w:footnoteReference w:id="2"/>
      </w:r>
      <w:r w:rsidRPr="00AC5716">
        <w:rPr>
          <w:rFonts w:ascii="Arial" w:eastAsia="Arial" w:hAnsi="Arial" w:cs="Arial"/>
          <w:color w:val="000000"/>
          <w:sz w:val="22"/>
          <w:szCs w:val="22"/>
        </w:rPr>
        <w:t>.</w:t>
      </w:r>
    </w:p>
    <w:p w14:paraId="3A6453B8"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Por otro lado, el numeral 4º del artículo 12 de la Ley 590 de 2000 estableció que las entidades públicas deben preferir, en condiciones de igual precio, calidad y capacidad de suministros, a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en las adquisiciones necesarias para su funcionamiento</w:t>
      </w:r>
      <w:r w:rsidRPr="00AC5716">
        <w:rPr>
          <w:rFonts w:ascii="Arial" w:eastAsia="Arial" w:hAnsi="Arial" w:cs="Arial"/>
          <w:color w:val="000000"/>
          <w:sz w:val="22"/>
          <w:szCs w:val="22"/>
          <w:vertAlign w:val="superscript"/>
        </w:rPr>
        <w:footnoteReference w:id="3"/>
      </w:r>
      <w:r w:rsidRPr="00AC5716">
        <w:rPr>
          <w:rFonts w:ascii="Arial" w:eastAsia="Arial" w:hAnsi="Arial" w:cs="Arial"/>
          <w:color w:val="000000"/>
          <w:sz w:val="22"/>
          <w:szCs w:val="22"/>
        </w:rPr>
        <w:t>.</w:t>
      </w:r>
    </w:p>
    <w:p w14:paraId="35EC94CF"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lastRenderedPageBreak/>
        <w:t xml:space="preserve">La normativa referida pretende fomentar las empresas que, por su tamaño o capacidad económica, no podrían competir en condiciones de igualdad con aquellas que cuentan con grandes capitales y plantas de personal. De este modo, no solo estas pequeñas unidades de explotación económica se hacen visibles dentro del mercado de bienes y servicios requeridos por las entidades públicas, sino que se promueve de manera directa el crecimiento de las regiones en las que tiene cabida tal actividad económica. </w:t>
      </w:r>
    </w:p>
    <w:p w14:paraId="5015904E"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Al respecto, el Consejo de Estado, Sala de lo Contencioso Administrativo, Sección Tercera, Subsección C, mediante sentencia con número de expediente 40.743, del 23 de mayo de 2012</w:t>
      </w:r>
      <w:r w:rsidRPr="00AC5716">
        <w:rPr>
          <w:rFonts w:ascii="Arial" w:eastAsia="Arial" w:hAnsi="Arial" w:cs="Arial"/>
          <w:color w:val="000000"/>
          <w:sz w:val="22"/>
          <w:szCs w:val="22"/>
          <w:vertAlign w:val="superscript"/>
        </w:rPr>
        <w:footnoteReference w:id="4"/>
      </w:r>
      <w:r w:rsidRPr="00AC5716">
        <w:rPr>
          <w:rFonts w:ascii="Arial" w:eastAsia="Arial" w:hAnsi="Arial" w:cs="Arial"/>
          <w:color w:val="000000"/>
          <w:sz w:val="22"/>
          <w:szCs w:val="22"/>
        </w:rPr>
        <w:t xml:space="preserve">, con ponencia del Magistrado Enrique Gil Botero, destacó que las entidades públicas deben, por un lado, promocionar e incrementar, conforme con su presupuesto, la participación de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como proveedoras de bienes y servicios que demanden y, por el otro, establecer procedimientos administrativos que les faciliten el cumplimiento de los requisitos y trámites relativos a pedidos, recepción de bienes o servicios, condiciones de pago y acceso a la información sobre sus programas de inversión y gasto.</w:t>
      </w:r>
    </w:p>
    <w:p w14:paraId="664DE8A2"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Junto con la promoción dispuesta en la Ley 590 de 2000 se encuentra el </w:t>
      </w:r>
      <w:r w:rsidRPr="00AC5716">
        <w:rPr>
          <w:rFonts w:ascii="Arial" w:eastAsia="Arial" w:hAnsi="Arial" w:cs="Arial"/>
          <w:sz w:val="22"/>
          <w:szCs w:val="22"/>
        </w:rPr>
        <w:t>artículo</w:t>
      </w:r>
      <w:r w:rsidRPr="00AC5716">
        <w:rPr>
          <w:rFonts w:ascii="Arial" w:eastAsia="Arial" w:hAnsi="Arial" w:cs="Arial"/>
          <w:color w:val="000000"/>
          <w:sz w:val="22"/>
          <w:szCs w:val="22"/>
        </w:rPr>
        <w:t xml:space="preserve"> 12 la Ley 1150 de 2007, modificado por el artículo 32 de la Ley 1450 de 2011, que estableció las convocatorias limitadas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contratación pública, en los siguientes términos:</w:t>
      </w:r>
    </w:p>
    <w:p w14:paraId="55E2890F" w14:textId="77777777" w:rsidR="00E27BDF" w:rsidRPr="00AC5716" w:rsidRDefault="00E27BDF">
      <w:pPr>
        <w:jc w:val="both"/>
        <w:rPr>
          <w:rFonts w:ascii="Arial" w:eastAsia="Arial" w:hAnsi="Arial" w:cs="Arial"/>
          <w:color w:val="000000"/>
          <w:sz w:val="22"/>
          <w:szCs w:val="22"/>
        </w:rPr>
      </w:pPr>
    </w:p>
    <w:p w14:paraId="6EB0E81A"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C5716">
        <w:rPr>
          <w:rFonts w:ascii="Arial" w:eastAsia="Arial" w:hAnsi="Arial" w:cs="Arial"/>
          <w:i/>
          <w:color w:val="000000"/>
          <w:sz w:val="21"/>
          <w:szCs w:val="21"/>
        </w:rPr>
        <w:t xml:space="preserve">las entidades estatales adopten en beneficio de las </w:t>
      </w:r>
      <w:proofErr w:type="spellStart"/>
      <w:r w:rsidRPr="00AC5716">
        <w:rPr>
          <w:rFonts w:ascii="Arial" w:eastAsia="Arial" w:hAnsi="Arial" w:cs="Arial"/>
          <w:i/>
          <w:color w:val="000000"/>
          <w:sz w:val="21"/>
          <w:szCs w:val="21"/>
        </w:rPr>
        <w:t>Mipymes</w:t>
      </w:r>
      <w:proofErr w:type="spellEnd"/>
      <w:r w:rsidRPr="00AC5716">
        <w:rPr>
          <w:rFonts w:ascii="Arial" w:eastAsia="Arial" w:hAnsi="Arial" w:cs="Arial"/>
          <w:i/>
          <w:color w:val="000000"/>
          <w:sz w:val="21"/>
          <w:szCs w:val="21"/>
        </w:rPr>
        <w:t xml:space="preserve">, convocatorias limitadas a estas en las que, previo a la Resolución de apertura </w:t>
      </w:r>
      <w:r w:rsidRPr="00AC5716">
        <w:rPr>
          <w:rFonts w:ascii="Arial" w:eastAsia="Arial" w:hAnsi="Arial" w:cs="Arial"/>
          <w:i/>
          <w:color w:val="000000"/>
          <w:sz w:val="21"/>
          <w:szCs w:val="21"/>
        </w:rPr>
        <w:lastRenderedPageBreak/>
        <w:t xml:space="preserve">del proceso respectivo, se haya manifestado el interés del número plural de </w:t>
      </w:r>
      <w:proofErr w:type="spellStart"/>
      <w:r w:rsidRPr="00AC5716">
        <w:rPr>
          <w:rFonts w:ascii="Arial" w:eastAsia="Arial" w:hAnsi="Arial" w:cs="Arial"/>
          <w:i/>
          <w:color w:val="000000"/>
          <w:sz w:val="21"/>
          <w:szCs w:val="21"/>
        </w:rPr>
        <w:t>Mipymes</w:t>
      </w:r>
      <w:proofErr w:type="spellEnd"/>
      <w:r w:rsidRPr="00AC5716">
        <w:rPr>
          <w:rFonts w:ascii="Arial" w:eastAsia="Arial" w:hAnsi="Arial" w:cs="Arial"/>
          <w:i/>
          <w:color w:val="000000"/>
          <w:sz w:val="21"/>
          <w:szCs w:val="21"/>
        </w:rPr>
        <w:t xml:space="preserve"> que haya sido determinado en el reglamento</w:t>
      </w:r>
      <w:r w:rsidRPr="00AC5716">
        <w:rPr>
          <w:rFonts w:ascii="Arial" w:eastAsia="Arial" w:hAnsi="Arial" w:cs="Arial"/>
          <w:color w:val="000000"/>
          <w:sz w:val="21"/>
          <w:szCs w:val="21"/>
        </w:rPr>
        <w:t>.</w:t>
      </w:r>
    </w:p>
    <w:p w14:paraId="13C51D9E" w14:textId="77777777" w:rsidR="00E27BDF" w:rsidRPr="00AC5716" w:rsidRDefault="00E27BDF">
      <w:pPr>
        <w:ind w:left="709" w:right="709"/>
        <w:jc w:val="both"/>
        <w:rPr>
          <w:rFonts w:ascii="Arial" w:eastAsia="Arial" w:hAnsi="Arial" w:cs="Arial"/>
          <w:color w:val="000000"/>
          <w:sz w:val="21"/>
          <w:szCs w:val="21"/>
        </w:rPr>
      </w:pPr>
    </w:p>
    <w:p w14:paraId="0C0DE6BB"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 xml:space="preserve">Asimismo, el reglamento podrá establecer condiciones preferenciales en favor de la oferta de bienes y servicios producidos por las </w:t>
      </w:r>
      <w:proofErr w:type="spellStart"/>
      <w:r w:rsidRPr="00AC5716">
        <w:rPr>
          <w:rFonts w:ascii="Arial" w:eastAsia="Arial" w:hAnsi="Arial" w:cs="Arial"/>
          <w:color w:val="000000"/>
          <w:sz w:val="21"/>
          <w:szCs w:val="21"/>
        </w:rPr>
        <w:t>Mipymes</w:t>
      </w:r>
      <w:proofErr w:type="spellEnd"/>
      <w:r w:rsidRPr="00AC5716">
        <w:rPr>
          <w:rFonts w:ascii="Arial" w:eastAsia="Arial" w:hAnsi="Arial" w:cs="Arial"/>
          <w:color w:val="000000"/>
          <w:sz w:val="21"/>
          <w:szCs w:val="21"/>
        </w:rPr>
        <w:t>, respetando los montos y las condiciones contenidas en los compromisos internacionales vigentes.</w:t>
      </w:r>
    </w:p>
    <w:p w14:paraId="0C594D7B" w14:textId="77777777" w:rsidR="00E27BDF" w:rsidRPr="00AC5716" w:rsidRDefault="00E27BDF">
      <w:pPr>
        <w:ind w:left="709" w:right="709"/>
        <w:jc w:val="both"/>
        <w:rPr>
          <w:rFonts w:ascii="Arial" w:eastAsia="Arial" w:hAnsi="Arial" w:cs="Arial"/>
          <w:color w:val="000000"/>
          <w:sz w:val="21"/>
          <w:szCs w:val="21"/>
        </w:rPr>
      </w:pPr>
    </w:p>
    <w:p w14:paraId="58FE2E57"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En todo caso, se deberá garantizar la satisfacción de las condiciones técnicas y económicas requeridas en la contratación y, realizarse la selección de acuerdo con las modalidades de selección a las que se refiere el Estatuto General de Contratación de la Administración Pública.</w:t>
      </w:r>
    </w:p>
    <w:p w14:paraId="2A44A476" w14:textId="77777777" w:rsidR="00E27BDF" w:rsidRPr="00AC5716" w:rsidRDefault="00E27BDF">
      <w:pPr>
        <w:ind w:left="709" w:right="709"/>
        <w:jc w:val="both"/>
        <w:rPr>
          <w:rFonts w:ascii="Arial" w:eastAsia="Arial" w:hAnsi="Arial" w:cs="Arial"/>
          <w:color w:val="000000"/>
          <w:sz w:val="21"/>
          <w:szCs w:val="21"/>
        </w:rPr>
      </w:pPr>
    </w:p>
    <w:p w14:paraId="26660914"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De igual forma, en los pliegos de condiciones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siempre que se garanticen las condiciones de calidad y cumplimiento del objeto contractual.</w:t>
      </w:r>
    </w:p>
    <w:p w14:paraId="3376FF4F" w14:textId="77777777" w:rsidR="00E27BDF" w:rsidRPr="00AC5716" w:rsidRDefault="00E27BDF">
      <w:pPr>
        <w:ind w:left="709" w:right="709"/>
        <w:jc w:val="both"/>
        <w:rPr>
          <w:rFonts w:ascii="Arial" w:eastAsia="Arial" w:hAnsi="Arial" w:cs="Arial"/>
          <w:color w:val="000000"/>
          <w:sz w:val="21"/>
          <w:szCs w:val="21"/>
        </w:rPr>
      </w:pPr>
    </w:p>
    <w:p w14:paraId="772D58A1"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 xml:space="preserve">PARÁGRAFO 1o. En los procesos de selección que se desarrollen con base en el primer inciso, las entidades podrán realizar las convocatorias limitadas que beneficien a las </w:t>
      </w:r>
      <w:proofErr w:type="spellStart"/>
      <w:r w:rsidRPr="00AC5716">
        <w:rPr>
          <w:rFonts w:ascii="Arial" w:eastAsia="Arial" w:hAnsi="Arial" w:cs="Arial"/>
          <w:color w:val="000000"/>
          <w:sz w:val="21"/>
          <w:szCs w:val="21"/>
        </w:rPr>
        <w:t>Mipymes</w:t>
      </w:r>
      <w:proofErr w:type="spellEnd"/>
      <w:r w:rsidRPr="00AC5716">
        <w:rPr>
          <w:rFonts w:ascii="Arial" w:eastAsia="Arial" w:hAnsi="Arial" w:cs="Arial"/>
          <w:color w:val="000000"/>
          <w:sz w:val="21"/>
          <w:szCs w:val="21"/>
        </w:rPr>
        <w:t xml:space="preserve"> del ámbito municipal o departamental correspondiente al de la ejecución del contrato.</w:t>
      </w:r>
    </w:p>
    <w:p w14:paraId="21AE1E03" w14:textId="77777777" w:rsidR="00E27BDF" w:rsidRPr="00AC5716" w:rsidRDefault="00E27BDF">
      <w:pPr>
        <w:ind w:left="709" w:right="709"/>
        <w:jc w:val="both"/>
        <w:rPr>
          <w:rFonts w:ascii="Arial" w:eastAsia="Arial" w:hAnsi="Arial" w:cs="Arial"/>
          <w:color w:val="000000"/>
          <w:sz w:val="21"/>
          <w:szCs w:val="21"/>
        </w:rPr>
      </w:pPr>
    </w:p>
    <w:p w14:paraId="2FC226F1"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 xml:space="preserve">PARÁGRAFO 2o. Sin perjuicio de lo dispuesto en los artículos 5 y 6 de la Ley 1150 de 2007, para que las </w:t>
      </w:r>
      <w:proofErr w:type="spellStart"/>
      <w:r w:rsidRPr="00AC5716">
        <w:rPr>
          <w:rFonts w:ascii="Arial" w:eastAsia="Arial" w:hAnsi="Arial" w:cs="Arial"/>
          <w:color w:val="000000"/>
          <w:sz w:val="21"/>
          <w:szCs w:val="21"/>
        </w:rPr>
        <w:t>Mipymes</w:t>
      </w:r>
      <w:proofErr w:type="spellEnd"/>
      <w:r w:rsidRPr="00AC5716">
        <w:rPr>
          <w:rFonts w:ascii="Arial" w:eastAsia="Arial" w:hAnsi="Arial" w:cs="Arial"/>
          <w:color w:val="000000"/>
          <w:sz w:val="21"/>
          <w:szCs w:val="21"/>
        </w:rPr>
        <w:t xml:space="preserve">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65CBAD3" w14:textId="77777777" w:rsidR="00E27BDF" w:rsidRPr="00AC5716" w:rsidRDefault="00E27BDF">
      <w:pPr>
        <w:ind w:left="709" w:right="709"/>
        <w:jc w:val="both"/>
        <w:rPr>
          <w:rFonts w:ascii="Arial" w:eastAsia="Arial" w:hAnsi="Arial" w:cs="Arial"/>
          <w:color w:val="000000"/>
          <w:sz w:val="21"/>
          <w:szCs w:val="21"/>
        </w:rPr>
      </w:pPr>
    </w:p>
    <w:p w14:paraId="6E78113B" w14:textId="77777777" w:rsidR="00E27BDF" w:rsidRPr="00AC5716" w:rsidRDefault="006C0DA8">
      <w:pPr>
        <w:ind w:left="709" w:right="709"/>
        <w:jc w:val="both"/>
        <w:rPr>
          <w:rFonts w:ascii="Arial" w:eastAsia="Arial" w:hAnsi="Arial" w:cs="Arial"/>
          <w:color w:val="000000"/>
          <w:sz w:val="21"/>
          <w:szCs w:val="21"/>
        </w:rPr>
      </w:pPr>
      <w:r w:rsidRPr="00AC5716">
        <w:rPr>
          <w:rFonts w:ascii="Arial" w:eastAsia="Arial" w:hAnsi="Arial" w:cs="Arial"/>
          <w:color w:val="000000"/>
          <w:sz w:val="21"/>
          <w:szCs w:val="21"/>
        </w:rPr>
        <w:t>PARÁGRAFO 3o. En la ejecución de los contratos a que se refiere el presente artículo, las entidades y los contratistas, deberán observar lo dispuesto en los artículos 90 a 95 de la Ley 418 de 1997 y las normas que la modifiquen, adicionen o subroguen (Cursivas fuera de texto).</w:t>
      </w:r>
    </w:p>
    <w:p w14:paraId="0F3A09CF" w14:textId="77777777" w:rsidR="00E27BDF" w:rsidRPr="00AC5716" w:rsidRDefault="00E27BDF">
      <w:pPr>
        <w:jc w:val="both"/>
        <w:rPr>
          <w:rFonts w:ascii="Arial" w:eastAsia="Arial" w:hAnsi="Arial" w:cs="Arial"/>
          <w:color w:val="000000"/>
          <w:sz w:val="22"/>
          <w:szCs w:val="22"/>
        </w:rPr>
      </w:pPr>
    </w:p>
    <w:p w14:paraId="409709F7" w14:textId="77777777" w:rsidR="00E27BDF" w:rsidRPr="00AC5716" w:rsidRDefault="006C0DA8">
      <w:pPr>
        <w:spacing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La Corte Constitucional, en la sentencia C-862 de 2008, estudió la constitucionalidad del artículo 12 de la Ley 1150 de 2007 y señaló, entre otras cuestiones, que la intención del legislador fue implementar acciones afirmativas en la contratación de las micro, pequeñas y medianas empresas, con el fin de fomentar su desarrollo y la creación de empresa, así como la generación de empleos formales. </w:t>
      </w:r>
    </w:p>
    <w:p w14:paraId="7D66124E"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A través del Decreto 1082 de 2015, el Gobierno Nacional reglamentó la norma transcrita, adoptando medidas para incentivar la contratación pública. Dentro de estas medidas se resaltan las «convocatorias limitadas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y la «limitación territorial» a </w:t>
      </w:r>
      <w:proofErr w:type="spellStart"/>
      <w:r w:rsidRPr="00AC5716">
        <w:rPr>
          <w:rFonts w:ascii="Arial" w:eastAsia="Arial" w:hAnsi="Arial" w:cs="Arial"/>
          <w:color w:val="000000"/>
          <w:sz w:val="22"/>
          <w:szCs w:val="22"/>
        </w:rPr>
        <w:lastRenderedPageBreak/>
        <w:t>Mipymes</w:t>
      </w:r>
      <w:proofErr w:type="spellEnd"/>
      <w:r w:rsidRPr="00AC5716">
        <w:rPr>
          <w:rFonts w:ascii="Arial" w:eastAsia="Arial" w:hAnsi="Arial" w:cs="Arial"/>
          <w:color w:val="000000"/>
          <w:sz w:val="22"/>
          <w:szCs w:val="22"/>
        </w:rPr>
        <w:t>, contenidas, respectivamente, en los artículos 2.2.1.2.4.2.2. y 2.2.1.2.4.2.3. Este último dice lo siguiente:</w:t>
      </w:r>
    </w:p>
    <w:p w14:paraId="4FD948C6" w14:textId="77777777" w:rsidR="00E27BDF" w:rsidRPr="00AC5716" w:rsidRDefault="00E27BDF">
      <w:pPr>
        <w:ind w:firstLine="709"/>
        <w:jc w:val="both"/>
        <w:rPr>
          <w:rFonts w:ascii="Arial" w:eastAsia="Arial" w:hAnsi="Arial" w:cs="Arial"/>
          <w:color w:val="000000"/>
          <w:sz w:val="22"/>
          <w:szCs w:val="22"/>
        </w:rPr>
      </w:pPr>
    </w:p>
    <w:p w14:paraId="5DC9B94E" w14:textId="77777777" w:rsidR="00E27BDF" w:rsidRPr="00AC5716" w:rsidRDefault="006C0DA8">
      <w:pPr>
        <w:ind w:left="709" w:right="760"/>
        <w:jc w:val="both"/>
        <w:rPr>
          <w:rFonts w:ascii="Arial" w:eastAsia="Arial" w:hAnsi="Arial" w:cs="Arial"/>
          <w:color w:val="000000"/>
          <w:sz w:val="21"/>
          <w:szCs w:val="21"/>
        </w:rPr>
      </w:pPr>
      <w:r w:rsidRPr="00AC5716">
        <w:rPr>
          <w:rFonts w:ascii="Arial" w:eastAsia="Arial" w:hAnsi="Arial" w:cs="Arial"/>
          <w:color w:val="000000"/>
          <w:sz w:val="21"/>
          <w:szCs w:val="21"/>
        </w:rPr>
        <w:t xml:space="preserve">Las Entidades Estatales pueden realizar convocatorias limitadas a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domiciliadas en los departamentos o municipios en donde se va a ejecutar el contrato. La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debe acreditar su domicilio con el registro mercantil o el certificado de existencia y representación legal de la empresa.</w:t>
      </w:r>
    </w:p>
    <w:p w14:paraId="1ED6DC53" w14:textId="77777777" w:rsidR="00E27BDF" w:rsidRPr="00AC5716" w:rsidRDefault="00E27BDF">
      <w:pPr>
        <w:ind w:left="709" w:right="760"/>
        <w:jc w:val="both"/>
        <w:rPr>
          <w:rFonts w:ascii="Arial" w:eastAsia="Arial" w:hAnsi="Arial" w:cs="Arial"/>
          <w:color w:val="000000"/>
          <w:sz w:val="21"/>
          <w:szCs w:val="21"/>
        </w:rPr>
      </w:pPr>
    </w:p>
    <w:p w14:paraId="33CF20B6" w14:textId="77777777" w:rsidR="00E27BDF" w:rsidRPr="00AC5716" w:rsidRDefault="006C0DA8">
      <w:pPr>
        <w:ind w:right="760"/>
        <w:jc w:val="both"/>
        <w:rPr>
          <w:rFonts w:ascii="Arial" w:eastAsia="Arial" w:hAnsi="Arial" w:cs="Arial"/>
          <w:color w:val="000000"/>
          <w:sz w:val="22"/>
          <w:szCs w:val="22"/>
        </w:rPr>
      </w:pPr>
      <w:r w:rsidRPr="00AC5716">
        <w:rPr>
          <w:rFonts w:ascii="Arial" w:eastAsia="Arial" w:hAnsi="Arial" w:cs="Arial"/>
          <w:color w:val="000000"/>
          <w:sz w:val="22"/>
          <w:szCs w:val="22"/>
        </w:rPr>
        <w:t>El artículo 2.2.1.2.4.2.2., por su parte, es del siguiente tenor:</w:t>
      </w:r>
    </w:p>
    <w:p w14:paraId="2C26C7AD" w14:textId="77777777" w:rsidR="00E27BDF" w:rsidRPr="00AC5716" w:rsidRDefault="00E27BDF">
      <w:pPr>
        <w:ind w:left="709" w:right="760"/>
        <w:jc w:val="both"/>
        <w:rPr>
          <w:rFonts w:ascii="Arial" w:eastAsia="Arial" w:hAnsi="Arial" w:cs="Arial"/>
          <w:color w:val="000000"/>
          <w:sz w:val="21"/>
          <w:szCs w:val="21"/>
        </w:rPr>
      </w:pPr>
    </w:p>
    <w:p w14:paraId="66C6FE5A" w14:textId="77777777" w:rsidR="00E27BDF" w:rsidRPr="00AC5716" w:rsidRDefault="006C0DA8">
      <w:pPr>
        <w:ind w:left="709" w:right="760"/>
        <w:jc w:val="both"/>
        <w:rPr>
          <w:rFonts w:ascii="Arial" w:eastAsia="Arial" w:hAnsi="Arial" w:cs="Arial"/>
          <w:color w:val="000000"/>
          <w:sz w:val="21"/>
          <w:szCs w:val="21"/>
        </w:rPr>
      </w:pPr>
      <w:r w:rsidRPr="00AC5716">
        <w:rPr>
          <w:rFonts w:ascii="Arial" w:eastAsia="Arial" w:hAnsi="Arial" w:cs="Arial"/>
          <w:color w:val="000000"/>
          <w:sz w:val="21"/>
          <w:szCs w:val="21"/>
        </w:rPr>
        <w:t xml:space="preserve">La Entidad Estatal debe limitar a las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con mínimo un (1) año de existencia la convocatoria del Proceso de Contratación en la modalidad de licitación pública, selección abreviada y concurso de méritos cuando:</w:t>
      </w:r>
    </w:p>
    <w:p w14:paraId="7B18BFF9" w14:textId="77777777" w:rsidR="00E27BDF" w:rsidRPr="00AC5716" w:rsidRDefault="00E27BDF">
      <w:pPr>
        <w:ind w:left="709" w:right="760"/>
        <w:jc w:val="both"/>
        <w:rPr>
          <w:rFonts w:ascii="Arial" w:eastAsia="Arial" w:hAnsi="Arial" w:cs="Arial"/>
          <w:color w:val="000000"/>
          <w:sz w:val="21"/>
          <w:szCs w:val="21"/>
        </w:rPr>
      </w:pPr>
    </w:p>
    <w:p w14:paraId="7F89A844" w14:textId="77777777" w:rsidR="00E27BDF" w:rsidRPr="00AC5716" w:rsidRDefault="006C0DA8">
      <w:pPr>
        <w:pBdr>
          <w:top w:val="nil"/>
          <w:left w:val="nil"/>
          <w:bottom w:val="nil"/>
          <w:right w:val="nil"/>
          <w:between w:val="nil"/>
        </w:pBdr>
        <w:ind w:left="709" w:right="760"/>
        <w:jc w:val="both"/>
        <w:rPr>
          <w:rFonts w:ascii="Arial" w:eastAsia="Arial" w:hAnsi="Arial" w:cs="Arial"/>
          <w:color w:val="000000"/>
          <w:sz w:val="21"/>
          <w:szCs w:val="21"/>
        </w:rPr>
      </w:pPr>
      <w:r w:rsidRPr="00AC5716">
        <w:rPr>
          <w:rFonts w:ascii="Arial" w:eastAsia="Arial" w:hAnsi="Arial" w:cs="Arial"/>
          <w:color w:val="000000"/>
          <w:sz w:val="21"/>
          <w:szCs w:val="21"/>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5F093FCC" w14:textId="77777777" w:rsidR="00E27BDF" w:rsidRPr="00AC5716" w:rsidRDefault="00E27BDF">
      <w:pPr>
        <w:pBdr>
          <w:top w:val="nil"/>
          <w:left w:val="nil"/>
          <w:bottom w:val="nil"/>
          <w:right w:val="nil"/>
          <w:between w:val="nil"/>
        </w:pBdr>
        <w:ind w:left="709" w:right="760"/>
        <w:jc w:val="both"/>
        <w:rPr>
          <w:rFonts w:ascii="Arial" w:eastAsia="Arial" w:hAnsi="Arial" w:cs="Arial"/>
          <w:color w:val="000000"/>
          <w:sz w:val="21"/>
          <w:szCs w:val="21"/>
        </w:rPr>
      </w:pPr>
    </w:p>
    <w:p w14:paraId="00E16222" w14:textId="77777777" w:rsidR="00E27BDF" w:rsidRPr="00AC5716" w:rsidRDefault="006C0DA8">
      <w:pPr>
        <w:pBdr>
          <w:top w:val="nil"/>
          <w:left w:val="nil"/>
          <w:bottom w:val="nil"/>
          <w:right w:val="nil"/>
          <w:between w:val="nil"/>
        </w:pBdr>
        <w:ind w:left="709" w:right="760"/>
        <w:jc w:val="both"/>
        <w:rPr>
          <w:rFonts w:ascii="Arial" w:eastAsia="Arial" w:hAnsi="Arial" w:cs="Arial"/>
          <w:color w:val="000000"/>
          <w:sz w:val="21"/>
          <w:szCs w:val="21"/>
        </w:rPr>
      </w:pPr>
      <w:r w:rsidRPr="00AC5716">
        <w:rPr>
          <w:rFonts w:ascii="Arial" w:eastAsia="Arial" w:hAnsi="Arial" w:cs="Arial"/>
          <w:color w:val="000000"/>
          <w:sz w:val="21"/>
          <w:szCs w:val="21"/>
        </w:rPr>
        <w:t xml:space="preserve">2. La Entidad Estatal ha recibido solicitudes de por lo menos tres (3)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para limitar la convocatoria a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La Entidad Estatal debe recibir estas solicitudes por lo menos un (1) día hábil antes de la apertura del Proceso de Contratación.</w:t>
      </w:r>
    </w:p>
    <w:p w14:paraId="617E70D7" w14:textId="77777777" w:rsidR="00E27BDF" w:rsidRPr="00AC5716" w:rsidRDefault="00E27BDF">
      <w:pPr>
        <w:jc w:val="both"/>
        <w:rPr>
          <w:rFonts w:ascii="Arial" w:eastAsia="Arial" w:hAnsi="Arial" w:cs="Arial"/>
          <w:color w:val="000000"/>
          <w:sz w:val="20"/>
          <w:szCs w:val="20"/>
        </w:rPr>
      </w:pPr>
    </w:p>
    <w:p w14:paraId="4ABBD4AD" w14:textId="77777777" w:rsidR="00E27BDF" w:rsidRPr="00AC5716" w:rsidRDefault="006C0DA8">
      <w:pPr>
        <w:spacing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Puede decirse, entonces, que el Decreto 1082 de 2015 regula la limitación de convocatorias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dos normas distintas, las cuales, sin embargo, deben leerse conjunta y armónicamente. Por un lado, la que prevé los requisitos generales para que la entidad limite sus convocatorias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w:t>
      </w:r>
      <w:r w:rsidRPr="00AC5716">
        <w:rPr>
          <w:rFonts w:ascii="Arial" w:eastAsia="Arial" w:hAnsi="Arial" w:cs="Arial"/>
          <w:i/>
          <w:color w:val="000000"/>
          <w:sz w:val="22"/>
          <w:szCs w:val="22"/>
        </w:rPr>
        <w:t>infra</w:t>
      </w:r>
      <w:r w:rsidRPr="00AC5716">
        <w:rPr>
          <w:rFonts w:ascii="Arial" w:eastAsia="Arial" w:hAnsi="Arial" w:cs="Arial"/>
          <w:color w:val="000000"/>
          <w:sz w:val="22"/>
          <w:szCs w:val="22"/>
        </w:rPr>
        <w:t xml:space="preserve"> literal a» y, por el otro, la que establece la posibilidad de regular la convocatoria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los departamentos o municipios en donde se va a ejecutar el contrato «</w:t>
      </w:r>
      <w:r w:rsidRPr="00AC5716">
        <w:rPr>
          <w:rFonts w:ascii="Arial" w:eastAsia="Arial" w:hAnsi="Arial" w:cs="Arial"/>
          <w:i/>
          <w:color w:val="000000"/>
          <w:sz w:val="22"/>
          <w:szCs w:val="22"/>
        </w:rPr>
        <w:t xml:space="preserve">infra </w:t>
      </w:r>
      <w:r w:rsidRPr="00AC5716">
        <w:rPr>
          <w:rFonts w:ascii="Arial" w:eastAsia="Arial" w:hAnsi="Arial" w:cs="Arial"/>
          <w:color w:val="000000"/>
          <w:sz w:val="22"/>
          <w:szCs w:val="22"/>
        </w:rPr>
        <w:t xml:space="preserve">literal b». </w:t>
      </w:r>
    </w:p>
    <w:p w14:paraId="22DADDB8"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Es de resaltar que estas normas se refieren a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genéricamente y, particularmente, a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los departamentos o municipios en donde se va a ejecutar el contrato». En ambos casos se refiere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distinguiéndolas de las empresas extranjeras. Del artículo 2.2.1.2.4.2.3. del Decreto 1082 de 2015 no se deriva que existan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del orden nacional. Otra cosa es que las normas de contratación permitan que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con «domicilio» en un municipio o departamento puedan beneficiarse en la ejecución de un contrato dentro de la entidad territorial en la que tienen su «domicilio». De todos modos,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domiciliadas en un municipio o departamento son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En consecuencia, no es procedente distinguir entre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y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municipales o </w:t>
      </w:r>
      <w:r w:rsidRPr="00AC5716">
        <w:rPr>
          <w:rFonts w:ascii="Arial" w:eastAsia="Arial" w:hAnsi="Arial" w:cs="Arial"/>
          <w:color w:val="000000"/>
          <w:sz w:val="22"/>
          <w:szCs w:val="22"/>
        </w:rPr>
        <w:lastRenderedPageBreak/>
        <w:t>departamentales, habida cuenta que estas últimas no existen como categoría dentro del ordenamiento normativo.</w:t>
      </w:r>
    </w:p>
    <w:p w14:paraId="4178B2C3"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Igualmente, se debe precisar que el artículo 2.2.1.2.4.2.3. del Decreto 1082 de 2015 se refiere a las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nacionales </w:t>
      </w:r>
      <w:r w:rsidRPr="00AC5716">
        <w:rPr>
          <w:rFonts w:ascii="Arial" w:eastAsia="Arial" w:hAnsi="Arial" w:cs="Arial"/>
          <w:i/>
          <w:color w:val="000000"/>
          <w:sz w:val="22"/>
          <w:szCs w:val="22"/>
        </w:rPr>
        <w:t>domiciliadas</w:t>
      </w:r>
      <w:r w:rsidRPr="00AC5716">
        <w:rPr>
          <w:rFonts w:ascii="Arial" w:eastAsia="Arial" w:hAnsi="Arial" w:cs="Arial"/>
          <w:color w:val="000000"/>
          <w:sz w:val="22"/>
          <w:szCs w:val="22"/>
        </w:rPr>
        <w:t xml:space="preserve"> en los departamentos o municipios en donde se va a ejecutar el contrato» «cursivas propias», esto es, al «domicilio» y no a las «sucursales». Esta distinción es importante porque el beneficio normativo únicamente aplica en el lugar en el que la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tiene su «domicilio», y no en donde tiene sucursales. </w:t>
      </w:r>
    </w:p>
    <w:p w14:paraId="4E6EB14A"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El artículo 263 del Código de Comercio define las sucursales como «los establecimientos de comercio abiertos por una sociedad, dentro o fuera de su domicilio, para el desarrollo de los negocios sociales o parte de ellos, administrados por mandatarios con facultades para representar la sociedad». Nótese que la norma se refiere a los conceptos de «sucursal» y «domicilio» de forma diferente, de lo que se deriva que las sociedades comerciales tienen un domicilio y puede tener una o varias sucursales. En ese mismo sentido, los artículos 110 y 111 </w:t>
      </w:r>
      <w:proofErr w:type="spellStart"/>
      <w:r w:rsidRPr="00AC5716">
        <w:rPr>
          <w:rFonts w:ascii="Arial" w:eastAsia="Arial" w:hAnsi="Arial" w:cs="Arial"/>
          <w:i/>
          <w:color w:val="000000"/>
          <w:sz w:val="22"/>
          <w:szCs w:val="22"/>
        </w:rPr>
        <w:t>ibídem</w:t>
      </w:r>
      <w:proofErr w:type="spellEnd"/>
      <w:r w:rsidRPr="00AC5716">
        <w:rPr>
          <w:rFonts w:ascii="Arial" w:eastAsia="Arial" w:hAnsi="Arial" w:cs="Arial"/>
          <w:color w:val="000000"/>
          <w:sz w:val="22"/>
          <w:szCs w:val="22"/>
        </w:rPr>
        <w:t xml:space="preserve"> se refieren a tales conceptos de forma independiente. El uno para referirse a los requisitos de constitución de una sociedad comercial y el otro para determinar el lugar donde se debe inscribir la escritura pública de constitución de la sociedad comercial. En ese sentido, si el legislador distinguió entre uno y otro y si el reglamento se refiere al «domicilio», se entiende que no es procedente extender el beneficio contenido en el artículo 2.2.1.2.4.2.3. </w:t>
      </w:r>
      <w:proofErr w:type="spellStart"/>
      <w:r w:rsidRPr="00AC5716">
        <w:rPr>
          <w:rFonts w:ascii="Arial" w:eastAsia="Arial" w:hAnsi="Arial" w:cs="Arial"/>
          <w:i/>
          <w:color w:val="000000"/>
          <w:sz w:val="22"/>
          <w:szCs w:val="22"/>
        </w:rPr>
        <w:t>ibídem</w:t>
      </w:r>
      <w:proofErr w:type="spellEnd"/>
      <w:r w:rsidRPr="00AC5716">
        <w:rPr>
          <w:rFonts w:ascii="Arial" w:eastAsia="Arial" w:hAnsi="Arial" w:cs="Arial"/>
          <w:i/>
          <w:color w:val="000000"/>
          <w:sz w:val="22"/>
          <w:szCs w:val="22"/>
        </w:rPr>
        <w:t xml:space="preserve"> </w:t>
      </w:r>
      <w:r w:rsidRPr="00AC5716">
        <w:rPr>
          <w:rFonts w:ascii="Arial" w:eastAsia="Arial" w:hAnsi="Arial" w:cs="Arial"/>
          <w:color w:val="000000"/>
          <w:sz w:val="22"/>
          <w:szCs w:val="22"/>
        </w:rPr>
        <w:t>a las entidades que tienen «sucursales» en el municipio o departamento en donde se va a ejecutar el contrato estatal.</w:t>
      </w:r>
    </w:p>
    <w:p w14:paraId="0794448B"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a) El artículo 2.2.1.2.4.2.2. del Decreto 1082 de 2015 establece los requisitos que se deben acreditar en las «convocatorias limitadas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La primera limitación se deriva del inciso primero de la referida norma, en cuanto a las modalidades de selección de contratistas, en el entendido de que únicamente se puede limitar «la convocatoria del Proceso de Contratación en la modalidad de licitación pública, selección abreviada y concurso de méritos». Esto excluye, pues, la posibilidad de pedir la limitación de las convocatorias en los procesos de selección de </w:t>
      </w:r>
      <w:r w:rsidRPr="00AC5716">
        <w:rPr>
          <w:rFonts w:ascii="Arial" w:eastAsia="Arial" w:hAnsi="Arial" w:cs="Arial"/>
          <w:i/>
          <w:color w:val="000000"/>
          <w:sz w:val="22"/>
          <w:szCs w:val="22"/>
        </w:rPr>
        <w:t>mínima cuantía</w:t>
      </w:r>
      <w:r w:rsidRPr="00AC5716">
        <w:rPr>
          <w:rFonts w:ascii="Arial" w:eastAsia="Arial" w:hAnsi="Arial" w:cs="Arial"/>
          <w:color w:val="000000"/>
          <w:sz w:val="22"/>
          <w:szCs w:val="22"/>
        </w:rPr>
        <w:t xml:space="preserve"> y también en los de </w:t>
      </w:r>
      <w:r w:rsidRPr="00AC5716">
        <w:rPr>
          <w:rFonts w:ascii="Arial" w:eastAsia="Arial" w:hAnsi="Arial" w:cs="Arial"/>
          <w:i/>
          <w:color w:val="000000"/>
          <w:sz w:val="22"/>
          <w:szCs w:val="22"/>
        </w:rPr>
        <w:t>contratación directa</w:t>
      </w:r>
      <w:r w:rsidRPr="00AC5716">
        <w:rPr>
          <w:rFonts w:ascii="Arial" w:eastAsia="Arial" w:hAnsi="Arial" w:cs="Arial"/>
          <w:color w:val="000000"/>
          <w:sz w:val="22"/>
          <w:szCs w:val="22"/>
        </w:rPr>
        <w:t xml:space="preserve">. Para los efectos de la consulta </w:t>
      </w:r>
      <w:r w:rsidRPr="00AC5716">
        <w:rPr>
          <w:rFonts w:ascii="Arial" w:eastAsia="Arial" w:hAnsi="Arial" w:cs="Arial"/>
          <w:i/>
          <w:color w:val="000000"/>
          <w:sz w:val="22"/>
          <w:szCs w:val="22"/>
        </w:rPr>
        <w:t xml:space="preserve">sub </w:t>
      </w:r>
      <w:r w:rsidRPr="00AC5716">
        <w:rPr>
          <w:rFonts w:ascii="Arial" w:eastAsia="Arial" w:hAnsi="Arial" w:cs="Arial"/>
          <w:color w:val="000000"/>
          <w:sz w:val="22"/>
          <w:szCs w:val="22"/>
        </w:rPr>
        <w:t xml:space="preserve">examine, se debe precisar que una de las causales de </w:t>
      </w:r>
      <w:r w:rsidRPr="00AC5716">
        <w:rPr>
          <w:rFonts w:ascii="Arial" w:eastAsia="Arial" w:hAnsi="Arial" w:cs="Arial"/>
          <w:i/>
          <w:color w:val="000000"/>
          <w:sz w:val="22"/>
          <w:szCs w:val="22"/>
        </w:rPr>
        <w:t>selección abreviada</w:t>
      </w:r>
      <w:r w:rsidRPr="00AC5716">
        <w:rPr>
          <w:rFonts w:ascii="Arial" w:eastAsia="Arial" w:hAnsi="Arial" w:cs="Arial"/>
          <w:color w:val="000000"/>
          <w:sz w:val="22"/>
          <w:szCs w:val="22"/>
        </w:rPr>
        <w:t xml:space="preserve"> es la </w:t>
      </w:r>
      <w:r w:rsidRPr="00AC5716">
        <w:rPr>
          <w:rFonts w:ascii="Arial" w:eastAsia="Arial" w:hAnsi="Arial" w:cs="Arial"/>
          <w:i/>
          <w:color w:val="000000"/>
          <w:sz w:val="22"/>
          <w:szCs w:val="22"/>
        </w:rPr>
        <w:t>contratación de menor cuantía</w:t>
      </w:r>
      <w:r w:rsidRPr="00AC5716">
        <w:rPr>
          <w:rFonts w:ascii="Arial" w:eastAsia="Arial" w:hAnsi="Arial" w:cs="Arial"/>
          <w:color w:val="000000"/>
          <w:sz w:val="22"/>
          <w:szCs w:val="22"/>
        </w:rPr>
        <w:t>, según lo que establece el artículo 2, numeral 2, literal b, de la Ley 1150 de 2007.</w:t>
      </w:r>
    </w:p>
    <w:p w14:paraId="5E16481C"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El numeral primero limita cuantitativamente los procesos contractuales en los que se puede hacer esa «convocatoria limitada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la medida en que el valor del proceso de contratación tendrá que ser «menor a ciento veinticinco mil dólares de los Estados Unidos de América». Esta limitante, valga la pena aclarar, es establecida de acuerdo con la tasa que, para el efecto, determine cada dos años el Ministerio de Comercio, Industria y Turismo. Nótese que la norma no hace referencia a la tasa de cambio </w:t>
      </w:r>
      <w:r w:rsidRPr="00AC5716">
        <w:rPr>
          <w:rFonts w:ascii="Arial" w:eastAsia="Arial" w:hAnsi="Arial" w:cs="Arial"/>
          <w:color w:val="000000"/>
          <w:sz w:val="22"/>
          <w:szCs w:val="22"/>
        </w:rPr>
        <w:lastRenderedPageBreak/>
        <w:t>representativa del mercado ─TRM</w:t>
      </w:r>
      <w:r w:rsidRPr="00AC5716">
        <w:rPr>
          <w:rFonts w:ascii="Arial" w:eastAsia="Arial" w:hAnsi="Arial" w:cs="Arial"/>
          <w:color w:val="000000"/>
          <w:sz w:val="22"/>
          <w:szCs w:val="22"/>
          <w:vertAlign w:val="superscript"/>
        </w:rPr>
        <w:footnoteReference w:id="5"/>
      </w:r>
      <w:r w:rsidRPr="00AC5716">
        <w:rPr>
          <w:rFonts w:ascii="Arial" w:eastAsia="Arial" w:hAnsi="Arial" w:cs="Arial"/>
          <w:color w:val="000000"/>
          <w:sz w:val="22"/>
          <w:szCs w:val="22"/>
        </w:rPr>
        <w:t>─, establecida diariamente por la Superintendencia Financiera de Colombia, según lo que establece el artículo 40 de la Resolución Externa No. 1 de 2018 y la Circular Reglamentaria Externa- DODM-146, ambas expedidas por el Banco de la República.</w:t>
      </w:r>
    </w:p>
    <w:p w14:paraId="17D93C2E"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Para establecer dicha tasa, el Ministerio toma en cuenta como parámetros, por un lado, el promedio de la TRM</w:t>
      </w:r>
      <w:r w:rsidRPr="00AC5716">
        <w:rPr>
          <w:rFonts w:ascii="Arial" w:eastAsia="Arial" w:hAnsi="Arial" w:cs="Arial"/>
          <w:color w:val="000000"/>
          <w:sz w:val="22"/>
          <w:szCs w:val="22"/>
          <w:vertAlign w:val="superscript"/>
        </w:rPr>
        <w:footnoteReference w:id="6"/>
      </w:r>
      <w:r w:rsidRPr="00AC5716">
        <w:rPr>
          <w:rFonts w:ascii="Arial" w:eastAsia="Arial" w:hAnsi="Arial" w:cs="Arial"/>
          <w:color w:val="000000"/>
          <w:sz w:val="22"/>
          <w:szCs w:val="22"/>
        </w:rPr>
        <w:t xml:space="preserve"> de los dos años anteriores al período a calcular y, por el otro, los «veinticinco mil dólares de los Estados Unidos de América» a los que se refiere el numeral 1º del artículo 2.2.1.2.4.2.2. del Decreto 1082 de 2015. Así lo ha hecho para los períodos 2015</w:t>
      </w:r>
      <w:r w:rsidRPr="00AC5716">
        <w:rPr>
          <w:rFonts w:ascii="Arial" w:eastAsia="Arial" w:hAnsi="Arial" w:cs="Arial"/>
          <w:color w:val="000000"/>
          <w:sz w:val="22"/>
          <w:szCs w:val="22"/>
          <w:vertAlign w:val="superscript"/>
        </w:rPr>
        <w:footnoteReference w:id="7"/>
      </w:r>
      <w:r w:rsidRPr="00AC5716">
        <w:rPr>
          <w:rFonts w:ascii="Arial" w:eastAsia="Arial" w:hAnsi="Arial" w:cs="Arial"/>
          <w:color w:val="000000"/>
          <w:sz w:val="22"/>
          <w:szCs w:val="22"/>
        </w:rPr>
        <w:t>-2017, 2018-2019 y 2020-2021 (vigente)</w:t>
      </w:r>
      <w:r w:rsidRPr="00AC5716">
        <w:rPr>
          <w:rFonts w:ascii="Arial" w:eastAsia="Arial" w:hAnsi="Arial" w:cs="Arial"/>
          <w:color w:val="000000"/>
          <w:sz w:val="22"/>
          <w:szCs w:val="22"/>
          <w:vertAlign w:val="superscript"/>
        </w:rPr>
        <w:footnoteReference w:id="8"/>
      </w:r>
      <w:r w:rsidRPr="00AC5716">
        <w:rPr>
          <w:rFonts w:ascii="Arial" w:eastAsia="Arial" w:hAnsi="Arial" w:cs="Arial"/>
          <w:color w:val="000000"/>
          <w:sz w:val="22"/>
          <w:szCs w:val="22"/>
        </w:rPr>
        <w:t>. Esta entidad, por otro lado, en ejercicio de sus competencias legales y reglamentarias, está encargada de la publicación de la información en su portal Web: https://www.colombiacompra.gov.co/.</w:t>
      </w:r>
    </w:p>
    <w:p w14:paraId="03E67AAB" w14:textId="77777777" w:rsidR="00E27BDF" w:rsidRPr="00AC5716" w:rsidRDefault="006C0DA8">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 xml:space="preserve">El numeral segundo establece dos exigencias: por un lado, que al menos tres (3)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presenten a la entidad la solicitud formal de limitar el proceso contractual; y por el otro, que hagan la solicitud por lo menos un día antes de la apertura del proceso de contratación. En relación con esto último, por su relación con la pregunta </w:t>
      </w:r>
      <w:r w:rsidRPr="00AC5716">
        <w:rPr>
          <w:rFonts w:ascii="Arial" w:eastAsia="Arial" w:hAnsi="Arial" w:cs="Arial"/>
          <w:i/>
          <w:color w:val="000000"/>
          <w:sz w:val="22"/>
          <w:szCs w:val="22"/>
        </w:rPr>
        <w:t>sub examine</w:t>
      </w:r>
      <w:r w:rsidRPr="00AC5716">
        <w:rPr>
          <w:rFonts w:ascii="Arial" w:eastAsia="Arial" w:hAnsi="Arial" w:cs="Arial"/>
          <w:color w:val="000000"/>
          <w:sz w:val="22"/>
          <w:szCs w:val="22"/>
        </w:rPr>
        <w:t>, se transcribe el numeral 2 del artículo 2.2.1.2.4.2.2. del Decreto 1082 de 2015:</w:t>
      </w:r>
    </w:p>
    <w:p w14:paraId="3BFCB050" w14:textId="77777777" w:rsidR="00E27BDF" w:rsidRPr="00AC5716" w:rsidRDefault="00E27BDF">
      <w:pPr>
        <w:ind w:left="709" w:right="760"/>
        <w:jc w:val="both"/>
        <w:rPr>
          <w:rFonts w:ascii="Arial" w:eastAsia="Arial" w:hAnsi="Arial" w:cs="Arial"/>
          <w:color w:val="000000"/>
          <w:sz w:val="21"/>
          <w:szCs w:val="21"/>
        </w:rPr>
      </w:pPr>
    </w:p>
    <w:p w14:paraId="6804BDC2" w14:textId="77777777" w:rsidR="00E27BDF" w:rsidRPr="00AC5716" w:rsidRDefault="006C0DA8">
      <w:pPr>
        <w:pBdr>
          <w:top w:val="nil"/>
          <w:left w:val="nil"/>
          <w:bottom w:val="nil"/>
          <w:right w:val="nil"/>
          <w:between w:val="nil"/>
        </w:pBdr>
        <w:ind w:left="709" w:right="760"/>
        <w:jc w:val="both"/>
        <w:rPr>
          <w:rFonts w:ascii="Arial" w:eastAsia="Arial" w:hAnsi="Arial" w:cs="Arial"/>
          <w:color w:val="000000"/>
          <w:sz w:val="21"/>
          <w:szCs w:val="21"/>
        </w:rPr>
      </w:pPr>
      <w:r w:rsidRPr="00AC5716">
        <w:rPr>
          <w:rFonts w:ascii="Arial" w:eastAsia="Arial" w:hAnsi="Arial" w:cs="Arial"/>
          <w:color w:val="000000"/>
          <w:sz w:val="21"/>
          <w:szCs w:val="21"/>
        </w:rPr>
        <w:t xml:space="preserve">[…] 2. La Entidad Estatal ha recibido solicitudes de por lo menos tres (3)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para limitar la convocatoria a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nacionales. </w:t>
      </w:r>
      <w:r w:rsidRPr="00AC5716">
        <w:rPr>
          <w:rFonts w:ascii="Arial" w:eastAsia="Arial" w:hAnsi="Arial" w:cs="Arial"/>
          <w:i/>
          <w:color w:val="000000"/>
          <w:sz w:val="21"/>
          <w:szCs w:val="21"/>
        </w:rPr>
        <w:t>La Entidad Estatal debe recibir estas solicitudes por lo menos un (1) día hábil antes de la apertura del Proceso de Contratación</w:t>
      </w:r>
      <w:r w:rsidRPr="00AC5716">
        <w:rPr>
          <w:rFonts w:ascii="Arial" w:eastAsia="Arial" w:hAnsi="Arial" w:cs="Arial"/>
          <w:color w:val="000000"/>
          <w:sz w:val="21"/>
          <w:szCs w:val="21"/>
        </w:rPr>
        <w:t>.</w:t>
      </w:r>
    </w:p>
    <w:p w14:paraId="18F0AD5F" w14:textId="77777777" w:rsidR="00E27BDF" w:rsidRPr="00AC5716" w:rsidRDefault="00E27BDF">
      <w:pPr>
        <w:jc w:val="both"/>
        <w:rPr>
          <w:rFonts w:ascii="Arial" w:eastAsia="Arial" w:hAnsi="Arial" w:cs="Arial"/>
          <w:color w:val="000000"/>
          <w:sz w:val="22"/>
          <w:szCs w:val="22"/>
        </w:rPr>
      </w:pPr>
    </w:p>
    <w:p w14:paraId="6437CC95" w14:textId="51A0EF5E" w:rsidR="00E27BDF" w:rsidRPr="00AC5716" w:rsidRDefault="006C0DA8">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 xml:space="preserve">Es importante resaltar dos aspectos, </w:t>
      </w:r>
      <w:r w:rsidRPr="00AC5716">
        <w:rPr>
          <w:rFonts w:ascii="Arial" w:eastAsia="Arial" w:hAnsi="Arial" w:cs="Arial"/>
          <w:i/>
          <w:color w:val="000000"/>
          <w:sz w:val="22"/>
          <w:szCs w:val="22"/>
        </w:rPr>
        <w:t xml:space="preserve">primero, </w:t>
      </w:r>
      <w:r w:rsidRPr="00AC5716">
        <w:rPr>
          <w:rFonts w:ascii="Arial" w:eastAsia="Arial" w:hAnsi="Arial" w:cs="Arial"/>
          <w:color w:val="000000"/>
          <w:sz w:val="22"/>
          <w:szCs w:val="22"/>
        </w:rPr>
        <w:t xml:space="preserve">que el documento que contiene la solicitud de limitación es diferente y autónomo en relación con el documento contentivo de la propuesta del oferente; y </w:t>
      </w:r>
      <w:r w:rsidRPr="00AC5716">
        <w:rPr>
          <w:rFonts w:ascii="Arial" w:eastAsia="Arial" w:hAnsi="Arial" w:cs="Arial"/>
          <w:i/>
          <w:color w:val="000000"/>
          <w:sz w:val="22"/>
          <w:szCs w:val="22"/>
        </w:rPr>
        <w:t>segundo</w:t>
      </w:r>
      <w:r w:rsidRPr="00AC5716">
        <w:rPr>
          <w:rFonts w:ascii="Arial" w:eastAsia="Arial" w:hAnsi="Arial" w:cs="Arial"/>
          <w:color w:val="000000"/>
          <w:sz w:val="22"/>
          <w:szCs w:val="22"/>
        </w:rPr>
        <w:t xml:space="preserve">,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w:t>
      </w:r>
      <w:proofErr w:type="spellStart"/>
      <w:r w:rsidRPr="00AC5716">
        <w:rPr>
          <w:rFonts w:ascii="Arial" w:eastAsia="Arial" w:hAnsi="Arial" w:cs="Arial"/>
          <w:color w:val="000000"/>
          <w:sz w:val="22"/>
          <w:szCs w:val="22"/>
        </w:rPr>
        <w:t>concluído</w:t>
      </w:r>
      <w:proofErr w:type="spellEnd"/>
      <w:r w:rsidRPr="00AC5716">
        <w:rPr>
          <w:rFonts w:ascii="Arial" w:eastAsia="Arial" w:hAnsi="Arial" w:cs="Arial"/>
          <w:color w:val="000000"/>
          <w:sz w:val="22"/>
          <w:szCs w:val="22"/>
        </w:rPr>
        <w:t xml:space="preserve"> el plazo para pedir la </w:t>
      </w:r>
      <w:r w:rsidRPr="00AC5716">
        <w:rPr>
          <w:rFonts w:ascii="Arial" w:eastAsia="Arial" w:hAnsi="Arial" w:cs="Arial"/>
          <w:sz w:val="22"/>
          <w:szCs w:val="22"/>
        </w:rPr>
        <w:lastRenderedPageBreak/>
        <w:t>limitación</w:t>
      </w:r>
      <w:r w:rsidRPr="00AC5716">
        <w:rPr>
          <w:rFonts w:ascii="Arial" w:eastAsia="Arial" w:hAnsi="Arial" w:cs="Arial"/>
          <w:color w:val="000000"/>
          <w:sz w:val="22"/>
          <w:szCs w:val="22"/>
        </w:rPr>
        <w:t xml:space="preserve"> del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Tales conclusiones encuentran fundamento normativo en los artículos 2.2.1.1.2.1.5.</w:t>
      </w:r>
      <w:r w:rsidRPr="00AC5716">
        <w:rPr>
          <w:rFonts w:ascii="Arial" w:eastAsia="Arial" w:hAnsi="Arial" w:cs="Arial"/>
          <w:color w:val="000000"/>
          <w:sz w:val="22"/>
          <w:szCs w:val="22"/>
          <w:vertAlign w:val="superscript"/>
        </w:rPr>
        <w:footnoteReference w:id="9"/>
      </w:r>
      <w:r w:rsidRPr="00AC5716">
        <w:rPr>
          <w:rFonts w:ascii="Arial" w:eastAsia="Arial" w:hAnsi="Arial" w:cs="Arial"/>
          <w:color w:val="000000"/>
          <w:sz w:val="22"/>
          <w:szCs w:val="22"/>
        </w:rPr>
        <w:t xml:space="preserve"> y 2.2.1.2.1.2.20.</w:t>
      </w:r>
      <w:r w:rsidRPr="00AC5716">
        <w:rPr>
          <w:rFonts w:ascii="Arial" w:eastAsia="Arial" w:hAnsi="Arial" w:cs="Arial"/>
          <w:color w:val="000000"/>
          <w:sz w:val="22"/>
          <w:szCs w:val="22"/>
          <w:vertAlign w:val="superscript"/>
        </w:rPr>
        <w:footnoteReference w:id="10"/>
      </w:r>
      <w:r w:rsidRPr="00AC5716">
        <w:rPr>
          <w:rFonts w:ascii="Arial" w:eastAsia="Arial" w:hAnsi="Arial" w:cs="Arial"/>
          <w:color w:val="000000"/>
          <w:sz w:val="22"/>
          <w:szCs w:val="22"/>
        </w:rPr>
        <w:t xml:space="preserve"> del Decreto 1082 de 2015.</w:t>
      </w:r>
    </w:p>
    <w:p w14:paraId="4BB05D60" w14:textId="4E57C481" w:rsidR="00E27BDF" w:rsidRPr="00AC5716" w:rsidRDefault="006C0DA8">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 xml:space="preserve">Así las cosas, para los efectos de la solicitud de limitación a la que se refiere el artículo 2.2.1.2.4.2.2. del Decreto 1082 de 2015, no puede ocurrir lo que supone la ciudadana que nos consulta, esto es, que alguno de los solicitantes «no cumpla con las condiciones técnicas habilitantes para participar en el proceso de contratación convocado», debido a que estos aspectos se </w:t>
      </w:r>
      <w:r w:rsidRPr="00AC5716">
        <w:rPr>
          <w:rFonts w:ascii="Arial" w:eastAsia="Arial" w:hAnsi="Arial" w:cs="Arial"/>
          <w:sz w:val="22"/>
          <w:szCs w:val="22"/>
        </w:rPr>
        <w:t>verifican</w:t>
      </w:r>
      <w:r w:rsidRPr="00AC5716">
        <w:rPr>
          <w:rFonts w:ascii="Arial" w:eastAsia="Arial" w:hAnsi="Arial" w:cs="Arial"/>
          <w:color w:val="000000"/>
          <w:sz w:val="22"/>
          <w:szCs w:val="22"/>
        </w:rPr>
        <w:t xml:space="preserve"> en una etapa posterior a la que el reglamento habilitó para pedir la limitación del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Esto no quiere decir que la entidad </w:t>
      </w:r>
      <w:r w:rsidRPr="00AC5716">
        <w:rPr>
          <w:rFonts w:ascii="Arial" w:eastAsia="Arial" w:hAnsi="Arial" w:cs="Arial"/>
          <w:sz w:val="22"/>
          <w:szCs w:val="22"/>
        </w:rPr>
        <w:t>pública</w:t>
      </w:r>
      <w:r w:rsidRPr="00AC5716">
        <w:rPr>
          <w:rFonts w:ascii="Arial" w:eastAsia="Arial" w:hAnsi="Arial" w:cs="Arial"/>
          <w:color w:val="000000"/>
          <w:sz w:val="22"/>
          <w:szCs w:val="22"/>
        </w:rPr>
        <w:t xml:space="preserve"> no deba constatar el cumplimiento de los requisitos de procedencia de la solicitud de limitación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pues esta debe </w:t>
      </w:r>
      <w:r w:rsidRPr="00AC5716">
        <w:rPr>
          <w:rFonts w:ascii="Arial" w:eastAsia="Arial" w:hAnsi="Arial" w:cs="Arial"/>
          <w:sz w:val="22"/>
          <w:szCs w:val="22"/>
        </w:rPr>
        <w:t>verificar</w:t>
      </w:r>
      <w:r w:rsidRPr="00AC5716">
        <w:rPr>
          <w:rFonts w:ascii="Arial" w:eastAsia="Arial" w:hAnsi="Arial" w:cs="Arial"/>
          <w:color w:val="000000"/>
          <w:sz w:val="22"/>
          <w:szCs w:val="22"/>
        </w:rPr>
        <w:t xml:space="preserve">, por ejemplo, que el solicitante sea una </w:t>
      </w:r>
      <w:proofErr w:type="spellStart"/>
      <w:r w:rsidRPr="00AC5716">
        <w:rPr>
          <w:rFonts w:ascii="Arial" w:eastAsia="Arial" w:hAnsi="Arial" w:cs="Arial"/>
          <w:color w:val="000000"/>
          <w:sz w:val="22"/>
          <w:szCs w:val="22"/>
        </w:rPr>
        <w:t>Mipyme</w:t>
      </w:r>
      <w:proofErr w:type="spellEnd"/>
      <w:r w:rsidR="00BB77BF" w:rsidRPr="00AC5716">
        <w:rPr>
          <w:rFonts w:ascii="Arial" w:eastAsia="Arial" w:hAnsi="Arial" w:cs="Arial"/>
          <w:color w:val="000000"/>
          <w:sz w:val="22"/>
          <w:szCs w:val="22"/>
        </w:rPr>
        <w:t>, que tenga más de un año de existencia</w:t>
      </w:r>
      <w:r w:rsidRPr="00AC5716">
        <w:rPr>
          <w:rFonts w:ascii="Arial" w:eastAsia="Arial" w:hAnsi="Arial" w:cs="Arial"/>
          <w:color w:val="000000"/>
          <w:sz w:val="22"/>
          <w:szCs w:val="22"/>
        </w:rPr>
        <w:t xml:space="preserve"> y que su objeto social tenga relación con el objeto del contrato a adjudicar.</w:t>
      </w:r>
    </w:p>
    <w:p w14:paraId="47FAFF45" w14:textId="181A78CF" w:rsidR="00E27BDF" w:rsidRPr="00AC5716" w:rsidRDefault="00ED3D3F">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En relación con este último aspecto</w:t>
      </w:r>
      <w:r w:rsidR="006C0DA8" w:rsidRPr="00AC5716">
        <w:rPr>
          <w:rFonts w:ascii="Arial" w:eastAsia="Arial" w:hAnsi="Arial" w:cs="Arial"/>
          <w:color w:val="000000"/>
          <w:sz w:val="22"/>
          <w:szCs w:val="22"/>
        </w:rPr>
        <w:t xml:space="preserve">, Colombia Compra Eficiente ha precisado que «[s]i bien la normativa del sistema de compra </w:t>
      </w:r>
      <w:r w:rsidR="006C0DA8" w:rsidRPr="00AC5716">
        <w:rPr>
          <w:rFonts w:ascii="Arial" w:eastAsia="Arial" w:hAnsi="Arial" w:cs="Arial"/>
          <w:sz w:val="22"/>
          <w:szCs w:val="22"/>
        </w:rPr>
        <w:t>pública</w:t>
      </w:r>
      <w:r w:rsidR="006C0DA8" w:rsidRPr="00AC5716">
        <w:rPr>
          <w:rFonts w:ascii="Arial" w:eastAsia="Arial" w:hAnsi="Arial" w:cs="Arial"/>
          <w:color w:val="000000"/>
          <w:sz w:val="22"/>
          <w:szCs w:val="22"/>
        </w:rPr>
        <w:t xml:space="preserve"> no establece como requisito acreditar la relación entre el objeto de la </w:t>
      </w:r>
      <w:proofErr w:type="spellStart"/>
      <w:r w:rsidR="006C0DA8" w:rsidRPr="00AC5716">
        <w:rPr>
          <w:rFonts w:ascii="Arial" w:eastAsia="Arial" w:hAnsi="Arial" w:cs="Arial"/>
          <w:color w:val="000000"/>
          <w:sz w:val="22"/>
          <w:szCs w:val="22"/>
        </w:rPr>
        <w:t>Mipyme</w:t>
      </w:r>
      <w:proofErr w:type="spellEnd"/>
      <w:r w:rsidR="006C0DA8" w:rsidRPr="00AC5716">
        <w:rPr>
          <w:rFonts w:ascii="Arial" w:eastAsia="Arial" w:hAnsi="Arial" w:cs="Arial"/>
          <w:color w:val="000000"/>
          <w:sz w:val="22"/>
          <w:szCs w:val="22"/>
        </w:rPr>
        <w:t xml:space="preserve"> y el objeto contrato, es imperativo que la entidad estatal verifique que quienes solicitan la limitación del proceso a </w:t>
      </w:r>
      <w:proofErr w:type="spellStart"/>
      <w:r w:rsidR="006C0DA8" w:rsidRPr="00AC5716">
        <w:rPr>
          <w:rFonts w:ascii="Arial" w:eastAsia="Arial" w:hAnsi="Arial" w:cs="Arial"/>
          <w:color w:val="000000"/>
          <w:sz w:val="22"/>
          <w:szCs w:val="22"/>
        </w:rPr>
        <w:t>Mipyme</w:t>
      </w:r>
      <w:proofErr w:type="spellEnd"/>
      <w:r w:rsidR="006C0DA8" w:rsidRPr="00AC5716">
        <w:rPr>
          <w:rFonts w:ascii="Arial" w:eastAsia="Arial" w:hAnsi="Arial" w:cs="Arial"/>
          <w:color w:val="000000"/>
          <w:sz w:val="22"/>
          <w:szCs w:val="22"/>
        </w:rPr>
        <w:t xml:space="preserve"> tienen un objeto social similar al objeto del contrato y, de ser así, la entidad deberá limitar el proceso de contratación a </w:t>
      </w:r>
      <w:proofErr w:type="spellStart"/>
      <w:r w:rsidR="006C0DA8" w:rsidRPr="00AC5716">
        <w:rPr>
          <w:rFonts w:ascii="Arial" w:eastAsia="Arial" w:hAnsi="Arial" w:cs="Arial"/>
          <w:color w:val="000000"/>
          <w:sz w:val="22"/>
          <w:szCs w:val="22"/>
        </w:rPr>
        <w:t>Mipymes</w:t>
      </w:r>
      <w:proofErr w:type="spellEnd"/>
      <w:r w:rsidR="006C0DA8" w:rsidRPr="00AC5716">
        <w:rPr>
          <w:rFonts w:ascii="Arial" w:eastAsia="Arial" w:hAnsi="Arial" w:cs="Arial"/>
          <w:color w:val="000000"/>
          <w:sz w:val="22"/>
          <w:szCs w:val="22"/>
        </w:rPr>
        <w:t>»</w:t>
      </w:r>
      <w:r w:rsidR="006C0DA8" w:rsidRPr="00AC5716">
        <w:rPr>
          <w:rFonts w:ascii="Arial" w:eastAsia="Arial" w:hAnsi="Arial" w:cs="Arial"/>
          <w:color w:val="000000"/>
          <w:sz w:val="22"/>
          <w:szCs w:val="22"/>
          <w:vertAlign w:val="superscript"/>
        </w:rPr>
        <w:footnoteReference w:id="11"/>
      </w:r>
      <w:r w:rsidR="006C0DA8" w:rsidRPr="00AC5716">
        <w:rPr>
          <w:rFonts w:ascii="Arial" w:eastAsia="Arial" w:hAnsi="Arial" w:cs="Arial"/>
          <w:color w:val="000000"/>
          <w:sz w:val="22"/>
          <w:szCs w:val="22"/>
        </w:rPr>
        <w:t>.</w:t>
      </w:r>
      <w:r w:rsidR="006C0DA8" w:rsidRPr="00AC5716">
        <w:rPr>
          <w:rFonts w:ascii="Arial" w:eastAsia="Arial" w:hAnsi="Arial" w:cs="Arial"/>
          <w:i/>
          <w:color w:val="000000"/>
          <w:sz w:val="22"/>
          <w:szCs w:val="22"/>
        </w:rPr>
        <w:t xml:space="preserve"> </w:t>
      </w:r>
      <w:r w:rsidR="006C0DA8" w:rsidRPr="00AC5716">
        <w:rPr>
          <w:rFonts w:ascii="Arial" w:eastAsia="Arial" w:hAnsi="Arial" w:cs="Arial"/>
          <w:color w:val="000000"/>
          <w:sz w:val="22"/>
          <w:szCs w:val="22"/>
        </w:rPr>
        <w:t xml:space="preserve">También ha dicho que la entidad estatal debe aceptar las ofertas de consorcios o uniones temporales formados exclusivamente por </w:t>
      </w:r>
      <w:proofErr w:type="spellStart"/>
      <w:r w:rsidR="006C0DA8" w:rsidRPr="00AC5716">
        <w:rPr>
          <w:rFonts w:ascii="Arial" w:eastAsia="Arial" w:hAnsi="Arial" w:cs="Arial"/>
          <w:color w:val="000000"/>
          <w:sz w:val="22"/>
          <w:szCs w:val="22"/>
        </w:rPr>
        <w:t>Mipyme</w:t>
      </w:r>
      <w:proofErr w:type="spellEnd"/>
      <w:r w:rsidR="006C0DA8" w:rsidRPr="00AC5716">
        <w:rPr>
          <w:rFonts w:ascii="Arial" w:eastAsia="Arial" w:hAnsi="Arial" w:cs="Arial"/>
          <w:color w:val="000000"/>
          <w:sz w:val="22"/>
          <w:szCs w:val="22"/>
        </w:rPr>
        <w:t xml:space="preserve"> y promesas de sociedad futura suscritas por </w:t>
      </w:r>
      <w:proofErr w:type="spellStart"/>
      <w:r w:rsidR="006C0DA8" w:rsidRPr="00AC5716">
        <w:rPr>
          <w:rFonts w:ascii="Arial" w:eastAsia="Arial" w:hAnsi="Arial" w:cs="Arial"/>
          <w:color w:val="000000"/>
          <w:sz w:val="22"/>
          <w:szCs w:val="22"/>
        </w:rPr>
        <w:t>Mipyme</w:t>
      </w:r>
      <w:proofErr w:type="spellEnd"/>
      <w:r w:rsidR="006C0DA8" w:rsidRPr="00AC5716">
        <w:rPr>
          <w:rFonts w:ascii="Arial" w:eastAsia="Arial" w:hAnsi="Arial" w:cs="Arial"/>
          <w:color w:val="000000"/>
          <w:sz w:val="22"/>
          <w:szCs w:val="22"/>
        </w:rPr>
        <w:t>»</w:t>
      </w:r>
      <w:r w:rsidR="006C0DA8" w:rsidRPr="00AC5716">
        <w:rPr>
          <w:rFonts w:ascii="Arial" w:eastAsia="Arial" w:hAnsi="Arial" w:cs="Arial"/>
          <w:color w:val="000000"/>
          <w:sz w:val="22"/>
          <w:szCs w:val="22"/>
          <w:vertAlign w:val="superscript"/>
        </w:rPr>
        <w:footnoteReference w:id="12"/>
      </w:r>
      <w:r w:rsidR="006C0DA8" w:rsidRPr="00AC5716">
        <w:rPr>
          <w:rFonts w:ascii="Arial" w:eastAsia="Arial" w:hAnsi="Arial" w:cs="Arial"/>
          <w:color w:val="000000"/>
          <w:sz w:val="22"/>
          <w:szCs w:val="22"/>
        </w:rPr>
        <w:t xml:space="preserve">. </w:t>
      </w:r>
    </w:p>
    <w:p w14:paraId="031FDA47"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lastRenderedPageBreak/>
        <w:t xml:space="preserve">De todos modos,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que pretendan participar en el proceso de selección deben acreditar mínimo un año de existencia, para lo cual deben presentar el certificado expedido por la cámara de comercio o por la autoridad que sea competente para dicha acreditación</w:t>
      </w:r>
      <w:r w:rsidRPr="00AC5716">
        <w:rPr>
          <w:rFonts w:ascii="Arial" w:eastAsia="Arial" w:hAnsi="Arial" w:cs="Arial"/>
          <w:color w:val="000000"/>
          <w:sz w:val="22"/>
          <w:szCs w:val="22"/>
          <w:vertAlign w:val="superscript"/>
        </w:rPr>
        <w:footnoteReference w:id="13"/>
      </w:r>
      <w:r w:rsidRPr="00AC5716">
        <w:rPr>
          <w:rFonts w:ascii="Arial" w:eastAsia="Arial" w:hAnsi="Arial" w:cs="Arial"/>
          <w:color w:val="000000"/>
          <w:sz w:val="22"/>
          <w:szCs w:val="22"/>
        </w:rPr>
        <w:t xml:space="preserve">. </w:t>
      </w:r>
    </w:p>
    <w:p w14:paraId="780591F5" w14:textId="77777777" w:rsidR="00E27BDF" w:rsidRPr="00AC5716" w:rsidRDefault="006C0DA8">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 xml:space="preserve">b) Cumplidos los dos requisitos del artículo 2.2.1.2.4.2.2. </w:t>
      </w:r>
      <w:r w:rsidRPr="00AC5716">
        <w:rPr>
          <w:rFonts w:ascii="Arial" w:eastAsia="Arial" w:hAnsi="Arial" w:cs="Arial"/>
          <w:i/>
          <w:color w:val="000000"/>
          <w:sz w:val="22"/>
          <w:szCs w:val="22"/>
        </w:rPr>
        <w:t>ibidem</w:t>
      </w:r>
      <w:r w:rsidRPr="00AC5716">
        <w:rPr>
          <w:rFonts w:ascii="Arial" w:eastAsia="Arial" w:hAnsi="Arial" w:cs="Arial"/>
          <w:color w:val="000000"/>
          <w:sz w:val="22"/>
          <w:szCs w:val="22"/>
        </w:rPr>
        <w:t xml:space="preserve">, la entidad puede ─no tiene que─ decidir si limita la convocatoria a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el municipio o departamento en el que se ejecutará el contrato</w:t>
      </w:r>
      <w:r w:rsidRPr="00AC5716">
        <w:rPr>
          <w:rFonts w:ascii="Arial" w:eastAsia="Arial" w:hAnsi="Arial" w:cs="Arial"/>
          <w:color w:val="000000"/>
          <w:sz w:val="22"/>
          <w:szCs w:val="22"/>
          <w:vertAlign w:val="superscript"/>
        </w:rPr>
        <w:footnoteReference w:id="14"/>
      </w:r>
      <w:r w:rsidRPr="00AC5716">
        <w:rPr>
          <w:rFonts w:ascii="Arial" w:eastAsia="Arial" w:hAnsi="Arial" w:cs="Arial"/>
          <w:color w:val="000000"/>
          <w:sz w:val="22"/>
          <w:szCs w:val="22"/>
        </w:rPr>
        <w:t xml:space="preserve">. Esto de acuerdo con lo establecido en artículo 2.2.1.2.4.2.3. del Decreto 1082 de 2015, norma que se refiere a la facultad de la administración con el verbo infinitivo «poder», no «deber». </w:t>
      </w:r>
    </w:p>
    <w:p w14:paraId="08BD5EBE"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Colombia Compra Eficiente ha sostenido que es discrecional la decisión de limitar territorialmente una convocatoria de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y ha precisado que, de todos modos, la decisión debe estar justificada en los correspondientes «estudios del sector». Así lo consideró en la consulta No. 216130003241, resuelta el 30 de junio de 2016. Igualmente, en la consulta resuelta en el radicado No. 2201813000008184, del 7 de septiembre de 2018, se dijo que, de acuerdo con el artículo 2.2.1.2.4.2.3. del Decreto 1082 de 2015,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beneficiadas deben tener su domicilio principal en el municipio o departamento donde se ejecutará el contrato para poder participar en una convocatoria limitada territorialmente</w:t>
      </w:r>
      <w:r w:rsidRPr="00AC5716">
        <w:rPr>
          <w:rFonts w:ascii="Arial" w:eastAsia="Arial" w:hAnsi="Arial" w:cs="Arial"/>
          <w:color w:val="000000"/>
          <w:sz w:val="22"/>
          <w:szCs w:val="22"/>
          <w:vertAlign w:val="superscript"/>
        </w:rPr>
        <w:footnoteReference w:id="15"/>
      </w:r>
      <w:r w:rsidRPr="00AC5716">
        <w:rPr>
          <w:rFonts w:ascii="Arial" w:eastAsia="Arial" w:hAnsi="Arial" w:cs="Arial"/>
          <w:color w:val="000000"/>
          <w:sz w:val="22"/>
          <w:szCs w:val="22"/>
        </w:rPr>
        <w:t>.</w:t>
      </w:r>
    </w:p>
    <w:p w14:paraId="63E85771"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Adicionalmente, en la consulta No. 215130008193, del 9 de noviembre de 2015, esta Subdirección sostuvo que «[p]ara limitar un Proceso de Contratación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territoriales la Entidad Estatal debe tener en cuenta que se cumplan necesariamente 3 supuestos». Los dos primeros, se dijo, están en el artículo 2.2.1.2.4.2.2 del Decreto 1082 de 2015, mientras que el tercero se encuentra en el artículo 2.2.1.2.4.2.3 </w:t>
      </w:r>
      <w:r w:rsidRPr="00AC5716">
        <w:rPr>
          <w:rFonts w:ascii="Arial" w:eastAsia="Arial" w:hAnsi="Arial" w:cs="Arial"/>
          <w:i/>
          <w:color w:val="000000"/>
          <w:sz w:val="22"/>
          <w:szCs w:val="22"/>
        </w:rPr>
        <w:t>ibidem</w:t>
      </w:r>
      <w:r w:rsidRPr="00AC5716">
        <w:rPr>
          <w:rFonts w:ascii="Arial" w:eastAsia="Arial" w:hAnsi="Arial" w:cs="Arial"/>
          <w:color w:val="000000"/>
          <w:sz w:val="22"/>
          <w:szCs w:val="22"/>
        </w:rPr>
        <w:t xml:space="preserve">. Este último «debe entenderse en el sentido que si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que manifiestan su interés en limitar la convocatoria son por lo menos tres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domiciliadas en el departamento o municipio, la limitación será territorial y no nacional». Este entendimiento de la norma, sin embargo, da lugar a dos interpretaciones sobre las que se deben hacer unas precisiones.</w:t>
      </w:r>
    </w:p>
    <w:p w14:paraId="636F81A2"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i/>
          <w:color w:val="000000"/>
          <w:sz w:val="22"/>
          <w:szCs w:val="22"/>
        </w:rPr>
        <w:lastRenderedPageBreak/>
        <w:t>Por un lado</w:t>
      </w:r>
      <w:r w:rsidRPr="00AC5716">
        <w:rPr>
          <w:rFonts w:ascii="Arial" w:eastAsia="Arial" w:hAnsi="Arial" w:cs="Arial"/>
          <w:color w:val="000000"/>
          <w:sz w:val="22"/>
          <w:szCs w:val="22"/>
        </w:rPr>
        <w:t xml:space="preserve">, supone que la decisión de limitar territorialmente la convocatoria opera de pleno derecho, cuando lo solicitan tres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el municipio o en el departamento en el que se va a ejecutar el contrato. Sin embargo, se debe tener presente que lo que sucede de pleno derecho es la limitación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a la que se refiere el artículo 2.2.1.2.4.2.2. del Decreto 1082 de 2015, pero no la «limitación territorial» referida en el artículo 2.2.1.2.4.2.3. </w:t>
      </w:r>
      <w:proofErr w:type="spellStart"/>
      <w:r w:rsidRPr="00AC5716">
        <w:rPr>
          <w:rFonts w:ascii="Arial" w:eastAsia="Arial" w:hAnsi="Arial" w:cs="Arial"/>
          <w:i/>
          <w:color w:val="000000"/>
          <w:sz w:val="22"/>
          <w:szCs w:val="22"/>
        </w:rPr>
        <w:t>ibídem</w:t>
      </w:r>
      <w:proofErr w:type="spellEnd"/>
      <w:r w:rsidRPr="00AC5716">
        <w:rPr>
          <w:rFonts w:ascii="Arial" w:eastAsia="Arial" w:hAnsi="Arial" w:cs="Arial"/>
          <w:color w:val="000000"/>
          <w:sz w:val="22"/>
          <w:szCs w:val="22"/>
        </w:rPr>
        <w:t xml:space="preserve">, pues esta, como ya se dijo, es facultativa para la entidad. Las únicas exigencias son que la convocatoria esté limitada a las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nacionales «domiciliadas en los departamentos o municipios en donde se va a ejecutar el contrato» y que la entidad justifique su decisión en los «estudios del sector». No es procedente, entonces, que sean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las que soliciten la «limitación territorial» a la que se refiere el artículo 2.2.1.2.4.2.3. del Decreto 1082 de 2015.</w:t>
      </w:r>
    </w:p>
    <w:p w14:paraId="47CD2028"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que solicitan la «limitación territorial» no es relevante frente a dicha decisión, por dos razones. Primero, porque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no están habilitadas para pedir la «limitación territorial», lo están para pedir la «convocatoria limitada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y, segundo, porque el único criterio a tener en cuenta, una vez se ha decidido justificadamente limitar territorialmente la convocatoria previamente limitada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es el lugar donde se va a ejecutar el contrato.</w:t>
      </w:r>
    </w:p>
    <w:p w14:paraId="2357857C"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i/>
          <w:color w:val="000000"/>
          <w:sz w:val="22"/>
          <w:szCs w:val="22"/>
        </w:rPr>
        <w:t>Por otro lado</w:t>
      </w:r>
      <w:r w:rsidRPr="00AC5716">
        <w:rPr>
          <w:rFonts w:ascii="Arial" w:eastAsia="Arial" w:hAnsi="Arial" w:cs="Arial"/>
          <w:color w:val="000000"/>
          <w:sz w:val="22"/>
          <w:szCs w:val="22"/>
        </w:rPr>
        <w:t xml:space="preserve">, supone que la decisión de la entidad únicamente puede darse si la solicitud provino de tres o más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domiciliadas en el municipio o departamento en donde se va a ejecutar el contrato. Sin embargo, una vez se verifican los requisitos de los numerales 1 y 2 del artículo 2.2.1.2.4.2.2. del Decreto 1082 de 2015, la entidad queda habilitada para decidir si limita o no la convocatoria «a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nacionales domiciliadas en los departamentos o municipios en donde se va a ejecutar el contrato», sin que sea relevante el «domicilio» de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que solicitaron limitar la convocatoria.</w:t>
      </w:r>
    </w:p>
    <w:p w14:paraId="6FA8AF8D"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Puede pasar, por ejemplo, que tres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claro está, siempre que se cumplan los requisitos legales, pero se reservaría la posibilidad de limitar el proceso contractual a las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w:t>
      </w:r>
      <w:r w:rsidRPr="00AC5716">
        <w:rPr>
          <w:rFonts w:ascii="Arial" w:eastAsia="Arial" w:hAnsi="Arial" w:cs="Arial"/>
          <w:color w:val="000000"/>
          <w:sz w:val="22"/>
          <w:szCs w:val="22"/>
        </w:rPr>
        <w:lastRenderedPageBreak/>
        <w:t xml:space="preserve">limitar «a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nacionales domiciliadas en los departamentos o municipios en donde se va a ejecutar el contrato», esto es, para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35639555"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2.2.1.2.4.2.2. del Decreto 1082 de 2015 debe hacerse dentro del ordenamiento jurídico, eso es, atendiendo la regla que, para esos efectos, establece el referido artículo, el cual, valga la pena decirlo, se refiere a «los municipios o departamentos» en plural y no a un municipio o a un departamento ─en singular─.</w:t>
      </w:r>
    </w:p>
    <w:p w14:paraId="4864A0F1"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Sin perjuicio de lo anterior, no puede perderse de vista que la decisión de limitar «a </w:t>
      </w:r>
      <w:proofErr w:type="spellStart"/>
      <w:r w:rsidRPr="00AC5716">
        <w:rPr>
          <w:rFonts w:ascii="Arial" w:eastAsia="Arial" w:hAnsi="Arial" w:cs="Arial"/>
          <w:color w:val="000000"/>
          <w:sz w:val="22"/>
          <w:szCs w:val="22"/>
        </w:rPr>
        <w:t>Mipyme</w:t>
      </w:r>
      <w:proofErr w:type="spellEnd"/>
      <w:r w:rsidRPr="00AC5716">
        <w:rPr>
          <w:rFonts w:ascii="Arial" w:eastAsia="Arial" w:hAnsi="Arial" w:cs="Arial"/>
          <w:color w:val="000000"/>
          <w:sz w:val="22"/>
          <w:szCs w:val="22"/>
        </w:rPr>
        <w:t xml:space="preserve"> nacionales domiciliadas en los departamentos o municipios en donde se va a ejecutar el contrato», 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no puede </w:t>
      </w:r>
      <w:r w:rsidRPr="00AC5716">
        <w:rPr>
          <w:rFonts w:ascii="Arial" w:eastAsia="Arial" w:hAnsi="Arial" w:cs="Arial"/>
          <w:i/>
          <w:color w:val="000000"/>
          <w:sz w:val="22"/>
          <w:szCs w:val="22"/>
        </w:rPr>
        <w:t xml:space="preserve">motu propio </w:t>
      </w:r>
      <w:r w:rsidRPr="00AC5716">
        <w:rPr>
          <w:rFonts w:ascii="Arial" w:eastAsia="Arial" w:hAnsi="Arial" w:cs="Arial"/>
          <w:color w:val="000000"/>
          <w:sz w:val="22"/>
          <w:szCs w:val="22"/>
        </w:rPr>
        <w:t xml:space="preserve">hacer la «limitación territorial» de que trata el artículo 2.2.1.2.4.2.3. del Decreto 1082 de 2015, ya que el ejercicio de esta facultad solo puede darse ante «limitación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lo cual supone la verificación de los supuestos legales establecidos en los mencionados numerales.</w:t>
      </w:r>
    </w:p>
    <w:p w14:paraId="577F06D4"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En suma, el Decreto 1082 de 2015 regula la limitación de convocatorias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dos normas distintas que deben leerse conjunta y armónicamente. Por un lado, el artículo 2.2.1.2.4.2.2. prevé los requisitos generales para que la entidad limite sus convocatorias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Por el otro, el artículo 2.2.1.2.4.2.3. establece la posibilidad de limitar la convocatoria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domiciliadas en los departamentos o municipios en donde se va a ejecutar el contrato, por supuesto, siempre que la entidad así lo decida y solo si se cumplen las exigencias del artículo 2.2.1.2.4.2.2.</w:t>
      </w:r>
    </w:p>
    <w:p w14:paraId="3F35E595" w14:textId="77777777"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 xml:space="preserve">Sin perjuicio de lo anterior, la Agencia Nacional de Contratación Pública – Colombia Compra Eficiente considera que lo </w:t>
      </w:r>
      <w:r w:rsidRPr="00AC5716">
        <w:rPr>
          <w:rFonts w:ascii="Arial" w:eastAsia="Arial" w:hAnsi="Arial" w:cs="Arial"/>
          <w:i/>
          <w:iCs/>
          <w:color w:val="000000"/>
          <w:sz w:val="22"/>
          <w:szCs w:val="22"/>
        </w:rPr>
        <w:t>recomendable</w:t>
      </w:r>
      <w:r w:rsidRPr="00AC5716">
        <w:rPr>
          <w:rFonts w:ascii="Arial" w:eastAsia="Arial" w:hAnsi="Arial" w:cs="Arial"/>
          <w:color w:val="000000"/>
          <w:sz w:val="22"/>
          <w:szCs w:val="22"/>
        </w:rPr>
        <w:t xml:space="preserve"> es que las entidades establezcan </w:t>
      </w:r>
      <w:r w:rsidRPr="00AC5716">
        <w:rPr>
          <w:rFonts w:ascii="Arial" w:eastAsia="Arial" w:hAnsi="Arial" w:cs="Arial"/>
          <w:i/>
          <w:color w:val="000000"/>
          <w:sz w:val="22"/>
          <w:szCs w:val="22"/>
        </w:rPr>
        <w:t xml:space="preserve">ex ante </w:t>
      </w:r>
      <w:r w:rsidRPr="00AC5716">
        <w:rPr>
          <w:rFonts w:ascii="Arial" w:eastAsia="Arial" w:hAnsi="Arial" w:cs="Arial"/>
          <w:color w:val="000000"/>
          <w:sz w:val="22"/>
          <w:szCs w:val="22"/>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como, por ejemplo, en relación con cuál o cuáles municipios o departamentos harían la limitación territorial de que trata el artículo 2.2.1.2.4.2.3. del Decreto 1082 de 2015.</w:t>
      </w:r>
    </w:p>
    <w:p w14:paraId="11B5548E" w14:textId="77777777" w:rsidR="00E27BDF" w:rsidRPr="00AC5716" w:rsidRDefault="006C0DA8">
      <w:pPr>
        <w:spacing w:before="120" w:line="276" w:lineRule="auto"/>
        <w:ind w:firstLine="709"/>
        <w:jc w:val="both"/>
        <w:rPr>
          <w:rFonts w:ascii="Arial" w:eastAsia="Arial" w:hAnsi="Arial" w:cs="Arial"/>
          <w:sz w:val="22"/>
          <w:szCs w:val="22"/>
        </w:rPr>
      </w:pPr>
      <w:r w:rsidRPr="00AC5716">
        <w:rPr>
          <w:rFonts w:ascii="Arial" w:eastAsia="Arial" w:hAnsi="Arial" w:cs="Arial"/>
          <w:sz w:val="22"/>
          <w:szCs w:val="22"/>
        </w:rPr>
        <w:lastRenderedPageBreak/>
        <w:t>Con fundamento en las consideraciones anteriores, se contestarán las inquietudes formuladas.</w:t>
      </w:r>
    </w:p>
    <w:p w14:paraId="747993BD" w14:textId="77777777" w:rsidR="00E27BDF" w:rsidRPr="00AC5716" w:rsidRDefault="00E27BDF">
      <w:pPr>
        <w:spacing w:line="276" w:lineRule="auto"/>
        <w:ind w:right="709"/>
        <w:jc w:val="both"/>
        <w:rPr>
          <w:rFonts w:ascii="Arial" w:eastAsia="Arial" w:hAnsi="Arial" w:cs="Arial"/>
          <w:color w:val="000000"/>
          <w:sz w:val="21"/>
          <w:szCs w:val="21"/>
        </w:rPr>
      </w:pPr>
    </w:p>
    <w:p w14:paraId="7725B6CA" w14:textId="77777777" w:rsidR="00E27BDF" w:rsidRPr="00AC5716" w:rsidRDefault="006C0DA8">
      <w:pPr>
        <w:numPr>
          <w:ilvl w:val="0"/>
          <w:numId w:val="1"/>
        </w:numPr>
        <w:pBdr>
          <w:top w:val="nil"/>
          <w:left w:val="nil"/>
          <w:bottom w:val="nil"/>
          <w:right w:val="nil"/>
          <w:between w:val="nil"/>
        </w:pBdr>
        <w:tabs>
          <w:tab w:val="left" w:pos="284"/>
        </w:tabs>
        <w:spacing w:line="276" w:lineRule="auto"/>
        <w:ind w:left="0" w:firstLine="0"/>
        <w:rPr>
          <w:rFonts w:ascii="Arial" w:eastAsia="Arial" w:hAnsi="Arial" w:cs="Arial"/>
          <w:sz w:val="22"/>
          <w:szCs w:val="22"/>
        </w:rPr>
      </w:pPr>
      <w:r w:rsidRPr="00AC5716">
        <w:rPr>
          <w:rFonts w:ascii="Arial" w:eastAsia="Arial" w:hAnsi="Arial" w:cs="Arial"/>
          <w:b/>
          <w:color w:val="000000"/>
          <w:sz w:val="22"/>
          <w:szCs w:val="22"/>
        </w:rPr>
        <w:t xml:space="preserve">Respuesta </w:t>
      </w:r>
    </w:p>
    <w:p w14:paraId="7CE24A68" w14:textId="77777777" w:rsidR="00E27BDF" w:rsidRPr="00AC5716" w:rsidRDefault="00E27BDF">
      <w:pPr>
        <w:tabs>
          <w:tab w:val="left" w:pos="284"/>
        </w:tabs>
        <w:spacing w:line="276" w:lineRule="auto"/>
        <w:rPr>
          <w:rFonts w:ascii="Arial" w:eastAsia="Arial" w:hAnsi="Arial" w:cs="Arial"/>
          <w:b/>
          <w:color w:val="000000"/>
          <w:sz w:val="22"/>
          <w:szCs w:val="22"/>
        </w:rPr>
      </w:pPr>
    </w:p>
    <w:p w14:paraId="104D6EB2" w14:textId="77777777" w:rsidR="00E27BDF" w:rsidRPr="00AC5716" w:rsidRDefault="006C0DA8">
      <w:pPr>
        <w:ind w:left="709" w:right="758"/>
        <w:jc w:val="both"/>
        <w:rPr>
          <w:rFonts w:ascii="Arial" w:eastAsia="Arial" w:hAnsi="Arial" w:cs="Arial"/>
          <w:color w:val="000000"/>
          <w:sz w:val="22"/>
          <w:szCs w:val="22"/>
        </w:rPr>
      </w:pPr>
      <w:r w:rsidRPr="00AC5716">
        <w:rPr>
          <w:rFonts w:ascii="Arial" w:eastAsia="Arial" w:hAnsi="Arial" w:cs="Arial"/>
          <w:color w:val="000000"/>
          <w:sz w:val="21"/>
          <w:szCs w:val="21"/>
        </w:rPr>
        <w:t xml:space="preserve">i) ¿[…] «puede una entidad </w:t>
      </w:r>
      <w:proofErr w:type="spellStart"/>
      <w:r w:rsidRPr="00AC5716">
        <w:rPr>
          <w:rFonts w:ascii="Arial" w:eastAsia="Arial" w:hAnsi="Arial" w:cs="Arial"/>
          <w:color w:val="000000"/>
          <w:sz w:val="21"/>
          <w:szCs w:val="21"/>
        </w:rPr>
        <w:t>publica</w:t>
      </w:r>
      <w:proofErr w:type="spellEnd"/>
      <w:r w:rsidRPr="00AC5716">
        <w:rPr>
          <w:rFonts w:ascii="Arial" w:eastAsia="Arial" w:hAnsi="Arial" w:cs="Arial"/>
          <w:color w:val="000000"/>
          <w:sz w:val="21"/>
          <w:szCs w:val="21"/>
        </w:rPr>
        <w:t xml:space="preserve"> limitar el proceso a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con solicitudes de empresas que a pesar de ser </w:t>
      </w:r>
      <w:proofErr w:type="spellStart"/>
      <w:r w:rsidRPr="00AC5716">
        <w:rPr>
          <w:rFonts w:ascii="Arial" w:eastAsia="Arial" w:hAnsi="Arial" w:cs="Arial"/>
          <w:color w:val="000000"/>
          <w:sz w:val="21"/>
          <w:szCs w:val="21"/>
        </w:rPr>
        <w:t>mipyme</w:t>
      </w:r>
      <w:proofErr w:type="spellEnd"/>
      <w:r w:rsidRPr="00AC5716">
        <w:rPr>
          <w:rFonts w:ascii="Arial" w:eastAsia="Arial" w:hAnsi="Arial" w:cs="Arial"/>
          <w:color w:val="000000"/>
          <w:sz w:val="21"/>
          <w:szCs w:val="21"/>
        </w:rPr>
        <w:t xml:space="preserve"> no cumple con las condiciones </w:t>
      </w:r>
      <w:proofErr w:type="spellStart"/>
      <w:r w:rsidRPr="00AC5716">
        <w:rPr>
          <w:rFonts w:ascii="Arial" w:eastAsia="Arial" w:hAnsi="Arial" w:cs="Arial"/>
          <w:color w:val="000000"/>
          <w:sz w:val="21"/>
          <w:szCs w:val="21"/>
        </w:rPr>
        <w:t>tecnicas</w:t>
      </w:r>
      <w:proofErr w:type="spellEnd"/>
      <w:r w:rsidRPr="00AC5716">
        <w:rPr>
          <w:rFonts w:ascii="Arial" w:eastAsia="Arial" w:hAnsi="Arial" w:cs="Arial"/>
          <w:color w:val="000000"/>
          <w:sz w:val="21"/>
          <w:szCs w:val="21"/>
        </w:rPr>
        <w:t xml:space="preserve"> habilitantes para participar en el proceso de </w:t>
      </w:r>
      <w:proofErr w:type="spellStart"/>
      <w:r w:rsidRPr="00AC5716">
        <w:rPr>
          <w:rFonts w:ascii="Arial" w:eastAsia="Arial" w:hAnsi="Arial" w:cs="Arial"/>
          <w:color w:val="000000"/>
          <w:sz w:val="21"/>
          <w:szCs w:val="21"/>
        </w:rPr>
        <w:t>contratación</w:t>
      </w:r>
      <w:proofErr w:type="spellEnd"/>
      <w:r w:rsidRPr="00AC5716">
        <w:rPr>
          <w:rFonts w:ascii="Arial" w:eastAsia="Arial" w:hAnsi="Arial" w:cs="Arial"/>
          <w:color w:val="000000"/>
          <w:sz w:val="21"/>
          <w:szCs w:val="21"/>
        </w:rPr>
        <w:t xml:space="preserve"> convocado […] a la fecha de publicación de la resolución de apertura […]?»</w:t>
      </w:r>
    </w:p>
    <w:p w14:paraId="059C6055" w14:textId="77777777" w:rsidR="00E27BDF" w:rsidRPr="00AC5716" w:rsidRDefault="00E27BDF">
      <w:pPr>
        <w:jc w:val="both"/>
        <w:rPr>
          <w:rFonts w:ascii="Arial" w:eastAsia="Arial" w:hAnsi="Arial" w:cs="Arial"/>
          <w:color w:val="000000"/>
          <w:sz w:val="22"/>
          <w:szCs w:val="22"/>
        </w:rPr>
      </w:pPr>
    </w:p>
    <w:p w14:paraId="5B286329" w14:textId="77777777" w:rsidR="00E27BDF" w:rsidRPr="00AC5716" w:rsidRDefault="006C0DA8">
      <w:pPr>
        <w:spacing w:before="120"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 xml:space="preserve">El artículo 2.2.1.2.4.2.2. del Decreto 1082 de 2015 establece los requisitos que se deben acreditar en las «convocatorias limitadas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La primera limitación se deriva del inciso primero de la referida norma, en cuanto a las modalidades de selección de contratistas, en el entendido de que únicamente se puede limitar «la convocatoria del Proceso de Contratación en la modalidad de licitación pública, selección abreviada y concurso de méritos». El numeral primero limita cuantitativamente los procesos contractuales en los que se puede hacer esa «convocatoria limitada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en la medida en que el valor del proceso de contratación tendrá que ser «menor a ciento veinticinco mil dólares de los Estados Unidos de América». El numeral segundo establece dos exigencias: por un lado, que al menos tres (3)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nacionales presenten a la entidad la solicitud formal de limitar el proceso contractual; y por el otro, que hagan la solicitud por lo menos un día antes de la apertura del proceso de contratación. </w:t>
      </w:r>
    </w:p>
    <w:p w14:paraId="37710445" w14:textId="78DAF5F2" w:rsidR="00E27BDF" w:rsidRPr="00AC5716" w:rsidRDefault="006C0DA8">
      <w:pPr>
        <w:spacing w:before="120" w:line="276" w:lineRule="auto"/>
        <w:ind w:firstLine="708"/>
        <w:jc w:val="both"/>
        <w:rPr>
          <w:rFonts w:ascii="Arial" w:eastAsia="Arial" w:hAnsi="Arial" w:cs="Arial"/>
          <w:color w:val="000000"/>
          <w:sz w:val="22"/>
          <w:szCs w:val="22"/>
        </w:rPr>
      </w:pPr>
      <w:r w:rsidRPr="00AC5716">
        <w:rPr>
          <w:rFonts w:ascii="Arial" w:eastAsia="Arial" w:hAnsi="Arial" w:cs="Arial"/>
          <w:color w:val="000000"/>
          <w:sz w:val="22"/>
          <w:szCs w:val="22"/>
        </w:rPr>
        <w:t xml:space="preserve">Es importante resaltar dos aspectos, </w:t>
      </w:r>
      <w:r w:rsidRPr="00AC5716">
        <w:rPr>
          <w:rFonts w:ascii="Arial" w:eastAsia="Arial" w:hAnsi="Arial" w:cs="Arial"/>
          <w:i/>
          <w:color w:val="000000"/>
          <w:sz w:val="22"/>
          <w:szCs w:val="22"/>
        </w:rPr>
        <w:t xml:space="preserve">primero, </w:t>
      </w:r>
      <w:r w:rsidRPr="00AC5716">
        <w:rPr>
          <w:rFonts w:ascii="Arial" w:eastAsia="Arial" w:hAnsi="Arial" w:cs="Arial"/>
          <w:color w:val="000000"/>
          <w:sz w:val="22"/>
          <w:szCs w:val="22"/>
        </w:rPr>
        <w:t xml:space="preserve">que el documento que contiene la solicitud de limitación es diferente y autónomo en relación con el documento contentivo de la propuesta del oferente; y </w:t>
      </w:r>
      <w:r w:rsidRPr="00AC5716">
        <w:rPr>
          <w:rFonts w:ascii="Arial" w:eastAsia="Arial" w:hAnsi="Arial" w:cs="Arial"/>
          <w:i/>
          <w:color w:val="000000"/>
          <w:sz w:val="22"/>
          <w:szCs w:val="22"/>
        </w:rPr>
        <w:t>segundo</w:t>
      </w:r>
      <w:r w:rsidRPr="00AC5716">
        <w:rPr>
          <w:rFonts w:ascii="Arial" w:eastAsia="Arial" w:hAnsi="Arial" w:cs="Arial"/>
          <w:color w:val="000000"/>
          <w:sz w:val="22"/>
          <w:szCs w:val="22"/>
        </w:rPr>
        <w:t xml:space="preserve">, que la solicitud de limitación no podrá estar acompañada de la propuesta, así como tampoco de los documentos que se deben adjuntar a la misma, pues estos deben ser entregados a la entidad contratante dentro del término establecido en el respectivo cronograma, el cual se fija en el acto administrativo de apertura del proceso de contratación estatal, esto es, luego de </w:t>
      </w:r>
      <w:proofErr w:type="spellStart"/>
      <w:r w:rsidRPr="00AC5716">
        <w:rPr>
          <w:rFonts w:ascii="Arial" w:eastAsia="Arial" w:hAnsi="Arial" w:cs="Arial"/>
          <w:color w:val="000000"/>
          <w:sz w:val="22"/>
          <w:szCs w:val="22"/>
        </w:rPr>
        <w:t>concluído</w:t>
      </w:r>
      <w:proofErr w:type="spellEnd"/>
      <w:r w:rsidRPr="00AC5716">
        <w:rPr>
          <w:rFonts w:ascii="Arial" w:eastAsia="Arial" w:hAnsi="Arial" w:cs="Arial"/>
          <w:color w:val="000000"/>
          <w:sz w:val="22"/>
          <w:szCs w:val="22"/>
        </w:rPr>
        <w:t xml:space="preserve"> el plazo para pedir la </w:t>
      </w:r>
      <w:r w:rsidRPr="00AC5716">
        <w:rPr>
          <w:rFonts w:ascii="Arial" w:eastAsia="Arial" w:hAnsi="Arial" w:cs="Arial"/>
          <w:sz w:val="22"/>
          <w:szCs w:val="22"/>
        </w:rPr>
        <w:t>limitación</w:t>
      </w:r>
      <w:r w:rsidRPr="00AC5716">
        <w:rPr>
          <w:rFonts w:ascii="Arial" w:eastAsia="Arial" w:hAnsi="Arial" w:cs="Arial"/>
          <w:color w:val="000000"/>
          <w:sz w:val="22"/>
          <w:szCs w:val="22"/>
        </w:rPr>
        <w:t xml:space="preserve"> del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Tales conclusiones encuentran fundamento normativo en los artículos 2.2.1.1.2.1.5. y 2.2.1.2.1.2.20. del Decreto 1082 de 2015.</w:t>
      </w:r>
    </w:p>
    <w:p w14:paraId="05BDA5E2" w14:textId="4E9D59DD" w:rsidR="00E27BDF" w:rsidRPr="00AC5716" w:rsidRDefault="006C0DA8">
      <w:pPr>
        <w:spacing w:before="120" w:line="276" w:lineRule="auto"/>
        <w:ind w:firstLine="709"/>
        <w:jc w:val="both"/>
        <w:rPr>
          <w:rFonts w:ascii="Arial" w:eastAsia="Arial" w:hAnsi="Arial" w:cs="Arial"/>
          <w:color w:val="000000"/>
          <w:sz w:val="22"/>
          <w:szCs w:val="22"/>
        </w:rPr>
      </w:pPr>
      <w:r w:rsidRPr="00AC5716">
        <w:rPr>
          <w:rFonts w:ascii="Arial" w:eastAsia="Arial" w:hAnsi="Arial" w:cs="Arial"/>
          <w:color w:val="000000"/>
          <w:sz w:val="22"/>
          <w:szCs w:val="22"/>
        </w:rPr>
        <w:t>Así las cosas, para los efectos de la solicitud de limitación a la que se refiere el artículo 2.2.1.2.4.2.2. del Decreto 1082 de 2015, no puede ocurrir lo que usted supone como fundamento de las preguntas</w:t>
      </w:r>
      <w:r w:rsidR="00BB77BF" w:rsidRPr="00AC5716">
        <w:rPr>
          <w:rFonts w:ascii="Arial" w:eastAsia="Arial" w:hAnsi="Arial" w:cs="Arial"/>
          <w:color w:val="000000"/>
          <w:sz w:val="22"/>
          <w:szCs w:val="22"/>
        </w:rPr>
        <w:t>,</w:t>
      </w:r>
      <w:r w:rsidRPr="00AC5716">
        <w:rPr>
          <w:rFonts w:ascii="Arial" w:eastAsia="Arial" w:hAnsi="Arial" w:cs="Arial"/>
          <w:color w:val="000000"/>
          <w:sz w:val="22"/>
          <w:szCs w:val="22"/>
        </w:rPr>
        <w:t xml:space="preserve"> esto es, que alguno de los solicitantes «no cumpla con las condiciones técnicas habilitantes para participar en el proceso de contratación convocado», debido a que estos aspectos se </w:t>
      </w:r>
      <w:r w:rsidR="00BB77BF" w:rsidRPr="00AC5716">
        <w:rPr>
          <w:rFonts w:ascii="Arial" w:eastAsia="Arial" w:hAnsi="Arial" w:cs="Arial"/>
          <w:sz w:val="22"/>
          <w:szCs w:val="22"/>
        </w:rPr>
        <w:t>verifican</w:t>
      </w:r>
      <w:r w:rsidRPr="00AC5716">
        <w:rPr>
          <w:rFonts w:ascii="Arial" w:eastAsia="Arial" w:hAnsi="Arial" w:cs="Arial"/>
          <w:color w:val="000000"/>
          <w:sz w:val="22"/>
          <w:szCs w:val="22"/>
        </w:rPr>
        <w:t xml:space="preserve"> en una etapa posterior a la que el reglamento habilitó para pedir la limitación del proceso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Esto no quiere decir que la entidad </w:t>
      </w:r>
      <w:r w:rsidRPr="00AC5716">
        <w:rPr>
          <w:rFonts w:ascii="Arial" w:eastAsia="Arial" w:hAnsi="Arial" w:cs="Arial"/>
          <w:sz w:val="22"/>
          <w:szCs w:val="22"/>
        </w:rPr>
        <w:t>pública</w:t>
      </w:r>
      <w:r w:rsidRPr="00AC5716">
        <w:rPr>
          <w:rFonts w:ascii="Arial" w:eastAsia="Arial" w:hAnsi="Arial" w:cs="Arial"/>
          <w:color w:val="000000"/>
          <w:sz w:val="22"/>
          <w:szCs w:val="22"/>
        </w:rPr>
        <w:t xml:space="preserve"> no deba constatar el cumplimiento de los requisitos de procedencia de la solicitud de limitación a </w:t>
      </w:r>
      <w:proofErr w:type="spellStart"/>
      <w:r w:rsidRPr="00AC5716">
        <w:rPr>
          <w:rFonts w:ascii="Arial" w:eastAsia="Arial" w:hAnsi="Arial" w:cs="Arial"/>
          <w:color w:val="000000"/>
          <w:sz w:val="22"/>
          <w:szCs w:val="22"/>
        </w:rPr>
        <w:t>Mipymes</w:t>
      </w:r>
      <w:proofErr w:type="spellEnd"/>
      <w:r w:rsidRPr="00AC5716">
        <w:rPr>
          <w:rFonts w:ascii="Arial" w:eastAsia="Arial" w:hAnsi="Arial" w:cs="Arial"/>
          <w:color w:val="000000"/>
          <w:sz w:val="22"/>
          <w:szCs w:val="22"/>
        </w:rPr>
        <w:t xml:space="preserve">, pues esta debe </w:t>
      </w:r>
      <w:r w:rsidRPr="00AC5716">
        <w:rPr>
          <w:rFonts w:ascii="Arial" w:eastAsia="Arial" w:hAnsi="Arial" w:cs="Arial"/>
          <w:sz w:val="22"/>
          <w:szCs w:val="22"/>
        </w:rPr>
        <w:t>verificar</w:t>
      </w:r>
      <w:r w:rsidRPr="00AC5716">
        <w:rPr>
          <w:rFonts w:ascii="Arial" w:eastAsia="Arial" w:hAnsi="Arial" w:cs="Arial"/>
          <w:color w:val="000000"/>
          <w:sz w:val="22"/>
          <w:szCs w:val="22"/>
        </w:rPr>
        <w:t xml:space="preserve">, por ejemplo, que el solicitante sea una </w:t>
      </w:r>
      <w:proofErr w:type="spellStart"/>
      <w:r w:rsidRPr="00AC5716">
        <w:rPr>
          <w:rFonts w:ascii="Arial" w:eastAsia="Arial" w:hAnsi="Arial" w:cs="Arial"/>
          <w:color w:val="000000"/>
          <w:sz w:val="22"/>
          <w:szCs w:val="22"/>
        </w:rPr>
        <w:lastRenderedPageBreak/>
        <w:t>Mipyme</w:t>
      </w:r>
      <w:proofErr w:type="spellEnd"/>
      <w:r w:rsidR="00BB77BF" w:rsidRPr="00AC5716">
        <w:rPr>
          <w:rFonts w:ascii="Arial" w:eastAsia="Arial" w:hAnsi="Arial" w:cs="Arial"/>
          <w:color w:val="000000"/>
          <w:sz w:val="22"/>
          <w:szCs w:val="22"/>
        </w:rPr>
        <w:t>, que tenga más de un año de existencia y</w:t>
      </w:r>
      <w:r w:rsidRPr="00AC5716">
        <w:rPr>
          <w:rFonts w:ascii="Arial" w:eastAsia="Arial" w:hAnsi="Arial" w:cs="Arial"/>
          <w:color w:val="000000"/>
          <w:sz w:val="22"/>
          <w:szCs w:val="22"/>
        </w:rPr>
        <w:t xml:space="preserve"> que su objeto social tenga relación con el objeto del contrato a adjudicar.</w:t>
      </w:r>
    </w:p>
    <w:p w14:paraId="57918845" w14:textId="77777777" w:rsidR="00E27BDF" w:rsidRPr="00AC5716" w:rsidRDefault="00E27BDF">
      <w:pPr>
        <w:spacing w:line="276" w:lineRule="auto"/>
        <w:jc w:val="both"/>
        <w:rPr>
          <w:rFonts w:ascii="Arial" w:eastAsia="Arial" w:hAnsi="Arial" w:cs="Arial"/>
          <w:color w:val="000000"/>
          <w:sz w:val="22"/>
          <w:szCs w:val="22"/>
        </w:rPr>
      </w:pPr>
    </w:p>
    <w:p w14:paraId="0525AF9D" w14:textId="77777777" w:rsidR="00E27BDF" w:rsidRPr="00AC5716" w:rsidRDefault="006C0DA8" w:rsidP="00AC5716">
      <w:pPr>
        <w:ind w:left="709" w:right="758"/>
        <w:jc w:val="both"/>
        <w:rPr>
          <w:rFonts w:ascii="Arial" w:eastAsia="Arial" w:hAnsi="Arial" w:cs="Arial"/>
          <w:color w:val="000000"/>
          <w:sz w:val="21"/>
          <w:szCs w:val="21"/>
        </w:rPr>
      </w:pPr>
      <w:proofErr w:type="spellStart"/>
      <w:r w:rsidRPr="00AC5716">
        <w:rPr>
          <w:rFonts w:ascii="Arial" w:eastAsia="Arial" w:hAnsi="Arial" w:cs="Arial"/>
          <w:color w:val="000000"/>
          <w:sz w:val="21"/>
          <w:szCs w:val="21"/>
        </w:rPr>
        <w:t>ii</w:t>
      </w:r>
      <w:proofErr w:type="spellEnd"/>
      <w:r w:rsidRPr="00AC5716">
        <w:rPr>
          <w:rFonts w:ascii="Arial" w:eastAsia="Arial" w:hAnsi="Arial" w:cs="Arial"/>
          <w:color w:val="000000"/>
          <w:sz w:val="21"/>
          <w:szCs w:val="21"/>
        </w:rPr>
        <w:t xml:space="preserve">) ¿« La entidad debe valorar esto o solo aplicar </w:t>
      </w:r>
      <w:proofErr w:type="spellStart"/>
      <w:r w:rsidRPr="00AC5716">
        <w:rPr>
          <w:rFonts w:ascii="Arial" w:eastAsia="Arial" w:hAnsi="Arial" w:cs="Arial"/>
          <w:color w:val="000000"/>
          <w:sz w:val="21"/>
          <w:szCs w:val="21"/>
        </w:rPr>
        <w:t>exegeticamente</w:t>
      </w:r>
      <w:proofErr w:type="spellEnd"/>
      <w:r w:rsidRPr="00AC5716">
        <w:rPr>
          <w:rFonts w:ascii="Arial" w:eastAsia="Arial" w:hAnsi="Arial" w:cs="Arial"/>
          <w:color w:val="000000"/>
          <w:sz w:val="21"/>
          <w:szCs w:val="21"/>
        </w:rPr>
        <w:t xml:space="preserve"> la </w:t>
      </w:r>
      <w:r w:rsidRPr="00AC5716">
        <w:rPr>
          <w:rFonts w:ascii="Arial" w:eastAsia="Arial" w:hAnsi="Arial" w:cs="Arial"/>
          <w:sz w:val="21"/>
          <w:szCs w:val="21"/>
        </w:rPr>
        <w:t>verificación</w:t>
      </w:r>
      <w:r w:rsidRPr="00AC5716">
        <w:rPr>
          <w:rFonts w:ascii="Arial" w:eastAsia="Arial" w:hAnsi="Arial" w:cs="Arial"/>
          <w:color w:val="000000"/>
          <w:sz w:val="21"/>
          <w:szCs w:val="21"/>
        </w:rPr>
        <w:t xml:space="preserve"> de los documentos que se requieren en el </w:t>
      </w:r>
      <w:r w:rsidRPr="00AC5716">
        <w:rPr>
          <w:rFonts w:ascii="Arial" w:eastAsia="Arial" w:hAnsi="Arial" w:cs="Arial"/>
          <w:sz w:val="21"/>
          <w:szCs w:val="21"/>
        </w:rPr>
        <w:t>artículo</w:t>
      </w:r>
      <w:r w:rsidRPr="00AC5716">
        <w:rPr>
          <w:rFonts w:ascii="Arial" w:eastAsia="Arial" w:hAnsi="Arial" w:cs="Arial"/>
          <w:color w:val="000000"/>
          <w:sz w:val="21"/>
          <w:szCs w:val="21"/>
        </w:rPr>
        <w:t xml:space="preserve"> citado con el fin de no utilizar esta figura con fines no correspondientes»?</w:t>
      </w:r>
    </w:p>
    <w:p w14:paraId="11CEC6C5" w14:textId="77777777" w:rsidR="00E27BDF" w:rsidRPr="00AC5716" w:rsidRDefault="00E27BDF">
      <w:pPr>
        <w:spacing w:line="276" w:lineRule="auto"/>
        <w:jc w:val="both"/>
        <w:rPr>
          <w:rFonts w:ascii="Arial" w:eastAsia="Arial" w:hAnsi="Arial" w:cs="Arial"/>
          <w:color w:val="000000"/>
          <w:sz w:val="22"/>
          <w:szCs w:val="22"/>
        </w:rPr>
      </w:pPr>
    </w:p>
    <w:p w14:paraId="44AC37E7" w14:textId="47EBE15D" w:rsidR="00E27BDF" w:rsidRPr="00AC5716" w:rsidRDefault="006C0DA8">
      <w:pPr>
        <w:spacing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 xml:space="preserve">La entidad </w:t>
      </w:r>
      <w:r w:rsidR="00BB77BF" w:rsidRPr="00AC5716">
        <w:rPr>
          <w:rFonts w:ascii="Arial" w:eastAsia="Arial" w:hAnsi="Arial" w:cs="Arial"/>
          <w:color w:val="000000"/>
          <w:sz w:val="22"/>
          <w:szCs w:val="22"/>
        </w:rPr>
        <w:t>debe</w:t>
      </w:r>
      <w:r w:rsidRPr="00AC5716">
        <w:rPr>
          <w:rFonts w:ascii="Arial" w:eastAsia="Arial" w:hAnsi="Arial" w:cs="Arial"/>
          <w:color w:val="000000"/>
          <w:sz w:val="22"/>
          <w:szCs w:val="22"/>
        </w:rPr>
        <w:t xml:space="preserve"> verificar los requisitos establecidos en el artículo 2.2.1.2.4.2.2. del Decreto 1082 de 2015, en los términos explicados en este concepto, así como las otras exigencias que también fueron analizadas en el presente documento. De todos modos, como se dijo en relación con la primera pregunta, los requisitos habilitante</w:t>
      </w:r>
      <w:r w:rsidR="00BB77BF" w:rsidRPr="00AC5716">
        <w:rPr>
          <w:rFonts w:ascii="Arial" w:eastAsia="Arial" w:hAnsi="Arial" w:cs="Arial"/>
          <w:color w:val="000000"/>
          <w:sz w:val="22"/>
          <w:szCs w:val="22"/>
        </w:rPr>
        <w:t>s</w:t>
      </w:r>
      <w:r w:rsidRPr="00AC5716">
        <w:rPr>
          <w:rFonts w:ascii="Arial" w:eastAsia="Arial" w:hAnsi="Arial" w:cs="Arial"/>
          <w:color w:val="000000"/>
          <w:sz w:val="22"/>
          <w:szCs w:val="22"/>
        </w:rPr>
        <w:t xml:space="preserve"> </w:t>
      </w:r>
      <w:r w:rsidR="00BB77BF" w:rsidRPr="00AC5716">
        <w:rPr>
          <w:rFonts w:ascii="Arial" w:eastAsia="Arial" w:hAnsi="Arial" w:cs="Arial"/>
          <w:color w:val="000000"/>
          <w:sz w:val="22"/>
          <w:szCs w:val="22"/>
        </w:rPr>
        <w:t xml:space="preserve">tienen </w:t>
      </w:r>
      <w:r w:rsidRPr="00AC5716">
        <w:rPr>
          <w:rFonts w:ascii="Arial" w:eastAsia="Arial" w:hAnsi="Arial" w:cs="Arial"/>
          <w:color w:val="000000"/>
          <w:sz w:val="22"/>
          <w:szCs w:val="22"/>
        </w:rPr>
        <w:t xml:space="preserve">que </w:t>
      </w:r>
      <w:r w:rsidR="00BB77BF" w:rsidRPr="00AC5716">
        <w:rPr>
          <w:rFonts w:ascii="Arial" w:eastAsia="Arial" w:hAnsi="Arial" w:cs="Arial"/>
          <w:color w:val="000000"/>
          <w:sz w:val="22"/>
          <w:szCs w:val="22"/>
        </w:rPr>
        <w:t>valorarse</w:t>
      </w:r>
      <w:r w:rsidRPr="00AC5716">
        <w:rPr>
          <w:rFonts w:ascii="Arial" w:eastAsia="Arial" w:hAnsi="Arial" w:cs="Arial"/>
          <w:color w:val="000000"/>
          <w:sz w:val="22"/>
          <w:szCs w:val="22"/>
        </w:rPr>
        <w:t xml:space="preserve"> en la etapa contractual que corresponde, según lo establecido en el cronograma o en el reglamento, de acuerdo a la modalidad de selección de contratistas correspondiente.</w:t>
      </w:r>
    </w:p>
    <w:p w14:paraId="1DE96592" w14:textId="77777777" w:rsidR="00E27BDF" w:rsidRPr="00AC5716" w:rsidRDefault="00E27BDF">
      <w:pPr>
        <w:spacing w:line="276" w:lineRule="auto"/>
        <w:jc w:val="both"/>
        <w:rPr>
          <w:rFonts w:ascii="Arial" w:eastAsia="Arial" w:hAnsi="Arial" w:cs="Arial"/>
          <w:color w:val="000000"/>
          <w:sz w:val="22"/>
          <w:szCs w:val="22"/>
        </w:rPr>
      </w:pPr>
    </w:p>
    <w:p w14:paraId="1DEA64EA" w14:textId="77777777" w:rsidR="00E27BDF" w:rsidRPr="00AC5716" w:rsidRDefault="006C0DA8">
      <w:pPr>
        <w:spacing w:before="120" w:line="276" w:lineRule="auto"/>
        <w:jc w:val="both"/>
        <w:rPr>
          <w:rFonts w:ascii="Arial" w:eastAsia="Arial" w:hAnsi="Arial" w:cs="Arial"/>
          <w:color w:val="000000"/>
          <w:sz w:val="22"/>
          <w:szCs w:val="22"/>
        </w:rPr>
      </w:pPr>
      <w:r w:rsidRPr="00AC5716">
        <w:rPr>
          <w:rFonts w:ascii="Arial" w:eastAsia="Arial" w:hAnsi="Arial" w:cs="Arial"/>
          <w:color w:val="000000"/>
          <w:sz w:val="22"/>
          <w:szCs w:val="22"/>
        </w:rPr>
        <w:t>Este concepto tiene el alcance previsto en el artículo 28 del Código de Procedimiento Administrativo y de lo Contencioso Administrativo.</w:t>
      </w:r>
    </w:p>
    <w:p w14:paraId="442E1470" w14:textId="77777777" w:rsidR="00E27BDF" w:rsidRPr="00AC5716" w:rsidRDefault="00E27BDF">
      <w:pPr>
        <w:ind w:firstLine="709"/>
        <w:jc w:val="both"/>
        <w:rPr>
          <w:rFonts w:ascii="Arial" w:eastAsia="Arial" w:hAnsi="Arial" w:cs="Arial"/>
          <w:color w:val="000000"/>
          <w:sz w:val="22"/>
          <w:szCs w:val="22"/>
        </w:rPr>
      </w:pPr>
    </w:p>
    <w:p w14:paraId="36D2E5B4" w14:textId="77777777" w:rsidR="00E27BDF" w:rsidRPr="00AC5716" w:rsidRDefault="006C0DA8">
      <w:pPr>
        <w:spacing w:line="276" w:lineRule="auto"/>
        <w:rPr>
          <w:rFonts w:ascii="Arial" w:eastAsia="Arial" w:hAnsi="Arial" w:cs="Arial"/>
          <w:color w:val="000000"/>
          <w:sz w:val="22"/>
          <w:szCs w:val="22"/>
        </w:rPr>
      </w:pPr>
      <w:r w:rsidRPr="00AC5716">
        <w:rPr>
          <w:rFonts w:ascii="Arial" w:eastAsia="Arial" w:hAnsi="Arial" w:cs="Arial"/>
          <w:color w:val="000000"/>
          <w:sz w:val="22"/>
          <w:szCs w:val="22"/>
        </w:rPr>
        <w:t>Atentamente,</w:t>
      </w:r>
    </w:p>
    <w:p w14:paraId="53C2FC23" w14:textId="10ACF464" w:rsidR="00E27BDF" w:rsidRPr="00AC5716" w:rsidRDefault="00F24E2D">
      <w:pPr>
        <w:jc w:val="center"/>
        <w:rPr>
          <w:rFonts w:ascii="Arial" w:eastAsia="Arial" w:hAnsi="Arial" w:cs="Arial"/>
          <w:color w:val="000000"/>
          <w:sz w:val="18"/>
          <w:szCs w:val="18"/>
        </w:rPr>
      </w:pPr>
      <w:r>
        <w:rPr>
          <w:noProof/>
        </w:rPr>
        <w:drawing>
          <wp:inline distT="0" distB="0" distL="0" distR="0" wp14:anchorId="5628615D" wp14:editId="7BF778CF">
            <wp:extent cx="2773144" cy="988695"/>
            <wp:effectExtent l="0" t="0" r="0" b="0"/>
            <wp:docPr id="289366176"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0">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7A4FAB12" w14:textId="77777777" w:rsidR="00E27BDF" w:rsidRPr="00AC5716" w:rsidRDefault="00E27BDF">
      <w:pPr>
        <w:jc w:val="center"/>
        <w:rPr>
          <w:rFonts w:ascii="Arial" w:eastAsia="Arial" w:hAnsi="Arial" w:cs="Arial"/>
          <w:color w:val="000000"/>
          <w:sz w:val="18"/>
          <w:szCs w:val="18"/>
        </w:rPr>
      </w:pP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E27BDF" w:rsidRPr="00AC5716" w14:paraId="5E3E639F" w14:textId="77777777">
        <w:trPr>
          <w:trHeight w:val="315"/>
        </w:trPr>
        <w:tc>
          <w:tcPr>
            <w:tcW w:w="812" w:type="dxa"/>
            <w:vAlign w:val="center"/>
          </w:tcPr>
          <w:p w14:paraId="5D62C201"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30B992EE"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David Castellanos Carreño</w:t>
            </w:r>
          </w:p>
          <w:p w14:paraId="5A4683E2"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Contratista de la Subdirección de Gestión Contractual</w:t>
            </w:r>
          </w:p>
        </w:tc>
      </w:tr>
      <w:tr w:rsidR="00E27BDF" w:rsidRPr="00AC5716" w14:paraId="36FDEA4C" w14:textId="77777777">
        <w:trPr>
          <w:trHeight w:val="330"/>
        </w:trPr>
        <w:tc>
          <w:tcPr>
            <w:tcW w:w="812" w:type="dxa"/>
            <w:vAlign w:val="center"/>
          </w:tcPr>
          <w:p w14:paraId="1A80A188"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53C19EEB" w14:textId="3F318A39" w:rsidR="00E27BDF" w:rsidRPr="00AC5716" w:rsidRDefault="00BB77BF">
            <w:pPr>
              <w:rPr>
                <w:rFonts w:ascii="Arial" w:eastAsia="Arial" w:hAnsi="Arial" w:cs="Arial"/>
                <w:color w:val="000000"/>
                <w:sz w:val="16"/>
                <w:szCs w:val="16"/>
              </w:rPr>
            </w:pPr>
            <w:r w:rsidRPr="00AC5716">
              <w:rPr>
                <w:rFonts w:ascii="Arial" w:eastAsia="Arial" w:hAnsi="Arial" w:cs="Arial"/>
                <w:color w:val="000000"/>
                <w:sz w:val="16"/>
                <w:szCs w:val="16"/>
              </w:rPr>
              <w:t>Sebastián Ramírez Grisales</w:t>
            </w:r>
          </w:p>
          <w:p w14:paraId="45FA8645" w14:textId="6A907396" w:rsidR="00E27BDF" w:rsidRPr="00AC5716" w:rsidRDefault="00BB77BF">
            <w:pPr>
              <w:rPr>
                <w:rFonts w:ascii="Arial" w:eastAsia="Arial" w:hAnsi="Arial" w:cs="Arial"/>
                <w:color w:val="000000"/>
                <w:sz w:val="16"/>
                <w:szCs w:val="16"/>
              </w:rPr>
            </w:pPr>
            <w:r w:rsidRPr="00AC5716">
              <w:rPr>
                <w:rFonts w:ascii="Arial" w:eastAsia="Arial" w:hAnsi="Arial" w:cs="Arial"/>
                <w:color w:val="000000"/>
                <w:sz w:val="16"/>
                <w:szCs w:val="16"/>
              </w:rPr>
              <w:t>Contratista de la Subdirección de Gestión Contractual</w:t>
            </w:r>
          </w:p>
        </w:tc>
      </w:tr>
      <w:tr w:rsidR="00E27BDF" w14:paraId="2AC68231" w14:textId="77777777">
        <w:trPr>
          <w:trHeight w:val="300"/>
        </w:trPr>
        <w:tc>
          <w:tcPr>
            <w:tcW w:w="812" w:type="dxa"/>
            <w:vAlign w:val="center"/>
          </w:tcPr>
          <w:p w14:paraId="4612284C"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41A0B869" w14:textId="77777777" w:rsidR="00E27BDF" w:rsidRPr="00AC5716" w:rsidRDefault="006C0DA8">
            <w:pPr>
              <w:rPr>
                <w:rFonts w:ascii="Arial" w:eastAsia="Arial" w:hAnsi="Arial" w:cs="Arial"/>
                <w:color w:val="000000"/>
                <w:sz w:val="16"/>
                <w:szCs w:val="16"/>
              </w:rPr>
            </w:pPr>
            <w:r w:rsidRPr="00AC5716">
              <w:rPr>
                <w:rFonts w:ascii="Arial" w:eastAsia="Arial" w:hAnsi="Arial" w:cs="Arial"/>
                <w:color w:val="000000"/>
                <w:sz w:val="16"/>
                <w:szCs w:val="16"/>
              </w:rPr>
              <w:t>Fabián Gonzalo Marín Cortés</w:t>
            </w:r>
          </w:p>
          <w:p w14:paraId="4DCF74F4" w14:textId="77777777" w:rsidR="00E27BDF" w:rsidRDefault="006C0DA8">
            <w:pPr>
              <w:rPr>
                <w:rFonts w:ascii="Arial" w:eastAsia="Arial" w:hAnsi="Arial" w:cs="Arial"/>
                <w:color w:val="000000"/>
                <w:sz w:val="16"/>
                <w:szCs w:val="16"/>
              </w:rPr>
            </w:pPr>
            <w:r w:rsidRPr="00AC5716">
              <w:rPr>
                <w:rFonts w:ascii="Arial" w:eastAsia="Arial" w:hAnsi="Arial" w:cs="Arial"/>
                <w:color w:val="000000"/>
                <w:sz w:val="16"/>
                <w:szCs w:val="16"/>
              </w:rPr>
              <w:t>Subdirector de Gestión Contractual</w:t>
            </w:r>
          </w:p>
        </w:tc>
      </w:tr>
    </w:tbl>
    <w:p w14:paraId="1C7D6B91" w14:textId="77777777" w:rsidR="00E27BDF" w:rsidRDefault="00E27BDF">
      <w:pPr>
        <w:rPr>
          <w:rFonts w:ascii="Arial" w:eastAsia="Arial" w:hAnsi="Arial" w:cs="Arial"/>
          <w:color w:val="000000"/>
          <w:sz w:val="16"/>
          <w:szCs w:val="16"/>
        </w:rPr>
      </w:pPr>
    </w:p>
    <w:p w14:paraId="12946462" w14:textId="77777777" w:rsidR="00E27BDF" w:rsidRDefault="00E27BDF">
      <w:pPr>
        <w:jc w:val="both"/>
        <w:rPr>
          <w:color w:val="000000"/>
        </w:rPr>
      </w:pPr>
    </w:p>
    <w:sectPr w:rsidR="00E27BDF">
      <w:headerReference w:type="default" r:id="rId11"/>
      <w:footerReference w:type="default" r:id="rId12"/>
      <w:pgSz w:w="12240" w:h="15840"/>
      <w:pgMar w:top="2041" w:right="1701" w:bottom="1418"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B7123C" w14:textId="77777777" w:rsidR="008C5430" w:rsidRDefault="008C5430">
      <w:r>
        <w:separator/>
      </w:r>
    </w:p>
  </w:endnote>
  <w:endnote w:type="continuationSeparator" w:id="0">
    <w:p w14:paraId="39C28550" w14:textId="77777777" w:rsidR="008C5430" w:rsidRDefault="008C5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1E0B4" w14:textId="77777777" w:rsidR="00E27BDF" w:rsidRDefault="00E27BDF">
    <w:pPr>
      <w:pBdr>
        <w:top w:val="nil"/>
        <w:left w:val="nil"/>
        <w:bottom w:val="nil"/>
        <w:right w:val="nil"/>
        <w:between w:val="nil"/>
      </w:pBdr>
      <w:jc w:val="right"/>
      <w:rPr>
        <w:rFonts w:ascii="Arial" w:eastAsia="Arial" w:hAnsi="Arial" w:cs="Arial"/>
        <w:color w:val="000000"/>
        <w:sz w:val="18"/>
        <w:szCs w:val="18"/>
      </w:rPr>
    </w:pPr>
  </w:p>
  <w:p w14:paraId="1E263B40" w14:textId="77777777" w:rsidR="00E27BDF" w:rsidRDefault="006C0DA8" w:rsidP="00A2536F">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0973C9">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0973C9">
      <w:rPr>
        <w:rFonts w:ascii="Arial" w:eastAsia="Arial" w:hAnsi="Arial" w:cs="Arial"/>
        <w:b/>
        <w:noProof/>
        <w:color w:val="7F7F7F"/>
        <w:sz w:val="16"/>
        <w:szCs w:val="16"/>
      </w:rPr>
      <w:t>1</w:t>
    </w:r>
    <w:r>
      <w:rPr>
        <w:rFonts w:ascii="Arial" w:eastAsia="Arial" w:hAnsi="Arial" w:cs="Arial"/>
        <w:b/>
        <w:color w:val="7F7F7F"/>
        <w:sz w:val="16"/>
        <w:szCs w:val="16"/>
      </w:rPr>
      <w:fldChar w:fldCharType="end"/>
    </w:r>
  </w:p>
  <w:p w14:paraId="3BBBC245" w14:textId="77777777" w:rsidR="00E27BDF" w:rsidRDefault="006C0DA8">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30E83ACA" wp14:editId="5824278E">
          <wp:extent cx="3700130" cy="519139"/>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700130" cy="519139"/>
                  </a:xfrm>
                  <a:prstGeom prst="rect">
                    <a:avLst/>
                  </a:prstGeom>
                  <a:ln/>
                </pic:spPr>
              </pic:pic>
            </a:graphicData>
          </a:graphic>
        </wp:inline>
      </w:drawing>
    </w:r>
  </w:p>
  <w:p w14:paraId="2D189780" w14:textId="77777777" w:rsidR="00E27BDF" w:rsidRDefault="00E27BDF">
    <w:pPr>
      <w:pBdr>
        <w:top w:val="nil"/>
        <w:left w:val="nil"/>
        <w:bottom w:val="nil"/>
        <w:right w:val="nil"/>
        <w:between w:val="nil"/>
      </w:pBdr>
      <w:tabs>
        <w:tab w:val="center" w:pos="4419"/>
        <w:tab w:val="right" w:pos="8838"/>
      </w:tabs>
      <w:jc w:val="center"/>
      <w:rPr>
        <w:color w:val="000000"/>
        <w:sz w:val="18"/>
        <w:szCs w:val="18"/>
      </w:rPr>
    </w:pPr>
  </w:p>
  <w:p w14:paraId="2378D973" w14:textId="77777777" w:rsidR="00E27BDF" w:rsidRDefault="00E27BDF">
    <w:pPr>
      <w:pBdr>
        <w:top w:val="nil"/>
        <w:left w:val="nil"/>
        <w:bottom w:val="nil"/>
        <w:right w:val="nil"/>
        <w:between w:val="nil"/>
      </w:pBdr>
      <w:tabs>
        <w:tab w:val="center" w:pos="4419"/>
        <w:tab w:val="right" w:pos="8838"/>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69C262" w14:textId="77777777" w:rsidR="008C5430" w:rsidRDefault="008C5430">
      <w:r>
        <w:separator/>
      </w:r>
    </w:p>
  </w:footnote>
  <w:footnote w:type="continuationSeparator" w:id="0">
    <w:p w14:paraId="36582284" w14:textId="77777777" w:rsidR="008C5430" w:rsidRDefault="008C5430">
      <w:r>
        <w:continuationSeparator/>
      </w:r>
    </w:p>
  </w:footnote>
  <w:footnote w:id="1">
    <w:p w14:paraId="7E0E5A0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2o. definiciones. Para todos los efectos, se entiende por micro incluidas las Famiempresas pequeña y mediana empresa, toda unidad de explotación económica, realizada por persona natural o jurídica, en actividades empresariales, agropecuarias, industriales, comerciales o de servicios, rural o urbana, que responda a dos (2) de los siguientes parámetros:</w:t>
      </w:r>
    </w:p>
    <w:p w14:paraId="07A1EBBC"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»1. Mediana empresa: // a) Planta de personal entre cincuenta y uno (51) y doscientos (200) trabajadores, o // b) Activos totales por valor entre 100.000 a 610.000 UVT.  </w:t>
      </w:r>
    </w:p>
    <w:p w14:paraId="69DD4F8E"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Pequeña empresa: // a) Planta de personal entre once (11) y cincuenta (50) trabajadores, o // b) Activos totales por valor entre quinientos uno (501) y menos de cinco mil (5.000) salarios mínimos mensuales legales vigentes o,</w:t>
      </w:r>
    </w:p>
    <w:p w14:paraId="6A41E6A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»3. Microempresa: // a) Planta de personal no superior a los diez (10) trabajadores o, // b) Activos totales excluida la vivienda por valor inferior a quinientos (500) salarios mínimos mensuales legales vigentes».</w:t>
      </w:r>
    </w:p>
  </w:footnote>
  <w:footnote w:id="2">
    <w:p w14:paraId="7D39ABD7"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vertAlign w:val="superscript"/>
        </w:rPr>
        <w:footnoteRef/>
      </w:r>
    </w:p>
  </w:footnote>
  <w:footnote w:id="3">
    <w:p w14:paraId="288252E4"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12. Concurrencia de las Mipymes a los mercados de bienes y servicios que crea el funcionamiento del Estado. Con el fin de promover la concurrencia de las micro, pequeñas y medianas empresas a los mercados de bienes y servicios que crea el funcionamiento del Estado, las entidades indicadas en el artículo 2o de la Ley 80 de 1993 o de la ley que la modifique, consultando lo previsto en esa ley y en los convenios y acuerdos internacionales: […]</w:t>
      </w:r>
    </w:p>
    <w:p w14:paraId="2AB2AB01"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ab/>
        <w:t>»4. Las entidades públicas del orden nacional, departamental y municipal preferirán en condiciones de igual precio, calidad y capacidad de suministros y servicio a las Mipymes nacionales».</w:t>
      </w:r>
    </w:p>
    <w:p w14:paraId="2357055B"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4">
    <w:p w14:paraId="5C752C2E"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Allí se dijo: «La ley establece mecanismos indispensables para permitir la creación y operación de las Mipymes en un escenario de competitividad. Así, se abordan los siguientes frentes: 1. El acceso a mercados y bienes y servicios; 2. El desarrollo tecnológico y talento humano; 3. El acceso a mercados financieros, y; 4. La creación de unidades empresariales (…) Para garantizar el acceso de las Mipymes a los mercados de bienes y servicios cuando éstos son creados por el funcionamiento del Estado y promover la concurrencia, las entidades estatales (definidas en el artículo 2 de la ley 80 de 1993) deben: 1. Desarrollar programas de aplicación de las normas sobre contratación administrativa y las concordantes de ciencia y tecnología en lo atinente a la preferencia de normas nacionales, desagregación tecnológica y componente nacional en la adquisición de bienes y servicios; 2. Promocionar e incrementar, conforme con su presupuesto, la participación de las Mipymes como proveedoras de bienes y servicios que demanden; 3. Establecer procedimientos administrativos que faciliten que las Mipymes cumplan con los requisitos y trámites relativos a pedidos, recepción de bienes o servicios, condiciones de pago y acceso a la información sobre sus programas de inversión y gasto, y; 4. Preferir en condiciones de igual precio, calidad y capacidad de suministro y servicios a las Mipymes nacionales».</w:t>
      </w:r>
    </w:p>
    <w:p w14:paraId="162CBC6D"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5">
    <w:p w14:paraId="4D4561A9"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79C075D8"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6">
    <w:p w14:paraId="6775DD6C"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La TRM diaria se puede consultar en </w:t>
      </w:r>
      <w:hyperlink r:id="rId1">
        <w:r>
          <w:rPr>
            <w:rFonts w:ascii="Arial" w:eastAsia="Arial" w:hAnsi="Arial" w:cs="Arial"/>
            <w:color w:val="000000"/>
            <w:sz w:val="19"/>
            <w:szCs w:val="19"/>
            <w:u w:val="single"/>
          </w:rPr>
          <w:t>https://www.banrep.gov.co/es/estadisticas/trm</w:t>
        </w:r>
      </w:hyperlink>
      <w:r>
        <w:rPr>
          <w:rFonts w:ascii="Arial" w:eastAsia="Arial" w:hAnsi="Arial" w:cs="Arial"/>
          <w:color w:val="000000"/>
          <w:sz w:val="19"/>
          <w:szCs w:val="19"/>
        </w:rPr>
        <w:t>.</w:t>
      </w:r>
    </w:p>
    <w:p w14:paraId="2FBC5F1D"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7">
    <w:p w14:paraId="68999E12"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Fecha de expedición del Decreto 1082.</w:t>
      </w:r>
    </w:p>
    <w:p w14:paraId="6851FDC4"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8">
    <w:p w14:paraId="2C81314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w:t>
      </w:r>
      <w:hyperlink r:id="rId2">
        <w:r>
          <w:rPr>
            <w:rFonts w:ascii="Arial" w:eastAsia="Arial" w:hAnsi="Arial" w:cs="Arial"/>
            <w:color w:val="000000"/>
            <w:sz w:val="19"/>
            <w:szCs w:val="19"/>
            <w:u w:val="single"/>
          </w:rPr>
          <w:t>https://www.colombiacompra.gov.co/sites/cce_public/files/cce_documentos/umbrales_2020_-_2021.pdf</w:t>
        </w:r>
      </w:hyperlink>
    </w:p>
    <w:p w14:paraId="734B5769"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9">
    <w:p w14:paraId="2C655E5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2.2.1.1.2.1.5. Acto administrativo de apertura del proceso de selección. La Entidad Estatal debe ordenar la apertura del proceso de selección, mediante acto administrativo de carácter general, sin perjuicio de lo dispuesto en las Disposiciones Especiales para las modalidades de selección, previstas en el capítulo 2 del presente título.</w:t>
      </w:r>
    </w:p>
    <w:p w14:paraId="47E016FA"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w:t>
      </w:r>
    </w:p>
    <w:p w14:paraId="7ADE4E95"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»El acto administrativo de que trata el presente artículo debe señalar:</w:t>
      </w:r>
    </w:p>
    <w:p w14:paraId="3D799B32"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rFonts w:ascii="Arial" w:eastAsia="Arial" w:hAnsi="Arial" w:cs="Arial"/>
          <w:color w:val="000000"/>
          <w:sz w:val="19"/>
          <w:szCs w:val="19"/>
        </w:rPr>
        <w:t>[…]</w:t>
      </w:r>
    </w:p>
    <w:p w14:paraId="7D43AAB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»3.    El Cronograma. […]”.</w:t>
      </w:r>
    </w:p>
    <w:p w14:paraId="27FA5C92" w14:textId="77777777" w:rsidR="00E27BDF" w:rsidRDefault="00E27BDF">
      <w:pPr>
        <w:pBdr>
          <w:top w:val="nil"/>
          <w:left w:val="nil"/>
          <w:bottom w:val="nil"/>
          <w:right w:val="nil"/>
          <w:between w:val="nil"/>
        </w:pBdr>
        <w:jc w:val="both"/>
        <w:rPr>
          <w:rFonts w:ascii="Arial" w:eastAsia="Arial" w:hAnsi="Arial" w:cs="Arial"/>
          <w:color w:val="000000"/>
          <w:sz w:val="19"/>
          <w:szCs w:val="19"/>
        </w:rPr>
      </w:pPr>
    </w:p>
  </w:footnote>
  <w:footnote w:id="10">
    <w:p w14:paraId="4ABE1831"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“Artículo 2.2.1.2.1.2.20. Procedimiento para la selección abreviada de menor cuantía. Además de las normas generales establecidas en el presente título, las siguientes reglas son aplicables a la selección abreviada de menor cuantía:</w:t>
      </w:r>
    </w:p>
    <w:p w14:paraId="79B2F0C1"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p w14:paraId="60CB1DF6"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1.    En un término no mayor a tres (3) días hábiles contados a partir de la fecha de apertura del Proceso de Contratación los interesados deben manifestar su intención de participar, a través del mecanismo establecido para el efecto en los pliegos de condiciones.</w:t>
      </w:r>
    </w:p>
    <w:p w14:paraId="6B495E53" w14:textId="4EEF04D0"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w:t>
      </w:r>
    </w:p>
    <w:p w14:paraId="42987C19" w14:textId="77777777" w:rsidR="00ED3D3F" w:rsidRDefault="00ED3D3F">
      <w:pPr>
        <w:pBdr>
          <w:top w:val="nil"/>
          <w:left w:val="nil"/>
          <w:bottom w:val="nil"/>
          <w:right w:val="nil"/>
          <w:between w:val="nil"/>
        </w:pBdr>
        <w:ind w:firstLine="708"/>
        <w:jc w:val="both"/>
        <w:rPr>
          <w:rFonts w:ascii="Arial" w:eastAsia="Arial" w:hAnsi="Arial" w:cs="Arial"/>
          <w:color w:val="000000"/>
          <w:sz w:val="19"/>
          <w:szCs w:val="19"/>
        </w:rPr>
      </w:pPr>
    </w:p>
  </w:footnote>
  <w:footnote w:id="11">
    <w:p w14:paraId="78B48EEF"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Ibidem.</w:t>
      </w:r>
    </w:p>
    <w:p w14:paraId="41DC5F89"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12">
    <w:p w14:paraId="3E49D639"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Concepto emitido en el radicado 4201913000005674, dictado el 27 de septiembre de 2019.</w:t>
      </w:r>
    </w:p>
  </w:footnote>
  <w:footnote w:id="13">
    <w:p w14:paraId="31AC1F2D" w14:textId="77777777" w:rsidR="00E27BDF" w:rsidRDefault="006C0DA8">
      <w:pPr>
        <w:pBdr>
          <w:top w:val="nil"/>
          <w:left w:val="nil"/>
          <w:bottom w:val="nil"/>
          <w:right w:val="nil"/>
          <w:between w:val="nil"/>
        </w:pBdr>
        <w:jc w:val="both"/>
        <w:rPr>
          <w:rFonts w:ascii="Arial" w:eastAsia="Arial" w:hAnsi="Arial" w:cs="Arial"/>
          <w:color w:val="000000"/>
          <w:sz w:val="19"/>
          <w:szCs w:val="19"/>
        </w:rPr>
      </w:pPr>
      <w:r>
        <w:rPr>
          <w:vertAlign w:val="superscript"/>
        </w:rPr>
        <w:footnoteRef/>
      </w:r>
    </w:p>
    <w:p w14:paraId="3334CC5A"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 xml:space="preserve"> Ley 1450 de 2011: «Artículo 32. 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footnote>
  <w:footnote w:id="14">
    <w:p w14:paraId="0B906BB8"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p>
    <w:p w14:paraId="3E812F36"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rFonts w:ascii="Arial" w:eastAsia="Arial" w:hAnsi="Arial" w:cs="Arial"/>
          <w:color w:val="000000"/>
          <w:sz w:val="19"/>
          <w:szCs w:val="19"/>
        </w:rPr>
        <w:t>Ley 1450 de 2011: «Artículo 32. 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7CFCFB63"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 w:id="15">
    <w:p w14:paraId="1044FDD4" w14:textId="77777777" w:rsidR="00E27BDF" w:rsidRDefault="006C0DA8">
      <w:pPr>
        <w:pBdr>
          <w:top w:val="nil"/>
          <w:left w:val="nil"/>
          <w:bottom w:val="nil"/>
          <w:right w:val="nil"/>
          <w:between w:val="nil"/>
        </w:pBdr>
        <w:ind w:firstLine="708"/>
        <w:jc w:val="both"/>
        <w:rPr>
          <w:rFonts w:ascii="Arial" w:eastAsia="Arial" w:hAnsi="Arial" w:cs="Arial"/>
          <w:color w:val="000000"/>
          <w:sz w:val="19"/>
          <w:szCs w:val="19"/>
        </w:rPr>
      </w:pPr>
      <w:r>
        <w:rPr>
          <w:vertAlign w:val="superscript"/>
        </w:rPr>
        <w:footnoteRef/>
      </w:r>
      <w:r>
        <w:rPr>
          <w:rFonts w:ascii="Arial" w:eastAsia="Arial" w:hAnsi="Arial" w:cs="Arial"/>
          <w:color w:val="000000"/>
          <w:sz w:val="19"/>
          <w:szCs w:val="19"/>
        </w:rPr>
        <w:t xml:space="preserve"> Cfr. Concepto emitido en el radicado 4201913000005674, dictado el 27 de septiembre de 2019.</w:t>
      </w:r>
    </w:p>
    <w:p w14:paraId="41CA610B" w14:textId="77777777" w:rsidR="00E27BDF" w:rsidRDefault="00E27BDF">
      <w:pPr>
        <w:pBdr>
          <w:top w:val="nil"/>
          <w:left w:val="nil"/>
          <w:bottom w:val="nil"/>
          <w:right w:val="nil"/>
          <w:between w:val="nil"/>
        </w:pBdr>
        <w:ind w:firstLine="708"/>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EED637" w14:textId="77777777" w:rsidR="00E27BDF" w:rsidRDefault="006C0DA8">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3A81499C" wp14:editId="0CF1BCE4">
          <wp:simplePos x="0" y="0"/>
          <wp:positionH relativeFrom="column">
            <wp:posOffset>4382135</wp:posOffset>
          </wp:positionH>
          <wp:positionV relativeFrom="paragraph">
            <wp:posOffset>483225</wp:posOffset>
          </wp:positionV>
          <wp:extent cx="1257300" cy="516255"/>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011DDC"/>
    <w:multiLevelType w:val="multilevel"/>
    <w:tmpl w:val="6DDE7706"/>
    <w:lvl w:ilvl="0">
      <w:start w:val="1"/>
      <w:numFmt w:val="decimal"/>
      <w:lvlText w:val="%1."/>
      <w:lvlJc w:val="left"/>
      <w:pPr>
        <w:ind w:left="6601" w:hanging="360"/>
      </w:pPr>
      <w:rPr>
        <w:b/>
        <w:color w:val="000000"/>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DF"/>
    <w:rsid w:val="000973C9"/>
    <w:rsid w:val="00340E1E"/>
    <w:rsid w:val="00471720"/>
    <w:rsid w:val="00667293"/>
    <w:rsid w:val="006A1655"/>
    <w:rsid w:val="006C0DA8"/>
    <w:rsid w:val="007E2F69"/>
    <w:rsid w:val="008C5430"/>
    <w:rsid w:val="00A2536F"/>
    <w:rsid w:val="00A567C0"/>
    <w:rsid w:val="00AC5716"/>
    <w:rsid w:val="00BB77BF"/>
    <w:rsid w:val="00DB3E6A"/>
    <w:rsid w:val="00E27BDF"/>
    <w:rsid w:val="00ED09ED"/>
    <w:rsid w:val="00ED3D3F"/>
    <w:rsid w:val="00F24E2D"/>
    <w:rsid w:val="00FF0DAA"/>
    <w:rsid w:val="10BDE24E"/>
    <w:rsid w:val="113F60A0"/>
    <w:rsid w:val="1539F32C"/>
    <w:rsid w:val="18EEFDE4"/>
    <w:rsid w:val="22E030EA"/>
    <w:rsid w:val="25BAE248"/>
    <w:rsid w:val="4A8AABCF"/>
    <w:rsid w:val="64B545CD"/>
    <w:rsid w:val="6F2D72C7"/>
    <w:rsid w:val="713B1E5F"/>
    <w:rsid w:val="7BB1745F"/>
    <w:rsid w:val="7BF778CF"/>
    <w:rsid w:val="7E880A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BB1D8"/>
  <w15:docId w15:val="{17415381-3A80-9F4C-A81C-951A17DE5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s-CO"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Pr>
  </w:style>
  <w:style w:type="table" w:customStyle="1" w:styleId="a0">
    <w:basedOn w:val="NormalTable0"/>
    <w:tblPr>
      <w:tblStyleRowBandSize w:val="1"/>
      <w:tblStyleColBandSize w:val="1"/>
      <w:tblCellMar>
        <w:left w:w="115" w:type="dxa"/>
        <w:right w:w="115" w:type="dxa"/>
      </w:tblCellMar>
    </w:tbl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0973C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0973C9"/>
    <w:rPr>
      <w:rFonts w:ascii="Times New Roman" w:hAnsi="Times New Roman" w:cs="Times New Roman"/>
      <w:sz w:val="18"/>
      <w:szCs w:val="18"/>
    </w:rPr>
  </w:style>
  <w:style w:type="paragraph" w:styleId="Encabezado">
    <w:name w:val="header"/>
    <w:basedOn w:val="Normal"/>
    <w:link w:val="EncabezadoCar"/>
    <w:uiPriority w:val="99"/>
    <w:unhideWhenUsed/>
    <w:rsid w:val="00A2536F"/>
    <w:pPr>
      <w:tabs>
        <w:tab w:val="center" w:pos="4419"/>
        <w:tab w:val="right" w:pos="8838"/>
      </w:tabs>
    </w:pPr>
  </w:style>
  <w:style w:type="character" w:customStyle="1" w:styleId="EncabezadoCar">
    <w:name w:val="Encabezado Car"/>
    <w:basedOn w:val="Fuentedeprrafopredeter"/>
    <w:link w:val="Encabezado"/>
    <w:uiPriority w:val="99"/>
    <w:rsid w:val="00A2536F"/>
  </w:style>
  <w:style w:type="paragraph" w:styleId="Piedepgina">
    <w:name w:val="footer"/>
    <w:basedOn w:val="Normal"/>
    <w:link w:val="PiedepginaCar"/>
    <w:uiPriority w:val="99"/>
    <w:unhideWhenUsed/>
    <w:rsid w:val="00A2536F"/>
    <w:pPr>
      <w:tabs>
        <w:tab w:val="center" w:pos="4419"/>
        <w:tab w:val="right" w:pos="8838"/>
      </w:tabs>
    </w:pPr>
  </w:style>
  <w:style w:type="character" w:customStyle="1" w:styleId="PiedepginaCar">
    <w:name w:val="Pie de página Car"/>
    <w:basedOn w:val="Fuentedeprrafopredeter"/>
    <w:link w:val="Piedepgina"/>
    <w:uiPriority w:val="99"/>
    <w:rsid w:val="00A25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7536051">
      <w:bodyDiv w:val="1"/>
      <w:marLeft w:val="0"/>
      <w:marRight w:val="0"/>
      <w:marTop w:val="0"/>
      <w:marBottom w:val="0"/>
      <w:divBdr>
        <w:top w:val="none" w:sz="0" w:space="0" w:color="auto"/>
        <w:left w:val="none" w:sz="0" w:space="0" w:color="auto"/>
        <w:bottom w:val="none" w:sz="0" w:space="0" w:color="auto"/>
        <w:right w:val="none" w:sz="0" w:space="0" w:color="auto"/>
      </w:divBdr>
      <w:divsChild>
        <w:div w:id="1229417840">
          <w:marLeft w:val="0"/>
          <w:marRight w:val="0"/>
          <w:marTop w:val="0"/>
          <w:marBottom w:val="0"/>
          <w:divBdr>
            <w:top w:val="none" w:sz="0" w:space="0" w:color="auto"/>
            <w:left w:val="none" w:sz="0" w:space="0" w:color="auto"/>
            <w:bottom w:val="none" w:sz="0" w:space="0" w:color="auto"/>
            <w:right w:val="none" w:sz="0" w:space="0" w:color="auto"/>
          </w:divBdr>
          <w:divsChild>
            <w:div w:id="618335925">
              <w:marLeft w:val="0"/>
              <w:marRight w:val="0"/>
              <w:marTop w:val="0"/>
              <w:marBottom w:val="0"/>
              <w:divBdr>
                <w:top w:val="none" w:sz="0" w:space="0" w:color="auto"/>
                <w:left w:val="none" w:sz="0" w:space="0" w:color="auto"/>
                <w:bottom w:val="none" w:sz="0" w:space="0" w:color="auto"/>
                <w:right w:val="none" w:sz="0" w:space="0" w:color="auto"/>
              </w:divBdr>
              <w:divsChild>
                <w:div w:id="1656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971330">
      <w:bodyDiv w:val="1"/>
      <w:marLeft w:val="0"/>
      <w:marRight w:val="0"/>
      <w:marTop w:val="0"/>
      <w:marBottom w:val="0"/>
      <w:divBdr>
        <w:top w:val="none" w:sz="0" w:space="0" w:color="auto"/>
        <w:left w:val="none" w:sz="0" w:space="0" w:color="auto"/>
        <w:bottom w:val="none" w:sz="0" w:space="0" w:color="auto"/>
        <w:right w:val="none" w:sz="0" w:space="0" w:color="auto"/>
      </w:divBdr>
      <w:divsChild>
        <w:div w:id="1688866603">
          <w:marLeft w:val="0"/>
          <w:marRight w:val="0"/>
          <w:marTop w:val="0"/>
          <w:marBottom w:val="0"/>
          <w:divBdr>
            <w:top w:val="none" w:sz="0" w:space="0" w:color="auto"/>
            <w:left w:val="none" w:sz="0" w:space="0" w:color="auto"/>
            <w:bottom w:val="none" w:sz="0" w:space="0" w:color="auto"/>
            <w:right w:val="none" w:sz="0" w:space="0" w:color="auto"/>
          </w:divBdr>
          <w:divsChild>
            <w:div w:id="1611862924">
              <w:marLeft w:val="0"/>
              <w:marRight w:val="0"/>
              <w:marTop w:val="0"/>
              <w:marBottom w:val="0"/>
              <w:divBdr>
                <w:top w:val="none" w:sz="0" w:space="0" w:color="auto"/>
                <w:left w:val="none" w:sz="0" w:space="0" w:color="auto"/>
                <w:bottom w:val="none" w:sz="0" w:space="0" w:color="auto"/>
                <w:right w:val="none" w:sz="0" w:space="0" w:color="auto"/>
              </w:divBdr>
              <w:divsChild>
                <w:div w:id="41382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umbrales_2020_-_2021.pdf" TargetMode="External"/><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39B8A-0358-4560-8DD4-44F0762F94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C57122-5E03-43A0-989B-8AD49B54009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FBFE0A7-7913-4C69-9307-97053F6BD1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6424</Words>
  <Characters>35334</Characters>
  <Application>Microsoft Office Word</Application>
  <DocSecurity>0</DocSecurity>
  <Lines>294</Lines>
  <Paragraphs>83</Paragraphs>
  <ScaleCrop>false</ScaleCrop>
  <Company/>
  <LinksUpToDate>false</LinksUpToDate>
  <CharactersWithSpaces>41675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Carlos Mario Castrillón Endo</cp:lastModifiedBy>
  <cp:revision>7</cp:revision>
  <dcterms:created xsi:type="dcterms:W3CDTF">2020-07-24T15:29:00Z</dcterms:created>
  <dcterms:modified xsi:type="dcterms:W3CDTF">2020-08-10T19:32:00Z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