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81E93" w14:textId="77777777" w:rsidR="004C01E1" w:rsidRPr="00B01120" w:rsidRDefault="004C01E1" w:rsidP="004C01E1">
      <w:pPr>
        <w:spacing w:after="0" w:line="240" w:lineRule="auto"/>
        <w:rPr>
          <w:rFonts w:ascii="Verdana" w:eastAsia="Calibri" w:hAnsi="Verdana" w:cs="Arial"/>
          <w:b/>
          <w:bCs/>
          <w:kern w:val="2"/>
          <w:lang w:val="es-ES" w:eastAsia="es-ES"/>
          <w14:ligatures w14:val="standardContextual"/>
        </w:rPr>
      </w:pPr>
      <w:bookmarkStart w:id="0" w:name="_Hlk143780582"/>
      <w:r w:rsidRPr="00B01120">
        <w:rPr>
          <w:rFonts w:ascii="Verdana" w:eastAsia="Calibri" w:hAnsi="Verdana" w:cs="Arial"/>
          <w:b/>
          <w:bCs/>
          <w:kern w:val="2"/>
          <w:lang w:val="es-ES" w:eastAsia="es-ES"/>
          <w14:ligatures w14:val="standardContextual"/>
        </w:rPr>
        <w:t>EMPRESAS DE SERVICIOS PUBLICOS DOMICILIARIOS– Régimen jurídico</w:t>
      </w:r>
    </w:p>
    <w:p w14:paraId="7EA9E030" w14:textId="77777777" w:rsidR="004C01E1" w:rsidRPr="004C01E1" w:rsidRDefault="004C01E1" w:rsidP="004C01E1">
      <w:pPr>
        <w:spacing w:after="0" w:line="240" w:lineRule="auto"/>
        <w:rPr>
          <w:rFonts w:ascii="Verdana" w:eastAsia="Geomanist Light" w:hAnsi="Verdana" w:cs="Arial"/>
          <w:b/>
          <w:bCs/>
          <w:color w:val="000000"/>
          <w:kern w:val="2"/>
          <w:sz w:val="20"/>
          <w:szCs w:val="20"/>
          <w:lang w:val="es-ES"/>
          <w14:ligatures w14:val="standardContextual"/>
        </w:rPr>
      </w:pPr>
    </w:p>
    <w:p w14:paraId="560A9C21" w14:textId="77777777" w:rsidR="004C01E1" w:rsidRPr="004C01E1" w:rsidRDefault="004C01E1" w:rsidP="004C01E1">
      <w:pPr>
        <w:spacing w:after="0" w:line="240" w:lineRule="auto"/>
        <w:jc w:val="both"/>
        <w:rPr>
          <w:rFonts w:ascii="Verdana" w:eastAsia="Calibri" w:hAnsi="Verdana" w:cs="Arial"/>
          <w:color w:val="000000"/>
          <w:kern w:val="2"/>
          <w:sz w:val="20"/>
          <w:szCs w:val="20"/>
          <w:lang w:val="es-ES_tradnl" w:eastAsia="es-ES_tradnl"/>
          <w14:ligatures w14:val="standardContextual"/>
        </w:rPr>
      </w:pPr>
      <w:r w:rsidRPr="004C01E1">
        <w:rPr>
          <w:rFonts w:ascii="Verdana" w:eastAsia="Arial" w:hAnsi="Verdana" w:cs="Arial"/>
          <w:kern w:val="2"/>
          <w:sz w:val="20"/>
          <w:szCs w:val="20"/>
          <w:lang w:eastAsia="es-CO"/>
          <w14:ligatures w14:val="standardContextual"/>
        </w:rPr>
        <w:t xml:space="preserve">En relación con el régimen de contratación de las empresas de servicios públicos, </w:t>
      </w:r>
      <w:r w:rsidRPr="004C01E1">
        <w:rPr>
          <w:rFonts w:ascii="Verdana" w:eastAsia="Calibri" w:hAnsi="Verdana" w:cs="Arial"/>
          <w:color w:val="000000"/>
          <w:kern w:val="2"/>
          <w:sz w:val="20"/>
          <w:szCs w:val="20"/>
          <w:lang w:val="es-ES_tradnl" w:eastAsia="es-ES_tradnl"/>
          <w14:ligatures w14:val="standardContextual"/>
        </w:rPr>
        <w:t>el artículo 31 de la Ley 142 de 1994, modificado por el artículo 3 de la Ley 689 de 2001, dispone que</w:t>
      </w:r>
      <w:r w:rsidRPr="004C01E1">
        <w:rPr>
          <w:rFonts w:ascii="Verdana" w:eastAsia="Aptos" w:hAnsi="Verdana" w:cs="Arial"/>
          <w:color w:val="000000"/>
          <w:kern w:val="2"/>
          <w:sz w:val="20"/>
          <w:szCs w:val="20"/>
          <w:bdr w:val="none" w:sz="0" w:space="0" w:color="auto" w:frame="1"/>
          <w14:ligatures w14:val="standardContextual"/>
        </w:rPr>
        <w:t xml:space="preserve"> los contratos que celebren las entidades estatales que prestan los servicios públicos domiciliarios </w:t>
      </w:r>
      <w:r w:rsidRPr="004C01E1">
        <w:rPr>
          <w:rFonts w:ascii="Verdana" w:eastAsia="Aptos" w:hAnsi="Verdana" w:cs="Arial"/>
          <w:i/>
          <w:color w:val="000000"/>
          <w:kern w:val="2"/>
          <w:sz w:val="20"/>
          <w:szCs w:val="20"/>
          <w:bdr w:val="none" w:sz="0" w:space="0" w:color="auto" w:frame="1"/>
          <w14:ligatures w14:val="standardContextual"/>
        </w:rPr>
        <w:t>“no estarán sujetos a las disposiciones del Estatuto General de Contratación de la Administración Pública, salvo en lo que la presente ley disponga otra cosa”</w:t>
      </w:r>
      <w:r w:rsidRPr="004C01E1">
        <w:rPr>
          <w:rFonts w:ascii="Verdana" w:eastAsia="Calibri" w:hAnsi="Verdana" w:cs="Arial"/>
          <w:color w:val="000000"/>
          <w:kern w:val="2"/>
          <w:sz w:val="20"/>
          <w:szCs w:val="20"/>
          <w:lang w:val="es-ES_tradnl" w:eastAsia="es-ES_tradnl"/>
          <w14:ligatures w14:val="standardContextual"/>
        </w:rPr>
        <w:t>. Por su parte, el artículo 32 de la Ley 142 consagra el régimen de derecho privado para las empresas de servicios públicos domiciliarios, indicando que sus actos se rigen por los principios y reglas aplicables a los particulares.</w:t>
      </w:r>
    </w:p>
    <w:p w14:paraId="70148037" w14:textId="77777777" w:rsidR="004C01E1" w:rsidRPr="004C01E1" w:rsidRDefault="004C01E1" w:rsidP="004C01E1">
      <w:pPr>
        <w:spacing w:after="0" w:line="240" w:lineRule="auto"/>
        <w:jc w:val="both"/>
        <w:rPr>
          <w:rFonts w:ascii="Verdana" w:eastAsia="Calibri" w:hAnsi="Verdana" w:cs="Arial"/>
          <w:kern w:val="2"/>
          <w:sz w:val="20"/>
          <w:szCs w:val="20"/>
          <w:lang w:val="es-ES"/>
          <w14:ligatures w14:val="standardContextual"/>
        </w:rPr>
      </w:pPr>
    </w:p>
    <w:p w14:paraId="5D87C334" w14:textId="77777777" w:rsidR="004C01E1" w:rsidRPr="004C01E1" w:rsidRDefault="004C01E1" w:rsidP="004C01E1">
      <w:pPr>
        <w:spacing w:after="0" w:line="240" w:lineRule="auto"/>
        <w:jc w:val="both"/>
        <w:rPr>
          <w:rFonts w:ascii="Verdana" w:eastAsia="Calibri" w:hAnsi="Verdana" w:cs="Arial"/>
          <w:color w:val="000000"/>
          <w:kern w:val="2"/>
          <w:sz w:val="20"/>
          <w:szCs w:val="20"/>
          <w:lang w:val="es-ES" w:eastAsia="es-ES"/>
          <w14:ligatures w14:val="standardContextual"/>
        </w:rPr>
      </w:pPr>
      <w:r w:rsidRPr="004C01E1">
        <w:rPr>
          <w:rFonts w:ascii="Verdana" w:eastAsia="Times New Roman" w:hAnsi="Verdana" w:cs="Arial"/>
          <w:kern w:val="2"/>
          <w:sz w:val="20"/>
          <w:szCs w:val="20"/>
          <w:lang w:val="es-ES_tradnl" w:eastAsia="es-ES_tradnl"/>
          <w14:ligatures w14:val="standardContextual"/>
        </w:rPr>
        <w:t xml:space="preserve">Así, en la actividad contractual las empresas de servicios públicos se sujetan a las disposiciones del derecho privado, salvo en aquellos casos en que la normativa (Constitución Política, Ley 142 de 1994 u otras normas especiales) someta dicha actuación al </w:t>
      </w:r>
      <w:r w:rsidRPr="004C01E1">
        <w:rPr>
          <w:rFonts w:ascii="Verdana" w:eastAsia="Calibri" w:hAnsi="Verdana" w:cs="Arial"/>
          <w:color w:val="000000"/>
          <w:kern w:val="2"/>
          <w:sz w:val="20"/>
          <w:szCs w:val="20"/>
          <w:lang w:val="es-ES" w:eastAsia="es-ES"/>
          <w14:ligatures w14:val="standardContextual"/>
        </w:rPr>
        <w:t>al Estatuto General de Contratación de la Administración Pública.</w:t>
      </w:r>
    </w:p>
    <w:p w14:paraId="3C587A3B" w14:textId="77777777" w:rsidR="004C01E1" w:rsidRPr="004C01E1" w:rsidRDefault="004C01E1" w:rsidP="004C01E1">
      <w:pPr>
        <w:spacing w:after="0" w:line="240" w:lineRule="auto"/>
        <w:jc w:val="both"/>
        <w:rPr>
          <w:rFonts w:ascii="Verdana" w:eastAsia="Calibri" w:hAnsi="Verdana" w:cs="Arial"/>
          <w:color w:val="000000"/>
          <w:sz w:val="20"/>
          <w:szCs w:val="20"/>
          <w:lang w:val="es-ES" w:eastAsia="es-ES"/>
        </w:rPr>
      </w:pPr>
    </w:p>
    <w:p w14:paraId="29560932" w14:textId="63798906" w:rsidR="004C01E1" w:rsidRPr="00B01120" w:rsidRDefault="004C01E1" w:rsidP="004C01E1">
      <w:pPr>
        <w:tabs>
          <w:tab w:val="left" w:pos="709"/>
        </w:tabs>
        <w:spacing w:after="0" w:line="240" w:lineRule="auto"/>
        <w:jc w:val="both"/>
        <w:rPr>
          <w:rFonts w:ascii="Verdana" w:eastAsia="Calibri" w:hAnsi="Verdana" w:cs="Arial"/>
          <w:b/>
          <w:kern w:val="2"/>
          <w:lang w:val="es-ES" w:eastAsia="es-ES_tradnl"/>
          <w14:ligatures w14:val="standardContextual"/>
        </w:rPr>
      </w:pPr>
      <w:r w:rsidRPr="00B01120">
        <w:rPr>
          <w:rFonts w:ascii="Verdana" w:eastAsia="Calibri" w:hAnsi="Verdana" w:cs="Arial"/>
          <w:b/>
          <w:kern w:val="2"/>
          <w:lang w:val="es-ES_tradnl" w:eastAsia="es-ES_tradnl"/>
          <w14:ligatures w14:val="standardContextual"/>
        </w:rPr>
        <w:t>SECOP –</w:t>
      </w:r>
      <w:r w:rsidR="00B01120" w:rsidRPr="00B01120">
        <w:rPr>
          <w:rFonts w:ascii="Verdana" w:eastAsia="Calibri" w:hAnsi="Verdana" w:cs="Arial"/>
          <w:b/>
          <w:kern w:val="2"/>
          <w:lang w:val="es-ES_tradnl" w:eastAsia="es-ES_tradnl"/>
          <w14:ligatures w14:val="standardContextual"/>
        </w:rPr>
        <w:t xml:space="preserve"> </w:t>
      </w:r>
      <w:r w:rsidRPr="00B01120">
        <w:rPr>
          <w:rFonts w:ascii="Verdana" w:eastAsia="Calibri" w:hAnsi="Verdana" w:cs="Arial"/>
          <w:b/>
          <w:kern w:val="2"/>
          <w:lang w:val="es-ES_tradnl" w:eastAsia="es-ES_tradnl"/>
          <w14:ligatures w14:val="standardContextual"/>
        </w:rPr>
        <w:t>Ley 2195 de 2022 – Entidades exceptuadas</w:t>
      </w:r>
      <w:r w:rsidRPr="00B01120">
        <w:rPr>
          <w:rFonts w:ascii="Verdana" w:eastAsia="Calibri" w:hAnsi="Verdana" w:cs="Arial"/>
          <w:b/>
          <w:kern w:val="2"/>
          <w:lang w:val="es-ES" w:eastAsia="es-ES_tradnl"/>
          <w14:ligatures w14:val="standardContextual"/>
        </w:rPr>
        <w:t xml:space="preserve"> </w:t>
      </w:r>
    </w:p>
    <w:p w14:paraId="64AB7BE2" w14:textId="77777777" w:rsidR="004C01E1" w:rsidRPr="004C01E1" w:rsidRDefault="004C01E1" w:rsidP="004C01E1">
      <w:pPr>
        <w:tabs>
          <w:tab w:val="left" w:pos="709"/>
        </w:tabs>
        <w:spacing w:after="0" w:line="240" w:lineRule="auto"/>
        <w:jc w:val="both"/>
        <w:rPr>
          <w:rFonts w:ascii="Verdana" w:eastAsia="Calibri" w:hAnsi="Verdana" w:cs="Arial"/>
          <w:b/>
          <w:kern w:val="2"/>
          <w:sz w:val="20"/>
          <w:szCs w:val="20"/>
          <w:lang w:val="es-ES" w:eastAsia="es-ES_tradnl"/>
          <w14:ligatures w14:val="standardContextual"/>
        </w:rPr>
      </w:pPr>
    </w:p>
    <w:p w14:paraId="21BC7A33" w14:textId="77777777" w:rsidR="004C01E1" w:rsidRPr="004C01E1" w:rsidRDefault="004C01E1" w:rsidP="787155AE">
      <w:pPr>
        <w:spacing w:after="0" w:line="240" w:lineRule="auto"/>
        <w:jc w:val="both"/>
        <w:rPr>
          <w:rFonts w:ascii="Verdana" w:eastAsia="Calibri" w:hAnsi="Verdana" w:cs="Arial"/>
          <w:color w:val="000000"/>
          <w:kern w:val="2"/>
          <w:sz w:val="20"/>
          <w:szCs w:val="20"/>
          <w:lang w:val="es-ES"/>
          <w14:ligatures w14:val="standardContextual"/>
        </w:rPr>
      </w:pPr>
      <w:r w:rsidRPr="787155AE">
        <w:rPr>
          <w:rFonts w:ascii="Verdana" w:eastAsia="Calibri" w:hAnsi="Verdana" w:cs="Arial"/>
          <w:color w:val="000000"/>
          <w:kern w:val="2"/>
          <w:sz w:val="20"/>
          <w:szCs w:val="20"/>
          <w:lang w:val="es-ES"/>
          <w14:ligatures w14:val="standardContextual"/>
        </w:rPr>
        <w:t xml:space="preserve">Como puede observarse, el artículo 53 de la Ley 2195 de 2022 –que modifica el artículo 13 de la Ley 1150 de 2007– establece la obligación de emplear el SECOP II para la publicación de los documentos relacionados con la actividad contractual. En otras palabras, en el artículo 53 de la Ley 2195 de 2022 el Congreso de la República dispone que las entidades estatales exceptuadas del Estatuto General de Contratación de la Administración Pública deben tramitar en el SECOP II –es decir en la plataforma transaccional vigente– su actividad contractual. </w:t>
      </w:r>
    </w:p>
    <w:p w14:paraId="56A8BBFC" w14:textId="77777777" w:rsidR="004C01E1" w:rsidRPr="004C01E1" w:rsidRDefault="004C01E1" w:rsidP="004C01E1">
      <w:pPr>
        <w:spacing w:after="0" w:line="240" w:lineRule="auto"/>
        <w:jc w:val="both"/>
        <w:rPr>
          <w:rFonts w:ascii="Verdana" w:eastAsia="Calibri" w:hAnsi="Verdana" w:cs="Arial"/>
          <w:color w:val="000000"/>
          <w:kern w:val="2"/>
          <w:sz w:val="20"/>
          <w:szCs w:val="20"/>
          <w:lang w:val="es-ES_tradnl"/>
          <w14:ligatures w14:val="standardContextual"/>
        </w:rPr>
      </w:pPr>
    </w:p>
    <w:p w14:paraId="22409B00" w14:textId="77777777" w:rsidR="004C01E1" w:rsidRPr="004C01E1" w:rsidRDefault="004C01E1" w:rsidP="004C01E1">
      <w:pPr>
        <w:spacing w:after="0" w:line="240" w:lineRule="auto"/>
        <w:jc w:val="both"/>
        <w:rPr>
          <w:rFonts w:ascii="Verdana" w:eastAsia="Calibri" w:hAnsi="Verdana" w:cs="Arial"/>
          <w:color w:val="000000"/>
          <w:kern w:val="2"/>
          <w:sz w:val="20"/>
          <w:szCs w:val="20"/>
          <w:lang w:val="es-ES_tradnl"/>
          <w14:ligatures w14:val="standardContextual"/>
        </w:rPr>
      </w:pPr>
      <w:r w:rsidRPr="004C01E1">
        <w:rPr>
          <w:rFonts w:ascii="Verdana" w:eastAsia="Calibri" w:hAnsi="Verdana" w:cs="Arial"/>
          <w:color w:val="000000"/>
          <w:kern w:val="2"/>
          <w:sz w:val="20"/>
          <w:szCs w:val="20"/>
          <w14:ligatures w14:val="standardContextual"/>
        </w:rPr>
        <w:t xml:space="preserve">Cabe destacar que cuando la norma trascrita hace referencia a que el mencionado deber de publicidad debe cumplirse en el SECOP II </w:t>
      </w:r>
      <w:r w:rsidRPr="004C01E1">
        <w:rPr>
          <w:rFonts w:ascii="Verdana" w:eastAsia="Calibri" w:hAnsi="Verdana" w:cs="Arial"/>
          <w:color w:val="000000"/>
          <w:kern w:val="2"/>
          <w:sz w:val="20"/>
          <w:szCs w:val="20"/>
          <w:lang w:val="es-ES_tradnl"/>
          <w14:ligatures w14:val="standardContextual"/>
        </w:rPr>
        <w:t>“o la plataforma transaccional que haga sus veces” esto debe interpretarse en el sentido en que a pesar de que en la actualidad es el SECOP II la plataforma transaccional vigente en el Estado colombiano, si en el futuro esta es reemplazada por otra que tenga otra denominación, las entidades que tienen un régimen especial de contratación pública deben continuar publicando la documentación de su actividad transaccional en la nueva plataforma.</w:t>
      </w:r>
      <w:r w:rsidRPr="004C01E1">
        <w:rPr>
          <w:rFonts w:ascii="Verdana" w:eastAsia="Aptos" w:hAnsi="Verdana" w:cs="Times New Roman"/>
          <w:kern w:val="2"/>
          <w:sz w:val="20"/>
          <w:szCs w:val="20"/>
          <w14:ligatures w14:val="standardContextual"/>
        </w:rPr>
        <w:t xml:space="preserve"> </w:t>
      </w:r>
      <w:r w:rsidRPr="004C01E1">
        <w:rPr>
          <w:rFonts w:ascii="Verdana" w:eastAsia="Calibri" w:hAnsi="Verdana" w:cs="Arial"/>
          <w:color w:val="000000"/>
          <w:kern w:val="2"/>
          <w:sz w:val="20"/>
          <w:szCs w:val="20"/>
          <w14:ligatures w14:val="standardContextual"/>
        </w:rPr>
        <w:t>En ese sentido, la locución “la plataforma que haga sus veces” no puede interpretarse como una autorización para que las entidades obligadas en virtud del artículo 53 de la Ley 2195 de 2022 puedan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w:t>
      </w:r>
    </w:p>
    <w:p w14:paraId="23870A6C" w14:textId="77777777" w:rsidR="004C01E1" w:rsidRPr="004C01E1" w:rsidRDefault="004C01E1" w:rsidP="004C01E1">
      <w:pPr>
        <w:spacing w:after="0" w:line="240" w:lineRule="auto"/>
        <w:jc w:val="both"/>
        <w:rPr>
          <w:rFonts w:ascii="Verdana" w:eastAsia="Aptos" w:hAnsi="Verdana" w:cs="Arial"/>
          <w:color w:val="000000"/>
          <w:kern w:val="2"/>
          <w:sz w:val="20"/>
          <w:szCs w:val="20"/>
          <w14:ligatures w14:val="standardContextual"/>
        </w:rPr>
      </w:pPr>
    </w:p>
    <w:p w14:paraId="0EA78649" w14:textId="77777777" w:rsidR="004C01E1" w:rsidRPr="00B01120" w:rsidRDefault="004C01E1" w:rsidP="004C01E1">
      <w:pPr>
        <w:tabs>
          <w:tab w:val="left" w:pos="709"/>
        </w:tabs>
        <w:spacing w:after="0" w:line="240" w:lineRule="auto"/>
        <w:jc w:val="both"/>
        <w:rPr>
          <w:rFonts w:ascii="Verdana" w:eastAsia="Calibri" w:hAnsi="Verdana" w:cs="Arial"/>
          <w:b/>
          <w:color w:val="000000"/>
          <w:kern w:val="2"/>
          <w14:ligatures w14:val="standardContextual"/>
        </w:rPr>
      </w:pPr>
      <w:r w:rsidRPr="00B01120">
        <w:rPr>
          <w:rFonts w:ascii="Verdana" w:eastAsia="Calibri" w:hAnsi="Verdana" w:cs="Arial"/>
          <w:b/>
          <w:kern w:val="2"/>
          <w:lang w:val="es-ES_tradnl" w:eastAsia="es-ES_tradnl"/>
          <w14:ligatures w14:val="standardContextual"/>
        </w:rPr>
        <w:t xml:space="preserve">CIRCULAR 002 de 2024 – Recursos públicos </w:t>
      </w:r>
    </w:p>
    <w:p w14:paraId="4BD76913" w14:textId="77777777" w:rsidR="004C01E1" w:rsidRPr="004C01E1" w:rsidRDefault="004C01E1" w:rsidP="004C01E1">
      <w:pPr>
        <w:spacing w:after="0" w:line="240" w:lineRule="auto"/>
        <w:jc w:val="both"/>
        <w:rPr>
          <w:rFonts w:ascii="Verdana" w:eastAsia="Calibri" w:hAnsi="Verdana" w:cs="Arial"/>
          <w:bCs/>
          <w:kern w:val="2"/>
          <w:sz w:val="20"/>
          <w:szCs w:val="20"/>
          <w:lang w:val="es-ES_tradnl" w:eastAsia="es-ES_tradnl"/>
          <w14:ligatures w14:val="standardContextual"/>
        </w:rPr>
      </w:pPr>
    </w:p>
    <w:p w14:paraId="21E6CD7A" w14:textId="77777777" w:rsidR="004C01E1" w:rsidRPr="004C01E1" w:rsidRDefault="004C01E1" w:rsidP="004C01E1">
      <w:pPr>
        <w:spacing w:after="0" w:line="240" w:lineRule="auto"/>
        <w:jc w:val="both"/>
        <w:rPr>
          <w:rFonts w:ascii="Verdana" w:eastAsia="Calibri" w:hAnsi="Verdana" w:cs="Arial"/>
          <w:bCs/>
          <w:color w:val="000000"/>
          <w:kern w:val="2"/>
          <w:sz w:val="20"/>
          <w:szCs w:val="20"/>
          <w:lang w:val="es-ES_tradnl"/>
          <w14:ligatures w14:val="standardContextual"/>
        </w:rPr>
      </w:pPr>
      <w:r w:rsidRPr="004C01E1">
        <w:rPr>
          <w:rFonts w:ascii="Verdana" w:eastAsia="Calibri" w:hAnsi="Verdana" w:cs="Arial"/>
          <w:bCs/>
          <w:color w:val="000000"/>
          <w:kern w:val="2"/>
          <w:sz w:val="20"/>
          <w:szCs w:val="20"/>
          <w:lang w:val="es-ES_tradnl"/>
          <w14:ligatures w14:val="standardContextual"/>
        </w:rPr>
        <w:t xml:space="preserve">Sobre la procedencia de los recursos para efectos de la publicidad de la actividad contractual de las entidades exceptuadas, es preciso indicar que la Agencia Nacional de Contratación Pública – Colombia Compra Eficiente expidió Circular Externa 002 del 23 de agosto de 2024, en la cual señaló lo siguiente: </w:t>
      </w:r>
    </w:p>
    <w:p w14:paraId="2E65976A" w14:textId="77777777" w:rsidR="004C01E1" w:rsidRPr="004C01E1" w:rsidRDefault="004C01E1" w:rsidP="004C01E1">
      <w:pPr>
        <w:spacing w:after="0" w:line="240" w:lineRule="auto"/>
        <w:jc w:val="both"/>
        <w:rPr>
          <w:rFonts w:ascii="Verdana" w:eastAsia="Calibri" w:hAnsi="Verdana" w:cs="Arial"/>
          <w:bCs/>
          <w:color w:val="000000"/>
          <w:kern w:val="2"/>
          <w:sz w:val="20"/>
          <w:szCs w:val="20"/>
          <w:lang w:val="es-ES_tradnl"/>
          <w14:ligatures w14:val="standardContextual"/>
        </w:rPr>
      </w:pPr>
    </w:p>
    <w:p w14:paraId="0A6E8C09" w14:textId="77777777" w:rsidR="004C01E1" w:rsidRPr="004C01E1" w:rsidRDefault="004C01E1" w:rsidP="004C01E1">
      <w:pPr>
        <w:spacing w:after="0" w:line="240" w:lineRule="auto"/>
        <w:jc w:val="both"/>
        <w:rPr>
          <w:rFonts w:ascii="Verdana" w:eastAsia="Calibri" w:hAnsi="Verdana" w:cs="Arial"/>
          <w:bCs/>
          <w:color w:val="000000"/>
          <w:kern w:val="2"/>
          <w:sz w:val="20"/>
          <w:szCs w:val="20"/>
          <w:lang w:val="es-ES_tradnl"/>
          <w14:ligatures w14:val="standardContextual"/>
        </w:rPr>
      </w:pPr>
      <w:r w:rsidRPr="004C01E1">
        <w:rPr>
          <w:rFonts w:ascii="Verdana" w:eastAsia="Calibri" w:hAnsi="Verdana" w:cs="Arial"/>
          <w:bCs/>
          <w:color w:val="000000"/>
          <w:kern w:val="2"/>
          <w:sz w:val="20"/>
          <w:szCs w:val="20"/>
          <w:lang w:val="es-ES_tradnl"/>
          <w14:ligatures w14:val="standardContextual"/>
        </w:rPr>
        <w:t xml:space="preserve">“La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De conformidad con lo expuesto, teniendo en cuenta que el artículo 53 complementa la disposición contenida en el artículo 3 de la Ley 1150 de 2007, debe entenderse que la contratación a la que se refiere es aquella realizada con recursos públicos, cuya información es la que debe publicarse en el SECOP II.” </w:t>
      </w:r>
    </w:p>
    <w:p w14:paraId="4DFEF688" w14:textId="77777777" w:rsidR="004C01E1" w:rsidRPr="004C01E1" w:rsidRDefault="004C01E1" w:rsidP="004C01E1">
      <w:pPr>
        <w:spacing w:after="0" w:line="240" w:lineRule="auto"/>
        <w:jc w:val="both"/>
        <w:rPr>
          <w:rFonts w:ascii="Verdana" w:eastAsia="Calibri" w:hAnsi="Verdana" w:cs="Arial"/>
          <w:color w:val="000000"/>
          <w:sz w:val="20"/>
          <w:szCs w:val="20"/>
          <w:lang w:val="es-ES" w:eastAsia="es-ES"/>
        </w:rPr>
      </w:pPr>
    </w:p>
    <w:p w14:paraId="4944A143" w14:textId="77777777" w:rsidR="004C01E1" w:rsidRPr="00B01120" w:rsidRDefault="004C01E1" w:rsidP="004C01E1">
      <w:pPr>
        <w:spacing w:after="0" w:line="240" w:lineRule="auto"/>
        <w:jc w:val="both"/>
        <w:rPr>
          <w:rFonts w:ascii="Verdana" w:eastAsia="Times New Roman" w:hAnsi="Verdana" w:cs="Arial"/>
          <w:b/>
          <w:bCs/>
          <w:kern w:val="2"/>
          <w:lang w:eastAsia="es-ES_tradnl"/>
          <w14:ligatures w14:val="standardContextual"/>
        </w:rPr>
      </w:pPr>
      <w:r w:rsidRPr="00B01120">
        <w:rPr>
          <w:rFonts w:ascii="Verdana" w:eastAsia="Times New Roman" w:hAnsi="Verdana" w:cs="Arial"/>
          <w:b/>
          <w:bCs/>
          <w:kern w:val="2"/>
          <w:lang w:eastAsia="es-ES_tradnl"/>
          <w14:ligatures w14:val="standardContextual"/>
        </w:rPr>
        <w:t xml:space="preserve">DOCUMENTOS TIPO – Fundamento normativo – Obligatoriedad – Ámbito de aplicación – Entidades sometidas  </w:t>
      </w:r>
    </w:p>
    <w:p w14:paraId="68EB69B8" w14:textId="77777777" w:rsidR="004C01E1" w:rsidRPr="004C01E1" w:rsidRDefault="004C01E1" w:rsidP="004C01E1">
      <w:pPr>
        <w:spacing w:after="0" w:line="240" w:lineRule="auto"/>
        <w:jc w:val="both"/>
        <w:rPr>
          <w:rFonts w:ascii="Verdana" w:eastAsia="Times New Roman" w:hAnsi="Verdana" w:cs="Arial"/>
          <w:b/>
          <w:bCs/>
          <w:kern w:val="2"/>
          <w:sz w:val="20"/>
          <w:szCs w:val="20"/>
          <w:lang w:eastAsia="es-ES_tradnl"/>
          <w14:ligatures w14:val="standardContextual"/>
        </w:rPr>
      </w:pPr>
    </w:p>
    <w:p w14:paraId="2A43A4A4" w14:textId="77777777" w:rsidR="004C01E1" w:rsidRPr="004C01E1" w:rsidRDefault="004C01E1" w:rsidP="004C01E1">
      <w:pPr>
        <w:spacing w:after="0" w:line="240" w:lineRule="auto"/>
        <w:jc w:val="both"/>
        <w:rPr>
          <w:rFonts w:ascii="Verdana" w:eastAsia="Calibri" w:hAnsi="Verdana" w:cs="Arial"/>
          <w:kern w:val="2"/>
          <w:sz w:val="20"/>
          <w:szCs w:val="20"/>
          <w:lang w:val="es-ES_tradnl" w:eastAsia="es-ES"/>
          <w14:ligatures w14:val="standardContextual"/>
        </w:rPr>
      </w:pPr>
      <w:r w:rsidRPr="004C01E1">
        <w:rPr>
          <w:rFonts w:ascii="Verdana" w:eastAsia="Calibri" w:hAnsi="Verdana" w:cs="Arial"/>
          <w:kern w:val="2"/>
          <w:sz w:val="20"/>
          <w:szCs w:val="20"/>
          <w:lang w:val="es-ES_tradnl" w:eastAsia="es-ES"/>
          <w14:ligatures w14:val="standardContextual"/>
        </w:rPr>
        <w:t xml:space="preserve">[…] la Ley 2022 de 2020 […] modificó el contenido del parágrafo 7 del artículo 2 de la Ley 1150 de 2007, que había sido adicionado por la Ley 1882 de 2018. Con esta modificación, si bien se mantuvo el mandato de aplicación obligatoria de los Documentos Tipo por parte de las entidades sometidas al </w:t>
      </w:r>
      <w:r w:rsidRPr="004C01E1">
        <w:rPr>
          <w:rFonts w:ascii="Verdana" w:eastAsia="Calibri" w:hAnsi="Verdana" w:cs="Arial"/>
          <w:bCs/>
          <w:kern w:val="2"/>
          <w:sz w:val="20"/>
          <w:szCs w:val="20"/>
          <w:lang w:val="es-ES_tradnl" w:eastAsia="es-ES_tradnl"/>
          <w14:ligatures w14:val="standardContextual"/>
        </w:rPr>
        <w:t>EGCAP</w:t>
      </w:r>
      <w:r w:rsidRPr="004C01E1">
        <w:rPr>
          <w:rFonts w:ascii="Verdana" w:eastAsia="Calibri" w:hAnsi="Verdana" w:cs="Arial"/>
          <w:kern w:val="2"/>
          <w:sz w:val="20"/>
          <w:szCs w:val="20"/>
          <w:lang w:val="es-ES_tradnl" w:eastAsia="es-ES"/>
          <w14:ligatures w14:val="standardContextual"/>
        </w:rPr>
        <w:t xml:space="preserve">, se atribuyó a la </w:t>
      </w:r>
      <w:r w:rsidRPr="004C01E1">
        <w:rPr>
          <w:rFonts w:ascii="Verdana" w:eastAsia="Calibri" w:hAnsi="Verdana" w:cs="Arial"/>
          <w:kern w:val="2"/>
          <w:sz w:val="20"/>
          <w:szCs w:val="20"/>
          <w:lang w:val="es-ES_tradnl" w:eastAsia="es-ES_tradnl"/>
          <w14:ligatures w14:val="standardContextual"/>
        </w:rPr>
        <w:t xml:space="preserve">Agencia Nacional de Contratación Pública – Colombia Compra Eficiente la competencia para su expedición. </w:t>
      </w:r>
    </w:p>
    <w:p w14:paraId="000FF788" w14:textId="77777777" w:rsidR="004C01E1" w:rsidRPr="004C01E1" w:rsidRDefault="004C01E1" w:rsidP="004C01E1">
      <w:pPr>
        <w:spacing w:after="0" w:line="240" w:lineRule="auto"/>
        <w:jc w:val="both"/>
        <w:rPr>
          <w:rFonts w:ascii="Verdana" w:eastAsia="Calibri" w:hAnsi="Verdana" w:cs="Arial"/>
          <w:kern w:val="2"/>
          <w:sz w:val="20"/>
          <w:szCs w:val="20"/>
          <w:lang w:val="es-ES_tradnl" w:eastAsia="es-ES"/>
          <w14:ligatures w14:val="standardContextual"/>
        </w:rPr>
      </w:pPr>
    </w:p>
    <w:p w14:paraId="7F97C89C" w14:textId="77777777" w:rsidR="004C01E1" w:rsidRPr="004C01E1" w:rsidRDefault="004C01E1" w:rsidP="004C01E1">
      <w:pPr>
        <w:spacing w:after="0" w:line="240" w:lineRule="auto"/>
        <w:jc w:val="both"/>
        <w:rPr>
          <w:rFonts w:ascii="Verdana" w:eastAsia="Calibri" w:hAnsi="Verdana" w:cs="Arial"/>
          <w:kern w:val="2"/>
          <w:sz w:val="20"/>
          <w:szCs w:val="20"/>
          <w14:ligatures w14:val="standardContextual"/>
        </w:rPr>
      </w:pPr>
      <w:r w:rsidRPr="004C01E1">
        <w:rPr>
          <w:rFonts w:ascii="Verdana" w:eastAsia="Calibri" w:hAnsi="Verdana" w:cs="Arial"/>
          <w:kern w:val="2"/>
          <w:sz w:val="20"/>
          <w:szCs w:val="20"/>
          <w:lang w:eastAsia="es-ES_tradnl"/>
          <w14:ligatures w14:val="standardContextual"/>
        </w:rPr>
        <w:t xml:space="preserve">De acuerdo con lo expuesto, </w:t>
      </w:r>
      <w:r w:rsidRPr="004C01E1">
        <w:rPr>
          <w:rFonts w:ascii="Verdana" w:eastAsia="Calibri" w:hAnsi="Verdana" w:cs="Arial"/>
          <w:kern w:val="2"/>
          <w:sz w:val="20"/>
          <w:szCs w:val="20"/>
          <w:bdr w:val="none" w:sz="0" w:space="0" w:color="auto" w:frame="1"/>
          <w:lang w:eastAsia="es-ES_tradnl"/>
          <w14:ligatures w14:val="standardContextual"/>
        </w:rPr>
        <w:t xml:space="preserve">los Documentos Tipo adoptados son obligatorios para las Entidades Estatales regidas por el </w:t>
      </w:r>
      <w:r w:rsidRPr="004C01E1">
        <w:rPr>
          <w:rFonts w:ascii="Verdana" w:eastAsia="Calibri" w:hAnsi="Verdana" w:cs="Arial"/>
          <w:bCs/>
          <w:kern w:val="2"/>
          <w:sz w:val="20"/>
          <w:szCs w:val="20"/>
          <w:lang w:val="es-ES_tradnl" w:eastAsia="es-ES_tradnl"/>
          <w14:ligatures w14:val="standardContextual"/>
        </w:rPr>
        <w:t>EGCAP</w:t>
      </w:r>
      <w:r w:rsidRPr="004C01E1">
        <w:rPr>
          <w:rFonts w:ascii="Verdana" w:eastAsia="Calibri" w:hAnsi="Verdana" w:cs="Arial"/>
          <w:kern w:val="2"/>
          <w:sz w:val="20"/>
          <w:szCs w:val="20"/>
          <w:bdr w:val="none" w:sz="0" w:space="0" w:color="auto" w:frame="1"/>
          <w:lang w:eastAsia="es-ES_tradnl"/>
          <w14:ligatures w14:val="standardContextual"/>
        </w:rPr>
        <w:t xml:space="preserve"> que adelanten Procesos de Contratación mediante las modalidades de selección y objetos contractuales cobijados por alguno de los Documentos Tipo vigentes en los diferentes sectores. </w:t>
      </w:r>
      <w:r w:rsidRPr="004C01E1">
        <w:rPr>
          <w:rFonts w:ascii="Verdana" w:eastAsia="Calibri" w:hAnsi="Verdana" w:cs="Arial"/>
          <w:kern w:val="2"/>
          <w:sz w:val="20"/>
          <w:szCs w:val="20"/>
          <w14:ligatures w14:val="standardContextual"/>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w:t>
      </w:r>
    </w:p>
    <w:p w14:paraId="7CF80F51" w14:textId="77777777" w:rsidR="004C01E1" w:rsidRPr="004C01E1" w:rsidRDefault="004C01E1" w:rsidP="004C01E1">
      <w:pPr>
        <w:spacing w:after="0" w:line="240" w:lineRule="auto"/>
        <w:jc w:val="both"/>
        <w:rPr>
          <w:rFonts w:ascii="Verdana" w:eastAsia="Times New Roman" w:hAnsi="Verdana" w:cs="Arial"/>
          <w:b/>
          <w:bCs/>
          <w:kern w:val="2"/>
          <w:sz w:val="20"/>
          <w:szCs w:val="20"/>
          <w:lang w:eastAsia="es-ES_tradnl"/>
          <w14:ligatures w14:val="standardContextual"/>
        </w:rPr>
      </w:pPr>
    </w:p>
    <w:p w14:paraId="53708DA3" w14:textId="77777777" w:rsidR="004C01E1" w:rsidRPr="00B01120" w:rsidRDefault="004C01E1" w:rsidP="004C01E1">
      <w:pPr>
        <w:spacing w:after="0" w:line="240" w:lineRule="auto"/>
        <w:jc w:val="both"/>
        <w:rPr>
          <w:rFonts w:ascii="Verdana" w:eastAsia="Calibri" w:hAnsi="Verdana" w:cs="Arial"/>
          <w:b/>
          <w:color w:val="000000"/>
          <w:kern w:val="2"/>
          <w:lang w:val="es-ES_tradnl" w:eastAsia="es-ES_tradnl"/>
          <w14:ligatures w14:val="standardContextual"/>
        </w:rPr>
      </w:pPr>
      <w:r w:rsidRPr="00B01120">
        <w:rPr>
          <w:rFonts w:ascii="Verdana" w:eastAsia="Calibri" w:hAnsi="Verdana" w:cs="Arial"/>
          <w:b/>
          <w:color w:val="000000"/>
          <w:kern w:val="2"/>
          <w:lang w:val="es-ES_tradnl" w:eastAsia="es-ES_tradnl"/>
          <w14:ligatures w14:val="standardContextual"/>
        </w:rPr>
        <w:t>LEY 2195 DE 2022 – Artículo 56 – Personas jurídicas de derecho privado – Documentos tipo – Estatuto General de Contratación de la Administración Pública</w:t>
      </w:r>
    </w:p>
    <w:p w14:paraId="1FF67FC2" w14:textId="77777777" w:rsidR="004C01E1" w:rsidRPr="004C01E1" w:rsidRDefault="004C01E1" w:rsidP="004C01E1">
      <w:pPr>
        <w:spacing w:after="0" w:line="240" w:lineRule="auto"/>
        <w:jc w:val="both"/>
        <w:rPr>
          <w:rFonts w:ascii="Verdana" w:eastAsia="Calibri" w:hAnsi="Verdana" w:cs="Arial"/>
          <w:b/>
          <w:color w:val="000000"/>
          <w:kern w:val="2"/>
          <w:sz w:val="20"/>
          <w:szCs w:val="20"/>
          <w:lang w:val="es-ES_tradnl" w:eastAsia="es-ES_tradnl"/>
          <w14:ligatures w14:val="standardContextual"/>
        </w:rPr>
      </w:pPr>
    </w:p>
    <w:p w14:paraId="4E8FEB46" w14:textId="77777777" w:rsidR="004C01E1" w:rsidRPr="004C01E1" w:rsidRDefault="004C01E1" w:rsidP="004C01E1">
      <w:pPr>
        <w:spacing w:after="0" w:line="240" w:lineRule="auto"/>
        <w:jc w:val="both"/>
        <w:rPr>
          <w:rFonts w:ascii="Verdana" w:eastAsia="Calibri" w:hAnsi="Verdana" w:cs="Arial"/>
          <w:bCs/>
          <w:color w:val="000000"/>
          <w:kern w:val="2"/>
          <w:sz w:val="20"/>
          <w:szCs w:val="20"/>
          <w:lang w:val="es-ES_tradnl" w:eastAsia="es-ES_tradnl"/>
          <w14:ligatures w14:val="standardContextual"/>
        </w:rPr>
      </w:pPr>
      <w:r w:rsidRPr="004C01E1">
        <w:rPr>
          <w:rFonts w:ascii="Verdana" w:eastAsia="Calibri" w:hAnsi="Verdana" w:cs="Arial"/>
          <w:bCs/>
          <w:color w:val="000000"/>
          <w:kern w:val="2"/>
          <w:sz w:val="20"/>
          <w:szCs w:val="20"/>
          <w:lang w:val="es-ES_tradnl" w:eastAsia="es-ES_tradnl"/>
          <w14:ligatures w14:val="standardContextual"/>
        </w:rPr>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w:t>
      </w:r>
    </w:p>
    <w:p w14:paraId="0241C64F" w14:textId="77777777" w:rsidR="004C01E1" w:rsidRPr="004C01E1" w:rsidRDefault="004C01E1" w:rsidP="004C01E1">
      <w:pPr>
        <w:spacing w:after="0" w:line="276" w:lineRule="auto"/>
        <w:jc w:val="both"/>
        <w:rPr>
          <w:rFonts w:ascii="Verdana" w:eastAsia="Times New Roman" w:hAnsi="Verdana" w:cs="Arial"/>
          <w:noProof/>
          <w:color w:val="000000"/>
          <w:kern w:val="2"/>
          <w:sz w:val="20"/>
          <w:szCs w:val="20"/>
          <w:lang w:val="es-ES_tradnl" w:eastAsia="es-ES_tradnl"/>
          <w14:ligatures w14:val="standardContextual"/>
        </w:rPr>
      </w:pPr>
    </w:p>
    <w:p w14:paraId="30616B10" w14:textId="77777777" w:rsidR="004C01E1" w:rsidRPr="00B01120" w:rsidRDefault="004C01E1" w:rsidP="004C01E1">
      <w:pPr>
        <w:tabs>
          <w:tab w:val="left" w:pos="0"/>
        </w:tabs>
        <w:spacing w:after="0" w:line="276" w:lineRule="auto"/>
        <w:jc w:val="both"/>
        <w:rPr>
          <w:rFonts w:ascii="Verdana" w:eastAsia="Calibri" w:hAnsi="Verdana" w:cs="Arial"/>
          <w:b/>
          <w:color w:val="000000"/>
          <w:kern w:val="2"/>
          <w:lang w:val="es-ES_tradnl" w:eastAsia="es-ES_tradnl"/>
          <w14:ligatures w14:val="standardContextual"/>
        </w:rPr>
      </w:pPr>
      <w:r w:rsidRPr="00B01120">
        <w:rPr>
          <w:rFonts w:ascii="Verdana" w:eastAsia="Calibri" w:hAnsi="Verdana" w:cs="Arial"/>
          <w:b/>
          <w:color w:val="000000"/>
          <w:kern w:val="2"/>
          <w:lang w:val="es-ES_tradnl" w:eastAsia="es-ES_tradnl"/>
          <w14:ligatures w14:val="standardContextual"/>
        </w:rPr>
        <w:t xml:space="preserve">LEY 2195 DE 2022 – Artículo 56 – Parágrafo – Excepciones </w:t>
      </w:r>
    </w:p>
    <w:p w14:paraId="24551EA8" w14:textId="77777777" w:rsidR="004C01E1" w:rsidRPr="004C01E1" w:rsidRDefault="004C01E1" w:rsidP="004C01E1">
      <w:pPr>
        <w:tabs>
          <w:tab w:val="left" w:pos="0"/>
        </w:tabs>
        <w:spacing w:after="0" w:line="276" w:lineRule="auto"/>
        <w:jc w:val="both"/>
        <w:rPr>
          <w:rFonts w:ascii="Verdana" w:eastAsia="Calibri" w:hAnsi="Verdana" w:cs="Arial"/>
          <w:bCs/>
          <w:color w:val="000000"/>
          <w:kern w:val="2"/>
          <w:sz w:val="20"/>
          <w:szCs w:val="20"/>
          <w:lang w:val="es-ES_tradnl" w:eastAsia="es-ES_tradnl"/>
          <w14:ligatures w14:val="standardContextual"/>
        </w:rPr>
      </w:pPr>
    </w:p>
    <w:p w14:paraId="7085D557" w14:textId="77777777" w:rsidR="004C01E1" w:rsidRPr="004C01E1" w:rsidRDefault="004C01E1" w:rsidP="004C01E1">
      <w:pPr>
        <w:spacing w:after="0" w:line="240" w:lineRule="auto"/>
        <w:jc w:val="both"/>
        <w:rPr>
          <w:rFonts w:ascii="Verdana" w:eastAsia="Calibri" w:hAnsi="Verdana" w:cs="Arial"/>
          <w:color w:val="000000"/>
          <w:kern w:val="2"/>
          <w:sz w:val="20"/>
          <w:szCs w:val="20"/>
          <w:lang w:val="es-ES" w:eastAsia="es-ES"/>
          <w14:ligatures w14:val="standardContextual"/>
        </w:rPr>
      </w:pPr>
      <w:r w:rsidRPr="004C01E1">
        <w:rPr>
          <w:rFonts w:ascii="Verdana" w:eastAsia="Calibri" w:hAnsi="Verdana" w:cs="Arial"/>
          <w:color w:val="000000"/>
          <w:kern w:val="2"/>
          <w:sz w:val="20"/>
          <w:szCs w:val="20"/>
          <w:lang w:val="es-ES" w:eastAsia="es-ES"/>
          <w14:ligatures w14:val="standardContextual"/>
        </w:rPr>
        <w:lastRenderedPageBreak/>
        <w:t xml:space="preserve">De conformidad con los dos primeros incisos del artículo 56 de la Ley 2195 de 2022, las entidades estatales de régimen especial o exceptuado, los patrimonios autónomos, las personas naturales y jurídicas de derecho privado, que en el marco de compromisos contractuales derivados de contratos o convenios de cualquier índole con entidades sometidas al Estatuto General de Contratación de la Administración Pública, deban contratar objetos cobijados por el ámbito de los documentos tipo, están obligadas a contratarlos aplicando los mencionados documentos. En virtud de dicha disposición, tales entidades, además, deberán adelantar el Proceso de Contratación y celebrar el contrato conforme al Estatuto General de Contratación de la Administración Pública.  No obstante, de conformidad con lo establecido en el parágrafo de dicha norma, las instituciones de educación superior públicas, las empresas sociales del Estado, las sociedades de economía mixta y las empresas industriales y comerciales del Estado, están exceptuadas de la aplicación de los documentos tipo y del Estatuto General de Contratación de la Administración Pública, en la contratación relacionada con su giro ordinario, independientemente de que deban contratar objetos cobijados por documentos tipo. En este contexto, en el marco del parágrafo del artículo 56, se determine algo distinto, el giro ordinario es un concepto jurídico indeterminado, que, de conformidad con la jurisprudencia contencioso-administrativa y el derecho societario, comprende todas aquellas actividades asociadas a la gestión habitual de una sociedad comercial, una empresa o una entidad pública, que guarden consonancia con su objeto social. Esto por supuesto a menos que, el </w:t>
      </w:r>
      <w:proofErr w:type="gramStart"/>
      <w:r w:rsidRPr="004C01E1">
        <w:rPr>
          <w:rFonts w:ascii="Verdana" w:eastAsia="Calibri" w:hAnsi="Verdana" w:cs="Arial"/>
          <w:color w:val="000000"/>
          <w:kern w:val="2"/>
          <w:sz w:val="20"/>
          <w:szCs w:val="20"/>
          <w:lang w:val="es-ES" w:eastAsia="es-ES"/>
          <w14:ligatures w14:val="standardContextual"/>
        </w:rPr>
        <w:t>Presidente</w:t>
      </w:r>
      <w:proofErr w:type="gramEnd"/>
      <w:r w:rsidRPr="004C01E1">
        <w:rPr>
          <w:rFonts w:ascii="Verdana" w:eastAsia="Calibri" w:hAnsi="Verdana" w:cs="Arial"/>
          <w:color w:val="000000"/>
          <w:kern w:val="2"/>
          <w:sz w:val="20"/>
          <w:szCs w:val="20"/>
          <w:lang w:val="es-ES" w:eastAsia="es-ES"/>
          <w14:ligatures w14:val="standardContextual"/>
        </w:rPr>
        <w:t xml:space="preserve"> de la República, en ejercicio de la potestad reglamentaria atribuida por el artículo 189.11 de la Constitución Política, le asigne un significado concreto para efectos de la implementación del artículo 56 de la Ley 2195 de 2022.</w:t>
      </w:r>
    </w:p>
    <w:p w14:paraId="5956614A" w14:textId="77777777" w:rsidR="004C01E1" w:rsidRPr="004C01E1" w:rsidRDefault="004C01E1" w:rsidP="004C01E1">
      <w:pPr>
        <w:spacing w:after="0" w:line="276" w:lineRule="auto"/>
        <w:jc w:val="both"/>
        <w:rPr>
          <w:rFonts w:ascii="Verdana" w:eastAsia="Times New Roman" w:hAnsi="Verdana" w:cs="Arial"/>
          <w:noProof/>
          <w:color w:val="000000"/>
          <w:kern w:val="2"/>
          <w:sz w:val="20"/>
          <w:szCs w:val="20"/>
          <w:lang w:val="es-ES_tradnl" w:eastAsia="es-ES_tradnl"/>
          <w14:ligatures w14:val="standardContextual"/>
        </w:rPr>
      </w:pPr>
    </w:p>
    <w:p w14:paraId="61DF494B" w14:textId="77777777" w:rsidR="004C01E1" w:rsidRPr="00B01120" w:rsidRDefault="004C01E1" w:rsidP="004C01E1">
      <w:pPr>
        <w:tabs>
          <w:tab w:val="left" w:pos="0"/>
        </w:tabs>
        <w:spacing w:after="0" w:line="276" w:lineRule="auto"/>
        <w:jc w:val="both"/>
        <w:rPr>
          <w:rFonts w:ascii="Verdana" w:eastAsia="Calibri" w:hAnsi="Verdana" w:cs="Arial"/>
          <w:bCs/>
          <w:color w:val="000000"/>
          <w:kern w:val="2"/>
          <w:lang w:val="es-ES_tradnl" w:eastAsia="es-ES_tradnl"/>
          <w14:ligatures w14:val="standardContextual"/>
        </w:rPr>
      </w:pPr>
      <w:r w:rsidRPr="00B01120">
        <w:rPr>
          <w:rFonts w:ascii="Verdana" w:eastAsia="Calibri" w:hAnsi="Verdana" w:cs="Arial"/>
          <w:b/>
          <w:color w:val="000000"/>
          <w:kern w:val="2"/>
          <w:lang w:val="es-ES_tradnl" w:eastAsia="es-ES_tradnl"/>
          <w14:ligatures w14:val="standardContextual"/>
        </w:rPr>
        <w:t xml:space="preserve">LEY 2195 DE 2022 – Artículo 56 – Parágrafo – Giro ordinario </w:t>
      </w:r>
    </w:p>
    <w:p w14:paraId="4E0BB449" w14:textId="77777777" w:rsidR="004C01E1" w:rsidRPr="004C01E1" w:rsidRDefault="004C01E1" w:rsidP="004C01E1">
      <w:pPr>
        <w:spacing w:after="0" w:line="240" w:lineRule="auto"/>
        <w:jc w:val="both"/>
        <w:rPr>
          <w:rFonts w:ascii="Verdana" w:eastAsia="Times New Roman" w:hAnsi="Verdana" w:cs="Arial"/>
          <w:noProof/>
          <w:color w:val="000000"/>
          <w:kern w:val="2"/>
          <w:sz w:val="20"/>
          <w:szCs w:val="20"/>
          <w:lang w:val="es-ES_tradnl" w:eastAsia="es-ES_tradnl"/>
          <w14:ligatures w14:val="standardContextual"/>
        </w:rPr>
      </w:pPr>
    </w:p>
    <w:p w14:paraId="32103FE5" w14:textId="77777777" w:rsidR="004C01E1" w:rsidRPr="004C01E1" w:rsidRDefault="004C01E1" w:rsidP="004C01E1">
      <w:pPr>
        <w:spacing w:after="0" w:line="240" w:lineRule="auto"/>
        <w:jc w:val="both"/>
        <w:rPr>
          <w:rFonts w:ascii="Verdana" w:eastAsia="Times New Roman" w:hAnsi="Verdana" w:cs="Arial"/>
          <w:noProof/>
          <w:color w:val="000000"/>
          <w:kern w:val="2"/>
          <w:sz w:val="20"/>
          <w:szCs w:val="20"/>
          <w:lang w:val="es-ES_tradnl" w:eastAsia="es-ES_tradnl"/>
          <w14:ligatures w14:val="standardContextual"/>
        </w:rPr>
      </w:pPr>
      <w:r w:rsidRPr="004C01E1">
        <w:rPr>
          <w:rFonts w:ascii="Verdana" w:eastAsia="Times New Roman" w:hAnsi="Verdana" w:cs="Arial"/>
          <w:noProof/>
          <w:color w:val="000000"/>
          <w:kern w:val="2"/>
          <w:sz w:val="20"/>
          <w:szCs w:val="20"/>
          <w:lang w:val="es-ES_tradnl" w:eastAsia="es-ES_tradnl"/>
          <w14:ligatures w14:val="standardContextual"/>
        </w:rPr>
        <w:t>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giro ordinario en dicha norma se usa para designar a la contratación directamente relacionada con los asuntos de la gestión habitual u ordinaria de los tipos de entidades mencionadas en el parágrafo. No obstante, la determinación de las actividades que comprenden el giro ordinario es un asunto que debe establecerse en cada caso concreto por parte de las entidades estatales –analizando lo establecido en sus actos de creación y verificando los negocios habituales u ordinarios que desarrollan–, pues el parágrafo del artículo 56 ejusdem se limita a enunciar algunos tipos de entidades estatales, las cuales no solo difieren en su naturaleza jurídica, sino también en las actividades que llevan a cabo. 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giro ordinario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w:t>
      </w:r>
      <w:r w:rsidRPr="004C01E1">
        <w:rPr>
          <w:rFonts w:ascii="Verdana" w:eastAsia="Times New Roman" w:hAnsi="Verdana" w:cs="Arial"/>
          <w:noProof/>
          <w:color w:val="000000"/>
          <w:kern w:val="2"/>
          <w:sz w:val="20"/>
          <w:szCs w:val="20"/>
          <w:lang w:val="es-ES_tradnl" w:eastAsia="es-ES_tradnl"/>
          <w14:ligatures w14:val="standardContextual"/>
        </w:rPr>
        <w:lastRenderedPageBreak/>
        <w:t>para acotar aquel concepto–, a lo que establezcan sus normas estatutarias –actos de creación y demás reglamentos–, así como a la realidad de los negocios que hacen parte de su dinámica habitual.</w:t>
      </w:r>
    </w:p>
    <w:p w14:paraId="346FF2D5" w14:textId="77777777" w:rsidR="004C01E1" w:rsidRPr="004C01E1" w:rsidRDefault="004C01E1" w:rsidP="004C01E1">
      <w:pPr>
        <w:spacing w:after="0" w:line="240" w:lineRule="auto"/>
        <w:jc w:val="both"/>
        <w:rPr>
          <w:rFonts w:ascii="Verdana" w:eastAsia="Times New Roman" w:hAnsi="Verdana" w:cs="Arial"/>
          <w:noProof/>
          <w:color w:val="000000"/>
          <w:kern w:val="2"/>
          <w:sz w:val="20"/>
          <w:szCs w:val="20"/>
          <w:lang w:val="es-ES_tradnl" w:eastAsia="es-ES_tradnl"/>
          <w14:ligatures w14:val="standardContextual"/>
        </w:rPr>
      </w:pPr>
    </w:p>
    <w:p w14:paraId="45C3A986" w14:textId="77777777" w:rsidR="004C01E1" w:rsidRPr="00B01120" w:rsidRDefault="004C01E1" w:rsidP="004C01E1">
      <w:pPr>
        <w:spacing w:after="0" w:line="276" w:lineRule="auto"/>
        <w:jc w:val="both"/>
        <w:rPr>
          <w:rFonts w:ascii="Verdana" w:eastAsia="Calibri" w:hAnsi="Verdana" w:cs="Arial"/>
          <w:b/>
          <w:color w:val="000000"/>
          <w:kern w:val="2"/>
          <w:lang w:val="es-ES_tradnl" w:eastAsia="es-ES_tradnl"/>
          <w14:ligatures w14:val="standardContextual"/>
        </w:rPr>
      </w:pPr>
      <w:r w:rsidRPr="00B01120">
        <w:rPr>
          <w:rFonts w:ascii="Verdana" w:eastAsia="Calibri" w:hAnsi="Verdana" w:cs="Arial"/>
          <w:b/>
          <w:color w:val="000000"/>
          <w:kern w:val="2"/>
          <w:lang w:val="es-ES_tradnl" w:eastAsia="es-ES_tradnl"/>
          <w14:ligatures w14:val="standardContextual"/>
        </w:rPr>
        <w:t xml:space="preserve">LEY 2195 DE 2022 – Artículo 56 – Parágrafo – Interpretación restrictiva </w:t>
      </w:r>
    </w:p>
    <w:p w14:paraId="7E4B52D7" w14:textId="77777777" w:rsidR="004C01E1" w:rsidRPr="004C01E1" w:rsidRDefault="004C01E1" w:rsidP="004C01E1">
      <w:pPr>
        <w:spacing w:after="0" w:line="276" w:lineRule="auto"/>
        <w:jc w:val="both"/>
        <w:rPr>
          <w:rFonts w:ascii="Verdana" w:eastAsia="Times New Roman" w:hAnsi="Verdana" w:cs="Arial"/>
          <w:noProof/>
          <w:color w:val="000000"/>
          <w:kern w:val="2"/>
          <w:sz w:val="20"/>
          <w:szCs w:val="20"/>
          <w:lang w:val="es-ES_tradnl" w:eastAsia="es-ES_tradnl"/>
          <w14:ligatures w14:val="standardContextual"/>
        </w:rPr>
      </w:pPr>
    </w:p>
    <w:p w14:paraId="2AB60827" w14:textId="77777777" w:rsidR="004C01E1" w:rsidRPr="004C01E1" w:rsidRDefault="004C01E1" w:rsidP="004C01E1">
      <w:pPr>
        <w:spacing w:after="0" w:line="240" w:lineRule="auto"/>
        <w:jc w:val="both"/>
        <w:rPr>
          <w:rFonts w:ascii="Verdana" w:eastAsia="Times New Roman" w:hAnsi="Verdana" w:cs="Arial"/>
          <w:noProof/>
          <w:color w:val="000000"/>
          <w:kern w:val="2"/>
          <w:sz w:val="20"/>
          <w:szCs w:val="20"/>
          <w:lang w:val="es-ES_tradnl" w:eastAsia="es-ES_tradnl"/>
          <w14:ligatures w14:val="standardContextual"/>
        </w:rPr>
      </w:pPr>
      <w:r w:rsidRPr="004C01E1">
        <w:rPr>
          <w:rFonts w:ascii="Verdana" w:eastAsia="Times New Roman" w:hAnsi="Verdana" w:cs="Arial"/>
          <w:noProof/>
          <w:color w:val="000000"/>
          <w:kern w:val="2"/>
          <w:sz w:val="20"/>
          <w:szCs w:val="20"/>
          <w:lang w:val="es-ES_tradnl" w:eastAsia="es-ES_tradnl"/>
          <w14:ligatures w14:val="standardContextual"/>
        </w:rPr>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 –, no es menos cierto que el Legislador, en materia de contratación estatal, goza de un amplio margen de configuración normativa, de conformidad con lo dispuesto en el inciso final del artículo 150 de la Constitución Política .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giro ordinario.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p>
    <w:p w14:paraId="2463985C" w14:textId="77777777" w:rsidR="004C01E1" w:rsidRPr="004C01E1" w:rsidRDefault="004C01E1" w:rsidP="004C01E1">
      <w:pPr>
        <w:spacing w:after="0" w:line="240" w:lineRule="auto"/>
        <w:jc w:val="both"/>
        <w:rPr>
          <w:rFonts w:ascii="Verdana" w:eastAsia="Times New Roman" w:hAnsi="Verdana" w:cs="Arial"/>
          <w:noProof/>
          <w:color w:val="000000"/>
          <w:kern w:val="2"/>
          <w:sz w:val="20"/>
          <w:szCs w:val="20"/>
          <w:lang w:val="es-ES_tradnl" w:eastAsia="es-ES_tradnl"/>
          <w14:ligatures w14:val="standardContextual"/>
        </w:rPr>
      </w:pPr>
    </w:p>
    <w:p w14:paraId="1BD8D33F" w14:textId="77777777" w:rsidR="004C01E1" w:rsidRPr="004C01E1" w:rsidRDefault="004C01E1" w:rsidP="004C01E1">
      <w:pPr>
        <w:spacing w:after="0" w:line="240" w:lineRule="auto"/>
        <w:jc w:val="both"/>
        <w:rPr>
          <w:rFonts w:ascii="Verdana" w:eastAsia="Times New Roman" w:hAnsi="Verdana" w:cs="Arial"/>
          <w:noProof/>
          <w:color w:val="000000"/>
          <w:kern w:val="2"/>
          <w:sz w:val="20"/>
          <w:szCs w:val="20"/>
          <w:lang w:val="es-ES_tradnl" w:eastAsia="es-ES_tradnl"/>
          <w14:ligatures w14:val="standardContextual"/>
        </w:rPr>
      </w:pPr>
      <w:r w:rsidRPr="004C01E1">
        <w:rPr>
          <w:rFonts w:ascii="Verdana" w:eastAsia="Times New Roman" w:hAnsi="Verdana" w:cs="Arial"/>
          <w:noProof/>
          <w:color w:val="000000"/>
          <w:kern w:val="2"/>
          <w:sz w:val="20"/>
          <w:szCs w:val="20"/>
          <w:lang w:val="es-ES_tradnl" w:eastAsia="es-ES_tradnl"/>
          <w14:ligatures w14:val="standardContextual"/>
        </w:rPr>
        <w:t xml:space="preserve">De acuerdo con esta interpretación restrictiva,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giro ordinario, 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 al igual que la regla según la cual “Lo favorable u odioso de una disposición no se tomará en cuenta para ampliar o restringir su interpretación”. </w:t>
      </w:r>
    </w:p>
    <w:p w14:paraId="682CD8D9" w14:textId="77777777" w:rsidR="004C01E1" w:rsidRPr="004C01E1" w:rsidRDefault="004C01E1" w:rsidP="004C01E1">
      <w:pPr>
        <w:spacing w:after="0" w:line="240" w:lineRule="auto"/>
        <w:jc w:val="both"/>
        <w:rPr>
          <w:rFonts w:ascii="Verdana" w:eastAsia="Calibri" w:hAnsi="Verdana" w:cs="Arial"/>
          <w:color w:val="000000"/>
          <w:lang w:val="es-ES" w:eastAsia="es-ES"/>
        </w:rPr>
      </w:pPr>
    </w:p>
    <w:p w14:paraId="1B87E92E" w14:textId="77777777" w:rsidR="004C01E1" w:rsidRPr="004C01E1" w:rsidRDefault="004C01E1" w:rsidP="004C01E1">
      <w:pPr>
        <w:spacing w:after="0" w:line="240" w:lineRule="auto"/>
        <w:jc w:val="both"/>
        <w:rPr>
          <w:rFonts w:ascii="Verdana" w:eastAsia="Calibri" w:hAnsi="Verdana" w:cs="Arial"/>
          <w:color w:val="000000"/>
          <w:lang w:val="es-ES" w:eastAsia="es-ES"/>
        </w:rPr>
      </w:pPr>
    </w:p>
    <w:p w14:paraId="48095636" w14:textId="77777777" w:rsidR="004C01E1" w:rsidRPr="004C01E1" w:rsidRDefault="004C01E1" w:rsidP="004C01E1">
      <w:pPr>
        <w:spacing w:after="0" w:line="240" w:lineRule="auto"/>
        <w:jc w:val="both"/>
        <w:rPr>
          <w:rFonts w:ascii="Verdana" w:eastAsia="Calibri" w:hAnsi="Verdana" w:cs="Arial"/>
          <w:color w:val="000000"/>
          <w:lang w:val="es-ES" w:eastAsia="es-ES"/>
        </w:rPr>
      </w:pPr>
    </w:p>
    <w:p w14:paraId="293D40EB" w14:textId="77777777" w:rsidR="004C01E1" w:rsidRDefault="004C01E1" w:rsidP="004C01E1">
      <w:pPr>
        <w:spacing w:after="0" w:line="240" w:lineRule="auto"/>
        <w:jc w:val="both"/>
        <w:rPr>
          <w:rFonts w:ascii="Verdana" w:eastAsia="Calibri" w:hAnsi="Verdana" w:cs="Arial"/>
          <w:color w:val="000000"/>
          <w:lang w:val="es-ES" w:eastAsia="es-ES"/>
        </w:rPr>
      </w:pPr>
    </w:p>
    <w:p w14:paraId="10DF1B12" w14:textId="77777777" w:rsidR="00816ED4" w:rsidRDefault="00816ED4" w:rsidP="004C01E1">
      <w:pPr>
        <w:spacing w:after="0" w:line="240" w:lineRule="auto"/>
        <w:jc w:val="both"/>
        <w:rPr>
          <w:rFonts w:ascii="Verdana" w:eastAsia="Calibri" w:hAnsi="Verdana" w:cs="Arial"/>
          <w:color w:val="000000"/>
          <w:lang w:val="es-ES" w:eastAsia="es-ES"/>
        </w:rPr>
      </w:pPr>
    </w:p>
    <w:p w14:paraId="575A044B" w14:textId="77777777" w:rsidR="00816ED4" w:rsidRPr="004C01E1" w:rsidRDefault="00816ED4" w:rsidP="004C01E1">
      <w:pPr>
        <w:spacing w:after="0" w:line="240" w:lineRule="auto"/>
        <w:jc w:val="both"/>
        <w:rPr>
          <w:rFonts w:ascii="Verdana" w:eastAsia="Calibri" w:hAnsi="Verdana" w:cs="Arial"/>
          <w:color w:val="000000"/>
          <w:lang w:val="es-ES" w:eastAsia="es-ES"/>
        </w:rPr>
      </w:pPr>
    </w:p>
    <w:p w14:paraId="2DF02F0B" w14:textId="77777777" w:rsidR="004C01E1" w:rsidRPr="004C01E1" w:rsidRDefault="004C01E1" w:rsidP="004C01E1">
      <w:pPr>
        <w:spacing w:after="0" w:line="240" w:lineRule="auto"/>
        <w:jc w:val="both"/>
        <w:rPr>
          <w:rFonts w:ascii="Verdana" w:eastAsia="Calibri" w:hAnsi="Verdana" w:cs="Arial"/>
          <w:color w:val="000000"/>
          <w:lang w:val="es-ES" w:eastAsia="es-ES"/>
        </w:rPr>
      </w:pPr>
    </w:p>
    <w:p w14:paraId="72499142" w14:textId="77777777" w:rsidR="004C01E1" w:rsidRPr="004C01E1" w:rsidRDefault="004C01E1" w:rsidP="004C01E1">
      <w:pPr>
        <w:spacing w:after="0" w:line="240" w:lineRule="auto"/>
        <w:jc w:val="both"/>
        <w:rPr>
          <w:rFonts w:ascii="Verdana" w:eastAsia="Calibri" w:hAnsi="Verdana" w:cs="Arial"/>
          <w:color w:val="000000"/>
          <w:lang w:val="es-ES" w:eastAsia="es-ES"/>
        </w:rPr>
      </w:pPr>
    </w:p>
    <w:p w14:paraId="0B569022" w14:textId="57643C86" w:rsidR="004C01E1" w:rsidRPr="004C01E1" w:rsidRDefault="004C01E1" w:rsidP="004C01E1">
      <w:pPr>
        <w:spacing w:after="0" w:line="240" w:lineRule="auto"/>
        <w:rPr>
          <w:rFonts w:ascii="Verdana" w:eastAsia="Calibri" w:hAnsi="Verdana" w:cs="Arial"/>
          <w:kern w:val="2"/>
          <w:sz w:val="24"/>
          <w:szCs w:val="24"/>
          <w:lang w:val="es-MX" w:eastAsia="es-ES"/>
          <w14:ligatures w14:val="standardContextual"/>
        </w:rPr>
      </w:pPr>
      <w:r w:rsidRPr="004C01E1">
        <w:rPr>
          <w:rFonts w:ascii="Verdana" w:eastAsia="Geomanist Light" w:hAnsi="Verdana" w:cs="Arial"/>
          <w:kern w:val="2"/>
          <w:sz w:val="24"/>
          <w:szCs w:val="24"/>
          <w:lang w:val="es-MX"/>
          <w14:ligatures w14:val="standardContextual"/>
        </w:rPr>
        <w:t>Bogotá D.C., </w:t>
      </w:r>
      <w:r w:rsidR="00816ED4">
        <w:rPr>
          <w:rFonts w:ascii="Verdana" w:eastAsia="Geomanist Light" w:hAnsi="Verdana" w:cs="Arial"/>
          <w:kern w:val="2"/>
          <w:sz w:val="24"/>
          <w:szCs w:val="24"/>
          <w:lang w:val="es-MX"/>
          <w14:ligatures w14:val="standardContextual"/>
        </w:rPr>
        <w:t>27</w:t>
      </w:r>
      <w:r w:rsidRPr="004C01E1">
        <w:rPr>
          <w:rFonts w:ascii="Verdana" w:eastAsia="Geomanist Light" w:hAnsi="Verdana" w:cs="Arial"/>
          <w:kern w:val="2"/>
          <w:sz w:val="24"/>
          <w:szCs w:val="24"/>
          <w:lang w:val="es-MX"/>
          <w14:ligatures w14:val="standardContextual"/>
        </w:rPr>
        <w:t xml:space="preserve"> de </w:t>
      </w:r>
      <w:r w:rsidR="00816ED4">
        <w:rPr>
          <w:rFonts w:ascii="Verdana" w:eastAsia="Geomanist Light" w:hAnsi="Verdana" w:cs="Arial"/>
          <w:kern w:val="2"/>
          <w:sz w:val="24"/>
          <w:szCs w:val="24"/>
          <w:lang w:val="es-MX"/>
          <w14:ligatures w14:val="standardContextual"/>
        </w:rPr>
        <w:t xml:space="preserve">mayo </w:t>
      </w:r>
      <w:r w:rsidRPr="004C01E1">
        <w:rPr>
          <w:rFonts w:ascii="Verdana" w:eastAsia="Geomanist Light" w:hAnsi="Verdana" w:cs="Arial"/>
          <w:kern w:val="2"/>
          <w:sz w:val="24"/>
          <w:szCs w:val="24"/>
          <w:lang w:val="es-MX"/>
          <w14:ligatures w14:val="standardContextual"/>
        </w:rPr>
        <w:t xml:space="preserve">de </w:t>
      </w:r>
      <w:r w:rsidR="00816ED4">
        <w:rPr>
          <w:rFonts w:ascii="Verdana" w:eastAsia="Geomanist Light" w:hAnsi="Verdana" w:cs="Arial"/>
          <w:kern w:val="2"/>
          <w:sz w:val="24"/>
          <w:szCs w:val="24"/>
          <w:lang w:val="es-MX"/>
          <w14:ligatures w14:val="standardContextual"/>
        </w:rPr>
        <w:t>2025</w:t>
      </w:r>
    </w:p>
    <w:p w14:paraId="12E42545" w14:textId="63B204AD" w:rsidR="004C01E1" w:rsidRDefault="00C31E8B" w:rsidP="004C01E1">
      <w:pPr>
        <w:spacing w:after="0" w:line="240" w:lineRule="auto"/>
        <w:jc w:val="both"/>
        <w:rPr>
          <w:rFonts w:ascii="Verdana" w:eastAsia="Calibri" w:hAnsi="Verdana" w:cs="Arial"/>
          <w:color w:val="000000"/>
          <w:lang w:val="es-ES"/>
        </w:rPr>
      </w:pPr>
      <w:r w:rsidRPr="00C31E8B">
        <w:rPr>
          <w:rFonts w:ascii="Verdana" w:eastAsia="Calibri" w:hAnsi="Verdana" w:cs="Arial"/>
          <w:color w:val="000000"/>
          <w:lang w:val="es-ES"/>
        </w:rPr>
        <w:drawing>
          <wp:anchor distT="0" distB="0" distL="114300" distR="114300" simplePos="0" relativeHeight="251657216" behindDoc="0" locked="0" layoutInCell="1" allowOverlap="1" wp14:anchorId="1AE23D82" wp14:editId="698C0427">
            <wp:simplePos x="0" y="0"/>
            <wp:positionH relativeFrom="margin">
              <wp:align>right</wp:align>
            </wp:positionH>
            <wp:positionV relativeFrom="paragraph">
              <wp:posOffset>96714</wp:posOffset>
            </wp:positionV>
            <wp:extent cx="3129280" cy="971550"/>
            <wp:effectExtent l="0" t="0" r="0" b="0"/>
            <wp:wrapSquare wrapText="bothSides"/>
            <wp:docPr id="180659801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598015"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129280" cy="971550"/>
                    </a:xfrm>
                    <a:prstGeom prst="rect">
                      <a:avLst/>
                    </a:prstGeom>
                  </pic:spPr>
                </pic:pic>
              </a:graphicData>
            </a:graphic>
            <wp14:sizeRelH relativeFrom="margin">
              <wp14:pctWidth>0</wp14:pctWidth>
            </wp14:sizeRelH>
          </wp:anchor>
        </w:drawing>
      </w:r>
    </w:p>
    <w:p w14:paraId="3B64923F" w14:textId="6B457BFA" w:rsidR="00816ED4" w:rsidRPr="004C01E1" w:rsidRDefault="00816ED4" w:rsidP="00816ED4">
      <w:pPr>
        <w:spacing w:after="0" w:line="240" w:lineRule="auto"/>
        <w:jc w:val="right"/>
        <w:rPr>
          <w:rFonts w:ascii="Verdana" w:eastAsia="Calibri" w:hAnsi="Verdana" w:cs="Arial"/>
          <w:color w:val="000000"/>
          <w:lang w:val="es-ES"/>
        </w:rPr>
      </w:pPr>
    </w:p>
    <w:p w14:paraId="55769564" w14:textId="77777777" w:rsidR="004C01E1" w:rsidRPr="004C01E1" w:rsidRDefault="004C01E1" w:rsidP="004C01E1">
      <w:pPr>
        <w:spacing w:after="0" w:line="240" w:lineRule="auto"/>
        <w:jc w:val="both"/>
        <w:rPr>
          <w:rFonts w:ascii="Verdana" w:eastAsia="Calibri" w:hAnsi="Verdana" w:cs="Arial"/>
          <w:lang w:val="es-ES" w:eastAsia="es-ES"/>
        </w:rPr>
      </w:pPr>
      <w:r w:rsidRPr="004C01E1">
        <w:rPr>
          <w:rFonts w:ascii="Verdana" w:eastAsia="Calibri" w:hAnsi="Verdana" w:cs="Arial"/>
          <w:lang w:val="es-ES" w:eastAsia="es-ES"/>
        </w:rPr>
        <w:t>Señora</w:t>
      </w:r>
    </w:p>
    <w:p w14:paraId="414E088D" w14:textId="77777777" w:rsidR="004C01E1" w:rsidRPr="004C01E1" w:rsidRDefault="004C01E1" w:rsidP="004C01E1">
      <w:pPr>
        <w:spacing w:after="0" w:line="240" w:lineRule="auto"/>
        <w:rPr>
          <w:rFonts w:ascii="ArialMT" w:eastAsia="Calibri" w:hAnsi="ArialMT" w:cs="ArialMT"/>
        </w:rPr>
      </w:pPr>
      <w:r w:rsidRPr="004C01E1">
        <w:rPr>
          <w:rFonts w:ascii="Verdana" w:eastAsia="Calibri" w:hAnsi="Verdana" w:cs="Arial"/>
          <w:b/>
          <w:lang w:val="es-ES" w:eastAsia="es-ES"/>
        </w:rPr>
        <w:t xml:space="preserve">María Alexandra Murillo Díaz </w:t>
      </w:r>
      <w:r w:rsidRPr="004C01E1">
        <w:rPr>
          <w:rFonts w:ascii="ArialMT" w:eastAsia="Calibri" w:hAnsi="ArialMT" w:cs="ArialMT"/>
        </w:rPr>
        <w:t xml:space="preserve"> </w:t>
      </w:r>
    </w:p>
    <w:p w14:paraId="69AAE04A" w14:textId="77777777" w:rsidR="004C01E1" w:rsidRPr="004C01E1" w:rsidRDefault="004C01E1" w:rsidP="004C01E1">
      <w:pPr>
        <w:spacing w:after="0" w:line="240" w:lineRule="auto"/>
        <w:rPr>
          <w:rFonts w:ascii="Verdana" w:eastAsia="Calibri" w:hAnsi="Verdana" w:cs="Arial"/>
          <w:b/>
          <w:bCs/>
          <w:lang w:val="es-ES" w:eastAsia="es-ES"/>
        </w:rPr>
      </w:pPr>
      <w:r w:rsidRPr="004C01E1">
        <w:rPr>
          <w:rFonts w:ascii="Verdana" w:eastAsia="Calibri" w:hAnsi="Verdana" w:cs="Arial"/>
          <w:lang w:val="es-ES" w:eastAsia="es-ES"/>
        </w:rPr>
        <w:t>El Doncello, Caquetá</w:t>
      </w:r>
    </w:p>
    <w:p w14:paraId="5B6B5345" w14:textId="77777777" w:rsidR="004C01E1" w:rsidRPr="004C01E1" w:rsidRDefault="004C01E1" w:rsidP="004C01E1">
      <w:pPr>
        <w:spacing w:after="0" w:line="240" w:lineRule="auto"/>
        <w:rPr>
          <w:rFonts w:ascii="Verdana" w:eastAsia="Calibri" w:hAnsi="Verdana" w:cs="Arial"/>
          <w:b/>
          <w:bCs/>
          <w:color w:val="000000"/>
          <w:lang w:val="es-ES_tradnl" w:eastAsia="es-ES_tradnl"/>
        </w:rPr>
      </w:pPr>
    </w:p>
    <w:p w14:paraId="3F66567B" w14:textId="77777777" w:rsidR="004C01E1" w:rsidRPr="004C01E1" w:rsidRDefault="004C01E1" w:rsidP="004C01E1">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C01E1" w:rsidRPr="004C01E1" w14:paraId="1D683F48" w14:textId="77777777" w:rsidTr="004000F4">
        <w:trPr>
          <w:trHeight w:val="884"/>
        </w:trPr>
        <w:tc>
          <w:tcPr>
            <w:tcW w:w="2689" w:type="dxa"/>
          </w:tcPr>
          <w:p w14:paraId="54109369" w14:textId="77777777" w:rsidR="004C01E1" w:rsidRPr="004C01E1" w:rsidRDefault="004C01E1" w:rsidP="004C01E1">
            <w:pPr>
              <w:jc w:val="both"/>
              <w:rPr>
                <w:rFonts w:ascii="Verdana" w:eastAsia="Calibri" w:hAnsi="Verdana" w:cs="Arial"/>
                <w:b/>
                <w:bCs/>
                <w:color w:val="7030A0"/>
                <w:lang w:val="es-ES_tradnl" w:eastAsia="es-ES_tradnl"/>
              </w:rPr>
            </w:pPr>
          </w:p>
        </w:tc>
        <w:tc>
          <w:tcPr>
            <w:tcW w:w="6100" w:type="dxa"/>
          </w:tcPr>
          <w:p w14:paraId="1AF3FE1C" w14:textId="77777777" w:rsidR="004C01E1" w:rsidRPr="004C01E1" w:rsidRDefault="004C01E1" w:rsidP="004C01E1">
            <w:pPr>
              <w:jc w:val="both"/>
              <w:rPr>
                <w:rFonts w:ascii="Verdana" w:eastAsia="Calibri" w:hAnsi="Verdana" w:cs="Arial"/>
                <w:b/>
                <w:bCs/>
                <w:color w:val="7030A0"/>
                <w:lang w:val="es-ES" w:eastAsia="es-ES"/>
              </w:rPr>
            </w:pPr>
            <w:r w:rsidRPr="004C01E1">
              <w:rPr>
                <w:rFonts w:ascii="Verdana" w:eastAsia="Calibri" w:hAnsi="Verdana" w:cs="Arial"/>
                <w:b/>
                <w:bCs/>
                <w:lang w:val="es-ES" w:eastAsia="es-ES"/>
              </w:rPr>
              <w:t>Concepto C-494</w:t>
            </w:r>
            <w:r w:rsidRPr="004C01E1">
              <w:rPr>
                <w:rFonts w:ascii="Verdana" w:eastAsia="Calibri" w:hAnsi="Verdana" w:cs="Arial"/>
                <w:b/>
                <w:bCs/>
                <w:color w:val="7030A0"/>
                <w:lang w:val="es-ES" w:eastAsia="es-ES"/>
              </w:rPr>
              <w:t xml:space="preserve"> </w:t>
            </w:r>
            <w:r w:rsidRPr="004C01E1">
              <w:rPr>
                <w:rFonts w:ascii="Verdana" w:eastAsia="Calibri" w:hAnsi="Verdana" w:cs="Arial"/>
                <w:b/>
                <w:bCs/>
                <w:lang w:val="es-ES" w:eastAsia="es-ES"/>
              </w:rPr>
              <w:t>de 2025</w:t>
            </w:r>
          </w:p>
        </w:tc>
      </w:tr>
      <w:tr w:rsidR="004C01E1" w:rsidRPr="004C01E1" w14:paraId="6D3BDAF7" w14:textId="77777777" w:rsidTr="004000F4">
        <w:trPr>
          <w:trHeight w:val="884"/>
        </w:trPr>
        <w:tc>
          <w:tcPr>
            <w:tcW w:w="2689" w:type="dxa"/>
          </w:tcPr>
          <w:p w14:paraId="43506F18" w14:textId="77777777" w:rsidR="004C01E1" w:rsidRPr="004C01E1" w:rsidRDefault="004C01E1" w:rsidP="004C01E1">
            <w:pPr>
              <w:jc w:val="both"/>
              <w:rPr>
                <w:rFonts w:ascii="Verdana" w:eastAsia="Calibri" w:hAnsi="Verdana" w:cs="Arial"/>
                <w:color w:val="000000"/>
                <w:lang w:val="es-ES_tradnl" w:eastAsia="es-ES_tradnl"/>
              </w:rPr>
            </w:pPr>
            <w:r w:rsidRPr="004C01E1">
              <w:rPr>
                <w:rFonts w:ascii="Verdana" w:eastAsia="Calibri" w:hAnsi="Verdana" w:cs="Arial"/>
                <w:b/>
                <w:color w:val="000000"/>
                <w:lang w:val="es-ES_tradnl" w:eastAsia="es-ES_tradnl"/>
              </w:rPr>
              <w:t>Temas:</w:t>
            </w:r>
            <w:r w:rsidRPr="004C01E1">
              <w:rPr>
                <w:rFonts w:ascii="Verdana" w:eastAsia="Calibri" w:hAnsi="Verdana" w:cs="Arial"/>
                <w:color w:val="000000"/>
                <w:lang w:val="es-ES_tradnl" w:eastAsia="es-ES_tradnl"/>
              </w:rPr>
              <w:t xml:space="preserve">                   </w:t>
            </w:r>
          </w:p>
        </w:tc>
        <w:tc>
          <w:tcPr>
            <w:tcW w:w="6100" w:type="dxa"/>
          </w:tcPr>
          <w:p w14:paraId="7FC2BF8F" w14:textId="77777777" w:rsidR="004C01E1" w:rsidRPr="004C01E1" w:rsidRDefault="004C01E1" w:rsidP="004C01E1">
            <w:pPr>
              <w:spacing w:line="276" w:lineRule="auto"/>
              <w:jc w:val="both"/>
              <w:rPr>
                <w:rFonts w:ascii="Verdana" w:eastAsia="Calibri" w:hAnsi="Verdana" w:cs="Arial"/>
                <w:lang w:val="es-ES_tradnl" w:eastAsia="es-ES"/>
              </w:rPr>
            </w:pPr>
            <w:r w:rsidRPr="004C01E1">
              <w:rPr>
                <w:rFonts w:ascii="Verdana" w:eastAsia="Calibri" w:hAnsi="Verdana" w:cs="Arial"/>
                <w:lang w:val="es-ES" w:eastAsia="es-ES"/>
              </w:rPr>
              <w:t xml:space="preserve">EMPRESAS DE SERVICIOS PUBLICOS DOMICILIARIOS– Régimen jurídico / </w:t>
            </w:r>
            <w:bookmarkStart w:id="1" w:name="_Hlk186232848"/>
            <w:r w:rsidRPr="004C01E1">
              <w:rPr>
                <w:rFonts w:ascii="Verdana" w:eastAsia="Calibri" w:hAnsi="Verdana" w:cs="Arial"/>
                <w:lang w:val="es-ES_tradnl" w:eastAsia="es-ES"/>
              </w:rPr>
              <w:t>SECOP –Ley 2195 de 2022 – Entidades exceptuadas</w:t>
            </w:r>
            <w:r w:rsidRPr="004C01E1">
              <w:rPr>
                <w:rFonts w:ascii="Verdana" w:eastAsia="Calibri" w:hAnsi="Verdana" w:cs="Arial"/>
                <w:lang w:val="es-ES" w:eastAsia="es-ES"/>
              </w:rPr>
              <w:t xml:space="preserve"> </w:t>
            </w:r>
            <w:bookmarkEnd w:id="1"/>
            <w:r w:rsidRPr="004C01E1">
              <w:rPr>
                <w:rFonts w:ascii="Verdana" w:eastAsia="Calibri" w:hAnsi="Verdana" w:cs="Arial"/>
                <w:lang w:val="es-ES_tradnl" w:eastAsia="es-ES"/>
              </w:rPr>
              <w:t xml:space="preserve">/ </w:t>
            </w:r>
            <w:bookmarkStart w:id="2" w:name="_Hlk186233013"/>
            <w:r w:rsidRPr="004C01E1">
              <w:rPr>
                <w:rFonts w:ascii="Verdana" w:eastAsia="Calibri" w:hAnsi="Verdana" w:cs="Arial"/>
                <w:lang w:val="es-ES_tradnl" w:eastAsia="es-ES"/>
              </w:rPr>
              <w:t>CIRCULAR 002 de 2024 – Recursos públicos</w:t>
            </w:r>
            <w:bookmarkEnd w:id="2"/>
            <w:r w:rsidRPr="004C01E1">
              <w:rPr>
                <w:rFonts w:ascii="Verdana" w:eastAsia="Times New Roman" w:hAnsi="Verdana" w:cs="Arial"/>
                <w:lang w:eastAsia="es-ES_tradnl"/>
              </w:rPr>
              <w:t xml:space="preserve">DOCUMENTOS TIPO – Fundamento normativo – Obligatoriedad – Ámbito de aplicación – Entidades sometidas </w:t>
            </w:r>
            <w:r w:rsidRPr="004C01E1">
              <w:rPr>
                <w:rFonts w:ascii="Verdana" w:eastAsia="Calibri" w:hAnsi="Verdana" w:cs="Arial"/>
                <w:color w:val="000000"/>
                <w:lang w:val="es-ES_tradnl" w:eastAsia="es-ES_tradnl"/>
              </w:rPr>
              <w:t>/ LEY 2195 DE 2022 – Artículo 56 – Personas jurídicas de derecho privado – Documentos tipo – Estatuto General de Contratación de la Administración Pública / LEY 2195 DE 2022 – Artículo 56 – Parágrafo – Excepciones / LEY 2195 DE 2022 – Artículo 56 – Parágrafo – Giro ordinario / LEY 2195 DE 2022 – Artículo 56 – Parágrafo – Interpretación restrictiva</w:t>
            </w:r>
          </w:p>
        </w:tc>
      </w:tr>
      <w:tr w:rsidR="004C01E1" w:rsidRPr="004C01E1" w14:paraId="77808793" w14:textId="77777777" w:rsidTr="004000F4">
        <w:tc>
          <w:tcPr>
            <w:tcW w:w="2689" w:type="dxa"/>
          </w:tcPr>
          <w:p w14:paraId="2C4C260D" w14:textId="77777777" w:rsidR="004C01E1" w:rsidRPr="004C01E1" w:rsidRDefault="004C01E1" w:rsidP="004C01E1">
            <w:pPr>
              <w:jc w:val="both"/>
              <w:rPr>
                <w:rFonts w:ascii="Verdana" w:eastAsia="Calibri" w:hAnsi="Verdana" w:cs="Arial"/>
                <w:b/>
                <w:lang w:val="es-ES_tradnl" w:eastAsia="es-ES_tradnl"/>
              </w:rPr>
            </w:pPr>
            <w:r w:rsidRPr="004C01E1">
              <w:rPr>
                <w:rFonts w:ascii="Verdana" w:eastAsia="Calibri" w:hAnsi="Verdana" w:cs="Arial"/>
                <w:b/>
                <w:lang w:val="es-ES_tradnl" w:eastAsia="es-ES_tradnl"/>
              </w:rPr>
              <w:t>Radicación:</w:t>
            </w:r>
            <w:r w:rsidRPr="004C01E1">
              <w:rPr>
                <w:rFonts w:ascii="Verdana" w:eastAsia="Calibri" w:hAnsi="Verdana" w:cs="Arial"/>
                <w:lang w:val="es-ES_tradnl" w:eastAsia="es-ES_tradnl"/>
              </w:rPr>
              <w:t xml:space="preserve">               </w:t>
            </w:r>
          </w:p>
        </w:tc>
        <w:tc>
          <w:tcPr>
            <w:tcW w:w="6100" w:type="dxa"/>
          </w:tcPr>
          <w:p w14:paraId="005C7EFE" w14:textId="77777777" w:rsidR="004C01E1" w:rsidRPr="004C01E1" w:rsidRDefault="004C01E1" w:rsidP="004C01E1">
            <w:pPr>
              <w:jc w:val="both"/>
              <w:rPr>
                <w:rFonts w:ascii="Verdana" w:eastAsia="Calibri" w:hAnsi="Verdana" w:cs="Arial"/>
                <w:lang w:val="es-ES_tradnl" w:eastAsia="es-ES_tradnl"/>
              </w:rPr>
            </w:pPr>
            <w:r w:rsidRPr="004C01E1">
              <w:rPr>
                <w:rFonts w:ascii="Verdana" w:eastAsia="Calibri" w:hAnsi="Verdana" w:cs="Arial"/>
                <w:lang w:val="es-ES_tradnl" w:eastAsia="es-ES_tradnl"/>
              </w:rPr>
              <w:t>Respuesta a consulta con radicado No. P20250415003654</w:t>
            </w:r>
          </w:p>
        </w:tc>
      </w:tr>
    </w:tbl>
    <w:p w14:paraId="18DE002D" w14:textId="77777777" w:rsidR="004C01E1" w:rsidRPr="004C01E1" w:rsidRDefault="004C01E1" w:rsidP="004C01E1">
      <w:pPr>
        <w:spacing w:after="0" w:line="240" w:lineRule="auto"/>
        <w:jc w:val="both"/>
        <w:rPr>
          <w:rFonts w:ascii="Verdana" w:eastAsia="Calibri" w:hAnsi="Verdana" w:cs="Arial"/>
          <w:color w:val="000000"/>
          <w:lang w:val="es-ES_tradnl" w:eastAsia="es-ES_tradnl"/>
        </w:rPr>
      </w:pPr>
    </w:p>
    <w:p w14:paraId="17B98442" w14:textId="77777777" w:rsidR="004C01E1" w:rsidRPr="004C01E1" w:rsidRDefault="004C01E1" w:rsidP="004C01E1">
      <w:pPr>
        <w:spacing w:after="0" w:line="240" w:lineRule="auto"/>
        <w:jc w:val="both"/>
        <w:rPr>
          <w:rFonts w:ascii="Verdana" w:eastAsia="Calibri" w:hAnsi="Verdana" w:cs="Arial"/>
          <w:color w:val="000000"/>
          <w:lang w:val="es-ES_tradnl" w:eastAsia="es-ES_tradnl"/>
        </w:rPr>
      </w:pPr>
    </w:p>
    <w:p w14:paraId="43139D83" w14:textId="77777777" w:rsidR="004C01E1" w:rsidRPr="004C01E1" w:rsidRDefault="004C01E1" w:rsidP="004C01E1">
      <w:pPr>
        <w:spacing w:after="0" w:line="276" w:lineRule="auto"/>
        <w:jc w:val="both"/>
        <w:rPr>
          <w:rFonts w:ascii="Verdana" w:eastAsia="Calibri" w:hAnsi="Verdana" w:cs="Arial"/>
          <w:color w:val="000000"/>
          <w:lang w:val="es-ES" w:eastAsia="es-ES"/>
        </w:rPr>
      </w:pPr>
      <w:r w:rsidRPr="004C01E1">
        <w:rPr>
          <w:rFonts w:ascii="Verdana" w:eastAsia="Calibri" w:hAnsi="Verdana" w:cs="Arial"/>
          <w:color w:val="000000"/>
          <w:lang w:val="es-ES" w:eastAsia="es-ES"/>
        </w:rPr>
        <w:t xml:space="preserve">Estimada </w:t>
      </w:r>
      <w:r w:rsidRPr="004C01E1">
        <w:rPr>
          <w:rFonts w:ascii="Verdana" w:eastAsia="Calibri" w:hAnsi="Verdana" w:cs="Arial"/>
          <w:lang w:val="es-ES" w:eastAsia="es-ES"/>
        </w:rPr>
        <w:t xml:space="preserve">señora Murillo Díaz: </w:t>
      </w:r>
    </w:p>
    <w:p w14:paraId="628E73A5" w14:textId="77777777" w:rsidR="004C01E1" w:rsidRPr="004C01E1" w:rsidRDefault="004C01E1" w:rsidP="004C01E1">
      <w:pPr>
        <w:tabs>
          <w:tab w:val="left" w:pos="3768"/>
        </w:tabs>
        <w:spacing w:after="0" w:line="276" w:lineRule="auto"/>
        <w:jc w:val="both"/>
        <w:rPr>
          <w:rFonts w:ascii="Verdana" w:eastAsia="Calibri" w:hAnsi="Verdana" w:cs="Arial"/>
          <w:color w:val="000000"/>
          <w:lang w:val="es-ES" w:eastAsia="es-ES"/>
        </w:rPr>
      </w:pPr>
      <w:r w:rsidRPr="004C01E1">
        <w:rPr>
          <w:rFonts w:ascii="Verdana" w:eastAsia="Calibri" w:hAnsi="Verdana" w:cs="Arial"/>
          <w:color w:val="000000"/>
          <w:lang w:val="es-ES" w:eastAsia="es-ES"/>
        </w:rPr>
        <w:tab/>
      </w:r>
    </w:p>
    <w:p w14:paraId="0DF75E9B" w14:textId="77777777" w:rsidR="004C01E1" w:rsidRPr="004C01E1" w:rsidRDefault="004C01E1" w:rsidP="004C01E1">
      <w:pPr>
        <w:spacing w:after="0" w:line="276" w:lineRule="auto"/>
        <w:jc w:val="both"/>
        <w:rPr>
          <w:rFonts w:ascii="Verdana" w:eastAsia="Calibri" w:hAnsi="Verdana" w:cs="Arial"/>
          <w:color w:val="7030A0"/>
          <w:lang w:val="es-ES" w:eastAsia="es-ES"/>
        </w:rPr>
      </w:pPr>
      <w:r w:rsidRPr="004C01E1">
        <w:rPr>
          <w:rFonts w:ascii="Verdana" w:eastAsia="Calibri" w:hAnsi="Verdana" w:cs="Arial"/>
          <w:color w:val="000000"/>
          <w:lang w:val="es-ES" w:eastAsia="es-ES"/>
        </w:rPr>
        <w:t>En ejercicio de la competencia otorgada por los artículos 3, numeral 5º, y 11, numeral 8º, del Decreto Ley 4170 de 2011,</w:t>
      </w:r>
      <w:r w:rsidRPr="004C01E1">
        <w:rPr>
          <w:rFonts w:ascii="Verdana" w:eastAsia="Arial MT" w:hAnsi="Verdana" w:cs="Arial MT"/>
          <w:lang w:val="es-ES" w:eastAsia="es-ES"/>
        </w:rPr>
        <w:t xml:space="preserve"> </w:t>
      </w:r>
      <w:r w:rsidRPr="004C01E1">
        <w:rPr>
          <w:rFonts w:ascii="Verdana" w:eastAsia="Calibri" w:hAnsi="Verdana" w:cs="Arial"/>
        </w:rPr>
        <w:t xml:space="preserve">así como lo establecido en el artículo 4 de la Resolución 1707 de 2018 expedida por esta Entidad, </w:t>
      </w:r>
      <w:r w:rsidRPr="004C01E1">
        <w:rPr>
          <w:rFonts w:ascii="Verdana" w:eastAsia="Calibri" w:hAnsi="Verdana" w:cs="Arial"/>
          <w:color w:val="000000"/>
          <w:lang w:val="es-ES" w:eastAsia="es-ES"/>
        </w:rPr>
        <w:t xml:space="preserve">la Agencia Nacional de Contratación Pública – Colombia Compra Eficiente– responde su solicitud de consulta de </w:t>
      </w:r>
      <w:r w:rsidRPr="004C01E1">
        <w:rPr>
          <w:rFonts w:ascii="Verdana" w:eastAsia="Calibri" w:hAnsi="Verdana" w:cs="Arial"/>
          <w:lang w:val="es-ES" w:eastAsia="es-ES"/>
        </w:rPr>
        <w:t xml:space="preserve">fecha 15 de abril de 2025, en la cual manifiesta lo siguiente: </w:t>
      </w:r>
    </w:p>
    <w:p w14:paraId="65F515BB" w14:textId="77777777" w:rsidR="004C01E1" w:rsidRPr="004C01E1" w:rsidRDefault="004C01E1" w:rsidP="004C01E1">
      <w:pPr>
        <w:tabs>
          <w:tab w:val="left" w:pos="142"/>
          <w:tab w:val="left" w:pos="284"/>
        </w:tabs>
        <w:spacing w:line="276" w:lineRule="auto"/>
        <w:contextualSpacing/>
        <w:jc w:val="both"/>
        <w:rPr>
          <w:rFonts w:ascii="Verdana" w:eastAsia="Century Gothic" w:hAnsi="Verdana" w:cs="Century Gothic"/>
          <w:b/>
          <w:bCs/>
          <w:lang w:val="es-ES"/>
        </w:rPr>
      </w:pPr>
    </w:p>
    <w:p w14:paraId="064F9455" w14:textId="77777777" w:rsidR="004C01E1" w:rsidRPr="004C01E1" w:rsidRDefault="004C01E1" w:rsidP="004C01E1">
      <w:pPr>
        <w:tabs>
          <w:tab w:val="left" w:pos="142"/>
          <w:tab w:val="left" w:pos="284"/>
        </w:tabs>
        <w:spacing w:line="276" w:lineRule="auto"/>
        <w:ind w:left="720" w:right="616"/>
        <w:contextualSpacing/>
        <w:jc w:val="both"/>
        <w:rPr>
          <w:rFonts w:ascii="Verdana" w:eastAsia="Century Gothic" w:hAnsi="Verdana" w:cs="Century Gothic"/>
          <w:i/>
          <w:iCs/>
          <w:sz w:val="20"/>
          <w:szCs w:val="20"/>
          <w:lang w:val="es-ES"/>
        </w:rPr>
      </w:pPr>
      <w:r w:rsidRPr="004C01E1">
        <w:rPr>
          <w:rFonts w:ascii="Verdana" w:eastAsia="Century Gothic" w:hAnsi="Verdana" w:cs="Century Gothic"/>
          <w:i/>
          <w:iCs/>
          <w:sz w:val="20"/>
          <w:szCs w:val="20"/>
          <w:lang w:val="es-ES"/>
        </w:rPr>
        <w:t>“</w:t>
      </w:r>
      <w:proofErr w:type="gramStart"/>
      <w:r w:rsidRPr="004C01E1">
        <w:rPr>
          <w:rFonts w:ascii="Verdana" w:eastAsia="Century Gothic" w:hAnsi="Verdana" w:cs="Century Gothic"/>
          <w:i/>
          <w:iCs/>
          <w:sz w:val="20"/>
          <w:szCs w:val="20"/>
        </w:rPr>
        <w:t xml:space="preserve">Teniendo en cuenta el contenido del Artículo 53 de la Ley 2195 de 2022 y de la Circular Externa 002 de 2022 de Colombia Compra Eficiente, una </w:t>
      </w:r>
      <w:r w:rsidRPr="004C01E1">
        <w:rPr>
          <w:rFonts w:ascii="Verdana" w:eastAsia="Century Gothic" w:hAnsi="Verdana" w:cs="Century Gothic"/>
          <w:i/>
          <w:iCs/>
          <w:sz w:val="20"/>
          <w:szCs w:val="20"/>
        </w:rPr>
        <w:lastRenderedPageBreak/>
        <w:t>empresa prestadora de servicios públicos (Acueducto, Alcantarillado y Aseo) la cual es una sociedad anónima, donde el municipio es el accionista mayoritario, está obligada a publicar su actividad contractual?</w:t>
      </w:r>
      <w:proofErr w:type="gramEnd"/>
      <w:r w:rsidRPr="004C01E1">
        <w:rPr>
          <w:rFonts w:ascii="Verdana" w:eastAsia="Century Gothic" w:hAnsi="Verdana" w:cs="Century Gothic"/>
          <w:i/>
          <w:iCs/>
          <w:sz w:val="20"/>
          <w:szCs w:val="20"/>
        </w:rPr>
        <w:t xml:space="preserve"> y de ser positiva su respuesta cual portal de contratación debe usar? SECOP I o </w:t>
      </w:r>
      <w:proofErr w:type="gramStart"/>
      <w:r w:rsidRPr="004C01E1">
        <w:rPr>
          <w:rFonts w:ascii="Verdana" w:eastAsia="Century Gothic" w:hAnsi="Verdana" w:cs="Century Gothic"/>
          <w:i/>
          <w:iCs/>
          <w:sz w:val="20"/>
          <w:szCs w:val="20"/>
        </w:rPr>
        <w:t>SECOPII?.</w:t>
      </w:r>
      <w:proofErr w:type="gramEnd"/>
      <w:r w:rsidRPr="004C01E1">
        <w:rPr>
          <w:rFonts w:ascii="Verdana" w:eastAsia="Century Gothic" w:hAnsi="Verdana" w:cs="Century Gothic"/>
          <w:i/>
          <w:iCs/>
          <w:sz w:val="20"/>
          <w:szCs w:val="20"/>
        </w:rPr>
        <w:t xml:space="preserve"> </w:t>
      </w:r>
      <w:proofErr w:type="gramStart"/>
      <w:r w:rsidRPr="004C01E1">
        <w:rPr>
          <w:rFonts w:ascii="Verdana" w:eastAsia="Century Gothic" w:hAnsi="Verdana" w:cs="Century Gothic"/>
          <w:i/>
          <w:iCs/>
          <w:sz w:val="20"/>
          <w:szCs w:val="20"/>
        </w:rPr>
        <w:t>De acuerdo con parágrafo del artículo 56 de la Ley 2195 de 2022, me pueden indicar a que se refiere la expresión GIRO ORDINARIO?</w:t>
      </w:r>
      <w:proofErr w:type="gramEnd"/>
      <w:r w:rsidRPr="004C01E1">
        <w:rPr>
          <w:rFonts w:ascii="Verdana" w:eastAsia="Century Gothic" w:hAnsi="Verdana" w:cs="Century Gothic"/>
          <w:i/>
          <w:iCs/>
          <w:sz w:val="20"/>
          <w:szCs w:val="20"/>
        </w:rPr>
        <w:t xml:space="preserve">, es decir cuándo </w:t>
      </w:r>
      <w:proofErr w:type="spellStart"/>
      <w:r w:rsidRPr="004C01E1">
        <w:rPr>
          <w:rFonts w:ascii="Verdana" w:eastAsia="Century Gothic" w:hAnsi="Verdana" w:cs="Century Gothic"/>
          <w:i/>
          <w:iCs/>
          <w:sz w:val="20"/>
          <w:szCs w:val="20"/>
        </w:rPr>
        <w:t>estan</w:t>
      </w:r>
      <w:proofErr w:type="spellEnd"/>
      <w:r w:rsidRPr="004C01E1">
        <w:rPr>
          <w:rFonts w:ascii="Verdana" w:eastAsia="Century Gothic" w:hAnsi="Verdana" w:cs="Century Gothic"/>
          <w:i/>
          <w:iCs/>
          <w:sz w:val="20"/>
          <w:szCs w:val="20"/>
        </w:rPr>
        <w:t xml:space="preserve"> exceptuadas las entidades de </w:t>
      </w:r>
      <w:proofErr w:type="spellStart"/>
      <w:r w:rsidRPr="004C01E1">
        <w:rPr>
          <w:rFonts w:ascii="Verdana" w:eastAsia="Century Gothic" w:hAnsi="Verdana" w:cs="Century Gothic"/>
          <w:i/>
          <w:iCs/>
          <w:sz w:val="20"/>
          <w:szCs w:val="20"/>
        </w:rPr>
        <w:t>regimen</w:t>
      </w:r>
      <w:proofErr w:type="spellEnd"/>
      <w:r w:rsidRPr="004C01E1">
        <w:rPr>
          <w:rFonts w:ascii="Verdana" w:eastAsia="Century Gothic" w:hAnsi="Verdana" w:cs="Century Gothic"/>
          <w:i/>
          <w:iCs/>
          <w:sz w:val="20"/>
          <w:szCs w:val="20"/>
        </w:rPr>
        <w:t xml:space="preserve"> especial de aplicar los documentos </w:t>
      </w:r>
      <w:proofErr w:type="gramStart"/>
      <w:r w:rsidRPr="004C01E1">
        <w:rPr>
          <w:rFonts w:ascii="Verdana" w:eastAsia="Century Gothic" w:hAnsi="Verdana" w:cs="Century Gothic"/>
          <w:i/>
          <w:iCs/>
          <w:sz w:val="20"/>
          <w:szCs w:val="20"/>
        </w:rPr>
        <w:t>tipo?.</w:t>
      </w:r>
      <w:proofErr w:type="gramEnd"/>
      <w:r w:rsidRPr="004C01E1">
        <w:rPr>
          <w:rFonts w:ascii="Verdana" w:eastAsia="Century Gothic" w:hAnsi="Verdana" w:cs="Century Gothic"/>
          <w:i/>
          <w:iCs/>
          <w:sz w:val="20"/>
          <w:szCs w:val="20"/>
        </w:rPr>
        <w:t xml:space="preserve"> Una ESPD constituida como SA, que celebre un convenio </w:t>
      </w:r>
      <w:proofErr w:type="spellStart"/>
      <w:r w:rsidRPr="004C01E1">
        <w:rPr>
          <w:rFonts w:ascii="Verdana" w:eastAsia="Century Gothic" w:hAnsi="Verdana" w:cs="Century Gothic"/>
          <w:i/>
          <w:iCs/>
          <w:sz w:val="20"/>
          <w:szCs w:val="20"/>
        </w:rPr>
        <w:t>interadminitrativo</w:t>
      </w:r>
      <w:proofErr w:type="spellEnd"/>
      <w:r w:rsidRPr="004C01E1">
        <w:rPr>
          <w:rFonts w:ascii="Verdana" w:eastAsia="Century Gothic" w:hAnsi="Verdana" w:cs="Century Gothic"/>
          <w:i/>
          <w:iCs/>
          <w:sz w:val="20"/>
          <w:szCs w:val="20"/>
        </w:rPr>
        <w:t xml:space="preserve"> con un municipio para la construcción de obras de infraestructura de agua potable y saneamiento básico, cuyo monto sea superior a la menor cuantía del municipio y deba </w:t>
      </w:r>
      <w:proofErr w:type="gramStart"/>
      <w:r w:rsidRPr="004C01E1">
        <w:rPr>
          <w:rFonts w:ascii="Verdana" w:eastAsia="Century Gothic" w:hAnsi="Verdana" w:cs="Century Gothic"/>
          <w:i/>
          <w:iCs/>
          <w:sz w:val="20"/>
          <w:szCs w:val="20"/>
        </w:rPr>
        <w:t>sub contratar</w:t>
      </w:r>
      <w:proofErr w:type="gramEnd"/>
      <w:r w:rsidRPr="004C01E1">
        <w:rPr>
          <w:rFonts w:ascii="Verdana" w:eastAsia="Century Gothic" w:hAnsi="Verdana" w:cs="Century Gothic"/>
          <w:i/>
          <w:iCs/>
          <w:sz w:val="20"/>
          <w:szCs w:val="20"/>
        </w:rPr>
        <w:t>, está obligada a aplicar pliegos tipo?</w:t>
      </w:r>
      <w:r w:rsidRPr="004C01E1">
        <w:rPr>
          <w:rFonts w:ascii="Verdana" w:eastAsia="Century Gothic" w:hAnsi="Verdana" w:cs="Century Gothic"/>
          <w:i/>
          <w:iCs/>
          <w:sz w:val="20"/>
          <w:szCs w:val="20"/>
          <w:lang w:val="es-ES"/>
        </w:rPr>
        <w:t>” (SIC)</w:t>
      </w:r>
    </w:p>
    <w:p w14:paraId="35FA3BD9" w14:textId="77777777" w:rsidR="004C01E1" w:rsidRPr="004C01E1" w:rsidRDefault="004C01E1" w:rsidP="004C01E1">
      <w:pPr>
        <w:tabs>
          <w:tab w:val="left" w:pos="142"/>
          <w:tab w:val="left" w:pos="284"/>
        </w:tabs>
        <w:spacing w:line="276" w:lineRule="auto"/>
        <w:ind w:left="720" w:right="616"/>
        <w:contextualSpacing/>
        <w:jc w:val="both"/>
        <w:rPr>
          <w:rFonts w:ascii="Verdana" w:eastAsia="Century Gothic" w:hAnsi="Verdana" w:cs="Century Gothic"/>
          <w:b/>
          <w:bCs/>
          <w:i/>
          <w:iCs/>
          <w:lang w:val="es-ES"/>
        </w:rPr>
      </w:pPr>
    </w:p>
    <w:p w14:paraId="5BD6CBCC" w14:textId="77777777" w:rsidR="004C01E1" w:rsidRPr="004C01E1" w:rsidRDefault="004C01E1" w:rsidP="004C01E1">
      <w:pPr>
        <w:spacing w:after="120" w:line="276" w:lineRule="auto"/>
        <w:ind w:firstLine="709"/>
        <w:jc w:val="both"/>
        <w:rPr>
          <w:rFonts w:ascii="Verdana" w:eastAsia="Calibri" w:hAnsi="Verdana" w:cs="Arial"/>
          <w:color w:val="000000"/>
          <w:szCs w:val="24"/>
          <w:lang w:val="es-ES_tradnl" w:eastAsia="es-ES_tradnl"/>
        </w:rPr>
      </w:pPr>
      <w:r w:rsidRPr="004C01E1">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C01E1">
        <w:rPr>
          <w:rFonts w:ascii="Verdana" w:eastAsia="Calibri" w:hAnsi="Verdana" w:cs="Arial"/>
          <w:color w:val="000000"/>
          <w:szCs w:val="24"/>
          <w:lang w:val="es-ES_tradnl" w:eastAsia="es-ES_tradnl"/>
        </w:rPr>
        <w:tab/>
      </w:r>
    </w:p>
    <w:p w14:paraId="5A553463" w14:textId="77777777" w:rsidR="004C01E1" w:rsidRPr="004C01E1" w:rsidRDefault="004C01E1" w:rsidP="004C01E1">
      <w:pPr>
        <w:spacing w:after="0" w:line="276" w:lineRule="auto"/>
        <w:ind w:firstLine="709"/>
        <w:jc w:val="both"/>
        <w:rPr>
          <w:rFonts w:ascii="Verdana" w:eastAsia="Calibri" w:hAnsi="Verdana" w:cs="Arial"/>
          <w:color w:val="000000"/>
          <w:lang w:val="es-ES" w:eastAsia="es-ES"/>
        </w:rPr>
      </w:pPr>
      <w:r w:rsidRPr="004C01E1">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4C01E1">
        <w:rPr>
          <w:rFonts w:ascii="Verdana" w:eastAsia="Calibri" w:hAnsi="Verdana" w:cs="Arial"/>
          <w:color w:val="7030A0"/>
          <w:lang w:val="es-ES" w:eastAsia="es-ES"/>
        </w:rPr>
        <w:t xml:space="preserve"> </w:t>
      </w:r>
      <w:r w:rsidRPr="004C01E1">
        <w:rPr>
          <w:rFonts w:ascii="Verdana" w:eastAsia="Calibri" w:hAnsi="Verdana" w:cs="Arial"/>
          <w:color w:val="000000"/>
          <w:lang w:val="es-ES" w:eastAsia="es-ES"/>
        </w:rPr>
        <w:t>problema</w:t>
      </w:r>
      <w:r w:rsidRPr="004C01E1">
        <w:rPr>
          <w:rFonts w:ascii="Verdana" w:eastAsia="Calibri" w:hAnsi="Verdana" w:cs="Arial"/>
          <w:color w:val="7030A0"/>
          <w:lang w:val="es-ES" w:eastAsia="es-ES"/>
        </w:rPr>
        <w:t xml:space="preserve"> </w:t>
      </w:r>
      <w:r w:rsidRPr="004C01E1">
        <w:rPr>
          <w:rFonts w:ascii="Verdana" w:eastAsia="Calibri" w:hAnsi="Verdana" w:cs="Arial"/>
          <w:color w:val="000000"/>
          <w:lang w:val="es-ES" w:eastAsia="es-ES"/>
        </w:rPr>
        <w:t>jurídico</w:t>
      </w:r>
      <w:r w:rsidRPr="004C01E1">
        <w:rPr>
          <w:rFonts w:ascii="Verdana" w:eastAsia="Calibri" w:hAnsi="Verdana" w:cs="Arial"/>
          <w:color w:val="7030A0"/>
          <w:lang w:val="es-ES" w:eastAsia="es-ES"/>
        </w:rPr>
        <w:t xml:space="preserve"> </w:t>
      </w:r>
      <w:r w:rsidRPr="004C01E1">
        <w:rPr>
          <w:rFonts w:ascii="Verdana" w:eastAsia="Calibri" w:hAnsi="Verdana" w:cs="Arial"/>
          <w:color w:val="000000"/>
          <w:lang w:val="es-ES" w:eastAsia="es-ES"/>
        </w:rPr>
        <w:t xml:space="preserve">de su consulta. </w:t>
      </w:r>
    </w:p>
    <w:p w14:paraId="11C7ADA8" w14:textId="77777777" w:rsidR="004C01E1" w:rsidRPr="004C01E1" w:rsidRDefault="004C01E1" w:rsidP="004C01E1">
      <w:pPr>
        <w:spacing w:after="0" w:line="276" w:lineRule="auto"/>
        <w:ind w:firstLine="709"/>
        <w:jc w:val="both"/>
        <w:rPr>
          <w:rFonts w:ascii="Verdana" w:eastAsia="Calibri" w:hAnsi="Verdana" w:cs="Arial"/>
          <w:color w:val="000000"/>
          <w:lang w:val="es-ES" w:eastAsia="es-ES"/>
        </w:rPr>
      </w:pPr>
    </w:p>
    <w:p w14:paraId="345DCAE4" w14:textId="77777777" w:rsidR="004C01E1" w:rsidRPr="004C01E1" w:rsidRDefault="004C01E1" w:rsidP="004C01E1">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4C01E1">
        <w:rPr>
          <w:rFonts w:ascii="Verdana" w:eastAsia="Century Gothic" w:hAnsi="Verdana" w:cs="Century Gothic"/>
          <w:b/>
          <w:bCs/>
          <w:lang w:val="es-ES"/>
        </w:rPr>
        <w:t>Problema planteado:</w:t>
      </w:r>
    </w:p>
    <w:p w14:paraId="0D3D63E6" w14:textId="77777777" w:rsidR="004C01E1" w:rsidRPr="004C01E1" w:rsidRDefault="004C01E1" w:rsidP="004C01E1">
      <w:pPr>
        <w:tabs>
          <w:tab w:val="left" w:pos="426"/>
        </w:tabs>
        <w:spacing w:after="0" w:line="276" w:lineRule="auto"/>
        <w:jc w:val="both"/>
        <w:rPr>
          <w:rFonts w:ascii="Verdana" w:eastAsia="Century Gothic" w:hAnsi="Verdana" w:cs="Century Gothic"/>
          <w:lang w:val="es-ES"/>
        </w:rPr>
      </w:pPr>
    </w:p>
    <w:p w14:paraId="072E2495" w14:textId="77777777" w:rsidR="004C01E1" w:rsidRPr="004C01E1" w:rsidRDefault="004C01E1" w:rsidP="004C01E1">
      <w:pPr>
        <w:spacing w:after="0" w:line="278" w:lineRule="auto"/>
        <w:jc w:val="both"/>
        <w:rPr>
          <w:rFonts w:ascii="Verdana" w:eastAsia="Century Gothic" w:hAnsi="Verdana" w:cs="Century Gothic"/>
        </w:rPr>
      </w:pPr>
      <w:r w:rsidRPr="004C01E1">
        <w:rPr>
          <w:rFonts w:ascii="Verdana" w:eastAsia="Century Gothic" w:hAnsi="Verdana" w:cs="Century Gothic"/>
        </w:rPr>
        <w:t xml:space="preserve">De acuerdo con el contenido de su solicitud, esta Agencia resolverá los siguientes problemas jurídicos: i) ¿las Empresas de Servicios Públicos Domiciliarios de naturaleza mixta debe publicar su actividad contractual en el SECOP?, </w:t>
      </w:r>
      <w:proofErr w:type="spellStart"/>
      <w:r w:rsidRPr="004C01E1">
        <w:rPr>
          <w:rFonts w:ascii="Verdana" w:eastAsia="Century Gothic" w:hAnsi="Verdana" w:cs="Century Gothic"/>
        </w:rPr>
        <w:t>ii</w:t>
      </w:r>
      <w:proofErr w:type="spellEnd"/>
      <w:r w:rsidRPr="004C01E1">
        <w:rPr>
          <w:rFonts w:ascii="Verdana" w:eastAsia="Century Gothic" w:hAnsi="Verdana" w:cs="Century Gothic"/>
        </w:rPr>
        <w:t xml:space="preserve">) ¿Cuál es el alcance del artículo 56 de la Ley 2195 de 2022 en la celebración de un convenio interadministrativo y sus contratos derivados entre una entidad </w:t>
      </w:r>
      <w:r w:rsidRPr="004C01E1">
        <w:rPr>
          <w:rFonts w:ascii="Verdana" w:eastAsia="Century Gothic" w:hAnsi="Verdana" w:cs="Century Gothic"/>
        </w:rPr>
        <w:lastRenderedPageBreak/>
        <w:t xml:space="preserve">sometida al Estatuto General de Contratación de la Administración Pública y una Empresa de Servicios Públicas Domiciliarios? y </w:t>
      </w:r>
      <w:proofErr w:type="spellStart"/>
      <w:r w:rsidRPr="004C01E1">
        <w:rPr>
          <w:rFonts w:ascii="Verdana" w:eastAsia="Century Gothic" w:hAnsi="Verdana" w:cs="Century Gothic"/>
        </w:rPr>
        <w:t>iii</w:t>
      </w:r>
      <w:proofErr w:type="spellEnd"/>
      <w:r w:rsidRPr="004C01E1">
        <w:rPr>
          <w:rFonts w:ascii="Verdana" w:eastAsia="Century Gothic" w:hAnsi="Verdana" w:cs="Century Gothic"/>
        </w:rPr>
        <w:t>) ¿Cuál es el alcance de la expresión “giro ordinario” contenida en el parágrafo del artículo 56 de la Ley 2195 de 2022?</w:t>
      </w:r>
    </w:p>
    <w:p w14:paraId="103E1A2F" w14:textId="77777777" w:rsidR="004C01E1" w:rsidRPr="004C01E1" w:rsidRDefault="004C01E1" w:rsidP="004C01E1">
      <w:pPr>
        <w:spacing w:after="0" w:line="276" w:lineRule="auto"/>
        <w:jc w:val="both"/>
        <w:rPr>
          <w:rFonts w:ascii="Verdana" w:eastAsia="Calibri" w:hAnsi="Verdana" w:cs="Arial"/>
          <w:color w:val="7030A0"/>
          <w:lang w:val="es-ES"/>
        </w:rPr>
      </w:pPr>
    </w:p>
    <w:p w14:paraId="397F3D70" w14:textId="77777777" w:rsidR="004C01E1" w:rsidRPr="004C01E1" w:rsidRDefault="004C01E1" w:rsidP="004C01E1">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4C01E1">
        <w:rPr>
          <w:rFonts w:ascii="Verdana" w:eastAsia="Century Gothic" w:hAnsi="Verdana" w:cs="Century Gothic"/>
          <w:b/>
          <w:bCs/>
          <w:lang w:val="es-ES"/>
        </w:rPr>
        <w:t>Respuesta:</w:t>
      </w:r>
    </w:p>
    <w:p w14:paraId="6164CCA6" w14:textId="77777777" w:rsidR="004C01E1" w:rsidRPr="004C01E1" w:rsidRDefault="004C01E1" w:rsidP="004C01E1">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C01E1" w:rsidRPr="004C01E1" w14:paraId="3E0A48D6" w14:textId="77777777" w:rsidTr="004000F4">
        <w:tc>
          <w:tcPr>
            <w:tcW w:w="8828" w:type="dxa"/>
            <w:shd w:val="clear" w:color="auto" w:fill="auto"/>
          </w:tcPr>
          <w:p w14:paraId="730BE9C6" w14:textId="77777777" w:rsidR="004C01E1" w:rsidRPr="004C01E1" w:rsidRDefault="004C01E1" w:rsidP="004C01E1">
            <w:pPr>
              <w:numPr>
                <w:ilvl w:val="0"/>
                <w:numId w:val="19"/>
              </w:numPr>
              <w:spacing w:after="120" w:line="276" w:lineRule="auto"/>
              <w:ind w:left="-119" w:firstLine="476"/>
              <w:jc w:val="both"/>
              <w:rPr>
                <w:rFonts w:ascii="Verdana" w:eastAsia="Calibri" w:hAnsi="Verdana" w:cs="Arial"/>
                <w:color w:val="7030A0"/>
                <w:lang w:val="es-ES"/>
              </w:rPr>
            </w:pPr>
            <w:r w:rsidRPr="004C01E1">
              <w:rPr>
                <w:rFonts w:ascii="Verdana" w:eastAsia="Calibri" w:hAnsi="Verdana" w:cs="Arial"/>
              </w:rPr>
              <w:t xml:space="preserve">Sí, las empresas de servicios públicos como entidades </w:t>
            </w:r>
            <w:r w:rsidRPr="004C01E1">
              <w:rPr>
                <w:rFonts w:ascii="Verdana" w:eastAsia="Calibri" w:hAnsi="Verdana" w:cs="Arial"/>
                <w:bCs/>
              </w:rPr>
              <w:t xml:space="preserve">no sometidas al Estatuto General de Contratación de la Administración Pública, </w:t>
            </w:r>
            <w:r w:rsidRPr="004C01E1">
              <w:rPr>
                <w:rFonts w:ascii="Verdana" w:eastAsia="Calibri" w:hAnsi="Verdana" w:cs="Arial"/>
              </w:rPr>
              <w:t xml:space="preserve">en virtud del artículo </w:t>
            </w:r>
            <w:r w:rsidRPr="004C01E1">
              <w:rPr>
                <w:rFonts w:ascii="Verdana" w:eastAsia="Calibri" w:hAnsi="Verdana" w:cs="Arial"/>
                <w:color w:val="000000"/>
              </w:rPr>
              <w:t xml:space="preserve">53 de la Ley 2195 de 2022 y el </w:t>
            </w:r>
            <w:r w:rsidRPr="004C01E1">
              <w:rPr>
                <w:rFonts w:ascii="Verdana" w:eastAsia="Times New Roman" w:hAnsi="Verdana" w:cs="Arial"/>
                <w:lang w:val="es-ES_tradnl" w:eastAsia="es-ES_tradnl"/>
              </w:rPr>
              <w:t>artículo 3 de la Ley 1150 de 2007,</w:t>
            </w:r>
            <w:r w:rsidRPr="004C01E1">
              <w:rPr>
                <w:rFonts w:ascii="Verdana" w:eastAsia="Calibri" w:hAnsi="Verdana" w:cs="Arial"/>
                <w:bCs/>
              </w:rPr>
              <w:t xml:space="preserve"> </w:t>
            </w:r>
            <w:r w:rsidRPr="004C01E1">
              <w:rPr>
                <w:rFonts w:ascii="Verdana" w:eastAsia="Calibri" w:hAnsi="Verdana" w:cs="Arial"/>
              </w:rPr>
              <w:t>se encuentran obligadas a publicar en el SECOP II los documentos de su actividad contractual cuya fuente de financiación sea con recursos públicos, sin perjuicio de estar sometidas a regímenes de derecho privado.</w:t>
            </w:r>
          </w:p>
          <w:p w14:paraId="2B14393B" w14:textId="77777777" w:rsidR="004C01E1" w:rsidRPr="004C01E1" w:rsidRDefault="004C01E1" w:rsidP="004C01E1">
            <w:pPr>
              <w:numPr>
                <w:ilvl w:val="0"/>
                <w:numId w:val="19"/>
              </w:numPr>
              <w:spacing w:after="120" w:line="276" w:lineRule="auto"/>
              <w:ind w:left="-119" w:firstLine="476"/>
              <w:jc w:val="both"/>
              <w:rPr>
                <w:rFonts w:ascii="Verdana" w:eastAsia="Calibri" w:hAnsi="Verdana" w:cs="Arial"/>
                <w:color w:val="7030A0"/>
                <w:lang w:val="es-ES"/>
              </w:rPr>
            </w:pPr>
            <w:r w:rsidRPr="004C01E1">
              <w:rPr>
                <w:rFonts w:ascii="Verdana" w:eastAsia="Aptos" w:hAnsi="Verdana" w:cs="Arial"/>
                <w:bCs/>
                <w:color w:val="000000"/>
                <w:shd w:val="clear" w:color="auto" w:fill="FFFFFF"/>
                <w:lang w:val="es-ES_tradnl"/>
              </w:rPr>
              <w:t xml:space="preserve">En principio, los documentos tipo expedidos por la Agencia Nacional de Contratación Pública son de aplicación obligatoria para las entidades estatales sometidas al Estatuto General de Contratación de la Administración Pública, en virtud de lo dispuesto en la Ley 2022 de 2020. Sin embargo, </w:t>
            </w:r>
            <w:r w:rsidRPr="004C01E1">
              <w:rPr>
                <w:rFonts w:ascii="Verdana" w:eastAsia="Aptos" w:hAnsi="Verdana" w:cs="Arial"/>
                <w:color w:val="000000"/>
                <w:shd w:val="clear" w:color="auto" w:fill="FFFFFF"/>
                <w:lang w:val="es-ES_tradnl"/>
              </w:rPr>
              <w:t xml:space="preserve">en atención a lo dispuesto en los dos primeros incisos del artículo 56 de la Ley 2195 de 2022, cuando las entidades estatales regidas por el Estatuto General de Contratación de la Administración Pública suscriban convenios o contratos de cualquier índole con entidades estatales de régimen exceptuado, patrimonios autónomos, personas naturales o jurídicas de derecho privado, el deber de aplicar documentos tipo y las disposiciones del Estatuto General de Contratación de la Administración Pública, se hace extensiva a tales sujetos sometidos por regla general al derecho privado. </w:t>
            </w:r>
          </w:p>
          <w:p w14:paraId="41E46047" w14:textId="77777777" w:rsidR="004C01E1" w:rsidRPr="004C01E1" w:rsidRDefault="004C01E1" w:rsidP="004C01E1">
            <w:pPr>
              <w:spacing w:after="120" w:line="276" w:lineRule="auto"/>
              <w:ind w:firstLine="709"/>
              <w:jc w:val="both"/>
              <w:rPr>
                <w:rFonts w:ascii="Verdana" w:eastAsia="Aptos" w:hAnsi="Verdana" w:cs="Arial"/>
                <w:shd w:val="clear" w:color="auto" w:fill="FFFFFF"/>
                <w:lang w:val="es-ES_tradnl"/>
              </w:rPr>
            </w:pPr>
            <w:r w:rsidRPr="004C01E1">
              <w:rPr>
                <w:rFonts w:ascii="Verdana" w:eastAsia="Aptos" w:hAnsi="Verdana" w:cs="Arial"/>
                <w:color w:val="000000"/>
                <w:shd w:val="clear" w:color="auto" w:fill="FFFFFF"/>
                <w:lang w:val="es-ES_tradnl"/>
              </w:rPr>
              <w:t xml:space="preserve">De esta manera, la obligación de aplicar documentos tipo, y en general, las disposiciones del Estatuto General de Contratación de la Administración Pública se extienden no solamente a la celebración del contrato o convenio propiamente dicho, sino también a los compromisos contractuales derivados, según lo expresamente consagrado en el segundo inciso del artículo 56 de la ley citada. Esto implica que, si una entidad exceptuada, un patrimonio autónomo o una persona natural o jurídica de derecho privado, en cumplimiento de un compromiso asumido en el contrato celebrado con una entidad sometida al Estatuto General, debe contratar una obra o servicio cobijado por algún documento tipo, estará obligada a hacerlo aplicando los mencionados documentos tipo, además de adelantar el proceso de </w:t>
            </w:r>
            <w:r w:rsidRPr="004C01E1">
              <w:rPr>
                <w:rFonts w:ascii="Verdana" w:eastAsia="Aptos" w:hAnsi="Verdana" w:cs="Arial"/>
                <w:color w:val="000000"/>
                <w:shd w:val="clear" w:color="auto" w:fill="FFFFFF"/>
                <w:lang w:val="es-ES_tradnl"/>
              </w:rPr>
              <w:lastRenderedPageBreak/>
              <w:t xml:space="preserve">contratación y celebrar el contrato conforme al Estatuto General de Contratación de la Administración Pública. </w:t>
            </w:r>
            <w:bookmarkStart w:id="3" w:name="_Hlk109991456"/>
            <w:r w:rsidRPr="004C01E1">
              <w:rPr>
                <w:rFonts w:ascii="Verdana" w:eastAsia="Aptos" w:hAnsi="Verdana" w:cs="Arial"/>
                <w:shd w:val="clear" w:color="auto" w:fill="FFFFFF"/>
                <w:lang w:val="es-ES_tradnl"/>
              </w:rPr>
              <w:t xml:space="preserve">No obstante, se encuentran exceptuadas de dicha obligación </w:t>
            </w:r>
            <w:r w:rsidRPr="004C01E1">
              <w:rPr>
                <w:rFonts w:ascii="Verdana" w:eastAsia="Aptos" w:hAnsi="Verdana" w:cs="Arial"/>
                <w:shd w:val="clear" w:color="auto" w:fill="FFFFFF"/>
              </w:rPr>
              <w:t>las Instituciones de Educación Superior públicas, las empresas sociales del Estado, las sociedades de economía mixta y las empresas industriales y comerciales del Estado, únicamente en cuanto a la contratación de su giro ordinario</w:t>
            </w:r>
            <w:r w:rsidRPr="004C01E1">
              <w:rPr>
                <w:rFonts w:ascii="Verdana" w:eastAsia="Aptos" w:hAnsi="Verdana" w:cs="Arial"/>
                <w:shd w:val="clear" w:color="auto" w:fill="FFFFFF"/>
                <w:lang w:val="es-ES_tradnl"/>
              </w:rPr>
              <w:t>.</w:t>
            </w:r>
          </w:p>
          <w:bookmarkEnd w:id="3"/>
          <w:p w14:paraId="714E6772" w14:textId="77777777" w:rsidR="004C01E1" w:rsidRPr="004C01E1" w:rsidRDefault="004C01E1" w:rsidP="004C01E1">
            <w:pPr>
              <w:spacing w:after="120" w:line="276" w:lineRule="auto"/>
              <w:ind w:firstLine="709"/>
              <w:jc w:val="both"/>
              <w:rPr>
                <w:rFonts w:ascii="Verdana" w:eastAsia="Aptos" w:hAnsi="Verdana" w:cs="Arial"/>
                <w:color w:val="000000"/>
                <w:shd w:val="clear" w:color="auto" w:fill="FFFFFF"/>
                <w:lang w:val="es-ES"/>
              </w:rPr>
            </w:pPr>
            <w:r w:rsidRPr="004C01E1">
              <w:rPr>
                <w:rFonts w:ascii="Verdana" w:eastAsia="Calibri" w:hAnsi="Verdana" w:cs="Arial"/>
                <w:color w:val="000000"/>
                <w:lang w:val="es-ES"/>
              </w:rPr>
              <w:t xml:space="preserve">Bajo estas consideraciones, para efectos de la consulta es preciso señalar que las empresas sociales del Estado, al contar con un régimen contractual distinto al establecido en el Estatuto General de Contratación de la Administración Pública, esto es, al regirse por el derecho privado, serán destinatarias del artículo 56 de la Ley 2195 de 2022, siempre que se cumplan con los presupuestos para su aplicación. De esta manera, salvo las excepciones descritas en el parágrafo </w:t>
            </w:r>
            <w:r w:rsidRPr="004C01E1">
              <w:rPr>
                <w:rFonts w:ascii="Verdana" w:eastAsia="Calibri" w:hAnsi="Verdana" w:cs="Arial"/>
                <w:i/>
                <w:iCs/>
                <w:color w:val="000000"/>
                <w:lang w:val="es-ES"/>
              </w:rPr>
              <w:t>ibidem</w:t>
            </w:r>
            <w:r w:rsidRPr="004C01E1">
              <w:rPr>
                <w:rFonts w:ascii="Verdana" w:eastAsia="Calibri" w:hAnsi="Verdana" w:cs="Arial"/>
                <w:color w:val="000000"/>
                <w:lang w:val="es-ES"/>
              </w:rPr>
              <w:t xml:space="preserve">, </w:t>
            </w:r>
            <w:r w:rsidRPr="004C01E1">
              <w:rPr>
                <w:rFonts w:ascii="Verdana" w:eastAsia="Aptos" w:hAnsi="Verdana" w:cs="Arial"/>
                <w:color w:val="000000"/>
                <w:shd w:val="clear" w:color="auto" w:fill="FFFFFF"/>
                <w:lang w:val="es-ES"/>
              </w:rPr>
              <w:t xml:space="preserve">la obligación de aplicar documentos tipo, y en general, las disposiciones del Estatuto General de Contratación de la Administración Pública se extienden no solamente a la celebración del contrato o convenio propiamente dicho, sino también a los compromisos contractuales derivados, según lo expresamente consagrado en el segundo inciso del artículo 56 de la ley citada. </w:t>
            </w:r>
          </w:p>
          <w:p w14:paraId="67E37094" w14:textId="77777777" w:rsidR="004C01E1" w:rsidRPr="004C01E1" w:rsidRDefault="004C01E1" w:rsidP="004C01E1">
            <w:pPr>
              <w:spacing w:after="120" w:line="276" w:lineRule="auto"/>
              <w:ind w:firstLine="709"/>
              <w:jc w:val="both"/>
              <w:rPr>
                <w:rFonts w:ascii="Verdana" w:eastAsia="Calibri" w:hAnsi="Verdana" w:cs="Arial"/>
                <w:bCs/>
                <w:color w:val="000000"/>
                <w:lang w:val="es-MX"/>
              </w:rPr>
            </w:pPr>
            <w:r w:rsidRPr="004C01E1">
              <w:rPr>
                <w:rFonts w:ascii="Verdana" w:eastAsia="Aptos" w:hAnsi="Verdana" w:cs="Arial"/>
                <w:bCs/>
                <w:color w:val="000000"/>
                <w:shd w:val="clear" w:color="auto" w:fill="FFFFFF"/>
                <w:lang w:val="es-ES_tradnl"/>
              </w:rPr>
              <w:t xml:space="preserve">Para determinar si se encuentran o no obligados a aplicar documentos tipo, deberán verificar si el objeto contractual y la modalidad a contratar se encuentra cobijado por algún documento tipo existente. De no ser así, no solo no resultaría obligatoria la aplicación de los documentos tipo, sino que tampoco habría lugar a la aplicación del EGCAP, debido a que tal medida contemplada en el inciso segundo de la norma en comento está condicionada a la aplicación de documentos tipo. </w:t>
            </w:r>
          </w:p>
          <w:p w14:paraId="1B62DAD3" w14:textId="77777777" w:rsidR="004C01E1" w:rsidRPr="004C01E1" w:rsidRDefault="004C01E1" w:rsidP="004C01E1">
            <w:pPr>
              <w:spacing w:after="120" w:line="276" w:lineRule="auto"/>
              <w:ind w:firstLine="709"/>
              <w:jc w:val="both"/>
              <w:rPr>
                <w:rFonts w:ascii="Verdana" w:eastAsia="Aptos" w:hAnsi="Verdana" w:cs="Arial"/>
                <w:bCs/>
                <w:color w:val="000000"/>
                <w:shd w:val="clear" w:color="auto" w:fill="FFFFFF"/>
                <w:lang w:val="es-ES_tradnl"/>
              </w:rPr>
            </w:pPr>
            <w:r w:rsidRPr="004C01E1">
              <w:rPr>
                <w:rFonts w:ascii="Verdana" w:eastAsia="Aptos" w:hAnsi="Verdana" w:cs="Arial"/>
                <w:bCs/>
                <w:color w:val="000000"/>
                <w:shd w:val="clear" w:color="auto" w:fill="FFFFFF"/>
                <w:lang w:val="es-ES_tradnl"/>
              </w:rPr>
              <w:t>En relación con las excepciones consagradas en el parágrafo del artículo 56 de la Ley 2195 de 2022, cada entidad pública debe hacer un ejercicio de subsunción a efectos de determinar si la noma en cita resulta aplicable, dada su naturaleza jurídica.</w:t>
            </w:r>
          </w:p>
          <w:p w14:paraId="3A718A33" w14:textId="77777777" w:rsidR="004C01E1" w:rsidRPr="004C01E1" w:rsidRDefault="004C01E1" w:rsidP="004C01E1">
            <w:pPr>
              <w:numPr>
                <w:ilvl w:val="0"/>
                <w:numId w:val="19"/>
              </w:numPr>
              <w:tabs>
                <w:tab w:val="left" w:pos="0"/>
              </w:tabs>
              <w:spacing w:after="120" w:line="276" w:lineRule="auto"/>
              <w:ind w:left="-120" w:firstLine="0"/>
              <w:contextualSpacing/>
              <w:jc w:val="both"/>
              <w:rPr>
                <w:rFonts w:ascii="Verdana" w:eastAsia="Times New Roman" w:hAnsi="Verdana" w:cs="Arial"/>
                <w:lang w:eastAsia="es-ES_tradnl"/>
              </w:rPr>
            </w:pPr>
            <w:r w:rsidRPr="004C01E1">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4C01E1">
              <w:rPr>
                <w:rFonts w:ascii="Verdana" w:eastAsia="Calibri" w:hAnsi="Verdana" w:cs="Arial"/>
                <w:bCs/>
                <w:i/>
                <w:iCs/>
                <w:lang w:val="es-ES_tradnl" w:eastAsia="es-ES_tradnl"/>
              </w:rPr>
              <w:t>giro ordinario</w:t>
            </w:r>
            <w:r w:rsidRPr="004C01E1">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4C01E1">
              <w:rPr>
                <w:rFonts w:ascii="Verdana" w:eastAsia="Calibri" w:hAnsi="Verdana" w:cs="Arial"/>
                <w:bCs/>
                <w:lang w:val="es-ES_tradnl" w:eastAsia="es-ES_tradnl"/>
              </w:rPr>
              <w:t>ii</w:t>
            </w:r>
            <w:proofErr w:type="spellEnd"/>
            <w:r w:rsidRPr="004C01E1">
              <w:rPr>
                <w:rFonts w:ascii="Verdana" w:eastAsia="Calibri" w:hAnsi="Verdana" w:cs="Arial"/>
                <w:bCs/>
                <w:lang w:val="es-ES_tradnl" w:eastAsia="es-ES_tradnl"/>
              </w:rPr>
              <w:t xml:space="preserve">) las </w:t>
            </w:r>
            <w:r w:rsidRPr="004C01E1">
              <w:rPr>
                <w:rFonts w:ascii="Verdana" w:eastAsia="Calibri" w:hAnsi="Verdana" w:cs="Arial"/>
                <w:bCs/>
                <w:i/>
                <w:iCs/>
                <w:lang w:val="es-ES_tradnl" w:eastAsia="es-ES_tradnl"/>
              </w:rPr>
              <w:t xml:space="preserve">empresas sociales del </w:t>
            </w:r>
            <w:r w:rsidRPr="004C01E1">
              <w:rPr>
                <w:rFonts w:ascii="Verdana" w:eastAsia="Calibri" w:hAnsi="Verdana" w:cs="Arial"/>
                <w:bCs/>
                <w:i/>
                <w:iCs/>
                <w:lang w:val="es-ES_tradnl" w:eastAsia="es-ES_tradnl"/>
              </w:rPr>
              <w:lastRenderedPageBreak/>
              <w:t>Estado</w:t>
            </w:r>
            <w:r w:rsidRPr="004C01E1">
              <w:rPr>
                <w:rFonts w:ascii="Verdana" w:eastAsia="Calibri" w:hAnsi="Verdana" w:cs="Arial"/>
                <w:bCs/>
                <w:lang w:val="es-ES_tradnl" w:eastAsia="es-ES_tradnl"/>
              </w:rPr>
              <w:t xml:space="preserve">, </w:t>
            </w:r>
            <w:proofErr w:type="spellStart"/>
            <w:r w:rsidRPr="004C01E1">
              <w:rPr>
                <w:rFonts w:ascii="Verdana" w:eastAsia="Calibri" w:hAnsi="Verdana" w:cs="Arial"/>
                <w:bCs/>
                <w:lang w:val="es-ES_tradnl" w:eastAsia="es-ES_tradnl"/>
              </w:rPr>
              <w:t>iii</w:t>
            </w:r>
            <w:proofErr w:type="spellEnd"/>
            <w:r w:rsidRPr="004C01E1">
              <w:rPr>
                <w:rFonts w:ascii="Verdana" w:eastAsia="Calibri" w:hAnsi="Verdana" w:cs="Arial"/>
                <w:bCs/>
                <w:lang w:val="es-ES_tradnl" w:eastAsia="es-ES_tradnl"/>
              </w:rPr>
              <w:t xml:space="preserve">) las sociedades de economía mixta y </w:t>
            </w:r>
            <w:proofErr w:type="spellStart"/>
            <w:r w:rsidRPr="004C01E1">
              <w:rPr>
                <w:rFonts w:ascii="Verdana" w:eastAsia="Calibri" w:hAnsi="Verdana" w:cs="Arial"/>
                <w:bCs/>
                <w:lang w:val="es-ES_tradnl" w:eastAsia="es-ES_tradnl"/>
              </w:rPr>
              <w:t>iv</w:t>
            </w:r>
            <w:proofErr w:type="spellEnd"/>
            <w:r w:rsidRPr="004C01E1">
              <w:rPr>
                <w:rFonts w:ascii="Verdana" w:eastAsia="Calibri" w:hAnsi="Verdana" w:cs="Arial"/>
                <w:bCs/>
                <w:lang w:val="es-ES_tradnl" w:eastAsia="es-ES_tradnl"/>
              </w:rPr>
              <w:t xml:space="preserve">) las empresas industriales y comerciales del Estado, únicamente, en la contratación relacionada con el </w:t>
            </w:r>
            <w:r w:rsidRPr="004C01E1">
              <w:rPr>
                <w:rFonts w:ascii="Verdana" w:eastAsia="Calibri" w:hAnsi="Verdana" w:cs="Arial"/>
                <w:bCs/>
                <w:i/>
                <w:iCs/>
                <w:lang w:val="es-ES_tradnl" w:eastAsia="es-ES_tradnl"/>
              </w:rPr>
              <w:t>giro ordinario.</w:t>
            </w:r>
            <w:r w:rsidRPr="004C01E1">
              <w:rPr>
                <w:rFonts w:ascii="Verdana" w:eastAsia="Calibri" w:hAnsi="Verdana" w:cs="Arial"/>
                <w:bCs/>
                <w:lang w:val="es-ES_tradnl" w:eastAsia="es-ES_tradnl"/>
              </w:rPr>
              <w:t xml:space="preserve"> Esto significa que, en la contratación asociada a su </w:t>
            </w:r>
            <w:r w:rsidRPr="004C01E1">
              <w:rPr>
                <w:rFonts w:ascii="Verdana" w:eastAsia="Calibri" w:hAnsi="Verdana" w:cs="Arial"/>
                <w:bCs/>
                <w:i/>
                <w:iCs/>
                <w:lang w:val="es-ES_tradnl" w:eastAsia="es-ES_tradnl"/>
              </w:rPr>
              <w:t xml:space="preserve">giro ordinario, </w:t>
            </w:r>
            <w:r w:rsidRPr="004C01E1">
              <w:rPr>
                <w:rFonts w:ascii="Verdana" w:eastAsia="Calibri" w:hAnsi="Verdana" w:cs="Arial"/>
                <w:bCs/>
                <w:lang w:val="es-ES_tradnl" w:eastAsia="es-ES_tradnl"/>
              </w:rPr>
              <w:t>estos tipos de entidades no tendrían que aplicar, de manera obligatoria, los Documentos Tipo, ni tampoco el EGCAP.</w:t>
            </w:r>
            <w:r w:rsidRPr="004C01E1">
              <w:rPr>
                <w:rFonts w:ascii="Verdana" w:eastAsia="Times New Roman" w:hAnsi="Verdana" w:cs="Arial"/>
                <w:lang w:eastAsia="es-ES_tradnl"/>
              </w:rPr>
              <w:t xml:space="preserve"> Es decir, si Entidades Estatales exceptuadas pretenden ser adjudicatarias de estos contratos, no deben someterse a un proceso de selección en el que se apliquen Documentos Tipo expedidos por esta Agencia. </w:t>
            </w:r>
            <w:r w:rsidRPr="004C01E1">
              <w:rPr>
                <w:rFonts w:ascii="Verdana" w:eastAsia="Calibri" w:hAnsi="Verdana" w:cs="Arial"/>
                <w:bCs/>
                <w:lang w:val="es-ES_tradnl" w:eastAsia="es-ES_tradnl"/>
              </w:rPr>
              <w:t>En atención a su consulta, debe decirse que, en este caso, la norma se limita a fomentar la implementación de Documentos Tipo a modo de buena práctica contractual, en los casos en los que se estime conveniente.</w:t>
            </w:r>
          </w:p>
          <w:p w14:paraId="30CF8D30" w14:textId="77777777" w:rsidR="004C01E1" w:rsidRPr="004C01E1" w:rsidRDefault="004C01E1" w:rsidP="004C01E1">
            <w:pPr>
              <w:tabs>
                <w:tab w:val="left" w:pos="0"/>
              </w:tabs>
              <w:spacing w:after="120" w:line="276" w:lineRule="auto"/>
              <w:jc w:val="both"/>
              <w:rPr>
                <w:rFonts w:ascii="Verdana" w:eastAsia="Arial" w:hAnsi="Verdana" w:cs="Arial"/>
                <w:lang w:val="es-ES_tradnl" w:eastAsia="es-ES_tradnl"/>
              </w:rPr>
            </w:pPr>
            <w:r w:rsidRPr="004C01E1">
              <w:rPr>
                <w:rFonts w:ascii="Verdana" w:eastAsia="Calibri" w:hAnsi="Verdana" w:cs="Arial"/>
                <w:bCs/>
                <w:lang w:val="es-ES_tradnl" w:eastAsia="es-ES_tradnl"/>
              </w:rPr>
              <w:tab/>
              <w:t xml:space="preserve">Es importante tener en cuenta que cuando la norma se refiere a la contratación del </w:t>
            </w:r>
            <w:r w:rsidRPr="004C01E1">
              <w:rPr>
                <w:rFonts w:ascii="Verdana" w:eastAsia="Calibri" w:hAnsi="Verdana" w:cs="Arial"/>
                <w:bCs/>
                <w:i/>
                <w:iCs/>
                <w:lang w:val="es-ES_tradnl" w:eastAsia="es-ES_tradnl"/>
              </w:rPr>
              <w:t>giro ordinario</w:t>
            </w:r>
            <w:r w:rsidRPr="004C01E1">
              <w:rPr>
                <w:rFonts w:ascii="Verdana" w:eastAsia="Calibri" w:hAnsi="Verdana" w:cs="Arial"/>
                <w:bCs/>
                <w:lang w:val="es-ES_tradnl" w:eastAsia="es-ES_tradnl"/>
              </w:rPr>
              <w:t xml:space="preserve">, emplea un concepto jurídico indeterminado. </w:t>
            </w:r>
            <w:r w:rsidRPr="004C01E1">
              <w:rPr>
                <w:rFonts w:ascii="Verdana" w:eastAsia="Arial" w:hAnsi="Verdana" w:cs="Arial"/>
                <w:lang w:val="es-ES_tradnl" w:eastAsia="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4C01E1">
              <w:rPr>
                <w:rFonts w:ascii="Verdana" w:eastAsia="Arial" w:hAnsi="Verdana" w:cs="Arial"/>
                <w:i/>
                <w:iCs/>
                <w:lang w:val="es-ES_tradnl" w:eastAsia="es-ES_tradnl"/>
              </w:rPr>
              <w:t>giro ordinario</w:t>
            </w:r>
            <w:r w:rsidRPr="004C01E1">
              <w:rPr>
                <w:rFonts w:ascii="Verdana" w:eastAsia="Arial" w:hAnsi="Verdana" w:cs="Arial"/>
                <w:lang w:val="es-ES_tradnl" w:eastAsia="es-ES_tradnl"/>
              </w:rPr>
              <w:t xml:space="preserve"> de sus negocios. </w:t>
            </w:r>
          </w:p>
          <w:p w14:paraId="256828EE" w14:textId="77777777" w:rsidR="004C01E1" w:rsidRPr="004C01E1" w:rsidRDefault="004C01E1" w:rsidP="004C01E1">
            <w:pPr>
              <w:tabs>
                <w:tab w:val="left" w:pos="0"/>
              </w:tabs>
              <w:spacing w:line="276" w:lineRule="auto"/>
              <w:ind w:firstLine="709"/>
              <w:jc w:val="both"/>
              <w:rPr>
                <w:rFonts w:ascii="Verdana" w:eastAsia="Calibri" w:hAnsi="Verdana" w:cs="Arial"/>
                <w:bCs/>
                <w:lang w:val="es-ES_tradnl" w:eastAsia="es-ES_tradnl"/>
              </w:rPr>
            </w:pPr>
            <w:r w:rsidRPr="004C01E1">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4C01E1">
              <w:rPr>
                <w:rFonts w:ascii="Verdana" w:eastAsia="Calibri" w:hAnsi="Verdana" w:cs="Arial"/>
                <w:bCs/>
                <w:i/>
                <w:iCs/>
                <w:lang w:val="es-ES_tradnl" w:eastAsia="es-ES_tradnl"/>
              </w:rPr>
              <w:t xml:space="preserve">giro ordinario </w:t>
            </w:r>
            <w:r w:rsidRPr="004C01E1">
              <w:rPr>
                <w:rFonts w:ascii="Verdana" w:eastAsia="Calibri" w:hAnsi="Verdana" w:cs="Arial"/>
                <w:bCs/>
                <w:lang w:val="es-ES_tradnl" w:eastAsia="es-ES_tradnl"/>
              </w:rPr>
              <w:t xml:space="preserve">incluida en la redacción original del parágrafo 1° del artículo 32 de la Ley 80 de 1993, la Sección Tercera manifestó lo siguiente: </w:t>
            </w:r>
          </w:p>
          <w:p w14:paraId="27F6F8AC" w14:textId="77777777" w:rsidR="004C01E1" w:rsidRPr="004C01E1" w:rsidRDefault="004C01E1" w:rsidP="004C01E1">
            <w:pPr>
              <w:tabs>
                <w:tab w:val="left" w:pos="0"/>
              </w:tabs>
              <w:spacing w:line="276" w:lineRule="auto"/>
              <w:jc w:val="both"/>
              <w:rPr>
                <w:rFonts w:ascii="Verdana" w:eastAsia="Calibri" w:hAnsi="Verdana" w:cs="Arial"/>
                <w:bCs/>
                <w:lang w:val="es-ES_tradnl" w:eastAsia="es-ES_tradnl"/>
              </w:rPr>
            </w:pPr>
          </w:p>
          <w:p w14:paraId="48AE9987" w14:textId="77777777" w:rsidR="004C01E1" w:rsidRPr="004C01E1" w:rsidRDefault="004C01E1" w:rsidP="004C01E1">
            <w:pPr>
              <w:ind w:left="709" w:right="709"/>
              <w:jc w:val="both"/>
              <w:rPr>
                <w:rFonts w:ascii="Verdana" w:eastAsia="Times New Roman" w:hAnsi="Verdana" w:cs="Arial"/>
                <w:sz w:val="20"/>
                <w:szCs w:val="20"/>
                <w:lang w:val="es-ES_tradnl" w:eastAsia="es-CO"/>
              </w:rPr>
            </w:pPr>
            <w:r w:rsidRPr="004C01E1">
              <w:rPr>
                <w:rFonts w:ascii="Verdana" w:eastAsia="Times New Roman" w:hAnsi="Verdana" w:cs="Arial"/>
                <w:sz w:val="20"/>
                <w:szCs w:val="20"/>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4C01E1">
              <w:rPr>
                <w:rFonts w:ascii="Verdana" w:eastAsia="Times New Roman" w:hAnsi="Verdana" w:cs="Arial"/>
                <w:sz w:val="20"/>
                <w:szCs w:val="20"/>
                <w:lang w:val="es-ES_tradnl" w:eastAsia="es-ES_tradnl"/>
              </w:rPr>
              <w:t>Siendo</w:t>
            </w:r>
            <w:proofErr w:type="gramEnd"/>
            <w:r w:rsidRPr="004C01E1">
              <w:rPr>
                <w:rFonts w:ascii="Verdana" w:eastAsia="Times New Roman" w:hAnsi="Verdana" w:cs="Arial"/>
                <w:sz w:val="20"/>
                <w:szCs w:val="20"/>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w:t>
            </w:r>
            <w:r w:rsidRPr="004C01E1">
              <w:rPr>
                <w:rFonts w:ascii="Verdana" w:eastAsia="Times New Roman" w:hAnsi="Verdana" w:cs="Arial"/>
                <w:sz w:val="20"/>
                <w:szCs w:val="20"/>
                <w:lang w:val="es-ES_tradnl" w:eastAsia="es-ES_tradnl"/>
              </w:rPr>
              <w:lastRenderedPageBreak/>
              <w:t>para desarrollar la función principal, estableciéndose entre estos una relación de medio a fin, estrecha y complementaria”</w:t>
            </w:r>
            <w:r w:rsidRPr="004C01E1">
              <w:rPr>
                <w:rFonts w:ascii="Verdana" w:eastAsia="Times New Roman" w:hAnsi="Verdana" w:cs="Arial"/>
                <w:sz w:val="20"/>
                <w:szCs w:val="20"/>
                <w:vertAlign w:val="superscript"/>
                <w:lang w:eastAsia="es-ES_tradnl"/>
              </w:rPr>
              <w:footnoteReference w:id="1"/>
            </w:r>
            <w:r w:rsidRPr="004C01E1">
              <w:rPr>
                <w:rFonts w:ascii="Verdana" w:eastAsia="Times New Roman" w:hAnsi="Verdana" w:cs="Arial"/>
                <w:sz w:val="20"/>
                <w:szCs w:val="20"/>
                <w:lang w:val="es-ES_tradnl" w:eastAsia="es-ES_tradnl"/>
              </w:rPr>
              <w:t>.</w:t>
            </w:r>
          </w:p>
          <w:p w14:paraId="6D44AEFA" w14:textId="77777777" w:rsidR="004C01E1" w:rsidRPr="004C01E1" w:rsidRDefault="004C01E1" w:rsidP="004C01E1">
            <w:pPr>
              <w:tabs>
                <w:tab w:val="left" w:pos="0"/>
              </w:tabs>
              <w:spacing w:line="276" w:lineRule="auto"/>
              <w:jc w:val="both"/>
              <w:rPr>
                <w:rFonts w:ascii="Verdana" w:eastAsia="Calibri" w:hAnsi="Verdana" w:cs="Arial"/>
                <w:bCs/>
                <w:i/>
                <w:iCs/>
                <w:lang w:val="es-ES_tradnl" w:eastAsia="es-ES_tradnl"/>
              </w:rPr>
            </w:pPr>
          </w:p>
          <w:p w14:paraId="7EF98BFA" w14:textId="77777777" w:rsidR="004C01E1" w:rsidRPr="004C01E1" w:rsidRDefault="004C01E1" w:rsidP="004C01E1">
            <w:pPr>
              <w:tabs>
                <w:tab w:val="left" w:pos="0"/>
              </w:tabs>
              <w:spacing w:after="120" w:line="276" w:lineRule="auto"/>
              <w:jc w:val="both"/>
              <w:rPr>
                <w:rFonts w:ascii="Verdana" w:eastAsia="Calibri" w:hAnsi="Verdana" w:cs="Arial"/>
                <w:bCs/>
                <w:lang w:val="es-ES_tradnl" w:eastAsia="es-ES_tradnl"/>
              </w:rPr>
            </w:pPr>
            <w:r w:rsidRPr="004C01E1">
              <w:rPr>
                <w:rFonts w:ascii="Verdana" w:eastAsia="Calibri" w:hAnsi="Verdana" w:cs="Arial"/>
                <w:bCs/>
                <w:lang w:val="es-ES_tradnl" w:eastAsia="es-ES_tradnl"/>
              </w:rPr>
              <w:tab/>
              <w:t xml:space="preserve">En el mismo sentido se pronunció recientemente el Alto Tribunal de lo Contencioso Administrativo, reiterando las anteriores consideraciones, al expresar que el concepto de </w:t>
            </w:r>
            <w:r w:rsidRPr="004C01E1">
              <w:rPr>
                <w:rFonts w:ascii="Verdana" w:eastAsia="Calibri" w:hAnsi="Verdana" w:cs="Arial"/>
                <w:i/>
                <w:lang w:val="es-ES_tradnl" w:eastAsia="es-ES_tradnl"/>
              </w:rPr>
              <w:t xml:space="preserve">“giro ordinario de los negocios” </w:t>
            </w:r>
            <w:r w:rsidRPr="004C01E1">
              <w:rPr>
                <w:rFonts w:ascii="Verdana" w:eastAsia="Calibri" w:hAnsi="Verdana" w:cs="Arial"/>
                <w:bCs/>
                <w:lang w:val="es-ES_tradnl" w:eastAsia="es-ES_tradnl"/>
              </w:rPr>
              <w:t xml:space="preserve">se refiere a aquellas actividades compatibles con el objeto social, funciones previstas en la ley, o en las normas de creación y en sus estatutos internos de las personas y la doctrina societaria. </w:t>
            </w:r>
          </w:p>
          <w:p w14:paraId="467BEA09" w14:textId="77777777" w:rsidR="004C01E1" w:rsidRPr="004C01E1" w:rsidRDefault="004C01E1" w:rsidP="004C01E1">
            <w:pPr>
              <w:spacing w:after="120" w:line="276" w:lineRule="auto"/>
              <w:jc w:val="both"/>
              <w:rPr>
                <w:rFonts w:ascii="Verdana" w:eastAsia="Calibri" w:hAnsi="Verdana" w:cs="Arial"/>
                <w:lang w:val="es-ES" w:eastAsia="es-ES"/>
              </w:rPr>
            </w:pPr>
            <w:r w:rsidRPr="004C01E1">
              <w:rPr>
                <w:rFonts w:ascii="Verdana" w:eastAsia="Calibri" w:hAnsi="Verdana" w:cs="Arial"/>
                <w:bCs/>
                <w:lang w:val="es-ES_tradnl" w:eastAsia="es-ES_tradnl"/>
              </w:rPr>
              <w:tab/>
            </w:r>
            <w:r w:rsidRPr="004C01E1">
              <w:rPr>
                <w:rFonts w:ascii="Verdana" w:eastAsia="Calibri" w:hAnsi="Verdana" w:cs="Arial"/>
                <w:lang w:val="es-ES" w:eastAsia="es-ES"/>
              </w:rPr>
              <w:t xml:space="preserve">Conforme con lo expresado, el </w:t>
            </w:r>
            <w:r w:rsidRPr="004C01E1">
              <w:rPr>
                <w:rFonts w:ascii="Verdana" w:eastAsia="Calibri" w:hAnsi="Verdana" w:cs="Arial"/>
                <w:i/>
                <w:lang w:val="es-ES" w:eastAsia="es-ES"/>
              </w:rPr>
              <w:t xml:space="preserve">giro ordinario </w:t>
            </w:r>
            <w:r w:rsidRPr="004C01E1">
              <w:rPr>
                <w:rFonts w:ascii="Verdana" w:eastAsia="Calibri" w:hAnsi="Verdana"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4C01E1">
              <w:rPr>
                <w:rFonts w:ascii="Verdana" w:eastAsia="Times New Roman" w:hAnsi="Verdana" w:cs="Arial"/>
                <w:lang w:val="es-ES" w:eastAsia="es-ES"/>
              </w:rPr>
              <w:t>S]e</w:t>
            </w:r>
            <w:r w:rsidRPr="004C01E1">
              <w:rPr>
                <w:rFonts w:ascii="Verdana" w:eastAsia="Calibri" w:hAnsi="Verdana"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4C01E1">
              <w:rPr>
                <w:rFonts w:ascii="Verdana" w:eastAsia="Calibri" w:hAnsi="Verdana" w:cs="Arial"/>
                <w:vertAlign w:val="superscript"/>
                <w:lang w:eastAsia="es-ES"/>
              </w:rPr>
              <w:footnoteReference w:id="2"/>
            </w:r>
          </w:p>
          <w:p w14:paraId="1ACE2A9F" w14:textId="77777777" w:rsidR="004C01E1" w:rsidRPr="004C01E1" w:rsidRDefault="004C01E1" w:rsidP="004C01E1">
            <w:pPr>
              <w:spacing w:after="120" w:line="276" w:lineRule="auto"/>
              <w:jc w:val="both"/>
              <w:rPr>
                <w:rFonts w:ascii="Verdana" w:eastAsia="Calibri" w:hAnsi="Verdana" w:cs="Arial"/>
                <w:lang w:val="es-ES" w:eastAsia="es-ES"/>
              </w:rPr>
            </w:pPr>
            <w:r w:rsidRPr="004C01E1">
              <w:rPr>
                <w:rFonts w:ascii="Verdana" w:eastAsia="Calibri" w:hAnsi="Verdana" w:cs="Arial"/>
                <w:bCs/>
                <w:lang w:val="es-ES_tradnl" w:eastAsia="es-ES_tradnl"/>
              </w:rPr>
              <w:tab/>
            </w:r>
            <w:r w:rsidRPr="004C01E1">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4C01E1">
              <w:rPr>
                <w:rFonts w:ascii="Verdana" w:eastAsia="Calibri" w:hAnsi="Verdana" w:cs="Arial"/>
                <w:i/>
                <w:lang w:val="es-ES" w:eastAsia="es-ES"/>
              </w:rPr>
              <w:t xml:space="preserve">giro ordinario </w:t>
            </w:r>
            <w:r w:rsidRPr="004C01E1">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4C01E1">
              <w:rPr>
                <w:rFonts w:ascii="Verdana" w:eastAsia="Calibri" w:hAnsi="Verdana" w:cs="Arial"/>
                <w:i/>
                <w:lang w:val="es-ES" w:eastAsia="es-ES"/>
              </w:rPr>
              <w:t>giro ordinario</w:t>
            </w:r>
            <w:r w:rsidRPr="004C01E1">
              <w:rPr>
                <w:rFonts w:ascii="Verdana" w:eastAsia="Calibri" w:hAnsi="Verdana" w:cs="Arial"/>
                <w:lang w:val="es-ES" w:eastAsia="es-ES"/>
              </w:rPr>
              <w:t xml:space="preserve"> es un asunto que debe </w:t>
            </w:r>
            <w:r w:rsidRPr="004C01E1">
              <w:rPr>
                <w:rFonts w:ascii="Verdana" w:eastAsia="Calibri" w:hAnsi="Verdana" w:cs="Arial"/>
                <w:lang w:val="es-ES" w:eastAsia="es-ES"/>
              </w:rPr>
              <w:lastRenderedPageBreak/>
              <w:t xml:space="preserve">establecerse en cada caso concreto por parte de las Entidades Estatales –analizando lo establecido en sus actos de creación y verificando los negocios habituales u ordinarios que desarrollan–, pues el parágrafo del artículo 56 </w:t>
            </w:r>
            <w:proofErr w:type="spellStart"/>
            <w:r w:rsidRPr="004C01E1">
              <w:rPr>
                <w:rFonts w:ascii="Verdana" w:eastAsia="Calibri" w:hAnsi="Verdana" w:cs="Arial"/>
                <w:i/>
                <w:lang w:val="es-ES" w:eastAsia="es-ES"/>
              </w:rPr>
              <w:t>ejusdem</w:t>
            </w:r>
            <w:proofErr w:type="spellEnd"/>
            <w:r w:rsidRPr="004C01E1">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7245D6F2" w14:textId="77777777" w:rsidR="004C01E1" w:rsidRPr="004C01E1" w:rsidRDefault="004C01E1" w:rsidP="004C01E1">
            <w:pPr>
              <w:tabs>
                <w:tab w:val="left" w:pos="0"/>
              </w:tabs>
              <w:spacing w:before="120" w:line="276" w:lineRule="auto"/>
              <w:ind w:firstLine="709"/>
              <w:jc w:val="both"/>
              <w:rPr>
                <w:rFonts w:ascii="Verdana" w:eastAsia="Calibri" w:hAnsi="Verdana" w:cs="Arial"/>
                <w:bCs/>
                <w:lang w:val="es-ES_tradnl"/>
              </w:rPr>
            </w:pPr>
            <w:r w:rsidRPr="004C01E1">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4C01E1">
              <w:rPr>
                <w:rFonts w:ascii="Verdana" w:eastAsia="Calibri" w:hAnsi="Verdana" w:cs="Arial"/>
                <w:i/>
                <w:lang w:val="es-ES" w:eastAsia="es-ES"/>
              </w:rPr>
              <w:t>giro ordinario</w:t>
            </w:r>
            <w:r w:rsidRPr="004C01E1">
              <w:rPr>
                <w:rFonts w:ascii="Verdana" w:eastAsia="Calibri" w:hAnsi="Verdana" w:cs="Arial"/>
                <w:lang w:val="es-ES" w:eastAsia="es-ES"/>
              </w:rPr>
              <w:t xml:space="preserve"> debe hacerse en el caso concreto, empleando un criterio de interpretación restrictiva. Ello en la medida en que el parágrafo del artículo 56 consagra una excepción a una regla general. </w:t>
            </w:r>
            <w:r w:rsidRPr="004C01E1">
              <w:rPr>
                <w:rFonts w:ascii="Verdana" w:eastAsia="Calibri" w:hAnsi="Verdana" w:cs="Arial"/>
                <w:bCs/>
                <w:lang w:val="es-ES_tradnl"/>
              </w:rPr>
              <w:t>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7C540329" w14:textId="77777777" w:rsidR="004C01E1" w:rsidRPr="004C01E1" w:rsidRDefault="004C01E1" w:rsidP="004C01E1">
            <w:pPr>
              <w:spacing w:before="120" w:line="276" w:lineRule="auto"/>
              <w:jc w:val="both"/>
              <w:rPr>
                <w:rFonts w:ascii="Verdana" w:eastAsia="Calibri" w:hAnsi="Verdana" w:cs="Arial"/>
                <w:color w:val="7030A0"/>
                <w:lang w:val="es-ES"/>
              </w:rPr>
            </w:pPr>
            <w:r w:rsidRPr="004C01E1">
              <w:rPr>
                <w:rFonts w:ascii="Verdana" w:eastAsia="Calibri" w:hAnsi="Verdana" w:cs="Arial"/>
                <w:bCs/>
                <w:lang w:val="es-ES_tradnl" w:eastAsia="es-ES_tradnl"/>
              </w:rPr>
              <w:tab/>
            </w:r>
            <w:r w:rsidRPr="004C01E1">
              <w:rPr>
                <w:rFonts w:ascii="Verdana" w:eastAsia="Calibri" w:hAnsi="Verdana" w:cs="Arial"/>
                <w:color w:val="000000"/>
                <w:lang w:val="es-ES"/>
              </w:rPr>
              <w:t xml:space="preserve"> </w:t>
            </w:r>
            <w:r w:rsidRPr="004C01E1">
              <w:rPr>
                <w:rFonts w:ascii="Verdana" w:eastAsia="Calibri" w:hAnsi="Verdana" w:cs="Arial"/>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únicamente para la contratación relacionada con el </w:t>
            </w:r>
            <w:r w:rsidRPr="004C01E1">
              <w:rPr>
                <w:rFonts w:ascii="Verdana" w:eastAsia="Calibri" w:hAnsi="Verdana" w:cs="Arial"/>
                <w:i/>
                <w:iCs/>
                <w:lang w:val="es-ES" w:eastAsia="es-ES"/>
              </w:rPr>
              <w:t xml:space="preserve">giro ordinario </w:t>
            </w:r>
            <w:r w:rsidRPr="004C01E1">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4C01E1">
              <w:rPr>
                <w:rFonts w:ascii="Verdana" w:eastAsia="Calibri" w:hAnsi="Verdana" w:cs="Arial"/>
                <w:i/>
                <w:iCs/>
                <w:lang w:val="es-ES" w:eastAsia="es-ES"/>
              </w:rPr>
              <w:t>su giro ordinario</w:t>
            </w:r>
            <w:r w:rsidRPr="004C01E1">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w:t>
            </w:r>
            <w:r w:rsidRPr="004C01E1">
              <w:rPr>
                <w:rFonts w:ascii="Verdana" w:eastAsia="Calibri" w:hAnsi="Verdana" w:cs="Arial"/>
                <w:lang w:val="es-ES" w:eastAsia="es-ES"/>
              </w:rPr>
              <w:lastRenderedPageBreak/>
              <w:t xml:space="preserve">56, tendrá que someterse de manera obligatoria a los documentos tipo o el EGCAP para la contratación de obras o servicios asociadas a su </w:t>
            </w:r>
            <w:r w:rsidRPr="004C01E1">
              <w:rPr>
                <w:rFonts w:ascii="Verdana" w:eastAsia="Calibri" w:hAnsi="Verdana" w:cs="Arial"/>
                <w:i/>
                <w:iCs/>
                <w:lang w:val="es-ES" w:eastAsia="es-ES"/>
              </w:rPr>
              <w:t>giro ordinario</w:t>
            </w:r>
            <w:r w:rsidRPr="004C01E1">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r w:rsidRPr="004C01E1">
              <w:rPr>
                <w:rFonts w:ascii="Verdana" w:eastAsia="Calibri" w:hAnsi="Verdana" w:cs="Arial"/>
                <w:bCs/>
                <w:lang w:val="es-ES_tradnl" w:eastAsia="es-ES_tradnl"/>
              </w:rPr>
              <w:tab/>
            </w:r>
          </w:p>
        </w:tc>
      </w:tr>
    </w:tbl>
    <w:p w14:paraId="2B9906D8" w14:textId="77777777" w:rsidR="004C01E1" w:rsidRPr="004C01E1" w:rsidRDefault="004C01E1" w:rsidP="004C01E1">
      <w:pPr>
        <w:tabs>
          <w:tab w:val="left" w:pos="142"/>
          <w:tab w:val="left" w:pos="284"/>
        </w:tabs>
        <w:spacing w:after="0" w:line="276" w:lineRule="auto"/>
        <w:jc w:val="both"/>
        <w:rPr>
          <w:rFonts w:ascii="Verdana" w:eastAsia="Century Gothic" w:hAnsi="Verdana" w:cs="Century Gothic"/>
          <w:b/>
          <w:bCs/>
          <w:lang w:val="es-ES"/>
        </w:rPr>
      </w:pPr>
    </w:p>
    <w:p w14:paraId="28A862CA" w14:textId="77777777" w:rsidR="004C01E1" w:rsidRPr="004C01E1" w:rsidRDefault="004C01E1" w:rsidP="004C01E1">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4C01E1">
        <w:rPr>
          <w:rFonts w:ascii="Verdana" w:eastAsia="Century Gothic" w:hAnsi="Verdana" w:cs="Century Gothic"/>
          <w:b/>
          <w:bCs/>
          <w:lang w:val="es-ES"/>
        </w:rPr>
        <w:t>Razones de la respuesta:</w:t>
      </w:r>
    </w:p>
    <w:p w14:paraId="5EE29C73" w14:textId="77777777" w:rsidR="004C01E1" w:rsidRPr="004C01E1" w:rsidRDefault="004C01E1" w:rsidP="004C01E1">
      <w:pPr>
        <w:spacing w:after="0" w:line="276" w:lineRule="auto"/>
        <w:jc w:val="both"/>
        <w:rPr>
          <w:rFonts w:ascii="Verdana" w:eastAsia="Calibri" w:hAnsi="Verdana" w:cs="Arial"/>
          <w:color w:val="7030A0"/>
          <w:lang w:val="es-ES"/>
        </w:rPr>
      </w:pPr>
    </w:p>
    <w:p w14:paraId="3698C30A" w14:textId="77777777" w:rsidR="004C01E1" w:rsidRPr="004C01E1" w:rsidRDefault="004C01E1" w:rsidP="004C01E1">
      <w:pPr>
        <w:spacing w:after="0" w:line="276" w:lineRule="auto"/>
        <w:jc w:val="both"/>
        <w:rPr>
          <w:rFonts w:ascii="Verdana" w:eastAsia="Calibri" w:hAnsi="Verdana" w:cs="Arial"/>
          <w:lang w:val="es-ES"/>
        </w:rPr>
      </w:pPr>
      <w:r w:rsidRPr="004C01E1">
        <w:rPr>
          <w:rFonts w:ascii="Verdana" w:eastAsia="Calibri" w:hAnsi="Verdana" w:cs="Arial"/>
          <w:lang w:val="es-ES"/>
        </w:rPr>
        <w:t xml:space="preserve">Lo anterior se sustenta en las siguientes consideraciones: </w:t>
      </w:r>
    </w:p>
    <w:p w14:paraId="1D7F399E" w14:textId="77777777" w:rsidR="004C01E1" w:rsidRPr="004C01E1" w:rsidRDefault="004C01E1" w:rsidP="004C01E1">
      <w:pPr>
        <w:spacing w:after="0" w:line="276" w:lineRule="auto"/>
        <w:jc w:val="both"/>
        <w:rPr>
          <w:rFonts w:ascii="Verdana" w:eastAsia="Calibri" w:hAnsi="Verdana" w:cs="Arial"/>
          <w:lang w:val="es-ES"/>
        </w:rPr>
      </w:pPr>
    </w:p>
    <w:p w14:paraId="34D213DA" w14:textId="77777777" w:rsidR="004C01E1" w:rsidRPr="004C01E1" w:rsidRDefault="004C01E1" w:rsidP="004C01E1">
      <w:pPr>
        <w:widowControl w:val="0"/>
        <w:numPr>
          <w:ilvl w:val="0"/>
          <w:numId w:val="18"/>
        </w:numPr>
        <w:spacing w:after="0" w:line="276" w:lineRule="auto"/>
        <w:ind w:left="0" w:right="113" w:firstLine="0"/>
        <w:contextualSpacing/>
        <w:jc w:val="both"/>
        <w:rPr>
          <w:rFonts w:ascii="Verdana" w:eastAsia="Arial" w:hAnsi="Verdana" w:cs="Arial"/>
          <w:lang w:eastAsia="es-CO"/>
        </w:rPr>
      </w:pPr>
      <w:r w:rsidRPr="004C01E1">
        <w:rPr>
          <w:rFonts w:ascii="Verdana" w:eastAsia="Arial" w:hAnsi="Verdana" w:cs="Arial"/>
          <w:lang w:eastAsia="es-CO"/>
        </w:rPr>
        <w:t xml:space="preserve">El artículo 14 de la Ley 142 de 1994 contiene las definiciones para la correcta aplicación e interpretación del régimen de servicios públicos domiciliarios. Esta norma define las Empresas de Servicios Públicos Oficial, la mixta y la privada, en los siguientes términos: </w:t>
      </w:r>
    </w:p>
    <w:p w14:paraId="7A506789" w14:textId="77777777" w:rsidR="004C01E1" w:rsidRPr="004C01E1" w:rsidRDefault="004C01E1" w:rsidP="004C01E1">
      <w:pPr>
        <w:widowControl w:val="0"/>
        <w:spacing w:after="0" w:line="276" w:lineRule="auto"/>
        <w:ind w:right="112"/>
        <w:jc w:val="both"/>
        <w:rPr>
          <w:rFonts w:ascii="Verdana" w:eastAsia="Arial" w:hAnsi="Verdana" w:cs="Arial"/>
          <w:sz w:val="16"/>
          <w:szCs w:val="16"/>
          <w:lang w:eastAsia="es-CO"/>
        </w:rPr>
      </w:pPr>
    </w:p>
    <w:p w14:paraId="79A0EEB3" w14:textId="77777777" w:rsidR="004C01E1" w:rsidRPr="004C01E1" w:rsidRDefault="004C01E1" w:rsidP="004C01E1">
      <w:pPr>
        <w:widowControl w:val="0"/>
        <w:numPr>
          <w:ilvl w:val="1"/>
          <w:numId w:val="17"/>
        </w:numPr>
        <w:tabs>
          <w:tab w:val="left" w:pos="1361"/>
        </w:tabs>
        <w:spacing w:after="120" w:line="240" w:lineRule="auto"/>
        <w:ind w:left="709" w:right="709"/>
        <w:jc w:val="both"/>
        <w:rPr>
          <w:rFonts w:ascii="Verdana" w:eastAsia="Calibri" w:hAnsi="Verdana" w:cs="Calibri"/>
          <w:sz w:val="20"/>
          <w:szCs w:val="20"/>
          <w:lang w:eastAsia="es-CO"/>
        </w:rPr>
      </w:pPr>
      <w:r w:rsidRPr="004C01E1">
        <w:rPr>
          <w:rFonts w:ascii="Verdana" w:eastAsia="Arial" w:hAnsi="Verdana" w:cs="Arial"/>
          <w:sz w:val="20"/>
          <w:szCs w:val="20"/>
          <w:lang w:eastAsia="es-CO"/>
        </w:rPr>
        <w:t>“Empresa de servicios públicos oficial. Es aquella en cuyo capital la Nación, las entidades territoriales, o las entidades descentralizadas de aquella o estas tienen el 100% de los aportes.</w:t>
      </w:r>
    </w:p>
    <w:p w14:paraId="2DF233A7" w14:textId="77777777" w:rsidR="004C01E1" w:rsidRPr="004C01E1" w:rsidRDefault="004C01E1" w:rsidP="004C01E1">
      <w:pPr>
        <w:widowControl w:val="0"/>
        <w:numPr>
          <w:ilvl w:val="1"/>
          <w:numId w:val="17"/>
        </w:numPr>
        <w:tabs>
          <w:tab w:val="left" w:pos="1363"/>
        </w:tabs>
        <w:spacing w:after="120" w:line="240" w:lineRule="auto"/>
        <w:ind w:left="709" w:right="709"/>
        <w:jc w:val="both"/>
        <w:rPr>
          <w:rFonts w:ascii="Verdana" w:eastAsia="Calibri" w:hAnsi="Verdana" w:cs="Calibri"/>
          <w:sz w:val="20"/>
          <w:szCs w:val="20"/>
          <w:lang w:eastAsia="es-CO"/>
        </w:rPr>
      </w:pPr>
      <w:r w:rsidRPr="004C01E1">
        <w:rPr>
          <w:rFonts w:ascii="Verdana" w:eastAsia="Arial" w:hAnsi="Verdana" w:cs="Arial"/>
          <w:sz w:val="20"/>
          <w:szCs w:val="20"/>
          <w:lang w:eastAsia="es-CO"/>
        </w:rPr>
        <w:t>Empresa de servicios públicos mixta. Es aquella en cuyo capital la Nación, las entidades territoriales, o las entidades descentralizadas de aquella o éstas tienen aportes iguales o superiores al 50%.</w:t>
      </w:r>
    </w:p>
    <w:p w14:paraId="3FB4536D" w14:textId="77777777" w:rsidR="004C01E1" w:rsidRPr="004C01E1" w:rsidRDefault="004C01E1" w:rsidP="004C01E1">
      <w:pPr>
        <w:widowControl w:val="0"/>
        <w:numPr>
          <w:ilvl w:val="1"/>
          <w:numId w:val="17"/>
        </w:numPr>
        <w:tabs>
          <w:tab w:val="left" w:pos="1531"/>
        </w:tabs>
        <w:spacing w:before="1" w:after="0" w:line="240" w:lineRule="auto"/>
        <w:ind w:left="709" w:right="709"/>
        <w:jc w:val="both"/>
        <w:rPr>
          <w:rFonts w:ascii="Verdana" w:eastAsia="Calibri" w:hAnsi="Verdana" w:cs="Calibri"/>
          <w:sz w:val="20"/>
          <w:szCs w:val="20"/>
          <w:lang w:eastAsia="es-CO"/>
        </w:rPr>
      </w:pPr>
      <w:r w:rsidRPr="004C01E1">
        <w:rPr>
          <w:rFonts w:ascii="Verdana" w:eastAsia="Arial" w:hAnsi="Verdana" w:cs="Arial"/>
          <w:sz w:val="20"/>
          <w:szCs w:val="20"/>
          <w:lang w:eastAsia="es-CO"/>
        </w:rPr>
        <w:t>Empresa de servicios públicos privada. Es aquella cuyo capital pertenece mayoritariamente a particulares, o a entidades surgidas de convenios internacionales que deseen someterse íntegramente para estos efectos a las reglas a las que se someten los particulares.”</w:t>
      </w:r>
    </w:p>
    <w:p w14:paraId="03F15A90" w14:textId="77777777" w:rsidR="004C01E1" w:rsidRPr="004C01E1" w:rsidRDefault="004C01E1" w:rsidP="004C01E1">
      <w:pPr>
        <w:widowControl w:val="0"/>
        <w:spacing w:after="0"/>
        <w:rPr>
          <w:rFonts w:ascii="Verdana" w:eastAsia="Arial" w:hAnsi="Verdana" w:cs="Arial"/>
          <w:szCs w:val="24"/>
          <w:lang w:eastAsia="es-CO"/>
        </w:rPr>
      </w:pPr>
    </w:p>
    <w:p w14:paraId="5D2BF13F" w14:textId="77777777" w:rsidR="004C01E1" w:rsidRPr="004C01E1" w:rsidRDefault="004C01E1" w:rsidP="004C01E1">
      <w:pPr>
        <w:widowControl w:val="0"/>
        <w:spacing w:after="120" w:line="276" w:lineRule="auto"/>
        <w:ind w:right="112" w:firstLine="708"/>
        <w:jc w:val="both"/>
        <w:rPr>
          <w:rFonts w:ascii="Verdana" w:eastAsia="Arial" w:hAnsi="Verdana" w:cs="Arial"/>
          <w:lang w:eastAsia="es-CO"/>
        </w:rPr>
      </w:pPr>
      <w:r w:rsidRPr="004C01E1">
        <w:rPr>
          <w:rFonts w:ascii="Verdana" w:eastAsia="Arial" w:hAnsi="Verdana" w:cs="Arial"/>
          <w:lang w:eastAsia="es-CO"/>
        </w:rPr>
        <w:t xml:space="preserve">A su turno, el artículo 17 de la ley citada señala que “las empresas de servicios públicos son sociedades por acciones cuyo objeto es la prestación de los servicios públicos de que trata esta ley”. Lo cual significa que, en el evento de constituirse un prestador de estos servicios bajo la modalidad del numeral 1, del artículo 15 de la norma señalada, esta deberá conformarse bajo la forma societaria de una sociedad por acciones, respecto de las cuales en la actualidad existen tres tipos: i) sociedad anónima, </w:t>
      </w:r>
      <w:proofErr w:type="spellStart"/>
      <w:r w:rsidRPr="004C01E1">
        <w:rPr>
          <w:rFonts w:ascii="Verdana" w:eastAsia="Arial" w:hAnsi="Verdana" w:cs="Arial"/>
          <w:lang w:eastAsia="es-CO"/>
        </w:rPr>
        <w:t>ii</w:t>
      </w:r>
      <w:proofErr w:type="spellEnd"/>
      <w:r w:rsidRPr="004C01E1">
        <w:rPr>
          <w:rFonts w:ascii="Verdana" w:eastAsia="Arial" w:hAnsi="Verdana" w:cs="Arial"/>
          <w:lang w:eastAsia="es-CO"/>
        </w:rPr>
        <w:t xml:space="preserve">) sociedad en comandita por acciones, o </w:t>
      </w:r>
      <w:proofErr w:type="spellStart"/>
      <w:r w:rsidRPr="004C01E1">
        <w:rPr>
          <w:rFonts w:ascii="Verdana" w:eastAsia="Arial" w:hAnsi="Verdana" w:cs="Arial"/>
          <w:lang w:eastAsia="es-CO"/>
        </w:rPr>
        <w:t>iii</w:t>
      </w:r>
      <w:proofErr w:type="spellEnd"/>
      <w:r w:rsidRPr="004C01E1">
        <w:rPr>
          <w:rFonts w:ascii="Verdana" w:eastAsia="Arial" w:hAnsi="Verdana" w:cs="Arial"/>
          <w:lang w:eastAsia="es-CO"/>
        </w:rPr>
        <w:t>) Sociedad por Acciones Simplificada, ya que la legislación vigente así las tipifica</w:t>
      </w:r>
      <w:r w:rsidRPr="004C01E1">
        <w:rPr>
          <w:rFonts w:ascii="Verdana" w:eastAsia="Arial" w:hAnsi="Verdana" w:cs="Arial"/>
          <w:vertAlign w:val="superscript"/>
          <w:lang w:eastAsia="es-CO"/>
        </w:rPr>
        <w:footnoteReference w:id="3"/>
      </w:r>
      <w:r w:rsidRPr="004C01E1">
        <w:rPr>
          <w:rFonts w:ascii="Verdana" w:eastAsia="Arial" w:hAnsi="Verdana" w:cs="Arial"/>
          <w:lang w:eastAsia="es-CO"/>
        </w:rPr>
        <w:t>.</w:t>
      </w:r>
    </w:p>
    <w:p w14:paraId="79D2DACB" w14:textId="77777777" w:rsidR="004C01E1" w:rsidRPr="004C01E1" w:rsidRDefault="004C01E1" w:rsidP="004C01E1">
      <w:pPr>
        <w:widowControl w:val="0"/>
        <w:spacing w:after="120" w:line="276" w:lineRule="auto"/>
        <w:ind w:right="112" w:firstLine="708"/>
        <w:jc w:val="both"/>
        <w:rPr>
          <w:rFonts w:ascii="Verdana" w:eastAsia="Calibri" w:hAnsi="Verdana" w:cs="Calibri"/>
          <w:szCs w:val="24"/>
          <w:lang w:eastAsia="es-CO"/>
        </w:rPr>
      </w:pPr>
      <w:r w:rsidRPr="004C01E1">
        <w:rPr>
          <w:rFonts w:ascii="Verdana" w:eastAsia="Arial" w:hAnsi="Verdana" w:cs="Arial"/>
          <w:lang w:eastAsia="es-CO"/>
        </w:rPr>
        <w:lastRenderedPageBreak/>
        <w:t>De otro lado, el artículo 38 de la Ley 489 de 1998 determina la integración de la Rama Ejecutiva del Poder Público en el orden nacional, y en su literal d) señala que las empresas sociales del Estado y las empresas oficiales de servicios públicos domiciliarios pertenecen a las entidades de la Rama Ejecutiva del sector descentralizado por servicios. El artículo 68 de esta ley, al listar las entidades descentralizadas del orden nacional, se refirió únicamente a las empresas oficiales de servicios públicos, esto es, aquellas en las que la participación del Estado es del 100%</w:t>
      </w:r>
      <w:r w:rsidRPr="004C01E1">
        <w:rPr>
          <w:rFonts w:ascii="Verdana" w:eastAsia="Arial" w:hAnsi="Verdana" w:cs="Arial"/>
          <w:vertAlign w:val="superscript"/>
          <w:lang w:eastAsia="es-CO"/>
        </w:rPr>
        <w:footnoteReference w:id="4"/>
      </w:r>
      <w:r w:rsidRPr="004C01E1">
        <w:rPr>
          <w:rFonts w:ascii="Verdana" w:eastAsia="Arial" w:hAnsi="Verdana" w:cs="Arial"/>
          <w:lang w:eastAsia="es-CO"/>
        </w:rPr>
        <w:t>.</w:t>
      </w:r>
    </w:p>
    <w:p w14:paraId="2920A6F1" w14:textId="77777777" w:rsidR="004C01E1" w:rsidRPr="004C01E1" w:rsidRDefault="004C01E1" w:rsidP="004C01E1">
      <w:pPr>
        <w:widowControl w:val="0"/>
        <w:spacing w:after="120" w:line="276" w:lineRule="auto"/>
        <w:ind w:right="104" w:firstLine="720"/>
        <w:jc w:val="both"/>
        <w:rPr>
          <w:rFonts w:ascii="Verdana" w:eastAsia="Calibri" w:hAnsi="Verdana" w:cs="Calibri"/>
          <w:szCs w:val="24"/>
          <w:lang w:eastAsia="es-CO"/>
        </w:rPr>
      </w:pPr>
      <w:r w:rsidRPr="004C01E1">
        <w:rPr>
          <w:rFonts w:ascii="Verdana" w:eastAsia="Arial" w:hAnsi="Verdana" w:cs="Arial"/>
          <w:lang w:eastAsia="es-CO"/>
        </w:rPr>
        <w:t>Lo anterior llevó a pensar que el legislador había excluido de la Rama Ejecutiva a las empresas de servicios públicos mixta –capital público superior al 50%– y las privadas –capital público inferior al 50%–. Sin embargo, la Corte Constitucional determinó que tanto las empresas de servicios públicos mixta como las privadas hacían parte de la Rama Ejecutiva, toda vez que el literal g) del artículo 38 de la Ley 489 de 1998 dice: “</w:t>
      </w:r>
      <w:r w:rsidRPr="004C01E1">
        <w:rPr>
          <w:rFonts w:ascii="Verdana" w:eastAsia="Arial" w:hAnsi="Verdana" w:cs="Arial"/>
          <w:i/>
          <w:iCs/>
          <w:lang w:eastAsia="es-CO"/>
        </w:rPr>
        <w:t>g) Las demás entidades administrativas nacionales con personería jurídica que cree, organice o autorice la ley para que formen parte de la Rama Ejecutiva del Poder Público</w:t>
      </w:r>
      <w:r w:rsidRPr="004C01E1">
        <w:rPr>
          <w:rFonts w:ascii="Verdana" w:eastAsia="Arial" w:hAnsi="Verdana" w:cs="Arial"/>
          <w:lang w:eastAsia="es-CO"/>
        </w:rPr>
        <w:t xml:space="preserve">”. </w:t>
      </w:r>
    </w:p>
    <w:p w14:paraId="64B13581" w14:textId="77777777" w:rsidR="004C01E1" w:rsidRPr="004C01E1" w:rsidRDefault="004C01E1" w:rsidP="004C01E1">
      <w:pPr>
        <w:widowControl w:val="0"/>
        <w:spacing w:before="93" w:after="0" w:line="276" w:lineRule="auto"/>
        <w:ind w:right="106" w:firstLine="720"/>
        <w:jc w:val="both"/>
        <w:rPr>
          <w:rFonts w:ascii="Verdana" w:eastAsia="Calibri" w:hAnsi="Verdana" w:cs="Calibri"/>
          <w:szCs w:val="24"/>
          <w:lang w:eastAsia="es-CO"/>
        </w:rPr>
      </w:pPr>
      <w:r w:rsidRPr="004C01E1">
        <w:rPr>
          <w:rFonts w:ascii="Verdana" w:eastAsia="Arial" w:hAnsi="Verdana" w:cs="Arial"/>
          <w:lang w:eastAsia="es-CO"/>
        </w:rPr>
        <w:t>La Corte Constitucional, además de señalar la pertenencia a la Rama Ejecutiva de las empresas de servicios públicos mixtas y privadas, también sostuvo que se trataba de entidades descentralizadas por servicios, en los términos del artículo 68 de la Ley 489 de 1998:</w:t>
      </w:r>
    </w:p>
    <w:p w14:paraId="7D5E7A6A" w14:textId="77777777" w:rsidR="004C01E1" w:rsidRPr="004C01E1" w:rsidRDefault="004C01E1" w:rsidP="004C01E1">
      <w:pPr>
        <w:widowControl w:val="0"/>
        <w:spacing w:after="0"/>
        <w:rPr>
          <w:rFonts w:ascii="Verdana" w:eastAsia="Arial" w:hAnsi="Verdana" w:cs="Arial"/>
          <w:lang w:eastAsia="es-CO"/>
        </w:rPr>
      </w:pPr>
    </w:p>
    <w:p w14:paraId="2C8B2B92" w14:textId="77777777" w:rsidR="004C01E1" w:rsidRPr="004C01E1" w:rsidRDefault="004C01E1" w:rsidP="004C01E1">
      <w:pPr>
        <w:widowControl w:val="0"/>
        <w:spacing w:after="120"/>
        <w:ind w:left="709" w:right="709"/>
        <w:jc w:val="both"/>
        <w:rPr>
          <w:rFonts w:ascii="Verdana" w:eastAsia="Arial" w:hAnsi="Verdana" w:cs="Arial"/>
          <w:sz w:val="20"/>
          <w:szCs w:val="20"/>
          <w:lang w:eastAsia="es-CO"/>
        </w:rPr>
      </w:pPr>
      <w:r w:rsidRPr="004C01E1">
        <w:rPr>
          <w:rFonts w:ascii="Verdana" w:eastAsia="Arial" w:hAnsi="Verdana" w:cs="Arial"/>
          <w:sz w:val="20"/>
          <w:szCs w:val="20"/>
          <w:lang w:eastAsia="es-CO"/>
        </w:rPr>
        <w:t xml:space="preserve">“Nótese   cómo   una   empresa   de   servicios   públicos   privada   es   aquella   que mayoritariamente pertenece a particulares, lo cual, a contrario sensu, significa que minoritariamente pertenece al Estado o a sus entidades. Y que una empresa de servicios públicos mixta es aquella </w:t>
      </w:r>
      <w:r w:rsidRPr="004C01E1">
        <w:rPr>
          <w:rFonts w:ascii="Verdana" w:eastAsia="Arial" w:hAnsi="Verdana" w:cs="Arial"/>
          <w:sz w:val="20"/>
          <w:szCs w:val="20"/>
          <w:lang w:eastAsia="es-CO"/>
        </w:rPr>
        <w:lastRenderedPageBreak/>
        <w:t>en la cual el capital público es igual o superior al cincuenta por ciento (50%), lo cual significa que minoritariamente pertenece a particulares. Así las cosas, una y otra se conforman con aporte de capital público, por lo cual su exclusión de la estructura de la Rama Ejecutiva y de la categoría jurídica denominada “entidades descentralizadas” resulta constitucionalmente cuestionable, toda vez que implica, a su vez, la exclusión de las consecuencias jurídicas derivadas de tal naturaleza jurídica, dispuestas expresamente por la Constitución.</w:t>
      </w:r>
    </w:p>
    <w:p w14:paraId="72134BA4" w14:textId="77777777" w:rsidR="004C01E1" w:rsidRPr="004C01E1" w:rsidRDefault="004C01E1" w:rsidP="004C01E1">
      <w:pPr>
        <w:widowControl w:val="0"/>
        <w:spacing w:after="120"/>
        <w:ind w:left="709" w:right="709"/>
        <w:jc w:val="both"/>
        <w:rPr>
          <w:rFonts w:ascii="Verdana" w:eastAsia="Arial" w:hAnsi="Verdana" w:cs="Arial"/>
          <w:sz w:val="20"/>
          <w:szCs w:val="20"/>
          <w:lang w:eastAsia="es-CO"/>
        </w:rPr>
      </w:pPr>
      <w:r w:rsidRPr="004C01E1">
        <w:rPr>
          <w:rFonts w:ascii="Verdana" w:eastAsia="Arial" w:hAnsi="Verdana" w:cs="Arial"/>
          <w:sz w:val="20"/>
          <w:szCs w:val="20"/>
          <w:lang w:eastAsia="es-CO"/>
        </w:rPr>
        <w:t>No obstante, la Corte observa que una interpretación armónica del literal d) del artículo 38 de la Ley 489 de 1998, junto con el literal g) de la misma norma, permiten entender que la voluntad legislativa no fue excluir a las empresas de servicios públicos mixtas o privadas de la pertenencia a la Rama Ejecutiva del poder público. […]</w:t>
      </w:r>
    </w:p>
    <w:p w14:paraId="6949B6FB" w14:textId="77777777" w:rsidR="004C01E1" w:rsidRPr="004C01E1" w:rsidRDefault="004C01E1" w:rsidP="004C01E1">
      <w:pPr>
        <w:widowControl w:val="0"/>
        <w:spacing w:after="120"/>
        <w:ind w:left="709" w:right="709"/>
        <w:jc w:val="both"/>
        <w:rPr>
          <w:rFonts w:ascii="Verdana" w:eastAsia="Arial" w:hAnsi="Verdana" w:cs="Arial"/>
          <w:sz w:val="20"/>
          <w:szCs w:val="20"/>
          <w:lang w:eastAsia="es-CO"/>
        </w:rPr>
      </w:pPr>
      <w:r w:rsidRPr="004C01E1">
        <w:rPr>
          <w:rFonts w:ascii="Verdana" w:eastAsia="Arial" w:hAnsi="Verdana" w:cs="Arial"/>
          <w:sz w:val="20"/>
          <w:szCs w:val="20"/>
          <w:lang w:eastAsia="es-CO"/>
        </w:rPr>
        <w:t xml:space="preserve">Nótese cómo en el literal d) el legislador incluye a las “demás entidades administrativas nacionales con personería jurídica que cree, organice o autorice la ley para que formen parte de la Rama Ejecutiva del Poder Público”, categoría dentro de la cual deben entenderse incluidas las empresas de servicios públicos mixtas o privadas, </w:t>
      </w:r>
      <w:proofErr w:type="gramStart"/>
      <w:r w:rsidRPr="004C01E1">
        <w:rPr>
          <w:rFonts w:ascii="Verdana" w:eastAsia="Arial" w:hAnsi="Verdana" w:cs="Arial"/>
          <w:sz w:val="20"/>
          <w:szCs w:val="20"/>
          <w:lang w:eastAsia="es-CO"/>
        </w:rPr>
        <w:t>que</w:t>
      </w:r>
      <w:proofErr w:type="gramEnd"/>
      <w:r w:rsidRPr="004C01E1">
        <w:rPr>
          <w:rFonts w:ascii="Verdana" w:eastAsia="Arial" w:hAnsi="Verdana" w:cs="Arial"/>
          <w:sz w:val="20"/>
          <w:szCs w:val="20"/>
          <w:lang w:eastAsia="es-CO"/>
        </w:rPr>
        <w:t xml:space="preserve"> de esta manera, se entienden como parte de la Rama Ejecutiva en su sector descentralizado nacional.</w:t>
      </w:r>
    </w:p>
    <w:p w14:paraId="4BFDA44F" w14:textId="77777777" w:rsidR="004C01E1" w:rsidRPr="004C01E1" w:rsidRDefault="004C01E1" w:rsidP="004C01E1">
      <w:pPr>
        <w:widowControl w:val="0"/>
        <w:spacing w:after="120"/>
        <w:ind w:left="709" w:right="709"/>
        <w:jc w:val="both"/>
        <w:rPr>
          <w:rFonts w:ascii="Verdana" w:eastAsia="Arial" w:hAnsi="Verdana" w:cs="Arial"/>
          <w:sz w:val="20"/>
          <w:szCs w:val="20"/>
          <w:lang w:eastAsia="es-CO"/>
        </w:rPr>
      </w:pPr>
      <w:r w:rsidRPr="004C01E1">
        <w:rPr>
          <w:rFonts w:ascii="Verdana" w:eastAsia="Arial" w:hAnsi="Verdana" w:cs="Arial"/>
          <w:sz w:val="20"/>
          <w:szCs w:val="20"/>
          <w:lang w:eastAsia="es-CO"/>
        </w:rPr>
        <w:t xml:space="preserve">Así las cosas, de cara a la constitucionalidad del artículo 38 de la Ley 498 de 1998, y concretamente de la expresión “las empresas oficiales de servicios públicos domiciliarios” contenida en su literal d), la Corte declarará su </w:t>
      </w:r>
      <w:proofErr w:type="spellStart"/>
      <w:r w:rsidRPr="004C01E1">
        <w:rPr>
          <w:rFonts w:ascii="Verdana" w:eastAsia="Arial" w:hAnsi="Verdana" w:cs="Arial"/>
          <w:sz w:val="20"/>
          <w:szCs w:val="20"/>
          <w:lang w:eastAsia="es-CO"/>
        </w:rPr>
        <w:t>exequibilidad</w:t>
      </w:r>
      <w:proofErr w:type="spellEnd"/>
      <w:r w:rsidRPr="004C01E1">
        <w:rPr>
          <w:rFonts w:ascii="Verdana" w:eastAsia="Arial" w:hAnsi="Verdana" w:cs="Arial"/>
          <w:sz w:val="20"/>
          <w:szCs w:val="20"/>
          <w:lang w:eastAsia="es-CO"/>
        </w:rPr>
        <w:t>, por considerar que dentro del supuesto normativo del literal g) se comprenden las empresas mixtas o privadas de servicios públicos, que de esta manera viene a conformar también la Rama Ejecutiva del poder público.</w:t>
      </w:r>
    </w:p>
    <w:p w14:paraId="5C953E78" w14:textId="77777777" w:rsidR="004C01E1" w:rsidRPr="004C01E1" w:rsidRDefault="004C01E1" w:rsidP="004C01E1">
      <w:pPr>
        <w:widowControl w:val="0"/>
        <w:spacing w:after="120"/>
        <w:ind w:left="709" w:right="709"/>
        <w:jc w:val="both"/>
        <w:rPr>
          <w:rFonts w:ascii="Verdana" w:eastAsia="Arial" w:hAnsi="Verdana" w:cs="Arial"/>
          <w:sz w:val="20"/>
          <w:szCs w:val="20"/>
          <w:lang w:eastAsia="es-CO"/>
        </w:rPr>
      </w:pPr>
      <w:r w:rsidRPr="004C01E1">
        <w:rPr>
          <w:rFonts w:ascii="Verdana" w:eastAsia="Arial" w:hAnsi="Verdana" w:cs="Arial"/>
          <w:sz w:val="20"/>
          <w:szCs w:val="20"/>
          <w:lang w:eastAsia="es-CO"/>
        </w:rPr>
        <w:t>[…]</w:t>
      </w:r>
    </w:p>
    <w:p w14:paraId="648A5E47" w14:textId="77777777" w:rsidR="004C01E1" w:rsidRPr="004C01E1" w:rsidRDefault="004C01E1" w:rsidP="004C01E1">
      <w:pPr>
        <w:widowControl w:val="0"/>
        <w:spacing w:after="0"/>
        <w:ind w:left="709" w:right="709"/>
        <w:jc w:val="both"/>
        <w:rPr>
          <w:rFonts w:ascii="Verdana" w:eastAsia="Arial" w:hAnsi="Verdana" w:cs="Arial"/>
          <w:sz w:val="20"/>
          <w:szCs w:val="20"/>
          <w:lang w:eastAsia="es-CO"/>
        </w:rPr>
      </w:pPr>
      <w:r w:rsidRPr="004C01E1">
        <w:rPr>
          <w:rFonts w:ascii="Verdana" w:eastAsia="Arial" w:hAnsi="Verdana" w:cs="Arial"/>
          <w:sz w:val="20"/>
          <w:szCs w:val="20"/>
          <w:lang w:eastAsia="es-CO"/>
        </w:rPr>
        <w:t xml:space="preserve">Obsérvese que si bien el legislador sólo considera explícitamente como entidades descentralizadas a las empresas oficiales de servicios públicos, es decir a aquellas con un capital cien por ciento (100%) estatal, lo cual haría pensar que las mixtas y las privadas no ostentarían esta naturaleza jurídica, a continuación indica que también son entidades descentralizadas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(Subraya la Corte). Así las cosas, de manera implícita incluye a las empresas de servicios públicos mixtas o privadas como entidades descentralizadas, por lo cual la Corte no encuentra obstáculo para declarar </w:t>
      </w:r>
      <w:r w:rsidRPr="004C01E1">
        <w:rPr>
          <w:rFonts w:ascii="Verdana" w:eastAsia="Arial" w:hAnsi="Verdana" w:cs="Arial"/>
          <w:sz w:val="20"/>
          <w:szCs w:val="20"/>
          <w:lang w:eastAsia="es-CO"/>
        </w:rPr>
        <w:lastRenderedPageBreak/>
        <w:t>su constitucionalidad”</w:t>
      </w:r>
      <w:r w:rsidRPr="004C01E1">
        <w:rPr>
          <w:rFonts w:ascii="Verdana" w:eastAsia="Arial" w:hAnsi="Verdana" w:cs="Arial"/>
          <w:sz w:val="20"/>
          <w:szCs w:val="20"/>
          <w:vertAlign w:val="superscript"/>
          <w:lang w:eastAsia="es-CO"/>
        </w:rPr>
        <w:footnoteReference w:id="5"/>
      </w:r>
      <w:r w:rsidRPr="004C01E1">
        <w:rPr>
          <w:rFonts w:ascii="Verdana" w:eastAsia="Arial" w:hAnsi="Verdana" w:cs="Arial"/>
          <w:sz w:val="20"/>
          <w:szCs w:val="20"/>
          <w:lang w:eastAsia="es-CO"/>
        </w:rPr>
        <w:t>.</w:t>
      </w:r>
    </w:p>
    <w:p w14:paraId="2B4FBE15" w14:textId="77777777" w:rsidR="004C01E1" w:rsidRPr="004C01E1" w:rsidRDefault="004C01E1" w:rsidP="004C01E1">
      <w:pPr>
        <w:widowControl w:val="0"/>
        <w:spacing w:before="1" w:after="0" w:line="276" w:lineRule="auto"/>
        <w:ind w:left="100" w:right="110"/>
        <w:jc w:val="both"/>
        <w:rPr>
          <w:rFonts w:ascii="Verdana" w:eastAsia="Arial" w:hAnsi="Verdana" w:cs="Arial"/>
          <w:lang w:eastAsia="es-CO"/>
        </w:rPr>
      </w:pPr>
    </w:p>
    <w:p w14:paraId="2D3C01DF" w14:textId="77777777" w:rsidR="004C01E1" w:rsidRPr="004C01E1" w:rsidRDefault="004C01E1" w:rsidP="004C01E1">
      <w:pPr>
        <w:spacing w:after="120" w:line="276" w:lineRule="auto"/>
        <w:ind w:firstLine="708"/>
        <w:jc w:val="both"/>
        <w:rPr>
          <w:rFonts w:ascii="Verdana" w:eastAsia="Arial" w:hAnsi="Verdana" w:cs="Arial"/>
          <w:lang w:eastAsia="es-CO"/>
        </w:rPr>
      </w:pPr>
      <w:r w:rsidRPr="004C01E1">
        <w:rPr>
          <w:rFonts w:ascii="Verdana" w:eastAsia="Arial" w:hAnsi="Verdana" w:cs="Arial"/>
          <w:lang w:eastAsia="es-CO"/>
        </w:rPr>
        <w:t>En esta providencia también se hace una aclaración que resulta importante: las empresas prestadoras de servicios públicos, de carácter mixto no deben ser consideradas como sociedades de economía mixta</w:t>
      </w:r>
      <w:r w:rsidRPr="004C01E1">
        <w:rPr>
          <w:rFonts w:ascii="Verdana" w:eastAsia="Arial" w:hAnsi="Verdana" w:cs="Arial"/>
          <w:vertAlign w:val="superscript"/>
          <w:lang w:eastAsia="es-CO"/>
        </w:rPr>
        <w:footnoteReference w:id="6"/>
      </w:r>
      <w:r w:rsidRPr="004C01E1">
        <w:rPr>
          <w:rFonts w:ascii="Verdana" w:eastAsia="Arial" w:hAnsi="Verdana" w:cs="Arial"/>
          <w:lang w:eastAsia="es-CO"/>
        </w:rPr>
        <w:t>. El hecho de que su composición accionaria esté compartida por recursos públicos y privados no la convierte en sociedad de economía mixta, pues las empresas de servicios públicos tienen su clasificación propia dependiendo de la composición de su capital accionario: empresas de servicios públicos oficiales, mixtas y privadas. Ahora, sin importar su clasificación, todas hacen parte de la Rama Ejecutiva, del sector descentralizado por servicios.</w:t>
      </w:r>
    </w:p>
    <w:p w14:paraId="7220A478" w14:textId="77777777" w:rsidR="004C01E1" w:rsidRPr="004C01E1" w:rsidRDefault="004C01E1" w:rsidP="004C01E1">
      <w:pPr>
        <w:spacing w:after="120" w:line="276" w:lineRule="auto"/>
        <w:jc w:val="both"/>
        <w:rPr>
          <w:rFonts w:ascii="Verdana" w:eastAsia="Calibri" w:hAnsi="Verdana" w:cs="Arial"/>
          <w:lang w:val="es-ES"/>
        </w:rPr>
      </w:pPr>
      <w:r w:rsidRPr="004C01E1">
        <w:rPr>
          <w:rFonts w:ascii="Verdana" w:eastAsia="Arial" w:hAnsi="Verdana" w:cs="Arial"/>
          <w:lang w:eastAsia="es-CO"/>
        </w:rPr>
        <w:tab/>
        <w:t xml:space="preserve">En relación con el régimen de contratación de las empresas de servicios públicos, </w:t>
      </w:r>
      <w:r w:rsidRPr="004C01E1">
        <w:rPr>
          <w:rFonts w:ascii="Verdana" w:eastAsia="Calibri" w:hAnsi="Verdana" w:cs="Arial"/>
          <w:color w:val="000000"/>
          <w:szCs w:val="24"/>
          <w:lang w:val="es-ES_tradnl" w:eastAsia="es-ES_tradnl"/>
        </w:rPr>
        <w:t>el artículo 31 de la Ley 142 de 1994, modificado por el artículo 3 de la Ley 689 de 2001, dispone que</w:t>
      </w:r>
      <w:r w:rsidRPr="004C01E1">
        <w:rPr>
          <w:rFonts w:ascii="Verdana" w:eastAsia="Calibri" w:hAnsi="Verdana" w:cs="Arial"/>
          <w:color w:val="000000"/>
          <w:bdr w:val="none" w:sz="0" w:space="0" w:color="auto" w:frame="1"/>
        </w:rPr>
        <w:t xml:space="preserve"> los contratos que celebren las entidades estatales que prestan los servicios públicos domiciliarios </w:t>
      </w:r>
      <w:r w:rsidRPr="004C01E1">
        <w:rPr>
          <w:rFonts w:ascii="Verdana" w:eastAsia="Calibri" w:hAnsi="Verdana" w:cs="Arial"/>
          <w:i/>
          <w:color w:val="000000"/>
          <w:bdr w:val="none" w:sz="0" w:space="0" w:color="auto" w:frame="1"/>
        </w:rPr>
        <w:t>“no estarán sujetos a las disposiciones del Estatuto General de Contratación de la Administración Pública, salvo en lo que la presente ley disponga otra cosa”</w:t>
      </w:r>
      <w:r w:rsidRPr="004C01E1">
        <w:rPr>
          <w:rFonts w:ascii="Verdana" w:eastAsia="Calibri" w:hAnsi="Verdana" w:cs="Arial"/>
          <w:color w:val="000000"/>
          <w:szCs w:val="24"/>
          <w:lang w:val="es-ES_tradnl" w:eastAsia="es-ES_tradnl"/>
        </w:rPr>
        <w:t xml:space="preserve">. Por su parte, el artículo 32 de la Ley 142 consagra el régimen de derecho privado para las empresas de </w:t>
      </w:r>
      <w:r w:rsidRPr="004C01E1">
        <w:rPr>
          <w:rFonts w:ascii="Verdana" w:eastAsia="Calibri" w:hAnsi="Verdana" w:cs="Arial"/>
          <w:color w:val="000000"/>
          <w:szCs w:val="24"/>
          <w:lang w:val="es-ES_tradnl" w:eastAsia="es-ES_tradnl"/>
        </w:rPr>
        <w:lastRenderedPageBreak/>
        <w:t>servicios públicos domiciliarios, indicando que sus actos se rigen por los principios y reglas aplicables a los particulares</w:t>
      </w:r>
      <w:r w:rsidRPr="004C01E1">
        <w:rPr>
          <w:rFonts w:ascii="Verdana" w:eastAsia="Calibri" w:hAnsi="Verdana" w:cs="Arial"/>
          <w:color w:val="000000"/>
          <w:szCs w:val="24"/>
          <w:vertAlign w:val="superscript"/>
          <w:lang w:val="es-ES_tradnl" w:eastAsia="es-ES_tradnl"/>
        </w:rPr>
        <w:footnoteReference w:id="7"/>
      </w:r>
      <w:r w:rsidRPr="004C01E1">
        <w:rPr>
          <w:rFonts w:ascii="Verdana" w:eastAsia="Calibri" w:hAnsi="Verdana" w:cs="Arial"/>
          <w:color w:val="000000"/>
          <w:szCs w:val="24"/>
          <w:lang w:val="es-ES_tradnl" w:eastAsia="es-ES_tradnl"/>
        </w:rPr>
        <w:t>.</w:t>
      </w:r>
    </w:p>
    <w:p w14:paraId="69529557" w14:textId="77777777" w:rsidR="004C01E1" w:rsidRPr="004C01E1" w:rsidRDefault="004C01E1" w:rsidP="004C01E1">
      <w:pPr>
        <w:spacing w:before="120" w:line="276" w:lineRule="auto"/>
        <w:ind w:firstLine="709"/>
        <w:jc w:val="both"/>
        <w:rPr>
          <w:rFonts w:ascii="Verdana" w:eastAsia="Calibri" w:hAnsi="Verdana" w:cs="Arial"/>
          <w:color w:val="000000"/>
          <w:szCs w:val="24"/>
          <w:lang w:val="es-ES_tradnl" w:eastAsia="es-ES_tradnl"/>
        </w:rPr>
      </w:pPr>
      <w:r w:rsidRPr="004C01E1">
        <w:rPr>
          <w:rFonts w:ascii="Verdana" w:eastAsia="Times New Roman" w:hAnsi="Verdana" w:cs="Arial"/>
          <w:lang w:val="es-ES_tradnl" w:eastAsia="es-ES_tradnl"/>
          <w14:ligatures w14:val="standardContextual"/>
        </w:rPr>
        <w:t xml:space="preserve">Así, en la actividad contractual las empresas de servicios públicos se sujetan a las disposiciones del derecho privado, salvo en aquellos casos en que la normativa (Constitución Política, Ley 142 de 1994 u otras normas especiales) someta dicha actuación al </w:t>
      </w:r>
      <w:r w:rsidRPr="004C01E1">
        <w:rPr>
          <w:rFonts w:ascii="Verdana" w:eastAsia="Calibri" w:hAnsi="Verdana" w:cs="Arial"/>
          <w:color w:val="000000"/>
          <w:lang w:val="es-ES" w:eastAsia="es-ES"/>
        </w:rPr>
        <w:t xml:space="preserve">al Estatuto General de Contratación de la Administración Pública. Adicionalmente, su actuar se encuentra regido por </w:t>
      </w:r>
      <w:r w:rsidRPr="004C01E1">
        <w:rPr>
          <w:rFonts w:ascii="Verdana" w:eastAsia="Calibri" w:hAnsi="Verdana" w:cs="Arial"/>
          <w:color w:val="000000"/>
          <w:szCs w:val="24"/>
          <w:lang w:val="es-ES_tradnl" w:eastAsia="es-ES_tradnl"/>
        </w:rPr>
        <w:t>los principios de la función administrativa y de la gestión fiscal, previstos en los artículos 209 y 267 de la Constitución, toda vez que así lo dispone el artículo 13 de la Ley 1150 de 2007</w:t>
      </w:r>
      <w:r w:rsidRPr="004C01E1">
        <w:rPr>
          <w:rFonts w:ascii="Verdana" w:eastAsia="Calibri" w:hAnsi="Verdana" w:cs="Arial"/>
          <w:color w:val="000000"/>
          <w:szCs w:val="24"/>
          <w:vertAlign w:val="superscript"/>
          <w:lang w:val="es-ES_tradnl" w:eastAsia="es-ES_tradnl"/>
        </w:rPr>
        <w:footnoteReference w:id="8"/>
      </w:r>
      <w:r w:rsidRPr="004C01E1">
        <w:rPr>
          <w:rFonts w:ascii="Verdana" w:eastAsia="Calibri" w:hAnsi="Verdana" w:cs="Arial"/>
          <w:color w:val="000000"/>
          <w:szCs w:val="24"/>
          <w:lang w:val="es-ES_tradnl" w:eastAsia="es-ES_tradnl"/>
        </w:rPr>
        <w:t>.</w:t>
      </w:r>
    </w:p>
    <w:p w14:paraId="20380D4A" w14:textId="77777777" w:rsidR="004C01E1" w:rsidRPr="004C01E1" w:rsidRDefault="004C01E1" w:rsidP="004C01E1">
      <w:pPr>
        <w:spacing w:before="120" w:after="120" w:line="276" w:lineRule="auto"/>
        <w:ind w:firstLine="709"/>
        <w:jc w:val="both"/>
        <w:rPr>
          <w:rFonts w:ascii="Verdana" w:eastAsia="Times New Roman" w:hAnsi="Verdana" w:cs="Arial"/>
          <w:lang w:val="es-ES_tradnl" w:eastAsia="es-ES_tradnl"/>
          <w14:ligatures w14:val="standardContextual"/>
        </w:rPr>
      </w:pPr>
      <w:r w:rsidRPr="004C01E1">
        <w:rPr>
          <w:rFonts w:ascii="Verdana" w:eastAsia="Times New Roman" w:hAnsi="Verdana" w:cs="Arial"/>
          <w:lang w:val="es-ES_tradnl" w:eastAsia="es-ES_tradnl"/>
          <w14:ligatures w14:val="standardContextual"/>
        </w:rPr>
        <w:t xml:space="preserve">En esa medida, el principio de publicidad impone a las autoridades administrativas el deber de dar a conocer sus actos, contratos y decisiones para que se divulguen y eventualmente se controlen. Por ello, en la contratación estatal, el literal c) del artículo 3 de la Ley 1150 de 2007 establece el Sistema Electrónico para la Contratación Pública, en adelante SECOP, como un mecanismo que “contará con la información oficial de la contratación realizada </w:t>
      </w:r>
      <w:r w:rsidRPr="004C01E1">
        <w:rPr>
          <w:rFonts w:ascii="Verdana" w:eastAsia="Times New Roman" w:hAnsi="Verdana" w:cs="Arial"/>
          <w:lang w:val="es-ES_tradnl" w:eastAsia="es-ES_tradnl"/>
          <w14:ligatures w14:val="standardContextual"/>
        </w:rPr>
        <w:lastRenderedPageBreak/>
        <w:t>con dineros públicos, para lo cual establecerá los patrones a que haya lugar y se encargará de su difusión a través de canales electrónicos”</w:t>
      </w:r>
      <w:r w:rsidRPr="004C01E1">
        <w:rPr>
          <w:rFonts w:ascii="Verdana" w:eastAsia="Times New Roman" w:hAnsi="Verdana" w:cs="Arial"/>
          <w:vertAlign w:val="superscript"/>
          <w:lang w:val="es-ES_tradnl" w:eastAsia="es-ES_tradnl"/>
          <w14:ligatures w14:val="standardContextual"/>
        </w:rPr>
        <w:footnoteReference w:id="9"/>
      </w:r>
      <w:r w:rsidRPr="004C01E1">
        <w:rPr>
          <w:rFonts w:ascii="Verdana" w:eastAsia="Times New Roman" w:hAnsi="Verdana" w:cs="Arial"/>
          <w:lang w:val="es-ES_tradnl" w:eastAsia="es-ES_tradnl"/>
          <w14:ligatures w14:val="standardContextual"/>
        </w:rPr>
        <w:t>.</w:t>
      </w:r>
    </w:p>
    <w:p w14:paraId="21628BD4" w14:textId="77777777" w:rsidR="004C01E1" w:rsidRPr="004C01E1" w:rsidRDefault="004C01E1" w:rsidP="004C01E1">
      <w:pPr>
        <w:spacing w:line="276" w:lineRule="auto"/>
        <w:ind w:firstLine="708"/>
        <w:contextualSpacing/>
        <w:jc w:val="both"/>
        <w:rPr>
          <w:rFonts w:ascii="Verdana" w:eastAsia="Calibri" w:hAnsi="Verdana" w:cs="Arial"/>
          <w:bCs/>
        </w:rPr>
      </w:pPr>
      <w:r w:rsidRPr="004C01E1">
        <w:rPr>
          <w:rFonts w:ascii="Verdana" w:eastAsia="Calibri" w:hAnsi="Verdana" w:cs="Arial"/>
          <w:lang w:val="es-ES" w:eastAsia="es-ES"/>
        </w:rPr>
        <w:t xml:space="preserve">En particular, tratándose del deber de publicación de las entidades estatales exceptuadas del Estatuto General de Contratación de la Administración Pública, resulta particularmente relevante lo dispuesto en el artículo 53 de la Ley 2195 de 2022, </w:t>
      </w:r>
      <w:r w:rsidRPr="004C01E1">
        <w:rPr>
          <w:rFonts w:ascii="Verdana" w:eastAsia="Calibri" w:hAnsi="Verdana" w:cs="Arial"/>
          <w:bCs/>
        </w:rPr>
        <w:t>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Al respecto, la norma citada, de manera expresa, señala:</w:t>
      </w:r>
    </w:p>
    <w:p w14:paraId="5C9B037A" w14:textId="77777777" w:rsidR="004C01E1" w:rsidRPr="004C01E1" w:rsidRDefault="004C01E1" w:rsidP="004C01E1">
      <w:pPr>
        <w:ind w:firstLine="301"/>
        <w:contextualSpacing/>
        <w:rPr>
          <w:rFonts w:ascii="Verdana" w:eastAsia="Calibri" w:hAnsi="Verdana" w:cs="Arial"/>
          <w:bCs/>
        </w:rPr>
      </w:pPr>
    </w:p>
    <w:p w14:paraId="41E159C1" w14:textId="77777777" w:rsidR="004C01E1" w:rsidRPr="004C01E1" w:rsidRDefault="004C01E1" w:rsidP="004C01E1">
      <w:pPr>
        <w:spacing w:after="120"/>
        <w:ind w:left="709" w:right="709"/>
        <w:jc w:val="both"/>
        <w:rPr>
          <w:rFonts w:ascii="Verdana" w:eastAsia="Calibri" w:hAnsi="Verdana" w:cs="Arial"/>
          <w:bCs/>
          <w:sz w:val="20"/>
          <w:szCs w:val="20"/>
        </w:rPr>
      </w:pPr>
      <w:r w:rsidRPr="004C01E1">
        <w:rPr>
          <w:rFonts w:ascii="Verdana" w:eastAsia="Calibri" w:hAnsi="Verdana" w:cs="Arial"/>
          <w:bCs/>
          <w:sz w:val="20"/>
          <w:szCs w:val="20"/>
        </w:rPr>
        <w:t>“Adiciónese los siguientes incisos al artículo 13 de la Ley 1150 de 2007, el cual quedará así:</w:t>
      </w:r>
    </w:p>
    <w:p w14:paraId="7D3D134E" w14:textId="77777777" w:rsidR="004C01E1" w:rsidRPr="004C01E1" w:rsidRDefault="004C01E1" w:rsidP="004C01E1">
      <w:pPr>
        <w:spacing w:after="120"/>
        <w:ind w:left="709" w:right="709"/>
        <w:jc w:val="both"/>
        <w:rPr>
          <w:rFonts w:ascii="Verdana" w:eastAsia="Calibri" w:hAnsi="Verdana" w:cs="Arial"/>
          <w:bCs/>
          <w:sz w:val="20"/>
          <w:szCs w:val="20"/>
        </w:rPr>
      </w:pPr>
      <w:r w:rsidRPr="004C01E1">
        <w:rPr>
          <w:rFonts w:ascii="Verdana" w:eastAsia="Calibri" w:hAnsi="Verdana" w:cs="Arial"/>
          <w:bCs/>
          <w:sz w:val="20"/>
          <w:szCs w:val="20"/>
        </w:rPr>
        <w:t xml:space="preserve">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w:t>
      </w:r>
      <w:r w:rsidRPr="004C01E1">
        <w:rPr>
          <w:rFonts w:ascii="Verdana" w:eastAsia="Calibri" w:hAnsi="Verdana" w:cs="Arial"/>
          <w:bCs/>
          <w:sz w:val="20"/>
          <w:szCs w:val="20"/>
        </w:rPr>
        <w:lastRenderedPageBreak/>
        <w:t>régimen de inhabilidades e incompatibilidades previsto legalmente para la contratación estatal.</w:t>
      </w:r>
    </w:p>
    <w:p w14:paraId="2B1AA181" w14:textId="77777777" w:rsidR="004C01E1" w:rsidRPr="004C01E1" w:rsidRDefault="004C01E1" w:rsidP="004C01E1">
      <w:pPr>
        <w:spacing w:after="120"/>
        <w:ind w:left="709" w:right="709"/>
        <w:jc w:val="both"/>
        <w:rPr>
          <w:rFonts w:ascii="Verdana" w:eastAsia="Calibri" w:hAnsi="Verdana" w:cs="Arial"/>
          <w:bCs/>
          <w:sz w:val="20"/>
          <w:szCs w:val="20"/>
        </w:rPr>
      </w:pPr>
      <w:r w:rsidRPr="004C01E1">
        <w:rPr>
          <w:rFonts w:ascii="Verdana" w:eastAsia="Calibri" w:hAnsi="Verdana" w:cs="Arial"/>
          <w:bCs/>
          <w:sz w:val="20"/>
          <w:szCs w:val="20"/>
        </w:rPr>
        <w:t xml:space="preserve">En desarrollo de los anteriores principios, deberán publicar los documentos relacionados con su </w:t>
      </w:r>
      <w:r w:rsidRPr="004C01E1">
        <w:rPr>
          <w:rFonts w:ascii="Verdana" w:eastAsia="Calibri" w:hAnsi="Verdana" w:cs="Arial"/>
          <w:bCs/>
          <w:i/>
          <w:iCs/>
          <w:sz w:val="20"/>
          <w:szCs w:val="20"/>
        </w:rPr>
        <w:t>actividad contractual</w:t>
      </w:r>
      <w:r w:rsidRPr="004C01E1">
        <w:rPr>
          <w:rFonts w:ascii="Verdana" w:eastAsia="Calibri" w:hAnsi="Verdana" w:cs="Arial"/>
          <w:bCs/>
          <w:sz w:val="20"/>
          <w:szCs w:val="20"/>
        </w:rPr>
        <w:t xml:space="preserve">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w:t>
      </w:r>
      <w:proofErr w:type="spellStart"/>
      <w:r w:rsidRPr="004C01E1">
        <w:rPr>
          <w:rFonts w:ascii="Verdana" w:eastAsia="Calibri" w:hAnsi="Verdana" w:cs="Arial"/>
          <w:bCs/>
          <w:sz w:val="20"/>
          <w:szCs w:val="20"/>
        </w:rPr>
        <w:t>postcontractual</w:t>
      </w:r>
      <w:proofErr w:type="spellEnd"/>
      <w:r w:rsidRPr="004C01E1">
        <w:rPr>
          <w:rFonts w:ascii="Verdana" w:eastAsia="Calibri" w:hAnsi="Verdana" w:cs="Arial"/>
          <w:bCs/>
          <w:sz w:val="20"/>
          <w:szCs w:val="20"/>
        </w:rPr>
        <w:t>.</w:t>
      </w:r>
    </w:p>
    <w:p w14:paraId="37B2A99B" w14:textId="77777777" w:rsidR="004C01E1" w:rsidRPr="004C01E1" w:rsidRDefault="004C01E1" w:rsidP="004C01E1">
      <w:pPr>
        <w:spacing w:after="0"/>
        <w:ind w:left="709" w:right="709"/>
        <w:jc w:val="both"/>
        <w:rPr>
          <w:rFonts w:ascii="Verdana" w:eastAsia="Calibri" w:hAnsi="Verdana" w:cs="Arial"/>
          <w:bCs/>
          <w:sz w:val="20"/>
          <w:szCs w:val="20"/>
        </w:rPr>
      </w:pPr>
      <w:r w:rsidRPr="004C01E1">
        <w:rPr>
          <w:rFonts w:ascii="Verdana" w:eastAsia="Calibri" w:hAnsi="Verdana" w:cs="Arial"/>
          <w:bCs/>
          <w:sz w:val="20"/>
          <w:szCs w:val="20"/>
        </w:rPr>
        <w:t xml:space="preserve">A partir de la </w:t>
      </w:r>
      <w:proofErr w:type="gramStart"/>
      <w:r w:rsidRPr="004C01E1">
        <w:rPr>
          <w:rFonts w:ascii="Verdana" w:eastAsia="Calibri" w:hAnsi="Verdana" w:cs="Arial"/>
          <w:bCs/>
          <w:sz w:val="20"/>
          <w:szCs w:val="20"/>
        </w:rPr>
        <w:t>entrada en vigencia</w:t>
      </w:r>
      <w:proofErr w:type="gramEnd"/>
      <w:r w:rsidRPr="004C01E1">
        <w:rPr>
          <w:rFonts w:ascii="Verdana" w:eastAsia="Calibri" w:hAnsi="Verdana" w:cs="Arial"/>
          <w:bCs/>
          <w:sz w:val="20"/>
          <w:szCs w:val="20"/>
        </w:rPr>
        <w:t xml:space="preserve"> de la presente Ley, se establecerá un periodo de transición de seis (6) meses, para que las entidades den cumplimiento efectivo a lo aquí establecido”. </w:t>
      </w:r>
    </w:p>
    <w:p w14:paraId="5C216DAF" w14:textId="77777777" w:rsidR="004C01E1" w:rsidRPr="004C01E1" w:rsidRDefault="004C01E1" w:rsidP="004C01E1">
      <w:pPr>
        <w:spacing w:after="0" w:line="276" w:lineRule="auto"/>
        <w:jc w:val="both"/>
        <w:rPr>
          <w:rFonts w:ascii="Verdana" w:eastAsia="Calibri" w:hAnsi="Verdana" w:cs="Arial"/>
          <w:lang w:val="es-ES"/>
        </w:rPr>
      </w:pPr>
    </w:p>
    <w:p w14:paraId="0979AC44" w14:textId="77777777" w:rsidR="004C01E1" w:rsidRPr="004C01E1" w:rsidRDefault="004C01E1" w:rsidP="004C01E1">
      <w:pPr>
        <w:spacing w:after="120" w:line="276" w:lineRule="auto"/>
        <w:ind w:firstLine="708"/>
        <w:jc w:val="both"/>
        <w:rPr>
          <w:rFonts w:ascii="Verdana" w:eastAsia="Calibri" w:hAnsi="Verdana" w:cs="Arial"/>
          <w:bCs/>
        </w:rPr>
      </w:pPr>
      <w:r w:rsidRPr="004C01E1">
        <w:rPr>
          <w:rFonts w:ascii="Verdana" w:eastAsia="Calibri" w:hAnsi="Verdana" w:cs="Arial"/>
          <w:bCs/>
        </w:rPr>
        <w:t xml:space="preserve">Cabe destacar que cuando la norma trascrita hace referencia a que el mencionado deber de publicidad debe cumplirse en el SECOP II </w:t>
      </w:r>
      <w:r w:rsidRPr="004C01E1">
        <w:rPr>
          <w:rFonts w:ascii="Verdana" w:eastAsia="Calibri" w:hAnsi="Verdana" w:cs="Arial"/>
          <w:bCs/>
          <w:i/>
          <w:iCs/>
        </w:rPr>
        <w:t>“o la plataforma transaccional que haga sus veces”</w:t>
      </w:r>
      <w:r w:rsidRPr="004C01E1">
        <w:rPr>
          <w:rFonts w:ascii="Verdana" w:eastAsia="Calibri" w:hAnsi="Verdana" w:cs="Arial"/>
          <w:bCs/>
        </w:rPr>
        <w:t>,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w:t>
      </w:r>
    </w:p>
    <w:p w14:paraId="1BD27071" w14:textId="77777777" w:rsidR="004C01E1" w:rsidRPr="004C01E1" w:rsidRDefault="004C01E1" w:rsidP="004C01E1">
      <w:pPr>
        <w:spacing w:after="120" w:line="276" w:lineRule="auto"/>
        <w:ind w:firstLine="709"/>
        <w:jc w:val="both"/>
        <w:rPr>
          <w:rFonts w:ascii="Verdana" w:eastAsia="Calibri" w:hAnsi="Verdana" w:cs="Arial"/>
          <w:color w:val="000000"/>
        </w:rPr>
      </w:pPr>
      <w:r w:rsidRPr="004C01E1">
        <w:rPr>
          <w:rFonts w:ascii="Verdana" w:eastAsia="Calibri" w:hAnsi="Verdana" w:cs="Arial"/>
          <w:bCs/>
        </w:rPr>
        <w:t xml:space="preserve">Adicionalmente, se aclara </w:t>
      </w:r>
      <w:r w:rsidRPr="004C01E1">
        <w:rPr>
          <w:rFonts w:ascii="Verdana" w:eastAsia="Calibri" w:hAnsi="Verdana" w:cs="Arial"/>
          <w:color w:val="000000"/>
        </w:rPr>
        <w:t>que el cumplimiento del deber de publicación de la documentación contractual debe armonizarse con las normas aplicables al tipo de información que estas contienen. Lo anterior significa que, respecto de datos sensibles, información sometida a reserva o de la cual proceda un tratamiento especial que impida su publicidad, las entidades deberán proceder de conformidad con el tratamiento que impongan tales normas</w:t>
      </w:r>
      <w:r w:rsidRPr="004C01E1">
        <w:rPr>
          <w:rFonts w:ascii="Verdana" w:eastAsia="Calibri" w:hAnsi="Verdana" w:cs="Arial"/>
          <w:color w:val="000000"/>
          <w:vertAlign w:val="superscript"/>
        </w:rPr>
        <w:footnoteReference w:id="10"/>
      </w:r>
      <w:r w:rsidRPr="004C01E1">
        <w:rPr>
          <w:rFonts w:ascii="Verdana" w:eastAsia="Calibri" w:hAnsi="Verdana" w:cs="Arial"/>
          <w:color w:val="000000"/>
        </w:rPr>
        <w:t>.</w:t>
      </w:r>
    </w:p>
    <w:p w14:paraId="73305A51" w14:textId="77777777" w:rsidR="004C01E1" w:rsidRPr="004C01E1" w:rsidRDefault="004C01E1" w:rsidP="004C01E1">
      <w:pPr>
        <w:spacing w:after="0" w:line="276" w:lineRule="auto"/>
        <w:ind w:firstLine="709"/>
        <w:jc w:val="both"/>
        <w:rPr>
          <w:rFonts w:ascii="Verdana" w:eastAsia="Calibri" w:hAnsi="Verdana" w:cs="Arial"/>
          <w:color w:val="000000"/>
          <w:lang w:val="es-ES_tradnl"/>
        </w:rPr>
      </w:pPr>
      <w:r w:rsidRPr="004C01E1">
        <w:rPr>
          <w:rFonts w:ascii="Verdana" w:eastAsia="Calibri" w:hAnsi="Verdana" w:cs="Arial"/>
          <w:color w:val="000000"/>
        </w:rPr>
        <w:lastRenderedPageBreak/>
        <w:t xml:space="preserve">Ahora bien, sobre la procedencia de los recursos para efectos de la publicidad de la actividad contractual de las entidades exceptuadas, es preciso indicar que </w:t>
      </w:r>
      <w:r w:rsidRPr="004C01E1">
        <w:rPr>
          <w:rFonts w:ascii="Verdana" w:eastAsia="Calibri" w:hAnsi="Verdana" w:cs="Arial"/>
          <w:color w:val="000000"/>
          <w:lang w:val="es-ES_tradnl"/>
        </w:rPr>
        <w:t>la Agencia Nacional de Contratación Pública – Colombia Compra Eficiente expidió</w:t>
      </w:r>
      <w:r w:rsidRPr="004C01E1">
        <w:rPr>
          <w:rFonts w:ascii="Verdana" w:eastAsia="Calibri" w:hAnsi="Verdana" w:cs="Arial"/>
          <w:color w:val="000000"/>
        </w:rPr>
        <w:t xml:space="preserve"> Circular</w:t>
      </w:r>
      <w:r w:rsidRPr="004C01E1">
        <w:rPr>
          <w:rFonts w:ascii="Verdana" w:eastAsia="Calibri" w:hAnsi="Verdana" w:cs="Arial"/>
          <w:color w:val="000000"/>
          <w:lang w:val="es-ES_tradnl"/>
        </w:rPr>
        <w:t xml:space="preserve"> Externa 002 del 23 de agosto de 2024, </w:t>
      </w:r>
      <w:r w:rsidRPr="004C01E1">
        <w:rPr>
          <w:rFonts w:ascii="Verdana" w:eastAsia="Calibri" w:hAnsi="Verdana" w:cs="Arial"/>
          <w:color w:val="000000"/>
        </w:rPr>
        <w:t>en la cual</w:t>
      </w:r>
      <w:r w:rsidRPr="004C01E1">
        <w:rPr>
          <w:rFonts w:ascii="Verdana" w:eastAsia="Calibri" w:hAnsi="Verdana" w:cs="Arial"/>
          <w:color w:val="000000"/>
          <w:lang w:val="es-ES_tradnl"/>
        </w:rPr>
        <w:t xml:space="preserve"> señaló lo siguiente: </w:t>
      </w:r>
    </w:p>
    <w:p w14:paraId="2105C944" w14:textId="77777777" w:rsidR="004C01E1" w:rsidRPr="004C01E1" w:rsidRDefault="004C01E1" w:rsidP="004C01E1">
      <w:pPr>
        <w:spacing w:after="0" w:line="276" w:lineRule="auto"/>
        <w:ind w:firstLine="709"/>
        <w:jc w:val="both"/>
        <w:rPr>
          <w:rFonts w:ascii="Verdana" w:eastAsia="Calibri" w:hAnsi="Verdana" w:cs="Arial"/>
          <w:color w:val="000000"/>
        </w:rPr>
      </w:pPr>
    </w:p>
    <w:p w14:paraId="760708A5" w14:textId="77777777" w:rsidR="004C01E1" w:rsidRPr="004C01E1" w:rsidRDefault="004C01E1" w:rsidP="004C01E1">
      <w:pPr>
        <w:spacing w:after="0" w:line="276" w:lineRule="auto"/>
        <w:ind w:left="709" w:right="616"/>
        <w:jc w:val="both"/>
        <w:rPr>
          <w:rFonts w:ascii="Verdana" w:eastAsia="Calibri" w:hAnsi="Verdana" w:cs="Arial"/>
          <w:color w:val="000000"/>
          <w:sz w:val="21"/>
          <w:szCs w:val="21"/>
        </w:rPr>
      </w:pPr>
      <w:r w:rsidRPr="004C01E1">
        <w:rPr>
          <w:rFonts w:ascii="Verdana" w:eastAsia="Calibri" w:hAnsi="Verdana" w:cs="Arial"/>
          <w:color w:val="000000"/>
          <w:sz w:val="21"/>
          <w:szCs w:val="21"/>
        </w:rPr>
        <w:t xml:space="preserve">“La obligación de publicar la actividad contractual siempre ha estado encaminada a que se publique aquella información relacionada con la ejecución de dineros públicos. Por tal razón, puede concluirse, a la luz de las disposiciones que regulan la materia, que el artículo 53 –al ampliar la obligación de las entidades con regímenes especiales de publicar su actividad contractual en el SECOP II– se refiere a aquella actividad contractual cuya fuente de financiación provenga de recursos públicos. De conformidad con lo expuesto, teniendo en cuenta que el artículo 53 complementa la disposición contenida en el artículo 3 de la Ley 1150 de 2007, debe entenderse que la contratación a la que se refiere es aquella </w:t>
      </w:r>
      <w:bookmarkStart w:id="4" w:name="_Hlk186230457"/>
      <w:r w:rsidRPr="004C01E1">
        <w:rPr>
          <w:rFonts w:ascii="Verdana" w:eastAsia="Calibri" w:hAnsi="Verdana" w:cs="Arial"/>
          <w:color w:val="000000"/>
          <w:sz w:val="21"/>
          <w:szCs w:val="21"/>
        </w:rPr>
        <w:t>realizada con recursos públicos</w:t>
      </w:r>
      <w:bookmarkEnd w:id="4"/>
      <w:r w:rsidRPr="004C01E1">
        <w:rPr>
          <w:rFonts w:ascii="Verdana" w:eastAsia="Calibri" w:hAnsi="Verdana" w:cs="Arial"/>
          <w:color w:val="000000"/>
          <w:sz w:val="21"/>
          <w:szCs w:val="21"/>
        </w:rPr>
        <w:t>, cuya información es la que debe publicarse en el SECOP II”.</w:t>
      </w:r>
    </w:p>
    <w:p w14:paraId="06E3A512" w14:textId="77777777" w:rsidR="004C01E1" w:rsidRPr="004C01E1" w:rsidRDefault="004C01E1" w:rsidP="004C01E1">
      <w:pPr>
        <w:spacing w:after="0" w:line="276" w:lineRule="auto"/>
        <w:ind w:left="709" w:right="616"/>
        <w:jc w:val="both"/>
        <w:rPr>
          <w:rFonts w:ascii="Verdana" w:eastAsia="Calibri" w:hAnsi="Verdana" w:cs="Arial"/>
          <w:color w:val="000000"/>
          <w:sz w:val="21"/>
          <w:szCs w:val="21"/>
          <w:lang w:val="es-ES_tradnl"/>
        </w:rPr>
      </w:pPr>
    </w:p>
    <w:p w14:paraId="66405238" w14:textId="77777777" w:rsidR="004C01E1" w:rsidRPr="004C01E1" w:rsidRDefault="004C01E1" w:rsidP="004C01E1">
      <w:pPr>
        <w:spacing w:after="120" w:line="276" w:lineRule="auto"/>
        <w:ind w:firstLine="709"/>
        <w:jc w:val="both"/>
        <w:rPr>
          <w:rFonts w:ascii="Verdana" w:eastAsia="Aptos" w:hAnsi="Verdana" w:cs="Arial"/>
          <w:kern w:val="2"/>
          <w14:ligatures w14:val="standardContextual"/>
        </w:rPr>
      </w:pPr>
      <w:r w:rsidRPr="004C01E1">
        <w:rPr>
          <w:rFonts w:ascii="Verdana" w:eastAsia="Calibri" w:hAnsi="Verdana" w:cs="Arial"/>
        </w:rPr>
        <w:t xml:space="preserve">Conforme a lo anterior, el entendimiento de esta Agencia </w:t>
      </w:r>
      <w:r w:rsidRPr="004C01E1">
        <w:rPr>
          <w:rFonts w:ascii="Verdana" w:eastAsia="Calibri" w:hAnsi="Verdana" w:cs="Arial"/>
          <w:color w:val="000000"/>
          <w:lang w:val="es-ES_tradnl"/>
        </w:rPr>
        <w:t xml:space="preserve">sobre la </w:t>
      </w:r>
      <w:r w:rsidRPr="004C01E1">
        <w:rPr>
          <w:rFonts w:ascii="Verdana" w:eastAsia="Calibri" w:hAnsi="Verdana" w:cs="Arial"/>
          <w:color w:val="000000"/>
        </w:rPr>
        <w:t xml:space="preserve">aplicación del artículo 53 de la </w:t>
      </w:r>
      <w:bookmarkStart w:id="5" w:name="_Hlk186230347"/>
      <w:r w:rsidRPr="004C01E1">
        <w:rPr>
          <w:rFonts w:ascii="Verdana" w:eastAsia="Calibri" w:hAnsi="Verdana" w:cs="Arial"/>
          <w:color w:val="000000"/>
        </w:rPr>
        <w:t>Ley 2195 de 2022</w:t>
      </w:r>
      <w:bookmarkEnd w:id="5"/>
      <w:r w:rsidRPr="004C01E1">
        <w:rPr>
          <w:rFonts w:ascii="Verdana" w:eastAsia="Calibri" w:hAnsi="Verdana" w:cs="Arial"/>
          <w:color w:val="000000"/>
        </w:rPr>
        <w:t xml:space="preserve">, </w:t>
      </w:r>
      <w:r w:rsidRPr="004C01E1">
        <w:rPr>
          <w:rFonts w:ascii="Verdana" w:eastAsia="Calibri" w:hAnsi="Verdana" w:cs="Arial"/>
        </w:rPr>
        <w:t xml:space="preserve">es que las entidades exceptuadas se encuentran obligadas a publicar en el SECOP II los documentos de su actividad contractual cuya fuente de financiación sea con recursos públicos, sin perjuicio de estar sometidas a regímenes de derecho privado. </w:t>
      </w:r>
    </w:p>
    <w:p w14:paraId="4C9F0E67" w14:textId="77777777" w:rsidR="004C01E1" w:rsidRPr="004C01E1" w:rsidRDefault="004C01E1" w:rsidP="004C01E1">
      <w:pPr>
        <w:spacing w:after="120" w:line="276" w:lineRule="auto"/>
        <w:ind w:firstLine="709"/>
        <w:jc w:val="both"/>
        <w:rPr>
          <w:rFonts w:ascii="Verdana" w:eastAsia="Aptos" w:hAnsi="Verdana" w:cs="Arial"/>
          <w:kern w:val="2"/>
          <w14:ligatures w14:val="standardContextual"/>
        </w:rPr>
      </w:pPr>
      <w:r w:rsidRPr="004C01E1">
        <w:rPr>
          <w:rFonts w:ascii="Verdana" w:eastAsia="Aptos" w:hAnsi="Verdana" w:cs="Arial"/>
          <w:kern w:val="2"/>
          <w14:ligatures w14:val="standardContextual"/>
        </w:rPr>
        <w:t xml:space="preserve">Lo expuesto encuentra sustento en el literal c del artículo 3 de la Ley 1150 de 2007 que establece que el Gobierno Nacional desarrollará el </w:t>
      </w:r>
      <w:proofErr w:type="spellStart"/>
      <w:r w:rsidRPr="004C01E1">
        <w:rPr>
          <w:rFonts w:ascii="Verdana" w:eastAsia="Aptos" w:hAnsi="Verdana" w:cs="Arial"/>
          <w:kern w:val="2"/>
          <w14:ligatures w14:val="standardContextual"/>
        </w:rPr>
        <w:t>Secop</w:t>
      </w:r>
      <w:proofErr w:type="spellEnd"/>
      <w:r w:rsidRPr="004C01E1">
        <w:rPr>
          <w:rFonts w:ascii="Verdana" w:eastAsia="Aptos" w:hAnsi="Verdana" w:cs="Arial"/>
          <w:kern w:val="2"/>
          <w14:ligatures w14:val="standardContextual"/>
        </w:rPr>
        <w:t xml:space="preserve">, que contará con la información oficial de la contratación </w:t>
      </w:r>
      <w:r w:rsidRPr="004C01E1">
        <w:rPr>
          <w:rFonts w:ascii="Verdana" w:eastAsia="Aptos" w:hAnsi="Verdana" w:cs="Arial"/>
          <w:i/>
          <w:iCs/>
          <w:kern w:val="2"/>
          <w14:ligatures w14:val="standardContextual"/>
        </w:rPr>
        <w:t>realizada con dineros públicos</w:t>
      </w:r>
      <w:r w:rsidRPr="004C01E1">
        <w:rPr>
          <w:rFonts w:ascii="Verdana" w:eastAsia="Aptos" w:hAnsi="Verdana" w:cs="Arial"/>
          <w:kern w:val="2"/>
          <w14:ligatures w14:val="standardContextual"/>
        </w:rPr>
        <w:t xml:space="preserve">. Asimismo, </w:t>
      </w:r>
      <w:r w:rsidRPr="004C01E1">
        <w:rPr>
          <w:rFonts w:ascii="Verdana" w:eastAsia="Aptos" w:hAnsi="Verdana" w:cs="Arial"/>
          <w:kern w:val="2"/>
          <w:shd w:val="clear" w:color="auto" w:fill="FFFFFF"/>
          <w14:ligatures w14:val="standardContextual"/>
        </w:rPr>
        <w:t xml:space="preserve">la Ley 1712 de 2014 –ley estatutaria que regula la transparencia y el derecho de acceso a la información y a los documentos públicos–; </w:t>
      </w:r>
      <w:r w:rsidRPr="004C01E1">
        <w:rPr>
          <w:rFonts w:ascii="Verdana" w:eastAsia="Aptos" w:hAnsi="Verdana" w:cs="Arial"/>
          <w:kern w:val="2"/>
          <w:lang w:val="es-ES_tradnl"/>
          <w14:ligatures w14:val="standardContextual"/>
        </w:rPr>
        <w:t xml:space="preserve">en el literal e) del artículo 9, señala que los sujetos obligados, que </w:t>
      </w:r>
      <w:r w:rsidRPr="004C01E1">
        <w:rPr>
          <w:rFonts w:ascii="Verdana" w:eastAsia="Aptos" w:hAnsi="Verdana" w:cs="Arial"/>
          <w:kern w:val="2"/>
          <w:lang w:val="es-ES_tradnl"/>
          <w14:ligatures w14:val="standardContextual"/>
        </w:rPr>
        <w:lastRenderedPageBreak/>
        <w:t>son todas las entidades públicas</w:t>
      </w:r>
      <w:r w:rsidRPr="004C01E1">
        <w:rPr>
          <w:rFonts w:ascii="Aptos" w:eastAsia="Aptos" w:hAnsi="Aptos" w:cs="Times New Roman"/>
          <w:kern w:val="2"/>
          <w:sz w:val="24"/>
          <w:szCs w:val="24"/>
          <w:vertAlign w:val="superscript"/>
          <w:lang w:val="es-ES_tradnl"/>
          <w14:ligatures w14:val="standardContextual"/>
        </w:rPr>
        <w:footnoteReference w:id="11"/>
      </w:r>
      <w:r w:rsidRPr="004C01E1">
        <w:rPr>
          <w:rFonts w:ascii="Verdana" w:eastAsia="Aptos" w:hAnsi="Verdana" w:cs="Arial"/>
          <w:kern w:val="2"/>
          <w:lang w:val="es-ES_tradnl"/>
          <w14:ligatures w14:val="standardContextual"/>
        </w:rPr>
        <w:t>, deben publicar la información relativa a su contratación. Esta obligación fue desarrollada por el Decreto Único Reglamentario 1082 de 2015</w:t>
      </w:r>
      <w:r w:rsidRPr="004C01E1">
        <w:rPr>
          <w:rFonts w:ascii="Aptos" w:eastAsia="Aptos" w:hAnsi="Aptos" w:cs="Times New Roman"/>
          <w:kern w:val="2"/>
          <w:sz w:val="24"/>
          <w:szCs w:val="24"/>
          <w:vertAlign w:val="superscript"/>
          <w:lang w:val="es-ES_tradnl"/>
          <w14:ligatures w14:val="standardContextual"/>
        </w:rPr>
        <w:footnoteReference w:id="12"/>
      </w:r>
      <w:r w:rsidRPr="004C01E1">
        <w:rPr>
          <w:rFonts w:ascii="Verdana" w:eastAsia="Aptos" w:hAnsi="Verdana" w:cs="Arial"/>
          <w:kern w:val="2"/>
          <w:lang w:val="es-ES_tradnl"/>
          <w14:ligatures w14:val="standardContextual"/>
        </w:rPr>
        <w:t>, el cual dispuso que “</w:t>
      </w:r>
      <w:r w:rsidRPr="004C01E1">
        <w:rPr>
          <w:rFonts w:ascii="Verdana" w:eastAsia="Aptos" w:hAnsi="Verdana" w:cs="Arial"/>
          <w:kern w:val="2"/>
          <w:lang w:val="es-ES"/>
          <w14:ligatures w14:val="standardContextual"/>
        </w:rPr>
        <w:t xml:space="preserve">Los sujetos obligados que contratan con recursos públicos y recursos privados, deben publicar la información de su gestión contractual con </w:t>
      </w:r>
      <w:r w:rsidRPr="004C01E1">
        <w:rPr>
          <w:rFonts w:ascii="Verdana" w:eastAsia="Aptos" w:hAnsi="Verdana" w:cs="Arial"/>
          <w:i/>
          <w:iCs/>
          <w:kern w:val="2"/>
          <w:lang w:val="es-ES"/>
          <w14:ligatures w14:val="standardContextual"/>
        </w:rPr>
        <w:t>cargo a recursos públicos</w:t>
      </w:r>
      <w:r w:rsidRPr="004C01E1">
        <w:rPr>
          <w:rFonts w:ascii="Verdana" w:eastAsia="Aptos" w:hAnsi="Verdana" w:cs="Arial"/>
          <w:kern w:val="2"/>
          <w:lang w:val="es-ES"/>
          <w14:ligatures w14:val="standardContextual"/>
        </w:rPr>
        <w:t xml:space="preserve"> en el Sistema Electrónico para la Contratación Pública”.</w:t>
      </w:r>
    </w:p>
    <w:p w14:paraId="0CF85A04" w14:textId="77777777" w:rsidR="004C01E1" w:rsidRPr="004C01E1" w:rsidRDefault="004C01E1" w:rsidP="004C01E1">
      <w:pPr>
        <w:spacing w:after="120" w:line="276" w:lineRule="auto"/>
        <w:ind w:firstLine="708"/>
        <w:jc w:val="both"/>
        <w:rPr>
          <w:rFonts w:ascii="Verdana" w:eastAsia="Aptos" w:hAnsi="Verdana" w:cs="Arial"/>
          <w:kern w:val="2"/>
          <w14:ligatures w14:val="standardContextual"/>
        </w:rPr>
      </w:pPr>
      <w:r w:rsidRPr="004C01E1">
        <w:rPr>
          <w:rFonts w:ascii="Verdana" w:eastAsia="Aptos" w:hAnsi="Verdana" w:cs="Arial"/>
          <w:kern w:val="2"/>
          <w14:ligatures w14:val="standardContextual"/>
        </w:rPr>
        <w:t xml:space="preserve">En este sentido, comoquiera que las normas señalas se refieren a la publicidad de información contractual realizada con cargo a recursos públicos, se colige que las entidades exceptuadas del EGCAP tienen obligación de publicar en el SECOP II la actividad contractual </w:t>
      </w:r>
      <w:r w:rsidRPr="004C01E1">
        <w:rPr>
          <w:rFonts w:ascii="Verdana" w:eastAsia="Calibri" w:hAnsi="Verdana" w:cs="Arial"/>
          <w:color w:val="000000"/>
          <w:kern w:val="2"/>
          <w14:ligatures w14:val="standardContextual"/>
        </w:rPr>
        <w:t>realizada con recursos públicos</w:t>
      </w:r>
      <w:r w:rsidRPr="004C01E1">
        <w:rPr>
          <w:rFonts w:ascii="Verdana" w:eastAsia="Aptos" w:hAnsi="Verdana" w:cs="Arial"/>
          <w:kern w:val="2"/>
          <w14:ligatures w14:val="standardContextual"/>
        </w:rPr>
        <w:t xml:space="preserve">. Por tanto, en la Circular 002 de 2024 esta Agencia exhortó a todas las entidades con regímenes exceptuados, es decir, aquellas que no se encuentran obligadas a la aplicación del Estatuto General de Contratación de la Administración Pública, que tengas a su cargo el manejo de recursos públicos, a publicar toda su actividad contractual en el SECOP II, en aras de cumplir con los principios de la contratación estatal, principalmente el de transparencia. </w:t>
      </w:r>
    </w:p>
    <w:p w14:paraId="2EA201B4" w14:textId="77777777" w:rsidR="004C01E1" w:rsidRPr="004C01E1" w:rsidRDefault="004C01E1" w:rsidP="004C01E1">
      <w:pPr>
        <w:numPr>
          <w:ilvl w:val="0"/>
          <w:numId w:val="18"/>
        </w:numPr>
        <w:spacing w:before="120" w:after="120" w:line="276" w:lineRule="auto"/>
        <w:ind w:left="0" w:firstLine="0"/>
        <w:contextualSpacing/>
        <w:jc w:val="both"/>
        <w:rPr>
          <w:rFonts w:ascii="Verdana" w:eastAsia="Calibri" w:hAnsi="Verdana" w:cs="Arial"/>
          <w:lang w:val="es-ES_tradnl" w:eastAsia="es-ES"/>
        </w:rPr>
      </w:pPr>
      <w:bookmarkStart w:id="7" w:name="_Hlk113022941"/>
      <w:r w:rsidRPr="004C01E1">
        <w:rPr>
          <w:rFonts w:ascii="Verdana" w:eastAsia="Calibri" w:hAnsi="Verdana" w:cs="Arial"/>
          <w:lang w:val="es-ES_tradnl" w:eastAsia="es-ES"/>
        </w:rPr>
        <w:t xml:space="preserve">La </w:t>
      </w:r>
      <w:bookmarkStart w:id="8" w:name="_Hlk176876754"/>
      <w:r w:rsidRPr="004C01E1">
        <w:rPr>
          <w:rFonts w:ascii="Verdana" w:eastAsia="Calibri" w:hAnsi="Verdana" w:cs="Arial"/>
          <w:lang w:val="es-ES_tradnl" w:eastAsia="es-ES"/>
        </w:rPr>
        <w:t>Ley 2022 de 2020, modificó el contenido del parágrafo 7 del artículo 2 de la Ley 1150 de 2007, que había sido adicionado por la Ley 1882 de 2018</w:t>
      </w:r>
      <w:bookmarkEnd w:id="8"/>
      <w:r w:rsidRPr="004C01E1">
        <w:rPr>
          <w:rFonts w:ascii="Aptos" w:eastAsia="Aptos" w:hAnsi="Aptos" w:cs="Times New Roman"/>
          <w:kern w:val="2"/>
          <w:sz w:val="24"/>
          <w:szCs w:val="24"/>
          <w:vertAlign w:val="superscript"/>
          <w:lang w:val="es-ES_tradnl" w:eastAsia="es-ES"/>
          <w14:ligatures w14:val="standardContextual"/>
        </w:rPr>
        <w:footnoteReference w:id="13"/>
      </w:r>
      <w:r w:rsidRPr="004C01E1">
        <w:rPr>
          <w:rFonts w:ascii="Verdana" w:eastAsia="Calibri" w:hAnsi="Verdana" w:cs="Arial"/>
          <w:lang w:val="es-ES_tradnl" w:eastAsia="es-ES"/>
        </w:rPr>
        <w:t xml:space="preserve">. </w:t>
      </w:r>
      <w:r w:rsidRPr="004C01E1">
        <w:rPr>
          <w:rFonts w:ascii="Verdana" w:eastAsia="Calibri" w:hAnsi="Verdana" w:cs="Arial"/>
          <w:lang w:val="es-ES_tradnl" w:eastAsia="es-ES"/>
        </w:rPr>
        <w:lastRenderedPageBreak/>
        <w:t xml:space="preserve">Con esta modificación, si bien se mantuvo el mandato de aplicación obligatoria de los documentos tipo por parte de las entidades sometidas al </w:t>
      </w:r>
      <w:r w:rsidRPr="004C01E1">
        <w:rPr>
          <w:rFonts w:ascii="Verdana" w:eastAsia="Calibri" w:hAnsi="Verdana" w:cs="Arial"/>
          <w:bCs/>
          <w:lang w:val="es-ES_tradnl" w:eastAsia="es-ES_tradnl"/>
        </w:rPr>
        <w:t>EGCAP</w:t>
      </w:r>
      <w:r w:rsidRPr="004C01E1">
        <w:rPr>
          <w:rFonts w:ascii="Verdana" w:eastAsia="Calibri" w:hAnsi="Verdana" w:cs="Arial"/>
          <w:lang w:val="es-ES_tradnl" w:eastAsia="es-ES"/>
        </w:rPr>
        <w:t xml:space="preserve">, se atribuyó a la </w:t>
      </w:r>
      <w:r w:rsidRPr="004C01E1">
        <w:rPr>
          <w:rFonts w:ascii="Verdana" w:eastAsia="Calibri" w:hAnsi="Verdana" w:cs="Arial"/>
          <w:lang w:val="es-ES_tradnl" w:eastAsia="es-ES_tradnl"/>
        </w:rPr>
        <w:t xml:space="preserve">Agencia Nacional de Contratación Pública – Colombia Compra Eficiente la competencia para su expedición. </w:t>
      </w:r>
    </w:p>
    <w:p w14:paraId="18281D5A" w14:textId="77777777" w:rsidR="004C01E1" w:rsidRPr="004C01E1" w:rsidRDefault="004C01E1" w:rsidP="004C01E1">
      <w:pPr>
        <w:spacing w:after="120" w:line="276" w:lineRule="auto"/>
        <w:ind w:firstLine="709"/>
        <w:jc w:val="both"/>
        <w:rPr>
          <w:rFonts w:ascii="Verdana" w:eastAsia="Aptos" w:hAnsi="Verdana" w:cs="Arial"/>
          <w:lang w:val="es-ES"/>
        </w:rPr>
      </w:pPr>
      <w:r w:rsidRPr="004C01E1">
        <w:rPr>
          <w:rFonts w:ascii="Verdana" w:eastAsia="Aptos" w:hAnsi="Verdana" w:cs="Arial"/>
          <w:lang w:val="es-ES"/>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 </w:t>
      </w:r>
    </w:p>
    <w:p w14:paraId="55FAB9B2" w14:textId="77777777" w:rsidR="004C01E1" w:rsidRPr="004C01E1" w:rsidRDefault="004C01E1" w:rsidP="004C01E1">
      <w:pPr>
        <w:spacing w:after="120" w:line="276" w:lineRule="auto"/>
        <w:ind w:firstLine="709"/>
        <w:jc w:val="both"/>
        <w:rPr>
          <w:rFonts w:ascii="Verdana" w:eastAsia="Aptos" w:hAnsi="Verdana" w:cs="Arial"/>
          <w:lang w:val="es-ES"/>
        </w:rPr>
      </w:pPr>
      <w:r w:rsidRPr="004C01E1">
        <w:rPr>
          <w:rFonts w:ascii="Verdana" w:eastAsia="Aptos" w:hAnsi="Verdana" w:cs="Arial"/>
          <w:lang w:val="es-ES"/>
        </w:rPr>
        <w:t xml:space="preserve">En el sector de infraestructura de agua potable y saneamiento básico, la Agencia Nacional de Contratación Pública – Colombia Compra Eficiente mediante la Resolución 248 del 1 de diciembre de 2020 adoptó los documentos tipo para los procesos de licitación pública para obras de infraestructura de agua potable </w:t>
      </w:r>
      <w:r w:rsidRPr="004C01E1">
        <w:rPr>
          <w:rFonts w:ascii="Verdana" w:eastAsia="Aptos" w:hAnsi="Verdana" w:cs="Arial"/>
          <w:lang w:val="es-ES"/>
        </w:rPr>
        <w:lastRenderedPageBreak/>
        <w:t xml:space="preserve">y saneamiento básico. Por su parte, mediante la Resolución 249 del 11 de diciembre de 2020, la Agencia adoptó los documentos tipo para los procesos de licitación de obra pública para obras de infraestructura de agua potable y saneamiento básico en la modalidad de llave en mano. Finalmente, mediante la Resolución 333 del 27 de julio de 2022 esta entidad adoptó los documentos tipo para los procesos de selección de concurso de méritos abiertos para contratar la interventoría de obras públicas de infraestructura de agua potable y saneamiento básico. </w:t>
      </w:r>
    </w:p>
    <w:p w14:paraId="0EB2BDC1" w14:textId="77777777" w:rsidR="004C01E1" w:rsidRPr="004C01E1" w:rsidRDefault="004C01E1" w:rsidP="004C01E1">
      <w:pPr>
        <w:spacing w:after="120" w:line="276" w:lineRule="auto"/>
        <w:ind w:firstLine="709"/>
        <w:jc w:val="both"/>
        <w:rPr>
          <w:rFonts w:ascii="Verdana" w:eastAsia="Calibri" w:hAnsi="Verdana" w:cs="Arial"/>
        </w:rPr>
      </w:pPr>
      <w:bookmarkStart w:id="9" w:name="_Hlk176861190"/>
      <w:bookmarkStart w:id="10" w:name="_Hlk176877108"/>
      <w:bookmarkEnd w:id="7"/>
      <w:r w:rsidRPr="004C01E1">
        <w:rPr>
          <w:rFonts w:ascii="Verdana" w:eastAsia="Calibri" w:hAnsi="Verdana" w:cs="Arial"/>
          <w:lang w:eastAsia="es-ES_tradnl"/>
        </w:rPr>
        <w:t xml:space="preserve">De acuerdo con lo expuesto, </w:t>
      </w:r>
      <w:r w:rsidRPr="004C01E1">
        <w:rPr>
          <w:rFonts w:ascii="Verdana" w:eastAsia="Calibri" w:hAnsi="Verdana" w:cs="Arial"/>
          <w:bdr w:val="none" w:sz="0" w:space="0" w:color="auto" w:frame="1"/>
          <w:lang w:eastAsia="es-ES_tradnl"/>
        </w:rPr>
        <w:t xml:space="preserve">los documentos tipo adoptados son obligatorios para las Entidades Estatales regidas por el </w:t>
      </w:r>
      <w:r w:rsidRPr="004C01E1">
        <w:rPr>
          <w:rFonts w:ascii="Verdana" w:eastAsia="Calibri" w:hAnsi="Verdana" w:cs="Arial"/>
          <w:bCs/>
          <w:lang w:val="es-ES_tradnl" w:eastAsia="es-ES_tradnl"/>
        </w:rPr>
        <w:t>EGCAP</w:t>
      </w:r>
      <w:r w:rsidRPr="004C01E1">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4C01E1">
        <w:rPr>
          <w:rFonts w:ascii="Verdana" w:eastAsia="Calibri" w:hAnsi="Verdana" w:cs="Arial"/>
          <w:bdr w:val="none" w:sz="0" w:space="0" w:color="auto" w:frame="1"/>
          <w:vertAlign w:val="superscript"/>
          <w:lang w:eastAsia="es-ES_tradnl"/>
        </w:rPr>
        <w:footnoteReference w:id="14"/>
      </w:r>
      <w:r w:rsidRPr="004C01E1">
        <w:rPr>
          <w:rFonts w:ascii="Verdana" w:eastAsia="Calibri" w:hAnsi="Verdana" w:cs="Arial"/>
          <w:bdr w:val="none" w:sz="0" w:space="0" w:color="auto" w:frame="1"/>
          <w:lang w:eastAsia="es-ES_tradnl"/>
        </w:rPr>
        <w:t xml:space="preserve">. </w:t>
      </w:r>
      <w:r w:rsidRPr="004C01E1">
        <w:rPr>
          <w:rFonts w:ascii="Verdana" w:eastAsia="Calibri" w:hAnsi="Verdana" w:cs="Arial"/>
        </w:rPr>
        <w:t xml:space="preserve">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 </w:t>
      </w:r>
    </w:p>
    <w:p w14:paraId="7A2651A7" w14:textId="77777777" w:rsidR="004C01E1" w:rsidRPr="004C01E1" w:rsidRDefault="004C01E1" w:rsidP="004C01E1">
      <w:pPr>
        <w:spacing w:after="120" w:line="276" w:lineRule="auto"/>
        <w:ind w:firstLine="709"/>
        <w:jc w:val="both"/>
        <w:rPr>
          <w:rFonts w:ascii="Verdana" w:eastAsia="Calibri" w:hAnsi="Verdana" w:cs="Arial"/>
          <w:lang w:val="es-ES"/>
        </w:rPr>
      </w:pPr>
      <w:r w:rsidRPr="004C01E1">
        <w:rPr>
          <w:rFonts w:ascii="Verdana" w:eastAsia="Calibri" w:hAnsi="Verdana" w:cs="Arial"/>
          <w:shd w:val="clear" w:color="auto" w:fill="FFFFFF"/>
          <w:lang w:val="es-ES"/>
        </w:rPr>
        <w:t xml:space="preserve">En ese orden, </w:t>
      </w:r>
      <w:r w:rsidRPr="004C01E1">
        <w:rPr>
          <w:rFonts w:ascii="Verdana" w:eastAsia="Calibri" w:hAnsi="Verdana" w:cs="Arial"/>
          <w:lang w:val="es-ES"/>
        </w:rPr>
        <w:t xml:space="preserve">las Entidades Estatales regidas por el EGCAP, de conformidad con el parágrafo 7 del artículo 2 de la Ley 1150 de 2007, adicionado por la Ley 1882 de 2018 y modificado por la Ley 2022 de 2020, se encuentran obligadas a aplicar los documentos tipo implementados por esta Agencia para adelantar los Procesos de Contratación que se encuentren cobijados por los documentos tipo expedidos. Sin embargo, si el objeto contractual no se relaciona con actividades u objetos contractuales descritos en los documentos tipo que han sido expedidos por Colombia Compra Eficiente, o estos no aplican a la modalidad de escogencia aplicable, no será obligatorio aplicar los pliegos tipo. </w:t>
      </w:r>
    </w:p>
    <w:p w14:paraId="2B176AE1" w14:textId="77777777" w:rsidR="004C01E1" w:rsidRPr="004C01E1" w:rsidRDefault="004C01E1" w:rsidP="004C01E1">
      <w:pPr>
        <w:spacing w:after="120" w:line="276" w:lineRule="auto"/>
        <w:ind w:firstLine="709"/>
        <w:jc w:val="both"/>
        <w:rPr>
          <w:rFonts w:ascii="Verdana" w:eastAsia="Calibri" w:hAnsi="Verdana" w:cs="Arial"/>
          <w:lang w:val="es-ES_tradnl"/>
        </w:rPr>
      </w:pPr>
      <w:r w:rsidRPr="004C01E1">
        <w:rPr>
          <w:rFonts w:ascii="Verdana" w:eastAsia="Calibri" w:hAnsi="Verdana" w:cs="Arial"/>
          <w:lang w:val="es-ES"/>
        </w:rPr>
        <w:t xml:space="preserve">Además del objeto y la modalidad de escogencia aplicable, para delimitar de forma más precisa el ámbito de aplicación de cada uno de los documentos tipo será necesario analizar la matriz de experiencia asociada a cada uno de </w:t>
      </w:r>
      <w:r w:rsidRPr="004C01E1">
        <w:rPr>
          <w:rFonts w:ascii="Verdana" w:eastAsia="Calibri" w:hAnsi="Verdana" w:cs="Arial"/>
          <w:lang w:val="es-ES"/>
        </w:rPr>
        <w:lastRenderedPageBreak/>
        <w:t>ellos, pues estos aplicarán a los proyectos y/o actividades específicas contempladas en cada una de dichas matrices de experiencia. En este sentido, la matriz de experiencia de cada uno de los documentos tipo, además de estandarizar este importante requisito en los procedimientos de selección, delimita o precisa el ámbito de aplicación de estos, por lo que aplicarán a las actividades establecidas en cada una de estas matrices</w:t>
      </w:r>
      <w:r w:rsidRPr="004C01E1">
        <w:rPr>
          <w:rFonts w:ascii="Verdana" w:eastAsia="Calibri" w:hAnsi="Verdana" w:cs="Arial"/>
          <w:vertAlign w:val="superscript"/>
          <w:lang w:val="es-ES"/>
        </w:rPr>
        <w:footnoteReference w:id="15"/>
      </w:r>
      <w:r w:rsidRPr="004C01E1">
        <w:rPr>
          <w:rFonts w:ascii="Verdana" w:eastAsia="Calibri" w:hAnsi="Verdana" w:cs="Arial"/>
          <w:lang w:val="es-ES"/>
        </w:rPr>
        <w:t>.</w:t>
      </w:r>
    </w:p>
    <w:p w14:paraId="3C6C1347" w14:textId="77777777" w:rsidR="004C01E1" w:rsidRPr="004C01E1" w:rsidRDefault="004C01E1" w:rsidP="004C01E1">
      <w:pPr>
        <w:spacing w:after="120" w:line="276" w:lineRule="auto"/>
        <w:jc w:val="both"/>
        <w:rPr>
          <w:rFonts w:ascii="Verdana" w:eastAsia="Aptos" w:hAnsi="Verdana" w:cs="Arial"/>
          <w:lang w:val="es-ES"/>
        </w:rPr>
      </w:pPr>
      <w:r w:rsidRPr="004C01E1">
        <w:rPr>
          <w:rFonts w:ascii="Verdana" w:eastAsia="Aptos" w:hAnsi="Verdana" w:cs="Arial"/>
          <w:lang w:val="es-ES"/>
        </w:rPr>
        <w:tab/>
      </w:r>
      <w:bookmarkStart w:id="11" w:name="_Hlk104104535"/>
      <w:r w:rsidRPr="004C01E1">
        <w:rPr>
          <w:rFonts w:ascii="Verdana" w:eastAsia="Aptos" w:hAnsi="Verdana" w:cs="Arial"/>
          <w:lang w:val="es-ES"/>
        </w:rPr>
        <w:t xml:space="preserve">En conclusión, la definición de si a un Proceso de Contratación le aplican los documentos tipo radicará en si el contrato a ejecutar </w:t>
      </w:r>
      <w:proofErr w:type="gramStart"/>
      <w:r w:rsidRPr="004C01E1">
        <w:rPr>
          <w:rFonts w:ascii="Verdana" w:eastAsia="Aptos" w:hAnsi="Verdana" w:cs="Arial"/>
          <w:lang w:val="es-ES"/>
        </w:rPr>
        <w:t>se enmarca dentro de</w:t>
      </w:r>
      <w:proofErr w:type="gramEnd"/>
      <w:r w:rsidRPr="004C01E1">
        <w:rPr>
          <w:rFonts w:ascii="Verdana" w:eastAsia="Aptos" w:hAnsi="Verdana" w:cs="Arial"/>
          <w:lang w:val="es-ES"/>
        </w:rPr>
        <w:t xml:space="preserve"> las actividades establecidas en la matriz de experiencia del documento tipo, de modo que las Entidades Estatales sometidas al EGCAP deberán aplicar los documentos tipo en dichos supuestos. En todo caso, independientemente de la correspondencia entre el objeto a contratar y alguna de las actividades tipificadas en las matrices de experiencia, la aplicación del documento tipo solo será forzosa, si además el correspondiente Documento Tipo ha sido expedido para la modalidad de escogencia en la que se debe adelantar el proceso de selección. </w:t>
      </w:r>
      <w:bookmarkEnd w:id="11"/>
    </w:p>
    <w:p w14:paraId="192C66F5" w14:textId="77777777" w:rsidR="004C01E1" w:rsidRPr="004C01E1" w:rsidRDefault="004C01E1" w:rsidP="004C01E1">
      <w:pPr>
        <w:spacing w:after="120" w:line="276" w:lineRule="auto"/>
        <w:ind w:firstLine="708"/>
        <w:jc w:val="both"/>
        <w:rPr>
          <w:rFonts w:ascii="Verdana" w:eastAsia="Aptos" w:hAnsi="Verdana" w:cs="Arial"/>
          <w:lang w:val="es-ES"/>
        </w:rPr>
      </w:pPr>
      <w:r w:rsidRPr="004C01E1">
        <w:rPr>
          <w:rFonts w:ascii="Verdana" w:eastAsia="Calibri" w:hAnsi="Verdana" w:cs="Arial"/>
          <w:bCs/>
          <w:lang w:val="es-ES_tradnl" w:eastAsia="es-ES_tradnl"/>
        </w:rPr>
        <w:t xml:space="preserve">Conforme se explicó en los párrafos anteriores, en virtud de la Ley 2022 de 2020, los documentos tipo expedidos por la Agencia Nacional de Contratación Pública – Colombia Compra Eficiente son de aplicación obligatoria para las Entidades Estatales sometidas al EGCAP. En ese sentido, el contenido normativo de la Ley 2022 de 2020, y en su momento también de la Ley 1882 de 2018, excluyen del ámbito de aplicación de los documentos tipo la contratación de Entidades Estatales de régimen exceptuado, por lo general, sujetas al derecho privado. </w:t>
      </w:r>
    </w:p>
    <w:p w14:paraId="57768883" w14:textId="77777777" w:rsidR="004C01E1" w:rsidRPr="004C01E1" w:rsidRDefault="004C01E1" w:rsidP="004C01E1">
      <w:pPr>
        <w:spacing w:after="120" w:line="276" w:lineRule="auto"/>
        <w:ind w:firstLine="708"/>
        <w:jc w:val="both"/>
        <w:rPr>
          <w:rFonts w:ascii="Verdana" w:eastAsia="Calibri" w:hAnsi="Verdana" w:cs="Arial"/>
          <w:lang w:val="es-ES" w:eastAsia="es-ES"/>
        </w:rPr>
      </w:pPr>
      <w:r w:rsidRPr="004C01E1">
        <w:rPr>
          <w:rFonts w:ascii="Verdana" w:eastAsia="Calibri" w:hAnsi="Verdana" w:cs="Arial"/>
          <w:lang w:val="es-ES" w:eastAsia="es-ES"/>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recuperar los daños </w:t>
      </w:r>
      <w:r w:rsidRPr="004C01E1">
        <w:rPr>
          <w:rFonts w:ascii="Verdana" w:eastAsia="Calibri" w:hAnsi="Verdana" w:cs="Arial"/>
          <w:lang w:val="es-ES" w:eastAsia="es-ES"/>
        </w:rPr>
        <w:lastRenderedPageBreak/>
        <w:t xml:space="preserve">ocasionados por la corrupción, promoviendo la cultura de la legalidad e integridad. </w:t>
      </w:r>
    </w:p>
    <w:p w14:paraId="795FFCAD" w14:textId="77777777" w:rsidR="004C01E1" w:rsidRPr="004C01E1" w:rsidRDefault="004C01E1" w:rsidP="004C01E1">
      <w:pPr>
        <w:spacing w:after="0" w:line="276" w:lineRule="auto"/>
        <w:ind w:firstLine="708"/>
        <w:jc w:val="both"/>
        <w:rPr>
          <w:rFonts w:ascii="Verdana" w:eastAsia="Calibri" w:hAnsi="Verdana" w:cs="Arial"/>
          <w:bCs/>
          <w:lang w:val="es-ES_tradnl" w:eastAsia="es-ES_tradnl"/>
        </w:rPr>
      </w:pPr>
      <w:r w:rsidRPr="004C01E1">
        <w:rPr>
          <w:rFonts w:ascii="Verdana" w:eastAsia="Calibri" w:hAnsi="Verdana" w:cs="Arial"/>
          <w:bCs/>
          <w:lang w:val="es-ES_tradnl" w:eastAsia="es-ES_tradnl"/>
        </w:rPr>
        <w:t>Entre las medidas adoptadas por la Ley mencionada se destaca el artículo 56, norma sobre la que versa la presente consulta. Esta disposición se refiere de manera expresa a los documentos tipo y a su aplicabilidad a sujetos diferentes de las entidades estatales sometidas al Estatuto General de Contratación de la Administración Pública:</w:t>
      </w:r>
    </w:p>
    <w:p w14:paraId="726D790C" w14:textId="77777777" w:rsidR="004C01E1" w:rsidRPr="004C01E1" w:rsidRDefault="004C01E1" w:rsidP="004C01E1">
      <w:pPr>
        <w:tabs>
          <w:tab w:val="left" w:pos="0"/>
        </w:tabs>
        <w:spacing w:after="0" w:line="276" w:lineRule="auto"/>
        <w:jc w:val="both"/>
        <w:rPr>
          <w:rFonts w:ascii="Arial" w:eastAsia="Calibri" w:hAnsi="Arial" w:cs="Arial"/>
          <w:bCs/>
          <w:szCs w:val="24"/>
          <w:lang w:val="es-ES_tradnl" w:eastAsia="es-ES_tradnl"/>
        </w:rPr>
      </w:pPr>
    </w:p>
    <w:p w14:paraId="6CC9B978" w14:textId="77777777" w:rsidR="004C01E1" w:rsidRPr="004C01E1" w:rsidRDefault="004C01E1" w:rsidP="004C01E1">
      <w:pPr>
        <w:tabs>
          <w:tab w:val="left" w:pos="0"/>
        </w:tabs>
        <w:spacing w:before="120" w:after="0" w:line="240" w:lineRule="auto"/>
        <w:ind w:left="709" w:right="709"/>
        <w:jc w:val="both"/>
        <w:rPr>
          <w:rFonts w:ascii="Verdana" w:eastAsia="Times New Roman" w:hAnsi="Verdana" w:cs="Arial"/>
          <w:sz w:val="21"/>
          <w:szCs w:val="21"/>
          <w:lang w:val="es-ES_tradnl" w:eastAsia="es-ES_tradnl"/>
        </w:rPr>
      </w:pPr>
      <w:r w:rsidRPr="004C01E1">
        <w:rPr>
          <w:rFonts w:ascii="Arial" w:eastAsia="Times New Roman" w:hAnsi="Arial" w:cs="Arial"/>
          <w:sz w:val="21"/>
          <w:szCs w:val="21"/>
          <w:lang w:val="es-ES_tradnl" w:eastAsia="es-ES_tradnl"/>
        </w:rPr>
        <w:t xml:space="preserve">Artículo 56. Aplicación de los documentos tipo a entidades de régimen especial. </w:t>
      </w:r>
      <w:r w:rsidRPr="004C01E1">
        <w:rPr>
          <w:rFonts w:ascii="Verdana" w:eastAsia="Times New Roman" w:hAnsi="Verdana" w:cs="Arial"/>
          <w:sz w:val="21"/>
          <w:szCs w:val="21"/>
          <w:lang w:val="es-ES_tradnl" w:eastAsia="es-ES_tradnl"/>
        </w:rPr>
        <w:t xml:space="preserve">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11DD1108" w14:textId="77777777" w:rsidR="004C01E1" w:rsidRPr="004C01E1" w:rsidRDefault="004C01E1" w:rsidP="004C01E1">
      <w:pPr>
        <w:tabs>
          <w:tab w:val="left" w:pos="0"/>
        </w:tabs>
        <w:spacing w:before="120" w:after="0" w:line="240" w:lineRule="auto"/>
        <w:ind w:left="709" w:right="709"/>
        <w:jc w:val="both"/>
        <w:rPr>
          <w:rFonts w:ascii="Verdana" w:eastAsia="Times New Roman" w:hAnsi="Verdana" w:cs="Arial"/>
          <w:sz w:val="21"/>
          <w:szCs w:val="21"/>
          <w:lang w:val="es-ES_tradnl" w:eastAsia="es-ES_tradnl"/>
        </w:rPr>
      </w:pPr>
      <w:r w:rsidRPr="004C01E1">
        <w:rPr>
          <w:rFonts w:ascii="Verdana" w:eastAsia="Times New Roman" w:hAnsi="Verdana" w:cs="Arial"/>
          <w:sz w:val="21"/>
          <w:szCs w:val="21"/>
          <w:lang w:val="es-ES_tradnl" w:eastAsia="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68E30AB0" w14:textId="77777777" w:rsidR="004C01E1" w:rsidRPr="004C01E1" w:rsidRDefault="004C01E1" w:rsidP="004C01E1">
      <w:pPr>
        <w:spacing w:before="120" w:after="0" w:line="240" w:lineRule="auto"/>
        <w:ind w:left="709" w:right="709"/>
        <w:jc w:val="both"/>
        <w:rPr>
          <w:rFonts w:ascii="Verdana" w:eastAsia="Calibri" w:hAnsi="Verdana" w:cs="Arial"/>
          <w:sz w:val="21"/>
          <w:szCs w:val="21"/>
          <w:lang w:val="es-ES" w:eastAsia="es-ES"/>
        </w:rPr>
      </w:pPr>
      <w:r w:rsidRPr="004C01E1">
        <w:rPr>
          <w:rFonts w:ascii="Verdana" w:eastAsia="Times New Roman" w:hAnsi="Verdana" w:cs="Arial"/>
          <w:sz w:val="21"/>
          <w:szCs w:val="21"/>
          <w:lang w:val="es-ES" w:eastAsia="es-ES"/>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4C01E1">
        <w:rPr>
          <w:rFonts w:ascii="Verdana" w:eastAsia="Times New Roman" w:hAnsi="Verdana" w:cs="Arial"/>
          <w:i/>
          <w:iCs/>
          <w:sz w:val="21"/>
          <w:szCs w:val="21"/>
          <w:lang w:val="es-ES" w:eastAsia="es-ES"/>
        </w:rPr>
        <w:t>giro ordinario</w:t>
      </w:r>
      <w:r w:rsidRPr="004C01E1">
        <w:rPr>
          <w:rFonts w:ascii="Verdana" w:eastAsia="Times New Roman" w:hAnsi="Verdana" w:cs="Arial"/>
          <w:sz w:val="21"/>
          <w:szCs w:val="21"/>
          <w:lang w:val="es-ES" w:eastAsia="es-ES"/>
        </w:rPr>
        <w:t>. En estos casos, en los manuales de contratación de estas entidades, se fomentará como buena práctica la aplicación de los pliegos tipo.</w:t>
      </w:r>
    </w:p>
    <w:p w14:paraId="691DF746" w14:textId="77777777" w:rsidR="004C01E1" w:rsidRPr="004C01E1" w:rsidRDefault="004C01E1" w:rsidP="004C01E1">
      <w:pPr>
        <w:tabs>
          <w:tab w:val="left" w:pos="0"/>
        </w:tabs>
        <w:spacing w:after="0" w:line="276" w:lineRule="auto"/>
        <w:jc w:val="both"/>
        <w:rPr>
          <w:rFonts w:ascii="Arial" w:eastAsia="Calibri" w:hAnsi="Arial" w:cs="Arial"/>
          <w:bCs/>
          <w:szCs w:val="24"/>
          <w:lang w:val="es-ES_tradnl" w:eastAsia="es-ES_tradnl"/>
        </w:rPr>
      </w:pPr>
    </w:p>
    <w:p w14:paraId="3DA42381" w14:textId="77777777" w:rsidR="004C01E1" w:rsidRPr="004C01E1" w:rsidRDefault="004C01E1" w:rsidP="004C01E1">
      <w:pPr>
        <w:tabs>
          <w:tab w:val="left" w:pos="0"/>
        </w:tabs>
        <w:spacing w:after="120" w:line="276" w:lineRule="auto"/>
        <w:jc w:val="both"/>
        <w:rPr>
          <w:rFonts w:ascii="Verdana" w:eastAsia="Calibri" w:hAnsi="Verdana" w:cs="Arial"/>
          <w:bCs/>
          <w:szCs w:val="24"/>
          <w:lang w:val="es-ES_tradnl" w:eastAsia="es-ES_tradnl"/>
        </w:rPr>
      </w:pPr>
      <w:r w:rsidRPr="004C01E1">
        <w:rPr>
          <w:rFonts w:ascii="Arial" w:eastAsia="Calibri" w:hAnsi="Arial" w:cs="Arial"/>
          <w:bCs/>
          <w:szCs w:val="24"/>
          <w:lang w:val="es-ES_tradnl" w:eastAsia="es-ES_tradnl"/>
        </w:rPr>
        <w:tab/>
      </w:r>
      <w:r w:rsidRPr="004C01E1">
        <w:rPr>
          <w:rFonts w:ascii="Verdana" w:eastAsia="Calibri" w:hAnsi="Verdana" w:cs="Arial"/>
          <w:bCs/>
          <w:szCs w:val="24"/>
          <w:lang w:val="es-ES_tradnl" w:eastAsia="es-ES_tradnl"/>
        </w:rPr>
        <w:t xml:space="preserve">Las implicaciones de lo establecido en esta norma son variadas y se presentan en múltiples ámbitos de la actividad contractual de las entidades estatales, </w:t>
      </w:r>
      <w:proofErr w:type="gramStart"/>
      <w:r w:rsidRPr="004C01E1">
        <w:rPr>
          <w:rFonts w:ascii="Verdana" w:eastAsia="Calibri" w:hAnsi="Verdana" w:cs="Arial"/>
          <w:bCs/>
          <w:szCs w:val="24"/>
          <w:lang w:val="es-ES_tradnl" w:eastAsia="es-ES_tradnl"/>
        </w:rPr>
        <w:t>que</w:t>
      </w:r>
      <w:proofErr w:type="gramEnd"/>
      <w:r w:rsidRPr="004C01E1">
        <w:rPr>
          <w:rFonts w:ascii="Verdana" w:eastAsia="Calibri" w:hAnsi="Verdana" w:cs="Arial"/>
          <w:bCs/>
          <w:szCs w:val="24"/>
          <w:lang w:val="es-ES_tradnl" w:eastAsia="es-ES_tradnl"/>
        </w:rPr>
        <w:t xml:space="preserve"> como consecuencia de la entrada en vigor de la disposición en cita, ven alterado su régimen jurídico. Es por esto por lo que una interpretación adecuada de esta disposición, orientada a establecer con precisión el alcance de sus efectos, exige detenerse sobre ciertos aspectos que, a juicio de esta Agencia, resulta indispensable analizar para la comprensión de la norma materia de consulta, los cuales se desarrollan a continuación, y fueron expuestos por esta Entidad </w:t>
      </w:r>
      <w:r w:rsidRPr="004C01E1">
        <w:rPr>
          <w:rFonts w:ascii="Verdana" w:eastAsia="Times New Roman" w:hAnsi="Verdana" w:cs="Arial"/>
          <w:lang w:eastAsia="es-ES_tradnl"/>
        </w:rPr>
        <w:t xml:space="preserve">a partir del concepto C-066 del 28 de enero de 2022, cuya tesis se </w:t>
      </w:r>
      <w:r w:rsidRPr="004C01E1">
        <w:rPr>
          <w:rFonts w:ascii="Verdana" w:eastAsia="Times New Roman" w:hAnsi="Verdana" w:cs="Arial"/>
          <w:lang w:eastAsia="es-ES_tradnl"/>
        </w:rPr>
        <w:lastRenderedPageBreak/>
        <w:t xml:space="preserve">desarrolló y complementó, entre otros, en los siguientes conceptos C-320 del 20 de mayo de 2022, C-333 del 24 de mayo de 2022, C-404 del 26 de mayo de 2023, C-382 del 27 de mayo de 2022, C-388 del 15 de junio de 2022, C-423 del 5 de julio de 2022, C-435 del 6 de julio de 2023, C-453 del 15 de julio de 2022, C-494 del 26 de julio de 2022, C-483 del 5 de agosto de 2022, C-496 del 3 de agosto de 2022, C-556 del 3 de agosto de 2022, C-532 del 22 de agosto de 2022, C-341 del 27 de mayo de 2022, C-382 del 27 de mayo de 2022, C-449 del 25 de julio de 2022, C-453 del 14 de julio de 2022,  C-488 del 29 de julio de 2022, C-494 del 28 de julio de 2022, C-501 del 29 de julio de 2022 y  C-155 del 7 de marzo de 2025, C-202 del 26 de marzo de 2025 y C-298 del 16 de abril de 2025. </w:t>
      </w:r>
    </w:p>
    <w:p w14:paraId="5CF2D4FE" w14:textId="77777777" w:rsidR="004C01E1" w:rsidRPr="004C01E1" w:rsidRDefault="004C01E1" w:rsidP="004C01E1">
      <w:pPr>
        <w:tabs>
          <w:tab w:val="left" w:pos="0"/>
        </w:tabs>
        <w:spacing w:after="120" w:line="276" w:lineRule="auto"/>
        <w:jc w:val="both"/>
        <w:rPr>
          <w:rFonts w:ascii="Verdana" w:eastAsia="Calibri" w:hAnsi="Verdana" w:cs="Arial"/>
          <w:bCs/>
          <w:lang w:val="es-ES_tradnl" w:eastAsia="es-ES_tradnl"/>
        </w:rPr>
      </w:pPr>
      <w:r w:rsidRPr="004C01E1">
        <w:rPr>
          <w:rFonts w:ascii="Verdana" w:eastAsia="Calibri" w:hAnsi="Verdana" w:cs="Arial"/>
          <w:bCs/>
          <w:lang w:val="es-ES_tradnl" w:eastAsia="es-ES_tradnl"/>
        </w:rPr>
        <w:tab/>
        <w:t xml:space="preserve">Como se desprende de la frase inicial de la norma citada, es claro que el primer y principal mandato de la norma se encuentra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En ese sentido, el primer inciso de la norma reafirma el deber de las entidades sometidas al EGCAP de aplicar los documentos tipo. </w:t>
      </w:r>
    </w:p>
    <w:p w14:paraId="6AE1F8E6" w14:textId="77777777" w:rsidR="004C01E1" w:rsidRPr="004C01E1" w:rsidRDefault="004C01E1" w:rsidP="004C01E1">
      <w:pPr>
        <w:spacing w:before="120" w:line="276" w:lineRule="auto"/>
        <w:jc w:val="both"/>
        <w:rPr>
          <w:rFonts w:ascii="Verdana" w:eastAsia="Calibri" w:hAnsi="Verdana" w:cs="Arial"/>
          <w:lang w:val="es-ES"/>
        </w:rPr>
      </w:pPr>
      <w:r w:rsidRPr="004C01E1">
        <w:rPr>
          <w:rFonts w:ascii="Verdana" w:eastAsia="Calibri" w:hAnsi="Verdana" w:cs="Arial"/>
          <w:bCs/>
          <w:lang w:val="es-ES_tradnl" w:eastAsia="es-ES_tradnl"/>
        </w:rPr>
        <w:tab/>
      </w:r>
      <w:r w:rsidRPr="004C01E1">
        <w:rPr>
          <w:rFonts w:ascii="Verdana" w:eastAsia="Calibri" w:hAnsi="Verdana" w:cs="Arial"/>
          <w:lang w:val="es-ES"/>
        </w:rPr>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7A168D95" w14:textId="77777777" w:rsidR="004C01E1" w:rsidRPr="004C01E1" w:rsidRDefault="004C01E1" w:rsidP="004C01E1">
      <w:pPr>
        <w:spacing w:before="120" w:line="276" w:lineRule="auto"/>
        <w:jc w:val="both"/>
        <w:rPr>
          <w:rFonts w:ascii="Verdana" w:eastAsia="Calibri" w:hAnsi="Verdana" w:cs="Arial"/>
          <w:lang w:val="es-ES"/>
        </w:rPr>
      </w:pPr>
      <w:r w:rsidRPr="004C01E1">
        <w:rPr>
          <w:rFonts w:ascii="Verdana" w:eastAsia="Calibri" w:hAnsi="Verdana" w:cs="Arial"/>
          <w:bCs/>
          <w:lang w:val="es-ES_tradnl"/>
        </w:rPr>
        <w:tab/>
      </w:r>
      <w:r w:rsidRPr="004C01E1">
        <w:rPr>
          <w:rFonts w:ascii="Verdana" w:eastAsia="Calibri" w:hAnsi="Verdana" w:cs="Arial"/>
          <w:lang w:val="es-ES"/>
        </w:rPr>
        <w:t xml:space="preserve">Antes de la expedición del artículo 56 </w:t>
      </w:r>
      <w:proofErr w:type="spellStart"/>
      <w:r w:rsidRPr="004C01E1">
        <w:rPr>
          <w:rFonts w:ascii="Verdana" w:eastAsia="Calibri" w:hAnsi="Verdana" w:cs="Arial"/>
          <w:i/>
          <w:iCs/>
          <w:lang w:val="es-ES"/>
        </w:rPr>
        <w:t>ibídem</w:t>
      </w:r>
      <w:proofErr w:type="spellEnd"/>
      <w:r w:rsidRPr="004C01E1">
        <w:rPr>
          <w:rFonts w:ascii="Verdana" w:eastAsia="Calibri" w:hAnsi="Verdana" w:cs="Arial"/>
          <w:i/>
          <w:iCs/>
          <w:lang w:val="es-ES"/>
        </w:rPr>
        <w:t>,</w:t>
      </w:r>
      <w:r w:rsidRPr="004C01E1">
        <w:rPr>
          <w:rFonts w:ascii="Verdana" w:eastAsia="Calibri" w:hAnsi="Verdana" w:cs="Arial"/>
          <w:lang w:val="es-ES"/>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w:t>
      </w:r>
      <w:r w:rsidRPr="004C01E1">
        <w:rPr>
          <w:rFonts w:ascii="Verdana" w:eastAsia="Calibri" w:hAnsi="Verdana" w:cs="Arial"/>
          <w:lang w:val="es-ES"/>
        </w:rPr>
        <w:lastRenderedPageBreak/>
        <w:t xml:space="preserve">aplicación de documentos tipo por parte de entidades con regímenes especiales o de derecho privado era un asunto que escapaba del ámbito de aplicación de lo establecido por la Ley 2022 de 2020, incluso tratándose de obras o servicios para cuya contratación hubieren documentos tipo vigentes, comoquiera que la aplicación de estos solo era procedente cuando el régimen de la entidad contratante fuera el EGCAP, toda vez que el parágrafo 7 del artículo 2 de la Ley 1150 de 2007 solo se refiere a la obligación de aplicar los documentos tipo en los Procesos de Contratación que adelanten las entidades sometidas al EGCAP. </w:t>
      </w:r>
    </w:p>
    <w:p w14:paraId="4E427B0C" w14:textId="77777777" w:rsidR="004C01E1" w:rsidRPr="004C01E1" w:rsidRDefault="004C01E1" w:rsidP="004C01E1">
      <w:pPr>
        <w:spacing w:before="120" w:line="276" w:lineRule="auto"/>
        <w:jc w:val="both"/>
        <w:rPr>
          <w:rFonts w:ascii="Verdana" w:eastAsia="Calibri" w:hAnsi="Verdana" w:cs="Arial"/>
          <w:lang w:val="es-ES"/>
        </w:rPr>
      </w:pPr>
      <w:r w:rsidRPr="004C01E1">
        <w:rPr>
          <w:rFonts w:ascii="Verdana" w:eastAsia="Calibri" w:hAnsi="Verdana" w:cs="Arial"/>
          <w:bCs/>
          <w:lang w:val="es-ES_tradnl"/>
        </w:rPr>
        <w:tab/>
      </w:r>
      <w:r w:rsidRPr="004C01E1">
        <w:rPr>
          <w:rFonts w:ascii="Verdana" w:eastAsia="Calibri" w:hAnsi="Verdana" w:cs="Arial"/>
          <w:lang w:val="es-ES"/>
        </w:rPr>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6777672E" w14:textId="77777777" w:rsidR="004C01E1" w:rsidRPr="004C01E1" w:rsidRDefault="004C01E1" w:rsidP="004C01E1">
      <w:pPr>
        <w:spacing w:before="120" w:line="276" w:lineRule="auto"/>
        <w:jc w:val="both"/>
        <w:rPr>
          <w:rFonts w:ascii="Verdana" w:eastAsia="Calibri" w:hAnsi="Verdana" w:cs="Arial"/>
          <w:lang w:val="es-ES"/>
        </w:rPr>
      </w:pPr>
      <w:r w:rsidRPr="004C01E1">
        <w:rPr>
          <w:rFonts w:ascii="Arial" w:eastAsia="Calibri" w:hAnsi="Arial" w:cs="Arial"/>
          <w:bCs/>
          <w:lang w:val="es-ES_tradnl"/>
        </w:rPr>
        <w:tab/>
      </w:r>
      <w:r w:rsidRPr="004C01E1">
        <w:rPr>
          <w:rFonts w:ascii="Verdana" w:eastAsia="Calibri" w:hAnsi="Verdana" w:cs="Arial"/>
          <w:lang w:val="es-ES"/>
        </w:rPr>
        <w:t xml:space="preserve">En este escenario, </w:t>
      </w:r>
      <w:bookmarkStart w:id="12" w:name="_Hlk99351345"/>
      <w:r w:rsidRPr="004C01E1">
        <w:rPr>
          <w:rFonts w:ascii="Verdana" w:eastAsia="Calibri" w:hAnsi="Verdana" w:cs="Arial"/>
          <w:lang w:val="es-ES"/>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4C01E1">
        <w:rPr>
          <w:rFonts w:ascii="Verdana" w:eastAsia="Calibri" w:hAnsi="Verdana" w:cs="Arial"/>
          <w:lang w:val="es-ES"/>
        </w:rPr>
        <w:t>ii</w:t>
      </w:r>
      <w:proofErr w:type="spellEnd"/>
      <w:r w:rsidRPr="004C01E1">
        <w:rPr>
          <w:rFonts w:ascii="Verdana" w:eastAsia="Calibri" w:hAnsi="Verdana" w:cs="Arial"/>
          <w:lang w:val="es-ES"/>
        </w:rPr>
        <w:t xml:space="preserve">) patrimonios autónomos o </w:t>
      </w:r>
      <w:proofErr w:type="spellStart"/>
      <w:r w:rsidRPr="004C01E1">
        <w:rPr>
          <w:rFonts w:ascii="Verdana" w:eastAsia="Calibri" w:hAnsi="Verdana" w:cs="Arial"/>
          <w:lang w:val="es-ES"/>
        </w:rPr>
        <w:t>iii</w:t>
      </w:r>
      <w:proofErr w:type="spellEnd"/>
      <w:r w:rsidRPr="004C01E1">
        <w:rPr>
          <w:rFonts w:ascii="Verdana" w:eastAsia="Calibri" w:hAnsi="Verdana" w:cs="Arial"/>
          <w:lang w:val="es-ES"/>
        </w:rPr>
        <w:t xml:space="preserve">) con personas naturales o jurídicas de derecho privado, tenga que hacerlo aplicando documentos tipo. Los efectos del primer inciso del artículo 56 se proyectarían entonces a los contratos o convenios interadministrativos o de cualquier otra índole, que se deban celebrar con estos sujetos, cuyos objetos comprendan la adquisición de bienes, obras o servicios, que, al tenor de lo dispuesto en el apartado normativo bajo examen, deberán celebrarse mediante documentos tipo.      </w:t>
      </w:r>
    </w:p>
    <w:bookmarkEnd w:id="12"/>
    <w:p w14:paraId="6ABE3829" w14:textId="77777777" w:rsidR="004C01E1" w:rsidRPr="004C01E1" w:rsidRDefault="004C01E1" w:rsidP="004C01E1">
      <w:pPr>
        <w:tabs>
          <w:tab w:val="left" w:pos="0"/>
        </w:tabs>
        <w:spacing w:after="120" w:line="276" w:lineRule="auto"/>
        <w:jc w:val="both"/>
        <w:rPr>
          <w:rFonts w:ascii="Verdana" w:eastAsia="Calibri" w:hAnsi="Verdana" w:cs="Arial"/>
          <w:lang w:val="es-ES" w:eastAsia="es-ES"/>
        </w:rPr>
      </w:pPr>
      <w:r w:rsidRPr="004C01E1">
        <w:rPr>
          <w:rFonts w:ascii="Verdana" w:eastAsia="Calibri" w:hAnsi="Verdana" w:cs="Arial"/>
          <w:bCs/>
          <w:lang w:val="es-ES_tradnl" w:eastAsia="es-ES_tradnl"/>
        </w:rPr>
        <w:tab/>
      </w:r>
      <w:r w:rsidRPr="004C01E1">
        <w:rPr>
          <w:rFonts w:ascii="Verdana" w:eastAsia="Calibri" w:hAnsi="Verdana" w:cs="Arial"/>
          <w:lang w:val="es-ES" w:eastAsia="es-ES"/>
        </w:rPr>
        <w:t xml:space="preserve"> Sin perjuicio de lo anterior, solo es posible comprender los efectos de lo dispuesto en el artículo 56 de la Ley 2195 de 2020 cuando se interpretan en conjunto todos sus componentes. Esto comoquiera que, a lo anterior se le suman las implicaciones de lo ordenado por el segundo inciso de la norma en estudio cuando usa la expresión “los procedimientos de selección y contratos que </w:t>
      </w:r>
      <w:r w:rsidRPr="004C01E1">
        <w:rPr>
          <w:rFonts w:ascii="Verdana" w:eastAsia="Calibri" w:hAnsi="Verdana" w:cs="Arial"/>
          <w:lang w:val="es-ES" w:eastAsia="es-ES"/>
        </w:rPr>
        <w:lastRenderedPageBreak/>
        <w:t xml:space="preserve">realicen en desarrollo de los anteriores negocios jurídicos”, a los que se refiere el primer inciso, en los que, además de la aplicación de los documentos tipo, se dispone la aplicación del EGCAP. </w:t>
      </w:r>
    </w:p>
    <w:p w14:paraId="1E7D5EAE" w14:textId="77777777" w:rsidR="004C01E1" w:rsidRPr="004C01E1" w:rsidRDefault="004C01E1" w:rsidP="004C01E1">
      <w:pPr>
        <w:tabs>
          <w:tab w:val="left" w:pos="0"/>
        </w:tabs>
        <w:spacing w:after="120" w:line="276" w:lineRule="auto"/>
        <w:jc w:val="both"/>
        <w:rPr>
          <w:rFonts w:ascii="Verdana" w:eastAsia="Calibri" w:hAnsi="Verdana" w:cs="Arial"/>
          <w:lang w:val="es-ES" w:eastAsia="es-ES"/>
        </w:rPr>
      </w:pPr>
      <w:r w:rsidRPr="004C01E1">
        <w:rPr>
          <w:rFonts w:ascii="Verdana" w:eastAsia="Calibri" w:hAnsi="Verdana" w:cs="Arial"/>
          <w:lang w:val="es-ES" w:eastAsia="es-ES"/>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Esto significa que, ya sea una entidad estatal de régimen especial, un patrimonio autónomo o una persona natural o jurídica de derecho privado, en virtud de lo dispuesto en los incisos primero y segundo del artículo 56 </w:t>
      </w:r>
      <w:proofErr w:type="spellStart"/>
      <w:r w:rsidRPr="004C01E1">
        <w:rPr>
          <w:rFonts w:ascii="Verdana" w:eastAsia="Calibri" w:hAnsi="Verdana" w:cs="Arial"/>
          <w:lang w:val="es-ES" w:eastAsia="es-ES"/>
        </w:rPr>
        <w:t>ejusdem</w:t>
      </w:r>
      <w:proofErr w:type="spellEnd"/>
      <w:r w:rsidRPr="004C01E1">
        <w:rPr>
          <w:rFonts w:ascii="Verdana" w:eastAsia="Calibri" w:hAnsi="Verdana" w:cs="Arial"/>
          <w:lang w:val="es-ES" w:eastAsia="es-ES"/>
        </w:rPr>
        <w:t xml:space="preserve">, si, en efecto, deben subcontratar bienes, obras o servicios, en cumplimiento de un contrato o convenio interadministrativo o de cualquier otra índole, con una entidad estatal sometida a la Ley 80 de 1993, deberá adelantar el procedimiento de selección, así como celebrar el respectivo contrato, implementando los documentos tipo  y aplicando las disposiciones del EGCAP. </w:t>
      </w:r>
    </w:p>
    <w:p w14:paraId="4AA5EE43" w14:textId="77777777" w:rsidR="004C01E1" w:rsidRPr="004C01E1" w:rsidRDefault="004C01E1" w:rsidP="004C01E1">
      <w:pPr>
        <w:tabs>
          <w:tab w:val="left" w:pos="0"/>
        </w:tabs>
        <w:spacing w:after="0" w:line="276" w:lineRule="auto"/>
        <w:jc w:val="both"/>
        <w:rPr>
          <w:rFonts w:ascii="Verdana" w:eastAsia="Calibri" w:hAnsi="Verdana" w:cs="Arial"/>
          <w:lang w:val="es-ES" w:eastAsia="es-ES"/>
        </w:rPr>
      </w:pPr>
      <w:r w:rsidRPr="004C01E1">
        <w:rPr>
          <w:rFonts w:ascii="Arial" w:eastAsia="Calibri" w:hAnsi="Arial" w:cs="Arial"/>
          <w:bCs/>
          <w:color w:val="000000"/>
          <w:lang w:val="es-ES_tradnl"/>
        </w:rPr>
        <w:tab/>
      </w:r>
      <w:r w:rsidRPr="004C01E1">
        <w:rPr>
          <w:rFonts w:ascii="Verdana" w:eastAsia="Calibri" w:hAnsi="Verdana" w:cs="Arial"/>
          <w:lang w:val="es-ES" w:eastAsia="es-ES"/>
        </w:rPr>
        <w:t xml:space="preserve">Esta, además, es la interpretación que se desprende de la justificación del proyecto normativo que se convirtió en la Ley 2195 de 2022, en la que, respecto de los contratos 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5AB24AE4" w14:textId="77777777" w:rsidR="004C01E1" w:rsidRPr="004C01E1" w:rsidRDefault="004C01E1" w:rsidP="004C01E1">
      <w:pPr>
        <w:tabs>
          <w:tab w:val="left" w:pos="0"/>
        </w:tabs>
        <w:spacing w:after="0" w:line="276" w:lineRule="auto"/>
        <w:jc w:val="both"/>
        <w:rPr>
          <w:rFonts w:ascii="Verdana" w:eastAsia="Calibri" w:hAnsi="Verdana" w:cs="Arial"/>
          <w:lang w:val="es-ES" w:eastAsia="es-ES"/>
        </w:rPr>
      </w:pPr>
    </w:p>
    <w:p w14:paraId="04F002C5" w14:textId="77777777" w:rsidR="004C01E1" w:rsidRPr="004C01E1" w:rsidRDefault="004C01E1" w:rsidP="004C01E1">
      <w:pPr>
        <w:tabs>
          <w:tab w:val="left" w:pos="0"/>
        </w:tabs>
        <w:spacing w:after="0"/>
        <w:ind w:left="709" w:right="709"/>
        <w:jc w:val="both"/>
        <w:rPr>
          <w:rFonts w:ascii="Verdana" w:eastAsia="Calibri" w:hAnsi="Verdana" w:cs="Arial"/>
          <w:bCs/>
          <w:color w:val="000000"/>
          <w:sz w:val="21"/>
          <w:szCs w:val="21"/>
          <w:lang w:val="es-ES_tradnl"/>
        </w:rPr>
      </w:pPr>
      <w:r w:rsidRPr="004C01E1">
        <w:rPr>
          <w:rFonts w:ascii="Verdana" w:eastAsia="Calibri" w:hAnsi="Verdana" w:cs="Arial"/>
          <w:bCs/>
          <w:color w:val="000000"/>
          <w:sz w:val="21"/>
          <w:szCs w:val="21"/>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w:t>
      </w:r>
      <w:r w:rsidRPr="004C01E1">
        <w:rPr>
          <w:rFonts w:ascii="Verdana" w:eastAsia="Calibri" w:hAnsi="Verdana" w:cs="Arial"/>
          <w:bCs/>
          <w:color w:val="000000"/>
          <w:sz w:val="21"/>
          <w:szCs w:val="21"/>
          <w:lang w:val="es-ES_tradnl"/>
        </w:rPr>
        <w:lastRenderedPageBreak/>
        <w:t>contratos realizados en dichos negocios jurídicos deben regirse por las normas de contratación pública”</w:t>
      </w:r>
      <w:r w:rsidRPr="004C01E1">
        <w:rPr>
          <w:rFonts w:ascii="Verdana" w:eastAsia="Calibri" w:hAnsi="Verdana" w:cs="Arial"/>
          <w:color w:val="000000"/>
          <w:sz w:val="21"/>
          <w:szCs w:val="21"/>
          <w:vertAlign w:val="superscript"/>
        </w:rPr>
        <w:footnoteReference w:id="16"/>
      </w:r>
      <w:r w:rsidRPr="004C01E1">
        <w:rPr>
          <w:rFonts w:ascii="Verdana" w:eastAsia="Calibri" w:hAnsi="Verdana" w:cs="Arial"/>
          <w:bCs/>
          <w:color w:val="000000"/>
          <w:sz w:val="21"/>
          <w:szCs w:val="21"/>
          <w:lang w:val="es-ES_tradnl"/>
        </w:rPr>
        <w:t xml:space="preserve">. </w:t>
      </w:r>
    </w:p>
    <w:p w14:paraId="06A6EF4D" w14:textId="77777777" w:rsidR="004C01E1" w:rsidRPr="004C01E1" w:rsidRDefault="004C01E1" w:rsidP="004C01E1">
      <w:pPr>
        <w:tabs>
          <w:tab w:val="left" w:pos="0"/>
        </w:tabs>
        <w:spacing w:after="0" w:line="276" w:lineRule="auto"/>
        <w:jc w:val="both"/>
        <w:rPr>
          <w:rFonts w:ascii="Arial" w:eastAsia="Calibri" w:hAnsi="Arial" w:cs="Arial"/>
          <w:bCs/>
          <w:color w:val="000000"/>
          <w:lang w:val="es-ES_tradnl"/>
        </w:rPr>
      </w:pPr>
      <w:r w:rsidRPr="004C01E1">
        <w:rPr>
          <w:rFonts w:ascii="Arial" w:eastAsia="Calibri" w:hAnsi="Arial" w:cs="Arial"/>
          <w:bCs/>
          <w:color w:val="000000"/>
          <w:lang w:val="es-ES_tradnl"/>
        </w:rPr>
        <w:tab/>
        <w:t xml:space="preserve"> </w:t>
      </w:r>
    </w:p>
    <w:p w14:paraId="4D370522" w14:textId="77777777" w:rsidR="004C01E1" w:rsidRPr="004C01E1" w:rsidRDefault="004C01E1" w:rsidP="004C01E1">
      <w:pPr>
        <w:spacing w:after="120" w:line="276" w:lineRule="auto"/>
        <w:jc w:val="both"/>
        <w:rPr>
          <w:rFonts w:ascii="Verdana" w:eastAsia="Calibri" w:hAnsi="Verdana" w:cs="Arial"/>
          <w:color w:val="000000"/>
          <w:lang w:val="es-ES"/>
        </w:rPr>
      </w:pPr>
      <w:r w:rsidRPr="004C01E1">
        <w:rPr>
          <w:rFonts w:ascii="Arial" w:eastAsia="Calibri" w:hAnsi="Arial" w:cs="Arial"/>
          <w:bCs/>
          <w:color w:val="000000"/>
          <w:lang w:val="es-ES_tradnl"/>
        </w:rPr>
        <w:tab/>
      </w:r>
      <w:r w:rsidRPr="004C01E1">
        <w:rPr>
          <w:rFonts w:ascii="Verdana" w:eastAsia="Calibri" w:hAnsi="Verdana" w:cs="Arial"/>
          <w:color w:val="000000"/>
          <w:lang w:val="es-ES"/>
        </w:rPr>
        <w:t xml:space="preserve">De lo anterior se desprende que el propósito del legislador con la expedición de la norma objeto de consulta, tal como se ha explicado, es que las entidades estatales que tienen como régimen contractual el EGCAP no puedan eludir su aplicación, ni la de los documentos tipo que resulten obligatorios, celebrando convenios o contratos interadministrativo o de cualquier otra índole,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52CCD0FA" w14:textId="77777777" w:rsidR="004C01E1" w:rsidRPr="004C01E1" w:rsidRDefault="004C01E1" w:rsidP="004C01E1">
      <w:pPr>
        <w:spacing w:after="120" w:line="276" w:lineRule="auto"/>
        <w:ind w:firstLine="709"/>
        <w:jc w:val="both"/>
        <w:rPr>
          <w:rFonts w:ascii="Verdana" w:eastAsia="Calibri" w:hAnsi="Verdana" w:cs="Arial"/>
          <w:lang w:val="es-ES" w:eastAsia="es-ES"/>
        </w:rPr>
      </w:pPr>
      <w:r w:rsidRPr="004C01E1">
        <w:rPr>
          <w:rFonts w:ascii="Verdana" w:eastAsia="Calibri" w:hAnsi="Verdana" w:cs="Arial"/>
          <w:lang w:val="es-ES" w:eastAsia="es-ES"/>
        </w:rPr>
        <w:t>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eventos en los que se imponía el derecho privado.</w:t>
      </w:r>
    </w:p>
    <w:p w14:paraId="1679E8AE" w14:textId="77777777" w:rsidR="004C01E1" w:rsidRPr="004C01E1" w:rsidRDefault="004C01E1" w:rsidP="004C01E1">
      <w:pPr>
        <w:spacing w:after="120" w:line="276" w:lineRule="auto"/>
        <w:ind w:firstLine="709"/>
        <w:jc w:val="both"/>
        <w:rPr>
          <w:rFonts w:ascii="Verdana" w:eastAsia="Calibri" w:hAnsi="Verdana" w:cs="Arial"/>
          <w:lang w:val="es-ES" w:eastAsia="es-ES"/>
        </w:rPr>
      </w:pPr>
      <w:r w:rsidRPr="004C01E1">
        <w:rPr>
          <w:rFonts w:ascii="Verdana" w:eastAsia="Calibri" w:hAnsi="Verdana" w:cs="Arial"/>
          <w:lang w:val="es-ES" w:eastAsia="es-ES"/>
        </w:rPr>
        <w:t xml:space="preserve"> En ese sentido, en este último evento el tercer inciso del literal c) del artículo 2, numeral 4 de la Ley 1150 de 2007 daba pie a la aplicación de normas de derecho privado, lo que evidencia una supuesta o aparente tensión entre este y el artículo 56 de la Ley 2195 de 2022, en lo que se refiere al régimen aplicable </w:t>
      </w:r>
      <w:r w:rsidRPr="004C01E1">
        <w:rPr>
          <w:rFonts w:ascii="Verdana" w:eastAsia="Calibri" w:hAnsi="Verdana" w:cs="Arial"/>
          <w:lang w:val="es-ES" w:eastAsia="es-ES"/>
        </w:rPr>
        <w:lastRenderedPageBreak/>
        <w:t xml:space="preserve">en estas situaciones, comoquiera que, en estos eventos, al tenor de criterios interpretativos aplicados a lo dispuesto en esta última norma, se entendía que debía aplicarse el EGCAP y los Documentos Tipo. </w:t>
      </w:r>
    </w:p>
    <w:p w14:paraId="5DE0173A" w14:textId="77777777" w:rsidR="004C01E1" w:rsidRPr="004C01E1" w:rsidRDefault="004C01E1" w:rsidP="004C01E1">
      <w:pPr>
        <w:spacing w:after="120" w:line="276" w:lineRule="auto"/>
        <w:jc w:val="both"/>
        <w:rPr>
          <w:rFonts w:ascii="Verdana" w:eastAsia="Calibri" w:hAnsi="Verdana" w:cs="Arial"/>
          <w:lang w:val="es-ES" w:eastAsia="es-ES"/>
        </w:rPr>
      </w:pPr>
      <w:r w:rsidRPr="004C01E1">
        <w:rPr>
          <w:rFonts w:ascii="Verdana" w:eastAsia="Calibri" w:hAnsi="Verdana" w:cs="Arial"/>
          <w:bCs/>
          <w:lang w:val="es-ES_tradnl" w:eastAsia="es-ES_tradnl"/>
        </w:rPr>
        <w:tab/>
      </w:r>
      <w:r w:rsidRPr="004C01E1">
        <w:rPr>
          <w:rFonts w:ascii="Verdana" w:eastAsia="Calibri" w:hAnsi="Verdana" w:cs="Arial"/>
          <w:lang w:val="es-ES" w:eastAsia="es-ES"/>
        </w:rPr>
        <w:t>Lo anterior suponía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establecían diferentes consecuencias jurídicas, ya que mientras que la primera norma dispone la aplicación del derecho privado, la última impone la aplicación de Documentos Tipo y del EGCAP. Esta aparente contradicción, como se expuso en el numeral anterior, debe ser resuelta en favor del artículo 56 de la Ley 2195 de 2022.</w:t>
      </w:r>
    </w:p>
    <w:p w14:paraId="78E7F8DD" w14:textId="77777777" w:rsidR="004C01E1" w:rsidRPr="004C01E1" w:rsidRDefault="004C01E1" w:rsidP="004C01E1">
      <w:pPr>
        <w:tabs>
          <w:tab w:val="left" w:pos="0"/>
        </w:tabs>
        <w:spacing w:after="120" w:line="276" w:lineRule="auto"/>
        <w:jc w:val="both"/>
        <w:rPr>
          <w:rFonts w:ascii="Verdana" w:eastAsia="Calibri" w:hAnsi="Verdana" w:cs="Arial"/>
          <w:bCs/>
          <w:lang w:val="es-ES_tradnl" w:eastAsia="es-ES_tradnl"/>
        </w:rPr>
      </w:pPr>
      <w:r w:rsidRPr="004C01E1">
        <w:rPr>
          <w:rFonts w:ascii="Verdana" w:eastAsia="Calibri" w:hAnsi="Verdana" w:cs="Arial"/>
          <w:bCs/>
          <w:lang w:val="es-ES_tradnl" w:eastAsia="es-ES_tradnl"/>
        </w:rPr>
        <w:tab/>
        <w:t xml:space="preserve">En efecto, tratándose de disposiciones de igual jerarquía normativa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76432C98" w14:textId="77777777" w:rsidR="004C01E1" w:rsidRPr="004C01E1" w:rsidRDefault="004C01E1" w:rsidP="004C01E1">
      <w:pPr>
        <w:spacing w:after="120" w:line="276" w:lineRule="auto"/>
        <w:jc w:val="both"/>
        <w:rPr>
          <w:rFonts w:ascii="Verdana" w:eastAsia="Calibri" w:hAnsi="Verdana" w:cs="Arial"/>
          <w:lang w:val="es-ES" w:eastAsia="es-ES"/>
        </w:rPr>
      </w:pPr>
      <w:r w:rsidRPr="004C01E1">
        <w:rPr>
          <w:rFonts w:ascii="Verdana" w:eastAsia="Calibri" w:hAnsi="Verdana" w:cs="Arial"/>
          <w:bCs/>
          <w:lang w:val="es-ES_tradnl" w:eastAsia="es-ES_tradnl"/>
        </w:rPr>
        <w:tab/>
      </w:r>
      <w:r w:rsidRPr="004C01E1">
        <w:rPr>
          <w:rFonts w:ascii="Verdana" w:eastAsia="Calibri" w:hAnsi="Verdana" w:cs="Arial"/>
          <w:lang w:val="es-ES" w:eastAsia="es-ES"/>
        </w:rPr>
        <w:t xml:space="preserve">En tales términos, de lo analizado hasta aquí es posible concluir que el efecto principal de la norma bajo estudio es la ampliación de los Documentos Tipo, al hacerlos obligatorios frente a unos sujetos que, en principio, de acuerdo con la Ley 2022 de 2020 y el literal c) del numeral 4 del artículo 2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14:paraId="0A12BC3B" w14:textId="77777777" w:rsidR="004C01E1" w:rsidRPr="004C01E1" w:rsidRDefault="004C01E1" w:rsidP="004C01E1">
      <w:pPr>
        <w:tabs>
          <w:tab w:val="left" w:pos="0"/>
        </w:tabs>
        <w:spacing w:after="120" w:line="276" w:lineRule="auto"/>
        <w:jc w:val="both"/>
        <w:rPr>
          <w:rFonts w:ascii="Verdana" w:eastAsia="Calibri" w:hAnsi="Verdana" w:cs="Arial"/>
          <w:bCs/>
          <w:lang w:val="es-ES_tradnl" w:eastAsia="es-ES_tradnl"/>
        </w:rPr>
      </w:pPr>
      <w:r w:rsidRPr="004C01E1">
        <w:rPr>
          <w:rFonts w:ascii="Verdana" w:eastAsia="Calibri" w:hAnsi="Verdana" w:cs="Arial"/>
          <w:bCs/>
          <w:lang w:val="es-ES_tradnl" w:eastAsia="es-ES_tradnl"/>
        </w:rPr>
        <w:lastRenderedPageBreak/>
        <w:tab/>
        <w:t xml:space="preserve">Conforme a lo explicado, 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 en los casos en los que el objeto contractual que se pretende contratar esté sometido a algún Documento Tipo, esto </w:t>
      </w:r>
      <w:r w:rsidRPr="004C01E1">
        <w:rPr>
          <w:rFonts w:ascii="Verdana" w:eastAsia="Times New Roman" w:hAnsi="Verdana" w:cs="Arial"/>
          <w:lang w:eastAsia="es-ES_tradnl"/>
        </w:rPr>
        <w:t xml:space="preserve">implica que si las Entidades Estatales exceptuadas pretenden ser adjudicatarias de estos contratos, deben someterse a un proceso de selección en el que se apliquen Documentos Tipo expedidos por esta Agencia a cargo de la </w:t>
      </w:r>
      <w:r w:rsidRPr="004C01E1">
        <w:rPr>
          <w:rFonts w:ascii="Verdana" w:eastAsia="Calibri" w:hAnsi="Verdana" w:cs="Arial"/>
          <w:bCs/>
          <w:lang w:val="es-ES_tradnl" w:eastAsia="es-ES_tradnl"/>
        </w:rPr>
        <w:t>entidad sometida al EGCAP.</w:t>
      </w:r>
    </w:p>
    <w:p w14:paraId="0BCBE466" w14:textId="77777777" w:rsidR="004C01E1" w:rsidRPr="004C01E1" w:rsidRDefault="004C01E1" w:rsidP="004C01E1">
      <w:pPr>
        <w:tabs>
          <w:tab w:val="left" w:pos="0"/>
        </w:tabs>
        <w:spacing w:after="120" w:line="276" w:lineRule="auto"/>
        <w:jc w:val="both"/>
        <w:rPr>
          <w:rFonts w:ascii="Verdana" w:eastAsia="Times New Roman" w:hAnsi="Verdana" w:cs="Arial"/>
          <w:lang w:eastAsia="es-ES_tradnl"/>
        </w:rPr>
      </w:pPr>
      <w:r w:rsidRPr="004C01E1">
        <w:rPr>
          <w:rFonts w:ascii="Verdana" w:eastAsia="Times New Roman" w:hAnsi="Verdana" w:cs="Arial"/>
          <w:lang w:eastAsia="es-ES_tradnl"/>
        </w:rPr>
        <w:tab/>
        <w:t xml:space="preserve">De otra parte, </w:t>
      </w:r>
      <w:r w:rsidRPr="004C01E1">
        <w:rPr>
          <w:rFonts w:ascii="Verdana" w:eastAsia="Calibri" w:hAnsi="Verdana" w:cs="Arial"/>
          <w:bCs/>
          <w:lang w:val="es-ES_tradnl" w:eastAsia="es-ES_tradnl"/>
        </w:rPr>
        <w:t xml:space="preserve">es necesario precisar el alcance del parágrafo del artículo 56 de la Ley 2195 de 2022 y lo dispuesto en los dos primeros incisos del mencionado artículo, del cual se excluye, a cierto tipo de entidades, en lo relacionado con la contratación de su </w:t>
      </w:r>
      <w:r w:rsidRPr="004C01E1">
        <w:rPr>
          <w:rFonts w:ascii="Verdana" w:eastAsia="Calibri" w:hAnsi="Verdana" w:cs="Arial"/>
          <w:bCs/>
          <w:i/>
          <w:iCs/>
          <w:lang w:val="es-ES_tradnl" w:eastAsia="es-ES_tradnl"/>
        </w:rPr>
        <w:t>giro ordinario</w:t>
      </w:r>
      <w:r w:rsidRPr="004C01E1">
        <w:rPr>
          <w:rFonts w:ascii="Verdana" w:eastAsia="Calibri" w:hAnsi="Verdana" w:cs="Arial"/>
          <w:bCs/>
          <w:lang w:val="es-ES_tradnl" w:eastAsia="es-ES_tradnl"/>
        </w:rPr>
        <w:t xml:space="preserve">. Conforme se desprende del texto del referido parágrafo, se exceptúa de lo señalado en los dos primeros incisos a: i) las instituciones de educación superior públicas, </w:t>
      </w:r>
      <w:proofErr w:type="spellStart"/>
      <w:r w:rsidRPr="004C01E1">
        <w:rPr>
          <w:rFonts w:ascii="Verdana" w:eastAsia="Calibri" w:hAnsi="Verdana" w:cs="Arial"/>
          <w:bCs/>
          <w:lang w:val="es-ES_tradnl" w:eastAsia="es-ES_tradnl"/>
        </w:rPr>
        <w:t>ii</w:t>
      </w:r>
      <w:proofErr w:type="spellEnd"/>
      <w:r w:rsidRPr="004C01E1">
        <w:rPr>
          <w:rFonts w:ascii="Verdana" w:eastAsia="Calibri" w:hAnsi="Verdana" w:cs="Arial"/>
          <w:bCs/>
          <w:lang w:val="es-ES_tradnl" w:eastAsia="es-ES_tradnl"/>
        </w:rPr>
        <w:t xml:space="preserve">) las </w:t>
      </w:r>
      <w:r w:rsidRPr="004C01E1">
        <w:rPr>
          <w:rFonts w:ascii="Verdana" w:eastAsia="Calibri" w:hAnsi="Verdana" w:cs="Arial"/>
          <w:bCs/>
          <w:i/>
          <w:iCs/>
          <w:lang w:val="es-ES_tradnl" w:eastAsia="es-ES_tradnl"/>
        </w:rPr>
        <w:t>empresas sociales del Estado</w:t>
      </w:r>
      <w:r w:rsidRPr="004C01E1">
        <w:rPr>
          <w:rFonts w:ascii="Verdana" w:eastAsia="Calibri" w:hAnsi="Verdana" w:cs="Arial"/>
          <w:bCs/>
          <w:lang w:val="es-ES_tradnl" w:eastAsia="es-ES_tradnl"/>
        </w:rPr>
        <w:t xml:space="preserve">, </w:t>
      </w:r>
      <w:proofErr w:type="spellStart"/>
      <w:r w:rsidRPr="004C01E1">
        <w:rPr>
          <w:rFonts w:ascii="Verdana" w:eastAsia="Calibri" w:hAnsi="Verdana" w:cs="Arial"/>
          <w:bCs/>
          <w:lang w:val="es-ES_tradnl" w:eastAsia="es-ES_tradnl"/>
        </w:rPr>
        <w:t>iii</w:t>
      </w:r>
      <w:proofErr w:type="spellEnd"/>
      <w:r w:rsidRPr="004C01E1">
        <w:rPr>
          <w:rFonts w:ascii="Verdana" w:eastAsia="Calibri" w:hAnsi="Verdana" w:cs="Arial"/>
          <w:bCs/>
          <w:lang w:val="es-ES_tradnl" w:eastAsia="es-ES_tradnl"/>
        </w:rPr>
        <w:t xml:space="preserve">) las sociedades de economía mixta y </w:t>
      </w:r>
      <w:proofErr w:type="spellStart"/>
      <w:r w:rsidRPr="004C01E1">
        <w:rPr>
          <w:rFonts w:ascii="Verdana" w:eastAsia="Calibri" w:hAnsi="Verdana" w:cs="Arial"/>
          <w:bCs/>
          <w:lang w:val="es-ES_tradnl" w:eastAsia="es-ES_tradnl"/>
        </w:rPr>
        <w:t>iv</w:t>
      </w:r>
      <w:proofErr w:type="spellEnd"/>
      <w:r w:rsidRPr="004C01E1">
        <w:rPr>
          <w:rFonts w:ascii="Verdana" w:eastAsia="Calibri" w:hAnsi="Verdana" w:cs="Arial"/>
          <w:bCs/>
          <w:lang w:val="es-ES_tradnl" w:eastAsia="es-ES_tradnl"/>
        </w:rPr>
        <w:t xml:space="preserve">) las empresas industriales y comerciales del Estado, únicamente, en la contratación relacionada con el </w:t>
      </w:r>
      <w:r w:rsidRPr="004C01E1">
        <w:rPr>
          <w:rFonts w:ascii="Verdana" w:eastAsia="Calibri" w:hAnsi="Verdana" w:cs="Arial"/>
          <w:bCs/>
          <w:i/>
          <w:iCs/>
          <w:lang w:val="es-ES_tradnl" w:eastAsia="es-ES_tradnl"/>
        </w:rPr>
        <w:t>giro ordinario.</w:t>
      </w:r>
      <w:r w:rsidRPr="004C01E1">
        <w:rPr>
          <w:rFonts w:ascii="Verdana" w:eastAsia="Calibri" w:hAnsi="Verdana" w:cs="Arial"/>
          <w:bCs/>
          <w:lang w:val="es-ES_tradnl" w:eastAsia="es-ES_tradnl"/>
        </w:rPr>
        <w:t xml:space="preserve"> Esto significa que, en la contratación asociada a su </w:t>
      </w:r>
      <w:r w:rsidRPr="004C01E1">
        <w:rPr>
          <w:rFonts w:ascii="Verdana" w:eastAsia="Calibri" w:hAnsi="Verdana" w:cs="Arial"/>
          <w:bCs/>
          <w:i/>
          <w:iCs/>
          <w:lang w:val="es-ES_tradnl" w:eastAsia="es-ES_tradnl"/>
        </w:rPr>
        <w:t xml:space="preserve">giro ordinario, </w:t>
      </w:r>
      <w:r w:rsidRPr="004C01E1">
        <w:rPr>
          <w:rFonts w:ascii="Verdana" w:eastAsia="Calibri" w:hAnsi="Verdana" w:cs="Arial"/>
          <w:bCs/>
          <w:lang w:val="es-ES_tradnl" w:eastAsia="es-ES_tradnl"/>
        </w:rPr>
        <w:t>estos tipos de entidades no tendrían que aplicar, de manera obligatoria, los Documentos Tipo, ni tampoco el EGCAP.</w:t>
      </w:r>
      <w:r w:rsidRPr="004C01E1">
        <w:rPr>
          <w:rFonts w:ascii="Verdana" w:eastAsia="Times New Roman" w:hAnsi="Verdana" w:cs="Arial"/>
          <w:lang w:eastAsia="es-ES_tradnl"/>
        </w:rPr>
        <w:t xml:space="preserve"> Es decir, si Entidades Estatales exceptuadas pretenden ser adjudicatarias de estos contratos, no deben someterse a un proceso de selección en el que se apliquen Documentos Tipo expedidos por esta Agencia. </w:t>
      </w:r>
      <w:r w:rsidRPr="004C01E1">
        <w:rPr>
          <w:rFonts w:ascii="Verdana" w:eastAsia="Calibri" w:hAnsi="Verdana" w:cs="Arial"/>
          <w:bCs/>
          <w:lang w:val="es-ES_tradnl" w:eastAsia="es-ES_tradnl"/>
        </w:rPr>
        <w:t>En atención a su consulta, debe decirse que, en este caso, la norma se limita a fomentar la implementación de Documentos Tipo a modo de buena práctica contractual, en los casos en los que se estime conveniente.</w:t>
      </w:r>
    </w:p>
    <w:p w14:paraId="2805E30A" w14:textId="77777777" w:rsidR="004C01E1" w:rsidRPr="004C01E1" w:rsidRDefault="004C01E1" w:rsidP="004C01E1">
      <w:pPr>
        <w:tabs>
          <w:tab w:val="left" w:pos="0"/>
        </w:tabs>
        <w:spacing w:after="120" w:line="276" w:lineRule="auto"/>
        <w:jc w:val="both"/>
        <w:rPr>
          <w:rFonts w:ascii="Verdana" w:eastAsia="Arial" w:hAnsi="Verdana" w:cs="Arial"/>
          <w:lang w:val="es-ES_tradnl" w:eastAsia="es-ES_tradnl"/>
        </w:rPr>
      </w:pPr>
      <w:r w:rsidRPr="004C01E1">
        <w:rPr>
          <w:rFonts w:ascii="Verdana" w:eastAsia="Calibri" w:hAnsi="Verdana" w:cs="Arial"/>
          <w:bCs/>
          <w:lang w:val="es-ES_tradnl" w:eastAsia="es-ES_tradnl"/>
        </w:rPr>
        <w:tab/>
        <w:t xml:space="preserve">Es importante tener en cuenta que cuando la norma se refiere a la contratación del </w:t>
      </w:r>
      <w:r w:rsidRPr="004C01E1">
        <w:rPr>
          <w:rFonts w:ascii="Verdana" w:eastAsia="Calibri" w:hAnsi="Verdana" w:cs="Arial"/>
          <w:bCs/>
          <w:i/>
          <w:iCs/>
          <w:lang w:val="es-ES_tradnl" w:eastAsia="es-ES_tradnl"/>
        </w:rPr>
        <w:t>giro ordinario</w:t>
      </w:r>
      <w:r w:rsidRPr="004C01E1">
        <w:rPr>
          <w:rFonts w:ascii="Verdana" w:eastAsia="Calibri" w:hAnsi="Verdana" w:cs="Arial"/>
          <w:bCs/>
          <w:lang w:val="es-ES_tradnl" w:eastAsia="es-ES_tradnl"/>
        </w:rPr>
        <w:t>, emplea un concepto jurídico indeterminado</w:t>
      </w:r>
      <w:r w:rsidRPr="004C01E1">
        <w:rPr>
          <w:rFonts w:ascii="Verdana" w:eastAsia="Calibri" w:hAnsi="Verdana" w:cs="Arial"/>
          <w:vertAlign w:val="superscript"/>
          <w:lang w:eastAsia="es-ES_tradnl"/>
        </w:rPr>
        <w:footnoteReference w:id="17"/>
      </w:r>
      <w:r w:rsidRPr="004C01E1">
        <w:rPr>
          <w:rFonts w:ascii="Verdana" w:eastAsia="Calibri" w:hAnsi="Verdana" w:cs="Arial"/>
          <w:bCs/>
          <w:lang w:val="es-ES_tradnl" w:eastAsia="es-ES_tradnl"/>
        </w:rPr>
        <w:t xml:space="preserve">. </w:t>
      </w:r>
      <w:r w:rsidRPr="004C01E1">
        <w:rPr>
          <w:rFonts w:ascii="Verdana" w:eastAsia="Arial" w:hAnsi="Verdana" w:cs="Arial"/>
          <w:lang w:val="es-ES_tradnl" w:eastAsia="es-ES_tradnl"/>
        </w:rPr>
        <w:t xml:space="preserve">Un </w:t>
      </w:r>
      <w:r w:rsidRPr="004C01E1">
        <w:rPr>
          <w:rFonts w:ascii="Verdana" w:eastAsia="Arial" w:hAnsi="Verdana" w:cs="Arial"/>
          <w:lang w:val="es-ES_tradnl" w:eastAsia="es-ES_tradnl"/>
        </w:rPr>
        <w:lastRenderedPageBreak/>
        <w:t xml:space="preserve">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margen de apreciación en su aplicación, pero deben respetar los límites previstos en las normas de orden público. Por ejemplo, no podrán considerar que cualquier contrato que celebren hace parte del </w:t>
      </w:r>
      <w:r w:rsidRPr="004C01E1">
        <w:rPr>
          <w:rFonts w:ascii="Verdana" w:eastAsia="Arial" w:hAnsi="Verdana" w:cs="Arial"/>
          <w:i/>
          <w:iCs/>
          <w:lang w:val="es-ES_tradnl" w:eastAsia="es-ES_tradnl"/>
        </w:rPr>
        <w:t>giro ordinario</w:t>
      </w:r>
      <w:r w:rsidRPr="004C01E1">
        <w:rPr>
          <w:rFonts w:ascii="Verdana" w:eastAsia="Arial" w:hAnsi="Verdana" w:cs="Arial"/>
          <w:lang w:val="es-ES_tradnl" w:eastAsia="es-ES_tradnl"/>
        </w:rPr>
        <w:t xml:space="preserve"> de sus negocios. </w:t>
      </w:r>
    </w:p>
    <w:p w14:paraId="04E3C323" w14:textId="77777777" w:rsidR="004C01E1" w:rsidRPr="004C01E1" w:rsidRDefault="004C01E1" w:rsidP="004C01E1">
      <w:pPr>
        <w:tabs>
          <w:tab w:val="left" w:pos="0"/>
        </w:tabs>
        <w:spacing w:after="120" w:line="276" w:lineRule="auto"/>
        <w:ind w:firstLine="709"/>
        <w:jc w:val="both"/>
        <w:rPr>
          <w:rFonts w:ascii="Verdana" w:eastAsia="Calibri" w:hAnsi="Verdana" w:cs="Arial"/>
          <w:bCs/>
          <w:lang w:val="es-ES_tradnl" w:eastAsia="es-ES_tradnl"/>
        </w:rPr>
      </w:pPr>
      <w:r w:rsidRPr="004C01E1">
        <w:rPr>
          <w:rFonts w:ascii="Verdana" w:eastAsia="Arial" w:hAnsi="Verdana" w:cs="Arial"/>
          <w:lang w:val="es-ES_tradnl" w:eastAsia="es-ES_tradnl"/>
        </w:rPr>
        <w:t>La Corte Constitucional</w:t>
      </w:r>
      <w:r w:rsidRPr="004C01E1">
        <w:rPr>
          <w:rFonts w:ascii="Verdana" w:eastAsia="Arial" w:hAnsi="Verdana" w:cs="Arial"/>
          <w:vertAlign w:val="superscript"/>
          <w:lang w:eastAsia="es-ES_tradnl"/>
        </w:rPr>
        <w:footnoteReference w:id="18"/>
      </w:r>
      <w:r w:rsidRPr="004C01E1">
        <w:rPr>
          <w:rFonts w:ascii="Verdana" w:eastAsia="Arial" w:hAnsi="Verdana" w:cs="Arial"/>
          <w:lang w:val="es-ES_tradnl" w:eastAsia="es-ES_tradnl"/>
        </w:rPr>
        <w:t xml:space="preserve">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4C01E1">
        <w:rPr>
          <w:rFonts w:ascii="Verdana" w:eastAsia="Calibri" w:hAnsi="Verdana" w:cs="Arial"/>
          <w:bCs/>
          <w:lang w:val="es-ES_tradnl" w:eastAsia="es-ES_tradnl"/>
        </w:rPr>
        <w:t xml:space="preserve"> </w:t>
      </w:r>
    </w:p>
    <w:p w14:paraId="30C1DAA6" w14:textId="77777777" w:rsidR="004C01E1" w:rsidRPr="004C01E1" w:rsidRDefault="004C01E1" w:rsidP="004C01E1">
      <w:pPr>
        <w:tabs>
          <w:tab w:val="left" w:pos="0"/>
        </w:tabs>
        <w:spacing w:after="0" w:line="276" w:lineRule="auto"/>
        <w:ind w:firstLine="709"/>
        <w:jc w:val="both"/>
        <w:rPr>
          <w:rFonts w:ascii="Verdana" w:eastAsia="Calibri" w:hAnsi="Verdana" w:cs="Arial"/>
          <w:bCs/>
          <w:lang w:val="es-ES_tradnl" w:eastAsia="es-ES_tradnl"/>
        </w:rPr>
      </w:pPr>
      <w:r w:rsidRPr="004C01E1">
        <w:rPr>
          <w:rFonts w:ascii="Verdana" w:eastAsia="Calibri" w:hAnsi="Verdana" w:cs="Arial"/>
          <w:bCs/>
          <w:lang w:val="es-ES_tradnl" w:eastAsia="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4C01E1">
        <w:rPr>
          <w:rFonts w:ascii="Verdana" w:eastAsia="Calibri" w:hAnsi="Verdana" w:cs="Arial"/>
          <w:bCs/>
          <w:i/>
          <w:iCs/>
          <w:lang w:val="es-ES_tradnl" w:eastAsia="es-ES_tradnl"/>
        </w:rPr>
        <w:t xml:space="preserve">giro ordinario </w:t>
      </w:r>
      <w:r w:rsidRPr="004C01E1">
        <w:rPr>
          <w:rFonts w:ascii="Verdana" w:eastAsia="Calibri" w:hAnsi="Verdana" w:cs="Arial"/>
          <w:bCs/>
          <w:lang w:val="es-ES_tradnl" w:eastAsia="es-ES_tradnl"/>
        </w:rPr>
        <w:t>incluida en la redacción original del parágrafo 1° del artículo 32 de la Ley 80 de 1993</w:t>
      </w:r>
      <w:r w:rsidRPr="004C01E1">
        <w:rPr>
          <w:rFonts w:ascii="Verdana" w:eastAsia="Calibri" w:hAnsi="Verdana" w:cs="Arial"/>
          <w:vertAlign w:val="superscript"/>
          <w:lang w:eastAsia="es-ES_tradnl"/>
        </w:rPr>
        <w:footnoteReference w:id="19"/>
      </w:r>
      <w:r w:rsidRPr="004C01E1">
        <w:rPr>
          <w:rFonts w:ascii="Verdana" w:eastAsia="Calibri" w:hAnsi="Verdana" w:cs="Arial"/>
          <w:bCs/>
          <w:lang w:val="es-ES_tradnl" w:eastAsia="es-ES_tradnl"/>
        </w:rPr>
        <w:t xml:space="preserve">, la Sección Tercera manifestó lo siguiente: </w:t>
      </w:r>
    </w:p>
    <w:p w14:paraId="17EDF058" w14:textId="77777777" w:rsidR="004C01E1" w:rsidRPr="004C01E1" w:rsidRDefault="004C01E1" w:rsidP="004C01E1">
      <w:pPr>
        <w:tabs>
          <w:tab w:val="left" w:pos="0"/>
        </w:tabs>
        <w:spacing w:after="0" w:line="276" w:lineRule="auto"/>
        <w:jc w:val="both"/>
        <w:rPr>
          <w:rFonts w:ascii="Verdana" w:eastAsia="Calibri" w:hAnsi="Verdana" w:cs="Arial"/>
          <w:bCs/>
          <w:lang w:val="es-ES_tradnl" w:eastAsia="es-ES_tradnl"/>
        </w:rPr>
      </w:pPr>
    </w:p>
    <w:p w14:paraId="1E2A11E0" w14:textId="77777777" w:rsidR="004C01E1" w:rsidRPr="004C01E1" w:rsidRDefault="004C01E1" w:rsidP="004C01E1">
      <w:pPr>
        <w:spacing w:after="0" w:line="240" w:lineRule="auto"/>
        <w:ind w:left="709" w:right="709"/>
        <w:jc w:val="both"/>
        <w:rPr>
          <w:rFonts w:ascii="Verdana" w:eastAsia="Times New Roman" w:hAnsi="Verdana" w:cs="Arial"/>
          <w:sz w:val="20"/>
          <w:szCs w:val="20"/>
          <w:lang w:val="es-ES_tradnl" w:eastAsia="es-CO"/>
        </w:rPr>
      </w:pPr>
      <w:r w:rsidRPr="004C01E1">
        <w:rPr>
          <w:rFonts w:ascii="Verdana" w:eastAsia="Times New Roman" w:hAnsi="Verdana" w:cs="Arial"/>
          <w:sz w:val="20"/>
          <w:szCs w:val="20"/>
          <w:lang w:val="es-ES_tradnl" w:eastAsia="es-ES_tradnl"/>
        </w:rPr>
        <w:t xml:space="preserve">“[E]l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w:t>
      </w:r>
      <w:proofErr w:type="gramStart"/>
      <w:r w:rsidRPr="004C01E1">
        <w:rPr>
          <w:rFonts w:ascii="Verdana" w:eastAsia="Times New Roman" w:hAnsi="Verdana" w:cs="Arial"/>
          <w:sz w:val="20"/>
          <w:szCs w:val="20"/>
          <w:lang w:val="es-ES_tradnl" w:eastAsia="es-ES_tradnl"/>
        </w:rPr>
        <w:t>Siendo</w:t>
      </w:r>
      <w:proofErr w:type="gramEnd"/>
      <w:r w:rsidRPr="004C01E1">
        <w:rPr>
          <w:rFonts w:ascii="Verdana" w:eastAsia="Times New Roman" w:hAnsi="Verdana" w:cs="Arial"/>
          <w:sz w:val="20"/>
          <w:szCs w:val="20"/>
          <w:lang w:val="es-ES_tradnl" w:eastAsia="es-ES_tradnl"/>
        </w:rPr>
        <w:t xml:space="preserve">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w:t>
      </w:r>
      <w:r w:rsidRPr="004C01E1">
        <w:rPr>
          <w:rFonts w:ascii="Verdana" w:eastAsia="Times New Roman" w:hAnsi="Verdana" w:cs="Arial"/>
          <w:sz w:val="20"/>
          <w:szCs w:val="20"/>
          <w:lang w:val="es-ES_tradnl" w:eastAsia="es-ES_tradnl"/>
        </w:rPr>
        <w:lastRenderedPageBreak/>
        <w:t>desarrollar la función principal, estableciéndose entre estos una relación de medio a fin, estrecha y complementaria”</w:t>
      </w:r>
      <w:r w:rsidRPr="004C01E1">
        <w:rPr>
          <w:rFonts w:ascii="Verdana" w:eastAsia="Times New Roman" w:hAnsi="Verdana" w:cs="Arial"/>
          <w:sz w:val="20"/>
          <w:szCs w:val="20"/>
          <w:vertAlign w:val="superscript"/>
          <w:lang w:eastAsia="es-ES_tradnl"/>
        </w:rPr>
        <w:footnoteReference w:id="20"/>
      </w:r>
      <w:r w:rsidRPr="004C01E1">
        <w:rPr>
          <w:rFonts w:ascii="Verdana" w:eastAsia="Times New Roman" w:hAnsi="Verdana" w:cs="Arial"/>
          <w:sz w:val="20"/>
          <w:szCs w:val="20"/>
          <w:lang w:val="es-ES_tradnl" w:eastAsia="es-ES_tradnl"/>
        </w:rPr>
        <w:t>.</w:t>
      </w:r>
    </w:p>
    <w:p w14:paraId="4EFC70CD" w14:textId="77777777" w:rsidR="004C01E1" w:rsidRPr="004C01E1" w:rsidRDefault="004C01E1" w:rsidP="004C01E1">
      <w:pPr>
        <w:tabs>
          <w:tab w:val="left" w:pos="0"/>
        </w:tabs>
        <w:spacing w:after="0" w:line="276" w:lineRule="auto"/>
        <w:jc w:val="both"/>
        <w:rPr>
          <w:rFonts w:ascii="Verdana" w:eastAsia="Calibri" w:hAnsi="Verdana" w:cs="Arial"/>
          <w:bCs/>
          <w:i/>
          <w:iCs/>
          <w:lang w:val="es-ES_tradnl" w:eastAsia="es-ES_tradnl"/>
        </w:rPr>
      </w:pPr>
    </w:p>
    <w:p w14:paraId="45804BAD" w14:textId="77777777" w:rsidR="004C01E1" w:rsidRPr="004C01E1" w:rsidRDefault="004C01E1" w:rsidP="004C01E1">
      <w:pPr>
        <w:tabs>
          <w:tab w:val="left" w:pos="0"/>
        </w:tabs>
        <w:spacing w:after="120" w:line="276" w:lineRule="auto"/>
        <w:jc w:val="both"/>
        <w:rPr>
          <w:rFonts w:ascii="Verdana" w:eastAsia="Calibri" w:hAnsi="Verdana" w:cs="Arial"/>
          <w:bCs/>
          <w:lang w:val="es-ES_tradnl" w:eastAsia="es-ES_tradnl"/>
        </w:rPr>
      </w:pPr>
      <w:r w:rsidRPr="004C01E1">
        <w:rPr>
          <w:rFonts w:ascii="Verdana" w:eastAsia="Calibri" w:hAnsi="Verdana" w:cs="Arial"/>
          <w:bCs/>
          <w:lang w:val="es-ES_tradnl" w:eastAsia="es-ES_tradnl"/>
        </w:rPr>
        <w:tab/>
        <w:t xml:space="preserve">En el mismo sentido se pronunció recientemente el Alto Tribunal de lo Contencioso Administrativo, reiterando las anteriores consideraciones, al expresar que el concepto de </w:t>
      </w:r>
      <w:r w:rsidRPr="004C01E1">
        <w:rPr>
          <w:rFonts w:ascii="Verdana" w:eastAsia="Calibri" w:hAnsi="Verdana" w:cs="Arial"/>
          <w:i/>
          <w:lang w:val="es-ES_tradnl" w:eastAsia="es-ES_tradnl"/>
        </w:rPr>
        <w:t xml:space="preserve">“giro ordinario de los negocios” </w:t>
      </w:r>
      <w:r w:rsidRPr="004C01E1">
        <w:rPr>
          <w:rFonts w:ascii="Verdana" w:eastAsia="Calibri" w:hAnsi="Verdana" w:cs="Arial"/>
          <w:bCs/>
          <w:lang w:val="es-ES_tradnl" w:eastAsia="es-ES_tradnl"/>
        </w:rPr>
        <w:t>se refiere a aquellas actividades compatibles con el objeto social, funciones previstas en la ley, o en las normas de creación y en sus estatutos internos de las personas</w:t>
      </w:r>
      <w:r w:rsidRPr="004C01E1">
        <w:rPr>
          <w:rFonts w:ascii="Verdana" w:eastAsia="Calibri" w:hAnsi="Verdana" w:cs="Arial"/>
          <w:vertAlign w:val="superscript"/>
          <w:lang w:eastAsia="es-ES_tradnl"/>
        </w:rPr>
        <w:footnoteReference w:id="21"/>
      </w:r>
      <w:r w:rsidRPr="004C01E1">
        <w:rPr>
          <w:rFonts w:ascii="Verdana" w:eastAsia="Calibri" w:hAnsi="Verdana" w:cs="Arial"/>
          <w:bCs/>
          <w:lang w:val="es-ES_tradnl" w:eastAsia="es-ES_tradnl"/>
        </w:rPr>
        <w:t xml:space="preserve"> y la doctrina societaria</w:t>
      </w:r>
      <w:r w:rsidRPr="004C01E1">
        <w:rPr>
          <w:rFonts w:ascii="Verdana" w:eastAsia="Calibri" w:hAnsi="Verdana" w:cs="Arial"/>
          <w:bCs/>
          <w:vertAlign w:val="superscript"/>
          <w:lang w:val="es-ES_tradnl" w:eastAsia="es-ES_tradnl"/>
        </w:rPr>
        <w:footnoteReference w:id="22"/>
      </w:r>
      <w:r w:rsidRPr="004C01E1">
        <w:rPr>
          <w:rFonts w:ascii="Verdana" w:eastAsia="Calibri" w:hAnsi="Verdana" w:cs="Arial"/>
          <w:bCs/>
          <w:lang w:val="es-ES_tradnl" w:eastAsia="es-ES_tradnl"/>
        </w:rPr>
        <w:t xml:space="preserve">. </w:t>
      </w:r>
    </w:p>
    <w:p w14:paraId="65E41891" w14:textId="77777777" w:rsidR="004C01E1" w:rsidRPr="004C01E1" w:rsidRDefault="004C01E1" w:rsidP="004C01E1">
      <w:pPr>
        <w:spacing w:after="120" w:line="276" w:lineRule="auto"/>
        <w:jc w:val="both"/>
        <w:rPr>
          <w:rFonts w:ascii="Verdana" w:eastAsia="Calibri" w:hAnsi="Verdana" w:cs="Arial"/>
          <w:lang w:val="es-ES" w:eastAsia="es-ES"/>
        </w:rPr>
      </w:pPr>
      <w:r w:rsidRPr="004C01E1">
        <w:rPr>
          <w:rFonts w:ascii="Verdana" w:eastAsia="Calibri" w:hAnsi="Verdana" w:cs="Arial"/>
          <w:bCs/>
          <w:lang w:val="es-ES_tradnl" w:eastAsia="es-ES_tradnl"/>
        </w:rPr>
        <w:tab/>
      </w:r>
      <w:r w:rsidRPr="004C01E1">
        <w:rPr>
          <w:rFonts w:ascii="Verdana" w:eastAsia="Calibri" w:hAnsi="Verdana" w:cs="Arial"/>
          <w:lang w:val="es-ES" w:eastAsia="es-ES"/>
        </w:rPr>
        <w:t xml:space="preserve">Conforme con lo expresado, el </w:t>
      </w:r>
      <w:r w:rsidRPr="004C01E1">
        <w:rPr>
          <w:rFonts w:ascii="Verdana" w:eastAsia="Calibri" w:hAnsi="Verdana" w:cs="Arial"/>
          <w:i/>
          <w:lang w:val="es-ES" w:eastAsia="es-ES"/>
        </w:rPr>
        <w:t xml:space="preserve">giro ordinario </w:t>
      </w:r>
      <w:r w:rsidRPr="004C01E1">
        <w:rPr>
          <w:rFonts w:ascii="Verdana" w:eastAsia="Calibri" w:hAnsi="Verdana" w:cs="Arial"/>
          <w:lang w:val="es-ES" w:eastAsia="es-ES"/>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4C01E1">
        <w:rPr>
          <w:rFonts w:ascii="Verdana" w:eastAsia="Times New Roman" w:hAnsi="Verdana" w:cs="Arial"/>
          <w:lang w:val="es-ES" w:eastAsia="es-ES"/>
        </w:rPr>
        <w:t>S]e</w:t>
      </w:r>
      <w:r w:rsidRPr="004C01E1">
        <w:rPr>
          <w:rFonts w:ascii="Verdana" w:eastAsia="Calibri" w:hAnsi="Verdana" w:cs="Arial"/>
          <w:lang w:val="es-ES" w:eastAsia="es-ES"/>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4C01E1">
        <w:rPr>
          <w:rFonts w:ascii="Verdana" w:eastAsia="Calibri" w:hAnsi="Verdana" w:cs="Arial"/>
          <w:vertAlign w:val="superscript"/>
          <w:lang w:eastAsia="es-ES"/>
        </w:rPr>
        <w:footnoteReference w:id="23"/>
      </w:r>
    </w:p>
    <w:p w14:paraId="7A8F6204" w14:textId="77777777" w:rsidR="004C01E1" w:rsidRPr="004C01E1" w:rsidRDefault="004C01E1" w:rsidP="004C01E1">
      <w:pPr>
        <w:spacing w:after="120" w:line="276" w:lineRule="auto"/>
        <w:jc w:val="both"/>
        <w:rPr>
          <w:rFonts w:ascii="Verdana" w:eastAsia="Calibri" w:hAnsi="Verdana" w:cs="Arial"/>
          <w:lang w:val="es-ES" w:eastAsia="es-ES"/>
        </w:rPr>
      </w:pPr>
      <w:r w:rsidRPr="004C01E1">
        <w:rPr>
          <w:rFonts w:ascii="Verdana" w:eastAsia="Calibri" w:hAnsi="Verdana" w:cs="Arial"/>
          <w:bCs/>
          <w:lang w:val="es-ES_tradnl" w:eastAsia="es-ES_tradnl"/>
        </w:rPr>
        <w:lastRenderedPageBreak/>
        <w:tab/>
      </w:r>
      <w:r w:rsidRPr="004C01E1">
        <w:rPr>
          <w:rFonts w:ascii="Verdana" w:eastAsia="Calibri" w:hAnsi="Verdana" w:cs="Arial"/>
          <w:lang w:val="es-ES" w:eastAsia="es-ES"/>
        </w:rPr>
        <w:t xml:space="preserve">En relación con la aplicación de lo dispuesto en el parágrafo del artículo 56 de la Ley 2195 de 2022, conviene aclarar que, a juicio de esta Agencia, la expresión </w:t>
      </w:r>
      <w:r w:rsidRPr="004C01E1">
        <w:rPr>
          <w:rFonts w:ascii="Verdana" w:eastAsia="Calibri" w:hAnsi="Verdana" w:cs="Arial"/>
          <w:i/>
          <w:lang w:val="es-ES" w:eastAsia="es-ES"/>
        </w:rPr>
        <w:t xml:space="preserve">giro ordinario </w:t>
      </w:r>
      <w:r w:rsidRPr="004C01E1">
        <w:rPr>
          <w:rFonts w:ascii="Verdana" w:eastAsia="Calibri" w:hAnsi="Verdana" w:cs="Arial"/>
          <w:lang w:val="es-ES" w:eastAsia="es-ES"/>
        </w:rPr>
        <w:t xml:space="preserve">se usa para designar a la contratación directamente relacionada con los asuntos de la gestión habitual u ordinaria de los tipos de entidades mencionadas en el parágrafo. No obstante, la determinación de las actividades que comprenden el </w:t>
      </w:r>
      <w:r w:rsidRPr="004C01E1">
        <w:rPr>
          <w:rFonts w:ascii="Verdana" w:eastAsia="Calibri" w:hAnsi="Verdana" w:cs="Arial"/>
          <w:i/>
          <w:lang w:val="es-ES" w:eastAsia="es-ES"/>
        </w:rPr>
        <w:t>giro ordinario</w:t>
      </w:r>
      <w:r w:rsidRPr="004C01E1">
        <w:rPr>
          <w:rFonts w:ascii="Verdana" w:eastAsia="Calibri" w:hAnsi="Verdana" w:cs="Arial"/>
          <w:lang w:val="es-ES" w:eastAsia="es-ES"/>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proofErr w:type="spellStart"/>
      <w:r w:rsidRPr="004C01E1">
        <w:rPr>
          <w:rFonts w:ascii="Verdana" w:eastAsia="Calibri" w:hAnsi="Verdana" w:cs="Arial"/>
          <w:i/>
          <w:lang w:val="es-ES" w:eastAsia="es-ES"/>
        </w:rPr>
        <w:t>ejusdem</w:t>
      </w:r>
      <w:proofErr w:type="spellEnd"/>
      <w:r w:rsidRPr="004C01E1">
        <w:rPr>
          <w:rFonts w:ascii="Verdana" w:eastAsia="Calibri" w:hAnsi="Verdana" w:cs="Arial"/>
          <w:lang w:val="es-ES" w:eastAsia="es-ES"/>
        </w:rPr>
        <w:t xml:space="preserve"> se limita a enunciar algunos tipos de Entidades Estatales, las cuales no solo difieren en su naturaleza jurídica, sino también en las actividades que realizan. </w:t>
      </w:r>
    </w:p>
    <w:p w14:paraId="69B03082" w14:textId="77777777" w:rsidR="004C01E1" w:rsidRPr="004C01E1" w:rsidRDefault="004C01E1" w:rsidP="004C01E1">
      <w:pPr>
        <w:tabs>
          <w:tab w:val="left" w:pos="0"/>
        </w:tabs>
        <w:spacing w:before="120" w:line="276" w:lineRule="auto"/>
        <w:ind w:firstLine="709"/>
        <w:jc w:val="both"/>
        <w:rPr>
          <w:rFonts w:ascii="Verdana" w:eastAsia="Calibri" w:hAnsi="Verdana" w:cs="Arial"/>
          <w:bCs/>
          <w:lang w:val="es-ES_tradnl"/>
        </w:rPr>
      </w:pPr>
      <w:r w:rsidRPr="004C01E1">
        <w:rPr>
          <w:rFonts w:ascii="Verdana" w:eastAsia="Calibri" w:hAnsi="Verdana" w:cs="Arial"/>
          <w:lang w:val="es-ES" w:eastAsia="es-ES"/>
        </w:rPr>
        <w:t xml:space="preserve">Esto impide que la Agencia Nacional de Contratación Pública – Colombia Compra Eficiente,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4C01E1">
        <w:rPr>
          <w:rFonts w:ascii="Verdana" w:eastAsia="Calibri" w:hAnsi="Verdana" w:cs="Arial"/>
          <w:i/>
          <w:lang w:val="es-ES" w:eastAsia="es-ES"/>
        </w:rPr>
        <w:t>giro ordinario</w:t>
      </w:r>
      <w:r w:rsidRPr="004C01E1">
        <w:rPr>
          <w:rFonts w:ascii="Verdana" w:eastAsia="Calibri" w:hAnsi="Verdana" w:cs="Arial"/>
          <w:lang w:val="es-ES" w:eastAsia="es-ES"/>
        </w:rPr>
        <w:t xml:space="preserve"> debe hacerse en el caso concreto, empleando un criterio de interpretación restrictiva. Ello en la medida en que el parágrafo del artículo 56 consagra una excepción a una regla general. </w:t>
      </w:r>
      <w:r w:rsidRPr="004C01E1">
        <w:rPr>
          <w:rFonts w:ascii="Verdana" w:eastAsia="Calibri" w:hAnsi="Verdana" w:cs="Arial"/>
          <w:bCs/>
          <w:lang w:val="es-ES_tradnl"/>
        </w:rPr>
        <w:t>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p w14:paraId="2741CB36" w14:textId="77777777" w:rsidR="004C01E1" w:rsidRPr="004C01E1" w:rsidRDefault="004C01E1" w:rsidP="004C01E1">
      <w:pPr>
        <w:spacing w:before="120" w:line="276" w:lineRule="auto"/>
        <w:jc w:val="both"/>
        <w:rPr>
          <w:rFonts w:ascii="Verdana" w:eastAsia="Calibri" w:hAnsi="Verdana" w:cs="Arial"/>
          <w:lang w:val="es-ES" w:eastAsia="es-ES"/>
        </w:rPr>
      </w:pPr>
      <w:r w:rsidRPr="004C01E1">
        <w:rPr>
          <w:rFonts w:ascii="Verdana" w:eastAsia="Calibri" w:hAnsi="Verdana" w:cs="Arial"/>
          <w:bCs/>
          <w:lang w:val="es-ES_tradnl" w:eastAsia="es-ES_tradnl"/>
        </w:rPr>
        <w:tab/>
      </w:r>
      <w:r w:rsidRPr="004C01E1">
        <w:rPr>
          <w:rFonts w:ascii="Verdana" w:eastAsia="Calibri" w:hAnsi="Verdana" w:cs="Arial"/>
          <w:color w:val="000000"/>
          <w:lang w:val="es-ES"/>
        </w:rPr>
        <w:t xml:space="preserve"> </w:t>
      </w:r>
      <w:r w:rsidRPr="004C01E1">
        <w:rPr>
          <w:rFonts w:ascii="Verdana" w:eastAsia="Calibri" w:hAnsi="Verdana" w:cs="Arial"/>
          <w:lang w:val="es-ES" w:eastAsia="es-ES"/>
        </w:rPr>
        <w:t xml:space="preserve">En tales términos, lo dispuesto en el parágrafo del artículo 56 implica que las instituciones de educación superior públicas, las empresas sociales del Estado, las sociedades de economía mixta y las empresas industriales y </w:t>
      </w:r>
      <w:r w:rsidRPr="004C01E1">
        <w:rPr>
          <w:rFonts w:ascii="Verdana" w:eastAsia="Calibri" w:hAnsi="Verdana" w:cs="Arial"/>
          <w:lang w:val="es-ES" w:eastAsia="es-ES"/>
        </w:rPr>
        <w:lastRenderedPageBreak/>
        <w:t xml:space="preserve">comerciales del Estado, no tendrán que implementar documentos tipo únicamente para la contratación relacionada con el </w:t>
      </w:r>
      <w:r w:rsidRPr="004C01E1">
        <w:rPr>
          <w:rFonts w:ascii="Verdana" w:eastAsia="Calibri" w:hAnsi="Verdana" w:cs="Arial"/>
          <w:i/>
          <w:iCs/>
          <w:lang w:val="es-ES" w:eastAsia="es-ES"/>
        </w:rPr>
        <w:t xml:space="preserve">giro ordinario </w:t>
      </w:r>
      <w:r w:rsidRPr="004C01E1">
        <w:rPr>
          <w:rFonts w:ascii="Verdana" w:eastAsia="Calibri" w:hAnsi="Verdana" w:cs="Arial"/>
          <w:lang w:val="es-ES" w:eastAsia="es-ES"/>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4C01E1">
        <w:rPr>
          <w:rFonts w:ascii="Verdana" w:eastAsia="Calibri" w:hAnsi="Verdana" w:cs="Arial"/>
          <w:i/>
          <w:iCs/>
          <w:lang w:val="es-ES" w:eastAsia="es-ES"/>
        </w:rPr>
        <w:t>su giro ordinario</w:t>
      </w:r>
      <w:r w:rsidRPr="004C01E1">
        <w:rPr>
          <w:rFonts w:ascii="Verdana" w:eastAsia="Calibri" w:hAnsi="Verdana" w:cs="Arial"/>
          <w:lang w:val="es-ES" w:eastAsia="es-ES"/>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4C01E1">
        <w:rPr>
          <w:rFonts w:ascii="Verdana" w:eastAsia="Calibri" w:hAnsi="Verdana" w:cs="Arial"/>
          <w:i/>
          <w:iCs/>
          <w:lang w:val="es-ES" w:eastAsia="es-ES"/>
        </w:rPr>
        <w:t>giro ordinario</w:t>
      </w:r>
      <w:r w:rsidRPr="004C01E1">
        <w:rPr>
          <w:rFonts w:ascii="Verdana" w:eastAsia="Calibri" w:hAnsi="Verdana" w:cs="Arial"/>
          <w:lang w:val="es-ES" w:eastAsia="es-ES"/>
        </w:rPr>
        <w:t xml:space="preserve">, a menos que su manual de contratación establezca lo contrario. De hacerlo, primará el principio de inderogabilidad singular del reglamento, que obliga a aplicarlo en las actuaciones concretas.  </w:t>
      </w:r>
    </w:p>
    <w:p w14:paraId="221DA43F" w14:textId="77777777" w:rsidR="004C01E1" w:rsidRPr="004C01E1" w:rsidRDefault="004C01E1" w:rsidP="004C01E1">
      <w:pPr>
        <w:tabs>
          <w:tab w:val="left" w:pos="0"/>
        </w:tabs>
        <w:spacing w:before="120" w:after="0" w:line="276" w:lineRule="auto"/>
        <w:jc w:val="both"/>
        <w:rPr>
          <w:rFonts w:ascii="Verdana" w:eastAsia="Calibri" w:hAnsi="Verdana" w:cs="Arial"/>
          <w:bCs/>
          <w:lang w:val="es-ES_tradnl" w:eastAsia="es-ES_tradnl"/>
        </w:rPr>
      </w:pPr>
      <w:r w:rsidRPr="004C01E1">
        <w:rPr>
          <w:rFonts w:ascii="Verdana" w:eastAsia="Calibri" w:hAnsi="Verdana" w:cs="Arial"/>
          <w:bCs/>
          <w:szCs w:val="24"/>
          <w:lang w:val="es-ES_tradnl" w:eastAsia="es-ES_tradnl"/>
        </w:rPr>
        <w:tab/>
      </w:r>
      <w:r w:rsidRPr="004C01E1">
        <w:rPr>
          <w:rFonts w:ascii="Verdana" w:eastAsia="Calibri" w:hAnsi="Verdana" w:cs="Arial"/>
          <w:bCs/>
          <w:lang w:val="es-ES_tradnl" w:eastAsia="es-ES_tradnl"/>
        </w:rPr>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4C01E1">
        <w:rPr>
          <w:rFonts w:ascii="Verdana" w:eastAsia="Calibri" w:hAnsi="Verdana" w:cs="Arial"/>
          <w:vertAlign w:val="superscript"/>
          <w:lang w:eastAsia="es-ES_tradnl"/>
        </w:rPr>
        <w:footnoteReference w:id="24"/>
      </w:r>
      <w:r w:rsidRPr="004C01E1">
        <w:rPr>
          <w:rFonts w:ascii="Verdana" w:eastAsia="Calibri" w:hAnsi="Verdana" w:cs="Arial"/>
          <w:bCs/>
          <w:lang w:val="es-ES_tradnl" w:eastAsia="es-ES_tradnl"/>
        </w:rPr>
        <w:t>–, no es menos cierto que el Legislador, en materia de contratación estatal, goza de un amplio margen de configuración normativa, de conformidad con lo dispuesto en el inciso final del artículo 150 de la Constitución Política</w:t>
      </w:r>
      <w:r w:rsidRPr="004C01E1">
        <w:rPr>
          <w:rFonts w:ascii="Verdana" w:eastAsia="Calibri" w:hAnsi="Verdana" w:cs="Arial"/>
          <w:vertAlign w:val="superscript"/>
          <w:lang w:eastAsia="es-ES_tradnl"/>
        </w:rPr>
        <w:footnoteReference w:id="25"/>
      </w:r>
      <w:r w:rsidRPr="004C01E1">
        <w:rPr>
          <w:rFonts w:ascii="Verdana" w:eastAsia="Calibri" w:hAnsi="Verdana" w:cs="Arial"/>
          <w:bCs/>
          <w:lang w:val="es-ES_tradnl" w:eastAsia="es-ES_tradnl"/>
        </w:rPr>
        <w:t xml:space="preserve">. En ese sentido, en virtud de esta potestad de </w:t>
      </w:r>
      <w:r w:rsidRPr="004C01E1">
        <w:rPr>
          <w:rFonts w:ascii="Verdana" w:eastAsia="Calibri" w:hAnsi="Verdana" w:cs="Arial"/>
          <w:bCs/>
          <w:lang w:val="es-ES_tradnl" w:eastAsia="es-ES_tradnl"/>
        </w:rPr>
        <w:lastRenderedPageBreak/>
        <w:t xml:space="preserve">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general, únicamente respecto de la contratación de su </w:t>
      </w:r>
      <w:r w:rsidRPr="004C01E1">
        <w:rPr>
          <w:rFonts w:ascii="Verdana" w:eastAsia="Calibri" w:hAnsi="Verdana" w:cs="Arial"/>
          <w:bCs/>
          <w:i/>
          <w:iCs/>
          <w:lang w:val="es-ES_tradnl" w:eastAsia="es-ES_tradnl"/>
        </w:rPr>
        <w:t>giro ordinario.</w:t>
      </w:r>
      <w:r w:rsidRPr="004C01E1">
        <w:rPr>
          <w:rFonts w:ascii="Verdana" w:eastAsia="Calibri" w:hAnsi="Verdana" w:cs="Arial"/>
          <w:bCs/>
          <w:lang w:val="es-ES_tradnl" w:eastAsia="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4C01E1">
        <w:rPr>
          <w:rFonts w:ascii="Verdana" w:eastAsia="Calibri" w:hAnsi="Verdana" w:cs="Arial"/>
          <w:vertAlign w:val="superscript"/>
          <w:lang w:eastAsia="es-ES_tradnl"/>
        </w:rPr>
        <w:footnoteReference w:id="26"/>
      </w:r>
      <w:r w:rsidRPr="004C01E1">
        <w:rPr>
          <w:rFonts w:ascii="Verdana" w:eastAsia="Calibri" w:hAnsi="Verdana" w:cs="Arial"/>
          <w:bCs/>
          <w:lang w:val="es-ES_tradnl" w:eastAsia="es-ES_tradnl"/>
        </w:rPr>
        <w:t>.</w:t>
      </w:r>
    </w:p>
    <w:p w14:paraId="6632BF41" w14:textId="77777777" w:rsidR="004C01E1" w:rsidRPr="004C01E1" w:rsidRDefault="004C01E1" w:rsidP="004C01E1">
      <w:pPr>
        <w:tabs>
          <w:tab w:val="left" w:pos="0"/>
        </w:tabs>
        <w:spacing w:before="120" w:after="0" w:line="276" w:lineRule="auto"/>
        <w:ind w:firstLine="709"/>
        <w:jc w:val="both"/>
        <w:rPr>
          <w:rFonts w:ascii="Verdana" w:eastAsia="Times New Roman" w:hAnsi="Verdana" w:cs="Arial"/>
          <w:lang w:eastAsia="es-ES_tradnl"/>
        </w:rPr>
      </w:pPr>
      <w:r w:rsidRPr="004C01E1">
        <w:rPr>
          <w:rFonts w:ascii="Verdana" w:eastAsia="Calibri" w:hAnsi="Verdana" w:cs="Arial"/>
          <w:bCs/>
          <w:lang w:val="es-ES_tradnl" w:eastAsia="es-ES_tradnl"/>
        </w:rPr>
        <w:lastRenderedPageBreak/>
        <w:t>De acuerdo con esta interpretación restrictiva</w:t>
      </w:r>
      <w:r w:rsidRPr="004C01E1">
        <w:rPr>
          <w:rFonts w:ascii="Verdana" w:eastAsia="Calibri" w:hAnsi="Verdana" w:cs="Arial"/>
          <w:vertAlign w:val="superscript"/>
          <w:lang w:eastAsia="es-ES_tradnl"/>
        </w:rPr>
        <w:footnoteReference w:id="27"/>
      </w:r>
      <w:r w:rsidRPr="004C01E1">
        <w:rPr>
          <w:rFonts w:ascii="Verdana" w:eastAsia="Calibri" w:hAnsi="Verdana" w:cs="Arial"/>
          <w:bCs/>
          <w:lang w:val="es-ES_tradnl" w:eastAsia="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4C01E1">
        <w:rPr>
          <w:rFonts w:ascii="Verdana" w:eastAsia="Calibri" w:hAnsi="Verdana" w:cs="Arial"/>
          <w:bCs/>
          <w:i/>
          <w:iCs/>
          <w:lang w:val="es-ES_tradnl" w:eastAsia="es-ES_tradnl"/>
        </w:rPr>
        <w:t xml:space="preserve">giro ordinario, </w:t>
      </w:r>
      <w:r w:rsidRPr="004C01E1">
        <w:rPr>
          <w:rFonts w:ascii="Verdana" w:eastAsia="Calibri" w:hAnsi="Verdana" w:cs="Arial"/>
          <w:bCs/>
          <w:lang w:val="es-ES_tradnl" w:eastAsia="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4C01E1">
        <w:rPr>
          <w:rFonts w:ascii="Verdana" w:eastAsia="Times New Roman" w:hAnsi="Verdana" w:cs="Arial"/>
          <w:vertAlign w:val="superscript"/>
          <w:lang w:eastAsia="es-ES_tradnl"/>
        </w:rPr>
        <w:footnoteReference w:id="28"/>
      </w:r>
      <w:r w:rsidRPr="004C01E1">
        <w:rPr>
          <w:rFonts w:ascii="Verdana" w:eastAsia="Calibri" w:hAnsi="Verdana" w:cs="Arial"/>
          <w:bCs/>
          <w:lang w:val="es-ES_tradnl" w:eastAsia="es-ES_tradnl"/>
        </w:rPr>
        <w:t>, al igual que la regla según la cual “</w:t>
      </w:r>
      <w:r w:rsidRPr="004C01E1">
        <w:rPr>
          <w:rFonts w:ascii="Verdana" w:eastAsia="Times New Roman" w:hAnsi="Verdana" w:cs="Arial"/>
          <w:lang w:eastAsia="es-ES_tradnl"/>
        </w:rPr>
        <w:t>Lo favorable u odioso de una disposición no se tomará en cuenta para ampliar o restringir su interpretación”</w:t>
      </w:r>
      <w:r w:rsidRPr="004C01E1">
        <w:rPr>
          <w:rFonts w:ascii="Verdana" w:eastAsia="Times New Roman" w:hAnsi="Verdana" w:cs="Arial"/>
          <w:vertAlign w:val="superscript"/>
          <w:lang w:eastAsia="es-ES_tradnl"/>
        </w:rPr>
        <w:footnoteReference w:id="29"/>
      </w:r>
      <w:r w:rsidRPr="004C01E1">
        <w:rPr>
          <w:rFonts w:ascii="Verdana" w:eastAsia="Times New Roman" w:hAnsi="Verdana" w:cs="Arial"/>
          <w:lang w:eastAsia="es-ES_tradnl"/>
        </w:rPr>
        <w:t xml:space="preserve">. </w:t>
      </w:r>
    </w:p>
    <w:p w14:paraId="43E00D8F" w14:textId="77777777" w:rsidR="004C01E1" w:rsidRPr="004C01E1" w:rsidRDefault="004C01E1" w:rsidP="004C01E1">
      <w:pPr>
        <w:spacing w:before="120" w:after="0" w:line="276" w:lineRule="auto"/>
        <w:ind w:firstLine="709"/>
        <w:jc w:val="both"/>
        <w:rPr>
          <w:rFonts w:ascii="Verdana" w:eastAsia="Calibri" w:hAnsi="Verdana" w:cs="Arial"/>
          <w:lang w:val="es-ES" w:eastAsia="es-ES"/>
        </w:rPr>
      </w:pPr>
      <w:r w:rsidRPr="004C01E1">
        <w:rPr>
          <w:rFonts w:ascii="Verdana" w:eastAsia="Calibri" w:hAnsi="Verdana" w:cs="Arial"/>
          <w:lang w:val="es-ES" w:eastAsia="es-ES"/>
        </w:rPr>
        <w:t xml:space="preserve">En conclusión, a juicio de esta Agencia lo dispuesto en el parágrafo del artículo 56 de la Ley 2195 de 2022, es una manifestación de la voluntad del Legislador de relevar a las 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4C01E1">
        <w:rPr>
          <w:rFonts w:ascii="Verdana" w:eastAsia="Calibri" w:hAnsi="Verdana" w:cs="Arial"/>
          <w:i/>
          <w:iCs/>
          <w:lang w:val="es-ES" w:eastAsia="es-ES"/>
        </w:rPr>
        <w:t>giro ordinario</w:t>
      </w:r>
      <w:r w:rsidRPr="004C01E1">
        <w:rPr>
          <w:rFonts w:ascii="Verdana" w:eastAsia="Calibri" w:hAnsi="Verdana" w:cs="Arial"/>
          <w:lang w:val="es-ES" w:eastAsia="es-ES"/>
        </w:rPr>
        <w:t xml:space="preserve">. Esto significa que tales entidades, cuando en desarrollo de un contrato o un convenio con una entidad sometida al EGCAP, requieran contratar un objeto cobijado por algún documento tipo, que no esté comprendido dentro de su </w:t>
      </w:r>
      <w:r w:rsidRPr="004C01E1">
        <w:rPr>
          <w:rFonts w:ascii="Verdana" w:eastAsia="Calibri" w:hAnsi="Verdana" w:cs="Arial"/>
          <w:i/>
          <w:iCs/>
          <w:lang w:val="es-ES" w:eastAsia="es-ES"/>
        </w:rPr>
        <w:t>giro ordinario,</w:t>
      </w:r>
      <w:r w:rsidRPr="004C01E1">
        <w:rPr>
          <w:rFonts w:ascii="Verdana" w:eastAsia="Calibri" w:hAnsi="Verdana" w:cs="Arial"/>
          <w:lang w:val="es-ES" w:eastAsia="es-ES"/>
        </w:rPr>
        <w:t xml:space="preserve"> deberán regirse por lo establecido en los dos incisos del referido artículo. Esta interpretación encuentra sustento en el principio del efecto útil del </w:t>
      </w:r>
      <w:r w:rsidRPr="004C01E1">
        <w:rPr>
          <w:rFonts w:ascii="Verdana" w:eastAsia="Calibri" w:hAnsi="Verdana" w:cs="Arial"/>
          <w:lang w:val="es-ES" w:eastAsia="es-ES"/>
        </w:rPr>
        <w:lastRenderedPageBreak/>
        <w:t xml:space="preserve">artículo 56 de la Ley 2195 de 2022, pues refleja el alcance que el Legislador quiso darle a la norma en comento. </w:t>
      </w:r>
    </w:p>
    <w:p w14:paraId="057504D7" w14:textId="77777777" w:rsidR="004C01E1" w:rsidRPr="004C01E1" w:rsidRDefault="004C01E1" w:rsidP="004C01E1">
      <w:pPr>
        <w:spacing w:before="120" w:after="0" w:line="276" w:lineRule="auto"/>
        <w:ind w:firstLine="709"/>
        <w:jc w:val="both"/>
        <w:rPr>
          <w:rFonts w:ascii="Verdana" w:eastAsia="Calibri" w:hAnsi="Verdana" w:cs="Arial"/>
          <w:bCs/>
          <w:color w:val="000000"/>
          <w:lang w:val="es-ES_tradnl" w:eastAsia="es-ES_tradnl"/>
        </w:rPr>
      </w:pPr>
      <w:r w:rsidRPr="004C01E1">
        <w:rPr>
          <w:rFonts w:ascii="Verdana" w:eastAsia="Times New Roman" w:hAnsi="Verdana" w:cs="Arial"/>
          <w:bCs/>
          <w:color w:val="000000"/>
          <w:shd w:val="clear" w:color="auto" w:fill="FFFFFF"/>
          <w:lang w:val="es-ES_tradnl" w:eastAsia="es-ES_tradnl"/>
        </w:rPr>
        <w:t xml:space="preserve">En este orden de ideas, es pertinente indicar que </w:t>
      </w:r>
      <w:r w:rsidRPr="004C01E1">
        <w:rPr>
          <w:rFonts w:ascii="Verdana" w:eastAsia="Calibri" w:hAnsi="Verdana" w:cs="Arial"/>
          <w:bCs/>
          <w:color w:val="000000"/>
          <w:lang w:val="es-ES_tradnl" w:eastAsia="es-ES_tradnl"/>
        </w:rPr>
        <w:t xml:space="preserve">las excepciones consagradas en el parágrafo del artículo 56 de la Ley 2195 de 2022 solo se aplican a los órganos del Estado cuya naturaleza jurídica coincida con la de las entidades allí indicadas de manera </w:t>
      </w:r>
      <w:r w:rsidRPr="004C01E1">
        <w:rPr>
          <w:rFonts w:ascii="Verdana" w:eastAsia="Calibri" w:hAnsi="Verdana" w:cs="Arial"/>
          <w:bCs/>
          <w:i/>
          <w:iCs/>
          <w:color w:val="000000"/>
          <w:lang w:val="es-ES_tradnl" w:eastAsia="es-ES_tradnl"/>
        </w:rPr>
        <w:t>taxativa</w:t>
      </w:r>
      <w:r w:rsidRPr="004C01E1">
        <w:rPr>
          <w:rFonts w:ascii="Verdana" w:eastAsia="Calibri" w:hAnsi="Verdana" w:cs="Arial"/>
          <w:bCs/>
          <w:color w:val="000000"/>
          <w:lang w:val="es-ES_tradnl" w:eastAsia="es-ES_tradnl"/>
        </w:rPr>
        <w:t>, esto es, a “</w:t>
      </w:r>
      <w:r w:rsidRPr="004C01E1">
        <w:rPr>
          <w:rFonts w:ascii="Verdana" w:eastAsia="Times New Roman" w:hAnsi="Verdana" w:cs="Arial"/>
          <w:color w:val="000000"/>
          <w:lang w:eastAsia="es-ES_tradnl"/>
        </w:rPr>
        <w:t xml:space="preserve">[…] </w:t>
      </w:r>
      <w:r w:rsidRPr="004C01E1">
        <w:rPr>
          <w:rFonts w:ascii="Verdana" w:eastAsia="Calibri" w:hAnsi="Verdana" w:cs="Arial"/>
          <w:bCs/>
          <w:color w:val="000000"/>
          <w:lang w:val="es-ES_tradnl" w:eastAsia="es-ES_tradnl"/>
        </w:rPr>
        <w:t xml:space="preserve">las Instituciones de Educación Superior públicas, las empresas sociales del Estado, las sociedades de economía mixta y las empresas industriales y comerciales del Estado, únicamente en cuanto a la contratación de su giro ordinario”. Por consiguiente, cada entidad estatal deberá analizar su naturaleza jurídica y hacer una interpretación restrictiva de este parágrafo, pues las excepciones deben leerse de manera acorde con dicho parámetro hermenéutico. </w:t>
      </w:r>
    </w:p>
    <w:bookmarkEnd w:id="9"/>
    <w:bookmarkEnd w:id="10"/>
    <w:p w14:paraId="75475011" w14:textId="77777777" w:rsidR="004C01E1" w:rsidRPr="004C01E1" w:rsidRDefault="004C01E1" w:rsidP="004C01E1">
      <w:pPr>
        <w:widowControl w:val="0"/>
        <w:autoSpaceDE w:val="0"/>
        <w:autoSpaceDN w:val="0"/>
        <w:spacing w:after="0" w:line="276" w:lineRule="auto"/>
        <w:jc w:val="both"/>
        <w:rPr>
          <w:rFonts w:ascii="Verdana" w:eastAsia="Calibri" w:hAnsi="Verdana" w:cs="Arial"/>
        </w:rPr>
      </w:pPr>
    </w:p>
    <w:bookmarkEnd w:id="0"/>
    <w:p w14:paraId="4BD7A392" w14:textId="77777777" w:rsidR="004C01E1" w:rsidRPr="004C01E1" w:rsidRDefault="004C01E1" w:rsidP="004C01E1">
      <w:pPr>
        <w:numPr>
          <w:ilvl w:val="0"/>
          <w:numId w:val="16"/>
        </w:numPr>
        <w:tabs>
          <w:tab w:val="left" w:pos="142"/>
          <w:tab w:val="left" w:pos="284"/>
        </w:tabs>
        <w:spacing w:after="0" w:line="276" w:lineRule="auto"/>
        <w:ind w:left="0" w:firstLine="0"/>
        <w:jc w:val="both"/>
        <w:rPr>
          <w:rFonts w:ascii="Verdana" w:eastAsia="Century Gothic" w:hAnsi="Verdana" w:cs="Century Gothic"/>
          <w:b/>
          <w:bCs/>
          <w:kern w:val="2"/>
          <w:sz w:val="24"/>
          <w:szCs w:val="24"/>
          <w14:ligatures w14:val="standardContextual"/>
        </w:rPr>
      </w:pPr>
      <w:r w:rsidRPr="004C01E1">
        <w:rPr>
          <w:rFonts w:ascii="Verdana" w:eastAsia="Century Gothic" w:hAnsi="Verdana" w:cs="Century Gothic"/>
          <w:b/>
          <w:bCs/>
          <w:kern w:val="2"/>
          <w:sz w:val="24"/>
          <w:szCs w:val="24"/>
          <w14:ligatures w14:val="standardContextual"/>
        </w:rPr>
        <w:t>Referencias normativas, jurisprudenciales y otras fuentes:</w:t>
      </w:r>
    </w:p>
    <w:p w14:paraId="2AAAFA92" w14:textId="77777777" w:rsidR="004C01E1" w:rsidRPr="004C01E1" w:rsidRDefault="004C01E1" w:rsidP="004C01E1">
      <w:pPr>
        <w:widowControl w:val="0"/>
        <w:autoSpaceDE w:val="0"/>
        <w:autoSpaceDN w:val="0"/>
        <w:spacing w:after="0" w:line="276" w:lineRule="auto"/>
        <w:jc w:val="both"/>
        <w:rPr>
          <w:rFonts w:ascii="Verdana" w:eastAsia="Aptos" w:hAnsi="Verdana" w:cs="Arial"/>
          <w:kern w:val="2"/>
          <w:sz w:val="24"/>
          <w:szCs w:val="24"/>
          <w14:ligatures w14:val="standardContextu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C01E1" w:rsidRPr="004C01E1" w14:paraId="100DB774" w14:textId="77777777" w:rsidTr="004000F4">
        <w:trPr>
          <w:trHeight w:val="440"/>
        </w:trPr>
        <w:tc>
          <w:tcPr>
            <w:tcW w:w="8647" w:type="dxa"/>
          </w:tcPr>
          <w:p w14:paraId="7C5B8768"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rPr>
              <w:t>Ley 1150 de 2007 - artículo 14.</w:t>
            </w:r>
          </w:p>
          <w:p w14:paraId="5E668ED9"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rPr>
              <w:t xml:space="preserve">Ley 2022 de 202 – artículo 1. </w:t>
            </w:r>
          </w:p>
          <w:p w14:paraId="1F831498"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rPr>
              <w:t>Constitución Política - artículo 209, 267.</w:t>
            </w:r>
          </w:p>
          <w:p w14:paraId="02B9C511"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rPr>
              <w:t>Ley 489 de 1998 - artículo 68, 85, 86, 87, 93.</w:t>
            </w:r>
          </w:p>
          <w:p w14:paraId="2BC9D958"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rPr>
              <w:t>Ley 80 de 1993 - artículo 2, numeral 1, literal a.</w:t>
            </w:r>
          </w:p>
          <w:p w14:paraId="79A3D956" w14:textId="77777777" w:rsidR="004C01E1" w:rsidRPr="004C01E1" w:rsidRDefault="004C01E1" w:rsidP="004C01E1">
            <w:pPr>
              <w:widowControl w:val="0"/>
              <w:numPr>
                <w:ilvl w:val="0"/>
                <w:numId w:val="20"/>
              </w:numPr>
              <w:autoSpaceDE w:val="0"/>
              <w:autoSpaceDN w:val="0"/>
              <w:spacing w:line="276" w:lineRule="auto"/>
              <w:ind w:left="714" w:hanging="357"/>
              <w:jc w:val="both"/>
              <w:rPr>
                <w:rFonts w:ascii="Verdana" w:eastAsia="Aptos" w:hAnsi="Verdana" w:cs="Arial"/>
              </w:rPr>
            </w:pPr>
            <w:r w:rsidRPr="004C01E1">
              <w:rPr>
                <w:rFonts w:ascii="Verdana" w:eastAsia="Aptos" w:hAnsi="Verdana" w:cs="Arial"/>
              </w:rPr>
              <w:t>Ley 2195 de 2022: Artículo 53 y 56.</w:t>
            </w:r>
          </w:p>
          <w:p w14:paraId="1DD5BD51"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rPr>
              <w:t xml:space="preserve">Consejo de Estado. Sección Tercera, Sentencia del 19 de agosto de 2004 </w:t>
            </w:r>
            <w:proofErr w:type="spellStart"/>
            <w:r w:rsidRPr="004C01E1">
              <w:rPr>
                <w:rFonts w:ascii="Verdana" w:eastAsia="Aptos" w:hAnsi="Verdana" w:cs="Arial"/>
              </w:rPr>
              <w:t>Exp</w:t>
            </w:r>
            <w:proofErr w:type="spellEnd"/>
            <w:r w:rsidRPr="004C01E1">
              <w:rPr>
                <w:rFonts w:ascii="Verdana" w:eastAsia="Aptos" w:hAnsi="Verdana" w:cs="Arial"/>
              </w:rPr>
              <w:t xml:space="preserve">. 12.342, reiterada en sentencia de 6 de febrero de 2006, </w:t>
            </w:r>
            <w:proofErr w:type="spellStart"/>
            <w:r w:rsidRPr="004C01E1">
              <w:rPr>
                <w:rFonts w:ascii="Verdana" w:eastAsia="Aptos" w:hAnsi="Verdana" w:cs="Arial"/>
              </w:rPr>
              <w:t>Exp</w:t>
            </w:r>
            <w:proofErr w:type="spellEnd"/>
            <w:r w:rsidRPr="004C01E1">
              <w:rPr>
                <w:rFonts w:ascii="Verdana" w:eastAsia="Aptos" w:hAnsi="Verdana" w:cs="Arial"/>
              </w:rPr>
              <w:t>. 13.414.</w:t>
            </w:r>
          </w:p>
          <w:p w14:paraId="2BCC96AE"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rPr>
              <w:t xml:space="preserve">Consejo de Estado. Sección Tercera. Subsección C. Sentencia del 8 de abril de 2014. Expo. 25.801 C.P. Enrique Gil Botero </w:t>
            </w:r>
          </w:p>
          <w:p w14:paraId="62BD6B46"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color w:val="000000"/>
              </w:rPr>
              <w:t xml:space="preserve">Consejo de Estado. Sección Tercera. Subsección B. Sentencia del 12 de octubre de 2011. </w:t>
            </w:r>
            <w:proofErr w:type="spellStart"/>
            <w:r w:rsidRPr="004C01E1">
              <w:rPr>
                <w:rFonts w:ascii="Verdana" w:eastAsia="Aptos" w:hAnsi="Verdana" w:cs="Arial"/>
                <w:color w:val="000000"/>
              </w:rPr>
              <w:t>Exp</w:t>
            </w:r>
            <w:proofErr w:type="spellEnd"/>
            <w:r w:rsidRPr="004C01E1">
              <w:rPr>
                <w:rFonts w:ascii="Verdana" w:eastAsia="Aptos" w:hAnsi="Verdana" w:cs="Arial"/>
                <w:color w:val="000000"/>
              </w:rPr>
              <w:t>. No. 20070. C.P. Danilo Rojas Betancourt.</w:t>
            </w:r>
          </w:p>
          <w:p w14:paraId="17C94302"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color w:val="000000"/>
              </w:rPr>
              <w:t xml:space="preserve">Consejo de Estado. Sección Tercera. Subsección A. Sentencia del 3 de marzo de 2021. </w:t>
            </w:r>
            <w:proofErr w:type="spellStart"/>
            <w:r w:rsidRPr="004C01E1">
              <w:rPr>
                <w:rFonts w:ascii="Verdana" w:eastAsia="Aptos" w:hAnsi="Verdana" w:cs="Arial"/>
                <w:color w:val="000000"/>
              </w:rPr>
              <w:t>Exp</w:t>
            </w:r>
            <w:proofErr w:type="spellEnd"/>
            <w:r w:rsidRPr="004C01E1">
              <w:rPr>
                <w:rFonts w:ascii="Verdana" w:eastAsia="Aptos" w:hAnsi="Verdana" w:cs="Arial"/>
                <w:color w:val="000000"/>
              </w:rPr>
              <w:t xml:space="preserve">. No. 51373. C.P. José Roberto Sáchica Méndez. </w:t>
            </w:r>
          </w:p>
          <w:p w14:paraId="1F1C70C1"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color w:val="000000"/>
              </w:rPr>
              <w:t xml:space="preserve">Consejo de Estado. Sección Tercera. Subsección A. Sentencia del 24 de junio de 2015. </w:t>
            </w:r>
            <w:proofErr w:type="spellStart"/>
            <w:r w:rsidRPr="004C01E1">
              <w:rPr>
                <w:rFonts w:ascii="Verdana" w:eastAsia="Aptos" w:hAnsi="Verdana" w:cs="Arial"/>
                <w:color w:val="000000"/>
              </w:rPr>
              <w:t>Exp</w:t>
            </w:r>
            <w:proofErr w:type="spellEnd"/>
            <w:r w:rsidRPr="004C01E1">
              <w:rPr>
                <w:rFonts w:ascii="Verdana" w:eastAsia="Aptos" w:hAnsi="Verdana" w:cs="Arial"/>
                <w:color w:val="000000"/>
              </w:rPr>
              <w:t>. 40.635. Consejero Ponente: Hernán Andrade Rincón (E).</w:t>
            </w:r>
          </w:p>
          <w:p w14:paraId="211E6B77"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color w:val="000000"/>
                <w:lang w:val="es-ES"/>
              </w:rPr>
              <w:t xml:space="preserve">Consejo de Estado. Sala de Consulta y Servicio Civil. Concepto del 30 de abril de 2015. Expediente: 2251. Consejero Ponente: Álvaro </w:t>
            </w:r>
            <w:proofErr w:type="spellStart"/>
            <w:r w:rsidRPr="004C01E1">
              <w:rPr>
                <w:rFonts w:ascii="Verdana" w:eastAsia="Aptos" w:hAnsi="Verdana" w:cs="Arial"/>
                <w:color w:val="000000"/>
                <w:lang w:val="es-ES"/>
              </w:rPr>
              <w:t>Namén</w:t>
            </w:r>
            <w:proofErr w:type="spellEnd"/>
            <w:r w:rsidRPr="004C01E1">
              <w:rPr>
                <w:rFonts w:ascii="Verdana" w:eastAsia="Aptos" w:hAnsi="Verdana" w:cs="Arial"/>
                <w:color w:val="000000"/>
                <w:lang w:val="es-ES"/>
              </w:rPr>
              <w:t xml:space="preserve"> Vargas.</w:t>
            </w:r>
          </w:p>
          <w:p w14:paraId="270D756C" w14:textId="77777777" w:rsidR="004C01E1" w:rsidRPr="004C01E1" w:rsidRDefault="004C01E1" w:rsidP="004C01E1">
            <w:pPr>
              <w:widowControl w:val="0"/>
              <w:numPr>
                <w:ilvl w:val="0"/>
                <w:numId w:val="20"/>
              </w:numPr>
              <w:autoSpaceDE w:val="0"/>
              <w:autoSpaceDN w:val="0"/>
              <w:spacing w:line="276" w:lineRule="auto"/>
              <w:contextualSpacing/>
              <w:jc w:val="both"/>
              <w:rPr>
                <w:rFonts w:ascii="Verdana" w:eastAsia="Aptos" w:hAnsi="Verdana" w:cs="Arial"/>
              </w:rPr>
            </w:pPr>
            <w:r w:rsidRPr="004C01E1">
              <w:rPr>
                <w:rFonts w:ascii="Verdana" w:eastAsia="Aptos" w:hAnsi="Verdana" w:cs="Arial"/>
              </w:rPr>
              <w:lastRenderedPageBreak/>
              <w:t>Sentencia C-382 de 2019, M.P. Alejandro Linares Cantillo</w:t>
            </w:r>
          </w:p>
          <w:p w14:paraId="4A5E64C2" w14:textId="77777777" w:rsidR="004C01E1" w:rsidRPr="004C01E1" w:rsidRDefault="004C01E1" w:rsidP="004C01E1">
            <w:pPr>
              <w:widowControl w:val="0"/>
              <w:numPr>
                <w:ilvl w:val="0"/>
                <w:numId w:val="20"/>
              </w:numPr>
              <w:autoSpaceDE w:val="0"/>
              <w:autoSpaceDN w:val="0"/>
              <w:spacing w:line="276" w:lineRule="auto"/>
              <w:jc w:val="both"/>
              <w:rPr>
                <w:rFonts w:ascii="Verdana" w:eastAsia="Aptos" w:hAnsi="Verdana" w:cs="Arial"/>
              </w:rPr>
            </w:pPr>
            <w:r w:rsidRPr="004C01E1">
              <w:rPr>
                <w:rFonts w:ascii="Verdana" w:eastAsia="Aptos" w:hAnsi="Verdana" w:cs="Arial"/>
              </w:rPr>
              <w:t xml:space="preserve">COLOMBIA COMPRA EFICIENTE. “Guía para las Entidades Estatales con régimen especial de Contratación”. Disponible: Aquí </w:t>
            </w:r>
          </w:p>
          <w:p w14:paraId="224C4CFB" w14:textId="77777777" w:rsidR="004C01E1" w:rsidRPr="004C01E1" w:rsidRDefault="004C01E1" w:rsidP="004C01E1">
            <w:pPr>
              <w:widowControl w:val="0"/>
              <w:numPr>
                <w:ilvl w:val="0"/>
                <w:numId w:val="20"/>
              </w:numPr>
              <w:autoSpaceDE w:val="0"/>
              <w:autoSpaceDN w:val="0"/>
              <w:spacing w:line="276" w:lineRule="auto"/>
              <w:ind w:left="714" w:hanging="357"/>
              <w:jc w:val="both"/>
              <w:rPr>
                <w:rFonts w:ascii="Verdana" w:eastAsia="Aptos" w:hAnsi="Verdana" w:cs="Arial"/>
              </w:rPr>
            </w:pPr>
            <w:r w:rsidRPr="004C01E1">
              <w:rPr>
                <w:rFonts w:ascii="Verdana" w:eastAsia="Aptos" w:hAnsi="Verdana" w:cs="Arial"/>
                <w:color w:val="000000"/>
              </w:rPr>
              <w:t xml:space="preserve">CONGRESO DE LA REPÚBLICA. Gaceta </w:t>
            </w:r>
            <w:proofErr w:type="spellStart"/>
            <w:r w:rsidRPr="004C01E1">
              <w:rPr>
                <w:rFonts w:ascii="Verdana" w:eastAsia="Aptos" w:hAnsi="Verdana" w:cs="Arial"/>
                <w:color w:val="000000"/>
              </w:rPr>
              <w:t>Nº</w:t>
            </w:r>
            <w:proofErr w:type="spellEnd"/>
            <w:r w:rsidRPr="004C01E1">
              <w:rPr>
                <w:rFonts w:ascii="Verdana" w:eastAsia="Aptos" w:hAnsi="Verdana" w:cs="Arial"/>
                <w:color w:val="000000"/>
              </w:rPr>
              <w:t xml:space="preserve"> 1677 del 23 de noviembre de 2021</w:t>
            </w:r>
          </w:p>
          <w:p w14:paraId="6431FF3D" w14:textId="77777777" w:rsidR="004C01E1" w:rsidRPr="004C01E1" w:rsidRDefault="004C01E1" w:rsidP="004C01E1">
            <w:pPr>
              <w:widowControl w:val="0"/>
              <w:numPr>
                <w:ilvl w:val="0"/>
                <w:numId w:val="20"/>
              </w:numPr>
              <w:autoSpaceDE w:val="0"/>
              <w:autoSpaceDN w:val="0"/>
              <w:spacing w:line="276" w:lineRule="auto"/>
              <w:ind w:left="714" w:hanging="357"/>
              <w:jc w:val="both"/>
              <w:rPr>
                <w:rFonts w:ascii="Verdana" w:eastAsia="Aptos" w:hAnsi="Verdana" w:cs="Arial"/>
              </w:rPr>
            </w:pPr>
            <w:r w:rsidRPr="004C01E1">
              <w:rPr>
                <w:rFonts w:ascii="Verdana" w:eastAsia="Aptos" w:hAnsi="Verdana" w:cs="Arial"/>
              </w:rPr>
              <w:t>GUASTINI, Ricardo. La interpretación de los documentos normativos. Trad. Cesar E. Moreno Primera Edición, Centro Iberoamericano de Investigaciones Jurídicas y Sociales: Derecho Global Editores, México, 2018.</w:t>
            </w:r>
          </w:p>
          <w:p w14:paraId="6D19C0FE" w14:textId="77777777" w:rsidR="004C01E1" w:rsidRPr="004C01E1" w:rsidRDefault="004C01E1" w:rsidP="004C01E1">
            <w:pPr>
              <w:widowControl w:val="0"/>
              <w:numPr>
                <w:ilvl w:val="0"/>
                <w:numId w:val="20"/>
              </w:numPr>
              <w:autoSpaceDE w:val="0"/>
              <w:autoSpaceDN w:val="0"/>
              <w:spacing w:line="276" w:lineRule="auto"/>
              <w:ind w:left="714" w:hanging="357"/>
              <w:jc w:val="both"/>
              <w:rPr>
                <w:rFonts w:ascii="Verdana" w:eastAsia="Aptos" w:hAnsi="Verdana" w:cs="Arial"/>
              </w:rPr>
            </w:pPr>
            <w:r w:rsidRPr="004C01E1">
              <w:rPr>
                <w:rFonts w:ascii="Verdana" w:eastAsia="Aptos" w:hAnsi="Verdana" w:cs="Arial"/>
                <w:color w:val="000000"/>
                <w:lang w:val="es-ES"/>
              </w:rPr>
              <w:t xml:space="preserve">GARCÍA DE ENTERRÍA, Eduardo. La lucha contra las inmunidades del poder en el derecho administrativo. 3ª ed. Madrid: </w:t>
            </w:r>
            <w:proofErr w:type="spellStart"/>
            <w:r w:rsidRPr="004C01E1">
              <w:rPr>
                <w:rFonts w:ascii="Verdana" w:eastAsia="Aptos" w:hAnsi="Verdana" w:cs="Arial"/>
                <w:color w:val="000000"/>
                <w:lang w:val="es-ES"/>
              </w:rPr>
              <w:t>Civitas</w:t>
            </w:r>
            <w:proofErr w:type="spellEnd"/>
            <w:r w:rsidRPr="004C01E1">
              <w:rPr>
                <w:rFonts w:ascii="Verdana" w:eastAsia="Aptos" w:hAnsi="Verdana" w:cs="Arial"/>
                <w:color w:val="000000"/>
                <w:lang w:val="es-ES"/>
              </w:rPr>
              <w:t>, 1983</w:t>
            </w:r>
          </w:p>
        </w:tc>
      </w:tr>
    </w:tbl>
    <w:p w14:paraId="79439542" w14:textId="77777777" w:rsidR="004C01E1" w:rsidRPr="004C01E1" w:rsidRDefault="004C01E1" w:rsidP="004C01E1">
      <w:pPr>
        <w:widowControl w:val="0"/>
        <w:autoSpaceDE w:val="0"/>
        <w:autoSpaceDN w:val="0"/>
        <w:spacing w:after="0" w:line="276" w:lineRule="auto"/>
        <w:jc w:val="both"/>
        <w:rPr>
          <w:rFonts w:ascii="Verdana" w:eastAsia="Aptos" w:hAnsi="Verdana" w:cs="Arial"/>
          <w:kern w:val="2"/>
          <w:sz w:val="24"/>
          <w:szCs w:val="24"/>
          <w14:ligatures w14:val="standardContextual"/>
        </w:rPr>
      </w:pPr>
    </w:p>
    <w:p w14:paraId="30C2070E" w14:textId="77777777" w:rsidR="004C01E1" w:rsidRPr="004C01E1" w:rsidRDefault="004C01E1" w:rsidP="004C01E1">
      <w:pPr>
        <w:numPr>
          <w:ilvl w:val="0"/>
          <w:numId w:val="16"/>
        </w:numPr>
        <w:tabs>
          <w:tab w:val="left" w:pos="142"/>
          <w:tab w:val="left" w:pos="284"/>
        </w:tabs>
        <w:spacing w:after="0" w:line="276" w:lineRule="auto"/>
        <w:ind w:left="0" w:firstLine="0"/>
        <w:jc w:val="both"/>
        <w:rPr>
          <w:rFonts w:ascii="Verdana" w:eastAsia="Century Gothic" w:hAnsi="Verdana" w:cs="Century Gothic"/>
          <w:b/>
          <w:bCs/>
          <w:kern w:val="2"/>
          <w:sz w:val="24"/>
          <w:szCs w:val="24"/>
          <w14:ligatures w14:val="standardContextual"/>
        </w:rPr>
      </w:pPr>
      <w:r w:rsidRPr="004C01E1">
        <w:rPr>
          <w:rFonts w:ascii="Verdana" w:eastAsia="Century Gothic" w:hAnsi="Verdana" w:cs="Century Gothic"/>
          <w:b/>
          <w:bCs/>
          <w:kern w:val="2"/>
          <w:sz w:val="24"/>
          <w:szCs w:val="24"/>
          <w14:ligatures w14:val="standardContextual"/>
        </w:rPr>
        <w:t>Doctrina de la Agencia Nacional de Contratación Pública:</w:t>
      </w:r>
    </w:p>
    <w:p w14:paraId="1E956427" w14:textId="77777777" w:rsidR="004C01E1" w:rsidRPr="004C01E1" w:rsidRDefault="004C01E1" w:rsidP="004C01E1">
      <w:pPr>
        <w:widowControl w:val="0"/>
        <w:autoSpaceDE w:val="0"/>
        <w:autoSpaceDN w:val="0"/>
        <w:spacing w:after="0" w:line="276" w:lineRule="auto"/>
        <w:jc w:val="both"/>
        <w:rPr>
          <w:rFonts w:ascii="Verdana" w:eastAsia="Aptos" w:hAnsi="Verdana" w:cs="Arial"/>
          <w:kern w:val="2"/>
          <w:sz w:val="24"/>
          <w:szCs w:val="24"/>
          <w14:ligatures w14:val="standardContextual"/>
        </w:rPr>
      </w:pPr>
    </w:p>
    <w:p w14:paraId="642FEB41" w14:textId="77777777" w:rsidR="004C01E1" w:rsidRPr="004C01E1" w:rsidRDefault="004C01E1" w:rsidP="004C01E1">
      <w:pPr>
        <w:widowControl w:val="0"/>
        <w:autoSpaceDE w:val="0"/>
        <w:autoSpaceDN w:val="0"/>
        <w:spacing w:after="0" w:line="276" w:lineRule="auto"/>
        <w:jc w:val="both"/>
        <w:rPr>
          <w:rFonts w:ascii="Verdana" w:eastAsia="Times New Roman" w:hAnsi="Verdana" w:cs="Times New Roman"/>
          <w:kern w:val="2"/>
          <w:lang w:eastAsia="es-CO"/>
          <w14:ligatures w14:val="standardContextual"/>
        </w:rPr>
      </w:pPr>
      <w:r w:rsidRPr="004C01E1">
        <w:rPr>
          <w:rFonts w:ascii="Verdana" w:eastAsia="Calibri" w:hAnsi="Verdana" w:cs="Arial"/>
          <w:kern w:val="2"/>
          <w:shd w:val="clear" w:color="auto" w:fill="FFFFFF"/>
          <w:lang w:val="es-ES"/>
          <w14:ligatures w14:val="standardContextual"/>
        </w:rPr>
        <w:t xml:space="preserve">La Agencia Nacional de Contratación Pública − Colombia Compra Eficiente se pronunció </w:t>
      </w:r>
      <w:r w:rsidRPr="004C01E1">
        <w:rPr>
          <w:rFonts w:ascii="Verdana" w:eastAsia="Calibri" w:hAnsi="Verdana" w:cs="Times New Roman"/>
          <w:kern w:val="2"/>
          <w:lang w:eastAsia="es-ES"/>
          <w14:ligatures w14:val="standardContextual"/>
        </w:rPr>
        <w:t xml:space="preserve">sobre la naturaleza jurídica, régimen de contratación de las empresas industriales y comerciales del Estado en los </w:t>
      </w:r>
      <w:r w:rsidRPr="004C01E1">
        <w:rPr>
          <w:rFonts w:ascii="Verdana" w:eastAsia="Calibri" w:hAnsi="Verdana" w:cs="Arial"/>
          <w:kern w:val="2"/>
          <w14:ligatures w14:val="standardContextual"/>
        </w:rPr>
        <w:t>conceptos 2201913000009314 del 17 de diciembre de 2019 –dentro del radicado 4201913000001662–, C-251 del 27 de mayo de 2020, C–253 de 2 de junio de 2021 , C-280 del 6 de julio de 2020, C-616 de 3 de noviembre de 2021</w:t>
      </w:r>
      <w:r w:rsidRPr="004C01E1">
        <w:rPr>
          <w:rFonts w:ascii="Verdana" w:eastAsia="Times New Roman" w:hAnsi="Verdana" w:cs="Times New Roman"/>
          <w:kern w:val="2"/>
          <w:lang w:eastAsia="es-CO"/>
          <w14:ligatures w14:val="standardContextual"/>
        </w:rPr>
        <w:t>, C-176 del 6 de abril de 2022 , C-857 de 13 diciembre de 2022 y C-501 de 30 de septiembre de 2024.</w:t>
      </w:r>
    </w:p>
    <w:p w14:paraId="1D611A92" w14:textId="77777777" w:rsidR="004C01E1" w:rsidRPr="004C01E1" w:rsidRDefault="004C01E1" w:rsidP="004C01E1">
      <w:pPr>
        <w:widowControl w:val="0"/>
        <w:autoSpaceDE w:val="0"/>
        <w:autoSpaceDN w:val="0"/>
        <w:spacing w:after="0" w:line="276" w:lineRule="auto"/>
        <w:jc w:val="both"/>
        <w:rPr>
          <w:rFonts w:ascii="Verdana" w:eastAsia="Aptos" w:hAnsi="Verdana" w:cs="Arial"/>
          <w:kern w:val="2"/>
          <w14:ligatures w14:val="standardContextual"/>
        </w:rPr>
      </w:pPr>
    </w:p>
    <w:p w14:paraId="3145137B" w14:textId="77777777" w:rsidR="004C01E1" w:rsidRPr="004C01E1" w:rsidRDefault="004C01E1" w:rsidP="004C01E1">
      <w:pPr>
        <w:tabs>
          <w:tab w:val="left" w:pos="0"/>
        </w:tabs>
        <w:spacing w:after="120" w:line="276" w:lineRule="auto"/>
        <w:jc w:val="both"/>
        <w:rPr>
          <w:rFonts w:ascii="Verdana" w:eastAsia="Times New Roman" w:hAnsi="Verdana" w:cs="Arial"/>
          <w:kern w:val="2"/>
          <w:lang w:eastAsia="es-ES_tradnl"/>
          <w14:ligatures w14:val="standardContextual"/>
        </w:rPr>
      </w:pPr>
      <w:r w:rsidRPr="004C01E1">
        <w:rPr>
          <w:rFonts w:ascii="Verdana" w:eastAsia="Calibri" w:hAnsi="Verdana" w:cs="Arial"/>
          <w:kern w:val="2"/>
          <w:lang w:val="es-ES" w:eastAsia="es-ES_tradnl"/>
          <w14:ligatures w14:val="standardContextual"/>
        </w:rPr>
        <w:t xml:space="preserve">Por otra parte, la </w:t>
      </w:r>
      <w:r w:rsidRPr="004C01E1">
        <w:rPr>
          <w:rFonts w:ascii="Verdana" w:eastAsia="Calibri" w:hAnsi="Verdana" w:cs="Arial"/>
          <w:kern w:val="2"/>
          <w:shd w:val="clear" w:color="auto" w:fill="FFFFFF"/>
          <w:lang w:val="es-ES"/>
          <w14:ligatures w14:val="standardContextual"/>
        </w:rPr>
        <w:t xml:space="preserve">Agencia Nacional de Contratación Pública − Colombia Compra Eficiente, </w:t>
      </w:r>
      <w:r w:rsidRPr="004C01E1">
        <w:rPr>
          <w:rFonts w:ascii="Verdana" w:eastAsia="Times New Roman" w:hAnsi="Verdana" w:cs="Arial"/>
          <w:kern w:val="2"/>
          <w:lang w:val="es-ES_tradnl" w:eastAsia="es-ES_tradnl"/>
          <w14:ligatures w14:val="standardContextual"/>
        </w:rPr>
        <w:t xml:space="preserve">se ha pronunciado sobre </w:t>
      </w:r>
      <w:r w:rsidRPr="004C01E1">
        <w:rPr>
          <w:rFonts w:ascii="Verdana" w:eastAsia="Times New Roman" w:hAnsi="Verdana" w:cs="Arial"/>
          <w:kern w:val="2"/>
          <w:lang w:eastAsia="es-ES_tradnl"/>
          <w14:ligatures w14:val="standardContextual"/>
        </w:rPr>
        <w:t xml:space="preserve">el alcance del artículo 56 de la Ley 2195 de 2022, específicamente, a partir del concepto C-066 del 28 de enero de 2022, cuya tesis se desarrolló y complementó los conceptos C-320 del 20 de mayo de 2022, C-333 del 24 de mayo de 2022, C-404 del 26 de mayo de 2023, C-382 del 27 de mayo de 2022, C-388 del 15 de junio de 2022, C-423 del 5 de julio de 2022, C-435 del 6 de julio de 2023, C-453 del 15 de julio de 2022, C-494 del 26 de julio de 2022, C-483 del 5 de agosto de 2022, C-496 del 3 de agosto de 2022, C-556 del 3 de agosto de 2022, C-532 del 22 de agosto de 2022, C-341 del 27 de mayo de 2022, C-382 del 27 de mayo de 2022, C-449 del 25 de julio de 2022, C-453 del 14 de julio de 2022,  C-488 del 29 de julio de 2022, C-494 del 28 de julio de 2022, C-501 del 29 de julio de 2022 y C-155 del 7 de marzo de 2025, </w:t>
      </w:r>
      <w:r w:rsidRPr="004C01E1">
        <w:rPr>
          <w:rFonts w:ascii="Verdana" w:eastAsia="Times New Roman" w:hAnsi="Verdana" w:cs="Arial"/>
          <w:lang w:eastAsia="es-ES_tradnl"/>
        </w:rPr>
        <w:t xml:space="preserve">C-202 del 26 de marzo de 2025 y C-298 del 16 de abril de 2025, </w:t>
      </w:r>
      <w:r w:rsidRPr="004C01E1">
        <w:rPr>
          <w:rFonts w:ascii="Verdana" w:eastAsia="Times New Roman" w:hAnsi="Verdana" w:cs="Arial"/>
          <w:kern w:val="2"/>
          <w:lang w:eastAsia="es-ES_tradnl"/>
          <w14:ligatures w14:val="standardContextual"/>
        </w:rPr>
        <w:t xml:space="preserve">entre otros. </w:t>
      </w:r>
    </w:p>
    <w:p w14:paraId="42091140" w14:textId="77777777" w:rsidR="004C01E1" w:rsidRPr="004C01E1" w:rsidRDefault="004C01E1" w:rsidP="004C01E1">
      <w:pPr>
        <w:widowControl w:val="0"/>
        <w:autoSpaceDE w:val="0"/>
        <w:autoSpaceDN w:val="0"/>
        <w:spacing w:after="0" w:line="276" w:lineRule="auto"/>
        <w:jc w:val="both"/>
        <w:rPr>
          <w:rFonts w:ascii="Verdana" w:eastAsia="Aptos" w:hAnsi="Verdana" w:cs="Arial"/>
          <w:color w:val="000000"/>
          <w:kern w:val="2"/>
          <w:sz w:val="24"/>
          <w:szCs w:val="24"/>
          <w:shd w:val="clear" w:color="auto" w:fill="FFFFFF"/>
          <w14:ligatures w14:val="standardContextual"/>
        </w:rPr>
      </w:pPr>
      <w:r w:rsidRPr="004C01E1">
        <w:rPr>
          <w:rFonts w:ascii="Verdana" w:eastAsia="Times New Roman" w:hAnsi="Verdana" w:cs="Arial"/>
          <w:kern w:val="2"/>
          <w:lang w:eastAsia="es-ES_tradnl"/>
          <w14:ligatures w14:val="standardContextual"/>
        </w:rPr>
        <w:t xml:space="preserve">Sobre el Sistema Electrónico para la Contratación Pública – SECOP, esta </w:t>
      </w:r>
      <w:r w:rsidRPr="004C01E1">
        <w:rPr>
          <w:rFonts w:ascii="Verdana" w:eastAsia="Times New Roman" w:hAnsi="Verdana" w:cs="Arial"/>
          <w:kern w:val="2"/>
          <w:lang w:eastAsia="es-ES_tradnl"/>
          <w14:ligatures w14:val="standardContextual"/>
        </w:rPr>
        <w:lastRenderedPageBreak/>
        <w:t xml:space="preserve">Subdirección se ha referido en los Conceptos CU-367 del 23 de julio de 2020, reiterado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y C-472 del 6 de septiembre de 2021.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C-480 del 18 de julio de 2022, C- 544 del 29 de agosto de 2022, C-555 del 6 de septiembre de 2022, C- 821 de 29 de noviembre de 2022 y C-071 del 28 de marzo de 2023. Concretamente sobre la aplicación del artículo 53 de la Ley 2195 de 2022, se pronunció en el concepto C-083 del 12 de junio de 2024, C-134 del 30 de julio de 2024, C-872 del 20 de diciembre de 2024, C-941 del 30 de diciembre de 2024, C-009 del 17 de febrero de 2025 y C-139 del 13 de marzo de 2025, entre otros. </w:t>
      </w:r>
    </w:p>
    <w:p w14:paraId="09E203E6" w14:textId="77777777" w:rsidR="004C01E1" w:rsidRPr="004C01E1" w:rsidRDefault="004C01E1" w:rsidP="004C01E1">
      <w:pPr>
        <w:widowControl w:val="0"/>
        <w:autoSpaceDE w:val="0"/>
        <w:autoSpaceDN w:val="0"/>
        <w:spacing w:after="0" w:line="276" w:lineRule="auto"/>
        <w:jc w:val="both"/>
        <w:rPr>
          <w:rFonts w:ascii="Verdana" w:eastAsia="Aptos" w:hAnsi="Verdana" w:cs="Arial"/>
          <w:color w:val="FF0000"/>
          <w:kern w:val="2"/>
          <w:shd w:val="clear" w:color="auto" w:fill="FFFFFF"/>
          <w:lang w:val="es-ES"/>
          <w14:ligatures w14:val="standardContextual"/>
        </w:rPr>
      </w:pPr>
    </w:p>
    <w:p w14:paraId="3EBC46BE" w14:textId="77777777" w:rsidR="004C01E1" w:rsidRPr="004C01E1" w:rsidRDefault="004C01E1" w:rsidP="004C01E1">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4C01E1">
        <w:rPr>
          <w:rFonts w:ascii="Verdana" w:eastAsia="Calibri" w:hAnsi="Verdana" w:cs="Arial"/>
          <w:color w:val="000000"/>
          <w:kern w:val="2"/>
          <w:shd w:val="clear" w:color="auto" w:fill="FFFFFF"/>
          <w14:ligatures w14:val="standardContextual"/>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1" w:tgtFrame="_blank" w:tooltip="Dirección URL original: https://relatoria.colombiacompra.gov.co/. Haga clic o pulse si confía en este vínculo." w:history="1">
        <w:r w:rsidRPr="004C01E1">
          <w:rPr>
            <w:rFonts w:ascii="Verdana" w:eastAsia="Calibri" w:hAnsi="Verdana" w:cs="Arial"/>
            <w:color w:val="000000"/>
            <w:kern w:val="2"/>
            <w:u w:val="single"/>
            <w:shd w:val="clear" w:color="auto" w:fill="FFFFFF"/>
            <w14:ligatures w14:val="standardContextual"/>
          </w:rPr>
          <w:t>https://relatoria.colombiacompra.gov.co/</w:t>
        </w:r>
      </w:hyperlink>
      <w:r w:rsidRPr="004C01E1">
        <w:rPr>
          <w:rFonts w:ascii="Verdana" w:eastAsia="Calibri" w:hAnsi="Verdana" w:cs="Arial"/>
          <w:color w:val="000000"/>
          <w:kern w:val="2"/>
          <w:shd w:val="clear" w:color="auto" w:fill="FFFFFF"/>
          <w14:ligatures w14:val="standardContextual"/>
        </w:rPr>
        <w:t> .</w:t>
      </w:r>
    </w:p>
    <w:p w14:paraId="57F2BA72" w14:textId="77777777" w:rsidR="004C01E1" w:rsidRDefault="004C01E1" w:rsidP="004C01E1">
      <w:pPr>
        <w:spacing w:after="0" w:line="240" w:lineRule="auto"/>
        <w:jc w:val="both"/>
        <w:rPr>
          <w:rFonts w:ascii="Verdana" w:eastAsia="Calibri" w:hAnsi="Verdana" w:cs="Arial"/>
          <w:color w:val="000000"/>
          <w:kern w:val="2"/>
          <w:shd w:val="clear" w:color="auto" w:fill="FFFFFF"/>
          <w14:ligatures w14:val="standardContextual"/>
        </w:rPr>
      </w:pPr>
    </w:p>
    <w:p w14:paraId="74A2E27D" w14:textId="77777777" w:rsidR="005B1C8A" w:rsidRPr="00F36DFE" w:rsidRDefault="005B1C8A" w:rsidP="004C01E1">
      <w:pPr>
        <w:spacing w:after="0" w:line="240" w:lineRule="auto"/>
        <w:jc w:val="both"/>
        <w:rPr>
          <w:rStyle w:val="Hipervnculo"/>
        </w:rPr>
      </w:pPr>
      <w:r w:rsidRPr="005B1C8A">
        <w:rPr>
          <w:rFonts w:ascii="Verdana" w:eastAsia="Calibri" w:hAnsi="Verdana" w:cs="Arial"/>
          <w:color w:val="000000"/>
          <w:kern w:val="2"/>
          <w:shd w:val="clear" w:color="auto" w:fill="FFFFFF"/>
          <w14:ligatures w14:val="standardContextual"/>
        </w:rPr>
        <w:t xml:space="preserve">La Agencia Nacional de Contratación Pública – Colombia Compra Eficiente invita a las Entidades Estatales, a los actores del Sistema de Compra Pública y a la ciudadanía en general a conocer y participar en la actualización de la Guía para la Elaboración de Estudios del Sector.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r w:rsidRPr="00F36DFE">
        <w:rPr>
          <w:rStyle w:val="Hipervnculo"/>
          <w:rFonts w:ascii="Verdana" w:hAnsi="Verdana"/>
        </w:rPr>
        <w:t>https://www.colombiacompra.gov.co/archivos/convocatoria/participacio n-ciudadana-proyecto-de-la-</w:t>
      </w:r>
      <w:proofErr w:type="spellStart"/>
      <w:r w:rsidRPr="00F36DFE">
        <w:rPr>
          <w:rStyle w:val="Hipervnculo"/>
          <w:rFonts w:ascii="Verdana" w:hAnsi="Verdana"/>
        </w:rPr>
        <w:t>guia</w:t>
      </w:r>
      <w:proofErr w:type="spellEnd"/>
      <w:r w:rsidRPr="00F36DFE">
        <w:rPr>
          <w:rStyle w:val="Hipervnculo"/>
          <w:rFonts w:ascii="Verdana" w:hAnsi="Verdana"/>
        </w:rPr>
        <w:t>-</w:t>
      </w:r>
      <w:proofErr w:type="spellStart"/>
      <w:r w:rsidRPr="00F36DFE">
        <w:rPr>
          <w:rStyle w:val="Hipervnculo"/>
          <w:rFonts w:ascii="Verdana" w:hAnsi="Verdana"/>
        </w:rPr>
        <w:t>para-la</w:t>
      </w:r>
      <w:proofErr w:type="spellEnd"/>
    </w:p>
    <w:p w14:paraId="1AAFA1E0" w14:textId="77777777" w:rsidR="005B1C8A" w:rsidRDefault="005B1C8A" w:rsidP="004C01E1">
      <w:pPr>
        <w:spacing w:after="0" w:line="240" w:lineRule="auto"/>
        <w:jc w:val="both"/>
        <w:rPr>
          <w:rFonts w:ascii="Verdana" w:eastAsia="Calibri" w:hAnsi="Verdana" w:cs="Arial"/>
          <w:color w:val="000000"/>
          <w:kern w:val="2"/>
          <w:shd w:val="clear" w:color="auto" w:fill="FFFFFF"/>
          <w14:ligatures w14:val="standardContextual"/>
        </w:rPr>
      </w:pPr>
    </w:p>
    <w:p w14:paraId="3E3B4CF3" w14:textId="77777777" w:rsidR="0039051D" w:rsidRDefault="005B1C8A" w:rsidP="004C01E1">
      <w:pPr>
        <w:spacing w:after="0" w:line="240" w:lineRule="auto"/>
        <w:jc w:val="both"/>
        <w:rPr>
          <w:rFonts w:ascii="Verdana" w:eastAsia="Calibri" w:hAnsi="Verdana" w:cs="Arial"/>
          <w:color w:val="000000"/>
          <w:kern w:val="2"/>
          <w:shd w:val="clear" w:color="auto" w:fill="FFFFFF"/>
          <w14:ligatures w14:val="standardContextual"/>
        </w:rPr>
      </w:pPr>
      <w:r w:rsidRPr="005B1C8A">
        <w:rPr>
          <w:rFonts w:ascii="Verdana" w:eastAsia="Calibri" w:hAnsi="Verdana" w:cs="Arial"/>
          <w:color w:val="000000"/>
          <w:kern w:val="2"/>
          <w:shd w:val="clear" w:color="auto" w:fill="FFFFFF"/>
          <w14:ligatures w14:val="standardContextual"/>
        </w:rPr>
        <w:t xml:space="preserve">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w:t>
      </w:r>
      <w:r w:rsidRPr="005B1C8A">
        <w:rPr>
          <w:rFonts w:ascii="Verdana" w:eastAsia="Calibri" w:hAnsi="Verdana" w:cs="Arial"/>
          <w:color w:val="000000"/>
          <w:kern w:val="2"/>
          <w:shd w:val="clear" w:color="auto" w:fill="FFFFFF"/>
          <w14:ligatures w14:val="standardContextual"/>
        </w:rPr>
        <w:lastRenderedPageBreak/>
        <w:t xml:space="preserve">mínima cuantía para comentarios. Dichos documentos estarán publicados hasta el próximo 23 de mayo de 2025. Puede consultar la información en el siguiente enlace: </w:t>
      </w:r>
      <w:r w:rsidRPr="00F36DFE">
        <w:rPr>
          <w:rStyle w:val="Hipervnculo"/>
          <w:rFonts w:ascii="Verdana" w:hAnsi="Verdana"/>
        </w:rPr>
        <w:t>Documentos Tipo – ANCP Colombia Compra Eficiente</w:t>
      </w:r>
      <w:r w:rsidRPr="005B1C8A">
        <w:rPr>
          <w:rFonts w:ascii="Verdana" w:eastAsia="Calibri" w:hAnsi="Verdana" w:cs="Arial"/>
          <w:color w:val="000000"/>
          <w:kern w:val="2"/>
          <w:shd w:val="clear" w:color="auto" w:fill="FFFFFF"/>
          <w14:ligatures w14:val="standardContextual"/>
        </w:rPr>
        <w:t xml:space="preserve"> </w:t>
      </w:r>
    </w:p>
    <w:p w14:paraId="24A845D7" w14:textId="77777777" w:rsidR="0039051D" w:rsidRDefault="0039051D" w:rsidP="004C01E1">
      <w:pPr>
        <w:spacing w:after="0" w:line="240" w:lineRule="auto"/>
        <w:jc w:val="both"/>
        <w:rPr>
          <w:rFonts w:ascii="Verdana" w:eastAsia="Calibri" w:hAnsi="Verdana" w:cs="Arial"/>
          <w:color w:val="000000"/>
          <w:kern w:val="2"/>
          <w:shd w:val="clear" w:color="auto" w:fill="FFFFFF"/>
          <w14:ligatures w14:val="standardContextual"/>
        </w:rPr>
      </w:pPr>
    </w:p>
    <w:p w14:paraId="5B80E2A1" w14:textId="0D5EE750" w:rsidR="00A07529" w:rsidRDefault="005B1C8A" w:rsidP="004C01E1">
      <w:pPr>
        <w:spacing w:after="0" w:line="240" w:lineRule="auto"/>
        <w:jc w:val="both"/>
        <w:rPr>
          <w:rFonts w:ascii="Verdana" w:eastAsia="Calibri" w:hAnsi="Verdana" w:cs="Arial"/>
          <w:color w:val="000000"/>
          <w:kern w:val="2"/>
          <w:shd w:val="clear" w:color="auto" w:fill="FFFFFF"/>
          <w14:ligatures w14:val="standardContextual"/>
        </w:rPr>
      </w:pPr>
      <w:r w:rsidRPr="005B1C8A">
        <w:rPr>
          <w:rFonts w:ascii="Verdana" w:eastAsia="Calibri" w:hAnsi="Verdana" w:cs="Arial"/>
          <w:color w:val="000000"/>
          <w:kern w:val="2"/>
          <w:shd w:val="clear" w:color="auto" w:fill="FFFFFF"/>
          <w14:ligatures w14:val="standardContextual"/>
        </w:rPr>
        <w:t xml:space="preserve">También le contamos que ya se encuentra disponible la Guía de lineamientos de transparencia y selección objetiva para el departamento de La Guajira – Objetivo sexto constitucional de la Sentencia T-302 del 2017. 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5B1C8A">
        <w:rPr>
          <w:rFonts w:ascii="Verdana" w:eastAsia="Calibri" w:hAnsi="Verdana" w:cs="Arial"/>
          <w:color w:val="000000"/>
          <w:kern w:val="2"/>
          <w:shd w:val="clear" w:color="auto" w:fill="FFFFFF"/>
          <w14:ligatures w14:val="standardContextual"/>
        </w:rPr>
        <w:t>Wayúu</w:t>
      </w:r>
      <w:proofErr w:type="spellEnd"/>
      <w:r w:rsidRPr="005B1C8A">
        <w:rPr>
          <w:rFonts w:ascii="Verdana" w:eastAsia="Calibri" w:hAnsi="Verdana" w:cs="Arial"/>
          <w:color w:val="000000"/>
          <w:kern w:val="2"/>
          <w:shd w:val="clear" w:color="auto" w:fill="FFFFFF"/>
          <w14:ligatures w14:val="standardContextual"/>
        </w:rPr>
        <w:t xml:space="preserve">. Puede consultar la guía en el siguiente enlace: </w:t>
      </w:r>
      <w:hyperlink r:id="rId12" w:history="1">
        <w:r w:rsidR="00B1685F" w:rsidRPr="00595E51">
          <w:rPr>
            <w:rStyle w:val="Hipervnculo"/>
            <w:rFonts w:ascii="Verdana" w:eastAsia="Calibri" w:hAnsi="Verdana" w:cs="Arial"/>
            <w:kern w:val="2"/>
            <w:shd w:val="clear" w:color="auto" w:fill="FFFFFF"/>
            <w14:ligatures w14:val="standardContextual"/>
          </w:rPr>
          <w:t>https://www.colombiacompra.gov.co/wp-content/uploads/2025/05/GUIA-DE-LINEAMIENTOS-DE-TRANSPARENCIA-Y-SELECCION-OBJETIVA-1.0.pdf</w:t>
        </w:r>
      </w:hyperlink>
    </w:p>
    <w:p w14:paraId="06397918" w14:textId="77777777" w:rsidR="005B1C8A" w:rsidRPr="004C01E1" w:rsidRDefault="005B1C8A" w:rsidP="004C01E1">
      <w:pPr>
        <w:spacing w:after="0" w:line="240" w:lineRule="auto"/>
        <w:jc w:val="both"/>
        <w:rPr>
          <w:rFonts w:ascii="Verdana" w:eastAsia="Calibri" w:hAnsi="Verdana" w:cs="Arial"/>
          <w:color w:val="000000"/>
          <w:kern w:val="2"/>
          <w:shd w:val="clear" w:color="auto" w:fill="FFFFFF"/>
          <w14:ligatures w14:val="standardContextual"/>
        </w:rPr>
      </w:pPr>
    </w:p>
    <w:p w14:paraId="4B93A788" w14:textId="77777777" w:rsidR="004C01E1" w:rsidRPr="004C01E1" w:rsidRDefault="004C01E1" w:rsidP="004C01E1">
      <w:pPr>
        <w:spacing w:after="0" w:line="240" w:lineRule="auto"/>
        <w:jc w:val="both"/>
        <w:rPr>
          <w:rFonts w:ascii="Verdana" w:eastAsia="Aptos" w:hAnsi="Verdana" w:cs="Times New Roman"/>
          <w:kern w:val="2"/>
          <w14:ligatures w14:val="standardContextual"/>
        </w:rPr>
      </w:pPr>
      <w:r w:rsidRPr="004C01E1">
        <w:rPr>
          <w:rFonts w:ascii="Verdana" w:eastAsia="Aptos" w:hAnsi="Verdana" w:cs="Times New Roman"/>
          <w:kern w:val="2"/>
          <w14:ligatures w14:val="standardContextual"/>
        </w:rPr>
        <w:t>Por último, lo invitamos a seguirnos en las redes sociales en las cuales se difunde información institucional:</w:t>
      </w:r>
    </w:p>
    <w:p w14:paraId="7A8EDADA" w14:textId="77777777" w:rsidR="004C01E1" w:rsidRPr="004C01E1" w:rsidRDefault="004C01E1" w:rsidP="004C01E1">
      <w:pPr>
        <w:spacing w:after="0" w:line="240" w:lineRule="auto"/>
        <w:jc w:val="both"/>
        <w:rPr>
          <w:rFonts w:ascii="Verdana" w:eastAsia="Aptos" w:hAnsi="Verdana" w:cs="Times New Roman"/>
          <w:kern w:val="2"/>
          <w14:ligatures w14:val="standardContextual"/>
        </w:rPr>
      </w:pPr>
    </w:p>
    <w:p w14:paraId="556EE437" w14:textId="77777777" w:rsidR="004C01E1" w:rsidRPr="004C01E1" w:rsidRDefault="004C01E1" w:rsidP="004C01E1">
      <w:pPr>
        <w:spacing w:after="0" w:line="240" w:lineRule="auto"/>
        <w:jc w:val="both"/>
        <w:rPr>
          <w:rFonts w:ascii="Verdana" w:eastAsia="Aptos" w:hAnsi="Verdana" w:cs="Times New Roman"/>
          <w:kern w:val="2"/>
          <w14:ligatures w14:val="standardContextual"/>
        </w:rPr>
      </w:pPr>
      <w:r w:rsidRPr="004C01E1">
        <w:rPr>
          <w:rFonts w:ascii="Verdana" w:eastAsia="Aptos" w:hAnsi="Verdana" w:cs="Times New Roman"/>
          <w:kern w:val="2"/>
          <w14:ligatures w14:val="standardContextual"/>
        </w:rPr>
        <w:t xml:space="preserve">Twitter: </w:t>
      </w:r>
      <w:r w:rsidRPr="004C01E1">
        <w:rPr>
          <w:rFonts w:ascii="Verdana" w:eastAsia="Aptos" w:hAnsi="Verdana" w:cs="Times New Roman"/>
          <w:color w:val="156082"/>
          <w:kern w:val="2"/>
          <w:u w:val="single"/>
          <w14:ligatures w14:val="standardContextual"/>
        </w:rPr>
        <w:t>@colombiacompra</w:t>
      </w:r>
      <w:r w:rsidRPr="004C01E1">
        <w:rPr>
          <w:rFonts w:ascii="Verdana" w:eastAsia="Aptos" w:hAnsi="Verdana" w:cs="Times New Roman"/>
          <w:color w:val="156082"/>
          <w:kern w:val="2"/>
          <w14:ligatures w14:val="standardContextual"/>
        </w:rPr>
        <w:t xml:space="preserve"> </w:t>
      </w:r>
    </w:p>
    <w:p w14:paraId="1A35F81C" w14:textId="77777777" w:rsidR="004C01E1" w:rsidRPr="004C01E1" w:rsidRDefault="004C01E1" w:rsidP="004C01E1">
      <w:pPr>
        <w:spacing w:after="0" w:line="240" w:lineRule="auto"/>
        <w:jc w:val="both"/>
        <w:rPr>
          <w:rFonts w:ascii="Verdana" w:eastAsia="Aptos" w:hAnsi="Verdana" w:cs="Times New Roman"/>
          <w:kern w:val="2"/>
          <w14:ligatures w14:val="standardContextual"/>
        </w:rPr>
      </w:pPr>
      <w:r w:rsidRPr="004C01E1">
        <w:rPr>
          <w:rFonts w:ascii="Verdana" w:eastAsia="Aptos" w:hAnsi="Verdana" w:cs="Times New Roman"/>
          <w:kern w:val="2"/>
          <w14:ligatures w14:val="standardContextual"/>
        </w:rPr>
        <w:t xml:space="preserve">Facebook: </w:t>
      </w:r>
      <w:proofErr w:type="spellStart"/>
      <w:r w:rsidRPr="004C01E1">
        <w:rPr>
          <w:rFonts w:ascii="Verdana" w:eastAsia="Aptos" w:hAnsi="Verdana" w:cs="Times New Roman"/>
          <w:color w:val="156082"/>
          <w:kern w:val="2"/>
          <w:u w:val="single"/>
          <w14:ligatures w14:val="standardContextual"/>
        </w:rPr>
        <w:t>ColombiaCompraEficiente</w:t>
      </w:r>
      <w:proofErr w:type="spellEnd"/>
    </w:p>
    <w:p w14:paraId="237C13C1" w14:textId="77777777" w:rsidR="004C01E1" w:rsidRPr="004C01E1" w:rsidRDefault="004C01E1" w:rsidP="004C01E1">
      <w:pPr>
        <w:spacing w:after="0" w:line="240" w:lineRule="auto"/>
        <w:jc w:val="both"/>
        <w:rPr>
          <w:rFonts w:ascii="Verdana" w:eastAsia="Aptos" w:hAnsi="Verdana" w:cs="Times New Roman"/>
          <w:kern w:val="2"/>
          <w14:ligatures w14:val="standardContextual"/>
        </w:rPr>
      </w:pPr>
      <w:r w:rsidRPr="004C01E1">
        <w:rPr>
          <w:rFonts w:ascii="Verdana" w:eastAsia="Aptos" w:hAnsi="Verdana" w:cs="Times New Roman"/>
          <w:kern w:val="2"/>
          <w14:ligatures w14:val="standardContextual"/>
        </w:rPr>
        <w:t xml:space="preserve">LinkedIn: </w:t>
      </w:r>
      <w:r w:rsidRPr="004C01E1">
        <w:rPr>
          <w:rFonts w:ascii="Verdana" w:eastAsia="Aptos" w:hAnsi="Verdana" w:cs="Times New Roman"/>
          <w:color w:val="156082"/>
          <w:kern w:val="2"/>
          <w:u w:val="single"/>
          <w14:ligatures w14:val="standardContextual"/>
        </w:rPr>
        <w:t>Agencia Nacional de Contratación Pública - Colombia Compra Eficiente</w:t>
      </w:r>
      <w:r w:rsidRPr="004C01E1">
        <w:rPr>
          <w:rFonts w:ascii="Verdana" w:eastAsia="Aptos" w:hAnsi="Verdana" w:cs="Times New Roman"/>
          <w:color w:val="156082"/>
          <w:kern w:val="2"/>
          <w14:ligatures w14:val="standardContextual"/>
        </w:rPr>
        <w:t xml:space="preserve"> </w:t>
      </w:r>
      <w:r w:rsidRPr="004C01E1">
        <w:rPr>
          <w:rFonts w:ascii="Verdana" w:eastAsia="Aptos" w:hAnsi="Verdana" w:cs="Times New Roman"/>
          <w:kern w:val="2"/>
          <w14:ligatures w14:val="standardContextual"/>
        </w:rPr>
        <w:t xml:space="preserve">Instagram: </w:t>
      </w:r>
      <w:r w:rsidRPr="004C01E1">
        <w:rPr>
          <w:rFonts w:ascii="Verdana" w:eastAsia="Aptos" w:hAnsi="Verdana" w:cs="Times New Roman"/>
          <w:color w:val="156082"/>
          <w:kern w:val="2"/>
          <w:u w:val="single"/>
          <w14:ligatures w14:val="standardContextual"/>
        </w:rPr>
        <w:t>@colombiacompraeficiente_cce</w:t>
      </w:r>
    </w:p>
    <w:p w14:paraId="6A0E94D3" w14:textId="77777777" w:rsidR="004C01E1" w:rsidRPr="004C01E1" w:rsidRDefault="004C01E1" w:rsidP="004C01E1">
      <w:pPr>
        <w:widowControl w:val="0"/>
        <w:autoSpaceDE w:val="0"/>
        <w:autoSpaceDN w:val="0"/>
        <w:spacing w:after="0" w:line="276" w:lineRule="auto"/>
        <w:jc w:val="both"/>
        <w:rPr>
          <w:rFonts w:ascii="Verdana" w:eastAsia="Aptos" w:hAnsi="Verdana" w:cs="Arial"/>
          <w:color w:val="FF0000"/>
          <w:kern w:val="2"/>
          <w:shd w:val="clear" w:color="auto" w:fill="FFFFFF"/>
          <w:lang w:val="es-ES"/>
          <w14:ligatures w14:val="standardContextual"/>
        </w:rPr>
      </w:pPr>
    </w:p>
    <w:p w14:paraId="4C7047F4" w14:textId="77777777" w:rsidR="004C01E1" w:rsidRPr="004C01E1" w:rsidRDefault="004C01E1" w:rsidP="004C01E1">
      <w:pPr>
        <w:widowControl w:val="0"/>
        <w:autoSpaceDE w:val="0"/>
        <w:autoSpaceDN w:val="0"/>
        <w:spacing w:after="0" w:line="276" w:lineRule="auto"/>
        <w:jc w:val="both"/>
        <w:rPr>
          <w:rFonts w:ascii="Verdana" w:eastAsia="Aptos" w:hAnsi="Verdana" w:cs="Arial"/>
          <w:kern w:val="2"/>
          <w:lang w:val="es-ES_tradnl"/>
          <w14:ligatures w14:val="standardContextual"/>
        </w:rPr>
      </w:pPr>
      <w:r w:rsidRPr="004C01E1">
        <w:rPr>
          <w:rFonts w:ascii="Verdana" w:eastAsia="Aptos" w:hAnsi="Verdana" w:cs="Arial"/>
          <w:kern w:val="2"/>
          <w14:ligatures w14:val="standardContextual"/>
        </w:rPr>
        <w:t xml:space="preserve">Este concepto tiene el alcance previsto en el artículo 28 del Código de Procedimiento Administrativo y de lo Contencioso Administrativo </w:t>
      </w:r>
      <w:r w:rsidRPr="004C01E1">
        <w:rPr>
          <w:rFonts w:ascii="Verdana" w:eastAsia="Aptos" w:hAnsi="Verdana" w:cs="Arial"/>
          <w:kern w:val="2"/>
          <w:lang w:val="es-ES_tradnl"/>
          <w14:ligatures w14:val="standardContextual"/>
        </w:rPr>
        <w:t>y las expresiones aquí utilizadas con mayúscula inicial deben ser entendidas con el significado que les otorga el artículo 2.2.1.1.1.3.1. del Decreto 1082 de 2015.</w:t>
      </w:r>
    </w:p>
    <w:p w14:paraId="0A854BA9" w14:textId="77777777" w:rsidR="004C01E1" w:rsidRPr="004C01E1" w:rsidRDefault="004C01E1" w:rsidP="004C01E1">
      <w:pPr>
        <w:widowControl w:val="0"/>
        <w:autoSpaceDE w:val="0"/>
        <w:autoSpaceDN w:val="0"/>
        <w:spacing w:after="0" w:line="276" w:lineRule="auto"/>
        <w:jc w:val="both"/>
        <w:rPr>
          <w:rFonts w:ascii="Verdana" w:eastAsia="Aptos" w:hAnsi="Verdana" w:cs="Arial"/>
          <w:kern w:val="2"/>
          <w14:ligatures w14:val="standardContextual"/>
        </w:rPr>
      </w:pPr>
    </w:p>
    <w:p w14:paraId="36B45B13" w14:textId="77777777" w:rsidR="004C01E1" w:rsidRPr="004C01E1" w:rsidRDefault="004C01E1" w:rsidP="004C01E1">
      <w:pPr>
        <w:spacing w:after="0" w:line="240" w:lineRule="auto"/>
        <w:rPr>
          <w:rFonts w:ascii="Verdana" w:eastAsia="Aptos" w:hAnsi="Verdana" w:cs="Arial"/>
          <w:kern w:val="2"/>
          <w:lang w:eastAsia="es-CO"/>
          <w14:ligatures w14:val="standardContextual"/>
        </w:rPr>
      </w:pPr>
      <w:r w:rsidRPr="004C01E1">
        <w:rPr>
          <w:rFonts w:ascii="Verdana" w:eastAsia="Times New Roman" w:hAnsi="Verdana" w:cs="Arial"/>
          <w:kern w:val="2"/>
          <w:lang w:eastAsia="es-CO"/>
          <w14:ligatures w14:val="standardContextual"/>
        </w:rPr>
        <w:t>Atentamente,</w:t>
      </w:r>
      <w:r w:rsidRPr="004C01E1">
        <w:rPr>
          <w:rFonts w:ascii="Verdana" w:eastAsia="Aptos" w:hAnsi="Verdana" w:cs="Arial"/>
          <w:kern w:val="2"/>
          <w:lang w:eastAsia="es-CO"/>
          <w14:ligatures w14:val="standardContextual"/>
        </w:rPr>
        <w:t xml:space="preserve"> </w:t>
      </w:r>
    </w:p>
    <w:p w14:paraId="6E727A56" w14:textId="6E6A8B69" w:rsidR="004C01E1" w:rsidRPr="004C01E1" w:rsidRDefault="00E412FF" w:rsidP="004C01E1">
      <w:pPr>
        <w:spacing w:after="0" w:line="240" w:lineRule="auto"/>
        <w:jc w:val="center"/>
        <w:rPr>
          <w:rFonts w:ascii="Verdana" w:eastAsia="Aptos" w:hAnsi="Verdana" w:cs="Arial"/>
          <w:kern w:val="2"/>
          <w:sz w:val="24"/>
          <w:szCs w:val="24"/>
          <w:lang w:eastAsia="es-CO"/>
          <w14:ligatures w14:val="standardContextual"/>
        </w:rPr>
      </w:pPr>
      <w:r w:rsidRPr="004D5C25">
        <w:rPr>
          <w:rFonts w:ascii="Century Gothic" w:hAnsi="Century Gothic"/>
          <w:noProof/>
        </w:rPr>
        <w:drawing>
          <wp:inline distT="0" distB="0" distL="0" distR="0" wp14:anchorId="0873405F" wp14:editId="48792E7D">
            <wp:extent cx="2547937" cy="1093844"/>
            <wp:effectExtent l="0" t="0" r="5080"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3"/>
                    <a:stretch>
                      <a:fillRect/>
                    </a:stretch>
                  </pic:blipFill>
                  <pic:spPr>
                    <a:xfrm>
                      <a:off x="0" y="0"/>
                      <a:ext cx="2553823" cy="1096371"/>
                    </a:xfrm>
                    <a:prstGeom prst="rect">
                      <a:avLst/>
                    </a:prstGeom>
                  </pic:spPr>
                </pic:pic>
              </a:graphicData>
            </a:graphic>
          </wp:inline>
        </w:drawing>
      </w:r>
    </w:p>
    <w:tbl>
      <w:tblPr>
        <w:tblStyle w:val="Tablaconcuadrcula"/>
        <w:tblW w:w="74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6564"/>
      </w:tblGrid>
      <w:tr w:rsidR="004C01E1" w:rsidRPr="004C01E1" w14:paraId="75AAB6B7" w14:textId="77777777" w:rsidTr="004000F4">
        <w:trPr>
          <w:trHeight w:val="315"/>
        </w:trPr>
        <w:tc>
          <w:tcPr>
            <w:tcW w:w="893" w:type="dxa"/>
            <w:vAlign w:val="center"/>
            <w:hideMark/>
          </w:tcPr>
          <w:p w14:paraId="38CC282F" w14:textId="77777777" w:rsidR="004C01E1" w:rsidRPr="004C01E1" w:rsidRDefault="004C01E1" w:rsidP="004C01E1">
            <w:pPr>
              <w:contextualSpacing/>
              <w:rPr>
                <w:rFonts w:ascii="Verdana" w:eastAsia="Aptos" w:hAnsi="Verdana" w:cs="Arial"/>
                <w:sz w:val="16"/>
                <w:szCs w:val="16"/>
                <w:lang w:val="es-ES" w:eastAsia="es-ES"/>
              </w:rPr>
            </w:pPr>
            <w:r w:rsidRPr="004C01E1">
              <w:rPr>
                <w:rFonts w:ascii="Verdana" w:eastAsia="Aptos" w:hAnsi="Verdana" w:cs="Arial"/>
                <w:sz w:val="16"/>
                <w:szCs w:val="16"/>
                <w:lang w:val="es-ES" w:eastAsia="es-ES"/>
              </w:rPr>
              <w:t>Elaboró:</w:t>
            </w:r>
          </w:p>
        </w:tc>
        <w:tc>
          <w:tcPr>
            <w:tcW w:w="6564" w:type="dxa"/>
            <w:tcBorders>
              <w:top w:val="nil"/>
              <w:left w:val="nil"/>
              <w:bottom w:val="dotted" w:sz="4" w:space="0" w:color="7F7F7F"/>
              <w:right w:val="nil"/>
            </w:tcBorders>
            <w:vAlign w:val="center"/>
            <w:hideMark/>
          </w:tcPr>
          <w:p w14:paraId="0B2E5F21" w14:textId="77777777" w:rsidR="004C01E1" w:rsidRPr="009D4981" w:rsidRDefault="004C01E1" w:rsidP="004C01E1">
            <w:pPr>
              <w:contextualSpacing/>
              <w:rPr>
                <w:rFonts w:ascii="Verdana" w:eastAsia="Aptos" w:hAnsi="Verdana" w:cs="Times New Roman"/>
                <w:sz w:val="16"/>
                <w:szCs w:val="16"/>
              </w:rPr>
            </w:pPr>
            <w:r w:rsidRPr="009D4981">
              <w:rPr>
                <w:rFonts w:ascii="Verdana" w:eastAsia="Aptos" w:hAnsi="Verdana" w:cs="Times New Roman"/>
                <w:sz w:val="16"/>
                <w:szCs w:val="16"/>
              </w:rPr>
              <w:t>C</w:t>
            </w:r>
            <w:r w:rsidRPr="009D4981">
              <w:rPr>
                <w:rFonts w:ascii="Verdana" w:eastAsia="Arial" w:hAnsi="Verdana" w:cs="Arial"/>
                <w:sz w:val="16"/>
                <w:szCs w:val="16"/>
              </w:rPr>
              <w:t xml:space="preserve">arlos Mario </w:t>
            </w:r>
            <w:proofErr w:type="spellStart"/>
            <w:r w:rsidRPr="009D4981">
              <w:rPr>
                <w:rFonts w:ascii="Verdana" w:eastAsia="Arial" w:hAnsi="Verdana" w:cs="Arial"/>
                <w:sz w:val="16"/>
                <w:szCs w:val="16"/>
              </w:rPr>
              <w:t>Castrillon</w:t>
            </w:r>
            <w:proofErr w:type="spellEnd"/>
            <w:r w:rsidRPr="009D4981">
              <w:rPr>
                <w:rFonts w:ascii="Verdana" w:eastAsia="Arial" w:hAnsi="Verdana" w:cs="Arial"/>
                <w:sz w:val="16"/>
                <w:szCs w:val="16"/>
              </w:rPr>
              <w:t xml:space="preserve"> Endo</w:t>
            </w:r>
          </w:p>
          <w:p w14:paraId="0D04367B" w14:textId="77777777" w:rsidR="004C01E1" w:rsidRPr="004C01E1" w:rsidRDefault="004C01E1" w:rsidP="004C01E1">
            <w:pPr>
              <w:contextualSpacing/>
              <w:rPr>
                <w:rFonts w:ascii="Verdana" w:eastAsia="Arial" w:hAnsi="Verdana" w:cs="Arial"/>
                <w:sz w:val="16"/>
                <w:szCs w:val="16"/>
              </w:rPr>
            </w:pPr>
            <w:r w:rsidRPr="009D4981">
              <w:rPr>
                <w:rFonts w:ascii="Verdana" w:eastAsia="Arial" w:hAnsi="Verdana" w:cs="Arial"/>
                <w:sz w:val="16"/>
                <w:szCs w:val="16"/>
              </w:rPr>
              <w:t>Contratista de la Subdirección de Gestión Contractual</w:t>
            </w:r>
          </w:p>
        </w:tc>
      </w:tr>
      <w:tr w:rsidR="004C01E1" w:rsidRPr="004C01E1" w14:paraId="1281AEAE" w14:textId="77777777" w:rsidTr="004000F4">
        <w:trPr>
          <w:trHeight w:val="330"/>
        </w:trPr>
        <w:tc>
          <w:tcPr>
            <w:tcW w:w="893" w:type="dxa"/>
            <w:vAlign w:val="center"/>
            <w:hideMark/>
          </w:tcPr>
          <w:p w14:paraId="313086DD" w14:textId="77777777" w:rsidR="004C01E1" w:rsidRPr="004C01E1" w:rsidRDefault="004C01E1" w:rsidP="004C01E1">
            <w:pPr>
              <w:contextualSpacing/>
              <w:rPr>
                <w:rFonts w:ascii="Verdana" w:eastAsia="Aptos" w:hAnsi="Verdana" w:cs="Arial"/>
                <w:sz w:val="16"/>
                <w:szCs w:val="16"/>
                <w:lang w:val="es-ES" w:eastAsia="es-ES"/>
              </w:rPr>
            </w:pPr>
            <w:r w:rsidRPr="004C01E1">
              <w:rPr>
                <w:rFonts w:ascii="Verdana" w:eastAsia="Aptos" w:hAnsi="Verdana" w:cs="Arial"/>
                <w:sz w:val="16"/>
                <w:szCs w:val="16"/>
                <w:lang w:val="es-ES" w:eastAsia="es-ES"/>
              </w:rPr>
              <w:t>Revisó:</w:t>
            </w:r>
          </w:p>
        </w:tc>
        <w:tc>
          <w:tcPr>
            <w:tcW w:w="6564" w:type="dxa"/>
            <w:tcBorders>
              <w:top w:val="dotted" w:sz="4" w:space="0" w:color="7F7F7F"/>
              <w:left w:val="nil"/>
              <w:bottom w:val="dotted" w:sz="4" w:space="0" w:color="7F7F7F"/>
              <w:right w:val="nil"/>
            </w:tcBorders>
            <w:vAlign w:val="center"/>
            <w:hideMark/>
          </w:tcPr>
          <w:p w14:paraId="2DB293D8" w14:textId="77777777" w:rsidR="004C01E1" w:rsidRPr="004C01E1" w:rsidRDefault="004C01E1" w:rsidP="004C01E1">
            <w:pPr>
              <w:contextualSpacing/>
              <w:textAlignment w:val="baseline"/>
              <w:rPr>
                <w:rFonts w:ascii="Verdana" w:eastAsia="Times New Roman" w:hAnsi="Verdana" w:cs="Arial"/>
                <w:sz w:val="16"/>
                <w:szCs w:val="16"/>
                <w:lang w:val="es-ES" w:eastAsia="es-CO"/>
              </w:rPr>
            </w:pPr>
            <w:r w:rsidRPr="004C01E1">
              <w:rPr>
                <w:rFonts w:ascii="Verdana" w:eastAsia="Times New Roman" w:hAnsi="Verdana" w:cs="Arial"/>
                <w:sz w:val="16"/>
                <w:szCs w:val="16"/>
                <w:lang w:val="es-ES" w:eastAsia="es-CO"/>
              </w:rPr>
              <w:t xml:space="preserve">Adriana </w:t>
            </w:r>
            <w:proofErr w:type="spellStart"/>
            <w:r w:rsidRPr="004C01E1">
              <w:rPr>
                <w:rFonts w:ascii="Verdana" w:eastAsia="Times New Roman" w:hAnsi="Verdana" w:cs="Arial"/>
                <w:sz w:val="16"/>
                <w:szCs w:val="16"/>
                <w:lang w:val="es-ES" w:eastAsia="es-CO"/>
              </w:rPr>
              <w:t>Katerine</w:t>
            </w:r>
            <w:proofErr w:type="spellEnd"/>
            <w:r w:rsidRPr="004C01E1">
              <w:rPr>
                <w:rFonts w:ascii="Verdana" w:eastAsia="Times New Roman" w:hAnsi="Verdana" w:cs="Arial"/>
                <w:sz w:val="16"/>
                <w:szCs w:val="16"/>
                <w:lang w:val="es-ES" w:eastAsia="es-CO"/>
              </w:rPr>
              <w:t xml:space="preserve"> López</w:t>
            </w:r>
          </w:p>
          <w:p w14:paraId="36DE8ADA" w14:textId="77777777" w:rsidR="004C01E1" w:rsidRPr="004C01E1" w:rsidRDefault="004C01E1" w:rsidP="004C01E1">
            <w:pPr>
              <w:contextualSpacing/>
              <w:textAlignment w:val="baseline"/>
              <w:rPr>
                <w:rFonts w:ascii="Verdana" w:eastAsia="Times New Roman" w:hAnsi="Verdana" w:cs="Segoe UI"/>
                <w:sz w:val="16"/>
                <w:szCs w:val="16"/>
                <w:lang w:eastAsia="es-CO"/>
              </w:rPr>
            </w:pPr>
            <w:r w:rsidRPr="004C01E1">
              <w:rPr>
                <w:rFonts w:ascii="Verdana" w:eastAsia="Arial" w:hAnsi="Verdana" w:cs="Arial"/>
                <w:sz w:val="16"/>
                <w:szCs w:val="16"/>
              </w:rPr>
              <w:t>Contratista de la Subdirección de Gestión Contractual</w:t>
            </w:r>
          </w:p>
        </w:tc>
      </w:tr>
      <w:tr w:rsidR="004C01E1" w:rsidRPr="004C01E1" w14:paraId="48181BAF" w14:textId="77777777" w:rsidTr="004000F4">
        <w:trPr>
          <w:trHeight w:val="300"/>
        </w:trPr>
        <w:tc>
          <w:tcPr>
            <w:tcW w:w="893" w:type="dxa"/>
            <w:vAlign w:val="center"/>
          </w:tcPr>
          <w:p w14:paraId="141708C1" w14:textId="77777777" w:rsidR="004C01E1" w:rsidRPr="004C01E1" w:rsidRDefault="004C01E1" w:rsidP="004C01E1">
            <w:pPr>
              <w:contextualSpacing/>
              <w:rPr>
                <w:rFonts w:ascii="Verdana" w:eastAsia="Aptos" w:hAnsi="Verdana" w:cs="Arial"/>
                <w:sz w:val="16"/>
                <w:szCs w:val="16"/>
                <w:lang w:val="es-ES" w:eastAsia="es-ES"/>
              </w:rPr>
            </w:pPr>
            <w:r w:rsidRPr="004C01E1">
              <w:rPr>
                <w:rFonts w:ascii="Verdana" w:eastAsia="Aptos" w:hAnsi="Verdana" w:cs="Arial"/>
                <w:sz w:val="16"/>
                <w:szCs w:val="16"/>
                <w:lang w:val="es-ES" w:eastAsia="es-ES"/>
              </w:rPr>
              <w:t>Aprobó:</w:t>
            </w:r>
          </w:p>
        </w:tc>
        <w:tc>
          <w:tcPr>
            <w:tcW w:w="6564" w:type="dxa"/>
            <w:tcBorders>
              <w:top w:val="dotted" w:sz="4" w:space="0" w:color="7F7F7F"/>
              <w:left w:val="nil"/>
              <w:bottom w:val="dotted" w:sz="4" w:space="0" w:color="7F7F7F"/>
              <w:right w:val="nil"/>
            </w:tcBorders>
            <w:vAlign w:val="center"/>
          </w:tcPr>
          <w:p w14:paraId="52B788C9" w14:textId="77777777" w:rsidR="004C01E1" w:rsidRPr="004C01E1" w:rsidRDefault="004C01E1" w:rsidP="004C01E1">
            <w:pPr>
              <w:contextualSpacing/>
              <w:rPr>
                <w:rFonts w:ascii="Verdana" w:eastAsia="Calibri" w:hAnsi="Verdana" w:cs="Arial"/>
                <w:sz w:val="16"/>
                <w:szCs w:val="16"/>
                <w:lang w:val="pt-BR" w:eastAsia="es-ES"/>
              </w:rPr>
            </w:pPr>
            <w:r w:rsidRPr="004C01E1">
              <w:rPr>
                <w:rFonts w:ascii="Verdana" w:eastAsia="Calibri" w:hAnsi="Verdana" w:cs="Arial"/>
                <w:sz w:val="16"/>
                <w:szCs w:val="16"/>
                <w:lang w:val="pt-BR" w:eastAsia="es-ES"/>
              </w:rPr>
              <w:t xml:space="preserve">Carolina Quintero </w:t>
            </w:r>
            <w:proofErr w:type="spellStart"/>
            <w:r w:rsidRPr="004C01E1">
              <w:rPr>
                <w:rFonts w:ascii="Verdana" w:eastAsia="Calibri" w:hAnsi="Verdana" w:cs="Arial"/>
                <w:sz w:val="16"/>
                <w:szCs w:val="16"/>
                <w:lang w:val="pt-BR" w:eastAsia="es-ES"/>
              </w:rPr>
              <w:t>Gacharná</w:t>
            </w:r>
            <w:proofErr w:type="spellEnd"/>
          </w:p>
          <w:p w14:paraId="66077B75" w14:textId="77777777" w:rsidR="004C01E1" w:rsidRPr="004C01E1" w:rsidRDefault="004C01E1" w:rsidP="004C01E1">
            <w:pPr>
              <w:contextualSpacing/>
              <w:rPr>
                <w:rFonts w:ascii="Verdana" w:eastAsia="Calibri" w:hAnsi="Verdana" w:cs="Arial"/>
                <w:sz w:val="16"/>
                <w:szCs w:val="16"/>
                <w:lang w:val="pt-BR" w:eastAsia="es-ES"/>
              </w:rPr>
            </w:pPr>
            <w:r w:rsidRPr="004C01E1">
              <w:rPr>
                <w:rFonts w:ascii="Verdana" w:eastAsia="Calibri" w:hAnsi="Verdana" w:cs="Arial"/>
                <w:sz w:val="16"/>
                <w:szCs w:val="16"/>
                <w:lang w:eastAsia="es-ES"/>
              </w:rPr>
              <w:t>Subdirectora</w:t>
            </w:r>
            <w:r w:rsidRPr="004C01E1">
              <w:rPr>
                <w:rFonts w:ascii="Verdana" w:eastAsia="Calibri" w:hAnsi="Verdana" w:cs="Arial"/>
                <w:sz w:val="16"/>
                <w:szCs w:val="16"/>
                <w:lang w:val="pt-BR" w:eastAsia="es-ES"/>
              </w:rPr>
              <w:t xml:space="preserve"> de Gestión </w:t>
            </w:r>
            <w:proofErr w:type="spellStart"/>
            <w:r w:rsidRPr="004C01E1">
              <w:rPr>
                <w:rFonts w:ascii="Verdana" w:eastAsia="Calibri" w:hAnsi="Verdana" w:cs="Arial"/>
                <w:sz w:val="16"/>
                <w:szCs w:val="16"/>
                <w:lang w:val="pt-BR" w:eastAsia="es-ES"/>
              </w:rPr>
              <w:t>Contractual</w:t>
            </w:r>
            <w:proofErr w:type="spellEnd"/>
            <w:r w:rsidRPr="004C01E1">
              <w:rPr>
                <w:rFonts w:ascii="Verdana" w:eastAsia="Calibri" w:hAnsi="Verdana" w:cs="Arial"/>
                <w:sz w:val="16"/>
                <w:szCs w:val="16"/>
                <w:lang w:val="pt-BR" w:eastAsia="es-ES"/>
              </w:rPr>
              <w:t xml:space="preserve"> ANCP – CCE</w:t>
            </w:r>
          </w:p>
        </w:tc>
      </w:tr>
    </w:tbl>
    <w:p w14:paraId="3900974D" w14:textId="77777777" w:rsidR="003D5B0D" w:rsidRPr="0073705B" w:rsidRDefault="003D5B0D" w:rsidP="00E412FF">
      <w:pPr>
        <w:spacing w:line="278" w:lineRule="auto"/>
      </w:pPr>
    </w:p>
    <w:sectPr w:rsidR="003D5B0D" w:rsidRPr="0073705B"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EE1E8" w14:textId="77777777" w:rsidR="00ED7384" w:rsidRDefault="00ED7384" w:rsidP="004A1847">
      <w:pPr>
        <w:spacing w:after="0" w:line="240" w:lineRule="auto"/>
      </w:pPr>
      <w:r>
        <w:separator/>
      </w:r>
    </w:p>
  </w:endnote>
  <w:endnote w:type="continuationSeparator" w:id="0">
    <w:p w14:paraId="4A7AB4CB" w14:textId="77777777" w:rsidR="00ED7384" w:rsidRDefault="00ED738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4C01E1">
      <w:rPr>
        <w:rFonts w:ascii="Verdana" w:eastAsia="Times New Roman" w:hAnsi="Verdana" w:cs="Times New Roman"/>
        <w:b/>
        <w:bCs/>
        <w:sz w:val="16"/>
        <w:szCs w:val="16"/>
        <w:lang w:val="es-ES"/>
      </w:rPr>
      <w:t xml:space="preserve">pág. </w:t>
    </w:r>
    <w:r w:rsidRPr="004C01E1">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4C01E1">
      <w:rPr>
        <w:rFonts w:ascii="Verdana" w:eastAsia="Times New Roman" w:hAnsi="Verdana"/>
        <w:b/>
        <w:bCs/>
        <w:sz w:val="16"/>
        <w:szCs w:val="16"/>
      </w:rPr>
      <w:fldChar w:fldCharType="separate"/>
    </w:r>
    <w:r w:rsidRPr="004C01E1">
      <w:rPr>
        <w:rFonts w:ascii="Verdana" w:eastAsia="Times New Roman" w:hAnsi="Verdana"/>
        <w:b/>
        <w:bCs/>
        <w:sz w:val="16"/>
        <w:szCs w:val="16"/>
      </w:rPr>
      <w:t>1</w:t>
    </w:r>
    <w:r w:rsidRPr="004C01E1">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4B691" w14:textId="77777777" w:rsidR="00ED7384" w:rsidRDefault="00ED7384" w:rsidP="004A1847">
      <w:pPr>
        <w:spacing w:after="0" w:line="240" w:lineRule="auto"/>
      </w:pPr>
      <w:r>
        <w:separator/>
      </w:r>
    </w:p>
  </w:footnote>
  <w:footnote w:type="continuationSeparator" w:id="0">
    <w:p w14:paraId="46133D6B" w14:textId="77777777" w:rsidR="00ED7384" w:rsidRDefault="00ED7384" w:rsidP="004A1847">
      <w:pPr>
        <w:spacing w:after="0" w:line="240" w:lineRule="auto"/>
      </w:pPr>
      <w:r>
        <w:continuationSeparator/>
      </w:r>
    </w:p>
  </w:footnote>
  <w:footnote w:id="1">
    <w:p w14:paraId="657EACBD" w14:textId="77777777" w:rsidR="004C01E1" w:rsidRPr="006B3C94" w:rsidRDefault="004C01E1" w:rsidP="004C01E1">
      <w:pPr>
        <w:pStyle w:val="Textonotapie"/>
        <w:ind w:firstLine="709"/>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CONSEJO DE ESTADO. Sección Tercera. Subsección B. Sentencia del 12 de octubre de 2011. Exp. No. 20070. C.P. Danilo Rojas Betancourt.</w:t>
      </w:r>
    </w:p>
  </w:footnote>
  <w:footnote w:id="2">
    <w:p w14:paraId="47B5B04B" w14:textId="77777777" w:rsidR="004C01E1" w:rsidRPr="006B3C94" w:rsidRDefault="004C01E1" w:rsidP="004C01E1">
      <w:pPr>
        <w:pStyle w:val="Textonotapie"/>
        <w:ind w:firstLine="709"/>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2038FAB9" w14:textId="77777777" w:rsidR="004C01E1" w:rsidRPr="006B3C94" w:rsidRDefault="004C01E1" w:rsidP="004C01E1">
      <w:pPr>
        <w:pStyle w:val="Textonotapie"/>
        <w:ind w:firstLine="709"/>
        <w:contextualSpacing/>
        <w:jc w:val="both"/>
        <w:rPr>
          <w:rFonts w:ascii="Verdana" w:hAnsi="Verdana" w:cs="Arial"/>
          <w:color w:val="000000"/>
          <w:sz w:val="19"/>
          <w:szCs w:val="19"/>
        </w:rPr>
      </w:pPr>
      <w:r w:rsidRPr="006B3C94">
        <w:rPr>
          <w:rFonts w:ascii="Verdana" w:hAnsi="Verdana" w:cs="Arial"/>
          <w:color w:val="000000"/>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3">
    <w:p w14:paraId="44F75E01" w14:textId="77777777" w:rsidR="004C01E1" w:rsidRPr="006B3C94" w:rsidRDefault="004C01E1" w:rsidP="004C01E1">
      <w:pPr>
        <w:pStyle w:val="Textonotapie"/>
        <w:ind w:firstLine="707"/>
        <w:jc w:val="both"/>
        <w:rPr>
          <w:rFonts w:ascii="Verdana" w:hAnsi="Verdana"/>
          <w:sz w:val="19"/>
          <w:szCs w:val="19"/>
          <w:lang w:val="es-CO"/>
        </w:rPr>
      </w:pPr>
      <w:r w:rsidRPr="006B3C94">
        <w:rPr>
          <w:rStyle w:val="Refdenotaalpie"/>
          <w:rFonts w:ascii="Verdana" w:hAnsi="Verdana"/>
          <w:sz w:val="19"/>
          <w:szCs w:val="19"/>
        </w:rPr>
        <w:footnoteRef/>
      </w:r>
      <w:r w:rsidRPr="006B3C94">
        <w:rPr>
          <w:rFonts w:ascii="Verdana" w:hAnsi="Verdana"/>
          <w:sz w:val="19"/>
          <w:szCs w:val="19"/>
        </w:rPr>
        <w:t xml:space="preserve"> </w:t>
      </w:r>
      <w:r w:rsidRPr="006B3C94">
        <w:rPr>
          <w:rFonts w:ascii="Verdana" w:hAnsi="Verdana"/>
          <w:sz w:val="19"/>
          <w:szCs w:val="19"/>
          <w:lang w:val="es-CO"/>
        </w:rPr>
        <w:t xml:space="preserve">Superintendencia de Servicios Públicos Domiciliarios. Concepto 169 del 30 de marzo de 2023 disponible en el siguiente enlace: </w:t>
      </w:r>
      <w:hyperlink r:id="rId1" w:history="1">
        <w:r w:rsidRPr="006B3C94">
          <w:rPr>
            <w:rStyle w:val="Hipervnculo"/>
            <w:rFonts w:ascii="Verdana" w:hAnsi="Verdana"/>
            <w:sz w:val="19"/>
            <w:szCs w:val="19"/>
            <w:lang w:val="es-CO"/>
          </w:rPr>
          <w:t>https://normas.cra.gov.co/gestor/docs/concepto_superservicios_0000169_2023.htm</w:t>
        </w:r>
      </w:hyperlink>
      <w:r w:rsidRPr="006B3C94">
        <w:rPr>
          <w:rFonts w:ascii="Verdana" w:hAnsi="Verdana"/>
          <w:sz w:val="19"/>
          <w:szCs w:val="19"/>
          <w:lang w:val="es-CO"/>
        </w:rPr>
        <w:t xml:space="preserve"> </w:t>
      </w:r>
    </w:p>
  </w:footnote>
  <w:footnote w:id="4">
    <w:p w14:paraId="60DE1B30" w14:textId="77777777" w:rsidR="004C01E1" w:rsidRPr="006B3C94" w:rsidRDefault="004C01E1" w:rsidP="004C01E1">
      <w:pPr>
        <w:ind w:firstLine="707"/>
        <w:jc w:val="both"/>
        <w:rPr>
          <w:rFonts w:ascii="Verdana" w:eastAsia="Arial" w:hAnsi="Verdana" w:cs="Arial"/>
          <w:sz w:val="19"/>
          <w:szCs w:val="19"/>
        </w:rPr>
      </w:pPr>
      <w:r w:rsidRPr="006B3C94">
        <w:rPr>
          <w:rFonts w:ascii="Verdana" w:hAnsi="Verdana" w:cs="Arial"/>
          <w:sz w:val="19"/>
          <w:szCs w:val="19"/>
          <w:vertAlign w:val="superscript"/>
        </w:rPr>
        <w:footnoteRef/>
      </w:r>
      <w:r w:rsidRPr="006B3C94">
        <w:rPr>
          <w:rFonts w:ascii="Verdana" w:eastAsia="Arial" w:hAnsi="Verdana" w:cs="Arial"/>
          <w:sz w:val="19"/>
          <w:szCs w:val="19"/>
        </w:rPr>
        <w:t xml:space="preserve"> Ley 489 de 1998: “Artículo 68: Entidades descentralizadas.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w:t>
      </w:r>
      <w:r w:rsidRPr="006B3C94">
        <w:rPr>
          <w:rFonts w:ascii="Verdana" w:eastAsia="Arial" w:hAnsi="Verdana" w:cs="Arial"/>
          <w:b/>
          <w:sz w:val="19"/>
          <w:szCs w:val="19"/>
        </w:rPr>
        <w:t xml:space="preserve">las empresas oficiales de servicios públicos </w:t>
      </w:r>
      <w:r w:rsidRPr="006B3C94">
        <w:rPr>
          <w:rFonts w:ascii="Verdana" w:eastAsia="Arial" w:hAnsi="Verdana" w:cs="Arial"/>
          <w:sz w:val="19"/>
          <w:szCs w:val="19"/>
        </w:rPr>
        <w:t>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43C5DD93" w14:textId="77777777" w:rsidR="004C01E1" w:rsidRPr="006B3C94" w:rsidRDefault="004C01E1" w:rsidP="004C01E1">
      <w:pPr>
        <w:pBdr>
          <w:top w:val="nil"/>
          <w:left w:val="nil"/>
          <w:bottom w:val="nil"/>
          <w:right w:val="nil"/>
          <w:between w:val="nil"/>
        </w:pBdr>
        <w:jc w:val="both"/>
        <w:rPr>
          <w:rFonts w:ascii="Verdana" w:eastAsia="Arial" w:hAnsi="Verdana" w:cs="Arial"/>
          <w:color w:val="000000"/>
          <w:sz w:val="19"/>
          <w:szCs w:val="19"/>
        </w:rPr>
      </w:pPr>
    </w:p>
  </w:footnote>
  <w:footnote w:id="5">
    <w:p w14:paraId="18D221C7" w14:textId="77777777" w:rsidR="004C01E1" w:rsidRPr="006B3C94" w:rsidRDefault="004C01E1" w:rsidP="004C01E1">
      <w:pPr>
        <w:pBdr>
          <w:top w:val="nil"/>
          <w:left w:val="nil"/>
          <w:bottom w:val="nil"/>
          <w:right w:val="nil"/>
          <w:between w:val="nil"/>
        </w:pBdr>
        <w:ind w:firstLine="708"/>
        <w:rPr>
          <w:rFonts w:ascii="Verdana" w:eastAsia="Arial" w:hAnsi="Verdana" w:cs="Arial"/>
          <w:color w:val="000000"/>
          <w:sz w:val="19"/>
          <w:szCs w:val="19"/>
        </w:rPr>
      </w:pPr>
      <w:r w:rsidRPr="006B3C94">
        <w:rPr>
          <w:rFonts w:ascii="Verdana" w:hAnsi="Verdana" w:cs="Arial"/>
          <w:sz w:val="19"/>
          <w:szCs w:val="19"/>
          <w:vertAlign w:val="superscript"/>
        </w:rPr>
        <w:footnoteRef/>
      </w:r>
      <w:r w:rsidRPr="006B3C94">
        <w:rPr>
          <w:rFonts w:ascii="Verdana" w:eastAsia="Arial" w:hAnsi="Verdana" w:cs="Arial"/>
          <w:color w:val="000000"/>
          <w:sz w:val="19"/>
          <w:szCs w:val="19"/>
        </w:rPr>
        <w:t xml:space="preserve"> Corte Constitucional. Sentencia C-736 de 2007. C.P. Marco Gerardo Monroy Cabra.</w:t>
      </w:r>
    </w:p>
  </w:footnote>
  <w:footnote w:id="6">
    <w:p w14:paraId="50668CCF" w14:textId="77777777" w:rsidR="004C01E1" w:rsidRPr="006B3C94" w:rsidRDefault="004C01E1" w:rsidP="004C01E1">
      <w:pPr>
        <w:widowControl w:val="0"/>
        <w:ind w:right="49" w:firstLine="709"/>
        <w:jc w:val="both"/>
        <w:rPr>
          <w:rFonts w:ascii="Verdana" w:eastAsia="Arial" w:hAnsi="Verdana" w:cs="Arial"/>
          <w:i/>
          <w:iCs/>
          <w:sz w:val="19"/>
          <w:szCs w:val="19"/>
          <w:lang w:eastAsia="es-CO"/>
        </w:rPr>
      </w:pPr>
      <w:r w:rsidRPr="006B3C94">
        <w:rPr>
          <w:rStyle w:val="Refdenotaalpie"/>
          <w:rFonts w:ascii="Verdana" w:hAnsi="Verdana"/>
          <w:sz w:val="19"/>
          <w:szCs w:val="19"/>
        </w:rPr>
        <w:footnoteRef/>
      </w:r>
      <w:r w:rsidRPr="006B3C94">
        <w:rPr>
          <w:rFonts w:ascii="Verdana" w:hAnsi="Verdana"/>
          <w:sz w:val="19"/>
          <w:szCs w:val="19"/>
        </w:rPr>
        <w:t xml:space="preserve"> </w:t>
      </w:r>
      <w:r w:rsidRPr="006B3C94">
        <w:rPr>
          <w:rFonts w:ascii="Verdana" w:hAnsi="Verdana"/>
          <w:i/>
          <w:iCs/>
          <w:sz w:val="19"/>
          <w:szCs w:val="19"/>
        </w:rPr>
        <w:t>“</w:t>
      </w:r>
      <w:r w:rsidRPr="006B3C94">
        <w:rPr>
          <w:rFonts w:ascii="Verdana" w:eastAsia="Arial" w:hAnsi="Verdana" w:cs="Arial"/>
          <w:i/>
          <w:iCs/>
          <w:sz w:val="19"/>
          <w:szCs w:val="19"/>
          <w:lang w:eastAsia="es-CO"/>
        </w:rPr>
        <w:t>No obstante, después de haber estudiado los conceptos de sociedad de economía mixta y de empresa de servicios públicos, la Corte estima que la naturaleza y el régimen jurídico especial de la prestación de los servicios públicos dispuesto por el constituyente en el artículo 365 de la Carta impiden considerar que las empresas de servicios públicos constituidas bajo la forma de sociedades por acciones, en las cuales concurran en cualquier proporción el capital público y el privado, sean “sociedades de economía mixta”. A juicio de la Corporación, y por lo dicho anteriormente, se trata de entidades de tipología especial expresamente definida por el legislador en desarrollo de las normas superiores antes mencionadas, que señalan las particularidades de esta actividad.</w:t>
      </w:r>
    </w:p>
    <w:p w14:paraId="0934BFEA" w14:textId="77777777" w:rsidR="004C01E1" w:rsidRPr="006B3C94" w:rsidRDefault="004C01E1" w:rsidP="004C01E1">
      <w:pPr>
        <w:widowControl w:val="0"/>
        <w:spacing w:before="1" w:after="120"/>
        <w:ind w:right="49" w:firstLine="709"/>
        <w:jc w:val="both"/>
        <w:rPr>
          <w:rFonts w:ascii="Verdana" w:eastAsia="Calibri" w:hAnsi="Verdana" w:cs="Calibri"/>
          <w:i/>
          <w:iCs/>
          <w:sz w:val="19"/>
          <w:szCs w:val="19"/>
          <w:lang w:eastAsia="es-CO"/>
        </w:rPr>
      </w:pPr>
      <w:r w:rsidRPr="006B3C94">
        <w:rPr>
          <w:rFonts w:ascii="Verdana" w:eastAsia="Arial" w:hAnsi="Verdana" w:cs="Arial"/>
          <w:i/>
          <w:iCs/>
          <w:sz w:val="19"/>
          <w:szCs w:val="19"/>
          <w:lang w:eastAsia="es-CO"/>
        </w:rPr>
        <w:t>[…]</w:t>
      </w:r>
    </w:p>
    <w:p w14:paraId="47B317E6" w14:textId="77777777" w:rsidR="004C01E1" w:rsidRPr="006B3C94" w:rsidRDefault="004C01E1" w:rsidP="004C01E1">
      <w:pPr>
        <w:pStyle w:val="Textonotapie"/>
        <w:ind w:right="49" w:firstLine="709"/>
        <w:jc w:val="both"/>
        <w:rPr>
          <w:rFonts w:ascii="Verdana" w:hAnsi="Verdana"/>
          <w:sz w:val="19"/>
          <w:szCs w:val="19"/>
          <w:lang w:val="es-ES"/>
        </w:rPr>
      </w:pPr>
      <w:r w:rsidRPr="006B3C94">
        <w:rPr>
          <w:rFonts w:ascii="Verdana" w:eastAsia="Arial" w:hAnsi="Verdana" w:cs="Arial"/>
          <w:i/>
          <w:iCs/>
          <w:sz w:val="19"/>
          <w:szCs w:val="19"/>
          <w:lang w:eastAsia="es-CO"/>
        </w:rPr>
        <w:t xml:space="preserve">Al parecer de la Corte, la interpretación según la cual las empresas de servicios públicos son sociedades de economía mixta resulta contraria a la Constitución. Ciertamente, según se dijo arriba, del artículo 365 superior se desprende que el régimen y la naturaleza jurídica de los prestadores de servicios públicos es especial; además, del numeral 7° del artículo 150 de la Carta, se extrae que el legislador está constitucionalmente autorizado para crear o autorizar la creación de “otras entidades del orden nacional”, distintas de los establecimientos públicos, las empresas comerciales e industriales de Estado y las sociedades de economía mixta” </w:t>
      </w:r>
      <w:r w:rsidRPr="006B3C94">
        <w:rPr>
          <w:rFonts w:ascii="Verdana" w:eastAsia="Arial" w:hAnsi="Verdana" w:cs="Arial"/>
          <w:color w:val="000000"/>
          <w:sz w:val="19"/>
          <w:szCs w:val="19"/>
        </w:rPr>
        <w:t>Corte Constitucional. Sentencia C-736 de 2007. C.P. Marco Gerardo Monroy Cabra.</w:t>
      </w:r>
    </w:p>
  </w:footnote>
  <w:footnote w:id="7">
    <w:p w14:paraId="3CA8AC9E" w14:textId="77777777" w:rsidR="004C01E1" w:rsidRPr="006B3C94" w:rsidRDefault="004C01E1" w:rsidP="004C01E1">
      <w:pPr>
        <w:pStyle w:val="Textonotapie"/>
        <w:ind w:firstLine="709"/>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2DF30FFA"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60B8B6D8"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footnote>
  <w:footnote w:id="8">
    <w:p w14:paraId="294B722F" w14:textId="77777777" w:rsidR="004C01E1" w:rsidRPr="006B3C94" w:rsidRDefault="004C01E1" w:rsidP="004C01E1">
      <w:pPr>
        <w:ind w:firstLine="709"/>
        <w:jc w:val="both"/>
        <w:rPr>
          <w:rFonts w:ascii="Verdana" w:eastAsia="Calibri" w:hAnsi="Verdana" w:cs="Arial"/>
          <w:color w:val="000000"/>
          <w:sz w:val="19"/>
          <w:szCs w:val="19"/>
          <w:lang w:val="es-ES_tradnl"/>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w:t>
      </w:r>
      <w:r w:rsidRPr="006B3C94">
        <w:rPr>
          <w:rFonts w:ascii="Verdana" w:hAnsi="Verdana" w:cs="Arial"/>
          <w:color w:val="000000"/>
          <w:sz w:val="19"/>
          <w:szCs w:val="19"/>
          <w:lang w:val="es-ES"/>
        </w:rPr>
        <w:t>Esta norma dispone: “</w:t>
      </w:r>
      <w:r w:rsidRPr="006B3C94">
        <w:rPr>
          <w:rFonts w:ascii="Verdana" w:eastAsia="Calibri" w:hAnsi="Verdana" w:cs="Arial"/>
          <w:color w:val="000000"/>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9">
    <w:p w14:paraId="4E683643" w14:textId="77777777" w:rsidR="004C01E1" w:rsidRPr="006B3C94" w:rsidRDefault="004C01E1" w:rsidP="004C01E1">
      <w:pPr>
        <w:pStyle w:val="Textonotapie"/>
        <w:ind w:firstLine="709"/>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0EF6833B"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Lo anterior, sin perjuicio de las publicaciones previstas en el numeral 3 del artículo 30 de la Ley 80 de 1993.</w:t>
      </w:r>
    </w:p>
    <w:p w14:paraId="22152E93"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 xml:space="preserve">Con el fin de materializar los objetivos a que se refiere el inciso anterior, el Gobierno Nacional desarrollará el Sistema Electrónico para la Contratación Pública, Secop, el cual: </w:t>
      </w:r>
    </w:p>
    <w:p w14:paraId="21A88376"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w:t>
      </w:r>
    </w:p>
    <w:p w14:paraId="58C81956"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0F80DF6C" w14:textId="77777777" w:rsidR="004C01E1" w:rsidRPr="006B3C94" w:rsidRDefault="004C01E1" w:rsidP="004C01E1">
      <w:pPr>
        <w:pStyle w:val="Textonotapie"/>
        <w:ind w:firstLine="709"/>
        <w:jc w:val="both"/>
        <w:rPr>
          <w:rFonts w:ascii="Verdana" w:hAnsi="Verdana" w:cs="Arial"/>
          <w:color w:val="000000"/>
          <w:sz w:val="19"/>
          <w:szCs w:val="19"/>
          <w:lang w:val="es-CO"/>
        </w:rPr>
      </w:pPr>
    </w:p>
  </w:footnote>
  <w:footnote w:id="10">
    <w:p w14:paraId="5E07EA47" w14:textId="77777777" w:rsidR="004C01E1" w:rsidRPr="006B3C94" w:rsidRDefault="004C01E1" w:rsidP="004C01E1">
      <w:pPr>
        <w:pStyle w:val="Textonotapie"/>
        <w:ind w:firstLine="709"/>
        <w:jc w:val="both"/>
        <w:rPr>
          <w:rFonts w:ascii="Verdana" w:hAnsi="Verdana"/>
          <w:sz w:val="19"/>
          <w:szCs w:val="19"/>
        </w:rPr>
      </w:pPr>
      <w:r w:rsidRPr="006B3C94">
        <w:rPr>
          <w:rStyle w:val="Refdenotaalpie"/>
          <w:rFonts w:ascii="Verdana" w:hAnsi="Verdana"/>
          <w:sz w:val="19"/>
          <w:szCs w:val="19"/>
        </w:rPr>
        <w:footnoteRef/>
      </w:r>
      <w:r w:rsidRPr="006B3C94">
        <w:rPr>
          <w:rFonts w:ascii="Verdana" w:hAnsi="Verdana"/>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14:paraId="70B3A0E6" w14:textId="77777777" w:rsidR="004C01E1" w:rsidRPr="006B3C94" w:rsidRDefault="004C01E1" w:rsidP="004C01E1">
      <w:pPr>
        <w:pStyle w:val="Textonotapie"/>
        <w:ind w:firstLine="709"/>
        <w:jc w:val="both"/>
        <w:rPr>
          <w:rFonts w:ascii="Verdana" w:hAnsi="Verdana"/>
          <w:sz w:val="19"/>
          <w:szCs w:val="19"/>
        </w:rPr>
      </w:pPr>
      <w:r w:rsidRPr="006B3C94">
        <w:rPr>
          <w:rFonts w:ascii="Verdana" w:hAnsi="Verdana"/>
          <w:sz w:val="19"/>
          <w:szCs w:val="19"/>
        </w:rPr>
        <w:t xml:space="preserve">1. Los relacionados con la defensa o seguridad nacionales.   </w:t>
      </w:r>
    </w:p>
    <w:p w14:paraId="3630821B" w14:textId="77777777" w:rsidR="004C01E1" w:rsidRPr="006B3C94" w:rsidRDefault="004C01E1" w:rsidP="004C01E1">
      <w:pPr>
        <w:pStyle w:val="Textonotapie"/>
        <w:ind w:firstLine="709"/>
        <w:jc w:val="both"/>
        <w:rPr>
          <w:rFonts w:ascii="Verdana" w:hAnsi="Verdana"/>
          <w:sz w:val="19"/>
          <w:szCs w:val="19"/>
        </w:rPr>
      </w:pPr>
      <w:r w:rsidRPr="006B3C94">
        <w:rPr>
          <w:rFonts w:ascii="Verdana" w:hAnsi="Verdana"/>
          <w:sz w:val="19"/>
          <w:szCs w:val="19"/>
        </w:rPr>
        <w:t xml:space="preserve">2. Las instrucciones en materia diplomática o sobre negociaciones reservadas.   </w:t>
      </w:r>
    </w:p>
    <w:p w14:paraId="7DFC04AC" w14:textId="77777777" w:rsidR="004C01E1" w:rsidRPr="006B3C94" w:rsidRDefault="004C01E1" w:rsidP="004C01E1">
      <w:pPr>
        <w:pStyle w:val="Textonotapie"/>
        <w:ind w:firstLine="709"/>
        <w:jc w:val="both"/>
        <w:rPr>
          <w:rFonts w:ascii="Verdana" w:hAnsi="Verdana"/>
          <w:sz w:val="19"/>
          <w:szCs w:val="19"/>
        </w:rPr>
      </w:pPr>
      <w:r w:rsidRPr="006B3C94">
        <w:rPr>
          <w:rFonts w:ascii="Verdana" w:hAnsi="Verdana"/>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484C2389" w14:textId="77777777" w:rsidR="004C01E1" w:rsidRPr="006B3C94" w:rsidRDefault="004C01E1" w:rsidP="004C01E1">
      <w:pPr>
        <w:pStyle w:val="Textonotapie"/>
        <w:ind w:firstLine="709"/>
        <w:jc w:val="both"/>
        <w:rPr>
          <w:rFonts w:ascii="Verdana" w:hAnsi="Verdana"/>
          <w:sz w:val="19"/>
          <w:szCs w:val="19"/>
        </w:rPr>
      </w:pPr>
      <w:r w:rsidRPr="006B3C94">
        <w:rPr>
          <w:rFonts w:ascii="Verdana" w:hAnsi="Verdana"/>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2BFC0BB9" w14:textId="77777777" w:rsidR="004C01E1" w:rsidRPr="006B3C94" w:rsidRDefault="004C01E1" w:rsidP="004C01E1">
      <w:pPr>
        <w:pStyle w:val="Textonotapie"/>
        <w:ind w:firstLine="709"/>
        <w:jc w:val="both"/>
        <w:rPr>
          <w:rFonts w:ascii="Verdana" w:hAnsi="Verdana"/>
          <w:sz w:val="19"/>
          <w:szCs w:val="19"/>
        </w:rPr>
      </w:pPr>
      <w:r w:rsidRPr="006B3C94">
        <w:rPr>
          <w:rFonts w:ascii="Verdana" w:hAnsi="Verdana"/>
          <w:sz w:val="19"/>
          <w:szCs w:val="19"/>
        </w:rPr>
        <w:t xml:space="preserve">5. Los datos referentes a la información financiera y comercial, en los términos de la Ley Estatutaria 1266 de 2008. </w:t>
      </w:r>
    </w:p>
    <w:p w14:paraId="7F5A8096" w14:textId="77777777" w:rsidR="004C01E1" w:rsidRPr="006B3C94" w:rsidRDefault="004C01E1" w:rsidP="004C01E1">
      <w:pPr>
        <w:pStyle w:val="Textonotapie"/>
        <w:ind w:firstLine="709"/>
        <w:jc w:val="both"/>
        <w:rPr>
          <w:rFonts w:ascii="Verdana" w:hAnsi="Verdana"/>
          <w:sz w:val="19"/>
          <w:szCs w:val="19"/>
        </w:rPr>
      </w:pPr>
      <w:r w:rsidRPr="006B3C94">
        <w:rPr>
          <w:rFonts w:ascii="Verdana" w:hAnsi="Verdana"/>
          <w:sz w:val="19"/>
          <w:szCs w:val="19"/>
        </w:rPr>
        <w:t xml:space="preserve">6. Los protegidos por el secreto comercial o industrial, así como los planes estratégicos de las empresas públicas de servicios públicos. </w:t>
      </w:r>
    </w:p>
    <w:p w14:paraId="4E03E62A" w14:textId="77777777" w:rsidR="004C01E1" w:rsidRPr="006B3C94" w:rsidRDefault="004C01E1" w:rsidP="004C01E1">
      <w:pPr>
        <w:pStyle w:val="Textonotapie"/>
        <w:ind w:firstLine="709"/>
        <w:jc w:val="both"/>
        <w:rPr>
          <w:rFonts w:ascii="Verdana" w:hAnsi="Verdana"/>
          <w:sz w:val="19"/>
          <w:szCs w:val="19"/>
        </w:rPr>
      </w:pPr>
      <w:r w:rsidRPr="006B3C94">
        <w:rPr>
          <w:rFonts w:ascii="Verdana" w:hAnsi="Verdana"/>
          <w:sz w:val="19"/>
          <w:szCs w:val="19"/>
        </w:rPr>
        <w:t xml:space="preserve">7. Los amparados por el secreto profesional. </w:t>
      </w:r>
    </w:p>
    <w:p w14:paraId="06A1B3DA" w14:textId="77777777" w:rsidR="004C01E1" w:rsidRPr="006B3C94" w:rsidRDefault="004C01E1" w:rsidP="004C01E1">
      <w:pPr>
        <w:pStyle w:val="Textonotapie"/>
        <w:ind w:firstLine="709"/>
        <w:jc w:val="both"/>
        <w:rPr>
          <w:rFonts w:ascii="Verdana" w:hAnsi="Verdana"/>
          <w:sz w:val="19"/>
          <w:szCs w:val="19"/>
        </w:rPr>
      </w:pPr>
      <w:r w:rsidRPr="006B3C94">
        <w:rPr>
          <w:rFonts w:ascii="Verdana" w:hAnsi="Verdana"/>
          <w:sz w:val="19"/>
          <w:szCs w:val="19"/>
        </w:rPr>
        <w:t>8. Los datos genéticos humanos. Parágrafo. Para efecto de la solicitud de información de carácter reservado, enunciada en los numerales 3, 5, 6 y 7 solo podrá ser solicitada por el titular de la información, por sus apoderados o por personas autorizadas con facultad expresa para acceder a esa información”.</w:t>
      </w:r>
    </w:p>
  </w:footnote>
  <w:footnote w:id="11">
    <w:p w14:paraId="047D5677" w14:textId="77777777" w:rsidR="004C01E1" w:rsidRPr="004C01E1" w:rsidRDefault="004C01E1" w:rsidP="004C01E1">
      <w:pPr>
        <w:pStyle w:val="Textonotapie"/>
        <w:ind w:firstLine="709"/>
        <w:jc w:val="both"/>
        <w:rPr>
          <w:rFonts w:ascii="Verdana" w:hAnsi="Verdana" w:cs="Arial"/>
          <w:color w:val="000000"/>
          <w:sz w:val="19"/>
          <w:szCs w:val="19"/>
        </w:rPr>
      </w:pPr>
      <w:r w:rsidRPr="004C01E1">
        <w:rPr>
          <w:rStyle w:val="Refdenotaalpie"/>
          <w:rFonts w:ascii="Verdana" w:hAnsi="Verdana" w:cs="Arial"/>
          <w:color w:val="000000"/>
          <w:sz w:val="19"/>
          <w:szCs w:val="19"/>
        </w:rPr>
        <w:footnoteRef/>
      </w:r>
      <w:r w:rsidRPr="004C01E1">
        <w:rPr>
          <w:rFonts w:ascii="Verdana" w:hAnsi="Verdana" w:cs="Arial"/>
          <w:color w:val="000000"/>
          <w:sz w:val="19"/>
          <w:szCs w:val="19"/>
        </w:rPr>
        <w:t xml:space="preserve"> Ley 1712 de 2014: “Artículo 5. Ámbito de aplicación. Las disposiciones de esta ley serán aplicables a las siguientes personas en calidad de sujetos obligados: </w:t>
      </w:r>
    </w:p>
    <w:p w14:paraId="576AC369" w14:textId="77777777" w:rsidR="004C01E1" w:rsidRPr="004C01E1" w:rsidRDefault="004C01E1" w:rsidP="004C01E1">
      <w:pPr>
        <w:pStyle w:val="Textonotapie"/>
        <w:ind w:firstLine="709"/>
        <w:jc w:val="both"/>
        <w:rPr>
          <w:rFonts w:ascii="Verdana" w:hAnsi="Verdana" w:cs="Arial"/>
          <w:color w:val="000000"/>
          <w:sz w:val="19"/>
          <w:szCs w:val="19"/>
        </w:rPr>
      </w:pPr>
      <w:r w:rsidRPr="004C01E1">
        <w:rPr>
          <w:rFonts w:ascii="Verdana" w:hAnsi="Verdana" w:cs="Arial"/>
          <w:color w:val="000000"/>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5D7651E" w14:textId="77777777" w:rsidR="004C01E1" w:rsidRPr="004C01E1" w:rsidRDefault="004C01E1" w:rsidP="004C01E1">
      <w:pPr>
        <w:pStyle w:val="Textonotapie"/>
        <w:ind w:firstLine="709"/>
        <w:jc w:val="both"/>
        <w:rPr>
          <w:rFonts w:ascii="Verdana" w:hAnsi="Verdana" w:cs="Arial"/>
          <w:color w:val="000000"/>
          <w:sz w:val="19"/>
          <w:szCs w:val="19"/>
          <w:lang w:val="es-CO"/>
        </w:rPr>
      </w:pPr>
    </w:p>
  </w:footnote>
  <w:footnote w:id="12">
    <w:p w14:paraId="234EFECD"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eastAsia="Times New Roman" w:hAnsi="Verdana" w:cs="Arial"/>
          <w:color w:val="000000"/>
          <w:sz w:val="19"/>
          <w:szCs w:val="19"/>
          <w:vertAlign w:val="superscript"/>
          <w:lang w:val="es-ES" w:eastAsia="es-ES"/>
        </w:rPr>
        <w:footnoteRef/>
      </w:r>
      <w:r w:rsidRPr="006B3C94">
        <w:rPr>
          <w:rFonts w:ascii="Verdana" w:eastAsia="Times New Roman" w:hAnsi="Verdana" w:cs="Arial"/>
          <w:color w:val="000000"/>
          <w:sz w:val="19"/>
          <w:szCs w:val="19"/>
          <w:vertAlign w:val="superscript"/>
          <w:lang w:val="es-ES" w:eastAsia="es-ES"/>
        </w:rPr>
        <w:t xml:space="preserve"> </w:t>
      </w:r>
      <w:r w:rsidRPr="006B3C94">
        <w:rPr>
          <w:rFonts w:ascii="Verdana" w:eastAsia="Times New Roman" w:hAnsi="Verdana" w:cs="Arial"/>
          <w:color w:val="000000"/>
          <w:sz w:val="19"/>
          <w:szCs w:val="19"/>
          <w:lang w:val="es-ES" w:eastAsia="es-ES"/>
        </w:rPr>
        <w:t>“</w:t>
      </w:r>
      <w:r w:rsidRPr="006B3C94">
        <w:rPr>
          <w:rFonts w:ascii="Verdana" w:hAnsi="Verdana" w:cs="Arial"/>
          <w:color w:val="000000"/>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891BC37" w14:textId="77777777" w:rsidR="004C01E1" w:rsidRPr="006B3C94" w:rsidRDefault="004C01E1" w:rsidP="004C01E1">
      <w:pPr>
        <w:pStyle w:val="Textonotapie"/>
        <w:ind w:firstLine="709"/>
        <w:jc w:val="both"/>
        <w:rPr>
          <w:rFonts w:ascii="Verdana" w:eastAsia="Times New Roman" w:hAnsi="Verdana" w:cs="Arial"/>
          <w:color w:val="000000"/>
          <w:sz w:val="19"/>
          <w:szCs w:val="19"/>
          <w:lang w:val="es-ES" w:eastAsia="es-ES"/>
        </w:rPr>
      </w:pPr>
      <w:r w:rsidRPr="006B3C94">
        <w:rPr>
          <w:rFonts w:ascii="Verdana" w:hAnsi="Verdana" w:cs="Arial"/>
          <w:color w:val="000000"/>
          <w:sz w:val="19"/>
          <w:szCs w:val="19"/>
        </w:rPr>
        <w:t>[…].</w:t>
      </w:r>
    </w:p>
    <w:p w14:paraId="79EE573A" w14:textId="77777777" w:rsidR="004C01E1" w:rsidRPr="006B3C94" w:rsidRDefault="004C01E1" w:rsidP="004C01E1">
      <w:pPr>
        <w:pStyle w:val="Textonotapie"/>
        <w:ind w:firstLine="709"/>
        <w:jc w:val="both"/>
        <w:rPr>
          <w:rFonts w:ascii="Verdana" w:eastAsia="Times New Roman" w:hAnsi="Verdana" w:cs="Arial"/>
          <w:color w:val="000000"/>
          <w:sz w:val="19"/>
          <w:szCs w:val="19"/>
          <w:lang w:val="es-ES" w:eastAsia="es-ES"/>
        </w:rPr>
      </w:pPr>
      <w:bookmarkStart w:id="6" w:name="_Hlk186230064"/>
      <w:r w:rsidRPr="006B3C94">
        <w:rPr>
          <w:rFonts w:ascii="Verdana" w:eastAsia="Times New Roman" w:hAnsi="Verdana" w:cs="Arial"/>
          <w:color w:val="000000"/>
          <w:sz w:val="19"/>
          <w:szCs w:val="19"/>
          <w:lang w:val="es-ES" w:eastAsia="es-ES"/>
        </w:rPr>
        <w:t xml:space="preserve">Los sujetos obligados que contratan con recursos públicos y recursos privados, deben publicar la información de su gestión contractual con cargo a recursos públicos en el Sistema Electrónico para la Contratación Pública </w:t>
      </w:r>
      <w:bookmarkEnd w:id="6"/>
      <w:r w:rsidRPr="006B3C94">
        <w:rPr>
          <w:rFonts w:ascii="Verdana" w:eastAsia="Times New Roman" w:hAnsi="Verdana" w:cs="Arial"/>
          <w:color w:val="000000"/>
          <w:sz w:val="19"/>
          <w:szCs w:val="19"/>
          <w:lang w:val="es-ES" w:eastAsia="es-ES"/>
        </w:rPr>
        <w:t>[SECOP]”.</w:t>
      </w:r>
    </w:p>
    <w:p w14:paraId="479556B0" w14:textId="77777777" w:rsidR="004C01E1" w:rsidRPr="006B3C94" w:rsidRDefault="004C01E1" w:rsidP="004C01E1">
      <w:pPr>
        <w:pStyle w:val="Textonotapie"/>
        <w:ind w:firstLine="709"/>
        <w:jc w:val="both"/>
        <w:rPr>
          <w:rFonts w:ascii="Verdana" w:eastAsia="Times New Roman" w:hAnsi="Verdana" w:cs="Arial"/>
          <w:color w:val="000000"/>
          <w:sz w:val="19"/>
          <w:szCs w:val="19"/>
          <w:lang w:val="es-ES" w:eastAsia="es-ES"/>
        </w:rPr>
      </w:pPr>
    </w:p>
  </w:footnote>
  <w:footnote w:id="13">
    <w:p w14:paraId="472B7946" w14:textId="77777777" w:rsidR="004C01E1" w:rsidRPr="006B3C94" w:rsidRDefault="004C01E1" w:rsidP="004C01E1">
      <w:pPr>
        <w:pStyle w:val="NormalWeb"/>
        <w:spacing w:after="0"/>
        <w:ind w:firstLine="708"/>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Ley 2022 de 2020: “</w:t>
      </w:r>
      <w:r w:rsidRPr="006B3C94">
        <w:rPr>
          <w:rStyle w:val="Textoennegrita"/>
          <w:rFonts w:ascii="Verdana" w:hAnsi="Verdana" w:cs="Arial"/>
          <w:color w:val="000000"/>
          <w:sz w:val="19"/>
          <w:szCs w:val="19"/>
        </w:rPr>
        <w:t xml:space="preserve">Artículo 1º. </w:t>
      </w:r>
      <w:r w:rsidRPr="006B3C94">
        <w:rPr>
          <w:rFonts w:ascii="Verdana" w:hAnsi="Verdana" w:cs="Arial"/>
          <w:color w:val="000000"/>
          <w:sz w:val="19"/>
          <w:szCs w:val="19"/>
        </w:rPr>
        <w:t>Modifíquese el artículo 4º de la Ley 1882 de 2018, el cual quedará así:</w:t>
      </w:r>
    </w:p>
    <w:p w14:paraId="69D85C60" w14:textId="77777777" w:rsidR="004C01E1" w:rsidRPr="006B3C94" w:rsidRDefault="004C01E1" w:rsidP="004C01E1">
      <w:pPr>
        <w:pStyle w:val="NormalWeb"/>
        <w:spacing w:after="0"/>
        <w:ind w:firstLine="708"/>
        <w:contextualSpacing/>
        <w:jc w:val="both"/>
        <w:rPr>
          <w:rFonts w:ascii="Verdana" w:hAnsi="Verdana" w:cs="Arial"/>
          <w:color w:val="000000"/>
          <w:sz w:val="19"/>
          <w:szCs w:val="19"/>
        </w:rPr>
      </w:pPr>
      <w:r w:rsidRPr="006B3C94">
        <w:rPr>
          <w:rStyle w:val="Textoennegrita"/>
          <w:rFonts w:ascii="Verdana" w:hAnsi="Verdana" w:cs="Arial"/>
          <w:color w:val="000000"/>
          <w:sz w:val="19"/>
          <w:szCs w:val="19"/>
        </w:rPr>
        <w:t xml:space="preserve">“Artículo 4º. </w:t>
      </w:r>
      <w:r w:rsidRPr="006B3C94">
        <w:rPr>
          <w:rFonts w:ascii="Verdana" w:hAnsi="Verdana" w:cs="Arial"/>
          <w:color w:val="000000"/>
          <w:sz w:val="19"/>
          <w:szCs w:val="19"/>
        </w:rPr>
        <w:t>Adiciónese el siguiente parágrafo al artículo 2º de la Ley 1150 de 2007.</w:t>
      </w:r>
    </w:p>
    <w:p w14:paraId="2C5CC8EF" w14:textId="77777777" w:rsidR="004C01E1" w:rsidRPr="006B3C94" w:rsidRDefault="004C01E1" w:rsidP="004C01E1">
      <w:pPr>
        <w:pStyle w:val="NormalWeb"/>
        <w:spacing w:after="0"/>
        <w:ind w:firstLine="708"/>
        <w:contextualSpacing/>
        <w:jc w:val="both"/>
        <w:rPr>
          <w:rFonts w:ascii="Verdana" w:hAnsi="Verdana" w:cs="Arial"/>
          <w:color w:val="000000"/>
          <w:sz w:val="19"/>
          <w:szCs w:val="19"/>
        </w:rPr>
      </w:pPr>
      <w:r w:rsidRPr="006B3C94">
        <w:rPr>
          <w:rStyle w:val="Textoennegrita"/>
          <w:rFonts w:ascii="Verdana" w:hAnsi="Verdana" w:cs="Arial"/>
          <w:color w:val="000000"/>
          <w:sz w:val="19"/>
          <w:szCs w:val="19"/>
        </w:rPr>
        <w:t xml:space="preserve">Parágrafo 7º. </w:t>
      </w:r>
      <w:r w:rsidRPr="006B3C94">
        <w:rPr>
          <w:rFonts w:ascii="Verdana" w:hAnsi="Verdana" w:cs="Arial"/>
          <w:color w:val="000000"/>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7E954E8A" w14:textId="77777777" w:rsidR="004C01E1" w:rsidRPr="006B3C94" w:rsidRDefault="004C01E1" w:rsidP="004C01E1">
      <w:pPr>
        <w:pStyle w:val="NormalWeb"/>
        <w:spacing w:after="0"/>
        <w:ind w:firstLine="708"/>
        <w:contextualSpacing/>
        <w:jc w:val="both"/>
        <w:rPr>
          <w:rFonts w:ascii="Verdana" w:hAnsi="Verdana" w:cs="Arial"/>
          <w:color w:val="000000"/>
          <w:sz w:val="19"/>
          <w:szCs w:val="19"/>
        </w:rPr>
      </w:pPr>
      <w:r w:rsidRPr="006B3C94">
        <w:rPr>
          <w:rFonts w:ascii="Verdana" w:hAnsi="Verdana"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40F2FC8B" w14:textId="77777777" w:rsidR="004C01E1" w:rsidRPr="006B3C94" w:rsidRDefault="004C01E1" w:rsidP="004C01E1">
      <w:pPr>
        <w:pStyle w:val="NormalWeb"/>
        <w:spacing w:after="0"/>
        <w:ind w:firstLine="708"/>
        <w:contextualSpacing/>
        <w:jc w:val="both"/>
        <w:rPr>
          <w:rFonts w:ascii="Verdana" w:hAnsi="Verdana" w:cs="Arial"/>
          <w:color w:val="000000"/>
          <w:sz w:val="19"/>
          <w:szCs w:val="19"/>
        </w:rPr>
      </w:pPr>
      <w:r w:rsidRPr="006B3C94">
        <w:rPr>
          <w:rFonts w:ascii="Verdana" w:hAnsi="Verdana"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44CF3670" w14:textId="77777777" w:rsidR="004C01E1" w:rsidRPr="006B3C94" w:rsidRDefault="004C01E1" w:rsidP="004C01E1">
      <w:pPr>
        <w:pStyle w:val="NormalWeb"/>
        <w:spacing w:after="0"/>
        <w:ind w:firstLine="708"/>
        <w:contextualSpacing/>
        <w:jc w:val="both"/>
        <w:rPr>
          <w:rFonts w:ascii="Verdana" w:hAnsi="Verdana" w:cs="Arial"/>
          <w:color w:val="000000"/>
          <w:sz w:val="19"/>
          <w:szCs w:val="19"/>
        </w:rPr>
      </w:pPr>
      <w:r w:rsidRPr="006B3C94">
        <w:rPr>
          <w:rFonts w:ascii="Verdana" w:hAnsi="Verdana"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C684DA3" w14:textId="77777777" w:rsidR="004C01E1" w:rsidRPr="006B3C94" w:rsidRDefault="004C01E1" w:rsidP="004C01E1">
      <w:pPr>
        <w:pStyle w:val="NormalWeb"/>
        <w:spacing w:after="0"/>
        <w:ind w:firstLine="708"/>
        <w:contextualSpacing/>
        <w:jc w:val="both"/>
        <w:rPr>
          <w:rFonts w:ascii="Verdana" w:hAnsi="Verdana" w:cs="Arial"/>
          <w:color w:val="000000"/>
          <w:sz w:val="19"/>
          <w:szCs w:val="19"/>
        </w:rPr>
      </w:pPr>
      <w:r w:rsidRPr="006B3C94">
        <w:rPr>
          <w:rFonts w:ascii="Verdana" w:hAnsi="Verdana"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4">
    <w:p w14:paraId="28775616" w14:textId="77777777" w:rsidR="004C01E1" w:rsidRPr="006B3C94" w:rsidRDefault="004C01E1" w:rsidP="004C01E1">
      <w:pPr>
        <w:pStyle w:val="Textonotapie"/>
        <w:ind w:firstLine="708"/>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Los Documentos Tipo expedidos por la Agencia Nacional de Contratación Pública – Colombia Compra Eficiente pueden ser consultados en el siguiente enlace: </w:t>
      </w:r>
      <w:hyperlink r:id="rId2" w:history="1">
        <w:r w:rsidRPr="006B3C94">
          <w:rPr>
            <w:rStyle w:val="Hipervnculo"/>
            <w:rFonts w:ascii="Verdana" w:hAnsi="Verdana" w:cs="Arial"/>
            <w:color w:val="000000"/>
            <w:sz w:val="19"/>
            <w:szCs w:val="19"/>
          </w:rPr>
          <w:t>https://www.colombiacompra.gov.co/documentos-tipo/documentos-tipo</w:t>
        </w:r>
      </w:hyperlink>
      <w:r w:rsidRPr="006B3C94">
        <w:rPr>
          <w:rFonts w:ascii="Verdana" w:hAnsi="Verdana" w:cs="Arial"/>
          <w:color w:val="000000"/>
          <w:sz w:val="19"/>
          <w:szCs w:val="19"/>
        </w:rPr>
        <w:t xml:space="preserve"> </w:t>
      </w:r>
    </w:p>
  </w:footnote>
  <w:footnote w:id="15">
    <w:p w14:paraId="052E44BD" w14:textId="77777777" w:rsidR="004C01E1" w:rsidRPr="006B3C94" w:rsidRDefault="004C01E1" w:rsidP="004C01E1">
      <w:pPr>
        <w:pStyle w:val="Textonotapie"/>
        <w:ind w:firstLine="708"/>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En este sentido, a modo de ejemplo, en el «documento base» del documento tipo de licitación se establece lo siguiente: “Los Documentos Tipo aplica a los procesos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2.2.1.2.6.1.5. del Decreto 1082 de 2015”.</w:t>
      </w:r>
    </w:p>
  </w:footnote>
  <w:footnote w:id="16">
    <w:p w14:paraId="5B0FC9B8" w14:textId="77777777" w:rsidR="004C01E1" w:rsidRPr="006B3C94" w:rsidRDefault="004C01E1" w:rsidP="004C01E1">
      <w:pPr>
        <w:pStyle w:val="Textonotapie"/>
        <w:ind w:firstLine="709"/>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 CONGRESO DE LA REPÚBLICA. Gaceta Nº 1677 del 23 de noviembre de 2021. Justificación jurídica del Proyecto de Ley No. 226 de 2021 Cámara. p. 15.</w:t>
      </w:r>
      <w:r w:rsidRPr="006B3C94">
        <w:rPr>
          <w:rFonts w:ascii="Verdana" w:hAnsi="Verdana" w:cs="Arial"/>
          <w:color w:val="000000"/>
          <w:sz w:val="19"/>
          <w:szCs w:val="19"/>
        </w:rPr>
        <w:cr/>
      </w:r>
    </w:p>
  </w:footnote>
  <w:footnote w:id="17">
    <w:p w14:paraId="07BA877E" w14:textId="77777777" w:rsidR="004C01E1" w:rsidRPr="006B3C94" w:rsidRDefault="004C01E1" w:rsidP="004C01E1">
      <w:pPr>
        <w:pStyle w:val="Textonotapie"/>
        <w:ind w:firstLine="709"/>
        <w:contextualSpacing/>
        <w:jc w:val="both"/>
        <w:rPr>
          <w:rFonts w:ascii="Verdana" w:hAnsi="Verdana" w:cs="Arial"/>
          <w:color w:val="000000"/>
          <w:sz w:val="19"/>
          <w:szCs w:val="19"/>
          <w:lang w:val="es-ES"/>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w:t>
      </w:r>
      <w:r w:rsidRPr="006B3C94">
        <w:rPr>
          <w:rFonts w:ascii="Verdana" w:hAnsi="Verdana" w:cs="Arial"/>
          <w:color w:val="000000"/>
          <w:sz w:val="19"/>
          <w:szCs w:val="19"/>
          <w:lang w:val="es-ES"/>
        </w:rPr>
        <w:t>Según García de Enterría: “Estos conceptos jurídicos indeterminados, o que se contienen en lo que también se llaman las normas flexibles, son consustanciales a toda la técnica jurídica y no constituyen una particularidad del Derecho público […], son conceptos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18">
    <w:p w14:paraId="19EC929D" w14:textId="77777777" w:rsidR="004C01E1" w:rsidRPr="006B3C94" w:rsidRDefault="004C01E1" w:rsidP="004C01E1">
      <w:pPr>
        <w:pStyle w:val="Textonotapie"/>
        <w:ind w:firstLine="709"/>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CORTE CONSTITUCIONAL, Sentencia C-382 de 2019, M.P. Alejandro Linares Cantillo.</w:t>
      </w:r>
    </w:p>
  </w:footnote>
  <w:footnote w:id="19">
    <w:p w14:paraId="23C16076" w14:textId="77777777" w:rsidR="004C01E1" w:rsidRPr="006B3C94" w:rsidRDefault="004C01E1" w:rsidP="004C01E1">
      <w:pPr>
        <w:pStyle w:val="Textonotapie"/>
        <w:ind w:firstLine="709"/>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La redacción original del parágrafo primero del artículo 32 de la Ley 80 de 1993, incluía la expresión giro ordinario,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al giro ordinario de las actividades propias de su objeto social, no estarán sujetos a las disposiciones del presente estatuto y se regirán por las disposiciones legales y reglamentarias aplicables a dichas actividades” [Énfasis fuera de texto].</w:t>
      </w:r>
    </w:p>
  </w:footnote>
  <w:footnote w:id="20">
    <w:p w14:paraId="4C9E5706" w14:textId="77777777" w:rsidR="004C01E1" w:rsidRPr="006B3C94" w:rsidRDefault="004C01E1" w:rsidP="004C01E1">
      <w:pPr>
        <w:pStyle w:val="Textonotapie"/>
        <w:ind w:firstLine="709"/>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CONSEJO DE ESTADO. Sección Tercera. Subsección B. Sentencia del 12 de octubre de 2011. Exp. No. 20070. C.P. Danilo Rojas Betancourt.</w:t>
      </w:r>
    </w:p>
  </w:footnote>
  <w:footnote w:id="21">
    <w:p w14:paraId="717D57F2" w14:textId="77777777" w:rsidR="004C01E1" w:rsidRPr="006B3C94" w:rsidRDefault="004C01E1" w:rsidP="004C01E1">
      <w:pPr>
        <w:tabs>
          <w:tab w:val="left" w:pos="0"/>
        </w:tabs>
        <w:spacing w:after="0" w:line="240" w:lineRule="auto"/>
        <w:contextualSpacing/>
        <w:jc w:val="both"/>
        <w:rPr>
          <w:rFonts w:ascii="Verdana" w:eastAsia="Calibri" w:hAnsi="Verdana" w:cs="Arial"/>
          <w:color w:val="000000"/>
          <w:sz w:val="19"/>
          <w:szCs w:val="19"/>
          <w:lang w:val="es-ES_tradnl" w:eastAsia="es-ES_tradnl"/>
        </w:rPr>
      </w:pPr>
      <w:r w:rsidRPr="006B3C94">
        <w:rPr>
          <w:rFonts w:ascii="Verdana" w:hAnsi="Verdana" w:cs="Arial"/>
          <w:color w:val="000000"/>
          <w:sz w:val="19"/>
          <w:szCs w:val="19"/>
        </w:rPr>
        <w:tab/>
      </w: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CONSEJO DE ESTADO. Sección Tercera. Subsección A. Sentencia del 3 de marzo de 2021. Exp. No. 51373. C.P. José Roberto Sáchica Méndez. </w:t>
      </w:r>
      <w:r w:rsidRPr="006B3C94">
        <w:rPr>
          <w:rFonts w:ascii="Verdana" w:eastAsia="Calibri" w:hAnsi="Verdana" w:cs="Arial"/>
          <w:color w:val="000000"/>
          <w:sz w:val="19"/>
          <w:szCs w:val="19"/>
          <w:lang w:val="es-ES_tradnl" w:eastAsia="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footnote>
  <w:footnote w:id="22">
    <w:p w14:paraId="70A3C5CA" w14:textId="77777777" w:rsidR="004C01E1" w:rsidRPr="006B3C94" w:rsidRDefault="004C01E1" w:rsidP="004C01E1">
      <w:pPr>
        <w:pStyle w:val="Textonotapie"/>
        <w:ind w:firstLine="708"/>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la Superintendencia de Sociedades, citando doctrina autorizada en la materia, ha señalado: “Si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footnote>
  <w:footnote w:id="23">
    <w:p w14:paraId="55E7BF5B" w14:textId="77777777" w:rsidR="004C01E1" w:rsidRPr="006B3C94" w:rsidRDefault="004C01E1" w:rsidP="004C01E1">
      <w:pPr>
        <w:pStyle w:val="Textonotapie"/>
        <w:ind w:firstLine="709"/>
        <w:contextualSpacing/>
        <w:jc w:val="both"/>
        <w:rPr>
          <w:rFonts w:ascii="Verdana" w:hAnsi="Verdana" w:cs="Arial"/>
          <w:color w:val="000000"/>
          <w:sz w:val="19"/>
          <w:szCs w:val="19"/>
        </w:rPr>
      </w:pPr>
      <w:r w:rsidRPr="006B3C94">
        <w:rPr>
          <w:rStyle w:val="Refdenotaalpie"/>
          <w:rFonts w:ascii="Verdana" w:hAnsi="Verdana" w:cs="Arial"/>
          <w:color w:val="000000"/>
          <w:sz w:val="19"/>
          <w:szCs w:val="19"/>
        </w:rPr>
        <w:footnoteRef/>
      </w:r>
      <w:r w:rsidRPr="006B3C94">
        <w:rPr>
          <w:rFonts w:ascii="Verdana" w:hAnsi="Verdana" w:cs="Arial"/>
          <w:color w:val="000000"/>
          <w:sz w:val="19"/>
          <w:szCs w:val="19"/>
        </w:rPr>
        <w:t xml:space="preserve"> El Consejo de Estado ha precisado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36A4F255" w14:textId="77777777" w:rsidR="004C01E1" w:rsidRPr="006B3C94" w:rsidRDefault="004C01E1" w:rsidP="004C01E1">
      <w:pPr>
        <w:pStyle w:val="Textonotapie"/>
        <w:ind w:firstLine="709"/>
        <w:contextualSpacing/>
        <w:jc w:val="both"/>
        <w:rPr>
          <w:rFonts w:ascii="Verdana" w:hAnsi="Verdana" w:cs="Arial"/>
          <w:color w:val="000000"/>
          <w:sz w:val="19"/>
          <w:szCs w:val="19"/>
        </w:rPr>
      </w:pPr>
      <w:r w:rsidRPr="006B3C94">
        <w:rPr>
          <w:rFonts w:ascii="Verdana" w:hAnsi="Verdana" w:cs="Arial"/>
          <w:color w:val="000000"/>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24">
    <w:p w14:paraId="70F16C69" w14:textId="77777777" w:rsidR="004C01E1" w:rsidRPr="006B3C94" w:rsidRDefault="004C01E1" w:rsidP="004C01E1">
      <w:pPr>
        <w:pStyle w:val="Textonotapie"/>
        <w:ind w:firstLine="709"/>
        <w:jc w:val="both"/>
        <w:rPr>
          <w:rFonts w:ascii="Verdana" w:hAnsi="Verdana" w:cs="Arial"/>
          <w:color w:val="000000"/>
          <w:sz w:val="19"/>
          <w:szCs w:val="19"/>
        </w:rPr>
      </w:pPr>
      <w:r w:rsidRPr="006B3C94">
        <w:rPr>
          <w:rStyle w:val="Refdenotaalpie"/>
          <w:rFonts w:ascii="Verdana" w:hAnsi="Verdana" w:cs="Arial"/>
          <w:sz w:val="19"/>
          <w:szCs w:val="19"/>
        </w:rPr>
        <w:footnoteRef/>
      </w:r>
      <w:r w:rsidRPr="006B3C94">
        <w:rPr>
          <w:rFonts w:ascii="Verdana" w:hAnsi="Verdana" w:cs="Arial"/>
          <w:color w:val="000000"/>
          <w:sz w:val="19"/>
          <w:szCs w:val="19"/>
        </w:rPr>
        <w:t xml:space="preserve"> En efecto, en audiencia Pública del 18 de marzo de 2021, esta Agencia llamó la atención sobre la necesidad  de incluir en el Proyecto de Ley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r w:rsidRPr="006B3C94">
        <w:rPr>
          <w:rFonts w:ascii="Verdana" w:hAnsi="Verdana" w:cs="Arial"/>
          <w:color w:val="000000"/>
          <w:sz w:val="19"/>
          <w:szCs w:val="19"/>
        </w:rPr>
        <w:cr/>
      </w:r>
    </w:p>
  </w:footnote>
  <w:footnote w:id="25">
    <w:p w14:paraId="78D8E78F" w14:textId="77777777" w:rsidR="004C01E1" w:rsidRPr="006B3C94" w:rsidRDefault="004C01E1" w:rsidP="004C01E1">
      <w:pPr>
        <w:pStyle w:val="Textonotapie"/>
        <w:ind w:firstLine="709"/>
        <w:jc w:val="both"/>
        <w:rPr>
          <w:rFonts w:ascii="Verdana" w:hAnsi="Verdana" w:cs="Arial"/>
          <w:color w:val="000000"/>
          <w:sz w:val="19"/>
          <w:szCs w:val="19"/>
        </w:rPr>
      </w:pPr>
      <w:r w:rsidRPr="006B3C94">
        <w:rPr>
          <w:rStyle w:val="Refdenotaalpie"/>
          <w:rFonts w:ascii="Verdana" w:hAnsi="Verdana" w:cs="Arial"/>
          <w:sz w:val="19"/>
          <w:szCs w:val="19"/>
        </w:rPr>
        <w:footnoteRef/>
      </w:r>
      <w:r w:rsidRPr="006B3C94">
        <w:rPr>
          <w:rFonts w:ascii="Verdana" w:hAnsi="Verdana" w:cs="Arial"/>
          <w:color w:val="000000"/>
          <w:sz w:val="19"/>
          <w:szCs w:val="19"/>
        </w:rPr>
        <w:t xml:space="preserve"> Al respecto ha señalado la Corte Constitucional: «En relación con el ámbito de configuración del legislador en materia contractual la jurisprudencia constitucional ha señalado los siguientes criterios:</w:t>
      </w:r>
    </w:p>
    <w:p w14:paraId="34385D0D"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71567830" w14:textId="77777777" w:rsidR="004C01E1" w:rsidRPr="006B3C94" w:rsidRDefault="004C01E1" w:rsidP="004C01E1">
      <w:pPr>
        <w:pStyle w:val="Textonotapie"/>
        <w:spacing w:after="120"/>
        <w:ind w:firstLine="709"/>
        <w:jc w:val="both"/>
        <w:rPr>
          <w:rFonts w:ascii="Verdana" w:hAnsi="Verdana" w:cs="Arial"/>
          <w:color w:val="000000"/>
          <w:sz w:val="19"/>
          <w:szCs w:val="19"/>
        </w:rPr>
      </w:pPr>
      <w:r w:rsidRPr="006B3C94">
        <w:rPr>
          <w:rFonts w:ascii="Verdana" w:hAnsi="Verdana" w:cs="Arial"/>
          <w:color w:val="000000"/>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1D4DB9AF"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p w14:paraId="49D925F2"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 xml:space="preserve"> </w:t>
      </w:r>
    </w:p>
  </w:footnote>
  <w:footnote w:id="26">
    <w:p w14:paraId="2A9197AC" w14:textId="77777777" w:rsidR="004C01E1" w:rsidRPr="006B3C94" w:rsidRDefault="004C01E1" w:rsidP="004C01E1">
      <w:pPr>
        <w:pStyle w:val="Textonotapie"/>
        <w:ind w:firstLine="709"/>
        <w:jc w:val="both"/>
        <w:rPr>
          <w:rFonts w:ascii="Verdana" w:hAnsi="Verdana" w:cs="Arial"/>
          <w:color w:val="000000"/>
          <w:sz w:val="19"/>
          <w:szCs w:val="19"/>
        </w:rPr>
      </w:pPr>
      <w:r w:rsidRPr="006B3C94">
        <w:rPr>
          <w:rStyle w:val="Refdenotaalpie"/>
          <w:rFonts w:ascii="Verdana" w:hAnsi="Verdana" w:cs="Arial"/>
          <w:sz w:val="19"/>
          <w:szCs w:val="19"/>
        </w:rPr>
        <w:footnoteRef/>
      </w:r>
      <w:r w:rsidRPr="006B3C94">
        <w:rPr>
          <w:rFonts w:ascii="Verdana" w:hAnsi="Verdana" w:cs="Arial"/>
          <w:sz w:val="19"/>
          <w:szCs w:val="19"/>
        </w:rPr>
        <w:t xml:space="preserve"> </w:t>
      </w:r>
      <w:r w:rsidRPr="006B3C94">
        <w:rPr>
          <w:rFonts w:ascii="Verdana" w:hAnsi="Verdana" w:cs="Arial"/>
          <w:color w:val="000000"/>
          <w:sz w:val="19"/>
          <w:szCs w:val="19"/>
        </w:rPr>
        <w:t>Consejo de Estado. Sección Tercera. Subsección A. Sentencia del 24 de junio de 2015. Exp. 40.635. Consejero Ponente: Hernán Andrade Rincón (E).</w:t>
      </w:r>
    </w:p>
    <w:p w14:paraId="2E746466" w14:textId="77777777" w:rsidR="004C01E1" w:rsidRPr="006B3C94" w:rsidRDefault="004C01E1" w:rsidP="004C01E1">
      <w:pPr>
        <w:pStyle w:val="Textonotapie"/>
        <w:ind w:firstLine="709"/>
        <w:jc w:val="both"/>
        <w:rPr>
          <w:rFonts w:ascii="Verdana" w:hAnsi="Verdana" w:cs="Arial"/>
          <w:sz w:val="19"/>
          <w:szCs w:val="19"/>
          <w:lang w:val="es-ES"/>
        </w:rPr>
      </w:pPr>
    </w:p>
  </w:footnote>
  <w:footnote w:id="27">
    <w:p w14:paraId="423C5866" w14:textId="77777777" w:rsidR="004C01E1" w:rsidRPr="006B3C94" w:rsidRDefault="004C01E1" w:rsidP="004C01E1">
      <w:pPr>
        <w:pStyle w:val="Textonotapie"/>
        <w:ind w:firstLine="709"/>
        <w:jc w:val="both"/>
        <w:rPr>
          <w:rFonts w:ascii="Verdana" w:hAnsi="Verdana" w:cs="Arial"/>
          <w:color w:val="000000"/>
          <w:sz w:val="19"/>
          <w:szCs w:val="19"/>
          <w:lang w:val="es-ES"/>
        </w:rPr>
      </w:pPr>
      <w:r w:rsidRPr="006B3C94">
        <w:rPr>
          <w:rStyle w:val="Refdenotaalpie"/>
          <w:rFonts w:ascii="Verdana" w:hAnsi="Verdana" w:cs="Arial"/>
          <w:sz w:val="19"/>
          <w:szCs w:val="19"/>
        </w:rPr>
        <w:footnoteRef/>
      </w:r>
      <w:r w:rsidRPr="006B3C94">
        <w:rPr>
          <w:rFonts w:ascii="Verdana" w:hAnsi="Verdana" w:cs="Arial"/>
          <w:sz w:val="19"/>
          <w:szCs w:val="19"/>
        </w:rPr>
        <w:t xml:space="preserve"> </w:t>
      </w:r>
      <w:r w:rsidRPr="006B3C94">
        <w:rPr>
          <w:rFonts w:ascii="Verdana" w:hAnsi="Verdana" w:cs="Arial"/>
          <w:color w:val="000000"/>
          <w:sz w:val="19"/>
          <w:szCs w:val="19"/>
          <w:lang w:val="es-ES"/>
        </w:rPr>
        <w:t>Consejo de Estado. Sala de Consulta y Servicio Civil. Concepto del 30 de abril de 2015. Expediente: 2251. Consejero Ponente: Álvaro Namén Vargas.</w:t>
      </w:r>
    </w:p>
    <w:p w14:paraId="20181580" w14:textId="77777777" w:rsidR="004C01E1" w:rsidRPr="006B3C94" w:rsidRDefault="004C01E1" w:rsidP="004C01E1">
      <w:pPr>
        <w:pStyle w:val="Textonotapie"/>
        <w:ind w:firstLine="709"/>
        <w:jc w:val="both"/>
        <w:rPr>
          <w:rFonts w:ascii="Verdana" w:hAnsi="Verdana" w:cs="Arial"/>
          <w:sz w:val="19"/>
          <w:szCs w:val="19"/>
          <w:lang w:val="es-ES"/>
        </w:rPr>
      </w:pPr>
    </w:p>
  </w:footnote>
  <w:footnote w:id="28">
    <w:p w14:paraId="56FD9E2C" w14:textId="77777777" w:rsidR="004C01E1" w:rsidRPr="006B3C94" w:rsidRDefault="004C01E1" w:rsidP="004C01E1">
      <w:pPr>
        <w:pStyle w:val="Textonotapie"/>
        <w:ind w:firstLine="709"/>
        <w:jc w:val="both"/>
        <w:rPr>
          <w:rFonts w:ascii="Verdana" w:hAnsi="Verdana" w:cs="Arial"/>
          <w:color w:val="000000"/>
          <w:sz w:val="19"/>
          <w:szCs w:val="19"/>
        </w:rPr>
      </w:pPr>
      <w:r w:rsidRPr="006B3C94">
        <w:rPr>
          <w:rStyle w:val="Refdenotaalpie"/>
          <w:rFonts w:ascii="Verdana" w:hAnsi="Verdana" w:cs="Arial"/>
          <w:sz w:val="19"/>
          <w:szCs w:val="19"/>
        </w:rPr>
        <w:footnoteRef/>
      </w:r>
      <w:r w:rsidRPr="006B3C94">
        <w:rPr>
          <w:rFonts w:ascii="Verdana" w:hAnsi="Verdana" w:cs="Arial"/>
          <w:color w:val="000000"/>
          <w:sz w:val="19"/>
          <w:szCs w:val="19"/>
        </w:rPr>
        <w:t xml:space="preserve"> Código Civil: “Artículo 27. Interpretación Gramatical. Cuando el sentido de la ley sea claro, no se desatenderá su tenor literal a pretexto de consultar su espíritu.</w:t>
      </w:r>
    </w:p>
    <w:p w14:paraId="5AA9F38C" w14:textId="77777777" w:rsidR="004C01E1" w:rsidRPr="006B3C94" w:rsidRDefault="004C01E1" w:rsidP="004C01E1">
      <w:pPr>
        <w:pStyle w:val="Textonotapie"/>
        <w:ind w:firstLine="709"/>
        <w:jc w:val="both"/>
        <w:rPr>
          <w:rFonts w:ascii="Verdana" w:hAnsi="Verdana" w:cs="Arial"/>
          <w:color w:val="000000"/>
          <w:sz w:val="19"/>
          <w:szCs w:val="19"/>
        </w:rPr>
      </w:pPr>
      <w:r w:rsidRPr="006B3C94">
        <w:rPr>
          <w:rFonts w:ascii="Verdana" w:hAnsi="Verdana" w:cs="Arial"/>
          <w:color w:val="000000"/>
          <w:sz w:val="19"/>
          <w:szCs w:val="19"/>
        </w:rPr>
        <w:t>»Pero bien se puede, para interpretar una expresión oscura de la ley, recurrir a su intención o espíritu, claramente manifestados en ella misma o en la historia fidedigna de su establecimiento”.</w:t>
      </w:r>
    </w:p>
  </w:footnote>
  <w:footnote w:id="29">
    <w:p w14:paraId="44F11B79" w14:textId="77777777" w:rsidR="004C01E1" w:rsidRPr="006B3C94" w:rsidRDefault="004C01E1" w:rsidP="004C01E1">
      <w:pPr>
        <w:pStyle w:val="Textonotapie"/>
        <w:ind w:firstLine="708"/>
        <w:jc w:val="both"/>
        <w:rPr>
          <w:rFonts w:ascii="Verdana" w:hAnsi="Verdana" w:cs="Arial"/>
          <w:sz w:val="19"/>
          <w:szCs w:val="19"/>
        </w:rPr>
      </w:pPr>
    </w:p>
    <w:p w14:paraId="70B7D416" w14:textId="77777777" w:rsidR="004C01E1" w:rsidRPr="006B3C94" w:rsidRDefault="004C01E1" w:rsidP="004C01E1">
      <w:pPr>
        <w:ind w:firstLine="708"/>
        <w:jc w:val="both"/>
        <w:rPr>
          <w:rFonts w:ascii="Verdana" w:hAnsi="Verdana" w:cs="Arial"/>
          <w:sz w:val="19"/>
          <w:szCs w:val="19"/>
          <w:lang w:val="es-MX"/>
        </w:rPr>
      </w:pPr>
      <w:r w:rsidRPr="006B3C94">
        <w:rPr>
          <w:rStyle w:val="Refdenotaalpie"/>
          <w:rFonts w:ascii="Verdana" w:hAnsi="Verdana" w:cs="Arial"/>
          <w:sz w:val="19"/>
          <w:szCs w:val="19"/>
        </w:rPr>
        <w:footnoteRef/>
      </w:r>
      <w:r w:rsidRPr="006B3C94">
        <w:rPr>
          <w:rFonts w:ascii="Verdana" w:hAnsi="Verdana" w:cs="Arial"/>
          <w:sz w:val="19"/>
          <w:szCs w:val="19"/>
        </w:rPr>
        <w:t xml:space="preserve"> Código Civil: “</w:t>
      </w:r>
      <w:r w:rsidRPr="006B3C94">
        <w:rPr>
          <w:rFonts w:ascii="Verdana" w:hAnsi="Verdana" w:cs="Arial"/>
          <w:sz w:val="19"/>
          <w:szCs w:val="19"/>
          <w:lang w:val="es-MX"/>
        </w:rPr>
        <w:t>Artículo 31. Interpretación sobre la extensión de una ley. Lo favorable u odioso de una disposición no se tomará en cuenta para ampliar o restringir su interpretación. La extensión que deba darse a toda ley se determinará por su genuino sentido, y según las reglas de interpretación precedentes”.</w:t>
      </w:r>
    </w:p>
    <w:p w14:paraId="575035BE" w14:textId="77777777" w:rsidR="004C01E1" w:rsidRPr="006B3C94" w:rsidRDefault="004C01E1" w:rsidP="004C01E1">
      <w:pPr>
        <w:pStyle w:val="Textonotapie"/>
        <w:ind w:firstLine="708"/>
        <w:jc w:val="both"/>
        <w:rPr>
          <w:rFonts w:ascii="Verdana" w:hAnsi="Verdana" w:cs="Arial"/>
          <w:sz w:val="19"/>
          <w:szCs w:val="19"/>
          <w:lang w:val="es-CO"/>
        </w:rPr>
      </w:pPr>
      <w:r w:rsidRPr="006B3C94">
        <w:rPr>
          <w:rFonts w:ascii="Verdana" w:hAnsi="Verdana"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DBB810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827671454" o:spid="_x0000_i1025" type="#_x0000_t75" style="width:11.25pt;height:11.25pt;visibility:visible;mso-wrap-style:square">
            <v:imagedata r:id="rId1" o:title=""/>
          </v:shape>
        </w:pict>
      </mc:Choice>
      <mc:Fallback>
        <w:drawing>
          <wp:inline distT="0" distB="0" distL="0" distR="0" wp14:anchorId="505E8CAA" wp14:editId="505E8CAB">
            <wp:extent cx="142875" cy="142875"/>
            <wp:effectExtent l="0" t="0" r="0" b="0"/>
            <wp:docPr id="827671454" name="Imagen 82767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05E411A"/>
    <w:multiLevelType w:val="multilevel"/>
    <w:tmpl w:val="F9586922"/>
    <w:lvl w:ilvl="0">
      <w:start w:val="14"/>
      <w:numFmt w:val="decimal"/>
      <w:lvlText w:val="%1"/>
      <w:lvlJc w:val="left"/>
      <w:pPr>
        <w:ind w:left="810" w:hanging="550"/>
      </w:pPr>
    </w:lvl>
    <w:lvl w:ilvl="1">
      <w:start w:val="5"/>
      <w:numFmt w:val="decimal"/>
      <w:lvlText w:val="%1.%2."/>
      <w:lvlJc w:val="left"/>
      <w:pPr>
        <w:ind w:left="810" w:hanging="550"/>
      </w:pPr>
      <w:rPr>
        <w:rFonts w:ascii="Arial" w:eastAsia="Arial" w:hAnsi="Arial" w:cs="Arial"/>
        <w:color w:val="000000"/>
        <w:sz w:val="20"/>
        <w:szCs w:val="20"/>
      </w:rPr>
    </w:lvl>
    <w:lvl w:ilvl="2">
      <w:start w:val="1"/>
      <w:numFmt w:val="bullet"/>
      <w:lvlText w:val="•"/>
      <w:lvlJc w:val="left"/>
      <w:pPr>
        <w:ind w:left="2484" w:hanging="550"/>
      </w:pPr>
    </w:lvl>
    <w:lvl w:ilvl="3">
      <w:start w:val="1"/>
      <w:numFmt w:val="bullet"/>
      <w:lvlText w:val="•"/>
      <w:lvlJc w:val="left"/>
      <w:pPr>
        <w:ind w:left="3316" w:hanging="550"/>
      </w:pPr>
    </w:lvl>
    <w:lvl w:ilvl="4">
      <w:start w:val="1"/>
      <w:numFmt w:val="bullet"/>
      <w:lvlText w:val="•"/>
      <w:lvlJc w:val="left"/>
      <w:pPr>
        <w:ind w:left="4148" w:hanging="550"/>
      </w:pPr>
    </w:lvl>
    <w:lvl w:ilvl="5">
      <w:start w:val="1"/>
      <w:numFmt w:val="bullet"/>
      <w:lvlText w:val="•"/>
      <w:lvlJc w:val="left"/>
      <w:pPr>
        <w:ind w:left="4980" w:hanging="550"/>
      </w:pPr>
    </w:lvl>
    <w:lvl w:ilvl="6">
      <w:start w:val="1"/>
      <w:numFmt w:val="bullet"/>
      <w:lvlText w:val="•"/>
      <w:lvlJc w:val="left"/>
      <w:pPr>
        <w:ind w:left="5812" w:hanging="550"/>
      </w:pPr>
    </w:lvl>
    <w:lvl w:ilvl="7">
      <w:start w:val="1"/>
      <w:numFmt w:val="bullet"/>
      <w:lvlText w:val="•"/>
      <w:lvlJc w:val="left"/>
      <w:pPr>
        <w:ind w:left="6644" w:hanging="550"/>
      </w:pPr>
    </w:lvl>
    <w:lvl w:ilvl="8">
      <w:start w:val="1"/>
      <w:numFmt w:val="bullet"/>
      <w:lvlText w:val="•"/>
      <w:lvlJc w:val="left"/>
      <w:pPr>
        <w:ind w:left="7476" w:hanging="550"/>
      </w:pPr>
    </w:lvl>
  </w:abstractNum>
  <w:abstractNum w:abstractNumId="1"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F094B31"/>
    <w:multiLevelType w:val="hybridMultilevel"/>
    <w:tmpl w:val="DBE22DD2"/>
    <w:lvl w:ilvl="0" w:tplc="3B72136E">
      <w:start w:val="1"/>
      <w:numFmt w:val="lowerRoman"/>
      <w:lvlText w:val="%1)"/>
      <w:lvlJc w:val="left"/>
      <w:pPr>
        <w:ind w:left="1080" w:hanging="72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195EDF"/>
    <w:multiLevelType w:val="hybridMultilevel"/>
    <w:tmpl w:val="0622BFD8"/>
    <w:lvl w:ilvl="0" w:tplc="F55E9EA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9"/>
  </w:num>
  <w:num w:numId="2" w16cid:durableId="19822139">
    <w:abstractNumId w:val="3"/>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6"/>
  </w:num>
  <w:num w:numId="7" w16cid:durableId="1946422806">
    <w:abstractNumId w:val="8"/>
  </w:num>
  <w:num w:numId="8" w16cid:durableId="152644682">
    <w:abstractNumId w:val="15"/>
  </w:num>
  <w:num w:numId="9" w16cid:durableId="1317221377">
    <w:abstractNumId w:val="10"/>
  </w:num>
  <w:num w:numId="10" w16cid:durableId="1471245386">
    <w:abstractNumId w:val="14"/>
  </w:num>
  <w:num w:numId="11" w16cid:durableId="289172385">
    <w:abstractNumId w:val="11"/>
  </w:num>
  <w:num w:numId="12" w16cid:durableId="1470781324">
    <w:abstractNumId w:val="2"/>
  </w:num>
  <w:num w:numId="13" w16cid:durableId="1512908409">
    <w:abstractNumId w:val="6"/>
  </w:num>
  <w:num w:numId="14" w16cid:durableId="895897244">
    <w:abstractNumId w:val="17"/>
  </w:num>
  <w:num w:numId="15" w16cid:durableId="390349800">
    <w:abstractNumId w:val="13"/>
  </w:num>
  <w:num w:numId="16" w16cid:durableId="975989822">
    <w:abstractNumId w:val="1"/>
  </w:num>
  <w:num w:numId="17" w16cid:durableId="1448890954">
    <w:abstractNumId w:val="0"/>
  </w:num>
  <w:num w:numId="18" w16cid:durableId="590090864">
    <w:abstractNumId w:val="5"/>
  </w:num>
  <w:num w:numId="19" w16cid:durableId="372924262">
    <w:abstractNumId w:val="4"/>
  </w:num>
  <w:num w:numId="20" w16cid:durableId="67908957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E4177"/>
    <w:rsid w:val="001F7DC6"/>
    <w:rsid w:val="00220021"/>
    <w:rsid w:val="002421BB"/>
    <w:rsid w:val="0025796E"/>
    <w:rsid w:val="002707A2"/>
    <w:rsid w:val="002951A0"/>
    <w:rsid w:val="002962BC"/>
    <w:rsid w:val="002A093D"/>
    <w:rsid w:val="002A0DD0"/>
    <w:rsid w:val="002A49AC"/>
    <w:rsid w:val="002A64FD"/>
    <w:rsid w:val="002C7A84"/>
    <w:rsid w:val="002E4FD9"/>
    <w:rsid w:val="002F2493"/>
    <w:rsid w:val="00322A85"/>
    <w:rsid w:val="00324168"/>
    <w:rsid w:val="003448F4"/>
    <w:rsid w:val="00374F5E"/>
    <w:rsid w:val="00377E3E"/>
    <w:rsid w:val="0039051D"/>
    <w:rsid w:val="003A779E"/>
    <w:rsid w:val="003D0F4D"/>
    <w:rsid w:val="003D5B0D"/>
    <w:rsid w:val="003E0499"/>
    <w:rsid w:val="003F3941"/>
    <w:rsid w:val="00406575"/>
    <w:rsid w:val="00414C74"/>
    <w:rsid w:val="0042722E"/>
    <w:rsid w:val="00441735"/>
    <w:rsid w:val="0044528D"/>
    <w:rsid w:val="004A1847"/>
    <w:rsid w:val="004A305D"/>
    <w:rsid w:val="004C01E1"/>
    <w:rsid w:val="004F21C4"/>
    <w:rsid w:val="004F685F"/>
    <w:rsid w:val="005566E8"/>
    <w:rsid w:val="00574867"/>
    <w:rsid w:val="00591460"/>
    <w:rsid w:val="005B1C8A"/>
    <w:rsid w:val="005B3816"/>
    <w:rsid w:val="005C1F5F"/>
    <w:rsid w:val="005C3777"/>
    <w:rsid w:val="005C5CDC"/>
    <w:rsid w:val="005D476C"/>
    <w:rsid w:val="006219F8"/>
    <w:rsid w:val="00665D70"/>
    <w:rsid w:val="006900D9"/>
    <w:rsid w:val="00706C16"/>
    <w:rsid w:val="0073705B"/>
    <w:rsid w:val="00756841"/>
    <w:rsid w:val="007649AB"/>
    <w:rsid w:val="00771D0C"/>
    <w:rsid w:val="007833AC"/>
    <w:rsid w:val="00785633"/>
    <w:rsid w:val="007B268C"/>
    <w:rsid w:val="007B7171"/>
    <w:rsid w:val="007C0C0F"/>
    <w:rsid w:val="007C3DC2"/>
    <w:rsid w:val="007E5497"/>
    <w:rsid w:val="00806F5F"/>
    <w:rsid w:val="00816ED4"/>
    <w:rsid w:val="00820278"/>
    <w:rsid w:val="00867F95"/>
    <w:rsid w:val="008843B6"/>
    <w:rsid w:val="00891928"/>
    <w:rsid w:val="008A446D"/>
    <w:rsid w:val="008D180B"/>
    <w:rsid w:val="008F0EA7"/>
    <w:rsid w:val="00923EEF"/>
    <w:rsid w:val="009302C9"/>
    <w:rsid w:val="009419F9"/>
    <w:rsid w:val="0095685E"/>
    <w:rsid w:val="00961B09"/>
    <w:rsid w:val="00965334"/>
    <w:rsid w:val="0097093E"/>
    <w:rsid w:val="00986AC5"/>
    <w:rsid w:val="009A0DFA"/>
    <w:rsid w:val="009B2D26"/>
    <w:rsid w:val="009C71FA"/>
    <w:rsid w:val="009C72E7"/>
    <w:rsid w:val="009D3058"/>
    <w:rsid w:val="009D4981"/>
    <w:rsid w:val="009F3A13"/>
    <w:rsid w:val="00A07529"/>
    <w:rsid w:val="00A122D3"/>
    <w:rsid w:val="00A17F13"/>
    <w:rsid w:val="00A20739"/>
    <w:rsid w:val="00A33C78"/>
    <w:rsid w:val="00AB0ADB"/>
    <w:rsid w:val="00B01120"/>
    <w:rsid w:val="00B01B1A"/>
    <w:rsid w:val="00B1685F"/>
    <w:rsid w:val="00B66319"/>
    <w:rsid w:val="00B72CD3"/>
    <w:rsid w:val="00B72FFF"/>
    <w:rsid w:val="00BC3D36"/>
    <w:rsid w:val="00BD7F72"/>
    <w:rsid w:val="00C04FB3"/>
    <w:rsid w:val="00C31E8B"/>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412FF"/>
    <w:rsid w:val="00E50AFE"/>
    <w:rsid w:val="00E65CFA"/>
    <w:rsid w:val="00E75C92"/>
    <w:rsid w:val="00E771DC"/>
    <w:rsid w:val="00E8772A"/>
    <w:rsid w:val="00E90F6B"/>
    <w:rsid w:val="00E92C27"/>
    <w:rsid w:val="00EA0E3D"/>
    <w:rsid w:val="00EC38A7"/>
    <w:rsid w:val="00ED7384"/>
    <w:rsid w:val="00EE1AA8"/>
    <w:rsid w:val="00F31EDC"/>
    <w:rsid w:val="00F36DFE"/>
    <w:rsid w:val="00F3737F"/>
    <w:rsid w:val="00F462B3"/>
    <w:rsid w:val="00F5664F"/>
    <w:rsid w:val="00F666C4"/>
    <w:rsid w:val="00F76AFC"/>
    <w:rsid w:val="00FA47C0"/>
    <w:rsid w:val="00FB5DD1"/>
    <w:rsid w:val="00FC2B5D"/>
    <w:rsid w:val="00FF1449"/>
    <w:rsid w:val="787155A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C01E1"/>
    <w:pPr>
      <w:spacing w:line="240" w:lineRule="exact"/>
    </w:pPr>
    <w:rPr>
      <w:vertAlign w:val="superscript"/>
    </w:rPr>
  </w:style>
  <w:style w:type="character" w:styleId="Textoennegrita">
    <w:name w:val="Strong"/>
    <w:basedOn w:val="Fuentedeprrafopredeter"/>
    <w:uiPriority w:val="22"/>
    <w:qFormat/>
    <w:rsid w:val="004C01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wp-content/uploads/2025/05/GUIA-DE-LINEAMIENTOS-DE-TRANSPARENCIA-Y-SELECCION-OBJETIVA-1.0.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normas.cra.gov.co/gestor/docs/concepto_superservicios_0000169_202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a6cb9e4b-f1d1-4245-83ec-6cad768d538a"/>
    <ds:schemaRef ds:uri="http://schemas.microsoft.com/office/2006/documentManagement/types"/>
    <ds:schemaRef ds:uri="http://purl.org/dc/terms/"/>
    <ds:schemaRef ds:uri="http://purl.org/dc/dcmitype/"/>
    <ds:schemaRef ds:uri="http://schemas.openxmlformats.org/package/2006/metadata/core-properties"/>
    <ds:schemaRef ds:uri="http://schemas.microsoft.com/office/infopath/2007/PartnerControls"/>
    <ds:schemaRef ds:uri="9d85dbaf-23eb-4e57-a637-93dcacc8b1a1"/>
    <ds:schemaRef ds:uri="http://www.w3.org/XML/1998/namespace"/>
  </ds:schemaRefs>
</ds:datastoreItem>
</file>

<file path=customXml/itemProps2.xml><?xml version="1.0" encoding="utf-8"?>
<ds:datastoreItem xmlns:ds="http://schemas.openxmlformats.org/officeDocument/2006/customXml" ds:itemID="{B75837F0-D637-4DA3-8FE2-267D19BAF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13384</Words>
  <Characters>73612</Characters>
  <Application>Microsoft Office Word</Application>
  <DocSecurity>0</DocSecurity>
  <Lines>613</Lines>
  <Paragraphs>173</Paragraphs>
  <ScaleCrop>false</ScaleCrop>
  <Company/>
  <LinksUpToDate>false</LinksUpToDate>
  <CharactersWithSpaces>86823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2025-05-27T21:38:00Z</dcterms:created>
  <dcterms:modified xsi:type="dcterms:W3CDTF">2025-05-27T21:38:00Z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