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C18DD" w14:textId="77777777" w:rsidR="0033778F" w:rsidRPr="00501703" w:rsidRDefault="0033778F" w:rsidP="0033778F">
      <w:pPr>
        <w:spacing w:after="0" w:line="240" w:lineRule="auto"/>
        <w:jc w:val="both"/>
        <w:rPr>
          <w:rFonts w:ascii="Verdana" w:eastAsia="Calibri" w:hAnsi="Verdana" w:cs="Arial"/>
          <w:b/>
          <w:lang w:val="es-ES" w:eastAsia="es-ES"/>
        </w:rPr>
      </w:pPr>
      <w:bookmarkStart w:id="0" w:name="_Hlk143780582"/>
      <w:r w:rsidRPr="00501703">
        <w:rPr>
          <w:rFonts w:ascii="Verdana" w:eastAsia="Calibri" w:hAnsi="Verdana" w:cs="Arial"/>
          <w:b/>
          <w:lang w:val="es-ES" w:eastAsia="es-ES"/>
        </w:rPr>
        <w:t xml:space="preserve">CONTRATACIÓN PÚBLICA – Principio de publicidad – Principio de transparencia – Uso del SECOP </w:t>
      </w:r>
    </w:p>
    <w:p w14:paraId="66C2CFD1" w14:textId="77777777" w:rsidR="0033778F" w:rsidRPr="00501703" w:rsidRDefault="0033778F" w:rsidP="0033778F">
      <w:pPr>
        <w:spacing w:after="0" w:line="240" w:lineRule="auto"/>
        <w:jc w:val="both"/>
        <w:rPr>
          <w:rFonts w:ascii="Verdana" w:eastAsia="Calibri" w:hAnsi="Verdana" w:cs="Arial"/>
          <w:b/>
          <w:bCs/>
          <w:sz w:val="20"/>
          <w:szCs w:val="20"/>
          <w:highlight w:val="yellow"/>
          <w:lang w:val="es-ES_tradnl" w:eastAsia="es-ES_tradnl"/>
        </w:rPr>
      </w:pPr>
    </w:p>
    <w:p w14:paraId="5AAB76BE" w14:textId="77777777" w:rsidR="0033778F" w:rsidRPr="00501703" w:rsidRDefault="0033778F" w:rsidP="0033778F">
      <w:pPr>
        <w:spacing w:after="0" w:line="240" w:lineRule="auto"/>
        <w:jc w:val="both"/>
        <w:rPr>
          <w:rFonts w:ascii="Verdana" w:eastAsia="Aptos" w:hAnsi="Verdana" w:cs="Times New Roman"/>
          <w:sz w:val="20"/>
          <w:szCs w:val="20"/>
        </w:rPr>
      </w:pPr>
      <w:r w:rsidRPr="00501703">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7EF72D7D" w14:textId="77777777" w:rsidR="0033778F" w:rsidRPr="00501703" w:rsidRDefault="0033778F" w:rsidP="0033778F">
      <w:pPr>
        <w:spacing w:after="0" w:line="240" w:lineRule="auto"/>
        <w:jc w:val="both"/>
        <w:rPr>
          <w:rFonts w:ascii="Verdana" w:eastAsia="Aptos" w:hAnsi="Verdana" w:cs="Times New Roman"/>
          <w:sz w:val="20"/>
          <w:szCs w:val="20"/>
        </w:rPr>
      </w:pPr>
    </w:p>
    <w:p w14:paraId="6B9905C6" w14:textId="77777777" w:rsidR="0033778F" w:rsidRPr="00501703" w:rsidRDefault="0033778F" w:rsidP="0033778F">
      <w:pPr>
        <w:spacing w:after="0" w:line="240" w:lineRule="auto"/>
        <w:jc w:val="both"/>
        <w:rPr>
          <w:rFonts w:ascii="Verdana" w:eastAsia="Aptos" w:hAnsi="Verdana" w:cs="Times New Roman"/>
          <w:b/>
          <w:bCs/>
        </w:rPr>
      </w:pPr>
      <w:r w:rsidRPr="00501703">
        <w:rPr>
          <w:rFonts w:ascii="Verdana" w:eastAsia="Aptos" w:hAnsi="Verdana" w:cs="Times New Roman"/>
          <w:b/>
          <w:bCs/>
        </w:rPr>
        <w:t xml:space="preserve">SECOP ll – Publicidad – Documentos del proceso – Actos Administrativos </w:t>
      </w:r>
    </w:p>
    <w:p w14:paraId="687F7663" w14:textId="77777777" w:rsidR="0033778F" w:rsidRPr="00501703" w:rsidRDefault="0033778F" w:rsidP="0033778F">
      <w:pPr>
        <w:spacing w:after="0" w:line="240" w:lineRule="auto"/>
        <w:jc w:val="both"/>
        <w:rPr>
          <w:rFonts w:ascii="Verdana" w:eastAsia="Aptos" w:hAnsi="Verdana" w:cs="Times New Roman"/>
          <w:sz w:val="20"/>
          <w:szCs w:val="20"/>
        </w:rPr>
      </w:pPr>
    </w:p>
    <w:p w14:paraId="7CED9EBC" w14:textId="77777777" w:rsidR="0033778F" w:rsidRPr="00501703" w:rsidRDefault="0033778F" w:rsidP="0033778F">
      <w:pPr>
        <w:spacing w:after="0" w:line="276" w:lineRule="auto"/>
        <w:jc w:val="both"/>
        <w:rPr>
          <w:rFonts w:ascii="Verdana" w:eastAsia="Aptos" w:hAnsi="Verdana" w:cs="Times New Roman"/>
          <w:sz w:val="20"/>
          <w:szCs w:val="20"/>
        </w:rPr>
      </w:pPr>
      <w:r w:rsidRPr="00501703">
        <w:rPr>
          <w:rFonts w:ascii="Verdana" w:eastAsia="Aptos" w:hAnsi="Verdana" w:cs="Times New Roman"/>
          <w:sz w:val="20"/>
          <w:szCs w:val="20"/>
        </w:rPr>
        <w:t>[…]las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42EF8C48" w14:textId="77777777" w:rsidR="0033778F" w:rsidRPr="00501703" w:rsidRDefault="0033778F" w:rsidP="0033778F">
      <w:pPr>
        <w:spacing w:after="0" w:line="276" w:lineRule="auto"/>
        <w:jc w:val="both"/>
        <w:rPr>
          <w:rFonts w:ascii="Verdana" w:eastAsia="Aptos" w:hAnsi="Verdana" w:cs="Times New Roman"/>
          <w:kern w:val="2"/>
          <w:sz w:val="20"/>
          <w:szCs w:val="20"/>
          <w14:ligatures w14:val="standardContextual"/>
        </w:rPr>
      </w:pPr>
      <w:r w:rsidRPr="00501703">
        <w:rPr>
          <w:rFonts w:ascii="Verdana" w:eastAsia="Aptos" w:hAnsi="Verdana" w:cs="Times New Roman"/>
          <w:kern w:val="2"/>
          <w:sz w:val="20"/>
          <w:szCs w:val="20"/>
          <w14:ligatures w14:val="standardContextual"/>
        </w:rPr>
        <w:t>[…]</w:t>
      </w:r>
    </w:p>
    <w:p w14:paraId="3519A468" w14:textId="14CE4901" w:rsidR="00E271BF" w:rsidRDefault="0033778F" w:rsidP="0033778F">
      <w:pPr>
        <w:spacing w:after="0" w:line="276" w:lineRule="auto"/>
        <w:jc w:val="both"/>
        <w:rPr>
          <w:rFonts w:ascii="Verdana" w:eastAsia="Aptos" w:hAnsi="Verdana" w:cs="Times New Roman"/>
          <w:kern w:val="2"/>
          <w:sz w:val="20"/>
          <w:szCs w:val="20"/>
          <w:highlight w:val="yellow"/>
          <w14:ligatures w14:val="standardContextual"/>
        </w:rPr>
      </w:pPr>
      <w:r w:rsidRPr="00501703">
        <w:rPr>
          <w:rFonts w:ascii="Verdana" w:eastAsia="Aptos" w:hAnsi="Verdana" w:cs="Times New Roman"/>
          <w:kern w:val="2"/>
          <w:sz w:val="20"/>
          <w:szCs w:val="20"/>
          <w14:ligatures w14:val="standardContextual"/>
        </w:rPr>
        <w:t>[…]la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ll.</w:t>
      </w:r>
    </w:p>
    <w:p w14:paraId="70CA65B0" w14:textId="77777777" w:rsidR="0033778F" w:rsidRPr="0033778F" w:rsidRDefault="0033778F" w:rsidP="0033778F">
      <w:pPr>
        <w:spacing w:after="0" w:line="276" w:lineRule="auto"/>
        <w:jc w:val="both"/>
        <w:rPr>
          <w:rFonts w:ascii="Verdana" w:eastAsia="Aptos" w:hAnsi="Verdana" w:cs="Times New Roman"/>
          <w:kern w:val="2"/>
          <w:sz w:val="20"/>
          <w:szCs w:val="20"/>
          <w:highlight w:val="yellow"/>
          <w14:ligatures w14:val="standardContextual"/>
        </w:rPr>
      </w:pPr>
    </w:p>
    <w:p w14:paraId="6F6EFC20" w14:textId="77777777" w:rsidR="00E271BF" w:rsidRPr="00E271BF" w:rsidRDefault="00E271BF" w:rsidP="00E271BF">
      <w:pPr>
        <w:tabs>
          <w:tab w:val="left" w:pos="6551"/>
        </w:tabs>
        <w:spacing w:after="0" w:line="240" w:lineRule="auto"/>
        <w:jc w:val="both"/>
        <w:rPr>
          <w:rFonts w:ascii="Verdana" w:eastAsia="Calibri" w:hAnsi="Verdana" w:cs="Arial"/>
          <w:b/>
          <w:color w:val="000000" w:themeColor="text1"/>
          <w:sz w:val="20"/>
          <w:szCs w:val="20"/>
          <w:lang w:val="es-ES_tradnl"/>
        </w:rPr>
      </w:pPr>
      <w:r w:rsidRPr="00E271BF">
        <w:rPr>
          <w:rFonts w:ascii="Verdana" w:eastAsia="Calibri" w:hAnsi="Verdana" w:cs="Arial"/>
          <w:b/>
          <w:color w:val="000000" w:themeColor="text1"/>
          <w:sz w:val="20"/>
          <w:szCs w:val="20"/>
          <w:lang w:val="es-ES_tradnl"/>
        </w:rPr>
        <w:t xml:space="preserve">CONVOCATORIAS LIMITADAS A MIPYME </w:t>
      </w:r>
      <w:r w:rsidRPr="00E271BF">
        <w:rPr>
          <w:rStyle w:val="normaltextrun"/>
          <w:rFonts w:ascii="Verdana" w:hAnsi="Verdana" w:cs="Arial"/>
          <w:b/>
          <w:bCs/>
          <w:color w:val="000000"/>
          <w:sz w:val="20"/>
          <w:szCs w:val="20"/>
        </w:rPr>
        <w:t xml:space="preserve">– Aplicación </w:t>
      </w:r>
      <w:r w:rsidRPr="00E271BF">
        <w:rPr>
          <w:rFonts w:ascii="Verdana" w:eastAsia="Calibri" w:hAnsi="Verdana" w:cs="Arial"/>
          <w:b/>
          <w:color w:val="000000" w:themeColor="text1"/>
          <w:sz w:val="20"/>
          <w:szCs w:val="20"/>
          <w:lang w:val="es-ES_tradnl"/>
        </w:rPr>
        <w:t xml:space="preserve">  </w:t>
      </w:r>
    </w:p>
    <w:p w14:paraId="0FA40C69" w14:textId="77777777" w:rsidR="00E271BF" w:rsidRDefault="00E271BF" w:rsidP="00E271BF">
      <w:pPr>
        <w:spacing w:after="0" w:line="240" w:lineRule="auto"/>
        <w:jc w:val="both"/>
        <w:rPr>
          <w:rFonts w:ascii="Verdana" w:eastAsia="Calibri" w:hAnsi="Verdana" w:cs="Arial"/>
          <w:bCs/>
          <w:color w:val="000000" w:themeColor="text1"/>
          <w:sz w:val="20"/>
          <w:szCs w:val="20"/>
          <w:lang w:val="es-ES"/>
        </w:rPr>
      </w:pPr>
    </w:p>
    <w:p w14:paraId="6A0ECC13" w14:textId="140B46B3" w:rsidR="00E271BF" w:rsidRPr="00E271BF" w:rsidRDefault="00E271BF" w:rsidP="00E271BF">
      <w:pPr>
        <w:spacing w:after="0" w:line="240" w:lineRule="auto"/>
        <w:jc w:val="both"/>
        <w:rPr>
          <w:rFonts w:ascii="Verdana" w:hAnsi="Verdana" w:cs="Arial"/>
          <w:bCs/>
          <w:sz w:val="20"/>
          <w:szCs w:val="20"/>
          <w:lang w:eastAsia="es-ES"/>
        </w:rPr>
      </w:pPr>
      <w:r w:rsidRPr="00E271BF">
        <w:rPr>
          <w:rFonts w:ascii="Verdana" w:hAnsi="Verdana" w:cs="Arial"/>
          <w:bCs/>
          <w:sz w:val="20"/>
          <w:szCs w:val="20"/>
          <w:lang w:val="es-ES_tradnl" w:eastAsia="es-ES"/>
        </w:rPr>
        <w:t xml:space="preserve">[…] el artículo 5 del Decreto 1860 de 2021 modificó </w:t>
      </w:r>
      <w:r w:rsidRPr="00E271BF">
        <w:rPr>
          <w:rFonts w:ascii="Verdana" w:hAnsi="Verdana" w:cs="Arial"/>
          <w:bCs/>
          <w:sz w:val="20"/>
          <w:szCs w:val="20"/>
          <w:lang w:eastAsia="es-ES"/>
        </w:rPr>
        <w:t>los artículos 2.2.1.2.4.2.2., 2.2.1.2.4.2.3. y 2.2.1.2.4.2.4. de la Subsección 2 de la Sección 4 del Capítulo 2 del Título 1 de la Parte 2 del Libro 2 del Decreto 1082 de 2015, reglamentando</w:t>
      </w:r>
      <w:r w:rsidRPr="00E271BF">
        <w:rPr>
          <w:rFonts w:ascii="Verdana" w:hAnsi="Verdana" w:cs="Arial"/>
          <w:bCs/>
          <w:sz w:val="20"/>
          <w:szCs w:val="20"/>
          <w:lang w:val="es-ES_tradnl" w:eastAsia="es-ES"/>
        </w:rPr>
        <w:t xml:space="preserve"> las convocatorias limitadas a Mipyme, con fundamento en lo establecido en el artículo 34 de la Ley 2069 de 2020. Esta nueva Subsección 2 contempla los siguientes aspectos: i) requisitos para limitar la convocatoria de los </w:t>
      </w:r>
      <w:r w:rsidRPr="00E271BF">
        <w:rPr>
          <w:rFonts w:ascii="Verdana" w:hAnsi="Verdana" w:cs="Arial"/>
          <w:bCs/>
          <w:sz w:val="20"/>
          <w:szCs w:val="20"/>
          <w:lang w:eastAsia="es-ES"/>
        </w:rPr>
        <w:t>procesos de contratación con pluralidad de oferentes</w:t>
      </w:r>
      <w:r w:rsidRPr="00E271BF">
        <w:rPr>
          <w:rFonts w:ascii="Verdana" w:hAnsi="Verdana" w:cs="Arial"/>
          <w:bCs/>
          <w:sz w:val="20"/>
          <w:szCs w:val="20"/>
          <w:lang w:val="es-ES_tradnl" w:eastAsia="es-ES"/>
        </w:rPr>
        <w:t xml:space="preserve"> a las Mipyme colombianas con mínimo un (1) año de existencia – artículo </w:t>
      </w:r>
      <w:r w:rsidRPr="00E271BF">
        <w:rPr>
          <w:rFonts w:ascii="Verdana" w:hAnsi="Verdana" w:cs="Arial"/>
          <w:bCs/>
          <w:sz w:val="20"/>
          <w:szCs w:val="20"/>
          <w:lang w:eastAsia="es-ES"/>
        </w:rPr>
        <w:t>2.2.1.2.4.2.2-</w:t>
      </w:r>
      <w:r w:rsidRPr="00E271BF">
        <w:rPr>
          <w:rFonts w:ascii="Verdana" w:hAnsi="Verdana" w:cs="Arial"/>
          <w:bCs/>
          <w:sz w:val="20"/>
          <w:szCs w:val="20"/>
          <w:lang w:val="es-ES_tradnl" w:eastAsia="es-ES"/>
        </w:rPr>
        <w:t xml:space="preserve"> , ii) desarrolla las </w:t>
      </w:r>
      <w:r w:rsidRPr="00E271BF">
        <w:rPr>
          <w:rFonts w:ascii="Verdana" w:hAnsi="Verdana" w:cs="Arial"/>
          <w:bCs/>
          <w:sz w:val="20"/>
          <w:szCs w:val="20"/>
          <w:lang w:eastAsia="es-ES"/>
        </w:rPr>
        <w:t>convocatorias limitadas a Mipyme colombianas que tengan domicilio en los departamentos o municipios en donde se va a ejecutar el contrato – artículo 2.2.1.2.4.2.3.,</w:t>
      </w:r>
      <w:r w:rsidRPr="00E271BF">
        <w:rPr>
          <w:rFonts w:ascii="Verdana" w:hAnsi="Verdana" w:cs="Arial"/>
          <w:bCs/>
          <w:sz w:val="20"/>
          <w:szCs w:val="20"/>
          <w:lang w:val="es-ES_tradnl" w:eastAsia="es-ES"/>
        </w:rPr>
        <w:t xml:space="preserve"> y iii) </w:t>
      </w:r>
      <w:r w:rsidRPr="00E271BF">
        <w:rPr>
          <w:rFonts w:ascii="Verdana" w:hAnsi="Verdana" w:cs="Arial"/>
          <w:bCs/>
          <w:sz w:val="20"/>
          <w:szCs w:val="20"/>
          <w:lang w:eastAsia="es-ES"/>
        </w:rPr>
        <w:t>regula la acreditación de requisitos para participar en convocatorias limitadas – artículo 2.2.1.2.4.2.4-.</w:t>
      </w:r>
    </w:p>
    <w:p w14:paraId="54B7F361" w14:textId="77777777" w:rsidR="00E271BF" w:rsidRPr="00E271BF" w:rsidRDefault="00E271BF" w:rsidP="00E271BF">
      <w:pPr>
        <w:spacing w:after="0" w:line="240" w:lineRule="auto"/>
        <w:jc w:val="both"/>
        <w:rPr>
          <w:rFonts w:ascii="Verdana" w:hAnsi="Verdana" w:cs="Arial"/>
          <w:sz w:val="20"/>
          <w:szCs w:val="20"/>
          <w:lang w:val="es-ES" w:eastAsia="es-ES"/>
        </w:rPr>
      </w:pPr>
      <w:r w:rsidRPr="00E271BF">
        <w:rPr>
          <w:rFonts w:ascii="Verdana" w:hAnsi="Verdana" w:cs="Arial"/>
          <w:sz w:val="20"/>
          <w:szCs w:val="20"/>
          <w:lang w:val="es-ES" w:eastAsia="es-ES"/>
        </w:rPr>
        <w:lastRenderedPageBreak/>
        <w:t>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Mipyme,</w:t>
      </w:r>
      <w:r w:rsidRPr="00E271BF">
        <w:rPr>
          <w:rFonts w:ascii="Verdana" w:eastAsia="Calibri" w:hAnsi="Verdana" w:cs="Arial"/>
          <w:sz w:val="20"/>
          <w:szCs w:val="20"/>
          <w:lang w:val="es-ES"/>
        </w:rPr>
        <w:t xml:space="preserve"> </w:t>
      </w:r>
      <w:r w:rsidRPr="00E271BF">
        <w:rPr>
          <w:rFonts w:ascii="Verdana" w:hAnsi="Verdana" w:cs="Arial"/>
          <w:sz w:val="20"/>
          <w:szCs w:val="20"/>
          <w:lang w:val="es-ES" w:eastAsia="es-ES"/>
        </w:rPr>
        <w:t xml:space="preserve">disposición que entró a regir desde el 24 de marzo de 2022, pues, como se indicó, </w:t>
      </w:r>
      <w:r w:rsidRPr="00E271BF">
        <w:rPr>
          <w:rFonts w:ascii="Verdana" w:eastAsia="Calibri" w:hAnsi="Verdana" w:cs="Arial"/>
          <w:sz w:val="20"/>
          <w:szCs w:val="20"/>
          <w:lang w:val="es-ES"/>
        </w:rPr>
        <w:t>el artículo 8 de dicho decreto sometió su vigencia al transcurso del periodo de 3 meses siguientes a su expedición.</w:t>
      </w:r>
    </w:p>
    <w:p w14:paraId="49AF6DA9" w14:textId="77777777" w:rsidR="00E271BF" w:rsidRPr="00E271BF" w:rsidRDefault="00E271BF" w:rsidP="00E271BF">
      <w:pPr>
        <w:tabs>
          <w:tab w:val="left" w:pos="6551"/>
        </w:tabs>
        <w:spacing w:after="0" w:line="240" w:lineRule="auto"/>
        <w:jc w:val="both"/>
        <w:rPr>
          <w:rFonts w:ascii="Verdana" w:eastAsia="Calibri" w:hAnsi="Verdana" w:cs="Arial"/>
          <w:bCs/>
          <w:color w:val="000000" w:themeColor="text1"/>
          <w:sz w:val="20"/>
          <w:szCs w:val="20"/>
          <w:lang w:val="es-ES"/>
        </w:rPr>
      </w:pPr>
    </w:p>
    <w:p w14:paraId="648AAA07" w14:textId="2638B38F" w:rsidR="00CD37E4" w:rsidRDefault="00C75BA7" w:rsidP="00CD37E4">
      <w:pPr>
        <w:tabs>
          <w:tab w:val="left" w:pos="6551"/>
        </w:tabs>
        <w:spacing w:after="0" w:line="240" w:lineRule="auto"/>
        <w:jc w:val="both"/>
        <w:rPr>
          <w:rFonts w:ascii="Verdana" w:eastAsia="Times New Roman" w:hAnsi="Verdana" w:cs="Arial"/>
          <w:b/>
          <w:bCs/>
          <w:color w:val="000000"/>
          <w:sz w:val="20"/>
          <w:szCs w:val="20"/>
          <w:lang w:eastAsia="es-ES_tradnl"/>
        </w:rPr>
      </w:pPr>
      <w:r w:rsidRPr="00CD37E4">
        <w:rPr>
          <w:rFonts w:ascii="Verdana" w:eastAsia="Times New Roman" w:hAnsi="Verdana" w:cs="Arial"/>
          <w:b/>
          <w:bCs/>
          <w:color w:val="000000"/>
          <w:sz w:val="20"/>
          <w:szCs w:val="20"/>
          <w:lang w:eastAsia="es-ES_tradnl"/>
        </w:rPr>
        <w:t>DECRETO 1860 DE 2021 – Convocatorias limitadas a MiPymes</w:t>
      </w:r>
      <w:r w:rsidR="00321BB0">
        <w:rPr>
          <w:rFonts w:ascii="Verdana" w:eastAsia="Times New Roman" w:hAnsi="Verdana" w:cs="Arial"/>
          <w:b/>
          <w:bCs/>
          <w:color w:val="000000"/>
          <w:sz w:val="20"/>
          <w:szCs w:val="20"/>
          <w:lang w:eastAsia="es-ES_tradnl"/>
        </w:rPr>
        <w:t xml:space="preserve"> Nacionales</w:t>
      </w:r>
      <w:r>
        <w:rPr>
          <w:rFonts w:ascii="Verdana" w:eastAsia="Times New Roman" w:hAnsi="Verdana" w:cs="Arial"/>
          <w:b/>
          <w:bCs/>
          <w:color w:val="000000"/>
          <w:sz w:val="20"/>
          <w:szCs w:val="20"/>
          <w:lang w:eastAsia="es-ES_tradnl"/>
        </w:rPr>
        <w:t xml:space="preserve"> – Requisitos </w:t>
      </w:r>
    </w:p>
    <w:p w14:paraId="2173C085" w14:textId="77777777" w:rsidR="00C75BA7" w:rsidRDefault="00C75BA7" w:rsidP="00CD37E4">
      <w:pPr>
        <w:tabs>
          <w:tab w:val="left" w:pos="6551"/>
        </w:tabs>
        <w:spacing w:after="0" w:line="240" w:lineRule="auto"/>
        <w:jc w:val="both"/>
        <w:rPr>
          <w:rFonts w:ascii="Verdana" w:eastAsia="Times New Roman" w:hAnsi="Verdana" w:cs="Arial"/>
          <w:b/>
          <w:bCs/>
          <w:color w:val="000000"/>
          <w:sz w:val="20"/>
          <w:szCs w:val="20"/>
          <w:lang w:eastAsia="es-ES_tradnl"/>
        </w:rPr>
      </w:pPr>
    </w:p>
    <w:p w14:paraId="668B5015" w14:textId="77777777" w:rsidR="00C75BA7" w:rsidRDefault="00C75BA7" w:rsidP="00321BB0">
      <w:pPr>
        <w:spacing w:after="0" w:line="240" w:lineRule="auto"/>
        <w:jc w:val="both"/>
        <w:rPr>
          <w:rFonts w:ascii="Verdana" w:eastAsia="Arial" w:hAnsi="Verdana" w:cs="Arial"/>
          <w:color w:val="000000"/>
          <w:lang w:val="es-ES_tradnl"/>
        </w:rPr>
      </w:pPr>
      <w:r w:rsidRPr="00C75BA7">
        <w:rPr>
          <w:rFonts w:ascii="Verdana" w:eastAsia="Arial" w:hAnsi="Verdana" w:cs="Arial"/>
          <w:color w:val="000000"/>
          <w:sz w:val="20"/>
          <w:szCs w:val="20"/>
        </w:rPr>
        <w:t>En este contexto,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w:t>
      </w:r>
      <w:r>
        <w:rPr>
          <w:rFonts w:ascii="Verdana" w:eastAsia="Arial" w:hAnsi="Verdana" w:cs="Arial"/>
          <w:color w:val="000000"/>
          <w:sz w:val="20"/>
          <w:szCs w:val="20"/>
        </w:rPr>
        <w:t xml:space="preserve">. </w:t>
      </w:r>
      <w:r w:rsidRPr="00C75BA7">
        <w:rPr>
          <w:rFonts w:ascii="Verdana" w:eastAsia="Arial" w:hAnsi="Verdana" w:cs="Arial"/>
          <w:color w:val="000000"/>
          <w:sz w:val="20"/>
          <w:szCs w:val="20"/>
        </w:rPr>
        <w:t>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w:t>
      </w:r>
      <w:r>
        <w:rPr>
          <w:rFonts w:ascii="Verdana" w:eastAsia="Arial" w:hAnsi="Verdana" w:cs="Arial"/>
          <w:color w:val="000000"/>
          <w:sz w:val="20"/>
          <w:szCs w:val="20"/>
        </w:rPr>
        <w:t xml:space="preserve"> </w:t>
      </w:r>
      <w:r w:rsidRPr="00C75BA7">
        <w:rPr>
          <w:rFonts w:ascii="Verdana" w:eastAsia="Arial" w:hAnsi="Verdana" w:cs="Arial"/>
          <w:color w:val="000000"/>
          <w:sz w:val="20"/>
          <w:szCs w:val="20"/>
        </w:rPr>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w:t>
      </w:r>
      <w:r w:rsidRPr="00C75BA7">
        <w:rPr>
          <w:rFonts w:ascii="Verdana" w:eastAsia="Arial" w:hAnsi="Verdana" w:cs="Arial"/>
          <w:color w:val="000000"/>
          <w:sz w:val="20"/>
          <w:szCs w:val="20"/>
          <w:lang w:val="es-ES_tradnl"/>
        </w:rPr>
        <w:t>o el que haga sus veces de acuerdo con la normativa aplicable a cada proceso de contratación</w:t>
      </w:r>
      <w:r w:rsidRPr="00C75BA7">
        <w:rPr>
          <w:rFonts w:ascii="Verdana" w:eastAsia="Arial" w:hAnsi="Verdana" w:cs="Arial"/>
          <w:color w:val="000000"/>
          <w:sz w:val="20"/>
          <w:szCs w:val="20"/>
        </w:rPr>
        <w:t xml:space="preserve">. Además, la norma señala que, </w:t>
      </w:r>
      <w:r w:rsidRPr="00C75BA7">
        <w:rPr>
          <w:rFonts w:ascii="Verdana" w:eastAsia="Arial" w:hAnsi="Verdana" w:cs="Arial"/>
          <w:color w:val="000000"/>
          <w:sz w:val="20"/>
          <w:szCs w:val="20"/>
          <w:lang w:val="es-ES_tradnl"/>
        </w:rPr>
        <w:t>tratándose de personas jurídicas, las solicitudes solo las podrán realizar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w:t>
      </w:r>
      <w:r w:rsidRPr="005B1F06">
        <w:rPr>
          <w:rFonts w:ascii="Verdana" w:eastAsia="Arial" w:hAnsi="Verdana" w:cs="Arial"/>
          <w:color w:val="000000"/>
          <w:lang w:val="es-ES_tradnl"/>
        </w:rPr>
        <w:t xml:space="preserve"> </w:t>
      </w:r>
    </w:p>
    <w:p w14:paraId="4D5777EE" w14:textId="77777777" w:rsidR="00321BB0" w:rsidRDefault="00321BB0" w:rsidP="00321BB0">
      <w:pPr>
        <w:spacing w:after="0" w:line="240" w:lineRule="auto"/>
        <w:jc w:val="both"/>
        <w:rPr>
          <w:rFonts w:ascii="Verdana" w:eastAsia="Arial" w:hAnsi="Verdana" w:cs="Arial"/>
          <w:color w:val="000000"/>
          <w:lang w:val="es-ES_tradnl"/>
        </w:rPr>
      </w:pPr>
    </w:p>
    <w:p w14:paraId="7AF931EB" w14:textId="77777777" w:rsidR="00321BB0" w:rsidRPr="00321BB0" w:rsidRDefault="00321BB0" w:rsidP="00321BB0">
      <w:pPr>
        <w:spacing w:after="0" w:line="240" w:lineRule="auto"/>
        <w:jc w:val="both"/>
        <w:rPr>
          <w:rFonts w:ascii="Verdana" w:hAnsi="Verdana" w:cs="Arial"/>
          <w:color w:val="000000"/>
          <w:sz w:val="20"/>
          <w:szCs w:val="20"/>
          <w:shd w:val="clear" w:color="auto" w:fill="FFFFFF"/>
        </w:rPr>
      </w:pPr>
      <w:r w:rsidRPr="00321BB0">
        <w:rPr>
          <w:rFonts w:ascii="Verdana" w:eastAsia="Century Gothic" w:hAnsi="Verdana" w:cs="Century Gothic"/>
          <w:b/>
          <w:sz w:val="20"/>
          <w:szCs w:val="20"/>
        </w:rPr>
        <w:t xml:space="preserve">CONVOCATORIAS LIMITADAS A MIPYMES EN EL ÁMBITO TERRITORIAL – Limitación territorial – Facultad discrecional </w:t>
      </w:r>
    </w:p>
    <w:p w14:paraId="44FCFFC7" w14:textId="77777777" w:rsidR="00321BB0" w:rsidRDefault="00321BB0" w:rsidP="00321BB0">
      <w:pPr>
        <w:spacing w:after="0"/>
        <w:rPr>
          <w:rFonts w:ascii="Verdana" w:hAnsi="Verdana"/>
          <w:sz w:val="20"/>
          <w:szCs w:val="20"/>
        </w:rPr>
      </w:pPr>
    </w:p>
    <w:p w14:paraId="7F52223F" w14:textId="77777777" w:rsidR="008B4A21" w:rsidRPr="008B4A21" w:rsidRDefault="008B4A21" w:rsidP="008B4A21">
      <w:pPr>
        <w:spacing w:after="0" w:line="240" w:lineRule="auto"/>
        <w:jc w:val="both"/>
        <w:rPr>
          <w:rFonts w:ascii="Verdana" w:eastAsia="Arial" w:hAnsi="Verdana" w:cs="Arial"/>
          <w:color w:val="000000"/>
          <w:sz w:val="20"/>
          <w:szCs w:val="20"/>
          <w:lang w:val="es-ES"/>
        </w:rPr>
      </w:pPr>
      <w:r w:rsidRPr="008B4A21">
        <w:rPr>
          <w:rFonts w:ascii="Verdana" w:eastAsia="Arial" w:hAnsi="Verdana" w:cs="Arial"/>
          <w:color w:val="000000" w:themeColor="text1"/>
          <w:sz w:val="20"/>
          <w:szCs w:val="20"/>
          <w:lang w:val="es-ES"/>
        </w:rPr>
        <w:t xml:space="preserve">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previsto en la norma únicamente aplica en el lugar de ejecución del contratado en el que la Mipymes tiene su “domicilio”, y no en donde tiene sucursales. </w:t>
      </w:r>
    </w:p>
    <w:p w14:paraId="7757F2FC" w14:textId="77777777" w:rsidR="008B4A21" w:rsidRDefault="008B4A21" w:rsidP="008B4A21">
      <w:pPr>
        <w:spacing w:after="0" w:line="240" w:lineRule="auto"/>
        <w:jc w:val="both"/>
        <w:rPr>
          <w:rFonts w:ascii="Verdana" w:eastAsia="Arial" w:hAnsi="Verdana" w:cs="Arial"/>
          <w:color w:val="000000"/>
          <w:sz w:val="20"/>
          <w:szCs w:val="20"/>
          <w:lang w:val="es-ES"/>
        </w:rPr>
      </w:pPr>
    </w:p>
    <w:p w14:paraId="21C499F7" w14:textId="0411B40C" w:rsidR="008B4A21" w:rsidRPr="008B4A21" w:rsidRDefault="008B4A21" w:rsidP="008B4A21">
      <w:pPr>
        <w:spacing w:after="0" w:line="240" w:lineRule="auto"/>
        <w:jc w:val="both"/>
        <w:rPr>
          <w:rFonts w:ascii="Verdana" w:eastAsia="Arial" w:hAnsi="Verdana" w:cs="Arial"/>
          <w:color w:val="000000"/>
          <w:sz w:val="20"/>
          <w:szCs w:val="20"/>
          <w:lang w:val="es-ES"/>
        </w:rPr>
      </w:pPr>
      <w:r w:rsidRPr="008B4A21">
        <w:rPr>
          <w:rFonts w:ascii="Verdana" w:eastAsia="Arial" w:hAnsi="Verdana" w:cs="Arial"/>
          <w:color w:val="000000"/>
          <w:sz w:val="20"/>
          <w:szCs w:val="20"/>
          <w:lang w:val="es-ES"/>
        </w:rPr>
        <w:t xml:space="preserve">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w:t>
      </w:r>
      <w:r w:rsidRPr="008B4A21">
        <w:rPr>
          <w:rFonts w:ascii="Verdana" w:eastAsia="Arial" w:hAnsi="Verdana" w:cs="Arial"/>
          <w:color w:val="000000"/>
          <w:sz w:val="20"/>
          <w:szCs w:val="20"/>
          <w:lang w:val="es-ES"/>
        </w:rPr>
        <w:lastRenderedPageBreak/>
        <w:t xml:space="preserve">la entidad no recibió las solicitudes para limitar la convocatoria a Mipymes, no puede </w:t>
      </w:r>
      <w:r w:rsidRPr="008B4A21">
        <w:rPr>
          <w:rFonts w:ascii="Verdana" w:eastAsia="Arial" w:hAnsi="Verdana" w:cs="Arial"/>
          <w:i/>
          <w:color w:val="000000"/>
          <w:sz w:val="20"/>
          <w:szCs w:val="20"/>
          <w:lang w:val="es-ES"/>
        </w:rPr>
        <w:t xml:space="preserve">motu proprio </w:t>
      </w:r>
      <w:r w:rsidRPr="008B4A21">
        <w:rPr>
          <w:rFonts w:ascii="Verdana" w:eastAsia="Arial" w:hAnsi="Verdana" w:cs="Arial"/>
          <w:color w:val="000000"/>
          <w:sz w:val="20"/>
          <w:szCs w:val="2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2E04B7F5" w14:textId="77777777" w:rsidR="008B4A21" w:rsidRPr="008B4A21" w:rsidRDefault="008B4A21" w:rsidP="008B4A21">
      <w:pPr>
        <w:spacing w:after="0" w:line="240" w:lineRule="auto"/>
        <w:rPr>
          <w:rFonts w:ascii="Verdana" w:hAnsi="Verdana"/>
          <w:sz w:val="20"/>
          <w:szCs w:val="20"/>
          <w:lang w:val="es-ES"/>
        </w:rPr>
      </w:pPr>
    </w:p>
    <w:p w14:paraId="1E336211" w14:textId="25F661D8" w:rsidR="008B4A21" w:rsidRPr="008B4A21" w:rsidRDefault="008B4A21" w:rsidP="008B4A21">
      <w:pPr>
        <w:spacing w:after="0" w:line="240" w:lineRule="auto"/>
        <w:jc w:val="both"/>
        <w:rPr>
          <w:rFonts w:ascii="Verdana" w:eastAsia="Calibri" w:hAnsi="Verdana" w:cs="Arial"/>
          <w:color w:val="000000" w:themeColor="text1"/>
          <w:sz w:val="20"/>
          <w:szCs w:val="20"/>
        </w:rPr>
      </w:pPr>
      <w:r w:rsidRPr="008B4A21">
        <w:rPr>
          <w:rFonts w:ascii="Verdana" w:eastAsia="Calibri" w:hAnsi="Verdana" w:cs="Arial"/>
          <w:color w:val="000000" w:themeColor="text1"/>
          <w:sz w:val="20"/>
          <w:szCs w:val="20"/>
        </w:rPr>
        <w:t>Colombia Compra Eficiente ha sostenido que la decisión de limitar territorialmente un</w:t>
      </w:r>
      <w:r w:rsidRPr="008B4A21">
        <w:rPr>
          <w:rFonts w:ascii="Verdana" w:hAnsi="Verdana" w:cs="Arial"/>
          <w:color w:val="000000" w:themeColor="text1"/>
          <w:sz w:val="20"/>
          <w:szCs w:val="20"/>
        </w:rPr>
        <w:t xml:space="preserve">a convocatoria a MiPymes </w:t>
      </w:r>
      <w:r w:rsidRPr="008B4A21">
        <w:rPr>
          <w:rFonts w:ascii="Verdana" w:eastAsia="Calibri" w:hAnsi="Verdana" w:cs="Arial"/>
          <w:color w:val="000000" w:themeColor="text1"/>
          <w:sz w:val="20"/>
          <w:szCs w:val="20"/>
        </w:rPr>
        <w:t xml:space="preserve">es discrecional de la entidad, sin embargo, la decisión debe estar justificada en los correspondientes “estudios del sector”. Lo anterior por cuanto el </w:t>
      </w:r>
      <w:r w:rsidRPr="008B4A21">
        <w:rPr>
          <w:rFonts w:ascii="Verdana" w:hAnsi="Verdana" w:cs="Arial"/>
          <w:color w:val="000000" w:themeColor="text1"/>
          <w:sz w:val="20"/>
          <w:szCs w:val="20"/>
        </w:rPr>
        <w:t>artículo 2.2.1.2.4.2.3. del Decreto 1082 de 2015, indicó que las Mipymes</w:t>
      </w:r>
      <w:r w:rsidRPr="008B4A21">
        <w:rPr>
          <w:rFonts w:ascii="Verdana" w:eastAsia="Calibri" w:hAnsi="Verdana" w:cs="Arial"/>
          <w:color w:val="000000" w:themeColor="text1"/>
          <w:sz w:val="20"/>
          <w:szCs w:val="20"/>
        </w:rPr>
        <w:t xml:space="preserve"> beneficiadas deben tener su domicilio principal en el municipio o departamento donde se ejecutará el contrato para poder participar en una convocatoria limitada territorialmente.</w:t>
      </w:r>
      <w:r w:rsidRPr="008B4A21">
        <w:rPr>
          <w:rFonts w:ascii="Verdana" w:hAnsi="Verdana" w:cs="Arial"/>
          <w:color w:val="000000" w:themeColor="text1"/>
          <w:sz w:val="20"/>
          <w:szCs w:val="20"/>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45A6B555" w14:textId="77777777" w:rsidR="00321BB0" w:rsidRDefault="00321BB0" w:rsidP="00321BB0">
      <w:pPr>
        <w:spacing w:after="0" w:line="240" w:lineRule="auto"/>
        <w:jc w:val="both"/>
        <w:rPr>
          <w:rFonts w:ascii="Verdana" w:eastAsia="Arial" w:hAnsi="Verdana" w:cs="Arial"/>
          <w:color w:val="000000"/>
        </w:rPr>
      </w:pPr>
    </w:p>
    <w:p w14:paraId="4D763CED" w14:textId="77777777" w:rsidR="008B4A21" w:rsidRPr="005B1F06" w:rsidRDefault="008B4A21" w:rsidP="00321BB0">
      <w:pPr>
        <w:spacing w:after="0" w:line="240" w:lineRule="auto"/>
        <w:jc w:val="both"/>
        <w:rPr>
          <w:rFonts w:ascii="Verdana" w:eastAsia="Arial" w:hAnsi="Verdana" w:cs="Arial"/>
          <w:color w:val="000000"/>
        </w:rPr>
      </w:pPr>
    </w:p>
    <w:p w14:paraId="47902EC7" w14:textId="098C2D5E" w:rsidR="00C75BA7" w:rsidRDefault="00C75BA7" w:rsidP="00CD37E4">
      <w:pPr>
        <w:tabs>
          <w:tab w:val="left" w:pos="6551"/>
        </w:tabs>
        <w:spacing w:after="0" w:line="240" w:lineRule="auto"/>
        <w:jc w:val="both"/>
        <w:rPr>
          <w:rFonts w:ascii="Verdana" w:eastAsia="Arial" w:hAnsi="Verdana" w:cs="Arial"/>
          <w:color w:val="000000"/>
          <w:sz w:val="20"/>
          <w:szCs w:val="20"/>
        </w:rPr>
      </w:pPr>
    </w:p>
    <w:p w14:paraId="0F447176" w14:textId="77777777" w:rsidR="00321BB0" w:rsidRDefault="00321BB0" w:rsidP="00CD37E4">
      <w:pPr>
        <w:tabs>
          <w:tab w:val="left" w:pos="6551"/>
        </w:tabs>
        <w:spacing w:after="0" w:line="240" w:lineRule="auto"/>
        <w:jc w:val="both"/>
        <w:rPr>
          <w:rFonts w:ascii="Verdana" w:eastAsia="Arial" w:hAnsi="Verdana" w:cs="Arial"/>
          <w:color w:val="000000"/>
          <w:sz w:val="20"/>
          <w:szCs w:val="20"/>
        </w:rPr>
      </w:pPr>
    </w:p>
    <w:p w14:paraId="221FE327" w14:textId="77777777" w:rsidR="00C75BA7" w:rsidRPr="00C75BA7" w:rsidRDefault="00C75BA7" w:rsidP="00CD37E4">
      <w:pPr>
        <w:tabs>
          <w:tab w:val="left" w:pos="6551"/>
        </w:tabs>
        <w:spacing w:after="0" w:line="240" w:lineRule="auto"/>
        <w:jc w:val="both"/>
        <w:rPr>
          <w:rFonts w:ascii="Verdana" w:eastAsia="Times New Roman" w:hAnsi="Verdana" w:cs="Arial"/>
          <w:b/>
          <w:bCs/>
          <w:color w:val="000000"/>
          <w:sz w:val="20"/>
          <w:szCs w:val="20"/>
          <w:lang w:val="es-ES" w:eastAsia="es-ES_tradnl"/>
        </w:rPr>
      </w:pPr>
    </w:p>
    <w:p w14:paraId="6D923764" w14:textId="77777777" w:rsidR="00CD37E4" w:rsidRDefault="00CD37E4" w:rsidP="00CD37E4">
      <w:pPr>
        <w:tabs>
          <w:tab w:val="left" w:pos="6551"/>
        </w:tabs>
        <w:spacing w:after="0" w:line="240" w:lineRule="auto"/>
        <w:jc w:val="both"/>
        <w:rPr>
          <w:rFonts w:ascii="Verdana" w:eastAsia="Calibri" w:hAnsi="Verdana" w:cs="Arial"/>
          <w:b/>
          <w:color w:val="000000"/>
          <w:sz w:val="20"/>
          <w:szCs w:val="20"/>
          <w:lang w:val="es-ES_tradnl" w:eastAsia="es-ES_tradnl"/>
        </w:rPr>
      </w:pPr>
    </w:p>
    <w:p w14:paraId="39E11C4B" w14:textId="105F7EB1" w:rsidR="0033778F" w:rsidRDefault="0033778F">
      <w:pPr>
        <w:rPr>
          <w:rFonts w:ascii="Verdana" w:eastAsia="Calibri" w:hAnsi="Verdana" w:cs="Arial"/>
          <w:b/>
          <w:color w:val="000000"/>
          <w:sz w:val="20"/>
          <w:szCs w:val="20"/>
          <w:lang w:val="es-ES_tradnl" w:eastAsia="es-ES_tradnl"/>
        </w:rPr>
      </w:pPr>
      <w:r>
        <w:rPr>
          <w:rFonts w:ascii="Verdana" w:eastAsia="Calibri" w:hAnsi="Verdana" w:cs="Arial"/>
          <w:b/>
          <w:color w:val="000000"/>
          <w:sz w:val="20"/>
          <w:szCs w:val="20"/>
          <w:lang w:val="es-ES_tradnl" w:eastAsia="es-ES_tradnl"/>
        </w:rPr>
        <w:br w:type="page"/>
      </w:r>
    </w:p>
    <w:p w14:paraId="3425E78F" w14:textId="22164898" w:rsidR="00361AD0" w:rsidRDefault="00361AD0" w:rsidP="00191971">
      <w:pPr>
        <w:spacing w:after="0" w:line="276" w:lineRule="auto"/>
        <w:rPr>
          <w:rFonts w:ascii="Verdana" w:eastAsia="Calibri" w:hAnsi="Verdana" w:cs="Arial"/>
          <w:lang w:eastAsia="es-ES_tradnl"/>
        </w:rPr>
      </w:pPr>
      <w:bookmarkStart w:id="1" w:name="_Hlk199498076"/>
      <w:r>
        <w:rPr>
          <w:rFonts w:ascii="Verdana" w:eastAsia="Calibri" w:hAnsi="Verdana" w:cs="Arial"/>
          <w:lang w:eastAsia="es-ES_tradnl"/>
        </w:rPr>
        <w:lastRenderedPageBreak/>
        <w:t>Bogotá, 30 de mayo de 2025</w:t>
      </w:r>
    </w:p>
    <w:p w14:paraId="545956D6" w14:textId="77777777" w:rsidR="00361AD0" w:rsidRDefault="00361AD0" w:rsidP="00191971">
      <w:pPr>
        <w:spacing w:after="0" w:line="276" w:lineRule="auto"/>
        <w:rPr>
          <w:rFonts w:ascii="Verdana" w:eastAsia="Calibri" w:hAnsi="Verdana" w:cs="Arial"/>
          <w:lang w:eastAsia="es-ES_tradnl"/>
        </w:rPr>
      </w:pPr>
    </w:p>
    <w:p w14:paraId="0A69DE65" w14:textId="2D3138B6" w:rsidR="00191971" w:rsidRPr="00191971" w:rsidRDefault="00191971" w:rsidP="00191971">
      <w:pPr>
        <w:spacing w:after="0" w:line="276" w:lineRule="auto"/>
        <w:rPr>
          <w:rFonts w:ascii="Verdana" w:eastAsia="Calibri" w:hAnsi="Verdana" w:cs="Arial"/>
          <w:lang w:eastAsia="es-ES_tradnl"/>
        </w:rPr>
      </w:pPr>
      <w:r w:rsidRPr="00191971">
        <w:rPr>
          <w:rFonts w:ascii="Verdana" w:eastAsia="Calibri" w:hAnsi="Verdana" w:cs="Arial"/>
          <w:lang w:eastAsia="es-ES_tradnl"/>
        </w:rPr>
        <w:t>Señor</w:t>
      </w:r>
    </w:p>
    <w:p w14:paraId="1A858CA7" w14:textId="13BFDE18" w:rsidR="00191971" w:rsidRPr="0054711F" w:rsidRDefault="0054711F" w:rsidP="00191971">
      <w:pPr>
        <w:spacing w:after="0" w:line="276" w:lineRule="auto"/>
        <w:rPr>
          <w:rFonts w:ascii="Verdana" w:eastAsia="Calibri" w:hAnsi="Verdana" w:cs="Arial"/>
          <w:lang w:val="pt-BR" w:eastAsia="es-ES_tradnl"/>
        </w:rPr>
      </w:pPr>
      <w:r w:rsidRPr="0054711F">
        <w:rPr>
          <w:rFonts w:ascii="Verdana" w:eastAsia="Calibri" w:hAnsi="Verdana" w:cs="Arial"/>
          <w:b/>
          <w:bCs/>
          <w:lang w:val="pt-BR" w:eastAsia="es-ES_tradnl"/>
        </w:rPr>
        <w:t>Miguel Arturo Bautista Fernandez</w:t>
      </w:r>
      <w:r w:rsidR="00191971" w:rsidRPr="0054711F">
        <w:rPr>
          <w:rFonts w:ascii="Verdana" w:eastAsia="Calibri" w:hAnsi="Verdana" w:cs="Arial"/>
          <w:b/>
          <w:bCs/>
          <w:lang w:val="pt-BR" w:eastAsia="es-ES_tradnl"/>
        </w:rPr>
        <w:br/>
      </w:r>
      <w:r>
        <w:rPr>
          <w:rFonts w:ascii="Verdana" w:eastAsia="Calibri" w:hAnsi="Verdana" w:cs="Arial"/>
          <w:u w:val="single"/>
          <w:lang w:val="pt-BR" w:eastAsia="es-ES_tradnl"/>
        </w:rPr>
        <w:t>miguelbautistaabogado@gmail.com</w:t>
      </w:r>
      <w:r w:rsidR="00191971" w:rsidRPr="0054711F">
        <w:rPr>
          <w:rFonts w:ascii="Verdana" w:eastAsia="Calibri" w:hAnsi="Verdana" w:cs="Arial"/>
          <w:u w:val="single"/>
          <w:lang w:val="pt-BR" w:eastAsia="es-ES_tradnl"/>
        </w:rPr>
        <w:t> </w:t>
      </w:r>
    </w:p>
    <w:p w14:paraId="1071B2D8" w14:textId="4C74D6ED" w:rsidR="00191971" w:rsidRPr="00102350" w:rsidRDefault="00102350" w:rsidP="00102350">
      <w:pPr>
        <w:spacing w:after="0" w:line="276" w:lineRule="auto"/>
        <w:rPr>
          <w:rFonts w:ascii="Verdana" w:eastAsia="Calibri" w:hAnsi="Verdana" w:cs="Arial"/>
          <w:lang w:eastAsia="es-ES_tradnl"/>
        </w:rPr>
      </w:pPr>
      <w:r w:rsidRPr="00102350">
        <w:rPr>
          <w:rFonts w:ascii="Verdana" w:eastAsia="Calibri" w:hAnsi="Verdana" w:cs="Arial"/>
          <w:lang w:eastAsia="es-ES_tradnl"/>
        </w:rPr>
        <w:t>Floridablanca, Santander</w:t>
      </w:r>
      <w:r w:rsidR="00191971" w:rsidRPr="00102350">
        <w:rPr>
          <w:rFonts w:ascii="Verdana" w:eastAsia="Calibri" w:hAnsi="Verdana" w:cs="Arial"/>
          <w:lang w:eastAsia="es-ES_tradnl"/>
        </w:rPr>
        <w:t>.</w:t>
      </w:r>
    </w:p>
    <w:p w14:paraId="74E6C994" w14:textId="77777777" w:rsidR="00191971" w:rsidRDefault="00191971" w:rsidP="00191971">
      <w:pPr>
        <w:spacing w:after="0" w:line="276" w:lineRule="auto"/>
        <w:jc w:val="both"/>
        <w:rPr>
          <w:rFonts w:ascii="Verdana" w:eastAsia="Calibri" w:hAnsi="Verdana" w:cs="Arial"/>
          <w:lang w:eastAsia="es-ES_tradnl"/>
        </w:rPr>
      </w:pPr>
    </w:p>
    <w:p w14:paraId="46268371" w14:textId="77777777" w:rsidR="00361AD0" w:rsidRDefault="00361AD0" w:rsidP="00191971">
      <w:pPr>
        <w:spacing w:after="0" w:line="276" w:lineRule="auto"/>
        <w:jc w:val="both"/>
        <w:rPr>
          <w:rFonts w:ascii="Verdana" w:eastAsia="Calibri" w:hAnsi="Verdana" w:cs="Arial"/>
          <w:lang w:eastAsia="es-ES_tradnl"/>
        </w:rPr>
      </w:pPr>
    </w:p>
    <w:p w14:paraId="1FEF67A6" w14:textId="1143E5A1" w:rsidR="00361AD0" w:rsidRPr="00191971" w:rsidRDefault="00361AD0" w:rsidP="00361AD0">
      <w:pPr>
        <w:spacing w:after="0" w:line="276" w:lineRule="auto"/>
        <w:jc w:val="right"/>
        <w:rPr>
          <w:rFonts w:ascii="Verdana" w:eastAsia="Calibri" w:hAnsi="Verdana" w:cs="Arial"/>
          <w:lang w:eastAsia="es-ES_tradnl"/>
        </w:rPr>
      </w:pPr>
      <w:r w:rsidRPr="00361AD0">
        <w:rPr>
          <w:rFonts w:ascii="Verdana" w:eastAsia="Calibri" w:hAnsi="Verdana" w:cs="Arial"/>
          <w:lang w:eastAsia="es-ES_tradnl"/>
        </w:rPr>
        <w:drawing>
          <wp:inline distT="0" distB="0" distL="0" distR="0" wp14:anchorId="74CD14EC" wp14:editId="7AA88DDA">
            <wp:extent cx="2720576" cy="922100"/>
            <wp:effectExtent l="0" t="0" r="3810" b="0"/>
            <wp:docPr id="2610685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68527" name=""/>
                    <pic:cNvPicPr/>
                  </pic:nvPicPr>
                  <pic:blipFill>
                    <a:blip r:embed="rId10"/>
                    <a:stretch>
                      <a:fillRect/>
                    </a:stretch>
                  </pic:blipFill>
                  <pic:spPr>
                    <a:xfrm>
                      <a:off x="0" y="0"/>
                      <a:ext cx="2720576" cy="922100"/>
                    </a:xfrm>
                    <a:prstGeom prst="rect">
                      <a:avLst/>
                    </a:prstGeom>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2616"/>
        <w:gridCol w:w="36"/>
        <w:gridCol w:w="6186"/>
      </w:tblGrid>
      <w:tr w:rsidR="00361AD0" w:rsidRPr="00191971" w14:paraId="7A3AFC3A" w14:textId="77777777" w:rsidTr="00361AD0">
        <w:trPr>
          <w:trHeight w:val="378"/>
        </w:trPr>
        <w:tc>
          <w:tcPr>
            <w:tcW w:w="0" w:type="auto"/>
            <w:hideMark/>
          </w:tcPr>
          <w:p w14:paraId="54D02D0C" w14:textId="77777777" w:rsidR="00361AD0" w:rsidRPr="00191971" w:rsidRDefault="00361AD0" w:rsidP="00191971">
            <w:pPr>
              <w:spacing w:after="0" w:line="276" w:lineRule="auto"/>
              <w:jc w:val="both"/>
              <w:rPr>
                <w:rFonts w:ascii="Verdana" w:eastAsia="Calibri" w:hAnsi="Verdana" w:cs="Arial"/>
                <w:lang w:eastAsia="es-ES_tradnl"/>
              </w:rPr>
            </w:pPr>
            <w:r w:rsidRPr="00191971">
              <w:rPr>
                <w:rFonts w:ascii="Verdana" w:eastAsia="Calibri" w:hAnsi="Verdana" w:cs="Arial"/>
                <w:b/>
                <w:bCs/>
                <w:lang w:eastAsia="es-ES_tradnl"/>
              </w:rPr>
              <w:t>Concepto:</w:t>
            </w:r>
          </w:p>
        </w:tc>
        <w:tc>
          <w:tcPr>
            <w:tcW w:w="0" w:type="auto"/>
          </w:tcPr>
          <w:p w14:paraId="1BC3A533" w14:textId="77777777" w:rsidR="00361AD0" w:rsidRPr="00191971" w:rsidRDefault="00361AD0" w:rsidP="00191971">
            <w:pPr>
              <w:spacing w:after="0" w:line="276" w:lineRule="auto"/>
              <w:jc w:val="both"/>
              <w:rPr>
                <w:rFonts w:ascii="Verdana" w:eastAsia="Calibri" w:hAnsi="Verdana" w:cs="Arial"/>
                <w:b/>
                <w:bCs/>
                <w:lang w:eastAsia="es-ES_tradnl"/>
              </w:rPr>
            </w:pPr>
          </w:p>
        </w:tc>
        <w:tc>
          <w:tcPr>
            <w:tcW w:w="0" w:type="auto"/>
            <w:hideMark/>
          </w:tcPr>
          <w:p w14:paraId="515D0FFB" w14:textId="4635DF48" w:rsidR="00361AD0" w:rsidRPr="00191971" w:rsidRDefault="00361AD0" w:rsidP="00191971">
            <w:pPr>
              <w:spacing w:after="0" w:line="276" w:lineRule="auto"/>
              <w:jc w:val="both"/>
              <w:rPr>
                <w:rFonts w:ascii="Verdana" w:eastAsia="Calibri" w:hAnsi="Verdana" w:cs="Arial"/>
                <w:lang w:eastAsia="es-ES_tradnl"/>
              </w:rPr>
            </w:pPr>
            <w:r w:rsidRPr="00191971">
              <w:rPr>
                <w:rFonts w:ascii="Verdana" w:eastAsia="Calibri" w:hAnsi="Verdana" w:cs="Arial"/>
                <w:b/>
                <w:bCs/>
                <w:lang w:eastAsia="es-ES_tradnl"/>
              </w:rPr>
              <w:t>C- 4</w:t>
            </w:r>
            <w:r>
              <w:rPr>
                <w:rFonts w:ascii="Verdana" w:eastAsia="Calibri" w:hAnsi="Verdana" w:cs="Arial"/>
                <w:b/>
                <w:bCs/>
                <w:lang w:eastAsia="es-ES_tradnl"/>
              </w:rPr>
              <w:t>95</w:t>
            </w:r>
            <w:r w:rsidRPr="00191971">
              <w:rPr>
                <w:rFonts w:ascii="Verdana" w:eastAsia="Calibri" w:hAnsi="Verdana" w:cs="Arial"/>
                <w:b/>
                <w:bCs/>
                <w:lang w:eastAsia="es-ES_tradnl"/>
              </w:rPr>
              <w:t xml:space="preserve"> de 2025</w:t>
            </w:r>
          </w:p>
        </w:tc>
      </w:tr>
      <w:tr w:rsidR="00361AD0" w:rsidRPr="00191971" w14:paraId="3229FFBC" w14:textId="77777777" w:rsidTr="00361AD0">
        <w:trPr>
          <w:trHeight w:val="884"/>
        </w:trPr>
        <w:tc>
          <w:tcPr>
            <w:tcW w:w="0" w:type="auto"/>
            <w:hideMark/>
          </w:tcPr>
          <w:p w14:paraId="43EB3A6D" w14:textId="77777777" w:rsidR="00361AD0" w:rsidRPr="00191971" w:rsidRDefault="00361AD0" w:rsidP="00191971">
            <w:pPr>
              <w:spacing w:after="0" w:line="276" w:lineRule="auto"/>
              <w:jc w:val="both"/>
              <w:rPr>
                <w:rFonts w:ascii="Verdana" w:eastAsia="Calibri" w:hAnsi="Verdana" w:cs="Arial"/>
                <w:lang w:eastAsia="es-ES_tradnl"/>
              </w:rPr>
            </w:pPr>
          </w:p>
          <w:p w14:paraId="322D3D18" w14:textId="77777777" w:rsidR="00361AD0" w:rsidRPr="00191971" w:rsidRDefault="00361AD0" w:rsidP="00191971">
            <w:pPr>
              <w:spacing w:after="0" w:line="276" w:lineRule="auto"/>
              <w:jc w:val="both"/>
              <w:rPr>
                <w:rFonts w:ascii="Verdana" w:eastAsia="Calibri" w:hAnsi="Verdana" w:cs="Arial"/>
                <w:lang w:eastAsia="es-ES_tradnl"/>
              </w:rPr>
            </w:pPr>
            <w:r w:rsidRPr="00191971">
              <w:rPr>
                <w:rFonts w:ascii="Verdana" w:eastAsia="Calibri" w:hAnsi="Verdana" w:cs="Arial"/>
                <w:b/>
                <w:bCs/>
                <w:lang w:eastAsia="es-ES_tradnl"/>
              </w:rPr>
              <w:t>Temas:</w:t>
            </w:r>
            <w:r w:rsidRPr="00191971">
              <w:rPr>
                <w:rFonts w:ascii="Verdana" w:eastAsia="Calibri" w:hAnsi="Verdana" w:cs="Arial"/>
                <w:lang w:eastAsia="es-ES_tradnl"/>
              </w:rPr>
              <w:t>                   </w:t>
            </w:r>
          </w:p>
          <w:p w14:paraId="0C8D7EDD" w14:textId="77777777" w:rsidR="00361AD0" w:rsidRPr="00191971" w:rsidRDefault="00361AD0" w:rsidP="00191971">
            <w:pPr>
              <w:spacing w:after="0" w:line="276" w:lineRule="auto"/>
              <w:jc w:val="both"/>
              <w:rPr>
                <w:rFonts w:ascii="Verdana" w:eastAsia="Calibri" w:hAnsi="Verdana" w:cs="Arial"/>
                <w:lang w:eastAsia="es-ES_tradnl"/>
              </w:rPr>
            </w:pPr>
            <w:r w:rsidRPr="00191971">
              <w:rPr>
                <w:rFonts w:ascii="Verdana" w:eastAsia="Calibri" w:hAnsi="Verdana" w:cs="Arial"/>
                <w:lang w:eastAsia="es-ES_tradnl"/>
              </w:rPr>
              <w:br/>
            </w:r>
          </w:p>
        </w:tc>
        <w:tc>
          <w:tcPr>
            <w:tcW w:w="0" w:type="auto"/>
          </w:tcPr>
          <w:p w14:paraId="516400B6" w14:textId="77777777" w:rsidR="00361AD0" w:rsidRPr="00191971" w:rsidRDefault="00361AD0" w:rsidP="00191971">
            <w:pPr>
              <w:spacing w:after="0" w:line="276" w:lineRule="auto"/>
              <w:jc w:val="both"/>
              <w:rPr>
                <w:rFonts w:ascii="Verdana" w:eastAsia="Calibri" w:hAnsi="Verdana" w:cs="Arial"/>
                <w:lang w:eastAsia="es-ES_tradnl"/>
              </w:rPr>
            </w:pPr>
          </w:p>
        </w:tc>
        <w:tc>
          <w:tcPr>
            <w:tcW w:w="0" w:type="auto"/>
            <w:hideMark/>
          </w:tcPr>
          <w:p w14:paraId="2B48A028" w14:textId="3BA5596A" w:rsidR="00361AD0" w:rsidRPr="00191971" w:rsidRDefault="00361AD0" w:rsidP="00191971">
            <w:pPr>
              <w:spacing w:after="0" w:line="276" w:lineRule="auto"/>
              <w:jc w:val="both"/>
              <w:rPr>
                <w:rFonts w:ascii="Verdana" w:eastAsia="Calibri" w:hAnsi="Verdana" w:cs="Arial"/>
                <w:lang w:eastAsia="es-ES_tradnl"/>
              </w:rPr>
            </w:pPr>
          </w:p>
          <w:p w14:paraId="1143105C" w14:textId="77777777" w:rsidR="00361AD0" w:rsidRDefault="00361AD0" w:rsidP="0033778F">
            <w:pPr>
              <w:spacing w:after="0" w:line="240" w:lineRule="auto"/>
              <w:jc w:val="both"/>
              <w:rPr>
                <w:rFonts w:ascii="Verdana" w:eastAsia="Calibri" w:hAnsi="Verdana" w:cs="Arial"/>
                <w:lang w:eastAsia="es-ES_tradnl"/>
              </w:rPr>
            </w:pPr>
            <w:r w:rsidRPr="0033778F">
              <w:rPr>
                <w:rFonts w:ascii="Verdana" w:eastAsia="Calibri" w:hAnsi="Verdana" w:cs="Arial"/>
                <w:bCs/>
                <w:lang w:val="es-ES" w:eastAsia="es-ES"/>
              </w:rPr>
              <w:t xml:space="preserve">CONTRATACIÓN PÚBLICA – Principio de publicidad – Principio de transparencia – Uso del SECOP / </w:t>
            </w:r>
            <w:r w:rsidRPr="0033778F">
              <w:rPr>
                <w:rFonts w:ascii="Verdana" w:eastAsia="Aptos" w:hAnsi="Verdana" w:cs="Times New Roman"/>
                <w:bCs/>
              </w:rPr>
              <w:t>SECOP ll – Publicidad – Documentos del proceso – Actos Administrativos /</w:t>
            </w:r>
            <w:r>
              <w:rPr>
                <w:rFonts w:ascii="Verdana" w:eastAsia="Aptos" w:hAnsi="Verdana" w:cs="Times New Roman"/>
                <w:b/>
                <w:bCs/>
              </w:rPr>
              <w:t xml:space="preserve"> </w:t>
            </w:r>
            <w:r w:rsidRPr="006E4180">
              <w:rPr>
                <w:rFonts w:ascii="Verdana" w:eastAsia="Calibri" w:hAnsi="Verdana" w:cs="Arial"/>
                <w:lang w:eastAsia="es-ES_tradnl"/>
              </w:rPr>
              <w:t xml:space="preserve">CONVOCATORIAS LIMITADAS A MIPYME – Aplicación / DECRETO 1860 DE 2021 – Convocatorias limitadas a MiPymes Nacionales – Requisitos / </w:t>
            </w:r>
            <w:r w:rsidRPr="00191971">
              <w:rPr>
                <w:rFonts w:ascii="Verdana" w:eastAsia="Calibri" w:hAnsi="Verdana" w:cs="Arial"/>
                <w:lang w:eastAsia="es-ES_tradnl"/>
              </w:rPr>
              <w:t>CONVOCATORIAS LIMITADAS A MIPYMES – Limitación Territorial – Carácter discrecional </w:t>
            </w:r>
          </w:p>
          <w:p w14:paraId="1C34D708" w14:textId="1A537FEE" w:rsidR="00361AD0" w:rsidRPr="0033778F" w:rsidRDefault="00361AD0" w:rsidP="0033778F">
            <w:pPr>
              <w:spacing w:after="0" w:line="240" w:lineRule="auto"/>
              <w:jc w:val="both"/>
              <w:rPr>
                <w:rFonts w:ascii="Verdana" w:eastAsia="Aptos" w:hAnsi="Verdana" w:cs="Times New Roman"/>
                <w:b/>
                <w:bCs/>
              </w:rPr>
            </w:pPr>
          </w:p>
        </w:tc>
      </w:tr>
      <w:tr w:rsidR="00361AD0" w:rsidRPr="00191971" w14:paraId="154AEE0E" w14:textId="77777777" w:rsidTr="00361AD0">
        <w:tc>
          <w:tcPr>
            <w:tcW w:w="0" w:type="auto"/>
            <w:hideMark/>
          </w:tcPr>
          <w:p w14:paraId="1044A11F" w14:textId="77777777" w:rsidR="00361AD0" w:rsidRPr="00191971" w:rsidRDefault="00361AD0" w:rsidP="00191971">
            <w:pPr>
              <w:spacing w:after="0" w:line="276" w:lineRule="auto"/>
              <w:jc w:val="both"/>
              <w:rPr>
                <w:rFonts w:ascii="Verdana" w:eastAsia="Calibri" w:hAnsi="Verdana" w:cs="Arial"/>
                <w:lang w:eastAsia="es-ES_tradnl"/>
              </w:rPr>
            </w:pPr>
            <w:r w:rsidRPr="00191971">
              <w:rPr>
                <w:rFonts w:ascii="Verdana" w:eastAsia="Calibri" w:hAnsi="Verdana" w:cs="Arial"/>
                <w:b/>
                <w:bCs/>
                <w:lang w:eastAsia="es-ES_tradnl"/>
              </w:rPr>
              <w:t>Radicación:</w:t>
            </w:r>
            <w:r w:rsidRPr="00191971">
              <w:rPr>
                <w:rFonts w:ascii="Verdana" w:eastAsia="Calibri" w:hAnsi="Verdana" w:cs="Arial"/>
                <w:lang w:eastAsia="es-ES_tradnl"/>
              </w:rPr>
              <w:t>               </w:t>
            </w:r>
          </w:p>
        </w:tc>
        <w:tc>
          <w:tcPr>
            <w:tcW w:w="0" w:type="auto"/>
          </w:tcPr>
          <w:p w14:paraId="2B8C0D07" w14:textId="77777777" w:rsidR="00361AD0" w:rsidRPr="00191971" w:rsidRDefault="00361AD0" w:rsidP="00191971">
            <w:pPr>
              <w:spacing w:after="0" w:line="276" w:lineRule="auto"/>
              <w:jc w:val="both"/>
              <w:rPr>
                <w:rFonts w:ascii="Verdana" w:eastAsia="Calibri" w:hAnsi="Verdana" w:cs="Arial"/>
                <w:lang w:eastAsia="es-ES_tradnl"/>
              </w:rPr>
            </w:pPr>
          </w:p>
        </w:tc>
        <w:tc>
          <w:tcPr>
            <w:tcW w:w="0" w:type="auto"/>
            <w:hideMark/>
          </w:tcPr>
          <w:p w14:paraId="33E5E33A" w14:textId="047C31B8" w:rsidR="00361AD0" w:rsidRPr="00191971" w:rsidRDefault="00361AD0" w:rsidP="00191971">
            <w:pPr>
              <w:spacing w:after="0" w:line="276" w:lineRule="auto"/>
              <w:jc w:val="both"/>
              <w:rPr>
                <w:rFonts w:ascii="Verdana" w:eastAsia="Calibri" w:hAnsi="Verdana" w:cs="Arial"/>
                <w:lang w:eastAsia="es-ES_tradnl"/>
              </w:rPr>
            </w:pPr>
            <w:r w:rsidRPr="00191971">
              <w:rPr>
                <w:rFonts w:ascii="Verdana" w:eastAsia="Calibri" w:hAnsi="Verdana" w:cs="Arial"/>
                <w:lang w:eastAsia="es-ES_tradnl"/>
              </w:rPr>
              <w:t xml:space="preserve">Respuesta a consulta con radicado No. </w:t>
            </w:r>
            <w:r w:rsidRPr="000C01C5">
              <w:rPr>
                <w:rFonts w:ascii="Verdana" w:eastAsia="Calibri" w:hAnsi="Verdana" w:cs="Arial"/>
                <w:lang w:eastAsia="es-ES_tradnl"/>
              </w:rPr>
              <w:t>P20250421003744</w:t>
            </w:r>
          </w:p>
        </w:tc>
      </w:tr>
    </w:tbl>
    <w:p w14:paraId="2A50C28E" w14:textId="77777777" w:rsidR="00FC5D28" w:rsidRPr="00F71A6A" w:rsidRDefault="00FC5D28" w:rsidP="00FC5D28">
      <w:pPr>
        <w:spacing w:after="0" w:line="276" w:lineRule="auto"/>
        <w:jc w:val="both"/>
        <w:rPr>
          <w:rFonts w:ascii="Verdana" w:eastAsia="Calibri" w:hAnsi="Verdana" w:cs="Arial"/>
          <w:lang w:val="es-ES_tradnl" w:eastAsia="es-ES_tradnl"/>
        </w:rPr>
      </w:pPr>
    </w:p>
    <w:p w14:paraId="7744798E" w14:textId="7586B437" w:rsidR="00FC5D28" w:rsidRPr="00F71A6A" w:rsidRDefault="00FC5D28" w:rsidP="00FC5D28">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Estimad</w:t>
      </w:r>
      <w:r w:rsidR="000C01C5">
        <w:rPr>
          <w:rFonts w:ascii="Verdana" w:eastAsia="Calibri" w:hAnsi="Verdana" w:cs="Arial"/>
          <w:lang w:val="es-ES" w:eastAsia="es-ES"/>
        </w:rPr>
        <w:t>o</w:t>
      </w:r>
      <w:r>
        <w:rPr>
          <w:rFonts w:ascii="Verdana" w:eastAsia="Calibri" w:hAnsi="Verdana" w:cs="Arial"/>
          <w:lang w:val="es-ES" w:eastAsia="es-ES"/>
        </w:rPr>
        <w:t xml:space="preserve"> </w:t>
      </w:r>
      <w:r w:rsidRPr="00F71A6A">
        <w:rPr>
          <w:rFonts w:ascii="Verdana" w:eastAsia="Calibri" w:hAnsi="Verdana" w:cs="Arial"/>
          <w:lang w:val="es-ES" w:eastAsia="es-ES"/>
        </w:rPr>
        <w:t>señor</w:t>
      </w:r>
      <w:r>
        <w:rPr>
          <w:rFonts w:ascii="Verdana" w:eastAsia="Calibri" w:hAnsi="Verdana" w:cs="Arial"/>
          <w:lang w:val="es-ES" w:eastAsia="es-ES"/>
        </w:rPr>
        <w:t xml:space="preserve"> </w:t>
      </w:r>
      <w:r w:rsidR="00191971">
        <w:rPr>
          <w:rFonts w:ascii="Verdana" w:eastAsia="Calibri" w:hAnsi="Verdana" w:cs="Arial"/>
          <w:lang w:val="es-ES" w:eastAsia="es-ES"/>
        </w:rPr>
        <w:t>B</w:t>
      </w:r>
      <w:r w:rsidR="000C01C5">
        <w:rPr>
          <w:rFonts w:ascii="Verdana" w:eastAsia="Calibri" w:hAnsi="Verdana" w:cs="Arial"/>
          <w:lang w:val="es-ES" w:eastAsia="es-ES"/>
        </w:rPr>
        <w:t>autista</w:t>
      </w:r>
      <w:r>
        <w:rPr>
          <w:rFonts w:ascii="Verdana" w:eastAsia="Calibri" w:hAnsi="Verdana" w:cs="Arial"/>
          <w:lang w:val="es-ES" w:eastAsia="es-ES"/>
        </w:rPr>
        <w:t>:</w:t>
      </w:r>
      <w:r w:rsidRPr="00F71A6A">
        <w:rPr>
          <w:rFonts w:ascii="Verdana" w:eastAsia="Calibri" w:hAnsi="Verdana" w:cs="Arial"/>
          <w:lang w:val="es-ES" w:eastAsia="es-ES"/>
        </w:rPr>
        <w:t xml:space="preserve"> </w:t>
      </w:r>
    </w:p>
    <w:p w14:paraId="18F830BA" w14:textId="77777777" w:rsidR="00FC5D28" w:rsidRPr="008F5074" w:rsidRDefault="00FC5D28" w:rsidP="008F5074">
      <w:pPr>
        <w:tabs>
          <w:tab w:val="left" w:pos="3768"/>
        </w:tabs>
        <w:spacing w:after="0" w:line="276" w:lineRule="auto"/>
        <w:jc w:val="both"/>
        <w:rPr>
          <w:rFonts w:ascii="Verdana" w:eastAsia="Calibri" w:hAnsi="Verdana" w:cs="Arial"/>
          <w:color w:val="000000"/>
          <w:lang w:val="es-ES" w:eastAsia="es-ES"/>
        </w:rPr>
      </w:pPr>
      <w:r w:rsidRPr="008F5074">
        <w:rPr>
          <w:rFonts w:ascii="Verdana" w:eastAsia="Calibri" w:hAnsi="Verdana" w:cs="Arial"/>
          <w:color w:val="000000"/>
          <w:lang w:val="es-ES" w:eastAsia="es-ES"/>
        </w:rPr>
        <w:tab/>
      </w:r>
    </w:p>
    <w:p w14:paraId="381E6C3F" w14:textId="3D9A0D65" w:rsidR="008F5074" w:rsidRPr="008F5074" w:rsidRDefault="008F5074" w:rsidP="008F5074">
      <w:pPr>
        <w:tabs>
          <w:tab w:val="left" w:pos="142"/>
          <w:tab w:val="left" w:pos="284"/>
        </w:tabs>
        <w:jc w:val="both"/>
        <w:rPr>
          <w:rFonts w:ascii="Verdana" w:eastAsia="Calibri" w:hAnsi="Verdana" w:cs="Arial"/>
          <w:color w:val="000000"/>
          <w:lang w:val="es-ES" w:eastAsia="es-ES"/>
        </w:rPr>
      </w:pPr>
      <w:r w:rsidRPr="008F5074">
        <w:rPr>
          <w:rFonts w:ascii="Verdana" w:eastAsia="Calibri" w:hAnsi="Verdana" w:cs="Arial"/>
          <w:color w:val="000000"/>
          <w:lang w:val="es-ES" w:eastAsia="es-ES"/>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remitida a esta entidad el 2</w:t>
      </w:r>
      <w:r w:rsidR="00E443F8">
        <w:rPr>
          <w:rFonts w:ascii="Verdana" w:eastAsia="Calibri" w:hAnsi="Verdana" w:cs="Arial"/>
          <w:color w:val="000000"/>
          <w:lang w:val="es-ES" w:eastAsia="es-ES"/>
        </w:rPr>
        <w:t>1</w:t>
      </w:r>
      <w:r w:rsidRPr="008F5074">
        <w:rPr>
          <w:rFonts w:ascii="Verdana" w:eastAsia="Calibri" w:hAnsi="Verdana" w:cs="Arial"/>
          <w:color w:val="000000"/>
          <w:lang w:val="es-ES" w:eastAsia="es-ES"/>
        </w:rPr>
        <w:t xml:space="preserve"> de abril de 2025, en la cual manifiesta lo siguiente: </w:t>
      </w:r>
    </w:p>
    <w:p w14:paraId="022B7712" w14:textId="77777777" w:rsidR="008F5074" w:rsidRPr="008F5074" w:rsidRDefault="008F5074" w:rsidP="008F5074">
      <w:pPr>
        <w:pStyle w:val="Prrafodelista"/>
        <w:tabs>
          <w:tab w:val="left" w:pos="142"/>
          <w:tab w:val="left" w:pos="284"/>
        </w:tabs>
        <w:jc w:val="both"/>
        <w:rPr>
          <w:rFonts w:ascii="Verdana" w:eastAsia="Calibri" w:hAnsi="Verdana" w:cs="Arial"/>
          <w:color w:val="000000"/>
          <w:lang w:eastAsia="es-ES"/>
        </w:rPr>
      </w:pPr>
    </w:p>
    <w:p w14:paraId="30609C3A" w14:textId="15318771" w:rsidR="00E443F8" w:rsidRPr="00E443F8" w:rsidRDefault="008F5074" w:rsidP="00E443F8">
      <w:pPr>
        <w:pStyle w:val="Prrafodelista"/>
        <w:tabs>
          <w:tab w:val="left" w:pos="142"/>
          <w:tab w:val="left" w:pos="284"/>
        </w:tabs>
        <w:ind w:left="709" w:right="1041"/>
        <w:jc w:val="both"/>
        <w:rPr>
          <w:rFonts w:ascii="Verdana" w:eastAsia="Calibri" w:hAnsi="Verdana" w:cs="Arial"/>
          <w:color w:val="000000"/>
          <w:sz w:val="20"/>
          <w:szCs w:val="20"/>
          <w:lang w:eastAsia="es-ES"/>
        </w:rPr>
      </w:pPr>
      <w:r w:rsidRPr="008F5074">
        <w:rPr>
          <w:rFonts w:ascii="Verdana" w:eastAsia="Calibri" w:hAnsi="Verdana" w:cs="Arial"/>
          <w:color w:val="000000"/>
          <w:sz w:val="20"/>
          <w:szCs w:val="20"/>
          <w:lang w:eastAsia="es-ES"/>
        </w:rPr>
        <w:t>“</w:t>
      </w:r>
      <w:r w:rsidR="00E443F8" w:rsidRPr="00E443F8">
        <w:rPr>
          <w:rFonts w:ascii="Verdana" w:eastAsia="Calibri" w:hAnsi="Verdana" w:cs="Arial"/>
          <w:color w:val="000000"/>
          <w:sz w:val="20"/>
          <w:szCs w:val="20"/>
          <w:lang w:eastAsia="es-ES"/>
        </w:rPr>
        <w:t>¿ deben las entidades publicar los documentos de las solicitudes que reciban a</w:t>
      </w:r>
      <w:r w:rsidR="00E443F8">
        <w:rPr>
          <w:rFonts w:ascii="Verdana" w:eastAsia="Calibri" w:hAnsi="Verdana" w:cs="Arial"/>
          <w:color w:val="000000"/>
          <w:sz w:val="20"/>
          <w:szCs w:val="20"/>
          <w:lang w:eastAsia="es-ES"/>
        </w:rPr>
        <w:t xml:space="preserve"> </w:t>
      </w:r>
      <w:r w:rsidR="00E443F8" w:rsidRPr="00E443F8">
        <w:rPr>
          <w:rFonts w:ascii="Verdana" w:eastAsia="Calibri" w:hAnsi="Verdana" w:cs="Arial"/>
          <w:color w:val="000000"/>
          <w:sz w:val="20"/>
          <w:szCs w:val="20"/>
          <w:lang w:eastAsia="es-ES"/>
        </w:rPr>
        <w:t>través de la plataforma secop ii para la limitación territorial de mi pymes con domicilio</w:t>
      </w:r>
      <w:r w:rsidR="00E443F8">
        <w:rPr>
          <w:rFonts w:ascii="Verdana" w:eastAsia="Calibri" w:hAnsi="Verdana" w:cs="Arial"/>
          <w:color w:val="000000"/>
          <w:sz w:val="20"/>
          <w:szCs w:val="20"/>
          <w:lang w:eastAsia="es-ES"/>
        </w:rPr>
        <w:t xml:space="preserve"> </w:t>
      </w:r>
      <w:r w:rsidR="00E443F8" w:rsidRPr="00E443F8">
        <w:rPr>
          <w:rFonts w:ascii="Verdana" w:eastAsia="Calibri" w:hAnsi="Verdana" w:cs="Arial"/>
          <w:color w:val="000000"/>
          <w:sz w:val="20"/>
          <w:szCs w:val="20"/>
          <w:lang w:eastAsia="es-ES"/>
        </w:rPr>
        <w:t xml:space="preserve">en un municipio o un departamento ? </w:t>
      </w:r>
    </w:p>
    <w:p w14:paraId="55B68F23" w14:textId="3AB3E47D" w:rsidR="00E443F8" w:rsidRPr="00E443F8" w:rsidRDefault="00E443F8" w:rsidP="00E443F8">
      <w:pPr>
        <w:pStyle w:val="Prrafodelista"/>
        <w:tabs>
          <w:tab w:val="left" w:pos="142"/>
          <w:tab w:val="left" w:pos="284"/>
        </w:tabs>
        <w:ind w:left="709" w:right="1041"/>
        <w:jc w:val="both"/>
        <w:rPr>
          <w:rFonts w:ascii="Verdana" w:eastAsia="Calibri" w:hAnsi="Verdana" w:cs="Arial"/>
          <w:color w:val="000000"/>
          <w:sz w:val="20"/>
          <w:szCs w:val="20"/>
          <w:lang w:eastAsia="es-ES"/>
        </w:rPr>
      </w:pPr>
      <w:r w:rsidRPr="00E443F8">
        <w:rPr>
          <w:rFonts w:ascii="Verdana" w:eastAsia="Calibri" w:hAnsi="Verdana" w:cs="Arial"/>
          <w:color w:val="000000"/>
          <w:sz w:val="20"/>
          <w:szCs w:val="20"/>
          <w:lang w:eastAsia="es-ES"/>
        </w:rPr>
        <w:lastRenderedPageBreak/>
        <w:t>¿ es suceptible de observación la decisión de la entidad de limitar a mi pymes</w:t>
      </w:r>
      <w:r>
        <w:rPr>
          <w:rFonts w:ascii="Verdana" w:eastAsia="Calibri" w:hAnsi="Verdana" w:cs="Arial"/>
          <w:color w:val="000000"/>
          <w:sz w:val="20"/>
          <w:szCs w:val="20"/>
          <w:lang w:eastAsia="es-ES"/>
        </w:rPr>
        <w:t xml:space="preserve"> </w:t>
      </w:r>
      <w:r w:rsidRPr="00E443F8">
        <w:rPr>
          <w:rFonts w:ascii="Verdana" w:eastAsia="Calibri" w:hAnsi="Verdana" w:cs="Arial"/>
          <w:color w:val="000000"/>
          <w:sz w:val="20"/>
          <w:szCs w:val="20"/>
          <w:lang w:eastAsia="es-ES"/>
        </w:rPr>
        <w:t xml:space="preserve">territoriales con domicilio en determinimado municipio o departamento? </w:t>
      </w:r>
    </w:p>
    <w:p w14:paraId="2D24639C" w14:textId="106F7667" w:rsidR="00FC5D28" w:rsidRPr="00E443F8" w:rsidRDefault="00E443F8" w:rsidP="00E443F8">
      <w:pPr>
        <w:pStyle w:val="Prrafodelista"/>
        <w:tabs>
          <w:tab w:val="left" w:pos="142"/>
          <w:tab w:val="left" w:pos="284"/>
        </w:tabs>
        <w:ind w:left="709" w:right="1041"/>
        <w:jc w:val="both"/>
        <w:rPr>
          <w:rFonts w:ascii="Verdana" w:eastAsia="Calibri" w:hAnsi="Verdana" w:cs="Arial"/>
          <w:color w:val="000000"/>
          <w:sz w:val="20"/>
          <w:szCs w:val="20"/>
          <w:lang w:eastAsia="es-ES"/>
        </w:rPr>
      </w:pPr>
      <w:r w:rsidRPr="00E443F8">
        <w:rPr>
          <w:rFonts w:ascii="Verdana" w:eastAsia="Calibri" w:hAnsi="Verdana" w:cs="Arial"/>
          <w:color w:val="000000"/>
          <w:sz w:val="20"/>
          <w:szCs w:val="20"/>
          <w:lang w:eastAsia="es-ES"/>
        </w:rPr>
        <w:t>¿ los procesos de consultoría son suceptibles de ser limitados a mi pymesterritoriales con domicilio en determinado detpartamento o ciudad?</w:t>
      </w:r>
      <w:r>
        <w:rPr>
          <w:rFonts w:ascii="Verdana" w:eastAsia="Calibri" w:hAnsi="Verdana" w:cs="Arial"/>
          <w:color w:val="000000"/>
          <w:sz w:val="20"/>
          <w:szCs w:val="20"/>
          <w:lang w:eastAsia="es-ES"/>
        </w:rPr>
        <w:t xml:space="preserve"> </w:t>
      </w:r>
      <w:r w:rsidR="008F5074" w:rsidRPr="00E443F8">
        <w:rPr>
          <w:rFonts w:ascii="Verdana" w:eastAsia="Calibri" w:hAnsi="Verdana" w:cs="Arial"/>
          <w:color w:val="000000"/>
          <w:sz w:val="20"/>
          <w:szCs w:val="20"/>
          <w:lang w:eastAsia="es-ES"/>
        </w:rPr>
        <w:t>[…]”.</w:t>
      </w:r>
      <w:r>
        <w:rPr>
          <w:rFonts w:ascii="Verdana" w:eastAsia="Calibri" w:hAnsi="Verdana" w:cs="Arial"/>
          <w:color w:val="000000"/>
          <w:sz w:val="20"/>
          <w:szCs w:val="20"/>
          <w:lang w:eastAsia="es-ES"/>
        </w:rPr>
        <w:t>[sic]</w:t>
      </w:r>
    </w:p>
    <w:p w14:paraId="13A0EE61" w14:textId="77777777" w:rsidR="008F5074" w:rsidRPr="00F71A6A" w:rsidRDefault="008F5074" w:rsidP="008F5074">
      <w:pPr>
        <w:pStyle w:val="Prrafodelista"/>
        <w:tabs>
          <w:tab w:val="left" w:pos="142"/>
          <w:tab w:val="left" w:pos="284"/>
        </w:tabs>
        <w:spacing w:after="0" w:line="240" w:lineRule="auto"/>
        <w:ind w:left="0"/>
        <w:jc w:val="both"/>
        <w:rPr>
          <w:rFonts w:ascii="Verdana" w:eastAsia="Century Gothic" w:hAnsi="Verdana" w:cs="Century Gothic"/>
          <w:b/>
          <w:bCs/>
        </w:rPr>
      </w:pPr>
    </w:p>
    <w:p w14:paraId="680E2ED0" w14:textId="582525D2" w:rsidR="00FC5D28" w:rsidRPr="00995CAD" w:rsidRDefault="00FC5D28" w:rsidP="00FC5D28">
      <w:pPr>
        <w:spacing w:after="120" w:line="276" w:lineRule="auto"/>
        <w:ind w:firstLine="709"/>
        <w:jc w:val="both"/>
        <w:rPr>
          <w:rFonts w:ascii="Verdana" w:eastAsia="Calibri" w:hAnsi="Verdana" w:cs="Arial"/>
          <w:color w:val="000000"/>
          <w:szCs w:val="24"/>
          <w:lang w:val="es-ES_tradnl" w:eastAsia="es-ES_tradnl"/>
        </w:rPr>
      </w:pPr>
      <w:r w:rsidRPr="00995CA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5CAD">
        <w:rPr>
          <w:rFonts w:ascii="Verdana" w:eastAsia="Calibri" w:hAnsi="Verdana" w:cs="Arial"/>
          <w:color w:val="000000"/>
          <w:szCs w:val="24"/>
          <w:lang w:val="es-ES_tradnl" w:eastAsia="es-ES_tradnl"/>
        </w:rPr>
        <w:tab/>
      </w:r>
    </w:p>
    <w:p w14:paraId="0326C4EC" w14:textId="77777777" w:rsidR="00FC5D28" w:rsidRPr="00995CAD" w:rsidRDefault="00FC5D28" w:rsidP="00FC5D28">
      <w:pPr>
        <w:spacing w:after="0" w:line="276" w:lineRule="auto"/>
        <w:ind w:firstLine="709"/>
        <w:jc w:val="both"/>
        <w:rPr>
          <w:rFonts w:ascii="Verdana" w:eastAsia="Calibri" w:hAnsi="Verdana" w:cs="Arial"/>
          <w:color w:val="000000"/>
          <w:lang w:val="es-ES" w:eastAsia="es-ES"/>
        </w:rPr>
      </w:pPr>
      <w:r w:rsidRPr="00995CAD">
        <w:rPr>
          <w:rFonts w:ascii="Verdana" w:eastAsia="Calibri" w:hAnsi="Verdana" w:cs="Arial"/>
          <w:color w:val="000000"/>
          <w:lang w:val="es-ES" w:eastAsia="es-ES"/>
        </w:rPr>
        <w:t xml:space="preserve">Conforme lo expuesto, en aras de garantizar el derecho fundamental de petición, se resolverá su petición dentro de los límites de la referida competencia consultiva, esto es, haciendo </w:t>
      </w:r>
      <w:r>
        <w:rPr>
          <w:rFonts w:ascii="Verdana" w:eastAsia="Calibri" w:hAnsi="Verdana" w:cs="Arial"/>
          <w:color w:val="000000"/>
          <w:lang w:val="es-ES" w:eastAsia="es-ES"/>
        </w:rPr>
        <w:t>abstracción del caso particular y concreto señalado en su petición, pero señalando</w:t>
      </w:r>
      <w:r w:rsidRPr="00995CAD">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995CAD">
        <w:rPr>
          <w:rFonts w:ascii="Verdana" w:eastAsia="Calibri" w:hAnsi="Verdana" w:cs="Arial"/>
          <w:color w:val="000000"/>
          <w:lang w:val="es-ES" w:eastAsia="es-ES"/>
        </w:rPr>
        <w:t>unas consideraciones sobre las normas generales relacionadas con el</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problema</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jurídico</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 xml:space="preserve">de su consulta.  </w:t>
      </w:r>
    </w:p>
    <w:p w14:paraId="015D3FAB" w14:textId="77777777" w:rsidR="00FC5D28" w:rsidRPr="00F71A6A" w:rsidRDefault="00FC5D28" w:rsidP="00FC5D28">
      <w:pPr>
        <w:spacing w:after="0" w:line="276" w:lineRule="auto"/>
        <w:ind w:firstLine="709"/>
        <w:jc w:val="both"/>
        <w:rPr>
          <w:rFonts w:ascii="Verdana" w:eastAsia="Calibri" w:hAnsi="Verdana" w:cs="Arial"/>
          <w:color w:val="000000"/>
          <w:lang w:val="es-ES" w:eastAsia="es-ES"/>
        </w:rPr>
      </w:pPr>
    </w:p>
    <w:p w14:paraId="716043DC" w14:textId="77777777" w:rsidR="00FC5D28" w:rsidRPr="00F71A6A" w:rsidRDefault="00FC5D28" w:rsidP="003B65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Problema planteado:</w:t>
      </w:r>
    </w:p>
    <w:p w14:paraId="15183D5D" w14:textId="77777777" w:rsidR="00FC5D28" w:rsidRPr="00F71A6A" w:rsidRDefault="00FC5D28" w:rsidP="00FC5D28">
      <w:pPr>
        <w:tabs>
          <w:tab w:val="left" w:pos="426"/>
        </w:tabs>
        <w:spacing w:after="0" w:line="276" w:lineRule="auto"/>
        <w:jc w:val="both"/>
        <w:rPr>
          <w:rFonts w:ascii="Verdana" w:eastAsia="Century Gothic" w:hAnsi="Verdana" w:cs="Century Gothic"/>
          <w:lang w:val="es-ES"/>
        </w:rPr>
      </w:pPr>
    </w:p>
    <w:p w14:paraId="5DF6D58D" w14:textId="38850621" w:rsidR="00FC5D28" w:rsidRPr="0006016B" w:rsidRDefault="00FC5D28" w:rsidP="0006016B">
      <w:pPr>
        <w:tabs>
          <w:tab w:val="left" w:pos="142"/>
          <w:tab w:val="left" w:pos="284"/>
        </w:tabs>
        <w:ind w:right="49"/>
        <w:jc w:val="both"/>
        <w:rPr>
          <w:rFonts w:ascii="Verdana" w:eastAsia="Calibri" w:hAnsi="Verdana" w:cs="Arial"/>
          <w:color w:val="000000"/>
          <w:sz w:val="20"/>
          <w:szCs w:val="20"/>
          <w:lang w:eastAsia="es-ES"/>
        </w:rPr>
      </w:pPr>
      <w:r w:rsidRPr="005F4F49">
        <w:rPr>
          <w:rFonts w:ascii="Verdana" w:eastAsia="Century Gothic" w:hAnsi="Verdana" w:cs="Century Gothic"/>
        </w:rPr>
        <w:t>De acuerdo con el contenido de su solicitud, esta Agencia resolverá</w:t>
      </w:r>
      <w:r w:rsidR="00F73651">
        <w:rPr>
          <w:rFonts w:ascii="Verdana" w:eastAsia="Century Gothic" w:hAnsi="Verdana" w:cs="Century Gothic"/>
        </w:rPr>
        <w:t xml:space="preserve"> los</w:t>
      </w:r>
      <w:r w:rsidRPr="005F4F49">
        <w:rPr>
          <w:rFonts w:ascii="Verdana" w:eastAsia="Century Gothic" w:hAnsi="Verdana" w:cs="Century Gothic"/>
        </w:rPr>
        <w:t xml:space="preserve"> siguiente</w:t>
      </w:r>
      <w:r w:rsidR="00F73651">
        <w:rPr>
          <w:rFonts w:ascii="Verdana" w:eastAsia="Century Gothic" w:hAnsi="Verdana" w:cs="Century Gothic"/>
        </w:rPr>
        <w:t>s</w:t>
      </w:r>
      <w:r w:rsidRPr="005F4F49">
        <w:rPr>
          <w:rFonts w:ascii="Verdana" w:eastAsia="Century Gothic" w:hAnsi="Verdana" w:cs="Century Gothic"/>
        </w:rPr>
        <w:t xml:space="preserve"> problema</w:t>
      </w:r>
      <w:r w:rsidR="00F73651">
        <w:rPr>
          <w:rFonts w:ascii="Verdana" w:eastAsia="Century Gothic" w:hAnsi="Verdana" w:cs="Century Gothic"/>
        </w:rPr>
        <w:t>s</w:t>
      </w:r>
      <w:r w:rsidRPr="005F4F49">
        <w:rPr>
          <w:rFonts w:ascii="Verdana" w:eastAsia="Century Gothic" w:hAnsi="Verdana" w:cs="Century Gothic"/>
        </w:rPr>
        <w:t xml:space="preserve"> jurídico</w:t>
      </w:r>
      <w:r w:rsidR="00F73651">
        <w:rPr>
          <w:rFonts w:ascii="Verdana" w:eastAsia="Century Gothic" w:hAnsi="Verdana" w:cs="Century Gothic"/>
        </w:rPr>
        <w:t>s</w:t>
      </w:r>
      <w:r w:rsidRPr="005F4F49">
        <w:rPr>
          <w:rFonts w:ascii="Verdana" w:eastAsia="Century Gothic" w:hAnsi="Verdana" w:cs="Century Gothic"/>
        </w:rPr>
        <w:t xml:space="preserve">: </w:t>
      </w:r>
      <w:r w:rsidR="00203290" w:rsidRPr="005F4F49">
        <w:rPr>
          <w:rFonts w:ascii="Verdana" w:eastAsia="Century Gothic" w:hAnsi="Verdana" w:cs="Century Gothic"/>
        </w:rPr>
        <w:t xml:space="preserve">i) </w:t>
      </w:r>
      <w:r w:rsidR="005F4F49" w:rsidRPr="005F4F49">
        <w:rPr>
          <w:rFonts w:ascii="Verdana" w:eastAsia="Century Gothic" w:hAnsi="Verdana" w:cs="Century Gothic"/>
        </w:rPr>
        <w:t>¿</w:t>
      </w:r>
      <w:r w:rsidR="005F4F49" w:rsidRPr="0006016B">
        <w:rPr>
          <w:rFonts w:ascii="Verdana" w:eastAsia="Century Gothic" w:hAnsi="Verdana" w:cs="Century Gothic"/>
        </w:rPr>
        <w:t xml:space="preserve">La Entidades deben publicar las solicitudes que reciban a través del SECOP II en caso de </w:t>
      </w:r>
      <w:r w:rsidR="000520A7" w:rsidRPr="0006016B">
        <w:rPr>
          <w:rFonts w:ascii="Verdana" w:eastAsia="Century Gothic" w:hAnsi="Verdana" w:cs="Century Gothic"/>
        </w:rPr>
        <w:t>que el proceso de selección se encuentre limitado a Mipymes?</w:t>
      </w:r>
      <w:r w:rsidR="005F4F49" w:rsidRPr="0006016B">
        <w:rPr>
          <w:rFonts w:ascii="Verdana" w:eastAsia="Century Gothic" w:hAnsi="Verdana" w:cs="Century Gothic"/>
        </w:rPr>
        <w:t xml:space="preserve"> </w:t>
      </w:r>
      <w:r w:rsidR="0006016B">
        <w:rPr>
          <w:rFonts w:ascii="Verdana" w:eastAsia="Century Gothic" w:hAnsi="Verdana" w:cs="Century Gothic"/>
        </w:rPr>
        <w:t xml:space="preserve">ii) </w:t>
      </w:r>
      <w:r w:rsidR="00A52D54" w:rsidRPr="0006016B">
        <w:rPr>
          <w:rFonts w:ascii="Verdana" w:eastAsia="Century Gothic" w:hAnsi="Verdana" w:cs="Century Gothic"/>
        </w:rPr>
        <w:t>¿</w:t>
      </w:r>
      <w:r w:rsidR="007447E9" w:rsidRPr="0006016B">
        <w:rPr>
          <w:rFonts w:ascii="Verdana" w:eastAsia="Century Gothic" w:hAnsi="Verdana" w:cs="Century Gothic"/>
        </w:rPr>
        <w:t>Es discrecionalidad de la entidad realizar la limitación a mipymes</w:t>
      </w:r>
      <w:r w:rsidR="00884582">
        <w:rPr>
          <w:rFonts w:ascii="Verdana" w:eastAsia="Century Gothic" w:hAnsi="Verdana" w:cs="Century Gothic"/>
        </w:rPr>
        <w:t xml:space="preserve"> territorial</w:t>
      </w:r>
      <w:r w:rsidR="007447E9" w:rsidRPr="0006016B">
        <w:rPr>
          <w:rFonts w:ascii="Verdana" w:eastAsia="Century Gothic" w:hAnsi="Verdana" w:cs="Century Gothic"/>
        </w:rPr>
        <w:t xml:space="preserve"> o pueden influir las observaciones realizadas por los proponentes en esta decisión?</w:t>
      </w:r>
      <w:r w:rsidR="0006016B" w:rsidRPr="0006016B">
        <w:rPr>
          <w:rFonts w:ascii="Verdana" w:eastAsia="Century Gothic" w:hAnsi="Verdana" w:cs="Century Gothic"/>
        </w:rPr>
        <w:t xml:space="preserve"> </w:t>
      </w:r>
      <w:r w:rsidR="0006016B">
        <w:rPr>
          <w:rFonts w:ascii="Verdana" w:eastAsia="Century Gothic" w:hAnsi="Verdana" w:cs="Century Gothic"/>
        </w:rPr>
        <w:t xml:space="preserve">iii) </w:t>
      </w:r>
      <w:r w:rsidR="00203290" w:rsidRPr="00203290">
        <w:rPr>
          <w:rFonts w:ascii="Verdana" w:eastAsia="Century Gothic" w:hAnsi="Verdana" w:cs="Century Gothic"/>
        </w:rPr>
        <w:t>¿Cuándo aplica la limitación MiPymes a nivel territorial</w:t>
      </w:r>
      <w:r w:rsidR="00203290">
        <w:rPr>
          <w:rFonts w:ascii="Verdana" w:eastAsia="Century Gothic" w:hAnsi="Verdana" w:cs="Century Gothic"/>
        </w:rPr>
        <w:t xml:space="preserve"> en un proceso de selección</w:t>
      </w:r>
      <w:r w:rsidR="00203290" w:rsidRPr="00203290">
        <w:rPr>
          <w:rFonts w:ascii="Verdana" w:eastAsia="Century Gothic" w:hAnsi="Verdana" w:cs="Century Gothic"/>
        </w:rPr>
        <w:t>?</w:t>
      </w:r>
    </w:p>
    <w:p w14:paraId="616B67F9" w14:textId="77777777" w:rsidR="00FC5D28" w:rsidRDefault="00FC5D28" w:rsidP="005A75AB">
      <w:pPr>
        <w:spacing w:after="0" w:line="276" w:lineRule="auto"/>
        <w:jc w:val="both"/>
        <w:rPr>
          <w:rFonts w:ascii="Verdana" w:eastAsia="Century Gothic" w:hAnsi="Verdana" w:cs="Century Gothic"/>
          <w:b/>
          <w:bCs/>
        </w:rPr>
      </w:pPr>
    </w:p>
    <w:p w14:paraId="7080AEEB" w14:textId="77777777" w:rsidR="00FC5D28" w:rsidRDefault="00FC5D28" w:rsidP="005A75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13C36A0E" w14:textId="77777777" w:rsidR="00FC5D28" w:rsidRPr="00F71A6A" w:rsidRDefault="00FC5D28" w:rsidP="00FC5D2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Look w:val="04A0" w:firstRow="1" w:lastRow="0" w:firstColumn="1" w:lastColumn="0" w:noHBand="0" w:noVBand="1"/>
      </w:tblPr>
      <w:tblGrid>
        <w:gridCol w:w="8828"/>
      </w:tblGrid>
      <w:tr w:rsidR="00FC5D28" w:rsidRPr="00F71A6A" w14:paraId="02EAAB6F" w14:textId="77777777" w:rsidTr="00A82F73">
        <w:tc>
          <w:tcPr>
            <w:tcW w:w="8828" w:type="dxa"/>
            <w:shd w:val="clear" w:color="auto" w:fill="auto"/>
          </w:tcPr>
          <w:p w14:paraId="2B03EF7C" w14:textId="309A34EC" w:rsidR="00377C41" w:rsidRPr="004A1D83" w:rsidRDefault="00377C41" w:rsidP="00377C41">
            <w:pPr>
              <w:spacing w:line="276" w:lineRule="auto"/>
              <w:jc w:val="both"/>
              <w:rPr>
                <w:rFonts w:ascii="Verdana" w:eastAsia="Calibri" w:hAnsi="Verdana" w:cs="Arial"/>
              </w:rPr>
            </w:pPr>
            <w:r>
              <w:rPr>
                <w:rFonts w:ascii="Verdana" w:eastAsia="Calibri" w:hAnsi="Verdana" w:cs="Arial"/>
              </w:rPr>
              <w:lastRenderedPageBreak/>
              <w:t xml:space="preserve">i) </w:t>
            </w:r>
            <w:r w:rsidR="00F0239D">
              <w:rPr>
                <w:rFonts w:ascii="Verdana" w:eastAsia="Calibri" w:hAnsi="Verdana" w:cs="Arial"/>
              </w:rPr>
              <w:t xml:space="preserve">Si. </w:t>
            </w:r>
            <w:r w:rsidRPr="004A1D83">
              <w:rPr>
                <w:rFonts w:ascii="Verdana" w:eastAsia="Calibri" w:hAnsi="Verdana" w:cs="Arial"/>
              </w:rPr>
              <w:t xml:space="preserve">Las Entidades Estatales, conforme al artículo 2.2.1.1.1.7.1 del Decreto 1082 de 2015, tienen la obligación de publicar en el Sistema Electrónico para la Contratación Pública –SECOP– “[…] los Documentos del Proceso y los actos administrativos del Proceso de Contratación […]”. La expresión Documentos del Proceso, está definida en el artículo 2.2.1.1.1.3.1 del referido decreto,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510726E9" w14:textId="77777777" w:rsidR="00377C41" w:rsidRDefault="00377C41" w:rsidP="00377C41">
            <w:pPr>
              <w:pStyle w:val="Prrafodelista"/>
              <w:spacing w:line="276" w:lineRule="auto"/>
              <w:ind w:left="1080"/>
              <w:jc w:val="both"/>
              <w:rPr>
                <w:rFonts w:ascii="Verdana" w:eastAsia="Calibri" w:hAnsi="Verdana" w:cs="Arial"/>
              </w:rPr>
            </w:pPr>
          </w:p>
          <w:p w14:paraId="7CE2FCAA" w14:textId="23A418F5" w:rsidR="00377C41" w:rsidRDefault="00377C41" w:rsidP="00377C41">
            <w:pPr>
              <w:spacing w:line="276" w:lineRule="auto"/>
              <w:jc w:val="both"/>
              <w:rPr>
                <w:rFonts w:ascii="Verdana" w:eastAsia="Calibri" w:hAnsi="Verdana" w:cs="Arial"/>
              </w:rPr>
            </w:pPr>
            <w:r w:rsidRPr="004A1D83">
              <w:rPr>
                <w:rFonts w:ascii="Verdana" w:eastAsia="Calibri" w:hAnsi="Verdana" w:cs="Arial"/>
              </w:rPr>
              <w:t>En ese sentido, la interpretación sistemática de los preceptos del Decreto 1082 de 2015, de acuerdo con el principio de publicidad, inicialmente, indican que las Entidades Estatales tienen la obligación de publicar todos los documentos que expidan con ocasión del Proceso de Contratación, es decir que todos los documentos emitidos por la entidad durante las etapas precontractual, de ejecución y postcontractual deberán ser publicados en el SECOP ll.</w:t>
            </w:r>
          </w:p>
          <w:p w14:paraId="5C85AD09" w14:textId="77777777" w:rsidR="00377C41" w:rsidRPr="00377C41" w:rsidRDefault="00377C41" w:rsidP="00377C41">
            <w:pPr>
              <w:spacing w:line="276" w:lineRule="auto"/>
              <w:jc w:val="both"/>
              <w:rPr>
                <w:rFonts w:ascii="Verdana" w:eastAsia="Calibri" w:hAnsi="Verdana" w:cs="Arial"/>
              </w:rPr>
            </w:pPr>
          </w:p>
          <w:p w14:paraId="00B572A6" w14:textId="6D3D0442" w:rsidR="009C762D" w:rsidRDefault="00377C41" w:rsidP="005A75AB">
            <w:pPr>
              <w:spacing w:before="120" w:after="120" w:line="276" w:lineRule="auto"/>
              <w:jc w:val="both"/>
              <w:rPr>
                <w:rFonts w:ascii="Verdana" w:eastAsia="Arial" w:hAnsi="Verdana" w:cs="Arial"/>
                <w:color w:val="000000"/>
              </w:rPr>
            </w:pPr>
            <w:r>
              <w:rPr>
                <w:rFonts w:ascii="Verdana" w:eastAsia="Arial" w:hAnsi="Verdana" w:cs="Arial"/>
                <w:color w:val="000000"/>
              </w:rPr>
              <w:t xml:space="preserve">ii) </w:t>
            </w:r>
            <w:r w:rsidR="007E70BD">
              <w:rPr>
                <w:rFonts w:ascii="Verdana" w:eastAsia="Arial" w:hAnsi="Verdana" w:cs="Arial"/>
                <w:color w:val="000000"/>
              </w:rPr>
              <w:t>E</w:t>
            </w:r>
            <w:r w:rsidR="0076212D" w:rsidRPr="00C940A9">
              <w:rPr>
                <w:rFonts w:ascii="Verdana" w:eastAsia="Arial" w:hAnsi="Verdana" w:cs="Arial"/>
                <w:color w:val="000000"/>
              </w:rPr>
              <w:t>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w:t>
            </w:r>
            <w:r w:rsidR="0076212D">
              <w:rPr>
                <w:rFonts w:ascii="Verdana" w:eastAsia="Arial" w:hAnsi="Verdana" w:cs="Arial"/>
                <w:color w:val="000000"/>
              </w:rPr>
              <w:t>.</w:t>
            </w:r>
          </w:p>
          <w:p w14:paraId="3FF227EF" w14:textId="20877D1E" w:rsidR="005B39C9" w:rsidRPr="005B1F06" w:rsidRDefault="005B39C9" w:rsidP="005B39C9">
            <w:pPr>
              <w:spacing w:after="120" w:line="276" w:lineRule="auto"/>
              <w:ind w:firstLine="708"/>
              <w:jc w:val="both"/>
              <w:rPr>
                <w:rFonts w:ascii="Verdana" w:eastAsia="Calibri" w:hAnsi="Verdana" w:cs="Arial"/>
                <w:lang w:val="es-ES"/>
              </w:rPr>
            </w:pPr>
            <w:r w:rsidRPr="706726C8">
              <w:rPr>
                <w:rFonts w:ascii="Verdana" w:eastAsia="Calibri" w:hAnsi="Verdana" w:cs="Arial"/>
                <w:lang w:val="es-ES"/>
              </w:rPr>
              <w:t xml:space="preserve">En relación con las limitaciones territoriales </w:t>
            </w:r>
            <w:r w:rsidRPr="706726C8">
              <w:rPr>
                <w:rFonts w:ascii="Verdana" w:hAnsi="Verdana" w:cs="Arial"/>
                <w:lang w:val="es-ES"/>
              </w:rPr>
              <w:t xml:space="preserve">de las convocatorias a </w:t>
            </w:r>
            <w:r w:rsidR="00A3339C" w:rsidRPr="706726C8">
              <w:rPr>
                <w:rFonts w:ascii="Verdana" w:hAnsi="Verdana" w:cs="Arial"/>
                <w:lang w:val="es-ES"/>
              </w:rPr>
              <w:t>Mipymes</w:t>
            </w:r>
            <w:r w:rsidRPr="706726C8">
              <w:rPr>
                <w:rFonts w:ascii="Verdana" w:eastAsia="Calibri" w:hAnsi="Verdana" w:cs="Arial"/>
                <w:lang w:val="es-ES"/>
              </w:rPr>
              <w:t xml:space="preserve"> el texto del actual artículo 2.2.1.2.4.2.3, modificado por el artículo 5 del Decreto 1860 de 2021</w:t>
            </w:r>
            <w:r w:rsidR="00A3339C" w:rsidRPr="706726C8">
              <w:rPr>
                <w:rFonts w:ascii="Verdana" w:eastAsia="Calibri" w:hAnsi="Verdana" w:cs="Arial"/>
                <w:lang w:val="es-ES"/>
              </w:rPr>
              <w:t>,</w:t>
            </w:r>
            <w:r w:rsidRPr="706726C8">
              <w:rPr>
                <w:rFonts w:ascii="Verdana" w:eastAsia="Calibri" w:hAnsi="Verdana" w:cs="Arial"/>
                <w:lang w:val="es-ES"/>
              </w:rPr>
              <w:t xml:space="preserve"> determina que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w:t>
            </w:r>
            <w:r w:rsidRPr="706726C8">
              <w:rPr>
                <w:rFonts w:ascii="Verdana" w:eastAsia="Calibri" w:hAnsi="Verdana" w:cs="Arial"/>
                <w:lang w:val="es-ES"/>
              </w:rPr>
              <w:lastRenderedPageBreak/>
              <w:t xml:space="preserve">departamento son MiPymes nacionales. En consecuencia, no es procedente distinguir entre MiPymes nacionales y MiPymes municipales o departamentales, habida cuenta que estas últimas no existen como categoría dentro del ordenamiento normativo. </w:t>
            </w:r>
          </w:p>
          <w:p w14:paraId="0902BB67" w14:textId="23453FFF" w:rsidR="0082008A" w:rsidRDefault="00690D7C" w:rsidP="0082008A">
            <w:pPr>
              <w:spacing w:after="120" w:line="276" w:lineRule="auto"/>
              <w:ind w:firstLine="709"/>
              <w:jc w:val="both"/>
              <w:rPr>
                <w:rFonts w:ascii="Verdana" w:eastAsia="Arial" w:hAnsi="Verdana" w:cs="Arial"/>
                <w:color w:val="000000" w:themeColor="text1"/>
                <w:lang w:val="es-ES"/>
              </w:rPr>
            </w:pPr>
            <w:r w:rsidRPr="706726C8">
              <w:rPr>
                <w:rFonts w:ascii="Verdana" w:eastAsia="Arial" w:hAnsi="Verdana" w:cs="Arial"/>
                <w:color w:val="000000" w:themeColor="text1"/>
                <w:lang w:val="es-ES"/>
              </w:rPr>
              <w:t xml:space="preserve">Sin perjuicio de lo anterior, </w:t>
            </w:r>
            <w:r w:rsidRPr="00B93277">
              <w:rPr>
                <w:rFonts w:ascii="Verdana" w:eastAsia="Arial" w:hAnsi="Verdana" w:cs="Arial"/>
                <w:color w:val="000000" w:themeColor="text1"/>
                <w:lang w:val="es-ES"/>
              </w:rPr>
              <w:t>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706726C8">
              <w:rPr>
                <w:rFonts w:ascii="Verdana" w:eastAsia="Arial" w:hAnsi="Verdana" w:cs="Arial"/>
                <w:color w:val="000000" w:themeColor="text1"/>
                <w:lang w:val="es-ES"/>
              </w:rPr>
              <w:t xml:space="preserve"> En ese sentido, si la entidad no recibió las solicitudes para limitar la convocatoria a </w:t>
            </w:r>
            <w:r w:rsidR="00191ACC" w:rsidRPr="706726C8">
              <w:rPr>
                <w:rFonts w:ascii="Verdana" w:eastAsia="Arial" w:hAnsi="Verdana" w:cs="Arial"/>
                <w:color w:val="000000" w:themeColor="text1"/>
                <w:lang w:val="es-ES"/>
              </w:rPr>
              <w:t>Mipymes</w:t>
            </w:r>
            <w:r w:rsidRPr="706726C8">
              <w:rPr>
                <w:rFonts w:ascii="Verdana" w:eastAsia="Arial" w:hAnsi="Verdana" w:cs="Arial"/>
                <w:color w:val="000000" w:themeColor="text1"/>
                <w:lang w:val="es-ES"/>
              </w:rPr>
              <w:t xml:space="preserve">, no puede </w:t>
            </w:r>
            <w:r w:rsidRPr="706726C8">
              <w:rPr>
                <w:rFonts w:ascii="Verdana" w:eastAsia="Arial" w:hAnsi="Verdana" w:cs="Arial"/>
                <w:i/>
                <w:color w:val="000000" w:themeColor="text1"/>
                <w:lang w:val="es-ES"/>
              </w:rPr>
              <w:t xml:space="preserve">motu proprio </w:t>
            </w:r>
            <w:r w:rsidRPr="706726C8">
              <w:rPr>
                <w:rFonts w:ascii="Verdana" w:eastAsia="Arial" w:hAnsi="Verdana" w:cs="Arial"/>
                <w:color w:val="000000" w:themeColor="text1"/>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7E19A7D7" w14:textId="77A7414F" w:rsidR="00B93277" w:rsidRDefault="00B93277" w:rsidP="00B93277">
            <w:pPr>
              <w:spacing w:after="120" w:line="276" w:lineRule="auto"/>
              <w:jc w:val="both"/>
              <w:rPr>
                <w:rFonts w:ascii="Verdana" w:hAnsi="Verdana" w:cs="Arial"/>
                <w:color w:val="000000" w:themeColor="text1"/>
              </w:rPr>
            </w:pPr>
            <w:r>
              <w:rPr>
                <w:rFonts w:ascii="Verdana" w:hAnsi="Verdana" w:cs="Arial"/>
                <w:color w:val="000000" w:themeColor="text1"/>
              </w:rPr>
              <w:t xml:space="preserve">En este sentido, los proponentes podrán realizar observaciones, sin embargo, la decisión es </w:t>
            </w:r>
            <w:r w:rsidRPr="00B93277">
              <w:rPr>
                <w:rFonts w:ascii="Verdana" w:hAnsi="Verdana" w:cs="Arial"/>
                <w:color w:val="000000" w:themeColor="text1"/>
              </w:rPr>
              <w:t>facultativa de la entidad, pero está se encuentra supeditada a que se verifiquen los requisitos establecidos en los numerales 1 y 2 del artículo 2.2.1.2.4.2.2. del Decreto 1082 de 2015.</w:t>
            </w:r>
          </w:p>
          <w:p w14:paraId="32A114CE" w14:textId="6D4AA98E" w:rsidR="0097651F" w:rsidRPr="0082008A" w:rsidRDefault="0082008A" w:rsidP="0082008A">
            <w:pPr>
              <w:spacing w:after="120" w:line="276" w:lineRule="auto"/>
              <w:jc w:val="both"/>
              <w:rPr>
                <w:rFonts w:ascii="Verdana" w:eastAsia="Arial" w:hAnsi="Verdana" w:cs="Arial"/>
                <w:color w:val="000000"/>
                <w:lang w:val="es-ES"/>
              </w:rPr>
            </w:pPr>
            <w:r>
              <w:rPr>
                <w:rFonts w:ascii="Verdana" w:hAnsi="Verdana" w:cs="Arial"/>
                <w:color w:val="000000" w:themeColor="text1"/>
              </w:rPr>
              <w:t>iii) S</w:t>
            </w:r>
            <w:r w:rsidR="0097651F" w:rsidRPr="005B1F06">
              <w:rPr>
                <w:rFonts w:ascii="Verdana" w:eastAsia="Calibri" w:hAnsi="Verdana" w:cs="Arial"/>
                <w:color w:val="000000" w:themeColor="text1"/>
              </w:rPr>
              <w:t>e debe tener presente que lo que sucede de pleno derecho es la</w:t>
            </w:r>
            <w:r w:rsidR="0097651F" w:rsidRPr="005B1F06">
              <w:rPr>
                <w:rFonts w:ascii="Verdana" w:hAnsi="Verdana" w:cs="Arial"/>
                <w:color w:val="000000" w:themeColor="text1"/>
              </w:rPr>
              <w:t xml:space="preserve"> limitación a MiPymes colombianas</w:t>
            </w:r>
            <w:r w:rsidR="0097651F" w:rsidRPr="005B1F06">
              <w:rPr>
                <w:rFonts w:ascii="Verdana" w:eastAsia="Calibri" w:hAnsi="Verdana" w:cs="Arial"/>
                <w:color w:val="000000" w:themeColor="text1"/>
              </w:rPr>
              <w:t xml:space="preserve"> a la que se refiere el artículo 2.2.1.2.4.2.2. del Decreto 1082 de 2015, pero no la “limitación territorial” referida en el artículo 2.2.1.2.4.2.3. </w:t>
            </w:r>
            <w:r w:rsidR="0097651F" w:rsidRPr="005B1F06">
              <w:rPr>
                <w:rFonts w:ascii="Verdana" w:eastAsia="Calibri" w:hAnsi="Verdana" w:cs="Arial"/>
                <w:i/>
                <w:iCs/>
                <w:color w:val="000000" w:themeColor="text1"/>
              </w:rPr>
              <w:t>ibídem</w:t>
            </w:r>
            <w:r w:rsidR="0097651F" w:rsidRPr="005B1F06">
              <w:rPr>
                <w:rFonts w:ascii="Verdana" w:eastAsia="Calibri" w:hAnsi="Verdana" w:cs="Arial"/>
                <w:color w:val="000000" w:themeColor="text1"/>
              </w:rPr>
              <w:t>, pues esta, como ya se dijo, es facultativa para la entidad. Las únicas exigencias son: i) que la convocatoria esté l</w:t>
            </w:r>
            <w:r w:rsidR="0097651F" w:rsidRPr="005B1F06">
              <w:rPr>
                <w:rFonts w:ascii="Verdana" w:hAnsi="Verdana" w:cs="Arial"/>
                <w:color w:val="000000" w:themeColor="text1"/>
              </w:rPr>
              <w:t xml:space="preserve">imitada a las </w:t>
            </w:r>
            <w:r w:rsidR="00C33ED7" w:rsidRPr="005B1F06">
              <w:rPr>
                <w:rFonts w:ascii="Verdana" w:hAnsi="Verdana" w:cs="Arial"/>
                <w:color w:val="000000" w:themeColor="text1"/>
              </w:rPr>
              <w:t>Mipymes</w:t>
            </w:r>
            <w:r w:rsidR="0097651F" w:rsidRPr="005B1F06">
              <w:rPr>
                <w:rFonts w:ascii="Verdana" w:hAnsi="Verdana" w:cs="Arial"/>
                <w:color w:val="000000" w:themeColor="text1"/>
              </w:rPr>
              <w:t xml:space="preserve"> colombianas</w:t>
            </w:r>
            <w:r w:rsidR="0097651F" w:rsidRPr="005B1F06">
              <w:rPr>
                <w:rFonts w:ascii="Verdana" w:eastAsia="Calibri" w:hAnsi="Verdana" w:cs="Arial"/>
                <w:color w:val="000000" w:themeColor="text1"/>
              </w:rPr>
              <w:t xml:space="preserve"> “domiciliadas en los departamentos o municipios en donde se va a ejecutar el contrato” y ii) que la entidad justifique su decisión en los “estudios del sector”. No es procedente, entonces, que sean las MiPymes las que soliciten la “limitación territorial” a la que se refiere el artículo 2.2.1.2.4.2.3. del Decreto 1082 de 2015. </w:t>
            </w:r>
          </w:p>
          <w:p w14:paraId="75399615" w14:textId="77777777" w:rsidR="00952E27" w:rsidRPr="00745883" w:rsidRDefault="00952E27" w:rsidP="00952E27">
            <w:pPr>
              <w:spacing w:after="120" w:line="276" w:lineRule="auto"/>
              <w:ind w:firstLine="709"/>
              <w:jc w:val="both"/>
              <w:rPr>
                <w:rFonts w:ascii="Verdana" w:eastAsia="Calibri" w:hAnsi="Verdana" w:cs="Arial"/>
                <w:lang w:val="es-ES"/>
              </w:rPr>
            </w:pPr>
            <w:r w:rsidRPr="00745883">
              <w:rPr>
                <w:rFonts w:ascii="Verdana" w:eastAsia="Calibri" w:hAnsi="Verdana" w:cs="Arial"/>
                <w:lang w:val="es-ES"/>
              </w:rPr>
              <w:t xml:space="preserve">Con todo, respecto del objeto de la consulta es preciso advertir que, el ejercicio de la facultad discrecional en orden de aplicar la limitación territorial en favor de las Mipymes con domicilio en un municipio </w:t>
            </w:r>
            <w:r>
              <w:rPr>
                <w:rFonts w:ascii="Verdana" w:eastAsia="Calibri" w:hAnsi="Verdana" w:cs="Arial"/>
                <w:lang w:val="es-ES"/>
              </w:rPr>
              <w:t xml:space="preserve">o </w:t>
            </w:r>
            <w:r w:rsidRPr="00745883">
              <w:rPr>
                <w:rFonts w:ascii="Verdana" w:eastAsia="Calibri" w:hAnsi="Verdana" w:cs="Arial"/>
                <w:lang w:val="es-ES"/>
              </w:rPr>
              <w:t xml:space="preserve">en un departamento específico debe hacerse dentro del marco de lo regulado por el artículo 2.2.1.2.4.2.3 </w:t>
            </w:r>
            <w:r w:rsidRPr="00745883">
              <w:rPr>
                <w:rFonts w:ascii="Verdana" w:eastAsia="Calibri" w:hAnsi="Verdana" w:cs="Arial"/>
                <w:i/>
                <w:iCs/>
                <w:lang w:val="es-ES"/>
              </w:rPr>
              <w:t>ejusdem</w:t>
            </w:r>
            <w:r w:rsidRPr="00745883">
              <w:rPr>
                <w:rFonts w:ascii="Verdana" w:eastAsia="Calibri" w:hAnsi="Verdana" w:cs="Arial"/>
                <w:lang w:val="es-ES"/>
              </w:rPr>
              <w:t xml:space="preserve">, el cual establece como presupuesto para que las </w:t>
            </w:r>
            <w:r w:rsidRPr="00745883">
              <w:rPr>
                <w:rFonts w:ascii="Verdana" w:eastAsia="Calibri" w:hAnsi="Verdana" w:cs="Arial"/>
                <w:lang w:val="es-ES"/>
              </w:rPr>
              <w:lastRenderedPageBreak/>
              <w:t xml:space="preserve">Mipymes tengan su domicilio en el lugar en donde se va a ejecutar el contrato. Esto significa que, en el marco de estas convocatorias, la exigibilidad de que el domicilio de las Mipymes se ubique en un único municipio en particular o en alguno de los municipios que conforman un departamento en concreto, está ligada al ámbito territorial en el que se va a desarrollar el objeto contractual. </w:t>
            </w:r>
          </w:p>
          <w:p w14:paraId="3D3F96CB" w14:textId="77777777" w:rsidR="00952E27" w:rsidRPr="00745883" w:rsidRDefault="00952E27" w:rsidP="00952E27">
            <w:pPr>
              <w:spacing w:line="276" w:lineRule="auto"/>
              <w:ind w:firstLine="708"/>
              <w:jc w:val="both"/>
              <w:rPr>
                <w:rFonts w:ascii="Verdana" w:eastAsia="Calibri" w:hAnsi="Verdana" w:cs="Arial"/>
                <w:lang w:val="es-ES"/>
              </w:rPr>
            </w:pPr>
            <w:r w:rsidRPr="00745883">
              <w:rPr>
                <w:rFonts w:ascii="Verdana" w:eastAsia="Calibri" w:hAnsi="Verdana" w:cs="Arial"/>
                <w:lang w:val="es-ES"/>
              </w:rPr>
              <w:t xml:space="preserve">De este modo, en el caso de un contrato que se va a ejecutar en su totalidad dentro del territorio de un municipio, la limitación territorial debe aplicarse en favor de las Mipyme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4AC85827" w14:textId="78F7ACEE" w:rsidR="001D4D4B" w:rsidRPr="005A75AB" w:rsidRDefault="00952E27" w:rsidP="005A75AB">
            <w:pPr>
              <w:spacing w:before="120" w:line="276" w:lineRule="auto"/>
              <w:ind w:firstLine="709"/>
              <w:jc w:val="both"/>
              <w:rPr>
                <w:rFonts w:ascii="Verdana" w:eastAsia="Calibri" w:hAnsi="Verdana" w:cs="Arial"/>
                <w:lang w:eastAsia="es-MX"/>
              </w:rPr>
            </w:pPr>
            <w:r>
              <w:rPr>
                <w:rFonts w:ascii="Verdana" w:eastAsia="Calibri" w:hAnsi="Verdana" w:cs="Arial"/>
                <w:lang w:val="es-MX"/>
              </w:rPr>
              <w:t xml:space="preserve">Así las cosas, </w:t>
            </w:r>
            <w:r w:rsidRPr="00745883">
              <w:rPr>
                <w:rFonts w:ascii="Verdana" w:eastAsia="Calibri" w:hAnsi="Verdana" w:cs="Arial"/>
                <w:lang w:val="es-MX"/>
              </w:rPr>
              <w:t>e</w:t>
            </w:r>
            <w:r w:rsidRPr="00745883">
              <w:rPr>
                <w:rFonts w:ascii="Verdana" w:eastAsia="Calibri" w:hAnsi="Verdana" w:cs="Arial"/>
              </w:rPr>
              <w:t xml:space="preserve">sta Agencia considera que lo recomendable es que las entidades establezcan </w:t>
            </w:r>
            <w:r w:rsidRPr="00745883">
              <w:rPr>
                <w:rFonts w:ascii="Verdana" w:eastAsia="Calibri" w:hAnsi="Verdana" w:cs="Arial"/>
                <w:i/>
                <w:iCs/>
              </w:rPr>
              <w:t>ex ante</w:t>
            </w:r>
            <w:r w:rsidRPr="00745883">
              <w:rPr>
                <w:rFonts w:ascii="Verdana" w:eastAsia="Calibri" w:hAnsi="Verdana" w:cs="Arial"/>
              </w:rPr>
              <w:t xml:space="preserve"> las condiciones en las que, eventualmente, harían la </w:t>
            </w:r>
            <w:r>
              <w:rPr>
                <w:rFonts w:ascii="Verdana" w:eastAsia="Calibri" w:hAnsi="Verdana" w:cs="Arial"/>
              </w:rPr>
              <w:t>“</w:t>
            </w:r>
            <w:r w:rsidRPr="00745883">
              <w:rPr>
                <w:rFonts w:ascii="Verdana" w:eastAsia="Calibri" w:hAnsi="Verdana" w:cs="Arial"/>
              </w:rPr>
              <w:t>limitación territorial</w:t>
            </w:r>
            <w:r>
              <w:rPr>
                <w:rFonts w:ascii="Verdana" w:eastAsia="Calibri" w:hAnsi="Verdana" w:cs="Arial"/>
              </w:rPr>
              <w:t>”</w:t>
            </w:r>
            <w:r w:rsidRPr="00745883">
              <w:rPr>
                <w:rFonts w:ascii="Verdana" w:eastAsia="Calibri" w:hAnsi="Verdana" w:cs="Arial"/>
              </w:rPr>
              <w:t xml:space="preserve">. Para tales fines, en </w:t>
            </w:r>
            <w:r>
              <w:rPr>
                <w:rFonts w:ascii="Verdana" w:eastAsia="Calibri" w:hAnsi="Verdana" w:cs="Arial"/>
              </w:rPr>
              <w:t xml:space="preserve">los documentos del proceso </w:t>
            </w:r>
            <w:r w:rsidRPr="00745883">
              <w:rPr>
                <w:rFonts w:ascii="Verdana" w:eastAsia="Calibri" w:hAnsi="Verdana" w:cs="Arial"/>
              </w:rPr>
              <w:t xml:space="preserve">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r w:rsidRPr="00E56231">
              <w:rPr>
                <w:rFonts w:ascii="Verdana" w:eastAsia="Calibri" w:hAnsi="Verdana" w:cs="Arial"/>
              </w:rPr>
              <w:t>Mipymes</w:t>
            </w:r>
            <w:r w:rsidRPr="00745883">
              <w:rPr>
                <w:rFonts w:ascii="Verdana" w:eastAsia="Calibri" w:hAnsi="Verdana" w:cs="Arial"/>
              </w:rPr>
              <w:t>, por ejemplo, en relación con cuál o cuáles municipios o departamentos harían la limitación territorial de que trata el artículo 2.2.1.2.4.2.3. del Decreto 1082 de 2015.</w:t>
            </w:r>
          </w:p>
        </w:tc>
      </w:tr>
    </w:tbl>
    <w:p w14:paraId="7FBF7DF0" w14:textId="77777777" w:rsidR="00FC5D28" w:rsidRPr="00F71A6A" w:rsidRDefault="00FC5D28" w:rsidP="00FC5D28">
      <w:pPr>
        <w:tabs>
          <w:tab w:val="left" w:pos="142"/>
          <w:tab w:val="left" w:pos="284"/>
        </w:tabs>
        <w:spacing w:after="0" w:line="276" w:lineRule="auto"/>
        <w:jc w:val="both"/>
        <w:rPr>
          <w:rFonts w:ascii="Verdana" w:eastAsia="Century Gothic" w:hAnsi="Verdana" w:cs="Century Gothic"/>
          <w:b/>
          <w:bCs/>
          <w:lang w:val="es-ES"/>
        </w:rPr>
      </w:pPr>
    </w:p>
    <w:p w14:paraId="704F5E5E" w14:textId="77777777" w:rsidR="00FC5D28" w:rsidRPr="00F71A6A" w:rsidRDefault="00FC5D28" w:rsidP="00FC5D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Razones de la respuesta:</w:t>
      </w:r>
    </w:p>
    <w:p w14:paraId="2FE42892" w14:textId="77777777" w:rsidR="00FC5D28" w:rsidRPr="00F71A6A" w:rsidRDefault="00FC5D28" w:rsidP="00FC5D28">
      <w:pPr>
        <w:spacing w:after="0" w:line="276" w:lineRule="auto"/>
        <w:jc w:val="both"/>
        <w:rPr>
          <w:rFonts w:ascii="Verdana" w:eastAsia="Calibri" w:hAnsi="Verdana" w:cs="Arial"/>
          <w:color w:val="7030A0"/>
          <w:lang w:val="es-ES"/>
        </w:rPr>
      </w:pPr>
    </w:p>
    <w:p w14:paraId="5EF53C95" w14:textId="77777777" w:rsidR="00FC5D28" w:rsidRDefault="00FC5D28" w:rsidP="00FC5D28">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bookmarkStart w:id="2" w:name="_Hlk192104360"/>
    </w:p>
    <w:p w14:paraId="01220E47" w14:textId="77777777" w:rsidR="00FC5D28" w:rsidRDefault="00FC5D28" w:rsidP="00FC5D28">
      <w:pPr>
        <w:spacing w:after="0" w:line="276" w:lineRule="auto"/>
        <w:jc w:val="both"/>
        <w:rPr>
          <w:rFonts w:ascii="Verdana" w:eastAsia="Calibri" w:hAnsi="Verdana" w:cs="Arial"/>
          <w:lang w:val="es-ES"/>
        </w:rPr>
      </w:pPr>
    </w:p>
    <w:p w14:paraId="39AB0644" w14:textId="0A94F7A5" w:rsidR="00BD74EB" w:rsidRPr="00501703" w:rsidRDefault="006B0B80" w:rsidP="006B0B80">
      <w:pPr>
        <w:spacing w:line="276" w:lineRule="auto"/>
        <w:ind w:firstLine="708"/>
        <w:contextualSpacing/>
        <w:jc w:val="both"/>
        <w:textAlignment w:val="baseline"/>
        <w:rPr>
          <w:rFonts w:ascii="Verdana" w:eastAsia="Aptos" w:hAnsi="Verdana" w:cs="Arial"/>
          <w:lang w:val="es-ES_tradnl" w:eastAsia="es-MX"/>
        </w:rPr>
      </w:pPr>
      <w:r>
        <w:rPr>
          <w:rFonts w:ascii="Verdana" w:eastAsia="Aptos" w:hAnsi="Verdana" w:cs="Arial"/>
          <w:lang w:val="es-ES_tradnl" w:eastAsia="es-MX"/>
        </w:rPr>
        <w:t>R</w:t>
      </w:r>
      <w:r w:rsidR="00BD74EB" w:rsidRPr="00501703">
        <w:rPr>
          <w:rFonts w:ascii="Verdana" w:eastAsia="Aptos" w:hAnsi="Verdana" w:cs="Arial"/>
          <w:lang w:val="es-ES_tradnl" w:eastAsia="es-MX"/>
        </w:rPr>
        <w:t xml:space="preserve">esulta importante resaltar que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w:t>
      </w:r>
      <w:r w:rsidR="00BD74EB" w:rsidRPr="00501703">
        <w:rPr>
          <w:rFonts w:ascii="Verdana" w:eastAsia="Aptos" w:hAnsi="Verdana" w:cs="Arial"/>
          <w:lang w:val="es-ES_tradnl" w:eastAsia="es-MX"/>
        </w:rPr>
        <w:lastRenderedPageBreak/>
        <w:t>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711C3325" w14:textId="77777777" w:rsidR="00BD74EB" w:rsidRPr="00501703" w:rsidRDefault="00BD74EB" w:rsidP="00BD74EB">
      <w:pPr>
        <w:spacing w:line="276" w:lineRule="auto"/>
        <w:ind w:left="720"/>
        <w:contextualSpacing/>
        <w:jc w:val="both"/>
        <w:textAlignment w:val="baseline"/>
        <w:rPr>
          <w:rFonts w:ascii="Verdana" w:eastAsia="Aptos" w:hAnsi="Verdana" w:cs="Arial"/>
          <w:lang w:val="es-ES_tradnl" w:eastAsia="es-MX"/>
        </w:rPr>
      </w:pPr>
    </w:p>
    <w:p w14:paraId="61E3077A" w14:textId="77777777" w:rsidR="00BD74EB" w:rsidRPr="00501703" w:rsidRDefault="00BD74EB" w:rsidP="006B0B80">
      <w:pPr>
        <w:spacing w:line="276" w:lineRule="auto"/>
        <w:ind w:firstLine="708"/>
        <w:contextualSpacing/>
        <w:jc w:val="both"/>
        <w:textAlignment w:val="baseline"/>
        <w:rPr>
          <w:rFonts w:ascii="Verdana" w:eastAsia="Aptos" w:hAnsi="Verdana" w:cs="Arial"/>
          <w:lang w:val="es-ES_tradnl" w:eastAsia="es-MX"/>
        </w:rPr>
      </w:pPr>
      <w:r w:rsidRPr="00501703">
        <w:rPr>
          <w:rFonts w:ascii="Verdana" w:eastAsia="Aptos" w:hAnsi="Verdana" w:cs="Arial"/>
          <w:lang w:val="es-ES_tradnl" w:eastAsia="es-MX"/>
        </w:rPr>
        <w:t>En consecuencia,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ibidem,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5DA2C908" w14:textId="77777777" w:rsidR="00BD74EB" w:rsidRPr="00501703" w:rsidRDefault="00BD74EB" w:rsidP="00BD74EB">
      <w:pPr>
        <w:ind w:left="720"/>
        <w:contextualSpacing/>
        <w:rPr>
          <w:rFonts w:ascii="Verdana" w:eastAsia="Aptos" w:hAnsi="Verdana" w:cs="Arial"/>
          <w:lang w:val="es-ES_tradnl" w:eastAsia="es-MX"/>
        </w:rPr>
      </w:pPr>
    </w:p>
    <w:p w14:paraId="51976FDB" w14:textId="2A0BD45C" w:rsidR="00BD74EB" w:rsidRPr="006B0B80" w:rsidRDefault="00BD74EB" w:rsidP="006B0B80">
      <w:pPr>
        <w:spacing w:line="276" w:lineRule="auto"/>
        <w:ind w:firstLine="708"/>
        <w:contextualSpacing/>
        <w:jc w:val="both"/>
        <w:rPr>
          <w:rFonts w:ascii="Verdana" w:eastAsia="Aptos" w:hAnsi="Verdana" w:cs="Arial"/>
          <w:lang w:val="es-ES" w:eastAsia="es-MX"/>
        </w:rPr>
      </w:pPr>
      <w:r w:rsidRPr="504E84A0">
        <w:rPr>
          <w:rFonts w:ascii="Verdana" w:eastAsia="Aptos" w:hAnsi="Verdana" w:cs="Arial"/>
          <w:lang w:val="es-ES" w:eastAsia="es-MX"/>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En ese sentido, </w:t>
      </w:r>
      <w:bookmarkStart w:id="3" w:name="_Hlk178832591"/>
      <w:r w:rsidRPr="504E84A0">
        <w:rPr>
          <w:rFonts w:ascii="Verdana" w:eastAsia="Aptos" w:hAnsi="Verdana" w:cs="Arial"/>
          <w:lang w:val="es-ES" w:eastAsia="es-MX"/>
        </w:rPr>
        <w:t>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ll.</w:t>
      </w:r>
      <w:bookmarkEnd w:id="3"/>
    </w:p>
    <w:p w14:paraId="3E70F40B" w14:textId="77777777" w:rsidR="006B0B80" w:rsidRDefault="006B0B80" w:rsidP="006B0B80">
      <w:pPr>
        <w:shd w:val="clear" w:color="auto" w:fill="FFFFFF" w:themeFill="background1"/>
        <w:spacing w:after="120" w:line="276" w:lineRule="auto"/>
        <w:jc w:val="both"/>
        <w:textAlignment w:val="baseline"/>
        <w:rPr>
          <w:rFonts w:ascii="Verdana" w:eastAsia="Calibri" w:hAnsi="Verdana" w:cs="Arial"/>
          <w:color w:val="000000" w:themeColor="text1"/>
          <w:lang w:val="es-ES"/>
        </w:rPr>
      </w:pPr>
    </w:p>
    <w:p w14:paraId="128A6DB9" w14:textId="1AF4DA8C" w:rsidR="00FC5D28" w:rsidRPr="00C940A9" w:rsidRDefault="00FC5D28" w:rsidP="006B0B80">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El artículo 30 de la Ley 2069 de 2020 modificó el numeral 5 del artículo 2 de la Ley 1150 de 2007, el cual regula el proceso de contratación a través de la mínima cuantía. Esta es una modalidad de selección en virtud de la cual</w:t>
      </w:r>
      <w:r>
        <w:rPr>
          <w:rFonts w:ascii="Verdana" w:eastAsia="Calibri" w:hAnsi="Verdana" w:cs="Arial"/>
          <w:color w:val="000000" w:themeColor="text1"/>
          <w:lang w:val="es-ES"/>
        </w:rPr>
        <w:t>,</w:t>
      </w:r>
      <w:r w:rsidRPr="00C940A9">
        <w:rPr>
          <w:rFonts w:ascii="Verdana" w:eastAsia="Calibri" w:hAnsi="Verdana" w:cs="Arial"/>
          <w:color w:val="000000" w:themeColor="text1"/>
          <w:lang w:val="es-ES"/>
        </w:rPr>
        <w:t xml:space="preserve"> la entidad estatal realiza una convocatoria pública para recibir ofertas de bienes, obras o servicios cuyo valor no excede el diez por ciento (10%) de la menor cuantía. El factor determinante para llevar a cabo tal procedimiento es la cuantía </w:t>
      </w:r>
      <w:r w:rsidRPr="00C940A9">
        <w:rPr>
          <w:rFonts w:ascii="Verdana" w:eastAsia="Calibri" w:hAnsi="Verdana" w:cs="Arial"/>
          <w:color w:val="000000" w:themeColor="text1"/>
          <w:lang w:val="es-ES"/>
        </w:rPr>
        <w:lastRenderedPageBreak/>
        <w:t>–calculada como presupuesto oficial a partir del estudio del sector–, independientemente de su objeto</w:t>
      </w:r>
      <w:r w:rsidRPr="00C940A9">
        <w:rPr>
          <w:rFonts w:ascii="Verdana" w:eastAsia="Calibri" w:hAnsi="Verdana" w:cs="Arial"/>
          <w:color w:val="000000" w:themeColor="text1"/>
          <w:vertAlign w:val="superscript"/>
          <w:lang w:val="es-ES"/>
        </w:rPr>
        <w:footnoteReference w:id="2"/>
      </w:r>
      <w:r w:rsidRPr="00C940A9">
        <w:rPr>
          <w:rFonts w:ascii="Verdana" w:eastAsia="Calibri" w:hAnsi="Verdana" w:cs="Arial"/>
          <w:color w:val="000000" w:themeColor="text1"/>
          <w:lang w:val="es-ES"/>
        </w:rPr>
        <w:t xml:space="preserve">. </w:t>
      </w:r>
    </w:p>
    <w:p w14:paraId="63A000F6" w14:textId="77777777" w:rsidR="00FC5D28" w:rsidRPr="00C940A9" w:rsidRDefault="00FC5D28" w:rsidP="005A75AB">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El parágrafo 1 del artículo 30 de la Ley 2069 de 2020 dispone que el reglamento que expedirá el Gobierno nacional tiene como objetivo definir: i) las “particularidades del procedimiento de selección” y ii) la posibilidad de realizar estas adquisiciones a MiPymes o establecimientos que correspondan a la definición de “gran almacén</w:t>
      </w:r>
      <w:r>
        <w:rPr>
          <w:rFonts w:ascii="Verdana" w:eastAsia="Calibri" w:hAnsi="Verdana" w:cs="Arial"/>
          <w:color w:val="000000" w:themeColor="text1"/>
          <w:lang w:val="es-ES"/>
        </w:rPr>
        <w:t>”</w:t>
      </w:r>
      <w:r w:rsidRPr="00C940A9">
        <w:rPr>
          <w:rFonts w:ascii="Verdana" w:eastAsia="Calibri" w:hAnsi="Verdana" w:cs="Arial"/>
          <w:color w:val="000000" w:themeColor="text1"/>
          <w:lang w:val="es-ES"/>
        </w:rPr>
        <w:t>.</w:t>
      </w:r>
    </w:p>
    <w:p w14:paraId="0C51CFE6" w14:textId="77777777" w:rsidR="00FC5D28" w:rsidRPr="00C940A9" w:rsidRDefault="00FC5D28" w:rsidP="00FC5D28">
      <w:pPr>
        <w:shd w:val="clear" w:color="auto" w:fill="FFFFFF" w:themeFill="background1"/>
        <w:spacing w:after="120" w:line="276" w:lineRule="auto"/>
        <w:ind w:firstLine="708"/>
        <w:jc w:val="both"/>
        <w:textAlignment w:val="baseline"/>
        <w:rPr>
          <w:rFonts w:ascii="Verdana" w:eastAsia="Calibri" w:hAnsi="Verdana" w:cs="Arial"/>
          <w:bCs/>
          <w:color w:val="000000" w:themeColor="text1"/>
        </w:rPr>
      </w:pPr>
      <w:r w:rsidRPr="00C940A9">
        <w:rPr>
          <w:rFonts w:ascii="Verdana" w:eastAsia="Calibri" w:hAnsi="Verdana" w:cs="Arial"/>
          <w:bCs/>
          <w:color w:val="000000" w:themeColor="text1"/>
          <w:lang w:val="es-ES_tradnl"/>
        </w:rPr>
        <w:t xml:space="preserve">Con fundamento en lo anterior,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w:t>
      </w:r>
      <w:r w:rsidRPr="00C940A9">
        <w:rPr>
          <w:rFonts w:ascii="Verdana" w:eastAsia="Calibri" w:hAnsi="Verdana" w:cs="Arial"/>
          <w:bCs/>
          <w:i/>
          <w:iCs/>
          <w:color w:val="000000" w:themeColor="text1"/>
          <w:lang w:val="es-ES_tradnl"/>
        </w:rPr>
        <w:t>ibidem</w:t>
      </w:r>
      <w:r w:rsidRPr="00C940A9">
        <w:rPr>
          <w:rFonts w:ascii="Verdana" w:eastAsia="Calibri" w:hAnsi="Verdana" w:cs="Arial"/>
          <w:bCs/>
          <w:color w:val="000000" w:themeColor="text1"/>
          <w:lang w:val="es-ES_tradnl"/>
        </w:rPr>
        <w:t xml:space="preserve"> sometió a un plazo la entrada en vigencia de sus disposiciones, al señalar que “aplicarán a los procedimientos de selección cuya invitación, aviso de convocatoria o documento equivalente se publique a los tres (3) meses contados a partir de su expedición”</w:t>
      </w:r>
      <w:r w:rsidRPr="00C940A9">
        <w:rPr>
          <w:rFonts w:ascii="Verdana" w:eastAsia="Calibri" w:hAnsi="Verdana" w:cs="Arial"/>
          <w:bCs/>
          <w:color w:val="000000" w:themeColor="text1"/>
          <w:vertAlign w:val="superscript"/>
          <w:lang w:val="es-ES_tradnl"/>
        </w:rPr>
        <w:footnoteReference w:id="3"/>
      </w:r>
      <w:r w:rsidRPr="00C940A9">
        <w:rPr>
          <w:rFonts w:ascii="Verdana" w:eastAsia="Calibri" w:hAnsi="Verdana" w:cs="Arial"/>
          <w:bCs/>
          <w:color w:val="000000" w:themeColor="text1"/>
        </w:rPr>
        <w:t xml:space="preserve">. </w:t>
      </w:r>
    </w:p>
    <w:p w14:paraId="3DE8BD28" w14:textId="77777777"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contiene los siguientes artículos: </w:t>
      </w:r>
    </w:p>
    <w:p w14:paraId="5F163080" w14:textId="4DCD22BD"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 </w:t>
      </w:r>
      <w:bookmarkStart w:id="5" w:name="_Hlk194041046"/>
      <w:r w:rsidR="00082F86">
        <w:rPr>
          <w:rFonts w:ascii="Verdana" w:eastAsia="Calibri" w:hAnsi="Verdana" w:cs="Arial"/>
          <w:color w:val="000000" w:themeColor="text1"/>
          <w:lang w:val="es-ES"/>
        </w:rPr>
        <w:t xml:space="preserve">El artículo </w:t>
      </w:r>
      <w:r w:rsidRPr="00C940A9">
        <w:rPr>
          <w:rFonts w:ascii="Verdana" w:eastAsia="Calibri" w:hAnsi="Verdana" w:cs="Arial"/>
          <w:color w:val="000000" w:themeColor="text1"/>
          <w:lang w:val="es-ES"/>
        </w:rPr>
        <w:t>2.2.1.2.1.5.1</w:t>
      </w:r>
      <w:bookmarkEnd w:id="5"/>
      <w:r w:rsidRPr="00C940A9">
        <w:rPr>
          <w:rFonts w:ascii="Verdana" w:eastAsia="Calibri" w:hAnsi="Verdana" w:cs="Arial"/>
          <w:color w:val="000000" w:themeColor="text1"/>
          <w:lang w:val="es-ES"/>
        </w:rPr>
        <w:t xml:space="preserve">. que se ocupa de desarrollar el contenido de los estudios previos para la contratación de mínima cuantía. </w:t>
      </w:r>
    </w:p>
    <w:p w14:paraId="008C8482" w14:textId="44825047"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ii) </w:t>
      </w:r>
      <w:r w:rsidR="00082F86">
        <w:rPr>
          <w:rFonts w:ascii="Verdana" w:eastAsia="Calibri" w:hAnsi="Verdana" w:cs="Arial"/>
          <w:color w:val="000000" w:themeColor="text1"/>
          <w:lang w:val="es-ES"/>
        </w:rPr>
        <w:t>El</w:t>
      </w:r>
      <w:r w:rsidRPr="00C940A9">
        <w:rPr>
          <w:rFonts w:ascii="Verdana" w:eastAsia="Calibri" w:hAnsi="Verdana" w:cs="Arial"/>
          <w:color w:val="000000" w:themeColor="text1"/>
          <w:lang w:val="es-ES"/>
        </w:rPr>
        <w:t xml:space="preserve"> 2.2.1.2.1.5.2. que contiene el procedimiento general de la mínima cuantía, señalando el contenido mínimo de la “invitación” y las distintas etapas y reglas que estructuran esta modalidad de selección, incluyendo la forma en </w:t>
      </w:r>
      <w:r w:rsidRPr="00C940A9">
        <w:rPr>
          <w:rFonts w:ascii="Verdana" w:eastAsia="Calibri" w:hAnsi="Verdana" w:cs="Arial"/>
          <w:color w:val="000000" w:themeColor="text1"/>
          <w:lang w:val="es-ES"/>
        </w:rPr>
        <w:lastRenderedPageBreak/>
        <w:t xml:space="preserve">que procederán las convocatorias limitadas a MiPymes, de acuerdo con el mandato del parágrafo 1 del artículo 30 de la Ley 2069 de 2020. </w:t>
      </w:r>
    </w:p>
    <w:p w14:paraId="4D36EEB4" w14:textId="77777777" w:rsidR="001B1CD1"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iii) </w:t>
      </w:r>
      <w:r w:rsidR="001B1CD1">
        <w:rPr>
          <w:rFonts w:ascii="Verdana" w:eastAsia="Calibri" w:hAnsi="Verdana" w:cs="Arial"/>
          <w:color w:val="000000" w:themeColor="text1"/>
          <w:lang w:val="es-ES"/>
        </w:rPr>
        <w:t>El</w:t>
      </w:r>
      <w:r w:rsidRPr="00C940A9">
        <w:rPr>
          <w:rFonts w:ascii="Verdana" w:eastAsia="Calibri" w:hAnsi="Verdana" w:cs="Arial"/>
          <w:color w:val="000000" w:themeColor="text1"/>
          <w:lang w:val="es-ES"/>
        </w:rPr>
        <w:t xml:space="preserve"> </w:t>
      </w:r>
      <w:bookmarkStart w:id="6" w:name="_Hlk194041070"/>
      <w:r w:rsidRPr="00C940A9">
        <w:rPr>
          <w:rFonts w:ascii="Verdana" w:eastAsia="Calibri" w:hAnsi="Verdana" w:cs="Arial"/>
          <w:color w:val="000000" w:themeColor="text1"/>
          <w:lang w:val="es-ES"/>
        </w:rPr>
        <w:t>2.2.1.2.1.5.3.</w:t>
      </w:r>
      <w:bookmarkEnd w:id="6"/>
      <w:r w:rsidRPr="00C940A9">
        <w:rPr>
          <w:rFonts w:ascii="Verdana" w:eastAsia="Calibri" w:hAnsi="Verdana" w:cs="Arial"/>
          <w:color w:val="000000" w:themeColor="text1"/>
          <w:lang w:val="es-ES"/>
        </w:rPr>
        <w:t xml:space="preserve"> que regula un procedimiento especial para las adquisiciones en grandes almacenes cuando se trate de mínima cuantía. </w:t>
      </w:r>
    </w:p>
    <w:p w14:paraId="23379B2A" w14:textId="43868F8B" w:rsidR="001B1CD1"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iv) </w:t>
      </w:r>
      <w:r w:rsidR="001B1CD1">
        <w:rPr>
          <w:rFonts w:ascii="Verdana" w:eastAsia="Calibri" w:hAnsi="Verdana" w:cs="Arial"/>
          <w:color w:val="000000" w:themeColor="text1"/>
          <w:lang w:val="es-ES"/>
        </w:rPr>
        <w:t>El artículo</w:t>
      </w:r>
      <w:r w:rsidRPr="00C940A9">
        <w:rPr>
          <w:rFonts w:ascii="Verdana" w:eastAsia="Calibri" w:hAnsi="Verdana" w:cs="Arial"/>
          <w:color w:val="000000" w:themeColor="text1"/>
          <w:lang w:val="es-ES"/>
        </w:rPr>
        <w:t xml:space="preserve"> </w:t>
      </w:r>
      <w:bookmarkStart w:id="7" w:name="_Hlk194041078"/>
      <w:r w:rsidRPr="00C940A9">
        <w:rPr>
          <w:rFonts w:ascii="Verdana" w:eastAsia="Calibri" w:hAnsi="Verdana" w:cs="Arial"/>
          <w:color w:val="000000" w:themeColor="text1"/>
          <w:lang w:val="es-ES"/>
        </w:rPr>
        <w:t xml:space="preserve">2.2.1.2.1.5.4. </w:t>
      </w:r>
      <w:bookmarkEnd w:id="7"/>
      <w:r w:rsidRPr="00C940A9">
        <w:rPr>
          <w:rFonts w:ascii="Verdana" w:eastAsia="Calibri" w:hAnsi="Verdana" w:cs="Arial"/>
          <w:color w:val="000000" w:themeColor="text1"/>
          <w:lang w:val="es-ES"/>
        </w:rPr>
        <w:t>el cual establece la posibilidad de que</w:t>
      </w:r>
      <w:r w:rsidRPr="001D4AC1">
        <w:rPr>
          <w:rFonts w:ascii="Century Gothic" w:eastAsia="Calibri" w:hAnsi="Century Gothic" w:cs="Arial"/>
          <w:color w:val="000000" w:themeColor="text1"/>
          <w:lang w:val="es-ES"/>
        </w:rPr>
        <w:t xml:space="preserve"> </w:t>
      </w:r>
      <w:r w:rsidRPr="00C940A9">
        <w:rPr>
          <w:rFonts w:ascii="Verdana" w:eastAsia="Calibri" w:hAnsi="Verdana" w:cs="Arial"/>
          <w:color w:val="000000" w:themeColor="text1"/>
          <w:lang w:val="es-ES"/>
        </w:rPr>
        <w:t xml:space="preserve">la Agencia Nacional de Contratación Pública – Colombia Compra Eficiente defina las reglas para la utilización de instrumentos de agregación de demanda en la Tienda Virtual del Estado Colombiano para adquisiciones hasta el monto de la mínima cuantía con MiPymes y con grandes almacenes. </w:t>
      </w:r>
    </w:p>
    <w:p w14:paraId="39A1635A" w14:textId="37A7D256" w:rsidR="00FC5D28" w:rsidRPr="00C940A9" w:rsidRDefault="00FC5D28" w:rsidP="00FC5D28">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v) </w:t>
      </w:r>
      <w:r w:rsidR="001B1CD1">
        <w:rPr>
          <w:rFonts w:ascii="Verdana" w:eastAsia="Calibri" w:hAnsi="Verdana" w:cs="Arial"/>
          <w:color w:val="000000" w:themeColor="text1"/>
          <w:lang w:val="es-ES"/>
        </w:rPr>
        <w:t xml:space="preserve">El artículo </w:t>
      </w:r>
      <w:r w:rsidRPr="00C940A9">
        <w:rPr>
          <w:rFonts w:ascii="Verdana" w:eastAsia="Calibri" w:hAnsi="Verdana" w:cs="Arial"/>
          <w:color w:val="000000" w:themeColor="text1"/>
          <w:lang w:val="es-ES"/>
        </w:rPr>
        <w:t>2.2.1.2.1.5.5. establece que la entidad estatal es libre de exigir o no garantías en el proceso de selección de mínima cuantía y en la adquisición de “grandes almacenes”.</w:t>
      </w:r>
    </w:p>
    <w:p w14:paraId="7F6D4164" w14:textId="77777777" w:rsidR="00FC5D28" w:rsidRPr="00C940A9" w:rsidRDefault="00FC5D28" w:rsidP="00FC5D28">
      <w:pPr>
        <w:spacing w:after="120" w:line="276" w:lineRule="auto"/>
        <w:ind w:firstLine="709"/>
        <w:jc w:val="both"/>
        <w:rPr>
          <w:rFonts w:ascii="Verdana" w:hAnsi="Verdana" w:cs="Arial"/>
          <w:bCs/>
          <w:lang w:eastAsia="es-ES"/>
        </w:rPr>
      </w:pPr>
      <w:r w:rsidRPr="00C940A9">
        <w:rPr>
          <w:rFonts w:ascii="Verdana" w:hAnsi="Verdana" w:cs="Arial"/>
          <w:bCs/>
          <w:lang w:val="es-ES_tradnl" w:eastAsia="es-ES"/>
        </w:rPr>
        <w:t xml:space="preserve">Ahora bien, el artículo 5 del Decreto 1860 de 2021 modificó </w:t>
      </w:r>
      <w:r w:rsidRPr="00C940A9">
        <w:rPr>
          <w:rFonts w:ascii="Verdana" w:hAnsi="Verdana" w:cs="Arial"/>
          <w:bCs/>
          <w:lang w:eastAsia="es-ES"/>
        </w:rPr>
        <w:t xml:space="preserve">los artículos </w:t>
      </w:r>
      <w:bookmarkStart w:id="8" w:name="_Hlk194041112"/>
      <w:r w:rsidRPr="00C940A9">
        <w:rPr>
          <w:rFonts w:ascii="Verdana" w:hAnsi="Verdana" w:cs="Arial"/>
          <w:bCs/>
          <w:lang w:eastAsia="es-ES"/>
        </w:rPr>
        <w:t>2.2.1.2.4.2.2., 2.2.1.2.4.2.3. y 2.2.1.2.4.2.4</w:t>
      </w:r>
      <w:bookmarkEnd w:id="8"/>
      <w:r w:rsidRPr="00C940A9">
        <w:rPr>
          <w:rFonts w:ascii="Verdana" w:hAnsi="Verdana" w:cs="Arial"/>
          <w:bCs/>
          <w:lang w:eastAsia="es-ES"/>
        </w:rPr>
        <w:t>. de la Subsección 2 de la Sección 4 del Capítulo 2 del Título 1 de la Parte 2 del Libro 2 del Decreto 1082 de 2015, reglamentando</w:t>
      </w:r>
      <w:r w:rsidRPr="00C940A9">
        <w:rPr>
          <w:rFonts w:ascii="Verdana" w:hAnsi="Verdana" w:cs="Arial"/>
          <w:bCs/>
          <w:lang w:val="es-ES_tradnl" w:eastAsia="es-ES"/>
        </w:rPr>
        <w:t xml:space="preserve"> las convocatorias limitadas a Mipyme, con fundamento en lo establecido en el artículo 34 de la Ley 2069 de 2020. Esta nueva Subsección 2 contempla los siguientes aspectos: i) requisitos para limitar la convocatoria de los </w:t>
      </w:r>
      <w:r w:rsidRPr="00C940A9">
        <w:rPr>
          <w:rFonts w:ascii="Verdana" w:hAnsi="Verdana" w:cs="Arial"/>
          <w:bCs/>
          <w:lang w:eastAsia="es-ES"/>
        </w:rPr>
        <w:t>procesos de contratación con pluralidad de oferentes</w:t>
      </w:r>
      <w:r w:rsidRPr="00C940A9">
        <w:rPr>
          <w:rFonts w:ascii="Verdana" w:hAnsi="Verdana" w:cs="Arial"/>
          <w:bCs/>
          <w:lang w:val="es-ES_tradnl" w:eastAsia="es-ES"/>
        </w:rPr>
        <w:t xml:space="preserve"> a las Mipyme colombianas con mínimo un (1) año de existencia – artículo </w:t>
      </w:r>
      <w:r w:rsidRPr="00C940A9">
        <w:rPr>
          <w:rFonts w:ascii="Verdana" w:hAnsi="Verdana" w:cs="Arial"/>
          <w:bCs/>
          <w:lang w:eastAsia="es-ES"/>
        </w:rPr>
        <w:t>2.2.1.2.4.2.2-</w:t>
      </w:r>
      <w:r w:rsidRPr="00C940A9">
        <w:rPr>
          <w:rFonts w:ascii="Verdana" w:hAnsi="Verdana" w:cs="Arial"/>
          <w:bCs/>
          <w:lang w:val="es-ES_tradnl" w:eastAsia="es-ES"/>
        </w:rPr>
        <w:t xml:space="preserve"> , ii) desarrolla las </w:t>
      </w:r>
      <w:r w:rsidRPr="00C940A9">
        <w:rPr>
          <w:rFonts w:ascii="Verdana" w:hAnsi="Verdana" w:cs="Arial"/>
          <w:bCs/>
          <w:lang w:eastAsia="es-ES"/>
        </w:rPr>
        <w:t>convocatorias limitadas a Mipyme colombianas que tengan domicilio en los departamentos o municipios en donde se va a ejecutar el contrato – artículo 2.2.1.2.4.2.3.,</w:t>
      </w:r>
      <w:r w:rsidRPr="00C940A9">
        <w:rPr>
          <w:rFonts w:ascii="Verdana" w:hAnsi="Verdana" w:cs="Arial"/>
          <w:bCs/>
          <w:lang w:val="es-ES_tradnl" w:eastAsia="es-ES"/>
        </w:rPr>
        <w:t xml:space="preserve"> y iii) </w:t>
      </w:r>
      <w:r w:rsidRPr="00C940A9">
        <w:rPr>
          <w:rFonts w:ascii="Verdana" w:hAnsi="Verdana" w:cs="Arial"/>
          <w:bCs/>
          <w:lang w:eastAsia="es-ES"/>
        </w:rPr>
        <w:t>regula la acreditación de requisitos para participar en convocatorias limitadas – artículo 2.2.1.2.4.2.4-</w:t>
      </w:r>
      <w:r>
        <w:rPr>
          <w:rFonts w:ascii="Verdana" w:hAnsi="Verdana" w:cs="Arial"/>
          <w:bCs/>
          <w:lang w:eastAsia="es-ES"/>
        </w:rPr>
        <w:t>.</w:t>
      </w:r>
    </w:p>
    <w:p w14:paraId="1D72A765" w14:textId="77777777" w:rsidR="00FC5D28" w:rsidRPr="00C940A9" w:rsidRDefault="00FC5D28" w:rsidP="00FC5D28">
      <w:pPr>
        <w:spacing w:after="120" w:line="276" w:lineRule="auto"/>
        <w:ind w:firstLine="709"/>
        <w:jc w:val="both"/>
        <w:rPr>
          <w:rFonts w:ascii="Verdana" w:hAnsi="Verdana" w:cs="Arial"/>
          <w:lang w:val="es-ES" w:eastAsia="es-ES"/>
        </w:rPr>
      </w:pPr>
      <w:r w:rsidRPr="00C940A9">
        <w:rPr>
          <w:rFonts w:ascii="Verdana" w:hAnsi="Verdana" w:cs="Arial"/>
          <w:lang w:val="es-ES" w:eastAsia="es-ES"/>
        </w:rPr>
        <w:t>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Mipyme,</w:t>
      </w:r>
      <w:r w:rsidRPr="00C940A9">
        <w:rPr>
          <w:rFonts w:ascii="Verdana" w:eastAsia="Calibri" w:hAnsi="Verdana" w:cs="Arial"/>
          <w:lang w:val="es-ES"/>
        </w:rPr>
        <w:t xml:space="preserve"> </w:t>
      </w:r>
      <w:r w:rsidRPr="00C940A9">
        <w:rPr>
          <w:rFonts w:ascii="Verdana" w:hAnsi="Verdana" w:cs="Arial"/>
          <w:lang w:val="es-ES" w:eastAsia="es-ES"/>
        </w:rPr>
        <w:t xml:space="preserve">disposición que entró a regir desde el 24 de marzo de 2022, pues, como se indicó, </w:t>
      </w:r>
      <w:r w:rsidRPr="00C940A9">
        <w:rPr>
          <w:rFonts w:ascii="Verdana" w:eastAsia="Calibri" w:hAnsi="Verdana" w:cs="Arial"/>
          <w:lang w:val="es-ES"/>
        </w:rPr>
        <w:t>el artículo 8 de dicho decreto sometió su vigencia al transcurso del periodo de 3 meses siguientes a su expedición.</w:t>
      </w:r>
    </w:p>
    <w:p w14:paraId="528C9027" w14:textId="77777777" w:rsidR="00FC5D28" w:rsidRPr="00C940A9" w:rsidRDefault="00FC5D28" w:rsidP="005A75AB">
      <w:pPr>
        <w:spacing w:after="0" w:line="276" w:lineRule="auto"/>
        <w:ind w:firstLine="709"/>
        <w:jc w:val="both"/>
        <w:rPr>
          <w:rFonts w:ascii="Verdana" w:eastAsia="Arial" w:hAnsi="Verdana" w:cs="Arial"/>
          <w:color w:val="000000"/>
        </w:rPr>
      </w:pPr>
      <w:r w:rsidRPr="00C940A9">
        <w:rPr>
          <w:rFonts w:ascii="Verdana" w:eastAsia="Arial" w:hAnsi="Verdana" w:cs="Arial"/>
          <w:color w:val="000000"/>
        </w:rPr>
        <w:t xml:space="preserve">En este contexto, el artículo 2.2.1.2.4.2.2. del Decreto 1082 de 2015 –modificado por el Decreto 1860 de 2021– establece los requisitos que se deben acreditar en las “convocatorias limitadas a Mipymes”. El inciso primero de la referida norma exige que las entidades estatales independientemente de su </w:t>
      </w:r>
      <w:r w:rsidRPr="00C940A9">
        <w:rPr>
          <w:rFonts w:ascii="Verdana" w:eastAsia="Arial" w:hAnsi="Verdana" w:cs="Arial"/>
          <w:color w:val="000000"/>
        </w:rPr>
        <w:lastRenderedPageBreak/>
        <w:t xml:space="preserve">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 </w:t>
      </w:r>
    </w:p>
    <w:p w14:paraId="3CF9B141" w14:textId="77777777" w:rsidR="00A44D96" w:rsidRDefault="00A44D96" w:rsidP="005A75AB">
      <w:pPr>
        <w:spacing w:after="0"/>
        <w:ind w:left="709" w:right="709"/>
        <w:jc w:val="both"/>
        <w:rPr>
          <w:rFonts w:ascii="Verdana" w:eastAsia="Calibri" w:hAnsi="Verdana" w:cs="Arial"/>
          <w:sz w:val="20"/>
          <w:szCs w:val="20"/>
          <w:lang w:val="es-ES"/>
        </w:rPr>
      </w:pPr>
    </w:p>
    <w:p w14:paraId="7583066D" w14:textId="44058DD3" w:rsidR="00FC5D28" w:rsidRPr="00C940A9" w:rsidRDefault="00885A39" w:rsidP="00885A39">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w:t>
      </w:r>
      <w:r w:rsidR="00FC5D28" w:rsidRPr="00C940A9">
        <w:rPr>
          <w:rFonts w:ascii="Verdana" w:eastAsia="Calibri" w:hAnsi="Verdana" w:cs="Arial"/>
          <w:sz w:val="20"/>
          <w:szCs w:val="20"/>
          <w:lang w:val="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66FB4731" w14:textId="77777777" w:rsidR="00885A39" w:rsidRPr="00C940A9" w:rsidRDefault="00885A39" w:rsidP="005A75AB">
      <w:pPr>
        <w:spacing w:after="0" w:line="240" w:lineRule="auto"/>
        <w:ind w:left="709" w:right="709"/>
        <w:jc w:val="both"/>
        <w:rPr>
          <w:rFonts w:ascii="Verdana" w:eastAsia="Calibri" w:hAnsi="Verdana" w:cs="Arial"/>
          <w:sz w:val="20"/>
          <w:szCs w:val="20"/>
          <w:lang w:val="es-ES"/>
        </w:rPr>
      </w:pPr>
    </w:p>
    <w:p w14:paraId="3E9A70C5" w14:textId="77777777" w:rsidR="00FC5D28" w:rsidRPr="00C940A9" w:rsidRDefault="00FC5D28" w:rsidP="005A75AB">
      <w:pPr>
        <w:spacing w:after="0" w:line="240" w:lineRule="auto"/>
        <w:ind w:left="709" w:right="709"/>
        <w:jc w:val="both"/>
        <w:rPr>
          <w:rFonts w:ascii="Verdana" w:eastAsia="Calibri" w:hAnsi="Verdana" w:cs="Arial"/>
          <w:sz w:val="20"/>
          <w:szCs w:val="20"/>
          <w:lang w:val="es-ES_tradnl"/>
        </w:rPr>
      </w:pPr>
      <w:r w:rsidRPr="00C940A9">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04DBA5C6" w14:textId="77777777" w:rsidR="00885A39" w:rsidRDefault="00885A39" w:rsidP="00885A39">
      <w:pPr>
        <w:spacing w:after="0" w:line="240" w:lineRule="auto"/>
        <w:ind w:left="709" w:right="709"/>
        <w:jc w:val="both"/>
        <w:rPr>
          <w:rFonts w:ascii="Verdana" w:eastAsia="Calibri" w:hAnsi="Verdana" w:cs="Arial"/>
          <w:sz w:val="20"/>
          <w:szCs w:val="20"/>
          <w:lang w:val="es-ES"/>
        </w:rPr>
      </w:pPr>
    </w:p>
    <w:p w14:paraId="45E50211" w14:textId="7AFADC20" w:rsidR="00FC5D28" w:rsidRPr="00C940A9" w:rsidRDefault="00FC5D28" w:rsidP="00885A39">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6B9E19D3" w14:textId="77777777" w:rsidR="00885A39" w:rsidRPr="00C940A9" w:rsidRDefault="00885A39" w:rsidP="005A75AB">
      <w:pPr>
        <w:spacing w:after="0" w:line="240" w:lineRule="auto"/>
        <w:ind w:left="709" w:right="709"/>
        <w:jc w:val="both"/>
        <w:rPr>
          <w:rFonts w:ascii="Verdana" w:eastAsia="Calibri" w:hAnsi="Verdana" w:cs="Arial"/>
          <w:sz w:val="20"/>
          <w:szCs w:val="20"/>
          <w:lang w:val="es-ES"/>
        </w:rPr>
      </w:pPr>
    </w:p>
    <w:p w14:paraId="7D8D3178" w14:textId="55881E8C" w:rsidR="00FC5D28" w:rsidRPr="00C940A9" w:rsidRDefault="00FC5D28" w:rsidP="005A75AB">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Parágrafo. Las cooperativas y demás entidades de economía solidaria, siempre que tengan la calidad de Mipyme, podrán solicitar y participar en las convocatorias limitadas en las mismas condiciones dispuestas en el presente artículo</w:t>
      </w:r>
      <w:r w:rsidR="00885A39">
        <w:rPr>
          <w:rFonts w:ascii="Verdana" w:eastAsia="Calibri" w:hAnsi="Verdana" w:cs="Arial"/>
          <w:sz w:val="20"/>
          <w:szCs w:val="20"/>
          <w:lang w:val="es-ES"/>
        </w:rPr>
        <w:t>”</w:t>
      </w:r>
      <w:r w:rsidRPr="00C940A9">
        <w:rPr>
          <w:rFonts w:ascii="Verdana" w:eastAsia="Calibri" w:hAnsi="Verdana" w:cs="Arial"/>
          <w:sz w:val="20"/>
          <w:szCs w:val="20"/>
          <w:lang w:val="es-ES"/>
        </w:rPr>
        <w:t>.</w:t>
      </w:r>
    </w:p>
    <w:p w14:paraId="2CAFCCFE" w14:textId="77777777" w:rsidR="00FC5D28" w:rsidRPr="001D4AC1" w:rsidRDefault="00FC5D28" w:rsidP="00FC5D28">
      <w:pPr>
        <w:spacing w:after="0"/>
        <w:ind w:left="709" w:right="709"/>
        <w:jc w:val="both"/>
        <w:rPr>
          <w:rFonts w:ascii="Century Gothic" w:eastAsia="Arial" w:hAnsi="Century Gothic" w:cs="Arial"/>
          <w:color w:val="000000"/>
        </w:rPr>
      </w:pPr>
    </w:p>
    <w:p w14:paraId="6F58049D" w14:textId="77777777" w:rsidR="00FC5D28" w:rsidRPr="00C940A9" w:rsidRDefault="00FC5D28" w:rsidP="00FC5D28">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 Esta limitante, valga la pena aclarar, es establecida de acuerdo con la tasa que, </w:t>
      </w:r>
      <w:r w:rsidRPr="00C940A9">
        <w:rPr>
          <w:rFonts w:ascii="Verdana" w:eastAsia="Arial" w:hAnsi="Verdana" w:cs="Arial"/>
          <w:color w:val="000000"/>
        </w:rPr>
        <w:lastRenderedPageBreak/>
        <w:t>para el efecto, determine cada dos años el Ministerio de Comercio, Industria y Turismo</w:t>
      </w:r>
      <w:r w:rsidRPr="00C940A9">
        <w:rPr>
          <w:rStyle w:val="Refdenotaalpie"/>
          <w:rFonts w:ascii="Verdana" w:eastAsia="Arial" w:hAnsi="Verdana" w:cs="Arial"/>
          <w:color w:val="000000"/>
        </w:rPr>
        <w:footnoteReference w:id="4"/>
      </w:r>
      <w:r w:rsidRPr="00C940A9">
        <w:rPr>
          <w:rFonts w:ascii="Verdana" w:eastAsia="Arial" w:hAnsi="Verdana" w:cs="Arial"/>
          <w:color w:val="000000"/>
        </w:rPr>
        <w:t xml:space="preserve">. </w:t>
      </w:r>
    </w:p>
    <w:p w14:paraId="1EB5DACC" w14:textId="43BE9FAF" w:rsidR="00FC5D28" w:rsidRPr="005B1F06" w:rsidRDefault="00FC5D28" w:rsidP="00FC5D28">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Por su parte, el numeral segundo establece dos exigencias: por un lado, que al menos dos (2) </w:t>
      </w:r>
      <w:r w:rsidR="00DB28A0" w:rsidRPr="00C940A9">
        <w:rPr>
          <w:rFonts w:ascii="Verdana" w:eastAsia="Arial" w:hAnsi="Verdana" w:cs="Arial"/>
          <w:color w:val="000000"/>
        </w:rPr>
        <w:t>Mipymes</w:t>
      </w:r>
      <w:r w:rsidRPr="00C940A9">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C940A9">
        <w:rPr>
          <w:rFonts w:ascii="Verdana" w:eastAsia="Arial" w:hAnsi="Verdana" w:cs="Arial"/>
          <w:color w:val="000000"/>
          <w:lang w:val="es-ES_tradnl"/>
        </w:rPr>
        <w:t xml:space="preserve">o el que haga </w:t>
      </w:r>
      <w:r w:rsidRPr="005B1F06">
        <w:rPr>
          <w:rFonts w:ascii="Verdana" w:eastAsia="Arial" w:hAnsi="Verdana" w:cs="Arial"/>
          <w:color w:val="000000"/>
          <w:lang w:val="es-ES_tradnl"/>
        </w:rPr>
        <w:t>sus veces de acuerdo con la normativa aplicable a cada proceso de contratación</w:t>
      </w:r>
      <w:r w:rsidRPr="005B1F06">
        <w:rPr>
          <w:rFonts w:ascii="Verdana" w:eastAsia="Arial" w:hAnsi="Verdana" w:cs="Arial"/>
          <w:color w:val="000000"/>
        </w:rPr>
        <w:t xml:space="preserve">. Además, la norma señala que, </w:t>
      </w:r>
      <w:r w:rsidRPr="005B1F06">
        <w:rPr>
          <w:rFonts w:ascii="Verdana" w:eastAsia="Arial" w:hAnsi="Verdana" w:cs="Arial"/>
          <w:color w:val="000000"/>
          <w:lang w:val="es-ES_tradnl"/>
        </w:rPr>
        <w:t xml:space="preserve">tratándose de personas jurídicas, las solicitudes solo las podrán realizar </w:t>
      </w:r>
      <w:r w:rsidR="00DB28A0" w:rsidRPr="005B1F06">
        <w:rPr>
          <w:rFonts w:ascii="Verdana" w:eastAsia="Arial" w:hAnsi="Verdana" w:cs="Arial"/>
          <w:color w:val="000000"/>
          <w:lang w:val="es-ES_tradnl"/>
        </w:rPr>
        <w:t>Mipymes</w:t>
      </w:r>
      <w:r w:rsidRPr="005B1F06">
        <w:rPr>
          <w:rFonts w:ascii="Verdana" w:eastAsia="Arial" w:hAnsi="Verdana" w:cs="Arial"/>
          <w:color w:val="000000"/>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r w:rsidR="00FB255D" w:rsidRPr="005B1F06">
        <w:rPr>
          <w:rFonts w:ascii="Verdana" w:eastAsia="Arial" w:hAnsi="Verdana" w:cs="Arial"/>
          <w:color w:val="000000"/>
          <w:lang w:val="es-ES_tradnl"/>
        </w:rPr>
        <w:t>Mipymes</w:t>
      </w:r>
      <w:r w:rsidRPr="005B1F06">
        <w:rPr>
          <w:rFonts w:ascii="Verdana" w:eastAsia="Arial" w:hAnsi="Verdana" w:cs="Arial"/>
          <w:color w:val="000000"/>
          <w:lang w:val="es-ES_tradnl"/>
        </w:rPr>
        <w:t xml:space="preserve">, siempre que estas cumplan con las condiciones señaladas en el artículo. </w:t>
      </w:r>
    </w:p>
    <w:p w14:paraId="41977CFB" w14:textId="31556324" w:rsidR="00FC5D28" w:rsidRPr="005B1F06" w:rsidRDefault="00FC5D28" w:rsidP="00FC5D28">
      <w:pPr>
        <w:spacing w:after="120" w:line="276" w:lineRule="auto"/>
        <w:ind w:firstLine="709"/>
        <w:jc w:val="both"/>
        <w:rPr>
          <w:rFonts w:ascii="Verdana" w:hAnsi="Verdana" w:cs="Arial"/>
          <w:lang w:val="es-ES" w:eastAsia="es-MX"/>
        </w:rPr>
      </w:pPr>
      <w:r w:rsidRPr="005B1F06">
        <w:rPr>
          <w:rFonts w:ascii="Verdana" w:eastAsia="Arial" w:hAnsi="Verdana" w:cs="Arial"/>
          <w:color w:val="000000"/>
          <w:lang w:val="es-ES_tradnl"/>
        </w:rPr>
        <w:t>Así las cosas,</w:t>
      </w:r>
      <w:r w:rsidRPr="005B1F06">
        <w:rPr>
          <w:rFonts w:ascii="Verdana" w:hAnsi="Verdana" w:cs="Arial"/>
          <w:lang w:val="es-ES" w:eastAsia="es-MX"/>
        </w:rPr>
        <w:t xml:space="preserve"> las entidades independientemente de su régimen de contratación, los patrimonios autónomos constituidos por entidades estatales y los particulares que ejecuten recursos públicos deben limitar la convocatoria de los procesos de contratación con pluralidad de oferentes a las </w:t>
      </w:r>
      <w:r w:rsidR="00CB54E5" w:rsidRPr="005B1F06">
        <w:rPr>
          <w:rFonts w:ascii="Verdana" w:hAnsi="Verdana" w:cs="Arial"/>
          <w:lang w:val="es-ES" w:eastAsia="es-MX"/>
        </w:rPr>
        <w:t>Mipymes</w:t>
      </w:r>
      <w:r w:rsidRPr="005B1F06">
        <w:rPr>
          <w:rFonts w:ascii="Verdana" w:hAnsi="Verdana" w:cs="Arial"/>
          <w:lang w:val="es-ES" w:eastAsia="es-MX"/>
        </w:rPr>
        <w:t xml:space="preserve"> colombianas con mínimo un (1) año de existencia, cuando se cumplan los requisitos previstos en el artículo 2.2.1.2.4.2.2 del Decreto 1082 de 2015 anteriormente señalado.</w:t>
      </w:r>
    </w:p>
    <w:p w14:paraId="6BA27DDA" w14:textId="4C57FFD3" w:rsidR="00FC5D28" w:rsidRPr="005B1F06" w:rsidRDefault="00FC5D28" w:rsidP="00FC5D28">
      <w:pPr>
        <w:spacing w:after="120" w:line="276" w:lineRule="auto"/>
        <w:ind w:firstLine="708"/>
        <w:jc w:val="both"/>
        <w:rPr>
          <w:rFonts w:ascii="Verdana" w:eastAsia="Calibri" w:hAnsi="Verdana" w:cs="Arial"/>
          <w:lang w:val="es-ES"/>
        </w:rPr>
      </w:pPr>
      <w:r w:rsidRPr="706726C8">
        <w:rPr>
          <w:rFonts w:ascii="Verdana" w:eastAsia="Calibri" w:hAnsi="Verdana" w:cs="Arial"/>
          <w:lang w:val="es-ES"/>
        </w:rPr>
        <w:t xml:space="preserve">En relación con las limitaciones territoriales </w:t>
      </w:r>
      <w:r w:rsidRPr="706726C8">
        <w:rPr>
          <w:rFonts w:ascii="Verdana" w:hAnsi="Verdana" w:cs="Arial"/>
          <w:lang w:val="es-ES"/>
        </w:rPr>
        <w:t xml:space="preserve">de las convocatorias a </w:t>
      </w:r>
      <w:r w:rsidR="00CB54E5" w:rsidRPr="706726C8">
        <w:rPr>
          <w:rFonts w:ascii="Verdana" w:hAnsi="Verdana" w:cs="Arial"/>
          <w:lang w:val="es-ES"/>
        </w:rPr>
        <w:t>Mipymes</w:t>
      </w:r>
      <w:r w:rsidRPr="706726C8">
        <w:rPr>
          <w:rFonts w:ascii="Verdana" w:eastAsia="Calibri" w:hAnsi="Verdana" w:cs="Arial"/>
          <w:lang w:val="es-ES"/>
        </w:rPr>
        <w:t xml:space="preserve"> el texto del actual artículo 2.2.1.2.4.2.3, modificado por el artículo 5 del Decreto 1860 de 2021</w:t>
      </w:r>
      <w:r w:rsidR="000C7312" w:rsidRPr="706726C8">
        <w:rPr>
          <w:rFonts w:ascii="Verdana" w:eastAsia="Calibri" w:hAnsi="Verdana" w:cs="Arial"/>
          <w:lang w:val="es-ES"/>
        </w:rPr>
        <w:t>,</w:t>
      </w:r>
      <w:r w:rsidRPr="706726C8">
        <w:rPr>
          <w:rFonts w:ascii="Verdana" w:eastAsia="Calibri" w:hAnsi="Verdana" w:cs="Arial"/>
          <w:lang w:val="es-ES"/>
        </w:rPr>
        <w:t xml:space="preserve"> determina que toda empresa constituida bajo las leyes colombianas o que tenga su domicilio principal en el territorio colombiano y, además, cumpla los criterios previstos por la </w:t>
      </w:r>
      <w:bookmarkStart w:id="9" w:name="_Hlk194041590"/>
      <w:r w:rsidRPr="706726C8">
        <w:rPr>
          <w:rFonts w:ascii="Verdana" w:eastAsia="Calibri" w:hAnsi="Verdana" w:cs="Arial"/>
          <w:lang w:val="es-ES"/>
        </w:rPr>
        <w:t>Ley 590 de 2000 y el Decreto 957 de 2019</w:t>
      </w:r>
      <w:bookmarkEnd w:id="9"/>
      <w:r w:rsidRPr="706726C8">
        <w:rPr>
          <w:rFonts w:ascii="Verdana" w:eastAsia="Calibri" w:hAnsi="Verdana" w:cs="Arial"/>
          <w:lang w:val="es-ES"/>
        </w:rPr>
        <w:t xml:space="preserve">, será considerada </w:t>
      </w:r>
      <w:r w:rsidR="004E15EC" w:rsidRPr="706726C8">
        <w:rPr>
          <w:rFonts w:ascii="Verdana" w:eastAsia="Calibri" w:hAnsi="Verdana" w:cs="Arial"/>
          <w:lang w:val="es-ES"/>
        </w:rPr>
        <w:t>Mipymes</w:t>
      </w:r>
      <w:r w:rsidRPr="706726C8">
        <w:rPr>
          <w:rFonts w:ascii="Verdana" w:eastAsia="Calibri" w:hAnsi="Verdana" w:cs="Arial"/>
          <w:lang w:val="es-ES"/>
        </w:rPr>
        <w:t xml:space="preserve">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w:t>
      </w:r>
      <w:r w:rsidR="005A2D07" w:rsidRPr="706726C8">
        <w:rPr>
          <w:rFonts w:ascii="Verdana" w:eastAsia="Calibri" w:hAnsi="Verdana" w:cs="Arial"/>
          <w:lang w:val="es-ES"/>
        </w:rPr>
        <w:t>Mipymes</w:t>
      </w:r>
      <w:r w:rsidRPr="706726C8">
        <w:rPr>
          <w:rFonts w:ascii="Verdana" w:eastAsia="Calibri" w:hAnsi="Verdana" w:cs="Arial"/>
          <w:lang w:val="es-ES"/>
        </w:rPr>
        <w:t xml:space="preserve"> domiciliadas en un municipio o departamento son </w:t>
      </w:r>
      <w:r w:rsidR="005A2D07" w:rsidRPr="706726C8">
        <w:rPr>
          <w:rFonts w:ascii="Verdana" w:eastAsia="Calibri" w:hAnsi="Verdana" w:cs="Arial"/>
          <w:lang w:val="es-ES"/>
        </w:rPr>
        <w:t>Mipymes</w:t>
      </w:r>
      <w:r w:rsidRPr="706726C8">
        <w:rPr>
          <w:rFonts w:ascii="Verdana" w:eastAsia="Calibri" w:hAnsi="Verdana" w:cs="Arial"/>
          <w:lang w:val="es-ES"/>
        </w:rPr>
        <w:t xml:space="preserve"> nacionales. En consecuencia, no es procedente distinguir entre </w:t>
      </w:r>
      <w:r w:rsidR="005A2D07" w:rsidRPr="706726C8">
        <w:rPr>
          <w:rFonts w:ascii="Verdana" w:eastAsia="Calibri" w:hAnsi="Verdana" w:cs="Arial"/>
          <w:lang w:val="es-ES"/>
        </w:rPr>
        <w:t>Mipymes</w:t>
      </w:r>
      <w:r w:rsidRPr="706726C8">
        <w:rPr>
          <w:rFonts w:ascii="Verdana" w:eastAsia="Calibri" w:hAnsi="Verdana" w:cs="Arial"/>
          <w:lang w:val="es-ES"/>
        </w:rPr>
        <w:t xml:space="preserve"> </w:t>
      </w:r>
      <w:r w:rsidRPr="706726C8">
        <w:rPr>
          <w:rFonts w:ascii="Verdana" w:eastAsia="Calibri" w:hAnsi="Verdana" w:cs="Arial"/>
          <w:lang w:val="es-ES"/>
        </w:rPr>
        <w:lastRenderedPageBreak/>
        <w:t xml:space="preserve">nacionales y </w:t>
      </w:r>
      <w:r w:rsidR="005A2D07" w:rsidRPr="706726C8">
        <w:rPr>
          <w:rFonts w:ascii="Verdana" w:eastAsia="Calibri" w:hAnsi="Verdana" w:cs="Arial"/>
          <w:lang w:val="es-ES"/>
        </w:rPr>
        <w:t>Mipymes</w:t>
      </w:r>
      <w:r w:rsidRPr="706726C8">
        <w:rPr>
          <w:rFonts w:ascii="Verdana" w:eastAsia="Calibri" w:hAnsi="Verdana" w:cs="Arial"/>
          <w:lang w:val="es-ES"/>
        </w:rPr>
        <w:t xml:space="preserve"> municipales o departamentales, habida cuenta que estas últimas no existen como categoría dentro del ordenamiento normativo. </w:t>
      </w:r>
    </w:p>
    <w:p w14:paraId="53C2F7C6" w14:textId="77777777" w:rsidR="00FC5D28" w:rsidRPr="005B1F06" w:rsidRDefault="00FC5D28" w:rsidP="005A75AB">
      <w:pPr>
        <w:spacing w:after="0" w:line="276" w:lineRule="auto"/>
        <w:ind w:firstLine="708"/>
        <w:jc w:val="both"/>
        <w:rPr>
          <w:rFonts w:ascii="Verdana" w:eastAsia="Calibri" w:hAnsi="Verdana" w:cs="Arial"/>
          <w:lang w:val="es-ES_tradnl"/>
        </w:rPr>
      </w:pPr>
      <w:r w:rsidRPr="005B1F06">
        <w:rPr>
          <w:rFonts w:ascii="Verdana" w:eastAsia="Calibri" w:hAnsi="Verdana" w:cs="Arial"/>
          <w:lang w:val="es-ES_tradnl"/>
        </w:rPr>
        <w:t xml:space="preserve">El texto normativo dispone lo siguiente:  </w:t>
      </w:r>
    </w:p>
    <w:p w14:paraId="6601DE21" w14:textId="77777777" w:rsidR="005A2D07" w:rsidRDefault="005A2D07" w:rsidP="005A75AB">
      <w:pPr>
        <w:spacing w:after="0" w:line="276" w:lineRule="auto"/>
        <w:ind w:left="709" w:right="758" w:hanging="1"/>
        <w:jc w:val="both"/>
        <w:rPr>
          <w:rFonts w:ascii="Verdana" w:hAnsi="Verdana" w:cs="Arial"/>
          <w:sz w:val="20"/>
          <w:szCs w:val="20"/>
          <w:lang w:val="es-ES_tradnl"/>
        </w:rPr>
      </w:pPr>
    </w:p>
    <w:p w14:paraId="79A85033" w14:textId="17E4B034" w:rsidR="00FC5D28" w:rsidRPr="005B1F06" w:rsidRDefault="005A2D07" w:rsidP="005A75AB">
      <w:pPr>
        <w:spacing w:after="0" w:line="240" w:lineRule="auto"/>
        <w:ind w:left="709" w:right="758" w:hanging="1"/>
        <w:jc w:val="both"/>
        <w:rPr>
          <w:rFonts w:ascii="Verdana" w:hAnsi="Verdana" w:cs="Arial"/>
          <w:sz w:val="20"/>
          <w:szCs w:val="20"/>
          <w:lang w:val="es-ES_tradnl"/>
        </w:rPr>
      </w:pPr>
      <w:r>
        <w:rPr>
          <w:rFonts w:ascii="Verdana" w:hAnsi="Verdana" w:cs="Arial"/>
          <w:sz w:val="20"/>
          <w:szCs w:val="20"/>
          <w:lang w:val="es-ES_tradnl"/>
        </w:rPr>
        <w:t>“</w:t>
      </w:r>
      <w:r w:rsidR="00FC5D28" w:rsidRPr="005B1F06">
        <w:rPr>
          <w:rFonts w:ascii="Verdana" w:hAnsi="Verdana" w:cs="Arial"/>
          <w:sz w:val="20"/>
          <w:szCs w:val="20"/>
          <w:lang w:val="es-ES_tradnl"/>
        </w:rPr>
        <w:t>ARTÍCULO  5. Modificaci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de la Subsecci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2 de la Secci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4 del Cap</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tulo 2 del T</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tulo 1 de la Parte 2 del Libro 2 del Decreto 1082 de 2015. Modif</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quense los art</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culos 2.2.1.2.4.2.2., 2.2.1.2.4.2.3. y 2.2.1.2.4.2.4. de la Subsecci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2 de la Secci</w:t>
      </w:r>
      <w:r w:rsidR="00FC5D28" w:rsidRPr="005B1F06">
        <w:rPr>
          <w:rFonts w:ascii="Verdana" w:hAnsi="Verdana" w:cs="Century Gothic"/>
          <w:sz w:val="20"/>
          <w:szCs w:val="20"/>
          <w:lang w:val="es-ES_tradnl"/>
        </w:rPr>
        <w:t>ó</w:t>
      </w:r>
      <w:r w:rsidR="00FC5D28" w:rsidRPr="005B1F06">
        <w:rPr>
          <w:rFonts w:ascii="Verdana" w:hAnsi="Verdana" w:cs="Arial"/>
          <w:sz w:val="20"/>
          <w:szCs w:val="20"/>
          <w:lang w:val="es-ES_tradnl"/>
        </w:rPr>
        <w:t>n 4 del Cap</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tulo 2 del T</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tulo 1 de la Parte 2 del Libro 2 del Decreto 1082 de 2015, los cuales quedar</w:t>
      </w:r>
      <w:r w:rsidR="00FC5D28" w:rsidRPr="005B1F06">
        <w:rPr>
          <w:rFonts w:ascii="Verdana" w:hAnsi="Verdana" w:cs="Century Gothic"/>
          <w:sz w:val="20"/>
          <w:szCs w:val="20"/>
          <w:lang w:val="es-ES_tradnl"/>
        </w:rPr>
        <w:t>á</w:t>
      </w:r>
      <w:r w:rsidR="00FC5D28" w:rsidRPr="005B1F06">
        <w:rPr>
          <w:rFonts w:ascii="Verdana" w:hAnsi="Verdana" w:cs="Arial"/>
          <w:sz w:val="20"/>
          <w:szCs w:val="20"/>
          <w:lang w:val="es-ES_tradnl"/>
        </w:rPr>
        <w:t>n as</w:t>
      </w:r>
      <w:r w:rsidR="00FC5D28" w:rsidRPr="005B1F06">
        <w:rPr>
          <w:rFonts w:ascii="Verdana" w:hAnsi="Verdana" w:cs="Century Gothic"/>
          <w:sz w:val="20"/>
          <w:szCs w:val="20"/>
          <w:lang w:val="es-ES_tradnl"/>
        </w:rPr>
        <w:t>í</w:t>
      </w:r>
      <w:r w:rsidR="00FC5D28" w:rsidRPr="005B1F06">
        <w:rPr>
          <w:rFonts w:ascii="Verdana" w:hAnsi="Verdana" w:cs="Arial"/>
          <w:sz w:val="20"/>
          <w:szCs w:val="20"/>
          <w:lang w:val="es-ES_tradnl"/>
        </w:rPr>
        <w:t>:</w:t>
      </w:r>
    </w:p>
    <w:p w14:paraId="4919BC99" w14:textId="77777777" w:rsidR="00FC5D28" w:rsidRPr="005B1F06" w:rsidRDefault="00FC5D28" w:rsidP="005A75AB">
      <w:pPr>
        <w:spacing w:after="0" w:line="240" w:lineRule="auto"/>
        <w:ind w:left="709" w:right="758" w:hanging="1"/>
        <w:jc w:val="both"/>
        <w:rPr>
          <w:rFonts w:ascii="Verdana" w:hAnsi="Verdana" w:cs="Arial"/>
          <w:sz w:val="20"/>
          <w:szCs w:val="20"/>
          <w:lang w:val="es-ES_tradnl"/>
        </w:rPr>
      </w:pPr>
      <w:r w:rsidRPr="005B1F06">
        <w:rPr>
          <w:rFonts w:ascii="Verdana" w:hAnsi="Verdana" w:cs="Arial"/>
          <w:sz w:val="20"/>
          <w:szCs w:val="20"/>
          <w:lang w:val="es-ES_tradnl"/>
        </w:rPr>
        <w:t>[…]</w:t>
      </w:r>
    </w:p>
    <w:p w14:paraId="7B650E06" w14:textId="2B14854C" w:rsidR="00FC5D28" w:rsidRDefault="00FC5D28" w:rsidP="001D1E0F">
      <w:pPr>
        <w:spacing w:after="0" w:line="240" w:lineRule="auto"/>
        <w:ind w:left="709" w:right="709"/>
        <w:jc w:val="both"/>
        <w:rPr>
          <w:rFonts w:ascii="Verdana" w:hAnsi="Verdana" w:cs="Arial"/>
          <w:sz w:val="20"/>
          <w:szCs w:val="20"/>
          <w:lang w:val="es-ES_tradnl"/>
        </w:rPr>
      </w:pPr>
      <w:r w:rsidRPr="005B1F06">
        <w:rPr>
          <w:rFonts w:ascii="Verdana" w:hAnsi="Verdana" w:cs="Arial"/>
          <w:sz w:val="20"/>
          <w:szCs w:val="20"/>
          <w:lang w:val="es-ES_tradnl"/>
        </w:rPr>
        <w:t>ARTÍCULO 2.2.1.2.4.2.3. Limitaciones territoriales. De conformidad con el par</w:t>
      </w:r>
      <w:r w:rsidRPr="005B1F06">
        <w:rPr>
          <w:rFonts w:ascii="Verdana" w:hAnsi="Verdana" w:cs="Century Gothic"/>
          <w:sz w:val="20"/>
          <w:szCs w:val="20"/>
          <w:lang w:val="es-ES_tradnl"/>
        </w:rPr>
        <w:t>á</w:t>
      </w:r>
      <w:r w:rsidRPr="005B1F06">
        <w:rPr>
          <w:rFonts w:ascii="Verdana" w:hAnsi="Verdana" w:cs="Arial"/>
          <w:sz w:val="20"/>
          <w:szCs w:val="20"/>
          <w:lang w:val="es-ES_tradnl"/>
        </w:rPr>
        <w:t>grafo 1 del art</w:t>
      </w:r>
      <w:r w:rsidRPr="005B1F06">
        <w:rPr>
          <w:rFonts w:ascii="Verdana" w:hAnsi="Verdana" w:cs="Century Gothic"/>
          <w:sz w:val="20"/>
          <w:szCs w:val="20"/>
          <w:lang w:val="es-ES_tradnl"/>
        </w:rPr>
        <w:t>í</w:t>
      </w:r>
      <w:r w:rsidRPr="005B1F06">
        <w:rPr>
          <w:rFonts w:ascii="Verdana" w:hAnsi="Verdana" w:cs="Arial"/>
          <w:sz w:val="20"/>
          <w:szCs w:val="20"/>
          <w:lang w:val="es-ES_tradnl"/>
        </w:rPr>
        <w:t>culo 12 de la Ley 1150 de 2007, las Entidades Estatales, independientemente de su r</w:t>
      </w:r>
      <w:r w:rsidRPr="005B1F06">
        <w:rPr>
          <w:rFonts w:ascii="Verdana" w:hAnsi="Verdana" w:cs="Century Gothic"/>
          <w:sz w:val="20"/>
          <w:szCs w:val="20"/>
          <w:lang w:val="es-ES_tradnl"/>
        </w:rPr>
        <w:t>é</w:t>
      </w:r>
      <w:r w:rsidRPr="005B1F06">
        <w:rPr>
          <w:rFonts w:ascii="Verdana" w:hAnsi="Verdana" w:cs="Arial"/>
          <w:sz w:val="20"/>
          <w:szCs w:val="20"/>
          <w:lang w:val="es-ES_tradnl"/>
        </w:rPr>
        <w:t>gimen de contrataci</w:t>
      </w:r>
      <w:r w:rsidRPr="005B1F06">
        <w:rPr>
          <w:rFonts w:ascii="Verdana" w:hAnsi="Verdana" w:cs="Century Gothic"/>
          <w:sz w:val="20"/>
          <w:szCs w:val="20"/>
          <w:lang w:val="es-ES_tradnl"/>
        </w:rPr>
        <w:t>ó</w:t>
      </w:r>
      <w:r w:rsidRPr="005B1F06">
        <w:rPr>
          <w:rFonts w:ascii="Verdana" w:hAnsi="Verdana" w:cs="Arial"/>
          <w:sz w:val="20"/>
          <w:szCs w:val="20"/>
          <w:lang w:val="es-ES_tradnl"/>
        </w:rPr>
        <w:t>n, los patrimonios aut</w:t>
      </w:r>
      <w:r w:rsidRPr="005B1F06">
        <w:rPr>
          <w:rFonts w:ascii="Verdana" w:hAnsi="Verdana" w:cs="Century Gothic"/>
          <w:sz w:val="20"/>
          <w:szCs w:val="20"/>
          <w:lang w:val="es-ES_tradnl"/>
        </w:rPr>
        <w:t>ó</w:t>
      </w:r>
      <w:r w:rsidRPr="005B1F06">
        <w:rPr>
          <w:rFonts w:ascii="Verdana" w:hAnsi="Verdana" w:cs="Arial"/>
          <w:sz w:val="20"/>
          <w:szCs w:val="20"/>
          <w:lang w:val="es-ES_tradnl"/>
        </w:rPr>
        <w:t>nomos constituidos por Entidades Estatales y los particulares que ejecuten recursos p</w:t>
      </w:r>
      <w:r w:rsidRPr="005B1F06">
        <w:rPr>
          <w:rFonts w:ascii="Verdana" w:hAnsi="Verdana" w:cs="Century Gothic"/>
          <w:sz w:val="20"/>
          <w:szCs w:val="20"/>
          <w:lang w:val="es-ES_tradnl"/>
        </w:rPr>
        <w:t>ú</w:t>
      </w:r>
      <w:r w:rsidRPr="005B1F06">
        <w:rPr>
          <w:rFonts w:ascii="Verdana" w:hAnsi="Verdana" w:cs="Arial"/>
          <w:sz w:val="20"/>
          <w:szCs w:val="20"/>
          <w:lang w:val="es-ES_tradnl"/>
        </w:rPr>
        <w:t>blicos, pueden realizar convocatorias limitadas a MiPymes colombianas que tengan domicilio en los departamentos o municipios en donde se va a ejecutar el contrato. Cada MiPymes deber</w:t>
      </w:r>
      <w:r w:rsidRPr="005B1F06">
        <w:rPr>
          <w:rFonts w:ascii="Verdana" w:hAnsi="Verdana" w:cs="Century Gothic"/>
          <w:sz w:val="20"/>
          <w:szCs w:val="20"/>
          <w:lang w:val="es-ES_tradnl"/>
        </w:rPr>
        <w:t>á</w:t>
      </w:r>
      <w:r w:rsidRPr="005B1F06">
        <w:rPr>
          <w:rFonts w:ascii="Verdana" w:hAnsi="Verdana" w:cs="Arial"/>
          <w:sz w:val="20"/>
          <w:szCs w:val="20"/>
          <w:lang w:val="es-ES_tradnl"/>
        </w:rPr>
        <w:t xml:space="preserve"> acreditar su domicilio con los documentos a los que se refiere el siguiente artículo</w:t>
      </w:r>
      <w:r w:rsidR="005A2D07">
        <w:rPr>
          <w:rFonts w:ascii="Verdana" w:hAnsi="Verdana" w:cs="Arial"/>
          <w:sz w:val="20"/>
          <w:szCs w:val="20"/>
          <w:lang w:val="es-ES_tradnl"/>
        </w:rPr>
        <w:t>”</w:t>
      </w:r>
      <w:r w:rsidRPr="005B1F06">
        <w:rPr>
          <w:rFonts w:ascii="Verdana" w:hAnsi="Verdana" w:cs="Arial"/>
          <w:sz w:val="20"/>
          <w:szCs w:val="20"/>
          <w:lang w:val="es-ES_tradnl"/>
        </w:rPr>
        <w:t xml:space="preserve">. </w:t>
      </w:r>
    </w:p>
    <w:p w14:paraId="22053480" w14:textId="77777777" w:rsidR="001D1E0F" w:rsidRPr="005A75AB" w:rsidRDefault="001D1E0F" w:rsidP="005A75AB">
      <w:pPr>
        <w:spacing w:after="0" w:line="276" w:lineRule="auto"/>
        <w:ind w:left="709" w:right="709"/>
        <w:jc w:val="both"/>
        <w:rPr>
          <w:rFonts w:ascii="Verdana" w:eastAsia="Calibri" w:hAnsi="Verdana" w:cs="Arial"/>
          <w:lang w:val="es-ES_tradnl"/>
        </w:rPr>
      </w:pPr>
    </w:p>
    <w:p w14:paraId="6ED7F137" w14:textId="1F3FEA42" w:rsidR="00FC5D28" w:rsidRPr="005B1F06" w:rsidRDefault="00FC5D28" w:rsidP="00FC5D28">
      <w:pPr>
        <w:spacing w:after="120" w:line="276" w:lineRule="auto"/>
        <w:ind w:firstLine="709"/>
        <w:jc w:val="both"/>
        <w:rPr>
          <w:rFonts w:ascii="Verdana" w:eastAsia="Calibri" w:hAnsi="Verdana" w:cs="Arial"/>
          <w:lang w:val="es-ES"/>
        </w:rPr>
      </w:pPr>
      <w:r w:rsidRPr="706726C8">
        <w:rPr>
          <w:rFonts w:ascii="Verdana" w:eastAsia="Calibri" w:hAnsi="Verdana" w:cs="Arial"/>
          <w:lang w:val="es-ES"/>
        </w:rPr>
        <w:t xml:space="preserve">La norma reglamentaria coincide con la redacción del parágrafo 1 del artículo 34 de la Ley 2069 de 2020, según el cual, solo es posible limitar convocatorias a la participación de </w:t>
      </w:r>
      <w:r w:rsidR="001D1E0F" w:rsidRPr="706726C8">
        <w:rPr>
          <w:rFonts w:ascii="Verdana" w:eastAsia="Calibri" w:hAnsi="Verdana" w:cs="Arial"/>
          <w:lang w:val="es-ES"/>
        </w:rPr>
        <w:t>Mipymes</w:t>
      </w:r>
      <w:r w:rsidRPr="706726C8">
        <w:rPr>
          <w:rFonts w:ascii="Verdana" w:eastAsia="Calibri" w:hAnsi="Verdana" w:cs="Arial"/>
          <w:lang w:val="es-ES"/>
        </w:rPr>
        <w:t xml:space="preserve"> “[…] del ámbito municipal o departamental correspondiente al de la ejecución del contrato”. En tales términos, la norma citada solo contempla la posibilidad de limitar convocatorias a </w:t>
      </w:r>
      <w:r w:rsidR="00D13B30" w:rsidRPr="706726C8">
        <w:rPr>
          <w:rFonts w:ascii="Verdana" w:eastAsia="Calibri" w:hAnsi="Verdana" w:cs="Arial"/>
          <w:lang w:val="es-ES"/>
        </w:rPr>
        <w:t>Mipymes</w:t>
      </w:r>
      <w:r w:rsidRPr="706726C8">
        <w:rPr>
          <w:rFonts w:ascii="Verdana" w:eastAsia="Calibri" w:hAnsi="Verdana" w:cs="Arial"/>
          <w:lang w:val="es-ES"/>
        </w:rPr>
        <w:t xml:space="preserve"> con domicilio en esos dos tipos de entidades territoriales. </w:t>
      </w:r>
    </w:p>
    <w:p w14:paraId="6D4DC0B1" w14:textId="7618A0E1" w:rsidR="00FC5D28" w:rsidRPr="005B1F06" w:rsidRDefault="00FC5D28" w:rsidP="00FC5D28">
      <w:pPr>
        <w:spacing w:after="120" w:line="276" w:lineRule="auto"/>
        <w:ind w:firstLine="709"/>
        <w:jc w:val="both"/>
        <w:rPr>
          <w:rFonts w:ascii="Verdana" w:eastAsia="Arial" w:hAnsi="Verdana" w:cs="Arial"/>
          <w:color w:val="000000"/>
          <w:lang w:val="es-ES"/>
        </w:rPr>
      </w:pPr>
      <w:r w:rsidRPr="005B1F06">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r w:rsidR="00E52180" w:rsidRPr="005B1F06">
        <w:rPr>
          <w:rFonts w:ascii="Verdana" w:eastAsia="Arial" w:hAnsi="Verdana" w:cs="Arial"/>
          <w:color w:val="000000" w:themeColor="text1"/>
          <w:lang w:val="es-ES"/>
        </w:rPr>
        <w:t>Mipymes</w:t>
      </w:r>
      <w:r w:rsidRPr="005B1F06">
        <w:rPr>
          <w:rFonts w:ascii="Verdana" w:eastAsia="Arial" w:hAnsi="Verdana" w:cs="Arial"/>
          <w:color w:val="000000" w:themeColor="text1"/>
          <w:lang w:val="es-ES"/>
        </w:rPr>
        <w:t xml:space="preserve"> nacional. Además, las normas de contratación permiten que las </w:t>
      </w:r>
      <w:r w:rsidR="00E52180" w:rsidRPr="005B1F06">
        <w:rPr>
          <w:rFonts w:ascii="Verdana" w:eastAsia="Arial" w:hAnsi="Verdana" w:cs="Arial"/>
          <w:color w:val="000000" w:themeColor="text1"/>
          <w:lang w:val="es-ES"/>
        </w:rPr>
        <w:t>Mipymes</w:t>
      </w:r>
      <w:r w:rsidRPr="005B1F06">
        <w:rPr>
          <w:rFonts w:ascii="Verdana" w:eastAsia="Arial" w:hAnsi="Verdana" w:cs="Arial"/>
          <w:color w:val="000000" w:themeColor="text1"/>
          <w:lang w:val="es-ES"/>
        </w:rPr>
        <w:t xml:space="preserve"> nacionales puedan beneficiarse de la ejecución de un contrato dentro de la entidad territorial en la que tienen su “domicilio”. </w:t>
      </w:r>
    </w:p>
    <w:p w14:paraId="5AE62DED" w14:textId="2A9D9B12" w:rsidR="00FC5D28" w:rsidRPr="005B1F06" w:rsidRDefault="00FC5D28" w:rsidP="00FC5D28">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themeColor="text1"/>
          <w:lang w:val="es-ES"/>
        </w:rPr>
        <w:t xml:space="preserve">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previsto en la norma únicamente aplica en el lugar de ejecución del contratado en el que la </w:t>
      </w:r>
      <w:r w:rsidR="000F1050" w:rsidRPr="706726C8">
        <w:rPr>
          <w:rFonts w:ascii="Verdana" w:eastAsia="Arial" w:hAnsi="Verdana" w:cs="Arial"/>
          <w:color w:val="000000" w:themeColor="text1"/>
          <w:lang w:val="es-ES"/>
        </w:rPr>
        <w:t>Mipymes</w:t>
      </w:r>
      <w:r w:rsidRPr="706726C8">
        <w:rPr>
          <w:rFonts w:ascii="Verdana" w:eastAsia="Arial" w:hAnsi="Verdana" w:cs="Arial"/>
          <w:color w:val="000000" w:themeColor="text1"/>
          <w:lang w:val="es-ES"/>
        </w:rPr>
        <w:t xml:space="preserve"> tiene su “domicilio”, y no en donde tiene sucursales. </w:t>
      </w:r>
    </w:p>
    <w:p w14:paraId="4B7CBF07" w14:textId="77777777" w:rsidR="00FC5D28" w:rsidRPr="005B1F06" w:rsidRDefault="00FC5D28" w:rsidP="00FC5D28">
      <w:pPr>
        <w:spacing w:after="120" w:line="276" w:lineRule="auto"/>
        <w:ind w:firstLine="709"/>
        <w:jc w:val="both"/>
        <w:rPr>
          <w:rFonts w:ascii="Verdana" w:eastAsia="Arial" w:hAnsi="Verdana" w:cs="Arial"/>
          <w:color w:val="000000"/>
          <w:lang w:val="es-ES"/>
        </w:rPr>
      </w:pPr>
      <w:r w:rsidRPr="005B1F06">
        <w:rPr>
          <w:rFonts w:ascii="Verdana" w:eastAsia="Arial" w:hAnsi="Verdana" w:cs="Arial"/>
          <w:color w:val="000000" w:themeColor="text1"/>
          <w:lang w:val="es-ES"/>
        </w:rPr>
        <w:lastRenderedPageBreak/>
        <w:t>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w:t>
      </w:r>
      <w:r w:rsidRPr="7F14F77F">
        <w:rPr>
          <w:rFonts w:ascii="Century Gothic" w:eastAsia="Arial" w:hAnsi="Century Gothic" w:cs="Arial"/>
          <w:color w:val="000000" w:themeColor="text1"/>
          <w:lang w:val="es-ES"/>
        </w:rPr>
        <w:t xml:space="preserve"> </w:t>
      </w:r>
      <w:r w:rsidRPr="005B1F06">
        <w:rPr>
          <w:rFonts w:ascii="Verdana" w:eastAsia="Arial" w:hAnsi="Verdana" w:cs="Arial"/>
          <w:color w:val="000000" w:themeColor="text1"/>
          <w:lang w:val="es-ES"/>
        </w:rPr>
        <w:t xml:space="preserve">una o varias sucursales que son establecimientos de comercio, esto es, bienes mercantiles pertenecientes a la sociedad. En ese mismo sentido, los artículos 110 y 111 </w:t>
      </w:r>
      <w:r w:rsidRPr="005B1F06">
        <w:rPr>
          <w:rFonts w:ascii="Verdana" w:eastAsia="Arial" w:hAnsi="Verdana" w:cs="Arial"/>
          <w:i/>
          <w:color w:val="000000" w:themeColor="text1"/>
          <w:lang w:val="es-ES"/>
        </w:rPr>
        <w:t>ibídem</w:t>
      </w:r>
      <w:r w:rsidRPr="005B1F06">
        <w:rPr>
          <w:rFonts w:ascii="Verdana" w:eastAsia="Arial" w:hAnsi="Verdana" w:cs="Arial"/>
          <w:color w:val="000000" w:themeColor="text1"/>
          <w:lang w:val="es-E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De acuerdo con lo anterior, si el legislador distinguió entre uno y otro y si el reglamento se refiere al “domicilio”, se entiende que no es procedente extender el beneficio contenido en el artículo 2.2.1.2.4.2.3. </w:t>
      </w:r>
      <w:r w:rsidRPr="005B1F06">
        <w:rPr>
          <w:rFonts w:ascii="Verdana" w:eastAsia="Arial" w:hAnsi="Verdana" w:cs="Arial"/>
          <w:i/>
          <w:color w:val="000000" w:themeColor="text1"/>
          <w:lang w:val="es-ES"/>
        </w:rPr>
        <w:t xml:space="preserve">ibídem </w:t>
      </w:r>
      <w:r w:rsidRPr="005B1F06">
        <w:rPr>
          <w:rFonts w:ascii="Verdana" w:eastAsia="Arial" w:hAnsi="Verdana" w:cs="Arial"/>
          <w:color w:val="000000" w:themeColor="text1"/>
          <w:lang w:val="es-ES"/>
        </w:rPr>
        <w:t>a las entidades que tienen “sucursales” en el municipio o departamento en donde se va a ejecutar el contrato estatal.</w:t>
      </w:r>
    </w:p>
    <w:p w14:paraId="0BB958E5" w14:textId="0C03C9AC" w:rsidR="00FC5D28" w:rsidRPr="005B1F06" w:rsidRDefault="00FC5D28" w:rsidP="00FC5D28">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lang w:val="es-ES"/>
        </w:rPr>
        <w:t>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706726C8">
        <w:rPr>
          <w:rStyle w:val="Refdenotaalpie"/>
          <w:rFonts w:ascii="Verdana" w:eastAsia="Arial" w:hAnsi="Verdana" w:cs="Arial"/>
          <w:color w:val="000000"/>
          <w:lang w:val="es-ES"/>
        </w:rPr>
        <w:footnoteReference w:id="5"/>
      </w:r>
      <w:r w:rsidRPr="706726C8">
        <w:rPr>
          <w:rFonts w:ascii="Verdana" w:eastAsia="Arial" w:hAnsi="Verdana" w:cs="Arial"/>
          <w:color w:val="000000"/>
          <w:lang w:val="es-ES"/>
        </w:rPr>
        <w:t xml:space="preserve">. En ese sentido, si la entidad no recibió las solicitudes para limitar la convocatoria a </w:t>
      </w:r>
      <w:r w:rsidR="004526DF" w:rsidRPr="706726C8">
        <w:rPr>
          <w:rFonts w:ascii="Verdana" w:eastAsia="Arial" w:hAnsi="Verdana" w:cs="Arial"/>
          <w:color w:val="000000"/>
          <w:lang w:val="es-ES"/>
        </w:rPr>
        <w:t>Mipymes</w:t>
      </w:r>
      <w:r w:rsidRPr="706726C8">
        <w:rPr>
          <w:rFonts w:ascii="Verdana" w:eastAsia="Arial" w:hAnsi="Verdana" w:cs="Arial"/>
          <w:color w:val="000000"/>
          <w:lang w:val="es-ES"/>
        </w:rPr>
        <w:t xml:space="preserve">, no puede </w:t>
      </w:r>
      <w:r w:rsidRPr="706726C8">
        <w:rPr>
          <w:rFonts w:ascii="Verdana" w:eastAsia="Arial" w:hAnsi="Verdana" w:cs="Arial"/>
          <w:i/>
          <w:color w:val="000000"/>
          <w:lang w:val="es-ES"/>
        </w:rPr>
        <w:t xml:space="preserve">motu proprio </w:t>
      </w:r>
      <w:r w:rsidRPr="706726C8">
        <w:rPr>
          <w:rFonts w:ascii="Verdana" w:eastAsia="Arial" w:hAnsi="Verdana" w:cs="Arial"/>
          <w:color w:val="00000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60940B80" w14:textId="66A0A358" w:rsidR="00FC5D28" w:rsidRPr="005B1F06" w:rsidRDefault="00FC5D28" w:rsidP="00FC5D28">
      <w:pPr>
        <w:spacing w:after="120" w:line="276" w:lineRule="auto"/>
        <w:ind w:firstLine="708"/>
        <w:jc w:val="both"/>
        <w:rPr>
          <w:rFonts w:ascii="Verdana" w:hAnsi="Verdana" w:cs="Arial"/>
          <w:color w:val="000000" w:themeColor="text1"/>
        </w:rPr>
      </w:pPr>
      <w:r w:rsidRPr="005B1F06">
        <w:rPr>
          <w:rFonts w:ascii="Verdana" w:hAnsi="Verdana" w:cs="Arial"/>
          <w:color w:val="000000" w:themeColor="text1"/>
        </w:rPr>
        <w:lastRenderedPageBreak/>
        <w:t xml:space="preserve">Cumplidos los dos requisitos del artículo 2.2.1.2.4.2.2. </w:t>
      </w:r>
      <w:r w:rsidRPr="005B1F06">
        <w:rPr>
          <w:rFonts w:ascii="Verdana" w:hAnsi="Verdana" w:cs="Arial"/>
          <w:i/>
          <w:iCs/>
          <w:color w:val="000000" w:themeColor="text1"/>
        </w:rPr>
        <w:t>ibídem</w:t>
      </w:r>
      <w:r w:rsidRPr="005B1F06">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─no tienen que─ decidir si limitan la convocatoria a las </w:t>
      </w:r>
      <w:r w:rsidR="004526DF" w:rsidRPr="005B1F06">
        <w:rPr>
          <w:rFonts w:ascii="Verdana" w:hAnsi="Verdana" w:cs="Arial"/>
          <w:color w:val="000000" w:themeColor="text1"/>
        </w:rPr>
        <w:t>Mipymes</w:t>
      </w:r>
      <w:r w:rsidRPr="005B1F06">
        <w:rPr>
          <w:rFonts w:ascii="Verdana" w:hAnsi="Verdana" w:cs="Arial"/>
          <w:color w:val="000000" w:themeColor="text1"/>
        </w:rPr>
        <w:t xml:space="preserve"> colombianas domiciliadas en el municipio o departamento en el que se</w:t>
      </w:r>
      <w:r w:rsidRPr="001D4AC1">
        <w:rPr>
          <w:rFonts w:ascii="Century Gothic" w:hAnsi="Century Gothic" w:cs="Arial"/>
          <w:color w:val="000000" w:themeColor="text1"/>
        </w:rPr>
        <w:t xml:space="preserve"> </w:t>
      </w:r>
      <w:r w:rsidRPr="005B1F06">
        <w:rPr>
          <w:rFonts w:ascii="Verdana" w:hAnsi="Verdana" w:cs="Arial"/>
          <w:color w:val="000000" w:themeColor="text1"/>
        </w:rPr>
        <w:t>ejecutará el contrato</w:t>
      </w:r>
      <w:r w:rsidRPr="005B1F06">
        <w:rPr>
          <w:rFonts w:ascii="Verdana" w:hAnsi="Verdana" w:cs="Arial"/>
          <w:color w:val="000000" w:themeColor="text1"/>
          <w:vertAlign w:val="superscript"/>
        </w:rPr>
        <w:footnoteReference w:id="6"/>
      </w:r>
      <w:r w:rsidRPr="005B1F06">
        <w:rPr>
          <w:rFonts w:ascii="Verdana" w:hAnsi="Verdana" w:cs="Arial"/>
          <w:color w:val="000000" w:themeColor="text1"/>
        </w:rPr>
        <w:t xml:space="preserve">. Esto de acuerdo con lo establecido en artículo 2.2.1.2.4.2.3. del Decreto 1082 de 2015 </w:t>
      </w:r>
      <w:r w:rsidRPr="005B1F06">
        <w:rPr>
          <w:rFonts w:ascii="Verdana" w:eastAsia="Arial" w:hAnsi="Verdana" w:cs="Arial"/>
          <w:color w:val="000000"/>
          <w:lang w:val="es-ES_tradnl"/>
        </w:rPr>
        <w:t>modificado por el Decreto 1860 de 2021</w:t>
      </w:r>
      <w:r w:rsidRPr="005B1F06">
        <w:rPr>
          <w:rFonts w:ascii="Verdana" w:hAnsi="Verdana" w:cs="Arial"/>
          <w:color w:val="000000" w:themeColor="text1"/>
        </w:rPr>
        <w:t xml:space="preserve">, norma que se refiere a la facultad de la administración con el verbo infinitivo “poder”, no “deber”. </w:t>
      </w:r>
    </w:p>
    <w:p w14:paraId="2A8A2430" w14:textId="5BE9B65B" w:rsidR="00FC5D28" w:rsidRPr="005B1F06" w:rsidRDefault="00FC5D28" w:rsidP="00FC5D28">
      <w:pPr>
        <w:spacing w:after="120" w:line="276" w:lineRule="auto"/>
        <w:ind w:firstLine="709"/>
        <w:jc w:val="both"/>
        <w:rPr>
          <w:rFonts w:ascii="Verdana" w:eastAsia="Calibri" w:hAnsi="Verdana" w:cs="Arial"/>
          <w:color w:val="000000" w:themeColor="text1"/>
        </w:rPr>
      </w:pPr>
      <w:r w:rsidRPr="005B1F06">
        <w:rPr>
          <w:rFonts w:ascii="Verdana" w:eastAsia="Calibri" w:hAnsi="Verdana" w:cs="Arial"/>
          <w:color w:val="000000" w:themeColor="text1"/>
        </w:rPr>
        <w:t>Colombia Compra Eficiente ha sostenido que la decisión de limitar territorialmente un</w:t>
      </w:r>
      <w:r w:rsidRPr="005B1F06">
        <w:rPr>
          <w:rFonts w:ascii="Verdana" w:hAnsi="Verdana" w:cs="Arial"/>
          <w:color w:val="000000" w:themeColor="text1"/>
        </w:rPr>
        <w:t xml:space="preserve">a convocatoria a MiPymes </w:t>
      </w:r>
      <w:r w:rsidRPr="005B1F06">
        <w:rPr>
          <w:rFonts w:ascii="Verdana" w:eastAsia="Calibri" w:hAnsi="Verdana" w:cs="Arial"/>
          <w:color w:val="000000" w:themeColor="text1"/>
        </w:rPr>
        <w:t xml:space="preserve">es discrecional de la entidad, sin embargo, la decisión debe estar justificada en los correspondientes “estudios del sector”. Lo anterior por cuanto el </w:t>
      </w:r>
      <w:r w:rsidRPr="005B1F06">
        <w:rPr>
          <w:rFonts w:ascii="Verdana" w:hAnsi="Verdana" w:cs="Arial"/>
          <w:color w:val="000000" w:themeColor="text1"/>
        </w:rPr>
        <w:t xml:space="preserve">artículo 2.2.1.2.4.2.3. del Decreto 1082 de 2015, indicó que las </w:t>
      </w:r>
      <w:r w:rsidR="00EF6A17" w:rsidRPr="005B1F06">
        <w:rPr>
          <w:rFonts w:ascii="Verdana" w:hAnsi="Verdana" w:cs="Arial"/>
          <w:color w:val="000000" w:themeColor="text1"/>
        </w:rPr>
        <w:t>Mipymes</w:t>
      </w:r>
      <w:r w:rsidRPr="005B1F06">
        <w:rPr>
          <w:rFonts w:ascii="Verdana" w:eastAsia="Calibri" w:hAnsi="Verdana" w:cs="Arial"/>
          <w:color w:val="000000" w:themeColor="text1"/>
        </w:rPr>
        <w:t xml:space="preserve"> beneficiadas deben tener su domicilio principal en el municipio o departamento donde se ejecutará el contrato para poder participar en una convocatoria limitada territorialmente.</w:t>
      </w:r>
      <w:r w:rsidRPr="005B1F06">
        <w:rPr>
          <w:rStyle w:val="Refdenotaalpie"/>
          <w:rFonts w:ascii="Verdana" w:hAnsi="Verdana" w:cs="Arial"/>
          <w:color w:val="000000" w:themeColor="text1"/>
        </w:rPr>
        <w:footnoteReference w:id="7"/>
      </w:r>
      <w:r w:rsidRPr="005B1F06">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109B147D" w14:textId="1309490D" w:rsidR="00FC5D28" w:rsidRPr="005B1F06" w:rsidRDefault="00FC5D28" w:rsidP="00FC5D28">
      <w:pPr>
        <w:spacing w:after="120" w:line="276" w:lineRule="auto"/>
        <w:ind w:firstLine="709"/>
        <w:jc w:val="both"/>
        <w:rPr>
          <w:rFonts w:ascii="Verdana" w:eastAsia="Calibri" w:hAnsi="Verdana" w:cs="Arial"/>
          <w:color w:val="000000" w:themeColor="text1"/>
        </w:rPr>
      </w:pPr>
      <w:r w:rsidRPr="005B1F06">
        <w:rPr>
          <w:rFonts w:ascii="Verdana" w:hAnsi="Verdana" w:cs="Arial"/>
          <w:color w:val="000000" w:themeColor="text1"/>
        </w:rPr>
        <w:t>En tal sentido, s</w:t>
      </w:r>
      <w:r w:rsidRPr="005B1F06">
        <w:rPr>
          <w:rFonts w:ascii="Verdana" w:eastAsia="Calibri" w:hAnsi="Verdana" w:cs="Arial"/>
          <w:color w:val="000000" w:themeColor="text1"/>
        </w:rPr>
        <w:t>e debe tener presente que lo que sucede de pleno derecho es la</w:t>
      </w:r>
      <w:r w:rsidRPr="005B1F06">
        <w:rPr>
          <w:rFonts w:ascii="Verdana" w:hAnsi="Verdana" w:cs="Arial"/>
          <w:color w:val="000000" w:themeColor="text1"/>
        </w:rPr>
        <w:t xml:space="preserve"> limitación a </w:t>
      </w:r>
      <w:r w:rsidR="00E470F1" w:rsidRPr="005B1F06">
        <w:rPr>
          <w:rFonts w:ascii="Verdana" w:hAnsi="Verdana" w:cs="Arial"/>
          <w:color w:val="000000" w:themeColor="text1"/>
        </w:rPr>
        <w:t>Mipymes</w:t>
      </w:r>
      <w:r w:rsidRPr="005B1F06">
        <w:rPr>
          <w:rFonts w:ascii="Verdana" w:hAnsi="Verdana" w:cs="Arial"/>
          <w:color w:val="000000" w:themeColor="text1"/>
        </w:rPr>
        <w:t xml:space="preserve"> colombianas</w:t>
      </w:r>
      <w:r w:rsidRPr="005B1F06">
        <w:rPr>
          <w:rFonts w:ascii="Verdana" w:eastAsia="Calibri" w:hAnsi="Verdana" w:cs="Arial"/>
          <w:color w:val="000000" w:themeColor="text1"/>
        </w:rPr>
        <w:t xml:space="preserve"> a la que se refiere el artículo 2.2.1.2.4.2.2. del Decreto 1082 de 2015, pero no la “limitación territorial” referida en el artículo 2.2.1.2.4.2.3. </w:t>
      </w:r>
      <w:r w:rsidRPr="005B1F06">
        <w:rPr>
          <w:rFonts w:ascii="Verdana" w:eastAsia="Calibri" w:hAnsi="Verdana" w:cs="Arial"/>
          <w:i/>
          <w:iCs/>
          <w:color w:val="000000" w:themeColor="text1"/>
        </w:rPr>
        <w:t>ibídem</w:t>
      </w:r>
      <w:r w:rsidRPr="005B1F06">
        <w:rPr>
          <w:rFonts w:ascii="Verdana" w:eastAsia="Calibri" w:hAnsi="Verdana" w:cs="Arial"/>
          <w:color w:val="000000" w:themeColor="text1"/>
        </w:rPr>
        <w:t>, pues esta, como ya se dijo, es facultativa para la entidad. Las únicas exigencias son: i) que la convocatoria esté l</w:t>
      </w:r>
      <w:r w:rsidRPr="005B1F06">
        <w:rPr>
          <w:rFonts w:ascii="Verdana" w:hAnsi="Verdana" w:cs="Arial"/>
          <w:color w:val="000000" w:themeColor="text1"/>
        </w:rPr>
        <w:t xml:space="preserve">imitada a las </w:t>
      </w:r>
      <w:r w:rsidR="00180D43" w:rsidRPr="005B1F06">
        <w:rPr>
          <w:rFonts w:ascii="Verdana" w:hAnsi="Verdana" w:cs="Arial"/>
          <w:color w:val="000000" w:themeColor="text1"/>
        </w:rPr>
        <w:t>Mipymes</w:t>
      </w:r>
      <w:r w:rsidRPr="005B1F06">
        <w:rPr>
          <w:rFonts w:ascii="Verdana" w:hAnsi="Verdana" w:cs="Arial"/>
          <w:color w:val="000000" w:themeColor="text1"/>
        </w:rPr>
        <w:t xml:space="preserve"> colombianas</w:t>
      </w:r>
      <w:r w:rsidRPr="005B1F06">
        <w:rPr>
          <w:rFonts w:ascii="Verdana" w:eastAsia="Calibri" w:hAnsi="Verdana" w:cs="Arial"/>
          <w:color w:val="000000" w:themeColor="text1"/>
        </w:rPr>
        <w:t xml:space="preserve"> “domiciliadas en los departamentos o municipios en donde se va a ejecutar el contrato” y ii) que la entidad justifique su decisión en los “estudios del sector”. No es procedente, entonces, que sean las </w:t>
      </w:r>
      <w:r w:rsidR="00180D43" w:rsidRPr="005B1F06">
        <w:rPr>
          <w:rFonts w:ascii="Verdana" w:eastAsia="Calibri" w:hAnsi="Verdana" w:cs="Arial"/>
          <w:color w:val="000000" w:themeColor="text1"/>
        </w:rPr>
        <w:t>Mipymes</w:t>
      </w:r>
      <w:r w:rsidRPr="005B1F06">
        <w:rPr>
          <w:rFonts w:ascii="Verdana" w:eastAsia="Calibri" w:hAnsi="Verdana" w:cs="Arial"/>
          <w:color w:val="000000" w:themeColor="text1"/>
        </w:rPr>
        <w:t xml:space="preserve"> las que soliciten la “limitación territorial” a la que se refiere el artículo 2.2.1.2.4.2.3. del Decreto 1082 de 2015. </w:t>
      </w:r>
    </w:p>
    <w:p w14:paraId="286DCB17" w14:textId="2FEBAB31" w:rsidR="00FC5D28" w:rsidRPr="00A4749D" w:rsidRDefault="00FC5D28" w:rsidP="00FC5D28">
      <w:pPr>
        <w:spacing w:after="120" w:line="276" w:lineRule="auto"/>
        <w:ind w:firstLine="709"/>
        <w:jc w:val="both"/>
        <w:rPr>
          <w:rFonts w:ascii="Verdana" w:eastAsia="Calibri" w:hAnsi="Verdana" w:cs="Arial"/>
          <w:color w:val="000000" w:themeColor="text1"/>
        </w:rPr>
      </w:pPr>
      <w:r w:rsidRPr="005B1F06">
        <w:rPr>
          <w:rFonts w:ascii="Verdana" w:eastAsia="Calibri" w:hAnsi="Verdana" w:cs="Arial"/>
          <w:color w:val="000000" w:themeColor="text1"/>
        </w:rPr>
        <w:lastRenderedPageBreak/>
        <w:t>En tal sentido, se debe reite</w:t>
      </w:r>
      <w:r w:rsidRPr="005B1F06">
        <w:rPr>
          <w:rFonts w:ascii="Verdana" w:hAnsi="Verdana" w:cs="Arial"/>
          <w:color w:val="000000" w:themeColor="text1"/>
        </w:rPr>
        <w:t xml:space="preserve">rar que el origen de las </w:t>
      </w:r>
      <w:r w:rsidR="006D75FE" w:rsidRPr="005B1F06">
        <w:rPr>
          <w:rFonts w:ascii="Verdana" w:hAnsi="Verdana" w:cs="Arial"/>
          <w:color w:val="000000" w:themeColor="text1"/>
        </w:rPr>
        <w:t>Mipymes</w:t>
      </w:r>
      <w:r w:rsidRPr="005B1F06">
        <w:rPr>
          <w:rFonts w:ascii="Verdana" w:eastAsia="Calibri" w:hAnsi="Verdana" w:cs="Arial"/>
          <w:color w:val="000000" w:themeColor="text1"/>
        </w:rPr>
        <w:t xml:space="preserve"> que solicitan la “limitación territorial” no es relevante frente a dicha decisión, por dos razo</w:t>
      </w:r>
      <w:r w:rsidRPr="005B1F06">
        <w:rPr>
          <w:rFonts w:ascii="Verdana" w:hAnsi="Verdana" w:cs="Arial"/>
          <w:color w:val="000000" w:themeColor="text1"/>
        </w:rPr>
        <w:t>nes: primero, porque las MiPymes</w:t>
      </w:r>
      <w:r w:rsidRPr="005B1F06">
        <w:rPr>
          <w:rFonts w:ascii="Verdana" w:eastAsia="Calibri" w:hAnsi="Verdana" w:cs="Arial"/>
          <w:color w:val="000000" w:themeColor="text1"/>
        </w:rPr>
        <w:t xml:space="preserve"> no están habilitadas para pedir la “limitación territorial”, lo están para pedir la “convocatoria limitada a MiPymes”, y, segundo, porque el único criterio a tener en cuenta, una vez se ha decidido justificadamente</w:t>
      </w:r>
      <w:r w:rsidRPr="001D4AC1">
        <w:rPr>
          <w:rFonts w:ascii="Century Gothic" w:eastAsia="Calibri" w:hAnsi="Century Gothic" w:cs="Arial"/>
          <w:color w:val="000000" w:themeColor="text1"/>
        </w:rPr>
        <w:t xml:space="preserve"> </w:t>
      </w:r>
      <w:r w:rsidRPr="00A4749D">
        <w:rPr>
          <w:rFonts w:ascii="Verdana" w:eastAsia="Calibri" w:hAnsi="Verdana" w:cs="Arial"/>
          <w:color w:val="000000" w:themeColor="text1"/>
        </w:rPr>
        <w:t>limitar territorialmente la convocatori</w:t>
      </w:r>
      <w:r w:rsidRPr="00A4749D">
        <w:rPr>
          <w:rFonts w:ascii="Verdana" w:hAnsi="Verdana" w:cs="Arial"/>
          <w:color w:val="000000" w:themeColor="text1"/>
        </w:rPr>
        <w:t xml:space="preserve">a previamente limitada a </w:t>
      </w:r>
      <w:r w:rsidR="006D75FE" w:rsidRPr="00A4749D">
        <w:rPr>
          <w:rFonts w:ascii="Verdana" w:hAnsi="Verdana" w:cs="Arial"/>
          <w:color w:val="000000" w:themeColor="text1"/>
        </w:rPr>
        <w:t>Mipymes</w:t>
      </w:r>
      <w:r w:rsidRPr="00A4749D">
        <w:rPr>
          <w:rFonts w:ascii="Verdana" w:eastAsia="Calibri" w:hAnsi="Verdana" w:cs="Arial"/>
          <w:color w:val="000000" w:themeColor="text1"/>
        </w:rPr>
        <w:t>, es el lugar donde se va a ejecutar el contrato.</w:t>
      </w:r>
    </w:p>
    <w:p w14:paraId="1714F65E" w14:textId="1C5510C0" w:rsidR="00FC5D28" w:rsidRPr="00A4749D" w:rsidRDefault="00FC5D28" w:rsidP="005A75AB">
      <w:pPr>
        <w:spacing w:after="0" w:line="276" w:lineRule="auto"/>
        <w:ind w:firstLine="709"/>
        <w:jc w:val="both"/>
        <w:rPr>
          <w:rFonts w:ascii="Verdana" w:eastAsia="Arial" w:hAnsi="Verdana" w:cs="Arial"/>
          <w:color w:val="000000"/>
          <w:lang w:val="es-ES"/>
        </w:rPr>
      </w:pPr>
      <w:r w:rsidRPr="00A4749D">
        <w:rPr>
          <w:rFonts w:ascii="Verdana" w:eastAsia="Arial" w:hAnsi="Verdana" w:cs="Arial"/>
          <w:color w:val="000000" w:themeColor="text1"/>
          <w:lang w:val="es-ES"/>
        </w:rPr>
        <w:t xml:space="preserve">Conviene, igualmente, precisar que el domicilio de la </w:t>
      </w:r>
      <w:r w:rsidR="000266FB" w:rsidRPr="00A4749D">
        <w:rPr>
          <w:rFonts w:ascii="Verdana" w:eastAsia="Arial" w:hAnsi="Verdana" w:cs="Arial"/>
          <w:color w:val="000000" w:themeColor="text1"/>
          <w:lang w:val="es-ES"/>
        </w:rPr>
        <w:t>Mipymes</w:t>
      </w:r>
      <w:r w:rsidRPr="00A4749D">
        <w:rPr>
          <w:rFonts w:ascii="Verdana" w:eastAsia="Arial" w:hAnsi="Verdana" w:cs="Arial"/>
          <w:color w:val="000000" w:themeColor="text1"/>
          <w:lang w:val="es-ES"/>
        </w:rPr>
        <w:t xml:space="preserve"> que quiera participar en una convocatoria limitada territorialmente se acredita con los documentos definidos en el artículo 2.2.1.2.4.2.4. del Decreto 1082 de 2015, modificado por el Decreto 1860 de 2021, en el cual se establecen los requisitos para participar en convocatorias que hayan sido limitadas a MiPymes. De igual manera, en el parágrafo 2 de dicho artículo se definen los requisitos que deben acompañar la solicitud de limitación a </w:t>
      </w:r>
      <w:r w:rsidR="009239D7" w:rsidRPr="00A4749D">
        <w:rPr>
          <w:rFonts w:ascii="Verdana" w:eastAsia="Arial" w:hAnsi="Verdana" w:cs="Arial"/>
          <w:color w:val="000000" w:themeColor="text1"/>
          <w:lang w:val="es-ES"/>
        </w:rPr>
        <w:t>Mipymes</w:t>
      </w:r>
      <w:r w:rsidRPr="00A4749D">
        <w:rPr>
          <w:rFonts w:ascii="Verdana" w:eastAsia="Arial" w:hAnsi="Verdana" w:cs="Arial"/>
          <w:color w:val="000000" w:themeColor="text1"/>
          <w:lang w:val="es-ES"/>
        </w:rPr>
        <w:t>, al siguiente tenor:</w:t>
      </w:r>
    </w:p>
    <w:p w14:paraId="4C474C96" w14:textId="77777777" w:rsidR="000266FB" w:rsidRDefault="000266FB" w:rsidP="005A75AB">
      <w:pPr>
        <w:spacing w:after="0"/>
        <w:ind w:left="709" w:right="709"/>
        <w:jc w:val="both"/>
        <w:rPr>
          <w:rFonts w:ascii="Verdana" w:hAnsi="Verdana" w:cs="Arial"/>
          <w:sz w:val="20"/>
          <w:szCs w:val="20"/>
          <w:shd w:val="clear" w:color="auto" w:fill="FFFFFF"/>
        </w:rPr>
      </w:pPr>
    </w:p>
    <w:p w14:paraId="1A3C32CB" w14:textId="002FFE9C" w:rsidR="00FC5D28" w:rsidRDefault="00FC5D28" w:rsidP="000266FB">
      <w:pPr>
        <w:spacing w:after="0"/>
        <w:ind w:left="709" w:right="709"/>
        <w:jc w:val="both"/>
        <w:rPr>
          <w:rFonts w:ascii="Verdana" w:hAnsi="Verdana" w:cs="Arial"/>
          <w:sz w:val="20"/>
          <w:szCs w:val="20"/>
          <w:shd w:val="clear" w:color="auto" w:fill="FFFFFF"/>
        </w:rPr>
      </w:pPr>
      <w:r w:rsidRPr="00A4749D">
        <w:rPr>
          <w:rFonts w:ascii="Verdana" w:hAnsi="Verdana" w:cs="Arial"/>
          <w:sz w:val="20"/>
          <w:szCs w:val="20"/>
          <w:shd w:val="clear" w:color="auto" w:fill="FFFFFF"/>
        </w:rPr>
        <w:t xml:space="preserve">Para efectos de la limitación a MiPymes,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w:t>
      </w:r>
      <w:r w:rsidRPr="00A4749D">
        <w:rPr>
          <w:rFonts w:ascii="Verdana" w:hAnsi="Verdana" w:cs="Arial"/>
          <w:i/>
          <w:sz w:val="20"/>
          <w:szCs w:val="20"/>
          <w:shd w:val="clear" w:color="auto" w:fill="FFFFFF"/>
        </w:rPr>
        <w:t>para solicitar la convocatoria limitada</w:t>
      </w:r>
      <w:r w:rsidRPr="00A4749D">
        <w:rPr>
          <w:rFonts w:ascii="Verdana" w:hAnsi="Verdana" w:cs="Arial"/>
          <w:sz w:val="20"/>
          <w:szCs w:val="20"/>
          <w:shd w:val="clear" w:color="auto" w:fill="FFFFFF"/>
        </w:rPr>
        <w:t>. (Cursivas fuera del texto).</w:t>
      </w:r>
    </w:p>
    <w:p w14:paraId="14F8F883" w14:textId="77777777" w:rsidR="0087199B" w:rsidRDefault="0087199B" w:rsidP="0087199B">
      <w:pPr>
        <w:spacing w:after="0" w:line="276" w:lineRule="auto"/>
        <w:ind w:firstLine="709"/>
        <w:jc w:val="both"/>
        <w:rPr>
          <w:rFonts w:ascii="Verdana" w:eastAsia="Calibri" w:hAnsi="Verdana" w:cs="Arial"/>
          <w:lang w:val="es-ES"/>
        </w:rPr>
      </w:pPr>
    </w:p>
    <w:p w14:paraId="3052E944" w14:textId="2BBD49AF" w:rsidR="0087199B" w:rsidRPr="005A75AB" w:rsidRDefault="0087199B" w:rsidP="0087199B">
      <w:pPr>
        <w:spacing w:after="120" w:line="276" w:lineRule="auto"/>
        <w:ind w:firstLine="709"/>
        <w:jc w:val="both"/>
        <w:rPr>
          <w:rFonts w:ascii="Verdana" w:eastAsia="Calibri" w:hAnsi="Verdana" w:cs="Arial"/>
          <w:lang w:val="es-ES"/>
        </w:rPr>
      </w:pPr>
      <w:r w:rsidRPr="005A75AB">
        <w:rPr>
          <w:rFonts w:ascii="Verdana" w:eastAsia="Calibri" w:hAnsi="Verdana" w:cs="Arial"/>
          <w:lang w:val="es-ES"/>
        </w:rPr>
        <w:t xml:space="preserve">Con todo, respecto del objeto de la consulta es preciso advertir que, el ejercicio de la facultad discrecional en orden de aplicar la limitación territorial en favor de las Mipymes con domicilio en un municipio </w:t>
      </w:r>
      <w:r>
        <w:rPr>
          <w:rFonts w:ascii="Verdana" w:eastAsia="Calibri" w:hAnsi="Verdana" w:cs="Arial"/>
          <w:lang w:val="es-ES"/>
        </w:rPr>
        <w:t xml:space="preserve">o </w:t>
      </w:r>
      <w:r w:rsidRPr="005A75AB">
        <w:rPr>
          <w:rFonts w:ascii="Verdana" w:eastAsia="Calibri" w:hAnsi="Verdana" w:cs="Arial"/>
          <w:lang w:val="es-ES"/>
        </w:rPr>
        <w:t xml:space="preserve">en un departamento específico debe hacerse dentro del marco de lo regulado por el artículo 2.2.1.2.4.2.3 </w:t>
      </w:r>
      <w:r w:rsidRPr="005A75AB">
        <w:rPr>
          <w:rFonts w:ascii="Verdana" w:eastAsia="Calibri" w:hAnsi="Verdana" w:cs="Arial"/>
          <w:i/>
          <w:iCs/>
          <w:lang w:val="es-ES"/>
        </w:rPr>
        <w:t>ejusdem</w:t>
      </w:r>
      <w:r w:rsidRPr="005A75AB">
        <w:rPr>
          <w:rFonts w:ascii="Verdana" w:eastAsia="Calibri" w:hAnsi="Verdana" w:cs="Arial"/>
          <w:lang w:val="es-ES"/>
        </w:rPr>
        <w:t xml:space="preserve">, el cual establece como presupuesto para que las Mipymes tengan su domicilio en el lugar en donde se va a ejecutar el contrato. Esto significa que, en el marco de estas convocatorias, la exigibilidad de que el domicilio de las Mipymes se ubique en un único municipio en particular o en alguno de los municipios que conforman un departamento en concreto, está ligada al ámbito territorial en el que se va a desarrollar el objeto contractual. </w:t>
      </w:r>
    </w:p>
    <w:p w14:paraId="77CB9876" w14:textId="77777777" w:rsidR="0087199B" w:rsidRPr="005A75AB" w:rsidRDefault="0087199B" w:rsidP="0087199B">
      <w:pPr>
        <w:spacing w:line="276" w:lineRule="auto"/>
        <w:ind w:firstLine="708"/>
        <w:jc w:val="both"/>
        <w:rPr>
          <w:rFonts w:ascii="Verdana" w:eastAsia="Calibri" w:hAnsi="Verdana" w:cs="Arial"/>
          <w:lang w:val="es-ES"/>
        </w:rPr>
      </w:pPr>
      <w:r w:rsidRPr="005A75AB">
        <w:rPr>
          <w:rFonts w:ascii="Verdana" w:eastAsia="Calibri" w:hAnsi="Verdana" w:cs="Arial"/>
          <w:lang w:val="es-ES"/>
        </w:rPr>
        <w:t xml:space="preserve">De este modo, en el caso de un contrato que se va a ejecutar en su totalidad dentro del territorio de un municipio, la limitación territorial debe aplicarse en favor de las Mipyme que tengan su domicilio principal en dicha entidad territorial. En atención al mismo criterio, en el caso de un contrato cuya ejecución trasciende el ámbito municipal, extendiéndose a los diferentes </w:t>
      </w:r>
      <w:r w:rsidRPr="005A75AB">
        <w:rPr>
          <w:rFonts w:ascii="Verdana" w:eastAsia="Calibri" w:hAnsi="Verdana" w:cs="Arial"/>
          <w:lang w:val="es-ES"/>
        </w:rPr>
        <w:lastRenderedPageBreak/>
        <w:t xml:space="preserve">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58A4E100" w14:textId="7B1E050A" w:rsidR="0087199B" w:rsidRPr="001261BC" w:rsidRDefault="00025033" w:rsidP="0087199B">
      <w:pPr>
        <w:spacing w:before="120" w:line="276" w:lineRule="auto"/>
        <w:ind w:firstLine="709"/>
        <w:jc w:val="both"/>
        <w:rPr>
          <w:rFonts w:ascii="Verdana" w:eastAsia="Calibri" w:hAnsi="Verdana" w:cs="Arial"/>
          <w:lang w:eastAsia="es-MX"/>
        </w:rPr>
      </w:pPr>
      <w:r>
        <w:rPr>
          <w:rFonts w:ascii="Verdana" w:eastAsia="Calibri" w:hAnsi="Verdana" w:cs="Arial"/>
          <w:lang w:val="es-MX"/>
        </w:rPr>
        <w:t xml:space="preserve">Así las cosas, </w:t>
      </w:r>
      <w:r w:rsidR="0087199B" w:rsidRPr="001261BC">
        <w:rPr>
          <w:rFonts w:ascii="Verdana" w:eastAsia="Calibri" w:hAnsi="Verdana" w:cs="Arial"/>
          <w:lang w:val="es-MX"/>
        </w:rPr>
        <w:t>e</w:t>
      </w:r>
      <w:r w:rsidR="0087199B" w:rsidRPr="001261BC">
        <w:rPr>
          <w:rFonts w:ascii="Verdana" w:eastAsia="Calibri" w:hAnsi="Verdana" w:cs="Arial"/>
        </w:rPr>
        <w:t xml:space="preserve">sta Agencia considera que lo recomendable es que las entidades establezcan </w:t>
      </w:r>
      <w:r w:rsidR="0087199B" w:rsidRPr="001261BC">
        <w:rPr>
          <w:rFonts w:ascii="Verdana" w:eastAsia="Calibri" w:hAnsi="Verdana" w:cs="Arial"/>
          <w:i/>
          <w:iCs/>
        </w:rPr>
        <w:t>ex ante</w:t>
      </w:r>
      <w:r w:rsidR="0087199B" w:rsidRPr="001261BC">
        <w:rPr>
          <w:rFonts w:ascii="Verdana" w:eastAsia="Calibri" w:hAnsi="Verdana" w:cs="Arial"/>
        </w:rPr>
        <w:t xml:space="preserve"> las condiciones en las que, eventualmente, harían la </w:t>
      </w:r>
      <w:r>
        <w:rPr>
          <w:rFonts w:ascii="Verdana" w:eastAsia="Calibri" w:hAnsi="Verdana" w:cs="Arial"/>
        </w:rPr>
        <w:t>“</w:t>
      </w:r>
      <w:r w:rsidR="0087199B" w:rsidRPr="001261BC">
        <w:rPr>
          <w:rFonts w:ascii="Verdana" w:eastAsia="Calibri" w:hAnsi="Verdana" w:cs="Arial"/>
        </w:rPr>
        <w:t>limitación territorial</w:t>
      </w:r>
      <w:r>
        <w:rPr>
          <w:rFonts w:ascii="Verdana" w:eastAsia="Calibri" w:hAnsi="Verdana" w:cs="Arial"/>
        </w:rPr>
        <w:t>”</w:t>
      </w:r>
      <w:r w:rsidR="0087199B" w:rsidRPr="001261BC">
        <w:rPr>
          <w:rFonts w:ascii="Verdana" w:eastAsia="Calibri" w:hAnsi="Verdana" w:cs="Arial"/>
        </w:rPr>
        <w:t xml:space="preserve">. Para tales fines, en </w:t>
      </w:r>
      <w:r w:rsidR="00E56231">
        <w:rPr>
          <w:rFonts w:ascii="Verdana" w:eastAsia="Calibri" w:hAnsi="Verdana" w:cs="Arial"/>
        </w:rPr>
        <w:t xml:space="preserve">los documentos del proceso </w:t>
      </w:r>
      <w:r w:rsidR="0087199B" w:rsidRPr="001261BC">
        <w:rPr>
          <w:rFonts w:ascii="Verdana" w:eastAsia="Calibri" w:hAnsi="Verdana" w:cs="Arial"/>
        </w:rPr>
        <w:t xml:space="preserve">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r w:rsidR="00E56231" w:rsidRPr="00E56231">
        <w:rPr>
          <w:rFonts w:ascii="Verdana" w:eastAsia="Calibri" w:hAnsi="Verdana" w:cs="Arial"/>
        </w:rPr>
        <w:t>Mipymes</w:t>
      </w:r>
      <w:r w:rsidR="0087199B" w:rsidRPr="001261BC">
        <w:rPr>
          <w:rFonts w:ascii="Verdana" w:eastAsia="Calibri" w:hAnsi="Verdana" w:cs="Arial"/>
        </w:rPr>
        <w:t>, por ejemplo, en relación con cuál o cuáles municipios o departamentos harían la limitación territorial de que trata el artículo 2.2.1.2.4.2.3. del Decreto 1082 de 2015.</w:t>
      </w:r>
    </w:p>
    <w:p w14:paraId="12754388" w14:textId="300E2A9A" w:rsidR="00FC5D28" w:rsidRPr="00A4749D" w:rsidRDefault="00FC5D28" w:rsidP="009239D7">
      <w:pPr>
        <w:spacing w:after="0" w:line="276" w:lineRule="auto"/>
        <w:ind w:firstLine="709"/>
        <w:jc w:val="both"/>
        <w:rPr>
          <w:rFonts w:ascii="Verdana" w:eastAsia="Calibri" w:hAnsi="Verdana" w:cs="Arial"/>
          <w:lang w:val="es-ES"/>
        </w:rPr>
      </w:pPr>
      <w:r w:rsidRPr="00A4749D">
        <w:rPr>
          <w:rFonts w:ascii="Verdana" w:eastAsia="Calibri" w:hAnsi="Verdana" w:cs="Arial"/>
          <w:lang w:val="es-ES"/>
        </w:rPr>
        <w:t xml:space="preserve">Por último, según se explicó con anterioridad, actualmente el procedimiento de mínima cuantía se encuentra reglamentado por el artículo 2.2.1.2.1.5.2. del Decreto 1082 de 2015, modificado por el artículo 2 del Decreto 1860 de 2021. El numeral 3 del artículo en mención establece que “La invitación se publicará por un término no inferior a un (1) día hábil para que los interesados se informen de su contenido y formulen observaciones o comentarios […]” y que “De conformidad con el parágrafo del presente artículo, dentro del mismo término para formular observaciones se podrán presentar las solicitudes para limitar la convocatoria a MiPymes colombianas”. Adicionalmente, el numeral 4 dispone que en el cronograma se debe señalar “El momento en que publicará un aviso en el SECOP precisando si el proceso efectivamente se limitó a MiPymes o si podrá participar cualquier otro interesado”. Por otra parte, también es importante tener en cuenta el parágrafo del artículo 2.2.1.2.1.5.2., a cuyo tenor: </w:t>
      </w:r>
    </w:p>
    <w:p w14:paraId="3AE33D53" w14:textId="77777777" w:rsidR="009239D7" w:rsidRPr="0087199B" w:rsidRDefault="009239D7" w:rsidP="001261BC">
      <w:pPr>
        <w:spacing w:after="0" w:line="276" w:lineRule="auto"/>
        <w:ind w:firstLine="709"/>
        <w:jc w:val="both"/>
        <w:rPr>
          <w:rFonts w:ascii="Verdana" w:eastAsia="Calibri" w:hAnsi="Verdana" w:cs="Arial"/>
          <w:lang w:val="es-ES"/>
        </w:rPr>
      </w:pPr>
    </w:p>
    <w:p w14:paraId="37AC6B35" w14:textId="77777777" w:rsidR="00FC5D28" w:rsidRPr="00A4749D" w:rsidRDefault="00FC5D28" w:rsidP="00FC5D28">
      <w:pPr>
        <w:ind w:left="709" w:right="709"/>
        <w:jc w:val="both"/>
        <w:rPr>
          <w:rFonts w:ascii="Verdana" w:eastAsia="Calibri" w:hAnsi="Verdana" w:cs="Arial"/>
          <w:sz w:val="20"/>
          <w:szCs w:val="20"/>
        </w:rPr>
      </w:pPr>
      <w:r w:rsidRPr="00A4749D">
        <w:rPr>
          <w:rFonts w:ascii="Verdana" w:eastAsia="Calibri" w:hAnsi="Verdana" w:cs="Arial"/>
          <w:sz w:val="20"/>
          <w:szCs w:val="20"/>
        </w:rPr>
        <w:t>De conformidad con el parágrafo 1 del artículo 30 y el artículo 34 de la Ley 2069 de 2020, en estos procedimientos de selección para MiPymes se aplicará lo prescrito en los artículos 2.2.1.2.4.2.2 a 2.2.1.2.4.2.4 de este Decreto. No obstante, de conformidad con el numeral 3 del presente artículo, las solicitudes para limitar el proceso a MiPymes se recibirán durante el término previsto en dicho numeral. Además, en el aviso de que trata el numeral 4 de este artículo se indicará si en el proceso aplican las limitaciones territoriales de que trata el artículo 2.2.1.2.4.2.3 o si podrá participar cualquier MiPymes nacional.</w:t>
      </w:r>
    </w:p>
    <w:p w14:paraId="6C99AFEF" w14:textId="7208BF50" w:rsidR="00FC5D28" w:rsidRPr="00A4749D" w:rsidRDefault="00FC5D28" w:rsidP="00FC5D28">
      <w:pPr>
        <w:spacing w:after="120" w:line="276" w:lineRule="auto"/>
        <w:ind w:firstLine="708"/>
        <w:jc w:val="both"/>
        <w:rPr>
          <w:rFonts w:ascii="Verdana" w:eastAsia="Calibri" w:hAnsi="Verdana" w:cs="Arial"/>
          <w:lang w:val="es-ES"/>
        </w:rPr>
      </w:pPr>
      <w:r w:rsidRPr="00A4749D">
        <w:rPr>
          <w:rFonts w:ascii="Verdana" w:eastAsia="Calibri" w:hAnsi="Verdana" w:cs="Arial"/>
          <w:lang w:val="es-ES"/>
        </w:rPr>
        <w:lastRenderedPageBreak/>
        <w:t>Con base en lo anterior, en el procedimiento de mínima cuantía, la limitac</w:t>
      </w:r>
      <w:r w:rsidRPr="00A4749D">
        <w:rPr>
          <w:rFonts w:ascii="Verdana" w:hAnsi="Verdana" w:cs="Arial"/>
          <w:lang w:val="es-ES"/>
        </w:rPr>
        <w:t xml:space="preserve">ión de la convocatoria a </w:t>
      </w:r>
      <w:r w:rsidR="000074D5" w:rsidRPr="00A4749D">
        <w:rPr>
          <w:rFonts w:ascii="Verdana" w:hAnsi="Verdana" w:cs="Arial"/>
          <w:lang w:val="es-ES"/>
        </w:rPr>
        <w:t>Mipymes</w:t>
      </w:r>
      <w:r w:rsidRPr="00A4749D">
        <w:rPr>
          <w:rFonts w:ascii="Verdana" w:eastAsia="Calibri" w:hAnsi="Verdana" w:cs="Arial"/>
          <w:lang w:val="es-ES"/>
        </w:rPr>
        <w:t xml:space="preserve"> se debe hacer mediante la publicación de un aviso en el SECOP, luego de analizadas las solicitudes presentadas dentro del término de publicación de la invitación previsto en el numeral 3 del artículo 2.2.1.2.1.5.2. del Decreto 1082 de 2015, modificado por el artículo 2 del Decreto 1860 de 2021. De igual modo, en dicho aviso, se deberá indicar si en el proceso pueden participar las MiPymes domiciliadas en el municipio o departamento, según corresponda, o cualquier MiPymes nacional. </w:t>
      </w:r>
    </w:p>
    <w:p w14:paraId="5EFF624D" w14:textId="77777777" w:rsidR="00FC5D28" w:rsidRPr="00A4749D" w:rsidRDefault="00FC5D28" w:rsidP="00FC5D28">
      <w:pPr>
        <w:spacing w:after="0"/>
        <w:ind w:firstLine="709"/>
        <w:jc w:val="both"/>
        <w:rPr>
          <w:rFonts w:ascii="Verdana" w:eastAsia="Calibri" w:hAnsi="Verdana" w:cs="Arial"/>
        </w:rPr>
      </w:pPr>
      <w:r>
        <w:rPr>
          <w:rFonts w:ascii="Verdana" w:hAnsi="Verdana" w:cs="Arial"/>
          <w:color w:val="000000" w:themeColor="text1"/>
        </w:rPr>
        <w:t>En conclusión</w:t>
      </w:r>
      <w:r w:rsidRPr="00A4749D">
        <w:rPr>
          <w:rFonts w:ascii="Verdana" w:hAnsi="Verdana" w:cs="Arial"/>
          <w:color w:val="000000" w:themeColor="text1"/>
        </w:rPr>
        <w:t xml:space="preserve">, </w:t>
      </w:r>
      <w:r w:rsidRPr="00A4749D">
        <w:rPr>
          <w:rFonts w:ascii="Verdana" w:eastAsia="Calibri" w:hAnsi="Verdana" w:cs="Arial"/>
          <w:color w:val="000000" w:themeColor="text1"/>
        </w:rPr>
        <w:t>lo que debe adoptarse obligatoriamente es la</w:t>
      </w:r>
      <w:r w:rsidRPr="00A4749D">
        <w:rPr>
          <w:rFonts w:ascii="Verdana" w:hAnsi="Verdana" w:cs="Arial"/>
          <w:color w:val="000000" w:themeColor="text1"/>
        </w:rPr>
        <w:t xml:space="preserve"> limitación a MiPymes colombianas</w:t>
      </w:r>
      <w:r w:rsidRPr="00A4749D">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r w:rsidRPr="00A4749D">
        <w:rPr>
          <w:rFonts w:ascii="Verdana" w:eastAsia="Calibri" w:hAnsi="Verdana" w:cs="Arial"/>
          <w:i/>
          <w:iCs/>
          <w:color w:val="000000" w:themeColor="text1"/>
        </w:rPr>
        <w:t>ibídem</w:t>
      </w:r>
      <w:r w:rsidRPr="00A4749D">
        <w:rPr>
          <w:rFonts w:ascii="Verdana" w:eastAsia="Calibri" w:hAnsi="Verdana" w:cs="Arial"/>
          <w:color w:val="000000" w:themeColor="text1"/>
        </w:rPr>
        <w:t>, pues esta es facultativa para la Entidad. Las únicas exigencias son que la convocatoria esté l</w:t>
      </w:r>
      <w:r w:rsidRPr="00A4749D">
        <w:rPr>
          <w:rFonts w:ascii="Verdana" w:hAnsi="Verdana" w:cs="Arial"/>
          <w:color w:val="000000" w:themeColor="text1"/>
        </w:rPr>
        <w:t>imitada a las Mipyme colombianas</w:t>
      </w:r>
      <w:r w:rsidRPr="00A4749D">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C02F37">
        <w:rPr>
          <w:rStyle w:val="Refdenotaalpie"/>
          <w:rFonts w:ascii="Verdana" w:eastAsia="Calibri" w:hAnsi="Verdana" w:cs="Arial"/>
          <w:color w:val="000000" w:themeColor="text1"/>
        </w:rPr>
        <w:footnoteReference w:id="8"/>
      </w:r>
      <w:r>
        <w:rPr>
          <w:rFonts w:ascii="Verdana" w:eastAsia="Calibri" w:hAnsi="Verdana" w:cs="Arial"/>
          <w:color w:val="000000" w:themeColor="text1"/>
        </w:rPr>
        <w:t>.</w:t>
      </w:r>
      <w:r w:rsidRPr="00A4749D">
        <w:rPr>
          <w:rFonts w:ascii="Verdana" w:eastAsia="Calibri" w:hAnsi="Verdana" w:cs="Arial"/>
          <w:color w:val="000000" w:themeColor="text1"/>
        </w:rPr>
        <w:t xml:space="preserve"> No es procedente, entonces, que sean las MiPymes las que soliciten la “limitación territorial” a la que se refiere el artículo 2.2.1.2.4.2.3 del Decreto 1082 de 2015. </w:t>
      </w:r>
    </w:p>
    <w:p w14:paraId="066B1531" w14:textId="77777777" w:rsidR="00FC5D28" w:rsidRPr="00542EFB" w:rsidRDefault="00FC5D28" w:rsidP="00FC5D28">
      <w:pPr>
        <w:spacing w:after="0" w:line="276" w:lineRule="auto"/>
        <w:jc w:val="both"/>
        <w:rPr>
          <w:rFonts w:ascii="Verdana" w:eastAsia="Calibri" w:hAnsi="Verdana" w:cs="Arial"/>
          <w:lang w:val="es-ES"/>
        </w:rPr>
      </w:pPr>
    </w:p>
    <w:bookmarkEnd w:id="2"/>
    <w:p w14:paraId="5518BDE2" w14:textId="77777777" w:rsidR="00FC5D28" w:rsidRPr="00ED7249" w:rsidRDefault="00FC5D28" w:rsidP="000074D5">
      <w:pPr>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p w14:paraId="570CC53F" w14:textId="77777777" w:rsidR="005A1810" w:rsidRPr="000074D5" w:rsidRDefault="005A1810" w:rsidP="001261BC">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C5D28" w:rsidRPr="00F71A6A" w14:paraId="0D276176" w14:textId="77777777" w:rsidTr="00A82F73">
        <w:trPr>
          <w:trHeight w:val="632"/>
        </w:trPr>
        <w:tc>
          <w:tcPr>
            <w:tcW w:w="8647" w:type="dxa"/>
          </w:tcPr>
          <w:p w14:paraId="31397313" w14:textId="77777777" w:rsidR="00FC5D28" w:rsidRPr="00126826" w:rsidRDefault="00FC5D28" w:rsidP="001261BC">
            <w:pPr>
              <w:pStyle w:val="Prrafodelista"/>
              <w:numPr>
                <w:ilvl w:val="0"/>
                <w:numId w:val="17"/>
              </w:numPr>
              <w:spacing w:line="276" w:lineRule="auto"/>
              <w:contextualSpacing w:val="0"/>
              <w:jc w:val="both"/>
              <w:rPr>
                <w:rFonts w:ascii="Verdana" w:eastAsia="Calibri" w:hAnsi="Verdana" w:cs="Arial"/>
                <w:lang w:val="es-ES_tradnl"/>
              </w:rPr>
            </w:pPr>
            <w:r w:rsidRPr="00126826">
              <w:rPr>
                <w:rFonts w:ascii="Verdana" w:eastAsia="Calibri" w:hAnsi="Verdana" w:cs="Arial"/>
                <w:lang w:val="es-ES_tradnl"/>
              </w:rPr>
              <w:t xml:space="preserve">Código de Comercio. Artículos 110, 111 y 263. </w:t>
            </w:r>
          </w:p>
          <w:p w14:paraId="04006FEE"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eastAsia="Calibri" w:hAnsi="Verdana" w:cs="Arial"/>
                <w:lang w:val="es-ES_tradnl"/>
              </w:rPr>
              <w:t>Ley 590 de 2000</w:t>
            </w:r>
            <w:r>
              <w:rPr>
                <w:rFonts w:ascii="Verdana" w:eastAsia="Calibri" w:hAnsi="Verdana" w:cs="Arial"/>
                <w:lang w:val="es-ES_tradnl"/>
              </w:rPr>
              <w:t>.</w:t>
            </w:r>
          </w:p>
          <w:p w14:paraId="1FD2B0A4"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 xml:space="preserve">Ley 1150 de 2007. Artículo 2 numeral 5. </w:t>
            </w:r>
          </w:p>
          <w:p w14:paraId="70CF3960"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lastRenderedPageBreak/>
              <w:t xml:space="preserve">Decreto 1082 de 2015. Artículos </w:t>
            </w:r>
            <w:r w:rsidRPr="00126826">
              <w:rPr>
                <w:rFonts w:ascii="Verdana" w:hAnsi="Verdana" w:cs="Arial"/>
                <w:bCs/>
                <w:lang w:eastAsia="es-ES"/>
              </w:rPr>
              <w:t xml:space="preserve">2.2.1.2.4.2.2., 2.2.1.2.4.2.3., 2.2.1.2.4.2.4., </w:t>
            </w:r>
            <w:r w:rsidRPr="00126826">
              <w:rPr>
                <w:rFonts w:ascii="Verdana" w:eastAsia="Calibri" w:hAnsi="Verdana" w:cs="Arial"/>
                <w:color w:val="000000" w:themeColor="text1"/>
              </w:rPr>
              <w:t xml:space="preserve">2.2.1.2.1.5.1., </w:t>
            </w:r>
            <w:r w:rsidRPr="00126826">
              <w:rPr>
                <w:rFonts w:ascii="Verdana" w:hAnsi="Verdana"/>
              </w:rPr>
              <w:t xml:space="preserve">2.2.1.2.1.5.2., </w:t>
            </w:r>
            <w:r w:rsidRPr="00126826">
              <w:rPr>
                <w:rFonts w:ascii="Verdana" w:eastAsia="Calibri" w:hAnsi="Verdana" w:cs="Arial"/>
                <w:color w:val="000000" w:themeColor="text1"/>
              </w:rPr>
              <w:t>2.2.1.2.1.5.3., 2.2.1.2.1.5.4., 2.2.1.2.1.5.5.</w:t>
            </w:r>
          </w:p>
          <w:p w14:paraId="58D901BF"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eastAsia="Calibri" w:hAnsi="Verdana" w:cs="Arial"/>
                <w:lang w:val="es-ES_tradnl"/>
              </w:rPr>
              <w:t>Decreto 957 de 2019</w:t>
            </w:r>
            <w:r>
              <w:rPr>
                <w:rFonts w:ascii="Verdana" w:eastAsia="Calibri" w:hAnsi="Verdana" w:cs="Arial"/>
                <w:lang w:val="es-ES_tradnl"/>
              </w:rPr>
              <w:t>.</w:t>
            </w:r>
          </w:p>
          <w:p w14:paraId="1824EF8E"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Ley 2069 de 2020. Artículos 30 y 34.</w:t>
            </w:r>
          </w:p>
          <w:p w14:paraId="5C06D507"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Decreto 1860 de 2021. Artículos 2, 5 y 8.</w:t>
            </w:r>
          </w:p>
        </w:tc>
      </w:tr>
    </w:tbl>
    <w:p w14:paraId="3AD29F45" w14:textId="77777777" w:rsidR="00FC5D28" w:rsidRDefault="00FC5D28" w:rsidP="00FC5D2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D34E4C5" w14:textId="77777777" w:rsidR="00FC5D28" w:rsidRPr="00F71A6A" w:rsidRDefault="00FC5D28" w:rsidP="00FC5D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lang w:val="es-CO"/>
        </w:rPr>
        <w:t xml:space="preserve">5. </w:t>
      </w:r>
      <w:r w:rsidRPr="00F71A6A">
        <w:rPr>
          <w:rFonts w:ascii="Verdana" w:eastAsia="Century Gothic" w:hAnsi="Verdana" w:cs="Century Gothic"/>
          <w:b/>
          <w:bCs/>
        </w:rPr>
        <w:t>Doctrina de la Agencia Nacional de Contratación Pública:</w:t>
      </w:r>
    </w:p>
    <w:p w14:paraId="31393714" w14:textId="77777777" w:rsidR="00FC5D28" w:rsidRDefault="00FC5D28" w:rsidP="001261BC">
      <w:pPr>
        <w:spacing w:after="0" w:line="276" w:lineRule="auto"/>
        <w:jc w:val="both"/>
        <w:rPr>
          <w:rFonts w:ascii="Verdana" w:eastAsia="Calibri" w:hAnsi="Verdana" w:cs="Arial"/>
          <w:lang w:eastAsia="es-ES_tradnl"/>
        </w:rPr>
      </w:pPr>
    </w:p>
    <w:p w14:paraId="7B02C81D" w14:textId="77777777" w:rsidR="00FC5D28" w:rsidRDefault="00FC5D28" w:rsidP="000074D5">
      <w:pPr>
        <w:spacing w:after="0" w:line="276" w:lineRule="auto"/>
        <w:jc w:val="both"/>
        <w:rPr>
          <w:rFonts w:ascii="Verdana" w:hAnsi="Verdana" w:cs="Arial"/>
          <w:shd w:val="clear" w:color="auto" w:fill="FFFFFF"/>
        </w:rPr>
      </w:pPr>
      <w:r w:rsidRPr="009C1EEE">
        <w:rPr>
          <w:rFonts w:ascii="Verdana" w:hAnsi="Verdana" w:cs="Arial"/>
          <w:shd w:val="clear" w:color="auto" w:fill="FFFFFF"/>
          <w:lang w:val="es-ES"/>
        </w:rPr>
        <w:t xml:space="preserve">Sobre las convocatorias limitadas a </w:t>
      </w:r>
      <w:r>
        <w:rPr>
          <w:rFonts w:ascii="Verdana" w:hAnsi="Verdana" w:cs="Arial"/>
          <w:shd w:val="clear" w:color="auto" w:fill="FFFFFF"/>
          <w:lang w:val="es-ES"/>
        </w:rPr>
        <w:t>MiPymes</w:t>
      </w:r>
      <w:r w:rsidRPr="009C1EEE">
        <w:rPr>
          <w:rFonts w:ascii="Verdana" w:hAnsi="Verdana" w:cs="Arial"/>
          <w:shd w:val="clear" w:color="auto" w:fill="FFFFFF"/>
          <w:lang w:val="es-ES"/>
        </w:rPr>
        <w:t xml:space="preserve">, según la modificación realizada por el Decreto 1860 de 2021 al Decreto 1082 de 2015, esta Subdirección se ha referido en los Conceptos </w:t>
      </w:r>
      <w:r>
        <w:rPr>
          <w:rFonts w:ascii="Verdana" w:hAnsi="Verdana" w:cs="Arial"/>
          <w:shd w:val="clear" w:color="auto" w:fill="FFFFFF"/>
          <w:lang w:val="es-ES"/>
        </w:rPr>
        <w:t>C</w:t>
      </w:r>
      <w:r w:rsidRPr="00126826">
        <w:rPr>
          <w:rFonts w:ascii="Verdana" w:hAnsi="Verdana" w:cs="Arial"/>
          <w:shd w:val="clear" w:color="auto" w:fill="FFFFFF"/>
          <w:lang w:val="es-ES"/>
        </w:rPr>
        <w:t>-037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del 17 de febrero de 2022, C-293 del 12 de abril de 2022, C-490 del 26 de julio de 2022, C-523 del 16 de agosto de 2022, C-539 del 29 de agosto de 2022, C-585 del 19 de septiembre de 2022, C-587 del 21 de septiembre de 2022, C-597 del 9 de septiembre de 2022, C-627 del 12 de septiembre de 2022, C-643 del 10 de octubre de 2022, C- 662 del 13 de octubre de 2022, C-699 del 25 de octubre de 2022, C-744 del 08 de noviembre de 2022, C-758 del 10 de noviembre de 2022</w:t>
      </w:r>
      <w:r>
        <w:rPr>
          <w:rFonts w:ascii="Verdana" w:hAnsi="Verdana" w:cs="Arial"/>
          <w:shd w:val="clear" w:color="auto" w:fill="FFFFFF"/>
          <w:lang w:val="es-ES"/>
        </w:rPr>
        <w:t>,</w:t>
      </w:r>
      <w:r w:rsidRPr="00126826">
        <w:rPr>
          <w:rFonts w:ascii="Verdana" w:hAnsi="Verdana" w:cs="Arial"/>
          <w:shd w:val="clear" w:color="auto" w:fill="FFFFFF"/>
          <w:lang w:val="es-ES"/>
        </w:rPr>
        <w:t xml:space="preserve"> C-895 del 27 de diciembre de 2022</w:t>
      </w:r>
      <w:r>
        <w:rPr>
          <w:rFonts w:ascii="Verdana" w:hAnsi="Verdana" w:cs="Arial"/>
          <w:shd w:val="clear" w:color="auto" w:fill="FFFFFF"/>
          <w:lang w:val="es-ES"/>
        </w:rPr>
        <w:t>, C- 201 del 2 de agosto de 2024, C-1021 del 27 de diciembre de 2024, C</w:t>
      </w:r>
      <w:r w:rsidRPr="00126826">
        <w:rPr>
          <w:rFonts w:ascii="Verdana" w:hAnsi="Verdana" w:cs="Arial"/>
          <w:shd w:val="clear" w:color="auto" w:fill="FFFFFF"/>
          <w:lang w:val="es-ES"/>
        </w:rPr>
        <w:t>-932 de</w:t>
      </w:r>
      <w:r>
        <w:rPr>
          <w:rFonts w:ascii="Verdana" w:hAnsi="Verdana" w:cs="Arial"/>
          <w:shd w:val="clear" w:color="auto" w:fill="FFFFFF"/>
          <w:lang w:val="es-ES"/>
        </w:rPr>
        <w:t>l 30 de diciembre de</w:t>
      </w:r>
      <w:r w:rsidRPr="00126826">
        <w:rPr>
          <w:rFonts w:ascii="Verdana" w:hAnsi="Verdana" w:cs="Arial"/>
          <w:shd w:val="clear" w:color="auto" w:fill="FFFFFF"/>
          <w:lang w:val="es-ES"/>
        </w:rPr>
        <w:t xml:space="preserve"> 2024</w:t>
      </w:r>
      <w:r>
        <w:rPr>
          <w:rFonts w:ascii="Verdana" w:hAnsi="Verdana" w:cs="Arial"/>
          <w:shd w:val="clear" w:color="auto" w:fill="FFFFFF"/>
          <w:lang w:val="es-ES"/>
        </w:rPr>
        <w:t xml:space="preserve">, entre otros.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1"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5C0F540A" w14:textId="77777777" w:rsidR="00D015A6" w:rsidRPr="000074D5" w:rsidRDefault="00D015A6" w:rsidP="00306DC9">
      <w:pPr>
        <w:spacing w:after="0" w:line="276" w:lineRule="auto"/>
        <w:jc w:val="both"/>
        <w:rPr>
          <w:rFonts w:ascii="Verdana" w:hAnsi="Verdana" w:cs="Arial"/>
          <w:shd w:val="clear" w:color="auto" w:fill="FFFFFF"/>
        </w:rPr>
      </w:pPr>
    </w:p>
    <w:p w14:paraId="7F46C209" w14:textId="34B71EA7" w:rsidR="00306DC9" w:rsidRPr="00306DC9" w:rsidRDefault="00306DC9" w:rsidP="00306DC9">
      <w:pPr>
        <w:spacing w:after="0" w:line="276" w:lineRule="auto"/>
        <w:jc w:val="both"/>
        <w:rPr>
          <w:rStyle w:val="Hipervnculo"/>
          <w:rFonts w:ascii="Verdana" w:hAnsi="Verdana" w:cs="Arial"/>
          <w:shd w:val="clear" w:color="auto" w:fill="FFFFFF"/>
        </w:rPr>
      </w:pPr>
      <w:r w:rsidRPr="00306DC9">
        <w:rPr>
          <w:rFonts w:ascii="Verdana" w:hAnsi="Verdana"/>
        </w:rPr>
        <w:t>La Agencia Nacional de Contratación Pública – Colombia Compra Eficiente</w:t>
      </w:r>
      <w:r>
        <w:rPr>
          <w:rFonts w:ascii="Verdana" w:hAnsi="Verdana"/>
        </w:rPr>
        <w:t xml:space="preserve"> </w:t>
      </w:r>
      <w:r w:rsidRPr="00306DC9">
        <w:rPr>
          <w:rFonts w:ascii="Verdana" w:hAnsi="Verdana"/>
        </w:rPr>
        <w:t>invita a las Entidades Estatales, a los actores del Sistema de Compra Pública y</w:t>
      </w:r>
      <w:r>
        <w:rPr>
          <w:rFonts w:ascii="Verdana" w:hAnsi="Verdana"/>
        </w:rPr>
        <w:t xml:space="preserve"> </w:t>
      </w:r>
      <w:r w:rsidRPr="00306DC9">
        <w:rPr>
          <w:rFonts w:ascii="Verdana" w:hAnsi="Verdana"/>
        </w:rPr>
        <w:t>a la ciudadanía en general a conocer y participar en la actualización de la Guía</w:t>
      </w:r>
      <w:r>
        <w:rPr>
          <w:rFonts w:ascii="Verdana" w:hAnsi="Verdana"/>
        </w:rPr>
        <w:t xml:space="preserve"> </w:t>
      </w:r>
      <w:r w:rsidRPr="00306DC9">
        <w:rPr>
          <w:rFonts w:ascii="Verdana" w:hAnsi="Verdana"/>
        </w:rPr>
        <w:t>para la Elaboración de Estudios del Sector. Esta herramienta orientadora</w:t>
      </w:r>
      <w:r>
        <w:rPr>
          <w:rFonts w:ascii="Verdana" w:hAnsi="Verdana"/>
        </w:rPr>
        <w:t xml:space="preserve"> </w:t>
      </w:r>
      <w:r w:rsidRPr="00306DC9">
        <w:rPr>
          <w:rFonts w:ascii="Verdana" w:hAnsi="Verdana"/>
        </w:rPr>
        <w:t>facilita el análisis del mercado del bien, obra o servicio a contratar, y tiene</w:t>
      </w:r>
      <w:r>
        <w:rPr>
          <w:rFonts w:ascii="Verdana" w:hAnsi="Verdana"/>
        </w:rPr>
        <w:t xml:space="preserve"> </w:t>
      </w:r>
      <w:r w:rsidRPr="00306DC9">
        <w:rPr>
          <w:rFonts w:ascii="Verdana" w:hAnsi="Verdana"/>
        </w:rPr>
        <w:t>como propósito promover procesos de contratación más eficientes,</w:t>
      </w:r>
      <w:r>
        <w:rPr>
          <w:rFonts w:ascii="Verdana" w:hAnsi="Verdana"/>
        </w:rPr>
        <w:t xml:space="preserve"> </w:t>
      </w:r>
      <w:r w:rsidRPr="00306DC9">
        <w:rPr>
          <w:rFonts w:ascii="Verdana" w:hAnsi="Verdana"/>
        </w:rPr>
        <w:t>competitivos, sostenibles e inclusivos. La guía se encuentra disponible para</w:t>
      </w:r>
      <w:r>
        <w:rPr>
          <w:rFonts w:ascii="Verdana" w:hAnsi="Verdana"/>
        </w:rPr>
        <w:t xml:space="preserve"> </w:t>
      </w:r>
      <w:r w:rsidRPr="00306DC9">
        <w:rPr>
          <w:rFonts w:ascii="Verdana" w:hAnsi="Verdana"/>
        </w:rPr>
        <w:t xml:space="preserve">consulta y comentarios hasta el </w:t>
      </w:r>
      <w:r w:rsidRPr="00306DC9">
        <w:rPr>
          <w:rFonts w:ascii="Verdana" w:hAnsi="Verdana"/>
        </w:rPr>
        <w:lastRenderedPageBreak/>
        <w:t>22 de mayo de 2025, a través del siguiente</w:t>
      </w:r>
      <w:r>
        <w:rPr>
          <w:rFonts w:ascii="Verdana" w:hAnsi="Verdana"/>
        </w:rPr>
        <w:t xml:space="preserve"> </w:t>
      </w:r>
      <w:r w:rsidRPr="00306DC9">
        <w:rPr>
          <w:rFonts w:ascii="Verdana" w:hAnsi="Verdana"/>
        </w:rPr>
        <w:t>enlace: </w:t>
      </w:r>
      <w:r w:rsidRPr="00306DC9">
        <w:rPr>
          <w:rStyle w:val="Hipervnculo"/>
          <w:rFonts w:ascii="Verdana" w:hAnsi="Verdana" w:cs="Arial"/>
          <w:shd w:val="clear" w:color="auto" w:fill="FFFFFF"/>
        </w:rPr>
        <w:t>https://www.colombiacompra.gov.co/archivos/convocatoria/participaci</w:t>
      </w:r>
    </w:p>
    <w:p w14:paraId="51C324C8" w14:textId="588ECFF3" w:rsidR="00FC5D28" w:rsidRPr="00306DC9" w:rsidRDefault="00306DC9" w:rsidP="00306DC9">
      <w:pPr>
        <w:spacing w:after="0" w:line="276" w:lineRule="auto"/>
        <w:jc w:val="both"/>
        <w:rPr>
          <w:rStyle w:val="Hipervnculo"/>
          <w:rFonts w:ascii="Verdana" w:hAnsi="Verdana" w:cs="Arial"/>
          <w:shd w:val="clear" w:color="auto" w:fill="FFFFFF"/>
        </w:rPr>
      </w:pPr>
      <w:r w:rsidRPr="00306DC9">
        <w:rPr>
          <w:rStyle w:val="Hipervnculo"/>
          <w:rFonts w:ascii="Verdana" w:hAnsi="Verdana" w:cs="Arial"/>
          <w:shd w:val="clear" w:color="auto" w:fill="FFFFFF"/>
        </w:rPr>
        <w:t>on-ciudadana-proyecto-de-la-guia-para-la-</w:t>
      </w:r>
    </w:p>
    <w:p w14:paraId="0261CFC0" w14:textId="77777777" w:rsidR="00306DC9" w:rsidRDefault="00306DC9" w:rsidP="00306DC9">
      <w:pPr>
        <w:spacing w:after="0" w:line="276" w:lineRule="auto"/>
        <w:jc w:val="both"/>
        <w:rPr>
          <w:rFonts w:ascii="Verdana" w:hAnsi="Verdana"/>
        </w:rPr>
      </w:pPr>
    </w:p>
    <w:p w14:paraId="4666DBA1"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73049A8F" w14:textId="77777777" w:rsidR="00FC5D28" w:rsidRPr="00F71A6A" w:rsidRDefault="00FC5D28" w:rsidP="006F5A49">
      <w:pPr>
        <w:spacing w:after="0" w:line="276" w:lineRule="auto"/>
        <w:jc w:val="both"/>
        <w:rPr>
          <w:rFonts w:ascii="Verdana" w:hAnsi="Verdana"/>
        </w:rPr>
      </w:pPr>
    </w:p>
    <w:p w14:paraId="12AA4F72"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2AB686AE"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Facebook: </w:t>
      </w:r>
      <w:r w:rsidRPr="00F71A6A">
        <w:rPr>
          <w:rStyle w:val="Hipervnculo"/>
          <w:rFonts w:ascii="Verdana" w:hAnsi="Verdana"/>
          <w:color w:val="4472C4" w:themeColor="accent1"/>
        </w:rPr>
        <w:t>ColombiaCompraEficiente</w:t>
      </w:r>
    </w:p>
    <w:p w14:paraId="375998E1" w14:textId="77777777" w:rsidR="00FC5D28" w:rsidRDefault="00FC5D28" w:rsidP="000074D5">
      <w:pPr>
        <w:spacing w:after="0" w:line="276" w:lineRule="auto"/>
        <w:jc w:val="both"/>
        <w:rPr>
          <w:rStyle w:val="Hipervnculo"/>
          <w:rFonts w:ascii="Verdana" w:hAnsi="Verdana"/>
          <w:color w:val="4472C4" w:themeColor="accent1"/>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588548BC" w14:textId="77777777" w:rsidR="000074D5" w:rsidRPr="000074D5" w:rsidRDefault="000074D5" w:rsidP="006F5A49">
      <w:pPr>
        <w:spacing w:after="0" w:line="276" w:lineRule="auto"/>
        <w:jc w:val="both"/>
        <w:rPr>
          <w:rFonts w:ascii="Verdana" w:hAnsi="Verdana"/>
        </w:rPr>
      </w:pPr>
    </w:p>
    <w:p w14:paraId="034AB726" w14:textId="77777777" w:rsidR="00FC5D28" w:rsidRPr="00F71A6A" w:rsidRDefault="00FC5D28" w:rsidP="00FC5D28">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6460E440" w14:textId="77777777" w:rsidR="00FC5D28" w:rsidRPr="006F2228" w:rsidRDefault="00FC5D28" w:rsidP="00FC5D28">
      <w:pPr>
        <w:widowControl w:val="0"/>
        <w:autoSpaceDE w:val="0"/>
        <w:autoSpaceDN w:val="0"/>
        <w:spacing w:after="0" w:line="276" w:lineRule="auto"/>
        <w:jc w:val="both"/>
        <w:rPr>
          <w:rFonts w:ascii="Verdana" w:hAnsi="Verdana" w:cs="Arial"/>
          <w:lang w:val="es-ES_tradnl"/>
        </w:rPr>
      </w:pPr>
    </w:p>
    <w:p w14:paraId="742154F9" w14:textId="77777777" w:rsidR="00FC5D28" w:rsidRDefault="00FC5D28" w:rsidP="006F5A49">
      <w:pPr>
        <w:spacing w:after="0" w:line="276"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78B5E10A" w14:textId="77777777" w:rsidR="00FC5D28" w:rsidRDefault="00FC5D28" w:rsidP="00FC5D28">
      <w:pPr>
        <w:spacing w:after="0"/>
        <w:jc w:val="both"/>
        <w:rPr>
          <w:rStyle w:val="Hipervnculo"/>
          <w:rFonts w:ascii="Verdana" w:hAnsi="Verdana"/>
        </w:rPr>
      </w:pPr>
    </w:p>
    <w:p w14:paraId="0B77CC39" w14:textId="0CF54F4E" w:rsidR="001C7C75" w:rsidRDefault="001C7C75" w:rsidP="001C7C75">
      <w:pPr>
        <w:spacing w:after="0"/>
        <w:jc w:val="center"/>
        <w:rPr>
          <w:rFonts w:ascii="Verdana" w:hAnsi="Verdana"/>
          <w:color w:val="0000FF"/>
          <w:u w:val="single"/>
        </w:rPr>
      </w:pPr>
    </w:p>
    <w:p w14:paraId="4A2980ED" w14:textId="452AF0C5" w:rsidR="001C7C75" w:rsidRDefault="00A83154" w:rsidP="001C7C75">
      <w:pPr>
        <w:spacing w:after="0"/>
        <w:jc w:val="center"/>
        <w:rPr>
          <w:rFonts w:ascii="Verdana" w:hAnsi="Verdana"/>
          <w:color w:val="0000FF"/>
          <w:u w:val="single"/>
        </w:rPr>
      </w:pPr>
      <w:r w:rsidRPr="002C3AD6">
        <w:rPr>
          <w:rFonts w:ascii="Century Gothic" w:hAnsi="Century Gothic"/>
          <w:noProof/>
        </w:rPr>
        <w:drawing>
          <wp:inline distT="0" distB="0" distL="0" distR="0" wp14:anchorId="1B637CD4" wp14:editId="52B8918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p>
    <w:p w14:paraId="594D3BC3" w14:textId="77777777" w:rsidR="001C7C75" w:rsidRPr="001C7C75" w:rsidRDefault="001C7C75" w:rsidP="001C7C75">
      <w:pPr>
        <w:spacing w:after="0"/>
        <w:jc w:val="center"/>
        <w:rPr>
          <w:rFonts w:ascii="Verdana" w:hAnsi="Verdana"/>
          <w:color w:val="0000FF"/>
          <w:u w:val="single"/>
        </w:rPr>
      </w:pPr>
    </w:p>
    <w:tbl>
      <w:tblPr>
        <w:tblW w:w="0" w:type="auto"/>
        <w:tblCellMar>
          <w:top w:w="15" w:type="dxa"/>
          <w:left w:w="15" w:type="dxa"/>
          <w:bottom w:w="15" w:type="dxa"/>
          <w:right w:w="15" w:type="dxa"/>
        </w:tblCellMar>
        <w:tblLook w:val="04A0" w:firstRow="1" w:lastRow="0" w:firstColumn="1" w:lastColumn="0" w:noHBand="0" w:noVBand="1"/>
      </w:tblPr>
      <w:tblGrid>
        <w:gridCol w:w="893"/>
        <w:gridCol w:w="4587"/>
      </w:tblGrid>
      <w:tr w:rsidR="001C7C75" w:rsidRPr="001C7C75" w14:paraId="47715BC1" w14:textId="77777777" w:rsidTr="001C7C75">
        <w:trPr>
          <w:trHeight w:val="315"/>
        </w:trPr>
        <w:tc>
          <w:tcPr>
            <w:tcW w:w="0" w:type="auto"/>
            <w:tcMar>
              <w:top w:w="0" w:type="dxa"/>
              <w:left w:w="108" w:type="dxa"/>
              <w:bottom w:w="0" w:type="dxa"/>
              <w:right w:w="108" w:type="dxa"/>
            </w:tcMar>
            <w:vAlign w:val="center"/>
            <w:hideMark/>
          </w:tcPr>
          <w:p w14:paraId="0DE2504C" w14:textId="77777777" w:rsidR="001C7C75" w:rsidRPr="001C7C75" w:rsidRDefault="001C7C75" w:rsidP="001C7C75">
            <w:pPr>
              <w:spacing w:after="0"/>
              <w:jc w:val="both"/>
              <w:rPr>
                <w:rFonts w:ascii="Verdana" w:hAnsi="Verdana"/>
                <w:sz w:val="16"/>
                <w:szCs w:val="16"/>
                <w:u w:val="single"/>
              </w:rPr>
            </w:pPr>
            <w:r w:rsidRPr="001C7C75">
              <w:rPr>
                <w:rFonts w:ascii="Verdana" w:hAnsi="Verdana"/>
                <w:sz w:val="16"/>
                <w:szCs w:val="16"/>
                <w:u w:val="single"/>
              </w:rPr>
              <w:t>Elaboró:</w:t>
            </w:r>
          </w:p>
        </w:tc>
        <w:tc>
          <w:tcPr>
            <w:tcW w:w="0" w:type="auto"/>
            <w:tcBorders>
              <w:bottom w:val="dotted" w:sz="4" w:space="0" w:color="7F7F7F"/>
            </w:tcBorders>
            <w:tcMar>
              <w:top w:w="0" w:type="dxa"/>
              <w:left w:w="108" w:type="dxa"/>
              <w:bottom w:w="0" w:type="dxa"/>
              <w:right w:w="108" w:type="dxa"/>
            </w:tcMar>
            <w:vAlign w:val="center"/>
            <w:hideMark/>
          </w:tcPr>
          <w:p w14:paraId="3E2F1FD1" w14:textId="121AE894" w:rsidR="001C7C75" w:rsidRPr="001C7C75" w:rsidRDefault="00F73651" w:rsidP="001C7C75">
            <w:pPr>
              <w:spacing w:after="0"/>
              <w:jc w:val="both"/>
              <w:rPr>
                <w:rFonts w:ascii="Verdana" w:hAnsi="Verdana"/>
                <w:sz w:val="16"/>
                <w:szCs w:val="16"/>
                <w:u w:val="single"/>
              </w:rPr>
            </w:pPr>
            <w:r>
              <w:rPr>
                <w:rFonts w:ascii="Verdana" w:hAnsi="Verdana"/>
                <w:sz w:val="16"/>
                <w:szCs w:val="16"/>
                <w:u w:val="single"/>
              </w:rPr>
              <w:t xml:space="preserve">Diana </w:t>
            </w:r>
            <w:r w:rsidR="001C7C75" w:rsidRPr="001C7C75">
              <w:rPr>
                <w:rFonts w:ascii="Verdana" w:hAnsi="Verdana"/>
                <w:sz w:val="16"/>
                <w:szCs w:val="16"/>
                <w:u w:val="single"/>
              </w:rPr>
              <w:t>Carolina Blanco Rodriguez </w:t>
            </w:r>
          </w:p>
          <w:p w14:paraId="30E47536" w14:textId="77777777" w:rsidR="001C7C75" w:rsidRPr="001C7C75" w:rsidRDefault="001C7C75" w:rsidP="001C7C75">
            <w:pPr>
              <w:spacing w:after="0"/>
              <w:jc w:val="both"/>
              <w:rPr>
                <w:rFonts w:ascii="Verdana" w:hAnsi="Verdana"/>
                <w:sz w:val="16"/>
                <w:szCs w:val="16"/>
                <w:u w:val="single"/>
              </w:rPr>
            </w:pPr>
            <w:r w:rsidRPr="001C7C75">
              <w:rPr>
                <w:rFonts w:ascii="Verdana" w:hAnsi="Verdana"/>
                <w:sz w:val="16"/>
                <w:szCs w:val="16"/>
                <w:u w:val="single"/>
              </w:rPr>
              <w:t>Contratista de la Subdirección de Gestión Contractual</w:t>
            </w:r>
          </w:p>
        </w:tc>
      </w:tr>
      <w:tr w:rsidR="001C7C75" w:rsidRPr="001C7C75" w14:paraId="41C0EA69" w14:textId="77777777" w:rsidTr="001C7C75">
        <w:trPr>
          <w:trHeight w:val="330"/>
        </w:trPr>
        <w:tc>
          <w:tcPr>
            <w:tcW w:w="0" w:type="auto"/>
            <w:tcMar>
              <w:top w:w="0" w:type="dxa"/>
              <w:left w:w="108" w:type="dxa"/>
              <w:bottom w:w="0" w:type="dxa"/>
              <w:right w:w="108" w:type="dxa"/>
            </w:tcMar>
            <w:vAlign w:val="center"/>
            <w:hideMark/>
          </w:tcPr>
          <w:p w14:paraId="62D9CB5C" w14:textId="77777777" w:rsidR="001C7C75" w:rsidRPr="001C7C75" w:rsidRDefault="001C7C75" w:rsidP="001C7C75">
            <w:pPr>
              <w:spacing w:after="0"/>
              <w:jc w:val="both"/>
              <w:rPr>
                <w:rFonts w:ascii="Verdana" w:hAnsi="Verdana"/>
                <w:sz w:val="16"/>
                <w:szCs w:val="16"/>
                <w:u w:val="single"/>
              </w:rPr>
            </w:pPr>
            <w:r w:rsidRPr="001C7C75">
              <w:rPr>
                <w:rFonts w:ascii="Verdana" w:hAnsi="Verdana"/>
                <w:sz w:val="16"/>
                <w:szCs w:val="16"/>
                <w:u w:val="single"/>
              </w:rPr>
              <w:t>Revisó:</w:t>
            </w:r>
          </w:p>
        </w:tc>
        <w:tc>
          <w:tcPr>
            <w:tcW w:w="0" w:type="auto"/>
            <w:tcBorders>
              <w:top w:val="dotted" w:sz="4" w:space="0" w:color="7F7F7F"/>
              <w:bottom w:val="dotted" w:sz="4" w:space="0" w:color="7F7F7F"/>
            </w:tcBorders>
            <w:tcMar>
              <w:top w:w="0" w:type="dxa"/>
              <w:left w:w="108" w:type="dxa"/>
              <w:bottom w:w="0" w:type="dxa"/>
              <w:right w:w="108" w:type="dxa"/>
            </w:tcMar>
            <w:vAlign w:val="center"/>
            <w:hideMark/>
          </w:tcPr>
          <w:p w14:paraId="585B76DD" w14:textId="7DA86A5B" w:rsidR="001C7C75" w:rsidRPr="001C7C75" w:rsidRDefault="00306DC9" w:rsidP="001C7C75">
            <w:pPr>
              <w:spacing w:after="0"/>
              <w:jc w:val="both"/>
              <w:rPr>
                <w:rFonts w:ascii="Verdana" w:hAnsi="Verdana"/>
                <w:sz w:val="16"/>
                <w:szCs w:val="16"/>
                <w:u w:val="single"/>
              </w:rPr>
            </w:pPr>
            <w:r>
              <w:rPr>
                <w:rFonts w:ascii="Verdana" w:hAnsi="Verdana"/>
                <w:sz w:val="16"/>
                <w:szCs w:val="16"/>
                <w:u w:val="single"/>
              </w:rPr>
              <w:t xml:space="preserve">Juan Carlos González </w:t>
            </w:r>
            <w:r w:rsidR="00F73651">
              <w:rPr>
                <w:rFonts w:ascii="Verdana" w:hAnsi="Verdana"/>
                <w:sz w:val="16"/>
                <w:szCs w:val="16"/>
                <w:u w:val="single"/>
              </w:rPr>
              <w:t>Vásquez</w:t>
            </w:r>
          </w:p>
          <w:p w14:paraId="47EBF272" w14:textId="77777777" w:rsidR="001C7C75" w:rsidRPr="001C7C75" w:rsidRDefault="001C7C75" w:rsidP="001C7C75">
            <w:pPr>
              <w:spacing w:after="0"/>
              <w:jc w:val="both"/>
              <w:rPr>
                <w:rFonts w:ascii="Verdana" w:hAnsi="Verdana"/>
                <w:sz w:val="16"/>
                <w:szCs w:val="16"/>
                <w:u w:val="single"/>
              </w:rPr>
            </w:pPr>
            <w:r w:rsidRPr="001C7C75">
              <w:rPr>
                <w:rFonts w:ascii="Verdana" w:hAnsi="Verdana"/>
                <w:sz w:val="16"/>
                <w:szCs w:val="16"/>
                <w:u w:val="single"/>
              </w:rPr>
              <w:t>Contratista de la Subdirección de Gestión Contractual </w:t>
            </w:r>
          </w:p>
        </w:tc>
      </w:tr>
      <w:tr w:rsidR="001C7C75" w:rsidRPr="001C7C75" w14:paraId="34AF7B44" w14:textId="77777777" w:rsidTr="001C7C75">
        <w:trPr>
          <w:trHeight w:val="300"/>
        </w:trPr>
        <w:tc>
          <w:tcPr>
            <w:tcW w:w="0" w:type="auto"/>
            <w:tcMar>
              <w:top w:w="0" w:type="dxa"/>
              <w:left w:w="108" w:type="dxa"/>
              <w:bottom w:w="0" w:type="dxa"/>
              <w:right w:w="108" w:type="dxa"/>
            </w:tcMar>
            <w:vAlign w:val="center"/>
            <w:hideMark/>
          </w:tcPr>
          <w:p w14:paraId="20EDA6AC" w14:textId="77777777" w:rsidR="001C7C75" w:rsidRPr="001C7C75" w:rsidRDefault="001C7C75" w:rsidP="001C7C75">
            <w:pPr>
              <w:spacing w:after="0"/>
              <w:jc w:val="both"/>
              <w:rPr>
                <w:rFonts w:ascii="Verdana" w:hAnsi="Verdana"/>
                <w:sz w:val="16"/>
                <w:szCs w:val="16"/>
                <w:u w:val="single"/>
              </w:rPr>
            </w:pPr>
            <w:r w:rsidRPr="001C7C75">
              <w:rPr>
                <w:rFonts w:ascii="Verdana" w:hAnsi="Verdana"/>
                <w:sz w:val="16"/>
                <w:szCs w:val="16"/>
                <w:u w:val="single"/>
              </w:rPr>
              <w:t>Aprobó:</w:t>
            </w:r>
          </w:p>
        </w:tc>
        <w:tc>
          <w:tcPr>
            <w:tcW w:w="0" w:type="auto"/>
            <w:tcBorders>
              <w:top w:val="dotted" w:sz="4" w:space="0" w:color="7F7F7F"/>
              <w:bottom w:val="dotted" w:sz="4" w:space="0" w:color="7F7F7F"/>
            </w:tcBorders>
            <w:tcMar>
              <w:top w:w="0" w:type="dxa"/>
              <w:left w:w="108" w:type="dxa"/>
              <w:bottom w:w="0" w:type="dxa"/>
              <w:right w:w="108" w:type="dxa"/>
            </w:tcMar>
            <w:vAlign w:val="center"/>
            <w:hideMark/>
          </w:tcPr>
          <w:p w14:paraId="581FD6DF" w14:textId="77777777" w:rsidR="001C7C75" w:rsidRPr="001C7C75" w:rsidRDefault="001C7C75" w:rsidP="001C7C75">
            <w:pPr>
              <w:spacing w:after="0"/>
              <w:jc w:val="both"/>
              <w:rPr>
                <w:rFonts w:ascii="Verdana" w:hAnsi="Verdana"/>
                <w:sz w:val="16"/>
                <w:szCs w:val="16"/>
                <w:u w:val="single"/>
              </w:rPr>
            </w:pPr>
            <w:r w:rsidRPr="001C7C75">
              <w:rPr>
                <w:rFonts w:ascii="Verdana" w:hAnsi="Verdana"/>
                <w:sz w:val="16"/>
                <w:szCs w:val="16"/>
                <w:u w:val="single"/>
              </w:rPr>
              <w:t>Carolina Quintero Gacharná</w:t>
            </w:r>
          </w:p>
          <w:p w14:paraId="5883004D" w14:textId="77777777" w:rsidR="001C7C75" w:rsidRPr="001C7C75" w:rsidRDefault="001C7C75" w:rsidP="001C7C75">
            <w:pPr>
              <w:spacing w:after="0"/>
              <w:jc w:val="both"/>
              <w:rPr>
                <w:rFonts w:ascii="Verdana" w:hAnsi="Verdana"/>
                <w:sz w:val="16"/>
                <w:szCs w:val="16"/>
                <w:u w:val="single"/>
              </w:rPr>
            </w:pPr>
            <w:r w:rsidRPr="001C7C75">
              <w:rPr>
                <w:rFonts w:ascii="Verdana" w:hAnsi="Verdana"/>
                <w:sz w:val="16"/>
                <w:szCs w:val="16"/>
                <w:u w:val="single"/>
              </w:rPr>
              <w:t>Subdirectora de Gestión Contractual ANCP – CCE</w:t>
            </w:r>
          </w:p>
        </w:tc>
      </w:tr>
    </w:tbl>
    <w:p w14:paraId="052AF38B" w14:textId="77777777" w:rsidR="001C7C75" w:rsidRPr="001C7C75" w:rsidRDefault="001C7C75" w:rsidP="00FC5D28">
      <w:pPr>
        <w:spacing w:after="0"/>
        <w:jc w:val="both"/>
        <w:rPr>
          <w:rStyle w:val="Hipervnculo"/>
          <w:rFonts w:ascii="Verdana" w:hAnsi="Verdana"/>
          <w:color w:val="auto"/>
          <w:sz w:val="16"/>
          <w:szCs w:val="16"/>
        </w:rPr>
      </w:pPr>
    </w:p>
    <w:bookmarkEnd w:id="1"/>
    <w:p w14:paraId="74873B69" w14:textId="77777777" w:rsidR="00FC5D28" w:rsidRPr="001C7C75" w:rsidRDefault="00FC5D28" w:rsidP="00FC5D28">
      <w:pPr>
        <w:spacing w:after="0"/>
        <w:jc w:val="both"/>
        <w:rPr>
          <w:rStyle w:val="Hipervnculo"/>
          <w:rFonts w:ascii="Verdana" w:hAnsi="Verdana"/>
          <w:color w:val="auto"/>
          <w:sz w:val="16"/>
          <w:szCs w:val="16"/>
        </w:rPr>
      </w:pPr>
    </w:p>
    <w:p w14:paraId="02FF11E0" w14:textId="77777777" w:rsidR="00FC5D28" w:rsidRPr="001C7C75" w:rsidRDefault="00FC5D28" w:rsidP="00FC5D28">
      <w:pPr>
        <w:spacing w:after="0" w:line="240" w:lineRule="auto"/>
        <w:textAlignment w:val="baseline"/>
        <w:rPr>
          <w:rFonts w:ascii="Verdana" w:eastAsia="Times New Roman" w:hAnsi="Verdana" w:cs="Segoe UI"/>
          <w:b/>
          <w:bCs/>
          <w:sz w:val="16"/>
          <w:szCs w:val="16"/>
          <w:lang w:val="es-ES" w:eastAsia="es-CO"/>
        </w:rPr>
      </w:pPr>
    </w:p>
    <w:p w14:paraId="67DD3F8C" w14:textId="77777777" w:rsidR="002707A2" w:rsidRPr="00FC5D28" w:rsidRDefault="002707A2" w:rsidP="00E245AB">
      <w:pPr>
        <w:spacing w:after="0"/>
        <w:jc w:val="both"/>
        <w:rPr>
          <w:rStyle w:val="Hipervnculo"/>
          <w:rFonts w:ascii="Verdana" w:hAnsi="Verdana"/>
          <w:lang w:val="es-ES"/>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448E2" w14:textId="77777777" w:rsidR="00E43401" w:rsidRDefault="00E43401" w:rsidP="004A1847">
      <w:pPr>
        <w:spacing w:after="0" w:line="240" w:lineRule="auto"/>
      </w:pPr>
      <w:r>
        <w:separator/>
      </w:r>
    </w:p>
  </w:endnote>
  <w:endnote w:type="continuationSeparator" w:id="0">
    <w:p w14:paraId="657D54F1" w14:textId="77777777" w:rsidR="00E43401" w:rsidRDefault="00E43401" w:rsidP="004A1847">
      <w:pPr>
        <w:spacing w:after="0" w:line="240" w:lineRule="auto"/>
      </w:pPr>
      <w:r>
        <w:continuationSeparator/>
      </w:r>
    </w:p>
  </w:endnote>
  <w:endnote w:type="continuationNotice" w:id="1">
    <w:p w14:paraId="24DA8768" w14:textId="77777777" w:rsidR="00E43401" w:rsidRDefault="00E434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E6292" w14:textId="77777777" w:rsidR="00E43401" w:rsidRDefault="00E43401" w:rsidP="004A1847">
      <w:pPr>
        <w:spacing w:after="0" w:line="240" w:lineRule="auto"/>
      </w:pPr>
      <w:r>
        <w:separator/>
      </w:r>
    </w:p>
  </w:footnote>
  <w:footnote w:type="continuationSeparator" w:id="0">
    <w:p w14:paraId="61A6C6E3" w14:textId="77777777" w:rsidR="00E43401" w:rsidRDefault="00E43401" w:rsidP="004A1847">
      <w:pPr>
        <w:spacing w:after="0" w:line="240" w:lineRule="auto"/>
      </w:pPr>
      <w:r>
        <w:continuationSeparator/>
      </w:r>
    </w:p>
  </w:footnote>
  <w:footnote w:type="continuationNotice" w:id="1">
    <w:p w14:paraId="770FF40C" w14:textId="77777777" w:rsidR="00E43401" w:rsidRDefault="00E43401">
      <w:pPr>
        <w:spacing w:after="0" w:line="240" w:lineRule="auto"/>
      </w:pPr>
    </w:p>
  </w:footnote>
  <w:footnote w:id="2">
    <w:p w14:paraId="324D984B" w14:textId="77777777" w:rsidR="00FC5D28" w:rsidRPr="00C940A9" w:rsidRDefault="00FC5D28" w:rsidP="00FC5D28">
      <w:pPr>
        <w:pStyle w:val="Textonotapie"/>
        <w:ind w:firstLine="709"/>
        <w:jc w:val="both"/>
        <w:rPr>
          <w:rFonts w:ascii="Verdana" w:hAnsi="Verdana" w:cs="Arial"/>
          <w:color w:val="000000"/>
          <w:sz w:val="14"/>
          <w:szCs w:val="14"/>
          <w:lang w:val="es-ES_tradnl"/>
        </w:rPr>
      </w:pPr>
      <w:r w:rsidRPr="00C940A9">
        <w:rPr>
          <w:rStyle w:val="Refdenotaalpie"/>
          <w:rFonts w:ascii="Verdana" w:hAnsi="Verdana" w:cs="Arial"/>
          <w:color w:val="000000"/>
          <w:sz w:val="14"/>
          <w:szCs w:val="14"/>
          <w:lang w:val="es-ES_tradnl"/>
        </w:rPr>
        <w:footnoteRef/>
      </w:r>
      <w:r w:rsidRPr="00C940A9">
        <w:rPr>
          <w:rFonts w:ascii="Verdana" w:hAnsi="Verdana" w:cs="Arial"/>
          <w:color w:val="000000"/>
          <w:sz w:val="14"/>
          <w:szCs w:val="14"/>
          <w:lang w:val="es-ES_tradnl"/>
        </w:rPr>
        <w:t xml:space="preserve"> Esto lo ratifica el </w:t>
      </w:r>
      <w:bookmarkStart w:id="4" w:name="_Hlk194040859"/>
      <w:r w:rsidRPr="00C940A9">
        <w:rPr>
          <w:rFonts w:ascii="Verdana" w:hAnsi="Verdana" w:cs="Arial"/>
          <w:color w:val="000000"/>
          <w:sz w:val="14"/>
          <w:szCs w:val="14"/>
          <w:lang w:val="es-ES_tradnl"/>
        </w:rPr>
        <w:t xml:space="preserve">artículo 2.2.1.2.1.5.2. </w:t>
      </w:r>
      <w:bookmarkEnd w:id="4"/>
      <w:r w:rsidRPr="00C940A9">
        <w:rPr>
          <w:rFonts w:ascii="Verdana" w:hAnsi="Verdana" w:cs="Arial"/>
          <w:color w:val="000000"/>
          <w:sz w:val="14"/>
          <w:szCs w:val="14"/>
          <w:lang w:val="es-ES_tradnl"/>
        </w:rPr>
        <w:t>del Decreto 1082 de 2015.</w:t>
      </w:r>
    </w:p>
    <w:p w14:paraId="65D84066" w14:textId="77777777" w:rsidR="00FC5D28" w:rsidRPr="00C940A9" w:rsidRDefault="00FC5D28" w:rsidP="00FC5D28">
      <w:pPr>
        <w:pStyle w:val="Textonotapie"/>
        <w:ind w:firstLine="709"/>
        <w:jc w:val="both"/>
        <w:rPr>
          <w:rFonts w:ascii="Verdana" w:hAnsi="Verdana" w:cs="Arial"/>
          <w:color w:val="000000"/>
          <w:sz w:val="14"/>
          <w:szCs w:val="14"/>
          <w:lang w:val="es-ES_tradnl"/>
        </w:rPr>
      </w:pPr>
    </w:p>
  </w:footnote>
  <w:footnote w:id="3">
    <w:p w14:paraId="342B6A03" w14:textId="77777777" w:rsidR="00FC5D28" w:rsidRPr="00A61D2A" w:rsidRDefault="00FC5D28" w:rsidP="00FC5D28">
      <w:pPr>
        <w:pStyle w:val="Textonotapie"/>
        <w:ind w:firstLine="708"/>
        <w:jc w:val="both"/>
        <w:rPr>
          <w:rFonts w:ascii="Century Gothic" w:hAnsi="Century Gothic" w:cs="Arial"/>
          <w:sz w:val="14"/>
          <w:szCs w:val="14"/>
        </w:rPr>
      </w:pPr>
      <w:r w:rsidRPr="00C940A9">
        <w:rPr>
          <w:rStyle w:val="Refdenotaalpie"/>
          <w:rFonts w:ascii="Verdana" w:hAnsi="Verdana" w:cs="Arial"/>
          <w:sz w:val="14"/>
          <w:szCs w:val="14"/>
        </w:rPr>
        <w:footnoteRef/>
      </w:r>
      <w:r w:rsidRPr="00C940A9">
        <w:rPr>
          <w:rFonts w:ascii="Verdana" w:hAnsi="Verdana" w:cs="Arial"/>
          <w:sz w:val="14"/>
          <w:szCs w:val="14"/>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4">
    <w:p w14:paraId="008ED095" w14:textId="77777777" w:rsidR="00FC5D28" w:rsidRPr="005B1F06" w:rsidRDefault="00FC5D28" w:rsidP="00FC5D28">
      <w:pPr>
        <w:pStyle w:val="Textonotapie"/>
        <w:ind w:firstLine="708"/>
        <w:jc w:val="both"/>
        <w:rPr>
          <w:rFonts w:ascii="Verdana" w:hAnsi="Verdana" w:cs="Arial"/>
          <w:sz w:val="14"/>
          <w:szCs w:val="14"/>
        </w:rPr>
      </w:pPr>
      <w:r w:rsidRPr="005B1F06">
        <w:rPr>
          <w:rStyle w:val="Refdenotaalpie"/>
          <w:rFonts w:ascii="Verdana" w:hAnsi="Verdana" w:cs="Arial"/>
          <w:sz w:val="14"/>
          <w:szCs w:val="14"/>
        </w:rPr>
        <w:footnoteRef/>
      </w:r>
      <w:r w:rsidRPr="005B1F06">
        <w:rPr>
          <w:rFonts w:ascii="Verdana" w:hAnsi="Verdana" w:cs="Arial"/>
          <w:sz w:val="14"/>
          <w:szCs w:val="14"/>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Pr="005B1F06">
          <w:rPr>
            <w:rStyle w:val="Hipervnculo"/>
            <w:rFonts w:ascii="Verdana" w:hAnsi="Verdana" w:cs="Arial"/>
            <w:color w:val="000000" w:themeColor="text1"/>
            <w:sz w:val="14"/>
            <w:szCs w:val="14"/>
          </w:rPr>
          <w:t>https://www.colombiacompra.gov.co/sites/cce_public/files/files_2020/vf_umbrales_actualizaciones_2022_-_2023_1.pdf</w:t>
        </w:r>
      </w:hyperlink>
      <w:r w:rsidRPr="005B1F06">
        <w:rPr>
          <w:rFonts w:ascii="Verdana" w:hAnsi="Verdana" w:cs="Arial"/>
          <w:color w:val="000000" w:themeColor="text1"/>
          <w:sz w:val="14"/>
          <w:szCs w:val="14"/>
        </w:rPr>
        <w:t xml:space="preserve">. </w:t>
      </w:r>
    </w:p>
  </w:footnote>
  <w:footnote w:id="5">
    <w:p w14:paraId="01E48F4B" w14:textId="77777777" w:rsidR="00FC5D28" w:rsidRPr="005B1F06" w:rsidRDefault="00FC5D28" w:rsidP="00FC5D28">
      <w:pPr>
        <w:pStyle w:val="Textonotapie"/>
        <w:ind w:firstLine="709"/>
        <w:jc w:val="both"/>
        <w:rPr>
          <w:rFonts w:ascii="Verdana" w:hAnsi="Verdana" w:cs="Arial"/>
          <w:sz w:val="14"/>
          <w:szCs w:val="14"/>
        </w:rPr>
      </w:pPr>
      <w:r w:rsidRPr="005B1F06">
        <w:rPr>
          <w:rStyle w:val="Refdenotaalpie"/>
          <w:rFonts w:ascii="Verdana" w:hAnsi="Verdana" w:cs="Arial"/>
          <w:sz w:val="14"/>
          <w:szCs w:val="14"/>
        </w:rPr>
        <w:footnoteRef/>
      </w:r>
      <w:r w:rsidRPr="005B1F06">
        <w:rPr>
          <w:rFonts w:ascii="Verdana" w:hAnsi="Verdana" w:cs="Arial"/>
          <w:sz w:val="14"/>
          <w:szCs w:val="14"/>
        </w:rPr>
        <w:t xml:space="preserve">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3859D556" w14:textId="77777777" w:rsidR="00FC5D28" w:rsidRPr="005B1F06" w:rsidRDefault="00FC5D28" w:rsidP="00FC5D28">
      <w:pPr>
        <w:pStyle w:val="Textonotapie"/>
        <w:ind w:firstLine="709"/>
        <w:jc w:val="both"/>
        <w:rPr>
          <w:rFonts w:ascii="Verdana" w:hAnsi="Verdana" w:cs="Arial"/>
          <w:sz w:val="14"/>
          <w:szCs w:val="14"/>
        </w:rPr>
      </w:pPr>
      <w:r w:rsidRPr="005B1F06">
        <w:rPr>
          <w:rFonts w:ascii="Verdana" w:hAnsi="Verdana" w:cs="Arial"/>
          <w:sz w:val="14"/>
          <w:szCs w:val="14"/>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695A2635" w14:textId="77777777" w:rsidR="00FC5D28" w:rsidRPr="005B1F06" w:rsidRDefault="00FC5D28" w:rsidP="00FC5D28">
      <w:pPr>
        <w:pStyle w:val="Textonotapie"/>
        <w:ind w:firstLine="709"/>
        <w:jc w:val="both"/>
        <w:rPr>
          <w:rFonts w:ascii="Verdana" w:hAnsi="Verdana" w:cs="Arial"/>
          <w:sz w:val="14"/>
          <w:szCs w:val="14"/>
        </w:rPr>
      </w:pPr>
      <w:r w:rsidRPr="005B1F06">
        <w:rPr>
          <w:rFonts w:ascii="Verdana" w:hAnsi="Verdana" w:cs="Arial"/>
          <w:sz w:val="14"/>
          <w:szCs w:val="14"/>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4278A84E" w14:textId="77777777" w:rsidR="00FC5D28" w:rsidRPr="005B1F06" w:rsidRDefault="00FC5D28" w:rsidP="00FC5D28">
      <w:pPr>
        <w:pStyle w:val="Textonotapie"/>
        <w:ind w:firstLine="709"/>
        <w:jc w:val="both"/>
        <w:rPr>
          <w:rFonts w:ascii="Verdana" w:hAnsi="Verdana" w:cs="Arial"/>
          <w:sz w:val="14"/>
          <w:szCs w:val="14"/>
        </w:rPr>
      </w:pPr>
      <w:r w:rsidRPr="005B1F06">
        <w:rPr>
          <w:rFonts w:ascii="Verdana" w:hAnsi="Verdana" w:cs="Arial"/>
          <w:sz w:val="14"/>
          <w:szCs w:val="14"/>
        </w:rPr>
        <w:t xml:space="preserve">Tratándose de personas jurídicas, las solicitudes solo las podrán realizar Mipyme, cuyo objeto social les permita ejecutar el contrato relacionado con el proceso contractual. </w:t>
      </w:r>
    </w:p>
    <w:p w14:paraId="29DD8524" w14:textId="77777777" w:rsidR="00FC5D28" w:rsidRPr="00A61D2A" w:rsidRDefault="00FC5D28" w:rsidP="00FC5D28">
      <w:pPr>
        <w:pStyle w:val="Textonotapie"/>
        <w:ind w:firstLine="709"/>
        <w:jc w:val="both"/>
        <w:rPr>
          <w:rFonts w:ascii="Century Gothic" w:hAnsi="Century Gothic" w:cs="Arial"/>
          <w:sz w:val="14"/>
          <w:szCs w:val="14"/>
        </w:rPr>
      </w:pPr>
      <w:r w:rsidRPr="005B1F06">
        <w:rPr>
          <w:rFonts w:ascii="Verdana" w:hAnsi="Verdana" w:cs="Arial"/>
          <w:sz w:val="14"/>
          <w:szCs w:val="14"/>
        </w:rPr>
        <w:t>PARÁGRAFO. Las cooperativas y dem</w:t>
      </w:r>
      <w:r w:rsidRPr="005B1F06">
        <w:rPr>
          <w:rFonts w:ascii="Verdana" w:hAnsi="Verdana" w:cs="Century Gothic"/>
          <w:sz w:val="14"/>
          <w:szCs w:val="14"/>
        </w:rPr>
        <w:t>á</w:t>
      </w:r>
      <w:r w:rsidRPr="005B1F06">
        <w:rPr>
          <w:rFonts w:ascii="Verdana" w:hAnsi="Verdana" w:cs="Arial"/>
          <w:sz w:val="14"/>
          <w:szCs w:val="14"/>
        </w:rPr>
        <w:t>s entidades de econom</w:t>
      </w:r>
      <w:r w:rsidRPr="005B1F06">
        <w:rPr>
          <w:rFonts w:ascii="Verdana" w:hAnsi="Verdana" w:cs="Century Gothic"/>
          <w:sz w:val="14"/>
          <w:szCs w:val="14"/>
        </w:rPr>
        <w:t>í</w:t>
      </w:r>
      <w:r w:rsidRPr="005B1F06">
        <w:rPr>
          <w:rFonts w:ascii="Verdana" w:hAnsi="Verdana" w:cs="Arial"/>
          <w:sz w:val="14"/>
          <w:szCs w:val="14"/>
        </w:rPr>
        <w:t>a solidaria, siempre que tengan la calidad de M</w:t>
      </w:r>
      <w:r w:rsidRPr="005B1F06">
        <w:rPr>
          <w:rFonts w:ascii="Verdana" w:hAnsi="Verdana" w:cs="Century Gothic"/>
          <w:sz w:val="14"/>
          <w:szCs w:val="14"/>
        </w:rPr>
        <w:t>í</w:t>
      </w:r>
      <w:r w:rsidRPr="005B1F06">
        <w:rPr>
          <w:rFonts w:ascii="Verdana" w:hAnsi="Verdana" w:cs="Arial"/>
          <w:sz w:val="14"/>
          <w:szCs w:val="14"/>
        </w:rPr>
        <w:t>pyme, podr</w:t>
      </w:r>
      <w:r w:rsidRPr="005B1F06">
        <w:rPr>
          <w:rFonts w:ascii="Verdana" w:hAnsi="Verdana" w:cs="Century Gothic"/>
          <w:sz w:val="14"/>
          <w:szCs w:val="14"/>
        </w:rPr>
        <w:t>á</w:t>
      </w:r>
      <w:r w:rsidRPr="005B1F06">
        <w:rPr>
          <w:rFonts w:ascii="Verdana" w:hAnsi="Verdana" w:cs="Arial"/>
          <w:sz w:val="14"/>
          <w:szCs w:val="14"/>
        </w:rPr>
        <w:t>n solicitar y participar en las convocatorias limitadas en las mismas condiciones dispuestas en el presente artículo.</w:t>
      </w:r>
    </w:p>
  </w:footnote>
  <w:footnote w:id="6">
    <w:p w14:paraId="32497086" w14:textId="77777777" w:rsidR="00FC5D28" w:rsidRPr="00A61D2A" w:rsidRDefault="00FC5D28" w:rsidP="006F5A49">
      <w:pPr>
        <w:pStyle w:val="Textonotapie"/>
        <w:jc w:val="both"/>
        <w:rPr>
          <w:rFonts w:ascii="Century Gothic" w:hAnsi="Century Gothic" w:cs="Arial"/>
          <w:color w:val="000000" w:themeColor="text1"/>
          <w:sz w:val="14"/>
          <w:szCs w:val="14"/>
        </w:rPr>
      </w:pPr>
    </w:p>
    <w:p w14:paraId="466E923B" w14:textId="77777777" w:rsidR="00FC5D28" w:rsidRPr="005B1F06" w:rsidRDefault="00FC5D28" w:rsidP="00FC5D28">
      <w:pPr>
        <w:pStyle w:val="Textonotapie"/>
        <w:ind w:firstLine="708"/>
        <w:jc w:val="both"/>
        <w:rPr>
          <w:rFonts w:ascii="Verdana" w:hAnsi="Verdana" w:cs="Arial"/>
          <w:color w:val="000000" w:themeColor="text1"/>
          <w:sz w:val="14"/>
          <w:szCs w:val="14"/>
        </w:rPr>
      </w:pPr>
      <w:r w:rsidRPr="005B1F06">
        <w:rPr>
          <w:rStyle w:val="Refdenotaalpie"/>
          <w:rFonts w:ascii="Verdana" w:hAnsi="Verdana" w:cs="Arial"/>
          <w:color w:val="000000" w:themeColor="text1"/>
          <w:sz w:val="14"/>
          <w:szCs w:val="14"/>
        </w:rPr>
        <w:footnoteRef/>
      </w:r>
      <w:r w:rsidRPr="005B1F06">
        <w:rPr>
          <w:rFonts w:ascii="Verdana" w:hAnsi="Verdana" w:cs="Arial"/>
          <w:color w:val="000000" w:themeColor="text1"/>
          <w:sz w:val="14"/>
          <w:szCs w:val="14"/>
        </w:rPr>
        <w:t>Ley 1150 de 20</w:t>
      </w:r>
      <w:r>
        <w:rPr>
          <w:rFonts w:ascii="Verdana" w:hAnsi="Verdana" w:cs="Arial"/>
          <w:color w:val="000000" w:themeColor="text1"/>
          <w:sz w:val="14"/>
          <w:szCs w:val="14"/>
        </w:rPr>
        <w:t>07</w:t>
      </w:r>
      <w:r w:rsidRPr="005B1F06">
        <w:rPr>
          <w:rFonts w:ascii="Verdana" w:hAnsi="Verdana" w:cs="Arial"/>
          <w:color w:val="000000" w:themeColor="text1"/>
          <w:sz w:val="14"/>
          <w:szCs w:val="14"/>
        </w:rPr>
        <w:t xml:space="preserve">. Artículo 12 modificado por el artículo 34 de la Ley 2069 de 2020. </w:t>
      </w:r>
      <w:r>
        <w:rPr>
          <w:rFonts w:ascii="Verdana" w:hAnsi="Verdana" w:cs="Arial"/>
          <w:color w:val="000000" w:themeColor="text1"/>
          <w:sz w:val="14"/>
          <w:szCs w:val="14"/>
        </w:rPr>
        <w:t>“</w:t>
      </w:r>
      <w:r w:rsidRPr="005B1F06">
        <w:rPr>
          <w:rFonts w:ascii="Verdana" w:hAnsi="Verdana" w:cs="Arial"/>
          <w:color w:val="000000" w:themeColor="text1"/>
          <w:sz w:val="14"/>
          <w:szCs w:val="14"/>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r>
        <w:rPr>
          <w:rFonts w:ascii="Verdana" w:hAnsi="Verdana" w:cs="Arial"/>
          <w:color w:val="000000" w:themeColor="text1"/>
          <w:sz w:val="14"/>
          <w:szCs w:val="14"/>
        </w:rPr>
        <w:t>”</w:t>
      </w:r>
      <w:r w:rsidRPr="005B1F06">
        <w:rPr>
          <w:rFonts w:ascii="Verdana" w:hAnsi="Verdana" w:cs="Arial"/>
          <w:color w:val="000000" w:themeColor="text1"/>
          <w:sz w:val="14"/>
          <w:szCs w:val="14"/>
        </w:rPr>
        <w:t>.</w:t>
      </w:r>
    </w:p>
    <w:p w14:paraId="1AECBB33" w14:textId="77777777" w:rsidR="00FC5D28" w:rsidRPr="005B1F06" w:rsidRDefault="00FC5D28" w:rsidP="00FC5D28">
      <w:pPr>
        <w:pStyle w:val="Textonotapie"/>
        <w:ind w:firstLine="708"/>
        <w:jc w:val="both"/>
        <w:rPr>
          <w:rFonts w:ascii="Verdana" w:hAnsi="Verdana" w:cs="Arial"/>
          <w:color w:val="000000" w:themeColor="text1"/>
          <w:sz w:val="14"/>
          <w:szCs w:val="14"/>
        </w:rPr>
      </w:pPr>
    </w:p>
  </w:footnote>
  <w:footnote w:id="7">
    <w:p w14:paraId="06D65E3C" w14:textId="77777777" w:rsidR="00FC5D28" w:rsidRPr="005B1F06" w:rsidRDefault="00FC5D28" w:rsidP="00FC5D28">
      <w:pPr>
        <w:pStyle w:val="Textonotapie"/>
        <w:ind w:firstLine="708"/>
        <w:jc w:val="both"/>
        <w:rPr>
          <w:rFonts w:ascii="Verdana" w:hAnsi="Verdana" w:cs="Arial"/>
          <w:color w:val="000000" w:themeColor="text1"/>
          <w:sz w:val="14"/>
          <w:szCs w:val="14"/>
        </w:rPr>
      </w:pPr>
      <w:r w:rsidRPr="005B1F06">
        <w:rPr>
          <w:rStyle w:val="Refdenotaalpie"/>
          <w:rFonts w:ascii="Verdana" w:hAnsi="Verdana" w:cs="Arial"/>
          <w:color w:val="000000" w:themeColor="text1"/>
          <w:sz w:val="14"/>
          <w:szCs w:val="14"/>
        </w:rPr>
        <w:footnoteRef/>
      </w:r>
      <w:r w:rsidRPr="005B1F06">
        <w:rPr>
          <w:rFonts w:ascii="Verdana" w:hAnsi="Verdana" w:cs="Arial"/>
          <w:color w:val="000000" w:themeColor="text1"/>
          <w:sz w:val="14"/>
          <w:szCs w:val="14"/>
        </w:rPr>
        <w:t xml:space="preserve"> Cfr. Concepto emitido en el radicado 4201913000005674, dictado el 27 de septiembre de 2019.</w:t>
      </w:r>
    </w:p>
    <w:p w14:paraId="68E9DAF1" w14:textId="77777777" w:rsidR="00FC5D28" w:rsidRPr="005B1F06" w:rsidRDefault="00FC5D28" w:rsidP="00FC5D28">
      <w:pPr>
        <w:pStyle w:val="Textonotapie"/>
        <w:ind w:firstLine="708"/>
        <w:jc w:val="both"/>
        <w:rPr>
          <w:rFonts w:ascii="Verdana" w:hAnsi="Verdana" w:cs="Arial"/>
          <w:color w:val="000000" w:themeColor="text1"/>
          <w:sz w:val="14"/>
          <w:szCs w:val="14"/>
          <w:lang w:val="es-ES"/>
        </w:rPr>
      </w:pPr>
    </w:p>
  </w:footnote>
  <w:footnote w:id="8">
    <w:p w14:paraId="6E8143C3" w14:textId="77777777" w:rsidR="00FC5D28" w:rsidRPr="00A4749D" w:rsidRDefault="00FC5D28" w:rsidP="00FC5D28">
      <w:pPr>
        <w:pStyle w:val="Textonotapie"/>
        <w:ind w:firstLine="708"/>
        <w:jc w:val="both"/>
        <w:rPr>
          <w:rFonts w:ascii="Verdana" w:hAnsi="Verdana" w:cs="Arial"/>
          <w:sz w:val="14"/>
          <w:szCs w:val="14"/>
        </w:rPr>
      </w:pPr>
      <w:r w:rsidRPr="00A4749D">
        <w:rPr>
          <w:rStyle w:val="Refdenotaalpie"/>
          <w:rFonts w:ascii="Verdana" w:hAnsi="Verdana" w:cs="Arial"/>
          <w:sz w:val="14"/>
          <w:szCs w:val="14"/>
        </w:rPr>
        <w:footnoteRef/>
      </w:r>
      <w:r w:rsidRPr="00A4749D">
        <w:rPr>
          <w:rFonts w:ascii="Verdana" w:hAnsi="Verdana" w:cs="Arial"/>
          <w:sz w:val="14"/>
          <w:szCs w:val="14"/>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7011857A" w14:textId="77777777" w:rsidR="00FC5D28" w:rsidRPr="00A4749D" w:rsidRDefault="00FC5D28" w:rsidP="00FC5D28">
      <w:pPr>
        <w:pStyle w:val="Textonotapie"/>
        <w:ind w:firstLine="708"/>
        <w:jc w:val="both"/>
        <w:rPr>
          <w:rFonts w:ascii="Verdana" w:hAnsi="Verdana" w:cs="Arial"/>
          <w:sz w:val="14"/>
          <w:szCs w:val="14"/>
        </w:rPr>
      </w:pPr>
    </w:p>
    <w:p w14:paraId="6B3A7A0D" w14:textId="77777777" w:rsidR="00FC5D28" w:rsidRPr="00A4749D" w:rsidRDefault="00FC5D28" w:rsidP="00FC5D28">
      <w:pPr>
        <w:pStyle w:val="Textonotapie"/>
        <w:ind w:firstLine="708"/>
        <w:jc w:val="both"/>
        <w:rPr>
          <w:rFonts w:ascii="Verdana" w:hAnsi="Verdana" w:cs="Arial"/>
          <w:sz w:val="14"/>
          <w:szCs w:val="14"/>
        </w:rPr>
      </w:pPr>
      <w:r w:rsidRPr="00A4749D">
        <w:rPr>
          <w:rFonts w:ascii="Verdana" w:hAnsi="Verdana" w:cs="Arial"/>
          <w:sz w:val="14"/>
          <w:szCs w:val="14"/>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3D6931BE" w14:textId="77777777" w:rsidR="00FC5D28" w:rsidRPr="00A4749D" w:rsidRDefault="00FC5D28" w:rsidP="00FC5D28">
      <w:pPr>
        <w:pStyle w:val="Textonotapie"/>
        <w:ind w:firstLine="708"/>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57217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3069633" o:spid="_x0000_i1025" type="#_x0000_t75" style="width:11.25pt;height:11.25pt;visibility:visible;mso-wrap-style:square">
            <v:imagedata r:id="rId1" o:title=""/>
          </v:shape>
        </w:pict>
      </mc:Choice>
      <mc:Fallback>
        <w:drawing>
          <wp:inline distT="0" distB="0" distL="0" distR="0" wp14:anchorId="0487287E" wp14:editId="50291CCD">
            <wp:extent cx="142875" cy="142875"/>
            <wp:effectExtent l="0" t="0" r="0" b="0"/>
            <wp:docPr id="93069633" name="Imagen 93069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2A7397"/>
    <w:multiLevelType w:val="hybridMultilevel"/>
    <w:tmpl w:val="5F0CAC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CD33FF"/>
    <w:multiLevelType w:val="hybridMultilevel"/>
    <w:tmpl w:val="907211E6"/>
    <w:lvl w:ilvl="0" w:tplc="240A0001">
      <w:start w:val="1"/>
      <w:numFmt w:val="bullet"/>
      <w:lvlText w:val=""/>
      <w:lvlJc w:val="left"/>
      <w:pPr>
        <w:ind w:left="720" w:hanging="360"/>
      </w:pPr>
      <w:rPr>
        <w:rFonts w:ascii="Symbol" w:hAnsi="Symbol" w:hint="default"/>
      </w:rPr>
    </w:lvl>
    <w:lvl w:ilvl="1" w:tplc="8F6A3E4E">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341274352">
    <w:abstractNumId w:val="0"/>
  </w:num>
  <w:num w:numId="17" w16cid:durableId="1864202067">
    <w:abstractNumId w:val="10"/>
  </w:num>
  <w:num w:numId="18" w16cid:durableId="21132398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4D5"/>
    <w:rsid w:val="0001364F"/>
    <w:rsid w:val="00016F78"/>
    <w:rsid w:val="00025033"/>
    <w:rsid w:val="000266FB"/>
    <w:rsid w:val="000305A1"/>
    <w:rsid w:val="00046945"/>
    <w:rsid w:val="00047E9E"/>
    <w:rsid w:val="000520A7"/>
    <w:rsid w:val="0006016B"/>
    <w:rsid w:val="00061B2A"/>
    <w:rsid w:val="00082362"/>
    <w:rsid w:val="00082F86"/>
    <w:rsid w:val="000A683E"/>
    <w:rsid w:val="000B19B9"/>
    <w:rsid w:val="000C01C5"/>
    <w:rsid w:val="000C7312"/>
    <w:rsid w:val="000D0334"/>
    <w:rsid w:val="000F1050"/>
    <w:rsid w:val="000F6486"/>
    <w:rsid w:val="00102350"/>
    <w:rsid w:val="00125105"/>
    <w:rsid w:val="001261BC"/>
    <w:rsid w:val="00127233"/>
    <w:rsid w:val="001511A0"/>
    <w:rsid w:val="00180D43"/>
    <w:rsid w:val="00191971"/>
    <w:rsid w:val="00191ACC"/>
    <w:rsid w:val="001A2BF6"/>
    <w:rsid w:val="001B1CD1"/>
    <w:rsid w:val="001C7C75"/>
    <w:rsid w:val="001D1E0F"/>
    <w:rsid w:val="001D4D4B"/>
    <w:rsid w:val="001E4177"/>
    <w:rsid w:val="001F7DC6"/>
    <w:rsid w:val="00203290"/>
    <w:rsid w:val="0022503E"/>
    <w:rsid w:val="00226D9C"/>
    <w:rsid w:val="002421BB"/>
    <w:rsid w:val="0025796E"/>
    <w:rsid w:val="002670AF"/>
    <w:rsid w:val="002707A2"/>
    <w:rsid w:val="00273FCC"/>
    <w:rsid w:val="002869EA"/>
    <w:rsid w:val="002951A0"/>
    <w:rsid w:val="002962BC"/>
    <w:rsid w:val="002A093D"/>
    <w:rsid w:val="002A0DD0"/>
    <w:rsid w:val="002A49AC"/>
    <w:rsid w:val="002A64FD"/>
    <w:rsid w:val="002A73C9"/>
    <w:rsid w:val="002A746E"/>
    <w:rsid w:val="002C7A84"/>
    <w:rsid w:val="002E4FD9"/>
    <w:rsid w:val="002F5CA4"/>
    <w:rsid w:val="00306DC9"/>
    <w:rsid w:val="00321BB0"/>
    <w:rsid w:val="00322A85"/>
    <w:rsid w:val="00324168"/>
    <w:rsid w:val="00333ED9"/>
    <w:rsid w:val="0033778F"/>
    <w:rsid w:val="003411C3"/>
    <w:rsid w:val="003448F4"/>
    <w:rsid w:val="00361AD0"/>
    <w:rsid w:val="00374F5E"/>
    <w:rsid w:val="00377C41"/>
    <w:rsid w:val="00377E3E"/>
    <w:rsid w:val="00380F03"/>
    <w:rsid w:val="003A091B"/>
    <w:rsid w:val="003A779E"/>
    <w:rsid w:val="003B6564"/>
    <w:rsid w:val="003D0F4D"/>
    <w:rsid w:val="003D5B0D"/>
    <w:rsid w:val="003E0499"/>
    <w:rsid w:val="003F3941"/>
    <w:rsid w:val="00406575"/>
    <w:rsid w:val="00414C74"/>
    <w:rsid w:val="00423805"/>
    <w:rsid w:val="0042722E"/>
    <w:rsid w:val="0044528D"/>
    <w:rsid w:val="004526DF"/>
    <w:rsid w:val="004818E4"/>
    <w:rsid w:val="00490068"/>
    <w:rsid w:val="00491EF1"/>
    <w:rsid w:val="004A1847"/>
    <w:rsid w:val="004A305D"/>
    <w:rsid w:val="004E15EC"/>
    <w:rsid w:val="004F21C4"/>
    <w:rsid w:val="004F685F"/>
    <w:rsid w:val="005353CF"/>
    <w:rsid w:val="005433D6"/>
    <w:rsid w:val="0054711F"/>
    <w:rsid w:val="005566E8"/>
    <w:rsid w:val="00574867"/>
    <w:rsid w:val="005875CC"/>
    <w:rsid w:val="00591460"/>
    <w:rsid w:val="005A1810"/>
    <w:rsid w:val="005A2D07"/>
    <w:rsid w:val="005A33CB"/>
    <w:rsid w:val="005A75AB"/>
    <w:rsid w:val="005B3816"/>
    <w:rsid w:val="005B39C9"/>
    <w:rsid w:val="005C3777"/>
    <w:rsid w:val="005C5CDC"/>
    <w:rsid w:val="005D476C"/>
    <w:rsid w:val="005E73E7"/>
    <w:rsid w:val="005F4F49"/>
    <w:rsid w:val="006219F8"/>
    <w:rsid w:val="00632090"/>
    <w:rsid w:val="00650F47"/>
    <w:rsid w:val="00665D70"/>
    <w:rsid w:val="006900D9"/>
    <w:rsid w:val="00690D7C"/>
    <w:rsid w:val="006A5B6F"/>
    <w:rsid w:val="006B0B80"/>
    <w:rsid w:val="006D75FE"/>
    <w:rsid w:val="006E4180"/>
    <w:rsid w:val="006F5A49"/>
    <w:rsid w:val="00706C16"/>
    <w:rsid w:val="007447E9"/>
    <w:rsid w:val="00756841"/>
    <w:rsid w:val="0076212D"/>
    <w:rsid w:val="007649AB"/>
    <w:rsid w:val="00764D5B"/>
    <w:rsid w:val="00771D0C"/>
    <w:rsid w:val="007833AC"/>
    <w:rsid w:val="007B268C"/>
    <w:rsid w:val="007B7171"/>
    <w:rsid w:val="007C0C0F"/>
    <w:rsid w:val="007C3DC2"/>
    <w:rsid w:val="007E5497"/>
    <w:rsid w:val="007E70BD"/>
    <w:rsid w:val="00806F5F"/>
    <w:rsid w:val="0082008A"/>
    <w:rsid w:val="00820278"/>
    <w:rsid w:val="00835F8C"/>
    <w:rsid w:val="008379C1"/>
    <w:rsid w:val="00867F95"/>
    <w:rsid w:val="0087199B"/>
    <w:rsid w:val="008843B6"/>
    <w:rsid w:val="00884582"/>
    <w:rsid w:val="00885A39"/>
    <w:rsid w:val="00891928"/>
    <w:rsid w:val="008A446D"/>
    <w:rsid w:val="008B4A21"/>
    <w:rsid w:val="008D180B"/>
    <w:rsid w:val="008F0EA7"/>
    <w:rsid w:val="008F5074"/>
    <w:rsid w:val="0091292D"/>
    <w:rsid w:val="009239D7"/>
    <w:rsid w:val="00923EEF"/>
    <w:rsid w:val="0093365C"/>
    <w:rsid w:val="009419F9"/>
    <w:rsid w:val="00952E27"/>
    <w:rsid w:val="0095685E"/>
    <w:rsid w:val="00961B09"/>
    <w:rsid w:val="00965334"/>
    <w:rsid w:val="0097093E"/>
    <w:rsid w:val="0097651F"/>
    <w:rsid w:val="00986AC5"/>
    <w:rsid w:val="009A0DFA"/>
    <w:rsid w:val="009B2D26"/>
    <w:rsid w:val="009C71FA"/>
    <w:rsid w:val="009C72E7"/>
    <w:rsid w:val="009C762D"/>
    <w:rsid w:val="009D3058"/>
    <w:rsid w:val="009E7C72"/>
    <w:rsid w:val="009F3A13"/>
    <w:rsid w:val="00A122D3"/>
    <w:rsid w:val="00A17F13"/>
    <w:rsid w:val="00A20739"/>
    <w:rsid w:val="00A3339C"/>
    <w:rsid w:val="00A33C78"/>
    <w:rsid w:val="00A361EC"/>
    <w:rsid w:val="00A44D96"/>
    <w:rsid w:val="00A52D54"/>
    <w:rsid w:val="00A77273"/>
    <w:rsid w:val="00A83154"/>
    <w:rsid w:val="00AB0ADB"/>
    <w:rsid w:val="00AD1211"/>
    <w:rsid w:val="00B01B1A"/>
    <w:rsid w:val="00B50ED7"/>
    <w:rsid w:val="00B66319"/>
    <w:rsid w:val="00B72CD3"/>
    <w:rsid w:val="00B72FFF"/>
    <w:rsid w:val="00B93277"/>
    <w:rsid w:val="00BC3D36"/>
    <w:rsid w:val="00BD74EB"/>
    <w:rsid w:val="00BD7F72"/>
    <w:rsid w:val="00C04FB3"/>
    <w:rsid w:val="00C330EB"/>
    <w:rsid w:val="00C33ED7"/>
    <w:rsid w:val="00C41061"/>
    <w:rsid w:val="00C740AA"/>
    <w:rsid w:val="00C754BE"/>
    <w:rsid w:val="00C75BA7"/>
    <w:rsid w:val="00C76B1C"/>
    <w:rsid w:val="00CB54E5"/>
    <w:rsid w:val="00CB6357"/>
    <w:rsid w:val="00CC1B26"/>
    <w:rsid w:val="00CD37E4"/>
    <w:rsid w:val="00CE459F"/>
    <w:rsid w:val="00D015A6"/>
    <w:rsid w:val="00D13B30"/>
    <w:rsid w:val="00D23B79"/>
    <w:rsid w:val="00D423A2"/>
    <w:rsid w:val="00D520D8"/>
    <w:rsid w:val="00D63AC2"/>
    <w:rsid w:val="00D7383B"/>
    <w:rsid w:val="00DA231B"/>
    <w:rsid w:val="00DA236C"/>
    <w:rsid w:val="00DB28A0"/>
    <w:rsid w:val="00DC39FC"/>
    <w:rsid w:val="00DD4EE1"/>
    <w:rsid w:val="00DE40AE"/>
    <w:rsid w:val="00DF5254"/>
    <w:rsid w:val="00E16408"/>
    <w:rsid w:val="00E20894"/>
    <w:rsid w:val="00E245AB"/>
    <w:rsid w:val="00E271BF"/>
    <w:rsid w:val="00E2764C"/>
    <w:rsid w:val="00E27F2E"/>
    <w:rsid w:val="00E43401"/>
    <w:rsid w:val="00E443F8"/>
    <w:rsid w:val="00E457DD"/>
    <w:rsid w:val="00E470F1"/>
    <w:rsid w:val="00E50AFE"/>
    <w:rsid w:val="00E52180"/>
    <w:rsid w:val="00E56231"/>
    <w:rsid w:val="00E75C92"/>
    <w:rsid w:val="00E771DC"/>
    <w:rsid w:val="00E82D83"/>
    <w:rsid w:val="00E8772A"/>
    <w:rsid w:val="00E90F6B"/>
    <w:rsid w:val="00E92C27"/>
    <w:rsid w:val="00EA0E3D"/>
    <w:rsid w:val="00EC38A7"/>
    <w:rsid w:val="00ED7384"/>
    <w:rsid w:val="00EE1AA8"/>
    <w:rsid w:val="00EF6A17"/>
    <w:rsid w:val="00F0239D"/>
    <w:rsid w:val="00F07897"/>
    <w:rsid w:val="00F31EDC"/>
    <w:rsid w:val="00F4025E"/>
    <w:rsid w:val="00F462B3"/>
    <w:rsid w:val="00F46E0C"/>
    <w:rsid w:val="00F5664F"/>
    <w:rsid w:val="00F63E17"/>
    <w:rsid w:val="00F666C4"/>
    <w:rsid w:val="00F73651"/>
    <w:rsid w:val="00F76AFC"/>
    <w:rsid w:val="00FA47C0"/>
    <w:rsid w:val="00FB255D"/>
    <w:rsid w:val="00FB5DD1"/>
    <w:rsid w:val="00FC1DDA"/>
    <w:rsid w:val="00FC2B5D"/>
    <w:rsid w:val="00FC5D28"/>
    <w:rsid w:val="00FD5F29"/>
    <w:rsid w:val="00FF1449"/>
    <w:rsid w:val="08C31E44"/>
    <w:rsid w:val="706726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C5D2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C5D2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2500">
      <w:bodyDiv w:val="1"/>
      <w:marLeft w:val="0"/>
      <w:marRight w:val="0"/>
      <w:marTop w:val="0"/>
      <w:marBottom w:val="0"/>
      <w:divBdr>
        <w:top w:val="none" w:sz="0" w:space="0" w:color="auto"/>
        <w:left w:val="none" w:sz="0" w:space="0" w:color="auto"/>
        <w:bottom w:val="none" w:sz="0" w:space="0" w:color="auto"/>
        <w:right w:val="none" w:sz="0" w:space="0" w:color="auto"/>
      </w:divBdr>
    </w:div>
    <w:div w:id="55404628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14080337">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0458465">
      <w:bodyDiv w:val="1"/>
      <w:marLeft w:val="0"/>
      <w:marRight w:val="0"/>
      <w:marTop w:val="0"/>
      <w:marBottom w:val="0"/>
      <w:divBdr>
        <w:top w:val="none" w:sz="0" w:space="0" w:color="auto"/>
        <w:left w:val="none" w:sz="0" w:space="0" w:color="auto"/>
        <w:bottom w:val="none" w:sz="0" w:space="0" w:color="auto"/>
        <w:right w:val="none" w:sz="0" w:space="0" w:color="auto"/>
      </w:divBdr>
    </w:div>
    <w:div w:id="90907965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421582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files_2020/vf_umbrales_actualizaciones_2022_-_2023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703D223-0BF7-41AB-A572-89B12842E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7298</Words>
  <Characters>40139</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4</cp:revision>
  <cp:lastPrinted>2023-01-10T21:18:00Z</cp:lastPrinted>
  <dcterms:created xsi:type="dcterms:W3CDTF">2025-05-30T20:44:00Z</dcterms:created>
  <dcterms:modified xsi:type="dcterms:W3CDTF">2025-06-05T05:04:00Z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