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F2CE8" w14:textId="77777777" w:rsidR="00924668" w:rsidRPr="00493EC6" w:rsidRDefault="00924668" w:rsidP="00924668">
      <w:pPr>
        <w:spacing w:after="0" w:line="240" w:lineRule="auto"/>
        <w:jc w:val="both"/>
        <w:rPr>
          <w:rFonts w:ascii="Verdana" w:eastAsia="Calibri" w:hAnsi="Verdana" w:cs="Arial"/>
          <w:b/>
          <w:bCs/>
          <w:lang w:eastAsia="es-ES"/>
        </w:rPr>
      </w:pPr>
      <w:bookmarkStart w:id="0" w:name="_Hlk186494164"/>
      <w:r w:rsidRPr="00493EC6">
        <w:rPr>
          <w:rFonts w:ascii="Verdana" w:eastAsia="Calibri" w:hAnsi="Verdana" w:cs="Arial"/>
          <w:b/>
          <w:bCs/>
          <w:lang w:val="es-ES" w:eastAsia="es-ES"/>
        </w:rPr>
        <w:t>COMPETENCIAS DE LOS CONCEJOS MUNICIPALES – Autorización – Suscripción de contratos</w:t>
      </w:r>
      <w:r w:rsidRPr="00493EC6">
        <w:rPr>
          <w:rFonts w:ascii="Verdana" w:eastAsia="Calibri" w:hAnsi="Verdana" w:cs="Arial"/>
          <w:b/>
          <w:bCs/>
          <w:lang w:eastAsia="es-ES"/>
        </w:rPr>
        <w:t xml:space="preserve"> </w:t>
      </w:r>
    </w:p>
    <w:p w14:paraId="06455651" w14:textId="77777777" w:rsidR="00924668" w:rsidRPr="00924668" w:rsidRDefault="00924668" w:rsidP="00924668">
      <w:pPr>
        <w:pStyle w:val="Textoindependiente"/>
        <w:jc w:val="both"/>
        <w:rPr>
          <w:rFonts w:ascii="Verdana" w:hAnsi="Verdana"/>
          <w:sz w:val="20"/>
          <w:szCs w:val="20"/>
        </w:rPr>
      </w:pPr>
      <w:r w:rsidRPr="00924668">
        <w:rPr>
          <w:rFonts w:ascii="Verdana" w:hAnsi="Verdana"/>
          <w:sz w:val="20"/>
          <w:szCs w:val="20"/>
        </w:rPr>
        <w:t xml:space="preserve">De las normas transcritas se tiene que la autorización que le confirió la Ley 80 de 1993 a los alcaldes debe interpretarse armónicamente con las atribuciones constitucionales y legales que le fueron conferidas a los concejos, en las que se colige de la posibilidad de autorización por parte del cabildo para el alcalde en el ejercicio de la contratación. Sin embargo, esta atribución no puede entenderse como supeditada a toda la contratación que esté a cargo de los alcaldes, como se explicará en el presente concepto. </w:t>
      </w:r>
    </w:p>
    <w:p w14:paraId="67249367" w14:textId="77777777" w:rsidR="00924668" w:rsidRPr="00493EC6" w:rsidRDefault="00924668" w:rsidP="00924668">
      <w:pPr>
        <w:spacing w:after="0" w:line="240" w:lineRule="auto"/>
        <w:jc w:val="both"/>
        <w:rPr>
          <w:rFonts w:ascii="Verdana" w:eastAsia="Calibri" w:hAnsi="Verdana" w:cs="Arial"/>
          <w:b/>
          <w:bCs/>
          <w:lang w:eastAsia="es-ES"/>
        </w:rPr>
      </w:pPr>
      <w:r w:rsidRPr="00493EC6">
        <w:rPr>
          <w:rFonts w:ascii="Verdana" w:eastAsia="Calibri" w:hAnsi="Verdana" w:cs="Arial"/>
          <w:b/>
          <w:bCs/>
          <w:lang w:val="es-ES" w:eastAsia="es-ES"/>
        </w:rPr>
        <w:t>COMPETENCIAS DE LOS CONCEJOS MUNICIPALES – Alcance – Competencias – Interpretación jurisprudencial</w:t>
      </w:r>
    </w:p>
    <w:p w14:paraId="0137C025" w14:textId="77777777" w:rsidR="00924668" w:rsidRPr="00493EC6" w:rsidRDefault="00924668" w:rsidP="00924668">
      <w:pPr>
        <w:spacing w:after="0" w:line="240" w:lineRule="auto"/>
        <w:jc w:val="both"/>
        <w:rPr>
          <w:rFonts w:ascii="Verdana" w:eastAsia="Calibri" w:hAnsi="Verdana" w:cs="Arial"/>
          <w:b/>
          <w:bCs/>
          <w:sz w:val="20"/>
          <w:szCs w:val="20"/>
          <w:lang w:eastAsia="es-ES"/>
        </w:rPr>
      </w:pPr>
    </w:p>
    <w:p w14:paraId="52D30A3B" w14:textId="77777777" w:rsidR="00924668" w:rsidRPr="00493EC6" w:rsidRDefault="00924668" w:rsidP="00924668">
      <w:pPr>
        <w:spacing w:after="0" w:line="240" w:lineRule="auto"/>
        <w:jc w:val="both"/>
        <w:rPr>
          <w:rFonts w:ascii="Verdana" w:hAnsi="Verdana"/>
          <w:sz w:val="20"/>
          <w:szCs w:val="20"/>
        </w:rPr>
      </w:pPr>
      <w:r w:rsidRPr="00493EC6">
        <w:rPr>
          <w:rFonts w:ascii="Verdana" w:hAnsi="Verdana"/>
          <w:sz w:val="20"/>
          <w:szCs w:val="20"/>
        </w:rPr>
        <w:t xml:space="preserve">De los pronunciamientos antes expuestos es posible concluir que, </w:t>
      </w:r>
      <w:r w:rsidRPr="00493EC6">
        <w:rPr>
          <w:rFonts w:ascii="Verdana" w:hAnsi="Verdana"/>
          <w:iCs/>
          <w:sz w:val="20"/>
          <w:szCs w:val="20"/>
        </w:rPr>
        <w:t>por regla general los alcaldes tienen la facultad general de suscribir contratos y dirigir la actividad contractual de los municipios sin necesidad de una autorización previa, general o periódica del concejo municipal</w:t>
      </w:r>
      <w:r w:rsidRPr="00493EC6">
        <w:rPr>
          <w:rFonts w:ascii="Verdana" w:hAnsi="Verdana"/>
          <w:sz w:val="20"/>
          <w:szCs w:val="20"/>
        </w:rPr>
        <w:t>.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w:t>
      </w:r>
    </w:p>
    <w:p w14:paraId="053C5B85" w14:textId="77777777" w:rsidR="00924668" w:rsidRPr="00493EC6" w:rsidRDefault="00924668" w:rsidP="00924668">
      <w:pPr>
        <w:spacing w:after="0" w:line="240" w:lineRule="auto"/>
        <w:jc w:val="both"/>
        <w:rPr>
          <w:rFonts w:ascii="Verdana" w:eastAsia="Calibri" w:hAnsi="Verdana" w:cs="Arial"/>
          <w:sz w:val="20"/>
          <w:szCs w:val="20"/>
          <w:lang w:eastAsia="es-ES"/>
        </w:rPr>
      </w:pPr>
    </w:p>
    <w:p w14:paraId="778FB356" w14:textId="77777777" w:rsidR="00924668" w:rsidRPr="00493EC6" w:rsidRDefault="00924668" w:rsidP="00924668">
      <w:pPr>
        <w:spacing w:after="0" w:line="240" w:lineRule="auto"/>
        <w:jc w:val="both"/>
        <w:rPr>
          <w:rFonts w:ascii="Verdana" w:eastAsia="Calibri" w:hAnsi="Verdana" w:cs="Arial"/>
          <w:b/>
          <w:bCs/>
          <w:lang w:val="es-ES" w:eastAsia="es-ES"/>
        </w:rPr>
      </w:pPr>
      <w:r w:rsidRPr="00493EC6">
        <w:rPr>
          <w:rFonts w:ascii="Verdana" w:eastAsia="Calibri" w:hAnsi="Verdana" w:cs="Arial"/>
          <w:b/>
          <w:bCs/>
          <w:lang w:val="es-ES" w:eastAsia="es-ES"/>
        </w:rPr>
        <w:t xml:space="preserve">COMPETENCIAS DE LOS CONCEJOS MUNICIPALES – Autorización – Suscripción de contratos – Mandato legal </w:t>
      </w:r>
    </w:p>
    <w:p w14:paraId="4EFB4B8B" w14:textId="77777777" w:rsidR="00924668" w:rsidRPr="00924668" w:rsidRDefault="00924668" w:rsidP="00924668">
      <w:pPr>
        <w:pStyle w:val="Textoindependiente"/>
        <w:jc w:val="both"/>
        <w:rPr>
          <w:rFonts w:ascii="Verdana" w:hAnsi="Verdana"/>
          <w:sz w:val="20"/>
          <w:szCs w:val="20"/>
        </w:rPr>
      </w:pPr>
      <w:r w:rsidRPr="00924668">
        <w:rPr>
          <w:rFonts w:ascii="Verdana" w:hAnsi="Verdana"/>
          <w:sz w:val="20"/>
          <w:szCs w:val="20"/>
        </w:rPr>
        <w:t>En este punto, se procede resaltar que el legislador previó algunos eventos en los cuales los alcaldes deben solicitar una autorización de los concejos municipales. Así, mediante la Ley 1551 de julio 6 de 2012 se modificó el citado el artículo 32, para adicionar el siguiente parágrafo que: “[E]l Concejo Municipal o Distrital deberá decidir sobre la autorización al alcalde para contratar en los siguientes casos: 1. Contratación de</w:t>
      </w:r>
      <w:r w:rsidRPr="00924668">
        <w:rPr>
          <w:rFonts w:ascii="Verdana" w:hAnsi="Verdana"/>
          <w:spacing w:val="-1"/>
          <w:sz w:val="20"/>
          <w:szCs w:val="20"/>
        </w:rPr>
        <w:t xml:space="preserve"> </w:t>
      </w:r>
      <w:r w:rsidRPr="00924668">
        <w:rPr>
          <w:rFonts w:ascii="Verdana" w:hAnsi="Verdana"/>
          <w:sz w:val="20"/>
          <w:szCs w:val="20"/>
        </w:rPr>
        <w:t>empréstitos. 2. Contratos que comprometan vigencias futuras. 3. Enajenación y compraventa de bienes inmuebles. 4. Enajenación de activos, acciones y cuotas partes. 5. Concesiones. 6. Las demás que determine la ley”.</w:t>
      </w:r>
    </w:p>
    <w:p w14:paraId="7501EBF9" w14:textId="77777777" w:rsidR="00924668" w:rsidRPr="00493EC6" w:rsidRDefault="00924668" w:rsidP="00924668">
      <w:pPr>
        <w:spacing w:after="0" w:line="240" w:lineRule="auto"/>
        <w:jc w:val="both"/>
        <w:rPr>
          <w:rFonts w:ascii="Verdana" w:eastAsia="Calibri" w:hAnsi="Verdana" w:cs="Arial"/>
          <w:b/>
          <w:bCs/>
          <w:lang w:eastAsia="es-ES"/>
        </w:rPr>
      </w:pPr>
      <w:r w:rsidRPr="00493EC6">
        <w:rPr>
          <w:rFonts w:ascii="Verdana" w:eastAsia="Calibri" w:hAnsi="Verdana" w:cs="Arial"/>
          <w:b/>
          <w:bCs/>
          <w:lang w:val="es-ES" w:eastAsia="es-ES"/>
        </w:rPr>
        <w:t>COMPETENCIAS DE LOS CONCEJOS MUNICIPALES – Autorización – Suscripción de contratos</w:t>
      </w:r>
      <w:r w:rsidRPr="00493EC6">
        <w:rPr>
          <w:rFonts w:ascii="Verdana" w:eastAsia="Calibri" w:hAnsi="Verdana" w:cs="Arial"/>
          <w:b/>
          <w:bCs/>
          <w:lang w:eastAsia="es-ES"/>
        </w:rPr>
        <w:t xml:space="preserve"> </w:t>
      </w:r>
      <w:r w:rsidRPr="00493EC6">
        <w:rPr>
          <w:rFonts w:ascii="Verdana" w:eastAsia="Calibri" w:hAnsi="Verdana" w:cs="Arial"/>
          <w:b/>
          <w:bCs/>
          <w:lang w:val="es-ES" w:eastAsia="es-ES"/>
        </w:rPr>
        <w:t>– Proporcionalidad y razonabilidad</w:t>
      </w:r>
    </w:p>
    <w:p w14:paraId="65C697C1" w14:textId="77777777" w:rsidR="00924668" w:rsidRDefault="00924668" w:rsidP="00924668">
      <w:pPr>
        <w:widowControl w:val="0"/>
        <w:autoSpaceDE w:val="0"/>
        <w:autoSpaceDN w:val="0"/>
        <w:spacing w:after="0" w:line="240" w:lineRule="auto"/>
        <w:jc w:val="both"/>
        <w:rPr>
          <w:rFonts w:ascii="Verdana" w:hAnsi="Verdana" w:cs="Arial"/>
          <w:sz w:val="20"/>
          <w:szCs w:val="20"/>
        </w:rPr>
      </w:pPr>
    </w:p>
    <w:p w14:paraId="0EB8C153" w14:textId="0D2B3B2B" w:rsidR="00924668" w:rsidRPr="00493EC6" w:rsidRDefault="00924668" w:rsidP="00924668">
      <w:pPr>
        <w:widowControl w:val="0"/>
        <w:autoSpaceDE w:val="0"/>
        <w:autoSpaceDN w:val="0"/>
        <w:spacing w:after="0" w:line="240" w:lineRule="auto"/>
        <w:jc w:val="both"/>
        <w:rPr>
          <w:rFonts w:ascii="Verdana" w:hAnsi="Verdana" w:cs="Arial"/>
          <w:sz w:val="20"/>
          <w:szCs w:val="20"/>
        </w:rPr>
      </w:pPr>
      <w:r>
        <w:rPr>
          <w:rFonts w:ascii="Verdana" w:hAnsi="Verdana" w:cs="Arial"/>
          <w:sz w:val="20"/>
          <w:szCs w:val="20"/>
        </w:rPr>
        <w:t>L</w:t>
      </w:r>
      <w:r w:rsidRPr="00493EC6">
        <w:rPr>
          <w:rFonts w:ascii="Verdana" w:hAnsi="Verdana" w:cs="Arial"/>
          <w:sz w:val="20"/>
          <w:szCs w:val="20"/>
        </w:rPr>
        <w:t xml:space="preserve">os consejos municipales deberán tener en cuenta que, en tanto función administrativa, la atribución debe ser ejercida bajo los criterios de razonabilidad y proporcionalidad, respetando el artículo 209 </w:t>
      </w:r>
      <w:r>
        <w:rPr>
          <w:rFonts w:ascii="Verdana" w:hAnsi="Verdana" w:cs="Arial"/>
          <w:sz w:val="20"/>
          <w:szCs w:val="20"/>
        </w:rPr>
        <w:t>superior</w:t>
      </w:r>
      <w:r w:rsidRPr="00493EC6">
        <w:rPr>
          <w:rFonts w:ascii="Verdana" w:hAnsi="Verdana" w:cs="Arial"/>
          <w:sz w:val="20"/>
          <w:szCs w:val="20"/>
        </w:rPr>
        <w:t xml:space="preserve">. En virtud de esto, los consejos municipales no deben interpretar la facultad que se viene estudiando en forma tal que se obligue al alcalde a solicitar autorizaciones del concejo en todos los casos en que vaya a contratar, sino únicamente en los que tal corporación disponga mediante un reglamento. </w:t>
      </w:r>
    </w:p>
    <w:p w14:paraId="5B6FAEB2" w14:textId="1554E1C0" w:rsidR="00831F6E" w:rsidRDefault="00924668" w:rsidP="00C10135">
      <w:pPr>
        <w:rPr>
          <w:rFonts w:ascii="Verdana" w:hAnsi="Verdana"/>
        </w:rPr>
      </w:pPr>
      <w:r>
        <w:rPr>
          <w:rFonts w:ascii="Verdana" w:hAnsi="Verdana"/>
        </w:rPr>
        <w:br w:type="page"/>
      </w:r>
      <w:r w:rsidR="00C10135">
        <w:rPr>
          <w:rFonts w:ascii="Verdana" w:hAnsi="Verdana"/>
        </w:rPr>
        <w:lastRenderedPageBreak/>
        <w:t>Bo</w:t>
      </w:r>
      <w:r w:rsidR="00831F6E" w:rsidRPr="0044528D">
        <w:rPr>
          <w:rFonts w:ascii="Verdana" w:hAnsi="Verdana"/>
        </w:rPr>
        <w:t xml:space="preserve">gotá D.C., </w:t>
      </w:r>
      <w:r w:rsidR="007616FB">
        <w:rPr>
          <w:rFonts w:ascii="Verdana" w:hAnsi="Verdana"/>
        </w:rPr>
        <w:t>04</w:t>
      </w:r>
      <w:r w:rsidR="00DA7FD5">
        <w:rPr>
          <w:rFonts w:ascii="Verdana" w:hAnsi="Verdana"/>
        </w:rPr>
        <w:t xml:space="preserve"> </w:t>
      </w:r>
      <w:r w:rsidR="00A55259">
        <w:rPr>
          <w:rFonts w:ascii="Verdana" w:hAnsi="Verdana"/>
        </w:rPr>
        <w:t xml:space="preserve">de </w:t>
      </w:r>
      <w:r w:rsidR="007616FB">
        <w:rPr>
          <w:rFonts w:ascii="Verdana" w:hAnsi="Verdana"/>
        </w:rPr>
        <w:t>junio</w:t>
      </w:r>
      <w:r w:rsidR="00A55259">
        <w:rPr>
          <w:rFonts w:ascii="Verdana" w:hAnsi="Verdana"/>
        </w:rPr>
        <w:t xml:space="preserve"> de </w:t>
      </w:r>
      <w:r w:rsidR="007616FB">
        <w:rPr>
          <w:rFonts w:ascii="Verdana" w:hAnsi="Verdana"/>
        </w:rPr>
        <w:t>2025</w:t>
      </w:r>
      <w:r w:rsidR="00A55259">
        <w:rPr>
          <w:rFonts w:ascii="Verdana" w:hAnsi="Verdana"/>
        </w:rPr>
        <w:t>.</w:t>
      </w:r>
    </w:p>
    <w:p w14:paraId="585552E2" w14:textId="77777777" w:rsidR="005D79D9" w:rsidRPr="00505CD6" w:rsidRDefault="005D79D9" w:rsidP="00370110">
      <w:pPr>
        <w:spacing w:after="0" w:line="240" w:lineRule="auto"/>
        <w:jc w:val="right"/>
        <w:rPr>
          <w:rFonts w:ascii="Verdana" w:eastAsia="Calibri" w:hAnsi="Verdana" w:cs="Arial"/>
          <w:color w:val="000000"/>
          <w:lang w:val="es-ES"/>
        </w:rPr>
      </w:pPr>
    </w:p>
    <w:p w14:paraId="4428D988" w14:textId="0B6D6A41" w:rsidR="00505CD6" w:rsidRPr="00505CD6" w:rsidRDefault="00505CD6" w:rsidP="00505CD6">
      <w:pPr>
        <w:spacing w:after="0" w:line="240" w:lineRule="auto"/>
        <w:jc w:val="both"/>
        <w:rPr>
          <w:rFonts w:ascii="Verdana" w:eastAsia="Calibri" w:hAnsi="Verdana" w:cs="Arial"/>
          <w:lang w:val="es-ES" w:eastAsia="es-ES"/>
        </w:rPr>
      </w:pPr>
      <w:r w:rsidRPr="00505CD6">
        <w:rPr>
          <w:rFonts w:ascii="Verdana" w:eastAsia="Calibri" w:hAnsi="Verdana" w:cs="Arial"/>
          <w:lang w:val="es-ES" w:eastAsia="es-ES"/>
        </w:rPr>
        <w:t>Señor</w:t>
      </w:r>
    </w:p>
    <w:p w14:paraId="1DAE55DD" w14:textId="6E2288D9" w:rsidR="008D6B40" w:rsidRDefault="008D6B40" w:rsidP="00505CD6">
      <w:pPr>
        <w:spacing w:after="0" w:line="240" w:lineRule="auto"/>
        <w:rPr>
          <w:rFonts w:ascii="Verdana" w:eastAsia="Calibri" w:hAnsi="Verdana" w:cs="Arial"/>
          <w:b/>
          <w:bCs/>
          <w:lang w:eastAsia="es-ES"/>
        </w:rPr>
      </w:pPr>
      <w:r w:rsidRPr="008D6B40">
        <w:rPr>
          <w:rFonts w:ascii="Verdana" w:eastAsia="Calibri" w:hAnsi="Verdana" w:cs="Arial"/>
          <w:b/>
          <w:bCs/>
          <w:lang w:eastAsia="es-ES"/>
        </w:rPr>
        <w:t xml:space="preserve">JULIO RAMIRO PEÑA RAMIREZ </w:t>
      </w:r>
      <w:r w:rsidR="007616FB">
        <w:rPr>
          <w:rFonts w:ascii="Verdana" w:eastAsia="Calibri" w:hAnsi="Verdana" w:cs="Arial"/>
          <w:b/>
          <w:bCs/>
          <w:lang w:eastAsia="es-ES"/>
        </w:rPr>
        <w:t xml:space="preserve">                </w:t>
      </w:r>
    </w:p>
    <w:p w14:paraId="74ED1BC3" w14:textId="76B15095" w:rsidR="008D6B40" w:rsidRDefault="008D6B40" w:rsidP="00505CD6">
      <w:pPr>
        <w:spacing w:after="0" w:line="240" w:lineRule="auto"/>
        <w:rPr>
          <w:rFonts w:ascii="Verdana" w:hAnsi="Verdana"/>
        </w:rPr>
      </w:pPr>
      <w:hyperlink r:id="rId11" w:history="1">
        <w:r w:rsidRPr="00C05F28">
          <w:rPr>
            <w:rStyle w:val="Hipervnculo"/>
            <w:rFonts w:ascii="Verdana" w:hAnsi="Verdana"/>
          </w:rPr>
          <w:t>s-gobierno@pauna-boyaca.gov.co</w:t>
        </w:r>
      </w:hyperlink>
      <w:r>
        <w:rPr>
          <w:rFonts w:ascii="Verdana" w:hAnsi="Verdana"/>
        </w:rPr>
        <w:t xml:space="preserve"> </w:t>
      </w:r>
      <w:r w:rsidRPr="008D6B40">
        <w:rPr>
          <w:rFonts w:ascii="Verdana" w:hAnsi="Verdana"/>
        </w:rPr>
        <w:t xml:space="preserve"> </w:t>
      </w:r>
    </w:p>
    <w:p w14:paraId="3FE49E4D" w14:textId="00F2928F" w:rsidR="00505CD6" w:rsidRPr="00625FC1" w:rsidRDefault="008D6B40" w:rsidP="00505CD6">
      <w:pPr>
        <w:spacing w:after="0" w:line="240" w:lineRule="auto"/>
        <w:rPr>
          <w:rFonts w:ascii="Verdana" w:hAnsi="Verdana"/>
        </w:rPr>
      </w:pPr>
      <w:r>
        <w:rPr>
          <w:rFonts w:ascii="Verdana" w:eastAsia="Calibri" w:hAnsi="Verdana" w:cs="Arial"/>
          <w:lang w:eastAsia="es-ES"/>
        </w:rPr>
        <w:t>Bogotá D.C.</w:t>
      </w:r>
    </w:p>
    <w:p w14:paraId="187D6813" w14:textId="1104CCF9" w:rsidR="00D86866" w:rsidRDefault="007616FB" w:rsidP="007616FB">
      <w:pPr>
        <w:spacing w:after="0" w:line="240" w:lineRule="auto"/>
        <w:jc w:val="right"/>
        <w:rPr>
          <w:rFonts w:ascii="Verdana" w:eastAsia="Calibri" w:hAnsi="Verdana" w:cs="Arial"/>
          <w:lang w:val="es-ES" w:eastAsia="es-ES"/>
        </w:rPr>
      </w:pPr>
      <w:r>
        <w:rPr>
          <w:rFonts w:ascii="Verdana" w:eastAsia="Calibri" w:hAnsi="Verdana" w:cs="Arial"/>
          <w:b/>
          <w:bCs/>
          <w:noProof/>
          <w:lang w:eastAsia="es-ES"/>
        </w:rPr>
        <w:drawing>
          <wp:inline distT="0" distB="0" distL="0" distR="0" wp14:anchorId="00382EB3" wp14:editId="06642C06">
            <wp:extent cx="2226505" cy="676275"/>
            <wp:effectExtent l="0" t="0" r="2540" b="0"/>
            <wp:docPr id="16259271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0178" cy="677391"/>
                    </a:xfrm>
                    <a:prstGeom prst="rect">
                      <a:avLst/>
                    </a:prstGeom>
                    <a:noFill/>
                    <a:ln>
                      <a:noFill/>
                    </a:ln>
                  </pic:spPr>
                </pic:pic>
              </a:graphicData>
            </a:graphic>
          </wp:inline>
        </w:drawing>
      </w:r>
    </w:p>
    <w:p w14:paraId="4C986393" w14:textId="77777777" w:rsidR="007616FB" w:rsidRDefault="007616FB" w:rsidP="00505CD6">
      <w:pPr>
        <w:spacing w:after="0" w:line="240" w:lineRule="auto"/>
        <w:rPr>
          <w:rFonts w:ascii="Verdana" w:eastAsia="Calibri" w:hAnsi="Verdana" w:cs="Arial"/>
          <w:lang w:val="es-ES" w:eastAsia="es-ES"/>
        </w:rPr>
      </w:pPr>
    </w:p>
    <w:p w14:paraId="23E7CB17" w14:textId="77777777" w:rsidR="007616FB" w:rsidRDefault="007616FB" w:rsidP="00505CD6">
      <w:pPr>
        <w:spacing w:after="0" w:line="240" w:lineRule="auto"/>
        <w:rPr>
          <w:rFonts w:ascii="Verdana" w:eastAsia="Calibri" w:hAnsi="Verdana" w:cs="Arial"/>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505CD6" w:rsidRPr="00505CD6" w14:paraId="693DC68A" w14:textId="77777777" w:rsidTr="00CA638D">
        <w:trPr>
          <w:trHeight w:val="630"/>
        </w:trPr>
        <w:tc>
          <w:tcPr>
            <w:tcW w:w="2552" w:type="dxa"/>
          </w:tcPr>
          <w:p w14:paraId="7A252846" w14:textId="77777777" w:rsidR="00505CD6" w:rsidRDefault="00505CD6" w:rsidP="00505CD6">
            <w:pPr>
              <w:jc w:val="both"/>
              <w:rPr>
                <w:rFonts w:ascii="Verdana" w:eastAsia="Calibri" w:hAnsi="Verdana" w:cs="Arial"/>
                <w:b/>
                <w:bCs/>
                <w:color w:val="7030A0"/>
                <w:lang w:val="es-ES_tradnl" w:eastAsia="es-ES_tradnl"/>
              </w:rPr>
            </w:pPr>
          </w:p>
          <w:p w14:paraId="64C39A8C" w14:textId="77777777" w:rsidR="00D86866" w:rsidRPr="00505CD6" w:rsidRDefault="00D86866" w:rsidP="00505CD6">
            <w:pPr>
              <w:jc w:val="both"/>
              <w:rPr>
                <w:rFonts w:ascii="Verdana" w:eastAsia="Calibri" w:hAnsi="Verdana" w:cs="Arial"/>
                <w:b/>
                <w:bCs/>
                <w:color w:val="7030A0"/>
                <w:lang w:val="es-ES_tradnl" w:eastAsia="es-ES_tradnl"/>
              </w:rPr>
            </w:pPr>
          </w:p>
        </w:tc>
        <w:tc>
          <w:tcPr>
            <w:tcW w:w="6237" w:type="dxa"/>
          </w:tcPr>
          <w:p w14:paraId="3F0CCDBE" w14:textId="0256EC5C" w:rsidR="00505CD6" w:rsidRPr="00505CD6" w:rsidRDefault="00505CD6" w:rsidP="00505CD6">
            <w:pPr>
              <w:jc w:val="both"/>
              <w:rPr>
                <w:rFonts w:ascii="Verdana" w:eastAsia="Calibri" w:hAnsi="Verdana" w:cs="Arial"/>
                <w:b/>
                <w:bCs/>
                <w:lang w:val="es-ES" w:eastAsia="es-ES"/>
              </w:rPr>
            </w:pPr>
            <w:r w:rsidRPr="00505CD6">
              <w:rPr>
                <w:rFonts w:ascii="Verdana" w:eastAsia="Calibri" w:hAnsi="Verdana" w:cs="Arial"/>
                <w:b/>
                <w:bCs/>
                <w:lang w:val="es-ES" w:eastAsia="es-ES"/>
              </w:rPr>
              <w:t xml:space="preserve">Concepto C – </w:t>
            </w:r>
            <w:r w:rsidR="008D6B40">
              <w:rPr>
                <w:rFonts w:ascii="Verdana" w:eastAsia="Calibri" w:hAnsi="Verdana" w:cs="Arial"/>
                <w:b/>
                <w:bCs/>
                <w:lang w:val="es-ES" w:eastAsia="es-ES"/>
              </w:rPr>
              <w:t>500</w:t>
            </w:r>
            <w:r w:rsidR="00353ECE">
              <w:rPr>
                <w:rFonts w:ascii="Verdana" w:eastAsia="Calibri" w:hAnsi="Verdana" w:cs="Arial"/>
                <w:b/>
                <w:bCs/>
                <w:lang w:val="es-ES" w:eastAsia="es-ES"/>
              </w:rPr>
              <w:t xml:space="preserve"> </w:t>
            </w:r>
            <w:r w:rsidRPr="00505CD6">
              <w:rPr>
                <w:rFonts w:ascii="Verdana" w:eastAsia="Calibri" w:hAnsi="Verdana" w:cs="Arial"/>
                <w:b/>
                <w:bCs/>
                <w:lang w:val="es-ES" w:eastAsia="es-ES"/>
              </w:rPr>
              <w:t>de 2025</w:t>
            </w:r>
          </w:p>
        </w:tc>
      </w:tr>
      <w:tr w:rsidR="00505CD6" w:rsidRPr="005525D6" w14:paraId="345204EE" w14:textId="77777777" w:rsidTr="00CA638D">
        <w:trPr>
          <w:trHeight w:val="884"/>
        </w:trPr>
        <w:tc>
          <w:tcPr>
            <w:tcW w:w="2552" w:type="dxa"/>
          </w:tcPr>
          <w:p w14:paraId="01F69825" w14:textId="77777777" w:rsidR="00505CD6" w:rsidRPr="00505CD6" w:rsidRDefault="00505CD6" w:rsidP="00505CD6">
            <w:pPr>
              <w:jc w:val="both"/>
              <w:rPr>
                <w:rFonts w:ascii="Verdana" w:eastAsia="Calibri" w:hAnsi="Verdana" w:cs="Arial"/>
                <w:color w:val="000000"/>
                <w:lang w:val="es-ES_tradnl" w:eastAsia="es-ES_tradnl"/>
              </w:rPr>
            </w:pPr>
            <w:r w:rsidRPr="00505CD6">
              <w:rPr>
                <w:rFonts w:ascii="Verdana" w:eastAsia="Calibri" w:hAnsi="Verdana" w:cs="Arial"/>
                <w:b/>
                <w:color w:val="000000"/>
                <w:lang w:val="es-ES_tradnl" w:eastAsia="es-ES_tradnl"/>
              </w:rPr>
              <w:t>Temas:</w:t>
            </w:r>
            <w:r w:rsidRPr="00505CD6">
              <w:rPr>
                <w:rFonts w:ascii="Verdana" w:eastAsia="Calibri" w:hAnsi="Verdana" w:cs="Arial"/>
                <w:color w:val="000000"/>
                <w:lang w:val="es-ES_tradnl" w:eastAsia="es-ES_tradnl"/>
              </w:rPr>
              <w:t xml:space="preserve">                   </w:t>
            </w:r>
          </w:p>
        </w:tc>
        <w:tc>
          <w:tcPr>
            <w:tcW w:w="6237" w:type="dxa"/>
          </w:tcPr>
          <w:p w14:paraId="6BEA5145" w14:textId="74ECD168" w:rsidR="009525E5" w:rsidRPr="00C10135" w:rsidRDefault="00C10135" w:rsidP="00C10135">
            <w:pPr>
              <w:jc w:val="both"/>
              <w:rPr>
                <w:rFonts w:ascii="Verdana" w:eastAsia="Calibri" w:hAnsi="Verdana" w:cs="Arial"/>
                <w:lang w:eastAsia="es-ES"/>
              </w:rPr>
            </w:pPr>
            <w:r w:rsidRPr="00C635DD">
              <w:rPr>
                <w:rFonts w:ascii="Verdana" w:eastAsia="Calibri" w:hAnsi="Verdana" w:cs="Arial"/>
                <w:lang w:val="es-ES" w:eastAsia="es-ES"/>
              </w:rPr>
              <w:t>COMPETENCIAS DE LOS CONCEJOS MUNICIPALES – Autorización – Suscripción de contratos</w:t>
            </w:r>
            <w:r w:rsidRPr="00C635DD">
              <w:rPr>
                <w:rFonts w:ascii="Verdana" w:eastAsia="Calibri" w:hAnsi="Verdana" w:cs="Arial"/>
                <w:lang w:eastAsia="es-ES"/>
              </w:rPr>
              <w:t xml:space="preserve"> /</w:t>
            </w:r>
            <w:r w:rsidRPr="00C635DD">
              <w:rPr>
                <w:rFonts w:ascii="Verdana" w:eastAsia="Calibri" w:hAnsi="Verdana" w:cs="Arial"/>
                <w:lang w:val="es-ES" w:eastAsia="es-ES"/>
              </w:rPr>
              <w:t xml:space="preserve"> COMPETENCIAS DE LOS CONCEJOS MUNICIPALES – Alcance – Competencias – Interpretación jurisprudencial</w:t>
            </w:r>
            <w:r w:rsidRPr="00C635DD">
              <w:rPr>
                <w:rFonts w:ascii="Verdana" w:eastAsia="Calibri" w:hAnsi="Verdana" w:cs="Arial"/>
                <w:lang w:eastAsia="es-ES"/>
              </w:rPr>
              <w:t xml:space="preserve"> / </w:t>
            </w:r>
            <w:r w:rsidRPr="00C635DD">
              <w:rPr>
                <w:rFonts w:ascii="Verdana" w:eastAsia="Calibri" w:hAnsi="Verdana" w:cs="Arial"/>
                <w:lang w:val="es-ES" w:eastAsia="es-ES"/>
              </w:rPr>
              <w:t>COMPETENCIAS DE LOS CONCEJOS MUNICIPALES – Autorización – Suscripción de contratos – Mandato legal / COMPETENCIAS DE LOS CONCEJOS MUNICIPALES – Autorización – Suscripción de contratos</w:t>
            </w:r>
            <w:r w:rsidRPr="00C635DD">
              <w:rPr>
                <w:rFonts w:ascii="Verdana" w:eastAsia="Calibri" w:hAnsi="Verdana" w:cs="Arial"/>
                <w:lang w:eastAsia="es-ES"/>
              </w:rPr>
              <w:t xml:space="preserve"> </w:t>
            </w:r>
            <w:r w:rsidRPr="00C635DD">
              <w:rPr>
                <w:rFonts w:ascii="Verdana" w:eastAsia="Calibri" w:hAnsi="Verdana" w:cs="Arial"/>
                <w:lang w:val="es-ES" w:eastAsia="es-ES"/>
              </w:rPr>
              <w:t>– Proporcionalidad y razonabilidad</w:t>
            </w:r>
            <w:r w:rsidR="00EB672F">
              <w:rPr>
                <w:rFonts w:ascii="Verdana" w:eastAsia="Calibri" w:hAnsi="Verdana"/>
                <w:lang w:val="es-ES_tradnl" w:eastAsia="es-ES_tradnl"/>
              </w:rPr>
              <w:t>.</w:t>
            </w:r>
          </w:p>
          <w:p w14:paraId="24A3A086" w14:textId="2A8985F2" w:rsidR="00EB672F" w:rsidRPr="00353ECE" w:rsidRDefault="00EB672F" w:rsidP="00EB672F">
            <w:pPr>
              <w:spacing w:line="276" w:lineRule="auto"/>
              <w:jc w:val="both"/>
              <w:rPr>
                <w:rFonts w:ascii="Verdana" w:eastAsia="Calibri" w:hAnsi="Verdana" w:cs="Arial"/>
                <w:highlight w:val="yellow"/>
                <w:lang w:val="es-ES" w:eastAsia="es-ES"/>
              </w:rPr>
            </w:pPr>
          </w:p>
        </w:tc>
      </w:tr>
      <w:tr w:rsidR="00505CD6" w:rsidRPr="00505CD6" w14:paraId="0496523F" w14:textId="77777777" w:rsidTr="00CA638D">
        <w:tc>
          <w:tcPr>
            <w:tcW w:w="2552" w:type="dxa"/>
          </w:tcPr>
          <w:p w14:paraId="4993E68B" w14:textId="77777777" w:rsidR="00505CD6" w:rsidRPr="00505CD6" w:rsidRDefault="00505CD6" w:rsidP="00505CD6">
            <w:pPr>
              <w:jc w:val="both"/>
              <w:rPr>
                <w:rFonts w:ascii="Verdana" w:eastAsia="Calibri" w:hAnsi="Verdana" w:cs="Arial"/>
                <w:b/>
                <w:lang w:val="es-ES_tradnl" w:eastAsia="es-ES_tradnl"/>
              </w:rPr>
            </w:pPr>
            <w:r w:rsidRPr="00505CD6">
              <w:rPr>
                <w:rFonts w:ascii="Verdana" w:eastAsia="Calibri" w:hAnsi="Verdana" w:cs="Arial"/>
                <w:b/>
                <w:lang w:val="es-ES_tradnl" w:eastAsia="es-ES_tradnl"/>
              </w:rPr>
              <w:t>Radicación:</w:t>
            </w:r>
            <w:r w:rsidRPr="00505CD6">
              <w:rPr>
                <w:rFonts w:ascii="Verdana" w:eastAsia="Calibri" w:hAnsi="Verdana" w:cs="Arial"/>
                <w:lang w:val="es-ES_tradnl" w:eastAsia="es-ES_tradnl"/>
              </w:rPr>
              <w:t xml:space="preserve">               </w:t>
            </w:r>
          </w:p>
        </w:tc>
        <w:tc>
          <w:tcPr>
            <w:tcW w:w="6237" w:type="dxa"/>
          </w:tcPr>
          <w:p w14:paraId="15F3DBAD" w14:textId="0593591A" w:rsidR="005525D6" w:rsidRDefault="00505CD6" w:rsidP="00F75206">
            <w:pPr>
              <w:jc w:val="both"/>
              <w:rPr>
                <w:rFonts w:ascii="Verdana" w:hAnsi="Verdana"/>
                <w:color w:val="000000"/>
              </w:rPr>
            </w:pPr>
            <w:r w:rsidRPr="00505CD6">
              <w:rPr>
                <w:rFonts w:ascii="Verdana" w:eastAsia="Calibri" w:hAnsi="Verdana" w:cs="Arial"/>
                <w:lang w:val="es-ES_tradnl" w:eastAsia="es-ES_tradnl"/>
              </w:rPr>
              <w:t xml:space="preserve">Respuesta a la consulta con radicado No.   </w:t>
            </w:r>
            <w:r w:rsidR="008D6B40" w:rsidRPr="008D6B40">
              <w:rPr>
                <w:rFonts w:ascii="Verdana" w:eastAsia="Calibri" w:hAnsi="Verdana" w:cs="Arial"/>
                <w:lang w:val="es-ES_tradnl" w:eastAsia="es-ES_tradnl"/>
              </w:rPr>
              <w:t>P20250423003885</w:t>
            </w:r>
            <w:r w:rsidR="005525D6">
              <w:rPr>
                <w:rFonts w:ascii="Verdana" w:hAnsi="Verdana"/>
                <w:color w:val="000000"/>
              </w:rPr>
              <w:t>.</w:t>
            </w:r>
          </w:p>
          <w:p w14:paraId="4A00324B" w14:textId="523A385B" w:rsidR="00505CD6" w:rsidRPr="00505CD6" w:rsidRDefault="00505CD6" w:rsidP="00505CD6">
            <w:pPr>
              <w:jc w:val="both"/>
              <w:rPr>
                <w:rFonts w:ascii="Verdana" w:eastAsia="Calibri" w:hAnsi="Verdana" w:cs="Arial"/>
                <w:lang w:val="es-ES_tradnl" w:eastAsia="es-ES_tradnl"/>
              </w:rPr>
            </w:pPr>
            <w:r w:rsidRPr="00505CD6">
              <w:rPr>
                <w:rFonts w:ascii="Verdana" w:eastAsia="Calibri" w:hAnsi="Verdana" w:cs="Arial"/>
                <w:lang w:val="es-ES_tradnl" w:eastAsia="es-ES_tradnl"/>
              </w:rPr>
              <w:t xml:space="preserve">                                 </w:t>
            </w:r>
          </w:p>
        </w:tc>
      </w:tr>
    </w:tbl>
    <w:p w14:paraId="705B6F76" w14:textId="48891886" w:rsidR="00505CD6" w:rsidRPr="00505CD6" w:rsidRDefault="00505CD6" w:rsidP="00505CD6">
      <w:pPr>
        <w:spacing w:after="0" w:line="276" w:lineRule="auto"/>
        <w:jc w:val="both"/>
        <w:rPr>
          <w:rFonts w:ascii="Verdana" w:eastAsia="Calibri" w:hAnsi="Verdana" w:cs="Arial"/>
          <w:lang w:val="es-ES" w:eastAsia="es-ES"/>
        </w:rPr>
      </w:pPr>
      <w:r w:rsidRPr="00505CD6">
        <w:rPr>
          <w:rFonts w:ascii="Verdana" w:eastAsia="Calibri" w:hAnsi="Verdana" w:cs="Arial"/>
          <w:lang w:val="es-ES" w:eastAsia="es-ES"/>
        </w:rPr>
        <w:t>Estimad</w:t>
      </w:r>
      <w:r w:rsidR="008D6B40">
        <w:rPr>
          <w:rFonts w:ascii="Verdana" w:eastAsia="Calibri" w:hAnsi="Verdana" w:cs="Arial"/>
          <w:lang w:val="es-ES" w:eastAsia="es-ES"/>
        </w:rPr>
        <w:t>o</w:t>
      </w:r>
      <w:r w:rsidRPr="00505CD6">
        <w:rPr>
          <w:rFonts w:ascii="Verdana" w:eastAsia="Calibri" w:hAnsi="Verdana" w:cs="Arial"/>
          <w:lang w:val="es-ES" w:eastAsia="es-ES"/>
        </w:rPr>
        <w:t xml:space="preserve"> señor </w:t>
      </w:r>
      <w:r w:rsidR="008D6B40">
        <w:rPr>
          <w:rFonts w:ascii="Verdana" w:eastAsia="Calibri" w:hAnsi="Verdana" w:cs="Arial"/>
          <w:lang w:val="es-ES" w:eastAsia="es-ES"/>
        </w:rPr>
        <w:t>Pe</w:t>
      </w:r>
      <w:r w:rsidR="008D6B40" w:rsidRPr="008D6B40">
        <w:rPr>
          <w:rFonts w:ascii="Verdana" w:eastAsia="Calibri" w:hAnsi="Verdana" w:cs="Arial"/>
          <w:lang w:val="es-ES" w:eastAsia="es-ES"/>
        </w:rPr>
        <w:t>ña</w:t>
      </w:r>
      <w:r w:rsidR="008D75CE">
        <w:rPr>
          <w:rFonts w:ascii="Verdana" w:eastAsia="Calibri" w:hAnsi="Verdana" w:cs="Arial"/>
          <w:lang w:val="es-ES" w:eastAsia="es-ES"/>
        </w:rPr>
        <w:t>;</w:t>
      </w:r>
      <w:r w:rsidRPr="00505CD6">
        <w:rPr>
          <w:rFonts w:ascii="Verdana" w:eastAsia="Calibri" w:hAnsi="Verdana" w:cs="Arial"/>
          <w:lang w:val="es-ES" w:eastAsia="es-ES"/>
        </w:rPr>
        <w:t xml:space="preserve"> </w:t>
      </w:r>
    </w:p>
    <w:p w14:paraId="7ECFF328" w14:textId="77777777" w:rsidR="00505CD6" w:rsidRPr="00505CD6" w:rsidRDefault="00505CD6" w:rsidP="00505CD6">
      <w:pPr>
        <w:tabs>
          <w:tab w:val="left" w:pos="3768"/>
        </w:tabs>
        <w:spacing w:after="0" w:line="276" w:lineRule="auto"/>
        <w:jc w:val="both"/>
        <w:rPr>
          <w:rFonts w:ascii="Verdana" w:eastAsia="Calibri" w:hAnsi="Verdana" w:cs="Arial"/>
          <w:color w:val="000000" w:themeColor="text1"/>
          <w:lang w:val="es-ES" w:eastAsia="es-ES"/>
        </w:rPr>
      </w:pPr>
      <w:r w:rsidRPr="00505CD6">
        <w:rPr>
          <w:rFonts w:ascii="Verdana" w:eastAsia="Calibri" w:hAnsi="Verdana" w:cs="Arial"/>
          <w:color w:val="000000" w:themeColor="text1"/>
          <w:lang w:val="es-ES" w:eastAsia="es-ES"/>
        </w:rPr>
        <w:tab/>
      </w:r>
    </w:p>
    <w:p w14:paraId="3B5F1D50" w14:textId="3722DB6E" w:rsidR="00EF11B4" w:rsidRDefault="00505CD6" w:rsidP="00505CD6">
      <w:pPr>
        <w:spacing w:after="120" w:line="276" w:lineRule="auto"/>
        <w:jc w:val="both"/>
        <w:rPr>
          <w:rFonts w:ascii="Verdana" w:eastAsia="Calibri" w:hAnsi="Verdana" w:cs="Arial"/>
          <w:lang w:val="es-ES" w:eastAsia="es-ES"/>
        </w:rPr>
      </w:pPr>
      <w:r w:rsidRPr="00505CD6">
        <w:rPr>
          <w:rFonts w:ascii="Verdana" w:eastAsia="Calibri" w:hAnsi="Verdana" w:cs="Arial"/>
          <w:color w:val="000000" w:themeColor="text1"/>
          <w:lang w:val="es-ES" w:eastAsia="es-ES"/>
        </w:rPr>
        <w:t>En ejercicio de la competencia otorgada por los artículos 3, numeral 5º, y 11, numeral 8º, del Decreto Ley 4170 de 2011,</w:t>
      </w:r>
      <w:r w:rsidRPr="00505CD6">
        <w:rPr>
          <w:rFonts w:ascii="Verdana" w:eastAsia="Arial MT" w:hAnsi="Verdana"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eastAsia="Calibri" w:hAnsi="Verdana" w:cs="Arial"/>
          <w:color w:val="000000" w:themeColor="text1"/>
          <w:lang w:val="es-ES" w:eastAsia="es-ES"/>
        </w:rPr>
        <w:t xml:space="preserve">la Agencia Nacional de Contratación Pública – Colombia Compra Eficiente responde su solicitud </w:t>
      </w:r>
      <w:r w:rsidR="008D6B40">
        <w:rPr>
          <w:rFonts w:ascii="Verdana" w:eastAsia="Calibri" w:hAnsi="Verdana" w:cs="Arial"/>
          <w:color w:val="000000" w:themeColor="text1"/>
          <w:lang w:val="es-ES" w:eastAsia="es-ES"/>
        </w:rPr>
        <w:t xml:space="preserve">trasladada por competencia por parte del Departamento Administrativo de la Función Pública y </w:t>
      </w:r>
      <w:r w:rsidR="00EF11B4">
        <w:rPr>
          <w:rFonts w:ascii="Verdana" w:eastAsia="Calibri" w:hAnsi="Verdana" w:cs="Arial"/>
          <w:color w:val="000000" w:themeColor="text1"/>
          <w:lang w:val="es-ES" w:eastAsia="es-ES"/>
        </w:rPr>
        <w:t xml:space="preserve">radicada en esta entidad el </w:t>
      </w:r>
      <w:r w:rsidR="00C664C1">
        <w:rPr>
          <w:rFonts w:ascii="Verdana" w:eastAsia="Calibri" w:hAnsi="Verdana" w:cs="Arial"/>
          <w:color w:val="000000" w:themeColor="text1"/>
          <w:lang w:val="es-ES" w:eastAsia="es-ES"/>
        </w:rPr>
        <w:t>2</w:t>
      </w:r>
      <w:r w:rsidR="00510A38">
        <w:rPr>
          <w:rFonts w:ascii="Verdana" w:eastAsia="Calibri" w:hAnsi="Verdana" w:cs="Arial"/>
          <w:color w:val="000000" w:themeColor="text1"/>
          <w:lang w:val="es-ES" w:eastAsia="es-ES"/>
        </w:rPr>
        <w:t>4</w:t>
      </w:r>
      <w:r w:rsidRPr="00505CD6">
        <w:rPr>
          <w:rFonts w:ascii="Verdana" w:eastAsia="Calibri" w:hAnsi="Verdana" w:cs="Arial"/>
          <w:lang w:val="es-ES" w:eastAsia="es-ES"/>
        </w:rPr>
        <w:t xml:space="preserve"> de </w:t>
      </w:r>
      <w:r w:rsidR="005D79D9">
        <w:rPr>
          <w:rFonts w:ascii="Verdana" w:eastAsia="Calibri" w:hAnsi="Verdana" w:cs="Arial"/>
          <w:lang w:val="es-ES" w:eastAsia="es-ES"/>
        </w:rPr>
        <w:t>abril</w:t>
      </w:r>
      <w:r w:rsidRPr="00505CD6">
        <w:rPr>
          <w:rFonts w:ascii="Verdana" w:eastAsia="Calibri" w:hAnsi="Verdana" w:cs="Arial"/>
          <w:lang w:val="es-ES" w:eastAsia="es-ES"/>
        </w:rPr>
        <w:t xml:space="preserve"> de 2025, en la cual </w:t>
      </w:r>
      <w:r w:rsidR="00CD707C">
        <w:rPr>
          <w:rFonts w:ascii="Verdana" w:eastAsia="Calibri" w:hAnsi="Verdana" w:cs="Arial"/>
          <w:lang w:val="es-ES" w:eastAsia="es-ES"/>
        </w:rPr>
        <w:t xml:space="preserve">manifiesta </w:t>
      </w:r>
      <w:r w:rsidRPr="00505CD6">
        <w:rPr>
          <w:rFonts w:ascii="Verdana" w:eastAsia="Calibri" w:hAnsi="Verdana" w:cs="Arial"/>
          <w:lang w:val="es-ES" w:eastAsia="es-ES"/>
        </w:rPr>
        <w:t>lo siguiente:</w:t>
      </w:r>
    </w:p>
    <w:p w14:paraId="54A5054D" w14:textId="7D87101F" w:rsidR="00C664C1" w:rsidRDefault="00C664C1" w:rsidP="00C664C1">
      <w:pPr>
        <w:spacing w:after="0" w:line="240" w:lineRule="auto"/>
        <w:ind w:left="567" w:right="616"/>
        <w:jc w:val="both"/>
        <w:rPr>
          <w:rFonts w:ascii="Verdana" w:eastAsia="Calibri" w:hAnsi="Verdana" w:cs="Arial"/>
          <w:i/>
          <w:iCs/>
          <w:lang w:eastAsia="es-ES"/>
        </w:rPr>
      </w:pPr>
      <w:r>
        <w:rPr>
          <w:rFonts w:ascii="Verdana" w:eastAsia="Calibri" w:hAnsi="Verdana" w:cs="Arial"/>
          <w:i/>
          <w:iCs/>
          <w:lang w:val="es-ES" w:eastAsia="es-ES"/>
        </w:rPr>
        <w:t xml:space="preserve">   </w:t>
      </w:r>
      <w:r w:rsidRPr="00C664C1">
        <w:rPr>
          <w:rFonts w:ascii="Verdana" w:eastAsia="Calibri" w:hAnsi="Verdana" w:cs="Arial"/>
          <w:i/>
          <w:iCs/>
          <w:lang w:eastAsia="es-ES"/>
        </w:rPr>
        <w:t xml:space="preserve"> ‘‘(…) 1.- Es necesario contar con autorización del Concejo Municipal para que un Alcalde suscriba contratos de comodatos de bienes muebles e inmuebles? (Sic)” </w:t>
      </w:r>
    </w:p>
    <w:p w14:paraId="129825DB" w14:textId="77777777" w:rsidR="00361E16" w:rsidRDefault="00361E16" w:rsidP="00361E16">
      <w:pPr>
        <w:spacing w:after="0" w:line="240" w:lineRule="auto"/>
        <w:ind w:left="426" w:right="1183"/>
        <w:jc w:val="both"/>
        <w:rPr>
          <w:rFonts w:ascii="Verdana" w:eastAsia="Calibri" w:hAnsi="Verdana" w:cs="Arial"/>
          <w:i/>
          <w:iCs/>
          <w:lang w:val="es-ES" w:eastAsia="es-ES"/>
        </w:rPr>
      </w:pPr>
    </w:p>
    <w:p w14:paraId="27870E03" w14:textId="1E96744E" w:rsidR="00505CD6" w:rsidRPr="00505CD6" w:rsidRDefault="00505CD6" w:rsidP="00505CD6">
      <w:pPr>
        <w:spacing w:after="12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eastAsia="Calibri" w:hAnsi="Verdana" w:cs="Arial"/>
          <w:color w:val="000000"/>
          <w:szCs w:val="24"/>
          <w:lang w:val="es-ES_tradnl" w:eastAsia="es-ES_tradnl"/>
        </w:rPr>
        <w:tab/>
      </w:r>
    </w:p>
    <w:p w14:paraId="0331487C"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problema</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jurídico</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 xml:space="preserve">de su consulta. </w:t>
      </w:r>
    </w:p>
    <w:p w14:paraId="14B663CA"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p>
    <w:p w14:paraId="341EEC57" w14:textId="77777777" w:rsidR="00505CD6" w:rsidRPr="00505CD6" w:rsidRDefault="00505CD6" w:rsidP="00AE394E">
      <w:pPr>
        <w:numPr>
          <w:ilvl w:val="0"/>
          <w:numId w:val="1"/>
        </w:numPr>
        <w:tabs>
          <w:tab w:val="left" w:pos="142"/>
          <w:tab w:val="left" w:pos="284"/>
        </w:tabs>
        <w:spacing w:after="0" w:line="276" w:lineRule="auto"/>
        <w:ind w:left="567"/>
        <w:contextualSpacing/>
        <w:jc w:val="both"/>
        <w:rPr>
          <w:rFonts w:ascii="Verdana" w:eastAsia="Century Gothic" w:hAnsi="Verdana" w:cs="Century Gothic"/>
          <w:b/>
          <w:bCs/>
          <w:lang w:val="es-ES"/>
        </w:rPr>
      </w:pPr>
      <w:r w:rsidRPr="00505CD6">
        <w:rPr>
          <w:rFonts w:ascii="Verdana" w:eastAsia="Century Gothic" w:hAnsi="Verdana" w:cs="Century Gothic"/>
          <w:b/>
          <w:bCs/>
          <w:lang w:val="es-ES"/>
        </w:rPr>
        <w:t>Problemas planteados:</w:t>
      </w:r>
    </w:p>
    <w:p w14:paraId="215D99AD" w14:textId="77777777" w:rsidR="00505CD6" w:rsidRPr="00505CD6" w:rsidRDefault="00505CD6" w:rsidP="00505CD6">
      <w:pPr>
        <w:tabs>
          <w:tab w:val="left" w:pos="426"/>
        </w:tabs>
        <w:spacing w:after="0" w:line="276" w:lineRule="auto"/>
        <w:jc w:val="both"/>
        <w:rPr>
          <w:rFonts w:ascii="Verdana" w:eastAsia="Century Gothic" w:hAnsi="Verdana" w:cs="Century Gothic"/>
          <w:lang w:val="es-ES"/>
        </w:rPr>
      </w:pPr>
    </w:p>
    <w:p w14:paraId="09F66CF2" w14:textId="21885F4F" w:rsidR="00E970C2" w:rsidRDefault="00272891" w:rsidP="00E970C2">
      <w:pPr>
        <w:spacing w:after="0" w:line="276" w:lineRule="auto"/>
        <w:jc w:val="both"/>
        <w:rPr>
          <w:rFonts w:ascii="Verdana" w:eastAsia="Century Gothic" w:hAnsi="Verdana" w:cs="Century Gothic"/>
        </w:rPr>
      </w:pPr>
      <w:r w:rsidRPr="00CD2FA0">
        <w:rPr>
          <w:rFonts w:ascii="Verdana" w:eastAsia="Century Gothic" w:hAnsi="Verdana" w:cs="Century Gothic"/>
        </w:rPr>
        <w:t xml:space="preserve">De acuerdo con el contenido de su solicitud, </w:t>
      </w:r>
      <w:r w:rsidRPr="00167C84">
        <w:rPr>
          <w:rFonts w:ascii="Verdana" w:eastAsia="Century Gothic" w:hAnsi="Verdana" w:cs="Century Gothic"/>
        </w:rPr>
        <w:t xml:space="preserve">esta Subdirección se resolverá </w:t>
      </w:r>
      <w:r w:rsidR="00C664C1">
        <w:rPr>
          <w:rFonts w:ascii="Verdana" w:eastAsia="Century Gothic" w:hAnsi="Verdana" w:cs="Century Gothic"/>
        </w:rPr>
        <w:t>el siguiente</w:t>
      </w:r>
      <w:r w:rsidR="00427379">
        <w:rPr>
          <w:rFonts w:ascii="Verdana" w:eastAsia="Century Gothic" w:hAnsi="Verdana" w:cs="Century Gothic"/>
        </w:rPr>
        <w:t xml:space="preserve"> problema jurídico</w:t>
      </w:r>
      <w:r w:rsidR="00E63531">
        <w:rPr>
          <w:rFonts w:ascii="Verdana" w:eastAsia="Century Gothic" w:hAnsi="Verdana" w:cs="Century Gothic"/>
        </w:rPr>
        <w:t xml:space="preserve">: </w:t>
      </w:r>
      <w:r w:rsidR="00C45755" w:rsidRPr="00C45755">
        <w:rPr>
          <w:rFonts w:ascii="Verdana" w:eastAsia="Century Gothic" w:hAnsi="Verdana" w:cs="Century Gothic"/>
        </w:rPr>
        <w:t>¿Está condicionado el alcalde a contar con el aval del Concejo Municipal para suscribir contratos de comodato de bienes del municipio</w:t>
      </w:r>
      <w:r w:rsidR="009219E4" w:rsidRPr="0064180E">
        <w:rPr>
          <w:rFonts w:ascii="Verdana" w:eastAsia="Century Gothic" w:hAnsi="Verdana" w:cs="Century Gothic"/>
        </w:rPr>
        <w:t>?</w:t>
      </w:r>
    </w:p>
    <w:p w14:paraId="2582CA46" w14:textId="77777777" w:rsidR="00222333" w:rsidRDefault="00222333" w:rsidP="003D68B9">
      <w:pPr>
        <w:spacing w:after="0" w:line="276" w:lineRule="auto"/>
        <w:jc w:val="both"/>
        <w:rPr>
          <w:rFonts w:ascii="Verdana" w:hAnsi="Verdana"/>
        </w:rPr>
      </w:pPr>
    </w:p>
    <w:p w14:paraId="66944936" w14:textId="01B9C214" w:rsidR="00505CD6" w:rsidRPr="00505CD6" w:rsidRDefault="00505CD6" w:rsidP="00272891">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Respuesta:</w:t>
      </w:r>
    </w:p>
    <w:p w14:paraId="61C9915B"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05CD6" w:rsidRPr="00505CD6" w14:paraId="17CA5EBC" w14:textId="77777777" w:rsidTr="006C5D8A">
        <w:trPr>
          <w:jc w:val="center"/>
        </w:trPr>
        <w:tc>
          <w:tcPr>
            <w:tcW w:w="8828" w:type="dxa"/>
            <w:shd w:val="clear" w:color="auto" w:fill="auto"/>
          </w:tcPr>
          <w:p w14:paraId="47681AD0" w14:textId="6A4B8B76" w:rsidR="00E0719A" w:rsidRDefault="009D73E8" w:rsidP="00DF06D2">
            <w:pPr>
              <w:spacing w:after="120" w:line="276" w:lineRule="auto"/>
              <w:jc w:val="both"/>
              <w:rPr>
                <w:rFonts w:ascii="Verdana" w:hAnsi="Verdana" w:cs="Arial"/>
              </w:rPr>
            </w:pPr>
            <w:bookmarkStart w:id="1" w:name="_Hlk171694685"/>
            <w:r>
              <w:rPr>
                <w:rFonts w:ascii="Verdana" w:eastAsia="Calibri" w:hAnsi="Verdana" w:cs="Arial"/>
                <w:color w:val="000000" w:themeColor="text1"/>
              </w:rPr>
              <w:t xml:space="preserve">      </w:t>
            </w:r>
            <w:r w:rsidR="009A765B">
              <w:rPr>
                <w:rFonts w:ascii="Verdana" w:eastAsia="Calibri" w:hAnsi="Verdana" w:cs="Arial"/>
                <w:color w:val="000000" w:themeColor="text1"/>
              </w:rPr>
              <w:t xml:space="preserve"> </w:t>
            </w:r>
            <w:bookmarkStart w:id="2" w:name="_Hlk198180814"/>
            <w:bookmarkStart w:id="3" w:name="_Hlk198180835"/>
            <w:r w:rsidR="0080412F">
              <w:rPr>
                <w:rFonts w:ascii="Verdana" w:eastAsia="Calibri" w:hAnsi="Verdana" w:cs="Arial"/>
                <w:color w:val="000000" w:themeColor="text1"/>
              </w:rPr>
              <w:t xml:space="preserve">  </w:t>
            </w:r>
            <w:r w:rsidR="00E0719A">
              <w:rPr>
                <w:rFonts w:ascii="Verdana" w:hAnsi="Verdana" w:cs="Arial"/>
              </w:rPr>
              <w:t xml:space="preserve">   </w:t>
            </w:r>
            <w:r w:rsidR="0064180E">
              <w:rPr>
                <w:rFonts w:ascii="Verdana" w:hAnsi="Verdana" w:cs="Arial"/>
              </w:rPr>
              <w:t xml:space="preserve">De manera preliminar es pertinente indicar </w:t>
            </w:r>
            <w:r w:rsidR="0064180E" w:rsidRPr="0064180E">
              <w:rPr>
                <w:rFonts w:ascii="Verdana" w:hAnsi="Verdana" w:cs="Arial"/>
              </w:rPr>
              <w:t>que los contratos de comodato, aunque no están tipificados en la Ley 80 de 1993 (Estatuto General de Contratación de la Administración Pública), son contratos estatales atípicos. Esto significa que, si bien su regulación principal se encuentra en el Código Civil (Artículos 2200 y siguientes), su celebración por parte de entidades estatales debe someterse a los principios de la función administrativa y la contratación pública.</w:t>
            </w:r>
          </w:p>
          <w:p w14:paraId="776AA87C" w14:textId="6923C06C" w:rsidR="0064180E" w:rsidRDefault="0064180E" w:rsidP="00DF06D2">
            <w:pPr>
              <w:spacing w:after="120" w:line="276" w:lineRule="auto"/>
              <w:jc w:val="both"/>
              <w:rPr>
                <w:rFonts w:ascii="Verdana" w:hAnsi="Verdana" w:cs="Arial"/>
              </w:rPr>
            </w:pPr>
            <w:r>
              <w:rPr>
                <w:rFonts w:ascii="Verdana" w:hAnsi="Verdana" w:cs="Arial"/>
              </w:rPr>
              <w:t xml:space="preserve">Ahora bien, </w:t>
            </w:r>
            <w:r w:rsidRPr="0064180E">
              <w:rPr>
                <w:rFonts w:ascii="Verdana" w:hAnsi="Verdana" w:cs="Arial"/>
              </w:rPr>
              <w:t>el Estatuto General de Contratación de la Administración Pública define algunos contratos típicos (obra, consultoría, etc.), pero que este listado es enunciativo. Por lo tanto, los contratos que celebren las entidades estatales se regirán por las disposiciones comerciales y civiles pertinentes, salvo en las materias particularmente reguladas en la Ley 80 de 1993. Esto implica que el comodato, aunque civil por su naturaleza, debe observar las reglas de capacidad jurídica, las reglas de selección objetiva, publicidad, etc., que aplican a la contratación estatal.</w:t>
            </w:r>
          </w:p>
          <w:p w14:paraId="66847CEF" w14:textId="7E3E758D" w:rsidR="0064180E" w:rsidRDefault="0064180E" w:rsidP="00DF06D2">
            <w:pPr>
              <w:spacing w:after="120" w:line="276" w:lineRule="auto"/>
              <w:jc w:val="both"/>
              <w:rPr>
                <w:rFonts w:ascii="Verdana" w:hAnsi="Verdana" w:cs="Arial"/>
              </w:rPr>
            </w:pPr>
            <w:r>
              <w:rPr>
                <w:rFonts w:ascii="Verdana" w:hAnsi="Verdana" w:cs="Arial"/>
              </w:rPr>
              <w:t xml:space="preserve">Ahora bien, </w:t>
            </w:r>
            <w:r w:rsidRPr="0064180E">
              <w:rPr>
                <w:rFonts w:ascii="Verdana" w:hAnsi="Verdana" w:cs="Arial"/>
              </w:rPr>
              <w:t>el numeral 3 del Artículo 313 de la Constitución Política</w:t>
            </w:r>
            <w:r>
              <w:rPr>
                <w:rFonts w:ascii="Verdana" w:hAnsi="Verdana" w:cs="Arial"/>
              </w:rPr>
              <w:t xml:space="preserve"> desarrollado en </w:t>
            </w:r>
            <w:r w:rsidRPr="0064180E">
              <w:rPr>
                <w:rFonts w:ascii="Verdana" w:hAnsi="Verdana" w:cs="Arial"/>
              </w:rPr>
              <w:t>el Artículo 32 de la Ley 136 de 1994, modificado por la Ley 1551 de 2012</w:t>
            </w:r>
            <w:r>
              <w:rPr>
                <w:rFonts w:ascii="Verdana" w:hAnsi="Verdana" w:cs="Arial"/>
              </w:rPr>
              <w:t>,</w:t>
            </w:r>
            <w:r w:rsidRPr="0064180E">
              <w:rPr>
                <w:rFonts w:ascii="Verdana" w:hAnsi="Verdana" w:cs="Arial"/>
              </w:rPr>
              <w:t xml:space="preserve"> atribuye a los Concejos Municipales la facultad de "Reglamentar la autorización al alcalde para contratar, señalando los casos en que requiere autorización previa del Concejo". </w:t>
            </w:r>
          </w:p>
          <w:p w14:paraId="75AAF250" w14:textId="30A2C721" w:rsidR="0064180E" w:rsidRDefault="0064180E" w:rsidP="00DF06D2">
            <w:pPr>
              <w:spacing w:after="120" w:line="276" w:lineRule="auto"/>
              <w:jc w:val="both"/>
              <w:rPr>
                <w:rFonts w:ascii="Verdana" w:hAnsi="Verdana" w:cs="Arial"/>
              </w:rPr>
            </w:pPr>
            <w:r>
              <w:rPr>
                <w:rFonts w:ascii="Verdana" w:hAnsi="Verdana" w:cs="Arial"/>
              </w:rPr>
              <w:t>Así las cosas</w:t>
            </w:r>
            <w:r w:rsidR="00C252CB">
              <w:rPr>
                <w:rFonts w:ascii="Verdana" w:hAnsi="Verdana" w:cs="Arial"/>
              </w:rPr>
              <w:t>,</w:t>
            </w:r>
            <w:r>
              <w:rPr>
                <w:rFonts w:ascii="Verdana" w:hAnsi="Verdana" w:cs="Arial"/>
              </w:rPr>
              <w:t xml:space="preserve"> </w:t>
            </w:r>
            <w:r w:rsidR="00C252CB">
              <w:rPr>
                <w:rFonts w:ascii="Verdana" w:hAnsi="Verdana" w:cs="Arial"/>
              </w:rPr>
              <w:t>la</w:t>
            </w:r>
            <w:r w:rsidR="00C252CB" w:rsidRPr="00C252CB">
              <w:rPr>
                <w:rFonts w:ascii="Verdana" w:hAnsi="Verdana" w:cs="Arial"/>
              </w:rPr>
              <w:t xml:space="preserve"> autorización del Concejo Municipal para que un </w:t>
            </w:r>
            <w:proofErr w:type="gramStart"/>
            <w:r w:rsidR="00C252CB" w:rsidRPr="00C252CB">
              <w:rPr>
                <w:rFonts w:ascii="Verdana" w:hAnsi="Verdana" w:cs="Arial"/>
              </w:rPr>
              <w:t>Alcalde</w:t>
            </w:r>
            <w:proofErr w:type="gramEnd"/>
            <w:r w:rsidR="00C252CB" w:rsidRPr="00C252CB">
              <w:rPr>
                <w:rFonts w:ascii="Verdana" w:hAnsi="Verdana" w:cs="Arial"/>
              </w:rPr>
              <w:t xml:space="preserve"> suscriba contratos de comodato dependerá fundamentalmente de lo que haya dispuesto el propio Concejo a través de un acuerdo municipal, en ejercicio de su facultad constitucional y legal de reglamentar los casos en que el </w:t>
            </w:r>
            <w:proofErr w:type="gramStart"/>
            <w:r w:rsidR="00C252CB" w:rsidRPr="00C252CB">
              <w:rPr>
                <w:rFonts w:ascii="Verdana" w:hAnsi="Verdana" w:cs="Arial"/>
              </w:rPr>
              <w:t>Alcalde</w:t>
            </w:r>
            <w:proofErr w:type="gramEnd"/>
            <w:r w:rsidR="00C252CB" w:rsidRPr="00C252CB">
              <w:rPr>
                <w:rFonts w:ascii="Verdana" w:hAnsi="Verdana" w:cs="Arial"/>
              </w:rPr>
              <w:t xml:space="preserve"> requiere autorización previa para contratar</w:t>
            </w:r>
            <w:r w:rsidR="00C252CB">
              <w:rPr>
                <w:rFonts w:ascii="Verdana" w:hAnsi="Verdana" w:cs="Arial"/>
              </w:rPr>
              <w:t>.</w:t>
            </w:r>
          </w:p>
          <w:p w14:paraId="7FD97CB8" w14:textId="23B9F96E" w:rsidR="00E0719A" w:rsidRPr="00DA095C" w:rsidRDefault="00E0719A" w:rsidP="00E0719A">
            <w:pPr>
              <w:spacing w:after="120" w:line="276" w:lineRule="auto"/>
              <w:jc w:val="both"/>
              <w:rPr>
                <w:rFonts w:ascii="Verdana" w:hAnsi="Verdana" w:cs="Arial"/>
              </w:rPr>
            </w:pPr>
            <w:r w:rsidRPr="00DA095C">
              <w:rPr>
                <w:rFonts w:ascii="Verdana" w:hAnsi="Verdana" w:cs="Arial"/>
              </w:rPr>
              <w:t>Finalmente debe advertirse, que el análisis para resolver problemas específicos en torno a los procesos de contratación de las entidades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1251CB0" w14:textId="2EA23F6B" w:rsidR="007F0A4C" w:rsidRPr="003E2495" w:rsidRDefault="00E0719A" w:rsidP="00E0719A">
            <w:pPr>
              <w:spacing w:after="120" w:line="276" w:lineRule="auto"/>
              <w:jc w:val="both"/>
              <w:rPr>
                <w:rFonts w:ascii="Verdana" w:hAnsi="Verdana"/>
              </w:rPr>
            </w:pPr>
            <w:r w:rsidRPr="00DA095C">
              <w:rPr>
                <w:rFonts w:ascii="Verdana"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r>
              <w:rPr>
                <w:rFonts w:ascii="Verdana" w:hAnsi="Verdana" w:cs="Arial"/>
              </w:rPr>
              <w:t>.</w:t>
            </w:r>
            <w:r w:rsidR="009A765B">
              <w:rPr>
                <w:rFonts w:ascii="Verdana" w:eastAsia="Calibri" w:hAnsi="Verdana" w:cs="Arial"/>
                <w:color w:val="000000" w:themeColor="text1"/>
              </w:rPr>
              <w:t xml:space="preserve"> </w:t>
            </w:r>
            <w:r w:rsidR="009A765B">
              <w:rPr>
                <w:rFonts w:ascii="Verdana" w:hAnsi="Verdana" w:cs="Arial"/>
              </w:rPr>
              <w:t xml:space="preserve">   </w:t>
            </w:r>
            <w:bookmarkEnd w:id="2"/>
            <w:bookmarkEnd w:id="3"/>
          </w:p>
        </w:tc>
      </w:tr>
      <w:tr w:rsidR="00757DC0" w:rsidRPr="00505CD6" w14:paraId="16743E8A" w14:textId="77777777" w:rsidTr="006C5D8A">
        <w:trPr>
          <w:jc w:val="center"/>
        </w:trPr>
        <w:tc>
          <w:tcPr>
            <w:tcW w:w="8828" w:type="dxa"/>
            <w:shd w:val="clear" w:color="auto" w:fill="auto"/>
          </w:tcPr>
          <w:p w14:paraId="1C1616C5" w14:textId="77777777" w:rsidR="00757DC0" w:rsidRDefault="00757DC0" w:rsidP="00034BF0">
            <w:pPr>
              <w:spacing w:after="120" w:line="276" w:lineRule="auto"/>
              <w:ind w:firstLine="709"/>
              <w:jc w:val="both"/>
              <w:rPr>
                <w:rFonts w:ascii="Verdana" w:eastAsia="Calibri" w:hAnsi="Verdana" w:cs="Arial"/>
                <w:color w:val="000000"/>
                <w:lang w:val="es-ES"/>
              </w:rPr>
            </w:pPr>
          </w:p>
        </w:tc>
      </w:tr>
    </w:tbl>
    <w:p w14:paraId="49A1211F"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bookmarkEnd w:id="1"/>
    <w:p w14:paraId="45807F66" w14:textId="04A71F4D"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 xml:space="preserve">Razones de </w:t>
      </w:r>
      <w:r w:rsidR="00757DC0" w:rsidRPr="00505CD6">
        <w:rPr>
          <w:rFonts w:ascii="Verdana" w:eastAsia="Century Gothic" w:hAnsi="Verdana" w:cs="Century Gothic"/>
          <w:b/>
          <w:bCs/>
          <w:lang w:val="es-ES"/>
        </w:rPr>
        <w:t>la respuesta</w:t>
      </w:r>
      <w:r w:rsidRPr="00505CD6">
        <w:rPr>
          <w:rFonts w:ascii="Verdana" w:eastAsia="Century Gothic" w:hAnsi="Verdana" w:cs="Century Gothic"/>
          <w:b/>
          <w:bCs/>
          <w:lang w:val="es-ES"/>
        </w:rPr>
        <w:t>:</w:t>
      </w:r>
    </w:p>
    <w:p w14:paraId="73D86754" w14:textId="4CBD4F2F" w:rsidR="00E0719A" w:rsidRPr="005A5095" w:rsidRDefault="00B36A7B" w:rsidP="00E0719A">
      <w:pPr>
        <w:spacing w:after="0" w:line="276" w:lineRule="auto"/>
        <w:jc w:val="both"/>
        <w:rPr>
          <w:rFonts w:ascii="Verdana" w:eastAsia="Calibri" w:hAnsi="Verdana" w:cs="Arial"/>
        </w:rPr>
      </w:pPr>
      <w:bookmarkStart w:id="4" w:name="_Hlk195081504"/>
      <w:r>
        <w:rPr>
          <w:rFonts w:ascii="Verdana" w:hAnsi="Verdana" w:cs="Arial"/>
          <w:color w:val="000000" w:themeColor="text1"/>
        </w:rPr>
        <w:tab/>
      </w:r>
    </w:p>
    <w:p w14:paraId="72C097C5" w14:textId="61AF790F" w:rsidR="00282598" w:rsidRPr="004A143C" w:rsidRDefault="00282598" w:rsidP="009219E4">
      <w:pPr>
        <w:pStyle w:val="Textoindependiente"/>
        <w:spacing w:after="120" w:line="276" w:lineRule="auto"/>
        <w:ind w:firstLine="708"/>
        <w:jc w:val="both"/>
        <w:rPr>
          <w:rFonts w:ascii="Verdana" w:hAnsi="Verdana"/>
          <w:sz w:val="22"/>
          <w:szCs w:val="22"/>
        </w:rPr>
      </w:pPr>
      <w:bookmarkStart w:id="5" w:name="_Hlk36633697"/>
      <w:r>
        <w:rPr>
          <w:rFonts w:ascii="Verdana" w:hAnsi="Verdana"/>
          <w:sz w:val="22"/>
          <w:szCs w:val="22"/>
        </w:rPr>
        <w:t>L</w:t>
      </w:r>
      <w:r w:rsidRPr="004A143C">
        <w:rPr>
          <w:rFonts w:ascii="Verdana" w:hAnsi="Verdana"/>
          <w:sz w:val="22"/>
          <w:szCs w:val="22"/>
        </w:rPr>
        <w:t>as autorizaciones para contratar comportan una forma de participación de las corporaciones de elección popular en la actividad contractual de la administración. Son varias las disposiciones que se encuentran en la Constitución Política al respecto. Así, el numeral 9 del artículo 150 de Carta prescribe que corresponde al Congreso “conceder autorizaciones al Gobierno para celebrar contratos, negociar empréstitos y enajenar bienes nacionales”. De manera similar, el numeral 9 del artículo 300 atribuye a las asambleas departamentales la competencia de “autorizar al gobernador del departamento para celebrar contratos, negociar empréstitos, enajenar bienes”. Y el numeral 3 del artículo 313 prevé lo propio en el ámbito municipal, cuando establece que corresponde a los concejos “autorizar al alcalde para celebrar contratos”</w:t>
      </w:r>
      <w:r w:rsidRPr="004A143C">
        <w:rPr>
          <w:rStyle w:val="Refdenotaalpie"/>
          <w:rFonts w:ascii="Verdana" w:hAnsi="Verdana"/>
          <w:sz w:val="22"/>
          <w:szCs w:val="22"/>
        </w:rPr>
        <w:footnoteReference w:id="2"/>
      </w:r>
      <w:r w:rsidRPr="004A143C">
        <w:rPr>
          <w:rFonts w:ascii="Verdana" w:hAnsi="Verdana"/>
          <w:sz w:val="22"/>
          <w:szCs w:val="22"/>
        </w:rPr>
        <w:t xml:space="preserve">. </w:t>
      </w:r>
    </w:p>
    <w:p w14:paraId="618B669D" w14:textId="77777777" w:rsidR="00282598" w:rsidRPr="004A143C" w:rsidRDefault="00282598" w:rsidP="00282598">
      <w:pPr>
        <w:pStyle w:val="Textoindependiente"/>
        <w:spacing w:line="276" w:lineRule="auto"/>
        <w:ind w:firstLine="708"/>
        <w:jc w:val="both"/>
        <w:rPr>
          <w:rFonts w:ascii="Verdana" w:hAnsi="Verdana"/>
          <w:sz w:val="22"/>
          <w:szCs w:val="22"/>
        </w:rPr>
      </w:pPr>
      <w:r w:rsidRPr="004A143C">
        <w:rPr>
          <w:rFonts w:ascii="Verdana" w:hAnsi="Verdana"/>
          <w:sz w:val="22"/>
          <w:szCs w:val="22"/>
        </w:rPr>
        <w:t>Precisamente, en relación con el tema contractual a cargo de los alcaldes municipales y la autorización que debe provenir de los respectivos concejos debe señalarse que, las competencias de los concejos municipales se encuentran previstas en el artículo 313 de la Constitución Política y en el artículo 32 de la Ley 136 de 1994, modificado por el artículo 18 de la Ley 1551 de 2012. La primera norma citada establece:</w:t>
      </w:r>
    </w:p>
    <w:p w14:paraId="78271BE4" w14:textId="77777777" w:rsidR="00282598" w:rsidRPr="00282598" w:rsidRDefault="00282598" w:rsidP="00282598">
      <w:pPr>
        <w:pStyle w:val="Textoindependiente"/>
        <w:ind w:left="709" w:right="709"/>
        <w:contextualSpacing/>
        <w:rPr>
          <w:rFonts w:ascii="Verdana" w:hAnsi="Verdana"/>
          <w:sz w:val="20"/>
          <w:szCs w:val="20"/>
        </w:rPr>
      </w:pPr>
      <w:r w:rsidRPr="00282598">
        <w:rPr>
          <w:rFonts w:ascii="Verdana" w:hAnsi="Verdana"/>
          <w:sz w:val="20"/>
          <w:szCs w:val="20"/>
        </w:rPr>
        <w:t>“Artículo 313. Corresponde a los concejos:</w:t>
      </w:r>
    </w:p>
    <w:p w14:paraId="0F65E128" w14:textId="77777777" w:rsidR="00282598" w:rsidRDefault="00282598" w:rsidP="00282598">
      <w:pPr>
        <w:pStyle w:val="Textoindependiente"/>
        <w:ind w:left="709" w:right="709"/>
        <w:contextualSpacing/>
        <w:rPr>
          <w:rFonts w:ascii="Verdana" w:hAnsi="Verdana"/>
          <w:sz w:val="20"/>
          <w:szCs w:val="20"/>
        </w:rPr>
      </w:pPr>
      <w:r w:rsidRPr="00282598">
        <w:rPr>
          <w:rFonts w:ascii="Verdana" w:hAnsi="Verdana"/>
          <w:sz w:val="20"/>
          <w:szCs w:val="20"/>
        </w:rPr>
        <w:t>(… )</w:t>
      </w:r>
    </w:p>
    <w:p w14:paraId="4CB6C395" w14:textId="77777777" w:rsidR="00282598" w:rsidRPr="00282598" w:rsidRDefault="00282598" w:rsidP="00282598">
      <w:pPr>
        <w:pStyle w:val="Textoindependiente"/>
        <w:ind w:left="709" w:right="709"/>
        <w:contextualSpacing/>
        <w:rPr>
          <w:rFonts w:ascii="Verdana" w:hAnsi="Verdana"/>
          <w:sz w:val="20"/>
          <w:szCs w:val="20"/>
        </w:rPr>
      </w:pPr>
    </w:p>
    <w:p w14:paraId="67275153" w14:textId="591CA70E" w:rsidR="00282598" w:rsidRPr="00282598" w:rsidRDefault="00282598" w:rsidP="00282598">
      <w:pPr>
        <w:pStyle w:val="Textoindependiente"/>
        <w:ind w:left="709" w:right="709"/>
        <w:contextualSpacing/>
        <w:rPr>
          <w:rFonts w:ascii="Verdana" w:hAnsi="Verdana"/>
          <w:sz w:val="20"/>
          <w:szCs w:val="20"/>
        </w:rPr>
      </w:pPr>
      <w:r w:rsidRPr="00282598">
        <w:rPr>
          <w:rFonts w:ascii="Verdana" w:hAnsi="Verdana"/>
          <w:sz w:val="20"/>
          <w:szCs w:val="20"/>
        </w:rPr>
        <w:t>3. Autorizar al alcalde para celebrar contratos y ejercer pro tempore precisas funciones de las que corresponden al Concejo”.</w:t>
      </w:r>
    </w:p>
    <w:p w14:paraId="6A67C454" w14:textId="77777777" w:rsidR="00282598" w:rsidRPr="00282598" w:rsidRDefault="00282598" w:rsidP="00282598">
      <w:pPr>
        <w:pStyle w:val="Textoindependiente"/>
        <w:contextualSpacing/>
        <w:rPr>
          <w:rFonts w:ascii="Verdana" w:hAnsi="Verdana"/>
          <w:sz w:val="20"/>
          <w:szCs w:val="20"/>
        </w:rPr>
      </w:pPr>
    </w:p>
    <w:p w14:paraId="29E3A8ED" w14:textId="77777777" w:rsidR="00282598" w:rsidRPr="00282598" w:rsidRDefault="00282598" w:rsidP="00282598">
      <w:pPr>
        <w:pStyle w:val="Textoindependiente"/>
        <w:ind w:firstLine="708"/>
        <w:contextualSpacing/>
        <w:jc w:val="both"/>
        <w:rPr>
          <w:rFonts w:ascii="Verdana" w:hAnsi="Verdana"/>
          <w:sz w:val="20"/>
          <w:szCs w:val="20"/>
        </w:rPr>
      </w:pPr>
      <w:r w:rsidRPr="00282598">
        <w:rPr>
          <w:rFonts w:ascii="Verdana" w:hAnsi="Verdana"/>
          <w:sz w:val="20"/>
          <w:szCs w:val="20"/>
        </w:rPr>
        <w:t>La segunda norma citada antes, señala:</w:t>
      </w:r>
    </w:p>
    <w:p w14:paraId="1DD460D8" w14:textId="77777777" w:rsidR="00282598" w:rsidRPr="00282598" w:rsidRDefault="00282598" w:rsidP="00282598">
      <w:pPr>
        <w:pStyle w:val="Textoindependiente"/>
        <w:contextualSpacing/>
        <w:rPr>
          <w:rFonts w:ascii="Verdana" w:hAnsi="Verdana"/>
          <w:sz w:val="20"/>
          <w:szCs w:val="20"/>
        </w:rPr>
      </w:pPr>
    </w:p>
    <w:p w14:paraId="779402A7"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“Artículo 32. Atribuciones. Además de las funciones que se le señalan en la Constitución y la ley, son atribuciones de los concejos las siguientes.</w:t>
      </w:r>
    </w:p>
    <w:p w14:paraId="0436A5C0"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 )</w:t>
      </w:r>
    </w:p>
    <w:p w14:paraId="3F816B93" w14:textId="77777777" w:rsidR="00282598" w:rsidRPr="00282598" w:rsidRDefault="00282598" w:rsidP="00282598">
      <w:pPr>
        <w:pStyle w:val="Textoindependiente"/>
        <w:ind w:left="709" w:right="709"/>
        <w:contextualSpacing/>
        <w:jc w:val="both"/>
        <w:rPr>
          <w:rFonts w:ascii="Verdana" w:hAnsi="Verdana"/>
          <w:sz w:val="20"/>
          <w:szCs w:val="20"/>
        </w:rPr>
      </w:pPr>
    </w:p>
    <w:p w14:paraId="6308C26A"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3. Reglamentar la autorización al alcalde para contratar, señalando los casos en que requiere autorización previa del Concejo.</w:t>
      </w:r>
    </w:p>
    <w:p w14:paraId="62173871"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 )</w:t>
      </w:r>
    </w:p>
    <w:p w14:paraId="2FDD4262" w14:textId="77777777" w:rsidR="00282598" w:rsidRPr="00282598" w:rsidRDefault="00282598" w:rsidP="00282598">
      <w:pPr>
        <w:pStyle w:val="Textoindependiente"/>
        <w:ind w:left="709" w:right="709"/>
        <w:contextualSpacing/>
        <w:jc w:val="both"/>
        <w:rPr>
          <w:rFonts w:ascii="Verdana" w:hAnsi="Verdana"/>
          <w:sz w:val="20"/>
          <w:szCs w:val="20"/>
        </w:rPr>
      </w:pPr>
    </w:p>
    <w:p w14:paraId="564882B1"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Parágrafo 4°. De conformidad con el numeral 3 del artículo 313 de la Constitución Política, el Concejo Municipal o Distrital deberá decidir sobre la autorización al alcalde para contratar en los siguientes casos:</w:t>
      </w:r>
    </w:p>
    <w:p w14:paraId="155D0AB1" w14:textId="77777777" w:rsidR="00282598" w:rsidRPr="00282598" w:rsidRDefault="00282598" w:rsidP="00282598">
      <w:pPr>
        <w:pStyle w:val="Prrafodelista"/>
        <w:widowControl w:val="0"/>
        <w:numPr>
          <w:ilvl w:val="0"/>
          <w:numId w:val="24"/>
        </w:numPr>
        <w:tabs>
          <w:tab w:val="left" w:pos="1029"/>
        </w:tabs>
        <w:autoSpaceDE w:val="0"/>
        <w:autoSpaceDN w:val="0"/>
        <w:ind w:left="930" w:right="709"/>
        <w:jc w:val="both"/>
        <w:rPr>
          <w:rFonts w:ascii="Verdana" w:hAnsi="Verdana"/>
          <w:sz w:val="20"/>
          <w:szCs w:val="20"/>
        </w:rPr>
      </w:pPr>
      <w:r w:rsidRPr="00282598">
        <w:rPr>
          <w:rFonts w:ascii="Verdana" w:hAnsi="Verdana"/>
          <w:sz w:val="20"/>
          <w:szCs w:val="20"/>
        </w:rPr>
        <w:t>Contratación de</w:t>
      </w:r>
      <w:r w:rsidRPr="00282598">
        <w:rPr>
          <w:rFonts w:ascii="Verdana" w:hAnsi="Verdana"/>
          <w:spacing w:val="-5"/>
          <w:sz w:val="20"/>
          <w:szCs w:val="20"/>
        </w:rPr>
        <w:t xml:space="preserve"> </w:t>
      </w:r>
      <w:r w:rsidRPr="00282598">
        <w:rPr>
          <w:rFonts w:ascii="Verdana" w:hAnsi="Verdana"/>
          <w:sz w:val="20"/>
          <w:szCs w:val="20"/>
        </w:rPr>
        <w:t>empréstitos.</w:t>
      </w:r>
    </w:p>
    <w:p w14:paraId="2D6FF2C8" w14:textId="77777777" w:rsidR="00282598" w:rsidRPr="00282598" w:rsidRDefault="00282598" w:rsidP="00282598">
      <w:pPr>
        <w:pStyle w:val="Prrafodelista"/>
        <w:widowControl w:val="0"/>
        <w:numPr>
          <w:ilvl w:val="0"/>
          <w:numId w:val="24"/>
        </w:numPr>
        <w:tabs>
          <w:tab w:val="left" w:pos="1029"/>
        </w:tabs>
        <w:autoSpaceDE w:val="0"/>
        <w:autoSpaceDN w:val="0"/>
        <w:ind w:left="930" w:right="709"/>
        <w:jc w:val="both"/>
        <w:rPr>
          <w:rFonts w:ascii="Verdana" w:hAnsi="Verdana"/>
          <w:sz w:val="20"/>
          <w:szCs w:val="20"/>
        </w:rPr>
      </w:pPr>
      <w:r w:rsidRPr="00282598">
        <w:rPr>
          <w:rFonts w:ascii="Verdana" w:hAnsi="Verdana"/>
          <w:sz w:val="20"/>
          <w:szCs w:val="20"/>
        </w:rPr>
        <w:t>Contratos que comprometan vigencias futuras.</w:t>
      </w:r>
    </w:p>
    <w:p w14:paraId="3AC1AB43" w14:textId="77777777" w:rsidR="00282598" w:rsidRPr="00282598" w:rsidRDefault="00282598" w:rsidP="00282598">
      <w:pPr>
        <w:pStyle w:val="Prrafodelista"/>
        <w:widowControl w:val="0"/>
        <w:numPr>
          <w:ilvl w:val="0"/>
          <w:numId w:val="24"/>
        </w:numPr>
        <w:tabs>
          <w:tab w:val="left" w:pos="1029"/>
        </w:tabs>
        <w:autoSpaceDE w:val="0"/>
        <w:autoSpaceDN w:val="0"/>
        <w:ind w:left="930" w:right="709"/>
        <w:jc w:val="both"/>
        <w:rPr>
          <w:rFonts w:ascii="Verdana" w:hAnsi="Verdana"/>
          <w:sz w:val="20"/>
          <w:szCs w:val="20"/>
        </w:rPr>
      </w:pPr>
      <w:r w:rsidRPr="00282598">
        <w:rPr>
          <w:rFonts w:ascii="Verdana" w:hAnsi="Verdana"/>
          <w:sz w:val="20"/>
          <w:szCs w:val="20"/>
        </w:rPr>
        <w:t>Enajenación y compraventa de bienes inmuebles.</w:t>
      </w:r>
    </w:p>
    <w:p w14:paraId="32D4038E" w14:textId="77777777" w:rsidR="00282598" w:rsidRPr="00282598" w:rsidRDefault="00282598" w:rsidP="00282598">
      <w:pPr>
        <w:pStyle w:val="Prrafodelista"/>
        <w:widowControl w:val="0"/>
        <w:numPr>
          <w:ilvl w:val="0"/>
          <w:numId w:val="24"/>
        </w:numPr>
        <w:tabs>
          <w:tab w:val="left" w:pos="1029"/>
        </w:tabs>
        <w:autoSpaceDE w:val="0"/>
        <w:autoSpaceDN w:val="0"/>
        <w:ind w:left="930" w:right="709"/>
        <w:jc w:val="both"/>
        <w:rPr>
          <w:rFonts w:ascii="Verdana" w:hAnsi="Verdana"/>
          <w:sz w:val="20"/>
          <w:szCs w:val="20"/>
        </w:rPr>
      </w:pPr>
      <w:r w:rsidRPr="00282598">
        <w:rPr>
          <w:rFonts w:ascii="Verdana" w:hAnsi="Verdana"/>
          <w:sz w:val="20"/>
          <w:szCs w:val="20"/>
        </w:rPr>
        <w:t>Enajenación de activos, acciones y cuotas partes.</w:t>
      </w:r>
    </w:p>
    <w:p w14:paraId="0A992CBD" w14:textId="77777777" w:rsidR="00282598" w:rsidRPr="00282598" w:rsidRDefault="00282598" w:rsidP="00282598">
      <w:pPr>
        <w:pStyle w:val="Prrafodelista"/>
        <w:widowControl w:val="0"/>
        <w:numPr>
          <w:ilvl w:val="0"/>
          <w:numId w:val="24"/>
        </w:numPr>
        <w:tabs>
          <w:tab w:val="left" w:pos="1029"/>
        </w:tabs>
        <w:autoSpaceDE w:val="0"/>
        <w:autoSpaceDN w:val="0"/>
        <w:ind w:left="930" w:right="709"/>
        <w:jc w:val="both"/>
        <w:rPr>
          <w:rFonts w:ascii="Verdana" w:hAnsi="Verdana"/>
          <w:sz w:val="20"/>
          <w:szCs w:val="20"/>
        </w:rPr>
      </w:pPr>
      <w:r w:rsidRPr="00282598">
        <w:rPr>
          <w:rFonts w:ascii="Verdana" w:hAnsi="Verdana"/>
          <w:sz w:val="20"/>
          <w:szCs w:val="20"/>
        </w:rPr>
        <w:t>Concesiones.</w:t>
      </w:r>
    </w:p>
    <w:p w14:paraId="31561372" w14:textId="77777777" w:rsidR="00282598" w:rsidRPr="00282598" w:rsidRDefault="00282598" w:rsidP="00282598">
      <w:pPr>
        <w:pStyle w:val="Prrafodelista"/>
        <w:widowControl w:val="0"/>
        <w:numPr>
          <w:ilvl w:val="0"/>
          <w:numId w:val="24"/>
        </w:numPr>
        <w:tabs>
          <w:tab w:val="left" w:pos="1029"/>
        </w:tabs>
        <w:autoSpaceDE w:val="0"/>
        <w:autoSpaceDN w:val="0"/>
        <w:ind w:left="930" w:right="709"/>
        <w:jc w:val="both"/>
        <w:rPr>
          <w:rFonts w:ascii="Verdana" w:hAnsi="Verdana"/>
          <w:sz w:val="20"/>
          <w:szCs w:val="20"/>
        </w:rPr>
      </w:pPr>
      <w:r w:rsidRPr="00282598">
        <w:rPr>
          <w:rFonts w:ascii="Verdana" w:hAnsi="Verdana"/>
          <w:sz w:val="20"/>
          <w:szCs w:val="20"/>
        </w:rPr>
        <w:t>Las demás que determine la ley”.</w:t>
      </w:r>
    </w:p>
    <w:p w14:paraId="5A969E19" w14:textId="77777777" w:rsidR="00282598" w:rsidRPr="004A143C" w:rsidRDefault="00282598" w:rsidP="00282598">
      <w:pPr>
        <w:pStyle w:val="Textoindependiente"/>
        <w:spacing w:line="276" w:lineRule="auto"/>
        <w:ind w:firstLine="708"/>
        <w:jc w:val="both"/>
        <w:rPr>
          <w:rFonts w:ascii="Verdana" w:hAnsi="Verdana"/>
          <w:sz w:val="22"/>
          <w:szCs w:val="22"/>
        </w:rPr>
      </w:pPr>
      <w:r w:rsidRPr="004A143C">
        <w:rPr>
          <w:rFonts w:ascii="Verdana" w:hAnsi="Verdana"/>
          <w:sz w:val="22"/>
          <w:szCs w:val="22"/>
        </w:rPr>
        <w:t>Por otro lado, la Ley 80 de 1993 estatuye lo siguiente en relación con la competencia para celebrar contratos estatales:</w:t>
      </w:r>
    </w:p>
    <w:p w14:paraId="1B6A7883"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 xml:space="preserve">“Artículo 11. De la competencia para dirigir licitaciones y para celebrar contratos estatales. En las entidades estatales a que se refiere el artículo 2°: </w:t>
      </w:r>
    </w:p>
    <w:p w14:paraId="5E9E02CB" w14:textId="77777777" w:rsidR="00282598" w:rsidRPr="00282598" w:rsidRDefault="00282598" w:rsidP="00282598">
      <w:pPr>
        <w:pStyle w:val="Textoindependiente"/>
        <w:ind w:left="709" w:right="709"/>
        <w:contextualSpacing/>
        <w:jc w:val="both"/>
        <w:rPr>
          <w:rFonts w:ascii="Verdana" w:hAnsi="Verdana"/>
          <w:sz w:val="20"/>
          <w:szCs w:val="20"/>
        </w:rPr>
      </w:pPr>
    </w:p>
    <w:p w14:paraId="6EDE1157"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 xml:space="preserve">1o. La competencia para ordenar y dirigir la celebración de licitaciones y para escoger contratistas será del jefe o </w:t>
      </w:r>
      <w:r w:rsidRPr="00282598">
        <w:rPr>
          <w:rFonts w:ascii="Verdana" w:hAnsi="Verdana"/>
          <w:i/>
          <w:iCs/>
          <w:sz w:val="20"/>
          <w:szCs w:val="20"/>
        </w:rPr>
        <w:t>representante de la entidad</w:t>
      </w:r>
      <w:r w:rsidRPr="00282598">
        <w:rPr>
          <w:rFonts w:ascii="Verdana" w:hAnsi="Verdana"/>
          <w:sz w:val="20"/>
          <w:szCs w:val="20"/>
        </w:rPr>
        <w:t xml:space="preserve">, según el caso. </w:t>
      </w:r>
    </w:p>
    <w:p w14:paraId="584C3083" w14:textId="77777777" w:rsidR="00282598" w:rsidRPr="00282598" w:rsidRDefault="00282598" w:rsidP="00282598">
      <w:pPr>
        <w:pStyle w:val="Textoindependiente"/>
        <w:ind w:left="709" w:right="709"/>
        <w:contextualSpacing/>
        <w:jc w:val="both"/>
        <w:rPr>
          <w:rFonts w:ascii="Verdana" w:hAnsi="Verdana"/>
          <w:sz w:val="20"/>
          <w:szCs w:val="20"/>
        </w:rPr>
      </w:pPr>
    </w:p>
    <w:p w14:paraId="7DEDFFCE"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 xml:space="preserve">2o. Tiene competencia para celebrar contratos a nombre de la Nación, el </w:t>
      </w:r>
      <w:proofErr w:type="gramStart"/>
      <w:r w:rsidRPr="00282598">
        <w:rPr>
          <w:rFonts w:ascii="Verdana" w:hAnsi="Verdana"/>
          <w:sz w:val="20"/>
          <w:szCs w:val="20"/>
        </w:rPr>
        <w:t>Presidente</w:t>
      </w:r>
      <w:proofErr w:type="gramEnd"/>
      <w:r w:rsidRPr="00282598">
        <w:rPr>
          <w:rFonts w:ascii="Verdana" w:hAnsi="Verdana"/>
          <w:sz w:val="20"/>
          <w:szCs w:val="20"/>
        </w:rPr>
        <w:t xml:space="preserve"> de la República. </w:t>
      </w:r>
    </w:p>
    <w:p w14:paraId="2E7B8975" w14:textId="77777777" w:rsidR="00282598" w:rsidRPr="00282598" w:rsidRDefault="00282598" w:rsidP="00282598">
      <w:pPr>
        <w:pStyle w:val="Textoindependiente"/>
        <w:ind w:left="709" w:right="709"/>
        <w:contextualSpacing/>
        <w:jc w:val="both"/>
        <w:rPr>
          <w:rFonts w:ascii="Verdana" w:hAnsi="Verdana"/>
          <w:sz w:val="20"/>
          <w:szCs w:val="20"/>
        </w:rPr>
      </w:pPr>
    </w:p>
    <w:p w14:paraId="54551EA6"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 xml:space="preserve">3o. Tienen competencia para celebrar contratos a nombre de la entidad respectiva: </w:t>
      </w:r>
    </w:p>
    <w:p w14:paraId="6085BBA4" w14:textId="77777777" w:rsidR="00282598" w:rsidRPr="00282598" w:rsidRDefault="00282598" w:rsidP="00282598">
      <w:pPr>
        <w:pStyle w:val="Textoindependiente"/>
        <w:ind w:left="709" w:right="709"/>
        <w:contextualSpacing/>
        <w:jc w:val="both"/>
        <w:rPr>
          <w:rFonts w:ascii="Verdana" w:hAnsi="Verdana"/>
          <w:sz w:val="20"/>
          <w:szCs w:val="20"/>
        </w:rPr>
      </w:pPr>
    </w:p>
    <w:p w14:paraId="057C6DA8"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118768CD" w14:textId="77777777" w:rsidR="00282598" w:rsidRPr="00282598" w:rsidRDefault="00282598" w:rsidP="00282598">
      <w:pPr>
        <w:pStyle w:val="Textoindependiente"/>
        <w:ind w:left="709" w:right="709"/>
        <w:contextualSpacing/>
        <w:jc w:val="both"/>
        <w:rPr>
          <w:rFonts w:ascii="Verdana" w:hAnsi="Verdana"/>
          <w:sz w:val="20"/>
          <w:szCs w:val="20"/>
        </w:rPr>
      </w:pPr>
    </w:p>
    <w:p w14:paraId="12CC3EBE"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 xml:space="preserve">b) A nivel territorial, los gobernadores de los departamentos, </w:t>
      </w:r>
      <w:r w:rsidRPr="00282598">
        <w:rPr>
          <w:rFonts w:ascii="Verdana" w:hAnsi="Verdana"/>
          <w:i/>
          <w:iCs/>
          <w:sz w:val="20"/>
          <w:szCs w:val="20"/>
        </w:rPr>
        <w:t>los alcaldes municipales y de los distritos capital y especiales</w:t>
      </w:r>
      <w:r w:rsidRPr="00282598">
        <w:rPr>
          <w:rFonts w:ascii="Verdana" w:hAnsi="Verdana"/>
          <w:sz w:val="20"/>
          <w:szCs w:val="20"/>
        </w:rPr>
        <w:t xml:space="preserve">,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408FB054" w14:textId="77777777" w:rsidR="00282598" w:rsidRPr="00282598" w:rsidRDefault="00282598" w:rsidP="00282598">
      <w:pPr>
        <w:pStyle w:val="Textoindependiente"/>
        <w:ind w:left="709" w:right="709"/>
        <w:contextualSpacing/>
        <w:jc w:val="both"/>
        <w:rPr>
          <w:rFonts w:ascii="Verdana" w:hAnsi="Verdana"/>
          <w:sz w:val="20"/>
          <w:szCs w:val="20"/>
        </w:rPr>
      </w:pPr>
    </w:p>
    <w:p w14:paraId="636C4DEC" w14:textId="77777777" w:rsidR="00282598" w:rsidRPr="00282598" w:rsidRDefault="00282598" w:rsidP="00282598">
      <w:pPr>
        <w:pStyle w:val="Textoindependiente"/>
        <w:ind w:left="709" w:right="709"/>
        <w:contextualSpacing/>
        <w:jc w:val="both"/>
        <w:rPr>
          <w:rFonts w:ascii="Verdana" w:hAnsi="Verdana"/>
          <w:sz w:val="20"/>
          <w:szCs w:val="20"/>
        </w:rPr>
      </w:pPr>
      <w:r w:rsidRPr="00282598">
        <w:rPr>
          <w:rFonts w:ascii="Verdana" w:hAnsi="Verdana"/>
          <w:sz w:val="20"/>
          <w:szCs w:val="20"/>
        </w:rPr>
        <w:t>c) Los representantes legales de las entidades descentralizadas en todos los órdenes y niveles”. [Énfasis fuera del texto original]</w:t>
      </w:r>
    </w:p>
    <w:p w14:paraId="4CF6348B" w14:textId="77777777" w:rsidR="00282598" w:rsidRPr="00282598" w:rsidRDefault="00282598" w:rsidP="00282598">
      <w:pPr>
        <w:pStyle w:val="Textoindependiente"/>
        <w:contextualSpacing/>
        <w:jc w:val="both"/>
        <w:rPr>
          <w:rFonts w:ascii="Verdana" w:hAnsi="Verdana"/>
          <w:sz w:val="16"/>
          <w:szCs w:val="16"/>
        </w:rPr>
      </w:pPr>
    </w:p>
    <w:p w14:paraId="1C4AA239" w14:textId="77777777" w:rsidR="00282598" w:rsidRPr="004A143C" w:rsidRDefault="00282598" w:rsidP="00282598">
      <w:pPr>
        <w:pStyle w:val="Textoindependiente"/>
        <w:spacing w:after="120" w:line="276" w:lineRule="auto"/>
        <w:ind w:firstLine="709"/>
        <w:jc w:val="both"/>
        <w:rPr>
          <w:rFonts w:ascii="Verdana" w:hAnsi="Verdana"/>
          <w:sz w:val="22"/>
          <w:szCs w:val="22"/>
        </w:rPr>
      </w:pPr>
      <w:r w:rsidRPr="004A143C">
        <w:rPr>
          <w:rFonts w:ascii="Verdana" w:hAnsi="Verdana"/>
          <w:sz w:val="22"/>
          <w:szCs w:val="22"/>
        </w:rPr>
        <w:t xml:space="preserve">De las normas transcritas se tiene que la autorización que le confirió la Ley 80 de 1993 a los alcaldes debe interpretarse armónicamente con las atribuciones constitucionales y legales que le fueron conferidas a los concejos, en las que se colige de la posibilidad de autorización por parte del cabildo para el alcalde en el ejercicio de la contratación. Sin embargo, esta atribución no puede entenderse como supeditada a toda la contratación que esté a cargo de los alcaldes, como se explicará en el presente concepto. </w:t>
      </w:r>
    </w:p>
    <w:p w14:paraId="763E237E" w14:textId="77777777" w:rsidR="00282598" w:rsidRPr="004A143C" w:rsidRDefault="00282598" w:rsidP="00282598">
      <w:pPr>
        <w:pStyle w:val="Textoindependiente"/>
        <w:spacing w:after="120" w:line="276" w:lineRule="auto"/>
        <w:ind w:firstLine="709"/>
        <w:jc w:val="both"/>
        <w:rPr>
          <w:rFonts w:ascii="Verdana" w:hAnsi="Verdana"/>
          <w:sz w:val="22"/>
          <w:szCs w:val="22"/>
        </w:rPr>
      </w:pPr>
      <w:r w:rsidRPr="004A143C">
        <w:rPr>
          <w:rFonts w:ascii="Verdana" w:hAnsi="Verdana"/>
          <w:sz w:val="22"/>
          <w:szCs w:val="22"/>
        </w:rPr>
        <w:t xml:space="preserve">Nótese que el mismo artículo 32 de la Ley 136 de 1994 dispone que, en la reglamentación de la autorización al alcalde para contratar, los concejos señalan los casos en que requiere autorización previa del concejo, de lo cual se colige que la autorización al alcalde para contratar por parte del consejo procede en ciertos eventos. </w:t>
      </w:r>
    </w:p>
    <w:p w14:paraId="48E4A138" w14:textId="77777777" w:rsidR="00282598" w:rsidRPr="004A143C" w:rsidRDefault="00282598" w:rsidP="00282598">
      <w:pPr>
        <w:pStyle w:val="Textoindependiente"/>
        <w:spacing w:line="276" w:lineRule="auto"/>
        <w:ind w:firstLine="708"/>
        <w:jc w:val="both"/>
        <w:rPr>
          <w:rFonts w:ascii="Verdana" w:hAnsi="Verdana"/>
          <w:sz w:val="22"/>
          <w:szCs w:val="22"/>
        </w:rPr>
      </w:pPr>
      <w:r w:rsidRPr="004A143C">
        <w:rPr>
          <w:rFonts w:ascii="Verdana" w:hAnsi="Verdana"/>
          <w:sz w:val="22"/>
          <w:szCs w:val="22"/>
        </w:rPr>
        <w:t xml:space="preserve">Respecto a la función de los concejos de autorizar al alcalde para contratar, de conformidad a la atribución constitucional conferida en el numeral 3° del artículo 313 Superior, la Corte Constitucional en la sentencia C-738 de 2001, al examinar y declarar exequible el numeral tercero del artículo 32 de la Ley 136, señaló los siguiente: </w:t>
      </w:r>
    </w:p>
    <w:p w14:paraId="3D0B9B02" w14:textId="77777777" w:rsidR="00282598" w:rsidRPr="00282598" w:rsidRDefault="00282598" w:rsidP="00282598">
      <w:pPr>
        <w:pStyle w:val="Textoindependiente"/>
        <w:ind w:left="709" w:right="709"/>
        <w:jc w:val="both"/>
        <w:rPr>
          <w:rFonts w:ascii="Verdana" w:hAnsi="Verdana"/>
          <w:sz w:val="20"/>
          <w:szCs w:val="20"/>
        </w:rPr>
      </w:pPr>
      <w:r w:rsidRPr="00282598">
        <w:rPr>
          <w:rFonts w:ascii="Verdana" w:hAnsi="Verdana"/>
          <w:sz w:val="20"/>
          <w:szCs w:val="20"/>
        </w:rPr>
        <w:t xml:space="preserve">“Debe advertir esta Corporación que la atribución otorgada en la norma bajo estudio, siendo como es una función administrativa, </w:t>
      </w:r>
      <w:r w:rsidRPr="00282598">
        <w:rPr>
          <w:rFonts w:ascii="Verdana" w:hAnsi="Verdana"/>
          <w:bCs/>
          <w:sz w:val="20"/>
          <w:szCs w:val="20"/>
        </w:rPr>
        <w:t>sólo podrá ser ejercida por los Concejos con el alcance y las limitaciones propias de su naturaleza.</w:t>
      </w:r>
      <w:r w:rsidRPr="00282598">
        <w:rPr>
          <w:rFonts w:ascii="Verdana" w:hAnsi="Verdana"/>
          <w:sz w:val="20"/>
          <w:szCs w:val="20"/>
        </w:rPr>
        <w:t xml:space="preserve"> Así, cualquier reglamentación efectuada por dichas Corporaciones, debe ser respetuosa del ámbito reservado constitucionalmente al Legislador, por lo cual no puede entrar a establecer procedimientos de selección, normas generales aplicables a los contratos, etc., puesto que ello forma parte del núcleo propio del Estatuto de</w:t>
      </w:r>
      <w:r w:rsidRPr="00282598">
        <w:rPr>
          <w:rFonts w:ascii="Verdana" w:hAnsi="Verdana"/>
          <w:spacing w:val="-1"/>
          <w:sz w:val="20"/>
          <w:szCs w:val="20"/>
        </w:rPr>
        <w:t xml:space="preserve"> </w:t>
      </w:r>
      <w:r w:rsidRPr="00282598">
        <w:rPr>
          <w:rFonts w:ascii="Verdana" w:hAnsi="Verdana"/>
          <w:sz w:val="20"/>
          <w:szCs w:val="20"/>
        </w:rPr>
        <w:t>Contratación.</w:t>
      </w:r>
    </w:p>
    <w:p w14:paraId="052AA398" w14:textId="77777777" w:rsidR="00282598" w:rsidRPr="00282598" w:rsidRDefault="00282598" w:rsidP="00282598">
      <w:pPr>
        <w:pStyle w:val="Textoindependiente"/>
        <w:ind w:left="709" w:right="709"/>
        <w:rPr>
          <w:rFonts w:ascii="Verdana" w:hAnsi="Verdana"/>
          <w:sz w:val="20"/>
          <w:szCs w:val="20"/>
        </w:rPr>
      </w:pPr>
      <w:r w:rsidRPr="00282598">
        <w:rPr>
          <w:rFonts w:ascii="Verdana" w:hAnsi="Verdana"/>
          <w:sz w:val="20"/>
          <w:szCs w:val="20"/>
        </w:rPr>
        <w:t>(…)</w:t>
      </w:r>
    </w:p>
    <w:p w14:paraId="63A3F80D" w14:textId="77777777" w:rsidR="00282598" w:rsidRPr="00282598" w:rsidRDefault="00282598" w:rsidP="00282598">
      <w:pPr>
        <w:spacing w:after="0" w:line="240" w:lineRule="auto"/>
        <w:ind w:left="709" w:right="709"/>
        <w:jc w:val="both"/>
        <w:rPr>
          <w:rFonts w:ascii="Verdana" w:hAnsi="Verdana"/>
          <w:sz w:val="20"/>
          <w:szCs w:val="20"/>
        </w:rPr>
      </w:pPr>
      <w:r w:rsidRPr="00282598">
        <w:rPr>
          <w:rFonts w:ascii="Verdana" w:hAnsi="Verdana"/>
          <w:sz w:val="20"/>
          <w:szCs w:val="20"/>
        </w:rPr>
        <w:t xml:space="preserve">Esta función reglamentaria que, se reitera, cuenta con un fundamento constitucional propio, </w:t>
      </w:r>
      <w:r w:rsidRPr="00282598">
        <w:rPr>
          <w:rFonts w:ascii="Verdana" w:hAnsi="Verdana"/>
          <w:bCs/>
          <w:i/>
          <w:iCs/>
          <w:sz w:val="20"/>
          <w:szCs w:val="20"/>
        </w:rPr>
        <w:t>habrá de ejercerse mediante el trazado de una serie de normas puntuales y específicas sobre una determinada materia, a saber: el procedimiento interno que se deberá seguir ante los Concejos para obtener la autorización respectiva, los criterios que debe seguir para otorgarla, así como los casos en los cuales tal autorización es necesaria.</w:t>
      </w:r>
      <w:r w:rsidRPr="00282598">
        <w:rPr>
          <w:rFonts w:ascii="Verdana" w:hAnsi="Verdana"/>
          <w:sz w:val="20"/>
          <w:szCs w:val="20"/>
        </w:rPr>
        <w:t xml:space="preserve"> La regulación de dicho procedimiento interno habrá de estar referida, así, a las hipótesis en que tal autorización es necesaria, a los criterios que se deberán aplicar al momento de decidir sobre si se otorga o no dicha autorización, y a las etapas del trámite a seguir en cada</w:t>
      </w:r>
      <w:r w:rsidRPr="00282598">
        <w:rPr>
          <w:rFonts w:ascii="Verdana" w:hAnsi="Verdana"/>
          <w:spacing w:val="-3"/>
          <w:sz w:val="20"/>
          <w:szCs w:val="20"/>
        </w:rPr>
        <w:t xml:space="preserve"> </w:t>
      </w:r>
      <w:r w:rsidRPr="00282598">
        <w:rPr>
          <w:rFonts w:ascii="Verdana" w:hAnsi="Verdana"/>
          <w:sz w:val="20"/>
          <w:szCs w:val="20"/>
        </w:rPr>
        <w:t>caso.</w:t>
      </w:r>
    </w:p>
    <w:p w14:paraId="771B51E4" w14:textId="77777777" w:rsidR="00282598" w:rsidRPr="00282598" w:rsidRDefault="00282598" w:rsidP="00282598">
      <w:pPr>
        <w:pStyle w:val="Textoindependiente"/>
        <w:ind w:left="709" w:right="709"/>
        <w:rPr>
          <w:rFonts w:ascii="Verdana" w:hAnsi="Verdana"/>
          <w:sz w:val="20"/>
          <w:szCs w:val="20"/>
        </w:rPr>
      </w:pPr>
      <w:r w:rsidRPr="00282598">
        <w:rPr>
          <w:rFonts w:ascii="Verdana" w:hAnsi="Verdana"/>
          <w:sz w:val="20"/>
          <w:szCs w:val="20"/>
        </w:rPr>
        <w:t>(…)</w:t>
      </w:r>
    </w:p>
    <w:p w14:paraId="18065159" w14:textId="77777777" w:rsidR="00282598" w:rsidRPr="00282598" w:rsidRDefault="00282598" w:rsidP="00282598">
      <w:pPr>
        <w:spacing w:after="0" w:line="240" w:lineRule="auto"/>
        <w:ind w:left="709" w:right="709"/>
        <w:jc w:val="both"/>
        <w:rPr>
          <w:rFonts w:ascii="Verdana" w:hAnsi="Verdana"/>
          <w:bCs/>
          <w:i/>
          <w:iCs/>
          <w:sz w:val="20"/>
          <w:szCs w:val="20"/>
        </w:rPr>
      </w:pPr>
      <w:r w:rsidRPr="00282598">
        <w:rPr>
          <w:rFonts w:ascii="Verdana" w:hAnsi="Verdana"/>
          <w:sz w:val="20"/>
          <w:szCs w:val="20"/>
        </w:rPr>
        <w:t xml:space="preserve">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315- 3 de la Carta. Asimismo, deberán tener en cuenta los concejos municipales que, en tanto función administrativa, la atribución debe ser ejercida en forma razonable y proporcionada, respetando lo dispuesto en el artículo 209 constitucional; </w:t>
      </w:r>
      <w:r w:rsidRPr="00282598">
        <w:rPr>
          <w:rFonts w:ascii="Verdana" w:hAnsi="Verdana"/>
          <w:bCs/>
          <w:i/>
          <w:iCs/>
          <w:sz w:val="20"/>
          <w:szCs w:val="20"/>
        </w:rPr>
        <w:t>y que no se puede interpretar dicha norma en forma tal que se obligue al alcalde a solicitar autorizaciones del concejo en todos los casos en que vaya a contratar, sino únicamente en los que tal corporación disponga, en forma razonable, mediante un reglamento que se atenga a la Carta</w:t>
      </w:r>
      <w:r w:rsidRPr="00282598">
        <w:rPr>
          <w:rFonts w:ascii="Verdana" w:hAnsi="Verdana"/>
          <w:bCs/>
          <w:i/>
          <w:iCs/>
          <w:spacing w:val="-2"/>
          <w:sz w:val="20"/>
          <w:szCs w:val="20"/>
        </w:rPr>
        <w:t xml:space="preserve"> </w:t>
      </w:r>
      <w:r w:rsidRPr="00282598">
        <w:rPr>
          <w:rFonts w:ascii="Verdana" w:hAnsi="Verdana"/>
          <w:bCs/>
          <w:i/>
          <w:iCs/>
          <w:sz w:val="20"/>
          <w:szCs w:val="20"/>
        </w:rPr>
        <w:t>Política.</w:t>
      </w:r>
    </w:p>
    <w:p w14:paraId="48CA9D13" w14:textId="77777777" w:rsidR="00282598" w:rsidRPr="00282598" w:rsidRDefault="00282598" w:rsidP="00282598">
      <w:pPr>
        <w:pStyle w:val="Textoindependiente"/>
        <w:ind w:left="709" w:right="709"/>
        <w:rPr>
          <w:rFonts w:ascii="Verdana" w:hAnsi="Verdana"/>
          <w:sz w:val="20"/>
          <w:szCs w:val="20"/>
        </w:rPr>
      </w:pPr>
      <w:r w:rsidRPr="00282598">
        <w:rPr>
          <w:rFonts w:ascii="Verdana" w:hAnsi="Verdana"/>
          <w:sz w:val="20"/>
          <w:szCs w:val="20"/>
        </w:rPr>
        <w:t>(…)</w:t>
      </w:r>
    </w:p>
    <w:p w14:paraId="258EEAF4" w14:textId="77777777" w:rsidR="00282598" w:rsidRPr="00282598" w:rsidRDefault="00282598" w:rsidP="00282598">
      <w:pPr>
        <w:pStyle w:val="Textoindependiente"/>
        <w:ind w:left="709" w:right="709"/>
        <w:jc w:val="both"/>
        <w:rPr>
          <w:rFonts w:ascii="Verdana" w:hAnsi="Verdana"/>
          <w:sz w:val="20"/>
          <w:szCs w:val="20"/>
        </w:rPr>
      </w:pPr>
      <w:r w:rsidRPr="00282598">
        <w:rPr>
          <w:rFonts w:ascii="Verdana" w:hAnsi="Verdana"/>
          <w:sz w:val="20"/>
          <w:szCs w:val="20"/>
        </w:rPr>
        <w:t xml:space="preserve">Debe resaltarse, por último, que, contrario a lo que presupone la argumentación del actor, lejos de ser un límite a la autonomía municipal, el régimen previsto por la Ley 80 de 1993 está construido sobre la base de la autonomía de las entidades estatales en materia contractual, tanto que otorga a ciertas entidades y dependencias que no cuentan con personería jurídica, una capacidad especial de contratación y puedan gestionar mejor los aspectos que a ellas atañen. Para la Corte, igual sucede con la norma bajo estudio, </w:t>
      </w:r>
      <w:proofErr w:type="gramStart"/>
      <w:r w:rsidRPr="00282598">
        <w:rPr>
          <w:rFonts w:ascii="Verdana" w:hAnsi="Verdana"/>
          <w:sz w:val="20"/>
          <w:szCs w:val="20"/>
        </w:rPr>
        <w:t>ya que</w:t>
      </w:r>
      <w:proofErr w:type="gramEnd"/>
      <w:r w:rsidRPr="00282598">
        <w:rPr>
          <w:rFonts w:ascii="Verdana" w:hAnsi="Verdana"/>
          <w:sz w:val="20"/>
          <w:szCs w:val="20"/>
        </w:rPr>
        <w:t xml:space="preserve"> al reafirmar la competencia reglamentaria constitucional de los concejos municipales, no sólo presupone, sino que desarrolla su autonomía real. Así, a través de regímenes reglamentarios que no lesionen lo dispuesto en la Ley 80 de 1993 y en las demás normas legales aplicables, </w:t>
      </w:r>
      <w:r w:rsidRPr="00282598">
        <w:rPr>
          <w:rFonts w:ascii="Verdana" w:hAnsi="Verdana"/>
          <w:bCs/>
          <w:i/>
          <w:iCs/>
          <w:sz w:val="20"/>
          <w:szCs w:val="20"/>
        </w:rPr>
        <w:t>los concejos podrán decidir cómo ha de surtirse el proceso de autorización, en los casos en que sea necesario de conformidad con los intereses locales</w:t>
      </w:r>
      <w:r w:rsidRPr="00282598">
        <w:rPr>
          <w:rFonts w:ascii="Verdana" w:hAnsi="Verdana"/>
          <w:b/>
          <w:sz w:val="20"/>
          <w:szCs w:val="20"/>
        </w:rPr>
        <w:t xml:space="preserve"> </w:t>
      </w:r>
      <w:r w:rsidRPr="00282598">
        <w:rPr>
          <w:rFonts w:ascii="Verdana" w:hAnsi="Verdana"/>
          <w:sz w:val="20"/>
          <w:szCs w:val="20"/>
        </w:rPr>
        <w:t>(…)”</w:t>
      </w:r>
      <w:r w:rsidRPr="00282598">
        <w:rPr>
          <w:rStyle w:val="Refdenotaalpie"/>
          <w:rFonts w:ascii="Verdana" w:hAnsi="Verdana"/>
          <w:sz w:val="20"/>
          <w:szCs w:val="20"/>
        </w:rPr>
        <w:footnoteReference w:id="3"/>
      </w:r>
      <w:r w:rsidRPr="00282598">
        <w:rPr>
          <w:rFonts w:ascii="Verdana" w:hAnsi="Verdana"/>
          <w:sz w:val="20"/>
          <w:szCs w:val="20"/>
        </w:rPr>
        <w:t>. [Énfasis fuera del</w:t>
      </w:r>
      <w:r w:rsidRPr="00282598">
        <w:rPr>
          <w:rFonts w:ascii="Verdana" w:hAnsi="Verdana"/>
          <w:spacing w:val="-19"/>
          <w:sz w:val="20"/>
          <w:szCs w:val="20"/>
        </w:rPr>
        <w:t xml:space="preserve"> </w:t>
      </w:r>
      <w:r w:rsidRPr="00282598">
        <w:rPr>
          <w:rFonts w:ascii="Verdana" w:hAnsi="Verdana"/>
          <w:sz w:val="20"/>
          <w:szCs w:val="20"/>
        </w:rPr>
        <w:t>texto original]</w:t>
      </w:r>
    </w:p>
    <w:p w14:paraId="664B0D6D" w14:textId="77777777" w:rsidR="00282598" w:rsidRPr="004A143C" w:rsidRDefault="00282598" w:rsidP="00282598">
      <w:pPr>
        <w:pStyle w:val="Textoindependiente"/>
        <w:spacing w:after="120" w:line="276" w:lineRule="auto"/>
        <w:ind w:firstLine="709"/>
        <w:jc w:val="both"/>
        <w:rPr>
          <w:rFonts w:ascii="Verdana" w:hAnsi="Verdana"/>
          <w:sz w:val="22"/>
          <w:szCs w:val="22"/>
        </w:rPr>
      </w:pPr>
      <w:r w:rsidRPr="004A143C">
        <w:rPr>
          <w:rFonts w:ascii="Verdana" w:hAnsi="Verdana"/>
          <w:sz w:val="22"/>
          <w:szCs w:val="22"/>
        </w:rPr>
        <w:t xml:space="preserve">La anterior interpretación permite concluir que, la autorización de parte del concejo de que trata el artículo 32 de la Ley 136 de 1994 debe ser determinada y restringida y solo frente a los asuntos contractuales que expresamente estuvieran reglamentados por el concejo municipal. De ahí que corresponda a los concejos municipales expedir un acuerdo que regule: i) “el procedimiento interno que se deberá seguir ante los Concejos para obtener la autorización respectiva”; </w:t>
      </w:r>
      <w:proofErr w:type="spellStart"/>
      <w:r w:rsidRPr="004A143C">
        <w:rPr>
          <w:rFonts w:ascii="Verdana" w:hAnsi="Verdana"/>
          <w:sz w:val="22"/>
          <w:szCs w:val="22"/>
        </w:rPr>
        <w:t>ii</w:t>
      </w:r>
      <w:proofErr w:type="spellEnd"/>
      <w:r w:rsidRPr="004A143C">
        <w:rPr>
          <w:rFonts w:ascii="Verdana" w:hAnsi="Verdana"/>
          <w:sz w:val="22"/>
          <w:szCs w:val="22"/>
        </w:rPr>
        <w:t xml:space="preserve">) “los criterios que debe seguir para otorgarla” y; </w:t>
      </w:r>
      <w:proofErr w:type="spellStart"/>
      <w:r w:rsidRPr="004A143C">
        <w:rPr>
          <w:rFonts w:ascii="Verdana" w:hAnsi="Verdana"/>
          <w:sz w:val="22"/>
          <w:szCs w:val="22"/>
        </w:rPr>
        <w:t>iii</w:t>
      </w:r>
      <w:proofErr w:type="spellEnd"/>
      <w:r w:rsidRPr="004A143C">
        <w:rPr>
          <w:rFonts w:ascii="Verdana" w:hAnsi="Verdana"/>
          <w:sz w:val="22"/>
          <w:szCs w:val="22"/>
        </w:rPr>
        <w:t>) “los casos en los cuales tal autorización es necesaria”, teniendo en cuenta los intereses</w:t>
      </w:r>
      <w:r w:rsidRPr="004A143C">
        <w:rPr>
          <w:rFonts w:ascii="Verdana" w:hAnsi="Verdana"/>
          <w:spacing w:val="-19"/>
          <w:sz w:val="22"/>
          <w:szCs w:val="22"/>
        </w:rPr>
        <w:t xml:space="preserve"> </w:t>
      </w:r>
      <w:r w:rsidRPr="004A143C">
        <w:rPr>
          <w:rFonts w:ascii="Verdana" w:hAnsi="Verdana"/>
          <w:sz w:val="22"/>
          <w:szCs w:val="22"/>
        </w:rPr>
        <w:t xml:space="preserve">locales. </w:t>
      </w:r>
    </w:p>
    <w:p w14:paraId="684EEF07" w14:textId="77777777" w:rsidR="00282598" w:rsidRPr="004A143C" w:rsidRDefault="00282598" w:rsidP="009219E4">
      <w:pPr>
        <w:pStyle w:val="Textoindependiente"/>
        <w:spacing w:line="276" w:lineRule="auto"/>
        <w:ind w:right="108" w:firstLine="708"/>
        <w:jc w:val="both"/>
        <w:rPr>
          <w:rFonts w:ascii="Verdana" w:hAnsi="Verdana"/>
          <w:sz w:val="22"/>
          <w:szCs w:val="22"/>
        </w:rPr>
      </w:pPr>
      <w:r w:rsidRPr="004A143C">
        <w:rPr>
          <w:rFonts w:ascii="Verdana" w:hAnsi="Verdana"/>
          <w:sz w:val="22"/>
          <w:szCs w:val="22"/>
        </w:rPr>
        <w:t>Corolario de lo descrito, el alcance de estas atribuciones ha sido objeto de análisis y pronunciamiento por parte de la Sala de Consulta y Servicio del Consejo de Estado. En el Concepto 1889 del 5 de junio de 2008, con ponencia de William Zambrano Cetina, en relación con el asunto materia de estudio, manifestó:</w:t>
      </w:r>
    </w:p>
    <w:p w14:paraId="01282332" w14:textId="77777777" w:rsidR="00282598" w:rsidRPr="0084387B" w:rsidRDefault="00282598" w:rsidP="00282598">
      <w:pPr>
        <w:pStyle w:val="Textoindependiente"/>
        <w:ind w:left="709" w:right="709"/>
        <w:jc w:val="both"/>
        <w:rPr>
          <w:rFonts w:ascii="Verdana" w:hAnsi="Verdana"/>
          <w:sz w:val="20"/>
          <w:szCs w:val="20"/>
        </w:rPr>
      </w:pPr>
      <w:r w:rsidRPr="0084387B">
        <w:rPr>
          <w:rFonts w:ascii="Verdana" w:hAnsi="Verdana"/>
          <w:sz w:val="20"/>
          <w:szCs w:val="20"/>
        </w:rPr>
        <w:t>“De acuerdo con lo anterior, la Sala considera importante hacer las siguientes consideraciones:</w:t>
      </w:r>
    </w:p>
    <w:p w14:paraId="158F2A9C" w14:textId="77777777" w:rsidR="00282598" w:rsidRPr="0084387B" w:rsidRDefault="00282598" w:rsidP="00282598">
      <w:pPr>
        <w:spacing w:after="0" w:line="240" w:lineRule="auto"/>
        <w:ind w:left="709" w:right="709"/>
        <w:jc w:val="both"/>
        <w:rPr>
          <w:rFonts w:ascii="Verdana" w:hAnsi="Verdana"/>
          <w:sz w:val="20"/>
          <w:szCs w:val="20"/>
        </w:rPr>
      </w:pPr>
      <w:r w:rsidRPr="0084387B">
        <w:rPr>
          <w:rFonts w:ascii="Verdana" w:hAnsi="Verdana"/>
          <w:sz w:val="20"/>
          <w:szCs w:val="20"/>
        </w:rPr>
        <w:t xml:space="preserve">1º. En primer lugar, se deben separar los conceptos de </w:t>
      </w:r>
      <w:r w:rsidRPr="0084387B">
        <w:rPr>
          <w:rFonts w:ascii="Verdana" w:hAnsi="Verdana"/>
          <w:i/>
          <w:sz w:val="20"/>
          <w:szCs w:val="20"/>
        </w:rPr>
        <w:t>autorización</w:t>
      </w:r>
      <w:r w:rsidRPr="0084387B">
        <w:rPr>
          <w:rFonts w:ascii="Verdana" w:hAnsi="Verdana"/>
          <w:sz w:val="20"/>
          <w:szCs w:val="20"/>
        </w:rPr>
        <w:t xml:space="preserve">, al que se refiere el artículo 313-3 de la Constitución y de </w:t>
      </w:r>
      <w:r w:rsidRPr="0084387B">
        <w:rPr>
          <w:rFonts w:ascii="Verdana" w:hAnsi="Verdana"/>
          <w:i/>
          <w:sz w:val="20"/>
          <w:szCs w:val="20"/>
        </w:rPr>
        <w:t xml:space="preserve">reglamentación de la autorización </w:t>
      </w:r>
      <w:r w:rsidRPr="0084387B">
        <w:rPr>
          <w:rFonts w:ascii="Verdana" w:hAnsi="Verdana"/>
          <w:sz w:val="20"/>
          <w:szCs w:val="20"/>
        </w:rPr>
        <w:t>a que se hace alusión en el artículo 32-3 de la Ley 136 de 1994.</w:t>
      </w:r>
    </w:p>
    <w:p w14:paraId="4B7254BB" w14:textId="77777777" w:rsidR="00282598" w:rsidRPr="0084387B" w:rsidRDefault="00282598" w:rsidP="00282598">
      <w:pPr>
        <w:pStyle w:val="Textoindependiente"/>
        <w:ind w:left="709" w:right="709"/>
        <w:jc w:val="both"/>
        <w:rPr>
          <w:rFonts w:ascii="Verdana" w:hAnsi="Verdana"/>
          <w:sz w:val="20"/>
          <w:szCs w:val="20"/>
        </w:rPr>
      </w:pPr>
      <w:r w:rsidRPr="0084387B">
        <w:rPr>
          <w:rFonts w:ascii="Verdana" w:hAnsi="Verdana"/>
          <w:sz w:val="20"/>
          <w:szCs w:val="20"/>
        </w:rPr>
        <w:t xml:space="preserve">2º. Frente a la </w:t>
      </w:r>
      <w:r w:rsidRPr="0084387B">
        <w:rPr>
          <w:rFonts w:ascii="Verdana" w:hAnsi="Verdana"/>
          <w:i/>
          <w:sz w:val="20"/>
          <w:szCs w:val="20"/>
        </w:rPr>
        <w:t>autorización</w:t>
      </w:r>
      <w:r w:rsidRPr="0084387B">
        <w:rPr>
          <w:rFonts w:ascii="Verdana" w:hAnsi="Verdana"/>
          <w:sz w:val="20"/>
          <w:szCs w:val="20"/>
        </w:rPr>
        <w:t>, señala la Corte Constitucional, corresponde a la facultad del concejo municipal de establecer qué contratos de los que debe celebrar el alcalde como representante de la entidad territorial, deben ser autorizados por esa corporación. Aclara esa Corporación Judicial de manera categórica que dicha atribución no puede comprender todos los contratos que deba suscribir el alcalde, sino únicamente y de manera excepcional "los que tal corporación disponga, en forma razonable, mediante un reglamento que se atenga a la Constitución Política".</w:t>
      </w:r>
    </w:p>
    <w:p w14:paraId="59DD0080" w14:textId="77777777" w:rsidR="00282598" w:rsidRPr="0084387B" w:rsidRDefault="00282598" w:rsidP="00282598">
      <w:pPr>
        <w:pStyle w:val="Textoindependiente"/>
        <w:ind w:left="709" w:right="709"/>
        <w:jc w:val="both"/>
        <w:rPr>
          <w:rFonts w:ascii="Verdana" w:hAnsi="Verdana"/>
          <w:sz w:val="20"/>
          <w:szCs w:val="20"/>
        </w:rPr>
      </w:pPr>
      <w:r w:rsidRPr="0084387B">
        <w:rPr>
          <w:rFonts w:ascii="Verdana" w:hAnsi="Verdana"/>
          <w:sz w:val="20"/>
          <w:szCs w:val="20"/>
        </w:rPr>
        <w:t>A contrario de lo anterior, sería viable otorgar por parte de los concejos una autorización general para contratar de acuerdo con el presupuesto aprobado y los planes de desarrollo, como es práctica usual. En este caso, el concejo puede reservase o no la facultad de autorizar algunos contratos en particular, siempre que, como ya se señaló, no comprenda la totalidad de los contratos que debe celebrar el</w:t>
      </w:r>
      <w:r w:rsidRPr="0084387B">
        <w:rPr>
          <w:rFonts w:ascii="Verdana" w:hAnsi="Verdana"/>
          <w:spacing w:val="-3"/>
          <w:sz w:val="20"/>
          <w:szCs w:val="20"/>
        </w:rPr>
        <w:t xml:space="preserve"> </w:t>
      </w:r>
      <w:r w:rsidRPr="0084387B">
        <w:rPr>
          <w:rFonts w:ascii="Verdana" w:hAnsi="Verdana"/>
          <w:sz w:val="20"/>
          <w:szCs w:val="20"/>
        </w:rPr>
        <w:t>alcalde.</w:t>
      </w:r>
    </w:p>
    <w:p w14:paraId="6DB9CB8D" w14:textId="77777777" w:rsidR="00282598" w:rsidRPr="0084387B" w:rsidRDefault="00282598" w:rsidP="00282598">
      <w:pPr>
        <w:pStyle w:val="Textoindependiente"/>
        <w:ind w:left="709" w:right="709"/>
        <w:rPr>
          <w:rFonts w:ascii="Verdana" w:hAnsi="Verdana"/>
          <w:sz w:val="20"/>
          <w:szCs w:val="20"/>
        </w:rPr>
      </w:pPr>
      <w:r w:rsidRPr="0084387B">
        <w:rPr>
          <w:rFonts w:ascii="Verdana" w:hAnsi="Verdana"/>
          <w:sz w:val="20"/>
          <w:szCs w:val="20"/>
        </w:rPr>
        <w:t>(…)</w:t>
      </w:r>
    </w:p>
    <w:p w14:paraId="4D5F5066" w14:textId="77777777" w:rsidR="00282598" w:rsidRPr="0084387B" w:rsidRDefault="00282598" w:rsidP="00282598">
      <w:pPr>
        <w:pStyle w:val="Textoindependiente"/>
        <w:ind w:left="709" w:right="709"/>
        <w:jc w:val="both"/>
        <w:rPr>
          <w:rFonts w:ascii="Verdana" w:hAnsi="Verdana"/>
          <w:sz w:val="20"/>
          <w:szCs w:val="20"/>
        </w:rPr>
      </w:pPr>
      <w:r w:rsidRPr="0084387B">
        <w:rPr>
          <w:rFonts w:ascii="Verdana" w:hAnsi="Verdana"/>
          <w:sz w:val="20"/>
          <w:szCs w:val="20"/>
        </w:rPr>
        <w:t xml:space="preserve">3. En relación con la </w:t>
      </w:r>
      <w:r w:rsidRPr="0084387B">
        <w:rPr>
          <w:rFonts w:ascii="Verdana" w:hAnsi="Verdana"/>
          <w:i/>
          <w:sz w:val="20"/>
          <w:szCs w:val="20"/>
        </w:rPr>
        <w:t xml:space="preserve">reglamentación de esa autorización </w:t>
      </w:r>
      <w:r w:rsidRPr="0084387B">
        <w:rPr>
          <w:rFonts w:ascii="Verdana" w:hAnsi="Verdana"/>
          <w:sz w:val="20"/>
          <w:szCs w:val="20"/>
        </w:rPr>
        <w:t xml:space="preserve">(art.32-3 de la Ley 136 de 1994), la Corte Constitucional advierte que ella se refiere a la reglamentación no de la función contractual del alcalde, sino del procedimiento interno que habrá de seguirse en los concejos municipales para tramitar las solicitudes </w:t>
      </w:r>
      <w:r w:rsidRPr="0084387B">
        <w:rPr>
          <w:rFonts w:ascii="Verdana" w:hAnsi="Verdana"/>
          <w:spacing w:val="-3"/>
          <w:sz w:val="20"/>
          <w:szCs w:val="20"/>
        </w:rPr>
        <w:t xml:space="preserve">de </w:t>
      </w:r>
      <w:r w:rsidRPr="0084387B">
        <w:rPr>
          <w:rFonts w:ascii="Verdana" w:hAnsi="Verdana"/>
          <w:sz w:val="20"/>
          <w:szCs w:val="20"/>
        </w:rPr>
        <w:t>autorización de contratos en los casos en que ésta se ha previsto; por tanto, los concejos no podrán so pretexto de reglamentar dicha autorización, "extralimitarse en sus atribuciones e intervenir sobre la actividad contractual propiamente dicha; dirección que corresponde al alcalde, en tanto jefe de la acción administrativa del municipio, de conformidad con el artículo 315-3 de la Carta."</w:t>
      </w:r>
    </w:p>
    <w:p w14:paraId="6D90416C" w14:textId="77777777" w:rsidR="00282598" w:rsidRPr="0084387B" w:rsidRDefault="00282598" w:rsidP="00282598">
      <w:pPr>
        <w:pStyle w:val="Textoindependiente"/>
        <w:ind w:left="709" w:right="709"/>
        <w:rPr>
          <w:rFonts w:ascii="Verdana" w:hAnsi="Verdana"/>
          <w:sz w:val="20"/>
          <w:szCs w:val="20"/>
        </w:rPr>
      </w:pPr>
      <w:r w:rsidRPr="0084387B">
        <w:rPr>
          <w:rFonts w:ascii="Verdana" w:hAnsi="Verdana"/>
          <w:sz w:val="20"/>
          <w:szCs w:val="20"/>
        </w:rPr>
        <w:t>(…)</w:t>
      </w:r>
    </w:p>
    <w:p w14:paraId="4F5651FB" w14:textId="18222525" w:rsidR="00282598" w:rsidRPr="0084387B" w:rsidRDefault="00282598" w:rsidP="00282598">
      <w:pPr>
        <w:pStyle w:val="Textoindependiente"/>
        <w:ind w:left="709" w:right="709"/>
        <w:jc w:val="both"/>
        <w:rPr>
          <w:rFonts w:ascii="Verdana" w:hAnsi="Verdana"/>
          <w:sz w:val="20"/>
          <w:szCs w:val="20"/>
        </w:rPr>
      </w:pPr>
      <w:r w:rsidRPr="0084387B">
        <w:rPr>
          <w:rFonts w:ascii="Verdana" w:hAnsi="Verdana"/>
          <w:i/>
          <w:iCs/>
          <w:sz w:val="20"/>
          <w:szCs w:val="20"/>
        </w:rPr>
        <w:t>De acuerdo con lo anterior, es fácil concluir que obligar a un alcalde municipal a obtener autorización permanente del concejo municipal para todos los contratos que debe celebrar en cumplimiento de sus funciones, comporta claramente, a la vez que una omisión en el cumplimiento de un deber legal por parte de los concejos (en el sentido de conceder las autorizaciones que se requieren para contratar y de establecer un reglamento general para el efecto), un desbordamiento de las facultades que le han sido asignadas a dichas</w:t>
      </w:r>
      <w:r w:rsidRPr="0084387B">
        <w:rPr>
          <w:rFonts w:ascii="Verdana" w:hAnsi="Verdana"/>
          <w:sz w:val="20"/>
          <w:szCs w:val="20"/>
        </w:rPr>
        <w:t xml:space="preserve"> </w:t>
      </w:r>
      <w:r w:rsidRPr="0084387B">
        <w:rPr>
          <w:rFonts w:ascii="Verdana" w:hAnsi="Verdana"/>
          <w:i/>
          <w:iCs/>
          <w:sz w:val="20"/>
          <w:szCs w:val="20"/>
        </w:rPr>
        <w:t>corporaciones municipales, pues termina trasladando a ellas la dirección y control de la actividad contractual del ente territorial, lo cual corresponde a una función constitucional y legal propia de los alcaldes que los concejos no pueden desconocer al amparo del artículo 313-3 de la Constitución.</w:t>
      </w:r>
      <w:r w:rsidRPr="0084387B">
        <w:rPr>
          <w:rFonts w:ascii="Verdana" w:hAnsi="Verdana"/>
          <w:sz w:val="20"/>
          <w:szCs w:val="20"/>
        </w:rPr>
        <w:t xml:space="preserve"> El hecho de convertir en regla lo que es excepción, invierte el reparto constitucional de funciones entre dichos servidores y hace que los concejos municipales se conviertan en coadministradores</w:t>
      </w:r>
      <w:r w:rsidRPr="0084387B">
        <w:rPr>
          <w:rFonts w:ascii="Verdana" w:hAnsi="Verdana"/>
          <w:spacing w:val="22"/>
          <w:sz w:val="20"/>
          <w:szCs w:val="20"/>
        </w:rPr>
        <w:t xml:space="preserve"> </w:t>
      </w:r>
      <w:r w:rsidRPr="0084387B">
        <w:rPr>
          <w:rFonts w:ascii="Verdana" w:hAnsi="Verdana"/>
          <w:sz w:val="20"/>
          <w:szCs w:val="20"/>
        </w:rPr>
        <w:t>de</w:t>
      </w:r>
      <w:r w:rsidRPr="0084387B">
        <w:rPr>
          <w:rFonts w:ascii="Verdana" w:hAnsi="Verdana"/>
          <w:spacing w:val="22"/>
          <w:sz w:val="20"/>
          <w:szCs w:val="20"/>
        </w:rPr>
        <w:t xml:space="preserve"> </w:t>
      </w:r>
      <w:r w:rsidRPr="0084387B">
        <w:rPr>
          <w:rFonts w:ascii="Verdana" w:hAnsi="Verdana"/>
          <w:sz w:val="20"/>
          <w:szCs w:val="20"/>
        </w:rPr>
        <w:t>la</w:t>
      </w:r>
      <w:r w:rsidRPr="0084387B">
        <w:rPr>
          <w:rFonts w:ascii="Verdana" w:hAnsi="Verdana"/>
          <w:spacing w:val="22"/>
          <w:sz w:val="20"/>
          <w:szCs w:val="20"/>
        </w:rPr>
        <w:t xml:space="preserve"> </w:t>
      </w:r>
      <w:r w:rsidRPr="0084387B">
        <w:rPr>
          <w:rFonts w:ascii="Verdana" w:hAnsi="Verdana"/>
          <w:sz w:val="20"/>
          <w:szCs w:val="20"/>
        </w:rPr>
        <w:t>gestión</w:t>
      </w:r>
      <w:r w:rsidRPr="0084387B">
        <w:rPr>
          <w:rFonts w:ascii="Verdana" w:hAnsi="Verdana"/>
          <w:spacing w:val="23"/>
          <w:sz w:val="20"/>
          <w:szCs w:val="20"/>
        </w:rPr>
        <w:t xml:space="preserve"> </w:t>
      </w:r>
      <w:r w:rsidRPr="0084387B">
        <w:rPr>
          <w:rFonts w:ascii="Verdana" w:hAnsi="Verdana"/>
          <w:sz w:val="20"/>
          <w:szCs w:val="20"/>
        </w:rPr>
        <w:t>contractual</w:t>
      </w:r>
      <w:r w:rsidRPr="0084387B">
        <w:rPr>
          <w:rFonts w:ascii="Verdana" w:hAnsi="Verdana"/>
          <w:spacing w:val="23"/>
          <w:sz w:val="20"/>
          <w:szCs w:val="20"/>
        </w:rPr>
        <w:t xml:space="preserve"> </w:t>
      </w:r>
      <w:r w:rsidRPr="0084387B">
        <w:rPr>
          <w:rFonts w:ascii="Verdana" w:hAnsi="Verdana"/>
          <w:sz w:val="20"/>
          <w:szCs w:val="20"/>
        </w:rPr>
        <w:t>municipal,</w:t>
      </w:r>
      <w:r w:rsidRPr="0084387B">
        <w:rPr>
          <w:rFonts w:ascii="Verdana" w:hAnsi="Verdana"/>
          <w:spacing w:val="21"/>
          <w:sz w:val="20"/>
          <w:szCs w:val="20"/>
        </w:rPr>
        <w:t xml:space="preserve"> </w:t>
      </w:r>
      <w:r w:rsidRPr="0084387B">
        <w:rPr>
          <w:rFonts w:ascii="Verdana" w:hAnsi="Verdana"/>
          <w:sz w:val="20"/>
          <w:szCs w:val="20"/>
        </w:rPr>
        <w:t>lo</w:t>
      </w:r>
      <w:r w:rsidRPr="0084387B">
        <w:rPr>
          <w:rFonts w:ascii="Verdana" w:hAnsi="Verdana"/>
          <w:spacing w:val="23"/>
          <w:sz w:val="20"/>
          <w:szCs w:val="20"/>
        </w:rPr>
        <w:t xml:space="preserve"> </w:t>
      </w:r>
      <w:r w:rsidRPr="0084387B">
        <w:rPr>
          <w:rFonts w:ascii="Verdana" w:hAnsi="Verdana"/>
          <w:sz w:val="20"/>
          <w:szCs w:val="20"/>
        </w:rPr>
        <w:t>que</w:t>
      </w:r>
      <w:r w:rsidRPr="0084387B">
        <w:rPr>
          <w:rFonts w:ascii="Verdana" w:hAnsi="Verdana"/>
          <w:spacing w:val="22"/>
          <w:sz w:val="20"/>
          <w:szCs w:val="20"/>
        </w:rPr>
        <w:t xml:space="preserve"> </w:t>
      </w:r>
      <w:r w:rsidRPr="0084387B">
        <w:rPr>
          <w:rFonts w:ascii="Verdana" w:hAnsi="Verdana"/>
          <w:sz w:val="20"/>
          <w:szCs w:val="20"/>
        </w:rPr>
        <w:t>se</w:t>
      </w:r>
      <w:r w:rsidRPr="0084387B">
        <w:rPr>
          <w:rFonts w:ascii="Verdana" w:hAnsi="Verdana"/>
          <w:spacing w:val="22"/>
          <w:sz w:val="20"/>
          <w:szCs w:val="20"/>
        </w:rPr>
        <w:t xml:space="preserve"> </w:t>
      </w:r>
      <w:r w:rsidRPr="0084387B">
        <w:rPr>
          <w:rFonts w:ascii="Verdana" w:hAnsi="Verdana"/>
          <w:sz w:val="20"/>
          <w:szCs w:val="20"/>
        </w:rPr>
        <w:t>encuentra</w:t>
      </w:r>
      <w:r w:rsidRPr="0084387B">
        <w:rPr>
          <w:rFonts w:ascii="Verdana" w:hAnsi="Verdana"/>
          <w:spacing w:val="23"/>
          <w:sz w:val="20"/>
          <w:szCs w:val="20"/>
        </w:rPr>
        <w:t xml:space="preserve"> </w:t>
      </w:r>
      <w:r w:rsidRPr="0084387B">
        <w:rPr>
          <w:rFonts w:ascii="Verdana" w:hAnsi="Verdana"/>
          <w:sz w:val="20"/>
          <w:szCs w:val="20"/>
        </w:rPr>
        <w:t xml:space="preserve">por fuera del marco fijado en los artículos 313 de la </w:t>
      </w:r>
      <w:r w:rsidR="0084387B">
        <w:rPr>
          <w:rFonts w:ascii="Verdana" w:hAnsi="Verdana"/>
          <w:sz w:val="20"/>
          <w:szCs w:val="20"/>
        </w:rPr>
        <w:t>c</w:t>
      </w:r>
      <w:r w:rsidRPr="0084387B">
        <w:rPr>
          <w:rFonts w:ascii="Verdana" w:hAnsi="Verdana"/>
          <w:sz w:val="20"/>
          <w:szCs w:val="20"/>
        </w:rPr>
        <w:t>onstitución y 32 de la Ley 136 de 1994.</w:t>
      </w:r>
    </w:p>
    <w:p w14:paraId="710684AA" w14:textId="77777777" w:rsidR="00282598" w:rsidRPr="0084387B" w:rsidRDefault="00282598" w:rsidP="00282598">
      <w:pPr>
        <w:pStyle w:val="Textoindependiente"/>
        <w:ind w:left="709" w:right="709"/>
        <w:rPr>
          <w:rFonts w:ascii="Verdana" w:hAnsi="Verdana"/>
          <w:sz w:val="20"/>
          <w:szCs w:val="20"/>
        </w:rPr>
      </w:pPr>
      <w:r w:rsidRPr="0084387B">
        <w:rPr>
          <w:rFonts w:ascii="Verdana" w:hAnsi="Verdana"/>
          <w:sz w:val="20"/>
          <w:szCs w:val="20"/>
        </w:rPr>
        <w:t>(…)</w:t>
      </w:r>
    </w:p>
    <w:p w14:paraId="347A4D28" w14:textId="77777777" w:rsidR="00282598" w:rsidRPr="0084387B" w:rsidRDefault="00282598" w:rsidP="00282598">
      <w:pPr>
        <w:pStyle w:val="Textoindependiente"/>
        <w:ind w:left="709" w:right="709"/>
        <w:jc w:val="both"/>
        <w:rPr>
          <w:rFonts w:ascii="Verdana" w:hAnsi="Verdana"/>
          <w:sz w:val="20"/>
          <w:szCs w:val="20"/>
        </w:rPr>
      </w:pPr>
      <w:r w:rsidRPr="0084387B">
        <w:rPr>
          <w:rFonts w:ascii="Verdana" w:hAnsi="Verdana"/>
          <w:sz w:val="20"/>
          <w:szCs w:val="20"/>
        </w:rPr>
        <w:t xml:space="preserve">Así, </w:t>
      </w:r>
      <w:r w:rsidRPr="0084387B">
        <w:rPr>
          <w:rFonts w:ascii="Verdana" w:hAnsi="Verdana"/>
          <w:i/>
          <w:iCs/>
          <w:sz w:val="20"/>
          <w:szCs w:val="20"/>
        </w:rPr>
        <w:t>la exigencia de los concejos municipales de obtener su autorización para contratar por el alcalde debe ser excepcional y para ello debe mediar un reglamento en el que esas corporaciones establezcan las hipótesis en que ello debe ocurrir, junto con el procedimiento para su operatividad, sin modificar los aspectos ya regulados por el Estatuto General de Contratación de la Administración Pública y sin interferir en el normal funcionamiento de la gestión contratación, como lo ordena la Ley 80 de 1993”</w:t>
      </w:r>
      <w:r w:rsidRPr="0084387B">
        <w:rPr>
          <w:rStyle w:val="Refdenotaalpie"/>
          <w:rFonts w:ascii="Verdana" w:hAnsi="Verdana"/>
          <w:i/>
          <w:iCs/>
          <w:sz w:val="20"/>
          <w:szCs w:val="20"/>
        </w:rPr>
        <w:footnoteReference w:id="4"/>
      </w:r>
      <w:r w:rsidRPr="0084387B">
        <w:rPr>
          <w:rFonts w:ascii="Verdana" w:hAnsi="Verdana"/>
          <w:i/>
          <w:iCs/>
          <w:sz w:val="20"/>
          <w:szCs w:val="20"/>
        </w:rPr>
        <w:t>.</w:t>
      </w:r>
      <w:r w:rsidRPr="0084387B">
        <w:rPr>
          <w:rFonts w:ascii="Verdana" w:hAnsi="Verdana"/>
          <w:sz w:val="20"/>
          <w:szCs w:val="20"/>
        </w:rPr>
        <w:t xml:space="preserve"> [Énfasis fuera del texto original]</w:t>
      </w:r>
    </w:p>
    <w:p w14:paraId="2DD7A736" w14:textId="77777777" w:rsidR="00282598" w:rsidRPr="004A143C" w:rsidRDefault="00282598" w:rsidP="00282598">
      <w:pPr>
        <w:spacing w:before="1" w:after="0" w:line="276" w:lineRule="auto"/>
        <w:ind w:firstLine="709"/>
        <w:jc w:val="both"/>
        <w:rPr>
          <w:rFonts w:ascii="Verdana" w:hAnsi="Verdana" w:cs="Arial"/>
        </w:rPr>
      </w:pPr>
      <w:r w:rsidRPr="004A143C">
        <w:rPr>
          <w:rFonts w:ascii="Verdana" w:hAnsi="Verdana"/>
        </w:rPr>
        <w:t xml:space="preserve">En el mismo sentido, la Sala de Consulta y Servicio del Consejo de Estado, en el </w:t>
      </w:r>
      <w:r w:rsidRPr="004A143C">
        <w:rPr>
          <w:rFonts w:ascii="Verdana" w:hAnsi="Verdana" w:cs="Arial"/>
        </w:rPr>
        <w:t>concepto del 9 de octubre de 2014, precisó que:</w:t>
      </w:r>
    </w:p>
    <w:p w14:paraId="45369BA2" w14:textId="77777777" w:rsidR="00282598" w:rsidRPr="004A143C" w:rsidRDefault="00282598" w:rsidP="00282598">
      <w:pPr>
        <w:widowControl w:val="0"/>
        <w:autoSpaceDE w:val="0"/>
        <w:autoSpaceDN w:val="0"/>
        <w:spacing w:after="0" w:line="276" w:lineRule="auto"/>
        <w:jc w:val="both"/>
        <w:rPr>
          <w:rFonts w:ascii="Verdana" w:hAnsi="Verdana" w:cs="Arial"/>
        </w:rPr>
      </w:pPr>
      <w:r w:rsidRPr="004A143C">
        <w:rPr>
          <w:rFonts w:ascii="Verdana" w:hAnsi="Verdana" w:cs="Arial"/>
        </w:rPr>
        <w:t> </w:t>
      </w:r>
    </w:p>
    <w:p w14:paraId="5AFD6799"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i. De conformidad con el Estatuto de Contratación y las normas orgánicas de presupuesto, los alcaldes tienen la facultad general de suscribir contratos, representar legalmente al municipio y dirigir la actividad contractual de los mismos sin necesidad de una autorización previa, general o periódica del concejo municipal, salvo para los casos excepcionales en que este último o la ley lo hayan señalado expresamente.</w:t>
      </w:r>
    </w:p>
    <w:p w14:paraId="467C38F1"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26A13FA8"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proofErr w:type="spellStart"/>
      <w:r w:rsidRPr="004A143C">
        <w:rPr>
          <w:rFonts w:ascii="Verdana" w:hAnsi="Verdana" w:cs="Arial"/>
          <w:sz w:val="20"/>
          <w:szCs w:val="20"/>
        </w:rPr>
        <w:t>ii</w:t>
      </w:r>
      <w:proofErr w:type="spellEnd"/>
      <w:r w:rsidRPr="004A143C">
        <w:rPr>
          <w:rFonts w:ascii="Verdana" w:hAnsi="Verdana" w:cs="Arial"/>
          <w:sz w:val="20"/>
          <w:szCs w:val="20"/>
        </w:rPr>
        <w:t>. Ni el artículo 313-3 de la Constitución Política, ni el artículo 32-3 de la Ley 136 de 1994 (que la Ley 1551 de 2012 conservó integralmente) facultan a los concejos municipales para someter a su autorización todos los contratos que celebre el alcalde.</w:t>
      </w:r>
    </w:p>
    <w:p w14:paraId="1313DC29"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7BF1D959"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proofErr w:type="spellStart"/>
      <w:r w:rsidRPr="004A143C">
        <w:rPr>
          <w:rFonts w:ascii="Verdana" w:hAnsi="Verdana" w:cs="Arial"/>
          <w:sz w:val="20"/>
          <w:szCs w:val="20"/>
        </w:rPr>
        <w:t>iii</w:t>
      </w:r>
      <w:proofErr w:type="spellEnd"/>
      <w:r w:rsidRPr="004A143C">
        <w:rPr>
          <w:rFonts w:ascii="Verdana" w:hAnsi="Verdana" w:cs="Arial"/>
          <w:sz w:val="20"/>
          <w:szCs w:val="20"/>
        </w:rPr>
        <w:t>. Para establecer el listado de contratos que requieren su autorización, los concejos municipales deben actuar con razonabilidad, proporcionalidad y transparencia, de modo que solo estén sometidos a ese trámite aquellos tipos contractuales que excepcionalmente lo ameriten por su importancia, cuantía o impacto en el desarrollo local.</w:t>
      </w:r>
    </w:p>
    <w:p w14:paraId="082C1DFA"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1F86B000"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proofErr w:type="spellStart"/>
      <w:r w:rsidRPr="004A143C">
        <w:rPr>
          <w:rFonts w:ascii="Verdana" w:hAnsi="Verdana" w:cs="Arial"/>
          <w:sz w:val="20"/>
          <w:szCs w:val="20"/>
        </w:rPr>
        <w:t>iv</w:t>
      </w:r>
      <w:proofErr w:type="spellEnd"/>
      <w:r w:rsidRPr="004A143C">
        <w:rPr>
          <w:rFonts w:ascii="Verdana" w:hAnsi="Verdana" w:cs="Arial"/>
          <w:sz w:val="20"/>
          <w:szCs w:val="20"/>
        </w:rPr>
        <w:t>. El acuerdo por medio del cual los concejos municipales establecen la lista de contratos que requieren su autorización tiene vigencia indefinida, salvo que el propio acuerdo señale lo contrario. En consecuencia, no es necesario que todos los años o al inicio de cada periodo de sesiones se vuelva a expedir un nuevo acuerdo sobre la materia. Ello claro está, sin perjuicio de la facultad natural de los concejos de modificar o adicionar sus acuerdos anteriores en cualquier momento.</w:t>
      </w:r>
    </w:p>
    <w:p w14:paraId="0D1AC1FA"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56903C5B"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v. la potestad que la Constitución Política y la ley le confieren a los concejos municipales es de naturaleza administrativa y, por tanto, no les permite “legislar” o expedir normas en materia contractual. La expresión “reglamentar la autorización al alcalde para contratar” del artículo 32-3 de la ley 136 de 1994 no abre la posibilidad de modificar o adicionar el Estatuto General de Contratación Pública (ley 80 de 1993); tal expresión solo se refiere a la posibilidad de establecer el trámite interno – dentro del concejo- de la autorización solicitada por el alcalde en los casos en que ella sea necesaria (cómo se reparte internamente el estudio de la solicitud, su divulgación entre los concejales, la citación a sesiones para su discusión, la forma en que se desarrolla la deliberación y se adopta la decisión final, etc.)</w:t>
      </w:r>
    </w:p>
    <w:p w14:paraId="76685329"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1B4B3F83"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vi. La inobservancia de los límites constitucionales y legales anotados, así como la obstrucción o interferencia injustificada de la función del alcalde para dirigir la actividad contractual del municipio, puede generar en los concejales responsabilidades disciplinarias, fiscales, patrimoniales y penales, según el caso.</w:t>
      </w:r>
    </w:p>
    <w:p w14:paraId="30D0428F"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409623BE"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En síntesis, la atribución del concejo municipal de señalar qué contratos requerirán su autorización, está regido por un principio de excepcionalidad</w:t>
      </w:r>
      <w:r w:rsidRPr="004A143C">
        <w:rPr>
          <w:rFonts w:ascii="Verdana" w:hAnsi="Verdana" w:cs="Arial"/>
          <w:b/>
          <w:bCs/>
          <w:sz w:val="20"/>
          <w:szCs w:val="20"/>
        </w:rPr>
        <w:t>,</w:t>
      </w:r>
      <w:r w:rsidRPr="004A143C">
        <w:rPr>
          <w:rFonts w:ascii="Verdana" w:hAnsi="Verdana" w:cs="Arial"/>
          <w:sz w:val="20"/>
          <w:szCs w:val="20"/>
        </w:rPr>
        <w:t xml:space="preserve"> según el </w:t>
      </w:r>
      <w:proofErr w:type="gramStart"/>
      <w:r w:rsidRPr="004A143C">
        <w:rPr>
          <w:rFonts w:ascii="Verdana" w:hAnsi="Verdana" w:cs="Arial"/>
          <w:sz w:val="20"/>
          <w:szCs w:val="20"/>
        </w:rPr>
        <w:t>cual</w:t>
      </w:r>
      <w:proofErr w:type="gramEnd"/>
      <w:r w:rsidRPr="004A143C">
        <w:rPr>
          <w:rFonts w:ascii="Verdana" w:hAnsi="Verdana" w:cs="Arial"/>
          <w:sz w:val="20"/>
          <w:szCs w:val="20"/>
        </w:rPr>
        <w:t xml:space="preserve"> frente a la facultad general de contratación del alcalde municipal, solo estarán sujetos a un trámite de autorización previa aquellos contratos que determine la ley o que excepcionalmente establezca el concejo municipal cuando tenga razones suficientes para ello.</w:t>
      </w:r>
    </w:p>
    <w:p w14:paraId="5AE607EA"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45CA7852"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Dicho de otro modo, que los contratos que celebra el acalde requieran autorización del concejo municipal no es, ni puede ser, la regla general sino la excepción. De lo contrario se desdibujarían las competencias y responsabilidades que la Constitución y la ley también le asignan al jefe de la administración local en materia de ejecución presupuestal, prestación de servicios públicos y atención de las necesidades locales.</w:t>
      </w:r>
    </w:p>
    <w:p w14:paraId="0376B33D"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 </w:t>
      </w:r>
    </w:p>
    <w:p w14:paraId="7BC6EFA4" w14:textId="77777777" w:rsidR="00282598" w:rsidRPr="004A143C" w:rsidRDefault="00282598" w:rsidP="00282598">
      <w:pPr>
        <w:widowControl w:val="0"/>
        <w:autoSpaceDE w:val="0"/>
        <w:autoSpaceDN w:val="0"/>
        <w:spacing w:after="0" w:line="240" w:lineRule="auto"/>
        <w:ind w:left="709" w:right="709"/>
        <w:jc w:val="both"/>
        <w:rPr>
          <w:rFonts w:ascii="Verdana" w:hAnsi="Verdana" w:cs="Arial"/>
          <w:sz w:val="20"/>
          <w:szCs w:val="20"/>
        </w:rPr>
      </w:pPr>
      <w:r w:rsidRPr="004A143C">
        <w:rPr>
          <w:rFonts w:ascii="Verdana" w:hAnsi="Verdana" w:cs="Arial"/>
          <w:sz w:val="20"/>
          <w:szCs w:val="20"/>
        </w:rPr>
        <w:t>Finalmente cabe señalar que el legislador podría, como sería incluso recomendable, desarrollar de manera detallada criterios adicionales a los ya señalados por la jurisprudencia, para garantizar así mayor uniformidad y coherencia en el ejercicio de la atribución constitucional de los concejos municipales a la que se ha hecho referencia”</w:t>
      </w:r>
      <w:r w:rsidRPr="004A143C">
        <w:rPr>
          <w:rStyle w:val="Refdenotaalpie"/>
          <w:rFonts w:ascii="Verdana" w:hAnsi="Verdana" w:cs="Arial"/>
          <w:sz w:val="20"/>
          <w:szCs w:val="20"/>
        </w:rPr>
        <w:footnoteReference w:id="5"/>
      </w:r>
      <w:r w:rsidRPr="004A143C">
        <w:rPr>
          <w:rFonts w:ascii="Verdana" w:hAnsi="Verdana" w:cs="Arial"/>
          <w:sz w:val="20"/>
          <w:szCs w:val="20"/>
        </w:rPr>
        <w:t>.</w:t>
      </w:r>
    </w:p>
    <w:p w14:paraId="19E46788" w14:textId="77777777" w:rsidR="00282598" w:rsidRPr="004A143C" w:rsidRDefault="00282598" w:rsidP="00282598">
      <w:pPr>
        <w:spacing w:after="0" w:line="276" w:lineRule="auto"/>
        <w:ind w:firstLine="708"/>
        <w:jc w:val="both"/>
        <w:rPr>
          <w:rFonts w:ascii="Verdana" w:hAnsi="Verdana"/>
        </w:rPr>
      </w:pPr>
    </w:p>
    <w:p w14:paraId="6A64971C" w14:textId="77777777" w:rsidR="00282598" w:rsidRPr="004A143C" w:rsidRDefault="00282598" w:rsidP="00282598">
      <w:pPr>
        <w:spacing w:before="1" w:line="276" w:lineRule="auto"/>
        <w:ind w:firstLine="708"/>
        <w:jc w:val="both"/>
        <w:rPr>
          <w:rFonts w:ascii="Verdana" w:hAnsi="Verdana"/>
        </w:rPr>
      </w:pPr>
      <w:r w:rsidRPr="004A143C">
        <w:rPr>
          <w:rFonts w:ascii="Verdana" w:hAnsi="Verdana"/>
        </w:rPr>
        <w:t>De lo</w:t>
      </w:r>
      <w:r>
        <w:rPr>
          <w:rFonts w:ascii="Verdana" w:hAnsi="Verdana"/>
        </w:rPr>
        <w:t>s</w:t>
      </w:r>
      <w:r w:rsidRPr="004A143C">
        <w:rPr>
          <w:rFonts w:ascii="Verdana" w:hAnsi="Verdana"/>
        </w:rPr>
        <w:t xml:space="preserve"> pronunciamientos antes expuestos es posible concluir que, </w:t>
      </w:r>
      <w:r w:rsidRPr="004A143C">
        <w:rPr>
          <w:rFonts w:ascii="Verdana" w:hAnsi="Verdana"/>
          <w:iCs/>
        </w:rPr>
        <w:t>por regla general los alcaldes tienen la facultad general de suscribir contratos y dirigir la actividad contractual de los municipios sin necesidad de una autorización previa, general o periódica del concejo municipal</w:t>
      </w:r>
      <w:r w:rsidRPr="004A143C">
        <w:rPr>
          <w:rFonts w:ascii="Verdana" w:hAnsi="Verdana"/>
        </w:rPr>
        <w:t>.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w:t>
      </w:r>
    </w:p>
    <w:p w14:paraId="3005EAAF" w14:textId="77777777" w:rsidR="00282598" w:rsidRPr="004A143C" w:rsidRDefault="00282598" w:rsidP="00282598">
      <w:pPr>
        <w:pStyle w:val="Textoindependiente"/>
        <w:spacing w:line="276" w:lineRule="auto"/>
        <w:ind w:firstLine="669"/>
        <w:jc w:val="both"/>
        <w:rPr>
          <w:rFonts w:ascii="Verdana" w:hAnsi="Verdana"/>
          <w:sz w:val="22"/>
          <w:szCs w:val="22"/>
        </w:rPr>
      </w:pPr>
      <w:r w:rsidRPr="004A143C">
        <w:rPr>
          <w:rFonts w:ascii="Verdana" w:hAnsi="Verdana"/>
          <w:sz w:val="22"/>
          <w:szCs w:val="22"/>
        </w:rPr>
        <w:t>En este punto, se procede resaltar que el legislador previó algunos eventos en los cuales los alcaldes deben solicitar una autorización de los concejos municipales. Así, mediante la Ley 1551 de julio 6 de 2012 se modificó el citado el artículo 32, para adicionar el siguiente parágrafo que:</w:t>
      </w:r>
    </w:p>
    <w:p w14:paraId="6BBB69DF" w14:textId="77777777" w:rsidR="00282598" w:rsidRPr="0084387B" w:rsidRDefault="00282598" w:rsidP="00282598">
      <w:pPr>
        <w:pStyle w:val="Textoindependiente"/>
        <w:ind w:left="709" w:right="709"/>
        <w:jc w:val="both"/>
        <w:rPr>
          <w:rFonts w:ascii="Verdana" w:hAnsi="Verdana"/>
          <w:sz w:val="20"/>
          <w:szCs w:val="20"/>
        </w:rPr>
      </w:pPr>
      <w:r w:rsidRPr="0084387B">
        <w:rPr>
          <w:rFonts w:ascii="Verdana" w:hAnsi="Verdana"/>
          <w:sz w:val="20"/>
          <w:szCs w:val="20"/>
        </w:rPr>
        <w:t>“[E]l Concejo Municipal o Distrital deberá decidir sobre la autorización al alcalde para contratar en los siguientes casos:</w:t>
      </w:r>
    </w:p>
    <w:p w14:paraId="23C7160C" w14:textId="77777777" w:rsidR="00282598" w:rsidRPr="0084387B" w:rsidRDefault="00282598" w:rsidP="00282598">
      <w:pPr>
        <w:pStyle w:val="Prrafodelista"/>
        <w:widowControl w:val="0"/>
        <w:numPr>
          <w:ilvl w:val="2"/>
          <w:numId w:val="25"/>
        </w:numPr>
        <w:tabs>
          <w:tab w:val="left" w:pos="1193"/>
        </w:tabs>
        <w:autoSpaceDE w:val="0"/>
        <w:autoSpaceDN w:val="0"/>
        <w:ind w:left="952" w:right="709"/>
        <w:contextualSpacing w:val="0"/>
        <w:rPr>
          <w:rFonts w:ascii="Verdana" w:hAnsi="Verdana"/>
          <w:sz w:val="20"/>
          <w:szCs w:val="20"/>
        </w:rPr>
      </w:pPr>
      <w:r w:rsidRPr="0084387B">
        <w:rPr>
          <w:rFonts w:ascii="Verdana" w:hAnsi="Verdana"/>
          <w:sz w:val="20"/>
          <w:szCs w:val="20"/>
        </w:rPr>
        <w:t>Contratación de</w:t>
      </w:r>
      <w:r w:rsidRPr="0084387B">
        <w:rPr>
          <w:rFonts w:ascii="Verdana" w:hAnsi="Verdana"/>
          <w:spacing w:val="-1"/>
          <w:sz w:val="20"/>
          <w:szCs w:val="20"/>
        </w:rPr>
        <w:t xml:space="preserve"> </w:t>
      </w:r>
      <w:r w:rsidRPr="0084387B">
        <w:rPr>
          <w:rFonts w:ascii="Verdana" w:hAnsi="Verdana"/>
          <w:sz w:val="20"/>
          <w:szCs w:val="20"/>
        </w:rPr>
        <w:t>empréstitos.</w:t>
      </w:r>
    </w:p>
    <w:p w14:paraId="147FD968" w14:textId="77777777" w:rsidR="00282598" w:rsidRPr="0084387B" w:rsidRDefault="00282598" w:rsidP="00282598">
      <w:pPr>
        <w:pStyle w:val="Prrafodelista"/>
        <w:widowControl w:val="0"/>
        <w:numPr>
          <w:ilvl w:val="2"/>
          <w:numId w:val="25"/>
        </w:numPr>
        <w:tabs>
          <w:tab w:val="left" w:pos="1193"/>
        </w:tabs>
        <w:autoSpaceDE w:val="0"/>
        <w:autoSpaceDN w:val="0"/>
        <w:ind w:left="952" w:right="709"/>
        <w:contextualSpacing w:val="0"/>
        <w:rPr>
          <w:rFonts w:ascii="Verdana" w:hAnsi="Verdana"/>
          <w:sz w:val="20"/>
          <w:szCs w:val="20"/>
        </w:rPr>
      </w:pPr>
      <w:r w:rsidRPr="0084387B">
        <w:rPr>
          <w:rFonts w:ascii="Verdana" w:hAnsi="Verdana"/>
          <w:sz w:val="20"/>
          <w:szCs w:val="20"/>
        </w:rPr>
        <w:t>Contratos que comprometan vigencias futuras.</w:t>
      </w:r>
    </w:p>
    <w:p w14:paraId="07C425D4" w14:textId="77777777" w:rsidR="00282598" w:rsidRPr="0084387B" w:rsidRDefault="00282598" w:rsidP="00282598">
      <w:pPr>
        <w:pStyle w:val="Prrafodelista"/>
        <w:widowControl w:val="0"/>
        <w:numPr>
          <w:ilvl w:val="2"/>
          <w:numId w:val="25"/>
        </w:numPr>
        <w:tabs>
          <w:tab w:val="left" w:pos="1193"/>
        </w:tabs>
        <w:autoSpaceDE w:val="0"/>
        <w:autoSpaceDN w:val="0"/>
        <w:ind w:left="952" w:right="709"/>
        <w:contextualSpacing w:val="0"/>
        <w:rPr>
          <w:rFonts w:ascii="Verdana" w:hAnsi="Verdana"/>
          <w:sz w:val="20"/>
          <w:szCs w:val="20"/>
        </w:rPr>
      </w:pPr>
      <w:r w:rsidRPr="0084387B">
        <w:rPr>
          <w:rFonts w:ascii="Verdana" w:hAnsi="Verdana"/>
          <w:sz w:val="20"/>
          <w:szCs w:val="20"/>
        </w:rPr>
        <w:t>Enajenación y compraventa de bienes inmuebles.</w:t>
      </w:r>
    </w:p>
    <w:p w14:paraId="0AEBEE97" w14:textId="77777777" w:rsidR="00282598" w:rsidRPr="0084387B" w:rsidRDefault="00282598" w:rsidP="00282598">
      <w:pPr>
        <w:pStyle w:val="Prrafodelista"/>
        <w:widowControl w:val="0"/>
        <w:numPr>
          <w:ilvl w:val="2"/>
          <w:numId w:val="25"/>
        </w:numPr>
        <w:tabs>
          <w:tab w:val="left" w:pos="1193"/>
        </w:tabs>
        <w:autoSpaceDE w:val="0"/>
        <w:autoSpaceDN w:val="0"/>
        <w:ind w:left="952" w:right="709"/>
        <w:contextualSpacing w:val="0"/>
        <w:rPr>
          <w:rFonts w:ascii="Verdana" w:hAnsi="Verdana"/>
          <w:sz w:val="20"/>
          <w:szCs w:val="20"/>
        </w:rPr>
      </w:pPr>
      <w:r w:rsidRPr="0084387B">
        <w:rPr>
          <w:rFonts w:ascii="Verdana" w:hAnsi="Verdana"/>
          <w:sz w:val="20"/>
          <w:szCs w:val="20"/>
        </w:rPr>
        <w:t>Enajenación de activos, acciones y cuotas partes.</w:t>
      </w:r>
    </w:p>
    <w:p w14:paraId="182CCFA7" w14:textId="77777777" w:rsidR="00282598" w:rsidRPr="0084387B" w:rsidRDefault="00282598" w:rsidP="00282598">
      <w:pPr>
        <w:pStyle w:val="Prrafodelista"/>
        <w:widowControl w:val="0"/>
        <w:numPr>
          <w:ilvl w:val="2"/>
          <w:numId w:val="25"/>
        </w:numPr>
        <w:tabs>
          <w:tab w:val="left" w:pos="1193"/>
        </w:tabs>
        <w:autoSpaceDE w:val="0"/>
        <w:autoSpaceDN w:val="0"/>
        <w:ind w:left="952" w:right="709"/>
        <w:contextualSpacing w:val="0"/>
        <w:rPr>
          <w:rFonts w:ascii="Verdana" w:hAnsi="Verdana"/>
          <w:sz w:val="20"/>
          <w:szCs w:val="20"/>
        </w:rPr>
      </w:pPr>
      <w:r w:rsidRPr="0084387B">
        <w:rPr>
          <w:rFonts w:ascii="Verdana" w:hAnsi="Verdana"/>
          <w:sz w:val="20"/>
          <w:szCs w:val="20"/>
        </w:rPr>
        <w:t>Concesiones.</w:t>
      </w:r>
    </w:p>
    <w:p w14:paraId="0A27075F" w14:textId="77777777" w:rsidR="00282598" w:rsidRPr="0084387B" w:rsidRDefault="00282598" w:rsidP="00282598">
      <w:pPr>
        <w:pStyle w:val="Prrafodelista"/>
        <w:widowControl w:val="0"/>
        <w:numPr>
          <w:ilvl w:val="2"/>
          <w:numId w:val="25"/>
        </w:numPr>
        <w:tabs>
          <w:tab w:val="left" w:pos="1193"/>
        </w:tabs>
        <w:autoSpaceDE w:val="0"/>
        <w:autoSpaceDN w:val="0"/>
        <w:ind w:left="952" w:right="709"/>
        <w:contextualSpacing w:val="0"/>
        <w:rPr>
          <w:rFonts w:ascii="Verdana" w:hAnsi="Verdana"/>
          <w:sz w:val="20"/>
          <w:szCs w:val="20"/>
        </w:rPr>
      </w:pPr>
      <w:r w:rsidRPr="0084387B">
        <w:rPr>
          <w:rFonts w:ascii="Verdana" w:hAnsi="Verdana"/>
          <w:sz w:val="20"/>
          <w:szCs w:val="20"/>
        </w:rPr>
        <w:t>Las demás que determine la ley”.</w:t>
      </w:r>
    </w:p>
    <w:p w14:paraId="165288DA" w14:textId="77777777" w:rsidR="00282598" w:rsidRPr="004A143C" w:rsidRDefault="00282598" w:rsidP="00282598">
      <w:pPr>
        <w:widowControl w:val="0"/>
        <w:autoSpaceDE w:val="0"/>
        <w:autoSpaceDN w:val="0"/>
        <w:spacing w:after="0" w:line="276" w:lineRule="auto"/>
        <w:jc w:val="both"/>
        <w:rPr>
          <w:rFonts w:ascii="Verdana" w:hAnsi="Verdana"/>
          <w:lang w:val="es-MX"/>
        </w:rPr>
      </w:pPr>
    </w:p>
    <w:p w14:paraId="7758D5A7" w14:textId="77777777" w:rsidR="00282598" w:rsidRPr="004A143C" w:rsidRDefault="00282598" w:rsidP="00282598">
      <w:pPr>
        <w:widowControl w:val="0"/>
        <w:autoSpaceDE w:val="0"/>
        <w:autoSpaceDN w:val="0"/>
        <w:spacing w:after="120" w:line="276" w:lineRule="auto"/>
        <w:ind w:firstLine="709"/>
        <w:jc w:val="both"/>
        <w:rPr>
          <w:rFonts w:ascii="Verdana" w:hAnsi="Verdana" w:cs="Arial"/>
        </w:rPr>
      </w:pPr>
      <w:r w:rsidRPr="004A143C">
        <w:rPr>
          <w:rFonts w:ascii="Verdana" w:hAnsi="Verdana" w:cs="Arial"/>
        </w:rPr>
        <w:t xml:space="preserve">Finalmente, es importante resaltar que, la Corte Constitucional expuso con claridad en la sentencia C-738 de 2001, a la que se ha hecho referencia en este escrito, que mediante las autorizaciones para contratar las corporaciones de elección popular no podían interferir en la competencia contractual de la administración territorial respectiva. Al respecto indicó que: “[...] 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315-3 de la carta”. </w:t>
      </w:r>
    </w:p>
    <w:p w14:paraId="26096C4B" w14:textId="77777777" w:rsidR="00282598" w:rsidRPr="004A143C" w:rsidRDefault="00282598" w:rsidP="00282598">
      <w:pPr>
        <w:widowControl w:val="0"/>
        <w:autoSpaceDE w:val="0"/>
        <w:autoSpaceDN w:val="0"/>
        <w:spacing w:after="120" w:line="276" w:lineRule="auto"/>
        <w:ind w:firstLine="709"/>
        <w:jc w:val="both"/>
        <w:rPr>
          <w:rFonts w:ascii="Verdana" w:hAnsi="Verdana" w:cs="Arial"/>
        </w:rPr>
      </w:pPr>
      <w:r w:rsidRPr="004A143C">
        <w:rPr>
          <w:rFonts w:ascii="Verdana" w:hAnsi="Verdana" w:cs="Arial"/>
        </w:rPr>
        <w:t xml:space="preserve">Así mismo, los consejos municipales deberán tener en cuenta que, en tanto función administrativa, la atribución debe ser ejercida bajo los criterios de razonabilidad y proporcionalidad, respetando lo dispuesto en el artículo 209 constitucional. En virtud de esto, los consejos municipales no deben interpretar la facultad que se viene estudiando en forma tal que se obligue al alcalde a solicitar autorizaciones del concejo en todos los casos en que vaya a contratar, sino únicamente en los que tal corporación disponga mediante un reglamento. </w:t>
      </w:r>
    </w:p>
    <w:p w14:paraId="528C4034" w14:textId="1211BFDF" w:rsidR="00282598" w:rsidRDefault="00282598" w:rsidP="00282598">
      <w:pPr>
        <w:pStyle w:val="Textoindependiente"/>
        <w:spacing w:line="276" w:lineRule="auto"/>
        <w:jc w:val="both"/>
        <w:rPr>
          <w:rFonts w:ascii="Verdana" w:hAnsi="Verdana"/>
          <w:sz w:val="22"/>
          <w:szCs w:val="22"/>
        </w:rPr>
      </w:pPr>
      <w:r w:rsidRPr="004A143C">
        <w:rPr>
          <w:rFonts w:ascii="Verdana" w:hAnsi="Verdana"/>
          <w:sz w:val="22"/>
          <w:szCs w:val="22"/>
        </w:rPr>
        <w:tab/>
        <w:t xml:space="preserve">Conforme la normativa y jurisprudencia transcrita, se concluye que son dos los supuestos que obligan a los alcaldes a contar con una autorización de sus respectivos concejos municipales, a saber: i) cuando así lo disponga el acuerdo que se expida en virtud de lo previsto en el artículo 32 de la Ley 136 de 1994 y </w:t>
      </w:r>
      <w:proofErr w:type="spellStart"/>
      <w:r w:rsidRPr="004A143C">
        <w:rPr>
          <w:rFonts w:ascii="Verdana" w:hAnsi="Verdana"/>
          <w:sz w:val="22"/>
          <w:szCs w:val="22"/>
        </w:rPr>
        <w:t>ii</w:t>
      </w:r>
      <w:proofErr w:type="spellEnd"/>
      <w:r w:rsidRPr="004A143C">
        <w:rPr>
          <w:rFonts w:ascii="Verdana" w:hAnsi="Verdana"/>
          <w:sz w:val="22"/>
          <w:szCs w:val="22"/>
        </w:rPr>
        <w:t>) en los eventos en que la ley lo imponga, como en los casos señalados en el parágrafo del citado artículo, que comprende la contratación de empréstitos, la enajenación y compraventa de inmuebles,</w:t>
      </w:r>
      <w:r w:rsidRPr="004A143C">
        <w:rPr>
          <w:rFonts w:ascii="Verdana" w:hAnsi="Verdana"/>
          <w:spacing w:val="-5"/>
          <w:sz w:val="22"/>
          <w:szCs w:val="22"/>
        </w:rPr>
        <w:t xml:space="preserve"> </w:t>
      </w:r>
      <w:r w:rsidRPr="004A143C">
        <w:rPr>
          <w:rFonts w:ascii="Verdana" w:hAnsi="Verdana"/>
          <w:sz w:val="22"/>
          <w:szCs w:val="22"/>
        </w:rPr>
        <w:t xml:space="preserve">etc. </w:t>
      </w:r>
    </w:p>
    <w:p w14:paraId="38E86E7A" w14:textId="5409CC98" w:rsidR="009219E4" w:rsidRDefault="009219E4" w:rsidP="00A96F51">
      <w:pPr>
        <w:spacing w:after="120" w:line="276" w:lineRule="auto"/>
        <w:ind w:firstLine="708"/>
        <w:jc w:val="both"/>
        <w:rPr>
          <w:rFonts w:ascii="Verdana" w:hAnsi="Verdana" w:cs="Arial"/>
        </w:rPr>
      </w:pPr>
      <w:r>
        <w:rPr>
          <w:rFonts w:ascii="Verdana" w:hAnsi="Verdana" w:cs="Arial"/>
        </w:rPr>
        <w:t>Ahora bien , en atención a su consulta es de precisar que</w:t>
      </w:r>
      <w:r w:rsidRPr="0064180E">
        <w:rPr>
          <w:rFonts w:ascii="Verdana" w:hAnsi="Verdana" w:cs="Arial"/>
        </w:rPr>
        <w:t xml:space="preserve"> los contratos de comodato, aunque no están tipificados en la Ley 80 de 1993 (Estatuto General de Contratación de la Administración Pública), son contratos estatales atípicos. Esto significa que, si bien su regulación principal se encuentra en el Código Civil (Artículos 2200 y siguientes), su celebración por parte de entidades estatales debe someterse a los principios de la función administrativa y la contratación pública.</w:t>
      </w:r>
    </w:p>
    <w:p w14:paraId="47E30A39" w14:textId="3E40841E" w:rsidR="009219E4" w:rsidRDefault="009219E4" w:rsidP="00A96F51">
      <w:pPr>
        <w:spacing w:after="120" w:line="276" w:lineRule="auto"/>
        <w:ind w:firstLine="708"/>
        <w:jc w:val="both"/>
        <w:rPr>
          <w:rFonts w:ascii="Verdana" w:hAnsi="Verdana" w:cs="Arial"/>
        </w:rPr>
      </w:pPr>
      <w:r>
        <w:rPr>
          <w:rFonts w:ascii="Verdana" w:hAnsi="Verdana" w:cs="Arial"/>
        </w:rPr>
        <w:t xml:space="preserve">En este orden de ideas, </w:t>
      </w:r>
      <w:r w:rsidRPr="0064180E">
        <w:rPr>
          <w:rFonts w:ascii="Verdana" w:hAnsi="Verdana" w:cs="Arial"/>
        </w:rPr>
        <w:t>el Estatuto General de Contratación de la Administración Pública define algunos contratos típicos (obra, consultoría, etc.), pero que este listado es enunciativo. Por lo tanto, los contratos que celebren las entidades estatales se regirán por las disposiciones comerciales y civiles pertinentes, salvo en las materias particularmente reguladas en la Ley 80 de 1993. Esto implica que el comodato, aunque civil por su naturaleza, debe observar las reglas de capacidad jurídica, las reglas de selección objetiva, publicidad, etc., que aplican a la contratación estatal.</w:t>
      </w:r>
    </w:p>
    <w:p w14:paraId="0A8B4EA9" w14:textId="14CEEC1B" w:rsidR="009219E4" w:rsidRPr="009219E4" w:rsidRDefault="009219E4" w:rsidP="009219E4">
      <w:pPr>
        <w:pStyle w:val="Textoindependiente"/>
        <w:spacing w:line="276" w:lineRule="auto"/>
        <w:ind w:firstLine="708"/>
        <w:jc w:val="both"/>
        <w:rPr>
          <w:rFonts w:ascii="Verdana" w:hAnsi="Verdana"/>
          <w:sz w:val="22"/>
          <w:szCs w:val="22"/>
        </w:rPr>
      </w:pPr>
      <w:r w:rsidRPr="009219E4">
        <w:rPr>
          <w:rFonts w:ascii="Verdana" w:hAnsi="Verdana" w:cs="Arial"/>
          <w:sz w:val="22"/>
          <w:szCs w:val="22"/>
        </w:rPr>
        <w:t xml:space="preserve">Así las cosas, la autorización del Concejo Municipal para que un </w:t>
      </w:r>
      <w:r>
        <w:rPr>
          <w:rFonts w:ascii="Verdana" w:hAnsi="Verdana" w:cs="Arial"/>
          <w:sz w:val="22"/>
          <w:szCs w:val="22"/>
        </w:rPr>
        <w:t>a</w:t>
      </w:r>
      <w:r w:rsidRPr="009219E4">
        <w:rPr>
          <w:rFonts w:ascii="Verdana" w:hAnsi="Verdana" w:cs="Arial"/>
          <w:sz w:val="22"/>
          <w:szCs w:val="22"/>
        </w:rPr>
        <w:t xml:space="preserve">lcalde suscriba contratos de comodato dependerá fundamentalmente de lo que haya dispuesto el propio Concejo a través de un acuerdo municipal, en ejercicio de su facultad constitucional y legal de reglamentar los casos en que el </w:t>
      </w:r>
      <w:r>
        <w:rPr>
          <w:rFonts w:ascii="Verdana" w:hAnsi="Verdana" w:cs="Arial"/>
          <w:sz w:val="22"/>
          <w:szCs w:val="22"/>
        </w:rPr>
        <w:t>a</w:t>
      </w:r>
      <w:r w:rsidRPr="009219E4">
        <w:rPr>
          <w:rFonts w:ascii="Verdana" w:hAnsi="Verdana" w:cs="Arial"/>
          <w:sz w:val="22"/>
          <w:szCs w:val="22"/>
        </w:rPr>
        <w:t>lcalde requiere autorización previa para contratar</w:t>
      </w:r>
      <w:r>
        <w:rPr>
          <w:rFonts w:ascii="Verdana" w:hAnsi="Verdana" w:cs="Arial"/>
          <w:sz w:val="22"/>
          <w:szCs w:val="22"/>
        </w:rPr>
        <w:t>.</w:t>
      </w:r>
    </w:p>
    <w:bookmarkEnd w:id="5"/>
    <w:p w14:paraId="26EE0C1B" w14:textId="68B106E5" w:rsidR="00FC4951" w:rsidRPr="00FC4951" w:rsidRDefault="0058700F" w:rsidP="00FC4951">
      <w:pPr>
        <w:pStyle w:val="NormalWeb"/>
        <w:spacing w:after="120" w:line="276" w:lineRule="auto"/>
        <w:ind w:firstLine="709"/>
        <w:jc w:val="both"/>
        <w:rPr>
          <w:rFonts w:ascii="Verdana" w:hAnsi="Verdana" w:cs="Arial"/>
          <w:color w:val="000000" w:themeColor="text1"/>
          <w:sz w:val="22"/>
          <w:szCs w:val="22"/>
        </w:rPr>
      </w:pPr>
      <w:r w:rsidRPr="0058700F">
        <w:rPr>
          <w:rFonts w:ascii="Verdana" w:eastAsia="Calibri" w:hAnsi="Verdana"/>
          <w:sz w:val="22"/>
          <w:szCs w:val="22"/>
          <w:lang w:val="es-ES"/>
        </w:rPr>
        <w:t>Finalmente debe advertirse, que el análisis para resolver problemas específicos en torno a los procesos de contratación de las entidades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C82F3BF" w14:textId="15533091" w:rsidR="00D325AE" w:rsidRDefault="00FC4951" w:rsidP="00FC4951">
      <w:pPr>
        <w:pStyle w:val="NormalWeb"/>
        <w:spacing w:after="120" w:line="276" w:lineRule="auto"/>
        <w:ind w:firstLine="709"/>
        <w:jc w:val="both"/>
        <w:rPr>
          <w:rFonts w:ascii="Verdana" w:hAnsi="Verdana" w:cs="Arial"/>
          <w:color w:val="000000" w:themeColor="text1"/>
          <w:sz w:val="22"/>
          <w:szCs w:val="22"/>
        </w:rPr>
      </w:pPr>
      <w:r w:rsidRPr="00FC4951">
        <w:rPr>
          <w:rFonts w:ascii="Verdana" w:hAnsi="Verdana" w:cs="Arial"/>
          <w:color w:val="000000" w:themeColor="text1"/>
          <w:sz w:val="22"/>
          <w:szCs w:val="22"/>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bookmarkEnd w:id="4"/>
    <w:p w14:paraId="73ADB084" w14:textId="259696E1" w:rsidR="00505CD6" w:rsidRPr="00505CD6" w:rsidRDefault="00505CD6" w:rsidP="00A5566B">
      <w:pPr>
        <w:tabs>
          <w:tab w:val="left" w:pos="426"/>
        </w:tabs>
        <w:spacing w:after="12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Referencias normativas y jurisprudenciales: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5CD6" w:rsidRPr="00505CD6" w14:paraId="1BDBA78D" w14:textId="77777777" w:rsidTr="006C5D8A">
        <w:trPr>
          <w:trHeight w:val="870"/>
          <w:jc w:val="center"/>
        </w:trPr>
        <w:tc>
          <w:tcPr>
            <w:tcW w:w="8647" w:type="dxa"/>
          </w:tcPr>
          <w:p w14:paraId="0342833C" w14:textId="77777777" w:rsidR="0084387B" w:rsidRPr="0084387B" w:rsidRDefault="0084387B" w:rsidP="0084387B">
            <w:pPr>
              <w:pStyle w:val="Prrafodelista"/>
              <w:numPr>
                <w:ilvl w:val="0"/>
                <w:numId w:val="3"/>
              </w:numPr>
              <w:spacing w:line="276" w:lineRule="auto"/>
              <w:jc w:val="both"/>
              <w:rPr>
                <w:rFonts w:ascii="Verdana" w:hAnsi="Verdana"/>
                <w:sz w:val="22"/>
              </w:rPr>
            </w:pPr>
            <w:r w:rsidRPr="0084387B">
              <w:rPr>
                <w:rFonts w:ascii="Verdana" w:hAnsi="Verdana"/>
                <w:sz w:val="22"/>
              </w:rPr>
              <w:t xml:space="preserve">Constitución Política. Artículo 313. </w:t>
            </w:r>
          </w:p>
          <w:p w14:paraId="29B13B9D" w14:textId="77777777" w:rsidR="0084387B" w:rsidRPr="0084387B" w:rsidRDefault="0084387B" w:rsidP="0084387B">
            <w:pPr>
              <w:pStyle w:val="Prrafodelista"/>
              <w:numPr>
                <w:ilvl w:val="0"/>
                <w:numId w:val="3"/>
              </w:numPr>
              <w:spacing w:line="276" w:lineRule="auto"/>
              <w:jc w:val="both"/>
              <w:rPr>
                <w:rFonts w:ascii="Verdana" w:hAnsi="Verdana"/>
                <w:sz w:val="22"/>
                <w:lang w:bidi="es-ES"/>
              </w:rPr>
            </w:pPr>
            <w:r w:rsidRPr="0084387B">
              <w:rPr>
                <w:rFonts w:ascii="Verdana" w:hAnsi="Verdana"/>
                <w:sz w:val="22"/>
                <w:lang w:bidi="es-ES"/>
              </w:rPr>
              <w:t>Ley 80 de 1993: Artículo 11.</w:t>
            </w:r>
          </w:p>
          <w:p w14:paraId="0F48ACF7" w14:textId="77777777" w:rsidR="0084387B" w:rsidRPr="0084387B" w:rsidRDefault="0084387B" w:rsidP="0084387B">
            <w:pPr>
              <w:pStyle w:val="Prrafodelista"/>
              <w:numPr>
                <w:ilvl w:val="0"/>
                <w:numId w:val="3"/>
              </w:numPr>
              <w:spacing w:line="276" w:lineRule="auto"/>
              <w:jc w:val="both"/>
              <w:rPr>
                <w:rFonts w:ascii="Verdana" w:hAnsi="Verdana"/>
                <w:sz w:val="22"/>
              </w:rPr>
            </w:pPr>
            <w:r w:rsidRPr="0084387B">
              <w:rPr>
                <w:rFonts w:ascii="Verdana" w:hAnsi="Verdana"/>
                <w:sz w:val="22"/>
              </w:rPr>
              <w:t xml:space="preserve">Ley 136 de 1994: Artículo 32 – modificado por el artículo 18 de la Ley 1551 de 2012. </w:t>
            </w:r>
          </w:p>
          <w:p w14:paraId="72202950" w14:textId="77777777" w:rsidR="0084387B" w:rsidRPr="0084387B" w:rsidRDefault="0084387B" w:rsidP="0084387B">
            <w:pPr>
              <w:pStyle w:val="Prrafodelista"/>
              <w:numPr>
                <w:ilvl w:val="0"/>
                <w:numId w:val="3"/>
              </w:numPr>
              <w:spacing w:line="276" w:lineRule="auto"/>
              <w:jc w:val="both"/>
              <w:rPr>
                <w:rFonts w:ascii="Verdana" w:hAnsi="Verdana"/>
                <w:sz w:val="22"/>
                <w:lang w:bidi="es-ES"/>
              </w:rPr>
            </w:pPr>
            <w:r w:rsidRPr="0084387B">
              <w:rPr>
                <w:rFonts w:ascii="Verdana" w:hAnsi="Verdana"/>
                <w:sz w:val="22"/>
              </w:rPr>
              <w:t xml:space="preserve">Corte Constitucional. Sentencia C-738 del 11 de julio de 2001. Magistrado Ponente: Eduardo Montealegre </w:t>
            </w:r>
            <w:proofErr w:type="spellStart"/>
            <w:r w:rsidRPr="0084387B">
              <w:rPr>
                <w:rFonts w:ascii="Verdana" w:hAnsi="Verdana"/>
                <w:sz w:val="22"/>
              </w:rPr>
              <w:t>Lynett</w:t>
            </w:r>
            <w:proofErr w:type="spellEnd"/>
            <w:r w:rsidRPr="0084387B">
              <w:rPr>
                <w:rFonts w:ascii="Verdana" w:hAnsi="Verdana"/>
                <w:sz w:val="22"/>
              </w:rPr>
              <w:t>.</w:t>
            </w:r>
          </w:p>
          <w:p w14:paraId="56DDDAFF" w14:textId="77777777" w:rsidR="0084387B" w:rsidRPr="0084387B" w:rsidRDefault="0084387B" w:rsidP="0084387B">
            <w:pPr>
              <w:pStyle w:val="Prrafodelista"/>
              <w:numPr>
                <w:ilvl w:val="0"/>
                <w:numId w:val="3"/>
              </w:numPr>
              <w:spacing w:line="276" w:lineRule="auto"/>
              <w:jc w:val="both"/>
              <w:rPr>
                <w:rFonts w:ascii="Verdana" w:hAnsi="Verdana"/>
                <w:sz w:val="22"/>
                <w:lang w:bidi="es-ES"/>
              </w:rPr>
            </w:pPr>
            <w:r w:rsidRPr="0084387B">
              <w:rPr>
                <w:rFonts w:ascii="Verdana" w:hAnsi="Verdana"/>
                <w:sz w:val="22"/>
              </w:rPr>
              <w:t xml:space="preserve">Consejo de Estado. Sala de Consulta y del Servicio Civil. Concepto 1889 del 5 de junio de 2008. Consejero Ponente: William Zambrano Cetina. </w:t>
            </w:r>
          </w:p>
          <w:p w14:paraId="18274912" w14:textId="77777777" w:rsidR="0084387B" w:rsidRPr="0084387B" w:rsidRDefault="0084387B" w:rsidP="0084387B">
            <w:pPr>
              <w:pStyle w:val="Prrafodelista"/>
              <w:numPr>
                <w:ilvl w:val="0"/>
                <w:numId w:val="3"/>
              </w:numPr>
              <w:spacing w:line="276" w:lineRule="auto"/>
              <w:jc w:val="both"/>
              <w:rPr>
                <w:rFonts w:ascii="Verdana" w:hAnsi="Verdana"/>
                <w:sz w:val="22"/>
                <w:lang w:bidi="es-ES"/>
              </w:rPr>
            </w:pPr>
            <w:r w:rsidRPr="0084387B">
              <w:rPr>
                <w:rFonts w:ascii="Verdana" w:hAnsi="Verdana"/>
                <w:sz w:val="22"/>
              </w:rPr>
              <w:t>Consejo de Estado. Sala de Consulta y del Servicio Civil. C</w:t>
            </w:r>
            <w:r w:rsidRPr="0084387B">
              <w:rPr>
                <w:rFonts w:ascii="Verdana" w:hAnsi="Verdana" w:cs="Arial"/>
                <w:sz w:val="22"/>
              </w:rPr>
              <w:t xml:space="preserve">oncepto del 9 de octubre de 2014. </w:t>
            </w:r>
          </w:p>
          <w:p w14:paraId="362B089D" w14:textId="77777777" w:rsidR="0084387B" w:rsidRPr="0084387B" w:rsidRDefault="0084387B" w:rsidP="0084387B">
            <w:pPr>
              <w:pStyle w:val="Prrafodelista"/>
              <w:numPr>
                <w:ilvl w:val="0"/>
                <w:numId w:val="3"/>
              </w:numPr>
              <w:spacing w:line="276" w:lineRule="auto"/>
              <w:jc w:val="both"/>
              <w:rPr>
                <w:rFonts w:ascii="Verdana" w:hAnsi="Verdana"/>
                <w:sz w:val="22"/>
                <w:lang w:bidi="es-ES"/>
              </w:rPr>
            </w:pPr>
            <w:r w:rsidRPr="0084387B">
              <w:rPr>
                <w:rFonts w:ascii="Verdana" w:hAnsi="Verdana"/>
                <w:sz w:val="22"/>
                <w:lang w:val="es-CO"/>
              </w:rPr>
              <w:t xml:space="preserve">Consejo de Estado. Sala de lo Contencioso Administrativo. Sección Primera. Radicación número: 50001-23-31-000-2010-00548-01. 19 de septiembre de 2019. Consejera Ponente: Nubia </w:t>
            </w:r>
            <w:proofErr w:type="spellStart"/>
            <w:r w:rsidRPr="0084387B">
              <w:rPr>
                <w:rFonts w:ascii="Verdana" w:hAnsi="Verdana"/>
                <w:sz w:val="22"/>
                <w:lang w:val="es-CO"/>
              </w:rPr>
              <w:t>Margoth</w:t>
            </w:r>
            <w:proofErr w:type="spellEnd"/>
            <w:r w:rsidRPr="0084387B">
              <w:rPr>
                <w:rFonts w:ascii="Verdana" w:hAnsi="Verdana"/>
                <w:sz w:val="22"/>
                <w:lang w:val="es-CO"/>
              </w:rPr>
              <w:t xml:space="preserve"> Peña Garzón.</w:t>
            </w:r>
          </w:p>
          <w:p w14:paraId="70FC587D" w14:textId="2BF6370B" w:rsidR="00505CD6" w:rsidRPr="00B36A7B" w:rsidRDefault="0084387B" w:rsidP="0084387B">
            <w:pPr>
              <w:pStyle w:val="Prrafodelista"/>
              <w:numPr>
                <w:ilvl w:val="0"/>
                <w:numId w:val="3"/>
              </w:numPr>
              <w:jc w:val="both"/>
              <w:rPr>
                <w:rFonts w:ascii="Verdana" w:hAnsi="Verdana" w:cs="Arial"/>
              </w:rPr>
            </w:pPr>
            <w:r w:rsidRPr="0084387B">
              <w:rPr>
                <w:rFonts w:ascii="Verdana" w:hAnsi="Verdana"/>
                <w:sz w:val="22"/>
              </w:rPr>
              <w:t>BENAVIDES, José Luis (editor). Fallos referentes en contratación estatal. Universidad Externado de Colombia. Bogotá. 2020. Página 311.</w:t>
            </w:r>
          </w:p>
        </w:tc>
      </w:tr>
    </w:tbl>
    <w:p w14:paraId="54B794AD" w14:textId="77777777" w:rsidR="00505CD6" w:rsidRPr="00505CD6" w:rsidRDefault="00505CD6" w:rsidP="00505CD6">
      <w:pPr>
        <w:widowControl w:val="0"/>
        <w:autoSpaceDE w:val="0"/>
        <w:autoSpaceDN w:val="0"/>
        <w:spacing w:after="0" w:line="276" w:lineRule="auto"/>
        <w:jc w:val="both"/>
        <w:rPr>
          <w:rFonts w:ascii="Verdana" w:hAnsi="Verdana" w:cs="Arial"/>
        </w:rPr>
      </w:pPr>
    </w:p>
    <w:p w14:paraId="21CFA37D" w14:textId="77777777" w:rsidR="00505CD6" w:rsidRPr="00505CD6" w:rsidRDefault="00505CD6" w:rsidP="007E6BCF">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Doctrina de la Agencia Nacional de Contratación Pública:</w:t>
      </w:r>
    </w:p>
    <w:p w14:paraId="35BFC8CE" w14:textId="77777777" w:rsidR="00505CD6" w:rsidRPr="00505CD6" w:rsidRDefault="00505CD6" w:rsidP="00505CD6">
      <w:pPr>
        <w:widowControl w:val="0"/>
        <w:autoSpaceDE w:val="0"/>
        <w:autoSpaceDN w:val="0"/>
        <w:spacing w:after="0" w:line="276" w:lineRule="auto"/>
        <w:jc w:val="both"/>
        <w:rPr>
          <w:rFonts w:ascii="Verdana" w:hAnsi="Verdana" w:cs="Arial"/>
        </w:rPr>
      </w:pPr>
    </w:p>
    <w:p w14:paraId="76502426" w14:textId="6FC0DBD6" w:rsidR="00505CD6" w:rsidRDefault="0084387B" w:rsidP="00CD2188">
      <w:pPr>
        <w:widowControl w:val="0"/>
        <w:autoSpaceDE w:val="0"/>
        <w:autoSpaceDN w:val="0"/>
        <w:spacing w:after="0" w:line="276" w:lineRule="auto"/>
        <w:jc w:val="both"/>
        <w:rPr>
          <w:rFonts w:ascii="Verdana" w:hAnsi="Verdana" w:cs="Arial"/>
          <w:shd w:val="clear" w:color="auto" w:fill="FFFFFF"/>
          <w:lang w:val="es-ES"/>
        </w:rPr>
      </w:pPr>
      <w:r w:rsidRPr="00D40DCA">
        <w:rPr>
          <w:rFonts w:ascii="Verdana" w:eastAsia="Calibri" w:hAnsi="Verdana" w:cs="Arial"/>
          <w:lang w:val="es-ES" w:eastAsia="es-ES"/>
        </w:rPr>
        <w:t>Sobre la autorización por parte de concejos municipales a los alcaldes para la celebración de contratos esta Agencia se ha pronunciado en los conceptos con radicado número 2201913000005754</w:t>
      </w:r>
      <w:r>
        <w:rPr>
          <w:rFonts w:ascii="Verdana" w:eastAsia="Calibri" w:hAnsi="Verdana" w:cs="Arial"/>
          <w:lang w:val="es-ES" w:eastAsia="es-ES"/>
        </w:rPr>
        <w:t xml:space="preserve"> </w:t>
      </w:r>
      <w:r w:rsidRPr="00D40DCA">
        <w:rPr>
          <w:rFonts w:ascii="Verdana" w:eastAsia="Calibri" w:hAnsi="Verdana" w:cs="Arial"/>
          <w:lang w:val="es-ES" w:eastAsia="es-ES"/>
        </w:rPr>
        <w:t>del 9 de agosto de 2019 y 2201913000009397 del 18 de diciembre de 2019</w:t>
      </w:r>
      <w:r w:rsidR="00EB672F">
        <w:rPr>
          <w:rFonts w:ascii="Verdana" w:hAnsi="Verdana" w:cs="Arial"/>
          <w:shd w:val="clear" w:color="auto" w:fill="FFFFFF"/>
          <w:lang w:val="es-ES"/>
        </w:rPr>
        <w:t xml:space="preserve">, </w:t>
      </w:r>
      <w:r w:rsidR="00CD2188" w:rsidRPr="00174A92">
        <w:rPr>
          <w:rFonts w:ascii="Verdana" w:eastAsia="Calibri" w:hAnsi="Verdana" w:cs="Arial"/>
          <w:shd w:val="clear" w:color="auto" w:fill="FFFFFF"/>
        </w:rPr>
        <w:t>entre otros</w:t>
      </w:r>
      <w:r w:rsidR="009F1519" w:rsidRPr="009F1519">
        <w:rPr>
          <w:rFonts w:ascii="Verdana" w:hAnsi="Verdana" w:cs="Arial"/>
          <w:shd w:val="clear" w:color="auto" w:fill="FFFFFF"/>
          <w:lang w:val="es-ES"/>
        </w:rPr>
        <w:t xml:space="preserve">. Estos y otros conceptos se encuentran disponibles para consulta en el Sistema de relatoría de la Agencia, al cual se puede acceder a través del siguiente enlace: </w:t>
      </w:r>
      <w:hyperlink r:id="rId13" w:history="1">
        <w:r w:rsidR="009F1519" w:rsidRPr="00191357">
          <w:rPr>
            <w:rStyle w:val="Hipervnculo"/>
            <w:rFonts w:ascii="Verdana" w:hAnsi="Verdana" w:cs="Arial"/>
            <w:shd w:val="clear" w:color="auto" w:fill="FFFFFF"/>
            <w:lang w:val="es-ES"/>
          </w:rPr>
          <w:t>https://relatoria.colombiacompra.gov.co/busqueda/conceptos</w:t>
        </w:r>
      </w:hyperlink>
    </w:p>
    <w:p w14:paraId="36F0FAD9" w14:textId="77777777" w:rsidR="009F1519" w:rsidRPr="00505CD6" w:rsidRDefault="009F1519"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7B87CF85" w14:textId="77777777" w:rsid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4311C20"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B10C661"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D97270C"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4AC1A67D"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21CECEB" w14:textId="77777777" w:rsidR="00505CD6" w:rsidRDefault="00505CD6" w:rsidP="00505CD6">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6D478A1E" w14:textId="77777777" w:rsidR="00E3101C" w:rsidRDefault="00E3101C" w:rsidP="00505CD6">
      <w:pPr>
        <w:widowControl w:val="0"/>
        <w:autoSpaceDE w:val="0"/>
        <w:autoSpaceDN w:val="0"/>
        <w:spacing w:after="0" w:line="276" w:lineRule="auto"/>
        <w:jc w:val="both"/>
        <w:rPr>
          <w:rFonts w:ascii="Verdana" w:hAnsi="Verdana" w:cs="Arial"/>
        </w:rPr>
      </w:pPr>
    </w:p>
    <w:p w14:paraId="30849606" w14:textId="5EEE0BCC" w:rsidR="00505CD6" w:rsidRPr="00505CD6" w:rsidRDefault="00505CD6" w:rsidP="00505CD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97C2D02" w14:textId="77777777" w:rsidR="00505CD6" w:rsidRPr="00505CD6" w:rsidRDefault="00505CD6" w:rsidP="00505CD6">
      <w:pPr>
        <w:widowControl w:val="0"/>
        <w:autoSpaceDE w:val="0"/>
        <w:autoSpaceDN w:val="0"/>
        <w:spacing w:after="0" w:line="276" w:lineRule="auto"/>
        <w:jc w:val="both"/>
        <w:rPr>
          <w:rFonts w:ascii="Verdana" w:hAnsi="Verdana" w:cs="Arial"/>
        </w:rPr>
      </w:pPr>
    </w:p>
    <w:p w14:paraId="5BD794D8" w14:textId="77777777" w:rsidR="00505CD6" w:rsidRPr="00505CD6" w:rsidRDefault="00505CD6" w:rsidP="00505CD6">
      <w:pPr>
        <w:spacing w:after="0" w:line="240" w:lineRule="auto"/>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8760A9E" w14:textId="3D46A2E5" w:rsidR="00505CD6" w:rsidRDefault="00505CD6" w:rsidP="00505CD6">
      <w:pPr>
        <w:spacing w:line="276" w:lineRule="auto"/>
        <w:jc w:val="center"/>
        <w:rPr>
          <w:noProof/>
        </w:rPr>
      </w:pPr>
    </w:p>
    <w:p w14:paraId="6266D9D9" w14:textId="27ECE9C1" w:rsidR="00DF06D2" w:rsidRDefault="007616FB" w:rsidP="00505CD6">
      <w:pPr>
        <w:spacing w:line="276" w:lineRule="auto"/>
        <w:jc w:val="center"/>
        <w:rPr>
          <w:noProof/>
        </w:rPr>
      </w:pPr>
      <w:r>
        <w:rPr>
          <w:noProof/>
        </w:rPr>
        <w:drawing>
          <wp:inline distT="0" distB="0" distL="0" distR="0" wp14:anchorId="06E5AC27" wp14:editId="5992321B">
            <wp:extent cx="3411855" cy="1464650"/>
            <wp:effectExtent l="0" t="0" r="0" b="2540"/>
            <wp:docPr id="1691628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0443" cy="1468337"/>
                    </a:xfrm>
                    <a:prstGeom prst="rect">
                      <a:avLst/>
                    </a:prstGeom>
                    <a:noFill/>
                    <a:ln>
                      <a:noFill/>
                    </a:ln>
                  </pic:spPr>
                </pic:pic>
              </a:graphicData>
            </a:graphic>
          </wp:inline>
        </w:drawing>
      </w:r>
    </w:p>
    <w:p w14:paraId="1D372358" w14:textId="379E6547" w:rsidR="00831F6E" w:rsidRDefault="00831F6E" w:rsidP="00505CD6">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5CD6" w:rsidRPr="00505CD6" w14:paraId="6AD22D8F" w14:textId="77777777" w:rsidTr="006C5D8A">
        <w:trPr>
          <w:trHeight w:val="315"/>
        </w:trPr>
        <w:tc>
          <w:tcPr>
            <w:tcW w:w="893" w:type="dxa"/>
            <w:vAlign w:val="center"/>
            <w:hideMark/>
          </w:tcPr>
          <w:p w14:paraId="63823BAB"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37FB18" w14:textId="1ED75DF9" w:rsidR="00505CD6" w:rsidRPr="00505CD6" w:rsidRDefault="00A520B4" w:rsidP="00505CD6">
            <w:pPr>
              <w:contextualSpacing/>
              <w:rPr>
                <w:rFonts w:ascii="Verdana" w:hAnsi="Verdana"/>
                <w:sz w:val="16"/>
                <w:szCs w:val="16"/>
              </w:rPr>
            </w:pPr>
            <w:r>
              <w:rPr>
                <w:rFonts w:ascii="Verdana" w:hAnsi="Verdana"/>
                <w:sz w:val="16"/>
                <w:szCs w:val="16"/>
              </w:rPr>
              <w:t>Daniel Eduardo Rojas</w:t>
            </w:r>
          </w:p>
          <w:p w14:paraId="7CA897BD" w14:textId="77777777" w:rsidR="00505CD6" w:rsidRPr="00505CD6" w:rsidRDefault="00505CD6" w:rsidP="00505CD6">
            <w:pPr>
              <w:contextualSpacing/>
              <w:rPr>
                <w:rFonts w:ascii="Verdana" w:eastAsia="Arial" w:hAnsi="Verdana" w:cs="Arial"/>
                <w:sz w:val="16"/>
                <w:szCs w:val="16"/>
              </w:rPr>
            </w:pPr>
            <w:r w:rsidRPr="00505CD6">
              <w:rPr>
                <w:rFonts w:ascii="Verdana" w:hAnsi="Verdana"/>
                <w:sz w:val="16"/>
                <w:szCs w:val="16"/>
              </w:rPr>
              <w:t>Contratista de la Subdirección de Gestión Contractual</w:t>
            </w:r>
          </w:p>
        </w:tc>
      </w:tr>
      <w:tr w:rsidR="00505CD6" w:rsidRPr="00505CD6" w14:paraId="1F8F07BE" w14:textId="77777777" w:rsidTr="006C5D8A">
        <w:trPr>
          <w:trHeight w:val="330"/>
        </w:trPr>
        <w:tc>
          <w:tcPr>
            <w:tcW w:w="893" w:type="dxa"/>
            <w:vAlign w:val="center"/>
            <w:hideMark/>
          </w:tcPr>
          <w:p w14:paraId="1C2AC98D"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E6DDA05" w14:textId="6BBB455D" w:rsidR="00AC121B" w:rsidRDefault="00E63531" w:rsidP="00505CD6">
            <w:pPr>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Diana Lucia Saavedra</w:t>
            </w:r>
          </w:p>
          <w:p w14:paraId="2A5BD1DE" w14:textId="43026873" w:rsidR="00505CD6" w:rsidRPr="00505CD6" w:rsidRDefault="004F398D" w:rsidP="00505CD6">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 xml:space="preserve">Contratista </w:t>
            </w:r>
            <w:r w:rsidR="00505CD6" w:rsidRPr="00505CD6">
              <w:rPr>
                <w:rFonts w:ascii="Verdana" w:eastAsia="Times New Roman" w:hAnsi="Verdana" w:cs="Arial"/>
                <w:sz w:val="16"/>
                <w:szCs w:val="16"/>
                <w:lang w:val="es-ES" w:eastAsia="es-ES_tradnl"/>
              </w:rPr>
              <w:t>de la Subdirección de Gestión Contractual</w:t>
            </w:r>
            <w:r w:rsidR="00505CD6" w:rsidRPr="00505CD6">
              <w:rPr>
                <w:rFonts w:ascii="Verdana" w:eastAsia="Times New Roman" w:hAnsi="Verdana" w:cs="Arial"/>
                <w:sz w:val="16"/>
                <w:szCs w:val="16"/>
                <w:lang w:eastAsia="es-ES_tradnl"/>
              </w:rPr>
              <w:t> </w:t>
            </w:r>
          </w:p>
        </w:tc>
      </w:tr>
      <w:tr w:rsidR="00505CD6" w:rsidRPr="00505CD6" w14:paraId="0C71EA4D" w14:textId="77777777" w:rsidTr="006C5D8A">
        <w:trPr>
          <w:trHeight w:val="300"/>
        </w:trPr>
        <w:tc>
          <w:tcPr>
            <w:tcW w:w="893" w:type="dxa"/>
            <w:vAlign w:val="center"/>
          </w:tcPr>
          <w:p w14:paraId="4D28D28C"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222C7D" w14:textId="77777777"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val="pt-BR" w:eastAsia="es-ES"/>
              </w:rPr>
              <w:t>Carolina Quintero Gacharná</w:t>
            </w:r>
          </w:p>
          <w:p w14:paraId="641172E7" w14:textId="122BEADF"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eastAsia="es-ES"/>
              </w:rPr>
              <w:t>Subdirectora</w:t>
            </w:r>
            <w:r w:rsidRPr="00505CD6">
              <w:rPr>
                <w:rFonts w:ascii="Verdana" w:eastAsia="Calibri" w:hAnsi="Verdana" w:cs="Arial"/>
                <w:sz w:val="16"/>
                <w:szCs w:val="16"/>
                <w:lang w:val="pt-BR" w:eastAsia="es-ES"/>
              </w:rPr>
              <w:t xml:space="preserve"> de Gestión </w:t>
            </w:r>
            <w:r w:rsidR="00F92CAE" w:rsidRPr="00505CD6">
              <w:rPr>
                <w:rFonts w:ascii="Verdana" w:eastAsia="Calibri" w:hAnsi="Verdana" w:cs="Arial"/>
                <w:sz w:val="16"/>
                <w:szCs w:val="16"/>
                <w:lang w:val="pt-BR" w:eastAsia="es-ES"/>
              </w:rPr>
              <w:t>Contratual</w:t>
            </w:r>
            <w:r w:rsidRPr="00505CD6">
              <w:rPr>
                <w:rFonts w:ascii="Verdana" w:eastAsia="Calibri" w:hAnsi="Verdana" w:cs="Arial"/>
                <w:sz w:val="16"/>
                <w:szCs w:val="16"/>
                <w:lang w:val="pt-BR" w:eastAsia="es-ES"/>
              </w:rPr>
              <w:t xml:space="preserve"> ANCP – CCE</w:t>
            </w:r>
          </w:p>
        </w:tc>
      </w:tr>
      <w:bookmarkEnd w:id="0"/>
    </w:tbl>
    <w:p w14:paraId="09365269" w14:textId="77777777" w:rsidR="00505CD6" w:rsidRPr="00505CD6" w:rsidRDefault="00505CD6" w:rsidP="00846036">
      <w:pPr>
        <w:spacing w:after="0" w:line="240" w:lineRule="auto"/>
        <w:rPr>
          <w:rFonts w:ascii="Verdana" w:eastAsia="Times New Roman" w:hAnsi="Verdana" w:cs="Arial"/>
          <w:sz w:val="24"/>
          <w:szCs w:val="24"/>
          <w:lang w:eastAsia="es-ES"/>
        </w:rPr>
      </w:pPr>
    </w:p>
    <w:sectPr w:rsidR="00505CD6" w:rsidRPr="00505CD6" w:rsidSect="007905BA">
      <w:headerReference w:type="even" r:id="rId18"/>
      <w:headerReference w:type="default" r:id="rId19"/>
      <w:footerReference w:type="even" r:id="rId20"/>
      <w:footerReference w:type="default" r:id="rId21"/>
      <w:headerReference w:type="first" r:id="rId22"/>
      <w:footerReference w:type="first" r:id="rId2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64EF0" w14:textId="77777777" w:rsidR="004F288E" w:rsidRDefault="004F288E" w:rsidP="00B30448">
      <w:pPr>
        <w:spacing w:after="0" w:line="240" w:lineRule="auto"/>
      </w:pPr>
      <w:r>
        <w:separator/>
      </w:r>
    </w:p>
  </w:endnote>
  <w:endnote w:type="continuationSeparator" w:id="0">
    <w:p w14:paraId="703CF88C" w14:textId="77777777" w:rsidR="004F288E" w:rsidRDefault="004F288E" w:rsidP="00B30448">
      <w:pPr>
        <w:spacing w:after="0" w:line="240" w:lineRule="auto"/>
      </w:pPr>
      <w:r>
        <w:continuationSeparator/>
      </w:r>
    </w:p>
  </w:endnote>
  <w:endnote w:type="continuationNotice" w:id="1">
    <w:p w14:paraId="2C1344F9" w14:textId="77777777" w:rsidR="004F288E" w:rsidRDefault="004F28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6B65" w14:textId="77777777" w:rsidR="00F11474" w:rsidRDefault="00F114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2B44" w14:textId="77777777" w:rsidR="00F11474" w:rsidRDefault="00F114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92222" w14:textId="77777777" w:rsidR="004F288E" w:rsidRDefault="004F288E" w:rsidP="00B30448">
      <w:pPr>
        <w:spacing w:after="0" w:line="240" w:lineRule="auto"/>
      </w:pPr>
      <w:r>
        <w:separator/>
      </w:r>
    </w:p>
  </w:footnote>
  <w:footnote w:type="continuationSeparator" w:id="0">
    <w:p w14:paraId="3D00AC79" w14:textId="77777777" w:rsidR="004F288E" w:rsidRDefault="004F288E" w:rsidP="00B30448">
      <w:pPr>
        <w:spacing w:after="0" w:line="240" w:lineRule="auto"/>
      </w:pPr>
      <w:r>
        <w:continuationSeparator/>
      </w:r>
    </w:p>
  </w:footnote>
  <w:footnote w:type="continuationNotice" w:id="1">
    <w:p w14:paraId="46FDE11C" w14:textId="77777777" w:rsidR="004F288E" w:rsidRDefault="004F288E">
      <w:pPr>
        <w:spacing w:after="0" w:line="240" w:lineRule="auto"/>
      </w:pPr>
    </w:p>
  </w:footnote>
  <w:footnote w:id="2">
    <w:p w14:paraId="6987E540" w14:textId="77777777" w:rsidR="00282598" w:rsidRPr="00F03E96" w:rsidRDefault="00282598" w:rsidP="00282598">
      <w:pPr>
        <w:pStyle w:val="Textonotapie"/>
        <w:ind w:firstLine="709"/>
        <w:jc w:val="both"/>
        <w:rPr>
          <w:rFonts w:ascii="Verdana" w:hAnsi="Verdana"/>
          <w:sz w:val="16"/>
          <w:szCs w:val="16"/>
        </w:rPr>
      </w:pPr>
      <w:r w:rsidRPr="00F03E96">
        <w:rPr>
          <w:rStyle w:val="Refdenotaalpie"/>
          <w:rFonts w:ascii="Verdana" w:hAnsi="Verdana"/>
          <w:sz w:val="16"/>
          <w:szCs w:val="16"/>
        </w:rPr>
        <w:footnoteRef/>
      </w:r>
      <w:r w:rsidRPr="00F03E96">
        <w:rPr>
          <w:rFonts w:ascii="Verdana" w:hAnsi="Verdana"/>
          <w:sz w:val="16"/>
          <w:szCs w:val="16"/>
        </w:rPr>
        <w:t xml:space="preserve"> </w:t>
      </w:r>
      <w:r w:rsidRPr="00F03E96">
        <w:rPr>
          <w:rFonts w:ascii="Verdana" w:hAnsi="Verdana"/>
          <w:sz w:val="16"/>
          <w:szCs w:val="16"/>
          <w:lang w:val="es-CO"/>
        </w:rPr>
        <w:t xml:space="preserve">BENAVIDES, José Luis (editor). Fallos referentes en contratación estatal. Universidad Externado de Colombia. Bogotá. 2020. </w:t>
      </w:r>
      <w:r w:rsidRPr="00F03E96">
        <w:rPr>
          <w:rFonts w:ascii="Verdana" w:hAnsi="Verdana"/>
          <w:sz w:val="16"/>
          <w:szCs w:val="16"/>
        </w:rPr>
        <w:t xml:space="preserve">Página 311. </w:t>
      </w:r>
    </w:p>
    <w:p w14:paraId="1D72CAB4" w14:textId="77777777" w:rsidR="00282598" w:rsidRPr="00F03E96" w:rsidRDefault="00282598" w:rsidP="00282598">
      <w:pPr>
        <w:pStyle w:val="Textonotapie"/>
        <w:ind w:firstLine="709"/>
        <w:jc w:val="both"/>
        <w:rPr>
          <w:rFonts w:ascii="Verdana" w:hAnsi="Verdana"/>
          <w:sz w:val="16"/>
          <w:szCs w:val="16"/>
        </w:rPr>
      </w:pPr>
    </w:p>
  </w:footnote>
  <w:footnote w:id="3">
    <w:p w14:paraId="57D717EE" w14:textId="77777777" w:rsidR="00282598" w:rsidRPr="00F03E96" w:rsidRDefault="00282598" w:rsidP="0084387B">
      <w:pPr>
        <w:pStyle w:val="Textonotapie"/>
        <w:jc w:val="both"/>
        <w:rPr>
          <w:rFonts w:ascii="Verdana" w:hAnsi="Verdana"/>
          <w:sz w:val="16"/>
          <w:szCs w:val="16"/>
        </w:rPr>
      </w:pPr>
      <w:r w:rsidRPr="00F03E96">
        <w:rPr>
          <w:rStyle w:val="Refdenotaalpie"/>
          <w:rFonts w:ascii="Verdana" w:hAnsi="Verdana"/>
          <w:sz w:val="16"/>
          <w:szCs w:val="16"/>
        </w:rPr>
        <w:footnoteRef/>
      </w:r>
      <w:r w:rsidRPr="00F03E96">
        <w:rPr>
          <w:rFonts w:ascii="Verdana" w:hAnsi="Verdana"/>
          <w:sz w:val="16"/>
          <w:szCs w:val="16"/>
        </w:rPr>
        <w:t xml:space="preserve"> Corte Constitucional. Sentencia C-738 del 11 de julio de 2001. Magistrado Ponente: Eduardo Montealegre </w:t>
      </w:r>
      <w:r w:rsidRPr="00F03E96">
        <w:rPr>
          <w:rFonts w:ascii="Verdana" w:hAnsi="Verdana"/>
          <w:sz w:val="16"/>
          <w:szCs w:val="16"/>
        </w:rPr>
        <w:t>Lynett.</w:t>
      </w:r>
    </w:p>
    <w:p w14:paraId="71BDFCAB" w14:textId="77777777" w:rsidR="00282598" w:rsidRPr="00F03E96" w:rsidRDefault="00282598" w:rsidP="00282598">
      <w:pPr>
        <w:pStyle w:val="Textonotapie"/>
        <w:ind w:firstLine="709"/>
        <w:jc w:val="both"/>
        <w:rPr>
          <w:rFonts w:ascii="Verdana" w:hAnsi="Verdana"/>
          <w:sz w:val="16"/>
          <w:szCs w:val="16"/>
        </w:rPr>
      </w:pPr>
      <w:r w:rsidRPr="00F03E96">
        <w:rPr>
          <w:rFonts w:ascii="Verdana" w:hAnsi="Verdana"/>
          <w:sz w:val="16"/>
          <w:szCs w:val="16"/>
        </w:rPr>
        <w:t xml:space="preserve"> </w:t>
      </w:r>
    </w:p>
  </w:footnote>
  <w:footnote w:id="4">
    <w:p w14:paraId="20932BF3" w14:textId="77777777" w:rsidR="00282598" w:rsidRPr="00F03E96" w:rsidRDefault="00282598" w:rsidP="00282598">
      <w:pPr>
        <w:pStyle w:val="Textonotapie"/>
        <w:ind w:firstLine="709"/>
        <w:jc w:val="both"/>
        <w:rPr>
          <w:rFonts w:ascii="Verdana" w:hAnsi="Verdana"/>
          <w:sz w:val="16"/>
          <w:szCs w:val="16"/>
        </w:rPr>
      </w:pPr>
      <w:r w:rsidRPr="00F03E96">
        <w:rPr>
          <w:rStyle w:val="Refdenotaalpie"/>
          <w:rFonts w:ascii="Verdana" w:hAnsi="Verdana"/>
          <w:sz w:val="16"/>
          <w:szCs w:val="16"/>
        </w:rPr>
        <w:footnoteRef/>
      </w:r>
      <w:r w:rsidRPr="00F03E96">
        <w:rPr>
          <w:rFonts w:ascii="Verdana" w:hAnsi="Verdana"/>
          <w:sz w:val="16"/>
          <w:szCs w:val="16"/>
        </w:rPr>
        <w:t xml:space="preserve"> Consejo de Estado. Sala de Consulta y del Servicio Civil. Concepto 1889 del 5 de junio de 2008. Consejero Ponente: William Zambrano Cetina. </w:t>
      </w:r>
    </w:p>
    <w:p w14:paraId="4909DE9F" w14:textId="77777777" w:rsidR="00282598" w:rsidRPr="00F03E96" w:rsidRDefault="00282598" w:rsidP="00282598">
      <w:pPr>
        <w:pStyle w:val="Textonotapie"/>
        <w:ind w:firstLine="709"/>
        <w:jc w:val="both"/>
        <w:rPr>
          <w:rFonts w:ascii="Verdana" w:hAnsi="Verdana"/>
          <w:sz w:val="16"/>
          <w:szCs w:val="16"/>
        </w:rPr>
      </w:pPr>
    </w:p>
  </w:footnote>
  <w:footnote w:id="5">
    <w:p w14:paraId="1AAE4F55" w14:textId="77777777" w:rsidR="00282598" w:rsidRDefault="00282598" w:rsidP="00282598">
      <w:pPr>
        <w:pStyle w:val="Textonotapie"/>
        <w:ind w:firstLine="708"/>
        <w:jc w:val="both"/>
        <w:rPr>
          <w:rFonts w:ascii="Verdana" w:hAnsi="Verdana" w:cs="Arial"/>
          <w:sz w:val="16"/>
          <w:szCs w:val="16"/>
        </w:rPr>
      </w:pPr>
      <w:r w:rsidRPr="00F03E96">
        <w:rPr>
          <w:rStyle w:val="Refdenotaalpie"/>
          <w:rFonts w:ascii="Verdana" w:hAnsi="Verdana"/>
          <w:sz w:val="16"/>
          <w:szCs w:val="16"/>
        </w:rPr>
        <w:footnoteRef/>
      </w:r>
      <w:r w:rsidRPr="00F03E96">
        <w:rPr>
          <w:rFonts w:ascii="Verdana" w:hAnsi="Verdana"/>
          <w:sz w:val="16"/>
          <w:szCs w:val="16"/>
        </w:rPr>
        <w:t xml:space="preserve"> Consejo de Estado. Sala de Consulta y del Servicio Civil. C</w:t>
      </w:r>
      <w:r w:rsidRPr="00F03E96">
        <w:rPr>
          <w:rFonts w:ascii="Verdana" w:hAnsi="Verdana" w:cs="Arial"/>
          <w:sz w:val="16"/>
          <w:szCs w:val="16"/>
        </w:rPr>
        <w:t xml:space="preserve">oncepto del 9 de octubre de 2014. </w:t>
      </w:r>
    </w:p>
    <w:p w14:paraId="2C2633FE" w14:textId="77777777" w:rsidR="00282598" w:rsidRPr="00F03E96" w:rsidRDefault="00282598" w:rsidP="00282598">
      <w:pPr>
        <w:pStyle w:val="Textonotapie"/>
        <w:ind w:firstLine="708"/>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55D" w14:textId="77777777" w:rsidR="00F11474" w:rsidRDefault="00F1147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8C8B3BB"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4975569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6704"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92939712" name="Imagen 792939712"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6367702E" w:rsidR="00006F59" w:rsidRPr="00A211EE" w:rsidRDefault="00006F59" w:rsidP="001918F1">
    <w:pPr>
      <w:tabs>
        <w:tab w:val="left" w:pos="6217"/>
      </w:tabs>
      <w:spacing w:after="0"/>
      <w:rPr>
        <w:rFonts w:ascii="Verdana" w:hAnsi="Verdana"/>
        <w:b/>
        <w:bCs/>
        <w:sz w:val="24"/>
        <w:szCs w:val="24"/>
      </w:rPr>
    </w:pPr>
  </w:p>
  <w:p w14:paraId="68E0C024" w14:textId="62811F13" w:rsidR="00B30448" w:rsidRPr="00006F59" w:rsidRDefault="00B30448" w:rsidP="00006F5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A711" w14:textId="77777777" w:rsidR="00F11474" w:rsidRDefault="00F114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60431"/>
    <w:multiLevelType w:val="hybridMultilevel"/>
    <w:tmpl w:val="DCC894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4" w15:restartNumberingAfterBreak="0">
    <w:nsid w:val="17107B63"/>
    <w:multiLevelType w:val="multilevel"/>
    <w:tmpl w:val="A410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1E5971F2"/>
    <w:multiLevelType w:val="hybridMultilevel"/>
    <w:tmpl w:val="66BCAA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1365BB7"/>
    <w:multiLevelType w:val="hybridMultilevel"/>
    <w:tmpl w:val="F73413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98928FE"/>
    <w:multiLevelType w:val="hybridMultilevel"/>
    <w:tmpl w:val="4628E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264000C"/>
    <w:multiLevelType w:val="hybridMultilevel"/>
    <w:tmpl w:val="E38AC9C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9" w15:restartNumberingAfterBreak="0">
    <w:nsid w:val="5DFC639C"/>
    <w:multiLevelType w:val="hybridMultilevel"/>
    <w:tmpl w:val="6A9EC7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A6C4E08"/>
    <w:multiLevelType w:val="hybridMultilevel"/>
    <w:tmpl w:val="7A8E03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2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376794"/>
    <w:multiLevelType w:val="hybridMultilevel"/>
    <w:tmpl w:val="14E62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1492209491">
    <w:abstractNumId w:val="13"/>
  </w:num>
  <w:num w:numId="3" w16cid:durableId="679089576">
    <w:abstractNumId w:val="15"/>
  </w:num>
  <w:num w:numId="4" w16cid:durableId="893472101">
    <w:abstractNumId w:val="9"/>
  </w:num>
  <w:num w:numId="5" w16cid:durableId="1982299905">
    <w:abstractNumId w:val="24"/>
  </w:num>
  <w:num w:numId="6" w16cid:durableId="130758360">
    <w:abstractNumId w:val="16"/>
  </w:num>
  <w:num w:numId="7" w16cid:durableId="262541512">
    <w:abstractNumId w:val="21"/>
  </w:num>
  <w:num w:numId="8" w16cid:durableId="104272583">
    <w:abstractNumId w:val="2"/>
  </w:num>
  <w:num w:numId="9" w16cid:durableId="1999337129">
    <w:abstractNumId w:val="22"/>
  </w:num>
  <w:num w:numId="10" w16cid:durableId="905800357">
    <w:abstractNumId w:val="8"/>
  </w:num>
  <w:num w:numId="11" w16cid:durableId="1044253173">
    <w:abstractNumId w:val="10"/>
  </w:num>
  <w:num w:numId="12" w16cid:durableId="289018737">
    <w:abstractNumId w:val="25"/>
  </w:num>
  <w:num w:numId="13" w16cid:durableId="1910656144">
    <w:abstractNumId w:val="1"/>
  </w:num>
  <w:num w:numId="14" w16cid:durableId="1180662790">
    <w:abstractNumId w:val="18"/>
  </w:num>
  <w:num w:numId="15" w16cid:durableId="1549102236">
    <w:abstractNumId w:val="20"/>
  </w:num>
  <w:num w:numId="16" w16cid:durableId="1608417226">
    <w:abstractNumId w:val="17"/>
  </w:num>
  <w:num w:numId="17" w16cid:durableId="1317221377">
    <w:abstractNumId w:val="14"/>
  </w:num>
  <w:num w:numId="18" w16cid:durableId="1480686537">
    <w:abstractNumId w:val="4"/>
  </w:num>
  <w:num w:numId="19" w16cid:durableId="2067606687">
    <w:abstractNumId w:val="7"/>
  </w:num>
  <w:num w:numId="20" w16cid:durableId="1550191658">
    <w:abstractNumId w:val="19"/>
  </w:num>
  <w:num w:numId="21" w16cid:durableId="589313489">
    <w:abstractNumId w:val="12"/>
  </w:num>
  <w:num w:numId="22" w16cid:durableId="1192261824">
    <w:abstractNumId w:val="11"/>
  </w:num>
  <w:num w:numId="23" w16cid:durableId="1601723362">
    <w:abstractNumId w:val="6"/>
  </w:num>
  <w:num w:numId="24" w16cid:durableId="1851335222">
    <w:abstractNumId w:val="23"/>
  </w:num>
  <w:num w:numId="25" w16cid:durableId="578707994">
    <w:abstractNumId w:val="3"/>
  </w:num>
  <w:num w:numId="26" w16cid:durableId="19940958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52C"/>
    <w:rsid w:val="00014981"/>
    <w:rsid w:val="00016280"/>
    <w:rsid w:val="0001672C"/>
    <w:rsid w:val="00016F04"/>
    <w:rsid w:val="00017870"/>
    <w:rsid w:val="00017CD4"/>
    <w:rsid w:val="000219D1"/>
    <w:rsid w:val="00021C3A"/>
    <w:rsid w:val="0002202D"/>
    <w:rsid w:val="000230A2"/>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52A9"/>
    <w:rsid w:val="00075333"/>
    <w:rsid w:val="000762C0"/>
    <w:rsid w:val="00076C2B"/>
    <w:rsid w:val="00076F81"/>
    <w:rsid w:val="00084BFD"/>
    <w:rsid w:val="00085BEB"/>
    <w:rsid w:val="00087073"/>
    <w:rsid w:val="000878E7"/>
    <w:rsid w:val="00087C01"/>
    <w:rsid w:val="00087CE9"/>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359E"/>
    <w:rsid w:val="000A413A"/>
    <w:rsid w:val="000A66A1"/>
    <w:rsid w:val="000A69FB"/>
    <w:rsid w:val="000A710E"/>
    <w:rsid w:val="000B1087"/>
    <w:rsid w:val="000B199A"/>
    <w:rsid w:val="000B1FF7"/>
    <w:rsid w:val="000B2529"/>
    <w:rsid w:val="000B2B7C"/>
    <w:rsid w:val="000B381D"/>
    <w:rsid w:val="000B3DF5"/>
    <w:rsid w:val="000B4024"/>
    <w:rsid w:val="000B4453"/>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C794E"/>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0F7F5A"/>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44A9"/>
    <w:rsid w:val="0011650B"/>
    <w:rsid w:val="00116616"/>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3DD6"/>
    <w:rsid w:val="001344F9"/>
    <w:rsid w:val="00135F76"/>
    <w:rsid w:val="001360E9"/>
    <w:rsid w:val="001360F4"/>
    <w:rsid w:val="001363C7"/>
    <w:rsid w:val="00136E87"/>
    <w:rsid w:val="00140793"/>
    <w:rsid w:val="001422BD"/>
    <w:rsid w:val="0014286D"/>
    <w:rsid w:val="001436FE"/>
    <w:rsid w:val="00143B8E"/>
    <w:rsid w:val="00143F21"/>
    <w:rsid w:val="0014420C"/>
    <w:rsid w:val="001446C3"/>
    <w:rsid w:val="001461A7"/>
    <w:rsid w:val="00146946"/>
    <w:rsid w:val="001477A5"/>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78B"/>
    <w:rsid w:val="001837E5"/>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0E4"/>
    <w:rsid w:val="001948F5"/>
    <w:rsid w:val="00194958"/>
    <w:rsid w:val="00196172"/>
    <w:rsid w:val="00197205"/>
    <w:rsid w:val="00197A9D"/>
    <w:rsid w:val="001A05A2"/>
    <w:rsid w:val="001A1FDD"/>
    <w:rsid w:val="001A2D8F"/>
    <w:rsid w:val="001A3D89"/>
    <w:rsid w:val="001A545B"/>
    <w:rsid w:val="001A54DA"/>
    <w:rsid w:val="001A6861"/>
    <w:rsid w:val="001B143B"/>
    <w:rsid w:val="001B1777"/>
    <w:rsid w:val="001B19C5"/>
    <w:rsid w:val="001B1B6D"/>
    <w:rsid w:val="001B1C93"/>
    <w:rsid w:val="001B1E8B"/>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595E"/>
    <w:rsid w:val="001E6BCB"/>
    <w:rsid w:val="001E783B"/>
    <w:rsid w:val="001E7FBC"/>
    <w:rsid w:val="001F0822"/>
    <w:rsid w:val="001F08CB"/>
    <w:rsid w:val="001F1412"/>
    <w:rsid w:val="001F15F6"/>
    <w:rsid w:val="001F179C"/>
    <w:rsid w:val="001F2649"/>
    <w:rsid w:val="001F3496"/>
    <w:rsid w:val="001F41CA"/>
    <w:rsid w:val="001F4355"/>
    <w:rsid w:val="001F529A"/>
    <w:rsid w:val="001F61DE"/>
    <w:rsid w:val="001F7054"/>
    <w:rsid w:val="002000AA"/>
    <w:rsid w:val="0020302A"/>
    <w:rsid w:val="002032A0"/>
    <w:rsid w:val="00203532"/>
    <w:rsid w:val="0020366F"/>
    <w:rsid w:val="00203AE0"/>
    <w:rsid w:val="00204106"/>
    <w:rsid w:val="00204109"/>
    <w:rsid w:val="0020524C"/>
    <w:rsid w:val="002059E3"/>
    <w:rsid w:val="00211DCE"/>
    <w:rsid w:val="00212390"/>
    <w:rsid w:val="00212544"/>
    <w:rsid w:val="0021285B"/>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333"/>
    <w:rsid w:val="002225AB"/>
    <w:rsid w:val="00224CBF"/>
    <w:rsid w:val="002250D1"/>
    <w:rsid w:val="0022572C"/>
    <w:rsid w:val="002267D2"/>
    <w:rsid w:val="00226C26"/>
    <w:rsid w:val="00230839"/>
    <w:rsid w:val="00231ADB"/>
    <w:rsid w:val="00232178"/>
    <w:rsid w:val="00232248"/>
    <w:rsid w:val="00232D12"/>
    <w:rsid w:val="002353E3"/>
    <w:rsid w:val="00235F30"/>
    <w:rsid w:val="00236287"/>
    <w:rsid w:val="002363FF"/>
    <w:rsid w:val="00236D10"/>
    <w:rsid w:val="002370B5"/>
    <w:rsid w:val="00237EBB"/>
    <w:rsid w:val="002407CE"/>
    <w:rsid w:val="0024087B"/>
    <w:rsid w:val="00242325"/>
    <w:rsid w:val="0024262D"/>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1F4D"/>
    <w:rsid w:val="00272787"/>
    <w:rsid w:val="00272826"/>
    <w:rsid w:val="00272891"/>
    <w:rsid w:val="00272A7B"/>
    <w:rsid w:val="00272C44"/>
    <w:rsid w:val="00273527"/>
    <w:rsid w:val="00273F6B"/>
    <w:rsid w:val="002747EF"/>
    <w:rsid w:val="00274B06"/>
    <w:rsid w:val="002754D3"/>
    <w:rsid w:val="00276944"/>
    <w:rsid w:val="002769AE"/>
    <w:rsid w:val="002817A6"/>
    <w:rsid w:val="002824C5"/>
    <w:rsid w:val="00282598"/>
    <w:rsid w:val="00284C60"/>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97944"/>
    <w:rsid w:val="002A0444"/>
    <w:rsid w:val="002A0864"/>
    <w:rsid w:val="002A0F8D"/>
    <w:rsid w:val="002A1377"/>
    <w:rsid w:val="002A264B"/>
    <w:rsid w:val="002A2E9E"/>
    <w:rsid w:val="002A3B6D"/>
    <w:rsid w:val="002A4A82"/>
    <w:rsid w:val="002A4B33"/>
    <w:rsid w:val="002A5311"/>
    <w:rsid w:val="002A650E"/>
    <w:rsid w:val="002A7F81"/>
    <w:rsid w:val="002B05D1"/>
    <w:rsid w:val="002B1933"/>
    <w:rsid w:val="002B1CC2"/>
    <w:rsid w:val="002B20BD"/>
    <w:rsid w:val="002B3A46"/>
    <w:rsid w:val="002B3E3F"/>
    <w:rsid w:val="002B3F1C"/>
    <w:rsid w:val="002B4ED9"/>
    <w:rsid w:val="002B4EF4"/>
    <w:rsid w:val="002B58C5"/>
    <w:rsid w:val="002B6CA2"/>
    <w:rsid w:val="002B6E44"/>
    <w:rsid w:val="002B6E8A"/>
    <w:rsid w:val="002B726F"/>
    <w:rsid w:val="002B744E"/>
    <w:rsid w:val="002B7ED2"/>
    <w:rsid w:val="002C000B"/>
    <w:rsid w:val="002C09A8"/>
    <w:rsid w:val="002C103C"/>
    <w:rsid w:val="002C12C7"/>
    <w:rsid w:val="002C30AD"/>
    <w:rsid w:val="002C30F0"/>
    <w:rsid w:val="002C3B83"/>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5717"/>
    <w:rsid w:val="002D68F4"/>
    <w:rsid w:val="002D7417"/>
    <w:rsid w:val="002D782B"/>
    <w:rsid w:val="002E0D9C"/>
    <w:rsid w:val="002E1247"/>
    <w:rsid w:val="002E26E8"/>
    <w:rsid w:val="002E3DD8"/>
    <w:rsid w:val="002E3ED8"/>
    <w:rsid w:val="002E5A01"/>
    <w:rsid w:val="002E717C"/>
    <w:rsid w:val="002E7533"/>
    <w:rsid w:val="002E78A3"/>
    <w:rsid w:val="002E7A61"/>
    <w:rsid w:val="002E7AD0"/>
    <w:rsid w:val="002F00B8"/>
    <w:rsid w:val="002F0106"/>
    <w:rsid w:val="002F03C8"/>
    <w:rsid w:val="002F188D"/>
    <w:rsid w:val="002F18A5"/>
    <w:rsid w:val="002F317F"/>
    <w:rsid w:val="002F5610"/>
    <w:rsid w:val="002F5E95"/>
    <w:rsid w:val="002F63CA"/>
    <w:rsid w:val="002F67B4"/>
    <w:rsid w:val="002F6F73"/>
    <w:rsid w:val="002F7AA9"/>
    <w:rsid w:val="002F7F50"/>
    <w:rsid w:val="003004E3"/>
    <w:rsid w:val="00300DA4"/>
    <w:rsid w:val="00300F40"/>
    <w:rsid w:val="00301C0D"/>
    <w:rsid w:val="00301D7B"/>
    <w:rsid w:val="00301E19"/>
    <w:rsid w:val="00304676"/>
    <w:rsid w:val="00305EFA"/>
    <w:rsid w:val="00306BE7"/>
    <w:rsid w:val="00311B66"/>
    <w:rsid w:val="00314036"/>
    <w:rsid w:val="00314347"/>
    <w:rsid w:val="00314C4F"/>
    <w:rsid w:val="00314FAF"/>
    <w:rsid w:val="003162A5"/>
    <w:rsid w:val="00316591"/>
    <w:rsid w:val="00320536"/>
    <w:rsid w:val="00320C6D"/>
    <w:rsid w:val="003213A8"/>
    <w:rsid w:val="00321FA8"/>
    <w:rsid w:val="00321FFD"/>
    <w:rsid w:val="00322E18"/>
    <w:rsid w:val="00323B2F"/>
    <w:rsid w:val="00323C3D"/>
    <w:rsid w:val="00323D1D"/>
    <w:rsid w:val="00323F8A"/>
    <w:rsid w:val="00324D73"/>
    <w:rsid w:val="00324D82"/>
    <w:rsid w:val="00324DED"/>
    <w:rsid w:val="00326011"/>
    <w:rsid w:val="00327069"/>
    <w:rsid w:val="00327812"/>
    <w:rsid w:val="00327AFB"/>
    <w:rsid w:val="00327BAF"/>
    <w:rsid w:val="00327D10"/>
    <w:rsid w:val="00332650"/>
    <w:rsid w:val="00332CB8"/>
    <w:rsid w:val="00333428"/>
    <w:rsid w:val="003350B6"/>
    <w:rsid w:val="0033595E"/>
    <w:rsid w:val="0033601B"/>
    <w:rsid w:val="0033764C"/>
    <w:rsid w:val="00340039"/>
    <w:rsid w:val="0034024F"/>
    <w:rsid w:val="00340A77"/>
    <w:rsid w:val="00340DFB"/>
    <w:rsid w:val="00341356"/>
    <w:rsid w:val="00341941"/>
    <w:rsid w:val="0034207A"/>
    <w:rsid w:val="0034278F"/>
    <w:rsid w:val="00343B47"/>
    <w:rsid w:val="0034404F"/>
    <w:rsid w:val="00344ACC"/>
    <w:rsid w:val="00345F01"/>
    <w:rsid w:val="0034654F"/>
    <w:rsid w:val="00347685"/>
    <w:rsid w:val="003509A5"/>
    <w:rsid w:val="00351E21"/>
    <w:rsid w:val="00352327"/>
    <w:rsid w:val="00353ECE"/>
    <w:rsid w:val="00354405"/>
    <w:rsid w:val="00355A76"/>
    <w:rsid w:val="0035635F"/>
    <w:rsid w:val="003607EE"/>
    <w:rsid w:val="00360BC8"/>
    <w:rsid w:val="003617AE"/>
    <w:rsid w:val="00361E16"/>
    <w:rsid w:val="0036215C"/>
    <w:rsid w:val="003630F7"/>
    <w:rsid w:val="00363589"/>
    <w:rsid w:val="00363636"/>
    <w:rsid w:val="003651AC"/>
    <w:rsid w:val="00366120"/>
    <w:rsid w:val="003661FF"/>
    <w:rsid w:val="00366A0C"/>
    <w:rsid w:val="00367462"/>
    <w:rsid w:val="00367C99"/>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83C"/>
    <w:rsid w:val="00387AA1"/>
    <w:rsid w:val="0039082A"/>
    <w:rsid w:val="0039101F"/>
    <w:rsid w:val="003914C7"/>
    <w:rsid w:val="00392EDB"/>
    <w:rsid w:val="003931AA"/>
    <w:rsid w:val="00393EEE"/>
    <w:rsid w:val="00395132"/>
    <w:rsid w:val="00395D99"/>
    <w:rsid w:val="003968DF"/>
    <w:rsid w:val="0039733E"/>
    <w:rsid w:val="00397A64"/>
    <w:rsid w:val="003A0948"/>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63B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3838"/>
    <w:rsid w:val="003D503A"/>
    <w:rsid w:val="003D68B9"/>
    <w:rsid w:val="003D6E74"/>
    <w:rsid w:val="003D71A6"/>
    <w:rsid w:val="003D7709"/>
    <w:rsid w:val="003E0BAF"/>
    <w:rsid w:val="003E0E25"/>
    <w:rsid w:val="003E1409"/>
    <w:rsid w:val="003E16F2"/>
    <w:rsid w:val="003E2139"/>
    <w:rsid w:val="003E2495"/>
    <w:rsid w:val="003E78A9"/>
    <w:rsid w:val="003E7912"/>
    <w:rsid w:val="003F04E6"/>
    <w:rsid w:val="003F2CDD"/>
    <w:rsid w:val="003F3434"/>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B17"/>
    <w:rsid w:val="0041222D"/>
    <w:rsid w:val="004124F2"/>
    <w:rsid w:val="00413C5C"/>
    <w:rsid w:val="00413C62"/>
    <w:rsid w:val="0041567A"/>
    <w:rsid w:val="00415BCF"/>
    <w:rsid w:val="00416297"/>
    <w:rsid w:val="00417083"/>
    <w:rsid w:val="0042057C"/>
    <w:rsid w:val="00421608"/>
    <w:rsid w:val="00421C23"/>
    <w:rsid w:val="0042261E"/>
    <w:rsid w:val="00422749"/>
    <w:rsid w:val="004231C1"/>
    <w:rsid w:val="004233DC"/>
    <w:rsid w:val="00425763"/>
    <w:rsid w:val="00427379"/>
    <w:rsid w:val="004275B2"/>
    <w:rsid w:val="004306AB"/>
    <w:rsid w:val="00431428"/>
    <w:rsid w:val="0043159D"/>
    <w:rsid w:val="0043171D"/>
    <w:rsid w:val="00432F78"/>
    <w:rsid w:val="004334A2"/>
    <w:rsid w:val="0043354F"/>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4D"/>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A98"/>
    <w:rsid w:val="00474BC1"/>
    <w:rsid w:val="00477459"/>
    <w:rsid w:val="00477CC9"/>
    <w:rsid w:val="0048026E"/>
    <w:rsid w:val="00480303"/>
    <w:rsid w:val="004807A9"/>
    <w:rsid w:val="00481318"/>
    <w:rsid w:val="004813EE"/>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A7652"/>
    <w:rsid w:val="004B06C3"/>
    <w:rsid w:val="004B082F"/>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6127"/>
    <w:rsid w:val="004C7BDE"/>
    <w:rsid w:val="004D0090"/>
    <w:rsid w:val="004D020F"/>
    <w:rsid w:val="004D03D1"/>
    <w:rsid w:val="004D11AF"/>
    <w:rsid w:val="004D41A2"/>
    <w:rsid w:val="004D49D5"/>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288E"/>
    <w:rsid w:val="004F398D"/>
    <w:rsid w:val="004F553D"/>
    <w:rsid w:val="004F590E"/>
    <w:rsid w:val="004F5966"/>
    <w:rsid w:val="004F607E"/>
    <w:rsid w:val="004F60F4"/>
    <w:rsid w:val="004F612D"/>
    <w:rsid w:val="004F62E8"/>
    <w:rsid w:val="004F7390"/>
    <w:rsid w:val="004F78F8"/>
    <w:rsid w:val="005001A5"/>
    <w:rsid w:val="005019AA"/>
    <w:rsid w:val="00503C3B"/>
    <w:rsid w:val="00503CE7"/>
    <w:rsid w:val="005042DB"/>
    <w:rsid w:val="0050458E"/>
    <w:rsid w:val="00505CD6"/>
    <w:rsid w:val="005069B2"/>
    <w:rsid w:val="00510452"/>
    <w:rsid w:val="005108EC"/>
    <w:rsid w:val="00510A38"/>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15F0"/>
    <w:rsid w:val="00533DBF"/>
    <w:rsid w:val="00534940"/>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5D6"/>
    <w:rsid w:val="0055263A"/>
    <w:rsid w:val="005526EE"/>
    <w:rsid w:val="00552B57"/>
    <w:rsid w:val="00552E53"/>
    <w:rsid w:val="00553E34"/>
    <w:rsid w:val="005547B7"/>
    <w:rsid w:val="005551E9"/>
    <w:rsid w:val="0055680D"/>
    <w:rsid w:val="00560094"/>
    <w:rsid w:val="00560C62"/>
    <w:rsid w:val="00562A61"/>
    <w:rsid w:val="005652D5"/>
    <w:rsid w:val="00565ECA"/>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00F"/>
    <w:rsid w:val="005872DD"/>
    <w:rsid w:val="00587CF2"/>
    <w:rsid w:val="00587D3A"/>
    <w:rsid w:val="00590346"/>
    <w:rsid w:val="00590BA2"/>
    <w:rsid w:val="00590CA7"/>
    <w:rsid w:val="00590E93"/>
    <w:rsid w:val="00591006"/>
    <w:rsid w:val="005915E1"/>
    <w:rsid w:val="00591C75"/>
    <w:rsid w:val="00592D10"/>
    <w:rsid w:val="00593A5F"/>
    <w:rsid w:val="0059404E"/>
    <w:rsid w:val="00594269"/>
    <w:rsid w:val="00595539"/>
    <w:rsid w:val="005A3E82"/>
    <w:rsid w:val="005A4244"/>
    <w:rsid w:val="005A4DB0"/>
    <w:rsid w:val="005A5597"/>
    <w:rsid w:val="005A57BF"/>
    <w:rsid w:val="005A6AC2"/>
    <w:rsid w:val="005A7355"/>
    <w:rsid w:val="005A7A65"/>
    <w:rsid w:val="005A7B26"/>
    <w:rsid w:val="005A7B8E"/>
    <w:rsid w:val="005B012B"/>
    <w:rsid w:val="005B0C87"/>
    <w:rsid w:val="005B0FE9"/>
    <w:rsid w:val="005B1F47"/>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9D9"/>
    <w:rsid w:val="005D7DFC"/>
    <w:rsid w:val="005E035A"/>
    <w:rsid w:val="005E1218"/>
    <w:rsid w:val="005E1B6B"/>
    <w:rsid w:val="005E2281"/>
    <w:rsid w:val="005E351B"/>
    <w:rsid w:val="005E38A8"/>
    <w:rsid w:val="005E39F9"/>
    <w:rsid w:val="005E5231"/>
    <w:rsid w:val="005E55BB"/>
    <w:rsid w:val="005E5D11"/>
    <w:rsid w:val="005E667C"/>
    <w:rsid w:val="005E66F9"/>
    <w:rsid w:val="005E6A1D"/>
    <w:rsid w:val="005E6F12"/>
    <w:rsid w:val="005F06E1"/>
    <w:rsid w:val="005F077C"/>
    <w:rsid w:val="005F0B88"/>
    <w:rsid w:val="005F1735"/>
    <w:rsid w:val="005F252A"/>
    <w:rsid w:val="005F3CE8"/>
    <w:rsid w:val="005F4F41"/>
    <w:rsid w:val="005F566D"/>
    <w:rsid w:val="005F68C3"/>
    <w:rsid w:val="005F7D87"/>
    <w:rsid w:val="0060145F"/>
    <w:rsid w:val="00601E94"/>
    <w:rsid w:val="006021B1"/>
    <w:rsid w:val="006037C5"/>
    <w:rsid w:val="006040CE"/>
    <w:rsid w:val="0060467D"/>
    <w:rsid w:val="00605B9D"/>
    <w:rsid w:val="00606B57"/>
    <w:rsid w:val="00606B85"/>
    <w:rsid w:val="00607390"/>
    <w:rsid w:val="006076D8"/>
    <w:rsid w:val="00607E6D"/>
    <w:rsid w:val="0061061D"/>
    <w:rsid w:val="00610FA9"/>
    <w:rsid w:val="00612570"/>
    <w:rsid w:val="00612871"/>
    <w:rsid w:val="00612A44"/>
    <w:rsid w:val="00612A8E"/>
    <w:rsid w:val="006134D9"/>
    <w:rsid w:val="006135DA"/>
    <w:rsid w:val="00613BDC"/>
    <w:rsid w:val="00615564"/>
    <w:rsid w:val="006155E2"/>
    <w:rsid w:val="00615609"/>
    <w:rsid w:val="00615F26"/>
    <w:rsid w:val="006175BD"/>
    <w:rsid w:val="00617A81"/>
    <w:rsid w:val="00620579"/>
    <w:rsid w:val="006208AA"/>
    <w:rsid w:val="00622220"/>
    <w:rsid w:val="0062258F"/>
    <w:rsid w:val="00622E6D"/>
    <w:rsid w:val="00623BC7"/>
    <w:rsid w:val="006241D0"/>
    <w:rsid w:val="00624665"/>
    <w:rsid w:val="00625434"/>
    <w:rsid w:val="00625C5F"/>
    <w:rsid w:val="00625FC1"/>
    <w:rsid w:val="00626032"/>
    <w:rsid w:val="00627643"/>
    <w:rsid w:val="00627788"/>
    <w:rsid w:val="006300CD"/>
    <w:rsid w:val="0063017E"/>
    <w:rsid w:val="006312D0"/>
    <w:rsid w:val="006318A4"/>
    <w:rsid w:val="00631D4F"/>
    <w:rsid w:val="00632940"/>
    <w:rsid w:val="00633496"/>
    <w:rsid w:val="006338D2"/>
    <w:rsid w:val="00633ADB"/>
    <w:rsid w:val="00633F92"/>
    <w:rsid w:val="00635FD8"/>
    <w:rsid w:val="00636651"/>
    <w:rsid w:val="00636F7B"/>
    <w:rsid w:val="0064019C"/>
    <w:rsid w:val="00640288"/>
    <w:rsid w:val="006405AC"/>
    <w:rsid w:val="006412CD"/>
    <w:rsid w:val="006413D8"/>
    <w:rsid w:val="0064180E"/>
    <w:rsid w:val="00641B7B"/>
    <w:rsid w:val="00641C55"/>
    <w:rsid w:val="00642405"/>
    <w:rsid w:val="00642645"/>
    <w:rsid w:val="006437E8"/>
    <w:rsid w:val="006438E0"/>
    <w:rsid w:val="00644BED"/>
    <w:rsid w:val="0064761D"/>
    <w:rsid w:val="00647743"/>
    <w:rsid w:val="00652092"/>
    <w:rsid w:val="00652472"/>
    <w:rsid w:val="0065394E"/>
    <w:rsid w:val="00653B38"/>
    <w:rsid w:val="00656385"/>
    <w:rsid w:val="00656F19"/>
    <w:rsid w:val="00660552"/>
    <w:rsid w:val="00660DBE"/>
    <w:rsid w:val="00661113"/>
    <w:rsid w:val="0066127D"/>
    <w:rsid w:val="00661AB0"/>
    <w:rsid w:val="0066351C"/>
    <w:rsid w:val="00664693"/>
    <w:rsid w:val="00664DC0"/>
    <w:rsid w:val="006651CC"/>
    <w:rsid w:val="00665CA1"/>
    <w:rsid w:val="00665E16"/>
    <w:rsid w:val="00667A31"/>
    <w:rsid w:val="00670702"/>
    <w:rsid w:val="0067147C"/>
    <w:rsid w:val="00672A8A"/>
    <w:rsid w:val="00673F50"/>
    <w:rsid w:val="00674EEA"/>
    <w:rsid w:val="006759B0"/>
    <w:rsid w:val="00675DEC"/>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C33"/>
    <w:rsid w:val="00690EB8"/>
    <w:rsid w:val="006915E5"/>
    <w:rsid w:val="00692401"/>
    <w:rsid w:val="0069417B"/>
    <w:rsid w:val="006941CC"/>
    <w:rsid w:val="00695F56"/>
    <w:rsid w:val="0069758B"/>
    <w:rsid w:val="006A0B6C"/>
    <w:rsid w:val="006A1692"/>
    <w:rsid w:val="006A16E1"/>
    <w:rsid w:val="006A3293"/>
    <w:rsid w:val="006A3C8A"/>
    <w:rsid w:val="006A3E61"/>
    <w:rsid w:val="006A4E4B"/>
    <w:rsid w:val="006A5213"/>
    <w:rsid w:val="006A6003"/>
    <w:rsid w:val="006A6737"/>
    <w:rsid w:val="006B1E08"/>
    <w:rsid w:val="006B26B1"/>
    <w:rsid w:val="006B2E45"/>
    <w:rsid w:val="006B3875"/>
    <w:rsid w:val="006B545C"/>
    <w:rsid w:val="006B5AC8"/>
    <w:rsid w:val="006B5D32"/>
    <w:rsid w:val="006B758B"/>
    <w:rsid w:val="006B7BF8"/>
    <w:rsid w:val="006C035F"/>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648"/>
    <w:rsid w:val="006D3DC0"/>
    <w:rsid w:val="006D4162"/>
    <w:rsid w:val="006D5E84"/>
    <w:rsid w:val="006D7C99"/>
    <w:rsid w:val="006E0443"/>
    <w:rsid w:val="006E0C50"/>
    <w:rsid w:val="006E0DCF"/>
    <w:rsid w:val="006E1647"/>
    <w:rsid w:val="006E2298"/>
    <w:rsid w:val="006E2F3A"/>
    <w:rsid w:val="006E310A"/>
    <w:rsid w:val="006E3C3E"/>
    <w:rsid w:val="006E429F"/>
    <w:rsid w:val="006E463E"/>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5CF7"/>
    <w:rsid w:val="0070658A"/>
    <w:rsid w:val="00706B65"/>
    <w:rsid w:val="00707C1A"/>
    <w:rsid w:val="00710023"/>
    <w:rsid w:val="00710207"/>
    <w:rsid w:val="0071023D"/>
    <w:rsid w:val="00710530"/>
    <w:rsid w:val="007107BD"/>
    <w:rsid w:val="0071131E"/>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07C"/>
    <w:rsid w:val="00752247"/>
    <w:rsid w:val="007523E7"/>
    <w:rsid w:val="007531CA"/>
    <w:rsid w:val="00754252"/>
    <w:rsid w:val="007577B1"/>
    <w:rsid w:val="00757CB3"/>
    <w:rsid w:val="00757D87"/>
    <w:rsid w:val="00757DC0"/>
    <w:rsid w:val="007602AA"/>
    <w:rsid w:val="00760EED"/>
    <w:rsid w:val="0076109F"/>
    <w:rsid w:val="00761399"/>
    <w:rsid w:val="00761615"/>
    <w:rsid w:val="007616DA"/>
    <w:rsid w:val="007616FB"/>
    <w:rsid w:val="007619CE"/>
    <w:rsid w:val="00761F4F"/>
    <w:rsid w:val="007620DC"/>
    <w:rsid w:val="00762102"/>
    <w:rsid w:val="0076255D"/>
    <w:rsid w:val="007625F6"/>
    <w:rsid w:val="00762B8B"/>
    <w:rsid w:val="00764AF9"/>
    <w:rsid w:val="00764BF4"/>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6816"/>
    <w:rsid w:val="007B7462"/>
    <w:rsid w:val="007B7B52"/>
    <w:rsid w:val="007C02A3"/>
    <w:rsid w:val="007C1507"/>
    <w:rsid w:val="007C2F60"/>
    <w:rsid w:val="007C4D8D"/>
    <w:rsid w:val="007C5144"/>
    <w:rsid w:val="007C539D"/>
    <w:rsid w:val="007C5613"/>
    <w:rsid w:val="007C6138"/>
    <w:rsid w:val="007C6153"/>
    <w:rsid w:val="007C6BC6"/>
    <w:rsid w:val="007C6C12"/>
    <w:rsid w:val="007C73B2"/>
    <w:rsid w:val="007C7E44"/>
    <w:rsid w:val="007D0435"/>
    <w:rsid w:val="007D1895"/>
    <w:rsid w:val="007D400A"/>
    <w:rsid w:val="007D4B0E"/>
    <w:rsid w:val="007D4D7A"/>
    <w:rsid w:val="007D4DD2"/>
    <w:rsid w:val="007D5D0F"/>
    <w:rsid w:val="007D6EA8"/>
    <w:rsid w:val="007E1247"/>
    <w:rsid w:val="007E1A44"/>
    <w:rsid w:val="007E22A9"/>
    <w:rsid w:val="007E2419"/>
    <w:rsid w:val="007E3FF5"/>
    <w:rsid w:val="007E4219"/>
    <w:rsid w:val="007E577E"/>
    <w:rsid w:val="007E61C1"/>
    <w:rsid w:val="007E635E"/>
    <w:rsid w:val="007E6BCF"/>
    <w:rsid w:val="007E6C0C"/>
    <w:rsid w:val="007E7300"/>
    <w:rsid w:val="007E767B"/>
    <w:rsid w:val="007F038C"/>
    <w:rsid w:val="007F0428"/>
    <w:rsid w:val="007F0A4C"/>
    <w:rsid w:val="007F0F24"/>
    <w:rsid w:val="007F1755"/>
    <w:rsid w:val="007F1938"/>
    <w:rsid w:val="007F222B"/>
    <w:rsid w:val="007F2EEA"/>
    <w:rsid w:val="007F3092"/>
    <w:rsid w:val="007F39B8"/>
    <w:rsid w:val="007F3C03"/>
    <w:rsid w:val="007F3E3F"/>
    <w:rsid w:val="007F45DF"/>
    <w:rsid w:val="007F4A6F"/>
    <w:rsid w:val="007F4FBC"/>
    <w:rsid w:val="007F5975"/>
    <w:rsid w:val="007F5DBC"/>
    <w:rsid w:val="007F63B4"/>
    <w:rsid w:val="007F6497"/>
    <w:rsid w:val="007F6836"/>
    <w:rsid w:val="007F7DF2"/>
    <w:rsid w:val="00800861"/>
    <w:rsid w:val="00800A35"/>
    <w:rsid w:val="00800D91"/>
    <w:rsid w:val="00801A0E"/>
    <w:rsid w:val="0080412F"/>
    <w:rsid w:val="00804E4C"/>
    <w:rsid w:val="00805C64"/>
    <w:rsid w:val="0080662C"/>
    <w:rsid w:val="008070B2"/>
    <w:rsid w:val="00807D79"/>
    <w:rsid w:val="00810102"/>
    <w:rsid w:val="0081060F"/>
    <w:rsid w:val="008116F3"/>
    <w:rsid w:val="008117C4"/>
    <w:rsid w:val="00812461"/>
    <w:rsid w:val="008127E0"/>
    <w:rsid w:val="00812810"/>
    <w:rsid w:val="0081398E"/>
    <w:rsid w:val="008149D8"/>
    <w:rsid w:val="008156BE"/>
    <w:rsid w:val="00815714"/>
    <w:rsid w:val="00816D41"/>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1E6"/>
    <w:rsid w:val="00836921"/>
    <w:rsid w:val="0084035D"/>
    <w:rsid w:val="008405F9"/>
    <w:rsid w:val="0084060B"/>
    <w:rsid w:val="0084139B"/>
    <w:rsid w:val="0084143B"/>
    <w:rsid w:val="00842547"/>
    <w:rsid w:val="008427D3"/>
    <w:rsid w:val="008429CF"/>
    <w:rsid w:val="0084324C"/>
    <w:rsid w:val="0084387B"/>
    <w:rsid w:val="008451F8"/>
    <w:rsid w:val="008457D2"/>
    <w:rsid w:val="00846036"/>
    <w:rsid w:val="00846212"/>
    <w:rsid w:val="008468E0"/>
    <w:rsid w:val="0084790F"/>
    <w:rsid w:val="00847BE7"/>
    <w:rsid w:val="00850EAB"/>
    <w:rsid w:val="00851D70"/>
    <w:rsid w:val="008529B3"/>
    <w:rsid w:val="00852ADD"/>
    <w:rsid w:val="00853883"/>
    <w:rsid w:val="00854CF7"/>
    <w:rsid w:val="00854DA7"/>
    <w:rsid w:val="008557A0"/>
    <w:rsid w:val="00856607"/>
    <w:rsid w:val="00856A53"/>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62BB"/>
    <w:rsid w:val="00877D03"/>
    <w:rsid w:val="00877E96"/>
    <w:rsid w:val="0088023D"/>
    <w:rsid w:val="008803CE"/>
    <w:rsid w:val="00882077"/>
    <w:rsid w:val="00883613"/>
    <w:rsid w:val="0088557F"/>
    <w:rsid w:val="00886393"/>
    <w:rsid w:val="00886579"/>
    <w:rsid w:val="00886F19"/>
    <w:rsid w:val="00887865"/>
    <w:rsid w:val="00887B37"/>
    <w:rsid w:val="00887EC2"/>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B15CE"/>
    <w:rsid w:val="008B1C1A"/>
    <w:rsid w:val="008B1C8F"/>
    <w:rsid w:val="008B2B19"/>
    <w:rsid w:val="008B2F40"/>
    <w:rsid w:val="008B2FCD"/>
    <w:rsid w:val="008B3627"/>
    <w:rsid w:val="008B3CA5"/>
    <w:rsid w:val="008B56A0"/>
    <w:rsid w:val="008B5AA1"/>
    <w:rsid w:val="008B5E61"/>
    <w:rsid w:val="008B64CE"/>
    <w:rsid w:val="008B7914"/>
    <w:rsid w:val="008C07BA"/>
    <w:rsid w:val="008C127A"/>
    <w:rsid w:val="008C1932"/>
    <w:rsid w:val="008C2C7F"/>
    <w:rsid w:val="008C2F0D"/>
    <w:rsid w:val="008C48BF"/>
    <w:rsid w:val="008C500C"/>
    <w:rsid w:val="008C5D2A"/>
    <w:rsid w:val="008C6754"/>
    <w:rsid w:val="008C6C16"/>
    <w:rsid w:val="008C710F"/>
    <w:rsid w:val="008C74FB"/>
    <w:rsid w:val="008C7AF4"/>
    <w:rsid w:val="008C7DA4"/>
    <w:rsid w:val="008D0210"/>
    <w:rsid w:val="008D05BF"/>
    <w:rsid w:val="008D0851"/>
    <w:rsid w:val="008D0DEF"/>
    <w:rsid w:val="008D0FCD"/>
    <w:rsid w:val="008D1074"/>
    <w:rsid w:val="008D1079"/>
    <w:rsid w:val="008D247E"/>
    <w:rsid w:val="008D280F"/>
    <w:rsid w:val="008D318B"/>
    <w:rsid w:val="008D3994"/>
    <w:rsid w:val="008D3C3D"/>
    <w:rsid w:val="008D478E"/>
    <w:rsid w:val="008D534E"/>
    <w:rsid w:val="008D6B40"/>
    <w:rsid w:val="008D6E81"/>
    <w:rsid w:val="008D75CE"/>
    <w:rsid w:val="008D7739"/>
    <w:rsid w:val="008D7A64"/>
    <w:rsid w:val="008E0302"/>
    <w:rsid w:val="008E1267"/>
    <w:rsid w:val="008E19FD"/>
    <w:rsid w:val="008E22F8"/>
    <w:rsid w:val="008E39D8"/>
    <w:rsid w:val="008E59FE"/>
    <w:rsid w:val="008E5D73"/>
    <w:rsid w:val="008E606F"/>
    <w:rsid w:val="008E6AD9"/>
    <w:rsid w:val="008F022A"/>
    <w:rsid w:val="008F06FD"/>
    <w:rsid w:val="008F1172"/>
    <w:rsid w:val="008F18C7"/>
    <w:rsid w:val="008F27E3"/>
    <w:rsid w:val="008F3485"/>
    <w:rsid w:val="008F3AC3"/>
    <w:rsid w:val="008F51FF"/>
    <w:rsid w:val="008F5DEF"/>
    <w:rsid w:val="008F7C0A"/>
    <w:rsid w:val="009026CB"/>
    <w:rsid w:val="00904038"/>
    <w:rsid w:val="009041AF"/>
    <w:rsid w:val="009042AA"/>
    <w:rsid w:val="009049AB"/>
    <w:rsid w:val="00904DCD"/>
    <w:rsid w:val="009050B7"/>
    <w:rsid w:val="00905130"/>
    <w:rsid w:val="009053BD"/>
    <w:rsid w:val="009061B8"/>
    <w:rsid w:val="009069B8"/>
    <w:rsid w:val="00911BD1"/>
    <w:rsid w:val="00911BFB"/>
    <w:rsid w:val="009130CC"/>
    <w:rsid w:val="00913B37"/>
    <w:rsid w:val="00914683"/>
    <w:rsid w:val="00914861"/>
    <w:rsid w:val="009148D8"/>
    <w:rsid w:val="00914B5F"/>
    <w:rsid w:val="00914E71"/>
    <w:rsid w:val="00915897"/>
    <w:rsid w:val="00915CD5"/>
    <w:rsid w:val="00916093"/>
    <w:rsid w:val="009160E3"/>
    <w:rsid w:val="0091639C"/>
    <w:rsid w:val="00916E99"/>
    <w:rsid w:val="0092002E"/>
    <w:rsid w:val="0092050A"/>
    <w:rsid w:val="00920EC6"/>
    <w:rsid w:val="0092101E"/>
    <w:rsid w:val="009219E4"/>
    <w:rsid w:val="0092383B"/>
    <w:rsid w:val="009239F1"/>
    <w:rsid w:val="00924119"/>
    <w:rsid w:val="00924668"/>
    <w:rsid w:val="00925120"/>
    <w:rsid w:val="009255FA"/>
    <w:rsid w:val="009262E4"/>
    <w:rsid w:val="00927D4E"/>
    <w:rsid w:val="0093084C"/>
    <w:rsid w:val="00930AC2"/>
    <w:rsid w:val="00930D2A"/>
    <w:rsid w:val="009312BF"/>
    <w:rsid w:val="00931B84"/>
    <w:rsid w:val="009322B2"/>
    <w:rsid w:val="00932E7E"/>
    <w:rsid w:val="00933951"/>
    <w:rsid w:val="0093442D"/>
    <w:rsid w:val="00934CD2"/>
    <w:rsid w:val="009356D0"/>
    <w:rsid w:val="009375E5"/>
    <w:rsid w:val="00937D30"/>
    <w:rsid w:val="00941848"/>
    <w:rsid w:val="009437F2"/>
    <w:rsid w:val="009442E8"/>
    <w:rsid w:val="00944BA7"/>
    <w:rsid w:val="0094636D"/>
    <w:rsid w:val="0094759C"/>
    <w:rsid w:val="009503FE"/>
    <w:rsid w:val="009506C4"/>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159F"/>
    <w:rsid w:val="009716C9"/>
    <w:rsid w:val="009725B2"/>
    <w:rsid w:val="009727DB"/>
    <w:rsid w:val="0097335C"/>
    <w:rsid w:val="009747AA"/>
    <w:rsid w:val="00974B99"/>
    <w:rsid w:val="00974BCB"/>
    <w:rsid w:val="009758CD"/>
    <w:rsid w:val="009763E4"/>
    <w:rsid w:val="0097654D"/>
    <w:rsid w:val="009766B7"/>
    <w:rsid w:val="00980A22"/>
    <w:rsid w:val="00980D85"/>
    <w:rsid w:val="009810BF"/>
    <w:rsid w:val="00983094"/>
    <w:rsid w:val="00983599"/>
    <w:rsid w:val="00984D19"/>
    <w:rsid w:val="0098544F"/>
    <w:rsid w:val="00985B04"/>
    <w:rsid w:val="00986A6D"/>
    <w:rsid w:val="00986BEF"/>
    <w:rsid w:val="00987298"/>
    <w:rsid w:val="00991DF8"/>
    <w:rsid w:val="00992499"/>
    <w:rsid w:val="00992986"/>
    <w:rsid w:val="00994B55"/>
    <w:rsid w:val="00995D86"/>
    <w:rsid w:val="00995FB2"/>
    <w:rsid w:val="00997A68"/>
    <w:rsid w:val="009A00EA"/>
    <w:rsid w:val="009A06AE"/>
    <w:rsid w:val="009A1F6B"/>
    <w:rsid w:val="009A2C4C"/>
    <w:rsid w:val="009A2DD8"/>
    <w:rsid w:val="009A30DE"/>
    <w:rsid w:val="009A3D29"/>
    <w:rsid w:val="009A5453"/>
    <w:rsid w:val="009A7532"/>
    <w:rsid w:val="009A765B"/>
    <w:rsid w:val="009A7883"/>
    <w:rsid w:val="009B237F"/>
    <w:rsid w:val="009B2760"/>
    <w:rsid w:val="009B308D"/>
    <w:rsid w:val="009B38D5"/>
    <w:rsid w:val="009B3B62"/>
    <w:rsid w:val="009B3C8D"/>
    <w:rsid w:val="009B4FFB"/>
    <w:rsid w:val="009B53C7"/>
    <w:rsid w:val="009B72F6"/>
    <w:rsid w:val="009B7489"/>
    <w:rsid w:val="009B7B0A"/>
    <w:rsid w:val="009B7F4C"/>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3F58"/>
    <w:rsid w:val="009D5843"/>
    <w:rsid w:val="009D638D"/>
    <w:rsid w:val="009D73E8"/>
    <w:rsid w:val="009E1CC8"/>
    <w:rsid w:val="009E2963"/>
    <w:rsid w:val="009E30D2"/>
    <w:rsid w:val="009E4885"/>
    <w:rsid w:val="009E508B"/>
    <w:rsid w:val="009F03AB"/>
    <w:rsid w:val="009F0619"/>
    <w:rsid w:val="009F068A"/>
    <w:rsid w:val="009F0A85"/>
    <w:rsid w:val="009F1260"/>
    <w:rsid w:val="009F1519"/>
    <w:rsid w:val="009F1B71"/>
    <w:rsid w:val="009F220A"/>
    <w:rsid w:val="009F36D6"/>
    <w:rsid w:val="00A0002A"/>
    <w:rsid w:val="00A0236D"/>
    <w:rsid w:val="00A02985"/>
    <w:rsid w:val="00A02B2B"/>
    <w:rsid w:val="00A02FA8"/>
    <w:rsid w:val="00A03F74"/>
    <w:rsid w:val="00A046BF"/>
    <w:rsid w:val="00A05B25"/>
    <w:rsid w:val="00A05C04"/>
    <w:rsid w:val="00A06254"/>
    <w:rsid w:val="00A06590"/>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27A5B"/>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0B4"/>
    <w:rsid w:val="00A5254B"/>
    <w:rsid w:val="00A52986"/>
    <w:rsid w:val="00A52BC1"/>
    <w:rsid w:val="00A534A0"/>
    <w:rsid w:val="00A537EA"/>
    <w:rsid w:val="00A539AD"/>
    <w:rsid w:val="00A540B2"/>
    <w:rsid w:val="00A5513B"/>
    <w:rsid w:val="00A55259"/>
    <w:rsid w:val="00A5566B"/>
    <w:rsid w:val="00A56819"/>
    <w:rsid w:val="00A568AC"/>
    <w:rsid w:val="00A60610"/>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2C0E"/>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32B"/>
    <w:rsid w:val="00A86FBC"/>
    <w:rsid w:val="00A879C5"/>
    <w:rsid w:val="00A902AD"/>
    <w:rsid w:val="00A9099E"/>
    <w:rsid w:val="00A91FB7"/>
    <w:rsid w:val="00A9298F"/>
    <w:rsid w:val="00A9301E"/>
    <w:rsid w:val="00A93E3A"/>
    <w:rsid w:val="00A94B69"/>
    <w:rsid w:val="00A95186"/>
    <w:rsid w:val="00A961BD"/>
    <w:rsid w:val="00A96F51"/>
    <w:rsid w:val="00AA0067"/>
    <w:rsid w:val="00AA027E"/>
    <w:rsid w:val="00AA1224"/>
    <w:rsid w:val="00AA14F2"/>
    <w:rsid w:val="00AA180B"/>
    <w:rsid w:val="00AA1D43"/>
    <w:rsid w:val="00AA2CD7"/>
    <w:rsid w:val="00AA3301"/>
    <w:rsid w:val="00AA3360"/>
    <w:rsid w:val="00AA6B93"/>
    <w:rsid w:val="00AA6F5B"/>
    <w:rsid w:val="00AA7A06"/>
    <w:rsid w:val="00AA7A7F"/>
    <w:rsid w:val="00AA7A89"/>
    <w:rsid w:val="00AB1984"/>
    <w:rsid w:val="00AB1CBB"/>
    <w:rsid w:val="00AB215B"/>
    <w:rsid w:val="00AB333E"/>
    <w:rsid w:val="00AB37DB"/>
    <w:rsid w:val="00AB3ECC"/>
    <w:rsid w:val="00AB4030"/>
    <w:rsid w:val="00AB5F48"/>
    <w:rsid w:val="00AB716D"/>
    <w:rsid w:val="00AB72BB"/>
    <w:rsid w:val="00AB7BF3"/>
    <w:rsid w:val="00AC09D5"/>
    <w:rsid w:val="00AC0D8E"/>
    <w:rsid w:val="00AC121B"/>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1F59"/>
    <w:rsid w:val="00AD3208"/>
    <w:rsid w:val="00AD50F8"/>
    <w:rsid w:val="00AD5FAE"/>
    <w:rsid w:val="00AD6248"/>
    <w:rsid w:val="00AD719F"/>
    <w:rsid w:val="00AD7447"/>
    <w:rsid w:val="00AD7D36"/>
    <w:rsid w:val="00AE0DED"/>
    <w:rsid w:val="00AE24B0"/>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A6C"/>
    <w:rsid w:val="00AF3B55"/>
    <w:rsid w:val="00AF3D62"/>
    <w:rsid w:val="00AF6AC5"/>
    <w:rsid w:val="00AF7809"/>
    <w:rsid w:val="00AF7F7B"/>
    <w:rsid w:val="00B0104B"/>
    <w:rsid w:val="00B021E0"/>
    <w:rsid w:val="00B03A35"/>
    <w:rsid w:val="00B04F99"/>
    <w:rsid w:val="00B057B6"/>
    <w:rsid w:val="00B05A7C"/>
    <w:rsid w:val="00B06361"/>
    <w:rsid w:val="00B06955"/>
    <w:rsid w:val="00B06BA4"/>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54F8"/>
    <w:rsid w:val="00B268D0"/>
    <w:rsid w:val="00B269D3"/>
    <w:rsid w:val="00B27F44"/>
    <w:rsid w:val="00B301ED"/>
    <w:rsid w:val="00B30448"/>
    <w:rsid w:val="00B30C49"/>
    <w:rsid w:val="00B30D75"/>
    <w:rsid w:val="00B31315"/>
    <w:rsid w:val="00B3260E"/>
    <w:rsid w:val="00B32C4B"/>
    <w:rsid w:val="00B332B3"/>
    <w:rsid w:val="00B3407E"/>
    <w:rsid w:val="00B34C84"/>
    <w:rsid w:val="00B34D6A"/>
    <w:rsid w:val="00B35021"/>
    <w:rsid w:val="00B35749"/>
    <w:rsid w:val="00B35EF5"/>
    <w:rsid w:val="00B3677F"/>
    <w:rsid w:val="00B36A7B"/>
    <w:rsid w:val="00B3704D"/>
    <w:rsid w:val="00B40162"/>
    <w:rsid w:val="00B4054D"/>
    <w:rsid w:val="00B40FDB"/>
    <w:rsid w:val="00B420B2"/>
    <w:rsid w:val="00B42800"/>
    <w:rsid w:val="00B42863"/>
    <w:rsid w:val="00B42947"/>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3A28"/>
    <w:rsid w:val="00B5402E"/>
    <w:rsid w:val="00B540E8"/>
    <w:rsid w:val="00B560A9"/>
    <w:rsid w:val="00B56866"/>
    <w:rsid w:val="00B57E53"/>
    <w:rsid w:val="00B604BB"/>
    <w:rsid w:val="00B6062A"/>
    <w:rsid w:val="00B60A96"/>
    <w:rsid w:val="00B60DD7"/>
    <w:rsid w:val="00B60EB6"/>
    <w:rsid w:val="00B60EE5"/>
    <w:rsid w:val="00B6386F"/>
    <w:rsid w:val="00B664BB"/>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87C84"/>
    <w:rsid w:val="00B90351"/>
    <w:rsid w:val="00B906F2"/>
    <w:rsid w:val="00B90D9B"/>
    <w:rsid w:val="00B91259"/>
    <w:rsid w:val="00B91B81"/>
    <w:rsid w:val="00B91FF0"/>
    <w:rsid w:val="00B92FFF"/>
    <w:rsid w:val="00B9492E"/>
    <w:rsid w:val="00B96394"/>
    <w:rsid w:val="00B96799"/>
    <w:rsid w:val="00B96DE5"/>
    <w:rsid w:val="00B97A76"/>
    <w:rsid w:val="00BA0166"/>
    <w:rsid w:val="00BA0584"/>
    <w:rsid w:val="00BA249D"/>
    <w:rsid w:val="00BA4D00"/>
    <w:rsid w:val="00BA5665"/>
    <w:rsid w:val="00BB0AB5"/>
    <w:rsid w:val="00BB195B"/>
    <w:rsid w:val="00BB33E9"/>
    <w:rsid w:val="00BB34B7"/>
    <w:rsid w:val="00BB360B"/>
    <w:rsid w:val="00BB3BE4"/>
    <w:rsid w:val="00BB44DB"/>
    <w:rsid w:val="00BB57D3"/>
    <w:rsid w:val="00BB58EE"/>
    <w:rsid w:val="00BB5EE9"/>
    <w:rsid w:val="00BB64EC"/>
    <w:rsid w:val="00BB67DD"/>
    <w:rsid w:val="00BB7589"/>
    <w:rsid w:val="00BC077E"/>
    <w:rsid w:val="00BC1F5F"/>
    <w:rsid w:val="00BC21BE"/>
    <w:rsid w:val="00BC2465"/>
    <w:rsid w:val="00BC3E36"/>
    <w:rsid w:val="00BC4CE8"/>
    <w:rsid w:val="00BC4D54"/>
    <w:rsid w:val="00BC61A0"/>
    <w:rsid w:val="00BC7632"/>
    <w:rsid w:val="00BC7C9E"/>
    <w:rsid w:val="00BD1E79"/>
    <w:rsid w:val="00BD23A5"/>
    <w:rsid w:val="00BD2937"/>
    <w:rsid w:val="00BD2AFC"/>
    <w:rsid w:val="00BD2CD4"/>
    <w:rsid w:val="00BD330C"/>
    <w:rsid w:val="00BD3379"/>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857"/>
    <w:rsid w:val="00BF090A"/>
    <w:rsid w:val="00BF2001"/>
    <w:rsid w:val="00BF2575"/>
    <w:rsid w:val="00BF31A0"/>
    <w:rsid w:val="00BF3F0A"/>
    <w:rsid w:val="00BF4E35"/>
    <w:rsid w:val="00BF7B9B"/>
    <w:rsid w:val="00C0083F"/>
    <w:rsid w:val="00C00976"/>
    <w:rsid w:val="00C00A7D"/>
    <w:rsid w:val="00C020CD"/>
    <w:rsid w:val="00C02DDE"/>
    <w:rsid w:val="00C0367B"/>
    <w:rsid w:val="00C04E51"/>
    <w:rsid w:val="00C05AF9"/>
    <w:rsid w:val="00C060A3"/>
    <w:rsid w:val="00C060B0"/>
    <w:rsid w:val="00C072F0"/>
    <w:rsid w:val="00C07344"/>
    <w:rsid w:val="00C079A3"/>
    <w:rsid w:val="00C07C1F"/>
    <w:rsid w:val="00C07FC8"/>
    <w:rsid w:val="00C10135"/>
    <w:rsid w:val="00C11A79"/>
    <w:rsid w:val="00C13607"/>
    <w:rsid w:val="00C137B1"/>
    <w:rsid w:val="00C13B43"/>
    <w:rsid w:val="00C14F1F"/>
    <w:rsid w:val="00C15E81"/>
    <w:rsid w:val="00C174C9"/>
    <w:rsid w:val="00C17B6E"/>
    <w:rsid w:val="00C20754"/>
    <w:rsid w:val="00C220A5"/>
    <w:rsid w:val="00C22307"/>
    <w:rsid w:val="00C22BB2"/>
    <w:rsid w:val="00C22EAF"/>
    <w:rsid w:val="00C23150"/>
    <w:rsid w:val="00C24908"/>
    <w:rsid w:val="00C250E8"/>
    <w:rsid w:val="00C2515F"/>
    <w:rsid w:val="00C252CB"/>
    <w:rsid w:val="00C26AEA"/>
    <w:rsid w:val="00C276EC"/>
    <w:rsid w:val="00C27C0A"/>
    <w:rsid w:val="00C31AD4"/>
    <w:rsid w:val="00C31C63"/>
    <w:rsid w:val="00C32481"/>
    <w:rsid w:val="00C3394C"/>
    <w:rsid w:val="00C34581"/>
    <w:rsid w:val="00C34AD7"/>
    <w:rsid w:val="00C3516D"/>
    <w:rsid w:val="00C35F75"/>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755"/>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4C1"/>
    <w:rsid w:val="00C66CE8"/>
    <w:rsid w:val="00C702B2"/>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87212"/>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38D"/>
    <w:rsid w:val="00CA6FDA"/>
    <w:rsid w:val="00CA77CF"/>
    <w:rsid w:val="00CA7B58"/>
    <w:rsid w:val="00CB2518"/>
    <w:rsid w:val="00CB3920"/>
    <w:rsid w:val="00CB6413"/>
    <w:rsid w:val="00CB696F"/>
    <w:rsid w:val="00CC0F1C"/>
    <w:rsid w:val="00CC299A"/>
    <w:rsid w:val="00CC2DB0"/>
    <w:rsid w:val="00CC32B7"/>
    <w:rsid w:val="00CC36DE"/>
    <w:rsid w:val="00CC4F99"/>
    <w:rsid w:val="00CC5FC3"/>
    <w:rsid w:val="00CC6369"/>
    <w:rsid w:val="00CC65D6"/>
    <w:rsid w:val="00CC73F3"/>
    <w:rsid w:val="00CD081C"/>
    <w:rsid w:val="00CD1B5A"/>
    <w:rsid w:val="00CD1E9C"/>
    <w:rsid w:val="00CD2188"/>
    <w:rsid w:val="00CD27DB"/>
    <w:rsid w:val="00CD2E70"/>
    <w:rsid w:val="00CD34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9EC"/>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5AE"/>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4D06"/>
    <w:rsid w:val="00D6568E"/>
    <w:rsid w:val="00D65893"/>
    <w:rsid w:val="00D658EC"/>
    <w:rsid w:val="00D6742A"/>
    <w:rsid w:val="00D67B9B"/>
    <w:rsid w:val="00D71733"/>
    <w:rsid w:val="00D718AC"/>
    <w:rsid w:val="00D719A3"/>
    <w:rsid w:val="00D7302F"/>
    <w:rsid w:val="00D74D14"/>
    <w:rsid w:val="00D752E7"/>
    <w:rsid w:val="00D7574B"/>
    <w:rsid w:val="00D75E82"/>
    <w:rsid w:val="00D769C5"/>
    <w:rsid w:val="00D76E76"/>
    <w:rsid w:val="00D80631"/>
    <w:rsid w:val="00D818EC"/>
    <w:rsid w:val="00D81A20"/>
    <w:rsid w:val="00D81F55"/>
    <w:rsid w:val="00D8321A"/>
    <w:rsid w:val="00D85152"/>
    <w:rsid w:val="00D85F2C"/>
    <w:rsid w:val="00D861BD"/>
    <w:rsid w:val="00D86866"/>
    <w:rsid w:val="00D86D55"/>
    <w:rsid w:val="00D8789C"/>
    <w:rsid w:val="00D87B3F"/>
    <w:rsid w:val="00D9003D"/>
    <w:rsid w:val="00D90558"/>
    <w:rsid w:val="00D914EB"/>
    <w:rsid w:val="00D93776"/>
    <w:rsid w:val="00D94085"/>
    <w:rsid w:val="00D96D4F"/>
    <w:rsid w:val="00DA1806"/>
    <w:rsid w:val="00DA212B"/>
    <w:rsid w:val="00DA3A76"/>
    <w:rsid w:val="00DA73C1"/>
    <w:rsid w:val="00DA770D"/>
    <w:rsid w:val="00DA7851"/>
    <w:rsid w:val="00DA7DC1"/>
    <w:rsid w:val="00DA7FD5"/>
    <w:rsid w:val="00DB00EE"/>
    <w:rsid w:val="00DB0132"/>
    <w:rsid w:val="00DB23FC"/>
    <w:rsid w:val="00DB2412"/>
    <w:rsid w:val="00DB3687"/>
    <w:rsid w:val="00DB38D1"/>
    <w:rsid w:val="00DB444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06D2"/>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0719A"/>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5F7"/>
    <w:rsid w:val="00E26649"/>
    <w:rsid w:val="00E26AEF"/>
    <w:rsid w:val="00E27F0A"/>
    <w:rsid w:val="00E30348"/>
    <w:rsid w:val="00E309B0"/>
    <w:rsid w:val="00E3101C"/>
    <w:rsid w:val="00E326E9"/>
    <w:rsid w:val="00E352C3"/>
    <w:rsid w:val="00E35476"/>
    <w:rsid w:val="00E359A5"/>
    <w:rsid w:val="00E37212"/>
    <w:rsid w:val="00E372F7"/>
    <w:rsid w:val="00E37DC0"/>
    <w:rsid w:val="00E37EC6"/>
    <w:rsid w:val="00E40432"/>
    <w:rsid w:val="00E40850"/>
    <w:rsid w:val="00E40D52"/>
    <w:rsid w:val="00E41451"/>
    <w:rsid w:val="00E41585"/>
    <w:rsid w:val="00E4220D"/>
    <w:rsid w:val="00E4231E"/>
    <w:rsid w:val="00E42537"/>
    <w:rsid w:val="00E4279A"/>
    <w:rsid w:val="00E42C97"/>
    <w:rsid w:val="00E42E35"/>
    <w:rsid w:val="00E44AC7"/>
    <w:rsid w:val="00E45B2D"/>
    <w:rsid w:val="00E4639C"/>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666"/>
    <w:rsid w:val="00E607E5"/>
    <w:rsid w:val="00E60A16"/>
    <w:rsid w:val="00E610CB"/>
    <w:rsid w:val="00E6125B"/>
    <w:rsid w:val="00E6170A"/>
    <w:rsid w:val="00E62ADF"/>
    <w:rsid w:val="00E62FA7"/>
    <w:rsid w:val="00E63531"/>
    <w:rsid w:val="00E637A3"/>
    <w:rsid w:val="00E64390"/>
    <w:rsid w:val="00E659FD"/>
    <w:rsid w:val="00E65B0C"/>
    <w:rsid w:val="00E66BA2"/>
    <w:rsid w:val="00E677DB"/>
    <w:rsid w:val="00E700F8"/>
    <w:rsid w:val="00E71C2D"/>
    <w:rsid w:val="00E7266C"/>
    <w:rsid w:val="00E72BB6"/>
    <w:rsid w:val="00E75F1D"/>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1FC7"/>
    <w:rsid w:val="00E92C96"/>
    <w:rsid w:val="00E93059"/>
    <w:rsid w:val="00E942B8"/>
    <w:rsid w:val="00E944ED"/>
    <w:rsid w:val="00E945AF"/>
    <w:rsid w:val="00E94A0B"/>
    <w:rsid w:val="00E94A2C"/>
    <w:rsid w:val="00E95799"/>
    <w:rsid w:val="00E9683D"/>
    <w:rsid w:val="00E970B7"/>
    <w:rsid w:val="00E970C2"/>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64B1"/>
    <w:rsid w:val="00EB672F"/>
    <w:rsid w:val="00EB7352"/>
    <w:rsid w:val="00EB769A"/>
    <w:rsid w:val="00EC11E4"/>
    <w:rsid w:val="00EC14E1"/>
    <w:rsid w:val="00EC2A3F"/>
    <w:rsid w:val="00EC2E64"/>
    <w:rsid w:val="00EC3A35"/>
    <w:rsid w:val="00EC3E69"/>
    <w:rsid w:val="00EC4EAF"/>
    <w:rsid w:val="00EC5554"/>
    <w:rsid w:val="00EC5B8E"/>
    <w:rsid w:val="00EC7356"/>
    <w:rsid w:val="00EC75F6"/>
    <w:rsid w:val="00ED0065"/>
    <w:rsid w:val="00ED353D"/>
    <w:rsid w:val="00ED3B1C"/>
    <w:rsid w:val="00ED588C"/>
    <w:rsid w:val="00ED67B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1474"/>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7D37"/>
    <w:rsid w:val="00F400E3"/>
    <w:rsid w:val="00F40876"/>
    <w:rsid w:val="00F44642"/>
    <w:rsid w:val="00F454A2"/>
    <w:rsid w:val="00F45E89"/>
    <w:rsid w:val="00F47845"/>
    <w:rsid w:val="00F47B6C"/>
    <w:rsid w:val="00F50102"/>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10A9"/>
    <w:rsid w:val="00F617BE"/>
    <w:rsid w:val="00F61C7A"/>
    <w:rsid w:val="00F625F7"/>
    <w:rsid w:val="00F63A5C"/>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49F"/>
    <w:rsid w:val="00F7365E"/>
    <w:rsid w:val="00F737A4"/>
    <w:rsid w:val="00F75206"/>
    <w:rsid w:val="00F75481"/>
    <w:rsid w:val="00F76A4C"/>
    <w:rsid w:val="00F80F00"/>
    <w:rsid w:val="00F82E2E"/>
    <w:rsid w:val="00F83601"/>
    <w:rsid w:val="00F837E6"/>
    <w:rsid w:val="00F8389A"/>
    <w:rsid w:val="00F83AE9"/>
    <w:rsid w:val="00F84196"/>
    <w:rsid w:val="00F843D4"/>
    <w:rsid w:val="00F84A40"/>
    <w:rsid w:val="00F84DBD"/>
    <w:rsid w:val="00F8516E"/>
    <w:rsid w:val="00F85287"/>
    <w:rsid w:val="00F85C0D"/>
    <w:rsid w:val="00F86741"/>
    <w:rsid w:val="00F86796"/>
    <w:rsid w:val="00F87C5B"/>
    <w:rsid w:val="00F87FEA"/>
    <w:rsid w:val="00F90613"/>
    <w:rsid w:val="00F906F4"/>
    <w:rsid w:val="00F915F3"/>
    <w:rsid w:val="00F91800"/>
    <w:rsid w:val="00F91853"/>
    <w:rsid w:val="00F91987"/>
    <w:rsid w:val="00F9208E"/>
    <w:rsid w:val="00F92571"/>
    <w:rsid w:val="00F92CAE"/>
    <w:rsid w:val="00F93CAE"/>
    <w:rsid w:val="00F95439"/>
    <w:rsid w:val="00F95CCE"/>
    <w:rsid w:val="00F9692D"/>
    <w:rsid w:val="00F978BE"/>
    <w:rsid w:val="00F97D7B"/>
    <w:rsid w:val="00FA0F71"/>
    <w:rsid w:val="00FA3A97"/>
    <w:rsid w:val="00FA3AEA"/>
    <w:rsid w:val="00FA4219"/>
    <w:rsid w:val="00FA48C7"/>
    <w:rsid w:val="00FA54FF"/>
    <w:rsid w:val="00FA5570"/>
    <w:rsid w:val="00FA5C0B"/>
    <w:rsid w:val="00FA5D92"/>
    <w:rsid w:val="00FA70F5"/>
    <w:rsid w:val="00FA7902"/>
    <w:rsid w:val="00FB005D"/>
    <w:rsid w:val="00FB173C"/>
    <w:rsid w:val="00FB183E"/>
    <w:rsid w:val="00FB1D54"/>
    <w:rsid w:val="00FB3363"/>
    <w:rsid w:val="00FB4048"/>
    <w:rsid w:val="00FB4629"/>
    <w:rsid w:val="00FB577F"/>
    <w:rsid w:val="00FB5FC4"/>
    <w:rsid w:val="00FB6A07"/>
    <w:rsid w:val="00FB6FB1"/>
    <w:rsid w:val="00FB7460"/>
    <w:rsid w:val="00FB7A10"/>
    <w:rsid w:val="00FC0F81"/>
    <w:rsid w:val="00FC3798"/>
    <w:rsid w:val="00FC45B3"/>
    <w:rsid w:val="00FC4951"/>
    <w:rsid w:val="00FC6D4E"/>
    <w:rsid w:val="00FC7073"/>
    <w:rsid w:val="00FC736F"/>
    <w:rsid w:val="00FD0CDB"/>
    <w:rsid w:val="00FD1FA7"/>
    <w:rsid w:val="00FD2D42"/>
    <w:rsid w:val="00FD30B5"/>
    <w:rsid w:val="00FD3453"/>
    <w:rsid w:val="00FD39CF"/>
    <w:rsid w:val="00FD4D84"/>
    <w:rsid w:val="00FD55DE"/>
    <w:rsid w:val="00FD58F5"/>
    <w:rsid w:val="00FD754C"/>
    <w:rsid w:val="00FE0DAE"/>
    <w:rsid w:val="00FE1370"/>
    <w:rsid w:val="00FE1510"/>
    <w:rsid w:val="00FE2121"/>
    <w:rsid w:val="00FE254A"/>
    <w:rsid w:val="00FE321B"/>
    <w:rsid w:val="00FE3D07"/>
    <w:rsid w:val="00FE4B6F"/>
    <w:rsid w:val="00FE6818"/>
    <w:rsid w:val="00FF0CF5"/>
    <w:rsid w:val="00FF0D6F"/>
    <w:rsid w:val="00FF1103"/>
    <w:rsid w:val="00FF1397"/>
    <w:rsid w:val="00FF1712"/>
    <w:rsid w:val="00FF37DC"/>
    <w:rsid w:val="00FF37F2"/>
    <w:rsid w:val="00FF5B3C"/>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semiHidden/>
    <w:unhideWhenUsed/>
    <w:qFormat/>
    <w:rsid w:val="009727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semiHidden/>
    <w:rsid w:val="009727DB"/>
    <w:rPr>
      <w:rFonts w:asciiTheme="majorHAnsi" w:eastAsiaTheme="majorEastAsia" w:hAnsiTheme="majorHAnsi" w:cstheme="majorBidi"/>
      <w:color w:val="1F3763" w:themeColor="accent1" w:themeShade="7F"/>
      <w:sz w:val="24"/>
      <w:szCs w:val="24"/>
    </w:rPr>
  </w:style>
  <w:style w:type="character" w:customStyle="1" w:styleId="NormalWebCar">
    <w:name w:val="Normal (Web) Car"/>
    <w:link w:val="NormalWeb"/>
    <w:uiPriority w:val="99"/>
    <w:rsid w:val="00A5566B"/>
    <w:rPr>
      <w:rFonts w:ascii="Times New Roman" w:hAnsi="Times New Roman" w:cs="Times New Roman"/>
      <w:sz w:val="24"/>
      <w:szCs w:val="24"/>
    </w:rPr>
  </w:style>
  <w:style w:type="character" w:customStyle="1" w:styleId="baj">
    <w:name w:val="b_aj"/>
    <w:basedOn w:val="Fuentedeprrafopredeter"/>
    <w:rsid w:val="00A5566B"/>
  </w:style>
  <w:style w:type="character" w:customStyle="1" w:styleId="author-name">
    <w:name w:val="author-name"/>
    <w:basedOn w:val="Fuentedeprrafopredeter"/>
    <w:rsid w:val="00F63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66886253">
      <w:bodyDiv w:val="1"/>
      <w:marLeft w:val="0"/>
      <w:marRight w:val="0"/>
      <w:marTop w:val="0"/>
      <w:marBottom w:val="0"/>
      <w:divBdr>
        <w:top w:val="none" w:sz="0" w:space="0" w:color="auto"/>
        <w:left w:val="none" w:sz="0" w:space="0" w:color="auto"/>
        <w:bottom w:val="none" w:sz="0" w:space="0" w:color="auto"/>
        <w:right w:val="none" w:sz="0" w:space="0" w:color="auto"/>
      </w:divBdr>
    </w:div>
    <w:div w:id="29860691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349029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03382441">
      <w:bodyDiv w:val="1"/>
      <w:marLeft w:val="0"/>
      <w:marRight w:val="0"/>
      <w:marTop w:val="0"/>
      <w:marBottom w:val="0"/>
      <w:divBdr>
        <w:top w:val="none" w:sz="0" w:space="0" w:color="auto"/>
        <w:left w:val="none" w:sz="0" w:space="0" w:color="auto"/>
        <w:bottom w:val="none" w:sz="0" w:space="0" w:color="auto"/>
        <w:right w:val="none" w:sz="0" w:space="0" w:color="auto"/>
      </w:divBdr>
    </w:div>
    <w:div w:id="404229398">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60460168">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628365147">
      <w:bodyDiv w:val="1"/>
      <w:marLeft w:val="0"/>
      <w:marRight w:val="0"/>
      <w:marTop w:val="0"/>
      <w:marBottom w:val="0"/>
      <w:divBdr>
        <w:top w:val="none" w:sz="0" w:space="0" w:color="auto"/>
        <w:left w:val="none" w:sz="0" w:space="0" w:color="auto"/>
        <w:bottom w:val="none" w:sz="0" w:space="0" w:color="auto"/>
        <w:right w:val="none" w:sz="0" w:space="0" w:color="auto"/>
      </w:divBdr>
    </w:div>
    <w:div w:id="650448574">
      <w:bodyDiv w:val="1"/>
      <w:marLeft w:val="0"/>
      <w:marRight w:val="0"/>
      <w:marTop w:val="0"/>
      <w:marBottom w:val="0"/>
      <w:divBdr>
        <w:top w:val="none" w:sz="0" w:space="0" w:color="auto"/>
        <w:left w:val="none" w:sz="0" w:space="0" w:color="auto"/>
        <w:bottom w:val="none" w:sz="0" w:space="0" w:color="auto"/>
        <w:right w:val="none" w:sz="0" w:space="0" w:color="auto"/>
      </w:divBdr>
    </w:div>
    <w:div w:id="662200338">
      <w:bodyDiv w:val="1"/>
      <w:marLeft w:val="0"/>
      <w:marRight w:val="0"/>
      <w:marTop w:val="0"/>
      <w:marBottom w:val="0"/>
      <w:divBdr>
        <w:top w:val="none" w:sz="0" w:space="0" w:color="auto"/>
        <w:left w:val="none" w:sz="0" w:space="0" w:color="auto"/>
        <w:bottom w:val="none" w:sz="0" w:space="0" w:color="auto"/>
        <w:right w:val="none" w:sz="0" w:space="0" w:color="auto"/>
      </w:divBdr>
    </w:div>
    <w:div w:id="768043699">
      <w:bodyDiv w:val="1"/>
      <w:marLeft w:val="0"/>
      <w:marRight w:val="0"/>
      <w:marTop w:val="0"/>
      <w:marBottom w:val="0"/>
      <w:divBdr>
        <w:top w:val="none" w:sz="0" w:space="0" w:color="auto"/>
        <w:left w:val="none" w:sz="0" w:space="0" w:color="auto"/>
        <w:bottom w:val="none" w:sz="0" w:space="0" w:color="auto"/>
        <w:right w:val="none" w:sz="0" w:space="0" w:color="auto"/>
      </w:divBdr>
    </w:div>
    <w:div w:id="833643204">
      <w:bodyDiv w:val="1"/>
      <w:marLeft w:val="0"/>
      <w:marRight w:val="0"/>
      <w:marTop w:val="0"/>
      <w:marBottom w:val="0"/>
      <w:divBdr>
        <w:top w:val="none" w:sz="0" w:space="0" w:color="auto"/>
        <w:left w:val="none" w:sz="0" w:space="0" w:color="auto"/>
        <w:bottom w:val="none" w:sz="0" w:space="0" w:color="auto"/>
        <w:right w:val="none" w:sz="0" w:space="0" w:color="auto"/>
      </w:divBdr>
    </w:div>
    <w:div w:id="871304903">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3420770">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84781202">
      <w:bodyDiv w:val="1"/>
      <w:marLeft w:val="0"/>
      <w:marRight w:val="0"/>
      <w:marTop w:val="0"/>
      <w:marBottom w:val="0"/>
      <w:divBdr>
        <w:top w:val="none" w:sz="0" w:space="0" w:color="auto"/>
        <w:left w:val="none" w:sz="0" w:space="0" w:color="auto"/>
        <w:bottom w:val="none" w:sz="0" w:space="0" w:color="auto"/>
        <w:right w:val="none" w:sz="0" w:space="0" w:color="auto"/>
      </w:divBdr>
    </w:div>
    <w:div w:id="1186014700">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294485145">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02775">
      <w:bodyDiv w:val="1"/>
      <w:marLeft w:val="0"/>
      <w:marRight w:val="0"/>
      <w:marTop w:val="0"/>
      <w:marBottom w:val="0"/>
      <w:divBdr>
        <w:top w:val="none" w:sz="0" w:space="0" w:color="auto"/>
        <w:left w:val="none" w:sz="0" w:space="0" w:color="auto"/>
        <w:bottom w:val="none" w:sz="0" w:space="0" w:color="auto"/>
        <w:right w:val="none" w:sz="0" w:space="0" w:color="auto"/>
      </w:divBdr>
    </w:div>
    <w:div w:id="1472402384">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82396588">
      <w:bodyDiv w:val="1"/>
      <w:marLeft w:val="0"/>
      <w:marRight w:val="0"/>
      <w:marTop w:val="0"/>
      <w:marBottom w:val="0"/>
      <w:divBdr>
        <w:top w:val="none" w:sz="0" w:space="0" w:color="auto"/>
        <w:left w:val="none" w:sz="0" w:space="0" w:color="auto"/>
        <w:bottom w:val="none" w:sz="0" w:space="0" w:color="auto"/>
        <w:right w:val="none" w:sz="0" w:space="0" w:color="auto"/>
      </w:divBdr>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19951327">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480829">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gobierno@pauna-boyaca.gov.co"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5326</TotalTime>
  <Pages>17</Pages>
  <Words>5788</Words>
  <Characters>31838</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37551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Nicolas Andres Guzman Padilla</cp:lastModifiedBy>
  <cp:revision>89</cp:revision>
  <dcterms:created xsi:type="dcterms:W3CDTF">2025-02-21T14:13:00Z</dcterms:created>
  <dcterms:modified xsi:type="dcterms:W3CDTF">2025-06-06T11:08:00Z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