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E666"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bookmarkStart w:id="0" w:name="_Hlk143780582"/>
      <w:r w:rsidRPr="0030751E">
        <w:rPr>
          <w:rFonts w:ascii="Verdana" w:eastAsia="Aptos" w:hAnsi="Verdana" w:cs="Arial"/>
          <w:b/>
          <w:bCs/>
          <w:kern w:val="2"/>
          <w14:ligatures w14:val="standardContextual"/>
        </w:rPr>
        <w:t xml:space="preserve">PRINCIPIO DE PLANEACIÓN – Noción – Estudios previos – Importancia </w:t>
      </w:r>
    </w:p>
    <w:p w14:paraId="4AFEAE6C"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p>
    <w:p w14:paraId="27763722"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  </w:t>
      </w:r>
    </w:p>
    <w:p w14:paraId="7D2DDB48"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p>
    <w:p w14:paraId="63424161"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7FD3198D"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p>
    <w:p w14:paraId="608824F7"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r w:rsidRPr="0030751E">
        <w:rPr>
          <w:rFonts w:ascii="Verdana" w:eastAsia="Aptos" w:hAnsi="Verdana" w:cs="Arial"/>
          <w:b/>
          <w:bCs/>
          <w:kern w:val="2"/>
          <w14:ligatures w14:val="standardContextual"/>
        </w:rPr>
        <w:t>VIGILANCIA DE LOS CONTRATOS ESTATALES – Marco jurídico – Obligación de la entidad – Objetivo</w:t>
      </w:r>
    </w:p>
    <w:p w14:paraId="61FF038D"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p>
    <w:p w14:paraId="0F3820AD"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74A4843"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p>
    <w:p w14:paraId="77C3341D" w14:textId="77777777" w:rsidR="004074D3" w:rsidRPr="0030751E" w:rsidRDefault="004074D3" w:rsidP="004074D3">
      <w:pPr>
        <w:spacing w:after="0" w:line="240" w:lineRule="auto"/>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 las Leyes 1150 de 2007 y 1474 de 2011, complementan el régimen jurídico de la obligación de vigilar la correcta ejecución de los contratos estatales. […]se establecen los límites de la responsabilidad del representante legal ante la delegación de sus funciones en materia contractual y se regula la supervisión y la interventoría de los contratos estatales.</w:t>
      </w:r>
    </w:p>
    <w:p w14:paraId="16B32D74" w14:textId="77777777" w:rsidR="004074D3" w:rsidRPr="0030751E" w:rsidRDefault="004074D3" w:rsidP="004074D3">
      <w:pPr>
        <w:spacing w:after="0" w:line="240" w:lineRule="auto"/>
        <w:jc w:val="both"/>
        <w:rPr>
          <w:rFonts w:ascii="Verdana" w:eastAsia="Aptos" w:hAnsi="Verdana" w:cs="Arial"/>
          <w:kern w:val="2"/>
          <w14:ligatures w14:val="standardContextual"/>
        </w:rPr>
      </w:pPr>
    </w:p>
    <w:p w14:paraId="72E38AC9" w14:textId="77777777" w:rsidR="004074D3" w:rsidRPr="0030751E" w:rsidRDefault="004074D3" w:rsidP="004074D3">
      <w:pPr>
        <w:spacing w:after="0" w:line="240" w:lineRule="auto"/>
        <w:jc w:val="both"/>
        <w:rPr>
          <w:rFonts w:ascii="Verdana" w:eastAsia="Aptos" w:hAnsi="Verdana" w:cs="Arial"/>
          <w:b/>
          <w:bCs/>
          <w:kern w:val="2"/>
          <w14:ligatures w14:val="standardContextual"/>
        </w:rPr>
      </w:pPr>
      <w:r w:rsidRPr="0030751E">
        <w:rPr>
          <w:rFonts w:ascii="Verdana" w:eastAsia="Aptos" w:hAnsi="Verdana" w:cs="Arial"/>
          <w:b/>
          <w:bCs/>
          <w:kern w:val="2"/>
          <w14:ligatures w14:val="standardContextual"/>
        </w:rPr>
        <w:t xml:space="preserve">SUPERVISIÓN E INTERVENTORÍA – Marco jurídico – Finalidad </w:t>
      </w:r>
    </w:p>
    <w:p w14:paraId="1E504472" w14:textId="77777777" w:rsidR="004074D3" w:rsidRPr="0030751E" w:rsidRDefault="004074D3" w:rsidP="004074D3">
      <w:pPr>
        <w:spacing w:after="0" w:line="278" w:lineRule="auto"/>
        <w:jc w:val="both"/>
        <w:rPr>
          <w:rFonts w:ascii="Verdana" w:eastAsia="Aptos" w:hAnsi="Verdana" w:cs="Arial"/>
          <w:b/>
          <w:bCs/>
          <w:kern w:val="2"/>
          <w:sz w:val="20"/>
          <w:szCs w:val="20"/>
          <w14:ligatures w14:val="standardContextual"/>
        </w:rPr>
      </w:pPr>
    </w:p>
    <w:p w14:paraId="085E93F9" w14:textId="77777777" w:rsidR="004074D3" w:rsidRPr="0030751E" w:rsidRDefault="004074D3" w:rsidP="004074D3">
      <w:pPr>
        <w:spacing w:after="0"/>
        <w:jc w:val="both"/>
        <w:rPr>
          <w:rFonts w:ascii="Verdana" w:eastAsia="Aptos" w:hAnsi="Verdana" w:cs="Arial"/>
          <w:kern w:val="2"/>
          <w:sz w:val="20"/>
          <w:szCs w:val="20"/>
          <w14:ligatures w14:val="standardContextual"/>
        </w:rPr>
      </w:pPr>
      <w:r w:rsidRPr="0030751E">
        <w:rPr>
          <w:rFonts w:ascii="Verdana" w:eastAsia="Aptos" w:hAnsi="Verdana" w:cs="Arial"/>
          <w:kern w:val="2"/>
          <w:sz w:val="20"/>
          <w:szCs w:val="20"/>
          <w14:ligatures w14:val="standardContextual"/>
        </w:rPr>
        <w:t xml:space="preserve">[…]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w:t>
      </w:r>
      <w:r w:rsidRPr="0030751E">
        <w:rPr>
          <w:rFonts w:ascii="Verdana" w:eastAsia="Aptos" w:hAnsi="Verdana" w:cs="Arial"/>
          <w:kern w:val="2"/>
          <w:sz w:val="20"/>
          <w:szCs w:val="20"/>
          <w14:ligatures w14:val="standardContextual"/>
        </w:rPr>
        <w:lastRenderedPageBreak/>
        <w:t>correcta ejecución del objeto contratado a través de un supervisor o un interventor, según corresponda”.</w:t>
      </w:r>
    </w:p>
    <w:p w14:paraId="2F5F60AB" w14:textId="77777777" w:rsidR="004074D3" w:rsidRPr="0030751E" w:rsidRDefault="004074D3" w:rsidP="004074D3">
      <w:pPr>
        <w:spacing w:after="0" w:line="240" w:lineRule="auto"/>
        <w:rPr>
          <w:rFonts w:ascii="Verdana" w:eastAsia="Aptos" w:hAnsi="Verdana" w:cs="Times New Roman"/>
          <w:sz w:val="20"/>
          <w:szCs w:val="20"/>
        </w:rPr>
      </w:pPr>
    </w:p>
    <w:p w14:paraId="790C5636" w14:textId="77777777" w:rsidR="004074D3" w:rsidRPr="0030751E" w:rsidRDefault="004074D3" w:rsidP="004074D3">
      <w:pPr>
        <w:spacing w:after="0" w:line="240" w:lineRule="auto"/>
        <w:jc w:val="both"/>
        <w:rPr>
          <w:rFonts w:ascii="Verdana" w:eastAsia="Calibri" w:hAnsi="Verdana" w:cs="Arial"/>
          <w:b/>
          <w:bCs/>
          <w:lang w:val="es-ES_tradnl" w:eastAsia="es-ES_tradnl"/>
        </w:rPr>
      </w:pPr>
      <w:r w:rsidRPr="0030751E">
        <w:rPr>
          <w:rFonts w:ascii="Verdana" w:eastAsia="Calibri" w:hAnsi="Verdana" w:cs="Arial"/>
          <w:b/>
          <w:bCs/>
          <w:lang w:val="es-ES_tradnl" w:eastAsia="es-ES_tradnl"/>
        </w:rPr>
        <w:t>DECLARATORIA DEL INCUMPLIMIENTO DEL CONTRATO – Obligaciones el supervisor e interventor – Facultad de la entidad</w:t>
      </w:r>
    </w:p>
    <w:p w14:paraId="69544A81" w14:textId="77777777" w:rsidR="004074D3" w:rsidRPr="0030751E" w:rsidRDefault="004074D3" w:rsidP="004074D3">
      <w:pPr>
        <w:spacing w:after="0" w:line="240" w:lineRule="auto"/>
        <w:jc w:val="both"/>
        <w:rPr>
          <w:rFonts w:ascii="Verdana" w:eastAsia="Calibri" w:hAnsi="Verdana" w:cs="Arial"/>
          <w:sz w:val="20"/>
          <w:szCs w:val="20"/>
          <w:lang w:val="es-ES" w:eastAsia="es-ES"/>
        </w:rPr>
      </w:pPr>
    </w:p>
    <w:p w14:paraId="61BB1E7D" w14:textId="77777777" w:rsidR="004074D3" w:rsidRPr="0030751E" w:rsidRDefault="004074D3" w:rsidP="004074D3">
      <w:pPr>
        <w:spacing w:after="0" w:line="240" w:lineRule="auto"/>
        <w:jc w:val="both"/>
        <w:rPr>
          <w:rFonts w:ascii="Verdana" w:eastAsia="Calibri" w:hAnsi="Verdana" w:cs="Arial"/>
          <w:sz w:val="20"/>
          <w:szCs w:val="20"/>
          <w:lang w:val="es-ES" w:eastAsia="es-ES"/>
        </w:rPr>
      </w:pPr>
      <w:r w:rsidRPr="0030751E">
        <w:rPr>
          <w:rFonts w:ascii="Verdana" w:eastAsia="Calibri" w:hAnsi="Verdana" w:cs="Arial"/>
          <w:sz w:val="20"/>
          <w:szCs w:val="20"/>
          <w:lang w:val="es-ES" w:eastAsia="es-ES"/>
        </w:rPr>
        <w:t>Respecto de tales obligaciones, se tiene que el inciso segundo de la norma referida, establece entre otros aspectos, que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Estatuto General de Contratación de la Administración Pública, en adelante EGCAP, y en observancia de las reglas dispuestas en el artículo 86 de la Ley 1474 de 2011.</w:t>
      </w:r>
    </w:p>
    <w:p w14:paraId="628D8344" w14:textId="77777777" w:rsidR="004074D3" w:rsidRPr="0030751E" w:rsidRDefault="004074D3" w:rsidP="004074D3">
      <w:pPr>
        <w:spacing w:after="0" w:line="240" w:lineRule="auto"/>
        <w:rPr>
          <w:rFonts w:ascii="Verdana" w:eastAsia="Aptos" w:hAnsi="Verdana" w:cs="Times New Roman"/>
          <w:sz w:val="20"/>
          <w:szCs w:val="20"/>
        </w:rPr>
      </w:pPr>
    </w:p>
    <w:p w14:paraId="69F1AA15" w14:textId="77777777" w:rsidR="004074D3" w:rsidRPr="0030751E" w:rsidRDefault="004074D3" w:rsidP="004074D3">
      <w:pPr>
        <w:spacing w:after="0" w:line="240" w:lineRule="auto"/>
        <w:rPr>
          <w:rFonts w:ascii="Verdana" w:eastAsia="Aptos" w:hAnsi="Verdana" w:cs="Times New Roman"/>
          <w:sz w:val="20"/>
          <w:szCs w:val="20"/>
        </w:rPr>
      </w:pPr>
    </w:p>
    <w:p w14:paraId="7716D46C" w14:textId="77777777" w:rsidR="004074D3" w:rsidRPr="0030751E" w:rsidRDefault="004074D3" w:rsidP="004074D3">
      <w:pPr>
        <w:spacing w:after="0" w:line="240" w:lineRule="auto"/>
        <w:rPr>
          <w:rFonts w:ascii="Verdana" w:eastAsia="Aptos" w:hAnsi="Verdana" w:cs="Times New Roman"/>
          <w:sz w:val="20"/>
          <w:szCs w:val="20"/>
        </w:rPr>
      </w:pPr>
    </w:p>
    <w:p w14:paraId="41E0298C" w14:textId="77777777" w:rsidR="004074D3" w:rsidRPr="0030751E" w:rsidRDefault="004074D3" w:rsidP="004074D3">
      <w:pPr>
        <w:spacing w:after="0" w:line="240" w:lineRule="auto"/>
        <w:rPr>
          <w:rFonts w:ascii="Verdana" w:eastAsia="Aptos" w:hAnsi="Verdana" w:cs="Times New Roman"/>
          <w:sz w:val="20"/>
          <w:szCs w:val="20"/>
        </w:rPr>
      </w:pPr>
    </w:p>
    <w:p w14:paraId="4FA6B281" w14:textId="77777777" w:rsidR="004074D3" w:rsidRPr="0030751E" w:rsidRDefault="004074D3" w:rsidP="004074D3">
      <w:pPr>
        <w:spacing w:after="0" w:line="240" w:lineRule="auto"/>
        <w:rPr>
          <w:rFonts w:ascii="Verdana" w:eastAsia="Aptos" w:hAnsi="Verdana" w:cs="Times New Roman"/>
          <w:sz w:val="20"/>
          <w:szCs w:val="20"/>
        </w:rPr>
      </w:pPr>
    </w:p>
    <w:p w14:paraId="491AE61D" w14:textId="77777777" w:rsidR="004074D3" w:rsidRPr="0030751E" w:rsidRDefault="004074D3" w:rsidP="004074D3">
      <w:pPr>
        <w:spacing w:after="0" w:line="240" w:lineRule="auto"/>
        <w:rPr>
          <w:rFonts w:ascii="Verdana" w:eastAsia="Aptos" w:hAnsi="Verdana" w:cs="Times New Roman"/>
          <w:sz w:val="20"/>
          <w:szCs w:val="20"/>
        </w:rPr>
      </w:pPr>
    </w:p>
    <w:p w14:paraId="27FACBEA" w14:textId="77777777" w:rsidR="004074D3" w:rsidRPr="0030751E" w:rsidRDefault="004074D3" w:rsidP="004074D3">
      <w:pPr>
        <w:spacing w:after="0" w:line="240" w:lineRule="auto"/>
        <w:rPr>
          <w:rFonts w:ascii="Verdana" w:eastAsia="Aptos" w:hAnsi="Verdana" w:cs="Times New Roman"/>
          <w:sz w:val="20"/>
          <w:szCs w:val="20"/>
        </w:rPr>
      </w:pPr>
    </w:p>
    <w:p w14:paraId="5B6DA0A1" w14:textId="77777777" w:rsidR="004074D3" w:rsidRPr="0030751E" w:rsidRDefault="004074D3" w:rsidP="004074D3">
      <w:pPr>
        <w:spacing w:after="0" w:line="240" w:lineRule="auto"/>
        <w:rPr>
          <w:rFonts w:ascii="Verdana" w:eastAsia="Aptos" w:hAnsi="Verdana" w:cs="Times New Roman"/>
          <w:sz w:val="20"/>
          <w:szCs w:val="20"/>
        </w:rPr>
      </w:pPr>
    </w:p>
    <w:p w14:paraId="17B82B6A" w14:textId="77777777" w:rsidR="004074D3" w:rsidRPr="0030751E" w:rsidRDefault="004074D3" w:rsidP="004074D3">
      <w:pPr>
        <w:spacing w:after="0" w:line="240" w:lineRule="auto"/>
        <w:rPr>
          <w:rFonts w:ascii="Verdana" w:eastAsia="Aptos" w:hAnsi="Verdana" w:cs="Times New Roman"/>
          <w:sz w:val="20"/>
          <w:szCs w:val="20"/>
        </w:rPr>
      </w:pPr>
    </w:p>
    <w:p w14:paraId="0F663CB4" w14:textId="77777777" w:rsidR="004074D3" w:rsidRPr="0030751E" w:rsidRDefault="004074D3" w:rsidP="004074D3">
      <w:pPr>
        <w:spacing w:after="0" w:line="240" w:lineRule="auto"/>
        <w:rPr>
          <w:rFonts w:ascii="Verdana" w:eastAsia="Aptos" w:hAnsi="Verdana" w:cs="Times New Roman"/>
          <w:sz w:val="20"/>
          <w:szCs w:val="20"/>
        </w:rPr>
      </w:pPr>
    </w:p>
    <w:p w14:paraId="60338BE6" w14:textId="77777777" w:rsidR="004074D3" w:rsidRPr="0030751E" w:rsidRDefault="004074D3" w:rsidP="004074D3">
      <w:pPr>
        <w:spacing w:after="0" w:line="240" w:lineRule="auto"/>
        <w:rPr>
          <w:rFonts w:ascii="Verdana" w:eastAsia="Aptos" w:hAnsi="Verdana" w:cs="Times New Roman"/>
          <w:sz w:val="20"/>
          <w:szCs w:val="20"/>
        </w:rPr>
      </w:pPr>
    </w:p>
    <w:p w14:paraId="348ACD79" w14:textId="77777777" w:rsidR="004074D3" w:rsidRPr="0030751E" w:rsidRDefault="004074D3" w:rsidP="004074D3">
      <w:pPr>
        <w:spacing w:after="0" w:line="240" w:lineRule="auto"/>
        <w:rPr>
          <w:rFonts w:ascii="Verdana" w:eastAsia="Aptos" w:hAnsi="Verdana" w:cs="Times New Roman"/>
          <w:sz w:val="20"/>
          <w:szCs w:val="20"/>
        </w:rPr>
      </w:pPr>
    </w:p>
    <w:p w14:paraId="4BF96968" w14:textId="77777777" w:rsidR="004074D3" w:rsidRPr="0030751E" w:rsidRDefault="004074D3" w:rsidP="004074D3">
      <w:pPr>
        <w:spacing w:after="0" w:line="240" w:lineRule="auto"/>
        <w:rPr>
          <w:rFonts w:ascii="Verdana" w:eastAsia="Aptos" w:hAnsi="Verdana" w:cs="Times New Roman"/>
          <w:sz w:val="20"/>
          <w:szCs w:val="20"/>
        </w:rPr>
      </w:pPr>
    </w:p>
    <w:p w14:paraId="3A4D9B70" w14:textId="77777777" w:rsidR="004074D3" w:rsidRPr="0030751E" w:rsidRDefault="004074D3" w:rsidP="004074D3">
      <w:pPr>
        <w:spacing w:after="0" w:line="240" w:lineRule="auto"/>
        <w:rPr>
          <w:rFonts w:ascii="Verdana" w:eastAsia="Aptos" w:hAnsi="Verdana" w:cs="Times New Roman"/>
          <w:sz w:val="20"/>
          <w:szCs w:val="20"/>
        </w:rPr>
      </w:pPr>
    </w:p>
    <w:p w14:paraId="4E50FDAA" w14:textId="77777777" w:rsidR="004074D3" w:rsidRPr="0030751E" w:rsidRDefault="004074D3" w:rsidP="004074D3">
      <w:pPr>
        <w:spacing w:after="0" w:line="240" w:lineRule="auto"/>
        <w:rPr>
          <w:rFonts w:ascii="Verdana" w:eastAsia="Aptos" w:hAnsi="Verdana" w:cs="Times New Roman"/>
          <w:sz w:val="20"/>
          <w:szCs w:val="20"/>
        </w:rPr>
      </w:pPr>
    </w:p>
    <w:p w14:paraId="142044C4" w14:textId="77777777" w:rsidR="004074D3" w:rsidRPr="0030751E" w:rsidRDefault="004074D3" w:rsidP="004074D3">
      <w:pPr>
        <w:spacing w:after="0" w:line="240" w:lineRule="auto"/>
        <w:rPr>
          <w:rFonts w:ascii="Verdana" w:eastAsia="Aptos" w:hAnsi="Verdana" w:cs="Times New Roman"/>
          <w:sz w:val="20"/>
          <w:szCs w:val="20"/>
        </w:rPr>
      </w:pPr>
    </w:p>
    <w:p w14:paraId="34FADD29" w14:textId="77777777" w:rsidR="004074D3" w:rsidRPr="0030751E" w:rsidRDefault="004074D3" w:rsidP="004074D3">
      <w:pPr>
        <w:spacing w:after="0" w:line="240" w:lineRule="auto"/>
        <w:rPr>
          <w:rFonts w:ascii="Verdana" w:eastAsia="Aptos" w:hAnsi="Verdana" w:cs="Times New Roman"/>
          <w:sz w:val="20"/>
          <w:szCs w:val="20"/>
        </w:rPr>
      </w:pPr>
    </w:p>
    <w:p w14:paraId="17032C16" w14:textId="77777777" w:rsidR="004074D3" w:rsidRPr="0030751E" w:rsidRDefault="004074D3" w:rsidP="004074D3">
      <w:pPr>
        <w:spacing w:after="0" w:line="240" w:lineRule="auto"/>
        <w:rPr>
          <w:rFonts w:ascii="Verdana" w:eastAsia="Aptos" w:hAnsi="Verdana" w:cs="Times New Roman"/>
          <w:sz w:val="20"/>
          <w:szCs w:val="20"/>
        </w:rPr>
      </w:pPr>
    </w:p>
    <w:p w14:paraId="6FBF18B0" w14:textId="77777777" w:rsidR="004074D3" w:rsidRPr="0030751E" w:rsidRDefault="004074D3" w:rsidP="004074D3">
      <w:pPr>
        <w:spacing w:after="0" w:line="240" w:lineRule="auto"/>
        <w:rPr>
          <w:rFonts w:ascii="Verdana" w:eastAsia="Aptos" w:hAnsi="Verdana" w:cs="Times New Roman"/>
          <w:sz w:val="20"/>
          <w:szCs w:val="20"/>
        </w:rPr>
      </w:pPr>
    </w:p>
    <w:p w14:paraId="112309D5" w14:textId="77777777" w:rsidR="004074D3" w:rsidRPr="0030751E" w:rsidRDefault="004074D3" w:rsidP="004074D3">
      <w:pPr>
        <w:spacing w:after="0" w:line="240" w:lineRule="auto"/>
        <w:rPr>
          <w:rFonts w:ascii="Verdana" w:eastAsia="Aptos" w:hAnsi="Verdana" w:cs="Times New Roman"/>
          <w:sz w:val="20"/>
          <w:szCs w:val="20"/>
        </w:rPr>
      </w:pPr>
    </w:p>
    <w:p w14:paraId="083CE774" w14:textId="77777777" w:rsidR="004074D3" w:rsidRPr="0030751E" w:rsidRDefault="004074D3" w:rsidP="004074D3">
      <w:pPr>
        <w:spacing w:after="0" w:line="240" w:lineRule="auto"/>
        <w:rPr>
          <w:rFonts w:ascii="Verdana" w:eastAsia="Aptos" w:hAnsi="Verdana" w:cs="Times New Roman"/>
          <w:sz w:val="20"/>
          <w:szCs w:val="20"/>
        </w:rPr>
      </w:pPr>
    </w:p>
    <w:p w14:paraId="23881406" w14:textId="77777777" w:rsidR="004074D3" w:rsidRPr="0030751E" w:rsidRDefault="004074D3" w:rsidP="004074D3">
      <w:pPr>
        <w:spacing w:after="0" w:line="240" w:lineRule="auto"/>
        <w:rPr>
          <w:rFonts w:ascii="Verdana" w:eastAsia="Aptos" w:hAnsi="Verdana" w:cs="Times New Roman"/>
          <w:sz w:val="20"/>
          <w:szCs w:val="20"/>
        </w:rPr>
      </w:pPr>
    </w:p>
    <w:p w14:paraId="3674FD93" w14:textId="77777777" w:rsidR="004074D3" w:rsidRPr="0030751E" w:rsidRDefault="004074D3" w:rsidP="004074D3">
      <w:pPr>
        <w:spacing w:after="0" w:line="240" w:lineRule="auto"/>
        <w:rPr>
          <w:rFonts w:ascii="Verdana" w:eastAsia="Aptos" w:hAnsi="Verdana" w:cs="Times New Roman"/>
          <w:sz w:val="20"/>
          <w:szCs w:val="20"/>
        </w:rPr>
      </w:pPr>
    </w:p>
    <w:p w14:paraId="4130D09C" w14:textId="77777777" w:rsidR="004074D3" w:rsidRPr="0030751E" w:rsidRDefault="004074D3" w:rsidP="004074D3">
      <w:pPr>
        <w:spacing w:after="0" w:line="240" w:lineRule="auto"/>
        <w:rPr>
          <w:rFonts w:ascii="Verdana" w:eastAsia="Aptos" w:hAnsi="Verdana" w:cs="Times New Roman"/>
          <w:sz w:val="20"/>
          <w:szCs w:val="20"/>
        </w:rPr>
      </w:pPr>
    </w:p>
    <w:p w14:paraId="08BFD335" w14:textId="77777777" w:rsidR="004074D3" w:rsidRPr="0030751E" w:rsidRDefault="004074D3" w:rsidP="004074D3">
      <w:pPr>
        <w:spacing w:after="0" w:line="240" w:lineRule="auto"/>
        <w:rPr>
          <w:rFonts w:ascii="Verdana" w:eastAsia="Aptos" w:hAnsi="Verdana" w:cs="Times New Roman"/>
          <w:sz w:val="20"/>
          <w:szCs w:val="20"/>
        </w:rPr>
      </w:pPr>
    </w:p>
    <w:p w14:paraId="42164643" w14:textId="77777777" w:rsidR="004074D3" w:rsidRPr="0030751E" w:rsidRDefault="004074D3" w:rsidP="004074D3">
      <w:pPr>
        <w:spacing w:after="0" w:line="240" w:lineRule="auto"/>
        <w:rPr>
          <w:rFonts w:ascii="Verdana" w:eastAsia="Aptos" w:hAnsi="Verdana" w:cs="Times New Roman"/>
          <w:sz w:val="20"/>
          <w:szCs w:val="20"/>
        </w:rPr>
      </w:pPr>
    </w:p>
    <w:p w14:paraId="6B92400B" w14:textId="77777777" w:rsidR="004074D3" w:rsidRPr="0030751E" w:rsidRDefault="004074D3" w:rsidP="004074D3">
      <w:pPr>
        <w:spacing w:after="0" w:line="240" w:lineRule="auto"/>
        <w:rPr>
          <w:rFonts w:ascii="Verdana" w:eastAsia="Aptos" w:hAnsi="Verdana" w:cs="Times New Roman"/>
          <w:sz w:val="20"/>
          <w:szCs w:val="20"/>
        </w:rPr>
      </w:pPr>
    </w:p>
    <w:p w14:paraId="64AFDFAD" w14:textId="77777777" w:rsidR="004074D3" w:rsidRPr="0030751E" w:rsidRDefault="004074D3" w:rsidP="004074D3">
      <w:pPr>
        <w:spacing w:after="0" w:line="240" w:lineRule="auto"/>
        <w:rPr>
          <w:rFonts w:ascii="Verdana" w:eastAsia="Aptos" w:hAnsi="Verdana" w:cs="Times New Roman"/>
          <w:sz w:val="20"/>
          <w:szCs w:val="20"/>
        </w:rPr>
      </w:pPr>
    </w:p>
    <w:p w14:paraId="4A24EF73" w14:textId="77777777" w:rsidR="004074D3" w:rsidRPr="0030751E" w:rsidRDefault="004074D3" w:rsidP="004074D3">
      <w:pPr>
        <w:spacing w:after="0" w:line="240" w:lineRule="auto"/>
        <w:rPr>
          <w:rFonts w:ascii="Verdana" w:eastAsia="Aptos" w:hAnsi="Verdana" w:cs="Times New Roman"/>
          <w:sz w:val="20"/>
          <w:szCs w:val="20"/>
        </w:rPr>
      </w:pPr>
    </w:p>
    <w:p w14:paraId="0602F56F" w14:textId="110F9676" w:rsidR="004074D3" w:rsidRPr="0030751E" w:rsidRDefault="004074D3" w:rsidP="004074D3">
      <w:pPr>
        <w:spacing w:after="0" w:line="240" w:lineRule="auto"/>
        <w:jc w:val="both"/>
        <w:rPr>
          <w:rFonts w:ascii="Verdana" w:eastAsia="Calibri" w:hAnsi="Verdana" w:cs="Arial"/>
          <w:lang w:val="es-ES"/>
        </w:rPr>
      </w:pPr>
      <w:r w:rsidRPr="0030751E">
        <w:rPr>
          <w:rFonts w:ascii="Verdana" w:eastAsia="Geomanist Light" w:hAnsi="Verdana" w:cs="Arial"/>
          <w:lang w:val="es-MX"/>
        </w:rPr>
        <w:lastRenderedPageBreak/>
        <w:t>Bogotá D.C., </w:t>
      </w:r>
      <w:r w:rsidR="008B29A2">
        <w:rPr>
          <w:rFonts w:ascii="Verdana" w:eastAsia="Geomanist Light" w:hAnsi="Verdana" w:cs="Arial"/>
          <w:lang w:val="es-MX"/>
        </w:rPr>
        <w:t>08 de mayo de 2026</w:t>
      </w:r>
    </w:p>
    <w:p w14:paraId="3A8E50F5" w14:textId="77777777" w:rsidR="004074D3" w:rsidRDefault="004074D3" w:rsidP="004074D3">
      <w:pPr>
        <w:spacing w:after="0" w:line="240" w:lineRule="auto"/>
        <w:jc w:val="right"/>
        <w:rPr>
          <w:rFonts w:ascii="Verdana" w:eastAsia="Calibri" w:hAnsi="Verdana" w:cs="Arial"/>
          <w:lang w:val="es-ES"/>
        </w:rPr>
      </w:pPr>
    </w:p>
    <w:p w14:paraId="3AEF3110" w14:textId="78FF1368" w:rsidR="00BE3128" w:rsidRPr="0030751E" w:rsidRDefault="00BE3128" w:rsidP="004074D3">
      <w:pPr>
        <w:spacing w:after="0" w:line="240" w:lineRule="auto"/>
        <w:jc w:val="right"/>
        <w:rPr>
          <w:rFonts w:ascii="Verdana" w:eastAsia="Calibri" w:hAnsi="Verdana" w:cs="Arial"/>
          <w:lang w:val="es-ES"/>
        </w:rPr>
      </w:pPr>
      <w:r w:rsidRPr="00BE3128">
        <w:rPr>
          <w:rFonts w:ascii="Verdana" w:eastAsia="Calibri" w:hAnsi="Verdana" w:cs="Arial"/>
          <w:lang w:val="es-ES"/>
        </w:rPr>
        <w:drawing>
          <wp:inline distT="0" distB="0" distL="0" distR="0" wp14:anchorId="6C987BC8" wp14:editId="30D1A35D">
            <wp:extent cx="1695687" cy="504895"/>
            <wp:effectExtent l="0" t="0" r="0" b="0"/>
            <wp:docPr id="3543194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19475" name=""/>
                    <pic:cNvPicPr/>
                  </pic:nvPicPr>
                  <pic:blipFill>
                    <a:blip r:embed="rId10"/>
                    <a:stretch>
                      <a:fillRect/>
                    </a:stretch>
                  </pic:blipFill>
                  <pic:spPr>
                    <a:xfrm>
                      <a:off x="0" y="0"/>
                      <a:ext cx="1695687" cy="504895"/>
                    </a:xfrm>
                    <a:prstGeom prst="rect">
                      <a:avLst/>
                    </a:prstGeom>
                  </pic:spPr>
                </pic:pic>
              </a:graphicData>
            </a:graphic>
          </wp:inline>
        </w:drawing>
      </w:r>
    </w:p>
    <w:p w14:paraId="00C4923C" w14:textId="77777777" w:rsidR="004074D3" w:rsidRPr="0030751E" w:rsidRDefault="004074D3" w:rsidP="004074D3">
      <w:pPr>
        <w:spacing w:after="0" w:line="240" w:lineRule="auto"/>
        <w:jc w:val="right"/>
        <w:rPr>
          <w:rFonts w:ascii="Verdana" w:eastAsia="Calibri" w:hAnsi="Verdana" w:cs="Arial"/>
          <w:lang w:val="es-ES"/>
        </w:rPr>
      </w:pPr>
    </w:p>
    <w:p w14:paraId="102AC95D" w14:textId="77777777" w:rsidR="004074D3" w:rsidRPr="0030751E" w:rsidRDefault="004074D3" w:rsidP="004074D3">
      <w:pPr>
        <w:spacing w:after="0" w:line="240" w:lineRule="auto"/>
        <w:jc w:val="both"/>
        <w:rPr>
          <w:rFonts w:ascii="Verdana" w:eastAsia="Calibri" w:hAnsi="Verdana" w:cs="Arial"/>
          <w:lang w:val="es-ES" w:eastAsia="es-ES"/>
        </w:rPr>
      </w:pPr>
      <w:r w:rsidRPr="0030751E">
        <w:rPr>
          <w:rFonts w:ascii="Verdana" w:eastAsia="Calibri" w:hAnsi="Verdana" w:cs="Arial"/>
          <w:lang w:val="es-ES" w:eastAsia="es-ES"/>
        </w:rPr>
        <w:t>Señores</w:t>
      </w:r>
    </w:p>
    <w:p w14:paraId="547BA5CA" w14:textId="77777777" w:rsidR="004074D3" w:rsidRPr="0030751E" w:rsidRDefault="004074D3" w:rsidP="004074D3">
      <w:pPr>
        <w:spacing w:after="0" w:line="240" w:lineRule="auto"/>
        <w:rPr>
          <w:rFonts w:ascii="Verdana" w:eastAsia="Calibri" w:hAnsi="Verdana" w:cs="Arial"/>
          <w:b/>
          <w:lang w:val="es-ES" w:eastAsia="es-ES"/>
        </w:rPr>
      </w:pPr>
      <w:r w:rsidRPr="0030751E">
        <w:rPr>
          <w:rFonts w:ascii="Verdana" w:eastAsia="Calibri" w:hAnsi="Verdana" w:cs="Arial"/>
          <w:b/>
          <w:lang w:val="es-ES" w:eastAsia="es-ES"/>
        </w:rPr>
        <w:t>Sindicato de Empleados del Servicio Público de Empleo</w:t>
      </w:r>
    </w:p>
    <w:p w14:paraId="269413C8" w14:textId="77777777" w:rsidR="004074D3" w:rsidRPr="0030751E" w:rsidRDefault="004074D3" w:rsidP="004074D3">
      <w:pPr>
        <w:spacing w:after="0" w:line="240" w:lineRule="auto"/>
        <w:rPr>
          <w:rFonts w:ascii="Verdana" w:eastAsia="Aptos" w:hAnsi="Verdana" w:cs="Arial"/>
        </w:rPr>
      </w:pPr>
      <w:hyperlink r:id="rId11" w:history="1">
        <w:r w:rsidRPr="0030751E">
          <w:rPr>
            <w:rFonts w:ascii="Verdana" w:eastAsia="Aptos" w:hAnsi="Verdana" w:cs="Arial"/>
            <w:color w:val="0000FF"/>
            <w:u w:val="single"/>
          </w:rPr>
          <w:t>sespe@serviciodeempleo.gov.co</w:t>
        </w:r>
      </w:hyperlink>
      <w:r w:rsidRPr="0030751E">
        <w:rPr>
          <w:rFonts w:ascii="Verdana" w:eastAsia="Aptos" w:hAnsi="Verdana" w:cs="Arial"/>
        </w:rPr>
        <w:t xml:space="preserve"> </w:t>
      </w:r>
    </w:p>
    <w:p w14:paraId="19C7B647" w14:textId="77777777" w:rsidR="004074D3" w:rsidRPr="0030751E" w:rsidRDefault="004074D3" w:rsidP="004074D3">
      <w:pPr>
        <w:spacing w:after="0" w:line="240" w:lineRule="auto"/>
        <w:rPr>
          <w:rFonts w:ascii="Verdana" w:eastAsia="Calibri" w:hAnsi="Verdana" w:cs="Arial"/>
          <w:b/>
          <w:bCs/>
          <w:lang w:val="es-ES" w:eastAsia="es-ES"/>
        </w:rPr>
      </w:pPr>
      <w:r w:rsidRPr="0030751E">
        <w:rPr>
          <w:rFonts w:ascii="Verdana" w:eastAsia="Calibri" w:hAnsi="Verdana" w:cs="Arial"/>
          <w:lang w:val="es-ES" w:eastAsia="es-ES"/>
        </w:rPr>
        <w:t>Ciudad</w:t>
      </w:r>
    </w:p>
    <w:p w14:paraId="1DA8745F" w14:textId="77777777" w:rsidR="004074D3" w:rsidRPr="0030751E" w:rsidRDefault="004074D3" w:rsidP="004074D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074D3" w:rsidRPr="0030751E" w14:paraId="11A0B69B" w14:textId="77777777" w:rsidTr="00A32D40">
        <w:trPr>
          <w:trHeight w:val="308"/>
        </w:trPr>
        <w:tc>
          <w:tcPr>
            <w:tcW w:w="2689" w:type="dxa"/>
          </w:tcPr>
          <w:p w14:paraId="62852B4A" w14:textId="77777777" w:rsidR="004074D3" w:rsidRPr="0030751E" w:rsidRDefault="004074D3" w:rsidP="00A32D40">
            <w:pPr>
              <w:jc w:val="both"/>
              <w:rPr>
                <w:rFonts w:ascii="Verdana" w:eastAsia="Calibri" w:hAnsi="Verdana" w:cs="Arial"/>
                <w:b/>
                <w:bCs/>
                <w:lang w:val="es-ES_tradnl" w:eastAsia="es-ES_tradnl"/>
              </w:rPr>
            </w:pPr>
          </w:p>
        </w:tc>
        <w:tc>
          <w:tcPr>
            <w:tcW w:w="6100" w:type="dxa"/>
          </w:tcPr>
          <w:p w14:paraId="29DA9A5D" w14:textId="77777777" w:rsidR="004074D3" w:rsidRPr="0030751E" w:rsidRDefault="004074D3" w:rsidP="00A32D40">
            <w:pPr>
              <w:jc w:val="both"/>
              <w:rPr>
                <w:rFonts w:ascii="Verdana" w:eastAsia="Calibri" w:hAnsi="Verdana" w:cs="Arial"/>
                <w:b/>
                <w:bCs/>
                <w:lang w:val="es-ES" w:eastAsia="es-ES"/>
              </w:rPr>
            </w:pPr>
            <w:r w:rsidRPr="0030751E">
              <w:rPr>
                <w:rFonts w:ascii="Verdana" w:eastAsia="Calibri" w:hAnsi="Verdana" w:cs="Arial"/>
                <w:b/>
                <w:bCs/>
                <w:lang w:val="es-ES" w:eastAsia="es-ES"/>
              </w:rPr>
              <w:t>Concepto C-500 de 2026</w:t>
            </w:r>
          </w:p>
          <w:p w14:paraId="4260AB84" w14:textId="77777777" w:rsidR="004074D3" w:rsidRPr="0030751E" w:rsidRDefault="004074D3" w:rsidP="00A32D40">
            <w:pPr>
              <w:jc w:val="both"/>
              <w:rPr>
                <w:rFonts w:ascii="Verdana" w:eastAsia="Calibri" w:hAnsi="Verdana" w:cs="Arial"/>
                <w:b/>
                <w:bCs/>
                <w:lang w:val="es-ES" w:eastAsia="es-ES"/>
              </w:rPr>
            </w:pPr>
          </w:p>
        </w:tc>
      </w:tr>
      <w:tr w:rsidR="004074D3" w:rsidRPr="0030751E" w14:paraId="6FB5FBFC" w14:textId="77777777" w:rsidTr="00A32D40">
        <w:trPr>
          <w:trHeight w:val="884"/>
        </w:trPr>
        <w:tc>
          <w:tcPr>
            <w:tcW w:w="2689" w:type="dxa"/>
          </w:tcPr>
          <w:p w14:paraId="5D8A0F01" w14:textId="77777777" w:rsidR="004074D3" w:rsidRPr="0030751E" w:rsidRDefault="004074D3" w:rsidP="00A32D40">
            <w:pPr>
              <w:jc w:val="both"/>
              <w:rPr>
                <w:rFonts w:ascii="Verdana" w:eastAsia="Calibri" w:hAnsi="Verdana" w:cs="Arial"/>
                <w:lang w:val="es-ES_tradnl" w:eastAsia="es-ES_tradnl"/>
              </w:rPr>
            </w:pPr>
            <w:r w:rsidRPr="0030751E">
              <w:rPr>
                <w:rFonts w:ascii="Verdana" w:eastAsia="Calibri" w:hAnsi="Verdana" w:cs="Arial"/>
                <w:b/>
                <w:lang w:val="es-ES_tradnl" w:eastAsia="es-ES_tradnl"/>
              </w:rPr>
              <w:t>Temas:</w:t>
            </w:r>
            <w:r w:rsidRPr="0030751E">
              <w:rPr>
                <w:rFonts w:ascii="Verdana" w:eastAsia="Calibri" w:hAnsi="Verdana" w:cs="Arial"/>
                <w:lang w:val="es-ES_tradnl" w:eastAsia="es-ES_tradnl"/>
              </w:rPr>
              <w:t xml:space="preserve">                   </w:t>
            </w:r>
          </w:p>
        </w:tc>
        <w:tc>
          <w:tcPr>
            <w:tcW w:w="6100" w:type="dxa"/>
          </w:tcPr>
          <w:p w14:paraId="146E8A22" w14:textId="77777777" w:rsidR="004074D3" w:rsidRPr="0030751E" w:rsidRDefault="004074D3" w:rsidP="00A32D40">
            <w:pPr>
              <w:spacing w:line="276" w:lineRule="auto"/>
              <w:jc w:val="both"/>
              <w:rPr>
                <w:rFonts w:ascii="Verdana" w:eastAsia="Calibri" w:hAnsi="Verdana" w:cs="Arial"/>
                <w:lang w:val="es-ES" w:eastAsia="es-ES"/>
              </w:rPr>
            </w:pPr>
            <w:r w:rsidRPr="0030751E">
              <w:rPr>
                <w:rFonts w:ascii="Verdana" w:eastAsia="Calibri" w:hAnsi="Verdana" w:cs="Arial"/>
                <w:lang w:val="es-ES" w:eastAsia="es-ES"/>
              </w:rPr>
              <w:t xml:space="preserve">PRINCIPIO DE PLANEACIÓN – Noción – Estudios previos – Importancia / VIGILANCIA DE LOS CONTRATOS ESTATALES – Marco jurídico – Obligación de la entidad – Objetivo/ SUPERVISIÓN E INTERVENTORÍA – Marco jurídico – Finalidad / DECLARATORIA DEL INCUMPLIMIENTO DEL CONTRATO – Obligaciones el supervisor e interventor – Facultad de la entidad </w:t>
            </w:r>
          </w:p>
        </w:tc>
      </w:tr>
    </w:tbl>
    <w:p w14:paraId="3390F73F" w14:textId="77777777" w:rsidR="004074D3" w:rsidRPr="0030751E" w:rsidRDefault="004074D3" w:rsidP="004074D3">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074D3" w:rsidRPr="0030751E" w14:paraId="5E112F68" w14:textId="77777777" w:rsidTr="00A32D40">
        <w:tc>
          <w:tcPr>
            <w:tcW w:w="2689" w:type="dxa"/>
          </w:tcPr>
          <w:p w14:paraId="5B69F9BC" w14:textId="77777777" w:rsidR="004074D3" w:rsidRPr="0030751E" w:rsidRDefault="004074D3" w:rsidP="00A32D40">
            <w:pPr>
              <w:jc w:val="both"/>
              <w:rPr>
                <w:rFonts w:ascii="Verdana" w:eastAsia="Calibri" w:hAnsi="Verdana" w:cs="Arial"/>
                <w:b/>
                <w:lang w:val="es-ES_tradnl" w:eastAsia="es-ES_tradnl"/>
              </w:rPr>
            </w:pPr>
            <w:r w:rsidRPr="0030751E">
              <w:rPr>
                <w:rFonts w:ascii="Verdana" w:eastAsia="Calibri" w:hAnsi="Verdana" w:cs="Arial"/>
                <w:b/>
                <w:lang w:val="es-ES_tradnl" w:eastAsia="es-ES_tradnl"/>
              </w:rPr>
              <w:t>Radicación:</w:t>
            </w:r>
            <w:r w:rsidRPr="0030751E">
              <w:rPr>
                <w:rFonts w:ascii="Verdana" w:eastAsia="Calibri" w:hAnsi="Verdana" w:cs="Arial"/>
                <w:lang w:val="es-ES_tradnl" w:eastAsia="es-ES_tradnl"/>
              </w:rPr>
              <w:t xml:space="preserve">               </w:t>
            </w:r>
          </w:p>
        </w:tc>
        <w:tc>
          <w:tcPr>
            <w:tcW w:w="6100" w:type="dxa"/>
          </w:tcPr>
          <w:p w14:paraId="0B9E96F0" w14:textId="77777777" w:rsidR="004074D3" w:rsidRPr="0030751E" w:rsidRDefault="004074D3" w:rsidP="00A32D40">
            <w:pPr>
              <w:jc w:val="both"/>
              <w:rPr>
                <w:rFonts w:ascii="Verdana" w:eastAsia="Calibri" w:hAnsi="Verdana" w:cs="Arial"/>
                <w:lang w:val="es-ES_tradnl" w:eastAsia="es-ES_tradnl"/>
              </w:rPr>
            </w:pPr>
            <w:r w:rsidRPr="0030751E">
              <w:rPr>
                <w:rFonts w:ascii="Verdana" w:eastAsia="Calibri" w:hAnsi="Verdana" w:cs="Arial"/>
                <w:lang w:val="es-ES_tradnl" w:eastAsia="es-ES_tradnl"/>
              </w:rPr>
              <w:t>Respuesta a consulta con radicado No. 1_2026_03_26_004197</w:t>
            </w:r>
          </w:p>
        </w:tc>
      </w:tr>
    </w:tbl>
    <w:p w14:paraId="545487CA" w14:textId="77777777" w:rsidR="004074D3" w:rsidRPr="0030751E" w:rsidRDefault="004074D3" w:rsidP="004074D3">
      <w:pPr>
        <w:spacing w:after="0" w:line="240" w:lineRule="auto"/>
        <w:jc w:val="both"/>
        <w:rPr>
          <w:rFonts w:ascii="Verdana" w:eastAsia="Calibri" w:hAnsi="Verdana" w:cs="Arial"/>
          <w:lang w:val="es-ES_tradnl" w:eastAsia="es-ES_tradnl"/>
        </w:rPr>
      </w:pPr>
    </w:p>
    <w:p w14:paraId="49EA3683" w14:textId="77777777" w:rsidR="004074D3" w:rsidRPr="0030751E" w:rsidRDefault="004074D3" w:rsidP="004074D3">
      <w:pPr>
        <w:spacing w:after="0" w:line="240" w:lineRule="auto"/>
        <w:jc w:val="both"/>
        <w:rPr>
          <w:rFonts w:ascii="Verdana" w:eastAsia="Calibri" w:hAnsi="Verdana" w:cs="Arial"/>
          <w:lang w:val="es-ES_tradnl" w:eastAsia="es-ES_tradnl"/>
        </w:rPr>
      </w:pPr>
    </w:p>
    <w:p w14:paraId="393A092C" w14:textId="77777777" w:rsidR="004074D3" w:rsidRPr="0030751E" w:rsidRDefault="004074D3" w:rsidP="004074D3">
      <w:pPr>
        <w:spacing w:after="0" w:line="276" w:lineRule="auto"/>
        <w:jc w:val="both"/>
        <w:rPr>
          <w:rFonts w:ascii="Verdana" w:eastAsia="Calibri" w:hAnsi="Verdana" w:cs="Arial"/>
          <w:lang w:val="es-ES" w:eastAsia="es-ES"/>
        </w:rPr>
      </w:pPr>
      <w:r w:rsidRPr="0030751E">
        <w:rPr>
          <w:rFonts w:ascii="Verdana" w:eastAsia="Calibri" w:hAnsi="Verdana" w:cs="Arial"/>
          <w:lang w:val="es-ES" w:eastAsia="es-ES"/>
        </w:rPr>
        <w:t xml:space="preserve">Estimados Señores: </w:t>
      </w:r>
    </w:p>
    <w:p w14:paraId="027E9EB3" w14:textId="77777777" w:rsidR="004074D3" w:rsidRPr="0030751E" w:rsidRDefault="004074D3" w:rsidP="004074D3">
      <w:pPr>
        <w:tabs>
          <w:tab w:val="left" w:pos="3768"/>
        </w:tabs>
        <w:spacing w:after="0" w:line="276" w:lineRule="auto"/>
        <w:jc w:val="both"/>
        <w:rPr>
          <w:rFonts w:ascii="Verdana" w:eastAsia="Calibri" w:hAnsi="Verdana" w:cs="Arial"/>
          <w:lang w:val="es-ES" w:eastAsia="es-ES"/>
        </w:rPr>
      </w:pPr>
    </w:p>
    <w:p w14:paraId="4E9AF7F7" w14:textId="77777777" w:rsidR="004074D3" w:rsidRPr="0030751E" w:rsidRDefault="004074D3" w:rsidP="004074D3">
      <w:pPr>
        <w:spacing w:after="0" w:line="276" w:lineRule="auto"/>
        <w:jc w:val="both"/>
        <w:rPr>
          <w:rFonts w:ascii="Verdana" w:eastAsia="Calibri" w:hAnsi="Verdana" w:cs="Arial"/>
          <w:lang w:val="es-ES" w:eastAsia="es-ES"/>
        </w:rPr>
      </w:pPr>
      <w:r w:rsidRPr="0030751E">
        <w:rPr>
          <w:rFonts w:ascii="Verdana" w:eastAsia="Calibri" w:hAnsi="Verdana" w:cs="Arial"/>
          <w:lang w:val="es-ES" w:eastAsia="es-ES"/>
        </w:rPr>
        <w:t>En ejercicio de la competencia otorgada por los artículos 3, numeral 5º, y 11, numeral 8º, del Decreto Ley 4170 de 2011,</w:t>
      </w:r>
      <w:r w:rsidRPr="0030751E">
        <w:rPr>
          <w:rFonts w:ascii="Verdana" w:eastAsia="Arial MT" w:hAnsi="Verdana" w:cs="Arial MT"/>
          <w:lang w:val="es-ES" w:eastAsia="es-ES"/>
        </w:rPr>
        <w:t xml:space="preserve"> </w:t>
      </w:r>
      <w:r w:rsidRPr="0030751E">
        <w:rPr>
          <w:rFonts w:ascii="Verdana" w:eastAsia="Aptos" w:hAnsi="Verdana" w:cs="Arial"/>
        </w:rPr>
        <w:t xml:space="preserve">así como lo establecido en el artículo 4 de la Resolución 1707 de 2018 expedida por esta Entidad, </w:t>
      </w:r>
      <w:r w:rsidRPr="0030751E">
        <w:rPr>
          <w:rFonts w:ascii="Verdana" w:eastAsia="Calibri" w:hAnsi="Verdana" w:cs="Arial"/>
          <w:lang w:val="es-ES" w:eastAsia="es-ES"/>
        </w:rPr>
        <w:t xml:space="preserve">la Agencia Nacional de Contratación Pública – Colombia Compra Eficiente– responde su petición del 26 de marzo de 2026, en la que realiza la siguiente consulta: </w:t>
      </w:r>
    </w:p>
    <w:p w14:paraId="2A27AEC1" w14:textId="77777777" w:rsidR="004074D3" w:rsidRPr="0030751E" w:rsidRDefault="004074D3" w:rsidP="004074D3">
      <w:pPr>
        <w:spacing w:after="0" w:line="276" w:lineRule="auto"/>
        <w:jc w:val="both"/>
        <w:rPr>
          <w:rFonts w:ascii="Verdana" w:eastAsia="Calibri" w:hAnsi="Verdana" w:cs="Arial"/>
          <w:lang w:val="es-ES" w:eastAsia="es-ES"/>
        </w:rPr>
      </w:pPr>
    </w:p>
    <w:p w14:paraId="4F67DB6F" w14:textId="77777777" w:rsidR="004074D3" w:rsidRPr="0030751E" w:rsidRDefault="004074D3" w:rsidP="004074D3">
      <w:pPr>
        <w:spacing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“1. Inicio de ejecución contractual y reconocimiento de pagos parciales</w:t>
      </w:r>
    </w:p>
    <w:p w14:paraId="5E5A0970" w14:textId="77777777" w:rsidR="004074D3" w:rsidRPr="0030751E" w:rsidRDefault="004074D3" w:rsidP="004074D3">
      <w:pPr>
        <w:spacing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Se solicita orientación frente a situaciones en las que:</w:t>
      </w:r>
    </w:p>
    <w:p w14:paraId="3F28FEE8"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El contratista cuenta con uno o dos días efectivos de ejecución, sin que sea materialmente claro el alcance real de las actividades desarrollados en ese corto período.</w:t>
      </w:r>
    </w:p>
    <w:p w14:paraId="22C7CF5E"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El supervisor es designado el mismo día de inicio, incluso después del horario laboral, lo que dificulta el control previo de la ejecución.</w:t>
      </w:r>
    </w:p>
    <w:p w14:paraId="666B0EC1" w14:textId="77777777" w:rsidR="004074D3" w:rsidRPr="0030751E" w:rsidRDefault="004074D3" w:rsidP="004074D3">
      <w:pPr>
        <w:spacing w:before="120"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lastRenderedPageBreak/>
        <w:t>2. Certificación de ejecución</w:t>
      </w:r>
    </w:p>
    <w:p w14:paraId="3421F880" w14:textId="77777777" w:rsidR="004074D3" w:rsidRPr="0030751E" w:rsidRDefault="004074D3" w:rsidP="004074D3">
      <w:pPr>
        <w:numPr>
          <w:ilvl w:val="0"/>
          <w:numId w:val="3"/>
        </w:numPr>
        <w:spacing w:before="120"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¿Puede configurarse una falta disciplinaria u otra si se aprueba un pago sin evidencia suficiencia de ejecución real?</w:t>
      </w:r>
    </w:p>
    <w:p w14:paraId="1647200B" w14:textId="77777777" w:rsidR="004074D3" w:rsidRPr="0030751E" w:rsidRDefault="004074D3" w:rsidP="004074D3">
      <w:pPr>
        <w:numPr>
          <w:ilvl w:val="0"/>
          <w:numId w:val="3"/>
        </w:numPr>
        <w:spacing w:before="120"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¿Cuáles son los lineamientos sobre los soportes que deben existir para certificar la ejecución de un contrato de prestación de servicios?</w:t>
      </w:r>
    </w:p>
    <w:p w14:paraId="41A4FBCB" w14:textId="77777777" w:rsidR="004074D3" w:rsidRPr="0030751E" w:rsidRDefault="004074D3" w:rsidP="004074D3">
      <w:pPr>
        <w:spacing w:before="120"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3. Incumplimiento contractual: deberes de los servicios públicos que no son supervisores</w:t>
      </w:r>
    </w:p>
    <w:p w14:paraId="715C849E" w14:textId="77777777" w:rsidR="004074D3" w:rsidRPr="0030751E" w:rsidRDefault="004074D3" w:rsidP="004074D3">
      <w:pPr>
        <w:spacing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Si un servidor público, sin ser supervisor, identifica que un contratista no está cumpliendo sus obligaciones contractuales:</w:t>
      </w:r>
    </w:p>
    <w:p w14:paraId="0558947E"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debe hacer?</w:t>
      </w:r>
    </w:p>
    <w:p w14:paraId="32455940"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¿Está obligado a informar a su superior o al supervisor?</w:t>
      </w:r>
    </w:p>
    <w:p w14:paraId="297DBDEC"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¿Cuándo se configura un incumplimiento contractual?</w:t>
      </w:r>
    </w:p>
    <w:p w14:paraId="57EBE01F"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¿El incumplimiento de una sola obligación puede considerarse incumplimiento del contrato?</w:t>
      </w:r>
    </w:p>
    <w:p w14:paraId="0F01F9DA"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¿Existen tipos o grados de incumplimiento?</w:t>
      </w:r>
    </w:p>
    <w:p w14:paraId="59DAEBF2" w14:textId="77777777" w:rsidR="004074D3" w:rsidRPr="0030751E" w:rsidRDefault="004074D3" w:rsidP="004074D3">
      <w:pPr>
        <w:numPr>
          <w:ilvl w:val="0"/>
          <w:numId w:val="2"/>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¿Cuál es el paso a paso institucional ante un incumplimiento contractual identificado?</w:t>
      </w:r>
    </w:p>
    <w:p w14:paraId="3E9A9541" w14:textId="77777777" w:rsidR="004074D3" w:rsidRPr="0030751E" w:rsidRDefault="004074D3" w:rsidP="004074D3">
      <w:pPr>
        <w:spacing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En caso de que un contratista presente documentación falsa:</w:t>
      </w:r>
    </w:p>
    <w:p w14:paraId="4B5CBF7F" w14:textId="77777777" w:rsidR="004074D3" w:rsidRPr="0030751E" w:rsidRDefault="004074D3" w:rsidP="004074D3">
      <w:pPr>
        <w:numPr>
          <w:ilvl w:val="0"/>
          <w:numId w:val="4"/>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debe hacer el servidor que lo detecta?</w:t>
      </w:r>
    </w:p>
    <w:p w14:paraId="402B3FA8" w14:textId="77777777" w:rsidR="004074D3" w:rsidRPr="0030751E" w:rsidRDefault="004074D3" w:rsidP="004074D3">
      <w:pPr>
        <w:numPr>
          <w:ilvl w:val="0"/>
          <w:numId w:val="4"/>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¿Existe obligación de denunciar o poner en conocimiento de la autoridad competente?</w:t>
      </w:r>
    </w:p>
    <w:p w14:paraId="5635E5AC" w14:textId="77777777" w:rsidR="004074D3" w:rsidRPr="0030751E" w:rsidRDefault="004074D3" w:rsidP="004074D3">
      <w:pPr>
        <w:numPr>
          <w:ilvl w:val="0"/>
          <w:numId w:val="4"/>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¿Cómo se determina la gravedad y tipología de un incumplimiento contractual?</w:t>
      </w:r>
    </w:p>
    <w:p w14:paraId="6CB8E8EC" w14:textId="77777777" w:rsidR="004074D3" w:rsidRPr="0030751E" w:rsidRDefault="004074D3" w:rsidP="004074D3">
      <w:pPr>
        <w:numPr>
          <w:ilvl w:val="0"/>
          <w:numId w:val="4"/>
        </w:numPr>
        <w:spacing w:after="0" w:line="240" w:lineRule="auto"/>
        <w:ind w:right="709"/>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pasos institucionales deben seguirse cuando se identifica un incumplimiento en la ejecución de un contrato de prestación de servicios?</w:t>
      </w:r>
    </w:p>
    <w:p w14:paraId="0CCCA617" w14:textId="77777777" w:rsidR="004074D3" w:rsidRPr="0030751E" w:rsidRDefault="004074D3" w:rsidP="004074D3">
      <w:pPr>
        <w:spacing w:after="0" w:line="240" w:lineRule="auto"/>
        <w:ind w:left="709" w:right="709"/>
        <w:jc w:val="both"/>
        <w:rPr>
          <w:rFonts w:ascii="Verdana" w:eastAsia="Calibri" w:hAnsi="Verdana" w:cs="Arial"/>
          <w:b/>
          <w:bCs/>
          <w:sz w:val="20"/>
          <w:szCs w:val="20"/>
          <w:lang w:val="es-MX"/>
        </w:rPr>
      </w:pPr>
      <w:r w:rsidRPr="0030751E">
        <w:rPr>
          <w:rFonts w:ascii="Verdana" w:eastAsia="Calibri" w:hAnsi="Verdana" w:cs="Arial"/>
          <w:sz w:val="20"/>
          <w:szCs w:val="20"/>
          <w:lang w:val="es-MX"/>
        </w:rPr>
        <w:t xml:space="preserve">4. </w:t>
      </w:r>
      <w:r w:rsidRPr="0030751E">
        <w:rPr>
          <w:rFonts w:ascii="Verdana" w:eastAsia="Calibri" w:hAnsi="Verdana" w:cs="Arial"/>
          <w:b/>
          <w:bCs/>
          <w:sz w:val="20"/>
          <w:szCs w:val="20"/>
          <w:lang w:val="es-MX"/>
        </w:rPr>
        <w:t>Reconocimiento de pagos parciales</w:t>
      </w:r>
    </w:p>
    <w:p w14:paraId="220C79AE"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requisitos mínimos deben cumplirse reconocer pagos parciales en contratos de prestación de servicios?</w:t>
      </w:r>
    </w:p>
    <w:p w14:paraId="53A4B9F6"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soportes son indispensables para que el supervisor puede certificar la ejecución y autorizar el pago, ya sea parcial o total?</w:t>
      </w:r>
    </w:p>
    <w:p w14:paraId="717F0395" w14:textId="77777777" w:rsidR="004074D3" w:rsidRPr="0030751E" w:rsidRDefault="004074D3" w:rsidP="004074D3">
      <w:pPr>
        <w:spacing w:before="120"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5. Estudios previos y ajustes en contratos de prestación de servicios</w:t>
      </w:r>
    </w:p>
    <w:p w14:paraId="30B95694" w14:textId="77777777" w:rsidR="004074D3" w:rsidRPr="0030751E" w:rsidRDefault="004074D3" w:rsidP="004074D3">
      <w:pPr>
        <w:spacing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Se solicita orientación sobre los siguientes aspectos:</w:t>
      </w:r>
    </w:p>
    <w:p w14:paraId="513B3186" w14:textId="77777777" w:rsidR="004074D3" w:rsidRPr="0030751E" w:rsidRDefault="004074D3" w:rsidP="004074D3">
      <w:pPr>
        <w:numPr>
          <w:ilvl w:val="0"/>
          <w:numId w:val="5"/>
        </w:numPr>
        <w:spacing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Si al iniciar la supervisión se evidencia que el estudio previo no corresponde plenamente a las necesidades reales de la entidad, ¿cuál debe ser la actuación del supervisor?</w:t>
      </w:r>
    </w:p>
    <w:p w14:paraId="66E7BFA3"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proofErr w:type="spellStart"/>
      <w:r w:rsidRPr="0030751E">
        <w:rPr>
          <w:rFonts w:ascii="Verdana" w:eastAsia="Calibri" w:hAnsi="Verdana" w:cs="Arial"/>
          <w:sz w:val="20"/>
          <w:szCs w:val="20"/>
          <w:lang w:val="es-MX"/>
        </w:rPr>
        <w:t>Cuales</w:t>
      </w:r>
      <w:proofErr w:type="spellEnd"/>
      <w:r w:rsidRPr="0030751E">
        <w:rPr>
          <w:rFonts w:ascii="Verdana" w:eastAsia="Calibri" w:hAnsi="Verdana" w:cs="Arial"/>
          <w:sz w:val="20"/>
          <w:szCs w:val="20"/>
          <w:lang w:val="es-MX"/>
        </w:rPr>
        <w:t xml:space="preserve"> son los aspectos mínimos que debería contener un estudio mínimo.</w:t>
      </w:r>
    </w:p>
    <w:p w14:paraId="63AFC7E0"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En contratación directa de contratos de prestación de servicios, ¿Es ilegal ajustar los estudios previos para adecuarlos a un perfil específico?</w:t>
      </w:r>
    </w:p>
    <w:p w14:paraId="6993B949"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 xml:space="preserve">Cuando en una dependencia se venían exigiendo determinados niveles de experiencia y formación para suplir una necesidad que no podía ser atendida por personal de planta, y posteriormente se </w:t>
      </w:r>
      <w:r w:rsidRPr="0030751E">
        <w:rPr>
          <w:rFonts w:ascii="Verdana" w:eastAsia="Calibri" w:hAnsi="Verdana" w:cs="Arial"/>
          <w:sz w:val="20"/>
          <w:szCs w:val="20"/>
          <w:lang w:val="es-MX"/>
        </w:rPr>
        <w:lastRenderedPageBreak/>
        <w:t>modifican dichos requisitos, ¿Existe alguna ilegalidad?, ¿O se trata de un margen de discrecionalidad del directivo?, ¿Existen reglas, criterios o metodologías para determinar qué necesidades deben suplirse mediante contratos de prestación de servicios y no con personal de planta?</w:t>
      </w:r>
    </w:p>
    <w:p w14:paraId="63380859"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¿Cuáles son los criterios legales y técnicos que deben aplicarse para ajustar estudios previos cuando se evidencian necesidades distintas a las inicialmente planteadas?</w:t>
      </w:r>
    </w:p>
    <w:p w14:paraId="77A52E92" w14:textId="77777777" w:rsidR="004074D3" w:rsidRPr="0030751E" w:rsidRDefault="004074D3" w:rsidP="004074D3">
      <w:pPr>
        <w:numPr>
          <w:ilvl w:val="0"/>
          <w:numId w:val="5"/>
        </w:numPr>
        <w:spacing w:before="120"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buenas prácticas recomienda la entidad para garantiza que los estudios previos reflejen adecuadamente las necesidades reales de la entidad?</w:t>
      </w:r>
    </w:p>
    <w:p w14:paraId="16F89AFE" w14:textId="77777777" w:rsidR="004074D3" w:rsidRPr="0030751E" w:rsidRDefault="004074D3" w:rsidP="004074D3">
      <w:pPr>
        <w:spacing w:before="120" w:after="0" w:line="240" w:lineRule="auto"/>
        <w:ind w:left="709" w:right="709"/>
        <w:jc w:val="both"/>
        <w:rPr>
          <w:rFonts w:ascii="Verdana" w:eastAsia="Calibri" w:hAnsi="Verdana" w:cs="Arial"/>
          <w:sz w:val="20"/>
          <w:szCs w:val="20"/>
          <w:lang w:val="es-MX"/>
        </w:rPr>
      </w:pPr>
      <w:r w:rsidRPr="0030751E">
        <w:rPr>
          <w:rFonts w:ascii="Verdana" w:eastAsia="Calibri" w:hAnsi="Verdana" w:cs="Arial"/>
          <w:sz w:val="20"/>
          <w:szCs w:val="20"/>
          <w:lang w:val="es-MX"/>
        </w:rPr>
        <w:t>6. Modificación de requisitos de experiencia y formación</w:t>
      </w:r>
    </w:p>
    <w:p w14:paraId="5A5EB0CD" w14:textId="77777777" w:rsidR="004074D3" w:rsidRPr="0030751E" w:rsidRDefault="004074D3" w:rsidP="004074D3">
      <w:pPr>
        <w:numPr>
          <w:ilvl w:val="0"/>
          <w:numId w:val="5"/>
        </w:numPr>
        <w:spacing w:after="0" w:line="240" w:lineRule="auto"/>
        <w:ind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¿Existen metodologías o parámetros que orienten la decisión sobre cuándo suplir necesidades mediante contratos de prestación de servicios y cuándo hacerlo con personal de planta?</w:t>
      </w:r>
    </w:p>
    <w:p w14:paraId="7DB1A0F4" w14:textId="77777777" w:rsidR="004074D3" w:rsidRPr="0030751E" w:rsidRDefault="004074D3" w:rsidP="004074D3">
      <w:pPr>
        <w:numPr>
          <w:ilvl w:val="0"/>
          <w:numId w:val="5"/>
        </w:numPr>
        <w:spacing w:before="120" w:after="0" w:line="240" w:lineRule="auto"/>
        <w:ind w:left="709" w:right="709" w:hanging="357"/>
        <w:contextualSpacing/>
        <w:jc w:val="both"/>
        <w:rPr>
          <w:rFonts w:ascii="Verdana" w:eastAsia="Calibri" w:hAnsi="Verdana" w:cs="Arial"/>
          <w:sz w:val="20"/>
          <w:szCs w:val="20"/>
          <w:lang w:val="es-MX"/>
        </w:rPr>
      </w:pPr>
      <w:r w:rsidRPr="0030751E">
        <w:rPr>
          <w:rFonts w:ascii="Verdana" w:eastAsia="Calibri" w:hAnsi="Verdana" w:cs="Arial"/>
          <w:sz w:val="20"/>
          <w:szCs w:val="20"/>
          <w:lang w:val="es-MX"/>
        </w:rPr>
        <w:t>¿Qué criterios normativos deben aplicarse para modificar requisitos de experiencia y formación en contratos de prestación de servicios?” [sic] [Negrillas propias]</w:t>
      </w:r>
    </w:p>
    <w:p w14:paraId="2278B3D8" w14:textId="77777777" w:rsidR="004074D3" w:rsidRPr="0030751E" w:rsidRDefault="004074D3" w:rsidP="004074D3">
      <w:pPr>
        <w:spacing w:after="0" w:line="276" w:lineRule="auto"/>
        <w:jc w:val="both"/>
        <w:rPr>
          <w:rFonts w:ascii="Verdana" w:eastAsia="Calibri" w:hAnsi="Verdana" w:cs="Arial"/>
          <w:lang w:val="es-ES" w:eastAsia="es-ES"/>
        </w:rPr>
      </w:pPr>
    </w:p>
    <w:p w14:paraId="0B981B0C" w14:textId="77777777" w:rsidR="004074D3" w:rsidRPr="0030751E" w:rsidRDefault="004074D3" w:rsidP="004074D3">
      <w:pPr>
        <w:spacing w:after="120" w:line="276" w:lineRule="auto"/>
        <w:jc w:val="both"/>
        <w:rPr>
          <w:rFonts w:ascii="Verdana" w:eastAsia="Calibri" w:hAnsi="Verdana" w:cs="Arial"/>
          <w:szCs w:val="24"/>
          <w:lang w:val="es-ES_tradnl" w:eastAsia="es-ES_tradnl"/>
        </w:rPr>
      </w:pPr>
      <w:r w:rsidRPr="0030751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55249F6" w14:textId="77777777" w:rsidR="004074D3" w:rsidRPr="0030751E" w:rsidRDefault="004074D3" w:rsidP="004074D3">
      <w:pPr>
        <w:spacing w:after="0" w:line="276" w:lineRule="auto"/>
        <w:ind w:firstLine="709"/>
        <w:jc w:val="both"/>
        <w:rPr>
          <w:rFonts w:ascii="Verdana" w:eastAsia="Calibri" w:hAnsi="Verdana" w:cs="Arial"/>
          <w:lang w:val="es-ES" w:eastAsia="es-ES"/>
        </w:rPr>
      </w:pPr>
      <w:r w:rsidRPr="0030751E">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20EC61D3" w14:textId="77777777" w:rsidR="004074D3" w:rsidRPr="0030751E" w:rsidRDefault="004074D3" w:rsidP="004074D3">
      <w:pPr>
        <w:spacing w:after="0" w:line="276" w:lineRule="auto"/>
        <w:ind w:firstLine="709"/>
        <w:jc w:val="both"/>
        <w:rPr>
          <w:rFonts w:ascii="Verdana" w:eastAsia="Calibri" w:hAnsi="Verdana" w:cs="Arial"/>
          <w:lang w:val="es-ES" w:eastAsia="es-ES"/>
        </w:rPr>
      </w:pPr>
    </w:p>
    <w:p w14:paraId="27718E02" w14:textId="77777777" w:rsidR="004074D3" w:rsidRPr="0030751E" w:rsidRDefault="004074D3" w:rsidP="004074D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30751E">
        <w:rPr>
          <w:rFonts w:ascii="Verdana" w:eastAsia="Arial" w:hAnsi="Verdana" w:cs="Arial"/>
          <w:b/>
          <w:bCs/>
          <w:lang w:val="es-ES"/>
        </w:rPr>
        <w:t>1. Problema planteado:</w:t>
      </w:r>
    </w:p>
    <w:p w14:paraId="4A61989A" w14:textId="77777777" w:rsidR="004074D3" w:rsidRPr="0030751E" w:rsidRDefault="004074D3" w:rsidP="004074D3">
      <w:pPr>
        <w:tabs>
          <w:tab w:val="left" w:pos="426"/>
        </w:tabs>
        <w:spacing w:after="0" w:line="276" w:lineRule="auto"/>
        <w:jc w:val="both"/>
        <w:rPr>
          <w:rFonts w:ascii="Verdana" w:eastAsia="Century Gothic" w:hAnsi="Verdana" w:cs="Century Gothic"/>
          <w:lang w:val="es-ES"/>
        </w:rPr>
      </w:pPr>
    </w:p>
    <w:p w14:paraId="1D28166D" w14:textId="77777777" w:rsidR="004074D3" w:rsidRPr="0030751E" w:rsidRDefault="004074D3" w:rsidP="004074D3">
      <w:pPr>
        <w:spacing w:after="0"/>
        <w:jc w:val="both"/>
        <w:rPr>
          <w:rFonts w:ascii="Verdana" w:eastAsia="Aptos" w:hAnsi="Verdana" w:cs="Arial"/>
        </w:rPr>
      </w:pPr>
      <w:r w:rsidRPr="0030751E">
        <w:rPr>
          <w:rFonts w:ascii="Verdana" w:eastAsia="Century Gothic" w:hAnsi="Verdana" w:cs="Century Gothic"/>
        </w:rPr>
        <w:t xml:space="preserve">De acuerdo con el contenido de su solicitud, le informamos que la misma se resolverá desde los siguientes </w:t>
      </w:r>
      <w:bookmarkStart w:id="1" w:name="_Hlk171070029"/>
      <w:r w:rsidRPr="0030751E">
        <w:rPr>
          <w:rFonts w:ascii="Verdana" w:eastAsia="Century Gothic" w:hAnsi="Verdana" w:cs="Century Gothic"/>
        </w:rPr>
        <w:t xml:space="preserve">interrogantes: i) </w:t>
      </w:r>
      <w:r w:rsidRPr="0030751E">
        <w:rPr>
          <w:rFonts w:ascii="Verdana" w:eastAsia="Aptos" w:hAnsi="Verdana" w:cs="Arial"/>
        </w:rPr>
        <w:t xml:space="preserve">¿Cómo deben realizarse los estudios previos para la celebración de contratos de prestación de servicios?; </w:t>
      </w:r>
      <w:proofErr w:type="spellStart"/>
      <w:r w:rsidRPr="0030751E">
        <w:rPr>
          <w:rFonts w:ascii="Verdana" w:eastAsia="Aptos" w:hAnsi="Verdana" w:cs="Arial"/>
        </w:rPr>
        <w:t>ii</w:t>
      </w:r>
      <w:proofErr w:type="spellEnd"/>
      <w:r w:rsidRPr="0030751E">
        <w:rPr>
          <w:rFonts w:ascii="Verdana" w:eastAsia="Aptos" w:hAnsi="Verdana" w:cs="Arial"/>
        </w:rPr>
        <w:t xml:space="preserve">) ¿Quién es el facultado para designar la supervisión de un contrato estatal y de qué forma podría comunicarse esto?; y </w:t>
      </w:r>
      <w:proofErr w:type="spellStart"/>
      <w:r w:rsidRPr="0030751E">
        <w:rPr>
          <w:rFonts w:ascii="Verdana" w:eastAsia="Aptos" w:hAnsi="Verdana" w:cs="Arial"/>
        </w:rPr>
        <w:t>iii</w:t>
      </w:r>
      <w:proofErr w:type="spellEnd"/>
      <w:r w:rsidRPr="0030751E">
        <w:rPr>
          <w:rFonts w:ascii="Verdana" w:eastAsia="Aptos" w:hAnsi="Verdana" w:cs="Arial"/>
        </w:rPr>
        <w:t>) ¿Quién es el competente para informar sobre un posible incumplimiento contractual y quién puede sancionar?</w:t>
      </w:r>
    </w:p>
    <w:p w14:paraId="25F11C35" w14:textId="77777777" w:rsidR="004074D3" w:rsidRPr="0030751E" w:rsidRDefault="004074D3" w:rsidP="004074D3">
      <w:pPr>
        <w:spacing w:after="0"/>
        <w:jc w:val="both"/>
        <w:rPr>
          <w:rFonts w:ascii="Verdana" w:eastAsia="Aptos" w:hAnsi="Verdana" w:cs="Arial"/>
        </w:rPr>
      </w:pPr>
    </w:p>
    <w:bookmarkEnd w:id="1"/>
    <w:p w14:paraId="2DD3D11B" w14:textId="77777777" w:rsidR="004074D3" w:rsidRPr="0030751E" w:rsidRDefault="004074D3" w:rsidP="004074D3">
      <w:pPr>
        <w:widowControl w:val="0"/>
        <w:autoSpaceDE w:val="0"/>
        <w:autoSpaceDN w:val="0"/>
        <w:spacing w:before="1" w:after="0" w:line="240" w:lineRule="auto"/>
        <w:jc w:val="both"/>
        <w:outlineLvl w:val="0"/>
        <w:rPr>
          <w:rFonts w:ascii="Verdana" w:eastAsia="Arial" w:hAnsi="Verdana" w:cs="Arial"/>
          <w:b/>
          <w:bCs/>
          <w:lang w:val="es-ES"/>
        </w:rPr>
      </w:pPr>
      <w:r w:rsidRPr="0030751E">
        <w:rPr>
          <w:rFonts w:ascii="Verdana" w:eastAsia="Arial" w:hAnsi="Verdana" w:cs="Arial"/>
          <w:b/>
          <w:bCs/>
          <w:lang w:val="es-ES"/>
        </w:rPr>
        <w:t>2. Respuesta:</w:t>
      </w:r>
    </w:p>
    <w:p w14:paraId="3209C6F6" w14:textId="77777777" w:rsidR="004074D3" w:rsidRPr="0030751E" w:rsidRDefault="004074D3" w:rsidP="004074D3">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074D3" w:rsidRPr="0030751E" w14:paraId="5216B3FE" w14:textId="77777777" w:rsidTr="00A32D40">
        <w:tc>
          <w:tcPr>
            <w:tcW w:w="8828" w:type="dxa"/>
          </w:tcPr>
          <w:p w14:paraId="3C229027" w14:textId="77777777" w:rsidR="004074D3" w:rsidRPr="0030751E" w:rsidRDefault="004074D3" w:rsidP="00A32D40">
            <w:pPr>
              <w:spacing w:line="276" w:lineRule="auto"/>
              <w:jc w:val="both"/>
              <w:rPr>
                <w:rFonts w:ascii="Verdana" w:eastAsia="Times New Roman" w:hAnsi="Verdana" w:cs="Arial"/>
                <w:szCs w:val="24"/>
                <w:lang w:eastAsia="es-ES_tradnl"/>
              </w:rPr>
            </w:pPr>
            <w:bookmarkStart w:id="2" w:name="_Hlk171067516"/>
            <w:r w:rsidRPr="0030751E">
              <w:rPr>
                <w:rFonts w:ascii="Verdana" w:eastAsia="Times New Roman" w:hAnsi="Verdana" w:cs="Arial"/>
                <w:szCs w:val="24"/>
                <w:lang w:eastAsia="es-ES_tradnl"/>
              </w:rPr>
              <w:t>i) De manera preliminar debe precisarse que, si una entidad pretende desarrollar la contratación directa de prestación de servicios a la luz de lo dispuesto en el literal h), del numeral 4, del artículo 2 de la Ley 1150 de 2007, deberá consignar en los</w:t>
            </w:r>
            <w:r w:rsidRPr="0030751E">
              <w:rPr>
                <w:rFonts w:ascii="Verdana" w:eastAsia="Times New Roman" w:hAnsi="Verdana" w:cs="Arial"/>
                <w:i/>
                <w:iCs/>
                <w:szCs w:val="24"/>
                <w:lang w:eastAsia="es-ES_tradnl"/>
              </w:rPr>
              <w:t xml:space="preserve"> </w:t>
            </w:r>
            <w:r w:rsidRPr="0030751E">
              <w:rPr>
                <w:rFonts w:ascii="Verdana" w:eastAsia="Times New Roman" w:hAnsi="Verdana" w:cs="Arial"/>
                <w:szCs w:val="24"/>
                <w:lang w:eastAsia="es-ES_tradnl"/>
              </w:rPr>
              <w:t>documentos del proceso</w:t>
            </w:r>
            <w:r w:rsidRPr="0030751E">
              <w:rPr>
                <w:rFonts w:ascii="Verdana" w:eastAsia="Times New Roman" w:hAnsi="Verdana" w:cs="Arial"/>
                <w:i/>
                <w:iCs/>
                <w:szCs w:val="24"/>
                <w:lang w:eastAsia="es-ES_tradnl"/>
              </w:rPr>
              <w:t xml:space="preserve">, </w:t>
            </w:r>
            <w:r w:rsidRPr="0030751E">
              <w:rPr>
                <w:rFonts w:ascii="Verdana" w:eastAsia="Times New Roman" w:hAnsi="Verdana" w:cs="Arial"/>
                <w:szCs w:val="24"/>
                <w:lang w:eastAsia="es-ES_tradnl"/>
              </w:rPr>
              <w:t>bien sea en los estudios previos o en la información de soporte de estos, los aspectos de que trata el artículo 2.2.1.1.2.1.1 del Decreto 1082 de 2015, esto es:</w:t>
            </w:r>
          </w:p>
          <w:p w14:paraId="1500F845" w14:textId="77777777" w:rsidR="004074D3" w:rsidRPr="0030751E" w:rsidRDefault="004074D3" w:rsidP="00A32D40">
            <w:pPr>
              <w:spacing w:line="276" w:lineRule="auto"/>
              <w:ind w:firstLine="709"/>
              <w:jc w:val="both"/>
              <w:rPr>
                <w:rFonts w:ascii="Verdana" w:eastAsia="Times New Roman" w:hAnsi="Verdana" w:cs="Arial"/>
                <w:szCs w:val="24"/>
                <w:lang w:eastAsia="es-ES_tradnl"/>
              </w:rPr>
            </w:pPr>
          </w:p>
          <w:p w14:paraId="61412936"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“1. La descripción de la necesidad que la Entidad Estatal pretende satisfacer con el Proceso de Contratación.  </w:t>
            </w:r>
          </w:p>
          <w:p w14:paraId="1BD6D4A9"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1BA91B48"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3. La modalidad de selección del contratista y su justificación, incluyendo los fundamentos jurídicos.  </w:t>
            </w:r>
          </w:p>
          <w:p w14:paraId="4188625D"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4. El valor estimado del contrato y la justificación del mismo. […]</w:t>
            </w:r>
          </w:p>
          <w:p w14:paraId="28324F05"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5. Los criterios para seleccionar la oferta más favorable.</w:t>
            </w:r>
          </w:p>
          <w:p w14:paraId="2D0E465D"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6. El análisis de Riesgo y la forma de mitigarlo.</w:t>
            </w:r>
          </w:p>
          <w:p w14:paraId="17AE2592"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7. Las garantías que la Entidad Estatal contempla exigir en el proceso de contratación.</w:t>
            </w:r>
          </w:p>
          <w:p w14:paraId="0EE405F8"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8. La indicación de si el proceso de contratación está cobijado por un acuerdo comercial.  </w:t>
            </w:r>
          </w:p>
          <w:p w14:paraId="5CC5A9D9" w14:textId="77777777" w:rsidR="004074D3" w:rsidRPr="0030751E" w:rsidRDefault="004074D3" w:rsidP="00A32D40">
            <w:pPr>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w:t>
            </w:r>
          </w:p>
          <w:p w14:paraId="2611D0DC" w14:textId="77777777" w:rsidR="004074D3" w:rsidRPr="0030751E" w:rsidRDefault="004074D3" w:rsidP="00A32D40">
            <w:pPr>
              <w:spacing w:line="276" w:lineRule="auto"/>
              <w:ind w:firstLine="709"/>
              <w:jc w:val="both"/>
              <w:rPr>
                <w:rFonts w:ascii="Verdana" w:eastAsia="Times New Roman" w:hAnsi="Verdana" w:cs="Arial"/>
                <w:szCs w:val="24"/>
                <w:lang w:eastAsia="es-ES_tradnl"/>
              </w:rPr>
            </w:pPr>
          </w:p>
          <w:p w14:paraId="14865866" w14:textId="77777777" w:rsidR="004074D3" w:rsidRPr="0030751E" w:rsidRDefault="004074D3" w:rsidP="00A32D40">
            <w:pPr>
              <w:spacing w:line="276" w:lineRule="auto"/>
              <w:ind w:firstLine="709"/>
              <w:jc w:val="both"/>
              <w:rPr>
                <w:rFonts w:ascii="Verdana" w:eastAsia="Times New Roman" w:hAnsi="Verdana" w:cs="Arial"/>
                <w:szCs w:val="24"/>
                <w:lang w:eastAsia="es-ES_tradnl"/>
              </w:rPr>
            </w:pPr>
            <w:r w:rsidRPr="0030751E">
              <w:rPr>
                <w:rFonts w:ascii="Verdana" w:eastAsia="Times New Roman" w:hAnsi="Verdana" w:cs="Arial"/>
                <w:szCs w:val="24"/>
                <w:lang w:eastAsia="es-ES_tradnl"/>
              </w:rPr>
              <w:t xml:space="preserve">Adicionalmente, resulta a bien resaltar la autonomía de las Entidades Estatales para estructurar los estudios previos, siempre y cuando observen los aspectos que estos deben contener, de conformidad con los artículos 2.2.1.1.1.6.1, 2.2.1.1.2.1.1 y 2.2.1.2.1.4.9 del Decreto 1082 de 2015. En todo caso, tratándose contratos de prestación de servicios, los estudios previos deben entrar a justificar las particularidades del objeto contractual de cara a </w:t>
            </w:r>
            <w:r w:rsidRPr="0030751E">
              <w:rPr>
                <w:rFonts w:ascii="Verdana" w:eastAsia="Times New Roman" w:hAnsi="Verdana" w:cs="Arial"/>
                <w:szCs w:val="24"/>
                <w:lang w:eastAsia="es-ES_tradnl"/>
              </w:rPr>
              <w:lastRenderedPageBreak/>
              <w:t xml:space="preserve">la satisfacción de la necesidad de la Entidad Estatal en atención a la cual se requiere el respectivo contrato. De esto dependerán las regulaciones que se establezcan en la minuta del contrato en cuanto a la temporalidad, pago y demás asuntos relevantes del negocio jurídico, que, sin perjuicio de estar mediados por la autonomía de la voluntad de las partes para establecer las condiciones del contrato, deben tener una justificación expresada en los estudios y documentos previos. </w:t>
            </w:r>
          </w:p>
          <w:p w14:paraId="00F9F7AE" w14:textId="77777777" w:rsidR="004074D3" w:rsidRPr="0030751E" w:rsidRDefault="004074D3" w:rsidP="00A32D40">
            <w:pPr>
              <w:jc w:val="both"/>
              <w:rPr>
                <w:rFonts w:ascii="Verdana" w:eastAsia="Aptos" w:hAnsi="Verdana" w:cs="Arial"/>
                <w:kern w:val="2"/>
                <w14:ligatures w14:val="standardContextual"/>
              </w:rPr>
            </w:pPr>
          </w:p>
          <w:p w14:paraId="109F91A6" w14:textId="77777777" w:rsidR="004074D3" w:rsidRPr="0030751E" w:rsidRDefault="004074D3" w:rsidP="00A32D40">
            <w:pPr>
              <w:spacing w:line="276" w:lineRule="auto"/>
              <w:jc w:val="both"/>
              <w:rPr>
                <w:rFonts w:ascii="Verdana" w:eastAsia="Aptos" w:hAnsi="Verdana" w:cs="Arial"/>
              </w:rPr>
            </w:pPr>
            <w:proofErr w:type="spellStart"/>
            <w:r w:rsidRPr="0030751E">
              <w:rPr>
                <w:rFonts w:ascii="Verdana" w:eastAsia="Aptos" w:hAnsi="Verdana" w:cs="Arial"/>
                <w:kern w:val="2"/>
                <w14:ligatures w14:val="standardContextual"/>
              </w:rPr>
              <w:t>ii</w:t>
            </w:r>
            <w:proofErr w:type="spellEnd"/>
            <w:r w:rsidRPr="0030751E">
              <w:rPr>
                <w:rFonts w:ascii="Verdana" w:eastAsia="Aptos" w:hAnsi="Verdana" w:cs="Arial"/>
                <w:kern w:val="2"/>
                <w14:ligatures w14:val="standardContextual"/>
              </w:rPr>
              <w:t xml:space="preserve">) La </w:t>
            </w:r>
            <w:r w:rsidRPr="0030751E">
              <w:rPr>
                <w:rFonts w:ascii="Verdana" w:eastAsia="Calibri" w:hAnsi="Verdana" w:cs="Arial"/>
                <w:color w:val="000000"/>
                <w:lang w:val="es-ES_tradnl"/>
              </w:rPr>
              <w:t>designación de supervisión de los contratos podrá realizarse por el representante legal de la Entidad Estatal o por el ordenador del gasto, en caso de que esta función se encuentre delegada conforme a las reglas dispuestas en el artículo 12 de la Ley 80 de 1993. D</w:t>
            </w:r>
            <w:proofErr w:type="spellStart"/>
            <w:r w:rsidRPr="0030751E">
              <w:rPr>
                <w:rFonts w:ascii="Verdana" w:eastAsia="Aptos" w:hAnsi="Verdana" w:cs="Arial"/>
              </w:rPr>
              <w:t>e</w:t>
            </w:r>
            <w:proofErr w:type="spellEnd"/>
            <w:r w:rsidRPr="0030751E">
              <w:rPr>
                <w:rFonts w:ascii="Verdana" w:eastAsia="Aptos" w:hAnsi="Verdana" w:cs="Arial"/>
              </w:rPr>
              <w:t xml:space="preserve"> acuerdo con la Ley 489 de 1998 la delegación es la 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contratos y realizar licitaciones, lo cual no los exonera de sus deberes de control y vigilancia de la actividad precontractual y contractual.</w:t>
            </w:r>
          </w:p>
          <w:p w14:paraId="54A35310" w14:textId="77777777" w:rsidR="004074D3" w:rsidRPr="0030751E" w:rsidRDefault="004074D3" w:rsidP="00A32D40">
            <w:pPr>
              <w:spacing w:before="120" w:after="120" w:line="276" w:lineRule="auto"/>
              <w:ind w:firstLine="709"/>
              <w:jc w:val="both"/>
              <w:rPr>
                <w:rFonts w:ascii="Verdana" w:eastAsia="Aptos" w:hAnsi="Verdana" w:cs="Arial"/>
                <w:lang w:val="es-MX"/>
              </w:rPr>
            </w:pPr>
            <w:r w:rsidRPr="0030751E">
              <w:rPr>
                <w:rFonts w:ascii="Verdana" w:eastAsia="Aptos" w:hAnsi="Verdana" w:cs="Arial"/>
                <w:lang w:val="es-MX"/>
              </w:rPr>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En consecuencia,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del mismo. </w:t>
            </w:r>
          </w:p>
          <w:p w14:paraId="18B67647" w14:textId="77777777" w:rsidR="004074D3" w:rsidRPr="0030751E" w:rsidRDefault="004074D3" w:rsidP="00A32D40">
            <w:pPr>
              <w:spacing w:line="276" w:lineRule="auto"/>
              <w:ind w:firstLine="709"/>
              <w:jc w:val="both"/>
              <w:rPr>
                <w:rFonts w:ascii="Verdana" w:eastAsia="Aptos" w:hAnsi="Verdana" w:cs="Arial"/>
                <w:lang w:val="es-MX"/>
              </w:rPr>
            </w:pPr>
            <w:r w:rsidRPr="0030751E">
              <w:rPr>
                <w:rFonts w:ascii="Verdana" w:eastAsia="Aptos" w:hAnsi="Verdana" w:cs="Arial"/>
                <w:lang w:val="es-MX"/>
              </w:rPr>
              <w:t xml:space="preserve">Para tales efectos podrán definirse las funciones del supervisor en el pliego de condiciones, en una cláusula del contrato, en el manual de </w:t>
            </w:r>
            <w:r w:rsidRPr="0030751E">
              <w:rPr>
                <w:rFonts w:ascii="Verdana" w:eastAsia="Aptos" w:hAnsi="Verdana" w:cs="Arial"/>
                <w:lang w:val="es-MX"/>
              </w:rPr>
              <w:lastRenderedPageBreak/>
              <w:t>contratación o en el acto de la asignación de la función al servidor público escogido para ejercer la supervisión.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del mismo al funcionario designado informando que va a ser el supervisor. Así mismo, en los procesos adelantados a través de la plataforma SECOP II se debe realizar la designación a través de la misma.</w:t>
            </w:r>
          </w:p>
          <w:p w14:paraId="2AE43B57" w14:textId="77777777" w:rsidR="004074D3" w:rsidRPr="0030751E" w:rsidRDefault="004074D3" w:rsidP="00A32D40">
            <w:pPr>
              <w:spacing w:line="276" w:lineRule="auto"/>
              <w:jc w:val="both"/>
              <w:rPr>
                <w:rFonts w:ascii="Verdana" w:eastAsia="Times New Roman" w:hAnsi="Verdana" w:cs="Arial"/>
                <w:color w:val="000000"/>
                <w:bdr w:val="none" w:sz="0" w:space="0" w:color="auto" w:frame="1"/>
                <w:shd w:val="clear" w:color="auto" w:fill="FFFFFF"/>
                <w:lang w:val="es-ES" w:eastAsia="es-ES_tradnl"/>
              </w:rPr>
            </w:pPr>
          </w:p>
          <w:p w14:paraId="10C53F44" w14:textId="77777777" w:rsidR="004074D3" w:rsidRPr="0030751E" w:rsidRDefault="004074D3" w:rsidP="00A32D40">
            <w:pPr>
              <w:spacing w:line="276" w:lineRule="auto"/>
              <w:jc w:val="both"/>
              <w:rPr>
                <w:rFonts w:ascii="Verdana" w:eastAsia="Times New Roman" w:hAnsi="Verdana" w:cs="Arial"/>
                <w:color w:val="000000"/>
                <w:bdr w:val="none" w:sz="0" w:space="0" w:color="auto" w:frame="1"/>
                <w:shd w:val="clear" w:color="auto" w:fill="FFFFFF"/>
                <w:lang w:val="es-ES" w:eastAsia="es-ES_tradnl"/>
              </w:rPr>
            </w:pPr>
            <w:proofErr w:type="spellStart"/>
            <w:r w:rsidRPr="0030751E">
              <w:rPr>
                <w:rFonts w:ascii="Verdana" w:eastAsia="Times New Roman" w:hAnsi="Verdana" w:cs="Arial"/>
                <w:color w:val="000000"/>
                <w:bdr w:val="none" w:sz="0" w:space="0" w:color="auto" w:frame="1"/>
                <w:shd w:val="clear" w:color="auto" w:fill="FFFFFF"/>
                <w:lang w:val="es-ES" w:eastAsia="es-ES_tradnl"/>
              </w:rPr>
              <w:t>iii</w:t>
            </w:r>
            <w:proofErr w:type="spellEnd"/>
            <w:r w:rsidRPr="0030751E">
              <w:rPr>
                <w:rFonts w:ascii="Verdana" w:eastAsia="Times New Roman" w:hAnsi="Verdana" w:cs="Arial"/>
                <w:color w:val="000000"/>
                <w:bdr w:val="none" w:sz="0" w:space="0" w:color="auto" w:frame="1"/>
                <w:shd w:val="clear" w:color="auto" w:fill="FFFFFF"/>
                <w:lang w:val="es-ES" w:eastAsia="es-ES_tradnl"/>
              </w:rPr>
              <w:t>) De acuerdo con lo señalado en el artículo 84 de la Ley 1474 de 2011,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EGCAP, y en observancia de las reglas dispuestas en el artículo 86 de la Ley 1474 de 2011.</w:t>
            </w:r>
          </w:p>
          <w:p w14:paraId="7A18D231" w14:textId="77777777" w:rsidR="004074D3" w:rsidRPr="0030751E" w:rsidRDefault="004074D3" w:rsidP="00A32D40">
            <w:pPr>
              <w:spacing w:line="276" w:lineRule="auto"/>
              <w:jc w:val="both"/>
              <w:rPr>
                <w:rFonts w:ascii="Verdana" w:eastAsia="Times New Roman" w:hAnsi="Verdana" w:cs="Arial"/>
                <w:color w:val="000000"/>
                <w:bdr w:val="none" w:sz="0" w:space="0" w:color="auto" w:frame="1"/>
                <w:shd w:val="clear" w:color="auto" w:fill="FFFFFF"/>
                <w:lang w:val="es-ES" w:eastAsia="es-ES_tradnl"/>
              </w:rPr>
            </w:pPr>
          </w:p>
          <w:p w14:paraId="25448E60" w14:textId="77777777" w:rsidR="004074D3" w:rsidRPr="0030751E" w:rsidRDefault="004074D3" w:rsidP="00A32D40">
            <w:pPr>
              <w:spacing w:line="276" w:lineRule="auto"/>
              <w:jc w:val="both"/>
              <w:rPr>
                <w:rFonts w:ascii="Verdana" w:eastAsia="Times New Roman" w:hAnsi="Verdana" w:cs="Arial"/>
                <w:color w:val="000000"/>
                <w:bdr w:val="none" w:sz="0" w:space="0" w:color="auto" w:frame="1"/>
                <w:shd w:val="clear" w:color="auto" w:fill="FFFFFF"/>
                <w:lang w:val="es-ES" w:eastAsia="es-ES_tradnl"/>
              </w:rPr>
            </w:pPr>
            <w:r w:rsidRPr="0030751E">
              <w:rPr>
                <w:rFonts w:ascii="Verdana" w:eastAsia="Times New Roman" w:hAnsi="Verdana" w:cs="Arial"/>
                <w:color w:val="000000"/>
                <w:bdr w:val="none" w:sz="0" w:space="0" w:color="auto" w:frame="1"/>
                <w:shd w:val="clear" w:color="auto" w:fill="FFFFFF"/>
                <w:lang w:val="es-ES" w:eastAsia="es-ES_tradnl"/>
              </w:rPr>
              <w:t>Finalmente, debe advertirse que el análisis requerido para resolver problemas específicos en torno a la planeación contractual, supervisión de contratos y declaratorias de incumplimientos contractuales,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2"/>
    </w:tbl>
    <w:p w14:paraId="4C03FD2D" w14:textId="77777777" w:rsidR="004074D3" w:rsidRPr="0030751E" w:rsidRDefault="004074D3" w:rsidP="004074D3">
      <w:pPr>
        <w:widowControl w:val="0"/>
        <w:autoSpaceDE w:val="0"/>
        <w:autoSpaceDN w:val="0"/>
        <w:spacing w:before="1" w:after="0" w:line="240" w:lineRule="auto"/>
        <w:ind w:left="360" w:hanging="360"/>
        <w:outlineLvl w:val="0"/>
        <w:rPr>
          <w:rFonts w:ascii="Verdana" w:eastAsia="Arial" w:hAnsi="Verdana" w:cs="Arial"/>
          <w:b/>
        </w:rPr>
      </w:pPr>
    </w:p>
    <w:p w14:paraId="50148263" w14:textId="77777777" w:rsidR="004074D3" w:rsidRPr="0030751E" w:rsidRDefault="004074D3" w:rsidP="004074D3">
      <w:pPr>
        <w:widowControl w:val="0"/>
        <w:autoSpaceDE w:val="0"/>
        <w:autoSpaceDN w:val="0"/>
        <w:spacing w:before="1" w:after="0" w:line="240" w:lineRule="auto"/>
        <w:ind w:left="360" w:hanging="360"/>
        <w:outlineLvl w:val="0"/>
        <w:rPr>
          <w:rFonts w:ascii="Verdana" w:eastAsia="Arial" w:hAnsi="Verdana" w:cs="Arial"/>
          <w:b/>
          <w:bCs/>
          <w:lang w:val="es-ES"/>
        </w:rPr>
      </w:pPr>
      <w:r w:rsidRPr="0030751E">
        <w:rPr>
          <w:rFonts w:ascii="Verdana" w:eastAsia="Arial" w:hAnsi="Verdana" w:cs="Arial"/>
          <w:b/>
          <w:bCs/>
          <w:lang w:val="es-ES"/>
        </w:rPr>
        <w:t>3. Razones de la respuesta</w:t>
      </w:r>
    </w:p>
    <w:p w14:paraId="3DDADE0A" w14:textId="77777777" w:rsidR="004074D3" w:rsidRPr="0030751E" w:rsidRDefault="004074D3" w:rsidP="004074D3">
      <w:pPr>
        <w:spacing w:after="0" w:line="276" w:lineRule="auto"/>
        <w:jc w:val="both"/>
        <w:rPr>
          <w:rFonts w:ascii="Verdana" w:eastAsia="Calibri" w:hAnsi="Verdana" w:cs="Arial"/>
          <w:lang w:val="es-ES"/>
        </w:rPr>
      </w:pPr>
    </w:p>
    <w:p w14:paraId="108509D1" w14:textId="77777777" w:rsidR="004074D3" w:rsidRPr="0030751E" w:rsidRDefault="004074D3" w:rsidP="004074D3">
      <w:pPr>
        <w:spacing w:after="0" w:line="276" w:lineRule="auto"/>
        <w:jc w:val="both"/>
        <w:rPr>
          <w:rFonts w:ascii="Verdana" w:eastAsia="Calibri" w:hAnsi="Verdana" w:cs="Arial"/>
          <w:lang w:val="es-ES"/>
        </w:rPr>
      </w:pPr>
      <w:r w:rsidRPr="0030751E">
        <w:rPr>
          <w:rFonts w:ascii="Verdana" w:eastAsia="Calibri" w:hAnsi="Verdana" w:cs="Arial"/>
          <w:lang w:val="es-ES"/>
        </w:rPr>
        <w:t xml:space="preserve">Las respuestas anteriores se sustentan en las siguientes consideraciones: </w:t>
      </w:r>
    </w:p>
    <w:p w14:paraId="5AD644C8" w14:textId="77777777" w:rsidR="004074D3" w:rsidRPr="0030751E" w:rsidRDefault="004074D3" w:rsidP="004074D3">
      <w:pPr>
        <w:spacing w:after="0" w:line="276" w:lineRule="auto"/>
        <w:jc w:val="both"/>
        <w:rPr>
          <w:rFonts w:ascii="Verdana" w:eastAsia="Calibri" w:hAnsi="Verdana" w:cs="Arial"/>
          <w:lang w:val="es-ES"/>
        </w:rPr>
      </w:pPr>
    </w:p>
    <w:p w14:paraId="69198CC9" w14:textId="77777777" w:rsidR="004074D3" w:rsidRPr="0030751E" w:rsidRDefault="004074D3" w:rsidP="004074D3">
      <w:pPr>
        <w:spacing w:after="0" w:line="276" w:lineRule="auto"/>
        <w:jc w:val="both"/>
        <w:rPr>
          <w:rFonts w:ascii="Verdana" w:eastAsia="Calibri" w:hAnsi="Verdana" w:cs="Arial"/>
          <w:lang w:val="es-ES"/>
        </w:rPr>
      </w:pPr>
      <w:r w:rsidRPr="0030751E">
        <w:rPr>
          <w:rFonts w:ascii="Verdana" w:eastAsia="Calibri" w:hAnsi="Verdana" w:cs="Arial"/>
          <w:lang w:val="es-ES"/>
        </w:rPr>
        <w:t xml:space="preserve">i) La planeación contractual es una herramienta de gerencia pública, que exige estructurar el proceso contractual dedicando tiempo y esfuerzos para elaborar </w:t>
      </w:r>
      <w:r w:rsidRPr="0030751E">
        <w:rPr>
          <w:rFonts w:ascii="Verdana" w:eastAsia="Calibri" w:hAnsi="Verdana" w:cs="Arial"/>
          <w:lang w:val="es-ES"/>
        </w:rPr>
        <w:lastRenderedPageBreak/>
        <w:t>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Estatales.</w:t>
      </w:r>
    </w:p>
    <w:p w14:paraId="143AFCF3" w14:textId="77777777" w:rsidR="004074D3" w:rsidRPr="0030751E" w:rsidRDefault="004074D3" w:rsidP="004074D3">
      <w:pPr>
        <w:spacing w:before="120" w:after="0" w:line="276" w:lineRule="auto"/>
        <w:jc w:val="both"/>
        <w:rPr>
          <w:rFonts w:ascii="Verdana" w:eastAsia="Calibri" w:hAnsi="Verdana" w:cs="Arial"/>
          <w:lang w:val="es-ES"/>
        </w:rPr>
      </w:pPr>
      <w:r w:rsidRPr="0030751E">
        <w:rPr>
          <w:rFonts w:ascii="Verdana" w:eastAsia="Calibri" w:hAnsi="Verdana" w:cs="Arial"/>
          <w:lang w:val="es-ES"/>
        </w:rPr>
        <w:tab/>
        <w:t xml:space="preserve">El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3606A868" w14:textId="77777777" w:rsidR="004074D3" w:rsidRPr="0030751E" w:rsidRDefault="004074D3" w:rsidP="004074D3">
      <w:pPr>
        <w:spacing w:after="0" w:line="276" w:lineRule="auto"/>
        <w:jc w:val="both"/>
        <w:rPr>
          <w:rFonts w:ascii="Arial" w:eastAsia="Times New Roman" w:hAnsi="Arial" w:cs="Arial"/>
          <w:color w:val="000000"/>
          <w:szCs w:val="24"/>
          <w:lang w:val="es-ES_tradnl" w:eastAsia="es-ES_tradnl"/>
        </w:rPr>
      </w:pPr>
    </w:p>
    <w:p w14:paraId="3877651D" w14:textId="77777777" w:rsidR="004074D3" w:rsidRPr="0030751E" w:rsidRDefault="004074D3" w:rsidP="004074D3">
      <w:pPr>
        <w:spacing w:after="0" w:line="240" w:lineRule="auto"/>
        <w:ind w:left="709" w:right="709"/>
        <w:jc w:val="both"/>
        <w:rPr>
          <w:rFonts w:ascii="Arial" w:eastAsia="Times New Roman" w:hAnsi="Arial" w:cs="Arial"/>
          <w:color w:val="000000"/>
          <w:sz w:val="21"/>
          <w:szCs w:val="21"/>
          <w:lang w:val="es-ES_tradnl" w:eastAsia="es-ES_tradnl"/>
        </w:rPr>
      </w:pPr>
      <w:r w:rsidRPr="0030751E">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576EE060" w14:textId="77777777" w:rsidR="004074D3" w:rsidRPr="0030751E" w:rsidRDefault="004074D3" w:rsidP="004074D3">
      <w:pPr>
        <w:spacing w:before="120" w:after="0" w:line="240" w:lineRule="auto"/>
        <w:ind w:left="709" w:right="709"/>
        <w:jc w:val="both"/>
        <w:rPr>
          <w:rFonts w:ascii="Arial" w:eastAsia="Times New Roman" w:hAnsi="Arial" w:cs="Arial"/>
          <w:color w:val="000000"/>
          <w:sz w:val="21"/>
          <w:szCs w:val="21"/>
          <w:lang w:val="es-ES_tradnl" w:eastAsia="es-ES_tradnl"/>
        </w:rPr>
      </w:pPr>
      <w:r w:rsidRPr="0030751E">
        <w:rPr>
          <w:rFonts w:ascii="Arial" w:eastAsia="Times New Roman" w:hAnsi="Arial" w:cs="Arial"/>
          <w:color w:val="000000"/>
          <w:sz w:val="21"/>
          <w:szCs w:val="21"/>
          <w:lang w:val="es-ES_tradnl" w:eastAsia="es-ES_tradnl"/>
        </w:rPr>
        <w:t>[…]</w:t>
      </w:r>
    </w:p>
    <w:p w14:paraId="53A2B0B8" w14:textId="77777777" w:rsidR="004074D3" w:rsidRPr="0030751E" w:rsidRDefault="004074D3" w:rsidP="004074D3">
      <w:pPr>
        <w:spacing w:before="120" w:after="0" w:line="240" w:lineRule="auto"/>
        <w:ind w:left="709" w:right="709"/>
        <w:jc w:val="both"/>
        <w:rPr>
          <w:rFonts w:ascii="Arial" w:eastAsia="Times New Roman" w:hAnsi="Arial" w:cs="Arial"/>
          <w:color w:val="000000"/>
          <w:sz w:val="21"/>
          <w:szCs w:val="21"/>
          <w:lang w:val="es-ES_tradnl" w:eastAsia="es-ES_tradnl"/>
        </w:rPr>
      </w:pPr>
      <w:r w:rsidRPr="0030751E">
        <w:rPr>
          <w:rFonts w:ascii="Arial" w:eastAsia="Times New Roman" w:hAnsi="Arial" w:cs="Arial"/>
          <w:color w:val="000000"/>
          <w:sz w:val="21"/>
          <w:szCs w:val="21"/>
          <w:lang w:val="es-ES_tradnl" w:eastAsia="es-ES_tradnl"/>
        </w:rPr>
        <w:t xml:space="preserve">12. Previo a la apertura de un proceso de selección, </w:t>
      </w:r>
      <w:r w:rsidRPr="0030751E">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30751E">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 [Énfasis fuera de texto]</w:t>
      </w:r>
    </w:p>
    <w:p w14:paraId="236267A0" w14:textId="77777777" w:rsidR="004074D3" w:rsidRPr="0030751E" w:rsidRDefault="004074D3" w:rsidP="004074D3">
      <w:pPr>
        <w:spacing w:after="0" w:line="276" w:lineRule="auto"/>
        <w:ind w:firstLine="709"/>
        <w:jc w:val="both"/>
        <w:rPr>
          <w:rFonts w:ascii="Arial" w:eastAsia="Times New Roman" w:hAnsi="Arial" w:cs="Arial"/>
          <w:color w:val="000000"/>
          <w:szCs w:val="24"/>
          <w:lang w:val="es-ES_tradnl" w:eastAsia="es-ES_tradnl"/>
        </w:rPr>
      </w:pPr>
    </w:p>
    <w:p w14:paraId="112E245E" w14:textId="77777777" w:rsidR="004074D3" w:rsidRPr="0030751E" w:rsidRDefault="004074D3" w:rsidP="004074D3">
      <w:pPr>
        <w:spacing w:after="120" w:line="276" w:lineRule="auto"/>
        <w:ind w:firstLine="709"/>
        <w:jc w:val="both"/>
        <w:rPr>
          <w:rFonts w:ascii="Verdana" w:eastAsia="Times New Roman" w:hAnsi="Verdana" w:cs="Arial"/>
          <w:szCs w:val="24"/>
          <w:lang w:eastAsia="es-ES_tradnl"/>
        </w:rPr>
      </w:pPr>
      <w:r w:rsidRPr="0030751E">
        <w:rPr>
          <w:rFonts w:ascii="Verdana" w:eastAsia="Calibri" w:hAnsi="Verdana" w:cs="Arial"/>
          <w:lang w:val="es-ES"/>
        </w:rPr>
        <w:t xml:space="preserve">De lo anterior se desprende que, </w:t>
      </w:r>
      <w:r w:rsidRPr="0030751E">
        <w:rPr>
          <w:rFonts w:ascii="Verdana" w:eastAsia="Times New Roman" w:hAnsi="Verdana" w:cs="Arial"/>
          <w:szCs w:val="24"/>
          <w:lang w:eastAsia="es-ES_tradnl"/>
        </w:rPr>
        <w:t xml:space="preserve">las entidades tienen el deber de realizar estudios previos en dos momentos específicos: i) previo a la apertura de un proceso de selección y </w:t>
      </w:r>
      <w:proofErr w:type="spellStart"/>
      <w:r w:rsidRPr="0030751E">
        <w:rPr>
          <w:rFonts w:ascii="Verdana" w:eastAsia="Times New Roman" w:hAnsi="Verdana" w:cs="Arial"/>
          <w:szCs w:val="24"/>
          <w:lang w:eastAsia="es-ES_tradnl"/>
        </w:rPr>
        <w:t>ii</w:t>
      </w:r>
      <w:proofErr w:type="spellEnd"/>
      <w:r w:rsidRPr="0030751E">
        <w:rPr>
          <w:rFonts w:ascii="Verdana" w:eastAsia="Times New Roman" w:hAnsi="Verdana" w:cs="Arial"/>
          <w:szCs w:val="24"/>
          <w:lang w:eastAsia="es-ES_tradnl"/>
        </w:rPr>
        <w:t xml:space="preserve">)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 </w:t>
      </w:r>
      <w:r w:rsidRPr="0030751E">
        <w:rPr>
          <w:rFonts w:ascii="Verdana" w:eastAsia="Calibri" w:hAnsi="Verdana" w:cs="Arial"/>
          <w:lang w:val="es-ES"/>
        </w:rPr>
        <w:t xml:space="preserve">Esto, permitirá a la Entidad Estatal identificar desde el punto de vista técnico y financiero el objeto del contrato, las particularidades de su ejecución, los potenciales proponentes, requisitos mínimos para evaluar la idoneidad del contratista, así como analizar todas las </w:t>
      </w:r>
      <w:r w:rsidRPr="0030751E">
        <w:rPr>
          <w:rFonts w:ascii="Verdana" w:eastAsia="Calibri" w:hAnsi="Verdana" w:cs="Arial"/>
          <w:lang w:val="es-ES"/>
        </w:rPr>
        <w:lastRenderedPageBreak/>
        <w:t>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30751E">
        <w:rPr>
          <w:rFonts w:ascii="Verdana" w:eastAsia="Aptos" w:hAnsi="Verdana" w:cs="Arial"/>
          <w:vertAlign w:val="superscript"/>
        </w:rPr>
        <w:footnoteReference w:id="1"/>
      </w:r>
      <w:r w:rsidRPr="0030751E">
        <w:rPr>
          <w:rFonts w:ascii="Verdana" w:eastAsia="Times New Roman" w:hAnsi="Verdana" w:cs="Arial"/>
          <w:color w:val="000000"/>
          <w:szCs w:val="24"/>
          <w:lang w:val="es-ES_tradnl" w:eastAsia="es-ES_tradnl"/>
        </w:rPr>
        <w:t xml:space="preserve">. </w:t>
      </w:r>
    </w:p>
    <w:p w14:paraId="3235E950" w14:textId="77777777" w:rsidR="004074D3" w:rsidRPr="0030751E" w:rsidRDefault="004074D3" w:rsidP="004074D3">
      <w:pPr>
        <w:spacing w:before="120" w:after="0" w:line="276" w:lineRule="auto"/>
        <w:ind w:firstLine="709"/>
        <w:jc w:val="both"/>
        <w:rPr>
          <w:rFonts w:ascii="Verdana" w:eastAsia="Aptos" w:hAnsi="Verdana" w:cs="Arial"/>
        </w:rPr>
      </w:pPr>
      <w:r w:rsidRPr="0030751E">
        <w:rPr>
          <w:rFonts w:ascii="Verdana" w:eastAsia="Calibri" w:hAnsi="Verdana" w:cs="Arial"/>
        </w:rPr>
        <w:t xml:space="preserve">De esta forma, antes de iniciar un proceso de selección, la Entidad Estatal podrá determinar con los estudios previos: i) la verdadera necesidad de la celebración del contrato; </w:t>
      </w:r>
      <w:proofErr w:type="spellStart"/>
      <w:r w:rsidRPr="0030751E">
        <w:rPr>
          <w:rFonts w:ascii="Verdana" w:eastAsia="Calibri" w:hAnsi="Verdana" w:cs="Arial"/>
        </w:rPr>
        <w:t>ii</w:t>
      </w:r>
      <w:proofErr w:type="spellEnd"/>
      <w:r w:rsidRPr="0030751E">
        <w:rPr>
          <w:rFonts w:ascii="Verdana" w:eastAsia="Calibri" w:hAnsi="Verdana" w:cs="Arial"/>
        </w:rPr>
        <w:t xml:space="preserve">) las modalidades existentes para satisfacer esa necesidad y las razones que justifiquen la modalidad o tipo contractual que se escoja; </w:t>
      </w:r>
      <w:proofErr w:type="spellStart"/>
      <w:r w:rsidRPr="0030751E">
        <w:rPr>
          <w:rFonts w:ascii="Verdana" w:eastAsia="Calibri" w:hAnsi="Verdana" w:cs="Arial"/>
        </w:rPr>
        <w:t>iii</w:t>
      </w:r>
      <w:proofErr w:type="spellEnd"/>
      <w:r w:rsidRPr="0030751E">
        <w:rPr>
          <w:rFonts w:ascii="Verdana" w:eastAsia="Calibri" w:hAnsi="Verdana" w:cs="Arial"/>
        </w:rPr>
        <w:t xml:space="preserve">) las calidades, especificaciones, cantidades y demás características que puedan o deban reunir los bienes, las obras, los servicios, etcétera, cuya contratación, se haya determinado necesaria, </w:t>
      </w:r>
      <w:proofErr w:type="spellStart"/>
      <w:r w:rsidRPr="0030751E">
        <w:rPr>
          <w:rFonts w:ascii="Verdana" w:eastAsia="Calibri" w:hAnsi="Verdana" w:cs="Arial"/>
        </w:rPr>
        <w:t>iv</w:t>
      </w:r>
      <w:proofErr w:type="spellEnd"/>
      <w:r w:rsidRPr="0030751E">
        <w:rPr>
          <w:rFonts w:ascii="Verdana" w:eastAsia="Calibri"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0751E">
        <w:rPr>
          <w:rFonts w:ascii="Verdana" w:eastAsia="Calibri" w:hAnsi="Verdana" w:cs="Arial"/>
        </w:rPr>
        <w:t>vii</w:t>
      </w:r>
      <w:proofErr w:type="spellEnd"/>
      <w:r w:rsidRPr="0030751E">
        <w:rPr>
          <w:rFonts w:ascii="Verdana" w:eastAsia="Calibri" w:hAnsi="Verdana" w:cs="Arial"/>
        </w:rPr>
        <w:t>) los procedimientos, trámites y requisitos que deban satisfacerse, reunirse u obtenerse para llevar a cabo la selección del respectivo contratista y la celebración del contrato</w:t>
      </w:r>
      <w:r w:rsidRPr="0030751E">
        <w:rPr>
          <w:rFonts w:ascii="Verdana" w:eastAsia="Aptos" w:hAnsi="Verdana" w:cs="Arial"/>
          <w:vertAlign w:val="superscript"/>
        </w:rPr>
        <w:footnoteReference w:id="2"/>
      </w:r>
      <w:r w:rsidRPr="0030751E">
        <w:rPr>
          <w:rFonts w:ascii="Verdana" w:eastAsia="Aptos" w:hAnsi="Verdana" w:cs="Arial"/>
        </w:rPr>
        <w:t>.</w:t>
      </w:r>
    </w:p>
    <w:p w14:paraId="5944809F" w14:textId="77777777" w:rsidR="004074D3" w:rsidRPr="0030751E" w:rsidRDefault="004074D3" w:rsidP="004074D3">
      <w:pPr>
        <w:spacing w:before="120" w:after="120" w:line="276" w:lineRule="auto"/>
        <w:ind w:firstLine="708"/>
        <w:jc w:val="both"/>
        <w:rPr>
          <w:rFonts w:ascii="Verdana" w:eastAsia="Times New Roman" w:hAnsi="Verdana" w:cs="Arial"/>
          <w:color w:val="000000"/>
          <w:szCs w:val="24"/>
          <w:lang w:val="es-ES_tradnl" w:eastAsia="es-ES_tradnl"/>
        </w:rPr>
      </w:pPr>
      <w:r w:rsidRPr="0030751E">
        <w:rPr>
          <w:rFonts w:ascii="Verdana" w:eastAsia="Times New Roman" w:hAnsi="Verdana" w:cs="Arial"/>
          <w:color w:val="000000"/>
          <w:szCs w:val="24"/>
          <w:lang w:val="es-ES_tradnl" w:eastAsia="es-ES_tradnl"/>
        </w:rPr>
        <w:t xml:space="preserve">Cuando las Entidades Estatales cumplen con los elementos mínimos establecidos en la norma y aquellos adicionales que identifiquen en la etapa de planeación de los procedimientos de contratación, permiten que los contratos resultantes cuenten con el sustento técnico, económico y jurídico que incidirá en una adecuada ejecución. Así pues, más allá </w:t>
      </w:r>
      <w:r w:rsidRPr="0030751E">
        <w:rPr>
          <w:rFonts w:ascii="Verdana" w:eastAsia="Times New Roman" w:hAnsi="Verdana" w:cs="Arial"/>
          <w:szCs w:val="24"/>
          <w:lang w:eastAsia="es-ES_tradnl"/>
        </w:rPr>
        <w:t xml:space="preserve">del cumplimiento de la normativa, “los estudios y documentos previos son el soporte para elaborar el proyecto de </w:t>
      </w:r>
      <w:r w:rsidRPr="0030751E">
        <w:rPr>
          <w:rFonts w:ascii="Verdana" w:eastAsia="Times New Roman" w:hAnsi="Verdana" w:cs="Arial"/>
          <w:szCs w:val="24"/>
          <w:lang w:eastAsia="es-ES_tradnl"/>
        </w:rPr>
        <w:lastRenderedPageBreak/>
        <w:t>pliegos, los pliegos de condiciones, y el contrato”</w:t>
      </w:r>
      <w:r w:rsidRPr="0030751E">
        <w:rPr>
          <w:rFonts w:ascii="Verdana" w:eastAsia="Times New Roman" w:hAnsi="Verdana" w:cs="Arial"/>
          <w:szCs w:val="24"/>
          <w:vertAlign w:val="superscript"/>
          <w:lang w:eastAsia="es-ES_tradnl"/>
        </w:rPr>
        <w:footnoteReference w:id="3"/>
      </w:r>
      <w:r w:rsidRPr="0030751E">
        <w:rPr>
          <w:rFonts w:ascii="Verdana" w:eastAsia="Times New Roman" w:hAnsi="Verdana" w:cs="Arial"/>
          <w:szCs w:val="24"/>
          <w:lang w:eastAsia="es-ES_tradnl"/>
        </w:rPr>
        <w:t>, por lo que deben publicarse en la etapa precontractual y sirven de motivación para los documentos expedidos unilateralmente por la entidad, tales como, el acto administrativo de apertura, los pliegos de condiciones y el acto de adjudicación, entre otros.</w:t>
      </w:r>
    </w:p>
    <w:p w14:paraId="34073671" w14:textId="77777777" w:rsidR="004074D3" w:rsidRPr="0030751E" w:rsidRDefault="004074D3" w:rsidP="004074D3">
      <w:pPr>
        <w:spacing w:after="120" w:line="276" w:lineRule="auto"/>
        <w:ind w:firstLine="709"/>
        <w:jc w:val="both"/>
        <w:rPr>
          <w:rFonts w:ascii="Verdana" w:eastAsia="Aptos" w:hAnsi="Verdana" w:cs="Arial"/>
        </w:rPr>
      </w:pPr>
      <w:r w:rsidRPr="0030751E">
        <w:rPr>
          <w:rFonts w:ascii="Verdana" w:eastAsia="Times New Roman" w:hAnsi="Verdana" w:cs="Arial"/>
          <w:color w:val="000000"/>
          <w:szCs w:val="24"/>
          <w:lang w:val="es-ES_tradnl" w:eastAsia="es-ES_tradnl"/>
        </w:rPr>
        <w:t>De lo explicado se desprende que los estudios y documentos previos son necesarios antes de la celebración del contrato, pues fundamentan las condiciones que la Entidad Estatal exige en un proceso de contratación. Sin embargo, luego de la suscripción del contrato la entidad no debe actuar unilateralmente, sino que debe respetar la buena fe contractual y proceder de acuerdo con lo pactado</w:t>
      </w:r>
      <w:r w:rsidRPr="0030751E">
        <w:rPr>
          <w:rFonts w:ascii="Verdana" w:eastAsia="Aptos" w:hAnsi="Verdana" w:cs="Arial"/>
          <w:vertAlign w:val="superscript"/>
        </w:rPr>
        <w:footnoteReference w:id="4"/>
      </w:r>
      <w:r w:rsidRPr="0030751E">
        <w:rPr>
          <w:rFonts w:ascii="Verdana" w:eastAsia="Aptos" w:hAnsi="Verdana" w:cs="Arial"/>
        </w:rPr>
        <w:t>.</w:t>
      </w:r>
    </w:p>
    <w:p w14:paraId="13C06F5C" w14:textId="77777777" w:rsidR="004074D3" w:rsidRPr="0030751E" w:rsidRDefault="004074D3" w:rsidP="004074D3">
      <w:pPr>
        <w:spacing w:before="120" w:after="120" w:line="276" w:lineRule="auto"/>
        <w:ind w:firstLine="709"/>
        <w:jc w:val="both"/>
        <w:rPr>
          <w:rFonts w:ascii="Verdana" w:eastAsia="Times New Roman" w:hAnsi="Verdana" w:cs="Arial"/>
          <w:szCs w:val="24"/>
          <w:lang w:eastAsia="es-ES_tradnl"/>
        </w:rPr>
      </w:pPr>
      <w:r w:rsidRPr="0030751E">
        <w:rPr>
          <w:rFonts w:ascii="Verdana" w:eastAsia="Times New Roman" w:hAnsi="Verdana" w:cs="Arial"/>
          <w:szCs w:val="24"/>
          <w:lang w:eastAsia="es-ES_tradnl"/>
        </w:rPr>
        <w:t>Sin embargo, pese a que los estudios del sector son de gran relevancia en los procesos de contratación donde existe pluralidad de oferentes, nada obsta para que se elaboren allí donde no existiría competencia, como es el caso de la contratación de prestación de servicios mediante la contratación directa. Para estos efectos, la “Guía para la Elaboración de Estudios del Sector”</w:t>
      </w:r>
      <w:r w:rsidRPr="0030751E">
        <w:rPr>
          <w:rFonts w:ascii="Verdana" w:eastAsia="Calibri" w:hAnsi="Verdana" w:cs="Arial"/>
          <w:bCs/>
          <w:vertAlign w:val="superscript"/>
          <w:lang w:val="es-ES_tradnl"/>
        </w:rPr>
        <w:footnoteReference w:id="5"/>
      </w:r>
      <w:r w:rsidRPr="0030751E">
        <w:rPr>
          <w:rFonts w:ascii="Verdana" w:eastAsia="Times New Roman" w:hAnsi="Verdana" w:cs="Arial"/>
          <w:szCs w:val="24"/>
          <w:lang w:eastAsia="es-ES_tradnl"/>
        </w:rPr>
        <w:t xml:space="preserve"> expedida por esta Agencia, explica que “[e]n la contratación directa, el Estudio del Sector debe tener en cuenta el objeto del Proceso de Contratación, y particularmente las condiciones del contrato, como los plazos, formas de entrega y de pago. […]”. A su vez, en dicho documento se indica que “[e]n un contrato de prestación de servicios profesionales, el Estudio del Sector depende del objeto del contrato y de las condiciones de idoneidad y/o experiencia que llevan a contratar a la persona natural o jurídica que está en condiciones de desarrollar dicho objeto […]”. </w:t>
      </w:r>
    </w:p>
    <w:p w14:paraId="587CDBE3" w14:textId="77777777" w:rsidR="004074D3" w:rsidRPr="0030751E" w:rsidRDefault="004074D3" w:rsidP="004074D3">
      <w:pPr>
        <w:spacing w:after="0" w:line="276" w:lineRule="auto"/>
        <w:ind w:firstLine="709"/>
        <w:jc w:val="both"/>
        <w:rPr>
          <w:rFonts w:ascii="Verdana" w:eastAsia="Times New Roman" w:hAnsi="Verdana" w:cs="Arial"/>
          <w:szCs w:val="24"/>
          <w:lang w:eastAsia="es-ES_tradnl"/>
        </w:rPr>
      </w:pPr>
      <w:r w:rsidRPr="0030751E">
        <w:rPr>
          <w:rFonts w:ascii="Verdana" w:eastAsia="Times New Roman" w:hAnsi="Verdana" w:cs="Arial"/>
          <w:szCs w:val="24"/>
          <w:lang w:eastAsia="es-ES_tradnl"/>
        </w:rPr>
        <w:lastRenderedPageBreak/>
        <w:t>En ese sentido, si una entidad pretende desarrollar por ejemplo, la contratación directa de prestación de servicios a la luz de lo dispuesto en el literal h), del numeral 4, del artículo 2 de la Ley 1150 de 2007, deberá consignar en los</w:t>
      </w:r>
      <w:r w:rsidRPr="0030751E">
        <w:rPr>
          <w:rFonts w:ascii="Verdana" w:eastAsia="Times New Roman" w:hAnsi="Verdana" w:cs="Arial"/>
          <w:i/>
          <w:iCs/>
          <w:szCs w:val="24"/>
          <w:lang w:eastAsia="es-ES_tradnl"/>
        </w:rPr>
        <w:t xml:space="preserve"> </w:t>
      </w:r>
      <w:r w:rsidRPr="0030751E">
        <w:rPr>
          <w:rFonts w:ascii="Verdana" w:eastAsia="Times New Roman" w:hAnsi="Verdana" w:cs="Arial"/>
          <w:szCs w:val="24"/>
          <w:lang w:eastAsia="es-ES_tradnl"/>
        </w:rPr>
        <w:t>documentos del proceso</w:t>
      </w:r>
      <w:r w:rsidRPr="0030751E">
        <w:rPr>
          <w:rFonts w:ascii="Verdana" w:eastAsia="Times New Roman" w:hAnsi="Verdana" w:cs="Arial"/>
          <w:i/>
          <w:iCs/>
          <w:szCs w:val="24"/>
          <w:lang w:eastAsia="es-ES_tradnl"/>
        </w:rPr>
        <w:t xml:space="preserve">, </w:t>
      </w:r>
      <w:r w:rsidRPr="0030751E">
        <w:rPr>
          <w:rFonts w:ascii="Verdana" w:eastAsia="Times New Roman" w:hAnsi="Verdana" w:cs="Arial"/>
          <w:szCs w:val="24"/>
          <w:lang w:eastAsia="es-ES_tradnl"/>
        </w:rPr>
        <w:t>bien sea en los estudios previos o en la información de soporte de estos, los aspectos de que trata el artículo 2.2.1.1.2.1.1 del Decreto 1082 de 2015, esto es:</w:t>
      </w:r>
    </w:p>
    <w:p w14:paraId="490C6789" w14:textId="77777777" w:rsidR="004074D3" w:rsidRPr="0030751E" w:rsidRDefault="004074D3" w:rsidP="004074D3">
      <w:pPr>
        <w:spacing w:after="0" w:line="276" w:lineRule="auto"/>
        <w:ind w:firstLine="709"/>
        <w:jc w:val="both"/>
        <w:rPr>
          <w:rFonts w:ascii="Verdana" w:eastAsia="Times New Roman" w:hAnsi="Verdana" w:cs="Arial"/>
          <w:szCs w:val="24"/>
          <w:lang w:eastAsia="es-ES_tradnl"/>
        </w:rPr>
      </w:pPr>
    </w:p>
    <w:p w14:paraId="7BECC4F6"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“1. La descripción de la necesidad que la Entidad Estatal pretende satisfacer con el Proceso de Contratación.  </w:t>
      </w:r>
    </w:p>
    <w:p w14:paraId="454D1B89"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3A262E83"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3. La modalidad de selección del contratista y su justificación, incluyendo los fundamentos jurídicos.  </w:t>
      </w:r>
    </w:p>
    <w:p w14:paraId="65D325F6"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4. El valor estimado del contrato y la justificación del mismo. […]</w:t>
      </w:r>
    </w:p>
    <w:p w14:paraId="70644E6B"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5. Los criterios para seleccionar la oferta más favorable.</w:t>
      </w:r>
    </w:p>
    <w:p w14:paraId="532148F8"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6. El análisis de Riesgo y la forma de mitigarlo.</w:t>
      </w:r>
    </w:p>
    <w:p w14:paraId="3EF933BA"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7. Las garantías que la Entidad Estatal contempla exigir en el proceso de contratación.</w:t>
      </w:r>
    </w:p>
    <w:p w14:paraId="7942340B"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 xml:space="preserve">8. La indicación de si el proceso de contratación está cobijado por un acuerdo comercial.  </w:t>
      </w:r>
    </w:p>
    <w:p w14:paraId="7BD38327" w14:textId="77777777" w:rsidR="004074D3" w:rsidRPr="0030751E" w:rsidRDefault="004074D3" w:rsidP="004074D3">
      <w:pPr>
        <w:spacing w:after="0" w:line="240" w:lineRule="auto"/>
        <w:ind w:left="709" w:right="709"/>
        <w:jc w:val="both"/>
        <w:rPr>
          <w:rFonts w:ascii="Verdana" w:eastAsia="Times New Roman" w:hAnsi="Verdana" w:cs="Arial"/>
          <w:sz w:val="20"/>
          <w:lang w:eastAsia="es-ES_tradnl"/>
        </w:rPr>
      </w:pPr>
      <w:r w:rsidRPr="0030751E">
        <w:rPr>
          <w:rFonts w:ascii="Verdana" w:eastAsia="Times New Roman" w:hAnsi="Verdana" w:cs="Arial"/>
          <w:sz w:val="20"/>
          <w:lang w:eastAsia="es-ES_tradnl"/>
        </w:rPr>
        <w:t>[…]”.</w:t>
      </w:r>
    </w:p>
    <w:p w14:paraId="7C5B646D" w14:textId="77777777" w:rsidR="004074D3" w:rsidRPr="0030751E" w:rsidRDefault="004074D3" w:rsidP="004074D3">
      <w:pPr>
        <w:spacing w:after="0" w:line="276" w:lineRule="auto"/>
        <w:ind w:firstLine="709"/>
        <w:jc w:val="both"/>
        <w:rPr>
          <w:rFonts w:ascii="Verdana" w:eastAsia="Times New Roman" w:hAnsi="Verdana" w:cs="Arial"/>
          <w:szCs w:val="24"/>
          <w:lang w:eastAsia="es-ES_tradnl"/>
        </w:rPr>
      </w:pPr>
    </w:p>
    <w:p w14:paraId="5928B424" w14:textId="77777777" w:rsidR="004074D3" w:rsidRPr="0030751E" w:rsidRDefault="004074D3" w:rsidP="004074D3">
      <w:pPr>
        <w:spacing w:after="0" w:line="276" w:lineRule="auto"/>
        <w:ind w:firstLine="709"/>
        <w:jc w:val="both"/>
        <w:rPr>
          <w:rFonts w:ascii="Verdana" w:eastAsia="Times New Roman" w:hAnsi="Verdana" w:cs="Arial"/>
          <w:szCs w:val="24"/>
          <w:lang w:eastAsia="es-ES_tradnl"/>
        </w:rPr>
      </w:pPr>
      <w:r w:rsidRPr="0030751E">
        <w:rPr>
          <w:rFonts w:ascii="Verdana" w:eastAsia="Times New Roman" w:hAnsi="Verdana" w:cs="Arial"/>
          <w:szCs w:val="24"/>
          <w:lang w:eastAsia="es-ES_tradnl"/>
        </w:rPr>
        <w:t xml:space="preserve">Adicionalmente, resulta a bien resaltar la autonomía de las Entidades Estatales para estructurar los estudios previos, siempre y cuando observen los aspectos que estos deben contener, de conformidad con los artículos 2.2.1.1.1.6.1, 2.2.1.1.2.1.1 y 2.2.1.2.1.4.9 del Decreto 1082 de 2015. En todo caso, tratándose contratos de prestación de servicios, los estudios previos deben entrar a justificar las particularidades del objeto contractual de cara a la satisfacción de la necesidad de la Entidad Estatal en atención a la cual se requiere el respectivo contrato. De esto dependerán las regulaciones que se establezcan en la minuta del contrato en cuanto a la temporalidad, pago y demás asuntos relevantes del negocio jurídico, que, sin perjuicio de estar mediados por la autonomía de la voluntad de las partes para establecer las condiciones del contrato, deben tener una justificación expresada en los estudios y documentos previos. </w:t>
      </w:r>
    </w:p>
    <w:p w14:paraId="09939D60" w14:textId="77777777" w:rsidR="004074D3" w:rsidRPr="0030751E" w:rsidRDefault="004074D3" w:rsidP="004074D3">
      <w:pPr>
        <w:spacing w:after="0" w:line="276" w:lineRule="auto"/>
        <w:jc w:val="both"/>
        <w:rPr>
          <w:rFonts w:ascii="Arial" w:eastAsia="Aptos" w:hAnsi="Arial" w:cs="Arial"/>
        </w:rPr>
      </w:pPr>
    </w:p>
    <w:p w14:paraId="7F092C9C" w14:textId="77777777" w:rsidR="004074D3" w:rsidRPr="0030751E" w:rsidRDefault="004074D3" w:rsidP="004074D3">
      <w:pPr>
        <w:spacing w:after="0" w:line="276" w:lineRule="auto"/>
        <w:jc w:val="both"/>
        <w:rPr>
          <w:rFonts w:ascii="Verdana" w:eastAsia="Aptos" w:hAnsi="Verdana" w:cs="Arial"/>
        </w:rPr>
      </w:pPr>
      <w:proofErr w:type="spellStart"/>
      <w:r w:rsidRPr="0030751E">
        <w:rPr>
          <w:rFonts w:ascii="Verdana" w:eastAsia="Aptos" w:hAnsi="Verdana" w:cs="Arial"/>
        </w:rPr>
        <w:t>ii</w:t>
      </w:r>
      <w:proofErr w:type="spellEnd"/>
      <w:r w:rsidRPr="0030751E">
        <w:rPr>
          <w:rFonts w:ascii="Verdana" w:eastAsia="Aptos" w:hAnsi="Verdana" w:cs="Arial"/>
        </w:rPr>
        <w:t xml:space="preserve">) Por otra parte, en el marco de lo dispuesto en los artículos 4, 5, 12, 14 y 26 de la Ley 80 de 1993, las Entidades Estatales tienen la obligación de velar por </w:t>
      </w:r>
      <w:r w:rsidRPr="0030751E">
        <w:rPr>
          <w:rFonts w:ascii="Verdana" w:eastAsia="Aptos" w:hAnsi="Verdana" w:cs="Arial"/>
        </w:rPr>
        <w:lastRenderedPageBreak/>
        <w:t>el correcto y oportuno cumplimiento de las prestaciones del contrato,</w:t>
      </w:r>
      <w:r w:rsidRPr="0030751E">
        <w:rPr>
          <w:rFonts w:ascii="Aptos" w:eastAsia="Aptos" w:hAnsi="Aptos" w:cs="Arial"/>
        </w:rPr>
        <w:t xml:space="preserve"> </w:t>
      </w:r>
      <w:r w:rsidRPr="0030751E">
        <w:rPr>
          <w:rFonts w:ascii="Verdana" w:eastAsia="Aptos" w:hAnsi="Verdana" w:cs="Arial"/>
        </w:rPr>
        <w:t xml:space="preserve">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 </w:t>
      </w:r>
    </w:p>
    <w:p w14:paraId="1E015A7B" w14:textId="77777777" w:rsidR="004074D3" w:rsidRPr="0030751E" w:rsidRDefault="004074D3" w:rsidP="004074D3">
      <w:pPr>
        <w:spacing w:before="120" w:after="0" w:line="276" w:lineRule="auto"/>
        <w:ind w:firstLine="709"/>
        <w:jc w:val="both"/>
        <w:rPr>
          <w:rFonts w:ascii="Verdana" w:eastAsia="Aptos" w:hAnsi="Verdana" w:cs="Arial"/>
          <w:lang w:val="es-ES_tradnl" w:eastAsia="es-MX"/>
        </w:rPr>
      </w:pPr>
      <w:r w:rsidRPr="0030751E">
        <w:rPr>
          <w:rFonts w:ascii="Verdana" w:eastAsia="Aptos" w:hAnsi="Verdana" w:cs="Arial"/>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30751E">
        <w:rPr>
          <w:rFonts w:ascii="Verdana" w:eastAsia="Aptos" w:hAnsi="Verdana" w:cs="Arial"/>
          <w:vertAlign w:val="superscript"/>
          <w:lang w:val="es-ES_tradnl" w:eastAsia="es-MX"/>
        </w:rPr>
        <w:footnoteReference w:id="6"/>
      </w:r>
      <w:r w:rsidRPr="0030751E">
        <w:rPr>
          <w:rFonts w:ascii="Verdana" w:eastAsia="Aptos" w:hAnsi="Verdana" w:cs="Arial"/>
          <w:lang w:val="es-ES_tradnl" w:eastAsia="es-MX"/>
        </w:rPr>
        <w:t>.</w:t>
      </w:r>
      <w:r w:rsidRPr="0030751E">
        <w:rPr>
          <w:rFonts w:ascii="Verdana" w:eastAsia="Aptos" w:hAnsi="Verdana" w:cs="Arial"/>
        </w:rPr>
        <w:t xml:space="preserve"> También se establecen los límites de la responsabilidad del representante legal ante la delegación de sus funciones en materia contractual</w:t>
      </w:r>
      <w:r w:rsidRPr="0030751E">
        <w:rPr>
          <w:rFonts w:ascii="Verdana" w:eastAsia="Aptos" w:hAnsi="Verdana" w:cs="Arial"/>
          <w:vertAlign w:val="superscript"/>
          <w:lang w:val="es-ES_tradnl" w:eastAsia="es-MX"/>
        </w:rPr>
        <w:footnoteReference w:id="7"/>
      </w:r>
      <w:r w:rsidRPr="0030751E">
        <w:rPr>
          <w:rFonts w:ascii="Verdana" w:eastAsia="Aptos" w:hAnsi="Verdana" w:cs="Arial"/>
        </w:rPr>
        <w:t xml:space="preserve"> </w:t>
      </w:r>
      <w:r w:rsidRPr="0030751E">
        <w:rPr>
          <w:rFonts w:ascii="Verdana" w:eastAsia="Aptos" w:hAnsi="Verdana" w:cs="Arial"/>
          <w:lang w:val="es-ES_tradnl" w:eastAsia="es-MX"/>
        </w:rPr>
        <w:t>y se regula la supervisión y la interventoría de los contratos estatales</w:t>
      </w:r>
      <w:r w:rsidRPr="0030751E">
        <w:rPr>
          <w:rFonts w:ascii="Verdana" w:eastAsia="Aptos" w:hAnsi="Verdana" w:cs="Arial"/>
          <w:vertAlign w:val="superscript"/>
          <w:lang w:val="es-ES_tradnl" w:eastAsia="es-MX"/>
        </w:rPr>
        <w:footnoteReference w:id="8"/>
      </w:r>
      <w:r w:rsidRPr="0030751E">
        <w:rPr>
          <w:rFonts w:ascii="Verdana" w:eastAsia="Aptos" w:hAnsi="Verdana" w:cs="Arial"/>
          <w:lang w:val="es-ES_tradnl" w:eastAsia="es-MX"/>
        </w:rPr>
        <w:t>.</w:t>
      </w:r>
    </w:p>
    <w:p w14:paraId="34F8D343" w14:textId="77777777" w:rsidR="004074D3" w:rsidRPr="0030751E" w:rsidRDefault="004074D3" w:rsidP="004074D3">
      <w:pPr>
        <w:spacing w:before="120" w:after="0" w:line="276" w:lineRule="auto"/>
        <w:ind w:firstLine="708"/>
        <w:jc w:val="both"/>
        <w:textAlignment w:val="baseline"/>
        <w:rPr>
          <w:rFonts w:ascii="Verdana" w:eastAsia="Aptos" w:hAnsi="Verdana" w:cs="Arial"/>
          <w:lang w:val="es-ES_tradnl" w:eastAsia="es-MX"/>
        </w:rPr>
      </w:pPr>
      <w:r w:rsidRPr="0030751E">
        <w:rPr>
          <w:rFonts w:ascii="Verdana" w:eastAsia="Aptos" w:hAnsi="Verdana" w:cs="Arial"/>
        </w:rPr>
        <w:t xml:space="preserve">En consecuencia, </w:t>
      </w:r>
      <w:r w:rsidRPr="0030751E">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48CD7C1E" w14:textId="77777777" w:rsidR="004074D3" w:rsidRPr="0030751E" w:rsidRDefault="004074D3" w:rsidP="004074D3">
      <w:pPr>
        <w:spacing w:after="0"/>
        <w:ind w:left="709"/>
        <w:contextualSpacing/>
        <w:jc w:val="both"/>
        <w:rPr>
          <w:rFonts w:ascii="Verdana" w:eastAsia="Aptos" w:hAnsi="Verdana" w:cs="Arial"/>
          <w:lang w:val="es-ES_tradnl" w:eastAsia="es-MX"/>
        </w:rPr>
      </w:pPr>
    </w:p>
    <w:p w14:paraId="0E1F6F61" w14:textId="77777777" w:rsidR="004074D3" w:rsidRPr="0030751E" w:rsidRDefault="004074D3" w:rsidP="004074D3">
      <w:pPr>
        <w:spacing w:after="0" w:line="240" w:lineRule="auto"/>
        <w:ind w:left="1416" w:right="709"/>
        <w:contextualSpacing/>
        <w:jc w:val="both"/>
        <w:rPr>
          <w:rFonts w:ascii="Verdana" w:eastAsia="Aptos" w:hAnsi="Verdana" w:cs="Arial"/>
          <w:sz w:val="20"/>
          <w:szCs w:val="20"/>
          <w:lang w:val="es-ES_tradnl" w:eastAsia="es-MX"/>
        </w:rPr>
      </w:pPr>
      <w:bookmarkStart w:id="4" w:name="_Hlk178671999"/>
      <w:r w:rsidRPr="0030751E">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4"/>
      <w:r w:rsidRPr="0030751E">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30751E">
        <w:rPr>
          <w:rFonts w:ascii="Verdana" w:eastAsia="Aptos" w:hAnsi="Verdana" w:cs="Arial"/>
          <w:sz w:val="20"/>
          <w:szCs w:val="20"/>
          <w:vertAlign w:val="superscript"/>
          <w:lang w:val="es-ES_tradnl" w:eastAsia="es-MX"/>
        </w:rPr>
        <w:footnoteReference w:id="9"/>
      </w:r>
      <w:r w:rsidRPr="0030751E">
        <w:rPr>
          <w:rFonts w:ascii="Verdana" w:eastAsia="Aptos" w:hAnsi="Verdana" w:cs="Arial"/>
          <w:sz w:val="20"/>
          <w:szCs w:val="20"/>
          <w:lang w:val="es-ES_tradnl" w:eastAsia="es-MX"/>
        </w:rPr>
        <w:t>.</w:t>
      </w:r>
    </w:p>
    <w:p w14:paraId="6700A5F7" w14:textId="77777777" w:rsidR="004074D3" w:rsidRPr="0030751E" w:rsidRDefault="004074D3" w:rsidP="004074D3">
      <w:pPr>
        <w:spacing w:after="0" w:line="276" w:lineRule="auto"/>
        <w:ind w:firstLine="708"/>
        <w:jc w:val="both"/>
        <w:rPr>
          <w:rFonts w:ascii="Verdana" w:eastAsia="Aptos" w:hAnsi="Verdana" w:cs="Arial"/>
        </w:rPr>
      </w:pPr>
    </w:p>
    <w:p w14:paraId="1EEBEABF" w14:textId="77777777" w:rsidR="004074D3" w:rsidRPr="0030751E" w:rsidRDefault="004074D3" w:rsidP="004074D3">
      <w:pPr>
        <w:spacing w:after="0" w:line="276" w:lineRule="auto"/>
        <w:ind w:firstLine="708"/>
        <w:jc w:val="both"/>
        <w:textAlignment w:val="baseline"/>
        <w:rPr>
          <w:rFonts w:ascii="Verdana" w:eastAsia="Aptos" w:hAnsi="Verdana" w:cs="Arial"/>
          <w:lang w:eastAsia="es-MX"/>
        </w:rPr>
      </w:pPr>
      <w:r w:rsidRPr="0030751E">
        <w:rPr>
          <w:rFonts w:ascii="Verdana" w:eastAsia="Aptos" w:hAnsi="Verdana" w:cs="Arial"/>
        </w:rPr>
        <w:t xml:space="preserve">De esta forma, </w:t>
      </w:r>
      <w:r w:rsidRPr="0030751E">
        <w:rPr>
          <w:rFonts w:ascii="Verdana" w:eastAsia="Aptos" w:hAnsi="Verdana" w:cs="Arial"/>
          <w:lang w:eastAsia="es-MX"/>
        </w:rPr>
        <w:t xml:space="preserve">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5B995815" w14:textId="77777777" w:rsidR="004074D3" w:rsidRPr="0030751E" w:rsidRDefault="004074D3" w:rsidP="004074D3">
      <w:pPr>
        <w:spacing w:after="0" w:line="276" w:lineRule="auto"/>
        <w:ind w:left="720"/>
        <w:contextualSpacing/>
        <w:jc w:val="both"/>
        <w:textAlignment w:val="baseline"/>
        <w:rPr>
          <w:rFonts w:ascii="Verdana" w:eastAsia="Aptos" w:hAnsi="Verdana" w:cs="Arial"/>
          <w:lang w:val="es-ES_tradnl" w:eastAsia="es-MX"/>
        </w:rPr>
      </w:pPr>
    </w:p>
    <w:p w14:paraId="24D50E66" w14:textId="77777777" w:rsidR="004074D3" w:rsidRPr="0030751E" w:rsidRDefault="004074D3" w:rsidP="004074D3">
      <w:pPr>
        <w:spacing w:after="0" w:line="240" w:lineRule="auto"/>
        <w:ind w:left="709" w:right="709"/>
        <w:jc w:val="both"/>
        <w:textAlignment w:val="baseline"/>
        <w:rPr>
          <w:rFonts w:ascii="Verdana" w:eastAsia="Aptos" w:hAnsi="Verdana" w:cs="Arial"/>
          <w:sz w:val="20"/>
          <w:szCs w:val="20"/>
          <w:lang w:val="es-ES" w:eastAsia="es-MX"/>
        </w:rPr>
      </w:pPr>
      <w:r w:rsidRPr="0030751E">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1C9620B2" w14:textId="77777777" w:rsidR="004074D3" w:rsidRPr="0030751E" w:rsidRDefault="004074D3" w:rsidP="004074D3">
      <w:pPr>
        <w:spacing w:after="0" w:line="240" w:lineRule="auto"/>
        <w:ind w:left="709" w:right="709"/>
        <w:jc w:val="both"/>
        <w:textAlignment w:val="baseline"/>
        <w:rPr>
          <w:rFonts w:ascii="Verdana" w:eastAsia="Aptos" w:hAnsi="Verdana" w:cs="Arial"/>
          <w:sz w:val="20"/>
          <w:szCs w:val="20"/>
          <w:lang w:val="es-ES" w:eastAsia="es-MX"/>
        </w:rPr>
      </w:pPr>
    </w:p>
    <w:p w14:paraId="467104A3" w14:textId="77777777" w:rsidR="004074D3" w:rsidRPr="0030751E" w:rsidRDefault="004074D3" w:rsidP="004074D3">
      <w:pPr>
        <w:spacing w:after="0" w:line="240" w:lineRule="auto"/>
        <w:ind w:left="709" w:right="709"/>
        <w:jc w:val="both"/>
        <w:textAlignment w:val="baseline"/>
        <w:rPr>
          <w:rFonts w:ascii="Verdana" w:eastAsia="Aptos" w:hAnsi="Verdana" w:cs="Arial"/>
          <w:sz w:val="20"/>
          <w:szCs w:val="20"/>
          <w:lang w:val="es-ES" w:eastAsia="es-MX"/>
        </w:rPr>
      </w:pPr>
      <w:r w:rsidRPr="0030751E">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30751E">
        <w:rPr>
          <w:rFonts w:ascii="Verdana" w:eastAsia="Aptos" w:hAnsi="Verdana" w:cs="Arial"/>
          <w:sz w:val="20"/>
          <w:szCs w:val="20"/>
          <w:vertAlign w:val="superscript"/>
          <w:lang w:val="es-ES" w:eastAsia="es-MX"/>
        </w:rPr>
        <w:footnoteReference w:id="10"/>
      </w:r>
      <w:r w:rsidRPr="0030751E">
        <w:rPr>
          <w:rFonts w:ascii="Verdana" w:eastAsia="Aptos" w:hAnsi="Verdana" w:cs="Arial"/>
          <w:sz w:val="20"/>
          <w:szCs w:val="20"/>
          <w:lang w:val="es-ES" w:eastAsia="es-MX"/>
        </w:rPr>
        <w:t>.</w:t>
      </w:r>
    </w:p>
    <w:p w14:paraId="78CBAEFD" w14:textId="77777777" w:rsidR="004074D3" w:rsidRPr="0030751E" w:rsidRDefault="004074D3" w:rsidP="004074D3">
      <w:pPr>
        <w:spacing w:after="0" w:line="276" w:lineRule="auto"/>
        <w:jc w:val="both"/>
        <w:textAlignment w:val="baseline"/>
        <w:rPr>
          <w:rFonts w:ascii="Verdana" w:eastAsia="Aptos" w:hAnsi="Verdana" w:cs="Arial"/>
          <w:lang w:eastAsia="es-MX"/>
        </w:rPr>
      </w:pPr>
    </w:p>
    <w:p w14:paraId="39050E94" w14:textId="77777777" w:rsidR="004074D3" w:rsidRPr="0030751E" w:rsidRDefault="004074D3" w:rsidP="004074D3">
      <w:pPr>
        <w:tabs>
          <w:tab w:val="left" w:pos="709"/>
        </w:tabs>
        <w:spacing w:after="0" w:line="276" w:lineRule="auto"/>
        <w:jc w:val="both"/>
        <w:rPr>
          <w:rFonts w:ascii="Verdana" w:eastAsia="Calibri" w:hAnsi="Verdana" w:cs="Arial"/>
          <w:shd w:val="clear" w:color="auto" w:fill="FFFFFF"/>
        </w:rPr>
      </w:pPr>
      <w:r w:rsidRPr="0030751E">
        <w:rPr>
          <w:rFonts w:ascii="Verdana" w:eastAsia="Aptos" w:hAnsi="Verdana" w:cs="Arial"/>
          <w:bCs/>
        </w:rPr>
        <w:tab/>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30751E">
        <w:rPr>
          <w:rFonts w:ascii="Verdana" w:eastAsia="Aptos" w:hAnsi="Verdana" w:cs="Arial"/>
          <w:bCs/>
          <w:vertAlign w:val="superscript"/>
        </w:rPr>
        <w:footnoteReference w:id="11"/>
      </w:r>
      <w:r w:rsidRPr="0030751E">
        <w:rPr>
          <w:rFonts w:ascii="Verdana" w:eastAsia="Aptos" w:hAnsi="Verdana" w:cs="Arial"/>
          <w:bCs/>
        </w:rPr>
        <w:t xml:space="preserve">–; </w:t>
      </w:r>
      <w:proofErr w:type="spellStart"/>
      <w:r w:rsidRPr="0030751E">
        <w:rPr>
          <w:rFonts w:ascii="Verdana" w:eastAsia="Aptos" w:hAnsi="Verdana" w:cs="Arial"/>
          <w:bCs/>
        </w:rPr>
        <w:t>ii</w:t>
      </w:r>
      <w:proofErr w:type="spellEnd"/>
      <w:r w:rsidRPr="0030751E">
        <w:rPr>
          <w:rFonts w:ascii="Verdana" w:eastAsia="Aptos" w:hAnsi="Verdana" w:cs="Arial"/>
          <w:bCs/>
        </w:rPr>
        <w:t xml:space="preserve">) no requiere </w:t>
      </w:r>
      <w:r w:rsidRPr="0030751E">
        <w:rPr>
          <w:rFonts w:ascii="Verdana" w:eastAsia="Aptos" w:hAnsi="Verdana" w:cs="Arial"/>
          <w:bCs/>
        </w:rPr>
        <w:lastRenderedPageBreak/>
        <w:t xml:space="preserve">conocimientos tan especializados como la interventoría; </w:t>
      </w:r>
      <w:proofErr w:type="spellStart"/>
      <w:r w:rsidRPr="0030751E">
        <w:rPr>
          <w:rFonts w:ascii="Verdana" w:eastAsia="Aptos" w:hAnsi="Verdana" w:cs="Arial"/>
          <w:bCs/>
        </w:rPr>
        <w:t>iii</w:t>
      </w:r>
      <w:proofErr w:type="spellEnd"/>
      <w:r w:rsidRPr="0030751E">
        <w:rPr>
          <w:rFonts w:ascii="Verdana" w:eastAsia="Aptos" w:hAnsi="Verdana" w:cs="Arial"/>
          <w:bCs/>
        </w:rPr>
        <w:t xml:space="preserve">) se ejerce por la Entidad Estatal por conducto de la designación de servidores públicos idóneos para cumplir la función; </w:t>
      </w:r>
      <w:proofErr w:type="spellStart"/>
      <w:r w:rsidRPr="0030751E">
        <w:rPr>
          <w:rFonts w:ascii="Verdana" w:eastAsia="Aptos" w:hAnsi="Verdana" w:cs="Arial"/>
          <w:bCs/>
        </w:rPr>
        <w:t>iv</w:t>
      </w:r>
      <w:proofErr w:type="spellEnd"/>
      <w:r w:rsidRPr="0030751E">
        <w:rPr>
          <w:rFonts w:ascii="Verdana" w:eastAsia="Aptos" w:hAnsi="Verdana" w:cs="Arial"/>
          <w:bCs/>
        </w:rPr>
        <w:t xml:space="preserve">) puede recibir apoyo de personal contratado para tal fin mediante contratos de prestación de servicios; y v) le es inseparable el seguimiento técnico, administrativo, financiero, contable y jurídico del contrato vigilado. </w:t>
      </w:r>
      <w:r w:rsidRPr="0030751E">
        <w:rPr>
          <w:rFonts w:ascii="Verdana" w:eastAsia="Calibri" w:hAnsi="Verdana" w:cs="Arial"/>
          <w:shd w:val="clear" w:color="auto" w:fill="FFFFFF"/>
        </w:rPr>
        <w:t xml:space="preserve">En ese sentido, puede colegirse que la supervisión es uno de los medios para que las entidades ejerzan la dirección, control y vigilancia de sus contratos, con el fin de lograr el objeto contractual. </w:t>
      </w:r>
    </w:p>
    <w:p w14:paraId="120D288C" w14:textId="77777777" w:rsidR="004074D3" w:rsidRPr="0030751E" w:rsidRDefault="004074D3" w:rsidP="004074D3">
      <w:pPr>
        <w:spacing w:before="120" w:after="0" w:line="276" w:lineRule="auto"/>
        <w:ind w:firstLine="708"/>
        <w:jc w:val="both"/>
        <w:rPr>
          <w:rFonts w:ascii="Verdana" w:eastAsia="Aptos" w:hAnsi="Verdana" w:cs="Arial"/>
        </w:rPr>
      </w:pPr>
      <w:r w:rsidRPr="0030751E">
        <w:rPr>
          <w:rFonts w:ascii="Verdana" w:eastAsia="Aptos" w:hAnsi="Verdana" w:cs="Arial"/>
          <w:lang w:eastAsia="es-MX"/>
        </w:rPr>
        <w:t xml:space="preserve">Ahora bien, y por resultar relevante al tema bajo consulta, se aclara que </w:t>
      </w:r>
      <w:r w:rsidRPr="0030751E">
        <w:rPr>
          <w:rFonts w:ascii="Verdana" w:eastAsia="Calibri" w:hAnsi="Verdana" w:cs="Arial"/>
          <w:color w:val="000000"/>
          <w:lang w:val="es-ES_tradnl"/>
        </w:rPr>
        <w:t>la designación de supervisión de los contratos podrá realizarse por el representante legal de la Entidad Estatal o por el ordenador del gasto, en caso de que esta función se encuentre delegada conforme a las reglas dispuestas en el artículo 12 de la Ley 80 de 1993. D</w:t>
      </w:r>
      <w:proofErr w:type="spellStart"/>
      <w:r w:rsidRPr="0030751E">
        <w:rPr>
          <w:rFonts w:ascii="Verdana" w:eastAsia="Aptos" w:hAnsi="Verdana" w:cs="Arial"/>
        </w:rPr>
        <w:t>e</w:t>
      </w:r>
      <w:proofErr w:type="spellEnd"/>
      <w:r w:rsidRPr="0030751E">
        <w:rPr>
          <w:rFonts w:ascii="Verdana" w:eastAsia="Aptos" w:hAnsi="Verdana" w:cs="Arial"/>
        </w:rPr>
        <w:t xml:space="preserve"> acuerdo con la Ley 489 de 1998 la delegación es la transferencia del ejercicio de las funciones de las autoridades administrativas a sus colaboradores o a otras autoridades con funciones afines o complementarias. Por otro lado, la Ley 80 de 1993 establece que los jefes y los representantes legales de las Entidades Estatales pueden delegar total o parcialmente la competencia para celebrar contratos y realizar licitaciones, lo cual no los exonera de sus deberes de control y vigilancia de la actividad precontractual y contractual.</w:t>
      </w:r>
    </w:p>
    <w:p w14:paraId="1DD9421A" w14:textId="77777777" w:rsidR="004074D3" w:rsidRPr="0030751E" w:rsidRDefault="004074D3" w:rsidP="004074D3">
      <w:pPr>
        <w:spacing w:before="120" w:after="120" w:line="276" w:lineRule="auto"/>
        <w:ind w:firstLine="709"/>
        <w:jc w:val="both"/>
        <w:rPr>
          <w:rFonts w:ascii="Verdana" w:eastAsia="Aptos" w:hAnsi="Verdana" w:cs="Arial"/>
          <w:lang w:val="es-MX"/>
        </w:rPr>
      </w:pPr>
      <w:r w:rsidRPr="0030751E">
        <w:rPr>
          <w:rFonts w:ascii="Verdana" w:eastAsia="Aptos" w:hAnsi="Verdana" w:cs="Arial"/>
          <w:lang w:val="es-MX"/>
        </w:rPr>
        <w:t xml:space="preserve">Si bien el ordenamiento jurídico consagra la figura de la delegación en materia contractual, la designación del supervisor de un contrato no es una delegación en los términos del artículo 9 de la Ley 489 de 1998 ni tampoco del artículo 12 de la Ley 80 de 1993. Lo anterior, dado que la función de supervisión es inherente al desempeño de las funciones ordinarias de los servidores públicos, como lo establece el artículo 83 de la Ley 1474 de 2011, y no es una función asignada exclusivamente al representante legal o al ordenador del gasto. En consecuencia, no es necesario emitir un acto administrativo mediante el cual el representante legal o el ordenador del gasto deleguen la función de supervisión del contrato. En todo caso, el representante legal o el ordenador del gasto de la Entidad Estatal, en el evento de que esta función se encuentre delegada, como responsables de la vigilancia y control de la ejecución del gasto y del contrato, deben designar al supervisor del mismo. </w:t>
      </w:r>
    </w:p>
    <w:p w14:paraId="32C99E9C" w14:textId="77777777" w:rsidR="004074D3" w:rsidRPr="0030751E" w:rsidRDefault="004074D3" w:rsidP="004074D3">
      <w:pPr>
        <w:spacing w:after="120" w:line="276" w:lineRule="auto"/>
        <w:ind w:firstLine="709"/>
        <w:jc w:val="both"/>
        <w:rPr>
          <w:rFonts w:ascii="Verdana" w:eastAsia="Aptos" w:hAnsi="Verdana" w:cs="Arial"/>
          <w:lang w:val="es-MX"/>
        </w:rPr>
      </w:pPr>
      <w:r w:rsidRPr="0030751E">
        <w:rPr>
          <w:rFonts w:ascii="Verdana" w:eastAsia="Aptos" w:hAnsi="Verdana" w:cs="Arial"/>
          <w:lang w:val="es-MX"/>
        </w:rPr>
        <w:t xml:space="preserve">Para tales efectos podrán definirse las funciones del supervisor en el pliego de condiciones, en una cláusula del contrato, en el manual de contratación o en </w:t>
      </w:r>
      <w:r w:rsidRPr="0030751E">
        <w:rPr>
          <w:rFonts w:ascii="Verdana" w:eastAsia="Aptos" w:hAnsi="Verdana" w:cs="Arial"/>
          <w:lang w:val="es-MX"/>
        </w:rPr>
        <w:lastRenderedPageBreak/>
        <w:t>el acto de la asignación de la función al servidor público escogido para ejercer la supervisión</w:t>
      </w:r>
      <w:r w:rsidRPr="0030751E">
        <w:rPr>
          <w:rFonts w:ascii="Verdana" w:eastAsia="Aptos" w:hAnsi="Verdana" w:cs="Arial"/>
          <w:vertAlign w:val="superscript"/>
          <w:lang w:val="es-MX"/>
        </w:rPr>
        <w:footnoteReference w:id="12"/>
      </w:r>
      <w:r w:rsidRPr="0030751E">
        <w:rPr>
          <w:rFonts w:ascii="Verdana" w:eastAsia="Aptos" w:hAnsi="Verdana" w:cs="Arial"/>
          <w:lang w:val="es-MX"/>
        </w:rPr>
        <w:t xml:space="preserve">.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del mismo al funcionario designado informando que va a ser el supervisor. Así mismo, en los procesos adelantados a través de la plataforma SECOP II se debe realizar la designación a través de la misma.  </w:t>
      </w:r>
    </w:p>
    <w:p w14:paraId="7BD6A53A" w14:textId="77777777" w:rsidR="004074D3" w:rsidRPr="0030751E" w:rsidRDefault="004074D3" w:rsidP="004074D3">
      <w:pPr>
        <w:spacing w:before="120" w:after="0" w:line="276" w:lineRule="auto"/>
        <w:ind w:firstLine="709"/>
        <w:jc w:val="both"/>
        <w:rPr>
          <w:rFonts w:ascii="Verdana" w:eastAsia="Calibri" w:hAnsi="Verdana" w:cs="Arial"/>
          <w:color w:val="000000"/>
          <w:lang w:val="es-ES_tradnl"/>
        </w:rPr>
      </w:pPr>
      <w:r w:rsidRPr="0030751E">
        <w:rPr>
          <w:rFonts w:ascii="Verdana" w:eastAsia="Calibri" w:hAnsi="Verdana" w:cs="Arial"/>
          <w:color w:val="000000"/>
          <w:lang w:val="es-ES_tradnl"/>
        </w:rPr>
        <w:t>Ahora bien, en cuanto a los criterios a tener en cuenta para realizar tal designación, la Agencia Nacional de Contratación Pública – Colombia Compra Eficiente en la “Guía para el ejercicio de las funciones de supervisión e interventoría de los contratos suscritos por las Entidades Estatales”</w:t>
      </w:r>
      <w:r w:rsidRPr="0030751E">
        <w:rPr>
          <w:rFonts w:ascii="Verdana" w:eastAsia="Aptos" w:hAnsi="Verdana" w:cs="Arial"/>
          <w:vertAlign w:val="superscript"/>
          <w:lang w:eastAsia="es-MX"/>
        </w:rPr>
        <w:footnoteReference w:id="13"/>
      </w:r>
      <w:r w:rsidRPr="0030751E">
        <w:rPr>
          <w:rFonts w:ascii="Verdana" w:eastAsia="Calibri" w:hAnsi="Verdana" w:cs="Arial"/>
          <w:color w:val="000000"/>
          <w:lang w:val="es-ES_tradnl"/>
        </w:rPr>
        <w:t xml:space="preserve"> recomienda: a) se elija al funcionario público que pueda actuar como par del contratista; b) que tenga asignadas funciones relacionadas con el objeto contractual y; c) que de forma previa, se analice la carga operativa de este para no incurrir en el riesgo de que no pueda desempeñar la labor de forma adecuada.</w:t>
      </w:r>
    </w:p>
    <w:p w14:paraId="748DAB1C" w14:textId="77777777" w:rsidR="004074D3" w:rsidRPr="0030751E" w:rsidRDefault="004074D3" w:rsidP="004074D3">
      <w:pPr>
        <w:spacing w:after="0" w:line="276" w:lineRule="auto"/>
        <w:jc w:val="both"/>
        <w:rPr>
          <w:rFonts w:ascii="Verdana" w:eastAsia="Aptos" w:hAnsi="Verdana" w:cs="Arial"/>
          <w:lang w:eastAsia="es-MX"/>
        </w:rPr>
      </w:pPr>
    </w:p>
    <w:p w14:paraId="79EA59EA" w14:textId="77777777" w:rsidR="004074D3" w:rsidRPr="0030751E" w:rsidRDefault="004074D3" w:rsidP="004074D3">
      <w:pPr>
        <w:spacing w:after="0" w:line="276" w:lineRule="auto"/>
        <w:jc w:val="both"/>
        <w:rPr>
          <w:rFonts w:ascii="Verdana" w:eastAsia="Aptos" w:hAnsi="Verdana" w:cs="Arial"/>
          <w:lang w:eastAsia="es-MX"/>
        </w:rPr>
      </w:pPr>
      <w:proofErr w:type="spellStart"/>
      <w:r w:rsidRPr="0030751E">
        <w:rPr>
          <w:rFonts w:ascii="Verdana" w:eastAsia="Aptos" w:hAnsi="Verdana" w:cs="Arial"/>
          <w:lang w:eastAsia="es-MX"/>
        </w:rPr>
        <w:t>iv</w:t>
      </w:r>
      <w:proofErr w:type="spellEnd"/>
      <w:r w:rsidRPr="0030751E">
        <w:rPr>
          <w:rFonts w:ascii="Verdana" w:eastAsia="Aptos" w:hAnsi="Verdana" w:cs="Arial"/>
          <w:lang w:eastAsia="es-MX"/>
        </w:rPr>
        <w:t>) De otra parte se resalta que, quien ejerza la vigilancia del contrato, ya sea mediante la supervisión o la interventoría, podrá hacer uso de las facultades previstas en el artículo 84 de la Ley 1474 de 2011 para efectuar el seguimiento al cumplimiento obligacional del contrato y estará sometido a los deberes y responsabilidades que implica el ejercicio de dicha actividad.</w:t>
      </w:r>
    </w:p>
    <w:p w14:paraId="2E8852E1" w14:textId="77777777" w:rsidR="004074D3" w:rsidRPr="0030751E" w:rsidRDefault="004074D3" w:rsidP="004074D3">
      <w:pPr>
        <w:spacing w:before="120" w:after="120" w:line="276" w:lineRule="auto"/>
        <w:ind w:firstLine="709"/>
        <w:jc w:val="both"/>
        <w:rPr>
          <w:rFonts w:ascii="Verdana" w:eastAsia="Aptos" w:hAnsi="Verdana" w:cs="Arial"/>
          <w:lang w:eastAsia="es-MX"/>
        </w:rPr>
      </w:pPr>
      <w:r w:rsidRPr="0030751E">
        <w:rPr>
          <w:rFonts w:ascii="Verdana" w:eastAsia="Aptos" w:hAnsi="Verdana" w:cs="Arial"/>
          <w:lang w:eastAsia="es-MX"/>
        </w:rPr>
        <w:t xml:space="preserve">Respecto de tales obligaciones, se tiene que el inciso segundo de la norma referida, establece entre otros aspectos, que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w:t>
      </w:r>
      <w:r w:rsidRPr="0030751E">
        <w:rPr>
          <w:rFonts w:ascii="Verdana" w:eastAsia="Aptos" w:hAnsi="Verdana" w:cs="Arial"/>
          <w:lang w:eastAsia="es-MX"/>
        </w:rPr>
        <w:lastRenderedPageBreak/>
        <w:t>le confiere el EGCAP, y en observancia de las reglas dispuestas en el artículo 86 de la Ley 1474 de 2011.</w:t>
      </w:r>
    </w:p>
    <w:p w14:paraId="3EE058BB" w14:textId="77777777" w:rsidR="004074D3" w:rsidRPr="0030751E" w:rsidRDefault="004074D3" w:rsidP="004074D3">
      <w:pPr>
        <w:spacing w:after="0" w:line="276" w:lineRule="auto"/>
        <w:ind w:firstLine="708"/>
        <w:jc w:val="both"/>
        <w:rPr>
          <w:rFonts w:ascii="Verdana" w:eastAsia="Aptos" w:hAnsi="Verdana" w:cs="Arial"/>
          <w:lang w:eastAsia="es-MX"/>
        </w:rPr>
      </w:pPr>
      <w:r w:rsidRPr="0030751E">
        <w:rPr>
          <w:rFonts w:ascii="Verdana" w:eastAsia="Aptos" w:hAnsi="Verdana" w:cs="Arial"/>
          <w:lang w:eastAsia="es-MX"/>
        </w:rPr>
        <w:t>En ese contexto, dicha norma contiene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3FB8D35A" w14:textId="77777777" w:rsidR="004074D3" w:rsidRPr="0030751E" w:rsidRDefault="004074D3" w:rsidP="004074D3">
      <w:pPr>
        <w:spacing w:before="120" w:after="0" w:line="276" w:lineRule="auto"/>
        <w:ind w:firstLine="709"/>
        <w:jc w:val="both"/>
        <w:rPr>
          <w:rFonts w:ascii="Verdana" w:eastAsia="Aptos" w:hAnsi="Verdana" w:cs="Arial"/>
          <w:lang w:eastAsia="es-MX"/>
        </w:rPr>
      </w:pPr>
      <w:r w:rsidRPr="0030751E">
        <w:rPr>
          <w:rFonts w:ascii="Verdana" w:eastAsia="Aptos" w:hAnsi="Verdana" w:cs="Arial"/>
          <w:lang w:eastAsia="es-MX"/>
        </w:rPr>
        <w:t>Cabe resaltar,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30751E">
        <w:rPr>
          <w:rFonts w:ascii="Verdana" w:eastAsia="Times New Roman" w:hAnsi="Verdana" w:cs="Arial"/>
          <w:vertAlign w:val="superscript"/>
          <w:lang w:eastAsia="es-ES_tradnl"/>
          <w14:ligatures w14:val="standardContextual"/>
        </w:rPr>
        <w:footnoteReference w:id="14"/>
      </w:r>
      <w:r w:rsidRPr="0030751E">
        <w:rPr>
          <w:rFonts w:ascii="Verdana" w:eastAsia="Calibri" w:hAnsi="Verdana" w:cs="Arial"/>
          <w:lang w:val="es-ES"/>
        </w:rPr>
        <w:t xml:space="preserve">. </w:t>
      </w:r>
      <w:r w:rsidRPr="0030751E">
        <w:rPr>
          <w:rFonts w:ascii="Verdana" w:eastAsia="Aptos" w:hAnsi="Verdana" w:cs="Arial"/>
          <w:lang w:eastAsia="es-MX"/>
        </w:rPr>
        <w:t>A la misma conclusión se llega si se tiene en consideración la necesidad de respetar el debido proceso en “todas las actuaciones administrativas” como lo ordena el artículo 29 superior.</w:t>
      </w:r>
    </w:p>
    <w:p w14:paraId="3091003C" w14:textId="77777777" w:rsidR="004074D3" w:rsidRPr="0030751E" w:rsidRDefault="004074D3" w:rsidP="004074D3">
      <w:pPr>
        <w:spacing w:before="120" w:after="0" w:line="276" w:lineRule="auto"/>
        <w:ind w:firstLine="709"/>
        <w:jc w:val="both"/>
        <w:rPr>
          <w:rFonts w:ascii="Verdana" w:eastAsia="Aptos" w:hAnsi="Verdana" w:cs="Arial"/>
          <w:lang w:eastAsia="es-MX"/>
        </w:rPr>
      </w:pPr>
      <w:r w:rsidRPr="0030751E">
        <w:rPr>
          <w:rFonts w:ascii="Verdana" w:eastAsia="Aptos" w:hAnsi="Verdana" w:cs="Arial"/>
          <w:lang w:eastAsia="es-MX"/>
        </w:rPr>
        <w:t>De esta forma, a las Entidades Estatales les corresponde adelantar el procedimiento sancionatorio contractual, observando las reglas dispuestas en el artículo 86 de la Ley 1474 de 2011, disposición que, en su literal a) señala que “[e]</w:t>
      </w:r>
      <w:proofErr w:type="spellStart"/>
      <w:r w:rsidRPr="0030751E">
        <w:rPr>
          <w:rFonts w:ascii="Verdana" w:eastAsia="Aptos" w:hAnsi="Verdana" w:cs="Arial"/>
          <w:lang w:eastAsia="es-MX"/>
        </w:rPr>
        <w:t>videnciando</w:t>
      </w:r>
      <w:proofErr w:type="spellEnd"/>
      <w:r w:rsidRPr="0030751E">
        <w:rPr>
          <w:rFonts w:ascii="Verdana" w:eastAsia="Aptos" w:hAnsi="Verdana" w:cs="Arial"/>
          <w:lang w:eastAsia="es-MX"/>
        </w:rPr>
        <w:t xml:space="preserve"> un posible incumplimiento de las obligaciones a cargo del contratista, la entidad pública lo citará a audiencia para debatir lo ocurrido […]”, la cual “[…] podrá tener lugar a la mayor brevedad posible, atendida la naturaliza del contrato y la periodicidad establecida para el cumplimiento de las obligaciones contractuales […]”. Sin embargo, debe precisarse que será el jefe o representante legal de la entidad, quien tendrá la obligación de adelantar el proceso sancionatorio en contra del contratista incumplido, salvo, cuando mediante la figura de la delegación para contratar señalada en el artículo 12 de la Ley 80 de 1993, este designe tal función en “los servidores públicos que </w:t>
      </w:r>
      <w:r w:rsidRPr="0030751E">
        <w:rPr>
          <w:rFonts w:ascii="Verdana" w:eastAsia="Aptos" w:hAnsi="Verdana" w:cs="Arial"/>
          <w:lang w:eastAsia="es-MX"/>
        </w:rPr>
        <w:lastRenderedPageBreak/>
        <w:t>desempeñen cargos del nivel directo o ejecutivo o sus equivalentes”. Para lo que, claramente deberán observarse las disposiciones que regulan la materia.</w:t>
      </w:r>
    </w:p>
    <w:p w14:paraId="45C2BDC9" w14:textId="77777777" w:rsidR="004074D3" w:rsidRPr="0030751E" w:rsidRDefault="004074D3" w:rsidP="004074D3">
      <w:pPr>
        <w:spacing w:before="120" w:after="0" w:line="276" w:lineRule="auto"/>
        <w:ind w:firstLine="708"/>
        <w:jc w:val="both"/>
        <w:rPr>
          <w:rFonts w:ascii="Verdana" w:eastAsia="Calibri" w:hAnsi="Verdana" w:cs="Arial"/>
        </w:rPr>
      </w:pPr>
      <w:r w:rsidRPr="0030751E">
        <w:rPr>
          <w:rFonts w:ascii="Verdana" w:eastAsia="Calibri" w:hAnsi="Verdana" w:cs="Arial"/>
        </w:rPr>
        <w:t xml:space="preserve">Finalmente, debe advertirse que el análisis requerido para resolver problemas específicos en torno a la planeación contractual, supervisión de contratos y declaratorias de incumplimientos contractuales,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AF7A681" w14:textId="77777777" w:rsidR="004074D3" w:rsidRPr="0030751E" w:rsidRDefault="004074D3" w:rsidP="004074D3">
      <w:pPr>
        <w:spacing w:before="120" w:after="0" w:line="276" w:lineRule="auto"/>
        <w:ind w:firstLine="709"/>
        <w:jc w:val="both"/>
        <w:rPr>
          <w:rFonts w:ascii="Verdana" w:eastAsia="Calibri" w:hAnsi="Verdana" w:cs="Arial"/>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69BB7E93" w14:textId="77777777" w:rsidR="004074D3" w:rsidRPr="0030751E" w:rsidRDefault="004074D3" w:rsidP="004074D3">
      <w:pPr>
        <w:spacing w:after="0" w:line="276" w:lineRule="auto"/>
        <w:ind w:firstLine="709"/>
        <w:jc w:val="both"/>
        <w:rPr>
          <w:rFonts w:ascii="Verdana" w:eastAsia="Calibri" w:hAnsi="Verdana" w:cs="Arial"/>
        </w:rPr>
      </w:pPr>
    </w:p>
    <w:p w14:paraId="58F3B3D4" w14:textId="77777777" w:rsidR="004074D3" w:rsidRPr="0030751E" w:rsidRDefault="004074D3" w:rsidP="004074D3">
      <w:pPr>
        <w:widowControl w:val="0"/>
        <w:autoSpaceDE w:val="0"/>
        <w:autoSpaceDN w:val="0"/>
        <w:spacing w:before="1" w:after="0" w:line="240" w:lineRule="auto"/>
        <w:outlineLvl w:val="0"/>
        <w:rPr>
          <w:rFonts w:ascii="Verdana" w:eastAsia="Arial" w:hAnsi="Verdana" w:cs="Arial"/>
          <w:b/>
          <w:bCs/>
          <w:lang w:val="es-ES"/>
        </w:rPr>
      </w:pPr>
      <w:r w:rsidRPr="0030751E">
        <w:rPr>
          <w:rFonts w:ascii="Verdana" w:eastAsia="Arial" w:hAnsi="Verdana" w:cs="Arial"/>
          <w:b/>
          <w:bCs/>
          <w:lang w:val="es-ES"/>
        </w:rPr>
        <w:t>4.Referencias normativas, jurisprudenciales y otras fuentes:</w:t>
      </w:r>
    </w:p>
    <w:p w14:paraId="1846B179" w14:textId="77777777" w:rsidR="004074D3" w:rsidRPr="0030751E" w:rsidRDefault="004074D3" w:rsidP="004074D3">
      <w:pPr>
        <w:widowControl w:val="0"/>
        <w:autoSpaceDE w:val="0"/>
        <w:autoSpaceDN w:val="0"/>
        <w:spacing w:after="0" w:line="276" w:lineRule="auto"/>
        <w:jc w:val="both"/>
        <w:rPr>
          <w:rFonts w:ascii="Verdana" w:eastAsia="Aptos" w:hAnsi="Verdana" w:cs="Arial"/>
        </w:rPr>
      </w:pPr>
      <w:r w:rsidRPr="0030751E">
        <w:rPr>
          <w:rFonts w:ascii="Verdana" w:eastAsia="Aptos" w:hAnsi="Verdana" w:cs="Arial"/>
        </w:rPr>
        <w:tab/>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074D3" w:rsidRPr="0030751E" w14:paraId="11FC6CBA" w14:textId="77777777" w:rsidTr="00A32D40">
        <w:trPr>
          <w:trHeight w:val="870"/>
        </w:trPr>
        <w:tc>
          <w:tcPr>
            <w:tcW w:w="8647" w:type="dxa"/>
          </w:tcPr>
          <w:p w14:paraId="6B13202F"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Ley 80 de 1993. Artículos 4, 5, 12, 14, 25 y 26.</w:t>
            </w:r>
          </w:p>
          <w:p w14:paraId="57C691E0"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Ley 1150 de 2007. Artículo 2, Numeral 4, Literal h). Artículo 17. Artículo 21.</w:t>
            </w:r>
          </w:p>
          <w:p w14:paraId="77D7204E"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Ley 1474 de 2011. Artículos 83, 84, 85 y 86.</w:t>
            </w:r>
          </w:p>
          <w:p w14:paraId="12FF39B0"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Ley 489 de 1998. Artículo 9.</w:t>
            </w:r>
          </w:p>
          <w:p w14:paraId="6454D766"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Decreto 1082 de 2015. Artículo 2.2.1.1.1.6.1, 2.2.1.1.2.1.1 y 2.2.1.2.1.4.9</w:t>
            </w:r>
          </w:p>
          <w:p w14:paraId="25D84251"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DEIK ACOSTAMADIEDO, Carolina, Guía de Contratación Estatal: Deber de planeación y modalidades de selección, Buenos Aires, 2015, p. 59.</w:t>
            </w:r>
          </w:p>
          <w:p w14:paraId="7474E43B"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 xml:space="preserve">Consejo de Estado, Sala de lo Contencioso Administrativo. Sección Tercera, Subsección B, 31 de agosto de 2011, </w:t>
            </w:r>
            <w:proofErr w:type="spellStart"/>
            <w:r w:rsidRPr="0030751E">
              <w:rPr>
                <w:rFonts w:ascii="Verdana" w:eastAsia="Calibri" w:hAnsi="Verdana" w:cs="Arial"/>
                <w:lang w:val="es-ES"/>
              </w:rPr>
              <w:t>exp</w:t>
            </w:r>
            <w:proofErr w:type="spellEnd"/>
            <w:r w:rsidRPr="0030751E">
              <w:rPr>
                <w:rFonts w:ascii="Verdana" w:eastAsia="Calibri" w:hAnsi="Verdana" w:cs="Arial"/>
                <w:lang w:val="es-ES"/>
              </w:rPr>
              <w:t>. 18080, C.P. Ruth Stella Correa Palacio</w:t>
            </w:r>
          </w:p>
          <w:p w14:paraId="43649E39"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lastRenderedPageBreak/>
              <w:t xml:space="preserve">Consejo de Estado. Sección 3ª. Sentencia del 27 de noviembre de 2017. M.P. Jaime Orlando Santofimio. </w:t>
            </w:r>
            <w:proofErr w:type="spellStart"/>
            <w:r w:rsidRPr="0030751E">
              <w:rPr>
                <w:rFonts w:ascii="Verdana" w:eastAsia="Calibri" w:hAnsi="Verdana" w:cs="Arial"/>
                <w:lang w:val="es-ES"/>
              </w:rPr>
              <w:t>Exp</w:t>
            </w:r>
            <w:proofErr w:type="spellEnd"/>
            <w:r w:rsidRPr="0030751E">
              <w:rPr>
                <w:rFonts w:ascii="Verdana" w:eastAsia="Calibri" w:hAnsi="Verdana" w:cs="Arial"/>
                <w:lang w:val="es-ES"/>
              </w:rPr>
              <w:t>. 51.802</w:t>
            </w:r>
          </w:p>
          <w:p w14:paraId="0616D50A"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Departamento Administrativo de la Función Pública. Concepto del 6 de mayo de 2019. Rad. 140.881.</w:t>
            </w:r>
          </w:p>
          <w:p w14:paraId="34F79C6D"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Corte Constitucional. Sentencia C-317 de 2012. M.P. María Victoria Calle Correa.</w:t>
            </w:r>
          </w:p>
          <w:p w14:paraId="1A38D97E" w14:textId="77777777" w:rsidR="004074D3" w:rsidRPr="0030751E" w:rsidRDefault="004074D3" w:rsidP="004074D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30751E">
              <w:rPr>
                <w:rFonts w:ascii="Verdana" w:eastAsia="Calibri" w:hAnsi="Verdana" w:cs="Arial"/>
                <w:lang w:val="es-ES"/>
              </w:rPr>
              <w:t>Agencia Nacional de Contratación Pública – Colombia Compra Eficiente- Guía para la Elaboración de Estudios del Sector. Guía para el ejercicio de las funciones de supervisión e interventoría de los contratos suscritos por las Entidades Estatales.</w:t>
            </w:r>
          </w:p>
        </w:tc>
      </w:tr>
    </w:tbl>
    <w:p w14:paraId="1BE3C6A8" w14:textId="77777777" w:rsidR="004074D3" w:rsidRPr="0030751E" w:rsidRDefault="004074D3" w:rsidP="004074D3">
      <w:pPr>
        <w:widowControl w:val="0"/>
        <w:autoSpaceDE w:val="0"/>
        <w:autoSpaceDN w:val="0"/>
        <w:spacing w:after="0" w:line="276" w:lineRule="auto"/>
        <w:jc w:val="both"/>
        <w:rPr>
          <w:rFonts w:ascii="Verdana" w:eastAsia="Aptos" w:hAnsi="Verdana" w:cs="Arial"/>
        </w:rPr>
      </w:pPr>
    </w:p>
    <w:p w14:paraId="0C48DF85" w14:textId="77777777" w:rsidR="004074D3" w:rsidRPr="0030751E" w:rsidRDefault="004074D3" w:rsidP="004074D3">
      <w:pPr>
        <w:widowControl w:val="0"/>
        <w:autoSpaceDE w:val="0"/>
        <w:autoSpaceDN w:val="0"/>
        <w:spacing w:before="1" w:after="0" w:line="276" w:lineRule="auto"/>
        <w:outlineLvl w:val="0"/>
        <w:rPr>
          <w:rFonts w:ascii="Verdana" w:eastAsia="Arial" w:hAnsi="Verdana" w:cs="Arial"/>
          <w:b/>
          <w:bCs/>
          <w:lang w:val="es-ES"/>
        </w:rPr>
      </w:pPr>
      <w:r w:rsidRPr="0030751E">
        <w:rPr>
          <w:rFonts w:ascii="Verdana" w:eastAsia="Arial" w:hAnsi="Verdana" w:cs="Arial"/>
          <w:b/>
          <w:bCs/>
          <w:lang w:val="es-ES"/>
        </w:rPr>
        <w:t>5. Doctrina de la Agencia Nacional de Contratación Pública:</w:t>
      </w:r>
    </w:p>
    <w:p w14:paraId="62B3A58A" w14:textId="77777777" w:rsidR="004074D3" w:rsidRPr="0030751E" w:rsidRDefault="004074D3" w:rsidP="004074D3">
      <w:pPr>
        <w:widowControl w:val="0"/>
        <w:autoSpaceDE w:val="0"/>
        <w:autoSpaceDN w:val="0"/>
        <w:spacing w:after="0" w:line="276" w:lineRule="auto"/>
        <w:jc w:val="both"/>
        <w:rPr>
          <w:rFonts w:ascii="Verdana" w:eastAsia="Aptos" w:hAnsi="Verdana" w:cs="Arial"/>
        </w:rPr>
      </w:pPr>
    </w:p>
    <w:p w14:paraId="20E29020" w14:textId="77777777" w:rsidR="004074D3" w:rsidRPr="0030751E" w:rsidRDefault="004074D3" w:rsidP="004074D3">
      <w:pPr>
        <w:widowControl w:val="0"/>
        <w:autoSpaceDE w:val="0"/>
        <w:autoSpaceDN w:val="0"/>
        <w:spacing w:after="0" w:line="276" w:lineRule="auto"/>
        <w:jc w:val="both"/>
        <w:rPr>
          <w:rFonts w:ascii="Verdana" w:eastAsia="Aptos" w:hAnsi="Verdana" w:cs="Arial"/>
          <w:shd w:val="clear" w:color="auto" w:fill="FFFFFF"/>
          <w:lang w:val="es-ES"/>
        </w:rPr>
      </w:pPr>
      <w:r w:rsidRPr="0030751E">
        <w:rPr>
          <w:rFonts w:ascii="Verdana" w:eastAsia="Calibri" w:hAnsi="Verdana" w:cs="Arial"/>
          <w:bCs/>
          <w:shd w:val="clear" w:color="auto" w:fill="FFFFFF"/>
        </w:rPr>
        <w:t>La Agencia Nacional de Contratación Pública – Colombia Compra Eficiente estudió regulación de los estudios previos, en los conceptos C-148 de 2021, C-215 del 12 de mayo de 2021, C-418 del 18 de agosto de 2021, C-603 del 02 de noviembre de 2021, C-742 del 27 de diciembre de 2021, C-017 del 22 de febrero de 2022, C-043 del 01 de marzo del 2022, C- 069 del 30 marzo de 2022, entre otros. Asimismo, se ha pronunciado sobre el régimen jurídico de los contratos de arrendamiento en los Conceptos C-646 del 22 de noviembre de 2021, C-214 del 22 de abril de 2022, C-1450 del 15 de noviembre de 2025, entre otros</w:t>
      </w:r>
      <w:r w:rsidRPr="0030751E">
        <w:rPr>
          <w:rFonts w:ascii="Verdana" w:eastAsia="Calibri" w:hAnsi="Verdana" w:cs="Arial"/>
          <w:bCs/>
          <w:shd w:val="clear" w:color="auto" w:fill="FFFFFF"/>
          <w:lang w:val="es-ES"/>
        </w:rPr>
        <w:t>. Igualmente, se manifestó respecto de obligación de controlar y vigilar la ejecución de los contratos estatales, en los conceptos</w:t>
      </w:r>
      <w:r w:rsidRPr="0030751E">
        <w:rPr>
          <w:rFonts w:ascii="Aptos" w:eastAsia="Aptos" w:hAnsi="Aptos" w:cs="Arial"/>
        </w:rPr>
        <w:t xml:space="preserve"> </w:t>
      </w:r>
      <w:r w:rsidRPr="0030751E">
        <w:rPr>
          <w:rFonts w:ascii="Verdana" w:eastAsia="Calibri" w:hAnsi="Verdana" w:cs="Arial"/>
          <w:bCs/>
          <w:shd w:val="clear" w:color="auto" w:fill="FFFFFF"/>
          <w:lang w:val="es-ES"/>
        </w:rPr>
        <w:t xml:space="preserve">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 C-882 del 14 de agosto de 2025. En tal sentido, recoge los conceptos expuestos, sin perjuicio de otras consideraciones. </w:t>
      </w:r>
      <w:r w:rsidRPr="0030751E">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0751E">
          <w:rPr>
            <w:rFonts w:ascii="Verdana" w:eastAsia="Aptos" w:hAnsi="Verdana" w:cs="Arial"/>
            <w:color w:val="0000FF"/>
            <w:u w:val="single"/>
            <w:shd w:val="clear" w:color="auto" w:fill="FFFFFF"/>
            <w:lang w:val="es-ES"/>
          </w:rPr>
          <w:t>https://relatoria.colombiacompra.gov.co/</w:t>
        </w:r>
      </w:hyperlink>
      <w:r w:rsidRPr="0030751E">
        <w:rPr>
          <w:rFonts w:ascii="Verdana" w:eastAsia="Aptos" w:hAnsi="Verdana" w:cs="Arial"/>
          <w:shd w:val="clear" w:color="auto" w:fill="FFFFFF"/>
          <w:lang w:val="es-ES"/>
        </w:rPr>
        <w:t xml:space="preserve">. </w:t>
      </w:r>
    </w:p>
    <w:p w14:paraId="2EBFF22B" w14:textId="77777777" w:rsidR="004074D3" w:rsidRPr="0030751E" w:rsidRDefault="004074D3" w:rsidP="004074D3">
      <w:pPr>
        <w:spacing w:before="120" w:after="120" w:line="276" w:lineRule="auto"/>
        <w:ind w:firstLine="709"/>
        <w:jc w:val="both"/>
        <w:rPr>
          <w:rFonts w:ascii="Verdana" w:eastAsia="Aptos" w:hAnsi="Verdana" w:cs="Times New Roman"/>
        </w:rPr>
      </w:pPr>
      <w:r w:rsidRPr="0030751E">
        <w:rPr>
          <w:rFonts w:ascii="Verdana" w:eastAsia="Aptos" w:hAnsi="Verdana" w:cs="Times New Roman"/>
        </w:rPr>
        <w:lastRenderedPageBreak/>
        <w:t xml:space="preserve">La sostenibilidad no es una opción, es una obligación. Por ello, la Agencia Nacional de Contratación Pública –Colombia Compra Eficiente– te invita a realizar el </w:t>
      </w:r>
      <w:r w:rsidRPr="0030751E">
        <w:rPr>
          <w:rFonts w:ascii="Verdana" w:eastAsia="Aptos" w:hAnsi="Verdana" w:cs="Times New Roman"/>
          <w:b/>
          <w:bCs/>
        </w:rPr>
        <w:t>Curso de Contratación Pública Sostenible y Socialmente Responsable</w:t>
      </w:r>
      <w:r w:rsidRPr="0030751E">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0751E">
        <w:rPr>
          <w:rFonts w:ascii="Verdana" w:eastAsia="Aptos" w:hAnsi="Verdana" w:cs="Times New Roman"/>
        </w:rPr>
        <w:br/>
      </w:r>
      <w:hyperlink r:id="rId13" w:tgtFrame="_new" w:history="1">
        <w:r w:rsidRPr="0030751E">
          <w:rPr>
            <w:rFonts w:ascii="Verdana" w:eastAsia="Aptos" w:hAnsi="Verdana" w:cs="Times New Roman"/>
            <w:color w:val="0000FF"/>
            <w:u w:val="single"/>
          </w:rPr>
          <w:t>https://formacionvirtual.colombiacompra.gov.co/mod/page/view.php?id=3718</w:t>
        </w:r>
      </w:hyperlink>
    </w:p>
    <w:p w14:paraId="14BA2D98" w14:textId="77777777" w:rsidR="004074D3" w:rsidRPr="0030751E" w:rsidRDefault="004074D3" w:rsidP="004074D3">
      <w:pPr>
        <w:spacing w:line="276" w:lineRule="auto"/>
        <w:ind w:firstLine="708"/>
        <w:jc w:val="both"/>
        <w:rPr>
          <w:rFonts w:ascii="Verdana" w:eastAsia="Aptos" w:hAnsi="Verdana" w:cs="Times New Roman"/>
        </w:rPr>
      </w:pPr>
      <w:r w:rsidRPr="0030751E">
        <w:rPr>
          <w:rFonts w:ascii="Verdana" w:eastAsia="Aptos" w:hAnsi="Verdana" w:cs="Times New Roman"/>
        </w:rPr>
        <w:t xml:space="preserve">De otro lado, te contamos que esta Agencia ha da un paso decisivo en la estandarización y modernización del </w:t>
      </w:r>
      <w:r w:rsidRPr="0030751E">
        <w:rPr>
          <w:rFonts w:ascii="Verdana" w:eastAsia="Aptos" w:hAnsi="Verdana" w:cs="Times New Roman"/>
          <w:b/>
          <w:bCs/>
        </w:rPr>
        <w:t>sector  social</w:t>
      </w:r>
      <w:r w:rsidRPr="0030751E">
        <w:rPr>
          <w:rFonts w:ascii="Verdana" w:eastAsia="Aptos" w:hAnsi="Verdana" w:cs="Times New Roman"/>
        </w:rPr>
        <w:t xml:space="preserve"> con la expedición de las </w:t>
      </w:r>
      <w:r w:rsidRPr="0030751E">
        <w:rPr>
          <w:rFonts w:ascii="Verdana" w:eastAsia="Aptos" w:hAnsi="Verdana" w:cs="Times New Roman"/>
          <w:b/>
          <w:bCs/>
        </w:rPr>
        <w:t>Resoluciones 539, 540, 541, 952 y 953 de 2025</w:t>
      </w:r>
      <w:r w:rsidRPr="0030751E">
        <w:rPr>
          <w:rFonts w:ascii="Verdana" w:eastAsia="Aptos" w:hAnsi="Verdana" w:cs="Times New Roman"/>
        </w:rPr>
        <w:t xml:space="preserve">, </w:t>
      </w:r>
      <w:r w:rsidRPr="0030751E">
        <w:rPr>
          <w:rFonts w:ascii="Verdana" w:eastAsia="Aptos" w:hAnsi="Verdana" w:cs="Times New Roman"/>
          <w:b/>
          <w:bCs/>
        </w:rPr>
        <w:t>mediante las cuales adoptó Documentos Tipo</w:t>
      </w:r>
      <w:r w:rsidRPr="0030751E">
        <w:rPr>
          <w:rFonts w:ascii="Verdana" w:eastAsia="Aptos" w:hAnsi="Verdana" w:cs="Times New Roman"/>
        </w:rPr>
        <w:t xml:space="preserve"> para las modalidades de selección de</w:t>
      </w:r>
      <w:r w:rsidRPr="0030751E">
        <w:rPr>
          <w:rFonts w:ascii="Verdana" w:eastAsia="Aptos" w:hAnsi="Verdana" w:cs="Times New Roman"/>
          <w:b/>
          <w:bCs/>
        </w:rPr>
        <w:t xml:space="preserve"> licitación pública (versión 2), selección abreviada de menor cuantía, mínima cuantía, consultoría e interventoría</w:t>
      </w:r>
      <w:r w:rsidRPr="0030751E">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0751E">
          <w:rPr>
            <w:rFonts w:ascii="Verdana" w:eastAsia="Aptos" w:hAnsi="Verdana" w:cs="Times New Roman"/>
            <w:color w:val="0000FF"/>
            <w:u w:val="single"/>
          </w:rPr>
          <w:t>https://www.colombiacompra.gov.co/normativa-y-relatoria/documentos-tipo</w:t>
        </w:r>
      </w:hyperlink>
    </w:p>
    <w:p w14:paraId="4573EF1E" w14:textId="77777777" w:rsidR="004074D3" w:rsidRPr="0030751E" w:rsidRDefault="004074D3" w:rsidP="004074D3">
      <w:pPr>
        <w:spacing w:after="0" w:line="276" w:lineRule="auto"/>
        <w:ind w:firstLine="708"/>
        <w:jc w:val="both"/>
        <w:rPr>
          <w:rFonts w:ascii="Verdana" w:eastAsia="Aptos" w:hAnsi="Verdana" w:cs="Times New Roman"/>
        </w:rPr>
      </w:pPr>
      <w:r w:rsidRPr="0030751E">
        <w:rPr>
          <w:rFonts w:ascii="Verdana" w:eastAsia="Aptos" w:hAnsi="Verdana" w:cs="Times New Roman"/>
        </w:rPr>
        <w:t xml:space="preserve">Si quieres conocer más sobre la aplicación de Documentos Tipo puedes consultar la última versión de la </w:t>
      </w:r>
      <w:r w:rsidRPr="0030751E">
        <w:rPr>
          <w:rFonts w:ascii="Verdana" w:eastAsia="Aptos" w:hAnsi="Verdana" w:cs="Times New Roman"/>
          <w:b/>
          <w:bCs/>
        </w:rPr>
        <w:t>Guía para la comprensión e implementación de los Documentos Tipo de obra pública de infraestructura de transporte</w:t>
      </w:r>
      <w:r w:rsidRPr="0030751E">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0751E">
        <w:rPr>
          <w:rFonts w:ascii="Verdana" w:eastAsia="Aptos" w:hAnsi="Verdana" w:cs="Times New Roman"/>
        </w:rPr>
        <w:br/>
      </w:r>
      <w:hyperlink r:id="rId15" w:tgtFrame="_new" w:history="1">
        <w:r w:rsidRPr="0030751E">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0BA93602" w14:textId="77777777" w:rsidR="004074D3" w:rsidRPr="0030751E" w:rsidRDefault="004074D3" w:rsidP="004074D3">
      <w:pPr>
        <w:spacing w:before="120" w:after="0" w:line="276" w:lineRule="auto"/>
        <w:ind w:firstLine="708"/>
        <w:jc w:val="both"/>
        <w:rPr>
          <w:rFonts w:ascii="Verdana" w:eastAsia="Aptos" w:hAnsi="Verdana" w:cs="Times New Roman"/>
        </w:rPr>
      </w:pPr>
      <w:r w:rsidRPr="0030751E">
        <w:rPr>
          <w:rFonts w:ascii="Verdana" w:eastAsia="Aptos" w:hAnsi="Verdana" w:cs="Times New Roman"/>
        </w:rPr>
        <w:t xml:space="preserve">Por último, lo invitamos a seguirnos en las redes sociales en las cuales se difunde información institucional: </w:t>
      </w:r>
    </w:p>
    <w:p w14:paraId="7589919D" w14:textId="77777777" w:rsidR="004074D3" w:rsidRPr="0030751E" w:rsidRDefault="004074D3" w:rsidP="004074D3">
      <w:pPr>
        <w:spacing w:after="0" w:line="276" w:lineRule="auto"/>
        <w:jc w:val="both"/>
        <w:rPr>
          <w:rFonts w:ascii="Verdana" w:eastAsia="Aptos" w:hAnsi="Verdana" w:cs="Times New Roman"/>
        </w:rPr>
      </w:pPr>
    </w:p>
    <w:p w14:paraId="39A4184A" w14:textId="77777777" w:rsidR="004074D3" w:rsidRPr="0030751E" w:rsidRDefault="004074D3" w:rsidP="004074D3">
      <w:pPr>
        <w:spacing w:after="0" w:line="276" w:lineRule="auto"/>
        <w:jc w:val="both"/>
        <w:rPr>
          <w:rFonts w:ascii="Verdana" w:eastAsia="Aptos" w:hAnsi="Verdana" w:cs="Times New Roman"/>
        </w:rPr>
      </w:pPr>
      <w:r w:rsidRPr="0030751E">
        <w:rPr>
          <w:rFonts w:ascii="Verdana" w:eastAsia="Aptos" w:hAnsi="Verdana" w:cs="Times New Roman"/>
        </w:rPr>
        <w:t xml:space="preserve">Twitter: </w:t>
      </w:r>
      <w:r w:rsidRPr="0030751E">
        <w:rPr>
          <w:rFonts w:ascii="Verdana" w:eastAsia="Aptos" w:hAnsi="Verdana" w:cs="Arial"/>
          <w:color w:val="0000FF"/>
          <w:u w:val="single"/>
          <w:shd w:val="clear" w:color="auto" w:fill="FFFFFF"/>
          <w:lang w:val="es-ES"/>
        </w:rPr>
        <w:t>@colombiacompra</w:t>
      </w:r>
      <w:r w:rsidRPr="0030751E">
        <w:rPr>
          <w:rFonts w:ascii="Verdana" w:eastAsia="Aptos" w:hAnsi="Verdana" w:cs="Times New Roman"/>
          <w:color w:val="156082"/>
        </w:rPr>
        <w:t xml:space="preserve"> </w:t>
      </w:r>
    </w:p>
    <w:p w14:paraId="6744AA38" w14:textId="77777777" w:rsidR="004074D3" w:rsidRPr="0030751E" w:rsidRDefault="004074D3" w:rsidP="004074D3">
      <w:pPr>
        <w:spacing w:after="0" w:line="276" w:lineRule="auto"/>
        <w:jc w:val="both"/>
        <w:rPr>
          <w:rFonts w:ascii="Verdana" w:eastAsia="Aptos" w:hAnsi="Verdana" w:cs="Times New Roman"/>
        </w:rPr>
      </w:pPr>
      <w:r w:rsidRPr="0030751E">
        <w:rPr>
          <w:rFonts w:ascii="Verdana" w:eastAsia="Aptos" w:hAnsi="Verdana" w:cs="Times New Roman"/>
        </w:rPr>
        <w:lastRenderedPageBreak/>
        <w:t xml:space="preserve">Facebook: </w:t>
      </w:r>
      <w:proofErr w:type="spellStart"/>
      <w:r w:rsidRPr="0030751E">
        <w:rPr>
          <w:rFonts w:ascii="Verdana" w:eastAsia="Aptos" w:hAnsi="Verdana" w:cs="Arial"/>
          <w:color w:val="0000FF"/>
          <w:u w:val="single"/>
          <w:shd w:val="clear" w:color="auto" w:fill="FFFFFF"/>
          <w:lang w:val="es-ES"/>
        </w:rPr>
        <w:t>ColombiaCompraEficiente</w:t>
      </w:r>
      <w:proofErr w:type="spellEnd"/>
    </w:p>
    <w:p w14:paraId="5043104B" w14:textId="77777777" w:rsidR="004074D3" w:rsidRPr="0030751E" w:rsidRDefault="004074D3" w:rsidP="004074D3">
      <w:pPr>
        <w:spacing w:after="0" w:line="276" w:lineRule="auto"/>
        <w:jc w:val="both"/>
        <w:rPr>
          <w:rFonts w:ascii="Verdana" w:eastAsia="Aptos" w:hAnsi="Verdana" w:cs="Times New Roman"/>
        </w:rPr>
      </w:pPr>
      <w:r w:rsidRPr="0030751E">
        <w:rPr>
          <w:rFonts w:ascii="Verdana" w:eastAsia="Aptos" w:hAnsi="Verdana" w:cs="Times New Roman"/>
        </w:rPr>
        <w:t xml:space="preserve">LinkedIn: </w:t>
      </w:r>
      <w:r w:rsidRPr="0030751E">
        <w:rPr>
          <w:rFonts w:ascii="Verdana" w:eastAsia="Aptos" w:hAnsi="Verdana" w:cs="Arial"/>
          <w:color w:val="0000FF"/>
          <w:u w:val="single"/>
          <w:shd w:val="clear" w:color="auto" w:fill="FFFFFF"/>
          <w:lang w:val="es-ES"/>
        </w:rPr>
        <w:t>Agencia Nacional de Contratación Pública - Colombia Compra Eficiente</w:t>
      </w:r>
      <w:r w:rsidRPr="0030751E">
        <w:rPr>
          <w:rFonts w:ascii="Verdana" w:eastAsia="Aptos" w:hAnsi="Verdana" w:cs="Times New Roman"/>
          <w:color w:val="156082"/>
        </w:rPr>
        <w:t xml:space="preserve"> </w:t>
      </w:r>
      <w:r w:rsidRPr="0030751E">
        <w:rPr>
          <w:rFonts w:ascii="Verdana" w:eastAsia="Aptos" w:hAnsi="Verdana" w:cs="Times New Roman"/>
        </w:rPr>
        <w:t xml:space="preserve">Instagram: </w:t>
      </w:r>
      <w:r w:rsidRPr="0030751E">
        <w:rPr>
          <w:rFonts w:ascii="Verdana" w:eastAsia="Aptos" w:hAnsi="Verdana" w:cs="Arial"/>
          <w:color w:val="0000FF"/>
          <w:u w:val="single"/>
          <w:shd w:val="clear" w:color="auto" w:fill="FFFFFF"/>
          <w:lang w:val="es-ES"/>
        </w:rPr>
        <w:t>@colombiacompraeficiente_cce</w:t>
      </w:r>
    </w:p>
    <w:p w14:paraId="37D4E0F1" w14:textId="77777777" w:rsidR="004074D3" w:rsidRPr="0030751E" w:rsidRDefault="004074D3" w:rsidP="004074D3">
      <w:pPr>
        <w:widowControl w:val="0"/>
        <w:autoSpaceDE w:val="0"/>
        <w:autoSpaceDN w:val="0"/>
        <w:spacing w:after="0" w:line="276" w:lineRule="auto"/>
        <w:jc w:val="both"/>
        <w:rPr>
          <w:rFonts w:ascii="Verdana" w:eastAsia="Aptos" w:hAnsi="Verdana" w:cs="Arial"/>
        </w:rPr>
      </w:pPr>
    </w:p>
    <w:p w14:paraId="7CC65344" w14:textId="77777777" w:rsidR="004074D3" w:rsidRPr="0030751E" w:rsidRDefault="004074D3" w:rsidP="004074D3">
      <w:pPr>
        <w:widowControl w:val="0"/>
        <w:autoSpaceDE w:val="0"/>
        <w:autoSpaceDN w:val="0"/>
        <w:spacing w:after="0" w:line="276" w:lineRule="auto"/>
        <w:jc w:val="both"/>
        <w:rPr>
          <w:rFonts w:ascii="Verdana" w:eastAsia="Aptos" w:hAnsi="Verdana" w:cs="Arial"/>
          <w:lang w:val="es-ES_tradnl"/>
        </w:rPr>
      </w:pPr>
      <w:r w:rsidRPr="0030751E">
        <w:rPr>
          <w:rFonts w:ascii="Verdana" w:eastAsia="Aptos" w:hAnsi="Verdana" w:cs="Arial"/>
        </w:rPr>
        <w:t xml:space="preserve">Este concepto tiene el alcance previsto en el artículo 28 del Código de Procedimiento Administrativo y de lo Contencioso Administrativo </w:t>
      </w:r>
      <w:r w:rsidRPr="0030751E">
        <w:rPr>
          <w:rFonts w:ascii="Verdana" w:eastAsia="Aptos" w:hAnsi="Verdana" w:cs="Arial"/>
          <w:lang w:val="es-ES_tradnl"/>
        </w:rPr>
        <w:t>y las expresiones aquí utilizadas con mayúscula inicial deben ser entendidas con el significado que les otorga el artículo 2.2.1.1.1.3.1. del Decreto 1082 de 2015.</w:t>
      </w:r>
    </w:p>
    <w:p w14:paraId="5F75501C" w14:textId="77777777" w:rsidR="004074D3" w:rsidRPr="0030751E" w:rsidRDefault="004074D3" w:rsidP="004074D3">
      <w:pPr>
        <w:widowControl w:val="0"/>
        <w:autoSpaceDE w:val="0"/>
        <w:autoSpaceDN w:val="0"/>
        <w:spacing w:after="0" w:line="276" w:lineRule="auto"/>
        <w:jc w:val="both"/>
        <w:rPr>
          <w:rFonts w:ascii="Verdana" w:eastAsia="Aptos" w:hAnsi="Verdana" w:cs="Arial"/>
        </w:rPr>
      </w:pPr>
    </w:p>
    <w:p w14:paraId="328F3E7B" w14:textId="77777777" w:rsidR="004074D3" w:rsidRPr="0030751E" w:rsidRDefault="004074D3" w:rsidP="004074D3">
      <w:pPr>
        <w:spacing w:after="0" w:line="276" w:lineRule="auto"/>
        <w:rPr>
          <w:rFonts w:ascii="Verdana" w:eastAsia="Aptos" w:hAnsi="Verdana" w:cs="Arial"/>
          <w:lang w:eastAsia="es-CO"/>
        </w:rPr>
      </w:pPr>
      <w:r w:rsidRPr="0030751E">
        <w:rPr>
          <w:rFonts w:ascii="Verdana" w:eastAsia="Times New Roman" w:hAnsi="Verdana" w:cs="Arial"/>
          <w:lang w:eastAsia="es-CO"/>
        </w:rPr>
        <w:t>Atentamente,</w:t>
      </w:r>
      <w:r w:rsidRPr="0030751E">
        <w:rPr>
          <w:rFonts w:ascii="Verdana" w:eastAsia="Aptos" w:hAnsi="Verdana" w:cs="Arial"/>
          <w:lang w:eastAsia="es-CO"/>
        </w:rPr>
        <w:t xml:space="preserve"> </w:t>
      </w:r>
    </w:p>
    <w:p w14:paraId="3C5CB546" w14:textId="77777777" w:rsidR="004074D3" w:rsidRDefault="004074D3" w:rsidP="004074D3">
      <w:pPr>
        <w:spacing w:after="0" w:line="276" w:lineRule="auto"/>
        <w:jc w:val="center"/>
        <w:rPr>
          <w:rFonts w:ascii="Verdana" w:eastAsia="Aptos" w:hAnsi="Verdana" w:cs="Arial"/>
          <w:lang w:val="es-ES_tradnl" w:eastAsia="es-CO"/>
        </w:rPr>
      </w:pPr>
    </w:p>
    <w:p w14:paraId="7047C8A8" w14:textId="0CE9C188" w:rsidR="004D42FE" w:rsidRPr="0030751E" w:rsidRDefault="004D42FE" w:rsidP="004074D3">
      <w:pPr>
        <w:spacing w:after="0" w:line="276" w:lineRule="auto"/>
        <w:jc w:val="center"/>
        <w:rPr>
          <w:rFonts w:ascii="Verdana" w:eastAsia="Aptos" w:hAnsi="Verdana" w:cs="Arial"/>
          <w:lang w:val="es-ES_tradnl" w:eastAsia="es-CO"/>
        </w:rPr>
      </w:pPr>
      <w:r>
        <w:rPr>
          <w:noProof/>
        </w:rPr>
        <w:drawing>
          <wp:inline distT="0" distB="0" distL="0" distR="0" wp14:anchorId="7EB2327A" wp14:editId="15477BBE">
            <wp:extent cx="3774440" cy="1414145"/>
            <wp:effectExtent l="0" t="0" r="0" b="0"/>
            <wp:docPr id="14258181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4440" cy="1414145"/>
                    </a:xfrm>
                    <a:prstGeom prst="rect">
                      <a:avLst/>
                    </a:prstGeom>
                    <a:noFill/>
                    <a:ln>
                      <a:noFill/>
                    </a:ln>
                  </pic:spPr>
                </pic:pic>
              </a:graphicData>
            </a:graphic>
          </wp:inline>
        </w:drawing>
      </w:r>
    </w:p>
    <w:p w14:paraId="4BA307EF" w14:textId="53DC4C83" w:rsidR="004074D3" w:rsidRPr="0030751E" w:rsidRDefault="004074D3" w:rsidP="004074D3">
      <w:pPr>
        <w:spacing w:after="0" w:line="276" w:lineRule="auto"/>
        <w:jc w:val="center"/>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4074D3" w:rsidRPr="0030751E" w14:paraId="7D677B96" w14:textId="77777777" w:rsidTr="00A32D40">
        <w:trPr>
          <w:trHeight w:val="286"/>
        </w:trPr>
        <w:tc>
          <w:tcPr>
            <w:tcW w:w="901" w:type="dxa"/>
            <w:vAlign w:val="center"/>
            <w:hideMark/>
          </w:tcPr>
          <w:p w14:paraId="48743CEE"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E525FE3"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Nasly Yeana Mosquera Rivas</w:t>
            </w:r>
          </w:p>
          <w:p w14:paraId="293550BF"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Analista T2–06 de la Subdirección de Gestión Contractual</w:t>
            </w:r>
          </w:p>
        </w:tc>
      </w:tr>
      <w:tr w:rsidR="004074D3" w:rsidRPr="0030751E" w14:paraId="27F88FE5" w14:textId="77777777" w:rsidTr="00A32D40">
        <w:trPr>
          <w:trHeight w:val="299"/>
        </w:trPr>
        <w:tc>
          <w:tcPr>
            <w:tcW w:w="901" w:type="dxa"/>
            <w:vAlign w:val="center"/>
          </w:tcPr>
          <w:p w14:paraId="05FD1F49"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AA5D550"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 xml:space="preserve">Adriana Katerine López RODRÍGUEZ </w:t>
            </w:r>
          </w:p>
          <w:p w14:paraId="26F534D5"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Contratista de la Subdirección de Gestión Contractual</w:t>
            </w:r>
          </w:p>
        </w:tc>
      </w:tr>
      <w:tr w:rsidR="004074D3" w:rsidRPr="0030751E" w14:paraId="110FA2B3" w14:textId="77777777" w:rsidTr="00A32D40">
        <w:trPr>
          <w:trHeight w:val="272"/>
        </w:trPr>
        <w:tc>
          <w:tcPr>
            <w:tcW w:w="901" w:type="dxa"/>
            <w:vAlign w:val="center"/>
            <w:hideMark/>
          </w:tcPr>
          <w:p w14:paraId="05B506BB"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0CCFF2CD"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Carolina Quintero Gacharná</w:t>
            </w:r>
          </w:p>
          <w:p w14:paraId="20A26529" w14:textId="77777777" w:rsidR="004074D3" w:rsidRPr="0030751E" w:rsidRDefault="004074D3" w:rsidP="00A32D40">
            <w:pPr>
              <w:rPr>
                <w:rFonts w:ascii="Verdana" w:eastAsia="Aptos" w:hAnsi="Verdana" w:cs="Arial"/>
                <w:sz w:val="14"/>
                <w:szCs w:val="14"/>
                <w:lang w:eastAsia="es-ES"/>
              </w:rPr>
            </w:pPr>
            <w:r w:rsidRPr="0030751E">
              <w:rPr>
                <w:rFonts w:ascii="Verdana" w:eastAsia="Aptos" w:hAnsi="Verdana" w:cs="Arial"/>
                <w:sz w:val="14"/>
                <w:szCs w:val="14"/>
                <w:lang w:eastAsia="es-ES"/>
              </w:rPr>
              <w:t>Subdirectora de Gestión Contractual ANCP – CCE</w:t>
            </w:r>
          </w:p>
        </w:tc>
      </w:tr>
    </w:tbl>
    <w:p w14:paraId="1FE16779" w14:textId="77777777" w:rsidR="004074D3" w:rsidRPr="0030751E" w:rsidRDefault="004074D3" w:rsidP="004074D3">
      <w:pPr>
        <w:spacing w:after="0" w:line="240" w:lineRule="auto"/>
        <w:rPr>
          <w:rFonts w:ascii="Verdana" w:eastAsia="Times New Roman" w:hAnsi="Verdana" w:cs="Arial"/>
          <w:sz w:val="24"/>
          <w:szCs w:val="24"/>
          <w:lang w:eastAsia="es-ES"/>
        </w:rPr>
      </w:pPr>
    </w:p>
    <w:p w14:paraId="254B5A83" w14:textId="77777777" w:rsidR="004074D3" w:rsidRPr="0030751E" w:rsidRDefault="004074D3" w:rsidP="004074D3">
      <w:pPr>
        <w:rPr>
          <w:rFonts w:ascii="Verdana" w:eastAsia="Aptos" w:hAnsi="Verdana" w:cs="Times New Roman"/>
        </w:rPr>
      </w:pPr>
    </w:p>
    <w:bookmarkEnd w:id="0"/>
    <w:p w14:paraId="56DC06FD" w14:textId="77777777" w:rsidR="004074D3" w:rsidRPr="0030751E" w:rsidRDefault="004074D3" w:rsidP="004074D3">
      <w:pPr>
        <w:rPr>
          <w:rFonts w:ascii="Verdana" w:eastAsia="Aptos" w:hAnsi="Verdana" w:cs="Arial"/>
        </w:rPr>
      </w:pPr>
    </w:p>
    <w:sectPr w:rsidR="004074D3" w:rsidRPr="0030751E" w:rsidSect="004074D3">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E90F" w14:textId="77777777" w:rsidR="00A739C5" w:rsidRDefault="00A739C5" w:rsidP="004074D3">
      <w:pPr>
        <w:spacing w:after="0" w:line="240" w:lineRule="auto"/>
      </w:pPr>
      <w:r>
        <w:separator/>
      </w:r>
    </w:p>
  </w:endnote>
  <w:endnote w:type="continuationSeparator" w:id="0">
    <w:p w14:paraId="0B697643" w14:textId="77777777" w:rsidR="00A739C5" w:rsidRDefault="00A739C5" w:rsidP="0040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B4A6" w14:textId="77777777" w:rsidR="004074D3" w:rsidRDefault="004074D3">
    <w:pPr>
      <w:pStyle w:val="Piedepgina"/>
    </w:pPr>
  </w:p>
  <w:p w14:paraId="26002FFB" w14:textId="77777777" w:rsidR="004074D3" w:rsidRPr="00174B77" w:rsidRDefault="004074D3"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03D6455" w14:textId="77777777" w:rsidR="004074D3" w:rsidRDefault="004074D3"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E3EFAE6" w14:textId="77777777" w:rsidR="004074D3" w:rsidRPr="00E41027" w:rsidRDefault="004074D3"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12C4AA8" w14:textId="77777777" w:rsidR="004074D3" w:rsidRDefault="004074D3"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30751E">
      <w:rPr>
        <w:rFonts w:ascii="Verdana" w:eastAsia="Verdana" w:hAnsi="Verdana" w:cs="Verdana"/>
        <w:b/>
        <w:bCs/>
        <w:color w:val="000000"/>
        <w:sz w:val="18"/>
        <w:szCs w:val="18"/>
        <w:lang w:eastAsia="es-CO"/>
      </w:rPr>
      <w:t xml:space="preserve">Código: </w:t>
    </w:r>
    <w:r w:rsidRPr="0030751E">
      <w:rPr>
        <w:rFonts w:ascii="Verdana" w:eastAsia="Verdana" w:hAnsi="Verdana" w:cs="Verdana"/>
        <w:color w:val="000000"/>
        <w:sz w:val="18"/>
        <w:szCs w:val="18"/>
        <w:lang w:eastAsia="es-CO"/>
      </w:rPr>
      <w:t xml:space="preserve">CCE-REC-FM-17 </w:t>
    </w:r>
    <w:r w:rsidRPr="0030751E">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CDD42" w14:textId="77777777" w:rsidR="00A739C5" w:rsidRDefault="00A739C5" w:rsidP="004074D3">
      <w:pPr>
        <w:spacing w:after="0" w:line="240" w:lineRule="auto"/>
      </w:pPr>
      <w:r>
        <w:separator/>
      </w:r>
    </w:p>
  </w:footnote>
  <w:footnote w:type="continuationSeparator" w:id="0">
    <w:p w14:paraId="6A92E802" w14:textId="77777777" w:rsidR="00A739C5" w:rsidRDefault="00A739C5" w:rsidP="004074D3">
      <w:pPr>
        <w:spacing w:after="0" w:line="240" w:lineRule="auto"/>
      </w:pPr>
      <w:r>
        <w:continuationSeparator/>
      </w:r>
    </w:p>
  </w:footnote>
  <w:footnote w:id="1">
    <w:p w14:paraId="569B53E0" w14:textId="77777777" w:rsidR="004074D3" w:rsidRPr="004E605A" w:rsidRDefault="004074D3" w:rsidP="004074D3">
      <w:pPr>
        <w:spacing w:line="244" w:lineRule="auto"/>
        <w:ind w:left="120" w:firstLine="707"/>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position w:val="6"/>
          <w:sz w:val="18"/>
          <w:szCs w:val="18"/>
        </w:rPr>
        <w:t xml:space="preserve"> </w:t>
      </w:r>
      <w:r w:rsidRPr="004E605A">
        <w:rPr>
          <w:rFonts w:ascii="Verdana" w:hAnsi="Verdana" w:cs="Arial"/>
          <w:sz w:val="18"/>
          <w:szCs w:val="18"/>
        </w:rPr>
        <w:t>DEIK ACOSTAMADIEDO, Carolina, Guía de Contratación Estatal: Deber de planeación y modalidades de selección, Buenos Aires, 2015, p. 59.</w:t>
      </w:r>
    </w:p>
  </w:footnote>
  <w:footnote w:id="2">
    <w:p w14:paraId="1FEDA852" w14:textId="77777777" w:rsidR="004074D3" w:rsidRPr="004E605A" w:rsidRDefault="004074D3" w:rsidP="004074D3">
      <w:pPr>
        <w:pStyle w:val="Textonotapie"/>
        <w:ind w:firstLine="709"/>
        <w:jc w:val="both"/>
        <w:rPr>
          <w:rFonts w:ascii="Verdana" w:hAnsi="Verdana" w:cs="Arial"/>
          <w:sz w:val="18"/>
          <w:szCs w:val="18"/>
          <w:lang w:val="pt-BR"/>
        </w:rPr>
      </w:pPr>
      <w:r w:rsidRPr="004E605A">
        <w:rPr>
          <w:rStyle w:val="Refdenotaalpie"/>
          <w:rFonts w:ascii="Verdana" w:hAnsi="Verdana" w:cs="Arial"/>
          <w:sz w:val="18"/>
          <w:szCs w:val="18"/>
        </w:rPr>
        <w:footnoteRef/>
      </w:r>
      <w:r w:rsidRPr="004E605A">
        <w:rPr>
          <w:rFonts w:ascii="Verdana" w:hAnsi="Verdana" w:cs="Arial"/>
          <w:sz w:val="18"/>
          <w:szCs w:val="18"/>
          <w:lang w:val="pt-BR"/>
        </w:rPr>
        <w:t xml:space="preserve"> Tomado de </w:t>
      </w:r>
      <w:hyperlink r:id="rId1" w:history="1">
        <w:r w:rsidRPr="0030751E">
          <w:rPr>
            <w:rStyle w:val="Hipervnculo"/>
            <w:rFonts w:ascii="Verdana" w:hAnsi="Verdana" w:cs="Arial"/>
            <w:color w:val="0E2841"/>
            <w:sz w:val="18"/>
            <w:szCs w:val="18"/>
            <w:lang w:val="pt-BR"/>
          </w:rPr>
          <w:t>https://sintesis.colombiacompra.gov.co/sintesis/9-etapa-precontractual-estudios-previos</w:t>
        </w:r>
      </w:hyperlink>
      <w:r w:rsidRPr="004E605A">
        <w:rPr>
          <w:rFonts w:ascii="Verdana" w:hAnsi="Verdana" w:cs="Arial"/>
          <w:sz w:val="18"/>
          <w:szCs w:val="18"/>
          <w:lang w:val="pt-BR"/>
        </w:rPr>
        <w:t>.</w:t>
      </w:r>
    </w:p>
    <w:p w14:paraId="7B5F137F" w14:textId="77777777" w:rsidR="004074D3" w:rsidRPr="004E605A" w:rsidRDefault="004074D3" w:rsidP="004074D3">
      <w:pPr>
        <w:pStyle w:val="Textonotapie"/>
        <w:ind w:left="142" w:firstLine="709"/>
        <w:jc w:val="both"/>
        <w:rPr>
          <w:rFonts w:ascii="Verdana" w:hAnsi="Verdana" w:cs="Arial"/>
          <w:sz w:val="18"/>
          <w:szCs w:val="18"/>
          <w:lang w:val="pt-BR"/>
        </w:rPr>
      </w:pPr>
    </w:p>
  </w:footnote>
  <w:footnote w:id="3">
    <w:p w14:paraId="097BFACF" w14:textId="77777777" w:rsidR="004074D3" w:rsidRPr="004E605A" w:rsidRDefault="004074D3" w:rsidP="004074D3">
      <w:pPr>
        <w:pStyle w:val="Textoindependiente"/>
        <w:spacing w:after="0"/>
        <w:ind w:right="103" w:firstLine="709"/>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sz w:val="18"/>
          <w:szCs w:val="18"/>
        </w:rPr>
        <w:t xml:space="preserve"> </w:t>
      </w:r>
      <w:r>
        <w:rPr>
          <w:rFonts w:ascii="Verdana" w:hAnsi="Verdana" w:cs="Arial"/>
          <w:position w:val="6"/>
          <w:sz w:val="18"/>
          <w:szCs w:val="18"/>
        </w:rPr>
        <w:t>“</w:t>
      </w:r>
      <w:r w:rsidRPr="004E605A">
        <w:rPr>
          <w:rFonts w:ascii="Verdana" w:hAnsi="Verdana" w:cs="Arial"/>
          <w:sz w:val="18"/>
          <w:szCs w:val="18"/>
        </w:rPr>
        <w:t xml:space="preserve">Artículo </w:t>
      </w:r>
      <w:bookmarkStart w:id="3" w:name="_Hlk54173885"/>
      <w:r w:rsidRPr="004E605A">
        <w:rPr>
          <w:rFonts w:ascii="Verdana" w:hAnsi="Verdana" w:cs="Arial"/>
          <w:sz w:val="18"/>
          <w:szCs w:val="18"/>
        </w:rPr>
        <w:t>2.2.1.1.2.1.1</w:t>
      </w:r>
      <w:bookmarkEnd w:id="3"/>
      <w:r w:rsidRPr="004E605A">
        <w:rPr>
          <w:rFonts w:ascii="Verdana" w:hAnsi="Verdana" w:cs="Arial"/>
          <w:sz w:val="18"/>
          <w:szCs w:val="18"/>
        </w:rPr>
        <w:t xml:space="preserve">.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sidRPr="00543EC6">
        <w:rPr>
          <w:rFonts w:ascii="Verdana" w:hAnsi="Verdana" w:cs="Arial"/>
          <w:sz w:val="18"/>
          <w:szCs w:val="18"/>
        </w:rPr>
        <w:t>[…]</w:t>
      </w:r>
      <w:r>
        <w:rPr>
          <w:rFonts w:ascii="Verdana" w:hAnsi="Verdana" w:cs="Arial"/>
          <w:sz w:val="18"/>
          <w:szCs w:val="18"/>
        </w:rPr>
        <w:t>”</w:t>
      </w:r>
      <w:r w:rsidRPr="004E605A">
        <w:rPr>
          <w:rFonts w:ascii="Verdana" w:hAnsi="Verdana" w:cs="Arial"/>
          <w:sz w:val="18"/>
          <w:szCs w:val="18"/>
        </w:rPr>
        <w:t>.</w:t>
      </w:r>
    </w:p>
    <w:p w14:paraId="74517A7D" w14:textId="77777777" w:rsidR="004074D3" w:rsidRPr="004E605A" w:rsidRDefault="004074D3" w:rsidP="004074D3">
      <w:pPr>
        <w:pStyle w:val="Textonotapie"/>
        <w:ind w:firstLine="709"/>
        <w:jc w:val="both"/>
        <w:rPr>
          <w:rFonts w:ascii="Verdana" w:hAnsi="Verdana" w:cs="Arial"/>
          <w:sz w:val="18"/>
          <w:szCs w:val="18"/>
        </w:rPr>
      </w:pPr>
    </w:p>
  </w:footnote>
  <w:footnote w:id="4">
    <w:p w14:paraId="74D4FC73" w14:textId="77777777" w:rsidR="004074D3" w:rsidRPr="004E605A" w:rsidRDefault="004074D3" w:rsidP="004074D3">
      <w:pPr>
        <w:pStyle w:val="Textoindependiente"/>
        <w:spacing w:after="0"/>
        <w:ind w:right="108" w:firstLine="708"/>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sz w:val="18"/>
          <w:szCs w:val="18"/>
        </w:rPr>
        <w:t xml:space="preserve"> Consejo de Estado, Sala de lo Contencioso Administrativo. Sección Tercera, Subsección B, 31 de agosto de 2011, </w:t>
      </w:r>
      <w:proofErr w:type="spellStart"/>
      <w:r w:rsidRPr="004E605A">
        <w:rPr>
          <w:rFonts w:ascii="Verdana" w:hAnsi="Verdana" w:cs="Arial"/>
          <w:sz w:val="18"/>
          <w:szCs w:val="18"/>
        </w:rPr>
        <w:t>exp</w:t>
      </w:r>
      <w:proofErr w:type="spellEnd"/>
      <w:r w:rsidRPr="004E605A">
        <w:rPr>
          <w:rFonts w:ascii="Verdana" w:hAnsi="Verdana" w:cs="Arial"/>
          <w:sz w:val="18"/>
          <w:szCs w:val="18"/>
        </w:rPr>
        <w:t xml:space="preserve">. 18080, C.P. Ruth Stella Correa Palacio: </w:t>
      </w:r>
      <w:r>
        <w:rPr>
          <w:rFonts w:ascii="Verdana" w:hAnsi="Verdana" w:cs="Arial"/>
          <w:sz w:val="18"/>
          <w:szCs w:val="18"/>
        </w:rPr>
        <w:t>“</w:t>
      </w:r>
      <w:r w:rsidRPr="004E605A">
        <w:rPr>
          <w:rFonts w:ascii="Verdana" w:hAnsi="Verdana" w:cs="Arial"/>
          <w:sz w:val="18"/>
          <w:szCs w:val="18"/>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Pr>
          <w:rFonts w:ascii="Verdana" w:hAnsi="Verdana" w:cs="Arial"/>
          <w:sz w:val="18"/>
          <w:szCs w:val="18"/>
        </w:rPr>
        <w:t>”</w:t>
      </w:r>
    </w:p>
    <w:p w14:paraId="29E5CF79" w14:textId="77777777" w:rsidR="004074D3" w:rsidRPr="004E605A" w:rsidRDefault="004074D3" w:rsidP="004074D3">
      <w:pPr>
        <w:pStyle w:val="Textonotapie"/>
        <w:jc w:val="both"/>
        <w:rPr>
          <w:rFonts w:ascii="Verdana" w:hAnsi="Verdana" w:cs="Arial"/>
          <w:sz w:val="18"/>
          <w:szCs w:val="18"/>
        </w:rPr>
      </w:pPr>
    </w:p>
  </w:footnote>
  <w:footnote w:id="5">
    <w:p w14:paraId="70552CFF" w14:textId="77777777" w:rsidR="004074D3" w:rsidRPr="004E605A" w:rsidRDefault="004074D3" w:rsidP="004074D3">
      <w:pPr>
        <w:pStyle w:val="Textonotapie"/>
        <w:ind w:firstLine="708"/>
        <w:jc w:val="both"/>
        <w:rPr>
          <w:rFonts w:ascii="Verdana" w:hAnsi="Verdana" w:cs="Arial"/>
          <w:sz w:val="18"/>
          <w:szCs w:val="18"/>
          <w:lang w:val="es-ES"/>
        </w:rPr>
      </w:pPr>
      <w:r w:rsidRPr="004E605A">
        <w:rPr>
          <w:rStyle w:val="Refdenotaalpie"/>
          <w:rFonts w:ascii="Verdana" w:hAnsi="Verdana" w:cs="Arial"/>
          <w:sz w:val="18"/>
          <w:szCs w:val="18"/>
        </w:rPr>
        <w:footnoteRef/>
      </w:r>
      <w:r w:rsidRPr="004E605A">
        <w:rPr>
          <w:rFonts w:ascii="Verdana" w:hAnsi="Verdana" w:cs="Arial"/>
          <w:sz w:val="18"/>
          <w:szCs w:val="18"/>
        </w:rPr>
        <w:t xml:space="preserve"> </w:t>
      </w:r>
      <w:r w:rsidRPr="004E605A">
        <w:rPr>
          <w:rFonts w:ascii="Verdana" w:hAnsi="Verdana" w:cs="Arial"/>
          <w:sz w:val="18"/>
          <w:szCs w:val="18"/>
          <w:lang w:val="es-ES"/>
        </w:rPr>
        <w:t xml:space="preserve">La </w:t>
      </w:r>
      <w:r>
        <w:rPr>
          <w:rFonts w:ascii="Verdana" w:eastAsia="Calibri" w:hAnsi="Verdana" w:cs="Arial"/>
          <w:bCs/>
          <w:sz w:val="18"/>
          <w:szCs w:val="18"/>
          <w:lang w:val="es-ES_tradnl"/>
        </w:rPr>
        <w:t>“</w:t>
      </w:r>
      <w:r w:rsidRPr="004E605A">
        <w:rPr>
          <w:rFonts w:ascii="Verdana" w:eastAsia="Calibri" w:hAnsi="Verdana" w:cs="Arial"/>
          <w:bCs/>
          <w:sz w:val="18"/>
          <w:szCs w:val="18"/>
          <w:lang w:val="es-ES_tradnl"/>
        </w:rPr>
        <w:t>Guía para la Elaboración de Estudios del Sector</w:t>
      </w:r>
      <w:r>
        <w:rPr>
          <w:rFonts w:ascii="Verdana" w:eastAsia="Calibri" w:hAnsi="Verdana" w:cs="Arial"/>
          <w:bCs/>
          <w:sz w:val="18"/>
          <w:szCs w:val="18"/>
          <w:lang w:val="es-ES_tradnl"/>
        </w:rPr>
        <w:t>”</w:t>
      </w:r>
      <w:r w:rsidRPr="004E605A">
        <w:rPr>
          <w:rFonts w:ascii="Verdana" w:eastAsia="Calibri" w:hAnsi="Verdana" w:cs="Arial"/>
          <w:bCs/>
          <w:sz w:val="18"/>
          <w:szCs w:val="18"/>
          <w:lang w:val="es-ES_tradnl"/>
        </w:rPr>
        <w:t xml:space="preserve"> puede ser consultada </w:t>
      </w:r>
      <w:hyperlink r:id="rId2" w:history="1">
        <w:r w:rsidRPr="00197647">
          <w:rPr>
            <w:rStyle w:val="Hipervnculo"/>
            <w:rFonts w:ascii="Verdana" w:eastAsia="Calibri" w:hAnsi="Verdana" w:cs="Arial"/>
            <w:bCs/>
            <w:sz w:val="18"/>
            <w:szCs w:val="18"/>
            <w:lang w:val="es-ES_tradnl"/>
          </w:rPr>
          <w:t>aquí</w:t>
        </w:r>
      </w:hyperlink>
    </w:p>
  </w:footnote>
  <w:footnote w:id="6">
    <w:p w14:paraId="0EAC1CE3" w14:textId="77777777" w:rsidR="004074D3" w:rsidRPr="004E605A" w:rsidRDefault="004074D3" w:rsidP="004074D3">
      <w:pPr>
        <w:pStyle w:val="Textonotapie"/>
        <w:ind w:firstLine="708"/>
        <w:jc w:val="both"/>
        <w:rPr>
          <w:rFonts w:ascii="Verdana" w:hAnsi="Verdana"/>
          <w:sz w:val="18"/>
          <w:szCs w:val="18"/>
        </w:rPr>
      </w:pPr>
      <w:r w:rsidRPr="004E605A">
        <w:rPr>
          <w:rStyle w:val="Refdenotaalpie"/>
          <w:rFonts w:ascii="Verdana" w:hAnsi="Verdana"/>
          <w:sz w:val="18"/>
          <w:szCs w:val="18"/>
        </w:rPr>
        <w:footnoteRef/>
      </w:r>
      <w:r w:rsidRPr="004E605A">
        <w:rPr>
          <w:rFonts w:ascii="Verdana" w:hAnsi="Verdana"/>
          <w:sz w:val="18"/>
          <w:szCs w:val="18"/>
        </w:rPr>
        <w:t xml:space="preserve"> Artículo 17 de la Ley 1150 de 2007</w:t>
      </w:r>
    </w:p>
    <w:p w14:paraId="7BDCF9D1" w14:textId="77777777" w:rsidR="004074D3" w:rsidRPr="004E605A" w:rsidRDefault="004074D3" w:rsidP="004074D3">
      <w:pPr>
        <w:pStyle w:val="Textonotapie"/>
        <w:ind w:firstLine="708"/>
        <w:jc w:val="both"/>
        <w:rPr>
          <w:rFonts w:ascii="Verdana" w:hAnsi="Verdana"/>
          <w:sz w:val="18"/>
          <w:szCs w:val="18"/>
          <w:lang w:val="es-CO"/>
        </w:rPr>
      </w:pPr>
    </w:p>
  </w:footnote>
  <w:footnote w:id="7">
    <w:p w14:paraId="6768C075" w14:textId="77777777" w:rsidR="004074D3" w:rsidRPr="004E605A" w:rsidRDefault="004074D3" w:rsidP="004074D3">
      <w:pPr>
        <w:pStyle w:val="Textonotapie"/>
        <w:ind w:firstLine="708"/>
        <w:jc w:val="both"/>
        <w:rPr>
          <w:rFonts w:ascii="Verdana" w:hAnsi="Verdana"/>
          <w:sz w:val="18"/>
          <w:szCs w:val="18"/>
        </w:rPr>
      </w:pPr>
      <w:r w:rsidRPr="004E605A">
        <w:rPr>
          <w:rStyle w:val="Refdenotaalpie"/>
          <w:rFonts w:ascii="Verdana" w:hAnsi="Verdana"/>
          <w:sz w:val="18"/>
          <w:szCs w:val="18"/>
        </w:rPr>
        <w:footnoteRef/>
      </w:r>
      <w:r w:rsidRPr="004E605A">
        <w:rPr>
          <w:rFonts w:ascii="Verdana" w:hAnsi="Verdana"/>
          <w:sz w:val="18"/>
          <w:szCs w:val="18"/>
        </w:rPr>
        <w:t xml:space="preserve"> Artículo 21 de la Ley 1150 de 2007</w:t>
      </w:r>
    </w:p>
    <w:p w14:paraId="38AC3A52" w14:textId="77777777" w:rsidR="004074D3" w:rsidRPr="004E605A" w:rsidRDefault="004074D3" w:rsidP="004074D3">
      <w:pPr>
        <w:pStyle w:val="Textonotapie"/>
        <w:ind w:firstLine="708"/>
        <w:jc w:val="both"/>
        <w:rPr>
          <w:rFonts w:ascii="Verdana" w:hAnsi="Verdana"/>
          <w:sz w:val="18"/>
          <w:szCs w:val="18"/>
          <w:lang w:val="es-CO"/>
        </w:rPr>
      </w:pPr>
    </w:p>
  </w:footnote>
  <w:footnote w:id="8">
    <w:p w14:paraId="42463242" w14:textId="77777777" w:rsidR="004074D3" w:rsidRPr="004E605A" w:rsidRDefault="004074D3" w:rsidP="004074D3">
      <w:pPr>
        <w:pStyle w:val="Textonotapie"/>
        <w:ind w:firstLine="708"/>
        <w:jc w:val="both"/>
        <w:rPr>
          <w:rFonts w:ascii="Verdana" w:hAnsi="Verdana"/>
          <w:sz w:val="18"/>
          <w:szCs w:val="18"/>
        </w:rPr>
      </w:pPr>
      <w:r w:rsidRPr="004E605A">
        <w:rPr>
          <w:rStyle w:val="Refdenotaalpie"/>
          <w:rFonts w:ascii="Verdana" w:hAnsi="Verdana"/>
          <w:sz w:val="18"/>
          <w:szCs w:val="18"/>
        </w:rPr>
        <w:footnoteRef/>
      </w:r>
      <w:r w:rsidRPr="004E605A">
        <w:rPr>
          <w:rFonts w:ascii="Verdana" w:hAnsi="Verdana"/>
          <w:sz w:val="18"/>
          <w:szCs w:val="18"/>
        </w:rPr>
        <w:t xml:space="preserve"> Artículos 83 a 86 de la Ley 1474 de 2011</w:t>
      </w:r>
    </w:p>
    <w:p w14:paraId="1A02D8FC" w14:textId="77777777" w:rsidR="004074D3" w:rsidRPr="004E605A" w:rsidRDefault="004074D3" w:rsidP="004074D3">
      <w:pPr>
        <w:pStyle w:val="Textonotapie"/>
        <w:ind w:firstLine="708"/>
        <w:jc w:val="both"/>
        <w:rPr>
          <w:rFonts w:ascii="Verdana" w:hAnsi="Verdana"/>
          <w:sz w:val="18"/>
          <w:szCs w:val="18"/>
          <w:lang w:val="es-CO"/>
        </w:rPr>
      </w:pPr>
    </w:p>
  </w:footnote>
  <w:footnote w:id="9">
    <w:p w14:paraId="7A4AE833" w14:textId="77777777" w:rsidR="004074D3" w:rsidRPr="004E605A" w:rsidRDefault="004074D3" w:rsidP="004074D3">
      <w:pPr>
        <w:pStyle w:val="Textonotapie"/>
        <w:ind w:firstLine="708"/>
        <w:jc w:val="both"/>
        <w:rPr>
          <w:rFonts w:ascii="Verdana" w:hAnsi="Verdana"/>
          <w:sz w:val="18"/>
          <w:szCs w:val="18"/>
        </w:rPr>
      </w:pPr>
      <w:r w:rsidRPr="004E605A">
        <w:rPr>
          <w:rStyle w:val="Refdenotaalpie"/>
          <w:rFonts w:ascii="Verdana" w:hAnsi="Verdana"/>
          <w:sz w:val="18"/>
          <w:szCs w:val="18"/>
        </w:rPr>
        <w:footnoteRef/>
      </w:r>
      <w:r w:rsidRPr="004E605A">
        <w:rPr>
          <w:rFonts w:ascii="Verdana" w:hAnsi="Verdana"/>
          <w:sz w:val="18"/>
          <w:szCs w:val="18"/>
        </w:rPr>
        <w:t xml:space="preserve"> Consejo de Estado. Sección 3ª. Sentencia del 27 de noviembre de 2017. M.P. Jaime Orlando</w:t>
      </w:r>
      <w:r>
        <w:rPr>
          <w:rFonts w:ascii="Verdana" w:hAnsi="Verdana"/>
          <w:sz w:val="18"/>
          <w:szCs w:val="18"/>
        </w:rPr>
        <w:t xml:space="preserve"> </w:t>
      </w:r>
      <w:r w:rsidRPr="004E605A">
        <w:rPr>
          <w:rFonts w:ascii="Verdana" w:hAnsi="Verdana"/>
          <w:sz w:val="18"/>
          <w:szCs w:val="18"/>
        </w:rPr>
        <w:t xml:space="preserve">Santofimio. </w:t>
      </w:r>
      <w:proofErr w:type="spellStart"/>
      <w:r w:rsidRPr="004E605A">
        <w:rPr>
          <w:rFonts w:ascii="Verdana" w:hAnsi="Verdana"/>
          <w:sz w:val="18"/>
          <w:szCs w:val="18"/>
        </w:rPr>
        <w:t>Exp</w:t>
      </w:r>
      <w:proofErr w:type="spellEnd"/>
      <w:r w:rsidRPr="004E605A">
        <w:rPr>
          <w:rFonts w:ascii="Verdana" w:hAnsi="Verdana"/>
          <w:sz w:val="18"/>
          <w:szCs w:val="18"/>
        </w:rPr>
        <w:t>. 51.802</w:t>
      </w:r>
    </w:p>
    <w:p w14:paraId="26BAF69F" w14:textId="77777777" w:rsidR="004074D3" w:rsidRPr="004E605A" w:rsidRDefault="004074D3" w:rsidP="004074D3">
      <w:pPr>
        <w:pStyle w:val="Textonotapie"/>
        <w:jc w:val="both"/>
        <w:rPr>
          <w:rFonts w:ascii="Verdana" w:hAnsi="Verdana"/>
          <w:sz w:val="18"/>
          <w:szCs w:val="18"/>
          <w:lang w:val="es-CO"/>
        </w:rPr>
      </w:pPr>
    </w:p>
  </w:footnote>
  <w:footnote w:id="10">
    <w:p w14:paraId="6D94029B" w14:textId="77777777" w:rsidR="004074D3" w:rsidRPr="004E605A" w:rsidRDefault="004074D3" w:rsidP="004074D3">
      <w:pPr>
        <w:pStyle w:val="Textonotapie"/>
        <w:ind w:firstLine="708"/>
        <w:jc w:val="both"/>
        <w:rPr>
          <w:rFonts w:ascii="Verdana" w:hAnsi="Verdana"/>
          <w:sz w:val="18"/>
          <w:szCs w:val="18"/>
        </w:rPr>
      </w:pPr>
      <w:r w:rsidRPr="004E605A">
        <w:rPr>
          <w:rStyle w:val="Refdenotaalpie"/>
          <w:rFonts w:ascii="Verdana" w:hAnsi="Verdana"/>
          <w:sz w:val="18"/>
          <w:szCs w:val="18"/>
        </w:rPr>
        <w:footnoteRef/>
      </w:r>
      <w:r w:rsidRPr="004E605A">
        <w:rPr>
          <w:rFonts w:ascii="Verdana" w:hAnsi="Verdana"/>
          <w:sz w:val="18"/>
          <w:szCs w:val="18"/>
        </w:rPr>
        <w:t xml:space="preserve"> Artículo 83 de la Ley 1474 de 2011</w:t>
      </w:r>
    </w:p>
    <w:p w14:paraId="6234F422" w14:textId="77777777" w:rsidR="004074D3" w:rsidRPr="004E605A" w:rsidRDefault="004074D3" w:rsidP="004074D3">
      <w:pPr>
        <w:pStyle w:val="Textonotapie"/>
        <w:ind w:firstLine="708"/>
        <w:jc w:val="both"/>
        <w:rPr>
          <w:rFonts w:ascii="Verdana" w:hAnsi="Verdana"/>
          <w:sz w:val="18"/>
          <w:szCs w:val="18"/>
          <w:lang w:val="es-CO"/>
        </w:rPr>
      </w:pPr>
    </w:p>
  </w:footnote>
  <w:footnote w:id="11">
    <w:p w14:paraId="2486B80F" w14:textId="77777777" w:rsidR="004074D3" w:rsidRPr="004E605A" w:rsidRDefault="004074D3" w:rsidP="004074D3">
      <w:pPr>
        <w:pStyle w:val="Textonotapie"/>
        <w:ind w:firstLine="708"/>
        <w:jc w:val="both"/>
        <w:rPr>
          <w:rFonts w:ascii="Verdana" w:hAnsi="Verdana"/>
          <w:sz w:val="18"/>
          <w:szCs w:val="18"/>
          <w:lang w:val="es-CO"/>
        </w:rPr>
      </w:pPr>
      <w:r w:rsidRPr="004E605A">
        <w:rPr>
          <w:rStyle w:val="Refdenotaalpie"/>
          <w:rFonts w:ascii="Verdana" w:hAnsi="Verdana"/>
          <w:sz w:val="18"/>
          <w:szCs w:val="18"/>
        </w:rPr>
        <w:footnoteRef/>
      </w:r>
      <w:r w:rsidRPr="004E605A">
        <w:rPr>
          <w:rFonts w:ascii="Verdana" w:hAnsi="Verdana"/>
          <w:sz w:val="18"/>
          <w:szCs w:val="18"/>
        </w:rPr>
        <w:t xml:space="preserve"> A excepción de la interventoría del contrato de obra adjudicado por licitación pública que es</w:t>
      </w:r>
      <w:r>
        <w:rPr>
          <w:rFonts w:ascii="Verdana" w:hAnsi="Verdana"/>
          <w:sz w:val="18"/>
          <w:szCs w:val="18"/>
        </w:rPr>
        <w:t xml:space="preserve"> </w:t>
      </w:r>
      <w:r w:rsidRPr="004E605A">
        <w:rPr>
          <w:rFonts w:ascii="Verdana" w:hAnsi="Verdana"/>
          <w:sz w:val="18"/>
          <w:szCs w:val="18"/>
        </w:rPr>
        <w:t>obligatoria según el numeral 1° del artículo 32 de la Ley 80 de 1993.</w:t>
      </w:r>
    </w:p>
  </w:footnote>
  <w:footnote w:id="12">
    <w:p w14:paraId="5F4FED04" w14:textId="77777777" w:rsidR="004074D3" w:rsidRPr="004E605A" w:rsidRDefault="004074D3" w:rsidP="004074D3">
      <w:pPr>
        <w:pStyle w:val="Textonotapie"/>
        <w:ind w:firstLine="708"/>
        <w:contextualSpacing/>
        <w:jc w:val="both"/>
        <w:rPr>
          <w:rFonts w:ascii="Verdana" w:hAnsi="Verdana" w:cs="Arial"/>
          <w:color w:val="000000"/>
          <w:sz w:val="18"/>
          <w:szCs w:val="18"/>
        </w:rPr>
      </w:pPr>
      <w:r w:rsidRPr="004E605A">
        <w:rPr>
          <w:rStyle w:val="Refdenotaalpie"/>
          <w:rFonts w:ascii="Verdana" w:hAnsi="Verdana" w:cs="Arial"/>
          <w:color w:val="000000"/>
          <w:sz w:val="18"/>
          <w:szCs w:val="18"/>
        </w:rPr>
        <w:footnoteRef/>
      </w:r>
      <w:r w:rsidRPr="004E605A">
        <w:rPr>
          <w:rFonts w:ascii="Verdana" w:hAnsi="Verdana" w:cs="Arial"/>
          <w:color w:val="000000"/>
          <w:sz w:val="18"/>
          <w:szCs w:val="18"/>
        </w:rPr>
        <w:t xml:space="preserve"> </w:t>
      </w:r>
      <w:r w:rsidRPr="004E605A">
        <w:rPr>
          <w:rFonts w:ascii="Verdana" w:hAnsi="Verdana" w:cs="Arial"/>
          <w:iCs/>
          <w:color w:val="000000"/>
          <w:sz w:val="18"/>
          <w:szCs w:val="18"/>
        </w:rPr>
        <w:t>Departamento Administrativo de la Función Pública. Concepto del 6 de mayo de 2019. Rad. 140.881.</w:t>
      </w:r>
    </w:p>
    <w:p w14:paraId="18449CEE" w14:textId="77777777" w:rsidR="004074D3" w:rsidRPr="004E605A" w:rsidRDefault="004074D3" w:rsidP="004074D3">
      <w:pPr>
        <w:pStyle w:val="Textonotapie"/>
        <w:contextualSpacing/>
        <w:jc w:val="both"/>
        <w:rPr>
          <w:rFonts w:ascii="Verdana" w:hAnsi="Verdana" w:cs="Arial"/>
          <w:color w:val="000000"/>
          <w:sz w:val="18"/>
          <w:szCs w:val="18"/>
        </w:rPr>
      </w:pPr>
    </w:p>
  </w:footnote>
  <w:footnote w:id="13">
    <w:p w14:paraId="1B450E36" w14:textId="77777777" w:rsidR="004074D3" w:rsidRPr="004E605A" w:rsidRDefault="004074D3" w:rsidP="004074D3">
      <w:pPr>
        <w:pStyle w:val="Textonotapie"/>
        <w:ind w:firstLine="708"/>
        <w:jc w:val="both"/>
        <w:rPr>
          <w:rFonts w:ascii="Verdana" w:hAnsi="Verdana"/>
          <w:sz w:val="18"/>
          <w:szCs w:val="18"/>
          <w:lang w:val="es-CO"/>
        </w:rPr>
      </w:pPr>
      <w:r w:rsidRPr="004E605A">
        <w:rPr>
          <w:rStyle w:val="Refdenotaalpie"/>
          <w:rFonts w:ascii="Verdana" w:hAnsi="Verdana"/>
          <w:sz w:val="18"/>
          <w:szCs w:val="18"/>
        </w:rPr>
        <w:footnoteRef/>
      </w:r>
      <w:r w:rsidRPr="004E605A">
        <w:rPr>
          <w:rFonts w:ascii="Verdana" w:hAnsi="Verdana"/>
          <w:sz w:val="18"/>
          <w:szCs w:val="18"/>
        </w:rPr>
        <w:t xml:space="preserve"> Documento que se encuentra disponible para su consulta </w:t>
      </w:r>
      <w:hyperlink r:id="rId3" w:history="1">
        <w:r w:rsidRPr="004E605A">
          <w:rPr>
            <w:rStyle w:val="Hipervnculo"/>
            <w:rFonts w:ascii="Verdana" w:hAnsi="Verdana"/>
            <w:sz w:val="18"/>
            <w:szCs w:val="18"/>
          </w:rPr>
          <w:t>aquí</w:t>
        </w:r>
      </w:hyperlink>
    </w:p>
  </w:footnote>
  <w:footnote w:id="14">
    <w:p w14:paraId="433EE67D" w14:textId="77777777" w:rsidR="004074D3" w:rsidRPr="0030751E" w:rsidRDefault="004074D3" w:rsidP="004074D3">
      <w:pPr>
        <w:pStyle w:val="Textonotapie"/>
        <w:ind w:firstLine="709"/>
        <w:contextualSpacing/>
        <w:jc w:val="both"/>
        <w:rPr>
          <w:rFonts w:ascii="Verdana" w:hAnsi="Verdana" w:cs="Arial"/>
          <w:color w:val="000000"/>
          <w:sz w:val="18"/>
          <w:szCs w:val="18"/>
        </w:rPr>
      </w:pPr>
      <w:r w:rsidRPr="0030751E">
        <w:rPr>
          <w:rStyle w:val="Refdenotaalpie"/>
          <w:rFonts w:ascii="Verdana" w:hAnsi="Verdana" w:cs="Arial"/>
          <w:color w:val="000000"/>
          <w:sz w:val="18"/>
          <w:szCs w:val="18"/>
        </w:rPr>
        <w:footnoteRef/>
      </w:r>
      <w:r w:rsidRPr="0030751E">
        <w:rPr>
          <w:rFonts w:ascii="Verdana" w:hAnsi="Verdana" w:cs="Arial"/>
          <w:color w:val="000000"/>
          <w:sz w:val="18"/>
          <w:szCs w:val="18"/>
        </w:rPr>
        <w:t xml:space="preserve"> Corte Constitucional. Sentencia C-317 de 2012. M.P. María Victoria Calle Correa. </w:t>
      </w:r>
    </w:p>
    <w:p w14:paraId="5F1D1E14" w14:textId="77777777" w:rsidR="004074D3" w:rsidRPr="0030751E" w:rsidRDefault="004074D3" w:rsidP="004074D3">
      <w:pPr>
        <w:pStyle w:val="Textonotapie"/>
        <w:ind w:firstLine="709"/>
        <w:contextualSpacing/>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C8D8" w14:textId="77777777" w:rsidR="004074D3" w:rsidRDefault="004074D3"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55216A1" wp14:editId="793AE66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3A67F18" wp14:editId="0566AF0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A80EFAB" w14:textId="77777777" w:rsidR="004074D3" w:rsidRDefault="004074D3">
    <w:pPr>
      <w:pStyle w:val="Encabezado"/>
    </w:pPr>
  </w:p>
  <w:p w14:paraId="1F774DDD" w14:textId="77777777" w:rsidR="004074D3" w:rsidRPr="004A305D" w:rsidRDefault="004074D3" w:rsidP="00B01B1A">
    <w:pPr>
      <w:spacing w:after="0" w:line="120" w:lineRule="auto"/>
      <w:rPr>
        <w:rFonts w:ascii="Century Gothic" w:eastAsia="Geo" w:hAnsi="Century Gothic" w:cs="Geo"/>
        <w:sz w:val="16"/>
        <w:szCs w:val="16"/>
        <w:lang w:eastAsia="es-CO"/>
      </w:rPr>
    </w:pPr>
  </w:p>
  <w:p w14:paraId="3EF2C97D" w14:textId="77777777" w:rsidR="004074D3" w:rsidRDefault="004074D3" w:rsidP="00844AE9">
    <w:pPr>
      <w:spacing w:after="0" w:line="240" w:lineRule="auto"/>
      <w:rPr>
        <w:rFonts w:ascii="Verdana" w:hAnsi="Verdana"/>
        <w:sz w:val="24"/>
        <w:szCs w:val="24"/>
      </w:rPr>
    </w:pPr>
  </w:p>
  <w:p w14:paraId="03288EB7" w14:textId="77777777" w:rsidR="004074D3" w:rsidRPr="00C925AC" w:rsidRDefault="004074D3" w:rsidP="00844AE9">
    <w:pPr>
      <w:spacing w:after="0" w:line="240" w:lineRule="auto"/>
      <w:rPr>
        <w:rFonts w:ascii="Verdana" w:hAnsi="Verdana"/>
        <w:sz w:val="24"/>
        <w:szCs w:val="24"/>
      </w:rPr>
    </w:pPr>
  </w:p>
  <w:p w14:paraId="45F7AED7" w14:textId="77777777" w:rsidR="004074D3" w:rsidRPr="00C925AC" w:rsidRDefault="004074D3"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74ED9"/>
    <w:multiLevelType w:val="hybridMultilevel"/>
    <w:tmpl w:val="2A4E5DC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7DF0835"/>
    <w:multiLevelType w:val="hybridMultilevel"/>
    <w:tmpl w:val="2B0CC11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49B84DB5"/>
    <w:multiLevelType w:val="hybridMultilevel"/>
    <w:tmpl w:val="C9042FD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4" w15:restartNumberingAfterBreak="0">
    <w:nsid w:val="58C951BD"/>
    <w:multiLevelType w:val="hybridMultilevel"/>
    <w:tmpl w:val="F3BE6E5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679089576">
    <w:abstractNumId w:val="1"/>
  </w:num>
  <w:num w:numId="2" w16cid:durableId="51008611">
    <w:abstractNumId w:val="0"/>
  </w:num>
  <w:num w:numId="3" w16cid:durableId="766312792">
    <w:abstractNumId w:val="2"/>
  </w:num>
  <w:num w:numId="4" w16cid:durableId="1400206098">
    <w:abstractNumId w:val="3"/>
  </w:num>
  <w:num w:numId="5" w16cid:durableId="1495298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D3"/>
    <w:rsid w:val="000B7ED6"/>
    <w:rsid w:val="004074D3"/>
    <w:rsid w:val="004D42FE"/>
    <w:rsid w:val="005727E1"/>
    <w:rsid w:val="005818E2"/>
    <w:rsid w:val="008B29A2"/>
    <w:rsid w:val="008E5C2E"/>
    <w:rsid w:val="00A739C5"/>
    <w:rsid w:val="00BE3128"/>
    <w:rsid w:val="00C2515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2AFD"/>
  <w15:chartTrackingRefBased/>
  <w15:docId w15:val="{60BB00F5-49D6-4928-906E-B045F6B3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4D3"/>
    <w:rPr>
      <w:kern w:val="0"/>
      <w14:ligatures w14:val="none"/>
    </w:rPr>
  </w:style>
  <w:style w:type="paragraph" w:styleId="Ttulo1">
    <w:name w:val="heading 1"/>
    <w:basedOn w:val="Normal"/>
    <w:next w:val="Normal"/>
    <w:link w:val="Ttulo1Car"/>
    <w:uiPriority w:val="9"/>
    <w:qFormat/>
    <w:rsid w:val="00407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7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74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74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74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74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74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74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74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74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74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74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74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74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74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74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74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74D3"/>
    <w:rPr>
      <w:rFonts w:eastAsiaTheme="majorEastAsia" w:cstheme="majorBidi"/>
      <w:color w:val="272727" w:themeColor="text1" w:themeTint="D8"/>
    </w:rPr>
  </w:style>
  <w:style w:type="paragraph" w:styleId="Ttulo">
    <w:name w:val="Title"/>
    <w:basedOn w:val="Normal"/>
    <w:next w:val="Normal"/>
    <w:link w:val="TtuloCar"/>
    <w:uiPriority w:val="10"/>
    <w:qFormat/>
    <w:rsid w:val="00407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74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74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74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74D3"/>
    <w:pPr>
      <w:spacing w:before="160"/>
      <w:jc w:val="center"/>
    </w:pPr>
    <w:rPr>
      <w:i/>
      <w:iCs/>
      <w:color w:val="404040" w:themeColor="text1" w:themeTint="BF"/>
    </w:rPr>
  </w:style>
  <w:style w:type="character" w:customStyle="1" w:styleId="CitaCar">
    <w:name w:val="Cita Car"/>
    <w:basedOn w:val="Fuentedeprrafopredeter"/>
    <w:link w:val="Cita"/>
    <w:uiPriority w:val="29"/>
    <w:rsid w:val="004074D3"/>
    <w:rPr>
      <w:i/>
      <w:iCs/>
      <w:color w:val="404040" w:themeColor="text1" w:themeTint="BF"/>
    </w:rPr>
  </w:style>
  <w:style w:type="paragraph" w:styleId="Prrafodelista">
    <w:name w:val="List Paragraph"/>
    <w:basedOn w:val="Normal"/>
    <w:uiPriority w:val="34"/>
    <w:qFormat/>
    <w:rsid w:val="004074D3"/>
    <w:pPr>
      <w:ind w:left="720"/>
      <w:contextualSpacing/>
    </w:pPr>
  </w:style>
  <w:style w:type="character" w:styleId="nfasisintenso">
    <w:name w:val="Intense Emphasis"/>
    <w:basedOn w:val="Fuentedeprrafopredeter"/>
    <w:uiPriority w:val="21"/>
    <w:qFormat/>
    <w:rsid w:val="004074D3"/>
    <w:rPr>
      <w:i/>
      <w:iCs/>
      <w:color w:val="0F4761" w:themeColor="accent1" w:themeShade="BF"/>
    </w:rPr>
  </w:style>
  <w:style w:type="paragraph" w:styleId="Citadestacada">
    <w:name w:val="Intense Quote"/>
    <w:basedOn w:val="Normal"/>
    <w:next w:val="Normal"/>
    <w:link w:val="CitadestacadaCar"/>
    <w:uiPriority w:val="30"/>
    <w:qFormat/>
    <w:rsid w:val="00407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74D3"/>
    <w:rPr>
      <w:i/>
      <w:iCs/>
      <w:color w:val="0F4761" w:themeColor="accent1" w:themeShade="BF"/>
    </w:rPr>
  </w:style>
  <w:style w:type="character" w:styleId="Referenciaintensa">
    <w:name w:val="Intense Reference"/>
    <w:basedOn w:val="Fuentedeprrafopredeter"/>
    <w:uiPriority w:val="32"/>
    <w:qFormat/>
    <w:rsid w:val="004074D3"/>
    <w:rPr>
      <w:b/>
      <w:bCs/>
      <w:smallCaps/>
      <w:color w:val="0F4761" w:themeColor="accent1" w:themeShade="BF"/>
      <w:spacing w:val="5"/>
    </w:rPr>
  </w:style>
  <w:style w:type="paragraph" w:styleId="Encabezado">
    <w:name w:val="header"/>
    <w:basedOn w:val="Normal"/>
    <w:link w:val="EncabezadoCar"/>
    <w:uiPriority w:val="99"/>
    <w:unhideWhenUsed/>
    <w:rsid w:val="004074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74D3"/>
    <w:rPr>
      <w:kern w:val="0"/>
      <w14:ligatures w14:val="none"/>
    </w:rPr>
  </w:style>
  <w:style w:type="paragraph" w:styleId="Piedepgina">
    <w:name w:val="footer"/>
    <w:basedOn w:val="Normal"/>
    <w:link w:val="PiedepginaCar"/>
    <w:uiPriority w:val="99"/>
    <w:unhideWhenUsed/>
    <w:rsid w:val="004074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74D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074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4074D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074D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074D3"/>
    <w:rPr>
      <w:vertAlign w:val="superscript"/>
    </w:rPr>
  </w:style>
  <w:style w:type="table" w:styleId="Tablaconcuadrcula">
    <w:name w:val="Table Grid"/>
    <w:basedOn w:val="Tablanormal"/>
    <w:uiPriority w:val="39"/>
    <w:qFormat/>
    <w:rsid w:val="004074D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074D3"/>
    <w:rPr>
      <w:color w:val="0000FF"/>
      <w:u w:val="single"/>
    </w:rPr>
  </w:style>
  <w:style w:type="paragraph" w:customStyle="1" w:styleId="Appelnotedebasde">
    <w:name w:val="Appel note de bas de..."/>
    <w:basedOn w:val="Normal"/>
    <w:link w:val="Refdenotaalpie"/>
    <w:uiPriority w:val="99"/>
    <w:rsid w:val="004074D3"/>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4074D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4074D3"/>
    <w:pPr>
      <w:spacing w:after="120"/>
    </w:pPr>
  </w:style>
  <w:style w:type="character" w:customStyle="1" w:styleId="TextoindependienteCar">
    <w:name w:val="Texto independiente Car"/>
    <w:basedOn w:val="Fuentedeprrafopredeter"/>
    <w:link w:val="Textoindependiente"/>
    <w:uiPriority w:val="99"/>
    <w:semiHidden/>
    <w:rsid w:val="004074D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spe@serviciodeempleo.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hrome-extension://efaidnbmnnnibpcajpcglclefindmkaj/https:/www.colombiacompra.gov.co/wp-content/uploads/2024/08/2018-Guia-para-el-ejercicio-de-las-funciones-de-supervision-e-interventoria-de-los-contratos-suscritos-por-las-Entidades-Estatales-G-EFSICE-02.pdf" TargetMode="External"/><Relationship Id="rId2" Type="http://schemas.openxmlformats.org/officeDocument/2006/relationships/hyperlink" Target="chrome-extension://efaidnbmnnnibpcajpcglclefindmkaj/https:/www.colombiacompra.gov.co/wp-content/uploads/2025/09/Guia-para-la-Elaboracion-de-Estudios-del-Sector-V3.pdf" TargetMode="External"/><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6FDE8C-470A-40C9-BF21-7556792FC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20F16-43EC-4F61-B527-CC3EECD354B7}">
  <ds:schemaRefs>
    <ds:schemaRef ds:uri="http://schemas.microsoft.com/sharepoint/v3/contenttype/forms"/>
  </ds:schemaRefs>
</ds:datastoreItem>
</file>

<file path=customXml/itemProps3.xml><?xml version="1.0" encoding="utf-8"?>
<ds:datastoreItem xmlns:ds="http://schemas.openxmlformats.org/officeDocument/2006/customXml" ds:itemID="{E2D26A63-C370-4289-9673-D94BBBD46D9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6905</Words>
  <Characters>37981</Characters>
  <Application>Microsoft Office Word</Application>
  <DocSecurity>0</DocSecurity>
  <Lines>316</Lines>
  <Paragraphs>89</Paragraphs>
  <ScaleCrop>false</ScaleCrop>
  <Company/>
  <LinksUpToDate>false</LinksUpToDate>
  <CharactersWithSpaces>44797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2026-05-08T16:18:00Z</dcterms:created>
  <dcterms:modified xsi:type="dcterms:W3CDTF">2026-05-08T16:18:00Z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