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18E0EE" w14:textId="77777777" w:rsidR="00176D2E" w:rsidRDefault="00176D2E" w:rsidP="00176D2E">
      <w:pPr>
        <w:spacing w:after="0" w:line="240" w:lineRule="auto"/>
        <w:jc w:val="both"/>
        <w:rPr>
          <w:rFonts w:ascii="Verdana" w:eastAsia="Times New Roman" w:hAnsi="Verdana" w:cs="Arial"/>
          <w:b/>
          <w:color w:val="000000" w:themeColor="text1"/>
          <w:sz w:val="20"/>
          <w:szCs w:val="20"/>
          <w:lang w:eastAsia="es-ES"/>
        </w:rPr>
      </w:pPr>
      <w:bookmarkStart w:id="0" w:name="_Hlk143780582"/>
    </w:p>
    <w:p w14:paraId="3DCF57EB" w14:textId="77777777" w:rsidR="00176D2E" w:rsidRPr="00CF3F18" w:rsidRDefault="00176D2E" w:rsidP="00176D2E">
      <w:pPr>
        <w:spacing w:after="0" w:line="240" w:lineRule="auto"/>
        <w:contextualSpacing/>
        <w:jc w:val="both"/>
        <w:rPr>
          <w:rFonts w:ascii="Verdana" w:eastAsia="Times New Roman" w:hAnsi="Verdana" w:cs="Arial"/>
          <w:bCs/>
          <w:sz w:val="20"/>
          <w:szCs w:val="20"/>
          <w:lang w:eastAsia="es-ES_tradnl"/>
        </w:rPr>
      </w:pPr>
    </w:p>
    <w:p w14:paraId="70CC6D2A" w14:textId="77777777" w:rsidR="006E64D8" w:rsidRPr="00A75D14" w:rsidRDefault="006E64D8" w:rsidP="006E64D8">
      <w:pPr>
        <w:spacing w:after="0"/>
        <w:jc w:val="both"/>
        <w:rPr>
          <w:rFonts w:ascii="Verdana" w:hAnsi="Verdana"/>
        </w:rPr>
      </w:pPr>
      <w:r w:rsidRPr="00A75D14">
        <w:rPr>
          <w:rFonts w:ascii="Verdana" w:eastAsia="Calibri" w:hAnsi="Verdana" w:cs="Arial"/>
          <w:b/>
          <w:kern w:val="2"/>
          <w:lang w:val="es-ES_tradnl" w:eastAsia="es-ES_tradnl"/>
          <w14:ligatures w14:val="standardContextual"/>
        </w:rPr>
        <w:t>LEY 2195 DE 2022 – Artículo 56 – Alcance – Excepción</w:t>
      </w:r>
    </w:p>
    <w:p w14:paraId="6D84E9C7" w14:textId="77777777" w:rsidR="006E64D8" w:rsidRPr="00A75D14" w:rsidRDefault="006E64D8" w:rsidP="006E64D8">
      <w:pPr>
        <w:tabs>
          <w:tab w:val="left" w:pos="0"/>
        </w:tabs>
        <w:spacing w:after="0" w:line="276" w:lineRule="auto"/>
        <w:jc w:val="both"/>
        <w:rPr>
          <w:rFonts w:ascii="Verdana" w:eastAsia="Calibri" w:hAnsi="Verdana" w:cs="Arial"/>
          <w:b/>
          <w:kern w:val="2"/>
          <w:lang w:val="es-ES_tradnl" w:eastAsia="es-ES_tradnl"/>
          <w14:ligatures w14:val="standardContextual"/>
        </w:rPr>
      </w:pPr>
    </w:p>
    <w:p w14:paraId="1F096B82" w14:textId="77777777" w:rsidR="006E64D8" w:rsidRPr="00A22D0B" w:rsidRDefault="006E64D8" w:rsidP="006E64D8">
      <w:pPr>
        <w:snapToGrid w:val="0"/>
        <w:spacing w:after="0" w:line="240" w:lineRule="auto"/>
        <w:jc w:val="both"/>
        <w:rPr>
          <w:rFonts w:ascii="Verdana" w:eastAsia="Calibri" w:hAnsi="Verdana" w:cs="Arial"/>
          <w:kern w:val="2"/>
          <w:sz w:val="20"/>
          <w:szCs w:val="20"/>
          <w:lang w:val="es-ES" w:eastAsia="es-ES"/>
          <w14:ligatures w14:val="standardContextual"/>
        </w:rPr>
      </w:pPr>
      <w:r w:rsidRPr="00A22D0B">
        <w:rPr>
          <w:rFonts w:ascii="Verdana" w:eastAsia="Calibri" w:hAnsi="Verdana" w:cs="Arial"/>
          <w:kern w:val="2"/>
          <w:sz w:val="20"/>
          <w:szCs w:val="20"/>
          <w:lang w:val="es-ES" w:eastAsia="es-ES"/>
          <w14:ligatures w14:val="standardContextual"/>
        </w:rPr>
        <w:t xml:space="preserve">Es necesario precisar el alcance de lo dispuesto en los dos primeros incisos del artículo 56, de acuerdo con lo establecido en su parágrafo, el cual excluye de la aplicación de los primeros incisos del artículo 56, a cierto tipo de entidades, en lo relacionado con la contratación de su </w:t>
      </w:r>
      <w:r w:rsidRPr="00A22D0B">
        <w:rPr>
          <w:rFonts w:ascii="Verdana" w:eastAsia="Calibri" w:hAnsi="Verdana" w:cs="Arial"/>
          <w:i/>
          <w:kern w:val="2"/>
          <w:sz w:val="20"/>
          <w:szCs w:val="20"/>
          <w:lang w:val="es-ES" w:eastAsia="es-ES"/>
          <w14:ligatures w14:val="standardContextual"/>
        </w:rPr>
        <w:t>giro ordinario</w:t>
      </w:r>
      <w:r w:rsidRPr="00A22D0B">
        <w:rPr>
          <w:rFonts w:ascii="Verdana" w:eastAsia="Calibri" w:hAnsi="Verdana" w:cs="Arial"/>
          <w:kern w:val="2"/>
          <w:sz w:val="20"/>
          <w:szCs w:val="20"/>
          <w:lang w:val="es-ES" w:eastAsia="es-ES"/>
          <w14:ligatures w14:val="standardContextual"/>
        </w:rPr>
        <w:t xml:space="preserve">. Conforme se desprende del texto del referido parágrafo, se exceptúa de lo señalado en los dos primeros incisos a: i) las instituciones de educación superior públicas, </w:t>
      </w:r>
      <w:proofErr w:type="spellStart"/>
      <w:r w:rsidRPr="00A22D0B">
        <w:rPr>
          <w:rFonts w:ascii="Verdana" w:eastAsia="Calibri" w:hAnsi="Verdana" w:cs="Arial"/>
          <w:kern w:val="2"/>
          <w:sz w:val="20"/>
          <w:szCs w:val="20"/>
          <w:lang w:val="es-ES" w:eastAsia="es-ES"/>
          <w14:ligatures w14:val="standardContextual"/>
        </w:rPr>
        <w:t>ii</w:t>
      </w:r>
      <w:proofErr w:type="spellEnd"/>
      <w:r w:rsidRPr="00A22D0B">
        <w:rPr>
          <w:rFonts w:ascii="Verdana" w:eastAsia="Calibri" w:hAnsi="Verdana" w:cs="Arial"/>
          <w:kern w:val="2"/>
          <w:sz w:val="20"/>
          <w:szCs w:val="20"/>
          <w:lang w:val="es-ES" w:eastAsia="es-ES"/>
          <w14:ligatures w14:val="standardContextual"/>
        </w:rPr>
        <w:t xml:space="preserve">) las empresas sociales del Estado, </w:t>
      </w:r>
      <w:proofErr w:type="spellStart"/>
      <w:r w:rsidRPr="00A22D0B">
        <w:rPr>
          <w:rFonts w:ascii="Verdana" w:eastAsia="Calibri" w:hAnsi="Verdana" w:cs="Arial"/>
          <w:kern w:val="2"/>
          <w:sz w:val="20"/>
          <w:szCs w:val="20"/>
          <w:lang w:val="es-ES" w:eastAsia="es-ES"/>
          <w14:ligatures w14:val="standardContextual"/>
        </w:rPr>
        <w:t>iii</w:t>
      </w:r>
      <w:proofErr w:type="spellEnd"/>
      <w:r w:rsidRPr="00A22D0B">
        <w:rPr>
          <w:rFonts w:ascii="Verdana" w:eastAsia="Calibri" w:hAnsi="Verdana" w:cs="Arial"/>
          <w:kern w:val="2"/>
          <w:sz w:val="20"/>
          <w:szCs w:val="20"/>
          <w:lang w:val="es-ES" w:eastAsia="es-ES"/>
          <w14:ligatures w14:val="standardContextual"/>
        </w:rPr>
        <w:t xml:space="preserve">) las sociedades de economía mixta y </w:t>
      </w:r>
      <w:proofErr w:type="spellStart"/>
      <w:r w:rsidRPr="00A22D0B">
        <w:rPr>
          <w:rFonts w:ascii="Verdana" w:eastAsia="Calibri" w:hAnsi="Verdana" w:cs="Arial"/>
          <w:kern w:val="2"/>
          <w:sz w:val="20"/>
          <w:szCs w:val="20"/>
          <w:lang w:val="es-ES" w:eastAsia="es-ES"/>
          <w14:ligatures w14:val="standardContextual"/>
        </w:rPr>
        <w:t>iv</w:t>
      </w:r>
      <w:proofErr w:type="spellEnd"/>
      <w:r w:rsidRPr="00A22D0B">
        <w:rPr>
          <w:rFonts w:ascii="Verdana" w:eastAsia="Calibri" w:hAnsi="Verdana" w:cs="Arial"/>
          <w:kern w:val="2"/>
          <w:sz w:val="20"/>
          <w:szCs w:val="20"/>
          <w:lang w:val="es-ES" w:eastAsia="es-ES"/>
          <w14:ligatures w14:val="standardContextual"/>
        </w:rPr>
        <w:t xml:space="preserve">) las empresas industriales y comerciales del Estado, únicamente, en la contratación relacionada con el </w:t>
      </w:r>
      <w:r w:rsidRPr="00A22D0B">
        <w:rPr>
          <w:rFonts w:ascii="Verdana" w:eastAsia="Calibri" w:hAnsi="Verdana" w:cs="Arial"/>
          <w:i/>
          <w:kern w:val="2"/>
          <w:sz w:val="20"/>
          <w:szCs w:val="20"/>
          <w:lang w:val="es-ES" w:eastAsia="es-ES"/>
          <w14:ligatures w14:val="standardContextual"/>
        </w:rPr>
        <w:t>giro ordinario.</w:t>
      </w:r>
      <w:r w:rsidRPr="00A22D0B">
        <w:rPr>
          <w:rFonts w:ascii="Verdana" w:eastAsia="Calibri" w:hAnsi="Verdana" w:cs="Arial"/>
          <w:kern w:val="2"/>
          <w:sz w:val="20"/>
          <w:szCs w:val="20"/>
          <w:lang w:val="es-ES" w:eastAsia="es-ES"/>
          <w14:ligatures w14:val="standardContextual"/>
        </w:rPr>
        <w:t xml:space="preserve"> Esto significa que, en la contratación asociada a su </w:t>
      </w:r>
      <w:r w:rsidRPr="00A22D0B">
        <w:rPr>
          <w:rFonts w:ascii="Verdana" w:eastAsia="Calibri" w:hAnsi="Verdana" w:cs="Arial"/>
          <w:i/>
          <w:kern w:val="2"/>
          <w:sz w:val="20"/>
          <w:szCs w:val="20"/>
          <w:lang w:val="es-ES" w:eastAsia="es-ES"/>
          <w14:ligatures w14:val="standardContextual"/>
        </w:rPr>
        <w:t xml:space="preserve">giro ordinario, </w:t>
      </w:r>
      <w:r w:rsidRPr="00A22D0B">
        <w:rPr>
          <w:rFonts w:ascii="Verdana" w:eastAsia="Calibri" w:hAnsi="Verdana" w:cs="Arial"/>
          <w:kern w:val="2"/>
          <w:sz w:val="20"/>
          <w:szCs w:val="20"/>
          <w:lang w:val="es-ES" w:eastAsia="es-ES"/>
          <w14:ligatures w14:val="standardContextua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476E2993" w14:textId="77777777" w:rsidR="006E64D8" w:rsidRPr="00A75D14" w:rsidRDefault="006E64D8" w:rsidP="006E64D8">
      <w:pPr>
        <w:tabs>
          <w:tab w:val="left" w:pos="0"/>
        </w:tabs>
        <w:spacing w:after="0" w:line="276" w:lineRule="auto"/>
        <w:jc w:val="both"/>
        <w:rPr>
          <w:rFonts w:ascii="Verdana" w:eastAsia="Calibri" w:hAnsi="Verdana" w:cs="Arial"/>
          <w:b/>
          <w:kern w:val="2"/>
          <w:sz w:val="21"/>
          <w:szCs w:val="21"/>
          <w:lang w:val="es-ES_tradnl"/>
          <w14:ligatures w14:val="standardContextual"/>
        </w:rPr>
      </w:pPr>
    </w:p>
    <w:p w14:paraId="683DD3F3" w14:textId="77777777" w:rsidR="006E64D8" w:rsidRPr="00A75D14" w:rsidRDefault="006E64D8" w:rsidP="006E64D8">
      <w:pPr>
        <w:tabs>
          <w:tab w:val="left" w:pos="0"/>
        </w:tabs>
        <w:spacing w:after="0" w:line="276" w:lineRule="auto"/>
        <w:jc w:val="both"/>
        <w:rPr>
          <w:rFonts w:ascii="Verdana" w:eastAsia="Calibri" w:hAnsi="Verdana" w:cs="Arial"/>
          <w:b/>
          <w:kern w:val="2"/>
          <w:lang w:val="es-ES_tradnl"/>
          <w14:ligatures w14:val="standardContextual"/>
        </w:rPr>
      </w:pPr>
      <w:r w:rsidRPr="00A75D14">
        <w:rPr>
          <w:rFonts w:ascii="Verdana" w:eastAsia="Calibri" w:hAnsi="Verdana" w:cs="Arial"/>
          <w:b/>
          <w:kern w:val="2"/>
          <w:lang w:val="es-ES_tradnl"/>
          <w14:ligatures w14:val="standardContextual"/>
        </w:rPr>
        <w:t>LEY 2195 DE 2022 – Artículo 56 – Parágrafo – Excepciones – Giro ordinario – Interpretación</w:t>
      </w:r>
    </w:p>
    <w:p w14:paraId="26F91288" w14:textId="77777777" w:rsidR="006E64D8" w:rsidRPr="00A75D14" w:rsidRDefault="006E64D8" w:rsidP="006E64D8">
      <w:pPr>
        <w:tabs>
          <w:tab w:val="left" w:pos="0"/>
        </w:tabs>
        <w:spacing w:after="0" w:line="276" w:lineRule="auto"/>
        <w:jc w:val="both"/>
        <w:rPr>
          <w:rFonts w:ascii="Verdana" w:eastAsia="Calibri" w:hAnsi="Verdana" w:cs="Arial"/>
          <w:bCs/>
          <w:kern w:val="2"/>
          <w:lang w:val="es-ES_tradnl"/>
          <w14:ligatures w14:val="standardContextual"/>
        </w:rPr>
      </w:pPr>
    </w:p>
    <w:p w14:paraId="3C48AB8C" w14:textId="77777777" w:rsidR="006E64D8" w:rsidRPr="00A22D0B" w:rsidRDefault="006E64D8" w:rsidP="006E64D8">
      <w:pPr>
        <w:snapToGrid w:val="0"/>
        <w:spacing w:after="0" w:line="240" w:lineRule="auto"/>
        <w:jc w:val="both"/>
        <w:rPr>
          <w:rFonts w:ascii="Verdana" w:eastAsia="Calibri" w:hAnsi="Verdana" w:cs="Arial"/>
          <w:kern w:val="2"/>
          <w:sz w:val="20"/>
          <w:szCs w:val="20"/>
          <w:lang w:val="es-ES" w:eastAsia="es-ES"/>
          <w14:ligatures w14:val="standardContextual"/>
        </w:rPr>
      </w:pPr>
      <w:r w:rsidRPr="00A22D0B">
        <w:rPr>
          <w:rFonts w:ascii="Verdana" w:eastAsia="Calibri" w:hAnsi="Verdana" w:cs="Arial"/>
          <w:kern w:val="2"/>
          <w:sz w:val="20"/>
          <w:szCs w:val="20"/>
          <w:lang w:val="es-ES" w:eastAsia="es-ES"/>
          <w14:ligatures w14:val="standardContextual"/>
        </w:rPr>
        <w:t xml:space="preserve">Es necesario precisar el alcance de lo dispuesto en los dos primeros incisos del artículo 56, de acuerdo con lo establecido en su parágrafo, el cual excluye de la aplicación de los primeros incisos del artículo 56, a cierto tipo de entidades, en lo relacionado con la contratación de su </w:t>
      </w:r>
      <w:r w:rsidRPr="00A22D0B">
        <w:rPr>
          <w:rFonts w:ascii="Verdana" w:eastAsia="Calibri" w:hAnsi="Verdana" w:cs="Arial"/>
          <w:i/>
          <w:kern w:val="2"/>
          <w:sz w:val="20"/>
          <w:szCs w:val="20"/>
          <w:lang w:val="es-ES" w:eastAsia="es-ES"/>
          <w14:ligatures w14:val="standardContextual"/>
        </w:rPr>
        <w:t>giro ordinario</w:t>
      </w:r>
      <w:r w:rsidRPr="00A22D0B">
        <w:rPr>
          <w:rFonts w:ascii="Verdana" w:eastAsia="Calibri" w:hAnsi="Verdana" w:cs="Arial"/>
          <w:kern w:val="2"/>
          <w:sz w:val="20"/>
          <w:szCs w:val="20"/>
          <w:lang w:val="es-ES" w:eastAsia="es-ES"/>
          <w14:ligatures w14:val="standardContextual"/>
        </w:rPr>
        <w:t xml:space="preserve">. Conforme se desprende del texto del referido parágrafo, se exceptúa de lo señalado en los dos primeros incisos a: i) las instituciones de educación superior públicas, </w:t>
      </w:r>
      <w:proofErr w:type="spellStart"/>
      <w:r w:rsidRPr="00A22D0B">
        <w:rPr>
          <w:rFonts w:ascii="Verdana" w:eastAsia="Calibri" w:hAnsi="Verdana" w:cs="Arial"/>
          <w:kern w:val="2"/>
          <w:sz w:val="20"/>
          <w:szCs w:val="20"/>
          <w:lang w:val="es-ES" w:eastAsia="es-ES"/>
          <w14:ligatures w14:val="standardContextual"/>
        </w:rPr>
        <w:t>ii</w:t>
      </w:r>
      <w:proofErr w:type="spellEnd"/>
      <w:r w:rsidRPr="00A22D0B">
        <w:rPr>
          <w:rFonts w:ascii="Verdana" w:eastAsia="Calibri" w:hAnsi="Verdana" w:cs="Arial"/>
          <w:kern w:val="2"/>
          <w:sz w:val="20"/>
          <w:szCs w:val="20"/>
          <w:lang w:val="es-ES" w:eastAsia="es-ES"/>
          <w14:ligatures w14:val="standardContextual"/>
        </w:rPr>
        <w:t xml:space="preserve">) las empresas sociales del Estado, </w:t>
      </w:r>
      <w:proofErr w:type="spellStart"/>
      <w:r w:rsidRPr="00A22D0B">
        <w:rPr>
          <w:rFonts w:ascii="Verdana" w:eastAsia="Calibri" w:hAnsi="Verdana" w:cs="Arial"/>
          <w:kern w:val="2"/>
          <w:sz w:val="20"/>
          <w:szCs w:val="20"/>
          <w:lang w:val="es-ES" w:eastAsia="es-ES"/>
          <w14:ligatures w14:val="standardContextual"/>
        </w:rPr>
        <w:t>iii</w:t>
      </w:r>
      <w:proofErr w:type="spellEnd"/>
      <w:r w:rsidRPr="00A22D0B">
        <w:rPr>
          <w:rFonts w:ascii="Verdana" w:eastAsia="Calibri" w:hAnsi="Verdana" w:cs="Arial"/>
          <w:kern w:val="2"/>
          <w:sz w:val="20"/>
          <w:szCs w:val="20"/>
          <w:lang w:val="es-ES" w:eastAsia="es-ES"/>
          <w14:ligatures w14:val="standardContextual"/>
        </w:rPr>
        <w:t xml:space="preserve">) las sociedades de economía mixta y </w:t>
      </w:r>
      <w:proofErr w:type="spellStart"/>
      <w:r w:rsidRPr="00A22D0B">
        <w:rPr>
          <w:rFonts w:ascii="Verdana" w:eastAsia="Calibri" w:hAnsi="Verdana" w:cs="Arial"/>
          <w:kern w:val="2"/>
          <w:sz w:val="20"/>
          <w:szCs w:val="20"/>
          <w:lang w:val="es-ES" w:eastAsia="es-ES"/>
          <w14:ligatures w14:val="standardContextual"/>
        </w:rPr>
        <w:t>iv</w:t>
      </w:r>
      <w:proofErr w:type="spellEnd"/>
      <w:r w:rsidRPr="00A22D0B">
        <w:rPr>
          <w:rFonts w:ascii="Verdana" w:eastAsia="Calibri" w:hAnsi="Verdana" w:cs="Arial"/>
          <w:kern w:val="2"/>
          <w:sz w:val="20"/>
          <w:szCs w:val="20"/>
          <w:lang w:val="es-ES" w:eastAsia="es-ES"/>
          <w14:ligatures w14:val="standardContextual"/>
        </w:rPr>
        <w:t xml:space="preserve">) las empresas industriales y comerciales del Estado, únicamente, en la contratación relacionada con el </w:t>
      </w:r>
      <w:r w:rsidRPr="00A22D0B">
        <w:rPr>
          <w:rFonts w:ascii="Verdana" w:eastAsia="Calibri" w:hAnsi="Verdana" w:cs="Arial"/>
          <w:i/>
          <w:kern w:val="2"/>
          <w:sz w:val="20"/>
          <w:szCs w:val="20"/>
          <w:lang w:val="es-ES" w:eastAsia="es-ES"/>
          <w14:ligatures w14:val="standardContextual"/>
        </w:rPr>
        <w:t>giro ordinario.</w:t>
      </w:r>
      <w:r w:rsidRPr="00A22D0B">
        <w:rPr>
          <w:rFonts w:ascii="Verdana" w:eastAsia="Calibri" w:hAnsi="Verdana" w:cs="Arial"/>
          <w:kern w:val="2"/>
          <w:sz w:val="20"/>
          <w:szCs w:val="20"/>
          <w:lang w:val="es-ES" w:eastAsia="es-ES"/>
          <w14:ligatures w14:val="standardContextual"/>
        </w:rPr>
        <w:t xml:space="preserve"> Esto significa que, en la contratación asociada a su </w:t>
      </w:r>
      <w:r w:rsidRPr="00A22D0B">
        <w:rPr>
          <w:rFonts w:ascii="Verdana" w:eastAsia="Calibri" w:hAnsi="Verdana" w:cs="Arial"/>
          <w:i/>
          <w:kern w:val="2"/>
          <w:sz w:val="20"/>
          <w:szCs w:val="20"/>
          <w:lang w:val="es-ES" w:eastAsia="es-ES"/>
          <w14:ligatures w14:val="standardContextual"/>
        </w:rPr>
        <w:t xml:space="preserve">giro ordinario, </w:t>
      </w:r>
      <w:r w:rsidRPr="00A22D0B">
        <w:rPr>
          <w:rFonts w:ascii="Verdana" w:eastAsia="Calibri" w:hAnsi="Verdana" w:cs="Arial"/>
          <w:kern w:val="2"/>
          <w:sz w:val="20"/>
          <w:szCs w:val="20"/>
          <w:lang w:val="es-ES" w:eastAsia="es-ES"/>
          <w14:ligatures w14:val="standardContextua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4AE9DFEB" w14:textId="77777777" w:rsidR="006E64D8" w:rsidRPr="00A22D0B" w:rsidRDefault="006E64D8" w:rsidP="006E64D8">
      <w:pPr>
        <w:snapToGrid w:val="0"/>
        <w:spacing w:after="0" w:line="240" w:lineRule="auto"/>
        <w:ind w:left="720"/>
        <w:jc w:val="both"/>
        <w:rPr>
          <w:rFonts w:ascii="Verdana" w:eastAsia="Calibri" w:hAnsi="Verdana" w:cs="Arial"/>
          <w:kern w:val="2"/>
          <w:sz w:val="20"/>
          <w:szCs w:val="20"/>
          <w:lang w:val="es-ES" w:eastAsia="es-ES"/>
          <w14:ligatures w14:val="standardContextual"/>
        </w:rPr>
      </w:pPr>
    </w:p>
    <w:p w14:paraId="09400DD8" w14:textId="77777777" w:rsidR="006E64D8" w:rsidRPr="00A22D0B" w:rsidRDefault="006E64D8" w:rsidP="006E64D8">
      <w:pPr>
        <w:tabs>
          <w:tab w:val="left" w:pos="0"/>
        </w:tabs>
        <w:snapToGrid w:val="0"/>
        <w:spacing w:after="0" w:line="240" w:lineRule="auto"/>
        <w:jc w:val="both"/>
        <w:rPr>
          <w:rFonts w:ascii="Verdana" w:eastAsia="Arial" w:hAnsi="Verdana" w:cs="Arial"/>
          <w:kern w:val="2"/>
          <w:sz w:val="20"/>
          <w:szCs w:val="20"/>
          <w:lang w:val="es-ES_tradnl" w:eastAsia="es-ES_tradnl"/>
          <w14:ligatures w14:val="standardContextual"/>
        </w:rPr>
      </w:pPr>
      <w:r w:rsidRPr="00A22D0B">
        <w:rPr>
          <w:rFonts w:ascii="Verdana" w:eastAsia="Calibri" w:hAnsi="Verdana" w:cs="Arial"/>
          <w:bCs/>
          <w:kern w:val="2"/>
          <w:sz w:val="20"/>
          <w:szCs w:val="20"/>
          <w:lang w:val="es-ES_tradnl" w:eastAsia="es-ES_tradnl"/>
          <w14:ligatures w14:val="standardContextual"/>
        </w:rPr>
        <w:t xml:space="preserve">Ahora, es importante tener en cuenta que cuando la norma se refiere a la contratación del </w:t>
      </w:r>
      <w:r w:rsidRPr="00A22D0B">
        <w:rPr>
          <w:rFonts w:ascii="Verdana" w:eastAsia="Calibri" w:hAnsi="Verdana" w:cs="Arial"/>
          <w:bCs/>
          <w:i/>
          <w:iCs/>
          <w:kern w:val="2"/>
          <w:sz w:val="20"/>
          <w:szCs w:val="20"/>
          <w:lang w:val="es-ES_tradnl" w:eastAsia="es-ES_tradnl"/>
          <w14:ligatures w14:val="standardContextual"/>
        </w:rPr>
        <w:t>giro ordinario</w:t>
      </w:r>
      <w:r w:rsidRPr="00A22D0B">
        <w:rPr>
          <w:rFonts w:ascii="Verdana" w:eastAsia="Calibri" w:hAnsi="Verdana" w:cs="Arial"/>
          <w:bCs/>
          <w:kern w:val="2"/>
          <w:sz w:val="20"/>
          <w:szCs w:val="20"/>
          <w:lang w:val="es-ES_tradnl" w:eastAsia="es-ES_tradnl"/>
          <w14:ligatures w14:val="standardContextual"/>
        </w:rPr>
        <w:t xml:space="preserve">, emplea un concepto jurídico indeterminado. </w:t>
      </w:r>
      <w:r w:rsidRPr="00A22D0B">
        <w:rPr>
          <w:rFonts w:ascii="Verdana" w:eastAsia="Arial" w:hAnsi="Verdana" w:cs="Arial"/>
          <w:kern w:val="2"/>
          <w:sz w:val="20"/>
          <w:szCs w:val="20"/>
          <w:lang w:val="es-ES_tradnl" w:eastAsia="es-ES_tradnl"/>
          <w14:ligatures w14:val="standardContextua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giro ordinario de sus negocios. </w:t>
      </w:r>
    </w:p>
    <w:p w14:paraId="46F588F4" w14:textId="77777777" w:rsidR="00FF6C03" w:rsidRPr="00BE10F3" w:rsidRDefault="00FF6C03" w:rsidP="00176D2E">
      <w:pPr>
        <w:spacing w:after="0" w:line="240" w:lineRule="auto"/>
        <w:contextualSpacing/>
        <w:jc w:val="both"/>
        <w:rPr>
          <w:rFonts w:ascii="Verdana" w:eastAsia="Times New Roman" w:hAnsi="Verdana" w:cs="Arial"/>
          <w:b/>
          <w:bCs/>
          <w:sz w:val="20"/>
          <w:szCs w:val="20"/>
          <w:lang w:val="es-ES_tradnl" w:eastAsia="es-ES_tradnl"/>
        </w:rPr>
      </w:pPr>
    </w:p>
    <w:p w14:paraId="4D2CF4B6" w14:textId="77777777" w:rsidR="00FF6C03" w:rsidRDefault="00FF6C03" w:rsidP="00176D2E">
      <w:pPr>
        <w:spacing w:after="0" w:line="240" w:lineRule="auto"/>
        <w:contextualSpacing/>
        <w:jc w:val="both"/>
        <w:rPr>
          <w:rFonts w:ascii="Verdana" w:eastAsia="Times New Roman" w:hAnsi="Verdana" w:cs="Arial"/>
          <w:b/>
          <w:bCs/>
          <w:sz w:val="20"/>
          <w:szCs w:val="20"/>
          <w:lang w:eastAsia="es-ES_tradnl"/>
        </w:rPr>
      </w:pPr>
    </w:p>
    <w:p w14:paraId="47696C79" w14:textId="77777777" w:rsidR="00176D2E" w:rsidRDefault="00176D2E" w:rsidP="00176D2E">
      <w:pPr>
        <w:spacing w:after="0" w:line="240" w:lineRule="auto"/>
        <w:jc w:val="both"/>
        <w:rPr>
          <w:rFonts w:ascii="Verdana" w:eastAsia="Times New Roman" w:hAnsi="Verdana" w:cs="Arial"/>
          <w:b/>
          <w:color w:val="000000" w:themeColor="text1"/>
          <w:sz w:val="20"/>
          <w:szCs w:val="20"/>
          <w:lang w:eastAsia="es-ES"/>
        </w:rPr>
      </w:pPr>
    </w:p>
    <w:p w14:paraId="32734728" w14:textId="77777777" w:rsidR="00176D2E" w:rsidRDefault="00176D2E" w:rsidP="00176D2E">
      <w:pPr>
        <w:spacing w:after="0" w:line="240" w:lineRule="auto"/>
        <w:jc w:val="both"/>
        <w:rPr>
          <w:rFonts w:ascii="Verdana" w:eastAsia="Times New Roman" w:hAnsi="Verdana" w:cs="Arial"/>
          <w:b/>
          <w:color w:val="000000" w:themeColor="text1"/>
          <w:sz w:val="20"/>
          <w:szCs w:val="20"/>
          <w:lang w:eastAsia="es-ES"/>
        </w:rPr>
      </w:pPr>
    </w:p>
    <w:p w14:paraId="0B7DA446" w14:textId="77777777" w:rsidR="00176D2E" w:rsidRDefault="00176D2E" w:rsidP="00176D2E">
      <w:pPr>
        <w:spacing w:after="0" w:line="240" w:lineRule="auto"/>
        <w:jc w:val="both"/>
        <w:rPr>
          <w:rFonts w:ascii="Verdana" w:eastAsia="Times New Roman" w:hAnsi="Verdana" w:cs="Arial"/>
          <w:b/>
          <w:color w:val="000000" w:themeColor="text1"/>
          <w:sz w:val="20"/>
          <w:szCs w:val="20"/>
          <w:lang w:eastAsia="es-ES"/>
        </w:rPr>
      </w:pPr>
    </w:p>
    <w:p w14:paraId="6E13C3A1" w14:textId="77777777" w:rsidR="00176D2E" w:rsidRDefault="00176D2E" w:rsidP="00176D2E">
      <w:pPr>
        <w:spacing w:after="0" w:line="240" w:lineRule="auto"/>
        <w:jc w:val="both"/>
        <w:rPr>
          <w:rFonts w:ascii="Verdana" w:eastAsia="Times New Roman" w:hAnsi="Verdana" w:cs="Arial"/>
          <w:b/>
          <w:color w:val="000000" w:themeColor="text1"/>
          <w:sz w:val="20"/>
          <w:szCs w:val="20"/>
          <w:lang w:eastAsia="es-ES"/>
        </w:rPr>
      </w:pPr>
    </w:p>
    <w:p w14:paraId="0744EC28" w14:textId="7264F8D7" w:rsidR="006E64D8" w:rsidRDefault="006E64D8">
      <w:pPr>
        <w:rPr>
          <w:rFonts w:ascii="Verdana" w:eastAsia="Times New Roman" w:hAnsi="Verdana" w:cs="Arial"/>
          <w:lang w:val="es-ES_tradnl"/>
        </w:rPr>
      </w:pPr>
    </w:p>
    <w:p w14:paraId="0F96B9F1" w14:textId="77777777" w:rsidR="00176D2E" w:rsidRPr="00C91297" w:rsidRDefault="00176D2E" w:rsidP="00176D2E">
      <w:pPr>
        <w:spacing w:after="0" w:line="240" w:lineRule="auto"/>
        <w:jc w:val="both"/>
        <w:rPr>
          <w:rFonts w:ascii="Verdana" w:eastAsia="Times New Roman" w:hAnsi="Verdana" w:cs="Arial"/>
          <w:lang w:val="es-ES_tradnl"/>
        </w:rPr>
      </w:pPr>
    </w:p>
    <w:p w14:paraId="7A2466F6" w14:textId="77777777" w:rsidR="00176D2E" w:rsidRPr="00C91297" w:rsidRDefault="00176D2E" w:rsidP="00176D2E">
      <w:pPr>
        <w:spacing w:after="0" w:line="240" w:lineRule="auto"/>
        <w:jc w:val="right"/>
        <w:rPr>
          <w:rFonts w:ascii="Verdana" w:eastAsia="Times New Roman" w:hAnsi="Verdana" w:cs="Arial"/>
          <w:lang w:val="es-ES_tradnl" w:eastAsia="es-ES"/>
        </w:rPr>
      </w:pPr>
    </w:p>
    <w:p w14:paraId="618EE08E" w14:textId="77777777" w:rsidR="00176D2E" w:rsidRPr="00C91297" w:rsidRDefault="00176D2E" w:rsidP="00176D2E">
      <w:pPr>
        <w:spacing w:after="0" w:line="240" w:lineRule="auto"/>
        <w:jc w:val="both"/>
        <w:rPr>
          <w:rFonts w:ascii="Verdana" w:eastAsia="Times New Roman" w:hAnsi="Verdana" w:cs="Arial"/>
          <w:lang w:eastAsia="es-ES"/>
        </w:rPr>
      </w:pPr>
      <w:r w:rsidRPr="00C91297">
        <w:rPr>
          <w:rFonts w:ascii="Verdana" w:eastAsia="Times New Roman" w:hAnsi="Verdana" w:cs="Arial"/>
          <w:lang w:eastAsia="es-ES"/>
        </w:rPr>
        <w:t>Bogotá D.C., [Día] [</w:t>
      </w:r>
      <w:proofErr w:type="spellStart"/>
      <w:r w:rsidRPr="00C91297">
        <w:rPr>
          <w:rFonts w:ascii="Verdana" w:eastAsia="Times New Roman" w:hAnsi="Verdana" w:cs="Arial"/>
          <w:lang w:eastAsia="es-ES"/>
        </w:rPr>
        <w:t>Mes.NombreCapitalizado</w:t>
      </w:r>
      <w:proofErr w:type="spellEnd"/>
      <w:r w:rsidRPr="00C91297">
        <w:rPr>
          <w:rFonts w:ascii="Verdana" w:eastAsia="Times New Roman" w:hAnsi="Verdana" w:cs="Arial"/>
          <w:lang w:eastAsia="es-ES"/>
        </w:rPr>
        <w:t>] [Año]</w:t>
      </w:r>
      <w:r w:rsidRPr="00C91297">
        <w:rPr>
          <w:rFonts w:ascii="Verdana" w:eastAsia="Times New Roman" w:hAnsi="Verdana" w:cs="Arial"/>
          <w:lang w:eastAsia="es-ES"/>
        </w:rPr>
        <w:tab/>
      </w:r>
    </w:p>
    <w:p w14:paraId="414984B9" w14:textId="77777777" w:rsidR="00176D2E" w:rsidRPr="00C91297" w:rsidRDefault="00176D2E" w:rsidP="00176D2E">
      <w:pPr>
        <w:spacing w:after="0" w:line="240" w:lineRule="auto"/>
        <w:jc w:val="both"/>
        <w:rPr>
          <w:rFonts w:ascii="Verdana" w:eastAsia="Times New Roman" w:hAnsi="Verdana" w:cs="Arial"/>
          <w:lang w:val="es-ES_tradnl" w:eastAsia="es-ES"/>
        </w:rPr>
      </w:pPr>
    </w:p>
    <w:p w14:paraId="3C757E94" w14:textId="77777777" w:rsidR="00176D2E" w:rsidRDefault="00176D2E" w:rsidP="00176D2E">
      <w:pPr>
        <w:spacing w:after="0" w:line="240" w:lineRule="auto"/>
        <w:jc w:val="both"/>
        <w:rPr>
          <w:rFonts w:ascii="Verdana" w:eastAsia="Times New Roman" w:hAnsi="Verdana" w:cs="Arial"/>
          <w:lang w:val="es-ES_tradnl" w:eastAsia="es-ES"/>
        </w:rPr>
      </w:pPr>
    </w:p>
    <w:p w14:paraId="0285D7A6" w14:textId="77777777" w:rsidR="00176D2E" w:rsidRDefault="00176D2E" w:rsidP="00176D2E">
      <w:pPr>
        <w:spacing w:after="0" w:line="240" w:lineRule="auto"/>
        <w:jc w:val="both"/>
        <w:rPr>
          <w:rFonts w:ascii="Verdana" w:eastAsia="Times New Roman" w:hAnsi="Verdana" w:cs="Arial"/>
          <w:lang w:val="es-ES_tradnl" w:eastAsia="es-ES"/>
        </w:rPr>
      </w:pPr>
    </w:p>
    <w:p w14:paraId="63AEB3A6" w14:textId="77777777" w:rsidR="00176D2E" w:rsidRDefault="00176D2E" w:rsidP="00176D2E">
      <w:pPr>
        <w:spacing w:after="0" w:line="240" w:lineRule="auto"/>
        <w:jc w:val="both"/>
        <w:rPr>
          <w:rFonts w:ascii="Verdana" w:eastAsia="Times New Roman" w:hAnsi="Verdana" w:cs="Arial"/>
          <w:lang w:val="es-ES_tradnl" w:eastAsia="es-ES"/>
        </w:rPr>
      </w:pPr>
    </w:p>
    <w:p w14:paraId="402ED7ED" w14:textId="77777777" w:rsidR="00176D2E" w:rsidRPr="006550D9" w:rsidRDefault="00176D2E" w:rsidP="00176D2E">
      <w:pPr>
        <w:spacing w:after="0" w:line="240" w:lineRule="auto"/>
        <w:jc w:val="both"/>
        <w:rPr>
          <w:rFonts w:ascii="Verdana" w:eastAsia="Times New Roman" w:hAnsi="Verdana" w:cs="Arial"/>
          <w:lang w:val="es-ES" w:eastAsia="es-ES"/>
        </w:rPr>
      </w:pPr>
      <w:r w:rsidRPr="006550D9">
        <w:rPr>
          <w:rFonts w:ascii="Verdana" w:eastAsia="Times New Roman" w:hAnsi="Verdana" w:cs="Arial"/>
          <w:lang w:val="es-ES" w:eastAsia="es-ES"/>
        </w:rPr>
        <w:t>Señor</w:t>
      </w:r>
    </w:p>
    <w:p w14:paraId="601E69CD" w14:textId="77777777" w:rsidR="00176D2E" w:rsidRPr="006550D9" w:rsidRDefault="00176D2E" w:rsidP="00176D2E">
      <w:pPr>
        <w:spacing w:after="0" w:line="240" w:lineRule="auto"/>
        <w:jc w:val="both"/>
        <w:rPr>
          <w:rFonts w:ascii="Verdana" w:eastAsia="Times New Roman" w:hAnsi="Verdana" w:cs="Arial"/>
          <w:b/>
          <w:bCs/>
          <w:lang w:val="es-ES" w:eastAsia="es-ES"/>
        </w:rPr>
      </w:pPr>
      <w:r w:rsidRPr="006550D9">
        <w:rPr>
          <w:rFonts w:ascii="Verdana" w:eastAsia="Times New Roman" w:hAnsi="Verdana" w:cs="Arial"/>
          <w:b/>
          <w:bCs/>
          <w:lang w:val="es-ES" w:eastAsia="es-ES"/>
        </w:rPr>
        <w:t xml:space="preserve">Gustavo Adolfo Patarroyo Cubides </w:t>
      </w:r>
    </w:p>
    <w:p w14:paraId="09CDBAFD" w14:textId="77777777" w:rsidR="00176D2E" w:rsidRPr="006550D9" w:rsidRDefault="00176D2E" w:rsidP="00176D2E">
      <w:pPr>
        <w:spacing w:after="0" w:line="240" w:lineRule="auto"/>
        <w:jc w:val="both"/>
        <w:rPr>
          <w:rFonts w:ascii="Verdana" w:eastAsia="Times New Roman" w:hAnsi="Verdana" w:cs="Arial"/>
          <w:lang w:val="es-ES" w:eastAsia="es-ES"/>
        </w:rPr>
      </w:pPr>
      <w:hyperlink r:id="rId11" w:history="1">
        <w:r w:rsidRPr="006550D9">
          <w:rPr>
            <w:rFonts w:ascii="Verdana" w:eastAsia="Times New Roman" w:hAnsi="Verdana" w:cs="Arial"/>
            <w:color w:val="0000FF"/>
            <w:u w:val="single"/>
            <w:lang w:val="es-ES" w:eastAsia="es-ES"/>
          </w:rPr>
          <w:t>gustavopatarroyo@hotmail.com</w:t>
        </w:r>
      </w:hyperlink>
      <w:r w:rsidRPr="006550D9">
        <w:rPr>
          <w:rFonts w:ascii="Verdana" w:eastAsia="Times New Roman" w:hAnsi="Verdana" w:cs="Arial"/>
          <w:lang w:val="es-ES" w:eastAsia="es-ES"/>
        </w:rPr>
        <w:t xml:space="preserve"> </w:t>
      </w:r>
    </w:p>
    <w:p w14:paraId="348B2366" w14:textId="77777777" w:rsidR="00176D2E" w:rsidRPr="006550D9" w:rsidRDefault="00176D2E" w:rsidP="00176D2E">
      <w:pPr>
        <w:spacing w:after="0" w:line="240" w:lineRule="auto"/>
        <w:jc w:val="both"/>
        <w:rPr>
          <w:rFonts w:ascii="Verdana" w:eastAsia="Times New Roman" w:hAnsi="Verdana" w:cs="Arial"/>
          <w:lang w:val="es-ES" w:eastAsia="es-ES"/>
        </w:rPr>
      </w:pPr>
      <w:r w:rsidRPr="006550D9">
        <w:rPr>
          <w:rFonts w:ascii="Verdana" w:eastAsia="Times New Roman" w:hAnsi="Verdana" w:cs="Arial"/>
          <w:lang w:val="es-ES" w:eastAsia="es-ES"/>
        </w:rPr>
        <w:t>Ibagué, Tolima</w:t>
      </w:r>
    </w:p>
    <w:p w14:paraId="58D9CF54" w14:textId="77777777" w:rsidR="00176D2E" w:rsidRDefault="00176D2E" w:rsidP="00176D2E">
      <w:pPr>
        <w:spacing w:after="0" w:line="240" w:lineRule="auto"/>
        <w:jc w:val="both"/>
        <w:rPr>
          <w:rFonts w:ascii="Verdana" w:eastAsia="Times New Roman" w:hAnsi="Verdana" w:cs="Arial"/>
          <w:lang w:val="es-ES_tradnl" w:eastAsia="es-ES"/>
        </w:rPr>
      </w:pPr>
    </w:p>
    <w:p w14:paraId="36F3AA19" w14:textId="77777777" w:rsidR="00176D2E" w:rsidRDefault="00176D2E" w:rsidP="00176D2E">
      <w:pPr>
        <w:spacing w:after="0" w:line="240" w:lineRule="auto"/>
        <w:jc w:val="both"/>
        <w:rPr>
          <w:rFonts w:ascii="Verdana" w:eastAsia="Times New Roman" w:hAnsi="Verdana" w:cs="Arial"/>
          <w:lang w:val="es-ES_tradnl" w:eastAsia="es-ES"/>
        </w:rPr>
      </w:pPr>
    </w:p>
    <w:p w14:paraId="19B9E432" w14:textId="424A6039" w:rsidR="00060032" w:rsidRDefault="00060032" w:rsidP="00060032">
      <w:pPr>
        <w:spacing w:after="0" w:line="240" w:lineRule="auto"/>
        <w:jc w:val="right"/>
        <w:rPr>
          <w:rFonts w:ascii="Verdana" w:eastAsia="Times New Roman" w:hAnsi="Verdana" w:cs="Arial"/>
          <w:lang w:val="es-ES_tradnl" w:eastAsia="es-ES"/>
        </w:rPr>
      </w:pPr>
      <w:r w:rsidRPr="00060032">
        <w:rPr>
          <w:rFonts w:ascii="Verdana" w:eastAsia="Times New Roman" w:hAnsi="Verdana" w:cs="Arial"/>
          <w:lang w:val="es-ES_tradnl" w:eastAsia="es-ES"/>
        </w:rPr>
        <w:drawing>
          <wp:inline distT="0" distB="0" distL="0" distR="0" wp14:anchorId="3A5A54BB" wp14:editId="24D050B3">
            <wp:extent cx="3276600" cy="942975"/>
            <wp:effectExtent l="0" t="0" r="0" b="9525"/>
            <wp:docPr id="173145009"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45009" name="Imagen 1" descr="Interfaz de usuario gráfica, Texto&#10;&#10;Descripción generada automáticamente"/>
                    <pic:cNvPicPr/>
                  </pic:nvPicPr>
                  <pic:blipFill>
                    <a:blip r:embed="rId12"/>
                    <a:stretch>
                      <a:fillRect/>
                    </a:stretch>
                  </pic:blipFill>
                  <pic:spPr>
                    <a:xfrm>
                      <a:off x="0" y="0"/>
                      <a:ext cx="3276600" cy="942975"/>
                    </a:xfrm>
                    <a:prstGeom prst="rect">
                      <a:avLst/>
                    </a:prstGeom>
                  </pic:spPr>
                </pic:pic>
              </a:graphicData>
            </a:graphic>
          </wp:inline>
        </w:drawing>
      </w:r>
    </w:p>
    <w:p w14:paraId="00E609C4" w14:textId="77777777" w:rsidR="00060032" w:rsidRDefault="00060032" w:rsidP="00176D2E">
      <w:pPr>
        <w:spacing w:after="0" w:line="240" w:lineRule="auto"/>
        <w:jc w:val="both"/>
        <w:rPr>
          <w:rFonts w:ascii="Verdana" w:eastAsia="Times New Roman" w:hAnsi="Verdana" w:cs="Arial"/>
          <w:lang w:val="es-ES_tradnl" w:eastAsia="es-ES"/>
        </w:rPr>
      </w:pPr>
    </w:p>
    <w:p w14:paraId="79620032" w14:textId="270F36FF" w:rsidR="00176D2E" w:rsidRPr="00C91297" w:rsidRDefault="00176D2E" w:rsidP="00176D2E">
      <w:pPr>
        <w:spacing w:after="0" w:line="240" w:lineRule="auto"/>
        <w:rPr>
          <w:rFonts w:ascii="Verdana" w:eastAsia="Times New Roman" w:hAnsi="Verdana" w:cs="Arial"/>
          <w:b/>
          <w:bCs/>
          <w:lang w:val="es-ES_tradnl" w:eastAsia="es-ES_tradnl"/>
        </w:rPr>
      </w:pPr>
      <w:r w:rsidRPr="00C91297">
        <w:rPr>
          <w:rFonts w:ascii="Verdana" w:eastAsia="Times New Roman" w:hAnsi="Verdana" w:cs="Arial"/>
          <w:lang w:val="es-ES_tradnl" w:eastAsia="es-ES"/>
        </w:rPr>
        <w:t xml:space="preserve"> </w:t>
      </w:r>
    </w:p>
    <w:tbl>
      <w:tblPr>
        <w:tblStyle w:val="Tablaconcuadrcula1"/>
        <w:tblW w:w="9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40"/>
        <w:gridCol w:w="6444"/>
      </w:tblGrid>
      <w:tr w:rsidR="00176D2E" w:rsidRPr="00C91297" w14:paraId="2F5873F4" w14:textId="77777777" w:rsidTr="00881652">
        <w:trPr>
          <w:trHeight w:val="953"/>
        </w:trPr>
        <w:tc>
          <w:tcPr>
            <w:tcW w:w="2840" w:type="dxa"/>
          </w:tcPr>
          <w:p w14:paraId="3FAE89D5" w14:textId="77777777" w:rsidR="00176D2E" w:rsidRPr="00C91297" w:rsidRDefault="00176D2E" w:rsidP="00881652">
            <w:pPr>
              <w:spacing w:after="160" w:line="259" w:lineRule="auto"/>
              <w:jc w:val="both"/>
              <w:rPr>
                <w:rFonts w:ascii="Verdana" w:hAnsi="Verdana" w:cs="Arial"/>
                <w:b/>
                <w:bCs/>
                <w:lang w:val="es-ES_tradnl" w:eastAsia="es-ES_tradnl"/>
              </w:rPr>
            </w:pPr>
          </w:p>
        </w:tc>
        <w:tc>
          <w:tcPr>
            <w:tcW w:w="6444" w:type="dxa"/>
          </w:tcPr>
          <w:p w14:paraId="25EA7A09" w14:textId="77777777" w:rsidR="00176D2E" w:rsidRPr="00C91297" w:rsidRDefault="00176D2E" w:rsidP="00881652">
            <w:pPr>
              <w:spacing w:after="160" w:line="259" w:lineRule="auto"/>
              <w:jc w:val="both"/>
              <w:rPr>
                <w:rFonts w:ascii="Verdana" w:hAnsi="Verdana" w:cs="Arial"/>
                <w:b/>
                <w:bCs/>
                <w:lang w:val="es-ES_tradnl" w:eastAsia="es-ES"/>
              </w:rPr>
            </w:pPr>
            <w:r w:rsidRPr="00C91297">
              <w:rPr>
                <w:rFonts w:ascii="Verdana" w:hAnsi="Verdana" w:cs="Arial"/>
                <w:b/>
                <w:bCs/>
                <w:lang w:val="es-ES_tradnl" w:eastAsia="es-ES"/>
              </w:rPr>
              <w:t xml:space="preserve">Concepto C – </w:t>
            </w:r>
            <w:r>
              <w:rPr>
                <w:rFonts w:ascii="Verdana" w:hAnsi="Verdana" w:cs="Arial"/>
                <w:b/>
                <w:bCs/>
                <w:lang w:val="es-ES_tradnl" w:eastAsia="es-ES"/>
              </w:rPr>
              <w:t>501</w:t>
            </w:r>
            <w:r w:rsidRPr="00C91297">
              <w:rPr>
                <w:rFonts w:ascii="Verdana" w:hAnsi="Verdana" w:cs="Arial"/>
                <w:b/>
                <w:bCs/>
                <w:lang w:val="es-ES_tradnl" w:eastAsia="es-ES"/>
              </w:rPr>
              <w:t xml:space="preserve"> de 2024</w:t>
            </w:r>
          </w:p>
        </w:tc>
      </w:tr>
      <w:tr w:rsidR="00176D2E" w:rsidRPr="00C91297" w14:paraId="48C6970F" w14:textId="77777777" w:rsidTr="00881652">
        <w:trPr>
          <w:trHeight w:val="953"/>
        </w:trPr>
        <w:tc>
          <w:tcPr>
            <w:tcW w:w="2840" w:type="dxa"/>
          </w:tcPr>
          <w:p w14:paraId="6F651275" w14:textId="77777777" w:rsidR="00176D2E" w:rsidRPr="00C91297" w:rsidRDefault="00176D2E" w:rsidP="00881652">
            <w:pPr>
              <w:spacing w:after="160" w:line="259" w:lineRule="auto"/>
              <w:jc w:val="both"/>
              <w:rPr>
                <w:rFonts w:ascii="Verdana" w:hAnsi="Verdana" w:cs="Arial"/>
                <w:lang w:val="es-ES_tradnl" w:eastAsia="es-ES_tradnl"/>
              </w:rPr>
            </w:pPr>
            <w:r w:rsidRPr="00C91297">
              <w:rPr>
                <w:rFonts w:ascii="Verdana" w:hAnsi="Verdana" w:cs="Arial"/>
                <w:b/>
                <w:lang w:val="es-ES_tradnl" w:eastAsia="es-ES_tradnl"/>
              </w:rPr>
              <w:t>Temas:</w:t>
            </w:r>
            <w:r w:rsidRPr="00C91297">
              <w:rPr>
                <w:rFonts w:ascii="Verdana" w:hAnsi="Verdana" w:cs="Arial"/>
                <w:lang w:val="es-ES_tradnl" w:eastAsia="es-ES_tradnl"/>
              </w:rPr>
              <w:t xml:space="preserve">                   </w:t>
            </w:r>
          </w:p>
        </w:tc>
        <w:tc>
          <w:tcPr>
            <w:tcW w:w="6444" w:type="dxa"/>
          </w:tcPr>
          <w:p w14:paraId="138202E6" w14:textId="6F5F4D39" w:rsidR="00176D2E" w:rsidRPr="00A208F6" w:rsidRDefault="00176D2E" w:rsidP="00881652">
            <w:pPr>
              <w:spacing w:line="276" w:lineRule="auto"/>
              <w:jc w:val="both"/>
              <w:rPr>
                <w:rFonts w:ascii="Verdana" w:hAnsi="Verdana" w:cs="Arial"/>
                <w:bCs/>
                <w:lang w:val="es-ES_tradnl" w:eastAsia="es-ES"/>
              </w:rPr>
            </w:pPr>
            <w:r>
              <w:rPr>
                <w:rFonts w:ascii="Verdana" w:hAnsi="Verdana" w:cs="Arial"/>
                <w:bCs/>
                <w:lang w:eastAsia="es-ES"/>
              </w:rPr>
              <w:t xml:space="preserve">DOCUMENTOS TIPO – Fundamento normativo -Obligatoriedad – Ámbito de aplicación – Entidades sometidas / LEY 2195 DE 2022 – Articulo 56 – Ámbito de aplicación / LEY 2195 DE 2022 – Articulo 56 – Finalidad / LEY 2195 DE 2022 -Aplicación del Estatuto General de Contratación de la Administración Pública / LEY 2195 DE 2022 – Articulo 56 Parágrafo – Excepciones - Giro ordinario </w:t>
            </w:r>
          </w:p>
          <w:p w14:paraId="7DB5F6B6" w14:textId="77777777" w:rsidR="00176D2E" w:rsidRPr="00C91297" w:rsidRDefault="00176D2E" w:rsidP="00881652">
            <w:pPr>
              <w:spacing w:after="160" w:line="276" w:lineRule="auto"/>
              <w:jc w:val="both"/>
              <w:rPr>
                <w:rFonts w:ascii="Verdana" w:hAnsi="Verdana" w:cs="Arial"/>
                <w:highlight w:val="yellow"/>
                <w:lang w:val="es-ES_tradnl" w:eastAsia="es-ES"/>
              </w:rPr>
            </w:pPr>
          </w:p>
        </w:tc>
      </w:tr>
      <w:tr w:rsidR="00176D2E" w:rsidRPr="00C91297" w14:paraId="4ECDE118" w14:textId="77777777" w:rsidTr="00881652">
        <w:trPr>
          <w:trHeight w:val="582"/>
        </w:trPr>
        <w:tc>
          <w:tcPr>
            <w:tcW w:w="2840" w:type="dxa"/>
          </w:tcPr>
          <w:p w14:paraId="059DE681" w14:textId="77777777" w:rsidR="00176D2E" w:rsidRPr="00C91297" w:rsidRDefault="00176D2E" w:rsidP="00881652">
            <w:pPr>
              <w:spacing w:after="160" w:line="259" w:lineRule="auto"/>
              <w:jc w:val="both"/>
              <w:rPr>
                <w:rFonts w:ascii="Verdana" w:hAnsi="Verdana" w:cs="Arial"/>
                <w:b/>
                <w:lang w:val="es-ES_tradnl" w:eastAsia="es-ES_tradnl"/>
              </w:rPr>
            </w:pPr>
            <w:r w:rsidRPr="00C91297">
              <w:rPr>
                <w:rFonts w:ascii="Verdana" w:hAnsi="Verdana" w:cs="Arial"/>
                <w:b/>
                <w:lang w:val="es-ES_tradnl" w:eastAsia="es-ES_tradnl"/>
              </w:rPr>
              <w:t>Radicación:</w:t>
            </w:r>
            <w:r w:rsidRPr="00C91297">
              <w:rPr>
                <w:rFonts w:ascii="Verdana" w:hAnsi="Verdana" w:cs="Arial"/>
                <w:lang w:val="es-ES_tradnl" w:eastAsia="es-ES_tradnl"/>
              </w:rPr>
              <w:t xml:space="preserve">               </w:t>
            </w:r>
          </w:p>
        </w:tc>
        <w:tc>
          <w:tcPr>
            <w:tcW w:w="6444" w:type="dxa"/>
          </w:tcPr>
          <w:p w14:paraId="15A0A45B" w14:textId="77777777" w:rsidR="00176D2E" w:rsidRPr="00C91297" w:rsidRDefault="00176D2E" w:rsidP="00881652">
            <w:pPr>
              <w:spacing w:after="160" w:line="259" w:lineRule="auto"/>
              <w:jc w:val="both"/>
              <w:rPr>
                <w:rFonts w:ascii="Verdana" w:hAnsi="Verdana" w:cs="Arial"/>
                <w:lang w:val="es-ES_tradnl" w:eastAsia="es-ES_tradnl"/>
              </w:rPr>
            </w:pPr>
            <w:r w:rsidRPr="00C91297">
              <w:rPr>
                <w:rFonts w:ascii="Verdana" w:hAnsi="Verdana" w:cs="Arial"/>
                <w:lang w:val="es-ES_tradnl" w:eastAsia="es-ES_tradnl"/>
              </w:rPr>
              <w:t>Respuesta a consulta con radicado No. P2024</w:t>
            </w:r>
            <w:r>
              <w:rPr>
                <w:rFonts w:ascii="Verdana" w:hAnsi="Verdana" w:cs="Arial"/>
                <w:lang w:val="es-ES_tradnl" w:eastAsia="es-ES_tradnl"/>
              </w:rPr>
              <w:t>0816008414</w:t>
            </w:r>
          </w:p>
        </w:tc>
      </w:tr>
    </w:tbl>
    <w:p w14:paraId="4B412BBC" w14:textId="77777777" w:rsidR="00176D2E" w:rsidRPr="00C91297" w:rsidRDefault="00176D2E" w:rsidP="00176D2E">
      <w:pPr>
        <w:spacing w:after="0" w:line="240" w:lineRule="auto"/>
        <w:jc w:val="both"/>
        <w:rPr>
          <w:rFonts w:ascii="Verdana" w:eastAsia="Times New Roman" w:hAnsi="Verdana" w:cs="Arial"/>
          <w:lang w:val="es-ES_tradnl" w:eastAsia="es-ES_tradnl"/>
        </w:rPr>
      </w:pPr>
    </w:p>
    <w:p w14:paraId="1E37B938" w14:textId="77777777" w:rsidR="00176D2E" w:rsidRPr="00C91297" w:rsidRDefault="00176D2E" w:rsidP="00176D2E">
      <w:pPr>
        <w:spacing w:after="0" w:line="240" w:lineRule="auto"/>
        <w:jc w:val="both"/>
        <w:rPr>
          <w:rFonts w:ascii="Verdana" w:eastAsia="Times New Roman" w:hAnsi="Verdana" w:cs="Arial"/>
          <w:lang w:val="es-ES_tradnl" w:eastAsia="es-ES_tradnl"/>
        </w:rPr>
      </w:pPr>
    </w:p>
    <w:p w14:paraId="5AC95EBA" w14:textId="77777777" w:rsidR="00176D2E" w:rsidRPr="00C91297" w:rsidRDefault="00176D2E" w:rsidP="00176D2E">
      <w:pPr>
        <w:spacing w:after="0" w:line="276" w:lineRule="auto"/>
        <w:jc w:val="both"/>
        <w:rPr>
          <w:rFonts w:ascii="Verdana" w:eastAsia="Times New Roman" w:hAnsi="Verdana" w:cs="Arial"/>
          <w:lang w:val="es-ES_tradnl" w:eastAsia="es-ES"/>
        </w:rPr>
      </w:pPr>
      <w:r w:rsidRPr="00C91297">
        <w:rPr>
          <w:rFonts w:ascii="Verdana" w:eastAsia="Times New Roman" w:hAnsi="Verdana" w:cs="Arial"/>
          <w:lang w:val="es-ES_tradnl" w:eastAsia="es-ES"/>
        </w:rPr>
        <w:t>Estimad</w:t>
      </w:r>
      <w:r>
        <w:rPr>
          <w:rFonts w:ascii="Verdana" w:eastAsia="Times New Roman" w:hAnsi="Verdana" w:cs="Arial"/>
          <w:lang w:val="es-ES_tradnl" w:eastAsia="es-ES"/>
        </w:rPr>
        <w:t>o</w:t>
      </w:r>
      <w:r w:rsidRPr="00C91297">
        <w:rPr>
          <w:rFonts w:ascii="Verdana" w:eastAsia="Times New Roman" w:hAnsi="Verdana" w:cs="Arial"/>
          <w:lang w:val="es-ES_tradnl" w:eastAsia="es-ES"/>
        </w:rPr>
        <w:t xml:space="preserve"> señor</w:t>
      </w:r>
      <w:r>
        <w:rPr>
          <w:rFonts w:ascii="Verdana" w:eastAsia="Times New Roman" w:hAnsi="Verdana" w:cs="Arial"/>
          <w:lang w:val="es-ES_tradnl" w:eastAsia="es-ES"/>
        </w:rPr>
        <w:t xml:space="preserve"> Patarroyo Cubides</w:t>
      </w:r>
      <w:r w:rsidRPr="00C91297">
        <w:rPr>
          <w:rFonts w:ascii="Verdana" w:eastAsia="Times New Roman" w:hAnsi="Verdana" w:cs="Arial"/>
          <w:lang w:val="es-ES_tradnl" w:eastAsia="es-ES"/>
        </w:rPr>
        <w:t xml:space="preserve">: </w:t>
      </w:r>
    </w:p>
    <w:p w14:paraId="7A43E70C" w14:textId="77777777" w:rsidR="00176D2E" w:rsidRPr="00C91297" w:rsidRDefault="00176D2E" w:rsidP="00176D2E">
      <w:pPr>
        <w:tabs>
          <w:tab w:val="left" w:pos="3768"/>
        </w:tabs>
        <w:spacing w:after="0" w:line="276" w:lineRule="auto"/>
        <w:jc w:val="both"/>
        <w:rPr>
          <w:rFonts w:ascii="Verdana" w:eastAsia="Times New Roman" w:hAnsi="Verdana" w:cs="Arial"/>
          <w:lang w:val="es-ES_tradnl" w:eastAsia="es-ES"/>
        </w:rPr>
      </w:pPr>
      <w:r w:rsidRPr="00C91297">
        <w:rPr>
          <w:rFonts w:ascii="Verdana" w:eastAsia="Times New Roman" w:hAnsi="Verdana" w:cs="Arial"/>
          <w:lang w:val="es-ES_tradnl" w:eastAsia="es-ES"/>
        </w:rPr>
        <w:tab/>
      </w:r>
    </w:p>
    <w:p w14:paraId="1A03C3A1" w14:textId="77777777" w:rsidR="00176D2E" w:rsidRPr="00C91297" w:rsidRDefault="00176D2E" w:rsidP="00176D2E">
      <w:pPr>
        <w:snapToGrid w:val="0"/>
        <w:spacing w:after="0" w:line="276" w:lineRule="auto"/>
        <w:jc w:val="both"/>
        <w:rPr>
          <w:rFonts w:ascii="Verdana" w:eastAsia="Times New Roman" w:hAnsi="Verdana" w:cs="Arial"/>
          <w:lang w:val="es-ES_tradnl" w:eastAsia="es-ES"/>
        </w:rPr>
      </w:pPr>
      <w:r w:rsidRPr="00C91297">
        <w:rPr>
          <w:rFonts w:ascii="Verdana" w:eastAsia="Times New Roman" w:hAnsi="Verdana" w:cs="Arial"/>
          <w:lang w:val="es-ES_tradnl" w:eastAsia="es-ES"/>
        </w:rPr>
        <w:lastRenderedPageBreak/>
        <w:t>En ejercicio de la competencia otorgada por los artículos 3, numeral 5º, y 11, numeral 8º, del Decreto Ley 4170 de 2011,</w:t>
      </w:r>
      <w:r w:rsidRPr="00C91297">
        <w:rPr>
          <w:rFonts w:ascii="Verdana" w:eastAsia="Times New Roman" w:hAnsi="Verdana" w:cs="Arial MT"/>
          <w:lang w:val="es-ES_tradnl" w:eastAsia="es-ES"/>
        </w:rPr>
        <w:t xml:space="preserve"> </w:t>
      </w:r>
      <w:r w:rsidRPr="00C91297">
        <w:rPr>
          <w:rFonts w:ascii="Verdana" w:eastAsia="Times New Roman" w:hAnsi="Verdana" w:cs="Arial"/>
          <w:lang w:val="es-ES_tradnl"/>
        </w:rPr>
        <w:t xml:space="preserve">así como lo establecido en el artículo 4 de la Resolución 1707 de 2018 expedida por esta Entidad, </w:t>
      </w:r>
      <w:r w:rsidRPr="00C91297">
        <w:rPr>
          <w:rFonts w:ascii="Verdana" w:eastAsia="Times New Roman" w:hAnsi="Verdana" w:cs="Arial"/>
          <w:lang w:val="es-ES_tradnl" w:eastAsia="es-ES"/>
        </w:rPr>
        <w:t>la Agencia Nacional de Contratación Pública – Colombia Compra Eficiente– responde su solicitud de consulta de fecha 06 de agosto de 2024, en la cual manifiesta lo siguiente:</w:t>
      </w:r>
    </w:p>
    <w:p w14:paraId="1D74AC2A" w14:textId="77777777" w:rsidR="00176D2E" w:rsidRPr="00C91297" w:rsidRDefault="00176D2E" w:rsidP="00176D2E">
      <w:pPr>
        <w:tabs>
          <w:tab w:val="left" w:pos="142"/>
          <w:tab w:val="left" w:pos="284"/>
        </w:tabs>
        <w:snapToGrid w:val="0"/>
        <w:spacing w:after="0" w:line="240" w:lineRule="auto"/>
        <w:jc w:val="both"/>
        <w:rPr>
          <w:rFonts w:ascii="Verdana" w:eastAsia="Times New Roman" w:hAnsi="Verdana" w:cs="Century Gothic"/>
          <w:b/>
          <w:bCs/>
          <w:sz w:val="21"/>
          <w:szCs w:val="21"/>
          <w:lang w:val="es-ES_tradnl"/>
        </w:rPr>
      </w:pPr>
    </w:p>
    <w:p w14:paraId="5E56C20E" w14:textId="5F134C8B" w:rsidR="00176D2E" w:rsidRPr="006550D9" w:rsidRDefault="00176D2E" w:rsidP="00BE10F3">
      <w:pPr>
        <w:spacing w:after="120" w:line="240" w:lineRule="auto"/>
        <w:ind w:left="709" w:right="709"/>
        <w:jc w:val="both"/>
        <w:rPr>
          <w:rFonts w:ascii="Verdana" w:eastAsia="Times New Roman" w:hAnsi="Verdana" w:cs="Century Gothic"/>
          <w:sz w:val="20"/>
          <w:szCs w:val="20"/>
        </w:rPr>
      </w:pPr>
      <w:r w:rsidRPr="006550D9">
        <w:rPr>
          <w:rFonts w:ascii="Verdana" w:eastAsia="Times New Roman" w:hAnsi="Verdana" w:cs="Century Gothic"/>
          <w:sz w:val="20"/>
          <w:szCs w:val="20"/>
          <w:lang w:val="es-ES"/>
        </w:rPr>
        <w:t>“[…]</w:t>
      </w:r>
      <w:r w:rsidRPr="006550D9">
        <w:rPr>
          <w:rFonts w:ascii="Verdana" w:eastAsia="Times New Roman" w:hAnsi="Verdana" w:cs="Century Gothic"/>
          <w:sz w:val="20"/>
          <w:szCs w:val="20"/>
        </w:rPr>
        <w:t>UNA EMPRESA DE SERVICIOS PÚBLICOS DOMICILIARIOS ESP – CONFORMADA COMO EMPRESA INDUSTRIAL Y COMERCIAL DEL ESTADO SE ENCUENTRA COBIJADA BAJO LAS EXCEPCIONES DEL PARÁGRAFO DEL ARTÍCULO 56 DE LA LEY 2195 DE 2022 Y CONFORME A SU GIRO ORDINARIO NO SE LE APLICA LOS DOCUMENTOS TIPO, TAMPOCO EL EGCAP?</w:t>
      </w:r>
      <w:r w:rsidR="002C3C7F" w:rsidRPr="002C3C7F">
        <w:rPr>
          <w:rFonts w:ascii="Verdana" w:eastAsia="Times New Roman" w:hAnsi="Verdana" w:cs="Century Gothic"/>
          <w:sz w:val="20"/>
          <w:szCs w:val="20"/>
        </w:rPr>
        <w:t xml:space="preserve"> </w:t>
      </w:r>
      <w:r w:rsidR="002C3C7F" w:rsidRPr="006550D9">
        <w:rPr>
          <w:rFonts w:ascii="Verdana" w:eastAsia="Times New Roman" w:hAnsi="Verdana" w:cs="Century Gothic"/>
          <w:sz w:val="20"/>
          <w:szCs w:val="20"/>
        </w:rPr>
        <w:t>[…]”</w:t>
      </w:r>
      <w:r w:rsidRPr="006550D9">
        <w:rPr>
          <w:rFonts w:ascii="Verdana" w:eastAsia="Times New Roman" w:hAnsi="Verdana" w:cs="Century Gothic"/>
          <w:sz w:val="20"/>
          <w:szCs w:val="20"/>
        </w:rPr>
        <w:t xml:space="preserve"> </w:t>
      </w:r>
      <w:r w:rsidR="002C3C7F">
        <w:rPr>
          <w:rFonts w:ascii="Verdana" w:eastAsia="Times New Roman" w:hAnsi="Verdana" w:cs="Century Gothic"/>
          <w:sz w:val="20"/>
          <w:szCs w:val="20"/>
        </w:rPr>
        <w:t>[</w:t>
      </w:r>
      <w:r w:rsidRPr="006550D9">
        <w:rPr>
          <w:rFonts w:ascii="Verdana" w:eastAsia="Times New Roman" w:hAnsi="Verdana" w:cs="Century Gothic"/>
          <w:sz w:val="20"/>
          <w:szCs w:val="20"/>
        </w:rPr>
        <w:t>SIC</w:t>
      </w:r>
      <w:r w:rsidR="002C3C7F">
        <w:rPr>
          <w:rFonts w:ascii="Verdana" w:eastAsia="Times New Roman" w:hAnsi="Verdana" w:cs="Century Gothic"/>
          <w:sz w:val="20"/>
          <w:szCs w:val="20"/>
        </w:rPr>
        <w:t>]</w:t>
      </w:r>
    </w:p>
    <w:p w14:paraId="09CAB942" w14:textId="77777777" w:rsidR="00176D2E" w:rsidRPr="00C91297" w:rsidRDefault="00176D2E" w:rsidP="00176D2E">
      <w:pPr>
        <w:tabs>
          <w:tab w:val="left" w:pos="142"/>
          <w:tab w:val="left" w:pos="284"/>
        </w:tabs>
        <w:spacing w:line="276" w:lineRule="auto"/>
        <w:contextualSpacing/>
        <w:jc w:val="both"/>
        <w:rPr>
          <w:rFonts w:ascii="Verdana" w:eastAsia="Times New Roman" w:hAnsi="Verdana" w:cs="Century Gothic"/>
          <w:b/>
          <w:bCs/>
          <w:lang w:val="es-ES_tradnl"/>
        </w:rPr>
      </w:pPr>
    </w:p>
    <w:p w14:paraId="4131CE2D" w14:textId="77777777" w:rsidR="00176D2E" w:rsidRPr="00C91297" w:rsidRDefault="00176D2E" w:rsidP="00176D2E">
      <w:pPr>
        <w:spacing w:after="120" w:line="276" w:lineRule="auto"/>
        <w:ind w:firstLine="709"/>
        <w:jc w:val="both"/>
        <w:rPr>
          <w:rFonts w:ascii="Verdana" w:eastAsia="Times New Roman" w:hAnsi="Verdana" w:cs="Arial"/>
          <w:lang w:val="es-ES" w:eastAsia="es-ES"/>
        </w:rPr>
      </w:pPr>
      <w:r w:rsidRPr="00C91297">
        <w:rPr>
          <w:rFonts w:ascii="Verdana" w:eastAsia="Times New Roman"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91297">
        <w:rPr>
          <w:rFonts w:eastAsia="Times New Roman" w:cs="Times New Roman"/>
        </w:rPr>
        <w:tab/>
      </w:r>
    </w:p>
    <w:p w14:paraId="2EBF6CD7" w14:textId="77777777" w:rsidR="00176D2E" w:rsidRPr="00C91297" w:rsidRDefault="00176D2E" w:rsidP="00176D2E">
      <w:pPr>
        <w:snapToGrid w:val="0"/>
        <w:spacing w:after="0" w:line="276" w:lineRule="auto"/>
        <w:ind w:firstLine="709"/>
        <w:jc w:val="both"/>
        <w:rPr>
          <w:rFonts w:ascii="Verdana" w:eastAsia="Times New Roman" w:hAnsi="Verdana" w:cs="Arial"/>
          <w:lang w:val="es-ES_tradnl" w:eastAsia="es-ES"/>
        </w:rPr>
      </w:pPr>
      <w:r w:rsidRPr="00C91297">
        <w:rPr>
          <w:rFonts w:ascii="Verdana" w:eastAsia="Times New Roman"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0BF3B71" w14:textId="77777777" w:rsidR="00176D2E" w:rsidRPr="00C91297" w:rsidRDefault="00176D2E" w:rsidP="00176D2E">
      <w:pPr>
        <w:snapToGrid w:val="0"/>
        <w:spacing w:after="0" w:line="276" w:lineRule="auto"/>
        <w:ind w:firstLine="709"/>
        <w:jc w:val="both"/>
        <w:rPr>
          <w:rFonts w:ascii="Verdana" w:eastAsia="Times New Roman" w:hAnsi="Verdana" w:cs="Arial"/>
          <w:lang w:val="es-ES_tradnl" w:eastAsia="es-ES"/>
        </w:rPr>
      </w:pPr>
    </w:p>
    <w:p w14:paraId="43580E88" w14:textId="77777777" w:rsidR="00176D2E" w:rsidRPr="00C91297" w:rsidRDefault="00176D2E" w:rsidP="00176D2E">
      <w:pPr>
        <w:numPr>
          <w:ilvl w:val="0"/>
          <w:numId w:val="16"/>
        </w:numPr>
        <w:tabs>
          <w:tab w:val="left" w:pos="142"/>
          <w:tab w:val="left" w:pos="284"/>
        </w:tabs>
        <w:snapToGrid w:val="0"/>
        <w:spacing w:after="0" w:line="276" w:lineRule="auto"/>
        <w:ind w:left="357" w:hanging="357"/>
        <w:jc w:val="both"/>
        <w:rPr>
          <w:rFonts w:ascii="Verdana" w:eastAsia="Times New Roman" w:hAnsi="Verdana" w:cs="Century Gothic"/>
          <w:b/>
          <w:bCs/>
          <w:lang w:val="es-ES_tradnl"/>
        </w:rPr>
      </w:pPr>
      <w:r w:rsidRPr="00C91297">
        <w:rPr>
          <w:rFonts w:ascii="Verdana" w:eastAsia="Times New Roman" w:hAnsi="Verdana" w:cs="Century Gothic"/>
          <w:b/>
          <w:bCs/>
          <w:lang w:val="es-ES_tradnl"/>
        </w:rPr>
        <w:t>Problema planteado:</w:t>
      </w:r>
    </w:p>
    <w:p w14:paraId="24323EE4" w14:textId="77777777" w:rsidR="00176D2E" w:rsidRPr="00C91297" w:rsidRDefault="00176D2E" w:rsidP="00176D2E">
      <w:pPr>
        <w:tabs>
          <w:tab w:val="left" w:pos="426"/>
        </w:tabs>
        <w:snapToGrid w:val="0"/>
        <w:spacing w:after="0" w:line="276" w:lineRule="auto"/>
        <w:jc w:val="both"/>
        <w:rPr>
          <w:rFonts w:ascii="Verdana" w:eastAsia="Times New Roman" w:hAnsi="Verdana" w:cs="Century Gothic"/>
          <w:lang w:val="es-ES_tradnl"/>
        </w:rPr>
      </w:pPr>
    </w:p>
    <w:p w14:paraId="36A37AB5" w14:textId="24058F17" w:rsidR="00176D2E" w:rsidRPr="00C91297" w:rsidRDefault="00176D2E" w:rsidP="00176D2E">
      <w:pPr>
        <w:snapToGrid w:val="0"/>
        <w:spacing w:after="0" w:line="276" w:lineRule="auto"/>
        <w:jc w:val="both"/>
        <w:rPr>
          <w:rFonts w:ascii="Verdana" w:eastAsia="Times New Roman" w:hAnsi="Verdana" w:cs="Century Gothic"/>
          <w:lang w:val="es-ES_tradnl"/>
        </w:rPr>
      </w:pPr>
      <w:r w:rsidRPr="00C91297">
        <w:rPr>
          <w:rFonts w:ascii="Verdana" w:eastAsia="Times New Roman" w:hAnsi="Verdana" w:cs="Century Gothic"/>
          <w:lang w:val="es-ES_tradnl"/>
        </w:rPr>
        <w:t>De acuerdo con el contenido de su solicitud, esta Agencia resolverá el siguiente problema jurídico: ¿</w:t>
      </w:r>
      <w:r>
        <w:rPr>
          <w:rFonts w:ascii="Verdana" w:eastAsia="Times New Roman" w:hAnsi="Verdana" w:cs="Century Gothic"/>
          <w:lang w:val="es-ES_tradnl"/>
        </w:rPr>
        <w:t xml:space="preserve">De acuerdo con el artículo 56 de la Ley 2195 de 2022, las </w:t>
      </w:r>
      <w:r w:rsidR="00F622B9" w:rsidRPr="00A75D14">
        <w:rPr>
          <w:rFonts w:ascii="Verdana" w:eastAsia="Calibri" w:hAnsi="Verdana" w:cs="Arial"/>
          <w:lang w:val="es-ES" w:eastAsia="es-ES"/>
        </w:rPr>
        <w:t>las empresas sociales del Estado</w:t>
      </w:r>
      <w:r w:rsidR="00F622B9" w:rsidDel="00F622B9">
        <w:rPr>
          <w:rFonts w:ascii="Verdana" w:eastAsia="Times New Roman" w:hAnsi="Verdana" w:cs="Century Gothic"/>
          <w:lang w:val="es-ES_tradnl"/>
        </w:rPr>
        <w:t xml:space="preserve"> </w:t>
      </w:r>
      <w:r>
        <w:rPr>
          <w:rFonts w:ascii="Verdana" w:eastAsia="Times New Roman" w:hAnsi="Verdana" w:cs="Century Gothic"/>
          <w:lang w:val="es-ES_tradnl"/>
        </w:rPr>
        <w:t xml:space="preserve">tienen la Obligatoriedad de </w:t>
      </w:r>
      <w:r w:rsidRPr="00644F09">
        <w:rPr>
          <w:rFonts w:ascii="Verdana" w:eastAsia="Times New Roman" w:hAnsi="Verdana" w:cs="Century Gothic"/>
          <w:lang w:val="es-ES_tradnl"/>
        </w:rPr>
        <w:t>aplicar documentos tipo</w:t>
      </w:r>
      <w:r w:rsidR="00644F09" w:rsidRPr="00644F09">
        <w:rPr>
          <w:rFonts w:ascii="Verdana" w:eastAsia="Times New Roman" w:hAnsi="Verdana" w:cs="Century Gothic"/>
          <w:lang w:val="es-ES_tradnl"/>
        </w:rPr>
        <w:t xml:space="preserve"> </w:t>
      </w:r>
      <w:r w:rsidR="00644F09" w:rsidRPr="00644F09">
        <w:rPr>
          <w:rFonts w:ascii="Verdana" w:eastAsia="Calibri" w:hAnsi="Verdana" w:cs="Arial"/>
          <w:lang w:val="es-ES" w:eastAsia="es-ES"/>
        </w:rPr>
        <w:t xml:space="preserve">para la contratación de obras o servicios asociadas a su </w:t>
      </w:r>
      <w:r w:rsidR="00644F09" w:rsidRPr="00BE10F3">
        <w:rPr>
          <w:rFonts w:ascii="Verdana" w:eastAsia="Calibri" w:hAnsi="Verdana" w:cs="Arial"/>
          <w:lang w:val="es-ES" w:eastAsia="es-ES"/>
        </w:rPr>
        <w:t>giro ordinario?</w:t>
      </w:r>
    </w:p>
    <w:p w14:paraId="38A74F57" w14:textId="77777777" w:rsidR="00176D2E" w:rsidRPr="00C91297" w:rsidRDefault="00176D2E" w:rsidP="00176D2E">
      <w:pPr>
        <w:snapToGrid w:val="0"/>
        <w:spacing w:after="0" w:line="276" w:lineRule="auto"/>
        <w:jc w:val="both"/>
        <w:rPr>
          <w:rFonts w:ascii="Verdana" w:eastAsia="Times New Roman" w:hAnsi="Verdana" w:cs="Century Gothic"/>
          <w:lang w:val="es-ES_tradnl"/>
        </w:rPr>
      </w:pPr>
    </w:p>
    <w:p w14:paraId="059B916E" w14:textId="77777777" w:rsidR="00176D2E" w:rsidRPr="00C91297" w:rsidRDefault="00176D2E" w:rsidP="00176D2E">
      <w:pPr>
        <w:numPr>
          <w:ilvl w:val="0"/>
          <w:numId w:val="16"/>
        </w:numPr>
        <w:tabs>
          <w:tab w:val="left" w:pos="142"/>
          <w:tab w:val="left" w:pos="284"/>
        </w:tabs>
        <w:snapToGrid w:val="0"/>
        <w:spacing w:after="0" w:line="276" w:lineRule="auto"/>
        <w:ind w:left="357" w:hanging="357"/>
        <w:jc w:val="both"/>
        <w:rPr>
          <w:rFonts w:ascii="Verdana" w:eastAsia="Times New Roman" w:hAnsi="Verdana" w:cs="Century Gothic"/>
          <w:b/>
          <w:bCs/>
          <w:lang w:val="es-ES_tradnl"/>
        </w:rPr>
      </w:pPr>
      <w:r w:rsidRPr="00C91297">
        <w:rPr>
          <w:rFonts w:ascii="Verdana" w:eastAsia="Times New Roman" w:hAnsi="Verdana" w:cs="Century Gothic"/>
          <w:b/>
          <w:bCs/>
          <w:lang w:val="es-ES_tradnl"/>
        </w:rPr>
        <w:t>Respuesta:</w:t>
      </w:r>
    </w:p>
    <w:p w14:paraId="3C26CDC0" w14:textId="77777777" w:rsidR="00176D2E" w:rsidRPr="00C91297" w:rsidRDefault="00176D2E" w:rsidP="00176D2E">
      <w:pPr>
        <w:tabs>
          <w:tab w:val="left" w:pos="142"/>
          <w:tab w:val="left" w:pos="284"/>
        </w:tabs>
        <w:snapToGrid w:val="0"/>
        <w:spacing w:after="0" w:line="276" w:lineRule="auto"/>
        <w:jc w:val="both"/>
        <w:rPr>
          <w:rFonts w:ascii="Verdana" w:eastAsia="Times New Roman" w:hAnsi="Verdana" w:cs="Century Gothic"/>
          <w:b/>
          <w:bCs/>
          <w:lang w:val="es-ES_tradnl"/>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76D2E" w:rsidRPr="00C91297" w14:paraId="1DD55639" w14:textId="77777777" w:rsidTr="00881652">
        <w:tc>
          <w:tcPr>
            <w:tcW w:w="8828" w:type="dxa"/>
          </w:tcPr>
          <w:p w14:paraId="3020BD2D" w14:textId="77777777" w:rsidR="008F6336" w:rsidRPr="00A75D14" w:rsidRDefault="008F6336" w:rsidP="008F6336">
            <w:pPr>
              <w:snapToGrid w:val="0"/>
              <w:spacing w:line="276" w:lineRule="auto"/>
              <w:jc w:val="both"/>
              <w:rPr>
                <w:rFonts w:ascii="Verdana" w:eastAsia="Calibri" w:hAnsi="Verdana" w:cs="Arial"/>
                <w:lang w:val="es-ES" w:eastAsia="es-ES"/>
              </w:rPr>
            </w:pPr>
            <w:r w:rsidRPr="00A75D14">
              <w:rPr>
                <w:rFonts w:ascii="Verdana" w:eastAsia="Calibri" w:hAnsi="Verdana" w:cs="Arial"/>
                <w:lang w:val="es-ES" w:eastAsia="es-ES"/>
              </w:rPr>
              <w:t xml:space="preserve">Lo dispuesto en el parágrafo del artículo 56 de la Ley 2195 de 2022 implica que las instituciones de educación superior públicas, las empresas sociales del Estado, las sociedades de economía mixta y las empresas industriales y comerciales del Estado, no tendrán que implementar los documentos tipo únicamente para la contratación relacionada con el </w:t>
            </w:r>
            <w:r w:rsidRPr="00A75D14">
              <w:rPr>
                <w:rFonts w:ascii="Verdana" w:eastAsia="Calibri" w:hAnsi="Verdana" w:cs="Arial"/>
                <w:i/>
                <w:lang w:val="es-ES" w:eastAsia="es-ES"/>
              </w:rPr>
              <w:t xml:space="preserve">giro ordinario </w:t>
            </w:r>
            <w:r w:rsidRPr="00A75D14">
              <w:rPr>
                <w:rFonts w:ascii="Verdana" w:eastAsia="Calibri" w:hAnsi="Verdana" w:cs="Arial"/>
                <w:lang w:val="es-ES" w:eastAsia="es-ES"/>
              </w:rPr>
              <w:t xml:space="preserve">de sus asuntos, salvo que los manuales internos de contratación de estas entidades dispongan la obligación de tener en cuenta los documentos tipo como una buena práctica contractual. En otras palabras, ninguna entidad cuya naturaleza jurídica coincida con las mencionadas en el parágrafo del artículo 56, tendrá que someterse de manera obligatoria a los documentos tipo o el EGCAP para la contratación de obras o servicios asociadas a su </w:t>
            </w:r>
            <w:r w:rsidRPr="00A75D14">
              <w:rPr>
                <w:rFonts w:ascii="Verdana" w:eastAsia="Calibri" w:hAnsi="Verdana" w:cs="Arial"/>
                <w:i/>
                <w:lang w:val="es-ES" w:eastAsia="es-ES"/>
              </w:rPr>
              <w:t>giro ordinario</w:t>
            </w:r>
            <w:r w:rsidRPr="00A75D14">
              <w:rPr>
                <w:rFonts w:ascii="Verdana" w:eastAsia="Calibri" w:hAnsi="Verdana" w:cs="Arial"/>
                <w:lang w:val="es-ES" w:eastAsia="es-ES"/>
              </w:rPr>
              <w:t xml:space="preserve">, a menos que su manual de contratación establezca lo contrario. </w:t>
            </w:r>
          </w:p>
          <w:p w14:paraId="7C4C9D41" w14:textId="77777777" w:rsidR="00304CA6" w:rsidRDefault="00304CA6" w:rsidP="00881652">
            <w:pPr>
              <w:autoSpaceDE w:val="0"/>
              <w:autoSpaceDN w:val="0"/>
              <w:adjustRightInd w:val="0"/>
              <w:spacing w:line="276" w:lineRule="auto"/>
              <w:contextualSpacing/>
              <w:jc w:val="both"/>
              <w:rPr>
                <w:rFonts w:ascii="Verdana" w:eastAsia="Calibri" w:hAnsi="Verdana" w:cs="Arial"/>
                <w:kern w:val="2"/>
                <w:lang w:val="es-ES"/>
              </w:rPr>
            </w:pPr>
          </w:p>
          <w:p w14:paraId="2A5B1BDA" w14:textId="381E0252" w:rsidR="00304CA6" w:rsidRDefault="00304CA6" w:rsidP="00881652">
            <w:pPr>
              <w:autoSpaceDE w:val="0"/>
              <w:autoSpaceDN w:val="0"/>
              <w:adjustRightInd w:val="0"/>
              <w:spacing w:line="276" w:lineRule="auto"/>
              <w:contextualSpacing/>
              <w:jc w:val="both"/>
              <w:rPr>
                <w:rFonts w:ascii="Verdana" w:eastAsia="Calibri" w:hAnsi="Verdana" w:cs="Arial"/>
                <w:kern w:val="2"/>
                <w:lang w:val="es-ES"/>
              </w:rPr>
            </w:pPr>
            <w:r w:rsidRPr="00A75D14">
              <w:rPr>
                <w:rFonts w:ascii="Verdana" w:eastAsia="Calibri" w:hAnsi="Verdana" w:cs="Arial"/>
                <w:lang w:val="es-ES" w:eastAsia="es-ES"/>
              </w:rPr>
              <w:t>Por otra parte, es importante señalar que la excepción del parágrafo en comento es de interpretación restrictiva y es clara en establecer cuáles son las entidades exceptuadas de la aplicación del artículo 56 de la Ley 2195 de 2022.</w:t>
            </w:r>
          </w:p>
          <w:p w14:paraId="788B94B8" w14:textId="77777777" w:rsidR="00176D2E" w:rsidRPr="00C91297" w:rsidRDefault="00176D2E" w:rsidP="00881652">
            <w:pPr>
              <w:snapToGrid w:val="0"/>
              <w:spacing w:after="160" w:line="276" w:lineRule="auto"/>
              <w:jc w:val="both"/>
              <w:rPr>
                <w:rFonts w:ascii="Verdana" w:hAnsi="Verdana" w:cs="Arial"/>
                <w:lang w:val="es-ES"/>
              </w:rPr>
            </w:pPr>
          </w:p>
        </w:tc>
      </w:tr>
    </w:tbl>
    <w:p w14:paraId="1C599A75" w14:textId="77777777" w:rsidR="00176D2E" w:rsidRPr="00C91297" w:rsidRDefault="00176D2E" w:rsidP="00176D2E">
      <w:pPr>
        <w:tabs>
          <w:tab w:val="left" w:pos="142"/>
          <w:tab w:val="left" w:pos="284"/>
        </w:tabs>
        <w:snapToGrid w:val="0"/>
        <w:spacing w:after="0" w:line="276" w:lineRule="auto"/>
        <w:jc w:val="both"/>
        <w:rPr>
          <w:rFonts w:ascii="Verdana" w:eastAsia="Times New Roman" w:hAnsi="Verdana" w:cs="Century Gothic"/>
          <w:b/>
          <w:bCs/>
          <w:lang w:val="es-ES_tradnl"/>
        </w:rPr>
      </w:pPr>
    </w:p>
    <w:p w14:paraId="34873480" w14:textId="77777777" w:rsidR="00176D2E" w:rsidRPr="00C91297" w:rsidRDefault="00176D2E" w:rsidP="00176D2E">
      <w:pPr>
        <w:numPr>
          <w:ilvl w:val="0"/>
          <w:numId w:val="16"/>
        </w:numPr>
        <w:tabs>
          <w:tab w:val="left" w:pos="142"/>
          <w:tab w:val="left" w:pos="284"/>
        </w:tabs>
        <w:snapToGrid w:val="0"/>
        <w:spacing w:after="0" w:line="276" w:lineRule="auto"/>
        <w:ind w:left="357" w:hanging="357"/>
        <w:jc w:val="both"/>
        <w:rPr>
          <w:rFonts w:ascii="Verdana" w:eastAsia="Times New Roman" w:hAnsi="Verdana" w:cs="Century Gothic"/>
          <w:b/>
          <w:bCs/>
          <w:lang w:val="es-ES_tradnl"/>
        </w:rPr>
      </w:pPr>
      <w:r w:rsidRPr="00C91297">
        <w:rPr>
          <w:rFonts w:ascii="Verdana" w:eastAsia="Times New Roman" w:hAnsi="Verdana" w:cs="Century Gothic"/>
          <w:b/>
          <w:bCs/>
          <w:lang w:val="es-ES_tradnl"/>
        </w:rPr>
        <w:t>Razones de la respuesta:</w:t>
      </w:r>
    </w:p>
    <w:p w14:paraId="41F5DC9B" w14:textId="77777777" w:rsidR="00176D2E" w:rsidRPr="00C91297" w:rsidRDefault="00176D2E" w:rsidP="00176D2E">
      <w:pPr>
        <w:snapToGrid w:val="0"/>
        <w:spacing w:after="0" w:line="276" w:lineRule="auto"/>
        <w:jc w:val="both"/>
        <w:rPr>
          <w:rFonts w:ascii="Verdana" w:eastAsia="Times New Roman" w:hAnsi="Verdana" w:cs="Arial"/>
          <w:lang w:val="es-ES_tradnl"/>
        </w:rPr>
      </w:pPr>
    </w:p>
    <w:p w14:paraId="47C5C06D" w14:textId="77777777" w:rsidR="00176D2E" w:rsidRDefault="00176D2E" w:rsidP="00176D2E">
      <w:pPr>
        <w:pStyle w:val="Prrafodelista"/>
        <w:snapToGrid w:val="0"/>
        <w:spacing w:after="0" w:line="276" w:lineRule="auto"/>
        <w:ind w:left="709" w:right="709"/>
        <w:jc w:val="both"/>
        <w:rPr>
          <w:rFonts w:ascii="Verdana" w:eastAsia="Times New Roman" w:hAnsi="Verdana" w:cs="Arial"/>
          <w:sz w:val="20"/>
          <w:szCs w:val="20"/>
          <w:lang w:val="es-CO"/>
        </w:rPr>
      </w:pPr>
    </w:p>
    <w:p w14:paraId="08ED43C2" w14:textId="77777777" w:rsidR="00A9783E" w:rsidRPr="00A75D14" w:rsidRDefault="00A9783E" w:rsidP="00A9783E">
      <w:pPr>
        <w:snapToGrid w:val="0"/>
        <w:spacing w:after="0" w:line="276" w:lineRule="auto"/>
        <w:jc w:val="both"/>
        <w:rPr>
          <w:rFonts w:ascii="Verdana" w:eastAsia="Calibri" w:hAnsi="Verdana" w:cs="Arial"/>
          <w:lang w:val="es-ES"/>
        </w:rPr>
      </w:pPr>
      <w:r w:rsidRPr="00A75D14">
        <w:rPr>
          <w:rFonts w:ascii="Verdana" w:eastAsia="Calibri" w:hAnsi="Verdana" w:cs="Arial"/>
          <w:lang w:val="es-ES"/>
        </w:rPr>
        <w:t xml:space="preserve">Lo anterior se sustenta en las siguientes consideraciones: </w:t>
      </w:r>
    </w:p>
    <w:p w14:paraId="114D2B6B" w14:textId="77777777" w:rsidR="00A9783E" w:rsidRPr="00A75D14" w:rsidRDefault="00A9783E" w:rsidP="00A9783E">
      <w:pPr>
        <w:snapToGrid w:val="0"/>
        <w:spacing w:after="0" w:line="276" w:lineRule="auto"/>
        <w:jc w:val="both"/>
        <w:rPr>
          <w:rFonts w:ascii="Verdana" w:eastAsia="Calibri" w:hAnsi="Verdana" w:cs="Arial"/>
          <w:lang w:val="es-ES"/>
        </w:rPr>
      </w:pPr>
    </w:p>
    <w:p w14:paraId="5887555A" w14:textId="77777777" w:rsidR="00A9783E" w:rsidRPr="00A75D14" w:rsidRDefault="00A9783E" w:rsidP="00A9783E">
      <w:pPr>
        <w:numPr>
          <w:ilvl w:val="0"/>
          <w:numId w:val="20"/>
        </w:numPr>
        <w:tabs>
          <w:tab w:val="left" w:pos="0"/>
        </w:tabs>
        <w:snapToGrid w:val="0"/>
        <w:spacing w:after="0" w:line="276" w:lineRule="auto"/>
        <w:contextualSpacing/>
        <w:jc w:val="both"/>
        <w:rPr>
          <w:rFonts w:ascii="Verdana" w:eastAsia="Calibri" w:hAnsi="Verdana" w:cs="Arial"/>
          <w:bCs/>
          <w:kern w:val="2"/>
          <w:lang w:val="es-ES_tradnl" w:eastAsia="es-ES_tradnl"/>
          <w14:ligatures w14:val="standardContextual"/>
        </w:rPr>
      </w:pPr>
      <w:r w:rsidRPr="00A75D14">
        <w:rPr>
          <w:rFonts w:ascii="Verdana" w:eastAsia="Calibri" w:hAnsi="Verdana" w:cs="Arial"/>
          <w:color w:val="000000"/>
          <w:lang w:val="es-ES"/>
        </w:rPr>
        <w:t>El texto del artículo 56 de la Ley 2195 de 2022 aprobado por el Congreso de la República</w:t>
      </w:r>
      <w:r w:rsidRPr="00A75D14">
        <w:rPr>
          <w:rFonts w:ascii="Verdana" w:eastAsia="Calibri" w:hAnsi="Verdana" w:cs="Arial"/>
          <w:kern w:val="2"/>
          <w:lang w:val="es-ES_tradnl" w:eastAsia="es-ES_tradnl"/>
          <w14:ligatures w14:val="standardContextual"/>
        </w:rPr>
        <w:t xml:space="preserve"> en ambas cámaras</w:t>
      </w:r>
      <w:r w:rsidRPr="00A75D14">
        <w:rPr>
          <w:rFonts w:ascii="Aptos" w:eastAsia="Times New Roman" w:hAnsi="Aptos" w:cs="Times New Roman"/>
          <w:kern w:val="2"/>
          <w:sz w:val="24"/>
          <w:szCs w:val="24"/>
          <w:vertAlign w:val="superscript"/>
          <w:lang w:val="es-ES_tradnl" w:eastAsia="es-ES_tradnl"/>
          <w14:ligatures w14:val="standardContextual"/>
        </w:rPr>
        <w:footnoteReference w:id="2"/>
      </w:r>
      <w:r w:rsidRPr="00A75D14">
        <w:rPr>
          <w:rFonts w:ascii="Verdana" w:eastAsia="Calibri" w:hAnsi="Verdana" w:cs="Arial"/>
          <w:kern w:val="2"/>
          <w:lang w:val="es-ES_tradnl" w:eastAsia="es-ES_tradnl"/>
          <w14:ligatures w14:val="standardContextual"/>
        </w:rPr>
        <w:t>, prescribe una redacción en los siguientes términos:</w:t>
      </w:r>
      <w:r w:rsidRPr="00A75D14">
        <w:rPr>
          <w:rFonts w:ascii="Verdana" w:eastAsia="Calibri" w:hAnsi="Verdana" w:cs="Arial"/>
          <w:bCs/>
          <w:kern w:val="2"/>
          <w:lang w:val="es-ES_tradnl" w:eastAsia="es-ES_tradnl"/>
          <w14:ligatures w14:val="standardContextual"/>
        </w:rPr>
        <w:t xml:space="preserve"> </w:t>
      </w:r>
    </w:p>
    <w:p w14:paraId="5AE24159" w14:textId="77777777" w:rsidR="00A9783E" w:rsidRPr="00A75D14" w:rsidRDefault="00A9783E" w:rsidP="00A9783E">
      <w:pPr>
        <w:tabs>
          <w:tab w:val="left" w:pos="0"/>
        </w:tabs>
        <w:snapToGrid w:val="0"/>
        <w:spacing w:after="0" w:line="276" w:lineRule="auto"/>
        <w:jc w:val="both"/>
        <w:rPr>
          <w:rFonts w:ascii="Verdana" w:eastAsia="Calibri" w:hAnsi="Verdana" w:cs="Arial"/>
          <w:bCs/>
          <w:kern w:val="2"/>
          <w:lang w:val="es-ES_tradnl" w:eastAsia="es-ES_tradnl"/>
          <w14:ligatures w14:val="standardContextual"/>
        </w:rPr>
      </w:pPr>
    </w:p>
    <w:p w14:paraId="34F1E380" w14:textId="77777777" w:rsidR="00A9783E" w:rsidRPr="00A75D14" w:rsidRDefault="00A9783E" w:rsidP="00A9783E">
      <w:pPr>
        <w:tabs>
          <w:tab w:val="left" w:pos="0"/>
        </w:tabs>
        <w:snapToGrid w:val="0"/>
        <w:spacing w:after="0" w:line="240" w:lineRule="auto"/>
        <w:ind w:left="709" w:right="709"/>
        <w:jc w:val="both"/>
        <w:rPr>
          <w:rFonts w:ascii="Verdana" w:eastAsia="Times New Roman" w:hAnsi="Verdana" w:cs="Arial"/>
          <w:kern w:val="2"/>
          <w:sz w:val="21"/>
          <w:szCs w:val="21"/>
          <w:lang w:val="es-ES_tradnl" w:eastAsia="es-ES_tradnl"/>
          <w14:ligatures w14:val="standardContextual"/>
        </w:rPr>
      </w:pPr>
      <w:r w:rsidRPr="00A75D14">
        <w:rPr>
          <w:rFonts w:ascii="Verdana" w:eastAsia="Times New Roman" w:hAnsi="Verdana" w:cs="Arial"/>
          <w:kern w:val="2"/>
          <w:sz w:val="21"/>
          <w:szCs w:val="21"/>
          <w:lang w:val="es-ES_tradnl" w:eastAsia="es-ES_tradnl"/>
          <w14:ligatures w14:val="standardContextua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w:t>
      </w:r>
      <w:r w:rsidRPr="00A75D14">
        <w:rPr>
          <w:rFonts w:ascii="Verdana" w:eastAsia="Times New Roman" w:hAnsi="Verdana" w:cs="Arial"/>
          <w:kern w:val="2"/>
          <w:sz w:val="21"/>
          <w:szCs w:val="21"/>
          <w:lang w:val="es-ES_tradnl" w:eastAsia="es-ES_tradnl"/>
          <w14:ligatures w14:val="standardContextual"/>
        </w:rPr>
        <w:lastRenderedPageBreak/>
        <w:t xml:space="preserve">la Agencia Nacional de Contratación Pública - Colombia Compra Eficiente o quien haga sus veces, conforme al parágrafo 7 del artículo 2 de la Ley 1150 de 2007 o las normas que lo modifiquen o sustituyan. </w:t>
      </w:r>
    </w:p>
    <w:p w14:paraId="3EB17C1E" w14:textId="77777777" w:rsidR="00A9783E" w:rsidRPr="00A75D14" w:rsidRDefault="00A9783E" w:rsidP="00A9783E">
      <w:pPr>
        <w:tabs>
          <w:tab w:val="left" w:pos="0"/>
        </w:tabs>
        <w:snapToGrid w:val="0"/>
        <w:spacing w:after="0" w:line="240" w:lineRule="auto"/>
        <w:ind w:left="709" w:right="709"/>
        <w:jc w:val="both"/>
        <w:rPr>
          <w:rFonts w:ascii="Verdana" w:eastAsia="Times New Roman" w:hAnsi="Verdana" w:cs="Arial"/>
          <w:kern w:val="2"/>
          <w:sz w:val="21"/>
          <w:szCs w:val="21"/>
          <w:lang w:val="es-ES_tradnl" w:eastAsia="es-ES_tradnl"/>
          <w14:ligatures w14:val="standardContextual"/>
        </w:rPr>
      </w:pPr>
    </w:p>
    <w:p w14:paraId="39F363D7" w14:textId="77777777" w:rsidR="00A9783E" w:rsidRPr="00A75D14" w:rsidRDefault="00A9783E" w:rsidP="00A9783E">
      <w:pPr>
        <w:tabs>
          <w:tab w:val="left" w:pos="0"/>
        </w:tabs>
        <w:snapToGrid w:val="0"/>
        <w:spacing w:after="0" w:line="240" w:lineRule="auto"/>
        <w:ind w:left="709" w:right="709"/>
        <w:jc w:val="both"/>
        <w:rPr>
          <w:rFonts w:ascii="Verdana" w:eastAsia="Times New Roman" w:hAnsi="Verdana" w:cs="Arial"/>
          <w:kern w:val="2"/>
          <w:sz w:val="21"/>
          <w:szCs w:val="21"/>
          <w:lang w:val="es-ES_tradnl" w:eastAsia="es-ES_tradnl"/>
          <w14:ligatures w14:val="standardContextual"/>
        </w:rPr>
      </w:pPr>
      <w:r w:rsidRPr="00A75D14">
        <w:rPr>
          <w:rFonts w:ascii="Verdana" w:eastAsia="Times New Roman" w:hAnsi="Verdana" w:cs="Arial"/>
          <w:kern w:val="2"/>
          <w:sz w:val="21"/>
          <w:szCs w:val="21"/>
          <w:lang w:val="es-ES_tradnl" w:eastAsia="es-ES_tradnl"/>
          <w14:ligatures w14:val="standardContextua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4949F9E2" w14:textId="77777777" w:rsidR="00A9783E" w:rsidRPr="00A75D14" w:rsidRDefault="00A9783E" w:rsidP="00A9783E">
      <w:pPr>
        <w:tabs>
          <w:tab w:val="left" w:pos="0"/>
        </w:tabs>
        <w:snapToGrid w:val="0"/>
        <w:spacing w:after="0" w:line="240" w:lineRule="auto"/>
        <w:ind w:left="709" w:right="709"/>
        <w:jc w:val="both"/>
        <w:rPr>
          <w:rFonts w:ascii="Verdana" w:eastAsia="Times New Roman" w:hAnsi="Verdana" w:cs="Arial"/>
          <w:kern w:val="2"/>
          <w:sz w:val="21"/>
          <w:szCs w:val="21"/>
          <w:lang w:val="es-ES_tradnl" w:eastAsia="es-ES_tradnl"/>
          <w14:ligatures w14:val="standardContextual"/>
        </w:rPr>
      </w:pPr>
    </w:p>
    <w:p w14:paraId="36043795" w14:textId="77777777" w:rsidR="00A9783E" w:rsidRPr="00A75D14" w:rsidRDefault="00A9783E" w:rsidP="00A9783E">
      <w:pPr>
        <w:snapToGrid w:val="0"/>
        <w:spacing w:after="0" w:line="240" w:lineRule="auto"/>
        <w:ind w:left="709" w:right="709"/>
        <w:jc w:val="both"/>
        <w:rPr>
          <w:rFonts w:ascii="Verdana" w:eastAsia="Times New Roman" w:hAnsi="Verdana" w:cs="Arial"/>
          <w:kern w:val="2"/>
          <w:sz w:val="21"/>
          <w:szCs w:val="21"/>
          <w:lang w:val="es-ES" w:eastAsia="es-ES"/>
          <w14:ligatures w14:val="standardContextual"/>
        </w:rPr>
      </w:pPr>
      <w:r w:rsidRPr="00A75D14">
        <w:rPr>
          <w:rFonts w:ascii="Verdana" w:eastAsia="Times New Roman" w:hAnsi="Verdana" w:cs="Arial"/>
          <w:kern w:val="2"/>
          <w:sz w:val="21"/>
          <w:szCs w:val="21"/>
          <w:lang w:val="es-ES" w:eastAsia="es-ES"/>
          <w14:ligatures w14:val="standardContextual"/>
        </w:rPr>
        <w:t>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p>
    <w:p w14:paraId="5AD518DB" w14:textId="77777777" w:rsidR="00A9783E" w:rsidRPr="00A75D14" w:rsidRDefault="00A9783E" w:rsidP="00A9783E">
      <w:pPr>
        <w:snapToGrid w:val="0"/>
        <w:spacing w:after="0" w:line="240" w:lineRule="auto"/>
        <w:ind w:left="709" w:right="709"/>
        <w:jc w:val="both"/>
        <w:rPr>
          <w:rFonts w:ascii="Verdana" w:eastAsia="Calibri" w:hAnsi="Verdana" w:cs="Arial"/>
          <w:kern w:val="2"/>
          <w:lang w:val="es-ES" w:eastAsia="es-ES"/>
          <w14:ligatures w14:val="standardContextual"/>
        </w:rPr>
      </w:pPr>
    </w:p>
    <w:p w14:paraId="3C277F92" w14:textId="77777777" w:rsidR="00A9783E" w:rsidRPr="00A75D14" w:rsidRDefault="00A9783E" w:rsidP="00A9783E">
      <w:pPr>
        <w:numPr>
          <w:ilvl w:val="0"/>
          <w:numId w:val="19"/>
        </w:numPr>
        <w:snapToGrid w:val="0"/>
        <w:spacing w:after="0" w:line="276" w:lineRule="auto"/>
        <w:jc w:val="both"/>
        <w:rPr>
          <w:rFonts w:ascii="Verdana" w:eastAsia="Calibri" w:hAnsi="Verdana" w:cs="Arial"/>
          <w:kern w:val="2"/>
          <w:lang w:val="es-ES" w:eastAsia="es-ES"/>
          <w14:ligatures w14:val="standardContextual"/>
        </w:rPr>
      </w:pPr>
      <w:r w:rsidRPr="00A75D14">
        <w:rPr>
          <w:rFonts w:ascii="Verdana" w:eastAsia="Calibri" w:hAnsi="Verdana" w:cs="Arial"/>
          <w:kern w:val="2"/>
          <w:lang w:val="es-ES" w:eastAsia="es-ES"/>
          <w14:ligatures w14:val="standardContextual"/>
        </w:rPr>
        <w:t xml:space="preserve">Es necesario precisar el alcance de lo dispuesto en los dos primeros incisos del artículo 56, de acuerdo con lo establecido en su parágrafo, el cual excluye de la aplicación de los primeros incisos del artículo 56, a cierto tipo de entidades, en lo relacionado con la contratación de su </w:t>
      </w:r>
      <w:r w:rsidRPr="00A75D14">
        <w:rPr>
          <w:rFonts w:ascii="Verdana" w:eastAsia="Calibri" w:hAnsi="Verdana" w:cs="Arial"/>
          <w:i/>
          <w:kern w:val="2"/>
          <w:lang w:val="es-ES" w:eastAsia="es-ES"/>
          <w14:ligatures w14:val="standardContextual"/>
        </w:rPr>
        <w:t>giro ordinario</w:t>
      </w:r>
      <w:r w:rsidRPr="00A75D14">
        <w:rPr>
          <w:rFonts w:ascii="Verdana" w:eastAsia="Calibri" w:hAnsi="Verdana" w:cs="Arial"/>
          <w:kern w:val="2"/>
          <w:lang w:val="es-ES" w:eastAsia="es-ES"/>
          <w14:ligatures w14:val="standardContextual"/>
        </w:rPr>
        <w:t xml:space="preserve">. Conforme se desprende del texto del referido parágrafo, se exceptúa de lo señalado en los dos primeros incisos a: i) las instituciones de educación superior públicas, </w:t>
      </w:r>
      <w:proofErr w:type="spellStart"/>
      <w:r w:rsidRPr="00A75D14">
        <w:rPr>
          <w:rFonts w:ascii="Verdana" w:eastAsia="Calibri" w:hAnsi="Verdana" w:cs="Arial"/>
          <w:kern w:val="2"/>
          <w:lang w:val="es-ES" w:eastAsia="es-ES"/>
          <w14:ligatures w14:val="standardContextual"/>
        </w:rPr>
        <w:t>ii</w:t>
      </w:r>
      <w:proofErr w:type="spellEnd"/>
      <w:r w:rsidRPr="00A75D14">
        <w:rPr>
          <w:rFonts w:ascii="Verdana" w:eastAsia="Calibri" w:hAnsi="Verdana" w:cs="Arial"/>
          <w:kern w:val="2"/>
          <w:lang w:val="es-ES" w:eastAsia="es-ES"/>
          <w14:ligatures w14:val="standardContextual"/>
        </w:rPr>
        <w:t xml:space="preserve">) las empresas sociales del Estado, </w:t>
      </w:r>
      <w:proofErr w:type="spellStart"/>
      <w:r w:rsidRPr="00A75D14">
        <w:rPr>
          <w:rFonts w:ascii="Verdana" w:eastAsia="Calibri" w:hAnsi="Verdana" w:cs="Arial"/>
          <w:kern w:val="2"/>
          <w:lang w:val="es-ES" w:eastAsia="es-ES"/>
          <w14:ligatures w14:val="standardContextual"/>
        </w:rPr>
        <w:t>iii</w:t>
      </w:r>
      <w:proofErr w:type="spellEnd"/>
      <w:r w:rsidRPr="00A75D14">
        <w:rPr>
          <w:rFonts w:ascii="Verdana" w:eastAsia="Calibri" w:hAnsi="Verdana" w:cs="Arial"/>
          <w:kern w:val="2"/>
          <w:lang w:val="es-ES" w:eastAsia="es-ES"/>
          <w14:ligatures w14:val="standardContextual"/>
        </w:rPr>
        <w:t xml:space="preserve">) las sociedades de economía mixta y </w:t>
      </w:r>
      <w:proofErr w:type="spellStart"/>
      <w:r w:rsidRPr="00A75D14">
        <w:rPr>
          <w:rFonts w:ascii="Verdana" w:eastAsia="Calibri" w:hAnsi="Verdana" w:cs="Arial"/>
          <w:kern w:val="2"/>
          <w:lang w:val="es-ES" w:eastAsia="es-ES"/>
          <w14:ligatures w14:val="standardContextual"/>
        </w:rPr>
        <w:t>iv</w:t>
      </w:r>
      <w:proofErr w:type="spellEnd"/>
      <w:r w:rsidRPr="00A75D14">
        <w:rPr>
          <w:rFonts w:ascii="Verdana" w:eastAsia="Calibri" w:hAnsi="Verdana" w:cs="Arial"/>
          <w:kern w:val="2"/>
          <w:lang w:val="es-ES" w:eastAsia="es-ES"/>
          <w14:ligatures w14:val="standardContextual"/>
        </w:rPr>
        <w:t xml:space="preserve">) las empresas industriales y comerciales del Estado, únicamente, en la contratación relacionada con el </w:t>
      </w:r>
      <w:r w:rsidRPr="00A75D14">
        <w:rPr>
          <w:rFonts w:ascii="Verdana" w:eastAsia="Calibri" w:hAnsi="Verdana" w:cs="Arial"/>
          <w:i/>
          <w:kern w:val="2"/>
          <w:lang w:val="es-ES" w:eastAsia="es-ES"/>
          <w14:ligatures w14:val="standardContextual"/>
        </w:rPr>
        <w:t>giro ordinario.</w:t>
      </w:r>
      <w:r w:rsidRPr="00A75D14">
        <w:rPr>
          <w:rFonts w:ascii="Verdana" w:eastAsia="Calibri" w:hAnsi="Verdana" w:cs="Arial"/>
          <w:kern w:val="2"/>
          <w:lang w:val="es-ES" w:eastAsia="es-ES"/>
          <w14:ligatures w14:val="standardContextual"/>
        </w:rPr>
        <w:t xml:space="preserve"> Esto significa que, en la contratación asociada a su </w:t>
      </w:r>
      <w:r w:rsidRPr="00A75D14">
        <w:rPr>
          <w:rFonts w:ascii="Verdana" w:eastAsia="Calibri" w:hAnsi="Verdana" w:cs="Arial"/>
          <w:i/>
          <w:kern w:val="2"/>
          <w:lang w:val="es-ES" w:eastAsia="es-ES"/>
          <w14:ligatures w14:val="standardContextual"/>
        </w:rPr>
        <w:t xml:space="preserve">giro ordinario, </w:t>
      </w:r>
      <w:r w:rsidRPr="00A75D14">
        <w:rPr>
          <w:rFonts w:ascii="Verdana" w:eastAsia="Calibri" w:hAnsi="Verdana" w:cs="Arial"/>
          <w:kern w:val="2"/>
          <w:lang w:val="es-ES" w:eastAsia="es-ES"/>
          <w14:ligatures w14:val="standardContextua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5255E119" w14:textId="77777777" w:rsidR="00A9783E" w:rsidRPr="00A75D14" w:rsidRDefault="00A9783E" w:rsidP="00A9783E">
      <w:pPr>
        <w:snapToGrid w:val="0"/>
        <w:spacing w:after="0" w:line="276" w:lineRule="auto"/>
        <w:ind w:left="720"/>
        <w:jc w:val="both"/>
        <w:rPr>
          <w:rFonts w:ascii="Verdana" w:eastAsia="Calibri" w:hAnsi="Verdana" w:cs="Arial"/>
          <w:kern w:val="2"/>
          <w:lang w:val="es-ES" w:eastAsia="es-ES"/>
          <w14:ligatures w14:val="standardContextual"/>
        </w:rPr>
      </w:pPr>
    </w:p>
    <w:p w14:paraId="43A96CD9" w14:textId="77777777" w:rsidR="00A9783E" w:rsidRPr="00A75D14" w:rsidRDefault="00A9783E" w:rsidP="00A9783E">
      <w:pPr>
        <w:numPr>
          <w:ilvl w:val="0"/>
          <w:numId w:val="19"/>
        </w:numPr>
        <w:tabs>
          <w:tab w:val="left" w:pos="0"/>
        </w:tabs>
        <w:snapToGrid w:val="0"/>
        <w:spacing w:after="0" w:line="276" w:lineRule="auto"/>
        <w:jc w:val="both"/>
        <w:rPr>
          <w:rFonts w:ascii="Verdana" w:eastAsia="Arial" w:hAnsi="Verdana" w:cs="Arial"/>
          <w:kern w:val="2"/>
          <w:lang w:val="es-ES_tradnl" w:eastAsia="es-ES_tradnl"/>
          <w14:ligatures w14:val="standardContextual"/>
        </w:rPr>
      </w:pPr>
      <w:r w:rsidRPr="00A75D14">
        <w:rPr>
          <w:rFonts w:ascii="Verdana" w:eastAsia="Calibri" w:hAnsi="Verdana" w:cs="Arial"/>
          <w:bCs/>
          <w:kern w:val="2"/>
          <w:lang w:val="es-ES_tradnl" w:eastAsia="es-ES_tradnl"/>
          <w14:ligatures w14:val="standardContextual"/>
        </w:rPr>
        <w:t xml:space="preserve">Ahora, es importante tener en cuenta que cuando la norma se refiere a la contratación del </w:t>
      </w:r>
      <w:r w:rsidRPr="00A75D14">
        <w:rPr>
          <w:rFonts w:ascii="Verdana" w:eastAsia="Calibri" w:hAnsi="Verdana" w:cs="Arial"/>
          <w:bCs/>
          <w:i/>
          <w:iCs/>
          <w:kern w:val="2"/>
          <w:lang w:val="es-ES_tradnl" w:eastAsia="es-ES_tradnl"/>
          <w14:ligatures w14:val="standardContextual"/>
        </w:rPr>
        <w:t>giro ordinario</w:t>
      </w:r>
      <w:r w:rsidRPr="00A75D14">
        <w:rPr>
          <w:rFonts w:ascii="Verdana" w:eastAsia="Calibri" w:hAnsi="Verdana" w:cs="Arial"/>
          <w:bCs/>
          <w:kern w:val="2"/>
          <w:lang w:val="es-ES_tradnl" w:eastAsia="es-ES_tradnl"/>
          <w14:ligatures w14:val="standardContextual"/>
        </w:rPr>
        <w:t>, emplea un concepto jurídico indeterminado</w:t>
      </w:r>
      <w:r w:rsidRPr="00A75D14">
        <w:rPr>
          <w:rFonts w:ascii="Verdana" w:eastAsia="Aptos" w:hAnsi="Verdana" w:cs="Times New Roman"/>
          <w:kern w:val="2"/>
          <w:vertAlign w:val="superscript"/>
          <w:lang w:val="es-ES_tradnl" w:eastAsia="es-ES_tradnl"/>
          <w14:ligatures w14:val="standardContextual"/>
        </w:rPr>
        <w:footnoteReference w:id="3"/>
      </w:r>
      <w:r w:rsidRPr="00A75D14">
        <w:rPr>
          <w:rFonts w:ascii="Verdana" w:eastAsia="Calibri" w:hAnsi="Verdana" w:cs="Arial"/>
          <w:bCs/>
          <w:kern w:val="2"/>
          <w:lang w:val="es-ES_tradnl" w:eastAsia="es-ES_tradnl"/>
          <w14:ligatures w14:val="standardContextual"/>
        </w:rPr>
        <w:t xml:space="preserve">. </w:t>
      </w:r>
      <w:r w:rsidRPr="00A75D14">
        <w:rPr>
          <w:rFonts w:ascii="Verdana" w:eastAsia="Arial" w:hAnsi="Verdana" w:cs="Arial"/>
          <w:kern w:val="2"/>
          <w:lang w:val="es-ES_tradnl" w:eastAsia="es-ES_tradnl"/>
          <w14:ligatures w14:val="standardContextual"/>
        </w:rPr>
        <w:t xml:space="preserve">Un concepto adquiere esta denominación en el Derecho </w:t>
      </w:r>
      <w:r w:rsidRPr="00A75D14">
        <w:rPr>
          <w:rFonts w:ascii="Verdana" w:eastAsia="Arial" w:hAnsi="Verdana" w:cs="Arial"/>
          <w:kern w:val="2"/>
          <w:lang w:val="es-ES_tradnl" w:eastAsia="es-ES_tradnl"/>
          <w14:ligatures w14:val="standardContextual"/>
        </w:rPr>
        <w:lastRenderedPageBreak/>
        <w:t xml:space="preserve">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giro ordinario de sus negocios. </w:t>
      </w:r>
    </w:p>
    <w:p w14:paraId="55C1A8D5" w14:textId="77777777" w:rsidR="00A9783E" w:rsidRPr="00A75D14" w:rsidRDefault="00A9783E" w:rsidP="00A9783E">
      <w:pPr>
        <w:tabs>
          <w:tab w:val="left" w:pos="0"/>
        </w:tabs>
        <w:snapToGrid w:val="0"/>
        <w:spacing w:after="0" w:line="276" w:lineRule="auto"/>
        <w:jc w:val="both"/>
        <w:rPr>
          <w:rFonts w:ascii="Verdana" w:eastAsia="Arial" w:hAnsi="Verdana" w:cs="Arial"/>
          <w:kern w:val="2"/>
          <w:lang w:val="es-ES_tradnl" w:eastAsia="es-ES_tradnl"/>
          <w14:ligatures w14:val="standardContextual"/>
        </w:rPr>
      </w:pPr>
    </w:p>
    <w:p w14:paraId="0176D1B8" w14:textId="77777777" w:rsidR="00A9783E" w:rsidRPr="00A75D14" w:rsidRDefault="00A9783E" w:rsidP="00A9783E">
      <w:pPr>
        <w:numPr>
          <w:ilvl w:val="0"/>
          <w:numId w:val="19"/>
        </w:numPr>
        <w:tabs>
          <w:tab w:val="left" w:pos="0"/>
        </w:tabs>
        <w:snapToGrid w:val="0"/>
        <w:spacing w:after="0" w:line="276" w:lineRule="auto"/>
        <w:jc w:val="both"/>
        <w:rPr>
          <w:rFonts w:ascii="Verdana" w:eastAsia="Calibri" w:hAnsi="Verdana" w:cs="Arial"/>
          <w:bCs/>
          <w:kern w:val="2"/>
          <w:lang w:val="es-ES_tradnl" w:eastAsia="es-ES_tradnl"/>
          <w14:ligatures w14:val="standardContextual"/>
        </w:rPr>
      </w:pPr>
      <w:r w:rsidRPr="00A75D14">
        <w:rPr>
          <w:rFonts w:ascii="Verdana" w:eastAsia="Calibri" w:hAnsi="Verdana" w:cs="Arial"/>
          <w:bCs/>
          <w:kern w:val="2"/>
          <w:lang w:val="es-ES_tradnl" w:eastAsia="es-ES_tradnl"/>
          <w14:ligatures w14:val="standardContextua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A75D14">
        <w:rPr>
          <w:rFonts w:ascii="Verdana" w:eastAsia="Calibri" w:hAnsi="Verdana" w:cs="Arial"/>
          <w:bCs/>
          <w:i/>
          <w:iCs/>
          <w:kern w:val="2"/>
          <w:lang w:val="es-ES_tradnl" w:eastAsia="es-ES_tradnl"/>
          <w14:ligatures w14:val="standardContextual"/>
        </w:rPr>
        <w:t xml:space="preserve">giro ordinario </w:t>
      </w:r>
      <w:r w:rsidRPr="00A75D14">
        <w:rPr>
          <w:rFonts w:ascii="Verdana" w:eastAsia="Calibri" w:hAnsi="Verdana" w:cs="Arial"/>
          <w:bCs/>
          <w:kern w:val="2"/>
          <w:lang w:val="es-ES_tradnl" w:eastAsia="es-ES_tradnl"/>
          <w14:ligatures w14:val="standardContextual"/>
        </w:rPr>
        <w:t>incluida en la redacción original del parágrafo 1 del artículo 32 de la Ley 80 de 1993</w:t>
      </w:r>
      <w:r w:rsidRPr="00A75D14">
        <w:rPr>
          <w:rFonts w:ascii="Verdana" w:eastAsia="Aptos" w:hAnsi="Verdana" w:cs="Times New Roman"/>
          <w:kern w:val="2"/>
          <w:vertAlign w:val="superscript"/>
          <w:lang w:val="es-ES_tradnl" w:eastAsia="es-ES_tradnl"/>
          <w14:ligatures w14:val="standardContextual"/>
        </w:rPr>
        <w:footnoteReference w:id="4"/>
      </w:r>
      <w:r w:rsidRPr="00A75D14">
        <w:rPr>
          <w:rFonts w:ascii="Verdana" w:eastAsia="Calibri" w:hAnsi="Verdana" w:cs="Arial"/>
          <w:bCs/>
          <w:kern w:val="2"/>
          <w:lang w:val="es-ES_tradnl" w:eastAsia="es-ES_tradnl"/>
          <w14:ligatures w14:val="standardContextual"/>
        </w:rPr>
        <w:t xml:space="preserve">, la Sección Tercera manifestó lo siguiente: </w:t>
      </w:r>
    </w:p>
    <w:p w14:paraId="46582742" w14:textId="77777777" w:rsidR="00A9783E" w:rsidRPr="00A75D14" w:rsidRDefault="00A9783E" w:rsidP="00A9783E">
      <w:pPr>
        <w:tabs>
          <w:tab w:val="left" w:pos="0"/>
        </w:tabs>
        <w:snapToGrid w:val="0"/>
        <w:spacing w:after="0" w:line="276" w:lineRule="auto"/>
        <w:ind w:left="720"/>
        <w:jc w:val="both"/>
        <w:rPr>
          <w:rFonts w:ascii="Verdana" w:eastAsia="Calibri" w:hAnsi="Verdana" w:cs="Arial"/>
          <w:bCs/>
          <w:kern w:val="2"/>
          <w:lang w:val="es-ES_tradnl" w:eastAsia="es-ES_tradnl"/>
          <w14:ligatures w14:val="standardContextual"/>
        </w:rPr>
      </w:pPr>
    </w:p>
    <w:p w14:paraId="3EE6D749" w14:textId="77777777" w:rsidR="00A9783E" w:rsidRPr="00A75D14" w:rsidRDefault="00A9783E" w:rsidP="00A9783E">
      <w:pPr>
        <w:snapToGrid w:val="0"/>
        <w:spacing w:after="0" w:line="240" w:lineRule="auto"/>
        <w:ind w:left="720" w:right="709"/>
        <w:jc w:val="both"/>
        <w:rPr>
          <w:rFonts w:ascii="Verdana" w:eastAsia="Times New Roman" w:hAnsi="Verdana" w:cs="Arial"/>
          <w:kern w:val="2"/>
          <w:sz w:val="21"/>
          <w:szCs w:val="21"/>
          <w:lang w:val="es-ES" w:eastAsia="es-CO"/>
          <w14:ligatures w14:val="standardContextual"/>
        </w:rPr>
      </w:pPr>
      <w:r w:rsidRPr="7790C891">
        <w:rPr>
          <w:rFonts w:ascii="Verdana" w:eastAsia="Times New Roman" w:hAnsi="Verdana" w:cs="Arial"/>
          <w:kern w:val="2"/>
          <w:sz w:val="21"/>
          <w:szCs w:val="21"/>
          <w:lang w:val="es-ES" w:eastAsia="es-ES"/>
          <w14:ligatures w14:val="standardContextual"/>
        </w:rPr>
        <w:t>“[E]l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Siendo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7790C891">
        <w:rPr>
          <w:rFonts w:ascii="Verdana" w:eastAsia="Aptos" w:hAnsi="Verdana" w:cs="Times New Roman"/>
          <w:kern w:val="2"/>
          <w:sz w:val="21"/>
          <w:szCs w:val="21"/>
          <w:vertAlign w:val="superscript"/>
          <w:lang w:val="es-ES" w:eastAsia="es-ES"/>
          <w14:ligatures w14:val="standardContextual"/>
        </w:rPr>
        <w:footnoteReference w:id="5"/>
      </w:r>
      <w:r w:rsidRPr="7790C891">
        <w:rPr>
          <w:rFonts w:ascii="Verdana" w:eastAsia="Times New Roman" w:hAnsi="Verdana" w:cs="Arial"/>
          <w:kern w:val="2"/>
          <w:sz w:val="21"/>
          <w:szCs w:val="21"/>
          <w:lang w:val="es-ES" w:eastAsia="es-ES"/>
          <w14:ligatures w14:val="standardContextual"/>
        </w:rPr>
        <w:t>.</w:t>
      </w:r>
    </w:p>
    <w:p w14:paraId="38DDD553" w14:textId="77777777" w:rsidR="00A9783E" w:rsidRPr="00A75D14" w:rsidRDefault="00A9783E" w:rsidP="00A9783E">
      <w:pPr>
        <w:tabs>
          <w:tab w:val="left" w:pos="0"/>
        </w:tabs>
        <w:snapToGrid w:val="0"/>
        <w:spacing w:after="0" w:line="276" w:lineRule="auto"/>
        <w:ind w:left="720"/>
        <w:jc w:val="both"/>
        <w:rPr>
          <w:rFonts w:ascii="Verdana" w:eastAsia="Calibri" w:hAnsi="Verdana" w:cs="Arial"/>
          <w:bCs/>
          <w:i/>
          <w:iCs/>
          <w:kern w:val="2"/>
          <w:lang w:val="es-ES_tradnl" w:eastAsia="es-ES_tradnl"/>
          <w14:ligatures w14:val="standardContextual"/>
        </w:rPr>
      </w:pPr>
    </w:p>
    <w:p w14:paraId="314DA7C5" w14:textId="77777777" w:rsidR="00A9783E" w:rsidRPr="00A75D14" w:rsidRDefault="00A9783E" w:rsidP="00A9783E">
      <w:pPr>
        <w:numPr>
          <w:ilvl w:val="0"/>
          <w:numId w:val="19"/>
        </w:numPr>
        <w:tabs>
          <w:tab w:val="left" w:pos="0"/>
        </w:tabs>
        <w:snapToGrid w:val="0"/>
        <w:spacing w:after="0" w:line="276" w:lineRule="auto"/>
        <w:jc w:val="both"/>
        <w:rPr>
          <w:rFonts w:ascii="Verdana" w:eastAsia="Calibri" w:hAnsi="Verdana" w:cs="Arial"/>
          <w:bCs/>
          <w:kern w:val="2"/>
          <w:lang w:val="es-ES_tradnl" w:eastAsia="es-ES_tradnl"/>
          <w14:ligatures w14:val="standardContextual"/>
        </w:rPr>
      </w:pPr>
      <w:r w:rsidRPr="00A75D14">
        <w:rPr>
          <w:rFonts w:ascii="Verdana" w:eastAsia="Calibri" w:hAnsi="Verdana" w:cs="Arial"/>
          <w:bCs/>
          <w:kern w:val="2"/>
          <w:lang w:val="es-ES_tradnl" w:eastAsia="es-ES_tradnl"/>
          <w14:ligatures w14:val="standardContextual"/>
        </w:rPr>
        <w:t xml:space="preserve">En el mismo sentido se pronunció el Alto Tribunal de lo Contencioso Administrativo, reiterando las anteriores consideraciones, al expresar que: </w:t>
      </w:r>
    </w:p>
    <w:p w14:paraId="0B2A0983" w14:textId="77777777" w:rsidR="00A9783E" w:rsidRPr="00A75D14" w:rsidRDefault="00A9783E" w:rsidP="00A9783E">
      <w:pPr>
        <w:tabs>
          <w:tab w:val="left" w:pos="0"/>
        </w:tabs>
        <w:snapToGrid w:val="0"/>
        <w:spacing w:after="0" w:line="276" w:lineRule="auto"/>
        <w:ind w:left="720" w:right="709"/>
        <w:jc w:val="both"/>
        <w:rPr>
          <w:rFonts w:ascii="Verdana" w:eastAsia="Calibri" w:hAnsi="Verdana" w:cs="Arial"/>
          <w:bCs/>
          <w:kern w:val="2"/>
          <w:lang w:val="es-ES_tradnl" w:eastAsia="es-ES_tradnl"/>
          <w14:ligatures w14:val="standardContextual"/>
        </w:rPr>
      </w:pPr>
    </w:p>
    <w:p w14:paraId="66BB8B01" w14:textId="77777777" w:rsidR="00A9783E" w:rsidRPr="00A75D14" w:rsidRDefault="00A9783E" w:rsidP="00A9783E">
      <w:pPr>
        <w:snapToGrid w:val="0"/>
        <w:spacing w:after="0" w:line="240" w:lineRule="auto"/>
        <w:ind w:left="720" w:right="709"/>
        <w:jc w:val="both"/>
        <w:rPr>
          <w:rFonts w:ascii="Verdana" w:eastAsia="Calibri" w:hAnsi="Verdana" w:cs="Arial"/>
          <w:kern w:val="2"/>
          <w:sz w:val="21"/>
          <w:szCs w:val="21"/>
          <w:lang w:val="es-ES" w:eastAsia="es-ES"/>
          <w14:ligatures w14:val="standardContextual"/>
        </w:rPr>
      </w:pPr>
      <w:r w:rsidRPr="00A75D14">
        <w:rPr>
          <w:rFonts w:ascii="Verdana" w:eastAsia="Calibri" w:hAnsi="Verdana" w:cs="Arial"/>
          <w:kern w:val="2"/>
          <w:sz w:val="21"/>
          <w:szCs w:val="21"/>
          <w:lang w:val="es-ES" w:eastAsia="es-ES"/>
          <w14:ligatures w14:val="standardContextua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p w14:paraId="43D089D8" w14:textId="77777777" w:rsidR="00A9783E" w:rsidRPr="00A75D14" w:rsidRDefault="00A9783E" w:rsidP="00A9783E">
      <w:pPr>
        <w:tabs>
          <w:tab w:val="left" w:pos="0"/>
        </w:tabs>
        <w:snapToGrid w:val="0"/>
        <w:spacing w:after="0" w:line="240" w:lineRule="auto"/>
        <w:ind w:left="720" w:right="709"/>
        <w:jc w:val="both"/>
        <w:rPr>
          <w:rFonts w:ascii="Verdana" w:eastAsia="Calibri" w:hAnsi="Verdana" w:cs="Arial"/>
          <w:bCs/>
          <w:kern w:val="2"/>
          <w:sz w:val="21"/>
          <w:szCs w:val="21"/>
          <w:lang w:val="es-ES_tradnl" w:eastAsia="es-ES_tradnl"/>
          <w14:ligatures w14:val="standardContextual"/>
        </w:rPr>
      </w:pPr>
    </w:p>
    <w:p w14:paraId="3244ED33" w14:textId="77777777" w:rsidR="00A9783E" w:rsidRPr="00A75D14" w:rsidRDefault="00A9783E" w:rsidP="00A9783E">
      <w:pPr>
        <w:snapToGrid w:val="0"/>
        <w:spacing w:after="0" w:line="240" w:lineRule="auto"/>
        <w:ind w:left="720" w:right="709"/>
        <w:jc w:val="both"/>
        <w:rPr>
          <w:rFonts w:ascii="Verdana" w:eastAsia="Calibri" w:hAnsi="Verdana" w:cs="Arial"/>
          <w:kern w:val="2"/>
          <w:sz w:val="21"/>
          <w:szCs w:val="21"/>
          <w:lang w:val="es-ES" w:eastAsia="es-ES"/>
          <w14:ligatures w14:val="standardContextual"/>
        </w:rPr>
      </w:pPr>
      <w:r w:rsidRPr="00A75D14">
        <w:rPr>
          <w:rFonts w:ascii="Verdana" w:eastAsia="Calibri" w:hAnsi="Verdana" w:cs="Arial"/>
          <w:kern w:val="2"/>
          <w:sz w:val="21"/>
          <w:szCs w:val="21"/>
          <w:lang w:val="es-ES" w:eastAsia="es-ES"/>
          <w14:ligatures w14:val="standardContextual"/>
        </w:rPr>
        <w:t xml:space="preserve">Así las cosas, es razonable que el concepto de “giro ordinario de los negocios” sea compatible, de cara al sub lite, con el objeto y funciones de las empresas industriales y comerciales del estado –EICE– de carácter financiero, como lo es </w:t>
      </w:r>
      <w:proofErr w:type="spellStart"/>
      <w:r w:rsidRPr="00A75D14">
        <w:rPr>
          <w:rFonts w:ascii="Verdana" w:eastAsia="Calibri" w:hAnsi="Verdana" w:cs="Arial"/>
          <w:kern w:val="2"/>
          <w:sz w:val="21"/>
          <w:szCs w:val="21"/>
          <w:lang w:val="es-ES" w:eastAsia="es-ES"/>
          <w14:ligatures w14:val="standardContextual"/>
        </w:rPr>
        <w:t>Fonade</w:t>
      </w:r>
      <w:proofErr w:type="spellEnd"/>
      <w:r w:rsidRPr="00A75D14">
        <w:rPr>
          <w:rFonts w:ascii="Verdana" w:eastAsia="Calibri" w:hAnsi="Verdana" w:cs="Arial"/>
          <w:kern w:val="2"/>
          <w:sz w:val="21"/>
          <w:szCs w:val="21"/>
          <w:lang w:val="es-ES" w:eastAsia="es-ES"/>
          <w14:ligatures w14:val="standardContextual"/>
        </w:rPr>
        <w:t xml:space="preserve">, dado que para el desarrollo de su ejercicio comercial ha sido autorizada para actuar en términos equivalentes a los particulares, de manera que al incursionar en el mercado como un partícipe más, el desarrollo de su gestión está atada al giro ordinario de tales negocios, en los mismos términos en los que se desarrolla el objeto social de las empresas privadas.   </w:t>
      </w:r>
    </w:p>
    <w:p w14:paraId="194C8D2E" w14:textId="77777777" w:rsidR="00A9783E" w:rsidRPr="00A75D14" w:rsidRDefault="00A9783E" w:rsidP="00A9783E">
      <w:pPr>
        <w:tabs>
          <w:tab w:val="left" w:pos="0"/>
        </w:tabs>
        <w:snapToGrid w:val="0"/>
        <w:spacing w:after="0" w:line="240" w:lineRule="auto"/>
        <w:ind w:left="720" w:right="709"/>
        <w:jc w:val="both"/>
        <w:rPr>
          <w:rFonts w:ascii="Verdana" w:eastAsia="Calibri" w:hAnsi="Verdana" w:cs="Arial"/>
          <w:bCs/>
          <w:kern w:val="2"/>
          <w:sz w:val="21"/>
          <w:szCs w:val="21"/>
          <w:lang w:val="es-ES_tradnl" w:eastAsia="es-ES_tradnl"/>
          <w14:ligatures w14:val="standardContextual"/>
        </w:rPr>
      </w:pPr>
    </w:p>
    <w:p w14:paraId="28D0D469" w14:textId="77777777" w:rsidR="00A9783E" w:rsidRPr="00A75D14" w:rsidRDefault="00A9783E" w:rsidP="00A9783E">
      <w:pPr>
        <w:tabs>
          <w:tab w:val="left" w:pos="0"/>
        </w:tabs>
        <w:snapToGrid w:val="0"/>
        <w:spacing w:after="0" w:line="240" w:lineRule="auto"/>
        <w:ind w:left="720" w:right="709"/>
        <w:jc w:val="both"/>
        <w:rPr>
          <w:rFonts w:ascii="Verdana" w:eastAsia="Calibri" w:hAnsi="Verdana" w:cs="Arial"/>
          <w:bCs/>
          <w:kern w:val="2"/>
          <w:sz w:val="21"/>
          <w:szCs w:val="21"/>
          <w:lang w:val="es-ES_tradnl" w:eastAsia="es-ES_tradnl"/>
          <w14:ligatures w14:val="standardContextual"/>
        </w:rPr>
      </w:pPr>
      <w:r w:rsidRPr="00A75D14">
        <w:rPr>
          <w:rFonts w:ascii="Verdana" w:eastAsia="Calibri" w:hAnsi="Verdana" w:cs="Arial"/>
          <w:bCs/>
          <w:kern w:val="2"/>
          <w:sz w:val="21"/>
          <w:szCs w:val="21"/>
          <w:lang w:val="es-ES_tradnl" w:eastAsia="es-ES_tradnl"/>
          <w14:ligatures w14:val="standardContextual"/>
        </w:rPr>
        <w:t>7.8. De otra parte, y frente a las actividades conexas o complementarias al objeto social, existe plena compatibilidad respecto de los actos y contratos que puede desarrollar una EICE bajo el giro ordinario de sus negocios pues, al tenor de lo normado en el artículo 86 de la Ley 489 de 1998, dispuso el legislador que además de las actividades y funciones previstas en la ley, en las normas de creación y en sus estatutos internos, la empresas industriales y comerciales del estado están facultadas para “desarrollar y ejecutar todos aquellos que sean necesarios para el cumplimiento del objeto asignado”, previsión que ratifica la aplicación equivalente del giro ordinario de los negocios a las EICE, en sus dos categorías de actuación –objeto principal y actividades conexas”</w:t>
      </w:r>
      <w:r w:rsidRPr="00A75D14">
        <w:rPr>
          <w:rFonts w:ascii="Verdana" w:eastAsia="Aptos" w:hAnsi="Verdana" w:cs="Times New Roman"/>
          <w:kern w:val="2"/>
          <w:sz w:val="21"/>
          <w:szCs w:val="21"/>
          <w:vertAlign w:val="superscript"/>
          <w:lang w:val="es-ES_tradnl" w:eastAsia="es-ES_tradnl"/>
          <w14:ligatures w14:val="standardContextual"/>
        </w:rPr>
        <w:footnoteReference w:id="6"/>
      </w:r>
      <w:r w:rsidRPr="00A75D14">
        <w:rPr>
          <w:rFonts w:ascii="Verdana" w:eastAsia="Calibri" w:hAnsi="Verdana" w:cs="Arial"/>
          <w:bCs/>
          <w:kern w:val="2"/>
          <w:sz w:val="21"/>
          <w:szCs w:val="21"/>
          <w:lang w:val="es-ES_tradnl" w:eastAsia="es-ES_tradnl"/>
          <w14:ligatures w14:val="standardContextual"/>
        </w:rPr>
        <w:t xml:space="preserve">. </w:t>
      </w:r>
    </w:p>
    <w:p w14:paraId="6E718A8C" w14:textId="77777777" w:rsidR="00A9783E" w:rsidRPr="00A75D14" w:rsidRDefault="00A9783E" w:rsidP="00A9783E">
      <w:pPr>
        <w:tabs>
          <w:tab w:val="left" w:pos="0"/>
        </w:tabs>
        <w:snapToGrid w:val="0"/>
        <w:spacing w:after="0" w:line="276" w:lineRule="auto"/>
        <w:ind w:left="720"/>
        <w:jc w:val="both"/>
        <w:rPr>
          <w:rFonts w:ascii="Verdana" w:eastAsia="Calibri" w:hAnsi="Verdana" w:cs="Arial"/>
          <w:bCs/>
          <w:kern w:val="2"/>
          <w:lang w:val="es-ES_tradnl" w:eastAsia="es-ES_tradnl"/>
          <w14:ligatures w14:val="standardContextual"/>
        </w:rPr>
      </w:pPr>
      <w:r w:rsidRPr="00A75D14">
        <w:rPr>
          <w:rFonts w:ascii="Verdana" w:eastAsia="Calibri" w:hAnsi="Verdana" w:cs="Arial"/>
          <w:bCs/>
          <w:kern w:val="2"/>
          <w:lang w:val="es-ES_tradnl" w:eastAsia="es-ES_tradnl"/>
          <w14:ligatures w14:val="standardContextual"/>
        </w:rPr>
        <w:tab/>
      </w:r>
    </w:p>
    <w:p w14:paraId="14DD04DD" w14:textId="77777777" w:rsidR="00A9783E" w:rsidRPr="00A75D14" w:rsidRDefault="00A9783E" w:rsidP="00A9783E">
      <w:pPr>
        <w:numPr>
          <w:ilvl w:val="0"/>
          <w:numId w:val="19"/>
        </w:numPr>
        <w:snapToGrid w:val="0"/>
        <w:spacing w:after="0" w:line="276" w:lineRule="auto"/>
        <w:jc w:val="both"/>
        <w:rPr>
          <w:rFonts w:ascii="Verdana" w:eastAsia="Calibri" w:hAnsi="Verdana" w:cs="Arial"/>
          <w:kern w:val="2"/>
          <w:lang w:val="es-ES" w:eastAsia="es-ES"/>
          <w14:ligatures w14:val="standardContextual"/>
        </w:rPr>
      </w:pPr>
      <w:r w:rsidRPr="7790C891">
        <w:rPr>
          <w:rFonts w:ascii="Verdana" w:eastAsia="Calibri" w:hAnsi="Verdana" w:cs="Arial"/>
          <w:kern w:val="2"/>
          <w:lang w:val="es-ES" w:eastAsia="es-ES"/>
          <w14:ligatures w14:val="standardContextual"/>
        </w:rPr>
        <w:lastRenderedPageBreak/>
        <w:t xml:space="preserve">Conforme con lo expresado en estas providencias, el </w:t>
      </w:r>
      <w:r w:rsidRPr="7790C891">
        <w:rPr>
          <w:rFonts w:ascii="Verdana" w:eastAsia="Calibri" w:hAnsi="Verdana" w:cs="Arial"/>
          <w:i/>
          <w:iCs/>
          <w:kern w:val="2"/>
          <w:lang w:val="es-ES" w:eastAsia="es-ES"/>
          <w14:ligatures w14:val="standardContextual"/>
        </w:rPr>
        <w:t xml:space="preserve">giro ordinario </w:t>
      </w:r>
      <w:r w:rsidRPr="7790C891">
        <w:rPr>
          <w:rFonts w:ascii="Verdana" w:eastAsia="Calibri" w:hAnsi="Verdana" w:cs="Arial"/>
          <w:kern w:val="2"/>
          <w:lang w:val="es-ES" w:eastAsia="es-ES"/>
          <w14:ligatures w14:val="standardContextual"/>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7790C891">
        <w:rPr>
          <w:rFonts w:ascii="Verdana" w:eastAsia="Times New Roman" w:hAnsi="Verdana" w:cs="Arial"/>
          <w:kern w:val="2"/>
          <w:lang w:val="es-ES" w:eastAsia="es-ES"/>
          <w14:ligatures w14:val="standardContextual"/>
        </w:rPr>
        <w:t>s]e</w:t>
      </w:r>
      <w:r w:rsidRPr="7790C891">
        <w:rPr>
          <w:rFonts w:ascii="Verdana" w:eastAsia="Calibri" w:hAnsi="Verdana" w:cs="Arial"/>
          <w:kern w:val="2"/>
          <w:lang w:val="es-ES" w:eastAsia="es-ES"/>
          <w14:ligatures w14:val="standardContextual"/>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7790C891">
        <w:rPr>
          <w:rFonts w:ascii="Verdana" w:eastAsia="Aptos" w:hAnsi="Verdana" w:cs="Times New Roman"/>
          <w:kern w:val="2"/>
          <w:vertAlign w:val="superscript"/>
          <w:lang w:val="es-ES" w:eastAsia="es-ES"/>
          <w14:ligatures w14:val="standardContextual"/>
        </w:rPr>
        <w:footnoteReference w:id="7"/>
      </w:r>
      <w:r w:rsidRPr="7790C891">
        <w:rPr>
          <w:rFonts w:ascii="Verdana" w:eastAsia="Calibri" w:hAnsi="Verdana" w:cs="Arial"/>
          <w:kern w:val="2"/>
          <w:lang w:val="es-ES" w:eastAsia="es-ES"/>
          <w14:ligatures w14:val="standardContextual"/>
        </w:rPr>
        <w:t xml:space="preserve">. </w:t>
      </w:r>
    </w:p>
    <w:p w14:paraId="7E104A41" w14:textId="77777777" w:rsidR="00A9783E" w:rsidRPr="00A75D14" w:rsidRDefault="00A9783E" w:rsidP="00A9783E">
      <w:pPr>
        <w:tabs>
          <w:tab w:val="left" w:pos="0"/>
        </w:tabs>
        <w:snapToGrid w:val="0"/>
        <w:spacing w:after="0" w:line="276" w:lineRule="auto"/>
        <w:ind w:left="720"/>
        <w:jc w:val="both"/>
        <w:rPr>
          <w:rFonts w:ascii="Verdana" w:eastAsia="Calibri" w:hAnsi="Verdana" w:cs="Arial"/>
          <w:bCs/>
          <w:kern w:val="2"/>
          <w:lang w:val="es-ES_tradnl" w:eastAsia="es-ES_tradnl"/>
          <w14:ligatures w14:val="standardContextual"/>
        </w:rPr>
      </w:pPr>
    </w:p>
    <w:p w14:paraId="51FD93C0" w14:textId="77777777" w:rsidR="00A9783E" w:rsidRPr="00A75D14" w:rsidRDefault="00A9783E" w:rsidP="00A9783E">
      <w:pPr>
        <w:numPr>
          <w:ilvl w:val="0"/>
          <w:numId w:val="19"/>
        </w:numPr>
        <w:tabs>
          <w:tab w:val="left" w:pos="0"/>
        </w:tabs>
        <w:snapToGrid w:val="0"/>
        <w:spacing w:after="0" w:line="276" w:lineRule="auto"/>
        <w:jc w:val="both"/>
        <w:rPr>
          <w:rFonts w:ascii="Verdana" w:eastAsia="Calibri" w:hAnsi="Verdana" w:cs="Arial"/>
          <w:bCs/>
          <w:kern w:val="2"/>
          <w:lang w:val="es-ES_tradnl" w:eastAsia="es-ES_tradnl"/>
          <w14:ligatures w14:val="standardContextual"/>
        </w:rPr>
      </w:pPr>
      <w:r w:rsidRPr="00A75D14">
        <w:rPr>
          <w:rFonts w:ascii="Verdana" w:eastAsia="Calibri" w:hAnsi="Verdana" w:cs="Arial"/>
          <w:bCs/>
          <w:kern w:val="2"/>
          <w:lang w:val="es-ES_tradnl" w:eastAsia="es-ES_tradnl"/>
          <w14:ligatures w14:val="standardContextual"/>
        </w:rPr>
        <w:t xml:space="preserve">De otra parte, la doctrina societaria también se ha encargado de definir el </w:t>
      </w:r>
      <w:r w:rsidRPr="00A75D14">
        <w:rPr>
          <w:rFonts w:ascii="Verdana" w:eastAsia="Calibri" w:hAnsi="Verdana" w:cs="Arial"/>
          <w:bCs/>
          <w:i/>
          <w:iCs/>
          <w:kern w:val="2"/>
          <w:lang w:val="es-ES_tradnl" w:eastAsia="es-ES_tradnl"/>
          <w14:ligatures w14:val="standardContextual"/>
        </w:rPr>
        <w:t>objeto social</w:t>
      </w:r>
      <w:r w:rsidRPr="00A75D14">
        <w:rPr>
          <w:rFonts w:ascii="Verdana" w:eastAsia="Calibri" w:hAnsi="Verdana" w:cs="Arial"/>
          <w:bCs/>
          <w:kern w:val="2"/>
          <w:lang w:val="es-ES_tradnl" w:eastAsia="es-ES_tradnl"/>
          <w14:ligatures w14:val="standardContextual"/>
        </w:rPr>
        <w:t xml:space="preserve">, así como su relación con el concepto de </w:t>
      </w:r>
      <w:r w:rsidRPr="00A75D14">
        <w:rPr>
          <w:rFonts w:ascii="Verdana" w:eastAsia="Calibri" w:hAnsi="Verdana" w:cs="Arial"/>
          <w:bCs/>
          <w:i/>
          <w:iCs/>
          <w:kern w:val="2"/>
          <w:lang w:val="es-ES_tradnl" w:eastAsia="es-ES_tradnl"/>
          <w14:ligatures w14:val="standardContextual"/>
        </w:rPr>
        <w:t>giro ordinario</w:t>
      </w:r>
      <w:r w:rsidRPr="00A75D14">
        <w:rPr>
          <w:rFonts w:ascii="Verdana" w:eastAsia="Calibri" w:hAnsi="Verdana" w:cs="Arial"/>
          <w:bCs/>
          <w:kern w:val="2"/>
          <w:lang w:val="es-ES_tradnl" w:eastAsia="es-ES_tradnl"/>
          <w14:ligatures w14:val="standardContextual"/>
        </w:rPr>
        <w:t>. Al respecto, la Superintendencia de Sociedades, citando doctrina autorizada en la materia, ha señalado:</w:t>
      </w:r>
    </w:p>
    <w:p w14:paraId="081A1B93" w14:textId="77777777" w:rsidR="00A9783E" w:rsidRPr="00A75D14" w:rsidRDefault="00A9783E" w:rsidP="00A9783E">
      <w:pPr>
        <w:tabs>
          <w:tab w:val="left" w:pos="0"/>
        </w:tabs>
        <w:snapToGrid w:val="0"/>
        <w:spacing w:after="0" w:line="240" w:lineRule="auto"/>
        <w:ind w:left="720"/>
        <w:jc w:val="both"/>
        <w:rPr>
          <w:rFonts w:ascii="Verdana" w:eastAsia="Calibri" w:hAnsi="Verdana" w:cs="Arial"/>
          <w:bCs/>
          <w:kern w:val="2"/>
          <w:sz w:val="21"/>
          <w:szCs w:val="21"/>
          <w:lang w:val="es-ES_tradnl" w:eastAsia="es-ES_tradnl"/>
          <w14:ligatures w14:val="standardContextual"/>
        </w:rPr>
      </w:pPr>
    </w:p>
    <w:p w14:paraId="6CA07C50" w14:textId="77777777" w:rsidR="00A9783E" w:rsidRPr="00A75D14" w:rsidRDefault="00A9783E" w:rsidP="00A9783E">
      <w:pPr>
        <w:snapToGrid w:val="0"/>
        <w:spacing w:after="0" w:line="240" w:lineRule="auto"/>
        <w:ind w:left="720" w:right="709"/>
        <w:jc w:val="both"/>
        <w:rPr>
          <w:rFonts w:ascii="Verdana" w:eastAsia="Times New Roman" w:hAnsi="Verdana" w:cs="Arial"/>
          <w:kern w:val="2"/>
          <w:sz w:val="21"/>
          <w:szCs w:val="21"/>
          <w:lang w:val="es-ES" w:eastAsia="es-ES"/>
          <w14:ligatures w14:val="standardContextual"/>
        </w:rPr>
      </w:pPr>
      <w:r w:rsidRPr="00A75D14">
        <w:rPr>
          <w:rFonts w:ascii="Verdana" w:eastAsia="Times New Roman" w:hAnsi="Verdana" w:cs="Arial"/>
          <w:kern w:val="2"/>
          <w:sz w:val="21"/>
          <w:szCs w:val="21"/>
          <w:lang w:val="es-ES" w:eastAsia="es-ES"/>
          <w14:ligatures w14:val="standardContextual"/>
        </w:rPr>
        <w:t>“Si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p w14:paraId="63CE05D1" w14:textId="77777777" w:rsidR="00A9783E" w:rsidRPr="00A75D14" w:rsidRDefault="00A9783E" w:rsidP="00A9783E">
      <w:pPr>
        <w:tabs>
          <w:tab w:val="left" w:pos="0"/>
        </w:tabs>
        <w:snapToGrid w:val="0"/>
        <w:spacing w:after="0" w:line="240" w:lineRule="auto"/>
        <w:ind w:left="720" w:right="709"/>
        <w:jc w:val="both"/>
        <w:rPr>
          <w:rFonts w:ascii="Verdana" w:eastAsia="Calibri" w:hAnsi="Verdana" w:cs="Arial"/>
          <w:bCs/>
          <w:kern w:val="2"/>
          <w:sz w:val="21"/>
          <w:szCs w:val="21"/>
          <w:lang w:val="es-ES_tradnl" w:eastAsia="es-ES_tradnl"/>
          <w14:ligatures w14:val="standardContextual"/>
        </w:rPr>
      </w:pPr>
      <w:r w:rsidRPr="00A75D14">
        <w:rPr>
          <w:rFonts w:ascii="Verdana" w:eastAsia="Times New Roman" w:hAnsi="Verdana" w:cs="Arial"/>
          <w:kern w:val="2"/>
          <w:sz w:val="21"/>
          <w:szCs w:val="21"/>
          <w:lang w:val="es-ES_tradnl" w:eastAsia="es-ES_tradnl"/>
          <w14:ligatures w14:val="standardContextual"/>
        </w:rPr>
        <w:t xml:space="preserve">Advierte el profesor GAVIRIA GUTIÉRREZ (Lecciones de Derecho Comercial, Biblioteca Jurídica DIKE, Medellín, 1987, Pág. 251) que "el objeto social tiene un significado de mayor amplitud que el giro ordinario, pues aquel comprende cuanto acto sea necesario o conveniente para realizar el fin social propuesto, ya sea de simple </w:t>
      </w:r>
      <w:r w:rsidRPr="00A75D14">
        <w:rPr>
          <w:rFonts w:ascii="Verdana" w:eastAsia="Times New Roman" w:hAnsi="Verdana" w:cs="Arial"/>
          <w:kern w:val="2"/>
          <w:sz w:val="21"/>
          <w:szCs w:val="21"/>
          <w:lang w:val="es-ES_tradnl" w:eastAsia="es-ES_tradnl"/>
          <w14:ligatures w14:val="standardContextual"/>
        </w:rPr>
        <w:lastRenderedPageBreak/>
        <w:t>gestión ordinaria, como la compra de materias primas y la venta de productos elaborados, ya de gestión extraordinaria, como un traslado de las instalaciones industriales, un despido masivo, un cambio de marcas y demás signos distintivos", de lo cual puede deducirse una relación de género a especie entre ambos conceptos, siendo el giro ordinario una especie que se enmarca al interior del genérico objeto social”</w:t>
      </w:r>
      <w:r w:rsidRPr="00A75D14">
        <w:rPr>
          <w:rFonts w:ascii="Verdana" w:eastAsia="Aptos" w:hAnsi="Verdana" w:cs="Times New Roman"/>
          <w:kern w:val="2"/>
          <w:sz w:val="21"/>
          <w:szCs w:val="21"/>
          <w:vertAlign w:val="superscript"/>
          <w:lang w:val="es-ES_tradnl" w:eastAsia="es-ES_tradnl"/>
          <w14:ligatures w14:val="standardContextual"/>
        </w:rPr>
        <w:footnoteReference w:id="8"/>
      </w:r>
      <w:r w:rsidRPr="00A75D14">
        <w:rPr>
          <w:rFonts w:ascii="Verdana" w:eastAsia="Times New Roman" w:hAnsi="Verdana" w:cs="Arial"/>
          <w:kern w:val="2"/>
          <w:sz w:val="21"/>
          <w:szCs w:val="21"/>
          <w:lang w:val="es-ES_tradnl" w:eastAsia="es-ES_tradnl"/>
          <w14:ligatures w14:val="standardContextual"/>
        </w:rPr>
        <w:t>.</w:t>
      </w:r>
    </w:p>
    <w:p w14:paraId="71C20D65" w14:textId="77777777" w:rsidR="00A9783E" w:rsidRPr="00A75D14" w:rsidRDefault="00A9783E" w:rsidP="00A9783E">
      <w:pPr>
        <w:tabs>
          <w:tab w:val="left" w:pos="0"/>
        </w:tabs>
        <w:snapToGrid w:val="0"/>
        <w:spacing w:after="0" w:line="276" w:lineRule="auto"/>
        <w:ind w:left="720"/>
        <w:jc w:val="both"/>
        <w:rPr>
          <w:rFonts w:ascii="Verdana" w:eastAsia="Calibri" w:hAnsi="Verdana" w:cs="Arial"/>
          <w:bCs/>
          <w:kern w:val="2"/>
          <w:lang w:val="es-ES_tradnl" w:eastAsia="es-ES_tradnl"/>
          <w14:ligatures w14:val="standardContextual"/>
        </w:rPr>
      </w:pPr>
    </w:p>
    <w:p w14:paraId="3C88E02A" w14:textId="77777777" w:rsidR="00A9783E" w:rsidRPr="00A75D14" w:rsidRDefault="00A9783E" w:rsidP="00A9783E">
      <w:pPr>
        <w:numPr>
          <w:ilvl w:val="0"/>
          <w:numId w:val="19"/>
        </w:numPr>
        <w:snapToGrid w:val="0"/>
        <w:spacing w:after="0" w:line="276" w:lineRule="auto"/>
        <w:jc w:val="both"/>
        <w:rPr>
          <w:rFonts w:ascii="Verdana" w:eastAsia="Calibri" w:hAnsi="Verdana" w:cs="Arial"/>
          <w:kern w:val="2"/>
          <w:lang w:val="es-ES" w:eastAsia="es-ES"/>
          <w14:ligatures w14:val="standardContextual"/>
        </w:rPr>
      </w:pPr>
      <w:r w:rsidRPr="00A75D14">
        <w:rPr>
          <w:rFonts w:ascii="Verdana" w:eastAsia="Calibri" w:hAnsi="Verdana" w:cs="Arial"/>
          <w:kern w:val="2"/>
          <w:lang w:val="es-ES" w:eastAsia="es-ES"/>
          <w14:ligatures w14:val="standardContextual"/>
        </w:rPr>
        <w:t xml:space="preserve">De acuerdo con estas consideraciones, no hay una plena equivalencia entre las </w:t>
      </w:r>
      <w:bookmarkStart w:id="1" w:name="_Hlk95322109"/>
      <w:r w:rsidRPr="00A75D14">
        <w:rPr>
          <w:rFonts w:ascii="Verdana" w:eastAsia="Calibri" w:hAnsi="Verdana" w:cs="Arial"/>
          <w:kern w:val="2"/>
          <w:lang w:val="es-ES" w:eastAsia="es-ES"/>
          <w14:ligatures w14:val="standardContextual"/>
        </w:rPr>
        <w:t xml:space="preserve">actividades que hacen parte del desarrollo del </w:t>
      </w:r>
      <w:r w:rsidRPr="00A75D14">
        <w:rPr>
          <w:rFonts w:ascii="Verdana" w:eastAsia="Calibri" w:hAnsi="Verdana" w:cs="Arial"/>
          <w:i/>
          <w:kern w:val="2"/>
          <w:lang w:val="es-ES" w:eastAsia="es-ES"/>
          <w14:ligatures w14:val="standardContextual"/>
        </w:rPr>
        <w:t>objeto social</w:t>
      </w:r>
      <w:r w:rsidRPr="00A75D14">
        <w:rPr>
          <w:rFonts w:ascii="Verdana" w:eastAsia="Calibri" w:hAnsi="Verdana" w:cs="Arial"/>
          <w:kern w:val="2"/>
          <w:lang w:val="es-ES" w:eastAsia="es-ES"/>
          <w14:ligatures w14:val="standardContextual"/>
        </w:rPr>
        <w:t xml:space="preserve"> y las que comprende el </w:t>
      </w:r>
      <w:r w:rsidRPr="00A75D14">
        <w:rPr>
          <w:rFonts w:ascii="Verdana" w:eastAsia="Calibri" w:hAnsi="Verdana" w:cs="Arial"/>
          <w:i/>
          <w:kern w:val="2"/>
          <w:lang w:val="es-ES" w:eastAsia="es-ES"/>
          <w14:ligatures w14:val="standardContextual"/>
        </w:rPr>
        <w:t>giro ordinario</w:t>
      </w:r>
      <w:r w:rsidRPr="00A75D14">
        <w:rPr>
          <w:rFonts w:ascii="Verdana" w:eastAsia="Calibri" w:hAnsi="Verdana" w:cs="Arial"/>
          <w:kern w:val="2"/>
          <w:lang w:val="es-ES" w:eastAsia="es-ES"/>
          <w14:ligatures w14:val="standardContextual"/>
        </w:rPr>
        <w:t xml:space="preserve">, pues, como precisa la Superintendencia de Sociedades, entre lo que designan estas categorías existe una relación de género a especie. </w:t>
      </w:r>
    </w:p>
    <w:p w14:paraId="6A0C8A7D" w14:textId="77777777" w:rsidR="00A9783E" w:rsidRPr="00A75D14" w:rsidRDefault="00A9783E" w:rsidP="00A9783E">
      <w:pPr>
        <w:snapToGrid w:val="0"/>
        <w:spacing w:after="0" w:line="276" w:lineRule="auto"/>
        <w:ind w:left="720"/>
        <w:jc w:val="both"/>
        <w:rPr>
          <w:rFonts w:ascii="Verdana" w:eastAsia="Calibri" w:hAnsi="Verdana" w:cs="Arial"/>
          <w:kern w:val="2"/>
          <w:lang w:val="es-ES" w:eastAsia="es-ES"/>
          <w14:ligatures w14:val="standardContextual"/>
        </w:rPr>
      </w:pPr>
    </w:p>
    <w:p w14:paraId="7E29D870" w14:textId="77777777" w:rsidR="00A9783E" w:rsidRPr="00A75D14" w:rsidRDefault="00A9783E" w:rsidP="00A9783E">
      <w:pPr>
        <w:numPr>
          <w:ilvl w:val="0"/>
          <w:numId w:val="19"/>
        </w:numPr>
        <w:snapToGrid w:val="0"/>
        <w:spacing w:after="0" w:line="276" w:lineRule="auto"/>
        <w:jc w:val="both"/>
        <w:rPr>
          <w:rFonts w:ascii="Verdana" w:eastAsia="Calibri" w:hAnsi="Verdana" w:cs="Arial"/>
          <w:kern w:val="2"/>
          <w:lang w:val="es-ES" w:eastAsia="es-ES"/>
          <w14:ligatures w14:val="standardContextual"/>
        </w:rPr>
      </w:pPr>
      <w:r w:rsidRPr="00A75D14">
        <w:rPr>
          <w:rFonts w:ascii="Verdana" w:eastAsia="Calibri" w:hAnsi="Verdana" w:cs="Arial"/>
          <w:kern w:val="2"/>
          <w:lang w:val="es-ES" w:eastAsia="es-ES"/>
          <w14:ligatures w14:val="standardContextual"/>
        </w:rPr>
        <w:t xml:space="preserve">En relación con la aplicación de lo dispuesto en el parágrafo del artículo 56 de la Ley 2195 de 2022, conviene aclarar que, a juicio de esta Agencia, la expresión </w:t>
      </w:r>
      <w:r w:rsidRPr="00A75D14">
        <w:rPr>
          <w:rFonts w:ascii="Verdana" w:eastAsia="Calibri" w:hAnsi="Verdana" w:cs="Arial"/>
          <w:i/>
          <w:kern w:val="2"/>
          <w:lang w:val="es-ES" w:eastAsia="es-ES"/>
          <w14:ligatures w14:val="standardContextual"/>
        </w:rPr>
        <w:t xml:space="preserve">giro ordinario </w:t>
      </w:r>
      <w:r w:rsidRPr="00A75D14">
        <w:rPr>
          <w:rFonts w:ascii="Verdana" w:eastAsia="Calibri" w:hAnsi="Verdana" w:cs="Arial"/>
          <w:kern w:val="2"/>
          <w:lang w:val="es-ES" w:eastAsia="es-ES"/>
          <w14:ligatures w14:val="standardContextual"/>
        </w:rPr>
        <w:t xml:space="preserve">en dicha norma se usa para designar a la contratación relacionada con los asuntos de la gestión habitual u ordinaria de los tipos de entidades mencionadas en el parágrafo. No obstante, la determinación de las actividades que comprenden el </w:t>
      </w:r>
      <w:r w:rsidRPr="00A75D14">
        <w:rPr>
          <w:rFonts w:ascii="Verdana" w:eastAsia="Calibri" w:hAnsi="Verdana" w:cs="Arial"/>
          <w:i/>
          <w:kern w:val="2"/>
          <w:lang w:val="es-ES" w:eastAsia="es-ES"/>
          <w14:ligatures w14:val="standardContextual"/>
        </w:rPr>
        <w:t>giro ordinario</w:t>
      </w:r>
      <w:r w:rsidRPr="00A75D14">
        <w:rPr>
          <w:rFonts w:ascii="Verdana" w:eastAsia="Calibri" w:hAnsi="Verdana" w:cs="Arial"/>
          <w:kern w:val="2"/>
          <w:lang w:val="es-ES" w:eastAsia="es-ES"/>
          <w14:ligatures w14:val="standardContextual"/>
        </w:rPr>
        <w:t xml:space="preserve"> es un asunto que se debe definir en cada caso concreto por parte de las entidades estatales –analizando lo establecido en sus actos de creación y verificando los negocios habituales u ordinarios que desarrollan–, pues el parágrafo del artículo 56 </w:t>
      </w:r>
      <w:proofErr w:type="spellStart"/>
      <w:r w:rsidRPr="00A75D14">
        <w:rPr>
          <w:rFonts w:ascii="Verdana" w:eastAsia="Calibri" w:hAnsi="Verdana" w:cs="Arial"/>
          <w:i/>
          <w:kern w:val="2"/>
          <w:lang w:val="es-ES" w:eastAsia="es-ES"/>
          <w14:ligatures w14:val="standardContextual"/>
        </w:rPr>
        <w:t>ejusdem</w:t>
      </w:r>
      <w:proofErr w:type="spellEnd"/>
      <w:r w:rsidRPr="00A75D14">
        <w:rPr>
          <w:rFonts w:ascii="Verdana" w:eastAsia="Calibri" w:hAnsi="Verdana" w:cs="Arial"/>
          <w:kern w:val="2"/>
          <w:lang w:val="es-ES" w:eastAsia="es-ES"/>
          <w14:ligatures w14:val="standardContextual"/>
        </w:rPr>
        <w:t xml:space="preserve"> se limita a enunciar algunos tipos de entidades estatales, las cuales no solo difieren en su naturaleza jurídica, sino también en las actividades que realizan. </w:t>
      </w:r>
    </w:p>
    <w:p w14:paraId="26614AA2" w14:textId="77777777" w:rsidR="00A9783E" w:rsidRPr="00A75D14" w:rsidRDefault="00A9783E" w:rsidP="00A9783E">
      <w:pPr>
        <w:snapToGrid w:val="0"/>
        <w:spacing w:after="0" w:line="276" w:lineRule="auto"/>
        <w:jc w:val="both"/>
        <w:rPr>
          <w:rFonts w:ascii="Verdana" w:eastAsia="Calibri" w:hAnsi="Verdana" w:cs="Arial"/>
          <w:kern w:val="2"/>
          <w:lang w:val="es-ES" w:eastAsia="es-ES"/>
          <w14:ligatures w14:val="standardContextual"/>
        </w:rPr>
      </w:pPr>
    </w:p>
    <w:p w14:paraId="7D78EBC2" w14:textId="77777777" w:rsidR="00A9783E" w:rsidRPr="00A75D14" w:rsidRDefault="00A9783E" w:rsidP="00A9783E">
      <w:pPr>
        <w:numPr>
          <w:ilvl w:val="0"/>
          <w:numId w:val="19"/>
        </w:numPr>
        <w:snapToGrid w:val="0"/>
        <w:spacing w:after="0" w:line="276" w:lineRule="auto"/>
        <w:jc w:val="both"/>
        <w:rPr>
          <w:rFonts w:ascii="Verdana" w:eastAsia="Calibri" w:hAnsi="Verdana" w:cs="Arial"/>
          <w:kern w:val="2"/>
          <w:lang w:val="es-ES" w:eastAsia="es-ES"/>
          <w14:ligatures w14:val="standardContextual"/>
        </w:rPr>
      </w:pPr>
      <w:r w:rsidRPr="00A75D14">
        <w:rPr>
          <w:rFonts w:ascii="Verdana" w:eastAsia="Calibri" w:hAnsi="Verdana" w:cs="Arial"/>
          <w:kern w:val="2"/>
          <w:lang w:val="es-ES" w:eastAsia="es-ES"/>
          <w14:ligatures w14:val="standardContextual"/>
        </w:rPr>
        <w:t xml:space="preserve">Por otra parte, es importante señalar que la excepción del parágrafo en comento es clara en establecer cuáles son las entidades exceptuadas de la aplicación del artículo 56 de la Ley 2195 de 2022. En ese sentido, la Agencia Nacional de Contratación Pública – Colombia Compra Eficiente, en sede consultiva, no puede establecer si otras entidades como los fondos mixtos se enmarcan en la aludida excepción, toda vez que este es </w:t>
      </w:r>
      <w:r w:rsidRPr="00A75D14">
        <w:rPr>
          <w:rFonts w:ascii="Verdana" w:eastAsia="Calibri" w:hAnsi="Verdana" w:cs="Arial"/>
          <w:kern w:val="2"/>
          <w:lang w:val="es-ES" w:eastAsia="es-ES"/>
          <w14:ligatures w14:val="standardContextual"/>
        </w:rPr>
        <w:lastRenderedPageBreak/>
        <w:t xml:space="preserve">un análisis que deberá realizarse en cada caso concreto, con el fin de i) determinar si la entidad puede catalogarse como una de aquellas definidas en el parágrafo y </w:t>
      </w:r>
      <w:proofErr w:type="spellStart"/>
      <w:r w:rsidRPr="00A75D14">
        <w:rPr>
          <w:rFonts w:ascii="Verdana" w:eastAsia="Calibri" w:hAnsi="Verdana" w:cs="Arial"/>
          <w:kern w:val="2"/>
          <w:lang w:val="es-ES" w:eastAsia="es-ES"/>
          <w14:ligatures w14:val="standardContextual"/>
        </w:rPr>
        <w:t>ii</w:t>
      </w:r>
      <w:proofErr w:type="spellEnd"/>
      <w:r w:rsidRPr="00A75D14">
        <w:rPr>
          <w:rFonts w:ascii="Verdana" w:eastAsia="Calibri" w:hAnsi="Verdana" w:cs="Arial"/>
          <w:kern w:val="2"/>
          <w:lang w:val="es-ES" w:eastAsia="es-ES"/>
          <w14:ligatures w14:val="standardContextual"/>
        </w:rPr>
        <w:t xml:space="preserve">) si el objeto a contratar se enmarca en el concepto de </w:t>
      </w:r>
      <w:r w:rsidRPr="00A75D14">
        <w:rPr>
          <w:rFonts w:ascii="Verdana" w:eastAsia="Calibri" w:hAnsi="Verdana" w:cs="Arial"/>
          <w:i/>
          <w:iCs/>
          <w:kern w:val="2"/>
          <w:lang w:val="es-ES" w:eastAsia="es-ES"/>
          <w14:ligatures w14:val="standardContextual"/>
        </w:rPr>
        <w:t>giro ordinario.</w:t>
      </w:r>
      <w:r w:rsidRPr="00A75D14">
        <w:rPr>
          <w:rFonts w:ascii="Verdana" w:eastAsia="Calibri" w:hAnsi="Verdana" w:cs="Arial"/>
          <w:kern w:val="2"/>
          <w:lang w:val="es-ES" w:eastAsia="es-ES"/>
          <w14:ligatures w14:val="standardContextual"/>
        </w:rPr>
        <w:t xml:space="preserve"> </w:t>
      </w:r>
    </w:p>
    <w:p w14:paraId="22F9798C" w14:textId="77777777" w:rsidR="00A9783E" w:rsidRPr="00A75D14" w:rsidRDefault="00A9783E" w:rsidP="00A9783E">
      <w:pPr>
        <w:snapToGrid w:val="0"/>
        <w:spacing w:after="0" w:line="276" w:lineRule="auto"/>
        <w:jc w:val="both"/>
        <w:rPr>
          <w:rFonts w:ascii="Verdana" w:eastAsia="Calibri" w:hAnsi="Verdana" w:cs="Arial"/>
          <w:kern w:val="2"/>
          <w:lang w:val="es-ES" w:eastAsia="es-ES"/>
          <w14:ligatures w14:val="standardContextual"/>
        </w:rPr>
      </w:pPr>
    </w:p>
    <w:bookmarkEnd w:id="1"/>
    <w:p w14:paraId="57B8C44D" w14:textId="77777777" w:rsidR="00A9783E" w:rsidRPr="00A75D14" w:rsidRDefault="00A9783E" w:rsidP="00A9783E">
      <w:pPr>
        <w:numPr>
          <w:ilvl w:val="0"/>
          <w:numId w:val="19"/>
        </w:numPr>
        <w:snapToGrid w:val="0"/>
        <w:spacing w:after="0" w:line="276" w:lineRule="auto"/>
        <w:jc w:val="both"/>
        <w:rPr>
          <w:rFonts w:ascii="Verdana" w:eastAsia="Calibri" w:hAnsi="Verdana" w:cs="Arial"/>
          <w:kern w:val="2"/>
          <w:lang w:val="es-ES" w:eastAsia="es-ES"/>
          <w14:ligatures w14:val="standardContextual"/>
        </w:rPr>
      </w:pPr>
      <w:r w:rsidRPr="00A75D14">
        <w:rPr>
          <w:rFonts w:ascii="Verdana" w:eastAsia="Calibri" w:hAnsi="Verdana" w:cs="Arial"/>
          <w:kern w:val="2"/>
          <w:lang w:val="es-ES" w:eastAsia="es-ES"/>
          <w14:ligatures w14:val="standardContextual"/>
        </w:rPr>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los documentos tipo únicamente para la contratación relacionada con el </w:t>
      </w:r>
      <w:r w:rsidRPr="00A75D14">
        <w:rPr>
          <w:rFonts w:ascii="Verdana" w:eastAsia="Calibri" w:hAnsi="Verdana" w:cs="Arial"/>
          <w:i/>
          <w:kern w:val="2"/>
          <w:lang w:val="es-ES" w:eastAsia="es-ES"/>
          <w14:ligatures w14:val="standardContextual"/>
        </w:rPr>
        <w:t xml:space="preserve">giro ordinario </w:t>
      </w:r>
      <w:r w:rsidRPr="00A75D14">
        <w:rPr>
          <w:rFonts w:ascii="Verdana" w:eastAsia="Calibri" w:hAnsi="Verdana" w:cs="Arial"/>
          <w:kern w:val="2"/>
          <w:lang w:val="es-ES" w:eastAsia="es-ES"/>
          <w14:ligatures w14:val="standardContextual"/>
        </w:rPr>
        <w:t xml:space="preserve">de sus asuntos, salvo que los manuales internos de contratación de estas entidades dispongan la obligación de tener en cuenta los documentos tipo como una buena práctica contractual. De acuerdo con este entendimiento, estas entidades,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A75D14">
        <w:rPr>
          <w:rFonts w:ascii="Verdana" w:eastAsia="Calibri" w:hAnsi="Verdana" w:cs="Arial"/>
          <w:i/>
          <w:kern w:val="2"/>
          <w:lang w:val="es-ES" w:eastAsia="es-ES"/>
          <w14:ligatures w14:val="standardContextual"/>
        </w:rPr>
        <w:t>su giro ordinario</w:t>
      </w:r>
      <w:r w:rsidRPr="00A75D14">
        <w:rPr>
          <w:rFonts w:ascii="Verdana" w:eastAsia="Calibri" w:hAnsi="Verdana" w:cs="Arial"/>
          <w:kern w:val="2"/>
          <w:lang w:val="es-ES" w:eastAsia="es-ES"/>
          <w14:ligatures w14:val="standardContextual"/>
        </w:rPr>
        <w:t xml:space="preserve">, entendido este conforme a los criterios jurisprudenciales y doctrinarios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A75D14">
        <w:rPr>
          <w:rFonts w:ascii="Verdana" w:eastAsia="Calibri" w:hAnsi="Verdana" w:cs="Arial"/>
          <w:i/>
          <w:kern w:val="2"/>
          <w:lang w:val="es-ES" w:eastAsia="es-ES"/>
          <w14:ligatures w14:val="standardContextual"/>
        </w:rPr>
        <w:t>giro ordinario</w:t>
      </w:r>
      <w:r w:rsidRPr="00A75D14">
        <w:rPr>
          <w:rFonts w:ascii="Verdana" w:eastAsia="Calibri" w:hAnsi="Verdana" w:cs="Arial"/>
          <w:kern w:val="2"/>
          <w:lang w:val="es-ES" w:eastAsia="es-ES"/>
          <w14:ligatures w14:val="standardContextual"/>
        </w:rPr>
        <w:t xml:space="preserve">, a menos que su manual de contratación establezca lo contrario. </w:t>
      </w:r>
    </w:p>
    <w:p w14:paraId="664FB302" w14:textId="77777777" w:rsidR="00A9783E" w:rsidRPr="00A75D14" w:rsidRDefault="00A9783E" w:rsidP="00A9783E">
      <w:pPr>
        <w:snapToGrid w:val="0"/>
        <w:spacing w:after="0" w:line="276" w:lineRule="auto"/>
        <w:ind w:left="720"/>
        <w:jc w:val="both"/>
        <w:rPr>
          <w:rFonts w:ascii="Verdana" w:eastAsia="Calibri" w:hAnsi="Verdana" w:cs="Arial"/>
          <w:kern w:val="2"/>
          <w:lang w:val="es-ES" w:eastAsia="es-ES"/>
          <w14:ligatures w14:val="standardContextual"/>
        </w:rPr>
      </w:pPr>
    </w:p>
    <w:p w14:paraId="1A93494B" w14:textId="77777777" w:rsidR="00A9783E" w:rsidRPr="00A75D14" w:rsidRDefault="00A9783E" w:rsidP="00A9783E">
      <w:pPr>
        <w:numPr>
          <w:ilvl w:val="0"/>
          <w:numId w:val="19"/>
        </w:numPr>
        <w:snapToGrid w:val="0"/>
        <w:spacing w:after="0" w:line="276" w:lineRule="auto"/>
        <w:jc w:val="both"/>
        <w:rPr>
          <w:rFonts w:ascii="Verdana" w:eastAsia="Calibri" w:hAnsi="Verdana" w:cs="Arial"/>
          <w:kern w:val="2"/>
          <w:lang w:val="es-ES" w:eastAsia="es-ES"/>
          <w14:ligatures w14:val="standardContextual"/>
        </w:rPr>
      </w:pPr>
      <w:r w:rsidRPr="7790C891">
        <w:rPr>
          <w:rFonts w:ascii="Verdana" w:eastAsia="Calibri" w:hAnsi="Verdana" w:cs="Arial"/>
          <w:kern w:val="2"/>
          <w:lang w:val="es-ES" w:eastAsia="es-ES"/>
          <w14:ligatures w14:val="standardContextual"/>
        </w:rPr>
        <w:t>Esta interpretación, a juicio de la Agencia, no solo se desprende de la literalidad del texto de la norma en comento, sino que además está en armonía con la voluntad del órgano legislativo. Al respecto se estima que, el Legislador, en materia de contratación estatal, goza de un amplio margen de configuración normativa, de conformidad con lo dispuesto en el inciso final del artículo 150 de la Constitución Política</w:t>
      </w:r>
      <w:r w:rsidRPr="7790C891">
        <w:rPr>
          <w:rFonts w:ascii="Verdana" w:eastAsia="Aptos" w:hAnsi="Verdana" w:cs="Times New Roman"/>
          <w:kern w:val="2"/>
          <w:vertAlign w:val="superscript"/>
          <w:lang w:val="es-ES" w:eastAsia="es-ES"/>
          <w14:ligatures w14:val="standardContextual"/>
        </w:rPr>
        <w:footnoteReference w:id="9"/>
      </w:r>
      <w:r w:rsidRPr="7790C891">
        <w:rPr>
          <w:rFonts w:ascii="Verdana" w:eastAsia="Calibri" w:hAnsi="Verdana" w:cs="Arial"/>
          <w:kern w:val="2"/>
          <w:lang w:val="es-ES" w:eastAsia="es-ES"/>
          <w14:ligatures w14:val="standardContextual"/>
        </w:rPr>
        <w:t xml:space="preserve">. En ese sentido, </w:t>
      </w:r>
      <w:r w:rsidRPr="7790C891">
        <w:rPr>
          <w:rFonts w:ascii="Verdana" w:eastAsia="Calibri" w:hAnsi="Verdana" w:cs="Arial"/>
          <w:kern w:val="2"/>
          <w:lang w:val="es-ES" w:eastAsia="es-ES"/>
          <w14:ligatures w14:val="standardContextual"/>
        </w:rPr>
        <w:lastRenderedPageBreak/>
        <w:t xml:space="preserve">en virtud de esta potestad de configuración normativa, resulta perfectamente válido que se establezca una regla general y unas excepciones, como se hace, por ejemplo, en el artículo 56 de la Ley 2195 de 2022, en el que se consagra un mandato general en los primeros dos incisos, y una excepción en el parágrafo, para lo que enuncian unos tipos de entidades que se excluyen de la regla general, únicamente respecto de la contratación de su </w:t>
      </w:r>
      <w:r w:rsidRPr="7790C891">
        <w:rPr>
          <w:rFonts w:ascii="Verdana" w:eastAsia="Calibri" w:hAnsi="Verdana" w:cs="Arial"/>
          <w:i/>
          <w:iCs/>
          <w:kern w:val="2"/>
          <w:lang w:val="es-ES" w:eastAsia="es-ES"/>
          <w14:ligatures w14:val="standardContextual"/>
        </w:rPr>
        <w:t>giro ordinario.</w:t>
      </w:r>
      <w:r w:rsidRPr="7790C891">
        <w:rPr>
          <w:rFonts w:ascii="Verdana" w:eastAsia="Calibri" w:hAnsi="Verdana" w:cs="Arial"/>
          <w:kern w:val="2"/>
          <w:lang w:val="es-ES" w:eastAsia="es-ES"/>
          <w14:ligatures w14:val="standardContextual"/>
        </w:rPr>
        <w:t xml:space="preserve"> A esto se suma el hecho de que el parágrafo bajo estudio es una norma restrictiva, por lo que, en virtud de dicho carácter, amerita una interpretación apegada a lo que literalmente se desprende del texto. Como lo ha establecido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Pr="7790C891">
        <w:rPr>
          <w:rFonts w:ascii="Verdana" w:eastAsia="Aptos" w:hAnsi="Verdana" w:cs="Times New Roman"/>
          <w:kern w:val="2"/>
          <w:vertAlign w:val="superscript"/>
          <w:lang w:val="es-ES" w:eastAsia="es-ES"/>
          <w14:ligatures w14:val="standardContextual"/>
        </w:rPr>
        <w:footnoteReference w:id="10"/>
      </w:r>
      <w:r w:rsidRPr="7790C891">
        <w:rPr>
          <w:rFonts w:ascii="Verdana" w:eastAsia="Calibri" w:hAnsi="Verdana" w:cs="Arial"/>
          <w:kern w:val="2"/>
          <w:lang w:val="es-ES" w:eastAsia="es-ES"/>
          <w14:ligatures w14:val="standardContextual"/>
        </w:rPr>
        <w:t>.</w:t>
      </w:r>
    </w:p>
    <w:p w14:paraId="021404CE" w14:textId="77777777" w:rsidR="00A9783E" w:rsidRPr="00BE10F3" w:rsidRDefault="00A9783E" w:rsidP="00176D2E">
      <w:pPr>
        <w:pStyle w:val="Prrafodelista"/>
        <w:snapToGrid w:val="0"/>
        <w:spacing w:after="0" w:line="276" w:lineRule="auto"/>
        <w:ind w:left="709" w:right="709"/>
        <w:jc w:val="both"/>
        <w:rPr>
          <w:rFonts w:ascii="Verdana" w:eastAsia="Times New Roman" w:hAnsi="Verdana" w:cs="Arial"/>
          <w:sz w:val="20"/>
          <w:szCs w:val="20"/>
        </w:rPr>
      </w:pPr>
    </w:p>
    <w:p w14:paraId="0873E7CC" w14:textId="77777777" w:rsidR="00176D2E" w:rsidRDefault="00176D2E" w:rsidP="00176D2E">
      <w:pPr>
        <w:snapToGrid w:val="0"/>
        <w:spacing w:after="0" w:line="276" w:lineRule="auto"/>
        <w:jc w:val="both"/>
        <w:rPr>
          <w:rFonts w:ascii="Verdana" w:eastAsia="Times New Roman" w:hAnsi="Verdana" w:cs="Arial"/>
          <w:lang w:val="es-ES_tradnl"/>
        </w:rPr>
      </w:pPr>
    </w:p>
    <w:p w14:paraId="61903A8D" w14:textId="77777777" w:rsidR="00176D2E" w:rsidRPr="00C91297" w:rsidRDefault="00176D2E" w:rsidP="00176D2E">
      <w:pPr>
        <w:numPr>
          <w:ilvl w:val="0"/>
          <w:numId w:val="16"/>
        </w:numPr>
        <w:tabs>
          <w:tab w:val="left" w:pos="142"/>
          <w:tab w:val="left" w:pos="284"/>
        </w:tabs>
        <w:spacing w:after="0" w:line="276" w:lineRule="auto"/>
        <w:ind w:left="357" w:hanging="357"/>
        <w:jc w:val="both"/>
        <w:rPr>
          <w:rFonts w:ascii="Verdana" w:eastAsia="Times New Roman" w:hAnsi="Verdana" w:cs="Century Gothic"/>
          <w:b/>
          <w:bCs/>
          <w:lang w:val="es-ES_tradnl"/>
        </w:rPr>
      </w:pPr>
      <w:r w:rsidRPr="00C91297">
        <w:rPr>
          <w:rFonts w:ascii="Verdana" w:eastAsia="Times New Roman" w:hAnsi="Verdana" w:cs="Century Gothic"/>
          <w:b/>
          <w:bCs/>
          <w:lang w:val="es-ES_tradnl"/>
        </w:rPr>
        <w:t>Referencias normativas, jurisprudenciales y otras fuentes:</w:t>
      </w:r>
    </w:p>
    <w:p w14:paraId="75230AF6" w14:textId="77777777" w:rsidR="00176D2E" w:rsidRPr="00C91297" w:rsidRDefault="00176D2E" w:rsidP="00176D2E">
      <w:pPr>
        <w:widowControl w:val="0"/>
        <w:autoSpaceDE w:val="0"/>
        <w:autoSpaceDN w:val="0"/>
        <w:spacing w:after="0" w:line="276" w:lineRule="auto"/>
        <w:jc w:val="both"/>
        <w:rPr>
          <w:rFonts w:ascii="Verdana" w:eastAsia="Times New Roman" w:hAnsi="Verdana" w:cs="Arial"/>
          <w:lang w:val="es-ES_tradnl"/>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176D2E" w:rsidRPr="00C91297" w14:paraId="74FF0EC3" w14:textId="77777777" w:rsidTr="00881652">
        <w:trPr>
          <w:trHeight w:val="870"/>
        </w:trPr>
        <w:tc>
          <w:tcPr>
            <w:tcW w:w="8647" w:type="dxa"/>
            <w:tcBorders>
              <w:top w:val="dotted" w:sz="4" w:space="0" w:color="auto"/>
              <w:bottom w:val="dotted" w:sz="4" w:space="0" w:color="auto"/>
            </w:tcBorders>
          </w:tcPr>
          <w:p w14:paraId="551F4A9C" w14:textId="77777777" w:rsidR="003C4325" w:rsidRPr="00A75D14" w:rsidRDefault="003C4325" w:rsidP="003C4325">
            <w:pPr>
              <w:widowControl w:val="0"/>
              <w:numPr>
                <w:ilvl w:val="0"/>
                <w:numId w:val="17"/>
              </w:numPr>
              <w:autoSpaceDE w:val="0"/>
              <w:autoSpaceDN w:val="0"/>
              <w:spacing w:after="120" w:line="276" w:lineRule="auto"/>
              <w:jc w:val="both"/>
              <w:rPr>
                <w:rFonts w:ascii="Verdana" w:eastAsia="Calibri" w:hAnsi="Verdana" w:cs="Arial"/>
              </w:rPr>
            </w:pPr>
            <w:r w:rsidRPr="00A75D14">
              <w:rPr>
                <w:rFonts w:ascii="Verdana" w:eastAsia="Calibri" w:hAnsi="Verdana" w:cs="Arial"/>
              </w:rPr>
              <w:t>Constitución Política, artículo 150.</w:t>
            </w:r>
          </w:p>
          <w:p w14:paraId="2C7E273A" w14:textId="77777777" w:rsidR="003C4325" w:rsidRPr="00A75D14" w:rsidRDefault="003C4325" w:rsidP="003C4325">
            <w:pPr>
              <w:widowControl w:val="0"/>
              <w:numPr>
                <w:ilvl w:val="0"/>
                <w:numId w:val="17"/>
              </w:numPr>
              <w:autoSpaceDE w:val="0"/>
              <w:autoSpaceDN w:val="0"/>
              <w:spacing w:after="120" w:line="276" w:lineRule="auto"/>
              <w:jc w:val="both"/>
              <w:rPr>
                <w:rFonts w:ascii="Verdana" w:eastAsia="Calibri" w:hAnsi="Verdana" w:cs="Arial"/>
              </w:rPr>
            </w:pPr>
            <w:r w:rsidRPr="00A75D14">
              <w:rPr>
                <w:rFonts w:ascii="Verdana" w:eastAsia="Calibri" w:hAnsi="Verdana" w:cs="Arial"/>
              </w:rPr>
              <w:t>Ley 2195 de 2022, artículo 56.</w:t>
            </w:r>
          </w:p>
          <w:p w14:paraId="7EB3ACC4" w14:textId="77777777" w:rsidR="003C4325" w:rsidRPr="00A75D14" w:rsidRDefault="003C4325" w:rsidP="003C4325">
            <w:pPr>
              <w:widowControl w:val="0"/>
              <w:numPr>
                <w:ilvl w:val="0"/>
                <w:numId w:val="17"/>
              </w:numPr>
              <w:autoSpaceDE w:val="0"/>
              <w:autoSpaceDN w:val="0"/>
              <w:spacing w:after="120" w:line="276" w:lineRule="auto"/>
              <w:jc w:val="both"/>
              <w:rPr>
                <w:rFonts w:ascii="Verdana" w:eastAsia="Calibri" w:hAnsi="Verdana" w:cs="Arial"/>
              </w:rPr>
            </w:pPr>
            <w:r w:rsidRPr="00A75D14">
              <w:rPr>
                <w:rFonts w:ascii="Verdana" w:eastAsia="Calibri" w:hAnsi="Verdana" w:cs="Arial"/>
              </w:rPr>
              <w:lastRenderedPageBreak/>
              <w:t xml:space="preserve">Consejo de Estado. Sección Tercera. Subsección B. Sentencia del 12 de octubre de 2011. </w:t>
            </w:r>
            <w:proofErr w:type="spellStart"/>
            <w:r w:rsidRPr="00A75D14">
              <w:rPr>
                <w:rFonts w:ascii="Verdana" w:eastAsia="Calibri" w:hAnsi="Verdana" w:cs="Arial"/>
              </w:rPr>
              <w:t>Exp</w:t>
            </w:r>
            <w:proofErr w:type="spellEnd"/>
            <w:r w:rsidRPr="00A75D14">
              <w:rPr>
                <w:rFonts w:ascii="Verdana" w:eastAsia="Calibri" w:hAnsi="Verdana" w:cs="Arial"/>
              </w:rPr>
              <w:t>. No. 20070. C.P. Danilo Rojas Betancourt.</w:t>
            </w:r>
          </w:p>
          <w:p w14:paraId="744422FC" w14:textId="3060C4DC" w:rsidR="00176D2E" w:rsidRPr="00C91297" w:rsidRDefault="003C4325" w:rsidP="00BE10F3">
            <w:pPr>
              <w:pStyle w:val="Prrafodelista"/>
              <w:numPr>
                <w:ilvl w:val="0"/>
                <w:numId w:val="17"/>
              </w:numPr>
              <w:rPr>
                <w:rFonts w:ascii="Verdana" w:hAnsi="Verdana" w:cs="Arial"/>
                <w:lang w:val="es-ES_tradnl"/>
              </w:rPr>
            </w:pPr>
            <w:r w:rsidRPr="00A75D14">
              <w:rPr>
                <w:rFonts w:ascii="Verdana" w:eastAsia="Calibri" w:hAnsi="Verdana" w:cs="Arial"/>
              </w:rPr>
              <w:t xml:space="preserve">Consejo de Estado. Sección Tercera. Subsección A. Sentencia del 3 de marzo de 2021. </w:t>
            </w:r>
            <w:proofErr w:type="spellStart"/>
            <w:r w:rsidRPr="00A75D14">
              <w:rPr>
                <w:rFonts w:ascii="Verdana" w:eastAsia="Calibri" w:hAnsi="Verdana" w:cs="Arial"/>
              </w:rPr>
              <w:t>Exp</w:t>
            </w:r>
            <w:proofErr w:type="spellEnd"/>
            <w:r w:rsidRPr="00A75D14">
              <w:rPr>
                <w:rFonts w:ascii="Verdana" w:eastAsia="Calibri" w:hAnsi="Verdana" w:cs="Arial"/>
              </w:rPr>
              <w:t>. No. 51373. C.P. José Roberto Sáchica Méndez.</w:t>
            </w:r>
          </w:p>
        </w:tc>
      </w:tr>
    </w:tbl>
    <w:p w14:paraId="77E63A5C" w14:textId="77777777" w:rsidR="00176D2E" w:rsidRPr="00C91297" w:rsidRDefault="00176D2E" w:rsidP="00176D2E">
      <w:pPr>
        <w:widowControl w:val="0"/>
        <w:autoSpaceDE w:val="0"/>
        <w:autoSpaceDN w:val="0"/>
        <w:snapToGrid w:val="0"/>
        <w:spacing w:after="0" w:line="276" w:lineRule="auto"/>
        <w:jc w:val="both"/>
        <w:rPr>
          <w:rFonts w:ascii="Verdana" w:eastAsia="Times New Roman" w:hAnsi="Verdana" w:cs="Arial"/>
          <w:lang w:val="es-ES_tradnl"/>
        </w:rPr>
      </w:pPr>
    </w:p>
    <w:p w14:paraId="5659CE70" w14:textId="77777777" w:rsidR="00176D2E" w:rsidRDefault="00176D2E" w:rsidP="00176D2E">
      <w:pPr>
        <w:numPr>
          <w:ilvl w:val="0"/>
          <w:numId w:val="16"/>
        </w:numPr>
        <w:tabs>
          <w:tab w:val="left" w:pos="142"/>
          <w:tab w:val="left" w:pos="284"/>
        </w:tabs>
        <w:snapToGrid w:val="0"/>
        <w:spacing w:after="0" w:line="276" w:lineRule="auto"/>
        <w:ind w:left="357" w:hanging="357"/>
        <w:jc w:val="both"/>
        <w:rPr>
          <w:rFonts w:ascii="Verdana" w:eastAsia="Times New Roman" w:hAnsi="Verdana" w:cs="Century Gothic"/>
          <w:b/>
          <w:bCs/>
          <w:lang w:val="es-ES_tradnl"/>
        </w:rPr>
      </w:pPr>
      <w:r w:rsidRPr="00C91297">
        <w:rPr>
          <w:rFonts w:ascii="Verdana" w:eastAsia="Times New Roman" w:hAnsi="Verdana" w:cs="Century Gothic"/>
          <w:b/>
          <w:bCs/>
          <w:lang w:val="es-ES_tradnl"/>
        </w:rPr>
        <w:t>Doctrina de la Agencia Nacional de Contratación Pública:</w:t>
      </w:r>
    </w:p>
    <w:p w14:paraId="4E5171A2" w14:textId="77777777" w:rsidR="00176D2E" w:rsidRDefault="00176D2E" w:rsidP="00176D2E">
      <w:pPr>
        <w:tabs>
          <w:tab w:val="left" w:pos="142"/>
          <w:tab w:val="left" w:pos="284"/>
        </w:tabs>
        <w:snapToGrid w:val="0"/>
        <w:spacing w:after="0" w:line="276" w:lineRule="auto"/>
        <w:jc w:val="both"/>
        <w:rPr>
          <w:rFonts w:ascii="Verdana" w:eastAsia="Times New Roman" w:hAnsi="Verdana" w:cs="Century Gothic"/>
          <w:b/>
          <w:bCs/>
          <w:lang w:val="es-ES_tradnl"/>
        </w:rPr>
      </w:pPr>
    </w:p>
    <w:p w14:paraId="096BD86E" w14:textId="77777777" w:rsidR="00794799" w:rsidRPr="00A75D14" w:rsidRDefault="00794799" w:rsidP="00794799">
      <w:pPr>
        <w:widowControl w:val="0"/>
        <w:autoSpaceDE w:val="0"/>
        <w:autoSpaceDN w:val="0"/>
        <w:spacing w:after="0" w:line="276" w:lineRule="auto"/>
        <w:jc w:val="both"/>
        <w:rPr>
          <w:rFonts w:ascii="Verdana" w:eastAsia="Calibri" w:hAnsi="Verdana" w:cs="Arial"/>
          <w:shd w:val="clear" w:color="auto" w:fill="FFFFFF"/>
          <w:lang w:val="es-ES"/>
        </w:rPr>
      </w:pPr>
      <w:r w:rsidRPr="00A75D14">
        <w:rPr>
          <w:rFonts w:ascii="Verdana" w:eastAsia="Calibri" w:hAnsi="Verdana" w:cs="Arial"/>
          <w:shd w:val="clear" w:color="auto" w:fill="FFFFFF"/>
          <w:lang w:val="es-ES"/>
        </w:rPr>
        <w:t>La Agencia Nacional de Contratación Pública – Colombia Compra Eficiente se ha pronunciado sobre el alcance del artículo 56 de la Ley 2195 de 2022, específicamente, a partir del concepto C-066 del 28 de enero de 2022, cuya tesis se desarrolló y complementó en varios conceptos, como el C-320 del 20 de mayo de 2022, C-333 del 24 de mayo de 2022, C-404 del 26 de mayo de 2023, C-341 del 27 de mayo de 2022, C-382 del 27 de mayo de 2022, C-388 del 15 de junio de 2022, C-423 del 5 de julio de 2022, C-435 del 6 de julio de 2023, C-453 del 15 de julio de 2022, C-449 del 25 de julio de 2022, C-494 del 26 de julio de 2022, C-488 del 29 de julio de 2022, C-483 del 5 de agosto de 2022, C-496 del 3 de agosto de 2022, C-501 del 29 de julio de 2022, C-556 del 3 de agosto de 2022 y C-532 del 22 de agosto de 2022, entre otros. El mismo tema ha sido estudiado por esta Subdirección en los conceptos C-486 del 2 de septiembre de 2022, C-671 del 19 de octubre de 2022, C-576 del 25 de octubre de 2022, C-042 del 29 de marzo de 2023, C-299 del 24 de julio de 2023, C-399 del 29 de septiembre de 2023, C-055 del 9 de mayo de 2024 y C-079 del 5 de junio de 2024. Es</w:t>
      </w:r>
      <w:r w:rsidRPr="00A75D14">
        <w:rPr>
          <w:rFonts w:ascii="Verdana" w:eastAsia="Calibri" w:hAnsi="Verdana" w:cs="Times New Roman"/>
        </w:rPr>
        <w:t>tos y otros conceptos se encuentran disponibles para consulta en el sistema de relatoría de la Agencia, al cual se puede acceder a través del siguiente enlace:</w:t>
      </w:r>
      <w:r w:rsidRPr="00A75D14">
        <w:rPr>
          <w:rFonts w:ascii="Verdana" w:eastAsia="Calibri" w:hAnsi="Verdana" w:cs="Arial"/>
          <w:shd w:val="clear" w:color="auto" w:fill="FFFFFF"/>
          <w:lang w:val="es-ES"/>
        </w:rPr>
        <w:t xml:space="preserve"> </w:t>
      </w:r>
      <w:hyperlink r:id="rId13" w:history="1">
        <w:r w:rsidRPr="00A75D14">
          <w:rPr>
            <w:rFonts w:ascii="Verdana" w:eastAsia="Calibri" w:hAnsi="Verdana" w:cs="Arial"/>
            <w:u w:val="single"/>
            <w:shd w:val="clear" w:color="auto" w:fill="FFFFFF"/>
            <w:lang w:val="es-ES"/>
          </w:rPr>
          <w:t>https://relatoria.colombiacompra.gov.co/busqueda/conceptos</w:t>
        </w:r>
      </w:hyperlink>
      <w:r w:rsidRPr="00A75D14">
        <w:rPr>
          <w:rFonts w:ascii="Verdana" w:eastAsia="Calibri" w:hAnsi="Verdana" w:cs="Arial"/>
          <w:shd w:val="clear" w:color="auto" w:fill="FFFFFF"/>
          <w:lang w:val="es-ES"/>
        </w:rPr>
        <w:t xml:space="preserve">. </w:t>
      </w:r>
    </w:p>
    <w:p w14:paraId="6832CBED" w14:textId="77777777" w:rsidR="00176D2E" w:rsidRPr="00BE10F3" w:rsidRDefault="00176D2E" w:rsidP="00176D2E">
      <w:pPr>
        <w:tabs>
          <w:tab w:val="left" w:pos="142"/>
          <w:tab w:val="left" w:pos="284"/>
        </w:tabs>
        <w:snapToGrid w:val="0"/>
        <w:spacing w:after="0" w:line="276" w:lineRule="auto"/>
        <w:jc w:val="both"/>
        <w:rPr>
          <w:rFonts w:ascii="Verdana" w:hAnsi="Verdana" w:cs="Arial"/>
          <w:color w:val="000000" w:themeColor="text1"/>
          <w:shd w:val="clear" w:color="auto" w:fill="FFFFFF"/>
          <w:lang w:val="es-ES"/>
        </w:rPr>
      </w:pPr>
    </w:p>
    <w:p w14:paraId="7FC63B94" w14:textId="77777777" w:rsidR="00176D2E" w:rsidRPr="00C56A6D" w:rsidRDefault="00176D2E" w:rsidP="00176D2E">
      <w:pPr>
        <w:tabs>
          <w:tab w:val="left" w:pos="142"/>
          <w:tab w:val="left" w:pos="284"/>
        </w:tabs>
        <w:snapToGrid w:val="0"/>
        <w:spacing w:after="0" w:line="276" w:lineRule="auto"/>
        <w:jc w:val="both"/>
        <w:rPr>
          <w:rFonts w:ascii="Verdana" w:hAnsi="Verdana" w:cs="Arial"/>
          <w:color w:val="FF0000"/>
          <w:shd w:val="clear" w:color="auto" w:fill="FFFFFF"/>
          <w:lang w:val="es-ES"/>
        </w:rPr>
      </w:pPr>
      <w:r w:rsidRPr="000F50D4">
        <w:rPr>
          <w:rFonts w:ascii="Verdana" w:hAnsi="Verdana" w:cs="Arial"/>
          <w:color w:val="000000" w:themeColor="text1"/>
          <w:shd w:val="clear" w:color="auto" w:fill="FFFFFF"/>
        </w:rPr>
        <w:t>Te invitamos también a revisar la tercera edición del  Boletín de Relatoría de 2024 en el cual podrás consultar en detalle el marco normativo de documentos tipo: </w:t>
      </w:r>
      <w:hyperlink r:id="rId14" w:tgtFrame="_blank" w:tooltip="Dirección URL original: https://www.colombiacompra.gov.co/sites/cce_public/files/files_2020/boletin_de_realtoria_iii.pdf. Haga clic o pulse si confía en este vínculo." w:history="1">
        <w:r w:rsidRPr="00C56A6D">
          <w:rPr>
            <w:rStyle w:val="Hipervnculo"/>
            <w:rFonts w:ascii="Verdana" w:hAnsi="Verdana" w:cs="Arial"/>
            <w:shd w:val="clear" w:color="auto" w:fill="FFFFFF"/>
          </w:rPr>
          <w:t>https://www.colombiacompra.gov.co/sites/cce_public/files/files_2020/boletin_de_realtoria_iii.pdf</w:t>
        </w:r>
      </w:hyperlink>
    </w:p>
    <w:p w14:paraId="72E89FF6" w14:textId="77777777" w:rsidR="00176D2E" w:rsidRPr="006F741F" w:rsidRDefault="00176D2E" w:rsidP="00176D2E">
      <w:pPr>
        <w:tabs>
          <w:tab w:val="left" w:pos="142"/>
          <w:tab w:val="left" w:pos="284"/>
        </w:tabs>
        <w:snapToGrid w:val="0"/>
        <w:spacing w:after="0" w:line="276" w:lineRule="auto"/>
        <w:jc w:val="both"/>
        <w:rPr>
          <w:rFonts w:ascii="Verdana" w:eastAsia="Times New Roman" w:hAnsi="Verdana" w:cs="Century Gothic"/>
          <w:b/>
          <w:bCs/>
          <w:lang w:val="es-ES"/>
        </w:rPr>
      </w:pPr>
    </w:p>
    <w:p w14:paraId="614DA2AA" w14:textId="77777777" w:rsidR="00176D2E" w:rsidRPr="00C91297" w:rsidRDefault="00176D2E" w:rsidP="00176D2E">
      <w:pPr>
        <w:spacing w:after="0" w:line="240" w:lineRule="auto"/>
        <w:jc w:val="both"/>
        <w:rPr>
          <w:rFonts w:ascii="Verdana" w:eastAsia="Times New Roman" w:hAnsi="Verdana" w:cs="Times New Roman"/>
          <w:lang w:val="es-ES_tradnl"/>
        </w:rPr>
      </w:pPr>
      <w:r w:rsidRPr="00C91297">
        <w:rPr>
          <w:rFonts w:ascii="Verdana" w:eastAsia="Times New Roman" w:hAnsi="Verdana" w:cs="Times New Roman"/>
          <w:lang w:val="es-ES_tradnl"/>
        </w:rPr>
        <w:t xml:space="preserve">Por último, los invitamos a seguirnos en las redes sociales, en las cuales se difunde información institucional: </w:t>
      </w:r>
    </w:p>
    <w:p w14:paraId="7A664F29" w14:textId="77777777" w:rsidR="00176D2E" w:rsidRPr="00C91297" w:rsidRDefault="00176D2E" w:rsidP="00176D2E">
      <w:pPr>
        <w:spacing w:after="0" w:line="240" w:lineRule="auto"/>
        <w:jc w:val="both"/>
        <w:rPr>
          <w:rFonts w:ascii="Verdana" w:eastAsia="Times New Roman" w:hAnsi="Verdana" w:cs="Times New Roman"/>
          <w:lang w:val="es-ES_tradnl"/>
        </w:rPr>
      </w:pPr>
    </w:p>
    <w:p w14:paraId="41F7DE51" w14:textId="77777777" w:rsidR="00176D2E" w:rsidRPr="00C91297" w:rsidRDefault="00176D2E" w:rsidP="00176D2E">
      <w:pPr>
        <w:spacing w:after="0" w:line="240" w:lineRule="auto"/>
        <w:jc w:val="both"/>
        <w:rPr>
          <w:rFonts w:ascii="Verdana" w:eastAsia="Times New Roman" w:hAnsi="Verdana" w:cs="Times New Roman"/>
          <w:lang w:val="es-ES_tradnl"/>
        </w:rPr>
      </w:pPr>
      <w:r w:rsidRPr="00C91297">
        <w:rPr>
          <w:rFonts w:ascii="Verdana" w:eastAsia="Times New Roman" w:hAnsi="Verdana" w:cs="Times New Roman"/>
          <w:lang w:val="es-ES_tradnl"/>
        </w:rPr>
        <w:t xml:space="preserve">Twitter: </w:t>
      </w:r>
      <w:r w:rsidRPr="00C91297">
        <w:rPr>
          <w:rFonts w:ascii="Verdana" w:eastAsia="Times New Roman" w:hAnsi="Verdana" w:cs="Times New Roman"/>
          <w:u w:val="single"/>
          <w:lang w:val="es-ES_tradnl"/>
        </w:rPr>
        <w:t>@colombiacompra</w:t>
      </w:r>
      <w:r w:rsidRPr="00C91297">
        <w:rPr>
          <w:rFonts w:ascii="Verdana" w:eastAsia="Times New Roman" w:hAnsi="Verdana" w:cs="Times New Roman"/>
          <w:lang w:val="es-ES_tradnl"/>
        </w:rPr>
        <w:t xml:space="preserve"> </w:t>
      </w:r>
    </w:p>
    <w:p w14:paraId="5D189E2B" w14:textId="77777777" w:rsidR="00176D2E" w:rsidRPr="00C91297" w:rsidRDefault="00176D2E" w:rsidP="00176D2E">
      <w:pPr>
        <w:spacing w:after="0" w:line="240" w:lineRule="auto"/>
        <w:jc w:val="both"/>
        <w:rPr>
          <w:rFonts w:ascii="Verdana" w:eastAsia="Times New Roman" w:hAnsi="Verdana" w:cs="Times New Roman"/>
          <w:lang w:val="es-ES"/>
        </w:rPr>
      </w:pPr>
      <w:r w:rsidRPr="03EB96D0">
        <w:rPr>
          <w:rFonts w:ascii="Verdana" w:eastAsia="Times New Roman" w:hAnsi="Verdana" w:cs="Times New Roman"/>
          <w:lang w:val="es-ES"/>
        </w:rPr>
        <w:t xml:space="preserve">Facebook: </w:t>
      </w:r>
      <w:proofErr w:type="spellStart"/>
      <w:r w:rsidRPr="03EB96D0">
        <w:rPr>
          <w:rFonts w:ascii="Verdana" w:eastAsia="Times New Roman" w:hAnsi="Verdana" w:cs="Times New Roman"/>
          <w:u w:val="single"/>
          <w:lang w:val="es-ES"/>
        </w:rPr>
        <w:t>ColombiaCompraEficiente</w:t>
      </w:r>
      <w:proofErr w:type="spellEnd"/>
    </w:p>
    <w:p w14:paraId="1478C22C" w14:textId="77777777" w:rsidR="00176D2E" w:rsidRPr="00C91297" w:rsidRDefault="00176D2E" w:rsidP="00176D2E">
      <w:pPr>
        <w:spacing w:after="0" w:line="240" w:lineRule="auto"/>
        <w:jc w:val="both"/>
        <w:rPr>
          <w:rFonts w:ascii="Verdana" w:eastAsia="Times New Roman" w:hAnsi="Verdana" w:cs="Times New Roman"/>
          <w:lang w:val="es-ES_tradnl"/>
        </w:rPr>
      </w:pPr>
      <w:r w:rsidRPr="00C91297">
        <w:rPr>
          <w:rFonts w:ascii="Verdana" w:eastAsia="Times New Roman" w:hAnsi="Verdana" w:cs="Times New Roman"/>
          <w:lang w:val="es-ES_tradnl"/>
        </w:rPr>
        <w:lastRenderedPageBreak/>
        <w:t xml:space="preserve">LinkedIn: </w:t>
      </w:r>
      <w:r w:rsidRPr="00C91297">
        <w:rPr>
          <w:rFonts w:ascii="Verdana" w:eastAsia="Times New Roman" w:hAnsi="Verdana" w:cs="Times New Roman"/>
          <w:u w:val="single"/>
          <w:lang w:val="es-ES_tradnl"/>
        </w:rPr>
        <w:t>Agencia Nacional de Contratación Pública - Colombia Compra Eficiente</w:t>
      </w:r>
      <w:r w:rsidRPr="00C91297">
        <w:rPr>
          <w:rFonts w:ascii="Verdana" w:eastAsia="Times New Roman" w:hAnsi="Verdana" w:cs="Times New Roman"/>
          <w:lang w:val="es-ES_tradnl"/>
        </w:rPr>
        <w:t xml:space="preserve"> Instagram: </w:t>
      </w:r>
      <w:r w:rsidRPr="00C91297">
        <w:rPr>
          <w:rFonts w:ascii="Verdana" w:eastAsia="Times New Roman" w:hAnsi="Verdana" w:cs="Times New Roman"/>
          <w:u w:val="single"/>
          <w:lang w:val="es-ES_tradnl"/>
        </w:rPr>
        <w:t>@colombiacompraeficiente_cce</w:t>
      </w:r>
    </w:p>
    <w:p w14:paraId="77BDD0B2" w14:textId="77777777" w:rsidR="00176D2E" w:rsidRPr="00C91297" w:rsidRDefault="00176D2E" w:rsidP="00176D2E">
      <w:pPr>
        <w:widowControl w:val="0"/>
        <w:autoSpaceDE w:val="0"/>
        <w:autoSpaceDN w:val="0"/>
        <w:spacing w:after="0" w:line="276" w:lineRule="auto"/>
        <w:jc w:val="both"/>
        <w:rPr>
          <w:rFonts w:ascii="Verdana" w:eastAsia="Times New Roman" w:hAnsi="Verdana" w:cs="Arial"/>
          <w:lang w:val="es-ES_tradnl"/>
        </w:rPr>
      </w:pPr>
    </w:p>
    <w:p w14:paraId="47FC3E24" w14:textId="77777777" w:rsidR="00176D2E" w:rsidRPr="00C91297" w:rsidRDefault="00176D2E" w:rsidP="00176D2E">
      <w:pPr>
        <w:widowControl w:val="0"/>
        <w:autoSpaceDE w:val="0"/>
        <w:autoSpaceDN w:val="0"/>
        <w:spacing w:after="0" w:line="276" w:lineRule="auto"/>
        <w:jc w:val="both"/>
        <w:rPr>
          <w:rFonts w:ascii="Verdana" w:eastAsia="Times New Roman" w:hAnsi="Verdana" w:cs="Arial"/>
          <w:lang w:val="es-ES_tradnl"/>
        </w:rPr>
      </w:pPr>
      <w:r w:rsidRPr="00C91297">
        <w:rPr>
          <w:rFonts w:ascii="Verdana" w:eastAsia="Times New Roman"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2E8C01F" w14:textId="77777777" w:rsidR="00176D2E" w:rsidRPr="00C91297" w:rsidRDefault="00176D2E" w:rsidP="00176D2E">
      <w:pPr>
        <w:widowControl w:val="0"/>
        <w:autoSpaceDE w:val="0"/>
        <w:autoSpaceDN w:val="0"/>
        <w:spacing w:after="0" w:line="276" w:lineRule="auto"/>
        <w:jc w:val="both"/>
        <w:rPr>
          <w:rFonts w:ascii="Verdana" w:eastAsia="Times New Roman" w:hAnsi="Verdana" w:cs="Arial"/>
          <w:lang w:val="es-ES_tradnl"/>
        </w:rPr>
      </w:pPr>
    </w:p>
    <w:p w14:paraId="261F4552" w14:textId="77777777" w:rsidR="00176D2E" w:rsidRPr="00C91297" w:rsidRDefault="00176D2E" w:rsidP="00176D2E">
      <w:pPr>
        <w:widowControl w:val="0"/>
        <w:autoSpaceDE w:val="0"/>
        <w:autoSpaceDN w:val="0"/>
        <w:spacing w:after="0" w:line="276" w:lineRule="auto"/>
        <w:jc w:val="both"/>
        <w:rPr>
          <w:rFonts w:ascii="Verdana" w:eastAsia="Times New Roman" w:hAnsi="Verdana" w:cs="Arial"/>
          <w:lang w:val="es-ES_tradnl"/>
        </w:rPr>
      </w:pPr>
    </w:p>
    <w:p w14:paraId="18B32F63" w14:textId="77777777" w:rsidR="00176D2E" w:rsidRPr="00C91297" w:rsidRDefault="00176D2E" w:rsidP="00176D2E">
      <w:pPr>
        <w:spacing w:after="0" w:line="240" w:lineRule="auto"/>
        <w:rPr>
          <w:rFonts w:ascii="Verdana" w:eastAsia="Times New Roman" w:hAnsi="Verdana" w:cs="Arial"/>
          <w:lang w:eastAsia="es-CO"/>
        </w:rPr>
      </w:pPr>
      <w:r w:rsidRPr="00C91297">
        <w:rPr>
          <w:rFonts w:ascii="Verdana" w:eastAsia="Times New Roman" w:hAnsi="Verdana" w:cs="Arial"/>
          <w:lang w:eastAsia="es-CO"/>
        </w:rPr>
        <w:t xml:space="preserve">Atentamente, </w:t>
      </w:r>
    </w:p>
    <w:p w14:paraId="2D2D9F37" w14:textId="77777777" w:rsidR="00176D2E" w:rsidRPr="00C91297" w:rsidRDefault="00176D2E" w:rsidP="00176D2E">
      <w:pPr>
        <w:spacing w:line="276" w:lineRule="auto"/>
        <w:jc w:val="center"/>
        <w:rPr>
          <w:rFonts w:ascii="Verdana" w:eastAsia="Times New Roman" w:hAnsi="Verdana" w:cs="Arial"/>
          <w:lang w:val="es-ES_tradnl" w:eastAsia="es-CO"/>
        </w:rPr>
      </w:pPr>
    </w:p>
    <w:p w14:paraId="4A41C7F0" w14:textId="6A0CA081" w:rsidR="00176D2E" w:rsidRDefault="00176D2E" w:rsidP="00176D2E">
      <w:pPr>
        <w:jc w:val="center"/>
        <w:rPr>
          <w:lang w:val="es-ES_tradnl"/>
        </w:rPr>
      </w:pPr>
    </w:p>
    <w:p w14:paraId="58A01C8D" w14:textId="0F409DF8" w:rsidR="00176D2E" w:rsidRPr="007C6D4E" w:rsidRDefault="00AA4979" w:rsidP="00176D2E">
      <w:pPr>
        <w:jc w:val="center"/>
        <w:rPr>
          <w:lang w:val="es-ES_tradnl"/>
        </w:rPr>
      </w:pPr>
      <w:r>
        <w:rPr>
          <w:noProof/>
        </w:rPr>
        <w:drawing>
          <wp:inline distT="0" distB="0" distL="0" distR="0" wp14:anchorId="3CF8F362" wp14:editId="359DCA99">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76D2E" w:rsidRPr="007C6D4E" w14:paraId="4117E4FF" w14:textId="77777777" w:rsidTr="00881652">
        <w:trPr>
          <w:trHeight w:val="315"/>
        </w:trPr>
        <w:tc>
          <w:tcPr>
            <w:tcW w:w="893" w:type="dxa"/>
            <w:vAlign w:val="center"/>
            <w:hideMark/>
          </w:tcPr>
          <w:p w14:paraId="11742950" w14:textId="77777777" w:rsidR="00176D2E" w:rsidRPr="007C6D4E" w:rsidRDefault="00176D2E" w:rsidP="00881652">
            <w:pPr>
              <w:rPr>
                <w:rFonts w:ascii="Verdana" w:hAnsi="Verdana"/>
                <w:sz w:val="16"/>
                <w:szCs w:val="16"/>
                <w:lang w:val="es-ES"/>
              </w:rPr>
            </w:pPr>
            <w:r w:rsidRPr="007C6D4E">
              <w:rPr>
                <w:rFonts w:ascii="Verdana" w:hAnsi="Verdana"/>
                <w:sz w:val="16"/>
                <w:szCs w:val="16"/>
                <w:lang w:val="es-ES"/>
              </w:rPr>
              <w:t>Elaboró:</w:t>
            </w:r>
          </w:p>
        </w:tc>
        <w:tc>
          <w:tcPr>
            <w:tcW w:w="5628" w:type="dxa"/>
            <w:tcBorders>
              <w:top w:val="nil"/>
              <w:left w:val="nil"/>
              <w:bottom w:val="dotted" w:sz="4" w:space="0" w:color="7F7F7F"/>
              <w:right w:val="nil"/>
            </w:tcBorders>
            <w:vAlign w:val="center"/>
            <w:hideMark/>
          </w:tcPr>
          <w:p w14:paraId="30619E9B" w14:textId="77777777" w:rsidR="00176D2E" w:rsidRPr="007C6D4E" w:rsidRDefault="00176D2E" w:rsidP="00881652">
            <w:pPr>
              <w:rPr>
                <w:rFonts w:ascii="Verdana" w:hAnsi="Verdana"/>
                <w:sz w:val="16"/>
                <w:szCs w:val="16"/>
              </w:rPr>
            </w:pPr>
            <w:r w:rsidRPr="007C6D4E">
              <w:rPr>
                <w:rFonts w:ascii="Verdana" w:hAnsi="Verdana"/>
                <w:sz w:val="16"/>
                <w:szCs w:val="16"/>
              </w:rPr>
              <w:t xml:space="preserve">Héctor Luis Quiñones </w:t>
            </w:r>
            <w:proofErr w:type="spellStart"/>
            <w:r w:rsidRPr="007C6D4E">
              <w:rPr>
                <w:rFonts w:ascii="Verdana" w:hAnsi="Verdana"/>
                <w:sz w:val="16"/>
                <w:szCs w:val="16"/>
              </w:rPr>
              <w:t>Quiñones</w:t>
            </w:r>
            <w:proofErr w:type="spellEnd"/>
          </w:p>
          <w:p w14:paraId="2C0E7128" w14:textId="77777777" w:rsidR="00176D2E" w:rsidRPr="007C6D4E" w:rsidRDefault="00176D2E" w:rsidP="00881652">
            <w:pPr>
              <w:rPr>
                <w:rFonts w:ascii="Verdana" w:hAnsi="Verdana"/>
                <w:sz w:val="16"/>
                <w:szCs w:val="16"/>
              </w:rPr>
            </w:pPr>
            <w:r w:rsidRPr="007C6D4E">
              <w:rPr>
                <w:rFonts w:ascii="Verdana" w:hAnsi="Verdana"/>
                <w:sz w:val="16"/>
                <w:szCs w:val="16"/>
              </w:rPr>
              <w:t>Analista T2-02 de la Subdirección de Gestión Contractual</w:t>
            </w:r>
          </w:p>
        </w:tc>
      </w:tr>
      <w:tr w:rsidR="00176D2E" w:rsidRPr="007C6D4E" w14:paraId="045B957E" w14:textId="77777777" w:rsidTr="00881652">
        <w:trPr>
          <w:trHeight w:val="330"/>
        </w:trPr>
        <w:tc>
          <w:tcPr>
            <w:tcW w:w="893" w:type="dxa"/>
            <w:vAlign w:val="center"/>
            <w:hideMark/>
          </w:tcPr>
          <w:p w14:paraId="4CB8DFD4" w14:textId="77777777" w:rsidR="00176D2E" w:rsidRPr="007C6D4E" w:rsidRDefault="00176D2E" w:rsidP="00881652">
            <w:pPr>
              <w:rPr>
                <w:rFonts w:ascii="Verdana" w:hAnsi="Verdana"/>
                <w:sz w:val="16"/>
                <w:szCs w:val="16"/>
                <w:lang w:val="es-ES"/>
              </w:rPr>
            </w:pPr>
            <w:r w:rsidRPr="007C6D4E">
              <w:rPr>
                <w:rFonts w:ascii="Verdana" w:hAnsi="Verdana"/>
                <w:sz w:val="16"/>
                <w:szCs w:val="16"/>
                <w:lang w:val="es-ES"/>
              </w:rPr>
              <w:t>Revisó:</w:t>
            </w:r>
          </w:p>
        </w:tc>
        <w:tc>
          <w:tcPr>
            <w:tcW w:w="5628" w:type="dxa"/>
            <w:tcBorders>
              <w:top w:val="dotted" w:sz="4" w:space="0" w:color="7F7F7F"/>
              <w:left w:val="nil"/>
              <w:bottom w:val="dotted" w:sz="4" w:space="0" w:color="7F7F7F"/>
              <w:right w:val="nil"/>
            </w:tcBorders>
            <w:vAlign w:val="center"/>
            <w:hideMark/>
          </w:tcPr>
          <w:p w14:paraId="6B6FB602" w14:textId="77777777" w:rsidR="00176D2E" w:rsidRPr="007C6D4E" w:rsidRDefault="00176D2E" w:rsidP="00881652">
            <w:pPr>
              <w:rPr>
                <w:rFonts w:ascii="Verdana" w:hAnsi="Verdana"/>
                <w:sz w:val="16"/>
                <w:szCs w:val="16"/>
              </w:rPr>
            </w:pPr>
            <w:r w:rsidRPr="007C6D4E">
              <w:rPr>
                <w:rFonts w:ascii="Verdana" w:hAnsi="Verdana"/>
                <w:sz w:val="16"/>
                <w:szCs w:val="16"/>
              </w:rPr>
              <w:t xml:space="preserve">Martha Alicia Romero Vargas </w:t>
            </w:r>
          </w:p>
          <w:p w14:paraId="37A65D71" w14:textId="77777777" w:rsidR="00176D2E" w:rsidRPr="007C6D4E" w:rsidRDefault="00176D2E" w:rsidP="00881652">
            <w:pPr>
              <w:rPr>
                <w:rFonts w:ascii="Verdana" w:hAnsi="Verdana"/>
                <w:sz w:val="16"/>
                <w:szCs w:val="16"/>
              </w:rPr>
            </w:pPr>
            <w:r w:rsidRPr="007C6D4E">
              <w:rPr>
                <w:rFonts w:ascii="Verdana" w:hAnsi="Verdana"/>
                <w:sz w:val="16"/>
                <w:szCs w:val="16"/>
                <w:lang w:val="es-ES"/>
              </w:rPr>
              <w:t>Gestor T1- 15 de la Subdirección de Gestión Contractual</w:t>
            </w:r>
            <w:r w:rsidRPr="007C6D4E">
              <w:rPr>
                <w:rFonts w:ascii="Verdana" w:hAnsi="Verdana"/>
                <w:sz w:val="16"/>
                <w:szCs w:val="16"/>
              </w:rPr>
              <w:t> </w:t>
            </w:r>
          </w:p>
        </w:tc>
      </w:tr>
      <w:tr w:rsidR="00176D2E" w:rsidRPr="007C6D4E" w14:paraId="5371878D" w14:textId="77777777" w:rsidTr="00881652">
        <w:trPr>
          <w:trHeight w:val="300"/>
        </w:trPr>
        <w:tc>
          <w:tcPr>
            <w:tcW w:w="893" w:type="dxa"/>
            <w:vAlign w:val="center"/>
          </w:tcPr>
          <w:p w14:paraId="4882A34B" w14:textId="77777777" w:rsidR="00176D2E" w:rsidRPr="007C6D4E" w:rsidRDefault="00176D2E" w:rsidP="00881652">
            <w:pPr>
              <w:rPr>
                <w:rFonts w:ascii="Verdana" w:hAnsi="Verdana"/>
                <w:sz w:val="16"/>
                <w:szCs w:val="16"/>
                <w:lang w:val="es-ES"/>
              </w:rPr>
            </w:pPr>
            <w:r w:rsidRPr="007C6D4E">
              <w:rPr>
                <w:rFonts w:ascii="Verdana" w:hAnsi="Verdana"/>
                <w:sz w:val="16"/>
                <w:szCs w:val="16"/>
                <w:lang w:val="es-ES"/>
              </w:rPr>
              <w:t>Aprobó:</w:t>
            </w:r>
          </w:p>
        </w:tc>
        <w:tc>
          <w:tcPr>
            <w:tcW w:w="5628" w:type="dxa"/>
            <w:tcBorders>
              <w:top w:val="dotted" w:sz="4" w:space="0" w:color="7F7F7F"/>
              <w:left w:val="nil"/>
              <w:bottom w:val="dotted" w:sz="4" w:space="0" w:color="7F7F7F"/>
              <w:right w:val="nil"/>
            </w:tcBorders>
            <w:vAlign w:val="center"/>
          </w:tcPr>
          <w:p w14:paraId="56BF47A4" w14:textId="77777777" w:rsidR="00176D2E" w:rsidRPr="007C6D4E" w:rsidRDefault="00176D2E" w:rsidP="00881652">
            <w:pPr>
              <w:rPr>
                <w:rFonts w:ascii="Verdana" w:hAnsi="Verdana"/>
                <w:sz w:val="16"/>
                <w:szCs w:val="16"/>
                <w:lang w:val="pt-BR"/>
              </w:rPr>
            </w:pPr>
            <w:r w:rsidRPr="007C6D4E">
              <w:rPr>
                <w:rFonts w:ascii="Verdana" w:hAnsi="Verdana"/>
                <w:sz w:val="16"/>
                <w:szCs w:val="16"/>
                <w:lang w:val="pt-BR"/>
              </w:rPr>
              <w:t xml:space="preserve">Carolina Quintero </w:t>
            </w:r>
            <w:proofErr w:type="spellStart"/>
            <w:r w:rsidRPr="007C6D4E">
              <w:rPr>
                <w:rFonts w:ascii="Verdana" w:hAnsi="Verdana"/>
                <w:sz w:val="16"/>
                <w:szCs w:val="16"/>
                <w:lang w:val="pt-BR"/>
              </w:rPr>
              <w:t>Gacharná</w:t>
            </w:r>
            <w:proofErr w:type="spellEnd"/>
          </w:p>
          <w:p w14:paraId="032C3ECA" w14:textId="77777777" w:rsidR="00176D2E" w:rsidRPr="007C6D4E" w:rsidRDefault="00176D2E" w:rsidP="00881652">
            <w:pPr>
              <w:rPr>
                <w:rFonts w:ascii="Verdana" w:hAnsi="Verdana"/>
                <w:sz w:val="16"/>
                <w:szCs w:val="16"/>
                <w:lang w:val="pt-BR"/>
              </w:rPr>
            </w:pPr>
            <w:r w:rsidRPr="007C6D4E">
              <w:rPr>
                <w:rFonts w:ascii="Verdana" w:hAnsi="Verdana"/>
                <w:sz w:val="16"/>
                <w:szCs w:val="16"/>
              </w:rPr>
              <w:t>Subdirectora</w:t>
            </w:r>
            <w:r w:rsidRPr="007C6D4E">
              <w:rPr>
                <w:rFonts w:ascii="Verdana" w:hAnsi="Verdana"/>
                <w:sz w:val="16"/>
                <w:szCs w:val="16"/>
                <w:lang w:val="pt-BR"/>
              </w:rPr>
              <w:t xml:space="preserve"> de Gestión Contratual ANCP – CCE</w:t>
            </w:r>
          </w:p>
        </w:tc>
      </w:tr>
    </w:tbl>
    <w:p w14:paraId="456A0098" w14:textId="77777777" w:rsidR="00783603" w:rsidRPr="00EB0560" w:rsidRDefault="00783603" w:rsidP="00176D2E"/>
    <w:p w14:paraId="265C4F50" w14:textId="77777777" w:rsidR="00783603" w:rsidRDefault="00783603" w:rsidP="00E245AB">
      <w:pPr>
        <w:spacing w:after="0"/>
        <w:rPr>
          <w:rFonts w:ascii="Verdana" w:hAnsi="Verdana"/>
        </w:rPr>
      </w:pPr>
    </w:p>
    <w:p w14:paraId="349BB1CC" w14:textId="77777777" w:rsidR="00783603" w:rsidRDefault="00783603" w:rsidP="00E245AB">
      <w:pPr>
        <w:spacing w:after="0"/>
        <w:rPr>
          <w:rFonts w:ascii="Verdana" w:hAnsi="Verdana"/>
        </w:rPr>
      </w:pPr>
    </w:p>
    <w:p w14:paraId="58DCA016" w14:textId="77777777" w:rsidR="006550D9" w:rsidRDefault="006550D9" w:rsidP="00E245AB">
      <w:pPr>
        <w:spacing w:after="0"/>
        <w:rPr>
          <w:rFonts w:ascii="Verdana" w:hAnsi="Verdana"/>
        </w:rPr>
      </w:pPr>
    </w:p>
    <w:bookmarkEnd w:id="0"/>
    <w:sectPr w:rsidR="006550D9"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985578" w14:textId="77777777" w:rsidR="003A26D1" w:rsidRDefault="003A26D1" w:rsidP="004A1847">
      <w:pPr>
        <w:spacing w:after="0" w:line="240" w:lineRule="auto"/>
      </w:pPr>
      <w:r>
        <w:separator/>
      </w:r>
    </w:p>
  </w:endnote>
  <w:endnote w:type="continuationSeparator" w:id="0">
    <w:p w14:paraId="58A8EB32" w14:textId="77777777" w:rsidR="003A26D1" w:rsidRDefault="003A26D1" w:rsidP="004A1847">
      <w:pPr>
        <w:spacing w:after="0" w:line="240" w:lineRule="auto"/>
      </w:pPr>
      <w:r>
        <w:continuationSeparator/>
      </w:r>
    </w:p>
  </w:endnote>
  <w:endnote w:type="continuationNotice" w:id="1">
    <w:p w14:paraId="22074057" w14:textId="77777777" w:rsidR="00E70AB4" w:rsidRDefault="00E70A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77E5B0" w14:textId="77777777" w:rsidR="003A26D1" w:rsidRDefault="003A26D1" w:rsidP="004A1847">
      <w:pPr>
        <w:spacing w:after="0" w:line="240" w:lineRule="auto"/>
      </w:pPr>
      <w:r>
        <w:separator/>
      </w:r>
    </w:p>
  </w:footnote>
  <w:footnote w:type="continuationSeparator" w:id="0">
    <w:p w14:paraId="46EE451E" w14:textId="77777777" w:rsidR="003A26D1" w:rsidRDefault="003A26D1" w:rsidP="004A1847">
      <w:pPr>
        <w:spacing w:after="0" w:line="240" w:lineRule="auto"/>
      </w:pPr>
      <w:r>
        <w:continuationSeparator/>
      </w:r>
    </w:p>
  </w:footnote>
  <w:footnote w:type="continuationNotice" w:id="1">
    <w:p w14:paraId="16D65CFE" w14:textId="77777777" w:rsidR="00E70AB4" w:rsidRDefault="00E70AB4">
      <w:pPr>
        <w:spacing w:after="0" w:line="240" w:lineRule="auto"/>
      </w:pPr>
    </w:p>
  </w:footnote>
  <w:footnote w:id="2">
    <w:p w14:paraId="1F6F7580" w14:textId="77777777" w:rsidR="00A9783E" w:rsidRPr="00743AC5" w:rsidRDefault="00A9783E" w:rsidP="00A9783E">
      <w:pPr>
        <w:pStyle w:val="Textonotapie"/>
        <w:ind w:firstLine="708"/>
        <w:jc w:val="both"/>
        <w:rPr>
          <w:rFonts w:ascii="Verdana" w:hAnsi="Verdana" w:cs="Arial"/>
          <w:sz w:val="18"/>
          <w:szCs w:val="18"/>
        </w:rPr>
      </w:pPr>
    </w:p>
    <w:p w14:paraId="11FB6C45" w14:textId="77777777" w:rsidR="00A9783E" w:rsidRPr="00743AC5" w:rsidRDefault="00A9783E" w:rsidP="00A9783E">
      <w:pPr>
        <w:pStyle w:val="Textonotapie"/>
        <w:ind w:firstLine="708"/>
        <w:jc w:val="both"/>
        <w:rPr>
          <w:rFonts w:ascii="Verdana" w:hAnsi="Verdana" w:cs="Arial"/>
          <w:sz w:val="18"/>
          <w:szCs w:val="18"/>
          <w:lang w:val="es-CO"/>
        </w:rPr>
      </w:pPr>
      <w:r w:rsidRPr="00743AC5">
        <w:rPr>
          <w:rStyle w:val="Refdenotaalpie"/>
          <w:rFonts w:ascii="Verdana" w:hAnsi="Verdana" w:cs="Arial"/>
          <w:sz w:val="18"/>
          <w:szCs w:val="18"/>
        </w:rPr>
        <w:footnoteRef/>
      </w:r>
      <w:r w:rsidRPr="00743AC5">
        <w:rPr>
          <w:rFonts w:ascii="Verdana" w:hAnsi="Verdana" w:cs="Arial"/>
          <w:sz w:val="18"/>
          <w:szCs w:val="18"/>
        </w:rPr>
        <w:t xml:space="preserve"> CONGRESO DE LA REPÚBLICA. Gacetas</w:t>
      </w:r>
      <w:r w:rsidRPr="00743AC5">
        <w:rPr>
          <w:rFonts w:ascii="Verdana" w:hAnsi="Verdana" w:cs="Arial"/>
          <w:sz w:val="18"/>
          <w:szCs w:val="18"/>
          <w:lang w:val="es-CO"/>
        </w:rPr>
        <w:t xml:space="preserve"> legislativas No. 1860 y 1861 de 2021, de Cámara de Representantes y Senado, respectivamente.</w:t>
      </w:r>
    </w:p>
  </w:footnote>
  <w:footnote w:id="3">
    <w:p w14:paraId="75755274" w14:textId="77777777" w:rsidR="00A9783E" w:rsidRPr="00743AC5" w:rsidRDefault="00A9783E" w:rsidP="00A9783E">
      <w:pPr>
        <w:pStyle w:val="Textonotapie"/>
        <w:ind w:firstLine="709"/>
        <w:jc w:val="both"/>
        <w:rPr>
          <w:rFonts w:ascii="Verdana" w:hAnsi="Verdana" w:cs="Arial"/>
          <w:sz w:val="18"/>
          <w:szCs w:val="18"/>
        </w:rPr>
      </w:pPr>
      <w:r w:rsidRPr="00743AC5">
        <w:rPr>
          <w:rStyle w:val="Refdenotaalpie"/>
          <w:rFonts w:ascii="Verdana" w:hAnsi="Verdana" w:cs="Arial"/>
          <w:sz w:val="18"/>
          <w:szCs w:val="18"/>
        </w:rPr>
        <w:footnoteRef/>
      </w:r>
      <w:r w:rsidRPr="00743AC5">
        <w:rPr>
          <w:rFonts w:ascii="Verdana" w:hAnsi="Verdana" w:cs="Arial"/>
          <w:sz w:val="18"/>
          <w:szCs w:val="18"/>
        </w:rPr>
        <w:t xml:space="preserve"> </w:t>
      </w:r>
      <w:r w:rsidRPr="00743AC5">
        <w:rPr>
          <w:rFonts w:ascii="Verdana" w:hAnsi="Verdana" w:cs="Arial"/>
          <w:color w:val="000000"/>
          <w:sz w:val="18"/>
          <w:szCs w:val="18"/>
          <w:lang w:val="es-ES"/>
        </w:rPr>
        <w:t>Según García de Enterría, “Estos concepto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footnote>
  <w:footnote w:id="4">
    <w:p w14:paraId="30E91F9B" w14:textId="77777777" w:rsidR="00A9783E" w:rsidRPr="00743AC5" w:rsidRDefault="00A9783E" w:rsidP="00A9783E">
      <w:pPr>
        <w:pStyle w:val="Textonotapie"/>
        <w:ind w:firstLine="709"/>
        <w:jc w:val="both"/>
        <w:rPr>
          <w:rFonts w:ascii="Verdana" w:hAnsi="Verdana" w:cs="Arial"/>
          <w:color w:val="000000"/>
          <w:sz w:val="18"/>
          <w:szCs w:val="18"/>
        </w:rPr>
      </w:pPr>
      <w:r w:rsidRPr="00743AC5">
        <w:rPr>
          <w:rStyle w:val="Refdenotaalpie"/>
          <w:rFonts w:ascii="Verdana" w:hAnsi="Verdana" w:cs="Arial"/>
          <w:sz w:val="18"/>
          <w:szCs w:val="18"/>
        </w:rPr>
        <w:footnoteRef/>
      </w:r>
      <w:r w:rsidRPr="00743AC5">
        <w:rPr>
          <w:rFonts w:ascii="Verdana" w:hAnsi="Verdana" w:cs="Arial"/>
          <w:color w:val="000000"/>
          <w:sz w:val="18"/>
          <w:szCs w:val="18"/>
        </w:rPr>
        <w:t xml:space="preserve"> La redacción original del parágrafo primero del artículo 32 de la Ley 80 de 1993, incluía la expresión </w:t>
      </w:r>
      <w:r w:rsidRPr="00743AC5">
        <w:rPr>
          <w:rFonts w:ascii="Verdana" w:hAnsi="Verdana" w:cs="Arial"/>
          <w:i/>
          <w:iCs/>
          <w:color w:val="000000"/>
          <w:sz w:val="18"/>
          <w:szCs w:val="18"/>
        </w:rPr>
        <w:t>giro ordinario</w:t>
      </w:r>
      <w:r w:rsidRPr="00743AC5">
        <w:rPr>
          <w:rFonts w:ascii="Verdana" w:hAnsi="Verdana" w:cs="Arial"/>
          <w:color w:val="000000"/>
          <w:sz w:val="18"/>
          <w:szCs w:val="18"/>
        </w:rPr>
        <w:t xml:space="preserve">,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w:t>
      </w:r>
      <w:r w:rsidRPr="00743AC5">
        <w:rPr>
          <w:rFonts w:ascii="Verdana" w:hAnsi="Verdana" w:cs="Arial"/>
          <w:i/>
          <w:iCs/>
          <w:color w:val="000000"/>
          <w:sz w:val="18"/>
          <w:szCs w:val="18"/>
        </w:rPr>
        <w:t>al giro ordinario de las actividades propias de su objeto social,</w:t>
      </w:r>
      <w:r w:rsidRPr="00743AC5">
        <w:rPr>
          <w:rFonts w:ascii="Verdana" w:hAnsi="Verdana" w:cs="Arial"/>
          <w:color w:val="000000"/>
          <w:sz w:val="18"/>
          <w:szCs w:val="18"/>
        </w:rPr>
        <w:t xml:space="preserve"> no estarán sujetos a las disposiciones del presente estatuto y se regirán por las disposiciones legales y reglamentarias aplicables a dichas actividades” [Énfasis fuera de texto].</w:t>
      </w:r>
    </w:p>
    <w:p w14:paraId="7A6E53B3" w14:textId="77777777" w:rsidR="00A9783E" w:rsidRPr="00743AC5" w:rsidRDefault="00A9783E" w:rsidP="00A9783E">
      <w:pPr>
        <w:pStyle w:val="Textonotapie"/>
        <w:ind w:firstLine="709"/>
        <w:jc w:val="both"/>
        <w:rPr>
          <w:rFonts w:ascii="Verdana" w:hAnsi="Verdana" w:cs="Arial"/>
          <w:color w:val="000000"/>
          <w:sz w:val="18"/>
          <w:szCs w:val="18"/>
        </w:rPr>
      </w:pPr>
    </w:p>
  </w:footnote>
  <w:footnote w:id="5">
    <w:p w14:paraId="758DE46C" w14:textId="77777777" w:rsidR="00A9783E" w:rsidRPr="00743AC5" w:rsidRDefault="00A9783E" w:rsidP="00A9783E">
      <w:pPr>
        <w:pStyle w:val="Textonotapie"/>
        <w:ind w:firstLine="709"/>
        <w:jc w:val="both"/>
        <w:rPr>
          <w:rFonts w:ascii="Verdana" w:hAnsi="Verdana" w:cs="Arial"/>
          <w:color w:val="000000"/>
          <w:sz w:val="18"/>
          <w:szCs w:val="18"/>
        </w:rPr>
      </w:pPr>
      <w:r w:rsidRPr="00743AC5">
        <w:rPr>
          <w:rStyle w:val="Refdenotaalpie"/>
          <w:rFonts w:ascii="Verdana" w:hAnsi="Verdana" w:cs="Arial"/>
          <w:sz w:val="18"/>
          <w:szCs w:val="18"/>
        </w:rPr>
        <w:footnoteRef/>
      </w:r>
      <w:r w:rsidRPr="00743AC5">
        <w:rPr>
          <w:rFonts w:ascii="Verdana" w:hAnsi="Verdana" w:cs="Arial"/>
          <w:color w:val="000000"/>
          <w:sz w:val="18"/>
          <w:szCs w:val="18"/>
        </w:rPr>
        <w:t xml:space="preserve"> Consejo de Estado. Sección Tercera. Subsección B. Sentencia del 12 de octubre de 2011. Exp. No. 20070. C.P. Danilo Rojas Betancourt.</w:t>
      </w:r>
    </w:p>
    <w:p w14:paraId="5F8100BD" w14:textId="77777777" w:rsidR="00A9783E" w:rsidRPr="00743AC5" w:rsidRDefault="00A9783E" w:rsidP="00A9783E">
      <w:pPr>
        <w:pStyle w:val="Textonotapie"/>
        <w:ind w:firstLine="709"/>
        <w:jc w:val="both"/>
        <w:rPr>
          <w:rFonts w:ascii="Verdana" w:hAnsi="Verdana" w:cs="Arial"/>
          <w:color w:val="000000"/>
          <w:sz w:val="18"/>
          <w:szCs w:val="18"/>
          <w:lang w:val="es-ES"/>
        </w:rPr>
      </w:pPr>
    </w:p>
  </w:footnote>
  <w:footnote w:id="6">
    <w:p w14:paraId="73063616" w14:textId="77777777" w:rsidR="00A9783E" w:rsidRPr="00743AC5" w:rsidRDefault="00A9783E" w:rsidP="00A9783E">
      <w:pPr>
        <w:spacing w:line="240" w:lineRule="auto"/>
        <w:ind w:firstLine="709"/>
        <w:jc w:val="both"/>
        <w:rPr>
          <w:rFonts w:ascii="Verdana" w:hAnsi="Verdana" w:cs="Arial"/>
          <w:color w:val="000000"/>
          <w:sz w:val="18"/>
          <w:szCs w:val="18"/>
        </w:rPr>
      </w:pPr>
      <w:r w:rsidRPr="00743AC5">
        <w:rPr>
          <w:rStyle w:val="Refdenotaalpie"/>
          <w:rFonts w:ascii="Verdana" w:hAnsi="Verdana" w:cs="Arial"/>
          <w:sz w:val="18"/>
          <w:szCs w:val="18"/>
        </w:rPr>
        <w:footnoteRef/>
      </w:r>
      <w:r w:rsidRPr="00743AC5">
        <w:rPr>
          <w:rFonts w:ascii="Verdana" w:hAnsi="Verdana" w:cs="Arial"/>
          <w:color w:val="000000"/>
          <w:sz w:val="18"/>
          <w:szCs w:val="18"/>
        </w:rPr>
        <w:t xml:space="preserve"> Consejo de Estado. Sección Tercera. Subsección A. Sentencia del 3 de marzo de 2021. Exp. No. 51373. C.P. José Roberto Sáchica Méndez.</w:t>
      </w:r>
    </w:p>
    <w:p w14:paraId="5055EB9E" w14:textId="77777777" w:rsidR="00A9783E" w:rsidRPr="00743AC5" w:rsidRDefault="00A9783E" w:rsidP="00A9783E">
      <w:pPr>
        <w:spacing w:line="240" w:lineRule="auto"/>
        <w:ind w:firstLine="709"/>
        <w:jc w:val="both"/>
        <w:rPr>
          <w:rFonts w:ascii="Verdana" w:hAnsi="Verdana" w:cs="Arial"/>
          <w:color w:val="000000"/>
          <w:sz w:val="18"/>
          <w:szCs w:val="18"/>
        </w:rPr>
      </w:pPr>
      <w:r w:rsidRPr="00743AC5">
        <w:rPr>
          <w:rFonts w:ascii="Verdana" w:hAnsi="Verdana" w:cs="Arial"/>
          <w:color w:val="000000"/>
          <w:sz w:val="18"/>
          <w:szCs w:val="18"/>
        </w:rPr>
        <w:t xml:space="preserve"> </w:t>
      </w:r>
    </w:p>
  </w:footnote>
  <w:footnote w:id="7">
    <w:p w14:paraId="0B3CEF88" w14:textId="77777777" w:rsidR="00A9783E" w:rsidRPr="00743AC5" w:rsidRDefault="00A9783E" w:rsidP="00A9783E">
      <w:pPr>
        <w:pStyle w:val="Textonotapie"/>
        <w:ind w:firstLine="709"/>
        <w:jc w:val="both"/>
        <w:rPr>
          <w:rFonts w:ascii="Verdana" w:hAnsi="Verdana" w:cs="Arial"/>
          <w:color w:val="000000"/>
          <w:sz w:val="18"/>
          <w:szCs w:val="18"/>
        </w:rPr>
      </w:pPr>
      <w:r w:rsidRPr="00743AC5">
        <w:rPr>
          <w:rStyle w:val="Refdenotaalpie"/>
          <w:rFonts w:ascii="Verdana" w:hAnsi="Verdana" w:cs="Arial"/>
          <w:sz w:val="18"/>
          <w:szCs w:val="18"/>
        </w:rPr>
        <w:footnoteRef/>
      </w:r>
      <w:r w:rsidRPr="00743AC5">
        <w:rPr>
          <w:rFonts w:ascii="Verdana" w:hAnsi="Verdana" w:cs="Arial"/>
          <w:color w:val="000000"/>
          <w:sz w:val="18"/>
          <w:szCs w:val="18"/>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3BBDF3CC" w14:textId="77777777" w:rsidR="00A9783E" w:rsidRPr="00743AC5" w:rsidRDefault="00A9783E" w:rsidP="00A9783E">
      <w:pPr>
        <w:pStyle w:val="Textonotapie"/>
        <w:ind w:firstLine="709"/>
        <w:jc w:val="both"/>
        <w:rPr>
          <w:rFonts w:ascii="Verdana" w:hAnsi="Verdana" w:cs="Arial"/>
          <w:color w:val="000000"/>
          <w:sz w:val="18"/>
          <w:szCs w:val="18"/>
        </w:rPr>
      </w:pPr>
      <w:r w:rsidRPr="00743AC5">
        <w:rPr>
          <w:rFonts w:ascii="Verdana" w:hAnsi="Verdana" w:cs="Arial"/>
          <w:color w:val="000000"/>
          <w:sz w:val="18"/>
          <w:szCs w:val="18"/>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8">
    <w:p w14:paraId="013EA637" w14:textId="77777777" w:rsidR="00A9783E" w:rsidRPr="00743AC5" w:rsidRDefault="00A9783E" w:rsidP="00A9783E">
      <w:pPr>
        <w:pStyle w:val="Textonotapie"/>
        <w:ind w:firstLine="709"/>
        <w:jc w:val="both"/>
        <w:rPr>
          <w:rFonts w:ascii="Verdana" w:hAnsi="Verdana" w:cs="Arial"/>
          <w:color w:val="000000"/>
          <w:sz w:val="18"/>
          <w:szCs w:val="18"/>
        </w:rPr>
      </w:pPr>
    </w:p>
    <w:p w14:paraId="5B7B3BEF" w14:textId="77777777" w:rsidR="00A9783E" w:rsidRPr="00743AC5" w:rsidRDefault="00A9783E" w:rsidP="00A9783E">
      <w:pPr>
        <w:pStyle w:val="Textonotapie"/>
        <w:ind w:firstLine="709"/>
        <w:jc w:val="both"/>
        <w:rPr>
          <w:rFonts w:ascii="Verdana" w:hAnsi="Verdana" w:cs="Arial"/>
          <w:color w:val="000000"/>
          <w:sz w:val="18"/>
          <w:szCs w:val="18"/>
        </w:rPr>
      </w:pPr>
      <w:r w:rsidRPr="00743AC5">
        <w:rPr>
          <w:rStyle w:val="Refdenotaalpie"/>
          <w:rFonts w:ascii="Verdana" w:hAnsi="Verdana" w:cs="Arial"/>
          <w:sz w:val="18"/>
          <w:szCs w:val="18"/>
        </w:rPr>
        <w:footnoteRef/>
      </w:r>
      <w:r w:rsidRPr="00743AC5">
        <w:rPr>
          <w:rFonts w:ascii="Verdana" w:hAnsi="Verdana" w:cs="Arial"/>
          <w:color w:val="000000"/>
          <w:sz w:val="18"/>
          <w:szCs w:val="18"/>
        </w:rPr>
        <w:t xml:space="preserve"> Superintendencia de Sociedades. Oficio 220-014111 del 18 de febrero de 2015. Consultado el 4 de junio de 2024 en: </w:t>
      </w:r>
      <w:hyperlink r:id="rId1" w:history="1">
        <w:r w:rsidRPr="00743AC5">
          <w:rPr>
            <w:rStyle w:val="Hipervnculo"/>
            <w:rFonts w:ascii="Verdana" w:hAnsi="Verdana" w:cs="Arial"/>
            <w:sz w:val="18"/>
            <w:szCs w:val="18"/>
          </w:rPr>
          <w:t>https://www.google.com/url?sa=t&amp;source=web&amp;rct=j&amp;opi=89978449&amp;url=https://www.supersociedades.gov.co/documents/107391/159040/OFICIO%2B220-014111%2BDE%2B2015.pdf/eb5e710f-d8b7-df76-125b-960ff46a9304%3Ft%3D1670899573061%26download%3Dtrue&amp;ved=2ahUKEwj9kJParMKGAxXuTTABHaENC7wQFnoECBIQAQ&amp;usg=AOvVaw3ndDRzYhuwXRRSLBYPpr25</w:t>
        </w:r>
      </w:hyperlink>
      <w:r w:rsidRPr="00743AC5">
        <w:rPr>
          <w:rFonts w:ascii="Verdana" w:hAnsi="Verdana" w:cs="Arial"/>
          <w:color w:val="000000"/>
          <w:sz w:val="18"/>
          <w:szCs w:val="18"/>
        </w:rPr>
        <w:t xml:space="preserve"> </w:t>
      </w:r>
    </w:p>
  </w:footnote>
  <w:footnote w:id="9">
    <w:p w14:paraId="21B72342" w14:textId="77777777" w:rsidR="00A9783E" w:rsidRPr="00743AC5" w:rsidRDefault="00A9783E" w:rsidP="00A9783E">
      <w:pPr>
        <w:pStyle w:val="Textonotapie"/>
        <w:ind w:firstLine="709"/>
        <w:jc w:val="both"/>
        <w:rPr>
          <w:rFonts w:ascii="Verdana" w:hAnsi="Verdana" w:cs="Arial"/>
          <w:color w:val="000000"/>
          <w:sz w:val="18"/>
          <w:szCs w:val="18"/>
        </w:rPr>
      </w:pPr>
      <w:r w:rsidRPr="00743AC5">
        <w:rPr>
          <w:rStyle w:val="Refdenotaalpie"/>
          <w:rFonts w:ascii="Verdana" w:hAnsi="Verdana" w:cs="Arial"/>
          <w:sz w:val="18"/>
          <w:szCs w:val="18"/>
        </w:rPr>
        <w:footnoteRef/>
      </w:r>
      <w:r w:rsidRPr="00743AC5">
        <w:rPr>
          <w:rFonts w:ascii="Verdana" w:hAnsi="Verdana" w:cs="Arial"/>
          <w:color w:val="000000"/>
          <w:sz w:val="18"/>
          <w:szCs w:val="18"/>
        </w:rPr>
        <w:t xml:space="preserve"> Al respecto ha señalado la Corte Constitucional: “En relación con el ámbito de configuración del legislador en materia contractual la jurisprudencia constitucional ha señalado los siguientes criterios:</w:t>
      </w:r>
    </w:p>
    <w:p w14:paraId="09D05B58" w14:textId="77777777" w:rsidR="00A9783E" w:rsidRPr="00743AC5" w:rsidRDefault="00A9783E" w:rsidP="00A9783E">
      <w:pPr>
        <w:pStyle w:val="Textonotapie"/>
        <w:ind w:firstLine="709"/>
        <w:jc w:val="both"/>
        <w:rPr>
          <w:rFonts w:ascii="Verdana" w:hAnsi="Verdana" w:cs="Arial"/>
          <w:color w:val="000000"/>
          <w:sz w:val="18"/>
          <w:szCs w:val="18"/>
        </w:rPr>
      </w:pPr>
      <w:r w:rsidRPr="00743AC5">
        <w:rPr>
          <w:rFonts w:ascii="Verdana" w:hAnsi="Verdana" w:cs="Arial"/>
          <w:color w:val="000000"/>
          <w:sz w:val="18"/>
          <w:szCs w:val="18"/>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w:t>
      </w:r>
    </w:p>
    <w:p w14:paraId="194CF392" w14:textId="77777777" w:rsidR="00A9783E" w:rsidRPr="00743AC5" w:rsidRDefault="00A9783E" w:rsidP="00A9783E">
      <w:pPr>
        <w:pStyle w:val="Textonotapie"/>
        <w:ind w:firstLine="709"/>
        <w:jc w:val="both"/>
        <w:rPr>
          <w:rFonts w:ascii="Verdana" w:hAnsi="Verdana" w:cs="Arial"/>
          <w:color w:val="000000"/>
          <w:sz w:val="18"/>
          <w:szCs w:val="18"/>
        </w:rPr>
      </w:pPr>
      <w:r w:rsidRPr="00743AC5">
        <w:rPr>
          <w:rFonts w:ascii="Verdana" w:hAnsi="Verdana" w:cs="Arial"/>
          <w:color w:val="000000"/>
          <w:sz w:val="18"/>
          <w:szCs w:val="18"/>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w:t>
      </w:r>
    </w:p>
    <w:p w14:paraId="3828EF26" w14:textId="77777777" w:rsidR="00A9783E" w:rsidRPr="00743AC5" w:rsidRDefault="00A9783E" w:rsidP="00A9783E">
      <w:pPr>
        <w:pStyle w:val="Textonotapie"/>
        <w:ind w:firstLine="709"/>
        <w:jc w:val="both"/>
        <w:rPr>
          <w:rFonts w:ascii="Verdana" w:hAnsi="Verdana" w:cs="Arial"/>
          <w:color w:val="000000"/>
          <w:sz w:val="18"/>
          <w:szCs w:val="18"/>
        </w:rPr>
      </w:pPr>
      <w:r w:rsidRPr="00743AC5">
        <w:rPr>
          <w:rFonts w:ascii="Verdana" w:hAnsi="Verdana" w:cs="Arial"/>
          <w:color w:val="000000"/>
          <w:sz w:val="18"/>
          <w:szCs w:val="18"/>
        </w:rPr>
        <w:t>(iii)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w:t>
      </w:r>
    </w:p>
    <w:p w14:paraId="156B46BF" w14:textId="77777777" w:rsidR="00A9783E" w:rsidRPr="00743AC5" w:rsidRDefault="00A9783E" w:rsidP="00A9783E">
      <w:pPr>
        <w:pStyle w:val="Textonotapie"/>
        <w:ind w:firstLine="709"/>
        <w:jc w:val="both"/>
        <w:rPr>
          <w:rFonts w:ascii="Verdana" w:hAnsi="Verdana" w:cs="Arial"/>
          <w:color w:val="000000"/>
          <w:sz w:val="18"/>
          <w:szCs w:val="18"/>
        </w:rPr>
      </w:pPr>
      <w:r w:rsidRPr="00743AC5">
        <w:rPr>
          <w:rFonts w:ascii="Verdana" w:hAnsi="Verdana" w:cs="Arial"/>
          <w:color w:val="000000"/>
          <w:sz w:val="18"/>
          <w:szCs w:val="18"/>
        </w:rPr>
        <w:t xml:space="preserve"> </w:t>
      </w:r>
    </w:p>
  </w:footnote>
  <w:footnote w:id="10">
    <w:p w14:paraId="4F85BADE" w14:textId="77777777" w:rsidR="00A9783E" w:rsidRPr="00743AC5" w:rsidRDefault="00A9783E" w:rsidP="00A9783E">
      <w:pPr>
        <w:pStyle w:val="Textonotapie"/>
        <w:ind w:firstLine="709"/>
        <w:jc w:val="both"/>
        <w:rPr>
          <w:rFonts w:ascii="Verdana" w:hAnsi="Verdana" w:cs="Arial"/>
          <w:color w:val="000000"/>
          <w:sz w:val="18"/>
          <w:szCs w:val="18"/>
        </w:rPr>
      </w:pPr>
      <w:r w:rsidRPr="00743AC5">
        <w:rPr>
          <w:rStyle w:val="Refdenotaalpie"/>
          <w:rFonts w:ascii="Verdana" w:hAnsi="Verdana" w:cs="Arial"/>
          <w:sz w:val="18"/>
          <w:szCs w:val="18"/>
        </w:rPr>
        <w:footnoteRef/>
      </w:r>
      <w:r w:rsidRPr="00743AC5">
        <w:rPr>
          <w:rFonts w:ascii="Verdana" w:hAnsi="Verdana" w:cs="Arial"/>
          <w:sz w:val="18"/>
          <w:szCs w:val="18"/>
        </w:rPr>
        <w:t xml:space="preserve"> </w:t>
      </w:r>
      <w:r w:rsidRPr="00743AC5">
        <w:rPr>
          <w:rFonts w:ascii="Verdana" w:hAnsi="Verdana" w:cs="Arial"/>
          <w:color w:val="000000"/>
          <w:sz w:val="18"/>
          <w:szCs w:val="18"/>
        </w:rPr>
        <w:t>Consejo de Estado. Sección Tercera. Subsección A. Sentencia del 24 de junio de 2015. Exp. 40.635. Consejero Ponente: Hernán Andrade Rincón (E).</w:t>
      </w:r>
    </w:p>
    <w:p w14:paraId="585EBA4D" w14:textId="77777777" w:rsidR="00A9783E" w:rsidRPr="00743AC5" w:rsidRDefault="00A9783E" w:rsidP="00A9783E">
      <w:pPr>
        <w:pStyle w:val="Textonotapie"/>
        <w:ind w:firstLine="709"/>
        <w:jc w:val="both"/>
        <w:rPr>
          <w:rFonts w:ascii="Verdana" w:hAnsi="Verdana"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FFFFFFFF"/>
    <w:lvl w:ilvl="0">
      <w:start w:val="1"/>
      <w:numFmt w:val="upperRoman"/>
      <w:lvlText w:val="%1."/>
      <w:lvlJc w:val="right"/>
      <w:pPr>
        <w:ind w:left="1068" w:hanging="360"/>
      </w:pPr>
      <w:rPr>
        <w:rFonts w:cs="Times New Roman"/>
        <w:b/>
        <w:color w:val="000000" w:themeColor="text1"/>
      </w:rPr>
    </w:lvl>
    <w:lvl w:ilvl="1">
      <w:start w:val="2"/>
      <w:numFmt w:val="decimal"/>
      <w:isLgl/>
      <w:lvlText w:val="%1.%2"/>
      <w:lvlJc w:val="left"/>
      <w:pPr>
        <w:ind w:left="708" w:hanging="360"/>
      </w:pPr>
      <w:rPr>
        <w:rFonts w:cs="Times New Roman"/>
      </w:rPr>
    </w:lvl>
    <w:lvl w:ilvl="2">
      <w:start w:val="1"/>
      <w:numFmt w:val="decimal"/>
      <w:isLgl/>
      <w:lvlText w:val="%1.%2.%3"/>
      <w:lvlJc w:val="left"/>
      <w:pPr>
        <w:ind w:left="1428" w:hanging="720"/>
      </w:pPr>
      <w:rPr>
        <w:rFonts w:cs="Times New Roman"/>
      </w:rPr>
    </w:lvl>
    <w:lvl w:ilvl="3">
      <w:start w:val="1"/>
      <w:numFmt w:val="decimal"/>
      <w:isLgl/>
      <w:lvlText w:val="%1.%2.%3.%4"/>
      <w:lvlJc w:val="left"/>
      <w:pPr>
        <w:ind w:left="1428" w:hanging="720"/>
      </w:pPr>
      <w:rPr>
        <w:rFonts w:cs="Times New Roman"/>
      </w:rPr>
    </w:lvl>
    <w:lvl w:ilvl="4">
      <w:start w:val="1"/>
      <w:numFmt w:val="decimal"/>
      <w:isLgl/>
      <w:lvlText w:val="%1.%2.%3.%4.%5"/>
      <w:lvlJc w:val="left"/>
      <w:pPr>
        <w:ind w:left="1788" w:hanging="1080"/>
      </w:pPr>
      <w:rPr>
        <w:rFonts w:cs="Times New Roman"/>
      </w:rPr>
    </w:lvl>
    <w:lvl w:ilvl="5">
      <w:start w:val="1"/>
      <w:numFmt w:val="decimal"/>
      <w:isLgl/>
      <w:lvlText w:val="%1.%2.%3.%4.%5.%6"/>
      <w:lvlJc w:val="left"/>
      <w:pPr>
        <w:ind w:left="1788" w:hanging="1080"/>
      </w:pPr>
      <w:rPr>
        <w:rFonts w:cs="Times New Roman"/>
      </w:rPr>
    </w:lvl>
    <w:lvl w:ilvl="6">
      <w:start w:val="1"/>
      <w:numFmt w:val="decimal"/>
      <w:isLgl/>
      <w:lvlText w:val="%1.%2.%3.%4.%5.%6.%7"/>
      <w:lvlJc w:val="left"/>
      <w:pPr>
        <w:ind w:left="2148" w:hanging="1440"/>
      </w:pPr>
      <w:rPr>
        <w:rFonts w:cs="Times New Roman"/>
      </w:rPr>
    </w:lvl>
    <w:lvl w:ilvl="7">
      <w:start w:val="1"/>
      <w:numFmt w:val="decimal"/>
      <w:isLgl/>
      <w:lvlText w:val="%1.%2.%3.%4.%5.%6.%7.%8"/>
      <w:lvlJc w:val="left"/>
      <w:pPr>
        <w:ind w:left="2148" w:hanging="1440"/>
      </w:pPr>
      <w:rPr>
        <w:rFonts w:cs="Times New Roman"/>
      </w:rPr>
    </w:lvl>
    <w:lvl w:ilvl="8">
      <w:start w:val="1"/>
      <w:numFmt w:val="decimal"/>
      <w:isLgl/>
      <w:lvlText w:val="%1.%2.%3.%4.%5.%6.%7.%8.%9"/>
      <w:lvlJc w:val="left"/>
      <w:pPr>
        <w:ind w:left="2508" w:hanging="1800"/>
      </w:pPr>
      <w:rPr>
        <w:rFonts w:cs="Times New Roman"/>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FFFFFFFF"/>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4617B1A"/>
    <w:multiLevelType w:val="hybridMultilevel"/>
    <w:tmpl w:val="59A695A2"/>
    <w:lvl w:ilvl="0" w:tplc="0D1E8A8A">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1E463C4"/>
    <w:multiLevelType w:val="hybridMultilevel"/>
    <w:tmpl w:val="3EA81E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14E4230"/>
    <w:multiLevelType w:val="hybridMultilevel"/>
    <w:tmpl w:val="F43A1A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5"/>
  </w:num>
  <w:num w:numId="8" w16cid:durableId="152644682">
    <w:abstractNumId w:val="15"/>
  </w:num>
  <w:num w:numId="9" w16cid:durableId="1317221377">
    <w:abstractNumId w:val="7"/>
  </w:num>
  <w:num w:numId="10" w16cid:durableId="1471245386">
    <w:abstractNumId w:val="14"/>
  </w:num>
  <w:num w:numId="11" w16cid:durableId="289172385">
    <w:abstractNumId w:val="8"/>
  </w:num>
  <w:num w:numId="12" w16cid:durableId="1470781324">
    <w:abstractNumId w:val="1"/>
  </w:num>
  <w:num w:numId="13" w16cid:durableId="1512908409">
    <w:abstractNumId w:val="3"/>
  </w:num>
  <w:num w:numId="14" w16cid:durableId="895897244">
    <w:abstractNumId w:val="17"/>
  </w:num>
  <w:num w:numId="15" w16cid:durableId="390349800">
    <w:abstractNumId w:val="13"/>
  </w:num>
  <w:num w:numId="16" w16cid:durableId="1849639419">
    <w:abstractNumId w:val="0"/>
  </w:num>
  <w:num w:numId="17" w16cid:durableId="226109057">
    <w:abstractNumId w:val="9"/>
  </w:num>
  <w:num w:numId="18" w16cid:durableId="234626072">
    <w:abstractNumId w:val="10"/>
  </w:num>
  <w:num w:numId="19" w16cid:durableId="1655985476">
    <w:abstractNumId w:val="11"/>
  </w:num>
  <w:num w:numId="20" w16cid:durableId="18875224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71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46DF"/>
    <w:rsid w:val="00060032"/>
    <w:rsid w:val="00060DB8"/>
    <w:rsid w:val="00061B2A"/>
    <w:rsid w:val="00082362"/>
    <w:rsid w:val="000A683E"/>
    <w:rsid w:val="000B19B9"/>
    <w:rsid w:val="000D0334"/>
    <w:rsid w:val="000F6486"/>
    <w:rsid w:val="00125105"/>
    <w:rsid w:val="00127233"/>
    <w:rsid w:val="001700CD"/>
    <w:rsid w:val="00176D2E"/>
    <w:rsid w:val="001E4177"/>
    <w:rsid w:val="001F7DC6"/>
    <w:rsid w:val="00207A26"/>
    <w:rsid w:val="00237197"/>
    <w:rsid w:val="002421BB"/>
    <w:rsid w:val="0025796E"/>
    <w:rsid w:val="002707A2"/>
    <w:rsid w:val="002951A0"/>
    <w:rsid w:val="002962BC"/>
    <w:rsid w:val="002A093D"/>
    <w:rsid w:val="002A0DD0"/>
    <w:rsid w:val="002A49AC"/>
    <w:rsid w:val="002A64FD"/>
    <w:rsid w:val="002C2C97"/>
    <w:rsid w:val="002C3C7F"/>
    <w:rsid w:val="002C7A84"/>
    <w:rsid w:val="002E4FD9"/>
    <w:rsid w:val="00304CA6"/>
    <w:rsid w:val="00321E45"/>
    <w:rsid w:val="00322A85"/>
    <w:rsid w:val="00324168"/>
    <w:rsid w:val="00333AD2"/>
    <w:rsid w:val="003363E7"/>
    <w:rsid w:val="003448F4"/>
    <w:rsid w:val="00353A43"/>
    <w:rsid w:val="00374F5E"/>
    <w:rsid w:val="00377E3E"/>
    <w:rsid w:val="003A26D1"/>
    <w:rsid w:val="003A779E"/>
    <w:rsid w:val="003B5A7A"/>
    <w:rsid w:val="003C4325"/>
    <w:rsid w:val="003D0F4D"/>
    <w:rsid w:val="003D5B0D"/>
    <w:rsid w:val="003E0499"/>
    <w:rsid w:val="003F3941"/>
    <w:rsid w:val="004025DE"/>
    <w:rsid w:val="004029C7"/>
    <w:rsid w:val="00406575"/>
    <w:rsid w:val="00424511"/>
    <w:rsid w:val="0042722E"/>
    <w:rsid w:val="0044269B"/>
    <w:rsid w:val="0044528D"/>
    <w:rsid w:val="004A1847"/>
    <w:rsid w:val="004A305D"/>
    <w:rsid w:val="004C0CB6"/>
    <w:rsid w:val="004F21C4"/>
    <w:rsid w:val="004F685F"/>
    <w:rsid w:val="005566E8"/>
    <w:rsid w:val="00574867"/>
    <w:rsid w:val="00591460"/>
    <w:rsid w:val="00592628"/>
    <w:rsid w:val="005C3777"/>
    <w:rsid w:val="005C5CDC"/>
    <w:rsid w:val="005D476C"/>
    <w:rsid w:val="00610812"/>
    <w:rsid w:val="006219F8"/>
    <w:rsid w:val="00644F09"/>
    <w:rsid w:val="00650FF7"/>
    <w:rsid w:val="006550D9"/>
    <w:rsid w:val="00665D70"/>
    <w:rsid w:val="00671DAC"/>
    <w:rsid w:val="006900D9"/>
    <w:rsid w:val="006C5CCE"/>
    <w:rsid w:val="006D12F8"/>
    <w:rsid w:val="006E64D8"/>
    <w:rsid w:val="00706C16"/>
    <w:rsid w:val="00741927"/>
    <w:rsid w:val="00756841"/>
    <w:rsid w:val="007649AB"/>
    <w:rsid w:val="00771D0C"/>
    <w:rsid w:val="00781899"/>
    <w:rsid w:val="007833AC"/>
    <w:rsid w:val="00783603"/>
    <w:rsid w:val="00794799"/>
    <w:rsid w:val="007B049C"/>
    <w:rsid w:val="007B268C"/>
    <w:rsid w:val="007B5295"/>
    <w:rsid w:val="007B7171"/>
    <w:rsid w:val="007C0C0F"/>
    <w:rsid w:val="007C3DC2"/>
    <w:rsid w:val="007C49A4"/>
    <w:rsid w:val="007E2AAE"/>
    <w:rsid w:val="007E5497"/>
    <w:rsid w:val="00806F5F"/>
    <w:rsid w:val="00820278"/>
    <w:rsid w:val="00846E31"/>
    <w:rsid w:val="008843B6"/>
    <w:rsid w:val="008853E8"/>
    <w:rsid w:val="00891928"/>
    <w:rsid w:val="008A446D"/>
    <w:rsid w:val="008D180B"/>
    <w:rsid w:val="008F0EA7"/>
    <w:rsid w:val="008F6336"/>
    <w:rsid w:val="00923EEF"/>
    <w:rsid w:val="009419F9"/>
    <w:rsid w:val="0095685E"/>
    <w:rsid w:val="00961B09"/>
    <w:rsid w:val="00965334"/>
    <w:rsid w:val="0097093E"/>
    <w:rsid w:val="009A0DFA"/>
    <w:rsid w:val="009B2D26"/>
    <w:rsid w:val="009C71FA"/>
    <w:rsid w:val="009C72E7"/>
    <w:rsid w:val="009D3058"/>
    <w:rsid w:val="009F11D6"/>
    <w:rsid w:val="009F3A13"/>
    <w:rsid w:val="00A12055"/>
    <w:rsid w:val="00A122D3"/>
    <w:rsid w:val="00A17F13"/>
    <w:rsid w:val="00A20739"/>
    <w:rsid w:val="00A33C78"/>
    <w:rsid w:val="00A50DB3"/>
    <w:rsid w:val="00A9783E"/>
    <w:rsid w:val="00AA4979"/>
    <w:rsid w:val="00AB0ADB"/>
    <w:rsid w:val="00B01B1A"/>
    <w:rsid w:val="00B72CD3"/>
    <w:rsid w:val="00B72FFF"/>
    <w:rsid w:val="00BC3D36"/>
    <w:rsid w:val="00BD7F72"/>
    <w:rsid w:val="00BE10F3"/>
    <w:rsid w:val="00C04FB3"/>
    <w:rsid w:val="00C330EB"/>
    <w:rsid w:val="00C73697"/>
    <w:rsid w:val="00C754BE"/>
    <w:rsid w:val="00C76B1C"/>
    <w:rsid w:val="00C835D6"/>
    <w:rsid w:val="00CB6357"/>
    <w:rsid w:val="00CC1B26"/>
    <w:rsid w:val="00D423A2"/>
    <w:rsid w:val="00D520D8"/>
    <w:rsid w:val="00D63AC2"/>
    <w:rsid w:val="00D7383B"/>
    <w:rsid w:val="00DA082F"/>
    <w:rsid w:val="00DA231B"/>
    <w:rsid w:val="00DA23A0"/>
    <w:rsid w:val="00DC39FC"/>
    <w:rsid w:val="00DE5BCA"/>
    <w:rsid w:val="00DF5254"/>
    <w:rsid w:val="00E00EA9"/>
    <w:rsid w:val="00E16408"/>
    <w:rsid w:val="00E20894"/>
    <w:rsid w:val="00E245AB"/>
    <w:rsid w:val="00E2764C"/>
    <w:rsid w:val="00E27F2E"/>
    <w:rsid w:val="00E413EA"/>
    <w:rsid w:val="00E46F56"/>
    <w:rsid w:val="00E50AFE"/>
    <w:rsid w:val="00E70AB4"/>
    <w:rsid w:val="00E75C92"/>
    <w:rsid w:val="00E771DC"/>
    <w:rsid w:val="00E8772A"/>
    <w:rsid w:val="00E90F6B"/>
    <w:rsid w:val="00E92C27"/>
    <w:rsid w:val="00EA0E3D"/>
    <w:rsid w:val="00EA5E07"/>
    <w:rsid w:val="00EC38A7"/>
    <w:rsid w:val="00EE1AA8"/>
    <w:rsid w:val="00F034FB"/>
    <w:rsid w:val="00F31EDC"/>
    <w:rsid w:val="00F35563"/>
    <w:rsid w:val="00F462B3"/>
    <w:rsid w:val="00F5664F"/>
    <w:rsid w:val="00F622B9"/>
    <w:rsid w:val="00F666C4"/>
    <w:rsid w:val="00F76AFC"/>
    <w:rsid w:val="00FA47C0"/>
    <w:rsid w:val="00FB5DD1"/>
    <w:rsid w:val="00FB67D1"/>
    <w:rsid w:val="00FC2B5D"/>
    <w:rsid w:val="00FF1449"/>
    <w:rsid w:val="00FF6C03"/>
    <w:rsid w:val="5CEADB7B"/>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F,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6550D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DE5BCA"/>
    <w:rPr>
      <w:sz w:val="16"/>
      <w:szCs w:val="16"/>
    </w:rPr>
  </w:style>
  <w:style w:type="paragraph" w:styleId="Textocomentario">
    <w:name w:val="annotation text"/>
    <w:basedOn w:val="Normal"/>
    <w:link w:val="TextocomentarioCar"/>
    <w:uiPriority w:val="99"/>
    <w:unhideWhenUsed/>
    <w:rsid w:val="00DE5BCA"/>
    <w:pPr>
      <w:spacing w:line="240" w:lineRule="auto"/>
    </w:pPr>
    <w:rPr>
      <w:sz w:val="20"/>
      <w:szCs w:val="20"/>
    </w:rPr>
  </w:style>
  <w:style w:type="character" w:customStyle="1" w:styleId="TextocomentarioCar">
    <w:name w:val="Texto comentario Car"/>
    <w:basedOn w:val="Fuentedeprrafopredeter"/>
    <w:link w:val="Textocomentario"/>
    <w:uiPriority w:val="99"/>
    <w:rsid w:val="00DE5BCA"/>
    <w:rPr>
      <w:sz w:val="20"/>
      <w:szCs w:val="20"/>
    </w:rPr>
  </w:style>
  <w:style w:type="paragraph" w:styleId="Asuntodelcomentario">
    <w:name w:val="annotation subject"/>
    <w:basedOn w:val="Textocomentario"/>
    <w:next w:val="Textocomentario"/>
    <w:link w:val="AsuntodelcomentarioCar"/>
    <w:uiPriority w:val="99"/>
    <w:semiHidden/>
    <w:unhideWhenUsed/>
    <w:rsid w:val="00DE5BCA"/>
    <w:rPr>
      <w:b/>
      <w:bCs/>
    </w:rPr>
  </w:style>
  <w:style w:type="character" w:customStyle="1" w:styleId="AsuntodelcomentarioCar">
    <w:name w:val="Asunto del comentario Car"/>
    <w:basedOn w:val="TextocomentarioCar"/>
    <w:link w:val="Asuntodelcomentario"/>
    <w:uiPriority w:val="99"/>
    <w:semiHidden/>
    <w:rsid w:val="00DE5BCA"/>
    <w:rPr>
      <w:b/>
      <w:bCs/>
      <w:sz w:val="20"/>
      <w:szCs w:val="20"/>
    </w:rPr>
  </w:style>
  <w:style w:type="paragraph" w:customStyle="1" w:styleId="Appelnotedebasde">
    <w:name w:val="Appel note de bas de..."/>
    <w:basedOn w:val="Normal"/>
    <w:link w:val="Refdenotaalpie"/>
    <w:uiPriority w:val="99"/>
    <w:rsid w:val="00A9783E"/>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ustavopatarroyo@hotmail.com"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ites%2Fcce_public%2Ffiles%2Ffiles_2020%2Fboletin_de_realtoria_iii.pdf&amp;data=05%7C02%7Chector.quinones%40colombiacompra.gov.co%7C5aad36a736844ec87b2108dcc1fa4639%7C7b09041e245149d08cb179d5e3d8c1be%7C0%7C0%7C638598527916202814%7CUnknown%7CTWFpbGZsb3d8eyJWIjoiMC4wLjAwMDAiLCJQIjoiV2luMzIiLCJBTiI6Ik1haWwiLCJXVCI6Mn0%3D%7C0%7C%7C%7C&amp;sdata=g5JP8TCj1LS3w9euYpZO4O6u0sftAPb02SeFQncfcgw%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google.com/url?sa=t&amp;source=web&amp;rct=j&amp;opi=89978449&amp;url=https://www.supersociedades.gov.co/documents/107391/159040/OFICIO%2B220-014111%2BDE%2B2015.pdf/eb5e710f-d8b7-df76-125b-960ff46a9304%3Ft%3D1670899573061%26download%3Dtrue&amp;ved=2ahUKEwj9kJParMKGAxXuTTABHaENC7wQFnoECBIQAQ&amp;usg=AOvVaw3ndDRzYhuwXRRSLBYPpr2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36c82cfe-0eda-494d-b392-a9281b89aaf0"/>
    <ds:schemaRef ds:uri="http://schemas.microsoft.com/office/2006/documentManagement/types"/>
    <ds:schemaRef ds:uri="http://schemas.openxmlformats.org/package/2006/metadata/core-properties"/>
    <ds:schemaRef ds:uri="http://schemas.microsoft.com/office/2006/metadata/properties"/>
    <ds:schemaRef ds:uri="http://schemas.microsoft.com/office/infopath/2007/PartnerControls"/>
    <ds:schemaRef ds:uri="http://purl.org/dc/terms/"/>
    <ds:schemaRef ds:uri="http://purl.org/dc/elements/1.1/"/>
    <ds:schemaRef ds:uri="http://www.w3.org/XML/1998/namespace"/>
    <ds:schemaRef ds:uri="8ae15d26-076e-464e-81a7-6f76a0fb3917"/>
    <ds:schemaRef ds:uri="http://purl.org/dc/dcmityp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77ED866-ED8C-4AB8-9D2A-90038B4D5B5E}"/>
</file>

<file path=customXml/itemProps4.xml><?xml version="1.0" encoding="utf-8"?>
<ds:datastoreItem xmlns:ds="http://schemas.openxmlformats.org/officeDocument/2006/customXml" ds:itemID="{9AA44D9C-EB91-4E75-995A-92F81E15B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3803</Words>
  <Characters>20922</Characters>
  <Application>Microsoft Office Word</Application>
  <DocSecurity>0</DocSecurity>
  <Lines>174</Lines>
  <Paragraphs>49</Paragraphs>
  <ScaleCrop>false</ScaleCrop>
  <Company/>
  <LinksUpToDate>false</LinksUpToDate>
  <CharactersWithSpaces>24676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Hector Luis Quiñones Quiñones</cp:lastModifiedBy>
  <cp:revision>2</cp:revision>
  <cp:lastPrinted>2023-01-10T21:18:00Z</cp:lastPrinted>
  <dcterms:created xsi:type="dcterms:W3CDTF">2024-10-04T16:53:00Z</dcterms:created>
  <dcterms:modified xsi:type="dcterms:W3CDTF">2024-10-04T16:53:00Z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