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FF7D37" w:rsidR="00FF7D37" w:rsidP="00F47E41" w:rsidRDefault="00FF7D37" w14:paraId="5A2E3B34" w14:textId="77777777">
      <w:pPr>
        <w:spacing w:after="0" w:line="240" w:lineRule="auto"/>
        <w:jc w:val="both"/>
        <w:rPr>
          <w:rFonts w:ascii="Verdana" w:hAnsi="Verdana" w:cs="Arial"/>
          <w:b/>
          <w:bCs/>
          <w:lang w:val="es-ES_tradnl" w:eastAsia="es-ES"/>
        </w:rPr>
      </w:pPr>
      <w:bookmarkStart w:name="_Hlk143780582" w:id="0"/>
      <w:r w:rsidRPr="00FF7D37">
        <w:rPr>
          <w:rFonts w:ascii="Verdana" w:hAnsi="Verdana" w:cs="Arial"/>
          <w:b/>
          <w:bCs/>
          <w:lang w:val="es-ES_tradnl" w:eastAsia="es-ES"/>
        </w:rPr>
        <w:t xml:space="preserve">CONTRATO DE PRESTACIÓN DE SERVICIOS – Concepto – Requisitos y límites para su celebración </w:t>
      </w:r>
    </w:p>
    <w:p w:rsidR="00FF7D37" w:rsidP="00F47E41" w:rsidRDefault="00FF7D37" w14:paraId="05B8ADC9" w14:textId="4510C217">
      <w:pPr>
        <w:spacing w:after="0" w:line="240" w:lineRule="auto"/>
        <w:jc w:val="both"/>
        <w:rPr>
          <w:rFonts w:ascii="Verdana" w:hAnsi="Verdana" w:cs="Arial"/>
          <w:b/>
          <w:bCs/>
          <w:lang w:val="es-ES_tradnl" w:eastAsia="es-ES"/>
        </w:rPr>
      </w:pPr>
    </w:p>
    <w:p w:rsidRPr="00FF7D37" w:rsidR="00FF7D37" w:rsidP="365E8F67" w:rsidRDefault="00FF7D37" w14:paraId="01F29253" w14:textId="77777777">
      <w:pPr>
        <w:spacing w:after="0" w:line="240" w:lineRule="auto"/>
        <w:jc w:val="both"/>
        <w:rPr>
          <w:rFonts w:ascii="Verdana" w:hAnsi="Verdana" w:cs="Arial"/>
          <w:sz w:val="20"/>
          <w:szCs w:val="20"/>
          <w:lang w:val="es-ES" w:eastAsia="es-ES"/>
        </w:rPr>
      </w:pPr>
      <w:r w:rsidRPr="365E8F67" w:rsidR="00FF7D37">
        <w:rPr>
          <w:rFonts w:ascii="Verdana" w:hAnsi="Verdana" w:cs="Arial"/>
          <w:sz w:val="20"/>
          <w:szCs w:val="20"/>
          <w:lang w:val="es-ES" w:eastAsia="es-ES"/>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365E8F67" w:rsidR="00FF7D37">
        <w:rPr>
          <w:rFonts w:ascii="Verdana" w:hAnsi="Verdana" w:cs="Arial"/>
          <w:i w:val="1"/>
          <w:iCs w:val="1"/>
          <w:sz w:val="20"/>
          <w:szCs w:val="20"/>
          <w:lang w:val="es-ES" w:eastAsia="es-ES"/>
        </w:rPr>
        <w:t>subordinación y dependencia</w:t>
      </w:r>
      <w:r w:rsidRPr="365E8F67" w:rsidR="00FF7D37">
        <w:rPr>
          <w:rFonts w:ascii="Verdana" w:hAnsi="Verdana" w:cs="Arial"/>
          <w:sz w:val="20"/>
          <w:szCs w:val="20"/>
          <w:lang w:val="es-ES" w:eastAsia="es-ES"/>
        </w:rPr>
        <w:t xml:space="preserve"> que es uno de los elementos constitutivos del vínculo laboral; iv)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algunos casos no es obligatoria la liquidación; x) para su celebración no se requiere inscripción en el Registro Único de Proponentes (RUP); xi) en él no son necesarias las garantías.</w:t>
      </w:r>
    </w:p>
    <w:p w:rsidRPr="00FF7D37" w:rsidR="00FF7D37" w:rsidP="00F47E41" w:rsidRDefault="00FF7D37" w14:paraId="2EF2CC31" w14:textId="77777777">
      <w:pPr>
        <w:spacing w:after="0" w:line="240" w:lineRule="auto"/>
        <w:jc w:val="both"/>
        <w:rPr>
          <w:rFonts w:ascii="Verdana" w:hAnsi="Verdana" w:cs="Arial"/>
          <w:b/>
          <w:bCs/>
          <w:lang w:val="es-ES_tradnl" w:eastAsia="es-ES"/>
        </w:rPr>
      </w:pPr>
    </w:p>
    <w:p w:rsidRPr="00FF7D37" w:rsidR="00FF7D37" w:rsidP="00F47E41" w:rsidRDefault="00FF7D37" w14:paraId="44FDAB4C" w14:textId="37B9A3A0">
      <w:pPr>
        <w:spacing w:after="0" w:line="240" w:lineRule="auto"/>
        <w:jc w:val="both"/>
        <w:rPr>
          <w:rFonts w:ascii="Verdana" w:hAnsi="Verdana" w:cs="Arial"/>
          <w:b/>
          <w:bCs/>
          <w:lang w:val="es-ES_tradnl" w:eastAsia="es-ES"/>
        </w:rPr>
      </w:pPr>
      <w:r w:rsidRPr="00FF7D37">
        <w:rPr>
          <w:rFonts w:ascii="Verdana" w:hAnsi="Verdana" w:cs="Arial"/>
          <w:b/>
          <w:bCs/>
          <w:lang w:val="es-ES_tradnl" w:eastAsia="es-ES"/>
        </w:rPr>
        <w:t>CONTRATISTA EXTRANJERO – Capacidad contractual – Ejecución de actividades fuera del territorio nacional</w:t>
      </w:r>
    </w:p>
    <w:p w:rsidR="00FF7D37" w:rsidP="00F47E41" w:rsidRDefault="00FF7D37" w14:paraId="1F1239BC" w14:textId="65EDDA9C">
      <w:pPr>
        <w:spacing w:after="0" w:line="240" w:lineRule="auto"/>
        <w:rPr>
          <w:rFonts w:ascii="Verdana" w:hAnsi="Verdana" w:cs="Arial"/>
          <w:b/>
          <w:bCs/>
          <w:lang w:val="es-ES_tradnl" w:eastAsia="es-ES"/>
        </w:rPr>
      </w:pPr>
    </w:p>
    <w:p w:rsidRPr="00F47E41" w:rsidR="00F47E41" w:rsidP="00F47E41" w:rsidRDefault="00F47E41" w14:paraId="2280A5A2" w14:textId="1A5C42AA">
      <w:pPr>
        <w:spacing w:after="0" w:line="240" w:lineRule="auto"/>
        <w:jc w:val="both"/>
        <w:rPr>
          <w:rFonts w:ascii="Verdana" w:hAnsi="Verdana" w:cs="Arial"/>
          <w:bCs/>
          <w:sz w:val="20"/>
          <w:lang w:val="es-ES_tradnl" w:eastAsia="es-ES"/>
        </w:rPr>
      </w:pPr>
      <w:r>
        <w:rPr>
          <w:rFonts w:ascii="Verdana" w:hAnsi="Verdana" w:cs="Arial"/>
          <w:bCs/>
          <w:sz w:val="20"/>
          <w:lang w:val="es-ES_tradnl" w:eastAsia="es-ES"/>
        </w:rPr>
        <w:t xml:space="preserve">[…] </w:t>
      </w:r>
      <w:r w:rsidRPr="00F47E41">
        <w:rPr>
          <w:rFonts w:ascii="Verdana" w:hAnsi="Verdana" w:cs="Arial"/>
          <w:bCs/>
          <w:sz w:val="20"/>
          <w:lang w:val="es-ES_tradnl" w:eastAsia="es-ES"/>
        </w:rPr>
        <w:t xml:space="preserve">de la autonomía del contratista y su diferencia con un vínculo estrictamente laboral, se infiere la posibilidad de ejecutar las obligaciones fuera del domicilio de la entidad contratante. Tratándose de servidores públicos, la subordinación implica acatar instrucciones sobre la asistencia presencial, sin perjuicio de la autorización para teletrabajo –Ley 1221 de 2008–, trabajo en casa –2088 de 2021– o trabajo remoto –Ley 2121 de 2021–. Esta regla se invierte en los contratos de prestación de servicios mientras la mayoría de las obligaciones pueda cumplirse fuera de la entidad, bien porque el contratista se encuentre domiciliado en otro lugar del territorio nacional o, incluso, en el extranjero. </w:t>
      </w:r>
    </w:p>
    <w:p w:rsidR="00F47E41" w:rsidP="00F47E41" w:rsidRDefault="00F47E41" w14:paraId="05BD90D2" w14:textId="77777777">
      <w:pPr>
        <w:spacing w:after="0" w:line="240" w:lineRule="auto"/>
        <w:jc w:val="both"/>
        <w:rPr>
          <w:rFonts w:ascii="Verdana" w:hAnsi="Verdana" w:cs="Arial"/>
          <w:bCs/>
          <w:sz w:val="20"/>
          <w:lang w:val="es-ES_tradnl" w:eastAsia="es-ES"/>
        </w:rPr>
      </w:pPr>
    </w:p>
    <w:p w:rsidRPr="00F47E41" w:rsidR="00F47E41" w:rsidP="00F47E41" w:rsidRDefault="00F47E41" w14:paraId="3C5F046E" w14:textId="5E97EF20">
      <w:pPr>
        <w:spacing w:after="0" w:line="240" w:lineRule="auto"/>
        <w:jc w:val="both"/>
        <w:rPr>
          <w:rFonts w:ascii="Verdana" w:hAnsi="Verdana" w:cs="Arial"/>
          <w:bCs/>
          <w:sz w:val="20"/>
          <w:lang w:val="es-ES_tradnl" w:eastAsia="es-ES"/>
        </w:rPr>
      </w:pPr>
      <w:r w:rsidRPr="00F47E41">
        <w:rPr>
          <w:rFonts w:ascii="Verdana" w:hAnsi="Verdana" w:cs="Arial"/>
          <w:bCs/>
          <w:sz w:val="20"/>
          <w:lang w:val="es-ES_tradnl" w:eastAsia="es-ES"/>
        </w:rPr>
        <w:t>Desde esta perspectiva, siempre que se trate de obligaciones que no exijan ejecución presencial, es posible que un contratista colombiano pueda ejecutar un contrato de prestación de servicios desde el exterior. Esta conclusión también se extiende a los contratistas extranjeros, pues el inciso primero del artículo 100 constitucional prescribe que “</w:t>
      </w:r>
      <w:r w:rsidRPr="00F47E41">
        <w:rPr>
          <w:rFonts w:ascii="Verdana" w:hAnsi="Verdana" w:cs="Arial"/>
          <w:bCs/>
          <w:i/>
          <w:iCs/>
          <w:sz w:val="20"/>
          <w:lang w:val="es-ES_tradnl" w:eastAsia="es-ES"/>
        </w:rPr>
        <w:t>Los extranjeros disfrutarán en Colombia de los mismos derechos civiles que se conceden a los colombianos</w:t>
      </w:r>
      <w:r w:rsidRPr="00F47E41">
        <w:rPr>
          <w:rFonts w:ascii="Verdana" w:hAnsi="Verdana" w:cs="Arial"/>
          <w:bCs/>
          <w:sz w:val="20"/>
          <w:lang w:val="es-ES_tradnl" w:eastAsia="es-ES"/>
        </w:rPr>
        <w:t xml:space="preserve">. No obstante, la ley podrá, por razones de orden público, subordinar a condiciones especiales o negar el ejercicio de determinados derechos civiles </w:t>
      </w:r>
      <w:r w:rsidRPr="00F47E41">
        <w:rPr>
          <w:rFonts w:ascii="Verdana" w:hAnsi="Verdana" w:cs="Arial"/>
          <w:bCs/>
          <w:sz w:val="20"/>
          <w:lang w:val="es-ES_tradnl" w:eastAsia="es-ES"/>
        </w:rPr>
        <w:t>a los extranjeros” (Énfasis fuera de texto). Mientras las actividades no requieran presencialidad, si el contratista colombiano puede ejecutar las obligaciones fuera del domicilio de la entidad contratante, no existe una razón jurídica válida para imponer la asistencia al contratista extranjero.</w:t>
      </w:r>
    </w:p>
    <w:p w:rsidR="00F47E41" w:rsidP="00F47E41" w:rsidRDefault="00F47E41" w14:paraId="24AC382B" w14:textId="77777777">
      <w:pPr>
        <w:spacing w:after="0" w:line="240" w:lineRule="auto"/>
        <w:jc w:val="both"/>
        <w:rPr>
          <w:rFonts w:ascii="Verdana" w:hAnsi="Verdana" w:cs="Arial"/>
          <w:bCs/>
          <w:sz w:val="20"/>
          <w:lang w:val="es-ES_tradnl" w:eastAsia="es-ES"/>
        </w:rPr>
      </w:pPr>
    </w:p>
    <w:p w:rsidRPr="00FF7D37" w:rsidR="00FF7D37" w:rsidP="00F47E41" w:rsidRDefault="00F47E41" w14:paraId="22E5D58B" w14:textId="5E0408F9">
      <w:pPr>
        <w:spacing w:after="0" w:line="240" w:lineRule="auto"/>
        <w:jc w:val="both"/>
        <w:rPr>
          <w:rFonts w:ascii="Verdana" w:hAnsi="Verdana" w:cs="Arial"/>
          <w:bCs/>
          <w:sz w:val="20"/>
          <w:lang w:val="es-ES_tradnl" w:eastAsia="es-ES"/>
        </w:rPr>
      </w:pPr>
      <w:r w:rsidRPr="00F47E41">
        <w:rPr>
          <w:rFonts w:ascii="Verdana" w:hAnsi="Verdana" w:cs="Arial"/>
          <w:bCs/>
          <w:sz w:val="20"/>
          <w:lang w:val="es-ES_tradnl" w:eastAsia="es-ES"/>
        </w:rPr>
        <w:t xml:space="preserve">Por lo demás, </w:t>
      </w:r>
      <w:r w:rsidRPr="00F47E41">
        <w:rPr>
          <w:rFonts w:ascii="Verdana" w:hAnsi="Verdana" w:cs="Arial"/>
          <w:bCs/>
          <w:sz w:val="20"/>
          <w:lang w:eastAsia="es-ES"/>
        </w:rPr>
        <w:t>en concordancia con el numeral 1 del artículo 1502 del Código Civil,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razón por la que, considerando que el artículo el artículo 74 del Código Civil prescribe que “Son personas todos los individuos de la especie humana, cualquiera que sea su edad, sexo, estirpe o condición”</w:t>
      </w:r>
      <w:r w:rsidRPr="00F47E41">
        <w:rPr>
          <w:rFonts w:ascii="Verdana" w:hAnsi="Verdana" w:cs="Arial"/>
          <w:bCs/>
          <w:sz w:val="20"/>
          <w:lang w:val="es-ES_tradnl" w:eastAsia="es-ES"/>
        </w:rPr>
        <w:t>, se infiere que las personas extranjeras tienen capacidad para celebrar contratos estatales, siempre que no se encuentren en alguna causal de inhabilidad o incompatibilidad que la afecte</w:t>
      </w:r>
      <w:r>
        <w:rPr>
          <w:rFonts w:ascii="Verdana" w:hAnsi="Verdana" w:cs="Arial"/>
          <w:bCs/>
          <w:sz w:val="20"/>
          <w:lang w:val="es-ES_tradnl" w:eastAsia="es-ES"/>
        </w:rPr>
        <w:t>.</w:t>
      </w:r>
    </w:p>
    <w:p w:rsidRPr="00FF7D37" w:rsidR="00FF7D37" w:rsidP="00F47E41" w:rsidRDefault="00FF7D37" w14:paraId="70E89292" w14:textId="77777777">
      <w:pPr>
        <w:spacing w:after="0" w:line="240" w:lineRule="auto"/>
        <w:rPr>
          <w:rFonts w:ascii="Verdana" w:hAnsi="Verdana" w:cs="Arial"/>
          <w:b/>
          <w:bCs/>
          <w:lang w:val="es-ES_tradnl" w:eastAsia="es-ES"/>
        </w:rPr>
      </w:pPr>
    </w:p>
    <w:p w:rsidRPr="00FF7D37" w:rsidR="00FF7D37" w:rsidP="00F47E41" w:rsidRDefault="00FF7D37" w14:paraId="51C2AD6D" w14:textId="2B7CD487">
      <w:pPr>
        <w:spacing w:after="0" w:line="240" w:lineRule="auto"/>
        <w:rPr>
          <w:rFonts w:ascii="Verdana" w:hAnsi="Verdana" w:cs="Arial"/>
          <w:b/>
          <w:bCs/>
          <w:lang w:val="es-ES_tradnl" w:eastAsia="es-ES"/>
        </w:rPr>
      </w:pPr>
      <w:r w:rsidRPr="00FF7D37">
        <w:rPr>
          <w:rFonts w:ascii="Verdana" w:hAnsi="Verdana" w:cs="Arial"/>
          <w:b/>
          <w:bCs/>
          <w:lang w:val="es-ES_tradnl" w:eastAsia="es-ES"/>
        </w:rPr>
        <w:t>CONTRATO DE PRESTACIÓN DE SERVICIOS – Permiso de trabajo – Visa</w:t>
      </w:r>
    </w:p>
    <w:p w:rsidRPr="00FF7D37" w:rsidR="00FF7D37" w:rsidP="00F47E41" w:rsidRDefault="00FF7D37" w14:paraId="15807A56" w14:textId="77777777">
      <w:pPr>
        <w:spacing w:after="0" w:line="240" w:lineRule="auto"/>
        <w:rPr>
          <w:rFonts w:ascii="Verdana" w:hAnsi="Verdana"/>
          <w:b/>
        </w:rPr>
      </w:pPr>
    </w:p>
    <w:p w:rsidRPr="00F47E41" w:rsidR="00F47E41" w:rsidP="00F47E41" w:rsidRDefault="00F47E41" w14:paraId="28C550E9" w14:textId="41688F01">
      <w:pPr>
        <w:spacing w:after="0" w:line="240" w:lineRule="auto"/>
        <w:jc w:val="both"/>
        <w:rPr>
          <w:rFonts w:ascii="Verdana" w:hAnsi="Verdana"/>
          <w:bCs/>
          <w:sz w:val="20"/>
        </w:rPr>
      </w:pPr>
      <w:r w:rsidRPr="00F47E41">
        <w:rPr>
          <w:rFonts w:ascii="Verdana" w:hAnsi="Verdana"/>
          <w:sz w:val="20"/>
        </w:rPr>
        <w:t>En el marco de las normas que regulan el sistema migratorio en Colombia, es decir, aquellas que regulan el ingreso y salida de las personas de nuestro territorio, debe destacarse el Decreto 1067 de 2015, “</w:t>
      </w:r>
      <w:r w:rsidRPr="00F47E41">
        <w:rPr>
          <w:rFonts w:ascii="Verdana" w:hAnsi="Verdana"/>
          <w:bCs/>
          <w:sz w:val="20"/>
        </w:rPr>
        <w:t xml:space="preserve">por medio del cual se expide el Decreto Único Reglamentario del Sector Administrativo de Relaciones Exteriores”. En dicho Decreto compilatorio, el artículo 2.2.1.11.5.1 del Decreto 1067 de 2015 se encuentran exigencias para cualquier entidad –pública o privada- que contrate, vincule o admite un extranjero mediante cualquier modalidad. </w:t>
      </w:r>
    </w:p>
    <w:p w:rsidRPr="00F47E41" w:rsidR="00F47E41" w:rsidP="00F47E41" w:rsidRDefault="00F47E41" w14:paraId="4FE86D0B" w14:textId="77777777">
      <w:pPr>
        <w:spacing w:after="0" w:line="240" w:lineRule="auto"/>
        <w:jc w:val="both"/>
        <w:rPr>
          <w:rFonts w:ascii="Verdana" w:hAnsi="Verdana"/>
          <w:sz w:val="20"/>
        </w:rPr>
      </w:pPr>
    </w:p>
    <w:p w:rsidRPr="00F47E41" w:rsidR="00F47E41" w:rsidP="00F47E41" w:rsidRDefault="00F47E41" w14:paraId="22AC28DF" w14:textId="77777777">
      <w:pPr>
        <w:spacing w:after="0" w:line="240" w:lineRule="auto"/>
        <w:jc w:val="both"/>
        <w:rPr>
          <w:rFonts w:ascii="Verdana" w:hAnsi="Verdana"/>
          <w:sz w:val="20"/>
        </w:rPr>
      </w:pPr>
      <w:r w:rsidRPr="00F47E41">
        <w:rPr>
          <w:rFonts w:ascii="Verdana" w:hAnsi="Verdana"/>
          <w:sz w:val="20"/>
        </w:rPr>
        <w:t xml:space="preserve">A partir del artículo precitado, existe un deber de la entidad contratante, ya sea pública o privada de exigir la presentación de la visa que le permita desarrollar la actividad, ocupación u oficio declarado en la solicitud de la visa. De igual modo, debe exigirle al extranjero la presentación de la Cédula de Extranjería cuando se esté en la obligación de tramitarla en cumplimiento de los requisitos migratorios, como son los casos de las visas con vigencia superior a tres [3] meses, excepto los titulares de las visas que se establezcan para tal fin por parte del Ministerio de Relaciones Exteriores. En el evento de presentarse una desvinculación antes del término previsto en la relación debe informar por escrito o por los medios electrónicos establecidos para tal fin a la Unidad Administrativa Especial Migración Colombia acerca de dicha terminación en un término de hasta quince (15) días calendario siguientes a la ocurrencia del hecho Así mismo, establece que toda persona natural o jurídica que vincule, contrate, emplee o admita un extranjero para que presté sus servicios mediante cualquier modalidad debe suministrar la información que le solicite la autoridad de control migratorio. </w:t>
      </w:r>
    </w:p>
    <w:p w:rsidRPr="00F47E41" w:rsidR="00FF7D37" w:rsidP="00F47E41" w:rsidRDefault="00FF7D37" w14:paraId="477392AA" w14:textId="060AC8DB">
      <w:pPr>
        <w:spacing w:after="0" w:line="240" w:lineRule="auto"/>
        <w:jc w:val="both"/>
        <w:rPr>
          <w:rFonts w:ascii="Verdana" w:hAnsi="Verdana"/>
          <w:sz w:val="20"/>
        </w:rPr>
      </w:pPr>
    </w:p>
    <w:p w:rsidR="00F47E41" w:rsidP="00F47E41" w:rsidRDefault="00F47E41" w14:paraId="66C82E62" w14:textId="080426A1">
      <w:pPr>
        <w:spacing w:after="0" w:line="240" w:lineRule="auto"/>
        <w:jc w:val="both"/>
        <w:rPr>
          <w:rFonts w:ascii="Verdana" w:hAnsi="Verdana"/>
          <w:sz w:val="20"/>
        </w:rPr>
      </w:pPr>
      <w:r w:rsidRPr="00F47E41">
        <w:rPr>
          <w:rFonts w:ascii="Verdana" w:hAnsi="Verdana"/>
          <w:sz w:val="20"/>
        </w:rPr>
        <w:t xml:space="preserve">En el marco de lo dispuesto, el Ministerio de Relaciones Exteriores expidió la Resolución 5477 de 2022, “Por la cual se dictan disposiciones en materia de visas y se deroga la Resolución </w:t>
      </w:r>
      <w:hyperlink w:history="1" w:anchor="INICIO" r:id="rId11">
        <w:r w:rsidRPr="00F47E41">
          <w:rPr>
            <w:rStyle w:val="Hipervnculo"/>
            <w:rFonts w:ascii="Verdana" w:hAnsi="Verdana"/>
            <w:color w:val="auto"/>
            <w:sz w:val="20"/>
            <w:u w:val="none"/>
          </w:rPr>
          <w:t>1980</w:t>
        </w:r>
      </w:hyperlink>
      <w:r w:rsidRPr="00F47E41">
        <w:rPr>
          <w:rFonts w:ascii="Verdana" w:hAnsi="Verdana"/>
          <w:sz w:val="20"/>
        </w:rPr>
        <w:t xml:space="preserve"> del 19 de marzo de 2014 y la Resolución </w:t>
      </w:r>
      <w:hyperlink w:history="1" w:anchor="INICIO" r:id="rId12">
        <w:r w:rsidRPr="00F47E41">
          <w:rPr>
            <w:rStyle w:val="Hipervnculo"/>
            <w:rFonts w:ascii="Verdana" w:hAnsi="Verdana"/>
            <w:color w:val="auto"/>
            <w:sz w:val="20"/>
            <w:u w:val="none"/>
          </w:rPr>
          <w:t>6045</w:t>
        </w:r>
      </w:hyperlink>
      <w:r w:rsidRPr="00F47E41">
        <w:rPr>
          <w:rFonts w:ascii="Verdana" w:hAnsi="Verdana"/>
          <w:sz w:val="20"/>
        </w:rPr>
        <w:t xml:space="preserve"> del 2 de agosto de 2017”. En esta Resolución, se establecen diferentes tipos de visas que habilitan al ciudadano extranjero para trabajar en Colombia, como lo prescribe el artículo 16: “Cuando se trate de visas que otorgan autorización para trabajar, tanto el extranjero, como el empleador o contratante, deberán cumplir con las normas laborales del Estado colombiano, con las </w:t>
      </w:r>
      <w:r w:rsidRPr="00F47E41">
        <w:rPr>
          <w:rFonts w:ascii="Verdana" w:hAnsi="Verdana"/>
          <w:sz w:val="20"/>
        </w:rPr>
        <w:t xml:space="preserve">normas específicas para el ejercicio de cada profesión u oficio y con las obligaciones respecto a reporte y registro establecidas en el Decreto </w:t>
      </w:r>
      <w:hyperlink w:history="1" w:anchor="INICIO" r:id="rId13">
        <w:r w:rsidRPr="00F47E41">
          <w:rPr>
            <w:rStyle w:val="Hipervnculo"/>
            <w:rFonts w:ascii="Verdana" w:hAnsi="Verdana"/>
            <w:color w:val="auto"/>
            <w:sz w:val="20"/>
            <w:u w:val="none"/>
          </w:rPr>
          <w:t>1067</w:t>
        </w:r>
      </w:hyperlink>
      <w:r w:rsidRPr="00F47E41">
        <w:rPr>
          <w:rFonts w:ascii="Verdana" w:hAnsi="Verdana"/>
          <w:sz w:val="20"/>
        </w:rPr>
        <w:t xml:space="preserve"> de 2015, o norma que lo sustituya”. A modo de ejemplo, se encuentra el tipo de Visa de Visitante “V”, Categoría 20 “Vacaciones y Trabajo”, que está regulado en el artículo 30.</w:t>
      </w:r>
    </w:p>
    <w:p w:rsidRPr="00F47E41" w:rsidR="00F47E41" w:rsidP="00F47E41" w:rsidRDefault="00F47E41" w14:paraId="224A91B5" w14:textId="77777777">
      <w:pPr>
        <w:spacing w:after="0" w:line="240" w:lineRule="auto"/>
        <w:jc w:val="both"/>
        <w:rPr>
          <w:rFonts w:ascii="Verdana" w:hAnsi="Verdana"/>
          <w:sz w:val="20"/>
        </w:rPr>
      </w:pPr>
    </w:p>
    <w:p w:rsidR="00FF7D37" w:rsidP="00F47E41" w:rsidRDefault="00FF7D37" w14:paraId="0B2E328E" w14:textId="41B5BA4A">
      <w:pPr>
        <w:spacing w:after="0" w:line="240" w:lineRule="auto"/>
        <w:rPr>
          <w:rFonts w:ascii="Verdana" w:hAnsi="Verdana" w:cs="Arial"/>
          <w:b/>
          <w:bCs/>
          <w:lang w:val="es-ES_tradnl" w:eastAsia="es-ES"/>
        </w:rPr>
      </w:pPr>
      <w:r w:rsidRPr="00FF7D37">
        <w:rPr>
          <w:rFonts w:ascii="Verdana" w:hAnsi="Verdana" w:cs="Arial"/>
          <w:b/>
          <w:bCs/>
          <w:lang w:val="es-ES_tradnl" w:eastAsia="es-ES"/>
        </w:rPr>
        <w:t>PRESTACIÓN DE SERVICIOS – convalidación de títulos – Competencia del Ministerio de Educación.</w:t>
      </w:r>
    </w:p>
    <w:p w:rsidR="00FF7D37" w:rsidP="00F47E41" w:rsidRDefault="00FF7D37" w14:paraId="73B8777B" w14:textId="6EE78EB5">
      <w:pPr>
        <w:spacing w:after="0" w:line="240" w:lineRule="auto"/>
        <w:rPr>
          <w:rFonts w:ascii="Verdana" w:hAnsi="Verdana" w:cs="Arial"/>
          <w:b/>
          <w:bCs/>
          <w:lang w:val="es-ES_tradnl" w:eastAsia="es-ES"/>
        </w:rPr>
      </w:pPr>
    </w:p>
    <w:p w:rsidR="00F47E41" w:rsidP="00F47E41" w:rsidRDefault="00F47E41" w14:paraId="37860D2E" w14:textId="1378D6C3">
      <w:pPr>
        <w:spacing w:after="0" w:line="240" w:lineRule="auto"/>
        <w:jc w:val="both"/>
        <w:rPr>
          <w:rFonts w:ascii="Verdana" w:hAnsi="Verdana" w:cs="Arial"/>
          <w:bCs/>
          <w:lang w:val="es-ES_tradnl" w:eastAsia="es-ES"/>
        </w:rPr>
      </w:pPr>
      <w:r w:rsidRPr="00F47E41">
        <w:rPr>
          <w:rFonts w:ascii="Verdana" w:hAnsi="Verdana" w:cs="Arial"/>
          <w:bCs/>
          <w:lang w:eastAsia="es-ES"/>
        </w:rPr>
        <w:t xml:space="preserve">De igual manera, en el momento de celebrar un contrato de prestación de servicios de apoyo con un extranjero hay que tener cuenta </w:t>
      </w:r>
      <w:r w:rsidRPr="00F47E41">
        <w:rPr>
          <w:rFonts w:ascii="Verdana" w:hAnsi="Verdana" w:cs="Arial"/>
          <w:bCs/>
          <w:lang w:val="es-ES_tradnl" w:eastAsia="es-ES"/>
        </w:rPr>
        <w:t xml:space="preserve">el procedimiento y todos los aspectos relacionados con la forma de acreditación de los títulos académicos en Colombia que es competencia del legislador y no de esta Agencia. En tal sentido, al Ministerio de Educación le fue asignada la función de convalidar los títulos académicos obtenidos en el extranjero. En efecto, el Decreto 5012 de 2009, en el artículo 14.12. prescribe que son funciones de la </w:t>
      </w:r>
      <w:r w:rsidRPr="00F47E41">
        <w:rPr>
          <w:rFonts w:ascii="Verdana" w:hAnsi="Verdana" w:cs="Arial"/>
          <w:bCs/>
          <w:iCs/>
          <w:lang w:eastAsia="es-ES"/>
        </w:rPr>
        <w:t>Dirección de Calidad para la Educación Preescolar, Básica y Media</w:t>
      </w:r>
      <w:r w:rsidRPr="00F47E41">
        <w:rPr>
          <w:rFonts w:ascii="Verdana" w:hAnsi="Verdana" w:cs="Arial"/>
          <w:bCs/>
          <w:lang w:eastAsia="es-ES"/>
        </w:rPr>
        <w:t xml:space="preserve"> del Ministerio de Educación</w:t>
      </w:r>
      <w:r w:rsidRPr="00F47E41">
        <w:rPr>
          <w:rFonts w:ascii="Verdana" w:hAnsi="Verdana" w:cs="Arial"/>
          <w:bCs/>
          <w:lang w:val="es-ES_tradnl" w:eastAsia="es-ES"/>
        </w:rPr>
        <w:t>: “[…]</w:t>
      </w:r>
      <w:r w:rsidRPr="00F47E41">
        <w:rPr>
          <w:rFonts w:ascii="Verdana" w:hAnsi="Verdana" w:cs="Arial"/>
          <w:bCs/>
          <w:lang w:eastAsia="es-ES"/>
        </w:rPr>
        <w:t xml:space="preserve"> Homologar y convalidar títulos de estudios de preescolar, básica y media cursados en el exterior de conformidad con la ley”. Por otro lado, el </w:t>
      </w:r>
      <w:r w:rsidRPr="00F47E41">
        <w:rPr>
          <w:rFonts w:ascii="Verdana" w:hAnsi="Verdana" w:cs="Arial"/>
          <w:bCs/>
          <w:lang w:val="es-ES_tradnl" w:eastAsia="es-ES"/>
        </w:rPr>
        <w:t xml:space="preserve">artículo 29.1, señala como una de las funciones de la </w:t>
      </w:r>
      <w:r w:rsidRPr="00F47E41">
        <w:rPr>
          <w:rFonts w:ascii="Verdana" w:hAnsi="Verdana" w:cs="Arial"/>
          <w:bCs/>
          <w:iCs/>
          <w:lang w:eastAsia="es-ES"/>
        </w:rPr>
        <w:t>Subdirección de Aseguramiento de la Calidad de la Educación Superior del Ministerio de Educación</w:t>
      </w:r>
      <w:r w:rsidRPr="00F47E41">
        <w:rPr>
          <w:rFonts w:ascii="Verdana" w:hAnsi="Verdana" w:cs="Arial"/>
          <w:bCs/>
          <w:lang w:val="es-ES_tradnl" w:eastAsia="es-ES"/>
        </w:rPr>
        <w:t>: “[…] convalidar títulos de educación superior otorgados por instituciones de educación superior extranjeras, para efectos académicos y legales en el territorio nacional”.</w:t>
      </w:r>
    </w:p>
    <w:p w:rsidRPr="00F47E41" w:rsidR="00F47E41" w:rsidP="00F47E41" w:rsidRDefault="00F47E41" w14:paraId="1DD3A646" w14:textId="77777777">
      <w:pPr>
        <w:spacing w:after="0" w:line="240" w:lineRule="auto"/>
        <w:jc w:val="both"/>
        <w:rPr>
          <w:rFonts w:ascii="Verdana" w:hAnsi="Verdana" w:cs="Arial"/>
          <w:bCs/>
          <w:lang w:val="es-ES_tradnl" w:eastAsia="es-ES"/>
        </w:rPr>
      </w:pPr>
    </w:p>
    <w:p w:rsidRPr="00F47E41" w:rsidR="00F47E41" w:rsidP="00F47E41" w:rsidRDefault="00F47E41" w14:paraId="2CB47980" w14:textId="77777777">
      <w:pPr>
        <w:spacing w:after="0" w:line="240" w:lineRule="auto"/>
        <w:jc w:val="both"/>
        <w:rPr>
          <w:rFonts w:ascii="Verdana" w:hAnsi="Verdana" w:cs="Arial"/>
          <w:bCs/>
          <w:lang w:val="es-ES_tradnl" w:eastAsia="es-ES"/>
        </w:rPr>
      </w:pPr>
      <w:r w:rsidRPr="00F47E41">
        <w:rPr>
          <w:rFonts w:ascii="Verdana" w:hAnsi="Verdana" w:cs="Arial"/>
          <w:bCs/>
          <w:lang w:val="es-ES_tradnl" w:eastAsia="es-ES"/>
        </w:rPr>
        <w:t>Asimismo, el Decreto Único Reglamentario 1075 de 2015, que regula el sector de Educación, contiene varias normas que contemplan la convalidación del título obtenido en el extranjero, como un requisito para que este tenga validez en Colombia. Por ejemplo, el a</w:t>
      </w:r>
      <w:r w:rsidRPr="00F47E41">
        <w:rPr>
          <w:rFonts w:ascii="Verdana" w:hAnsi="Verdana" w:cs="Arial"/>
          <w:bCs/>
          <w:lang w:eastAsia="es-ES"/>
        </w:rPr>
        <w:t xml:space="preserve">rtículo 2.3.3.3.5.5. dispone: “[…] Para la validez del título de bachiller solamente se requiere su expedición por parte de las instituciones educativas legalmente autorizadas para ello, a quienes hayan cumplido con los requisitos establecidos en el proyecto educativo institucional o de su convalidación por parte de las instituciones del Estado señaladas para verificar, homologar o convalidar conocimientos”. Esto, sin perjuicio de las demás reglas que deben tenerse en cuenta para la suscripción de contratos de prestación de servicios de apoyo a la gestión con extranjeros. </w:t>
      </w:r>
    </w:p>
    <w:p w:rsidR="00FF7D37" w:rsidP="00FF7D37" w:rsidRDefault="00FF7D37" w14:paraId="445A9A88" w14:textId="3427F74F">
      <w:pPr>
        <w:spacing w:after="0" w:line="240" w:lineRule="auto"/>
        <w:rPr>
          <w:rFonts w:ascii="Verdana" w:hAnsi="Verdana" w:cs="Arial"/>
          <w:b/>
          <w:bCs/>
          <w:lang w:val="es-ES_tradnl" w:eastAsia="es-ES"/>
        </w:rPr>
      </w:pPr>
    </w:p>
    <w:p w:rsidR="00FF7D37" w:rsidP="00FF7D37" w:rsidRDefault="00FF7D37" w14:paraId="7C47507C" w14:textId="4713F619">
      <w:pPr>
        <w:spacing w:after="0" w:line="240" w:lineRule="auto"/>
        <w:rPr>
          <w:rFonts w:ascii="Verdana" w:hAnsi="Verdana"/>
          <w:b/>
        </w:rPr>
      </w:pPr>
    </w:p>
    <w:p w:rsidR="00F47E41" w:rsidP="00FF7D37" w:rsidRDefault="00F47E41" w14:paraId="63D5023C" w14:textId="60383B25">
      <w:pPr>
        <w:spacing w:after="0" w:line="240" w:lineRule="auto"/>
        <w:rPr>
          <w:rFonts w:ascii="Verdana" w:hAnsi="Verdana"/>
          <w:b/>
        </w:rPr>
      </w:pPr>
    </w:p>
    <w:p w:rsidR="00F47E41" w:rsidP="00FF7D37" w:rsidRDefault="00F47E41" w14:paraId="6841E3DD" w14:textId="6C83DF6A">
      <w:pPr>
        <w:spacing w:after="0" w:line="240" w:lineRule="auto"/>
        <w:rPr>
          <w:rFonts w:ascii="Verdana" w:hAnsi="Verdana"/>
          <w:b/>
        </w:rPr>
      </w:pPr>
    </w:p>
    <w:p w:rsidR="00F47E41" w:rsidP="00FF7D37" w:rsidRDefault="00F47E41" w14:paraId="1A1EE111" w14:textId="2E6F8FA9">
      <w:pPr>
        <w:spacing w:after="0" w:line="240" w:lineRule="auto"/>
        <w:rPr>
          <w:rFonts w:ascii="Verdana" w:hAnsi="Verdana"/>
          <w:b/>
        </w:rPr>
      </w:pPr>
    </w:p>
    <w:p w:rsidR="00F47E41" w:rsidP="00FF7D37" w:rsidRDefault="00F47E41" w14:paraId="08E7124D" w14:textId="73DB3011">
      <w:pPr>
        <w:spacing w:after="0" w:line="240" w:lineRule="auto"/>
        <w:rPr>
          <w:rFonts w:ascii="Verdana" w:hAnsi="Verdana"/>
          <w:b/>
        </w:rPr>
      </w:pPr>
    </w:p>
    <w:p w:rsidRPr="00FF7D37" w:rsidR="00F47E41" w:rsidP="00FF7D37" w:rsidRDefault="00F47E41" w14:paraId="3ACFDEB5" w14:textId="77777777">
      <w:pPr>
        <w:spacing w:after="0" w:line="240" w:lineRule="auto"/>
        <w:rPr>
          <w:rFonts w:ascii="Verdana" w:hAnsi="Verdana"/>
          <w:b/>
        </w:rPr>
      </w:pPr>
    </w:p>
    <w:p w:rsidRPr="0044528D" w:rsidR="00290C91" w:rsidP="00290C91" w:rsidRDefault="00FF7D37" w14:paraId="6C1E5796" w14:textId="052C2FB0">
      <w:pPr>
        <w:spacing w:after="0"/>
        <w:rPr>
          <w:rFonts w:ascii="Verdana" w:hAnsi="Verdana"/>
        </w:rPr>
      </w:pPr>
      <w:r w:rsidRPr="00FF7D37">
        <w:rPr>
          <w:rFonts w:ascii="Verdana" w:hAnsi="Verdana"/>
          <w:noProof/>
          <w:lang w:val="en-US"/>
        </w:rPr>
        <w:drawing>
          <wp:anchor distT="0" distB="0" distL="114300" distR="114300" simplePos="0" relativeHeight="251658240" behindDoc="0" locked="0" layoutInCell="1" allowOverlap="1" wp14:anchorId="1C6FA4BB" wp14:editId="28A247C3">
            <wp:simplePos x="0" y="0"/>
            <wp:positionH relativeFrom="column">
              <wp:posOffset>2826385</wp:posOffset>
            </wp:positionH>
            <wp:positionV relativeFrom="paragraph">
              <wp:posOffset>10160</wp:posOffset>
            </wp:positionV>
            <wp:extent cx="2860040" cy="78930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040" cy="789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3 de junio de 2025</w:t>
      </w:r>
      <w:r w:rsidRPr="0044528D" w:rsidR="00290C91">
        <w:rPr>
          <w:rFonts w:ascii="Verdana" w:hAnsi="Verdana"/>
        </w:rPr>
        <w:tab/>
      </w:r>
    </w:p>
    <w:p w:rsidRPr="0044528D" w:rsidR="00290C91" w:rsidP="00290C91" w:rsidRDefault="00290C91" w14:paraId="63130C07" w14:textId="77777777">
      <w:pPr>
        <w:spacing w:after="0"/>
        <w:rPr>
          <w:rFonts w:ascii="Verdana" w:hAnsi="Verdana"/>
        </w:rPr>
      </w:pPr>
    </w:p>
    <w:p w:rsidR="00290C91" w:rsidP="00290C91" w:rsidRDefault="00290C91" w14:paraId="6CC1502B" w14:textId="75079704">
      <w:pPr>
        <w:spacing w:after="0"/>
        <w:rPr>
          <w:rFonts w:ascii="Verdana" w:hAnsi="Verdana"/>
        </w:rPr>
      </w:pPr>
    </w:p>
    <w:p w:rsidRPr="007C07D7" w:rsidR="00FF7D37" w:rsidP="00290C91" w:rsidRDefault="00FF7D37" w14:paraId="3F396EA9" w14:textId="77777777">
      <w:pPr>
        <w:spacing w:after="0"/>
        <w:rPr>
          <w:rFonts w:ascii="Verdana" w:hAnsi="Verdana"/>
        </w:rPr>
      </w:pPr>
    </w:p>
    <w:p w:rsidRPr="007C07D7" w:rsidR="00290C91" w:rsidP="00290C91" w:rsidRDefault="00290C91" w14:paraId="4F2D637A" w14:textId="77777777">
      <w:pPr>
        <w:spacing w:after="0" w:line="240" w:lineRule="auto"/>
        <w:rPr>
          <w:rFonts w:ascii="Verdana" w:hAnsi="Verdana" w:eastAsia="Calibri" w:cs="Times New Roman"/>
          <w:lang w:val="es-MX"/>
        </w:rPr>
      </w:pPr>
      <w:r>
        <w:rPr>
          <w:rFonts w:ascii="Verdana" w:hAnsi="Verdana" w:eastAsia="Calibri" w:cs="Times New Roman"/>
          <w:lang w:val="es-MX"/>
        </w:rPr>
        <w:t>Señor</w:t>
      </w:r>
    </w:p>
    <w:p w:rsidR="00290C91" w:rsidP="00290C91" w:rsidRDefault="00290C91" w14:paraId="1B4E21DB" w14:textId="77777777">
      <w:pPr>
        <w:spacing w:after="0" w:line="240" w:lineRule="auto"/>
        <w:rPr>
          <w:rStyle w:val="Hipervnculo"/>
          <w:rFonts w:ascii="Verdana" w:hAnsi="Verdana"/>
        </w:rPr>
      </w:pPr>
      <w:r>
        <w:rPr>
          <w:rFonts w:ascii="Verdana" w:hAnsi="Verdana"/>
          <w:b/>
        </w:rPr>
        <w:t>Andrés Camilo Obregoso Castañeda</w:t>
      </w:r>
      <w:r>
        <w:rPr>
          <w:rStyle w:val="Hipervnculo"/>
          <w:rFonts w:ascii="Verdana" w:hAnsi="Verdana"/>
        </w:rPr>
        <w:t xml:space="preserve"> </w:t>
      </w:r>
    </w:p>
    <w:p w:rsidRPr="007C07D7" w:rsidR="00290C91" w:rsidP="00290C91" w:rsidRDefault="00FF7D37" w14:paraId="1F757C91" w14:textId="77777777">
      <w:pPr>
        <w:spacing w:after="0" w:line="240" w:lineRule="auto"/>
        <w:rPr>
          <w:rFonts w:ascii="Verdana" w:hAnsi="Verdana"/>
        </w:rPr>
      </w:pPr>
      <w:hyperlink w:history="1" r:id="rId15">
        <w:r w:rsidRPr="00722684" w:rsidR="00290C91">
          <w:rPr>
            <w:rStyle w:val="Hipervnculo"/>
            <w:rFonts w:ascii="Verdana" w:hAnsi="Verdana"/>
          </w:rPr>
          <w:t>obregosoabogado@gmail.com</w:t>
        </w:r>
      </w:hyperlink>
      <w:r w:rsidR="00290C91">
        <w:rPr>
          <w:rFonts w:ascii="Verdana" w:hAnsi="Verdana"/>
        </w:rPr>
        <w:t xml:space="preserve">  </w:t>
      </w:r>
    </w:p>
    <w:p w:rsidRPr="007C07D7" w:rsidR="00290C91" w:rsidP="00290C91" w:rsidRDefault="00290C91" w14:paraId="79388E61" w14:textId="77777777">
      <w:pPr>
        <w:spacing w:after="0" w:line="240" w:lineRule="auto"/>
        <w:rPr>
          <w:rFonts w:ascii="Verdana" w:hAnsi="Verdana" w:eastAsia="Calibri" w:cs="Times New Roman"/>
        </w:rPr>
      </w:pPr>
      <w:r w:rsidRPr="007C07D7">
        <w:rPr>
          <w:rFonts w:ascii="Verdana" w:hAnsi="Verdana" w:eastAsia="Calibri" w:cs="Times New Roman"/>
        </w:rPr>
        <w:t>Bogotá D.C.</w:t>
      </w:r>
    </w:p>
    <w:p w:rsidR="00290C91" w:rsidP="00290C91" w:rsidRDefault="00290C91" w14:paraId="09BB18ED" w14:textId="77777777">
      <w:pPr>
        <w:spacing w:after="0" w:line="256" w:lineRule="auto"/>
        <w:rPr>
          <w:rFonts w:ascii="Verdana" w:hAnsi="Verdana" w:eastAsia="Calibri" w:cs="Times New Roman"/>
        </w:rPr>
      </w:pPr>
      <w:bookmarkStart w:name="_GoBack" w:id="1"/>
      <w:bookmarkEnd w:id="1"/>
    </w:p>
    <w:p w:rsidR="00290C91" w:rsidP="00290C91" w:rsidRDefault="00290C91" w14:paraId="69B7EEF9" w14:textId="77777777">
      <w:pPr>
        <w:spacing w:after="0" w:line="256" w:lineRule="auto"/>
        <w:rPr>
          <w:rFonts w:ascii="Verdana" w:hAnsi="Verdana" w:eastAsia="Calibri" w:cs="Times New Roman"/>
        </w:rPr>
      </w:pPr>
    </w:p>
    <w:p w:rsidRPr="00CE62FF" w:rsidR="00290C91" w:rsidP="00290C91" w:rsidRDefault="00290C91" w14:paraId="5057AD1C" w14:textId="77777777">
      <w:pPr>
        <w:spacing w:after="0" w:line="256" w:lineRule="auto"/>
        <w:rPr>
          <w:rFonts w:ascii="Verdana" w:hAnsi="Verdana" w:eastAsia="Calibri" w:cs="Times New Roman"/>
          <w:b/>
          <w:bCs/>
          <w:lang w:val="es-ES"/>
        </w:rPr>
      </w:pPr>
      <w:r w:rsidRPr="00CE62FF">
        <w:rPr>
          <w:rFonts w:ascii="Verdana" w:hAnsi="Verdana" w:eastAsia="Calibri" w:cs="Times New Roman"/>
          <w:b/>
          <w:bCs/>
          <w:lang w:val="es-ES"/>
        </w:rPr>
        <w:t xml:space="preserve">               </w:t>
      </w:r>
      <w:r>
        <w:rPr>
          <w:rFonts w:ascii="Verdana" w:hAnsi="Verdana" w:eastAsia="Calibri" w:cs="Times New Roman"/>
          <w:b/>
          <w:bCs/>
          <w:lang w:val="es-ES"/>
        </w:rPr>
        <w:t xml:space="preserve">                     Concepto C-504</w:t>
      </w:r>
      <w:r w:rsidRPr="00CE62FF">
        <w:rPr>
          <w:rFonts w:ascii="Verdana" w:hAnsi="Verdana" w:eastAsia="Calibri" w:cs="Times New Roman"/>
          <w:b/>
          <w:bCs/>
          <w:lang w:val="es-ES"/>
        </w:rPr>
        <w:t xml:space="preserve"> de 2025</w:t>
      </w:r>
    </w:p>
    <w:p w:rsidRPr="00CE62FF" w:rsidR="00290C91" w:rsidP="00290C91" w:rsidRDefault="00290C91" w14:paraId="4E98DF2A" w14:textId="77777777">
      <w:pPr>
        <w:spacing w:after="0" w:line="256" w:lineRule="auto"/>
        <w:rPr>
          <w:rFonts w:ascii="Verdana" w:hAnsi="Verdana" w:eastAsia="Calibri" w:cs="Times New Roman"/>
          <w:lang w:val="es-ES_tradnl"/>
        </w:rPr>
      </w:pPr>
    </w:p>
    <w:tbl>
      <w:tblPr>
        <w:tblStyle w:val="Tablaconcuadrcula1"/>
        <w:tblW w:w="151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95"/>
        <w:gridCol w:w="6331"/>
        <w:gridCol w:w="6237"/>
      </w:tblGrid>
      <w:tr w:rsidRPr="00CE62FF" w:rsidR="00290C91" w:rsidTr="00FF7D37" w14:paraId="3429DC5E" w14:textId="77777777">
        <w:trPr>
          <w:trHeight w:val="1253"/>
        </w:trPr>
        <w:tc>
          <w:tcPr>
            <w:tcW w:w="2595" w:type="dxa"/>
            <w:hideMark/>
          </w:tcPr>
          <w:p w:rsidRPr="00CE62FF" w:rsidR="00290C91" w:rsidP="00FF7D37" w:rsidRDefault="00290C91" w14:paraId="59B63FD9" w14:textId="77777777">
            <w:pPr>
              <w:rPr>
                <w:rFonts w:ascii="Verdana" w:hAnsi="Verdana"/>
                <w:b/>
                <w:bCs/>
                <w:lang w:val="es-ES_tradnl"/>
              </w:rPr>
            </w:pPr>
            <w:r w:rsidRPr="00CE62FF">
              <w:rPr>
                <w:rFonts w:ascii="Verdana" w:hAnsi="Verdana"/>
                <w:b/>
                <w:bCs/>
                <w:lang w:val="es-ES_tradnl"/>
              </w:rPr>
              <w:t xml:space="preserve">Temas:                   </w:t>
            </w:r>
          </w:p>
        </w:tc>
        <w:tc>
          <w:tcPr>
            <w:tcW w:w="6331" w:type="dxa"/>
            <w:hideMark/>
          </w:tcPr>
          <w:p w:rsidRPr="00D02D84" w:rsidR="00290C91" w:rsidP="00FF7D37" w:rsidRDefault="00290C91" w14:paraId="3FBC4FC2" w14:textId="77777777">
            <w:pPr>
              <w:jc w:val="both"/>
              <w:rPr>
                <w:rFonts w:ascii="Verdana" w:hAnsi="Verdana"/>
                <w:highlight w:val="yellow"/>
              </w:rPr>
            </w:pPr>
            <w:r w:rsidRPr="00D02D84">
              <w:rPr>
                <w:rFonts w:ascii="Verdana" w:hAnsi="Verdana" w:cs="Arial"/>
                <w:bCs/>
                <w:lang w:val="es-ES_tradnl" w:eastAsia="es-ES"/>
              </w:rPr>
              <w:t xml:space="preserve">CONTRATO DE PRESTACIÓN DE SERVICIOS – Concepto – Requisitos y límites para su celebración / CONTRATISTA EXTRANJERO – Capacidad contractual – Ejecución de actividades fuera del territorio nacional /CONTRATO DE PRESTACIÓN DE SERVICIOS – Permiso de trabajo – Visa / PRESTACIÓN DE SERVICIOS – convalidación de títulos – Competencia del Ministerio de Educación. </w:t>
            </w:r>
          </w:p>
        </w:tc>
        <w:tc>
          <w:tcPr>
            <w:tcW w:w="6237" w:type="dxa"/>
          </w:tcPr>
          <w:p w:rsidRPr="004B77A5" w:rsidR="00290C91" w:rsidP="00FF7D37" w:rsidRDefault="00290C91" w14:paraId="364C9CD8" w14:textId="77777777">
            <w:pPr>
              <w:spacing w:line="256" w:lineRule="auto"/>
              <w:rPr>
                <w:rFonts w:ascii="Verdana" w:hAnsi="Verdana"/>
              </w:rPr>
            </w:pPr>
          </w:p>
        </w:tc>
      </w:tr>
      <w:tr w:rsidRPr="00CE62FF" w:rsidR="00290C91" w:rsidTr="00FF7D37" w14:paraId="4F750F2F" w14:textId="77777777">
        <w:tc>
          <w:tcPr>
            <w:tcW w:w="2595" w:type="dxa"/>
          </w:tcPr>
          <w:p w:rsidRPr="00DF3335" w:rsidR="00290C91" w:rsidP="00FF7D37" w:rsidRDefault="00290C91" w14:paraId="44F7CA14" w14:textId="77777777">
            <w:pPr>
              <w:spacing w:line="256" w:lineRule="auto"/>
              <w:rPr>
                <w:rFonts w:ascii="Verdana" w:hAnsi="Verdana"/>
                <w:lang w:val="es-ES_tradnl"/>
              </w:rPr>
            </w:pPr>
          </w:p>
          <w:p w:rsidRPr="00DF3335" w:rsidR="00290C91" w:rsidP="00FF7D37" w:rsidRDefault="00290C91" w14:paraId="7110497D" w14:textId="77777777">
            <w:pPr>
              <w:spacing w:line="256" w:lineRule="auto"/>
              <w:rPr>
                <w:rFonts w:ascii="Verdana" w:hAnsi="Verdana"/>
                <w:b/>
                <w:bCs/>
                <w:lang w:val="es-ES_tradnl"/>
              </w:rPr>
            </w:pPr>
            <w:r w:rsidRPr="00DF3335">
              <w:rPr>
                <w:rFonts w:ascii="Verdana" w:hAnsi="Verdana"/>
                <w:b/>
                <w:bCs/>
                <w:lang w:val="es-ES_tradnl"/>
              </w:rPr>
              <w:t xml:space="preserve">Radicación:               </w:t>
            </w:r>
          </w:p>
        </w:tc>
        <w:tc>
          <w:tcPr>
            <w:tcW w:w="6331" w:type="dxa"/>
          </w:tcPr>
          <w:p w:rsidRPr="00DF3335" w:rsidR="00290C91" w:rsidP="00FF7D37" w:rsidRDefault="00290C91" w14:paraId="18E033A7" w14:textId="77777777">
            <w:pPr>
              <w:spacing w:line="257" w:lineRule="auto"/>
              <w:rPr>
                <w:rFonts w:ascii="Verdana" w:hAnsi="Verdana"/>
                <w:lang w:val="es-ES_tradnl"/>
              </w:rPr>
            </w:pPr>
          </w:p>
          <w:p w:rsidRPr="00DF3335" w:rsidR="00290C91" w:rsidP="00FF7D37" w:rsidRDefault="00290C91" w14:paraId="6C2A4F3A" w14:textId="77777777">
            <w:pPr>
              <w:spacing w:line="257" w:lineRule="auto"/>
              <w:jc w:val="both"/>
              <w:rPr>
                <w:rFonts w:ascii="Verdana" w:hAnsi="Verdana"/>
                <w:lang w:val="es-ES_tradnl"/>
              </w:rPr>
            </w:pPr>
            <w:r w:rsidRPr="00DF3335">
              <w:rPr>
                <w:rFonts w:ascii="Verdana" w:hAnsi="Verdana"/>
                <w:lang w:val="es-ES_tradnl"/>
              </w:rPr>
              <w:t xml:space="preserve">Respuesta a consulta con radicado No. </w:t>
            </w:r>
            <w:r w:rsidRPr="00DF3335">
              <w:rPr>
                <w:rFonts w:ascii="Verdana" w:hAnsi="Verdana"/>
              </w:rPr>
              <w:t>P20250423003810</w:t>
            </w:r>
          </w:p>
          <w:p w:rsidRPr="00DF3335" w:rsidR="00290C91" w:rsidP="00FF7D37" w:rsidRDefault="00290C91" w14:paraId="2E2E61CD" w14:textId="77777777">
            <w:pPr>
              <w:spacing w:line="257" w:lineRule="auto"/>
              <w:jc w:val="both"/>
              <w:rPr>
                <w:rFonts w:ascii="Verdana" w:hAnsi="Verdana"/>
              </w:rPr>
            </w:pPr>
          </w:p>
        </w:tc>
        <w:tc>
          <w:tcPr>
            <w:tcW w:w="6237" w:type="dxa"/>
          </w:tcPr>
          <w:p w:rsidRPr="00CE62FF" w:rsidR="00290C91" w:rsidP="00FF7D37" w:rsidRDefault="00290C91" w14:paraId="446AC785" w14:textId="77777777">
            <w:pPr>
              <w:spacing w:line="256" w:lineRule="auto"/>
              <w:rPr>
                <w:rFonts w:ascii="Verdana" w:hAnsi="Verdana"/>
                <w:lang w:val="es-ES_tradnl"/>
              </w:rPr>
            </w:pPr>
          </w:p>
        </w:tc>
      </w:tr>
    </w:tbl>
    <w:p w:rsidRPr="00CE62FF" w:rsidR="00290C91" w:rsidP="00290C91" w:rsidRDefault="00290C91" w14:paraId="58D45E0E" w14:textId="77777777">
      <w:pPr>
        <w:spacing w:after="0" w:line="256" w:lineRule="auto"/>
        <w:rPr>
          <w:rFonts w:ascii="Verdana" w:hAnsi="Verdana" w:eastAsia="Calibri" w:cs="Times New Roman"/>
          <w:lang w:val="es-ES_tradnl"/>
        </w:rPr>
      </w:pPr>
    </w:p>
    <w:p w:rsidRPr="00CE62FF" w:rsidR="00290C91" w:rsidP="00290C91" w:rsidRDefault="00290C91" w14:paraId="66293313" w14:textId="77777777">
      <w:pPr>
        <w:spacing w:after="0" w:line="256" w:lineRule="auto"/>
        <w:rPr>
          <w:rFonts w:ascii="Verdana" w:hAnsi="Verdana" w:eastAsia="Calibri" w:cs="Times New Roman"/>
          <w:lang w:val="es-ES"/>
        </w:rPr>
      </w:pPr>
      <w:r>
        <w:rPr>
          <w:rFonts w:ascii="Verdana" w:hAnsi="Verdana" w:eastAsia="Calibri" w:cs="Times New Roman"/>
          <w:lang w:val="es-ES"/>
        </w:rPr>
        <w:t>Estimado Señor Andrés Camilo</w:t>
      </w:r>
      <w:r w:rsidRPr="00CE62FF">
        <w:rPr>
          <w:rFonts w:ascii="Verdana" w:hAnsi="Verdana" w:eastAsia="Calibri" w:cs="Times New Roman"/>
          <w:lang w:val="es-ES"/>
        </w:rPr>
        <w:t xml:space="preserve">: </w:t>
      </w:r>
    </w:p>
    <w:p w:rsidRPr="00CE62FF" w:rsidR="00290C91" w:rsidP="00290C91" w:rsidRDefault="00290C91" w14:paraId="559940A2" w14:textId="77777777">
      <w:pPr>
        <w:spacing w:after="0" w:line="256" w:lineRule="auto"/>
        <w:rPr>
          <w:rFonts w:ascii="Verdana" w:hAnsi="Verdana" w:eastAsia="Calibri" w:cs="Times New Roman"/>
          <w:lang w:val="es-ES"/>
        </w:rPr>
      </w:pPr>
    </w:p>
    <w:p w:rsidR="00290C91" w:rsidP="00290C91" w:rsidRDefault="00290C91" w14:paraId="735173CB" w14:textId="77777777">
      <w:pPr>
        <w:spacing w:after="0" w:line="276" w:lineRule="auto"/>
        <w:jc w:val="both"/>
        <w:rPr>
          <w:rFonts w:ascii="Verdana" w:hAnsi="Verdana" w:eastAsia="Calibri" w:cs="Times New Roman"/>
        </w:rPr>
      </w:pPr>
      <w:r w:rsidRPr="00CE62FF">
        <w:rPr>
          <w:rFonts w:ascii="Verdana" w:hAnsi="Verdana" w:eastAsia="Calibri" w:cs="Times New Roman"/>
          <w:lang w:val="es-ES"/>
        </w:rPr>
        <w:t>En ejercicio de la competencia otorgada por</w:t>
      </w:r>
      <w:r w:rsidRPr="00A12061">
        <w:rPr>
          <w:rFonts w:ascii="Verdana" w:hAnsi="Verdana" w:eastAsia="Calibri" w:cs="Times New Roman"/>
          <w:lang w:val="es-ES"/>
        </w:rPr>
        <w:t xml:space="preserve"> los artículos 3, numeral 5º, y 11, numeral 8º, del Decreto Ley 4170 de 2011, la Agencia Nacional de Contratación Pública – Colombia Compra Eficiente– responde la solici</w:t>
      </w:r>
      <w:r>
        <w:rPr>
          <w:rFonts w:ascii="Verdana" w:hAnsi="Verdana" w:eastAsia="Calibri" w:cs="Times New Roman"/>
          <w:lang w:val="es-ES"/>
        </w:rPr>
        <w:t xml:space="preserve">tud de consulta presentada el 23 de abril de </w:t>
      </w:r>
      <w:r w:rsidRPr="00A12061">
        <w:rPr>
          <w:rFonts w:ascii="Verdana" w:hAnsi="Verdana" w:eastAsia="Calibri" w:cs="Times New Roman"/>
          <w:lang w:val="es-ES"/>
        </w:rPr>
        <w:t>2025, en la cual manifiesta lo siguiente:</w:t>
      </w:r>
      <w:r w:rsidRPr="000D6D0E">
        <w:rPr>
          <w:rFonts w:ascii="Verdana" w:hAnsi="Verdana" w:eastAsia="Calibri" w:cs="Times New Roman"/>
        </w:rPr>
        <w:t xml:space="preserve"> </w:t>
      </w:r>
    </w:p>
    <w:p w:rsidR="00290C91" w:rsidP="00290C91" w:rsidRDefault="00290C91" w14:paraId="16D436FF" w14:textId="77777777">
      <w:pPr>
        <w:spacing w:after="0" w:line="276" w:lineRule="auto"/>
        <w:jc w:val="both"/>
        <w:rPr>
          <w:rFonts w:ascii="Verdana" w:hAnsi="Verdana" w:eastAsia="Calibri" w:cs="Times New Roman"/>
        </w:rPr>
      </w:pPr>
    </w:p>
    <w:p w:rsidRPr="00A906A0" w:rsidR="00290C91" w:rsidP="00290C91" w:rsidRDefault="00290C91" w14:paraId="664E9F0A" w14:textId="77777777">
      <w:pPr>
        <w:spacing w:after="0" w:line="240" w:lineRule="auto"/>
        <w:ind w:left="709" w:right="709"/>
        <w:jc w:val="both"/>
        <w:rPr>
          <w:rFonts w:ascii="Verdana" w:hAnsi="Verdana" w:eastAsia="Calibri" w:cs="Times New Roman"/>
          <w:i/>
          <w:iCs/>
          <w:sz w:val="20"/>
          <w:szCs w:val="20"/>
        </w:rPr>
      </w:pPr>
      <w:r>
        <w:rPr>
          <w:rFonts w:ascii="Verdana" w:hAnsi="Verdana" w:eastAsia="Calibri" w:cs="Times New Roman"/>
          <w:i/>
          <w:iCs/>
          <w:sz w:val="20"/>
          <w:szCs w:val="20"/>
        </w:rPr>
        <w:t>“Requiero información sobre la normatividad y la posibilidad de la contratación</w:t>
      </w:r>
      <w:r w:rsidRPr="00A906A0">
        <w:rPr>
          <w:rFonts w:ascii="Verdana" w:hAnsi="Verdana" w:eastAsia="Calibri" w:cs="Times New Roman"/>
          <w:i/>
          <w:iCs/>
          <w:sz w:val="20"/>
          <w:szCs w:val="20"/>
        </w:rPr>
        <w:t xml:space="preserve"> </w:t>
      </w:r>
      <w:r>
        <w:rPr>
          <w:rFonts w:ascii="Verdana" w:hAnsi="Verdana" w:eastAsia="Calibri" w:cs="Times New Roman"/>
          <w:i/>
          <w:iCs/>
          <w:sz w:val="20"/>
          <w:szCs w:val="20"/>
        </w:rPr>
        <w:t>de prestación (sic) de servicios de a</w:t>
      </w:r>
      <w:r w:rsidRPr="00A906A0">
        <w:rPr>
          <w:rFonts w:ascii="Verdana" w:hAnsi="Verdana" w:eastAsia="Calibri" w:cs="Times New Roman"/>
          <w:i/>
          <w:iCs/>
          <w:sz w:val="20"/>
          <w:szCs w:val="20"/>
        </w:rPr>
        <w:t xml:space="preserve">poyo </w:t>
      </w:r>
      <w:r>
        <w:rPr>
          <w:rFonts w:ascii="Verdana" w:hAnsi="Verdana" w:eastAsia="Calibri" w:cs="Times New Roman"/>
          <w:i/>
          <w:iCs/>
          <w:sz w:val="20"/>
          <w:szCs w:val="20"/>
        </w:rPr>
        <w:t>a la gestión de un extranjero en u</w:t>
      </w:r>
      <w:r w:rsidRPr="00A906A0">
        <w:rPr>
          <w:rFonts w:ascii="Verdana" w:hAnsi="Verdana" w:eastAsia="Calibri" w:cs="Times New Roman"/>
          <w:i/>
          <w:iCs/>
          <w:sz w:val="20"/>
          <w:szCs w:val="20"/>
        </w:rPr>
        <w:t>na Alcaldía</w:t>
      </w:r>
      <w:r>
        <w:rPr>
          <w:rFonts w:ascii="Verdana" w:hAnsi="Verdana" w:eastAsia="Calibri" w:cs="Times New Roman"/>
          <w:i/>
          <w:iCs/>
          <w:sz w:val="20"/>
          <w:szCs w:val="20"/>
        </w:rPr>
        <w:t xml:space="preserve"> del Departamento de </w:t>
      </w:r>
      <w:r w:rsidRPr="00A906A0">
        <w:rPr>
          <w:rFonts w:ascii="Verdana" w:hAnsi="Verdana" w:eastAsia="Calibri" w:cs="Times New Roman"/>
          <w:i/>
          <w:iCs/>
          <w:sz w:val="20"/>
          <w:szCs w:val="20"/>
        </w:rPr>
        <w:t>Cundinamarca.</w:t>
      </w:r>
    </w:p>
    <w:p w:rsidRPr="002C542F" w:rsidR="00290C91" w:rsidP="00290C91" w:rsidRDefault="00290C91" w14:paraId="71382AA1" w14:textId="77777777">
      <w:pPr>
        <w:spacing w:after="0" w:line="240" w:lineRule="auto"/>
        <w:ind w:left="709" w:right="709"/>
        <w:jc w:val="both"/>
        <w:rPr>
          <w:rFonts w:ascii="Verdana" w:hAnsi="Verdana" w:eastAsia="Calibri" w:cs="Times New Roman"/>
          <w:i/>
          <w:iCs/>
          <w:sz w:val="20"/>
          <w:szCs w:val="20"/>
        </w:rPr>
      </w:pPr>
      <w:r>
        <w:rPr>
          <w:rFonts w:ascii="Verdana" w:hAnsi="Verdana" w:eastAsia="Calibri" w:cs="Times New Roman"/>
          <w:i/>
          <w:iCs/>
          <w:sz w:val="20"/>
          <w:szCs w:val="20"/>
        </w:rPr>
        <w:t>Requiero conocer la i</w:t>
      </w:r>
      <w:r w:rsidRPr="00A906A0">
        <w:rPr>
          <w:rFonts w:ascii="Verdana" w:hAnsi="Verdana" w:eastAsia="Calibri" w:cs="Times New Roman"/>
          <w:i/>
          <w:iCs/>
          <w:sz w:val="20"/>
          <w:szCs w:val="20"/>
        </w:rPr>
        <w:t>nformación</w:t>
      </w:r>
      <w:r>
        <w:rPr>
          <w:rFonts w:ascii="Verdana" w:hAnsi="Verdana" w:eastAsia="Calibri" w:cs="Times New Roman"/>
          <w:i/>
          <w:iCs/>
          <w:sz w:val="20"/>
          <w:szCs w:val="20"/>
        </w:rPr>
        <w:t xml:space="preserve"> relacionada con l</w:t>
      </w:r>
      <w:r w:rsidRPr="00A906A0">
        <w:rPr>
          <w:rFonts w:ascii="Verdana" w:hAnsi="Verdana" w:eastAsia="Calibri" w:cs="Times New Roman"/>
          <w:i/>
          <w:iCs/>
          <w:sz w:val="20"/>
          <w:szCs w:val="20"/>
        </w:rPr>
        <w:t>os</w:t>
      </w:r>
      <w:r>
        <w:rPr>
          <w:rFonts w:ascii="Verdana" w:hAnsi="Verdana" w:eastAsia="Calibri" w:cs="Times New Roman"/>
          <w:i/>
          <w:iCs/>
          <w:sz w:val="20"/>
          <w:szCs w:val="20"/>
        </w:rPr>
        <w:t xml:space="preserve"> requisitos j</w:t>
      </w:r>
      <w:r w:rsidRPr="00A906A0">
        <w:rPr>
          <w:rFonts w:ascii="Verdana" w:hAnsi="Verdana" w:eastAsia="Calibri" w:cs="Times New Roman"/>
          <w:i/>
          <w:iCs/>
          <w:sz w:val="20"/>
          <w:szCs w:val="20"/>
        </w:rPr>
        <w:t>urídicos</w:t>
      </w:r>
      <w:r>
        <w:rPr>
          <w:rFonts w:ascii="Verdana" w:hAnsi="Verdana" w:eastAsia="Calibri" w:cs="Times New Roman"/>
          <w:i/>
          <w:iCs/>
          <w:sz w:val="20"/>
          <w:szCs w:val="20"/>
        </w:rPr>
        <w:t xml:space="preserve"> que d</w:t>
      </w:r>
      <w:r w:rsidRPr="00A906A0">
        <w:rPr>
          <w:rFonts w:ascii="Verdana" w:hAnsi="Verdana" w:eastAsia="Calibri" w:cs="Times New Roman"/>
          <w:i/>
          <w:iCs/>
          <w:sz w:val="20"/>
          <w:szCs w:val="20"/>
        </w:rPr>
        <w:t xml:space="preserve">ebo </w:t>
      </w:r>
      <w:r>
        <w:rPr>
          <w:rFonts w:ascii="Verdana" w:hAnsi="Verdana" w:eastAsia="Calibri" w:cs="Times New Roman"/>
          <w:i/>
          <w:iCs/>
          <w:sz w:val="20"/>
          <w:szCs w:val="20"/>
        </w:rPr>
        <w:t>e</w:t>
      </w:r>
      <w:r w:rsidRPr="00A906A0">
        <w:rPr>
          <w:rFonts w:ascii="Verdana" w:hAnsi="Verdana" w:eastAsia="Calibri" w:cs="Times New Roman"/>
          <w:i/>
          <w:iCs/>
          <w:sz w:val="20"/>
          <w:szCs w:val="20"/>
        </w:rPr>
        <w:t xml:space="preserve">xigir </w:t>
      </w:r>
      <w:r>
        <w:rPr>
          <w:rFonts w:ascii="Verdana" w:hAnsi="Verdana" w:eastAsia="Calibri" w:cs="Times New Roman"/>
          <w:i/>
          <w:iCs/>
          <w:sz w:val="20"/>
          <w:szCs w:val="20"/>
        </w:rPr>
        <w:t>a la persona, si debe t</w:t>
      </w:r>
      <w:r w:rsidRPr="00A906A0">
        <w:rPr>
          <w:rFonts w:ascii="Verdana" w:hAnsi="Verdana" w:eastAsia="Calibri" w:cs="Times New Roman"/>
          <w:i/>
          <w:iCs/>
          <w:sz w:val="20"/>
          <w:szCs w:val="20"/>
        </w:rPr>
        <w:t>ener</w:t>
      </w:r>
      <w:r>
        <w:rPr>
          <w:rFonts w:ascii="Verdana" w:hAnsi="Verdana" w:eastAsia="Calibri" w:cs="Times New Roman"/>
          <w:i/>
          <w:iCs/>
          <w:sz w:val="20"/>
          <w:szCs w:val="20"/>
        </w:rPr>
        <w:t xml:space="preserve"> Cedula de Extranjería o basta con la autorización o p</w:t>
      </w:r>
      <w:r w:rsidRPr="00A906A0">
        <w:rPr>
          <w:rFonts w:ascii="Verdana" w:hAnsi="Verdana" w:eastAsia="Calibri" w:cs="Times New Roman"/>
          <w:i/>
          <w:iCs/>
          <w:sz w:val="20"/>
          <w:szCs w:val="20"/>
        </w:rPr>
        <w:t>ermiso</w:t>
      </w:r>
      <w:r>
        <w:rPr>
          <w:rFonts w:ascii="Verdana" w:hAnsi="Verdana" w:eastAsia="Calibri" w:cs="Times New Roman"/>
          <w:i/>
          <w:iCs/>
          <w:sz w:val="20"/>
          <w:szCs w:val="20"/>
        </w:rPr>
        <w:t xml:space="preserve"> para trabajar en Colombia</w:t>
      </w:r>
      <w:r w:rsidRPr="00A85BDD">
        <w:rPr>
          <w:rFonts w:ascii="Verdana" w:hAnsi="Verdana" w:eastAsia="Calibri" w:cs="Times New Roman"/>
          <w:i/>
          <w:iCs/>
          <w:sz w:val="20"/>
          <w:szCs w:val="20"/>
          <w:lang w:val="es-ES"/>
        </w:rPr>
        <w:t xml:space="preserve">”. </w:t>
      </w:r>
    </w:p>
    <w:p w:rsidRPr="00BE7E3E" w:rsidR="00290C91" w:rsidP="00290C91" w:rsidRDefault="00290C91" w14:paraId="12C86730" w14:textId="77777777">
      <w:pPr>
        <w:spacing w:after="0" w:line="276" w:lineRule="auto"/>
        <w:jc w:val="both"/>
        <w:rPr>
          <w:rFonts w:ascii="Verdana" w:hAnsi="Verdana" w:eastAsia="Calibri" w:cs="Times New Roman"/>
          <w:i/>
          <w:iCs/>
          <w:lang w:val="es-ES"/>
        </w:rPr>
      </w:pPr>
    </w:p>
    <w:p w:rsidRPr="00A12CB6" w:rsidR="00290C91" w:rsidP="00290C91" w:rsidRDefault="00290C91" w14:paraId="2D2B6A4A" w14:textId="77777777">
      <w:pPr>
        <w:spacing w:after="120" w:line="276" w:lineRule="auto"/>
        <w:ind w:firstLine="709"/>
        <w:jc w:val="both"/>
        <w:rPr>
          <w:rFonts w:ascii="Verdana" w:hAnsi="Verdana" w:eastAsia="Calibri" w:cs="Times New Roman"/>
          <w:lang w:val="es-ES"/>
        </w:rPr>
      </w:pPr>
      <w:r w:rsidRPr="00A12CB6">
        <w:rPr>
          <w:rFonts w:ascii="Verdana" w:hAnsi="Verdana" w:eastAsia="Calibri"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A12CB6">
        <w:rPr>
          <w:rFonts w:ascii="Verdana" w:hAnsi="Verdana" w:eastAsia="Calibri" w:cs="Times New Roman"/>
          <w:lang w:val="es-ES"/>
        </w:rPr>
        <w:t>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rsidRPr="00A12CB6" w:rsidR="00290C91" w:rsidP="00290C91" w:rsidRDefault="00290C91" w14:paraId="75996827" w14:textId="77777777">
      <w:pPr>
        <w:spacing w:after="0" w:line="276" w:lineRule="auto"/>
        <w:ind w:firstLine="708"/>
        <w:jc w:val="both"/>
        <w:rPr>
          <w:rFonts w:ascii="Verdana" w:hAnsi="Verdana" w:eastAsia="Calibri" w:cs="Times New Roman"/>
          <w:lang w:val="es-ES"/>
        </w:rPr>
      </w:pPr>
      <w:r w:rsidRPr="00A12CB6">
        <w:rPr>
          <w:rFonts w:ascii="Verdana" w:hAnsi="Verdana" w:eastAsia="Calibri"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rsidRPr="00A12CB6" w:rsidR="00290C91" w:rsidP="00290C91" w:rsidRDefault="00290C91" w14:paraId="193DA71E" w14:textId="77777777">
      <w:pPr>
        <w:spacing w:after="0" w:line="256" w:lineRule="auto"/>
        <w:rPr>
          <w:rFonts w:ascii="Verdana" w:hAnsi="Verdana" w:eastAsia="Calibri" w:cs="Times New Roman"/>
          <w:lang w:val="es-ES"/>
        </w:rPr>
      </w:pPr>
    </w:p>
    <w:p w:rsidRPr="00A12CB6" w:rsidR="00290C91" w:rsidP="00290C91" w:rsidRDefault="00290C91" w14:paraId="6D40E29E" w14:textId="77777777">
      <w:pPr>
        <w:numPr>
          <w:ilvl w:val="0"/>
          <w:numId w:val="19"/>
        </w:numPr>
        <w:spacing w:after="0" w:line="256" w:lineRule="auto"/>
        <w:contextualSpacing/>
        <w:rPr>
          <w:rFonts w:ascii="Verdana" w:hAnsi="Verdana" w:eastAsia="Calibri" w:cs="Times New Roman"/>
          <w:b/>
          <w:bCs/>
          <w:lang w:val="es-ES"/>
        </w:rPr>
      </w:pPr>
      <w:r w:rsidRPr="00A12CB6">
        <w:rPr>
          <w:rFonts w:ascii="Verdana" w:hAnsi="Verdana" w:eastAsia="Calibri" w:cs="Times New Roman"/>
          <w:b/>
          <w:bCs/>
          <w:lang w:val="es-ES"/>
        </w:rPr>
        <w:t>Problema planteado:</w:t>
      </w:r>
    </w:p>
    <w:p w:rsidRPr="00A12CB6" w:rsidR="00290C91" w:rsidP="00290C91" w:rsidRDefault="00290C91" w14:paraId="6D42B47E" w14:textId="77777777">
      <w:pPr>
        <w:spacing w:after="0" w:line="256" w:lineRule="auto"/>
        <w:rPr>
          <w:rFonts w:ascii="Verdana" w:hAnsi="Verdana" w:eastAsia="Calibri" w:cs="Times New Roman"/>
        </w:rPr>
      </w:pPr>
    </w:p>
    <w:p w:rsidRPr="002C542F" w:rsidR="00290C91" w:rsidP="00290C91" w:rsidRDefault="00290C91" w14:paraId="33133199" w14:textId="77777777">
      <w:pPr>
        <w:spacing w:after="0" w:line="276" w:lineRule="auto"/>
        <w:jc w:val="both"/>
        <w:rPr>
          <w:rFonts w:ascii="Verdana" w:hAnsi="Verdana" w:eastAsia="Calibri" w:cs="Times New Roman"/>
        </w:rPr>
      </w:pPr>
      <w:r w:rsidRPr="427A5C7D">
        <w:rPr>
          <w:rFonts w:ascii="Verdana" w:hAnsi="Verdana" w:eastAsia="Calibri" w:cs="Times New Roman"/>
        </w:rPr>
        <w:t>De acuerdo con el contenido de su solicitud, esta Agencia procede a resolver el siguiente problema jurídico: ¿</w:t>
      </w:r>
      <w:r>
        <w:rPr>
          <w:rFonts w:ascii="Verdana" w:hAnsi="Verdana" w:eastAsia="Calibri" w:cs="Times New Roman"/>
        </w:rPr>
        <w:t>Cuáles son las condiciones y permisos laborales que debe tener en cuenta la entidad estatal para suscribir un contrato de prestación de servicios de apoyo a la gestión con un extranjero?</w:t>
      </w:r>
    </w:p>
    <w:p w:rsidRPr="00A12CB6" w:rsidR="00290C91" w:rsidP="00290C91" w:rsidRDefault="00290C91" w14:paraId="02627CBF" w14:textId="77777777">
      <w:pPr>
        <w:spacing w:after="0" w:line="256" w:lineRule="auto"/>
        <w:rPr>
          <w:rFonts w:ascii="Verdana" w:hAnsi="Verdana" w:eastAsia="Calibri" w:cs="Times New Roman"/>
        </w:rPr>
      </w:pPr>
    </w:p>
    <w:p w:rsidR="00290C91" w:rsidP="00290C91" w:rsidRDefault="00290C91" w14:paraId="17586DC7" w14:textId="77777777">
      <w:pPr>
        <w:numPr>
          <w:ilvl w:val="0"/>
          <w:numId w:val="19"/>
        </w:numPr>
        <w:spacing w:after="0" w:line="256" w:lineRule="auto"/>
        <w:contextualSpacing/>
        <w:rPr>
          <w:rFonts w:ascii="Verdana" w:hAnsi="Verdana" w:eastAsia="Calibri" w:cs="Times New Roman"/>
          <w:b/>
          <w:bCs/>
          <w:lang w:val="es-ES"/>
        </w:rPr>
      </w:pPr>
      <w:r w:rsidRPr="00A12CB6">
        <w:rPr>
          <w:rFonts w:ascii="Verdana" w:hAnsi="Verdana" w:eastAsia="Calibri" w:cs="Times New Roman"/>
          <w:b/>
          <w:bCs/>
          <w:lang w:val="es-ES"/>
        </w:rPr>
        <w:t>Respuesta:</w:t>
      </w:r>
    </w:p>
    <w:p w:rsidRPr="00A12CB6" w:rsidR="00290C91" w:rsidP="00290C91" w:rsidRDefault="00290C91" w14:paraId="36781C39" w14:textId="77777777">
      <w:pPr>
        <w:spacing w:after="0" w:line="276" w:lineRule="auto"/>
        <w:rPr>
          <w:rFonts w:ascii="Verdana" w:hAnsi="Verdana" w:eastAsia="Calibri" w:cs="Times New Roman"/>
          <w:b/>
          <w:bCs/>
          <w:lang w:val="es-ES"/>
        </w:rPr>
      </w:pPr>
    </w:p>
    <w:tbl>
      <w:tblPr>
        <w:tblStyle w:val="Tablaconcuadrcula"/>
        <w:tblW w:w="8784"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784"/>
      </w:tblGrid>
      <w:tr w:rsidRPr="001205D1" w:rsidR="00290C91" w:rsidTr="00FF7D37" w14:paraId="77E346CC" w14:textId="77777777">
        <w:trPr>
          <w:trHeight w:val="870"/>
          <w:jc w:val="center"/>
        </w:trPr>
        <w:tc>
          <w:tcPr>
            <w:tcW w:w="8784" w:type="dxa"/>
          </w:tcPr>
          <w:p w:rsidRPr="000A0E26" w:rsidR="00290C91" w:rsidP="00FF7D37" w:rsidRDefault="00290C91" w14:paraId="38DF98A4" w14:textId="77777777">
            <w:pPr>
              <w:spacing w:after="120" w:line="276" w:lineRule="auto"/>
              <w:jc w:val="both"/>
              <w:rPr>
                <w:rFonts w:ascii="Verdana" w:hAnsi="Verdana" w:eastAsia="Calibri" w:cs="Arial"/>
              </w:rPr>
            </w:pPr>
            <w:r w:rsidRPr="000A0E26">
              <w:rPr>
                <w:rFonts w:ascii="Verdana" w:hAnsi="Verdana" w:eastAsia="Calibri" w:cs="Arial"/>
                <w:color w:val="000000" w:themeColor="text1"/>
                <w:lang w:val="es-ES" w:eastAsia="es-ES"/>
              </w:rPr>
              <w:t xml:space="preserve">En torno al problema jurídico, </w:t>
            </w:r>
            <w:r w:rsidRPr="000A0E26">
              <w:rPr>
                <w:rFonts w:ascii="Verdana" w:hAnsi="Verdana" w:eastAsia="Calibri" w:cs="Arial"/>
                <w:lang w:val="es-ES"/>
              </w:rPr>
              <w:t xml:space="preserve">objeto de consulta, se precisa que el artículo </w:t>
            </w:r>
            <w:r w:rsidRPr="000A0E26">
              <w:rPr>
                <w:rStyle w:val="Textoennegrita"/>
                <w:rFonts w:ascii="Verdana" w:hAnsi="Verdana" w:cs="Arial"/>
                <w:b w:val="0"/>
                <w:color w:val="000000"/>
              </w:rPr>
              <w:t>2.2.1.11.5.1</w:t>
            </w:r>
            <w:r>
              <w:rPr>
                <w:rStyle w:val="Textoennegrita"/>
                <w:rFonts w:ascii="Verdana" w:hAnsi="Verdana" w:cs="Arial"/>
                <w:b w:val="0"/>
                <w:color w:val="000000"/>
              </w:rPr>
              <w:t xml:space="preserve"> del Decreto 1067 de 2015</w:t>
            </w:r>
            <w:r w:rsidRPr="000A0E26">
              <w:rPr>
                <w:rStyle w:val="Textoennegrita"/>
                <w:rFonts w:ascii="Verdana" w:hAnsi="Verdana" w:cs="Arial"/>
                <w:b w:val="0"/>
                <w:color w:val="000000"/>
              </w:rPr>
              <w:t xml:space="preserve"> </w:t>
            </w:r>
            <w:r w:rsidRPr="000A0E26">
              <w:rPr>
                <w:rFonts w:ascii="Verdana" w:hAnsi="Verdana" w:eastAsia="Calibri" w:cs="Arial"/>
                <w:lang w:val="es-ES"/>
              </w:rPr>
              <w:t xml:space="preserve">establece </w:t>
            </w:r>
            <w:r w:rsidRPr="000A0E26">
              <w:rPr>
                <w:rFonts w:ascii="Verdana" w:hAnsi="Verdana" w:eastAsia="Calibri" w:cs="Arial"/>
              </w:rPr>
              <w:t>un deber de la entidad contratante, ya sea pública o privada de exigir la presentación de la visa que le permita desarrollar la actividad, ocupación u oficio declarado en la solicitud de la visa. De igual modo, debe exigirle al extranjero la presentación de la Cédula de Extranjería cuando se esté en la obligación de tramitarla en cumplimiento de los requisitos migratorios, como son los casos de las visas con vigencia superior a tres [3] meses, excepto los titulares de las visas que se establezcan para tal fin por parte del Ministerio de Relaciones Exteriores.</w:t>
            </w:r>
            <w:r>
              <w:rPr>
                <w:rFonts w:ascii="Verdana" w:hAnsi="Verdana" w:eastAsia="Calibri" w:cs="Arial"/>
              </w:rPr>
              <w:t xml:space="preserve"> En el evento</w:t>
            </w:r>
            <w:r w:rsidRPr="00056E93">
              <w:rPr>
                <w:rFonts w:ascii="Verdana" w:hAnsi="Verdana" w:eastAsia="Calibri" w:cs="Arial"/>
              </w:rPr>
              <w:t xml:space="preserve"> de presentarse una desvinculación antes del término previsto en la relación </w:t>
            </w:r>
            <w:r>
              <w:rPr>
                <w:rFonts w:ascii="Verdana" w:hAnsi="Verdana" w:eastAsia="Calibri" w:cs="Arial"/>
              </w:rPr>
              <w:t>debe</w:t>
            </w:r>
            <w:r w:rsidRPr="00056E93">
              <w:rPr>
                <w:rFonts w:ascii="Verdana" w:hAnsi="Verdana" w:eastAsia="Calibri" w:cs="Arial"/>
              </w:rPr>
              <w:t xml:space="preserve"> informar por escrito o por los medios electrónicos establecidos para tal fin a la Unidad Administrativa Especial Migración Colombia acerca de dicha terminación en un término de hasta quince (15) días calendario </w:t>
            </w:r>
            <w:r w:rsidRPr="00056E93">
              <w:rPr>
                <w:rFonts w:ascii="Verdana" w:hAnsi="Verdana" w:eastAsia="Calibri" w:cs="Arial"/>
              </w:rPr>
              <w:t>siguie</w:t>
            </w:r>
            <w:r>
              <w:rPr>
                <w:rFonts w:ascii="Verdana" w:hAnsi="Verdana" w:eastAsia="Calibri" w:cs="Arial"/>
              </w:rPr>
              <w:t xml:space="preserve">ntes a la ocurrencia del hecho Así mismo, establece que toda persona natural o jurídica que vincule, contrate, emplee o admita un extranjero para que presté sus servicios mediante cualquier modalidad debe suministrar la información que le solicite la autoridad de control migratorio. </w:t>
            </w:r>
          </w:p>
          <w:p w:rsidRPr="00E06D88" w:rsidR="00290C91" w:rsidP="00FF7D37" w:rsidRDefault="00290C91" w14:paraId="74EF8E90" w14:textId="77777777">
            <w:pPr>
              <w:spacing w:after="120" w:line="276" w:lineRule="auto"/>
              <w:ind w:firstLine="708"/>
              <w:jc w:val="both"/>
              <w:rPr>
                <w:rFonts w:ascii="Verdana" w:hAnsi="Verdana" w:eastAsia="Calibri" w:cs="Arial"/>
                <w:color w:val="000000"/>
              </w:rPr>
            </w:pPr>
            <w:r w:rsidRPr="00E06D88">
              <w:rPr>
                <w:rFonts w:ascii="Verdana" w:hAnsi="Verdana" w:eastAsia="Calibri" w:cs="Arial"/>
              </w:rPr>
              <w:t xml:space="preserve">En el marco de lo dispuesto, el Ministerio de Relaciones Exteriores expidió la Resolución 5477 de 2022, “Por la cual se dictan disposiciones en materia de visas y se deroga la Resolución </w:t>
            </w:r>
            <w:hyperlink w:history="1" w:anchor="INICIO" r:id="rId16">
              <w:r w:rsidRPr="00E06D88">
                <w:rPr>
                  <w:rStyle w:val="Hipervnculo"/>
                  <w:rFonts w:ascii="Verdana" w:hAnsi="Verdana" w:eastAsia="Calibri" w:cs="Arial"/>
                  <w:color w:val="auto"/>
                  <w:u w:val="none"/>
                </w:rPr>
                <w:t>1980</w:t>
              </w:r>
            </w:hyperlink>
            <w:r w:rsidRPr="00E06D88">
              <w:rPr>
                <w:rFonts w:ascii="Verdana" w:hAnsi="Verdana" w:eastAsia="Calibri" w:cs="Arial"/>
              </w:rPr>
              <w:t xml:space="preserve"> del 19 de marzo de 2014 y la Resolución </w:t>
            </w:r>
            <w:hyperlink w:history="1" w:anchor="INICIO" r:id="rId17">
              <w:r w:rsidRPr="00E06D88">
                <w:rPr>
                  <w:rStyle w:val="Hipervnculo"/>
                  <w:rFonts w:ascii="Verdana" w:hAnsi="Verdana" w:eastAsia="Calibri" w:cs="Arial"/>
                  <w:color w:val="auto"/>
                  <w:u w:val="none"/>
                </w:rPr>
                <w:t>6045</w:t>
              </w:r>
            </w:hyperlink>
            <w:r w:rsidRPr="00E06D88">
              <w:rPr>
                <w:rFonts w:ascii="Verdana" w:hAnsi="Verdana" w:eastAsia="Calibri" w:cs="Arial"/>
              </w:rPr>
              <w:t xml:space="preserve"> del 2 de agosto de 2017”. </w:t>
            </w:r>
            <w:r w:rsidRPr="00E06D88">
              <w:rPr>
                <w:rFonts w:ascii="Verdana" w:hAnsi="Verdana"/>
              </w:rPr>
              <w:t>En esta Resolución, encontrará que hay diferentes tipos de visas que habilitan al ciudadano extranjero para trabajar en Colombia, como lo prescribe el artículo 16: “</w:t>
            </w:r>
            <w:r w:rsidRPr="00E06D88">
              <w:rPr>
                <w:rFonts w:ascii="Verdana" w:hAnsi="Verdana" w:cs="Arial"/>
              </w:rPr>
              <w:t xml:space="preserve">Cuando se trate de visas que otorgan autorización para trabajar, tanto el extranjero, como el empleador o contratante, deberán cumplir con las normas laborales del Estado colombiano, con las normas específicas para el ejercicio de cada profesión u oficio y con las obligaciones respecto a reporte y registro establecidas en el Decreto </w:t>
            </w:r>
            <w:hyperlink w:history="1" w:anchor="INICIO" r:id="rId18">
              <w:r w:rsidRPr="00E06D88">
                <w:rPr>
                  <w:rFonts w:ascii="Verdana" w:hAnsi="Verdana" w:cs="Arial"/>
                </w:rPr>
                <w:t>1067</w:t>
              </w:r>
            </w:hyperlink>
            <w:r w:rsidRPr="00E06D88">
              <w:rPr>
                <w:rFonts w:ascii="Verdana" w:hAnsi="Verdana" w:cs="Arial"/>
              </w:rPr>
              <w:t xml:space="preserve"> de 2015, o norma que lo sustituya”.</w:t>
            </w:r>
            <w:r w:rsidRPr="00E06D88">
              <w:rPr>
                <w:rFonts w:ascii="Verdana" w:hAnsi="Verdana"/>
              </w:rPr>
              <w:t xml:space="preserve"> </w:t>
            </w:r>
            <w:r w:rsidRPr="00E06D88">
              <w:rPr>
                <w:rFonts w:ascii="Verdana" w:hAnsi="Verdana" w:eastAsia="Calibri" w:cs="Arial"/>
                <w:color w:val="000000"/>
              </w:rPr>
              <w:t>A modo de ejemplo, se encuentra el tipo de Visa de Visitante “V”, Categoría 20 “Vacaciones y Trabajo”, que está regulado en el artículo 30, que prescribe en su inciso primero: “Las visas tipo V que conceden permiso de trabajo lo limitan exclusivamente para el evento, proyecto, embarcación, práctica, misión. oficio o cargo y entidad con la cual se otorgue la visa de visitante, según corresponda”.</w:t>
            </w:r>
          </w:p>
          <w:p w:rsidRPr="00E06D88" w:rsidR="00290C91" w:rsidP="00FF7D37" w:rsidRDefault="00290C91" w14:paraId="253D12FD" w14:textId="77777777">
            <w:pPr>
              <w:spacing w:before="120" w:after="120" w:line="276" w:lineRule="auto"/>
              <w:jc w:val="both"/>
              <w:rPr>
                <w:rFonts w:ascii="Verdana" w:hAnsi="Verdana" w:eastAsia="Calibri" w:cs="Arial"/>
                <w:color w:val="000000"/>
              </w:rPr>
            </w:pPr>
            <w:r>
              <w:rPr>
                <w:rFonts w:ascii="Verdana" w:hAnsi="Verdana" w:eastAsia="Calibri" w:cs="Arial"/>
                <w:color w:val="000000"/>
              </w:rPr>
              <w:tab/>
            </w:r>
            <w:r>
              <w:rPr>
                <w:rFonts w:ascii="Verdana" w:hAnsi="Verdana" w:eastAsia="Calibri" w:cs="Arial"/>
                <w:color w:val="000000"/>
              </w:rPr>
              <w:t>Este tipo de condiciones que se exigen a contratos de prestación de servicios de apoyo a la gestión son</w:t>
            </w:r>
            <w:r w:rsidRPr="00E06D88">
              <w:rPr>
                <w:rFonts w:ascii="Verdana" w:hAnsi="Verdana" w:eastAsia="Calibri" w:cs="Arial"/>
                <w:color w:val="000000"/>
              </w:rPr>
              <w:t xml:space="preserve"> sin perjuicio de las condiciones especiales que pueden tener cierto tipo de migrantes. Un ejemplo de ello</w:t>
            </w:r>
            <w:r>
              <w:rPr>
                <w:rFonts w:ascii="Verdana" w:hAnsi="Verdana" w:eastAsia="Calibri" w:cs="Arial"/>
                <w:color w:val="000000"/>
              </w:rPr>
              <w:t>,</w:t>
            </w:r>
            <w:r w:rsidRPr="00E06D88">
              <w:rPr>
                <w:rFonts w:ascii="Verdana" w:hAnsi="Verdana" w:eastAsia="Calibri" w:cs="Arial"/>
                <w:color w:val="000000"/>
              </w:rPr>
              <w:t xml:space="preserve"> son los migrantes venezolanos que en el artículo 2.2.6.8.3.1. del Decreto 1072 de 2015, “</w:t>
            </w:r>
            <w:r w:rsidRPr="00E06D88">
              <w:rPr>
                <w:rFonts w:ascii="Verdana" w:hAnsi="Verdana" w:eastAsia="Calibri" w:cs="Arial"/>
                <w:bCs/>
                <w:color w:val="000000"/>
              </w:rPr>
              <w:t>por medio del cual se expide el Decreto Único Reglamentario del Sector Trabajo”,</w:t>
            </w:r>
            <w:r w:rsidRPr="00E06D88">
              <w:rPr>
                <w:rFonts w:ascii="Verdana" w:hAnsi="Verdana" w:eastAsia="Calibri" w:cs="Arial"/>
                <w:b/>
                <w:bCs/>
                <w:color w:val="000000"/>
              </w:rPr>
              <w:t xml:space="preserve"> </w:t>
            </w:r>
            <w:r w:rsidRPr="00E06D88">
              <w:rPr>
                <w:rFonts w:ascii="Verdana" w:hAnsi="Verdana" w:eastAsia="Calibri" w:cs="Arial"/>
                <w:color w:val="000000"/>
              </w:rPr>
              <w:t xml:space="preserve">que crea un Permiso Especial de Permanencia para el Fomento de la Formalización –PEPFF-, el cual es un mecanismo excepcional y transitorio dirigido a facilitar la regularidad migratoria de los migrantes venezolanos en Colombia, ya sea para suscribir contratos laborales o contratos de prestación de servicios. </w:t>
            </w:r>
          </w:p>
          <w:p w:rsidRPr="00E06D88" w:rsidR="00290C91" w:rsidP="00FF7D37" w:rsidRDefault="00290C91" w14:paraId="330E444F" w14:textId="77777777">
            <w:pPr>
              <w:spacing w:before="120" w:after="120" w:line="276" w:lineRule="auto"/>
              <w:jc w:val="both"/>
              <w:rPr>
                <w:rFonts w:ascii="Verdana" w:hAnsi="Verdana" w:eastAsia="Calibri" w:cs="Arial"/>
                <w:bCs/>
                <w:color w:val="000000"/>
                <w:lang w:val="es-ES_tradnl"/>
              </w:rPr>
            </w:pPr>
            <w:r w:rsidRPr="00E06D88">
              <w:rPr>
                <w:rFonts w:ascii="Verdana" w:hAnsi="Verdana" w:eastAsia="Calibri" w:cs="Arial"/>
                <w:color w:val="000000"/>
              </w:rPr>
              <w:tab/>
            </w:r>
            <w:r w:rsidRPr="00E06D88">
              <w:rPr>
                <w:rFonts w:ascii="Verdana" w:hAnsi="Verdana" w:eastAsia="Calibri" w:cs="Arial"/>
                <w:color w:val="000000"/>
              </w:rPr>
              <w:t xml:space="preserve">De igual manera, en el momento de celebrar un contrato de prestación de servicios de apoyo con un extranjero hay que tener cuanta </w:t>
            </w:r>
            <w:r w:rsidRPr="00E06D88">
              <w:rPr>
                <w:rFonts w:ascii="Verdana" w:hAnsi="Verdana" w:eastAsia="Calibri" w:cs="Arial"/>
                <w:bCs/>
                <w:color w:val="000000"/>
                <w:lang w:val="es-ES_tradnl"/>
              </w:rPr>
              <w:t xml:space="preserve">el procedimiento y todos los aspectos relacionados con la forma de acreditación de los títulos académicos en Colombia que es competencia del legislador y no de esta Agencia. En tal sentido, al Ministerio de Educación le fue asignada la función de convalidar los títulos académicos obtenidos en el extranjero. En efecto, el </w:t>
            </w:r>
            <w:r w:rsidRPr="00E06D88">
              <w:rPr>
                <w:rFonts w:ascii="Verdana" w:hAnsi="Verdana" w:eastAsia="Calibri" w:cs="Arial"/>
                <w:bCs/>
                <w:color w:val="000000"/>
                <w:lang w:val="es-ES_tradnl"/>
              </w:rPr>
              <w:t xml:space="preserve">Decreto 5012 de 2009, en el artículo 14.12. prescribe que son funciones de la </w:t>
            </w:r>
            <w:r w:rsidRPr="00E06D88">
              <w:rPr>
                <w:rFonts w:ascii="Verdana" w:hAnsi="Verdana" w:eastAsia="Calibri" w:cs="Arial"/>
                <w:bCs/>
                <w:iCs/>
                <w:color w:val="000000"/>
              </w:rPr>
              <w:t>Dirección de Calidad para la Educación Preescolar, Básica y Media</w:t>
            </w:r>
            <w:r w:rsidRPr="00E06D88">
              <w:rPr>
                <w:rFonts w:ascii="Verdana" w:hAnsi="Verdana" w:eastAsia="Calibri" w:cs="Arial"/>
                <w:bCs/>
                <w:color w:val="000000"/>
              </w:rPr>
              <w:t xml:space="preserve"> del Ministerio de Educación</w:t>
            </w:r>
            <w:r w:rsidRPr="00E06D88">
              <w:rPr>
                <w:rFonts w:ascii="Verdana" w:hAnsi="Verdana" w:eastAsia="Calibri" w:cs="Arial"/>
                <w:bCs/>
                <w:color w:val="000000"/>
                <w:lang w:val="es-ES_tradnl"/>
              </w:rPr>
              <w:t>: “</w:t>
            </w:r>
            <w:r w:rsidRPr="00E06D88">
              <w:rPr>
                <w:rFonts w:ascii="Verdana" w:hAnsi="Verdana" w:cs="Arial"/>
                <w:color w:val="000000"/>
                <w:lang w:val="es-ES_tradnl"/>
              </w:rPr>
              <w:t>[…]</w:t>
            </w:r>
            <w:r w:rsidRPr="00E06D88">
              <w:rPr>
                <w:rFonts w:ascii="Verdana" w:hAnsi="Verdana" w:cs="Arial"/>
                <w:color w:val="000000"/>
              </w:rPr>
              <w:t xml:space="preserve"> Homologar y convalidar títulos de estudios de preescolar, básica y media cursados en el exterior de conformidad con la ley”. Por otro lado, el </w:t>
            </w:r>
            <w:r w:rsidRPr="00E06D88">
              <w:rPr>
                <w:rFonts w:ascii="Verdana" w:hAnsi="Verdana" w:eastAsia="Calibri" w:cs="Arial"/>
                <w:bCs/>
                <w:color w:val="000000"/>
                <w:lang w:val="es-ES_tradnl"/>
              </w:rPr>
              <w:t xml:space="preserve">artículo 29.1, señala como una de las funciones de la </w:t>
            </w:r>
            <w:r w:rsidRPr="00E06D88">
              <w:rPr>
                <w:rFonts w:ascii="Verdana" w:hAnsi="Verdana" w:eastAsia="Calibri" w:cs="Arial"/>
                <w:bCs/>
                <w:iCs/>
                <w:color w:val="000000"/>
              </w:rPr>
              <w:t>Subdirección de Aseguramiento de la Calidad de la Educación Superior del Ministerio de Educación</w:t>
            </w:r>
            <w:r w:rsidRPr="00E06D88">
              <w:rPr>
                <w:rFonts w:ascii="Verdana" w:hAnsi="Verdana" w:eastAsia="Calibri" w:cs="Arial"/>
                <w:bCs/>
                <w:color w:val="000000"/>
                <w:lang w:val="es-ES_tradnl"/>
              </w:rPr>
              <w:t>: “[…] convalidar títulos de educación superior otorgados por instituciones de educación superior extranjeras, para efectos académicos y legales en el territorio nacional”.</w:t>
            </w:r>
          </w:p>
          <w:p w:rsidRPr="00E06D88" w:rsidR="00290C91" w:rsidP="00FF7D37" w:rsidRDefault="00290C91" w14:paraId="455F60B8" w14:textId="77777777">
            <w:pPr>
              <w:spacing w:before="120" w:after="120" w:line="276" w:lineRule="auto"/>
              <w:ind w:firstLine="708"/>
              <w:jc w:val="both"/>
              <w:rPr>
                <w:rFonts w:ascii="Verdana" w:hAnsi="Verdana" w:eastAsia="Calibri" w:cs="Arial"/>
                <w:bCs/>
                <w:color w:val="000000"/>
                <w:lang w:val="es-ES_tradnl"/>
              </w:rPr>
            </w:pPr>
            <w:r w:rsidRPr="00E06D88">
              <w:rPr>
                <w:rFonts w:ascii="Verdana" w:hAnsi="Verdana" w:eastAsia="Calibri" w:cs="Arial"/>
                <w:bCs/>
                <w:color w:val="000000"/>
                <w:lang w:val="es-ES_tradnl"/>
              </w:rPr>
              <w:t xml:space="preserve">Asimismo, el Decreto Único Reglamentario 1075 de 2015, que regula el sector de Educación, contiene varias normas que contemplan la convalidación del título obtenido en el extranjero, como un requisito para que este tenga validez en Colombia. Por ejemplo, el </w:t>
            </w:r>
            <w:r w:rsidRPr="00E06D88">
              <w:rPr>
                <w:rFonts w:ascii="Verdana" w:hAnsi="Verdana" w:eastAsia="Calibri" w:cs="Arial"/>
                <w:bCs/>
                <w:color w:val="000000"/>
              </w:rPr>
              <w:t>Artículo 2.3.3.3.5.5. dispone: “[…] Para la validez del título de bachiller solamente se requiere su expedición por parte de las instituciones educativas legalmente autorizadas para ello, a quienes hayan cumplido con los requisitos establecidos en el proyecto educativo institucional o de su convalidación por parte de las instituciones del Estado señaladas para verificar, homologar o convalidar conocimientos”.</w:t>
            </w:r>
          </w:p>
          <w:p w:rsidRPr="004B77A5" w:rsidR="00290C91" w:rsidP="00FF7D37" w:rsidRDefault="00290C91" w14:paraId="770E3A66" w14:textId="77777777">
            <w:pPr>
              <w:spacing w:after="120" w:line="276" w:lineRule="auto"/>
              <w:ind w:firstLine="720"/>
              <w:jc w:val="both"/>
              <w:rPr>
                <w:rFonts w:ascii="Verdana" w:hAnsi="Verdana" w:eastAsia="Calibri" w:cs="Times New Roman"/>
              </w:rPr>
            </w:pPr>
            <w:r w:rsidRPr="00E06D88">
              <w:rPr>
                <w:rFonts w:ascii="Verdana" w:hAnsi="Verdana" w:eastAsia="Calibri" w:cs="Times New Roman"/>
                <w:bCs/>
                <w:lang w:val="es-ES_tradnl"/>
              </w:rPr>
              <w:t>En todo caso</w:t>
            </w:r>
            <w:r w:rsidRPr="00E06D88">
              <w:rPr>
                <w:rFonts w:ascii="Verdana" w:hAnsi="Verdana" w:eastAsia="Calibri" w:cs="Times New Roman"/>
              </w:rPr>
              <w:t>, las entidades definirán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rsidRPr="00A12CB6" w:rsidR="00290C91" w:rsidP="00290C91" w:rsidRDefault="00290C91" w14:paraId="6520081A" w14:textId="77777777">
      <w:pPr>
        <w:spacing w:after="0" w:line="276" w:lineRule="auto"/>
        <w:ind w:firstLine="709"/>
        <w:jc w:val="both"/>
        <w:rPr>
          <w:rFonts w:ascii="Verdana" w:hAnsi="Verdana" w:eastAsia="Calibri" w:cs="Arial"/>
          <w:bCs/>
          <w:color w:val="000000" w:themeColor="text1"/>
        </w:rPr>
      </w:pPr>
    </w:p>
    <w:p w:rsidRPr="00A12CB6" w:rsidR="00290C91" w:rsidP="00290C91" w:rsidRDefault="00290C91" w14:paraId="18E3C15D" w14:textId="77777777">
      <w:pPr>
        <w:numPr>
          <w:ilvl w:val="0"/>
          <w:numId w:val="19"/>
        </w:numPr>
        <w:spacing w:after="0" w:line="256" w:lineRule="auto"/>
        <w:rPr>
          <w:rFonts w:ascii="Verdana" w:hAnsi="Verdana" w:eastAsia="Calibri" w:cs="Times New Roman"/>
          <w:b/>
          <w:bCs/>
          <w:lang w:val="es-ES"/>
        </w:rPr>
      </w:pPr>
      <w:r w:rsidRPr="00A12CB6">
        <w:rPr>
          <w:rFonts w:ascii="Verdana" w:hAnsi="Verdana" w:eastAsia="Calibri" w:cs="Times New Roman"/>
          <w:b/>
          <w:bCs/>
          <w:lang w:val="es-ES"/>
        </w:rPr>
        <w:t>Razones de la respuesta:</w:t>
      </w:r>
    </w:p>
    <w:p w:rsidRPr="00A12CB6" w:rsidR="00290C91" w:rsidP="00290C91" w:rsidRDefault="00290C91" w14:paraId="747DC02F" w14:textId="77777777">
      <w:pPr>
        <w:spacing w:after="0" w:line="256" w:lineRule="auto"/>
        <w:rPr>
          <w:rFonts w:ascii="Verdana" w:hAnsi="Verdana" w:eastAsia="Calibri" w:cs="Times New Roman"/>
          <w:b/>
          <w:bCs/>
          <w:lang w:val="es-ES"/>
        </w:rPr>
      </w:pPr>
    </w:p>
    <w:p w:rsidRPr="00781BB0" w:rsidR="00290C91" w:rsidP="00290C91" w:rsidRDefault="00290C91" w14:paraId="1742BC25" w14:textId="77777777">
      <w:pPr>
        <w:spacing w:after="0" w:line="276" w:lineRule="auto"/>
        <w:jc w:val="both"/>
        <w:rPr>
          <w:rFonts w:ascii="Verdana" w:hAnsi="Verdana" w:eastAsia="Calibri" w:cs="Arial"/>
          <w:lang w:val="es-ES"/>
        </w:rPr>
      </w:pPr>
      <w:r w:rsidRPr="00781BB0">
        <w:rPr>
          <w:rFonts w:ascii="Verdana" w:hAnsi="Verdana" w:eastAsia="Calibri" w:cs="Arial"/>
        </w:rPr>
        <w:t xml:space="preserve">Lo anterior se sustenta en las siguientes consideraciones: </w:t>
      </w:r>
    </w:p>
    <w:p w:rsidRPr="00781BB0" w:rsidR="00290C91" w:rsidP="00290C91" w:rsidRDefault="00290C91" w14:paraId="76388EA9" w14:textId="77777777">
      <w:pPr>
        <w:spacing w:after="0" w:line="276" w:lineRule="auto"/>
        <w:jc w:val="both"/>
        <w:rPr>
          <w:rFonts w:ascii="Verdana" w:hAnsi="Verdana" w:eastAsia="Calibri" w:cs="Arial"/>
          <w:color w:val="000000"/>
          <w:lang w:val="es-ES_tradnl"/>
        </w:rPr>
      </w:pPr>
    </w:p>
    <w:p w:rsidRPr="00781BB0" w:rsidR="00290C91" w:rsidP="00290C91" w:rsidRDefault="00290C91" w14:paraId="72C5E493" w14:textId="77777777">
      <w:pPr>
        <w:spacing w:after="0" w:line="276" w:lineRule="auto"/>
        <w:jc w:val="both"/>
        <w:rPr>
          <w:rFonts w:ascii="Verdana" w:hAnsi="Verdana" w:eastAsia="Calibri" w:cs="Arial"/>
          <w:color w:val="000000"/>
          <w:lang w:val="es-ES_tradnl"/>
        </w:rPr>
      </w:pPr>
      <w:r w:rsidRPr="00781BB0">
        <w:rPr>
          <w:rFonts w:ascii="Verdana" w:hAnsi="Verdana" w:eastAsia="Calibri" w:cs="Arial"/>
          <w:color w:val="000000"/>
        </w:rPr>
        <w:t xml:space="preserve">i. </w:t>
      </w:r>
      <w:r w:rsidRPr="00781BB0">
        <w:rPr>
          <w:rFonts w:ascii="Verdana" w:hAnsi="Verdana" w:eastAsia="Calibri" w:cs="Arial"/>
          <w:color w:val="000000"/>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rsidRPr="00781BB0" w:rsidR="00290C91" w:rsidP="00290C91" w:rsidRDefault="00290C91" w14:paraId="2CDECCEC" w14:textId="77777777">
      <w:pPr>
        <w:spacing w:after="0" w:line="240" w:lineRule="auto"/>
        <w:jc w:val="both"/>
        <w:rPr>
          <w:rFonts w:ascii="Verdana" w:hAnsi="Verdana" w:eastAsia="Calibri" w:cs="Arial"/>
          <w:color w:val="000000"/>
          <w:lang w:val="es-ES_tradnl"/>
        </w:rPr>
      </w:pPr>
    </w:p>
    <w:p w:rsidRPr="00781BB0" w:rsidR="00290C91" w:rsidP="00290C91" w:rsidRDefault="00290C91" w14:paraId="7A683466" w14:textId="77777777">
      <w:pPr>
        <w:spacing w:after="0" w:line="240" w:lineRule="auto"/>
        <w:ind w:left="709" w:right="709"/>
        <w:jc w:val="both"/>
        <w:rPr>
          <w:rFonts w:ascii="Verdana" w:hAnsi="Verdana" w:eastAsia="Calibri" w:cs="Arial"/>
          <w:color w:val="000000"/>
          <w:sz w:val="21"/>
          <w:szCs w:val="21"/>
          <w:lang w:val="es-ES_tradnl"/>
        </w:rPr>
      </w:pPr>
      <w:r w:rsidRPr="00781BB0">
        <w:rPr>
          <w:rFonts w:ascii="Verdana" w:hAnsi="Verdana" w:eastAsia="Calibri"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781BB0" w:rsidR="00290C91" w:rsidP="00290C91" w:rsidRDefault="00290C91" w14:paraId="0AAF35E1" w14:textId="77777777">
      <w:pPr>
        <w:spacing w:after="0" w:line="240" w:lineRule="auto"/>
        <w:ind w:left="709" w:right="709"/>
        <w:jc w:val="both"/>
        <w:rPr>
          <w:rFonts w:ascii="Verdana" w:hAnsi="Verdana" w:eastAsia="Calibri" w:cs="Arial"/>
          <w:color w:val="000000"/>
          <w:sz w:val="21"/>
          <w:szCs w:val="21"/>
          <w:lang w:val="es-ES_tradnl"/>
        </w:rPr>
      </w:pPr>
    </w:p>
    <w:p w:rsidRPr="00781BB0" w:rsidR="00290C91" w:rsidP="00290C91" w:rsidRDefault="00290C91" w14:paraId="7EB29FEC" w14:textId="77777777">
      <w:pPr>
        <w:spacing w:after="0" w:line="240" w:lineRule="auto"/>
        <w:ind w:left="709" w:right="709"/>
        <w:jc w:val="both"/>
        <w:rPr>
          <w:rFonts w:ascii="Verdana" w:hAnsi="Verdana" w:eastAsia="Calibri" w:cs="Arial"/>
          <w:color w:val="000000"/>
          <w:sz w:val="21"/>
          <w:szCs w:val="21"/>
          <w:lang w:val="es-ES_tradnl"/>
        </w:rPr>
      </w:pPr>
      <w:r w:rsidRPr="00781BB0">
        <w:rPr>
          <w:rFonts w:ascii="Verdana" w:hAnsi="Verdana" w:eastAsia="Calibri" w:cs="Arial"/>
          <w:color w:val="000000"/>
          <w:sz w:val="21"/>
          <w:szCs w:val="21"/>
          <w:lang w:val="es-ES_tradnl"/>
        </w:rPr>
        <w:t>En ningún caso estos contratos generan relación laboral ni prestaciones sociales y se celebrarán por el término estrictamente indispensable”.</w:t>
      </w:r>
    </w:p>
    <w:p w:rsidRPr="00781BB0" w:rsidR="00290C91" w:rsidP="00290C91" w:rsidRDefault="00290C91" w14:paraId="25AE20DD" w14:textId="77777777">
      <w:pPr>
        <w:tabs>
          <w:tab w:val="left" w:pos="284"/>
        </w:tabs>
        <w:spacing w:after="0" w:line="240" w:lineRule="auto"/>
        <w:contextualSpacing/>
        <w:jc w:val="both"/>
        <w:rPr>
          <w:rFonts w:ascii="Verdana" w:hAnsi="Verdana" w:eastAsia="Calibri" w:cs="Arial"/>
          <w:b/>
          <w:color w:val="000000"/>
          <w:lang w:val="es-ES_tradnl"/>
        </w:rPr>
      </w:pPr>
    </w:p>
    <w:p w:rsidRPr="00781BB0" w:rsidR="00290C91" w:rsidP="00290C91" w:rsidRDefault="00290C91" w14:paraId="242F8924" w14:textId="77777777">
      <w:pPr>
        <w:spacing w:after="0" w:line="276" w:lineRule="auto"/>
        <w:ind w:firstLine="709"/>
        <w:jc w:val="both"/>
        <w:rPr>
          <w:rFonts w:ascii="Verdana" w:hAnsi="Verdana" w:eastAsia="Calibri" w:cs="Arial"/>
          <w:color w:val="000000"/>
          <w:lang w:val="es-ES"/>
        </w:rPr>
      </w:pPr>
      <w:r w:rsidRPr="772851CE">
        <w:rPr>
          <w:rFonts w:ascii="Verdana" w:hAnsi="Verdana" w:eastAsia="Calibri" w:cs="Arial"/>
          <w:color w:val="000000" w:themeColor="text1"/>
          <w:lang w:val="es-ES"/>
        </w:rPr>
        <w:t>De otro lado, la celebración de dicho contrato debe efectuarse a través de la modalidad de la contratación directa. Así lo prevé el artículo 2, numeral 4º, literal h), de la Ley 1150 de 2007, que dispone:</w:t>
      </w:r>
    </w:p>
    <w:p w:rsidRPr="00781BB0" w:rsidR="00290C91" w:rsidP="00290C91" w:rsidRDefault="00290C91" w14:paraId="4EACEF29" w14:textId="77777777">
      <w:pPr>
        <w:spacing w:after="0" w:line="276" w:lineRule="auto"/>
        <w:ind w:firstLine="709"/>
        <w:jc w:val="both"/>
        <w:rPr>
          <w:rFonts w:ascii="Verdana" w:hAnsi="Verdana" w:eastAsia="Calibri" w:cs="Arial"/>
          <w:color w:val="000000"/>
          <w:sz w:val="21"/>
          <w:szCs w:val="21"/>
          <w:lang w:val="es-ES_tradnl"/>
        </w:rPr>
      </w:pPr>
    </w:p>
    <w:p w:rsidRPr="00781BB0" w:rsidR="00290C91" w:rsidP="00290C91" w:rsidRDefault="00290C91" w14:paraId="5B5FE3DD" w14:textId="77777777">
      <w:pPr>
        <w:spacing w:after="0" w:line="240" w:lineRule="auto"/>
        <w:ind w:left="709" w:right="709"/>
        <w:jc w:val="both"/>
        <w:rPr>
          <w:rFonts w:ascii="Verdana" w:hAnsi="Verdana" w:eastAsia="Calibri" w:cs="Arial"/>
          <w:color w:val="000000"/>
          <w:sz w:val="21"/>
          <w:szCs w:val="21"/>
          <w:lang w:val="es-ES_tradnl"/>
        </w:rPr>
      </w:pPr>
      <w:r w:rsidRPr="00781BB0">
        <w:rPr>
          <w:rFonts w:ascii="Verdana" w:hAnsi="Verdana" w:eastAsia="Calibri" w:cs="Arial"/>
          <w:color w:val="000000"/>
          <w:sz w:val="21"/>
          <w:szCs w:val="21"/>
          <w:lang w:val="es-ES_tradnl"/>
        </w:rPr>
        <w:t>“[…]</w:t>
      </w:r>
    </w:p>
    <w:p w:rsidRPr="00781BB0" w:rsidR="00290C91" w:rsidP="00290C91" w:rsidRDefault="00290C91" w14:paraId="08B58BAD" w14:textId="77777777">
      <w:pPr>
        <w:spacing w:after="0" w:line="240" w:lineRule="auto"/>
        <w:ind w:left="709" w:right="709"/>
        <w:jc w:val="both"/>
        <w:rPr>
          <w:rFonts w:ascii="Verdana" w:hAnsi="Verdana" w:eastAsia="Calibri" w:cs="Arial"/>
          <w:color w:val="000000"/>
          <w:sz w:val="21"/>
          <w:szCs w:val="21"/>
          <w:lang w:val="es-ES"/>
        </w:rPr>
      </w:pPr>
      <w:r w:rsidRPr="00781BB0">
        <w:rPr>
          <w:rFonts w:ascii="Verdana" w:hAnsi="Verdana" w:eastAsia="Calibri" w:cs="Arial"/>
          <w:color w:val="000000" w:themeColor="text1"/>
          <w:sz w:val="21"/>
          <w:szCs w:val="21"/>
          <w:lang w:val="es-ES"/>
        </w:rPr>
        <w:t>Contratación directa. La modalidad de selección de contratación directa solamente procederá en los siguientes casos:</w:t>
      </w:r>
    </w:p>
    <w:p w:rsidRPr="00781BB0" w:rsidR="00290C91" w:rsidP="00290C91" w:rsidRDefault="00290C91" w14:paraId="37BC1F06" w14:textId="77777777">
      <w:pPr>
        <w:spacing w:after="0" w:line="240" w:lineRule="auto"/>
        <w:ind w:left="709" w:right="709"/>
        <w:jc w:val="both"/>
        <w:rPr>
          <w:rFonts w:ascii="Verdana" w:hAnsi="Verdana" w:eastAsia="Calibri" w:cs="Arial"/>
          <w:color w:val="000000"/>
          <w:sz w:val="21"/>
          <w:szCs w:val="21"/>
          <w:lang w:val="es-ES_tradnl"/>
        </w:rPr>
      </w:pPr>
    </w:p>
    <w:p w:rsidRPr="00781BB0" w:rsidR="00290C91" w:rsidP="00290C91" w:rsidRDefault="00290C91" w14:paraId="46FF0557" w14:textId="77777777">
      <w:pPr>
        <w:spacing w:after="0" w:line="240" w:lineRule="auto"/>
        <w:ind w:left="709" w:right="709"/>
        <w:jc w:val="both"/>
        <w:rPr>
          <w:rFonts w:ascii="Verdana" w:hAnsi="Verdana" w:eastAsia="Calibri" w:cs="Arial"/>
          <w:color w:val="000000"/>
          <w:sz w:val="21"/>
          <w:szCs w:val="21"/>
          <w:lang w:val="es-ES_tradnl"/>
        </w:rPr>
      </w:pPr>
      <w:r w:rsidRPr="00781BB0">
        <w:rPr>
          <w:rFonts w:ascii="Verdana" w:hAnsi="Verdana" w:eastAsia="Calibri" w:cs="Arial"/>
          <w:color w:val="000000"/>
          <w:sz w:val="21"/>
          <w:szCs w:val="21"/>
          <w:lang w:val="es-ES_tradnl"/>
        </w:rPr>
        <w:t>[…]</w:t>
      </w:r>
    </w:p>
    <w:p w:rsidRPr="00781BB0" w:rsidR="00290C91" w:rsidP="00290C91" w:rsidRDefault="00290C91" w14:paraId="407CC47B" w14:textId="77777777">
      <w:pPr>
        <w:spacing w:after="0" w:line="240" w:lineRule="auto"/>
        <w:ind w:left="709" w:right="709"/>
        <w:jc w:val="both"/>
        <w:rPr>
          <w:rFonts w:ascii="Verdana" w:hAnsi="Verdana" w:eastAsia="Calibri" w:cs="Arial"/>
          <w:color w:val="000000"/>
          <w:sz w:val="21"/>
          <w:szCs w:val="21"/>
          <w:lang w:val="es-ES_tradnl"/>
        </w:rPr>
      </w:pPr>
    </w:p>
    <w:p w:rsidRPr="00781BB0" w:rsidR="00290C91" w:rsidP="00290C91" w:rsidRDefault="00290C91" w14:paraId="0D8A6F6A" w14:textId="77777777">
      <w:pPr>
        <w:spacing w:after="0" w:line="240" w:lineRule="auto"/>
        <w:ind w:left="709" w:right="709"/>
        <w:jc w:val="both"/>
        <w:rPr>
          <w:rFonts w:ascii="Verdana" w:hAnsi="Verdana" w:eastAsia="Calibri" w:cs="Arial"/>
          <w:color w:val="000000"/>
          <w:sz w:val="21"/>
          <w:szCs w:val="21"/>
          <w:lang w:val="es-ES_tradnl"/>
        </w:rPr>
      </w:pPr>
      <w:r w:rsidRPr="00781BB0">
        <w:rPr>
          <w:rFonts w:ascii="Verdana" w:hAnsi="Verdana" w:eastAsia="Calibri" w:cs="Arial"/>
          <w:color w:val="000000"/>
          <w:sz w:val="21"/>
          <w:szCs w:val="21"/>
          <w:lang w:val="es-ES_tradnl"/>
        </w:rPr>
        <w:t>h) Para la prestación de servicios profesionales y de apoyo a la gestión, o para la ejecución de trabajos artísticos que sólo puedan encomendarse a determinadas personas naturales”.</w:t>
      </w:r>
    </w:p>
    <w:p w:rsidRPr="00781BB0" w:rsidR="00290C91" w:rsidP="00290C91" w:rsidRDefault="00290C91" w14:paraId="12E0E8FD" w14:textId="77777777">
      <w:pPr>
        <w:spacing w:after="0" w:line="240" w:lineRule="auto"/>
        <w:ind w:right="709"/>
        <w:jc w:val="both"/>
        <w:rPr>
          <w:rFonts w:ascii="Verdana" w:hAnsi="Verdana" w:eastAsia="Calibri" w:cs="Arial"/>
          <w:color w:val="000000"/>
          <w:lang w:val="es-ES_tradnl"/>
        </w:rPr>
      </w:pPr>
    </w:p>
    <w:p w:rsidRPr="00781BB0" w:rsidR="00290C91" w:rsidP="00290C91" w:rsidRDefault="00290C91" w14:paraId="5956DD38" w14:textId="77777777">
      <w:pPr>
        <w:spacing w:after="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rsidRPr="00781BB0" w:rsidR="00290C91" w:rsidP="00290C91" w:rsidRDefault="00290C91" w14:paraId="747186BB"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i) Solo puede celebrarse para realizar “actividades relacionadas con la administración o funcionamiento de la entidad”, es decir, que hagan parte de su giro ordinario o quehacer cotidiano.</w:t>
      </w:r>
    </w:p>
    <w:p w:rsidRPr="00781BB0" w:rsidR="00290C91" w:rsidP="00290C91" w:rsidRDefault="00290C91" w14:paraId="424AA886" w14:textId="77777777">
      <w:pPr>
        <w:spacing w:before="120" w:after="120" w:line="276" w:lineRule="auto"/>
        <w:ind w:firstLine="709"/>
        <w:jc w:val="both"/>
        <w:rPr>
          <w:rFonts w:ascii="Verdana" w:hAnsi="Verdana" w:eastAsia="Calibri" w:cs="Arial"/>
          <w:color w:val="000000"/>
          <w:lang w:val="es-ES"/>
        </w:rPr>
      </w:pPr>
      <w:r w:rsidRPr="772851CE">
        <w:rPr>
          <w:rFonts w:ascii="Verdana" w:hAnsi="Verdana" w:eastAsia="Calibri" w:cs="Arial"/>
          <w:color w:val="000000"/>
          <w:lang w:val="es-ES"/>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772851CE">
        <w:rPr>
          <w:rStyle w:val="Refdenotaalpie"/>
          <w:rFonts w:ascii="Verdana" w:hAnsi="Verdana" w:eastAsia="Calibri" w:cs="Arial"/>
          <w:color w:val="000000"/>
          <w:lang w:val="es-ES"/>
        </w:rPr>
        <w:footnoteReference w:id="2"/>
      </w:r>
      <w:r w:rsidRPr="772851CE">
        <w:rPr>
          <w:rFonts w:ascii="Verdana" w:hAnsi="Verdana" w:eastAsia="Calibri" w:cs="Arial"/>
          <w:color w:val="000000"/>
          <w:lang w:val="es-ES"/>
        </w:rPr>
        <w:t xml:space="preserve"> </w:t>
      </w:r>
      <w:r w:rsidRPr="772851CE">
        <w:rPr>
          <w:rFonts w:ascii="Verdana" w:hAnsi="Verdana" w:eastAsia="Calibri" w:cs="Arial"/>
          <w:color w:val="000000"/>
          <w:lang w:val="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rsidRPr="00781BB0" w:rsidR="00290C91" w:rsidP="00290C91" w:rsidRDefault="00290C91" w14:paraId="452FE86F" w14:textId="77777777">
      <w:pPr>
        <w:spacing w:before="120" w:after="120" w:line="276" w:lineRule="auto"/>
        <w:ind w:firstLine="709"/>
        <w:jc w:val="both"/>
        <w:rPr>
          <w:rFonts w:ascii="Verdana" w:hAnsi="Verdana" w:eastAsia="Calibri" w:cs="Arial"/>
          <w:color w:val="000000"/>
          <w:lang w:val="es-ES"/>
        </w:rPr>
      </w:pPr>
      <w:r w:rsidRPr="00781BB0">
        <w:rPr>
          <w:rFonts w:ascii="Verdana" w:hAnsi="Verdana" w:eastAsia="Calibri" w:cs="Arial"/>
          <w:color w:val="000000"/>
          <w:lang w:val="es-ES"/>
        </w:rPr>
        <w:t>iii) Si bien se celebran para obtener la prestación personal de un servicio, se diferencian del contrato de trabajo</w:t>
      </w:r>
      <w:r w:rsidRPr="00781BB0">
        <w:rPr>
          <w:rStyle w:val="Refdenotaalpie"/>
          <w:rFonts w:ascii="Verdana" w:hAnsi="Verdana" w:cs="Arial"/>
        </w:rPr>
        <w:footnoteReference w:id="3"/>
      </w:r>
      <w:r w:rsidRPr="00781BB0">
        <w:rPr>
          <w:rFonts w:ascii="Verdana" w:hAnsi="Verdana" w:eastAsia="Calibri" w:cs="Arial"/>
          <w:color w:val="000000"/>
          <w:lang w:val="es-ES"/>
        </w:rPr>
        <w:t xml:space="preserve"> en que quien celebra el contrato de prestación de servicios debe mantener autonomía e independencia en la ejecución de la labor, lo que significa que no puede existir la </w:t>
      </w:r>
      <w:r w:rsidRPr="00781BB0">
        <w:rPr>
          <w:rFonts w:ascii="Verdana" w:hAnsi="Verdana" w:eastAsia="Calibri" w:cs="Arial"/>
          <w:i/>
          <w:color w:val="000000"/>
          <w:lang w:val="es-ES"/>
        </w:rPr>
        <w:t>subordinación y dependencia</w:t>
      </w:r>
      <w:r w:rsidRPr="00781BB0">
        <w:rPr>
          <w:rFonts w:ascii="Verdana" w:hAnsi="Verdana" w:eastAsia="Calibri" w:cs="Arial"/>
          <w:color w:val="000000"/>
          <w:lang w:val="es-ES"/>
        </w:rPr>
        <w:t xml:space="preserve">, que es uno de los elementos constitutivos del vínculo laboral. Por ello el artículo 32, numeral 3º, de la Ley 80 de 1993 establece que “En ningún caso estos contratos generan relación laboral ni prestaciones sociales”, inciso que debe interpretarse en el sentido de que los contratos de prestación de servicios profesionales </w:t>
      </w:r>
      <w:r w:rsidRPr="00781BB0">
        <w:rPr>
          <w:rFonts w:ascii="Verdana" w:hAnsi="Verdana" w:eastAsia="Calibri" w:cs="Arial"/>
          <w:i/>
          <w:color w:val="000000"/>
          <w:lang w:val="es-ES"/>
        </w:rPr>
        <w:t>no pueden</w:t>
      </w:r>
      <w:r w:rsidRPr="00781BB0">
        <w:rPr>
          <w:rFonts w:ascii="Verdana" w:hAnsi="Verdana" w:eastAsia="Calibri" w:cs="Arial"/>
          <w:color w:val="000000"/>
          <w:lang w:val="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781BB0">
        <w:rPr>
          <w:rFonts w:ascii="Verdana" w:hAnsi="Verdana" w:eastAsia="Calibri" w:cs="Arial"/>
          <w:i/>
          <w:color w:val="000000"/>
          <w:lang w:val="es-ES"/>
        </w:rPr>
        <w:t>contrato realidad</w:t>
      </w:r>
      <w:r w:rsidRPr="00781BB0">
        <w:rPr>
          <w:rFonts w:ascii="Verdana" w:hAnsi="Verdana" w:eastAsia="Calibri" w:cs="Arial"/>
          <w:color w:val="000000"/>
          <w:lang w:val="es-ES"/>
        </w:rPr>
        <w:t xml:space="preserve">,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 del artículo 32 de la Ley 80 de 1993, </w:t>
      </w:r>
      <w:r w:rsidRPr="00781BB0">
        <w:rPr>
          <w:rFonts w:ascii="Verdana" w:hAnsi="Verdana" w:eastAsia="Calibri" w:cs="Arial"/>
          <w:color w:val="000000"/>
          <w:lang w:val="es-ES"/>
        </w:rPr>
        <w:t>no vulneran los preceptos constitucionales, razón por la cual deberán ser declaradas exequibles, salvo que se acredite por parte del contratista la existencia de una relación laboral subordinada”</w:t>
      </w:r>
      <w:r w:rsidRPr="00781BB0">
        <w:rPr>
          <w:rStyle w:val="Refdenotaalpie"/>
          <w:rFonts w:ascii="Verdana" w:hAnsi="Verdana" w:cs="Arial"/>
        </w:rPr>
        <w:footnoteReference w:id="4"/>
      </w:r>
      <w:r w:rsidRPr="00781BB0">
        <w:rPr>
          <w:rFonts w:ascii="Verdana" w:hAnsi="Verdana" w:eastAsia="Calibri" w:cs="Arial"/>
          <w:color w:val="000000"/>
          <w:lang w:val="es-ES"/>
        </w:rPr>
        <w:t>.</w:t>
      </w:r>
    </w:p>
    <w:p w:rsidRPr="00781BB0" w:rsidR="00290C91" w:rsidP="00290C91" w:rsidRDefault="00290C91" w14:paraId="59F4B64D" w14:textId="77777777">
      <w:pPr>
        <w:spacing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iv)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81BB0">
        <w:rPr>
          <w:rStyle w:val="Refdenotaalpie"/>
          <w:rFonts w:ascii="Verdana" w:hAnsi="Verdana" w:cs="Arial"/>
        </w:rPr>
        <w:footnoteReference w:id="5"/>
      </w:r>
      <w:r w:rsidRPr="00781BB0">
        <w:rPr>
          <w:rFonts w:ascii="Verdana" w:hAnsi="Verdana" w:eastAsia="Calibri" w:cs="Arial"/>
          <w:color w:val="000000"/>
          <w:lang w:val="es-ES_tradnl"/>
        </w:rPr>
        <w:t>.</w:t>
      </w:r>
    </w:p>
    <w:p w:rsidRPr="00781BB0" w:rsidR="00290C91" w:rsidP="00290C91" w:rsidRDefault="00290C91" w14:paraId="1C0288DC" w14:textId="77777777">
      <w:pPr>
        <w:spacing w:after="0" w:line="276" w:lineRule="auto"/>
        <w:ind w:firstLine="709"/>
        <w:jc w:val="both"/>
        <w:rPr>
          <w:rFonts w:ascii="Verdana" w:hAnsi="Verdana" w:eastAsia="Calibri" w:cs="Arial"/>
          <w:color w:val="000000"/>
          <w:lang w:val="es-ES"/>
        </w:rPr>
      </w:pPr>
      <w:r w:rsidRPr="00781BB0">
        <w:rPr>
          <w:rFonts w:ascii="Verdana" w:hAnsi="Verdana" w:eastAsia="Calibri" w:cs="Arial"/>
          <w:color w:val="000000"/>
          <w:lang w:val="es-ES"/>
        </w:rPr>
        <w:t xml:space="preserve">v) Los contratos de prestación de servicios constituyen un </w:t>
      </w:r>
      <w:r w:rsidRPr="00781BB0">
        <w:rPr>
          <w:rFonts w:ascii="Verdana" w:hAnsi="Verdana" w:eastAsia="Calibri" w:cs="Arial"/>
          <w:i/>
          <w:color w:val="000000"/>
          <w:lang w:val="es-ES"/>
        </w:rPr>
        <w:t>género</w:t>
      </w:r>
      <w:r w:rsidRPr="00781BB0">
        <w:rPr>
          <w:rFonts w:ascii="Verdana" w:hAnsi="Verdana" w:eastAsia="Calibri" w:cs="Arial"/>
          <w:color w:val="000000"/>
          <w:lang w:val="es-ES"/>
        </w:rPr>
        <w:t xml:space="preserve"> que incluye, como </w:t>
      </w:r>
      <w:r w:rsidRPr="00781BB0">
        <w:rPr>
          <w:rFonts w:ascii="Verdana" w:hAnsi="Verdana" w:eastAsia="Calibri" w:cs="Arial"/>
          <w:i/>
          <w:color w:val="000000"/>
          <w:lang w:val="es-ES"/>
        </w:rPr>
        <w:t>especies</w:t>
      </w:r>
      <w:r w:rsidRPr="00781BB0">
        <w:rPr>
          <w:rFonts w:ascii="Verdana" w:hAnsi="Verdana" w:eastAsia="Calibri" w:cs="Arial"/>
          <w:color w:val="000000"/>
          <w:lang w:val="es-ES"/>
        </w:rPr>
        <w:t xml:space="preserve">, los contratos de prestación de servicios profesionales, los contratos de prestación de servicios de apoyo </w:t>
      </w:r>
      <w:r>
        <w:rPr>
          <w:rFonts w:ascii="Verdana" w:hAnsi="Verdana" w:eastAsia="Calibri" w:cs="Arial"/>
          <w:color w:val="000000"/>
          <w:lang w:val="es-ES"/>
        </w:rPr>
        <w:t xml:space="preserve">a la gestión y los contratos para la ejecución de trabajos </w:t>
      </w:r>
      <w:r w:rsidRPr="00781BB0">
        <w:rPr>
          <w:rFonts w:ascii="Verdana" w:hAnsi="Verdana" w:eastAsia="Calibri" w:cs="Arial"/>
          <w:color w:val="000000"/>
          <w:lang w:val="es-ES"/>
        </w:rPr>
        <w:t>artísticos que solo pueden encomendarse a determinadas personas naturales</w:t>
      </w:r>
      <w:r w:rsidRPr="00781BB0">
        <w:rPr>
          <w:rStyle w:val="Refdenotaalpie"/>
          <w:rFonts w:ascii="Verdana" w:hAnsi="Verdana" w:cs="Arial"/>
        </w:rPr>
        <w:footnoteReference w:id="6"/>
      </w:r>
      <w:r w:rsidRPr="00781BB0">
        <w:rPr>
          <w:rFonts w:ascii="Verdana" w:hAnsi="Verdana" w:eastAsia="Calibri" w:cs="Arial"/>
          <w:color w:val="000000"/>
          <w:lang w:val="es-ES"/>
        </w:rPr>
        <w:t xml:space="preserve">. La diferencia entre el contrato de prestación de servicios </w:t>
      </w:r>
      <w:r w:rsidRPr="00781BB0">
        <w:rPr>
          <w:rFonts w:ascii="Verdana" w:hAnsi="Verdana" w:eastAsia="Calibri" w:cs="Arial"/>
          <w:i/>
          <w:color w:val="000000"/>
          <w:lang w:val="es-ES"/>
        </w:rPr>
        <w:t>profesionales</w:t>
      </w:r>
      <w:r w:rsidRPr="00781BB0">
        <w:rPr>
          <w:rFonts w:ascii="Verdana" w:hAnsi="Verdana" w:eastAsia="Calibri"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rsidRPr="00781BB0" w:rsidR="00290C91" w:rsidP="00290C91" w:rsidRDefault="00290C91" w14:paraId="28490E14" w14:textId="77777777">
      <w:pPr>
        <w:spacing w:after="0" w:line="276" w:lineRule="auto"/>
        <w:ind w:firstLine="709"/>
        <w:jc w:val="both"/>
        <w:rPr>
          <w:rFonts w:ascii="Verdana" w:hAnsi="Verdana" w:eastAsia="Calibri" w:cs="Arial"/>
          <w:color w:val="000000"/>
          <w:lang w:val="es-ES_tradnl"/>
        </w:rPr>
      </w:pPr>
    </w:p>
    <w:p w:rsidRPr="00781BB0" w:rsidR="00290C91" w:rsidP="00290C91" w:rsidRDefault="00290C91" w14:paraId="15ADEAE9" w14:textId="77777777">
      <w:pPr>
        <w:spacing w:after="0" w:line="240" w:lineRule="auto"/>
        <w:ind w:left="709" w:right="709"/>
        <w:jc w:val="both"/>
        <w:rPr>
          <w:rFonts w:ascii="Verdana" w:hAnsi="Verdana" w:eastAsia="Calibri" w:cs="Arial"/>
          <w:color w:val="000000"/>
          <w:lang w:val="es-ES_tradnl"/>
        </w:rPr>
      </w:pPr>
      <w:r w:rsidRPr="00781BB0">
        <w:rPr>
          <w:rFonts w:ascii="Verdana" w:hAnsi="Verdana" w:eastAsia="Calibri" w:cs="Arial"/>
          <w:color w:val="00000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781BB0">
        <w:rPr>
          <w:rStyle w:val="Refdenotaalpie"/>
          <w:rFonts w:ascii="Verdana" w:hAnsi="Verdana" w:cs="Arial"/>
        </w:rPr>
        <w:footnoteReference w:id="7"/>
      </w:r>
      <w:r w:rsidRPr="00781BB0">
        <w:rPr>
          <w:rFonts w:ascii="Verdana" w:hAnsi="Verdana" w:eastAsia="Calibri" w:cs="Arial"/>
          <w:color w:val="000000"/>
          <w:lang w:val="es-ES_tradnl"/>
        </w:rPr>
        <w:t>.</w:t>
      </w:r>
    </w:p>
    <w:p w:rsidRPr="00781BB0" w:rsidR="00290C91" w:rsidP="00290C91" w:rsidRDefault="00290C91" w14:paraId="4C19B7B9" w14:textId="77777777">
      <w:pPr>
        <w:spacing w:after="0" w:line="276" w:lineRule="auto"/>
        <w:ind w:firstLine="709"/>
        <w:jc w:val="both"/>
        <w:rPr>
          <w:rFonts w:ascii="Verdana" w:hAnsi="Verdana" w:eastAsia="Calibri" w:cs="Arial"/>
          <w:color w:val="000000"/>
          <w:lang w:val="es-ES_tradnl"/>
        </w:rPr>
      </w:pPr>
    </w:p>
    <w:p w:rsidRPr="00781BB0" w:rsidR="00290C91" w:rsidP="00290C91" w:rsidRDefault="00290C91" w14:paraId="11AA0E33" w14:textId="77777777">
      <w:pPr>
        <w:spacing w:after="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Objeto que, según la sentencia que se cita, se diferencia del objeto del contrato de prestación de servicios de apoyo a la gestión, porque en este:</w:t>
      </w:r>
    </w:p>
    <w:p w:rsidRPr="00781BB0" w:rsidR="00290C91" w:rsidP="00290C91" w:rsidRDefault="00290C91" w14:paraId="43EF73C6" w14:textId="77777777">
      <w:pPr>
        <w:spacing w:after="0" w:line="276" w:lineRule="auto"/>
        <w:ind w:firstLine="709"/>
        <w:jc w:val="both"/>
        <w:rPr>
          <w:rFonts w:ascii="Verdana" w:hAnsi="Verdana" w:eastAsia="Calibri" w:cs="Arial"/>
          <w:color w:val="000000"/>
          <w:lang w:val="es-ES_tradnl"/>
        </w:rPr>
      </w:pPr>
    </w:p>
    <w:p w:rsidRPr="00781BB0" w:rsidR="00290C91" w:rsidP="00290C91" w:rsidRDefault="00290C91" w14:paraId="54394413" w14:textId="77777777">
      <w:pPr>
        <w:spacing w:after="0" w:line="240" w:lineRule="auto"/>
        <w:ind w:left="709" w:right="709"/>
        <w:jc w:val="both"/>
        <w:rPr>
          <w:rFonts w:ascii="Verdana" w:hAnsi="Verdana" w:eastAsia="Calibri" w:cs="Arial"/>
          <w:color w:val="000000"/>
          <w:lang w:val="es-ES_tradnl"/>
        </w:rPr>
      </w:pPr>
      <w:r w:rsidRPr="00781BB0">
        <w:rPr>
          <w:rFonts w:ascii="Verdana" w:hAnsi="Verdana" w:eastAsia="Calibri" w:cs="Arial"/>
          <w:color w:val="00000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781BB0" w:rsidR="00290C91" w:rsidP="00290C91" w:rsidRDefault="00290C91" w14:paraId="33F5823E" w14:textId="77777777">
      <w:pPr>
        <w:spacing w:after="0" w:line="240" w:lineRule="auto"/>
        <w:ind w:left="709" w:right="709"/>
        <w:jc w:val="both"/>
        <w:rPr>
          <w:rFonts w:ascii="Verdana" w:hAnsi="Verdana" w:eastAsia="Calibri" w:cs="Arial"/>
          <w:color w:val="000000"/>
          <w:lang w:val="es-ES_tradnl"/>
        </w:rPr>
      </w:pPr>
    </w:p>
    <w:p w:rsidRPr="00781BB0" w:rsidR="00290C91" w:rsidP="00290C91" w:rsidRDefault="00290C91" w14:paraId="6C92493B" w14:textId="77777777">
      <w:pPr>
        <w:spacing w:after="0" w:line="240" w:lineRule="auto"/>
        <w:ind w:left="709" w:right="709"/>
        <w:jc w:val="both"/>
        <w:rPr>
          <w:rFonts w:ascii="Verdana" w:hAnsi="Verdana" w:eastAsia="Calibri" w:cs="Arial"/>
          <w:color w:val="000000"/>
          <w:lang w:val="es-ES"/>
        </w:rPr>
      </w:pPr>
      <w:r w:rsidRPr="772851CE">
        <w:rPr>
          <w:rFonts w:ascii="Verdana" w:hAnsi="Verdana" w:eastAsia="Calibri" w:cs="Arial"/>
          <w:color w:val="000000" w:themeColor="text1"/>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rsidRPr="00781BB0" w:rsidR="00290C91" w:rsidP="00290C91" w:rsidRDefault="00290C91" w14:paraId="43104BED" w14:textId="77777777">
      <w:pPr>
        <w:spacing w:after="0" w:line="240" w:lineRule="auto"/>
        <w:ind w:right="709"/>
        <w:jc w:val="both"/>
        <w:rPr>
          <w:rFonts w:ascii="Verdana" w:hAnsi="Verdana" w:eastAsia="Calibri" w:cs="Arial"/>
          <w:color w:val="000000"/>
          <w:lang w:val="es-ES_tradnl"/>
        </w:rPr>
      </w:pPr>
    </w:p>
    <w:p w:rsidRPr="00781BB0" w:rsidR="00290C91" w:rsidP="00290C91" w:rsidRDefault="00290C91" w14:paraId="633DA7B9" w14:textId="77777777">
      <w:pPr>
        <w:spacing w:after="0" w:line="240" w:lineRule="auto"/>
        <w:ind w:left="709" w:right="709"/>
        <w:jc w:val="both"/>
        <w:rPr>
          <w:rFonts w:ascii="Verdana" w:hAnsi="Verdana" w:eastAsia="Calibri" w:cs="Arial"/>
          <w:color w:val="000000"/>
          <w:lang w:val="es-ES_tradnl"/>
        </w:rPr>
      </w:pPr>
      <w:r w:rsidRPr="00781BB0">
        <w:rPr>
          <w:rFonts w:ascii="Verdana" w:hAnsi="Verdana" w:eastAsia="Calibri" w:cs="Arial"/>
          <w:color w:val="00000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781BB0">
        <w:rPr>
          <w:rStyle w:val="Refdenotaalpie"/>
          <w:rFonts w:ascii="Verdana" w:hAnsi="Verdana" w:cs="Arial"/>
        </w:rPr>
        <w:footnoteReference w:id="8"/>
      </w:r>
      <w:r w:rsidRPr="00781BB0">
        <w:rPr>
          <w:rFonts w:ascii="Verdana" w:hAnsi="Verdana" w:eastAsia="Calibri" w:cs="Arial"/>
          <w:color w:val="000000"/>
          <w:lang w:val="es-ES_tradnl"/>
        </w:rPr>
        <w:t>.</w:t>
      </w:r>
    </w:p>
    <w:p w:rsidRPr="00781BB0" w:rsidR="00290C91" w:rsidP="00290C91" w:rsidRDefault="00290C91" w14:paraId="4F58623C" w14:textId="77777777">
      <w:pPr>
        <w:spacing w:after="0" w:line="276" w:lineRule="auto"/>
        <w:ind w:firstLine="709"/>
        <w:jc w:val="both"/>
        <w:rPr>
          <w:rFonts w:ascii="Verdana" w:hAnsi="Verdana" w:eastAsia="Calibri" w:cs="Arial"/>
          <w:color w:val="000000"/>
          <w:lang w:val="es-ES_tradnl"/>
        </w:rPr>
      </w:pPr>
    </w:p>
    <w:p w:rsidRPr="00781BB0" w:rsidR="00290C91" w:rsidP="00290C91" w:rsidRDefault="00290C91" w14:paraId="0CBD8592" w14:textId="77777777">
      <w:pPr>
        <w:spacing w:after="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En rela</w:t>
      </w:r>
      <w:r>
        <w:rPr>
          <w:rFonts w:ascii="Verdana" w:hAnsi="Verdana" w:eastAsia="Calibri" w:cs="Arial"/>
          <w:color w:val="000000"/>
          <w:lang w:val="es-ES_tradnl"/>
        </w:rPr>
        <w:t xml:space="preserve">ción con el contrato de prestación para la ejecución de trabajos artísticos </w:t>
      </w:r>
      <w:r w:rsidRPr="00781BB0">
        <w:rPr>
          <w:rFonts w:ascii="Verdana" w:hAnsi="Verdana" w:eastAsia="Calibri" w:cs="Arial"/>
          <w:color w:val="000000"/>
          <w:lang w:val="es-ES_tradnl"/>
        </w:rPr>
        <w:t>que solo pueden encomendarse a determinadas personas naturales, señala el mencionado fallo que:</w:t>
      </w:r>
    </w:p>
    <w:p w:rsidRPr="00781BB0" w:rsidR="00290C91" w:rsidP="00290C91" w:rsidRDefault="00290C91" w14:paraId="5DB9E97C" w14:textId="77777777">
      <w:pPr>
        <w:spacing w:after="0" w:line="240" w:lineRule="auto"/>
        <w:ind w:left="709" w:right="709"/>
        <w:jc w:val="both"/>
        <w:rPr>
          <w:rFonts w:ascii="Verdana" w:hAnsi="Verdana" w:eastAsia="Calibri" w:cs="Arial"/>
          <w:color w:val="000000"/>
          <w:lang w:val="es-ES_tradnl"/>
        </w:rPr>
      </w:pPr>
    </w:p>
    <w:p w:rsidRPr="00781BB0" w:rsidR="00290C91" w:rsidP="00290C91" w:rsidRDefault="00290C91" w14:paraId="403F23C5" w14:textId="77777777">
      <w:pPr>
        <w:spacing w:after="0" w:line="240" w:lineRule="auto"/>
        <w:ind w:left="709" w:right="709"/>
        <w:jc w:val="both"/>
        <w:rPr>
          <w:rFonts w:ascii="Verdana" w:hAnsi="Verdana" w:eastAsia="Calibri" w:cs="Arial"/>
          <w:color w:val="000000"/>
          <w:lang w:val="es-ES_tradnl"/>
        </w:rPr>
      </w:pPr>
      <w:r w:rsidRPr="00781BB0">
        <w:rPr>
          <w:rFonts w:ascii="Verdana" w:hAnsi="Verdana" w:eastAsia="Calibri" w:cs="Arial"/>
          <w:color w:val="000000"/>
          <w:lang w:val="es-ES_tradnl"/>
        </w:rPr>
        <w:t xml:space="preserve">“Tienen lugar dentro de esta categoría los contratos de prestación de servicios que tengan por objeto la ejecución de trabajos artísticos, esto es, trabajos que corresponden al conjunto de </w:t>
      </w:r>
      <w:r w:rsidRPr="00781BB0">
        <w:rPr>
          <w:rFonts w:ascii="Verdana" w:hAnsi="Verdana" w:eastAsia="Calibri" w:cs="Arial"/>
          <w:color w:val="000000"/>
          <w:lang w:val="es-ES_tradnl"/>
        </w:rPr>
        <w:t>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781BB0">
        <w:rPr>
          <w:rStyle w:val="Refdenotaalpie"/>
          <w:rFonts w:ascii="Verdana" w:hAnsi="Verdana" w:cs="Arial"/>
        </w:rPr>
        <w:footnoteReference w:id="9"/>
      </w:r>
      <w:r w:rsidRPr="00781BB0">
        <w:rPr>
          <w:rFonts w:ascii="Verdana" w:hAnsi="Verdana" w:eastAsia="Calibri" w:cs="Arial"/>
          <w:color w:val="000000"/>
          <w:lang w:val="es-ES_tradnl"/>
        </w:rPr>
        <w:t>.</w:t>
      </w:r>
    </w:p>
    <w:p w:rsidRPr="00781BB0" w:rsidR="00290C91" w:rsidP="00290C91" w:rsidRDefault="00290C91" w14:paraId="514C21B8" w14:textId="77777777">
      <w:pPr>
        <w:spacing w:after="0" w:line="240" w:lineRule="auto"/>
        <w:ind w:left="709" w:right="709"/>
        <w:jc w:val="both"/>
        <w:rPr>
          <w:rFonts w:ascii="Verdana" w:hAnsi="Verdana" w:eastAsia="Calibri" w:cs="Arial"/>
          <w:color w:val="000000"/>
          <w:lang w:val="es-ES_tradnl"/>
        </w:rPr>
      </w:pPr>
    </w:p>
    <w:p w:rsidRPr="00781BB0" w:rsidR="00290C91" w:rsidP="00290C91" w:rsidRDefault="00290C91" w14:paraId="70B671EC" w14:textId="77777777">
      <w:pPr>
        <w:spacing w:after="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781BB0">
        <w:rPr>
          <w:rStyle w:val="Refdenotaalpie"/>
          <w:rFonts w:ascii="Verdana" w:hAnsi="Verdana" w:cs="Arial"/>
        </w:rPr>
        <w:footnoteReference w:id="10"/>
      </w:r>
      <w:r w:rsidRPr="00781BB0">
        <w:rPr>
          <w:rFonts w:ascii="Verdana" w:hAnsi="Verdana" w:eastAsia="Calibri" w:cs="Arial"/>
          <w:color w:val="000000"/>
          <w:lang w:val="es-ES_tradnl"/>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rsidRPr="00781BB0" w:rsidR="00290C91" w:rsidP="00290C91" w:rsidRDefault="00290C91" w14:paraId="223D6206"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vii) Para su celebración no se requiere en algunos casos la expedición del acto administrativo de justificación de la contratación directa</w:t>
      </w:r>
      <w:r w:rsidRPr="00781BB0">
        <w:rPr>
          <w:rStyle w:val="Refdenotaalpie"/>
          <w:rFonts w:ascii="Verdana" w:hAnsi="Verdana" w:cs="Arial"/>
        </w:rPr>
        <w:footnoteReference w:id="11"/>
      </w:r>
      <w:r w:rsidRPr="00781BB0">
        <w:rPr>
          <w:rFonts w:ascii="Verdana" w:hAnsi="Verdana" w:eastAsia="Calibri" w:cs="Arial"/>
          <w:color w:val="000000"/>
          <w:lang w:val="es-ES_tradnl"/>
        </w:rPr>
        <w:t xml:space="preserve">. </w:t>
      </w:r>
    </w:p>
    <w:p w:rsidRPr="00781BB0" w:rsidR="00290C91" w:rsidP="00290C91" w:rsidRDefault="00290C91" w14:paraId="27E63A40"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 xml:space="preserve">viii) Admiten el pacto de cláusulas excepcionales. Es decir, en los contratos de prestación de servicios se puede estipular la caducidad, así como la modificación, interpretación o terminación unilaterales, como elementos </w:t>
      </w:r>
      <w:r w:rsidRPr="00781BB0">
        <w:rPr>
          <w:rFonts w:ascii="Verdana" w:hAnsi="Verdana" w:eastAsia="Calibri" w:cs="Arial"/>
          <w:color w:val="000000"/>
          <w:lang w:val="es-ES_tradnl"/>
        </w:rPr>
        <w:t>accidentales, o sea que para que puedan ejercerse dichas exorbitancias han debido quedar incluidas expresamente en el contrato, ya que no se entienden pactadas por naturaleza. Así se infiere del artículo 14, numeral 2º, de la Ley 80 de 1993</w:t>
      </w:r>
      <w:r w:rsidRPr="00781BB0">
        <w:rPr>
          <w:rStyle w:val="Refdenotaalpie"/>
          <w:rFonts w:ascii="Verdana" w:hAnsi="Verdana" w:cs="Arial"/>
        </w:rPr>
        <w:footnoteReference w:id="12"/>
      </w:r>
      <w:r w:rsidRPr="00781BB0">
        <w:rPr>
          <w:rFonts w:ascii="Verdana" w:hAnsi="Verdana" w:eastAsia="Calibri" w:cs="Arial"/>
          <w:color w:val="000000"/>
          <w:lang w:val="es-ES_tradnl"/>
        </w:rPr>
        <w:t>.</w:t>
      </w:r>
    </w:p>
    <w:p w:rsidRPr="00781BB0" w:rsidR="00290C91" w:rsidP="00290C91" w:rsidRDefault="00290C91" w14:paraId="46557A53"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ix) En algunos casos no es obligatoria la liquidación, pues así lo estableció el artículo 217 del Decreto 019 de 2012, que modificó el artículo 60 de la Ley 80 de 1993</w:t>
      </w:r>
      <w:r w:rsidRPr="00781BB0">
        <w:rPr>
          <w:rStyle w:val="Refdenotaalpie"/>
          <w:rFonts w:ascii="Verdana" w:hAnsi="Verdana" w:cs="Arial"/>
        </w:rPr>
        <w:footnoteReference w:id="13"/>
      </w:r>
      <w:r w:rsidRPr="00781BB0">
        <w:rPr>
          <w:rFonts w:ascii="Verdana" w:hAnsi="Verdana" w:eastAsia="Calibri" w:cs="Arial"/>
          <w:color w:val="000000"/>
          <w:lang w:val="es-ES_tradnl"/>
        </w:rPr>
        <w:t>, refiriéndose a los contratos de prestación de servicios profesionales y de apoyo a la gestión.</w:t>
      </w:r>
    </w:p>
    <w:p w:rsidRPr="00781BB0" w:rsidR="00290C91" w:rsidP="00290C91" w:rsidRDefault="00290C91" w14:paraId="58428A28"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x) Para su celebración no se requiere inscripción en el Registro Único de Proponentes (RUP), según lo prevé el artículo 6 de la Ley 1150 de 2007</w:t>
      </w:r>
      <w:r w:rsidRPr="00781BB0">
        <w:rPr>
          <w:rStyle w:val="Refdenotaalpie"/>
          <w:rFonts w:ascii="Verdana" w:hAnsi="Verdana" w:cs="Arial"/>
        </w:rPr>
        <w:footnoteReference w:id="14"/>
      </w:r>
      <w:r w:rsidRPr="00781BB0">
        <w:rPr>
          <w:rFonts w:ascii="Verdana" w:hAnsi="Verdana" w:eastAsia="Calibri" w:cs="Arial"/>
          <w:color w:val="000000"/>
          <w:lang w:val="es-ES_tradnl"/>
        </w:rPr>
        <w:t>.</w:t>
      </w:r>
    </w:p>
    <w:p w:rsidRPr="00781BB0" w:rsidR="00290C91" w:rsidP="00290C91" w:rsidRDefault="00290C91" w14:paraId="0BBB0FBA" w14:textId="77777777">
      <w:pPr>
        <w:spacing w:before="120" w:after="120" w:line="276" w:lineRule="auto"/>
        <w:ind w:firstLine="709"/>
        <w:jc w:val="both"/>
        <w:rPr>
          <w:rFonts w:ascii="Verdana" w:hAnsi="Verdana" w:eastAsia="Calibri" w:cs="Arial"/>
          <w:color w:val="000000"/>
          <w:lang w:val="es-ES_tradnl"/>
        </w:rPr>
      </w:pPr>
      <w:r w:rsidRPr="00781BB0">
        <w:rPr>
          <w:rFonts w:ascii="Verdana" w:hAnsi="Verdana" w:eastAsia="Calibri" w:cs="Arial"/>
          <w:color w:val="000000"/>
          <w:lang w:val="es-ES_tradnl"/>
        </w:rPr>
        <w:t>xi) En ellos no son necesarias las garantías</w:t>
      </w:r>
      <w:r w:rsidRPr="00781BB0">
        <w:rPr>
          <w:rStyle w:val="Refdenotaalpie"/>
          <w:rFonts w:ascii="Verdana" w:hAnsi="Verdana" w:cs="Arial"/>
        </w:rPr>
        <w:footnoteReference w:id="15"/>
      </w:r>
      <w:r w:rsidRPr="00781BB0">
        <w:rPr>
          <w:rFonts w:ascii="Verdana" w:hAnsi="Verdana" w:eastAsia="Calibri" w:cs="Arial"/>
          <w:color w:val="000000"/>
          <w:lang w:val="es-ES_tradnl"/>
        </w:rPr>
        <w:t>.</w:t>
      </w:r>
    </w:p>
    <w:p w:rsidRPr="00781BB0" w:rsidR="00290C91" w:rsidP="00290C91" w:rsidRDefault="00290C91" w14:paraId="22571B54" w14:textId="77777777">
      <w:pPr>
        <w:spacing w:before="120" w:after="120" w:line="276" w:lineRule="auto"/>
        <w:ind w:firstLine="708"/>
        <w:jc w:val="both"/>
        <w:rPr>
          <w:rFonts w:ascii="Verdana" w:hAnsi="Verdana" w:eastAsia="Calibri" w:cs="Arial"/>
          <w:color w:val="000000"/>
          <w:lang w:val="es-ES_tradnl"/>
        </w:rPr>
      </w:pPr>
      <w:r w:rsidRPr="00781BB0">
        <w:rPr>
          <w:rFonts w:ascii="Verdana" w:hAnsi="Verdana" w:eastAsia="Calibri" w:cs="Arial"/>
          <w:color w:val="000000"/>
          <w:lang w:val="es-ES_tradnl"/>
        </w:rPr>
        <w:t xml:space="preserve">De las características mencionadas, especialmente, de la autonomía del contratista y su diferencia con un vínculo estrictamente laboral, se infiere la </w:t>
      </w:r>
      <w:r w:rsidRPr="00781BB0">
        <w:rPr>
          <w:rFonts w:ascii="Verdana" w:hAnsi="Verdana" w:eastAsia="Calibri" w:cs="Arial"/>
          <w:color w:val="000000"/>
          <w:lang w:val="es-ES_tradnl"/>
        </w:rPr>
        <w:t>posibilidad de ejecutar las obligaciones fuera del domicilio de la entidad contratante. Tratándose de servidores públicos, la subordinación implica acatar instrucciones sobre la asistencia presencial, sin perjuicio de la autorización para teletrabajo –Ley 1221 de 2008–, trabajo en casa –2088 de 2021– o trabajo remoto –Ley 2121 de 2021–. Esta regla se invierte en los contratos de pres</w:t>
      </w:r>
      <w:r>
        <w:rPr>
          <w:rFonts w:ascii="Verdana" w:hAnsi="Verdana" w:eastAsia="Calibri" w:cs="Arial"/>
          <w:color w:val="000000"/>
          <w:lang w:val="es-ES_tradnl"/>
        </w:rPr>
        <w:t xml:space="preserve">tación de servicios mientras la mayoría de </w:t>
      </w:r>
      <w:r w:rsidRPr="00781BB0">
        <w:rPr>
          <w:rFonts w:ascii="Verdana" w:hAnsi="Verdana" w:eastAsia="Calibri" w:cs="Arial"/>
          <w:color w:val="000000"/>
          <w:lang w:val="es-ES_tradnl"/>
        </w:rPr>
        <w:t xml:space="preserve">las obligaciones pueda cumplirse fuera de la entidad, bien porque el contratista se encuentre domiciliado en otro lugar del territorio nacional o, incluso, en el extranjero. </w:t>
      </w:r>
    </w:p>
    <w:p w:rsidRPr="00781BB0" w:rsidR="00290C91" w:rsidP="00290C91" w:rsidRDefault="00290C91" w14:paraId="02C0274F" w14:textId="77777777">
      <w:pPr>
        <w:spacing w:before="120" w:after="120" w:line="276" w:lineRule="auto"/>
        <w:ind w:firstLine="708"/>
        <w:jc w:val="both"/>
        <w:rPr>
          <w:rFonts w:ascii="Verdana" w:hAnsi="Verdana" w:eastAsia="Calibri" w:cs="Arial"/>
          <w:color w:val="000000"/>
          <w:lang w:val="es-ES_tradnl"/>
        </w:rPr>
      </w:pPr>
      <w:r w:rsidRPr="00781BB0">
        <w:rPr>
          <w:rFonts w:ascii="Verdana" w:hAnsi="Verdana" w:eastAsia="Calibri" w:cs="Arial"/>
          <w:color w:val="000000"/>
          <w:lang w:val="es-ES_tradnl"/>
        </w:rPr>
        <w:t>Desde esta perspectiva, siempre que se trate de obligaciones que no exijan ejecución presencial, es posible que un contratista colombiano pueda ejecutar un contrato de prestación de servicios desde el exterior. Esta conclusión también se extiende a los contratistas extranjeros, pues el inciso primero del artículo 100 constitucional prescribe que “</w:t>
      </w:r>
      <w:r w:rsidRPr="00781BB0">
        <w:rPr>
          <w:rFonts w:ascii="Verdana" w:hAnsi="Verdana" w:eastAsia="Calibri" w:cs="Arial"/>
          <w:i/>
          <w:iCs/>
          <w:color w:val="000000"/>
          <w:lang w:val="es-ES_tradnl"/>
        </w:rPr>
        <w:t>Los extranjeros disfrutarán en Colombia de los mismos derechos civiles que se conceden a los colombianos</w:t>
      </w:r>
      <w:r w:rsidRPr="00781BB0">
        <w:rPr>
          <w:rFonts w:ascii="Verdana" w:hAnsi="Verdana" w:eastAsia="Calibri" w:cs="Arial"/>
          <w:color w:val="000000"/>
          <w:lang w:val="es-ES_tradnl"/>
        </w:rPr>
        <w:t>. No obstante, la ley podrá, por razones de orden público, subordinar a condiciones especiales o negar el ejercicio de determinados derechos civiles a los extranjeros” (Énfasis fuera de texto). Mientras las actividades no requieran presencialidad, si el contratista colombiano puede ejecutar las obligaciones fuera del domicilio de la entidad contratante, no existe una razón jurídica válida para imponer la asistencia al contratista extranjero.</w:t>
      </w:r>
    </w:p>
    <w:p w:rsidRPr="00781BB0" w:rsidR="00290C91" w:rsidP="00290C91" w:rsidRDefault="00290C91" w14:paraId="20B0A13F" w14:textId="77777777">
      <w:pPr>
        <w:spacing w:before="120" w:after="120" w:line="276" w:lineRule="auto"/>
        <w:ind w:firstLine="708"/>
        <w:jc w:val="both"/>
        <w:rPr>
          <w:rFonts w:ascii="Verdana" w:hAnsi="Verdana" w:eastAsia="Calibri" w:cs="Arial"/>
          <w:color w:val="000000"/>
          <w:lang w:val="es-ES_tradnl"/>
        </w:rPr>
      </w:pPr>
      <w:r w:rsidRPr="00781BB0">
        <w:rPr>
          <w:rFonts w:ascii="Verdana" w:hAnsi="Verdana" w:eastAsia="Calibri" w:cs="Arial"/>
          <w:color w:val="000000"/>
          <w:lang w:val="es-ES_tradnl"/>
        </w:rPr>
        <w:t xml:space="preserve">Por lo demás, </w:t>
      </w:r>
      <w:r w:rsidRPr="00781BB0">
        <w:rPr>
          <w:rFonts w:ascii="Verdana" w:hAnsi="Verdana" w:cs="Arial"/>
          <w:color w:val="000000" w:themeColor="text1"/>
        </w:rPr>
        <w:t>en concordancia con el numeral 1 del artículo 1502 del Código Civil</w:t>
      </w:r>
      <w:r w:rsidRPr="00781BB0">
        <w:rPr>
          <w:rStyle w:val="Refdenotaalpie"/>
          <w:rFonts w:ascii="Verdana" w:hAnsi="Verdana" w:cs="Arial"/>
          <w:color w:val="000000" w:themeColor="text1"/>
        </w:rPr>
        <w:footnoteReference w:id="16"/>
      </w:r>
      <w:r w:rsidRPr="00781BB0">
        <w:rPr>
          <w:rFonts w:ascii="Verdana" w:hAnsi="Verdana" w:cs="Arial"/>
          <w:color w:val="000000" w:themeColor="text1"/>
        </w:rPr>
        <w:t>,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razón por la que, considerando que el artículo el artículo 74 del Código Civil prescribe que “Son personas todos los individuos de la especie humana, cualquiera que sea su edad, sexo, estirpe o condición”</w:t>
      </w:r>
      <w:r w:rsidRPr="00781BB0">
        <w:rPr>
          <w:rFonts w:ascii="Verdana" w:hAnsi="Verdana" w:eastAsia="Calibri" w:cs="Arial"/>
          <w:color w:val="000000"/>
          <w:lang w:val="es-ES_tradnl"/>
        </w:rPr>
        <w:t xml:space="preserve">, se infiere que las personas extranjeras tienen </w:t>
      </w:r>
      <w:r w:rsidRPr="00781BB0">
        <w:rPr>
          <w:rFonts w:ascii="Verdana" w:hAnsi="Verdana" w:eastAsia="Calibri" w:cs="Arial"/>
          <w:color w:val="000000"/>
          <w:lang w:val="es-ES_tradnl"/>
        </w:rPr>
        <w:t>capacidad para celebrar contratos estatales, siempre que no se encuentren en alguna causal de inhabilidad o incompatibilidad que la afecte</w:t>
      </w:r>
      <w:r w:rsidRPr="00781BB0">
        <w:rPr>
          <w:rStyle w:val="Refdenotaalpie"/>
          <w:rFonts w:ascii="Verdana" w:hAnsi="Verdana" w:eastAsia="Calibri" w:cs="Arial"/>
          <w:color w:val="000000"/>
          <w:lang w:val="es-ES_tradnl"/>
        </w:rPr>
        <w:footnoteReference w:id="17"/>
      </w:r>
      <w:r w:rsidRPr="00781BB0">
        <w:rPr>
          <w:rFonts w:ascii="Verdana" w:hAnsi="Verdana" w:eastAsia="Calibri" w:cs="Arial"/>
          <w:color w:val="000000"/>
          <w:lang w:val="es-ES_tradnl"/>
        </w:rPr>
        <w:t>.</w:t>
      </w:r>
    </w:p>
    <w:p w:rsidRPr="00781BB0" w:rsidR="00290C91" w:rsidP="00290C91" w:rsidRDefault="00290C91" w14:paraId="3326B36C" w14:textId="77777777">
      <w:pPr>
        <w:spacing w:before="120" w:after="120" w:line="276" w:lineRule="auto"/>
        <w:ind w:firstLine="708"/>
        <w:jc w:val="both"/>
        <w:rPr>
          <w:rFonts w:ascii="Verdana" w:hAnsi="Verdana" w:eastAsia="Calibri" w:cs="Arial"/>
          <w:color w:val="000000"/>
          <w:lang w:val="es-ES_tradnl"/>
        </w:rPr>
      </w:pPr>
      <w:r w:rsidRPr="00781BB0">
        <w:rPr>
          <w:rFonts w:ascii="Verdana" w:hAnsi="Verdana" w:eastAsia="Calibri" w:cs="Arial"/>
          <w:color w:val="000000"/>
          <w:lang w:val="es-ES_tradnl"/>
        </w:rPr>
        <w:t>Del régimen j</w:t>
      </w:r>
      <w:r>
        <w:rPr>
          <w:rFonts w:ascii="Verdana" w:hAnsi="Verdana" w:eastAsia="Calibri" w:cs="Arial"/>
          <w:color w:val="000000"/>
          <w:lang w:val="es-ES_tradnl"/>
        </w:rPr>
        <w:t>urídico aplicable, también se infiere</w:t>
      </w:r>
      <w:r w:rsidRPr="00781BB0">
        <w:rPr>
          <w:rFonts w:ascii="Verdana" w:hAnsi="Verdana" w:eastAsia="Calibri" w:cs="Arial"/>
          <w:color w:val="000000"/>
          <w:lang w:val="es-ES_tradnl"/>
        </w:rPr>
        <w:t xml:space="preserve"> que las personas extranjeras domiciliadas en el exterior pueden ser contratistas. Para estos efectos, el artículo 13 de la Ley 80 de 1993 dispone que “Los contratos celebrados en el exterior se podrán regir en su ejecución por las reglas del país en donde se hayan suscrito, a menos que deban cumplirse en Colombia” y que “Los contratos que se celebren en Colombia y deban ejecutarse o cumplirse en el extranjero, podrán someterse a la ley extranjera”. Algo similar se infiere del trato nacional previsto en el artículo 20 </w:t>
      </w:r>
      <w:r w:rsidRPr="00781BB0">
        <w:rPr>
          <w:rFonts w:ascii="Verdana" w:hAnsi="Verdana" w:eastAsia="Calibri" w:cs="Arial"/>
          <w:i/>
          <w:iCs/>
          <w:color w:val="000000"/>
          <w:lang w:val="es-ES_tradnl"/>
        </w:rPr>
        <w:t>ibidem</w:t>
      </w:r>
      <w:r w:rsidRPr="00781BB0">
        <w:rPr>
          <w:rStyle w:val="Refdenotaalpie"/>
          <w:rFonts w:ascii="Verdana" w:hAnsi="Verdana" w:eastAsia="Calibri" w:cs="Arial"/>
          <w:i/>
          <w:iCs/>
          <w:color w:val="000000"/>
          <w:lang w:val="es-ES_tradnl"/>
        </w:rPr>
        <w:footnoteReference w:id="18"/>
      </w:r>
      <w:r w:rsidRPr="00781BB0">
        <w:rPr>
          <w:rFonts w:ascii="Verdana" w:hAnsi="Verdana" w:eastAsia="Calibri" w:cs="Arial"/>
          <w:color w:val="000000"/>
          <w:lang w:val="es-ES_tradnl"/>
        </w:rPr>
        <w:t xml:space="preserve"> y de la posibilidad de beneficiarse del puntaje de apoyo a la industria nacional</w:t>
      </w:r>
      <w:r w:rsidRPr="00781BB0">
        <w:rPr>
          <w:rStyle w:val="Refdenotaalpie"/>
          <w:rFonts w:ascii="Verdana" w:hAnsi="Verdana" w:eastAsia="Calibri" w:cs="Arial"/>
          <w:color w:val="000000"/>
          <w:lang w:val="es-ES_tradnl"/>
        </w:rPr>
        <w:footnoteReference w:id="19"/>
      </w:r>
      <w:r w:rsidRPr="00781BB0">
        <w:rPr>
          <w:rFonts w:ascii="Verdana" w:hAnsi="Verdana" w:eastAsia="Calibri" w:cs="Arial"/>
          <w:color w:val="000000"/>
          <w:lang w:val="es-ES_tradnl"/>
        </w:rPr>
        <w:t xml:space="preserve">. Incluso, bajo el entendido que –conforme al inciso primero del artículo 6 de la Ley 1150 de 2007– “Todas las personas naturales o jurídicas nacionales o extranjeras domiciliadas </w:t>
      </w:r>
      <w:r w:rsidRPr="00781BB0">
        <w:rPr>
          <w:rFonts w:ascii="Verdana" w:hAnsi="Verdana" w:eastAsia="Calibri" w:cs="Arial"/>
          <w:color w:val="000000"/>
          <w:lang w:val="es-ES_tradnl"/>
        </w:rPr>
        <w:t>o con sucursal en Colombia, que aspiren a celebrar contratos con las entidades estatales, se inscribirán en el Registro Único de Proponentes del Registro Único Empresarial de la Cámara de Comercio con jurisdicción en su domicilio principal”, los proponentes extranjeros sin domicilio en Colombia pueden participar en los procesos de selección sin necesidad en estar inscritos en el registro. En este caso, corresponderá a las entidades contratantes cumplir con la labor de verificación de las condiciones de los proponentes.</w:t>
      </w:r>
    </w:p>
    <w:p w:rsidRPr="00781BB0" w:rsidR="00290C91" w:rsidP="00290C91" w:rsidRDefault="00290C91" w14:paraId="6EBE164A" w14:textId="77777777">
      <w:pPr>
        <w:spacing w:before="120" w:after="120" w:line="276" w:lineRule="auto"/>
        <w:ind w:firstLine="708"/>
        <w:jc w:val="both"/>
        <w:rPr>
          <w:rFonts w:ascii="Verdana" w:hAnsi="Verdana" w:eastAsia="Calibri" w:cs="Arial"/>
          <w:color w:val="000000"/>
          <w:lang w:val="es-ES"/>
        </w:rPr>
      </w:pPr>
      <w:r w:rsidRPr="00781BB0">
        <w:rPr>
          <w:rFonts w:ascii="Verdana" w:hAnsi="Verdana" w:eastAsia="Calibri" w:cs="Arial"/>
          <w:color w:val="000000" w:themeColor="text1"/>
          <w:lang w:val="es-ES"/>
        </w:rPr>
        <w:t xml:space="preserve">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 Asimismo, mientras el grueso de las obligaciones pueda cumplirse fuera de la entidad, el contrato puede ejecutarse, aunque se encuentre domiciliado en el exterior, pues al no tratarse de una vinculación laboral ni subordinada no es obligatoria la presencialidad en el territorio nacional. </w:t>
      </w:r>
    </w:p>
    <w:p w:rsidRPr="00781BB0" w:rsidR="00290C91" w:rsidP="00290C91" w:rsidRDefault="00290C91" w14:paraId="0D6A0FD8" w14:textId="77777777">
      <w:pPr>
        <w:spacing w:after="0" w:line="276" w:lineRule="auto"/>
        <w:ind w:firstLine="708"/>
        <w:jc w:val="both"/>
        <w:rPr>
          <w:rFonts w:ascii="Verdana" w:hAnsi="Verdana" w:cs="Arial"/>
          <w:lang w:val="es-ES"/>
        </w:rPr>
      </w:pPr>
      <w:r w:rsidRPr="00781BB0">
        <w:rPr>
          <w:rFonts w:ascii="Verdana" w:hAnsi="Verdana" w:eastAsia="Calibri" w:cs="Arial"/>
          <w:color w:val="000000"/>
          <w:lang w:val="es-ES_tradnl"/>
        </w:rPr>
        <w:t xml:space="preserve">Sin perjuicio de los incisos 2 y 3 del artículo 13 de la Ley 80 de 1993, los contratos de prestación de servicios con extranjeros suponen requisitos y formalidades similares que aquellos celebrados con contratistas colombianos, aunado a los temas de </w:t>
      </w:r>
      <w:r>
        <w:rPr>
          <w:rFonts w:ascii="Verdana" w:hAnsi="Verdana" w:eastAsia="Calibri" w:cs="Arial"/>
          <w:color w:val="000000"/>
          <w:lang w:val="es-ES_tradnl"/>
        </w:rPr>
        <w:t xml:space="preserve">permiso de trabajo y </w:t>
      </w:r>
      <w:r w:rsidRPr="00781BB0">
        <w:rPr>
          <w:rFonts w:ascii="Verdana" w:hAnsi="Verdana" w:eastAsia="Calibri" w:cs="Arial"/>
          <w:color w:val="000000"/>
          <w:lang w:val="es-ES_tradnl"/>
        </w:rPr>
        <w:t xml:space="preserve">convalidación que se explicarán en los siguientes acápites. No obstante, la existencia de algún matiz en el caso particular debe ser analizada por la entidad contratante. En efecto, </w:t>
      </w:r>
      <w:r w:rsidRPr="00781BB0">
        <w:rPr>
          <w:rFonts w:ascii="Verdana" w:hAnsi="Verdana" w:cs="Arial"/>
          <w:lang w:val="es-ES"/>
        </w:rPr>
        <w:t>la competencia de Colombia Compra Eficiente se fija con límites claros con el propósito de evitar que la Agencia actúe como una instancia de validación de las actuaciones de las entidades sujetas a la Ley 80 de 1993 o de los demás participantes de la contratación pública</w:t>
      </w:r>
      <w:r w:rsidRPr="00781BB0">
        <w:rPr>
          <w:rFonts w:ascii="Verdana" w:hAnsi="Verdana" w:cs="Arial"/>
          <w:vertAlign w:val="superscript"/>
          <w:lang w:val="es-ES"/>
        </w:rPr>
        <w:footnoteReference w:id="20"/>
      </w:r>
      <w:r w:rsidRPr="00781BB0">
        <w:rPr>
          <w:rFonts w:ascii="Verdana" w:hAnsi="Verdana" w:cs="Arial"/>
          <w:lang w:val="es-ES"/>
        </w:rPr>
        <w:t xml:space="preserve">. Esta competencia de interpretación de normas generales, por definición, no puede extenderse a brindar asesorías sobre casos puntuales. Por lo anterior, previo concepto de sus órganos asesores, la solución de estos temas corresponde a la entidad de adoptar la decisión correspondiente y, en caso de conflicto, a las autoridades judiciales, fiscales y </w:t>
      </w:r>
      <w:r w:rsidRPr="00781BB0">
        <w:rPr>
          <w:rFonts w:ascii="Verdana" w:hAnsi="Verdana" w:cs="Arial"/>
          <w:lang w:val="es-ES"/>
        </w:rPr>
        <w:t>disciplinarias. De esta manera, le corresponderá a cada entidad definir la viabilidad técnica, jurídica y financiera de adelantar alguna gestión contractual en específico.</w:t>
      </w:r>
    </w:p>
    <w:p w:rsidRPr="001100D4" w:rsidR="00290C91" w:rsidP="00290C91" w:rsidRDefault="00290C91" w14:paraId="38EE87CB" w14:textId="77777777">
      <w:pPr>
        <w:spacing w:after="0" w:line="276" w:lineRule="auto"/>
        <w:jc w:val="both"/>
        <w:rPr>
          <w:rFonts w:ascii="Verdana" w:hAnsi="Verdana" w:cs="Arial"/>
          <w:lang w:val="es-ES"/>
        </w:rPr>
      </w:pPr>
    </w:p>
    <w:p w:rsidRPr="001100D4" w:rsidR="00290C91" w:rsidP="00290C91" w:rsidRDefault="00290C91" w14:paraId="31DC44AC" w14:textId="77777777">
      <w:pPr>
        <w:spacing w:after="120" w:line="276" w:lineRule="auto"/>
        <w:jc w:val="both"/>
        <w:rPr>
          <w:rFonts w:ascii="Verdana" w:hAnsi="Verdana" w:cs="Arial"/>
          <w:lang w:val="es-ES"/>
        </w:rPr>
      </w:pPr>
      <w:r w:rsidRPr="001100D4">
        <w:rPr>
          <w:rFonts w:ascii="Verdana" w:hAnsi="Verdana" w:cs="Arial"/>
          <w:lang w:val="es-ES"/>
        </w:rPr>
        <w:t xml:space="preserve">ii. </w:t>
      </w:r>
      <w:r w:rsidRPr="00281B6D">
        <w:rPr>
          <w:rFonts w:ascii="Verdana" w:hAnsi="Verdana" w:eastAsia="Arial MT" w:cs="Arial MT"/>
          <w:lang w:val="es-ES"/>
        </w:rPr>
        <w:t>Colombia</w:t>
      </w:r>
      <w:r w:rsidRPr="00281B6D">
        <w:rPr>
          <w:rFonts w:ascii="Verdana" w:hAnsi="Verdana" w:eastAsia="Arial MT" w:cs="Arial MT"/>
          <w:spacing w:val="-1"/>
          <w:lang w:val="es-ES"/>
        </w:rPr>
        <w:t xml:space="preserve"> </w:t>
      </w:r>
      <w:r w:rsidRPr="00281B6D">
        <w:rPr>
          <w:rFonts w:ascii="Verdana" w:hAnsi="Verdana" w:eastAsia="Arial MT" w:cs="Arial MT"/>
          <w:lang w:val="es-ES"/>
        </w:rPr>
        <w:t>es</w:t>
      </w:r>
      <w:r w:rsidRPr="00281B6D">
        <w:rPr>
          <w:rFonts w:ascii="Verdana" w:hAnsi="Verdana" w:eastAsia="Arial MT" w:cs="Arial MT"/>
          <w:spacing w:val="-1"/>
          <w:lang w:val="es-ES"/>
        </w:rPr>
        <w:t xml:space="preserve"> </w:t>
      </w:r>
      <w:r w:rsidRPr="00281B6D">
        <w:rPr>
          <w:rFonts w:ascii="Verdana" w:hAnsi="Verdana" w:eastAsia="Arial MT" w:cs="Arial MT"/>
          <w:lang w:val="es-ES"/>
        </w:rPr>
        <w:t>un</w:t>
      </w:r>
      <w:r w:rsidRPr="00281B6D">
        <w:rPr>
          <w:rFonts w:ascii="Verdana" w:hAnsi="Verdana" w:eastAsia="Arial MT" w:cs="Arial MT"/>
          <w:spacing w:val="-1"/>
          <w:lang w:val="es-ES"/>
        </w:rPr>
        <w:t xml:space="preserve"> </w:t>
      </w:r>
      <w:r w:rsidRPr="00281B6D">
        <w:rPr>
          <w:rFonts w:ascii="Verdana" w:hAnsi="Verdana" w:eastAsia="Arial MT" w:cs="Arial MT"/>
          <w:lang w:val="es-ES"/>
        </w:rPr>
        <w:t>Estado</w:t>
      </w:r>
      <w:r w:rsidRPr="00281B6D">
        <w:rPr>
          <w:rFonts w:ascii="Verdana" w:hAnsi="Verdana" w:eastAsia="Arial MT" w:cs="Arial MT"/>
          <w:spacing w:val="-1"/>
          <w:lang w:val="es-ES"/>
        </w:rPr>
        <w:t xml:space="preserve"> </w:t>
      </w:r>
      <w:r w:rsidRPr="00281B6D">
        <w:rPr>
          <w:rFonts w:ascii="Verdana" w:hAnsi="Verdana" w:eastAsia="Arial MT" w:cs="Arial MT"/>
          <w:lang w:val="es-ES"/>
        </w:rPr>
        <w:t>Social</w:t>
      </w:r>
      <w:r w:rsidRPr="00281B6D">
        <w:rPr>
          <w:rFonts w:ascii="Verdana" w:hAnsi="Verdana" w:eastAsia="Arial MT" w:cs="Arial MT"/>
          <w:spacing w:val="-1"/>
          <w:lang w:val="es-ES"/>
        </w:rPr>
        <w:t xml:space="preserve"> </w:t>
      </w:r>
      <w:r w:rsidRPr="00281B6D">
        <w:rPr>
          <w:rFonts w:ascii="Verdana" w:hAnsi="Verdana" w:eastAsia="Arial MT" w:cs="Arial MT"/>
          <w:lang w:val="es-ES"/>
        </w:rPr>
        <w:t>de</w:t>
      </w:r>
      <w:r w:rsidRPr="00281B6D">
        <w:rPr>
          <w:rFonts w:ascii="Verdana" w:hAnsi="Verdana" w:eastAsia="Arial MT" w:cs="Arial MT"/>
          <w:spacing w:val="-1"/>
          <w:lang w:val="es-ES"/>
        </w:rPr>
        <w:t xml:space="preserve"> </w:t>
      </w:r>
      <w:r w:rsidRPr="00281B6D">
        <w:rPr>
          <w:rFonts w:ascii="Verdana" w:hAnsi="Verdana" w:eastAsia="Arial MT" w:cs="Arial MT"/>
          <w:lang w:val="es-ES"/>
        </w:rPr>
        <w:t>Derecho, fundado</w:t>
      </w:r>
      <w:r w:rsidRPr="00281B6D">
        <w:rPr>
          <w:rFonts w:ascii="Verdana" w:hAnsi="Verdana" w:eastAsia="Arial MT" w:cs="Arial MT"/>
          <w:spacing w:val="-1"/>
          <w:lang w:val="es-ES"/>
        </w:rPr>
        <w:t xml:space="preserve"> </w:t>
      </w:r>
      <w:r w:rsidRPr="00281B6D">
        <w:rPr>
          <w:rFonts w:ascii="Verdana" w:hAnsi="Verdana" w:eastAsia="Arial MT" w:cs="Arial MT"/>
          <w:lang w:val="es-ES"/>
        </w:rPr>
        <w:t>en</w:t>
      </w:r>
      <w:r w:rsidRPr="00281B6D">
        <w:rPr>
          <w:rFonts w:ascii="Verdana" w:hAnsi="Verdana" w:eastAsia="Arial MT" w:cs="Arial MT"/>
          <w:spacing w:val="-1"/>
          <w:lang w:val="es-ES"/>
        </w:rPr>
        <w:t xml:space="preserve"> </w:t>
      </w:r>
      <w:r w:rsidRPr="00281B6D">
        <w:rPr>
          <w:rFonts w:ascii="Verdana" w:hAnsi="Verdana" w:eastAsia="Arial MT" w:cs="Arial MT"/>
          <w:lang w:val="es-ES"/>
        </w:rPr>
        <w:t>el</w:t>
      </w:r>
      <w:r w:rsidRPr="00281B6D">
        <w:rPr>
          <w:rFonts w:ascii="Verdana" w:hAnsi="Verdana" w:eastAsia="Arial MT" w:cs="Arial MT"/>
          <w:spacing w:val="-1"/>
          <w:lang w:val="es-ES"/>
        </w:rPr>
        <w:t xml:space="preserve"> </w:t>
      </w:r>
      <w:r w:rsidRPr="00281B6D">
        <w:rPr>
          <w:rFonts w:ascii="Verdana" w:hAnsi="Verdana" w:eastAsia="Arial MT" w:cs="Arial MT"/>
          <w:lang w:val="es-ES"/>
        </w:rPr>
        <w:t>respeto</w:t>
      </w:r>
      <w:r w:rsidRPr="00281B6D">
        <w:rPr>
          <w:rFonts w:ascii="Verdana" w:hAnsi="Verdana" w:eastAsia="Arial MT" w:cs="Arial MT"/>
          <w:spacing w:val="-1"/>
          <w:lang w:val="es-ES"/>
        </w:rPr>
        <w:t xml:space="preserve"> </w:t>
      </w:r>
      <w:r w:rsidRPr="00281B6D">
        <w:rPr>
          <w:rFonts w:ascii="Verdana" w:hAnsi="Verdana" w:eastAsia="Arial MT" w:cs="Arial MT"/>
          <w:lang w:val="es-ES"/>
        </w:rPr>
        <w:t>por</w:t>
      </w:r>
      <w:r w:rsidRPr="00281B6D">
        <w:rPr>
          <w:rFonts w:ascii="Verdana" w:hAnsi="Verdana" w:eastAsia="Arial MT" w:cs="Arial MT"/>
          <w:spacing w:val="-1"/>
          <w:lang w:val="es-ES"/>
        </w:rPr>
        <w:t xml:space="preserve"> </w:t>
      </w:r>
      <w:r w:rsidRPr="00281B6D">
        <w:rPr>
          <w:rFonts w:ascii="Verdana" w:hAnsi="Verdana" w:eastAsia="Arial MT" w:cs="Arial MT"/>
          <w:lang w:val="es-ES"/>
        </w:rPr>
        <w:t>la</w:t>
      </w:r>
      <w:r w:rsidRPr="00281B6D">
        <w:rPr>
          <w:rFonts w:ascii="Verdana" w:hAnsi="Verdana" w:eastAsia="Arial MT" w:cs="Arial MT"/>
          <w:spacing w:val="-1"/>
          <w:lang w:val="es-ES"/>
        </w:rPr>
        <w:t xml:space="preserve"> </w:t>
      </w:r>
      <w:r w:rsidRPr="00281B6D">
        <w:rPr>
          <w:rFonts w:ascii="Verdana" w:hAnsi="Verdana" w:eastAsia="Arial MT" w:cs="Arial MT"/>
          <w:lang w:val="es-ES"/>
        </w:rPr>
        <w:t>dignidad</w:t>
      </w:r>
      <w:r w:rsidRPr="00281B6D">
        <w:rPr>
          <w:rFonts w:ascii="Verdana" w:hAnsi="Verdana" w:eastAsia="Arial MT" w:cs="Arial MT"/>
          <w:spacing w:val="-1"/>
          <w:lang w:val="es-ES"/>
        </w:rPr>
        <w:t xml:space="preserve"> </w:t>
      </w:r>
      <w:r w:rsidRPr="00281B6D">
        <w:rPr>
          <w:rFonts w:ascii="Verdana" w:hAnsi="Verdana" w:eastAsia="Arial MT" w:cs="Arial MT"/>
          <w:lang w:val="es-ES"/>
        </w:rPr>
        <w:t>humana, en</w:t>
      </w:r>
      <w:r w:rsidRPr="00281B6D">
        <w:rPr>
          <w:rFonts w:ascii="Verdana" w:hAnsi="Verdana" w:eastAsia="Arial MT" w:cs="Arial MT"/>
          <w:spacing w:val="-1"/>
          <w:lang w:val="es-ES"/>
        </w:rPr>
        <w:t xml:space="preserve"> </w:t>
      </w:r>
      <w:r w:rsidRPr="00281B6D">
        <w:rPr>
          <w:rFonts w:ascii="Verdana" w:hAnsi="Verdana" w:eastAsia="Arial MT" w:cs="Arial MT"/>
          <w:lang w:val="es-ES"/>
        </w:rPr>
        <w:t>el</w:t>
      </w:r>
      <w:r w:rsidRPr="00281B6D">
        <w:rPr>
          <w:rFonts w:ascii="Verdana" w:hAnsi="Verdana" w:eastAsia="Arial MT" w:cs="Arial MT"/>
          <w:spacing w:val="-1"/>
          <w:lang w:val="es-ES"/>
        </w:rPr>
        <w:t xml:space="preserve"> </w:t>
      </w:r>
      <w:r w:rsidRPr="00281B6D">
        <w:rPr>
          <w:rFonts w:ascii="Verdana" w:hAnsi="Verdana" w:eastAsia="Arial MT" w:cs="Arial MT"/>
          <w:lang w:val="es-ES"/>
        </w:rPr>
        <w:t>trabajo y</w:t>
      </w:r>
      <w:r w:rsidRPr="00281B6D">
        <w:rPr>
          <w:rFonts w:ascii="Verdana" w:hAnsi="Verdana" w:eastAsia="Arial MT" w:cs="Arial MT"/>
          <w:spacing w:val="-1"/>
          <w:lang w:val="es-ES"/>
        </w:rPr>
        <w:t xml:space="preserve"> </w:t>
      </w:r>
      <w:r w:rsidRPr="00281B6D">
        <w:rPr>
          <w:rFonts w:ascii="Verdana" w:hAnsi="Verdana" w:eastAsia="Arial MT" w:cs="Arial MT"/>
          <w:lang w:val="es-ES"/>
        </w:rPr>
        <w:t>la</w:t>
      </w:r>
      <w:r w:rsidRPr="00281B6D">
        <w:rPr>
          <w:rFonts w:ascii="Verdana" w:hAnsi="Verdana" w:eastAsia="Arial MT" w:cs="Arial MT"/>
          <w:spacing w:val="-1"/>
          <w:lang w:val="es-ES"/>
        </w:rPr>
        <w:t xml:space="preserve"> </w:t>
      </w:r>
      <w:r w:rsidRPr="00281B6D">
        <w:rPr>
          <w:rFonts w:ascii="Verdana" w:hAnsi="Verdana" w:eastAsia="Arial MT" w:cs="Arial MT"/>
          <w:lang w:val="es-ES"/>
        </w:rPr>
        <w:t>solidaridad de</w:t>
      </w:r>
      <w:r w:rsidRPr="00281B6D">
        <w:rPr>
          <w:rFonts w:ascii="Verdana" w:hAnsi="Verdana" w:eastAsia="Arial MT" w:cs="Arial MT"/>
          <w:spacing w:val="-1"/>
          <w:lang w:val="es-ES"/>
        </w:rPr>
        <w:t xml:space="preserve"> </w:t>
      </w:r>
      <w:r w:rsidRPr="00281B6D">
        <w:rPr>
          <w:rFonts w:ascii="Verdana" w:hAnsi="Verdana" w:eastAsia="Arial MT" w:cs="Arial MT"/>
          <w:lang w:val="es-ES"/>
        </w:rPr>
        <w:t>las</w:t>
      </w:r>
      <w:r w:rsidRPr="00281B6D">
        <w:rPr>
          <w:rFonts w:ascii="Verdana" w:hAnsi="Verdana" w:eastAsia="Arial MT" w:cs="Arial MT"/>
          <w:spacing w:val="-1"/>
          <w:lang w:val="es-ES"/>
        </w:rPr>
        <w:t xml:space="preserve"> </w:t>
      </w:r>
      <w:r w:rsidRPr="00281B6D">
        <w:rPr>
          <w:rFonts w:ascii="Verdana" w:hAnsi="Verdana" w:eastAsia="Arial MT" w:cs="Arial MT"/>
          <w:lang w:val="es-ES"/>
        </w:rPr>
        <w:t>personas</w:t>
      </w:r>
      <w:r w:rsidRPr="00281B6D">
        <w:rPr>
          <w:rFonts w:ascii="Verdana" w:hAnsi="Verdana" w:eastAsia="Arial MT" w:cs="Arial MT"/>
          <w:spacing w:val="-1"/>
          <w:lang w:val="es-ES"/>
        </w:rPr>
        <w:t xml:space="preserve"> </w:t>
      </w:r>
      <w:r w:rsidRPr="00281B6D">
        <w:rPr>
          <w:rFonts w:ascii="Verdana" w:hAnsi="Verdana" w:eastAsia="Arial MT" w:cs="Arial MT"/>
          <w:lang w:val="es-ES"/>
        </w:rPr>
        <w:t>que</w:t>
      </w:r>
      <w:r w:rsidRPr="00281B6D">
        <w:rPr>
          <w:rFonts w:ascii="Verdana" w:hAnsi="Verdana" w:eastAsia="Arial MT" w:cs="Arial MT"/>
          <w:spacing w:val="-1"/>
          <w:lang w:val="es-ES"/>
        </w:rPr>
        <w:t xml:space="preserve"> </w:t>
      </w:r>
      <w:r w:rsidRPr="00281B6D">
        <w:rPr>
          <w:rFonts w:ascii="Verdana" w:hAnsi="Verdana" w:eastAsia="Arial MT" w:cs="Arial MT"/>
          <w:lang w:val="es-ES"/>
        </w:rPr>
        <w:t>integran</w:t>
      </w:r>
      <w:r w:rsidRPr="00281B6D">
        <w:rPr>
          <w:rFonts w:ascii="Verdana" w:hAnsi="Verdana" w:eastAsia="Arial MT" w:cs="Arial MT"/>
          <w:spacing w:val="-1"/>
          <w:lang w:val="es-ES"/>
        </w:rPr>
        <w:t xml:space="preserve"> </w:t>
      </w:r>
      <w:r w:rsidRPr="00281B6D">
        <w:rPr>
          <w:rFonts w:ascii="Verdana" w:hAnsi="Verdana" w:eastAsia="Arial MT" w:cs="Arial MT"/>
          <w:lang w:val="es-ES"/>
        </w:rPr>
        <w:t>la</w:t>
      </w:r>
      <w:r w:rsidRPr="00281B6D">
        <w:rPr>
          <w:rFonts w:ascii="Verdana" w:hAnsi="Verdana" w:eastAsia="Arial MT" w:cs="Arial MT"/>
          <w:spacing w:val="-1"/>
          <w:lang w:val="es-ES"/>
        </w:rPr>
        <w:t xml:space="preserve"> </w:t>
      </w:r>
      <w:r w:rsidRPr="00281B6D">
        <w:rPr>
          <w:rFonts w:ascii="Verdana" w:hAnsi="Verdana" w:eastAsia="Arial MT" w:cs="Arial MT"/>
          <w:lang w:val="es-ES"/>
        </w:rPr>
        <w:t>República</w:t>
      </w:r>
      <w:r w:rsidRPr="00281B6D">
        <w:rPr>
          <w:rFonts w:ascii="Verdana" w:hAnsi="Verdana" w:eastAsia="Arial MT" w:cs="Arial MT"/>
          <w:spacing w:val="-1"/>
          <w:lang w:val="es-ES"/>
        </w:rPr>
        <w:t xml:space="preserve"> </w:t>
      </w:r>
      <w:r w:rsidRPr="00281B6D">
        <w:rPr>
          <w:rFonts w:ascii="Verdana" w:hAnsi="Verdana" w:eastAsia="Arial MT" w:cs="Arial MT"/>
          <w:lang w:val="es-ES"/>
        </w:rPr>
        <w:t>y</w:t>
      </w:r>
      <w:r w:rsidRPr="00281B6D">
        <w:rPr>
          <w:rFonts w:ascii="Verdana" w:hAnsi="Verdana" w:eastAsia="Arial MT" w:cs="Arial MT"/>
          <w:spacing w:val="-1"/>
          <w:lang w:val="es-ES"/>
        </w:rPr>
        <w:t xml:space="preserve"> </w:t>
      </w:r>
      <w:r w:rsidRPr="00281B6D">
        <w:rPr>
          <w:rFonts w:ascii="Verdana" w:hAnsi="Verdana" w:eastAsia="Arial MT" w:cs="Arial MT"/>
          <w:lang w:val="es-ES"/>
        </w:rPr>
        <w:t>en</w:t>
      </w:r>
      <w:r w:rsidRPr="00281B6D">
        <w:rPr>
          <w:rFonts w:ascii="Verdana" w:hAnsi="Verdana" w:eastAsia="Arial MT" w:cs="Arial MT"/>
          <w:spacing w:val="-1"/>
          <w:lang w:val="es-ES"/>
        </w:rPr>
        <w:t xml:space="preserve"> </w:t>
      </w:r>
      <w:r w:rsidRPr="00281B6D">
        <w:rPr>
          <w:rFonts w:ascii="Verdana" w:hAnsi="Verdana" w:eastAsia="Arial MT" w:cs="Arial MT"/>
          <w:lang w:val="es-ES"/>
        </w:rPr>
        <w:t>la</w:t>
      </w:r>
      <w:r w:rsidRPr="00281B6D">
        <w:rPr>
          <w:rFonts w:ascii="Verdana" w:hAnsi="Verdana" w:eastAsia="Arial MT" w:cs="Arial MT"/>
          <w:spacing w:val="-1"/>
          <w:lang w:val="es-ES"/>
        </w:rPr>
        <w:t xml:space="preserve"> </w:t>
      </w:r>
      <w:r w:rsidRPr="00281B6D">
        <w:rPr>
          <w:rFonts w:ascii="Verdana" w:hAnsi="Verdana" w:eastAsia="Arial MT" w:cs="Arial MT"/>
          <w:lang w:val="es-ES"/>
        </w:rPr>
        <w:t>prevalencia del interés general</w:t>
      </w:r>
      <w:r w:rsidRPr="00281B6D">
        <w:rPr>
          <w:rFonts w:ascii="Verdana" w:hAnsi="Verdana" w:eastAsia="Arial MT" w:cs="Arial MT"/>
          <w:vertAlign w:val="superscript"/>
          <w:lang w:val="es-ES"/>
        </w:rPr>
        <w:t>18</w:t>
      </w:r>
      <w:r w:rsidRPr="00281B6D">
        <w:rPr>
          <w:rFonts w:ascii="Verdana" w:hAnsi="Verdana" w:eastAsia="Arial MT" w:cs="Arial MT"/>
          <w:lang w:val="es-ES"/>
        </w:rPr>
        <w:t>, por la anterior razón, los extranjeros gozarán en el territorio de la República,</w:t>
      </w:r>
      <w:r w:rsidRPr="00281B6D">
        <w:rPr>
          <w:rFonts w:ascii="Verdana" w:hAnsi="Verdana" w:eastAsia="Arial MT" w:cs="Arial MT"/>
          <w:spacing w:val="-8"/>
          <w:lang w:val="es-ES"/>
        </w:rPr>
        <w:t xml:space="preserve"> </w:t>
      </w:r>
      <w:r w:rsidRPr="00281B6D">
        <w:rPr>
          <w:rFonts w:ascii="Verdana" w:hAnsi="Verdana" w:eastAsia="Arial MT" w:cs="Arial MT"/>
          <w:lang w:val="es-ES"/>
        </w:rPr>
        <w:t>de</w:t>
      </w:r>
      <w:r w:rsidRPr="00281B6D">
        <w:rPr>
          <w:rFonts w:ascii="Verdana" w:hAnsi="Verdana" w:eastAsia="Arial MT" w:cs="Arial MT"/>
          <w:spacing w:val="-11"/>
          <w:lang w:val="es-ES"/>
        </w:rPr>
        <w:t xml:space="preserve"> </w:t>
      </w:r>
      <w:r w:rsidRPr="00281B6D">
        <w:rPr>
          <w:rFonts w:ascii="Verdana" w:hAnsi="Verdana" w:eastAsia="Arial MT" w:cs="Arial MT"/>
          <w:lang w:val="es-ES"/>
        </w:rPr>
        <w:t>las</w:t>
      </w:r>
      <w:r w:rsidRPr="00281B6D">
        <w:rPr>
          <w:rFonts w:ascii="Verdana" w:hAnsi="Verdana" w:eastAsia="Arial MT" w:cs="Arial MT"/>
          <w:spacing w:val="-11"/>
          <w:lang w:val="es-ES"/>
        </w:rPr>
        <w:t xml:space="preserve"> </w:t>
      </w:r>
      <w:r w:rsidRPr="00281B6D">
        <w:rPr>
          <w:rFonts w:ascii="Verdana" w:hAnsi="Verdana" w:eastAsia="Arial MT" w:cs="Arial MT"/>
          <w:lang w:val="es-ES"/>
        </w:rPr>
        <w:t>mismas</w:t>
      </w:r>
      <w:r w:rsidRPr="00281B6D">
        <w:rPr>
          <w:rFonts w:ascii="Verdana" w:hAnsi="Verdana" w:eastAsia="Arial MT" w:cs="Arial MT"/>
          <w:spacing w:val="-11"/>
          <w:lang w:val="es-ES"/>
        </w:rPr>
        <w:t xml:space="preserve"> </w:t>
      </w:r>
      <w:r w:rsidRPr="00281B6D">
        <w:rPr>
          <w:rFonts w:ascii="Verdana" w:hAnsi="Verdana" w:eastAsia="Arial MT" w:cs="Arial MT"/>
          <w:lang w:val="es-ES"/>
        </w:rPr>
        <w:t>garantías</w:t>
      </w:r>
      <w:r w:rsidRPr="00281B6D">
        <w:rPr>
          <w:rFonts w:ascii="Verdana" w:hAnsi="Verdana" w:eastAsia="Arial MT" w:cs="Arial MT"/>
          <w:spacing w:val="-10"/>
          <w:lang w:val="es-ES"/>
        </w:rPr>
        <w:t xml:space="preserve"> </w:t>
      </w:r>
      <w:r w:rsidRPr="00281B6D">
        <w:rPr>
          <w:rFonts w:ascii="Verdana" w:hAnsi="Verdana" w:eastAsia="Arial MT" w:cs="Arial MT"/>
          <w:lang w:val="es-ES"/>
        </w:rPr>
        <w:t>concedidas</w:t>
      </w:r>
      <w:r w:rsidRPr="00281B6D">
        <w:rPr>
          <w:rFonts w:ascii="Verdana" w:hAnsi="Verdana" w:eastAsia="Arial MT" w:cs="Arial MT"/>
          <w:spacing w:val="-10"/>
          <w:lang w:val="es-ES"/>
        </w:rPr>
        <w:t xml:space="preserve"> </w:t>
      </w:r>
      <w:r w:rsidRPr="00281B6D">
        <w:rPr>
          <w:rFonts w:ascii="Verdana" w:hAnsi="Verdana" w:eastAsia="Arial MT" w:cs="Arial MT"/>
          <w:lang w:val="es-ES"/>
        </w:rPr>
        <w:t>a</w:t>
      </w:r>
      <w:r w:rsidRPr="00281B6D">
        <w:rPr>
          <w:rFonts w:ascii="Verdana" w:hAnsi="Verdana" w:eastAsia="Arial MT" w:cs="Arial MT"/>
          <w:spacing w:val="-11"/>
          <w:lang w:val="es-ES"/>
        </w:rPr>
        <w:t xml:space="preserve"> </w:t>
      </w:r>
      <w:r w:rsidRPr="00281B6D">
        <w:rPr>
          <w:rFonts w:ascii="Verdana" w:hAnsi="Verdana" w:eastAsia="Arial MT" w:cs="Arial MT"/>
          <w:lang w:val="es-ES"/>
        </w:rPr>
        <w:t>los</w:t>
      </w:r>
      <w:r w:rsidRPr="00281B6D">
        <w:rPr>
          <w:rFonts w:ascii="Verdana" w:hAnsi="Verdana" w:eastAsia="Arial MT" w:cs="Arial MT"/>
          <w:spacing w:val="-11"/>
          <w:lang w:val="es-ES"/>
        </w:rPr>
        <w:t xml:space="preserve"> </w:t>
      </w:r>
      <w:r w:rsidRPr="00281B6D">
        <w:rPr>
          <w:rFonts w:ascii="Verdana" w:hAnsi="Verdana" w:eastAsia="Arial MT" w:cs="Arial MT"/>
          <w:lang w:val="es-ES"/>
        </w:rPr>
        <w:t>nacionales,</w:t>
      </w:r>
      <w:r w:rsidRPr="00281B6D">
        <w:rPr>
          <w:rFonts w:ascii="Verdana" w:hAnsi="Verdana" w:eastAsia="Arial MT" w:cs="Arial MT"/>
          <w:spacing w:val="-8"/>
          <w:lang w:val="es-ES"/>
        </w:rPr>
        <w:t xml:space="preserve"> </w:t>
      </w:r>
      <w:r w:rsidRPr="00281B6D">
        <w:rPr>
          <w:rFonts w:ascii="Verdana" w:hAnsi="Verdana" w:eastAsia="Arial MT" w:cs="Arial MT"/>
          <w:lang w:val="es-ES"/>
        </w:rPr>
        <w:t>salvo</w:t>
      </w:r>
      <w:r w:rsidRPr="00281B6D">
        <w:rPr>
          <w:rFonts w:ascii="Verdana" w:hAnsi="Verdana" w:eastAsia="Arial MT" w:cs="Arial MT"/>
          <w:spacing w:val="-10"/>
          <w:lang w:val="es-ES"/>
        </w:rPr>
        <w:t xml:space="preserve"> </w:t>
      </w:r>
      <w:r w:rsidRPr="00281B6D">
        <w:rPr>
          <w:rFonts w:ascii="Verdana" w:hAnsi="Verdana" w:eastAsia="Arial MT" w:cs="Arial MT"/>
          <w:lang w:val="es-ES"/>
        </w:rPr>
        <w:t>las</w:t>
      </w:r>
      <w:r w:rsidRPr="00281B6D">
        <w:rPr>
          <w:rFonts w:ascii="Verdana" w:hAnsi="Verdana" w:eastAsia="Arial MT" w:cs="Arial MT"/>
          <w:spacing w:val="-11"/>
          <w:lang w:val="es-ES"/>
        </w:rPr>
        <w:t xml:space="preserve"> </w:t>
      </w:r>
      <w:r w:rsidRPr="00281B6D">
        <w:rPr>
          <w:rFonts w:ascii="Verdana" w:hAnsi="Verdana" w:eastAsia="Arial MT" w:cs="Arial MT"/>
          <w:lang w:val="es-ES"/>
        </w:rPr>
        <w:t>limitaciones</w:t>
      </w:r>
      <w:r w:rsidRPr="00281B6D">
        <w:rPr>
          <w:rFonts w:ascii="Verdana" w:hAnsi="Verdana" w:eastAsia="Arial MT" w:cs="Arial MT"/>
          <w:spacing w:val="-10"/>
          <w:lang w:val="es-ES"/>
        </w:rPr>
        <w:t xml:space="preserve"> </w:t>
      </w:r>
      <w:r w:rsidRPr="00281B6D">
        <w:rPr>
          <w:rFonts w:ascii="Verdana" w:hAnsi="Verdana" w:eastAsia="Arial MT" w:cs="Arial MT"/>
          <w:lang w:val="es-ES"/>
        </w:rPr>
        <w:t>que establezca</w:t>
      </w:r>
      <w:r w:rsidRPr="00281B6D">
        <w:rPr>
          <w:rFonts w:ascii="Verdana" w:hAnsi="Verdana" w:eastAsia="Arial MT" w:cs="Arial MT"/>
          <w:spacing w:val="-3"/>
          <w:lang w:val="es-ES"/>
        </w:rPr>
        <w:t xml:space="preserve"> </w:t>
      </w:r>
      <w:r w:rsidRPr="00281B6D">
        <w:rPr>
          <w:rFonts w:ascii="Verdana" w:hAnsi="Verdana" w:eastAsia="Arial MT" w:cs="Arial MT"/>
          <w:lang w:val="es-ES"/>
        </w:rPr>
        <w:t>el</w:t>
      </w:r>
      <w:r w:rsidRPr="00281B6D">
        <w:rPr>
          <w:rFonts w:ascii="Verdana" w:hAnsi="Verdana" w:eastAsia="Arial MT" w:cs="Arial MT"/>
          <w:spacing w:val="-4"/>
          <w:lang w:val="es-ES"/>
        </w:rPr>
        <w:t xml:space="preserve"> </w:t>
      </w:r>
      <w:r w:rsidRPr="00281B6D">
        <w:rPr>
          <w:rFonts w:ascii="Verdana" w:hAnsi="Verdana" w:eastAsia="Arial MT" w:cs="Arial MT"/>
          <w:lang w:val="es-ES"/>
        </w:rPr>
        <w:t>ordenamiento</w:t>
      </w:r>
      <w:r w:rsidRPr="00281B6D">
        <w:rPr>
          <w:rFonts w:ascii="Verdana" w:hAnsi="Verdana" w:eastAsia="Arial MT" w:cs="Arial MT"/>
          <w:spacing w:val="40"/>
          <w:lang w:val="es-ES"/>
        </w:rPr>
        <w:t xml:space="preserve"> </w:t>
      </w:r>
      <w:r w:rsidRPr="00281B6D">
        <w:rPr>
          <w:rFonts w:ascii="Verdana" w:hAnsi="Verdana" w:eastAsia="Arial MT" w:cs="Arial MT"/>
          <w:lang w:val="es-ES"/>
        </w:rPr>
        <w:t>jurídico.</w:t>
      </w:r>
      <w:r w:rsidRPr="00281B6D">
        <w:rPr>
          <w:rFonts w:ascii="Verdana" w:hAnsi="Verdana" w:eastAsia="Arial MT" w:cs="Arial MT"/>
          <w:spacing w:val="-4"/>
          <w:lang w:val="es-ES"/>
        </w:rPr>
        <w:t xml:space="preserve"> </w:t>
      </w:r>
      <w:r w:rsidRPr="00281B6D">
        <w:rPr>
          <w:rFonts w:ascii="Verdana" w:hAnsi="Verdana" w:eastAsia="Arial MT" w:cs="Arial MT"/>
          <w:lang w:val="es-ES"/>
        </w:rPr>
        <w:t>Bajo</w:t>
      </w:r>
      <w:r w:rsidRPr="00281B6D">
        <w:rPr>
          <w:rFonts w:ascii="Verdana" w:hAnsi="Verdana" w:eastAsia="Arial MT" w:cs="Arial MT"/>
          <w:spacing w:val="-3"/>
          <w:lang w:val="es-ES"/>
        </w:rPr>
        <w:t xml:space="preserve"> </w:t>
      </w:r>
      <w:r w:rsidRPr="00281B6D">
        <w:rPr>
          <w:rFonts w:ascii="Verdana" w:hAnsi="Verdana" w:eastAsia="Arial MT" w:cs="Arial MT"/>
          <w:lang w:val="es-ES"/>
        </w:rPr>
        <w:t>el</w:t>
      </w:r>
      <w:r w:rsidRPr="00281B6D">
        <w:rPr>
          <w:rFonts w:ascii="Verdana" w:hAnsi="Verdana" w:eastAsia="Arial MT" w:cs="Arial MT"/>
          <w:spacing w:val="-4"/>
          <w:lang w:val="es-ES"/>
        </w:rPr>
        <w:t xml:space="preserve"> </w:t>
      </w:r>
      <w:r w:rsidRPr="00281B6D">
        <w:rPr>
          <w:rFonts w:ascii="Verdana" w:hAnsi="Verdana" w:eastAsia="Arial MT" w:cs="Arial MT"/>
          <w:lang w:val="es-ES"/>
        </w:rPr>
        <w:t>contexto</w:t>
      </w:r>
      <w:r w:rsidRPr="00281B6D">
        <w:rPr>
          <w:rFonts w:ascii="Verdana" w:hAnsi="Verdana" w:eastAsia="Arial MT" w:cs="Arial MT"/>
          <w:spacing w:val="-2"/>
          <w:lang w:val="es-ES"/>
        </w:rPr>
        <w:t xml:space="preserve"> </w:t>
      </w:r>
      <w:r w:rsidRPr="00281B6D">
        <w:rPr>
          <w:rFonts w:ascii="Verdana" w:hAnsi="Verdana" w:eastAsia="Arial MT" w:cs="Arial MT"/>
          <w:lang w:val="es-ES"/>
        </w:rPr>
        <w:t>establecido</w:t>
      </w:r>
      <w:r w:rsidRPr="00281B6D">
        <w:rPr>
          <w:rFonts w:ascii="Verdana" w:hAnsi="Verdana" w:eastAsia="Arial MT" w:cs="Arial MT"/>
          <w:spacing w:val="-1"/>
          <w:lang w:val="es-ES"/>
        </w:rPr>
        <w:t xml:space="preserve"> </w:t>
      </w:r>
      <w:r w:rsidRPr="00281B6D">
        <w:rPr>
          <w:rFonts w:ascii="Verdana" w:hAnsi="Verdana" w:eastAsia="Arial MT" w:cs="Arial MT"/>
          <w:lang w:val="es-ES"/>
        </w:rPr>
        <w:t>anteriormente, el</w:t>
      </w:r>
      <w:r w:rsidRPr="00281B6D">
        <w:rPr>
          <w:rFonts w:ascii="Verdana" w:hAnsi="Verdana" w:eastAsia="Arial MT" w:cs="Arial MT"/>
          <w:spacing w:val="-4"/>
          <w:lang w:val="es-ES"/>
        </w:rPr>
        <w:t xml:space="preserve"> </w:t>
      </w:r>
      <w:r w:rsidRPr="00281B6D">
        <w:rPr>
          <w:rFonts w:ascii="Verdana" w:hAnsi="Verdana" w:eastAsia="Arial MT" w:cs="Arial MT"/>
          <w:lang w:val="es-ES"/>
        </w:rPr>
        <w:t>13</w:t>
      </w:r>
      <w:r w:rsidRPr="00281B6D">
        <w:rPr>
          <w:rFonts w:ascii="Verdana" w:hAnsi="Verdana" w:eastAsia="Arial MT" w:cs="Arial MT"/>
          <w:spacing w:val="-4"/>
          <w:lang w:val="es-ES"/>
        </w:rPr>
        <w:t xml:space="preserve"> </w:t>
      </w:r>
      <w:r w:rsidRPr="00281B6D">
        <w:rPr>
          <w:rFonts w:ascii="Verdana" w:hAnsi="Verdana" w:eastAsia="Arial MT" w:cs="Arial MT"/>
          <w:lang w:val="es-ES"/>
        </w:rPr>
        <w:t>de julio</w:t>
      </w:r>
      <w:r w:rsidRPr="00281B6D">
        <w:rPr>
          <w:rFonts w:ascii="Verdana" w:hAnsi="Verdana" w:eastAsia="Arial MT" w:cs="Arial MT"/>
          <w:spacing w:val="-13"/>
          <w:lang w:val="es-ES"/>
        </w:rPr>
        <w:t xml:space="preserve"> </w:t>
      </w:r>
      <w:r w:rsidRPr="00281B6D">
        <w:rPr>
          <w:rFonts w:ascii="Verdana" w:hAnsi="Verdana" w:eastAsia="Arial MT" w:cs="Arial MT"/>
          <w:lang w:val="es-ES"/>
        </w:rPr>
        <w:t>de</w:t>
      </w:r>
      <w:r w:rsidRPr="00281B6D">
        <w:rPr>
          <w:rFonts w:ascii="Verdana" w:hAnsi="Verdana" w:eastAsia="Arial MT" w:cs="Arial MT"/>
          <w:spacing w:val="-14"/>
          <w:lang w:val="es-ES"/>
        </w:rPr>
        <w:t xml:space="preserve"> </w:t>
      </w:r>
      <w:r w:rsidRPr="00281B6D">
        <w:rPr>
          <w:rFonts w:ascii="Verdana" w:hAnsi="Verdana" w:eastAsia="Arial MT" w:cs="Arial MT"/>
          <w:lang w:val="es-ES"/>
        </w:rPr>
        <w:t>1994</w:t>
      </w:r>
      <w:r w:rsidRPr="00281B6D">
        <w:rPr>
          <w:rFonts w:ascii="Verdana" w:hAnsi="Verdana" w:eastAsia="Arial MT" w:cs="Arial MT"/>
          <w:spacing w:val="-14"/>
          <w:lang w:val="es-ES"/>
        </w:rPr>
        <w:t xml:space="preserve"> </w:t>
      </w:r>
      <w:r w:rsidRPr="00281B6D">
        <w:rPr>
          <w:rFonts w:ascii="Verdana" w:hAnsi="Verdana" w:eastAsia="Arial MT" w:cs="Arial MT"/>
          <w:lang w:val="es-ES"/>
        </w:rPr>
        <w:t>se</w:t>
      </w:r>
      <w:r w:rsidRPr="00281B6D">
        <w:rPr>
          <w:rFonts w:ascii="Verdana" w:hAnsi="Verdana" w:eastAsia="Arial MT" w:cs="Arial MT"/>
          <w:spacing w:val="-14"/>
          <w:lang w:val="es-ES"/>
        </w:rPr>
        <w:t xml:space="preserve"> </w:t>
      </w:r>
      <w:r w:rsidRPr="00281B6D">
        <w:rPr>
          <w:rFonts w:ascii="Verdana" w:hAnsi="Verdana" w:eastAsia="Arial MT" w:cs="Arial MT"/>
          <w:lang w:val="es-ES"/>
        </w:rPr>
        <w:t>promulgó</w:t>
      </w:r>
      <w:r w:rsidRPr="00281B6D">
        <w:rPr>
          <w:rFonts w:ascii="Verdana" w:hAnsi="Verdana" w:eastAsia="Arial MT" w:cs="Arial MT"/>
          <w:spacing w:val="-13"/>
          <w:lang w:val="es-ES"/>
        </w:rPr>
        <w:t xml:space="preserve"> </w:t>
      </w:r>
      <w:r w:rsidRPr="00281B6D">
        <w:rPr>
          <w:rFonts w:ascii="Verdana" w:hAnsi="Verdana" w:eastAsia="Arial MT" w:cs="Arial MT"/>
          <w:lang w:val="es-ES"/>
        </w:rPr>
        <w:t>la</w:t>
      </w:r>
      <w:r w:rsidRPr="00281B6D">
        <w:rPr>
          <w:rFonts w:ascii="Verdana" w:hAnsi="Verdana" w:eastAsia="Arial MT" w:cs="Arial MT"/>
          <w:spacing w:val="-14"/>
          <w:lang w:val="es-ES"/>
        </w:rPr>
        <w:t xml:space="preserve"> </w:t>
      </w:r>
      <w:r w:rsidRPr="00281B6D">
        <w:rPr>
          <w:rFonts w:ascii="Verdana" w:hAnsi="Verdana" w:eastAsia="Arial MT" w:cs="Arial MT"/>
          <w:lang w:val="es-ES"/>
        </w:rPr>
        <w:t>Ley</w:t>
      </w:r>
      <w:r w:rsidRPr="00281B6D">
        <w:rPr>
          <w:rFonts w:ascii="Verdana" w:hAnsi="Verdana" w:eastAsia="Arial MT" w:cs="Arial MT"/>
          <w:spacing w:val="-14"/>
          <w:lang w:val="es-ES"/>
        </w:rPr>
        <w:t xml:space="preserve"> </w:t>
      </w:r>
      <w:r w:rsidRPr="00281B6D">
        <w:rPr>
          <w:rFonts w:ascii="Verdana" w:hAnsi="Verdana" w:eastAsia="Arial MT" w:cs="Arial MT"/>
          <w:lang w:val="es-ES"/>
        </w:rPr>
        <w:t>146</w:t>
      </w:r>
      <w:r w:rsidRPr="00281B6D">
        <w:rPr>
          <w:rFonts w:ascii="Verdana" w:hAnsi="Verdana" w:eastAsia="Arial MT" w:cs="Arial MT"/>
          <w:spacing w:val="-14"/>
          <w:lang w:val="es-ES"/>
        </w:rPr>
        <w:t xml:space="preserve"> </w:t>
      </w:r>
      <w:r w:rsidRPr="00281B6D">
        <w:rPr>
          <w:rFonts w:ascii="Verdana" w:hAnsi="Verdana" w:eastAsia="Arial MT" w:cs="Arial MT"/>
          <w:lang w:val="es-ES"/>
        </w:rPr>
        <w:t>de</w:t>
      </w:r>
      <w:r w:rsidRPr="00281B6D">
        <w:rPr>
          <w:rFonts w:ascii="Verdana" w:hAnsi="Verdana" w:eastAsia="Arial MT" w:cs="Arial MT"/>
          <w:spacing w:val="-14"/>
          <w:lang w:val="es-ES"/>
        </w:rPr>
        <w:t xml:space="preserve"> </w:t>
      </w:r>
      <w:r w:rsidRPr="00281B6D">
        <w:rPr>
          <w:rFonts w:ascii="Verdana" w:hAnsi="Verdana" w:eastAsia="Arial MT" w:cs="Arial MT"/>
          <w:lang w:val="es-ES"/>
        </w:rPr>
        <w:t>1994</w:t>
      </w:r>
      <w:r w:rsidRPr="00281B6D">
        <w:rPr>
          <w:rFonts w:ascii="Verdana" w:hAnsi="Verdana" w:eastAsia="Arial MT" w:cs="Arial MT"/>
          <w:spacing w:val="-14"/>
          <w:lang w:val="es-ES"/>
        </w:rPr>
        <w:t xml:space="preserve"> </w:t>
      </w:r>
      <w:r w:rsidRPr="00281B6D">
        <w:rPr>
          <w:rFonts w:ascii="Verdana" w:hAnsi="Verdana" w:eastAsia="Arial MT" w:cs="Arial MT"/>
          <w:lang w:val="es-ES"/>
        </w:rPr>
        <w:t>“Por</w:t>
      </w:r>
      <w:r w:rsidRPr="00281B6D">
        <w:rPr>
          <w:rFonts w:ascii="Verdana" w:hAnsi="Verdana" w:eastAsia="Arial MT" w:cs="Arial MT"/>
          <w:spacing w:val="-14"/>
          <w:lang w:val="es-ES"/>
        </w:rPr>
        <w:t xml:space="preserve"> </w:t>
      </w:r>
      <w:r w:rsidRPr="00281B6D">
        <w:rPr>
          <w:rFonts w:ascii="Verdana" w:hAnsi="Verdana" w:eastAsia="Arial MT" w:cs="Arial MT"/>
          <w:lang w:val="es-ES"/>
        </w:rPr>
        <w:t>medio</w:t>
      </w:r>
      <w:r w:rsidRPr="00281B6D">
        <w:rPr>
          <w:rFonts w:ascii="Verdana" w:hAnsi="Verdana" w:eastAsia="Arial MT" w:cs="Arial MT"/>
          <w:spacing w:val="-13"/>
          <w:lang w:val="es-ES"/>
        </w:rPr>
        <w:t xml:space="preserve"> </w:t>
      </w:r>
      <w:r w:rsidRPr="00281B6D">
        <w:rPr>
          <w:rFonts w:ascii="Verdana" w:hAnsi="Verdana" w:eastAsia="Arial MT" w:cs="Arial MT"/>
          <w:lang w:val="es-ES"/>
        </w:rPr>
        <w:t>del</w:t>
      </w:r>
      <w:r w:rsidRPr="00281B6D">
        <w:rPr>
          <w:rFonts w:ascii="Verdana" w:hAnsi="Verdana" w:eastAsia="Arial MT" w:cs="Arial MT"/>
          <w:spacing w:val="-14"/>
          <w:lang w:val="es-ES"/>
        </w:rPr>
        <w:t xml:space="preserve"> </w:t>
      </w:r>
      <w:r w:rsidRPr="00281B6D">
        <w:rPr>
          <w:rFonts w:ascii="Verdana" w:hAnsi="Verdana" w:eastAsia="Arial MT" w:cs="Arial MT"/>
          <w:lang w:val="es-ES"/>
        </w:rPr>
        <w:t>cual</w:t>
      </w:r>
      <w:r w:rsidRPr="00281B6D">
        <w:rPr>
          <w:rFonts w:ascii="Verdana" w:hAnsi="Verdana" w:eastAsia="Arial MT" w:cs="Arial MT"/>
          <w:spacing w:val="-14"/>
          <w:lang w:val="es-ES"/>
        </w:rPr>
        <w:t xml:space="preserve"> </w:t>
      </w:r>
      <w:r w:rsidRPr="00281B6D">
        <w:rPr>
          <w:rFonts w:ascii="Verdana" w:hAnsi="Verdana" w:eastAsia="Arial MT" w:cs="Arial MT"/>
          <w:lang w:val="es-ES"/>
        </w:rPr>
        <w:t>se</w:t>
      </w:r>
      <w:r w:rsidRPr="00281B6D">
        <w:rPr>
          <w:rFonts w:ascii="Verdana" w:hAnsi="Verdana" w:eastAsia="Arial MT" w:cs="Arial MT"/>
          <w:spacing w:val="-14"/>
          <w:lang w:val="es-ES"/>
        </w:rPr>
        <w:t xml:space="preserve"> </w:t>
      </w:r>
      <w:r w:rsidRPr="00281B6D">
        <w:rPr>
          <w:rFonts w:ascii="Verdana" w:hAnsi="Verdana" w:eastAsia="Arial MT" w:cs="Arial MT"/>
          <w:lang w:val="es-ES"/>
        </w:rPr>
        <w:t>aprueba</w:t>
      </w:r>
      <w:r w:rsidRPr="00281B6D">
        <w:rPr>
          <w:rFonts w:ascii="Verdana" w:hAnsi="Verdana" w:eastAsia="Arial MT" w:cs="Arial MT"/>
          <w:spacing w:val="-14"/>
          <w:lang w:val="es-ES"/>
        </w:rPr>
        <w:t xml:space="preserve"> </w:t>
      </w:r>
      <w:r w:rsidRPr="00281B6D">
        <w:rPr>
          <w:rFonts w:ascii="Verdana" w:hAnsi="Verdana" w:eastAsia="Arial MT" w:cs="Arial MT"/>
          <w:lang w:val="es-ES"/>
        </w:rPr>
        <w:t>la</w:t>
      </w:r>
      <w:r w:rsidRPr="00281B6D">
        <w:rPr>
          <w:rFonts w:ascii="Verdana" w:hAnsi="Verdana" w:eastAsia="Arial MT" w:cs="Arial MT"/>
          <w:spacing w:val="-14"/>
          <w:lang w:val="es-ES"/>
        </w:rPr>
        <w:t xml:space="preserve"> </w:t>
      </w:r>
      <w:r w:rsidRPr="00281B6D">
        <w:rPr>
          <w:rFonts w:ascii="Verdana" w:hAnsi="Verdana" w:eastAsia="Arial MT" w:cs="Arial MT"/>
          <w:lang w:val="es-ES"/>
        </w:rPr>
        <w:t>Convención Internacional sobre la Protección de los Derechos de todos los Trabajadores Migratorios y de sus familiares”</w:t>
      </w:r>
      <w:r>
        <w:rPr>
          <w:rFonts w:ascii="Verdana" w:hAnsi="Verdana" w:eastAsia="Arial MT" w:cs="Arial MT"/>
          <w:lang w:val="es-ES"/>
        </w:rPr>
        <w:t>,</w:t>
      </w:r>
      <w:r w:rsidRPr="00281B6D">
        <w:rPr>
          <w:rFonts w:ascii="Verdana" w:hAnsi="Verdana" w:eastAsia="Arial MT" w:cs="Arial MT"/>
          <w:lang w:val="es-ES"/>
        </w:rPr>
        <w:t xml:space="preserve"> la cual define como trabajador migratorio a toda persona que vaya a realizar, realice o haya realizado una actividad remunerada en un Estado del que no sea </w:t>
      </w:r>
      <w:r w:rsidRPr="00281B6D">
        <w:rPr>
          <w:rFonts w:ascii="Verdana" w:hAnsi="Verdana" w:eastAsia="Arial MT" w:cs="Arial MT"/>
          <w:spacing w:val="-2"/>
          <w:lang w:val="es-ES"/>
        </w:rPr>
        <w:t>nacional.</w:t>
      </w:r>
    </w:p>
    <w:p w:rsidRPr="001100D4" w:rsidR="00290C91" w:rsidP="00290C91" w:rsidRDefault="00290C91" w14:paraId="6A4350B9" w14:textId="77777777">
      <w:pPr>
        <w:spacing w:after="120" w:line="276" w:lineRule="auto"/>
        <w:ind w:firstLine="708"/>
        <w:jc w:val="both"/>
        <w:rPr>
          <w:rFonts w:ascii="Verdana" w:hAnsi="Verdana" w:cs="Arial"/>
          <w:lang w:val="es-ES"/>
        </w:rPr>
      </w:pPr>
      <w:r w:rsidRPr="00281B6D">
        <w:rPr>
          <w:rFonts w:ascii="Verdana" w:hAnsi="Verdana" w:eastAsia="Arial MT" w:cs="Arial MT"/>
          <w:lang w:val="es-ES"/>
        </w:rPr>
        <w:t>El articulo 38 ibidem establece que los hijos de los trabajadores migratorios deben tener acceso a la educación, en condiciones de igualdad como protección a sus derechos fundamentales, así</w:t>
      </w:r>
      <w:r w:rsidRPr="00281B6D">
        <w:rPr>
          <w:rFonts w:ascii="Verdana" w:hAnsi="Verdana" w:eastAsia="Arial MT" w:cs="Arial MT"/>
          <w:spacing w:val="-2"/>
          <w:lang w:val="es-ES"/>
        </w:rPr>
        <w:t xml:space="preserve"> </w:t>
      </w:r>
      <w:r w:rsidRPr="00281B6D">
        <w:rPr>
          <w:rFonts w:ascii="Verdana" w:hAnsi="Verdana" w:eastAsia="Arial MT" w:cs="Arial MT"/>
          <w:lang w:val="es-ES"/>
        </w:rPr>
        <w:t>mismo,</w:t>
      </w:r>
      <w:r w:rsidRPr="00281B6D">
        <w:rPr>
          <w:rFonts w:ascii="Verdana" w:hAnsi="Verdana" w:eastAsia="Arial MT" w:cs="Arial MT"/>
          <w:spacing w:val="-1"/>
          <w:lang w:val="es-ES"/>
        </w:rPr>
        <w:t xml:space="preserve"> </w:t>
      </w:r>
      <w:r w:rsidRPr="00281B6D">
        <w:rPr>
          <w:rFonts w:ascii="Verdana" w:hAnsi="Verdana" w:eastAsia="Arial MT" w:cs="Arial MT"/>
          <w:lang w:val="es-ES"/>
        </w:rPr>
        <w:t>establece</w:t>
      </w:r>
      <w:r w:rsidRPr="00281B6D">
        <w:rPr>
          <w:rFonts w:ascii="Verdana" w:hAnsi="Verdana" w:eastAsia="Arial MT" w:cs="Arial MT"/>
          <w:spacing w:val="-1"/>
          <w:lang w:val="es-ES"/>
        </w:rPr>
        <w:t xml:space="preserve"> </w:t>
      </w:r>
      <w:r w:rsidRPr="00281B6D">
        <w:rPr>
          <w:rFonts w:ascii="Verdana" w:hAnsi="Verdana" w:eastAsia="Arial MT" w:cs="Arial MT"/>
          <w:lang w:val="es-ES"/>
        </w:rPr>
        <w:t>en</w:t>
      </w:r>
      <w:r w:rsidRPr="00281B6D">
        <w:rPr>
          <w:rFonts w:ascii="Verdana" w:hAnsi="Verdana" w:eastAsia="Arial MT" w:cs="Arial MT"/>
          <w:spacing w:val="-3"/>
          <w:lang w:val="es-ES"/>
        </w:rPr>
        <w:t xml:space="preserve"> </w:t>
      </w:r>
      <w:r w:rsidRPr="00281B6D">
        <w:rPr>
          <w:rFonts w:ascii="Verdana" w:hAnsi="Verdana" w:eastAsia="Arial MT" w:cs="Arial MT"/>
          <w:lang w:val="es-ES"/>
        </w:rPr>
        <w:t>los</w:t>
      </w:r>
      <w:r w:rsidRPr="00281B6D">
        <w:rPr>
          <w:rFonts w:ascii="Verdana" w:hAnsi="Verdana" w:eastAsia="Arial MT" w:cs="Arial MT"/>
          <w:spacing w:val="-3"/>
          <w:lang w:val="es-ES"/>
        </w:rPr>
        <w:t xml:space="preserve"> </w:t>
      </w:r>
      <w:r w:rsidRPr="00281B6D">
        <w:rPr>
          <w:rFonts w:ascii="Verdana" w:hAnsi="Verdana" w:eastAsia="Arial MT" w:cs="Arial MT"/>
          <w:lang w:val="es-ES"/>
        </w:rPr>
        <w:t>artículos</w:t>
      </w:r>
      <w:r w:rsidRPr="00281B6D">
        <w:rPr>
          <w:rFonts w:ascii="Verdana" w:hAnsi="Verdana" w:eastAsia="Arial MT" w:cs="Arial MT"/>
          <w:spacing w:val="-2"/>
          <w:lang w:val="es-ES"/>
        </w:rPr>
        <w:t xml:space="preserve"> </w:t>
      </w:r>
      <w:r w:rsidRPr="00281B6D">
        <w:rPr>
          <w:rFonts w:ascii="Verdana" w:hAnsi="Verdana" w:eastAsia="Arial MT" w:cs="Arial MT"/>
          <w:lang w:val="es-ES"/>
        </w:rPr>
        <w:t>68</w:t>
      </w:r>
      <w:r w:rsidRPr="00281B6D">
        <w:rPr>
          <w:rFonts w:ascii="Verdana" w:hAnsi="Verdana" w:eastAsia="Arial MT" w:cs="Arial MT"/>
          <w:spacing w:val="-3"/>
          <w:lang w:val="es-ES"/>
        </w:rPr>
        <w:t xml:space="preserve"> </w:t>
      </w:r>
      <w:r w:rsidRPr="00281B6D">
        <w:rPr>
          <w:rFonts w:ascii="Verdana" w:hAnsi="Verdana" w:eastAsia="Arial MT" w:cs="Arial MT"/>
          <w:lang w:val="es-ES"/>
        </w:rPr>
        <w:t>y</w:t>
      </w:r>
      <w:r w:rsidRPr="00281B6D">
        <w:rPr>
          <w:rFonts w:ascii="Verdana" w:hAnsi="Verdana" w:eastAsia="Arial MT" w:cs="Arial MT"/>
          <w:spacing w:val="-3"/>
          <w:lang w:val="es-ES"/>
        </w:rPr>
        <w:t xml:space="preserve"> </w:t>
      </w:r>
      <w:r w:rsidRPr="00281B6D">
        <w:rPr>
          <w:rFonts w:ascii="Verdana" w:hAnsi="Verdana" w:eastAsia="Arial MT" w:cs="Arial MT"/>
          <w:lang w:val="es-ES"/>
        </w:rPr>
        <w:t>69</w:t>
      </w:r>
      <w:r w:rsidRPr="00281B6D">
        <w:rPr>
          <w:rFonts w:ascii="Verdana" w:hAnsi="Verdana" w:eastAsia="Arial MT" w:cs="Arial MT"/>
          <w:spacing w:val="-3"/>
          <w:lang w:val="es-ES"/>
        </w:rPr>
        <w:t xml:space="preserve"> </w:t>
      </w:r>
      <w:r w:rsidRPr="00281B6D">
        <w:rPr>
          <w:rFonts w:ascii="Verdana" w:hAnsi="Verdana" w:eastAsia="Arial MT" w:cs="Arial MT"/>
          <w:lang w:val="es-ES"/>
        </w:rPr>
        <w:t>que</w:t>
      </w:r>
      <w:r w:rsidRPr="00281B6D">
        <w:rPr>
          <w:rFonts w:ascii="Verdana" w:hAnsi="Verdana" w:eastAsia="Arial MT" w:cs="Arial MT"/>
          <w:spacing w:val="-2"/>
          <w:lang w:val="es-ES"/>
        </w:rPr>
        <w:t xml:space="preserve"> </w:t>
      </w:r>
      <w:r w:rsidRPr="00281B6D">
        <w:rPr>
          <w:rFonts w:ascii="Verdana" w:hAnsi="Verdana" w:eastAsia="Arial MT" w:cs="Arial MT"/>
          <w:lang w:val="es-ES"/>
        </w:rPr>
        <w:t>los</w:t>
      </w:r>
      <w:r w:rsidRPr="00281B6D">
        <w:rPr>
          <w:rFonts w:ascii="Verdana" w:hAnsi="Verdana" w:eastAsia="Arial MT" w:cs="Arial MT"/>
          <w:spacing w:val="-3"/>
          <w:lang w:val="es-ES"/>
        </w:rPr>
        <w:t xml:space="preserve"> </w:t>
      </w:r>
      <w:r w:rsidRPr="00281B6D">
        <w:rPr>
          <w:rFonts w:ascii="Verdana" w:hAnsi="Verdana" w:eastAsia="Arial MT" w:cs="Arial MT"/>
          <w:lang w:val="es-ES"/>
        </w:rPr>
        <w:t>Estados</w:t>
      </w:r>
      <w:r w:rsidRPr="00281B6D">
        <w:rPr>
          <w:rFonts w:ascii="Verdana" w:hAnsi="Verdana" w:eastAsia="Arial MT" w:cs="Arial MT"/>
          <w:spacing w:val="-2"/>
          <w:lang w:val="es-ES"/>
        </w:rPr>
        <w:t xml:space="preserve"> </w:t>
      </w:r>
      <w:r w:rsidRPr="00281B6D">
        <w:rPr>
          <w:rFonts w:ascii="Verdana" w:hAnsi="Verdana" w:eastAsia="Arial MT" w:cs="Arial MT"/>
          <w:lang w:val="es-ES"/>
        </w:rPr>
        <w:t>parte</w:t>
      </w:r>
      <w:r w:rsidRPr="00281B6D">
        <w:rPr>
          <w:rFonts w:ascii="Verdana" w:hAnsi="Verdana" w:eastAsia="Arial MT" w:cs="Arial MT"/>
          <w:spacing w:val="-2"/>
          <w:lang w:val="es-ES"/>
        </w:rPr>
        <w:t xml:space="preserve"> </w:t>
      </w:r>
      <w:r w:rsidRPr="00281B6D">
        <w:rPr>
          <w:rFonts w:ascii="Verdana" w:hAnsi="Verdana" w:eastAsia="Arial MT" w:cs="Arial MT"/>
          <w:lang w:val="es-ES"/>
        </w:rPr>
        <w:t>deben colaborar</w:t>
      </w:r>
      <w:r w:rsidRPr="00281B6D">
        <w:rPr>
          <w:rFonts w:ascii="Verdana" w:hAnsi="Verdana" w:eastAsia="Arial MT" w:cs="Arial MT"/>
          <w:spacing w:val="-13"/>
          <w:lang w:val="es-ES"/>
        </w:rPr>
        <w:t xml:space="preserve"> </w:t>
      </w:r>
      <w:r w:rsidRPr="00281B6D">
        <w:rPr>
          <w:rFonts w:ascii="Verdana" w:hAnsi="Verdana" w:eastAsia="Arial MT" w:cs="Arial MT"/>
          <w:lang w:val="es-ES"/>
        </w:rPr>
        <w:t>entre</w:t>
      </w:r>
      <w:r w:rsidRPr="00281B6D">
        <w:rPr>
          <w:rFonts w:ascii="Verdana" w:hAnsi="Verdana" w:eastAsia="Arial MT" w:cs="Arial MT"/>
          <w:spacing w:val="-14"/>
          <w:lang w:val="es-ES"/>
        </w:rPr>
        <w:t xml:space="preserve"> </w:t>
      </w:r>
      <w:r w:rsidRPr="00281B6D">
        <w:rPr>
          <w:rFonts w:ascii="Verdana" w:hAnsi="Verdana" w:eastAsia="Arial MT" w:cs="Arial MT"/>
          <w:lang w:val="es-ES"/>
        </w:rPr>
        <w:t>sí</w:t>
      </w:r>
      <w:r w:rsidRPr="00281B6D">
        <w:rPr>
          <w:rFonts w:ascii="Verdana" w:hAnsi="Verdana" w:eastAsia="Arial MT" w:cs="Arial MT"/>
          <w:spacing w:val="-15"/>
          <w:lang w:val="es-ES"/>
        </w:rPr>
        <w:t xml:space="preserve"> </w:t>
      </w:r>
      <w:r w:rsidRPr="00281B6D">
        <w:rPr>
          <w:rFonts w:ascii="Verdana" w:hAnsi="Verdana" w:eastAsia="Arial MT" w:cs="Arial MT"/>
          <w:lang w:val="es-ES"/>
        </w:rPr>
        <w:t>para</w:t>
      </w:r>
      <w:r w:rsidRPr="00281B6D">
        <w:rPr>
          <w:rFonts w:ascii="Verdana" w:hAnsi="Verdana" w:eastAsia="Arial MT" w:cs="Arial MT"/>
          <w:spacing w:val="-15"/>
          <w:lang w:val="es-ES"/>
        </w:rPr>
        <w:t xml:space="preserve"> </w:t>
      </w:r>
      <w:r w:rsidRPr="00281B6D">
        <w:rPr>
          <w:rFonts w:ascii="Verdana" w:hAnsi="Verdana" w:eastAsia="Arial MT" w:cs="Arial MT"/>
          <w:lang w:val="es-ES"/>
        </w:rPr>
        <w:t>contrarrestar</w:t>
      </w:r>
      <w:r w:rsidRPr="00281B6D">
        <w:rPr>
          <w:rFonts w:ascii="Verdana" w:hAnsi="Verdana" w:eastAsia="Arial MT" w:cs="Arial MT"/>
          <w:spacing w:val="-13"/>
          <w:lang w:val="es-ES"/>
        </w:rPr>
        <w:t xml:space="preserve"> </w:t>
      </w:r>
      <w:r w:rsidRPr="00281B6D">
        <w:rPr>
          <w:rFonts w:ascii="Verdana" w:hAnsi="Verdana" w:eastAsia="Arial MT" w:cs="Arial MT"/>
          <w:lang w:val="es-ES"/>
        </w:rPr>
        <w:t>la</w:t>
      </w:r>
      <w:r w:rsidRPr="00281B6D">
        <w:rPr>
          <w:rFonts w:ascii="Verdana" w:hAnsi="Verdana" w:eastAsia="Arial MT" w:cs="Arial MT"/>
          <w:spacing w:val="-15"/>
          <w:lang w:val="es-ES"/>
        </w:rPr>
        <w:t xml:space="preserve"> </w:t>
      </w:r>
      <w:r w:rsidRPr="00281B6D">
        <w:rPr>
          <w:rFonts w:ascii="Verdana" w:hAnsi="Verdana" w:eastAsia="Arial MT" w:cs="Arial MT"/>
          <w:lang w:val="es-ES"/>
        </w:rPr>
        <w:t>ilegalidad</w:t>
      </w:r>
      <w:r w:rsidRPr="00281B6D">
        <w:rPr>
          <w:rFonts w:ascii="Verdana" w:hAnsi="Verdana" w:eastAsia="Arial MT" w:cs="Arial MT"/>
          <w:spacing w:val="-13"/>
          <w:lang w:val="es-ES"/>
        </w:rPr>
        <w:t xml:space="preserve"> </w:t>
      </w:r>
      <w:r w:rsidRPr="00281B6D">
        <w:rPr>
          <w:rFonts w:ascii="Verdana" w:hAnsi="Verdana" w:eastAsia="Arial MT" w:cs="Arial MT"/>
          <w:lang w:val="es-ES"/>
        </w:rPr>
        <w:t>del</w:t>
      </w:r>
      <w:r w:rsidRPr="00281B6D">
        <w:rPr>
          <w:rFonts w:ascii="Verdana" w:hAnsi="Verdana" w:eastAsia="Arial MT" w:cs="Arial MT"/>
          <w:spacing w:val="-14"/>
          <w:lang w:val="es-ES"/>
        </w:rPr>
        <w:t xml:space="preserve"> </w:t>
      </w:r>
      <w:r w:rsidRPr="00281B6D">
        <w:rPr>
          <w:rFonts w:ascii="Verdana" w:hAnsi="Verdana" w:eastAsia="Arial MT" w:cs="Arial MT"/>
          <w:lang w:val="es-ES"/>
        </w:rPr>
        <w:t>empleo</w:t>
      </w:r>
      <w:r w:rsidRPr="00281B6D">
        <w:rPr>
          <w:rFonts w:ascii="Verdana" w:hAnsi="Verdana" w:eastAsia="Arial MT" w:cs="Arial MT"/>
          <w:spacing w:val="-14"/>
          <w:lang w:val="es-ES"/>
        </w:rPr>
        <w:t xml:space="preserve"> </w:t>
      </w:r>
      <w:r w:rsidRPr="00281B6D">
        <w:rPr>
          <w:rFonts w:ascii="Verdana" w:hAnsi="Verdana" w:eastAsia="Arial MT" w:cs="Arial MT"/>
          <w:lang w:val="es-ES"/>
        </w:rPr>
        <w:t>de</w:t>
      </w:r>
      <w:r w:rsidRPr="00281B6D">
        <w:rPr>
          <w:rFonts w:ascii="Verdana" w:hAnsi="Verdana" w:eastAsia="Arial MT" w:cs="Arial MT"/>
          <w:spacing w:val="-15"/>
          <w:lang w:val="es-ES"/>
        </w:rPr>
        <w:t xml:space="preserve"> </w:t>
      </w:r>
      <w:r w:rsidRPr="00281B6D">
        <w:rPr>
          <w:rFonts w:ascii="Verdana" w:hAnsi="Verdana" w:eastAsia="Arial MT" w:cs="Arial MT"/>
          <w:lang w:val="es-ES"/>
        </w:rPr>
        <w:t>los</w:t>
      </w:r>
      <w:r w:rsidRPr="00281B6D">
        <w:rPr>
          <w:rFonts w:ascii="Verdana" w:hAnsi="Verdana" w:eastAsia="Arial MT" w:cs="Arial MT"/>
          <w:spacing w:val="-15"/>
          <w:lang w:val="es-ES"/>
        </w:rPr>
        <w:t xml:space="preserve"> </w:t>
      </w:r>
      <w:r w:rsidRPr="00281B6D">
        <w:rPr>
          <w:rFonts w:ascii="Verdana" w:hAnsi="Verdana" w:eastAsia="Arial MT" w:cs="Arial MT"/>
          <w:lang w:val="es-ES"/>
        </w:rPr>
        <w:t>trabajadores</w:t>
      </w:r>
      <w:r w:rsidRPr="00281B6D">
        <w:rPr>
          <w:rFonts w:ascii="Verdana" w:hAnsi="Verdana" w:eastAsia="Arial MT" w:cs="Arial MT"/>
          <w:spacing w:val="-14"/>
          <w:lang w:val="es-ES"/>
        </w:rPr>
        <w:t xml:space="preserve"> </w:t>
      </w:r>
      <w:r w:rsidRPr="00281B6D">
        <w:rPr>
          <w:rFonts w:ascii="Verdana" w:hAnsi="Verdana" w:eastAsia="Arial MT" w:cs="Arial MT"/>
          <w:lang w:val="es-ES"/>
        </w:rPr>
        <w:t>migratorios en situación irregular, así como para adoptar medidas apropiadas para que la situación irregular no persista.</w:t>
      </w:r>
    </w:p>
    <w:p w:rsidRPr="001100D4" w:rsidR="00290C91" w:rsidP="00290C91" w:rsidRDefault="00290C91" w14:paraId="337CCC08" w14:textId="77777777">
      <w:pPr>
        <w:spacing w:after="120"/>
        <w:ind w:firstLine="708"/>
        <w:jc w:val="both"/>
        <w:rPr>
          <w:rFonts w:ascii="Verdana" w:hAnsi="Verdana" w:eastAsia="Arial MT" w:cs="Arial MT"/>
        </w:rPr>
      </w:pPr>
      <w:r>
        <w:rPr>
          <w:rFonts w:ascii="Verdana" w:hAnsi="Verdana" w:eastAsia="Arial MT" w:cs="Arial MT"/>
          <w:lang w:val="es-ES"/>
        </w:rPr>
        <w:t xml:space="preserve">El </w:t>
      </w:r>
      <w:r w:rsidRPr="00281B6D">
        <w:rPr>
          <w:rFonts w:ascii="Verdana" w:hAnsi="Verdana" w:eastAsia="Arial MT" w:cs="Arial MT"/>
          <w:lang w:val="es-ES"/>
        </w:rPr>
        <w:t>Estado</w:t>
      </w:r>
      <w:r w:rsidRPr="00281B6D">
        <w:rPr>
          <w:rFonts w:ascii="Verdana" w:hAnsi="Verdana" w:eastAsia="Arial MT" w:cs="Arial MT"/>
          <w:spacing w:val="-11"/>
          <w:lang w:val="es-ES"/>
        </w:rPr>
        <w:t xml:space="preserve"> </w:t>
      </w:r>
      <w:r w:rsidRPr="00281B6D">
        <w:rPr>
          <w:rFonts w:ascii="Verdana" w:hAnsi="Verdana" w:eastAsia="Arial MT" w:cs="Arial MT"/>
          <w:lang w:val="es-ES"/>
        </w:rPr>
        <w:t>Colombiano</w:t>
      </w:r>
      <w:r w:rsidRPr="00281B6D">
        <w:rPr>
          <w:rFonts w:ascii="Verdana" w:hAnsi="Verdana" w:eastAsia="Arial MT" w:cs="Arial MT"/>
          <w:spacing w:val="-10"/>
          <w:lang w:val="es-ES"/>
        </w:rPr>
        <w:t xml:space="preserve"> </w:t>
      </w:r>
      <w:r w:rsidRPr="00281B6D">
        <w:rPr>
          <w:rFonts w:ascii="Verdana" w:hAnsi="Verdana" w:eastAsia="Arial MT" w:cs="Arial MT"/>
          <w:lang w:val="es-ES"/>
        </w:rPr>
        <w:t>creó la</w:t>
      </w:r>
      <w:r w:rsidRPr="00281B6D">
        <w:rPr>
          <w:rFonts w:ascii="Verdana" w:hAnsi="Verdana" w:eastAsia="Arial MT" w:cs="Arial MT"/>
          <w:spacing w:val="-8"/>
          <w:lang w:val="es-ES"/>
        </w:rPr>
        <w:t xml:space="preserve"> </w:t>
      </w:r>
      <w:r w:rsidRPr="00281B6D">
        <w:rPr>
          <w:rFonts w:ascii="Verdana" w:hAnsi="Verdana" w:eastAsia="Arial MT" w:cs="Arial MT"/>
          <w:lang w:val="es-ES"/>
        </w:rPr>
        <w:t>Unidad</w:t>
      </w:r>
      <w:r w:rsidRPr="00281B6D">
        <w:rPr>
          <w:rFonts w:ascii="Verdana" w:hAnsi="Verdana" w:eastAsia="Arial MT" w:cs="Arial MT"/>
          <w:spacing w:val="-7"/>
          <w:lang w:val="es-ES"/>
        </w:rPr>
        <w:t xml:space="preserve"> </w:t>
      </w:r>
      <w:r w:rsidRPr="00281B6D">
        <w:rPr>
          <w:rFonts w:ascii="Verdana" w:hAnsi="Verdana" w:eastAsia="Arial MT" w:cs="Arial MT"/>
          <w:lang w:val="es-ES"/>
        </w:rPr>
        <w:t>Administrativa</w:t>
      </w:r>
      <w:r w:rsidRPr="00281B6D">
        <w:rPr>
          <w:rFonts w:ascii="Verdana" w:hAnsi="Verdana" w:eastAsia="Arial MT" w:cs="Arial MT"/>
          <w:spacing w:val="-6"/>
          <w:lang w:val="es-ES"/>
        </w:rPr>
        <w:t xml:space="preserve"> </w:t>
      </w:r>
      <w:r w:rsidRPr="00281B6D">
        <w:rPr>
          <w:rFonts w:ascii="Verdana" w:hAnsi="Verdana" w:eastAsia="Arial MT" w:cs="Arial MT"/>
          <w:lang w:val="es-ES"/>
        </w:rPr>
        <w:t>Especial</w:t>
      </w:r>
      <w:r w:rsidRPr="00281B6D">
        <w:rPr>
          <w:rFonts w:ascii="Verdana" w:hAnsi="Verdana" w:eastAsia="Arial MT" w:cs="Arial MT"/>
          <w:spacing w:val="-6"/>
          <w:lang w:val="es-ES"/>
        </w:rPr>
        <w:t xml:space="preserve"> </w:t>
      </w:r>
      <w:r w:rsidRPr="00281B6D">
        <w:rPr>
          <w:rFonts w:ascii="Verdana" w:hAnsi="Verdana" w:eastAsia="Arial MT" w:cs="Arial MT"/>
          <w:lang w:val="es-ES"/>
        </w:rPr>
        <w:t>Migración</w:t>
      </w:r>
      <w:r w:rsidRPr="00281B6D">
        <w:rPr>
          <w:rFonts w:ascii="Verdana" w:hAnsi="Verdana" w:eastAsia="Arial MT" w:cs="Arial MT"/>
          <w:spacing w:val="-7"/>
          <w:lang w:val="es-ES"/>
        </w:rPr>
        <w:t xml:space="preserve"> </w:t>
      </w:r>
      <w:r w:rsidRPr="00281B6D">
        <w:rPr>
          <w:rFonts w:ascii="Verdana" w:hAnsi="Verdana" w:eastAsia="Arial MT" w:cs="Arial MT"/>
          <w:lang w:val="es-ES"/>
        </w:rPr>
        <w:t>Colombia</w:t>
      </w:r>
      <w:r w:rsidRPr="00281B6D">
        <w:rPr>
          <w:rFonts w:ascii="Verdana" w:hAnsi="Verdana" w:eastAsia="Arial MT" w:cs="Arial MT"/>
          <w:spacing w:val="-7"/>
          <w:lang w:val="es-ES"/>
        </w:rPr>
        <w:t xml:space="preserve"> </w:t>
      </w:r>
      <w:r w:rsidRPr="00281B6D">
        <w:rPr>
          <w:rFonts w:ascii="Verdana" w:hAnsi="Verdana" w:eastAsia="Arial MT" w:cs="Arial MT"/>
          <w:lang w:val="es-ES"/>
        </w:rPr>
        <w:t>a</w:t>
      </w:r>
      <w:r w:rsidRPr="00281B6D">
        <w:rPr>
          <w:rFonts w:ascii="Verdana" w:hAnsi="Verdana" w:eastAsia="Arial MT" w:cs="Arial MT"/>
          <w:spacing w:val="-8"/>
          <w:lang w:val="es-ES"/>
        </w:rPr>
        <w:t xml:space="preserve"> </w:t>
      </w:r>
      <w:r w:rsidRPr="00281B6D">
        <w:rPr>
          <w:rFonts w:ascii="Verdana" w:hAnsi="Verdana" w:eastAsia="Arial MT" w:cs="Arial MT"/>
          <w:lang w:val="es-ES"/>
        </w:rPr>
        <w:t>través</w:t>
      </w:r>
      <w:r w:rsidRPr="00281B6D">
        <w:rPr>
          <w:rFonts w:ascii="Verdana" w:hAnsi="Verdana" w:eastAsia="Arial MT" w:cs="Arial MT"/>
          <w:spacing w:val="-8"/>
          <w:lang w:val="es-ES"/>
        </w:rPr>
        <w:t xml:space="preserve"> </w:t>
      </w:r>
      <w:r w:rsidRPr="00281B6D">
        <w:rPr>
          <w:rFonts w:ascii="Verdana" w:hAnsi="Verdana" w:eastAsia="Arial MT" w:cs="Arial MT"/>
          <w:lang w:val="es-ES"/>
        </w:rPr>
        <w:t>de</w:t>
      </w:r>
      <w:r>
        <w:rPr>
          <w:rFonts w:ascii="Verdana" w:hAnsi="Verdana" w:eastAsia="Arial MT" w:cs="Arial MT"/>
          <w:spacing w:val="-8"/>
          <w:lang w:val="es-ES"/>
        </w:rPr>
        <w:t>l Decreto Ley</w:t>
      </w:r>
      <w:r w:rsidRPr="00281B6D">
        <w:rPr>
          <w:rFonts w:ascii="Verdana" w:hAnsi="Verdana" w:eastAsia="Arial MT" w:cs="Arial MT"/>
          <w:spacing w:val="-8"/>
          <w:lang w:val="es-ES"/>
        </w:rPr>
        <w:t xml:space="preserve"> </w:t>
      </w:r>
      <w:r w:rsidRPr="00281B6D">
        <w:rPr>
          <w:rFonts w:ascii="Verdana" w:hAnsi="Verdana" w:eastAsia="Arial MT" w:cs="Arial MT"/>
          <w:lang w:val="es-ES"/>
        </w:rPr>
        <w:t>4062</w:t>
      </w:r>
      <w:r w:rsidRPr="00281B6D">
        <w:rPr>
          <w:rFonts w:ascii="Verdana" w:hAnsi="Verdana" w:eastAsia="Arial MT" w:cs="Arial MT"/>
          <w:spacing w:val="-7"/>
          <w:lang w:val="es-ES"/>
        </w:rPr>
        <w:t xml:space="preserve"> </w:t>
      </w:r>
      <w:r w:rsidRPr="00281B6D">
        <w:rPr>
          <w:rFonts w:ascii="Verdana" w:hAnsi="Verdana" w:eastAsia="Arial MT" w:cs="Arial MT"/>
          <w:lang w:val="es-ES"/>
        </w:rPr>
        <w:t>de</w:t>
      </w:r>
      <w:r w:rsidRPr="00281B6D">
        <w:rPr>
          <w:rFonts w:ascii="Verdana" w:hAnsi="Verdana" w:eastAsia="Arial MT" w:cs="Arial MT"/>
          <w:spacing w:val="-8"/>
          <w:lang w:val="es-ES"/>
        </w:rPr>
        <w:t xml:space="preserve"> </w:t>
      </w:r>
      <w:r w:rsidRPr="00281B6D">
        <w:rPr>
          <w:rFonts w:ascii="Verdana" w:hAnsi="Verdana" w:eastAsia="Arial MT" w:cs="Arial MT"/>
          <w:lang w:val="es-ES"/>
        </w:rPr>
        <w:t>2011,</w:t>
      </w:r>
      <w:r w:rsidRPr="00281B6D">
        <w:rPr>
          <w:rFonts w:ascii="Verdana" w:hAnsi="Verdana" w:eastAsia="Arial MT" w:cs="Arial MT"/>
          <w:spacing w:val="-7"/>
          <w:lang w:val="es-ES"/>
        </w:rPr>
        <w:t xml:space="preserve"> </w:t>
      </w:r>
      <w:r>
        <w:rPr>
          <w:rFonts w:ascii="Verdana" w:hAnsi="Verdana" w:eastAsia="Arial MT" w:cs="Arial MT"/>
          <w:lang w:val="es-ES"/>
        </w:rPr>
        <w:t xml:space="preserve">la cual </w:t>
      </w:r>
      <w:r w:rsidRPr="00281B6D">
        <w:rPr>
          <w:rFonts w:ascii="Verdana" w:hAnsi="Verdana" w:eastAsia="Arial MT" w:cs="Arial MT"/>
          <w:lang w:val="es-ES"/>
        </w:rPr>
        <w:t>se creó como un organismo civil de seguridad con personería jurídica, autonomía administrativa, financiera y patrimonio independiente, con jurisdicción en todo el territorio nacional,</w:t>
      </w:r>
      <w:r w:rsidRPr="00281B6D">
        <w:rPr>
          <w:rFonts w:ascii="Verdana" w:hAnsi="Verdana" w:eastAsia="Arial MT" w:cs="Arial MT"/>
          <w:spacing w:val="21"/>
          <w:lang w:val="es-ES"/>
        </w:rPr>
        <w:t xml:space="preserve"> </w:t>
      </w:r>
      <w:r w:rsidRPr="00281B6D">
        <w:rPr>
          <w:rFonts w:ascii="Verdana" w:hAnsi="Verdana" w:eastAsia="Arial MT" w:cs="Arial MT"/>
          <w:lang w:val="es-ES"/>
        </w:rPr>
        <w:t>adscrita</w:t>
      </w:r>
      <w:r w:rsidRPr="00281B6D">
        <w:rPr>
          <w:rFonts w:ascii="Verdana" w:hAnsi="Verdana" w:eastAsia="Arial MT" w:cs="Arial MT"/>
          <w:spacing w:val="19"/>
          <w:lang w:val="es-ES"/>
        </w:rPr>
        <w:t xml:space="preserve"> </w:t>
      </w:r>
      <w:r w:rsidRPr="00281B6D">
        <w:rPr>
          <w:rFonts w:ascii="Verdana" w:hAnsi="Verdana" w:eastAsia="Arial MT" w:cs="Arial MT"/>
          <w:lang w:val="es-ES"/>
        </w:rPr>
        <w:t>al</w:t>
      </w:r>
      <w:r w:rsidRPr="00281B6D">
        <w:rPr>
          <w:rFonts w:ascii="Verdana" w:hAnsi="Verdana" w:eastAsia="Arial MT" w:cs="Arial MT"/>
          <w:spacing w:val="19"/>
          <w:lang w:val="es-ES"/>
        </w:rPr>
        <w:t xml:space="preserve"> </w:t>
      </w:r>
      <w:r w:rsidRPr="00281B6D">
        <w:rPr>
          <w:rFonts w:ascii="Verdana" w:hAnsi="Verdana" w:eastAsia="Arial MT" w:cs="Arial MT"/>
          <w:lang w:val="es-ES"/>
        </w:rPr>
        <w:t>Ministerio</w:t>
      </w:r>
      <w:r w:rsidRPr="00281B6D">
        <w:rPr>
          <w:rFonts w:ascii="Verdana" w:hAnsi="Verdana" w:eastAsia="Arial MT" w:cs="Arial MT"/>
          <w:spacing w:val="21"/>
          <w:lang w:val="es-ES"/>
        </w:rPr>
        <w:t xml:space="preserve"> </w:t>
      </w:r>
      <w:r w:rsidRPr="00281B6D">
        <w:rPr>
          <w:rFonts w:ascii="Verdana" w:hAnsi="Verdana" w:eastAsia="Arial MT" w:cs="Arial MT"/>
          <w:lang w:val="es-ES"/>
        </w:rPr>
        <w:t>de</w:t>
      </w:r>
      <w:r w:rsidRPr="00281B6D">
        <w:rPr>
          <w:rFonts w:ascii="Verdana" w:hAnsi="Verdana" w:eastAsia="Arial MT" w:cs="Arial MT"/>
          <w:spacing w:val="19"/>
          <w:lang w:val="es-ES"/>
        </w:rPr>
        <w:t xml:space="preserve"> </w:t>
      </w:r>
      <w:r w:rsidRPr="00281B6D">
        <w:rPr>
          <w:rFonts w:ascii="Verdana" w:hAnsi="Verdana" w:eastAsia="Arial MT" w:cs="Arial MT"/>
          <w:lang w:val="es-ES"/>
        </w:rPr>
        <w:t>Relaciones</w:t>
      </w:r>
      <w:r w:rsidRPr="00281B6D">
        <w:rPr>
          <w:rFonts w:ascii="Verdana" w:hAnsi="Verdana" w:eastAsia="Arial MT" w:cs="Arial MT"/>
          <w:spacing w:val="19"/>
          <w:lang w:val="es-ES"/>
        </w:rPr>
        <w:t xml:space="preserve"> </w:t>
      </w:r>
      <w:r w:rsidRPr="00281B6D">
        <w:rPr>
          <w:rFonts w:ascii="Verdana" w:hAnsi="Verdana" w:eastAsia="Arial MT" w:cs="Arial MT"/>
          <w:lang w:val="es-ES"/>
        </w:rPr>
        <w:t>Exteriores;</w:t>
      </w:r>
      <w:r w:rsidRPr="00281B6D">
        <w:rPr>
          <w:rFonts w:ascii="Verdana" w:hAnsi="Verdana" w:eastAsia="Arial MT" w:cs="Arial MT"/>
          <w:spacing w:val="19"/>
          <w:lang w:val="es-ES"/>
        </w:rPr>
        <w:t xml:space="preserve"> </w:t>
      </w:r>
      <w:r w:rsidRPr="00281B6D">
        <w:rPr>
          <w:rFonts w:ascii="Verdana" w:hAnsi="Verdana" w:eastAsia="Arial MT" w:cs="Arial MT"/>
          <w:lang w:val="es-ES"/>
        </w:rPr>
        <w:t>y</w:t>
      </w:r>
      <w:r w:rsidRPr="00281B6D">
        <w:rPr>
          <w:rFonts w:ascii="Verdana" w:hAnsi="Verdana" w:eastAsia="Arial MT" w:cs="Arial MT"/>
          <w:spacing w:val="19"/>
          <w:lang w:val="es-ES"/>
        </w:rPr>
        <w:t xml:space="preserve"> </w:t>
      </w:r>
      <w:r w:rsidRPr="00281B6D">
        <w:rPr>
          <w:rFonts w:ascii="Verdana" w:hAnsi="Verdana" w:eastAsia="Arial MT" w:cs="Arial MT"/>
          <w:lang w:val="es-ES"/>
        </w:rPr>
        <w:t>se</w:t>
      </w:r>
      <w:r w:rsidRPr="00281B6D">
        <w:rPr>
          <w:rFonts w:ascii="Verdana" w:hAnsi="Verdana" w:eastAsia="Arial MT" w:cs="Arial MT"/>
          <w:spacing w:val="19"/>
          <w:lang w:val="es-ES"/>
        </w:rPr>
        <w:t xml:space="preserve"> </w:t>
      </w:r>
      <w:r w:rsidRPr="00281B6D">
        <w:rPr>
          <w:rFonts w:ascii="Verdana" w:hAnsi="Verdana" w:eastAsia="Arial MT" w:cs="Arial MT"/>
          <w:lang w:val="es-ES"/>
        </w:rPr>
        <w:t>consagra</w:t>
      </w:r>
      <w:r w:rsidRPr="00281B6D">
        <w:rPr>
          <w:rFonts w:ascii="Verdana" w:hAnsi="Verdana" w:eastAsia="Arial MT" w:cs="Arial MT"/>
          <w:spacing w:val="19"/>
          <w:lang w:val="es-ES"/>
        </w:rPr>
        <w:t xml:space="preserve"> </w:t>
      </w:r>
      <w:r w:rsidRPr="00281B6D">
        <w:rPr>
          <w:rFonts w:ascii="Verdana" w:hAnsi="Verdana" w:eastAsia="Arial MT" w:cs="Arial MT"/>
          <w:lang w:val="es-ES"/>
        </w:rPr>
        <w:t>en</w:t>
      </w:r>
      <w:r w:rsidRPr="00281B6D">
        <w:rPr>
          <w:rFonts w:ascii="Verdana" w:hAnsi="Verdana" w:eastAsia="Arial MT" w:cs="Arial MT"/>
          <w:spacing w:val="19"/>
          <w:lang w:val="es-ES"/>
        </w:rPr>
        <w:t xml:space="preserve"> </w:t>
      </w:r>
      <w:r w:rsidRPr="00281B6D">
        <w:rPr>
          <w:rFonts w:ascii="Verdana" w:hAnsi="Verdana" w:eastAsia="Arial MT" w:cs="Arial MT"/>
          <w:lang w:val="es-ES"/>
        </w:rPr>
        <w:t>el</w:t>
      </w:r>
      <w:r w:rsidRPr="00281B6D">
        <w:rPr>
          <w:rFonts w:ascii="Verdana" w:hAnsi="Verdana" w:eastAsia="Arial MT" w:cs="Arial MT"/>
          <w:spacing w:val="19"/>
          <w:lang w:val="es-ES"/>
        </w:rPr>
        <w:t xml:space="preserve"> </w:t>
      </w:r>
      <w:r w:rsidRPr="00281B6D">
        <w:rPr>
          <w:rFonts w:ascii="Verdana" w:hAnsi="Verdana" w:eastAsia="Arial MT" w:cs="Arial MT"/>
          <w:lang w:val="es-ES"/>
        </w:rPr>
        <w:t>artículo</w:t>
      </w:r>
      <w:r w:rsidRPr="00281B6D">
        <w:rPr>
          <w:rFonts w:ascii="Verdana" w:hAnsi="Verdana" w:eastAsia="Arial MT" w:cs="Arial MT"/>
          <w:spacing w:val="20"/>
          <w:lang w:val="es-ES"/>
        </w:rPr>
        <w:t xml:space="preserve"> </w:t>
      </w:r>
      <w:r w:rsidRPr="00281B6D">
        <w:rPr>
          <w:rFonts w:ascii="Verdana" w:hAnsi="Verdana" w:eastAsia="Arial MT" w:cs="Arial MT"/>
          <w:lang w:val="es-ES"/>
        </w:rPr>
        <w:t>3°</w:t>
      </w:r>
      <w:r w:rsidRPr="001100D4">
        <w:rPr>
          <w:rFonts w:ascii="Verdana" w:hAnsi="Verdana" w:eastAsia="Arial MT" w:cs="Arial MT"/>
          <w:lang w:val="es-ES"/>
        </w:rPr>
        <w:t xml:space="preserve"> </w:t>
      </w:r>
      <w:r w:rsidRPr="001100D4">
        <w:rPr>
          <w:rFonts w:ascii="Verdana" w:hAnsi="Verdana" w:eastAsia="Arial MT" w:cs="Arial MT"/>
        </w:rPr>
        <w:t>como su objetivo ejercer las funciones de autoridad de vigilancia y control migratorio y de extranjería del Estado Colombiano, dentro del marco de la soberanía Nacional y de conformidad con las leyes y la política que en la materia defina el Gobierno Nacional.</w:t>
      </w:r>
    </w:p>
    <w:p w:rsidR="00290C91" w:rsidP="00290C91" w:rsidRDefault="00290C91" w14:paraId="55AC2E4A" w14:textId="77777777">
      <w:pPr>
        <w:spacing w:after="0" w:line="276" w:lineRule="auto"/>
        <w:ind w:firstLine="709"/>
        <w:jc w:val="both"/>
        <w:rPr>
          <w:rFonts w:ascii="Verdana" w:hAnsi="Verdana" w:cs="Arial"/>
          <w:bCs/>
        </w:rPr>
      </w:pPr>
      <w:r>
        <w:rPr>
          <w:rFonts w:ascii="Verdana" w:hAnsi="Verdana" w:cs="Arial"/>
        </w:rPr>
        <w:t xml:space="preserve">En el marco de las normas que regulan el sistema migratorio en Colombia, es decir, aquellas que regulan el ingreso y salida de las personas de nuestro territorio, debe destacarse el Decreto 1067 de 2015, </w:t>
      </w:r>
      <w:r w:rsidRPr="006E0271">
        <w:rPr>
          <w:rFonts w:ascii="Verdana" w:hAnsi="Verdana" w:cs="Arial"/>
        </w:rPr>
        <w:t>“</w:t>
      </w:r>
      <w:r w:rsidRPr="006E0271">
        <w:rPr>
          <w:rFonts w:ascii="Verdana" w:hAnsi="Verdana" w:cs="Arial"/>
          <w:bCs/>
        </w:rPr>
        <w:t>por medio del cual se expide el Decreto Único Reglamentario del Sector Administrativo de Relaciones Exteriores”</w:t>
      </w:r>
      <w:r>
        <w:rPr>
          <w:rFonts w:ascii="Verdana" w:hAnsi="Verdana" w:cs="Arial"/>
          <w:bCs/>
        </w:rPr>
        <w:t xml:space="preserve">. En dicho Decreto compilatorio, el artículo 2.2.1.11.5.1 del Decreto 1067 de 2015 se encuentran exigencias para cualquier entidad –pública o </w:t>
      </w:r>
      <w:r>
        <w:rPr>
          <w:rFonts w:ascii="Verdana" w:hAnsi="Verdana" w:cs="Arial"/>
          <w:bCs/>
        </w:rPr>
        <w:t xml:space="preserve">privada- que contrate, vincule o admite un extranjero mediante cualquier modalidad. Al respecto, dicho artículo prescribe: </w:t>
      </w:r>
    </w:p>
    <w:p w:rsidR="00290C91" w:rsidP="00290C91" w:rsidRDefault="00290C91" w14:paraId="4978AF7D" w14:textId="77777777">
      <w:pPr>
        <w:spacing w:after="0" w:line="276" w:lineRule="auto"/>
        <w:ind w:firstLine="709"/>
        <w:jc w:val="both"/>
        <w:rPr>
          <w:rFonts w:ascii="Verdana" w:hAnsi="Verdana" w:cs="Arial"/>
          <w:bCs/>
        </w:rPr>
      </w:pPr>
    </w:p>
    <w:p w:rsidR="00290C91" w:rsidP="00290C91" w:rsidRDefault="00290C91" w14:paraId="35F129C0" w14:textId="77777777">
      <w:pPr>
        <w:pStyle w:val="NormalWeb"/>
        <w:spacing w:before="0" w:beforeAutospacing="0" w:after="0" w:afterAutospacing="0"/>
        <w:ind w:left="709" w:right="709"/>
        <w:jc w:val="both"/>
        <w:rPr>
          <w:rFonts w:ascii="Verdana" w:hAnsi="Verdana" w:cs="Arial"/>
          <w:color w:val="000000"/>
          <w:sz w:val="21"/>
          <w:szCs w:val="21"/>
        </w:rPr>
      </w:pPr>
      <w:r w:rsidRPr="001222D5">
        <w:rPr>
          <w:rStyle w:val="Textoennegrita"/>
          <w:rFonts w:ascii="Verdana" w:hAnsi="Verdana" w:cs="Arial"/>
          <w:b w:val="0"/>
          <w:color w:val="000000"/>
          <w:sz w:val="21"/>
          <w:szCs w:val="21"/>
        </w:rPr>
        <w:t>Artículo 2.2.1.11.5.1. </w:t>
      </w:r>
      <w:r w:rsidRPr="001222D5">
        <w:rPr>
          <w:rStyle w:val="nfasis"/>
          <w:rFonts w:ascii="Verdana" w:hAnsi="Verdana" w:cs="Arial"/>
          <w:bCs/>
          <w:color w:val="000000"/>
          <w:sz w:val="21"/>
          <w:szCs w:val="21"/>
        </w:rPr>
        <w:t>De las actividades que generen beneficio</w:t>
      </w:r>
      <w:r w:rsidRPr="001222D5">
        <w:rPr>
          <w:rStyle w:val="nfasis"/>
          <w:rFonts w:ascii="Verdana" w:hAnsi="Verdana" w:cs="Arial"/>
          <w:color w:val="000000"/>
          <w:sz w:val="21"/>
          <w:szCs w:val="21"/>
        </w:rPr>
        <w:t>. </w:t>
      </w:r>
      <w:r w:rsidRPr="001222D5">
        <w:rPr>
          <w:rFonts w:ascii="Verdana" w:hAnsi="Verdana" w:cs="Arial"/>
          <w:color w:val="000000"/>
          <w:sz w:val="21"/>
          <w:szCs w:val="21"/>
        </w:rPr>
        <w:t xml:space="preserve">Toda persona, natural o jurídica que vincule, contrate, emplee o admita un extranjero mediante cualquier modalidad, en especial, relación laboral, cooperativa o civil que genere un beneficio, </w:t>
      </w:r>
      <w:r w:rsidRPr="001222D5">
        <w:rPr>
          <w:rFonts w:ascii="Verdana" w:hAnsi="Verdana" w:cs="Arial"/>
          <w:i/>
          <w:color w:val="000000"/>
          <w:sz w:val="21"/>
          <w:szCs w:val="21"/>
        </w:rPr>
        <w:t>deberá exigirle la presentación de la visa que le permita desarrollar la actividad, ocupación u oficio declarado en la solicitud de la visa. Así mismo, deberá solicitarle al extranjero la presentación de la Cédula de Extranjería cuando se esté en la obligación de tramitarla en cumplimiento de los requisitos migratorios (visas con vigencia superior a tres [3] meses con excepción de los titulares de las visas que se establezcan para tal fin por parte del Ministerio de Relaciones Exteriores)</w:t>
      </w:r>
      <w:r>
        <w:rPr>
          <w:rFonts w:ascii="Verdana" w:hAnsi="Verdana" w:cs="Arial"/>
          <w:color w:val="000000"/>
          <w:sz w:val="21"/>
          <w:szCs w:val="21"/>
        </w:rPr>
        <w:t>.</w:t>
      </w:r>
    </w:p>
    <w:p w:rsidRPr="001222D5" w:rsidR="00290C91" w:rsidP="00290C91" w:rsidRDefault="00290C91" w14:paraId="7FDB6E55" w14:textId="77777777">
      <w:pPr>
        <w:pStyle w:val="NormalWeb"/>
        <w:spacing w:before="0" w:beforeAutospacing="0" w:after="0" w:afterAutospacing="0"/>
        <w:ind w:left="709" w:right="709"/>
        <w:jc w:val="both"/>
        <w:rPr>
          <w:rFonts w:ascii="Verdana" w:hAnsi="Verdana" w:cs="Arial"/>
          <w:color w:val="000000"/>
          <w:sz w:val="21"/>
          <w:szCs w:val="21"/>
        </w:rPr>
      </w:pPr>
    </w:p>
    <w:p w:rsidRPr="001222D5" w:rsidR="00290C91" w:rsidP="00290C91" w:rsidRDefault="00290C91" w14:paraId="2024ACF0" w14:textId="77777777">
      <w:pPr>
        <w:pStyle w:val="NormalWeb"/>
        <w:spacing w:before="0" w:beforeAutospacing="0" w:after="0" w:afterAutospacing="0"/>
        <w:ind w:left="709" w:right="709"/>
        <w:jc w:val="both"/>
        <w:rPr>
          <w:rFonts w:ascii="Verdana" w:hAnsi="Verdana" w:cs="Arial"/>
          <w:color w:val="000000"/>
          <w:sz w:val="21"/>
          <w:szCs w:val="21"/>
        </w:rPr>
      </w:pPr>
      <w:r w:rsidRPr="001222D5">
        <w:rPr>
          <w:rFonts w:ascii="Verdana" w:hAnsi="Verdana" w:cs="Arial"/>
          <w:color w:val="000000"/>
          <w:sz w:val="21"/>
          <w:szCs w:val="21"/>
        </w:rPr>
        <w:t>En el caso de presentarse una desvinculación antes del término previsto en la relación laboral, cooperativa o civil, que genere beneficio, deberá informar por escrito o por los medios electrónicos establecidos para tal fin a la Unidad Administrativa Especial Migración Colombia acerca de dicha terminación en un término de hasta quince (15) días calendario siguie</w:t>
      </w:r>
      <w:r>
        <w:rPr>
          <w:rFonts w:ascii="Verdana" w:hAnsi="Verdana" w:cs="Arial"/>
          <w:color w:val="000000"/>
          <w:sz w:val="21"/>
          <w:szCs w:val="21"/>
        </w:rPr>
        <w:t>ntes a la ocurrencia del hecho.</w:t>
      </w:r>
    </w:p>
    <w:p w:rsidR="00290C91" w:rsidP="00290C91" w:rsidRDefault="00290C91" w14:paraId="3A0B48FB" w14:textId="77777777">
      <w:pPr>
        <w:pStyle w:val="NormalWeb"/>
        <w:spacing w:before="0" w:beforeAutospacing="0" w:after="0" w:afterAutospacing="0"/>
        <w:ind w:left="709" w:right="709"/>
        <w:jc w:val="both"/>
        <w:rPr>
          <w:rFonts w:ascii="Verdana" w:hAnsi="Verdana" w:cs="Arial"/>
          <w:color w:val="000000"/>
          <w:sz w:val="21"/>
          <w:szCs w:val="21"/>
        </w:rPr>
      </w:pPr>
      <w:r w:rsidRPr="001222D5">
        <w:rPr>
          <w:rFonts w:ascii="Verdana" w:hAnsi="Verdana" w:cs="Arial"/>
          <w:color w:val="000000"/>
          <w:sz w:val="21"/>
          <w:szCs w:val="21"/>
        </w:rPr>
        <w:t>Toda persona natural o jurídica que vincule, contrate, emplee o admita un extranjero mediante cualquier modalidad, en especial, relación laboral, cooperativa o civil que genere un beneficio, deberá suministrar la información que le solicite la autoridad de</w:t>
      </w:r>
      <w:r>
        <w:rPr>
          <w:rFonts w:ascii="Verdana" w:hAnsi="Verdana" w:cs="Arial"/>
          <w:color w:val="000000"/>
          <w:sz w:val="21"/>
          <w:szCs w:val="21"/>
        </w:rPr>
        <w:t xml:space="preserve"> control migratorio.</w:t>
      </w:r>
    </w:p>
    <w:p w:rsidRPr="001222D5" w:rsidR="00290C91" w:rsidP="00290C91" w:rsidRDefault="00290C91" w14:paraId="5DFB9E32" w14:textId="77777777">
      <w:pPr>
        <w:pStyle w:val="NormalWeb"/>
        <w:spacing w:before="0" w:beforeAutospacing="0" w:after="0" w:afterAutospacing="0"/>
        <w:ind w:left="709" w:right="709"/>
        <w:jc w:val="both"/>
        <w:rPr>
          <w:rFonts w:ascii="Verdana" w:hAnsi="Verdana" w:cs="Arial"/>
          <w:color w:val="000000"/>
          <w:sz w:val="21"/>
          <w:szCs w:val="21"/>
        </w:rPr>
      </w:pPr>
    </w:p>
    <w:p w:rsidR="00290C91" w:rsidP="00290C91" w:rsidRDefault="00290C91" w14:paraId="18F0DC47" w14:textId="77777777">
      <w:pPr>
        <w:pStyle w:val="NormalWeb"/>
        <w:spacing w:before="0" w:beforeAutospacing="0" w:after="0" w:afterAutospacing="0"/>
        <w:ind w:left="709" w:right="709"/>
        <w:jc w:val="both"/>
        <w:rPr>
          <w:rFonts w:ascii="Verdana" w:hAnsi="Verdana" w:cs="Arial"/>
          <w:color w:val="000000"/>
          <w:sz w:val="21"/>
          <w:szCs w:val="21"/>
        </w:rPr>
      </w:pPr>
      <w:r w:rsidRPr="001222D5">
        <w:rPr>
          <w:rStyle w:val="Textoennegrita"/>
          <w:rFonts w:ascii="Verdana" w:hAnsi="Verdana" w:cs="Arial"/>
          <w:b w:val="0"/>
          <w:color w:val="000000"/>
          <w:sz w:val="21"/>
          <w:szCs w:val="21"/>
        </w:rPr>
        <w:t>Parágrafo transitorio</w:t>
      </w:r>
      <w:r w:rsidRPr="001222D5">
        <w:rPr>
          <w:rStyle w:val="Textoennegrita"/>
          <w:rFonts w:ascii="Verdana" w:hAnsi="Verdana" w:cs="Arial"/>
          <w:color w:val="000000"/>
          <w:sz w:val="21"/>
          <w:szCs w:val="21"/>
        </w:rPr>
        <w:t>.</w:t>
      </w:r>
      <w:r w:rsidRPr="001222D5">
        <w:rPr>
          <w:rFonts w:ascii="Verdana" w:hAnsi="Verdana" w:cs="Arial"/>
          <w:color w:val="000000"/>
          <w:sz w:val="21"/>
          <w:szCs w:val="21"/>
        </w:rPr>
        <w:t> Hasta tanto se establezca la comunicación de bases de datos del Ministerio de Relaciones Exteriores y la Unidad Administrativa Especial Migración Colombia, toda persona, natural o jurídica que vincule, contrate, emplee o admita a un extranjero mediante cualquier modalidad o relación que genere un beneficio, en especial laboral, cooperativa o civil, deberá informar por escrito o por los medios establecidos para tal fin a la Unidad Administrativa Especial Migración Colombia, sobre su vinculación, contratación o admisión, dentro de los quince (15) días calendario siguientes a la inici</w:t>
      </w:r>
      <w:r>
        <w:rPr>
          <w:rFonts w:ascii="Verdana" w:hAnsi="Verdana" w:cs="Arial"/>
          <w:color w:val="000000"/>
          <w:sz w:val="21"/>
          <w:szCs w:val="21"/>
        </w:rPr>
        <w:t>ación o terminación de labores.</w:t>
      </w:r>
    </w:p>
    <w:p w:rsidRPr="001222D5" w:rsidR="00290C91" w:rsidP="00290C91" w:rsidRDefault="00290C91" w14:paraId="6B3F49C9" w14:textId="77777777">
      <w:pPr>
        <w:pStyle w:val="NormalWeb"/>
        <w:spacing w:before="0" w:beforeAutospacing="0" w:after="0" w:afterAutospacing="0"/>
        <w:ind w:left="709" w:right="709"/>
        <w:jc w:val="both"/>
        <w:rPr>
          <w:rFonts w:ascii="Verdana" w:hAnsi="Verdana" w:cs="Arial"/>
          <w:color w:val="000000"/>
          <w:sz w:val="21"/>
          <w:szCs w:val="21"/>
        </w:rPr>
      </w:pPr>
    </w:p>
    <w:p w:rsidRPr="00056E93" w:rsidR="00290C91" w:rsidP="00290C91" w:rsidRDefault="00290C91" w14:paraId="75FE947C" w14:textId="77777777">
      <w:pPr>
        <w:spacing w:after="120" w:line="276" w:lineRule="auto"/>
        <w:ind w:firstLine="708"/>
        <w:jc w:val="both"/>
        <w:rPr>
          <w:rFonts w:ascii="Verdana" w:hAnsi="Verdana" w:eastAsia="Calibri" w:cs="Arial"/>
        </w:rPr>
      </w:pPr>
      <w:r w:rsidRPr="002A5157">
        <w:rPr>
          <w:rFonts w:ascii="Verdana" w:hAnsi="Verdana" w:eastAsia="Calibri" w:cs="Arial"/>
        </w:rPr>
        <w:t>A partir del artículo precitado, existe un deber de la entidad contratante, ya sea pública o privada de exigir la presentación de la visa que le permita desarrollar la actividad, ocupación u oficio declarado en la solicitud de la visa.</w:t>
      </w:r>
      <w:r>
        <w:rPr>
          <w:rFonts w:ascii="Verdana" w:hAnsi="Verdana" w:eastAsia="Calibri" w:cs="Arial"/>
        </w:rPr>
        <w:t xml:space="preserve"> De igual modo, debe exigirle</w:t>
      </w:r>
      <w:r w:rsidRPr="002A5157">
        <w:rPr>
          <w:rFonts w:ascii="Verdana" w:hAnsi="Verdana" w:eastAsia="Calibri" w:cs="Arial"/>
        </w:rPr>
        <w:t xml:space="preserve"> al extranjero la presentación de la Cédula de Extranjería cuando se esté en la obligación de tramitarla en cumplimient</w:t>
      </w:r>
      <w:r>
        <w:rPr>
          <w:rFonts w:ascii="Verdana" w:hAnsi="Verdana" w:eastAsia="Calibri" w:cs="Arial"/>
        </w:rPr>
        <w:t xml:space="preserve">o de los requisitos migratorios, como son los casos de las </w:t>
      </w:r>
      <w:r w:rsidRPr="002A5157">
        <w:rPr>
          <w:rFonts w:ascii="Verdana" w:hAnsi="Verdana" w:eastAsia="Calibri" w:cs="Arial"/>
        </w:rPr>
        <w:t>visas con vig</w:t>
      </w:r>
      <w:r>
        <w:rPr>
          <w:rFonts w:ascii="Verdana" w:hAnsi="Verdana" w:eastAsia="Calibri" w:cs="Arial"/>
        </w:rPr>
        <w:t xml:space="preserve">encia superior a </w:t>
      </w:r>
      <w:r>
        <w:rPr>
          <w:rFonts w:ascii="Verdana" w:hAnsi="Verdana" w:eastAsia="Calibri" w:cs="Arial"/>
        </w:rPr>
        <w:t xml:space="preserve">tres [3] meses, excepto </w:t>
      </w:r>
      <w:r w:rsidRPr="002A5157">
        <w:rPr>
          <w:rFonts w:ascii="Verdana" w:hAnsi="Verdana" w:eastAsia="Calibri" w:cs="Arial"/>
        </w:rPr>
        <w:t>los titulares de las visas que se establezcan para tal fin por parte del Mini</w:t>
      </w:r>
      <w:r>
        <w:rPr>
          <w:rFonts w:ascii="Verdana" w:hAnsi="Verdana" w:eastAsia="Calibri" w:cs="Arial"/>
        </w:rPr>
        <w:t>sterio de Relaciones Exteriores</w:t>
      </w:r>
      <w:r w:rsidRPr="002A5157">
        <w:rPr>
          <w:rFonts w:ascii="Verdana" w:hAnsi="Verdana" w:eastAsia="Calibri" w:cs="Arial"/>
        </w:rPr>
        <w:t>.</w:t>
      </w:r>
      <w:r>
        <w:rPr>
          <w:rFonts w:ascii="Verdana" w:hAnsi="Verdana" w:eastAsia="Calibri" w:cs="Arial"/>
        </w:rPr>
        <w:t xml:space="preserve"> En el evento</w:t>
      </w:r>
      <w:r w:rsidRPr="00056E93">
        <w:rPr>
          <w:rFonts w:ascii="Verdana" w:hAnsi="Verdana" w:eastAsia="Calibri" w:cs="Arial"/>
        </w:rPr>
        <w:t xml:space="preserve"> de presentarse una desvinculación antes del término previsto en la relación </w:t>
      </w:r>
      <w:r>
        <w:rPr>
          <w:rFonts w:ascii="Verdana" w:hAnsi="Verdana" w:eastAsia="Calibri" w:cs="Arial"/>
        </w:rPr>
        <w:t>debe</w:t>
      </w:r>
      <w:r w:rsidRPr="00056E93">
        <w:rPr>
          <w:rFonts w:ascii="Verdana" w:hAnsi="Verdana" w:eastAsia="Calibri" w:cs="Arial"/>
        </w:rPr>
        <w:t xml:space="preserve"> informar por escrito o por los medios electrónicos establecidos para tal fin a la Unidad Administrativa Especial Migración Colombia acerca de dicha terminación en un término de hasta quince (15) días calendario siguie</w:t>
      </w:r>
      <w:r>
        <w:rPr>
          <w:rFonts w:ascii="Verdana" w:hAnsi="Verdana" w:eastAsia="Calibri" w:cs="Arial"/>
        </w:rPr>
        <w:t xml:space="preserve">ntes a la ocurrencia del hecho Así mismo, establece que toda persona natural o jurídica que vincule, contrate, emplee o admita un extranjero para que presté sus servicios mediante cualquier modalidad debe suministrar la información que le solicite la autoridad de control migratorio. </w:t>
      </w:r>
    </w:p>
    <w:p w:rsidR="00290C91" w:rsidP="00290C91" w:rsidRDefault="00290C91" w14:paraId="42934B9D" w14:textId="77777777">
      <w:pPr>
        <w:spacing w:after="0" w:line="276" w:lineRule="auto"/>
        <w:ind w:firstLine="709"/>
        <w:jc w:val="both"/>
        <w:rPr>
          <w:rFonts w:ascii="Verdana" w:hAnsi="Verdana" w:eastAsia="Calibri" w:cs="Arial"/>
          <w:color w:val="000000"/>
        </w:rPr>
      </w:pPr>
      <w:r w:rsidRPr="0049600F">
        <w:rPr>
          <w:rFonts w:ascii="Verdana" w:hAnsi="Verdana" w:eastAsia="Calibri" w:cs="Arial"/>
        </w:rPr>
        <w:t xml:space="preserve">En el marco de lo dispuesto, el Ministerio de Relaciones Exteriores expidió la Resolución 5477 de 2022, “Por la cual se dictan disposiciones en materia de visas y se deroga la Resolución </w:t>
      </w:r>
      <w:hyperlink w:history="1" w:anchor="INICIO" r:id="rId19">
        <w:r w:rsidRPr="0049600F">
          <w:rPr>
            <w:rStyle w:val="Hipervnculo"/>
            <w:rFonts w:ascii="Verdana" w:hAnsi="Verdana" w:eastAsia="Calibri" w:cs="Arial"/>
            <w:color w:val="auto"/>
            <w:u w:val="none"/>
          </w:rPr>
          <w:t>1980</w:t>
        </w:r>
      </w:hyperlink>
      <w:r w:rsidRPr="0049600F">
        <w:rPr>
          <w:rFonts w:ascii="Verdana" w:hAnsi="Verdana" w:eastAsia="Calibri" w:cs="Arial"/>
        </w:rPr>
        <w:t xml:space="preserve"> del 19 de marzo de 2014 y la Resolución </w:t>
      </w:r>
      <w:hyperlink w:history="1" w:anchor="INICIO" r:id="rId20">
        <w:r w:rsidRPr="0049600F">
          <w:rPr>
            <w:rStyle w:val="Hipervnculo"/>
            <w:rFonts w:ascii="Verdana" w:hAnsi="Verdana" w:eastAsia="Calibri" w:cs="Arial"/>
            <w:color w:val="auto"/>
            <w:u w:val="none"/>
          </w:rPr>
          <w:t>6045</w:t>
        </w:r>
      </w:hyperlink>
      <w:r w:rsidRPr="0049600F">
        <w:rPr>
          <w:rFonts w:ascii="Verdana" w:hAnsi="Verdana" w:eastAsia="Calibri" w:cs="Arial"/>
        </w:rPr>
        <w:t xml:space="preserve"> del 2 de agosto de 2017”. </w:t>
      </w:r>
      <w:r w:rsidRPr="0049600F">
        <w:rPr>
          <w:rFonts w:ascii="Verdana" w:hAnsi="Verdana"/>
        </w:rPr>
        <w:t xml:space="preserve">En esta Resolución, </w:t>
      </w:r>
      <w:r>
        <w:rPr>
          <w:rFonts w:ascii="Verdana" w:hAnsi="Verdana"/>
        </w:rPr>
        <w:t xml:space="preserve">se establecen </w:t>
      </w:r>
      <w:r w:rsidRPr="0049600F">
        <w:rPr>
          <w:rFonts w:ascii="Verdana" w:hAnsi="Verdana"/>
        </w:rPr>
        <w:t xml:space="preserve">diferentes tipos de visas que habilitan al ciudadano extranjero para trabajar en Colombia, como lo prescribe el artículo 16: </w:t>
      </w:r>
      <w:r>
        <w:rPr>
          <w:rFonts w:ascii="Verdana" w:hAnsi="Verdana"/>
        </w:rPr>
        <w:t>“</w:t>
      </w:r>
      <w:r w:rsidRPr="0049600F">
        <w:rPr>
          <w:rFonts w:ascii="Verdana" w:hAnsi="Verdana" w:cs="Arial"/>
        </w:rPr>
        <w:t>Cuando se trate de visas que otorgan autorización para trabajar, tanto el extranjero, como el empleador o contratante, deberán cumplir con las normas laborales del Estado colombiano, con las normas específicas para el ejercicio de cada profesión u oficio y con las obligaciones respecto a reporte y registro establecidas en el Decreto</w:t>
      </w:r>
      <w:r>
        <w:rPr>
          <w:rFonts w:ascii="Verdana" w:hAnsi="Verdana" w:cs="Arial"/>
        </w:rPr>
        <w:t xml:space="preserve"> </w:t>
      </w:r>
      <w:hyperlink w:history="1" w:anchor="INICIO" r:id="rId21">
        <w:r w:rsidRPr="0049600F">
          <w:rPr>
            <w:rFonts w:ascii="Verdana" w:hAnsi="Verdana" w:cs="Arial"/>
          </w:rPr>
          <w:t>1067</w:t>
        </w:r>
      </w:hyperlink>
      <w:r>
        <w:rPr>
          <w:rFonts w:ascii="Verdana" w:hAnsi="Verdana" w:cs="Arial"/>
        </w:rPr>
        <w:t xml:space="preserve"> </w:t>
      </w:r>
      <w:r w:rsidRPr="0049600F">
        <w:rPr>
          <w:rFonts w:ascii="Verdana" w:hAnsi="Verdana" w:cs="Arial"/>
        </w:rPr>
        <w:t>de 2015, o norma que lo sustituya</w:t>
      </w:r>
      <w:r>
        <w:rPr>
          <w:rFonts w:ascii="Verdana" w:hAnsi="Verdana" w:cs="Arial"/>
        </w:rPr>
        <w:t>”</w:t>
      </w:r>
      <w:r w:rsidRPr="0049600F">
        <w:rPr>
          <w:rFonts w:ascii="Verdana" w:hAnsi="Verdana" w:cs="Arial"/>
        </w:rPr>
        <w:t>.</w:t>
      </w:r>
      <w:r>
        <w:rPr>
          <w:rFonts w:ascii="Verdana" w:hAnsi="Verdana"/>
        </w:rPr>
        <w:t xml:space="preserve"> </w:t>
      </w:r>
      <w:r>
        <w:rPr>
          <w:rFonts w:ascii="Verdana" w:hAnsi="Verdana" w:eastAsia="Calibri" w:cs="Arial"/>
          <w:color w:val="000000"/>
        </w:rPr>
        <w:t>A modo de ejemplo, se encuentra el tipo de Visa de Visitante “V”, Categoría 20 “Vacaciones y Trabajo”, que está regulado en el artículo 30:</w:t>
      </w:r>
    </w:p>
    <w:p w:rsidR="00290C91" w:rsidP="00290C91" w:rsidRDefault="00290C91" w14:paraId="27C89589" w14:textId="77777777">
      <w:pPr>
        <w:spacing w:after="0" w:line="276" w:lineRule="auto"/>
        <w:ind w:firstLine="709"/>
        <w:jc w:val="both"/>
        <w:rPr>
          <w:rFonts w:ascii="Verdana" w:hAnsi="Verdana" w:eastAsia="Calibri" w:cs="Arial"/>
          <w:color w:val="000000"/>
        </w:rPr>
      </w:pPr>
    </w:p>
    <w:p w:rsidRPr="002A5157" w:rsidR="00290C91" w:rsidP="00290C91" w:rsidRDefault="00290C91" w14:paraId="551D77E5" w14:textId="77777777">
      <w:pPr>
        <w:spacing w:after="0" w:line="240" w:lineRule="auto"/>
        <w:ind w:left="709" w:right="709"/>
        <w:jc w:val="both"/>
        <w:rPr>
          <w:rFonts w:ascii="Verdana" w:hAnsi="Verdana"/>
          <w:sz w:val="21"/>
          <w:szCs w:val="21"/>
        </w:rPr>
      </w:pPr>
      <w:r w:rsidRPr="002A5157">
        <w:rPr>
          <w:rFonts w:ascii="Verdana" w:hAnsi="Verdana" w:eastAsia="Calibri" w:cs="Arial"/>
          <w:bCs/>
          <w:color w:val="000000"/>
          <w:sz w:val="21"/>
          <w:szCs w:val="21"/>
        </w:rPr>
        <w:t>ARTÍCULO 30. PERMISO DE TRABAJO EN LA VISA TIPO V.</w:t>
      </w:r>
      <w:r w:rsidRPr="002A5157">
        <w:rPr>
          <w:rFonts w:ascii="Verdana" w:hAnsi="Verdana" w:eastAsia="Calibri" w:cs="Arial"/>
          <w:color w:val="000000"/>
          <w:sz w:val="21"/>
          <w:szCs w:val="21"/>
        </w:rPr>
        <w:t> Las visas tipo V que conceden permiso de trabajo lo limitan exclusivamente para el evento, proyecto, embarcación, práctica, misión. oficio o cargo y entidad con la cual se otorgue la visa de visitante, según corresponda.</w:t>
      </w:r>
    </w:p>
    <w:p w:rsidRPr="002A5157" w:rsidR="00290C91" w:rsidP="00290C91" w:rsidRDefault="00290C91" w14:paraId="668D5ED6" w14:textId="77777777">
      <w:pPr>
        <w:spacing w:after="0" w:line="240" w:lineRule="auto"/>
        <w:ind w:left="709" w:right="709"/>
        <w:jc w:val="both"/>
        <w:rPr>
          <w:rFonts w:ascii="Verdana" w:hAnsi="Verdana" w:eastAsia="Calibri" w:cs="Arial"/>
          <w:color w:val="000000"/>
          <w:sz w:val="21"/>
          <w:szCs w:val="21"/>
        </w:rPr>
      </w:pPr>
      <w:r w:rsidRPr="002A5157">
        <w:rPr>
          <w:rFonts w:ascii="Verdana" w:hAnsi="Verdana" w:eastAsia="Calibri" w:cs="Arial"/>
          <w:bCs/>
          <w:color w:val="000000"/>
          <w:sz w:val="21"/>
          <w:szCs w:val="21"/>
        </w:rPr>
        <w:t>PARÁGRAFO 1o.</w:t>
      </w:r>
      <w:r w:rsidRPr="002A5157">
        <w:rPr>
          <w:rFonts w:ascii="Verdana" w:hAnsi="Verdana" w:eastAsia="Calibri" w:cs="Arial"/>
          <w:color w:val="000000"/>
          <w:sz w:val="21"/>
          <w:szCs w:val="21"/>
        </w:rPr>
        <w:t> La visa V vacaciones y trabajo, por su naturaleza, concede permiso de trabajo abierto, sujeto al principio de reciprocidad.</w:t>
      </w:r>
    </w:p>
    <w:p w:rsidR="00290C91" w:rsidP="00290C91" w:rsidRDefault="00290C91" w14:paraId="587C1EFE" w14:textId="77777777">
      <w:pPr>
        <w:spacing w:after="0" w:line="240" w:lineRule="auto"/>
        <w:ind w:left="709" w:right="709"/>
        <w:jc w:val="both"/>
        <w:rPr>
          <w:rFonts w:ascii="Verdana" w:hAnsi="Verdana" w:eastAsia="Calibri" w:cs="Arial"/>
          <w:color w:val="000000"/>
          <w:sz w:val="21"/>
          <w:szCs w:val="21"/>
        </w:rPr>
      </w:pPr>
      <w:r w:rsidRPr="002A5157">
        <w:rPr>
          <w:rFonts w:ascii="Verdana" w:hAnsi="Verdana" w:eastAsia="Calibri" w:cs="Arial"/>
          <w:bCs/>
          <w:color w:val="000000"/>
          <w:sz w:val="21"/>
          <w:szCs w:val="21"/>
        </w:rPr>
        <w:t>PARÁGRAFO 2o.</w:t>
      </w:r>
      <w:r w:rsidRPr="002A5157">
        <w:rPr>
          <w:rFonts w:ascii="Verdana" w:hAnsi="Verdana" w:eastAsia="Calibri" w:cs="Arial"/>
          <w:color w:val="000000"/>
          <w:sz w:val="21"/>
          <w:szCs w:val="21"/>
        </w:rPr>
        <w:t xml:space="preserve"> Para el ejercicio de ocupaciones o actividades no previstas en esta resolución, previo estudio de las circunstancias que motivan el ingreso y la permanencia del extranjero en el país, </w:t>
      </w:r>
      <w:r>
        <w:rPr>
          <w:rFonts w:ascii="Verdana" w:hAnsi="Verdana" w:eastAsia="Calibri" w:cs="Arial"/>
          <w:color w:val="000000"/>
          <w:sz w:val="21"/>
          <w:szCs w:val="21"/>
        </w:rPr>
        <w:t>se podrá autorizar visa tipo V.</w:t>
      </w:r>
    </w:p>
    <w:p w:rsidR="00290C91" w:rsidP="00290C91" w:rsidRDefault="00290C91" w14:paraId="2CBDDBA7" w14:textId="77777777">
      <w:pPr>
        <w:spacing w:after="0" w:line="276" w:lineRule="auto"/>
        <w:jc w:val="both"/>
        <w:rPr>
          <w:rFonts w:ascii="Verdana" w:hAnsi="Verdana" w:eastAsia="Calibri" w:cs="Arial"/>
          <w:color w:val="000000"/>
        </w:rPr>
      </w:pPr>
    </w:p>
    <w:p w:rsidRPr="00C30254" w:rsidR="00290C91" w:rsidP="00290C91" w:rsidRDefault="00290C91" w14:paraId="0AA0664B" w14:textId="11008D58">
      <w:pPr>
        <w:spacing w:after="120" w:line="276" w:lineRule="auto"/>
        <w:jc w:val="both"/>
        <w:rPr>
          <w:rFonts w:ascii="Verdana" w:hAnsi="Verdana" w:eastAsia="Calibri" w:cs="Arial"/>
          <w:color w:val="000000"/>
        </w:rPr>
      </w:pPr>
      <w:r>
        <w:rPr>
          <w:rFonts w:ascii="Verdana" w:hAnsi="Verdana" w:eastAsia="Calibri" w:cs="Arial"/>
          <w:color w:val="000000"/>
        </w:rPr>
        <w:tab/>
      </w:r>
      <w:r>
        <w:rPr>
          <w:rFonts w:ascii="Verdana" w:hAnsi="Verdana" w:eastAsia="Calibri" w:cs="Arial"/>
          <w:color w:val="000000"/>
        </w:rPr>
        <w:t>De lo precitado</w:t>
      </w:r>
      <w:r w:rsidR="00F47E41">
        <w:rPr>
          <w:rFonts w:ascii="Verdana" w:hAnsi="Verdana" w:eastAsia="Calibri" w:cs="Arial"/>
          <w:color w:val="000000"/>
        </w:rPr>
        <w:t>,</w:t>
      </w:r>
      <w:r>
        <w:rPr>
          <w:rFonts w:ascii="Verdana" w:hAnsi="Verdana" w:eastAsia="Calibri" w:cs="Arial"/>
          <w:color w:val="000000"/>
        </w:rPr>
        <w:t xml:space="preserve"> es sin perjuicio de las condiciones especiales que pueden tener cierto tipo de migrantes. Un ejemplo de ello</w:t>
      </w:r>
      <w:r w:rsidR="00F47E41">
        <w:rPr>
          <w:rFonts w:ascii="Verdana" w:hAnsi="Verdana" w:eastAsia="Calibri" w:cs="Arial"/>
          <w:color w:val="000000"/>
        </w:rPr>
        <w:t>,</w:t>
      </w:r>
      <w:r>
        <w:rPr>
          <w:rFonts w:ascii="Verdana" w:hAnsi="Verdana" w:eastAsia="Calibri" w:cs="Arial"/>
          <w:color w:val="000000"/>
        </w:rPr>
        <w:t xml:space="preserve"> son los migrantes </w:t>
      </w:r>
      <w:r>
        <w:rPr>
          <w:rFonts w:ascii="Verdana" w:hAnsi="Verdana" w:eastAsia="Calibri" w:cs="Arial"/>
          <w:color w:val="000000"/>
        </w:rPr>
        <w:t xml:space="preserve">venezolanos que en el artículo </w:t>
      </w:r>
      <w:r w:rsidRPr="00C30254">
        <w:rPr>
          <w:rFonts w:ascii="Verdana" w:hAnsi="Verdana" w:eastAsia="Calibri" w:cs="Arial"/>
          <w:color w:val="000000"/>
        </w:rPr>
        <w:t>2.2.6.8.3.1. del Decreto 1072 de 2015</w:t>
      </w:r>
      <w:r w:rsidRPr="00C30254">
        <w:rPr>
          <w:rStyle w:val="Refdenotaalpie"/>
          <w:rFonts w:ascii="Verdana" w:hAnsi="Verdana" w:eastAsia="Calibri" w:cs="Arial"/>
          <w:color w:val="000000"/>
        </w:rPr>
        <w:footnoteReference w:id="21"/>
      </w:r>
      <w:r w:rsidRPr="00C30254">
        <w:rPr>
          <w:rFonts w:ascii="Verdana" w:hAnsi="Verdana" w:eastAsia="Calibri" w:cs="Arial"/>
          <w:color w:val="000000"/>
        </w:rPr>
        <w:t>, “</w:t>
      </w:r>
      <w:r w:rsidRPr="00C30254">
        <w:rPr>
          <w:rFonts w:ascii="Verdana" w:hAnsi="Verdana" w:eastAsia="Calibri" w:cs="Arial"/>
          <w:bCs/>
          <w:color w:val="000000"/>
        </w:rPr>
        <w:t>por medio del cual se expide el Decreto Único Reglamentario del Sector Trabajo”,</w:t>
      </w:r>
      <w:r w:rsidRPr="00C30254">
        <w:rPr>
          <w:rFonts w:ascii="Verdana" w:hAnsi="Verdana" w:eastAsia="Calibri" w:cs="Arial"/>
          <w:b/>
          <w:bCs/>
          <w:color w:val="000000"/>
        </w:rPr>
        <w:t xml:space="preserve"> </w:t>
      </w:r>
      <w:r w:rsidRPr="00C30254">
        <w:rPr>
          <w:rFonts w:ascii="Verdana" w:hAnsi="Verdana" w:eastAsia="Calibri" w:cs="Arial"/>
          <w:color w:val="000000"/>
        </w:rPr>
        <w:t xml:space="preserve">que crea un Permiso Especial de Permanencia para el Fomento de la Formalización –PEPFF-, el cual es un mecanismo excepcional y transitorio dirigido a facilitar la regularidad migratoria de los migrantes venezolanos en Colombia, ya sea para suscribir contratos laborales o contratos de prestación de servicios. </w:t>
      </w:r>
    </w:p>
    <w:p w:rsidRPr="00C30254" w:rsidR="00290C91" w:rsidP="00290C91" w:rsidRDefault="00290C91" w14:paraId="46810FCE" w14:textId="77777777">
      <w:pPr>
        <w:spacing w:before="120" w:after="120" w:line="276" w:lineRule="auto"/>
        <w:jc w:val="both"/>
        <w:rPr>
          <w:rFonts w:ascii="Verdana" w:hAnsi="Verdana" w:eastAsia="Calibri" w:cs="Arial"/>
          <w:bCs/>
          <w:color w:val="000000"/>
          <w:lang w:val="es-ES_tradnl"/>
        </w:rPr>
      </w:pPr>
      <w:r w:rsidRPr="00C30254">
        <w:rPr>
          <w:rFonts w:ascii="Verdana" w:hAnsi="Verdana" w:eastAsia="Calibri" w:cs="Arial"/>
          <w:color w:val="000000"/>
        </w:rPr>
        <w:tab/>
      </w:r>
      <w:r w:rsidRPr="00C30254">
        <w:rPr>
          <w:rFonts w:ascii="Verdana" w:hAnsi="Verdana" w:eastAsia="Calibri" w:cs="Arial"/>
          <w:color w:val="000000"/>
        </w:rPr>
        <w:t xml:space="preserve">De igual manera, en el momento de celebrar un contrato de prestación de servicios de apoyo con un extranjero hay que </w:t>
      </w:r>
      <w:r>
        <w:rPr>
          <w:rFonts w:ascii="Verdana" w:hAnsi="Verdana" w:eastAsia="Calibri" w:cs="Arial"/>
          <w:color w:val="000000"/>
        </w:rPr>
        <w:t xml:space="preserve">tener cuenta </w:t>
      </w:r>
      <w:r w:rsidRPr="00C30254">
        <w:rPr>
          <w:rFonts w:ascii="Verdana" w:hAnsi="Verdana" w:eastAsia="Calibri" w:cs="Arial"/>
          <w:bCs/>
          <w:color w:val="000000"/>
          <w:lang w:val="es-ES_tradnl"/>
        </w:rPr>
        <w:t xml:space="preserve">el procedimiento y todos los aspectos relacionados con la forma de acreditación de los títulos académicos en Colombia </w:t>
      </w:r>
      <w:r>
        <w:rPr>
          <w:rFonts w:ascii="Verdana" w:hAnsi="Verdana" w:eastAsia="Calibri" w:cs="Arial"/>
          <w:bCs/>
          <w:color w:val="000000"/>
          <w:lang w:val="es-ES_tradnl"/>
        </w:rPr>
        <w:t>que es competencia del legislador y</w:t>
      </w:r>
      <w:r w:rsidRPr="00C30254">
        <w:rPr>
          <w:rFonts w:ascii="Verdana" w:hAnsi="Verdana" w:eastAsia="Calibri" w:cs="Arial"/>
          <w:bCs/>
          <w:color w:val="000000"/>
          <w:lang w:val="es-ES_tradnl"/>
        </w:rPr>
        <w:t xml:space="preserve"> no de esta Agencia. En tal sentido, al Ministerio de Educación le fue asignada la función de convalidar los títulos académicos obtenidos en el extranjero. En efecto, el Decreto 5012 de 2009, en el artículo </w:t>
      </w:r>
      <w:r>
        <w:rPr>
          <w:rFonts w:ascii="Verdana" w:hAnsi="Verdana" w:eastAsia="Calibri" w:cs="Arial"/>
          <w:bCs/>
          <w:color w:val="000000"/>
          <w:lang w:val="es-ES_tradnl"/>
        </w:rPr>
        <w:t>14.12</w:t>
      </w:r>
      <w:r w:rsidRPr="00C30254">
        <w:rPr>
          <w:rFonts w:ascii="Verdana" w:hAnsi="Verdana" w:eastAsia="Calibri" w:cs="Arial"/>
          <w:bCs/>
          <w:color w:val="000000"/>
          <w:lang w:val="es-ES_tradnl"/>
        </w:rPr>
        <w:t xml:space="preserve">. </w:t>
      </w:r>
      <w:r w:rsidRPr="00C53B6C">
        <w:rPr>
          <w:rFonts w:ascii="Verdana" w:hAnsi="Verdana" w:eastAsia="Calibri" w:cs="Arial"/>
          <w:bCs/>
          <w:color w:val="000000"/>
          <w:lang w:val="es-ES_tradnl"/>
        </w:rPr>
        <w:t xml:space="preserve">prescribe que son funciones de la </w:t>
      </w:r>
      <w:r w:rsidRPr="00C53B6C">
        <w:rPr>
          <w:rFonts w:ascii="Verdana" w:hAnsi="Verdana" w:eastAsia="Calibri" w:cs="Arial"/>
          <w:bCs/>
          <w:iCs/>
          <w:color w:val="000000"/>
        </w:rPr>
        <w:t>Dirección de Calidad para la Educación Preescolar, Básica y Media</w:t>
      </w:r>
      <w:r w:rsidRPr="00C53B6C">
        <w:rPr>
          <w:rFonts w:ascii="Verdana" w:hAnsi="Verdana" w:eastAsia="Calibri" w:cs="Arial"/>
          <w:bCs/>
          <w:color w:val="000000"/>
        </w:rPr>
        <w:t xml:space="preserve"> del Ministerio de Educación</w:t>
      </w:r>
      <w:r w:rsidRPr="00C53B6C">
        <w:rPr>
          <w:rFonts w:ascii="Verdana" w:hAnsi="Verdana" w:eastAsia="Calibri" w:cs="Arial"/>
          <w:bCs/>
          <w:color w:val="000000"/>
          <w:lang w:val="es-ES_tradnl"/>
        </w:rPr>
        <w:t>: “</w:t>
      </w:r>
      <w:r w:rsidRPr="00C53B6C">
        <w:rPr>
          <w:rFonts w:ascii="Verdana" w:hAnsi="Verdana" w:cs="Arial"/>
          <w:color w:val="000000"/>
          <w:lang w:val="es-ES_tradnl"/>
        </w:rPr>
        <w:t>[…]</w:t>
      </w:r>
      <w:r w:rsidRPr="00C53B6C">
        <w:rPr>
          <w:rFonts w:ascii="Verdana" w:hAnsi="Verdana" w:cs="Arial"/>
          <w:color w:val="000000"/>
        </w:rPr>
        <w:t xml:space="preserve"> Homologar y convalidar títulos de estudios de preescolar, básica y media cursados en el exterior de conformidad con la ley”. Por otro lado, el </w:t>
      </w:r>
      <w:r w:rsidRPr="00C53B6C">
        <w:rPr>
          <w:rFonts w:ascii="Verdana" w:hAnsi="Verdana" w:eastAsia="Calibri" w:cs="Arial"/>
          <w:bCs/>
          <w:color w:val="000000"/>
          <w:lang w:val="es-ES_tradnl"/>
        </w:rPr>
        <w:t xml:space="preserve">artículo 29.1, señala como una de las funciones de la </w:t>
      </w:r>
      <w:r w:rsidRPr="00C53B6C">
        <w:rPr>
          <w:rFonts w:ascii="Verdana" w:hAnsi="Verdana" w:eastAsia="Calibri" w:cs="Arial"/>
          <w:bCs/>
          <w:iCs/>
          <w:color w:val="000000"/>
        </w:rPr>
        <w:t>Subdirección de Aseguramiento de la Calidad de la Educación Superior del Ministerio de Educación</w:t>
      </w:r>
      <w:r w:rsidRPr="00C53B6C">
        <w:rPr>
          <w:rFonts w:ascii="Verdana" w:hAnsi="Verdana" w:eastAsia="Calibri" w:cs="Arial"/>
          <w:bCs/>
          <w:color w:val="000000"/>
          <w:lang w:val="es-ES_tradnl"/>
        </w:rPr>
        <w:t>: “[…] convalidar títulos de educación superior otorgados por instituciones de educación superior extranjeras, para efectos académicos y legales en el territorio nacional”.</w:t>
      </w:r>
    </w:p>
    <w:p w:rsidRPr="00A51B1A" w:rsidR="00290C91" w:rsidP="00290C91" w:rsidRDefault="00290C91" w14:paraId="60483364" w14:textId="77777777">
      <w:pPr>
        <w:spacing w:before="120" w:after="120" w:line="276" w:lineRule="auto"/>
        <w:ind w:firstLine="708"/>
        <w:jc w:val="both"/>
        <w:rPr>
          <w:rFonts w:ascii="Verdana" w:hAnsi="Verdana" w:eastAsia="Calibri" w:cs="Arial"/>
          <w:bCs/>
          <w:color w:val="000000"/>
          <w:lang w:val="es-ES_tradnl"/>
        </w:rPr>
      </w:pPr>
      <w:r w:rsidRPr="00A51B1A">
        <w:rPr>
          <w:rFonts w:ascii="Verdana" w:hAnsi="Verdana" w:eastAsia="Calibri" w:cs="Arial"/>
          <w:bCs/>
          <w:color w:val="000000"/>
          <w:lang w:val="es-ES_tradnl"/>
        </w:rPr>
        <w:t>Asimismo, el Decreto Único Reglamentario 1075 de 2015, que regula el sector de Educación, contiene varias normas que contemplan la convalidación del título obtenido en el extranjero, como un requisito para que este tenga validez en Colombia. Por ejemplo,</w:t>
      </w:r>
      <w:r>
        <w:rPr>
          <w:rFonts w:ascii="Verdana" w:hAnsi="Verdana" w:eastAsia="Calibri" w:cs="Arial"/>
          <w:bCs/>
          <w:color w:val="000000"/>
          <w:lang w:val="es-ES_tradnl"/>
        </w:rPr>
        <w:t xml:space="preserve"> el a</w:t>
      </w:r>
      <w:r>
        <w:rPr>
          <w:rFonts w:ascii="Verdana" w:hAnsi="Verdana" w:eastAsia="Calibri" w:cs="Arial"/>
          <w:bCs/>
          <w:color w:val="000000"/>
        </w:rPr>
        <w:t xml:space="preserve">rtículo 2.3.3.3.5.5. dispone: “[…] </w:t>
      </w:r>
      <w:r w:rsidRPr="00902D87">
        <w:rPr>
          <w:rFonts w:ascii="Verdana" w:hAnsi="Verdana" w:eastAsia="Calibri" w:cs="Arial"/>
          <w:bCs/>
          <w:color w:val="000000"/>
        </w:rPr>
        <w:t>Para la validez del título de bachiller solamente se requiere su expedición por parte de las instituciones educativas legalmente autorizadas para ello, a quienes hayan cumplido con los requisitos establecidos en el proyecto educativo institucional o de su convalidación por parte de las instituciones del Estado señaladas para verificar, homolo</w:t>
      </w:r>
      <w:r>
        <w:rPr>
          <w:rFonts w:ascii="Verdana" w:hAnsi="Verdana" w:eastAsia="Calibri" w:cs="Arial"/>
          <w:bCs/>
          <w:color w:val="000000"/>
        </w:rPr>
        <w:t xml:space="preserve">gar o convalidar conocimientos”. Esto, sin perjuicio de las </w:t>
      </w:r>
      <w:r>
        <w:rPr>
          <w:rFonts w:ascii="Verdana" w:hAnsi="Verdana" w:eastAsia="Calibri" w:cs="Arial"/>
          <w:bCs/>
          <w:color w:val="000000"/>
        </w:rPr>
        <w:t xml:space="preserve">demás reglas que deben tenerse en cuenta para la suscripción de contratos de prestación de servicios de apoyo a la gestión con extranjeros. </w:t>
      </w:r>
    </w:p>
    <w:p w:rsidR="00290C91" w:rsidP="00290C91" w:rsidRDefault="00290C91" w14:paraId="4CE87033" w14:textId="77777777">
      <w:pPr>
        <w:spacing w:after="0" w:line="276" w:lineRule="auto"/>
        <w:ind w:firstLine="720"/>
        <w:jc w:val="both"/>
        <w:rPr>
          <w:rFonts w:ascii="Verdana" w:hAnsi="Verdana" w:eastAsia="Calibri" w:cs="Times New Roman"/>
        </w:rPr>
      </w:pPr>
      <w:r w:rsidRPr="00C53B6C">
        <w:rPr>
          <w:rFonts w:ascii="Verdana" w:hAnsi="Verdana" w:eastAsia="Calibri" w:cs="Times New Roman"/>
          <w:bCs/>
          <w:lang w:val="es-ES_tradnl"/>
        </w:rPr>
        <w:t>En todo caso</w:t>
      </w:r>
      <w:r w:rsidRPr="00C53B6C">
        <w:rPr>
          <w:rFonts w:ascii="Verdana" w:hAnsi="Verdana" w:eastAsia="Calibri" w:cs="Times New Roman"/>
        </w:rPr>
        <w:t xml:space="preserve">, las </w:t>
      </w:r>
      <w:r>
        <w:rPr>
          <w:rFonts w:ascii="Verdana" w:hAnsi="Verdana" w:eastAsia="Calibri" w:cs="Times New Roman"/>
        </w:rPr>
        <w:t xml:space="preserve">entidades </w:t>
      </w:r>
      <w:r w:rsidRPr="00C53B6C">
        <w:rPr>
          <w:rFonts w:ascii="Verdana" w:hAnsi="Verdana" w:eastAsia="Calibri" w:cs="Times New Roman"/>
        </w:rPr>
        <w:t xml:space="preserve">definirán en cada caso concreto lo relacionado </w:t>
      </w:r>
      <w:r>
        <w:rPr>
          <w:rFonts w:ascii="Verdana" w:hAnsi="Verdana" w:eastAsia="Calibri" w:cs="Times New Roman"/>
        </w:rPr>
        <w:t>con el tema objeto de consulta</w:t>
      </w:r>
      <w:r w:rsidRPr="00C53B6C">
        <w:rPr>
          <w:rFonts w:ascii="Verdana" w:hAnsi="Verdana" w:eastAsia="Calibri" w:cs="Times New Roman"/>
        </w:rPr>
        <w:t>.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w:t>
      </w:r>
      <w:r>
        <w:rPr>
          <w:rFonts w:ascii="Verdana" w:hAnsi="Verdana" w:eastAsia="Calibri" w:cs="Times New Roman"/>
        </w:rPr>
        <w:t>stión contractual.</w:t>
      </w:r>
    </w:p>
    <w:p w:rsidRPr="00C63FDD" w:rsidR="00290C91" w:rsidP="00290C91" w:rsidRDefault="00290C91" w14:paraId="0C252B73" w14:textId="77777777">
      <w:pPr>
        <w:spacing w:after="0" w:line="276" w:lineRule="auto"/>
        <w:ind w:firstLine="720"/>
        <w:jc w:val="both"/>
        <w:rPr>
          <w:rFonts w:ascii="Verdana" w:hAnsi="Verdana" w:eastAsia="Calibri" w:cs="Times New Roman"/>
        </w:rPr>
      </w:pPr>
    </w:p>
    <w:p w:rsidR="00290C91" w:rsidP="00290C91" w:rsidRDefault="00290C91" w14:paraId="090082DE" w14:textId="77777777">
      <w:pPr>
        <w:pStyle w:val="Prrafodelista"/>
        <w:numPr>
          <w:ilvl w:val="0"/>
          <w:numId w:val="19"/>
        </w:numPr>
        <w:spacing w:after="0" w:line="276" w:lineRule="auto"/>
        <w:jc w:val="both"/>
        <w:rPr>
          <w:rFonts w:ascii="Verdana" w:hAnsi="Verdana" w:eastAsia="Calibri" w:cs="Times New Roman"/>
          <w:b/>
          <w:bCs/>
        </w:rPr>
      </w:pPr>
      <w:r w:rsidRPr="00902D87">
        <w:rPr>
          <w:rFonts w:ascii="Verdana" w:hAnsi="Verdana" w:eastAsia="Calibri" w:cs="Times New Roman"/>
          <w:b/>
          <w:bCs/>
        </w:rPr>
        <w:t>Referencias normativas</w:t>
      </w:r>
    </w:p>
    <w:p w:rsidRPr="00E06D88" w:rsidR="00290C91" w:rsidP="00290C91" w:rsidRDefault="00290C91" w14:paraId="73A938F1" w14:textId="77777777">
      <w:pPr>
        <w:pStyle w:val="Prrafodelista"/>
        <w:spacing w:after="0" w:line="276" w:lineRule="auto"/>
        <w:ind w:left="1080"/>
        <w:jc w:val="both"/>
        <w:rPr>
          <w:rFonts w:ascii="Verdana" w:hAnsi="Verdana" w:eastAsia="Calibri" w:cs="Times New Roman"/>
          <w:b/>
          <w:bCs/>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B57580" w:rsidR="00290C91" w:rsidTr="00FF7D37" w14:paraId="7363E652" w14:textId="77777777">
        <w:trPr>
          <w:trHeight w:val="870"/>
          <w:jc w:val="center"/>
        </w:trPr>
        <w:tc>
          <w:tcPr>
            <w:tcW w:w="8647" w:type="dxa"/>
          </w:tcPr>
          <w:p w:rsidRPr="00C95857" w:rsidR="00290C91" w:rsidP="00095773" w:rsidRDefault="00290C91" w14:paraId="3DFA5B87" w14:textId="77777777">
            <w:pPr>
              <w:pStyle w:val="Prrafodelista"/>
              <w:numPr>
                <w:ilvl w:val="0"/>
                <w:numId w:val="25"/>
              </w:numPr>
              <w:spacing w:before="120" w:after="120"/>
              <w:ind w:left="714" w:hanging="357"/>
              <w:contextualSpacing w:val="0"/>
              <w:jc w:val="both"/>
              <w:rPr>
                <w:rFonts w:ascii="Verdana" w:hAnsi="Verdana" w:cs="Arial"/>
              </w:rPr>
            </w:pPr>
            <w:r w:rsidRPr="002C6D87">
              <w:rPr>
                <w:rFonts w:ascii="Verdana" w:hAnsi="Verdana" w:cs="Arial"/>
              </w:rPr>
              <w:t>Ley 80 de 1993, artículo</w:t>
            </w:r>
            <w:r>
              <w:rPr>
                <w:rFonts w:ascii="Verdana" w:hAnsi="Verdana" w:cs="Arial"/>
              </w:rPr>
              <w:t>s 13, 25 y</w:t>
            </w:r>
            <w:r w:rsidRPr="002C6D87">
              <w:rPr>
                <w:rFonts w:ascii="Verdana" w:hAnsi="Verdana" w:cs="Arial"/>
              </w:rPr>
              <w:t xml:space="preserve"> 32, numeral 3º. </w:t>
            </w:r>
          </w:p>
          <w:p w:rsidRPr="00C95857" w:rsidR="00290C91" w:rsidP="00095773" w:rsidRDefault="00290C91" w14:paraId="48962C20" w14:textId="77777777">
            <w:pPr>
              <w:pStyle w:val="Prrafodelista"/>
              <w:numPr>
                <w:ilvl w:val="0"/>
                <w:numId w:val="25"/>
              </w:numPr>
              <w:spacing w:before="120" w:after="120"/>
              <w:ind w:left="714" w:hanging="357"/>
              <w:contextualSpacing w:val="0"/>
              <w:jc w:val="both"/>
              <w:rPr>
                <w:rFonts w:ascii="Verdana" w:hAnsi="Verdana" w:cs="Arial"/>
              </w:rPr>
            </w:pPr>
            <w:r w:rsidRPr="002C6D87">
              <w:rPr>
                <w:rFonts w:ascii="Verdana" w:hAnsi="Verdana" w:cs="Arial"/>
              </w:rPr>
              <w:t xml:space="preserve">Ley 1150 de 2007, artículo 2, numeral 4º, literal h). </w:t>
            </w:r>
          </w:p>
          <w:p w:rsidRPr="00C95857" w:rsidR="00290C91" w:rsidP="00095773" w:rsidRDefault="00290C91" w14:paraId="4427988C" w14:textId="77777777">
            <w:pPr>
              <w:pStyle w:val="Prrafodelista"/>
              <w:numPr>
                <w:ilvl w:val="0"/>
                <w:numId w:val="25"/>
              </w:numPr>
              <w:spacing w:before="120" w:after="120"/>
              <w:ind w:left="714" w:hanging="357"/>
              <w:contextualSpacing w:val="0"/>
              <w:jc w:val="both"/>
              <w:rPr>
                <w:rFonts w:ascii="Verdana" w:hAnsi="Verdana" w:cs="Arial"/>
              </w:rPr>
            </w:pPr>
            <w:r>
              <w:rPr>
                <w:rFonts w:ascii="Verdana" w:hAnsi="Verdana" w:eastAsia="Calibri" w:cs="Arial"/>
                <w:bCs/>
                <w:color w:val="000000"/>
                <w:lang w:val="es-ES_tradnl"/>
              </w:rPr>
              <w:t>Ley 146 de 1994.</w:t>
            </w:r>
          </w:p>
          <w:p w:rsidRPr="00C95857" w:rsidR="00290C91" w:rsidP="00095773" w:rsidRDefault="00290C91" w14:paraId="3E14134B"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eastAsia="Calibri" w:cs="Arial"/>
                <w:bCs/>
                <w:color w:val="000000"/>
                <w:lang w:val="es-ES_tradnl"/>
              </w:rPr>
              <w:t xml:space="preserve">Decreto 5012 de 2009, artículos 14.12 y 29.1. </w:t>
            </w:r>
          </w:p>
          <w:p w:rsidRPr="00C95857" w:rsidR="00290C91" w:rsidP="00095773" w:rsidRDefault="00290C91" w14:paraId="2334F552"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eastAsia="Calibri" w:cs="Arial"/>
                <w:color w:val="000000"/>
                <w:lang w:val="es-CO"/>
              </w:rPr>
              <w:t xml:space="preserve">Decreto Ley 4062 de 2011. </w:t>
            </w:r>
          </w:p>
          <w:p w:rsidRPr="00C95857" w:rsidR="00290C91" w:rsidP="00095773" w:rsidRDefault="00290C91" w14:paraId="41B412CC"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eastAsia="Calibri" w:cs="Arial"/>
                <w:color w:val="000000"/>
                <w:lang w:val="es-CO"/>
              </w:rPr>
              <w:t xml:space="preserve">Decreto 1072 de 2015, artículo 2.2.6.8.3.1. </w:t>
            </w:r>
          </w:p>
          <w:p w:rsidRPr="00C95857" w:rsidR="00290C91" w:rsidP="00095773" w:rsidRDefault="00290C91" w14:paraId="3441E4F1"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eastAsia="Calibri" w:cs="Arial"/>
                <w:bCs/>
                <w:lang w:val="es-CO"/>
              </w:rPr>
              <w:t xml:space="preserve">Decreto 1067 de 2015, 2.2.1.11.5.1  </w:t>
            </w:r>
          </w:p>
          <w:p w:rsidRPr="00C95857" w:rsidR="00290C91" w:rsidP="00095773" w:rsidRDefault="00290C91" w14:paraId="5EF8BA4E"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rPr>
              <w:t xml:space="preserve">Decreto 1075 de 2015, artículo </w:t>
            </w:r>
            <w:r w:rsidRPr="00C95857">
              <w:rPr>
                <w:rFonts w:ascii="Verdana" w:hAnsi="Verdana" w:eastAsia="Calibri" w:cs="Arial"/>
                <w:bCs/>
                <w:color w:val="000000"/>
                <w:lang w:val="es-CO"/>
              </w:rPr>
              <w:t>2.3.3.3.5.5.</w:t>
            </w:r>
          </w:p>
          <w:p w:rsidRPr="00C95857" w:rsidR="00290C91" w:rsidP="00095773" w:rsidRDefault="00290C91" w14:paraId="07102A7D" w14:textId="77777777">
            <w:pPr>
              <w:pStyle w:val="Prrafodelista"/>
              <w:numPr>
                <w:ilvl w:val="0"/>
                <w:numId w:val="25"/>
              </w:numPr>
              <w:spacing w:before="120" w:after="120"/>
              <w:ind w:left="714" w:hanging="357"/>
              <w:contextualSpacing w:val="0"/>
              <w:jc w:val="both"/>
              <w:rPr>
                <w:rFonts w:ascii="Verdana" w:hAnsi="Verdana" w:cs="Arial"/>
              </w:rPr>
            </w:pPr>
            <w:r w:rsidRPr="00C95857">
              <w:rPr>
                <w:rFonts w:ascii="Verdana" w:hAnsi="Verdana" w:eastAsia="Calibri" w:cs="Arial"/>
                <w:lang w:val="es-CO"/>
              </w:rPr>
              <w:t>Resolución 5477 de 2022</w:t>
            </w:r>
            <w:r>
              <w:rPr>
                <w:rFonts w:ascii="Verdana" w:hAnsi="Verdana" w:eastAsia="Calibri" w:cs="Arial"/>
                <w:lang w:val="es-CO"/>
              </w:rPr>
              <w:t xml:space="preserve"> del Ministerio de Relaciones Exteriores.</w:t>
            </w:r>
          </w:p>
          <w:p w:rsidRPr="00DD78D4" w:rsidR="00290C91" w:rsidP="00095773" w:rsidRDefault="00290C91" w14:paraId="123AC352" w14:textId="77777777">
            <w:pPr>
              <w:pStyle w:val="Prrafodelista"/>
              <w:numPr>
                <w:ilvl w:val="0"/>
                <w:numId w:val="25"/>
              </w:numPr>
              <w:spacing w:before="120" w:after="120"/>
              <w:ind w:left="714" w:hanging="357"/>
              <w:contextualSpacing w:val="0"/>
              <w:jc w:val="both"/>
              <w:rPr>
                <w:rFonts w:ascii="Verdana" w:hAnsi="Verdana" w:cs="Arial"/>
              </w:rPr>
            </w:pPr>
            <w:r w:rsidRPr="002C6D87">
              <w:rPr>
                <w:rFonts w:ascii="Verdana" w:hAnsi="Verdana" w:cs="Arial"/>
              </w:rPr>
              <w:t>Decreto 1082 de 2015, artículo 2.2.1.2.1.4.9.</w:t>
            </w:r>
            <w:r w:rsidRPr="002C6D87">
              <w:rPr>
                <w:rFonts w:ascii="Verdana" w:hAnsi="Verdana" w:cs="Arial"/>
                <w:lang w:val="es-CO"/>
              </w:rPr>
              <w:t xml:space="preserve"> </w:t>
            </w:r>
          </w:p>
        </w:tc>
      </w:tr>
    </w:tbl>
    <w:p w:rsidRPr="00B57580" w:rsidR="00290C91" w:rsidP="00290C91" w:rsidRDefault="00290C91" w14:paraId="53DBE1AA" w14:textId="610FBEC4">
      <w:pPr>
        <w:spacing w:line="276" w:lineRule="auto"/>
        <w:ind w:right="709"/>
        <w:contextualSpacing/>
        <w:jc w:val="both"/>
        <w:rPr>
          <w:rFonts w:ascii="Verdana" w:hAnsi="Verdana" w:cs="Arial"/>
          <w:color w:val="000000" w:themeColor="text1"/>
        </w:rPr>
      </w:pPr>
    </w:p>
    <w:p w:rsidRPr="00A12CB6" w:rsidR="00290C91" w:rsidP="00290C91" w:rsidRDefault="00290C91" w14:paraId="356D2008" w14:textId="77777777">
      <w:pPr>
        <w:numPr>
          <w:ilvl w:val="0"/>
          <w:numId w:val="19"/>
        </w:numPr>
        <w:spacing w:after="0" w:line="256" w:lineRule="auto"/>
        <w:rPr>
          <w:rFonts w:ascii="Verdana" w:hAnsi="Verdana" w:eastAsia="Calibri" w:cs="Times New Roman"/>
          <w:b/>
          <w:bCs/>
          <w:lang w:val="es-ES"/>
        </w:rPr>
      </w:pPr>
      <w:r w:rsidRPr="00A12CB6">
        <w:rPr>
          <w:rFonts w:ascii="Verdana" w:hAnsi="Verdana" w:eastAsia="Calibri" w:cs="Times New Roman"/>
          <w:b/>
          <w:bCs/>
          <w:lang w:val="es-ES"/>
        </w:rPr>
        <w:t>Doctrina de la Agencia Nacional de Contratación Pública:</w:t>
      </w:r>
    </w:p>
    <w:p w:rsidRPr="00036307" w:rsidR="00290C91" w:rsidP="00290C91" w:rsidRDefault="00290C91" w14:paraId="3672B49D" w14:textId="77777777">
      <w:pPr>
        <w:widowControl w:val="0"/>
        <w:autoSpaceDE w:val="0"/>
        <w:autoSpaceDN w:val="0"/>
        <w:spacing w:after="0" w:line="276" w:lineRule="auto"/>
        <w:jc w:val="both"/>
        <w:rPr>
          <w:rFonts w:ascii="Verdana" w:hAnsi="Verdana" w:cs="Arial"/>
          <w:b/>
          <w:bCs/>
          <w:shd w:val="clear" w:color="auto" w:fill="FFFFFF"/>
        </w:rPr>
      </w:pPr>
    </w:p>
    <w:p w:rsidRPr="00036307" w:rsidR="00290C91" w:rsidP="00290C91" w:rsidRDefault="00290C91" w14:paraId="6987BF7A" w14:textId="77777777">
      <w:pPr>
        <w:widowControl w:val="0"/>
        <w:autoSpaceDE w:val="0"/>
        <w:autoSpaceDN w:val="0"/>
        <w:spacing w:after="0" w:line="276" w:lineRule="auto"/>
        <w:jc w:val="both"/>
        <w:rPr>
          <w:rFonts w:ascii="Verdana" w:hAnsi="Verdana" w:eastAsia="Arial MT" w:cs="Arial MT"/>
          <w:spacing w:val="-1"/>
          <w:lang w:val="es-ES"/>
        </w:rPr>
      </w:pPr>
      <w:r w:rsidRPr="00036307">
        <w:rPr>
          <w:rFonts w:ascii="Verdana" w:hAnsi="Verdana" w:cs="Arial"/>
          <w:shd w:val="clear" w:color="auto" w:fill="FFFFFF"/>
          <w:lang w:val="es-ES"/>
        </w:rPr>
        <w:t xml:space="preserve">La Agencia Nacional de Contratación Pública – Colombia Compra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w:t>
      </w:r>
      <w:r w:rsidRPr="00036307">
        <w:rPr>
          <w:rFonts w:ascii="Verdana" w:hAnsi="Verdana" w:cs="Arial"/>
          <w:shd w:val="clear" w:color="auto" w:fill="FFFFFF"/>
          <w:lang w:val="es-ES"/>
        </w:rPr>
        <w:t xml:space="preserve">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entre otros. Así mismo, </w:t>
      </w:r>
      <w:r w:rsidRPr="00036307">
        <w:rPr>
          <w:rFonts w:ascii="Verdana" w:hAnsi="Verdana" w:eastAsia="Arial MT" w:cs="Arial MT"/>
          <w:lang w:val="es-ES"/>
        </w:rPr>
        <w:t>Agencia Nacional de Contratación Pública ― Colombia Compra Eficiente se</w:t>
      </w:r>
      <w:r w:rsidRPr="00036307">
        <w:rPr>
          <w:rFonts w:ascii="Verdana" w:hAnsi="Verdana" w:eastAsia="Arial MT" w:cs="Arial MT"/>
          <w:spacing w:val="1"/>
          <w:lang w:val="es-ES"/>
        </w:rPr>
        <w:t xml:space="preserve"> </w:t>
      </w:r>
      <w:r w:rsidRPr="00036307">
        <w:rPr>
          <w:rFonts w:ascii="Verdana" w:hAnsi="Verdana" w:eastAsia="Arial MT" w:cs="Arial MT"/>
          <w:spacing w:val="-1"/>
          <w:lang w:val="es-ES"/>
        </w:rPr>
        <w:t>pronunció</w:t>
      </w:r>
      <w:r w:rsidRPr="00036307">
        <w:rPr>
          <w:rFonts w:ascii="Verdana" w:hAnsi="Verdana" w:eastAsia="Arial MT" w:cs="Arial MT"/>
          <w:spacing w:val="-14"/>
          <w:lang w:val="es-ES"/>
        </w:rPr>
        <w:t xml:space="preserve"> </w:t>
      </w:r>
      <w:r w:rsidRPr="00036307">
        <w:rPr>
          <w:rFonts w:ascii="Verdana" w:hAnsi="Verdana" w:eastAsia="Arial MT" w:cs="Arial MT"/>
          <w:spacing w:val="-1"/>
          <w:lang w:val="es-ES"/>
        </w:rPr>
        <w:t>sobre</w:t>
      </w:r>
      <w:r w:rsidRPr="00036307">
        <w:rPr>
          <w:rFonts w:ascii="Verdana" w:hAnsi="Verdana" w:eastAsia="Arial MT" w:cs="Arial MT"/>
          <w:spacing w:val="-15"/>
          <w:lang w:val="es-ES"/>
        </w:rPr>
        <w:t xml:space="preserve"> </w:t>
      </w:r>
      <w:r w:rsidRPr="00036307">
        <w:rPr>
          <w:rFonts w:ascii="Verdana" w:hAnsi="Verdana" w:eastAsia="Arial MT" w:cs="Arial MT"/>
          <w:spacing w:val="-1"/>
          <w:lang w:val="es-ES"/>
        </w:rPr>
        <w:t xml:space="preserve">los requisitos para contratar prestación de servicios con extranjeros, se encuentra en los Conceptos C-155 del 2 de junio de 2023, C-035 del 24 de abril de 2024, C-470 del 2 de mayo de 2025, entre otros. </w:t>
      </w:r>
      <w:r w:rsidRPr="00036307">
        <w:rPr>
          <w:rFonts w:ascii="Verdana" w:hAnsi="Verdana" w:eastAsia="Calibri"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rsidRPr="00036307" w:rsidR="00290C91" w:rsidP="00290C91" w:rsidRDefault="00FF7D37" w14:paraId="17C9A05C" w14:textId="77777777">
      <w:pPr>
        <w:spacing w:after="0" w:line="276" w:lineRule="auto"/>
        <w:jc w:val="both"/>
        <w:rPr>
          <w:rFonts w:ascii="Verdana" w:hAnsi="Verdana" w:eastAsia="Calibri" w:cs="Times New Roman"/>
        </w:rPr>
      </w:pPr>
      <w:hyperlink w:history="1" r:id="rId22">
        <w:r w:rsidRPr="00036307" w:rsidR="00290C91">
          <w:rPr>
            <w:rFonts w:ascii="Verdana" w:hAnsi="Verdana" w:eastAsia="Calibri" w:cs="Times New Roman"/>
            <w:color w:val="0000FF"/>
            <w:u w:val="single"/>
            <w:lang w:val="es-ES"/>
          </w:rPr>
          <w:t>https://relatoria.colombiacompra.gov.co/busqueda/conceptos</w:t>
        </w:r>
      </w:hyperlink>
      <w:r w:rsidRPr="00036307" w:rsidR="00290C91">
        <w:rPr>
          <w:rFonts w:ascii="Verdana" w:hAnsi="Verdana" w:eastAsia="Calibri" w:cs="Times New Roman"/>
        </w:rPr>
        <w:t xml:space="preserve">. </w:t>
      </w:r>
    </w:p>
    <w:p w:rsidRPr="00036307" w:rsidR="00290C91" w:rsidP="00290C91" w:rsidRDefault="00290C91" w14:paraId="2D19B89F" w14:textId="77777777">
      <w:pPr>
        <w:spacing w:after="0" w:line="276" w:lineRule="auto"/>
        <w:jc w:val="both"/>
        <w:rPr>
          <w:rFonts w:ascii="Verdana" w:hAnsi="Verdana" w:eastAsia="Calibri" w:cs="Times New Roman"/>
        </w:rPr>
      </w:pPr>
    </w:p>
    <w:p w:rsidRPr="00036307" w:rsidR="00290C91" w:rsidP="00290C91" w:rsidRDefault="00290C91" w14:paraId="4ECC8560" w14:textId="77777777">
      <w:pPr>
        <w:spacing w:after="0" w:line="276" w:lineRule="auto"/>
        <w:jc w:val="both"/>
        <w:rPr>
          <w:rFonts w:ascii="Verdana" w:hAnsi="Verdana"/>
        </w:rPr>
      </w:pPr>
      <w:r w:rsidRPr="00036307">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036307">
        <w:rPr>
          <w:rFonts w:ascii="Verdana" w:hAnsi="Verdana"/>
          <w:b/>
          <w:bCs/>
          <w:i/>
          <w:iCs/>
        </w:rPr>
        <w:t>Guía para la Elaboración de Estudios del Sector</w:t>
      </w:r>
      <w:r w:rsidRPr="00036307">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w:tgtFrame="_blank" w:tooltip="Dirección URL original: https://www.colombiacompra.gov.co/archivos/convocatoria/participacion-ciudadana-proyecto-de-la-guia-para-la-elaboracion-de-estudios-del-sector. Haga clic o pulse si confía en este vínculo." w:history="1" r:id="rId23">
        <w:r w:rsidRPr="00036307">
          <w:rPr>
            <w:rFonts w:ascii="Verdana" w:hAnsi="Verdana"/>
            <w:color w:val="0000FF"/>
            <w:u w:val="single"/>
          </w:rPr>
          <w:t>https://www.colombiacompra.gov.co/archivos/convocatoria/participacion-ciudadana-proyecto-de-la-guia-para-la-</w:t>
        </w:r>
      </w:hyperlink>
    </w:p>
    <w:p w:rsidRPr="00036307" w:rsidR="00290C91" w:rsidP="00290C91" w:rsidRDefault="00290C91" w14:paraId="17259702" w14:textId="77777777">
      <w:pPr>
        <w:spacing w:after="0" w:line="276" w:lineRule="auto"/>
        <w:jc w:val="both"/>
        <w:rPr>
          <w:rFonts w:ascii="Verdana" w:hAnsi="Verdana"/>
        </w:rPr>
      </w:pPr>
    </w:p>
    <w:p w:rsidRPr="00036307" w:rsidR="00290C91" w:rsidP="00290C91" w:rsidRDefault="00290C91" w14:paraId="181EE71E" w14:textId="77777777">
      <w:pPr>
        <w:spacing w:after="0" w:line="276" w:lineRule="auto"/>
        <w:jc w:val="both"/>
        <w:rPr>
          <w:rFonts w:ascii="Verdana" w:hAnsi="Verdana"/>
        </w:rPr>
      </w:pPr>
      <w:r w:rsidRPr="00036307">
        <w:rPr>
          <w:rFonts w:ascii="Verdana" w:hAnsi="Verdana"/>
        </w:rPr>
        <w:t xml:space="preserve">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w:t>
      </w:r>
      <w:r w:rsidRPr="00036307">
        <w:rPr>
          <w:rFonts w:ascii="Verdana" w:hAnsi="Verdana"/>
        </w:rPr>
        <w:t>mínima cuantía para comentarios. Dichos documentos estarán publicados hasta el próximo 23 de mayo de 2025.  Puede consultar la información en el siguiente enlace: </w:t>
      </w:r>
      <w:hyperlink w:tgtFrame="_blank" w:tooltip="Dirección URL original: https://www.colombiacompra.gov.co/normativa-y-relatoria/documentos-tipo. Haga clic o pulse si confía en este vínculo." w:history="1" r:id="rId24">
        <w:r w:rsidRPr="00036307">
          <w:rPr>
            <w:rFonts w:ascii="Verdana" w:hAnsi="Verdana"/>
            <w:color w:val="0000FF"/>
            <w:u w:val="single"/>
          </w:rPr>
          <w:t>Documentos Tipo – ANCP Colombia Compra Eficiente</w:t>
        </w:r>
      </w:hyperlink>
      <w:r w:rsidRPr="00036307">
        <w:rPr>
          <w:rFonts w:ascii="Verdana" w:hAnsi="Verdana"/>
          <w:u w:val="single"/>
        </w:rPr>
        <w:t> </w:t>
      </w:r>
    </w:p>
    <w:p w:rsidRPr="00036307" w:rsidR="00290C91" w:rsidP="00290C91" w:rsidRDefault="00290C91" w14:paraId="749536FF" w14:textId="77777777">
      <w:pPr>
        <w:spacing w:after="0" w:line="276" w:lineRule="auto"/>
        <w:jc w:val="both"/>
        <w:rPr>
          <w:rFonts w:ascii="Verdana" w:hAnsi="Verdana"/>
        </w:rPr>
      </w:pPr>
    </w:p>
    <w:p w:rsidRPr="00036307" w:rsidR="00290C91" w:rsidP="00290C91" w:rsidRDefault="00290C91" w14:paraId="1B6BD152" w14:textId="77777777">
      <w:pPr>
        <w:spacing w:after="0" w:line="276" w:lineRule="auto"/>
        <w:jc w:val="both"/>
        <w:rPr>
          <w:rFonts w:ascii="Verdana" w:hAnsi="Verdana"/>
        </w:rPr>
      </w:pPr>
      <w:r w:rsidRPr="00036307">
        <w:rPr>
          <w:rFonts w:ascii="Verdana" w:hAnsi="Verdana"/>
        </w:rPr>
        <w:t>También le contamos que ya se encuentra disponible la </w:t>
      </w:r>
      <w:r w:rsidRPr="00036307">
        <w:rPr>
          <w:rFonts w:ascii="Verdana" w:hAnsi="Verdana"/>
          <w:b/>
          <w:bCs/>
        </w:rPr>
        <w:t>Guía de lineamientos de transparencia y selección objetiva para el departamento de La Guajira – Objetivo sexto constitucional de la Sentencia T-302 del 2017. </w:t>
      </w:r>
      <w:r w:rsidRPr="00036307">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w:tgtFrame="_blank" w:tooltip="Dirección URL original: https://www.colombiacompra.gov.co/wp-content/uploads/2025/05/GUIA-DE-LINEAMIENTOS-DE-TRANSPARENCIA-Y-SELECCION-OBJETIVA-1.0.pdf. Haga clic o pulse si confía en este vínculo." w:history="1" r:id="rId25">
        <w:r w:rsidRPr="00036307">
          <w:rPr>
            <w:rFonts w:ascii="Verdana" w:hAnsi="Verdana"/>
            <w:color w:val="0000FF"/>
            <w:u w:val="single"/>
          </w:rPr>
          <w:t>Guía de lineamientos de transparencia y selección objetiva para el departamento de La Guajira – Objetivo sexto constitucional de la Sentencia T-302 del 2017</w:t>
        </w:r>
      </w:hyperlink>
      <w:r w:rsidRPr="00036307">
        <w:rPr>
          <w:rFonts w:ascii="Verdana" w:hAnsi="Verdana"/>
          <w:u w:val="single"/>
        </w:rPr>
        <w:t>"</w:t>
      </w:r>
    </w:p>
    <w:p w:rsidRPr="00036307" w:rsidR="00290C91" w:rsidP="00290C91" w:rsidRDefault="00290C91" w14:paraId="1249F3DC" w14:textId="77777777">
      <w:pPr>
        <w:spacing w:after="0" w:line="276" w:lineRule="auto"/>
        <w:jc w:val="both"/>
        <w:rPr>
          <w:rFonts w:ascii="Verdana" w:hAnsi="Verdana"/>
        </w:rPr>
      </w:pPr>
    </w:p>
    <w:p w:rsidRPr="00036307" w:rsidR="00290C91" w:rsidP="00290C91" w:rsidRDefault="00290C91" w14:paraId="3A1CF3D2" w14:textId="77777777">
      <w:pPr>
        <w:spacing w:after="0" w:line="276" w:lineRule="auto"/>
        <w:jc w:val="both"/>
        <w:rPr>
          <w:rFonts w:ascii="Verdana" w:hAnsi="Verdana"/>
        </w:rPr>
      </w:pPr>
      <w:r w:rsidRPr="00036307">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rsidRPr="00036307" w:rsidR="00290C91" w:rsidP="00290C91" w:rsidRDefault="00290C91" w14:paraId="03C2A246" w14:textId="77777777">
      <w:pPr>
        <w:spacing w:after="0" w:line="276" w:lineRule="auto"/>
        <w:jc w:val="both"/>
        <w:rPr>
          <w:rFonts w:ascii="Verdana" w:hAnsi="Verdana"/>
        </w:rPr>
      </w:pPr>
    </w:p>
    <w:p w:rsidRPr="00036307" w:rsidR="00290C91" w:rsidP="00290C91" w:rsidRDefault="00290C91" w14:paraId="5CD808E2" w14:textId="77777777">
      <w:pPr>
        <w:numPr>
          <w:ilvl w:val="0"/>
          <w:numId w:val="15"/>
        </w:numPr>
        <w:spacing w:after="0" w:line="276" w:lineRule="auto"/>
        <w:jc w:val="both"/>
        <w:rPr>
          <w:rFonts w:ascii="Verdana" w:hAnsi="Verdana"/>
          <w:lang w:val="es-ES"/>
        </w:rPr>
      </w:pPr>
      <w:r w:rsidRPr="00036307">
        <w:rPr>
          <w:rFonts w:ascii="Verdana" w:hAnsi="Verdana"/>
          <w:lang w:val="es-ES"/>
        </w:rPr>
        <w:t>Línea nacional gratuita o servicio a la ciudadanía: 01800 0520808</w:t>
      </w:r>
    </w:p>
    <w:p w:rsidRPr="00036307" w:rsidR="00290C91" w:rsidP="00290C91" w:rsidRDefault="00290C91" w14:paraId="66D99B71" w14:textId="77777777">
      <w:pPr>
        <w:numPr>
          <w:ilvl w:val="0"/>
          <w:numId w:val="15"/>
        </w:numPr>
        <w:spacing w:after="0" w:line="276" w:lineRule="auto"/>
        <w:jc w:val="both"/>
        <w:rPr>
          <w:rFonts w:ascii="Verdana" w:hAnsi="Verdana"/>
          <w:lang w:val="es-ES"/>
        </w:rPr>
      </w:pPr>
      <w:r w:rsidRPr="00036307">
        <w:rPr>
          <w:rFonts w:ascii="Verdana" w:hAnsi="Verdana"/>
          <w:lang w:val="es-ES"/>
        </w:rPr>
        <w:t>Línea en Bogotá (Mesa de servicio): +57 601 7456788</w:t>
      </w:r>
    </w:p>
    <w:p w:rsidRPr="00036307" w:rsidR="00290C91" w:rsidP="00290C91" w:rsidRDefault="00290C91" w14:paraId="452D39FB" w14:textId="77777777">
      <w:pPr>
        <w:numPr>
          <w:ilvl w:val="0"/>
          <w:numId w:val="15"/>
        </w:numPr>
        <w:spacing w:after="0" w:line="276" w:lineRule="auto"/>
        <w:jc w:val="both"/>
        <w:rPr>
          <w:rFonts w:ascii="Verdana" w:hAnsi="Verdana"/>
          <w:lang w:val="es-ES"/>
        </w:rPr>
      </w:pPr>
      <w:r w:rsidRPr="00036307">
        <w:rPr>
          <w:rFonts w:ascii="Verdana" w:hAnsi="Verdana"/>
          <w:lang w:val="es-ES"/>
        </w:rPr>
        <w:t>Línea de servicio y atención al ciudadano: +57 601 7956600</w:t>
      </w:r>
    </w:p>
    <w:p w:rsidRPr="00036307" w:rsidR="00290C91" w:rsidP="00290C91" w:rsidRDefault="00290C91" w14:paraId="73163CA7" w14:textId="77777777">
      <w:pPr>
        <w:numPr>
          <w:ilvl w:val="0"/>
          <w:numId w:val="15"/>
        </w:numPr>
        <w:spacing w:after="0" w:line="276" w:lineRule="auto"/>
        <w:jc w:val="both"/>
        <w:rPr>
          <w:rFonts w:ascii="Verdana" w:hAnsi="Verdana"/>
          <w:lang w:val="es-ES"/>
        </w:rPr>
      </w:pPr>
      <w:r w:rsidRPr="00036307">
        <w:rPr>
          <w:rFonts w:ascii="Verdana" w:hAnsi="Verdana"/>
          <w:lang w:val="es-ES"/>
        </w:rPr>
        <w:t xml:space="preserve">Página web: </w:t>
      </w:r>
      <w:hyperlink w:history="1" r:id="rId26">
        <w:r w:rsidRPr="00036307">
          <w:rPr>
            <w:rFonts w:ascii="Verdana" w:hAnsi="Verdana"/>
            <w:color w:val="0000FF"/>
            <w:u w:val="single"/>
            <w:lang w:val="es-ES"/>
          </w:rPr>
          <w:t>www.colombiacompra.gov.co</w:t>
        </w:r>
      </w:hyperlink>
    </w:p>
    <w:p w:rsidRPr="00036307" w:rsidR="00290C91" w:rsidP="00290C91" w:rsidRDefault="00290C91" w14:paraId="3721D724" w14:textId="77777777">
      <w:pPr>
        <w:spacing w:after="0" w:line="276" w:lineRule="auto"/>
        <w:ind w:left="785"/>
        <w:jc w:val="both"/>
        <w:rPr>
          <w:rFonts w:ascii="Verdana" w:hAnsi="Verdana"/>
          <w:lang w:val="es-ES"/>
        </w:rPr>
      </w:pPr>
    </w:p>
    <w:p w:rsidRPr="00036307" w:rsidR="00290C91" w:rsidP="00290C91" w:rsidRDefault="00290C91" w14:paraId="28475F50" w14:textId="77777777">
      <w:pPr>
        <w:spacing w:after="0" w:line="276" w:lineRule="auto"/>
        <w:jc w:val="both"/>
        <w:rPr>
          <w:rFonts w:ascii="Verdana" w:hAnsi="Verdana"/>
        </w:rPr>
      </w:pPr>
      <w:r w:rsidRPr="00036307">
        <w:rPr>
          <w:rFonts w:ascii="Verdana" w:hAnsi="Verdana"/>
        </w:rPr>
        <w:t xml:space="preserve">Por último, lo invitamos a seguirnos en las redes sociales en las cuales se difunde información institucional: </w:t>
      </w:r>
    </w:p>
    <w:p w:rsidRPr="00036307" w:rsidR="00290C91" w:rsidP="00290C91" w:rsidRDefault="00290C91" w14:paraId="552054BB" w14:textId="77777777">
      <w:pPr>
        <w:spacing w:after="0" w:line="276" w:lineRule="auto"/>
        <w:jc w:val="both"/>
        <w:rPr>
          <w:rFonts w:ascii="Verdana" w:hAnsi="Verdana"/>
        </w:rPr>
      </w:pPr>
    </w:p>
    <w:p w:rsidRPr="00036307" w:rsidR="00290C91" w:rsidP="00290C91" w:rsidRDefault="00290C91" w14:paraId="545F6D83" w14:textId="77777777">
      <w:pPr>
        <w:spacing w:after="0" w:line="276" w:lineRule="auto"/>
        <w:jc w:val="both"/>
        <w:rPr>
          <w:rFonts w:ascii="Verdana" w:hAnsi="Verdana"/>
        </w:rPr>
      </w:pPr>
      <w:r w:rsidRPr="00036307">
        <w:rPr>
          <w:rFonts w:ascii="Verdana" w:hAnsi="Verdana"/>
        </w:rPr>
        <w:t xml:space="preserve">Twitter: </w:t>
      </w:r>
      <w:r w:rsidRPr="00036307">
        <w:rPr>
          <w:rFonts w:ascii="Verdana" w:hAnsi="Verdana"/>
          <w:color w:val="0000FF"/>
          <w:u w:val="single"/>
        </w:rPr>
        <w:t>@colombiacompra</w:t>
      </w:r>
      <w:r w:rsidRPr="00036307">
        <w:rPr>
          <w:rFonts w:ascii="Verdana" w:hAnsi="Verdana"/>
        </w:rPr>
        <w:t xml:space="preserve"> </w:t>
      </w:r>
    </w:p>
    <w:p w:rsidRPr="00036307" w:rsidR="00290C91" w:rsidP="00290C91" w:rsidRDefault="00290C91" w14:paraId="6BF923C9" w14:textId="77777777">
      <w:pPr>
        <w:spacing w:after="0" w:line="276" w:lineRule="auto"/>
        <w:jc w:val="both"/>
        <w:rPr>
          <w:rFonts w:ascii="Verdana" w:hAnsi="Verdana"/>
        </w:rPr>
      </w:pPr>
      <w:r w:rsidRPr="00036307">
        <w:rPr>
          <w:rFonts w:ascii="Verdana" w:hAnsi="Verdana"/>
        </w:rPr>
        <w:t xml:space="preserve">Facebook: </w:t>
      </w:r>
      <w:r w:rsidRPr="00036307">
        <w:rPr>
          <w:rFonts w:ascii="Verdana" w:hAnsi="Verdana"/>
          <w:color w:val="0000FF"/>
          <w:u w:val="single"/>
        </w:rPr>
        <w:t>ColombiaCompraEficiente</w:t>
      </w:r>
    </w:p>
    <w:p w:rsidRPr="00036307" w:rsidR="00290C91" w:rsidP="00290C91" w:rsidRDefault="00290C91" w14:paraId="4FDED71F" w14:textId="77777777">
      <w:pPr>
        <w:spacing w:after="0" w:line="276" w:lineRule="auto"/>
        <w:jc w:val="both"/>
        <w:rPr>
          <w:rFonts w:ascii="Verdana" w:hAnsi="Verdana"/>
        </w:rPr>
      </w:pPr>
      <w:r w:rsidRPr="00036307">
        <w:rPr>
          <w:rFonts w:ascii="Verdana" w:hAnsi="Verdana"/>
        </w:rPr>
        <w:t xml:space="preserve">LinkedIn: </w:t>
      </w:r>
      <w:r w:rsidRPr="00036307">
        <w:rPr>
          <w:rFonts w:ascii="Verdana" w:hAnsi="Verdana"/>
          <w:color w:val="0000FF"/>
          <w:u w:val="single"/>
        </w:rPr>
        <w:t>Agencia Nacional de Contratación Pública - Colombia Compra Eficiente</w:t>
      </w:r>
      <w:r w:rsidRPr="00036307">
        <w:rPr>
          <w:rFonts w:ascii="Verdana" w:hAnsi="Verdana"/>
        </w:rPr>
        <w:t xml:space="preserve"> Instagram: </w:t>
      </w:r>
      <w:r w:rsidRPr="00036307">
        <w:rPr>
          <w:rFonts w:ascii="Verdana" w:hAnsi="Verdana"/>
          <w:color w:val="0000FF"/>
          <w:u w:val="single"/>
        </w:rPr>
        <w:t>@colombiacompraeficiente_cce</w:t>
      </w:r>
    </w:p>
    <w:p w:rsidRPr="00036307" w:rsidR="00290C91" w:rsidP="00290C91" w:rsidRDefault="00290C91" w14:paraId="32EF98E7" w14:textId="77777777">
      <w:pPr>
        <w:spacing w:after="0" w:line="276" w:lineRule="auto"/>
        <w:jc w:val="both"/>
        <w:rPr>
          <w:rFonts w:ascii="Verdana" w:hAnsi="Verdana"/>
        </w:rPr>
      </w:pPr>
    </w:p>
    <w:p w:rsidRPr="00036307" w:rsidR="00290C91" w:rsidP="00290C91" w:rsidRDefault="00290C91" w14:paraId="2CC9AB30" w14:textId="77777777">
      <w:pPr>
        <w:spacing w:after="0" w:line="276" w:lineRule="auto"/>
        <w:jc w:val="both"/>
        <w:rPr>
          <w:rFonts w:ascii="Verdana" w:hAnsi="Verdana" w:eastAsia="Calibri" w:cs="Times New Roman"/>
          <w:bCs/>
          <w:lang w:val="es-ES_tradnl"/>
        </w:rPr>
      </w:pPr>
      <w:r w:rsidRPr="00036307">
        <w:rPr>
          <w:rFonts w:ascii="Verdana" w:hAnsi="Verdana" w:eastAsia="Calibri" w:cs="Times New Roman"/>
          <w:lang w:val="es-ES_tradnl"/>
        </w:rPr>
        <w:t xml:space="preserve">Este concepto tiene el alcance previsto en el artículo 28 del Código de Procedimiento Administrativo y de lo Contencioso Administrativo y las </w:t>
      </w:r>
      <w:r w:rsidRPr="00036307">
        <w:rPr>
          <w:rFonts w:ascii="Verdana" w:hAnsi="Verdana" w:eastAsia="Calibri" w:cs="Times New Roman"/>
          <w:lang w:val="es-ES_tradnl"/>
        </w:rPr>
        <w:t>expresiones utilizadas con mayúscula inicial deben ser entendidas con el significado que les otorga el artículo 2.2.1.1.1.3.1 del Decreto 1082 de 2015.</w:t>
      </w:r>
    </w:p>
    <w:p w:rsidRPr="00036307" w:rsidR="00290C91" w:rsidP="00290C91" w:rsidRDefault="00290C91" w14:paraId="4FB91F09" w14:textId="77777777">
      <w:pPr>
        <w:spacing w:after="0" w:line="276" w:lineRule="auto"/>
        <w:jc w:val="both"/>
        <w:rPr>
          <w:rFonts w:ascii="Verdana" w:hAnsi="Verdana" w:eastAsia="Calibri" w:cs="Times New Roman"/>
        </w:rPr>
      </w:pPr>
    </w:p>
    <w:p w:rsidR="00290C91" w:rsidP="00095773" w:rsidRDefault="00290C91" w14:paraId="73241E05" w14:textId="0ECC6969">
      <w:pPr>
        <w:spacing w:after="0" w:line="276" w:lineRule="auto"/>
        <w:jc w:val="both"/>
        <w:rPr>
          <w:rFonts w:ascii="Verdana" w:hAnsi="Verdana"/>
          <w:noProof/>
          <w:lang w:val="en-US"/>
        </w:rPr>
      </w:pPr>
      <w:r w:rsidRPr="00036307">
        <w:rPr>
          <w:rFonts w:ascii="Verdana" w:hAnsi="Verdana" w:eastAsia="Calibri" w:cs="Times New Roman"/>
        </w:rPr>
        <w:t>Atentamente,</w:t>
      </w:r>
      <w:r w:rsidR="00095773">
        <w:rPr>
          <w:rFonts w:ascii="Verdana" w:hAnsi="Verdana"/>
          <w:noProof/>
          <w:lang w:val="en-US"/>
        </w:rPr>
        <w:t xml:space="preserve"> </w:t>
      </w:r>
    </w:p>
    <w:p w:rsidRPr="00095773" w:rsidR="00095773" w:rsidP="00095773" w:rsidRDefault="00095773" w14:paraId="52F4A807" w14:textId="77777777">
      <w:pPr>
        <w:spacing w:after="0" w:line="276" w:lineRule="auto"/>
        <w:jc w:val="both"/>
        <w:rPr>
          <w:rFonts w:ascii="Verdana" w:hAnsi="Verdana"/>
          <w:noProof/>
          <w:lang w:val="en-US"/>
        </w:rPr>
      </w:pPr>
    </w:p>
    <w:p w:rsidR="00290C91" w:rsidP="00095773" w:rsidRDefault="00095773" w14:paraId="4BA08892" w14:textId="7DFBC4A3">
      <w:pPr>
        <w:spacing w:after="0" w:line="256" w:lineRule="auto"/>
        <w:jc w:val="center"/>
        <w:rPr>
          <w:rFonts w:ascii="Verdana" w:hAnsi="Verdana" w:eastAsia="Times New Roman" w:cs="Arial"/>
          <w:noProof/>
          <w:sz w:val="24"/>
          <w:szCs w:val="24"/>
          <w:lang w:val="en-US"/>
        </w:rPr>
      </w:pPr>
      <w:r w:rsidRPr="002C3AD6">
        <w:rPr>
          <w:rFonts w:ascii="Century Gothic" w:hAnsi="Century Gothic"/>
          <w:noProof/>
          <w:lang w:val="en-US"/>
        </w:rPr>
        <w:drawing>
          <wp:inline distT="0" distB="0" distL="0" distR="0" wp14:anchorId="3A98036D" wp14:editId="74C82DA2">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7"/>
                    <a:stretch>
                      <a:fillRect/>
                    </a:stretch>
                  </pic:blipFill>
                  <pic:spPr>
                    <a:xfrm>
                      <a:off x="0" y="0"/>
                      <a:ext cx="3312722" cy="1229722"/>
                    </a:xfrm>
                    <a:prstGeom prst="rect">
                      <a:avLst/>
                    </a:prstGeom>
                  </pic:spPr>
                </pic:pic>
              </a:graphicData>
            </a:graphic>
          </wp:inline>
        </w:drawing>
      </w:r>
    </w:p>
    <w:p w:rsidRPr="00095773" w:rsidR="00095773" w:rsidP="00095773" w:rsidRDefault="00095773" w14:paraId="3EB3955B" w14:textId="77777777">
      <w:pPr>
        <w:spacing w:after="0" w:line="256" w:lineRule="auto"/>
        <w:jc w:val="center"/>
        <w:rPr>
          <w:rFonts w:ascii="Verdana" w:hAnsi="Verdana" w:eastAsia="Times New Roman" w:cs="Arial"/>
          <w:noProof/>
          <w:sz w:val="24"/>
          <w:szCs w:val="24"/>
          <w:lang w:val="en-US"/>
        </w:rPr>
      </w:pP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A12CB6" w:rsidR="00290C91" w:rsidTr="00FF7D37" w14:paraId="1615DC3F" w14:textId="77777777">
        <w:trPr>
          <w:trHeight w:val="409"/>
        </w:trPr>
        <w:tc>
          <w:tcPr>
            <w:tcW w:w="817" w:type="dxa"/>
            <w:tcBorders>
              <w:top w:val="nil"/>
              <w:left w:val="nil"/>
              <w:bottom w:val="nil"/>
              <w:right w:val="nil"/>
            </w:tcBorders>
            <w:vAlign w:val="center"/>
            <w:hideMark/>
          </w:tcPr>
          <w:p w:rsidRPr="00A12CB6" w:rsidR="00290C91" w:rsidP="00FF7D37" w:rsidRDefault="00290C91" w14:paraId="68A43276"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Elaboró: </w:t>
            </w:r>
          </w:p>
        </w:tc>
        <w:tc>
          <w:tcPr>
            <w:tcW w:w="4937" w:type="dxa"/>
            <w:tcBorders>
              <w:top w:val="nil"/>
              <w:left w:val="nil"/>
              <w:bottom w:val="dotted" w:color="7F7F7F" w:themeColor="text1" w:themeTint="80" w:sz="6" w:space="0"/>
              <w:right w:val="nil"/>
            </w:tcBorders>
            <w:vAlign w:val="center"/>
            <w:hideMark/>
          </w:tcPr>
          <w:p w:rsidRPr="00A12CB6" w:rsidR="00290C91" w:rsidP="00FF7D37" w:rsidRDefault="00290C91" w14:paraId="7E30C882"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José Luis Sánchez Cardona</w:t>
            </w:r>
          </w:p>
          <w:p w:rsidRPr="00A12CB6" w:rsidR="00290C91" w:rsidP="00FF7D37" w:rsidRDefault="00290C91" w14:paraId="308915CB"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Contratista de la Subdirección de Gestión Contractual</w:t>
            </w:r>
          </w:p>
        </w:tc>
      </w:tr>
      <w:tr w:rsidRPr="00A12CB6" w:rsidR="00290C91" w:rsidTr="00FF7D37" w14:paraId="1307D03E" w14:textId="77777777">
        <w:trPr>
          <w:trHeight w:val="409"/>
        </w:trPr>
        <w:tc>
          <w:tcPr>
            <w:tcW w:w="817" w:type="dxa"/>
            <w:tcBorders>
              <w:top w:val="nil"/>
              <w:left w:val="nil"/>
              <w:bottom w:val="nil"/>
              <w:right w:val="nil"/>
            </w:tcBorders>
            <w:vAlign w:val="center"/>
            <w:hideMark/>
          </w:tcPr>
          <w:p w:rsidRPr="00A12CB6" w:rsidR="00290C91" w:rsidP="00FF7D37" w:rsidRDefault="00290C91" w14:paraId="5FAF2C02"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Revisó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A12CB6" w:rsidR="00290C91" w:rsidP="00FF7D37" w:rsidRDefault="00290C91" w14:paraId="5E3841BC" w14:textId="77777777">
            <w:pPr>
              <w:spacing w:after="0" w:line="256" w:lineRule="auto"/>
              <w:rPr>
                <w:rFonts w:ascii="Verdana" w:hAnsi="Verdana" w:eastAsia="Calibri" w:cs="Times New Roman"/>
                <w:sz w:val="16"/>
                <w:szCs w:val="16"/>
              </w:rPr>
            </w:pPr>
            <w:r>
              <w:rPr>
                <w:rFonts w:ascii="Verdana" w:hAnsi="Verdana" w:eastAsia="Calibri" w:cs="Times New Roman"/>
                <w:sz w:val="16"/>
                <w:szCs w:val="16"/>
              </w:rPr>
              <w:t>Diana Lucía Saavedra Castañeda</w:t>
            </w:r>
          </w:p>
          <w:p w:rsidRPr="00A12CB6" w:rsidR="00290C91" w:rsidP="00FF7D37" w:rsidRDefault="00290C91" w14:paraId="2F3EB08D" w14:textId="77777777">
            <w:pPr>
              <w:spacing w:after="0" w:line="256" w:lineRule="auto"/>
              <w:rPr>
                <w:rFonts w:ascii="Verdana" w:hAnsi="Verdana" w:eastAsia="Calibri" w:cs="Times New Roman"/>
                <w:sz w:val="16"/>
                <w:szCs w:val="16"/>
              </w:rPr>
            </w:pPr>
            <w:r>
              <w:rPr>
                <w:rFonts w:ascii="Verdana" w:hAnsi="Verdana" w:eastAsia="Calibri" w:cs="Times New Roman"/>
                <w:sz w:val="16"/>
                <w:szCs w:val="16"/>
              </w:rPr>
              <w:t>Contratista</w:t>
            </w:r>
            <w:r w:rsidRPr="00A12CB6">
              <w:rPr>
                <w:rFonts w:ascii="Verdana" w:hAnsi="Verdana" w:eastAsia="Calibri" w:cs="Times New Roman"/>
                <w:sz w:val="16"/>
                <w:szCs w:val="16"/>
              </w:rPr>
              <w:t xml:space="preserve"> de la Subdirección de Gestión Contractual </w:t>
            </w:r>
          </w:p>
        </w:tc>
      </w:tr>
      <w:tr w:rsidRPr="00A12CB6" w:rsidR="00290C91" w:rsidTr="00FF7D37" w14:paraId="7E7178A8" w14:textId="77777777">
        <w:trPr>
          <w:trHeight w:val="389"/>
        </w:trPr>
        <w:tc>
          <w:tcPr>
            <w:tcW w:w="817" w:type="dxa"/>
            <w:tcBorders>
              <w:top w:val="nil"/>
              <w:left w:val="nil"/>
              <w:bottom w:val="nil"/>
              <w:right w:val="nil"/>
            </w:tcBorders>
            <w:vAlign w:val="center"/>
            <w:hideMark/>
          </w:tcPr>
          <w:p w:rsidRPr="00A12CB6" w:rsidR="00290C91" w:rsidP="00FF7D37" w:rsidRDefault="00290C91" w14:paraId="2DCC84C9"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A12CB6" w:rsidR="00290C91" w:rsidP="00FF7D37" w:rsidRDefault="00290C91" w14:paraId="1A0ED795"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Carolina Quintero Gacharná</w:t>
            </w:r>
          </w:p>
          <w:p w:rsidRPr="00A12CB6" w:rsidR="00290C91" w:rsidP="00FF7D37" w:rsidRDefault="00290C91" w14:paraId="46712A52" w14:textId="77777777">
            <w:pPr>
              <w:spacing w:after="0" w:line="256" w:lineRule="auto"/>
              <w:rPr>
                <w:rFonts w:ascii="Verdana" w:hAnsi="Verdana" w:eastAsia="Calibri" w:cs="Times New Roman"/>
                <w:sz w:val="16"/>
                <w:szCs w:val="16"/>
              </w:rPr>
            </w:pPr>
            <w:r w:rsidRPr="00A12CB6">
              <w:rPr>
                <w:rFonts w:ascii="Verdana" w:hAnsi="Verdana" w:eastAsia="Calibri" w:cs="Times New Roman"/>
                <w:sz w:val="16"/>
                <w:szCs w:val="16"/>
              </w:rPr>
              <w:t>Subdirectora de Gestión Contractual ANCP – CCE</w:t>
            </w:r>
          </w:p>
        </w:tc>
      </w:tr>
    </w:tbl>
    <w:p w:rsidRPr="0044528D" w:rsidR="00290C91" w:rsidP="00290C91" w:rsidRDefault="00290C91" w14:paraId="622EC24F" w14:textId="77777777">
      <w:pPr>
        <w:spacing w:after="0"/>
        <w:rPr>
          <w:rFonts w:ascii="Verdana" w:hAnsi="Verdana"/>
        </w:rPr>
      </w:pPr>
    </w:p>
    <w:p w:rsidRPr="0044528D" w:rsidR="00290C91" w:rsidP="00290C91" w:rsidRDefault="00290C91" w14:paraId="36E14583" w14:textId="77777777">
      <w:pPr>
        <w:spacing w:after="0"/>
        <w:jc w:val="both"/>
        <w:rPr>
          <w:rStyle w:val="Hipervnculo"/>
          <w:rFonts w:ascii="Verdana" w:hAnsi="Verdana"/>
        </w:rPr>
      </w:pPr>
    </w:p>
    <w:p w:rsidRPr="0044528D" w:rsidR="00290C91" w:rsidP="00290C91" w:rsidRDefault="00290C91" w14:paraId="7B34933E" w14:textId="77777777">
      <w:pPr>
        <w:spacing w:after="0"/>
        <w:jc w:val="both"/>
        <w:rPr>
          <w:rStyle w:val="Hipervnculo"/>
          <w:rFonts w:ascii="Verdana" w:hAnsi="Verdana"/>
        </w:rPr>
      </w:pPr>
    </w:p>
    <w:p w:rsidRPr="0044528D" w:rsidR="00290C91" w:rsidP="00290C91" w:rsidRDefault="00290C91" w14:paraId="2B01BDDE" w14:textId="77777777">
      <w:pPr>
        <w:spacing w:after="0"/>
        <w:jc w:val="both"/>
        <w:rPr>
          <w:rStyle w:val="Hipervnculo"/>
          <w:rFonts w:ascii="Verdana" w:hAnsi="Verdana"/>
        </w:rPr>
      </w:pPr>
    </w:p>
    <w:p w:rsidRPr="0044528D" w:rsidR="00290C91" w:rsidP="00290C91" w:rsidRDefault="00290C91" w14:paraId="7CDDA95D" w14:textId="77777777">
      <w:pPr>
        <w:spacing w:after="0"/>
        <w:jc w:val="both"/>
        <w:rPr>
          <w:rStyle w:val="Hipervnculo"/>
          <w:rFonts w:ascii="Verdana" w:hAnsi="Verdana"/>
        </w:rPr>
      </w:pPr>
    </w:p>
    <w:p w:rsidRPr="0044528D" w:rsidR="00290C91" w:rsidP="00290C91" w:rsidRDefault="00290C91" w14:paraId="5EB74C12" w14:textId="77777777">
      <w:pPr>
        <w:spacing w:after="0"/>
        <w:jc w:val="both"/>
        <w:rPr>
          <w:rStyle w:val="Hipervnculo"/>
          <w:rFonts w:ascii="Verdana" w:hAnsi="Verdana"/>
        </w:rPr>
      </w:pPr>
    </w:p>
    <w:p w:rsidRPr="0044528D" w:rsidR="00290C91" w:rsidP="00290C91" w:rsidRDefault="00290C91" w14:paraId="38EE2EF9" w14:textId="77777777">
      <w:pPr>
        <w:spacing w:after="0"/>
        <w:jc w:val="both"/>
        <w:rPr>
          <w:rStyle w:val="Hipervnculo"/>
          <w:rFonts w:ascii="Verdana" w:hAnsi="Verdana"/>
        </w:rPr>
      </w:pPr>
    </w:p>
    <w:bookmarkEnd w:id="0"/>
    <w:p w:rsidRPr="0044528D" w:rsidR="00290C91" w:rsidP="00290C91" w:rsidRDefault="00290C91" w14:paraId="248CD788" w14:textId="77777777">
      <w:pPr>
        <w:spacing w:after="0" w:line="240" w:lineRule="auto"/>
        <w:textAlignment w:val="baseline"/>
        <w:rPr>
          <w:rFonts w:ascii="Verdana" w:hAnsi="Verdana" w:eastAsia="Times New Roman" w:cs="Segoe UI"/>
          <w:b/>
          <w:bCs/>
          <w:color w:val="46589C"/>
          <w:lang w:val="es-ES" w:eastAsia="es-CO"/>
        </w:rPr>
      </w:pPr>
    </w:p>
    <w:sectPr w:rsidRPr="0044528D" w:rsidR="00290C91" w:rsidSect="007C0C0F">
      <w:headerReference w:type="default" r:id="rId28"/>
      <w:footerReference w:type="default" r:id="rId2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2B1" w:rsidP="004A1847" w:rsidRDefault="006922B1" w14:paraId="63331F14" w14:textId="77777777">
      <w:pPr>
        <w:spacing w:after="0" w:line="240" w:lineRule="auto"/>
      </w:pPr>
      <w:r>
        <w:separator/>
      </w:r>
    </w:p>
  </w:endnote>
  <w:endnote w:type="continuationSeparator" w:id="0">
    <w:p w:rsidR="006922B1" w:rsidP="004A1847" w:rsidRDefault="006922B1" w14:paraId="0C540661" w14:textId="77777777">
      <w:pPr>
        <w:spacing w:after="0" w:line="240" w:lineRule="auto"/>
      </w:pPr>
      <w:r>
        <w:continuationSeparator/>
      </w:r>
    </w:p>
  </w:endnote>
  <w:endnote w:type="continuationNotice" w:id="1">
    <w:p w:rsidR="006922B1" w:rsidRDefault="006922B1" w14:paraId="31B764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D37" w:rsidRDefault="00FF7D37" w14:paraId="18911A32" w14:textId="6CE791A4">
    <w:pPr>
      <w:pStyle w:val="Piedepgina"/>
    </w:pPr>
  </w:p>
  <w:p w:rsidRPr="00174B77" w:rsidR="00FF7D37" w:rsidP="00D520D8" w:rsidRDefault="00FF7D37" w14:paraId="594D6D9F" w14:textId="63342FD8">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sidRPr="00C51514" w:rsidR="00C51514">
      <w:rPr>
        <w:rFonts w:ascii="Verdana" w:hAnsi="Verdana" w:eastAsiaTheme="minorEastAsia"/>
        <w:b/>
        <w:bCs/>
        <w:noProof/>
        <w:sz w:val="16"/>
        <w:szCs w:val="16"/>
      </w:rPr>
      <w:t>4</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FF7D37" w:rsidP="00D520D8" w:rsidRDefault="00FF7D37"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FF7D37" w:rsidP="00D520D8" w:rsidRDefault="00FF7D37"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FF7D37" w:rsidP="0025796E" w:rsidRDefault="00FF7D37"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 xml:space="preserve">17 </w:t>
    </w: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w:t>
    </w:r>
    <w:r>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2B1" w:rsidP="004A1847" w:rsidRDefault="006922B1" w14:paraId="09074C1F" w14:textId="77777777">
      <w:pPr>
        <w:spacing w:after="0" w:line="240" w:lineRule="auto"/>
      </w:pPr>
      <w:r>
        <w:separator/>
      </w:r>
    </w:p>
  </w:footnote>
  <w:footnote w:type="continuationSeparator" w:id="0">
    <w:p w:rsidR="006922B1" w:rsidP="004A1847" w:rsidRDefault="006922B1" w14:paraId="33A16E36" w14:textId="77777777">
      <w:pPr>
        <w:spacing w:after="0" w:line="240" w:lineRule="auto"/>
      </w:pPr>
      <w:r>
        <w:continuationSeparator/>
      </w:r>
    </w:p>
  </w:footnote>
  <w:footnote w:type="continuationNotice" w:id="1">
    <w:p w:rsidR="006922B1" w:rsidRDefault="006922B1" w14:paraId="535EF440" w14:textId="77777777">
      <w:pPr>
        <w:spacing w:after="0" w:line="240" w:lineRule="auto"/>
      </w:pPr>
    </w:p>
  </w:footnote>
  <w:footnote w:id="2">
    <w:p w:rsidRPr="00781BB0" w:rsidR="00FF7D37" w:rsidP="00290C91" w:rsidRDefault="00FF7D37" w14:paraId="08EC555D" w14:textId="77777777">
      <w:pPr>
        <w:pStyle w:val="Textonotapie"/>
        <w:ind w:firstLine="709"/>
        <w:jc w:val="both"/>
        <w:rPr>
          <w:rFonts w:ascii="Verdana" w:hAnsi="Verdana" w:cs="Arial"/>
          <w:color w:val="000000" w:themeColor="text1"/>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Decreto 1068 de 2015: “</w:t>
      </w:r>
      <w:r w:rsidRPr="00781BB0">
        <w:rPr>
          <w:rFonts w:ascii="Verdana" w:hAnsi="Verdana"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rsidRPr="00781BB0" w:rsidR="00FF7D37" w:rsidP="00290C91" w:rsidRDefault="00FF7D37" w14:paraId="6D9392A5" w14:textId="77777777">
      <w:pPr>
        <w:pStyle w:val="Textonotapie"/>
        <w:ind w:firstLine="709"/>
        <w:jc w:val="both"/>
        <w:rPr>
          <w:rFonts w:ascii="Verdana" w:hAnsi="Verdana" w:cs="Arial"/>
          <w:color w:val="000000" w:themeColor="text1"/>
          <w:sz w:val="16"/>
          <w:szCs w:val="16"/>
        </w:rPr>
      </w:pPr>
      <w:r w:rsidRPr="00781BB0">
        <w:rPr>
          <w:rFonts w:ascii="Verdana" w:hAnsi="Verdana"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rsidRPr="00781BB0" w:rsidR="00FF7D37" w:rsidP="00290C91" w:rsidRDefault="00FF7D37" w14:paraId="516DB72E"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rsidRPr="00781BB0" w:rsidR="00FF7D37" w:rsidP="00290C91" w:rsidRDefault="00FF7D37" w14:paraId="791947A2" w14:textId="77777777">
      <w:pPr>
        <w:pStyle w:val="Textonotapie"/>
        <w:ind w:firstLine="708"/>
        <w:jc w:val="both"/>
        <w:rPr>
          <w:rFonts w:ascii="Verdana" w:hAnsi="Verdana" w:cs="Arial"/>
          <w:sz w:val="16"/>
          <w:szCs w:val="16"/>
        </w:rPr>
      </w:pPr>
    </w:p>
  </w:footnote>
  <w:footnote w:id="3">
    <w:p w:rsidRPr="00781BB0" w:rsidR="00FF7D37" w:rsidP="00290C91" w:rsidRDefault="00FF7D37" w14:paraId="59DE0F94"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781BB0" w:rsidR="00FF7D37" w:rsidP="00290C91" w:rsidRDefault="00FF7D37" w14:paraId="3708992D"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4">
    <w:p w:rsidRPr="00781BB0" w:rsidR="00FF7D37" w:rsidP="00290C91" w:rsidRDefault="00FF7D37" w14:paraId="5FE92937"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Corte Constitucional. Sentencia C-154 de 1997. Magistrado Ponente: Hernando Herrera Vergara.</w:t>
      </w:r>
    </w:p>
    <w:p w:rsidRPr="00781BB0" w:rsidR="00FF7D37" w:rsidP="00290C91" w:rsidRDefault="00FF7D37" w14:paraId="0EDF02F8" w14:textId="77777777">
      <w:pPr>
        <w:pStyle w:val="Textonotapie"/>
        <w:snapToGrid w:val="0"/>
        <w:ind w:firstLine="709"/>
        <w:jc w:val="both"/>
        <w:rPr>
          <w:rFonts w:ascii="Verdana" w:hAnsi="Verdana" w:cs="Arial"/>
          <w:color w:val="000000"/>
          <w:sz w:val="16"/>
          <w:szCs w:val="16"/>
          <w:lang w:val="es-ES"/>
        </w:rPr>
      </w:pPr>
    </w:p>
  </w:footnote>
  <w:footnote w:id="5">
    <w:p w:rsidRPr="00781BB0" w:rsidR="00FF7D37" w:rsidP="00290C91" w:rsidRDefault="00FF7D37" w14:paraId="1C818B5C"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w:t>
      </w:r>
    </w:p>
    <w:p w:rsidRPr="00781BB0" w:rsidR="00FF7D37" w:rsidP="00290C91" w:rsidRDefault="00FF7D37" w14:paraId="30CC02CB" w14:textId="77777777">
      <w:pPr>
        <w:pStyle w:val="Textonotapie"/>
        <w:snapToGrid w:val="0"/>
        <w:ind w:firstLine="709"/>
        <w:jc w:val="both"/>
        <w:rPr>
          <w:rFonts w:ascii="Verdana" w:hAnsi="Verdana" w:cs="Arial"/>
          <w:color w:val="000000"/>
          <w:sz w:val="16"/>
          <w:szCs w:val="16"/>
          <w:lang w:val="es-ES"/>
        </w:rPr>
      </w:pPr>
    </w:p>
  </w:footnote>
  <w:footnote w:id="6">
    <w:p w:rsidRPr="00781BB0" w:rsidR="00FF7D37" w:rsidP="00290C91" w:rsidRDefault="00FF7D37" w14:paraId="1D93EC55"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781BB0" w:rsidR="00FF7D37" w:rsidP="00290C91" w:rsidRDefault="00FF7D37" w14:paraId="4EDE3066"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781BB0" w:rsidR="00FF7D37" w:rsidP="00290C91" w:rsidRDefault="00FF7D37" w14:paraId="3CF3A9BF"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7">
    <w:p w:rsidRPr="00781BB0" w:rsidR="00FF7D37" w:rsidP="00290C91" w:rsidRDefault="00FF7D37" w14:paraId="6AC3E56B"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8">
    <w:p w:rsidRPr="00781BB0" w:rsidR="00FF7D37" w:rsidP="00290C91" w:rsidRDefault="00FF7D37" w14:paraId="78451C53" w14:textId="77777777">
      <w:pPr>
        <w:pStyle w:val="Textonotapie"/>
        <w:snapToGrid w:val="0"/>
        <w:ind w:firstLine="709"/>
        <w:jc w:val="both"/>
        <w:rPr>
          <w:rFonts w:ascii="Verdana" w:hAnsi="Verdana" w:cs="Arial"/>
          <w:color w:val="000000"/>
          <w:sz w:val="16"/>
          <w:szCs w:val="16"/>
        </w:rPr>
      </w:pPr>
    </w:p>
    <w:p w:rsidRPr="00781BB0" w:rsidR="00FF7D37" w:rsidP="00290C91" w:rsidRDefault="00FF7D37" w14:paraId="0E5C8FEB"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w:t>
      </w:r>
    </w:p>
    <w:p w:rsidRPr="00781BB0" w:rsidR="00FF7D37" w:rsidP="00290C91" w:rsidRDefault="00FF7D37" w14:paraId="1009F647" w14:textId="77777777">
      <w:pPr>
        <w:pStyle w:val="Textonotapie"/>
        <w:snapToGrid w:val="0"/>
        <w:ind w:firstLine="709"/>
        <w:jc w:val="both"/>
        <w:rPr>
          <w:rFonts w:ascii="Verdana" w:hAnsi="Verdana" w:cs="Arial"/>
          <w:color w:val="000000"/>
          <w:sz w:val="16"/>
          <w:szCs w:val="16"/>
          <w:lang w:val="es-ES"/>
        </w:rPr>
      </w:pPr>
    </w:p>
  </w:footnote>
  <w:footnote w:id="9">
    <w:p w:rsidRPr="00781BB0" w:rsidR="00FF7D37" w:rsidP="00290C91" w:rsidRDefault="00FF7D37" w14:paraId="6939B557"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w:t>
      </w:r>
    </w:p>
  </w:footnote>
  <w:footnote w:id="10">
    <w:p w:rsidRPr="00781BB0" w:rsidR="00FF7D37" w:rsidP="00290C91" w:rsidRDefault="00FF7D37" w14:paraId="65EEC99B" w14:textId="77777777">
      <w:pPr>
        <w:pStyle w:val="Textonotapie"/>
        <w:snapToGrid w:val="0"/>
        <w:ind w:firstLine="709"/>
        <w:jc w:val="both"/>
        <w:rPr>
          <w:rFonts w:ascii="Verdana" w:hAnsi="Verdana" w:cs="Arial"/>
          <w:color w:val="000000"/>
          <w:sz w:val="16"/>
          <w:szCs w:val="16"/>
        </w:rPr>
      </w:pPr>
    </w:p>
    <w:p w:rsidRPr="00781BB0" w:rsidR="00FF7D37" w:rsidP="00290C91" w:rsidRDefault="00FF7D37" w14:paraId="14B93AF1"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781BB0" w:rsidR="00FF7D37" w:rsidP="00290C91" w:rsidRDefault="00FF7D37" w14:paraId="2116FE27"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rsidRPr="00781BB0" w:rsidR="00FF7D37" w:rsidP="00290C91" w:rsidRDefault="00FF7D37" w14:paraId="0A20E667"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1">
    <w:p w:rsidRPr="00781BB0" w:rsidR="00FF7D37" w:rsidP="00290C91" w:rsidRDefault="00FF7D37" w14:paraId="2B33B4CB" w14:textId="77777777">
      <w:pPr>
        <w:pStyle w:val="Textonotapie"/>
        <w:snapToGrid w:val="0"/>
        <w:ind w:firstLine="709"/>
        <w:jc w:val="both"/>
        <w:rPr>
          <w:rFonts w:ascii="Verdana" w:hAnsi="Verdana" w:cs="Arial"/>
          <w:color w:val="000000"/>
          <w:sz w:val="16"/>
          <w:szCs w:val="16"/>
        </w:rPr>
      </w:pPr>
    </w:p>
    <w:p w:rsidRPr="00781BB0" w:rsidR="00FF7D37" w:rsidP="00290C91" w:rsidRDefault="00FF7D37" w14:paraId="79AB8C23"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rsidRPr="00781BB0" w:rsidR="00FF7D37" w:rsidP="00290C91" w:rsidRDefault="00FF7D37" w14:paraId="452C03FD"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1. La causal que invoca para contratar directamente.</w:t>
      </w:r>
    </w:p>
    <w:p w:rsidRPr="00781BB0" w:rsidR="00FF7D37" w:rsidP="00290C91" w:rsidRDefault="00FF7D37" w14:paraId="44A1E2B1"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 El objeto del contrato.</w:t>
      </w:r>
    </w:p>
    <w:p w:rsidRPr="00781BB0" w:rsidR="00FF7D37" w:rsidP="00290C91" w:rsidRDefault="00FF7D37" w14:paraId="11827BB7"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3. El presupuesto para la contratación y las condiciones que exigirá al contratista.</w:t>
      </w:r>
    </w:p>
    <w:p w:rsidRPr="00781BB0" w:rsidR="00FF7D37" w:rsidP="00290C91" w:rsidRDefault="00FF7D37" w14:paraId="55D0E608"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4. El lugar en el cual los interesados pueden consultar los estudios y documentos previos.</w:t>
      </w:r>
    </w:p>
    <w:p w:rsidRPr="00781BB0" w:rsidR="00FF7D37" w:rsidP="00290C91" w:rsidRDefault="00FF7D37" w14:paraId="4A15B6D8"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rsidRPr="00781BB0" w:rsidR="00FF7D37" w:rsidP="00290C91" w:rsidRDefault="00FF7D37" w14:paraId="3E145290" w14:textId="77777777">
      <w:pPr>
        <w:pStyle w:val="Textonotapie"/>
        <w:snapToGrid w:val="0"/>
        <w:ind w:firstLine="709"/>
        <w:jc w:val="both"/>
        <w:rPr>
          <w:rFonts w:ascii="Verdana" w:hAnsi="Verdana" w:cs="Arial"/>
          <w:color w:val="000000"/>
          <w:sz w:val="16"/>
          <w:szCs w:val="16"/>
        </w:rPr>
      </w:pPr>
    </w:p>
    <w:p w:rsidRPr="00781BB0" w:rsidR="00FF7D37" w:rsidP="00290C91" w:rsidRDefault="00FF7D37" w14:paraId="2CB02CD7"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Esta norma expresa: “</w:t>
      </w:r>
      <w:r w:rsidRPr="00781BB0">
        <w:rPr>
          <w:rFonts w:ascii="Verdana" w:hAnsi="Verdana" w:cs="Arial"/>
          <w:color w:val="000000"/>
          <w:sz w:val="16"/>
          <w:szCs w:val="16"/>
        </w:rPr>
        <w:t>P</w:t>
      </w:r>
      <w:r w:rsidRPr="00781BB0">
        <w:rPr>
          <w:rFonts w:ascii="Verdana" w:hAnsi="Verdana" w:cs="Arial"/>
          <w:color w:val="000000"/>
          <w:sz w:val="16"/>
          <w:szCs w:val="16"/>
          <w:lang w:val="es-ES"/>
        </w:rPr>
        <w:t>ara el cumplimiento de los fines de la contratación, las entidades estatales al celebrar un contrato:</w:t>
      </w:r>
    </w:p>
    <w:p w:rsidRPr="00781BB0" w:rsidR="00FF7D37" w:rsidP="00290C91" w:rsidRDefault="00FF7D37" w14:paraId="7DB4F55D"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w:t>
      </w:r>
    </w:p>
    <w:p w:rsidRPr="00781BB0" w:rsidR="00FF7D37" w:rsidP="00290C91" w:rsidRDefault="00FF7D37" w14:paraId="2235F902"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781BB0" w:rsidR="00FF7D37" w:rsidP="00290C91" w:rsidRDefault="00FF7D37" w14:paraId="0B9E7DE6"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Las entidades estatales podrán pactar estas cláusulas en los contratos de suministro y de prestación de servicios.</w:t>
      </w:r>
    </w:p>
    <w:p w:rsidRPr="00781BB0" w:rsidR="00FF7D37" w:rsidP="00290C91" w:rsidRDefault="00FF7D37" w14:paraId="5A508E8F" w14:textId="77777777">
      <w:pPr>
        <w:pStyle w:val="Textonotapie"/>
        <w:snapToGrid w:val="0"/>
        <w:ind w:firstLine="709"/>
        <w:jc w:val="both"/>
        <w:rPr>
          <w:rFonts w:ascii="Verdana" w:hAnsi="Verdana" w:cs="Arial"/>
          <w:color w:val="000000"/>
          <w:sz w:val="16"/>
          <w:szCs w:val="16"/>
          <w:lang w:val="es-ES"/>
        </w:rPr>
      </w:pPr>
      <w:r w:rsidRPr="00781BB0">
        <w:rPr>
          <w:rFonts w:ascii="Verdana" w:hAnsi="Verdana" w:cs="Arial"/>
          <w:color w:val="000000"/>
          <w:sz w:val="16"/>
          <w:szCs w:val="16"/>
          <w:lang w:val="es-ES"/>
        </w:rPr>
        <w:t>[…]”.</w:t>
      </w:r>
    </w:p>
  </w:footnote>
  <w:footnote w:id="13">
    <w:p w:rsidRPr="00781BB0" w:rsidR="00FF7D37" w:rsidP="00290C91" w:rsidRDefault="00FF7D37" w14:paraId="5F79F204"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rsidRPr="00781BB0" w:rsidR="00FF7D37" w:rsidP="00290C91" w:rsidRDefault="00FF7D37" w14:paraId="64467D23" w14:textId="77777777">
      <w:pPr>
        <w:pStyle w:val="Textonotapie"/>
        <w:snapToGrid w:val="0"/>
        <w:ind w:firstLine="709"/>
        <w:jc w:val="both"/>
        <w:rPr>
          <w:rFonts w:ascii="Verdana" w:hAnsi="Verdana" w:cs="Arial"/>
          <w:color w:val="000000"/>
          <w:sz w:val="16"/>
          <w:szCs w:val="16"/>
          <w:lang w:val="es-ES"/>
        </w:rPr>
      </w:pPr>
    </w:p>
  </w:footnote>
  <w:footnote w:id="14">
    <w:p w:rsidRPr="00781BB0" w:rsidR="00FF7D37" w:rsidP="00290C91" w:rsidRDefault="00FF7D37" w14:paraId="7F3B80F3" w14:textId="77777777">
      <w:pPr>
        <w:pStyle w:val="Textonotapie"/>
        <w:snapToGrid w:val="0"/>
        <w:ind w:firstLine="709"/>
        <w:jc w:val="both"/>
        <w:rPr>
          <w:rFonts w:ascii="Verdana" w:hAnsi="Verdana" w:cs="Arial"/>
          <w:color w:val="000000"/>
          <w:sz w:val="16"/>
          <w:szCs w:val="16"/>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781BB0" w:rsidR="00FF7D37" w:rsidP="00290C91" w:rsidRDefault="00FF7D37" w14:paraId="28CEF74B" w14:textId="77777777">
      <w:pPr>
        <w:pStyle w:val="Textonotapie"/>
        <w:snapToGrid w:val="0"/>
        <w:ind w:firstLine="709"/>
        <w:jc w:val="both"/>
        <w:rPr>
          <w:rFonts w:ascii="Verdana" w:hAnsi="Verdana" w:cs="Arial"/>
          <w:color w:val="000000"/>
          <w:sz w:val="16"/>
          <w:szCs w:val="16"/>
        </w:rPr>
      </w:pPr>
      <w:r w:rsidRPr="00781BB0">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781BB0" w:rsidR="00FF7D37" w:rsidP="00290C91" w:rsidRDefault="00FF7D37" w14:paraId="26F1CC64" w14:textId="77777777">
      <w:pPr>
        <w:pStyle w:val="Textonotapie"/>
        <w:snapToGrid w:val="0"/>
        <w:ind w:firstLine="709"/>
        <w:jc w:val="both"/>
        <w:rPr>
          <w:rFonts w:ascii="Verdana" w:hAnsi="Verdana" w:cs="Arial"/>
          <w:color w:val="000000"/>
          <w:sz w:val="16"/>
          <w:szCs w:val="16"/>
        </w:rPr>
      </w:pPr>
      <w:r w:rsidRPr="00781BB0">
        <w:rPr>
          <w:rFonts w:ascii="Verdana" w:hAnsi="Verdana" w:cs="Arial"/>
          <w:color w:val="000000"/>
          <w:sz w:val="16"/>
          <w:szCs w:val="16"/>
        </w:rPr>
        <w:t>[…]”.</w:t>
      </w:r>
    </w:p>
    <w:p w:rsidRPr="00781BB0" w:rsidR="00FF7D37" w:rsidP="00290C91" w:rsidRDefault="00FF7D37" w14:paraId="253AF17F" w14:textId="77777777">
      <w:pPr>
        <w:pStyle w:val="Textonotapie"/>
        <w:snapToGrid w:val="0"/>
        <w:ind w:firstLine="709"/>
        <w:jc w:val="both"/>
        <w:rPr>
          <w:rFonts w:ascii="Verdana" w:hAnsi="Verdana" w:cs="Arial"/>
          <w:color w:val="000000"/>
          <w:sz w:val="16"/>
          <w:szCs w:val="16"/>
          <w:lang w:val="es-ES"/>
        </w:rPr>
      </w:pPr>
    </w:p>
  </w:footnote>
  <w:footnote w:id="15">
    <w:p w:rsidRPr="00781BB0" w:rsidR="00FF7D37" w:rsidP="00290C91" w:rsidRDefault="00FF7D37" w14:paraId="614F4E75" w14:textId="77777777">
      <w:pPr>
        <w:pStyle w:val="Textonotapie"/>
        <w:snapToGrid w:val="0"/>
        <w:ind w:firstLine="709"/>
        <w:jc w:val="both"/>
        <w:rPr>
          <w:rFonts w:ascii="Verdana" w:hAnsi="Verdana" w:cs="Arial"/>
          <w:color w:val="000000"/>
          <w:sz w:val="16"/>
          <w:szCs w:val="16"/>
          <w:lang w:val="es-ES"/>
        </w:rPr>
      </w:pPr>
      <w:r w:rsidRPr="00781BB0">
        <w:rPr>
          <w:rStyle w:val="Refdenotaalpie"/>
          <w:rFonts w:ascii="Verdana" w:hAnsi="Verdana" w:cs="Arial"/>
          <w:sz w:val="16"/>
          <w:szCs w:val="16"/>
        </w:rPr>
        <w:footnoteRef/>
      </w:r>
      <w:r w:rsidRPr="00781BB0">
        <w:rPr>
          <w:rFonts w:ascii="Verdana" w:hAnsi="Verdana" w:cs="Arial"/>
          <w:color w:val="000000"/>
          <w:sz w:val="16"/>
          <w:szCs w:val="16"/>
        </w:rPr>
        <w:t xml:space="preserve"> </w:t>
      </w:r>
      <w:r w:rsidRPr="00781BB0">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rsidRPr="00781BB0" w:rsidR="00FF7D37" w:rsidP="00290C91" w:rsidRDefault="00FF7D37" w14:paraId="3A81B69F" w14:textId="77777777">
      <w:pPr>
        <w:pStyle w:val="Textonotapie"/>
        <w:snapToGrid w:val="0"/>
        <w:ind w:firstLine="709"/>
        <w:jc w:val="both"/>
        <w:rPr>
          <w:rFonts w:ascii="Verdana" w:hAnsi="Verdana" w:cs="Arial"/>
          <w:color w:val="000000"/>
          <w:sz w:val="16"/>
          <w:szCs w:val="16"/>
          <w:lang w:val="es-ES"/>
        </w:rPr>
      </w:pPr>
    </w:p>
  </w:footnote>
  <w:footnote w:id="16">
    <w:p w:rsidRPr="00781BB0" w:rsidR="00FF7D37" w:rsidP="00290C91" w:rsidRDefault="00FF7D37" w14:paraId="1D47BC9E" w14:textId="77777777">
      <w:pPr>
        <w:pStyle w:val="Textonotapie"/>
        <w:ind w:firstLine="708"/>
        <w:jc w:val="both"/>
        <w:rPr>
          <w:rFonts w:ascii="Verdana" w:hAnsi="Verdana" w:cs="Arial"/>
          <w:color w:val="000000" w:themeColor="text1"/>
          <w:sz w:val="16"/>
          <w:szCs w:val="16"/>
        </w:rPr>
      </w:pPr>
      <w:r w:rsidRPr="00781BB0">
        <w:rPr>
          <w:rStyle w:val="Refdenotaalpie"/>
          <w:rFonts w:ascii="Verdana" w:hAnsi="Verdana" w:cs="Arial"/>
          <w:color w:val="000000" w:themeColor="text1"/>
          <w:sz w:val="16"/>
          <w:szCs w:val="16"/>
        </w:rPr>
        <w:footnoteRef/>
      </w:r>
      <w:r w:rsidRPr="00781BB0">
        <w:rPr>
          <w:rFonts w:ascii="Verdana" w:hAnsi="Verdana" w:cs="Arial"/>
          <w:color w:val="000000" w:themeColor="text1"/>
          <w:sz w:val="16"/>
          <w:szCs w:val="16"/>
        </w:rPr>
        <w:t xml:space="preserve"> Esta norma prescribe que “Para que una persona se obligue a otra por un acto o declaración de voluntad, es necesario:</w:t>
      </w:r>
    </w:p>
    <w:p w:rsidRPr="00781BB0" w:rsidR="00FF7D37" w:rsidP="00290C91" w:rsidRDefault="00FF7D37" w14:paraId="641BBE7B"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1o.) que sea legalmente capaz;</w:t>
      </w:r>
    </w:p>
    <w:p w:rsidRPr="00781BB0" w:rsidR="00FF7D37" w:rsidP="00290C91" w:rsidRDefault="00FF7D37" w14:paraId="176760A8"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2o.) que consienta en dicho acto o declaración y su consentimiento no adolezca de vicio;</w:t>
      </w:r>
    </w:p>
    <w:p w:rsidRPr="00781BB0" w:rsidR="00FF7D37" w:rsidP="00290C91" w:rsidRDefault="00FF7D37" w14:paraId="73F3DD0D"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3o.) que recaiga sobre un objeto lícito;</w:t>
      </w:r>
    </w:p>
    <w:p w:rsidRPr="00781BB0" w:rsidR="00FF7D37" w:rsidP="00290C91" w:rsidRDefault="00FF7D37" w14:paraId="6D743B9F"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4o.) que tenga una causa lícita.</w:t>
      </w:r>
    </w:p>
    <w:p w:rsidRPr="00781BB0" w:rsidR="00FF7D37" w:rsidP="00290C91" w:rsidRDefault="00FF7D37" w14:paraId="1F20455D" w14:textId="77777777">
      <w:pPr>
        <w:pStyle w:val="Textonotapie"/>
        <w:ind w:firstLine="708"/>
        <w:jc w:val="both"/>
        <w:rPr>
          <w:rFonts w:ascii="Verdana" w:hAnsi="Verdana" w:cs="Arial"/>
          <w:color w:val="000000" w:themeColor="text1"/>
          <w:sz w:val="16"/>
          <w:szCs w:val="16"/>
        </w:rPr>
      </w:pPr>
      <w:r w:rsidRPr="00781BB0">
        <w:rPr>
          <w:rFonts w:ascii="Verdana" w:hAnsi="Verdana" w:cs="Arial"/>
          <w:color w:val="000000" w:themeColor="text1"/>
          <w:sz w:val="16"/>
          <w:szCs w:val="16"/>
        </w:rPr>
        <w:t>La capacidad legal de una persona consiste en poderse obligar por sí misma, y sin el ministerio o la autorización de otra”.</w:t>
      </w:r>
    </w:p>
    <w:p w:rsidRPr="00781BB0" w:rsidR="00FF7D37" w:rsidP="00290C91" w:rsidRDefault="00FF7D37" w14:paraId="3411CB57" w14:textId="77777777">
      <w:pPr>
        <w:pStyle w:val="Textonotapie"/>
        <w:ind w:firstLine="708"/>
        <w:jc w:val="both"/>
        <w:rPr>
          <w:rFonts w:ascii="Verdana" w:hAnsi="Verdana" w:cs="Arial"/>
          <w:color w:val="000000" w:themeColor="text1"/>
          <w:sz w:val="16"/>
          <w:szCs w:val="16"/>
        </w:rPr>
      </w:pPr>
    </w:p>
  </w:footnote>
  <w:footnote w:id="17">
    <w:p w:rsidRPr="00781BB0" w:rsidR="00FF7D37" w:rsidP="00290C91" w:rsidRDefault="00FF7D37" w14:paraId="29B2982E" w14:textId="77777777">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iter contractual” (CONSEJO DE ESTADO. Sección Tercera. Sentencia del 26 de enero de 2011. Rad. 36.408. C.P. Jaime Orlando Santofimio Gamboa).</w:t>
      </w:r>
    </w:p>
    <w:p w:rsidRPr="00781BB0" w:rsidR="00FF7D37" w:rsidP="00290C91" w:rsidRDefault="00FF7D37" w14:paraId="4384F2CE" w14:textId="77777777">
      <w:pPr>
        <w:pStyle w:val="Textonotapie"/>
        <w:ind w:firstLine="708"/>
        <w:jc w:val="both"/>
        <w:rPr>
          <w:rFonts w:ascii="Verdana" w:hAnsi="Verdana" w:cs="Arial"/>
          <w:sz w:val="16"/>
          <w:szCs w:val="16"/>
        </w:rPr>
      </w:pPr>
    </w:p>
  </w:footnote>
  <w:footnote w:id="18">
    <w:p w:rsidRPr="00781BB0" w:rsidR="00FF7D37" w:rsidP="00290C91" w:rsidRDefault="00FF7D37" w14:paraId="5E63975C" w14:textId="77777777">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El artículo 20 del EGCAP dispone que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rsidRPr="00781BB0" w:rsidR="00FF7D37" w:rsidP="00290C91" w:rsidRDefault="00FF7D37" w14:paraId="2DB28C0D" w14:textId="77777777">
      <w:pPr>
        <w:pStyle w:val="Textonotapie"/>
        <w:spacing w:after="120"/>
        <w:ind w:firstLine="709"/>
        <w:jc w:val="both"/>
        <w:rPr>
          <w:rFonts w:ascii="Verdana" w:hAnsi="Verdana" w:cs="Arial"/>
          <w:sz w:val="16"/>
          <w:szCs w:val="16"/>
        </w:rPr>
      </w:pPr>
      <w:r w:rsidRPr="00781BB0">
        <w:rPr>
          <w:rFonts w:ascii="Verdana" w:hAnsi="Verdana" w:cs="Arial"/>
          <w:sz w:val="16"/>
          <w:szCs w:val="16"/>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rsidRPr="00781BB0" w:rsidR="00FF7D37" w:rsidP="00290C91" w:rsidRDefault="00FF7D37" w14:paraId="35B38A37" w14:textId="77777777">
      <w:pPr>
        <w:pStyle w:val="Textonotapie"/>
        <w:ind w:firstLine="708"/>
        <w:jc w:val="both"/>
        <w:rPr>
          <w:rFonts w:ascii="Verdana" w:hAnsi="Verdana" w:cs="Arial"/>
          <w:sz w:val="16"/>
          <w:szCs w:val="16"/>
        </w:rPr>
      </w:pPr>
      <w:r w:rsidRPr="00781BB0">
        <w:rPr>
          <w:rFonts w:ascii="Verdana" w:hAnsi="Verdana" w:cs="Arial"/>
          <w:sz w:val="16"/>
          <w:szCs w:val="16"/>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rsidRPr="00781BB0" w:rsidR="00FF7D37" w:rsidP="00290C91" w:rsidRDefault="00FF7D37" w14:paraId="43CA425D" w14:textId="77777777">
      <w:pPr>
        <w:pStyle w:val="Textonotapie"/>
        <w:ind w:firstLine="708"/>
        <w:jc w:val="both"/>
        <w:rPr>
          <w:rFonts w:ascii="Verdana" w:hAnsi="Verdana" w:cs="Arial"/>
          <w:sz w:val="16"/>
          <w:szCs w:val="16"/>
        </w:rPr>
      </w:pPr>
      <w:r w:rsidRPr="00781BB0">
        <w:rPr>
          <w:rFonts w:ascii="Verdana" w:hAnsi="Verdana" w:cs="Arial"/>
          <w:sz w:val="16"/>
          <w:szCs w:val="16"/>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paises los proponentes de bienes y servicios de origen colombiano gocen de iguales oportunidades. El Gobierno Nacional establecerá los mecanismos para asegurar el cumplimiento de la reciprocidad prevista en este parágrafo”.</w:t>
      </w:r>
    </w:p>
    <w:p w:rsidRPr="00781BB0" w:rsidR="00FF7D37" w:rsidP="00290C91" w:rsidRDefault="00FF7D37" w14:paraId="4160B038" w14:textId="77777777">
      <w:pPr>
        <w:pStyle w:val="Textonotapie"/>
        <w:jc w:val="both"/>
        <w:rPr>
          <w:rFonts w:ascii="Verdana" w:hAnsi="Verdana" w:cs="Arial"/>
          <w:sz w:val="16"/>
          <w:szCs w:val="16"/>
        </w:rPr>
      </w:pPr>
    </w:p>
  </w:footnote>
  <w:footnote w:id="19">
    <w:p w:rsidRPr="00781BB0" w:rsidR="00FF7D37" w:rsidP="00290C91" w:rsidRDefault="00FF7D37" w14:paraId="3555244B" w14:textId="77777777">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El artículo 2 de la Ley 816 de 2003 prescribe lo siguiente: “Las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rsidRPr="00781BB0" w:rsidR="00FF7D37" w:rsidP="00290C91" w:rsidRDefault="00FF7D37" w14:paraId="1E5E23D2" w14:textId="77777777">
      <w:pPr>
        <w:pStyle w:val="Textonotapie"/>
        <w:ind w:firstLine="708"/>
        <w:jc w:val="both"/>
        <w:rPr>
          <w:rFonts w:ascii="Verdana" w:hAnsi="Verdana" w:cs="Arial"/>
          <w:sz w:val="16"/>
          <w:szCs w:val="16"/>
        </w:rPr>
      </w:pPr>
      <w:r w:rsidRPr="00781BB0">
        <w:rPr>
          <w:rFonts w:ascii="Verdana" w:hAnsi="Verdana" w:cs="Arial"/>
          <w:sz w:val="16"/>
          <w:szCs w:val="16"/>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781BB0" w:rsidR="00FF7D37" w:rsidP="00290C91" w:rsidRDefault="00FF7D37" w14:paraId="1C90E936" w14:textId="77777777">
      <w:pPr>
        <w:pStyle w:val="Textonotapie"/>
        <w:ind w:firstLine="708"/>
        <w:jc w:val="both"/>
        <w:rPr>
          <w:rFonts w:ascii="Verdana" w:hAnsi="Verdana" w:cs="Arial"/>
          <w:sz w:val="16"/>
          <w:szCs w:val="16"/>
        </w:rPr>
      </w:pPr>
      <w:r w:rsidRPr="00781BB0">
        <w:rPr>
          <w:rFonts w:ascii="Verdana" w:hAnsi="Verdana" w:cs="Arial"/>
          <w:sz w:val="16"/>
          <w:szCs w:val="16"/>
        </w:rPr>
        <w:t>Si una vez efectuada la calificación correspondiente, la oferta de un proponente extranjero se encuentra en igualdad de condiciones con la de un proponente nacional, se adjudicará al nacional”.</w:t>
      </w:r>
    </w:p>
    <w:p w:rsidRPr="00781BB0" w:rsidR="00FF7D37" w:rsidP="00290C91" w:rsidRDefault="00FF7D37" w14:paraId="7E4F7FC0" w14:textId="77777777">
      <w:pPr>
        <w:pStyle w:val="Textonotapie"/>
        <w:ind w:firstLine="708"/>
        <w:jc w:val="both"/>
        <w:rPr>
          <w:rFonts w:ascii="Verdana" w:hAnsi="Verdana" w:cs="Arial"/>
          <w:sz w:val="16"/>
          <w:szCs w:val="16"/>
        </w:rPr>
      </w:pPr>
    </w:p>
  </w:footnote>
  <w:footnote w:id="20">
    <w:p w:rsidRPr="00781BB0" w:rsidR="00FF7D37" w:rsidP="00290C91" w:rsidRDefault="00FF7D37" w14:paraId="4AE4DF5C" w14:textId="77777777">
      <w:pPr>
        <w:pStyle w:val="Textonotapie"/>
        <w:ind w:firstLine="708"/>
        <w:jc w:val="both"/>
        <w:rPr>
          <w:rFonts w:ascii="Verdana" w:hAnsi="Verdana" w:cs="Arial"/>
          <w:sz w:val="16"/>
          <w:szCs w:val="16"/>
        </w:rPr>
      </w:pPr>
      <w:r w:rsidRPr="00781BB0">
        <w:rPr>
          <w:rStyle w:val="Refdenotaalpie"/>
          <w:rFonts w:ascii="Verdana" w:hAnsi="Verdana" w:cs="Arial"/>
          <w:sz w:val="16"/>
          <w:szCs w:val="16"/>
        </w:rPr>
        <w:footnoteRef/>
      </w:r>
      <w:r w:rsidRPr="00781BB0">
        <w:rPr>
          <w:rFonts w:ascii="Verdana" w:hAnsi="Verdana"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BB0">
        <w:rPr>
          <w:rFonts w:ascii="Verdana" w:hAnsi="Verdana" w:cs="Arial"/>
          <w:i/>
          <w:iCs/>
          <w:sz w:val="16"/>
          <w:szCs w:val="16"/>
        </w:rPr>
        <w:t xml:space="preserve">ibidem </w:t>
      </w:r>
      <w:r w:rsidRPr="00781BB0">
        <w:rPr>
          <w:rFonts w:ascii="Verdana" w:hAnsi="Verdana"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D16725" w:rsidR="00FF7D37" w:rsidP="00290C91" w:rsidRDefault="00FF7D37" w14:paraId="4959BAF1" w14:textId="77777777">
      <w:pPr>
        <w:pStyle w:val="Textonotapie"/>
        <w:ind w:firstLine="708"/>
        <w:jc w:val="both"/>
        <w:rPr>
          <w:rFonts w:ascii="Arial" w:hAnsi="Arial" w:cs="Arial"/>
          <w:sz w:val="18"/>
          <w:szCs w:val="18"/>
          <w:lang w:val="es-ES"/>
        </w:rPr>
      </w:pPr>
    </w:p>
  </w:footnote>
  <w:footnote w:id="21">
    <w:p w:rsidRPr="00267843" w:rsidR="00FF7D37" w:rsidP="00290C91" w:rsidRDefault="00FF7D37" w14:paraId="12658652" w14:textId="77777777">
      <w:pPr>
        <w:pStyle w:val="Textonotapie"/>
        <w:ind w:firstLine="708"/>
        <w:jc w:val="both"/>
        <w:rPr>
          <w:rFonts w:ascii="Verdana" w:hAnsi="Verdana"/>
          <w:sz w:val="16"/>
          <w:szCs w:val="16"/>
          <w:lang w:val="es-CO"/>
        </w:rPr>
      </w:pPr>
      <w:r w:rsidRPr="00267843">
        <w:rPr>
          <w:rStyle w:val="Refdenotaalpie"/>
          <w:rFonts w:ascii="Verdana" w:hAnsi="Verdana"/>
          <w:sz w:val="16"/>
          <w:szCs w:val="16"/>
        </w:rPr>
        <w:footnoteRef/>
      </w:r>
      <w:r w:rsidRPr="00267843">
        <w:rPr>
          <w:rFonts w:ascii="Verdana" w:hAnsi="Verdana"/>
          <w:sz w:val="16"/>
          <w:szCs w:val="16"/>
        </w:rPr>
        <w:t xml:space="preserve"> </w:t>
      </w:r>
      <w:r w:rsidRPr="00267843">
        <w:rPr>
          <w:rFonts w:ascii="Verdana" w:hAnsi="Verdana"/>
          <w:bCs/>
          <w:sz w:val="16"/>
          <w:szCs w:val="16"/>
          <w:lang w:val="es-CO"/>
        </w:rPr>
        <w:t>Artículo 2.2.6.8.3.1. </w:t>
      </w:r>
      <w:r w:rsidRPr="00267843">
        <w:rPr>
          <w:rFonts w:ascii="Verdana" w:hAnsi="Verdana"/>
          <w:bCs/>
          <w:i/>
          <w:iCs/>
          <w:sz w:val="16"/>
          <w:szCs w:val="16"/>
          <w:lang w:val="es-CO"/>
        </w:rPr>
        <w:t>Permiso Especial de Permanencia para el Fomento de la Formalización (PEPFF)</w:t>
      </w:r>
      <w:r w:rsidRPr="00267843">
        <w:rPr>
          <w:rFonts w:ascii="Verdana" w:hAnsi="Verdana"/>
          <w:bCs/>
          <w:sz w:val="16"/>
          <w:szCs w:val="16"/>
          <w:lang w:val="es-CO"/>
        </w:rPr>
        <w:t>. </w:t>
      </w:r>
      <w:r w:rsidRPr="00267843">
        <w:rPr>
          <w:rFonts w:ascii="Verdana" w:hAnsi="Verdana"/>
          <w:sz w:val="16"/>
          <w:szCs w:val="16"/>
          <w:lang w:val="es-CO"/>
        </w:rPr>
        <w:t>Créase el Permiso Especial de Permanencia para el Fomento de la Formalización (PEPFF) como un mecanismo excepcional y transitorio dirigido a facilitar la regularidad migratoria de los nacionales venezolanos en territorio colombiano, mediante el acceso, de manera alternativa según corresponda en cada caso, a contratos laborales o a contratos de prestación de servicios. </w:t>
      </w:r>
    </w:p>
    <w:p w:rsidRPr="00267843" w:rsidR="00FF7D37" w:rsidP="00290C91" w:rsidRDefault="00FF7D37" w14:paraId="5BDEB84D" w14:textId="77777777">
      <w:pPr>
        <w:pStyle w:val="Textonotapie"/>
        <w:ind w:firstLine="708"/>
        <w:jc w:val="both"/>
        <w:rPr>
          <w:rFonts w:ascii="Verdana" w:hAnsi="Verdana"/>
          <w:sz w:val="16"/>
          <w:szCs w:val="16"/>
          <w:lang w:val="es-CO"/>
        </w:rPr>
      </w:pPr>
      <w:r w:rsidRPr="00267843">
        <w:rPr>
          <w:rFonts w:ascii="Verdana" w:hAnsi="Verdana"/>
          <w:sz w:val="16"/>
          <w:szCs w:val="16"/>
          <w:lang w:val="es-CO"/>
        </w:rPr>
        <w:t>Créase el Permiso Especial de Permanencia para el Fomento de la Formalización (PEPFF) como un mecanismo excepcional y transitorio dirigido a facilitar la regularidad migratoria de los nacionales venezolanos en territorio colombiano, mediante el acceso, de manera alternativa según corresponda en cada caso, a contratos laborales o a contratos de prestación de servicios. </w:t>
      </w:r>
    </w:p>
    <w:p w:rsidRPr="00267843" w:rsidR="00FF7D37" w:rsidP="00290C91" w:rsidRDefault="00FF7D37" w14:paraId="0A514AE0" w14:textId="77777777">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FF7D37" w:rsidRDefault="00FF7D37" w14:paraId="435F4D03" w14:textId="0903BF04">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FF7D37" w:rsidRDefault="00FF7D37" w14:paraId="1BE2B9AE" w14:textId="4B94DB3B">
    <w:pPr>
      <w:pStyle w:val="Encabezado"/>
    </w:pPr>
  </w:p>
  <w:p w:rsidR="00FF7D37" w:rsidP="004A305D" w:rsidRDefault="00FF7D37" w14:paraId="3079FC11" w14:textId="77777777">
    <w:pPr>
      <w:spacing w:after="0"/>
      <w:rPr>
        <w:rFonts w:ascii="Verdana" w:hAnsi="Verdana"/>
        <w:b/>
        <w:bCs/>
      </w:rPr>
    </w:pPr>
  </w:p>
  <w:p w:rsidRPr="004A305D" w:rsidR="00FF7D37" w:rsidP="00B01B1A" w:rsidRDefault="00FF7D37" w14:paraId="5E18350A" w14:textId="705F7B76">
    <w:pPr>
      <w:spacing w:after="0" w:line="120" w:lineRule="auto"/>
      <w:rPr>
        <w:rFonts w:ascii="Century Gothic" w:hAnsi="Century Gothic" w:eastAsia="Geo" w:cs="Geo"/>
        <w:sz w:val="16"/>
        <w:szCs w:val="16"/>
        <w:lang w:eastAsia="es-CO"/>
      </w:rPr>
    </w:pPr>
  </w:p>
  <w:p w:rsidR="00FF7D37" w:rsidP="00061B2A" w:rsidRDefault="00FF7D37"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9" style="width:11.45pt;height:11.45pt" o:bullet="t" type="#_x0000_t75">
        <v:imagedata o:title="mso1B13" r:id="rId1"/>
      </v:shape>
    </w:pict>
  </w:numPicBullet>
  <w:abstractNum w:abstractNumId="0" w15:restartNumberingAfterBreak="0">
    <w:nsid w:val="F0ECC198"/>
    <w:multiLevelType w:val="hybridMultilevel"/>
    <w:tmpl w:val="DD08AC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hint="default" w:ascii="Symbol" w:hAnsi="Symbol"/>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436BA5"/>
    <w:multiLevelType w:val="hybridMultilevel"/>
    <w:tmpl w:val="A082FB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5" w15:restartNumberingAfterBreak="0">
    <w:nsid w:val="42A91091"/>
    <w:multiLevelType w:val="hybridMultilevel"/>
    <w:tmpl w:val="9D788C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5E69C5"/>
    <w:multiLevelType w:val="hybridMultilevel"/>
    <w:tmpl w:val="D1EA8408"/>
    <w:lvl w:ilvl="0" w:tplc="04090001">
      <w:start w:val="1"/>
      <w:numFmt w:val="bullet"/>
      <w:lvlText w:val=""/>
      <w:lvlJc w:val="left"/>
      <w:pPr>
        <w:ind w:left="1428" w:hanging="360"/>
      </w:pPr>
      <w:rPr>
        <w:rFonts w:hint="default" w:ascii="Symbol" w:hAnsi="Symbol"/>
      </w:rPr>
    </w:lvl>
    <w:lvl w:ilvl="1" w:tplc="04090003" w:tentative="1">
      <w:start w:val="1"/>
      <w:numFmt w:val="bullet"/>
      <w:lvlText w:val="o"/>
      <w:lvlJc w:val="left"/>
      <w:pPr>
        <w:ind w:left="2148" w:hanging="360"/>
      </w:pPr>
      <w:rPr>
        <w:rFonts w:hint="default" w:ascii="Courier New" w:hAnsi="Courier New" w:cs="Courier New"/>
      </w:rPr>
    </w:lvl>
    <w:lvl w:ilvl="2" w:tplc="04090005" w:tentative="1">
      <w:start w:val="1"/>
      <w:numFmt w:val="bullet"/>
      <w:lvlText w:val=""/>
      <w:lvlJc w:val="left"/>
      <w:pPr>
        <w:ind w:left="2868" w:hanging="360"/>
      </w:pPr>
      <w:rPr>
        <w:rFonts w:hint="default" w:ascii="Wingdings" w:hAnsi="Wingdings"/>
      </w:rPr>
    </w:lvl>
    <w:lvl w:ilvl="3" w:tplc="04090001" w:tentative="1">
      <w:start w:val="1"/>
      <w:numFmt w:val="bullet"/>
      <w:lvlText w:val=""/>
      <w:lvlJc w:val="left"/>
      <w:pPr>
        <w:ind w:left="3588" w:hanging="360"/>
      </w:pPr>
      <w:rPr>
        <w:rFonts w:hint="default" w:ascii="Symbol" w:hAnsi="Symbol"/>
      </w:rPr>
    </w:lvl>
    <w:lvl w:ilvl="4" w:tplc="04090003" w:tentative="1">
      <w:start w:val="1"/>
      <w:numFmt w:val="bullet"/>
      <w:lvlText w:val="o"/>
      <w:lvlJc w:val="left"/>
      <w:pPr>
        <w:ind w:left="4308" w:hanging="360"/>
      </w:pPr>
      <w:rPr>
        <w:rFonts w:hint="default" w:ascii="Courier New" w:hAnsi="Courier New" w:cs="Courier New"/>
      </w:rPr>
    </w:lvl>
    <w:lvl w:ilvl="5" w:tplc="04090005" w:tentative="1">
      <w:start w:val="1"/>
      <w:numFmt w:val="bullet"/>
      <w:lvlText w:val=""/>
      <w:lvlJc w:val="left"/>
      <w:pPr>
        <w:ind w:left="5028" w:hanging="360"/>
      </w:pPr>
      <w:rPr>
        <w:rFonts w:hint="default" w:ascii="Wingdings" w:hAnsi="Wingdings"/>
      </w:rPr>
    </w:lvl>
    <w:lvl w:ilvl="6" w:tplc="04090001" w:tentative="1">
      <w:start w:val="1"/>
      <w:numFmt w:val="bullet"/>
      <w:lvlText w:val=""/>
      <w:lvlJc w:val="left"/>
      <w:pPr>
        <w:ind w:left="5748" w:hanging="360"/>
      </w:pPr>
      <w:rPr>
        <w:rFonts w:hint="default" w:ascii="Symbol" w:hAnsi="Symbol"/>
      </w:rPr>
    </w:lvl>
    <w:lvl w:ilvl="7" w:tplc="04090003" w:tentative="1">
      <w:start w:val="1"/>
      <w:numFmt w:val="bullet"/>
      <w:lvlText w:val="o"/>
      <w:lvlJc w:val="left"/>
      <w:pPr>
        <w:ind w:left="6468" w:hanging="360"/>
      </w:pPr>
      <w:rPr>
        <w:rFonts w:hint="default" w:ascii="Courier New" w:hAnsi="Courier New" w:cs="Courier New"/>
      </w:rPr>
    </w:lvl>
    <w:lvl w:ilvl="8" w:tplc="04090005" w:tentative="1">
      <w:start w:val="1"/>
      <w:numFmt w:val="bullet"/>
      <w:lvlText w:val=""/>
      <w:lvlJc w:val="left"/>
      <w:pPr>
        <w:ind w:left="7188" w:hanging="360"/>
      </w:pPr>
      <w:rPr>
        <w:rFonts w:hint="default" w:ascii="Wingdings" w:hAnsi="Wingdings"/>
      </w:rPr>
    </w:lvl>
  </w:abstractNum>
  <w:num w:numId="1">
    <w:abstractNumId w:val="11"/>
  </w:num>
  <w:num w:numId="2">
    <w:abstractNumId w:val="3"/>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0"/>
  </w:num>
  <w:num w:numId="7">
    <w:abstractNumId w:val="10"/>
  </w:num>
  <w:num w:numId="8">
    <w:abstractNumId w:val="19"/>
  </w:num>
  <w:num w:numId="9">
    <w:abstractNumId w:val="12"/>
  </w:num>
  <w:num w:numId="10">
    <w:abstractNumId w:val="18"/>
  </w:num>
  <w:num w:numId="11">
    <w:abstractNumId w:val="13"/>
  </w:num>
  <w:num w:numId="12">
    <w:abstractNumId w:val="2"/>
  </w:num>
  <w:num w:numId="13">
    <w:abstractNumId w:val="5"/>
  </w:num>
  <w:num w:numId="14">
    <w:abstractNumId w:val="21"/>
  </w:num>
  <w:num w:numId="15">
    <w:abstractNumId w:val="17"/>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6"/>
  </w:num>
  <w:num w:numId="19">
    <w:abstractNumId w:val="7"/>
  </w:num>
  <w:num w:numId="20">
    <w:abstractNumId w:val="14"/>
  </w:num>
  <w:num w:numId="21">
    <w:abstractNumId w:val="22"/>
  </w:num>
  <w:num w:numId="22">
    <w:abstractNumId w:val="9"/>
  </w:num>
  <w:num w:numId="23">
    <w:abstractNumId w:val="6"/>
  </w:num>
  <w:num w:numId="24">
    <w:abstractNumId w:val="0"/>
  </w:num>
  <w:num w:numId="25">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2"/>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328B"/>
    <w:rsid w:val="000224F2"/>
    <w:rsid w:val="00023C3E"/>
    <w:rsid w:val="0002653B"/>
    <w:rsid w:val="00036DF4"/>
    <w:rsid w:val="0004434A"/>
    <w:rsid w:val="0005281E"/>
    <w:rsid w:val="0005682C"/>
    <w:rsid w:val="00056D71"/>
    <w:rsid w:val="00056E93"/>
    <w:rsid w:val="00061B2A"/>
    <w:rsid w:val="00062BAF"/>
    <w:rsid w:val="000630B9"/>
    <w:rsid w:val="000643B2"/>
    <w:rsid w:val="00065E80"/>
    <w:rsid w:val="0007022C"/>
    <w:rsid w:val="00071DE6"/>
    <w:rsid w:val="00073C9B"/>
    <w:rsid w:val="000754B0"/>
    <w:rsid w:val="00077439"/>
    <w:rsid w:val="000774B8"/>
    <w:rsid w:val="00082362"/>
    <w:rsid w:val="0008328D"/>
    <w:rsid w:val="0009387A"/>
    <w:rsid w:val="0009387B"/>
    <w:rsid w:val="00095773"/>
    <w:rsid w:val="000963C6"/>
    <w:rsid w:val="0009762F"/>
    <w:rsid w:val="000A0E26"/>
    <w:rsid w:val="000A31B9"/>
    <w:rsid w:val="000A3330"/>
    <w:rsid w:val="000A3D63"/>
    <w:rsid w:val="000A4338"/>
    <w:rsid w:val="000A683A"/>
    <w:rsid w:val="000A683E"/>
    <w:rsid w:val="000B19B9"/>
    <w:rsid w:val="000C2889"/>
    <w:rsid w:val="000C2CD7"/>
    <w:rsid w:val="000D0152"/>
    <w:rsid w:val="000D0334"/>
    <w:rsid w:val="000D3B29"/>
    <w:rsid w:val="000D71A6"/>
    <w:rsid w:val="000E06F4"/>
    <w:rsid w:val="000E4CE4"/>
    <w:rsid w:val="000E7EB0"/>
    <w:rsid w:val="000F26F4"/>
    <w:rsid w:val="000F6486"/>
    <w:rsid w:val="000F669F"/>
    <w:rsid w:val="00102D24"/>
    <w:rsid w:val="001063B3"/>
    <w:rsid w:val="00107ACA"/>
    <w:rsid w:val="001100D4"/>
    <w:rsid w:val="001114A9"/>
    <w:rsid w:val="00111979"/>
    <w:rsid w:val="00116537"/>
    <w:rsid w:val="00120766"/>
    <w:rsid w:val="001222D5"/>
    <w:rsid w:val="001240BD"/>
    <w:rsid w:val="00125105"/>
    <w:rsid w:val="00125386"/>
    <w:rsid w:val="00127233"/>
    <w:rsid w:val="001372FC"/>
    <w:rsid w:val="00143E81"/>
    <w:rsid w:val="00143FD9"/>
    <w:rsid w:val="00145047"/>
    <w:rsid w:val="00146C57"/>
    <w:rsid w:val="001473C3"/>
    <w:rsid w:val="00147AF0"/>
    <w:rsid w:val="001533CE"/>
    <w:rsid w:val="00161988"/>
    <w:rsid w:val="0016332F"/>
    <w:rsid w:val="00170A5D"/>
    <w:rsid w:val="001717E9"/>
    <w:rsid w:val="0017238A"/>
    <w:rsid w:val="0017389D"/>
    <w:rsid w:val="00180A30"/>
    <w:rsid w:val="00185EE9"/>
    <w:rsid w:val="00187F79"/>
    <w:rsid w:val="00197274"/>
    <w:rsid w:val="001A237A"/>
    <w:rsid w:val="001A26CF"/>
    <w:rsid w:val="001A2919"/>
    <w:rsid w:val="001A300C"/>
    <w:rsid w:val="001B2CFE"/>
    <w:rsid w:val="001C222E"/>
    <w:rsid w:val="001C22F9"/>
    <w:rsid w:val="001C5732"/>
    <w:rsid w:val="001D1C29"/>
    <w:rsid w:val="001E00DF"/>
    <w:rsid w:val="001E3C06"/>
    <w:rsid w:val="001E4177"/>
    <w:rsid w:val="001F4EFD"/>
    <w:rsid w:val="001F5E13"/>
    <w:rsid w:val="001F6D11"/>
    <w:rsid w:val="001F7D81"/>
    <w:rsid w:val="001F7DC6"/>
    <w:rsid w:val="00202886"/>
    <w:rsid w:val="002067F1"/>
    <w:rsid w:val="00215CEF"/>
    <w:rsid w:val="00217A08"/>
    <w:rsid w:val="00220B77"/>
    <w:rsid w:val="00221D27"/>
    <w:rsid w:val="002277C0"/>
    <w:rsid w:val="0023233B"/>
    <w:rsid w:val="00237233"/>
    <w:rsid w:val="002421BB"/>
    <w:rsid w:val="00244398"/>
    <w:rsid w:val="00246A81"/>
    <w:rsid w:val="00251A5F"/>
    <w:rsid w:val="0025446F"/>
    <w:rsid w:val="0025796E"/>
    <w:rsid w:val="002603E5"/>
    <w:rsid w:val="002638B2"/>
    <w:rsid w:val="002660F2"/>
    <w:rsid w:val="002664BB"/>
    <w:rsid w:val="00267843"/>
    <w:rsid w:val="002707A2"/>
    <w:rsid w:val="00281B6D"/>
    <w:rsid w:val="00282D57"/>
    <w:rsid w:val="002835A6"/>
    <w:rsid w:val="002844ED"/>
    <w:rsid w:val="00290C91"/>
    <w:rsid w:val="002951A0"/>
    <w:rsid w:val="002962BC"/>
    <w:rsid w:val="002A093D"/>
    <w:rsid w:val="002A0DD0"/>
    <w:rsid w:val="002A49AC"/>
    <w:rsid w:val="002A5157"/>
    <w:rsid w:val="002A64FD"/>
    <w:rsid w:val="002A6BBF"/>
    <w:rsid w:val="002B1E57"/>
    <w:rsid w:val="002B1F7F"/>
    <w:rsid w:val="002B290B"/>
    <w:rsid w:val="002C110E"/>
    <w:rsid w:val="002C379A"/>
    <w:rsid w:val="002C542F"/>
    <w:rsid w:val="002C6D87"/>
    <w:rsid w:val="002C765E"/>
    <w:rsid w:val="002C7A84"/>
    <w:rsid w:val="002D13A1"/>
    <w:rsid w:val="002D3F0D"/>
    <w:rsid w:val="002E1D98"/>
    <w:rsid w:val="002E2C3F"/>
    <w:rsid w:val="002E4FD9"/>
    <w:rsid w:val="002E6F15"/>
    <w:rsid w:val="002F13FD"/>
    <w:rsid w:val="002F50A7"/>
    <w:rsid w:val="00302344"/>
    <w:rsid w:val="00303544"/>
    <w:rsid w:val="003039C1"/>
    <w:rsid w:val="00310DBE"/>
    <w:rsid w:val="0031430F"/>
    <w:rsid w:val="00320BBD"/>
    <w:rsid w:val="00322A85"/>
    <w:rsid w:val="00324168"/>
    <w:rsid w:val="0033032A"/>
    <w:rsid w:val="00331E9C"/>
    <w:rsid w:val="00334C6A"/>
    <w:rsid w:val="00336C05"/>
    <w:rsid w:val="00342512"/>
    <w:rsid w:val="00342675"/>
    <w:rsid w:val="00343512"/>
    <w:rsid w:val="003448F4"/>
    <w:rsid w:val="00345330"/>
    <w:rsid w:val="003528DF"/>
    <w:rsid w:val="00352C12"/>
    <w:rsid w:val="00354BCA"/>
    <w:rsid w:val="003630B7"/>
    <w:rsid w:val="003656B4"/>
    <w:rsid w:val="0036594E"/>
    <w:rsid w:val="003665EE"/>
    <w:rsid w:val="0037010E"/>
    <w:rsid w:val="003734F4"/>
    <w:rsid w:val="00374F5E"/>
    <w:rsid w:val="00377E3E"/>
    <w:rsid w:val="003815B3"/>
    <w:rsid w:val="003815E8"/>
    <w:rsid w:val="00392A49"/>
    <w:rsid w:val="003A26D1"/>
    <w:rsid w:val="003A3B30"/>
    <w:rsid w:val="003A779E"/>
    <w:rsid w:val="003B005A"/>
    <w:rsid w:val="003C1CD3"/>
    <w:rsid w:val="003C3FA5"/>
    <w:rsid w:val="003D0344"/>
    <w:rsid w:val="003D064B"/>
    <w:rsid w:val="003D0F4D"/>
    <w:rsid w:val="003D5B0D"/>
    <w:rsid w:val="003E0499"/>
    <w:rsid w:val="003E40F2"/>
    <w:rsid w:val="003F1CE4"/>
    <w:rsid w:val="003F3941"/>
    <w:rsid w:val="00400676"/>
    <w:rsid w:val="004008A9"/>
    <w:rsid w:val="00406575"/>
    <w:rsid w:val="004069AB"/>
    <w:rsid w:val="00410906"/>
    <w:rsid w:val="00413B0A"/>
    <w:rsid w:val="0041655A"/>
    <w:rsid w:val="004229C2"/>
    <w:rsid w:val="00426FD7"/>
    <w:rsid w:val="0042722E"/>
    <w:rsid w:val="00427DA0"/>
    <w:rsid w:val="00440391"/>
    <w:rsid w:val="00442C7F"/>
    <w:rsid w:val="0044528D"/>
    <w:rsid w:val="00450920"/>
    <w:rsid w:val="00454D48"/>
    <w:rsid w:val="004554F9"/>
    <w:rsid w:val="0046004D"/>
    <w:rsid w:val="004633DE"/>
    <w:rsid w:val="00465E71"/>
    <w:rsid w:val="004734BD"/>
    <w:rsid w:val="00482608"/>
    <w:rsid w:val="00483749"/>
    <w:rsid w:val="00484809"/>
    <w:rsid w:val="00484BB1"/>
    <w:rsid w:val="0049600F"/>
    <w:rsid w:val="004A0980"/>
    <w:rsid w:val="004A0B8B"/>
    <w:rsid w:val="004A1847"/>
    <w:rsid w:val="004A305D"/>
    <w:rsid w:val="004A3312"/>
    <w:rsid w:val="004A4BC3"/>
    <w:rsid w:val="004B740F"/>
    <w:rsid w:val="004B77A5"/>
    <w:rsid w:val="004C4B37"/>
    <w:rsid w:val="004D026D"/>
    <w:rsid w:val="004D4253"/>
    <w:rsid w:val="004D4825"/>
    <w:rsid w:val="004E221E"/>
    <w:rsid w:val="004E2892"/>
    <w:rsid w:val="004E4C0B"/>
    <w:rsid w:val="004E505B"/>
    <w:rsid w:val="004F21C4"/>
    <w:rsid w:val="004F3012"/>
    <w:rsid w:val="004F5559"/>
    <w:rsid w:val="004F685F"/>
    <w:rsid w:val="004F7EC9"/>
    <w:rsid w:val="005034BF"/>
    <w:rsid w:val="00504CBE"/>
    <w:rsid w:val="00514598"/>
    <w:rsid w:val="005163B5"/>
    <w:rsid w:val="00522EF1"/>
    <w:rsid w:val="0052543A"/>
    <w:rsid w:val="0052785C"/>
    <w:rsid w:val="00533E1B"/>
    <w:rsid w:val="00540C2D"/>
    <w:rsid w:val="00552502"/>
    <w:rsid w:val="005566E8"/>
    <w:rsid w:val="00560CB5"/>
    <w:rsid w:val="00564D68"/>
    <w:rsid w:val="00564F8B"/>
    <w:rsid w:val="00574122"/>
    <w:rsid w:val="00574867"/>
    <w:rsid w:val="00574A9B"/>
    <w:rsid w:val="00577D09"/>
    <w:rsid w:val="0058087F"/>
    <w:rsid w:val="00585309"/>
    <w:rsid w:val="00591460"/>
    <w:rsid w:val="00592628"/>
    <w:rsid w:val="00597C75"/>
    <w:rsid w:val="005A06AE"/>
    <w:rsid w:val="005A0868"/>
    <w:rsid w:val="005A0CFB"/>
    <w:rsid w:val="005A282F"/>
    <w:rsid w:val="005A2AC9"/>
    <w:rsid w:val="005B2CCE"/>
    <w:rsid w:val="005B58C1"/>
    <w:rsid w:val="005B6033"/>
    <w:rsid w:val="005C162D"/>
    <w:rsid w:val="005C283E"/>
    <w:rsid w:val="005C3777"/>
    <w:rsid w:val="005C5AEE"/>
    <w:rsid w:val="005C5CDC"/>
    <w:rsid w:val="005D17C8"/>
    <w:rsid w:val="005D2B2B"/>
    <w:rsid w:val="005D476C"/>
    <w:rsid w:val="005D5F91"/>
    <w:rsid w:val="005D7B25"/>
    <w:rsid w:val="005E0372"/>
    <w:rsid w:val="005F7C43"/>
    <w:rsid w:val="00605A00"/>
    <w:rsid w:val="006074C9"/>
    <w:rsid w:val="00610812"/>
    <w:rsid w:val="00612CE7"/>
    <w:rsid w:val="006219F8"/>
    <w:rsid w:val="006258F6"/>
    <w:rsid w:val="0063165E"/>
    <w:rsid w:val="00632C08"/>
    <w:rsid w:val="00640340"/>
    <w:rsid w:val="00650FF7"/>
    <w:rsid w:val="00665D70"/>
    <w:rsid w:val="00671DAC"/>
    <w:rsid w:val="006747C7"/>
    <w:rsid w:val="006827AC"/>
    <w:rsid w:val="006859A3"/>
    <w:rsid w:val="00687A4F"/>
    <w:rsid w:val="006900D9"/>
    <w:rsid w:val="006922B1"/>
    <w:rsid w:val="00695D4D"/>
    <w:rsid w:val="006A0008"/>
    <w:rsid w:val="006A10DF"/>
    <w:rsid w:val="006A3147"/>
    <w:rsid w:val="006B25DE"/>
    <w:rsid w:val="006C0240"/>
    <w:rsid w:val="006C5595"/>
    <w:rsid w:val="006D12F8"/>
    <w:rsid w:val="006E0271"/>
    <w:rsid w:val="006F0D40"/>
    <w:rsid w:val="006F2501"/>
    <w:rsid w:val="00704D9B"/>
    <w:rsid w:val="00705E5F"/>
    <w:rsid w:val="00706C16"/>
    <w:rsid w:val="00711C85"/>
    <w:rsid w:val="0071458F"/>
    <w:rsid w:val="0071627C"/>
    <w:rsid w:val="00723A7F"/>
    <w:rsid w:val="007312C3"/>
    <w:rsid w:val="00737C53"/>
    <w:rsid w:val="00737DFA"/>
    <w:rsid w:val="00756841"/>
    <w:rsid w:val="00760BB2"/>
    <w:rsid w:val="0076130B"/>
    <w:rsid w:val="00762AA9"/>
    <w:rsid w:val="007649AB"/>
    <w:rsid w:val="00771D0C"/>
    <w:rsid w:val="0077241B"/>
    <w:rsid w:val="00781BB0"/>
    <w:rsid w:val="007833AC"/>
    <w:rsid w:val="00784D58"/>
    <w:rsid w:val="00786024"/>
    <w:rsid w:val="00786FBF"/>
    <w:rsid w:val="00790AB7"/>
    <w:rsid w:val="00791769"/>
    <w:rsid w:val="00796340"/>
    <w:rsid w:val="007A23EA"/>
    <w:rsid w:val="007A5189"/>
    <w:rsid w:val="007A73A8"/>
    <w:rsid w:val="007B0D88"/>
    <w:rsid w:val="007B268C"/>
    <w:rsid w:val="007B7171"/>
    <w:rsid w:val="007B73D6"/>
    <w:rsid w:val="007B7D02"/>
    <w:rsid w:val="007C07D7"/>
    <w:rsid w:val="007C0C0F"/>
    <w:rsid w:val="007C3DC2"/>
    <w:rsid w:val="007C5D3D"/>
    <w:rsid w:val="007D0457"/>
    <w:rsid w:val="007D43C9"/>
    <w:rsid w:val="007E5175"/>
    <w:rsid w:val="007E5497"/>
    <w:rsid w:val="007F28CA"/>
    <w:rsid w:val="007F367B"/>
    <w:rsid w:val="007F52A4"/>
    <w:rsid w:val="007F60FB"/>
    <w:rsid w:val="007F7B94"/>
    <w:rsid w:val="00802CA9"/>
    <w:rsid w:val="00804981"/>
    <w:rsid w:val="00806F5F"/>
    <w:rsid w:val="008078A9"/>
    <w:rsid w:val="008163D7"/>
    <w:rsid w:val="00820278"/>
    <w:rsid w:val="00834554"/>
    <w:rsid w:val="00834B31"/>
    <w:rsid w:val="00840ADC"/>
    <w:rsid w:val="00842987"/>
    <w:rsid w:val="00843BF7"/>
    <w:rsid w:val="008449B3"/>
    <w:rsid w:val="00846276"/>
    <w:rsid w:val="00850E23"/>
    <w:rsid w:val="00851137"/>
    <w:rsid w:val="00853978"/>
    <w:rsid w:val="0085432F"/>
    <w:rsid w:val="00864209"/>
    <w:rsid w:val="0087325B"/>
    <w:rsid w:val="00881ABA"/>
    <w:rsid w:val="008843B6"/>
    <w:rsid w:val="00886C89"/>
    <w:rsid w:val="00891928"/>
    <w:rsid w:val="00894B8B"/>
    <w:rsid w:val="008A00A4"/>
    <w:rsid w:val="008A446D"/>
    <w:rsid w:val="008A7A64"/>
    <w:rsid w:val="008A7F08"/>
    <w:rsid w:val="008B2F0E"/>
    <w:rsid w:val="008B517C"/>
    <w:rsid w:val="008B5A2E"/>
    <w:rsid w:val="008D180B"/>
    <w:rsid w:val="008D7227"/>
    <w:rsid w:val="008E1F92"/>
    <w:rsid w:val="008E5307"/>
    <w:rsid w:val="008E7333"/>
    <w:rsid w:val="008E7B09"/>
    <w:rsid w:val="008F0EA7"/>
    <w:rsid w:val="008F7BB9"/>
    <w:rsid w:val="00902D87"/>
    <w:rsid w:val="00904692"/>
    <w:rsid w:val="009051E9"/>
    <w:rsid w:val="00910097"/>
    <w:rsid w:val="00911C7C"/>
    <w:rsid w:val="00913389"/>
    <w:rsid w:val="0091561E"/>
    <w:rsid w:val="00922FA8"/>
    <w:rsid w:val="00923EEF"/>
    <w:rsid w:val="009301F2"/>
    <w:rsid w:val="009341AF"/>
    <w:rsid w:val="009411F5"/>
    <w:rsid w:val="009419F9"/>
    <w:rsid w:val="009459BA"/>
    <w:rsid w:val="00953AA4"/>
    <w:rsid w:val="00955305"/>
    <w:rsid w:val="0095685E"/>
    <w:rsid w:val="009572D9"/>
    <w:rsid w:val="009600D2"/>
    <w:rsid w:val="00961409"/>
    <w:rsid w:val="00961B09"/>
    <w:rsid w:val="00962300"/>
    <w:rsid w:val="00965334"/>
    <w:rsid w:val="0097093E"/>
    <w:rsid w:val="00976025"/>
    <w:rsid w:val="009800BE"/>
    <w:rsid w:val="00982E41"/>
    <w:rsid w:val="00984649"/>
    <w:rsid w:val="009858BE"/>
    <w:rsid w:val="009A0DFA"/>
    <w:rsid w:val="009A3C2C"/>
    <w:rsid w:val="009A4A40"/>
    <w:rsid w:val="009A4D59"/>
    <w:rsid w:val="009B2D26"/>
    <w:rsid w:val="009B3595"/>
    <w:rsid w:val="009B780F"/>
    <w:rsid w:val="009C2DD0"/>
    <w:rsid w:val="009C3AC7"/>
    <w:rsid w:val="009C71FA"/>
    <w:rsid w:val="009C72E7"/>
    <w:rsid w:val="009D0555"/>
    <w:rsid w:val="009D3058"/>
    <w:rsid w:val="009D3A11"/>
    <w:rsid w:val="009D44C4"/>
    <w:rsid w:val="009D67FD"/>
    <w:rsid w:val="009D75BD"/>
    <w:rsid w:val="009E5A30"/>
    <w:rsid w:val="009E7C05"/>
    <w:rsid w:val="009F3831"/>
    <w:rsid w:val="009F3832"/>
    <w:rsid w:val="009F3A13"/>
    <w:rsid w:val="009F4AB2"/>
    <w:rsid w:val="009F73F7"/>
    <w:rsid w:val="00A00AC6"/>
    <w:rsid w:val="00A02465"/>
    <w:rsid w:val="00A03415"/>
    <w:rsid w:val="00A04A81"/>
    <w:rsid w:val="00A122D3"/>
    <w:rsid w:val="00A14D3D"/>
    <w:rsid w:val="00A17F13"/>
    <w:rsid w:val="00A20739"/>
    <w:rsid w:val="00A211D0"/>
    <w:rsid w:val="00A23361"/>
    <w:rsid w:val="00A24433"/>
    <w:rsid w:val="00A2443A"/>
    <w:rsid w:val="00A332DD"/>
    <w:rsid w:val="00A339A9"/>
    <w:rsid w:val="00A33C78"/>
    <w:rsid w:val="00A34B38"/>
    <w:rsid w:val="00A34D87"/>
    <w:rsid w:val="00A35538"/>
    <w:rsid w:val="00A37BC4"/>
    <w:rsid w:val="00A42050"/>
    <w:rsid w:val="00A43292"/>
    <w:rsid w:val="00A445C0"/>
    <w:rsid w:val="00A468D0"/>
    <w:rsid w:val="00A51B1A"/>
    <w:rsid w:val="00A56FCA"/>
    <w:rsid w:val="00A6004A"/>
    <w:rsid w:val="00A60CE5"/>
    <w:rsid w:val="00A613C2"/>
    <w:rsid w:val="00A6349F"/>
    <w:rsid w:val="00A74DE6"/>
    <w:rsid w:val="00A76648"/>
    <w:rsid w:val="00A8086A"/>
    <w:rsid w:val="00A80F32"/>
    <w:rsid w:val="00A820A7"/>
    <w:rsid w:val="00A85BDD"/>
    <w:rsid w:val="00A87F7D"/>
    <w:rsid w:val="00A906A0"/>
    <w:rsid w:val="00A9244C"/>
    <w:rsid w:val="00A94D14"/>
    <w:rsid w:val="00AB0ADB"/>
    <w:rsid w:val="00AB3C1D"/>
    <w:rsid w:val="00AB3FD1"/>
    <w:rsid w:val="00AC0EAB"/>
    <w:rsid w:val="00AC4701"/>
    <w:rsid w:val="00AC49A2"/>
    <w:rsid w:val="00AC73C1"/>
    <w:rsid w:val="00AD73E2"/>
    <w:rsid w:val="00AE2631"/>
    <w:rsid w:val="00AE686A"/>
    <w:rsid w:val="00AF1BEC"/>
    <w:rsid w:val="00B009B8"/>
    <w:rsid w:val="00B01B1A"/>
    <w:rsid w:val="00B14E03"/>
    <w:rsid w:val="00B25814"/>
    <w:rsid w:val="00B26B98"/>
    <w:rsid w:val="00B35201"/>
    <w:rsid w:val="00B35ADC"/>
    <w:rsid w:val="00B37C24"/>
    <w:rsid w:val="00B40FBC"/>
    <w:rsid w:val="00B419C5"/>
    <w:rsid w:val="00B46F27"/>
    <w:rsid w:val="00B47FD7"/>
    <w:rsid w:val="00B51F75"/>
    <w:rsid w:val="00B53E27"/>
    <w:rsid w:val="00B558AF"/>
    <w:rsid w:val="00B57580"/>
    <w:rsid w:val="00B615BA"/>
    <w:rsid w:val="00B62D8B"/>
    <w:rsid w:val="00B72CD3"/>
    <w:rsid w:val="00B72FFF"/>
    <w:rsid w:val="00B76CEB"/>
    <w:rsid w:val="00B8257D"/>
    <w:rsid w:val="00B82B8B"/>
    <w:rsid w:val="00B86FE2"/>
    <w:rsid w:val="00B91186"/>
    <w:rsid w:val="00B93423"/>
    <w:rsid w:val="00B952A2"/>
    <w:rsid w:val="00BA2EF4"/>
    <w:rsid w:val="00BC0036"/>
    <w:rsid w:val="00BC05A6"/>
    <w:rsid w:val="00BC1DCC"/>
    <w:rsid w:val="00BC2561"/>
    <w:rsid w:val="00BC3D36"/>
    <w:rsid w:val="00BC4B34"/>
    <w:rsid w:val="00BD7F72"/>
    <w:rsid w:val="00BE03BC"/>
    <w:rsid w:val="00BE0A18"/>
    <w:rsid w:val="00BE522B"/>
    <w:rsid w:val="00BF1201"/>
    <w:rsid w:val="00BF1D4A"/>
    <w:rsid w:val="00BF230F"/>
    <w:rsid w:val="00C002E3"/>
    <w:rsid w:val="00C012CC"/>
    <w:rsid w:val="00C04FB3"/>
    <w:rsid w:val="00C133FB"/>
    <w:rsid w:val="00C147D0"/>
    <w:rsid w:val="00C159C1"/>
    <w:rsid w:val="00C16346"/>
    <w:rsid w:val="00C21B15"/>
    <w:rsid w:val="00C30254"/>
    <w:rsid w:val="00C32523"/>
    <w:rsid w:val="00C330EB"/>
    <w:rsid w:val="00C371C9"/>
    <w:rsid w:val="00C40E9F"/>
    <w:rsid w:val="00C41481"/>
    <w:rsid w:val="00C418E1"/>
    <w:rsid w:val="00C42469"/>
    <w:rsid w:val="00C46686"/>
    <w:rsid w:val="00C46D91"/>
    <w:rsid w:val="00C47A07"/>
    <w:rsid w:val="00C47B74"/>
    <w:rsid w:val="00C51514"/>
    <w:rsid w:val="00C53B6C"/>
    <w:rsid w:val="00C57281"/>
    <w:rsid w:val="00C65D65"/>
    <w:rsid w:val="00C67703"/>
    <w:rsid w:val="00C7173F"/>
    <w:rsid w:val="00C730B6"/>
    <w:rsid w:val="00C754BE"/>
    <w:rsid w:val="00C76466"/>
    <w:rsid w:val="00C76B1C"/>
    <w:rsid w:val="00C855C4"/>
    <w:rsid w:val="00C915DD"/>
    <w:rsid w:val="00C91B94"/>
    <w:rsid w:val="00C92665"/>
    <w:rsid w:val="00C95857"/>
    <w:rsid w:val="00C95CE7"/>
    <w:rsid w:val="00CA2D2F"/>
    <w:rsid w:val="00CA67A1"/>
    <w:rsid w:val="00CA6A9D"/>
    <w:rsid w:val="00CA7F6B"/>
    <w:rsid w:val="00CB4C2B"/>
    <w:rsid w:val="00CB6357"/>
    <w:rsid w:val="00CC0626"/>
    <w:rsid w:val="00CC0FA3"/>
    <w:rsid w:val="00CC1B26"/>
    <w:rsid w:val="00CC347A"/>
    <w:rsid w:val="00CC49F7"/>
    <w:rsid w:val="00CC54DB"/>
    <w:rsid w:val="00CD019F"/>
    <w:rsid w:val="00CD087D"/>
    <w:rsid w:val="00CD41CB"/>
    <w:rsid w:val="00CD5EE0"/>
    <w:rsid w:val="00CE509A"/>
    <w:rsid w:val="00CE5414"/>
    <w:rsid w:val="00CE62FF"/>
    <w:rsid w:val="00CF241F"/>
    <w:rsid w:val="00CF2E05"/>
    <w:rsid w:val="00CF7826"/>
    <w:rsid w:val="00D0157A"/>
    <w:rsid w:val="00D02D84"/>
    <w:rsid w:val="00D036D8"/>
    <w:rsid w:val="00D038ED"/>
    <w:rsid w:val="00D06D26"/>
    <w:rsid w:val="00D07F6D"/>
    <w:rsid w:val="00D10B75"/>
    <w:rsid w:val="00D13351"/>
    <w:rsid w:val="00D15E25"/>
    <w:rsid w:val="00D20368"/>
    <w:rsid w:val="00D22361"/>
    <w:rsid w:val="00D22598"/>
    <w:rsid w:val="00D26924"/>
    <w:rsid w:val="00D2758A"/>
    <w:rsid w:val="00D35ED1"/>
    <w:rsid w:val="00D413F6"/>
    <w:rsid w:val="00D4231B"/>
    <w:rsid w:val="00D423A2"/>
    <w:rsid w:val="00D4356E"/>
    <w:rsid w:val="00D520D8"/>
    <w:rsid w:val="00D52961"/>
    <w:rsid w:val="00D55048"/>
    <w:rsid w:val="00D552D5"/>
    <w:rsid w:val="00D55A2A"/>
    <w:rsid w:val="00D57FA4"/>
    <w:rsid w:val="00D62DE7"/>
    <w:rsid w:val="00D63AC2"/>
    <w:rsid w:val="00D665B4"/>
    <w:rsid w:val="00D7383B"/>
    <w:rsid w:val="00D7609E"/>
    <w:rsid w:val="00D81A63"/>
    <w:rsid w:val="00D81D25"/>
    <w:rsid w:val="00D85C60"/>
    <w:rsid w:val="00D94C40"/>
    <w:rsid w:val="00DA231B"/>
    <w:rsid w:val="00DA23A0"/>
    <w:rsid w:val="00DA4292"/>
    <w:rsid w:val="00DA5E37"/>
    <w:rsid w:val="00DA7F66"/>
    <w:rsid w:val="00DB186F"/>
    <w:rsid w:val="00DB42B2"/>
    <w:rsid w:val="00DC39FC"/>
    <w:rsid w:val="00DC4385"/>
    <w:rsid w:val="00DC484F"/>
    <w:rsid w:val="00DC4C27"/>
    <w:rsid w:val="00DC51BC"/>
    <w:rsid w:val="00DC793F"/>
    <w:rsid w:val="00DD3BB2"/>
    <w:rsid w:val="00DE4629"/>
    <w:rsid w:val="00DF11FD"/>
    <w:rsid w:val="00DF3335"/>
    <w:rsid w:val="00DF5254"/>
    <w:rsid w:val="00E06D88"/>
    <w:rsid w:val="00E12426"/>
    <w:rsid w:val="00E16408"/>
    <w:rsid w:val="00E20894"/>
    <w:rsid w:val="00E245AB"/>
    <w:rsid w:val="00E26239"/>
    <w:rsid w:val="00E2764C"/>
    <w:rsid w:val="00E27F2E"/>
    <w:rsid w:val="00E413EA"/>
    <w:rsid w:val="00E47F28"/>
    <w:rsid w:val="00E50AFE"/>
    <w:rsid w:val="00E52E49"/>
    <w:rsid w:val="00E577AC"/>
    <w:rsid w:val="00E578B6"/>
    <w:rsid w:val="00E61547"/>
    <w:rsid w:val="00E61702"/>
    <w:rsid w:val="00E62DEF"/>
    <w:rsid w:val="00E744A7"/>
    <w:rsid w:val="00E75B66"/>
    <w:rsid w:val="00E75C92"/>
    <w:rsid w:val="00E761BC"/>
    <w:rsid w:val="00E76808"/>
    <w:rsid w:val="00E770CD"/>
    <w:rsid w:val="00E771DC"/>
    <w:rsid w:val="00E77478"/>
    <w:rsid w:val="00E77E1B"/>
    <w:rsid w:val="00E8013F"/>
    <w:rsid w:val="00E80363"/>
    <w:rsid w:val="00E847D2"/>
    <w:rsid w:val="00E85AA8"/>
    <w:rsid w:val="00E870E5"/>
    <w:rsid w:val="00E8772A"/>
    <w:rsid w:val="00E90F6B"/>
    <w:rsid w:val="00E91079"/>
    <w:rsid w:val="00E92C27"/>
    <w:rsid w:val="00E92E10"/>
    <w:rsid w:val="00EA0E3D"/>
    <w:rsid w:val="00EA1CD8"/>
    <w:rsid w:val="00EA393B"/>
    <w:rsid w:val="00EA39A5"/>
    <w:rsid w:val="00EA6F89"/>
    <w:rsid w:val="00EB2C4B"/>
    <w:rsid w:val="00EB3EFB"/>
    <w:rsid w:val="00EB7E00"/>
    <w:rsid w:val="00EC1A2C"/>
    <w:rsid w:val="00EC1FE1"/>
    <w:rsid w:val="00EC38A7"/>
    <w:rsid w:val="00EC669B"/>
    <w:rsid w:val="00ED042A"/>
    <w:rsid w:val="00ED0D4A"/>
    <w:rsid w:val="00EE1AA8"/>
    <w:rsid w:val="00EE3610"/>
    <w:rsid w:val="00EF26C3"/>
    <w:rsid w:val="00EF419E"/>
    <w:rsid w:val="00EF489F"/>
    <w:rsid w:val="00EF7B35"/>
    <w:rsid w:val="00F11213"/>
    <w:rsid w:val="00F11BAA"/>
    <w:rsid w:val="00F177C1"/>
    <w:rsid w:val="00F21D6D"/>
    <w:rsid w:val="00F238F2"/>
    <w:rsid w:val="00F260AA"/>
    <w:rsid w:val="00F27B26"/>
    <w:rsid w:val="00F31EDC"/>
    <w:rsid w:val="00F33548"/>
    <w:rsid w:val="00F34D02"/>
    <w:rsid w:val="00F34E84"/>
    <w:rsid w:val="00F40BAD"/>
    <w:rsid w:val="00F462B3"/>
    <w:rsid w:val="00F47E41"/>
    <w:rsid w:val="00F5184B"/>
    <w:rsid w:val="00F55081"/>
    <w:rsid w:val="00F55168"/>
    <w:rsid w:val="00F5664F"/>
    <w:rsid w:val="00F61EC4"/>
    <w:rsid w:val="00F626C4"/>
    <w:rsid w:val="00F64D9E"/>
    <w:rsid w:val="00F666C4"/>
    <w:rsid w:val="00F74331"/>
    <w:rsid w:val="00F7684C"/>
    <w:rsid w:val="00F76AFC"/>
    <w:rsid w:val="00F777B9"/>
    <w:rsid w:val="00F80CBE"/>
    <w:rsid w:val="00F85198"/>
    <w:rsid w:val="00F879BC"/>
    <w:rsid w:val="00F939CB"/>
    <w:rsid w:val="00F9479C"/>
    <w:rsid w:val="00F965EE"/>
    <w:rsid w:val="00F97949"/>
    <w:rsid w:val="00FA1110"/>
    <w:rsid w:val="00FA358D"/>
    <w:rsid w:val="00FA47C0"/>
    <w:rsid w:val="00FB4425"/>
    <w:rsid w:val="00FB5615"/>
    <w:rsid w:val="00FB5DD1"/>
    <w:rsid w:val="00FB5F87"/>
    <w:rsid w:val="00FC07B5"/>
    <w:rsid w:val="00FC2B5D"/>
    <w:rsid w:val="00FC4E05"/>
    <w:rsid w:val="00FC583B"/>
    <w:rsid w:val="00FD00E9"/>
    <w:rsid w:val="00FD03E3"/>
    <w:rsid w:val="00FE122A"/>
    <w:rsid w:val="00FE20E6"/>
    <w:rsid w:val="00FF02AF"/>
    <w:rsid w:val="00FF1187"/>
    <w:rsid w:val="00FF1449"/>
    <w:rsid w:val="00FF73E7"/>
    <w:rsid w:val="00FF74EA"/>
    <w:rsid w:val="00FF7D37"/>
    <w:rsid w:val="0FB71FC4"/>
    <w:rsid w:val="2832C13D"/>
    <w:rsid w:val="365E8F6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47B74"/>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UnresolvedMention" w:customStyle="1">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styleId="Tablaconcuadrcula1" w:customStyle="1">
    <w:name w:val="Tabla con cuadrícula1"/>
    <w:basedOn w:val="Tablanormal"/>
    <w:next w:val="Tablaconcuadrcula"/>
    <w:uiPriority w:val="39"/>
    <w:qFormat/>
    <w:rsid w:val="0008328D"/>
    <w:pPr>
      <w:spacing w:after="0" w:line="240" w:lineRule="auto"/>
    </w:pPr>
    <w:rPr>
      <w:rFonts w:ascii="Calibri" w:hAnsi="Calibri" w:eastAsia="Calibri"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08328D"/>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styleId="fn1" w:customStyle="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FF74EA"/>
    <w:rPr>
      <w:rFonts w:ascii="Arial" w:hAnsi="Arial" w:eastAsia="Arial" w:cs="Arial"/>
      <w:lang w:val="es-ES"/>
    </w:rPr>
  </w:style>
  <w:style w:type="character" w:styleId="NormalWebCar" w:customStyle="1">
    <w:name w:val="Normal (Web) Car"/>
    <w:link w:val="NormalWeb"/>
    <w:uiPriority w:val="99"/>
    <w:locked/>
    <w:rsid w:val="00FF74EA"/>
    <w:rPr>
      <w:rFonts w:ascii="Times New Roman" w:hAnsi="Times New Roman" w:eastAsia="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styleId="TextocomentarioCar" w:customStyle="1">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styleId="AsuntodelcomentarioCar" w:customStyle="1">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20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0888845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73436057">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6987856">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15764677">
      <w:bodyDiv w:val="1"/>
      <w:marLeft w:val="0"/>
      <w:marRight w:val="0"/>
      <w:marTop w:val="0"/>
      <w:marBottom w:val="0"/>
      <w:divBdr>
        <w:top w:val="none" w:sz="0" w:space="0" w:color="auto"/>
        <w:left w:val="none" w:sz="0" w:space="0" w:color="auto"/>
        <w:bottom w:val="none" w:sz="0" w:space="0" w:color="auto"/>
        <w:right w:val="none" w:sz="0" w:space="0" w:color="auto"/>
      </w:divBdr>
    </w:div>
    <w:div w:id="1716351273">
      <w:bodyDiv w:val="1"/>
      <w:marLeft w:val="0"/>
      <w:marRight w:val="0"/>
      <w:marTop w:val="0"/>
      <w:marBottom w:val="0"/>
      <w:divBdr>
        <w:top w:val="none" w:sz="0" w:space="0" w:color="auto"/>
        <w:left w:val="none" w:sz="0" w:space="0" w:color="auto"/>
        <w:bottom w:val="none" w:sz="0" w:space="0" w:color="auto"/>
        <w:right w:val="none" w:sz="0" w:space="0" w:color="auto"/>
      </w:divBdr>
    </w:div>
    <w:div w:id="182939687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0959900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ancilleria.gov.co/sites/default/files/Normograma/docs/decreto_1067_2015.htm" TargetMode="External" Id="rId13" /><Relationship Type="http://schemas.openxmlformats.org/officeDocument/2006/relationships/hyperlink" Target="https://www.cancilleria.gov.co/sites/default/files/Normograma/docs/decreto_1067_2015.htm" TargetMode="External" Id="rId18" /><Relationship Type="http://schemas.openxmlformats.org/officeDocument/2006/relationships/hyperlink" Target="http://www.colombiacompra.gov.co" TargetMode="External" Id="rId26" /><Relationship Type="http://schemas.openxmlformats.org/officeDocument/2006/relationships/customXml" Target="../customXml/item3.xml" Id="rId3" /><Relationship Type="http://schemas.openxmlformats.org/officeDocument/2006/relationships/hyperlink" Target="https://www.cancilleria.gov.co/sites/default/files/Normograma/docs/decreto_1067_2015.htm" TargetMode="External" Id="rId21" /><Relationship Type="http://schemas.openxmlformats.org/officeDocument/2006/relationships/settings" Target="settings.xml" Id="rId7" /><Relationship Type="http://schemas.openxmlformats.org/officeDocument/2006/relationships/hyperlink" Target="https://www.cancilleria.gov.co/sites/default/files/Normograma/docs/resolucion_minrelaciones_6045_2017.htm" TargetMode="External" Id="rId12" /><Relationship Type="http://schemas.openxmlformats.org/officeDocument/2006/relationships/hyperlink" Target="https://www.cancilleria.gov.co/sites/default/files/Normograma/docs/resolucion_minrelaciones_6045_2017.htm" TargetMode="External" Id="rId17" /><Relationship Type="http://schemas.openxmlformats.org/officeDocument/2006/relationships/hyperlink" Target="https://nam02.safelinks.protection.outlook.com/?url=https%3A%2F%2Fwww.colombiacompra.gov.co%2Fwp-content%2Fuploads%2F2025%2F05%2FGUIA-DE-LINEAMIENTOS-DE-TRANSPARENCIA-Y-SELECCION-OBJETIVA-1.0.pdf&amp;data=05%7C02%7Cjose.sanchez%40colombiacompra.gov.co%7C7cfff6dece924643582c08dd97bfed90%7C7b09041e245149d08cb179d5e3d8c1be%7C0%7C0%7C638833572791896421%7CUnknown%7CTWFpbGZsb3d8eyJFbXB0eU1hcGkiOnRydWUsIlYiOiIwLjAuMDAwMCIsIlAiOiJXaW4zMiIsIkFOIjoiTWFpbCIsIldUIjoyfQ%3D%3D%7C0%7C%7C%7C&amp;sdata=8cJHnQacUpU99Zqge5q44j3jrbJ6SXIVS5vRTmvjODw%3D&amp;reserved=0" TargetMode="External" Id="rId25" /><Relationship Type="http://schemas.openxmlformats.org/officeDocument/2006/relationships/customXml" Target="../customXml/item2.xml" Id="rId2" /><Relationship Type="http://schemas.openxmlformats.org/officeDocument/2006/relationships/hyperlink" Target="https://www.cancilleria.gov.co/sites/default/files/Normograma/docs/resolucion_minrelaciones_1980_2014.htm" TargetMode="External" Id="rId16" /><Relationship Type="http://schemas.openxmlformats.org/officeDocument/2006/relationships/hyperlink" Target="https://www.cancilleria.gov.co/sites/default/files/Normograma/docs/resolucion_minrelaciones_6045_2017.htm"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ancilleria.gov.co/sites/default/files/Normograma/docs/resolucion_minrelaciones_1980_2014.htm" TargetMode="External" Id="rId11" /><Relationship Type="http://schemas.openxmlformats.org/officeDocument/2006/relationships/hyperlink" Target="https://nam02.safelinks.protection.outlook.com/?url=https%3A%2F%2Fwww.colombiacompra.gov.co%2Fnormativa-y-relatoria%2Fdocumentos-tipo&amp;data=05%7C02%7Cjose.sanchez%40colombiacompra.gov.co%7C7cfff6dece924643582c08dd97bfed90%7C7b09041e245149d08cb179d5e3d8c1be%7C0%7C0%7C638833572791880832%7CUnknown%7CTWFpbGZsb3d8eyJFbXB0eU1hcGkiOnRydWUsIlYiOiIwLjAuMDAwMCIsIlAiOiJXaW4zMiIsIkFOIjoiTWFpbCIsIldUIjoyfQ%3D%3D%7C0%7C%7C%7C&amp;sdata=zhnV1cJKcU8m04gT5gSZZDGphNdz0CArcYWkaStXR4o%3D&amp;reserved=0" TargetMode="External" Id="rId24" /><Relationship Type="http://schemas.openxmlformats.org/officeDocument/2006/relationships/numbering" Target="numbering.xml" Id="rId5" /><Relationship Type="http://schemas.openxmlformats.org/officeDocument/2006/relationships/hyperlink" Target="mailto:obregosoabogado@gmail.com" TargetMode="External" Id="rId15" /><Relationship Type="http://schemas.openxmlformats.org/officeDocument/2006/relationships/hyperlink" Target="https://nam02.safelinks.protection.outlook.com/?url=https%3A%2F%2Fwww.colombiacompra.gov.co%2Farchivos%2Fconvocatoria%2Fparticipacion-ciudadana-proyecto-de-la-guia-para-la-elaboracion-de-estudios-del-sector&amp;data=05%7C02%7Cjose.sanchez%40colombiacompra.gov.co%7C7cfff6dece924643582c08dd97bfed90%7C7b09041e245149d08cb179d5e3d8c1be%7C0%7C0%7C638833572791851184%7CUnknown%7CTWFpbGZsb3d8eyJFbXB0eU1hcGkiOnRydWUsIlYiOiIwLjAuMDAwMCIsIlAiOiJXaW4zMiIsIkFOIjoiTWFpbCIsIldUIjoyfQ%3D%3D%7C0%7C%7C%7C&amp;sdata=lBTeq3zRC72D25Y3qDzxsGNbyVO9ab8eZE31T5IDyOI%3D&amp;reserved=0" TargetMode="Externa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cancilleria.gov.co/sites/default/files/Normograma/docs/resolucion_minrelaciones_1980_2014.htm"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emf" Id="rId14" /><Relationship Type="http://schemas.openxmlformats.org/officeDocument/2006/relationships/hyperlink" Target="https://relatoria.colombiacompra.gov.co/busqueda/conceptos" TargetMode="External" Id="rId22" /><Relationship Type="http://schemas.openxmlformats.org/officeDocument/2006/relationships/image" Target="media/image3.png" Id="rId27" /><Relationship Type="http://schemas.openxmlformats.org/officeDocument/2006/relationships/fontTable" Target="fontTable.xml" Id="rId30"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6151B-CF37-4397-8CAF-EC7E5ADA7FA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6</revision>
  <lastPrinted>2025-02-25T15:45:00.0000000Z</lastPrinted>
  <dcterms:created xsi:type="dcterms:W3CDTF">2025-06-04T02:57:00.0000000Z</dcterms:created>
  <dcterms:modified xsi:type="dcterms:W3CDTF">2025-06-04T18:19:12.0262216Z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